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Default Extension="png" ContentType="image/png"/>
  <Override PartName="/word/header7.xml" ContentType="application/vnd.openxmlformats-officedocument.wordprocessingml.header+xml"/>
  <Override PartName="/word/header8.xml" ContentType="application/vnd.openxmlformats-officedocument.wordprocessingml.header+xml"/>
  <Override PartName="/word/footer1.xml" ContentType="application/vnd.openxmlformats-officedocument.wordprocessingml.footer+xml"/>
  <Override PartName="/word/header9.xml" ContentType="application/vnd.openxmlformats-officedocument.wordprocessingml.header+xml"/>
  <Override PartName="/word/footer2.xml" ContentType="application/vnd.openxmlformats-officedocument.wordprocessingml.footer+xml"/>
  <Override PartName="/word/header10.xml" ContentType="application/vnd.openxmlformats-officedocument.wordprocessingml.header+xml"/>
  <Override PartName="/word/footer3.xml" ContentType="application/vnd.openxmlformats-officedocument.wordprocessingml.footer+xml"/>
  <Override PartName="/word/header11.xml" ContentType="application/vnd.openxmlformats-officedocument.wordprocessingml.header+xml"/>
  <Override PartName="/word/footer4.xml" ContentType="application/vnd.openxmlformats-officedocument.wordprocessingml.footer+xml"/>
  <Override PartName="/word/header12.xml" ContentType="application/vnd.openxmlformats-officedocument.wordprocessingml.header+xml"/>
  <Override PartName="/word/footer5.xml" ContentType="application/vnd.openxmlformats-officedocument.wordprocessingml.footer+xml"/>
  <Override PartName="/word/header13.xml" ContentType="application/vnd.openxmlformats-officedocument.wordprocessingml.header+xml"/>
  <Override PartName="/word/footer6.xml" ContentType="application/vnd.openxmlformats-officedocument.wordprocessingml.footer+xml"/>
  <Override PartName="/word/header14.xml" ContentType="application/vnd.openxmlformats-officedocument.wordprocessingml.header+xml"/>
  <Override PartName="/word/footer7.xml" ContentType="application/vnd.openxmlformats-officedocument.wordprocessingml.footer+xml"/>
  <Override PartName="/word/header15.xml" ContentType="application/vnd.openxmlformats-officedocument.wordprocessingml.header+xml"/>
  <Override PartName="/word/footer8.xml" ContentType="application/vnd.openxmlformats-officedocument.wordprocessingml.footer+xml"/>
  <Override PartName="/word/header16.xml" ContentType="application/vnd.openxmlformats-officedocument.wordprocessingml.header+xml"/>
  <Override PartName="/word/footer9.xml" ContentType="application/vnd.openxmlformats-officedocument.wordprocessingml.footer+xml"/>
  <Override PartName="/word/header17.xml" ContentType="application/vnd.openxmlformats-officedocument.wordprocessingml.header+xml"/>
  <Override PartName="/word/footer10.xml" ContentType="application/vnd.openxmlformats-officedocument.wordprocessingml.footer+xml"/>
  <Override PartName="/word/header18.xml" ContentType="application/vnd.openxmlformats-officedocument.wordprocessingml.header+xml"/>
  <Override PartName="/word/footer11.xml" ContentType="application/vnd.openxmlformats-officedocument.wordprocessingml.footer+xml"/>
  <Override PartName="/word/header19.xml" ContentType="application/vnd.openxmlformats-officedocument.wordprocessingml.header+xml"/>
  <Override PartName="/word/footer12.xml" ContentType="application/vnd.openxmlformats-officedocument.wordprocessingml.footer+xml"/>
  <Override PartName="/word/header20.xml" ContentType="application/vnd.openxmlformats-officedocument.wordprocessingml.header+xml"/>
  <Override PartName="/word/footer13.xml" ContentType="application/vnd.openxmlformats-officedocument.wordprocessingml.footer+xml"/>
  <Override PartName="/word/header21.xml" ContentType="application/vnd.openxmlformats-officedocument.wordprocessingml.header+xml"/>
  <Override PartName="/word/footer14.xml" ContentType="application/vnd.openxmlformats-officedocument.wordprocessingml.footer+xml"/>
  <Override PartName="/word/header22.xml" ContentType="application/vnd.openxmlformats-officedocument.wordprocessingml.header+xml"/>
  <Override PartName="/word/footer15.xml" ContentType="application/vnd.openxmlformats-officedocument.wordprocessingml.footer+xml"/>
  <Override PartName="/word/header23.xml" ContentType="application/vnd.openxmlformats-officedocument.wordprocessingml.header+xml"/>
  <Override PartName="/word/footer16.xml" ContentType="application/vnd.openxmlformats-officedocument.wordprocessingml.footer+xml"/>
  <Override PartName="/word/header24.xml" ContentType="application/vnd.openxmlformats-officedocument.wordprocessingml.header+xml"/>
  <Override PartName="/word/footer17.xml" ContentType="application/vnd.openxmlformats-officedocument.wordprocessingml.footer+xml"/>
  <Override PartName="/word/header25.xml" ContentType="application/vnd.openxmlformats-officedocument.wordprocessingml.header+xml"/>
  <Override PartName="/word/footer18.xml" ContentType="application/vnd.openxmlformats-officedocument.wordprocessingml.footer+xml"/>
  <Override PartName="/word/header26.xml" ContentType="application/vnd.openxmlformats-officedocument.wordprocessingml.header+xml"/>
  <Override PartName="/word/footer19.xml" ContentType="application/vnd.openxmlformats-officedocument.wordprocessingml.footer+xml"/>
  <Override PartName="/word/header27.xml" ContentType="application/vnd.openxmlformats-officedocument.wordprocessingml.header+xml"/>
  <Override PartName="/word/footer20.xml" ContentType="application/vnd.openxmlformats-officedocument.wordprocessingml.footer+xml"/>
  <Override PartName="/word/header28.xml" ContentType="application/vnd.openxmlformats-officedocument.wordprocessingml.header+xml"/>
  <Override PartName="/word/footer21.xml" ContentType="application/vnd.openxmlformats-officedocument.wordprocessingml.footer+xml"/>
  <Override PartName="/word/header29.xml" ContentType="application/vnd.openxmlformats-officedocument.wordprocessingml.header+xml"/>
  <Override PartName="/word/footer22.xml" ContentType="application/vnd.openxmlformats-officedocument.wordprocessingml.footer+xml"/>
  <Override PartName="/word/header30.xml" ContentType="application/vnd.openxmlformats-officedocument.wordprocessingml.header+xml"/>
  <Override PartName="/word/footer23.xml" ContentType="application/vnd.openxmlformats-officedocument.wordprocessingml.footer+xml"/>
  <Override PartName="/word/header31.xml" ContentType="application/vnd.openxmlformats-officedocument.wordprocessingml.header+xml"/>
  <Override PartName="/word/footer24.xml" ContentType="application/vnd.openxmlformats-officedocument.wordprocessingml.footer+xml"/>
  <Override PartName="/word/header32.xml" ContentType="application/vnd.openxmlformats-officedocument.wordprocessingml.header+xml"/>
  <Override PartName="/word/footer25.xml" ContentType="application/vnd.openxmlformats-officedocument.wordprocessingml.footer+xml"/>
  <Override PartName="/word/header33.xml" ContentType="application/vnd.openxmlformats-officedocument.wordprocessingml.header+xml"/>
  <Override PartName="/word/footer26.xml" ContentType="application/vnd.openxmlformats-officedocument.wordprocessingml.footer+xml"/>
  <Override PartName="/word/header34.xml" ContentType="application/vnd.openxmlformats-officedocument.wordprocessingml.header+xml"/>
  <Override PartName="/word/footer27.xml" ContentType="application/vnd.openxmlformats-officedocument.wordprocessingml.footer+xml"/>
  <Override PartName="/word/header35.xml" ContentType="application/vnd.openxmlformats-officedocument.wordprocessingml.header+xml"/>
  <Override PartName="/word/footer28.xml" ContentType="application/vnd.openxmlformats-officedocument.wordprocessingml.footer+xml"/>
  <Override PartName="/word/header36.xml" ContentType="application/vnd.openxmlformats-officedocument.wordprocessingml.header+xml"/>
  <Override PartName="/word/footer29.xml" ContentType="application/vnd.openxmlformats-officedocument.wordprocessingml.footer+xml"/>
  <Override PartName="/word/header37.xml" ContentType="application/vnd.openxmlformats-officedocument.wordprocessingml.header+xml"/>
  <Override PartName="/word/footer30.xml" ContentType="application/vnd.openxmlformats-officedocument.wordprocessingml.footer+xml"/>
  <Override PartName="/word/header38.xml" ContentType="application/vnd.openxmlformats-officedocument.wordprocessingml.header+xml"/>
  <Override PartName="/word/footer31.xml" ContentType="application/vnd.openxmlformats-officedocument.wordprocessingml.footer+xml"/>
  <Override PartName="/word/header39.xml" ContentType="application/vnd.openxmlformats-officedocument.wordprocessingml.header+xml"/>
  <Override PartName="/word/footer32.xml" ContentType="application/vnd.openxmlformats-officedocument.wordprocessingml.footer+xml"/>
  <Override PartName="/word/header40.xml" ContentType="application/vnd.openxmlformats-officedocument.wordprocessingml.header+xml"/>
  <Override PartName="/word/footer33.xml" ContentType="application/vnd.openxmlformats-officedocument.wordprocessingml.footer+xml"/>
  <Override PartName="/word/header41.xml" ContentType="application/vnd.openxmlformats-officedocument.wordprocessingml.header+xml"/>
  <Override PartName="/word/footer34.xml" ContentType="application/vnd.openxmlformats-officedocument.wordprocessingml.footer+xml"/>
  <Override PartName="/word/header42.xml" ContentType="application/vnd.openxmlformats-officedocument.wordprocessingml.header+xml"/>
  <Override PartName="/word/footer35.xml" ContentType="application/vnd.openxmlformats-officedocument.wordprocessingml.footer+xml"/>
  <Override PartName="/word/header43.xml" ContentType="application/vnd.openxmlformats-officedocument.wordprocessingml.header+xml"/>
  <Override PartName="/word/footer36.xml" ContentType="application/vnd.openxmlformats-officedocument.wordprocessingml.footer+xml"/>
  <Override PartName="/word/header44.xml" ContentType="application/vnd.openxmlformats-officedocument.wordprocessingml.header+xml"/>
  <Override PartName="/word/footer37.xml" ContentType="application/vnd.openxmlformats-officedocument.wordprocessingml.footer+xml"/>
  <Override PartName="/word/header45.xml" ContentType="application/vnd.openxmlformats-officedocument.wordprocessingml.header+xml"/>
  <Override PartName="/word/footer38.xml" ContentType="application/vnd.openxmlformats-officedocument.wordprocessingml.footer+xml"/>
  <Override PartName="/word/header46.xml" ContentType="application/vnd.openxmlformats-officedocument.wordprocessingml.header+xml"/>
  <Override PartName="/word/footer39.xml" ContentType="application/vnd.openxmlformats-officedocument.wordprocessingml.footer+xml"/>
  <Override PartName="/word/header47.xml" ContentType="application/vnd.openxmlformats-officedocument.wordprocessingml.header+xml"/>
  <Override PartName="/word/footer40.xml" ContentType="application/vnd.openxmlformats-officedocument.wordprocessingml.footer+xml"/>
  <Override PartName="/word/header48.xml" ContentType="application/vnd.openxmlformats-officedocument.wordprocessingml.header+xml"/>
  <Override PartName="/word/footer41.xml" ContentType="application/vnd.openxmlformats-officedocument.wordprocessingml.footer+xml"/>
  <Override PartName="/word/header49.xml" ContentType="application/vnd.openxmlformats-officedocument.wordprocessingml.header+xml"/>
  <Override PartName="/word/footer42.xml" ContentType="application/vnd.openxmlformats-officedocument.wordprocessingml.footer+xml"/>
  <Override PartName="/word/header50.xml" ContentType="application/vnd.openxmlformats-officedocument.wordprocessingml.header+xml"/>
  <Override PartName="/word/footer43.xml" ContentType="application/vnd.openxmlformats-officedocument.wordprocessingml.footer+xml"/>
  <Override PartName="/word/header51.xml" ContentType="application/vnd.openxmlformats-officedocument.wordprocessingml.header+xml"/>
  <Override PartName="/word/footer44.xml" ContentType="application/vnd.openxmlformats-officedocument.wordprocessingml.footer+xml"/>
  <Override PartName="/word/header52.xml" ContentType="application/vnd.openxmlformats-officedocument.wordprocessingml.header+xml"/>
  <Override PartName="/word/footer45.xml" ContentType="application/vnd.openxmlformats-officedocument.wordprocessingml.footer+xml"/>
  <Override PartName="/word/header53.xml" ContentType="application/vnd.openxmlformats-officedocument.wordprocessingml.header+xml"/>
  <Override PartName="/word/footer46.xml" ContentType="application/vnd.openxmlformats-officedocument.wordprocessingml.footer+xml"/>
  <Override PartName="/word/header54.xml" ContentType="application/vnd.openxmlformats-officedocument.wordprocessingml.header+xml"/>
  <Override PartName="/word/footer47.xml" ContentType="application/vnd.openxmlformats-officedocument.wordprocessingml.footer+xml"/>
  <Override PartName="/word/header55.xml" ContentType="application/vnd.openxmlformats-officedocument.wordprocessingml.header+xml"/>
  <Override PartName="/word/footer48.xml" ContentType="application/vnd.openxmlformats-officedocument.wordprocessingml.footer+xml"/>
  <Override PartName="/word/header56.xml" ContentType="application/vnd.openxmlformats-officedocument.wordprocessingml.header+xml"/>
  <Override PartName="/word/footer49.xml" ContentType="application/vnd.openxmlformats-officedocument.wordprocessingml.footer+xml"/>
  <Override PartName="/word/header57.xml" ContentType="application/vnd.openxmlformats-officedocument.wordprocessingml.header+xml"/>
  <Override PartName="/word/footer50.xml" ContentType="application/vnd.openxmlformats-officedocument.wordprocessingml.footer+xml"/>
  <Override PartName="/word/header58.xml" ContentType="application/vnd.openxmlformats-officedocument.wordprocessingml.header+xml"/>
  <Override PartName="/word/footer51.xml" ContentType="application/vnd.openxmlformats-officedocument.wordprocessingml.footer+xml"/>
  <Override PartName="/word/header59.xml" ContentType="application/vnd.openxmlformats-officedocument.wordprocessingml.header+xml"/>
  <Override PartName="/word/footer52.xml" ContentType="application/vnd.openxmlformats-officedocument.wordprocessingml.footer+xml"/>
  <Override PartName="/word/header60.xml" ContentType="application/vnd.openxmlformats-officedocument.wordprocessingml.header+xml"/>
  <Override PartName="/word/footer53.xml" ContentType="application/vnd.openxmlformats-officedocument.wordprocessingml.footer+xml"/>
  <Override PartName="/word/header61.xml" ContentType="application/vnd.openxmlformats-officedocument.wordprocessingml.header+xml"/>
  <Override PartName="/word/footer54.xml" ContentType="application/vnd.openxmlformats-officedocument.wordprocessingml.footer+xml"/>
  <Override PartName="/word/header62.xml" ContentType="application/vnd.openxmlformats-officedocument.wordprocessingml.header+xml"/>
  <Override PartName="/word/footer55.xml" ContentType="application/vnd.openxmlformats-officedocument.wordprocessingml.footer+xml"/>
  <Override PartName="/word/header63.xml" ContentType="application/vnd.openxmlformats-officedocument.wordprocessingml.header+xml"/>
  <Override PartName="/word/footer56.xml" ContentType="application/vnd.openxmlformats-officedocument.wordprocessingml.footer+xml"/>
  <Override PartName="/word/header64.xml" ContentType="application/vnd.openxmlformats-officedocument.wordprocessingml.header+xml"/>
  <Override PartName="/word/footer57.xml" ContentType="application/vnd.openxmlformats-officedocument.wordprocessingml.footer+xml"/>
  <Override PartName="/word/header65.xml" ContentType="application/vnd.openxmlformats-officedocument.wordprocessingml.header+xml"/>
  <Override PartName="/word/footer58.xml" ContentType="application/vnd.openxmlformats-officedocument.wordprocessingml.footer+xml"/>
  <Override PartName="/word/header66.xml" ContentType="application/vnd.openxmlformats-officedocument.wordprocessingml.header+xml"/>
  <Override PartName="/word/footer59.xml" ContentType="application/vnd.openxmlformats-officedocument.wordprocessingml.footer+xml"/>
  <Override PartName="/word/header67.xml" ContentType="application/vnd.openxmlformats-officedocument.wordprocessingml.header+xml"/>
  <Override PartName="/word/footer60.xml" ContentType="application/vnd.openxmlformats-officedocument.wordprocessingml.footer+xml"/>
  <Override PartName="/word/header68.xml" ContentType="application/vnd.openxmlformats-officedocument.wordprocessingml.header+xml"/>
  <Override PartName="/word/footer61.xml" ContentType="application/vnd.openxmlformats-officedocument.wordprocessingml.footer+xml"/>
  <Override PartName="/word/header69.xml" ContentType="application/vnd.openxmlformats-officedocument.wordprocessingml.header+xml"/>
  <Override PartName="/word/footer62.xml" ContentType="application/vnd.openxmlformats-officedocument.wordprocessingml.footer+xml"/>
  <Override PartName="/word/header70.xml" ContentType="application/vnd.openxmlformats-officedocument.wordprocessingml.header+xml"/>
  <Override PartName="/word/footer63.xml" ContentType="application/vnd.openxmlformats-officedocument.wordprocessingml.footer+xml"/>
  <Override PartName="/word/header71.xml" ContentType="application/vnd.openxmlformats-officedocument.wordprocessingml.header+xml"/>
  <Override PartName="/word/footer64.xml" ContentType="application/vnd.openxmlformats-officedocument.wordprocessingml.footer+xml"/>
  <Override PartName="/word/header72.xml" ContentType="application/vnd.openxmlformats-officedocument.wordprocessingml.header+xml"/>
  <Override PartName="/word/footer65.xml" ContentType="application/vnd.openxmlformats-officedocument.wordprocessingml.footer+xml"/>
  <Override PartName="/word/header73.xml" ContentType="application/vnd.openxmlformats-officedocument.wordprocessingml.header+xml"/>
  <Override PartName="/word/footer66.xml" ContentType="application/vnd.openxmlformats-officedocument.wordprocessingml.footer+xml"/>
  <Override PartName="/word/header74.xml" ContentType="application/vnd.openxmlformats-officedocument.wordprocessingml.header+xml"/>
  <Override PartName="/word/footer67.xml" ContentType="application/vnd.openxmlformats-officedocument.wordprocessingml.footer+xml"/>
  <Override PartName="/word/header75.xml" ContentType="application/vnd.openxmlformats-officedocument.wordprocessingml.header+xml"/>
  <Override PartName="/word/footer68.xml" ContentType="application/vnd.openxmlformats-officedocument.wordprocessingml.footer+xml"/>
  <Override PartName="/word/header76.xml" ContentType="application/vnd.openxmlformats-officedocument.wordprocessingml.header+xml"/>
  <Override PartName="/word/footer69.xml" ContentType="application/vnd.openxmlformats-officedocument.wordprocessingml.footer+xml"/>
  <Override PartName="/word/header77.xml" ContentType="application/vnd.openxmlformats-officedocument.wordprocessingml.header+xml"/>
  <Override PartName="/word/footer70.xml" ContentType="application/vnd.openxmlformats-officedocument.wordprocessingml.footer+xml"/>
  <Override PartName="/word/header78.xml" ContentType="application/vnd.openxmlformats-officedocument.wordprocessingml.header+xml"/>
  <Override PartName="/word/footer71.xml" ContentType="application/vnd.openxmlformats-officedocument.wordprocessingml.footer+xml"/>
  <Override PartName="/word/header79.xml" ContentType="application/vnd.openxmlformats-officedocument.wordprocessingml.header+xml"/>
  <Override PartName="/word/footer72.xml" ContentType="application/vnd.openxmlformats-officedocument.wordprocessingml.footer+xml"/>
  <Override PartName="/word/header80.xml" ContentType="application/vnd.openxmlformats-officedocument.wordprocessingml.header+xml"/>
  <Override PartName="/word/footer73.xml" ContentType="application/vnd.openxmlformats-officedocument.wordprocessingml.footer+xml"/>
  <Override PartName="/word/header81.xml" ContentType="application/vnd.openxmlformats-officedocument.wordprocessingml.header+xml"/>
  <Override PartName="/word/footer74.xml" ContentType="application/vnd.openxmlformats-officedocument.wordprocessingml.footer+xml"/>
  <Override PartName="/word/header82.xml" ContentType="application/vnd.openxmlformats-officedocument.wordprocessingml.header+xml"/>
  <Override PartName="/word/footer75.xml" ContentType="application/vnd.openxmlformats-officedocument.wordprocessingml.footer+xml"/>
  <Override PartName="/word/header83.xml" ContentType="application/vnd.openxmlformats-officedocument.wordprocessingml.header+xml"/>
  <Override PartName="/word/footer76.xml" ContentType="application/vnd.openxmlformats-officedocument.wordprocessingml.footer+xml"/>
  <Override PartName="/word/header84.xml" ContentType="application/vnd.openxmlformats-officedocument.wordprocessingml.header+xml"/>
  <Override PartName="/word/footer77.xml" ContentType="application/vnd.openxmlformats-officedocument.wordprocessingml.footer+xml"/>
  <Override PartName="/word/header85.xml" ContentType="application/vnd.openxmlformats-officedocument.wordprocessingml.header+xml"/>
  <Override PartName="/word/footer78.xml" ContentType="application/vnd.openxmlformats-officedocument.wordprocessingml.footer+xml"/>
  <Override PartName="/word/header86.xml" ContentType="application/vnd.openxmlformats-officedocument.wordprocessingml.header+xml"/>
  <Override PartName="/word/footer79.xml" ContentType="application/vnd.openxmlformats-officedocument.wordprocessingml.footer+xml"/>
  <Override PartName="/word/header87.xml" ContentType="application/vnd.openxmlformats-officedocument.wordprocessingml.header+xml"/>
  <Override PartName="/word/footer80.xml" ContentType="application/vnd.openxmlformats-officedocument.wordprocessingml.footer+xml"/>
  <Override PartName="/word/header88.xml" ContentType="application/vnd.openxmlformats-officedocument.wordprocessingml.header+xml"/>
  <Override PartName="/word/footer81.xml" ContentType="application/vnd.openxmlformats-officedocument.wordprocessingml.footer+xml"/>
  <Override PartName="/word/header89.xml" ContentType="application/vnd.openxmlformats-officedocument.wordprocessingml.header+xml"/>
  <Override PartName="/word/footer82.xml" ContentType="application/vnd.openxmlformats-officedocument.wordprocessingml.footer+xml"/>
  <Override PartName="/word/header90.xml" ContentType="application/vnd.openxmlformats-officedocument.wordprocessingml.header+xml"/>
  <Override PartName="/word/footer83.xml" ContentType="application/vnd.openxmlformats-officedocument.wordprocessingml.footer+xml"/>
  <Override PartName="/word/header91.xml" ContentType="application/vnd.openxmlformats-officedocument.wordprocessingml.header+xml"/>
  <Override PartName="/word/footer84.xml" ContentType="application/vnd.openxmlformats-officedocument.wordprocessingml.footer+xml"/>
  <Override PartName="/word/header92.xml" ContentType="application/vnd.openxmlformats-officedocument.wordprocessingml.header+xml"/>
  <Override PartName="/word/footer85.xml" ContentType="application/vnd.openxmlformats-officedocument.wordprocessingml.footer+xml"/>
  <Override PartName="/word/header93.xml" ContentType="application/vnd.openxmlformats-officedocument.wordprocessingml.header+xml"/>
  <Override PartName="/word/footer86.xml" ContentType="application/vnd.openxmlformats-officedocument.wordprocessingml.footer+xml"/>
  <Override PartName="/word/header94.xml" ContentType="application/vnd.openxmlformats-officedocument.wordprocessingml.header+xml"/>
  <Override PartName="/word/footer87.xml" ContentType="application/vnd.openxmlformats-officedocument.wordprocessingml.footer+xml"/>
  <Override PartName="/word/header95.xml" ContentType="application/vnd.openxmlformats-officedocument.wordprocessingml.header+xml"/>
  <Override PartName="/word/footer88.xml" ContentType="application/vnd.openxmlformats-officedocument.wordprocessingml.footer+xml"/>
  <Override PartName="/word/header96.xml" ContentType="application/vnd.openxmlformats-officedocument.wordprocessingml.header+xml"/>
  <Override PartName="/word/footer89.xml" ContentType="application/vnd.openxmlformats-officedocument.wordprocessingml.footer+xml"/>
  <Override PartName="/word/header97.xml" ContentType="application/vnd.openxmlformats-officedocument.wordprocessingml.header+xml"/>
  <Override PartName="/word/footer90.xml" ContentType="application/vnd.openxmlformats-officedocument.wordprocessingml.footer+xml"/>
  <Override PartName="/word/header98.xml" ContentType="application/vnd.openxmlformats-officedocument.wordprocessingml.header+xml"/>
  <Override PartName="/word/footer91.xml" ContentType="application/vnd.openxmlformats-officedocument.wordprocessingml.footer+xml"/>
  <Override PartName="/word/header99.xml" ContentType="application/vnd.openxmlformats-officedocument.wordprocessingml.header+xml"/>
  <Override PartName="/word/footer92.xml" ContentType="application/vnd.openxmlformats-officedocument.wordprocessingml.footer+xml"/>
  <Override PartName="/word/header100.xml" ContentType="application/vnd.openxmlformats-officedocument.wordprocessingml.header+xml"/>
  <Override PartName="/word/footer93.xml" ContentType="application/vnd.openxmlformats-officedocument.wordprocessingml.footer+xml"/>
  <Override PartName="/word/header101.xml" ContentType="application/vnd.openxmlformats-officedocument.wordprocessingml.header+xml"/>
  <Override PartName="/word/footer94.xml" ContentType="application/vnd.openxmlformats-officedocument.wordprocessingml.footer+xml"/>
  <Override PartName="/word/header102.xml" ContentType="application/vnd.openxmlformats-officedocument.wordprocessingml.header+xml"/>
  <Override PartName="/word/footer95.xml" ContentType="application/vnd.openxmlformats-officedocument.wordprocessingml.footer+xml"/>
  <Override PartName="/word/header103.xml" ContentType="application/vnd.openxmlformats-officedocument.wordprocessingml.header+xml"/>
  <Override PartName="/word/footer96.xml" ContentType="application/vnd.openxmlformats-officedocument.wordprocessingml.footer+xml"/>
  <Override PartName="/word/header104.xml" ContentType="application/vnd.openxmlformats-officedocument.wordprocessingml.header+xml"/>
  <Override PartName="/word/footer97.xml" ContentType="application/vnd.openxmlformats-officedocument.wordprocessingml.footer+xml"/>
  <Override PartName="/word/header105.xml" ContentType="application/vnd.openxmlformats-officedocument.wordprocessingml.header+xml"/>
  <Override PartName="/word/footer98.xml" ContentType="application/vnd.openxmlformats-officedocument.wordprocessingml.footer+xml"/>
  <Override PartName="/word/header106.xml" ContentType="application/vnd.openxmlformats-officedocument.wordprocessingml.header+xml"/>
  <Override PartName="/word/footer99.xml" ContentType="application/vnd.openxmlformats-officedocument.wordprocessingml.footer+xml"/>
  <Override PartName="/word/header107.xml" ContentType="application/vnd.openxmlformats-officedocument.wordprocessingml.header+xml"/>
  <Override PartName="/word/footer100.xml" ContentType="application/vnd.openxmlformats-officedocument.wordprocessingml.footer+xml"/>
  <Override PartName="/word/header108.xml" ContentType="application/vnd.openxmlformats-officedocument.wordprocessingml.header+xml"/>
  <Override PartName="/word/footer101.xml" ContentType="application/vnd.openxmlformats-officedocument.wordprocessingml.footer+xml"/>
  <Override PartName="/word/header109.xml" ContentType="application/vnd.openxmlformats-officedocument.wordprocessingml.header+xml"/>
  <Override PartName="/word/footer102.xml" ContentType="application/vnd.openxmlformats-officedocument.wordprocessingml.footer+xml"/>
  <Override PartName="/word/header110.xml" ContentType="application/vnd.openxmlformats-officedocument.wordprocessingml.header+xml"/>
  <Override PartName="/word/footer103.xml" ContentType="application/vnd.openxmlformats-officedocument.wordprocessingml.footer+xml"/>
  <Override PartName="/word/header111.xml" ContentType="application/vnd.openxmlformats-officedocument.wordprocessingml.header+xml"/>
  <Override PartName="/word/footer104.xml" ContentType="application/vnd.openxmlformats-officedocument.wordprocessingml.footer+xml"/>
  <Override PartName="/word/header112.xml" ContentType="application/vnd.openxmlformats-officedocument.wordprocessingml.header+xml"/>
  <Override PartName="/word/footer105.xml" ContentType="application/vnd.openxmlformats-officedocument.wordprocessingml.footer+xml"/>
  <Override PartName="/word/header113.xml" ContentType="application/vnd.openxmlformats-officedocument.wordprocessingml.header+xml"/>
  <Override PartName="/word/footer106.xml" ContentType="application/vnd.openxmlformats-officedocument.wordprocessingml.footer+xml"/>
  <Override PartName="/word/header114.xml" ContentType="application/vnd.openxmlformats-officedocument.wordprocessingml.header+xml"/>
  <Override PartName="/word/footer107.xml" ContentType="application/vnd.openxmlformats-officedocument.wordprocessingml.footer+xml"/>
  <Override PartName="/word/header115.xml" ContentType="application/vnd.openxmlformats-officedocument.wordprocessingml.header+xml"/>
  <Override PartName="/word/footer108.xml" ContentType="application/vnd.openxmlformats-officedocument.wordprocessingml.footer+xml"/>
  <Override PartName="/word/header116.xml" ContentType="application/vnd.openxmlformats-officedocument.wordprocessingml.header+xml"/>
  <Override PartName="/word/footer109.xml" ContentType="application/vnd.openxmlformats-officedocument.wordprocessingml.footer+xml"/>
  <Override PartName="/word/header117.xml" ContentType="application/vnd.openxmlformats-officedocument.wordprocessingml.header+xml"/>
  <Override PartName="/word/footer110.xml" ContentType="application/vnd.openxmlformats-officedocument.wordprocessingml.footer+xml"/>
  <Override PartName="/word/header118.xml" ContentType="application/vnd.openxmlformats-officedocument.wordprocessingml.header+xml"/>
  <Override PartName="/word/footer111.xml" ContentType="application/vnd.openxmlformats-officedocument.wordprocessingml.footer+xml"/>
  <Override PartName="/word/header119.xml" ContentType="application/vnd.openxmlformats-officedocument.wordprocessingml.header+xml"/>
  <Override PartName="/word/footer112.xml" ContentType="application/vnd.openxmlformats-officedocument.wordprocessingml.footer+xml"/>
  <Override PartName="/word/header120.xml" ContentType="application/vnd.openxmlformats-officedocument.wordprocessingml.header+xml"/>
  <Override PartName="/word/footer113.xml" ContentType="application/vnd.openxmlformats-officedocument.wordprocessingml.footer+xml"/>
  <Override PartName="/word/header121.xml" ContentType="application/vnd.openxmlformats-officedocument.wordprocessingml.header+xml"/>
  <Override PartName="/word/footer114.xml" ContentType="application/vnd.openxmlformats-officedocument.wordprocessingml.footer+xml"/>
  <Override PartName="/word/header122.xml" ContentType="application/vnd.openxmlformats-officedocument.wordprocessingml.header+xml"/>
  <Override PartName="/word/footer115.xml" ContentType="application/vnd.openxmlformats-officedocument.wordprocessingml.footer+xml"/>
  <Override PartName="/word/header123.xml" ContentType="application/vnd.openxmlformats-officedocument.wordprocessingml.header+xml"/>
  <Override PartName="/word/footer116.xml" ContentType="application/vnd.openxmlformats-officedocument.wordprocessingml.footer+xml"/>
  <Override PartName="/word/header124.xml" ContentType="application/vnd.openxmlformats-officedocument.wordprocessingml.header+xml"/>
  <Override PartName="/word/footer117.xml" ContentType="application/vnd.openxmlformats-officedocument.wordprocessingml.footer+xml"/>
  <Override PartName="/word/header125.xml" ContentType="application/vnd.openxmlformats-officedocument.wordprocessingml.header+xml"/>
  <Override PartName="/word/footer118.xml" ContentType="application/vnd.openxmlformats-officedocument.wordprocessingml.footer+xml"/>
  <Override PartName="/word/header126.xml" ContentType="application/vnd.openxmlformats-officedocument.wordprocessingml.header+xml"/>
  <Override PartName="/word/footer119.xml" ContentType="application/vnd.openxmlformats-officedocument.wordprocessingml.footer+xml"/>
  <Override PartName="/word/header127.xml" ContentType="application/vnd.openxmlformats-officedocument.wordprocessingml.header+xml"/>
  <Override PartName="/word/footer120.xml" ContentType="application/vnd.openxmlformats-officedocument.wordprocessingml.footer+xml"/>
  <Override PartName="/word/header128.xml" ContentType="application/vnd.openxmlformats-officedocument.wordprocessingml.header+xml"/>
  <Override PartName="/word/footer121.xml" ContentType="application/vnd.openxmlformats-officedocument.wordprocessingml.footer+xml"/>
  <Override PartName="/word/header129.xml" ContentType="application/vnd.openxmlformats-officedocument.wordprocessingml.header+xml"/>
  <Override PartName="/word/footer122.xml" ContentType="application/vnd.openxmlformats-officedocument.wordprocessingml.footer+xml"/>
  <Override PartName="/word/header130.xml" ContentType="application/vnd.openxmlformats-officedocument.wordprocessingml.header+xml"/>
  <Override PartName="/word/footer123.xml" ContentType="application/vnd.openxmlformats-officedocument.wordprocessingml.footer+xml"/>
  <Override PartName="/word/header131.xml" ContentType="application/vnd.openxmlformats-officedocument.wordprocessingml.header+xml"/>
  <Override PartName="/word/footer124.xml" ContentType="application/vnd.openxmlformats-officedocument.wordprocessingml.footer+xml"/>
  <Override PartName="/word/header132.xml" ContentType="application/vnd.openxmlformats-officedocument.wordprocessingml.header+xml"/>
  <Override PartName="/word/footer125.xml" ContentType="application/vnd.openxmlformats-officedocument.wordprocessingml.footer+xml"/>
  <Override PartName="/word/header133.xml" ContentType="application/vnd.openxmlformats-officedocument.wordprocessingml.header+xml"/>
  <Override PartName="/word/footer126.xml" ContentType="application/vnd.openxmlformats-officedocument.wordprocessingml.footer+xml"/>
  <Override PartName="/word/header134.xml" ContentType="application/vnd.openxmlformats-officedocument.wordprocessingml.header+xml"/>
  <Override PartName="/word/footer127.xml" ContentType="application/vnd.openxmlformats-officedocument.wordprocessingml.footer+xml"/>
  <Override PartName="/word/header135.xml" ContentType="application/vnd.openxmlformats-officedocument.wordprocessingml.header+xml"/>
  <Override PartName="/word/footer128.xml" ContentType="application/vnd.openxmlformats-officedocument.wordprocessingml.footer+xml"/>
  <Override PartName="/word/header136.xml" ContentType="application/vnd.openxmlformats-officedocument.wordprocessingml.header+xml"/>
  <Override PartName="/word/footer129.xml" ContentType="application/vnd.openxmlformats-officedocument.wordprocessingml.footer+xml"/>
  <Override PartName="/word/header137.xml" ContentType="application/vnd.openxmlformats-officedocument.wordprocessingml.header+xml"/>
  <Override PartName="/word/footer130.xml" ContentType="application/vnd.openxmlformats-officedocument.wordprocessingml.footer+xml"/>
  <Override PartName="/word/header138.xml" ContentType="application/vnd.openxmlformats-officedocument.wordprocessingml.header+xml"/>
  <Override PartName="/word/footer131.xml" ContentType="application/vnd.openxmlformats-officedocument.wordprocessingml.footer+xml"/>
  <Override PartName="/word/header139.xml" ContentType="application/vnd.openxmlformats-officedocument.wordprocessingml.header+xml"/>
  <Override PartName="/word/footer132.xml" ContentType="application/vnd.openxmlformats-officedocument.wordprocessingml.footer+xml"/>
  <Override PartName="/word/header140.xml" ContentType="application/vnd.openxmlformats-officedocument.wordprocessingml.header+xml"/>
  <Override PartName="/word/footer133.xml" ContentType="application/vnd.openxmlformats-officedocument.wordprocessingml.footer+xml"/>
  <Override PartName="/word/header141.xml" ContentType="application/vnd.openxmlformats-officedocument.wordprocessingml.header+xml"/>
  <Override PartName="/word/footer134.xml" ContentType="application/vnd.openxmlformats-officedocument.wordprocessingml.footer+xml"/>
  <Override PartName="/word/header142.xml" ContentType="application/vnd.openxmlformats-officedocument.wordprocessingml.header+xml"/>
  <Override PartName="/word/footer135.xml" ContentType="application/vnd.openxmlformats-officedocument.wordprocessingml.footer+xml"/>
  <Override PartName="/word/header143.xml" ContentType="application/vnd.openxmlformats-officedocument.wordprocessingml.header+xml"/>
  <Override PartName="/word/footer136.xml" ContentType="application/vnd.openxmlformats-officedocument.wordprocessingml.footer+xml"/>
  <Override PartName="/word/header144.xml" ContentType="application/vnd.openxmlformats-officedocument.wordprocessingml.header+xml"/>
  <Override PartName="/word/footer137.xml" ContentType="application/vnd.openxmlformats-officedocument.wordprocessingml.footer+xml"/>
  <Override PartName="/word/header145.xml" ContentType="application/vnd.openxmlformats-officedocument.wordprocessingml.header+xml"/>
  <Override PartName="/word/footer138.xml" ContentType="application/vnd.openxmlformats-officedocument.wordprocessingml.footer+xml"/>
  <Override PartName="/word/header146.xml" ContentType="application/vnd.openxmlformats-officedocument.wordprocessingml.header+xml"/>
  <Override PartName="/word/footer139.xml" ContentType="application/vnd.openxmlformats-officedocument.wordprocessingml.footer+xml"/>
  <Override PartName="/word/header147.xml" ContentType="application/vnd.openxmlformats-officedocument.wordprocessingml.header+xml"/>
  <Override PartName="/word/footer140.xml" ContentType="application/vnd.openxmlformats-officedocument.wordprocessingml.footer+xml"/>
  <Override PartName="/word/header148.xml" ContentType="application/vnd.openxmlformats-officedocument.wordprocessingml.header+xml"/>
  <Override PartName="/word/footer141.xml" ContentType="application/vnd.openxmlformats-officedocument.wordprocessingml.footer+xml"/>
  <Override PartName="/word/header149.xml" ContentType="application/vnd.openxmlformats-officedocument.wordprocessingml.header+xml"/>
  <Override PartName="/word/footer142.xml" ContentType="application/vnd.openxmlformats-officedocument.wordprocessingml.footer+xml"/>
  <Override PartName="/word/header150.xml" ContentType="application/vnd.openxmlformats-officedocument.wordprocessingml.header+xml"/>
  <Override PartName="/word/footer143.xml" ContentType="application/vnd.openxmlformats-officedocument.wordprocessingml.footer+xml"/>
  <Override PartName="/word/header151.xml" ContentType="application/vnd.openxmlformats-officedocument.wordprocessingml.header+xml"/>
  <Override PartName="/word/footer144.xml" ContentType="application/vnd.openxmlformats-officedocument.wordprocessingml.footer+xml"/>
  <Override PartName="/word/header152.xml" ContentType="application/vnd.openxmlformats-officedocument.wordprocessingml.header+xml"/>
  <Override PartName="/word/footer145.xml" ContentType="application/vnd.openxmlformats-officedocument.wordprocessingml.footer+xml"/>
  <Override PartName="/word/header153.xml" ContentType="application/vnd.openxmlformats-officedocument.wordprocessingml.header+xml"/>
  <Override PartName="/word/footer146.xml" ContentType="application/vnd.openxmlformats-officedocument.wordprocessingml.footer+xml"/>
  <Override PartName="/word/header154.xml" ContentType="application/vnd.openxmlformats-officedocument.wordprocessingml.header+xml"/>
  <Override PartName="/word/footer147.xml" ContentType="application/vnd.openxmlformats-officedocument.wordprocessingml.footer+xml"/>
  <Override PartName="/word/header155.xml" ContentType="application/vnd.openxmlformats-officedocument.wordprocessingml.header+xml"/>
  <Override PartName="/word/footer148.xml" ContentType="application/vnd.openxmlformats-officedocument.wordprocessingml.footer+xml"/>
  <Override PartName="/word/header156.xml" ContentType="application/vnd.openxmlformats-officedocument.wordprocessingml.header+xml"/>
  <Override PartName="/word/footer149.xml" ContentType="application/vnd.openxmlformats-officedocument.wordprocessingml.footer+xml"/>
  <Override PartName="/word/header157.xml" ContentType="application/vnd.openxmlformats-officedocument.wordprocessingml.header+xml"/>
  <Override PartName="/word/footer150.xml" ContentType="application/vnd.openxmlformats-officedocument.wordprocessingml.footer+xml"/>
  <Override PartName="/word/header158.xml" ContentType="application/vnd.openxmlformats-officedocument.wordprocessingml.header+xml"/>
  <Override PartName="/word/footer151.xml" ContentType="application/vnd.openxmlformats-officedocument.wordprocessingml.footer+xml"/>
  <Override PartName="/word/header159.xml" ContentType="application/vnd.openxmlformats-officedocument.wordprocessingml.header+xml"/>
  <Override PartName="/word/footer152.xml" ContentType="application/vnd.openxmlformats-officedocument.wordprocessingml.footer+xml"/>
  <Override PartName="/word/header160.xml" ContentType="application/vnd.openxmlformats-officedocument.wordprocessingml.header+xml"/>
  <Override PartName="/word/footer153.xml" ContentType="application/vnd.openxmlformats-officedocument.wordprocessingml.footer+xml"/>
  <Override PartName="/word/header161.xml" ContentType="application/vnd.openxmlformats-officedocument.wordprocessingml.header+xml"/>
  <Override PartName="/word/footer154.xml" ContentType="application/vnd.openxmlformats-officedocument.wordprocessingml.footer+xml"/>
  <Override PartName="/word/header162.xml" ContentType="application/vnd.openxmlformats-officedocument.wordprocessingml.header+xml"/>
  <Override PartName="/word/footer155.xml" ContentType="application/vnd.openxmlformats-officedocument.wordprocessingml.footer+xml"/>
  <Override PartName="/word/header163.xml" ContentType="application/vnd.openxmlformats-officedocument.wordprocessingml.header+xml"/>
  <Override PartName="/word/footer156.xml" ContentType="application/vnd.openxmlformats-officedocument.wordprocessingml.footer+xml"/>
  <Override PartName="/word/header164.xml" ContentType="application/vnd.openxmlformats-officedocument.wordprocessingml.header+xml"/>
  <Override PartName="/word/footer157.xml" ContentType="application/vnd.openxmlformats-officedocument.wordprocessingml.footer+xml"/>
  <Override PartName="/word/header165.xml" ContentType="application/vnd.openxmlformats-officedocument.wordprocessingml.header+xml"/>
  <Override PartName="/word/footer158.xml" ContentType="application/vnd.openxmlformats-officedocument.wordprocessingml.footer+xml"/>
  <Override PartName="/word/header166.xml" ContentType="application/vnd.openxmlformats-officedocument.wordprocessingml.header+xml"/>
  <Override PartName="/word/footer159.xml" ContentType="application/vnd.openxmlformats-officedocument.wordprocessingml.footer+xml"/>
  <Override PartName="/word/header167.xml" ContentType="application/vnd.openxmlformats-officedocument.wordprocessingml.header+xml"/>
  <Override PartName="/word/footer160.xml" ContentType="application/vnd.openxmlformats-officedocument.wordprocessingml.footer+xml"/>
  <Override PartName="/word/header168.xml" ContentType="application/vnd.openxmlformats-officedocument.wordprocessingml.header+xml"/>
  <Override PartName="/word/footer161.xml" ContentType="application/vnd.openxmlformats-officedocument.wordprocessingml.footer+xml"/>
  <Override PartName="/word/header169.xml" ContentType="application/vnd.openxmlformats-officedocument.wordprocessingml.header+xml"/>
  <Override PartName="/word/footer162.xml" ContentType="application/vnd.openxmlformats-officedocument.wordprocessingml.footer+xml"/>
  <Override PartName="/word/header170.xml" ContentType="application/vnd.openxmlformats-officedocument.wordprocessingml.header+xml"/>
  <Override PartName="/word/footer163.xml" ContentType="application/vnd.openxmlformats-officedocument.wordprocessingml.footer+xml"/>
  <Override PartName="/word/header171.xml" ContentType="application/vnd.openxmlformats-officedocument.wordprocessingml.header+xml"/>
  <Override PartName="/word/footer164.xml" ContentType="application/vnd.openxmlformats-officedocument.wordprocessingml.footer+xml"/>
  <Override PartName="/word/header172.xml" ContentType="application/vnd.openxmlformats-officedocument.wordprocessingml.header+xml"/>
  <Override PartName="/word/footer165.xml" ContentType="application/vnd.openxmlformats-officedocument.wordprocessingml.footer+xml"/>
  <Override PartName="/word/header173.xml" ContentType="application/vnd.openxmlformats-officedocument.wordprocessingml.header+xml"/>
  <Override PartName="/word/footer166.xml" ContentType="application/vnd.openxmlformats-officedocument.wordprocessingml.footer+xml"/>
  <Override PartName="/word/header174.xml" ContentType="application/vnd.openxmlformats-officedocument.wordprocessingml.header+xml"/>
  <Override PartName="/word/footer167.xml" ContentType="application/vnd.openxmlformats-officedocument.wordprocessingml.footer+xml"/>
  <Override PartName="/word/header175.xml" ContentType="application/vnd.openxmlformats-officedocument.wordprocessingml.header+xml"/>
  <Override PartName="/word/footer168.xml" ContentType="application/vnd.openxmlformats-officedocument.wordprocessingml.footer+xml"/>
  <Override PartName="/word/header176.xml" ContentType="application/vnd.openxmlformats-officedocument.wordprocessingml.header+xml"/>
  <Override PartName="/word/footer169.xml" ContentType="application/vnd.openxmlformats-officedocument.wordprocessingml.footer+xml"/>
  <Override PartName="/word/header177.xml" ContentType="application/vnd.openxmlformats-officedocument.wordprocessingml.header+xml"/>
  <Override PartName="/word/footer170.xml" ContentType="application/vnd.openxmlformats-officedocument.wordprocessingml.footer+xml"/>
  <Override PartName="/word/header178.xml" ContentType="application/vnd.openxmlformats-officedocument.wordprocessingml.header+xml"/>
  <Override PartName="/word/footer171.xml" ContentType="application/vnd.openxmlformats-officedocument.wordprocessingml.footer+xml"/>
  <Override PartName="/word/header179.xml" ContentType="application/vnd.openxmlformats-officedocument.wordprocessingml.header+xml"/>
  <Override PartName="/word/footer172.xml" ContentType="application/vnd.openxmlformats-officedocument.wordprocessingml.footer+xml"/>
  <Override PartName="/word/header180.xml" ContentType="application/vnd.openxmlformats-officedocument.wordprocessingml.header+xml"/>
  <Override PartName="/word/footer173.xml" ContentType="application/vnd.openxmlformats-officedocument.wordprocessingml.footer+xml"/>
  <Override PartName="/word/header181.xml" ContentType="application/vnd.openxmlformats-officedocument.wordprocessingml.header+xml"/>
  <Override PartName="/word/footer174.xml" ContentType="application/vnd.openxmlformats-officedocument.wordprocessingml.footer+xml"/>
  <Override PartName="/word/header182.xml" ContentType="application/vnd.openxmlformats-officedocument.wordprocessingml.header+xml"/>
  <Override PartName="/word/footer175.xml" ContentType="application/vnd.openxmlformats-officedocument.wordprocessingml.footer+xml"/>
  <Override PartName="/word/header183.xml" ContentType="application/vnd.openxmlformats-officedocument.wordprocessingml.header+xml"/>
  <Override PartName="/word/footer176.xml" ContentType="application/vnd.openxmlformats-officedocument.wordprocessingml.footer+xml"/>
  <Override PartName="/word/header184.xml" ContentType="application/vnd.openxmlformats-officedocument.wordprocessingml.header+xml"/>
  <Override PartName="/word/footer177.xml" ContentType="application/vnd.openxmlformats-officedocument.wordprocessingml.footer+xml"/>
  <Override PartName="/word/header185.xml" ContentType="application/vnd.openxmlformats-officedocument.wordprocessingml.header+xml"/>
  <Override PartName="/word/footer178.xml" ContentType="application/vnd.openxmlformats-officedocument.wordprocessingml.footer+xml"/>
  <Override PartName="/word/header186.xml" ContentType="application/vnd.openxmlformats-officedocument.wordprocessingml.header+xml"/>
  <Override PartName="/word/footer179.xml" ContentType="application/vnd.openxmlformats-officedocument.wordprocessingml.footer+xml"/>
  <Override PartName="/word/header187.xml" ContentType="application/vnd.openxmlformats-officedocument.wordprocessingml.header+xml"/>
  <Override PartName="/word/footer180.xml" ContentType="application/vnd.openxmlformats-officedocument.wordprocessingml.footer+xml"/>
  <Override PartName="/word/header188.xml" ContentType="application/vnd.openxmlformats-officedocument.wordprocessingml.header+xml"/>
  <Override PartName="/word/footer181.xml" ContentType="application/vnd.openxmlformats-officedocument.wordprocessingml.footer+xml"/>
  <Override PartName="/word/header189.xml" ContentType="application/vnd.openxmlformats-officedocument.wordprocessingml.header+xml"/>
  <Override PartName="/word/footer182.xml" ContentType="application/vnd.openxmlformats-officedocument.wordprocessingml.footer+xml"/>
  <Override PartName="/word/header190.xml" ContentType="application/vnd.openxmlformats-officedocument.wordprocessingml.header+xml"/>
  <Override PartName="/word/footer183.xml" ContentType="application/vnd.openxmlformats-officedocument.wordprocessingml.footer+xml"/>
  <Override PartName="/word/header191.xml" ContentType="application/vnd.openxmlformats-officedocument.wordprocessingml.header+xml"/>
  <Override PartName="/word/footer184.xml" ContentType="application/vnd.openxmlformats-officedocument.wordprocessingml.footer+xml"/>
  <Override PartName="/word/header192.xml" ContentType="application/vnd.openxmlformats-officedocument.wordprocessingml.header+xml"/>
  <Override PartName="/word/footer185.xml" ContentType="application/vnd.openxmlformats-officedocument.wordprocessingml.footer+xml"/>
  <Override PartName="/word/header193.xml" ContentType="application/vnd.openxmlformats-officedocument.wordprocessingml.header+xml"/>
  <Override PartName="/word/footer186.xml" ContentType="application/vnd.openxmlformats-officedocument.wordprocessingml.footer+xml"/>
  <Override PartName="/word/header194.xml" ContentType="application/vnd.openxmlformats-officedocument.wordprocessingml.header+xml"/>
  <Override PartName="/word/footer187.xml" ContentType="application/vnd.openxmlformats-officedocument.wordprocessingml.footer+xml"/>
  <Override PartName="/word/header195.xml" ContentType="application/vnd.openxmlformats-officedocument.wordprocessingml.header+xml"/>
  <Override PartName="/word/footer188.xml" ContentType="application/vnd.openxmlformats-officedocument.wordprocessingml.footer+xml"/>
  <Override PartName="/word/header196.xml" ContentType="application/vnd.openxmlformats-officedocument.wordprocessingml.header+xml"/>
  <Override PartName="/word/footer189.xml" ContentType="application/vnd.openxmlformats-officedocument.wordprocessingml.footer+xml"/>
  <Override PartName="/word/header197.xml" ContentType="application/vnd.openxmlformats-officedocument.wordprocessingml.header+xml"/>
  <Override PartName="/word/footer190.xml" ContentType="application/vnd.openxmlformats-officedocument.wordprocessingml.footer+xml"/>
  <Override PartName="/word/header198.xml" ContentType="application/vnd.openxmlformats-officedocument.wordprocessingml.header+xml"/>
  <Override PartName="/word/footer191.xml" ContentType="application/vnd.openxmlformats-officedocument.wordprocessingml.footer+xml"/>
  <Override PartName="/word/header199.xml" ContentType="application/vnd.openxmlformats-officedocument.wordprocessingml.header+xml"/>
  <Override PartName="/word/footer192.xml" ContentType="application/vnd.openxmlformats-officedocument.wordprocessingml.footer+xml"/>
  <Override PartName="/word/header200.xml" ContentType="application/vnd.openxmlformats-officedocument.wordprocessingml.header+xml"/>
  <Override PartName="/word/footer193.xml" ContentType="application/vnd.openxmlformats-officedocument.wordprocessingml.footer+xml"/>
  <Override PartName="/word/header201.xml" ContentType="application/vnd.openxmlformats-officedocument.wordprocessingml.header+xml"/>
  <Override PartName="/word/footer194.xml" ContentType="application/vnd.openxmlformats-officedocument.wordprocessingml.footer+xml"/>
  <Override PartName="/word/header202.xml" ContentType="application/vnd.openxmlformats-officedocument.wordprocessingml.header+xml"/>
  <Override PartName="/word/footer195.xml" ContentType="application/vnd.openxmlformats-officedocument.wordprocessingml.footer+xml"/>
  <Override PartName="/word/header203.xml" ContentType="application/vnd.openxmlformats-officedocument.wordprocessingml.header+xml"/>
  <Override PartName="/word/footer196.xml" ContentType="application/vnd.openxmlformats-officedocument.wordprocessingml.footer+xml"/>
  <Override PartName="/word/header204.xml" ContentType="application/vnd.openxmlformats-officedocument.wordprocessingml.header+xml"/>
  <Override PartName="/word/footer197.xml" ContentType="application/vnd.openxmlformats-officedocument.wordprocessingml.footer+xml"/>
  <Override PartName="/word/header205.xml" ContentType="application/vnd.openxmlformats-officedocument.wordprocessingml.header+xml"/>
  <Override PartName="/word/footer198.xml" ContentType="application/vnd.openxmlformats-officedocument.wordprocessingml.footer+xml"/>
  <Override PartName="/word/header206.xml" ContentType="application/vnd.openxmlformats-officedocument.wordprocessingml.header+xml"/>
  <Override PartName="/word/footer199.xml" ContentType="application/vnd.openxmlformats-officedocument.wordprocessingml.footer+xml"/>
  <Override PartName="/word/header207.xml" ContentType="application/vnd.openxmlformats-officedocument.wordprocessingml.header+xml"/>
  <Override PartName="/word/footer200.xml" ContentType="application/vnd.openxmlformats-officedocument.wordprocessingml.footer+xml"/>
  <Override PartName="/word/header208.xml" ContentType="application/vnd.openxmlformats-officedocument.wordprocessingml.header+xml"/>
  <Override PartName="/word/footer201.xml" ContentType="application/vnd.openxmlformats-officedocument.wordprocessingml.footer+xml"/>
  <Override PartName="/word/header209.xml" ContentType="application/vnd.openxmlformats-officedocument.wordprocessingml.header+xml"/>
  <Override PartName="/word/footer202.xml" ContentType="application/vnd.openxmlformats-officedocument.wordprocessingml.footer+xml"/>
  <Override PartName="/word/header210.xml" ContentType="application/vnd.openxmlformats-officedocument.wordprocessingml.header+xml"/>
  <Override PartName="/word/footer203.xml" ContentType="application/vnd.openxmlformats-officedocument.wordprocessingml.footer+xml"/>
  <Override PartName="/word/header211.xml" ContentType="application/vnd.openxmlformats-officedocument.wordprocessingml.header+xml"/>
  <Override PartName="/word/footer204.xml" ContentType="application/vnd.openxmlformats-officedocument.wordprocessingml.footer+xml"/>
  <Override PartName="/word/header212.xml" ContentType="application/vnd.openxmlformats-officedocument.wordprocessingml.header+xml"/>
  <Override PartName="/word/footer205.xml" ContentType="application/vnd.openxmlformats-officedocument.wordprocessingml.footer+xml"/>
  <Override PartName="/word/header213.xml" ContentType="application/vnd.openxmlformats-officedocument.wordprocessingml.header+xml"/>
  <Override PartName="/word/footer206.xml" ContentType="application/vnd.openxmlformats-officedocument.wordprocessingml.footer+xml"/>
  <Override PartName="/word/header214.xml" ContentType="application/vnd.openxmlformats-officedocument.wordprocessingml.header+xml"/>
  <Override PartName="/word/footer207.xml" ContentType="application/vnd.openxmlformats-officedocument.wordprocessingml.footer+xml"/>
  <Override PartName="/word/header215.xml" ContentType="application/vnd.openxmlformats-officedocument.wordprocessingml.header+xml"/>
  <Override PartName="/word/footer208.xml" ContentType="application/vnd.openxmlformats-officedocument.wordprocessingml.footer+xml"/>
  <Override PartName="/word/header216.xml" ContentType="application/vnd.openxmlformats-officedocument.wordprocessingml.header+xml"/>
  <Override PartName="/word/footer209.xml" ContentType="application/vnd.openxmlformats-officedocument.wordprocessingml.footer+xml"/>
  <Override PartName="/word/header217.xml" ContentType="application/vnd.openxmlformats-officedocument.wordprocessingml.header+xml"/>
  <Override PartName="/word/footer210.xml" ContentType="application/vnd.openxmlformats-officedocument.wordprocessingml.footer+xml"/>
  <Override PartName="/word/header218.xml" ContentType="application/vnd.openxmlformats-officedocument.wordprocessingml.header+xml"/>
  <Override PartName="/word/footer211.xml" ContentType="application/vnd.openxmlformats-officedocument.wordprocessingml.footer+xml"/>
  <Override PartName="/word/header219.xml" ContentType="application/vnd.openxmlformats-officedocument.wordprocessingml.header+xml"/>
  <Override PartName="/word/footer212.xml" ContentType="application/vnd.openxmlformats-officedocument.wordprocessingml.footer+xml"/>
  <Override PartName="/word/header220.xml" ContentType="application/vnd.openxmlformats-officedocument.wordprocessingml.header+xml"/>
  <Override PartName="/word/footer213.xml" ContentType="application/vnd.openxmlformats-officedocument.wordprocessingml.footer+xml"/>
  <Override PartName="/word/header221.xml" ContentType="application/vnd.openxmlformats-officedocument.wordprocessingml.header+xml"/>
  <Override PartName="/word/footer214.xml" ContentType="application/vnd.openxmlformats-officedocument.wordprocessingml.footer+xml"/>
  <Override PartName="/word/header222.xml" ContentType="application/vnd.openxmlformats-officedocument.wordprocessingml.header+xml"/>
  <Override PartName="/word/footer215.xml" ContentType="application/vnd.openxmlformats-officedocument.wordprocessingml.footer+xml"/>
  <Override PartName="/word/header223.xml" ContentType="application/vnd.openxmlformats-officedocument.wordprocessingml.header+xml"/>
  <Override PartName="/word/footer216.xml" ContentType="application/vnd.openxmlformats-officedocument.wordprocessingml.footer+xml"/>
  <Override PartName="/word/header224.xml" ContentType="application/vnd.openxmlformats-officedocument.wordprocessingml.header+xml"/>
  <Override PartName="/word/footer217.xml" ContentType="application/vnd.openxmlformats-officedocument.wordprocessingml.footer+xml"/>
  <Override PartName="/word/header225.xml" ContentType="application/vnd.openxmlformats-officedocument.wordprocessingml.header+xml"/>
  <Override PartName="/word/footer218.xml" ContentType="application/vnd.openxmlformats-officedocument.wordprocessingml.footer+xml"/>
  <Override PartName="/word/header226.xml" ContentType="application/vnd.openxmlformats-officedocument.wordprocessingml.header+xml"/>
  <Override PartName="/word/footer219.xml" ContentType="application/vnd.openxmlformats-officedocument.wordprocessingml.footer+xml"/>
  <Override PartName="/word/header227.xml" ContentType="application/vnd.openxmlformats-officedocument.wordprocessingml.header+xml"/>
  <Override PartName="/word/footer220.xml" ContentType="application/vnd.openxmlformats-officedocument.wordprocessingml.footer+xml"/>
  <Override PartName="/word/header228.xml" ContentType="application/vnd.openxmlformats-officedocument.wordprocessingml.header+xml"/>
  <Override PartName="/word/footer221.xml" ContentType="application/vnd.openxmlformats-officedocument.wordprocessingml.footer+xml"/>
  <Override PartName="/word/header229.xml" ContentType="application/vnd.openxmlformats-officedocument.wordprocessingml.header+xml"/>
  <Override PartName="/word/footer222.xml" ContentType="application/vnd.openxmlformats-officedocument.wordprocessingml.footer+xml"/>
  <Override PartName="/word/header230.xml" ContentType="application/vnd.openxmlformats-officedocument.wordprocessingml.header+xml"/>
  <Override PartName="/word/footer223.xml" ContentType="application/vnd.openxmlformats-officedocument.wordprocessingml.footer+xml"/>
  <Override PartName="/word/header231.xml" ContentType="application/vnd.openxmlformats-officedocument.wordprocessingml.header+xml"/>
  <Override PartName="/word/footer224.xml" ContentType="application/vnd.openxmlformats-officedocument.wordprocessingml.footer+xml"/>
  <Override PartName="/word/header232.xml" ContentType="application/vnd.openxmlformats-officedocument.wordprocessingml.header+xml"/>
  <Override PartName="/word/footer225.xml" ContentType="application/vnd.openxmlformats-officedocument.wordprocessingml.footer+xml"/>
  <Override PartName="/word/header233.xml" ContentType="application/vnd.openxmlformats-officedocument.wordprocessingml.header+xml"/>
  <Override PartName="/word/footer226.xml" ContentType="application/vnd.openxmlformats-officedocument.wordprocessingml.footer+xml"/>
  <Override PartName="/word/header234.xml" ContentType="application/vnd.openxmlformats-officedocument.wordprocessingml.header+xml"/>
  <Override PartName="/word/footer227.xml" ContentType="application/vnd.openxmlformats-officedocument.wordprocessingml.footer+xml"/>
  <Override PartName="/word/header235.xml" ContentType="application/vnd.openxmlformats-officedocument.wordprocessingml.header+xml"/>
  <Override PartName="/word/footer228.xml" ContentType="application/vnd.openxmlformats-officedocument.wordprocessingml.footer+xml"/>
  <Override PartName="/word/header236.xml" ContentType="application/vnd.openxmlformats-officedocument.wordprocessingml.header+xml"/>
  <Override PartName="/word/footer229.xml" ContentType="application/vnd.openxmlformats-officedocument.wordprocessingml.footer+xml"/>
  <Override PartName="/word/header237.xml" ContentType="application/vnd.openxmlformats-officedocument.wordprocessingml.header+xml"/>
  <Override PartName="/word/footer230.xml" ContentType="application/vnd.openxmlformats-officedocument.wordprocessingml.footer+xml"/>
  <Override PartName="/word/header238.xml" ContentType="application/vnd.openxmlformats-officedocument.wordprocessingml.header+xml"/>
  <Override PartName="/word/footer231.xml" ContentType="application/vnd.openxmlformats-officedocument.wordprocessingml.footer+xml"/>
  <Override PartName="/word/header239.xml" ContentType="application/vnd.openxmlformats-officedocument.wordprocessingml.header+xml"/>
  <Override PartName="/word/footer232.xml" ContentType="application/vnd.openxmlformats-officedocument.wordprocessingml.footer+xml"/>
  <Override PartName="/word/header240.xml" ContentType="application/vnd.openxmlformats-officedocument.wordprocessingml.header+xml"/>
  <Override PartName="/word/footer233.xml" ContentType="application/vnd.openxmlformats-officedocument.wordprocessingml.footer+xml"/>
  <Override PartName="/word/header241.xml" ContentType="application/vnd.openxmlformats-officedocument.wordprocessingml.header+xml"/>
  <Override PartName="/word/footer234.xml" ContentType="application/vnd.openxmlformats-officedocument.wordprocessingml.footer+xml"/>
  <Override PartName="/word/header242.xml" ContentType="application/vnd.openxmlformats-officedocument.wordprocessingml.header+xml"/>
  <Override PartName="/word/footer235.xml" ContentType="application/vnd.openxmlformats-officedocument.wordprocessingml.footer+xml"/>
  <Override PartName="/word/header243.xml" ContentType="application/vnd.openxmlformats-officedocument.wordprocessingml.header+xml"/>
  <Override PartName="/word/footer236.xml" ContentType="application/vnd.openxmlformats-officedocument.wordprocessingml.footer+xml"/>
  <Override PartName="/word/header244.xml" ContentType="application/vnd.openxmlformats-officedocument.wordprocessingml.header+xml"/>
  <Override PartName="/word/footer237.xml" ContentType="application/vnd.openxmlformats-officedocument.wordprocessingml.footer+xml"/>
  <Override PartName="/word/header245.xml" ContentType="application/vnd.openxmlformats-officedocument.wordprocessingml.header+xml"/>
  <Override PartName="/word/footer238.xml" ContentType="application/vnd.openxmlformats-officedocument.wordprocessingml.footer+xml"/>
  <Override PartName="/word/header246.xml" ContentType="application/vnd.openxmlformats-officedocument.wordprocessingml.header+xml"/>
  <Override PartName="/word/footer239.xml" ContentType="application/vnd.openxmlformats-officedocument.wordprocessingml.footer+xml"/>
  <Override PartName="/word/header247.xml" ContentType="application/vnd.openxmlformats-officedocument.wordprocessingml.header+xml"/>
  <Override PartName="/word/footer240.xml" ContentType="application/vnd.openxmlformats-officedocument.wordprocessingml.footer+xml"/>
  <Override PartName="/word/header248.xml" ContentType="application/vnd.openxmlformats-officedocument.wordprocessingml.header+xml"/>
  <Override PartName="/word/footer241.xml" ContentType="application/vnd.openxmlformats-officedocument.wordprocessingml.footer+xml"/>
  <Override PartName="/word/header249.xml" ContentType="application/vnd.openxmlformats-officedocument.wordprocessingml.header+xml"/>
  <Override PartName="/word/footer242.xml" ContentType="application/vnd.openxmlformats-officedocument.wordprocessingml.footer+xml"/>
  <Override PartName="/word/header250.xml" ContentType="application/vnd.openxmlformats-officedocument.wordprocessingml.header+xml"/>
  <Override PartName="/word/footer243.xml" ContentType="application/vnd.openxmlformats-officedocument.wordprocessingml.footer+xml"/>
  <Override PartName="/word/header251.xml" ContentType="application/vnd.openxmlformats-officedocument.wordprocessingml.header+xml"/>
  <Override PartName="/word/footer244.xml" ContentType="application/vnd.openxmlformats-officedocument.wordprocessingml.footer+xml"/>
  <Override PartName="/word/header252.xml" ContentType="application/vnd.openxmlformats-officedocument.wordprocessingml.header+xml"/>
  <Override PartName="/word/footer245.xml" ContentType="application/vnd.openxmlformats-officedocument.wordprocessingml.footer+xml"/>
  <Override PartName="/word/header253.xml" ContentType="application/vnd.openxmlformats-officedocument.wordprocessingml.header+xml"/>
  <Override PartName="/word/footer246.xml" ContentType="application/vnd.openxmlformats-officedocument.wordprocessingml.footer+xml"/>
  <Override PartName="/word/header254.xml" ContentType="application/vnd.openxmlformats-officedocument.wordprocessingml.header+xml"/>
  <Override PartName="/word/footer247.xml" ContentType="application/vnd.openxmlformats-officedocument.wordprocessingml.footer+xml"/>
  <Override PartName="/word/header255.xml" ContentType="application/vnd.openxmlformats-officedocument.wordprocessingml.header+xml"/>
  <Override PartName="/word/footer248.xml" ContentType="application/vnd.openxmlformats-officedocument.wordprocessingml.footer+xml"/>
  <Override PartName="/word/header256.xml" ContentType="application/vnd.openxmlformats-officedocument.wordprocessingml.header+xml"/>
  <Override PartName="/word/footer249.xml" ContentType="application/vnd.openxmlformats-officedocument.wordprocessingml.footer+xml"/>
  <Override PartName="/word/header257.xml" ContentType="application/vnd.openxmlformats-officedocument.wordprocessingml.header+xml"/>
  <Override PartName="/word/footer250.xml" ContentType="application/vnd.openxmlformats-officedocument.wordprocessingml.footer+xml"/>
  <Override PartName="/word/header258.xml" ContentType="application/vnd.openxmlformats-officedocument.wordprocessingml.header+xml"/>
  <Override PartName="/word/footer251.xml" ContentType="application/vnd.openxmlformats-officedocument.wordprocessingml.footer+xml"/>
  <Override PartName="/word/header259.xml" ContentType="application/vnd.openxmlformats-officedocument.wordprocessingml.header+xml"/>
  <Override PartName="/word/footer252.xml" ContentType="application/vnd.openxmlformats-officedocument.wordprocessingml.footer+xml"/>
  <Override PartName="/word/header260.xml" ContentType="application/vnd.openxmlformats-officedocument.wordprocessingml.header+xml"/>
  <Override PartName="/word/footer253.xml" ContentType="application/vnd.openxmlformats-officedocument.wordprocessingml.footer+xml"/>
  <Override PartName="/word/header261.xml" ContentType="application/vnd.openxmlformats-officedocument.wordprocessingml.header+xml"/>
  <Override PartName="/word/footer254.xml" ContentType="application/vnd.openxmlformats-officedocument.wordprocessingml.footer+xml"/>
  <Override PartName="/word/header262.xml" ContentType="application/vnd.openxmlformats-officedocument.wordprocessingml.header+xml"/>
  <Override PartName="/word/footer255.xml" ContentType="application/vnd.openxmlformats-officedocument.wordprocessingml.footer+xml"/>
  <Override PartName="/word/header263.xml" ContentType="application/vnd.openxmlformats-officedocument.wordprocessingml.header+xml"/>
  <Override PartName="/word/footer256.xml" ContentType="application/vnd.openxmlformats-officedocument.wordprocessingml.footer+xml"/>
  <Override PartName="/word/header264.xml" ContentType="application/vnd.openxmlformats-officedocument.wordprocessingml.header+xml"/>
  <Override PartName="/word/footer257.xml" ContentType="application/vnd.openxmlformats-officedocument.wordprocessingml.footer+xml"/>
  <Override PartName="/word/header265.xml" ContentType="application/vnd.openxmlformats-officedocument.wordprocessingml.header+xml"/>
  <Override PartName="/word/footer258.xml" ContentType="application/vnd.openxmlformats-officedocument.wordprocessingml.footer+xml"/>
  <Override PartName="/word/header266.xml" ContentType="application/vnd.openxmlformats-officedocument.wordprocessingml.header+xml"/>
  <Override PartName="/word/footer259.xml" ContentType="application/vnd.openxmlformats-officedocument.wordprocessingml.footer+xml"/>
  <Override PartName="/word/header267.xml" ContentType="application/vnd.openxmlformats-officedocument.wordprocessingml.header+xml"/>
  <Override PartName="/word/footer260.xml" ContentType="application/vnd.openxmlformats-officedocument.wordprocessingml.footer+xml"/>
  <Override PartName="/word/header268.xml" ContentType="application/vnd.openxmlformats-officedocument.wordprocessingml.header+xml"/>
  <Override PartName="/word/footer261.xml" ContentType="application/vnd.openxmlformats-officedocument.wordprocessingml.footer+xml"/>
  <Override PartName="/word/header269.xml" ContentType="application/vnd.openxmlformats-officedocument.wordprocessingml.header+xml"/>
  <Override PartName="/word/footer262.xml" ContentType="application/vnd.openxmlformats-officedocument.wordprocessingml.footer+xml"/>
  <Override PartName="/word/header270.xml" ContentType="application/vnd.openxmlformats-officedocument.wordprocessingml.header+xml"/>
  <Override PartName="/word/footer263.xml" ContentType="application/vnd.openxmlformats-officedocument.wordprocessingml.footer+xml"/>
  <Override PartName="/word/header271.xml" ContentType="application/vnd.openxmlformats-officedocument.wordprocessingml.header+xml"/>
  <Override PartName="/word/footer264.xml" ContentType="application/vnd.openxmlformats-officedocument.wordprocessingml.footer+xml"/>
  <Override PartName="/word/header272.xml" ContentType="application/vnd.openxmlformats-officedocument.wordprocessingml.header+xml"/>
  <Override PartName="/word/footer265.xml" ContentType="application/vnd.openxmlformats-officedocument.wordprocessingml.footer+xml"/>
  <Override PartName="/word/header273.xml" ContentType="application/vnd.openxmlformats-officedocument.wordprocessingml.header+xml"/>
  <Override PartName="/word/footer266.xml" ContentType="application/vnd.openxmlformats-officedocument.wordprocessingml.footer+xml"/>
  <Override PartName="/word/header274.xml" ContentType="application/vnd.openxmlformats-officedocument.wordprocessingml.header+xml"/>
  <Override PartName="/word/footer267.xml" ContentType="application/vnd.openxmlformats-officedocument.wordprocessingml.footer+xml"/>
  <Override PartName="/word/header275.xml" ContentType="application/vnd.openxmlformats-officedocument.wordprocessingml.header+xml"/>
  <Override PartName="/word/footer268.xml" ContentType="application/vnd.openxmlformats-officedocument.wordprocessingml.footer+xml"/>
  <Override PartName="/word/header276.xml" ContentType="application/vnd.openxmlformats-officedocument.wordprocessingml.header+xml"/>
  <Override PartName="/word/footer269.xml" ContentType="application/vnd.openxmlformats-officedocument.wordprocessingml.footer+xml"/>
  <Override PartName="/word/header277.xml" ContentType="application/vnd.openxmlformats-officedocument.wordprocessingml.header+xml"/>
  <Override PartName="/word/footer270.xml" ContentType="application/vnd.openxmlformats-officedocument.wordprocessingml.footer+xml"/>
  <Override PartName="/word/header278.xml" ContentType="application/vnd.openxmlformats-officedocument.wordprocessingml.header+xml"/>
  <Override PartName="/word/footer271.xml" ContentType="application/vnd.openxmlformats-officedocument.wordprocessingml.footer+xml"/>
  <Override PartName="/word/header279.xml" ContentType="application/vnd.openxmlformats-officedocument.wordprocessingml.header+xml"/>
  <Override PartName="/word/footer272.xml" ContentType="application/vnd.openxmlformats-officedocument.wordprocessingml.footer+xml"/>
  <Override PartName="/word/header280.xml" ContentType="application/vnd.openxmlformats-officedocument.wordprocessingml.header+xml"/>
  <Override PartName="/word/footer273.xml" ContentType="application/vnd.openxmlformats-officedocument.wordprocessingml.footer+xml"/>
  <Override PartName="/word/header281.xml" ContentType="application/vnd.openxmlformats-officedocument.wordprocessingml.header+xml"/>
  <Override PartName="/word/footer274.xml" ContentType="application/vnd.openxmlformats-officedocument.wordprocessingml.footer+xml"/>
  <Override PartName="/word/header282.xml" ContentType="application/vnd.openxmlformats-officedocument.wordprocessingml.header+xml"/>
  <Override PartName="/word/footer275.xml" ContentType="application/vnd.openxmlformats-officedocument.wordprocessingml.footer+xml"/>
  <Override PartName="/word/header283.xml" ContentType="application/vnd.openxmlformats-officedocument.wordprocessingml.header+xml"/>
  <Override PartName="/word/footer276.xml" ContentType="application/vnd.openxmlformats-officedocument.wordprocessingml.footer+xml"/>
  <Override PartName="/word/header284.xml" ContentType="application/vnd.openxmlformats-officedocument.wordprocessingml.header+xml"/>
  <Override PartName="/word/footer277.xml" ContentType="application/vnd.openxmlformats-officedocument.wordprocessingml.footer+xml"/>
  <Override PartName="/word/header285.xml" ContentType="application/vnd.openxmlformats-officedocument.wordprocessingml.header+xml"/>
  <Override PartName="/word/footer278.xml" ContentType="application/vnd.openxmlformats-officedocument.wordprocessingml.footer+xml"/>
  <Override PartName="/word/header286.xml" ContentType="application/vnd.openxmlformats-officedocument.wordprocessingml.header+xml"/>
  <Override PartName="/word/footer279.xml" ContentType="application/vnd.openxmlformats-officedocument.wordprocessingml.footer+xml"/>
  <Override PartName="/word/header287.xml" ContentType="application/vnd.openxmlformats-officedocument.wordprocessingml.header+xml"/>
  <Override PartName="/word/footer280.xml" ContentType="application/vnd.openxmlformats-officedocument.wordprocessingml.footer+xml"/>
  <Override PartName="/word/header288.xml" ContentType="application/vnd.openxmlformats-officedocument.wordprocessingml.header+xml"/>
  <Override PartName="/word/footer281.xml" ContentType="application/vnd.openxmlformats-officedocument.wordprocessingml.footer+xml"/>
  <Override PartName="/word/header289.xml" ContentType="application/vnd.openxmlformats-officedocument.wordprocessingml.header+xml"/>
  <Override PartName="/word/footer282.xml" ContentType="application/vnd.openxmlformats-officedocument.wordprocessingml.footer+xml"/>
  <Override PartName="/word/header290.xml" ContentType="application/vnd.openxmlformats-officedocument.wordprocessingml.header+xml"/>
  <Override PartName="/word/footer283.xml" ContentType="application/vnd.openxmlformats-officedocument.wordprocessingml.footer+xml"/>
  <Override PartName="/word/header291.xml" ContentType="application/vnd.openxmlformats-officedocument.wordprocessingml.header+xml"/>
  <Override PartName="/word/footer284.xml" ContentType="application/vnd.openxmlformats-officedocument.wordprocessingml.footer+xml"/>
  <Override PartName="/word/header292.xml" ContentType="application/vnd.openxmlformats-officedocument.wordprocessingml.header+xml"/>
  <Override PartName="/word/footer285.xml" ContentType="application/vnd.openxmlformats-officedocument.wordprocessingml.footer+xml"/>
  <Override PartName="/word/header293.xml" ContentType="application/vnd.openxmlformats-officedocument.wordprocessingml.header+xml"/>
  <Override PartName="/word/footer286.xml" ContentType="application/vnd.openxmlformats-officedocument.wordprocessingml.footer+xml"/>
  <Override PartName="/word/header294.xml" ContentType="application/vnd.openxmlformats-officedocument.wordprocessingml.header+xml"/>
  <Override PartName="/word/footer287.xml" ContentType="application/vnd.openxmlformats-officedocument.wordprocessingml.footer+xml"/>
  <Override PartName="/word/header295.xml" ContentType="application/vnd.openxmlformats-officedocument.wordprocessingml.header+xml"/>
  <Override PartName="/word/footer288.xml" ContentType="application/vnd.openxmlformats-officedocument.wordprocessingml.footer+xml"/>
  <Override PartName="/word/header296.xml" ContentType="application/vnd.openxmlformats-officedocument.wordprocessingml.header+xml"/>
  <Override PartName="/word/footer289.xml" ContentType="application/vnd.openxmlformats-officedocument.wordprocessingml.footer+xml"/>
  <Override PartName="/word/header297.xml" ContentType="application/vnd.openxmlformats-officedocument.wordprocessingml.header+xml"/>
  <Override PartName="/word/footer290.xml" ContentType="application/vnd.openxmlformats-officedocument.wordprocessingml.footer+xml"/>
  <Override PartName="/word/header298.xml" ContentType="application/vnd.openxmlformats-officedocument.wordprocessingml.header+xml"/>
  <Override PartName="/word/footer291.xml" ContentType="application/vnd.openxmlformats-officedocument.wordprocessingml.footer+xml"/>
  <Override PartName="/word/header299.xml" ContentType="application/vnd.openxmlformats-officedocument.wordprocessingml.header+xml"/>
  <Override PartName="/word/footer292.xml" ContentType="application/vnd.openxmlformats-officedocument.wordprocessingml.footer+xml"/>
  <Override PartName="/word/header300.xml" ContentType="application/vnd.openxmlformats-officedocument.wordprocessingml.header+xml"/>
  <Override PartName="/word/footer293.xml" ContentType="application/vnd.openxmlformats-officedocument.wordprocessingml.footer+xml"/>
  <Override PartName="/word/header301.xml" ContentType="application/vnd.openxmlformats-officedocument.wordprocessingml.header+xml"/>
  <Override PartName="/word/footer294.xml" ContentType="application/vnd.openxmlformats-officedocument.wordprocessingml.footer+xml"/>
  <Override PartName="/word/header302.xml" ContentType="application/vnd.openxmlformats-officedocument.wordprocessingml.header+xml"/>
  <Override PartName="/word/footer295.xml" ContentType="application/vnd.openxmlformats-officedocument.wordprocessingml.footer+xml"/>
  <Override PartName="/word/header303.xml" ContentType="application/vnd.openxmlformats-officedocument.wordprocessingml.header+xml"/>
  <Override PartName="/word/footer296.xml" ContentType="application/vnd.openxmlformats-officedocument.wordprocessingml.footer+xml"/>
  <Override PartName="/word/header304.xml" ContentType="application/vnd.openxmlformats-officedocument.wordprocessingml.header+xml"/>
  <Override PartName="/word/footer297.xml" ContentType="application/vnd.openxmlformats-officedocument.wordprocessingml.footer+xml"/>
  <Override PartName="/word/header305.xml" ContentType="application/vnd.openxmlformats-officedocument.wordprocessingml.header+xml"/>
  <Override PartName="/word/footer298.xml" ContentType="application/vnd.openxmlformats-officedocument.wordprocessingml.footer+xml"/>
  <Override PartName="/word/header306.xml" ContentType="application/vnd.openxmlformats-officedocument.wordprocessingml.header+xml"/>
  <Override PartName="/word/footer299.xml" ContentType="application/vnd.openxmlformats-officedocument.wordprocessingml.footer+xml"/>
  <Override PartName="/word/header307.xml" ContentType="application/vnd.openxmlformats-officedocument.wordprocessingml.header+xml"/>
  <Override PartName="/word/footer300.xml" ContentType="application/vnd.openxmlformats-officedocument.wordprocessingml.footer+xml"/>
  <Override PartName="/word/header308.xml" ContentType="application/vnd.openxmlformats-officedocument.wordprocessingml.header+xml"/>
  <Override PartName="/word/footer301.xml" ContentType="application/vnd.openxmlformats-officedocument.wordprocessingml.footer+xml"/>
  <Override PartName="/word/header309.xml" ContentType="application/vnd.openxmlformats-officedocument.wordprocessingml.header+xml"/>
  <Override PartName="/word/footer302.xml" ContentType="application/vnd.openxmlformats-officedocument.wordprocessingml.footer+xml"/>
  <Override PartName="/word/header310.xml" ContentType="application/vnd.openxmlformats-officedocument.wordprocessingml.header+xml"/>
  <Override PartName="/word/footer303.xml" ContentType="application/vnd.openxmlformats-officedocument.wordprocessingml.footer+xml"/>
  <Override PartName="/word/header311.xml" ContentType="application/vnd.openxmlformats-officedocument.wordprocessingml.header+xml"/>
  <Override PartName="/word/footer304.xml" ContentType="application/vnd.openxmlformats-officedocument.wordprocessingml.footer+xml"/>
  <Override PartName="/word/header312.xml" ContentType="application/vnd.openxmlformats-officedocument.wordprocessingml.header+xml"/>
  <Override PartName="/word/footer305.xml" ContentType="application/vnd.openxmlformats-officedocument.wordprocessingml.footer+xml"/>
  <Override PartName="/word/header313.xml" ContentType="application/vnd.openxmlformats-officedocument.wordprocessingml.header+xml"/>
  <Override PartName="/word/footer306.xml" ContentType="application/vnd.openxmlformats-officedocument.wordprocessingml.footer+xml"/>
  <Override PartName="/word/header314.xml" ContentType="application/vnd.openxmlformats-officedocument.wordprocessingml.header+xml"/>
  <Override PartName="/word/footer307.xml" ContentType="application/vnd.openxmlformats-officedocument.wordprocessingml.footer+xml"/>
  <Override PartName="/word/header315.xml" ContentType="application/vnd.openxmlformats-officedocument.wordprocessingml.header+xml"/>
  <Override PartName="/word/footer308.xml" ContentType="application/vnd.openxmlformats-officedocument.wordprocessingml.footer+xml"/>
  <Override PartName="/word/header316.xml" ContentType="application/vnd.openxmlformats-officedocument.wordprocessingml.header+xml"/>
  <Override PartName="/word/footer309.xml" ContentType="application/vnd.openxmlformats-officedocument.wordprocessingml.footer+xml"/>
  <Override PartName="/word/header317.xml" ContentType="application/vnd.openxmlformats-officedocument.wordprocessingml.header+xml"/>
  <Override PartName="/word/footer310.xml" ContentType="application/vnd.openxmlformats-officedocument.wordprocessingml.footer+xml"/>
  <Override PartName="/word/header318.xml" ContentType="application/vnd.openxmlformats-officedocument.wordprocessingml.header+xml"/>
  <Override PartName="/word/footer311.xml" ContentType="application/vnd.openxmlformats-officedocument.wordprocessingml.footer+xml"/>
  <Override PartName="/word/header319.xml" ContentType="application/vnd.openxmlformats-officedocument.wordprocessingml.header+xml"/>
  <Override PartName="/word/footer312.xml" ContentType="application/vnd.openxmlformats-officedocument.wordprocessingml.footer+xml"/>
  <Override PartName="/word/header320.xml" ContentType="application/vnd.openxmlformats-officedocument.wordprocessingml.header+xml"/>
  <Override PartName="/word/footer313.xml" ContentType="application/vnd.openxmlformats-officedocument.wordprocessingml.footer+xml"/>
  <Override PartName="/word/header321.xml" ContentType="application/vnd.openxmlformats-officedocument.wordprocessingml.header+xml"/>
  <Override PartName="/word/footer314.xml" ContentType="application/vnd.openxmlformats-officedocument.wordprocessingml.footer+xml"/>
  <Override PartName="/word/header322.xml" ContentType="application/vnd.openxmlformats-officedocument.wordprocessingml.header+xml"/>
  <Override PartName="/word/footer315.xml" ContentType="application/vnd.openxmlformats-officedocument.wordprocessingml.footer+xml"/>
  <Override PartName="/word/header323.xml" ContentType="application/vnd.openxmlformats-officedocument.wordprocessingml.header+xml"/>
  <Override PartName="/word/footer316.xml" ContentType="application/vnd.openxmlformats-officedocument.wordprocessingml.footer+xml"/>
  <Override PartName="/word/header324.xml" ContentType="application/vnd.openxmlformats-officedocument.wordprocessingml.header+xml"/>
  <Override PartName="/word/footer317.xml" ContentType="application/vnd.openxmlformats-officedocument.wordprocessingml.footer+xml"/>
  <Override PartName="/word/header325.xml" ContentType="application/vnd.openxmlformats-officedocument.wordprocessingml.header+xml"/>
  <Override PartName="/word/footer318.xml" ContentType="application/vnd.openxmlformats-officedocument.wordprocessingml.footer+xml"/>
  <Override PartName="/word/header326.xml" ContentType="application/vnd.openxmlformats-officedocument.wordprocessingml.header+xml"/>
  <Override PartName="/word/footer319.xml" ContentType="application/vnd.openxmlformats-officedocument.wordprocessingml.footer+xml"/>
  <Override PartName="/word/header327.xml" ContentType="application/vnd.openxmlformats-officedocument.wordprocessingml.header+xml"/>
  <Override PartName="/word/footer320.xml" ContentType="application/vnd.openxmlformats-officedocument.wordprocessingml.footer+xml"/>
  <Override PartName="/word/header328.xml" ContentType="application/vnd.openxmlformats-officedocument.wordprocessingml.header+xml"/>
  <Override PartName="/word/footer321.xml" ContentType="application/vnd.openxmlformats-officedocument.wordprocessingml.footer+xml"/>
  <Override PartName="/word/header329.xml" ContentType="application/vnd.openxmlformats-officedocument.wordprocessingml.header+xml"/>
  <Override PartName="/word/footer322.xml" ContentType="application/vnd.openxmlformats-officedocument.wordprocessingml.footer+xml"/>
  <Override PartName="/word/header330.xml" ContentType="application/vnd.openxmlformats-officedocument.wordprocessingml.header+xml"/>
  <Override PartName="/word/footer323.xml" ContentType="application/vnd.openxmlformats-officedocument.wordprocessingml.footer+xml"/>
  <Override PartName="/word/header331.xml" ContentType="application/vnd.openxmlformats-officedocument.wordprocessingml.header+xml"/>
  <Override PartName="/word/footer324.xml" ContentType="application/vnd.openxmlformats-officedocument.wordprocessingml.footer+xml"/>
  <Override PartName="/word/header332.xml" ContentType="application/vnd.openxmlformats-officedocument.wordprocessingml.header+xml"/>
  <Override PartName="/word/footer325.xml" ContentType="application/vnd.openxmlformats-officedocument.wordprocessingml.footer+xml"/>
  <Override PartName="/word/header333.xml" ContentType="application/vnd.openxmlformats-officedocument.wordprocessingml.header+xml"/>
  <Override PartName="/word/footer326.xml" ContentType="application/vnd.openxmlformats-officedocument.wordprocessingml.footer+xml"/>
  <Override PartName="/word/header334.xml" ContentType="application/vnd.openxmlformats-officedocument.wordprocessingml.header+xml"/>
  <Override PartName="/word/footer327.xml" ContentType="application/vnd.openxmlformats-officedocument.wordprocessingml.footer+xml"/>
  <Override PartName="/word/header335.xml" ContentType="application/vnd.openxmlformats-officedocument.wordprocessingml.header+xml"/>
  <Override PartName="/word/footer328.xml" ContentType="application/vnd.openxmlformats-officedocument.wordprocessingml.footer+xml"/>
  <Override PartName="/word/header336.xml" ContentType="application/vnd.openxmlformats-officedocument.wordprocessingml.header+xml"/>
  <Override PartName="/word/footer329.xml" ContentType="application/vnd.openxmlformats-officedocument.wordprocessingml.footer+xml"/>
  <Override PartName="/word/header337.xml" ContentType="application/vnd.openxmlformats-officedocument.wordprocessingml.header+xml"/>
  <Override PartName="/word/footer330.xml" ContentType="application/vnd.openxmlformats-officedocument.wordprocessingml.footer+xml"/>
  <Override PartName="/word/header338.xml" ContentType="application/vnd.openxmlformats-officedocument.wordprocessingml.header+xml"/>
  <Override PartName="/word/footer331.xml" ContentType="application/vnd.openxmlformats-officedocument.wordprocessingml.footer+xml"/>
  <Override PartName="/word/header339.xml" ContentType="application/vnd.openxmlformats-officedocument.wordprocessingml.header+xml"/>
  <Override PartName="/word/footer332.xml" ContentType="application/vnd.openxmlformats-officedocument.wordprocessingml.footer+xml"/>
  <Override PartName="/word/header340.xml" ContentType="application/vnd.openxmlformats-officedocument.wordprocessingml.header+xml"/>
  <Override PartName="/word/footer333.xml" ContentType="application/vnd.openxmlformats-officedocument.wordprocessingml.footer+xml"/>
  <Override PartName="/word/header341.xml" ContentType="application/vnd.openxmlformats-officedocument.wordprocessingml.header+xml"/>
  <Override PartName="/word/footer334.xml" ContentType="application/vnd.openxmlformats-officedocument.wordprocessingml.footer+xml"/>
  <Override PartName="/word/header342.xml" ContentType="application/vnd.openxmlformats-officedocument.wordprocessingml.header+xml"/>
  <Override PartName="/word/footer335.xml" ContentType="application/vnd.openxmlformats-officedocument.wordprocessingml.footer+xml"/>
  <Override PartName="/word/header343.xml" ContentType="application/vnd.openxmlformats-officedocument.wordprocessingml.header+xml"/>
  <Override PartName="/word/footer336.xml" ContentType="application/vnd.openxmlformats-officedocument.wordprocessingml.footer+xml"/>
  <Override PartName="/word/header344.xml" ContentType="application/vnd.openxmlformats-officedocument.wordprocessingml.header+xml"/>
  <Override PartName="/word/footer337.xml" ContentType="application/vnd.openxmlformats-officedocument.wordprocessingml.footer+xml"/>
  <Override PartName="/word/header345.xml" ContentType="application/vnd.openxmlformats-officedocument.wordprocessingml.header+xml"/>
  <Override PartName="/word/footer338.xml" ContentType="application/vnd.openxmlformats-officedocument.wordprocessingml.footer+xml"/>
  <Override PartName="/word/header346.xml" ContentType="application/vnd.openxmlformats-officedocument.wordprocessingml.header+xml"/>
  <Override PartName="/word/footer339.xml" ContentType="application/vnd.openxmlformats-officedocument.wordprocessingml.footer+xml"/>
  <Override PartName="/word/header347.xml" ContentType="application/vnd.openxmlformats-officedocument.wordprocessingml.header+xml"/>
  <Override PartName="/word/footer340.xml" ContentType="application/vnd.openxmlformats-officedocument.wordprocessingml.footer+xml"/>
  <Override PartName="/word/header348.xml" ContentType="application/vnd.openxmlformats-officedocument.wordprocessingml.header+xml"/>
  <Override PartName="/word/footer341.xml" ContentType="application/vnd.openxmlformats-officedocument.wordprocessingml.footer+xml"/>
  <Override PartName="/word/header349.xml" ContentType="application/vnd.openxmlformats-officedocument.wordprocessingml.header+xml"/>
  <Override PartName="/word/footer342.xml" ContentType="application/vnd.openxmlformats-officedocument.wordprocessingml.footer+xml"/>
  <Override PartName="/word/header350.xml" ContentType="application/vnd.openxmlformats-officedocument.wordprocessingml.header+xml"/>
  <Override PartName="/word/footer343.xml" ContentType="application/vnd.openxmlformats-officedocument.wordprocessingml.footer+xml"/>
  <Override PartName="/word/header351.xml" ContentType="application/vnd.openxmlformats-officedocument.wordprocessingml.header+xml"/>
  <Override PartName="/word/footer344.xml" ContentType="application/vnd.openxmlformats-officedocument.wordprocessingml.footer+xml"/>
  <Override PartName="/word/header352.xml" ContentType="application/vnd.openxmlformats-officedocument.wordprocessingml.header+xml"/>
  <Override PartName="/word/footer345.xml" ContentType="application/vnd.openxmlformats-officedocument.wordprocessingml.footer+xml"/>
  <Override PartName="/word/header353.xml" ContentType="application/vnd.openxmlformats-officedocument.wordprocessingml.header+xml"/>
  <Override PartName="/word/footer346.xml" ContentType="application/vnd.openxmlformats-officedocument.wordprocessingml.footer+xml"/>
  <Override PartName="/word/header354.xml" ContentType="application/vnd.openxmlformats-officedocument.wordprocessingml.header+xml"/>
  <Override PartName="/word/footer347.xml" ContentType="application/vnd.openxmlformats-officedocument.wordprocessingml.footer+xml"/>
  <Override PartName="/word/header355.xml" ContentType="application/vnd.openxmlformats-officedocument.wordprocessingml.header+xml"/>
  <Override PartName="/word/footer348.xml" ContentType="application/vnd.openxmlformats-officedocument.wordprocessingml.footer+xml"/>
  <Override PartName="/word/header356.xml" ContentType="application/vnd.openxmlformats-officedocument.wordprocessingml.header+xml"/>
  <Override PartName="/word/footer349.xml" ContentType="application/vnd.openxmlformats-officedocument.wordprocessingml.footer+xml"/>
  <Override PartName="/word/header357.xml" ContentType="application/vnd.openxmlformats-officedocument.wordprocessingml.header+xml"/>
  <Override PartName="/word/footer350.xml" ContentType="application/vnd.openxmlformats-officedocument.wordprocessingml.footer+xml"/>
  <Override PartName="/word/header358.xml" ContentType="application/vnd.openxmlformats-officedocument.wordprocessingml.header+xml"/>
  <Override PartName="/word/footer351.xml" ContentType="application/vnd.openxmlformats-officedocument.wordprocessingml.footer+xml"/>
  <Override PartName="/word/header359.xml" ContentType="application/vnd.openxmlformats-officedocument.wordprocessingml.header+xml"/>
  <Override PartName="/word/footer352.xml" ContentType="application/vnd.openxmlformats-officedocument.wordprocessingml.footer+xml"/>
  <Override PartName="/word/header360.xml" ContentType="application/vnd.openxmlformats-officedocument.wordprocessingml.header+xml"/>
  <Override PartName="/word/footer353.xml" ContentType="application/vnd.openxmlformats-officedocument.wordprocessingml.footer+xml"/>
  <Override PartName="/word/header361.xml" ContentType="application/vnd.openxmlformats-officedocument.wordprocessingml.header+xml"/>
  <Override PartName="/word/footer354.xml" ContentType="application/vnd.openxmlformats-officedocument.wordprocessingml.footer+xml"/>
  <Override PartName="/word/header362.xml" ContentType="application/vnd.openxmlformats-officedocument.wordprocessingml.header+xml"/>
  <Override PartName="/word/footer355.xml" ContentType="application/vnd.openxmlformats-officedocument.wordprocessingml.footer+xml"/>
  <Override PartName="/word/header363.xml" ContentType="application/vnd.openxmlformats-officedocument.wordprocessingml.header+xml"/>
  <Override PartName="/word/footer356.xml" ContentType="application/vnd.openxmlformats-officedocument.wordprocessingml.footer+xml"/>
  <Override PartName="/word/header364.xml" ContentType="application/vnd.openxmlformats-officedocument.wordprocessingml.header+xml"/>
  <Override PartName="/word/footer357.xml" ContentType="application/vnd.openxmlformats-officedocument.wordprocessingml.footer+xml"/>
  <Override PartName="/word/header365.xml" ContentType="application/vnd.openxmlformats-officedocument.wordprocessingml.header+xml"/>
  <Override PartName="/word/footer358.xml" ContentType="application/vnd.openxmlformats-officedocument.wordprocessingml.footer+xml"/>
  <Override PartName="/word/header366.xml" ContentType="application/vnd.openxmlformats-officedocument.wordprocessingml.header+xml"/>
  <Override PartName="/word/footer359.xml" ContentType="application/vnd.openxmlformats-officedocument.wordprocessingml.footer+xml"/>
  <Override PartName="/word/header367.xml" ContentType="application/vnd.openxmlformats-officedocument.wordprocessingml.header+xml"/>
  <Override PartName="/word/footer360.xml" ContentType="application/vnd.openxmlformats-officedocument.wordprocessingml.footer+xml"/>
  <Override PartName="/word/header368.xml" ContentType="application/vnd.openxmlformats-officedocument.wordprocessingml.header+xml"/>
  <Override PartName="/word/footer361.xml" ContentType="application/vnd.openxmlformats-officedocument.wordprocessingml.footer+xml"/>
  <Override PartName="/word/header369.xml" ContentType="application/vnd.openxmlformats-officedocument.wordprocessingml.header+xml"/>
  <Override PartName="/word/footer362.xml" ContentType="application/vnd.openxmlformats-officedocument.wordprocessingml.footer+xml"/>
  <Override PartName="/word/header370.xml" ContentType="application/vnd.openxmlformats-officedocument.wordprocessingml.header+xml"/>
  <Override PartName="/word/footer363.xml" ContentType="application/vnd.openxmlformats-officedocument.wordprocessingml.footer+xml"/>
  <Override PartName="/word/header371.xml" ContentType="application/vnd.openxmlformats-officedocument.wordprocessingml.header+xml"/>
  <Override PartName="/word/footer364.xml" ContentType="application/vnd.openxmlformats-officedocument.wordprocessingml.footer+xml"/>
  <Override PartName="/word/header372.xml" ContentType="application/vnd.openxmlformats-officedocument.wordprocessingml.header+xml"/>
  <Override PartName="/word/footer365.xml" ContentType="application/vnd.openxmlformats-officedocument.wordprocessingml.footer+xml"/>
  <Override PartName="/word/header373.xml" ContentType="application/vnd.openxmlformats-officedocument.wordprocessingml.header+xml"/>
  <Override PartName="/word/footer366.xml" ContentType="application/vnd.openxmlformats-officedocument.wordprocessingml.footer+xml"/>
  <Override PartName="/word/header374.xml" ContentType="application/vnd.openxmlformats-officedocument.wordprocessingml.header+xml"/>
  <Override PartName="/word/footer367.xml" ContentType="application/vnd.openxmlformats-officedocument.wordprocessingml.footer+xml"/>
  <Override PartName="/word/header375.xml" ContentType="application/vnd.openxmlformats-officedocument.wordprocessingml.header+xml"/>
  <Override PartName="/word/footer368.xml" ContentType="application/vnd.openxmlformats-officedocument.wordprocessingml.footer+xml"/>
  <Override PartName="/word/header376.xml" ContentType="application/vnd.openxmlformats-officedocument.wordprocessingml.header+xml"/>
  <Override PartName="/word/footer369.xml" ContentType="application/vnd.openxmlformats-officedocument.wordprocessingml.footer+xml"/>
  <Override PartName="/word/header377.xml" ContentType="application/vnd.openxmlformats-officedocument.wordprocessingml.header+xml"/>
  <Override PartName="/word/footer370.xml" ContentType="application/vnd.openxmlformats-officedocument.wordprocessingml.footer+xml"/>
  <Override PartName="/word/header378.xml" ContentType="application/vnd.openxmlformats-officedocument.wordprocessingml.header+xml"/>
  <Override PartName="/word/footer371.xml" ContentType="application/vnd.openxmlformats-officedocument.wordprocessingml.footer+xml"/>
  <Override PartName="/word/header379.xml" ContentType="application/vnd.openxmlformats-officedocument.wordprocessingml.header+xml"/>
  <Override PartName="/word/footer372.xml" ContentType="application/vnd.openxmlformats-officedocument.wordprocessingml.footer+xml"/>
  <Override PartName="/word/header380.xml" ContentType="application/vnd.openxmlformats-officedocument.wordprocessingml.header+xml"/>
  <Override PartName="/word/footer373.xml" ContentType="application/vnd.openxmlformats-officedocument.wordprocessingml.footer+xml"/>
  <Override PartName="/word/header381.xml" ContentType="application/vnd.openxmlformats-officedocument.wordprocessingml.header+xml"/>
  <Override PartName="/word/footer374.xml" ContentType="application/vnd.openxmlformats-officedocument.wordprocessingml.footer+xml"/>
  <Override PartName="/word/header382.xml" ContentType="application/vnd.openxmlformats-officedocument.wordprocessingml.header+xml"/>
  <Override PartName="/word/footer375.xml" ContentType="application/vnd.openxmlformats-officedocument.wordprocessingml.footer+xml"/>
  <Override PartName="/word/header383.xml" ContentType="application/vnd.openxmlformats-officedocument.wordprocessingml.header+xml"/>
  <Override PartName="/word/footer376.xml" ContentType="application/vnd.openxmlformats-officedocument.wordprocessingml.footer+xml"/>
  <Override PartName="/word/header384.xml" ContentType="application/vnd.openxmlformats-officedocument.wordprocessingml.header+xml"/>
  <Override PartName="/word/footer377.xml" ContentType="application/vnd.openxmlformats-officedocument.wordprocessingml.footer+xml"/>
  <Override PartName="/word/header385.xml" ContentType="application/vnd.openxmlformats-officedocument.wordprocessingml.header+xml"/>
  <Override PartName="/word/footer378.xml" ContentType="application/vnd.openxmlformats-officedocument.wordprocessingml.footer+xml"/>
  <Override PartName="/word/header386.xml" ContentType="application/vnd.openxmlformats-officedocument.wordprocessingml.header+xml"/>
  <Override PartName="/word/footer379.xml" ContentType="application/vnd.openxmlformats-officedocument.wordprocessingml.footer+xml"/>
  <Override PartName="/word/header387.xml" ContentType="application/vnd.openxmlformats-officedocument.wordprocessingml.header+xml"/>
  <Override PartName="/word/footer380.xml" ContentType="application/vnd.openxmlformats-officedocument.wordprocessingml.footer+xml"/>
  <Override PartName="/word/header388.xml" ContentType="application/vnd.openxmlformats-officedocument.wordprocessingml.header+xml"/>
  <Override PartName="/word/footer381.xml" ContentType="application/vnd.openxmlformats-officedocument.wordprocessingml.footer+xml"/>
  <Override PartName="/word/header389.xml" ContentType="application/vnd.openxmlformats-officedocument.wordprocessingml.header+xml"/>
  <Override PartName="/word/footer382.xml" ContentType="application/vnd.openxmlformats-officedocument.wordprocessingml.footer+xml"/>
  <Override PartName="/word/header390.xml" ContentType="application/vnd.openxmlformats-officedocument.wordprocessingml.header+xml"/>
  <Override PartName="/word/footer383.xml" ContentType="application/vnd.openxmlformats-officedocument.wordprocessingml.footer+xml"/>
  <Override PartName="/word/header391.xml" ContentType="application/vnd.openxmlformats-officedocument.wordprocessingml.header+xml"/>
  <Override PartName="/word/footer384.xml" ContentType="application/vnd.openxmlformats-officedocument.wordprocessingml.footer+xml"/>
  <Override PartName="/word/header392.xml" ContentType="application/vnd.openxmlformats-officedocument.wordprocessingml.header+xml"/>
  <Override PartName="/word/footer385.xml" ContentType="application/vnd.openxmlformats-officedocument.wordprocessingml.footer+xml"/>
  <Override PartName="/word/header393.xml" ContentType="application/vnd.openxmlformats-officedocument.wordprocessingml.header+xml"/>
  <Override PartName="/word/footer386.xml" ContentType="application/vnd.openxmlformats-officedocument.wordprocessingml.footer+xml"/>
  <Override PartName="/word/header394.xml" ContentType="application/vnd.openxmlformats-officedocument.wordprocessingml.header+xml"/>
  <Override PartName="/word/footer387.xml" ContentType="application/vnd.openxmlformats-officedocument.wordprocessingml.footer+xml"/>
  <Override PartName="/word/header395.xml" ContentType="application/vnd.openxmlformats-officedocument.wordprocessingml.header+xml"/>
  <Override PartName="/word/footer388.xml" ContentType="application/vnd.openxmlformats-officedocument.wordprocessingml.footer+xml"/>
  <Override PartName="/word/header396.xml" ContentType="application/vnd.openxmlformats-officedocument.wordprocessingml.header+xml"/>
  <Override PartName="/word/footer389.xml" ContentType="application/vnd.openxmlformats-officedocument.wordprocessingml.footer+xml"/>
  <Override PartName="/word/header397.xml" ContentType="application/vnd.openxmlformats-officedocument.wordprocessingml.header+xml"/>
  <Override PartName="/word/footer390.xml" ContentType="application/vnd.openxmlformats-officedocument.wordprocessingml.footer+xml"/>
  <Override PartName="/word/header398.xml" ContentType="application/vnd.openxmlformats-officedocument.wordprocessingml.header+xml"/>
  <Override PartName="/word/footer391.xml" ContentType="application/vnd.openxmlformats-officedocument.wordprocessingml.footer+xml"/>
  <Override PartName="/word/header399.xml" ContentType="application/vnd.openxmlformats-officedocument.wordprocessingml.header+xml"/>
  <Override PartName="/word/footer392.xml" ContentType="application/vnd.openxmlformats-officedocument.wordprocessingml.footer+xml"/>
  <Override PartName="/word/header400.xml" ContentType="application/vnd.openxmlformats-officedocument.wordprocessingml.header+xml"/>
  <Override PartName="/word/footer393.xml" ContentType="application/vnd.openxmlformats-officedocument.wordprocessingml.footer+xml"/>
  <Override PartName="/word/header401.xml" ContentType="application/vnd.openxmlformats-officedocument.wordprocessingml.header+xml"/>
  <Override PartName="/word/footer394.xml" ContentType="application/vnd.openxmlformats-officedocument.wordprocessingml.footer+xml"/>
  <Override PartName="/word/header402.xml" ContentType="application/vnd.openxmlformats-officedocument.wordprocessingml.header+xml"/>
  <Override PartName="/word/footer395.xml" ContentType="application/vnd.openxmlformats-officedocument.wordprocessingml.footer+xml"/>
  <Override PartName="/word/header403.xml" ContentType="application/vnd.openxmlformats-officedocument.wordprocessingml.header+xml"/>
  <Override PartName="/word/footer396.xml" ContentType="application/vnd.openxmlformats-officedocument.wordprocessingml.footer+xml"/>
  <Override PartName="/word/header404.xml" ContentType="application/vnd.openxmlformats-officedocument.wordprocessingml.header+xml"/>
  <Override PartName="/word/footer397.xml" ContentType="application/vnd.openxmlformats-officedocument.wordprocessingml.footer+xml"/>
  <Override PartName="/word/header405.xml" ContentType="application/vnd.openxmlformats-officedocument.wordprocessingml.header+xml"/>
  <Override PartName="/word/footer398.xml" ContentType="application/vnd.openxmlformats-officedocument.wordprocessingml.footer+xml"/>
  <Override PartName="/word/header406.xml" ContentType="application/vnd.openxmlformats-officedocument.wordprocessingml.header+xml"/>
  <Override PartName="/word/footer399.xml" ContentType="application/vnd.openxmlformats-officedocument.wordprocessingml.footer+xml"/>
  <Override PartName="/word/header407.xml" ContentType="application/vnd.openxmlformats-officedocument.wordprocessingml.header+xml"/>
  <Override PartName="/word/footer400.xml" ContentType="application/vnd.openxmlformats-officedocument.wordprocessingml.footer+xml"/>
  <Override PartName="/word/header408.xml" ContentType="application/vnd.openxmlformats-officedocument.wordprocessingml.header+xml"/>
  <Override PartName="/word/footer401.xml" ContentType="application/vnd.openxmlformats-officedocument.wordprocessingml.footer+xml"/>
  <Override PartName="/word/header409.xml" ContentType="application/vnd.openxmlformats-officedocument.wordprocessingml.header+xml"/>
  <Override PartName="/word/footer402.xml" ContentType="application/vnd.openxmlformats-officedocument.wordprocessingml.footer+xml"/>
  <Override PartName="/word/header410.xml" ContentType="application/vnd.openxmlformats-officedocument.wordprocessingml.header+xml"/>
  <Override PartName="/word/footer403.xml" ContentType="application/vnd.openxmlformats-officedocument.wordprocessingml.footer+xml"/>
  <Override PartName="/word/header411.xml" ContentType="application/vnd.openxmlformats-officedocument.wordprocessingml.header+xml"/>
  <Override PartName="/word/footer404.xml" ContentType="application/vnd.openxmlformats-officedocument.wordprocessingml.footer+xml"/>
  <Override PartName="/word/header412.xml" ContentType="application/vnd.openxmlformats-officedocument.wordprocessingml.header+xml"/>
  <Override PartName="/word/footer405.xml" ContentType="application/vnd.openxmlformats-officedocument.wordprocessingml.footer+xml"/>
  <Override PartName="/word/header413.xml" ContentType="application/vnd.openxmlformats-officedocument.wordprocessingml.header+xml"/>
  <Override PartName="/word/footer406.xml" ContentType="application/vnd.openxmlformats-officedocument.wordprocessingml.footer+xml"/>
  <Override PartName="/word/header414.xml" ContentType="application/vnd.openxmlformats-officedocument.wordprocessingml.header+xml"/>
  <Override PartName="/word/footer407.xml" ContentType="application/vnd.openxmlformats-officedocument.wordprocessingml.footer+xml"/>
  <Override PartName="/word/header415.xml" ContentType="application/vnd.openxmlformats-officedocument.wordprocessingml.header+xml"/>
  <Override PartName="/word/footer408.xml" ContentType="application/vnd.openxmlformats-officedocument.wordprocessingml.footer+xml"/>
  <Override PartName="/word/header416.xml" ContentType="application/vnd.openxmlformats-officedocument.wordprocessingml.header+xml"/>
  <Override PartName="/word/footer409.xml" ContentType="application/vnd.openxmlformats-officedocument.wordprocessingml.footer+xml"/>
  <Override PartName="/word/header417.xml" ContentType="application/vnd.openxmlformats-officedocument.wordprocessingml.header+xml"/>
  <Override PartName="/word/footer410.xml" ContentType="application/vnd.openxmlformats-officedocument.wordprocessingml.footer+xml"/>
  <Override PartName="/word/header418.xml" ContentType="application/vnd.openxmlformats-officedocument.wordprocessingml.header+xml"/>
  <Override PartName="/word/footer411.xml" ContentType="application/vnd.openxmlformats-officedocument.wordprocessingml.footer+xml"/>
  <Override PartName="/word/header419.xml" ContentType="application/vnd.openxmlformats-officedocument.wordprocessingml.header+xml"/>
  <Override PartName="/word/footer412.xml" ContentType="application/vnd.openxmlformats-officedocument.wordprocessingml.footer+xml"/>
  <Override PartName="/word/header420.xml" ContentType="application/vnd.openxmlformats-officedocument.wordprocessingml.header+xml"/>
  <Override PartName="/word/footer413.xml" ContentType="application/vnd.openxmlformats-officedocument.wordprocessingml.footer+xml"/>
  <Override PartName="/word/header421.xml" ContentType="application/vnd.openxmlformats-officedocument.wordprocessingml.header+xml"/>
  <Override PartName="/word/footer414.xml" ContentType="application/vnd.openxmlformats-officedocument.wordprocessingml.footer+xml"/>
  <Override PartName="/word/header422.xml" ContentType="application/vnd.openxmlformats-officedocument.wordprocessingml.header+xml"/>
  <Override PartName="/word/footer415.xml" ContentType="application/vnd.openxmlformats-officedocument.wordprocessingml.footer+xml"/>
  <Override PartName="/word/header423.xml" ContentType="application/vnd.openxmlformats-officedocument.wordprocessingml.header+xml"/>
  <Override PartName="/word/footer416.xml" ContentType="application/vnd.openxmlformats-officedocument.wordprocessingml.footer+xml"/>
  <Override PartName="/word/header424.xml" ContentType="application/vnd.openxmlformats-officedocument.wordprocessingml.header+xml"/>
  <Override PartName="/word/footer417.xml" ContentType="application/vnd.openxmlformats-officedocument.wordprocessingml.footer+xml"/>
  <Override PartName="/word/header425.xml" ContentType="application/vnd.openxmlformats-officedocument.wordprocessingml.header+xml"/>
  <Override PartName="/word/footer418.xml" ContentType="application/vnd.openxmlformats-officedocument.wordprocessingml.footer+xml"/>
  <Override PartName="/word/header426.xml" ContentType="application/vnd.openxmlformats-officedocument.wordprocessingml.header+xml"/>
  <Override PartName="/word/footer419.xml" ContentType="application/vnd.openxmlformats-officedocument.wordprocessingml.footer+xml"/>
  <Override PartName="/word/header427.xml" ContentType="application/vnd.openxmlformats-officedocument.wordprocessingml.header+xml"/>
  <Override PartName="/word/footer420.xml" ContentType="application/vnd.openxmlformats-officedocument.wordprocessingml.footer+xml"/>
  <Override PartName="/word/header428.xml" ContentType="application/vnd.openxmlformats-officedocument.wordprocessingml.header+xml"/>
  <Override PartName="/word/footer421.xml" ContentType="application/vnd.openxmlformats-officedocument.wordprocessingml.footer+xml"/>
  <Override PartName="/word/header429.xml" ContentType="application/vnd.openxmlformats-officedocument.wordprocessingml.header+xml"/>
  <Override PartName="/word/footer422.xml" ContentType="application/vnd.openxmlformats-officedocument.wordprocessingml.footer+xml"/>
  <Override PartName="/word/header430.xml" ContentType="application/vnd.openxmlformats-officedocument.wordprocessingml.header+xml"/>
  <Override PartName="/word/footer423.xml" ContentType="application/vnd.openxmlformats-officedocument.wordprocessingml.footer+xml"/>
  <Override PartName="/word/header431.xml" ContentType="application/vnd.openxmlformats-officedocument.wordprocessingml.header+xml"/>
  <Override PartName="/word/footer424.xml" ContentType="application/vnd.openxmlformats-officedocument.wordprocessingml.footer+xml"/>
  <Override PartName="/word/header432.xml" ContentType="application/vnd.openxmlformats-officedocument.wordprocessingml.header+xml"/>
  <Override PartName="/word/footer425.xml" ContentType="application/vnd.openxmlformats-officedocument.wordprocessingml.footer+xml"/>
  <Override PartName="/word/header433.xml" ContentType="application/vnd.openxmlformats-officedocument.wordprocessingml.header+xml"/>
  <Override PartName="/word/footer426.xml" ContentType="application/vnd.openxmlformats-officedocument.wordprocessingml.footer+xml"/>
  <Override PartName="/word/header434.xml" ContentType="application/vnd.openxmlformats-officedocument.wordprocessingml.header+xml"/>
  <Override PartName="/word/footer427.xml" ContentType="application/vnd.openxmlformats-officedocument.wordprocessingml.footer+xml"/>
  <Override PartName="/word/header435.xml" ContentType="application/vnd.openxmlformats-officedocument.wordprocessingml.header+xml"/>
  <Override PartName="/word/footer428.xml" ContentType="application/vnd.openxmlformats-officedocument.wordprocessingml.footer+xml"/>
  <Override PartName="/word/header436.xml" ContentType="application/vnd.openxmlformats-officedocument.wordprocessingml.header+xml"/>
  <Override PartName="/word/footer429.xml" ContentType="application/vnd.openxmlformats-officedocument.wordprocessingml.footer+xml"/>
  <Override PartName="/word/header437.xml" ContentType="application/vnd.openxmlformats-officedocument.wordprocessingml.header+xml"/>
  <Override PartName="/word/footer430.xml" ContentType="application/vnd.openxmlformats-officedocument.wordprocessingml.footer+xml"/>
  <Override PartName="/word/header438.xml" ContentType="application/vnd.openxmlformats-officedocument.wordprocessingml.header+xml"/>
  <Override PartName="/word/footer431.xml" ContentType="application/vnd.openxmlformats-officedocument.wordprocessingml.footer+xml"/>
  <Override PartName="/word/header439.xml" ContentType="application/vnd.openxmlformats-officedocument.wordprocessingml.header+xml"/>
  <Override PartName="/word/footer432.xml" ContentType="application/vnd.openxmlformats-officedocument.wordprocessingml.footer+xml"/>
  <Override PartName="/word/header440.xml" ContentType="application/vnd.openxmlformats-officedocument.wordprocessingml.header+xml"/>
  <Override PartName="/word/footer433.xml" ContentType="application/vnd.openxmlformats-officedocument.wordprocessingml.footer+xml"/>
  <Override PartName="/word/header441.xml" ContentType="application/vnd.openxmlformats-officedocument.wordprocessingml.header+xml"/>
  <Override PartName="/word/footer434.xml" ContentType="application/vnd.openxmlformats-officedocument.wordprocessingml.footer+xml"/>
  <Override PartName="/word/header442.xml" ContentType="application/vnd.openxmlformats-officedocument.wordprocessingml.header+xml"/>
  <Override PartName="/word/footer435.xml" ContentType="application/vnd.openxmlformats-officedocument.wordprocessingml.footer+xml"/>
  <Override PartName="/word/header443.xml" ContentType="application/vnd.openxmlformats-officedocument.wordprocessingml.header+xml"/>
  <Override PartName="/word/footer436.xml" ContentType="application/vnd.openxmlformats-officedocument.wordprocessingml.footer+xml"/>
  <Override PartName="/word/header444.xml" ContentType="application/vnd.openxmlformats-officedocument.wordprocessingml.header+xml"/>
  <Override PartName="/word/footer437.xml" ContentType="application/vnd.openxmlformats-officedocument.wordprocessingml.footer+xml"/>
  <Override PartName="/word/header445.xml" ContentType="application/vnd.openxmlformats-officedocument.wordprocessingml.header+xml"/>
  <Override PartName="/word/footer438.xml" ContentType="application/vnd.openxmlformats-officedocument.wordprocessingml.footer+xml"/>
  <Override PartName="/word/header446.xml" ContentType="application/vnd.openxmlformats-officedocument.wordprocessingml.header+xml"/>
  <Override PartName="/word/footer439.xml" ContentType="application/vnd.openxmlformats-officedocument.wordprocessingml.footer+xml"/>
  <Override PartName="/word/header447.xml" ContentType="application/vnd.openxmlformats-officedocument.wordprocessingml.header+xml"/>
  <Override PartName="/word/footer440.xml" ContentType="application/vnd.openxmlformats-officedocument.wordprocessingml.footer+xml"/>
  <Override PartName="/word/header448.xml" ContentType="application/vnd.openxmlformats-officedocument.wordprocessingml.header+xml"/>
  <Override PartName="/word/footer441.xml" ContentType="application/vnd.openxmlformats-officedocument.wordprocessingml.footer+xml"/>
  <Override PartName="/word/header449.xml" ContentType="application/vnd.openxmlformats-officedocument.wordprocessingml.header+xml"/>
  <Override PartName="/word/footer442.xml" ContentType="application/vnd.openxmlformats-officedocument.wordprocessingml.footer+xml"/>
  <Override PartName="/word/header450.xml" ContentType="application/vnd.openxmlformats-officedocument.wordprocessingml.header+xml"/>
  <Override PartName="/word/footer443.xml" ContentType="application/vnd.openxmlformats-officedocument.wordprocessingml.footer+xml"/>
  <Override PartName="/word/header451.xml" ContentType="application/vnd.openxmlformats-officedocument.wordprocessingml.header+xml"/>
  <Override PartName="/word/footer444.xml" ContentType="application/vnd.openxmlformats-officedocument.wordprocessingml.footer+xml"/>
  <Override PartName="/word/header452.xml" ContentType="application/vnd.openxmlformats-officedocument.wordprocessingml.header+xml"/>
  <Override PartName="/word/footer445.xml" ContentType="application/vnd.openxmlformats-officedocument.wordprocessingml.footer+xml"/>
  <Override PartName="/word/header453.xml" ContentType="application/vnd.openxmlformats-officedocument.wordprocessingml.header+xml"/>
  <Override PartName="/word/footer446.xml" ContentType="application/vnd.openxmlformats-officedocument.wordprocessingml.footer+xml"/>
  <Override PartName="/word/header454.xml" ContentType="application/vnd.openxmlformats-officedocument.wordprocessingml.header+xml"/>
  <Override PartName="/word/footer447.xml" ContentType="application/vnd.openxmlformats-officedocument.wordprocessingml.footer+xml"/>
  <Override PartName="/word/header455.xml" ContentType="application/vnd.openxmlformats-officedocument.wordprocessingml.header+xml"/>
  <Override PartName="/word/footer448.xml" ContentType="application/vnd.openxmlformats-officedocument.wordprocessingml.footer+xml"/>
  <Override PartName="/word/header456.xml" ContentType="application/vnd.openxmlformats-officedocument.wordprocessingml.header+xml"/>
  <Override PartName="/word/footer449.xml" ContentType="application/vnd.openxmlformats-officedocument.wordprocessingml.footer+xml"/>
  <Override PartName="/word/header457.xml" ContentType="application/vnd.openxmlformats-officedocument.wordprocessingml.header+xml"/>
  <Override PartName="/word/footer450.xml" ContentType="application/vnd.openxmlformats-officedocument.wordprocessingml.footer+xml"/>
  <Override PartName="/word/header458.xml" ContentType="application/vnd.openxmlformats-officedocument.wordprocessingml.header+xml"/>
  <Override PartName="/word/footer451.xml" ContentType="application/vnd.openxmlformats-officedocument.wordprocessingml.footer+xml"/>
  <Override PartName="/word/header459.xml" ContentType="application/vnd.openxmlformats-officedocument.wordprocessingml.header+xml"/>
  <Override PartName="/word/footer452.xml" ContentType="application/vnd.openxmlformats-officedocument.wordprocessingml.footer+xml"/>
  <Override PartName="/word/header460.xml" ContentType="application/vnd.openxmlformats-officedocument.wordprocessingml.header+xml"/>
  <Override PartName="/word/footer45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5"/>
        <w:rPr>
          <w:sz w:val="20"/>
        </w:rPr>
      </w:pPr>
      <w:r>
        <w:rPr>
          <w:sz w:val="20"/>
        </w:rPr>
        <w:pict>
          <v:group style="width:241.75pt;height:103.05pt;mso-position-horizontal-relative:char;mso-position-vertical-relative:line" coordorigin="0,0" coordsize="4835,2061">
            <v:rect style="position:absolute;left:0;top:0;width:4834;height:2060" filled="true" fillcolor="#ffffff" stroked="false">
              <v:fill type="solid"/>
            </v:rect>
            <v:shapetype id="_x0000_t202" o:spt="202" coordsize="21600,21600" path="m,l,21600r21600,l21600,xe">
              <v:stroke joinstyle="miter"/>
              <v:path gradientshapeok="t" o:connecttype="rect"/>
            </v:shapetype>
            <v:shape style="position:absolute;left:0;top:0;width:4835;height:2061" type="#_x0000_t202" filled="false" stroked="false">
              <v:textbox inset="0,0,0,0">
                <w:txbxContent>
                  <w:p>
                    <w:pPr>
                      <w:spacing w:line="240" w:lineRule="auto" w:before="5"/>
                      <w:rPr>
                        <w:sz w:val="57"/>
                      </w:rPr>
                    </w:pPr>
                  </w:p>
                  <w:p>
                    <w:pPr>
                      <w:spacing w:line="460" w:lineRule="exact" w:before="0"/>
                      <w:ind w:left="225" w:right="0" w:firstLine="0"/>
                      <w:jc w:val="left"/>
                      <w:rPr>
                        <w:rFonts w:ascii="Calibri" w:hAnsi="Calibri"/>
                        <w:b/>
                        <w:sz w:val="40"/>
                      </w:rPr>
                    </w:pPr>
                    <w:r>
                      <w:rPr>
                        <w:rFonts w:ascii="Calibri" w:hAnsi="Calibri"/>
                        <w:b/>
                        <w:color w:val="231F20"/>
                        <w:spacing w:val="3"/>
                        <w:w w:val="105"/>
                        <w:sz w:val="40"/>
                      </w:rPr>
                      <w:t>Estudios </w:t>
                    </w:r>
                    <w:r>
                      <w:rPr>
                        <w:rFonts w:ascii="Calibri" w:hAnsi="Calibri"/>
                        <w:b/>
                        <w:color w:val="231F20"/>
                        <w:w w:val="105"/>
                        <w:sz w:val="40"/>
                      </w:rPr>
                      <w:t>sobre </w:t>
                    </w:r>
                    <w:r>
                      <w:rPr>
                        <w:rFonts w:ascii="Calibri" w:hAnsi="Calibri"/>
                        <w:b/>
                        <w:color w:val="231F20"/>
                        <w:spacing w:val="4"/>
                        <w:w w:val="105"/>
                        <w:sz w:val="40"/>
                      </w:rPr>
                      <w:t>violencia </w:t>
                    </w:r>
                    <w:r>
                      <w:rPr>
                        <w:rFonts w:ascii="Calibri" w:hAnsi="Calibri"/>
                        <w:b/>
                        <w:color w:val="231F20"/>
                        <w:w w:val="105"/>
                        <w:sz w:val="40"/>
                      </w:rPr>
                      <w:t>en la</w:t>
                    </w:r>
                    <w:r>
                      <w:rPr>
                        <w:rFonts w:ascii="Calibri" w:hAnsi="Calibri"/>
                        <w:b/>
                        <w:color w:val="231F20"/>
                        <w:spacing w:val="53"/>
                        <w:w w:val="105"/>
                        <w:sz w:val="40"/>
                      </w:rPr>
                      <w:t> </w:t>
                    </w:r>
                    <w:r>
                      <w:rPr>
                        <w:rFonts w:ascii="Calibri" w:hAnsi="Calibri"/>
                        <w:b/>
                        <w:color w:val="231F20"/>
                        <w:spacing w:val="4"/>
                        <w:w w:val="105"/>
                        <w:sz w:val="40"/>
                      </w:rPr>
                      <w:t>educación</w:t>
                    </w:r>
                  </w:p>
                  <w:p>
                    <w:pPr>
                      <w:spacing w:before="61"/>
                      <w:ind w:left="225" w:right="0" w:firstLine="0"/>
                      <w:jc w:val="left"/>
                      <w:rPr>
                        <w:rFonts w:ascii="Calibri"/>
                        <w:b/>
                        <w:sz w:val="28"/>
                      </w:rPr>
                    </w:pPr>
                    <w:r>
                      <w:rPr>
                        <w:rFonts w:ascii="Calibri"/>
                        <w:b/>
                        <w:color w:val="231F20"/>
                        <w:w w:val="110"/>
                        <w:sz w:val="28"/>
                      </w:rPr>
                      <w:t>Enfoques, textos y contextos</w:t>
                    </w:r>
                  </w:p>
                </w:txbxContent>
              </v:textbox>
              <w10:wrap type="none"/>
            </v:shape>
          </v:group>
        </w:pict>
      </w:r>
      <w:r>
        <w:rPr>
          <w:sz w:val="20"/>
        </w:rPr>
      </w:r>
    </w:p>
    <w:p>
      <w:pPr>
        <w:pStyle w:val="BodyText"/>
        <w:spacing w:before="8"/>
        <w:rPr>
          <w:sz w:val="9"/>
        </w:rPr>
      </w:pPr>
    </w:p>
    <w:p>
      <w:pPr>
        <w:spacing w:line="300" w:lineRule="exact" w:before="67"/>
        <w:ind w:left="3200" w:right="114" w:hanging="372"/>
        <w:jc w:val="right"/>
        <w:rPr>
          <w:rFonts w:ascii="Calibri" w:hAnsi="Calibri"/>
          <w:sz w:val="26"/>
        </w:rPr>
      </w:pPr>
      <w:r>
        <w:rPr>
          <w:rFonts w:ascii="Calibri" w:hAnsi="Calibri"/>
          <w:color w:val="323031"/>
          <w:w w:val="105"/>
          <w:sz w:val="26"/>
        </w:rPr>
        <w:t>Irma Guadalupe González Corzo</w:t>
      </w:r>
      <w:r>
        <w:rPr>
          <w:rFonts w:ascii="Calibri" w:hAnsi="Calibri"/>
          <w:color w:val="323031"/>
          <w:w w:val="107"/>
          <w:sz w:val="26"/>
        </w:rPr>
        <w:t> </w:t>
      </w:r>
      <w:r>
        <w:rPr>
          <w:rFonts w:ascii="Calibri" w:hAnsi="Calibri"/>
          <w:color w:val="323031"/>
          <w:w w:val="105"/>
          <w:sz w:val="26"/>
        </w:rPr>
        <w:t>Rosa María Ramírez Martínez</w:t>
      </w:r>
    </w:p>
    <w:p>
      <w:pPr>
        <w:spacing w:line="221" w:lineRule="exact" w:before="0"/>
        <w:ind w:left="0" w:right="114" w:firstLine="0"/>
        <w:jc w:val="right"/>
        <w:rPr>
          <w:rFonts w:ascii="Tahoma"/>
          <w:sz w:val="20"/>
        </w:rPr>
      </w:pPr>
      <w:r>
        <w:rPr>
          <w:rFonts w:ascii="Tahoma"/>
          <w:color w:val="323031"/>
          <w:sz w:val="20"/>
        </w:rPr>
        <w:t>(coordinadoras)</w:t>
      </w:r>
    </w:p>
    <w:p>
      <w:pPr>
        <w:pStyle w:val="BodyText"/>
        <w:spacing w:before="5"/>
        <w:rPr>
          <w:rFonts w:ascii="Tahoma"/>
          <w:sz w:val="15"/>
        </w:rPr>
      </w:pPr>
      <w:r>
        <w:rPr/>
        <w:drawing>
          <wp:anchor distT="0" distB="0" distL="0" distR="0" allowOverlap="1" layoutInCell="1" locked="0" behindDoc="0" simplePos="0" relativeHeight="1072">
            <wp:simplePos x="0" y="0"/>
            <wp:positionH relativeFrom="page">
              <wp:posOffset>467296</wp:posOffset>
            </wp:positionH>
            <wp:positionV relativeFrom="paragraph">
              <wp:posOffset>142912</wp:posOffset>
            </wp:positionV>
            <wp:extent cx="4036444" cy="4306824"/>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4036444" cy="4306824"/>
                    </a:xfrm>
                    <a:prstGeom prst="rect">
                      <a:avLst/>
                    </a:prstGeom>
                  </pic:spPr>
                </pic:pic>
              </a:graphicData>
            </a:graphic>
          </wp:anchor>
        </w:drawing>
      </w:r>
    </w:p>
    <w:p>
      <w:pPr>
        <w:pStyle w:val="BodyText"/>
        <w:spacing w:before="11"/>
        <w:rPr>
          <w:rFonts w:ascii="Tahoma"/>
          <w:sz w:val="25"/>
        </w:rPr>
      </w:pPr>
    </w:p>
    <w:p>
      <w:pPr>
        <w:spacing w:line="309" w:lineRule="auto" w:before="0"/>
        <w:ind w:left="2040" w:right="114" w:hanging="167"/>
        <w:jc w:val="right"/>
        <w:rPr>
          <w:rFonts w:ascii="Calibri" w:hAnsi="Calibri"/>
          <w:sz w:val="19"/>
        </w:rPr>
      </w:pPr>
      <w:r>
        <w:rPr>
          <w:rFonts w:ascii="Calibri" w:hAnsi="Calibri"/>
          <w:color w:val="323031"/>
          <w:w w:val="110"/>
          <w:sz w:val="19"/>
        </w:rPr>
        <w:t>UNIVERSIDAD AUTÓNOMA DEL ESTADO DE MORELOS</w:t>
      </w:r>
      <w:r>
        <w:rPr>
          <w:rFonts w:ascii="Calibri" w:hAnsi="Calibri"/>
          <w:color w:val="323031"/>
          <w:w w:val="119"/>
          <w:sz w:val="19"/>
        </w:rPr>
        <w:t> </w:t>
      </w:r>
      <w:r>
        <w:rPr>
          <w:rFonts w:ascii="Calibri" w:hAnsi="Calibri"/>
          <w:color w:val="323031"/>
          <w:w w:val="110"/>
          <w:sz w:val="19"/>
        </w:rPr>
        <w:t>UNIVERSIDAD AUTÓNOMA DEL ESTADO DE MÉXICO</w:t>
      </w:r>
    </w:p>
    <w:p>
      <w:pPr>
        <w:spacing w:line="282" w:lineRule="exact" w:before="0"/>
        <w:ind w:left="0" w:right="114" w:firstLine="0"/>
        <w:jc w:val="right"/>
        <w:rPr>
          <w:rFonts w:ascii="Palatino Linotype" w:hAnsi="Palatino Linotype"/>
          <w:b/>
          <w:sz w:val="22"/>
        </w:rPr>
      </w:pPr>
      <w:r>
        <w:rPr>
          <w:rFonts w:ascii="Palatino Linotype" w:hAnsi="Palatino Linotype"/>
          <w:b/>
          <w:color w:val="7D2A43"/>
          <w:sz w:val="22"/>
        </w:rPr>
        <w:t>Praxis / Educación 1</w:t>
      </w:r>
    </w:p>
    <w:p>
      <w:pPr>
        <w:spacing w:after="0" w:line="282" w:lineRule="exact"/>
        <w:jc w:val="right"/>
        <w:rPr>
          <w:rFonts w:ascii="Palatino Linotype" w:hAnsi="Palatino Linotype"/>
          <w:sz w:val="22"/>
        </w:rPr>
        <w:sectPr>
          <w:headerReference w:type="default" r:id="rId5"/>
          <w:type w:val="continuous"/>
          <w:pgSz w:w="7940" w:h="11910"/>
          <w:pgMar w:header="0" w:top="0" w:bottom="280" w:left="620" w:right="720"/>
        </w:sectPr>
      </w:pPr>
    </w:p>
    <w:p>
      <w:pPr>
        <w:pStyle w:val="BodyText"/>
        <w:spacing w:before="4"/>
        <w:rPr>
          <w:sz w:val="17"/>
        </w:rPr>
      </w:pPr>
    </w:p>
    <w:p>
      <w:pPr>
        <w:spacing w:after="0"/>
        <w:rPr>
          <w:sz w:val="17"/>
        </w:rPr>
        <w:sectPr>
          <w:headerReference w:type="default" r:id="rId7"/>
          <w:pgSz w:w="7830" w:h="11910"/>
          <w:pgMar w:header="0" w:footer="0" w:top="1100" w:bottom="280" w:left="1060" w:right="1060"/>
        </w:sectPr>
      </w:pPr>
    </w:p>
    <w:p>
      <w:pPr>
        <w:pStyle w:val="BodyText"/>
        <w:spacing w:before="4"/>
        <w:rPr>
          <w:sz w:val="17"/>
        </w:rPr>
      </w:pPr>
    </w:p>
    <w:p>
      <w:pPr>
        <w:spacing w:after="0"/>
        <w:rPr>
          <w:sz w:val="17"/>
        </w:rPr>
        <w:sectPr>
          <w:headerReference w:type="default" r:id="rId8"/>
          <w:pgSz w:w="7830" w:h="11910"/>
          <w:pgMar w:header="0" w:footer="0" w:top="1100" w:bottom="280" w:left="106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spacing w:before="52"/>
        <w:ind w:left="561" w:right="559" w:firstLine="0"/>
        <w:jc w:val="center"/>
        <w:rPr>
          <w:sz w:val="28"/>
        </w:rPr>
      </w:pPr>
      <w:r>
        <w:rPr/>
        <w:pict>
          <v:line style="position:absolute;mso-position-horizontal-relative:page;mso-position-vertical-relative:paragraph;z-index:1096;mso-wrap-distance-left:0;mso-wrap-distance-right:0" from="89.440598pt,23.436411pt" to="309.078598pt,23.436411pt" stroked="true" strokeweight=".75pt" strokecolor="#231f20">
            <w10:wrap type="topAndBottom"/>
          </v:line>
        </w:pict>
      </w:r>
      <w:r>
        <w:rPr>
          <w:color w:val="231F20"/>
          <w:sz w:val="28"/>
        </w:rPr>
        <w:t>Estudios sobre violencia en la educación</w:t>
      </w:r>
    </w:p>
    <w:p>
      <w:pPr>
        <w:pStyle w:val="Heading1"/>
      </w:pPr>
      <w:r>
        <w:rPr>
          <w:color w:val="231F20"/>
        </w:rPr>
        <w:t>Enfoques, textos y contextos</w:t>
      </w:r>
    </w:p>
    <w:p>
      <w:pPr>
        <w:spacing w:after="0"/>
        <w:sectPr>
          <w:headerReference w:type="default" r:id="rId9"/>
          <w:pgSz w:w="7830" w:h="11910"/>
          <w:pgMar w:header="0" w:footer="0" w:top="1100" w:bottom="280" w:left="1060" w:right="1060"/>
        </w:sectPr>
      </w:pPr>
    </w:p>
    <w:p>
      <w:pPr>
        <w:pStyle w:val="BodyText"/>
        <w:spacing w:before="4"/>
        <w:rPr>
          <w:sz w:val="17"/>
        </w:rPr>
      </w:pPr>
    </w:p>
    <w:p>
      <w:pPr>
        <w:spacing w:after="0"/>
        <w:rPr>
          <w:sz w:val="17"/>
        </w:rPr>
        <w:sectPr>
          <w:headerReference w:type="default" r:id="rId10"/>
          <w:pgSz w:w="7830" w:h="11910"/>
          <w:pgMar w:header="0" w:footer="0" w:top="1100" w:bottom="280" w:left="106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spacing w:before="52"/>
        <w:ind w:left="561" w:right="558" w:firstLine="0"/>
        <w:jc w:val="center"/>
        <w:rPr>
          <w:sz w:val="28"/>
        </w:rPr>
      </w:pPr>
      <w:r>
        <w:rPr/>
        <w:pict>
          <v:line style="position:absolute;mso-position-horizontal-relative:page;mso-position-vertical-relative:paragraph;z-index:1120;mso-wrap-distance-left:0;mso-wrap-distance-right:0" from="88.540497pt,23.027718pt" to="308.178497pt,23.027718pt" stroked="true" strokeweight=".75pt" strokecolor="#231f20">
            <w10:wrap type="topAndBottom"/>
          </v:line>
        </w:pict>
      </w:r>
      <w:r>
        <w:rPr>
          <w:color w:val="231F20"/>
          <w:sz w:val="28"/>
        </w:rPr>
        <w:t>Estudios sobre violencia en la educación</w:t>
      </w:r>
    </w:p>
    <w:p>
      <w:pPr>
        <w:pStyle w:val="Heading1"/>
      </w:pPr>
      <w:r>
        <w:rPr>
          <w:color w:val="231F20"/>
        </w:rPr>
        <w:t>Enfoques, textos y contextos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3"/>
        <w:rPr>
          <w:sz w:val="29"/>
        </w:rPr>
      </w:pPr>
    </w:p>
    <w:p>
      <w:pPr>
        <w:spacing w:line="249" w:lineRule="auto" w:before="0"/>
        <w:ind w:left="1585" w:right="1579" w:firstLine="0"/>
        <w:jc w:val="center"/>
        <w:rPr>
          <w:sz w:val="17"/>
        </w:rPr>
      </w:pPr>
      <w:r>
        <w:rPr>
          <w:color w:val="231F20"/>
          <w:sz w:val="19"/>
        </w:rPr>
        <w:t>Irma Guadalupe González Corzo Rosa María Ramírez Martínez </w:t>
      </w:r>
      <w:r>
        <w:rPr>
          <w:color w:val="231F20"/>
          <w:sz w:val="17"/>
        </w:rPr>
        <w:t>(coordinadoras)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r>
        <w:rPr/>
        <w:drawing>
          <wp:anchor distT="0" distB="0" distL="0" distR="0" allowOverlap="1" layoutInCell="1" locked="0" behindDoc="0" simplePos="0" relativeHeight="1144">
            <wp:simplePos x="0" y="0"/>
            <wp:positionH relativeFrom="page">
              <wp:posOffset>1318139</wp:posOffset>
            </wp:positionH>
            <wp:positionV relativeFrom="paragraph">
              <wp:posOffset>170734</wp:posOffset>
            </wp:positionV>
            <wp:extent cx="904267" cy="594360"/>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2" cstate="print"/>
                    <a:stretch>
                      <a:fillRect/>
                    </a:stretch>
                  </pic:blipFill>
                  <pic:spPr>
                    <a:xfrm>
                      <a:off x="0" y="0"/>
                      <a:ext cx="904267" cy="594360"/>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2756414</wp:posOffset>
            </wp:positionH>
            <wp:positionV relativeFrom="paragraph">
              <wp:posOffset>161209</wp:posOffset>
            </wp:positionV>
            <wp:extent cx="1304463" cy="646176"/>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3" cstate="print"/>
                    <a:stretch>
                      <a:fillRect/>
                    </a:stretch>
                  </pic:blipFill>
                  <pic:spPr>
                    <a:xfrm>
                      <a:off x="0" y="0"/>
                      <a:ext cx="1304463" cy="646176"/>
                    </a:xfrm>
                    <a:prstGeom prst="rect">
                      <a:avLst/>
                    </a:prstGeom>
                  </pic:spPr>
                </pic:pic>
              </a:graphicData>
            </a:graphic>
          </wp:anchor>
        </w:drawing>
      </w:r>
    </w:p>
    <w:p>
      <w:pPr>
        <w:pStyle w:val="BodyText"/>
        <w:spacing w:before="1"/>
        <w:rPr>
          <w:sz w:val="18"/>
        </w:rPr>
      </w:pPr>
    </w:p>
    <w:p>
      <w:pPr>
        <w:spacing w:line="266" w:lineRule="auto" w:before="0"/>
        <w:ind w:left="1083" w:right="1056" w:firstLine="0"/>
        <w:jc w:val="center"/>
        <w:rPr>
          <w:rFonts w:ascii="PMingLiU" w:hAnsi="PMingLiU"/>
          <w:sz w:val="17"/>
        </w:rPr>
      </w:pPr>
      <w:r>
        <w:rPr>
          <w:color w:val="231F20"/>
          <w:sz w:val="19"/>
        </w:rPr>
        <w:t>Universidad Autónoma del Estado de Morelos Universidad Autónoma del Estado de México </w:t>
      </w:r>
      <w:r>
        <w:rPr>
          <w:color w:val="231F20"/>
          <w:sz w:val="17"/>
        </w:rPr>
        <w:t>México, 201</w:t>
      </w:r>
      <w:r>
        <w:rPr>
          <w:rFonts w:ascii="PMingLiU" w:hAnsi="PMingLiU"/>
          <w:color w:val="231F20"/>
          <w:sz w:val="17"/>
        </w:rPr>
        <w:t>5</w:t>
      </w:r>
    </w:p>
    <w:p>
      <w:pPr>
        <w:spacing w:after="0" w:line="266" w:lineRule="auto"/>
        <w:jc w:val="center"/>
        <w:rPr>
          <w:rFonts w:ascii="PMingLiU" w:hAnsi="PMingLiU"/>
          <w:sz w:val="17"/>
        </w:rPr>
        <w:sectPr>
          <w:headerReference w:type="default" r:id="rId11"/>
          <w:pgSz w:w="7830" w:h="11910"/>
          <w:pgMar w:header="0" w:footer="0" w:top="1100" w:bottom="280" w:left="1060" w:right="1060"/>
        </w:sectPr>
      </w:pPr>
    </w:p>
    <w:p>
      <w:pPr>
        <w:spacing w:line="158" w:lineRule="exact" w:before="73"/>
        <w:ind w:left="120" w:right="104" w:firstLine="1"/>
        <w:jc w:val="left"/>
        <w:rPr>
          <w:sz w:val="14"/>
        </w:rPr>
      </w:pPr>
      <w:r>
        <w:rPr>
          <w:color w:val="231F20"/>
          <w:sz w:val="14"/>
        </w:rPr>
        <w:t>Esta</w:t>
      </w:r>
      <w:r>
        <w:rPr>
          <w:color w:val="231F20"/>
          <w:spacing w:val="-17"/>
          <w:sz w:val="14"/>
        </w:rPr>
        <w:t> </w:t>
      </w:r>
      <w:r>
        <w:rPr>
          <w:color w:val="231F20"/>
          <w:sz w:val="14"/>
        </w:rPr>
        <w:t>publicación</w:t>
      </w:r>
      <w:r>
        <w:rPr>
          <w:color w:val="231F20"/>
          <w:spacing w:val="-17"/>
          <w:sz w:val="14"/>
        </w:rPr>
        <w:t> </w:t>
      </w:r>
      <w:r>
        <w:rPr>
          <w:color w:val="231F20"/>
          <w:sz w:val="14"/>
        </w:rPr>
        <w:t>fue</w:t>
      </w:r>
      <w:r>
        <w:rPr>
          <w:color w:val="231F20"/>
          <w:spacing w:val="-17"/>
          <w:sz w:val="14"/>
        </w:rPr>
        <w:t> </w:t>
      </w:r>
      <w:r>
        <w:rPr>
          <w:color w:val="231F20"/>
          <w:sz w:val="14"/>
        </w:rPr>
        <w:t>financiada</w:t>
      </w:r>
      <w:r>
        <w:rPr>
          <w:color w:val="231F20"/>
          <w:spacing w:val="-18"/>
          <w:sz w:val="14"/>
        </w:rPr>
        <w:t> </w:t>
      </w:r>
      <w:r>
        <w:rPr>
          <w:color w:val="231F20"/>
          <w:sz w:val="14"/>
        </w:rPr>
        <w:t>con</w:t>
      </w:r>
      <w:r>
        <w:rPr>
          <w:color w:val="231F20"/>
          <w:spacing w:val="-17"/>
          <w:sz w:val="14"/>
        </w:rPr>
        <w:t> </w:t>
      </w:r>
      <w:r>
        <w:rPr>
          <w:color w:val="231F20"/>
          <w:sz w:val="14"/>
        </w:rPr>
        <w:t>recursos</w:t>
      </w:r>
      <w:r>
        <w:rPr>
          <w:color w:val="231F20"/>
          <w:spacing w:val="-17"/>
          <w:sz w:val="14"/>
        </w:rPr>
        <w:t> </w:t>
      </w:r>
      <w:r>
        <w:rPr>
          <w:color w:val="231F20"/>
          <w:sz w:val="14"/>
        </w:rPr>
        <w:t>del</w:t>
      </w:r>
      <w:r>
        <w:rPr>
          <w:color w:val="231F20"/>
          <w:spacing w:val="-17"/>
          <w:sz w:val="14"/>
        </w:rPr>
        <w:t> </w:t>
      </w:r>
      <w:r>
        <w:rPr>
          <w:color w:val="231F20"/>
          <w:sz w:val="14"/>
        </w:rPr>
        <w:t>Programa</w:t>
      </w:r>
      <w:r>
        <w:rPr>
          <w:color w:val="231F20"/>
          <w:spacing w:val="-17"/>
          <w:sz w:val="14"/>
        </w:rPr>
        <w:t> </w:t>
      </w:r>
      <w:r>
        <w:rPr>
          <w:color w:val="231F20"/>
          <w:sz w:val="14"/>
        </w:rPr>
        <w:t>Integral</w:t>
      </w:r>
      <w:r>
        <w:rPr>
          <w:color w:val="231F20"/>
          <w:spacing w:val="-17"/>
          <w:sz w:val="14"/>
        </w:rPr>
        <w:t> </w:t>
      </w:r>
      <w:r>
        <w:rPr>
          <w:color w:val="231F20"/>
          <w:sz w:val="14"/>
        </w:rPr>
        <w:t>de</w:t>
      </w:r>
      <w:r>
        <w:rPr>
          <w:color w:val="231F20"/>
          <w:spacing w:val="-17"/>
          <w:sz w:val="14"/>
        </w:rPr>
        <w:t> </w:t>
      </w:r>
      <w:r>
        <w:rPr>
          <w:color w:val="231F20"/>
          <w:sz w:val="14"/>
        </w:rPr>
        <w:t>Fortalecimiento</w:t>
      </w:r>
      <w:r>
        <w:rPr>
          <w:color w:val="231F20"/>
          <w:spacing w:val="-18"/>
          <w:sz w:val="14"/>
        </w:rPr>
        <w:t> </w:t>
      </w:r>
      <w:r>
        <w:rPr>
          <w:color w:val="231F20"/>
          <w:sz w:val="14"/>
        </w:rPr>
        <w:t>Institucional</w:t>
      </w:r>
      <w:r>
        <w:rPr>
          <w:color w:val="231F20"/>
          <w:spacing w:val="-17"/>
          <w:sz w:val="14"/>
        </w:rPr>
        <w:t> </w:t>
      </w:r>
      <w:r>
        <w:rPr>
          <w:color w:val="231F20"/>
          <w:sz w:val="14"/>
        </w:rPr>
        <w:t>(PIFI) 2013. Este programa es público ajeno a cualquier partido político. Queda prohibido el uso para fines distintos</w:t>
      </w:r>
      <w:r>
        <w:rPr>
          <w:color w:val="231F20"/>
          <w:spacing w:val="-18"/>
          <w:sz w:val="14"/>
        </w:rPr>
        <w:t> </w:t>
      </w:r>
      <w:r>
        <w:rPr>
          <w:color w:val="231F20"/>
          <w:sz w:val="14"/>
        </w:rPr>
        <w:t>a</w:t>
      </w:r>
      <w:r>
        <w:rPr>
          <w:color w:val="231F20"/>
          <w:spacing w:val="-18"/>
          <w:sz w:val="14"/>
        </w:rPr>
        <w:t> </w:t>
      </w:r>
      <w:r>
        <w:rPr>
          <w:color w:val="231F20"/>
          <w:sz w:val="14"/>
        </w:rPr>
        <w:t>los</w:t>
      </w:r>
      <w:r>
        <w:rPr>
          <w:color w:val="231F20"/>
          <w:spacing w:val="-18"/>
          <w:sz w:val="14"/>
        </w:rPr>
        <w:t> </w:t>
      </w:r>
      <w:r>
        <w:rPr>
          <w:color w:val="231F20"/>
          <w:sz w:val="14"/>
        </w:rPr>
        <w:t>establecidos</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z w:val="14"/>
        </w:rPr>
        <w:t>programa.</w:t>
      </w:r>
    </w:p>
    <w:p>
      <w:pPr>
        <w:pStyle w:val="BodyText"/>
        <w:spacing w:before="10"/>
        <w:rPr>
          <w:sz w:val="10"/>
        </w:rPr>
      </w:pPr>
      <w:r>
        <w:rPr/>
        <w:pict>
          <v:group style="position:absolute;margin-left:51.4156pt;margin-top:8.224978pt;width:270.150pt;height:108.2pt;mso-position-horizontal-relative:page;mso-position-vertical-relative:paragraph;z-index:1264;mso-wrap-distance-left:0;mso-wrap-distance-right:0" coordorigin="1028,164" coordsize="5403,2164">
            <v:rect style="position:absolute;left:1031;top:167;width:5397;height:2159" filled="false" stroked="true" strokeweight=".25pt" strokecolor="#231f20"/>
            <v:shape style="position:absolute;left:1175;top:251;width:5109;height:1714" type="#_x0000_t202" filled="false" stroked="false">
              <v:textbox inset="0,0,0,0">
                <w:txbxContent>
                  <w:p>
                    <w:pPr>
                      <w:spacing w:line="136" w:lineRule="exact" w:before="0"/>
                      <w:ind w:left="427" w:right="-3" w:hanging="426"/>
                      <w:jc w:val="left"/>
                      <w:rPr>
                        <w:sz w:val="14"/>
                      </w:rPr>
                    </w:pPr>
                    <w:r>
                      <w:rPr>
                        <w:color w:val="231F20"/>
                        <w:sz w:val="14"/>
                      </w:rPr>
                      <w:t>Estudios</w:t>
                    </w:r>
                    <w:r>
                      <w:rPr>
                        <w:color w:val="231F20"/>
                        <w:spacing w:val="-13"/>
                        <w:sz w:val="14"/>
                      </w:rPr>
                      <w:t> </w:t>
                    </w:r>
                    <w:r>
                      <w:rPr>
                        <w:color w:val="231F20"/>
                        <w:sz w:val="14"/>
                      </w:rPr>
                      <w:t>sobre</w:t>
                    </w:r>
                    <w:r>
                      <w:rPr>
                        <w:color w:val="231F20"/>
                        <w:spacing w:val="-13"/>
                        <w:sz w:val="14"/>
                      </w:rPr>
                      <w:t> </w:t>
                    </w:r>
                    <w:r>
                      <w:rPr>
                        <w:color w:val="231F20"/>
                        <w:sz w:val="14"/>
                      </w:rPr>
                      <w:t>violencia</w:t>
                    </w:r>
                    <w:r>
                      <w:rPr>
                        <w:color w:val="231F20"/>
                        <w:spacing w:val="-13"/>
                        <w:sz w:val="14"/>
                      </w:rPr>
                      <w:t> </w:t>
                    </w:r>
                    <w:r>
                      <w:rPr>
                        <w:color w:val="231F20"/>
                        <w:sz w:val="14"/>
                      </w:rPr>
                      <w:t>en</w:t>
                    </w:r>
                    <w:r>
                      <w:rPr>
                        <w:color w:val="231F20"/>
                        <w:spacing w:val="-13"/>
                        <w:sz w:val="14"/>
                      </w:rPr>
                      <w:t> </w:t>
                    </w:r>
                    <w:r>
                      <w:rPr>
                        <w:color w:val="231F20"/>
                        <w:sz w:val="14"/>
                      </w:rPr>
                      <w:t>la</w:t>
                    </w:r>
                    <w:r>
                      <w:rPr>
                        <w:color w:val="231F20"/>
                        <w:spacing w:val="-13"/>
                        <w:sz w:val="14"/>
                      </w:rPr>
                      <w:t> </w:t>
                    </w:r>
                    <w:r>
                      <w:rPr>
                        <w:color w:val="231F20"/>
                        <w:sz w:val="14"/>
                      </w:rPr>
                      <w:t>educación:</w:t>
                    </w:r>
                    <w:r>
                      <w:rPr>
                        <w:color w:val="231F20"/>
                        <w:spacing w:val="-13"/>
                        <w:sz w:val="14"/>
                      </w:rPr>
                      <w:t> </w:t>
                    </w:r>
                    <w:r>
                      <w:rPr>
                        <w:color w:val="231F20"/>
                        <w:sz w:val="14"/>
                      </w:rPr>
                      <w:t>Enfoques,</w:t>
                    </w:r>
                    <w:r>
                      <w:rPr>
                        <w:color w:val="231F20"/>
                        <w:spacing w:val="-13"/>
                        <w:sz w:val="14"/>
                      </w:rPr>
                      <w:t> </w:t>
                    </w:r>
                    <w:r>
                      <w:rPr>
                        <w:color w:val="231F20"/>
                        <w:sz w:val="14"/>
                      </w:rPr>
                      <w:t>textos</w:t>
                    </w:r>
                    <w:r>
                      <w:rPr>
                        <w:color w:val="231F20"/>
                        <w:spacing w:val="-13"/>
                        <w:sz w:val="14"/>
                      </w:rPr>
                      <w:t> </w:t>
                    </w:r>
                    <w:r>
                      <w:rPr>
                        <w:color w:val="231F20"/>
                        <w:sz w:val="14"/>
                      </w:rPr>
                      <w:t>y</w:t>
                    </w:r>
                    <w:r>
                      <w:rPr>
                        <w:color w:val="231F20"/>
                        <w:spacing w:val="-13"/>
                        <w:sz w:val="14"/>
                      </w:rPr>
                      <w:t> </w:t>
                    </w:r>
                    <w:r>
                      <w:rPr>
                        <w:color w:val="231F20"/>
                        <w:sz w:val="14"/>
                      </w:rPr>
                      <w:t>contextos</w:t>
                    </w:r>
                    <w:r>
                      <w:rPr>
                        <w:color w:val="231F20"/>
                        <w:spacing w:val="-13"/>
                        <w:sz w:val="14"/>
                      </w:rPr>
                      <w:t> </w:t>
                    </w:r>
                    <w:r>
                      <w:rPr>
                        <w:color w:val="231F20"/>
                        <w:w w:val="150"/>
                        <w:sz w:val="14"/>
                      </w:rPr>
                      <w:t>/</w:t>
                    </w:r>
                    <w:r>
                      <w:rPr>
                        <w:color w:val="231F20"/>
                        <w:spacing w:val="-31"/>
                        <w:w w:val="150"/>
                        <w:sz w:val="14"/>
                      </w:rPr>
                      <w:t> </w:t>
                    </w:r>
                    <w:r>
                      <w:rPr>
                        <w:color w:val="231F20"/>
                        <w:sz w:val="14"/>
                      </w:rPr>
                      <w:t>Rosa</w:t>
                    </w:r>
                    <w:r>
                      <w:rPr>
                        <w:color w:val="231F20"/>
                        <w:spacing w:val="-13"/>
                        <w:sz w:val="14"/>
                      </w:rPr>
                      <w:t> </w:t>
                    </w:r>
                    <w:r>
                      <w:rPr>
                        <w:color w:val="231F20"/>
                        <w:sz w:val="14"/>
                      </w:rPr>
                      <w:t>María</w:t>
                    </w:r>
                    <w:r>
                      <w:rPr>
                        <w:color w:val="231F20"/>
                        <w:spacing w:val="-13"/>
                        <w:sz w:val="14"/>
                      </w:rPr>
                      <w:t> </w:t>
                    </w:r>
                    <w:r>
                      <w:rPr>
                        <w:color w:val="231F20"/>
                        <w:sz w:val="14"/>
                      </w:rPr>
                      <w:t>Ramírez</w:t>
                    </w:r>
                  </w:p>
                  <w:p>
                    <w:pPr>
                      <w:spacing w:line="213" w:lineRule="auto" w:before="13"/>
                      <w:ind w:left="427" w:right="0" w:firstLine="0"/>
                      <w:jc w:val="both"/>
                      <w:rPr>
                        <w:sz w:val="14"/>
                      </w:rPr>
                    </w:pPr>
                    <w:r>
                      <w:rPr>
                        <w:color w:val="231F20"/>
                        <w:sz w:val="14"/>
                      </w:rPr>
                      <w:t>Martínez,</w:t>
                    </w:r>
                    <w:r>
                      <w:rPr>
                        <w:color w:val="231F20"/>
                        <w:spacing w:val="-8"/>
                        <w:sz w:val="14"/>
                      </w:rPr>
                      <w:t> </w:t>
                    </w:r>
                    <w:r>
                      <w:rPr>
                        <w:color w:val="231F20"/>
                        <w:sz w:val="14"/>
                      </w:rPr>
                      <w:t>Irma</w:t>
                    </w:r>
                    <w:r>
                      <w:rPr>
                        <w:color w:val="231F20"/>
                        <w:spacing w:val="-8"/>
                        <w:sz w:val="14"/>
                      </w:rPr>
                      <w:t> </w:t>
                    </w:r>
                    <w:r>
                      <w:rPr>
                        <w:color w:val="231F20"/>
                        <w:sz w:val="14"/>
                      </w:rPr>
                      <w:t>Guadalupe</w:t>
                    </w:r>
                    <w:r>
                      <w:rPr>
                        <w:color w:val="231F20"/>
                        <w:spacing w:val="-8"/>
                        <w:sz w:val="14"/>
                      </w:rPr>
                      <w:t> </w:t>
                    </w:r>
                    <w:r>
                      <w:rPr>
                        <w:color w:val="231F20"/>
                        <w:sz w:val="14"/>
                      </w:rPr>
                      <w:t>González</w:t>
                    </w:r>
                    <w:r>
                      <w:rPr>
                        <w:color w:val="231F20"/>
                        <w:spacing w:val="-8"/>
                        <w:sz w:val="14"/>
                      </w:rPr>
                      <w:t> </w:t>
                    </w:r>
                    <w:r>
                      <w:rPr>
                        <w:color w:val="231F20"/>
                        <w:sz w:val="14"/>
                      </w:rPr>
                      <w:t>Corzo,</w:t>
                    </w:r>
                    <w:r>
                      <w:rPr>
                        <w:color w:val="231F20"/>
                        <w:spacing w:val="-8"/>
                        <w:sz w:val="14"/>
                      </w:rPr>
                      <w:t> </w:t>
                    </w:r>
                    <w:r>
                      <w:rPr>
                        <w:color w:val="231F20"/>
                        <w:sz w:val="14"/>
                      </w:rPr>
                      <w:t>coordinadoras.</w:t>
                    </w:r>
                    <w:r>
                      <w:rPr>
                        <w:color w:val="231F20"/>
                        <w:spacing w:val="-7"/>
                        <w:sz w:val="14"/>
                      </w:rPr>
                      <w:t> </w:t>
                    </w:r>
                    <w:r>
                      <w:rPr>
                        <w:color w:val="231F20"/>
                        <w:sz w:val="14"/>
                      </w:rPr>
                      <w:t>-</w:t>
                    </w:r>
                    <w:r>
                      <w:rPr>
                        <w:color w:val="231F20"/>
                        <w:spacing w:val="-8"/>
                        <w:sz w:val="14"/>
                      </w:rPr>
                      <w:t> </w:t>
                    </w:r>
                    <w:r>
                      <w:rPr>
                        <w:color w:val="231F20"/>
                        <w:sz w:val="14"/>
                      </w:rPr>
                      <w:t>-</w:t>
                    </w:r>
                    <w:r>
                      <w:rPr>
                        <w:color w:val="231F20"/>
                        <w:spacing w:val="-8"/>
                        <w:sz w:val="14"/>
                      </w:rPr>
                      <w:t> </w:t>
                    </w:r>
                    <w:r>
                      <w:rPr>
                        <w:color w:val="231F20"/>
                        <w:sz w:val="14"/>
                      </w:rPr>
                      <w:t>México</w:t>
                    </w:r>
                    <w:r>
                      <w:rPr>
                        <w:color w:val="231F20"/>
                        <w:spacing w:val="-8"/>
                        <w:sz w:val="14"/>
                      </w:rPr>
                      <w:t> </w:t>
                    </w:r>
                    <w:r>
                      <w:rPr>
                        <w:color w:val="231F20"/>
                        <w:sz w:val="14"/>
                      </w:rPr>
                      <w:t>:</w:t>
                    </w:r>
                    <w:r>
                      <w:rPr>
                        <w:color w:val="231F20"/>
                        <w:spacing w:val="-8"/>
                        <w:sz w:val="14"/>
                      </w:rPr>
                      <w:t> </w:t>
                    </w:r>
                    <w:r>
                      <w:rPr>
                        <w:color w:val="231F20"/>
                        <w:sz w:val="14"/>
                      </w:rPr>
                      <w:t>Universidad Autónoma del Estado de México: Universidad Autónoma del Estado de Morelos, 201</w:t>
                    </w:r>
                    <w:r>
                      <w:rPr>
                        <w:rFonts w:ascii="PMingLiU" w:hAnsi="PMingLiU"/>
                        <w:color w:val="231F20"/>
                        <w:sz w:val="14"/>
                      </w:rPr>
                      <w:t>5</w:t>
                    </w:r>
                    <w:r>
                      <w:rPr>
                        <w:color w:val="231F20"/>
                        <w:sz w:val="14"/>
                      </w:rPr>
                      <w:t>.</w:t>
                    </w:r>
                  </w:p>
                  <w:p>
                    <w:pPr>
                      <w:spacing w:before="0"/>
                      <w:ind w:left="105" w:right="-3" w:firstLine="0"/>
                      <w:jc w:val="left"/>
                      <w:rPr>
                        <w:sz w:val="14"/>
                      </w:rPr>
                    </w:pPr>
                    <w:r>
                      <w:rPr>
                        <w:color w:val="231F20"/>
                        <w:sz w:val="14"/>
                      </w:rPr>
                      <w:t>438 p. - - (Praxis. Educación ; 1)</w:t>
                    </w:r>
                  </w:p>
                  <w:p>
                    <w:pPr>
                      <w:spacing w:line="240" w:lineRule="auto" w:before="2"/>
                      <w:rPr>
                        <w:sz w:val="14"/>
                      </w:rPr>
                    </w:pPr>
                  </w:p>
                  <w:p>
                    <w:pPr>
                      <w:spacing w:line="154" w:lineRule="exact" w:before="0"/>
                      <w:ind w:left="105" w:right="3086" w:firstLine="0"/>
                      <w:jc w:val="left"/>
                      <w:rPr>
                        <w:sz w:val="14"/>
                      </w:rPr>
                    </w:pPr>
                    <w:r>
                      <w:rPr>
                        <w:color w:val="231F20"/>
                        <w:sz w:val="14"/>
                      </w:rPr>
                      <w:t>ISBN 978-607-8332-94-6 UAEM </w:t>
                    </w:r>
                    <w:r>
                      <w:rPr>
                        <w:color w:val="231F20"/>
                        <w:w w:val="95"/>
                        <w:sz w:val="14"/>
                      </w:rPr>
                      <w:t>ISBN 978-607-422-604-1UAEMex</w:t>
                    </w:r>
                  </w:p>
                  <w:p>
                    <w:pPr>
                      <w:spacing w:line="240" w:lineRule="auto" w:before="10"/>
                      <w:rPr>
                        <w:sz w:val="13"/>
                      </w:rPr>
                    </w:pPr>
                  </w:p>
                  <w:p>
                    <w:pPr>
                      <w:spacing w:line="158" w:lineRule="exact" w:before="0"/>
                      <w:ind w:left="0" w:right="-3" w:firstLine="104"/>
                      <w:jc w:val="left"/>
                      <w:rPr>
                        <w:sz w:val="14"/>
                      </w:rPr>
                    </w:pPr>
                    <w:r>
                      <w:rPr>
                        <w:color w:val="231F20"/>
                        <w:sz w:val="14"/>
                      </w:rPr>
                      <w:t>1. Violencia escolar – México 2. Violencia escolar – Aspectos psicológicos 3. Educación superior – México – Estudio de casos</w:t>
                    </w:r>
                  </w:p>
                </w:txbxContent>
              </v:textbox>
              <w10:wrap type="none"/>
            </v:shape>
            <v:shape style="position:absolute;left:2590;top:2142;width:818;height:140" type="#_x0000_t202" filled="false" stroked="false">
              <v:textbox inset="0,0,0,0">
                <w:txbxContent>
                  <w:p>
                    <w:pPr>
                      <w:spacing w:line="137" w:lineRule="exact" w:before="0"/>
                      <w:ind w:left="0" w:right="-15" w:firstLine="0"/>
                      <w:jc w:val="left"/>
                      <w:rPr>
                        <w:sz w:val="14"/>
                      </w:rPr>
                    </w:pPr>
                    <w:r>
                      <w:rPr>
                        <w:color w:val="231F20"/>
                        <w:w w:val="95"/>
                        <w:sz w:val="14"/>
                      </w:rPr>
                      <w:t>LCC</w:t>
                    </w:r>
                    <w:r>
                      <w:rPr>
                        <w:color w:val="231F20"/>
                        <w:spacing w:val="-15"/>
                        <w:w w:val="95"/>
                        <w:sz w:val="14"/>
                      </w:rPr>
                      <w:t> </w:t>
                    </w:r>
                    <w:r>
                      <w:rPr>
                        <w:color w:val="231F20"/>
                        <w:w w:val="95"/>
                        <w:sz w:val="14"/>
                      </w:rPr>
                      <w:t>LB3013.3</w:t>
                    </w:r>
                  </w:p>
                </w:txbxContent>
              </v:textbox>
              <w10:wrap type="none"/>
            </v:shape>
            <v:shape style="position:absolute;left:4714;top:2142;width:591;height:140" type="#_x0000_t202" filled="false" stroked="false">
              <v:textbox inset="0,0,0,0">
                <w:txbxContent>
                  <w:p>
                    <w:pPr>
                      <w:spacing w:line="137" w:lineRule="exact" w:before="0"/>
                      <w:ind w:left="0" w:right="-13" w:firstLine="0"/>
                      <w:jc w:val="left"/>
                      <w:rPr>
                        <w:sz w:val="14"/>
                      </w:rPr>
                    </w:pPr>
                    <w:r>
                      <w:rPr>
                        <w:color w:val="231F20"/>
                        <w:w w:val="95"/>
                        <w:sz w:val="14"/>
                      </w:rPr>
                      <w:t>DC 371.58</w:t>
                    </w:r>
                  </w:p>
                </w:txbxContent>
              </v:textbox>
              <w10:wrap type="none"/>
            </v:shape>
            <w10:wrap type="topAndBottom"/>
          </v:group>
        </w:pict>
      </w:r>
    </w:p>
    <w:p>
      <w:pPr>
        <w:pStyle w:val="BodyText"/>
        <w:spacing w:before="5"/>
        <w:rPr>
          <w:sz w:val="17"/>
        </w:rPr>
      </w:pPr>
    </w:p>
    <w:p>
      <w:pPr>
        <w:spacing w:line="232" w:lineRule="auto" w:before="0"/>
        <w:ind w:left="120" w:right="118" w:firstLine="0"/>
        <w:jc w:val="both"/>
        <w:rPr>
          <w:sz w:val="14"/>
        </w:rPr>
      </w:pPr>
      <w:r>
        <w:rPr>
          <w:color w:val="231F20"/>
          <w:sz w:val="14"/>
        </w:rPr>
        <w:t>Este</w:t>
      </w:r>
      <w:r>
        <w:rPr>
          <w:color w:val="231F20"/>
          <w:spacing w:val="-10"/>
          <w:sz w:val="14"/>
        </w:rPr>
        <w:t> </w:t>
      </w:r>
      <w:r>
        <w:rPr>
          <w:color w:val="231F20"/>
          <w:sz w:val="14"/>
        </w:rPr>
        <w:t>libro</w:t>
      </w:r>
      <w:r>
        <w:rPr>
          <w:color w:val="231F20"/>
          <w:spacing w:val="-10"/>
          <w:sz w:val="14"/>
        </w:rPr>
        <w:t> </w:t>
      </w:r>
      <w:r>
        <w:rPr>
          <w:color w:val="231F20"/>
          <w:sz w:val="14"/>
        </w:rPr>
        <w:t>acreditó</w:t>
      </w:r>
      <w:r>
        <w:rPr>
          <w:color w:val="231F20"/>
          <w:spacing w:val="-10"/>
          <w:sz w:val="14"/>
        </w:rPr>
        <w:t> </w:t>
      </w:r>
      <w:r>
        <w:rPr>
          <w:color w:val="231F20"/>
          <w:sz w:val="14"/>
        </w:rPr>
        <w:t>el</w:t>
      </w:r>
      <w:r>
        <w:rPr>
          <w:color w:val="231F20"/>
          <w:spacing w:val="-10"/>
          <w:sz w:val="14"/>
        </w:rPr>
        <w:t> </w:t>
      </w:r>
      <w:r>
        <w:rPr>
          <w:color w:val="231F20"/>
          <w:sz w:val="14"/>
        </w:rPr>
        <w:t>proceso</w:t>
      </w:r>
      <w:r>
        <w:rPr>
          <w:color w:val="231F20"/>
          <w:spacing w:val="-10"/>
          <w:sz w:val="14"/>
        </w:rPr>
        <w:t> </w:t>
      </w:r>
      <w:r>
        <w:rPr>
          <w:color w:val="231F20"/>
          <w:sz w:val="14"/>
        </w:rPr>
        <w:t>de</w:t>
      </w:r>
      <w:r>
        <w:rPr>
          <w:color w:val="231F20"/>
          <w:spacing w:val="-10"/>
          <w:sz w:val="14"/>
        </w:rPr>
        <w:t> </w:t>
      </w:r>
      <w:r>
        <w:rPr>
          <w:color w:val="231F20"/>
          <w:sz w:val="14"/>
        </w:rPr>
        <w:t>revisión</w:t>
      </w:r>
      <w:r>
        <w:rPr>
          <w:color w:val="231F20"/>
          <w:spacing w:val="-10"/>
          <w:sz w:val="14"/>
        </w:rPr>
        <w:t> </w:t>
      </w:r>
      <w:r>
        <w:rPr>
          <w:color w:val="231F20"/>
          <w:sz w:val="14"/>
        </w:rPr>
        <w:t>por</w:t>
      </w:r>
      <w:r>
        <w:rPr>
          <w:color w:val="231F20"/>
          <w:spacing w:val="-10"/>
          <w:sz w:val="14"/>
        </w:rPr>
        <w:t> </w:t>
      </w:r>
      <w:r>
        <w:rPr>
          <w:color w:val="231F20"/>
          <w:sz w:val="14"/>
        </w:rPr>
        <w:t>pares</w:t>
      </w:r>
      <w:r>
        <w:rPr>
          <w:color w:val="231F20"/>
          <w:spacing w:val="-10"/>
          <w:sz w:val="14"/>
        </w:rPr>
        <w:t> </w:t>
      </w:r>
      <w:r>
        <w:rPr>
          <w:color w:val="231F20"/>
          <w:sz w:val="14"/>
        </w:rPr>
        <w:t>bajo</w:t>
      </w:r>
      <w:r>
        <w:rPr>
          <w:color w:val="231F20"/>
          <w:spacing w:val="-10"/>
          <w:sz w:val="14"/>
        </w:rPr>
        <w:t> </w:t>
      </w:r>
      <w:r>
        <w:rPr>
          <w:color w:val="231F20"/>
          <w:sz w:val="14"/>
        </w:rPr>
        <w:t>la</w:t>
      </w:r>
      <w:r>
        <w:rPr>
          <w:color w:val="231F20"/>
          <w:spacing w:val="-10"/>
          <w:sz w:val="14"/>
        </w:rPr>
        <w:t> </w:t>
      </w:r>
      <w:r>
        <w:rPr>
          <w:color w:val="231F20"/>
          <w:sz w:val="14"/>
        </w:rPr>
        <w:t>modalidad</w:t>
      </w:r>
      <w:r>
        <w:rPr>
          <w:color w:val="231F20"/>
          <w:spacing w:val="-10"/>
          <w:sz w:val="14"/>
        </w:rPr>
        <w:t> </w:t>
      </w:r>
      <w:r>
        <w:rPr>
          <w:color w:val="231F20"/>
          <w:sz w:val="14"/>
        </w:rPr>
        <w:t>doble</w:t>
      </w:r>
      <w:r>
        <w:rPr>
          <w:color w:val="231F20"/>
          <w:spacing w:val="-10"/>
          <w:sz w:val="14"/>
        </w:rPr>
        <w:t> </w:t>
      </w:r>
      <w:r>
        <w:rPr>
          <w:color w:val="231F20"/>
          <w:sz w:val="14"/>
        </w:rPr>
        <w:t>ciego.</w:t>
      </w:r>
      <w:r>
        <w:rPr>
          <w:color w:val="231F20"/>
          <w:spacing w:val="-10"/>
          <w:sz w:val="14"/>
        </w:rPr>
        <w:t> </w:t>
      </w:r>
      <w:r>
        <w:rPr>
          <w:color w:val="231F20"/>
          <w:sz w:val="14"/>
        </w:rPr>
        <w:t>Los</w:t>
      </w:r>
      <w:r>
        <w:rPr>
          <w:color w:val="231F20"/>
          <w:spacing w:val="-10"/>
          <w:sz w:val="14"/>
        </w:rPr>
        <w:t> </w:t>
      </w:r>
      <w:r>
        <w:rPr>
          <w:color w:val="231F20"/>
          <w:sz w:val="14"/>
        </w:rPr>
        <w:t>dictámenes</w:t>
      </w:r>
      <w:r>
        <w:rPr>
          <w:color w:val="231F20"/>
          <w:spacing w:val="-10"/>
          <w:sz w:val="14"/>
        </w:rPr>
        <w:t> </w:t>
      </w:r>
      <w:r>
        <w:rPr>
          <w:color w:val="231F20"/>
          <w:sz w:val="14"/>
        </w:rPr>
        <w:t>de</w:t>
      </w:r>
      <w:r>
        <w:rPr>
          <w:color w:val="231F20"/>
          <w:spacing w:val="-10"/>
          <w:sz w:val="14"/>
        </w:rPr>
        <w:t> </w:t>
      </w:r>
      <w:r>
        <w:rPr>
          <w:color w:val="231F20"/>
          <w:sz w:val="14"/>
        </w:rPr>
        <w:t>esta obra fueron presentados y avalados por el Consejo General Editorial de la Universidad Autónoma del Estado</w:t>
      </w:r>
      <w:r>
        <w:rPr>
          <w:color w:val="231F20"/>
          <w:spacing w:val="-12"/>
          <w:sz w:val="14"/>
        </w:rPr>
        <w:t> </w:t>
      </w:r>
      <w:r>
        <w:rPr>
          <w:color w:val="231F20"/>
          <w:sz w:val="14"/>
        </w:rPr>
        <w:t>de</w:t>
      </w:r>
      <w:r>
        <w:rPr>
          <w:color w:val="231F20"/>
          <w:spacing w:val="-12"/>
          <w:sz w:val="14"/>
        </w:rPr>
        <w:t> </w:t>
      </w:r>
      <w:r>
        <w:rPr>
          <w:color w:val="231F20"/>
          <w:sz w:val="14"/>
        </w:rPr>
        <w:t>México</w:t>
      </w:r>
      <w:r>
        <w:rPr>
          <w:color w:val="231F20"/>
          <w:spacing w:val="-12"/>
          <w:sz w:val="14"/>
        </w:rPr>
        <w:t> </w:t>
      </w:r>
      <w:r>
        <w:rPr>
          <w:color w:val="231F20"/>
          <w:sz w:val="14"/>
        </w:rPr>
        <w:t>en</w:t>
      </w:r>
      <w:r>
        <w:rPr>
          <w:color w:val="231F20"/>
          <w:spacing w:val="-12"/>
          <w:sz w:val="14"/>
        </w:rPr>
        <w:t> </w:t>
      </w:r>
      <w:r>
        <w:rPr>
          <w:color w:val="231F20"/>
          <w:sz w:val="14"/>
        </w:rPr>
        <w:t>su</w:t>
      </w:r>
      <w:r>
        <w:rPr>
          <w:color w:val="231F20"/>
          <w:spacing w:val="-12"/>
          <w:sz w:val="14"/>
        </w:rPr>
        <w:t> </w:t>
      </w:r>
      <w:r>
        <w:rPr>
          <w:color w:val="231F20"/>
          <w:sz w:val="14"/>
        </w:rPr>
        <w:t>sesión</w:t>
      </w:r>
      <w:r>
        <w:rPr>
          <w:color w:val="231F20"/>
          <w:spacing w:val="-12"/>
          <w:sz w:val="14"/>
        </w:rPr>
        <w:t> </w:t>
      </w:r>
      <w:r>
        <w:rPr>
          <w:color w:val="231F20"/>
          <w:sz w:val="14"/>
        </w:rPr>
        <w:t>del</w:t>
      </w:r>
      <w:r>
        <w:rPr>
          <w:color w:val="231F20"/>
          <w:spacing w:val="-12"/>
          <w:sz w:val="14"/>
        </w:rPr>
        <w:t> </w:t>
      </w:r>
      <w:r>
        <w:rPr>
          <w:color w:val="231F20"/>
          <w:sz w:val="14"/>
        </w:rPr>
        <w:t>5</w:t>
      </w:r>
      <w:r>
        <w:rPr>
          <w:color w:val="231F20"/>
          <w:spacing w:val="-12"/>
          <w:sz w:val="14"/>
        </w:rPr>
        <w:t> </w:t>
      </w:r>
      <w:r>
        <w:rPr>
          <w:color w:val="231F20"/>
          <w:sz w:val="14"/>
        </w:rPr>
        <w:t>de</w:t>
      </w:r>
      <w:r>
        <w:rPr>
          <w:color w:val="231F20"/>
          <w:spacing w:val="-12"/>
          <w:sz w:val="14"/>
        </w:rPr>
        <w:t> </w:t>
      </w:r>
      <w:r>
        <w:rPr>
          <w:color w:val="231F20"/>
          <w:sz w:val="14"/>
        </w:rPr>
        <w:t>junio</w:t>
      </w:r>
      <w:r>
        <w:rPr>
          <w:color w:val="231F20"/>
          <w:spacing w:val="-12"/>
          <w:sz w:val="14"/>
        </w:rPr>
        <w:t> </w:t>
      </w:r>
      <w:r>
        <w:rPr>
          <w:color w:val="231F20"/>
          <w:sz w:val="14"/>
        </w:rPr>
        <w:t>de</w:t>
      </w:r>
      <w:r>
        <w:rPr>
          <w:color w:val="231F20"/>
          <w:spacing w:val="-12"/>
          <w:sz w:val="14"/>
        </w:rPr>
        <w:t> </w:t>
      </w:r>
      <w:r>
        <w:rPr>
          <w:color w:val="231F20"/>
          <w:sz w:val="14"/>
        </w:rPr>
        <w:t>2015,</w:t>
      </w:r>
      <w:r>
        <w:rPr>
          <w:color w:val="231F20"/>
          <w:spacing w:val="-12"/>
          <w:sz w:val="14"/>
        </w:rPr>
        <w:t> </w:t>
      </w:r>
      <w:r>
        <w:rPr>
          <w:color w:val="231F20"/>
          <w:sz w:val="14"/>
        </w:rPr>
        <w:t>según</w:t>
      </w:r>
      <w:r>
        <w:rPr>
          <w:color w:val="231F20"/>
          <w:spacing w:val="-12"/>
          <w:sz w:val="14"/>
        </w:rPr>
        <w:t> </w:t>
      </w:r>
      <w:r>
        <w:rPr>
          <w:color w:val="231F20"/>
          <w:sz w:val="14"/>
        </w:rPr>
        <w:t>consta</w:t>
      </w:r>
      <w:r>
        <w:rPr>
          <w:color w:val="231F20"/>
          <w:spacing w:val="-12"/>
          <w:sz w:val="14"/>
        </w:rPr>
        <w:t> </w:t>
      </w:r>
      <w:r>
        <w:rPr>
          <w:color w:val="231F20"/>
          <w:sz w:val="14"/>
        </w:rPr>
        <w:t>en</w:t>
      </w:r>
      <w:r>
        <w:rPr>
          <w:color w:val="231F20"/>
          <w:spacing w:val="-12"/>
          <w:sz w:val="14"/>
        </w:rPr>
        <w:t> </w:t>
      </w:r>
      <w:r>
        <w:rPr>
          <w:color w:val="231F20"/>
          <w:sz w:val="14"/>
        </w:rPr>
        <w:t>la</w:t>
      </w:r>
      <w:r>
        <w:rPr>
          <w:color w:val="231F20"/>
          <w:spacing w:val="-12"/>
          <w:sz w:val="14"/>
        </w:rPr>
        <w:t> </w:t>
      </w:r>
      <w:r>
        <w:rPr>
          <w:color w:val="231F20"/>
          <w:sz w:val="14"/>
        </w:rPr>
        <w:t>minuta</w:t>
      </w:r>
      <w:r>
        <w:rPr>
          <w:color w:val="231F20"/>
          <w:spacing w:val="-12"/>
          <w:sz w:val="14"/>
        </w:rPr>
        <w:t> </w:t>
      </w:r>
      <w:r>
        <w:rPr>
          <w:color w:val="231F20"/>
          <w:sz w:val="14"/>
        </w:rPr>
        <w:t>correspondiente.</w:t>
      </w:r>
    </w:p>
    <w:p>
      <w:pPr>
        <w:pStyle w:val="BodyText"/>
        <w:spacing w:before="7"/>
        <w:rPr>
          <w:sz w:val="13"/>
        </w:rPr>
      </w:pPr>
    </w:p>
    <w:p>
      <w:pPr>
        <w:spacing w:line="160" w:lineRule="exact" w:before="0"/>
        <w:ind w:left="120" w:right="104" w:firstLine="0"/>
        <w:jc w:val="left"/>
        <w:rPr>
          <w:i/>
          <w:sz w:val="14"/>
        </w:rPr>
      </w:pPr>
      <w:r>
        <w:rPr>
          <w:i/>
          <w:color w:val="231F20"/>
          <w:w w:val="85"/>
          <w:sz w:val="14"/>
        </w:rPr>
        <w:t>Estudios sobre la violencia en la educación. Enfoques, textos y contextos</w:t>
      </w:r>
    </w:p>
    <w:p>
      <w:pPr>
        <w:spacing w:line="427" w:lineRule="auto" w:before="0"/>
        <w:ind w:left="119" w:right="1831" w:firstLine="0"/>
        <w:jc w:val="left"/>
        <w:rPr>
          <w:rFonts w:ascii="PMingLiU" w:hAnsi="PMingLiU"/>
          <w:sz w:val="14"/>
        </w:rPr>
      </w:pPr>
      <w:r>
        <w:rPr>
          <w:color w:val="231F20"/>
          <w:sz w:val="14"/>
        </w:rPr>
        <w:t>Irma</w:t>
      </w:r>
      <w:r>
        <w:rPr>
          <w:color w:val="231F20"/>
          <w:spacing w:val="-18"/>
          <w:sz w:val="14"/>
        </w:rPr>
        <w:t> </w:t>
      </w:r>
      <w:r>
        <w:rPr>
          <w:color w:val="231F20"/>
          <w:sz w:val="14"/>
        </w:rPr>
        <w:t>Guadalupe</w:t>
      </w:r>
      <w:r>
        <w:rPr>
          <w:color w:val="231F20"/>
          <w:spacing w:val="-18"/>
          <w:sz w:val="14"/>
        </w:rPr>
        <w:t> </w:t>
      </w:r>
      <w:r>
        <w:rPr>
          <w:color w:val="231F20"/>
          <w:sz w:val="14"/>
        </w:rPr>
        <w:t>González</w:t>
      </w:r>
      <w:r>
        <w:rPr>
          <w:color w:val="231F20"/>
          <w:spacing w:val="-18"/>
          <w:sz w:val="14"/>
        </w:rPr>
        <w:t> </w:t>
      </w:r>
      <w:r>
        <w:rPr>
          <w:color w:val="231F20"/>
          <w:sz w:val="14"/>
        </w:rPr>
        <w:t>Corzo</w:t>
      </w:r>
      <w:r>
        <w:rPr>
          <w:color w:val="231F20"/>
          <w:spacing w:val="-18"/>
          <w:sz w:val="14"/>
        </w:rPr>
        <w:t> </w:t>
      </w:r>
      <w:r>
        <w:rPr>
          <w:color w:val="231F20"/>
          <w:sz w:val="14"/>
        </w:rPr>
        <w:t>y</w:t>
      </w:r>
      <w:r>
        <w:rPr>
          <w:color w:val="231F20"/>
          <w:spacing w:val="-18"/>
          <w:sz w:val="14"/>
        </w:rPr>
        <w:t> </w:t>
      </w:r>
      <w:r>
        <w:rPr>
          <w:color w:val="231F20"/>
          <w:sz w:val="14"/>
        </w:rPr>
        <w:t>Rosa</w:t>
      </w:r>
      <w:r>
        <w:rPr>
          <w:color w:val="231F20"/>
          <w:spacing w:val="-18"/>
          <w:sz w:val="14"/>
        </w:rPr>
        <w:t> </w:t>
      </w:r>
      <w:r>
        <w:rPr>
          <w:color w:val="231F20"/>
          <w:sz w:val="14"/>
        </w:rPr>
        <w:t>María</w:t>
      </w:r>
      <w:r>
        <w:rPr>
          <w:color w:val="231F20"/>
          <w:spacing w:val="-18"/>
          <w:sz w:val="14"/>
        </w:rPr>
        <w:t> </w:t>
      </w:r>
      <w:r>
        <w:rPr>
          <w:color w:val="231F20"/>
          <w:sz w:val="14"/>
        </w:rPr>
        <w:t>Ramírez</w:t>
      </w:r>
      <w:r>
        <w:rPr>
          <w:color w:val="231F20"/>
          <w:spacing w:val="-18"/>
          <w:sz w:val="14"/>
        </w:rPr>
        <w:t> </w:t>
      </w:r>
      <w:r>
        <w:rPr>
          <w:color w:val="231F20"/>
          <w:sz w:val="14"/>
        </w:rPr>
        <w:t>Martínez</w:t>
      </w:r>
      <w:r>
        <w:rPr>
          <w:color w:val="231F20"/>
          <w:spacing w:val="-18"/>
          <w:sz w:val="14"/>
        </w:rPr>
        <w:t> </w:t>
      </w:r>
      <w:r>
        <w:rPr>
          <w:color w:val="231F20"/>
          <w:sz w:val="14"/>
        </w:rPr>
        <w:t>(coords.) </w:t>
      </w:r>
      <w:r>
        <w:rPr>
          <w:color w:val="231F20"/>
          <w:w w:val="95"/>
          <w:sz w:val="14"/>
        </w:rPr>
        <w:t>Primera edición,</w:t>
      </w:r>
      <w:r>
        <w:rPr>
          <w:color w:val="231F20"/>
          <w:spacing w:val="3"/>
          <w:w w:val="95"/>
          <w:sz w:val="14"/>
        </w:rPr>
        <w:t> </w:t>
      </w:r>
      <w:r>
        <w:rPr>
          <w:color w:val="231F20"/>
          <w:w w:val="95"/>
          <w:sz w:val="14"/>
        </w:rPr>
        <w:t>201</w:t>
      </w:r>
      <w:r>
        <w:rPr>
          <w:rFonts w:ascii="PMingLiU" w:hAnsi="PMingLiU"/>
          <w:color w:val="231F20"/>
          <w:w w:val="95"/>
          <w:sz w:val="14"/>
        </w:rPr>
        <w:t>5</w:t>
      </w:r>
    </w:p>
    <w:p>
      <w:pPr>
        <w:spacing w:line="232" w:lineRule="auto" w:before="39"/>
        <w:ind w:left="119" w:right="2990" w:firstLine="0"/>
        <w:jc w:val="left"/>
        <w:rPr>
          <w:sz w:val="14"/>
        </w:rPr>
      </w:pPr>
      <w:r>
        <w:rPr>
          <w:color w:val="231F20"/>
          <w:sz w:val="14"/>
        </w:rPr>
        <w:t>D.R. Universidad Autónoma del Estado de Morelos Av. Universidad 1001, Col. Chamilpa, CP 62209 </w:t>
      </w:r>
      <w:r>
        <w:rPr>
          <w:color w:val="231F20"/>
          <w:w w:val="95"/>
          <w:sz w:val="14"/>
        </w:rPr>
        <w:t>Cuernavaca, Morelos, México</w:t>
      </w:r>
    </w:p>
    <w:p>
      <w:pPr>
        <w:spacing w:line="158" w:lineRule="exact" w:before="0"/>
        <w:ind w:left="119" w:right="104" w:firstLine="0"/>
        <w:jc w:val="left"/>
        <w:rPr>
          <w:sz w:val="14"/>
        </w:rPr>
      </w:pPr>
      <w:r>
        <w:rPr>
          <w:color w:val="231F20"/>
          <w:sz w:val="14"/>
        </w:rPr>
        <w:t>Tel. (52) 777 329 7909</w:t>
      </w:r>
    </w:p>
    <w:p>
      <w:pPr>
        <w:spacing w:line="158" w:lineRule="exact" w:before="3"/>
        <w:ind w:left="122" w:right="4336" w:hanging="3"/>
        <w:jc w:val="left"/>
        <w:rPr>
          <w:sz w:val="14"/>
        </w:rPr>
      </w:pPr>
      <w:hyperlink r:id="rId15">
        <w:r>
          <w:rPr>
            <w:color w:val="231F20"/>
            <w:w w:val="102"/>
            <w:sz w:val="14"/>
            <w:u w:val="single" w:color="231F20"/>
          </w:rPr>
          <w:t>ht</w:t>
        </w:r>
        <w:r>
          <w:rPr>
            <w:color w:val="231F20"/>
            <w:w w:val="104"/>
            <w:sz w:val="14"/>
            <w:u w:val="single" w:color="231F20"/>
          </w:rPr>
          <w:t>t</w:t>
        </w:r>
        <w:r>
          <w:rPr>
            <w:color w:val="231F20"/>
            <w:w w:val="93"/>
            <w:sz w:val="14"/>
            <w:u w:val="single" w:color="231F20"/>
          </w:rPr>
          <w:t>p:</w:t>
        </w:r>
        <w:r>
          <w:rPr>
            <w:color w:val="231F20"/>
            <w:w w:val="178"/>
            <w:sz w:val="14"/>
            <w:u w:val="single" w:color="231F20"/>
          </w:rPr>
          <w:t>//</w:t>
        </w:r>
        <w:r>
          <w:rPr>
            <w:color w:val="231F20"/>
            <w:w w:val="81"/>
            <w:sz w:val="14"/>
            <w:u w:val="single" w:color="231F20"/>
          </w:rPr>
          <w:t>li</w:t>
        </w:r>
        <w:r>
          <w:rPr>
            <w:color w:val="231F20"/>
            <w:w w:val="100"/>
            <w:sz w:val="14"/>
            <w:u w:val="single" w:color="231F20"/>
          </w:rPr>
          <w:t>br</w:t>
        </w:r>
        <w:r>
          <w:rPr>
            <w:color w:val="231F20"/>
            <w:w w:val="97"/>
            <w:sz w:val="14"/>
            <w:u w:val="single" w:color="231F20"/>
          </w:rPr>
          <w:t>os</w:t>
        </w:r>
        <w:r>
          <w:rPr>
            <w:color w:val="231F20"/>
            <w:w w:val="87"/>
            <w:sz w:val="14"/>
            <w:u w:val="single" w:color="231F20"/>
          </w:rPr>
          <w:t>.</w:t>
        </w:r>
        <w:r>
          <w:rPr>
            <w:color w:val="231F20"/>
            <w:w w:val="97"/>
            <w:sz w:val="14"/>
            <w:u w:val="single" w:color="231F20"/>
          </w:rPr>
          <w:t>u</w:t>
        </w:r>
        <w:r>
          <w:rPr>
            <w:color w:val="231F20"/>
            <w:w w:val="91"/>
            <w:sz w:val="14"/>
            <w:u w:val="single" w:color="231F20"/>
          </w:rPr>
          <w:t>a</w:t>
        </w:r>
        <w:r>
          <w:rPr>
            <w:color w:val="231F20"/>
            <w:w w:val="93"/>
            <w:sz w:val="14"/>
            <w:u w:val="single" w:color="231F20"/>
          </w:rPr>
          <w:t>e</w:t>
        </w:r>
        <w:r>
          <w:rPr>
            <w:color w:val="231F20"/>
            <w:w w:val="98"/>
            <w:sz w:val="14"/>
            <w:u w:val="single" w:color="231F20"/>
          </w:rPr>
          <w:t>m</w:t>
        </w:r>
        <w:r>
          <w:rPr>
            <w:color w:val="231F20"/>
            <w:w w:val="87"/>
            <w:sz w:val="14"/>
            <w:u w:val="single" w:color="231F20"/>
          </w:rPr>
          <w:t>.</w:t>
        </w:r>
        <w:r>
          <w:rPr>
            <w:color w:val="231F20"/>
            <w:w w:val="98"/>
            <w:sz w:val="14"/>
            <w:u w:val="single" w:color="231F20"/>
          </w:rPr>
          <w:t>m</w:t>
        </w:r>
        <w:r>
          <w:rPr>
            <w:color w:val="231F20"/>
            <w:w w:val="91"/>
            <w:sz w:val="14"/>
            <w:u w:val="single" w:color="231F20"/>
          </w:rPr>
          <w:t>x</w:t>
        </w:r>
      </w:hyperlink>
      <w:r>
        <w:rPr>
          <w:color w:val="231F20"/>
          <w:w w:val="91"/>
          <w:sz w:val="14"/>
        </w:rPr>
        <w:t> </w:t>
      </w:r>
      <w:hyperlink r:id="rId16">
        <w:r>
          <w:rPr>
            <w:color w:val="231F20"/>
            <w:w w:val="95"/>
            <w:sz w:val="14"/>
            <w:u w:val="single" w:color="231F20"/>
          </w:rPr>
          <w:t>publicaciones@uaem.mx</w:t>
        </w:r>
      </w:hyperlink>
    </w:p>
    <w:p>
      <w:pPr>
        <w:pStyle w:val="BodyText"/>
        <w:spacing w:before="1"/>
        <w:rPr>
          <w:sz w:val="14"/>
        </w:rPr>
      </w:pPr>
    </w:p>
    <w:p>
      <w:pPr>
        <w:spacing w:line="154" w:lineRule="exact" w:before="0"/>
        <w:ind w:left="122" w:right="3026" w:firstLine="0"/>
        <w:jc w:val="left"/>
        <w:rPr>
          <w:sz w:val="14"/>
        </w:rPr>
      </w:pPr>
      <w:r>
        <w:rPr>
          <w:color w:val="231F20"/>
          <w:sz w:val="14"/>
        </w:rPr>
        <w:t>D.R. Universidad Autónoma del Estado de México Av. Instituto Literario 100 Ote., CP 50000</w:t>
      </w:r>
    </w:p>
    <w:p>
      <w:pPr>
        <w:spacing w:line="158" w:lineRule="exact" w:before="1"/>
        <w:ind w:left="122" w:right="4336" w:firstLine="0"/>
        <w:jc w:val="left"/>
        <w:rPr>
          <w:sz w:val="14"/>
        </w:rPr>
      </w:pPr>
      <w:r>
        <w:rPr>
          <w:color w:val="231F20"/>
          <w:sz w:val="14"/>
        </w:rPr>
        <w:t>Toluca, Estado de México Tel.</w:t>
      </w:r>
      <w:r>
        <w:rPr>
          <w:color w:val="231F20"/>
          <w:spacing w:val="-16"/>
          <w:sz w:val="14"/>
        </w:rPr>
        <w:t> </w:t>
      </w:r>
      <w:r>
        <w:rPr>
          <w:color w:val="231F20"/>
          <w:sz w:val="14"/>
        </w:rPr>
        <w:t>(52)</w:t>
      </w:r>
      <w:r>
        <w:rPr>
          <w:color w:val="231F20"/>
          <w:spacing w:val="-16"/>
          <w:sz w:val="14"/>
        </w:rPr>
        <w:t> </w:t>
      </w:r>
      <w:r>
        <w:rPr>
          <w:color w:val="231F20"/>
          <w:sz w:val="14"/>
        </w:rPr>
        <w:t>722</w:t>
      </w:r>
      <w:r>
        <w:rPr>
          <w:color w:val="231F20"/>
          <w:spacing w:val="-16"/>
          <w:sz w:val="14"/>
        </w:rPr>
        <w:t> </w:t>
      </w:r>
      <w:r>
        <w:rPr>
          <w:color w:val="231F20"/>
          <w:sz w:val="14"/>
        </w:rPr>
        <w:t>277</w:t>
      </w:r>
      <w:r>
        <w:rPr>
          <w:color w:val="231F20"/>
          <w:spacing w:val="-16"/>
          <w:sz w:val="14"/>
        </w:rPr>
        <w:t> </w:t>
      </w:r>
      <w:r>
        <w:rPr>
          <w:color w:val="231F20"/>
          <w:sz w:val="14"/>
        </w:rPr>
        <w:t>38</w:t>
      </w:r>
      <w:r>
        <w:rPr>
          <w:color w:val="231F20"/>
          <w:spacing w:val="-16"/>
          <w:sz w:val="14"/>
        </w:rPr>
        <w:t> </w:t>
      </w:r>
      <w:r>
        <w:rPr>
          <w:color w:val="231F20"/>
          <w:sz w:val="14"/>
        </w:rPr>
        <w:t>35</w:t>
      </w:r>
      <w:r>
        <w:rPr>
          <w:color w:val="231F20"/>
          <w:spacing w:val="-16"/>
          <w:sz w:val="14"/>
        </w:rPr>
        <w:t> </w:t>
      </w:r>
      <w:r>
        <w:rPr>
          <w:color w:val="231F20"/>
          <w:sz w:val="14"/>
        </w:rPr>
        <w:t>y</w:t>
      </w:r>
      <w:r>
        <w:rPr>
          <w:color w:val="231F20"/>
          <w:spacing w:val="-16"/>
          <w:sz w:val="14"/>
        </w:rPr>
        <w:t> </w:t>
      </w:r>
      <w:r>
        <w:rPr>
          <w:color w:val="231F20"/>
          <w:sz w:val="14"/>
        </w:rPr>
        <w:t>36</w:t>
      </w:r>
    </w:p>
    <w:p>
      <w:pPr>
        <w:spacing w:line="158" w:lineRule="exact" w:before="0"/>
        <w:ind w:left="122" w:right="4336" w:firstLine="0"/>
        <w:jc w:val="left"/>
        <w:rPr>
          <w:sz w:val="14"/>
        </w:rPr>
      </w:pPr>
      <w:hyperlink r:id="rId17">
        <w:r>
          <w:rPr>
            <w:color w:val="231F20"/>
            <w:sz w:val="14"/>
            <w:u w:val="single" w:color="231F20"/>
          </w:rPr>
          <w:t>http://www.uaemex.mx</w:t>
        </w:r>
      </w:hyperlink>
      <w:r>
        <w:rPr>
          <w:color w:val="231F20"/>
          <w:sz w:val="14"/>
          <w:u w:val="single" w:color="231F20"/>
        </w:rPr>
        <w:t> </w:t>
      </w:r>
      <w:hyperlink r:id="rId18">
        <w:r>
          <w:rPr>
            <w:color w:val="231F20"/>
            <w:w w:val="95"/>
            <w:sz w:val="14"/>
            <w:u w:val="single" w:color="231F20"/>
          </w:rPr>
          <w:t>direccioneditorial@uaem.mx</w:t>
        </w:r>
      </w:hyperlink>
    </w:p>
    <w:p>
      <w:pPr>
        <w:pStyle w:val="BodyText"/>
        <w:rPr>
          <w:sz w:val="14"/>
        </w:rPr>
      </w:pPr>
    </w:p>
    <w:p>
      <w:pPr>
        <w:pStyle w:val="BodyText"/>
        <w:spacing w:before="5"/>
        <w:rPr>
          <w:sz w:val="18"/>
        </w:rPr>
      </w:pPr>
    </w:p>
    <w:p>
      <w:pPr>
        <w:spacing w:line="232" w:lineRule="auto" w:before="0"/>
        <w:ind w:left="122" w:right="116" w:hanging="2"/>
        <w:jc w:val="both"/>
        <w:rPr>
          <w:sz w:val="14"/>
        </w:rPr>
      </w:pPr>
      <w:r>
        <w:rPr>
          <w:position w:val="-8"/>
        </w:rPr>
        <w:drawing>
          <wp:inline distT="0" distB="0" distL="0" distR="0">
            <wp:extent cx="457847" cy="161277"/>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9" cstate="print"/>
                    <a:stretch>
                      <a:fillRect/>
                    </a:stretch>
                  </pic:blipFill>
                  <pic:spPr>
                    <a:xfrm>
                      <a:off x="0" y="0"/>
                      <a:ext cx="457847" cy="161277"/>
                    </a:xfrm>
                    <a:prstGeom prst="rect">
                      <a:avLst/>
                    </a:prstGeom>
                  </pic:spPr>
                </pic:pic>
              </a:graphicData>
            </a:graphic>
          </wp:inline>
        </w:drawing>
      </w:r>
      <w:r>
        <w:rPr>
          <w:position w:val="-8"/>
        </w:rPr>
      </w:r>
      <w:r>
        <w:rPr>
          <w:color w:val="231F20"/>
          <w:w w:val="95"/>
          <w:sz w:val="14"/>
        </w:rPr>
        <w:t>Esta</w:t>
      </w:r>
      <w:r>
        <w:rPr>
          <w:color w:val="231F20"/>
          <w:spacing w:val="-7"/>
          <w:w w:val="95"/>
          <w:sz w:val="14"/>
        </w:rPr>
        <w:t> </w:t>
      </w:r>
      <w:r>
        <w:rPr>
          <w:color w:val="231F20"/>
          <w:w w:val="95"/>
          <w:sz w:val="14"/>
        </w:rPr>
        <w:t>obra</w:t>
      </w:r>
      <w:r>
        <w:rPr>
          <w:color w:val="231F20"/>
          <w:spacing w:val="-7"/>
          <w:w w:val="95"/>
          <w:sz w:val="14"/>
        </w:rPr>
        <w:t> </w:t>
      </w:r>
      <w:r>
        <w:rPr>
          <w:color w:val="231F20"/>
          <w:w w:val="95"/>
          <w:sz w:val="14"/>
        </w:rPr>
        <w:t>está</w:t>
      </w:r>
      <w:r>
        <w:rPr>
          <w:color w:val="231F20"/>
          <w:spacing w:val="-7"/>
          <w:w w:val="95"/>
          <w:sz w:val="14"/>
        </w:rPr>
        <w:t> </w:t>
      </w:r>
      <w:r>
        <w:rPr>
          <w:color w:val="231F20"/>
          <w:w w:val="95"/>
          <w:sz w:val="14"/>
        </w:rPr>
        <w:t>sujeta</w:t>
      </w:r>
      <w:r>
        <w:rPr>
          <w:color w:val="231F20"/>
          <w:spacing w:val="-7"/>
          <w:w w:val="95"/>
          <w:sz w:val="14"/>
        </w:rPr>
        <w:t> </w:t>
      </w:r>
      <w:r>
        <w:rPr>
          <w:color w:val="231F20"/>
          <w:w w:val="95"/>
          <w:sz w:val="14"/>
        </w:rPr>
        <w:t>a</w:t>
      </w:r>
      <w:r>
        <w:rPr>
          <w:color w:val="231F20"/>
          <w:spacing w:val="-7"/>
          <w:w w:val="95"/>
          <w:sz w:val="14"/>
        </w:rPr>
        <w:t> </w:t>
      </w:r>
      <w:r>
        <w:rPr>
          <w:color w:val="231F20"/>
          <w:w w:val="95"/>
          <w:sz w:val="14"/>
        </w:rPr>
        <w:t>la</w:t>
      </w:r>
      <w:r>
        <w:rPr>
          <w:color w:val="231F20"/>
          <w:spacing w:val="-7"/>
          <w:w w:val="95"/>
          <w:sz w:val="14"/>
        </w:rPr>
        <w:t> </w:t>
      </w:r>
      <w:r>
        <w:rPr>
          <w:color w:val="231F20"/>
          <w:w w:val="95"/>
          <w:sz w:val="14"/>
        </w:rPr>
        <w:t>licencia</w:t>
      </w:r>
      <w:r>
        <w:rPr>
          <w:color w:val="231F20"/>
          <w:spacing w:val="-7"/>
          <w:w w:val="95"/>
          <w:sz w:val="14"/>
        </w:rPr>
        <w:t> </w:t>
      </w:r>
      <w:r>
        <w:rPr>
          <w:color w:val="231F20"/>
          <w:w w:val="95"/>
          <w:sz w:val="14"/>
        </w:rPr>
        <w:t>Reconocimiento</w:t>
      </w:r>
      <w:r>
        <w:rPr>
          <w:color w:val="231F20"/>
          <w:spacing w:val="-7"/>
          <w:w w:val="95"/>
          <w:sz w:val="14"/>
        </w:rPr>
        <w:t> </w:t>
      </w:r>
      <w:r>
        <w:rPr>
          <w:color w:val="231F20"/>
          <w:w w:val="95"/>
          <w:sz w:val="14"/>
        </w:rPr>
        <w:t>4.0</w:t>
      </w:r>
      <w:r>
        <w:rPr>
          <w:color w:val="231F20"/>
          <w:spacing w:val="-7"/>
          <w:w w:val="95"/>
          <w:sz w:val="14"/>
        </w:rPr>
        <w:t> </w:t>
      </w:r>
      <w:r>
        <w:rPr>
          <w:color w:val="231F20"/>
          <w:w w:val="95"/>
          <w:sz w:val="14"/>
        </w:rPr>
        <w:t>Internacional</w:t>
      </w:r>
      <w:r>
        <w:rPr>
          <w:color w:val="231F20"/>
          <w:spacing w:val="-8"/>
          <w:w w:val="95"/>
          <w:sz w:val="14"/>
        </w:rPr>
        <w:t> </w:t>
      </w:r>
      <w:r>
        <w:rPr>
          <w:color w:val="231F20"/>
          <w:w w:val="95"/>
          <w:sz w:val="14"/>
        </w:rPr>
        <w:t>de</w:t>
      </w:r>
      <w:r>
        <w:rPr>
          <w:color w:val="231F20"/>
          <w:spacing w:val="-8"/>
          <w:w w:val="95"/>
          <w:sz w:val="14"/>
        </w:rPr>
        <w:t> </w:t>
      </w:r>
      <w:r>
        <w:rPr>
          <w:i/>
          <w:color w:val="231F20"/>
          <w:w w:val="95"/>
          <w:sz w:val="14"/>
        </w:rPr>
        <w:t>Creative</w:t>
      </w:r>
      <w:r>
        <w:rPr>
          <w:i/>
          <w:color w:val="231F20"/>
          <w:spacing w:val="-7"/>
          <w:w w:val="95"/>
          <w:sz w:val="14"/>
        </w:rPr>
        <w:t> </w:t>
      </w:r>
      <w:r>
        <w:rPr>
          <w:i/>
          <w:color w:val="231F20"/>
          <w:w w:val="95"/>
          <w:sz w:val="14"/>
        </w:rPr>
        <w:t>Commons</w:t>
      </w:r>
      <w:r>
        <w:rPr>
          <w:color w:val="231F20"/>
          <w:w w:val="95"/>
          <w:sz w:val="14"/>
        </w:rPr>
        <w:t>.</w:t>
      </w:r>
      <w:r>
        <w:rPr>
          <w:color w:val="231F20"/>
          <w:spacing w:val="-8"/>
          <w:w w:val="95"/>
          <w:sz w:val="14"/>
        </w:rPr>
        <w:t> </w:t>
      </w:r>
      <w:r>
        <w:rPr>
          <w:color w:val="231F20"/>
          <w:w w:val="95"/>
          <w:sz w:val="14"/>
        </w:rPr>
        <w:t>Para </w:t>
      </w:r>
      <w:r>
        <w:rPr>
          <w:color w:val="231F20"/>
          <w:w w:val="93"/>
          <w:sz w:val="14"/>
        </w:rPr>
        <w:t>ve</w:t>
      </w:r>
      <w:r>
        <w:rPr>
          <w:color w:val="231F20"/>
          <w:w w:val="99"/>
          <w:sz w:val="14"/>
        </w:rPr>
        <w:t>r</w:t>
      </w:r>
      <w:r>
        <w:rPr>
          <w:color w:val="231F20"/>
          <w:sz w:val="14"/>
        </w:rPr>
        <w:t> </w:t>
      </w:r>
      <w:r>
        <w:rPr>
          <w:color w:val="231F20"/>
          <w:spacing w:val="-14"/>
          <w:sz w:val="14"/>
        </w:rPr>
        <w:t> </w:t>
      </w:r>
      <w:r>
        <w:rPr>
          <w:color w:val="231F20"/>
          <w:w w:val="99"/>
          <w:sz w:val="14"/>
        </w:rPr>
        <w:t>un</w:t>
      </w:r>
      <w:r>
        <w:rPr>
          <w:color w:val="231F20"/>
          <w:w w:val="91"/>
          <w:sz w:val="14"/>
        </w:rPr>
        <w:t>a</w:t>
      </w:r>
      <w:r>
        <w:rPr>
          <w:color w:val="231F20"/>
          <w:sz w:val="14"/>
        </w:rPr>
        <w:t> </w:t>
      </w:r>
      <w:r>
        <w:rPr>
          <w:color w:val="231F20"/>
          <w:spacing w:val="-14"/>
          <w:sz w:val="14"/>
        </w:rPr>
        <w:t> </w:t>
      </w:r>
      <w:r>
        <w:rPr>
          <w:color w:val="231F20"/>
          <w:w w:val="93"/>
          <w:sz w:val="14"/>
        </w:rPr>
        <w:t>c</w:t>
      </w:r>
      <w:r>
        <w:rPr>
          <w:color w:val="231F20"/>
          <w:w w:val="101"/>
          <w:sz w:val="14"/>
        </w:rPr>
        <w:t>op</w:t>
      </w:r>
      <w:r>
        <w:rPr>
          <w:color w:val="231F20"/>
          <w:w w:val="81"/>
          <w:sz w:val="14"/>
        </w:rPr>
        <w:t>i</w:t>
      </w:r>
      <w:r>
        <w:rPr>
          <w:color w:val="231F20"/>
          <w:w w:val="91"/>
          <w:sz w:val="14"/>
        </w:rPr>
        <w:t>a</w:t>
      </w:r>
      <w:r>
        <w:rPr>
          <w:color w:val="231F20"/>
          <w:sz w:val="14"/>
        </w:rPr>
        <w:t> </w:t>
      </w:r>
      <w:r>
        <w:rPr>
          <w:color w:val="231F20"/>
          <w:spacing w:val="-14"/>
          <w:sz w:val="14"/>
        </w:rPr>
        <w:t> </w:t>
      </w:r>
      <w:r>
        <w:rPr>
          <w:color w:val="231F20"/>
          <w:w w:val="99"/>
          <w:sz w:val="14"/>
        </w:rPr>
        <w:t>d</w:t>
      </w:r>
      <w:r>
        <w:rPr>
          <w:color w:val="231F20"/>
          <w:w w:val="93"/>
          <w:sz w:val="14"/>
        </w:rPr>
        <w:t>e</w:t>
      </w:r>
      <w:r>
        <w:rPr>
          <w:color w:val="231F20"/>
          <w:sz w:val="14"/>
        </w:rPr>
        <w:t> </w:t>
      </w:r>
      <w:r>
        <w:rPr>
          <w:color w:val="231F20"/>
          <w:spacing w:val="-14"/>
          <w:sz w:val="14"/>
        </w:rPr>
        <w:t> </w:t>
      </w:r>
      <w:r>
        <w:rPr>
          <w:color w:val="231F20"/>
          <w:w w:val="93"/>
          <w:sz w:val="14"/>
        </w:rPr>
        <w:t>e</w:t>
      </w:r>
      <w:r>
        <w:rPr>
          <w:color w:val="231F20"/>
          <w:w w:val="93"/>
          <w:sz w:val="14"/>
        </w:rPr>
        <w:t>s</w:t>
      </w:r>
      <w:r>
        <w:rPr>
          <w:color w:val="231F20"/>
          <w:w w:val="104"/>
          <w:sz w:val="14"/>
        </w:rPr>
        <w:t>t</w:t>
      </w:r>
      <w:r>
        <w:rPr>
          <w:color w:val="231F20"/>
          <w:w w:val="91"/>
          <w:sz w:val="14"/>
        </w:rPr>
        <w:t>a</w:t>
      </w:r>
      <w:r>
        <w:rPr>
          <w:color w:val="231F20"/>
          <w:sz w:val="14"/>
        </w:rPr>
        <w:t> </w:t>
      </w:r>
      <w:r>
        <w:rPr>
          <w:color w:val="231F20"/>
          <w:spacing w:val="-14"/>
          <w:sz w:val="14"/>
        </w:rPr>
        <w:t> </w:t>
      </w:r>
      <w:r>
        <w:rPr>
          <w:color w:val="231F20"/>
          <w:w w:val="81"/>
          <w:sz w:val="14"/>
        </w:rPr>
        <w:t>li</w:t>
      </w:r>
      <w:r>
        <w:rPr>
          <w:color w:val="231F20"/>
          <w:w w:val="93"/>
          <w:sz w:val="14"/>
        </w:rPr>
        <w:t>ce</w:t>
      </w:r>
      <w:r>
        <w:rPr>
          <w:color w:val="231F20"/>
          <w:w w:val="101"/>
          <w:sz w:val="14"/>
        </w:rPr>
        <w:t>n</w:t>
      </w:r>
      <w:r>
        <w:rPr>
          <w:color w:val="231F20"/>
          <w:w w:val="93"/>
          <w:sz w:val="14"/>
        </w:rPr>
        <w:t>c</w:t>
      </w:r>
      <w:r>
        <w:rPr>
          <w:color w:val="231F20"/>
          <w:w w:val="81"/>
          <w:sz w:val="14"/>
        </w:rPr>
        <w:t>i</w:t>
      </w:r>
      <w:r>
        <w:rPr>
          <w:color w:val="231F20"/>
          <w:w w:val="89"/>
          <w:sz w:val="14"/>
        </w:rPr>
        <w:t>a,</w:t>
      </w:r>
      <w:r>
        <w:rPr>
          <w:color w:val="231F20"/>
          <w:sz w:val="14"/>
        </w:rPr>
        <w:t> </w:t>
      </w:r>
      <w:r>
        <w:rPr>
          <w:color w:val="231F20"/>
          <w:spacing w:val="-14"/>
          <w:sz w:val="14"/>
        </w:rPr>
        <w:t> </w:t>
      </w:r>
      <w:r>
        <w:rPr>
          <w:color w:val="231F20"/>
          <w:w w:val="89"/>
          <w:sz w:val="14"/>
        </w:rPr>
        <w:t>vi</w:t>
      </w:r>
      <w:r>
        <w:rPr>
          <w:color w:val="231F20"/>
          <w:w w:val="93"/>
          <w:sz w:val="14"/>
        </w:rPr>
        <w:t>s</w:t>
      </w:r>
      <w:r>
        <w:rPr>
          <w:color w:val="231F20"/>
          <w:w w:val="81"/>
          <w:sz w:val="14"/>
        </w:rPr>
        <w:t>i</w:t>
      </w:r>
      <w:r>
        <w:rPr>
          <w:color w:val="231F20"/>
          <w:w w:val="104"/>
          <w:sz w:val="14"/>
        </w:rPr>
        <w:t>t</w:t>
      </w:r>
      <w:r>
        <w:rPr>
          <w:color w:val="231F20"/>
          <w:w w:val="93"/>
          <w:sz w:val="14"/>
        </w:rPr>
        <w:t>e</w:t>
      </w:r>
      <w:r>
        <w:rPr>
          <w:color w:val="231F20"/>
          <w:sz w:val="14"/>
        </w:rPr>
        <w:t> </w:t>
      </w:r>
      <w:r>
        <w:rPr>
          <w:color w:val="231F20"/>
          <w:spacing w:val="-13"/>
          <w:sz w:val="14"/>
        </w:rPr>
        <w:t> </w:t>
      </w:r>
      <w:hyperlink r:id="rId20">
        <w:r>
          <w:rPr>
            <w:color w:val="231F20"/>
            <w:w w:val="102"/>
            <w:sz w:val="14"/>
            <w:u w:val="single" w:color="231F20"/>
          </w:rPr>
          <w:t>ht</w:t>
        </w:r>
        <w:r>
          <w:rPr>
            <w:color w:val="231F20"/>
            <w:w w:val="104"/>
            <w:sz w:val="14"/>
            <w:u w:val="single" w:color="231F20"/>
          </w:rPr>
          <w:t>t</w:t>
        </w:r>
        <w:r>
          <w:rPr>
            <w:color w:val="231F20"/>
            <w:w w:val="93"/>
            <w:sz w:val="14"/>
            <w:u w:val="single" w:color="231F20"/>
          </w:rPr>
          <w:t>p:</w:t>
        </w:r>
        <w:r>
          <w:rPr>
            <w:color w:val="231F20"/>
            <w:w w:val="140"/>
            <w:sz w:val="14"/>
            <w:u w:val="single" w:color="231F20"/>
          </w:rPr>
          <w:t>//c</w:t>
        </w:r>
        <w:r>
          <w:rPr>
            <w:color w:val="231F20"/>
            <w:w w:val="99"/>
            <w:sz w:val="14"/>
            <w:u w:val="single" w:color="231F20"/>
          </w:rPr>
          <w:t>r</w:t>
        </w:r>
        <w:r>
          <w:rPr>
            <w:color w:val="231F20"/>
            <w:w w:val="93"/>
            <w:sz w:val="14"/>
            <w:u w:val="single" w:color="231F20"/>
          </w:rPr>
          <w:t>e</w:t>
        </w:r>
        <w:r>
          <w:rPr>
            <w:color w:val="231F20"/>
            <w:w w:val="91"/>
            <w:sz w:val="14"/>
            <w:u w:val="single" w:color="231F20"/>
          </w:rPr>
          <w:t>a</w:t>
        </w:r>
        <w:r>
          <w:rPr>
            <w:color w:val="231F20"/>
            <w:w w:val="104"/>
            <w:sz w:val="14"/>
            <w:u w:val="single" w:color="231F20"/>
          </w:rPr>
          <w:t>t</w:t>
        </w:r>
        <w:r>
          <w:rPr>
            <w:color w:val="231F20"/>
            <w:w w:val="81"/>
            <w:sz w:val="14"/>
            <w:u w:val="single" w:color="231F20"/>
          </w:rPr>
          <w:t>i</w:t>
        </w:r>
        <w:r>
          <w:rPr>
            <w:color w:val="231F20"/>
            <w:w w:val="93"/>
            <w:sz w:val="14"/>
            <w:u w:val="single" w:color="231F20"/>
          </w:rPr>
          <w:t>v</w:t>
        </w:r>
        <w:r>
          <w:rPr>
            <w:color w:val="231F20"/>
            <w:w w:val="93"/>
            <w:sz w:val="14"/>
            <w:u w:val="single" w:color="231F20"/>
          </w:rPr>
          <w:t>ec</w:t>
        </w:r>
        <w:r>
          <w:rPr>
            <w:color w:val="231F20"/>
            <w:w w:val="99"/>
            <w:sz w:val="14"/>
            <w:u w:val="single" w:color="231F20"/>
          </w:rPr>
          <w:t>om</w:t>
        </w:r>
        <w:r>
          <w:rPr>
            <w:color w:val="231F20"/>
            <w:w w:val="98"/>
            <w:sz w:val="14"/>
            <w:u w:val="single" w:color="231F20"/>
          </w:rPr>
          <w:t>m</w:t>
        </w:r>
        <w:r>
          <w:rPr>
            <w:color w:val="231F20"/>
            <w:w w:val="99"/>
            <w:sz w:val="14"/>
            <w:u w:val="single" w:color="231F20"/>
          </w:rPr>
          <w:t>ons</w:t>
        </w:r>
        <w:r>
          <w:rPr>
            <w:color w:val="231F20"/>
            <w:w w:val="86"/>
            <w:sz w:val="14"/>
            <w:u w:val="single" w:color="231F20"/>
          </w:rPr>
          <w:t>.</w:t>
        </w:r>
        <w:r>
          <w:rPr>
            <w:color w:val="231F20"/>
            <w:w w:val="100"/>
            <w:sz w:val="14"/>
            <w:u w:val="single" w:color="231F20"/>
          </w:rPr>
          <w:t>or</w:t>
        </w:r>
        <w:r>
          <w:rPr>
            <w:color w:val="231F20"/>
            <w:w w:val="89"/>
            <w:sz w:val="14"/>
            <w:u w:val="single" w:color="231F20"/>
          </w:rPr>
          <w:t>g</w:t>
        </w:r>
        <w:r>
          <w:rPr>
            <w:color w:val="231F20"/>
            <w:w w:val="130"/>
            <w:sz w:val="14"/>
            <w:u w:val="single" w:color="231F20"/>
          </w:rPr>
          <w:t>/l</w:t>
        </w:r>
        <w:r>
          <w:rPr>
            <w:color w:val="231F20"/>
            <w:w w:val="81"/>
            <w:sz w:val="14"/>
            <w:u w:val="single" w:color="231F20"/>
          </w:rPr>
          <w:t>i</w:t>
        </w:r>
        <w:r>
          <w:rPr>
            <w:color w:val="231F20"/>
            <w:w w:val="93"/>
            <w:sz w:val="14"/>
            <w:u w:val="single" w:color="231F20"/>
          </w:rPr>
          <w:t>ce</w:t>
        </w:r>
        <w:r>
          <w:rPr>
            <w:color w:val="231F20"/>
            <w:w w:val="97"/>
            <w:sz w:val="14"/>
            <w:u w:val="single" w:color="231F20"/>
          </w:rPr>
          <w:t>ns</w:t>
        </w:r>
        <w:r>
          <w:rPr>
            <w:color w:val="231F20"/>
            <w:w w:val="93"/>
            <w:sz w:val="14"/>
            <w:u w:val="single" w:color="231F20"/>
          </w:rPr>
          <w:t>e</w:t>
        </w:r>
        <w:r>
          <w:rPr>
            <w:color w:val="231F20"/>
            <w:w w:val="93"/>
            <w:sz w:val="14"/>
            <w:u w:val="single" w:color="231F20"/>
          </w:rPr>
          <w:t>s</w:t>
        </w:r>
        <w:r>
          <w:rPr>
            <w:color w:val="231F20"/>
            <w:w w:val="111"/>
            <w:sz w:val="14"/>
            <w:u w:val="single" w:color="231F20"/>
          </w:rPr>
          <w:t>/by</w:t>
        </w:r>
        <w:r>
          <w:rPr>
            <w:color w:val="231F20"/>
            <w:w w:val="123"/>
            <w:sz w:val="14"/>
            <w:u w:val="single" w:color="231F20"/>
          </w:rPr>
          <w:t>/4</w:t>
        </w:r>
        <w:r>
          <w:rPr>
            <w:color w:val="231F20"/>
            <w:w w:val="86"/>
            <w:sz w:val="14"/>
            <w:u w:val="single" w:color="231F20"/>
          </w:rPr>
          <w:t>.</w:t>
        </w:r>
        <w:r>
          <w:rPr>
            <w:color w:val="231F20"/>
            <w:w w:val="93"/>
            <w:sz w:val="14"/>
            <w:u w:val="single" w:color="231F20"/>
          </w:rPr>
          <w:t>0</w:t>
        </w:r>
        <w:r>
          <w:rPr>
            <w:color w:val="231F20"/>
            <w:w w:val="178"/>
            <w:sz w:val="14"/>
            <w:u w:val="single" w:color="231F20"/>
          </w:rPr>
          <w:t>/</w:t>
        </w:r>
        <w:r>
          <w:rPr>
            <w:color w:val="231F20"/>
            <w:w w:val="86"/>
            <w:sz w:val="14"/>
          </w:rPr>
          <w:t>.</w:t>
        </w:r>
      </w:hyperlink>
      <w:r>
        <w:rPr>
          <w:color w:val="231F20"/>
          <w:sz w:val="14"/>
        </w:rPr>
        <w:t> </w:t>
      </w:r>
      <w:r>
        <w:rPr>
          <w:color w:val="231F20"/>
          <w:spacing w:val="-14"/>
          <w:sz w:val="14"/>
        </w:rPr>
        <w:t> </w:t>
      </w:r>
      <w:r>
        <w:rPr>
          <w:color w:val="231F20"/>
          <w:w w:val="97"/>
          <w:sz w:val="14"/>
        </w:rPr>
        <w:t>Pue</w:t>
      </w:r>
      <w:r>
        <w:rPr>
          <w:color w:val="231F20"/>
          <w:w w:val="96"/>
          <w:sz w:val="14"/>
        </w:rPr>
        <w:t>de</w:t>
      </w:r>
      <w:r>
        <w:rPr>
          <w:color w:val="231F20"/>
          <w:sz w:val="14"/>
        </w:rPr>
        <w:t> </w:t>
      </w:r>
      <w:r>
        <w:rPr>
          <w:color w:val="231F20"/>
          <w:spacing w:val="-14"/>
          <w:sz w:val="14"/>
        </w:rPr>
        <w:t> </w:t>
      </w:r>
      <w:r>
        <w:rPr>
          <w:color w:val="231F20"/>
          <w:w w:val="93"/>
          <w:sz w:val="14"/>
        </w:rPr>
        <w:t>s</w:t>
      </w:r>
      <w:r>
        <w:rPr>
          <w:color w:val="231F20"/>
          <w:w w:val="93"/>
          <w:sz w:val="14"/>
        </w:rPr>
        <w:t>e</w:t>
      </w:r>
      <w:r>
        <w:rPr>
          <w:color w:val="231F20"/>
          <w:w w:val="99"/>
          <w:sz w:val="14"/>
        </w:rPr>
        <w:t>r</w:t>
      </w:r>
      <w:r>
        <w:rPr>
          <w:color w:val="231F20"/>
          <w:sz w:val="14"/>
        </w:rPr>
        <w:t> </w:t>
      </w:r>
      <w:r>
        <w:rPr>
          <w:color w:val="231F20"/>
          <w:spacing w:val="-14"/>
          <w:sz w:val="14"/>
        </w:rPr>
        <w:t> </w:t>
      </w:r>
      <w:r>
        <w:rPr>
          <w:color w:val="231F20"/>
          <w:w w:val="99"/>
          <w:sz w:val="14"/>
        </w:rPr>
        <w:t>ut</w:t>
      </w:r>
      <w:r>
        <w:rPr>
          <w:color w:val="231F20"/>
          <w:w w:val="81"/>
          <w:sz w:val="14"/>
        </w:rPr>
        <w:t>ili</w:t>
      </w:r>
      <w:r>
        <w:rPr>
          <w:color w:val="231F20"/>
          <w:w w:val="93"/>
          <w:sz w:val="14"/>
        </w:rPr>
        <w:t>za</w:t>
      </w:r>
      <w:r>
        <w:rPr>
          <w:color w:val="231F20"/>
          <w:w w:val="95"/>
          <w:sz w:val="14"/>
        </w:rPr>
        <w:t>da </w:t>
      </w:r>
      <w:r>
        <w:rPr>
          <w:color w:val="231F20"/>
          <w:sz w:val="14"/>
        </w:rPr>
        <w:t>con</w:t>
      </w:r>
      <w:r>
        <w:rPr>
          <w:color w:val="231F20"/>
          <w:spacing w:val="-11"/>
          <w:sz w:val="14"/>
        </w:rPr>
        <w:t> </w:t>
      </w:r>
      <w:r>
        <w:rPr>
          <w:color w:val="231F20"/>
          <w:sz w:val="14"/>
        </w:rPr>
        <w:t>fines</w:t>
      </w:r>
      <w:r>
        <w:rPr>
          <w:color w:val="231F20"/>
          <w:spacing w:val="-12"/>
          <w:sz w:val="14"/>
        </w:rPr>
        <w:t> </w:t>
      </w:r>
      <w:r>
        <w:rPr>
          <w:color w:val="231F20"/>
          <w:sz w:val="14"/>
        </w:rPr>
        <w:t>educativos,</w:t>
      </w:r>
      <w:r>
        <w:rPr>
          <w:color w:val="231F20"/>
          <w:spacing w:val="-12"/>
          <w:sz w:val="14"/>
        </w:rPr>
        <w:t> </w:t>
      </w:r>
      <w:r>
        <w:rPr>
          <w:color w:val="231F20"/>
          <w:sz w:val="14"/>
        </w:rPr>
        <w:t>informativos</w:t>
      </w:r>
      <w:r>
        <w:rPr>
          <w:color w:val="231F20"/>
          <w:spacing w:val="-12"/>
          <w:sz w:val="14"/>
        </w:rPr>
        <w:t> </w:t>
      </w:r>
      <w:r>
        <w:rPr>
          <w:color w:val="231F20"/>
          <w:sz w:val="14"/>
        </w:rPr>
        <w:t>o</w:t>
      </w:r>
      <w:r>
        <w:rPr>
          <w:color w:val="231F20"/>
          <w:spacing w:val="-11"/>
          <w:sz w:val="14"/>
        </w:rPr>
        <w:t> </w:t>
      </w:r>
      <w:r>
        <w:rPr>
          <w:color w:val="231F20"/>
          <w:sz w:val="14"/>
        </w:rPr>
        <w:t>culturales,</w:t>
      </w:r>
      <w:r>
        <w:rPr>
          <w:color w:val="231F20"/>
          <w:spacing w:val="-12"/>
          <w:sz w:val="14"/>
        </w:rPr>
        <w:t> </w:t>
      </w:r>
      <w:r>
        <w:rPr>
          <w:color w:val="231F20"/>
          <w:sz w:val="14"/>
        </w:rPr>
        <w:t>siempre</w:t>
      </w:r>
      <w:r>
        <w:rPr>
          <w:color w:val="231F20"/>
          <w:spacing w:val="-11"/>
          <w:sz w:val="14"/>
        </w:rPr>
        <w:t> </w:t>
      </w:r>
      <w:r>
        <w:rPr>
          <w:color w:val="231F20"/>
          <w:sz w:val="14"/>
        </w:rPr>
        <w:t>que</w:t>
      </w:r>
      <w:r>
        <w:rPr>
          <w:color w:val="231F20"/>
          <w:spacing w:val="-11"/>
          <w:sz w:val="14"/>
        </w:rPr>
        <w:t> </w:t>
      </w:r>
      <w:r>
        <w:rPr>
          <w:color w:val="231F20"/>
          <w:sz w:val="14"/>
        </w:rPr>
        <w:t>se</w:t>
      </w:r>
      <w:r>
        <w:rPr>
          <w:color w:val="231F20"/>
          <w:spacing w:val="-12"/>
          <w:sz w:val="14"/>
        </w:rPr>
        <w:t> </w:t>
      </w:r>
      <w:r>
        <w:rPr>
          <w:color w:val="231F20"/>
          <w:sz w:val="14"/>
        </w:rPr>
        <w:t>cite</w:t>
      </w:r>
      <w:r>
        <w:rPr>
          <w:color w:val="231F20"/>
          <w:spacing w:val="-11"/>
          <w:sz w:val="14"/>
        </w:rPr>
        <w:t> </w:t>
      </w:r>
      <w:r>
        <w:rPr>
          <w:color w:val="231F20"/>
          <w:sz w:val="14"/>
        </w:rPr>
        <w:t>la</w:t>
      </w:r>
      <w:r>
        <w:rPr>
          <w:color w:val="231F20"/>
          <w:spacing w:val="-11"/>
          <w:sz w:val="14"/>
        </w:rPr>
        <w:t> </w:t>
      </w:r>
      <w:r>
        <w:rPr>
          <w:color w:val="231F20"/>
          <w:sz w:val="14"/>
        </w:rPr>
        <w:t>fuente.Disponible</w:t>
      </w:r>
      <w:r>
        <w:rPr>
          <w:color w:val="231F20"/>
          <w:spacing w:val="-12"/>
          <w:sz w:val="14"/>
        </w:rPr>
        <w:t> </w:t>
      </w:r>
      <w:r>
        <w:rPr>
          <w:color w:val="231F20"/>
          <w:sz w:val="14"/>
        </w:rPr>
        <w:t>en</w:t>
      </w:r>
      <w:r>
        <w:rPr>
          <w:color w:val="231F20"/>
          <w:spacing w:val="-11"/>
          <w:sz w:val="14"/>
        </w:rPr>
        <w:t> </w:t>
      </w:r>
      <w:r>
        <w:rPr>
          <w:color w:val="231F20"/>
          <w:sz w:val="14"/>
        </w:rPr>
        <w:t>acceso</w:t>
      </w:r>
      <w:r>
        <w:rPr>
          <w:color w:val="231F20"/>
          <w:spacing w:val="-11"/>
          <w:sz w:val="14"/>
        </w:rPr>
        <w:t> </w:t>
      </w:r>
      <w:r>
        <w:rPr>
          <w:color w:val="231F20"/>
          <w:sz w:val="14"/>
        </w:rPr>
        <w:t>abierto en: </w:t>
      </w:r>
      <w:hyperlink r:id="rId15">
        <w:r>
          <w:rPr>
            <w:color w:val="231F20"/>
            <w:sz w:val="14"/>
          </w:rPr>
          <w:t>http://libros.uaem.mx/</w:t>
        </w:r>
      </w:hyperlink>
      <w:r>
        <w:rPr>
          <w:color w:val="231F20"/>
          <w:sz w:val="14"/>
        </w:rPr>
        <w:t> y en: </w:t>
      </w:r>
      <w:r>
        <w:rPr>
          <w:color w:val="231F20"/>
          <w:spacing w:val="14"/>
          <w:sz w:val="14"/>
        </w:rPr>
        <w:t> </w:t>
      </w:r>
      <w:hyperlink r:id="rId21">
        <w:r>
          <w:rPr>
            <w:color w:val="231F20"/>
            <w:sz w:val="14"/>
          </w:rPr>
          <w:t>http://ri.uaemex.mx/</w:t>
        </w:r>
      </w:hyperlink>
    </w:p>
    <w:p>
      <w:pPr>
        <w:pStyle w:val="BodyText"/>
        <w:spacing w:before="9"/>
        <w:rPr>
          <w:sz w:val="12"/>
        </w:rPr>
      </w:pPr>
    </w:p>
    <w:p>
      <w:pPr>
        <w:spacing w:line="160" w:lineRule="exact" w:before="0"/>
        <w:ind w:left="122" w:right="0" w:firstLine="0"/>
        <w:jc w:val="both"/>
        <w:rPr>
          <w:sz w:val="14"/>
        </w:rPr>
      </w:pPr>
      <w:r>
        <w:rPr>
          <w:color w:val="231F20"/>
          <w:sz w:val="14"/>
        </w:rPr>
        <w:t>Citación:</w:t>
      </w:r>
    </w:p>
    <w:p>
      <w:pPr>
        <w:spacing w:line="158" w:lineRule="exact" w:before="3"/>
        <w:ind w:left="121" w:right="205" w:firstLine="0"/>
        <w:jc w:val="left"/>
        <w:rPr>
          <w:sz w:val="14"/>
        </w:rPr>
      </w:pPr>
      <w:r>
        <w:rPr>
          <w:color w:val="231F20"/>
          <w:w w:val="95"/>
          <w:sz w:val="14"/>
        </w:rPr>
        <w:t>González Corzo, Irma Guadalupe y Rosa María Ramírez Martínez (coordinadoras). (2014). </w:t>
      </w:r>
      <w:r>
        <w:rPr>
          <w:i/>
          <w:color w:val="231F20"/>
          <w:w w:val="95"/>
          <w:sz w:val="14"/>
        </w:rPr>
        <w:t>Estudios sobre </w:t>
      </w:r>
      <w:r>
        <w:rPr>
          <w:i/>
          <w:color w:val="231F20"/>
          <w:w w:val="90"/>
          <w:sz w:val="14"/>
        </w:rPr>
        <w:t>violencia en la educación: Enfoques, textos y contextos. </w:t>
      </w:r>
      <w:r>
        <w:rPr>
          <w:color w:val="231F20"/>
          <w:w w:val="90"/>
          <w:sz w:val="14"/>
        </w:rPr>
        <w:t>Cuernavaca: UAEM, 438 p. ISBN: 978-607-8332-94-6.</w:t>
      </w:r>
    </w:p>
    <w:p>
      <w:pPr>
        <w:spacing w:line="310" w:lineRule="atLeast" w:before="5"/>
        <w:ind w:left="122" w:right="2632" w:hanging="1"/>
        <w:jc w:val="left"/>
        <w:rPr>
          <w:sz w:val="14"/>
        </w:rPr>
      </w:pPr>
      <w:r>
        <w:rPr>
          <w:color w:val="231F20"/>
          <w:w w:val="105"/>
          <w:sz w:val="14"/>
        </w:rPr>
        <w:t>I</w:t>
      </w:r>
      <w:r>
        <w:rPr>
          <w:color w:val="231F20"/>
          <w:w w:val="98"/>
          <w:sz w:val="14"/>
        </w:rPr>
        <w:t>m</w:t>
      </w:r>
      <w:r>
        <w:rPr>
          <w:color w:val="231F20"/>
          <w:w w:val="89"/>
          <w:sz w:val="14"/>
        </w:rPr>
        <w:t>ag</w:t>
      </w:r>
      <w:r>
        <w:rPr>
          <w:color w:val="231F20"/>
          <w:w w:val="93"/>
          <w:sz w:val="14"/>
        </w:rPr>
        <w:t>e</w:t>
      </w:r>
      <w:r>
        <w:rPr>
          <w:color w:val="231F20"/>
          <w:w w:val="101"/>
          <w:sz w:val="14"/>
        </w:rPr>
        <w:t>n</w:t>
      </w:r>
      <w:r>
        <w:rPr>
          <w:color w:val="231F20"/>
          <w:sz w:val="14"/>
        </w:rPr>
        <w:t> </w:t>
      </w:r>
      <w:r>
        <w:rPr>
          <w:color w:val="231F20"/>
          <w:w w:val="96"/>
          <w:sz w:val="14"/>
        </w:rPr>
        <w:t>de</w:t>
      </w:r>
      <w:r>
        <w:rPr>
          <w:color w:val="231F20"/>
          <w:sz w:val="14"/>
        </w:rPr>
        <w:t> </w:t>
      </w:r>
      <w:r>
        <w:rPr>
          <w:color w:val="231F20"/>
          <w:w w:val="100"/>
          <w:sz w:val="14"/>
        </w:rPr>
        <w:t>por</w:t>
      </w:r>
      <w:r>
        <w:rPr>
          <w:color w:val="231F20"/>
          <w:w w:val="104"/>
          <w:sz w:val="14"/>
        </w:rPr>
        <w:t>t</w:t>
      </w:r>
      <w:r>
        <w:rPr>
          <w:color w:val="231F20"/>
          <w:w w:val="91"/>
          <w:sz w:val="14"/>
        </w:rPr>
        <w:t>ada:</w:t>
      </w:r>
      <w:r>
        <w:rPr>
          <w:color w:val="231F20"/>
          <w:sz w:val="14"/>
        </w:rPr>
        <w:t> </w:t>
      </w:r>
      <w:r>
        <w:rPr>
          <w:color w:val="231F20"/>
          <w:w w:val="93"/>
          <w:sz w:val="14"/>
        </w:rPr>
        <w:t>A</w:t>
      </w:r>
      <w:r>
        <w:rPr>
          <w:color w:val="231F20"/>
          <w:w w:val="81"/>
          <w:sz w:val="14"/>
        </w:rPr>
        <w:t>l</w:t>
      </w:r>
      <w:r>
        <w:rPr>
          <w:color w:val="231F20"/>
          <w:w w:val="96"/>
          <w:sz w:val="14"/>
        </w:rPr>
        <w:t>án</w:t>
      </w:r>
      <w:r>
        <w:rPr>
          <w:color w:val="231F20"/>
          <w:sz w:val="14"/>
        </w:rPr>
        <w:t> </w:t>
      </w:r>
      <w:r>
        <w:rPr>
          <w:color w:val="231F20"/>
          <w:w w:val="106"/>
          <w:sz w:val="14"/>
        </w:rPr>
        <w:t>G</w:t>
      </w:r>
      <w:r>
        <w:rPr>
          <w:color w:val="231F20"/>
          <w:w w:val="97"/>
          <w:sz w:val="14"/>
        </w:rPr>
        <w:t>uzm</w:t>
      </w:r>
      <w:r>
        <w:rPr>
          <w:color w:val="231F20"/>
          <w:w w:val="96"/>
          <w:sz w:val="14"/>
        </w:rPr>
        <w:t>án</w:t>
      </w:r>
      <w:r>
        <w:rPr>
          <w:color w:val="231F20"/>
          <w:sz w:val="14"/>
        </w:rPr>
        <w:t> </w:t>
      </w:r>
      <w:r>
        <w:rPr>
          <w:color w:val="231F20"/>
          <w:w w:val="93"/>
          <w:sz w:val="14"/>
        </w:rPr>
        <w:t>V</w:t>
      </w:r>
      <w:r>
        <w:rPr>
          <w:color w:val="231F20"/>
          <w:w w:val="93"/>
          <w:sz w:val="14"/>
        </w:rPr>
        <w:t>e</w:t>
      </w:r>
      <w:r>
        <w:rPr>
          <w:color w:val="231F20"/>
          <w:w w:val="81"/>
          <w:sz w:val="14"/>
        </w:rPr>
        <w:t>l</w:t>
      </w:r>
      <w:r>
        <w:rPr>
          <w:color w:val="231F20"/>
          <w:w w:val="92"/>
          <w:sz w:val="14"/>
        </w:rPr>
        <w:t>as</w:t>
      </w:r>
      <w:r>
        <w:rPr>
          <w:color w:val="231F20"/>
          <w:w w:val="93"/>
          <w:sz w:val="14"/>
        </w:rPr>
        <w:t>c</w:t>
      </w:r>
      <w:r>
        <w:rPr>
          <w:color w:val="231F20"/>
          <w:w w:val="96"/>
          <w:sz w:val="14"/>
        </w:rPr>
        <w:t>o,</w:t>
      </w:r>
      <w:r>
        <w:rPr>
          <w:color w:val="231F20"/>
          <w:sz w:val="14"/>
        </w:rPr>
        <w:t> </w:t>
      </w:r>
      <w:r>
        <w:rPr>
          <w:i/>
          <w:color w:val="231F20"/>
          <w:w w:val="130"/>
          <w:sz w:val="14"/>
        </w:rPr>
        <w:t>V</w:t>
      </w:r>
      <w:r>
        <w:rPr>
          <w:i/>
          <w:color w:val="231F20"/>
          <w:w w:val="74"/>
          <w:sz w:val="14"/>
        </w:rPr>
        <w:t>io</w:t>
      </w:r>
      <w:r>
        <w:rPr>
          <w:i/>
          <w:color w:val="231F20"/>
          <w:w w:val="76"/>
          <w:sz w:val="14"/>
        </w:rPr>
        <w:t>len</w:t>
      </w:r>
      <w:r>
        <w:rPr>
          <w:i/>
          <w:color w:val="231F20"/>
          <w:w w:val="60"/>
          <w:sz w:val="14"/>
        </w:rPr>
        <w:t>c</w:t>
      </w:r>
      <w:r>
        <w:rPr>
          <w:i/>
          <w:color w:val="231F20"/>
          <w:w w:val="81"/>
          <w:sz w:val="14"/>
        </w:rPr>
        <w:t>ia</w:t>
      </w:r>
      <w:r>
        <w:rPr>
          <w:color w:val="231F20"/>
          <w:w w:val="87"/>
          <w:sz w:val="14"/>
        </w:rPr>
        <w:t>,</w:t>
      </w:r>
      <w:r>
        <w:rPr>
          <w:color w:val="231F20"/>
          <w:sz w:val="14"/>
        </w:rPr>
        <w:t> </w:t>
      </w:r>
      <w:r>
        <w:rPr>
          <w:color w:val="231F20"/>
          <w:w w:val="93"/>
          <w:sz w:val="14"/>
        </w:rPr>
        <w:t>2014</w:t>
      </w:r>
      <w:r>
        <w:rPr>
          <w:color w:val="231F20"/>
          <w:w w:val="87"/>
          <w:sz w:val="14"/>
        </w:rPr>
        <w:t>. </w:t>
      </w:r>
      <w:r>
        <w:rPr>
          <w:color w:val="231F20"/>
          <w:w w:val="95"/>
          <w:sz w:val="14"/>
        </w:rPr>
        <w:t>ISBN UAEM: 978-607-8332-94-6</w:t>
      </w:r>
    </w:p>
    <w:p>
      <w:pPr>
        <w:spacing w:line="158" w:lineRule="exact" w:before="0"/>
        <w:ind w:left="121" w:right="0" w:firstLine="0"/>
        <w:jc w:val="both"/>
        <w:rPr>
          <w:sz w:val="14"/>
        </w:rPr>
      </w:pPr>
      <w:r>
        <w:rPr>
          <w:color w:val="231F20"/>
          <w:w w:val="95"/>
          <w:sz w:val="14"/>
        </w:rPr>
        <w:t>ISBN UAEMex: 978-607-422-604-1</w:t>
      </w:r>
    </w:p>
    <w:p>
      <w:pPr>
        <w:pStyle w:val="BodyText"/>
        <w:spacing w:before="6"/>
        <w:rPr>
          <w:sz w:val="13"/>
        </w:rPr>
      </w:pPr>
    </w:p>
    <w:p>
      <w:pPr>
        <w:spacing w:before="0"/>
        <w:ind w:left="121" w:right="0" w:firstLine="0"/>
        <w:jc w:val="both"/>
        <w:rPr>
          <w:sz w:val="14"/>
        </w:rPr>
      </w:pPr>
      <w:r>
        <w:rPr>
          <w:color w:val="231F20"/>
          <w:sz w:val="14"/>
        </w:rPr>
        <w:t>Impreso en México</w:t>
      </w:r>
    </w:p>
    <w:p>
      <w:pPr>
        <w:spacing w:after="0"/>
        <w:jc w:val="both"/>
        <w:rPr>
          <w:sz w:val="14"/>
        </w:rPr>
        <w:sectPr>
          <w:headerReference w:type="default" r:id="rId14"/>
          <w:pgSz w:w="7830" w:h="11910"/>
          <w:pgMar w:header="0" w:footer="0" w:top="1100" w:bottom="280" w:left="900" w:right="900"/>
        </w:sectPr>
      </w:pPr>
    </w:p>
    <w:p>
      <w:pPr>
        <w:pStyle w:val="Heading2"/>
        <w:spacing w:before="39"/>
        <w:ind w:left="102" w:right="242"/>
        <w:rPr>
          <w:rFonts w:ascii="Georgia"/>
        </w:rPr>
      </w:pPr>
      <w:r>
        <w:rPr>
          <w:rFonts w:ascii="Georgia"/>
          <w:color w:val="231F20"/>
          <w:sz w:val="28"/>
        </w:rPr>
        <w:t>C</w:t>
      </w:r>
      <w:r>
        <w:rPr>
          <w:rFonts w:ascii="Georgia"/>
          <w:color w:val="231F20"/>
        </w:rPr>
        <w:t>ONTENIDO</w:t>
      </w:r>
    </w:p>
    <w:p>
      <w:pPr>
        <w:pStyle w:val="BodyText"/>
        <w:spacing w:before="10"/>
        <w:rPr>
          <w:rFonts w:ascii="Georgia"/>
          <w:b/>
          <w:sz w:val="30"/>
        </w:rPr>
      </w:pPr>
    </w:p>
    <w:p>
      <w:pPr>
        <w:spacing w:before="0"/>
        <w:ind w:left="102" w:right="242" w:firstLine="0"/>
        <w:jc w:val="left"/>
        <w:rPr>
          <w:sz w:val="16"/>
        </w:rPr>
      </w:pPr>
      <w:r>
        <w:rPr>
          <w:color w:val="231F20"/>
          <w:sz w:val="19"/>
        </w:rPr>
        <w:t>I</w:t>
      </w:r>
      <w:r>
        <w:rPr>
          <w:color w:val="231F20"/>
          <w:position w:val="1"/>
          <w:sz w:val="16"/>
        </w:rPr>
        <w:t>NTRODUCCIÓN</w:t>
      </w:r>
    </w:p>
    <w:p>
      <w:pPr>
        <w:spacing w:before="50"/>
        <w:ind w:left="102" w:right="242" w:firstLine="0"/>
        <w:jc w:val="left"/>
        <w:rPr>
          <w:sz w:val="19"/>
        </w:rPr>
      </w:pPr>
      <w:r>
        <w:rPr>
          <w:color w:val="231F20"/>
          <w:sz w:val="19"/>
        </w:rPr>
        <w:t>Rosa María Ramírez-Martínez</w:t>
      </w:r>
    </w:p>
    <w:sdt>
      <w:sdtPr>
        <w:docPartObj>
          <w:docPartGallery w:val="Table of Contents"/>
          <w:docPartUnique/>
        </w:docPartObj>
      </w:sdtPr>
      <w:sdtEndPr/>
      <w:sdtContent>
        <w:p>
          <w:pPr>
            <w:pStyle w:val="TOC1"/>
            <w:tabs>
              <w:tab w:pos="5058" w:val="left" w:leader="none"/>
            </w:tabs>
          </w:pPr>
          <w:r>
            <w:rPr>
              <w:color w:val="231F20"/>
            </w:rPr>
            <w:t>Irma</w:t>
          </w:r>
          <w:r>
            <w:rPr>
              <w:color w:val="231F20"/>
              <w:spacing w:val="17"/>
            </w:rPr>
            <w:t> </w:t>
          </w:r>
          <w:r>
            <w:rPr>
              <w:color w:val="231F20"/>
            </w:rPr>
            <w:t>Guadalupe</w:t>
          </w:r>
          <w:r>
            <w:rPr>
              <w:color w:val="231F20"/>
              <w:spacing w:val="17"/>
            </w:rPr>
            <w:t> </w:t>
          </w:r>
          <w:r>
            <w:rPr>
              <w:color w:val="231F20"/>
            </w:rPr>
            <w:t>González-Corzo</w:t>
            <w:tab/>
            <w:t>11</w:t>
          </w:r>
        </w:p>
        <w:p>
          <w:pPr>
            <w:pStyle w:val="TOC2"/>
            <w:spacing w:before="324"/>
          </w:pPr>
          <w:r>
            <w:rPr>
              <w:color w:val="231F20"/>
              <w:sz w:val="19"/>
            </w:rPr>
            <w:t>L</w:t>
          </w:r>
          <w:r>
            <w:rPr>
              <w:color w:val="231F20"/>
              <w:position w:val="1"/>
            </w:rPr>
            <w:t>A VIOLENCIA LEGITIMA LA RAZÓN</w:t>
          </w:r>
        </w:p>
        <w:p>
          <w:pPr>
            <w:pStyle w:val="TOC2"/>
            <w:spacing w:line="350" w:lineRule="auto" w:before="68"/>
            <w:ind w:right="2394"/>
          </w:pPr>
          <w:r>
            <w:rPr>
              <w:color w:val="231F20"/>
            </w:rPr>
            <w:t>DEL ESTADO CON RELACIÓN AL DERECHO Y SU EXPANSIÓN A LA EDUCACIÓN</w:t>
          </w:r>
        </w:p>
        <w:p>
          <w:pPr>
            <w:pStyle w:val="TOC1"/>
            <w:tabs>
              <w:tab w:pos="5058" w:val="left" w:leader="none"/>
            </w:tabs>
            <w:spacing w:line="208" w:lineRule="exact" w:before="0"/>
          </w:pPr>
          <w:r>
            <w:rPr>
              <w:color w:val="231F20"/>
            </w:rPr>
            <w:t>Rosa</w:t>
          </w:r>
          <w:r>
            <w:rPr>
              <w:color w:val="231F20"/>
              <w:spacing w:val="-3"/>
            </w:rPr>
            <w:t> </w:t>
          </w:r>
          <w:r>
            <w:rPr>
              <w:color w:val="231F20"/>
            </w:rPr>
            <w:t>María</w:t>
          </w:r>
          <w:r>
            <w:rPr>
              <w:color w:val="231F20"/>
              <w:spacing w:val="-3"/>
            </w:rPr>
            <w:t> </w:t>
          </w:r>
          <w:r>
            <w:rPr>
              <w:color w:val="231F20"/>
            </w:rPr>
            <w:t>Ramírez-Martínez</w:t>
            <w:tab/>
            <w:t>25</w:t>
          </w:r>
        </w:p>
        <w:p>
          <w:pPr>
            <w:pStyle w:val="TOC2"/>
            <w:spacing w:line="314" w:lineRule="auto"/>
            <w:ind w:right="2167"/>
          </w:pPr>
          <w:hyperlink w:history="true" w:anchor="_TOC_250001">
            <w:r>
              <w:rPr>
                <w:color w:val="231F20"/>
                <w:sz w:val="19"/>
              </w:rPr>
              <w:t>E</w:t>
            </w:r>
            <w:r>
              <w:rPr>
                <w:color w:val="231F20"/>
                <w:position w:val="1"/>
              </w:rPr>
              <w:t>L DISCURSO DE LAS POLÍTICAS EDUCATIVAS </w:t>
            </w:r>
            <w:r>
              <w:rPr>
                <w:color w:val="231F20"/>
              </w:rPr>
              <w:t>DE LA TEORÍA A LA IDEOLOGÍA</w:t>
            </w:r>
          </w:hyperlink>
        </w:p>
        <w:p>
          <w:pPr>
            <w:pStyle w:val="TOC1"/>
            <w:tabs>
              <w:tab w:pos="5058" w:val="left" w:leader="none"/>
            </w:tabs>
            <w:spacing w:before="16"/>
          </w:pPr>
          <w:r>
            <w:rPr>
              <w:color w:val="231F20"/>
            </w:rPr>
            <w:t>Maximiliano</w:t>
          </w:r>
          <w:r>
            <w:rPr>
              <w:color w:val="231F20"/>
              <w:spacing w:val="-11"/>
            </w:rPr>
            <w:t> </w:t>
          </w:r>
          <w:r>
            <w:rPr>
              <w:color w:val="231F20"/>
            </w:rPr>
            <w:t>Valle-Cruz</w:t>
            <w:tab/>
            <w:t>65</w:t>
          </w:r>
        </w:p>
        <w:p>
          <w:pPr>
            <w:pStyle w:val="TOC2"/>
            <w:spacing w:line="297" w:lineRule="auto"/>
            <w:ind w:right="1078"/>
          </w:pPr>
          <w:r>
            <w:rPr>
              <w:color w:val="231F20"/>
              <w:sz w:val="19"/>
            </w:rPr>
            <w:t>D</w:t>
          </w:r>
          <w:r>
            <w:rPr>
              <w:color w:val="231F20"/>
              <w:position w:val="1"/>
            </w:rPr>
            <w:t>ESCONTENTO</w:t>
          </w:r>
          <w:r>
            <w:rPr>
              <w:color w:val="231F20"/>
              <w:sz w:val="19"/>
            </w:rPr>
            <w:t>, </w:t>
          </w:r>
          <w:r>
            <w:rPr>
              <w:color w:val="231F20"/>
              <w:position w:val="1"/>
            </w:rPr>
            <w:t>INDISCIPLINA Y </w:t>
          </w:r>
          <w:r>
            <w:rPr>
              <w:color w:val="231F20"/>
              <w:sz w:val="19"/>
            </w:rPr>
            <w:t>¿</w:t>
          </w:r>
          <w:r>
            <w:rPr>
              <w:color w:val="231F20"/>
              <w:position w:val="1"/>
            </w:rPr>
            <w:t>VIOLENCIA ESCOLAR</w:t>
          </w:r>
          <w:r>
            <w:rPr>
              <w:color w:val="231F20"/>
              <w:sz w:val="19"/>
            </w:rPr>
            <w:t>?: D</w:t>
          </w:r>
          <w:r>
            <w:rPr>
              <w:color w:val="231F20"/>
              <w:position w:val="1"/>
            </w:rPr>
            <w:t>ISCURSOS Y MODOS EDUCATIVOS EN EL </w:t>
          </w:r>
          <w:r>
            <w:rPr>
              <w:color w:val="231F20"/>
              <w:sz w:val="19"/>
            </w:rPr>
            <w:t>I</w:t>
          </w:r>
          <w:r>
            <w:rPr>
              <w:color w:val="231F20"/>
              <w:position w:val="1"/>
            </w:rPr>
            <w:t>NSTITUTO </w:t>
          </w:r>
          <w:r>
            <w:rPr>
              <w:color w:val="231F20"/>
              <w:sz w:val="19"/>
            </w:rPr>
            <w:t>C</w:t>
          </w:r>
          <w:r>
            <w:rPr>
              <w:color w:val="231F20"/>
              <w:position w:val="1"/>
            </w:rPr>
            <w:t>IENTÍFICO Y </w:t>
          </w:r>
          <w:r>
            <w:rPr>
              <w:color w:val="231F20"/>
              <w:sz w:val="19"/>
            </w:rPr>
            <w:t>L</w:t>
          </w:r>
          <w:r>
            <w:rPr>
              <w:color w:val="231F20"/>
              <w:position w:val="1"/>
            </w:rPr>
            <w:t>ITERARIO DEL </w:t>
          </w:r>
          <w:r>
            <w:rPr>
              <w:color w:val="231F20"/>
              <w:sz w:val="19"/>
            </w:rPr>
            <w:t>E</w:t>
          </w:r>
          <w:r>
            <w:rPr>
              <w:color w:val="231F20"/>
              <w:position w:val="1"/>
            </w:rPr>
            <w:t>STADO DE  </w:t>
          </w:r>
          <w:r>
            <w:rPr>
              <w:color w:val="231F20"/>
              <w:sz w:val="19"/>
            </w:rPr>
            <w:t>M</w:t>
          </w:r>
          <w:r>
            <w:rPr>
              <w:color w:val="231F20"/>
              <w:position w:val="1"/>
            </w:rPr>
            <w:t>ÉXICO</w:t>
          </w:r>
        </w:p>
        <w:p>
          <w:pPr>
            <w:pStyle w:val="TOC1"/>
            <w:spacing w:before="0"/>
          </w:pPr>
          <w:r>
            <w:rPr>
              <w:color w:val="231F20"/>
            </w:rPr>
            <w:t>Antonio Padilla-Arroyo</w:t>
          </w:r>
        </w:p>
        <w:p>
          <w:pPr>
            <w:pStyle w:val="TOC1"/>
            <w:tabs>
              <w:tab w:pos="5058" w:val="left" w:leader="none"/>
            </w:tabs>
          </w:pPr>
          <w:r>
            <w:rPr>
              <w:color w:val="231F20"/>
            </w:rPr>
            <w:t>Alcira Soler-Durán</w:t>
            <w:tab/>
            <w:t>111</w:t>
          </w:r>
        </w:p>
        <w:p>
          <w:pPr>
            <w:pStyle w:val="TOC2"/>
            <w:spacing w:before="324"/>
          </w:pPr>
          <w:hyperlink w:history="true" w:anchor="_TOC_250000">
            <w:r>
              <w:rPr>
                <w:color w:val="231F20"/>
                <w:sz w:val="19"/>
              </w:rPr>
              <w:t>V</w:t>
            </w:r>
            <w:r>
              <w:rPr>
                <w:color w:val="231F20"/>
                <w:position w:val="1"/>
              </w:rPr>
              <w:t>IOLENCIA E INVESTIGACIÓN</w:t>
            </w:r>
          </w:hyperlink>
        </w:p>
        <w:p>
          <w:pPr>
            <w:pStyle w:val="TOC1"/>
            <w:tabs>
              <w:tab w:pos="5058" w:val="left" w:leader="none"/>
            </w:tabs>
          </w:pPr>
          <w:r>
            <w:rPr>
              <w:color w:val="231F20"/>
            </w:rPr>
            <w:t>Luis</w:t>
          </w:r>
          <w:r>
            <w:rPr>
              <w:color w:val="231F20"/>
              <w:spacing w:val="3"/>
            </w:rPr>
            <w:t> </w:t>
          </w:r>
          <w:r>
            <w:rPr>
              <w:color w:val="231F20"/>
            </w:rPr>
            <w:t>Rodolfo</w:t>
          </w:r>
          <w:r>
            <w:rPr>
              <w:color w:val="231F20"/>
              <w:spacing w:val="4"/>
            </w:rPr>
            <w:t> </w:t>
          </w:r>
          <w:r>
            <w:rPr>
              <w:color w:val="231F20"/>
            </w:rPr>
            <w:t>Ibarra-Rivas</w:t>
            <w:tab/>
            <w:t>147</w:t>
          </w:r>
        </w:p>
      </w:sdtContent>
    </w:sdt>
    <w:p>
      <w:pPr>
        <w:pStyle w:val="BodyText"/>
        <w:spacing w:before="8"/>
        <w:rPr>
          <w:sz w:val="27"/>
        </w:rPr>
      </w:pPr>
    </w:p>
    <w:p>
      <w:pPr>
        <w:spacing w:line="297" w:lineRule="auto" w:before="0"/>
        <w:ind w:left="102" w:right="1078" w:firstLine="0"/>
        <w:jc w:val="left"/>
        <w:rPr>
          <w:sz w:val="16"/>
        </w:rPr>
      </w:pPr>
      <w:r>
        <w:rPr>
          <w:color w:val="231F20"/>
          <w:sz w:val="19"/>
        </w:rPr>
        <w:t>E</w:t>
      </w:r>
      <w:r>
        <w:rPr>
          <w:color w:val="231F20"/>
          <w:position w:val="1"/>
          <w:sz w:val="16"/>
        </w:rPr>
        <w:t>L MALTRATO DURANTE LA FORMACIÓN UNIVERSITARIA EN EL ÁREA DE CIENCIAS DE LA SALUD</w:t>
      </w:r>
      <w:r>
        <w:rPr>
          <w:color w:val="231F20"/>
          <w:sz w:val="19"/>
        </w:rPr>
        <w:t>. U</w:t>
      </w:r>
      <w:r>
        <w:rPr>
          <w:color w:val="231F20"/>
          <w:position w:val="1"/>
          <w:sz w:val="16"/>
        </w:rPr>
        <w:t>N PRIMER ACERCAMIENTO A LAS</w:t>
      </w:r>
      <w:r>
        <w:rPr>
          <w:color w:val="231F20"/>
          <w:sz w:val="19"/>
        </w:rPr>
        <w:t>(</w:t>
      </w:r>
      <w:r>
        <w:rPr>
          <w:color w:val="231F20"/>
          <w:position w:val="1"/>
          <w:sz w:val="16"/>
        </w:rPr>
        <w:t>OS</w:t>
      </w:r>
      <w:r>
        <w:rPr>
          <w:color w:val="231F20"/>
          <w:sz w:val="19"/>
        </w:rPr>
        <w:t>) </w:t>
      </w:r>
      <w:r>
        <w:rPr>
          <w:color w:val="231F20"/>
          <w:position w:val="1"/>
          <w:sz w:val="16"/>
        </w:rPr>
        <w:t>ESTUDIANTES NAYARITAS</w:t>
      </w:r>
    </w:p>
    <w:p>
      <w:pPr>
        <w:spacing w:before="0"/>
        <w:ind w:left="102" w:right="242" w:firstLine="0"/>
        <w:jc w:val="left"/>
        <w:rPr>
          <w:sz w:val="19"/>
        </w:rPr>
      </w:pPr>
      <w:r>
        <w:rPr>
          <w:color w:val="231F20"/>
          <w:sz w:val="19"/>
        </w:rPr>
        <w:t>Bernabé Ríos-Nava</w:t>
      </w:r>
    </w:p>
    <w:p>
      <w:pPr>
        <w:spacing w:before="50"/>
        <w:ind w:left="102" w:right="242" w:firstLine="0"/>
        <w:jc w:val="left"/>
        <w:rPr>
          <w:sz w:val="19"/>
        </w:rPr>
      </w:pPr>
      <w:r>
        <w:rPr>
          <w:color w:val="231F20"/>
          <w:sz w:val="19"/>
        </w:rPr>
        <w:t>Sandra Luz Romero-Mariscal</w:t>
      </w:r>
    </w:p>
    <w:p>
      <w:pPr>
        <w:tabs>
          <w:tab w:pos="5058" w:val="left" w:leader="none"/>
        </w:tabs>
        <w:spacing w:before="55"/>
        <w:ind w:left="102" w:right="242" w:firstLine="0"/>
        <w:jc w:val="left"/>
        <w:rPr>
          <w:sz w:val="19"/>
        </w:rPr>
      </w:pPr>
      <w:r>
        <w:rPr>
          <w:color w:val="231F20"/>
          <w:sz w:val="19"/>
        </w:rPr>
        <w:t>José</w:t>
      </w:r>
      <w:r>
        <w:rPr>
          <w:color w:val="231F20"/>
          <w:spacing w:val="10"/>
          <w:sz w:val="19"/>
        </w:rPr>
        <w:t> </w:t>
      </w:r>
      <w:r>
        <w:rPr>
          <w:color w:val="231F20"/>
          <w:sz w:val="19"/>
        </w:rPr>
        <w:t>Ramón</w:t>
      </w:r>
      <w:r>
        <w:rPr>
          <w:color w:val="231F20"/>
          <w:spacing w:val="11"/>
          <w:sz w:val="19"/>
        </w:rPr>
        <w:t> </w:t>
      </w:r>
      <w:r>
        <w:rPr>
          <w:color w:val="231F20"/>
          <w:sz w:val="19"/>
        </w:rPr>
        <w:t>Olivo-Estrada</w:t>
        <w:tab/>
        <w:t>195</w:t>
      </w:r>
    </w:p>
    <w:p>
      <w:pPr>
        <w:pStyle w:val="BodyText"/>
        <w:rPr>
          <w:sz w:val="20"/>
        </w:rPr>
      </w:pPr>
    </w:p>
    <w:p>
      <w:pPr>
        <w:pStyle w:val="BodyText"/>
        <w:rPr>
          <w:sz w:val="20"/>
        </w:rPr>
      </w:pPr>
    </w:p>
    <w:p>
      <w:pPr>
        <w:spacing w:before="128"/>
        <w:ind w:left="102" w:right="242" w:firstLine="0"/>
        <w:jc w:val="left"/>
        <w:rPr>
          <w:sz w:val="16"/>
        </w:rPr>
      </w:pPr>
      <w:r>
        <w:rPr>
          <w:color w:val="231F20"/>
          <w:sz w:val="19"/>
        </w:rPr>
        <w:t>V</w:t>
      </w:r>
      <w:r>
        <w:rPr>
          <w:color w:val="231F20"/>
          <w:position w:val="1"/>
          <w:sz w:val="16"/>
        </w:rPr>
        <w:t>IOLENCIA EN LAS AULAS DE EDUCACIÓN SUPERIOR</w:t>
      </w:r>
    </w:p>
    <w:p>
      <w:pPr>
        <w:tabs>
          <w:tab w:pos="5058" w:val="left" w:leader="none"/>
        </w:tabs>
        <w:spacing w:before="55"/>
        <w:ind w:left="102" w:right="242" w:firstLine="0"/>
        <w:jc w:val="left"/>
        <w:rPr>
          <w:sz w:val="19"/>
        </w:rPr>
      </w:pPr>
      <w:r>
        <w:rPr>
          <w:color w:val="231F20"/>
          <w:sz w:val="19"/>
        </w:rPr>
        <w:t>Ignacio</w:t>
      </w:r>
      <w:r>
        <w:rPr>
          <w:color w:val="231F20"/>
          <w:spacing w:val="11"/>
          <w:sz w:val="19"/>
        </w:rPr>
        <w:t> </w:t>
      </w:r>
      <w:r>
        <w:rPr>
          <w:color w:val="231F20"/>
          <w:sz w:val="19"/>
        </w:rPr>
        <w:t>Roberto</w:t>
      </w:r>
      <w:r>
        <w:rPr>
          <w:color w:val="231F20"/>
          <w:spacing w:val="11"/>
          <w:sz w:val="19"/>
        </w:rPr>
        <w:t> </w:t>
      </w:r>
      <w:r>
        <w:rPr>
          <w:color w:val="231F20"/>
          <w:sz w:val="19"/>
        </w:rPr>
        <w:t>Rojas-Crôtte</w:t>
        <w:tab/>
        <w:t>229</w:t>
      </w:r>
    </w:p>
    <w:p>
      <w:pPr>
        <w:spacing w:after="0"/>
        <w:jc w:val="left"/>
        <w:rPr>
          <w:sz w:val="19"/>
        </w:rPr>
        <w:sectPr>
          <w:headerReference w:type="default" r:id="rId22"/>
          <w:footerReference w:type="default" r:id="rId23"/>
          <w:pgSz w:w="7830" w:h="11910"/>
          <w:pgMar w:header="0" w:footer="424" w:top="1100" w:bottom="620" w:left="920" w:right="1060"/>
          <w:pgNumType w:start="7"/>
        </w:sectPr>
      </w:pPr>
    </w:p>
    <w:p>
      <w:pPr>
        <w:spacing w:line="295" w:lineRule="auto" w:before="80"/>
        <w:ind w:left="102" w:right="774" w:firstLine="0"/>
        <w:jc w:val="left"/>
        <w:rPr>
          <w:sz w:val="19"/>
        </w:rPr>
      </w:pPr>
      <w:r>
        <w:rPr>
          <w:color w:val="231F20"/>
          <w:sz w:val="19"/>
        </w:rPr>
        <w:t>L</w:t>
      </w:r>
      <w:r>
        <w:rPr>
          <w:color w:val="231F20"/>
          <w:position w:val="1"/>
          <w:sz w:val="16"/>
        </w:rPr>
        <w:t>A PERCEPCIÓN DE LA VIOLENCIA EN JÓVENES UNIVERSITARIOS A PARTIR DEL COMENTARIO DEL CUENTO </w:t>
      </w:r>
      <w:r>
        <w:rPr>
          <w:color w:val="231F20"/>
          <w:sz w:val="19"/>
        </w:rPr>
        <w:t>“E</w:t>
      </w:r>
      <w:r>
        <w:rPr>
          <w:color w:val="231F20"/>
          <w:position w:val="1"/>
          <w:sz w:val="16"/>
        </w:rPr>
        <w:t>L </w:t>
      </w:r>
      <w:r>
        <w:rPr>
          <w:color w:val="231F20"/>
          <w:sz w:val="19"/>
        </w:rPr>
        <w:t>Á</w:t>
      </w:r>
      <w:r>
        <w:rPr>
          <w:color w:val="231F20"/>
          <w:position w:val="1"/>
          <w:sz w:val="16"/>
        </w:rPr>
        <w:t>RBOL</w:t>
      </w:r>
      <w:r>
        <w:rPr>
          <w:color w:val="231F20"/>
          <w:sz w:val="19"/>
        </w:rPr>
        <w:t>”</w:t>
      </w:r>
    </w:p>
    <w:p>
      <w:pPr>
        <w:spacing w:before="6"/>
        <w:ind w:left="102" w:right="774" w:firstLine="0"/>
        <w:jc w:val="left"/>
        <w:rPr>
          <w:sz w:val="16"/>
        </w:rPr>
      </w:pPr>
      <w:r>
        <w:rPr>
          <w:color w:val="231F20"/>
          <w:position w:val="1"/>
          <w:sz w:val="16"/>
        </w:rPr>
        <w:t>DE </w:t>
      </w:r>
      <w:r>
        <w:rPr>
          <w:color w:val="231F20"/>
          <w:sz w:val="19"/>
        </w:rPr>
        <w:t>E</w:t>
      </w:r>
      <w:r>
        <w:rPr>
          <w:color w:val="231F20"/>
          <w:position w:val="1"/>
          <w:sz w:val="16"/>
        </w:rPr>
        <w:t>LENA </w:t>
      </w:r>
      <w:r>
        <w:rPr>
          <w:color w:val="231F20"/>
          <w:sz w:val="19"/>
        </w:rPr>
        <w:t>G</w:t>
      </w:r>
      <w:r>
        <w:rPr>
          <w:color w:val="231F20"/>
          <w:position w:val="1"/>
          <w:sz w:val="16"/>
        </w:rPr>
        <w:t>ARRO</w:t>
      </w:r>
    </w:p>
    <w:p>
      <w:pPr>
        <w:spacing w:before="50"/>
        <w:ind w:left="102" w:right="774" w:firstLine="0"/>
        <w:jc w:val="left"/>
        <w:rPr>
          <w:sz w:val="19"/>
        </w:rPr>
      </w:pPr>
      <w:r>
        <w:rPr>
          <w:color w:val="231F20"/>
          <w:sz w:val="19"/>
        </w:rPr>
        <w:t>Celene García-Ávila</w:t>
      </w:r>
    </w:p>
    <w:p>
      <w:pPr>
        <w:tabs>
          <w:tab w:pos="5338" w:val="right" w:leader="none"/>
        </w:tabs>
        <w:spacing w:before="50"/>
        <w:ind w:left="102" w:right="0" w:firstLine="0"/>
        <w:jc w:val="left"/>
        <w:rPr>
          <w:sz w:val="19"/>
        </w:rPr>
      </w:pPr>
      <w:r>
        <w:rPr>
          <w:color w:val="231F20"/>
          <w:sz w:val="19"/>
        </w:rPr>
        <w:t>Guadalupe</w:t>
      </w:r>
      <w:r>
        <w:rPr>
          <w:color w:val="231F20"/>
          <w:spacing w:val="3"/>
          <w:sz w:val="19"/>
        </w:rPr>
        <w:t> </w:t>
      </w:r>
      <w:r>
        <w:rPr>
          <w:color w:val="231F20"/>
          <w:sz w:val="19"/>
        </w:rPr>
        <w:t>Nancy</w:t>
      </w:r>
      <w:r>
        <w:rPr>
          <w:color w:val="231F20"/>
          <w:spacing w:val="3"/>
          <w:sz w:val="19"/>
        </w:rPr>
        <w:t> </w:t>
      </w:r>
      <w:r>
        <w:rPr>
          <w:color w:val="231F20"/>
          <w:sz w:val="19"/>
        </w:rPr>
        <w:t>Nava-Gómez</w:t>
        <w:tab/>
        <w:t>257</w:t>
      </w:r>
    </w:p>
    <w:p>
      <w:pPr>
        <w:spacing w:line="314" w:lineRule="auto" w:before="592"/>
        <w:ind w:left="102" w:right="0" w:firstLine="0"/>
        <w:jc w:val="left"/>
        <w:rPr>
          <w:sz w:val="16"/>
        </w:rPr>
      </w:pPr>
      <w:r>
        <w:rPr>
          <w:color w:val="231F20"/>
          <w:sz w:val="19"/>
        </w:rPr>
        <w:t>L</w:t>
      </w:r>
      <w:r>
        <w:rPr>
          <w:color w:val="231F20"/>
          <w:position w:val="1"/>
          <w:sz w:val="16"/>
        </w:rPr>
        <w:t>A PERCEPCIÓN ACERCA DE LA CONDUCTA DE LAS PERSONAS VIOLENTAS</w:t>
      </w:r>
      <w:r>
        <w:rPr>
          <w:color w:val="231F20"/>
          <w:sz w:val="19"/>
        </w:rPr>
        <w:t>: </w:t>
      </w:r>
      <w:r>
        <w:rPr>
          <w:color w:val="231F20"/>
          <w:sz w:val="16"/>
        </w:rPr>
        <w:t>EXPLORACIÓN ENTRE LOS ESTUDIANTES UNIVERSITARIOS</w:t>
      </w:r>
    </w:p>
    <w:p>
      <w:pPr>
        <w:spacing w:line="300" w:lineRule="auto" w:before="11"/>
        <w:ind w:left="102" w:right="3139" w:hanging="1"/>
        <w:jc w:val="left"/>
        <w:rPr>
          <w:sz w:val="19"/>
        </w:rPr>
      </w:pPr>
      <w:r>
        <w:rPr>
          <w:color w:val="231F20"/>
          <w:sz w:val="19"/>
        </w:rPr>
        <w:t>Addy Rodríguez-Betanzos Alejandra Aguirre-Crespo</w:t>
      </w:r>
    </w:p>
    <w:p>
      <w:pPr>
        <w:tabs>
          <w:tab w:pos="5338" w:val="right" w:leader="none"/>
        </w:tabs>
        <w:spacing w:line="216" w:lineRule="exact" w:before="0"/>
        <w:ind w:left="102" w:right="0" w:firstLine="0"/>
        <w:jc w:val="left"/>
        <w:rPr>
          <w:sz w:val="19"/>
        </w:rPr>
      </w:pPr>
      <w:r>
        <w:rPr>
          <w:color w:val="231F20"/>
          <w:sz w:val="19"/>
        </w:rPr>
        <w:t>Víctor</w:t>
      </w:r>
      <w:r>
        <w:rPr>
          <w:color w:val="231F20"/>
          <w:spacing w:val="2"/>
          <w:sz w:val="19"/>
        </w:rPr>
        <w:t> </w:t>
      </w:r>
      <w:r>
        <w:rPr>
          <w:color w:val="231F20"/>
          <w:sz w:val="19"/>
        </w:rPr>
        <w:t>Miranda-Soberanis</w:t>
        <w:tab/>
        <w:t>279</w:t>
      </w:r>
    </w:p>
    <w:p>
      <w:pPr>
        <w:pStyle w:val="BodyText"/>
        <w:rPr>
          <w:sz w:val="20"/>
        </w:rPr>
      </w:pPr>
    </w:p>
    <w:p>
      <w:pPr>
        <w:pStyle w:val="BodyText"/>
        <w:rPr>
          <w:sz w:val="20"/>
        </w:rPr>
      </w:pPr>
    </w:p>
    <w:p>
      <w:pPr>
        <w:spacing w:before="132"/>
        <w:ind w:left="102" w:right="774" w:firstLine="0"/>
        <w:jc w:val="left"/>
        <w:rPr>
          <w:sz w:val="16"/>
        </w:rPr>
      </w:pPr>
      <w:r>
        <w:rPr>
          <w:color w:val="231F20"/>
          <w:sz w:val="19"/>
        </w:rPr>
        <w:t>D</w:t>
      </w:r>
      <w:r>
        <w:rPr>
          <w:color w:val="231F20"/>
          <w:position w:val="1"/>
          <w:sz w:val="16"/>
        </w:rPr>
        <w:t>ISCRIMINACIÓN HACIA LA POBLACIÓN INDÍGENA EN EL NIVEL</w:t>
      </w:r>
    </w:p>
    <w:p>
      <w:pPr>
        <w:spacing w:before="50"/>
        <w:ind w:left="102" w:right="0" w:firstLine="0"/>
        <w:jc w:val="left"/>
        <w:rPr>
          <w:sz w:val="17"/>
        </w:rPr>
      </w:pPr>
      <w:r>
        <w:rPr>
          <w:color w:val="231F20"/>
          <w:position w:val="1"/>
          <w:sz w:val="16"/>
        </w:rPr>
        <w:t>DE EDUCACIÓN SUPERIOR</w:t>
      </w:r>
      <w:r>
        <w:rPr>
          <w:color w:val="231F20"/>
          <w:sz w:val="19"/>
        </w:rPr>
        <w:t>: </w:t>
      </w:r>
      <w:r>
        <w:rPr>
          <w:color w:val="231F20"/>
          <w:position w:val="1"/>
          <w:sz w:val="16"/>
        </w:rPr>
        <w:t>EL CASO DE LOS ESTUDIANTES DE LA </w:t>
      </w:r>
      <w:r>
        <w:rPr>
          <w:color w:val="231F20"/>
          <w:sz w:val="17"/>
        </w:rPr>
        <w:t>UABJO</w:t>
      </w:r>
    </w:p>
    <w:p>
      <w:pPr>
        <w:spacing w:line="295" w:lineRule="auto" w:before="50"/>
        <w:ind w:left="102" w:right="3024" w:firstLine="0"/>
        <w:jc w:val="left"/>
        <w:rPr>
          <w:sz w:val="19"/>
        </w:rPr>
      </w:pPr>
      <w:r>
        <w:rPr>
          <w:color w:val="231F20"/>
          <w:sz w:val="19"/>
        </w:rPr>
        <w:t>Virginia Guadalupe Reyes de la Cruz Arturo Ruiz-López</w:t>
      </w:r>
    </w:p>
    <w:p>
      <w:pPr>
        <w:tabs>
          <w:tab w:pos="5058" w:val="left" w:leader="none"/>
        </w:tabs>
        <w:spacing w:before="6"/>
        <w:ind w:left="102" w:right="0" w:firstLine="0"/>
        <w:jc w:val="left"/>
        <w:rPr>
          <w:sz w:val="19"/>
        </w:rPr>
      </w:pPr>
      <w:r>
        <w:rPr>
          <w:color w:val="231F20"/>
          <w:sz w:val="19"/>
        </w:rPr>
        <w:t>Ana</w:t>
      </w:r>
      <w:r>
        <w:rPr>
          <w:color w:val="231F20"/>
          <w:spacing w:val="-4"/>
          <w:sz w:val="19"/>
        </w:rPr>
        <w:t> </w:t>
      </w:r>
      <w:r>
        <w:rPr>
          <w:color w:val="231F20"/>
          <w:sz w:val="19"/>
        </w:rPr>
        <w:t>Margarita</w:t>
      </w:r>
      <w:r>
        <w:rPr>
          <w:color w:val="231F20"/>
          <w:spacing w:val="-4"/>
          <w:sz w:val="19"/>
        </w:rPr>
        <w:t> </w:t>
      </w:r>
      <w:r>
        <w:rPr>
          <w:color w:val="231F20"/>
          <w:sz w:val="19"/>
        </w:rPr>
        <w:t>Alvarado-Juárez</w:t>
        <w:tab/>
        <w:t>307</w:t>
      </w:r>
    </w:p>
    <w:p>
      <w:pPr>
        <w:pStyle w:val="BodyText"/>
        <w:rPr>
          <w:sz w:val="20"/>
        </w:rPr>
      </w:pPr>
    </w:p>
    <w:p>
      <w:pPr>
        <w:pStyle w:val="BodyText"/>
        <w:rPr>
          <w:sz w:val="20"/>
        </w:rPr>
      </w:pPr>
    </w:p>
    <w:p>
      <w:pPr>
        <w:spacing w:line="300" w:lineRule="auto" w:before="128"/>
        <w:ind w:left="102" w:right="1467" w:firstLine="0"/>
        <w:jc w:val="left"/>
        <w:rPr>
          <w:sz w:val="16"/>
        </w:rPr>
      </w:pPr>
      <w:r>
        <w:rPr>
          <w:color w:val="231F20"/>
          <w:sz w:val="19"/>
        </w:rPr>
        <w:t>E</w:t>
      </w:r>
      <w:r>
        <w:rPr>
          <w:color w:val="231F20"/>
          <w:position w:val="1"/>
          <w:sz w:val="16"/>
        </w:rPr>
        <w:t>XPRESIONES DE LA VIOLENCIA EN LA </w:t>
      </w:r>
      <w:r>
        <w:rPr>
          <w:color w:val="231F20"/>
          <w:sz w:val="19"/>
        </w:rPr>
        <w:t>UABJO. R</w:t>
      </w:r>
      <w:r>
        <w:rPr>
          <w:color w:val="231F20"/>
          <w:position w:val="1"/>
          <w:sz w:val="16"/>
        </w:rPr>
        <w:t>EPORTE  DE INVESTIGACIÓN</w:t>
      </w:r>
    </w:p>
    <w:p>
      <w:pPr>
        <w:spacing w:line="295" w:lineRule="auto" w:before="0"/>
        <w:ind w:left="102" w:right="3993" w:hanging="1"/>
        <w:jc w:val="left"/>
        <w:rPr>
          <w:sz w:val="19"/>
        </w:rPr>
      </w:pPr>
      <w:r>
        <w:rPr>
          <w:color w:val="231F20"/>
          <w:sz w:val="19"/>
        </w:rPr>
        <w:t>Carlos Sorroza-Polo Olga J. Montes-García Néstor Montes-García</w:t>
      </w:r>
    </w:p>
    <w:p>
      <w:pPr>
        <w:spacing w:before="6"/>
        <w:ind w:left="102" w:right="774" w:firstLine="0"/>
        <w:jc w:val="left"/>
        <w:rPr>
          <w:sz w:val="19"/>
        </w:rPr>
      </w:pPr>
      <w:r>
        <w:rPr>
          <w:color w:val="231F20"/>
          <w:sz w:val="19"/>
        </w:rPr>
        <w:t>Sara Montserrat Herrera-Cerqueda</w:t>
      </w:r>
    </w:p>
    <w:p>
      <w:pPr>
        <w:tabs>
          <w:tab w:pos="5058" w:val="left" w:leader="none"/>
        </w:tabs>
        <w:spacing w:before="50"/>
        <w:ind w:left="102" w:right="0" w:firstLine="0"/>
        <w:jc w:val="left"/>
        <w:rPr>
          <w:sz w:val="19"/>
        </w:rPr>
      </w:pPr>
      <w:r>
        <w:rPr>
          <w:color w:val="231F20"/>
          <w:sz w:val="19"/>
        </w:rPr>
        <w:t>Ilse</w:t>
      </w:r>
      <w:r>
        <w:rPr>
          <w:color w:val="231F20"/>
          <w:spacing w:val="8"/>
          <w:sz w:val="19"/>
        </w:rPr>
        <w:t> </w:t>
      </w:r>
      <w:r>
        <w:rPr>
          <w:color w:val="231F20"/>
          <w:sz w:val="19"/>
        </w:rPr>
        <w:t>Montserrat</w:t>
      </w:r>
      <w:r>
        <w:rPr>
          <w:color w:val="231F20"/>
          <w:spacing w:val="8"/>
          <w:sz w:val="19"/>
        </w:rPr>
        <w:t> </w:t>
      </w:r>
      <w:r>
        <w:rPr>
          <w:color w:val="231F20"/>
          <w:sz w:val="19"/>
        </w:rPr>
        <w:t>López</w:t>
        <w:tab/>
        <w:t>340</w:t>
      </w:r>
    </w:p>
    <w:p>
      <w:pPr>
        <w:pStyle w:val="BodyText"/>
        <w:spacing w:before="8"/>
        <w:rPr>
          <w:sz w:val="27"/>
        </w:rPr>
      </w:pPr>
    </w:p>
    <w:p>
      <w:pPr>
        <w:spacing w:line="300" w:lineRule="auto" w:before="0"/>
        <w:ind w:left="102" w:right="1467" w:firstLine="0"/>
        <w:jc w:val="left"/>
        <w:rPr>
          <w:sz w:val="16"/>
        </w:rPr>
      </w:pPr>
      <w:r>
        <w:rPr>
          <w:color w:val="231F20"/>
          <w:sz w:val="19"/>
        </w:rPr>
        <w:t>V</w:t>
      </w:r>
      <w:r>
        <w:rPr>
          <w:color w:val="231F20"/>
          <w:position w:val="1"/>
          <w:sz w:val="16"/>
        </w:rPr>
        <w:t>IOLENCIA POLÍTICA EN LA </w:t>
      </w:r>
      <w:r>
        <w:rPr>
          <w:color w:val="231F20"/>
          <w:sz w:val="19"/>
        </w:rPr>
        <w:t>U</w:t>
      </w:r>
      <w:r>
        <w:rPr>
          <w:color w:val="231F20"/>
          <w:position w:val="1"/>
          <w:sz w:val="16"/>
        </w:rPr>
        <w:t>NIVERSIDAD </w:t>
      </w:r>
      <w:r>
        <w:rPr>
          <w:color w:val="231F20"/>
          <w:sz w:val="19"/>
        </w:rPr>
        <w:t>A</w:t>
      </w:r>
      <w:r>
        <w:rPr>
          <w:color w:val="231F20"/>
          <w:position w:val="1"/>
          <w:sz w:val="16"/>
        </w:rPr>
        <w:t>UTÓNOMA </w:t>
      </w:r>
      <w:r>
        <w:rPr>
          <w:color w:val="231F20"/>
          <w:sz w:val="19"/>
        </w:rPr>
        <w:t>“B</w:t>
      </w:r>
      <w:r>
        <w:rPr>
          <w:color w:val="231F20"/>
          <w:position w:val="1"/>
          <w:sz w:val="16"/>
        </w:rPr>
        <w:t>ENITO </w:t>
      </w:r>
      <w:r>
        <w:rPr>
          <w:color w:val="231F20"/>
          <w:sz w:val="19"/>
        </w:rPr>
        <w:t>J</w:t>
      </w:r>
      <w:r>
        <w:rPr>
          <w:color w:val="231F20"/>
          <w:position w:val="1"/>
          <w:sz w:val="16"/>
        </w:rPr>
        <w:t>UÁREZ</w:t>
      </w:r>
      <w:r>
        <w:rPr>
          <w:color w:val="231F20"/>
          <w:sz w:val="19"/>
        </w:rPr>
        <w:t>” </w:t>
      </w:r>
      <w:r>
        <w:rPr>
          <w:color w:val="231F20"/>
          <w:position w:val="1"/>
          <w:sz w:val="16"/>
        </w:rPr>
        <w:t>DE </w:t>
      </w:r>
      <w:r>
        <w:rPr>
          <w:color w:val="231F20"/>
          <w:sz w:val="19"/>
        </w:rPr>
        <w:t>O</w:t>
      </w:r>
      <w:r>
        <w:rPr>
          <w:color w:val="231F20"/>
          <w:position w:val="1"/>
          <w:sz w:val="16"/>
        </w:rPr>
        <w:t>AXACA</w:t>
      </w:r>
    </w:p>
    <w:p>
      <w:pPr>
        <w:spacing w:line="216" w:lineRule="exact" w:before="0"/>
        <w:ind w:left="102" w:right="774" w:firstLine="0"/>
        <w:jc w:val="left"/>
        <w:rPr>
          <w:sz w:val="19"/>
        </w:rPr>
      </w:pPr>
      <w:r>
        <w:rPr>
          <w:color w:val="231F20"/>
          <w:w w:val="95"/>
          <w:sz w:val="19"/>
        </w:rPr>
        <w:t>Saúl Reyes-Sanabria</w:t>
      </w:r>
    </w:p>
    <w:p>
      <w:pPr>
        <w:spacing w:before="50"/>
        <w:ind w:left="102" w:right="774" w:firstLine="0"/>
        <w:jc w:val="left"/>
        <w:rPr>
          <w:sz w:val="19"/>
        </w:rPr>
      </w:pPr>
      <w:r>
        <w:rPr>
          <w:color w:val="231F20"/>
          <w:sz w:val="19"/>
        </w:rPr>
        <w:t>Tatiana Hernández-Saavedra</w:t>
      </w:r>
    </w:p>
    <w:p>
      <w:pPr>
        <w:tabs>
          <w:tab w:pos="5058" w:val="left" w:leader="none"/>
        </w:tabs>
        <w:spacing w:before="50"/>
        <w:ind w:left="102" w:right="0" w:firstLine="0"/>
        <w:jc w:val="left"/>
        <w:rPr>
          <w:sz w:val="19"/>
        </w:rPr>
      </w:pPr>
      <w:r>
        <w:rPr>
          <w:color w:val="231F20"/>
          <w:sz w:val="19"/>
        </w:rPr>
        <w:t>Alejandro</w:t>
      </w:r>
      <w:r>
        <w:rPr>
          <w:color w:val="231F20"/>
          <w:spacing w:val="5"/>
          <w:sz w:val="19"/>
        </w:rPr>
        <w:t> </w:t>
      </w:r>
      <w:r>
        <w:rPr>
          <w:color w:val="231F20"/>
          <w:sz w:val="19"/>
        </w:rPr>
        <w:t>Arturo</w:t>
      </w:r>
      <w:r>
        <w:rPr>
          <w:color w:val="231F20"/>
          <w:spacing w:val="5"/>
          <w:sz w:val="19"/>
        </w:rPr>
        <w:t> </w:t>
      </w:r>
      <w:r>
        <w:rPr>
          <w:color w:val="231F20"/>
          <w:sz w:val="19"/>
        </w:rPr>
        <w:t>Jiménez-Martínez</w:t>
        <w:tab/>
        <w:t>365</w:t>
      </w:r>
    </w:p>
    <w:p>
      <w:pPr>
        <w:spacing w:after="0"/>
        <w:jc w:val="left"/>
        <w:rPr>
          <w:sz w:val="19"/>
        </w:rPr>
        <w:sectPr>
          <w:headerReference w:type="default" r:id="rId24"/>
          <w:footerReference w:type="default" r:id="rId25"/>
          <w:pgSz w:w="7830" w:h="11910"/>
          <w:pgMar w:header="0" w:footer="424" w:top="1100" w:bottom="620" w:left="920" w:right="920"/>
          <w:pgNumType w:start="8"/>
        </w:sectPr>
      </w:pPr>
    </w:p>
    <w:p>
      <w:pPr>
        <w:spacing w:line="324" w:lineRule="auto" w:before="80"/>
        <w:ind w:left="102" w:right="242" w:firstLine="0"/>
        <w:jc w:val="left"/>
        <w:rPr>
          <w:sz w:val="16"/>
        </w:rPr>
      </w:pPr>
      <w:r>
        <w:rPr>
          <w:color w:val="231F20"/>
          <w:sz w:val="19"/>
        </w:rPr>
        <w:t>E</w:t>
      </w:r>
      <w:r>
        <w:rPr>
          <w:color w:val="231F20"/>
          <w:position w:val="1"/>
          <w:sz w:val="16"/>
        </w:rPr>
        <w:t>STUDIO COMPARATIVO DE LA PERCEPCIÓN DE LOS ADOLESCENTES </w:t>
      </w:r>
      <w:r>
        <w:rPr>
          <w:color w:val="231F20"/>
          <w:sz w:val="16"/>
        </w:rPr>
        <w:t>DE EDUCACIÓN MEDIA SUPERIOR ACERCA DE PROBLEMAS DE </w:t>
      </w:r>
      <w:r>
        <w:rPr>
          <w:color w:val="231F20"/>
          <w:position w:val="1"/>
          <w:sz w:val="16"/>
        </w:rPr>
        <w:t>CONVIVENCIA ENTRE MAESTROS Y ALUMNOS</w:t>
      </w:r>
      <w:r>
        <w:rPr>
          <w:color w:val="231F20"/>
          <w:sz w:val="19"/>
        </w:rPr>
        <w:t>: </w:t>
      </w:r>
      <w:r>
        <w:rPr>
          <w:color w:val="231F20"/>
          <w:position w:val="1"/>
          <w:sz w:val="16"/>
        </w:rPr>
        <w:t>IMPLICACIONES</w:t>
      </w:r>
    </w:p>
    <w:p>
      <w:pPr>
        <w:spacing w:line="179" w:lineRule="exact" w:before="0"/>
        <w:ind w:left="102" w:right="242" w:firstLine="0"/>
        <w:jc w:val="left"/>
        <w:rPr>
          <w:sz w:val="16"/>
        </w:rPr>
      </w:pPr>
      <w:r>
        <w:rPr>
          <w:color w:val="231F20"/>
          <w:sz w:val="16"/>
        </w:rPr>
        <w:t>EN LA PREVENCIÓN DE LA VIOLENCIA</w:t>
      </w:r>
    </w:p>
    <w:p>
      <w:pPr>
        <w:spacing w:before="66"/>
        <w:ind w:left="102" w:right="242" w:firstLine="0"/>
        <w:jc w:val="left"/>
        <w:rPr>
          <w:sz w:val="19"/>
        </w:rPr>
      </w:pPr>
      <w:r>
        <w:rPr>
          <w:color w:val="231F20"/>
          <w:sz w:val="19"/>
        </w:rPr>
        <w:t>Azucena Ochoa-Cervantes</w:t>
      </w:r>
    </w:p>
    <w:p>
      <w:pPr>
        <w:tabs>
          <w:tab w:pos="5338" w:val="right" w:leader="none"/>
        </w:tabs>
        <w:spacing w:before="50"/>
        <w:ind w:left="102" w:right="0" w:firstLine="0"/>
        <w:jc w:val="left"/>
        <w:rPr>
          <w:sz w:val="19"/>
        </w:rPr>
      </w:pPr>
      <w:r>
        <w:rPr>
          <w:color w:val="231F20"/>
          <w:sz w:val="19"/>
        </w:rPr>
        <w:t>Evelyn</w:t>
      </w:r>
      <w:r>
        <w:rPr>
          <w:color w:val="231F20"/>
          <w:spacing w:val="3"/>
          <w:sz w:val="19"/>
        </w:rPr>
        <w:t> </w:t>
      </w:r>
      <w:r>
        <w:rPr>
          <w:color w:val="231F20"/>
          <w:sz w:val="19"/>
        </w:rPr>
        <w:t>Diez-Martínez</w:t>
      </w:r>
      <w:r>
        <w:rPr>
          <w:color w:val="231F20"/>
          <w:spacing w:val="2"/>
          <w:sz w:val="19"/>
        </w:rPr>
        <w:t> </w:t>
      </w:r>
      <w:r>
        <w:rPr>
          <w:color w:val="231F20"/>
          <w:sz w:val="19"/>
        </w:rPr>
        <w:t>Day</w:t>
        <w:tab/>
        <w:t>401</w:t>
      </w:r>
    </w:p>
    <w:p>
      <w:pPr>
        <w:spacing w:line="295" w:lineRule="auto" w:before="592"/>
        <w:ind w:left="102" w:right="1687" w:firstLine="0"/>
        <w:jc w:val="left"/>
        <w:rPr>
          <w:sz w:val="16"/>
        </w:rPr>
      </w:pPr>
      <w:r>
        <w:rPr>
          <w:color w:val="231F20"/>
          <w:sz w:val="19"/>
        </w:rPr>
        <w:t>M</w:t>
      </w:r>
      <w:r>
        <w:rPr>
          <w:color w:val="231F20"/>
          <w:position w:val="1"/>
          <w:sz w:val="16"/>
        </w:rPr>
        <w:t>OBBING O ACOSO PSICOLÓGICO EN EL TRABAJO EN DOCENTES UNIVERSITARIOS DE </w:t>
      </w:r>
      <w:r>
        <w:rPr>
          <w:color w:val="231F20"/>
          <w:sz w:val="19"/>
        </w:rPr>
        <w:t>M</w:t>
      </w:r>
      <w:r>
        <w:rPr>
          <w:color w:val="231F20"/>
          <w:position w:val="1"/>
          <w:sz w:val="16"/>
        </w:rPr>
        <w:t>ÉXICO</w:t>
      </w:r>
    </w:p>
    <w:p>
      <w:pPr>
        <w:tabs>
          <w:tab w:pos="5338" w:val="right" w:leader="none"/>
        </w:tabs>
        <w:spacing w:before="6"/>
        <w:ind w:left="102" w:right="0" w:firstLine="0"/>
        <w:jc w:val="left"/>
        <w:rPr>
          <w:sz w:val="19"/>
        </w:rPr>
      </w:pPr>
      <w:r>
        <w:rPr>
          <w:color w:val="231F20"/>
          <w:sz w:val="19"/>
        </w:rPr>
        <w:t>Irma</w:t>
      </w:r>
      <w:r>
        <w:rPr>
          <w:color w:val="231F20"/>
          <w:spacing w:val="4"/>
          <w:sz w:val="19"/>
        </w:rPr>
        <w:t> </w:t>
      </w:r>
      <w:r>
        <w:rPr>
          <w:color w:val="231F20"/>
          <w:sz w:val="19"/>
        </w:rPr>
        <w:t>Guadalupe</w:t>
      </w:r>
      <w:r>
        <w:rPr>
          <w:color w:val="231F20"/>
          <w:spacing w:val="4"/>
          <w:sz w:val="19"/>
        </w:rPr>
        <w:t> </w:t>
      </w:r>
      <w:r>
        <w:rPr>
          <w:color w:val="231F20"/>
          <w:sz w:val="19"/>
        </w:rPr>
        <w:t>González-Corzo</w:t>
        <w:tab/>
        <w:t>435</w:t>
      </w:r>
    </w:p>
    <w:p>
      <w:pPr>
        <w:spacing w:before="588"/>
        <w:ind w:left="102" w:right="242" w:firstLine="0"/>
        <w:jc w:val="left"/>
        <w:rPr>
          <w:sz w:val="16"/>
        </w:rPr>
      </w:pPr>
      <w:r>
        <w:rPr>
          <w:color w:val="231F20"/>
          <w:sz w:val="19"/>
        </w:rPr>
        <w:t>A</w:t>
      </w:r>
      <w:r>
        <w:rPr>
          <w:color w:val="231F20"/>
          <w:position w:val="1"/>
          <w:sz w:val="16"/>
        </w:rPr>
        <w:t>NEXO</w:t>
      </w:r>
      <w:r>
        <w:rPr>
          <w:color w:val="231F20"/>
          <w:sz w:val="19"/>
        </w:rPr>
        <w:t>: I</w:t>
      </w:r>
      <w:r>
        <w:rPr>
          <w:color w:val="231F20"/>
          <w:position w:val="1"/>
          <w:sz w:val="16"/>
        </w:rPr>
        <w:t>NVENTARIO DE VIOLENCIA Y ACOSO PSICOLÓGICO</w:t>
      </w:r>
    </w:p>
    <w:p>
      <w:pPr>
        <w:tabs>
          <w:tab w:pos="5338" w:val="right" w:leader="none"/>
        </w:tabs>
        <w:spacing w:before="55"/>
        <w:ind w:left="102" w:right="0" w:firstLine="0"/>
        <w:jc w:val="left"/>
        <w:rPr>
          <w:sz w:val="19"/>
        </w:rPr>
      </w:pPr>
      <w:r>
        <w:rPr>
          <w:color w:val="231F20"/>
          <w:position w:val="1"/>
          <w:sz w:val="16"/>
        </w:rPr>
        <w:t>EN EL</w:t>
      </w:r>
      <w:r>
        <w:rPr>
          <w:color w:val="231F20"/>
          <w:spacing w:val="3"/>
          <w:position w:val="1"/>
          <w:sz w:val="16"/>
        </w:rPr>
        <w:t> </w:t>
      </w:r>
      <w:r>
        <w:rPr>
          <w:color w:val="231F20"/>
          <w:position w:val="1"/>
          <w:sz w:val="16"/>
        </w:rPr>
        <w:t>TRABAJO</w:t>
      </w:r>
      <w:r>
        <w:rPr>
          <w:color w:val="231F20"/>
          <w:spacing w:val="1"/>
          <w:position w:val="1"/>
          <w:sz w:val="16"/>
        </w:rPr>
        <w:t> </w:t>
      </w:r>
      <w:r>
        <w:rPr>
          <w:color w:val="231F20"/>
          <w:sz w:val="19"/>
        </w:rPr>
        <w:t>(</w:t>
      </w:r>
      <w:r>
        <w:rPr>
          <w:color w:val="231F20"/>
          <w:sz w:val="17"/>
        </w:rPr>
        <w:t>IVAPT-PANDO</w:t>
      </w:r>
      <w:r>
        <w:rPr>
          <w:color w:val="231F20"/>
          <w:sz w:val="19"/>
        </w:rPr>
        <w:t>)</w:t>
        <w:tab/>
        <w:t>453</w:t>
      </w:r>
    </w:p>
    <w:p>
      <w:pPr>
        <w:spacing w:after="0"/>
        <w:jc w:val="left"/>
        <w:rPr>
          <w:sz w:val="19"/>
        </w:rPr>
        <w:sectPr>
          <w:headerReference w:type="default" r:id="rId26"/>
          <w:footerReference w:type="default" r:id="rId27"/>
          <w:pgSz w:w="7830" w:h="11910"/>
          <w:pgMar w:header="0" w:footer="424" w:top="1100" w:bottom="620" w:left="920" w:right="1060"/>
          <w:pgNumType w:start="9"/>
        </w:sectPr>
      </w:pPr>
    </w:p>
    <w:p>
      <w:pPr>
        <w:pStyle w:val="BodyText"/>
        <w:spacing w:before="4"/>
        <w:rPr>
          <w:sz w:val="17"/>
        </w:rPr>
      </w:pPr>
    </w:p>
    <w:p>
      <w:pPr>
        <w:spacing w:after="0"/>
        <w:rPr>
          <w:sz w:val="17"/>
        </w:rPr>
        <w:sectPr>
          <w:headerReference w:type="default" r:id="rId28"/>
          <w:footerReference w:type="default" r:id="rId29"/>
          <w:pgSz w:w="7830" w:h="11910"/>
          <w:pgMar w:header="0" w:footer="0" w:top="1100" w:bottom="280" w:left="1060" w:right="1060"/>
        </w:sectPr>
      </w:pPr>
    </w:p>
    <w:p>
      <w:pPr>
        <w:pStyle w:val="BodyText"/>
        <w:rPr>
          <w:sz w:val="20"/>
        </w:rPr>
      </w:pPr>
      <w:r>
        <w:rPr/>
        <w:pict>
          <v:shape style="position:absolute;margin-left:283.399994pt;margin-top:427.993011pt;width:47.3pt;height:29pt;mso-position-horizontal-relative:page;mso-position-vertical-relative:page;z-index:-483952" type="#_x0000_t202" filled="false" stroked="false">
            <v:textbox inset="0,0,0,0">
              <w:txbxContent>
                <w:p>
                  <w:pPr>
                    <w:pStyle w:val="BodyText"/>
                    <w:spacing w:before="9"/>
                    <w:rPr>
                      <w:sz w:val="20"/>
                    </w:rPr>
                  </w:pPr>
                </w:p>
                <w:p>
                  <w:pPr>
                    <w:spacing w:before="0"/>
                    <w:ind w:left="345" w:right="381" w:firstLine="0"/>
                    <w:jc w:val="center"/>
                    <w:rPr>
                      <w:sz w:val="17"/>
                    </w:rPr>
                  </w:pPr>
                  <w:r>
                    <w:rPr>
                      <w:color w:val="231F20"/>
                      <w:w w:val="105"/>
                      <w:sz w:val="17"/>
                    </w:rPr>
                    <w:t>11</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after="1"/>
        <w:rPr>
          <w:sz w:val="28"/>
        </w:rPr>
      </w:pPr>
    </w:p>
    <w:p>
      <w:pPr>
        <w:pStyle w:val="BodyText"/>
        <w:ind w:left="4608"/>
        <w:rPr>
          <w:sz w:val="20"/>
        </w:rPr>
      </w:pPr>
      <w:r>
        <w:rPr>
          <w:sz w:val="20"/>
        </w:rPr>
        <w:pict>
          <v:group style="width:47.3pt;height:29pt;mso-position-horizontal-relative:char;mso-position-vertical-relative:line" coordorigin="0,0" coordsize="946,580">
            <v:rect style="position:absolute;left:0;top:0;width:946;height:580" filled="true" fillcolor="#ffffff" stroked="false">
              <v:fill type="solid"/>
            </v:rect>
          </v:group>
        </w:pict>
      </w:r>
      <w:r>
        <w:rPr>
          <w:sz w:val="20"/>
        </w:rPr>
      </w:r>
    </w:p>
    <w:p>
      <w:pPr>
        <w:spacing w:after="0"/>
        <w:rPr>
          <w:sz w:val="20"/>
        </w:rPr>
        <w:sectPr>
          <w:headerReference w:type="default" r:id="rId30"/>
          <w:footerReference w:type="default" r:id="rId31"/>
          <w:pgSz w:w="7830" w:h="11910"/>
          <w:pgMar w:header="0" w:footer="0" w:top="1100" w:bottom="280" w:left="1060" w:right="1060"/>
        </w:sectPr>
      </w:pPr>
    </w:p>
    <w:p>
      <w:pPr>
        <w:pStyle w:val="BodyText"/>
        <w:spacing w:before="4"/>
        <w:rPr>
          <w:sz w:val="17"/>
        </w:rPr>
      </w:pPr>
    </w:p>
    <w:p>
      <w:pPr>
        <w:spacing w:after="0"/>
        <w:rPr>
          <w:sz w:val="17"/>
        </w:rPr>
        <w:sectPr>
          <w:headerReference w:type="default" r:id="rId32"/>
          <w:footerReference w:type="default" r:id="rId33"/>
          <w:pgSz w:w="7830" w:h="11910"/>
          <w:pgMar w:header="0" w:footer="0" w:top="1100" w:bottom="280" w:left="1060" w:right="1060"/>
        </w:sectPr>
      </w:pPr>
    </w:p>
    <w:p>
      <w:pPr>
        <w:pStyle w:val="Heading2"/>
        <w:spacing w:before="39"/>
        <w:ind w:left="112"/>
        <w:jc w:val="both"/>
        <w:rPr>
          <w:rFonts w:ascii="Georgia" w:hAnsi="Georgia"/>
        </w:rPr>
      </w:pPr>
      <w:r>
        <w:rPr>
          <w:color w:val="231F20"/>
          <w:sz w:val="28"/>
        </w:rPr>
        <w:t>I</w:t>
      </w:r>
      <w:r>
        <w:rPr>
          <w:rFonts w:ascii="Georgia" w:hAnsi="Georgia"/>
          <w:color w:val="231F20"/>
        </w:rPr>
        <w:t>NTRODUCCIÓN</w:t>
      </w:r>
    </w:p>
    <w:p>
      <w:pPr>
        <w:pStyle w:val="BodyText"/>
        <w:spacing w:before="7"/>
        <w:rPr>
          <w:rFonts w:ascii="Georgia"/>
          <w:b/>
          <w:sz w:val="22"/>
        </w:rPr>
      </w:pPr>
    </w:p>
    <w:p>
      <w:pPr>
        <w:pStyle w:val="BodyText"/>
        <w:spacing w:line="244" w:lineRule="auto"/>
        <w:ind w:left="112" w:right="108"/>
        <w:jc w:val="both"/>
      </w:pPr>
      <w:r>
        <w:rPr>
          <w:color w:val="231F20"/>
        </w:rPr>
        <w:t>La</w:t>
      </w:r>
      <w:r>
        <w:rPr>
          <w:color w:val="231F20"/>
          <w:spacing w:val="-8"/>
        </w:rPr>
        <w:t> </w:t>
      </w:r>
      <w:r>
        <w:rPr>
          <w:color w:val="231F20"/>
        </w:rPr>
        <w:t>violencia</w:t>
      </w:r>
      <w:r>
        <w:rPr>
          <w:color w:val="231F20"/>
          <w:spacing w:val="-8"/>
        </w:rPr>
        <w:t> </w:t>
      </w:r>
      <w:r>
        <w:rPr>
          <w:color w:val="231F20"/>
        </w:rPr>
        <w:t>ha</w:t>
      </w:r>
      <w:r>
        <w:rPr>
          <w:color w:val="231F20"/>
          <w:spacing w:val="-8"/>
        </w:rPr>
        <w:t> </w:t>
      </w:r>
      <w:r>
        <w:rPr>
          <w:color w:val="231F20"/>
        </w:rPr>
        <w:t>acompañado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humanidad</w:t>
      </w:r>
      <w:r>
        <w:rPr>
          <w:color w:val="231F20"/>
          <w:spacing w:val="-8"/>
        </w:rPr>
        <w:t> </w:t>
      </w:r>
      <w:r>
        <w:rPr>
          <w:color w:val="231F20"/>
        </w:rPr>
        <w:t>desde</w:t>
      </w:r>
      <w:r>
        <w:rPr>
          <w:color w:val="231F20"/>
          <w:spacing w:val="-8"/>
        </w:rPr>
        <w:t> </w:t>
      </w:r>
      <w:r>
        <w:rPr>
          <w:color w:val="231F20"/>
        </w:rPr>
        <w:t>las</w:t>
      </w:r>
      <w:r>
        <w:rPr>
          <w:color w:val="231F20"/>
          <w:spacing w:val="-8"/>
        </w:rPr>
        <w:t> </w:t>
      </w:r>
      <w:r>
        <w:rPr>
          <w:color w:val="231F20"/>
        </w:rPr>
        <w:t>primeras</w:t>
      </w:r>
      <w:r>
        <w:rPr>
          <w:color w:val="231F20"/>
          <w:spacing w:val="-8"/>
        </w:rPr>
        <w:t> </w:t>
      </w:r>
      <w:r>
        <w:rPr>
          <w:color w:val="231F20"/>
        </w:rPr>
        <w:t>mani- festaciones de apropiación tanto de objetos como de personas, de ahí su larga permanencia en nuestras sociedades; por lo que a la vez pro- voca la admiración y el desconcierto en la actualidad, pues se ha con- vertido</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tema</w:t>
      </w:r>
      <w:r>
        <w:rPr>
          <w:color w:val="231F20"/>
          <w:spacing w:val="-7"/>
        </w:rPr>
        <w:t> </w:t>
      </w:r>
      <w:r>
        <w:rPr>
          <w:color w:val="231F20"/>
        </w:rPr>
        <w:t>prioritario,</w:t>
      </w:r>
      <w:r>
        <w:rPr>
          <w:color w:val="231F20"/>
          <w:spacing w:val="-7"/>
        </w:rPr>
        <w:t> </w:t>
      </w:r>
      <w:r>
        <w:rPr>
          <w:color w:val="231F20"/>
        </w:rPr>
        <w:t>seguramente</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desarrollo</w:t>
      </w:r>
      <w:r>
        <w:rPr>
          <w:color w:val="231F20"/>
          <w:spacing w:val="-6"/>
        </w:rPr>
        <w:t> </w:t>
      </w:r>
      <w:r>
        <w:rPr>
          <w:color w:val="231F20"/>
        </w:rPr>
        <w:t>técnico</w:t>
      </w:r>
      <w:r>
        <w:rPr>
          <w:color w:val="231F20"/>
          <w:spacing w:val="-6"/>
        </w:rPr>
        <w:t> </w:t>
      </w:r>
      <w:r>
        <w:rPr>
          <w:color w:val="231F20"/>
        </w:rPr>
        <w:t>de los</w:t>
      </w:r>
      <w:r>
        <w:rPr>
          <w:color w:val="231F20"/>
          <w:spacing w:val="-5"/>
        </w:rPr>
        <w:t> </w:t>
      </w:r>
      <w:r>
        <w:rPr>
          <w:color w:val="231F20"/>
        </w:rPr>
        <w:t>medios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violencia</w:t>
      </w:r>
      <w:r>
        <w:rPr>
          <w:color w:val="231F20"/>
          <w:spacing w:val="-5"/>
        </w:rPr>
        <w:t> </w:t>
      </w:r>
      <w:r>
        <w:rPr>
          <w:color w:val="231F20"/>
        </w:rPr>
        <w:t>que</w:t>
      </w:r>
      <w:r>
        <w:rPr>
          <w:color w:val="231F20"/>
          <w:spacing w:val="-5"/>
        </w:rPr>
        <w:t> </w:t>
      </w:r>
      <w:r>
        <w:rPr>
          <w:color w:val="231F20"/>
        </w:rPr>
        <w:t>han</w:t>
      </w:r>
      <w:r>
        <w:rPr>
          <w:color w:val="231F20"/>
          <w:spacing w:val="-5"/>
        </w:rPr>
        <w:t> </w:t>
      </w:r>
      <w:r>
        <w:rPr>
          <w:color w:val="231F20"/>
        </w:rPr>
        <w:t>alcanzado</w:t>
      </w:r>
      <w:r>
        <w:rPr>
          <w:color w:val="231F20"/>
          <w:spacing w:val="-5"/>
        </w:rPr>
        <w:t> </w:t>
      </w:r>
      <w:r>
        <w:rPr>
          <w:color w:val="231F20"/>
        </w:rPr>
        <w:t>un</w:t>
      </w:r>
      <w:r>
        <w:rPr>
          <w:color w:val="231F20"/>
          <w:spacing w:val="-5"/>
        </w:rPr>
        <w:t> </w:t>
      </w:r>
      <w:r>
        <w:rPr>
          <w:color w:val="231F20"/>
        </w:rPr>
        <w:t>potencial</w:t>
      </w:r>
      <w:r>
        <w:rPr>
          <w:color w:val="231F20"/>
          <w:spacing w:val="-6"/>
        </w:rPr>
        <w:t> </w:t>
      </w:r>
      <w:r>
        <w:rPr>
          <w:color w:val="231F20"/>
        </w:rPr>
        <w:t>destructivo que</w:t>
      </w:r>
      <w:r>
        <w:rPr>
          <w:color w:val="231F20"/>
          <w:spacing w:val="-13"/>
        </w:rPr>
        <w:t> </w:t>
      </w:r>
      <w:r>
        <w:rPr>
          <w:color w:val="231F20"/>
        </w:rPr>
        <w:t>amenaza</w:t>
      </w:r>
      <w:r>
        <w:rPr>
          <w:color w:val="231F20"/>
          <w:spacing w:val="-14"/>
        </w:rPr>
        <w:t> </w:t>
      </w:r>
      <w:r>
        <w:rPr>
          <w:color w:val="231F20"/>
        </w:rPr>
        <w:t>con</w:t>
      </w:r>
      <w:r>
        <w:rPr>
          <w:color w:val="231F20"/>
          <w:spacing w:val="-13"/>
        </w:rPr>
        <w:t> </w:t>
      </w:r>
      <w:r>
        <w:rPr>
          <w:color w:val="231F20"/>
        </w:rPr>
        <w:t>aniquilar</w:t>
      </w:r>
      <w:r>
        <w:rPr>
          <w:color w:val="231F20"/>
          <w:spacing w:val="-14"/>
        </w:rPr>
        <w:t> </w:t>
      </w:r>
      <w:r>
        <w:rPr>
          <w:color w:val="231F20"/>
        </w:rPr>
        <w:t>a</w:t>
      </w:r>
      <w:r>
        <w:rPr>
          <w:color w:val="231F20"/>
          <w:spacing w:val="-14"/>
        </w:rPr>
        <w:t> </w:t>
      </w:r>
      <w:r>
        <w:rPr>
          <w:color w:val="231F20"/>
        </w:rPr>
        <w:t>todos</w:t>
      </w:r>
      <w:r>
        <w:rPr>
          <w:color w:val="231F20"/>
          <w:spacing w:val="-14"/>
        </w:rPr>
        <w:t> </w:t>
      </w:r>
      <w:r>
        <w:rPr>
          <w:color w:val="231F20"/>
        </w:rPr>
        <w:t>los</w:t>
      </w:r>
      <w:r>
        <w:rPr>
          <w:color w:val="231F20"/>
          <w:spacing w:val="-14"/>
        </w:rPr>
        <w:t> </w:t>
      </w:r>
      <w:r>
        <w:rPr>
          <w:color w:val="231F20"/>
        </w:rPr>
        <w:t>seres</w:t>
      </w:r>
      <w:r>
        <w:rPr>
          <w:color w:val="231F20"/>
          <w:spacing w:val="-14"/>
        </w:rPr>
        <w:t> </w:t>
      </w:r>
      <w:r>
        <w:rPr>
          <w:color w:val="231F20"/>
        </w:rPr>
        <w:t>vivos.</w:t>
      </w:r>
    </w:p>
    <w:p>
      <w:pPr>
        <w:pStyle w:val="BodyText"/>
        <w:spacing w:line="249" w:lineRule="auto" w:before="18"/>
        <w:ind w:left="112" w:right="107" w:firstLine="284"/>
        <w:jc w:val="both"/>
      </w:pPr>
      <w:r>
        <w:rPr>
          <w:color w:val="231F20"/>
        </w:rPr>
        <w:t>En la </w:t>
      </w:r>
      <w:r>
        <w:rPr>
          <w:color w:val="231F20"/>
          <w:spacing w:val="2"/>
        </w:rPr>
        <w:t>reflexión sobre este tema, </w:t>
      </w:r>
      <w:r>
        <w:rPr>
          <w:color w:val="231F20"/>
        </w:rPr>
        <w:t>se </w:t>
      </w:r>
      <w:r>
        <w:rPr>
          <w:color w:val="231F20"/>
          <w:spacing w:val="2"/>
        </w:rPr>
        <w:t>deduce por hechos </w:t>
      </w:r>
      <w:r>
        <w:rPr>
          <w:color w:val="231F20"/>
          <w:spacing w:val="3"/>
        </w:rPr>
        <w:t>contun- </w:t>
      </w:r>
      <w:r>
        <w:rPr>
          <w:color w:val="231F20"/>
          <w:spacing w:val="2"/>
        </w:rPr>
        <w:t>dentes, que siempre </w:t>
      </w:r>
      <w:r>
        <w:rPr>
          <w:color w:val="231F20"/>
        </w:rPr>
        <w:t>ha </w:t>
      </w:r>
      <w:r>
        <w:rPr>
          <w:color w:val="231F20"/>
          <w:spacing w:val="2"/>
        </w:rPr>
        <w:t>existido </w:t>
      </w:r>
      <w:r>
        <w:rPr>
          <w:color w:val="231F20"/>
        </w:rPr>
        <w:t>ese </w:t>
      </w:r>
      <w:r>
        <w:rPr>
          <w:color w:val="231F20"/>
          <w:spacing w:val="3"/>
        </w:rPr>
        <w:t>poder </w:t>
      </w:r>
      <w:r>
        <w:rPr>
          <w:color w:val="231F20"/>
          <w:spacing w:val="2"/>
        </w:rPr>
        <w:t>aniquilador: </w:t>
      </w:r>
      <w:r>
        <w:rPr>
          <w:color w:val="231F20"/>
          <w:spacing w:val="3"/>
        </w:rPr>
        <w:t>¿cómo </w:t>
      </w:r>
      <w:r>
        <w:rPr>
          <w:color w:val="231F20"/>
          <w:spacing w:val="2"/>
        </w:rPr>
        <w:t>olvi- dar los </w:t>
      </w:r>
      <w:r>
        <w:rPr>
          <w:color w:val="231F20"/>
          <w:spacing w:val="3"/>
        </w:rPr>
        <w:t>procesos </w:t>
      </w:r>
      <w:r>
        <w:rPr>
          <w:color w:val="231F20"/>
        </w:rPr>
        <w:t>de </w:t>
      </w:r>
      <w:r>
        <w:rPr>
          <w:color w:val="231F20"/>
          <w:spacing w:val="3"/>
        </w:rPr>
        <w:t>conquista </w:t>
      </w:r>
      <w:r>
        <w:rPr>
          <w:color w:val="231F20"/>
          <w:spacing w:val="2"/>
        </w:rPr>
        <w:t>para apropiarse </w:t>
      </w:r>
      <w:r>
        <w:rPr>
          <w:color w:val="231F20"/>
        </w:rPr>
        <w:t>de </w:t>
      </w:r>
      <w:r>
        <w:rPr>
          <w:color w:val="231F20"/>
          <w:spacing w:val="2"/>
        </w:rPr>
        <w:t>esclavos </w:t>
      </w:r>
      <w:r>
        <w:rPr>
          <w:color w:val="231F20"/>
        </w:rPr>
        <w:t>o </w:t>
      </w:r>
      <w:r>
        <w:rPr>
          <w:color w:val="231F20"/>
          <w:spacing w:val="3"/>
        </w:rPr>
        <w:t>colo- </w:t>
      </w:r>
      <w:r>
        <w:rPr>
          <w:color w:val="231F20"/>
          <w:spacing w:val="2"/>
        </w:rPr>
        <w:t>nizar nuevas tierras; </w:t>
      </w:r>
      <w:r>
        <w:rPr>
          <w:color w:val="231F20"/>
        </w:rPr>
        <w:t>las </w:t>
      </w:r>
      <w:r>
        <w:rPr>
          <w:color w:val="231F20"/>
          <w:spacing w:val="2"/>
        </w:rPr>
        <w:t>guerras </w:t>
      </w:r>
      <w:r>
        <w:rPr>
          <w:color w:val="231F20"/>
          <w:spacing w:val="3"/>
        </w:rPr>
        <w:t>emprendidas </w:t>
      </w:r>
      <w:r>
        <w:rPr>
          <w:color w:val="231F20"/>
          <w:spacing w:val="2"/>
        </w:rPr>
        <w:t>bajo distintos </w:t>
      </w:r>
      <w:r>
        <w:rPr>
          <w:color w:val="231F20"/>
          <w:spacing w:val="3"/>
        </w:rPr>
        <w:t>pretex- </w:t>
      </w:r>
      <w:r>
        <w:rPr>
          <w:color w:val="231F20"/>
          <w:spacing w:val="2"/>
        </w:rPr>
        <w:t>tos; </w:t>
      </w:r>
      <w:r>
        <w:rPr>
          <w:color w:val="231F20"/>
        </w:rPr>
        <w:t>el </w:t>
      </w:r>
      <w:r>
        <w:rPr>
          <w:color w:val="231F20"/>
          <w:spacing w:val="2"/>
        </w:rPr>
        <w:t>exterminio planificado </w:t>
      </w:r>
      <w:r>
        <w:rPr>
          <w:color w:val="231F20"/>
        </w:rPr>
        <w:t>de </w:t>
      </w:r>
      <w:r>
        <w:rPr>
          <w:color w:val="231F20"/>
          <w:spacing w:val="3"/>
        </w:rPr>
        <w:t>grupos </w:t>
      </w:r>
      <w:r>
        <w:rPr>
          <w:color w:val="231F20"/>
          <w:spacing w:val="2"/>
        </w:rPr>
        <w:t>étnicos </w:t>
      </w:r>
      <w:r>
        <w:rPr>
          <w:color w:val="231F20"/>
        </w:rPr>
        <w:t>o de </w:t>
      </w:r>
      <w:r>
        <w:rPr>
          <w:color w:val="231F20"/>
          <w:spacing w:val="2"/>
        </w:rPr>
        <w:t>rivales béli- cos, </w:t>
      </w:r>
      <w:r>
        <w:rPr>
          <w:color w:val="231F20"/>
          <w:spacing w:val="3"/>
        </w:rPr>
        <w:t>como </w:t>
      </w:r>
      <w:r>
        <w:rPr>
          <w:color w:val="231F20"/>
        </w:rPr>
        <w:t>en el </w:t>
      </w:r>
      <w:r>
        <w:rPr>
          <w:color w:val="231F20"/>
          <w:spacing w:val="2"/>
        </w:rPr>
        <w:t>llamado </w:t>
      </w:r>
      <w:r>
        <w:rPr>
          <w:color w:val="231F20"/>
          <w:spacing w:val="3"/>
        </w:rPr>
        <w:t>holocausto </w:t>
      </w:r>
      <w:r>
        <w:rPr>
          <w:color w:val="231F20"/>
        </w:rPr>
        <w:t>o la </w:t>
      </w:r>
      <w:r>
        <w:rPr>
          <w:color w:val="231F20"/>
          <w:spacing w:val="3"/>
        </w:rPr>
        <w:t>bomba </w:t>
      </w:r>
      <w:r>
        <w:rPr>
          <w:color w:val="231F20"/>
          <w:spacing w:val="2"/>
        </w:rPr>
        <w:t>atómica? Así que, para entender </w:t>
      </w:r>
      <w:r>
        <w:rPr>
          <w:color w:val="231F20"/>
          <w:spacing w:val="3"/>
        </w:rPr>
        <w:t>cómo </w:t>
      </w:r>
      <w:r>
        <w:rPr>
          <w:color w:val="231F20"/>
        </w:rPr>
        <w:t>la </w:t>
      </w:r>
      <w:r>
        <w:rPr>
          <w:color w:val="231F20"/>
          <w:spacing w:val="2"/>
        </w:rPr>
        <w:t>violencia </w:t>
      </w:r>
      <w:r>
        <w:rPr>
          <w:color w:val="231F20"/>
        </w:rPr>
        <w:t>se </w:t>
      </w:r>
      <w:r>
        <w:rPr>
          <w:color w:val="231F20"/>
          <w:spacing w:val="2"/>
        </w:rPr>
        <w:t>enraíza </w:t>
      </w:r>
      <w:r>
        <w:rPr>
          <w:color w:val="231F20"/>
        </w:rPr>
        <w:t>en </w:t>
      </w:r>
      <w:r>
        <w:rPr>
          <w:color w:val="231F20"/>
          <w:spacing w:val="2"/>
        </w:rPr>
        <w:t>nuestras sociedades, llámese </w:t>
      </w:r>
      <w:r>
        <w:rPr>
          <w:color w:val="231F20"/>
          <w:spacing w:val="3"/>
        </w:rPr>
        <w:t>como </w:t>
      </w:r>
      <w:r>
        <w:rPr>
          <w:color w:val="231F20"/>
        </w:rPr>
        <w:t>se le </w:t>
      </w:r>
      <w:r>
        <w:rPr>
          <w:color w:val="231F20"/>
          <w:spacing w:val="2"/>
        </w:rPr>
        <w:t>quiera </w:t>
      </w:r>
      <w:r>
        <w:rPr>
          <w:color w:val="231F20"/>
          <w:spacing w:val="3"/>
        </w:rPr>
        <w:t>denominar: </w:t>
      </w:r>
      <w:r>
        <w:rPr>
          <w:color w:val="231F20"/>
          <w:spacing w:val="2"/>
        </w:rPr>
        <w:t>violencia legítima, pública, privada, </w:t>
      </w:r>
      <w:r>
        <w:rPr>
          <w:color w:val="231F20"/>
        </w:rPr>
        <w:t>de </w:t>
      </w:r>
      <w:r>
        <w:rPr>
          <w:color w:val="231F20"/>
          <w:spacing w:val="2"/>
        </w:rPr>
        <w:t>origen, </w:t>
      </w:r>
      <w:r>
        <w:rPr>
          <w:color w:val="231F20"/>
        </w:rPr>
        <w:t>o </w:t>
      </w:r>
      <w:r>
        <w:rPr>
          <w:color w:val="231F20"/>
          <w:spacing w:val="2"/>
        </w:rPr>
        <w:t>simbólica; </w:t>
      </w:r>
      <w:r>
        <w:rPr>
          <w:color w:val="231F20"/>
        </w:rPr>
        <w:t>se </w:t>
      </w:r>
      <w:r>
        <w:rPr>
          <w:color w:val="231F20"/>
          <w:spacing w:val="2"/>
        </w:rPr>
        <w:t>hace necesario disertar sobre </w:t>
      </w:r>
      <w:r>
        <w:rPr>
          <w:color w:val="231F20"/>
          <w:spacing w:val="3"/>
        </w:rPr>
        <w:t>el </w:t>
      </w:r>
      <w:r>
        <w:rPr>
          <w:color w:val="231F20"/>
          <w:spacing w:val="2"/>
        </w:rPr>
        <w:t>valor </w:t>
      </w:r>
      <w:r>
        <w:rPr>
          <w:color w:val="231F20"/>
        </w:rPr>
        <w:t>que aún </w:t>
      </w:r>
      <w:r>
        <w:rPr>
          <w:color w:val="231F20"/>
          <w:spacing w:val="2"/>
        </w:rPr>
        <w:t>tienen </w:t>
      </w:r>
      <w:r>
        <w:rPr>
          <w:color w:val="231F20"/>
          <w:spacing w:val="3"/>
        </w:rPr>
        <w:t>conceptos </w:t>
      </w:r>
      <w:r>
        <w:rPr>
          <w:color w:val="231F20"/>
          <w:spacing w:val="2"/>
        </w:rPr>
        <w:t>tales </w:t>
      </w:r>
      <w:r>
        <w:rPr>
          <w:color w:val="231F20"/>
          <w:spacing w:val="3"/>
        </w:rPr>
        <w:t>como </w:t>
      </w:r>
      <w:r>
        <w:rPr>
          <w:color w:val="231F20"/>
        </w:rPr>
        <w:t>la </w:t>
      </w:r>
      <w:r>
        <w:rPr>
          <w:color w:val="231F20"/>
          <w:spacing w:val="2"/>
        </w:rPr>
        <w:t>libertad, </w:t>
      </w:r>
      <w:r>
        <w:rPr>
          <w:color w:val="231F20"/>
        </w:rPr>
        <w:t>la </w:t>
      </w:r>
      <w:r>
        <w:rPr>
          <w:color w:val="231F20"/>
          <w:spacing w:val="2"/>
        </w:rPr>
        <w:t>justicia </w:t>
      </w:r>
      <w:r>
        <w:rPr>
          <w:color w:val="231F20"/>
        </w:rPr>
        <w:t>y   la </w:t>
      </w:r>
      <w:r>
        <w:rPr>
          <w:color w:val="231F20"/>
          <w:spacing w:val="2"/>
        </w:rPr>
        <w:t>razón, </w:t>
      </w:r>
      <w:r>
        <w:rPr>
          <w:color w:val="231F20"/>
        </w:rPr>
        <w:t>que </w:t>
      </w:r>
      <w:r>
        <w:rPr>
          <w:color w:val="231F20"/>
          <w:spacing w:val="2"/>
        </w:rPr>
        <w:t>han </w:t>
      </w:r>
      <w:r>
        <w:rPr>
          <w:color w:val="231F20"/>
          <w:spacing w:val="3"/>
        </w:rPr>
        <w:t>posibilitado </w:t>
      </w:r>
      <w:r>
        <w:rPr>
          <w:color w:val="231F20"/>
          <w:spacing w:val="2"/>
        </w:rPr>
        <w:t>pensar </w:t>
      </w:r>
      <w:r>
        <w:rPr>
          <w:color w:val="231F20"/>
        </w:rPr>
        <w:t>y </w:t>
      </w:r>
      <w:r>
        <w:rPr>
          <w:color w:val="231F20"/>
          <w:spacing w:val="2"/>
        </w:rPr>
        <w:t>construir </w:t>
      </w:r>
      <w:r>
        <w:rPr>
          <w:color w:val="231F20"/>
        </w:rPr>
        <w:t>un </w:t>
      </w:r>
      <w:r>
        <w:rPr>
          <w:color w:val="231F20"/>
          <w:spacing w:val="2"/>
        </w:rPr>
        <w:t>futuro saluda- ble, pues </w:t>
      </w:r>
      <w:r>
        <w:rPr>
          <w:color w:val="231F20"/>
        </w:rPr>
        <w:t>lo que </w:t>
      </w:r>
      <w:r>
        <w:rPr>
          <w:color w:val="231F20"/>
          <w:spacing w:val="2"/>
        </w:rPr>
        <w:t>está </w:t>
      </w:r>
      <w:r>
        <w:rPr>
          <w:color w:val="231F20"/>
        </w:rPr>
        <w:t>en </w:t>
      </w:r>
      <w:r>
        <w:rPr>
          <w:color w:val="231F20"/>
          <w:spacing w:val="2"/>
        </w:rPr>
        <w:t>juego </w:t>
      </w:r>
      <w:r>
        <w:rPr>
          <w:color w:val="231F20"/>
        </w:rPr>
        <w:t>es </w:t>
      </w:r>
      <w:r>
        <w:rPr>
          <w:color w:val="231F20"/>
          <w:spacing w:val="2"/>
        </w:rPr>
        <w:t>una </w:t>
      </w:r>
      <w:r>
        <w:rPr>
          <w:color w:val="231F20"/>
        </w:rPr>
        <w:t>idea de </w:t>
      </w:r>
      <w:r>
        <w:rPr>
          <w:color w:val="231F20"/>
          <w:spacing w:val="2"/>
        </w:rPr>
        <w:t>sociedad </w:t>
      </w:r>
      <w:r>
        <w:rPr>
          <w:color w:val="231F20"/>
        </w:rPr>
        <w:t>y </w:t>
      </w:r>
      <w:r>
        <w:rPr>
          <w:color w:val="231F20"/>
          <w:spacing w:val="3"/>
        </w:rPr>
        <w:t>humanidad </w:t>
      </w:r>
      <w:r>
        <w:rPr>
          <w:color w:val="231F20"/>
          <w:spacing w:val="2"/>
        </w:rPr>
        <w:t>libre </w:t>
      </w:r>
      <w:r>
        <w:rPr>
          <w:color w:val="231F20"/>
        </w:rPr>
        <w:t>de</w:t>
      </w:r>
      <w:r>
        <w:rPr>
          <w:color w:val="231F20"/>
          <w:spacing w:val="2"/>
        </w:rPr>
        <w:t> coerciones.</w:t>
      </w:r>
    </w:p>
    <w:p>
      <w:pPr>
        <w:pStyle w:val="BodyText"/>
        <w:spacing w:line="247" w:lineRule="auto"/>
        <w:ind w:left="112" w:right="108" w:firstLine="284"/>
        <w:jc w:val="both"/>
      </w:pPr>
      <w:r>
        <w:rPr>
          <w:color w:val="231F20"/>
        </w:rPr>
        <w:t>El concepto violencia ha estado sobre la palestra, desde el princi- pio de nuestras sociedades, pero ahora los aspectos de la violencia sufrida son múltiples y en diversos ámbitos, lo que ha dado lugar a especulaciones sobre los medios y los fines, y ello a su vez, incita a reflexionar</w:t>
      </w:r>
      <w:r>
        <w:rPr>
          <w:color w:val="231F20"/>
          <w:spacing w:val="-6"/>
        </w:rPr>
        <w:t> </w:t>
      </w:r>
      <w:r>
        <w:rPr>
          <w:color w:val="231F20"/>
        </w:rPr>
        <w:t>sobre</w:t>
      </w:r>
      <w:r>
        <w:rPr>
          <w:color w:val="231F20"/>
          <w:spacing w:val="-6"/>
        </w:rPr>
        <w:t> </w:t>
      </w:r>
      <w:r>
        <w:rPr>
          <w:color w:val="231F20"/>
        </w:rPr>
        <w:t>el</w:t>
      </w:r>
      <w:r>
        <w:rPr>
          <w:color w:val="231F20"/>
          <w:spacing w:val="-7"/>
        </w:rPr>
        <w:t> </w:t>
      </w:r>
      <w:r>
        <w:rPr>
          <w:color w:val="231F20"/>
        </w:rPr>
        <w:t>aspecto</w:t>
      </w:r>
      <w:r>
        <w:rPr>
          <w:color w:val="231F20"/>
          <w:spacing w:val="-6"/>
        </w:rPr>
        <w:t> </w:t>
      </w:r>
      <w:r>
        <w:rPr>
          <w:color w:val="231F20"/>
        </w:rPr>
        <w:t>axiológico,</w:t>
      </w:r>
      <w:r>
        <w:rPr>
          <w:color w:val="231F20"/>
          <w:spacing w:val="-7"/>
        </w:rPr>
        <w:t> </w:t>
      </w:r>
      <w:r>
        <w:rPr>
          <w:color w:val="231F20"/>
        </w:rPr>
        <w:t>pues</w:t>
      </w:r>
      <w:r>
        <w:rPr>
          <w:color w:val="231F20"/>
          <w:spacing w:val="-6"/>
        </w:rPr>
        <w:t> </w:t>
      </w:r>
      <w:r>
        <w:rPr>
          <w:color w:val="231F20"/>
        </w:rPr>
        <w:t>la</w:t>
      </w:r>
      <w:r>
        <w:rPr>
          <w:color w:val="231F20"/>
          <w:spacing w:val="-6"/>
        </w:rPr>
        <w:t> </w:t>
      </w:r>
      <w:r>
        <w:rPr>
          <w:color w:val="231F20"/>
        </w:rPr>
        <w:t>violencia</w:t>
      </w:r>
      <w:r>
        <w:rPr>
          <w:color w:val="231F20"/>
          <w:spacing w:val="-6"/>
        </w:rPr>
        <w:t> </w:t>
      </w:r>
      <w:r>
        <w:rPr>
          <w:color w:val="231F20"/>
        </w:rPr>
        <w:t>alberga</w:t>
      </w:r>
      <w:r>
        <w:rPr>
          <w:color w:val="231F20"/>
          <w:spacing w:val="-6"/>
        </w:rPr>
        <w:t> </w:t>
      </w:r>
      <w:r>
        <w:rPr>
          <w:color w:val="231F20"/>
        </w:rPr>
        <w:t>en</w:t>
      </w:r>
      <w:r>
        <w:rPr>
          <w:color w:val="231F20"/>
          <w:spacing w:val="-6"/>
        </w:rPr>
        <w:t> </w:t>
      </w:r>
      <w:r>
        <w:rPr>
          <w:color w:val="231F20"/>
        </w:rPr>
        <w:t>sí un</w:t>
      </w:r>
      <w:r>
        <w:rPr>
          <w:color w:val="231F20"/>
          <w:spacing w:val="-10"/>
        </w:rPr>
        <w:t> </w:t>
      </w:r>
      <w:r>
        <w:rPr>
          <w:color w:val="231F20"/>
        </w:rPr>
        <w:t>elemento</w:t>
      </w:r>
      <w:r>
        <w:rPr>
          <w:color w:val="231F20"/>
          <w:spacing w:val="-10"/>
        </w:rPr>
        <w:t> </w:t>
      </w:r>
      <w:r>
        <w:rPr>
          <w:color w:val="231F20"/>
        </w:rPr>
        <w:t>adicional</w:t>
      </w:r>
      <w:r>
        <w:rPr>
          <w:color w:val="231F20"/>
          <w:spacing w:val="-11"/>
        </w:rPr>
        <w:t> </w:t>
      </w:r>
      <w:r>
        <w:rPr>
          <w:color w:val="231F20"/>
        </w:rPr>
        <w:t>de</w:t>
      </w:r>
      <w:r>
        <w:rPr>
          <w:color w:val="231F20"/>
          <w:spacing w:val="-10"/>
        </w:rPr>
        <w:t> </w:t>
      </w:r>
      <w:r>
        <w:rPr>
          <w:color w:val="231F20"/>
        </w:rPr>
        <w:t>arbitrariedad</w:t>
      </w:r>
      <w:r>
        <w:rPr>
          <w:color w:val="231F20"/>
          <w:spacing w:val="-10"/>
        </w:rPr>
        <w:t> </w:t>
      </w:r>
      <w:r>
        <w:rPr>
          <w:color w:val="231F20"/>
        </w:rPr>
        <w:t>y,</w:t>
      </w:r>
      <w:r>
        <w:rPr>
          <w:color w:val="231F20"/>
          <w:spacing w:val="-11"/>
        </w:rPr>
        <w:t> </w:t>
      </w:r>
      <w:r>
        <w:rPr>
          <w:color w:val="231F20"/>
        </w:rPr>
        <w:t>por</w:t>
      </w:r>
      <w:r>
        <w:rPr>
          <w:color w:val="231F20"/>
          <w:spacing w:val="-11"/>
        </w:rPr>
        <w:t> </w:t>
      </w:r>
      <w:r>
        <w:rPr>
          <w:color w:val="231F20"/>
        </w:rPr>
        <w:t>lo</w:t>
      </w:r>
      <w:r>
        <w:rPr>
          <w:color w:val="231F20"/>
          <w:spacing w:val="-10"/>
        </w:rPr>
        <w:t> </w:t>
      </w:r>
      <w:r>
        <w:rPr>
          <w:color w:val="231F20"/>
        </w:rPr>
        <w:t>tanto,</w:t>
      </w:r>
      <w:r>
        <w:rPr>
          <w:color w:val="231F20"/>
          <w:spacing w:val="-11"/>
        </w:rPr>
        <w:t> </w:t>
      </w:r>
      <w:r>
        <w:rPr>
          <w:color w:val="231F20"/>
        </w:rPr>
        <w:t>se</w:t>
      </w:r>
      <w:r>
        <w:rPr>
          <w:color w:val="231F20"/>
          <w:spacing w:val="-10"/>
        </w:rPr>
        <w:t> </w:t>
      </w:r>
      <w:r>
        <w:rPr>
          <w:color w:val="231F20"/>
        </w:rPr>
        <w:t>relaciona</w:t>
      </w:r>
      <w:r>
        <w:rPr>
          <w:color w:val="231F20"/>
          <w:spacing w:val="-10"/>
        </w:rPr>
        <w:t> </w:t>
      </w:r>
      <w:r>
        <w:rPr>
          <w:color w:val="231F20"/>
        </w:rPr>
        <w:t>con aspectos</w:t>
      </w:r>
      <w:r>
        <w:rPr>
          <w:color w:val="231F20"/>
          <w:spacing w:val="-8"/>
        </w:rPr>
        <w:t> </w:t>
      </w:r>
      <w:r>
        <w:rPr>
          <w:color w:val="231F20"/>
        </w:rPr>
        <w:t>fundamentales</w:t>
      </w:r>
      <w:r>
        <w:rPr>
          <w:color w:val="231F20"/>
          <w:spacing w:val="-8"/>
        </w:rPr>
        <w:t> </w:t>
      </w:r>
      <w:r>
        <w:rPr>
          <w:color w:val="231F20"/>
        </w:rPr>
        <w:t>del</w:t>
      </w:r>
      <w:r>
        <w:rPr>
          <w:color w:val="231F20"/>
          <w:spacing w:val="-8"/>
        </w:rPr>
        <w:t> </w:t>
      </w:r>
      <w:r>
        <w:rPr>
          <w:color w:val="231F20"/>
        </w:rPr>
        <w:t>derecho</w:t>
      </w:r>
      <w:r>
        <w:rPr>
          <w:color w:val="231F20"/>
          <w:spacing w:val="-7"/>
        </w:rPr>
        <w:t> </w:t>
      </w:r>
      <w:r>
        <w:rPr>
          <w:color w:val="231F20"/>
        </w:rPr>
        <w:t>o</w:t>
      </w:r>
      <w:r>
        <w:rPr>
          <w:color w:val="231F20"/>
          <w:spacing w:val="-7"/>
        </w:rPr>
        <w:t> </w:t>
      </w:r>
      <w:r>
        <w:rPr>
          <w:color w:val="231F20"/>
        </w:rPr>
        <w:t>los</w:t>
      </w:r>
      <w:r>
        <w:rPr>
          <w:color w:val="231F20"/>
          <w:spacing w:val="-8"/>
        </w:rPr>
        <w:t> </w:t>
      </w:r>
      <w:r>
        <w:rPr>
          <w:color w:val="231F20"/>
        </w:rPr>
        <w:t>derechos</w:t>
      </w:r>
      <w:r>
        <w:rPr>
          <w:color w:val="231F20"/>
          <w:spacing w:val="-8"/>
        </w:rPr>
        <w:t> </w:t>
      </w:r>
      <w:r>
        <w:rPr>
          <w:color w:val="231F20"/>
        </w:rPr>
        <w:t>humanos.</w:t>
      </w:r>
    </w:p>
    <w:p>
      <w:pPr>
        <w:pStyle w:val="BodyText"/>
        <w:spacing w:line="249" w:lineRule="auto" w:before="1"/>
        <w:ind w:left="112" w:right="108" w:firstLine="283"/>
        <w:jc w:val="both"/>
      </w:pPr>
      <w:r>
        <w:rPr>
          <w:color w:val="231F20"/>
          <w:spacing w:val="3"/>
        </w:rPr>
        <w:t>Como </w:t>
      </w:r>
      <w:r>
        <w:rPr>
          <w:color w:val="231F20"/>
          <w:spacing w:val="2"/>
        </w:rPr>
        <w:t>bien reflexiona Walter Benjamin (1995: 65-67): </w:t>
      </w:r>
      <w:r>
        <w:rPr>
          <w:color w:val="231F20"/>
        </w:rPr>
        <w:t>La </w:t>
      </w:r>
      <w:r>
        <w:rPr>
          <w:color w:val="231F20"/>
          <w:spacing w:val="3"/>
        </w:rPr>
        <w:t>“crea- </w:t>
      </w:r>
      <w:r>
        <w:rPr>
          <w:color w:val="231F20"/>
          <w:spacing w:val="2"/>
        </w:rPr>
        <w:t>ción del derecho </w:t>
      </w:r>
      <w:r>
        <w:rPr>
          <w:color w:val="231F20"/>
        </w:rPr>
        <w:t>es </w:t>
      </w:r>
      <w:r>
        <w:rPr>
          <w:color w:val="231F20"/>
          <w:spacing w:val="2"/>
        </w:rPr>
        <w:t>creación </w:t>
      </w:r>
      <w:r>
        <w:rPr>
          <w:color w:val="231F20"/>
        </w:rPr>
        <w:t>de </w:t>
      </w:r>
      <w:r>
        <w:rPr>
          <w:color w:val="231F20"/>
          <w:spacing w:val="3"/>
        </w:rPr>
        <w:t>poder, </w:t>
      </w:r>
      <w:r>
        <w:rPr>
          <w:color w:val="231F20"/>
        </w:rPr>
        <w:t>y en tal </w:t>
      </w:r>
      <w:r>
        <w:rPr>
          <w:color w:val="231F20"/>
          <w:spacing w:val="3"/>
        </w:rPr>
        <w:t>medida </w:t>
      </w:r>
      <w:r>
        <w:rPr>
          <w:color w:val="231F20"/>
        </w:rPr>
        <w:t>un </w:t>
      </w:r>
      <w:r>
        <w:rPr>
          <w:color w:val="231F20"/>
          <w:spacing w:val="2"/>
        </w:rPr>
        <w:t>acto </w:t>
      </w:r>
      <w:r>
        <w:rPr>
          <w:color w:val="231F20"/>
        </w:rPr>
        <w:t>de </w:t>
      </w:r>
      <w:r>
        <w:rPr>
          <w:color w:val="231F20"/>
          <w:spacing w:val="2"/>
        </w:rPr>
        <w:t>inmediata manifestación </w:t>
      </w:r>
      <w:r>
        <w:rPr>
          <w:color w:val="231F20"/>
        </w:rPr>
        <w:t>de </w:t>
      </w:r>
      <w:r>
        <w:rPr>
          <w:color w:val="231F20"/>
          <w:spacing w:val="2"/>
        </w:rPr>
        <w:t>violencia”. Esta </w:t>
      </w:r>
      <w:r>
        <w:rPr>
          <w:color w:val="231F20"/>
          <w:spacing w:val="3"/>
        </w:rPr>
        <w:t>máxima </w:t>
      </w:r>
      <w:r>
        <w:rPr>
          <w:color w:val="231F20"/>
        </w:rPr>
        <w:t>se </w:t>
      </w:r>
      <w:r>
        <w:rPr>
          <w:color w:val="231F20"/>
          <w:spacing w:val="2"/>
        </w:rPr>
        <w:t>convierte </w:t>
      </w:r>
      <w:r>
        <w:rPr>
          <w:color w:val="231F20"/>
        </w:rPr>
        <w:t>en un </w:t>
      </w:r>
      <w:r>
        <w:rPr>
          <w:color w:val="231F20"/>
          <w:spacing w:val="2"/>
        </w:rPr>
        <w:t>principio que “tiene una aplicación </w:t>
      </w:r>
      <w:r>
        <w:rPr>
          <w:color w:val="231F20"/>
        </w:rPr>
        <w:t>de </w:t>
      </w:r>
      <w:r>
        <w:rPr>
          <w:color w:val="231F20"/>
          <w:spacing w:val="3"/>
        </w:rPr>
        <w:t>consecuencias… </w:t>
      </w:r>
      <w:r>
        <w:rPr>
          <w:color w:val="231F20"/>
          <w:spacing w:val="2"/>
        </w:rPr>
        <w:t>gra- </w:t>
      </w:r>
      <w:r>
        <w:rPr>
          <w:color w:val="231F20"/>
        </w:rPr>
        <w:t>ves en el </w:t>
      </w:r>
      <w:r>
        <w:rPr>
          <w:color w:val="231F20"/>
          <w:spacing w:val="2"/>
        </w:rPr>
        <w:t>derecho público, </w:t>
      </w:r>
      <w:r>
        <w:rPr>
          <w:color w:val="231F20"/>
        </w:rPr>
        <w:t>en el </w:t>
      </w:r>
      <w:r>
        <w:rPr>
          <w:color w:val="231F20"/>
          <w:spacing w:val="2"/>
        </w:rPr>
        <w:t>ámbito del cual </w:t>
      </w:r>
      <w:r>
        <w:rPr>
          <w:color w:val="231F20"/>
        </w:rPr>
        <w:t>la </w:t>
      </w:r>
      <w:r>
        <w:rPr>
          <w:color w:val="231F20"/>
          <w:spacing w:val="2"/>
        </w:rPr>
        <w:t>fijación </w:t>
      </w:r>
      <w:r>
        <w:rPr>
          <w:color w:val="231F20"/>
        </w:rPr>
        <w:t>de lími- tes tal </w:t>
      </w:r>
      <w:r>
        <w:rPr>
          <w:color w:val="231F20"/>
          <w:spacing w:val="3"/>
        </w:rPr>
        <w:t>como </w:t>
      </w:r>
      <w:r>
        <w:rPr>
          <w:color w:val="231F20"/>
        </w:rPr>
        <w:t>se </w:t>
      </w:r>
      <w:r>
        <w:rPr>
          <w:color w:val="231F20"/>
          <w:spacing w:val="2"/>
        </w:rPr>
        <w:t>establece mediante </w:t>
      </w:r>
      <w:r>
        <w:rPr>
          <w:color w:val="231F20"/>
        </w:rPr>
        <w:t>la </w:t>
      </w:r>
      <w:r>
        <w:rPr>
          <w:color w:val="231F20"/>
          <w:spacing w:val="2"/>
        </w:rPr>
        <w:t>“paz” </w:t>
      </w:r>
      <w:r>
        <w:rPr>
          <w:color w:val="231F20"/>
        </w:rPr>
        <w:t>en </w:t>
      </w:r>
      <w:r>
        <w:rPr>
          <w:color w:val="231F20"/>
          <w:spacing w:val="2"/>
        </w:rPr>
        <w:t>todas </w:t>
      </w:r>
      <w:r>
        <w:rPr>
          <w:color w:val="231F20"/>
        </w:rPr>
        <w:t>las </w:t>
      </w:r>
      <w:r>
        <w:rPr>
          <w:color w:val="231F20"/>
          <w:spacing w:val="2"/>
        </w:rPr>
        <w:t>guerras…  </w:t>
      </w:r>
      <w:r>
        <w:rPr>
          <w:color w:val="231F20"/>
        </w:rPr>
        <w:t>es el </w:t>
      </w:r>
      <w:r>
        <w:rPr>
          <w:color w:val="231F20"/>
          <w:spacing w:val="2"/>
        </w:rPr>
        <w:t>arquetipo </w:t>
      </w:r>
      <w:r>
        <w:rPr>
          <w:color w:val="231F20"/>
        </w:rPr>
        <w:t>de la </w:t>
      </w:r>
      <w:r>
        <w:rPr>
          <w:color w:val="231F20"/>
          <w:spacing w:val="2"/>
        </w:rPr>
        <w:t>violencia creadora del </w:t>
      </w:r>
      <w:r>
        <w:rPr>
          <w:color w:val="231F20"/>
          <w:spacing w:val="3"/>
        </w:rPr>
        <w:t>derecho”. Desde </w:t>
      </w:r>
      <w:r>
        <w:rPr>
          <w:color w:val="231F20"/>
        </w:rPr>
        <w:t>el </w:t>
      </w:r>
      <w:r>
        <w:rPr>
          <w:color w:val="231F20"/>
          <w:spacing w:val="2"/>
        </w:rPr>
        <w:t>punto </w:t>
      </w:r>
      <w:r>
        <w:rPr>
          <w:color w:val="231F20"/>
        </w:rPr>
        <w:t>de </w:t>
      </w:r>
      <w:r>
        <w:rPr>
          <w:color w:val="231F20"/>
          <w:spacing w:val="2"/>
        </w:rPr>
        <w:t>vista </w:t>
      </w:r>
      <w:r>
        <w:rPr>
          <w:color w:val="231F20"/>
        </w:rPr>
        <w:t>en el que la </w:t>
      </w:r>
      <w:r>
        <w:rPr>
          <w:color w:val="231F20"/>
          <w:spacing w:val="2"/>
        </w:rPr>
        <w:t>violencia, </w:t>
      </w:r>
      <w:r>
        <w:rPr>
          <w:color w:val="231F20"/>
        </w:rPr>
        <w:t>es la </w:t>
      </w:r>
      <w:r>
        <w:rPr>
          <w:color w:val="231F20"/>
          <w:spacing w:val="2"/>
        </w:rPr>
        <w:t>única </w:t>
      </w:r>
      <w:r>
        <w:rPr>
          <w:color w:val="231F20"/>
        </w:rPr>
        <w:t>que </w:t>
      </w:r>
      <w:r>
        <w:rPr>
          <w:color w:val="231F20"/>
          <w:spacing w:val="2"/>
        </w:rPr>
        <w:t>puede garanti- </w:t>
      </w:r>
      <w:r>
        <w:rPr>
          <w:color w:val="231F20"/>
        </w:rPr>
        <w:t>zar el </w:t>
      </w:r>
      <w:r>
        <w:rPr>
          <w:color w:val="231F20"/>
          <w:spacing w:val="2"/>
        </w:rPr>
        <w:t>derecho, </w:t>
      </w:r>
      <w:r>
        <w:rPr>
          <w:color w:val="231F20"/>
        </w:rPr>
        <w:t>no </w:t>
      </w:r>
      <w:r>
        <w:rPr>
          <w:color w:val="231F20"/>
          <w:spacing w:val="2"/>
        </w:rPr>
        <w:t>existe </w:t>
      </w:r>
      <w:r>
        <w:rPr>
          <w:color w:val="231F20"/>
        </w:rPr>
        <w:t>la </w:t>
      </w:r>
      <w:r>
        <w:rPr>
          <w:color w:val="231F20"/>
          <w:spacing w:val="2"/>
        </w:rPr>
        <w:t>igualdad, sino poderes igualmente grandes.</w:t>
      </w:r>
      <w:r>
        <w:rPr>
          <w:color w:val="231F20"/>
          <w:spacing w:val="29"/>
        </w:rPr>
        <w:t> </w:t>
      </w:r>
      <w:r>
        <w:rPr>
          <w:color w:val="231F20"/>
          <w:spacing w:val="2"/>
        </w:rPr>
        <w:t>Pero</w:t>
      </w:r>
      <w:r>
        <w:rPr>
          <w:color w:val="231F20"/>
          <w:spacing w:val="30"/>
        </w:rPr>
        <w:t> </w:t>
      </w:r>
      <w:r>
        <w:rPr>
          <w:color w:val="231F20"/>
        </w:rPr>
        <w:t>el</w:t>
      </w:r>
      <w:r>
        <w:rPr>
          <w:color w:val="231F20"/>
          <w:spacing w:val="29"/>
        </w:rPr>
        <w:t> </w:t>
      </w:r>
      <w:r>
        <w:rPr>
          <w:color w:val="231F20"/>
          <w:spacing w:val="2"/>
        </w:rPr>
        <w:t>acto</w:t>
      </w:r>
      <w:r>
        <w:rPr>
          <w:color w:val="231F20"/>
          <w:spacing w:val="30"/>
        </w:rPr>
        <w:t> </w:t>
      </w:r>
      <w:r>
        <w:rPr>
          <w:color w:val="231F20"/>
        </w:rPr>
        <w:t>de</w:t>
      </w:r>
      <w:r>
        <w:rPr>
          <w:color w:val="231F20"/>
          <w:spacing w:val="30"/>
        </w:rPr>
        <w:t> </w:t>
      </w:r>
      <w:r>
        <w:rPr>
          <w:color w:val="231F20"/>
          <w:spacing w:val="2"/>
        </w:rPr>
        <w:t>fijación</w:t>
      </w:r>
      <w:r>
        <w:rPr>
          <w:color w:val="231F20"/>
          <w:spacing w:val="30"/>
        </w:rPr>
        <w:t> </w:t>
      </w:r>
      <w:r>
        <w:rPr>
          <w:color w:val="231F20"/>
        </w:rPr>
        <w:t>de</w:t>
      </w:r>
      <w:r>
        <w:rPr>
          <w:color w:val="231F20"/>
          <w:spacing w:val="30"/>
        </w:rPr>
        <w:t> </w:t>
      </w:r>
      <w:r>
        <w:rPr>
          <w:color w:val="231F20"/>
          <w:spacing w:val="2"/>
        </w:rPr>
        <w:t>límites</w:t>
      </w:r>
      <w:r>
        <w:rPr>
          <w:color w:val="231F20"/>
          <w:spacing w:val="30"/>
        </w:rPr>
        <w:t> </w:t>
      </w:r>
      <w:r>
        <w:rPr>
          <w:color w:val="231F20"/>
        </w:rPr>
        <w:t>es</w:t>
      </w:r>
      <w:r>
        <w:rPr>
          <w:color w:val="231F20"/>
          <w:spacing w:val="30"/>
        </w:rPr>
        <w:t> </w:t>
      </w:r>
      <w:r>
        <w:rPr>
          <w:color w:val="231F20"/>
          <w:spacing w:val="3"/>
        </w:rPr>
        <w:t>importante</w:t>
      </w:r>
      <w:r>
        <w:rPr>
          <w:color w:val="231F20"/>
          <w:spacing w:val="30"/>
        </w:rPr>
        <w:t> </w:t>
      </w:r>
      <w:r>
        <w:rPr>
          <w:color w:val="231F20"/>
          <w:spacing w:val="2"/>
        </w:rPr>
        <w:t>para</w:t>
      </w:r>
      <w:r>
        <w:rPr>
          <w:color w:val="231F20"/>
          <w:spacing w:val="30"/>
        </w:rPr>
        <w:t> </w:t>
      </w:r>
      <w:r>
        <w:rPr>
          <w:color w:val="231F20"/>
        </w:rPr>
        <w:t>el</w:t>
      </w:r>
    </w:p>
    <w:p>
      <w:pPr>
        <w:spacing w:after="0" w:line="249" w:lineRule="auto"/>
        <w:jc w:val="both"/>
        <w:sectPr>
          <w:headerReference w:type="default" r:id="rId34"/>
          <w:footerReference w:type="default" r:id="rId35"/>
          <w:pgSz w:w="7830" w:h="11910"/>
          <w:pgMar w:header="0" w:footer="424" w:top="500" w:bottom="620" w:left="1020" w:right="740"/>
          <w:pgNumType w:start="11"/>
        </w:sectPr>
      </w:pPr>
    </w:p>
    <w:p>
      <w:pPr>
        <w:spacing w:before="46"/>
        <w:ind w:left="632" w:right="148"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10"/>
        <w:rPr>
          <w:sz w:val="16"/>
        </w:rPr>
      </w:pPr>
    </w:p>
    <w:p>
      <w:pPr>
        <w:pStyle w:val="BodyText"/>
        <w:spacing w:line="247" w:lineRule="auto" w:before="1"/>
        <w:ind w:left="109" w:right="148"/>
      </w:pPr>
      <w:r>
        <w:rPr>
          <w:color w:val="231F20"/>
        </w:rPr>
        <w:t>derecho. El hombre puede traspasarlos sin saber e incurrir así en el castigo.</w:t>
      </w:r>
    </w:p>
    <w:p>
      <w:pPr>
        <w:pStyle w:val="BodyText"/>
        <w:spacing w:line="249" w:lineRule="auto" w:before="1"/>
        <w:ind w:left="109" w:right="111" w:firstLine="284"/>
        <w:jc w:val="both"/>
      </w:pPr>
      <w:r>
        <w:rPr>
          <w:color w:val="231F20"/>
        </w:rPr>
        <w:t>Si en </w:t>
      </w:r>
      <w:r>
        <w:rPr>
          <w:color w:val="231F20"/>
          <w:spacing w:val="2"/>
        </w:rPr>
        <w:t>este </w:t>
      </w:r>
      <w:r>
        <w:rPr>
          <w:color w:val="231F20"/>
          <w:spacing w:val="3"/>
        </w:rPr>
        <w:t>momento </w:t>
      </w:r>
      <w:r>
        <w:rPr>
          <w:color w:val="231F20"/>
        </w:rPr>
        <w:t>el </w:t>
      </w:r>
      <w:r>
        <w:rPr>
          <w:color w:val="231F20"/>
          <w:spacing w:val="2"/>
        </w:rPr>
        <w:t>derecho </w:t>
      </w:r>
      <w:r>
        <w:rPr>
          <w:color w:val="231F20"/>
        </w:rPr>
        <w:t>ha sido  la  </w:t>
      </w:r>
      <w:r>
        <w:rPr>
          <w:color w:val="231F20"/>
          <w:spacing w:val="2"/>
        </w:rPr>
        <w:t>razón principal </w:t>
      </w:r>
      <w:r>
        <w:rPr>
          <w:color w:val="231F20"/>
        </w:rPr>
        <w:t>de  que las </w:t>
      </w:r>
      <w:r>
        <w:rPr>
          <w:color w:val="231F20"/>
          <w:spacing w:val="2"/>
        </w:rPr>
        <w:t>guerras sigan entre </w:t>
      </w:r>
      <w:r>
        <w:rPr>
          <w:color w:val="231F20"/>
          <w:spacing w:val="3"/>
        </w:rPr>
        <w:t>nosotros, </w:t>
      </w:r>
      <w:r>
        <w:rPr>
          <w:color w:val="231F20"/>
        </w:rPr>
        <w:t>y no </w:t>
      </w:r>
      <w:r>
        <w:rPr>
          <w:color w:val="231F20"/>
          <w:spacing w:val="3"/>
        </w:rPr>
        <w:t>como </w:t>
      </w:r>
      <w:r>
        <w:rPr>
          <w:color w:val="231F20"/>
          <w:spacing w:val="2"/>
        </w:rPr>
        <w:t>algunos </w:t>
      </w:r>
      <w:r>
        <w:rPr>
          <w:color w:val="231F20"/>
          <w:spacing w:val="3"/>
        </w:rPr>
        <w:t>científicos </w:t>
      </w:r>
      <w:r>
        <w:rPr>
          <w:color w:val="231F20"/>
        </w:rPr>
        <w:t>lo </w:t>
      </w:r>
      <w:r>
        <w:rPr>
          <w:color w:val="231F20"/>
          <w:spacing w:val="2"/>
        </w:rPr>
        <w:t>intentan explicar desde hace </w:t>
      </w:r>
      <w:r>
        <w:rPr>
          <w:color w:val="231F20"/>
        </w:rPr>
        <w:t>ya un </w:t>
      </w:r>
      <w:r>
        <w:rPr>
          <w:color w:val="231F20"/>
          <w:spacing w:val="2"/>
        </w:rPr>
        <w:t>buen </w:t>
      </w:r>
      <w:r>
        <w:rPr>
          <w:color w:val="231F20"/>
          <w:spacing w:val="3"/>
        </w:rPr>
        <w:t>tiempo, como </w:t>
      </w:r>
      <w:r>
        <w:rPr>
          <w:color w:val="231F20"/>
        </w:rPr>
        <w:t>un </w:t>
      </w:r>
      <w:r>
        <w:rPr>
          <w:color w:val="231F20"/>
          <w:spacing w:val="2"/>
        </w:rPr>
        <w:t>deseo secreto </w:t>
      </w:r>
      <w:r>
        <w:rPr>
          <w:color w:val="231F20"/>
        </w:rPr>
        <w:t>de </w:t>
      </w:r>
      <w:r>
        <w:rPr>
          <w:color w:val="231F20"/>
          <w:spacing w:val="2"/>
        </w:rPr>
        <w:t>muerte </w:t>
      </w:r>
      <w:r>
        <w:rPr>
          <w:color w:val="231F20"/>
        </w:rPr>
        <w:t>de la </w:t>
      </w:r>
      <w:r>
        <w:rPr>
          <w:color w:val="231F20"/>
          <w:spacing w:val="2"/>
        </w:rPr>
        <w:t>especie </w:t>
      </w:r>
      <w:r>
        <w:rPr>
          <w:color w:val="231F20"/>
          <w:spacing w:val="3"/>
        </w:rPr>
        <w:t>humana, </w:t>
      </w:r>
      <w:r>
        <w:rPr>
          <w:color w:val="231F20"/>
        </w:rPr>
        <w:t>o un </w:t>
      </w:r>
      <w:r>
        <w:rPr>
          <w:color w:val="231F20"/>
          <w:spacing w:val="2"/>
        </w:rPr>
        <w:t>instinto </w:t>
      </w:r>
      <w:r>
        <w:rPr>
          <w:color w:val="231F20"/>
        </w:rPr>
        <w:t>de </w:t>
      </w:r>
      <w:r>
        <w:rPr>
          <w:color w:val="231F20"/>
          <w:spacing w:val="2"/>
        </w:rPr>
        <w:t>agresión,  </w:t>
      </w:r>
      <w:r>
        <w:rPr>
          <w:color w:val="231F20"/>
        </w:rPr>
        <w:t>o </w:t>
      </w:r>
      <w:r>
        <w:rPr>
          <w:color w:val="231F20"/>
          <w:spacing w:val="2"/>
        </w:rPr>
        <w:t>más plausiblemente, los serios peligros </w:t>
      </w:r>
      <w:r>
        <w:rPr>
          <w:color w:val="231F20"/>
          <w:spacing w:val="3"/>
        </w:rPr>
        <w:t>económicos </w:t>
      </w:r>
      <w:r>
        <w:rPr>
          <w:color w:val="231F20"/>
        </w:rPr>
        <w:t>y </w:t>
      </w:r>
      <w:r>
        <w:rPr>
          <w:color w:val="231F20"/>
          <w:spacing w:val="2"/>
        </w:rPr>
        <w:t>sociales inherentes </w:t>
      </w:r>
      <w:r>
        <w:rPr>
          <w:color w:val="231F20"/>
        </w:rPr>
        <w:t>al </w:t>
      </w:r>
      <w:r>
        <w:rPr>
          <w:color w:val="231F20"/>
          <w:spacing w:val="3"/>
        </w:rPr>
        <w:t>desarme; </w:t>
      </w:r>
      <w:r>
        <w:rPr>
          <w:color w:val="231F20"/>
          <w:spacing w:val="2"/>
        </w:rPr>
        <w:t>sino por </w:t>
      </w:r>
      <w:r>
        <w:rPr>
          <w:color w:val="231F20"/>
        </w:rPr>
        <w:t>el </w:t>
      </w:r>
      <w:r>
        <w:rPr>
          <w:color w:val="231F20"/>
          <w:spacing w:val="2"/>
        </w:rPr>
        <w:t>simple hecho </w:t>
      </w:r>
      <w:r>
        <w:rPr>
          <w:color w:val="231F20"/>
        </w:rPr>
        <w:t>de que no </w:t>
      </w:r>
      <w:r>
        <w:rPr>
          <w:color w:val="231F20"/>
          <w:spacing w:val="2"/>
        </w:rPr>
        <w:t>haya aparecido todavía </w:t>
      </w:r>
      <w:r>
        <w:rPr>
          <w:color w:val="231F20"/>
        </w:rPr>
        <w:t>en la </w:t>
      </w:r>
      <w:r>
        <w:rPr>
          <w:color w:val="231F20"/>
          <w:spacing w:val="2"/>
        </w:rPr>
        <w:t>escena política </w:t>
      </w:r>
      <w:r>
        <w:rPr>
          <w:color w:val="231F20"/>
        </w:rPr>
        <w:t>un </w:t>
      </w:r>
      <w:r>
        <w:rPr>
          <w:color w:val="231F20"/>
          <w:spacing w:val="2"/>
        </w:rPr>
        <w:t>sustituto </w:t>
      </w:r>
      <w:r>
        <w:rPr>
          <w:color w:val="231F20"/>
        </w:rPr>
        <w:t>de </w:t>
      </w:r>
      <w:r>
        <w:rPr>
          <w:color w:val="231F20"/>
          <w:spacing w:val="2"/>
        </w:rPr>
        <w:t>este árbitro final, </w:t>
      </w:r>
      <w:r>
        <w:rPr>
          <w:color w:val="231F20"/>
        </w:rPr>
        <w:t>o </w:t>
      </w:r>
      <w:r>
        <w:rPr>
          <w:color w:val="231F20"/>
          <w:spacing w:val="2"/>
        </w:rPr>
        <w:t>acaso tenía razón </w:t>
      </w:r>
      <w:r>
        <w:rPr>
          <w:color w:val="231F20"/>
          <w:spacing w:val="3"/>
        </w:rPr>
        <w:t>Hobbes </w:t>
      </w:r>
      <w:r>
        <w:rPr>
          <w:color w:val="231F20"/>
          <w:spacing w:val="2"/>
        </w:rPr>
        <w:t>cuando </w:t>
      </w:r>
      <w:r>
        <w:rPr>
          <w:color w:val="231F20"/>
        </w:rPr>
        <w:t>dijo </w:t>
      </w:r>
      <w:r>
        <w:rPr>
          <w:color w:val="231F20"/>
          <w:spacing w:val="2"/>
        </w:rPr>
        <w:t>que, acuerdos </w:t>
      </w:r>
      <w:r>
        <w:rPr>
          <w:color w:val="231F20"/>
        </w:rPr>
        <w:t>sin </w:t>
      </w:r>
      <w:r>
        <w:rPr>
          <w:color w:val="231F20"/>
          <w:spacing w:val="2"/>
        </w:rPr>
        <w:t>espada son solo palabras, </w:t>
      </w:r>
      <w:r>
        <w:rPr>
          <w:color w:val="231F20"/>
          <w:spacing w:val="3"/>
        </w:rPr>
        <w:t>como </w:t>
      </w:r>
      <w:r>
        <w:rPr>
          <w:color w:val="231F20"/>
        </w:rPr>
        <w:t>ya lo cita </w:t>
      </w:r>
      <w:r>
        <w:rPr>
          <w:color w:val="231F20"/>
          <w:spacing w:val="3"/>
        </w:rPr>
        <w:t>Arendt </w:t>
      </w:r>
      <w:r>
        <w:rPr>
          <w:color w:val="231F20"/>
          <w:spacing w:val="2"/>
        </w:rPr>
        <w:t>(2005) </w:t>
      </w:r>
      <w:r>
        <w:rPr>
          <w:color w:val="231F20"/>
        </w:rPr>
        <w:t>en su </w:t>
      </w:r>
      <w:r>
        <w:rPr>
          <w:color w:val="231F20"/>
          <w:spacing w:val="2"/>
        </w:rPr>
        <w:t>libro </w:t>
      </w:r>
      <w:r>
        <w:rPr>
          <w:i/>
          <w:color w:val="231F20"/>
          <w:spacing w:val="2"/>
          <w:w w:val="85"/>
        </w:rPr>
        <w:t>Sobre</w:t>
      </w:r>
      <w:r>
        <w:rPr>
          <w:i/>
          <w:color w:val="231F20"/>
          <w:spacing w:val="-35"/>
          <w:w w:val="85"/>
        </w:rPr>
        <w:t> </w:t>
      </w:r>
      <w:r>
        <w:rPr>
          <w:i/>
          <w:color w:val="231F20"/>
          <w:w w:val="85"/>
        </w:rPr>
        <w:t>la </w:t>
      </w:r>
      <w:r>
        <w:rPr>
          <w:i/>
          <w:color w:val="231F20"/>
          <w:spacing w:val="2"/>
          <w:w w:val="85"/>
        </w:rPr>
        <w:t>violencia</w:t>
      </w:r>
      <w:r>
        <w:rPr>
          <w:color w:val="231F20"/>
          <w:spacing w:val="2"/>
          <w:w w:val="85"/>
        </w:rPr>
        <w:t>.</w:t>
      </w:r>
    </w:p>
    <w:p>
      <w:pPr>
        <w:pStyle w:val="BodyText"/>
        <w:spacing w:line="249" w:lineRule="auto"/>
        <w:ind w:left="108" w:right="111" w:firstLine="284"/>
        <w:jc w:val="both"/>
      </w:pPr>
      <w:r>
        <w:rPr>
          <w:color w:val="231F20"/>
          <w:spacing w:val="2"/>
        </w:rPr>
        <w:t>Ni </w:t>
      </w:r>
      <w:r>
        <w:rPr>
          <w:color w:val="231F20"/>
        </w:rPr>
        <w:t>la </w:t>
      </w:r>
      <w:r>
        <w:rPr>
          <w:color w:val="231F20"/>
          <w:spacing w:val="2"/>
        </w:rPr>
        <w:t>violencia </w:t>
      </w:r>
      <w:r>
        <w:rPr>
          <w:color w:val="231F20"/>
        </w:rPr>
        <w:t>ni el </w:t>
      </w:r>
      <w:r>
        <w:rPr>
          <w:color w:val="231F20"/>
          <w:spacing w:val="2"/>
        </w:rPr>
        <w:t>poder </w:t>
      </w:r>
      <w:r>
        <w:rPr>
          <w:color w:val="231F20"/>
        </w:rPr>
        <w:t>son un </w:t>
      </w:r>
      <w:r>
        <w:rPr>
          <w:color w:val="231F20"/>
          <w:spacing w:val="2"/>
        </w:rPr>
        <w:t>fenómeno natural, </w:t>
      </w:r>
      <w:r>
        <w:rPr>
          <w:color w:val="231F20"/>
          <w:spacing w:val="3"/>
        </w:rPr>
        <w:t>pertene-</w:t>
      </w:r>
      <w:r>
        <w:rPr>
          <w:color w:val="231F20"/>
          <w:spacing w:val="58"/>
        </w:rPr>
        <w:t> </w:t>
      </w:r>
      <w:r>
        <w:rPr>
          <w:color w:val="231F20"/>
        </w:rPr>
        <w:t>cen al </w:t>
      </w:r>
      <w:r>
        <w:rPr>
          <w:color w:val="231F20"/>
          <w:spacing w:val="2"/>
        </w:rPr>
        <w:t>terreno </w:t>
      </w:r>
      <w:r>
        <w:rPr>
          <w:color w:val="231F20"/>
        </w:rPr>
        <w:t>de la </w:t>
      </w:r>
      <w:r>
        <w:rPr>
          <w:color w:val="231F20"/>
          <w:spacing w:val="2"/>
        </w:rPr>
        <w:t>política, </w:t>
      </w:r>
      <w:r>
        <w:rPr>
          <w:color w:val="231F20"/>
          <w:spacing w:val="3"/>
        </w:rPr>
        <w:t>cuando </w:t>
      </w:r>
      <w:r>
        <w:rPr>
          <w:color w:val="231F20"/>
          <w:spacing w:val="2"/>
        </w:rPr>
        <w:t>ésta </w:t>
      </w:r>
      <w:r>
        <w:rPr>
          <w:color w:val="231F20"/>
        </w:rPr>
        <w:t>es </w:t>
      </w:r>
      <w:r>
        <w:rPr>
          <w:color w:val="231F20"/>
          <w:spacing w:val="3"/>
        </w:rPr>
        <w:t>entendida como </w:t>
      </w:r>
      <w:r>
        <w:rPr>
          <w:color w:val="231F20"/>
        </w:rPr>
        <w:t>el </w:t>
      </w:r>
      <w:r>
        <w:rPr>
          <w:color w:val="231F20"/>
          <w:spacing w:val="2"/>
        </w:rPr>
        <w:t>arte </w:t>
      </w:r>
      <w:r>
        <w:rPr>
          <w:color w:val="231F20"/>
        </w:rPr>
        <w:t>de la </w:t>
      </w:r>
      <w:r>
        <w:rPr>
          <w:color w:val="231F20"/>
          <w:spacing w:val="3"/>
        </w:rPr>
        <w:t>conquista </w:t>
      </w:r>
      <w:r>
        <w:rPr>
          <w:color w:val="231F20"/>
        </w:rPr>
        <w:t>y el </w:t>
      </w:r>
      <w:r>
        <w:rPr>
          <w:color w:val="231F20"/>
          <w:spacing w:val="3"/>
        </w:rPr>
        <w:t>mantenimiento </w:t>
      </w:r>
      <w:r>
        <w:rPr>
          <w:color w:val="231F20"/>
          <w:spacing w:val="2"/>
        </w:rPr>
        <w:t>del </w:t>
      </w:r>
      <w:r>
        <w:rPr>
          <w:color w:val="231F20"/>
          <w:spacing w:val="3"/>
        </w:rPr>
        <w:t>poder, </w:t>
      </w:r>
      <w:r>
        <w:rPr>
          <w:color w:val="231F20"/>
          <w:spacing w:val="2"/>
        </w:rPr>
        <w:t>diría Maquiavelo </w:t>
      </w:r>
      <w:r>
        <w:rPr>
          <w:color w:val="231F20"/>
        </w:rPr>
        <w:t>en su</w:t>
      </w:r>
      <w:r>
        <w:rPr>
          <w:color w:val="231F20"/>
          <w:spacing w:val="-5"/>
        </w:rPr>
        <w:t> </w:t>
      </w:r>
      <w:r>
        <w:rPr>
          <w:color w:val="231F20"/>
          <w:spacing w:val="3"/>
        </w:rPr>
        <w:t>famoso</w:t>
      </w:r>
      <w:r>
        <w:rPr>
          <w:color w:val="231F20"/>
          <w:spacing w:val="-5"/>
        </w:rPr>
        <w:t> </w:t>
      </w:r>
      <w:r>
        <w:rPr>
          <w:color w:val="231F20"/>
          <w:spacing w:val="2"/>
        </w:rPr>
        <w:t>libro</w:t>
      </w:r>
      <w:r>
        <w:rPr>
          <w:color w:val="231F20"/>
          <w:spacing w:val="-5"/>
        </w:rPr>
        <w:t> </w:t>
      </w:r>
      <w:r>
        <w:rPr>
          <w:i/>
          <w:color w:val="231F20"/>
        </w:rPr>
        <w:t>El</w:t>
      </w:r>
      <w:r>
        <w:rPr>
          <w:i/>
          <w:color w:val="231F20"/>
          <w:spacing w:val="-6"/>
        </w:rPr>
        <w:t> </w:t>
      </w:r>
      <w:r>
        <w:rPr>
          <w:i/>
          <w:color w:val="231F20"/>
          <w:spacing w:val="2"/>
        </w:rPr>
        <w:t>Príncipe</w:t>
      </w:r>
      <w:r>
        <w:rPr>
          <w:color w:val="231F20"/>
          <w:spacing w:val="2"/>
        </w:rPr>
        <w:t>,</w:t>
      </w:r>
      <w:r>
        <w:rPr>
          <w:color w:val="231F20"/>
          <w:spacing w:val="-6"/>
        </w:rPr>
        <w:t> </w:t>
      </w:r>
      <w:r>
        <w:rPr>
          <w:color w:val="231F20"/>
        </w:rPr>
        <w:t>ya</w:t>
      </w:r>
      <w:r>
        <w:rPr>
          <w:color w:val="231F20"/>
          <w:spacing w:val="-6"/>
        </w:rPr>
        <w:t> </w:t>
      </w:r>
      <w:r>
        <w:rPr>
          <w:color w:val="231F20"/>
        </w:rPr>
        <w:t>sea</w:t>
      </w:r>
      <w:r>
        <w:rPr>
          <w:color w:val="231F20"/>
          <w:spacing w:val="-6"/>
        </w:rPr>
        <w:t> </w:t>
      </w:r>
      <w:r>
        <w:rPr>
          <w:color w:val="231F20"/>
          <w:spacing w:val="2"/>
        </w:rPr>
        <w:t>declarando</w:t>
      </w:r>
      <w:r>
        <w:rPr>
          <w:color w:val="231F20"/>
          <w:spacing w:val="-5"/>
        </w:rPr>
        <w:t> </w:t>
      </w:r>
      <w:r>
        <w:rPr>
          <w:color w:val="231F20"/>
          <w:spacing w:val="2"/>
        </w:rPr>
        <w:t>que</w:t>
      </w:r>
      <w:r>
        <w:rPr>
          <w:color w:val="231F20"/>
          <w:spacing w:val="-6"/>
        </w:rPr>
        <w:t> </w:t>
      </w:r>
      <w:r>
        <w:rPr>
          <w:color w:val="231F20"/>
        </w:rPr>
        <w:t>“las</w:t>
      </w:r>
      <w:r>
        <w:rPr>
          <w:color w:val="231F20"/>
          <w:spacing w:val="-6"/>
        </w:rPr>
        <w:t> </w:t>
      </w:r>
      <w:r>
        <w:rPr>
          <w:color w:val="231F20"/>
          <w:spacing w:val="3"/>
        </w:rPr>
        <w:t>buenas</w:t>
      </w:r>
      <w:r>
        <w:rPr>
          <w:color w:val="231F20"/>
          <w:spacing w:val="-6"/>
        </w:rPr>
        <w:t> </w:t>
      </w:r>
      <w:r>
        <w:rPr>
          <w:color w:val="231F20"/>
          <w:spacing w:val="2"/>
        </w:rPr>
        <w:t>leyes </w:t>
      </w:r>
      <w:r>
        <w:rPr>
          <w:color w:val="231F20"/>
        </w:rPr>
        <w:t>y las </w:t>
      </w:r>
      <w:r>
        <w:rPr>
          <w:color w:val="231F20"/>
          <w:spacing w:val="3"/>
        </w:rPr>
        <w:t>buenas </w:t>
      </w:r>
      <w:r>
        <w:rPr>
          <w:color w:val="231F20"/>
          <w:spacing w:val="2"/>
        </w:rPr>
        <w:t>tropas” constituían </w:t>
      </w:r>
      <w:r>
        <w:rPr>
          <w:color w:val="231F20"/>
        </w:rPr>
        <w:t>el </w:t>
      </w:r>
      <w:r>
        <w:rPr>
          <w:color w:val="231F20"/>
          <w:spacing w:val="3"/>
        </w:rPr>
        <w:t>fundamento </w:t>
      </w:r>
      <w:r>
        <w:rPr>
          <w:color w:val="231F20"/>
        </w:rPr>
        <w:t>de </w:t>
      </w:r>
      <w:r>
        <w:rPr>
          <w:color w:val="231F20"/>
          <w:spacing w:val="2"/>
        </w:rPr>
        <w:t>los estados </w:t>
      </w:r>
      <w:r>
        <w:rPr>
          <w:color w:val="231F20"/>
        </w:rPr>
        <w:t>y,   </w:t>
      </w:r>
      <w:r>
        <w:rPr>
          <w:color w:val="231F20"/>
          <w:spacing w:val="2"/>
        </w:rPr>
        <w:t>por ende, </w:t>
      </w:r>
      <w:r>
        <w:rPr>
          <w:color w:val="231F20"/>
        </w:rPr>
        <w:t>del </w:t>
      </w:r>
      <w:r>
        <w:rPr>
          <w:color w:val="231F20"/>
          <w:spacing w:val="2"/>
        </w:rPr>
        <w:t>poder político; </w:t>
      </w:r>
      <w:r>
        <w:rPr>
          <w:color w:val="231F20"/>
        </w:rPr>
        <w:t>la </w:t>
      </w:r>
      <w:r>
        <w:rPr>
          <w:color w:val="231F20"/>
          <w:spacing w:val="2"/>
        </w:rPr>
        <w:t>violencia </w:t>
      </w:r>
      <w:r>
        <w:rPr>
          <w:color w:val="231F20"/>
        </w:rPr>
        <w:t>(a la que </w:t>
      </w:r>
      <w:r>
        <w:rPr>
          <w:color w:val="231F20"/>
          <w:spacing w:val="2"/>
        </w:rPr>
        <w:t>llama crueldad)  </w:t>
      </w:r>
      <w:r>
        <w:rPr>
          <w:color w:val="231F20"/>
        </w:rPr>
        <w:t>es </w:t>
      </w:r>
      <w:r>
        <w:rPr>
          <w:color w:val="231F20"/>
          <w:spacing w:val="3"/>
        </w:rPr>
        <w:t>concebida como </w:t>
      </w:r>
      <w:r>
        <w:rPr>
          <w:color w:val="231F20"/>
        </w:rPr>
        <w:t>un </w:t>
      </w:r>
      <w:r>
        <w:rPr>
          <w:color w:val="231F20"/>
          <w:spacing w:val="2"/>
        </w:rPr>
        <w:t>medio para consolidar </w:t>
      </w:r>
      <w:r>
        <w:rPr>
          <w:color w:val="231F20"/>
        </w:rPr>
        <w:t>el </w:t>
      </w:r>
      <w:r>
        <w:rPr>
          <w:color w:val="231F20"/>
          <w:spacing w:val="3"/>
        </w:rPr>
        <w:t>poder, </w:t>
      </w:r>
      <w:r>
        <w:rPr>
          <w:color w:val="231F20"/>
        </w:rPr>
        <w:t>es </w:t>
      </w:r>
      <w:r>
        <w:rPr>
          <w:color w:val="231F20"/>
          <w:spacing w:val="2"/>
        </w:rPr>
        <w:t>decir, </w:t>
      </w:r>
      <w:r>
        <w:rPr>
          <w:color w:val="231F20"/>
          <w:spacing w:val="3"/>
        </w:rPr>
        <w:t>obtener </w:t>
      </w:r>
      <w:r>
        <w:rPr>
          <w:color w:val="231F20"/>
        </w:rPr>
        <w:t>la </w:t>
      </w:r>
      <w:r>
        <w:rPr>
          <w:color w:val="231F20"/>
          <w:spacing w:val="2"/>
        </w:rPr>
        <w:t>obediencia </w:t>
      </w:r>
      <w:r>
        <w:rPr>
          <w:color w:val="231F20"/>
        </w:rPr>
        <w:t>de </w:t>
      </w:r>
      <w:r>
        <w:rPr>
          <w:color w:val="231F20"/>
          <w:spacing w:val="2"/>
        </w:rPr>
        <w:t>los súbditos, </w:t>
      </w:r>
      <w:r>
        <w:rPr>
          <w:color w:val="231F20"/>
        </w:rPr>
        <w:t>ya que </w:t>
      </w:r>
      <w:r>
        <w:rPr>
          <w:color w:val="231F20"/>
          <w:spacing w:val="2"/>
        </w:rPr>
        <w:t>piensa </w:t>
      </w:r>
      <w:r>
        <w:rPr>
          <w:color w:val="231F20"/>
        </w:rPr>
        <w:t>el </w:t>
      </w:r>
      <w:r>
        <w:rPr>
          <w:color w:val="231F20"/>
          <w:spacing w:val="2"/>
        </w:rPr>
        <w:t>arte </w:t>
      </w:r>
      <w:r>
        <w:rPr>
          <w:color w:val="231F20"/>
        </w:rPr>
        <w:t>de </w:t>
      </w:r>
      <w:r>
        <w:rPr>
          <w:color w:val="231F20"/>
          <w:spacing w:val="3"/>
        </w:rPr>
        <w:t>go- </w:t>
      </w:r>
      <w:r>
        <w:rPr>
          <w:color w:val="231F20"/>
          <w:spacing w:val="2"/>
        </w:rPr>
        <w:t>bernar </w:t>
      </w:r>
      <w:r>
        <w:rPr>
          <w:color w:val="231F20"/>
        </w:rPr>
        <w:t>en </w:t>
      </w:r>
      <w:r>
        <w:rPr>
          <w:color w:val="231F20"/>
          <w:spacing w:val="3"/>
        </w:rPr>
        <w:t>términos </w:t>
      </w:r>
      <w:r>
        <w:rPr>
          <w:color w:val="231F20"/>
        </w:rPr>
        <w:t>del </w:t>
      </w:r>
      <w:r>
        <w:rPr>
          <w:color w:val="231F20"/>
          <w:spacing w:val="2"/>
        </w:rPr>
        <w:t>respeto </w:t>
      </w:r>
      <w:r>
        <w:rPr>
          <w:color w:val="231F20"/>
        </w:rPr>
        <w:t>que </w:t>
      </w:r>
      <w:r>
        <w:rPr>
          <w:color w:val="231F20"/>
          <w:spacing w:val="2"/>
        </w:rPr>
        <w:t>inspira </w:t>
      </w:r>
      <w:r>
        <w:rPr>
          <w:color w:val="231F20"/>
        </w:rPr>
        <w:t>el </w:t>
      </w:r>
      <w:r>
        <w:rPr>
          <w:color w:val="231F20"/>
          <w:spacing w:val="2"/>
        </w:rPr>
        <w:t>príncipe </w:t>
      </w:r>
      <w:r>
        <w:rPr>
          <w:color w:val="231F20"/>
        </w:rPr>
        <w:t>y el de </w:t>
      </w:r>
      <w:r>
        <w:rPr>
          <w:color w:val="231F20"/>
          <w:spacing w:val="2"/>
        </w:rPr>
        <w:t>los</w:t>
      </w:r>
      <w:r>
        <w:rPr>
          <w:color w:val="231F20"/>
          <w:spacing w:val="56"/>
        </w:rPr>
        <w:t> </w:t>
      </w:r>
      <w:r>
        <w:rPr>
          <w:color w:val="231F20"/>
          <w:spacing w:val="3"/>
        </w:rPr>
        <w:t>enemigos </w:t>
      </w:r>
      <w:r>
        <w:rPr>
          <w:color w:val="231F20"/>
          <w:spacing w:val="2"/>
        </w:rPr>
        <w:t>internos </w:t>
      </w:r>
      <w:r>
        <w:rPr>
          <w:color w:val="231F20"/>
        </w:rPr>
        <w:t>y </w:t>
      </w:r>
      <w:r>
        <w:rPr>
          <w:color w:val="231F20"/>
          <w:spacing w:val="2"/>
        </w:rPr>
        <w:t>externos que enfrenta </w:t>
      </w:r>
      <w:r>
        <w:rPr>
          <w:color w:val="231F20"/>
          <w:spacing w:val="3"/>
        </w:rPr>
        <w:t>(Maquiavelo, </w:t>
      </w:r>
      <w:r>
        <w:rPr>
          <w:color w:val="231F20"/>
          <w:spacing w:val="2"/>
        </w:rPr>
        <w:t>1971:156,178-179). </w:t>
      </w:r>
      <w:r>
        <w:rPr>
          <w:color w:val="231F20"/>
        </w:rPr>
        <w:t>En </w:t>
      </w:r>
      <w:r>
        <w:rPr>
          <w:color w:val="231F20"/>
          <w:spacing w:val="2"/>
        </w:rPr>
        <w:t>este sentido, nadie consagrado </w:t>
      </w:r>
      <w:r>
        <w:rPr>
          <w:color w:val="231F20"/>
        </w:rPr>
        <w:t>a </w:t>
      </w:r>
      <w:r>
        <w:rPr>
          <w:color w:val="231F20"/>
          <w:spacing w:val="2"/>
        </w:rPr>
        <w:t>reflexionar sobre </w:t>
      </w:r>
      <w:r>
        <w:rPr>
          <w:color w:val="231F20"/>
        </w:rPr>
        <w:t>la </w:t>
      </w:r>
      <w:r>
        <w:rPr>
          <w:color w:val="231F20"/>
          <w:spacing w:val="2"/>
        </w:rPr>
        <w:t>historia </w:t>
      </w:r>
      <w:r>
        <w:rPr>
          <w:color w:val="231F20"/>
        </w:rPr>
        <w:t>y la </w:t>
      </w:r>
      <w:r>
        <w:rPr>
          <w:color w:val="231F20"/>
          <w:spacing w:val="2"/>
        </w:rPr>
        <w:t>política puede </w:t>
      </w:r>
      <w:r>
        <w:rPr>
          <w:color w:val="231F20"/>
          <w:spacing w:val="3"/>
        </w:rPr>
        <w:t>permanecer </w:t>
      </w:r>
      <w:r>
        <w:rPr>
          <w:color w:val="231F20"/>
          <w:spacing w:val="2"/>
        </w:rPr>
        <w:t>ignorante </w:t>
      </w:r>
      <w:r>
        <w:rPr>
          <w:color w:val="231F20"/>
        </w:rPr>
        <w:t>al </w:t>
      </w:r>
      <w:r>
        <w:rPr>
          <w:color w:val="231F20"/>
          <w:spacing w:val="2"/>
        </w:rPr>
        <w:t>enor- me papel </w:t>
      </w:r>
      <w:r>
        <w:rPr>
          <w:color w:val="231F20"/>
        </w:rPr>
        <w:t>que la </w:t>
      </w:r>
      <w:r>
        <w:rPr>
          <w:color w:val="231F20"/>
          <w:spacing w:val="2"/>
        </w:rPr>
        <w:t>violencia </w:t>
      </w:r>
      <w:r>
        <w:rPr>
          <w:color w:val="231F20"/>
        </w:rPr>
        <w:t>ha </w:t>
      </w:r>
      <w:r>
        <w:rPr>
          <w:color w:val="231F20"/>
          <w:spacing w:val="2"/>
        </w:rPr>
        <w:t>desempeñado </w:t>
      </w:r>
      <w:r>
        <w:rPr>
          <w:color w:val="231F20"/>
        </w:rPr>
        <w:t>en los </w:t>
      </w:r>
      <w:r>
        <w:rPr>
          <w:color w:val="231F20"/>
          <w:spacing w:val="2"/>
        </w:rPr>
        <w:t>asuntos </w:t>
      </w:r>
      <w:r>
        <w:rPr>
          <w:color w:val="231F20"/>
          <w:spacing w:val="4"/>
        </w:rPr>
        <w:t>huma- </w:t>
      </w:r>
      <w:r>
        <w:rPr>
          <w:color w:val="231F20"/>
          <w:spacing w:val="2"/>
        </w:rPr>
        <w:t>nos, desde siempre, </w:t>
      </w:r>
      <w:r>
        <w:rPr>
          <w:color w:val="231F20"/>
        </w:rPr>
        <w:t>ya </w:t>
      </w:r>
      <w:r>
        <w:rPr>
          <w:color w:val="231F20"/>
          <w:spacing w:val="2"/>
        </w:rPr>
        <w:t>bien </w:t>
      </w:r>
      <w:r>
        <w:rPr>
          <w:color w:val="231F20"/>
        </w:rPr>
        <w:t>lo </w:t>
      </w:r>
      <w:r>
        <w:rPr>
          <w:color w:val="231F20"/>
          <w:spacing w:val="2"/>
        </w:rPr>
        <w:t>indicaba Wright Mills, haciendo </w:t>
      </w:r>
      <w:r>
        <w:rPr>
          <w:color w:val="231F20"/>
        </w:rPr>
        <w:t>eco de la </w:t>
      </w:r>
      <w:r>
        <w:rPr>
          <w:color w:val="231F20"/>
          <w:spacing w:val="2"/>
        </w:rPr>
        <w:t>conceptualización </w:t>
      </w:r>
      <w:r>
        <w:rPr>
          <w:color w:val="231F20"/>
        </w:rPr>
        <w:t>de </w:t>
      </w:r>
      <w:r>
        <w:rPr>
          <w:color w:val="231F20"/>
          <w:spacing w:val="3"/>
        </w:rPr>
        <w:t>Weber </w:t>
      </w:r>
      <w:r>
        <w:rPr>
          <w:color w:val="231F20"/>
          <w:spacing w:val="2"/>
        </w:rPr>
        <w:t>sobre </w:t>
      </w:r>
      <w:r>
        <w:rPr>
          <w:color w:val="231F20"/>
          <w:spacing w:val="3"/>
        </w:rPr>
        <w:t>Estado, </w:t>
      </w:r>
      <w:r>
        <w:rPr>
          <w:color w:val="231F20"/>
          <w:spacing w:val="2"/>
        </w:rPr>
        <w:t>“toda violencia </w:t>
      </w:r>
      <w:r>
        <w:rPr>
          <w:color w:val="231F20"/>
        </w:rPr>
        <w:t>es </w:t>
      </w:r>
      <w:r>
        <w:rPr>
          <w:color w:val="231F20"/>
          <w:spacing w:val="2"/>
        </w:rPr>
        <w:t>lucha por </w:t>
      </w:r>
      <w:r>
        <w:rPr>
          <w:color w:val="231F20"/>
        </w:rPr>
        <w:t>el </w:t>
      </w:r>
      <w:r>
        <w:rPr>
          <w:color w:val="231F20"/>
          <w:spacing w:val="3"/>
        </w:rPr>
        <w:t>poder”, </w:t>
      </w:r>
      <w:r>
        <w:rPr>
          <w:color w:val="231F20"/>
        </w:rPr>
        <w:t>así </w:t>
      </w:r>
      <w:r>
        <w:rPr>
          <w:color w:val="231F20"/>
          <w:spacing w:val="2"/>
        </w:rPr>
        <w:t>que </w:t>
      </w:r>
      <w:r>
        <w:rPr>
          <w:color w:val="231F20"/>
        </w:rPr>
        <w:t>el </w:t>
      </w:r>
      <w:r>
        <w:rPr>
          <w:color w:val="231F20"/>
          <w:spacing w:val="2"/>
        </w:rPr>
        <w:t>último género </w:t>
      </w:r>
      <w:r>
        <w:rPr>
          <w:color w:val="231F20"/>
        </w:rPr>
        <w:t>de </w:t>
      </w:r>
      <w:r>
        <w:rPr>
          <w:color w:val="231F20"/>
          <w:spacing w:val="3"/>
        </w:rPr>
        <w:t>poder </w:t>
      </w:r>
      <w:r>
        <w:rPr>
          <w:color w:val="231F20"/>
        </w:rPr>
        <w:t>es </w:t>
      </w:r>
      <w:r>
        <w:rPr>
          <w:color w:val="231F20"/>
          <w:spacing w:val="2"/>
        </w:rPr>
        <w:t>violencia, puesto </w:t>
      </w:r>
      <w:r>
        <w:rPr>
          <w:color w:val="231F20"/>
        </w:rPr>
        <w:t>que el </w:t>
      </w:r>
      <w:r>
        <w:rPr>
          <w:color w:val="231F20"/>
          <w:spacing w:val="2"/>
        </w:rPr>
        <w:t>dominio </w:t>
      </w:r>
      <w:r>
        <w:rPr>
          <w:color w:val="231F20"/>
        </w:rPr>
        <w:t>de </w:t>
      </w:r>
      <w:r>
        <w:rPr>
          <w:color w:val="231F20"/>
          <w:spacing w:val="2"/>
        </w:rPr>
        <w:t>los </w:t>
      </w:r>
      <w:r>
        <w:rPr>
          <w:color w:val="231F20"/>
          <w:spacing w:val="3"/>
        </w:rPr>
        <w:t>hombres </w:t>
      </w:r>
      <w:r>
        <w:rPr>
          <w:color w:val="231F20"/>
          <w:spacing w:val="2"/>
        </w:rPr>
        <w:t>sobre los </w:t>
      </w:r>
      <w:r>
        <w:rPr>
          <w:color w:val="231F20"/>
          <w:spacing w:val="3"/>
        </w:rPr>
        <w:t>hombres </w:t>
      </w:r>
      <w:r>
        <w:rPr>
          <w:color w:val="231F20"/>
        </w:rPr>
        <w:t>se  </w:t>
      </w:r>
      <w:r>
        <w:rPr>
          <w:color w:val="231F20"/>
          <w:spacing w:val="2"/>
        </w:rPr>
        <w:t>basa  </w:t>
      </w:r>
      <w:r>
        <w:rPr>
          <w:color w:val="231F20"/>
        </w:rPr>
        <w:t>en el </w:t>
      </w:r>
      <w:r>
        <w:rPr>
          <w:color w:val="231F20"/>
          <w:spacing w:val="2"/>
        </w:rPr>
        <w:t>medio </w:t>
      </w:r>
      <w:r>
        <w:rPr>
          <w:color w:val="231F20"/>
        </w:rPr>
        <w:t>de la </w:t>
      </w:r>
      <w:r>
        <w:rPr>
          <w:color w:val="231F20"/>
          <w:spacing w:val="2"/>
        </w:rPr>
        <w:t>violencia legítima. </w:t>
      </w:r>
      <w:r>
        <w:rPr>
          <w:color w:val="231F20"/>
        </w:rPr>
        <w:t>Ello </w:t>
      </w:r>
      <w:r>
        <w:rPr>
          <w:color w:val="231F20"/>
          <w:spacing w:val="2"/>
        </w:rPr>
        <w:t>solo tiene sentido </w:t>
      </w:r>
      <w:r>
        <w:rPr>
          <w:color w:val="231F20"/>
        </w:rPr>
        <w:t>si se </w:t>
      </w:r>
      <w:r>
        <w:rPr>
          <w:color w:val="231F20"/>
          <w:spacing w:val="2"/>
        </w:rPr>
        <w:t>acepta </w:t>
      </w:r>
      <w:r>
        <w:rPr>
          <w:color w:val="231F20"/>
        </w:rPr>
        <w:t>la </w:t>
      </w:r>
      <w:r>
        <w:rPr>
          <w:color w:val="231F20"/>
          <w:spacing w:val="2"/>
        </w:rPr>
        <w:t>idea marxista del Estado </w:t>
      </w:r>
      <w:r>
        <w:rPr>
          <w:color w:val="231F20"/>
          <w:spacing w:val="3"/>
        </w:rPr>
        <w:t>como instrumento </w:t>
      </w:r>
      <w:r>
        <w:rPr>
          <w:color w:val="231F20"/>
        </w:rPr>
        <w:t>de  </w:t>
      </w:r>
      <w:r>
        <w:rPr>
          <w:color w:val="231F20"/>
          <w:spacing w:val="2"/>
        </w:rPr>
        <w:t>opresión  </w:t>
      </w:r>
      <w:r>
        <w:rPr>
          <w:color w:val="231F20"/>
        </w:rPr>
        <w:t>de la </w:t>
      </w:r>
      <w:r>
        <w:rPr>
          <w:color w:val="231F20"/>
          <w:spacing w:val="2"/>
        </w:rPr>
        <w:t>clase</w:t>
      </w:r>
      <w:r>
        <w:rPr>
          <w:color w:val="231F20"/>
          <w:spacing w:val="-3"/>
        </w:rPr>
        <w:t> </w:t>
      </w:r>
      <w:r>
        <w:rPr>
          <w:color w:val="231F20"/>
          <w:spacing w:val="3"/>
        </w:rPr>
        <w:t>dominante.</w:t>
      </w:r>
    </w:p>
    <w:p>
      <w:pPr>
        <w:pStyle w:val="BodyText"/>
        <w:spacing w:line="249" w:lineRule="auto"/>
        <w:ind w:left="108" w:right="112" w:firstLine="284"/>
        <w:jc w:val="both"/>
      </w:pPr>
      <w:r>
        <w:rPr>
          <w:color w:val="231F20"/>
        </w:rPr>
        <w:t>En la crítica que se realiza al Estado liberal desde Marx ha re- posado la malsana ficción de una pseudoigualdad que cubre la desigualdad real, de ahí su carácter alienado, y de ahí también, las tareas que el Estado desempeña en auxilio al proceso de acumula- ción capitalista, ocultamiento de la dominación y su invocación manipuladora, inocua abstracción, para legitimar la dictadura    cla-</w:t>
      </w:r>
    </w:p>
    <w:p>
      <w:pPr>
        <w:spacing w:after="0" w:line="249" w:lineRule="auto"/>
        <w:jc w:val="both"/>
        <w:sectPr>
          <w:headerReference w:type="default" r:id="rId36"/>
          <w:footerReference w:type="default" r:id="rId37"/>
          <w:pgSz w:w="7830" w:h="11910"/>
          <w:pgMar w:header="0" w:footer="424" w:top="500" w:bottom="620" w:left="740" w:right="1020"/>
          <w:pgNumType w:start="12"/>
        </w:sectPr>
      </w:pPr>
    </w:p>
    <w:p>
      <w:pPr>
        <w:spacing w:before="46"/>
        <w:ind w:left="1502" w:right="148"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line="247" w:lineRule="auto" w:before="108"/>
        <w:ind w:left="112" w:right="108"/>
        <w:jc w:val="both"/>
      </w:pPr>
      <w:r>
        <w:rPr>
          <w:color w:val="231F20"/>
        </w:rPr>
        <w:t>sista, que supuestamente separando de la política; la primera se consagra como asunto de lo privado al paso de la segunda, que supuestamente se restringe a los asuntos propios de la esfera de lo público, definida según los criterios de la clase burguesa, reforza- dos con todo el peso de la violencia en la ley y la autoridad.</w:t>
      </w:r>
    </w:p>
    <w:p>
      <w:pPr>
        <w:pStyle w:val="BodyText"/>
        <w:spacing w:line="249" w:lineRule="auto" w:before="6"/>
        <w:ind w:left="111" w:right="106" w:firstLine="284"/>
        <w:jc w:val="both"/>
      </w:pPr>
      <w:r>
        <w:rPr>
          <w:color w:val="231F20"/>
          <w:spacing w:val="2"/>
        </w:rPr>
        <w:t>Marx sometió </w:t>
      </w:r>
      <w:r>
        <w:rPr>
          <w:color w:val="231F20"/>
        </w:rPr>
        <w:t>a la </w:t>
      </w:r>
      <w:r>
        <w:rPr>
          <w:color w:val="231F20"/>
          <w:spacing w:val="2"/>
        </w:rPr>
        <w:t>crítica </w:t>
      </w:r>
      <w:r>
        <w:rPr>
          <w:color w:val="231F20"/>
        </w:rPr>
        <w:t>la </w:t>
      </w:r>
      <w:r>
        <w:rPr>
          <w:color w:val="231F20"/>
          <w:spacing w:val="2"/>
        </w:rPr>
        <w:t>doctrina </w:t>
      </w:r>
      <w:r>
        <w:rPr>
          <w:color w:val="231F20"/>
          <w:spacing w:val="3"/>
        </w:rPr>
        <w:t>económica </w:t>
      </w:r>
      <w:r>
        <w:rPr>
          <w:color w:val="231F20"/>
        </w:rPr>
        <w:t>y la </w:t>
      </w:r>
      <w:r>
        <w:rPr>
          <w:color w:val="231F20"/>
          <w:spacing w:val="2"/>
        </w:rPr>
        <w:t>práctica del liberalismo político, </w:t>
      </w:r>
      <w:r>
        <w:rPr>
          <w:color w:val="231F20"/>
        </w:rPr>
        <w:t>y </w:t>
      </w:r>
      <w:r>
        <w:rPr>
          <w:color w:val="231F20"/>
          <w:spacing w:val="2"/>
        </w:rPr>
        <w:t>con </w:t>
      </w:r>
      <w:r>
        <w:rPr>
          <w:color w:val="231F20"/>
        </w:rPr>
        <w:t>ello </w:t>
      </w:r>
      <w:r>
        <w:rPr>
          <w:color w:val="231F20"/>
          <w:spacing w:val="3"/>
        </w:rPr>
        <w:t>mostró </w:t>
      </w:r>
      <w:r>
        <w:rPr>
          <w:color w:val="231F20"/>
        </w:rPr>
        <w:t>la </w:t>
      </w:r>
      <w:r>
        <w:rPr>
          <w:color w:val="231F20"/>
          <w:spacing w:val="2"/>
        </w:rPr>
        <w:t>íntima </w:t>
      </w:r>
      <w:r>
        <w:rPr>
          <w:color w:val="231F20"/>
          <w:spacing w:val="3"/>
        </w:rPr>
        <w:t>dependencia </w:t>
      </w:r>
      <w:r>
        <w:rPr>
          <w:color w:val="231F20"/>
          <w:spacing w:val="2"/>
        </w:rPr>
        <w:t>del Estado respecto </w:t>
      </w:r>
      <w:r>
        <w:rPr>
          <w:color w:val="231F20"/>
        </w:rPr>
        <w:t>de </w:t>
      </w:r>
      <w:r>
        <w:rPr>
          <w:color w:val="231F20"/>
          <w:spacing w:val="2"/>
        </w:rPr>
        <w:t>los intereses </w:t>
      </w:r>
      <w:r>
        <w:rPr>
          <w:color w:val="231F20"/>
        </w:rPr>
        <w:t>de las </w:t>
      </w:r>
      <w:r>
        <w:rPr>
          <w:color w:val="231F20"/>
          <w:spacing w:val="2"/>
        </w:rPr>
        <w:t>clases </w:t>
      </w:r>
      <w:r>
        <w:rPr>
          <w:color w:val="231F20"/>
          <w:spacing w:val="3"/>
        </w:rPr>
        <w:t>dominantes, </w:t>
      </w:r>
      <w:r>
        <w:rPr>
          <w:color w:val="231F20"/>
        </w:rPr>
        <w:t>de allí  que el uso de la </w:t>
      </w:r>
      <w:r>
        <w:rPr>
          <w:color w:val="231F20"/>
          <w:spacing w:val="2"/>
        </w:rPr>
        <w:t>fuerza </w:t>
      </w:r>
      <w:r>
        <w:rPr>
          <w:color w:val="231F20"/>
        </w:rPr>
        <w:t>se </w:t>
      </w:r>
      <w:r>
        <w:rPr>
          <w:color w:val="231F20"/>
          <w:spacing w:val="2"/>
        </w:rPr>
        <w:t>presente </w:t>
      </w:r>
      <w:r>
        <w:rPr>
          <w:color w:val="231F20"/>
          <w:spacing w:val="3"/>
        </w:rPr>
        <w:t>como </w:t>
      </w:r>
      <w:r>
        <w:rPr>
          <w:color w:val="231F20"/>
        </w:rPr>
        <w:t>el </w:t>
      </w:r>
      <w:r>
        <w:rPr>
          <w:color w:val="231F20"/>
          <w:spacing w:val="2"/>
        </w:rPr>
        <w:t>elemento distintivo </w:t>
      </w:r>
      <w:r>
        <w:rPr>
          <w:color w:val="231F20"/>
        </w:rPr>
        <w:t>del </w:t>
      </w:r>
      <w:r>
        <w:rPr>
          <w:color w:val="231F20"/>
          <w:spacing w:val="2"/>
        </w:rPr>
        <w:t>poder político. </w:t>
      </w:r>
      <w:r>
        <w:rPr>
          <w:color w:val="231F20"/>
        </w:rPr>
        <w:t>Su uso es </w:t>
      </w:r>
      <w:r>
        <w:rPr>
          <w:color w:val="231F20"/>
          <w:spacing w:val="2"/>
        </w:rPr>
        <w:t>una condición necesaria, pero </w:t>
      </w:r>
      <w:r>
        <w:rPr>
          <w:color w:val="231F20"/>
        </w:rPr>
        <w:t>no </w:t>
      </w:r>
      <w:r>
        <w:rPr>
          <w:color w:val="231F20"/>
          <w:spacing w:val="2"/>
        </w:rPr>
        <w:t>sufi- ciente para </w:t>
      </w:r>
      <w:r>
        <w:rPr>
          <w:color w:val="231F20"/>
        </w:rPr>
        <w:t>la </w:t>
      </w:r>
      <w:r>
        <w:rPr>
          <w:color w:val="231F20"/>
          <w:spacing w:val="2"/>
        </w:rPr>
        <w:t>existencia del </w:t>
      </w:r>
      <w:r>
        <w:rPr>
          <w:color w:val="231F20"/>
          <w:spacing w:val="3"/>
        </w:rPr>
        <w:t>poder </w:t>
      </w:r>
      <w:r>
        <w:rPr>
          <w:color w:val="231F20"/>
          <w:spacing w:val="2"/>
        </w:rPr>
        <w:t>político. </w:t>
      </w:r>
      <w:r>
        <w:rPr>
          <w:color w:val="231F20"/>
        </w:rPr>
        <w:t>O </w:t>
      </w:r>
      <w:r>
        <w:rPr>
          <w:color w:val="231F20"/>
          <w:spacing w:val="2"/>
        </w:rPr>
        <w:t>como bien </w:t>
      </w:r>
      <w:r>
        <w:rPr>
          <w:color w:val="231F20"/>
        </w:rPr>
        <w:t>dice </w:t>
      </w:r>
      <w:r>
        <w:rPr>
          <w:color w:val="231F20"/>
          <w:spacing w:val="3"/>
        </w:rPr>
        <w:t>Gramsci </w:t>
      </w:r>
      <w:r>
        <w:rPr>
          <w:color w:val="231F20"/>
          <w:spacing w:val="2"/>
        </w:rPr>
        <w:t>(1998: </w:t>
      </w:r>
      <w:r>
        <w:rPr>
          <w:color w:val="231F20"/>
        </w:rPr>
        <w:t>72), </w:t>
      </w:r>
      <w:r>
        <w:rPr>
          <w:color w:val="231F20"/>
          <w:spacing w:val="3"/>
        </w:rPr>
        <w:t>históricamente </w:t>
      </w:r>
      <w:r>
        <w:rPr>
          <w:color w:val="231F20"/>
        </w:rPr>
        <w:t>el </w:t>
      </w:r>
      <w:r>
        <w:rPr>
          <w:color w:val="231F20"/>
          <w:spacing w:val="2"/>
        </w:rPr>
        <w:t>Estado </w:t>
      </w:r>
      <w:r>
        <w:rPr>
          <w:color w:val="231F20"/>
        </w:rPr>
        <w:t>ha </w:t>
      </w:r>
      <w:r>
        <w:rPr>
          <w:color w:val="231F20"/>
          <w:spacing w:val="2"/>
        </w:rPr>
        <w:t>tenido dos </w:t>
      </w:r>
      <w:r>
        <w:rPr>
          <w:color w:val="231F20"/>
          <w:spacing w:val="3"/>
        </w:rPr>
        <w:t>me- </w:t>
      </w:r>
      <w:r>
        <w:rPr>
          <w:color w:val="231F20"/>
          <w:spacing w:val="2"/>
        </w:rPr>
        <w:t>dios violentos para </w:t>
      </w:r>
      <w:r>
        <w:rPr>
          <w:color w:val="231F20"/>
          <w:spacing w:val="3"/>
        </w:rPr>
        <w:t>imponer </w:t>
      </w:r>
      <w:r>
        <w:rPr>
          <w:color w:val="231F20"/>
          <w:spacing w:val="2"/>
        </w:rPr>
        <w:t>una </w:t>
      </w:r>
      <w:r>
        <w:rPr>
          <w:color w:val="231F20"/>
          <w:spacing w:val="3"/>
        </w:rPr>
        <w:t>forma </w:t>
      </w:r>
      <w:r>
        <w:rPr>
          <w:color w:val="231F20"/>
        </w:rPr>
        <w:t>de </w:t>
      </w:r>
      <w:r>
        <w:rPr>
          <w:color w:val="231F20"/>
          <w:spacing w:val="2"/>
        </w:rPr>
        <w:t>organización política </w:t>
      </w:r>
      <w:r>
        <w:rPr>
          <w:color w:val="231F20"/>
        </w:rPr>
        <w:t>y </w:t>
      </w:r>
      <w:r>
        <w:rPr>
          <w:color w:val="231F20"/>
          <w:spacing w:val="2"/>
        </w:rPr>
        <w:t>para </w:t>
      </w:r>
      <w:r>
        <w:rPr>
          <w:color w:val="231F20"/>
        </w:rPr>
        <w:t>la </w:t>
      </w:r>
      <w:r>
        <w:rPr>
          <w:color w:val="231F20"/>
          <w:spacing w:val="2"/>
        </w:rPr>
        <w:t>reproducción </w:t>
      </w:r>
      <w:r>
        <w:rPr>
          <w:color w:val="231F20"/>
        </w:rPr>
        <w:t>de las </w:t>
      </w:r>
      <w:r>
        <w:rPr>
          <w:color w:val="231F20"/>
          <w:spacing w:val="2"/>
        </w:rPr>
        <w:t>condiciones materiales; una </w:t>
      </w:r>
      <w:r>
        <w:rPr>
          <w:color w:val="231F20"/>
        </w:rPr>
        <w:t>es la </w:t>
      </w:r>
      <w:r>
        <w:rPr>
          <w:color w:val="231F20"/>
          <w:spacing w:val="3"/>
        </w:rPr>
        <w:t>repre- </w:t>
      </w:r>
      <w:r>
        <w:rPr>
          <w:color w:val="231F20"/>
          <w:spacing w:val="2"/>
        </w:rPr>
        <w:t>sión abierta </w:t>
      </w:r>
      <w:r>
        <w:rPr>
          <w:color w:val="231F20"/>
          <w:spacing w:val="3"/>
        </w:rPr>
        <w:t>como </w:t>
      </w:r>
      <w:r>
        <w:rPr>
          <w:color w:val="231F20"/>
          <w:spacing w:val="2"/>
        </w:rPr>
        <w:t>violencia legítima </w:t>
      </w:r>
      <w:r>
        <w:rPr>
          <w:color w:val="231F20"/>
        </w:rPr>
        <w:t>y </w:t>
      </w:r>
      <w:r>
        <w:rPr>
          <w:color w:val="231F20"/>
          <w:spacing w:val="2"/>
        </w:rPr>
        <w:t>para </w:t>
      </w:r>
      <w:r>
        <w:rPr>
          <w:color w:val="231F20"/>
        </w:rPr>
        <w:t>ello </w:t>
      </w:r>
      <w:r>
        <w:rPr>
          <w:color w:val="231F20"/>
          <w:spacing w:val="2"/>
        </w:rPr>
        <w:t>tiene </w:t>
      </w:r>
      <w:r>
        <w:rPr>
          <w:color w:val="231F20"/>
        </w:rPr>
        <w:t>a la </w:t>
      </w:r>
      <w:r>
        <w:rPr>
          <w:color w:val="231F20"/>
          <w:spacing w:val="3"/>
        </w:rPr>
        <w:t>mano al </w:t>
      </w:r>
      <w:r>
        <w:rPr>
          <w:color w:val="231F20"/>
          <w:spacing w:val="2"/>
        </w:rPr>
        <w:t>ejército </w:t>
      </w:r>
      <w:r>
        <w:rPr>
          <w:color w:val="231F20"/>
        </w:rPr>
        <w:t>o las </w:t>
      </w:r>
      <w:r>
        <w:rPr>
          <w:color w:val="231F20"/>
          <w:spacing w:val="2"/>
        </w:rPr>
        <w:t>policías; </w:t>
      </w:r>
      <w:r>
        <w:rPr>
          <w:color w:val="231F20"/>
        </w:rPr>
        <w:t>y la </w:t>
      </w:r>
      <w:r>
        <w:rPr>
          <w:color w:val="231F20"/>
          <w:spacing w:val="2"/>
        </w:rPr>
        <w:t>otra, que </w:t>
      </w:r>
      <w:r>
        <w:rPr>
          <w:color w:val="231F20"/>
        </w:rPr>
        <w:t>se </w:t>
      </w:r>
      <w:r>
        <w:rPr>
          <w:color w:val="231F20"/>
          <w:spacing w:val="2"/>
        </w:rPr>
        <w:t>establece </w:t>
      </w:r>
      <w:r>
        <w:rPr>
          <w:color w:val="231F20"/>
          <w:spacing w:val="3"/>
        </w:rPr>
        <w:t>como </w:t>
      </w:r>
      <w:r>
        <w:rPr>
          <w:color w:val="231F20"/>
          <w:spacing w:val="2"/>
        </w:rPr>
        <w:t>una </w:t>
      </w:r>
      <w:r>
        <w:rPr>
          <w:color w:val="231F20"/>
          <w:spacing w:val="3"/>
        </w:rPr>
        <w:t>violen- </w:t>
      </w:r>
      <w:r>
        <w:rPr>
          <w:color w:val="231F20"/>
        </w:rPr>
        <w:t>cia </w:t>
      </w:r>
      <w:r>
        <w:rPr>
          <w:color w:val="231F20"/>
          <w:spacing w:val="2"/>
        </w:rPr>
        <w:t>simbólica </w:t>
      </w:r>
      <w:r>
        <w:rPr>
          <w:color w:val="231F20"/>
          <w:spacing w:val="3"/>
        </w:rPr>
        <w:t>mucho </w:t>
      </w:r>
      <w:r>
        <w:rPr>
          <w:color w:val="231F20"/>
          <w:spacing w:val="2"/>
        </w:rPr>
        <w:t>más sofisticada que, </w:t>
      </w:r>
      <w:r>
        <w:rPr>
          <w:color w:val="231F20"/>
        </w:rPr>
        <w:t>es la </w:t>
      </w:r>
      <w:r>
        <w:rPr>
          <w:color w:val="231F20"/>
          <w:spacing w:val="3"/>
        </w:rPr>
        <w:t>hegemonía: </w:t>
      </w:r>
      <w:r>
        <w:rPr>
          <w:color w:val="231F20"/>
          <w:spacing w:val="2"/>
        </w:rPr>
        <w:t>“El Estado </w:t>
      </w:r>
      <w:r>
        <w:rPr>
          <w:color w:val="231F20"/>
        </w:rPr>
        <w:t>es </w:t>
      </w:r>
      <w:r>
        <w:rPr>
          <w:color w:val="231F20"/>
          <w:spacing w:val="2"/>
        </w:rPr>
        <w:t>todo </w:t>
      </w:r>
      <w:r>
        <w:rPr>
          <w:color w:val="231F20"/>
        </w:rPr>
        <w:t>el </w:t>
      </w:r>
      <w:r>
        <w:rPr>
          <w:color w:val="231F20"/>
          <w:spacing w:val="2"/>
        </w:rPr>
        <w:t>complejo </w:t>
      </w:r>
      <w:r>
        <w:rPr>
          <w:color w:val="231F20"/>
        </w:rPr>
        <w:t>de </w:t>
      </w:r>
      <w:r>
        <w:rPr>
          <w:color w:val="231F20"/>
          <w:spacing w:val="2"/>
        </w:rPr>
        <w:t>actividades, prácticas </w:t>
      </w:r>
      <w:r>
        <w:rPr>
          <w:color w:val="231F20"/>
        </w:rPr>
        <w:t>y </w:t>
      </w:r>
      <w:r>
        <w:rPr>
          <w:color w:val="231F20"/>
          <w:spacing w:val="2"/>
        </w:rPr>
        <w:t>teóricas, con </w:t>
      </w:r>
      <w:r>
        <w:rPr>
          <w:color w:val="231F20"/>
        </w:rPr>
        <w:t>las </w:t>
      </w:r>
      <w:r>
        <w:rPr>
          <w:color w:val="231F20"/>
          <w:spacing w:val="2"/>
        </w:rPr>
        <w:t>cuales </w:t>
      </w:r>
      <w:r>
        <w:rPr>
          <w:color w:val="231F20"/>
        </w:rPr>
        <w:t>la </w:t>
      </w:r>
      <w:r>
        <w:rPr>
          <w:color w:val="231F20"/>
          <w:spacing w:val="2"/>
        </w:rPr>
        <w:t>clase dirigente </w:t>
      </w:r>
      <w:r>
        <w:rPr>
          <w:color w:val="231F20"/>
        </w:rPr>
        <w:t>no </w:t>
      </w:r>
      <w:r>
        <w:rPr>
          <w:color w:val="231F20"/>
          <w:spacing w:val="2"/>
        </w:rPr>
        <w:t>solo justifica </w:t>
      </w:r>
      <w:r>
        <w:rPr>
          <w:color w:val="231F20"/>
        </w:rPr>
        <w:t>y </w:t>
      </w:r>
      <w:r>
        <w:rPr>
          <w:color w:val="231F20"/>
          <w:spacing w:val="3"/>
        </w:rPr>
        <w:t>mantiene </w:t>
      </w:r>
      <w:r>
        <w:rPr>
          <w:color w:val="231F20"/>
        </w:rPr>
        <w:t>su </w:t>
      </w:r>
      <w:r>
        <w:rPr>
          <w:color w:val="231F20"/>
          <w:spacing w:val="3"/>
        </w:rPr>
        <w:t>dominio </w:t>
      </w:r>
      <w:r>
        <w:rPr>
          <w:color w:val="231F20"/>
          <w:spacing w:val="2"/>
        </w:rPr>
        <w:t>sino también logra </w:t>
      </w:r>
      <w:r>
        <w:rPr>
          <w:color w:val="231F20"/>
          <w:spacing w:val="3"/>
        </w:rPr>
        <w:t>obtener </w:t>
      </w:r>
      <w:r>
        <w:rPr>
          <w:color w:val="231F20"/>
        </w:rPr>
        <w:t>el </w:t>
      </w:r>
      <w:r>
        <w:rPr>
          <w:color w:val="231F20"/>
          <w:spacing w:val="3"/>
        </w:rPr>
        <w:t>consenso </w:t>
      </w:r>
      <w:r>
        <w:rPr>
          <w:color w:val="231F20"/>
          <w:spacing w:val="2"/>
        </w:rPr>
        <w:t>activo </w:t>
      </w:r>
      <w:r>
        <w:rPr>
          <w:color w:val="231F20"/>
        </w:rPr>
        <w:t>de </w:t>
      </w:r>
      <w:r>
        <w:rPr>
          <w:color w:val="231F20"/>
          <w:spacing w:val="2"/>
        </w:rPr>
        <w:t>los</w:t>
      </w:r>
      <w:r>
        <w:rPr>
          <w:color w:val="231F20"/>
          <w:spacing w:val="56"/>
        </w:rPr>
        <w:t> </w:t>
      </w:r>
      <w:r>
        <w:rPr>
          <w:color w:val="231F20"/>
          <w:spacing w:val="3"/>
        </w:rPr>
        <w:t>gobernados”.</w:t>
      </w:r>
    </w:p>
    <w:p>
      <w:pPr>
        <w:pStyle w:val="BodyText"/>
        <w:spacing w:line="249" w:lineRule="auto"/>
        <w:ind w:left="111" w:right="109" w:firstLine="284"/>
        <w:jc w:val="both"/>
      </w:pPr>
      <w:r>
        <w:rPr>
          <w:color w:val="231F20"/>
          <w:spacing w:val="2"/>
        </w:rPr>
        <w:t>Así, </w:t>
      </w:r>
      <w:r>
        <w:rPr>
          <w:color w:val="231F20"/>
        </w:rPr>
        <w:t>en la </w:t>
      </w:r>
      <w:r>
        <w:rPr>
          <w:color w:val="231F20"/>
          <w:spacing w:val="2"/>
        </w:rPr>
        <w:t>discusión </w:t>
      </w:r>
      <w:r>
        <w:rPr>
          <w:color w:val="231F20"/>
        </w:rPr>
        <w:t>en </w:t>
      </w:r>
      <w:r>
        <w:rPr>
          <w:color w:val="231F20"/>
          <w:spacing w:val="2"/>
        </w:rPr>
        <w:t>torno </w:t>
      </w:r>
      <w:r>
        <w:rPr>
          <w:color w:val="231F20"/>
        </w:rPr>
        <w:t>a la </w:t>
      </w:r>
      <w:r>
        <w:rPr>
          <w:color w:val="231F20"/>
          <w:spacing w:val="2"/>
        </w:rPr>
        <w:t>violencia </w:t>
      </w:r>
      <w:r>
        <w:rPr>
          <w:color w:val="231F20"/>
        </w:rPr>
        <w:t>se </w:t>
      </w:r>
      <w:r>
        <w:rPr>
          <w:color w:val="231F20"/>
          <w:spacing w:val="2"/>
        </w:rPr>
        <w:t>revela </w:t>
      </w:r>
      <w:r>
        <w:rPr>
          <w:color w:val="231F20"/>
        </w:rPr>
        <w:t>un </w:t>
      </w:r>
      <w:r>
        <w:rPr>
          <w:color w:val="231F20"/>
          <w:spacing w:val="2"/>
        </w:rPr>
        <w:t>aspecto ético-político, </w:t>
      </w:r>
      <w:r>
        <w:rPr>
          <w:color w:val="231F20"/>
        </w:rPr>
        <w:t>en </w:t>
      </w:r>
      <w:r>
        <w:rPr>
          <w:color w:val="231F20"/>
          <w:spacing w:val="2"/>
        </w:rPr>
        <w:t>tanto </w:t>
      </w:r>
      <w:r>
        <w:rPr>
          <w:color w:val="231F20"/>
        </w:rPr>
        <w:t>que </w:t>
      </w:r>
      <w:r>
        <w:rPr>
          <w:color w:val="231F20"/>
          <w:spacing w:val="3"/>
        </w:rPr>
        <w:t>supone </w:t>
      </w:r>
      <w:r>
        <w:rPr>
          <w:color w:val="231F20"/>
          <w:spacing w:val="2"/>
        </w:rPr>
        <w:t>una relación con </w:t>
      </w:r>
      <w:r>
        <w:rPr>
          <w:color w:val="231F20"/>
        </w:rPr>
        <w:t>un </w:t>
      </w:r>
      <w:r>
        <w:rPr>
          <w:color w:val="231F20"/>
          <w:spacing w:val="2"/>
        </w:rPr>
        <w:t>ideal </w:t>
      </w:r>
      <w:r>
        <w:rPr>
          <w:color w:val="231F20"/>
        </w:rPr>
        <w:t>de </w:t>
      </w:r>
      <w:r>
        <w:rPr>
          <w:color w:val="231F20"/>
          <w:spacing w:val="2"/>
        </w:rPr>
        <w:t>justicia </w:t>
      </w:r>
      <w:r>
        <w:rPr>
          <w:color w:val="231F20"/>
        </w:rPr>
        <w:t>y de </w:t>
      </w:r>
      <w:r>
        <w:rPr>
          <w:color w:val="231F20"/>
          <w:spacing w:val="2"/>
        </w:rPr>
        <w:t>igualdad desde </w:t>
      </w:r>
      <w:r>
        <w:rPr>
          <w:color w:val="231F20"/>
        </w:rPr>
        <w:t>el </w:t>
      </w:r>
      <w:r>
        <w:rPr>
          <w:color w:val="231F20"/>
          <w:spacing w:val="2"/>
        </w:rPr>
        <w:t>cual </w:t>
      </w:r>
      <w:r>
        <w:rPr>
          <w:color w:val="231F20"/>
        </w:rPr>
        <w:t>se </w:t>
      </w:r>
      <w:r>
        <w:rPr>
          <w:color w:val="231F20"/>
          <w:spacing w:val="2"/>
        </w:rPr>
        <w:t>afirma que </w:t>
      </w:r>
      <w:r>
        <w:rPr>
          <w:color w:val="231F20"/>
        </w:rPr>
        <w:t>algo es </w:t>
      </w:r>
      <w:r>
        <w:rPr>
          <w:color w:val="231F20"/>
          <w:spacing w:val="2"/>
        </w:rPr>
        <w:t>violento  </w:t>
      </w:r>
      <w:r>
        <w:rPr>
          <w:color w:val="231F20"/>
        </w:rPr>
        <w:t>en </w:t>
      </w:r>
      <w:r>
        <w:rPr>
          <w:color w:val="231F20"/>
          <w:spacing w:val="2"/>
        </w:rPr>
        <w:t>cuanto </w:t>
      </w:r>
      <w:r>
        <w:rPr>
          <w:color w:val="231F20"/>
        </w:rPr>
        <w:t>no es </w:t>
      </w:r>
      <w:r>
        <w:rPr>
          <w:color w:val="231F20"/>
          <w:spacing w:val="2"/>
        </w:rPr>
        <w:t>justo </w:t>
      </w:r>
      <w:r>
        <w:rPr>
          <w:color w:val="231F20"/>
        </w:rPr>
        <w:t>o </w:t>
      </w:r>
      <w:r>
        <w:rPr>
          <w:color w:val="231F20"/>
          <w:spacing w:val="3"/>
        </w:rPr>
        <w:t>deforma </w:t>
      </w:r>
      <w:r>
        <w:rPr>
          <w:color w:val="231F20"/>
        </w:rPr>
        <w:t>la </w:t>
      </w:r>
      <w:r>
        <w:rPr>
          <w:color w:val="231F20"/>
          <w:spacing w:val="2"/>
        </w:rPr>
        <w:t>igualdad, solo </w:t>
      </w:r>
      <w:r>
        <w:rPr>
          <w:color w:val="231F20"/>
        </w:rPr>
        <w:t>así se </w:t>
      </w:r>
      <w:r>
        <w:rPr>
          <w:color w:val="231F20"/>
          <w:spacing w:val="3"/>
        </w:rPr>
        <w:t>puede entender </w:t>
      </w:r>
      <w:r>
        <w:rPr>
          <w:color w:val="231F20"/>
        </w:rPr>
        <w:t>la </w:t>
      </w:r>
      <w:r>
        <w:rPr>
          <w:color w:val="231F20"/>
          <w:spacing w:val="2"/>
        </w:rPr>
        <w:t>violencia más </w:t>
      </w:r>
      <w:r>
        <w:rPr>
          <w:color w:val="231F20"/>
        </w:rPr>
        <w:t>allá de </w:t>
      </w:r>
      <w:r>
        <w:rPr>
          <w:color w:val="231F20"/>
          <w:spacing w:val="2"/>
        </w:rPr>
        <w:t>sus expresiones </w:t>
      </w:r>
      <w:r>
        <w:rPr>
          <w:color w:val="231F20"/>
        </w:rPr>
        <w:t>de </w:t>
      </w:r>
      <w:r>
        <w:rPr>
          <w:color w:val="231F20"/>
          <w:spacing w:val="2"/>
        </w:rPr>
        <w:t>agresión </w:t>
      </w:r>
      <w:r>
        <w:rPr>
          <w:color w:val="231F20"/>
          <w:spacing w:val="3"/>
        </w:rPr>
        <w:t>pu- ramente </w:t>
      </w:r>
      <w:r>
        <w:rPr>
          <w:color w:val="231F20"/>
          <w:spacing w:val="2"/>
        </w:rPr>
        <w:t>física </w:t>
      </w:r>
      <w:r>
        <w:rPr>
          <w:color w:val="231F20"/>
        </w:rPr>
        <w:t>o </w:t>
      </w:r>
      <w:r>
        <w:rPr>
          <w:color w:val="231F20"/>
          <w:spacing w:val="2"/>
        </w:rPr>
        <w:t>lingüística. ¿Pero puede decirse </w:t>
      </w:r>
      <w:r>
        <w:rPr>
          <w:color w:val="231F20"/>
        </w:rPr>
        <w:t>que </w:t>
      </w:r>
      <w:r>
        <w:rPr>
          <w:color w:val="231F20"/>
          <w:spacing w:val="2"/>
        </w:rPr>
        <w:t>vivimos </w:t>
      </w:r>
      <w:r>
        <w:rPr>
          <w:color w:val="231F20"/>
        </w:rPr>
        <w:t>en </w:t>
      </w:r>
      <w:r>
        <w:rPr>
          <w:color w:val="231F20"/>
          <w:spacing w:val="2"/>
        </w:rPr>
        <w:t>una sociedad más justa </w:t>
      </w:r>
      <w:r>
        <w:rPr>
          <w:color w:val="231F20"/>
        </w:rPr>
        <w:t>e </w:t>
      </w:r>
      <w:r>
        <w:rPr>
          <w:color w:val="231F20"/>
          <w:spacing w:val="2"/>
        </w:rPr>
        <w:t>igualitaria? Para atisbar una respuesta</w:t>
      </w:r>
      <w:r>
        <w:rPr>
          <w:color w:val="231F20"/>
          <w:spacing w:val="56"/>
        </w:rPr>
        <w:t> </w:t>
      </w:r>
      <w:r>
        <w:rPr>
          <w:color w:val="231F20"/>
          <w:spacing w:val="2"/>
        </w:rPr>
        <w:t>basta señalar que, </w:t>
      </w:r>
      <w:r>
        <w:rPr>
          <w:color w:val="231F20"/>
        </w:rPr>
        <w:t>en </w:t>
      </w:r>
      <w:r>
        <w:rPr>
          <w:color w:val="231F20"/>
          <w:spacing w:val="2"/>
        </w:rPr>
        <w:t>México, desde hace </w:t>
      </w:r>
      <w:r>
        <w:rPr>
          <w:color w:val="231F20"/>
          <w:spacing w:val="3"/>
        </w:rPr>
        <w:t>más </w:t>
      </w:r>
      <w:r>
        <w:rPr>
          <w:color w:val="231F20"/>
        </w:rPr>
        <w:t>de </w:t>
      </w:r>
      <w:r>
        <w:rPr>
          <w:color w:val="231F20"/>
          <w:spacing w:val="2"/>
        </w:rPr>
        <w:t>dos décadas </w:t>
      </w:r>
      <w:r>
        <w:rPr>
          <w:color w:val="231F20"/>
        </w:rPr>
        <w:t>el </w:t>
      </w:r>
      <w:r>
        <w:rPr>
          <w:color w:val="231F20"/>
          <w:spacing w:val="3"/>
        </w:rPr>
        <w:t>estancamiento económico </w:t>
      </w:r>
      <w:r>
        <w:rPr>
          <w:color w:val="231F20"/>
          <w:spacing w:val="2"/>
        </w:rPr>
        <w:t>con estabilidad </w:t>
      </w:r>
      <w:r>
        <w:rPr>
          <w:color w:val="231F20"/>
          <w:spacing w:val="3"/>
        </w:rPr>
        <w:t>monetaria </w:t>
      </w:r>
      <w:r>
        <w:rPr>
          <w:color w:val="231F20"/>
        </w:rPr>
        <w:t>ha </w:t>
      </w:r>
      <w:r>
        <w:rPr>
          <w:color w:val="231F20"/>
          <w:spacing w:val="2"/>
        </w:rPr>
        <w:t>venido caracterizando </w:t>
      </w:r>
      <w:r>
        <w:rPr>
          <w:color w:val="231F20"/>
        </w:rPr>
        <w:t>la </w:t>
      </w:r>
      <w:r>
        <w:rPr>
          <w:color w:val="231F20"/>
          <w:spacing w:val="2"/>
        </w:rPr>
        <w:t>evolución </w:t>
      </w:r>
      <w:r>
        <w:rPr>
          <w:color w:val="231F20"/>
        </w:rPr>
        <w:t>de la </w:t>
      </w:r>
      <w:r>
        <w:rPr>
          <w:color w:val="231F20"/>
          <w:spacing w:val="3"/>
        </w:rPr>
        <w:t>economía, </w:t>
      </w:r>
      <w:r>
        <w:rPr>
          <w:color w:val="231F20"/>
        </w:rPr>
        <w:t>en </w:t>
      </w:r>
      <w:r>
        <w:rPr>
          <w:color w:val="231F20"/>
          <w:spacing w:val="2"/>
        </w:rPr>
        <w:t>cuyos efectos </w:t>
      </w:r>
      <w:r>
        <w:rPr>
          <w:color w:val="231F20"/>
        </w:rPr>
        <w:t>de </w:t>
      </w:r>
      <w:r>
        <w:rPr>
          <w:color w:val="231F20"/>
          <w:spacing w:val="2"/>
        </w:rPr>
        <w:t>las </w:t>
      </w:r>
      <w:r>
        <w:rPr>
          <w:color w:val="231F20"/>
          <w:spacing w:val="3"/>
        </w:rPr>
        <w:t>medidas </w:t>
      </w:r>
      <w:r>
        <w:rPr>
          <w:color w:val="231F20"/>
          <w:spacing w:val="2"/>
        </w:rPr>
        <w:t>económicas están </w:t>
      </w:r>
      <w:r>
        <w:rPr>
          <w:color w:val="231F20"/>
        </w:rPr>
        <w:t>el </w:t>
      </w:r>
      <w:r>
        <w:rPr>
          <w:color w:val="231F20"/>
          <w:spacing w:val="2"/>
        </w:rPr>
        <w:t>incremento </w:t>
      </w:r>
      <w:r>
        <w:rPr>
          <w:color w:val="231F20"/>
        </w:rPr>
        <w:t>en los </w:t>
      </w:r>
      <w:r>
        <w:rPr>
          <w:color w:val="231F20"/>
          <w:spacing w:val="2"/>
        </w:rPr>
        <w:t>índices </w:t>
      </w:r>
      <w:r>
        <w:rPr>
          <w:color w:val="231F20"/>
        </w:rPr>
        <w:t>de </w:t>
      </w:r>
      <w:r>
        <w:rPr>
          <w:color w:val="231F20"/>
          <w:spacing w:val="2"/>
        </w:rPr>
        <w:t>pobre-  </w:t>
      </w:r>
      <w:r>
        <w:rPr>
          <w:color w:val="231F20"/>
        </w:rPr>
        <w:t>za. </w:t>
      </w:r>
      <w:r>
        <w:rPr>
          <w:color w:val="231F20"/>
          <w:spacing w:val="2"/>
        </w:rPr>
        <w:t>De acuerdo </w:t>
      </w:r>
      <w:r>
        <w:rPr>
          <w:color w:val="231F20"/>
        </w:rPr>
        <w:t>a </w:t>
      </w:r>
      <w:r>
        <w:rPr>
          <w:color w:val="231F20"/>
          <w:spacing w:val="2"/>
        </w:rPr>
        <w:t>los datos oficiales del </w:t>
      </w:r>
      <w:r>
        <w:rPr>
          <w:color w:val="231F20"/>
          <w:spacing w:val="4"/>
        </w:rPr>
        <w:t>CONEVAL </w:t>
      </w:r>
      <w:r>
        <w:rPr>
          <w:color w:val="231F20"/>
          <w:spacing w:val="2"/>
        </w:rPr>
        <w:t>(2006) </w:t>
      </w:r>
      <w:r>
        <w:rPr>
          <w:color w:val="231F20"/>
        </w:rPr>
        <w:t>en el </w:t>
      </w:r>
      <w:r>
        <w:rPr>
          <w:color w:val="231F20"/>
          <w:spacing w:val="2"/>
        </w:rPr>
        <w:t>país, </w:t>
      </w:r>
      <w:r>
        <w:rPr>
          <w:color w:val="231F20"/>
        </w:rPr>
        <w:t>se </w:t>
      </w:r>
      <w:r>
        <w:rPr>
          <w:color w:val="231F20"/>
          <w:spacing w:val="2"/>
        </w:rPr>
        <w:t>estimaba </w:t>
      </w:r>
      <w:r>
        <w:rPr>
          <w:color w:val="231F20"/>
        </w:rPr>
        <w:t>que </w:t>
      </w:r>
      <w:r>
        <w:rPr>
          <w:color w:val="231F20"/>
          <w:spacing w:val="2"/>
        </w:rPr>
        <w:t>había más </w:t>
      </w:r>
      <w:r>
        <w:rPr>
          <w:color w:val="231F20"/>
        </w:rPr>
        <w:t>de 60 </w:t>
      </w:r>
      <w:r>
        <w:rPr>
          <w:color w:val="231F20"/>
          <w:spacing w:val="2"/>
        </w:rPr>
        <w:t>millones </w:t>
      </w:r>
      <w:r>
        <w:rPr>
          <w:color w:val="231F20"/>
        </w:rPr>
        <w:t>de </w:t>
      </w:r>
      <w:r>
        <w:rPr>
          <w:color w:val="231F20"/>
          <w:spacing w:val="3"/>
        </w:rPr>
        <w:t>pobres, </w:t>
      </w:r>
      <w:r>
        <w:rPr>
          <w:color w:val="231F20"/>
        </w:rPr>
        <w:t>lo que </w:t>
      </w:r>
      <w:r>
        <w:rPr>
          <w:color w:val="231F20"/>
          <w:spacing w:val="2"/>
        </w:rPr>
        <w:t>quiere</w:t>
      </w:r>
      <w:r>
        <w:rPr>
          <w:color w:val="231F20"/>
          <w:spacing w:val="-25"/>
        </w:rPr>
        <w:t> </w:t>
      </w:r>
      <w:r>
        <w:rPr>
          <w:color w:val="231F20"/>
          <w:spacing w:val="2"/>
        </w:rPr>
        <w:t>decir,</w:t>
      </w:r>
      <w:r>
        <w:rPr>
          <w:color w:val="231F20"/>
          <w:spacing w:val="-25"/>
        </w:rPr>
        <w:t> </w:t>
      </w:r>
      <w:r>
        <w:rPr>
          <w:color w:val="231F20"/>
          <w:spacing w:val="2"/>
        </w:rPr>
        <w:t>que</w:t>
      </w:r>
      <w:r>
        <w:rPr>
          <w:color w:val="231F20"/>
          <w:spacing w:val="-24"/>
        </w:rPr>
        <w:t> </w:t>
      </w:r>
      <w:r>
        <w:rPr>
          <w:i/>
          <w:color w:val="231F20"/>
          <w:spacing w:val="2"/>
        </w:rPr>
        <w:t>más</w:t>
      </w:r>
      <w:r>
        <w:rPr>
          <w:i/>
          <w:color w:val="231F20"/>
          <w:spacing w:val="-25"/>
        </w:rPr>
        <w:t> </w:t>
      </w:r>
      <w:r>
        <w:rPr>
          <w:i/>
          <w:color w:val="231F20"/>
        </w:rPr>
        <w:t>de</w:t>
      </w:r>
      <w:r>
        <w:rPr>
          <w:i/>
          <w:color w:val="231F20"/>
          <w:spacing w:val="-25"/>
        </w:rPr>
        <w:t> </w:t>
      </w:r>
      <w:r>
        <w:rPr>
          <w:i/>
          <w:color w:val="231F20"/>
        </w:rPr>
        <w:t>la</w:t>
      </w:r>
      <w:r>
        <w:rPr>
          <w:i/>
          <w:color w:val="231F20"/>
          <w:spacing w:val="-25"/>
        </w:rPr>
        <w:t> </w:t>
      </w:r>
      <w:r>
        <w:rPr>
          <w:i/>
          <w:color w:val="231F20"/>
          <w:spacing w:val="2"/>
        </w:rPr>
        <w:t>mitad</w:t>
      </w:r>
      <w:r>
        <w:rPr>
          <w:i/>
          <w:color w:val="231F20"/>
          <w:spacing w:val="-25"/>
        </w:rPr>
        <w:t> </w:t>
      </w:r>
      <w:r>
        <w:rPr>
          <w:i/>
          <w:color w:val="231F20"/>
        </w:rPr>
        <w:t>de</w:t>
      </w:r>
      <w:r>
        <w:rPr>
          <w:i/>
          <w:color w:val="231F20"/>
          <w:spacing w:val="-25"/>
        </w:rPr>
        <w:t> </w:t>
      </w:r>
      <w:r>
        <w:rPr>
          <w:i/>
          <w:color w:val="231F20"/>
        </w:rPr>
        <w:t>la</w:t>
      </w:r>
      <w:r>
        <w:rPr>
          <w:i/>
          <w:color w:val="231F20"/>
          <w:spacing w:val="-25"/>
        </w:rPr>
        <w:t> </w:t>
      </w:r>
      <w:r>
        <w:rPr>
          <w:i/>
          <w:color w:val="231F20"/>
          <w:spacing w:val="2"/>
        </w:rPr>
        <w:t>población</w:t>
      </w:r>
      <w:r>
        <w:rPr>
          <w:i/>
          <w:color w:val="231F20"/>
          <w:spacing w:val="-24"/>
        </w:rPr>
        <w:t> </w:t>
      </w:r>
      <w:r>
        <w:rPr>
          <w:i/>
          <w:color w:val="231F20"/>
        </w:rPr>
        <w:t>es</w:t>
      </w:r>
      <w:r>
        <w:rPr>
          <w:i/>
          <w:color w:val="231F20"/>
          <w:spacing w:val="-25"/>
        </w:rPr>
        <w:t> </w:t>
      </w:r>
      <w:r>
        <w:rPr>
          <w:i/>
          <w:color w:val="231F20"/>
          <w:spacing w:val="2"/>
        </w:rPr>
        <w:t>pobre</w:t>
      </w:r>
      <w:r>
        <w:rPr>
          <w:color w:val="231F20"/>
          <w:spacing w:val="2"/>
        </w:rPr>
        <w:t>;</w:t>
      </w:r>
      <w:r>
        <w:rPr>
          <w:color w:val="231F20"/>
          <w:spacing w:val="-25"/>
        </w:rPr>
        <w:t> </w:t>
      </w:r>
      <w:r>
        <w:rPr>
          <w:color w:val="231F20"/>
          <w:spacing w:val="2"/>
        </w:rPr>
        <w:t>para</w:t>
      </w:r>
      <w:r>
        <w:rPr>
          <w:color w:val="231F20"/>
          <w:spacing w:val="-25"/>
        </w:rPr>
        <w:t> </w:t>
      </w:r>
      <w:r>
        <w:rPr>
          <w:color w:val="231F20"/>
        </w:rPr>
        <w:t>el</w:t>
      </w:r>
      <w:r>
        <w:rPr>
          <w:color w:val="231F20"/>
          <w:spacing w:val="-25"/>
        </w:rPr>
        <w:t> </w:t>
      </w:r>
      <w:r>
        <w:rPr>
          <w:color w:val="231F20"/>
          <w:spacing w:val="4"/>
        </w:rPr>
        <w:t>2008 </w:t>
      </w:r>
      <w:r>
        <w:rPr>
          <w:color w:val="231F20"/>
        </w:rPr>
        <w:t>ya era el </w:t>
      </w:r>
      <w:r>
        <w:rPr>
          <w:color w:val="231F20"/>
          <w:spacing w:val="2"/>
        </w:rPr>
        <w:t>77%. Este Consejo </w:t>
      </w:r>
      <w:r>
        <w:rPr>
          <w:color w:val="231F20"/>
        </w:rPr>
        <w:t>se </w:t>
      </w:r>
      <w:r>
        <w:rPr>
          <w:color w:val="231F20"/>
          <w:spacing w:val="2"/>
        </w:rPr>
        <w:t>centra </w:t>
      </w:r>
      <w:r>
        <w:rPr>
          <w:color w:val="231F20"/>
        </w:rPr>
        <w:t>en </w:t>
      </w:r>
      <w:r>
        <w:rPr>
          <w:color w:val="231F20"/>
          <w:spacing w:val="2"/>
        </w:rPr>
        <w:t>tres niveles </w:t>
      </w:r>
      <w:r>
        <w:rPr>
          <w:color w:val="231F20"/>
        </w:rPr>
        <w:t>de </w:t>
      </w:r>
      <w:r>
        <w:rPr>
          <w:color w:val="231F20"/>
          <w:spacing w:val="3"/>
        </w:rPr>
        <w:t>pobreza: </w:t>
      </w:r>
      <w:r>
        <w:rPr>
          <w:color w:val="231F20"/>
        </w:rPr>
        <w:t>la </w:t>
      </w:r>
      <w:r>
        <w:rPr>
          <w:color w:val="231F20"/>
          <w:spacing w:val="2"/>
        </w:rPr>
        <w:t>patrimonial, </w:t>
      </w:r>
      <w:r>
        <w:rPr>
          <w:color w:val="231F20"/>
        </w:rPr>
        <w:t>de </w:t>
      </w:r>
      <w:r>
        <w:rPr>
          <w:color w:val="231F20"/>
          <w:spacing w:val="2"/>
        </w:rPr>
        <w:t>capacidades </w:t>
      </w:r>
      <w:r>
        <w:rPr>
          <w:color w:val="231F20"/>
        </w:rPr>
        <w:t>y </w:t>
      </w:r>
      <w:r>
        <w:rPr>
          <w:color w:val="231F20"/>
          <w:spacing w:val="2"/>
        </w:rPr>
        <w:t>alimentaria. </w:t>
      </w:r>
      <w:r>
        <w:rPr>
          <w:color w:val="231F20"/>
        </w:rPr>
        <w:t>Es de </w:t>
      </w:r>
      <w:r>
        <w:rPr>
          <w:color w:val="231F20"/>
          <w:spacing w:val="2"/>
        </w:rPr>
        <w:t>notar </w:t>
      </w:r>
      <w:r>
        <w:rPr>
          <w:color w:val="231F20"/>
        </w:rPr>
        <w:t>que el </w:t>
      </w:r>
      <w:r>
        <w:rPr>
          <w:color w:val="231F20"/>
          <w:spacing w:val="4"/>
        </w:rPr>
        <w:t>ma- </w:t>
      </w:r>
      <w:r>
        <w:rPr>
          <w:color w:val="231F20"/>
          <w:spacing w:val="2"/>
        </w:rPr>
        <w:t>yor </w:t>
      </w:r>
      <w:r>
        <w:rPr>
          <w:color w:val="231F20"/>
          <w:spacing w:val="3"/>
        </w:rPr>
        <w:t>número </w:t>
      </w:r>
      <w:r>
        <w:rPr>
          <w:color w:val="231F20"/>
        </w:rPr>
        <w:t>de </w:t>
      </w:r>
      <w:r>
        <w:rPr>
          <w:color w:val="231F20"/>
          <w:spacing w:val="3"/>
        </w:rPr>
        <w:t>pobres </w:t>
      </w:r>
      <w:r>
        <w:rPr>
          <w:color w:val="231F20"/>
        </w:rPr>
        <w:t>se </w:t>
      </w:r>
      <w:r>
        <w:rPr>
          <w:color w:val="231F20"/>
          <w:spacing w:val="2"/>
        </w:rPr>
        <w:t>ubica </w:t>
      </w:r>
      <w:r>
        <w:rPr>
          <w:color w:val="231F20"/>
        </w:rPr>
        <w:t>en el </w:t>
      </w:r>
      <w:r>
        <w:rPr>
          <w:color w:val="231F20"/>
          <w:spacing w:val="2"/>
        </w:rPr>
        <w:t>nivel alimentario </w:t>
      </w:r>
      <w:r>
        <w:rPr>
          <w:color w:val="231F20"/>
        </w:rPr>
        <w:t>y de </w:t>
      </w:r>
      <w:r>
        <w:rPr>
          <w:color w:val="231F20"/>
          <w:spacing w:val="2"/>
        </w:rPr>
        <w:t>capaci- dades, </w:t>
      </w:r>
      <w:r>
        <w:rPr>
          <w:color w:val="231F20"/>
        </w:rPr>
        <w:t>y  </w:t>
      </w:r>
      <w:r>
        <w:rPr>
          <w:color w:val="231F20"/>
          <w:spacing w:val="3"/>
        </w:rPr>
        <w:t>conjunta </w:t>
      </w:r>
      <w:r>
        <w:rPr>
          <w:color w:val="231F20"/>
        </w:rPr>
        <w:t>a  las  </w:t>
      </w:r>
      <w:r>
        <w:rPr>
          <w:color w:val="231F20"/>
          <w:spacing w:val="3"/>
        </w:rPr>
        <w:t>personas </w:t>
      </w:r>
      <w:r>
        <w:rPr>
          <w:color w:val="231F20"/>
          <w:spacing w:val="2"/>
        </w:rPr>
        <w:t>que  aún  viven  </w:t>
      </w:r>
      <w:r>
        <w:rPr>
          <w:color w:val="231F20"/>
        </w:rPr>
        <w:t>en  o</w:t>
      </w:r>
      <w:r>
        <w:rPr>
          <w:color w:val="231F20"/>
          <w:spacing w:val="23"/>
        </w:rPr>
        <w:t> </w:t>
      </w:r>
      <w:r>
        <w:rPr>
          <w:color w:val="231F20"/>
          <w:spacing w:val="2"/>
        </w:rPr>
        <w:t>del </w:t>
      </w:r>
      <w:r>
        <w:rPr>
          <w:color w:val="231F20"/>
          <w:spacing w:val="3"/>
        </w:rPr>
        <w:t>campo;</w:t>
      </w:r>
    </w:p>
    <w:p>
      <w:pPr>
        <w:spacing w:after="0" w:line="249" w:lineRule="auto"/>
        <w:jc w:val="both"/>
        <w:sectPr>
          <w:headerReference w:type="default" r:id="rId38"/>
          <w:footerReference w:type="default" r:id="rId39"/>
          <w:pgSz w:w="7830" w:h="11910"/>
          <w:pgMar w:header="0" w:footer="424" w:top="500" w:bottom="620" w:left="1020" w:right="740"/>
          <w:pgNumType w:start="13"/>
        </w:sectPr>
      </w:pPr>
    </w:p>
    <w:p>
      <w:pPr>
        <w:spacing w:before="46"/>
        <w:ind w:left="632" w:right="148"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10"/>
        <w:rPr>
          <w:sz w:val="16"/>
        </w:rPr>
      </w:pPr>
    </w:p>
    <w:p>
      <w:pPr>
        <w:pStyle w:val="BodyText"/>
        <w:spacing w:line="247" w:lineRule="auto" w:before="1"/>
        <w:ind w:left="109" w:right="148"/>
      </w:pPr>
      <w:r>
        <w:rPr>
          <w:color w:val="231F20"/>
          <w:spacing w:val="2"/>
        </w:rPr>
        <w:t>mientras que </w:t>
      </w:r>
      <w:r>
        <w:rPr>
          <w:color w:val="231F20"/>
        </w:rPr>
        <w:t>la  </w:t>
      </w:r>
      <w:r>
        <w:rPr>
          <w:color w:val="231F20"/>
          <w:spacing w:val="2"/>
        </w:rPr>
        <w:t>pobreza patrimonial </w:t>
      </w:r>
      <w:r>
        <w:rPr>
          <w:color w:val="231F20"/>
        </w:rPr>
        <w:t>se  </w:t>
      </w:r>
      <w:r>
        <w:rPr>
          <w:color w:val="231F20"/>
          <w:spacing w:val="2"/>
        </w:rPr>
        <w:t>sitúa preferentemente </w:t>
      </w:r>
      <w:r>
        <w:rPr>
          <w:color w:val="231F20"/>
        </w:rPr>
        <w:t>en  las</w:t>
      </w:r>
      <w:r>
        <w:rPr>
          <w:color w:val="231F20"/>
          <w:spacing w:val="-20"/>
        </w:rPr>
        <w:t> </w:t>
      </w:r>
      <w:r>
        <w:rPr>
          <w:color w:val="231F20"/>
          <w:spacing w:val="2"/>
        </w:rPr>
        <w:t>ciudades.</w:t>
      </w:r>
    </w:p>
    <w:p>
      <w:pPr>
        <w:pStyle w:val="BodyText"/>
        <w:spacing w:line="249" w:lineRule="auto" w:before="1"/>
        <w:ind w:left="109" w:right="110" w:firstLine="284"/>
        <w:jc w:val="both"/>
      </w:pPr>
      <w:r>
        <w:rPr>
          <w:color w:val="231F20"/>
          <w:spacing w:val="3"/>
        </w:rPr>
        <w:t>Ahora somos </w:t>
      </w:r>
      <w:r>
        <w:rPr>
          <w:color w:val="231F20"/>
          <w:spacing w:val="2"/>
        </w:rPr>
        <w:t>más desiguales, ahora </w:t>
      </w:r>
      <w:r>
        <w:rPr>
          <w:color w:val="231F20"/>
          <w:spacing w:val="3"/>
        </w:rPr>
        <w:t>estamos </w:t>
      </w:r>
      <w:r>
        <w:rPr>
          <w:color w:val="231F20"/>
          <w:spacing w:val="2"/>
        </w:rPr>
        <w:t>esclavizados </w:t>
      </w:r>
      <w:r>
        <w:rPr>
          <w:color w:val="231F20"/>
        </w:rPr>
        <w:t>y </w:t>
      </w:r>
      <w:r>
        <w:rPr>
          <w:color w:val="231F20"/>
          <w:spacing w:val="3"/>
        </w:rPr>
        <w:t>vio- </w:t>
      </w:r>
      <w:r>
        <w:rPr>
          <w:color w:val="231F20"/>
          <w:spacing w:val="2"/>
        </w:rPr>
        <w:t>lentados por </w:t>
      </w:r>
      <w:r>
        <w:rPr>
          <w:color w:val="231F20"/>
        </w:rPr>
        <w:t>el </w:t>
      </w:r>
      <w:r>
        <w:rPr>
          <w:color w:val="231F20"/>
          <w:spacing w:val="3"/>
        </w:rPr>
        <w:t>hambre, </w:t>
      </w:r>
      <w:r>
        <w:rPr>
          <w:color w:val="231F20"/>
        </w:rPr>
        <w:t>el </w:t>
      </w:r>
      <w:r>
        <w:rPr>
          <w:color w:val="231F20"/>
          <w:spacing w:val="3"/>
        </w:rPr>
        <w:t>desempleo </w:t>
      </w:r>
      <w:r>
        <w:rPr>
          <w:color w:val="231F20"/>
        </w:rPr>
        <w:t>y el  </w:t>
      </w:r>
      <w:r>
        <w:rPr>
          <w:color w:val="231F20"/>
          <w:spacing w:val="3"/>
        </w:rPr>
        <w:t>analfabetismo, además </w:t>
      </w:r>
      <w:r>
        <w:rPr>
          <w:color w:val="231F20"/>
        </w:rPr>
        <w:t>de vivir </w:t>
      </w:r>
      <w:r>
        <w:rPr>
          <w:color w:val="231F20"/>
          <w:spacing w:val="2"/>
        </w:rPr>
        <w:t>con </w:t>
      </w:r>
      <w:r>
        <w:rPr>
          <w:color w:val="231F20"/>
        </w:rPr>
        <w:t>esa </w:t>
      </w:r>
      <w:r>
        <w:rPr>
          <w:color w:val="231F20"/>
          <w:spacing w:val="3"/>
        </w:rPr>
        <w:t>reforma </w:t>
      </w:r>
      <w:r>
        <w:rPr>
          <w:color w:val="231F20"/>
          <w:spacing w:val="2"/>
        </w:rPr>
        <w:t>del Estado que </w:t>
      </w:r>
      <w:r>
        <w:rPr>
          <w:color w:val="231F20"/>
        </w:rPr>
        <w:t>se </w:t>
      </w:r>
      <w:r>
        <w:rPr>
          <w:color w:val="231F20"/>
          <w:spacing w:val="2"/>
        </w:rPr>
        <w:t>expresa </w:t>
      </w:r>
      <w:r>
        <w:rPr>
          <w:color w:val="231F20"/>
        </w:rPr>
        <w:t>en un </w:t>
      </w:r>
      <w:r>
        <w:rPr>
          <w:color w:val="231F20"/>
          <w:spacing w:val="3"/>
        </w:rPr>
        <w:t>mayor </w:t>
      </w:r>
      <w:r>
        <w:rPr>
          <w:color w:val="231F20"/>
          <w:spacing w:val="2"/>
        </w:rPr>
        <w:t>saqueo </w:t>
      </w:r>
      <w:r>
        <w:rPr>
          <w:color w:val="231F20"/>
        </w:rPr>
        <w:t>de </w:t>
      </w:r>
      <w:r>
        <w:rPr>
          <w:color w:val="231F20"/>
          <w:spacing w:val="2"/>
        </w:rPr>
        <w:t>los bienes públicos </w:t>
      </w:r>
      <w:r>
        <w:rPr>
          <w:color w:val="231F20"/>
        </w:rPr>
        <w:t>y de </w:t>
      </w:r>
      <w:r>
        <w:rPr>
          <w:color w:val="231F20"/>
          <w:spacing w:val="3"/>
        </w:rPr>
        <w:t>mayor corrupción, </w:t>
      </w:r>
      <w:r>
        <w:rPr>
          <w:color w:val="231F20"/>
          <w:spacing w:val="2"/>
        </w:rPr>
        <w:t>tanto </w:t>
      </w:r>
      <w:r>
        <w:rPr>
          <w:color w:val="231F20"/>
        </w:rPr>
        <w:t>que </w:t>
      </w:r>
      <w:r>
        <w:rPr>
          <w:color w:val="231F20"/>
          <w:spacing w:val="2"/>
        </w:rPr>
        <w:t>ahora vivimos una guerra contra </w:t>
      </w:r>
      <w:r>
        <w:rPr>
          <w:color w:val="231F20"/>
        </w:rPr>
        <w:t>el </w:t>
      </w:r>
      <w:r>
        <w:rPr>
          <w:color w:val="231F20"/>
          <w:spacing w:val="2"/>
        </w:rPr>
        <w:t>narcotráfico </w:t>
      </w:r>
      <w:r>
        <w:rPr>
          <w:color w:val="231F20"/>
        </w:rPr>
        <w:t>en la que se </w:t>
      </w:r>
      <w:r>
        <w:rPr>
          <w:color w:val="231F20"/>
          <w:spacing w:val="3"/>
        </w:rPr>
        <w:t>en- </w:t>
      </w:r>
      <w:r>
        <w:rPr>
          <w:color w:val="231F20"/>
          <w:spacing w:val="2"/>
        </w:rPr>
        <w:t>cuentran </w:t>
      </w:r>
      <w:r>
        <w:rPr>
          <w:color w:val="231F20"/>
          <w:spacing w:val="3"/>
        </w:rPr>
        <w:t>involucrados muchos </w:t>
      </w:r>
      <w:r>
        <w:rPr>
          <w:color w:val="231F20"/>
          <w:spacing w:val="2"/>
        </w:rPr>
        <w:t>servidores públicos </w:t>
      </w:r>
      <w:r>
        <w:rPr>
          <w:color w:val="231F20"/>
        </w:rPr>
        <w:t>de </w:t>
      </w:r>
      <w:r>
        <w:rPr>
          <w:color w:val="231F20"/>
          <w:spacing w:val="2"/>
        </w:rPr>
        <w:t>diferentes niveles administrativos, pues </w:t>
      </w:r>
      <w:r>
        <w:rPr>
          <w:color w:val="231F20"/>
        </w:rPr>
        <w:t>el </w:t>
      </w:r>
      <w:r>
        <w:rPr>
          <w:color w:val="231F20"/>
          <w:spacing w:val="2"/>
        </w:rPr>
        <w:t>capital </w:t>
      </w:r>
      <w:r>
        <w:rPr>
          <w:color w:val="231F20"/>
        </w:rPr>
        <w:t>del </w:t>
      </w:r>
      <w:r>
        <w:rPr>
          <w:color w:val="231F20"/>
          <w:spacing w:val="2"/>
        </w:rPr>
        <w:t>narcotráfico </w:t>
      </w:r>
      <w:r>
        <w:rPr>
          <w:color w:val="231F20"/>
        </w:rPr>
        <w:t>ha </w:t>
      </w:r>
      <w:r>
        <w:rPr>
          <w:color w:val="231F20"/>
          <w:spacing w:val="2"/>
        </w:rPr>
        <w:t>logrado infiltrar </w:t>
      </w:r>
      <w:r>
        <w:rPr>
          <w:color w:val="231F20"/>
        </w:rPr>
        <w:t>un </w:t>
      </w:r>
      <w:r>
        <w:rPr>
          <w:color w:val="231F20"/>
          <w:spacing w:val="2"/>
        </w:rPr>
        <w:t>proceso </w:t>
      </w:r>
      <w:r>
        <w:rPr>
          <w:color w:val="231F20"/>
          <w:spacing w:val="3"/>
        </w:rPr>
        <w:t>muy </w:t>
      </w:r>
      <w:r>
        <w:rPr>
          <w:color w:val="231F20"/>
          <w:spacing w:val="2"/>
        </w:rPr>
        <w:t>particular </w:t>
      </w:r>
      <w:r>
        <w:rPr>
          <w:color w:val="231F20"/>
        </w:rPr>
        <w:t>de </w:t>
      </w:r>
      <w:r>
        <w:rPr>
          <w:color w:val="231F20"/>
          <w:spacing w:val="3"/>
        </w:rPr>
        <w:t>acumulación </w:t>
      </w:r>
      <w:r>
        <w:rPr>
          <w:color w:val="231F20"/>
          <w:spacing w:val="2"/>
        </w:rPr>
        <w:t>del capital  </w:t>
      </w:r>
      <w:r>
        <w:rPr>
          <w:color w:val="231F20"/>
        </w:rPr>
        <w:t>a </w:t>
      </w:r>
      <w:r>
        <w:rPr>
          <w:color w:val="231F20"/>
          <w:spacing w:val="2"/>
        </w:rPr>
        <w:t>nivel mundial. </w:t>
      </w:r>
      <w:r>
        <w:rPr>
          <w:color w:val="231F20"/>
          <w:spacing w:val="3"/>
        </w:rPr>
        <w:t>Hemos </w:t>
      </w:r>
      <w:r>
        <w:rPr>
          <w:color w:val="231F20"/>
          <w:spacing w:val="2"/>
        </w:rPr>
        <w:t>llegado </w:t>
      </w:r>
      <w:r>
        <w:rPr>
          <w:color w:val="231F20"/>
        </w:rPr>
        <w:t>a </w:t>
      </w:r>
      <w:r>
        <w:rPr>
          <w:color w:val="231F20"/>
          <w:spacing w:val="3"/>
        </w:rPr>
        <w:t>extremos </w:t>
      </w:r>
      <w:r>
        <w:rPr>
          <w:color w:val="231F20"/>
        </w:rPr>
        <w:t>de </w:t>
      </w:r>
      <w:r>
        <w:rPr>
          <w:color w:val="231F20"/>
          <w:spacing w:val="2"/>
        </w:rPr>
        <w:t>criminalizar </w:t>
      </w:r>
      <w:r>
        <w:rPr>
          <w:color w:val="231F20"/>
        </w:rPr>
        <w:t>la </w:t>
      </w:r>
      <w:r>
        <w:rPr>
          <w:color w:val="231F20"/>
          <w:spacing w:val="3"/>
        </w:rPr>
        <w:t>pobre- </w:t>
      </w:r>
      <w:r>
        <w:rPr>
          <w:color w:val="231F20"/>
        </w:rPr>
        <w:t>za y la </w:t>
      </w:r>
      <w:r>
        <w:rPr>
          <w:color w:val="231F20"/>
          <w:spacing w:val="2"/>
        </w:rPr>
        <w:t>protesta social; </w:t>
      </w:r>
      <w:r>
        <w:rPr>
          <w:color w:val="231F20"/>
        </w:rPr>
        <w:t>en </w:t>
      </w:r>
      <w:r>
        <w:rPr>
          <w:color w:val="231F20"/>
          <w:spacing w:val="2"/>
        </w:rPr>
        <w:t>este sentido hay que aclarar </w:t>
      </w:r>
      <w:r>
        <w:rPr>
          <w:color w:val="231F20"/>
        </w:rPr>
        <w:t>el </w:t>
      </w:r>
      <w:r>
        <w:rPr>
          <w:color w:val="231F20"/>
          <w:spacing w:val="2"/>
        </w:rPr>
        <w:t>vínculo </w:t>
      </w:r>
      <w:r>
        <w:rPr>
          <w:color w:val="231F20"/>
        </w:rPr>
        <w:t>del </w:t>
      </w:r>
      <w:r>
        <w:rPr>
          <w:color w:val="231F20"/>
          <w:spacing w:val="2"/>
        </w:rPr>
        <w:t>proceso </w:t>
      </w:r>
      <w:r>
        <w:rPr>
          <w:color w:val="231F20"/>
        </w:rPr>
        <w:t>de </w:t>
      </w:r>
      <w:r>
        <w:rPr>
          <w:color w:val="231F20"/>
          <w:spacing w:val="2"/>
        </w:rPr>
        <w:t>acumulación con </w:t>
      </w:r>
      <w:r>
        <w:rPr>
          <w:color w:val="231F20"/>
        </w:rPr>
        <w:t>el </w:t>
      </w:r>
      <w:r>
        <w:rPr>
          <w:color w:val="231F20"/>
          <w:spacing w:val="3"/>
        </w:rPr>
        <w:t>fenómeno </w:t>
      </w:r>
      <w:r>
        <w:rPr>
          <w:color w:val="231F20"/>
        </w:rPr>
        <w:t>de la  </w:t>
      </w:r>
      <w:r>
        <w:rPr>
          <w:color w:val="231F20"/>
          <w:spacing w:val="2"/>
        </w:rPr>
        <w:t>pauperización  </w:t>
      </w:r>
      <w:r>
        <w:rPr>
          <w:color w:val="231F20"/>
          <w:spacing w:val="3"/>
        </w:rPr>
        <w:t>como </w:t>
      </w:r>
      <w:r>
        <w:rPr>
          <w:color w:val="231F20"/>
          <w:spacing w:val="2"/>
        </w:rPr>
        <w:t>expresión </w:t>
      </w:r>
      <w:r>
        <w:rPr>
          <w:color w:val="231F20"/>
        </w:rPr>
        <w:t>de las </w:t>
      </w:r>
      <w:r>
        <w:rPr>
          <w:color w:val="231F20"/>
          <w:spacing w:val="3"/>
        </w:rPr>
        <w:t>contradicciones </w:t>
      </w:r>
      <w:r>
        <w:rPr>
          <w:color w:val="231F20"/>
        </w:rPr>
        <w:t>de ese </w:t>
      </w:r>
      <w:r>
        <w:rPr>
          <w:color w:val="231F20"/>
          <w:spacing w:val="2"/>
        </w:rPr>
        <w:t>capitalismo rapaz, </w:t>
      </w:r>
      <w:r>
        <w:rPr>
          <w:color w:val="231F20"/>
        </w:rPr>
        <w:t>y no de la </w:t>
      </w:r>
      <w:r>
        <w:rPr>
          <w:color w:val="231F20"/>
          <w:spacing w:val="2"/>
        </w:rPr>
        <w:t>maldad </w:t>
      </w:r>
      <w:r>
        <w:rPr>
          <w:color w:val="231F20"/>
          <w:spacing w:val="3"/>
        </w:rPr>
        <w:t>humana, como </w:t>
      </w:r>
      <w:r>
        <w:rPr>
          <w:color w:val="231F20"/>
        </w:rPr>
        <w:t>se </w:t>
      </w:r>
      <w:r>
        <w:rPr>
          <w:color w:val="231F20"/>
          <w:spacing w:val="2"/>
        </w:rPr>
        <w:t>quiere presentar: ¿acaso esto </w:t>
      </w:r>
      <w:r>
        <w:rPr>
          <w:color w:val="231F20"/>
          <w:spacing w:val="4"/>
        </w:rPr>
        <w:t>no </w:t>
      </w:r>
      <w:r>
        <w:rPr>
          <w:color w:val="231F20"/>
        </w:rPr>
        <w:t>es </w:t>
      </w:r>
      <w:r>
        <w:rPr>
          <w:color w:val="231F20"/>
          <w:spacing w:val="2"/>
        </w:rPr>
        <w:t>una violencia abierta </w:t>
      </w:r>
      <w:r>
        <w:rPr>
          <w:color w:val="231F20"/>
        </w:rPr>
        <w:t>a la</w:t>
      </w:r>
      <w:r>
        <w:rPr>
          <w:color w:val="231F20"/>
          <w:spacing w:val="-27"/>
        </w:rPr>
        <w:t> </w:t>
      </w:r>
      <w:r>
        <w:rPr>
          <w:color w:val="231F20"/>
          <w:spacing w:val="3"/>
        </w:rPr>
        <w:t>población?</w:t>
      </w:r>
    </w:p>
    <w:p>
      <w:pPr>
        <w:pStyle w:val="BodyText"/>
        <w:spacing w:line="249" w:lineRule="auto"/>
        <w:ind w:left="109" w:right="111" w:firstLine="284"/>
        <w:jc w:val="both"/>
      </w:pPr>
      <w:r>
        <w:rPr>
          <w:color w:val="231F20"/>
        </w:rPr>
        <w:t>La </w:t>
      </w:r>
      <w:r>
        <w:rPr>
          <w:color w:val="231F20"/>
          <w:spacing w:val="2"/>
        </w:rPr>
        <w:t>educación, </w:t>
      </w:r>
      <w:r>
        <w:rPr>
          <w:color w:val="231F20"/>
        </w:rPr>
        <w:t>la </w:t>
      </w:r>
      <w:r>
        <w:rPr>
          <w:color w:val="231F20"/>
          <w:spacing w:val="2"/>
        </w:rPr>
        <w:t>universidad pública, ámbitos como otros </w:t>
      </w:r>
      <w:r>
        <w:rPr>
          <w:color w:val="231F20"/>
        </w:rPr>
        <w:t>en    </w:t>
      </w:r>
      <w:r>
        <w:rPr>
          <w:color w:val="231F20"/>
          <w:spacing w:val="2"/>
        </w:rPr>
        <w:t>los cuales </w:t>
      </w:r>
      <w:r>
        <w:rPr>
          <w:color w:val="231F20"/>
        </w:rPr>
        <w:t>se </w:t>
      </w:r>
      <w:r>
        <w:rPr>
          <w:color w:val="231F20"/>
          <w:spacing w:val="2"/>
        </w:rPr>
        <w:t>traspasa </w:t>
      </w:r>
      <w:r>
        <w:rPr>
          <w:color w:val="231F20"/>
        </w:rPr>
        <w:t>esa </w:t>
      </w:r>
      <w:r>
        <w:rPr>
          <w:color w:val="231F20"/>
          <w:spacing w:val="2"/>
        </w:rPr>
        <w:t>violencia social, son </w:t>
      </w:r>
      <w:r>
        <w:rPr>
          <w:color w:val="231F20"/>
          <w:spacing w:val="3"/>
        </w:rPr>
        <w:t>producto </w:t>
      </w:r>
      <w:r>
        <w:rPr>
          <w:color w:val="231F20"/>
        </w:rPr>
        <w:t>y </w:t>
      </w:r>
      <w:r>
        <w:rPr>
          <w:color w:val="231F20"/>
          <w:spacing w:val="3"/>
        </w:rPr>
        <w:t>productores </w:t>
      </w:r>
      <w:r>
        <w:rPr>
          <w:color w:val="231F20"/>
        </w:rPr>
        <w:t>de </w:t>
      </w:r>
      <w:r>
        <w:rPr>
          <w:color w:val="231F20"/>
          <w:spacing w:val="2"/>
        </w:rPr>
        <w:t>esas sociedades contradictorias, </w:t>
      </w:r>
      <w:r>
        <w:rPr>
          <w:color w:val="231F20"/>
        </w:rPr>
        <w:t>y al </w:t>
      </w:r>
      <w:r>
        <w:rPr>
          <w:color w:val="231F20"/>
          <w:spacing w:val="3"/>
        </w:rPr>
        <w:t>mismo tiempo, </w:t>
      </w:r>
      <w:r>
        <w:rPr>
          <w:color w:val="231F20"/>
          <w:spacing w:val="2"/>
        </w:rPr>
        <w:t>enfrentan una </w:t>
      </w:r>
      <w:r>
        <w:rPr>
          <w:color w:val="231F20"/>
          <w:spacing w:val="3"/>
        </w:rPr>
        <w:t>transformación </w:t>
      </w:r>
      <w:r>
        <w:rPr>
          <w:color w:val="231F20"/>
          <w:spacing w:val="2"/>
        </w:rPr>
        <w:t>del proyecto </w:t>
      </w:r>
      <w:r>
        <w:rPr>
          <w:color w:val="231F20"/>
        </w:rPr>
        <w:t>de </w:t>
      </w:r>
      <w:r>
        <w:rPr>
          <w:color w:val="231F20"/>
          <w:spacing w:val="3"/>
        </w:rPr>
        <w:t>educación, </w:t>
      </w:r>
      <w:r>
        <w:rPr>
          <w:color w:val="231F20"/>
          <w:spacing w:val="2"/>
        </w:rPr>
        <w:t>generada desde </w:t>
      </w:r>
      <w:r>
        <w:rPr>
          <w:color w:val="231F20"/>
        </w:rPr>
        <w:t>las </w:t>
      </w:r>
      <w:r>
        <w:rPr>
          <w:color w:val="231F20"/>
          <w:spacing w:val="3"/>
        </w:rPr>
        <w:t>condiciones </w:t>
      </w:r>
      <w:r>
        <w:rPr>
          <w:color w:val="231F20"/>
        </w:rPr>
        <w:t>de </w:t>
      </w:r>
      <w:r>
        <w:rPr>
          <w:color w:val="231F20"/>
          <w:spacing w:val="2"/>
        </w:rPr>
        <w:t>base, que </w:t>
      </w:r>
      <w:r>
        <w:rPr>
          <w:color w:val="231F20"/>
          <w:spacing w:val="3"/>
        </w:rPr>
        <w:t>suponen </w:t>
      </w:r>
      <w:r>
        <w:rPr>
          <w:color w:val="231F20"/>
        </w:rPr>
        <w:t>un </w:t>
      </w:r>
      <w:r>
        <w:rPr>
          <w:color w:val="231F20"/>
          <w:spacing w:val="2"/>
        </w:rPr>
        <w:t>proyecto </w:t>
      </w:r>
      <w:r>
        <w:rPr>
          <w:color w:val="231F20"/>
        </w:rPr>
        <w:t>de  </w:t>
      </w:r>
      <w:r>
        <w:rPr>
          <w:color w:val="231F20"/>
          <w:spacing w:val="2"/>
        </w:rPr>
        <w:t>sociedad </w:t>
      </w:r>
      <w:r>
        <w:rPr>
          <w:color w:val="231F20"/>
        </w:rPr>
        <w:t>o de </w:t>
      </w:r>
      <w:r>
        <w:rPr>
          <w:color w:val="231F20"/>
          <w:spacing w:val="2"/>
        </w:rPr>
        <w:t>nación </w:t>
      </w:r>
      <w:r>
        <w:rPr>
          <w:color w:val="231F20"/>
        </w:rPr>
        <w:t>que se </w:t>
      </w:r>
      <w:r>
        <w:rPr>
          <w:color w:val="231F20"/>
          <w:spacing w:val="3"/>
        </w:rPr>
        <w:t>impone </w:t>
      </w:r>
      <w:r>
        <w:rPr>
          <w:color w:val="231F20"/>
          <w:spacing w:val="2"/>
        </w:rPr>
        <w:t>desde fines del </w:t>
      </w:r>
      <w:r>
        <w:rPr>
          <w:color w:val="231F20"/>
        </w:rPr>
        <w:t>siglo xx de </w:t>
      </w:r>
      <w:r>
        <w:rPr>
          <w:color w:val="231F20"/>
          <w:spacing w:val="2"/>
        </w:rPr>
        <w:t>manera casi unívoca, </w:t>
      </w:r>
      <w:r>
        <w:rPr>
          <w:color w:val="231F20"/>
        </w:rPr>
        <w:t>y </w:t>
      </w:r>
      <w:r>
        <w:rPr>
          <w:color w:val="231F20"/>
          <w:spacing w:val="2"/>
        </w:rPr>
        <w:t>que </w:t>
      </w:r>
      <w:r>
        <w:rPr>
          <w:color w:val="231F20"/>
        </w:rPr>
        <w:t>se </w:t>
      </w:r>
      <w:r>
        <w:rPr>
          <w:color w:val="231F20"/>
          <w:spacing w:val="2"/>
        </w:rPr>
        <w:t>estructura </w:t>
      </w:r>
      <w:r>
        <w:rPr>
          <w:color w:val="231F20"/>
        </w:rPr>
        <w:t>en </w:t>
      </w:r>
      <w:r>
        <w:rPr>
          <w:color w:val="231F20"/>
          <w:spacing w:val="2"/>
        </w:rPr>
        <w:t>torno </w:t>
      </w:r>
      <w:r>
        <w:rPr>
          <w:color w:val="231F20"/>
        </w:rPr>
        <w:t>a la </w:t>
      </w:r>
      <w:r>
        <w:rPr>
          <w:color w:val="231F20"/>
          <w:spacing w:val="2"/>
        </w:rPr>
        <w:t>relación </w:t>
      </w:r>
      <w:r>
        <w:rPr>
          <w:color w:val="231F20"/>
        </w:rPr>
        <w:t>con  el </w:t>
      </w:r>
      <w:r>
        <w:rPr>
          <w:color w:val="231F20"/>
          <w:spacing w:val="3"/>
        </w:rPr>
        <w:t>Estado, </w:t>
      </w:r>
      <w:r>
        <w:rPr>
          <w:color w:val="231F20"/>
        </w:rPr>
        <w:t>la </w:t>
      </w:r>
      <w:r>
        <w:rPr>
          <w:color w:val="231F20"/>
          <w:spacing w:val="2"/>
        </w:rPr>
        <w:t>privatización </w:t>
      </w:r>
      <w:r>
        <w:rPr>
          <w:color w:val="231F20"/>
        </w:rPr>
        <w:t>o </w:t>
      </w:r>
      <w:r>
        <w:rPr>
          <w:color w:val="231F20"/>
          <w:spacing w:val="2"/>
        </w:rPr>
        <w:t>los </w:t>
      </w:r>
      <w:r>
        <w:rPr>
          <w:color w:val="231F20"/>
          <w:spacing w:val="3"/>
        </w:rPr>
        <w:t>enormes problemas </w:t>
      </w:r>
      <w:r>
        <w:rPr>
          <w:color w:val="231F20"/>
          <w:spacing w:val="2"/>
        </w:rPr>
        <w:t>del </w:t>
      </w:r>
      <w:r>
        <w:rPr>
          <w:color w:val="231F20"/>
          <w:spacing w:val="3"/>
        </w:rPr>
        <w:t>financiamiento; </w:t>
      </w:r>
      <w:r>
        <w:rPr>
          <w:color w:val="231F20"/>
          <w:spacing w:val="2"/>
        </w:rPr>
        <w:t>claro está </w:t>
      </w:r>
      <w:r>
        <w:rPr>
          <w:color w:val="231F20"/>
        </w:rPr>
        <w:t>que </w:t>
      </w:r>
      <w:r>
        <w:rPr>
          <w:color w:val="231F20"/>
          <w:spacing w:val="2"/>
        </w:rPr>
        <w:t>casi nadie, </w:t>
      </w:r>
      <w:r>
        <w:rPr>
          <w:color w:val="231F20"/>
        </w:rPr>
        <w:t>ni </w:t>
      </w:r>
      <w:r>
        <w:rPr>
          <w:color w:val="231F20"/>
          <w:spacing w:val="2"/>
        </w:rPr>
        <w:t>siquiera los jóvenes </w:t>
      </w:r>
      <w:r>
        <w:rPr>
          <w:color w:val="231F20"/>
        </w:rPr>
        <w:t>en el </w:t>
      </w:r>
      <w:r>
        <w:rPr>
          <w:color w:val="231F20"/>
          <w:spacing w:val="2"/>
        </w:rPr>
        <w:t>país, levanta </w:t>
      </w:r>
      <w:r>
        <w:rPr>
          <w:color w:val="231F20"/>
        </w:rPr>
        <w:t>la </w:t>
      </w:r>
      <w:r>
        <w:rPr>
          <w:color w:val="231F20"/>
          <w:spacing w:val="2"/>
        </w:rPr>
        <w:t>voz para </w:t>
      </w:r>
      <w:r>
        <w:rPr>
          <w:color w:val="231F20"/>
          <w:spacing w:val="3"/>
        </w:rPr>
        <w:t>defender </w:t>
      </w:r>
      <w:r>
        <w:rPr>
          <w:color w:val="231F20"/>
        </w:rPr>
        <w:t>lo </w:t>
      </w:r>
      <w:r>
        <w:rPr>
          <w:color w:val="231F20"/>
          <w:spacing w:val="2"/>
        </w:rPr>
        <w:t>que implica </w:t>
      </w:r>
      <w:r>
        <w:rPr>
          <w:color w:val="231F20"/>
        </w:rPr>
        <w:t>el </w:t>
      </w:r>
      <w:r>
        <w:rPr>
          <w:color w:val="231F20"/>
          <w:spacing w:val="2"/>
        </w:rPr>
        <w:t>derecho </w:t>
      </w:r>
      <w:r>
        <w:rPr>
          <w:color w:val="231F20"/>
        </w:rPr>
        <w:t>a la </w:t>
      </w:r>
      <w:r>
        <w:rPr>
          <w:color w:val="231F20"/>
          <w:spacing w:val="2"/>
        </w:rPr>
        <w:t>educación </w:t>
      </w:r>
      <w:r>
        <w:rPr>
          <w:color w:val="231F20"/>
        </w:rPr>
        <w:t>o su </w:t>
      </w:r>
      <w:r>
        <w:rPr>
          <w:color w:val="231F20"/>
          <w:spacing w:val="2"/>
        </w:rPr>
        <w:t>gratuidad, nadie </w:t>
      </w:r>
      <w:r>
        <w:rPr>
          <w:color w:val="231F20"/>
          <w:spacing w:val="3"/>
        </w:rPr>
        <w:t>pone </w:t>
      </w:r>
      <w:r>
        <w:rPr>
          <w:color w:val="231F20"/>
          <w:spacing w:val="2"/>
        </w:rPr>
        <w:t>atención </w:t>
      </w:r>
      <w:r>
        <w:rPr>
          <w:color w:val="231F20"/>
        </w:rPr>
        <w:t>a </w:t>
      </w:r>
      <w:r>
        <w:rPr>
          <w:color w:val="231F20"/>
          <w:spacing w:val="3"/>
        </w:rPr>
        <w:t>dónde </w:t>
      </w:r>
      <w:r>
        <w:rPr>
          <w:color w:val="231F20"/>
        </w:rPr>
        <w:t>van a </w:t>
      </w:r>
      <w:r>
        <w:rPr>
          <w:color w:val="231F20"/>
          <w:spacing w:val="2"/>
        </w:rPr>
        <w:t>parar los </w:t>
      </w:r>
      <w:r>
        <w:rPr>
          <w:color w:val="231F20"/>
          <w:spacing w:val="3"/>
        </w:rPr>
        <w:t>impuestos </w:t>
      </w:r>
      <w:r>
        <w:rPr>
          <w:color w:val="231F20"/>
        </w:rPr>
        <w:t>de </w:t>
      </w:r>
      <w:r>
        <w:rPr>
          <w:color w:val="231F20"/>
          <w:spacing w:val="3"/>
        </w:rPr>
        <w:t>todos </w:t>
      </w:r>
      <w:r>
        <w:rPr>
          <w:color w:val="231F20"/>
          <w:spacing w:val="2"/>
        </w:rPr>
        <w:t>los </w:t>
      </w:r>
      <w:r>
        <w:rPr>
          <w:color w:val="231F20"/>
          <w:spacing w:val="3"/>
        </w:rPr>
        <w:t>contribuyentes, </w:t>
      </w:r>
      <w:r>
        <w:rPr>
          <w:color w:val="231F20"/>
        </w:rPr>
        <w:t>es </w:t>
      </w:r>
      <w:r>
        <w:rPr>
          <w:color w:val="231F20"/>
          <w:spacing w:val="2"/>
        </w:rPr>
        <w:t>decir, que </w:t>
      </w:r>
      <w:r>
        <w:rPr>
          <w:color w:val="231F20"/>
          <w:spacing w:val="3"/>
        </w:rPr>
        <w:t>pagamos </w:t>
      </w:r>
      <w:r>
        <w:rPr>
          <w:color w:val="231F20"/>
          <w:spacing w:val="2"/>
        </w:rPr>
        <w:t>los </w:t>
      </w:r>
      <w:r>
        <w:rPr>
          <w:color w:val="231F20"/>
          <w:spacing w:val="3"/>
        </w:rPr>
        <w:t>ciudadanos, </w:t>
      </w:r>
      <w:r>
        <w:rPr>
          <w:color w:val="231F20"/>
        </w:rPr>
        <w:t>que es la </w:t>
      </w:r>
      <w:r>
        <w:rPr>
          <w:color w:val="231F20"/>
          <w:spacing w:val="2"/>
        </w:rPr>
        <w:t>base para financiar una educación </w:t>
      </w:r>
      <w:r>
        <w:rPr>
          <w:color w:val="231F20"/>
        </w:rPr>
        <w:t>en </w:t>
      </w:r>
      <w:r>
        <w:rPr>
          <w:color w:val="231F20"/>
          <w:spacing w:val="2"/>
        </w:rPr>
        <w:t>igualdad.</w:t>
      </w:r>
    </w:p>
    <w:p>
      <w:pPr>
        <w:pStyle w:val="BodyText"/>
        <w:spacing w:line="249" w:lineRule="auto"/>
        <w:ind w:left="109" w:right="111" w:firstLine="284"/>
        <w:jc w:val="both"/>
      </w:pPr>
      <w:r>
        <w:rPr>
          <w:color w:val="231F20"/>
        </w:rPr>
        <w:t>En </w:t>
      </w:r>
      <w:r>
        <w:rPr>
          <w:color w:val="231F20"/>
          <w:spacing w:val="2"/>
        </w:rPr>
        <w:t>estos ámbitos educativos parecería </w:t>
      </w:r>
      <w:r>
        <w:rPr>
          <w:color w:val="231F20"/>
        </w:rPr>
        <w:t>que se </w:t>
      </w:r>
      <w:r>
        <w:rPr>
          <w:color w:val="231F20"/>
          <w:spacing w:val="2"/>
        </w:rPr>
        <w:t>han  creado  nuevas </w:t>
      </w:r>
      <w:r>
        <w:rPr>
          <w:color w:val="231F20"/>
          <w:spacing w:val="3"/>
        </w:rPr>
        <w:t>manifestaciones </w:t>
      </w:r>
      <w:r>
        <w:rPr>
          <w:color w:val="231F20"/>
        </w:rPr>
        <w:t>de </w:t>
      </w:r>
      <w:r>
        <w:rPr>
          <w:color w:val="231F20"/>
          <w:spacing w:val="2"/>
        </w:rPr>
        <w:t>violencia personal, </w:t>
      </w:r>
      <w:r>
        <w:rPr>
          <w:color w:val="231F20"/>
        </w:rPr>
        <w:t>lo </w:t>
      </w:r>
      <w:r>
        <w:rPr>
          <w:color w:val="231F20"/>
          <w:spacing w:val="2"/>
        </w:rPr>
        <w:t>cual </w:t>
      </w:r>
      <w:r>
        <w:rPr>
          <w:color w:val="231F20"/>
        </w:rPr>
        <w:t>se </w:t>
      </w:r>
      <w:r>
        <w:rPr>
          <w:color w:val="231F20"/>
          <w:spacing w:val="2"/>
        </w:rPr>
        <w:t>destaca con</w:t>
      </w:r>
      <w:r>
        <w:rPr>
          <w:color w:val="231F20"/>
          <w:spacing w:val="-4"/>
        </w:rPr>
        <w:t> </w:t>
      </w:r>
      <w:r>
        <w:rPr>
          <w:color w:val="231F20"/>
        </w:rPr>
        <w:t>el</w:t>
      </w:r>
      <w:r>
        <w:rPr>
          <w:color w:val="231F20"/>
          <w:spacing w:val="-5"/>
        </w:rPr>
        <w:t> </w:t>
      </w:r>
      <w:r>
        <w:rPr>
          <w:color w:val="231F20"/>
          <w:spacing w:val="2"/>
        </w:rPr>
        <w:t>uso</w:t>
      </w:r>
      <w:r>
        <w:rPr>
          <w:color w:val="231F20"/>
          <w:spacing w:val="-4"/>
        </w:rPr>
        <w:t> </w:t>
      </w:r>
      <w:r>
        <w:rPr>
          <w:color w:val="231F20"/>
        </w:rPr>
        <w:t>de</w:t>
      </w:r>
      <w:r>
        <w:rPr>
          <w:color w:val="231F20"/>
          <w:spacing w:val="-4"/>
        </w:rPr>
        <w:t> </w:t>
      </w:r>
      <w:r>
        <w:rPr>
          <w:color w:val="231F20"/>
          <w:spacing w:val="3"/>
        </w:rPr>
        <w:t>términos</w:t>
      </w:r>
      <w:r>
        <w:rPr>
          <w:color w:val="231F20"/>
          <w:spacing w:val="-4"/>
        </w:rPr>
        <w:t> </w:t>
      </w:r>
      <w:r>
        <w:rPr>
          <w:color w:val="231F20"/>
          <w:spacing w:val="3"/>
        </w:rPr>
        <w:t>como</w:t>
      </w:r>
      <w:r>
        <w:rPr>
          <w:color w:val="231F20"/>
          <w:spacing w:val="-4"/>
        </w:rPr>
        <w:t> </w:t>
      </w:r>
      <w:r>
        <w:rPr>
          <w:color w:val="231F20"/>
        </w:rPr>
        <w:t>el</w:t>
      </w:r>
      <w:r>
        <w:rPr>
          <w:color w:val="231F20"/>
          <w:spacing w:val="-5"/>
        </w:rPr>
        <w:t> </w:t>
      </w:r>
      <w:r>
        <w:rPr>
          <w:i/>
          <w:color w:val="231F20"/>
          <w:spacing w:val="2"/>
        </w:rPr>
        <w:t>bullying</w:t>
      </w:r>
      <w:r>
        <w:rPr>
          <w:i/>
          <w:color w:val="231F20"/>
          <w:spacing w:val="-4"/>
        </w:rPr>
        <w:t> </w:t>
      </w:r>
      <w:r>
        <w:rPr>
          <w:color w:val="231F20"/>
        </w:rPr>
        <w:t>y</w:t>
      </w:r>
      <w:r>
        <w:rPr>
          <w:color w:val="231F20"/>
          <w:spacing w:val="-4"/>
        </w:rPr>
        <w:t> </w:t>
      </w:r>
      <w:r>
        <w:rPr>
          <w:color w:val="231F20"/>
        </w:rPr>
        <w:t>el</w:t>
      </w:r>
      <w:r>
        <w:rPr>
          <w:color w:val="231F20"/>
          <w:spacing w:val="-5"/>
        </w:rPr>
        <w:t> </w:t>
      </w:r>
      <w:r>
        <w:rPr>
          <w:i/>
          <w:color w:val="231F20"/>
          <w:spacing w:val="2"/>
        </w:rPr>
        <w:t>mobbing</w:t>
      </w:r>
      <w:r>
        <w:rPr>
          <w:i/>
          <w:color w:val="231F20"/>
          <w:spacing w:val="-4"/>
        </w:rPr>
        <w:t> </w:t>
      </w:r>
      <w:r>
        <w:rPr>
          <w:color w:val="231F20"/>
        </w:rPr>
        <w:t>o,</w:t>
      </w:r>
      <w:r>
        <w:rPr>
          <w:color w:val="231F20"/>
          <w:spacing w:val="-5"/>
        </w:rPr>
        <w:t> </w:t>
      </w:r>
      <w:r>
        <w:rPr>
          <w:color w:val="231F20"/>
          <w:spacing w:val="3"/>
        </w:rPr>
        <w:t>como</w:t>
      </w:r>
      <w:r>
        <w:rPr>
          <w:color w:val="231F20"/>
          <w:spacing w:val="-4"/>
        </w:rPr>
        <w:t> </w:t>
      </w:r>
      <w:r>
        <w:rPr>
          <w:color w:val="231F20"/>
        </w:rPr>
        <w:t>en</w:t>
      </w:r>
      <w:r>
        <w:rPr>
          <w:color w:val="231F20"/>
          <w:spacing w:val="-4"/>
        </w:rPr>
        <w:t> </w:t>
      </w:r>
      <w:r>
        <w:rPr>
          <w:color w:val="231F20"/>
          <w:spacing w:val="3"/>
        </w:rPr>
        <w:t>los </w:t>
      </w:r>
      <w:r>
        <w:rPr>
          <w:color w:val="231F20"/>
          <w:spacing w:val="2"/>
        </w:rPr>
        <w:t>universitarios, </w:t>
      </w:r>
      <w:r>
        <w:rPr>
          <w:color w:val="231F20"/>
        </w:rPr>
        <w:t>en </w:t>
      </w:r>
      <w:r>
        <w:rPr>
          <w:color w:val="231F20"/>
          <w:spacing w:val="2"/>
        </w:rPr>
        <w:t>los cuales existe </w:t>
      </w:r>
      <w:r>
        <w:rPr>
          <w:color w:val="231F20"/>
        </w:rPr>
        <w:t>un </w:t>
      </w:r>
      <w:r>
        <w:rPr>
          <w:color w:val="231F20"/>
          <w:spacing w:val="2"/>
        </w:rPr>
        <w:t>malestar, </w:t>
      </w:r>
      <w:r>
        <w:rPr>
          <w:color w:val="231F20"/>
        </w:rPr>
        <w:t>que no se </w:t>
      </w:r>
      <w:r>
        <w:rPr>
          <w:color w:val="231F20"/>
          <w:spacing w:val="2"/>
        </w:rPr>
        <w:t>palia con estímulos </w:t>
      </w:r>
      <w:r>
        <w:rPr>
          <w:color w:val="231F20"/>
        </w:rPr>
        <w:t>o </w:t>
      </w:r>
      <w:r>
        <w:rPr>
          <w:color w:val="231F20"/>
          <w:spacing w:val="2"/>
        </w:rPr>
        <w:t>clientelismos, que generan </w:t>
      </w:r>
      <w:r>
        <w:rPr>
          <w:color w:val="231F20"/>
        </w:rPr>
        <w:t>un </w:t>
      </w:r>
      <w:r>
        <w:rPr>
          <w:color w:val="231F20"/>
          <w:spacing w:val="2"/>
        </w:rPr>
        <w:t>tipo </w:t>
      </w:r>
      <w:r>
        <w:rPr>
          <w:color w:val="231F20"/>
        </w:rPr>
        <w:t>de </w:t>
      </w:r>
      <w:r>
        <w:rPr>
          <w:color w:val="231F20"/>
          <w:spacing w:val="2"/>
        </w:rPr>
        <w:t>violencia particular soterrada, pues mediante toda </w:t>
      </w:r>
      <w:r>
        <w:rPr>
          <w:color w:val="231F20"/>
        </w:rPr>
        <w:t>la </w:t>
      </w:r>
      <w:r>
        <w:rPr>
          <w:color w:val="231F20"/>
          <w:spacing w:val="2"/>
        </w:rPr>
        <w:t>intervención </w:t>
      </w:r>
      <w:r>
        <w:rPr>
          <w:color w:val="231F20"/>
        </w:rPr>
        <w:t>de </w:t>
      </w:r>
      <w:r>
        <w:rPr>
          <w:color w:val="231F20"/>
          <w:spacing w:val="2"/>
        </w:rPr>
        <w:t>las políticas públicas </w:t>
      </w:r>
      <w:r>
        <w:rPr>
          <w:color w:val="231F20"/>
        </w:rPr>
        <w:t>y </w:t>
      </w:r>
      <w:r>
        <w:rPr>
          <w:color w:val="231F20"/>
          <w:spacing w:val="2"/>
        </w:rPr>
        <w:t>todo </w:t>
      </w:r>
      <w:r>
        <w:rPr>
          <w:color w:val="231F20"/>
        </w:rPr>
        <w:t>el </w:t>
      </w:r>
      <w:r>
        <w:rPr>
          <w:color w:val="231F20"/>
          <w:spacing w:val="3"/>
        </w:rPr>
        <w:t>intervencionismo </w:t>
      </w:r>
      <w:r>
        <w:rPr>
          <w:color w:val="231F20"/>
        </w:rPr>
        <w:t>del </w:t>
      </w:r>
      <w:r>
        <w:rPr>
          <w:color w:val="231F20"/>
          <w:spacing w:val="2"/>
        </w:rPr>
        <w:t>Estado, </w:t>
      </w:r>
      <w:r>
        <w:rPr>
          <w:color w:val="231F20"/>
        </w:rPr>
        <w:t>se </w:t>
      </w:r>
      <w:r>
        <w:rPr>
          <w:color w:val="231F20"/>
          <w:spacing w:val="2"/>
        </w:rPr>
        <w:t>han</w:t>
      </w:r>
      <w:r>
        <w:rPr>
          <w:color w:val="231F20"/>
          <w:spacing w:val="56"/>
        </w:rPr>
        <w:t> </w:t>
      </w:r>
      <w:r>
        <w:rPr>
          <w:color w:val="231F20"/>
          <w:spacing w:val="3"/>
        </w:rPr>
        <w:t>provocado  enormes  </w:t>
      </w:r>
      <w:r>
        <w:rPr>
          <w:color w:val="231F20"/>
          <w:spacing w:val="2"/>
        </w:rPr>
        <w:t>tensiones  entre  </w:t>
      </w:r>
      <w:r>
        <w:rPr>
          <w:color w:val="231F20"/>
        </w:rPr>
        <w:t>las  </w:t>
      </w:r>
      <w:r>
        <w:rPr>
          <w:color w:val="231F20"/>
          <w:spacing w:val="3"/>
        </w:rPr>
        <w:t>comunidades</w:t>
      </w:r>
      <w:r>
        <w:rPr>
          <w:color w:val="231F20"/>
          <w:spacing w:val="-21"/>
        </w:rPr>
        <w:t> </w:t>
      </w:r>
      <w:r>
        <w:rPr>
          <w:color w:val="231F20"/>
          <w:spacing w:val="2"/>
        </w:rPr>
        <w:t>académicas</w:t>
      </w:r>
    </w:p>
    <w:p>
      <w:pPr>
        <w:spacing w:after="0" w:line="249" w:lineRule="auto"/>
        <w:jc w:val="both"/>
        <w:sectPr>
          <w:headerReference w:type="default" r:id="rId40"/>
          <w:footerReference w:type="default" r:id="rId41"/>
          <w:pgSz w:w="7830" w:h="11910"/>
          <w:pgMar w:header="0" w:footer="424" w:top="500" w:bottom="620" w:left="740" w:right="1020"/>
          <w:pgNumType w:start="14"/>
        </w:sectPr>
      </w:pPr>
    </w:p>
    <w:p>
      <w:pPr>
        <w:spacing w:before="46"/>
        <w:ind w:left="1502" w:right="148"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line="249" w:lineRule="auto" w:before="108"/>
        <w:ind w:left="112" w:right="109"/>
        <w:jc w:val="both"/>
      </w:pPr>
      <w:r>
        <w:rPr>
          <w:color w:val="231F20"/>
        </w:rPr>
        <w:t>las </w:t>
      </w:r>
      <w:r>
        <w:rPr>
          <w:color w:val="231F20"/>
          <w:spacing w:val="2"/>
        </w:rPr>
        <w:t>cuales tienen que </w:t>
      </w:r>
      <w:r>
        <w:rPr>
          <w:color w:val="231F20"/>
        </w:rPr>
        <w:t>ver </w:t>
      </w:r>
      <w:r>
        <w:rPr>
          <w:color w:val="231F20"/>
          <w:spacing w:val="2"/>
        </w:rPr>
        <w:t>con </w:t>
      </w:r>
      <w:r>
        <w:rPr>
          <w:color w:val="231F20"/>
        </w:rPr>
        <w:t>la </w:t>
      </w:r>
      <w:r>
        <w:rPr>
          <w:color w:val="231F20"/>
          <w:spacing w:val="2"/>
        </w:rPr>
        <w:t>defensa </w:t>
      </w:r>
      <w:r>
        <w:rPr>
          <w:color w:val="231F20"/>
        </w:rPr>
        <w:t>de </w:t>
      </w:r>
      <w:r>
        <w:rPr>
          <w:color w:val="231F20"/>
          <w:spacing w:val="2"/>
        </w:rPr>
        <w:t>los principios  </w:t>
      </w:r>
      <w:r>
        <w:rPr>
          <w:color w:val="231F20"/>
        </w:rPr>
        <w:t>de  </w:t>
      </w:r>
      <w:r>
        <w:rPr>
          <w:color w:val="231F20"/>
          <w:spacing w:val="2"/>
        </w:rPr>
        <w:t>libertad </w:t>
      </w:r>
      <w:r>
        <w:rPr>
          <w:color w:val="231F20"/>
        </w:rPr>
        <w:t>y </w:t>
      </w:r>
      <w:r>
        <w:rPr>
          <w:color w:val="231F20"/>
          <w:spacing w:val="3"/>
        </w:rPr>
        <w:t>autonomía </w:t>
      </w:r>
      <w:r>
        <w:rPr>
          <w:color w:val="231F20"/>
        </w:rPr>
        <w:t>de </w:t>
      </w:r>
      <w:r>
        <w:rPr>
          <w:color w:val="231F20"/>
          <w:spacing w:val="2"/>
        </w:rPr>
        <w:t>cátedra </w:t>
      </w:r>
      <w:r>
        <w:rPr>
          <w:color w:val="231F20"/>
        </w:rPr>
        <w:t>o de </w:t>
      </w:r>
      <w:r>
        <w:rPr>
          <w:color w:val="231F20"/>
          <w:spacing w:val="2"/>
        </w:rPr>
        <w:t>investigación </w:t>
      </w:r>
      <w:r>
        <w:rPr>
          <w:color w:val="231F20"/>
        </w:rPr>
        <w:t>en la  </w:t>
      </w:r>
      <w:r>
        <w:rPr>
          <w:color w:val="231F20"/>
          <w:spacing w:val="2"/>
        </w:rPr>
        <w:t>universidad. </w:t>
      </w:r>
      <w:r>
        <w:rPr>
          <w:color w:val="231F20"/>
        </w:rPr>
        <w:t>En </w:t>
      </w:r>
      <w:r>
        <w:rPr>
          <w:color w:val="231F20"/>
          <w:spacing w:val="2"/>
        </w:rPr>
        <w:t>algunos casos estas voces han </w:t>
      </w:r>
      <w:r>
        <w:rPr>
          <w:color w:val="231F20"/>
          <w:spacing w:val="3"/>
        </w:rPr>
        <w:t>conformado </w:t>
      </w:r>
      <w:r>
        <w:rPr>
          <w:color w:val="231F20"/>
          <w:spacing w:val="2"/>
        </w:rPr>
        <w:t>críticas  </w:t>
      </w:r>
      <w:r>
        <w:rPr>
          <w:color w:val="231F20"/>
        </w:rPr>
        <w:t>a </w:t>
      </w:r>
      <w:r>
        <w:rPr>
          <w:color w:val="231F20"/>
          <w:spacing w:val="2"/>
        </w:rPr>
        <w:t>diversos </w:t>
      </w:r>
      <w:r>
        <w:rPr>
          <w:color w:val="231F20"/>
          <w:spacing w:val="3"/>
        </w:rPr>
        <w:t>programas impuestos, </w:t>
      </w:r>
      <w:r>
        <w:rPr>
          <w:color w:val="231F20"/>
          <w:spacing w:val="2"/>
        </w:rPr>
        <w:t>dado </w:t>
      </w:r>
      <w:r>
        <w:rPr>
          <w:color w:val="231F20"/>
        </w:rPr>
        <w:t>que se </w:t>
      </w:r>
      <w:r>
        <w:rPr>
          <w:color w:val="231F20"/>
          <w:spacing w:val="2"/>
        </w:rPr>
        <w:t>establecen </w:t>
      </w:r>
      <w:r>
        <w:rPr>
          <w:color w:val="231F20"/>
        </w:rPr>
        <w:t>sin </w:t>
      </w:r>
      <w:r>
        <w:rPr>
          <w:color w:val="231F20"/>
          <w:spacing w:val="2"/>
        </w:rPr>
        <w:t>reflexionar </w:t>
      </w:r>
      <w:r>
        <w:rPr>
          <w:color w:val="231F20"/>
        </w:rPr>
        <w:t>en </w:t>
      </w:r>
      <w:r>
        <w:rPr>
          <w:color w:val="231F20"/>
          <w:spacing w:val="2"/>
        </w:rPr>
        <w:t>los costos sociales </w:t>
      </w:r>
      <w:r>
        <w:rPr>
          <w:color w:val="231F20"/>
        </w:rPr>
        <w:t>que </w:t>
      </w:r>
      <w:r>
        <w:rPr>
          <w:color w:val="231F20"/>
          <w:spacing w:val="3"/>
        </w:rPr>
        <w:t>engendran </w:t>
      </w:r>
      <w:r>
        <w:rPr>
          <w:color w:val="231F20"/>
          <w:spacing w:val="2"/>
        </w:rPr>
        <w:t>para </w:t>
      </w:r>
      <w:r>
        <w:rPr>
          <w:color w:val="231F20"/>
        </w:rPr>
        <w:t>el </w:t>
      </w:r>
      <w:r>
        <w:rPr>
          <w:color w:val="231F20"/>
          <w:spacing w:val="2"/>
        </w:rPr>
        <w:t>trabajo académico </w:t>
      </w:r>
      <w:r>
        <w:rPr>
          <w:color w:val="231F20"/>
        </w:rPr>
        <w:t>y</w:t>
      </w:r>
      <w:r>
        <w:rPr>
          <w:color w:val="231F20"/>
          <w:spacing w:val="-32"/>
        </w:rPr>
        <w:t> </w:t>
      </w:r>
      <w:r>
        <w:rPr>
          <w:color w:val="231F20"/>
          <w:spacing w:val="2"/>
        </w:rPr>
        <w:t>científico.</w:t>
      </w:r>
    </w:p>
    <w:p>
      <w:pPr>
        <w:pStyle w:val="BodyText"/>
        <w:spacing w:line="249" w:lineRule="auto"/>
        <w:ind w:left="111" w:right="108" w:firstLine="285"/>
        <w:jc w:val="both"/>
      </w:pPr>
      <w:r>
        <w:rPr>
          <w:color w:val="231F20"/>
          <w:spacing w:val="3"/>
        </w:rPr>
        <w:t>Precisamente, </w:t>
      </w:r>
      <w:r>
        <w:rPr>
          <w:color w:val="231F20"/>
        </w:rPr>
        <w:t>de </w:t>
      </w:r>
      <w:r>
        <w:rPr>
          <w:color w:val="231F20"/>
          <w:spacing w:val="2"/>
        </w:rPr>
        <w:t>esas </w:t>
      </w:r>
      <w:r>
        <w:rPr>
          <w:color w:val="231F20"/>
          <w:spacing w:val="3"/>
        </w:rPr>
        <w:t>formas </w:t>
      </w:r>
      <w:r>
        <w:rPr>
          <w:color w:val="231F20"/>
        </w:rPr>
        <w:t>de </w:t>
      </w:r>
      <w:r>
        <w:rPr>
          <w:color w:val="231F20"/>
          <w:spacing w:val="2"/>
        </w:rPr>
        <w:t>violencia </w:t>
      </w:r>
      <w:r>
        <w:rPr>
          <w:color w:val="231F20"/>
        </w:rPr>
        <w:t>se </w:t>
      </w:r>
      <w:r>
        <w:rPr>
          <w:color w:val="231F20"/>
          <w:spacing w:val="2"/>
        </w:rPr>
        <w:t>quiere </w:t>
      </w:r>
      <w:r>
        <w:rPr>
          <w:color w:val="231F20"/>
        </w:rPr>
        <w:t>dar </w:t>
      </w:r>
      <w:r>
        <w:rPr>
          <w:color w:val="231F20"/>
          <w:spacing w:val="2"/>
        </w:rPr>
        <w:t>cuenta </w:t>
      </w:r>
      <w:r>
        <w:rPr>
          <w:color w:val="231F20"/>
        </w:rPr>
        <w:t>en el </w:t>
      </w:r>
      <w:r>
        <w:rPr>
          <w:color w:val="231F20"/>
          <w:spacing w:val="2"/>
        </w:rPr>
        <w:t>proyecto </w:t>
      </w:r>
      <w:r>
        <w:rPr>
          <w:color w:val="231F20"/>
        </w:rPr>
        <w:t>de </w:t>
      </w:r>
      <w:r>
        <w:rPr>
          <w:color w:val="231F20"/>
          <w:spacing w:val="2"/>
        </w:rPr>
        <w:t>investigación generado </w:t>
      </w:r>
      <w:r>
        <w:rPr>
          <w:color w:val="231F20"/>
        </w:rPr>
        <w:t>en la </w:t>
      </w:r>
      <w:r>
        <w:rPr>
          <w:color w:val="231F20"/>
          <w:spacing w:val="2"/>
        </w:rPr>
        <w:t>Universidad </w:t>
      </w:r>
      <w:r>
        <w:rPr>
          <w:color w:val="231F20"/>
          <w:spacing w:val="3"/>
        </w:rPr>
        <w:t>Autó- noma </w:t>
      </w:r>
      <w:r>
        <w:rPr>
          <w:color w:val="231F20"/>
        </w:rPr>
        <w:t>del </w:t>
      </w:r>
      <w:r>
        <w:rPr>
          <w:color w:val="231F20"/>
          <w:spacing w:val="2"/>
        </w:rPr>
        <w:t>Estado </w:t>
      </w:r>
      <w:r>
        <w:rPr>
          <w:color w:val="231F20"/>
        </w:rPr>
        <w:t>de </w:t>
      </w:r>
      <w:r>
        <w:rPr>
          <w:color w:val="231F20"/>
          <w:spacing w:val="2"/>
        </w:rPr>
        <w:t>México </w:t>
      </w:r>
      <w:r>
        <w:rPr>
          <w:color w:val="231F20"/>
          <w:spacing w:val="3"/>
        </w:rPr>
        <w:t>(UAEMex), </w:t>
      </w:r>
      <w:r>
        <w:rPr>
          <w:color w:val="231F20"/>
          <w:spacing w:val="2"/>
        </w:rPr>
        <w:t>desarrollado por </w:t>
      </w:r>
      <w:r>
        <w:rPr>
          <w:color w:val="231F20"/>
        </w:rPr>
        <w:t>la </w:t>
      </w:r>
      <w:r>
        <w:rPr>
          <w:color w:val="231F20"/>
          <w:spacing w:val="2"/>
        </w:rPr>
        <w:t>RED  </w:t>
      </w:r>
      <w:r>
        <w:rPr>
          <w:color w:val="231F20"/>
        </w:rPr>
        <w:t>de </w:t>
      </w:r>
      <w:r>
        <w:rPr>
          <w:color w:val="231F20"/>
          <w:spacing w:val="3"/>
        </w:rPr>
        <w:t>Cuerpos Académicos </w:t>
      </w:r>
      <w:r>
        <w:rPr>
          <w:color w:val="231F20"/>
        </w:rPr>
        <w:t>en </w:t>
      </w:r>
      <w:r>
        <w:rPr>
          <w:color w:val="231F20"/>
          <w:spacing w:val="2"/>
        </w:rPr>
        <w:t>Política, </w:t>
      </w:r>
      <w:r>
        <w:rPr>
          <w:color w:val="231F20"/>
          <w:spacing w:val="3"/>
        </w:rPr>
        <w:t>Educación </w:t>
      </w:r>
      <w:r>
        <w:rPr>
          <w:color w:val="231F20"/>
        </w:rPr>
        <w:t>y </w:t>
      </w:r>
      <w:r>
        <w:rPr>
          <w:color w:val="231F20"/>
          <w:spacing w:val="2"/>
        </w:rPr>
        <w:t>Universidad que inició </w:t>
      </w:r>
      <w:r>
        <w:rPr>
          <w:color w:val="231F20"/>
        </w:rPr>
        <w:t>en el </w:t>
      </w:r>
      <w:r>
        <w:rPr>
          <w:color w:val="231F20"/>
          <w:spacing w:val="2"/>
        </w:rPr>
        <w:t>2010 </w:t>
      </w:r>
      <w:r>
        <w:rPr>
          <w:color w:val="231F20"/>
        </w:rPr>
        <w:t>y </w:t>
      </w:r>
      <w:r>
        <w:rPr>
          <w:color w:val="231F20"/>
          <w:spacing w:val="2"/>
        </w:rPr>
        <w:t>concluyó </w:t>
      </w:r>
      <w:r>
        <w:rPr>
          <w:color w:val="231F20"/>
        </w:rPr>
        <w:t>en el </w:t>
      </w:r>
      <w:r>
        <w:rPr>
          <w:color w:val="231F20"/>
          <w:spacing w:val="2"/>
        </w:rPr>
        <w:t>2011, </w:t>
      </w:r>
      <w:r>
        <w:rPr>
          <w:color w:val="231F20"/>
        </w:rPr>
        <w:t>a </w:t>
      </w:r>
      <w:r>
        <w:rPr>
          <w:color w:val="231F20"/>
          <w:spacing w:val="2"/>
        </w:rPr>
        <w:t>iniciativa del </w:t>
      </w:r>
      <w:r>
        <w:rPr>
          <w:color w:val="231F20"/>
          <w:spacing w:val="3"/>
        </w:rPr>
        <w:t>Cuerpo </w:t>
      </w:r>
      <w:r>
        <w:rPr>
          <w:color w:val="231F20"/>
          <w:spacing w:val="2"/>
        </w:rPr>
        <w:t>Académico </w:t>
      </w:r>
      <w:r>
        <w:rPr>
          <w:color w:val="231F20"/>
        </w:rPr>
        <w:t>en </w:t>
      </w:r>
      <w:r>
        <w:rPr>
          <w:color w:val="231F20"/>
          <w:spacing w:val="2"/>
        </w:rPr>
        <w:t>Consolidación </w:t>
      </w:r>
      <w:r>
        <w:rPr>
          <w:color w:val="231F20"/>
        </w:rPr>
        <w:t>de </w:t>
      </w:r>
      <w:r>
        <w:rPr>
          <w:color w:val="231F20"/>
          <w:spacing w:val="2"/>
        </w:rPr>
        <w:t>Educación </w:t>
      </w:r>
      <w:r>
        <w:rPr>
          <w:color w:val="231F20"/>
        </w:rPr>
        <w:t>y </w:t>
      </w:r>
      <w:r>
        <w:rPr>
          <w:color w:val="231F20"/>
          <w:spacing w:val="2"/>
        </w:rPr>
        <w:t>Políticas </w:t>
      </w:r>
      <w:r>
        <w:rPr>
          <w:color w:val="231F20"/>
          <w:spacing w:val="3"/>
        </w:rPr>
        <w:t>Educativas </w:t>
      </w:r>
      <w:r>
        <w:rPr>
          <w:color w:val="231F20"/>
        </w:rPr>
        <w:t>de la </w:t>
      </w:r>
      <w:r>
        <w:rPr>
          <w:color w:val="231F20"/>
          <w:spacing w:val="2"/>
        </w:rPr>
        <w:t>Facultad </w:t>
      </w:r>
      <w:r>
        <w:rPr>
          <w:color w:val="231F20"/>
        </w:rPr>
        <w:t>de </w:t>
      </w:r>
      <w:r>
        <w:rPr>
          <w:color w:val="231F20"/>
          <w:spacing w:val="2"/>
        </w:rPr>
        <w:t>Ciencias </w:t>
      </w:r>
      <w:r>
        <w:rPr>
          <w:color w:val="231F20"/>
        </w:rPr>
        <w:t>de la </w:t>
      </w:r>
      <w:r>
        <w:rPr>
          <w:color w:val="231F20"/>
          <w:spacing w:val="3"/>
        </w:rPr>
        <w:t>Conducta </w:t>
      </w:r>
      <w:r>
        <w:rPr>
          <w:color w:val="231F20"/>
        </w:rPr>
        <w:t>de la </w:t>
      </w:r>
      <w:r>
        <w:rPr>
          <w:color w:val="231F20"/>
          <w:spacing w:val="3"/>
        </w:rPr>
        <w:t>UAEMex. </w:t>
      </w:r>
      <w:r>
        <w:rPr>
          <w:color w:val="231F20"/>
        </w:rPr>
        <w:t>En </w:t>
      </w:r>
      <w:r>
        <w:rPr>
          <w:color w:val="231F20"/>
          <w:spacing w:val="2"/>
        </w:rPr>
        <w:t>este proyecto participaron, tanto </w:t>
      </w:r>
      <w:r>
        <w:rPr>
          <w:color w:val="231F20"/>
        </w:rPr>
        <w:t>en el </w:t>
      </w:r>
      <w:r>
        <w:rPr>
          <w:color w:val="231F20"/>
          <w:spacing w:val="2"/>
        </w:rPr>
        <w:t>diálogo </w:t>
      </w:r>
      <w:r>
        <w:rPr>
          <w:color w:val="231F20"/>
          <w:spacing w:val="3"/>
        </w:rPr>
        <w:t>como </w:t>
      </w:r>
      <w:r>
        <w:rPr>
          <w:color w:val="231F20"/>
        </w:rPr>
        <w:t>en </w:t>
      </w:r>
      <w:r>
        <w:rPr>
          <w:color w:val="231F20"/>
          <w:spacing w:val="2"/>
        </w:rPr>
        <w:t>los seminarios, diversas instituciones </w:t>
      </w:r>
      <w:r>
        <w:rPr>
          <w:color w:val="231F20"/>
        </w:rPr>
        <w:t>de </w:t>
      </w:r>
      <w:r>
        <w:rPr>
          <w:color w:val="231F20"/>
          <w:spacing w:val="2"/>
        </w:rPr>
        <w:t>educación superior: </w:t>
      </w:r>
      <w:r>
        <w:rPr>
          <w:color w:val="231F20"/>
        </w:rPr>
        <w:t>la </w:t>
      </w:r>
      <w:r>
        <w:rPr>
          <w:color w:val="231F20"/>
          <w:spacing w:val="2"/>
        </w:rPr>
        <w:t>Universidad </w:t>
      </w:r>
      <w:r>
        <w:rPr>
          <w:color w:val="231F20"/>
          <w:spacing w:val="3"/>
        </w:rPr>
        <w:t>Autó- noma </w:t>
      </w:r>
      <w:r>
        <w:rPr>
          <w:color w:val="231F20"/>
        </w:rPr>
        <w:t>del </w:t>
      </w:r>
      <w:r>
        <w:rPr>
          <w:color w:val="231F20"/>
          <w:spacing w:val="2"/>
        </w:rPr>
        <w:t>Estado </w:t>
      </w:r>
      <w:r>
        <w:rPr>
          <w:color w:val="231F20"/>
        </w:rPr>
        <w:t>de </w:t>
      </w:r>
      <w:r>
        <w:rPr>
          <w:color w:val="231F20"/>
          <w:spacing w:val="3"/>
        </w:rPr>
        <w:t>Morelos, </w:t>
      </w:r>
      <w:r>
        <w:rPr>
          <w:color w:val="231F20"/>
        </w:rPr>
        <w:t>la </w:t>
      </w:r>
      <w:r>
        <w:rPr>
          <w:color w:val="231F20"/>
          <w:spacing w:val="2"/>
        </w:rPr>
        <w:t>Universidad </w:t>
      </w:r>
      <w:r>
        <w:rPr>
          <w:color w:val="231F20"/>
          <w:spacing w:val="3"/>
        </w:rPr>
        <w:t>Autónoma </w:t>
      </w:r>
      <w:r>
        <w:rPr>
          <w:color w:val="231F20"/>
        </w:rPr>
        <w:t>de </w:t>
      </w:r>
      <w:r>
        <w:rPr>
          <w:color w:val="231F20"/>
          <w:spacing w:val="2"/>
        </w:rPr>
        <w:t>Queré- taro; </w:t>
      </w:r>
      <w:r>
        <w:rPr>
          <w:color w:val="231F20"/>
        </w:rPr>
        <w:t>la </w:t>
      </w:r>
      <w:r>
        <w:rPr>
          <w:color w:val="231F20"/>
          <w:spacing w:val="2"/>
        </w:rPr>
        <w:t>Universidad </w:t>
      </w:r>
      <w:r>
        <w:rPr>
          <w:color w:val="231F20"/>
          <w:spacing w:val="3"/>
        </w:rPr>
        <w:t>Autónoma </w:t>
      </w:r>
      <w:r>
        <w:rPr>
          <w:color w:val="231F20"/>
        </w:rPr>
        <w:t>de </w:t>
      </w:r>
      <w:r>
        <w:rPr>
          <w:color w:val="231F20"/>
          <w:spacing w:val="2"/>
        </w:rPr>
        <w:t>Nayarit, </w:t>
      </w:r>
      <w:r>
        <w:rPr>
          <w:color w:val="231F20"/>
        </w:rPr>
        <w:t>la </w:t>
      </w:r>
      <w:r>
        <w:rPr>
          <w:color w:val="231F20"/>
          <w:spacing w:val="3"/>
        </w:rPr>
        <w:t>Universidad Autó- noma </w:t>
      </w:r>
      <w:r>
        <w:rPr>
          <w:color w:val="231F20"/>
        </w:rPr>
        <w:t>de </w:t>
      </w:r>
      <w:r>
        <w:rPr>
          <w:color w:val="231F20"/>
          <w:spacing w:val="2"/>
        </w:rPr>
        <w:t>Zacatecas, </w:t>
      </w:r>
      <w:r>
        <w:rPr>
          <w:color w:val="231F20"/>
        </w:rPr>
        <w:t>la </w:t>
      </w:r>
      <w:r>
        <w:rPr>
          <w:color w:val="231F20"/>
          <w:spacing w:val="2"/>
        </w:rPr>
        <w:t>Universidad </w:t>
      </w:r>
      <w:r>
        <w:rPr>
          <w:color w:val="231F20"/>
        </w:rPr>
        <w:t>de </w:t>
      </w:r>
      <w:r>
        <w:rPr>
          <w:color w:val="231F20"/>
          <w:spacing w:val="3"/>
        </w:rPr>
        <w:t>Quintana Roo, </w:t>
      </w:r>
      <w:r>
        <w:rPr>
          <w:color w:val="231F20"/>
        </w:rPr>
        <w:t>la </w:t>
      </w:r>
      <w:r>
        <w:rPr>
          <w:color w:val="231F20"/>
          <w:spacing w:val="2"/>
        </w:rPr>
        <w:t>Universi- dad </w:t>
      </w:r>
      <w:r>
        <w:rPr>
          <w:color w:val="231F20"/>
          <w:spacing w:val="3"/>
        </w:rPr>
        <w:t>Autónoma </w:t>
      </w:r>
      <w:r>
        <w:rPr>
          <w:color w:val="231F20"/>
          <w:spacing w:val="2"/>
        </w:rPr>
        <w:t>“Benito Juárez” </w:t>
      </w:r>
      <w:r>
        <w:rPr>
          <w:color w:val="231F20"/>
        </w:rPr>
        <w:t>de </w:t>
      </w:r>
      <w:r>
        <w:rPr>
          <w:color w:val="231F20"/>
          <w:spacing w:val="2"/>
        </w:rPr>
        <w:t>Oaxaca </w:t>
      </w:r>
      <w:r>
        <w:rPr>
          <w:color w:val="231F20"/>
        </w:rPr>
        <w:t>y la </w:t>
      </w:r>
      <w:r>
        <w:rPr>
          <w:color w:val="231F20"/>
          <w:spacing w:val="3"/>
        </w:rPr>
        <w:t>Universidad Autó- noma </w:t>
      </w:r>
      <w:r>
        <w:rPr>
          <w:color w:val="231F20"/>
        </w:rPr>
        <w:t>del </w:t>
      </w:r>
      <w:r>
        <w:rPr>
          <w:color w:val="231F20"/>
          <w:spacing w:val="2"/>
        </w:rPr>
        <w:t>Estado </w:t>
      </w:r>
      <w:r>
        <w:rPr>
          <w:color w:val="231F20"/>
        </w:rPr>
        <w:t>de </w:t>
      </w:r>
      <w:r>
        <w:rPr>
          <w:color w:val="231F20"/>
          <w:spacing w:val="2"/>
        </w:rPr>
        <w:t>México, además </w:t>
      </w:r>
      <w:r>
        <w:rPr>
          <w:color w:val="231F20"/>
        </w:rPr>
        <w:t>del </w:t>
      </w:r>
      <w:r>
        <w:rPr>
          <w:color w:val="231F20"/>
          <w:spacing w:val="2"/>
        </w:rPr>
        <w:t>Cuerpo Académico en </w:t>
      </w:r>
      <w:r>
        <w:rPr>
          <w:color w:val="231F20"/>
          <w:spacing w:val="3"/>
        </w:rPr>
        <w:t>Formación </w:t>
      </w:r>
      <w:r>
        <w:rPr>
          <w:color w:val="231F20"/>
        </w:rPr>
        <w:t>en </w:t>
      </w:r>
      <w:r>
        <w:rPr>
          <w:color w:val="231F20"/>
          <w:spacing w:val="2"/>
        </w:rPr>
        <w:t>Estudios </w:t>
      </w:r>
      <w:r>
        <w:rPr>
          <w:color w:val="231F20"/>
        </w:rPr>
        <w:t>en </w:t>
      </w:r>
      <w:r>
        <w:rPr>
          <w:color w:val="231F20"/>
          <w:spacing w:val="2"/>
        </w:rPr>
        <w:t>Literatura, Traducción </w:t>
      </w:r>
      <w:r>
        <w:rPr>
          <w:color w:val="231F20"/>
        </w:rPr>
        <w:t>y </w:t>
      </w:r>
      <w:r>
        <w:rPr>
          <w:color w:val="231F20"/>
          <w:spacing w:val="2"/>
        </w:rPr>
        <w:t>Cultura </w:t>
      </w:r>
      <w:r>
        <w:rPr>
          <w:color w:val="231F20"/>
        </w:rPr>
        <w:t>de la </w:t>
      </w:r>
      <w:r>
        <w:rPr>
          <w:color w:val="231F20"/>
          <w:spacing w:val="2"/>
        </w:rPr>
        <w:t>Facultad </w:t>
      </w:r>
      <w:r>
        <w:rPr>
          <w:color w:val="231F20"/>
        </w:rPr>
        <w:t>de </w:t>
      </w:r>
      <w:r>
        <w:rPr>
          <w:color w:val="231F20"/>
          <w:spacing w:val="3"/>
        </w:rPr>
        <w:t>Lenguas </w:t>
      </w:r>
      <w:r>
        <w:rPr>
          <w:color w:val="231F20"/>
        </w:rPr>
        <w:t>de la </w:t>
      </w:r>
      <w:r>
        <w:rPr>
          <w:color w:val="231F20"/>
          <w:spacing w:val="3"/>
        </w:rPr>
        <w:t>UAEMex. </w:t>
      </w:r>
      <w:r>
        <w:rPr>
          <w:color w:val="231F20"/>
        </w:rPr>
        <w:t>La </w:t>
      </w:r>
      <w:r>
        <w:rPr>
          <w:color w:val="231F20"/>
          <w:spacing w:val="2"/>
        </w:rPr>
        <w:t>obra </w:t>
      </w:r>
      <w:r>
        <w:rPr>
          <w:color w:val="231F20"/>
        </w:rPr>
        <w:t>se </w:t>
      </w:r>
      <w:r>
        <w:rPr>
          <w:color w:val="231F20"/>
          <w:spacing w:val="2"/>
        </w:rPr>
        <w:t>realizó gracias </w:t>
      </w:r>
      <w:r>
        <w:rPr>
          <w:color w:val="231F20"/>
          <w:spacing w:val="3"/>
        </w:rPr>
        <w:t>al </w:t>
      </w:r>
      <w:r>
        <w:rPr>
          <w:color w:val="231F20"/>
          <w:spacing w:val="2"/>
        </w:rPr>
        <w:t>financiamiento </w:t>
      </w:r>
      <w:r>
        <w:rPr>
          <w:color w:val="231F20"/>
          <w:spacing w:val="3"/>
        </w:rPr>
        <w:t>otorgado </w:t>
      </w:r>
      <w:r>
        <w:rPr>
          <w:color w:val="231F20"/>
          <w:spacing w:val="2"/>
        </w:rPr>
        <w:t>por </w:t>
      </w:r>
      <w:r>
        <w:rPr>
          <w:color w:val="231F20"/>
        </w:rPr>
        <w:t>el </w:t>
      </w:r>
      <w:r>
        <w:rPr>
          <w:color w:val="231F20"/>
          <w:spacing w:val="3"/>
        </w:rPr>
        <w:t>Programa </w:t>
      </w:r>
      <w:r>
        <w:rPr>
          <w:color w:val="231F20"/>
          <w:spacing w:val="2"/>
        </w:rPr>
        <w:t>Integral </w:t>
      </w:r>
      <w:r>
        <w:rPr>
          <w:color w:val="231F20"/>
        </w:rPr>
        <w:t>de </w:t>
      </w:r>
      <w:r>
        <w:rPr>
          <w:color w:val="231F20"/>
          <w:spacing w:val="2"/>
        </w:rPr>
        <w:t>Fortaleci- miento Institucional (PIFI) 2013, Apoyo para Cuerpos </w:t>
      </w:r>
      <w:r>
        <w:rPr>
          <w:color w:val="231F20"/>
          <w:spacing w:val="3"/>
        </w:rPr>
        <w:t>Académi- </w:t>
      </w:r>
      <w:r>
        <w:rPr>
          <w:color w:val="231F20"/>
          <w:spacing w:val="2"/>
        </w:rPr>
        <w:t>cos </w:t>
      </w:r>
      <w:r>
        <w:rPr>
          <w:color w:val="231F20"/>
          <w:spacing w:val="3"/>
        </w:rPr>
        <w:t>Consolidados </w:t>
      </w:r>
      <w:r>
        <w:rPr>
          <w:color w:val="231F20"/>
        </w:rPr>
        <w:t>de la </w:t>
      </w:r>
      <w:r>
        <w:rPr>
          <w:color w:val="231F20"/>
          <w:spacing w:val="2"/>
        </w:rPr>
        <w:t>Universidad </w:t>
      </w:r>
      <w:r>
        <w:rPr>
          <w:color w:val="231F20"/>
          <w:spacing w:val="3"/>
        </w:rPr>
        <w:t>Autónoma </w:t>
      </w:r>
      <w:r>
        <w:rPr>
          <w:color w:val="231F20"/>
        </w:rPr>
        <w:t>del </w:t>
      </w:r>
      <w:r>
        <w:rPr>
          <w:color w:val="231F20"/>
          <w:spacing w:val="2"/>
        </w:rPr>
        <w:t>Estado </w:t>
      </w:r>
      <w:r>
        <w:rPr>
          <w:color w:val="231F20"/>
        </w:rPr>
        <w:t>de </w:t>
      </w:r>
      <w:r>
        <w:rPr>
          <w:color w:val="231F20"/>
          <w:spacing w:val="5"/>
        </w:rPr>
        <w:t>Mo- </w:t>
      </w:r>
      <w:r>
        <w:rPr>
          <w:color w:val="231F20"/>
          <w:spacing w:val="2"/>
        </w:rPr>
        <w:t>relos, </w:t>
      </w:r>
      <w:r>
        <w:rPr>
          <w:color w:val="231F20"/>
        </w:rPr>
        <w:t>a </w:t>
      </w:r>
      <w:r>
        <w:rPr>
          <w:color w:val="231F20"/>
          <w:spacing w:val="2"/>
        </w:rPr>
        <w:t>iniciativa del Cuerpo </w:t>
      </w:r>
      <w:r>
        <w:rPr>
          <w:color w:val="231F20"/>
          <w:spacing w:val="3"/>
        </w:rPr>
        <w:t>Académico </w:t>
      </w:r>
      <w:r>
        <w:rPr>
          <w:color w:val="231F20"/>
          <w:spacing w:val="2"/>
        </w:rPr>
        <w:t>Cultura </w:t>
      </w:r>
      <w:r>
        <w:rPr>
          <w:color w:val="231F20"/>
        </w:rPr>
        <w:t>y </w:t>
      </w:r>
      <w:r>
        <w:rPr>
          <w:color w:val="231F20"/>
          <w:spacing w:val="3"/>
        </w:rPr>
        <w:t>Educación: </w:t>
      </w:r>
      <w:r>
        <w:rPr>
          <w:color w:val="231F20"/>
          <w:spacing w:val="2"/>
        </w:rPr>
        <w:t>devenir </w:t>
      </w:r>
      <w:r>
        <w:rPr>
          <w:color w:val="231F20"/>
        </w:rPr>
        <w:t>y</w:t>
      </w:r>
      <w:r>
        <w:rPr>
          <w:color w:val="231F20"/>
          <w:spacing w:val="-29"/>
        </w:rPr>
        <w:t> </w:t>
      </w:r>
      <w:r>
        <w:rPr>
          <w:color w:val="231F20"/>
          <w:spacing w:val="2"/>
        </w:rPr>
        <w:t>actualidad.</w:t>
      </w:r>
    </w:p>
    <w:p>
      <w:pPr>
        <w:pStyle w:val="BodyText"/>
        <w:spacing w:line="249" w:lineRule="auto"/>
        <w:ind w:left="111" w:right="111" w:firstLine="284"/>
        <w:jc w:val="both"/>
      </w:pPr>
      <w:r>
        <w:rPr>
          <w:color w:val="231F20"/>
          <w:spacing w:val="2"/>
        </w:rPr>
        <w:t>Para </w:t>
      </w:r>
      <w:r>
        <w:rPr>
          <w:color w:val="231F20"/>
        </w:rPr>
        <w:t>el </w:t>
      </w:r>
      <w:r>
        <w:rPr>
          <w:color w:val="231F20"/>
          <w:spacing w:val="2"/>
        </w:rPr>
        <w:t>desarrollo </w:t>
      </w:r>
      <w:r>
        <w:rPr>
          <w:color w:val="231F20"/>
        </w:rPr>
        <w:t>del </w:t>
      </w:r>
      <w:r>
        <w:rPr>
          <w:color w:val="231F20"/>
          <w:spacing w:val="2"/>
        </w:rPr>
        <w:t>Proyecto </w:t>
      </w:r>
      <w:r>
        <w:rPr>
          <w:color w:val="231F20"/>
        </w:rPr>
        <w:t>de </w:t>
      </w:r>
      <w:r>
        <w:rPr>
          <w:color w:val="231F20"/>
          <w:spacing w:val="2"/>
        </w:rPr>
        <w:t>Investigación Educación </w:t>
      </w:r>
      <w:r>
        <w:rPr>
          <w:color w:val="231F20"/>
        </w:rPr>
        <w:t>y </w:t>
      </w:r>
      <w:r>
        <w:rPr>
          <w:color w:val="231F20"/>
          <w:spacing w:val="2"/>
        </w:rPr>
        <w:t>Violencia, los cuerpos académicos participantes, tuvieron </w:t>
      </w:r>
      <w:r>
        <w:rPr>
          <w:color w:val="231F20"/>
        </w:rPr>
        <w:t>la </w:t>
      </w:r>
      <w:r>
        <w:rPr>
          <w:color w:val="231F20"/>
          <w:spacing w:val="2"/>
        </w:rPr>
        <w:t>liber- </w:t>
      </w:r>
      <w:r>
        <w:rPr>
          <w:color w:val="231F20"/>
        </w:rPr>
        <w:t>tad de </w:t>
      </w:r>
      <w:r>
        <w:rPr>
          <w:color w:val="231F20"/>
          <w:spacing w:val="2"/>
        </w:rPr>
        <w:t>gestar </w:t>
      </w:r>
      <w:r>
        <w:rPr>
          <w:color w:val="231F20"/>
          <w:spacing w:val="3"/>
        </w:rPr>
        <w:t>procesos </w:t>
      </w:r>
      <w:r>
        <w:rPr>
          <w:color w:val="231F20"/>
        </w:rPr>
        <w:t>de </w:t>
      </w:r>
      <w:r>
        <w:rPr>
          <w:color w:val="231F20"/>
          <w:spacing w:val="2"/>
        </w:rPr>
        <w:t>investigación específicos, </w:t>
      </w:r>
      <w:r>
        <w:rPr>
          <w:color w:val="231F20"/>
          <w:spacing w:val="3"/>
        </w:rPr>
        <w:t>determinando </w:t>
      </w:r>
      <w:r>
        <w:rPr>
          <w:color w:val="231F20"/>
        </w:rPr>
        <w:t>sus </w:t>
      </w:r>
      <w:r>
        <w:rPr>
          <w:color w:val="231F20"/>
          <w:spacing w:val="3"/>
        </w:rPr>
        <w:t>problemáticas propias, </w:t>
      </w:r>
      <w:r>
        <w:rPr>
          <w:color w:val="231F20"/>
        </w:rPr>
        <w:t>sus </w:t>
      </w:r>
      <w:r>
        <w:rPr>
          <w:color w:val="231F20"/>
          <w:spacing w:val="2"/>
        </w:rPr>
        <w:t>abordajes teórico-metodológicos, </w:t>
      </w:r>
      <w:r>
        <w:rPr>
          <w:color w:val="231F20"/>
        </w:rPr>
        <w:t>y </w:t>
      </w:r>
      <w:r>
        <w:rPr>
          <w:color w:val="231F20"/>
          <w:spacing w:val="2"/>
        </w:rPr>
        <w:t>los </w:t>
      </w:r>
      <w:r>
        <w:rPr>
          <w:color w:val="231F20"/>
          <w:spacing w:val="3"/>
        </w:rPr>
        <w:t>ámbitos </w:t>
      </w:r>
      <w:r>
        <w:rPr>
          <w:color w:val="231F20"/>
        </w:rPr>
        <w:t>de la </w:t>
      </w:r>
      <w:r>
        <w:rPr>
          <w:color w:val="231F20"/>
          <w:spacing w:val="2"/>
        </w:rPr>
        <w:t>educación </w:t>
      </w:r>
      <w:r>
        <w:rPr>
          <w:color w:val="231F20"/>
        </w:rPr>
        <w:t>a </w:t>
      </w:r>
      <w:r>
        <w:rPr>
          <w:color w:val="231F20"/>
          <w:spacing w:val="2"/>
        </w:rPr>
        <w:t>estudiar; </w:t>
      </w:r>
      <w:r>
        <w:rPr>
          <w:color w:val="231F20"/>
        </w:rPr>
        <w:t>lo </w:t>
      </w:r>
      <w:r>
        <w:rPr>
          <w:color w:val="231F20"/>
          <w:spacing w:val="2"/>
        </w:rPr>
        <w:t>cual dota </w:t>
      </w:r>
      <w:r>
        <w:rPr>
          <w:color w:val="231F20"/>
        </w:rPr>
        <w:t>de </w:t>
      </w:r>
      <w:r>
        <w:rPr>
          <w:color w:val="231F20"/>
          <w:spacing w:val="2"/>
        </w:rPr>
        <w:t>una singular riqueza </w:t>
      </w:r>
      <w:r>
        <w:rPr>
          <w:color w:val="231F20"/>
        </w:rPr>
        <w:t>a </w:t>
      </w:r>
      <w:r>
        <w:rPr>
          <w:color w:val="231F20"/>
          <w:spacing w:val="2"/>
        </w:rPr>
        <w:t>este texto </w:t>
      </w:r>
      <w:r>
        <w:rPr>
          <w:color w:val="231F20"/>
        </w:rPr>
        <w:t>y </w:t>
      </w:r>
      <w:r>
        <w:rPr>
          <w:color w:val="231F20"/>
          <w:spacing w:val="3"/>
        </w:rPr>
        <w:t>permite </w:t>
      </w:r>
      <w:r>
        <w:rPr>
          <w:color w:val="231F20"/>
          <w:spacing w:val="2"/>
        </w:rPr>
        <w:t>advertir distintos niveles </w:t>
      </w:r>
      <w:r>
        <w:rPr>
          <w:color w:val="231F20"/>
        </w:rPr>
        <w:t>de </w:t>
      </w:r>
      <w:r>
        <w:rPr>
          <w:color w:val="231F20"/>
          <w:spacing w:val="2"/>
        </w:rPr>
        <w:t>abstrac- ción </w:t>
      </w:r>
      <w:r>
        <w:rPr>
          <w:color w:val="231F20"/>
        </w:rPr>
        <w:t>y </w:t>
      </w:r>
      <w:r>
        <w:rPr>
          <w:color w:val="231F20"/>
          <w:spacing w:val="3"/>
        </w:rPr>
        <w:t>modos </w:t>
      </w:r>
      <w:r>
        <w:rPr>
          <w:color w:val="231F20"/>
        </w:rPr>
        <w:t>de </w:t>
      </w:r>
      <w:r>
        <w:rPr>
          <w:color w:val="231F20"/>
          <w:spacing w:val="2"/>
        </w:rPr>
        <w:t>conceptualizar </w:t>
      </w:r>
      <w:r>
        <w:rPr>
          <w:color w:val="231F20"/>
        </w:rPr>
        <w:t>la </w:t>
      </w:r>
      <w:r>
        <w:rPr>
          <w:color w:val="231F20"/>
          <w:spacing w:val="2"/>
        </w:rPr>
        <w:t>violencia </w:t>
      </w:r>
      <w:r>
        <w:rPr>
          <w:color w:val="231F20"/>
        </w:rPr>
        <w:t>y </w:t>
      </w:r>
      <w:r>
        <w:rPr>
          <w:color w:val="231F20"/>
          <w:spacing w:val="2"/>
        </w:rPr>
        <w:t>sus relaciones con </w:t>
      </w:r>
      <w:r>
        <w:rPr>
          <w:color w:val="231F20"/>
        </w:rPr>
        <w:t>la </w:t>
      </w:r>
      <w:r>
        <w:rPr>
          <w:color w:val="231F20"/>
          <w:spacing w:val="3"/>
        </w:rPr>
        <w:t>educación. </w:t>
      </w:r>
      <w:r>
        <w:rPr>
          <w:color w:val="231F20"/>
          <w:spacing w:val="2"/>
        </w:rPr>
        <w:t>Cabe señalar que, para </w:t>
      </w:r>
      <w:r>
        <w:rPr>
          <w:color w:val="231F20"/>
        </w:rPr>
        <w:t>la </w:t>
      </w:r>
      <w:r>
        <w:rPr>
          <w:color w:val="231F20"/>
          <w:spacing w:val="2"/>
        </w:rPr>
        <w:t>integración del presente libro, </w:t>
      </w:r>
      <w:r>
        <w:rPr>
          <w:color w:val="231F20"/>
        </w:rPr>
        <w:t>se </w:t>
      </w:r>
      <w:r>
        <w:rPr>
          <w:color w:val="231F20"/>
          <w:spacing w:val="3"/>
        </w:rPr>
        <w:t>incorporan </w:t>
      </w:r>
      <w:r>
        <w:rPr>
          <w:color w:val="231F20"/>
        </w:rPr>
        <w:t>13 </w:t>
      </w:r>
      <w:r>
        <w:rPr>
          <w:color w:val="231F20"/>
          <w:spacing w:val="2"/>
        </w:rPr>
        <w:t>artículos del total </w:t>
      </w:r>
      <w:r>
        <w:rPr>
          <w:color w:val="231F20"/>
        </w:rPr>
        <w:t>de </w:t>
      </w:r>
      <w:r>
        <w:rPr>
          <w:color w:val="231F20"/>
          <w:spacing w:val="3"/>
        </w:rPr>
        <w:t>subproyectos </w:t>
      </w:r>
      <w:r>
        <w:rPr>
          <w:color w:val="231F20"/>
          <w:spacing w:val="2"/>
        </w:rPr>
        <w:t>realizados; </w:t>
      </w:r>
      <w:r>
        <w:rPr>
          <w:color w:val="231F20"/>
        </w:rPr>
        <w:t>en su </w:t>
      </w:r>
      <w:r>
        <w:rPr>
          <w:color w:val="231F20"/>
          <w:spacing w:val="2"/>
        </w:rPr>
        <w:t>organización </w:t>
      </w:r>
      <w:r>
        <w:rPr>
          <w:color w:val="231F20"/>
        </w:rPr>
        <w:t>se </w:t>
      </w:r>
      <w:r>
        <w:rPr>
          <w:color w:val="231F20"/>
          <w:spacing w:val="2"/>
        </w:rPr>
        <w:t>consideró cierta unidad temática </w:t>
      </w:r>
      <w:r>
        <w:rPr>
          <w:color w:val="231F20"/>
        </w:rPr>
        <w:t>y un </w:t>
      </w:r>
      <w:r>
        <w:rPr>
          <w:color w:val="231F20"/>
          <w:spacing w:val="2"/>
        </w:rPr>
        <w:t>orden </w:t>
      </w:r>
      <w:r>
        <w:rPr>
          <w:color w:val="231F20"/>
        </w:rPr>
        <w:t>que va de </w:t>
      </w:r>
      <w:r>
        <w:rPr>
          <w:color w:val="231F20"/>
          <w:spacing w:val="2"/>
        </w:rPr>
        <w:t>los artículos más abstractos </w:t>
      </w:r>
      <w:r>
        <w:rPr>
          <w:color w:val="231F20"/>
        </w:rPr>
        <w:t>a </w:t>
      </w:r>
      <w:r>
        <w:rPr>
          <w:color w:val="231F20"/>
          <w:spacing w:val="2"/>
        </w:rPr>
        <w:t>los concretos, </w:t>
      </w:r>
      <w:r>
        <w:rPr>
          <w:color w:val="231F20"/>
        </w:rPr>
        <w:t>de la </w:t>
      </w:r>
      <w:r>
        <w:rPr>
          <w:color w:val="231F20"/>
          <w:spacing w:val="2"/>
        </w:rPr>
        <w:t>discusión   </w:t>
      </w:r>
      <w:r>
        <w:rPr>
          <w:color w:val="231F20"/>
        </w:rPr>
        <w:t>de  </w:t>
      </w:r>
      <w:r>
        <w:rPr>
          <w:color w:val="231F20"/>
          <w:spacing w:val="2"/>
        </w:rPr>
        <w:t>los  </w:t>
      </w:r>
      <w:r>
        <w:rPr>
          <w:color w:val="231F20"/>
          <w:spacing w:val="3"/>
        </w:rPr>
        <w:t>supuestos  teórico-epistemológicos  </w:t>
      </w:r>
      <w:r>
        <w:rPr>
          <w:color w:val="231F20"/>
        </w:rPr>
        <w:t>a  la  </w:t>
      </w:r>
      <w:r>
        <w:rPr>
          <w:color w:val="231F20"/>
          <w:spacing w:val="3"/>
        </w:rPr>
        <w:t>aprehensión  </w:t>
      </w:r>
      <w:r>
        <w:rPr>
          <w:color w:val="231F20"/>
        </w:rPr>
        <w:t>de</w:t>
      </w:r>
      <w:r>
        <w:rPr>
          <w:color w:val="231F20"/>
          <w:spacing w:val="-18"/>
        </w:rPr>
        <w:t> </w:t>
      </w:r>
      <w:r>
        <w:rPr>
          <w:color w:val="231F20"/>
        </w:rPr>
        <w:t>la</w:t>
      </w:r>
    </w:p>
    <w:p>
      <w:pPr>
        <w:spacing w:after="0" w:line="249" w:lineRule="auto"/>
        <w:jc w:val="both"/>
        <w:sectPr>
          <w:headerReference w:type="default" r:id="rId42"/>
          <w:footerReference w:type="default" r:id="rId43"/>
          <w:pgSz w:w="7830" w:h="11910"/>
          <w:pgMar w:header="0" w:footer="424" w:top="500" w:bottom="620" w:left="1020" w:right="740"/>
          <w:pgNumType w:start="15"/>
        </w:sectPr>
      </w:pPr>
    </w:p>
    <w:p>
      <w:pPr>
        <w:spacing w:before="46"/>
        <w:ind w:left="632" w:right="148"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10"/>
        <w:rPr>
          <w:sz w:val="16"/>
        </w:rPr>
      </w:pPr>
    </w:p>
    <w:p>
      <w:pPr>
        <w:pStyle w:val="BodyText"/>
        <w:spacing w:line="247" w:lineRule="auto" w:before="1"/>
        <w:ind w:left="109" w:right="110"/>
        <w:jc w:val="both"/>
      </w:pPr>
      <w:r>
        <w:rPr>
          <w:color w:val="231F20"/>
        </w:rPr>
        <w:t>violencia expresa en los discursos de las políticas educativas, en su concreción en un acontecimiento histórico, y las formas que asu- men en los procesos de formación universitaria; prosiguiendo con los modos en que es percibida la violencia por estudiantes univer- sitarios o las formas que asume en tratos discriminatorios hacia alumnos indígenas, o hacia formas en que la violencia de las calles los alcanza a todos ellos, hasta llegar a las formas de violencia que existen en las relaciones de trabajo de los universitarios. Así, el lector hallará los siguientes estudios:</w:t>
      </w:r>
    </w:p>
    <w:p>
      <w:pPr>
        <w:pStyle w:val="BodyText"/>
        <w:spacing w:before="6"/>
        <w:rPr>
          <w:sz w:val="20"/>
        </w:rPr>
      </w:pPr>
    </w:p>
    <w:p>
      <w:pPr>
        <w:pStyle w:val="ListParagraph"/>
        <w:numPr>
          <w:ilvl w:val="0"/>
          <w:numId w:val="1"/>
        </w:numPr>
        <w:tabs>
          <w:tab w:pos="318" w:val="left" w:leader="none"/>
        </w:tabs>
        <w:spacing w:line="247" w:lineRule="auto" w:before="0" w:after="0"/>
        <w:ind w:left="109" w:right="111" w:firstLine="0"/>
        <w:jc w:val="both"/>
        <w:rPr>
          <w:color w:val="231F20"/>
          <w:sz w:val="21"/>
        </w:rPr>
      </w:pPr>
      <w:r>
        <w:rPr>
          <w:color w:val="231F20"/>
          <w:sz w:val="21"/>
        </w:rPr>
        <w:t>La violencia legitima la razón del Estado con relación al derecho y su expansión a la educación, de Rosa María Ramírez Martínez, líder del cuerpo académico: Educación y Políticas Educativas, en conso- lidación, de la Universidad Autónoma del Estado de México (UAEMex).Actualmente también coordina la Red de Cuerpos Aca- démicos en Política, Educación y Universidad, y es integrante del Seminario de Educación Superior de la</w:t>
      </w:r>
      <w:r>
        <w:rPr>
          <w:color w:val="231F20"/>
          <w:spacing w:val="17"/>
          <w:sz w:val="21"/>
        </w:rPr>
        <w:t> </w:t>
      </w:r>
      <w:r>
        <w:rPr>
          <w:color w:val="231F20"/>
          <w:sz w:val="21"/>
        </w:rPr>
        <w:t>UNAM.</w:t>
      </w:r>
    </w:p>
    <w:p>
      <w:pPr>
        <w:pStyle w:val="BodyText"/>
        <w:spacing w:line="249" w:lineRule="auto" w:before="10"/>
        <w:ind w:left="109" w:right="110" w:firstLine="283"/>
        <w:jc w:val="both"/>
      </w:pPr>
      <w:r>
        <w:rPr>
          <w:color w:val="231F20"/>
        </w:rPr>
        <w:t>El </w:t>
      </w:r>
      <w:r>
        <w:rPr>
          <w:color w:val="231F20"/>
          <w:spacing w:val="2"/>
        </w:rPr>
        <w:t>estudio establece </w:t>
      </w:r>
      <w:r>
        <w:rPr>
          <w:color w:val="231F20"/>
          <w:spacing w:val="3"/>
        </w:rPr>
        <w:t>como punto </w:t>
      </w:r>
      <w:r>
        <w:rPr>
          <w:color w:val="231F20"/>
        </w:rPr>
        <w:t>de </w:t>
      </w:r>
      <w:r>
        <w:rPr>
          <w:color w:val="231F20"/>
          <w:spacing w:val="2"/>
        </w:rPr>
        <w:t>partidaque </w:t>
      </w:r>
      <w:r>
        <w:rPr>
          <w:color w:val="231F20"/>
        </w:rPr>
        <w:t>la </w:t>
      </w:r>
      <w:r>
        <w:rPr>
          <w:color w:val="231F20"/>
          <w:spacing w:val="2"/>
        </w:rPr>
        <w:t>violencia </w:t>
      </w:r>
      <w:r>
        <w:rPr>
          <w:color w:val="231F20"/>
        </w:rPr>
        <w:t>se </w:t>
      </w:r>
      <w:r>
        <w:rPr>
          <w:color w:val="231F20"/>
          <w:spacing w:val="2"/>
        </w:rPr>
        <w:t>gesta desde ciertas condiciones materiales </w:t>
      </w:r>
      <w:r>
        <w:rPr>
          <w:color w:val="231F20"/>
        </w:rPr>
        <w:t>de </w:t>
      </w:r>
      <w:r>
        <w:rPr>
          <w:color w:val="231F20"/>
          <w:spacing w:val="2"/>
        </w:rPr>
        <w:t>existencia, </w:t>
      </w:r>
      <w:r>
        <w:rPr>
          <w:color w:val="231F20"/>
        </w:rPr>
        <w:t>de allí </w:t>
      </w:r>
      <w:r>
        <w:rPr>
          <w:color w:val="231F20"/>
          <w:spacing w:val="2"/>
        </w:rPr>
        <w:t>que tiene </w:t>
      </w:r>
      <w:r>
        <w:rPr>
          <w:color w:val="231F20"/>
        </w:rPr>
        <w:t>su </w:t>
      </w:r>
      <w:r>
        <w:rPr>
          <w:color w:val="231F20"/>
          <w:spacing w:val="2"/>
        </w:rPr>
        <w:t>base </w:t>
      </w:r>
      <w:r>
        <w:rPr>
          <w:color w:val="231F20"/>
        </w:rPr>
        <w:t>en la </w:t>
      </w:r>
      <w:r>
        <w:rPr>
          <w:color w:val="231F20"/>
          <w:spacing w:val="2"/>
        </w:rPr>
        <w:t>distinción entre </w:t>
      </w:r>
      <w:r>
        <w:rPr>
          <w:color w:val="231F20"/>
          <w:spacing w:val="3"/>
        </w:rPr>
        <w:t>dominados </w:t>
      </w:r>
      <w:r>
        <w:rPr>
          <w:color w:val="231F20"/>
        </w:rPr>
        <w:t>y </w:t>
      </w:r>
      <w:r>
        <w:rPr>
          <w:color w:val="231F20"/>
          <w:spacing w:val="3"/>
        </w:rPr>
        <w:t>dominadores, </w:t>
      </w:r>
      <w:r>
        <w:rPr>
          <w:color w:val="231F20"/>
        </w:rPr>
        <w:t>lo </w:t>
      </w:r>
      <w:r>
        <w:rPr>
          <w:color w:val="231F20"/>
          <w:spacing w:val="2"/>
        </w:rPr>
        <w:t>cual </w:t>
      </w:r>
      <w:r>
        <w:rPr>
          <w:color w:val="231F20"/>
        </w:rPr>
        <w:t>se </w:t>
      </w:r>
      <w:r>
        <w:rPr>
          <w:color w:val="231F20"/>
          <w:spacing w:val="2"/>
        </w:rPr>
        <w:t>expresa </w:t>
      </w:r>
      <w:r>
        <w:rPr>
          <w:color w:val="231F20"/>
        </w:rPr>
        <w:t>en la </w:t>
      </w:r>
      <w:r>
        <w:rPr>
          <w:color w:val="231F20"/>
          <w:spacing w:val="3"/>
        </w:rPr>
        <w:t>forma </w:t>
      </w:r>
      <w:r>
        <w:rPr>
          <w:color w:val="231F20"/>
        </w:rPr>
        <w:t>de </w:t>
      </w:r>
      <w:r>
        <w:rPr>
          <w:color w:val="231F20"/>
          <w:spacing w:val="2"/>
        </w:rPr>
        <w:t>organización política que prevalece </w:t>
      </w:r>
      <w:r>
        <w:rPr>
          <w:color w:val="231F20"/>
        </w:rPr>
        <w:t>en </w:t>
      </w:r>
      <w:r>
        <w:rPr>
          <w:color w:val="231F20"/>
          <w:spacing w:val="2"/>
        </w:rPr>
        <w:t>cada </w:t>
      </w:r>
      <w:r>
        <w:rPr>
          <w:color w:val="231F20"/>
          <w:spacing w:val="3"/>
        </w:rPr>
        <w:t>momento </w:t>
      </w:r>
      <w:r>
        <w:rPr>
          <w:color w:val="231F20"/>
          <w:spacing w:val="2"/>
        </w:rPr>
        <w:t>histórico: </w:t>
      </w:r>
      <w:r>
        <w:rPr>
          <w:color w:val="231F20"/>
        </w:rPr>
        <w:t>a </w:t>
      </w:r>
      <w:r>
        <w:rPr>
          <w:color w:val="231F20"/>
          <w:spacing w:val="2"/>
        </w:rPr>
        <w:t>partir </w:t>
      </w:r>
      <w:r>
        <w:rPr>
          <w:color w:val="231F20"/>
        </w:rPr>
        <w:t>de la </w:t>
      </w:r>
      <w:r>
        <w:rPr>
          <w:color w:val="231F20"/>
          <w:spacing w:val="3"/>
        </w:rPr>
        <w:t>noción </w:t>
      </w:r>
      <w:r>
        <w:rPr>
          <w:color w:val="231F20"/>
        </w:rPr>
        <w:t>de </w:t>
      </w:r>
      <w:r>
        <w:rPr>
          <w:color w:val="231F20"/>
          <w:spacing w:val="2"/>
        </w:rPr>
        <w:t>Estado desde elcual </w:t>
      </w:r>
      <w:r>
        <w:rPr>
          <w:color w:val="231F20"/>
        </w:rPr>
        <w:t>se </w:t>
      </w:r>
      <w:r>
        <w:rPr>
          <w:color w:val="231F20"/>
          <w:spacing w:val="2"/>
        </w:rPr>
        <w:t>tiende </w:t>
      </w:r>
      <w:r>
        <w:rPr>
          <w:color w:val="231F20"/>
        </w:rPr>
        <w:t>a </w:t>
      </w:r>
      <w:r>
        <w:rPr>
          <w:color w:val="231F20"/>
          <w:spacing w:val="2"/>
        </w:rPr>
        <w:t>considerar </w:t>
      </w:r>
      <w:r>
        <w:rPr>
          <w:color w:val="231F20"/>
        </w:rPr>
        <w:t>al </w:t>
      </w:r>
      <w:r>
        <w:rPr>
          <w:color w:val="231F20"/>
          <w:spacing w:val="2"/>
        </w:rPr>
        <w:t>uso </w:t>
      </w:r>
      <w:r>
        <w:rPr>
          <w:color w:val="231F20"/>
        </w:rPr>
        <w:t>de la </w:t>
      </w:r>
      <w:r>
        <w:rPr>
          <w:color w:val="231F20"/>
          <w:spacing w:val="2"/>
        </w:rPr>
        <w:t>fuerza </w:t>
      </w:r>
      <w:r>
        <w:rPr>
          <w:color w:val="231F20"/>
          <w:spacing w:val="3"/>
        </w:rPr>
        <w:t>como </w:t>
      </w:r>
      <w:r>
        <w:rPr>
          <w:color w:val="231F20"/>
          <w:spacing w:val="2"/>
        </w:rPr>
        <w:t>violencia legítima </w:t>
      </w:r>
      <w:r>
        <w:rPr>
          <w:color w:val="231F20"/>
        </w:rPr>
        <w:t>o </w:t>
      </w:r>
      <w:r>
        <w:rPr>
          <w:color w:val="231F20"/>
          <w:spacing w:val="2"/>
        </w:rPr>
        <w:t>ilegítima, </w:t>
      </w:r>
      <w:r>
        <w:rPr>
          <w:color w:val="231F20"/>
        </w:rPr>
        <w:t>al </w:t>
      </w:r>
      <w:r>
        <w:rPr>
          <w:color w:val="231F20"/>
          <w:spacing w:val="3"/>
        </w:rPr>
        <w:t>mismo </w:t>
      </w:r>
      <w:r>
        <w:rPr>
          <w:color w:val="231F20"/>
          <w:spacing w:val="2"/>
        </w:rPr>
        <w:t>tiempo que esta obliga </w:t>
      </w:r>
      <w:r>
        <w:rPr>
          <w:color w:val="231F20"/>
        </w:rPr>
        <w:t>a </w:t>
      </w:r>
      <w:r>
        <w:rPr>
          <w:color w:val="231F20"/>
          <w:spacing w:val="2"/>
        </w:rPr>
        <w:t>distinguir entre </w:t>
      </w:r>
      <w:r>
        <w:rPr>
          <w:color w:val="231F20"/>
        </w:rPr>
        <w:t>las </w:t>
      </w:r>
      <w:r>
        <w:rPr>
          <w:color w:val="231F20"/>
          <w:spacing w:val="2"/>
        </w:rPr>
        <w:t>esferas </w:t>
      </w:r>
      <w:r>
        <w:rPr>
          <w:color w:val="231F20"/>
        </w:rPr>
        <w:t>de lo </w:t>
      </w:r>
      <w:r>
        <w:rPr>
          <w:color w:val="231F20"/>
          <w:spacing w:val="2"/>
        </w:rPr>
        <w:t>privado </w:t>
      </w:r>
      <w:r>
        <w:rPr>
          <w:color w:val="231F20"/>
        </w:rPr>
        <w:t>y lo </w:t>
      </w:r>
      <w:r>
        <w:rPr>
          <w:color w:val="231F20"/>
          <w:spacing w:val="2"/>
        </w:rPr>
        <w:t>público para </w:t>
      </w:r>
      <w:r>
        <w:rPr>
          <w:color w:val="231F20"/>
          <w:spacing w:val="3"/>
        </w:rPr>
        <w:t>entender cómo </w:t>
      </w:r>
      <w:r>
        <w:rPr>
          <w:color w:val="231F20"/>
        </w:rPr>
        <w:t>se </w:t>
      </w:r>
      <w:r>
        <w:rPr>
          <w:color w:val="231F20"/>
          <w:spacing w:val="2"/>
        </w:rPr>
        <w:t>organiza </w:t>
      </w:r>
      <w:r>
        <w:rPr>
          <w:color w:val="231F20"/>
        </w:rPr>
        <w:t>y se </w:t>
      </w:r>
      <w:r>
        <w:rPr>
          <w:color w:val="231F20"/>
          <w:spacing w:val="2"/>
        </w:rPr>
        <w:t>traspasa, </w:t>
      </w:r>
      <w:r>
        <w:rPr>
          <w:color w:val="231F20"/>
        </w:rPr>
        <w:t>de lo </w:t>
      </w:r>
      <w:r>
        <w:rPr>
          <w:color w:val="231F20"/>
          <w:spacing w:val="2"/>
        </w:rPr>
        <w:t>primero </w:t>
      </w:r>
      <w:r>
        <w:rPr>
          <w:color w:val="231F20"/>
        </w:rPr>
        <w:t>a lo </w:t>
      </w:r>
      <w:r>
        <w:rPr>
          <w:color w:val="231F20"/>
          <w:spacing w:val="3"/>
        </w:rPr>
        <w:t>segundo; </w:t>
      </w:r>
      <w:r>
        <w:rPr>
          <w:color w:val="231F20"/>
          <w:spacing w:val="2"/>
        </w:rPr>
        <w:t>con </w:t>
      </w:r>
      <w:r>
        <w:rPr>
          <w:color w:val="231F20"/>
        </w:rPr>
        <w:t>ello se  </w:t>
      </w:r>
      <w:r>
        <w:rPr>
          <w:color w:val="231F20"/>
          <w:spacing w:val="2"/>
        </w:rPr>
        <w:t>asume </w:t>
      </w:r>
      <w:r>
        <w:rPr>
          <w:color w:val="231F20"/>
        </w:rPr>
        <w:t>que la </w:t>
      </w:r>
      <w:r>
        <w:rPr>
          <w:color w:val="231F20"/>
          <w:spacing w:val="2"/>
        </w:rPr>
        <w:t>violencia queda vinculada </w:t>
      </w:r>
      <w:r>
        <w:rPr>
          <w:color w:val="231F20"/>
        </w:rPr>
        <w:t>a </w:t>
      </w:r>
      <w:r>
        <w:rPr>
          <w:color w:val="231F20"/>
          <w:spacing w:val="2"/>
        </w:rPr>
        <w:t>los </w:t>
      </w:r>
      <w:r>
        <w:rPr>
          <w:color w:val="231F20"/>
          <w:spacing w:val="3"/>
        </w:rPr>
        <w:t>fenómenos </w:t>
      </w:r>
      <w:r>
        <w:rPr>
          <w:color w:val="231F20"/>
          <w:spacing w:val="2"/>
        </w:rPr>
        <w:t>del </w:t>
      </w:r>
      <w:r>
        <w:rPr>
          <w:color w:val="231F20"/>
          <w:spacing w:val="3"/>
        </w:rPr>
        <w:t>poder, </w:t>
      </w:r>
      <w:r>
        <w:rPr>
          <w:color w:val="231F20"/>
        </w:rPr>
        <w:t>que </w:t>
      </w:r>
      <w:r>
        <w:rPr>
          <w:color w:val="231F20"/>
          <w:spacing w:val="3"/>
        </w:rPr>
        <w:t>suponen </w:t>
      </w:r>
      <w:r>
        <w:rPr>
          <w:color w:val="231F20"/>
        </w:rPr>
        <w:t>un </w:t>
      </w:r>
      <w:r>
        <w:rPr>
          <w:color w:val="231F20"/>
          <w:spacing w:val="2"/>
        </w:rPr>
        <w:t>orden </w:t>
      </w:r>
      <w:r>
        <w:rPr>
          <w:color w:val="231F20"/>
          <w:spacing w:val="3"/>
        </w:rPr>
        <w:t>normativo </w:t>
      </w:r>
      <w:r>
        <w:rPr>
          <w:color w:val="231F20"/>
        </w:rPr>
        <w:t>y, </w:t>
      </w:r>
      <w:r>
        <w:rPr>
          <w:color w:val="231F20"/>
          <w:spacing w:val="2"/>
        </w:rPr>
        <w:t>por tanto, implican los valores </w:t>
      </w:r>
      <w:r>
        <w:rPr>
          <w:color w:val="231F20"/>
        </w:rPr>
        <w:t>de </w:t>
      </w:r>
      <w:r>
        <w:rPr>
          <w:color w:val="231F20"/>
          <w:spacing w:val="2"/>
        </w:rPr>
        <w:t>libertad, igualdad </w:t>
      </w:r>
      <w:r>
        <w:rPr>
          <w:color w:val="231F20"/>
        </w:rPr>
        <w:t>y </w:t>
      </w:r>
      <w:r>
        <w:rPr>
          <w:color w:val="231F20"/>
          <w:spacing w:val="2"/>
        </w:rPr>
        <w:t>justicia. </w:t>
      </w:r>
      <w:r>
        <w:rPr>
          <w:color w:val="231F20"/>
        </w:rPr>
        <w:t>A </w:t>
      </w:r>
      <w:r>
        <w:rPr>
          <w:color w:val="231F20"/>
          <w:spacing w:val="2"/>
        </w:rPr>
        <w:t>partir </w:t>
      </w:r>
      <w:r>
        <w:rPr>
          <w:color w:val="231F20"/>
        </w:rPr>
        <w:t>de ese </w:t>
      </w:r>
      <w:r>
        <w:rPr>
          <w:color w:val="231F20"/>
          <w:spacing w:val="3"/>
        </w:rPr>
        <w:t>planteamiento </w:t>
      </w:r>
      <w:r>
        <w:rPr>
          <w:color w:val="231F20"/>
          <w:spacing w:val="2"/>
        </w:rPr>
        <w:t>teóri- </w:t>
      </w:r>
      <w:r>
        <w:rPr>
          <w:color w:val="231F20"/>
        </w:rPr>
        <w:t>co es </w:t>
      </w:r>
      <w:r>
        <w:rPr>
          <w:color w:val="231F20"/>
          <w:spacing w:val="2"/>
        </w:rPr>
        <w:t>posible cuestionar </w:t>
      </w:r>
      <w:r>
        <w:rPr>
          <w:color w:val="231F20"/>
        </w:rPr>
        <w:t>las </w:t>
      </w:r>
      <w:r>
        <w:rPr>
          <w:color w:val="231F20"/>
          <w:spacing w:val="3"/>
        </w:rPr>
        <w:t>concepciones </w:t>
      </w:r>
      <w:r>
        <w:rPr>
          <w:color w:val="231F20"/>
        </w:rPr>
        <w:t>de  la  </w:t>
      </w:r>
      <w:r>
        <w:rPr>
          <w:color w:val="231F20"/>
          <w:spacing w:val="2"/>
        </w:rPr>
        <w:t>violencia </w:t>
      </w:r>
      <w:r>
        <w:rPr>
          <w:color w:val="231F20"/>
          <w:spacing w:val="3"/>
        </w:rPr>
        <w:t>como</w:t>
      </w:r>
      <w:r>
        <w:rPr>
          <w:color w:val="231F20"/>
          <w:spacing w:val="58"/>
        </w:rPr>
        <w:t> </w:t>
      </w:r>
      <w:r>
        <w:rPr>
          <w:color w:val="231F20"/>
        </w:rPr>
        <w:t>algo </w:t>
      </w:r>
      <w:r>
        <w:rPr>
          <w:color w:val="231F20"/>
          <w:spacing w:val="2"/>
        </w:rPr>
        <w:t>natural </w:t>
      </w:r>
      <w:r>
        <w:rPr>
          <w:color w:val="231F20"/>
        </w:rPr>
        <w:t>o </w:t>
      </w:r>
      <w:r>
        <w:rPr>
          <w:color w:val="231F20"/>
          <w:spacing w:val="3"/>
        </w:rPr>
        <w:t>como fenómeno </w:t>
      </w:r>
      <w:r>
        <w:rPr>
          <w:color w:val="231F20"/>
          <w:spacing w:val="2"/>
        </w:rPr>
        <w:t>individual, </w:t>
      </w:r>
      <w:r>
        <w:rPr>
          <w:color w:val="231F20"/>
        </w:rPr>
        <w:t>a la vez que es </w:t>
      </w:r>
      <w:r>
        <w:rPr>
          <w:color w:val="231F20"/>
          <w:spacing w:val="2"/>
        </w:rPr>
        <w:t>posible examinar </w:t>
      </w:r>
      <w:r>
        <w:rPr>
          <w:color w:val="231F20"/>
        </w:rPr>
        <w:t>la </w:t>
      </w:r>
      <w:r>
        <w:rPr>
          <w:color w:val="231F20"/>
          <w:spacing w:val="3"/>
        </w:rPr>
        <w:t>manera </w:t>
      </w:r>
      <w:r>
        <w:rPr>
          <w:color w:val="231F20"/>
        </w:rPr>
        <w:t>en </w:t>
      </w:r>
      <w:r>
        <w:rPr>
          <w:color w:val="231F20"/>
          <w:spacing w:val="2"/>
        </w:rPr>
        <w:t>que </w:t>
      </w:r>
      <w:r>
        <w:rPr>
          <w:color w:val="231F20"/>
        </w:rPr>
        <w:t>se </w:t>
      </w:r>
      <w:r>
        <w:rPr>
          <w:color w:val="231F20"/>
          <w:spacing w:val="2"/>
        </w:rPr>
        <w:t>organizan </w:t>
      </w:r>
      <w:r>
        <w:rPr>
          <w:color w:val="231F20"/>
        </w:rPr>
        <w:t>y </w:t>
      </w:r>
      <w:r>
        <w:rPr>
          <w:color w:val="231F20"/>
          <w:spacing w:val="3"/>
        </w:rPr>
        <w:t>funcionan </w:t>
      </w:r>
      <w:r>
        <w:rPr>
          <w:color w:val="231F20"/>
        </w:rPr>
        <w:t>las </w:t>
      </w:r>
      <w:r>
        <w:rPr>
          <w:color w:val="231F20"/>
          <w:spacing w:val="2"/>
        </w:rPr>
        <w:t>institucio- nes educativas arrogándose </w:t>
      </w:r>
      <w:r>
        <w:rPr>
          <w:color w:val="231F20"/>
        </w:rPr>
        <w:t>el uso y </w:t>
      </w:r>
      <w:r>
        <w:rPr>
          <w:color w:val="231F20"/>
          <w:spacing w:val="2"/>
        </w:rPr>
        <w:t>los medios </w:t>
      </w:r>
      <w:r>
        <w:rPr>
          <w:color w:val="231F20"/>
        </w:rPr>
        <w:t>de  </w:t>
      </w:r>
      <w:r>
        <w:rPr>
          <w:color w:val="231F20"/>
          <w:spacing w:val="2"/>
        </w:rPr>
        <w:t>una violencia  </w:t>
      </w:r>
      <w:r>
        <w:rPr>
          <w:color w:val="231F20"/>
        </w:rPr>
        <w:t>que es </w:t>
      </w:r>
      <w:r>
        <w:rPr>
          <w:color w:val="231F20"/>
          <w:spacing w:val="2"/>
        </w:rPr>
        <w:t>considerada legítima, </w:t>
      </w:r>
      <w:r>
        <w:rPr>
          <w:color w:val="231F20"/>
        </w:rPr>
        <w:t>o </w:t>
      </w:r>
      <w:r>
        <w:rPr>
          <w:color w:val="231F20"/>
          <w:spacing w:val="2"/>
        </w:rPr>
        <w:t>bien, </w:t>
      </w:r>
      <w:r>
        <w:rPr>
          <w:color w:val="231F20"/>
        </w:rPr>
        <w:t>se </w:t>
      </w:r>
      <w:r>
        <w:rPr>
          <w:color w:val="231F20"/>
          <w:spacing w:val="2"/>
        </w:rPr>
        <w:t>presenta </w:t>
      </w:r>
      <w:r>
        <w:rPr>
          <w:color w:val="231F20"/>
          <w:spacing w:val="3"/>
        </w:rPr>
        <w:t>como </w:t>
      </w:r>
      <w:r>
        <w:rPr>
          <w:color w:val="231F20"/>
          <w:spacing w:val="2"/>
        </w:rPr>
        <w:t>una </w:t>
      </w:r>
      <w:r>
        <w:rPr>
          <w:color w:val="231F20"/>
          <w:spacing w:val="3"/>
        </w:rPr>
        <w:t>situa- </w:t>
      </w:r>
      <w:r>
        <w:rPr>
          <w:color w:val="231F20"/>
          <w:spacing w:val="2"/>
        </w:rPr>
        <w:t>ción inocente que organiza </w:t>
      </w:r>
      <w:r>
        <w:rPr>
          <w:color w:val="231F20"/>
        </w:rPr>
        <w:t>un </w:t>
      </w:r>
      <w:r>
        <w:rPr>
          <w:color w:val="231F20"/>
          <w:spacing w:val="2"/>
        </w:rPr>
        <w:t>sistema </w:t>
      </w:r>
      <w:r>
        <w:rPr>
          <w:color w:val="231F20"/>
        </w:rPr>
        <w:t>de </w:t>
      </w:r>
      <w:r>
        <w:rPr>
          <w:color w:val="231F20"/>
          <w:spacing w:val="3"/>
        </w:rPr>
        <w:t>reconocimientos </w:t>
      </w:r>
      <w:r>
        <w:rPr>
          <w:color w:val="231F20"/>
          <w:spacing w:val="2"/>
        </w:rPr>
        <w:t>acadé- micos que instaura </w:t>
      </w:r>
      <w:r>
        <w:rPr>
          <w:color w:val="231F20"/>
          <w:spacing w:val="3"/>
        </w:rPr>
        <w:t>mecanismos </w:t>
      </w:r>
      <w:r>
        <w:rPr>
          <w:color w:val="231F20"/>
        </w:rPr>
        <w:t>de </w:t>
      </w:r>
      <w:r>
        <w:rPr>
          <w:color w:val="231F20"/>
          <w:spacing w:val="2"/>
        </w:rPr>
        <w:t>poder </w:t>
      </w:r>
      <w:r>
        <w:rPr>
          <w:color w:val="231F20"/>
        </w:rPr>
        <w:t>en el </w:t>
      </w:r>
      <w:r>
        <w:rPr>
          <w:color w:val="231F20"/>
          <w:spacing w:val="2"/>
        </w:rPr>
        <w:t>trabajo</w:t>
      </w:r>
      <w:r>
        <w:rPr>
          <w:color w:val="231F20"/>
          <w:spacing w:val="36"/>
        </w:rPr>
        <w:t> </w:t>
      </w:r>
      <w:r>
        <w:rPr>
          <w:color w:val="231F20"/>
          <w:spacing w:val="2"/>
        </w:rPr>
        <w:t>académico.</w:t>
      </w:r>
    </w:p>
    <w:p>
      <w:pPr>
        <w:spacing w:after="0" w:line="249" w:lineRule="auto"/>
        <w:jc w:val="both"/>
        <w:sectPr>
          <w:headerReference w:type="default" r:id="rId44"/>
          <w:footerReference w:type="default" r:id="rId45"/>
          <w:pgSz w:w="7830" w:h="11910"/>
          <w:pgMar w:header="0" w:footer="424" w:top="500" w:bottom="620" w:left="740" w:right="1020"/>
          <w:pgNumType w:start="16"/>
        </w:sectPr>
      </w:pPr>
    </w:p>
    <w:p>
      <w:pPr>
        <w:spacing w:before="48"/>
        <w:ind w:left="1502" w:right="148" w:firstLine="0"/>
        <w:jc w:val="left"/>
        <w:rPr>
          <w:rFonts w:ascii="Georgia" w:hAnsi="Georgia"/>
          <w:sz w:val="13"/>
        </w:rPr>
      </w:pPr>
      <w:r>
        <w:rPr>
          <w:rFonts w:ascii="Georgia" w:hAnsi="Georgia"/>
          <w:color w:val="231F20"/>
          <w:sz w:val="16"/>
        </w:rPr>
        <w:t>E</w:t>
      </w:r>
      <w:r>
        <w:rPr>
          <w:rFonts w:ascii="Georgia" w:hAnsi="Georgia"/>
          <w:color w:val="231F20"/>
          <w:sz w:val="13"/>
        </w:rPr>
        <w:t>STUDIOS SOBRE VIOLENCIA EN LA EDUCACIÓN</w:t>
      </w:r>
    </w:p>
    <w:p>
      <w:pPr>
        <w:pStyle w:val="BodyText"/>
        <w:rPr>
          <w:rFonts w:ascii="Georgia"/>
          <w:sz w:val="16"/>
        </w:rPr>
      </w:pPr>
    </w:p>
    <w:p>
      <w:pPr>
        <w:pStyle w:val="ListParagraph"/>
        <w:numPr>
          <w:ilvl w:val="0"/>
          <w:numId w:val="1"/>
        </w:numPr>
        <w:tabs>
          <w:tab w:pos="320" w:val="left" w:leader="none"/>
        </w:tabs>
        <w:spacing w:line="249" w:lineRule="auto" w:before="99" w:after="0"/>
        <w:ind w:left="112" w:right="108" w:firstLine="0"/>
        <w:jc w:val="both"/>
        <w:rPr>
          <w:rFonts w:ascii="Georgia" w:hAnsi="Georgia"/>
          <w:color w:val="231F20"/>
          <w:sz w:val="21"/>
        </w:rPr>
      </w:pPr>
      <w:r>
        <w:rPr>
          <w:rFonts w:ascii="Georgia" w:hAnsi="Georgia"/>
          <w:color w:val="231F20"/>
          <w:w w:val="95"/>
          <w:sz w:val="21"/>
        </w:rPr>
        <w:t>El</w:t>
      </w:r>
      <w:r>
        <w:rPr>
          <w:rFonts w:ascii="Georgia" w:hAnsi="Georgia"/>
          <w:color w:val="231F20"/>
          <w:spacing w:val="-19"/>
          <w:w w:val="95"/>
          <w:sz w:val="21"/>
        </w:rPr>
        <w:t> </w:t>
      </w:r>
      <w:r>
        <w:rPr>
          <w:rFonts w:ascii="Georgia" w:hAnsi="Georgia"/>
          <w:color w:val="231F20"/>
          <w:w w:val="95"/>
          <w:sz w:val="21"/>
        </w:rPr>
        <w:t>discurso</w:t>
      </w:r>
      <w:r>
        <w:rPr>
          <w:rFonts w:ascii="Georgia" w:hAnsi="Georgia"/>
          <w:color w:val="231F20"/>
          <w:spacing w:val="-19"/>
          <w:w w:val="95"/>
          <w:sz w:val="21"/>
        </w:rPr>
        <w:t> </w:t>
      </w:r>
      <w:r>
        <w:rPr>
          <w:rFonts w:ascii="Georgia" w:hAnsi="Georgia"/>
          <w:color w:val="231F20"/>
          <w:w w:val="95"/>
          <w:sz w:val="21"/>
        </w:rPr>
        <w:t>de</w:t>
      </w:r>
      <w:r>
        <w:rPr>
          <w:rFonts w:ascii="Georgia" w:hAnsi="Georgia"/>
          <w:color w:val="231F20"/>
          <w:spacing w:val="-19"/>
          <w:w w:val="95"/>
          <w:sz w:val="21"/>
        </w:rPr>
        <w:t> </w:t>
      </w:r>
      <w:r>
        <w:rPr>
          <w:rFonts w:ascii="Georgia" w:hAnsi="Georgia"/>
          <w:color w:val="231F20"/>
          <w:w w:val="95"/>
          <w:sz w:val="21"/>
        </w:rPr>
        <w:t>las</w:t>
      </w:r>
      <w:r>
        <w:rPr>
          <w:rFonts w:ascii="Georgia" w:hAnsi="Georgia"/>
          <w:color w:val="231F20"/>
          <w:spacing w:val="-19"/>
          <w:w w:val="95"/>
          <w:sz w:val="21"/>
        </w:rPr>
        <w:t> </w:t>
      </w:r>
      <w:r>
        <w:rPr>
          <w:rFonts w:ascii="Georgia" w:hAnsi="Georgia"/>
          <w:color w:val="231F20"/>
          <w:w w:val="95"/>
          <w:sz w:val="21"/>
        </w:rPr>
        <w:t>políticas</w:t>
      </w:r>
      <w:r>
        <w:rPr>
          <w:rFonts w:ascii="Georgia" w:hAnsi="Georgia"/>
          <w:color w:val="231F20"/>
          <w:spacing w:val="-19"/>
          <w:w w:val="95"/>
          <w:sz w:val="21"/>
        </w:rPr>
        <w:t> </w:t>
      </w:r>
      <w:r>
        <w:rPr>
          <w:rFonts w:ascii="Georgia" w:hAnsi="Georgia"/>
          <w:color w:val="231F20"/>
          <w:w w:val="95"/>
          <w:sz w:val="21"/>
        </w:rPr>
        <w:t>educativas</w:t>
      </w:r>
      <w:r>
        <w:rPr>
          <w:rFonts w:ascii="Georgia" w:hAnsi="Georgia"/>
          <w:color w:val="231F20"/>
          <w:spacing w:val="-18"/>
          <w:w w:val="95"/>
          <w:sz w:val="21"/>
        </w:rPr>
        <w:t> </w:t>
      </w:r>
      <w:r>
        <w:rPr>
          <w:rFonts w:ascii="Georgia" w:hAnsi="Georgia"/>
          <w:color w:val="231F20"/>
          <w:w w:val="95"/>
          <w:sz w:val="21"/>
        </w:rPr>
        <w:t>de</w:t>
      </w:r>
      <w:r>
        <w:rPr>
          <w:rFonts w:ascii="Georgia" w:hAnsi="Georgia"/>
          <w:color w:val="231F20"/>
          <w:spacing w:val="-19"/>
          <w:w w:val="95"/>
          <w:sz w:val="21"/>
        </w:rPr>
        <w:t> </w:t>
      </w:r>
      <w:r>
        <w:rPr>
          <w:rFonts w:ascii="Georgia" w:hAnsi="Georgia"/>
          <w:color w:val="231F20"/>
          <w:w w:val="95"/>
          <w:sz w:val="21"/>
        </w:rPr>
        <w:t>la</w:t>
      </w:r>
      <w:r>
        <w:rPr>
          <w:rFonts w:ascii="Georgia" w:hAnsi="Georgia"/>
          <w:color w:val="231F20"/>
          <w:spacing w:val="-19"/>
          <w:w w:val="95"/>
          <w:sz w:val="21"/>
        </w:rPr>
        <w:t> </w:t>
      </w:r>
      <w:r>
        <w:rPr>
          <w:rFonts w:ascii="Georgia" w:hAnsi="Georgia"/>
          <w:color w:val="231F20"/>
          <w:w w:val="95"/>
          <w:sz w:val="21"/>
        </w:rPr>
        <w:t>teoría</w:t>
      </w:r>
      <w:r>
        <w:rPr>
          <w:rFonts w:ascii="Georgia" w:hAnsi="Georgia"/>
          <w:color w:val="231F20"/>
          <w:spacing w:val="-19"/>
          <w:w w:val="95"/>
          <w:sz w:val="21"/>
        </w:rPr>
        <w:t> </w:t>
      </w:r>
      <w:r>
        <w:rPr>
          <w:rFonts w:ascii="Georgia" w:hAnsi="Georgia"/>
          <w:color w:val="231F20"/>
          <w:w w:val="95"/>
          <w:sz w:val="21"/>
        </w:rPr>
        <w:t>a</w:t>
      </w:r>
      <w:r>
        <w:rPr>
          <w:rFonts w:ascii="Georgia" w:hAnsi="Georgia"/>
          <w:color w:val="231F20"/>
          <w:spacing w:val="-19"/>
          <w:w w:val="95"/>
          <w:sz w:val="21"/>
        </w:rPr>
        <w:t> </w:t>
      </w:r>
      <w:r>
        <w:rPr>
          <w:rFonts w:ascii="Georgia" w:hAnsi="Georgia"/>
          <w:color w:val="231F20"/>
          <w:w w:val="95"/>
          <w:sz w:val="21"/>
        </w:rPr>
        <w:t>la</w:t>
      </w:r>
      <w:r>
        <w:rPr>
          <w:rFonts w:ascii="Georgia" w:hAnsi="Georgia"/>
          <w:color w:val="231F20"/>
          <w:spacing w:val="-19"/>
          <w:w w:val="95"/>
          <w:sz w:val="21"/>
        </w:rPr>
        <w:t> </w:t>
      </w:r>
      <w:r>
        <w:rPr>
          <w:rFonts w:ascii="Georgia" w:hAnsi="Georgia"/>
          <w:color w:val="231F20"/>
          <w:w w:val="95"/>
          <w:sz w:val="21"/>
        </w:rPr>
        <w:t>ideología,</w:t>
      </w:r>
      <w:r>
        <w:rPr>
          <w:rFonts w:ascii="Georgia" w:hAnsi="Georgia"/>
          <w:color w:val="231F20"/>
          <w:spacing w:val="-19"/>
          <w:w w:val="95"/>
          <w:sz w:val="21"/>
        </w:rPr>
        <w:t> </w:t>
      </w:r>
      <w:r>
        <w:rPr>
          <w:rFonts w:ascii="Georgia" w:hAnsi="Georgia"/>
          <w:color w:val="231F20"/>
          <w:w w:val="95"/>
          <w:sz w:val="21"/>
        </w:rPr>
        <w:t>de Maximiliano</w:t>
      </w:r>
      <w:r>
        <w:rPr>
          <w:rFonts w:ascii="Georgia" w:hAnsi="Georgia"/>
          <w:color w:val="231F20"/>
          <w:spacing w:val="-18"/>
          <w:w w:val="95"/>
          <w:sz w:val="21"/>
        </w:rPr>
        <w:t> </w:t>
      </w:r>
      <w:r>
        <w:rPr>
          <w:rFonts w:ascii="Georgia" w:hAnsi="Georgia"/>
          <w:color w:val="231F20"/>
          <w:w w:val="95"/>
          <w:sz w:val="21"/>
        </w:rPr>
        <w:t>Valle</w:t>
      </w:r>
      <w:r>
        <w:rPr>
          <w:rFonts w:ascii="Georgia" w:hAnsi="Georgia"/>
          <w:color w:val="231F20"/>
          <w:spacing w:val="-18"/>
          <w:w w:val="95"/>
          <w:sz w:val="21"/>
        </w:rPr>
        <w:t> </w:t>
      </w:r>
      <w:r>
        <w:rPr>
          <w:rFonts w:ascii="Georgia" w:hAnsi="Georgia"/>
          <w:color w:val="231F20"/>
          <w:w w:val="95"/>
          <w:sz w:val="21"/>
        </w:rPr>
        <w:t>Cruz,</w:t>
      </w:r>
      <w:r>
        <w:rPr>
          <w:rFonts w:ascii="Georgia" w:hAnsi="Georgia"/>
          <w:color w:val="231F20"/>
          <w:spacing w:val="-18"/>
          <w:w w:val="95"/>
          <w:sz w:val="21"/>
        </w:rPr>
        <w:t> </w:t>
      </w:r>
      <w:r>
        <w:rPr>
          <w:rFonts w:ascii="Georgia" w:hAnsi="Georgia"/>
          <w:color w:val="231F20"/>
          <w:w w:val="95"/>
          <w:sz w:val="21"/>
        </w:rPr>
        <w:t>integrante</w:t>
      </w:r>
      <w:r>
        <w:rPr>
          <w:rFonts w:ascii="Georgia" w:hAnsi="Georgia"/>
          <w:color w:val="231F20"/>
          <w:spacing w:val="-18"/>
          <w:w w:val="95"/>
          <w:sz w:val="21"/>
        </w:rPr>
        <w:t> </w:t>
      </w:r>
      <w:r>
        <w:rPr>
          <w:rFonts w:ascii="Georgia" w:hAnsi="Georgia"/>
          <w:color w:val="231F20"/>
          <w:w w:val="95"/>
          <w:sz w:val="21"/>
        </w:rPr>
        <w:t>del</w:t>
      </w:r>
      <w:r>
        <w:rPr>
          <w:rFonts w:ascii="Georgia" w:hAnsi="Georgia"/>
          <w:color w:val="231F20"/>
          <w:spacing w:val="-18"/>
          <w:w w:val="95"/>
          <w:sz w:val="21"/>
        </w:rPr>
        <w:t> </w:t>
      </w:r>
      <w:r>
        <w:rPr>
          <w:rFonts w:ascii="Georgia" w:hAnsi="Georgia"/>
          <w:color w:val="231F20"/>
          <w:w w:val="95"/>
          <w:sz w:val="21"/>
        </w:rPr>
        <w:t>cuerpo</w:t>
      </w:r>
      <w:r>
        <w:rPr>
          <w:rFonts w:ascii="Georgia" w:hAnsi="Georgia"/>
          <w:color w:val="231F20"/>
          <w:spacing w:val="-18"/>
          <w:w w:val="95"/>
          <w:sz w:val="21"/>
        </w:rPr>
        <w:t> </w:t>
      </w:r>
      <w:r>
        <w:rPr>
          <w:rFonts w:ascii="Georgia" w:hAnsi="Georgia"/>
          <w:color w:val="231F20"/>
          <w:w w:val="95"/>
          <w:sz w:val="21"/>
        </w:rPr>
        <w:t>académico</w:t>
      </w:r>
      <w:r>
        <w:rPr>
          <w:rFonts w:ascii="Georgia" w:hAnsi="Georgia"/>
          <w:color w:val="231F20"/>
          <w:spacing w:val="-18"/>
          <w:w w:val="95"/>
          <w:sz w:val="21"/>
        </w:rPr>
        <w:t> </w:t>
      </w:r>
      <w:r>
        <w:rPr>
          <w:rFonts w:ascii="Georgia" w:hAnsi="Georgia"/>
          <w:color w:val="231F20"/>
          <w:w w:val="95"/>
          <w:sz w:val="21"/>
        </w:rPr>
        <w:t>de</w:t>
      </w:r>
      <w:r>
        <w:rPr>
          <w:rFonts w:ascii="Georgia" w:hAnsi="Georgia"/>
          <w:color w:val="231F20"/>
          <w:spacing w:val="-18"/>
          <w:w w:val="95"/>
          <w:sz w:val="21"/>
        </w:rPr>
        <w:t> </w:t>
      </w:r>
      <w:r>
        <w:rPr>
          <w:rFonts w:ascii="Georgia" w:hAnsi="Georgia"/>
          <w:color w:val="231F20"/>
          <w:w w:val="95"/>
          <w:sz w:val="21"/>
        </w:rPr>
        <w:t>Educa- </w:t>
      </w:r>
      <w:r>
        <w:rPr>
          <w:rFonts w:ascii="Georgia" w:hAnsi="Georgia"/>
          <w:color w:val="231F20"/>
          <w:sz w:val="21"/>
        </w:rPr>
        <w:t>ción y Políticas Educativas (en consolidación), de la UAEMex,</w:t>
      </w:r>
      <w:r>
        <w:rPr>
          <w:rFonts w:ascii="Georgia" w:hAnsi="Georgia"/>
          <w:color w:val="231F20"/>
          <w:spacing w:val="-31"/>
          <w:sz w:val="21"/>
        </w:rPr>
        <w:t> </w:t>
      </w:r>
      <w:r>
        <w:rPr>
          <w:rFonts w:ascii="Georgia" w:hAnsi="Georgia"/>
          <w:color w:val="231F20"/>
          <w:sz w:val="21"/>
        </w:rPr>
        <w:t>y </w:t>
      </w:r>
      <w:r>
        <w:rPr>
          <w:rFonts w:ascii="Georgia" w:hAnsi="Georgia"/>
          <w:color w:val="231F20"/>
          <w:w w:val="95"/>
          <w:sz w:val="21"/>
        </w:rPr>
        <w:t>Secretario</w:t>
      </w:r>
      <w:r>
        <w:rPr>
          <w:rFonts w:ascii="Georgia" w:hAnsi="Georgia"/>
          <w:color w:val="231F20"/>
          <w:spacing w:val="-9"/>
          <w:w w:val="95"/>
          <w:sz w:val="21"/>
        </w:rPr>
        <w:t> </w:t>
      </w:r>
      <w:r>
        <w:rPr>
          <w:rFonts w:ascii="Georgia" w:hAnsi="Georgia"/>
          <w:color w:val="231F20"/>
          <w:w w:val="95"/>
          <w:sz w:val="21"/>
        </w:rPr>
        <w:t>de</w:t>
      </w:r>
      <w:r>
        <w:rPr>
          <w:rFonts w:ascii="Georgia" w:hAnsi="Georgia"/>
          <w:color w:val="231F20"/>
          <w:spacing w:val="-9"/>
          <w:w w:val="95"/>
          <w:sz w:val="21"/>
        </w:rPr>
        <w:t> </w:t>
      </w:r>
      <w:r>
        <w:rPr>
          <w:rFonts w:ascii="Georgia" w:hAnsi="Georgia"/>
          <w:color w:val="231F20"/>
          <w:w w:val="95"/>
          <w:sz w:val="21"/>
        </w:rPr>
        <w:t>la</w:t>
      </w:r>
      <w:r>
        <w:rPr>
          <w:rFonts w:ascii="Georgia" w:hAnsi="Georgia"/>
          <w:color w:val="231F20"/>
          <w:spacing w:val="-9"/>
          <w:w w:val="95"/>
          <w:sz w:val="21"/>
        </w:rPr>
        <w:t> </w:t>
      </w:r>
      <w:r>
        <w:rPr>
          <w:rFonts w:ascii="Georgia" w:hAnsi="Georgia"/>
          <w:color w:val="231F20"/>
          <w:w w:val="95"/>
          <w:sz w:val="21"/>
        </w:rPr>
        <w:t>Red</w:t>
      </w:r>
      <w:r>
        <w:rPr>
          <w:rFonts w:ascii="Georgia" w:hAnsi="Georgia"/>
          <w:color w:val="231F20"/>
          <w:spacing w:val="-9"/>
          <w:w w:val="95"/>
          <w:sz w:val="21"/>
        </w:rPr>
        <w:t> </w:t>
      </w:r>
      <w:r>
        <w:rPr>
          <w:rFonts w:ascii="Georgia" w:hAnsi="Georgia"/>
          <w:color w:val="231F20"/>
          <w:w w:val="95"/>
          <w:sz w:val="21"/>
        </w:rPr>
        <w:t>de</w:t>
      </w:r>
      <w:r>
        <w:rPr>
          <w:rFonts w:ascii="Georgia" w:hAnsi="Georgia"/>
          <w:color w:val="231F20"/>
          <w:spacing w:val="-9"/>
          <w:w w:val="95"/>
          <w:sz w:val="21"/>
        </w:rPr>
        <w:t> </w:t>
      </w:r>
      <w:r>
        <w:rPr>
          <w:rFonts w:ascii="Georgia" w:hAnsi="Georgia"/>
          <w:color w:val="231F20"/>
          <w:w w:val="95"/>
          <w:sz w:val="21"/>
        </w:rPr>
        <w:t>Cuerpos</w:t>
      </w:r>
      <w:r>
        <w:rPr>
          <w:rFonts w:ascii="Georgia" w:hAnsi="Georgia"/>
          <w:color w:val="231F20"/>
          <w:spacing w:val="-9"/>
          <w:w w:val="95"/>
          <w:sz w:val="21"/>
        </w:rPr>
        <w:t> </w:t>
      </w:r>
      <w:r>
        <w:rPr>
          <w:rFonts w:ascii="Georgia" w:hAnsi="Georgia"/>
          <w:color w:val="231F20"/>
          <w:w w:val="95"/>
          <w:sz w:val="21"/>
        </w:rPr>
        <w:t>Académicos</w:t>
      </w:r>
      <w:r>
        <w:rPr>
          <w:rFonts w:ascii="Georgia" w:hAnsi="Georgia"/>
          <w:color w:val="231F20"/>
          <w:spacing w:val="-9"/>
          <w:w w:val="95"/>
          <w:sz w:val="21"/>
        </w:rPr>
        <w:t> </w:t>
      </w:r>
      <w:r>
        <w:rPr>
          <w:rFonts w:ascii="Georgia" w:hAnsi="Georgia"/>
          <w:color w:val="231F20"/>
          <w:w w:val="95"/>
          <w:sz w:val="21"/>
        </w:rPr>
        <w:t>en</w:t>
      </w:r>
      <w:r>
        <w:rPr>
          <w:rFonts w:ascii="Georgia" w:hAnsi="Georgia"/>
          <w:color w:val="231F20"/>
          <w:spacing w:val="-9"/>
          <w:w w:val="95"/>
          <w:sz w:val="21"/>
        </w:rPr>
        <w:t> </w:t>
      </w:r>
      <w:r>
        <w:rPr>
          <w:rFonts w:ascii="Georgia" w:hAnsi="Georgia"/>
          <w:color w:val="231F20"/>
          <w:w w:val="95"/>
          <w:sz w:val="21"/>
        </w:rPr>
        <w:t>Política,</w:t>
      </w:r>
      <w:r>
        <w:rPr>
          <w:rFonts w:ascii="Georgia" w:hAnsi="Georgia"/>
          <w:color w:val="231F20"/>
          <w:spacing w:val="-9"/>
          <w:w w:val="95"/>
          <w:sz w:val="21"/>
        </w:rPr>
        <w:t> </w:t>
      </w:r>
      <w:r>
        <w:rPr>
          <w:rFonts w:ascii="Georgia" w:hAnsi="Georgia"/>
          <w:color w:val="231F20"/>
          <w:w w:val="95"/>
          <w:sz w:val="21"/>
        </w:rPr>
        <w:t>Educación </w:t>
      </w:r>
      <w:r>
        <w:rPr>
          <w:rFonts w:ascii="Georgia" w:hAnsi="Georgia"/>
          <w:color w:val="231F20"/>
          <w:w w:val="90"/>
          <w:sz w:val="21"/>
        </w:rPr>
        <w:t>y</w:t>
      </w:r>
      <w:r>
        <w:rPr>
          <w:rFonts w:ascii="Georgia" w:hAnsi="Georgia"/>
          <w:color w:val="231F20"/>
          <w:spacing w:val="2"/>
          <w:w w:val="90"/>
          <w:sz w:val="21"/>
        </w:rPr>
        <w:t> </w:t>
      </w:r>
      <w:r>
        <w:rPr>
          <w:rFonts w:ascii="Georgia" w:hAnsi="Georgia"/>
          <w:color w:val="231F20"/>
          <w:w w:val="90"/>
          <w:sz w:val="21"/>
        </w:rPr>
        <w:t>Universidad.</w:t>
      </w:r>
    </w:p>
    <w:p>
      <w:pPr>
        <w:pStyle w:val="BodyText"/>
        <w:spacing w:line="252" w:lineRule="auto" w:before="15"/>
        <w:ind w:left="112" w:right="106" w:firstLine="284"/>
        <w:jc w:val="both"/>
        <w:rPr>
          <w:rFonts w:ascii="Georgia" w:hAnsi="Georgia"/>
        </w:rPr>
      </w:pPr>
      <w:r>
        <w:rPr>
          <w:rFonts w:ascii="Georgia" w:hAnsi="Georgia"/>
          <w:color w:val="231F20"/>
          <w:w w:val="90"/>
        </w:rPr>
        <w:t>El trabajo sostiene, para examinar la violencia en las instituciones </w:t>
      </w:r>
      <w:r>
        <w:rPr>
          <w:rFonts w:ascii="Georgia" w:hAnsi="Georgia"/>
          <w:color w:val="231F20"/>
          <w:w w:val="95"/>
        </w:rPr>
        <w:t>de</w:t>
      </w:r>
      <w:r>
        <w:rPr>
          <w:rFonts w:ascii="Georgia" w:hAnsi="Georgia"/>
          <w:color w:val="231F20"/>
          <w:spacing w:val="-23"/>
          <w:w w:val="95"/>
        </w:rPr>
        <w:t> </w:t>
      </w:r>
      <w:r>
        <w:rPr>
          <w:rFonts w:ascii="Georgia" w:hAnsi="Georgia"/>
          <w:color w:val="231F20"/>
          <w:w w:val="95"/>
        </w:rPr>
        <w:t>educación</w:t>
      </w:r>
      <w:r>
        <w:rPr>
          <w:rFonts w:ascii="Georgia" w:hAnsi="Georgia"/>
          <w:color w:val="231F20"/>
          <w:spacing w:val="-23"/>
          <w:w w:val="95"/>
        </w:rPr>
        <w:t> </w:t>
      </w:r>
      <w:r>
        <w:rPr>
          <w:rFonts w:ascii="Georgia" w:hAnsi="Georgia"/>
          <w:color w:val="231F20"/>
          <w:w w:val="95"/>
        </w:rPr>
        <w:t>superior,</w:t>
      </w:r>
      <w:r>
        <w:rPr>
          <w:rFonts w:ascii="Georgia" w:hAnsi="Georgia"/>
          <w:color w:val="231F20"/>
          <w:spacing w:val="-24"/>
          <w:w w:val="95"/>
        </w:rPr>
        <w:t> </w:t>
      </w:r>
      <w:r>
        <w:rPr>
          <w:rFonts w:ascii="Georgia" w:hAnsi="Georgia"/>
          <w:color w:val="231F20"/>
          <w:w w:val="95"/>
        </w:rPr>
        <w:t>que</w:t>
      </w:r>
      <w:r>
        <w:rPr>
          <w:rFonts w:ascii="Georgia" w:hAnsi="Georgia"/>
          <w:color w:val="231F20"/>
          <w:spacing w:val="-23"/>
          <w:w w:val="95"/>
        </w:rPr>
        <w:t> </w:t>
      </w:r>
      <w:r>
        <w:rPr>
          <w:rFonts w:ascii="Georgia" w:hAnsi="Georgia"/>
          <w:color w:val="231F20"/>
          <w:w w:val="95"/>
        </w:rPr>
        <w:t>siendo</w:t>
      </w:r>
      <w:r>
        <w:rPr>
          <w:rFonts w:ascii="Georgia" w:hAnsi="Georgia"/>
          <w:color w:val="231F20"/>
          <w:spacing w:val="-23"/>
          <w:w w:val="95"/>
        </w:rPr>
        <w:t> </w:t>
      </w:r>
      <w:r>
        <w:rPr>
          <w:rFonts w:ascii="Georgia" w:hAnsi="Georgia"/>
          <w:color w:val="231F20"/>
          <w:w w:val="95"/>
        </w:rPr>
        <w:t>la</w:t>
      </w:r>
      <w:r>
        <w:rPr>
          <w:rFonts w:ascii="Georgia" w:hAnsi="Georgia"/>
          <w:color w:val="231F20"/>
          <w:spacing w:val="-23"/>
          <w:w w:val="95"/>
        </w:rPr>
        <w:t> </w:t>
      </w:r>
      <w:r>
        <w:rPr>
          <w:rFonts w:ascii="Georgia" w:hAnsi="Georgia"/>
          <w:color w:val="231F20"/>
          <w:w w:val="95"/>
        </w:rPr>
        <w:t>violencia</w:t>
      </w:r>
      <w:r>
        <w:rPr>
          <w:rFonts w:ascii="Georgia" w:hAnsi="Georgia"/>
          <w:color w:val="231F20"/>
          <w:spacing w:val="-23"/>
          <w:w w:val="95"/>
        </w:rPr>
        <w:t> </w:t>
      </w:r>
      <w:r>
        <w:rPr>
          <w:rFonts w:ascii="Georgia" w:hAnsi="Georgia"/>
          <w:color w:val="231F20"/>
          <w:w w:val="95"/>
        </w:rPr>
        <w:t>expresión</w:t>
      </w:r>
      <w:r>
        <w:rPr>
          <w:rFonts w:ascii="Georgia" w:hAnsi="Georgia"/>
          <w:color w:val="231F20"/>
          <w:spacing w:val="-23"/>
          <w:w w:val="95"/>
        </w:rPr>
        <w:t> </w:t>
      </w:r>
      <w:r>
        <w:rPr>
          <w:rFonts w:ascii="Georgia" w:hAnsi="Georgia"/>
          <w:color w:val="231F20"/>
          <w:w w:val="95"/>
        </w:rPr>
        <w:t>fenoménica de relaciones sociales contradictorias, que implican el ejercicio del </w:t>
      </w:r>
      <w:r>
        <w:rPr>
          <w:rFonts w:ascii="Georgia" w:hAnsi="Georgia"/>
          <w:color w:val="231F20"/>
          <w:w w:val="90"/>
        </w:rPr>
        <w:t>poder, es necesario reconstruir los conceptos de ideología en términos </w:t>
      </w:r>
      <w:r>
        <w:rPr>
          <w:rFonts w:ascii="Georgia" w:hAnsi="Georgia"/>
          <w:color w:val="231F20"/>
          <w:w w:val="95"/>
        </w:rPr>
        <w:t>de las funciones de alienación, para poder comprender la violencia como</w:t>
      </w:r>
      <w:r>
        <w:rPr>
          <w:rFonts w:ascii="Georgia" w:hAnsi="Georgia"/>
          <w:color w:val="231F20"/>
          <w:spacing w:val="-27"/>
          <w:w w:val="95"/>
        </w:rPr>
        <w:t> </w:t>
      </w:r>
      <w:r>
        <w:rPr>
          <w:rFonts w:ascii="Georgia" w:hAnsi="Georgia"/>
          <w:color w:val="231F20"/>
          <w:w w:val="95"/>
        </w:rPr>
        <w:t>expresión</w:t>
      </w:r>
      <w:r>
        <w:rPr>
          <w:rFonts w:ascii="Georgia" w:hAnsi="Georgia"/>
          <w:color w:val="231F20"/>
          <w:spacing w:val="-27"/>
          <w:w w:val="95"/>
        </w:rPr>
        <w:t> </w:t>
      </w:r>
      <w:r>
        <w:rPr>
          <w:rFonts w:ascii="Georgia" w:hAnsi="Georgia"/>
          <w:color w:val="231F20"/>
          <w:w w:val="95"/>
        </w:rPr>
        <w:t>de</w:t>
      </w:r>
      <w:r>
        <w:rPr>
          <w:rFonts w:ascii="Georgia" w:hAnsi="Georgia"/>
          <w:color w:val="231F20"/>
          <w:spacing w:val="-27"/>
          <w:w w:val="95"/>
        </w:rPr>
        <w:t> </w:t>
      </w:r>
      <w:r>
        <w:rPr>
          <w:rFonts w:ascii="Georgia" w:hAnsi="Georgia"/>
          <w:color w:val="231F20"/>
          <w:w w:val="95"/>
        </w:rPr>
        <w:t>relaciones</w:t>
      </w:r>
      <w:r>
        <w:rPr>
          <w:rFonts w:ascii="Georgia" w:hAnsi="Georgia"/>
          <w:color w:val="231F20"/>
          <w:spacing w:val="-27"/>
          <w:w w:val="95"/>
        </w:rPr>
        <w:t> </w:t>
      </w:r>
      <w:r>
        <w:rPr>
          <w:rFonts w:ascii="Georgia" w:hAnsi="Georgia"/>
          <w:color w:val="231F20"/>
          <w:w w:val="95"/>
        </w:rPr>
        <w:t>sociales</w:t>
      </w:r>
      <w:r>
        <w:rPr>
          <w:rFonts w:ascii="Georgia" w:hAnsi="Georgia"/>
          <w:color w:val="231F20"/>
          <w:spacing w:val="-27"/>
          <w:w w:val="95"/>
        </w:rPr>
        <w:t> </w:t>
      </w:r>
      <w:r>
        <w:rPr>
          <w:rFonts w:ascii="Georgia" w:hAnsi="Georgia"/>
          <w:color w:val="231F20"/>
          <w:w w:val="95"/>
        </w:rPr>
        <w:t>deformadas</w:t>
      </w:r>
      <w:r>
        <w:rPr>
          <w:rFonts w:ascii="Georgia" w:hAnsi="Georgia"/>
          <w:color w:val="231F20"/>
          <w:spacing w:val="-26"/>
          <w:w w:val="95"/>
        </w:rPr>
        <w:t> </w:t>
      </w:r>
      <w:r>
        <w:rPr>
          <w:rFonts w:ascii="Georgia" w:hAnsi="Georgia"/>
          <w:color w:val="231F20"/>
          <w:w w:val="95"/>
        </w:rPr>
        <w:t>–ya</w:t>
      </w:r>
      <w:r>
        <w:rPr>
          <w:rFonts w:ascii="Georgia" w:hAnsi="Georgia"/>
          <w:color w:val="231F20"/>
          <w:spacing w:val="-27"/>
          <w:w w:val="95"/>
        </w:rPr>
        <w:t> </w:t>
      </w:r>
      <w:r>
        <w:rPr>
          <w:rFonts w:ascii="Georgia" w:hAnsi="Georgia"/>
          <w:color w:val="231F20"/>
          <w:w w:val="95"/>
        </w:rPr>
        <w:t>que</w:t>
      </w:r>
      <w:r>
        <w:rPr>
          <w:rFonts w:ascii="Georgia" w:hAnsi="Georgia"/>
          <w:color w:val="231F20"/>
          <w:spacing w:val="-27"/>
          <w:w w:val="95"/>
        </w:rPr>
        <w:t> </w:t>
      </w:r>
      <w:r>
        <w:rPr>
          <w:rFonts w:ascii="Georgia" w:hAnsi="Georgia"/>
          <w:color w:val="231F20"/>
          <w:w w:val="95"/>
        </w:rPr>
        <w:t>en</w:t>
      </w:r>
      <w:r>
        <w:rPr>
          <w:rFonts w:ascii="Georgia" w:hAnsi="Georgia"/>
          <w:color w:val="231F20"/>
          <w:spacing w:val="-27"/>
          <w:w w:val="95"/>
        </w:rPr>
        <w:t> </w:t>
      </w:r>
      <w:r>
        <w:rPr>
          <w:rFonts w:ascii="Georgia" w:hAnsi="Georgia"/>
          <w:color w:val="231F20"/>
          <w:w w:val="95"/>
        </w:rPr>
        <w:t>torno</w:t>
      </w:r>
      <w:r>
        <w:rPr>
          <w:rFonts w:ascii="Georgia" w:hAnsi="Georgia"/>
          <w:color w:val="231F20"/>
          <w:spacing w:val="-27"/>
          <w:w w:val="95"/>
        </w:rPr>
        <w:t> </w:t>
      </w:r>
      <w:r>
        <w:rPr>
          <w:rFonts w:ascii="Georgia" w:hAnsi="Georgia"/>
          <w:color w:val="231F20"/>
          <w:w w:val="95"/>
        </w:rPr>
        <w:t>a </w:t>
      </w:r>
      <w:r>
        <w:rPr>
          <w:rFonts w:ascii="Georgia" w:hAnsi="Georgia"/>
          <w:color w:val="231F20"/>
          <w:w w:val="90"/>
        </w:rPr>
        <w:t>la violencia existen diversas teorías–, y proceder a discutir el concepto de</w:t>
      </w:r>
      <w:r>
        <w:rPr>
          <w:rFonts w:ascii="Georgia" w:hAnsi="Georgia"/>
          <w:color w:val="231F20"/>
          <w:spacing w:val="-9"/>
          <w:w w:val="90"/>
        </w:rPr>
        <w:t> </w:t>
      </w:r>
      <w:r>
        <w:rPr>
          <w:rFonts w:ascii="Georgia" w:hAnsi="Georgia"/>
          <w:color w:val="231F20"/>
          <w:w w:val="90"/>
        </w:rPr>
        <w:t>políticas</w:t>
      </w:r>
      <w:r>
        <w:rPr>
          <w:rFonts w:ascii="Georgia" w:hAnsi="Georgia"/>
          <w:color w:val="231F20"/>
          <w:spacing w:val="-9"/>
          <w:w w:val="90"/>
        </w:rPr>
        <w:t> </w:t>
      </w:r>
      <w:r>
        <w:rPr>
          <w:rFonts w:ascii="Georgia" w:hAnsi="Georgia"/>
          <w:color w:val="231F20"/>
          <w:w w:val="90"/>
        </w:rPr>
        <w:t>educativas</w:t>
      </w:r>
      <w:r>
        <w:rPr>
          <w:rFonts w:ascii="Georgia" w:hAnsi="Georgia"/>
          <w:color w:val="231F20"/>
          <w:spacing w:val="-9"/>
          <w:w w:val="90"/>
        </w:rPr>
        <w:t> </w:t>
      </w:r>
      <w:r>
        <w:rPr>
          <w:rFonts w:ascii="Georgia" w:hAnsi="Georgia"/>
          <w:color w:val="231F20"/>
          <w:w w:val="90"/>
        </w:rPr>
        <w:t>en</w:t>
      </w:r>
      <w:r>
        <w:rPr>
          <w:rFonts w:ascii="Georgia" w:hAnsi="Georgia"/>
          <w:color w:val="231F20"/>
          <w:spacing w:val="-8"/>
          <w:w w:val="90"/>
        </w:rPr>
        <w:t> </w:t>
      </w:r>
      <w:r>
        <w:rPr>
          <w:rFonts w:ascii="Georgia" w:hAnsi="Georgia"/>
          <w:color w:val="231F20"/>
          <w:w w:val="90"/>
        </w:rPr>
        <w:t>términos</w:t>
      </w:r>
      <w:r>
        <w:rPr>
          <w:rFonts w:ascii="Georgia" w:hAnsi="Georgia"/>
          <w:color w:val="231F20"/>
          <w:spacing w:val="-9"/>
          <w:w w:val="90"/>
        </w:rPr>
        <w:t> </w:t>
      </w:r>
      <w:r>
        <w:rPr>
          <w:rFonts w:ascii="Georgia" w:hAnsi="Georgia"/>
          <w:color w:val="231F20"/>
          <w:w w:val="90"/>
        </w:rPr>
        <w:t>de</w:t>
      </w:r>
      <w:r>
        <w:rPr>
          <w:rFonts w:ascii="Georgia" w:hAnsi="Georgia"/>
          <w:color w:val="231F20"/>
          <w:spacing w:val="-9"/>
          <w:w w:val="90"/>
        </w:rPr>
        <w:t> </w:t>
      </w:r>
      <w:r>
        <w:rPr>
          <w:rFonts w:ascii="Georgia" w:hAnsi="Georgia"/>
          <w:color w:val="231F20"/>
          <w:w w:val="90"/>
        </w:rPr>
        <w:t>un</w:t>
      </w:r>
      <w:r>
        <w:rPr>
          <w:rFonts w:ascii="Georgia" w:hAnsi="Georgia"/>
          <w:color w:val="231F20"/>
          <w:spacing w:val="-9"/>
          <w:w w:val="90"/>
        </w:rPr>
        <w:t> </w:t>
      </w:r>
      <w:r>
        <w:rPr>
          <w:rFonts w:ascii="Georgia" w:hAnsi="Georgia"/>
          <w:color w:val="231F20"/>
          <w:w w:val="90"/>
        </w:rPr>
        <w:t>discurso</w:t>
      </w:r>
      <w:r>
        <w:rPr>
          <w:rFonts w:ascii="Georgia" w:hAnsi="Georgia"/>
          <w:color w:val="231F20"/>
          <w:spacing w:val="-9"/>
          <w:w w:val="90"/>
        </w:rPr>
        <w:t> </w:t>
      </w:r>
      <w:r>
        <w:rPr>
          <w:rFonts w:ascii="Georgia" w:hAnsi="Georgia"/>
          <w:color w:val="231F20"/>
          <w:w w:val="90"/>
        </w:rPr>
        <w:t>legitimante</w:t>
      </w:r>
      <w:r>
        <w:rPr>
          <w:rFonts w:ascii="Georgia" w:hAnsi="Georgia"/>
          <w:color w:val="231F20"/>
          <w:spacing w:val="-9"/>
          <w:w w:val="90"/>
        </w:rPr>
        <w:t> </w:t>
      </w:r>
      <w:r>
        <w:rPr>
          <w:rFonts w:ascii="Georgia" w:hAnsi="Georgia"/>
          <w:color w:val="231F20"/>
          <w:w w:val="90"/>
        </w:rPr>
        <w:t>especia- </w:t>
      </w:r>
      <w:r>
        <w:rPr>
          <w:rFonts w:ascii="Georgia" w:hAnsi="Georgia"/>
          <w:color w:val="231F20"/>
          <w:w w:val="95"/>
        </w:rPr>
        <w:t>lizado</w:t>
      </w:r>
      <w:r>
        <w:rPr>
          <w:rFonts w:ascii="Georgia" w:hAnsi="Georgia"/>
          <w:color w:val="231F20"/>
          <w:spacing w:val="-26"/>
          <w:w w:val="95"/>
        </w:rPr>
        <w:t> </w:t>
      </w:r>
      <w:r>
        <w:rPr>
          <w:rFonts w:ascii="Georgia" w:hAnsi="Georgia"/>
          <w:color w:val="231F20"/>
          <w:w w:val="95"/>
        </w:rPr>
        <w:t>(cuya</w:t>
      </w:r>
      <w:r>
        <w:rPr>
          <w:rFonts w:ascii="Georgia" w:hAnsi="Georgia"/>
          <w:color w:val="231F20"/>
          <w:spacing w:val="-26"/>
          <w:w w:val="95"/>
        </w:rPr>
        <w:t> </w:t>
      </w:r>
      <w:r>
        <w:rPr>
          <w:rFonts w:ascii="Georgia" w:hAnsi="Georgia"/>
          <w:color w:val="231F20"/>
          <w:w w:val="95"/>
        </w:rPr>
        <w:t>pretensión</w:t>
      </w:r>
      <w:r>
        <w:rPr>
          <w:rFonts w:ascii="Georgia" w:hAnsi="Georgia"/>
          <w:color w:val="231F20"/>
          <w:spacing w:val="-26"/>
          <w:w w:val="95"/>
        </w:rPr>
        <w:t> </w:t>
      </w:r>
      <w:r>
        <w:rPr>
          <w:rFonts w:ascii="Georgia" w:hAnsi="Georgia"/>
          <w:color w:val="231F20"/>
          <w:w w:val="95"/>
        </w:rPr>
        <w:t>es</w:t>
      </w:r>
      <w:r>
        <w:rPr>
          <w:rFonts w:ascii="Georgia" w:hAnsi="Georgia"/>
          <w:color w:val="231F20"/>
          <w:spacing w:val="-26"/>
          <w:w w:val="95"/>
        </w:rPr>
        <w:t> </w:t>
      </w:r>
      <w:r>
        <w:rPr>
          <w:rFonts w:ascii="Georgia" w:hAnsi="Georgia"/>
          <w:color w:val="231F20"/>
          <w:w w:val="95"/>
        </w:rPr>
        <w:t>el</w:t>
      </w:r>
      <w:r>
        <w:rPr>
          <w:rFonts w:ascii="Georgia" w:hAnsi="Georgia"/>
          <w:color w:val="231F20"/>
          <w:spacing w:val="-26"/>
          <w:w w:val="95"/>
        </w:rPr>
        <w:t> </w:t>
      </w:r>
      <w:r>
        <w:rPr>
          <w:rFonts w:ascii="Georgia" w:hAnsi="Georgia"/>
          <w:color w:val="231F20"/>
          <w:w w:val="95"/>
        </w:rPr>
        <w:t>dominio)</w:t>
      </w:r>
      <w:r>
        <w:rPr>
          <w:rFonts w:ascii="Georgia" w:hAnsi="Georgia"/>
          <w:color w:val="231F20"/>
          <w:spacing w:val="-26"/>
          <w:w w:val="95"/>
        </w:rPr>
        <w:t> </w:t>
      </w:r>
      <w:r>
        <w:rPr>
          <w:rFonts w:ascii="Georgia" w:hAnsi="Georgia"/>
          <w:color w:val="231F20"/>
          <w:w w:val="95"/>
        </w:rPr>
        <w:t>donde</w:t>
      </w:r>
      <w:r>
        <w:rPr>
          <w:rFonts w:ascii="Georgia" w:hAnsi="Georgia"/>
          <w:color w:val="231F20"/>
          <w:spacing w:val="-26"/>
          <w:w w:val="95"/>
        </w:rPr>
        <w:t> </w:t>
      </w:r>
      <w:r>
        <w:rPr>
          <w:rFonts w:ascii="Georgia" w:hAnsi="Georgia"/>
          <w:color w:val="231F20"/>
          <w:w w:val="95"/>
        </w:rPr>
        <w:t>los</w:t>
      </w:r>
      <w:r>
        <w:rPr>
          <w:rFonts w:ascii="Georgia" w:hAnsi="Georgia"/>
          <w:color w:val="231F20"/>
          <w:spacing w:val="-26"/>
          <w:w w:val="95"/>
        </w:rPr>
        <w:t> </w:t>
      </w:r>
      <w:r>
        <w:rPr>
          <w:rFonts w:ascii="Georgia" w:hAnsi="Georgia"/>
          <w:color w:val="231F20"/>
          <w:w w:val="95"/>
        </w:rPr>
        <w:t>discursos</w:t>
      </w:r>
      <w:r>
        <w:rPr>
          <w:rFonts w:ascii="Georgia" w:hAnsi="Georgia"/>
          <w:color w:val="231F20"/>
          <w:spacing w:val="-26"/>
          <w:w w:val="95"/>
        </w:rPr>
        <w:t> </w:t>
      </w:r>
      <w:r>
        <w:rPr>
          <w:rFonts w:ascii="Georgia" w:hAnsi="Georgia"/>
          <w:color w:val="231F20"/>
          <w:w w:val="95"/>
        </w:rPr>
        <w:t>teóricos</w:t>
      </w:r>
      <w:r>
        <w:rPr>
          <w:rFonts w:ascii="Georgia" w:hAnsi="Georgia"/>
          <w:color w:val="231F20"/>
          <w:spacing w:val="-26"/>
          <w:w w:val="95"/>
        </w:rPr>
        <w:t> </w:t>
      </w:r>
      <w:r>
        <w:rPr>
          <w:rFonts w:ascii="Georgia" w:hAnsi="Georgia"/>
          <w:color w:val="231F20"/>
          <w:w w:val="95"/>
        </w:rPr>
        <w:t>se convierten</w:t>
      </w:r>
      <w:r>
        <w:rPr>
          <w:rFonts w:ascii="Georgia" w:hAnsi="Georgia"/>
          <w:color w:val="231F20"/>
          <w:spacing w:val="-21"/>
          <w:w w:val="95"/>
        </w:rPr>
        <w:t> </w:t>
      </w:r>
      <w:r>
        <w:rPr>
          <w:rFonts w:ascii="Georgia" w:hAnsi="Georgia"/>
          <w:color w:val="231F20"/>
          <w:w w:val="95"/>
        </w:rPr>
        <w:t>en</w:t>
      </w:r>
      <w:r>
        <w:rPr>
          <w:rFonts w:ascii="Georgia" w:hAnsi="Georgia"/>
          <w:color w:val="231F20"/>
          <w:spacing w:val="-21"/>
          <w:w w:val="95"/>
        </w:rPr>
        <w:t> </w:t>
      </w:r>
      <w:r>
        <w:rPr>
          <w:rFonts w:ascii="Georgia" w:hAnsi="Georgia"/>
          <w:color w:val="231F20"/>
          <w:w w:val="95"/>
        </w:rPr>
        <w:t>un</w:t>
      </w:r>
      <w:r>
        <w:rPr>
          <w:rFonts w:ascii="Georgia" w:hAnsi="Georgia"/>
          <w:color w:val="231F20"/>
          <w:spacing w:val="-21"/>
          <w:w w:val="95"/>
        </w:rPr>
        <w:t> </w:t>
      </w:r>
      <w:r>
        <w:rPr>
          <w:rFonts w:ascii="Georgia" w:hAnsi="Georgia"/>
          <w:color w:val="231F20"/>
          <w:w w:val="95"/>
        </w:rPr>
        <w:t>discurso</w:t>
      </w:r>
      <w:r>
        <w:rPr>
          <w:rFonts w:ascii="Georgia" w:hAnsi="Georgia"/>
          <w:color w:val="231F20"/>
          <w:spacing w:val="-21"/>
          <w:w w:val="95"/>
        </w:rPr>
        <w:t> </w:t>
      </w:r>
      <w:r>
        <w:rPr>
          <w:rFonts w:ascii="Georgia" w:hAnsi="Georgia"/>
          <w:color w:val="231F20"/>
          <w:w w:val="95"/>
        </w:rPr>
        <w:t>del</w:t>
      </w:r>
      <w:r>
        <w:rPr>
          <w:rFonts w:ascii="Georgia" w:hAnsi="Georgia"/>
          <w:color w:val="231F20"/>
          <w:spacing w:val="-21"/>
          <w:w w:val="95"/>
        </w:rPr>
        <w:t> </w:t>
      </w:r>
      <w:r>
        <w:rPr>
          <w:rFonts w:ascii="Georgia" w:hAnsi="Georgia"/>
          <w:color w:val="231F20"/>
          <w:w w:val="95"/>
        </w:rPr>
        <w:t>poder:</w:t>
      </w:r>
      <w:r>
        <w:rPr>
          <w:rFonts w:ascii="Georgia" w:hAnsi="Georgia"/>
          <w:color w:val="231F20"/>
          <w:spacing w:val="-21"/>
          <w:w w:val="95"/>
        </w:rPr>
        <w:t> </w:t>
      </w:r>
      <w:r>
        <w:rPr>
          <w:rFonts w:ascii="Georgia" w:hAnsi="Georgia"/>
          <w:color w:val="231F20"/>
          <w:w w:val="95"/>
        </w:rPr>
        <w:t>en</w:t>
      </w:r>
      <w:r>
        <w:rPr>
          <w:rFonts w:ascii="Georgia" w:hAnsi="Georgia"/>
          <w:color w:val="231F20"/>
          <w:spacing w:val="-21"/>
          <w:w w:val="95"/>
        </w:rPr>
        <w:t> </w:t>
      </w:r>
      <w:r>
        <w:rPr>
          <w:rFonts w:ascii="Georgia" w:hAnsi="Georgia"/>
          <w:color w:val="231F20"/>
          <w:w w:val="95"/>
        </w:rPr>
        <w:t>una</w:t>
      </w:r>
      <w:r>
        <w:rPr>
          <w:rFonts w:ascii="Georgia" w:hAnsi="Georgia"/>
          <w:color w:val="231F20"/>
          <w:spacing w:val="-21"/>
          <w:w w:val="95"/>
        </w:rPr>
        <w:t> </w:t>
      </w:r>
      <w:r>
        <w:rPr>
          <w:rFonts w:ascii="Georgia" w:hAnsi="Georgia"/>
          <w:color w:val="231F20"/>
          <w:w w:val="95"/>
        </w:rPr>
        <w:t>ideología.</w:t>
      </w:r>
      <w:r>
        <w:rPr>
          <w:rFonts w:ascii="Georgia" w:hAnsi="Georgia"/>
          <w:color w:val="231F20"/>
          <w:spacing w:val="-21"/>
          <w:w w:val="95"/>
        </w:rPr>
        <w:t> </w:t>
      </w:r>
      <w:r>
        <w:rPr>
          <w:rFonts w:ascii="Georgia" w:hAnsi="Georgia"/>
          <w:color w:val="231F20"/>
          <w:w w:val="95"/>
        </w:rPr>
        <w:t>Así,</w:t>
      </w:r>
      <w:r>
        <w:rPr>
          <w:rFonts w:ascii="Georgia" w:hAnsi="Georgia"/>
          <w:color w:val="231F20"/>
          <w:spacing w:val="-21"/>
          <w:w w:val="95"/>
        </w:rPr>
        <w:t> </w:t>
      </w:r>
      <w:r>
        <w:rPr>
          <w:rFonts w:ascii="Georgia" w:hAnsi="Georgia"/>
          <w:color w:val="231F20"/>
          <w:w w:val="95"/>
        </w:rPr>
        <w:t>al</w:t>
      </w:r>
      <w:r>
        <w:rPr>
          <w:rFonts w:ascii="Georgia" w:hAnsi="Georgia"/>
          <w:color w:val="231F20"/>
          <w:spacing w:val="-21"/>
          <w:w w:val="95"/>
        </w:rPr>
        <w:t> </w:t>
      </w:r>
      <w:r>
        <w:rPr>
          <w:rFonts w:ascii="Georgia" w:hAnsi="Georgia"/>
          <w:color w:val="231F20"/>
          <w:w w:val="95"/>
        </w:rPr>
        <w:t>realizar el</w:t>
      </w:r>
      <w:r>
        <w:rPr>
          <w:rFonts w:ascii="Georgia" w:hAnsi="Georgia"/>
          <w:color w:val="231F20"/>
          <w:spacing w:val="-23"/>
          <w:w w:val="95"/>
        </w:rPr>
        <w:t> </w:t>
      </w:r>
      <w:r>
        <w:rPr>
          <w:rFonts w:ascii="Georgia" w:hAnsi="Georgia"/>
          <w:color w:val="231F20"/>
          <w:w w:val="95"/>
        </w:rPr>
        <w:t>análisis</w:t>
      </w:r>
      <w:r>
        <w:rPr>
          <w:rFonts w:ascii="Georgia" w:hAnsi="Georgia"/>
          <w:color w:val="231F20"/>
          <w:spacing w:val="-23"/>
          <w:w w:val="95"/>
        </w:rPr>
        <w:t> </w:t>
      </w:r>
      <w:r>
        <w:rPr>
          <w:rFonts w:ascii="Georgia" w:hAnsi="Georgia"/>
          <w:color w:val="231F20"/>
          <w:w w:val="95"/>
        </w:rPr>
        <w:t>concreto</w:t>
      </w:r>
      <w:r>
        <w:rPr>
          <w:rFonts w:ascii="Georgia" w:hAnsi="Georgia"/>
          <w:color w:val="231F20"/>
          <w:spacing w:val="-23"/>
          <w:w w:val="95"/>
        </w:rPr>
        <w:t> </w:t>
      </w:r>
      <w:r>
        <w:rPr>
          <w:rFonts w:ascii="Georgia" w:hAnsi="Georgia"/>
          <w:color w:val="231F20"/>
          <w:w w:val="95"/>
        </w:rPr>
        <w:t>de</w:t>
      </w:r>
      <w:r>
        <w:rPr>
          <w:rFonts w:ascii="Georgia" w:hAnsi="Georgia"/>
          <w:color w:val="231F20"/>
          <w:spacing w:val="-23"/>
          <w:w w:val="95"/>
        </w:rPr>
        <w:t> </w:t>
      </w:r>
      <w:r>
        <w:rPr>
          <w:rFonts w:ascii="Georgia" w:hAnsi="Georgia"/>
          <w:color w:val="231F20"/>
          <w:w w:val="95"/>
        </w:rPr>
        <w:t>las</w:t>
      </w:r>
      <w:r>
        <w:rPr>
          <w:rFonts w:ascii="Georgia" w:hAnsi="Georgia"/>
          <w:color w:val="231F20"/>
          <w:spacing w:val="-23"/>
          <w:w w:val="95"/>
        </w:rPr>
        <w:t> </w:t>
      </w:r>
      <w:r>
        <w:rPr>
          <w:rFonts w:ascii="Georgia" w:hAnsi="Georgia"/>
          <w:color w:val="231F20"/>
          <w:w w:val="95"/>
        </w:rPr>
        <w:t>políticas</w:t>
      </w:r>
      <w:r>
        <w:rPr>
          <w:rFonts w:ascii="Georgia" w:hAnsi="Georgia"/>
          <w:color w:val="231F20"/>
          <w:spacing w:val="-23"/>
          <w:w w:val="95"/>
        </w:rPr>
        <w:t> </w:t>
      </w:r>
      <w:r>
        <w:rPr>
          <w:rFonts w:ascii="Georgia" w:hAnsi="Georgia"/>
          <w:color w:val="231F20"/>
          <w:w w:val="95"/>
        </w:rPr>
        <w:t>educativas</w:t>
      </w:r>
      <w:r>
        <w:rPr>
          <w:rFonts w:ascii="Georgia" w:hAnsi="Georgia"/>
          <w:color w:val="231F20"/>
          <w:spacing w:val="-23"/>
          <w:w w:val="95"/>
        </w:rPr>
        <w:t> </w:t>
      </w:r>
      <w:r>
        <w:rPr>
          <w:rFonts w:ascii="Georgia" w:hAnsi="Georgia"/>
          <w:color w:val="231F20"/>
          <w:w w:val="95"/>
        </w:rPr>
        <w:t>neoliberales,</w:t>
      </w:r>
      <w:r>
        <w:rPr>
          <w:rFonts w:ascii="Georgia" w:hAnsi="Georgia"/>
          <w:color w:val="231F20"/>
          <w:spacing w:val="-23"/>
          <w:w w:val="95"/>
        </w:rPr>
        <w:t> </w:t>
      </w:r>
      <w:r>
        <w:rPr>
          <w:rFonts w:ascii="Georgia" w:hAnsi="Georgia"/>
          <w:color w:val="231F20"/>
          <w:w w:val="95"/>
        </w:rPr>
        <w:t>se</w:t>
      </w:r>
      <w:r>
        <w:rPr>
          <w:rFonts w:ascii="Georgia" w:hAnsi="Georgia"/>
          <w:color w:val="231F20"/>
          <w:spacing w:val="-23"/>
          <w:w w:val="95"/>
        </w:rPr>
        <w:t> </w:t>
      </w:r>
      <w:r>
        <w:rPr>
          <w:rFonts w:ascii="Georgia" w:hAnsi="Georgia"/>
          <w:color w:val="231F20"/>
          <w:w w:val="95"/>
        </w:rPr>
        <w:t>llega</w:t>
      </w:r>
      <w:r>
        <w:rPr>
          <w:rFonts w:ascii="Georgia" w:hAnsi="Georgia"/>
          <w:color w:val="231F20"/>
          <w:spacing w:val="-23"/>
          <w:w w:val="95"/>
        </w:rPr>
        <w:t> </w:t>
      </w:r>
      <w:r>
        <w:rPr>
          <w:rFonts w:ascii="Georgia" w:hAnsi="Georgia"/>
          <w:color w:val="231F20"/>
          <w:w w:val="95"/>
        </w:rPr>
        <w:t>al resultado</w:t>
      </w:r>
      <w:r>
        <w:rPr>
          <w:rFonts w:ascii="Georgia" w:hAnsi="Georgia"/>
          <w:color w:val="231F20"/>
          <w:spacing w:val="-25"/>
          <w:w w:val="95"/>
        </w:rPr>
        <w:t> </w:t>
      </w:r>
      <w:r>
        <w:rPr>
          <w:rFonts w:ascii="Georgia" w:hAnsi="Georgia"/>
          <w:color w:val="231F20"/>
          <w:w w:val="95"/>
        </w:rPr>
        <w:t>de</w:t>
      </w:r>
      <w:r>
        <w:rPr>
          <w:rFonts w:ascii="Georgia" w:hAnsi="Georgia"/>
          <w:color w:val="231F20"/>
          <w:spacing w:val="-25"/>
          <w:w w:val="95"/>
        </w:rPr>
        <w:t> </w:t>
      </w:r>
      <w:r>
        <w:rPr>
          <w:rFonts w:ascii="Georgia" w:hAnsi="Georgia"/>
          <w:color w:val="231F20"/>
          <w:w w:val="95"/>
        </w:rPr>
        <w:t>que</w:t>
      </w:r>
      <w:r>
        <w:rPr>
          <w:rFonts w:ascii="Georgia" w:hAnsi="Georgia"/>
          <w:color w:val="231F20"/>
          <w:spacing w:val="-25"/>
          <w:w w:val="95"/>
        </w:rPr>
        <w:t> </w:t>
      </w:r>
      <w:r>
        <w:rPr>
          <w:rFonts w:ascii="Georgia" w:hAnsi="Georgia"/>
          <w:color w:val="231F20"/>
          <w:w w:val="95"/>
        </w:rPr>
        <w:t>la</w:t>
      </w:r>
      <w:r>
        <w:rPr>
          <w:rFonts w:ascii="Georgia" w:hAnsi="Georgia"/>
          <w:color w:val="231F20"/>
          <w:spacing w:val="-25"/>
          <w:w w:val="95"/>
        </w:rPr>
        <w:t> </w:t>
      </w:r>
      <w:r>
        <w:rPr>
          <w:rFonts w:ascii="Georgia" w:hAnsi="Georgia"/>
          <w:color w:val="231F20"/>
          <w:w w:val="95"/>
        </w:rPr>
        <w:t>violencia</w:t>
      </w:r>
      <w:r>
        <w:rPr>
          <w:rFonts w:ascii="Georgia" w:hAnsi="Georgia"/>
          <w:color w:val="231F20"/>
          <w:spacing w:val="-25"/>
          <w:w w:val="95"/>
        </w:rPr>
        <w:t> </w:t>
      </w:r>
      <w:r>
        <w:rPr>
          <w:rFonts w:ascii="Georgia" w:hAnsi="Georgia"/>
          <w:color w:val="231F20"/>
          <w:w w:val="95"/>
        </w:rPr>
        <w:t>que</w:t>
      </w:r>
      <w:r>
        <w:rPr>
          <w:rFonts w:ascii="Georgia" w:hAnsi="Georgia"/>
          <w:color w:val="231F20"/>
          <w:spacing w:val="-25"/>
          <w:w w:val="95"/>
        </w:rPr>
        <w:t> </w:t>
      </w:r>
      <w:r>
        <w:rPr>
          <w:rFonts w:ascii="Georgia" w:hAnsi="Georgia"/>
          <w:color w:val="231F20"/>
          <w:w w:val="95"/>
        </w:rPr>
        <w:t>se</w:t>
      </w:r>
      <w:r>
        <w:rPr>
          <w:rFonts w:ascii="Georgia" w:hAnsi="Georgia"/>
          <w:color w:val="231F20"/>
          <w:spacing w:val="-25"/>
          <w:w w:val="95"/>
        </w:rPr>
        <w:t> </w:t>
      </w:r>
      <w:r>
        <w:rPr>
          <w:rFonts w:ascii="Georgia" w:hAnsi="Georgia"/>
          <w:color w:val="231F20"/>
          <w:w w:val="95"/>
        </w:rPr>
        <w:t>expande</w:t>
      </w:r>
      <w:r>
        <w:rPr>
          <w:rFonts w:ascii="Georgia" w:hAnsi="Georgia"/>
          <w:color w:val="231F20"/>
          <w:spacing w:val="-25"/>
          <w:w w:val="95"/>
        </w:rPr>
        <w:t> </w:t>
      </w:r>
      <w:r>
        <w:rPr>
          <w:rFonts w:ascii="Georgia" w:hAnsi="Georgia"/>
          <w:color w:val="231F20"/>
          <w:w w:val="95"/>
        </w:rPr>
        <w:t>con</w:t>
      </w:r>
      <w:r>
        <w:rPr>
          <w:rFonts w:ascii="Georgia" w:hAnsi="Georgia"/>
          <w:color w:val="231F20"/>
          <w:spacing w:val="-25"/>
          <w:w w:val="95"/>
        </w:rPr>
        <w:t> </w:t>
      </w:r>
      <w:r>
        <w:rPr>
          <w:rFonts w:ascii="Georgia" w:hAnsi="Georgia"/>
          <w:color w:val="231F20"/>
          <w:w w:val="95"/>
        </w:rPr>
        <w:t>las</w:t>
      </w:r>
      <w:r>
        <w:rPr>
          <w:rFonts w:ascii="Georgia" w:hAnsi="Georgia"/>
          <w:color w:val="231F20"/>
          <w:spacing w:val="-25"/>
          <w:w w:val="95"/>
        </w:rPr>
        <w:t> </w:t>
      </w:r>
      <w:r>
        <w:rPr>
          <w:rFonts w:ascii="Georgia" w:hAnsi="Georgia"/>
          <w:color w:val="231F20"/>
          <w:w w:val="95"/>
        </w:rPr>
        <w:t>políticas</w:t>
      </w:r>
      <w:r>
        <w:rPr>
          <w:rFonts w:ascii="Georgia" w:hAnsi="Georgia"/>
          <w:color w:val="231F20"/>
          <w:spacing w:val="-25"/>
          <w:w w:val="95"/>
        </w:rPr>
        <w:t> </w:t>
      </w:r>
      <w:r>
        <w:rPr>
          <w:rFonts w:ascii="Georgia" w:hAnsi="Georgia"/>
          <w:color w:val="231F20"/>
          <w:w w:val="95"/>
        </w:rPr>
        <w:t>educati- </w:t>
      </w:r>
      <w:r>
        <w:rPr>
          <w:rFonts w:ascii="Georgia" w:hAnsi="Georgia"/>
          <w:color w:val="231F20"/>
        </w:rPr>
        <w:t>vas</w:t>
      </w:r>
      <w:r>
        <w:rPr>
          <w:rFonts w:ascii="Georgia" w:hAnsi="Georgia"/>
          <w:color w:val="231F20"/>
          <w:spacing w:val="-23"/>
        </w:rPr>
        <w:t> </w:t>
      </w:r>
      <w:r>
        <w:rPr>
          <w:rFonts w:ascii="Georgia" w:hAnsi="Georgia"/>
          <w:color w:val="231F20"/>
        </w:rPr>
        <w:t>se</w:t>
      </w:r>
      <w:r>
        <w:rPr>
          <w:rFonts w:ascii="Georgia" w:hAnsi="Georgia"/>
          <w:color w:val="231F20"/>
          <w:spacing w:val="-23"/>
        </w:rPr>
        <w:t> </w:t>
      </w:r>
      <w:r>
        <w:rPr>
          <w:rFonts w:ascii="Georgia" w:hAnsi="Georgia"/>
          <w:color w:val="231F20"/>
        </w:rPr>
        <w:t>expresa</w:t>
      </w:r>
      <w:r>
        <w:rPr>
          <w:rFonts w:ascii="Georgia" w:hAnsi="Georgia"/>
          <w:color w:val="231F20"/>
          <w:spacing w:val="-23"/>
        </w:rPr>
        <w:t> </w:t>
      </w:r>
      <w:r>
        <w:rPr>
          <w:rFonts w:ascii="Georgia" w:hAnsi="Georgia"/>
          <w:color w:val="231F20"/>
        </w:rPr>
        <w:t>en</w:t>
      </w:r>
      <w:r>
        <w:rPr>
          <w:rFonts w:ascii="Georgia" w:hAnsi="Georgia"/>
          <w:color w:val="231F20"/>
          <w:spacing w:val="-23"/>
        </w:rPr>
        <w:t> </w:t>
      </w:r>
      <w:r>
        <w:rPr>
          <w:rFonts w:ascii="Georgia" w:hAnsi="Georgia"/>
          <w:color w:val="231F20"/>
        </w:rPr>
        <w:t>el</w:t>
      </w:r>
      <w:r>
        <w:rPr>
          <w:rFonts w:ascii="Georgia" w:hAnsi="Georgia"/>
          <w:color w:val="231F20"/>
          <w:spacing w:val="-23"/>
        </w:rPr>
        <w:t> </w:t>
      </w:r>
      <w:r>
        <w:rPr>
          <w:rFonts w:ascii="Georgia" w:hAnsi="Georgia"/>
          <w:color w:val="231F20"/>
        </w:rPr>
        <w:t>despliegue</w:t>
      </w:r>
      <w:r>
        <w:rPr>
          <w:rFonts w:ascii="Georgia" w:hAnsi="Georgia"/>
          <w:color w:val="231F20"/>
          <w:spacing w:val="-23"/>
        </w:rPr>
        <w:t> </w:t>
      </w:r>
      <w:r>
        <w:rPr>
          <w:rFonts w:ascii="Georgia" w:hAnsi="Georgia"/>
          <w:color w:val="231F20"/>
        </w:rPr>
        <w:t>de</w:t>
      </w:r>
      <w:r>
        <w:rPr>
          <w:rFonts w:ascii="Georgia" w:hAnsi="Georgia"/>
          <w:color w:val="231F20"/>
          <w:spacing w:val="-23"/>
        </w:rPr>
        <w:t> </w:t>
      </w:r>
      <w:r>
        <w:rPr>
          <w:rFonts w:ascii="Georgia" w:hAnsi="Georgia"/>
          <w:color w:val="231F20"/>
        </w:rPr>
        <w:t>una</w:t>
      </w:r>
      <w:r>
        <w:rPr>
          <w:rFonts w:ascii="Georgia" w:hAnsi="Georgia"/>
          <w:color w:val="231F20"/>
          <w:spacing w:val="-23"/>
        </w:rPr>
        <w:t> </w:t>
      </w:r>
      <w:r>
        <w:rPr>
          <w:rFonts w:ascii="Georgia" w:hAnsi="Georgia"/>
          <w:color w:val="231F20"/>
        </w:rPr>
        <w:t>ideología,</w:t>
      </w:r>
      <w:r>
        <w:rPr>
          <w:rFonts w:ascii="Georgia" w:hAnsi="Georgia"/>
          <w:color w:val="231F20"/>
          <w:spacing w:val="-23"/>
        </w:rPr>
        <w:t> </w:t>
      </w:r>
      <w:r>
        <w:rPr>
          <w:rFonts w:ascii="Georgia" w:hAnsi="Georgia"/>
          <w:color w:val="231F20"/>
        </w:rPr>
        <w:t>en</w:t>
      </w:r>
      <w:r>
        <w:rPr>
          <w:rFonts w:ascii="Georgia" w:hAnsi="Georgia"/>
          <w:color w:val="231F20"/>
          <w:spacing w:val="-23"/>
        </w:rPr>
        <w:t> </w:t>
      </w:r>
      <w:r>
        <w:rPr>
          <w:rFonts w:ascii="Georgia" w:hAnsi="Georgia"/>
          <w:color w:val="231F20"/>
        </w:rPr>
        <w:t>la</w:t>
      </w:r>
      <w:r>
        <w:rPr>
          <w:rFonts w:ascii="Georgia" w:hAnsi="Georgia"/>
          <w:color w:val="231F20"/>
          <w:spacing w:val="-23"/>
        </w:rPr>
        <w:t> </w:t>
      </w:r>
      <w:r>
        <w:rPr>
          <w:rFonts w:ascii="Georgia" w:hAnsi="Georgia"/>
          <w:color w:val="231F20"/>
        </w:rPr>
        <w:t>forma</w:t>
      </w:r>
      <w:r>
        <w:rPr>
          <w:rFonts w:ascii="Georgia" w:hAnsi="Georgia"/>
          <w:color w:val="231F20"/>
          <w:spacing w:val="-23"/>
        </w:rPr>
        <w:t> </w:t>
      </w:r>
      <w:r>
        <w:rPr>
          <w:rFonts w:ascii="Georgia" w:hAnsi="Georgia"/>
          <w:color w:val="231F20"/>
        </w:rPr>
        <w:t>de</w:t>
      </w:r>
      <w:r>
        <w:rPr>
          <w:rFonts w:ascii="Georgia" w:hAnsi="Georgia"/>
          <w:color w:val="231F20"/>
          <w:spacing w:val="-23"/>
        </w:rPr>
        <w:t> </w:t>
      </w:r>
      <w:r>
        <w:rPr>
          <w:rFonts w:ascii="Georgia" w:hAnsi="Georgia"/>
          <w:color w:val="231F20"/>
        </w:rPr>
        <w:t>un </w:t>
      </w:r>
      <w:r>
        <w:rPr>
          <w:rFonts w:ascii="Georgia" w:hAnsi="Georgia"/>
          <w:color w:val="231F20"/>
          <w:w w:val="95"/>
        </w:rPr>
        <w:t>lenguaje</w:t>
      </w:r>
      <w:r>
        <w:rPr>
          <w:rFonts w:ascii="Georgia" w:hAnsi="Georgia"/>
          <w:color w:val="231F20"/>
          <w:spacing w:val="-9"/>
          <w:w w:val="95"/>
        </w:rPr>
        <w:t> </w:t>
      </w:r>
      <w:r>
        <w:rPr>
          <w:rFonts w:ascii="Georgia" w:hAnsi="Georgia"/>
          <w:color w:val="231F20"/>
          <w:w w:val="95"/>
        </w:rPr>
        <w:t>particular</w:t>
      </w:r>
      <w:r>
        <w:rPr>
          <w:rFonts w:ascii="Georgia" w:hAnsi="Georgia"/>
          <w:color w:val="231F20"/>
          <w:spacing w:val="-9"/>
          <w:w w:val="95"/>
        </w:rPr>
        <w:t> </w:t>
      </w:r>
      <w:r>
        <w:rPr>
          <w:rFonts w:ascii="Georgia" w:hAnsi="Georgia"/>
          <w:color w:val="231F20"/>
          <w:w w:val="95"/>
        </w:rPr>
        <w:t>que</w:t>
      </w:r>
      <w:r>
        <w:rPr>
          <w:rFonts w:ascii="Georgia" w:hAnsi="Georgia"/>
          <w:color w:val="231F20"/>
          <w:spacing w:val="-9"/>
          <w:w w:val="95"/>
        </w:rPr>
        <w:t> </w:t>
      </w:r>
      <w:r>
        <w:rPr>
          <w:rFonts w:ascii="Georgia" w:hAnsi="Georgia"/>
          <w:color w:val="231F20"/>
          <w:w w:val="95"/>
        </w:rPr>
        <w:t>pretende</w:t>
      </w:r>
      <w:r>
        <w:rPr>
          <w:rFonts w:ascii="Georgia" w:hAnsi="Georgia"/>
          <w:color w:val="231F20"/>
          <w:spacing w:val="-9"/>
          <w:w w:val="95"/>
        </w:rPr>
        <w:t> </w:t>
      </w:r>
      <w:r>
        <w:rPr>
          <w:rFonts w:ascii="Georgia" w:hAnsi="Georgia"/>
          <w:color w:val="231F20"/>
          <w:w w:val="95"/>
        </w:rPr>
        <w:t>imponer</w:t>
      </w:r>
      <w:r>
        <w:rPr>
          <w:rFonts w:ascii="Georgia" w:hAnsi="Georgia"/>
          <w:color w:val="231F20"/>
          <w:spacing w:val="-9"/>
          <w:w w:val="95"/>
        </w:rPr>
        <w:t> </w:t>
      </w:r>
      <w:r>
        <w:rPr>
          <w:rFonts w:ascii="Georgia" w:hAnsi="Georgia"/>
          <w:color w:val="231F20"/>
          <w:w w:val="95"/>
        </w:rPr>
        <w:t>una</w:t>
      </w:r>
      <w:r>
        <w:rPr>
          <w:rFonts w:ascii="Georgia" w:hAnsi="Georgia"/>
          <w:color w:val="231F20"/>
          <w:spacing w:val="-9"/>
          <w:w w:val="95"/>
        </w:rPr>
        <w:t> </w:t>
      </w:r>
      <w:r>
        <w:rPr>
          <w:rFonts w:ascii="Georgia" w:hAnsi="Georgia"/>
          <w:color w:val="231F20"/>
          <w:w w:val="95"/>
        </w:rPr>
        <w:t>única</w:t>
      </w:r>
      <w:r>
        <w:rPr>
          <w:rFonts w:ascii="Georgia" w:hAnsi="Georgia"/>
          <w:color w:val="231F20"/>
          <w:spacing w:val="-9"/>
          <w:w w:val="95"/>
        </w:rPr>
        <w:t> </w:t>
      </w:r>
      <w:r>
        <w:rPr>
          <w:rFonts w:ascii="Georgia" w:hAnsi="Georgia"/>
          <w:color w:val="231F20"/>
          <w:w w:val="95"/>
        </w:rPr>
        <w:t>forma</w:t>
      </w:r>
      <w:r>
        <w:rPr>
          <w:rFonts w:ascii="Georgia" w:hAnsi="Georgia"/>
          <w:color w:val="231F20"/>
          <w:spacing w:val="-9"/>
          <w:w w:val="95"/>
        </w:rPr>
        <w:t> </w:t>
      </w:r>
      <w:r>
        <w:rPr>
          <w:rFonts w:ascii="Georgia" w:hAnsi="Georgia"/>
          <w:color w:val="231F20"/>
          <w:w w:val="95"/>
        </w:rPr>
        <w:t>de</w:t>
      </w:r>
      <w:r>
        <w:rPr>
          <w:rFonts w:ascii="Georgia" w:hAnsi="Georgia"/>
          <w:color w:val="231F20"/>
          <w:spacing w:val="-9"/>
          <w:w w:val="95"/>
        </w:rPr>
        <w:t> </w:t>
      </w:r>
      <w:r>
        <w:rPr>
          <w:rFonts w:ascii="Georgia" w:hAnsi="Georgia"/>
          <w:color w:val="231F20"/>
          <w:w w:val="95"/>
        </w:rPr>
        <w:t>com- </w:t>
      </w:r>
      <w:r>
        <w:rPr>
          <w:rFonts w:ascii="Georgia" w:hAnsi="Georgia"/>
          <w:color w:val="231F20"/>
          <w:w w:val="90"/>
        </w:rPr>
        <w:t>prender e interpretar la realidad, dictaminando “los problemas y me- </w:t>
      </w:r>
      <w:r>
        <w:rPr>
          <w:rFonts w:ascii="Georgia" w:hAnsi="Georgia"/>
          <w:color w:val="231F20"/>
          <w:w w:val="95"/>
        </w:rPr>
        <w:t>dios,</w:t>
      </w:r>
      <w:r>
        <w:rPr>
          <w:rFonts w:ascii="Georgia" w:hAnsi="Georgia"/>
          <w:color w:val="231F20"/>
          <w:spacing w:val="-17"/>
          <w:w w:val="95"/>
        </w:rPr>
        <w:t> </w:t>
      </w:r>
      <w:r>
        <w:rPr>
          <w:rFonts w:ascii="Georgia" w:hAnsi="Georgia"/>
          <w:color w:val="231F20"/>
          <w:w w:val="95"/>
        </w:rPr>
        <w:t>para</w:t>
      </w:r>
      <w:r>
        <w:rPr>
          <w:rFonts w:ascii="Georgia" w:hAnsi="Georgia"/>
          <w:color w:val="231F20"/>
          <w:spacing w:val="-17"/>
          <w:w w:val="95"/>
        </w:rPr>
        <w:t> </w:t>
      </w:r>
      <w:r>
        <w:rPr>
          <w:rFonts w:ascii="Georgia" w:hAnsi="Georgia"/>
          <w:color w:val="231F20"/>
          <w:w w:val="95"/>
        </w:rPr>
        <w:t>alcanzar</w:t>
      </w:r>
      <w:r>
        <w:rPr>
          <w:rFonts w:ascii="Georgia" w:hAnsi="Georgia"/>
          <w:color w:val="231F20"/>
          <w:spacing w:val="-17"/>
          <w:w w:val="95"/>
        </w:rPr>
        <w:t> </w:t>
      </w:r>
      <w:r>
        <w:rPr>
          <w:rFonts w:ascii="Georgia" w:hAnsi="Georgia"/>
          <w:color w:val="231F20"/>
          <w:w w:val="95"/>
        </w:rPr>
        <w:t>un</w:t>
      </w:r>
      <w:r>
        <w:rPr>
          <w:rFonts w:ascii="Georgia" w:hAnsi="Georgia"/>
          <w:color w:val="231F20"/>
          <w:spacing w:val="-16"/>
          <w:w w:val="95"/>
        </w:rPr>
        <w:t> </w:t>
      </w:r>
      <w:r>
        <w:rPr>
          <w:rFonts w:ascii="Georgia" w:hAnsi="Georgia"/>
          <w:color w:val="231F20"/>
          <w:w w:val="95"/>
        </w:rPr>
        <w:t>fin”</w:t>
      </w:r>
      <w:r>
        <w:rPr>
          <w:rFonts w:ascii="Georgia" w:hAnsi="Georgia"/>
          <w:color w:val="231F20"/>
          <w:spacing w:val="-16"/>
          <w:w w:val="95"/>
        </w:rPr>
        <w:t> </w:t>
      </w:r>
      <w:r>
        <w:rPr>
          <w:rFonts w:ascii="Georgia" w:hAnsi="Georgia"/>
          <w:color w:val="231F20"/>
          <w:w w:val="95"/>
        </w:rPr>
        <w:t>(integración</w:t>
      </w:r>
      <w:r>
        <w:rPr>
          <w:rFonts w:ascii="Georgia" w:hAnsi="Georgia"/>
          <w:color w:val="231F20"/>
          <w:spacing w:val="-16"/>
          <w:w w:val="95"/>
        </w:rPr>
        <w:t> </w:t>
      </w:r>
      <w:r>
        <w:rPr>
          <w:rFonts w:ascii="Georgia" w:hAnsi="Georgia"/>
          <w:color w:val="231F20"/>
          <w:w w:val="95"/>
        </w:rPr>
        <w:t>al</w:t>
      </w:r>
      <w:r>
        <w:rPr>
          <w:rFonts w:ascii="Georgia" w:hAnsi="Georgia"/>
          <w:color w:val="231F20"/>
          <w:spacing w:val="-16"/>
          <w:w w:val="95"/>
        </w:rPr>
        <w:t> </w:t>
      </w:r>
      <w:r>
        <w:rPr>
          <w:rFonts w:ascii="Georgia" w:hAnsi="Georgia"/>
          <w:color w:val="231F20"/>
          <w:w w:val="95"/>
        </w:rPr>
        <w:t>mercado</w:t>
      </w:r>
      <w:r>
        <w:rPr>
          <w:rFonts w:ascii="Georgia" w:hAnsi="Georgia"/>
          <w:color w:val="231F20"/>
          <w:spacing w:val="-16"/>
          <w:w w:val="95"/>
        </w:rPr>
        <w:t> </w:t>
      </w:r>
      <w:r>
        <w:rPr>
          <w:rFonts w:ascii="Georgia" w:hAnsi="Georgia"/>
          <w:color w:val="231F20"/>
          <w:w w:val="95"/>
        </w:rPr>
        <w:t>y</w:t>
      </w:r>
      <w:r>
        <w:rPr>
          <w:rFonts w:ascii="Georgia" w:hAnsi="Georgia"/>
          <w:color w:val="231F20"/>
          <w:spacing w:val="-16"/>
          <w:w w:val="95"/>
        </w:rPr>
        <w:t> </w:t>
      </w:r>
      <w:r>
        <w:rPr>
          <w:rFonts w:ascii="Georgia" w:hAnsi="Georgia"/>
          <w:color w:val="231F20"/>
          <w:w w:val="95"/>
        </w:rPr>
        <w:t>a</w:t>
      </w:r>
      <w:r>
        <w:rPr>
          <w:rFonts w:ascii="Georgia" w:hAnsi="Georgia"/>
          <w:color w:val="231F20"/>
          <w:spacing w:val="-17"/>
          <w:w w:val="95"/>
        </w:rPr>
        <w:t> </w:t>
      </w:r>
      <w:r>
        <w:rPr>
          <w:rFonts w:ascii="Georgia" w:hAnsi="Georgia"/>
          <w:color w:val="231F20"/>
          <w:w w:val="95"/>
        </w:rPr>
        <w:t>la</w:t>
      </w:r>
      <w:r>
        <w:rPr>
          <w:rFonts w:ascii="Georgia" w:hAnsi="Georgia"/>
          <w:color w:val="231F20"/>
          <w:spacing w:val="-17"/>
          <w:w w:val="95"/>
        </w:rPr>
        <w:t> </w:t>
      </w:r>
      <w:r>
        <w:rPr>
          <w:rFonts w:ascii="Georgia" w:hAnsi="Georgia"/>
          <w:color w:val="231F20"/>
          <w:w w:val="95"/>
        </w:rPr>
        <w:t>sociedad</w:t>
      </w:r>
      <w:r>
        <w:rPr>
          <w:rFonts w:ascii="Georgia" w:hAnsi="Georgia"/>
          <w:color w:val="231F20"/>
          <w:spacing w:val="-16"/>
          <w:w w:val="95"/>
        </w:rPr>
        <w:t> </w:t>
      </w:r>
      <w:r>
        <w:rPr>
          <w:rFonts w:ascii="Georgia" w:hAnsi="Georgia"/>
          <w:color w:val="231F20"/>
          <w:w w:val="95"/>
        </w:rPr>
        <w:t>de la información y/o del conocimiento), pero es allí donde se devela una</w:t>
      </w:r>
      <w:r>
        <w:rPr>
          <w:rFonts w:ascii="Georgia" w:hAnsi="Georgia"/>
          <w:color w:val="231F20"/>
          <w:spacing w:val="-12"/>
          <w:w w:val="95"/>
        </w:rPr>
        <w:t> </w:t>
      </w:r>
      <w:r>
        <w:rPr>
          <w:rFonts w:ascii="Georgia" w:hAnsi="Georgia"/>
          <w:color w:val="231F20"/>
          <w:w w:val="95"/>
        </w:rPr>
        <w:t>estructura</w:t>
      </w:r>
      <w:r>
        <w:rPr>
          <w:rFonts w:ascii="Georgia" w:hAnsi="Georgia"/>
          <w:color w:val="231F20"/>
          <w:spacing w:val="-12"/>
          <w:w w:val="95"/>
        </w:rPr>
        <w:t> </w:t>
      </w:r>
      <w:r>
        <w:rPr>
          <w:rFonts w:ascii="Georgia" w:hAnsi="Georgia"/>
          <w:color w:val="231F20"/>
          <w:w w:val="95"/>
        </w:rPr>
        <w:t>de</w:t>
      </w:r>
      <w:r>
        <w:rPr>
          <w:rFonts w:ascii="Georgia" w:hAnsi="Georgia"/>
          <w:color w:val="231F20"/>
          <w:spacing w:val="-12"/>
          <w:w w:val="95"/>
        </w:rPr>
        <w:t> </w:t>
      </w:r>
      <w:r>
        <w:rPr>
          <w:rFonts w:ascii="Georgia" w:hAnsi="Georgia"/>
          <w:color w:val="231F20"/>
          <w:w w:val="95"/>
        </w:rPr>
        <w:t>coacciones</w:t>
      </w:r>
      <w:r>
        <w:rPr>
          <w:rFonts w:ascii="Georgia" w:hAnsi="Georgia"/>
          <w:color w:val="231F20"/>
          <w:spacing w:val="-12"/>
          <w:w w:val="95"/>
        </w:rPr>
        <w:t> </w:t>
      </w:r>
      <w:r>
        <w:rPr>
          <w:rFonts w:ascii="Georgia" w:hAnsi="Georgia"/>
          <w:color w:val="231F20"/>
          <w:w w:val="95"/>
        </w:rPr>
        <w:t>cuyo</w:t>
      </w:r>
      <w:r>
        <w:rPr>
          <w:rFonts w:ascii="Georgia" w:hAnsi="Georgia"/>
          <w:color w:val="231F20"/>
          <w:spacing w:val="-12"/>
          <w:w w:val="95"/>
        </w:rPr>
        <w:t> </w:t>
      </w:r>
      <w:r>
        <w:rPr>
          <w:rFonts w:ascii="Georgia" w:hAnsi="Georgia"/>
          <w:color w:val="231F20"/>
          <w:w w:val="95"/>
        </w:rPr>
        <w:t>fin</w:t>
      </w:r>
      <w:r>
        <w:rPr>
          <w:rFonts w:ascii="Georgia" w:hAnsi="Georgia"/>
          <w:color w:val="231F20"/>
          <w:spacing w:val="-12"/>
          <w:w w:val="95"/>
        </w:rPr>
        <w:t> </w:t>
      </w:r>
      <w:r>
        <w:rPr>
          <w:rFonts w:ascii="Georgia" w:hAnsi="Georgia"/>
          <w:color w:val="231F20"/>
          <w:w w:val="95"/>
        </w:rPr>
        <w:t>es</w:t>
      </w:r>
      <w:r>
        <w:rPr>
          <w:rFonts w:ascii="Georgia" w:hAnsi="Georgia"/>
          <w:color w:val="231F20"/>
          <w:spacing w:val="-12"/>
          <w:w w:val="95"/>
        </w:rPr>
        <w:t> </w:t>
      </w:r>
      <w:r>
        <w:rPr>
          <w:rFonts w:ascii="Georgia" w:hAnsi="Georgia"/>
          <w:color w:val="231F20"/>
          <w:w w:val="95"/>
        </w:rPr>
        <w:t>mantener</w:t>
      </w:r>
      <w:r>
        <w:rPr>
          <w:rFonts w:ascii="Georgia" w:hAnsi="Georgia"/>
          <w:color w:val="231F20"/>
          <w:spacing w:val="-12"/>
          <w:w w:val="95"/>
        </w:rPr>
        <w:t> </w:t>
      </w:r>
      <w:r>
        <w:rPr>
          <w:rFonts w:ascii="Georgia" w:hAnsi="Georgia"/>
          <w:color w:val="231F20"/>
          <w:w w:val="95"/>
        </w:rPr>
        <w:t>el</w:t>
      </w:r>
      <w:r>
        <w:rPr>
          <w:rFonts w:ascii="Georgia" w:hAnsi="Georgia"/>
          <w:color w:val="231F20"/>
          <w:spacing w:val="-12"/>
          <w:w w:val="95"/>
        </w:rPr>
        <w:t> </w:t>
      </w:r>
      <w:r>
        <w:rPr>
          <w:rFonts w:ascii="Georgia" w:hAnsi="Georgia"/>
          <w:color w:val="231F20"/>
          <w:w w:val="95"/>
        </w:rPr>
        <w:t>dominio</w:t>
      </w:r>
      <w:r>
        <w:rPr>
          <w:rFonts w:ascii="Georgia" w:hAnsi="Georgia"/>
          <w:color w:val="231F20"/>
          <w:spacing w:val="-12"/>
          <w:w w:val="95"/>
        </w:rPr>
        <w:t> </w:t>
      </w:r>
      <w:r>
        <w:rPr>
          <w:rFonts w:ascii="Georgia" w:hAnsi="Georgia"/>
          <w:color w:val="231F20"/>
          <w:w w:val="95"/>
        </w:rPr>
        <w:t>sobre </w:t>
      </w:r>
      <w:r>
        <w:rPr>
          <w:rFonts w:ascii="Georgia" w:hAnsi="Georgia"/>
          <w:color w:val="231F20"/>
          <w:w w:val="90"/>
        </w:rPr>
        <w:t>las</w:t>
      </w:r>
      <w:r>
        <w:rPr>
          <w:rFonts w:ascii="Georgia" w:hAnsi="Georgia"/>
          <w:color w:val="231F20"/>
          <w:spacing w:val="-10"/>
          <w:w w:val="90"/>
        </w:rPr>
        <w:t> </w:t>
      </w:r>
      <w:r>
        <w:rPr>
          <w:rFonts w:ascii="Georgia" w:hAnsi="Georgia"/>
          <w:color w:val="231F20"/>
          <w:w w:val="90"/>
        </w:rPr>
        <w:t>clases</w:t>
      </w:r>
      <w:r>
        <w:rPr>
          <w:rFonts w:ascii="Georgia" w:hAnsi="Georgia"/>
          <w:color w:val="231F20"/>
          <w:spacing w:val="-10"/>
          <w:w w:val="90"/>
        </w:rPr>
        <w:t> </w:t>
      </w:r>
      <w:r>
        <w:rPr>
          <w:rFonts w:ascii="Georgia" w:hAnsi="Georgia"/>
          <w:color w:val="231F20"/>
          <w:w w:val="90"/>
        </w:rPr>
        <w:t>sociales</w:t>
      </w:r>
      <w:r>
        <w:rPr>
          <w:rFonts w:ascii="Georgia" w:hAnsi="Georgia"/>
          <w:color w:val="231F20"/>
          <w:spacing w:val="-10"/>
          <w:w w:val="90"/>
        </w:rPr>
        <w:t> </w:t>
      </w:r>
      <w:r>
        <w:rPr>
          <w:rFonts w:ascii="Georgia" w:hAnsi="Georgia"/>
          <w:color w:val="231F20"/>
          <w:w w:val="90"/>
        </w:rPr>
        <w:t>subalternas</w:t>
      </w:r>
      <w:r>
        <w:rPr>
          <w:rFonts w:ascii="Georgia" w:hAnsi="Georgia"/>
          <w:color w:val="231F20"/>
          <w:spacing w:val="-10"/>
          <w:w w:val="90"/>
        </w:rPr>
        <w:t> </w:t>
      </w:r>
      <w:r>
        <w:rPr>
          <w:rFonts w:ascii="Georgia" w:hAnsi="Georgia"/>
          <w:color w:val="231F20"/>
          <w:w w:val="90"/>
        </w:rPr>
        <w:t>mediante</w:t>
      </w:r>
      <w:r>
        <w:rPr>
          <w:rFonts w:ascii="Georgia" w:hAnsi="Georgia"/>
          <w:color w:val="231F20"/>
          <w:spacing w:val="-10"/>
          <w:w w:val="90"/>
        </w:rPr>
        <w:t> </w:t>
      </w:r>
      <w:r>
        <w:rPr>
          <w:rFonts w:ascii="Georgia" w:hAnsi="Georgia"/>
          <w:color w:val="231F20"/>
          <w:w w:val="90"/>
        </w:rPr>
        <w:t>las</w:t>
      </w:r>
      <w:r>
        <w:rPr>
          <w:rFonts w:ascii="Georgia" w:hAnsi="Georgia"/>
          <w:color w:val="231F20"/>
          <w:spacing w:val="-10"/>
          <w:w w:val="90"/>
        </w:rPr>
        <w:t> </w:t>
      </w:r>
      <w:r>
        <w:rPr>
          <w:rFonts w:ascii="Georgia" w:hAnsi="Georgia"/>
          <w:color w:val="231F20"/>
          <w:w w:val="90"/>
        </w:rPr>
        <w:t>instituciones</w:t>
      </w:r>
      <w:r>
        <w:rPr>
          <w:rFonts w:ascii="Georgia" w:hAnsi="Georgia"/>
          <w:color w:val="231F20"/>
          <w:spacing w:val="-10"/>
          <w:w w:val="90"/>
        </w:rPr>
        <w:t> </w:t>
      </w:r>
      <w:r>
        <w:rPr>
          <w:rFonts w:ascii="Georgia" w:hAnsi="Georgia"/>
          <w:color w:val="231F20"/>
          <w:w w:val="90"/>
        </w:rPr>
        <w:t>políticas</w:t>
      </w:r>
      <w:r>
        <w:rPr>
          <w:rFonts w:ascii="Georgia" w:hAnsi="Georgia"/>
          <w:color w:val="231F20"/>
          <w:spacing w:val="-10"/>
          <w:w w:val="90"/>
        </w:rPr>
        <w:t> </w:t>
      </w:r>
      <w:r>
        <w:rPr>
          <w:rFonts w:ascii="Georgia" w:hAnsi="Georgia"/>
          <w:color w:val="231F20"/>
          <w:w w:val="90"/>
        </w:rPr>
        <w:t>esta- </w:t>
      </w:r>
      <w:r>
        <w:rPr>
          <w:rFonts w:ascii="Georgia" w:hAnsi="Georgia"/>
          <w:color w:val="231F20"/>
          <w:w w:val="95"/>
        </w:rPr>
        <w:t>blecidas,</w:t>
      </w:r>
      <w:r>
        <w:rPr>
          <w:rFonts w:ascii="Georgia" w:hAnsi="Georgia"/>
          <w:color w:val="231F20"/>
          <w:spacing w:val="-9"/>
          <w:w w:val="95"/>
        </w:rPr>
        <w:t> </w:t>
      </w:r>
      <w:r>
        <w:rPr>
          <w:rFonts w:ascii="Georgia" w:hAnsi="Georgia"/>
          <w:color w:val="231F20"/>
          <w:w w:val="95"/>
        </w:rPr>
        <w:t>o</w:t>
      </w:r>
      <w:r>
        <w:rPr>
          <w:rFonts w:ascii="Georgia" w:hAnsi="Georgia"/>
          <w:color w:val="231F20"/>
          <w:spacing w:val="-9"/>
          <w:w w:val="95"/>
        </w:rPr>
        <w:t> </w:t>
      </w:r>
      <w:r>
        <w:rPr>
          <w:rFonts w:ascii="Georgia" w:hAnsi="Georgia"/>
          <w:color w:val="231F20"/>
          <w:w w:val="95"/>
        </w:rPr>
        <w:t>someter</w:t>
      </w:r>
      <w:r>
        <w:rPr>
          <w:rFonts w:ascii="Georgia" w:hAnsi="Georgia"/>
          <w:color w:val="231F20"/>
          <w:spacing w:val="-9"/>
          <w:w w:val="95"/>
        </w:rPr>
        <w:t> </w:t>
      </w:r>
      <w:r>
        <w:rPr>
          <w:rFonts w:ascii="Georgia" w:hAnsi="Georgia"/>
          <w:color w:val="231F20"/>
          <w:w w:val="95"/>
        </w:rPr>
        <w:t>a</w:t>
      </w:r>
      <w:r>
        <w:rPr>
          <w:rFonts w:ascii="Georgia" w:hAnsi="Georgia"/>
          <w:color w:val="231F20"/>
          <w:spacing w:val="-9"/>
          <w:w w:val="95"/>
        </w:rPr>
        <w:t> </w:t>
      </w:r>
      <w:r>
        <w:rPr>
          <w:rFonts w:ascii="Georgia" w:hAnsi="Georgia"/>
          <w:color w:val="231F20"/>
          <w:w w:val="95"/>
        </w:rPr>
        <w:t>nuevas</w:t>
      </w:r>
      <w:r>
        <w:rPr>
          <w:rFonts w:ascii="Georgia" w:hAnsi="Georgia"/>
          <w:color w:val="231F20"/>
          <w:spacing w:val="-9"/>
          <w:w w:val="95"/>
        </w:rPr>
        <w:t> </w:t>
      </w:r>
      <w:r>
        <w:rPr>
          <w:rFonts w:ascii="Georgia" w:hAnsi="Georgia"/>
          <w:color w:val="231F20"/>
          <w:w w:val="95"/>
        </w:rPr>
        <w:t>formas</w:t>
      </w:r>
      <w:r>
        <w:rPr>
          <w:rFonts w:ascii="Georgia" w:hAnsi="Georgia"/>
          <w:color w:val="231F20"/>
          <w:spacing w:val="-9"/>
          <w:w w:val="95"/>
        </w:rPr>
        <w:t> </w:t>
      </w:r>
      <w:r>
        <w:rPr>
          <w:rFonts w:ascii="Georgia" w:hAnsi="Georgia"/>
          <w:color w:val="231F20"/>
          <w:w w:val="95"/>
        </w:rPr>
        <w:t>de</w:t>
      </w:r>
      <w:r>
        <w:rPr>
          <w:rFonts w:ascii="Georgia" w:hAnsi="Georgia"/>
          <w:color w:val="231F20"/>
          <w:spacing w:val="-9"/>
          <w:w w:val="95"/>
        </w:rPr>
        <w:t> </w:t>
      </w:r>
      <w:r>
        <w:rPr>
          <w:rFonts w:ascii="Georgia" w:hAnsi="Georgia"/>
          <w:color w:val="231F20"/>
          <w:w w:val="95"/>
        </w:rPr>
        <w:t>regulación</w:t>
      </w:r>
      <w:r>
        <w:rPr>
          <w:rFonts w:ascii="Georgia" w:hAnsi="Georgia"/>
          <w:color w:val="231F20"/>
          <w:spacing w:val="-9"/>
          <w:w w:val="95"/>
        </w:rPr>
        <w:t> </w:t>
      </w:r>
      <w:r>
        <w:rPr>
          <w:rFonts w:ascii="Georgia" w:hAnsi="Georgia"/>
          <w:color w:val="231F20"/>
          <w:w w:val="95"/>
        </w:rPr>
        <w:t>y</w:t>
      </w:r>
      <w:r>
        <w:rPr>
          <w:rFonts w:ascii="Georgia" w:hAnsi="Georgia"/>
          <w:color w:val="231F20"/>
          <w:spacing w:val="-9"/>
          <w:w w:val="95"/>
        </w:rPr>
        <w:t> </w:t>
      </w:r>
      <w:r>
        <w:rPr>
          <w:rFonts w:ascii="Georgia" w:hAnsi="Georgia"/>
          <w:color w:val="231F20"/>
          <w:w w:val="95"/>
        </w:rPr>
        <w:t>control</w:t>
      </w:r>
      <w:r>
        <w:rPr>
          <w:rFonts w:ascii="Georgia" w:hAnsi="Georgia"/>
          <w:color w:val="231F20"/>
          <w:spacing w:val="-9"/>
          <w:w w:val="95"/>
        </w:rPr>
        <w:t> </w:t>
      </w:r>
      <w:r>
        <w:rPr>
          <w:rFonts w:ascii="Georgia" w:hAnsi="Georgia"/>
          <w:color w:val="231F20"/>
          <w:w w:val="95"/>
        </w:rPr>
        <w:t>social</w:t>
      </w:r>
      <w:r>
        <w:rPr>
          <w:rFonts w:ascii="Georgia" w:hAnsi="Georgia"/>
          <w:color w:val="231F20"/>
          <w:spacing w:val="-9"/>
          <w:w w:val="95"/>
        </w:rPr>
        <w:t> </w:t>
      </w:r>
      <w:r>
        <w:rPr>
          <w:rFonts w:ascii="Georgia" w:hAnsi="Georgia"/>
          <w:color w:val="231F20"/>
          <w:w w:val="95"/>
        </w:rPr>
        <w:t>a </w:t>
      </w:r>
      <w:r>
        <w:rPr>
          <w:rFonts w:ascii="Georgia" w:hAnsi="Georgia"/>
          <w:color w:val="231F20"/>
          <w:w w:val="90"/>
        </w:rPr>
        <w:t>los</w:t>
      </w:r>
      <w:r>
        <w:rPr>
          <w:rFonts w:ascii="Georgia" w:hAnsi="Georgia"/>
          <w:color w:val="231F20"/>
          <w:spacing w:val="-17"/>
          <w:w w:val="90"/>
        </w:rPr>
        <w:t> </w:t>
      </w:r>
      <w:r>
        <w:rPr>
          <w:rFonts w:ascii="Georgia" w:hAnsi="Georgia"/>
          <w:color w:val="231F20"/>
          <w:w w:val="90"/>
        </w:rPr>
        <w:t>sujetos</w:t>
      </w:r>
      <w:r>
        <w:rPr>
          <w:rFonts w:ascii="Georgia" w:hAnsi="Georgia"/>
          <w:color w:val="231F20"/>
          <w:spacing w:val="-17"/>
          <w:w w:val="90"/>
        </w:rPr>
        <w:t> </w:t>
      </w:r>
      <w:r>
        <w:rPr>
          <w:rFonts w:ascii="Georgia" w:hAnsi="Georgia"/>
          <w:color w:val="231F20"/>
          <w:w w:val="90"/>
        </w:rPr>
        <w:t>de</w:t>
      </w:r>
      <w:r>
        <w:rPr>
          <w:rFonts w:ascii="Georgia" w:hAnsi="Georgia"/>
          <w:color w:val="231F20"/>
          <w:spacing w:val="-17"/>
          <w:w w:val="90"/>
        </w:rPr>
        <w:t> </w:t>
      </w:r>
      <w:r>
        <w:rPr>
          <w:rFonts w:ascii="Georgia" w:hAnsi="Georgia"/>
          <w:color w:val="231F20"/>
          <w:w w:val="90"/>
        </w:rPr>
        <w:t>las</w:t>
      </w:r>
      <w:r>
        <w:rPr>
          <w:rFonts w:ascii="Georgia" w:hAnsi="Georgia"/>
          <w:color w:val="231F20"/>
          <w:spacing w:val="-17"/>
          <w:w w:val="90"/>
        </w:rPr>
        <w:t> </w:t>
      </w:r>
      <w:r>
        <w:rPr>
          <w:rFonts w:ascii="Georgia" w:hAnsi="Georgia"/>
          <w:color w:val="231F20"/>
          <w:w w:val="90"/>
        </w:rPr>
        <w:t>instituciones</w:t>
      </w:r>
      <w:r>
        <w:rPr>
          <w:rFonts w:ascii="Georgia" w:hAnsi="Georgia"/>
          <w:color w:val="231F20"/>
          <w:spacing w:val="-17"/>
          <w:w w:val="90"/>
        </w:rPr>
        <w:t> </w:t>
      </w:r>
      <w:r>
        <w:rPr>
          <w:rFonts w:ascii="Georgia" w:hAnsi="Georgia"/>
          <w:color w:val="231F20"/>
          <w:w w:val="90"/>
        </w:rPr>
        <w:t>educativas.</w:t>
      </w:r>
    </w:p>
    <w:p>
      <w:pPr>
        <w:pStyle w:val="BodyText"/>
        <w:spacing w:before="7"/>
        <w:rPr>
          <w:rFonts w:ascii="Georgia"/>
          <w:sz w:val="20"/>
        </w:rPr>
      </w:pPr>
    </w:p>
    <w:p>
      <w:pPr>
        <w:pStyle w:val="ListParagraph"/>
        <w:numPr>
          <w:ilvl w:val="0"/>
          <w:numId w:val="1"/>
        </w:numPr>
        <w:tabs>
          <w:tab w:pos="324" w:val="left" w:leader="none"/>
        </w:tabs>
        <w:spacing w:line="249" w:lineRule="auto" w:before="0" w:after="0"/>
        <w:ind w:left="113" w:right="107" w:firstLine="0"/>
        <w:jc w:val="both"/>
        <w:rPr>
          <w:rFonts w:ascii="Georgia" w:hAnsi="Georgia"/>
          <w:color w:val="231F20"/>
          <w:sz w:val="21"/>
        </w:rPr>
      </w:pPr>
      <w:r>
        <w:rPr>
          <w:rFonts w:ascii="Georgia" w:hAnsi="Georgia"/>
          <w:color w:val="231F20"/>
          <w:w w:val="90"/>
          <w:sz w:val="21"/>
        </w:rPr>
        <w:t>Descontento, indisciplina y ¿violenciaescolar?: Discursos y </w:t>
      </w:r>
      <w:r>
        <w:rPr>
          <w:rFonts w:ascii="Georgia" w:hAnsi="Georgia"/>
          <w:color w:val="231F20"/>
          <w:spacing w:val="2"/>
          <w:w w:val="90"/>
          <w:sz w:val="21"/>
        </w:rPr>
        <w:t>modos </w:t>
      </w:r>
      <w:r>
        <w:rPr>
          <w:rFonts w:ascii="Georgia" w:hAnsi="Georgia"/>
          <w:color w:val="231F20"/>
          <w:w w:val="95"/>
          <w:sz w:val="21"/>
        </w:rPr>
        <w:t>educativos</w:t>
      </w:r>
      <w:r>
        <w:rPr>
          <w:rFonts w:ascii="Georgia" w:hAnsi="Georgia"/>
          <w:color w:val="231F20"/>
          <w:spacing w:val="-6"/>
          <w:w w:val="95"/>
          <w:sz w:val="21"/>
        </w:rPr>
        <w:t> </w:t>
      </w:r>
      <w:r>
        <w:rPr>
          <w:rFonts w:ascii="Georgia" w:hAnsi="Georgia"/>
          <w:color w:val="231F20"/>
          <w:w w:val="95"/>
          <w:sz w:val="21"/>
        </w:rPr>
        <w:t>en</w:t>
      </w:r>
      <w:r>
        <w:rPr>
          <w:rFonts w:ascii="Georgia" w:hAnsi="Georgia"/>
          <w:color w:val="231F20"/>
          <w:spacing w:val="-6"/>
          <w:w w:val="95"/>
          <w:sz w:val="21"/>
        </w:rPr>
        <w:t> </w:t>
      </w:r>
      <w:r>
        <w:rPr>
          <w:rFonts w:ascii="Georgia" w:hAnsi="Georgia"/>
          <w:color w:val="231F20"/>
          <w:w w:val="95"/>
          <w:sz w:val="21"/>
        </w:rPr>
        <w:t>el</w:t>
      </w:r>
      <w:r>
        <w:rPr>
          <w:rFonts w:ascii="Georgia" w:hAnsi="Georgia"/>
          <w:color w:val="231F20"/>
          <w:spacing w:val="-7"/>
          <w:w w:val="95"/>
          <w:sz w:val="21"/>
        </w:rPr>
        <w:t> </w:t>
      </w:r>
      <w:r>
        <w:rPr>
          <w:rFonts w:ascii="Georgia" w:hAnsi="Georgia"/>
          <w:color w:val="231F20"/>
          <w:w w:val="95"/>
          <w:sz w:val="21"/>
        </w:rPr>
        <w:t>Instituto</w:t>
      </w:r>
      <w:r>
        <w:rPr>
          <w:rFonts w:ascii="Georgia" w:hAnsi="Georgia"/>
          <w:color w:val="231F20"/>
          <w:spacing w:val="-6"/>
          <w:w w:val="95"/>
          <w:sz w:val="21"/>
        </w:rPr>
        <w:t> </w:t>
      </w:r>
      <w:r>
        <w:rPr>
          <w:rFonts w:ascii="Georgia" w:hAnsi="Georgia"/>
          <w:color w:val="231F20"/>
          <w:w w:val="95"/>
          <w:sz w:val="21"/>
        </w:rPr>
        <w:t>Científico</w:t>
      </w:r>
      <w:r>
        <w:rPr>
          <w:rFonts w:ascii="Georgia" w:hAnsi="Georgia"/>
          <w:color w:val="231F20"/>
          <w:spacing w:val="-6"/>
          <w:w w:val="95"/>
          <w:sz w:val="21"/>
        </w:rPr>
        <w:t> </w:t>
      </w:r>
      <w:r>
        <w:rPr>
          <w:rFonts w:ascii="Georgia" w:hAnsi="Georgia"/>
          <w:color w:val="231F20"/>
          <w:w w:val="95"/>
          <w:sz w:val="21"/>
        </w:rPr>
        <w:t>y</w:t>
      </w:r>
      <w:r>
        <w:rPr>
          <w:rFonts w:ascii="Georgia" w:hAnsi="Georgia"/>
          <w:color w:val="231F20"/>
          <w:spacing w:val="-6"/>
          <w:w w:val="95"/>
          <w:sz w:val="21"/>
        </w:rPr>
        <w:t> </w:t>
      </w:r>
      <w:r>
        <w:rPr>
          <w:rFonts w:ascii="Georgia" w:hAnsi="Georgia"/>
          <w:color w:val="231F20"/>
          <w:w w:val="95"/>
          <w:sz w:val="21"/>
        </w:rPr>
        <w:t>Literario</w:t>
      </w:r>
      <w:r>
        <w:rPr>
          <w:rFonts w:ascii="Georgia" w:hAnsi="Georgia"/>
          <w:color w:val="231F20"/>
          <w:spacing w:val="-6"/>
          <w:w w:val="95"/>
          <w:sz w:val="21"/>
        </w:rPr>
        <w:t> </w:t>
      </w:r>
      <w:r>
        <w:rPr>
          <w:rFonts w:ascii="Georgia" w:hAnsi="Georgia"/>
          <w:color w:val="231F20"/>
          <w:w w:val="95"/>
          <w:sz w:val="21"/>
        </w:rPr>
        <w:t>del</w:t>
      </w:r>
      <w:r>
        <w:rPr>
          <w:rFonts w:ascii="Georgia" w:hAnsi="Georgia"/>
          <w:color w:val="231F20"/>
          <w:spacing w:val="-7"/>
          <w:w w:val="95"/>
          <w:sz w:val="21"/>
        </w:rPr>
        <w:t> </w:t>
      </w:r>
      <w:r>
        <w:rPr>
          <w:rFonts w:ascii="Georgia" w:hAnsi="Georgia"/>
          <w:color w:val="231F20"/>
          <w:w w:val="95"/>
          <w:sz w:val="21"/>
        </w:rPr>
        <w:t>Estado</w:t>
      </w:r>
      <w:r>
        <w:rPr>
          <w:rFonts w:ascii="Georgia" w:hAnsi="Georgia"/>
          <w:color w:val="231F20"/>
          <w:spacing w:val="-6"/>
          <w:w w:val="95"/>
          <w:sz w:val="21"/>
        </w:rPr>
        <w:t> </w:t>
      </w:r>
      <w:r>
        <w:rPr>
          <w:rFonts w:ascii="Georgia" w:hAnsi="Georgia"/>
          <w:color w:val="231F20"/>
          <w:w w:val="95"/>
          <w:sz w:val="21"/>
        </w:rPr>
        <w:t>de</w:t>
      </w:r>
      <w:r>
        <w:rPr>
          <w:rFonts w:ascii="Georgia" w:hAnsi="Georgia"/>
          <w:color w:val="231F20"/>
          <w:spacing w:val="-6"/>
          <w:w w:val="95"/>
          <w:sz w:val="21"/>
        </w:rPr>
        <w:t> </w:t>
      </w:r>
      <w:r>
        <w:rPr>
          <w:rFonts w:ascii="Georgia" w:hAnsi="Georgia"/>
          <w:color w:val="231F20"/>
          <w:w w:val="95"/>
          <w:sz w:val="21"/>
        </w:rPr>
        <w:t>Méxi- co, de Antonio Padilla Arroyo y Alcira Soler Durán, integrantes del </w:t>
      </w:r>
      <w:r>
        <w:rPr>
          <w:rFonts w:ascii="Georgia" w:hAnsi="Georgia"/>
          <w:color w:val="231F20"/>
          <w:sz w:val="21"/>
        </w:rPr>
        <w:t>cuerpo académico consolidado Cultura y Educación: Devenir y Actualidad,</w:t>
      </w:r>
      <w:r>
        <w:rPr>
          <w:rFonts w:ascii="Georgia" w:hAnsi="Georgia"/>
          <w:color w:val="231F20"/>
          <w:spacing w:val="-8"/>
          <w:sz w:val="21"/>
        </w:rPr>
        <w:t> </w:t>
      </w:r>
      <w:r>
        <w:rPr>
          <w:rFonts w:ascii="Georgia" w:hAnsi="Georgia"/>
          <w:color w:val="231F20"/>
          <w:sz w:val="21"/>
        </w:rPr>
        <w:t>de</w:t>
      </w:r>
      <w:r>
        <w:rPr>
          <w:rFonts w:ascii="Georgia" w:hAnsi="Georgia"/>
          <w:color w:val="231F20"/>
          <w:spacing w:val="-8"/>
          <w:sz w:val="21"/>
        </w:rPr>
        <w:t> </w:t>
      </w:r>
      <w:r>
        <w:rPr>
          <w:rFonts w:ascii="Georgia" w:hAnsi="Georgia"/>
          <w:color w:val="231F20"/>
          <w:sz w:val="21"/>
        </w:rPr>
        <w:t>la</w:t>
      </w:r>
      <w:r>
        <w:rPr>
          <w:rFonts w:ascii="Georgia" w:hAnsi="Georgia"/>
          <w:color w:val="231F20"/>
          <w:spacing w:val="-8"/>
          <w:sz w:val="21"/>
        </w:rPr>
        <w:t> </w:t>
      </w:r>
      <w:r>
        <w:rPr>
          <w:rFonts w:ascii="Georgia" w:hAnsi="Georgia"/>
          <w:color w:val="231F20"/>
          <w:sz w:val="21"/>
        </w:rPr>
        <w:t>Universidad</w:t>
      </w:r>
      <w:r>
        <w:rPr>
          <w:rFonts w:ascii="Georgia" w:hAnsi="Georgia"/>
          <w:color w:val="231F20"/>
          <w:spacing w:val="-8"/>
          <w:sz w:val="21"/>
        </w:rPr>
        <w:t> </w:t>
      </w:r>
      <w:r>
        <w:rPr>
          <w:rFonts w:ascii="Georgia" w:hAnsi="Georgia"/>
          <w:color w:val="231F20"/>
          <w:sz w:val="21"/>
        </w:rPr>
        <w:t>Autónoma</w:t>
      </w:r>
      <w:r>
        <w:rPr>
          <w:rFonts w:ascii="Georgia" w:hAnsi="Georgia"/>
          <w:color w:val="231F20"/>
          <w:spacing w:val="-8"/>
          <w:sz w:val="21"/>
        </w:rPr>
        <w:t> </w:t>
      </w:r>
      <w:r>
        <w:rPr>
          <w:rFonts w:ascii="Georgia" w:hAnsi="Georgia"/>
          <w:color w:val="231F20"/>
          <w:sz w:val="21"/>
        </w:rPr>
        <w:t>de</w:t>
      </w:r>
      <w:r>
        <w:rPr>
          <w:rFonts w:ascii="Georgia" w:hAnsi="Georgia"/>
          <w:color w:val="231F20"/>
          <w:spacing w:val="-8"/>
          <w:sz w:val="21"/>
        </w:rPr>
        <w:t> </w:t>
      </w:r>
      <w:r>
        <w:rPr>
          <w:rFonts w:ascii="Georgia" w:hAnsi="Georgia"/>
          <w:color w:val="231F20"/>
          <w:sz w:val="21"/>
        </w:rPr>
        <w:t>Morelos</w:t>
      </w:r>
      <w:r>
        <w:rPr>
          <w:rFonts w:ascii="Georgia" w:hAnsi="Georgia"/>
          <w:color w:val="231F20"/>
          <w:spacing w:val="-8"/>
          <w:sz w:val="21"/>
        </w:rPr>
        <w:t> </w:t>
      </w:r>
      <w:r>
        <w:rPr>
          <w:rFonts w:ascii="Georgia" w:hAnsi="Georgia"/>
          <w:color w:val="231F20"/>
          <w:sz w:val="21"/>
        </w:rPr>
        <w:t>(UAEM),</w:t>
      </w:r>
      <w:r>
        <w:rPr>
          <w:rFonts w:ascii="Georgia" w:hAnsi="Georgia"/>
          <w:color w:val="231F20"/>
          <w:spacing w:val="-8"/>
          <w:sz w:val="21"/>
        </w:rPr>
        <w:t> </w:t>
      </w:r>
      <w:r>
        <w:rPr>
          <w:rFonts w:ascii="Georgia" w:hAnsi="Georgia"/>
          <w:color w:val="231F20"/>
          <w:sz w:val="21"/>
        </w:rPr>
        <w:t>e integrantes</w:t>
      </w:r>
      <w:r>
        <w:rPr>
          <w:rFonts w:ascii="Georgia" w:hAnsi="Georgia"/>
          <w:color w:val="231F20"/>
          <w:spacing w:val="-19"/>
          <w:sz w:val="21"/>
        </w:rPr>
        <w:t> </w:t>
      </w:r>
      <w:r>
        <w:rPr>
          <w:rFonts w:ascii="Georgia" w:hAnsi="Georgia"/>
          <w:color w:val="231F20"/>
          <w:sz w:val="21"/>
        </w:rPr>
        <w:t>de</w:t>
      </w:r>
      <w:r>
        <w:rPr>
          <w:rFonts w:ascii="Georgia" w:hAnsi="Georgia"/>
          <w:color w:val="231F20"/>
          <w:spacing w:val="-19"/>
          <w:sz w:val="21"/>
        </w:rPr>
        <w:t> </w:t>
      </w:r>
      <w:r>
        <w:rPr>
          <w:rFonts w:ascii="Georgia" w:hAnsi="Georgia"/>
          <w:color w:val="231F20"/>
          <w:sz w:val="21"/>
        </w:rPr>
        <w:t>la</w:t>
      </w:r>
      <w:r>
        <w:rPr>
          <w:rFonts w:ascii="Georgia" w:hAnsi="Georgia"/>
          <w:color w:val="231F20"/>
          <w:spacing w:val="-18"/>
          <w:sz w:val="21"/>
        </w:rPr>
        <w:t> </w:t>
      </w:r>
      <w:r>
        <w:rPr>
          <w:rFonts w:ascii="Georgia" w:hAnsi="Georgia"/>
          <w:color w:val="231F20"/>
          <w:sz w:val="21"/>
        </w:rPr>
        <w:t>Red</w:t>
      </w:r>
      <w:r>
        <w:rPr>
          <w:rFonts w:ascii="Georgia" w:hAnsi="Georgia"/>
          <w:color w:val="231F20"/>
          <w:spacing w:val="-18"/>
          <w:sz w:val="21"/>
        </w:rPr>
        <w:t> </w:t>
      </w:r>
      <w:r>
        <w:rPr>
          <w:rFonts w:ascii="Georgia" w:hAnsi="Georgia"/>
          <w:color w:val="231F20"/>
          <w:sz w:val="21"/>
        </w:rPr>
        <w:t>de</w:t>
      </w:r>
      <w:r>
        <w:rPr>
          <w:rFonts w:ascii="Georgia" w:hAnsi="Georgia"/>
          <w:color w:val="231F20"/>
          <w:spacing w:val="-19"/>
          <w:sz w:val="21"/>
        </w:rPr>
        <w:t> </w:t>
      </w:r>
      <w:r>
        <w:rPr>
          <w:rFonts w:ascii="Georgia" w:hAnsi="Georgia"/>
          <w:color w:val="231F20"/>
          <w:sz w:val="21"/>
        </w:rPr>
        <w:t>Cuerpos</w:t>
      </w:r>
      <w:r>
        <w:rPr>
          <w:rFonts w:ascii="Georgia" w:hAnsi="Georgia"/>
          <w:color w:val="231F20"/>
          <w:spacing w:val="-19"/>
          <w:sz w:val="21"/>
        </w:rPr>
        <w:t> </w:t>
      </w:r>
      <w:r>
        <w:rPr>
          <w:rFonts w:ascii="Georgia" w:hAnsi="Georgia"/>
          <w:color w:val="231F20"/>
          <w:sz w:val="21"/>
        </w:rPr>
        <w:t>Académicos</w:t>
      </w:r>
      <w:r>
        <w:rPr>
          <w:rFonts w:ascii="Georgia" w:hAnsi="Georgia"/>
          <w:color w:val="231F20"/>
          <w:spacing w:val="-19"/>
          <w:sz w:val="21"/>
        </w:rPr>
        <w:t> </w:t>
      </w:r>
      <w:r>
        <w:rPr>
          <w:rFonts w:ascii="Georgia" w:hAnsi="Georgia"/>
          <w:color w:val="231F20"/>
          <w:sz w:val="21"/>
        </w:rPr>
        <w:t>en</w:t>
      </w:r>
      <w:r>
        <w:rPr>
          <w:rFonts w:ascii="Georgia" w:hAnsi="Georgia"/>
          <w:color w:val="231F20"/>
          <w:spacing w:val="-18"/>
          <w:sz w:val="21"/>
        </w:rPr>
        <w:t> </w:t>
      </w:r>
      <w:r>
        <w:rPr>
          <w:rFonts w:ascii="Georgia" w:hAnsi="Georgia"/>
          <w:color w:val="231F20"/>
          <w:sz w:val="21"/>
        </w:rPr>
        <w:t>Política,</w:t>
      </w:r>
      <w:r>
        <w:rPr>
          <w:rFonts w:ascii="Georgia" w:hAnsi="Georgia"/>
          <w:color w:val="231F20"/>
          <w:spacing w:val="-19"/>
          <w:sz w:val="21"/>
        </w:rPr>
        <w:t> </w:t>
      </w:r>
      <w:r>
        <w:rPr>
          <w:rFonts w:ascii="Georgia" w:hAnsi="Georgia"/>
          <w:color w:val="231F20"/>
          <w:sz w:val="21"/>
        </w:rPr>
        <w:t>Educa- </w:t>
      </w:r>
      <w:r>
        <w:rPr>
          <w:rFonts w:ascii="Georgia" w:hAnsi="Georgia"/>
          <w:color w:val="231F20"/>
          <w:w w:val="90"/>
          <w:sz w:val="21"/>
        </w:rPr>
        <w:t>ción y</w:t>
      </w:r>
      <w:r>
        <w:rPr>
          <w:rFonts w:ascii="Georgia" w:hAnsi="Georgia"/>
          <w:color w:val="231F20"/>
          <w:spacing w:val="21"/>
          <w:w w:val="90"/>
          <w:sz w:val="21"/>
        </w:rPr>
        <w:t> </w:t>
      </w:r>
      <w:r>
        <w:rPr>
          <w:rFonts w:ascii="Georgia" w:hAnsi="Georgia"/>
          <w:color w:val="231F20"/>
          <w:w w:val="90"/>
          <w:sz w:val="21"/>
        </w:rPr>
        <w:t>Universidad.</w:t>
      </w:r>
    </w:p>
    <w:p>
      <w:pPr>
        <w:pStyle w:val="BodyText"/>
        <w:spacing w:line="252" w:lineRule="auto" w:before="15"/>
        <w:ind w:left="113" w:right="110" w:firstLine="284"/>
        <w:jc w:val="both"/>
        <w:rPr>
          <w:rFonts w:ascii="Georgia" w:hAnsi="Georgia"/>
        </w:rPr>
      </w:pPr>
      <w:r>
        <w:rPr>
          <w:rFonts w:ascii="Georgia" w:hAnsi="Georgia"/>
          <w:color w:val="231F20"/>
          <w:spacing w:val="2"/>
          <w:w w:val="95"/>
        </w:rPr>
        <w:t>Los autores sostienen </w:t>
      </w:r>
      <w:r>
        <w:rPr>
          <w:rFonts w:ascii="Georgia" w:hAnsi="Georgia"/>
          <w:color w:val="231F20"/>
          <w:w w:val="95"/>
        </w:rPr>
        <w:t>que los </w:t>
      </w:r>
      <w:r>
        <w:rPr>
          <w:rFonts w:ascii="Georgia" w:hAnsi="Georgia"/>
          <w:color w:val="231F20"/>
          <w:spacing w:val="2"/>
          <w:w w:val="95"/>
        </w:rPr>
        <w:t>descontentos estudiantiles</w:t>
      </w:r>
      <w:r>
        <w:rPr>
          <w:rFonts w:ascii="Georgia" w:hAnsi="Georgia"/>
          <w:color w:val="231F20"/>
          <w:spacing w:val="-29"/>
          <w:w w:val="95"/>
        </w:rPr>
        <w:t> </w:t>
      </w:r>
      <w:r>
        <w:rPr>
          <w:rFonts w:ascii="Georgia" w:hAnsi="Georgia"/>
          <w:color w:val="231F20"/>
          <w:spacing w:val="2"/>
          <w:w w:val="95"/>
        </w:rPr>
        <w:t>rebe- </w:t>
      </w:r>
      <w:r>
        <w:rPr>
          <w:rFonts w:ascii="Georgia" w:hAnsi="Georgia"/>
          <w:color w:val="231F20"/>
          <w:w w:val="95"/>
        </w:rPr>
        <w:t>lan</w:t>
      </w:r>
      <w:r>
        <w:rPr>
          <w:rFonts w:ascii="Georgia" w:hAnsi="Georgia"/>
          <w:color w:val="231F20"/>
          <w:spacing w:val="-5"/>
          <w:w w:val="95"/>
        </w:rPr>
        <w:t> </w:t>
      </w:r>
      <w:r>
        <w:rPr>
          <w:rFonts w:ascii="Georgia" w:hAnsi="Georgia"/>
          <w:color w:val="231F20"/>
          <w:w w:val="95"/>
        </w:rPr>
        <w:t>la</w:t>
      </w:r>
      <w:r>
        <w:rPr>
          <w:rFonts w:ascii="Georgia" w:hAnsi="Georgia"/>
          <w:color w:val="231F20"/>
          <w:spacing w:val="-5"/>
          <w:w w:val="95"/>
        </w:rPr>
        <w:t> </w:t>
      </w:r>
      <w:r>
        <w:rPr>
          <w:rFonts w:ascii="Georgia" w:hAnsi="Georgia"/>
          <w:color w:val="231F20"/>
          <w:spacing w:val="2"/>
          <w:w w:val="95"/>
        </w:rPr>
        <w:t>incapacidad</w:t>
      </w:r>
      <w:r>
        <w:rPr>
          <w:rFonts w:ascii="Georgia" w:hAnsi="Georgia"/>
          <w:color w:val="231F20"/>
          <w:spacing w:val="-5"/>
          <w:w w:val="95"/>
        </w:rPr>
        <w:t> </w:t>
      </w:r>
      <w:r>
        <w:rPr>
          <w:rFonts w:ascii="Georgia" w:hAnsi="Georgia"/>
          <w:color w:val="231F20"/>
          <w:spacing w:val="2"/>
          <w:w w:val="95"/>
        </w:rPr>
        <w:t>para</w:t>
      </w:r>
      <w:r>
        <w:rPr>
          <w:rFonts w:ascii="Georgia" w:hAnsi="Georgia"/>
          <w:color w:val="231F20"/>
          <w:spacing w:val="-5"/>
          <w:w w:val="95"/>
        </w:rPr>
        <w:t> </w:t>
      </w:r>
      <w:r>
        <w:rPr>
          <w:rFonts w:ascii="Georgia" w:hAnsi="Georgia"/>
          <w:color w:val="231F20"/>
          <w:spacing w:val="3"/>
          <w:w w:val="95"/>
        </w:rPr>
        <w:t>mantener</w:t>
      </w:r>
      <w:r>
        <w:rPr>
          <w:rFonts w:ascii="Georgia" w:hAnsi="Georgia"/>
          <w:color w:val="231F20"/>
          <w:spacing w:val="-5"/>
          <w:w w:val="95"/>
        </w:rPr>
        <w:t> </w:t>
      </w:r>
      <w:r>
        <w:rPr>
          <w:rFonts w:ascii="Georgia" w:hAnsi="Georgia"/>
          <w:color w:val="231F20"/>
          <w:w w:val="95"/>
        </w:rPr>
        <w:t>el</w:t>
      </w:r>
      <w:r>
        <w:rPr>
          <w:rFonts w:ascii="Georgia" w:hAnsi="Georgia"/>
          <w:color w:val="231F20"/>
          <w:spacing w:val="-5"/>
          <w:w w:val="95"/>
        </w:rPr>
        <w:t> </w:t>
      </w:r>
      <w:r>
        <w:rPr>
          <w:rFonts w:ascii="Georgia" w:hAnsi="Georgia"/>
          <w:color w:val="231F20"/>
          <w:spacing w:val="2"/>
          <w:w w:val="95"/>
        </w:rPr>
        <w:t>orden</w:t>
      </w:r>
      <w:r>
        <w:rPr>
          <w:rFonts w:ascii="Georgia" w:hAnsi="Georgia"/>
          <w:color w:val="231F20"/>
          <w:spacing w:val="-5"/>
          <w:w w:val="95"/>
        </w:rPr>
        <w:t> </w:t>
      </w:r>
      <w:r>
        <w:rPr>
          <w:rFonts w:ascii="Georgia" w:hAnsi="Georgia"/>
          <w:color w:val="231F20"/>
          <w:spacing w:val="2"/>
          <w:w w:val="95"/>
        </w:rPr>
        <w:t>escolar;</w:t>
      </w:r>
      <w:r>
        <w:rPr>
          <w:rFonts w:ascii="Georgia" w:hAnsi="Georgia"/>
          <w:color w:val="231F20"/>
          <w:spacing w:val="-5"/>
          <w:w w:val="95"/>
        </w:rPr>
        <w:t> </w:t>
      </w:r>
      <w:r>
        <w:rPr>
          <w:rFonts w:ascii="Georgia" w:hAnsi="Georgia"/>
          <w:color w:val="231F20"/>
          <w:w w:val="95"/>
        </w:rPr>
        <w:t>así</w:t>
      </w:r>
      <w:r>
        <w:rPr>
          <w:rFonts w:ascii="Georgia" w:hAnsi="Georgia"/>
          <w:color w:val="231F20"/>
          <w:spacing w:val="-5"/>
          <w:w w:val="95"/>
        </w:rPr>
        <w:t> </w:t>
      </w:r>
      <w:r>
        <w:rPr>
          <w:rFonts w:ascii="Georgia" w:hAnsi="Georgia"/>
          <w:color w:val="231F20"/>
          <w:w w:val="95"/>
        </w:rPr>
        <w:t>la</w:t>
      </w:r>
      <w:r>
        <w:rPr>
          <w:rFonts w:ascii="Georgia" w:hAnsi="Georgia"/>
          <w:color w:val="231F20"/>
          <w:spacing w:val="-5"/>
          <w:w w:val="95"/>
        </w:rPr>
        <w:t> </w:t>
      </w:r>
      <w:r>
        <w:rPr>
          <w:rFonts w:ascii="Georgia" w:hAnsi="Georgia"/>
          <w:color w:val="231F20"/>
          <w:spacing w:val="2"/>
          <w:w w:val="95"/>
        </w:rPr>
        <w:t>violencia adquiere </w:t>
      </w:r>
      <w:r>
        <w:rPr>
          <w:rFonts w:ascii="Georgia" w:hAnsi="Georgia"/>
          <w:color w:val="231F20"/>
          <w:w w:val="95"/>
        </w:rPr>
        <w:t>el </w:t>
      </w:r>
      <w:r>
        <w:rPr>
          <w:rFonts w:ascii="Georgia" w:hAnsi="Georgia"/>
          <w:color w:val="231F20"/>
          <w:spacing w:val="2"/>
          <w:w w:val="95"/>
        </w:rPr>
        <w:t>sentido </w:t>
      </w:r>
      <w:r>
        <w:rPr>
          <w:rFonts w:ascii="Georgia" w:hAnsi="Georgia"/>
          <w:color w:val="231F20"/>
          <w:w w:val="95"/>
        </w:rPr>
        <w:t>de </w:t>
      </w:r>
      <w:r>
        <w:rPr>
          <w:rFonts w:ascii="Georgia" w:hAnsi="Georgia"/>
          <w:color w:val="231F20"/>
          <w:spacing w:val="3"/>
          <w:w w:val="95"/>
        </w:rPr>
        <w:t>cuestionamiento </w:t>
      </w:r>
      <w:r>
        <w:rPr>
          <w:rFonts w:ascii="Georgia" w:hAnsi="Georgia"/>
          <w:color w:val="231F20"/>
          <w:w w:val="95"/>
        </w:rPr>
        <w:t>de la </w:t>
      </w:r>
      <w:r>
        <w:rPr>
          <w:rFonts w:ascii="Georgia" w:hAnsi="Georgia"/>
          <w:color w:val="231F20"/>
          <w:spacing w:val="2"/>
          <w:w w:val="95"/>
        </w:rPr>
        <w:t>legitimidad </w:t>
      </w:r>
      <w:r>
        <w:rPr>
          <w:rFonts w:ascii="Georgia" w:hAnsi="Georgia"/>
          <w:color w:val="231F20"/>
          <w:w w:val="95"/>
        </w:rPr>
        <w:t>de </w:t>
      </w:r>
      <w:r>
        <w:rPr>
          <w:rFonts w:ascii="Georgia" w:hAnsi="Georgia"/>
          <w:color w:val="231F20"/>
          <w:spacing w:val="2"/>
          <w:w w:val="95"/>
        </w:rPr>
        <w:t>una autoridad,</w:t>
      </w:r>
      <w:r>
        <w:rPr>
          <w:rFonts w:ascii="Georgia" w:hAnsi="Georgia"/>
          <w:color w:val="231F20"/>
          <w:spacing w:val="-20"/>
          <w:w w:val="95"/>
        </w:rPr>
        <w:t> </w:t>
      </w:r>
      <w:r>
        <w:rPr>
          <w:rFonts w:ascii="Georgia" w:hAnsi="Georgia"/>
          <w:color w:val="231F20"/>
          <w:w w:val="95"/>
        </w:rPr>
        <w:t>en</w:t>
      </w:r>
      <w:r>
        <w:rPr>
          <w:rFonts w:ascii="Georgia" w:hAnsi="Georgia"/>
          <w:color w:val="231F20"/>
          <w:spacing w:val="-20"/>
          <w:w w:val="95"/>
        </w:rPr>
        <w:t> </w:t>
      </w:r>
      <w:r>
        <w:rPr>
          <w:rFonts w:ascii="Georgia" w:hAnsi="Georgia"/>
          <w:color w:val="231F20"/>
          <w:spacing w:val="3"/>
          <w:w w:val="95"/>
        </w:rPr>
        <w:t>consecuencia</w:t>
      </w:r>
      <w:r>
        <w:rPr>
          <w:rFonts w:ascii="Georgia" w:hAnsi="Georgia"/>
          <w:color w:val="231F20"/>
          <w:spacing w:val="-20"/>
          <w:w w:val="95"/>
        </w:rPr>
        <w:t> </w:t>
      </w:r>
      <w:r>
        <w:rPr>
          <w:rFonts w:ascii="Georgia" w:hAnsi="Georgia"/>
          <w:color w:val="231F20"/>
          <w:w w:val="95"/>
        </w:rPr>
        <w:t>de</w:t>
      </w:r>
      <w:r>
        <w:rPr>
          <w:rFonts w:ascii="Georgia" w:hAnsi="Georgia"/>
          <w:color w:val="231F20"/>
          <w:spacing w:val="-20"/>
          <w:w w:val="95"/>
        </w:rPr>
        <w:t> </w:t>
      </w:r>
      <w:r>
        <w:rPr>
          <w:rFonts w:ascii="Georgia" w:hAnsi="Georgia"/>
          <w:color w:val="231F20"/>
          <w:w w:val="95"/>
        </w:rPr>
        <w:t>su</w:t>
      </w:r>
      <w:r>
        <w:rPr>
          <w:rFonts w:ascii="Georgia" w:hAnsi="Georgia"/>
          <w:color w:val="231F20"/>
          <w:spacing w:val="-20"/>
          <w:w w:val="95"/>
        </w:rPr>
        <w:t> </w:t>
      </w:r>
      <w:r>
        <w:rPr>
          <w:rFonts w:ascii="Georgia" w:hAnsi="Georgia"/>
          <w:color w:val="231F20"/>
          <w:spacing w:val="2"/>
          <w:w w:val="95"/>
        </w:rPr>
        <w:t>capacidad</w:t>
      </w:r>
      <w:r>
        <w:rPr>
          <w:rFonts w:ascii="Georgia" w:hAnsi="Georgia"/>
          <w:color w:val="231F20"/>
          <w:spacing w:val="-20"/>
          <w:w w:val="95"/>
        </w:rPr>
        <w:t> </w:t>
      </w:r>
      <w:r>
        <w:rPr>
          <w:rFonts w:ascii="Georgia" w:hAnsi="Georgia"/>
          <w:color w:val="231F20"/>
          <w:spacing w:val="2"/>
          <w:w w:val="95"/>
        </w:rPr>
        <w:t>para</w:t>
      </w:r>
      <w:r>
        <w:rPr>
          <w:rFonts w:ascii="Georgia" w:hAnsi="Georgia"/>
          <w:color w:val="231F20"/>
          <w:spacing w:val="-20"/>
          <w:w w:val="95"/>
        </w:rPr>
        <w:t> </w:t>
      </w:r>
      <w:r>
        <w:rPr>
          <w:rFonts w:ascii="Georgia" w:hAnsi="Georgia"/>
          <w:color w:val="231F20"/>
          <w:spacing w:val="2"/>
          <w:w w:val="95"/>
        </w:rPr>
        <w:t>emplear</w:t>
      </w:r>
      <w:r>
        <w:rPr>
          <w:rFonts w:ascii="Georgia" w:hAnsi="Georgia"/>
          <w:color w:val="231F20"/>
          <w:spacing w:val="-20"/>
          <w:w w:val="95"/>
        </w:rPr>
        <w:t> </w:t>
      </w:r>
      <w:r>
        <w:rPr>
          <w:rFonts w:ascii="Georgia" w:hAnsi="Georgia"/>
          <w:color w:val="231F20"/>
          <w:w w:val="95"/>
        </w:rPr>
        <w:t>la</w:t>
      </w:r>
      <w:r>
        <w:rPr>
          <w:rFonts w:ascii="Georgia" w:hAnsi="Georgia"/>
          <w:color w:val="231F20"/>
          <w:spacing w:val="-20"/>
          <w:w w:val="95"/>
        </w:rPr>
        <w:t> </w:t>
      </w:r>
      <w:r>
        <w:rPr>
          <w:rFonts w:ascii="Georgia" w:hAnsi="Georgia"/>
          <w:color w:val="231F20"/>
          <w:spacing w:val="3"/>
          <w:w w:val="95"/>
        </w:rPr>
        <w:t>misma </w:t>
      </w:r>
      <w:r>
        <w:rPr>
          <w:rFonts w:ascii="Georgia" w:hAnsi="Georgia"/>
          <w:color w:val="231F20"/>
          <w:spacing w:val="2"/>
          <w:w w:val="95"/>
        </w:rPr>
        <w:t>violencia.</w:t>
      </w:r>
      <w:r>
        <w:rPr>
          <w:rFonts w:ascii="Georgia" w:hAnsi="Georgia"/>
          <w:color w:val="231F20"/>
          <w:spacing w:val="-19"/>
          <w:w w:val="95"/>
        </w:rPr>
        <w:t> </w:t>
      </w:r>
      <w:r>
        <w:rPr>
          <w:rFonts w:ascii="Georgia" w:hAnsi="Georgia"/>
          <w:color w:val="231F20"/>
          <w:spacing w:val="2"/>
          <w:w w:val="95"/>
        </w:rPr>
        <w:t>Esta</w:t>
      </w:r>
      <w:r>
        <w:rPr>
          <w:rFonts w:ascii="Georgia" w:hAnsi="Georgia"/>
          <w:color w:val="231F20"/>
          <w:spacing w:val="-19"/>
          <w:w w:val="95"/>
        </w:rPr>
        <w:t> </w:t>
      </w:r>
      <w:r>
        <w:rPr>
          <w:rFonts w:ascii="Georgia" w:hAnsi="Georgia"/>
          <w:color w:val="231F20"/>
          <w:spacing w:val="2"/>
          <w:w w:val="95"/>
        </w:rPr>
        <w:t>situación</w:t>
      </w:r>
      <w:r>
        <w:rPr>
          <w:rFonts w:ascii="Georgia" w:hAnsi="Georgia"/>
          <w:color w:val="231F20"/>
          <w:spacing w:val="-19"/>
          <w:w w:val="95"/>
        </w:rPr>
        <w:t> </w:t>
      </w:r>
      <w:r>
        <w:rPr>
          <w:rFonts w:ascii="Georgia" w:hAnsi="Georgia"/>
          <w:color w:val="231F20"/>
          <w:w w:val="95"/>
        </w:rPr>
        <w:t>se</w:t>
      </w:r>
      <w:r>
        <w:rPr>
          <w:rFonts w:ascii="Georgia" w:hAnsi="Georgia"/>
          <w:color w:val="231F20"/>
          <w:spacing w:val="-19"/>
          <w:w w:val="95"/>
        </w:rPr>
        <w:t> </w:t>
      </w:r>
      <w:r>
        <w:rPr>
          <w:rFonts w:ascii="Georgia" w:hAnsi="Georgia"/>
          <w:color w:val="231F20"/>
          <w:spacing w:val="2"/>
          <w:w w:val="95"/>
        </w:rPr>
        <w:t>examina</w:t>
      </w:r>
      <w:r>
        <w:rPr>
          <w:rFonts w:ascii="Georgia" w:hAnsi="Georgia"/>
          <w:color w:val="231F20"/>
          <w:spacing w:val="-19"/>
          <w:w w:val="95"/>
        </w:rPr>
        <w:t> </w:t>
      </w:r>
      <w:r>
        <w:rPr>
          <w:rFonts w:ascii="Georgia" w:hAnsi="Georgia"/>
          <w:color w:val="231F20"/>
          <w:spacing w:val="2"/>
          <w:w w:val="95"/>
        </w:rPr>
        <w:t>para</w:t>
      </w:r>
      <w:r>
        <w:rPr>
          <w:rFonts w:ascii="Georgia" w:hAnsi="Georgia"/>
          <w:color w:val="231F20"/>
          <w:spacing w:val="-19"/>
          <w:w w:val="95"/>
        </w:rPr>
        <w:t> </w:t>
      </w:r>
      <w:r>
        <w:rPr>
          <w:rFonts w:ascii="Georgia" w:hAnsi="Georgia"/>
          <w:color w:val="231F20"/>
          <w:w w:val="95"/>
        </w:rPr>
        <w:t>el</w:t>
      </w:r>
      <w:r>
        <w:rPr>
          <w:rFonts w:ascii="Georgia" w:hAnsi="Georgia"/>
          <w:color w:val="231F20"/>
          <w:spacing w:val="-19"/>
          <w:w w:val="95"/>
        </w:rPr>
        <w:t> </w:t>
      </w:r>
      <w:r>
        <w:rPr>
          <w:rFonts w:ascii="Georgia" w:hAnsi="Georgia"/>
          <w:color w:val="231F20"/>
          <w:spacing w:val="2"/>
          <w:w w:val="95"/>
        </w:rPr>
        <w:t>caso</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un</w:t>
      </w:r>
      <w:r>
        <w:rPr>
          <w:rFonts w:ascii="Georgia" w:hAnsi="Georgia"/>
          <w:color w:val="231F20"/>
          <w:spacing w:val="-19"/>
          <w:w w:val="95"/>
        </w:rPr>
        <w:t> </w:t>
      </w:r>
      <w:r>
        <w:rPr>
          <w:rFonts w:ascii="Georgia" w:hAnsi="Georgia"/>
          <w:color w:val="231F20"/>
          <w:spacing w:val="3"/>
          <w:w w:val="95"/>
        </w:rPr>
        <w:t>movimiento</w:t>
      </w:r>
    </w:p>
    <w:p>
      <w:pPr>
        <w:spacing w:after="0" w:line="252" w:lineRule="auto"/>
        <w:jc w:val="both"/>
        <w:rPr>
          <w:rFonts w:ascii="Georgia" w:hAnsi="Georgia"/>
        </w:rPr>
        <w:sectPr>
          <w:headerReference w:type="default" r:id="rId46"/>
          <w:footerReference w:type="default" r:id="rId47"/>
          <w:pgSz w:w="7830" w:h="11910"/>
          <w:pgMar w:header="0" w:footer="424" w:top="500" w:bottom="620" w:left="1020" w:right="740"/>
          <w:pgNumType w:start="17"/>
        </w:sectPr>
      </w:pPr>
    </w:p>
    <w:p>
      <w:pPr>
        <w:spacing w:before="46"/>
        <w:ind w:left="632" w:right="148"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10"/>
        <w:rPr>
          <w:sz w:val="16"/>
        </w:rPr>
      </w:pPr>
    </w:p>
    <w:p>
      <w:pPr>
        <w:pStyle w:val="BodyText"/>
        <w:spacing w:line="247" w:lineRule="auto" w:before="1"/>
        <w:ind w:left="109" w:right="110"/>
        <w:jc w:val="both"/>
      </w:pPr>
      <w:r>
        <w:rPr>
          <w:color w:val="231F20"/>
          <w:spacing w:val="2"/>
        </w:rPr>
        <w:t>estudiantil </w:t>
      </w:r>
      <w:r>
        <w:rPr>
          <w:color w:val="231F20"/>
          <w:spacing w:val="3"/>
        </w:rPr>
        <w:t>donde </w:t>
      </w:r>
      <w:r>
        <w:rPr>
          <w:color w:val="231F20"/>
        </w:rPr>
        <w:t>la </w:t>
      </w:r>
      <w:r>
        <w:rPr>
          <w:color w:val="231F20"/>
          <w:spacing w:val="3"/>
        </w:rPr>
        <w:t>insubordinación </w:t>
      </w:r>
      <w:r>
        <w:rPr>
          <w:color w:val="231F20"/>
          <w:spacing w:val="2"/>
        </w:rPr>
        <w:t>adquiere legitimidad, pero </w:t>
      </w:r>
      <w:r>
        <w:rPr>
          <w:color w:val="231F20"/>
          <w:spacing w:val="3"/>
        </w:rPr>
        <w:t>al </w:t>
      </w:r>
      <w:r>
        <w:rPr>
          <w:color w:val="231F20"/>
          <w:spacing w:val="2"/>
        </w:rPr>
        <w:t>lograrla, </w:t>
      </w:r>
      <w:r>
        <w:rPr>
          <w:color w:val="231F20"/>
        </w:rPr>
        <w:t>las </w:t>
      </w:r>
      <w:r>
        <w:rPr>
          <w:color w:val="231F20"/>
          <w:spacing w:val="2"/>
        </w:rPr>
        <w:t>autoridades utilizan otras </w:t>
      </w:r>
      <w:r>
        <w:rPr>
          <w:color w:val="231F20"/>
          <w:spacing w:val="3"/>
        </w:rPr>
        <w:t>formas </w:t>
      </w:r>
      <w:r>
        <w:rPr>
          <w:color w:val="231F20"/>
        </w:rPr>
        <w:t>de </w:t>
      </w:r>
      <w:r>
        <w:rPr>
          <w:color w:val="231F20"/>
          <w:spacing w:val="2"/>
        </w:rPr>
        <w:t>disciplinar (uso </w:t>
      </w:r>
      <w:r>
        <w:rPr>
          <w:color w:val="231F20"/>
        </w:rPr>
        <w:t>de la </w:t>
      </w:r>
      <w:r>
        <w:rPr>
          <w:color w:val="231F20"/>
          <w:spacing w:val="2"/>
        </w:rPr>
        <w:t>violencia) que </w:t>
      </w:r>
      <w:r>
        <w:rPr>
          <w:color w:val="231F20"/>
        </w:rPr>
        <w:t>van </w:t>
      </w:r>
      <w:r>
        <w:rPr>
          <w:color w:val="231F20"/>
          <w:spacing w:val="2"/>
        </w:rPr>
        <w:t>desde </w:t>
      </w:r>
      <w:r>
        <w:rPr>
          <w:color w:val="231F20"/>
        </w:rPr>
        <w:t>el </w:t>
      </w:r>
      <w:r>
        <w:rPr>
          <w:color w:val="231F20"/>
          <w:spacing w:val="2"/>
        </w:rPr>
        <w:t>empleo </w:t>
      </w:r>
      <w:r>
        <w:rPr>
          <w:color w:val="231F20"/>
        </w:rPr>
        <w:t>de un </w:t>
      </w:r>
      <w:r>
        <w:rPr>
          <w:color w:val="231F20"/>
          <w:spacing w:val="2"/>
        </w:rPr>
        <w:t>lenguaje, </w:t>
      </w:r>
      <w:r>
        <w:rPr>
          <w:color w:val="231F20"/>
        </w:rPr>
        <w:t>un </w:t>
      </w:r>
      <w:r>
        <w:rPr>
          <w:color w:val="231F20"/>
          <w:spacing w:val="3"/>
        </w:rPr>
        <w:t>discurso, </w:t>
      </w:r>
      <w:r>
        <w:rPr>
          <w:color w:val="231F20"/>
        </w:rPr>
        <w:t>que </w:t>
      </w:r>
      <w:r>
        <w:rPr>
          <w:color w:val="231F20"/>
          <w:spacing w:val="2"/>
        </w:rPr>
        <w:t>legitima </w:t>
      </w:r>
      <w:r>
        <w:rPr>
          <w:color w:val="231F20"/>
        </w:rPr>
        <w:t>de </w:t>
      </w:r>
      <w:r>
        <w:rPr>
          <w:color w:val="231F20"/>
          <w:spacing w:val="2"/>
        </w:rPr>
        <w:t>nuevo </w:t>
      </w:r>
      <w:r>
        <w:rPr>
          <w:color w:val="231F20"/>
        </w:rPr>
        <w:t>a la </w:t>
      </w:r>
      <w:r>
        <w:rPr>
          <w:color w:val="231F20"/>
          <w:spacing w:val="2"/>
        </w:rPr>
        <w:t>autoridad, </w:t>
      </w:r>
      <w:r>
        <w:rPr>
          <w:color w:val="231F20"/>
        </w:rPr>
        <w:t>y llega </w:t>
      </w:r>
      <w:r>
        <w:rPr>
          <w:color w:val="231F20"/>
          <w:spacing w:val="2"/>
        </w:rPr>
        <w:t>hasta </w:t>
      </w:r>
      <w:r>
        <w:rPr>
          <w:color w:val="231F20"/>
        </w:rPr>
        <w:t>las </w:t>
      </w:r>
      <w:r>
        <w:rPr>
          <w:color w:val="231F20"/>
          <w:spacing w:val="2"/>
        </w:rPr>
        <w:t>expulsiones  </w:t>
      </w:r>
      <w:r>
        <w:rPr>
          <w:color w:val="231F20"/>
        </w:rPr>
        <w:t>de </w:t>
      </w:r>
      <w:r>
        <w:rPr>
          <w:color w:val="231F20"/>
          <w:spacing w:val="2"/>
        </w:rPr>
        <w:t>estudiantes que </w:t>
      </w:r>
      <w:r>
        <w:rPr>
          <w:color w:val="231F20"/>
        </w:rPr>
        <w:t>no </w:t>
      </w:r>
      <w:r>
        <w:rPr>
          <w:color w:val="231F20"/>
          <w:spacing w:val="3"/>
        </w:rPr>
        <w:t>desconocen </w:t>
      </w:r>
      <w:r>
        <w:rPr>
          <w:color w:val="231F20"/>
        </w:rPr>
        <w:t>el </w:t>
      </w:r>
      <w:r>
        <w:rPr>
          <w:color w:val="231F20"/>
          <w:spacing w:val="2"/>
        </w:rPr>
        <w:t>orden establecido, sino que </w:t>
      </w:r>
      <w:r>
        <w:rPr>
          <w:color w:val="231F20"/>
          <w:spacing w:val="3"/>
        </w:rPr>
        <w:t>únicamente </w:t>
      </w:r>
      <w:r>
        <w:rPr>
          <w:color w:val="231F20"/>
          <w:spacing w:val="2"/>
        </w:rPr>
        <w:t>cuestionan </w:t>
      </w:r>
      <w:r>
        <w:rPr>
          <w:color w:val="231F20"/>
        </w:rPr>
        <w:t>lo que la </w:t>
      </w:r>
      <w:r>
        <w:rPr>
          <w:color w:val="231F20"/>
          <w:spacing w:val="2"/>
        </w:rPr>
        <w:t>autoridad</w:t>
      </w:r>
      <w:r>
        <w:rPr>
          <w:color w:val="231F20"/>
          <w:spacing w:val="29"/>
        </w:rPr>
        <w:t> </w:t>
      </w:r>
      <w:r>
        <w:rPr>
          <w:color w:val="231F20"/>
          <w:spacing w:val="3"/>
        </w:rPr>
        <w:t>hace.</w:t>
      </w:r>
    </w:p>
    <w:p>
      <w:pPr>
        <w:pStyle w:val="BodyText"/>
        <w:spacing w:before="6"/>
        <w:rPr>
          <w:sz w:val="20"/>
        </w:rPr>
      </w:pPr>
    </w:p>
    <w:p>
      <w:pPr>
        <w:pStyle w:val="ListParagraph"/>
        <w:numPr>
          <w:ilvl w:val="0"/>
          <w:numId w:val="1"/>
        </w:numPr>
        <w:tabs>
          <w:tab w:pos="333" w:val="left" w:leader="none"/>
        </w:tabs>
        <w:spacing w:line="244" w:lineRule="auto" w:before="0" w:after="0"/>
        <w:ind w:left="109" w:right="111" w:firstLine="0"/>
        <w:jc w:val="both"/>
        <w:rPr>
          <w:color w:val="231F20"/>
          <w:sz w:val="21"/>
        </w:rPr>
      </w:pPr>
      <w:r>
        <w:rPr>
          <w:color w:val="231F20"/>
          <w:sz w:val="21"/>
        </w:rPr>
        <w:t>Violencia e investigación, de Luis Rodolfo Ibarra Rivas, líder del cuerpo académico de Procesos y Prácticas Educativas (en forma- ción), de la Facultad de Psicología de la Universidad Autónoma de Querétaro. Integrante de la Red de Cuerpos Académicos en Política, Educación y</w:t>
      </w:r>
      <w:r>
        <w:rPr>
          <w:color w:val="231F20"/>
          <w:spacing w:val="-5"/>
          <w:sz w:val="21"/>
        </w:rPr>
        <w:t> </w:t>
      </w:r>
      <w:r>
        <w:rPr>
          <w:color w:val="231F20"/>
          <w:sz w:val="21"/>
        </w:rPr>
        <w:t>Universidad.</w:t>
      </w:r>
    </w:p>
    <w:p>
      <w:pPr>
        <w:pStyle w:val="BodyText"/>
        <w:spacing w:line="249" w:lineRule="auto" w:before="18"/>
        <w:ind w:left="109" w:right="111" w:firstLine="284"/>
        <w:jc w:val="both"/>
      </w:pPr>
      <w:r>
        <w:rPr>
          <w:color w:val="231F20"/>
          <w:spacing w:val="2"/>
        </w:rPr>
        <w:t>Ibarra parte </w:t>
      </w:r>
      <w:r>
        <w:rPr>
          <w:color w:val="231F20"/>
        </w:rPr>
        <w:t>de </w:t>
      </w:r>
      <w:r>
        <w:rPr>
          <w:color w:val="231F20"/>
          <w:spacing w:val="2"/>
        </w:rPr>
        <w:t>una descripción </w:t>
      </w:r>
      <w:r>
        <w:rPr>
          <w:color w:val="231F20"/>
        </w:rPr>
        <w:t>de las </w:t>
      </w:r>
      <w:r>
        <w:rPr>
          <w:color w:val="231F20"/>
          <w:spacing w:val="2"/>
        </w:rPr>
        <w:t>“funciones primordiales” </w:t>
      </w:r>
      <w:r>
        <w:rPr>
          <w:color w:val="231F20"/>
        </w:rPr>
        <w:t>de la </w:t>
      </w:r>
      <w:r>
        <w:rPr>
          <w:color w:val="231F20"/>
          <w:spacing w:val="2"/>
        </w:rPr>
        <w:t>universidad pública, </w:t>
      </w:r>
      <w:r>
        <w:rPr>
          <w:color w:val="231F20"/>
          <w:spacing w:val="3"/>
        </w:rPr>
        <w:t>destacando </w:t>
      </w:r>
      <w:r>
        <w:rPr>
          <w:color w:val="231F20"/>
        </w:rPr>
        <w:t>la </w:t>
      </w:r>
      <w:r>
        <w:rPr>
          <w:color w:val="231F20"/>
          <w:spacing w:val="2"/>
        </w:rPr>
        <w:t>investigación </w:t>
      </w:r>
      <w:r>
        <w:rPr>
          <w:color w:val="231F20"/>
        </w:rPr>
        <w:t>y la </w:t>
      </w:r>
      <w:r>
        <w:rPr>
          <w:color w:val="231F20"/>
          <w:spacing w:val="3"/>
        </w:rPr>
        <w:t>forma- </w:t>
      </w:r>
      <w:r>
        <w:rPr>
          <w:color w:val="231F20"/>
          <w:spacing w:val="2"/>
        </w:rPr>
        <w:t>ción, </w:t>
      </w:r>
      <w:r>
        <w:rPr>
          <w:color w:val="231F20"/>
        </w:rPr>
        <w:t>las </w:t>
      </w:r>
      <w:r>
        <w:rPr>
          <w:color w:val="231F20"/>
          <w:spacing w:val="2"/>
        </w:rPr>
        <w:t>cuales están </w:t>
      </w:r>
      <w:r>
        <w:rPr>
          <w:color w:val="231F20"/>
          <w:spacing w:val="3"/>
        </w:rPr>
        <w:t>rodeadas </w:t>
      </w:r>
      <w:r>
        <w:rPr>
          <w:color w:val="231F20"/>
        </w:rPr>
        <w:t>de </w:t>
      </w:r>
      <w:r>
        <w:rPr>
          <w:color w:val="231F20"/>
          <w:spacing w:val="2"/>
        </w:rPr>
        <w:t>fuerzas sociales </w:t>
      </w:r>
      <w:r>
        <w:rPr>
          <w:color w:val="231F20"/>
        </w:rPr>
        <w:t>o </w:t>
      </w:r>
      <w:r>
        <w:rPr>
          <w:color w:val="231F20"/>
          <w:spacing w:val="2"/>
        </w:rPr>
        <w:t>estructuras que favorecen </w:t>
      </w:r>
      <w:r>
        <w:rPr>
          <w:color w:val="231F20"/>
        </w:rPr>
        <w:t>o </w:t>
      </w:r>
      <w:r>
        <w:rPr>
          <w:color w:val="231F20"/>
          <w:spacing w:val="2"/>
        </w:rPr>
        <w:t>impiden </w:t>
      </w:r>
      <w:r>
        <w:rPr>
          <w:color w:val="231F20"/>
        </w:rPr>
        <w:t>su </w:t>
      </w:r>
      <w:r>
        <w:rPr>
          <w:color w:val="231F20"/>
          <w:spacing w:val="2"/>
        </w:rPr>
        <w:t>desarrollo. De </w:t>
      </w:r>
      <w:r>
        <w:rPr>
          <w:color w:val="231F20"/>
        </w:rPr>
        <w:t>allí </w:t>
      </w:r>
      <w:r>
        <w:rPr>
          <w:color w:val="231F20"/>
          <w:spacing w:val="2"/>
        </w:rPr>
        <w:t>que </w:t>
      </w:r>
      <w:r>
        <w:rPr>
          <w:color w:val="231F20"/>
        </w:rPr>
        <w:t>el </w:t>
      </w:r>
      <w:r>
        <w:rPr>
          <w:color w:val="231F20"/>
          <w:spacing w:val="2"/>
        </w:rPr>
        <w:t>interés </w:t>
      </w:r>
      <w:r>
        <w:rPr>
          <w:color w:val="231F20"/>
        </w:rPr>
        <w:t>se </w:t>
      </w:r>
      <w:r>
        <w:rPr>
          <w:color w:val="231F20"/>
          <w:spacing w:val="2"/>
        </w:rPr>
        <w:t>centra  </w:t>
      </w:r>
      <w:r>
        <w:rPr>
          <w:color w:val="231F20"/>
        </w:rPr>
        <w:t>en </w:t>
      </w:r>
      <w:r>
        <w:rPr>
          <w:color w:val="231F20"/>
          <w:spacing w:val="2"/>
        </w:rPr>
        <w:t>examinar </w:t>
      </w:r>
      <w:r>
        <w:rPr>
          <w:color w:val="231F20"/>
          <w:spacing w:val="3"/>
        </w:rPr>
        <w:t>cómo </w:t>
      </w:r>
      <w:r>
        <w:rPr>
          <w:color w:val="231F20"/>
        </w:rPr>
        <w:t>en las </w:t>
      </w:r>
      <w:r>
        <w:rPr>
          <w:color w:val="231F20"/>
          <w:spacing w:val="3"/>
        </w:rPr>
        <w:t>maneras </w:t>
      </w:r>
      <w:r>
        <w:rPr>
          <w:color w:val="231F20"/>
        </w:rPr>
        <w:t>de </w:t>
      </w:r>
      <w:r>
        <w:rPr>
          <w:color w:val="231F20"/>
          <w:spacing w:val="2"/>
        </w:rPr>
        <w:t>transmitir </w:t>
      </w:r>
      <w:r>
        <w:rPr>
          <w:color w:val="231F20"/>
        </w:rPr>
        <w:t>el </w:t>
      </w:r>
      <w:r>
        <w:rPr>
          <w:color w:val="231F20"/>
          <w:spacing w:val="2"/>
        </w:rPr>
        <w:t>“oficio </w:t>
      </w:r>
      <w:r>
        <w:rPr>
          <w:color w:val="231F20"/>
        </w:rPr>
        <w:t>de </w:t>
      </w:r>
      <w:r>
        <w:rPr>
          <w:color w:val="231F20"/>
          <w:spacing w:val="2"/>
        </w:rPr>
        <w:t>inves- tigar” pesan </w:t>
      </w:r>
      <w:r>
        <w:rPr>
          <w:color w:val="231F20"/>
        </w:rPr>
        <w:t>un </w:t>
      </w:r>
      <w:r>
        <w:rPr>
          <w:color w:val="231F20"/>
          <w:spacing w:val="3"/>
        </w:rPr>
        <w:t>conjunto </w:t>
      </w:r>
      <w:r>
        <w:rPr>
          <w:color w:val="231F20"/>
        </w:rPr>
        <w:t>de </w:t>
      </w:r>
      <w:r>
        <w:rPr>
          <w:color w:val="231F20"/>
          <w:spacing w:val="2"/>
        </w:rPr>
        <w:t>prácticas educativas, </w:t>
      </w:r>
      <w:r>
        <w:rPr>
          <w:color w:val="231F20"/>
        </w:rPr>
        <w:t>así </w:t>
      </w:r>
      <w:r>
        <w:rPr>
          <w:color w:val="231F20"/>
          <w:spacing w:val="3"/>
        </w:rPr>
        <w:t>como </w:t>
      </w:r>
      <w:r>
        <w:rPr>
          <w:color w:val="231F20"/>
        </w:rPr>
        <w:t>de </w:t>
      </w:r>
      <w:r>
        <w:rPr>
          <w:color w:val="231F20"/>
          <w:spacing w:val="2"/>
        </w:rPr>
        <w:t>re- </w:t>
      </w:r>
      <w:r>
        <w:rPr>
          <w:color w:val="231F20"/>
          <w:spacing w:val="3"/>
        </w:rPr>
        <w:t>presentaciones </w:t>
      </w:r>
      <w:r>
        <w:rPr>
          <w:color w:val="231F20"/>
        </w:rPr>
        <w:t>que </w:t>
      </w:r>
      <w:r>
        <w:rPr>
          <w:color w:val="231F20"/>
          <w:spacing w:val="2"/>
        </w:rPr>
        <w:t>tienden </w:t>
      </w:r>
      <w:r>
        <w:rPr>
          <w:color w:val="231F20"/>
        </w:rPr>
        <w:t>a </w:t>
      </w:r>
      <w:r>
        <w:rPr>
          <w:color w:val="231F20"/>
          <w:spacing w:val="2"/>
        </w:rPr>
        <w:t>ocultar </w:t>
      </w:r>
      <w:r>
        <w:rPr>
          <w:color w:val="231F20"/>
        </w:rPr>
        <w:t>las </w:t>
      </w:r>
      <w:r>
        <w:rPr>
          <w:color w:val="231F20"/>
          <w:spacing w:val="2"/>
        </w:rPr>
        <w:t>actividades propias </w:t>
      </w:r>
      <w:r>
        <w:rPr>
          <w:color w:val="231F20"/>
        </w:rPr>
        <w:t>de </w:t>
      </w:r>
      <w:r>
        <w:rPr>
          <w:color w:val="231F20"/>
          <w:spacing w:val="2"/>
        </w:rPr>
        <w:t>indagar </w:t>
      </w:r>
      <w:r>
        <w:rPr>
          <w:color w:val="231F20"/>
        </w:rPr>
        <w:t>en </w:t>
      </w:r>
      <w:r>
        <w:rPr>
          <w:color w:val="231F20"/>
          <w:spacing w:val="2"/>
        </w:rPr>
        <w:t>cuanto trabajo </w:t>
      </w:r>
      <w:r>
        <w:rPr>
          <w:color w:val="231F20"/>
          <w:spacing w:val="3"/>
        </w:rPr>
        <w:t>humano </w:t>
      </w:r>
      <w:r>
        <w:rPr>
          <w:color w:val="231F20"/>
          <w:spacing w:val="2"/>
        </w:rPr>
        <w:t>que </w:t>
      </w:r>
      <w:r>
        <w:rPr>
          <w:color w:val="231F20"/>
        </w:rPr>
        <w:t>se </w:t>
      </w:r>
      <w:r>
        <w:rPr>
          <w:color w:val="231F20"/>
          <w:spacing w:val="2"/>
        </w:rPr>
        <w:t>apropia </w:t>
      </w:r>
      <w:r>
        <w:rPr>
          <w:color w:val="231F20"/>
        </w:rPr>
        <w:t>el </w:t>
      </w:r>
      <w:r>
        <w:rPr>
          <w:color w:val="231F20"/>
          <w:spacing w:val="2"/>
        </w:rPr>
        <w:t>oficio </w:t>
      </w:r>
      <w:r>
        <w:rPr>
          <w:color w:val="231F20"/>
        </w:rPr>
        <w:t>de </w:t>
      </w:r>
      <w:r>
        <w:rPr>
          <w:color w:val="231F20"/>
          <w:spacing w:val="3"/>
        </w:rPr>
        <w:t>in- </w:t>
      </w:r>
      <w:r>
        <w:rPr>
          <w:color w:val="231F20"/>
          <w:spacing w:val="2"/>
        </w:rPr>
        <w:t>vestigar bajo </w:t>
      </w:r>
      <w:r>
        <w:rPr>
          <w:color w:val="231F20"/>
        </w:rPr>
        <w:t>las </w:t>
      </w:r>
      <w:r>
        <w:rPr>
          <w:color w:val="231F20"/>
          <w:spacing w:val="2"/>
        </w:rPr>
        <w:t>categorías </w:t>
      </w:r>
      <w:r>
        <w:rPr>
          <w:color w:val="231F20"/>
        </w:rPr>
        <w:t>de </w:t>
      </w:r>
      <w:r>
        <w:rPr>
          <w:color w:val="231F20"/>
          <w:spacing w:val="2"/>
        </w:rPr>
        <w:t>práctica </w:t>
      </w:r>
      <w:r>
        <w:rPr>
          <w:color w:val="231F20"/>
          <w:spacing w:val="3"/>
        </w:rPr>
        <w:t>docente </w:t>
      </w:r>
      <w:r>
        <w:rPr>
          <w:color w:val="231F20"/>
        </w:rPr>
        <w:t>y de </w:t>
      </w:r>
      <w:r>
        <w:rPr>
          <w:color w:val="231F20"/>
          <w:spacing w:val="2"/>
        </w:rPr>
        <w:t>proceso </w:t>
      </w:r>
      <w:r>
        <w:rPr>
          <w:color w:val="231F20"/>
        </w:rPr>
        <w:t>de </w:t>
      </w:r>
      <w:r>
        <w:rPr>
          <w:color w:val="231F20"/>
          <w:spacing w:val="3"/>
        </w:rPr>
        <w:t>enseñanza </w:t>
      </w:r>
      <w:r>
        <w:rPr>
          <w:color w:val="231F20"/>
        </w:rPr>
        <w:t>y </w:t>
      </w:r>
      <w:r>
        <w:rPr>
          <w:color w:val="231F20"/>
          <w:spacing w:val="2"/>
        </w:rPr>
        <w:t>aprendizaje, pues estas últimas desplazan </w:t>
      </w:r>
      <w:r>
        <w:rPr>
          <w:color w:val="231F20"/>
        </w:rPr>
        <w:t>de la </w:t>
      </w:r>
      <w:r>
        <w:rPr>
          <w:color w:val="231F20"/>
          <w:spacing w:val="3"/>
        </w:rPr>
        <w:t>discu- </w:t>
      </w:r>
      <w:r>
        <w:rPr>
          <w:color w:val="231F20"/>
          <w:spacing w:val="2"/>
        </w:rPr>
        <w:t>sión </w:t>
      </w:r>
      <w:r>
        <w:rPr>
          <w:color w:val="231F20"/>
        </w:rPr>
        <w:t>las </w:t>
      </w:r>
      <w:r>
        <w:rPr>
          <w:color w:val="231F20"/>
          <w:spacing w:val="2"/>
        </w:rPr>
        <w:t>acciones específicas </w:t>
      </w:r>
      <w:r>
        <w:rPr>
          <w:color w:val="231F20"/>
        </w:rPr>
        <w:t>que </w:t>
      </w:r>
      <w:r>
        <w:rPr>
          <w:color w:val="231F20"/>
          <w:spacing w:val="2"/>
        </w:rPr>
        <w:t>realizan </w:t>
      </w:r>
      <w:r>
        <w:rPr>
          <w:color w:val="231F20"/>
        </w:rPr>
        <w:t>las </w:t>
      </w:r>
      <w:r>
        <w:rPr>
          <w:color w:val="231F20"/>
          <w:spacing w:val="3"/>
        </w:rPr>
        <w:t>personas </w:t>
      </w:r>
      <w:r>
        <w:rPr>
          <w:color w:val="231F20"/>
        </w:rPr>
        <w:t>al </w:t>
      </w:r>
      <w:r>
        <w:rPr>
          <w:color w:val="231F20"/>
          <w:spacing w:val="3"/>
        </w:rPr>
        <w:t>formarse, dando </w:t>
      </w:r>
      <w:r>
        <w:rPr>
          <w:color w:val="231F20"/>
          <w:spacing w:val="2"/>
        </w:rPr>
        <w:t>lugar </w:t>
      </w:r>
      <w:r>
        <w:rPr>
          <w:color w:val="231F20"/>
        </w:rPr>
        <w:t>a </w:t>
      </w:r>
      <w:r>
        <w:rPr>
          <w:color w:val="231F20"/>
          <w:spacing w:val="2"/>
        </w:rPr>
        <w:t>conflictos éticos </w:t>
      </w:r>
      <w:r>
        <w:rPr>
          <w:color w:val="231F20"/>
        </w:rPr>
        <w:t>o </w:t>
      </w:r>
      <w:r>
        <w:rPr>
          <w:color w:val="231F20"/>
          <w:spacing w:val="2"/>
        </w:rPr>
        <w:t>políticos, </w:t>
      </w:r>
      <w:r>
        <w:rPr>
          <w:color w:val="231F20"/>
        </w:rPr>
        <w:t>así </w:t>
      </w:r>
      <w:r>
        <w:rPr>
          <w:color w:val="231F20"/>
          <w:spacing w:val="3"/>
        </w:rPr>
        <w:t>como </w:t>
      </w:r>
      <w:r>
        <w:rPr>
          <w:color w:val="231F20"/>
        </w:rPr>
        <w:t>a </w:t>
      </w:r>
      <w:r>
        <w:rPr>
          <w:color w:val="231F20"/>
          <w:spacing w:val="2"/>
        </w:rPr>
        <w:t>actitudes participativas </w:t>
      </w:r>
      <w:r>
        <w:rPr>
          <w:color w:val="231F20"/>
        </w:rPr>
        <w:t>o no de </w:t>
      </w:r>
      <w:r>
        <w:rPr>
          <w:color w:val="231F20"/>
          <w:spacing w:val="2"/>
        </w:rPr>
        <w:t>los </w:t>
      </w:r>
      <w:r>
        <w:rPr>
          <w:color w:val="231F20"/>
          <w:spacing w:val="3"/>
        </w:rPr>
        <w:t>alumnos, </w:t>
      </w:r>
      <w:r>
        <w:rPr>
          <w:color w:val="231F20"/>
        </w:rPr>
        <w:t>y a </w:t>
      </w:r>
      <w:r>
        <w:rPr>
          <w:color w:val="231F20"/>
          <w:spacing w:val="2"/>
        </w:rPr>
        <w:t>ignorar </w:t>
      </w:r>
      <w:r>
        <w:rPr>
          <w:color w:val="231F20"/>
        </w:rPr>
        <w:t>las </w:t>
      </w:r>
      <w:r>
        <w:rPr>
          <w:color w:val="231F20"/>
          <w:spacing w:val="3"/>
        </w:rPr>
        <w:t>preocupaciones    </w:t>
      </w:r>
      <w:r>
        <w:rPr>
          <w:color w:val="231F20"/>
        </w:rPr>
        <w:t>e </w:t>
      </w:r>
      <w:r>
        <w:rPr>
          <w:color w:val="231F20"/>
          <w:spacing w:val="2"/>
        </w:rPr>
        <w:t>intereses teóricos-investigativos </w:t>
      </w:r>
      <w:r>
        <w:rPr>
          <w:color w:val="231F20"/>
        </w:rPr>
        <w:t>y la </w:t>
      </w:r>
      <w:r>
        <w:rPr>
          <w:color w:val="231F20"/>
          <w:spacing w:val="2"/>
        </w:rPr>
        <w:t>propia </w:t>
      </w:r>
      <w:r>
        <w:rPr>
          <w:color w:val="231F20"/>
          <w:spacing w:val="3"/>
        </w:rPr>
        <w:t>producción </w:t>
      </w:r>
      <w:r>
        <w:rPr>
          <w:color w:val="231F20"/>
        </w:rPr>
        <w:t>de </w:t>
      </w:r>
      <w:r>
        <w:rPr>
          <w:color w:val="231F20"/>
          <w:spacing w:val="3"/>
        </w:rPr>
        <w:t>los profesores. </w:t>
      </w:r>
      <w:r>
        <w:rPr>
          <w:color w:val="231F20"/>
          <w:spacing w:val="2"/>
        </w:rPr>
        <w:t>Así, para </w:t>
      </w:r>
      <w:r>
        <w:rPr>
          <w:color w:val="231F20"/>
          <w:spacing w:val="3"/>
        </w:rPr>
        <w:t>comprender </w:t>
      </w:r>
      <w:r>
        <w:rPr>
          <w:color w:val="231F20"/>
          <w:spacing w:val="2"/>
        </w:rPr>
        <w:t>esas situaciones </w:t>
      </w:r>
      <w:r>
        <w:rPr>
          <w:color w:val="231F20"/>
        </w:rPr>
        <w:t>se  </w:t>
      </w:r>
      <w:r>
        <w:rPr>
          <w:color w:val="231F20"/>
          <w:spacing w:val="2"/>
        </w:rPr>
        <w:t>trabaja con  los </w:t>
      </w:r>
      <w:r>
        <w:rPr>
          <w:color w:val="231F20"/>
          <w:spacing w:val="3"/>
        </w:rPr>
        <w:t>conceptos </w:t>
      </w:r>
      <w:r>
        <w:rPr>
          <w:color w:val="231F20"/>
        </w:rPr>
        <w:t>de </w:t>
      </w:r>
      <w:r>
        <w:rPr>
          <w:color w:val="231F20"/>
          <w:spacing w:val="2"/>
        </w:rPr>
        <w:t>violencia, </w:t>
      </w:r>
      <w:r>
        <w:rPr>
          <w:color w:val="231F20"/>
        </w:rPr>
        <w:t>en </w:t>
      </w:r>
      <w:r>
        <w:rPr>
          <w:color w:val="231F20"/>
          <w:spacing w:val="3"/>
        </w:rPr>
        <w:t>términos </w:t>
      </w:r>
      <w:r>
        <w:rPr>
          <w:color w:val="231F20"/>
        </w:rPr>
        <w:t>de </w:t>
      </w:r>
      <w:r>
        <w:rPr>
          <w:color w:val="231F20"/>
          <w:spacing w:val="2"/>
        </w:rPr>
        <w:t>discutir </w:t>
      </w:r>
      <w:r>
        <w:rPr>
          <w:color w:val="231F20"/>
        </w:rPr>
        <w:t>su </w:t>
      </w:r>
      <w:r>
        <w:rPr>
          <w:color w:val="231F20"/>
          <w:spacing w:val="3"/>
        </w:rPr>
        <w:t>constitución como </w:t>
      </w:r>
      <w:r>
        <w:rPr>
          <w:color w:val="231F20"/>
          <w:spacing w:val="2"/>
        </w:rPr>
        <w:t>indeseable </w:t>
      </w:r>
      <w:r>
        <w:rPr>
          <w:color w:val="231F20"/>
        </w:rPr>
        <w:t>en las </w:t>
      </w:r>
      <w:r>
        <w:rPr>
          <w:color w:val="231F20"/>
          <w:spacing w:val="2"/>
        </w:rPr>
        <w:t>aulas </w:t>
      </w:r>
      <w:r>
        <w:rPr>
          <w:color w:val="231F20"/>
          <w:spacing w:val="3"/>
        </w:rPr>
        <w:t>cuando </w:t>
      </w:r>
      <w:r>
        <w:rPr>
          <w:color w:val="231F20"/>
        </w:rPr>
        <w:t>no </w:t>
      </w:r>
      <w:r>
        <w:rPr>
          <w:color w:val="231F20"/>
          <w:spacing w:val="3"/>
        </w:rPr>
        <w:t>cumple cometidos peda- </w:t>
      </w:r>
      <w:r>
        <w:rPr>
          <w:color w:val="231F20"/>
          <w:spacing w:val="2"/>
        </w:rPr>
        <w:t>gógicos legítimos, pues </w:t>
      </w:r>
      <w:r>
        <w:rPr>
          <w:color w:val="231F20"/>
        </w:rPr>
        <w:t>la </w:t>
      </w:r>
      <w:r>
        <w:rPr>
          <w:color w:val="231F20"/>
          <w:spacing w:val="2"/>
        </w:rPr>
        <w:t>violencia </w:t>
      </w:r>
      <w:r>
        <w:rPr>
          <w:color w:val="231F20"/>
        </w:rPr>
        <w:t>se </w:t>
      </w:r>
      <w:r>
        <w:rPr>
          <w:color w:val="231F20"/>
          <w:spacing w:val="2"/>
        </w:rPr>
        <w:t>entiende </w:t>
      </w:r>
      <w:r>
        <w:rPr>
          <w:color w:val="231F20"/>
          <w:spacing w:val="3"/>
        </w:rPr>
        <w:t>como </w:t>
      </w:r>
      <w:r>
        <w:rPr>
          <w:color w:val="231F20"/>
          <w:spacing w:val="2"/>
        </w:rPr>
        <w:t>una relación </w:t>
      </w:r>
      <w:r>
        <w:rPr>
          <w:color w:val="231F20"/>
        </w:rPr>
        <w:t>de </w:t>
      </w:r>
      <w:r>
        <w:rPr>
          <w:color w:val="231F20"/>
          <w:spacing w:val="2"/>
        </w:rPr>
        <w:t>fuerza necesaria para </w:t>
      </w:r>
      <w:r>
        <w:rPr>
          <w:color w:val="231F20"/>
        </w:rPr>
        <w:t>la  </w:t>
      </w:r>
      <w:r>
        <w:rPr>
          <w:color w:val="231F20"/>
          <w:spacing w:val="2"/>
        </w:rPr>
        <w:t>organización </w:t>
      </w:r>
      <w:r>
        <w:rPr>
          <w:color w:val="231F20"/>
          <w:spacing w:val="3"/>
        </w:rPr>
        <w:t>humana, </w:t>
      </w:r>
      <w:r>
        <w:rPr>
          <w:color w:val="231F20"/>
          <w:spacing w:val="2"/>
        </w:rPr>
        <w:t>para </w:t>
      </w:r>
      <w:r>
        <w:rPr>
          <w:color w:val="231F20"/>
          <w:spacing w:val="3"/>
        </w:rPr>
        <w:t>conformar  </w:t>
      </w:r>
      <w:r>
        <w:rPr>
          <w:color w:val="231F20"/>
        </w:rPr>
        <w:t>el </w:t>
      </w:r>
      <w:r>
        <w:rPr>
          <w:color w:val="231F20"/>
          <w:spacing w:val="3"/>
        </w:rPr>
        <w:t>Estado, </w:t>
      </w:r>
      <w:r>
        <w:rPr>
          <w:color w:val="231F20"/>
        </w:rPr>
        <w:t>de allí </w:t>
      </w:r>
      <w:r>
        <w:rPr>
          <w:color w:val="231F20"/>
          <w:spacing w:val="2"/>
        </w:rPr>
        <w:t>que </w:t>
      </w:r>
      <w:r>
        <w:rPr>
          <w:color w:val="231F20"/>
        </w:rPr>
        <w:t>la </w:t>
      </w:r>
      <w:r>
        <w:rPr>
          <w:color w:val="231F20"/>
          <w:spacing w:val="2"/>
        </w:rPr>
        <w:t>violencia </w:t>
      </w:r>
      <w:r>
        <w:rPr>
          <w:color w:val="231F20"/>
          <w:spacing w:val="3"/>
        </w:rPr>
        <w:t>mantenga </w:t>
      </w:r>
      <w:r>
        <w:rPr>
          <w:color w:val="231F20"/>
          <w:spacing w:val="2"/>
        </w:rPr>
        <w:t>nexos con </w:t>
      </w:r>
      <w:r>
        <w:rPr>
          <w:color w:val="231F20"/>
        </w:rPr>
        <w:t>el </w:t>
      </w:r>
      <w:r>
        <w:rPr>
          <w:color w:val="231F20"/>
          <w:spacing w:val="2"/>
        </w:rPr>
        <w:t>derecho,   </w:t>
      </w:r>
      <w:r>
        <w:rPr>
          <w:color w:val="231F20"/>
        </w:rPr>
        <w:t>la </w:t>
      </w:r>
      <w:r>
        <w:rPr>
          <w:color w:val="231F20"/>
          <w:spacing w:val="2"/>
        </w:rPr>
        <w:t>justicia </w:t>
      </w:r>
      <w:r>
        <w:rPr>
          <w:color w:val="231F20"/>
        </w:rPr>
        <w:t>y la </w:t>
      </w:r>
      <w:r>
        <w:rPr>
          <w:color w:val="231F20"/>
          <w:spacing w:val="3"/>
        </w:rPr>
        <w:t>moral </w:t>
      </w:r>
      <w:r>
        <w:rPr>
          <w:color w:val="231F20"/>
        </w:rPr>
        <w:t>y, </w:t>
      </w:r>
      <w:r>
        <w:rPr>
          <w:color w:val="231F20"/>
          <w:spacing w:val="2"/>
        </w:rPr>
        <w:t>por </w:t>
      </w:r>
      <w:r>
        <w:rPr>
          <w:color w:val="231F20"/>
        </w:rPr>
        <w:t>lo </w:t>
      </w:r>
      <w:r>
        <w:rPr>
          <w:color w:val="231F20"/>
          <w:spacing w:val="2"/>
        </w:rPr>
        <w:t>tanto </w:t>
      </w:r>
      <w:r>
        <w:rPr>
          <w:color w:val="231F20"/>
        </w:rPr>
        <w:t>se </w:t>
      </w:r>
      <w:r>
        <w:rPr>
          <w:color w:val="231F20"/>
          <w:spacing w:val="2"/>
        </w:rPr>
        <w:t>expresará </w:t>
      </w:r>
      <w:r>
        <w:rPr>
          <w:color w:val="231F20"/>
          <w:spacing w:val="3"/>
        </w:rPr>
        <w:t>como conjunto </w:t>
      </w:r>
      <w:r>
        <w:rPr>
          <w:color w:val="231F20"/>
        </w:rPr>
        <w:t>de </w:t>
      </w:r>
      <w:r>
        <w:rPr>
          <w:color w:val="231F20"/>
          <w:spacing w:val="2"/>
        </w:rPr>
        <w:t>creencias, </w:t>
      </w:r>
      <w:r>
        <w:rPr>
          <w:color w:val="231F20"/>
        </w:rPr>
        <w:t>de </w:t>
      </w:r>
      <w:r>
        <w:rPr>
          <w:color w:val="231F20"/>
          <w:spacing w:val="3"/>
        </w:rPr>
        <w:t>representaciones </w:t>
      </w:r>
      <w:r>
        <w:rPr>
          <w:color w:val="231F20"/>
          <w:spacing w:val="2"/>
        </w:rPr>
        <w:t>sociales respecto </w:t>
      </w:r>
      <w:r>
        <w:rPr>
          <w:color w:val="231F20"/>
        </w:rPr>
        <w:t>a lo que es </w:t>
      </w:r>
      <w:r>
        <w:rPr>
          <w:color w:val="231F20"/>
          <w:spacing w:val="2"/>
        </w:rPr>
        <w:t>inde- seable </w:t>
      </w:r>
      <w:r>
        <w:rPr>
          <w:color w:val="231F20"/>
        </w:rPr>
        <w:t>y </w:t>
      </w:r>
      <w:r>
        <w:rPr>
          <w:color w:val="231F20"/>
          <w:spacing w:val="3"/>
        </w:rPr>
        <w:t>reprochable, </w:t>
      </w:r>
      <w:r>
        <w:rPr>
          <w:color w:val="231F20"/>
          <w:spacing w:val="2"/>
        </w:rPr>
        <w:t>cuestión </w:t>
      </w:r>
      <w:r>
        <w:rPr>
          <w:color w:val="231F20"/>
        </w:rPr>
        <w:t>que </w:t>
      </w:r>
      <w:r>
        <w:rPr>
          <w:color w:val="231F20"/>
          <w:spacing w:val="2"/>
        </w:rPr>
        <w:t>varía </w:t>
      </w:r>
      <w:r>
        <w:rPr>
          <w:color w:val="231F20"/>
        </w:rPr>
        <w:t>de </w:t>
      </w:r>
      <w:r>
        <w:rPr>
          <w:color w:val="231F20"/>
          <w:spacing w:val="2"/>
        </w:rPr>
        <w:t>una época </w:t>
      </w:r>
      <w:r>
        <w:rPr>
          <w:color w:val="231F20"/>
        </w:rPr>
        <w:t>a  </w:t>
      </w:r>
      <w:r>
        <w:rPr>
          <w:color w:val="231F20"/>
          <w:spacing w:val="2"/>
        </w:rPr>
        <w:t>otra, </w:t>
      </w:r>
      <w:r>
        <w:rPr>
          <w:color w:val="231F20"/>
        </w:rPr>
        <w:t>de </w:t>
      </w:r>
      <w:r>
        <w:rPr>
          <w:color w:val="231F20"/>
          <w:spacing w:val="2"/>
        </w:rPr>
        <w:t>una clase social </w:t>
      </w:r>
      <w:r>
        <w:rPr>
          <w:color w:val="231F20"/>
        </w:rPr>
        <w:t>a </w:t>
      </w:r>
      <w:r>
        <w:rPr>
          <w:color w:val="231F20"/>
          <w:spacing w:val="2"/>
        </w:rPr>
        <w:t>otra. Por </w:t>
      </w:r>
      <w:r>
        <w:rPr>
          <w:color w:val="231F20"/>
        </w:rPr>
        <w:t>sus </w:t>
      </w:r>
      <w:r>
        <w:rPr>
          <w:color w:val="231F20"/>
          <w:spacing w:val="2"/>
        </w:rPr>
        <w:t>relaciones con </w:t>
      </w:r>
      <w:r>
        <w:rPr>
          <w:color w:val="231F20"/>
        </w:rPr>
        <w:t>el </w:t>
      </w:r>
      <w:r>
        <w:rPr>
          <w:color w:val="231F20"/>
          <w:spacing w:val="2"/>
        </w:rPr>
        <w:t>derecho, </w:t>
      </w:r>
      <w:r>
        <w:rPr>
          <w:color w:val="231F20"/>
        </w:rPr>
        <w:t>la </w:t>
      </w:r>
      <w:r>
        <w:rPr>
          <w:color w:val="231F20"/>
          <w:spacing w:val="2"/>
        </w:rPr>
        <w:t>justicia </w:t>
      </w:r>
      <w:r>
        <w:rPr>
          <w:color w:val="231F20"/>
        </w:rPr>
        <w:t>y la </w:t>
      </w:r>
      <w:r>
        <w:rPr>
          <w:color w:val="231F20"/>
          <w:spacing w:val="3"/>
        </w:rPr>
        <w:t>moral </w:t>
      </w:r>
      <w:r>
        <w:rPr>
          <w:color w:val="231F20"/>
        </w:rPr>
        <w:t>la </w:t>
      </w:r>
      <w:r>
        <w:rPr>
          <w:color w:val="231F20"/>
          <w:spacing w:val="2"/>
        </w:rPr>
        <w:t>violencia </w:t>
      </w:r>
      <w:r>
        <w:rPr>
          <w:color w:val="231F20"/>
        </w:rPr>
        <w:t>se </w:t>
      </w:r>
      <w:r>
        <w:rPr>
          <w:color w:val="231F20"/>
          <w:spacing w:val="2"/>
        </w:rPr>
        <w:t>expresa </w:t>
      </w:r>
      <w:r>
        <w:rPr>
          <w:color w:val="231F20"/>
          <w:spacing w:val="3"/>
        </w:rPr>
        <w:t>como </w:t>
      </w:r>
      <w:r>
        <w:rPr>
          <w:color w:val="231F20"/>
          <w:spacing w:val="2"/>
        </w:rPr>
        <w:t>violencia simbólica, </w:t>
      </w:r>
      <w:r>
        <w:rPr>
          <w:color w:val="231F20"/>
          <w:spacing w:val="3"/>
        </w:rPr>
        <w:t>como representación </w:t>
      </w:r>
      <w:r>
        <w:rPr>
          <w:color w:val="231F20"/>
          <w:spacing w:val="2"/>
        </w:rPr>
        <w:t>social, como ideología adherida </w:t>
      </w:r>
      <w:r>
        <w:rPr>
          <w:color w:val="231F20"/>
        </w:rPr>
        <w:t>a </w:t>
      </w:r>
      <w:r>
        <w:rPr>
          <w:color w:val="231F20"/>
          <w:spacing w:val="2"/>
        </w:rPr>
        <w:t>ciertas </w:t>
      </w:r>
      <w:r>
        <w:rPr>
          <w:color w:val="231F20"/>
          <w:spacing w:val="3"/>
        </w:rPr>
        <w:t>normas  </w:t>
      </w:r>
      <w:r>
        <w:rPr>
          <w:color w:val="231F20"/>
          <w:spacing w:val="33"/>
        </w:rPr>
        <w:t> </w:t>
      </w:r>
      <w:r>
        <w:rPr>
          <w:color w:val="231F20"/>
        </w:rPr>
        <w:t>o</w:t>
      </w:r>
    </w:p>
    <w:p>
      <w:pPr>
        <w:spacing w:after="0" w:line="249" w:lineRule="auto"/>
        <w:jc w:val="both"/>
        <w:sectPr>
          <w:headerReference w:type="default" r:id="rId48"/>
          <w:footerReference w:type="default" r:id="rId49"/>
          <w:pgSz w:w="7830" w:h="11910"/>
          <w:pgMar w:header="0" w:footer="424" w:top="500" w:bottom="620" w:left="740" w:right="1020"/>
          <w:pgNumType w:start="18"/>
        </w:sectPr>
      </w:pPr>
    </w:p>
    <w:p>
      <w:pPr>
        <w:spacing w:before="46"/>
        <w:ind w:left="1502" w:right="148"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line="247" w:lineRule="auto" w:before="108"/>
        <w:ind w:left="112" w:right="108"/>
        <w:jc w:val="both"/>
      </w:pPr>
      <w:r>
        <w:rPr>
          <w:color w:val="231F20"/>
        </w:rPr>
        <w:t>reglas de interacción que pueden dilucidarse en las prácticas educa- tivas tendientes a formar en el oficio de aprender.</w:t>
      </w:r>
    </w:p>
    <w:p>
      <w:pPr>
        <w:pStyle w:val="ListParagraph"/>
        <w:numPr>
          <w:ilvl w:val="0"/>
          <w:numId w:val="1"/>
        </w:numPr>
        <w:tabs>
          <w:tab w:pos="334" w:val="left" w:leader="none"/>
        </w:tabs>
        <w:spacing w:line="247" w:lineRule="auto" w:before="0" w:after="0"/>
        <w:ind w:left="112" w:right="106" w:firstLine="0"/>
        <w:jc w:val="both"/>
        <w:rPr>
          <w:color w:val="231F20"/>
          <w:sz w:val="21"/>
        </w:rPr>
      </w:pPr>
      <w:r>
        <w:rPr>
          <w:color w:val="231F20"/>
          <w:sz w:val="21"/>
        </w:rPr>
        <w:t>El maltrato durante la formación universitaria en el área de cien- cias de la salud. Un primer acercamiento a las(os) estudiantes nayari- tas, de Bernabé Ríos Nava, Sandra Luz Romero Mariscal y José Ramón Olivo Estrada. El primero es líder del cuerpo académico de Procesos Educativos y Desarrollo Social (en formación) de la Uni- versidad Autónoma de Nayarit, y Romero  y Olivo son integrantes   de dicho cuerpo académico, así como de la Red de Cuerpos Acadé- micos en Política, Educación y</w:t>
      </w:r>
      <w:r>
        <w:rPr>
          <w:color w:val="231F20"/>
          <w:spacing w:val="-14"/>
          <w:sz w:val="21"/>
        </w:rPr>
        <w:t> </w:t>
      </w:r>
      <w:r>
        <w:rPr>
          <w:color w:val="231F20"/>
          <w:sz w:val="21"/>
        </w:rPr>
        <w:t>Universidad.</w:t>
      </w:r>
    </w:p>
    <w:p>
      <w:pPr>
        <w:pStyle w:val="BodyText"/>
        <w:spacing w:line="247" w:lineRule="auto" w:before="15"/>
        <w:ind w:left="112" w:right="108" w:firstLine="284"/>
        <w:jc w:val="both"/>
      </w:pPr>
      <w:r>
        <w:rPr>
          <w:color w:val="231F20"/>
        </w:rPr>
        <w:t>Los autores parten de una consideración: existe violencia en las maneras de trato entre estudiantes y profesores en el área de Cien- cias de la Salud, que se manifiesta en las formas de percepción acerca del tipo de maltrato que reciben durante su formación uni- versitaria. Lo que se encontró en el estudio es que la violencia se expresa como maltrato o abuso y es manifestada bajo la forma de percepciones, donde se advierte que los estudiantes consignan un creciente maltrato verbal o simbólico frente a la agresión física.</w:t>
      </w:r>
    </w:p>
    <w:p>
      <w:pPr>
        <w:pStyle w:val="BodyText"/>
        <w:spacing w:before="6"/>
        <w:rPr>
          <w:sz w:val="20"/>
        </w:rPr>
      </w:pPr>
    </w:p>
    <w:p>
      <w:pPr>
        <w:pStyle w:val="ListParagraph"/>
        <w:numPr>
          <w:ilvl w:val="0"/>
          <w:numId w:val="1"/>
        </w:numPr>
        <w:tabs>
          <w:tab w:pos="334" w:val="left" w:leader="none"/>
        </w:tabs>
        <w:spacing w:line="247" w:lineRule="auto" w:before="0" w:after="0"/>
        <w:ind w:left="112" w:right="109" w:firstLine="0"/>
        <w:jc w:val="both"/>
        <w:rPr>
          <w:color w:val="231F20"/>
          <w:sz w:val="21"/>
        </w:rPr>
      </w:pPr>
      <w:r>
        <w:rPr>
          <w:color w:val="231F20"/>
          <w:sz w:val="21"/>
        </w:rPr>
        <w:t>Violencia en las aulas de educación superior, de Ignacio Roberto Rojas Crôtte, integrante del cuerpo académico de Educación y Polí- ticas Educativas (en consolidación), de la UAEMex, así como de la Red de Cuerpos Académicos en Política, Educación y</w:t>
      </w:r>
      <w:r>
        <w:rPr>
          <w:color w:val="231F20"/>
          <w:spacing w:val="15"/>
          <w:sz w:val="21"/>
        </w:rPr>
        <w:t> </w:t>
      </w:r>
      <w:r>
        <w:rPr>
          <w:color w:val="231F20"/>
          <w:sz w:val="21"/>
        </w:rPr>
        <w:t>Universidad.</w:t>
      </w:r>
    </w:p>
    <w:p>
      <w:pPr>
        <w:pStyle w:val="BodyText"/>
        <w:spacing w:line="249" w:lineRule="auto" w:before="10"/>
        <w:ind w:left="112" w:right="108" w:firstLine="284"/>
        <w:jc w:val="both"/>
      </w:pPr>
      <w:r>
        <w:rPr>
          <w:color w:val="231F20"/>
        </w:rPr>
        <w:t>Rojas sostiene que, para estudiar la violencia en las aulas de educación superior, es necesario partir de la teoría de la acción comunicativa de Habermas, y a la vez del planteamiento de Horkheimeri para comprender cómo es que desde allí se estructu- ran y reproducen relaciones autoritarias que se asocian a la repro- ducción de la dominación y moldeamiento del sujeto para tal efec- to, precisamente para constituir una autoridad en términos de los que mandan y los que obedecen; autoridad que es instalada en los sujetos como terror a transgredir las normas y que se traspasa a las aulas.</w:t>
      </w:r>
    </w:p>
    <w:p>
      <w:pPr>
        <w:pStyle w:val="BodyText"/>
        <w:spacing w:before="4"/>
        <w:rPr>
          <w:sz w:val="20"/>
        </w:rPr>
      </w:pPr>
    </w:p>
    <w:p>
      <w:pPr>
        <w:pStyle w:val="ListParagraph"/>
        <w:numPr>
          <w:ilvl w:val="0"/>
          <w:numId w:val="1"/>
        </w:numPr>
        <w:tabs>
          <w:tab w:pos="323" w:val="left" w:leader="none"/>
        </w:tabs>
        <w:spacing w:line="244" w:lineRule="auto" w:before="0" w:after="0"/>
        <w:ind w:left="112" w:right="109" w:firstLine="0"/>
        <w:jc w:val="both"/>
        <w:rPr>
          <w:color w:val="231F20"/>
          <w:sz w:val="21"/>
        </w:rPr>
      </w:pPr>
      <w:r>
        <w:rPr>
          <w:color w:val="231F20"/>
          <w:sz w:val="21"/>
        </w:rPr>
        <w:t>La percepción de la violencia en jóvenes universitarios a partir del comentario del cuento “El árbol”, de Elena Garro, de Celene García Ávila y Guadalupe Nancy Nava Gómez; García es Líder del cuerpo académico de Estudios en Literatura, Traducción y Cultura (en for- mación),</w:t>
      </w:r>
      <w:r>
        <w:rPr>
          <w:color w:val="231F20"/>
          <w:spacing w:val="19"/>
          <w:sz w:val="21"/>
        </w:rPr>
        <w:t> </w:t>
      </w:r>
      <w:r>
        <w:rPr>
          <w:color w:val="231F20"/>
          <w:sz w:val="21"/>
        </w:rPr>
        <w:t>de</w:t>
      </w:r>
      <w:r>
        <w:rPr>
          <w:color w:val="231F20"/>
          <w:spacing w:val="20"/>
          <w:sz w:val="21"/>
        </w:rPr>
        <w:t> </w:t>
      </w:r>
      <w:r>
        <w:rPr>
          <w:color w:val="231F20"/>
          <w:sz w:val="21"/>
        </w:rPr>
        <w:t>la</w:t>
      </w:r>
      <w:r>
        <w:rPr>
          <w:color w:val="231F20"/>
          <w:spacing w:val="20"/>
          <w:sz w:val="21"/>
        </w:rPr>
        <w:t> </w:t>
      </w:r>
      <w:r>
        <w:rPr>
          <w:color w:val="231F20"/>
          <w:sz w:val="21"/>
        </w:rPr>
        <w:t>UAEMex,</w:t>
      </w:r>
      <w:r>
        <w:rPr>
          <w:color w:val="231F20"/>
          <w:spacing w:val="19"/>
          <w:sz w:val="21"/>
        </w:rPr>
        <w:t> </w:t>
      </w:r>
      <w:r>
        <w:rPr>
          <w:color w:val="231F20"/>
          <w:sz w:val="21"/>
        </w:rPr>
        <w:t>en</w:t>
      </w:r>
      <w:r>
        <w:rPr>
          <w:color w:val="231F20"/>
          <w:spacing w:val="21"/>
          <w:sz w:val="21"/>
        </w:rPr>
        <w:t> </w:t>
      </w:r>
      <w:r>
        <w:rPr>
          <w:color w:val="231F20"/>
          <w:sz w:val="21"/>
        </w:rPr>
        <w:t>tanto</w:t>
      </w:r>
      <w:r>
        <w:rPr>
          <w:color w:val="231F20"/>
          <w:spacing w:val="21"/>
          <w:sz w:val="21"/>
        </w:rPr>
        <w:t> </w:t>
      </w:r>
      <w:r>
        <w:rPr>
          <w:color w:val="231F20"/>
          <w:sz w:val="21"/>
        </w:rPr>
        <w:t>que</w:t>
      </w:r>
      <w:r>
        <w:rPr>
          <w:color w:val="231F20"/>
          <w:spacing w:val="20"/>
          <w:sz w:val="21"/>
        </w:rPr>
        <w:t> </w:t>
      </w:r>
      <w:r>
        <w:rPr>
          <w:color w:val="231F20"/>
          <w:sz w:val="21"/>
        </w:rPr>
        <w:t>Nava</w:t>
      </w:r>
      <w:r>
        <w:rPr>
          <w:color w:val="231F20"/>
          <w:spacing w:val="20"/>
          <w:sz w:val="21"/>
        </w:rPr>
        <w:t> </w:t>
      </w:r>
      <w:r>
        <w:rPr>
          <w:color w:val="231F20"/>
          <w:sz w:val="21"/>
        </w:rPr>
        <w:t>es</w:t>
      </w:r>
      <w:r>
        <w:rPr>
          <w:color w:val="231F20"/>
          <w:spacing w:val="20"/>
          <w:sz w:val="21"/>
        </w:rPr>
        <w:t> </w:t>
      </w:r>
      <w:r>
        <w:rPr>
          <w:color w:val="231F20"/>
          <w:sz w:val="21"/>
        </w:rPr>
        <w:t>integrante</w:t>
      </w:r>
      <w:r>
        <w:rPr>
          <w:color w:val="231F20"/>
          <w:spacing w:val="20"/>
          <w:sz w:val="21"/>
        </w:rPr>
        <w:t> </w:t>
      </w:r>
      <w:r>
        <w:rPr>
          <w:color w:val="231F20"/>
          <w:sz w:val="21"/>
        </w:rPr>
        <w:t>de</w:t>
      </w:r>
      <w:r>
        <w:rPr>
          <w:color w:val="231F20"/>
          <w:spacing w:val="20"/>
          <w:sz w:val="21"/>
        </w:rPr>
        <w:t> </w:t>
      </w:r>
      <w:r>
        <w:rPr>
          <w:color w:val="231F20"/>
          <w:sz w:val="21"/>
        </w:rPr>
        <w:t>dicho</w:t>
      </w:r>
    </w:p>
    <w:p>
      <w:pPr>
        <w:spacing w:after="0" w:line="244" w:lineRule="auto"/>
        <w:jc w:val="both"/>
        <w:rPr>
          <w:sz w:val="21"/>
        </w:rPr>
        <w:sectPr>
          <w:headerReference w:type="default" r:id="rId50"/>
          <w:footerReference w:type="default" r:id="rId51"/>
          <w:pgSz w:w="7830" w:h="11910"/>
          <w:pgMar w:header="0" w:footer="424" w:top="500" w:bottom="620" w:left="1020" w:right="740"/>
          <w:pgNumType w:start="19"/>
        </w:sectPr>
      </w:pPr>
    </w:p>
    <w:p>
      <w:pPr>
        <w:spacing w:before="46"/>
        <w:ind w:left="632" w:right="148"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8"/>
        <w:rPr>
          <w:sz w:val="15"/>
        </w:rPr>
      </w:pPr>
    </w:p>
    <w:p>
      <w:pPr>
        <w:pStyle w:val="BodyText"/>
        <w:spacing w:line="244" w:lineRule="auto"/>
        <w:ind w:left="109" w:right="111"/>
        <w:jc w:val="both"/>
      </w:pPr>
      <w:r>
        <w:rPr>
          <w:color w:val="231F20"/>
        </w:rPr>
        <w:t>cuerpo académico. De allíque, al examinar las interacciones lingüísti- cas entre los sujetos en las instituciones universitarias, se puede ha- blar de una violencia escolarizada, la cual expresa la manera en que se produce la colonización del mundo de la vida en el ámbito de las aulas… Y se refiere a un programa de intervención, a través de la lectura de textos literarios, con alumnos de la Licenciatura en Len- guas, para advertir el modo en que perciben la violencia.</w:t>
      </w:r>
    </w:p>
    <w:p>
      <w:pPr>
        <w:pStyle w:val="BodyText"/>
        <w:spacing w:before="6"/>
      </w:pPr>
    </w:p>
    <w:p>
      <w:pPr>
        <w:pStyle w:val="ListParagraph"/>
        <w:numPr>
          <w:ilvl w:val="0"/>
          <w:numId w:val="1"/>
        </w:numPr>
        <w:tabs>
          <w:tab w:pos="352" w:val="left" w:leader="none"/>
        </w:tabs>
        <w:spacing w:line="247" w:lineRule="auto" w:before="1" w:after="0"/>
        <w:ind w:left="109" w:right="111" w:firstLine="0"/>
        <w:jc w:val="both"/>
        <w:rPr>
          <w:color w:val="231F20"/>
          <w:sz w:val="21"/>
        </w:rPr>
      </w:pPr>
      <w:r>
        <w:rPr>
          <w:color w:val="231F20"/>
          <w:sz w:val="21"/>
        </w:rPr>
        <w:t>La percepción acerca de la conducta de las personas violentas: exploración entre los estudiantes universitarios, de Addy Rodríguez Betanzos, Alejandra Aguirre Crespo y Víctor Miranda Soberanis. Estas investigaciones participan en el cuerpo académico de Estudios de Lingüística y Educación Superior (en formación), de la Universi- dad de Quintana Roo. Actualmente Rodríguez participa activamente con dos redes: la Red de Cuerpos Académicos en Política, Educa- ción y Universidad y la Red Internacional de Formación, Innovación Pedagógica y Docente</w:t>
      </w:r>
      <w:r>
        <w:rPr>
          <w:color w:val="231F20"/>
          <w:spacing w:val="48"/>
          <w:sz w:val="21"/>
        </w:rPr>
        <w:t> </w:t>
      </w:r>
      <w:r>
        <w:rPr>
          <w:color w:val="231F20"/>
          <w:sz w:val="21"/>
        </w:rPr>
        <w:t>(FODIP).</w:t>
      </w:r>
    </w:p>
    <w:p>
      <w:pPr>
        <w:pStyle w:val="BodyText"/>
        <w:spacing w:line="249" w:lineRule="auto" w:before="10"/>
        <w:ind w:left="109" w:right="110" w:firstLine="284"/>
        <w:jc w:val="both"/>
      </w:pPr>
      <w:r>
        <w:rPr>
          <w:color w:val="231F20"/>
        </w:rPr>
        <w:t>Los autores se propusieron  analizar  qué  aspectos  consideran los estudiantes universitarios que influyen en el origen de la vio- lencia escolar, de tal modo que se pudiera describir cómo, a medi- da que aumenta la frecuencia con que se es víctima, agresor y ob- servador, disminuye la importancia dada a la falta de educación en valores, y al origen de las conductas violentas dentro dela propia institución universitaria. Para ello se realizó un estudio explorato- rio con la aplicación de una encuesta a 188 estudiantes de las áreas de la Salud, Política y Humanidades, e Ingenierías de la Universi- dad de Quintana Roo.</w:t>
      </w:r>
    </w:p>
    <w:p>
      <w:pPr>
        <w:pStyle w:val="BodyText"/>
        <w:spacing w:line="249" w:lineRule="auto"/>
        <w:ind w:left="109" w:right="111" w:firstLine="284"/>
        <w:jc w:val="both"/>
      </w:pPr>
      <w:r>
        <w:rPr>
          <w:color w:val="231F20"/>
        </w:rPr>
        <w:t>Se </w:t>
      </w:r>
      <w:r>
        <w:rPr>
          <w:color w:val="231F20"/>
          <w:spacing w:val="2"/>
        </w:rPr>
        <w:t>plantea que </w:t>
      </w:r>
      <w:r>
        <w:rPr>
          <w:color w:val="231F20"/>
        </w:rPr>
        <w:t>la </w:t>
      </w:r>
      <w:r>
        <w:rPr>
          <w:color w:val="231F20"/>
          <w:spacing w:val="2"/>
        </w:rPr>
        <w:t>violencia </w:t>
      </w:r>
      <w:r>
        <w:rPr>
          <w:color w:val="231F20"/>
        </w:rPr>
        <w:t>se </w:t>
      </w:r>
      <w:r>
        <w:rPr>
          <w:color w:val="231F20"/>
          <w:spacing w:val="2"/>
        </w:rPr>
        <w:t>expresa </w:t>
      </w:r>
      <w:r>
        <w:rPr>
          <w:color w:val="231F20"/>
          <w:spacing w:val="3"/>
        </w:rPr>
        <w:t>como </w:t>
      </w:r>
      <w:r>
        <w:rPr>
          <w:color w:val="231F20"/>
          <w:spacing w:val="2"/>
        </w:rPr>
        <w:t>una conducta que,  </w:t>
      </w:r>
      <w:r>
        <w:rPr>
          <w:color w:val="231F20"/>
        </w:rPr>
        <w:t>al </w:t>
      </w:r>
      <w:r>
        <w:rPr>
          <w:color w:val="231F20"/>
          <w:spacing w:val="2"/>
        </w:rPr>
        <w:t>extenderse entre los individuos </w:t>
      </w:r>
      <w:r>
        <w:rPr>
          <w:color w:val="231F20"/>
        </w:rPr>
        <w:t>se </w:t>
      </w:r>
      <w:r>
        <w:rPr>
          <w:color w:val="231F20"/>
          <w:spacing w:val="2"/>
        </w:rPr>
        <w:t>convierte </w:t>
      </w:r>
      <w:r>
        <w:rPr>
          <w:color w:val="231F20"/>
        </w:rPr>
        <w:t>en un </w:t>
      </w:r>
      <w:r>
        <w:rPr>
          <w:color w:val="231F20"/>
          <w:spacing w:val="3"/>
        </w:rPr>
        <w:t>problema </w:t>
      </w:r>
      <w:r>
        <w:rPr>
          <w:color w:val="231F20"/>
          <w:spacing w:val="4"/>
        </w:rPr>
        <w:t>de </w:t>
      </w:r>
      <w:r>
        <w:rPr>
          <w:color w:val="231F20"/>
          <w:spacing w:val="2"/>
        </w:rPr>
        <w:t>salud pública. Así, </w:t>
      </w:r>
      <w:r>
        <w:rPr>
          <w:color w:val="231F20"/>
        </w:rPr>
        <w:t>se </w:t>
      </w:r>
      <w:r>
        <w:rPr>
          <w:color w:val="231F20"/>
          <w:spacing w:val="3"/>
        </w:rPr>
        <w:t>yuxtaponen </w:t>
      </w:r>
      <w:r>
        <w:rPr>
          <w:color w:val="231F20"/>
        </w:rPr>
        <w:t>las </w:t>
      </w:r>
      <w:r>
        <w:rPr>
          <w:color w:val="231F20"/>
          <w:spacing w:val="3"/>
        </w:rPr>
        <w:t>concepciones </w:t>
      </w:r>
      <w:r>
        <w:rPr>
          <w:color w:val="231F20"/>
        </w:rPr>
        <w:t>de </w:t>
      </w:r>
      <w:r>
        <w:rPr>
          <w:color w:val="231F20"/>
          <w:spacing w:val="2"/>
        </w:rPr>
        <w:t>percepción  </w:t>
      </w:r>
      <w:r>
        <w:rPr>
          <w:color w:val="231F20"/>
        </w:rPr>
        <w:t>de la </w:t>
      </w:r>
      <w:r>
        <w:rPr>
          <w:color w:val="231F20"/>
          <w:spacing w:val="2"/>
        </w:rPr>
        <w:t>violencia </w:t>
      </w:r>
      <w:r>
        <w:rPr>
          <w:color w:val="231F20"/>
        </w:rPr>
        <w:t>y </w:t>
      </w:r>
      <w:r>
        <w:rPr>
          <w:color w:val="231F20"/>
          <w:spacing w:val="3"/>
        </w:rPr>
        <w:t>conducta </w:t>
      </w:r>
      <w:r>
        <w:rPr>
          <w:color w:val="231F20"/>
          <w:spacing w:val="2"/>
        </w:rPr>
        <w:t>violenta </w:t>
      </w:r>
      <w:r>
        <w:rPr>
          <w:color w:val="231F20"/>
          <w:spacing w:val="3"/>
        </w:rPr>
        <w:t>como </w:t>
      </w:r>
      <w:r>
        <w:rPr>
          <w:color w:val="231F20"/>
          <w:spacing w:val="2"/>
        </w:rPr>
        <w:t>imposición </w:t>
      </w:r>
      <w:r>
        <w:rPr>
          <w:color w:val="231F20"/>
        </w:rPr>
        <w:t>de </w:t>
      </w:r>
      <w:r>
        <w:rPr>
          <w:color w:val="231F20"/>
          <w:spacing w:val="2"/>
        </w:rPr>
        <w:t>fuerza, poder </w:t>
      </w:r>
      <w:r>
        <w:rPr>
          <w:color w:val="231F20"/>
        </w:rPr>
        <w:t>y </w:t>
      </w:r>
      <w:r>
        <w:rPr>
          <w:color w:val="231F20"/>
          <w:spacing w:val="2"/>
        </w:rPr>
        <w:t>status </w:t>
      </w:r>
      <w:r>
        <w:rPr>
          <w:color w:val="231F20"/>
        </w:rPr>
        <w:t>en </w:t>
      </w:r>
      <w:r>
        <w:rPr>
          <w:color w:val="231F20"/>
          <w:spacing w:val="2"/>
        </w:rPr>
        <w:t>contra </w:t>
      </w:r>
      <w:r>
        <w:rPr>
          <w:color w:val="231F20"/>
        </w:rPr>
        <w:t>de </w:t>
      </w:r>
      <w:r>
        <w:rPr>
          <w:color w:val="231F20"/>
          <w:spacing w:val="2"/>
        </w:rPr>
        <w:t>otro… para sostener </w:t>
      </w:r>
      <w:r>
        <w:rPr>
          <w:color w:val="231F20"/>
        </w:rPr>
        <w:t>que la </w:t>
      </w:r>
      <w:r>
        <w:rPr>
          <w:color w:val="231F20"/>
          <w:spacing w:val="2"/>
        </w:rPr>
        <w:t>violencia constituye una patología del conflicto que </w:t>
      </w:r>
      <w:r>
        <w:rPr>
          <w:color w:val="231F20"/>
        </w:rPr>
        <w:t>vive </w:t>
      </w:r>
      <w:r>
        <w:rPr>
          <w:color w:val="231F20"/>
          <w:spacing w:val="2"/>
        </w:rPr>
        <w:t>cada individuo, </w:t>
      </w:r>
      <w:r>
        <w:rPr>
          <w:color w:val="231F20"/>
        </w:rPr>
        <w:t>es </w:t>
      </w:r>
      <w:r>
        <w:rPr>
          <w:color w:val="231F20"/>
          <w:spacing w:val="2"/>
        </w:rPr>
        <w:t>decir, esta </w:t>
      </w:r>
      <w:r>
        <w:rPr>
          <w:color w:val="231F20"/>
        </w:rPr>
        <w:t>se ve </w:t>
      </w:r>
      <w:r>
        <w:rPr>
          <w:color w:val="231F20"/>
          <w:spacing w:val="3"/>
        </w:rPr>
        <w:t>como </w:t>
      </w:r>
      <w:r>
        <w:rPr>
          <w:color w:val="231F20"/>
          <w:spacing w:val="2"/>
        </w:rPr>
        <w:t>una distorsión del conflicto </w:t>
      </w:r>
      <w:r>
        <w:rPr>
          <w:color w:val="231F20"/>
        </w:rPr>
        <w:t>que </w:t>
      </w:r>
      <w:r>
        <w:rPr>
          <w:color w:val="231F20"/>
          <w:spacing w:val="2"/>
        </w:rPr>
        <w:t>deviene </w:t>
      </w:r>
      <w:r>
        <w:rPr>
          <w:color w:val="231F20"/>
          <w:spacing w:val="3"/>
        </w:rPr>
        <w:t>en </w:t>
      </w:r>
      <w:r>
        <w:rPr>
          <w:color w:val="231F20"/>
          <w:spacing w:val="2"/>
        </w:rPr>
        <w:t>agresión; </w:t>
      </w:r>
      <w:r>
        <w:rPr>
          <w:color w:val="231F20"/>
        </w:rPr>
        <w:t>sin </w:t>
      </w:r>
      <w:r>
        <w:rPr>
          <w:color w:val="231F20"/>
          <w:spacing w:val="3"/>
        </w:rPr>
        <w:t>embargo, </w:t>
      </w:r>
      <w:r>
        <w:rPr>
          <w:color w:val="231F20"/>
        </w:rPr>
        <w:t>la </w:t>
      </w:r>
      <w:r>
        <w:rPr>
          <w:color w:val="231F20"/>
          <w:spacing w:val="2"/>
        </w:rPr>
        <w:t>violencia </w:t>
      </w:r>
      <w:r>
        <w:rPr>
          <w:color w:val="231F20"/>
        </w:rPr>
        <w:t>se </w:t>
      </w:r>
      <w:r>
        <w:rPr>
          <w:color w:val="231F20"/>
          <w:spacing w:val="2"/>
        </w:rPr>
        <w:t>concibe </w:t>
      </w:r>
      <w:r>
        <w:rPr>
          <w:color w:val="231F20"/>
          <w:spacing w:val="3"/>
        </w:rPr>
        <w:t>como </w:t>
      </w:r>
      <w:r>
        <w:rPr>
          <w:color w:val="231F20"/>
          <w:spacing w:val="2"/>
        </w:rPr>
        <w:t>una </w:t>
      </w:r>
      <w:r>
        <w:rPr>
          <w:color w:val="231F20"/>
          <w:spacing w:val="3"/>
        </w:rPr>
        <w:t>conducta </w:t>
      </w:r>
      <w:r>
        <w:rPr>
          <w:color w:val="231F20"/>
          <w:spacing w:val="2"/>
        </w:rPr>
        <w:t>individual que tiene distintas </w:t>
      </w:r>
      <w:r>
        <w:rPr>
          <w:color w:val="231F20"/>
          <w:spacing w:val="3"/>
        </w:rPr>
        <w:t>manifestaciones </w:t>
      </w:r>
      <w:r>
        <w:rPr>
          <w:color w:val="231F20"/>
          <w:spacing w:val="2"/>
        </w:rPr>
        <w:t>que </w:t>
      </w:r>
      <w:r>
        <w:rPr>
          <w:color w:val="231F20"/>
        </w:rPr>
        <w:t>van </w:t>
      </w:r>
      <w:r>
        <w:rPr>
          <w:color w:val="231F20"/>
          <w:spacing w:val="2"/>
        </w:rPr>
        <w:t>desde </w:t>
      </w:r>
      <w:r>
        <w:rPr>
          <w:color w:val="231F20"/>
        </w:rPr>
        <w:t>el </w:t>
      </w:r>
      <w:r>
        <w:rPr>
          <w:color w:val="231F20"/>
          <w:spacing w:val="2"/>
        </w:rPr>
        <w:t>simple malestar </w:t>
      </w:r>
      <w:r>
        <w:rPr>
          <w:color w:val="231F20"/>
        </w:rPr>
        <w:t>o </w:t>
      </w:r>
      <w:r>
        <w:rPr>
          <w:color w:val="231F20"/>
          <w:spacing w:val="2"/>
        </w:rPr>
        <w:t>enojo hasta </w:t>
      </w:r>
      <w:r>
        <w:rPr>
          <w:color w:val="231F20"/>
        </w:rPr>
        <w:t>el </w:t>
      </w:r>
      <w:r>
        <w:rPr>
          <w:color w:val="231F20"/>
          <w:spacing w:val="2"/>
        </w:rPr>
        <w:t>suicidio. Así, </w:t>
      </w:r>
      <w:r>
        <w:rPr>
          <w:color w:val="231F20"/>
        </w:rPr>
        <w:t>se </w:t>
      </w:r>
      <w:r>
        <w:rPr>
          <w:color w:val="231F20"/>
          <w:spacing w:val="2"/>
        </w:rPr>
        <w:t>intenta </w:t>
      </w:r>
      <w:r>
        <w:rPr>
          <w:color w:val="231F20"/>
          <w:spacing w:val="3"/>
        </w:rPr>
        <w:t>referenciar empíricamente,</w:t>
      </w:r>
      <w:r>
        <w:rPr>
          <w:color w:val="231F20"/>
          <w:spacing w:val="20"/>
        </w:rPr>
        <w:t> </w:t>
      </w:r>
      <w:r>
        <w:rPr>
          <w:color w:val="231F20"/>
        </w:rPr>
        <w:t>la</w:t>
      </w:r>
      <w:r>
        <w:rPr>
          <w:color w:val="231F20"/>
          <w:spacing w:val="21"/>
        </w:rPr>
        <w:t> </w:t>
      </w:r>
      <w:r>
        <w:rPr>
          <w:color w:val="231F20"/>
          <w:spacing w:val="2"/>
        </w:rPr>
        <w:t>percepción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violencia</w:t>
      </w:r>
      <w:r>
        <w:rPr>
          <w:color w:val="231F20"/>
          <w:spacing w:val="21"/>
        </w:rPr>
        <w:t> </w:t>
      </w:r>
      <w:r>
        <w:rPr>
          <w:color w:val="231F20"/>
        </w:rPr>
        <w:t>a</w:t>
      </w:r>
      <w:r>
        <w:rPr>
          <w:color w:val="231F20"/>
          <w:spacing w:val="20"/>
        </w:rPr>
        <w:t> </w:t>
      </w:r>
      <w:r>
        <w:rPr>
          <w:color w:val="231F20"/>
          <w:spacing w:val="2"/>
        </w:rPr>
        <w:t>partir</w:t>
      </w:r>
      <w:r>
        <w:rPr>
          <w:color w:val="231F20"/>
          <w:spacing w:val="20"/>
        </w:rPr>
        <w:t> </w:t>
      </w:r>
      <w:r>
        <w:rPr>
          <w:color w:val="231F20"/>
        </w:rPr>
        <w:t>de</w:t>
      </w:r>
      <w:r>
        <w:rPr>
          <w:color w:val="231F20"/>
          <w:spacing w:val="21"/>
        </w:rPr>
        <w:t> </w:t>
      </w:r>
      <w:r>
        <w:rPr>
          <w:color w:val="231F20"/>
        </w:rPr>
        <w:t>la</w:t>
      </w:r>
      <w:r>
        <w:rPr>
          <w:color w:val="231F20"/>
          <w:spacing w:val="21"/>
        </w:rPr>
        <w:t> </w:t>
      </w:r>
      <w:r>
        <w:rPr>
          <w:color w:val="231F20"/>
          <w:spacing w:val="3"/>
        </w:rPr>
        <w:t>noción</w:t>
      </w:r>
    </w:p>
    <w:p>
      <w:pPr>
        <w:spacing w:after="0" w:line="249" w:lineRule="auto"/>
        <w:jc w:val="both"/>
        <w:sectPr>
          <w:headerReference w:type="default" r:id="rId52"/>
          <w:footerReference w:type="default" r:id="rId53"/>
          <w:pgSz w:w="7830" w:h="11910"/>
          <w:pgMar w:header="0" w:footer="424" w:top="500" w:bottom="620" w:left="740" w:right="1020"/>
          <w:pgNumType w:start="20"/>
        </w:sectPr>
      </w:pPr>
    </w:p>
    <w:p>
      <w:pPr>
        <w:spacing w:before="46"/>
        <w:ind w:left="1502" w:right="148"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line="249" w:lineRule="auto" w:before="108"/>
        <w:ind w:left="112" w:right="105"/>
        <w:jc w:val="both"/>
      </w:pPr>
      <w:r>
        <w:rPr>
          <w:color w:val="231F20"/>
        </w:rPr>
        <w:t>de representación social, entendida como un modo de significar la agresividad aprendida que se manifiesta en actitudes que dan cuen- ta de las conductas violentas. En el estudio se encontró que la conducta violenta más frecuente es el acoso verbal, y los casos más recurrentes se dan en Ciencias de la Salud, y en menor medida, en Ciencias Políticas y Humanidades.</w:t>
      </w:r>
    </w:p>
    <w:p>
      <w:pPr>
        <w:pStyle w:val="BodyText"/>
        <w:spacing w:before="4"/>
        <w:rPr>
          <w:sz w:val="20"/>
        </w:rPr>
      </w:pPr>
    </w:p>
    <w:p>
      <w:pPr>
        <w:pStyle w:val="ListParagraph"/>
        <w:numPr>
          <w:ilvl w:val="0"/>
          <w:numId w:val="1"/>
        </w:numPr>
        <w:tabs>
          <w:tab w:pos="338" w:val="left" w:leader="none"/>
        </w:tabs>
        <w:spacing w:line="244" w:lineRule="auto" w:before="0" w:after="0"/>
        <w:ind w:left="112" w:right="108" w:firstLine="0"/>
        <w:jc w:val="both"/>
        <w:rPr>
          <w:color w:val="231F20"/>
          <w:sz w:val="21"/>
        </w:rPr>
      </w:pPr>
      <w:r>
        <w:rPr>
          <w:color w:val="231F20"/>
          <w:sz w:val="21"/>
        </w:rPr>
        <w:t>Discriminación hacia la población indígena en el nivel de educa- ción superior: el caso de los estudiantes de la UABJO, de Virginia Guadalupe Reyes de la Cruz, Arturo Ruiz López y Ana Margarita Alvarado Juárez. Reyes es líder del cuerpo académico Estudios so- bre la Sociedad Rural (en formación)de la Universidad Autónoma “Benito Juárez” de Oaxaca y, actualmente, participa en otro proyec- to de investigación de la Red Académica sobre Desastres de Tabas- co (RASDET), en la línea de aspectos económicos y migración; asimismo colabora en la Red de Cuerpos Académicos de Identidad y Cultura con 15 Universidades de la República mexicana. Ruiz y Al- varado son integrantes del cuerpo académico Estudios sobre la </w:t>
      </w:r>
      <w:r>
        <w:rPr>
          <w:color w:val="231F20"/>
          <w:spacing w:val="2"/>
          <w:sz w:val="21"/>
        </w:rPr>
        <w:t>So- </w:t>
      </w:r>
      <w:r>
        <w:rPr>
          <w:color w:val="231F20"/>
          <w:sz w:val="21"/>
        </w:rPr>
        <w:t>ciedad Rural y de la Red de Cuerpos Académicos en Política, Edu- cación y</w:t>
      </w:r>
      <w:r>
        <w:rPr>
          <w:color w:val="231F20"/>
          <w:spacing w:val="-24"/>
          <w:sz w:val="21"/>
        </w:rPr>
        <w:t> </w:t>
      </w:r>
      <w:r>
        <w:rPr>
          <w:color w:val="231F20"/>
          <w:sz w:val="21"/>
        </w:rPr>
        <w:t>Universidad.</w:t>
      </w:r>
    </w:p>
    <w:p>
      <w:pPr>
        <w:pStyle w:val="BodyText"/>
        <w:spacing w:line="249" w:lineRule="auto" w:before="18"/>
        <w:ind w:left="112" w:right="108" w:firstLine="284"/>
        <w:jc w:val="both"/>
      </w:pPr>
      <w:r>
        <w:rPr>
          <w:color w:val="231F20"/>
        </w:rPr>
        <w:t>Los autores se proponen develar los procesos contradictorios que se</w:t>
      </w:r>
      <w:r>
        <w:rPr>
          <w:color w:val="231F20"/>
          <w:spacing w:val="-10"/>
        </w:rPr>
        <w:t> </w:t>
      </w:r>
      <w:r>
        <w:rPr>
          <w:color w:val="231F20"/>
        </w:rPr>
        <w:t>generan</w:t>
      </w:r>
      <w:r>
        <w:rPr>
          <w:color w:val="231F20"/>
          <w:spacing w:val="-10"/>
        </w:rPr>
        <w:t> </w:t>
      </w:r>
      <w:r>
        <w:rPr>
          <w:color w:val="231F20"/>
        </w:rPr>
        <w:t>en</w:t>
      </w:r>
      <w:r>
        <w:rPr>
          <w:color w:val="231F20"/>
          <w:spacing w:val="-10"/>
        </w:rPr>
        <w:t> </w:t>
      </w:r>
      <w:r>
        <w:rPr>
          <w:color w:val="231F20"/>
        </w:rPr>
        <w:t>las</w:t>
      </w:r>
      <w:r>
        <w:rPr>
          <w:color w:val="231F20"/>
          <w:spacing w:val="-11"/>
        </w:rPr>
        <w:t> </w:t>
      </w:r>
      <w:r>
        <w:rPr>
          <w:color w:val="231F20"/>
        </w:rPr>
        <w:t>universidades,</w:t>
      </w:r>
      <w:r>
        <w:rPr>
          <w:color w:val="231F20"/>
          <w:spacing w:val="-11"/>
        </w:rPr>
        <w:t> </w:t>
      </w:r>
      <w:r>
        <w:rPr>
          <w:color w:val="231F20"/>
        </w:rPr>
        <w:t>ya</w:t>
      </w:r>
      <w:r>
        <w:rPr>
          <w:color w:val="231F20"/>
          <w:spacing w:val="-10"/>
        </w:rPr>
        <w:t> </w:t>
      </w:r>
      <w:r>
        <w:rPr>
          <w:color w:val="231F20"/>
        </w:rPr>
        <w:t>sea</w:t>
      </w:r>
      <w:r>
        <w:rPr>
          <w:color w:val="231F20"/>
          <w:spacing w:val="-10"/>
        </w:rPr>
        <w:t> </w:t>
      </w:r>
      <w:r>
        <w:rPr>
          <w:color w:val="231F20"/>
        </w:rPr>
        <w:t>por</w:t>
      </w:r>
      <w:r>
        <w:rPr>
          <w:color w:val="231F20"/>
          <w:spacing w:val="-11"/>
        </w:rPr>
        <w:t> </w:t>
      </w:r>
      <w:r>
        <w:rPr>
          <w:color w:val="231F20"/>
        </w:rPr>
        <w:t>las</w:t>
      </w:r>
      <w:r>
        <w:rPr>
          <w:color w:val="231F20"/>
          <w:spacing w:val="-11"/>
        </w:rPr>
        <w:t> </w:t>
      </w:r>
      <w:r>
        <w:rPr>
          <w:color w:val="231F20"/>
        </w:rPr>
        <w:t>propias</w:t>
      </w:r>
      <w:r>
        <w:rPr>
          <w:color w:val="231F20"/>
          <w:spacing w:val="-11"/>
        </w:rPr>
        <w:t> </w:t>
      </w:r>
      <w:r>
        <w:rPr>
          <w:color w:val="231F20"/>
        </w:rPr>
        <w:t>políticas</w:t>
      </w:r>
      <w:r>
        <w:rPr>
          <w:color w:val="231F20"/>
          <w:spacing w:val="-11"/>
        </w:rPr>
        <w:t> </w:t>
      </w:r>
      <w:r>
        <w:rPr>
          <w:color w:val="231F20"/>
        </w:rPr>
        <w:t>educa- tivas o por un excesivo manejo de la autoridad universitaria que re- fuerza una violencia en forma evidente o simbólica, entre los propios sujetos de la educación, en especial hacia los estudiantes indígenas, tomando como caso a la Universidad “Benito Juárez” de Oaxaca. Examinan la manera en que la violencia simbólica se expresa bajo formas de discriminación, que para el caso de los estudiantes indíge- nas, supone una diferenciación que implica un trato desfavorable a causa de prejuicios respecto a la condición étnica de los estudiantes, pues</w:t>
      </w:r>
      <w:r>
        <w:rPr>
          <w:color w:val="231F20"/>
          <w:spacing w:val="-7"/>
        </w:rPr>
        <w:t> </w:t>
      </w:r>
      <w:r>
        <w:rPr>
          <w:color w:val="231F20"/>
        </w:rPr>
        <w:t>se</w:t>
      </w:r>
      <w:r>
        <w:rPr>
          <w:color w:val="231F20"/>
          <w:spacing w:val="-7"/>
        </w:rPr>
        <w:t> </w:t>
      </w:r>
      <w:r>
        <w:rPr>
          <w:color w:val="231F20"/>
        </w:rPr>
        <w:t>ponen</w:t>
      </w:r>
      <w:r>
        <w:rPr>
          <w:color w:val="231F20"/>
          <w:spacing w:val="-7"/>
        </w:rPr>
        <w:t> </w:t>
      </w:r>
      <w:r>
        <w:rPr>
          <w:color w:val="231F20"/>
        </w:rPr>
        <w:t>en</w:t>
      </w:r>
      <w:r>
        <w:rPr>
          <w:color w:val="231F20"/>
          <w:spacing w:val="-7"/>
        </w:rPr>
        <w:t> </w:t>
      </w:r>
      <w:r>
        <w:rPr>
          <w:color w:val="231F20"/>
        </w:rPr>
        <w:t>juego</w:t>
      </w:r>
      <w:r>
        <w:rPr>
          <w:color w:val="231F20"/>
          <w:spacing w:val="-7"/>
        </w:rPr>
        <w:t> </w:t>
      </w:r>
      <w:r>
        <w:rPr>
          <w:color w:val="231F20"/>
        </w:rPr>
        <w:t>ideas</w:t>
      </w:r>
      <w:r>
        <w:rPr>
          <w:color w:val="231F20"/>
          <w:spacing w:val="-7"/>
        </w:rPr>
        <w:t> </w:t>
      </w:r>
      <w:r>
        <w:rPr>
          <w:color w:val="231F20"/>
        </w:rPr>
        <w:t>acerca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superioridad/inferioridad</w:t>
      </w:r>
      <w:r>
        <w:rPr>
          <w:color w:val="231F20"/>
          <w:spacing w:val="-7"/>
        </w:rPr>
        <w:t> </w:t>
      </w:r>
      <w:r>
        <w:rPr>
          <w:color w:val="231F20"/>
        </w:rPr>
        <w:t>de </w:t>
      </w:r>
      <w:r>
        <w:rPr>
          <w:color w:val="231F20"/>
          <w:spacing w:val="-2"/>
          <w:w w:val="84"/>
        </w:rPr>
        <w:t>l</w:t>
      </w:r>
      <w:r>
        <w:rPr>
          <w:color w:val="231F20"/>
          <w:spacing w:val="-1"/>
          <w:w w:val="104"/>
        </w:rPr>
        <w:t>o</w:t>
      </w:r>
      <w:r>
        <w:rPr>
          <w:color w:val="231F20"/>
          <w:w w:val="96"/>
        </w:rPr>
        <w:t>s</w:t>
      </w:r>
      <w:r>
        <w:rPr>
          <w:color w:val="231F20"/>
          <w:spacing w:val="9"/>
        </w:rPr>
        <w:t> </w:t>
      </w:r>
      <w:r>
        <w:rPr>
          <w:color w:val="231F20"/>
          <w:spacing w:val="-1"/>
          <w:w w:val="96"/>
        </w:rPr>
        <w:t>e</w:t>
      </w:r>
      <w:r>
        <w:rPr>
          <w:color w:val="231F20"/>
          <w:spacing w:val="-1"/>
          <w:w w:val="101"/>
        </w:rPr>
        <w:t>st</w:t>
      </w:r>
      <w:r>
        <w:rPr>
          <w:color w:val="231F20"/>
          <w:spacing w:val="-1"/>
          <w:w w:val="100"/>
        </w:rPr>
        <w:t>u</w:t>
      </w:r>
      <w:r>
        <w:rPr>
          <w:color w:val="231F20"/>
          <w:w w:val="102"/>
        </w:rPr>
        <w:t>d</w:t>
      </w:r>
      <w:r>
        <w:rPr>
          <w:color w:val="231F20"/>
          <w:spacing w:val="-2"/>
          <w:w w:val="84"/>
        </w:rPr>
        <w:t>i</w:t>
      </w:r>
      <w:r>
        <w:rPr>
          <w:color w:val="231F20"/>
          <w:spacing w:val="-1"/>
          <w:w w:val="94"/>
        </w:rPr>
        <w:t>a</w:t>
      </w:r>
      <w:r>
        <w:rPr>
          <w:color w:val="231F20"/>
          <w:spacing w:val="-1"/>
          <w:w w:val="104"/>
        </w:rPr>
        <w:t>n</w:t>
      </w:r>
      <w:r>
        <w:rPr>
          <w:color w:val="231F20"/>
          <w:spacing w:val="-1"/>
          <w:w w:val="107"/>
        </w:rPr>
        <w:t>t</w:t>
      </w:r>
      <w:r>
        <w:rPr>
          <w:color w:val="231F20"/>
          <w:spacing w:val="-1"/>
          <w:w w:val="96"/>
        </w:rPr>
        <w:t>e</w:t>
      </w:r>
      <w:r>
        <w:rPr>
          <w:color w:val="231F20"/>
          <w:w w:val="96"/>
        </w:rPr>
        <w:t>s</w:t>
      </w:r>
      <w:r>
        <w:rPr>
          <w:color w:val="231F20"/>
          <w:spacing w:val="9"/>
        </w:rPr>
        <w:t> </w:t>
      </w:r>
      <w:r>
        <w:rPr>
          <w:color w:val="231F20"/>
          <w:spacing w:val="-1"/>
          <w:w w:val="96"/>
        </w:rPr>
        <w:t>c</w:t>
      </w:r>
      <w:r>
        <w:rPr>
          <w:color w:val="231F20"/>
          <w:spacing w:val="-1"/>
          <w:w w:val="104"/>
        </w:rPr>
        <w:t>o</w:t>
      </w:r>
      <w:r>
        <w:rPr>
          <w:color w:val="231F20"/>
          <w:w w:val="104"/>
        </w:rPr>
        <w:t>n</w:t>
      </w:r>
      <w:r>
        <w:rPr>
          <w:color w:val="231F20"/>
          <w:spacing w:val="10"/>
        </w:rPr>
        <w:t> </w:t>
      </w:r>
      <w:r>
        <w:rPr>
          <w:color w:val="231F20"/>
          <w:spacing w:val="-1"/>
          <w:w w:val="104"/>
        </w:rPr>
        <w:t>b</w:t>
      </w:r>
      <w:r>
        <w:rPr>
          <w:color w:val="231F20"/>
          <w:spacing w:val="-1"/>
          <w:w w:val="94"/>
        </w:rPr>
        <w:t>a</w:t>
      </w:r>
      <w:r>
        <w:rPr>
          <w:color w:val="231F20"/>
          <w:spacing w:val="-1"/>
          <w:w w:val="96"/>
        </w:rPr>
        <w:t>s</w:t>
      </w:r>
      <w:r>
        <w:rPr>
          <w:color w:val="231F20"/>
          <w:w w:val="96"/>
        </w:rPr>
        <w:t>e</w:t>
      </w:r>
      <w:r>
        <w:rPr>
          <w:color w:val="231F20"/>
          <w:spacing w:val="10"/>
        </w:rPr>
        <w:t> </w:t>
      </w:r>
      <w:r>
        <w:rPr>
          <w:color w:val="231F20"/>
          <w:spacing w:val="-1"/>
          <w:w w:val="100"/>
        </w:rPr>
        <w:t>e</w:t>
      </w:r>
      <w:r>
        <w:rPr>
          <w:color w:val="231F20"/>
          <w:w w:val="100"/>
        </w:rPr>
        <w:t>n</w:t>
      </w:r>
      <w:r>
        <w:rPr>
          <w:color w:val="231F20"/>
          <w:spacing w:val="10"/>
        </w:rPr>
        <w:t> </w:t>
      </w:r>
      <w:r>
        <w:rPr>
          <w:color w:val="231F20"/>
          <w:spacing w:val="-1"/>
          <w:w w:val="96"/>
        </w:rPr>
        <w:t>s</w:t>
      </w:r>
      <w:r>
        <w:rPr>
          <w:color w:val="231F20"/>
          <w:w w:val="100"/>
        </w:rPr>
        <w:t>u</w:t>
      </w:r>
      <w:r>
        <w:rPr>
          <w:color w:val="231F20"/>
          <w:spacing w:val="9"/>
        </w:rPr>
        <w:t> </w:t>
      </w:r>
      <w:r>
        <w:rPr>
          <w:color w:val="231F20"/>
          <w:spacing w:val="-1"/>
          <w:w w:val="96"/>
        </w:rPr>
        <w:t>c</w:t>
      </w:r>
      <w:r>
        <w:rPr>
          <w:color w:val="231F20"/>
          <w:spacing w:val="-1"/>
          <w:w w:val="104"/>
        </w:rPr>
        <w:t>on</w:t>
      </w:r>
      <w:r>
        <w:rPr>
          <w:color w:val="231F20"/>
          <w:w w:val="102"/>
        </w:rPr>
        <w:t>d</w:t>
      </w:r>
      <w:r>
        <w:rPr>
          <w:color w:val="231F20"/>
          <w:spacing w:val="-2"/>
          <w:w w:val="84"/>
        </w:rPr>
        <w:t>i</w:t>
      </w:r>
      <w:r>
        <w:rPr>
          <w:color w:val="231F20"/>
          <w:spacing w:val="-1"/>
          <w:w w:val="96"/>
        </w:rPr>
        <w:t>c</w:t>
      </w:r>
      <w:r>
        <w:rPr>
          <w:color w:val="231F20"/>
          <w:spacing w:val="-2"/>
          <w:w w:val="84"/>
        </w:rPr>
        <w:t>i</w:t>
      </w:r>
      <w:r>
        <w:rPr>
          <w:color w:val="231F20"/>
          <w:spacing w:val="-1"/>
          <w:w w:val="104"/>
        </w:rPr>
        <w:t>ó</w:t>
      </w:r>
      <w:r>
        <w:rPr>
          <w:color w:val="231F20"/>
          <w:w w:val="104"/>
        </w:rPr>
        <w:t>n</w:t>
      </w:r>
      <w:r>
        <w:rPr>
          <w:color w:val="231F20"/>
          <w:spacing w:val="10"/>
        </w:rPr>
        <w:t> </w:t>
      </w:r>
      <w:r>
        <w:rPr>
          <w:color w:val="231F20"/>
          <w:spacing w:val="-1"/>
          <w:w w:val="96"/>
        </w:rPr>
        <w:t>é</w:t>
      </w:r>
      <w:r>
        <w:rPr>
          <w:color w:val="231F20"/>
          <w:spacing w:val="-1"/>
          <w:w w:val="107"/>
        </w:rPr>
        <w:t>t</w:t>
      </w:r>
      <w:r>
        <w:rPr>
          <w:color w:val="231F20"/>
          <w:spacing w:val="-1"/>
          <w:w w:val="104"/>
        </w:rPr>
        <w:t>n</w:t>
      </w:r>
      <w:r>
        <w:rPr>
          <w:color w:val="231F20"/>
          <w:spacing w:val="-2"/>
          <w:w w:val="84"/>
        </w:rPr>
        <w:t>i</w:t>
      </w:r>
      <w:r>
        <w:rPr>
          <w:color w:val="231F20"/>
          <w:spacing w:val="-1"/>
          <w:w w:val="96"/>
        </w:rPr>
        <w:t>c</w:t>
      </w:r>
      <w:r>
        <w:rPr>
          <w:color w:val="231F20"/>
          <w:spacing w:val="-1"/>
          <w:w w:val="94"/>
        </w:rPr>
        <w:t>a</w:t>
      </w:r>
      <w:r>
        <w:rPr>
          <w:color w:val="231F20"/>
          <w:w w:val="90"/>
        </w:rPr>
        <w:t>,</w:t>
      </w:r>
      <w:r>
        <w:rPr>
          <w:color w:val="231F20"/>
          <w:spacing w:val="8"/>
        </w:rPr>
        <w:t> </w:t>
      </w:r>
      <w:r>
        <w:rPr>
          <w:color w:val="231F20"/>
          <w:spacing w:val="-1"/>
          <w:w w:val="96"/>
        </w:rPr>
        <w:t>c</w:t>
      </w:r>
      <w:r>
        <w:rPr>
          <w:color w:val="231F20"/>
          <w:spacing w:val="-1"/>
          <w:w w:val="95"/>
        </w:rPr>
        <w:t>u</w:t>
      </w:r>
      <w:r>
        <w:rPr>
          <w:color w:val="231F20"/>
          <w:spacing w:val="-2"/>
          <w:w w:val="95"/>
        </w:rPr>
        <w:t>l</w:t>
      </w:r>
      <w:r>
        <w:rPr>
          <w:color w:val="231F20"/>
          <w:spacing w:val="-1"/>
          <w:w w:val="107"/>
        </w:rPr>
        <w:t>t</w:t>
      </w:r>
      <w:r>
        <w:rPr>
          <w:color w:val="231F20"/>
          <w:spacing w:val="-1"/>
          <w:w w:val="101"/>
        </w:rPr>
        <w:t>ur</w:t>
      </w:r>
      <w:r>
        <w:rPr>
          <w:color w:val="231F20"/>
          <w:spacing w:val="-1"/>
          <w:w w:val="94"/>
        </w:rPr>
        <w:t>a</w:t>
      </w:r>
      <w:r>
        <w:rPr>
          <w:color w:val="231F20"/>
          <w:w w:val="84"/>
        </w:rPr>
        <w:t>l</w:t>
      </w:r>
      <w:r>
        <w:rPr>
          <w:color w:val="231F20"/>
          <w:spacing w:val="9"/>
        </w:rPr>
        <w:t> </w:t>
      </w:r>
      <w:r>
        <w:rPr>
          <w:color w:val="231F20"/>
          <w:spacing w:val="-1"/>
          <w:w w:val="85"/>
        </w:rPr>
        <w:t>y</w:t>
      </w:r>
      <w:r>
        <w:rPr>
          <w:color w:val="231F20"/>
          <w:w w:val="185"/>
        </w:rPr>
        <w:t>/</w:t>
      </w:r>
      <w:r>
        <w:rPr>
          <w:color w:val="231F20"/>
          <w:w w:val="104"/>
        </w:rPr>
        <w:t>o</w:t>
      </w:r>
      <w:r>
        <w:rPr>
          <w:color w:val="231F20"/>
          <w:spacing w:val="10"/>
        </w:rPr>
        <w:t> </w:t>
      </w:r>
      <w:r>
        <w:rPr>
          <w:color w:val="231F20"/>
          <w:spacing w:val="-2"/>
          <w:w w:val="84"/>
        </w:rPr>
        <w:t>li</w:t>
      </w:r>
      <w:r>
        <w:rPr>
          <w:color w:val="231F20"/>
          <w:spacing w:val="-1"/>
          <w:w w:val="104"/>
        </w:rPr>
        <w:t>n</w:t>
      </w:r>
      <w:r>
        <w:rPr>
          <w:color w:val="231F20"/>
          <w:spacing w:val="-1"/>
          <w:w w:val="93"/>
        </w:rPr>
        <w:t>gü</w:t>
      </w:r>
      <w:r>
        <w:rPr>
          <w:color w:val="231F20"/>
          <w:spacing w:val="-2"/>
          <w:w w:val="93"/>
        </w:rPr>
        <w:t>í</w:t>
      </w:r>
      <w:r>
        <w:rPr>
          <w:color w:val="231F20"/>
          <w:spacing w:val="-1"/>
          <w:w w:val="96"/>
        </w:rPr>
        <w:t>s</w:t>
      </w:r>
      <w:r>
        <w:rPr>
          <w:color w:val="231F20"/>
          <w:w w:val="107"/>
        </w:rPr>
        <w:t>t</w:t>
      </w:r>
      <w:r>
        <w:rPr>
          <w:color w:val="231F20"/>
          <w:spacing w:val="-2"/>
          <w:w w:val="91"/>
        </w:rPr>
        <w:t>i- </w:t>
      </w:r>
      <w:r>
        <w:rPr>
          <w:color w:val="231F20"/>
        </w:rPr>
        <w:t>ca.</w:t>
      </w:r>
      <w:r>
        <w:rPr>
          <w:color w:val="231F20"/>
          <w:spacing w:val="-6"/>
        </w:rPr>
        <w:t> </w:t>
      </w:r>
      <w:r>
        <w:rPr>
          <w:color w:val="231F20"/>
        </w:rPr>
        <w:t>Esa</w:t>
      </w:r>
      <w:r>
        <w:rPr>
          <w:color w:val="231F20"/>
          <w:spacing w:val="-5"/>
        </w:rPr>
        <w:t> </w:t>
      </w:r>
      <w:r>
        <w:rPr>
          <w:color w:val="231F20"/>
        </w:rPr>
        <w:t>diferenciación</w:t>
      </w:r>
      <w:r>
        <w:rPr>
          <w:color w:val="231F20"/>
          <w:spacing w:val="-5"/>
        </w:rPr>
        <w:t> </w:t>
      </w:r>
      <w:r>
        <w:rPr>
          <w:color w:val="231F20"/>
        </w:rPr>
        <w:t>se</w:t>
      </w:r>
      <w:r>
        <w:rPr>
          <w:color w:val="231F20"/>
          <w:spacing w:val="-5"/>
        </w:rPr>
        <w:t> </w:t>
      </w:r>
      <w:r>
        <w:rPr>
          <w:color w:val="231F20"/>
        </w:rPr>
        <w:t>articula</w:t>
      </w:r>
      <w:r>
        <w:rPr>
          <w:color w:val="231F20"/>
          <w:spacing w:val="-5"/>
        </w:rPr>
        <w:t> </w:t>
      </w:r>
      <w:r>
        <w:rPr>
          <w:color w:val="231F20"/>
        </w:rPr>
        <w:t>institucionalmente,</w:t>
      </w:r>
      <w:r>
        <w:rPr>
          <w:color w:val="231F20"/>
          <w:spacing w:val="-6"/>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orga- nismos o dependencias universitarias de atención a estudiantes indí- genas donde solo se acentúa la discriminación bajo una idea perverti- da</w:t>
      </w:r>
      <w:r>
        <w:rPr>
          <w:color w:val="231F20"/>
          <w:spacing w:val="-28"/>
        </w:rPr>
        <w:t> </w:t>
      </w:r>
      <w:r>
        <w:rPr>
          <w:color w:val="231F20"/>
        </w:rPr>
        <w:t>de</w:t>
      </w:r>
      <w:r>
        <w:rPr>
          <w:color w:val="231F20"/>
          <w:spacing w:val="-28"/>
        </w:rPr>
        <w:t> </w:t>
      </w:r>
      <w:r>
        <w:rPr>
          <w:color w:val="231F20"/>
        </w:rPr>
        <w:t>interculturalidad.</w:t>
      </w:r>
    </w:p>
    <w:p>
      <w:pPr>
        <w:pStyle w:val="BodyText"/>
        <w:spacing w:before="4"/>
        <w:rPr>
          <w:sz w:val="20"/>
        </w:rPr>
      </w:pPr>
    </w:p>
    <w:p>
      <w:pPr>
        <w:pStyle w:val="ListParagraph"/>
        <w:numPr>
          <w:ilvl w:val="0"/>
          <w:numId w:val="1"/>
        </w:numPr>
        <w:tabs>
          <w:tab w:pos="437" w:val="left" w:leader="none"/>
        </w:tabs>
        <w:spacing w:line="247" w:lineRule="auto" w:before="0" w:after="0"/>
        <w:ind w:left="112" w:right="108" w:firstLine="0"/>
        <w:jc w:val="both"/>
        <w:rPr>
          <w:color w:val="231F20"/>
          <w:sz w:val="21"/>
        </w:rPr>
      </w:pPr>
      <w:r>
        <w:rPr>
          <w:color w:val="231F20"/>
          <w:sz w:val="21"/>
        </w:rPr>
        <w:t>Expresiones de la violencia en la UABJO. Reporte de Investiga- ción, de Olga J. Montes García, Carlos Sorroza Polo, Néstor </w:t>
      </w:r>
      <w:r>
        <w:rPr>
          <w:color w:val="231F20"/>
          <w:spacing w:val="9"/>
          <w:sz w:val="21"/>
        </w:rPr>
        <w:t> </w:t>
      </w:r>
      <w:r>
        <w:rPr>
          <w:color w:val="231F20"/>
          <w:sz w:val="21"/>
        </w:rPr>
        <w:t>Montes</w:t>
      </w:r>
    </w:p>
    <w:p>
      <w:pPr>
        <w:spacing w:after="0" w:line="247" w:lineRule="auto"/>
        <w:jc w:val="both"/>
        <w:rPr>
          <w:sz w:val="21"/>
        </w:rPr>
        <w:sectPr>
          <w:headerReference w:type="default" r:id="rId54"/>
          <w:footerReference w:type="default" r:id="rId55"/>
          <w:pgSz w:w="7830" w:h="11910"/>
          <w:pgMar w:header="0" w:footer="424" w:top="500" w:bottom="620" w:left="1020" w:right="740"/>
          <w:pgNumType w:start="21"/>
        </w:sectPr>
      </w:pPr>
    </w:p>
    <w:p>
      <w:pPr>
        <w:spacing w:before="46"/>
        <w:ind w:left="632" w:right="148"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8"/>
        <w:rPr>
          <w:sz w:val="15"/>
        </w:rPr>
      </w:pPr>
    </w:p>
    <w:p>
      <w:pPr>
        <w:pStyle w:val="BodyText"/>
        <w:spacing w:line="244" w:lineRule="auto"/>
        <w:ind w:left="109" w:right="112"/>
        <w:jc w:val="both"/>
      </w:pPr>
      <w:r>
        <w:rPr>
          <w:color w:val="231F20"/>
        </w:rPr>
        <w:t>García, Sara Montserrat Herrera Cerqueda e Ilse Montserrat López. Olga Montes, Carlos Sorroza y Néstor Montes son integrantes del cuerpo académico Estudios sobre la Universidad, de la Universidad Autónoma “Benito Juárez” de Oaxaca, e integrantes de la Red de Cuerpos Académicos en Política, Educación y Universidad. Por otro lado, Herrera y López participaron como auxiliares de investigación en el cuerpo académico Estudios sobre la Universidad.</w:t>
      </w:r>
    </w:p>
    <w:p>
      <w:pPr>
        <w:pStyle w:val="BodyText"/>
        <w:spacing w:line="249" w:lineRule="auto" w:before="18"/>
        <w:ind w:left="109" w:right="111" w:firstLine="284"/>
        <w:jc w:val="both"/>
      </w:pPr>
      <w:r>
        <w:rPr>
          <w:color w:val="231F20"/>
          <w:spacing w:val="2"/>
        </w:rPr>
        <w:t>Los autores conciben </w:t>
      </w:r>
      <w:r>
        <w:rPr>
          <w:color w:val="231F20"/>
        </w:rPr>
        <w:t>la </w:t>
      </w:r>
      <w:r>
        <w:rPr>
          <w:color w:val="231F20"/>
          <w:spacing w:val="2"/>
        </w:rPr>
        <w:t>violencia </w:t>
      </w:r>
      <w:r>
        <w:rPr>
          <w:color w:val="231F20"/>
          <w:spacing w:val="3"/>
        </w:rPr>
        <w:t>como </w:t>
      </w:r>
      <w:r>
        <w:rPr>
          <w:color w:val="231F20"/>
          <w:spacing w:val="2"/>
        </w:rPr>
        <w:t>una </w:t>
      </w:r>
      <w:r>
        <w:rPr>
          <w:color w:val="231F20"/>
          <w:spacing w:val="3"/>
        </w:rPr>
        <w:t>problemática </w:t>
      </w:r>
      <w:r>
        <w:rPr>
          <w:color w:val="231F20"/>
        </w:rPr>
        <w:t>que </w:t>
      </w:r>
      <w:r>
        <w:rPr>
          <w:color w:val="231F20"/>
          <w:spacing w:val="2"/>
        </w:rPr>
        <w:t>debe enfrentarse </w:t>
      </w:r>
      <w:r>
        <w:rPr>
          <w:color w:val="231F20"/>
        </w:rPr>
        <w:t>y </w:t>
      </w:r>
      <w:r>
        <w:rPr>
          <w:color w:val="231F20"/>
          <w:spacing w:val="2"/>
        </w:rPr>
        <w:t>que </w:t>
      </w:r>
      <w:r>
        <w:rPr>
          <w:color w:val="231F20"/>
        </w:rPr>
        <w:t>es </w:t>
      </w:r>
      <w:r>
        <w:rPr>
          <w:color w:val="231F20"/>
          <w:spacing w:val="2"/>
        </w:rPr>
        <w:t>necesario </w:t>
      </w:r>
      <w:r>
        <w:rPr>
          <w:color w:val="231F20"/>
          <w:spacing w:val="3"/>
        </w:rPr>
        <w:t>conocer </w:t>
      </w:r>
      <w:r>
        <w:rPr>
          <w:color w:val="231F20"/>
        </w:rPr>
        <w:t>en </w:t>
      </w:r>
      <w:r>
        <w:rPr>
          <w:color w:val="231F20"/>
          <w:spacing w:val="2"/>
        </w:rPr>
        <w:t>sus diversas mani- festaciones </w:t>
      </w:r>
      <w:r>
        <w:rPr>
          <w:color w:val="231F20"/>
        </w:rPr>
        <w:t>y en la </w:t>
      </w:r>
      <w:r>
        <w:rPr>
          <w:color w:val="231F20"/>
          <w:spacing w:val="3"/>
        </w:rPr>
        <w:t>forma </w:t>
      </w:r>
      <w:r>
        <w:rPr>
          <w:color w:val="231F20"/>
        </w:rPr>
        <w:t>en </w:t>
      </w:r>
      <w:r>
        <w:rPr>
          <w:color w:val="231F20"/>
          <w:spacing w:val="2"/>
        </w:rPr>
        <w:t>que </w:t>
      </w:r>
      <w:r>
        <w:rPr>
          <w:color w:val="231F20"/>
        </w:rPr>
        <w:t>la </w:t>
      </w:r>
      <w:r>
        <w:rPr>
          <w:color w:val="231F20"/>
          <w:spacing w:val="2"/>
        </w:rPr>
        <w:t>perciben </w:t>
      </w:r>
      <w:r>
        <w:rPr>
          <w:color w:val="231F20"/>
        </w:rPr>
        <w:t>y </w:t>
      </w:r>
      <w:r>
        <w:rPr>
          <w:color w:val="231F20"/>
          <w:spacing w:val="2"/>
        </w:rPr>
        <w:t>viven los estudiantes </w:t>
      </w:r>
      <w:r>
        <w:rPr>
          <w:color w:val="231F20"/>
        </w:rPr>
        <w:t>de la </w:t>
      </w:r>
      <w:r>
        <w:rPr>
          <w:color w:val="231F20"/>
          <w:spacing w:val="2"/>
        </w:rPr>
        <w:t>Universidad </w:t>
      </w:r>
      <w:r>
        <w:rPr>
          <w:color w:val="231F20"/>
          <w:spacing w:val="3"/>
        </w:rPr>
        <w:t>Autónoma </w:t>
      </w:r>
      <w:r>
        <w:rPr>
          <w:color w:val="231F20"/>
          <w:spacing w:val="2"/>
        </w:rPr>
        <w:t>“Benito Juárez” </w:t>
      </w:r>
      <w:r>
        <w:rPr>
          <w:color w:val="231F20"/>
        </w:rPr>
        <w:t>de </w:t>
      </w:r>
      <w:r>
        <w:rPr>
          <w:color w:val="231F20"/>
          <w:spacing w:val="2"/>
        </w:rPr>
        <w:t>Oaxaca. Para </w:t>
      </w:r>
      <w:r>
        <w:rPr>
          <w:color w:val="231F20"/>
        </w:rPr>
        <w:t>ello se </w:t>
      </w:r>
      <w:r>
        <w:rPr>
          <w:color w:val="231F20"/>
          <w:spacing w:val="2"/>
        </w:rPr>
        <w:t>asume </w:t>
      </w:r>
      <w:r>
        <w:rPr>
          <w:color w:val="231F20"/>
        </w:rPr>
        <w:t>la </w:t>
      </w:r>
      <w:r>
        <w:rPr>
          <w:color w:val="231F20"/>
          <w:spacing w:val="2"/>
        </w:rPr>
        <w:t>definición </w:t>
      </w:r>
      <w:r>
        <w:rPr>
          <w:color w:val="231F20"/>
        </w:rPr>
        <w:t>de la </w:t>
      </w:r>
      <w:r>
        <w:rPr>
          <w:color w:val="231F20"/>
          <w:spacing w:val="2"/>
        </w:rPr>
        <w:t>Organización Mundial </w:t>
      </w:r>
      <w:r>
        <w:rPr>
          <w:color w:val="231F20"/>
        </w:rPr>
        <w:t>de la </w:t>
      </w:r>
      <w:r>
        <w:rPr>
          <w:color w:val="231F20"/>
          <w:spacing w:val="2"/>
        </w:rPr>
        <w:t>Salud </w:t>
      </w:r>
      <w:r>
        <w:rPr>
          <w:color w:val="231F20"/>
        </w:rPr>
        <w:t>que  la </w:t>
      </w:r>
      <w:r>
        <w:rPr>
          <w:color w:val="231F20"/>
          <w:spacing w:val="2"/>
        </w:rPr>
        <w:t>concibe </w:t>
      </w:r>
      <w:r>
        <w:rPr>
          <w:color w:val="231F20"/>
          <w:spacing w:val="3"/>
        </w:rPr>
        <w:t>como: </w:t>
      </w:r>
      <w:r>
        <w:rPr>
          <w:color w:val="231F20"/>
        </w:rPr>
        <w:t>“el </w:t>
      </w:r>
      <w:r>
        <w:rPr>
          <w:color w:val="231F20"/>
          <w:spacing w:val="2"/>
        </w:rPr>
        <w:t>uso deliberado </w:t>
      </w:r>
      <w:r>
        <w:rPr>
          <w:color w:val="231F20"/>
        </w:rPr>
        <w:t>de la </w:t>
      </w:r>
      <w:r>
        <w:rPr>
          <w:color w:val="231F20"/>
          <w:spacing w:val="2"/>
        </w:rPr>
        <w:t>fuerza física </w:t>
      </w:r>
      <w:r>
        <w:rPr>
          <w:color w:val="231F20"/>
        </w:rPr>
        <w:t>o el </w:t>
      </w:r>
      <w:r>
        <w:rPr>
          <w:color w:val="231F20"/>
          <w:spacing w:val="3"/>
        </w:rPr>
        <w:t>poder,</w:t>
      </w:r>
      <w:r>
        <w:rPr>
          <w:color w:val="231F20"/>
          <w:spacing w:val="58"/>
        </w:rPr>
        <w:t> </w:t>
      </w:r>
      <w:r>
        <w:rPr>
          <w:color w:val="231F20"/>
        </w:rPr>
        <w:t>ya sea en </w:t>
      </w:r>
      <w:r>
        <w:rPr>
          <w:color w:val="231F20"/>
          <w:spacing w:val="2"/>
        </w:rPr>
        <w:t>grado </w:t>
      </w:r>
      <w:r>
        <w:rPr>
          <w:color w:val="231F20"/>
        </w:rPr>
        <w:t>de </w:t>
      </w:r>
      <w:r>
        <w:rPr>
          <w:color w:val="231F20"/>
          <w:spacing w:val="3"/>
        </w:rPr>
        <w:t>amenaza </w:t>
      </w:r>
      <w:r>
        <w:rPr>
          <w:color w:val="231F20"/>
        </w:rPr>
        <w:t>o </w:t>
      </w:r>
      <w:r>
        <w:rPr>
          <w:color w:val="231F20"/>
          <w:spacing w:val="2"/>
        </w:rPr>
        <w:t>efectivo, contra uno </w:t>
      </w:r>
      <w:r>
        <w:rPr>
          <w:color w:val="231F20"/>
          <w:spacing w:val="3"/>
        </w:rPr>
        <w:t>mismo, </w:t>
      </w:r>
      <w:r>
        <w:rPr>
          <w:color w:val="231F20"/>
          <w:spacing w:val="2"/>
        </w:rPr>
        <w:t>otra </w:t>
      </w:r>
      <w:r>
        <w:rPr>
          <w:color w:val="231F20"/>
          <w:spacing w:val="3"/>
        </w:rPr>
        <w:t>persona </w:t>
      </w:r>
      <w:r>
        <w:rPr>
          <w:color w:val="231F20"/>
        </w:rPr>
        <w:t>o un </w:t>
      </w:r>
      <w:r>
        <w:rPr>
          <w:color w:val="231F20"/>
          <w:spacing w:val="2"/>
        </w:rPr>
        <w:t>grupo </w:t>
      </w:r>
      <w:r>
        <w:rPr>
          <w:color w:val="231F20"/>
        </w:rPr>
        <w:t>o </w:t>
      </w:r>
      <w:r>
        <w:rPr>
          <w:color w:val="231F20"/>
          <w:spacing w:val="3"/>
        </w:rPr>
        <w:t>comunidad, </w:t>
      </w:r>
      <w:r>
        <w:rPr>
          <w:color w:val="231F20"/>
        </w:rPr>
        <w:t>que </w:t>
      </w:r>
      <w:r>
        <w:rPr>
          <w:color w:val="231F20"/>
          <w:spacing w:val="2"/>
        </w:rPr>
        <w:t>cause </w:t>
      </w:r>
      <w:r>
        <w:rPr>
          <w:color w:val="231F20"/>
        </w:rPr>
        <w:t>o </w:t>
      </w:r>
      <w:r>
        <w:rPr>
          <w:color w:val="231F20"/>
          <w:spacing w:val="2"/>
        </w:rPr>
        <w:t>tenga </w:t>
      </w:r>
      <w:r>
        <w:rPr>
          <w:color w:val="231F20"/>
          <w:spacing w:val="3"/>
        </w:rPr>
        <w:t>muchas </w:t>
      </w:r>
      <w:r>
        <w:rPr>
          <w:color w:val="231F20"/>
          <w:spacing w:val="4"/>
        </w:rPr>
        <w:t>pro- </w:t>
      </w:r>
      <w:r>
        <w:rPr>
          <w:color w:val="231F20"/>
          <w:spacing w:val="2"/>
        </w:rPr>
        <w:t>babilidades </w:t>
      </w:r>
      <w:r>
        <w:rPr>
          <w:color w:val="231F20"/>
        </w:rPr>
        <w:t>de </w:t>
      </w:r>
      <w:r>
        <w:rPr>
          <w:color w:val="231F20"/>
          <w:spacing w:val="2"/>
        </w:rPr>
        <w:t>causar lesiones, </w:t>
      </w:r>
      <w:r>
        <w:rPr>
          <w:color w:val="231F20"/>
          <w:spacing w:val="3"/>
        </w:rPr>
        <w:t>muerte, </w:t>
      </w:r>
      <w:r>
        <w:rPr>
          <w:color w:val="231F20"/>
          <w:spacing w:val="2"/>
        </w:rPr>
        <w:t>daño psicológico, trastor- nos </w:t>
      </w:r>
      <w:r>
        <w:rPr>
          <w:color w:val="231F20"/>
        </w:rPr>
        <w:t>del </w:t>
      </w:r>
      <w:r>
        <w:rPr>
          <w:color w:val="231F20"/>
          <w:spacing w:val="2"/>
        </w:rPr>
        <w:t>desarrollo </w:t>
      </w:r>
      <w:r>
        <w:rPr>
          <w:color w:val="231F20"/>
        </w:rPr>
        <w:t>o </w:t>
      </w:r>
      <w:r>
        <w:rPr>
          <w:color w:val="231F20"/>
          <w:spacing w:val="2"/>
        </w:rPr>
        <w:t>privaciones”. Para realizar </w:t>
      </w:r>
      <w:r>
        <w:rPr>
          <w:color w:val="231F20"/>
        </w:rPr>
        <w:t>el </w:t>
      </w:r>
      <w:r>
        <w:rPr>
          <w:color w:val="231F20"/>
          <w:spacing w:val="2"/>
        </w:rPr>
        <w:t>trabajo </w:t>
      </w:r>
      <w:r>
        <w:rPr>
          <w:color w:val="231F20"/>
        </w:rPr>
        <w:t>se </w:t>
      </w:r>
      <w:r>
        <w:rPr>
          <w:color w:val="231F20"/>
          <w:spacing w:val="2"/>
        </w:rPr>
        <w:t>aplicó una encuesta </w:t>
      </w:r>
      <w:r>
        <w:rPr>
          <w:color w:val="231F20"/>
        </w:rPr>
        <w:t>a 706 </w:t>
      </w:r>
      <w:r>
        <w:rPr>
          <w:color w:val="231F20"/>
          <w:spacing w:val="2"/>
        </w:rPr>
        <w:t>estudiantes </w:t>
      </w:r>
      <w:r>
        <w:rPr>
          <w:color w:val="231F20"/>
        </w:rPr>
        <w:t>de </w:t>
      </w:r>
      <w:r>
        <w:rPr>
          <w:color w:val="231F20"/>
          <w:spacing w:val="2"/>
        </w:rPr>
        <w:t>diversas facultades </w:t>
      </w:r>
      <w:r>
        <w:rPr>
          <w:color w:val="231F20"/>
        </w:rPr>
        <w:t>de la </w:t>
      </w:r>
      <w:r>
        <w:rPr>
          <w:color w:val="231F20"/>
          <w:spacing w:val="3"/>
        </w:rPr>
        <w:t>UAB- </w:t>
      </w:r>
      <w:r>
        <w:rPr>
          <w:color w:val="231F20"/>
          <w:spacing w:val="2"/>
        </w:rPr>
        <w:t>JO. Los resultados </w:t>
      </w:r>
      <w:r>
        <w:rPr>
          <w:color w:val="231F20"/>
        </w:rPr>
        <w:t>que se </w:t>
      </w:r>
      <w:r>
        <w:rPr>
          <w:color w:val="231F20"/>
          <w:spacing w:val="3"/>
        </w:rPr>
        <w:t>encontraron </w:t>
      </w:r>
      <w:r>
        <w:rPr>
          <w:color w:val="231F20"/>
          <w:spacing w:val="2"/>
        </w:rPr>
        <w:t>fueron </w:t>
      </w:r>
      <w:r>
        <w:rPr>
          <w:color w:val="231F20"/>
        </w:rPr>
        <w:t>que </w:t>
      </w:r>
      <w:r>
        <w:rPr>
          <w:color w:val="231F20"/>
          <w:spacing w:val="2"/>
        </w:rPr>
        <w:t>los estudiantes perciben </w:t>
      </w:r>
      <w:r>
        <w:rPr>
          <w:color w:val="231F20"/>
        </w:rPr>
        <w:t>a la </w:t>
      </w:r>
      <w:r>
        <w:rPr>
          <w:color w:val="231F20"/>
          <w:spacing w:val="2"/>
        </w:rPr>
        <w:t>ciudad </w:t>
      </w:r>
      <w:r>
        <w:rPr>
          <w:color w:val="231F20"/>
        </w:rPr>
        <w:t>de </w:t>
      </w:r>
      <w:r>
        <w:rPr>
          <w:color w:val="231F20"/>
          <w:spacing w:val="2"/>
        </w:rPr>
        <w:t>Oaxaca ahora más violenta que </w:t>
      </w:r>
      <w:r>
        <w:rPr>
          <w:color w:val="231F20"/>
        </w:rPr>
        <w:t>en </w:t>
      </w:r>
      <w:r>
        <w:rPr>
          <w:color w:val="231F20"/>
          <w:spacing w:val="3"/>
        </w:rPr>
        <w:t>otros tiempos, </w:t>
      </w:r>
      <w:r>
        <w:rPr>
          <w:color w:val="231F20"/>
        </w:rPr>
        <w:t>al </w:t>
      </w:r>
      <w:r>
        <w:rPr>
          <w:color w:val="231F20"/>
          <w:spacing w:val="2"/>
        </w:rPr>
        <w:t>igual que </w:t>
      </w:r>
      <w:r>
        <w:rPr>
          <w:color w:val="231F20"/>
        </w:rPr>
        <w:t>al </w:t>
      </w:r>
      <w:r>
        <w:rPr>
          <w:color w:val="231F20"/>
          <w:spacing w:val="3"/>
        </w:rPr>
        <w:t>campus </w:t>
      </w:r>
      <w:r>
        <w:rPr>
          <w:color w:val="231F20"/>
          <w:spacing w:val="2"/>
        </w:rPr>
        <w:t>universitario; </w:t>
      </w:r>
      <w:r>
        <w:rPr>
          <w:color w:val="231F20"/>
        </w:rPr>
        <w:t>y, </w:t>
      </w:r>
      <w:r>
        <w:rPr>
          <w:color w:val="231F20"/>
          <w:spacing w:val="3"/>
        </w:rPr>
        <w:t>contrariamente, </w:t>
      </w:r>
      <w:r>
        <w:rPr>
          <w:color w:val="231F20"/>
          <w:spacing w:val="2"/>
        </w:rPr>
        <w:t>indican que los lugares </w:t>
      </w:r>
      <w:r>
        <w:rPr>
          <w:color w:val="231F20"/>
          <w:spacing w:val="3"/>
        </w:rPr>
        <w:t>donde </w:t>
      </w:r>
      <w:r>
        <w:rPr>
          <w:color w:val="231F20"/>
          <w:spacing w:val="2"/>
        </w:rPr>
        <w:t>viven </w:t>
      </w:r>
      <w:r>
        <w:rPr>
          <w:color w:val="231F20"/>
        </w:rPr>
        <w:t>(el </w:t>
      </w:r>
      <w:r>
        <w:rPr>
          <w:color w:val="231F20"/>
          <w:spacing w:val="2"/>
        </w:rPr>
        <w:t>barrio, </w:t>
      </w:r>
      <w:r>
        <w:rPr>
          <w:color w:val="231F20"/>
        </w:rPr>
        <w:t>la </w:t>
      </w:r>
      <w:r>
        <w:rPr>
          <w:color w:val="231F20"/>
          <w:spacing w:val="2"/>
        </w:rPr>
        <w:t>colonia) son </w:t>
      </w:r>
      <w:r>
        <w:rPr>
          <w:color w:val="231F20"/>
        </w:rPr>
        <w:t>me- </w:t>
      </w:r>
      <w:r>
        <w:rPr>
          <w:color w:val="231F20"/>
          <w:spacing w:val="2"/>
        </w:rPr>
        <w:t>nos violentos, </w:t>
      </w:r>
      <w:r>
        <w:rPr>
          <w:color w:val="231F20"/>
        </w:rPr>
        <w:t>en </w:t>
      </w:r>
      <w:r>
        <w:rPr>
          <w:color w:val="231F20"/>
          <w:spacing w:val="2"/>
        </w:rPr>
        <w:t>tanto </w:t>
      </w:r>
      <w:r>
        <w:rPr>
          <w:color w:val="231F20"/>
        </w:rPr>
        <w:t>que la </w:t>
      </w:r>
      <w:r>
        <w:rPr>
          <w:color w:val="231F20"/>
          <w:spacing w:val="2"/>
        </w:rPr>
        <w:t>violencia </w:t>
      </w:r>
      <w:r>
        <w:rPr>
          <w:color w:val="231F20"/>
        </w:rPr>
        <w:t>en </w:t>
      </w:r>
      <w:r>
        <w:rPr>
          <w:color w:val="231F20"/>
          <w:spacing w:val="2"/>
        </w:rPr>
        <w:t>los hogares </w:t>
      </w:r>
      <w:r>
        <w:rPr>
          <w:color w:val="231F20"/>
        </w:rPr>
        <w:t>se </w:t>
      </w:r>
      <w:r>
        <w:rPr>
          <w:color w:val="231F20"/>
          <w:spacing w:val="2"/>
        </w:rPr>
        <w:t>percibe </w:t>
      </w:r>
      <w:r>
        <w:rPr>
          <w:color w:val="231F20"/>
          <w:spacing w:val="3"/>
        </w:rPr>
        <w:t>como “normal”. </w:t>
      </w:r>
      <w:r>
        <w:rPr>
          <w:color w:val="231F20"/>
        </w:rPr>
        <w:t>Al </w:t>
      </w:r>
      <w:r>
        <w:rPr>
          <w:color w:val="231F20"/>
          <w:spacing w:val="2"/>
        </w:rPr>
        <w:t>interior </w:t>
      </w:r>
      <w:r>
        <w:rPr>
          <w:color w:val="231F20"/>
        </w:rPr>
        <w:t>de la </w:t>
      </w:r>
      <w:r>
        <w:rPr>
          <w:color w:val="231F20"/>
          <w:spacing w:val="2"/>
        </w:rPr>
        <w:t>universidad consideran primero </w:t>
      </w:r>
      <w:r>
        <w:rPr>
          <w:color w:val="231F20"/>
        </w:rPr>
        <w:t>que la </w:t>
      </w:r>
      <w:r>
        <w:rPr>
          <w:color w:val="231F20"/>
          <w:spacing w:val="2"/>
        </w:rPr>
        <w:t>violencia proviene </w:t>
      </w:r>
      <w:r>
        <w:rPr>
          <w:color w:val="231F20"/>
        </w:rPr>
        <w:t>de </w:t>
      </w:r>
      <w:r>
        <w:rPr>
          <w:color w:val="231F20"/>
          <w:spacing w:val="2"/>
        </w:rPr>
        <w:t>los grupos </w:t>
      </w:r>
      <w:r>
        <w:rPr>
          <w:color w:val="231F20"/>
        </w:rPr>
        <w:t>de </w:t>
      </w:r>
      <w:r>
        <w:rPr>
          <w:color w:val="231F20"/>
          <w:spacing w:val="3"/>
        </w:rPr>
        <w:t>porros </w:t>
      </w:r>
      <w:r>
        <w:rPr>
          <w:color w:val="231F20"/>
        </w:rPr>
        <w:t>y que </w:t>
      </w:r>
      <w:r>
        <w:rPr>
          <w:color w:val="231F20"/>
          <w:spacing w:val="2"/>
        </w:rPr>
        <w:t>afecta casi </w:t>
      </w:r>
      <w:r>
        <w:rPr>
          <w:color w:val="231F20"/>
        </w:rPr>
        <w:t>de </w:t>
      </w:r>
      <w:r>
        <w:rPr>
          <w:color w:val="231F20"/>
          <w:spacing w:val="3"/>
        </w:rPr>
        <w:t>modo </w:t>
      </w:r>
      <w:r>
        <w:rPr>
          <w:color w:val="231F20"/>
          <w:spacing w:val="2"/>
        </w:rPr>
        <w:t>semejante </w:t>
      </w:r>
      <w:r>
        <w:rPr>
          <w:color w:val="231F20"/>
        </w:rPr>
        <w:t>a </w:t>
      </w:r>
      <w:r>
        <w:rPr>
          <w:color w:val="231F20"/>
          <w:spacing w:val="3"/>
        </w:rPr>
        <w:t>hombres </w:t>
      </w:r>
      <w:r>
        <w:rPr>
          <w:color w:val="231F20"/>
        </w:rPr>
        <w:t>y </w:t>
      </w:r>
      <w:r>
        <w:rPr>
          <w:color w:val="231F20"/>
          <w:spacing w:val="2"/>
        </w:rPr>
        <w:t>mujeres; </w:t>
      </w:r>
      <w:r>
        <w:rPr>
          <w:color w:val="231F20"/>
          <w:spacing w:val="3"/>
        </w:rPr>
        <w:t>después </w:t>
      </w:r>
      <w:r>
        <w:rPr>
          <w:color w:val="231F20"/>
        </w:rPr>
        <w:t>de </w:t>
      </w:r>
      <w:r>
        <w:rPr>
          <w:color w:val="231F20"/>
          <w:spacing w:val="2"/>
        </w:rPr>
        <w:t>los </w:t>
      </w:r>
      <w:r>
        <w:rPr>
          <w:color w:val="231F20"/>
          <w:spacing w:val="3"/>
        </w:rPr>
        <w:t>profeso- </w:t>
      </w:r>
      <w:r>
        <w:rPr>
          <w:color w:val="231F20"/>
          <w:spacing w:val="2"/>
        </w:rPr>
        <w:t>res; </w:t>
      </w:r>
      <w:r>
        <w:rPr>
          <w:color w:val="231F20"/>
        </w:rPr>
        <w:t>y </w:t>
      </w:r>
      <w:r>
        <w:rPr>
          <w:color w:val="231F20"/>
          <w:spacing w:val="2"/>
        </w:rPr>
        <w:t>por </w:t>
      </w:r>
      <w:r>
        <w:rPr>
          <w:color w:val="231F20"/>
          <w:spacing w:val="3"/>
        </w:rPr>
        <w:t>último, </w:t>
      </w:r>
      <w:r>
        <w:rPr>
          <w:color w:val="231F20"/>
        </w:rPr>
        <w:t>la que </w:t>
      </w:r>
      <w:r>
        <w:rPr>
          <w:color w:val="231F20"/>
          <w:spacing w:val="3"/>
        </w:rPr>
        <w:t>proviene </w:t>
      </w:r>
      <w:r>
        <w:rPr>
          <w:color w:val="231F20"/>
        </w:rPr>
        <w:t>de las </w:t>
      </w:r>
      <w:r>
        <w:rPr>
          <w:color w:val="231F20"/>
          <w:spacing w:val="3"/>
        </w:rPr>
        <w:t>autoridades. </w:t>
      </w:r>
      <w:r>
        <w:rPr>
          <w:color w:val="231F20"/>
        </w:rPr>
        <w:t>La </w:t>
      </w:r>
      <w:r>
        <w:rPr>
          <w:color w:val="231F20"/>
          <w:spacing w:val="2"/>
        </w:rPr>
        <w:t>violencia afecta más </w:t>
      </w:r>
      <w:r>
        <w:rPr>
          <w:color w:val="231F20"/>
        </w:rPr>
        <w:t>en </w:t>
      </w:r>
      <w:r>
        <w:rPr>
          <w:color w:val="231F20"/>
          <w:spacing w:val="2"/>
        </w:rPr>
        <w:t>función </w:t>
      </w:r>
      <w:r>
        <w:rPr>
          <w:color w:val="231F20"/>
        </w:rPr>
        <w:t>de la </w:t>
      </w:r>
      <w:r>
        <w:rPr>
          <w:color w:val="231F20"/>
          <w:spacing w:val="2"/>
        </w:rPr>
        <w:t>condición</w:t>
      </w:r>
      <w:r>
        <w:rPr>
          <w:color w:val="231F20"/>
          <w:spacing w:val="33"/>
        </w:rPr>
        <w:t> </w:t>
      </w:r>
      <w:r>
        <w:rPr>
          <w:color w:val="231F20"/>
          <w:spacing w:val="3"/>
        </w:rPr>
        <w:t>étnica.</w:t>
      </w:r>
    </w:p>
    <w:p>
      <w:pPr>
        <w:pStyle w:val="BodyText"/>
        <w:spacing w:before="4"/>
        <w:rPr>
          <w:sz w:val="20"/>
        </w:rPr>
      </w:pPr>
    </w:p>
    <w:p>
      <w:pPr>
        <w:pStyle w:val="ListParagraph"/>
        <w:numPr>
          <w:ilvl w:val="0"/>
          <w:numId w:val="1"/>
        </w:numPr>
        <w:tabs>
          <w:tab w:pos="438" w:val="left" w:leader="none"/>
        </w:tabs>
        <w:spacing w:line="247" w:lineRule="auto" w:before="0" w:after="0"/>
        <w:ind w:left="109" w:right="112" w:firstLine="0"/>
        <w:jc w:val="both"/>
        <w:rPr>
          <w:color w:val="231F20"/>
          <w:sz w:val="21"/>
        </w:rPr>
      </w:pPr>
      <w:r>
        <w:rPr>
          <w:color w:val="231F20"/>
          <w:sz w:val="21"/>
        </w:rPr>
        <w:t>Violencia política en la Universidad Autónoma “Benito Juárez” de Oaxaca, de Saúl Reyes Sanabria, Tatiana Hernández Saavedra y Alejandro Arturo Jiménez Martínez.</w:t>
      </w:r>
    </w:p>
    <w:p>
      <w:pPr>
        <w:pStyle w:val="BodyText"/>
        <w:spacing w:line="247" w:lineRule="auto" w:before="10"/>
        <w:ind w:left="109" w:right="111" w:firstLine="284"/>
        <w:jc w:val="both"/>
      </w:pPr>
      <w:r>
        <w:rPr>
          <w:color w:val="231F20"/>
          <w:spacing w:val="2"/>
        </w:rPr>
        <w:t>Los autores tratan </w:t>
      </w:r>
      <w:r>
        <w:rPr>
          <w:color w:val="231F20"/>
        </w:rPr>
        <w:t>de </w:t>
      </w:r>
      <w:r>
        <w:rPr>
          <w:color w:val="231F20"/>
          <w:spacing w:val="2"/>
        </w:rPr>
        <w:t>explicar </w:t>
      </w:r>
      <w:r>
        <w:rPr>
          <w:color w:val="231F20"/>
        </w:rPr>
        <w:t>los </w:t>
      </w:r>
      <w:r>
        <w:rPr>
          <w:color w:val="231F20"/>
          <w:spacing w:val="2"/>
        </w:rPr>
        <w:t>diferentes tipos </w:t>
      </w:r>
      <w:r>
        <w:rPr>
          <w:color w:val="231F20"/>
        </w:rPr>
        <w:t>de </w:t>
      </w:r>
      <w:r>
        <w:rPr>
          <w:color w:val="231F20"/>
          <w:spacing w:val="2"/>
        </w:rPr>
        <w:t>violencia </w:t>
      </w:r>
      <w:r>
        <w:rPr>
          <w:color w:val="231F20"/>
        </w:rPr>
        <w:t>que </w:t>
      </w:r>
      <w:r>
        <w:rPr>
          <w:color w:val="231F20"/>
          <w:spacing w:val="2"/>
        </w:rPr>
        <w:t>existen </w:t>
      </w:r>
      <w:r>
        <w:rPr>
          <w:color w:val="231F20"/>
        </w:rPr>
        <w:t>en la </w:t>
      </w:r>
      <w:r>
        <w:rPr>
          <w:color w:val="231F20"/>
          <w:spacing w:val="3"/>
        </w:rPr>
        <w:t>Universidad Autónoma </w:t>
      </w:r>
      <w:r>
        <w:rPr>
          <w:color w:val="231F20"/>
          <w:spacing w:val="2"/>
        </w:rPr>
        <w:t>“Benito Juárez”, </w:t>
      </w:r>
      <w:r>
        <w:rPr>
          <w:color w:val="231F20"/>
          <w:spacing w:val="4"/>
        </w:rPr>
        <w:t>por </w:t>
      </w:r>
      <w:r>
        <w:rPr>
          <w:color w:val="231F20"/>
          <w:spacing w:val="2"/>
        </w:rPr>
        <w:t>cuanto </w:t>
      </w:r>
      <w:r>
        <w:rPr>
          <w:color w:val="231F20"/>
        </w:rPr>
        <w:t>se ha </w:t>
      </w:r>
      <w:r>
        <w:rPr>
          <w:color w:val="231F20"/>
          <w:spacing w:val="3"/>
        </w:rPr>
        <w:t>manifestado </w:t>
      </w:r>
      <w:r>
        <w:rPr>
          <w:color w:val="231F20"/>
        </w:rPr>
        <w:t>en </w:t>
      </w:r>
      <w:r>
        <w:rPr>
          <w:color w:val="231F20"/>
          <w:spacing w:val="2"/>
        </w:rPr>
        <w:t>los últimos años </w:t>
      </w:r>
      <w:r>
        <w:rPr>
          <w:color w:val="231F20"/>
          <w:spacing w:val="3"/>
        </w:rPr>
        <w:t>como </w:t>
      </w:r>
      <w:r>
        <w:rPr>
          <w:color w:val="231F20"/>
        </w:rPr>
        <w:t>un </w:t>
      </w:r>
      <w:r>
        <w:rPr>
          <w:color w:val="231F20"/>
          <w:spacing w:val="3"/>
        </w:rPr>
        <w:t>fenómeno </w:t>
      </w:r>
      <w:r>
        <w:rPr>
          <w:color w:val="231F20"/>
          <w:spacing w:val="2"/>
        </w:rPr>
        <w:t>institucional </w:t>
      </w:r>
      <w:r>
        <w:rPr>
          <w:color w:val="231F20"/>
          <w:spacing w:val="3"/>
        </w:rPr>
        <w:t>normalizado </w:t>
      </w:r>
      <w:r>
        <w:rPr>
          <w:color w:val="231F20"/>
        </w:rPr>
        <w:t>y </w:t>
      </w:r>
      <w:r>
        <w:rPr>
          <w:color w:val="231F20"/>
          <w:spacing w:val="2"/>
        </w:rPr>
        <w:t>cotidiano. </w:t>
      </w:r>
      <w:r>
        <w:rPr>
          <w:color w:val="231F20"/>
        </w:rPr>
        <w:t>Se </w:t>
      </w:r>
      <w:r>
        <w:rPr>
          <w:color w:val="231F20"/>
          <w:spacing w:val="3"/>
        </w:rPr>
        <w:t>procura </w:t>
      </w:r>
      <w:r>
        <w:rPr>
          <w:color w:val="231F20"/>
          <w:spacing w:val="2"/>
        </w:rPr>
        <w:t>resaltar </w:t>
      </w:r>
      <w:r>
        <w:rPr>
          <w:color w:val="231F20"/>
          <w:spacing w:val="3"/>
        </w:rPr>
        <w:t>cómo</w:t>
      </w:r>
      <w:r>
        <w:rPr>
          <w:color w:val="231F20"/>
          <w:spacing w:val="58"/>
        </w:rPr>
        <w:t> </w:t>
      </w:r>
      <w:r>
        <w:rPr>
          <w:color w:val="231F20"/>
          <w:spacing w:val="2"/>
        </w:rPr>
        <w:t>una </w:t>
      </w:r>
      <w:r>
        <w:rPr>
          <w:color w:val="231F20"/>
        </w:rPr>
        <w:t>de las </w:t>
      </w:r>
      <w:r>
        <w:rPr>
          <w:color w:val="231F20"/>
          <w:spacing w:val="2"/>
        </w:rPr>
        <w:t>instituciones más relevantes </w:t>
      </w:r>
      <w:r>
        <w:rPr>
          <w:color w:val="231F20"/>
        </w:rPr>
        <w:t>de la </w:t>
      </w:r>
      <w:r>
        <w:rPr>
          <w:color w:val="231F20"/>
          <w:spacing w:val="2"/>
        </w:rPr>
        <w:t>entidad, está  </w:t>
      </w:r>
      <w:r>
        <w:rPr>
          <w:color w:val="231F20"/>
          <w:spacing w:val="13"/>
        </w:rPr>
        <w:t> </w:t>
      </w:r>
      <w:r>
        <w:rPr>
          <w:color w:val="231F20"/>
          <w:spacing w:val="3"/>
        </w:rPr>
        <w:t>acompa-</w:t>
      </w:r>
    </w:p>
    <w:p>
      <w:pPr>
        <w:spacing w:after="0" w:line="247" w:lineRule="auto"/>
        <w:jc w:val="both"/>
        <w:sectPr>
          <w:headerReference w:type="default" r:id="rId56"/>
          <w:footerReference w:type="default" r:id="rId57"/>
          <w:pgSz w:w="7830" w:h="11910"/>
          <w:pgMar w:header="0" w:footer="424" w:top="500" w:bottom="620" w:left="740" w:right="1020"/>
          <w:pgNumType w:start="22"/>
        </w:sectPr>
      </w:pPr>
    </w:p>
    <w:p>
      <w:pPr>
        <w:spacing w:before="46"/>
        <w:ind w:left="1502" w:right="148"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line="247" w:lineRule="auto" w:before="108"/>
        <w:ind w:left="112" w:right="115"/>
        <w:jc w:val="both"/>
      </w:pPr>
      <w:r>
        <w:rPr>
          <w:color w:val="231F20"/>
        </w:rPr>
        <w:t>ñada de una forma particular de violencia (colectiva y política), sin dejar de lado la violencia de expresiones individuales.</w:t>
      </w:r>
    </w:p>
    <w:p>
      <w:pPr>
        <w:pStyle w:val="BodyText"/>
        <w:spacing w:before="6"/>
        <w:rPr>
          <w:sz w:val="20"/>
        </w:rPr>
      </w:pPr>
    </w:p>
    <w:p>
      <w:pPr>
        <w:pStyle w:val="ListParagraph"/>
        <w:numPr>
          <w:ilvl w:val="0"/>
          <w:numId w:val="1"/>
        </w:numPr>
        <w:tabs>
          <w:tab w:pos="462" w:val="left" w:leader="none"/>
        </w:tabs>
        <w:spacing w:line="247" w:lineRule="auto" w:before="0" w:after="0"/>
        <w:ind w:left="112" w:right="108" w:firstLine="0"/>
        <w:jc w:val="both"/>
        <w:rPr>
          <w:color w:val="231F20"/>
          <w:sz w:val="21"/>
        </w:rPr>
      </w:pPr>
      <w:r>
        <w:rPr>
          <w:color w:val="231F20"/>
          <w:sz w:val="21"/>
        </w:rPr>
        <w:t>Estudio comparativo de la percepción de los adolescentes de educación media superior acerca de problemas de convivencia entre maestros y alumnos: implicaciones en la prevención de la violen- cia,de Azucena Ochoa Cervantes y Evelyn Diez-Martínez, quienes son integrantes del cuerpo académico de Procesos y Prácticas Edu- cativas (en formación), de la Facultad de Psicología de la Universi- dad Autónoma de Querétaro, y de la Red de Cuerpos Académicos    en Política, Educación y</w:t>
      </w:r>
      <w:r>
        <w:rPr>
          <w:color w:val="231F20"/>
          <w:spacing w:val="-10"/>
          <w:sz w:val="21"/>
        </w:rPr>
        <w:t> </w:t>
      </w:r>
      <w:r>
        <w:rPr>
          <w:color w:val="231F20"/>
          <w:sz w:val="21"/>
        </w:rPr>
        <w:t>Universidad.</w:t>
      </w:r>
    </w:p>
    <w:p>
      <w:pPr>
        <w:pStyle w:val="BodyText"/>
        <w:spacing w:line="247" w:lineRule="auto" w:before="15"/>
        <w:ind w:left="112" w:right="108" w:firstLine="284"/>
        <w:jc w:val="both"/>
      </w:pPr>
      <w:r>
        <w:rPr>
          <w:color w:val="231F20"/>
        </w:rPr>
        <w:t>Las autoras proponen conocer las percepciones que tienen los estudiantes de educación media superior de México y España, cuando las relaciones de convivencia se institucionalizan a partir de las normas implícitas o explícitas, lo cual puede producir alteracio- nes en la convivencia escolar. De ese modo se realizó un estudio exploratorio que se centró en las situaciones en las interacciones maestro-alumno, que generan una convivencia escolar inadecuada.</w:t>
      </w:r>
    </w:p>
    <w:p>
      <w:pPr>
        <w:pStyle w:val="BodyText"/>
        <w:spacing w:line="249" w:lineRule="auto" w:before="1"/>
        <w:ind w:left="112" w:right="107" w:firstLine="284"/>
        <w:jc w:val="both"/>
      </w:pPr>
      <w:r>
        <w:rPr>
          <w:color w:val="231F20"/>
          <w:spacing w:val="2"/>
        </w:rPr>
        <w:t>Para </w:t>
      </w:r>
      <w:r>
        <w:rPr>
          <w:color w:val="231F20"/>
        </w:rPr>
        <w:t>ello se </w:t>
      </w:r>
      <w:r>
        <w:rPr>
          <w:color w:val="231F20"/>
          <w:spacing w:val="2"/>
        </w:rPr>
        <w:t>realizó una entrevista </w:t>
      </w:r>
      <w:r>
        <w:rPr>
          <w:color w:val="231F20"/>
        </w:rPr>
        <w:t>a 50 </w:t>
      </w:r>
      <w:r>
        <w:rPr>
          <w:color w:val="231F20"/>
          <w:spacing w:val="2"/>
        </w:rPr>
        <w:t>adolescentes </w:t>
      </w:r>
      <w:r>
        <w:rPr>
          <w:color w:val="231F20"/>
        </w:rPr>
        <w:t>de </w:t>
      </w:r>
      <w:r>
        <w:rPr>
          <w:color w:val="231F20"/>
          <w:spacing w:val="3"/>
        </w:rPr>
        <w:t>bachille- </w:t>
      </w:r>
      <w:r>
        <w:rPr>
          <w:color w:val="231F20"/>
          <w:spacing w:val="2"/>
        </w:rPr>
        <w:t>rato </w:t>
      </w:r>
      <w:r>
        <w:rPr>
          <w:color w:val="231F20"/>
        </w:rPr>
        <w:t>de la </w:t>
      </w:r>
      <w:r>
        <w:rPr>
          <w:color w:val="231F20"/>
          <w:spacing w:val="3"/>
        </w:rPr>
        <w:t>provincia </w:t>
      </w:r>
      <w:r>
        <w:rPr>
          <w:color w:val="231F20"/>
        </w:rPr>
        <w:t>de </w:t>
      </w:r>
      <w:r>
        <w:rPr>
          <w:color w:val="231F20"/>
          <w:spacing w:val="2"/>
        </w:rPr>
        <w:t>Alicante </w:t>
      </w:r>
      <w:r>
        <w:rPr>
          <w:color w:val="231F20"/>
          <w:spacing w:val="3"/>
        </w:rPr>
        <w:t>(España), </w:t>
      </w:r>
      <w:r>
        <w:rPr>
          <w:color w:val="231F20"/>
        </w:rPr>
        <w:t>y se </w:t>
      </w:r>
      <w:r>
        <w:rPr>
          <w:color w:val="231F20"/>
          <w:spacing w:val="2"/>
        </w:rPr>
        <w:t>aplicó una </w:t>
      </w:r>
      <w:r>
        <w:rPr>
          <w:color w:val="231F20"/>
          <w:spacing w:val="3"/>
        </w:rPr>
        <w:t>tarea </w:t>
      </w:r>
      <w:r>
        <w:rPr>
          <w:color w:val="231F20"/>
          <w:spacing w:val="2"/>
        </w:rPr>
        <w:t>escrita </w:t>
      </w:r>
      <w:r>
        <w:rPr>
          <w:color w:val="231F20"/>
        </w:rPr>
        <w:t>a 50 </w:t>
      </w:r>
      <w:r>
        <w:rPr>
          <w:color w:val="231F20"/>
          <w:spacing w:val="2"/>
        </w:rPr>
        <w:t>estudiantes </w:t>
      </w:r>
      <w:r>
        <w:rPr>
          <w:color w:val="231F20"/>
        </w:rPr>
        <w:t>de </w:t>
      </w:r>
      <w:r>
        <w:rPr>
          <w:color w:val="231F20"/>
          <w:spacing w:val="2"/>
        </w:rPr>
        <w:t>bachillerato </w:t>
      </w:r>
      <w:r>
        <w:rPr>
          <w:color w:val="231F20"/>
        </w:rPr>
        <w:t>de la </w:t>
      </w:r>
      <w:r>
        <w:rPr>
          <w:color w:val="231F20"/>
          <w:spacing w:val="2"/>
        </w:rPr>
        <w:t>ciudad </w:t>
      </w:r>
      <w:r>
        <w:rPr>
          <w:color w:val="231F20"/>
        </w:rPr>
        <w:t>de </w:t>
      </w:r>
      <w:r>
        <w:rPr>
          <w:color w:val="231F20"/>
          <w:spacing w:val="3"/>
        </w:rPr>
        <w:t>Querétaro </w:t>
      </w:r>
      <w:r>
        <w:rPr>
          <w:color w:val="231F20"/>
          <w:spacing w:val="2"/>
        </w:rPr>
        <w:t>(México). Los resultados </w:t>
      </w:r>
      <w:r>
        <w:rPr>
          <w:color w:val="231F20"/>
          <w:spacing w:val="3"/>
        </w:rPr>
        <w:t>obtenidos </w:t>
      </w:r>
      <w:r>
        <w:rPr>
          <w:color w:val="231F20"/>
          <w:spacing w:val="2"/>
        </w:rPr>
        <w:t>indican que para estos </w:t>
      </w:r>
      <w:r>
        <w:rPr>
          <w:color w:val="231F20"/>
          <w:spacing w:val="3"/>
        </w:rPr>
        <w:t>estu- </w:t>
      </w:r>
      <w:r>
        <w:rPr>
          <w:color w:val="231F20"/>
          <w:spacing w:val="2"/>
        </w:rPr>
        <w:t>diantes los factores asociados </w:t>
      </w:r>
      <w:r>
        <w:rPr>
          <w:color w:val="231F20"/>
        </w:rPr>
        <w:t>a la </w:t>
      </w:r>
      <w:r>
        <w:rPr>
          <w:color w:val="231F20"/>
          <w:spacing w:val="2"/>
        </w:rPr>
        <w:t>relación </w:t>
      </w:r>
      <w:r>
        <w:rPr>
          <w:color w:val="231F20"/>
          <w:spacing w:val="3"/>
        </w:rPr>
        <w:t>maestro-alumno son  </w:t>
      </w:r>
      <w:r>
        <w:rPr>
          <w:color w:val="231F20"/>
          <w:spacing w:val="2"/>
        </w:rPr>
        <w:t>más significativos para que </w:t>
      </w:r>
      <w:r>
        <w:rPr>
          <w:color w:val="231F20"/>
        </w:rPr>
        <w:t>se </w:t>
      </w:r>
      <w:r>
        <w:rPr>
          <w:color w:val="231F20"/>
          <w:spacing w:val="2"/>
        </w:rPr>
        <w:t>presenten situaciones que alteran </w:t>
      </w:r>
      <w:r>
        <w:rPr>
          <w:color w:val="231F20"/>
        </w:rPr>
        <w:t>la </w:t>
      </w:r>
      <w:r>
        <w:rPr>
          <w:color w:val="231F20"/>
          <w:spacing w:val="2"/>
        </w:rPr>
        <w:t>convivencia escolar; </w:t>
      </w:r>
      <w:r>
        <w:rPr>
          <w:color w:val="231F20"/>
        </w:rPr>
        <w:t>al </w:t>
      </w:r>
      <w:r>
        <w:rPr>
          <w:color w:val="231F20"/>
          <w:spacing w:val="3"/>
        </w:rPr>
        <w:t>comparar </w:t>
      </w:r>
      <w:r>
        <w:rPr>
          <w:color w:val="231F20"/>
          <w:spacing w:val="2"/>
        </w:rPr>
        <w:t>los grupos </w:t>
      </w:r>
      <w:r>
        <w:rPr>
          <w:color w:val="231F20"/>
        </w:rPr>
        <w:t>de </w:t>
      </w:r>
      <w:r>
        <w:rPr>
          <w:color w:val="231F20"/>
          <w:spacing w:val="2"/>
        </w:rPr>
        <w:t>estudiantes </w:t>
      </w:r>
      <w:r>
        <w:rPr>
          <w:color w:val="231F20"/>
        </w:rPr>
        <w:t>no se </w:t>
      </w:r>
      <w:r>
        <w:rPr>
          <w:color w:val="231F20"/>
          <w:spacing w:val="3"/>
        </w:rPr>
        <w:t>encontraron </w:t>
      </w:r>
      <w:r>
        <w:rPr>
          <w:color w:val="231F20"/>
          <w:spacing w:val="2"/>
        </w:rPr>
        <w:t>diferencias significativas respecto </w:t>
      </w:r>
      <w:r>
        <w:rPr>
          <w:color w:val="231F20"/>
        </w:rPr>
        <w:t>al </w:t>
      </w:r>
      <w:r>
        <w:rPr>
          <w:color w:val="231F20"/>
          <w:spacing w:val="2"/>
        </w:rPr>
        <w:t>bagaje cultural </w:t>
      </w:r>
      <w:r>
        <w:rPr>
          <w:color w:val="231F20"/>
        </w:rPr>
        <w:t>de </w:t>
      </w:r>
      <w:r>
        <w:rPr>
          <w:color w:val="231F20"/>
          <w:spacing w:val="2"/>
        </w:rPr>
        <w:t>los sujetos, </w:t>
      </w:r>
      <w:r>
        <w:rPr>
          <w:color w:val="231F20"/>
        </w:rPr>
        <w:t>ni a </w:t>
      </w:r>
      <w:r>
        <w:rPr>
          <w:color w:val="231F20"/>
          <w:spacing w:val="2"/>
        </w:rPr>
        <w:t>prácticas específicas utilizadas </w:t>
      </w:r>
      <w:r>
        <w:rPr>
          <w:color w:val="231F20"/>
        </w:rPr>
        <w:t>en </w:t>
      </w:r>
      <w:r>
        <w:rPr>
          <w:color w:val="231F20"/>
          <w:spacing w:val="3"/>
        </w:rPr>
        <w:t>ambientes esco- </w:t>
      </w:r>
      <w:r>
        <w:rPr>
          <w:color w:val="231F20"/>
          <w:spacing w:val="2"/>
        </w:rPr>
        <w:t>lares </w:t>
      </w:r>
      <w:r>
        <w:rPr>
          <w:color w:val="231F20"/>
        </w:rPr>
        <w:t>de </w:t>
      </w:r>
      <w:r>
        <w:rPr>
          <w:color w:val="231F20"/>
          <w:spacing w:val="3"/>
        </w:rPr>
        <w:t>ambos</w:t>
      </w:r>
      <w:r>
        <w:rPr>
          <w:color w:val="231F20"/>
          <w:spacing w:val="-8"/>
        </w:rPr>
        <w:t> </w:t>
      </w:r>
      <w:r>
        <w:rPr>
          <w:color w:val="231F20"/>
          <w:spacing w:val="2"/>
        </w:rPr>
        <w:t>países.</w:t>
      </w:r>
    </w:p>
    <w:p>
      <w:pPr>
        <w:pStyle w:val="BodyText"/>
        <w:spacing w:before="4"/>
        <w:rPr>
          <w:sz w:val="20"/>
        </w:rPr>
      </w:pPr>
    </w:p>
    <w:p>
      <w:pPr>
        <w:pStyle w:val="ListParagraph"/>
        <w:numPr>
          <w:ilvl w:val="0"/>
          <w:numId w:val="1"/>
        </w:numPr>
        <w:tabs>
          <w:tab w:pos="426" w:val="left" w:leader="none"/>
        </w:tabs>
        <w:spacing w:line="247" w:lineRule="auto" w:before="0" w:after="0"/>
        <w:ind w:left="112" w:right="105" w:firstLine="0"/>
        <w:jc w:val="both"/>
        <w:rPr>
          <w:color w:val="231F20"/>
          <w:sz w:val="21"/>
        </w:rPr>
      </w:pPr>
      <w:r>
        <w:rPr>
          <w:i/>
          <w:color w:val="231F20"/>
          <w:sz w:val="21"/>
        </w:rPr>
        <w:t>Mobbing</w:t>
      </w:r>
      <w:r>
        <w:rPr>
          <w:i/>
          <w:color w:val="231F20"/>
          <w:spacing w:val="-5"/>
          <w:sz w:val="21"/>
        </w:rPr>
        <w:t> </w:t>
      </w:r>
      <w:r>
        <w:rPr>
          <w:color w:val="231F20"/>
          <w:sz w:val="21"/>
        </w:rPr>
        <w:t>o</w:t>
      </w:r>
      <w:r>
        <w:rPr>
          <w:color w:val="231F20"/>
          <w:spacing w:val="-4"/>
          <w:sz w:val="21"/>
        </w:rPr>
        <w:t> </w:t>
      </w:r>
      <w:r>
        <w:rPr>
          <w:color w:val="231F20"/>
          <w:sz w:val="21"/>
        </w:rPr>
        <w:t>acoso</w:t>
      </w:r>
      <w:r>
        <w:rPr>
          <w:color w:val="231F20"/>
          <w:spacing w:val="-4"/>
          <w:sz w:val="21"/>
        </w:rPr>
        <w:t> </w:t>
      </w:r>
      <w:r>
        <w:rPr>
          <w:color w:val="231F20"/>
          <w:sz w:val="21"/>
        </w:rPr>
        <w:t>psicológico</w:t>
      </w:r>
      <w:r>
        <w:rPr>
          <w:color w:val="231F20"/>
          <w:spacing w:val="-4"/>
          <w:sz w:val="21"/>
        </w:rPr>
        <w:t> </w:t>
      </w:r>
      <w:r>
        <w:rPr>
          <w:color w:val="231F20"/>
          <w:sz w:val="21"/>
        </w:rPr>
        <w:t>en</w:t>
      </w:r>
      <w:r>
        <w:rPr>
          <w:color w:val="231F20"/>
          <w:spacing w:val="-4"/>
          <w:sz w:val="21"/>
        </w:rPr>
        <w:t> </w:t>
      </w:r>
      <w:r>
        <w:rPr>
          <w:color w:val="231F20"/>
          <w:sz w:val="21"/>
        </w:rPr>
        <w:t>el</w:t>
      </w:r>
      <w:r>
        <w:rPr>
          <w:color w:val="231F20"/>
          <w:spacing w:val="-5"/>
          <w:sz w:val="21"/>
        </w:rPr>
        <w:t> </w:t>
      </w:r>
      <w:r>
        <w:rPr>
          <w:color w:val="231F20"/>
          <w:sz w:val="21"/>
        </w:rPr>
        <w:t>trabajo</w:t>
      </w:r>
      <w:r>
        <w:rPr>
          <w:color w:val="231F20"/>
          <w:spacing w:val="-4"/>
          <w:sz w:val="21"/>
        </w:rPr>
        <w:t> </w:t>
      </w:r>
      <w:r>
        <w:rPr>
          <w:color w:val="231F20"/>
          <w:sz w:val="21"/>
        </w:rPr>
        <w:t>en</w:t>
      </w:r>
      <w:r>
        <w:rPr>
          <w:color w:val="231F20"/>
          <w:spacing w:val="-4"/>
          <w:sz w:val="21"/>
        </w:rPr>
        <w:t> </w:t>
      </w:r>
      <w:r>
        <w:rPr>
          <w:color w:val="231F20"/>
          <w:sz w:val="21"/>
        </w:rPr>
        <w:t>docentes</w:t>
      </w:r>
      <w:r>
        <w:rPr>
          <w:color w:val="231F20"/>
          <w:spacing w:val="-5"/>
          <w:sz w:val="21"/>
        </w:rPr>
        <w:t> </w:t>
      </w:r>
      <w:r>
        <w:rPr>
          <w:color w:val="231F20"/>
          <w:sz w:val="21"/>
        </w:rPr>
        <w:t>universita- rios de México, de Irma Guadalupe González Corzo, integrante del cuerpo académico consolidado Cultura y Educación: Devenir y Actualidad de la UAEM, e integrante de la Red de Cuerpos Acadé- micos en Política, Educación y</w:t>
      </w:r>
      <w:r>
        <w:rPr>
          <w:color w:val="231F20"/>
          <w:spacing w:val="-14"/>
          <w:sz w:val="21"/>
        </w:rPr>
        <w:t> </w:t>
      </w:r>
      <w:r>
        <w:rPr>
          <w:color w:val="231F20"/>
          <w:sz w:val="21"/>
        </w:rPr>
        <w:t>Universidad.</w:t>
      </w:r>
    </w:p>
    <w:p>
      <w:pPr>
        <w:pStyle w:val="BodyText"/>
        <w:spacing w:line="249" w:lineRule="auto" w:before="10"/>
        <w:ind w:left="112" w:right="108" w:firstLine="284"/>
        <w:jc w:val="both"/>
      </w:pPr>
      <w:r>
        <w:rPr>
          <w:color w:val="231F20"/>
          <w:spacing w:val="2"/>
        </w:rPr>
        <w:t>González examina </w:t>
      </w:r>
      <w:r>
        <w:rPr>
          <w:color w:val="231F20"/>
        </w:rPr>
        <w:t>la </w:t>
      </w:r>
      <w:r>
        <w:rPr>
          <w:color w:val="231F20"/>
          <w:spacing w:val="2"/>
        </w:rPr>
        <w:t>manera </w:t>
      </w:r>
      <w:r>
        <w:rPr>
          <w:color w:val="231F20"/>
        </w:rPr>
        <w:t>en </w:t>
      </w:r>
      <w:r>
        <w:rPr>
          <w:color w:val="231F20"/>
          <w:spacing w:val="2"/>
        </w:rPr>
        <w:t>que </w:t>
      </w:r>
      <w:r>
        <w:rPr>
          <w:color w:val="231F20"/>
        </w:rPr>
        <w:t>se </w:t>
      </w:r>
      <w:r>
        <w:rPr>
          <w:color w:val="231F20"/>
          <w:spacing w:val="2"/>
        </w:rPr>
        <w:t>concreta </w:t>
      </w:r>
      <w:r>
        <w:rPr>
          <w:color w:val="231F20"/>
        </w:rPr>
        <w:t>el </w:t>
      </w:r>
      <w:r>
        <w:rPr>
          <w:color w:val="231F20"/>
          <w:spacing w:val="2"/>
        </w:rPr>
        <w:t>llamado </w:t>
      </w:r>
      <w:r>
        <w:rPr>
          <w:i/>
          <w:color w:val="231F20"/>
          <w:spacing w:val="3"/>
        </w:rPr>
        <w:t>mo- </w:t>
      </w:r>
      <w:r>
        <w:rPr>
          <w:i/>
          <w:color w:val="231F20"/>
          <w:spacing w:val="2"/>
        </w:rPr>
        <w:t>bbing </w:t>
      </w:r>
      <w:r>
        <w:rPr>
          <w:color w:val="231F20"/>
        </w:rPr>
        <w:t>o </w:t>
      </w:r>
      <w:r>
        <w:rPr>
          <w:color w:val="231F20"/>
          <w:spacing w:val="2"/>
        </w:rPr>
        <w:t>acoso psicológico </w:t>
      </w:r>
      <w:r>
        <w:rPr>
          <w:color w:val="231F20"/>
        </w:rPr>
        <w:t>en el </w:t>
      </w:r>
      <w:r>
        <w:rPr>
          <w:color w:val="231F20"/>
          <w:spacing w:val="2"/>
        </w:rPr>
        <w:t>trabajo </w:t>
      </w:r>
      <w:r>
        <w:rPr>
          <w:color w:val="231F20"/>
        </w:rPr>
        <w:t>de </w:t>
      </w:r>
      <w:r>
        <w:rPr>
          <w:color w:val="231F20"/>
          <w:spacing w:val="2"/>
        </w:rPr>
        <w:t>docentes universitarios,  </w:t>
      </w:r>
      <w:r>
        <w:rPr>
          <w:color w:val="231F20"/>
        </w:rPr>
        <w:t>el </w:t>
      </w:r>
      <w:r>
        <w:rPr>
          <w:color w:val="231F20"/>
          <w:spacing w:val="2"/>
        </w:rPr>
        <w:t>cual adquiere </w:t>
      </w:r>
      <w:r>
        <w:rPr>
          <w:color w:val="231F20"/>
        </w:rPr>
        <w:t>la </w:t>
      </w:r>
      <w:r>
        <w:rPr>
          <w:color w:val="231F20"/>
          <w:spacing w:val="3"/>
        </w:rPr>
        <w:t>forma </w:t>
      </w:r>
      <w:r>
        <w:rPr>
          <w:color w:val="231F20"/>
        </w:rPr>
        <w:t>de </w:t>
      </w:r>
      <w:r>
        <w:rPr>
          <w:color w:val="231F20"/>
          <w:spacing w:val="3"/>
        </w:rPr>
        <w:t>“marginación” </w:t>
      </w:r>
      <w:r>
        <w:rPr>
          <w:color w:val="231F20"/>
          <w:spacing w:val="2"/>
        </w:rPr>
        <w:t>expresa </w:t>
      </w:r>
      <w:r>
        <w:rPr>
          <w:color w:val="231F20"/>
        </w:rPr>
        <w:t>en </w:t>
      </w:r>
      <w:r>
        <w:rPr>
          <w:color w:val="231F20"/>
          <w:spacing w:val="2"/>
        </w:rPr>
        <w:t>actitudes </w:t>
      </w:r>
      <w:r>
        <w:rPr>
          <w:color w:val="231F20"/>
        </w:rPr>
        <w:t>–o </w:t>
      </w:r>
      <w:r>
        <w:rPr>
          <w:color w:val="231F20"/>
          <w:spacing w:val="3"/>
        </w:rPr>
        <w:t>comportamientos </w:t>
      </w:r>
      <w:r>
        <w:rPr>
          <w:color w:val="231F20"/>
          <w:spacing w:val="2"/>
        </w:rPr>
        <w:t>violentos– cuyo </w:t>
      </w:r>
      <w:r>
        <w:rPr>
          <w:color w:val="231F20"/>
          <w:spacing w:val="3"/>
        </w:rPr>
        <w:t>propósito </w:t>
      </w:r>
      <w:r>
        <w:rPr>
          <w:color w:val="231F20"/>
        </w:rPr>
        <w:t>es la </w:t>
      </w:r>
      <w:r>
        <w:rPr>
          <w:color w:val="231F20"/>
          <w:spacing w:val="2"/>
        </w:rPr>
        <w:t>aniquilación </w:t>
      </w:r>
      <w:r>
        <w:rPr>
          <w:color w:val="231F20"/>
        </w:rPr>
        <w:t>o </w:t>
      </w:r>
      <w:r>
        <w:rPr>
          <w:color w:val="231F20"/>
          <w:spacing w:val="2"/>
        </w:rPr>
        <w:t>destrucción psicológica para expulsar </w:t>
      </w:r>
      <w:r>
        <w:rPr>
          <w:color w:val="231F20"/>
        </w:rPr>
        <w:t>a </w:t>
      </w:r>
      <w:r>
        <w:rPr>
          <w:color w:val="231F20"/>
          <w:spacing w:val="2"/>
        </w:rPr>
        <w:t>alguien del trabajo; </w:t>
      </w:r>
      <w:r>
        <w:rPr>
          <w:color w:val="231F20"/>
        </w:rPr>
        <w:t>de  </w:t>
      </w:r>
      <w:r>
        <w:rPr>
          <w:color w:val="231F20"/>
          <w:spacing w:val="40"/>
        </w:rPr>
        <w:t> </w:t>
      </w:r>
      <w:r>
        <w:rPr>
          <w:color w:val="231F20"/>
        </w:rPr>
        <w:t>ese</w:t>
      </w:r>
    </w:p>
    <w:p>
      <w:pPr>
        <w:spacing w:after="0" w:line="249" w:lineRule="auto"/>
        <w:jc w:val="both"/>
        <w:sectPr>
          <w:headerReference w:type="default" r:id="rId58"/>
          <w:footerReference w:type="default" r:id="rId59"/>
          <w:pgSz w:w="7830" w:h="11910"/>
          <w:pgMar w:header="0" w:footer="424" w:top="500" w:bottom="620" w:left="1020" w:right="740"/>
          <w:pgNumType w:start="23"/>
        </w:sectPr>
      </w:pPr>
    </w:p>
    <w:p>
      <w:pPr>
        <w:spacing w:before="46"/>
        <w:ind w:left="632" w:right="148"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10"/>
        <w:rPr>
          <w:sz w:val="16"/>
        </w:rPr>
      </w:pPr>
    </w:p>
    <w:p>
      <w:pPr>
        <w:pStyle w:val="BodyText"/>
        <w:spacing w:line="247" w:lineRule="auto" w:before="1"/>
        <w:ind w:left="109" w:right="111"/>
        <w:jc w:val="both"/>
      </w:pPr>
      <w:r>
        <w:rPr>
          <w:color w:val="231F20"/>
        </w:rPr>
        <w:t>modo el </w:t>
      </w:r>
      <w:r>
        <w:rPr>
          <w:i/>
          <w:color w:val="231F20"/>
        </w:rPr>
        <w:t>mobbing </w:t>
      </w:r>
      <w:r>
        <w:rPr>
          <w:color w:val="231F20"/>
        </w:rPr>
        <w:t>puede entenderse como un conflicto psicológico, pues una de las partes del mismo es ignorado o excluido. Para el estudio se emplearon el Inventario de Violencia y Acoso Psicoló- gico en el trabajo (IVAPT-PANDO, 2006) y una cédula de datos sociodemográficos y laborales.</w:t>
      </w:r>
    </w:p>
    <w:p>
      <w:pPr>
        <w:pStyle w:val="BodyText"/>
        <w:spacing w:line="249" w:lineRule="auto" w:before="1"/>
        <w:ind w:left="109" w:right="110" w:firstLine="284"/>
      </w:pPr>
      <w:r>
        <w:rPr>
          <w:color w:val="231F20"/>
          <w:spacing w:val="3"/>
        </w:rPr>
        <w:t>Finalmente, </w:t>
      </w:r>
      <w:r>
        <w:rPr>
          <w:color w:val="231F20"/>
        </w:rPr>
        <w:t>se </w:t>
      </w:r>
      <w:r>
        <w:rPr>
          <w:color w:val="231F20"/>
          <w:spacing w:val="2"/>
        </w:rPr>
        <w:t>agradece </w:t>
      </w:r>
      <w:r>
        <w:rPr>
          <w:color w:val="231F20"/>
        </w:rPr>
        <w:t>a la </w:t>
      </w:r>
      <w:r>
        <w:rPr>
          <w:color w:val="231F20"/>
          <w:spacing w:val="2"/>
        </w:rPr>
        <w:t>Universidad </w:t>
      </w:r>
      <w:r>
        <w:rPr>
          <w:color w:val="231F20"/>
          <w:spacing w:val="3"/>
        </w:rPr>
        <w:t>Autónoma </w:t>
      </w:r>
      <w:r>
        <w:rPr>
          <w:color w:val="231F20"/>
        </w:rPr>
        <w:t>del </w:t>
      </w:r>
      <w:r>
        <w:rPr>
          <w:color w:val="231F20"/>
          <w:spacing w:val="2"/>
        </w:rPr>
        <w:t>Estado </w:t>
      </w:r>
      <w:r>
        <w:rPr>
          <w:color w:val="231F20"/>
        </w:rPr>
        <w:t>de </w:t>
      </w:r>
      <w:r>
        <w:rPr>
          <w:color w:val="231F20"/>
          <w:spacing w:val="2"/>
        </w:rPr>
        <w:t>México </w:t>
      </w:r>
      <w:r>
        <w:rPr>
          <w:color w:val="231F20"/>
          <w:spacing w:val="3"/>
        </w:rPr>
        <w:t>UAEMex </w:t>
      </w:r>
      <w:r>
        <w:rPr>
          <w:color w:val="231F20"/>
          <w:spacing w:val="2"/>
        </w:rPr>
        <w:t>por </w:t>
      </w:r>
      <w:r>
        <w:rPr>
          <w:color w:val="231F20"/>
        </w:rPr>
        <w:t>su </w:t>
      </w:r>
      <w:r>
        <w:rPr>
          <w:color w:val="231F20"/>
          <w:spacing w:val="3"/>
        </w:rPr>
        <w:t>convocatoria </w:t>
      </w:r>
      <w:r>
        <w:rPr>
          <w:color w:val="231F20"/>
          <w:spacing w:val="2"/>
        </w:rPr>
        <w:t>para </w:t>
      </w:r>
      <w:r>
        <w:rPr>
          <w:color w:val="231F20"/>
          <w:spacing w:val="3"/>
        </w:rPr>
        <w:t>proyectos </w:t>
      </w:r>
      <w:r>
        <w:rPr>
          <w:color w:val="231F20"/>
        </w:rPr>
        <w:t>de </w:t>
      </w:r>
      <w:r>
        <w:rPr>
          <w:color w:val="231F20"/>
          <w:spacing w:val="4"/>
        </w:rPr>
        <w:t>RE- </w:t>
      </w:r>
      <w:r>
        <w:rPr>
          <w:color w:val="231F20"/>
          <w:spacing w:val="3"/>
        </w:rPr>
        <w:t>DES </w:t>
      </w:r>
      <w:r>
        <w:rPr>
          <w:color w:val="231F20"/>
        </w:rPr>
        <w:t>y </w:t>
      </w:r>
      <w:r>
        <w:rPr>
          <w:color w:val="231F20"/>
          <w:spacing w:val="2"/>
        </w:rPr>
        <w:t>por aceptar estos trabajos </w:t>
      </w:r>
      <w:r>
        <w:rPr>
          <w:color w:val="231F20"/>
        </w:rPr>
        <w:t>de </w:t>
      </w:r>
      <w:r>
        <w:rPr>
          <w:color w:val="231F20"/>
          <w:spacing w:val="2"/>
        </w:rPr>
        <w:t>investigación sobre </w:t>
      </w:r>
      <w:r>
        <w:rPr>
          <w:color w:val="231F20"/>
          <w:spacing w:val="3"/>
        </w:rPr>
        <w:t>Educación  </w:t>
      </w:r>
      <w:r>
        <w:rPr>
          <w:color w:val="231F20"/>
        </w:rPr>
        <w:t>y </w:t>
      </w:r>
      <w:r>
        <w:rPr>
          <w:color w:val="231F20"/>
          <w:spacing w:val="2"/>
        </w:rPr>
        <w:t>Violencia; </w:t>
      </w:r>
      <w:r>
        <w:rPr>
          <w:color w:val="231F20"/>
        </w:rPr>
        <w:t>y a la </w:t>
      </w:r>
      <w:r>
        <w:rPr>
          <w:color w:val="231F20"/>
          <w:spacing w:val="2"/>
        </w:rPr>
        <w:t>Universidad </w:t>
      </w:r>
      <w:r>
        <w:rPr>
          <w:color w:val="231F20"/>
          <w:spacing w:val="3"/>
        </w:rPr>
        <w:t>Autónoma </w:t>
      </w:r>
      <w:r>
        <w:rPr>
          <w:color w:val="231F20"/>
          <w:spacing w:val="2"/>
        </w:rPr>
        <w:t>del Estado </w:t>
      </w:r>
      <w:r>
        <w:rPr>
          <w:color w:val="231F20"/>
        </w:rPr>
        <w:t>de </w:t>
      </w:r>
      <w:r>
        <w:rPr>
          <w:color w:val="231F20"/>
          <w:spacing w:val="3"/>
        </w:rPr>
        <w:t>Morelos UAEM </w:t>
      </w:r>
      <w:r>
        <w:rPr>
          <w:color w:val="231F20"/>
          <w:spacing w:val="2"/>
        </w:rPr>
        <w:t>por </w:t>
      </w:r>
      <w:r>
        <w:rPr>
          <w:color w:val="231F20"/>
        </w:rPr>
        <w:t>el </w:t>
      </w:r>
      <w:r>
        <w:rPr>
          <w:color w:val="231F20"/>
          <w:spacing w:val="3"/>
        </w:rPr>
        <w:t>financiamientopara </w:t>
      </w:r>
      <w:r>
        <w:rPr>
          <w:color w:val="231F20"/>
        </w:rPr>
        <w:t>la </w:t>
      </w:r>
      <w:r>
        <w:rPr>
          <w:color w:val="231F20"/>
          <w:spacing w:val="2"/>
        </w:rPr>
        <w:t>publicación; </w:t>
      </w:r>
      <w:r>
        <w:rPr>
          <w:color w:val="231F20"/>
        </w:rPr>
        <w:t>a </w:t>
      </w:r>
      <w:r>
        <w:rPr>
          <w:color w:val="231F20"/>
          <w:spacing w:val="3"/>
        </w:rPr>
        <w:t>todos </w:t>
      </w:r>
      <w:r>
        <w:rPr>
          <w:color w:val="231F20"/>
          <w:spacing w:val="2"/>
        </w:rPr>
        <w:t>los </w:t>
      </w:r>
      <w:r>
        <w:rPr>
          <w:color w:val="231F20"/>
          <w:spacing w:val="3"/>
        </w:rPr>
        <w:t>com- pañeros </w:t>
      </w:r>
      <w:r>
        <w:rPr>
          <w:color w:val="231F20"/>
        </w:rPr>
        <w:t>de la </w:t>
      </w:r>
      <w:r>
        <w:rPr>
          <w:color w:val="231F20"/>
          <w:spacing w:val="2"/>
        </w:rPr>
        <w:t>RED </w:t>
      </w:r>
      <w:r>
        <w:rPr>
          <w:color w:val="231F20"/>
        </w:rPr>
        <w:t>de </w:t>
      </w:r>
      <w:r>
        <w:rPr>
          <w:color w:val="231F20"/>
          <w:spacing w:val="2"/>
        </w:rPr>
        <w:t>cuerpos académicos </w:t>
      </w:r>
      <w:r>
        <w:rPr>
          <w:color w:val="231F20"/>
        </w:rPr>
        <w:t>en </w:t>
      </w:r>
      <w:r>
        <w:rPr>
          <w:color w:val="231F20"/>
          <w:spacing w:val="2"/>
        </w:rPr>
        <w:t>Política, Educación    </w:t>
      </w:r>
      <w:r>
        <w:rPr>
          <w:color w:val="231F20"/>
        </w:rPr>
        <w:t>y </w:t>
      </w:r>
      <w:r>
        <w:rPr>
          <w:color w:val="231F20"/>
          <w:spacing w:val="3"/>
        </w:rPr>
        <w:t>Universidad </w:t>
      </w:r>
      <w:r>
        <w:rPr>
          <w:color w:val="231F20"/>
          <w:spacing w:val="2"/>
        </w:rPr>
        <w:t>por participar </w:t>
      </w:r>
      <w:r>
        <w:rPr>
          <w:color w:val="231F20"/>
        </w:rPr>
        <w:t>y </w:t>
      </w:r>
      <w:r>
        <w:rPr>
          <w:color w:val="231F20"/>
          <w:spacing w:val="2"/>
        </w:rPr>
        <w:t>trabajar </w:t>
      </w:r>
      <w:r>
        <w:rPr>
          <w:color w:val="231F20"/>
        </w:rPr>
        <w:t>en la </w:t>
      </w:r>
      <w:r>
        <w:rPr>
          <w:color w:val="231F20"/>
          <w:spacing w:val="2"/>
        </w:rPr>
        <w:t>investigación, </w:t>
      </w:r>
      <w:r>
        <w:rPr>
          <w:color w:val="231F20"/>
        </w:rPr>
        <w:t>y </w:t>
      </w:r>
      <w:r>
        <w:rPr>
          <w:color w:val="231F20"/>
          <w:spacing w:val="2"/>
        </w:rPr>
        <w:t>por aceptar los </w:t>
      </w:r>
      <w:r>
        <w:rPr>
          <w:color w:val="231F20"/>
          <w:spacing w:val="3"/>
        </w:rPr>
        <w:t>comentarios </w:t>
      </w:r>
      <w:r>
        <w:rPr>
          <w:color w:val="231F20"/>
        </w:rPr>
        <w:t>y </w:t>
      </w:r>
      <w:r>
        <w:rPr>
          <w:color w:val="231F20"/>
          <w:spacing w:val="2"/>
        </w:rPr>
        <w:t>críticas </w:t>
      </w:r>
      <w:r>
        <w:rPr>
          <w:color w:val="231F20"/>
        </w:rPr>
        <w:t>en </w:t>
      </w:r>
      <w:r>
        <w:rPr>
          <w:color w:val="231F20"/>
          <w:spacing w:val="2"/>
        </w:rPr>
        <w:t>los dos Seminarios Nacionales </w:t>
      </w:r>
      <w:r>
        <w:rPr>
          <w:color w:val="231F20"/>
        </w:rPr>
        <w:t>de </w:t>
      </w:r>
      <w:r>
        <w:rPr>
          <w:color w:val="231F20"/>
          <w:spacing w:val="2"/>
        </w:rPr>
        <w:t>Políticas Educativas Universitarias: </w:t>
      </w:r>
      <w:r>
        <w:rPr>
          <w:color w:val="231F20"/>
          <w:spacing w:val="3"/>
        </w:rPr>
        <w:t>Educación </w:t>
      </w:r>
      <w:r>
        <w:rPr>
          <w:color w:val="231F20"/>
        </w:rPr>
        <w:t>y </w:t>
      </w:r>
      <w:r>
        <w:rPr>
          <w:color w:val="231F20"/>
          <w:spacing w:val="2"/>
        </w:rPr>
        <w:t>Violencia </w:t>
      </w:r>
      <w:r>
        <w:rPr>
          <w:color w:val="231F20"/>
        </w:rPr>
        <w:t>de la </w:t>
      </w:r>
      <w:r>
        <w:rPr>
          <w:color w:val="231F20"/>
          <w:spacing w:val="3"/>
        </w:rPr>
        <w:t>RED, </w:t>
      </w:r>
      <w:r>
        <w:rPr>
          <w:color w:val="231F20"/>
          <w:spacing w:val="2"/>
        </w:rPr>
        <w:t>realizados </w:t>
      </w:r>
      <w:r>
        <w:rPr>
          <w:color w:val="231F20"/>
        </w:rPr>
        <w:t>en </w:t>
      </w:r>
      <w:r>
        <w:rPr>
          <w:color w:val="231F20"/>
          <w:spacing w:val="2"/>
        </w:rPr>
        <w:t>Querétaro </w:t>
      </w:r>
      <w:r>
        <w:rPr>
          <w:color w:val="231F20"/>
        </w:rPr>
        <w:t>y en </w:t>
      </w:r>
      <w:r>
        <w:rPr>
          <w:color w:val="231F20"/>
          <w:spacing w:val="2"/>
        </w:rPr>
        <w:t>Oaxaca respectivamente, </w:t>
      </w:r>
      <w:r>
        <w:rPr>
          <w:color w:val="231F20"/>
          <w:spacing w:val="4"/>
        </w:rPr>
        <w:t>don  </w:t>
      </w:r>
      <w:r>
        <w:rPr>
          <w:color w:val="231F20"/>
        </w:rPr>
        <w:t>de </w:t>
      </w:r>
      <w:r>
        <w:rPr>
          <w:color w:val="231F20"/>
          <w:spacing w:val="3"/>
        </w:rPr>
        <w:t>presentamos </w:t>
      </w:r>
      <w:r>
        <w:rPr>
          <w:color w:val="231F20"/>
          <w:spacing w:val="2"/>
        </w:rPr>
        <w:t>los avances </w:t>
      </w:r>
      <w:r>
        <w:rPr>
          <w:color w:val="231F20"/>
        </w:rPr>
        <w:t>y </w:t>
      </w:r>
      <w:r>
        <w:rPr>
          <w:color w:val="231F20"/>
          <w:spacing w:val="2"/>
        </w:rPr>
        <w:t>resultados </w:t>
      </w:r>
      <w:r>
        <w:rPr>
          <w:color w:val="231F20"/>
        </w:rPr>
        <w:t>ex </w:t>
      </w:r>
      <w:r>
        <w:rPr>
          <w:color w:val="231F20"/>
          <w:spacing w:val="3"/>
        </w:rPr>
        <w:t>profeso. También cabe </w:t>
      </w:r>
      <w:r>
        <w:rPr>
          <w:color w:val="231F20"/>
          <w:spacing w:val="2"/>
        </w:rPr>
        <w:t>agradecer </w:t>
      </w:r>
      <w:r>
        <w:rPr>
          <w:color w:val="231F20"/>
        </w:rPr>
        <w:t>a sus </w:t>
      </w:r>
      <w:r>
        <w:rPr>
          <w:color w:val="231F20"/>
          <w:spacing w:val="2"/>
        </w:rPr>
        <w:t>instituciones, UAQ </w:t>
      </w:r>
      <w:r>
        <w:rPr>
          <w:color w:val="231F20"/>
        </w:rPr>
        <w:t>y la </w:t>
      </w:r>
      <w:r>
        <w:rPr>
          <w:color w:val="231F20"/>
          <w:spacing w:val="2"/>
        </w:rPr>
        <w:t>Universidad </w:t>
      </w:r>
      <w:r>
        <w:rPr>
          <w:color w:val="231F20"/>
          <w:spacing w:val="3"/>
        </w:rPr>
        <w:t>Autónoma </w:t>
      </w:r>
      <w:r>
        <w:rPr>
          <w:color w:val="231F20"/>
          <w:spacing w:val="2"/>
        </w:rPr>
        <w:t>“Benito Juárez” </w:t>
      </w:r>
      <w:r>
        <w:rPr>
          <w:color w:val="231F20"/>
        </w:rPr>
        <w:t>de </w:t>
      </w:r>
      <w:r>
        <w:rPr>
          <w:color w:val="231F20"/>
          <w:spacing w:val="2"/>
        </w:rPr>
        <w:t>Oaxaca que fueron anfitriones  </w:t>
      </w:r>
      <w:r>
        <w:rPr>
          <w:color w:val="231F20"/>
        </w:rPr>
        <w:t>y  </w:t>
      </w:r>
      <w:r>
        <w:rPr>
          <w:color w:val="231F20"/>
          <w:spacing w:val="2"/>
        </w:rPr>
        <w:t>albergaron estas</w:t>
      </w:r>
      <w:r>
        <w:rPr>
          <w:color w:val="231F20"/>
          <w:spacing w:val="-15"/>
        </w:rPr>
        <w:t> </w:t>
      </w:r>
      <w:r>
        <w:rPr>
          <w:color w:val="231F20"/>
          <w:spacing w:val="2"/>
        </w:rPr>
        <w:t>discusiones.</w:t>
      </w:r>
    </w:p>
    <w:p>
      <w:pPr>
        <w:pStyle w:val="BodyText"/>
        <w:spacing w:before="2"/>
      </w:pPr>
    </w:p>
    <w:p>
      <w:pPr>
        <w:pStyle w:val="BodyText"/>
        <w:spacing w:line="309" w:lineRule="auto"/>
        <w:ind w:left="3131" w:right="114" w:firstLine="224"/>
        <w:jc w:val="right"/>
      </w:pPr>
      <w:r>
        <w:rPr>
          <w:color w:val="231F20"/>
        </w:rPr>
        <w:t>Rosa María Ramírez-Martínez</w:t>
      </w:r>
      <w:r>
        <w:rPr>
          <w:color w:val="231F20"/>
          <w:w w:val="99"/>
        </w:rPr>
        <w:t> </w:t>
      </w:r>
      <w:r>
        <w:rPr>
          <w:color w:val="231F20"/>
        </w:rPr>
        <w:t>Irma  Guadlupe González-Corzo</w:t>
      </w:r>
    </w:p>
    <w:p>
      <w:pPr>
        <w:pStyle w:val="BodyText"/>
        <w:spacing w:line="240" w:lineRule="exact"/>
        <w:ind w:right="111"/>
        <w:jc w:val="right"/>
      </w:pPr>
      <w:r>
        <w:rPr>
          <w:color w:val="231F20"/>
        </w:rPr>
        <w:t>Invierno 2011</w:t>
      </w:r>
    </w:p>
    <w:p>
      <w:pPr>
        <w:spacing w:after="0" w:line="240" w:lineRule="exact"/>
        <w:jc w:val="right"/>
        <w:sectPr>
          <w:headerReference w:type="default" r:id="rId60"/>
          <w:footerReference w:type="default" r:id="rId61"/>
          <w:pgSz w:w="7830" w:h="11910"/>
          <w:pgMar w:header="0" w:footer="424" w:top="500" w:bottom="620" w:left="740" w:right="1020"/>
          <w:pgNumType w:start="24"/>
        </w:sectPr>
      </w:pPr>
    </w:p>
    <w:p>
      <w:pPr>
        <w:pStyle w:val="Heading2"/>
        <w:spacing w:line="297" w:lineRule="auto" w:before="63"/>
        <w:ind w:right="104" w:hanging="1"/>
        <w:rPr>
          <w:rFonts w:ascii="Georgia" w:hAnsi="Georgia"/>
        </w:rPr>
      </w:pPr>
      <w:r>
        <w:rPr>
          <w:color w:val="231F20"/>
          <w:sz w:val="28"/>
        </w:rPr>
        <w:t>L</w:t>
      </w:r>
      <w:r>
        <w:rPr>
          <w:rFonts w:ascii="Georgia" w:hAnsi="Georgia"/>
          <w:color w:val="231F20"/>
        </w:rPr>
        <w:t>A VIOLENCIA LEGITIMA </w:t>
      </w:r>
      <w:r>
        <w:rPr>
          <w:color w:val="231F20"/>
        </w:rPr>
        <w:t>LA </w:t>
      </w:r>
      <w:r>
        <w:rPr>
          <w:rFonts w:ascii="Georgia" w:hAnsi="Georgia"/>
          <w:color w:val="231F20"/>
        </w:rPr>
        <w:t>RAZÓN DE</w:t>
      </w:r>
      <w:r>
        <w:rPr>
          <w:color w:val="231F20"/>
        </w:rPr>
        <w:t>L ESTADO </w:t>
      </w:r>
      <w:r>
        <w:rPr>
          <w:rFonts w:ascii="Georgia" w:hAnsi="Georgia"/>
          <w:color w:val="231F20"/>
        </w:rPr>
        <w:t>CON RELACIÓN AL DERE</w:t>
      </w:r>
      <w:r>
        <w:rPr>
          <w:color w:val="231F20"/>
        </w:rPr>
        <w:t>CHO Y SU EXPANSIÓN A LA </w:t>
      </w:r>
      <w:r>
        <w:rPr>
          <w:rFonts w:ascii="Georgia" w:hAnsi="Georgia"/>
          <w:color w:val="231F20"/>
        </w:rPr>
        <w:t>EDUCACIÓN</w:t>
      </w:r>
    </w:p>
    <w:p>
      <w:pPr>
        <w:pStyle w:val="BodyText"/>
        <w:spacing w:line="490" w:lineRule="atLeast" w:before="33"/>
        <w:ind w:left="122" w:right="2990"/>
      </w:pPr>
      <w:r>
        <w:rPr>
          <w:color w:val="231F20"/>
        </w:rPr>
        <w:t>Rosa María Ramírez-Martínez</w:t>
      </w:r>
      <w:r>
        <w:rPr>
          <w:color w:val="231F20"/>
          <w:sz w:val="17"/>
        </w:rPr>
        <w:t>* </w:t>
      </w:r>
      <w:r>
        <w:rPr>
          <w:color w:val="231F20"/>
        </w:rPr>
        <w:t>Resumen</w:t>
      </w:r>
    </w:p>
    <w:p>
      <w:pPr>
        <w:pStyle w:val="BodyText"/>
        <w:spacing w:line="242" w:lineRule="auto" w:before="8"/>
        <w:ind w:left="122" w:right="104"/>
      </w:pPr>
      <w:r>
        <w:rPr>
          <w:color w:val="231F20"/>
        </w:rPr>
        <w:t>La violencia legítima razón del Estado, con relación al derecho y su expansión a la educación</w:t>
      </w:r>
    </w:p>
    <w:p>
      <w:pPr>
        <w:pStyle w:val="BodyText"/>
        <w:spacing w:line="244" w:lineRule="auto" w:before="6"/>
        <w:ind w:left="122" w:right="113"/>
        <w:jc w:val="both"/>
      </w:pPr>
      <w:r>
        <w:rPr>
          <w:color w:val="231F20"/>
        </w:rPr>
        <w:t>El estudio establece, como punto de partida, que la violencia se  gesta desde ciertas condiciones materiales de existencia, que tiene   su base en la distinción entre dominados y dominadores, lo cual se expresa en la forma de organización política que prevalece en cada momento histórico: a partir de la noción de Estado desde el cual se tiende a considerar al uso de la fuerza como violencia legítima o ilegítima,</w:t>
      </w:r>
      <w:r>
        <w:rPr>
          <w:color w:val="231F20"/>
          <w:spacing w:val="-6"/>
        </w:rPr>
        <w:t> </w:t>
      </w:r>
      <w:r>
        <w:rPr>
          <w:color w:val="231F20"/>
        </w:rPr>
        <w:t>obliga,</w:t>
      </w:r>
      <w:r>
        <w:rPr>
          <w:color w:val="231F20"/>
          <w:spacing w:val="-6"/>
        </w:rPr>
        <w:t> </w:t>
      </w:r>
      <w:r>
        <w:rPr>
          <w:color w:val="231F20"/>
        </w:rPr>
        <w:t>al</w:t>
      </w:r>
      <w:r>
        <w:rPr>
          <w:color w:val="231F20"/>
          <w:spacing w:val="-6"/>
        </w:rPr>
        <w:t> </w:t>
      </w:r>
      <w:r>
        <w:rPr>
          <w:color w:val="231F20"/>
        </w:rPr>
        <w:t>mismo</w:t>
      </w:r>
      <w:r>
        <w:rPr>
          <w:color w:val="231F20"/>
          <w:spacing w:val="-5"/>
        </w:rPr>
        <w:t> </w:t>
      </w:r>
      <w:r>
        <w:rPr>
          <w:color w:val="231F20"/>
        </w:rPr>
        <w:t>tiempo,</w:t>
      </w:r>
      <w:r>
        <w:rPr>
          <w:color w:val="231F20"/>
          <w:spacing w:val="-6"/>
        </w:rPr>
        <w:t> </w:t>
      </w:r>
      <w:r>
        <w:rPr>
          <w:color w:val="231F20"/>
        </w:rPr>
        <w:t>a</w:t>
      </w:r>
      <w:r>
        <w:rPr>
          <w:color w:val="231F20"/>
          <w:spacing w:val="-5"/>
        </w:rPr>
        <w:t> </w:t>
      </w:r>
      <w:r>
        <w:rPr>
          <w:color w:val="231F20"/>
        </w:rPr>
        <w:t>distinguir</w:t>
      </w:r>
      <w:r>
        <w:rPr>
          <w:color w:val="231F20"/>
          <w:spacing w:val="-5"/>
        </w:rPr>
        <w:t> </w:t>
      </w:r>
      <w:r>
        <w:rPr>
          <w:color w:val="231F20"/>
        </w:rPr>
        <w:t>entre</w:t>
      </w:r>
      <w:r>
        <w:rPr>
          <w:color w:val="231F20"/>
          <w:spacing w:val="-5"/>
        </w:rPr>
        <w:t> </w:t>
      </w:r>
      <w:r>
        <w:rPr>
          <w:color w:val="231F20"/>
        </w:rPr>
        <w:t>las</w:t>
      </w:r>
      <w:r>
        <w:rPr>
          <w:color w:val="231F20"/>
          <w:spacing w:val="-6"/>
        </w:rPr>
        <w:t> </w:t>
      </w:r>
      <w:r>
        <w:rPr>
          <w:color w:val="231F20"/>
        </w:rPr>
        <w:t>esferas</w:t>
      </w:r>
      <w:r>
        <w:rPr>
          <w:color w:val="231F20"/>
          <w:spacing w:val="-6"/>
        </w:rPr>
        <w:t> </w:t>
      </w:r>
      <w:r>
        <w:rPr>
          <w:color w:val="231F20"/>
        </w:rPr>
        <w:t>de</w:t>
      </w:r>
      <w:r>
        <w:rPr>
          <w:color w:val="231F20"/>
          <w:spacing w:val="-5"/>
        </w:rPr>
        <w:t> </w:t>
      </w:r>
      <w:r>
        <w:rPr>
          <w:color w:val="231F20"/>
        </w:rPr>
        <w:t>lo privado y lo público para entender cómo se organiza y se traspasa, de lo primero a lo segundo; con ello se asume que la violencia que- da vinculada a los fenómenos del poder, que suponen un orden normativo y, por tanto, implican los valores de libertad, igualdad y justicia. A partir de ese planteamiento teórico es posible cuestionar las concepciones de la violencia como algo natural o como fenó- meno individual, a la vez que es posible examinar la manera en que se organizan y funcionan las instituciones educativas arrogándose el uso y los medios, de una violencia que es considerada legítima, o bien, se presenta como una situación inocente que organiza un sistema de reconocimientos académicos que instaura mecanismos   de poder en el trabajo</w:t>
      </w:r>
      <w:r>
        <w:rPr>
          <w:color w:val="231F20"/>
          <w:spacing w:val="16"/>
        </w:rPr>
        <w:t> </w:t>
      </w:r>
      <w:r>
        <w:rPr>
          <w:color w:val="231F20"/>
        </w:rPr>
        <w:t>académico.</w:t>
      </w:r>
    </w:p>
    <w:p>
      <w:pPr>
        <w:pStyle w:val="BodyText"/>
        <w:spacing w:before="6"/>
      </w:pPr>
    </w:p>
    <w:p>
      <w:pPr>
        <w:pStyle w:val="BodyText"/>
        <w:spacing w:line="247" w:lineRule="auto" w:before="1"/>
        <w:ind w:left="122" w:right="104"/>
      </w:pPr>
      <w:r>
        <w:rPr>
          <w:color w:val="231F20"/>
        </w:rPr>
        <w:t>Palabras clave: Violencia legítima, Estado, esfera de lo público, esfera de lo privado, poder</w:t>
      </w:r>
    </w:p>
    <w:p>
      <w:pPr>
        <w:pStyle w:val="BodyText"/>
        <w:rPr>
          <w:sz w:val="20"/>
        </w:rPr>
      </w:pPr>
    </w:p>
    <w:p>
      <w:pPr>
        <w:pStyle w:val="BodyText"/>
        <w:spacing w:before="7"/>
        <w:rPr>
          <w:sz w:val="26"/>
        </w:rPr>
      </w:pPr>
      <w:r>
        <w:rPr/>
        <w:pict>
          <v:line style="position:absolute;mso-position-horizontal-relative:page;mso-position-vertical-relative:paragraph;z-index:1336;mso-wrap-distance-left:0;mso-wrap-distance-right:0" from="51.110001pt,17.528097pt" to="195.110001pt,17.528097pt" stroked="true" strokeweight=".48pt" strokecolor="#231f20">
            <w10:wrap type="topAndBottom"/>
          </v:line>
        </w:pict>
      </w:r>
    </w:p>
    <w:p>
      <w:pPr>
        <w:spacing w:before="85"/>
        <w:ind w:left="122" w:right="0" w:firstLine="0"/>
        <w:jc w:val="both"/>
        <w:rPr>
          <w:sz w:val="14"/>
        </w:rPr>
      </w:pPr>
      <w:r>
        <w:rPr>
          <w:color w:val="231F20"/>
          <w:position w:val="-4"/>
          <w:sz w:val="17"/>
        </w:rPr>
        <w:t>*</w:t>
      </w:r>
      <w:r>
        <w:rPr>
          <w:color w:val="231F20"/>
          <w:sz w:val="14"/>
        </w:rPr>
        <w:t>Doctora</w:t>
      </w:r>
      <w:r>
        <w:rPr>
          <w:color w:val="231F20"/>
          <w:spacing w:val="-20"/>
          <w:sz w:val="14"/>
        </w:rPr>
        <w:t> </w:t>
      </w:r>
      <w:r>
        <w:rPr>
          <w:color w:val="231F20"/>
          <w:sz w:val="14"/>
        </w:rPr>
        <w:t>en</w:t>
      </w:r>
      <w:r>
        <w:rPr>
          <w:color w:val="231F20"/>
          <w:spacing w:val="-20"/>
          <w:sz w:val="14"/>
        </w:rPr>
        <w:t> </w:t>
      </w:r>
      <w:r>
        <w:rPr>
          <w:color w:val="231F20"/>
          <w:sz w:val="14"/>
        </w:rPr>
        <w:t>Sociología.</w:t>
      </w:r>
      <w:r>
        <w:rPr>
          <w:color w:val="231F20"/>
          <w:spacing w:val="-20"/>
          <w:sz w:val="14"/>
        </w:rPr>
        <w:t> </w:t>
      </w:r>
      <w:r>
        <w:rPr>
          <w:color w:val="231F20"/>
          <w:sz w:val="14"/>
        </w:rPr>
        <w:t>Actualmente</w:t>
      </w:r>
      <w:r>
        <w:rPr>
          <w:color w:val="231F20"/>
          <w:spacing w:val="-20"/>
          <w:sz w:val="14"/>
        </w:rPr>
        <w:t> </w:t>
      </w:r>
      <w:r>
        <w:rPr>
          <w:color w:val="231F20"/>
          <w:sz w:val="14"/>
        </w:rPr>
        <w:t>es</w:t>
      </w:r>
      <w:r>
        <w:rPr>
          <w:color w:val="231F20"/>
          <w:spacing w:val="-20"/>
          <w:sz w:val="14"/>
        </w:rPr>
        <w:t> </w:t>
      </w:r>
      <w:r>
        <w:rPr>
          <w:color w:val="231F20"/>
          <w:sz w:val="14"/>
        </w:rPr>
        <w:t>profesora-investigadora</w:t>
      </w:r>
      <w:r>
        <w:rPr>
          <w:color w:val="231F20"/>
          <w:spacing w:val="-20"/>
          <w:sz w:val="14"/>
        </w:rPr>
        <w:t> </w:t>
      </w:r>
      <w:r>
        <w:rPr>
          <w:color w:val="231F20"/>
          <w:sz w:val="14"/>
        </w:rPr>
        <w:t>enla</w:t>
      </w:r>
      <w:r>
        <w:rPr>
          <w:color w:val="231F20"/>
          <w:spacing w:val="-20"/>
          <w:sz w:val="14"/>
        </w:rPr>
        <w:t> </w:t>
      </w:r>
      <w:r>
        <w:rPr>
          <w:color w:val="231F20"/>
          <w:sz w:val="14"/>
        </w:rPr>
        <w:t>Facultad</w:t>
      </w:r>
      <w:r>
        <w:rPr>
          <w:color w:val="231F20"/>
          <w:spacing w:val="-20"/>
          <w:sz w:val="14"/>
        </w:rPr>
        <w:t> </w:t>
      </w:r>
      <w:r>
        <w:rPr>
          <w:color w:val="231F20"/>
          <w:sz w:val="14"/>
        </w:rPr>
        <w:t>de</w:t>
      </w:r>
      <w:r>
        <w:rPr>
          <w:color w:val="231F20"/>
          <w:spacing w:val="-20"/>
          <w:sz w:val="14"/>
        </w:rPr>
        <w:t> </w:t>
      </w:r>
      <w:r>
        <w:rPr>
          <w:color w:val="231F20"/>
          <w:sz w:val="14"/>
        </w:rPr>
        <w:t>Ciencias</w:t>
      </w:r>
      <w:r>
        <w:rPr>
          <w:color w:val="231F20"/>
          <w:spacing w:val="-20"/>
          <w:sz w:val="14"/>
        </w:rPr>
        <w:t> </w:t>
      </w:r>
      <w:r>
        <w:rPr>
          <w:color w:val="231F20"/>
          <w:sz w:val="14"/>
        </w:rPr>
        <w:t>de</w:t>
      </w:r>
      <w:r>
        <w:rPr>
          <w:color w:val="231F20"/>
          <w:spacing w:val="-20"/>
          <w:sz w:val="14"/>
        </w:rPr>
        <w:t> </w:t>
      </w:r>
      <w:r>
        <w:rPr>
          <w:color w:val="231F20"/>
          <w:sz w:val="14"/>
        </w:rPr>
        <w:t>la</w:t>
      </w:r>
      <w:r>
        <w:rPr>
          <w:color w:val="231F20"/>
          <w:spacing w:val="-20"/>
          <w:sz w:val="14"/>
        </w:rPr>
        <w:t> </w:t>
      </w:r>
      <w:r>
        <w:rPr>
          <w:color w:val="231F20"/>
          <w:sz w:val="14"/>
        </w:rPr>
        <w:t>Conducta</w:t>
      </w:r>
    </w:p>
    <w:p>
      <w:pPr>
        <w:spacing w:line="369" w:lineRule="auto" w:before="32"/>
        <w:ind w:left="122" w:right="116" w:hanging="1"/>
        <w:jc w:val="both"/>
        <w:rPr>
          <w:sz w:val="14"/>
        </w:rPr>
      </w:pPr>
      <w:r>
        <w:rPr>
          <w:color w:val="231F20"/>
          <w:w w:val="95"/>
          <w:sz w:val="14"/>
        </w:rPr>
        <w:t>de la Universidad Autónoma del Estado de México (</w:t>
      </w:r>
      <w:r>
        <w:rPr>
          <w:color w:val="231F20"/>
          <w:w w:val="95"/>
          <w:sz w:val="10"/>
        </w:rPr>
        <w:t>UAEMEX</w:t>
      </w:r>
      <w:r>
        <w:rPr>
          <w:color w:val="231F20"/>
          <w:w w:val="95"/>
          <w:sz w:val="14"/>
        </w:rPr>
        <w:t>). Entre sus publicaciones se  encuentran artículos</w:t>
      </w:r>
      <w:r>
        <w:rPr>
          <w:color w:val="231F20"/>
          <w:spacing w:val="-13"/>
          <w:w w:val="95"/>
          <w:sz w:val="14"/>
        </w:rPr>
        <w:t> </w:t>
      </w:r>
      <w:r>
        <w:rPr>
          <w:color w:val="231F20"/>
          <w:w w:val="95"/>
          <w:sz w:val="14"/>
        </w:rPr>
        <w:t>en</w:t>
      </w:r>
      <w:r>
        <w:rPr>
          <w:color w:val="231F20"/>
          <w:spacing w:val="-13"/>
          <w:w w:val="95"/>
          <w:sz w:val="14"/>
        </w:rPr>
        <w:t> </w:t>
      </w:r>
      <w:r>
        <w:rPr>
          <w:color w:val="231F20"/>
          <w:w w:val="95"/>
          <w:sz w:val="14"/>
        </w:rPr>
        <w:t>revistas</w:t>
      </w:r>
      <w:r>
        <w:rPr>
          <w:color w:val="231F20"/>
          <w:spacing w:val="-13"/>
          <w:w w:val="95"/>
          <w:sz w:val="14"/>
        </w:rPr>
        <w:t> </w:t>
      </w:r>
      <w:r>
        <w:rPr>
          <w:color w:val="231F20"/>
          <w:w w:val="95"/>
          <w:sz w:val="14"/>
        </w:rPr>
        <w:t>especializadas,</w:t>
      </w:r>
      <w:r>
        <w:rPr>
          <w:color w:val="231F20"/>
          <w:spacing w:val="-13"/>
          <w:w w:val="95"/>
          <w:sz w:val="14"/>
        </w:rPr>
        <w:t> </w:t>
      </w:r>
      <w:r>
        <w:rPr>
          <w:color w:val="231F20"/>
          <w:w w:val="95"/>
          <w:sz w:val="14"/>
        </w:rPr>
        <w:t>así</w:t>
      </w:r>
      <w:r>
        <w:rPr>
          <w:color w:val="231F20"/>
          <w:spacing w:val="-13"/>
          <w:w w:val="95"/>
          <w:sz w:val="14"/>
        </w:rPr>
        <w:t> </w:t>
      </w:r>
      <w:r>
        <w:rPr>
          <w:color w:val="231F20"/>
          <w:w w:val="95"/>
          <w:sz w:val="14"/>
        </w:rPr>
        <w:t>como</w:t>
      </w:r>
      <w:r>
        <w:rPr>
          <w:color w:val="231F20"/>
          <w:spacing w:val="-13"/>
          <w:w w:val="95"/>
          <w:sz w:val="14"/>
        </w:rPr>
        <w:t> </w:t>
      </w:r>
      <w:r>
        <w:rPr>
          <w:color w:val="231F20"/>
          <w:w w:val="95"/>
          <w:sz w:val="14"/>
        </w:rPr>
        <w:t>los</w:t>
      </w:r>
      <w:r>
        <w:rPr>
          <w:color w:val="231F20"/>
          <w:spacing w:val="-13"/>
          <w:w w:val="95"/>
          <w:sz w:val="14"/>
        </w:rPr>
        <w:t> </w:t>
      </w:r>
      <w:r>
        <w:rPr>
          <w:color w:val="231F20"/>
          <w:w w:val="95"/>
          <w:sz w:val="14"/>
        </w:rPr>
        <w:t>libros</w:t>
      </w:r>
      <w:r>
        <w:rPr>
          <w:color w:val="231F20"/>
          <w:spacing w:val="-14"/>
          <w:w w:val="95"/>
          <w:sz w:val="14"/>
        </w:rPr>
        <w:t> </w:t>
      </w:r>
      <w:r>
        <w:rPr>
          <w:i/>
          <w:color w:val="231F20"/>
          <w:w w:val="95"/>
          <w:sz w:val="14"/>
        </w:rPr>
        <w:t>Educación,</w:t>
      </w:r>
      <w:r>
        <w:rPr>
          <w:i/>
          <w:color w:val="231F20"/>
          <w:spacing w:val="-13"/>
          <w:w w:val="95"/>
          <w:sz w:val="14"/>
        </w:rPr>
        <w:t> </w:t>
      </w:r>
      <w:r>
        <w:rPr>
          <w:i/>
          <w:color w:val="231F20"/>
          <w:w w:val="95"/>
          <w:sz w:val="14"/>
        </w:rPr>
        <w:t>políticas</w:t>
      </w:r>
      <w:r>
        <w:rPr>
          <w:i/>
          <w:color w:val="231F20"/>
          <w:spacing w:val="-13"/>
          <w:w w:val="95"/>
          <w:sz w:val="14"/>
        </w:rPr>
        <w:t> </w:t>
      </w:r>
      <w:r>
        <w:rPr>
          <w:i/>
          <w:color w:val="231F20"/>
          <w:w w:val="95"/>
          <w:sz w:val="14"/>
        </w:rPr>
        <w:t>y</w:t>
      </w:r>
      <w:r>
        <w:rPr>
          <w:i/>
          <w:color w:val="231F20"/>
          <w:spacing w:val="-13"/>
          <w:w w:val="95"/>
          <w:sz w:val="14"/>
        </w:rPr>
        <w:t> </w:t>
      </w:r>
      <w:r>
        <w:rPr>
          <w:i/>
          <w:color w:val="231F20"/>
          <w:w w:val="95"/>
          <w:sz w:val="14"/>
        </w:rPr>
        <w:t>universidad</w:t>
      </w:r>
      <w:r>
        <w:rPr>
          <w:color w:val="231F20"/>
          <w:w w:val="95"/>
          <w:sz w:val="14"/>
        </w:rPr>
        <w:t>,</w:t>
      </w:r>
      <w:r>
        <w:rPr>
          <w:color w:val="231F20"/>
          <w:spacing w:val="-13"/>
          <w:w w:val="95"/>
          <w:sz w:val="14"/>
        </w:rPr>
        <w:t> </w:t>
      </w:r>
      <w:r>
        <w:rPr>
          <w:color w:val="231F20"/>
          <w:w w:val="95"/>
          <w:sz w:val="14"/>
        </w:rPr>
        <w:t>y</w:t>
      </w:r>
      <w:r>
        <w:rPr>
          <w:i/>
          <w:color w:val="231F20"/>
          <w:w w:val="95"/>
          <w:sz w:val="14"/>
        </w:rPr>
        <w:t>Teoría</w:t>
      </w:r>
      <w:r>
        <w:rPr>
          <w:i/>
          <w:color w:val="231F20"/>
          <w:spacing w:val="-13"/>
          <w:w w:val="95"/>
          <w:sz w:val="14"/>
        </w:rPr>
        <w:t> </w:t>
      </w:r>
      <w:r>
        <w:rPr>
          <w:i/>
          <w:color w:val="231F20"/>
          <w:w w:val="95"/>
          <w:sz w:val="14"/>
        </w:rPr>
        <w:t>crítica</w:t>
      </w:r>
      <w:r>
        <w:rPr>
          <w:i/>
          <w:color w:val="231F20"/>
          <w:spacing w:val="-13"/>
          <w:w w:val="95"/>
          <w:sz w:val="14"/>
        </w:rPr>
        <w:t> </w:t>
      </w:r>
      <w:r>
        <w:rPr>
          <w:i/>
          <w:color w:val="231F20"/>
          <w:w w:val="95"/>
          <w:sz w:val="14"/>
        </w:rPr>
        <w:t>de</w:t>
      </w:r>
      <w:r>
        <w:rPr>
          <w:i/>
          <w:color w:val="231F20"/>
          <w:spacing w:val="-13"/>
          <w:w w:val="95"/>
          <w:sz w:val="14"/>
        </w:rPr>
        <w:t> </w:t>
      </w:r>
      <w:r>
        <w:rPr>
          <w:i/>
          <w:color w:val="231F20"/>
          <w:w w:val="95"/>
          <w:sz w:val="14"/>
        </w:rPr>
        <w:t>la </w:t>
      </w:r>
      <w:r>
        <w:rPr>
          <w:i/>
          <w:color w:val="231F20"/>
          <w:w w:val="80"/>
          <w:sz w:val="14"/>
        </w:rPr>
        <w:t>sociedad,</w:t>
      </w:r>
      <w:r>
        <w:rPr>
          <w:i/>
          <w:color w:val="231F20"/>
          <w:spacing w:val="-8"/>
          <w:w w:val="80"/>
          <w:sz w:val="14"/>
        </w:rPr>
        <w:t> </w:t>
      </w:r>
      <w:r>
        <w:rPr>
          <w:i/>
          <w:color w:val="231F20"/>
          <w:w w:val="80"/>
          <w:sz w:val="14"/>
        </w:rPr>
        <w:t>una</w:t>
      </w:r>
      <w:r>
        <w:rPr>
          <w:i/>
          <w:color w:val="231F20"/>
          <w:spacing w:val="-8"/>
          <w:w w:val="80"/>
          <w:sz w:val="14"/>
        </w:rPr>
        <w:t> </w:t>
      </w:r>
      <w:r>
        <w:rPr>
          <w:i/>
          <w:color w:val="231F20"/>
          <w:w w:val="80"/>
          <w:sz w:val="14"/>
        </w:rPr>
        <w:t>lectura</w:t>
      </w:r>
      <w:r>
        <w:rPr>
          <w:i/>
          <w:color w:val="231F20"/>
          <w:spacing w:val="-8"/>
          <w:w w:val="80"/>
          <w:sz w:val="14"/>
        </w:rPr>
        <w:t> </w:t>
      </w:r>
      <w:r>
        <w:rPr>
          <w:i/>
          <w:color w:val="231F20"/>
          <w:w w:val="80"/>
          <w:sz w:val="14"/>
        </w:rPr>
        <w:t>introductoria</w:t>
      </w:r>
      <w:r>
        <w:rPr>
          <w:color w:val="231F20"/>
          <w:w w:val="80"/>
          <w:sz w:val="14"/>
        </w:rPr>
        <w:t>.</w:t>
      </w:r>
    </w:p>
    <w:p>
      <w:pPr>
        <w:spacing w:after="0" w:line="369" w:lineRule="auto"/>
        <w:jc w:val="both"/>
        <w:rPr>
          <w:sz w:val="14"/>
        </w:rPr>
        <w:sectPr>
          <w:headerReference w:type="default" r:id="rId62"/>
          <w:footerReference w:type="default" r:id="rId63"/>
          <w:pgSz w:w="7830" w:h="11910"/>
          <w:pgMar w:header="0" w:footer="424" w:top="1100" w:bottom="620" w:left="900" w:right="900"/>
          <w:pgNumType w:start="2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17"/>
        <w:jc w:val="both"/>
      </w:pPr>
      <w:r>
        <w:rPr>
          <w:color w:val="231F20"/>
        </w:rPr>
        <w:t>Violence legitimate reason for the State in relation to law and its expansion to education</w:t>
      </w:r>
    </w:p>
    <w:p>
      <w:pPr>
        <w:pStyle w:val="BodyText"/>
        <w:spacing w:before="4"/>
      </w:pPr>
    </w:p>
    <w:p>
      <w:pPr>
        <w:pStyle w:val="BodyText"/>
        <w:ind w:left="102"/>
        <w:jc w:val="both"/>
      </w:pPr>
      <w:r>
        <w:rPr>
          <w:color w:val="231F20"/>
        </w:rPr>
        <w:t>Abstract</w:t>
      </w:r>
    </w:p>
    <w:p>
      <w:pPr>
        <w:pStyle w:val="BodyText"/>
        <w:spacing w:line="247" w:lineRule="auto" w:before="3"/>
        <w:ind w:left="101" w:right="113"/>
        <w:jc w:val="both"/>
      </w:pPr>
      <w:r>
        <w:rPr>
          <w:color w:val="231F20"/>
        </w:rPr>
        <w:t>The study establishes, as a starting point, that violence is brewing from certain material conditions of existence, that is based on the distinction between dominated and dominating, which is expressed in the form of political organization that prevails at all historical times: from the notion of state from which tends to regard the use of force</w:t>
      </w:r>
      <w:r>
        <w:rPr>
          <w:color w:val="231F20"/>
          <w:spacing w:val="-9"/>
        </w:rPr>
        <w:t> </w:t>
      </w:r>
      <w:r>
        <w:rPr>
          <w:color w:val="231F20"/>
        </w:rPr>
        <w:t>as</w:t>
      </w:r>
      <w:r>
        <w:rPr>
          <w:color w:val="231F20"/>
          <w:spacing w:val="-9"/>
        </w:rPr>
        <w:t> </w:t>
      </w:r>
      <w:r>
        <w:rPr>
          <w:color w:val="231F20"/>
        </w:rPr>
        <w:t>legitimate</w:t>
      </w:r>
      <w:r>
        <w:rPr>
          <w:color w:val="231F20"/>
          <w:spacing w:val="-9"/>
        </w:rPr>
        <w:t> </w:t>
      </w:r>
      <w:r>
        <w:rPr>
          <w:color w:val="231F20"/>
        </w:rPr>
        <w:t>or</w:t>
      </w:r>
      <w:r>
        <w:rPr>
          <w:color w:val="231F20"/>
          <w:spacing w:val="-9"/>
        </w:rPr>
        <w:t> </w:t>
      </w:r>
      <w:r>
        <w:rPr>
          <w:color w:val="231F20"/>
        </w:rPr>
        <w:t>illegitimate</w:t>
      </w:r>
      <w:r>
        <w:rPr>
          <w:color w:val="231F20"/>
          <w:spacing w:val="-9"/>
        </w:rPr>
        <w:t> </w:t>
      </w:r>
      <w:r>
        <w:rPr>
          <w:color w:val="231F20"/>
        </w:rPr>
        <w:t>violence,</w:t>
      </w:r>
      <w:r>
        <w:rPr>
          <w:color w:val="231F20"/>
          <w:spacing w:val="-9"/>
        </w:rPr>
        <w:t> </w:t>
      </w:r>
      <w:r>
        <w:rPr>
          <w:color w:val="231F20"/>
        </w:rPr>
        <w:t>forces,</w:t>
      </w:r>
      <w:r>
        <w:rPr>
          <w:color w:val="231F20"/>
          <w:spacing w:val="-9"/>
        </w:rPr>
        <w:t> </w:t>
      </w:r>
      <w:r>
        <w:rPr>
          <w:color w:val="231F20"/>
        </w:rPr>
        <w:t>at</w:t>
      </w:r>
      <w:r>
        <w:rPr>
          <w:color w:val="231F20"/>
          <w:spacing w:val="-9"/>
        </w:rPr>
        <w:t> </w:t>
      </w:r>
      <w:r>
        <w:rPr>
          <w:color w:val="231F20"/>
        </w:rPr>
        <w:t>the</w:t>
      </w:r>
      <w:r>
        <w:rPr>
          <w:color w:val="231F20"/>
          <w:spacing w:val="-9"/>
        </w:rPr>
        <w:t> </w:t>
      </w:r>
      <w:r>
        <w:rPr>
          <w:color w:val="231F20"/>
        </w:rPr>
        <w:t>same</w:t>
      </w:r>
      <w:r>
        <w:rPr>
          <w:color w:val="231F20"/>
          <w:spacing w:val="-9"/>
        </w:rPr>
        <w:t> </w:t>
      </w:r>
      <w:r>
        <w:rPr>
          <w:color w:val="231F20"/>
        </w:rPr>
        <w:t>time</w:t>
      </w:r>
      <w:r>
        <w:rPr>
          <w:color w:val="231F20"/>
          <w:spacing w:val="-9"/>
        </w:rPr>
        <w:t> </w:t>
      </w:r>
      <w:r>
        <w:rPr>
          <w:color w:val="231F20"/>
        </w:rPr>
        <w:t>to distinguish between the spheres of the private and the public to un- derstand how it is organized and it is transferred from the former to the latter; thus it is assumed that violence is linked to the phenomena of power, representing a normative order and therefore involve the values of freedom, equality and justice. From this theoretical ap- proach may question the concepts of violence as natural or as an individual phenomenon, while it is possible to examine how they are organized and operate educational institutions arrogating the use and means</w:t>
      </w:r>
      <w:r>
        <w:rPr>
          <w:color w:val="231F20"/>
          <w:spacing w:val="-5"/>
        </w:rPr>
        <w:t> </w:t>
      </w:r>
      <w:r>
        <w:rPr>
          <w:color w:val="231F20"/>
        </w:rPr>
        <w:t>of</w:t>
      </w:r>
      <w:r>
        <w:rPr>
          <w:color w:val="231F20"/>
          <w:spacing w:val="-5"/>
        </w:rPr>
        <w:t> </w:t>
      </w:r>
      <w:r>
        <w:rPr>
          <w:color w:val="231F20"/>
        </w:rPr>
        <w:t>violence</w:t>
      </w:r>
      <w:r>
        <w:rPr>
          <w:color w:val="231F20"/>
          <w:spacing w:val="-5"/>
        </w:rPr>
        <w:t> </w:t>
      </w:r>
      <w:r>
        <w:rPr>
          <w:color w:val="231F20"/>
        </w:rPr>
        <w:t>which</w:t>
      </w:r>
      <w:r>
        <w:rPr>
          <w:color w:val="231F20"/>
          <w:spacing w:val="-5"/>
        </w:rPr>
        <w:t> </w:t>
      </w:r>
      <w:r>
        <w:rPr>
          <w:color w:val="231F20"/>
        </w:rPr>
        <w:t>it</w:t>
      </w:r>
      <w:r>
        <w:rPr>
          <w:color w:val="231F20"/>
          <w:spacing w:val="-5"/>
        </w:rPr>
        <w:t> </w:t>
      </w:r>
      <w:r>
        <w:rPr>
          <w:color w:val="231F20"/>
        </w:rPr>
        <w:t>is</w:t>
      </w:r>
      <w:r>
        <w:rPr>
          <w:color w:val="231F20"/>
          <w:spacing w:val="-5"/>
        </w:rPr>
        <w:t> </w:t>
      </w:r>
      <w:r>
        <w:rPr>
          <w:color w:val="231F20"/>
        </w:rPr>
        <w:t>considered</w:t>
      </w:r>
      <w:r>
        <w:rPr>
          <w:color w:val="231F20"/>
          <w:spacing w:val="-5"/>
        </w:rPr>
        <w:t> </w:t>
      </w:r>
      <w:r>
        <w:rPr>
          <w:color w:val="231F20"/>
        </w:rPr>
        <w:t>legitimate,</w:t>
      </w:r>
      <w:r>
        <w:rPr>
          <w:color w:val="231F20"/>
          <w:spacing w:val="-6"/>
        </w:rPr>
        <w:t> </w:t>
      </w:r>
      <w:r>
        <w:rPr>
          <w:color w:val="231F20"/>
        </w:rPr>
        <w:t>or</w:t>
      </w:r>
      <w:r>
        <w:rPr>
          <w:color w:val="231F20"/>
          <w:spacing w:val="-5"/>
        </w:rPr>
        <w:t> </w:t>
      </w:r>
      <w:r>
        <w:rPr>
          <w:color w:val="231F20"/>
        </w:rPr>
        <w:t>it</w:t>
      </w:r>
      <w:r>
        <w:rPr>
          <w:color w:val="231F20"/>
          <w:spacing w:val="-5"/>
        </w:rPr>
        <w:t> </w:t>
      </w:r>
      <w:r>
        <w:rPr>
          <w:color w:val="231F20"/>
        </w:rPr>
        <w:t>is</w:t>
      </w:r>
      <w:r>
        <w:rPr>
          <w:color w:val="231F20"/>
          <w:spacing w:val="-5"/>
        </w:rPr>
        <w:t> </w:t>
      </w:r>
      <w:r>
        <w:rPr>
          <w:color w:val="231F20"/>
        </w:rPr>
        <w:t>presented as an innocent situation that organizes a system of academic awards which</w:t>
      </w:r>
      <w:r>
        <w:rPr>
          <w:color w:val="231F20"/>
          <w:spacing w:val="-16"/>
        </w:rPr>
        <w:t> </w:t>
      </w:r>
      <w:r>
        <w:rPr>
          <w:color w:val="231F20"/>
        </w:rPr>
        <w:t>establishes</w:t>
      </w:r>
      <w:r>
        <w:rPr>
          <w:color w:val="231F20"/>
          <w:spacing w:val="-17"/>
        </w:rPr>
        <w:t> </w:t>
      </w:r>
      <w:r>
        <w:rPr>
          <w:color w:val="231F20"/>
        </w:rPr>
        <w:t>mechanisms</w:t>
      </w:r>
      <w:r>
        <w:rPr>
          <w:color w:val="231F20"/>
          <w:spacing w:val="-17"/>
        </w:rPr>
        <w:t> </w:t>
      </w:r>
      <w:r>
        <w:rPr>
          <w:color w:val="231F20"/>
        </w:rPr>
        <w:t>of</w:t>
      </w:r>
      <w:r>
        <w:rPr>
          <w:color w:val="231F20"/>
          <w:spacing w:val="-17"/>
        </w:rPr>
        <w:t> </w:t>
      </w:r>
      <w:r>
        <w:rPr>
          <w:color w:val="231F20"/>
        </w:rPr>
        <w:t>power</w:t>
      </w:r>
      <w:r>
        <w:rPr>
          <w:color w:val="231F20"/>
          <w:spacing w:val="-17"/>
        </w:rPr>
        <w:t> </w:t>
      </w:r>
      <w:r>
        <w:rPr>
          <w:color w:val="231F20"/>
        </w:rPr>
        <w:t>in</w:t>
      </w:r>
      <w:r>
        <w:rPr>
          <w:color w:val="231F20"/>
          <w:spacing w:val="-16"/>
        </w:rPr>
        <w:t> </w:t>
      </w:r>
      <w:r>
        <w:rPr>
          <w:color w:val="231F20"/>
        </w:rPr>
        <w:t>academic</w:t>
      </w:r>
      <w:r>
        <w:rPr>
          <w:color w:val="231F20"/>
          <w:spacing w:val="-16"/>
        </w:rPr>
        <w:t> </w:t>
      </w:r>
      <w:r>
        <w:rPr>
          <w:color w:val="231F20"/>
        </w:rPr>
        <w:t>work.</w:t>
      </w:r>
    </w:p>
    <w:p>
      <w:pPr>
        <w:pStyle w:val="BodyText"/>
        <w:spacing w:before="9"/>
      </w:pPr>
    </w:p>
    <w:p>
      <w:pPr>
        <w:pStyle w:val="BodyText"/>
        <w:spacing w:line="242" w:lineRule="auto"/>
        <w:ind w:left="101" w:right="118"/>
        <w:jc w:val="both"/>
      </w:pPr>
      <w:r>
        <w:rPr>
          <w:color w:val="231F20"/>
        </w:rPr>
        <w:t>Keywords: Legitimate violence, State, public sphere, private sphere, power</w:t>
      </w:r>
    </w:p>
    <w:p>
      <w:pPr>
        <w:pStyle w:val="BodyText"/>
        <w:rPr>
          <w:sz w:val="22"/>
        </w:rPr>
      </w:pPr>
    </w:p>
    <w:p>
      <w:pPr>
        <w:pStyle w:val="BodyText"/>
        <w:spacing w:before="2"/>
        <w:rPr>
          <w:sz w:val="23"/>
        </w:rPr>
      </w:pPr>
    </w:p>
    <w:p>
      <w:pPr>
        <w:pStyle w:val="BodyText"/>
        <w:ind w:left="101"/>
        <w:jc w:val="both"/>
      </w:pPr>
      <w:r>
        <w:rPr>
          <w:color w:val="231F20"/>
          <w:w w:val="105"/>
        </w:rPr>
        <w:t>INTRODUCCIÓN</w:t>
      </w:r>
    </w:p>
    <w:p>
      <w:pPr>
        <w:pStyle w:val="BodyText"/>
        <w:spacing w:before="1"/>
      </w:pPr>
    </w:p>
    <w:p>
      <w:pPr>
        <w:pStyle w:val="BodyText"/>
        <w:spacing w:line="247" w:lineRule="auto" w:before="1"/>
        <w:ind w:left="101" w:right="115"/>
        <w:jc w:val="both"/>
      </w:pPr>
      <w:r>
        <w:rPr>
          <w:color w:val="231F20"/>
        </w:rPr>
        <w:t>Siglos y siglos de violencia en la humanidad evidencian su perma- nencia, si en la actualidad sorprende su acentuación, pues se ha convertido en un tema prioritario, especialmente por el desarrollo técnico de los medios de violencia que han alcanzado un potencial destructivo que terminarán por aniquilar a todos los seres; pero si reflexionamos un poco sobre ello, sabemos que siempre ha existi- do ese poder aniquilador, cómo olvidar los procesos de coloniza- ción de nuevas tierras, las guerras, el holocausto o la bomba ató- mica. Así que para entender los conceptos de violencia legítima, pública, privada, de origen o simbólica es necesario disertar sobre el  valor  que  aún  tienen  para  nuestra  sociedad  conceptos como</w:t>
      </w:r>
    </w:p>
    <w:p>
      <w:pPr>
        <w:spacing w:after="0" w:line="247" w:lineRule="auto"/>
        <w:jc w:val="both"/>
        <w:sectPr>
          <w:headerReference w:type="default" r:id="rId64"/>
          <w:footerReference w:type="default" r:id="rId65"/>
          <w:pgSz w:w="7830" w:h="11910"/>
          <w:pgMar w:header="0" w:footer="424" w:top="500" w:bottom="620" w:left="920" w:right="900"/>
          <w:pgNumType w:start="2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5"/>
        <w:jc w:val="both"/>
      </w:pPr>
      <w:r>
        <w:rPr>
          <w:color w:val="231F20"/>
          <w:spacing w:val="2"/>
        </w:rPr>
        <w:t>libertad, justicia </w:t>
      </w:r>
      <w:r>
        <w:rPr>
          <w:color w:val="231F20"/>
        </w:rPr>
        <w:t>y </w:t>
      </w:r>
      <w:r>
        <w:rPr>
          <w:color w:val="231F20"/>
          <w:spacing w:val="2"/>
        </w:rPr>
        <w:t>razón, </w:t>
      </w:r>
      <w:r>
        <w:rPr>
          <w:color w:val="231F20"/>
        </w:rPr>
        <w:t>que </w:t>
      </w:r>
      <w:r>
        <w:rPr>
          <w:color w:val="231F20"/>
          <w:spacing w:val="2"/>
        </w:rPr>
        <w:t>han </w:t>
      </w:r>
      <w:r>
        <w:rPr>
          <w:color w:val="231F20"/>
          <w:spacing w:val="3"/>
        </w:rPr>
        <w:t>posibilitado </w:t>
      </w:r>
      <w:r>
        <w:rPr>
          <w:color w:val="231F20"/>
          <w:spacing w:val="2"/>
        </w:rPr>
        <w:t>pensar </w:t>
      </w:r>
      <w:r>
        <w:rPr>
          <w:color w:val="231F20"/>
        </w:rPr>
        <w:t>y </w:t>
      </w:r>
      <w:r>
        <w:rPr>
          <w:color w:val="231F20"/>
          <w:spacing w:val="2"/>
        </w:rPr>
        <w:t>construir  </w:t>
      </w:r>
      <w:r>
        <w:rPr>
          <w:color w:val="231F20"/>
        </w:rPr>
        <w:t>un </w:t>
      </w:r>
      <w:r>
        <w:rPr>
          <w:color w:val="231F20"/>
          <w:spacing w:val="2"/>
        </w:rPr>
        <w:t>futuro. </w:t>
      </w:r>
      <w:r>
        <w:rPr>
          <w:color w:val="231F20"/>
        </w:rPr>
        <w:t>El </w:t>
      </w:r>
      <w:r>
        <w:rPr>
          <w:color w:val="231F20"/>
          <w:spacing w:val="3"/>
        </w:rPr>
        <w:t>concepto </w:t>
      </w:r>
      <w:r>
        <w:rPr>
          <w:color w:val="231F20"/>
        </w:rPr>
        <w:t>de </w:t>
      </w:r>
      <w:r>
        <w:rPr>
          <w:color w:val="231F20"/>
          <w:spacing w:val="2"/>
        </w:rPr>
        <w:t>violencia </w:t>
      </w:r>
      <w:r>
        <w:rPr>
          <w:color w:val="231F20"/>
        </w:rPr>
        <w:t>ha </w:t>
      </w:r>
      <w:r>
        <w:rPr>
          <w:color w:val="231F20"/>
          <w:spacing w:val="2"/>
        </w:rPr>
        <w:t>estado sobre </w:t>
      </w:r>
      <w:r>
        <w:rPr>
          <w:color w:val="231F20"/>
        </w:rPr>
        <w:t>la </w:t>
      </w:r>
      <w:r>
        <w:rPr>
          <w:color w:val="231F20"/>
          <w:spacing w:val="2"/>
        </w:rPr>
        <w:t>mesa desde  </w:t>
      </w:r>
      <w:r>
        <w:rPr>
          <w:color w:val="231F20"/>
        </w:rPr>
        <w:t>el </w:t>
      </w:r>
      <w:r>
        <w:rPr>
          <w:color w:val="231F20"/>
          <w:spacing w:val="2"/>
        </w:rPr>
        <w:t>principio, pero ahora los aspectos </w:t>
      </w:r>
      <w:r>
        <w:rPr>
          <w:color w:val="231F20"/>
        </w:rPr>
        <w:t>de la </w:t>
      </w:r>
      <w:r>
        <w:rPr>
          <w:color w:val="231F20"/>
          <w:spacing w:val="2"/>
        </w:rPr>
        <w:t>violencia sufrida </w:t>
      </w:r>
      <w:r>
        <w:rPr>
          <w:color w:val="231F20"/>
          <w:spacing w:val="3"/>
        </w:rPr>
        <w:t>son </w:t>
      </w:r>
      <w:r>
        <w:rPr>
          <w:color w:val="231F20"/>
          <w:spacing w:val="2"/>
        </w:rPr>
        <w:t>múltiples </w:t>
      </w:r>
      <w:r>
        <w:rPr>
          <w:color w:val="231F20"/>
        </w:rPr>
        <w:t>y han </w:t>
      </w:r>
      <w:r>
        <w:rPr>
          <w:color w:val="231F20"/>
          <w:spacing w:val="2"/>
        </w:rPr>
        <w:t>dado lugar </w:t>
      </w:r>
      <w:r>
        <w:rPr>
          <w:color w:val="231F20"/>
        </w:rPr>
        <w:t>a </w:t>
      </w:r>
      <w:r>
        <w:rPr>
          <w:color w:val="231F20"/>
          <w:spacing w:val="2"/>
        </w:rPr>
        <w:t>especulaciones sobre </w:t>
      </w:r>
      <w:r>
        <w:rPr>
          <w:color w:val="231F20"/>
        </w:rPr>
        <w:t>los </w:t>
      </w:r>
      <w:r>
        <w:rPr>
          <w:color w:val="231F20"/>
          <w:spacing w:val="2"/>
        </w:rPr>
        <w:t>medios </w:t>
      </w:r>
      <w:r>
        <w:rPr>
          <w:color w:val="231F20"/>
        </w:rPr>
        <w:t>y </w:t>
      </w:r>
      <w:r>
        <w:rPr>
          <w:color w:val="231F20"/>
          <w:spacing w:val="2"/>
        </w:rPr>
        <w:t>los fines, </w:t>
      </w:r>
      <w:r>
        <w:rPr>
          <w:color w:val="231F20"/>
        </w:rPr>
        <w:t>y ello a su </w:t>
      </w:r>
      <w:r>
        <w:rPr>
          <w:color w:val="231F20"/>
          <w:spacing w:val="2"/>
        </w:rPr>
        <w:t>vez, nos hace reflexionar sobre </w:t>
      </w:r>
      <w:r>
        <w:rPr>
          <w:color w:val="231F20"/>
        </w:rPr>
        <w:t>el </w:t>
      </w:r>
      <w:r>
        <w:rPr>
          <w:color w:val="231F20"/>
          <w:spacing w:val="2"/>
        </w:rPr>
        <w:t>aspecto </w:t>
      </w:r>
      <w:r>
        <w:rPr>
          <w:color w:val="231F20"/>
          <w:spacing w:val="3"/>
        </w:rPr>
        <w:t>axioló- </w:t>
      </w:r>
      <w:r>
        <w:rPr>
          <w:color w:val="231F20"/>
          <w:spacing w:val="2"/>
        </w:rPr>
        <w:t>gico, pues </w:t>
      </w:r>
      <w:r>
        <w:rPr>
          <w:color w:val="231F20"/>
        </w:rPr>
        <w:t>la </w:t>
      </w:r>
      <w:r>
        <w:rPr>
          <w:color w:val="231F20"/>
          <w:spacing w:val="2"/>
        </w:rPr>
        <w:t>violencia alberga </w:t>
      </w:r>
      <w:r>
        <w:rPr>
          <w:color w:val="231F20"/>
        </w:rPr>
        <w:t>en sí un </w:t>
      </w:r>
      <w:r>
        <w:rPr>
          <w:color w:val="231F20"/>
          <w:spacing w:val="2"/>
        </w:rPr>
        <w:t>elemento adicional </w:t>
      </w:r>
      <w:r>
        <w:rPr>
          <w:color w:val="231F20"/>
        </w:rPr>
        <w:t>de arbi- </w:t>
      </w:r>
      <w:r>
        <w:rPr>
          <w:color w:val="231F20"/>
          <w:spacing w:val="2"/>
        </w:rPr>
        <w:t>trariedad.</w:t>
      </w:r>
    </w:p>
    <w:p>
      <w:pPr>
        <w:pStyle w:val="BodyText"/>
        <w:spacing w:line="249" w:lineRule="auto" w:before="10"/>
        <w:ind w:left="102" w:right="114" w:firstLine="284"/>
        <w:jc w:val="both"/>
      </w:pPr>
      <w:r>
        <w:rPr>
          <w:color w:val="231F20"/>
          <w:spacing w:val="2"/>
        </w:rPr>
        <w:t>Para </w:t>
      </w:r>
      <w:r>
        <w:rPr>
          <w:color w:val="231F20"/>
          <w:spacing w:val="3"/>
        </w:rPr>
        <w:t>comenzar </w:t>
      </w:r>
      <w:r>
        <w:rPr>
          <w:color w:val="231F20"/>
        </w:rPr>
        <w:t>a </w:t>
      </w:r>
      <w:r>
        <w:rPr>
          <w:color w:val="231F20"/>
          <w:spacing w:val="2"/>
        </w:rPr>
        <w:t>reflexionar sobre </w:t>
      </w:r>
      <w:r>
        <w:rPr>
          <w:color w:val="231F20"/>
        </w:rPr>
        <w:t>la </w:t>
      </w:r>
      <w:r>
        <w:rPr>
          <w:color w:val="231F20"/>
          <w:spacing w:val="2"/>
        </w:rPr>
        <w:t>violencia </w:t>
      </w:r>
      <w:r>
        <w:rPr>
          <w:color w:val="231F20"/>
        </w:rPr>
        <w:t>en </w:t>
      </w:r>
      <w:r>
        <w:rPr>
          <w:color w:val="231F20"/>
          <w:spacing w:val="2"/>
        </w:rPr>
        <w:t>los diversos </w:t>
      </w:r>
      <w:r>
        <w:rPr>
          <w:color w:val="231F20"/>
          <w:spacing w:val="3"/>
        </w:rPr>
        <w:t>ámbitos, como </w:t>
      </w:r>
      <w:r>
        <w:rPr>
          <w:color w:val="231F20"/>
        </w:rPr>
        <w:t>es la </w:t>
      </w:r>
      <w:r>
        <w:rPr>
          <w:color w:val="231F20"/>
          <w:spacing w:val="2"/>
        </w:rPr>
        <w:t>educación, </w:t>
      </w:r>
      <w:r>
        <w:rPr>
          <w:color w:val="231F20"/>
        </w:rPr>
        <w:t>se </w:t>
      </w:r>
      <w:r>
        <w:rPr>
          <w:color w:val="231F20"/>
          <w:spacing w:val="2"/>
        </w:rPr>
        <w:t>hace necesario explicitar desde </w:t>
      </w:r>
      <w:r>
        <w:rPr>
          <w:color w:val="231F20"/>
          <w:spacing w:val="3"/>
        </w:rPr>
        <w:t>dónde, cómo </w:t>
      </w:r>
      <w:r>
        <w:rPr>
          <w:color w:val="231F20"/>
        </w:rPr>
        <w:t>y </w:t>
      </w:r>
      <w:r>
        <w:rPr>
          <w:color w:val="231F20"/>
          <w:spacing w:val="3"/>
        </w:rPr>
        <w:t>porqué </w:t>
      </w:r>
      <w:r>
        <w:rPr>
          <w:color w:val="231F20"/>
        </w:rPr>
        <w:t>se </w:t>
      </w:r>
      <w:r>
        <w:rPr>
          <w:color w:val="231F20"/>
          <w:spacing w:val="2"/>
        </w:rPr>
        <w:t>habla </w:t>
      </w:r>
      <w:r>
        <w:rPr>
          <w:color w:val="231F20"/>
        </w:rPr>
        <w:t>de </w:t>
      </w:r>
      <w:r>
        <w:rPr>
          <w:color w:val="231F20"/>
          <w:spacing w:val="2"/>
        </w:rPr>
        <w:t>violencia </w:t>
      </w:r>
      <w:r>
        <w:rPr>
          <w:color w:val="231F20"/>
        </w:rPr>
        <w:t>en las </w:t>
      </w:r>
      <w:r>
        <w:rPr>
          <w:color w:val="231F20"/>
          <w:spacing w:val="2"/>
        </w:rPr>
        <w:t>sociedades </w:t>
      </w:r>
      <w:r>
        <w:rPr>
          <w:color w:val="231F20"/>
          <w:spacing w:val="3"/>
        </w:rPr>
        <w:t>contemporáneas; </w:t>
      </w:r>
      <w:r>
        <w:rPr>
          <w:color w:val="231F20"/>
        </w:rPr>
        <w:t>ya que se ha </w:t>
      </w:r>
      <w:r>
        <w:rPr>
          <w:color w:val="231F20"/>
          <w:spacing w:val="2"/>
        </w:rPr>
        <w:t>considerado este </w:t>
      </w:r>
      <w:r>
        <w:rPr>
          <w:color w:val="231F20"/>
          <w:spacing w:val="3"/>
        </w:rPr>
        <w:t>fenómeno como </w:t>
      </w:r>
      <w:r>
        <w:rPr>
          <w:color w:val="231F20"/>
        </w:rPr>
        <w:t>si </w:t>
      </w:r>
      <w:r>
        <w:rPr>
          <w:color w:val="231F20"/>
          <w:spacing w:val="2"/>
        </w:rPr>
        <w:t>fuera exclusivo </w:t>
      </w:r>
      <w:r>
        <w:rPr>
          <w:color w:val="231F20"/>
        </w:rPr>
        <w:t>de </w:t>
      </w:r>
      <w:r>
        <w:rPr>
          <w:color w:val="231F20"/>
          <w:spacing w:val="2"/>
        </w:rPr>
        <w:t>nuestros </w:t>
      </w:r>
      <w:r>
        <w:rPr>
          <w:color w:val="231F20"/>
          <w:spacing w:val="3"/>
        </w:rPr>
        <w:t>tiempos. </w:t>
      </w:r>
      <w:r>
        <w:rPr>
          <w:color w:val="231F20"/>
          <w:spacing w:val="2"/>
        </w:rPr>
        <w:t>De primera instancia, </w:t>
      </w:r>
      <w:r>
        <w:rPr>
          <w:color w:val="231F20"/>
        </w:rPr>
        <w:t>la </w:t>
      </w:r>
      <w:r>
        <w:rPr>
          <w:color w:val="231F20"/>
          <w:spacing w:val="3"/>
        </w:rPr>
        <w:t>vio- </w:t>
      </w:r>
      <w:r>
        <w:rPr>
          <w:color w:val="231F20"/>
          <w:spacing w:val="2"/>
        </w:rPr>
        <w:t>lencia </w:t>
      </w:r>
      <w:r>
        <w:rPr>
          <w:color w:val="231F20"/>
        </w:rPr>
        <w:t>es </w:t>
      </w:r>
      <w:r>
        <w:rPr>
          <w:color w:val="231F20"/>
          <w:spacing w:val="2"/>
        </w:rPr>
        <w:t>una relación social que existe </w:t>
      </w:r>
      <w:r>
        <w:rPr>
          <w:color w:val="231F20"/>
        </w:rPr>
        <w:t>y se </w:t>
      </w:r>
      <w:r>
        <w:rPr>
          <w:color w:val="231F20"/>
          <w:spacing w:val="2"/>
        </w:rPr>
        <w:t>genera desde que </w:t>
      </w:r>
      <w:r>
        <w:rPr>
          <w:color w:val="231F20"/>
        </w:rPr>
        <w:t>el </w:t>
      </w:r>
      <w:r>
        <w:rPr>
          <w:color w:val="231F20"/>
          <w:spacing w:val="2"/>
        </w:rPr>
        <w:t>individuo </w:t>
      </w:r>
      <w:r>
        <w:rPr>
          <w:color w:val="231F20"/>
        </w:rPr>
        <w:t>se </w:t>
      </w:r>
      <w:r>
        <w:rPr>
          <w:color w:val="231F20"/>
          <w:spacing w:val="3"/>
        </w:rPr>
        <w:t>humaniza </w:t>
      </w:r>
      <w:r>
        <w:rPr>
          <w:color w:val="231F20"/>
        </w:rPr>
        <w:t>en </w:t>
      </w:r>
      <w:r>
        <w:rPr>
          <w:color w:val="231F20"/>
          <w:spacing w:val="2"/>
        </w:rPr>
        <w:t>sociedad, </w:t>
      </w:r>
      <w:r>
        <w:rPr>
          <w:color w:val="231F20"/>
        </w:rPr>
        <w:t>es </w:t>
      </w:r>
      <w:r>
        <w:rPr>
          <w:color w:val="231F20"/>
          <w:spacing w:val="2"/>
        </w:rPr>
        <w:t>decir, </w:t>
      </w:r>
      <w:r>
        <w:rPr>
          <w:color w:val="231F20"/>
        </w:rPr>
        <w:t>no es un </w:t>
      </w:r>
      <w:r>
        <w:rPr>
          <w:color w:val="231F20"/>
          <w:spacing w:val="3"/>
        </w:rPr>
        <w:t>fenómeno   </w:t>
      </w:r>
      <w:r>
        <w:rPr>
          <w:color w:val="231F20"/>
        </w:rPr>
        <w:t>ni </w:t>
      </w:r>
      <w:r>
        <w:rPr>
          <w:color w:val="231F20"/>
          <w:spacing w:val="2"/>
        </w:rPr>
        <w:t>reciente, </w:t>
      </w:r>
      <w:r>
        <w:rPr>
          <w:color w:val="231F20"/>
        </w:rPr>
        <w:t>ni </w:t>
      </w:r>
      <w:r>
        <w:rPr>
          <w:color w:val="231F20"/>
          <w:spacing w:val="2"/>
        </w:rPr>
        <w:t>característico </w:t>
      </w:r>
      <w:r>
        <w:rPr>
          <w:color w:val="231F20"/>
        </w:rPr>
        <w:t>de </w:t>
      </w:r>
      <w:r>
        <w:rPr>
          <w:color w:val="231F20"/>
          <w:spacing w:val="2"/>
        </w:rPr>
        <w:t>esta sociedad, </w:t>
      </w:r>
      <w:r>
        <w:rPr>
          <w:color w:val="231F20"/>
        </w:rPr>
        <w:t>es </w:t>
      </w:r>
      <w:r>
        <w:rPr>
          <w:color w:val="231F20"/>
          <w:spacing w:val="2"/>
        </w:rPr>
        <w:t>expresión </w:t>
      </w:r>
      <w:r>
        <w:rPr>
          <w:color w:val="231F20"/>
        </w:rPr>
        <w:t>de </w:t>
      </w:r>
      <w:r>
        <w:rPr>
          <w:color w:val="231F20"/>
          <w:spacing w:val="2"/>
        </w:rPr>
        <w:t>las relaciones conflictivas </w:t>
      </w:r>
      <w:r>
        <w:rPr>
          <w:color w:val="231F20"/>
        </w:rPr>
        <w:t>y </w:t>
      </w:r>
      <w:r>
        <w:rPr>
          <w:color w:val="231F20"/>
          <w:spacing w:val="3"/>
        </w:rPr>
        <w:t>contradictorias </w:t>
      </w:r>
      <w:r>
        <w:rPr>
          <w:color w:val="231F20"/>
        </w:rPr>
        <w:t>que se </w:t>
      </w:r>
      <w:r>
        <w:rPr>
          <w:color w:val="231F20"/>
          <w:spacing w:val="2"/>
        </w:rPr>
        <w:t>generan entre los individuos </w:t>
      </w:r>
      <w:r>
        <w:rPr>
          <w:color w:val="231F20"/>
        </w:rPr>
        <w:t>en las </w:t>
      </w:r>
      <w:r>
        <w:rPr>
          <w:color w:val="231F20"/>
          <w:spacing w:val="2"/>
        </w:rPr>
        <w:t>sociedades </w:t>
      </w:r>
      <w:r>
        <w:rPr>
          <w:color w:val="231F20"/>
        </w:rPr>
        <w:t>de</w:t>
      </w:r>
      <w:r>
        <w:rPr>
          <w:color w:val="231F20"/>
          <w:spacing w:val="-17"/>
        </w:rPr>
        <w:t> </w:t>
      </w:r>
      <w:r>
        <w:rPr>
          <w:color w:val="231F20"/>
          <w:spacing w:val="2"/>
        </w:rPr>
        <w:t>clases.</w:t>
      </w:r>
    </w:p>
    <w:p>
      <w:pPr>
        <w:pStyle w:val="BodyText"/>
        <w:spacing w:line="244" w:lineRule="auto"/>
        <w:ind w:left="101" w:right="115" w:firstLine="284"/>
        <w:jc w:val="both"/>
      </w:pPr>
      <w:r>
        <w:rPr>
          <w:color w:val="231F20"/>
        </w:rPr>
        <w:t>Entonces,</w:t>
      </w:r>
      <w:r>
        <w:rPr>
          <w:color w:val="231F20"/>
          <w:spacing w:val="-9"/>
        </w:rPr>
        <w:t> </w:t>
      </w:r>
      <w:r>
        <w:rPr>
          <w:color w:val="231F20"/>
        </w:rPr>
        <w:t>se</w:t>
      </w:r>
      <w:r>
        <w:rPr>
          <w:color w:val="231F20"/>
          <w:spacing w:val="-8"/>
        </w:rPr>
        <w:t> </w:t>
      </w:r>
      <w:r>
        <w:rPr>
          <w:color w:val="231F20"/>
        </w:rPr>
        <w:t>convierte</w:t>
      </w:r>
      <w:r>
        <w:rPr>
          <w:color w:val="231F20"/>
          <w:spacing w:val="-8"/>
        </w:rPr>
        <w:t> </w:t>
      </w:r>
      <w:r>
        <w:rPr>
          <w:color w:val="231F20"/>
        </w:rPr>
        <w:t>en</w:t>
      </w:r>
      <w:r>
        <w:rPr>
          <w:color w:val="231F20"/>
          <w:spacing w:val="-8"/>
        </w:rPr>
        <w:t> </w:t>
      </w:r>
      <w:r>
        <w:rPr>
          <w:color w:val="231F20"/>
        </w:rPr>
        <w:t>expresión</w:t>
      </w:r>
      <w:r>
        <w:rPr>
          <w:color w:val="231F20"/>
          <w:spacing w:val="-8"/>
        </w:rPr>
        <w:t> </w:t>
      </w:r>
      <w:r>
        <w:rPr>
          <w:color w:val="231F20"/>
        </w:rPr>
        <w:t>del</w:t>
      </w:r>
      <w:r>
        <w:rPr>
          <w:color w:val="231F20"/>
          <w:spacing w:val="-9"/>
        </w:rPr>
        <w:t> </w:t>
      </w:r>
      <w:r>
        <w:rPr>
          <w:color w:val="231F20"/>
        </w:rPr>
        <w:t>dominio</w:t>
      </w:r>
      <w:r>
        <w:rPr>
          <w:color w:val="231F20"/>
          <w:spacing w:val="-8"/>
        </w:rPr>
        <w:t> </w:t>
      </w:r>
      <w:r>
        <w:rPr>
          <w:color w:val="231F20"/>
        </w:rPr>
        <w:t>y</w:t>
      </w:r>
      <w:r>
        <w:rPr>
          <w:color w:val="231F20"/>
          <w:spacing w:val="-8"/>
        </w:rPr>
        <w:t> </w:t>
      </w:r>
      <w:r>
        <w:rPr>
          <w:color w:val="231F20"/>
        </w:rPr>
        <w:t>razón</w:t>
      </w:r>
      <w:r>
        <w:rPr>
          <w:color w:val="231F20"/>
          <w:spacing w:val="-8"/>
        </w:rPr>
        <w:t> </w:t>
      </w:r>
      <w:r>
        <w:rPr>
          <w:color w:val="231F20"/>
        </w:rPr>
        <w:t>principal de la guerra, que continúa entre nosotros, por lo que la reflexión tendría que recuperar las diferentes formas de concebir la violencia, pues</w:t>
      </w:r>
      <w:r>
        <w:rPr>
          <w:color w:val="231F20"/>
          <w:spacing w:val="-10"/>
        </w:rPr>
        <w:t> </w:t>
      </w:r>
      <w:r>
        <w:rPr>
          <w:color w:val="231F20"/>
        </w:rPr>
        <w:t>algunos</w:t>
      </w:r>
      <w:r>
        <w:rPr>
          <w:color w:val="231F20"/>
          <w:spacing w:val="-10"/>
        </w:rPr>
        <w:t> </w:t>
      </w:r>
      <w:r>
        <w:rPr>
          <w:color w:val="231F20"/>
        </w:rPr>
        <w:t>autores,</w:t>
      </w:r>
      <w:r>
        <w:rPr>
          <w:color w:val="231F20"/>
          <w:spacing w:val="-10"/>
        </w:rPr>
        <w:t> </w:t>
      </w:r>
      <w:r>
        <w:rPr>
          <w:color w:val="231F20"/>
        </w:rPr>
        <w:t>llevan</w:t>
      </w:r>
      <w:r>
        <w:rPr>
          <w:color w:val="231F20"/>
          <w:spacing w:val="-9"/>
        </w:rPr>
        <w:t> </w:t>
      </w:r>
      <w:r>
        <w:rPr>
          <w:color w:val="231F20"/>
        </w:rPr>
        <w:t>a</w:t>
      </w:r>
      <w:r>
        <w:rPr>
          <w:color w:val="231F20"/>
          <w:spacing w:val="-9"/>
        </w:rPr>
        <w:t> </w:t>
      </w:r>
      <w:r>
        <w:rPr>
          <w:color w:val="231F20"/>
        </w:rPr>
        <w:t>considerarla</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deseo</w:t>
      </w:r>
      <w:r>
        <w:rPr>
          <w:color w:val="231F20"/>
          <w:spacing w:val="-9"/>
        </w:rPr>
        <w:t> </w:t>
      </w:r>
      <w:r>
        <w:rPr>
          <w:color w:val="231F20"/>
        </w:rPr>
        <w:t>de</w:t>
      </w:r>
      <w:r>
        <w:rPr>
          <w:color w:val="231F20"/>
          <w:spacing w:val="-9"/>
        </w:rPr>
        <w:t> </w:t>
      </w:r>
      <w:r>
        <w:rPr>
          <w:color w:val="231F20"/>
        </w:rPr>
        <w:t>muerte, el</w:t>
      </w:r>
      <w:r>
        <w:rPr>
          <w:color w:val="231F20"/>
          <w:spacing w:val="-15"/>
        </w:rPr>
        <w:t> </w:t>
      </w:r>
      <w:r>
        <w:rPr>
          <w:rFonts w:ascii="Palatino Linotype" w:hAnsi="Palatino Linotype"/>
          <w:i/>
          <w:color w:val="231F20"/>
        </w:rPr>
        <w:t>thanatos</w:t>
      </w:r>
      <w:r>
        <w:rPr>
          <w:rFonts w:ascii="Palatino Linotype" w:hAnsi="Palatino Linotype"/>
          <w:i/>
          <w:color w:val="231F20"/>
          <w:spacing w:val="-15"/>
        </w:rPr>
        <w:t> </w:t>
      </w:r>
      <w:r>
        <w:rPr>
          <w:color w:val="231F20"/>
        </w:rPr>
        <w:t>inherente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especie</w:t>
      </w:r>
      <w:r>
        <w:rPr>
          <w:color w:val="231F20"/>
          <w:spacing w:val="-15"/>
        </w:rPr>
        <w:t> </w:t>
      </w:r>
      <w:r>
        <w:rPr>
          <w:color w:val="231F20"/>
        </w:rPr>
        <w:t>humana</w:t>
      </w:r>
      <w:r>
        <w:rPr>
          <w:color w:val="231F20"/>
          <w:spacing w:val="-15"/>
        </w:rPr>
        <w:t> </w:t>
      </w:r>
      <w:r>
        <w:rPr>
          <w:color w:val="231F20"/>
        </w:rPr>
        <w:t>(Freud,</w:t>
      </w:r>
      <w:r>
        <w:rPr>
          <w:color w:val="231F20"/>
          <w:spacing w:val="-15"/>
        </w:rPr>
        <w:t> </w:t>
      </w:r>
      <w:r>
        <w:rPr>
          <w:color w:val="231F20"/>
        </w:rPr>
        <w:t>1999);</w:t>
      </w:r>
      <w:r>
        <w:rPr>
          <w:color w:val="231F20"/>
          <w:spacing w:val="-15"/>
        </w:rPr>
        <w:t> </w:t>
      </w:r>
      <w:r>
        <w:rPr>
          <w:color w:val="231F20"/>
        </w:rPr>
        <w:t>otros,</w:t>
      </w:r>
      <w:r>
        <w:rPr>
          <w:color w:val="231F20"/>
          <w:spacing w:val="-15"/>
        </w:rPr>
        <w:t> </w:t>
      </w:r>
      <w:r>
        <w:rPr>
          <w:color w:val="231F20"/>
        </w:rPr>
        <w:t>la</w:t>
      </w:r>
      <w:r>
        <w:rPr>
          <w:color w:val="231F20"/>
          <w:spacing w:val="-15"/>
        </w:rPr>
        <w:t> </w:t>
      </w:r>
      <w:r>
        <w:rPr>
          <w:color w:val="231F20"/>
        </w:rPr>
        <w:t>con- sideran como un irreprimible instinto de agresión que se relaciona con comportamientos de lucha por la especie, ya sea por el territorio o por la pareja, ello se hace depender de las necesidades de supervi- vencia o vitales, (Lorenz, 2003 y Tinmbergen, 1989) explicaciones que se han convertido en dominantesentre </w:t>
      </w:r>
      <w:r>
        <w:rPr>
          <w:color w:val="231F20"/>
          <w:spacing w:val="2"/>
        </w:rPr>
        <w:t>los etólogos que </w:t>
      </w:r>
      <w:r>
        <w:rPr>
          <w:color w:val="231F20"/>
        </w:rPr>
        <w:t>la </w:t>
      </w:r>
      <w:r>
        <w:rPr>
          <w:color w:val="231F20"/>
          <w:spacing w:val="2"/>
        </w:rPr>
        <w:t>ex- plican </w:t>
      </w:r>
      <w:r>
        <w:rPr>
          <w:color w:val="231F20"/>
        </w:rPr>
        <w:t>de </w:t>
      </w:r>
      <w:r>
        <w:rPr>
          <w:color w:val="231F20"/>
          <w:spacing w:val="3"/>
        </w:rPr>
        <w:t>manera </w:t>
      </w:r>
      <w:r>
        <w:rPr>
          <w:color w:val="231F20"/>
          <w:spacing w:val="2"/>
        </w:rPr>
        <w:t>biológica; </w:t>
      </w:r>
      <w:r>
        <w:rPr>
          <w:color w:val="231F20"/>
        </w:rPr>
        <w:t>otros más, como Arendt (1998), indican que la violencia nace en la esfera de lo privado para mitigar la satis- facción de las necesidades y que solo después se traspasa a la esfera de</w:t>
      </w:r>
      <w:r>
        <w:rPr>
          <w:color w:val="231F20"/>
          <w:spacing w:val="-9"/>
        </w:rPr>
        <w:t> </w:t>
      </w:r>
      <w:r>
        <w:rPr>
          <w:color w:val="231F20"/>
        </w:rPr>
        <w:t>lo</w:t>
      </w:r>
      <w:r>
        <w:rPr>
          <w:color w:val="231F20"/>
          <w:spacing w:val="-9"/>
        </w:rPr>
        <w:t> </w:t>
      </w:r>
      <w:r>
        <w:rPr>
          <w:color w:val="231F20"/>
        </w:rPr>
        <w:t>público.</w:t>
      </w:r>
      <w:r>
        <w:rPr>
          <w:color w:val="231F20"/>
          <w:spacing w:val="-10"/>
        </w:rPr>
        <w:t> </w:t>
      </w:r>
      <w:r>
        <w:rPr>
          <w:color w:val="231F20"/>
        </w:rPr>
        <w:t>Tampoco</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rPr>
        <w:t>dejar</w:t>
      </w:r>
      <w:r>
        <w:rPr>
          <w:color w:val="231F20"/>
          <w:spacing w:val="-10"/>
        </w:rPr>
        <w:t> </w:t>
      </w:r>
      <w:r>
        <w:rPr>
          <w:color w:val="231F20"/>
        </w:rPr>
        <w:t>fuera</w:t>
      </w:r>
      <w:r>
        <w:rPr>
          <w:color w:val="231F20"/>
          <w:spacing w:val="-9"/>
        </w:rPr>
        <w:t> </w:t>
      </w:r>
      <w:r>
        <w:rPr>
          <w:color w:val="231F20"/>
        </w:rPr>
        <w:t>la</w:t>
      </w:r>
      <w:r>
        <w:rPr>
          <w:color w:val="231F20"/>
          <w:spacing w:val="-9"/>
        </w:rPr>
        <w:t> </w:t>
      </w:r>
      <w:r>
        <w:rPr>
          <w:color w:val="231F20"/>
        </w:rPr>
        <w:t>explicación</w:t>
      </w:r>
      <w:r>
        <w:rPr>
          <w:color w:val="231F20"/>
          <w:spacing w:val="-9"/>
        </w:rPr>
        <w:t> </w:t>
      </w:r>
      <w:r>
        <w:rPr>
          <w:color w:val="231F20"/>
        </w:rPr>
        <w:t>que</w:t>
      </w:r>
      <w:r>
        <w:rPr>
          <w:color w:val="231F20"/>
          <w:spacing w:val="-9"/>
        </w:rPr>
        <w:t> </w:t>
      </w:r>
      <w:r>
        <w:rPr>
          <w:color w:val="231F20"/>
        </w:rPr>
        <w:t>hacen los iusnaturalistas acerca del derecho natural, como Hobbes (1984) en términos de que todos los hombres tienen las mismas necesidades y las mismas posibilidades de satisfacerlas, y en ello se engendra la violencia.</w:t>
      </w:r>
    </w:p>
    <w:p>
      <w:pPr>
        <w:pStyle w:val="BodyText"/>
        <w:spacing w:line="249" w:lineRule="auto" w:before="3"/>
        <w:ind w:left="102" w:right="115" w:firstLine="284"/>
        <w:jc w:val="both"/>
      </w:pPr>
      <w:r>
        <w:rPr>
          <w:color w:val="231F20"/>
        </w:rPr>
        <w:t>Sin </w:t>
      </w:r>
      <w:r>
        <w:rPr>
          <w:color w:val="231F20"/>
          <w:spacing w:val="3"/>
        </w:rPr>
        <w:t>embargo, </w:t>
      </w:r>
      <w:r>
        <w:rPr>
          <w:color w:val="231F20"/>
          <w:spacing w:val="2"/>
        </w:rPr>
        <w:t>para entender </w:t>
      </w:r>
      <w:r>
        <w:rPr>
          <w:color w:val="231F20"/>
        </w:rPr>
        <w:t>la </w:t>
      </w:r>
      <w:r>
        <w:rPr>
          <w:color w:val="231F20"/>
          <w:spacing w:val="2"/>
        </w:rPr>
        <w:t>violencia </w:t>
      </w:r>
      <w:r>
        <w:rPr>
          <w:color w:val="231F20"/>
          <w:spacing w:val="3"/>
        </w:rPr>
        <w:t>como </w:t>
      </w:r>
      <w:r>
        <w:rPr>
          <w:color w:val="231F20"/>
          <w:spacing w:val="2"/>
        </w:rPr>
        <w:t>una relación </w:t>
      </w:r>
      <w:r>
        <w:rPr>
          <w:color w:val="231F20"/>
          <w:spacing w:val="3"/>
        </w:rPr>
        <w:t>ca- </w:t>
      </w:r>
      <w:r>
        <w:rPr>
          <w:color w:val="231F20"/>
          <w:spacing w:val="2"/>
        </w:rPr>
        <w:t>racterística entre los </w:t>
      </w:r>
      <w:r>
        <w:rPr>
          <w:color w:val="231F20"/>
          <w:spacing w:val="3"/>
        </w:rPr>
        <w:t>individuos </w:t>
      </w:r>
      <w:r>
        <w:rPr>
          <w:color w:val="231F20"/>
        </w:rPr>
        <w:t>y </w:t>
      </w:r>
      <w:r>
        <w:rPr>
          <w:color w:val="231F20"/>
          <w:spacing w:val="2"/>
        </w:rPr>
        <w:t>gestada por </w:t>
      </w:r>
      <w:r>
        <w:rPr>
          <w:color w:val="231F20"/>
        </w:rPr>
        <w:t>el </w:t>
      </w:r>
      <w:r>
        <w:rPr>
          <w:color w:val="231F20"/>
          <w:spacing w:val="3"/>
        </w:rPr>
        <w:t>poder </w:t>
      </w:r>
      <w:r>
        <w:rPr>
          <w:color w:val="231F20"/>
        </w:rPr>
        <w:t>y el </w:t>
      </w:r>
      <w:r>
        <w:rPr>
          <w:color w:val="231F20"/>
          <w:spacing w:val="2"/>
        </w:rPr>
        <w:t>domi- nio entre ellos, </w:t>
      </w:r>
      <w:r>
        <w:rPr>
          <w:color w:val="231F20"/>
        </w:rPr>
        <w:t>es </w:t>
      </w:r>
      <w:r>
        <w:rPr>
          <w:color w:val="231F20"/>
          <w:spacing w:val="2"/>
        </w:rPr>
        <w:t>necesario ubicar </w:t>
      </w:r>
      <w:r>
        <w:rPr>
          <w:color w:val="231F20"/>
        </w:rPr>
        <w:t>en </w:t>
      </w:r>
      <w:r>
        <w:rPr>
          <w:color w:val="231F20"/>
          <w:spacing w:val="3"/>
        </w:rPr>
        <w:t>términos </w:t>
      </w:r>
      <w:r>
        <w:rPr>
          <w:color w:val="231F20"/>
          <w:spacing w:val="2"/>
        </w:rPr>
        <w:t>sociales </w:t>
      </w:r>
      <w:r>
        <w:rPr>
          <w:color w:val="231F20"/>
        </w:rPr>
        <w:t>su </w:t>
      </w:r>
      <w:r>
        <w:rPr>
          <w:color w:val="231F20"/>
          <w:spacing w:val="2"/>
        </w:rPr>
        <w:t>origen   </w:t>
      </w:r>
      <w:r>
        <w:rPr>
          <w:color w:val="231F20"/>
        </w:rPr>
        <w:t>y  </w:t>
      </w:r>
      <w:r>
        <w:rPr>
          <w:color w:val="231F20"/>
          <w:spacing w:val="2"/>
        </w:rPr>
        <w:t>desarrollo </w:t>
      </w:r>
      <w:r>
        <w:rPr>
          <w:color w:val="231F20"/>
        </w:rPr>
        <w:t>en  </w:t>
      </w:r>
      <w:r>
        <w:rPr>
          <w:color w:val="231F20"/>
          <w:spacing w:val="2"/>
        </w:rPr>
        <w:t>sociedades </w:t>
      </w:r>
      <w:r>
        <w:rPr>
          <w:color w:val="231F20"/>
        </w:rPr>
        <w:t>de  </w:t>
      </w:r>
      <w:r>
        <w:rPr>
          <w:color w:val="231F20"/>
          <w:spacing w:val="2"/>
        </w:rPr>
        <w:t>clase, </w:t>
      </w:r>
      <w:r>
        <w:rPr>
          <w:color w:val="231F20"/>
        </w:rPr>
        <w:t>y  en  ese  </w:t>
      </w:r>
      <w:r>
        <w:rPr>
          <w:color w:val="231F20"/>
          <w:spacing w:val="2"/>
        </w:rPr>
        <w:t>sentido ubicar  </w:t>
      </w:r>
      <w:r>
        <w:rPr>
          <w:color w:val="231F20"/>
          <w:spacing w:val="33"/>
        </w:rPr>
        <w:t> </w:t>
      </w:r>
      <w:r>
        <w:rPr>
          <w:color w:val="231F20"/>
        </w:rPr>
        <w:t>un</w:t>
      </w:r>
    </w:p>
    <w:p>
      <w:pPr>
        <w:spacing w:after="0" w:line="249" w:lineRule="auto"/>
        <w:jc w:val="both"/>
        <w:sectPr>
          <w:headerReference w:type="default" r:id="rId66"/>
          <w:footerReference w:type="default" r:id="rId67"/>
          <w:pgSz w:w="7830" w:h="11910"/>
          <w:pgMar w:header="0" w:footer="424" w:top="500" w:bottom="620" w:left="920" w:right="900"/>
          <w:pgNumType w:start="2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4"/>
        <w:jc w:val="both"/>
      </w:pPr>
      <w:r>
        <w:rPr>
          <w:color w:val="231F20"/>
          <w:spacing w:val="2"/>
        </w:rPr>
        <w:t>poder, </w:t>
      </w:r>
      <w:r>
        <w:rPr>
          <w:color w:val="231F20"/>
        </w:rPr>
        <w:t>que </w:t>
      </w:r>
      <w:r>
        <w:rPr>
          <w:color w:val="231F20"/>
          <w:spacing w:val="2"/>
        </w:rPr>
        <w:t>parece estar por encima </w:t>
      </w:r>
      <w:r>
        <w:rPr>
          <w:color w:val="231F20"/>
        </w:rPr>
        <w:t>de </w:t>
      </w:r>
      <w:r>
        <w:rPr>
          <w:color w:val="231F20"/>
          <w:spacing w:val="2"/>
        </w:rPr>
        <w:t>los demás para evitar </w:t>
      </w:r>
      <w:r>
        <w:rPr>
          <w:color w:val="231F20"/>
        </w:rPr>
        <w:t>la </w:t>
      </w:r>
      <w:r>
        <w:rPr>
          <w:color w:val="231F20"/>
          <w:spacing w:val="2"/>
        </w:rPr>
        <w:t>guerra, pero </w:t>
      </w:r>
      <w:r>
        <w:rPr>
          <w:color w:val="231F20"/>
        </w:rPr>
        <w:t>que es </w:t>
      </w:r>
      <w:r>
        <w:rPr>
          <w:color w:val="231F20"/>
          <w:spacing w:val="2"/>
        </w:rPr>
        <w:t>producto </w:t>
      </w:r>
      <w:r>
        <w:rPr>
          <w:color w:val="231F20"/>
        </w:rPr>
        <w:t>de las </w:t>
      </w:r>
      <w:r>
        <w:rPr>
          <w:color w:val="231F20"/>
          <w:spacing w:val="2"/>
        </w:rPr>
        <w:t>contradicciones </w:t>
      </w:r>
      <w:r>
        <w:rPr>
          <w:color w:val="231F20"/>
        </w:rPr>
        <w:t>de esa </w:t>
      </w:r>
      <w:r>
        <w:rPr>
          <w:color w:val="231F20"/>
          <w:spacing w:val="3"/>
        </w:rPr>
        <w:t>misma </w:t>
      </w:r>
      <w:r>
        <w:rPr>
          <w:color w:val="231F20"/>
          <w:spacing w:val="2"/>
        </w:rPr>
        <w:t>sociedad, </w:t>
      </w:r>
      <w:r>
        <w:rPr>
          <w:color w:val="231F20"/>
        </w:rPr>
        <w:t>que es el </w:t>
      </w:r>
      <w:r>
        <w:rPr>
          <w:color w:val="231F20"/>
          <w:spacing w:val="3"/>
        </w:rPr>
        <w:t>Estado. </w:t>
      </w:r>
      <w:r>
        <w:rPr>
          <w:color w:val="231F20"/>
        </w:rPr>
        <w:t>En </w:t>
      </w:r>
      <w:r>
        <w:rPr>
          <w:color w:val="231F20"/>
          <w:spacing w:val="2"/>
        </w:rPr>
        <w:t>este sentido, este trabajo tiene </w:t>
      </w:r>
      <w:r>
        <w:rPr>
          <w:color w:val="231F20"/>
          <w:spacing w:val="3"/>
        </w:rPr>
        <w:t>el propósito </w:t>
      </w:r>
      <w:r>
        <w:rPr>
          <w:color w:val="231F20"/>
        </w:rPr>
        <w:t>de </w:t>
      </w:r>
      <w:r>
        <w:rPr>
          <w:color w:val="231F20"/>
          <w:spacing w:val="2"/>
        </w:rPr>
        <w:t>develar </w:t>
      </w:r>
      <w:r>
        <w:rPr>
          <w:color w:val="231F20"/>
          <w:spacing w:val="3"/>
        </w:rPr>
        <w:t>cómo </w:t>
      </w:r>
      <w:r>
        <w:rPr>
          <w:color w:val="231F20"/>
        </w:rPr>
        <w:t>la </w:t>
      </w:r>
      <w:r>
        <w:rPr>
          <w:color w:val="231F20"/>
          <w:spacing w:val="2"/>
        </w:rPr>
        <w:t>violencia </w:t>
      </w:r>
      <w:r>
        <w:rPr>
          <w:color w:val="231F20"/>
        </w:rPr>
        <w:t>se </w:t>
      </w:r>
      <w:r>
        <w:rPr>
          <w:color w:val="231F20"/>
          <w:spacing w:val="2"/>
        </w:rPr>
        <w:t>impone desde </w:t>
      </w:r>
      <w:r>
        <w:rPr>
          <w:color w:val="231F20"/>
        </w:rPr>
        <w:t>la </w:t>
      </w:r>
      <w:r>
        <w:rPr>
          <w:color w:val="231F20"/>
          <w:spacing w:val="2"/>
        </w:rPr>
        <w:t>esfera  </w:t>
      </w:r>
      <w:r>
        <w:rPr>
          <w:color w:val="231F20"/>
        </w:rPr>
        <w:t>de lo </w:t>
      </w:r>
      <w:r>
        <w:rPr>
          <w:color w:val="231F20"/>
          <w:spacing w:val="2"/>
        </w:rPr>
        <w:t>público </w:t>
      </w:r>
      <w:r>
        <w:rPr>
          <w:color w:val="231F20"/>
        </w:rPr>
        <w:t>y </w:t>
      </w:r>
      <w:r>
        <w:rPr>
          <w:color w:val="231F20"/>
          <w:spacing w:val="2"/>
        </w:rPr>
        <w:t>caracteriza </w:t>
      </w:r>
      <w:r>
        <w:rPr>
          <w:color w:val="231F20"/>
        </w:rPr>
        <w:t>la </w:t>
      </w:r>
      <w:r>
        <w:rPr>
          <w:color w:val="231F20"/>
          <w:spacing w:val="2"/>
        </w:rPr>
        <w:t>política </w:t>
      </w:r>
      <w:r>
        <w:rPr>
          <w:color w:val="231F20"/>
        </w:rPr>
        <w:t>de </w:t>
      </w:r>
      <w:r>
        <w:rPr>
          <w:color w:val="231F20"/>
          <w:spacing w:val="3"/>
        </w:rPr>
        <w:t>Estado, </w:t>
      </w:r>
      <w:r>
        <w:rPr>
          <w:color w:val="231F20"/>
          <w:spacing w:val="2"/>
        </w:rPr>
        <w:t>para </w:t>
      </w:r>
      <w:r>
        <w:rPr>
          <w:color w:val="231F20"/>
        </w:rPr>
        <w:t>el </w:t>
      </w:r>
      <w:r>
        <w:rPr>
          <w:color w:val="231F20"/>
          <w:spacing w:val="3"/>
        </w:rPr>
        <w:t>control </w:t>
      </w:r>
      <w:r>
        <w:rPr>
          <w:color w:val="231F20"/>
        </w:rPr>
        <w:t>de </w:t>
      </w:r>
      <w:r>
        <w:rPr>
          <w:color w:val="231F20"/>
          <w:spacing w:val="2"/>
        </w:rPr>
        <w:t>los individuos </w:t>
      </w:r>
      <w:r>
        <w:rPr>
          <w:color w:val="231F20"/>
        </w:rPr>
        <w:t>en la </w:t>
      </w:r>
      <w:r>
        <w:rPr>
          <w:color w:val="231F20"/>
          <w:spacing w:val="3"/>
        </w:rPr>
        <w:t>reproducción </w:t>
      </w:r>
      <w:r>
        <w:rPr>
          <w:color w:val="231F20"/>
        </w:rPr>
        <w:t>de las </w:t>
      </w:r>
      <w:r>
        <w:rPr>
          <w:color w:val="231F20"/>
          <w:spacing w:val="2"/>
        </w:rPr>
        <w:t>sociedades </w:t>
      </w:r>
      <w:r>
        <w:rPr>
          <w:color w:val="231F20"/>
        </w:rPr>
        <w:t>de </w:t>
      </w:r>
      <w:r>
        <w:rPr>
          <w:color w:val="231F20"/>
          <w:spacing w:val="2"/>
        </w:rPr>
        <w:t>clase, </w:t>
      </w:r>
      <w:r>
        <w:rPr>
          <w:color w:val="231F20"/>
        </w:rPr>
        <w:t>y se </w:t>
      </w:r>
      <w:r>
        <w:rPr>
          <w:color w:val="231F20"/>
          <w:spacing w:val="3"/>
        </w:rPr>
        <w:t>introduce </w:t>
      </w:r>
      <w:r>
        <w:rPr>
          <w:color w:val="231F20"/>
        </w:rPr>
        <w:t>en </w:t>
      </w:r>
      <w:r>
        <w:rPr>
          <w:color w:val="231F20"/>
          <w:spacing w:val="3"/>
        </w:rPr>
        <w:t>ámbitos como </w:t>
      </w:r>
      <w:r>
        <w:rPr>
          <w:color w:val="231F20"/>
        </w:rPr>
        <w:t>la</w:t>
      </w:r>
      <w:r>
        <w:rPr>
          <w:color w:val="231F20"/>
          <w:spacing w:val="28"/>
        </w:rPr>
        <w:t> </w:t>
      </w:r>
      <w:r>
        <w:rPr>
          <w:color w:val="231F20"/>
          <w:spacing w:val="3"/>
        </w:rPr>
        <w:t>educación.</w:t>
      </w:r>
    </w:p>
    <w:p>
      <w:pPr>
        <w:pStyle w:val="BodyText"/>
        <w:spacing w:line="249" w:lineRule="auto"/>
        <w:ind w:left="102" w:right="114" w:firstLine="284"/>
        <w:jc w:val="both"/>
      </w:pPr>
      <w:r>
        <w:rPr>
          <w:color w:val="231F20"/>
          <w:spacing w:val="3"/>
        </w:rPr>
        <w:t>Entonces, </w:t>
      </w:r>
      <w:r>
        <w:rPr>
          <w:color w:val="231F20"/>
          <w:spacing w:val="2"/>
        </w:rPr>
        <w:t>para </w:t>
      </w:r>
      <w:r>
        <w:rPr>
          <w:color w:val="231F20"/>
          <w:spacing w:val="3"/>
        </w:rPr>
        <w:t>comprender </w:t>
      </w:r>
      <w:r>
        <w:rPr>
          <w:color w:val="231F20"/>
        </w:rPr>
        <w:t>el </w:t>
      </w:r>
      <w:r>
        <w:rPr>
          <w:color w:val="231F20"/>
          <w:spacing w:val="2"/>
        </w:rPr>
        <w:t>sentido </w:t>
      </w:r>
      <w:r>
        <w:rPr>
          <w:color w:val="231F20"/>
        </w:rPr>
        <w:t>que </w:t>
      </w:r>
      <w:r>
        <w:rPr>
          <w:color w:val="231F20"/>
          <w:spacing w:val="2"/>
        </w:rPr>
        <w:t>tiene para </w:t>
      </w:r>
      <w:r>
        <w:rPr>
          <w:color w:val="231F20"/>
        </w:rPr>
        <w:t>la </w:t>
      </w:r>
      <w:r>
        <w:rPr>
          <w:color w:val="231F20"/>
          <w:spacing w:val="2"/>
        </w:rPr>
        <w:t>socie- dad </w:t>
      </w:r>
      <w:r>
        <w:rPr>
          <w:color w:val="231F20"/>
        </w:rPr>
        <w:t>la </w:t>
      </w:r>
      <w:r>
        <w:rPr>
          <w:color w:val="231F20"/>
          <w:spacing w:val="2"/>
        </w:rPr>
        <w:t>violencia, </w:t>
      </w:r>
      <w:r>
        <w:rPr>
          <w:color w:val="231F20"/>
        </w:rPr>
        <w:t>se </w:t>
      </w:r>
      <w:r>
        <w:rPr>
          <w:color w:val="231F20"/>
          <w:spacing w:val="2"/>
        </w:rPr>
        <w:t>requiere considerar una teoría social que inter- prete dichos </w:t>
      </w:r>
      <w:r>
        <w:rPr>
          <w:color w:val="231F20"/>
          <w:spacing w:val="3"/>
        </w:rPr>
        <w:t>procesos, </w:t>
      </w:r>
      <w:r>
        <w:rPr>
          <w:color w:val="231F20"/>
        </w:rPr>
        <w:t>de </w:t>
      </w:r>
      <w:r>
        <w:rPr>
          <w:color w:val="231F20"/>
          <w:spacing w:val="2"/>
        </w:rPr>
        <w:t>ahí </w:t>
      </w:r>
      <w:r>
        <w:rPr>
          <w:color w:val="231F20"/>
        </w:rPr>
        <w:t>que se </w:t>
      </w:r>
      <w:r>
        <w:rPr>
          <w:color w:val="231F20"/>
          <w:spacing w:val="3"/>
        </w:rPr>
        <w:t>recuperen </w:t>
      </w:r>
      <w:r>
        <w:rPr>
          <w:color w:val="231F20"/>
          <w:spacing w:val="2"/>
        </w:rPr>
        <w:t>los aportes  </w:t>
      </w:r>
      <w:r>
        <w:rPr>
          <w:color w:val="231F20"/>
        </w:rPr>
        <w:t>de </w:t>
      </w:r>
      <w:r>
        <w:rPr>
          <w:color w:val="231F20"/>
          <w:spacing w:val="2"/>
        </w:rPr>
        <w:t>Walter </w:t>
      </w:r>
      <w:r>
        <w:rPr>
          <w:color w:val="231F20"/>
          <w:spacing w:val="3"/>
        </w:rPr>
        <w:t>Benjamin </w:t>
      </w:r>
      <w:r>
        <w:rPr>
          <w:color w:val="231F20"/>
          <w:spacing w:val="2"/>
        </w:rPr>
        <w:t>(1995) </w:t>
      </w:r>
      <w:r>
        <w:rPr>
          <w:color w:val="231F20"/>
          <w:spacing w:val="3"/>
        </w:rPr>
        <w:t>como </w:t>
      </w:r>
      <w:r>
        <w:rPr>
          <w:color w:val="231F20"/>
        </w:rPr>
        <w:t>un </w:t>
      </w:r>
      <w:r>
        <w:rPr>
          <w:color w:val="231F20"/>
          <w:spacing w:val="3"/>
        </w:rPr>
        <w:t>pensador </w:t>
      </w:r>
      <w:r>
        <w:rPr>
          <w:color w:val="231F20"/>
          <w:spacing w:val="2"/>
        </w:rPr>
        <w:t>social,  </w:t>
      </w:r>
      <w:r>
        <w:rPr>
          <w:color w:val="231F20"/>
          <w:spacing w:val="3"/>
        </w:rPr>
        <w:t>preocupado</w:t>
      </w:r>
      <w:r>
        <w:rPr>
          <w:color w:val="231F20"/>
          <w:spacing w:val="58"/>
        </w:rPr>
        <w:t> </w:t>
      </w:r>
      <w:r>
        <w:rPr>
          <w:color w:val="231F20"/>
          <w:spacing w:val="2"/>
        </w:rPr>
        <w:t>por </w:t>
      </w:r>
      <w:r>
        <w:rPr>
          <w:color w:val="231F20"/>
        </w:rPr>
        <w:t>la </w:t>
      </w:r>
      <w:r>
        <w:rPr>
          <w:color w:val="231F20"/>
          <w:spacing w:val="3"/>
        </w:rPr>
        <w:t>manera </w:t>
      </w:r>
      <w:r>
        <w:rPr>
          <w:color w:val="231F20"/>
        </w:rPr>
        <w:t>en que se </w:t>
      </w:r>
      <w:r>
        <w:rPr>
          <w:color w:val="231F20"/>
          <w:spacing w:val="2"/>
        </w:rPr>
        <w:t>construye </w:t>
      </w:r>
      <w:r>
        <w:rPr>
          <w:color w:val="231F20"/>
        </w:rPr>
        <w:t>la </w:t>
      </w:r>
      <w:r>
        <w:rPr>
          <w:color w:val="231F20"/>
          <w:spacing w:val="2"/>
        </w:rPr>
        <w:t>sociedad </w:t>
      </w:r>
      <w:r>
        <w:rPr>
          <w:color w:val="231F20"/>
        </w:rPr>
        <w:t>en su </w:t>
      </w:r>
      <w:r>
        <w:rPr>
          <w:color w:val="231F20"/>
          <w:spacing w:val="2"/>
        </w:rPr>
        <w:t>relación con    </w:t>
      </w:r>
      <w:r>
        <w:rPr>
          <w:color w:val="231F20"/>
        </w:rPr>
        <w:t>el </w:t>
      </w:r>
      <w:r>
        <w:rPr>
          <w:color w:val="231F20"/>
          <w:spacing w:val="2"/>
        </w:rPr>
        <w:t>derecho </w:t>
      </w:r>
      <w:r>
        <w:rPr>
          <w:color w:val="231F20"/>
        </w:rPr>
        <w:t>y la </w:t>
      </w:r>
      <w:r>
        <w:rPr>
          <w:color w:val="231F20"/>
          <w:spacing w:val="2"/>
        </w:rPr>
        <w:t>justicia, que </w:t>
      </w:r>
      <w:r>
        <w:rPr>
          <w:color w:val="231F20"/>
        </w:rPr>
        <w:t>en </w:t>
      </w:r>
      <w:r>
        <w:rPr>
          <w:color w:val="231F20"/>
          <w:spacing w:val="2"/>
        </w:rPr>
        <w:t>cierto </w:t>
      </w:r>
      <w:r>
        <w:rPr>
          <w:color w:val="231F20"/>
          <w:spacing w:val="3"/>
        </w:rPr>
        <w:t>modo </w:t>
      </w:r>
      <w:r>
        <w:rPr>
          <w:color w:val="231F20"/>
        </w:rPr>
        <w:t>ha </w:t>
      </w:r>
      <w:r>
        <w:rPr>
          <w:color w:val="231F20"/>
          <w:spacing w:val="2"/>
        </w:rPr>
        <w:t>justificado, desde siempre, </w:t>
      </w:r>
      <w:r>
        <w:rPr>
          <w:color w:val="231F20"/>
        </w:rPr>
        <w:t>el </w:t>
      </w:r>
      <w:r>
        <w:rPr>
          <w:color w:val="231F20"/>
          <w:spacing w:val="2"/>
        </w:rPr>
        <w:t>recurso </w:t>
      </w:r>
      <w:r>
        <w:rPr>
          <w:color w:val="231F20"/>
        </w:rPr>
        <w:t>de </w:t>
      </w:r>
      <w:r>
        <w:rPr>
          <w:color w:val="231F20"/>
          <w:spacing w:val="3"/>
        </w:rPr>
        <w:t>medios </w:t>
      </w:r>
      <w:r>
        <w:rPr>
          <w:color w:val="231F20"/>
          <w:spacing w:val="2"/>
        </w:rPr>
        <w:t>violentos, por </w:t>
      </w:r>
      <w:r>
        <w:rPr>
          <w:color w:val="231F20"/>
        </w:rPr>
        <w:t>lo que </w:t>
      </w:r>
      <w:r>
        <w:rPr>
          <w:color w:val="231F20"/>
          <w:spacing w:val="3"/>
        </w:rPr>
        <w:t>encamina </w:t>
      </w:r>
      <w:r>
        <w:rPr>
          <w:color w:val="231F20"/>
        </w:rPr>
        <w:t>su </w:t>
      </w:r>
      <w:r>
        <w:rPr>
          <w:color w:val="231F20"/>
          <w:spacing w:val="2"/>
        </w:rPr>
        <w:t>reflexión hacia </w:t>
      </w:r>
      <w:r>
        <w:rPr>
          <w:color w:val="231F20"/>
        </w:rPr>
        <w:t>la </w:t>
      </w:r>
      <w:r>
        <w:rPr>
          <w:color w:val="231F20"/>
          <w:spacing w:val="3"/>
        </w:rPr>
        <w:t>distinción </w:t>
      </w:r>
      <w:r>
        <w:rPr>
          <w:color w:val="231F20"/>
          <w:spacing w:val="2"/>
        </w:rPr>
        <w:t>entre </w:t>
      </w:r>
      <w:r>
        <w:rPr>
          <w:color w:val="231F20"/>
        </w:rPr>
        <w:t>el </w:t>
      </w:r>
      <w:r>
        <w:rPr>
          <w:color w:val="231F20"/>
          <w:spacing w:val="2"/>
        </w:rPr>
        <w:t>derecho natural, </w:t>
      </w:r>
      <w:r>
        <w:rPr>
          <w:color w:val="231F20"/>
        </w:rPr>
        <w:t>que </w:t>
      </w:r>
      <w:r>
        <w:rPr>
          <w:color w:val="231F20"/>
          <w:spacing w:val="2"/>
        </w:rPr>
        <w:t>hace </w:t>
      </w:r>
      <w:r>
        <w:rPr>
          <w:color w:val="231F20"/>
        </w:rPr>
        <w:t>de   la </w:t>
      </w:r>
      <w:r>
        <w:rPr>
          <w:color w:val="231F20"/>
          <w:spacing w:val="2"/>
        </w:rPr>
        <w:t>violencia </w:t>
      </w:r>
      <w:r>
        <w:rPr>
          <w:color w:val="231F20"/>
        </w:rPr>
        <w:t>un </w:t>
      </w:r>
      <w:r>
        <w:rPr>
          <w:color w:val="231F20"/>
          <w:spacing w:val="2"/>
        </w:rPr>
        <w:t>dato natural, </w:t>
      </w:r>
      <w:r>
        <w:rPr>
          <w:color w:val="231F20"/>
        </w:rPr>
        <w:t>y el </w:t>
      </w:r>
      <w:r>
        <w:rPr>
          <w:color w:val="231F20"/>
          <w:spacing w:val="2"/>
        </w:rPr>
        <w:t>derecho positivo, que </w:t>
      </w:r>
      <w:r>
        <w:rPr>
          <w:color w:val="231F20"/>
          <w:spacing w:val="3"/>
        </w:rPr>
        <w:t>toma </w:t>
      </w:r>
      <w:r>
        <w:rPr>
          <w:color w:val="231F20"/>
        </w:rPr>
        <w:t>en </w:t>
      </w:r>
      <w:r>
        <w:rPr>
          <w:color w:val="231F20"/>
          <w:spacing w:val="2"/>
        </w:rPr>
        <w:t>cuenta </w:t>
      </w:r>
      <w:r>
        <w:rPr>
          <w:color w:val="231F20"/>
        </w:rPr>
        <w:t>la </w:t>
      </w:r>
      <w:r>
        <w:rPr>
          <w:color w:val="231F20"/>
          <w:spacing w:val="3"/>
        </w:rPr>
        <w:t>transformación </w:t>
      </w:r>
      <w:r>
        <w:rPr>
          <w:color w:val="231F20"/>
          <w:spacing w:val="2"/>
        </w:rPr>
        <w:t>histórica del </w:t>
      </w:r>
      <w:r>
        <w:rPr>
          <w:color w:val="231F20"/>
          <w:spacing w:val="3"/>
        </w:rPr>
        <w:t>poder. Otros </w:t>
      </w:r>
      <w:r>
        <w:rPr>
          <w:color w:val="231F20"/>
          <w:spacing w:val="2"/>
        </w:rPr>
        <w:t>aportes </w:t>
      </w:r>
      <w:r>
        <w:rPr>
          <w:color w:val="231F20"/>
        </w:rPr>
        <w:t>y di- </w:t>
      </w:r>
      <w:r>
        <w:rPr>
          <w:color w:val="231F20"/>
          <w:spacing w:val="2"/>
        </w:rPr>
        <w:t>sertaciones </w:t>
      </w:r>
      <w:r>
        <w:rPr>
          <w:color w:val="231F20"/>
        </w:rPr>
        <w:t>que se </w:t>
      </w:r>
      <w:r>
        <w:rPr>
          <w:color w:val="231F20"/>
          <w:spacing w:val="2"/>
        </w:rPr>
        <w:t>consideran </w:t>
      </w:r>
      <w:r>
        <w:rPr>
          <w:color w:val="231F20"/>
        </w:rPr>
        <w:t>en el </w:t>
      </w:r>
      <w:r>
        <w:rPr>
          <w:color w:val="231F20"/>
          <w:spacing w:val="2"/>
        </w:rPr>
        <w:t>tema devienen </w:t>
      </w:r>
      <w:r>
        <w:rPr>
          <w:color w:val="231F20"/>
        </w:rPr>
        <w:t>de </w:t>
      </w:r>
      <w:r>
        <w:rPr>
          <w:color w:val="231F20"/>
          <w:spacing w:val="2"/>
        </w:rPr>
        <w:t>los trabajos  </w:t>
      </w:r>
      <w:r>
        <w:rPr>
          <w:color w:val="231F20"/>
        </w:rPr>
        <w:t>de </w:t>
      </w:r>
      <w:r>
        <w:rPr>
          <w:color w:val="231F20"/>
          <w:spacing w:val="3"/>
        </w:rPr>
        <w:t>Arendt </w:t>
      </w:r>
      <w:r>
        <w:rPr>
          <w:color w:val="231F20"/>
          <w:spacing w:val="2"/>
        </w:rPr>
        <w:t>(1998), </w:t>
      </w:r>
      <w:r>
        <w:rPr>
          <w:color w:val="231F20"/>
          <w:spacing w:val="3"/>
        </w:rPr>
        <w:t>Fanon, </w:t>
      </w:r>
      <w:r>
        <w:rPr>
          <w:color w:val="231F20"/>
          <w:spacing w:val="2"/>
        </w:rPr>
        <w:t>Marx </w:t>
      </w:r>
      <w:r>
        <w:rPr>
          <w:color w:val="231F20"/>
        </w:rPr>
        <w:t>y</w:t>
      </w:r>
      <w:r>
        <w:rPr>
          <w:color w:val="231F20"/>
          <w:spacing w:val="-1"/>
        </w:rPr>
        <w:t> </w:t>
      </w:r>
      <w:r>
        <w:rPr>
          <w:color w:val="231F20"/>
          <w:spacing w:val="3"/>
        </w:rPr>
        <w:t>Habermas.</w:t>
      </w:r>
    </w:p>
    <w:p>
      <w:pPr>
        <w:pStyle w:val="BodyText"/>
        <w:spacing w:line="247" w:lineRule="auto"/>
        <w:ind w:left="102" w:right="115" w:firstLine="283"/>
        <w:jc w:val="both"/>
      </w:pPr>
      <w:r>
        <w:rPr>
          <w:color w:val="231F20"/>
        </w:rPr>
        <w:t>El </w:t>
      </w:r>
      <w:r>
        <w:rPr>
          <w:color w:val="231F20"/>
          <w:spacing w:val="2"/>
        </w:rPr>
        <w:t>trabajo </w:t>
      </w:r>
      <w:r>
        <w:rPr>
          <w:color w:val="231F20"/>
        </w:rPr>
        <w:t>se </w:t>
      </w:r>
      <w:r>
        <w:rPr>
          <w:color w:val="231F20"/>
          <w:spacing w:val="2"/>
        </w:rPr>
        <w:t>organiza </w:t>
      </w:r>
      <w:r>
        <w:rPr>
          <w:color w:val="231F20"/>
        </w:rPr>
        <w:t>en un </w:t>
      </w:r>
      <w:r>
        <w:rPr>
          <w:color w:val="231F20"/>
          <w:spacing w:val="2"/>
        </w:rPr>
        <w:t>primer apartado para discutir  acerca </w:t>
      </w:r>
      <w:r>
        <w:rPr>
          <w:color w:val="231F20"/>
        </w:rPr>
        <w:t>de la </w:t>
      </w:r>
      <w:r>
        <w:rPr>
          <w:color w:val="231F20"/>
          <w:spacing w:val="2"/>
        </w:rPr>
        <w:t>violencia </w:t>
      </w:r>
      <w:r>
        <w:rPr>
          <w:color w:val="231F20"/>
        </w:rPr>
        <w:t>de </w:t>
      </w:r>
      <w:r>
        <w:rPr>
          <w:color w:val="231F20"/>
          <w:spacing w:val="2"/>
        </w:rPr>
        <w:t>origen </w:t>
      </w:r>
      <w:r>
        <w:rPr>
          <w:color w:val="231F20"/>
        </w:rPr>
        <w:t>en </w:t>
      </w:r>
      <w:r>
        <w:rPr>
          <w:color w:val="231F20"/>
          <w:spacing w:val="2"/>
        </w:rPr>
        <w:t>sociedades </w:t>
      </w:r>
      <w:r>
        <w:rPr>
          <w:color w:val="231F20"/>
          <w:spacing w:val="3"/>
        </w:rPr>
        <w:t>como </w:t>
      </w:r>
      <w:r>
        <w:rPr>
          <w:color w:val="231F20"/>
        </w:rPr>
        <w:t>las </w:t>
      </w:r>
      <w:r>
        <w:rPr>
          <w:color w:val="231F20"/>
          <w:spacing w:val="3"/>
        </w:rPr>
        <w:t>nuestras</w:t>
      </w:r>
      <w:r>
        <w:rPr>
          <w:color w:val="231F20"/>
          <w:spacing w:val="58"/>
        </w:rPr>
        <w:t> </w:t>
      </w:r>
      <w:r>
        <w:rPr>
          <w:color w:val="231F20"/>
        </w:rPr>
        <w:t>(de </w:t>
      </w:r>
      <w:r>
        <w:rPr>
          <w:color w:val="231F20"/>
          <w:spacing w:val="2"/>
        </w:rPr>
        <w:t>clases), </w:t>
      </w:r>
      <w:r>
        <w:rPr>
          <w:color w:val="231F20"/>
        </w:rPr>
        <w:t>y su </w:t>
      </w:r>
      <w:r>
        <w:rPr>
          <w:color w:val="231F20"/>
          <w:spacing w:val="2"/>
        </w:rPr>
        <w:t>relación con </w:t>
      </w:r>
      <w:r>
        <w:rPr>
          <w:color w:val="231F20"/>
        </w:rPr>
        <w:t>la </w:t>
      </w:r>
      <w:r>
        <w:rPr>
          <w:color w:val="231F20"/>
          <w:spacing w:val="2"/>
        </w:rPr>
        <w:t>razón </w:t>
      </w:r>
      <w:r>
        <w:rPr>
          <w:color w:val="231F20"/>
        </w:rPr>
        <w:t>de </w:t>
      </w:r>
      <w:r>
        <w:rPr>
          <w:color w:val="231F20"/>
          <w:spacing w:val="2"/>
        </w:rPr>
        <w:t>Estado; </w:t>
      </w:r>
      <w:r>
        <w:rPr>
          <w:color w:val="231F20"/>
        </w:rPr>
        <w:t>un </w:t>
      </w:r>
      <w:r>
        <w:rPr>
          <w:color w:val="231F20"/>
          <w:spacing w:val="2"/>
        </w:rPr>
        <w:t>segundo apar- tado </w:t>
      </w:r>
      <w:r>
        <w:rPr>
          <w:color w:val="231F20"/>
        </w:rPr>
        <w:t>que </w:t>
      </w:r>
      <w:r>
        <w:rPr>
          <w:color w:val="231F20"/>
          <w:spacing w:val="2"/>
        </w:rPr>
        <w:t>examina </w:t>
      </w:r>
      <w:r>
        <w:rPr>
          <w:color w:val="231F20"/>
        </w:rPr>
        <w:t>la </w:t>
      </w:r>
      <w:r>
        <w:rPr>
          <w:color w:val="231F20"/>
          <w:spacing w:val="2"/>
        </w:rPr>
        <w:t>violencia </w:t>
      </w:r>
      <w:r>
        <w:rPr>
          <w:color w:val="231F20"/>
        </w:rPr>
        <w:t>en </w:t>
      </w:r>
      <w:r>
        <w:rPr>
          <w:color w:val="231F20"/>
          <w:spacing w:val="3"/>
        </w:rPr>
        <w:t>términos </w:t>
      </w:r>
      <w:r>
        <w:rPr>
          <w:color w:val="231F20"/>
        </w:rPr>
        <w:t>de su </w:t>
      </w:r>
      <w:r>
        <w:rPr>
          <w:color w:val="231F20"/>
          <w:spacing w:val="2"/>
        </w:rPr>
        <w:t>expresión </w:t>
      </w:r>
      <w:r>
        <w:rPr>
          <w:color w:val="231F20"/>
          <w:spacing w:val="3"/>
        </w:rPr>
        <w:t>mate- </w:t>
      </w:r>
      <w:r>
        <w:rPr>
          <w:color w:val="231F20"/>
          <w:spacing w:val="2"/>
        </w:rPr>
        <w:t>rial, política </w:t>
      </w:r>
      <w:r>
        <w:rPr>
          <w:color w:val="231F20"/>
        </w:rPr>
        <w:t>y su </w:t>
      </w:r>
      <w:r>
        <w:rPr>
          <w:color w:val="231F20"/>
          <w:spacing w:val="3"/>
        </w:rPr>
        <w:t>expansión </w:t>
      </w:r>
      <w:r>
        <w:rPr>
          <w:color w:val="231F20"/>
        </w:rPr>
        <w:t>a </w:t>
      </w:r>
      <w:r>
        <w:rPr>
          <w:color w:val="231F20"/>
          <w:spacing w:val="3"/>
        </w:rPr>
        <w:t>todos </w:t>
      </w:r>
      <w:r>
        <w:rPr>
          <w:color w:val="231F20"/>
          <w:spacing w:val="2"/>
        </w:rPr>
        <w:t>los </w:t>
      </w:r>
      <w:r>
        <w:rPr>
          <w:color w:val="231F20"/>
          <w:spacing w:val="3"/>
        </w:rPr>
        <w:t>ámbitos, como </w:t>
      </w:r>
      <w:r>
        <w:rPr>
          <w:color w:val="231F20"/>
        </w:rPr>
        <w:t>es el </w:t>
      </w:r>
      <w:r>
        <w:rPr>
          <w:color w:val="231F20"/>
          <w:spacing w:val="2"/>
        </w:rPr>
        <w:t>educa- tivo, especialmente </w:t>
      </w:r>
      <w:r>
        <w:rPr>
          <w:color w:val="231F20"/>
        </w:rPr>
        <w:t>en las </w:t>
      </w:r>
      <w:r>
        <w:rPr>
          <w:color w:val="231F20"/>
          <w:spacing w:val="2"/>
        </w:rPr>
        <w:t>universidades, para finalmente concluir con </w:t>
      </w:r>
      <w:r>
        <w:rPr>
          <w:color w:val="231F20"/>
        </w:rPr>
        <w:t>un </w:t>
      </w:r>
      <w:r>
        <w:rPr>
          <w:color w:val="231F20"/>
          <w:spacing w:val="2"/>
        </w:rPr>
        <w:t>ejercicio desde </w:t>
      </w:r>
      <w:r>
        <w:rPr>
          <w:color w:val="231F20"/>
        </w:rPr>
        <w:t>lo </w:t>
      </w:r>
      <w:r>
        <w:rPr>
          <w:color w:val="231F20"/>
          <w:spacing w:val="2"/>
        </w:rPr>
        <w:t>concreto para dilucidar </w:t>
      </w:r>
      <w:r>
        <w:rPr>
          <w:color w:val="231F20"/>
        </w:rPr>
        <w:t>si en la </w:t>
      </w:r>
      <w:r>
        <w:rPr>
          <w:color w:val="231F20"/>
          <w:spacing w:val="2"/>
        </w:rPr>
        <w:t>política pública para </w:t>
      </w:r>
      <w:r>
        <w:rPr>
          <w:color w:val="231F20"/>
        </w:rPr>
        <w:t>la </w:t>
      </w:r>
      <w:r>
        <w:rPr>
          <w:color w:val="231F20"/>
          <w:spacing w:val="2"/>
        </w:rPr>
        <w:t>educación, específicamente </w:t>
      </w:r>
      <w:r>
        <w:rPr>
          <w:color w:val="231F20"/>
        </w:rPr>
        <w:t>en la </w:t>
      </w:r>
      <w:r>
        <w:rPr>
          <w:color w:val="231F20"/>
          <w:spacing w:val="2"/>
        </w:rPr>
        <w:t>universidad, </w:t>
      </w:r>
      <w:r>
        <w:rPr>
          <w:color w:val="231F20"/>
        </w:rPr>
        <w:t>se </w:t>
      </w:r>
      <w:r>
        <w:rPr>
          <w:color w:val="231F20"/>
          <w:spacing w:val="2"/>
        </w:rPr>
        <w:t>expresa dicha violencia </w:t>
      </w:r>
      <w:r>
        <w:rPr>
          <w:color w:val="231F20"/>
        </w:rPr>
        <w:t>en </w:t>
      </w:r>
      <w:r>
        <w:rPr>
          <w:color w:val="231F20"/>
          <w:spacing w:val="2"/>
        </w:rPr>
        <w:t>sus sujetos </w:t>
      </w:r>
      <w:r>
        <w:rPr>
          <w:color w:val="231F20"/>
        </w:rPr>
        <w:t>de </w:t>
      </w:r>
      <w:r>
        <w:rPr>
          <w:color w:val="231F20"/>
          <w:spacing w:val="3"/>
        </w:rPr>
        <w:t>manera</w:t>
      </w:r>
      <w:r>
        <w:rPr>
          <w:color w:val="231F20"/>
          <w:spacing w:val="-10"/>
        </w:rPr>
        <w:t> </w:t>
      </w:r>
      <w:r>
        <w:rPr>
          <w:color w:val="231F20"/>
          <w:spacing w:val="3"/>
        </w:rPr>
        <w:t>cotidiana.</w:t>
      </w:r>
    </w:p>
    <w:p>
      <w:pPr>
        <w:pStyle w:val="BodyText"/>
        <w:spacing w:line="249" w:lineRule="auto" w:before="1"/>
        <w:ind w:left="102" w:right="114" w:firstLine="284"/>
        <w:jc w:val="both"/>
      </w:pPr>
      <w:r>
        <w:rPr>
          <w:color w:val="231F20"/>
        </w:rPr>
        <w:t>Para finalizar esta introducción, se introduce el debate que toma una mirada prevenida hacia la violencia estatuida o legítima y su proyección en todas las manifestaciones de la cultura, que van del balbuceo hasta al estertor y el cadalso, y que es preciso reconocer si buscamos comprender el sentido de vida en este tercer  milenio.</w:t>
      </w:r>
    </w:p>
    <w:p>
      <w:pPr>
        <w:spacing w:after="0" w:line="249" w:lineRule="auto"/>
        <w:jc w:val="both"/>
        <w:sectPr>
          <w:headerReference w:type="default" r:id="rId68"/>
          <w:footerReference w:type="default" r:id="rId69"/>
          <w:pgSz w:w="7830" w:h="11910"/>
          <w:pgMar w:header="0" w:footer="424" w:top="500" w:bottom="620" w:left="920" w:right="900"/>
          <w:pgNumType w:start="2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before="92"/>
        <w:ind w:left="102"/>
        <w:jc w:val="both"/>
      </w:pPr>
      <w:r>
        <w:rPr>
          <w:color w:val="231F20"/>
        </w:rPr>
        <w:t>LA</w:t>
      </w:r>
      <w:r>
        <w:rPr>
          <w:color w:val="231F20"/>
          <w:spacing w:val="52"/>
        </w:rPr>
        <w:t> </w:t>
      </w:r>
      <w:r>
        <w:rPr>
          <w:color w:val="231F20"/>
        </w:rPr>
        <w:t>VIOLENCIA</w:t>
      </w:r>
    </w:p>
    <w:p>
      <w:pPr>
        <w:pStyle w:val="BodyText"/>
        <w:spacing w:before="1"/>
      </w:pPr>
    </w:p>
    <w:p>
      <w:pPr>
        <w:pStyle w:val="BodyText"/>
        <w:spacing w:line="247" w:lineRule="auto" w:before="1"/>
        <w:ind w:left="102" w:right="115"/>
        <w:jc w:val="both"/>
      </w:pPr>
      <w:r>
        <w:rPr>
          <w:color w:val="231F20"/>
        </w:rPr>
        <w:t>La tarea de una crítica de la violencia, de acuerdo a  Benjamin (1995), inicia con la exposición de su relación con el derecho y la justicia. En ese sentido se recupera el papel de la historia en la apropiación de aquella primera violencia y su conexión con  los mitos fundantes, así como su vigencia en los poderes centrales de  las ciudades que luego formaron imperios, más la legalidad que otorgaba la antigüedad fijada en legajos del pasado. La legitimación de esas coronas fue siempre motivo de guerras que solicitaban el vasallaje y luego la persistencia de espacios que darían lugar a las naciones, siempre en un balance precario de hegemonías (Clementi en</w:t>
      </w:r>
      <w:r>
        <w:rPr>
          <w:color w:val="231F20"/>
          <w:spacing w:val="-13"/>
        </w:rPr>
        <w:t> </w:t>
      </w:r>
      <w:r>
        <w:rPr>
          <w:color w:val="231F20"/>
        </w:rPr>
        <w:t>Benjamin,</w:t>
      </w:r>
      <w:r>
        <w:rPr>
          <w:color w:val="231F20"/>
          <w:spacing w:val="-14"/>
        </w:rPr>
        <w:t> </w:t>
      </w:r>
      <w:r>
        <w:rPr>
          <w:color w:val="231F20"/>
        </w:rPr>
        <w:t>1995:</w:t>
      </w:r>
      <w:r>
        <w:rPr>
          <w:color w:val="231F20"/>
          <w:spacing w:val="-14"/>
        </w:rPr>
        <w:t> </w:t>
      </w:r>
      <w:r>
        <w:rPr>
          <w:color w:val="231F20"/>
        </w:rPr>
        <w:t>12).</w:t>
      </w:r>
    </w:p>
    <w:p>
      <w:pPr>
        <w:pStyle w:val="BodyText"/>
        <w:spacing w:line="249" w:lineRule="auto" w:before="10"/>
        <w:ind w:left="102" w:right="115" w:firstLine="284"/>
        <w:jc w:val="both"/>
      </w:pPr>
      <w:r>
        <w:rPr>
          <w:color w:val="231F20"/>
          <w:spacing w:val="3"/>
        </w:rPr>
        <w:t>Cuando </w:t>
      </w:r>
      <w:r>
        <w:rPr>
          <w:color w:val="231F20"/>
          <w:spacing w:val="2"/>
        </w:rPr>
        <w:t>existe </w:t>
      </w:r>
      <w:r>
        <w:rPr>
          <w:color w:val="231F20"/>
        </w:rPr>
        <w:t>ese </w:t>
      </w:r>
      <w:r>
        <w:rPr>
          <w:color w:val="231F20"/>
          <w:spacing w:val="2"/>
        </w:rPr>
        <w:t>juego </w:t>
      </w:r>
      <w:r>
        <w:rPr>
          <w:color w:val="231F20"/>
        </w:rPr>
        <w:t>de </w:t>
      </w:r>
      <w:r>
        <w:rPr>
          <w:color w:val="231F20"/>
          <w:spacing w:val="3"/>
        </w:rPr>
        <w:t>compensaciones </w:t>
      </w:r>
      <w:r>
        <w:rPr>
          <w:color w:val="231F20"/>
        </w:rPr>
        <w:t>y de </w:t>
      </w:r>
      <w:r>
        <w:rPr>
          <w:color w:val="231F20"/>
          <w:spacing w:val="2"/>
        </w:rPr>
        <w:t>guerras </w:t>
      </w:r>
      <w:r>
        <w:rPr>
          <w:color w:val="231F20"/>
        </w:rPr>
        <w:t>se  van </w:t>
      </w:r>
      <w:r>
        <w:rPr>
          <w:color w:val="231F20"/>
          <w:spacing w:val="2"/>
        </w:rPr>
        <w:t>debilitando esas </w:t>
      </w:r>
      <w:r>
        <w:rPr>
          <w:color w:val="231F20"/>
          <w:spacing w:val="3"/>
        </w:rPr>
        <w:t>hegemonías; </w:t>
      </w:r>
      <w:r>
        <w:rPr>
          <w:color w:val="231F20"/>
        </w:rPr>
        <w:t>el </w:t>
      </w:r>
      <w:r>
        <w:rPr>
          <w:color w:val="231F20"/>
          <w:spacing w:val="2"/>
        </w:rPr>
        <w:t>poder </w:t>
      </w:r>
      <w:r>
        <w:rPr>
          <w:color w:val="231F20"/>
          <w:spacing w:val="3"/>
        </w:rPr>
        <w:t>profano </w:t>
      </w:r>
      <w:r>
        <w:rPr>
          <w:color w:val="231F20"/>
          <w:spacing w:val="2"/>
        </w:rPr>
        <w:t>hará camino tanto </w:t>
      </w:r>
      <w:r>
        <w:rPr>
          <w:color w:val="231F20"/>
        </w:rPr>
        <w:t>en las </w:t>
      </w:r>
      <w:r>
        <w:rPr>
          <w:color w:val="231F20"/>
          <w:spacing w:val="2"/>
        </w:rPr>
        <w:t>ciudades </w:t>
      </w:r>
      <w:r>
        <w:rPr>
          <w:color w:val="231F20"/>
          <w:spacing w:val="3"/>
        </w:rPr>
        <w:t>como </w:t>
      </w:r>
      <w:r>
        <w:rPr>
          <w:color w:val="231F20"/>
        </w:rPr>
        <w:t>en las </w:t>
      </w:r>
      <w:r>
        <w:rPr>
          <w:color w:val="231F20"/>
          <w:spacing w:val="2"/>
        </w:rPr>
        <w:t>áreas rurales, </w:t>
      </w:r>
      <w:r>
        <w:rPr>
          <w:color w:val="231F20"/>
        </w:rPr>
        <w:t>la </w:t>
      </w:r>
      <w:r>
        <w:rPr>
          <w:color w:val="231F20"/>
          <w:spacing w:val="2"/>
        </w:rPr>
        <w:t>razón </w:t>
      </w:r>
      <w:r>
        <w:rPr>
          <w:color w:val="231F20"/>
        </w:rPr>
        <w:t>se </w:t>
      </w:r>
      <w:r>
        <w:rPr>
          <w:color w:val="231F20"/>
          <w:spacing w:val="3"/>
        </w:rPr>
        <w:t>instala- </w:t>
      </w:r>
      <w:r>
        <w:rPr>
          <w:color w:val="231F20"/>
        </w:rPr>
        <w:t>rá en el </w:t>
      </w:r>
      <w:r>
        <w:rPr>
          <w:color w:val="231F20"/>
          <w:spacing w:val="2"/>
        </w:rPr>
        <w:t>lugar del cetro religioso, </w:t>
      </w:r>
      <w:r>
        <w:rPr>
          <w:color w:val="231F20"/>
        </w:rPr>
        <w:t>la </w:t>
      </w:r>
      <w:r>
        <w:rPr>
          <w:color w:val="231F20"/>
          <w:spacing w:val="3"/>
        </w:rPr>
        <w:t>colonización </w:t>
      </w:r>
      <w:r>
        <w:rPr>
          <w:color w:val="231F20"/>
        </w:rPr>
        <w:t>de </w:t>
      </w:r>
      <w:r>
        <w:rPr>
          <w:color w:val="231F20"/>
          <w:spacing w:val="3"/>
        </w:rPr>
        <w:t>América </w:t>
      </w:r>
      <w:r>
        <w:rPr>
          <w:color w:val="231F20"/>
          <w:spacing w:val="2"/>
        </w:rPr>
        <w:t>abrirá fronteras </w:t>
      </w:r>
      <w:r>
        <w:rPr>
          <w:color w:val="231F20"/>
        </w:rPr>
        <w:t>a </w:t>
      </w:r>
      <w:r>
        <w:rPr>
          <w:color w:val="231F20"/>
          <w:spacing w:val="3"/>
        </w:rPr>
        <w:t>Europa </w:t>
      </w:r>
      <w:r>
        <w:rPr>
          <w:color w:val="231F20"/>
        </w:rPr>
        <w:t>que </w:t>
      </w:r>
      <w:r>
        <w:rPr>
          <w:color w:val="231F20"/>
          <w:spacing w:val="2"/>
        </w:rPr>
        <w:t>ampliará </w:t>
      </w:r>
      <w:r>
        <w:rPr>
          <w:color w:val="231F20"/>
        </w:rPr>
        <w:t>su </w:t>
      </w:r>
      <w:r>
        <w:rPr>
          <w:color w:val="231F20"/>
          <w:spacing w:val="2"/>
        </w:rPr>
        <w:t>influencia mundial, </w:t>
      </w:r>
      <w:r>
        <w:rPr>
          <w:color w:val="231F20"/>
        </w:rPr>
        <w:t>y el viejo </w:t>
      </w:r>
      <w:r>
        <w:rPr>
          <w:color w:val="231F20"/>
          <w:spacing w:val="2"/>
        </w:rPr>
        <w:t>régimen </w:t>
      </w:r>
      <w:r>
        <w:rPr>
          <w:color w:val="231F20"/>
          <w:spacing w:val="3"/>
        </w:rPr>
        <w:t>monárquico </w:t>
      </w:r>
      <w:r>
        <w:rPr>
          <w:color w:val="231F20"/>
          <w:spacing w:val="2"/>
        </w:rPr>
        <w:t>afrontará </w:t>
      </w:r>
      <w:r>
        <w:rPr>
          <w:color w:val="231F20"/>
        </w:rPr>
        <w:t>las </w:t>
      </w:r>
      <w:r>
        <w:rPr>
          <w:color w:val="231F20"/>
          <w:spacing w:val="2"/>
        </w:rPr>
        <w:t>exigencias teórico-prácticas del nuevo régimen </w:t>
      </w:r>
      <w:r>
        <w:rPr>
          <w:color w:val="231F20"/>
        </w:rPr>
        <w:t>de </w:t>
      </w:r>
      <w:r>
        <w:rPr>
          <w:color w:val="231F20"/>
          <w:spacing w:val="2"/>
        </w:rPr>
        <w:t>inspiración burguesa </w:t>
      </w:r>
      <w:r>
        <w:rPr>
          <w:color w:val="231F20"/>
        </w:rPr>
        <w:t>en </w:t>
      </w:r>
      <w:r>
        <w:rPr>
          <w:color w:val="231F20"/>
          <w:spacing w:val="2"/>
        </w:rPr>
        <w:t>ascenso contra </w:t>
      </w:r>
      <w:r>
        <w:rPr>
          <w:color w:val="231F20"/>
        </w:rPr>
        <w:t>la </w:t>
      </w:r>
      <w:r>
        <w:rPr>
          <w:color w:val="231F20"/>
          <w:spacing w:val="4"/>
        </w:rPr>
        <w:t>no- </w:t>
      </w:r>
      <w:r>
        <w:rPr>
          <w:color w:val="231F20"/>
          <w:spacing w:val="2"/>
        </w:rPr>
        <w:t>bleza </w:t>
      </w:r>
      <w:r>
        <w:rPr>
          <w:color w:val="231F20"/>
        </w:rPr>
        <w:t>de</w:t>
      </w:r>
      <w:r>
        <w:rPr>
          <w:color w:val="231F20"/>
          <w:spacing w:val="-8"/>
        </w:rPr>
        <w:t> </w:t>
      </w:r>
      <w:r>
        <w:rPr>
          <w:color w:val="231F20"/>
          <w:spacing w:val="2"/>
        </w:rPr>
        <w:t>sangre.</w:t>
      </w:r>
    </w:p>
    <w:p>
      <w:pPr>
        <w:pStyle w:val="BodyText"/>
        <w:spacing w:line="249" w:lineRule="auto"/>
        <w:ind w:left="102" w:right="115" w:firstLine="284"/>
        <w:jc w:val="both"/>
      </w:pPr>
      <w:r>
        <w:rPr>
          <w:color w:val="231F20"/>
          <w:spacing w:val="3"/>
        </w:rPr>
        <w:t>Cuando </w:t>
      </w:r>
      <w:r>
        <w:rPr>
          <w:color w:val="231F20"/>
        </w:rPr>
        <w:t>las </w:t>
      </w:r>
      <w:r>
        <w:rPr>
          <w:color w:val="231F20"/>
          <w:spacing w:val="2"/>
        </w:rPr>
        <w:t>guerras </w:t>
      </w:r>
      <w:r>
        <w:rPr>
          <w:color w:val="231F20"/>
          <w:spacing w:val="3"/>
        </w:rPr>
        <w:t>europeas </w:t>
      </w:r>
      <w:r>
        <w:rPr>
          <w:color w:val="231F20"/>
          <w:spacing w:val="2"/>
        </w:rPr>
        <w:t>entraron </w:t>
      </w:r>
      <w:r>
        <w:rPr>
          <w:color w:val="231F20"/>
        </w:rPr>
        <w:t>en </w:t>
      </w:r>
      <w:r>
        <w:rPr>
          <w:color w:val="231F20"/>
          <w:spacing w:val="2"/>
        </w:rPr>
        <w:t>sosiego </w:t>
      </w:r>
      <w:r>
        <w:rPr>
          <w:color w:val="231F20"/>
        </w:rPr>
        <w:t>a </w:t>
      </w:r>
      <w:r>
        <w:rPr>
          <w:color w:val="231F20"/>
          <w:spacing w:val="2"/>
        </w:rPr>
        <w:t>partir </w:t>
      </w:r>
      <w:r>
        <w:rPr>
          <w:color w:val="231F20"/>
        </w:rPr>
        <w:t>de </w:t>
      </w:r>
      <w:r>
        <w:rPr>
          <w:color w:val="231F20"/>
          <w:spacing w:val="2"/>
        </w:rPr>
        <w:t>las modalidades contractuales </w:t>
      </w:r>
      <w:r>
        <w:rPr>
          <w:color w:val="231F20"/>
        </w:rPr>
        <w:t>que </w:t>
      </w:r>
      <w:r>
        <w:rPr>
          <w:color w:val="231F20"/>
          <w:spacing w:val="2"/>
        </w:rPr>
        <w:t>imponen </w:t>
      </w:r>
      <w:r>
        <w:rPr>
          <w:color w:val="231F20"/>
        </w:rPr>
        <w:t>el </w:t>
      </w:r>
      <w:r>
        <w:rPr>
          <w:color w:val="231F20"/>
          <w:spacing w:val="2"/>
        </w:rPr>
        <w:t>derecho burgués, para luego plasmarse </w:t>
      </w:r>
      <w:r>
        <w:rPr>
          <w:color w:val="231F20"/>
        </w:rPr>
        <w:t>en </w:t>
      </w:r>
      <w:r>
        <w:rPr>
          <w:color w:val="231F20"/>
          <w:spacing w:val="3"/>
        </w:rPr>
        <w:t>contratos </w:t>
      </w:r>
      <w:r>
        <w:rPr>
          <w:color w:val="231F20"/>
        </w:rPr>
        <w:t>a la </w:t>
      </w:r>
      <w:r>
        <w:rPr>
          <w:color w:val="231F20"/>
          <w:spacing w:val="3"/>
        </w:rPr>
        <w:t>manera </w:t>
      </w:r>
      <w:r>
        <w:rPr>
          <w:color w:val="231F20"/>
          <w:spacing w:val="2"/>
        </w:rPr>
        <w:t>propuesta por Rousseau </w:t>
      </w:r>
      <w:r>
        <w:rPr>
          <w:color w:val="231F20"/>
        </w:rPr>
        <w:t>en su </w:t>
      </w:r>
      <w:r>
        <w:rPr>
          <w:i/>
          <w:color w:val="231F20"/>
          <w:spacing w:val="2"/>
        </w:rPr>
        <w:t>Contrato social</w:t>
      </w:r>
      <w:r>
        <w:rPr>
          <w:color w:val="231F20"/>
          <w:spacing w:val="2"/>
        </w:rPr>
        <w:t>, una nueva exigencia ilumina </w:t>
      </w:r>
      <w:r>
        <w:rPr>
          <w:color w:val="231F20"/>
        </w:rPr>
        <w:t>la vida </w:t>
      </w:r>
      <w:r>
        <w:rPr>
          <w:color w:val="231F20"/>
          <w:spacing w:val="2"/>
        </w:rPr>
        <w:t>social: alcanzar una construcción </w:t>
      </w:r>
      <w:r>
        <w:rPr>
          <w:color w:val="231F20"/>
          <w:spacing w:val="3"/>
        </w:rPr>
        <w:t>donde </w:t>
      </w:r>
      <w:r>
        <w:rPr>
          <w:color w:val="231F20"/>
          <w:spacing w:val="2"/>
        </w:rPr>
        <w:t>los </w:t>
      </w:r>
      <w:r>
        <w:rPr>
          <w:color w:val="231F20"/>
          <w:spacing w:val="3"/>
        </w:rPr>
        <w:t>derechos </w:t>
      </w:r>
      <w:r>
        <w:rPr>
          <w:color w:val="231F20"/>
          <w:spacing w:val="2"/>
        </w:rPr>
        <w:t>individuales sean protegidos, incluido </w:t>
      </w:r>
      <w:r>
        <w:rPr>
          <w:color w:val="231F20"/>
        </w:rPr>
        <w:t>el </w:t>
      </w:r>
      <w:r>
        <w:rPr>
          <w:color w:val="231F20"/>
          <w:spacing w:val="2"/>
        </w:rPr>
        <w:t>ejercicio </w:t>
      </w:r>
      <w:r>
        <w:rPr>
          <w:color w:val="231F20"/>
        </w:rPr>
        <w:t>del </w:t>
      </w:r>
      <w:r>
        <w:rPr>
          <w:color w:val="231F20"/>
          <w:spacing w:val="2"/>
        </w:rPr>
        <w:t>voto electivo </w:t>
      </w:r>
      <w:r>
        <w:rPr>
          <w:color w:val="231F20"/>
        </w:rPr>
        <w:t>que </w:t>
      </w:r>
      <w:r>
        <w:rPr>
          <w:color w:val="231F20"/>
          <w:spacing w:val="2"/>
        </w:rPr>
        <w:t>avale </w:t>
      </w:r>
      <w:r>
        <w:rPr>
          <w:color w:val="231F20"/>
        </w:rPr>
        <w:t>la </w:t>
      </w:r>
      <w:r>
        <w:rPr>
          <w:color w:val="231F20"/>
          <w:spacing w:val="3"/>
        </w:rPr>
        <w:t>lega- </w:t>
      </w:r>
      <w:r>
        <w:rPr>
          <w:color w:val="231F20"/>
          <w:spacing w:val="2"/>
        </w:rPr>
        <w:t>lidad del </w:t>
      </w:r>
      <w:r>
        <w:rPr>
          <w:color w:val="231F20"/>
          <w:spacing w:val="3"/>
        </w:rPr>
        <w:t>poder </w:t>
      </w:r>
      <w:r>
        <w:rPr>
          <w:color w:val="231F20"/>
          <w:spacing w:val="2"/>
        </w:rPr>
        <w:t>político </w:t>
      </w:r>
      <w:r>
        <w:rPr>
          <w:color w:val="231F20"/>
        </w:rPr>
        <w:t>y, </w:t>
      </w:r>
      <w:r>
        <w:rPr>
          <w:color w:val="231F20"/>
          <w:spacing w:val="3"/>
        </w:rPr>
        <w:t>consecuentemente </w:t>
      </w:r>
      <w:r>
        <w:rPr>
          <w:color w:val="231F20"/>
        </w:rPr>
        <w:t>vigile  la  </w:t>
      </w:r>
      <w:r>
        <w:rPr>
          <w:color w:val="231F20"/>
          <w:spacing w:val="2"/>
        </w:rPr>
        <w:t>violencia </w:t>
      </w:r>
      <w:r>
        <w:rPr>
          <w:color w:val="231F20"/>
        </w:rPr>
        <w:t>que ese </w:t>
      </w:r>
      <w:r>
        <w:rPr>
          <w:color w:val="231F20"/>
          <w:spacing w:val="2"/>
        </w:rPr>
        <w:t>poder pueda </w:t>
      </w:r>
      <w:r>
        <w:rPr>
          <w:color w:val="231F20"/>
        </w:rPr>
        <w:t>o </w:t>
      </w:r>
      <w:r>
        <w:rPr>
          <w:color w:val="231F20"/>
          <w:spacing w:val="2"/>
        </w:rPr>
        <w:t>deba ejercer para garantizar los derechos  </w:t>
      </w:r>
      <w:r>
        <w:rPr>
          <w:color w:val="231F20"/>
        </w:rPr>
        <w:t>que </w:t>
      </w:r>
      <w:r>
        <w:rPr>
          <w:color w:val="231F20"/>
          <w:spacing w:val="2"/>
        </w:rPr>
        <w:t>graviten sobre </w:t>
      </w:r>
      <w:r>
        <w:rPr>
          <w:color w:val="231F20"/>
        </w:rPr>
        <w:t>la </w:t>
      </w:r>
      <w:r>
        <w:rPr>
          <w:color w:val="231F20"/>
          <w:spacing w:val="3"/>
        </w:rPr>
        <w:t>comunidad (Clementi, </w:t>
      </w:r>
      <w:r>
        <w:rPr>
          <w:color w:val="231F20"/>
          <w:spacing w:val="2"/>
        </w:rPr>
        <w:t>1995:</w:t>
      </w:r>
      <w:r>
        <w:rPr>
          <w:color w:val="231F20"/>
          <w:spacing w:val="-33"/>
        </w:rPr>
        <w:t> </w:t>
      </w:r>
      <w:r>
        <w:rPr>
          <w:color w:val="231F20"/>
          <w:spacing w:val="2"/>
        </w:rPr>
        <w:t>13).</w:t>
      </w:r>
    </w:p>
    <w:p>
      <w:pPr>
        <w:pStyle w:val="BodyText"/>
        <w:spacing w:line="249" w:lineRule="auto"/>
        <w:ind w:left="102" w:right="115" w:firstLine="284"/>
        <w:jc w:val="both"/>
      </w:pPr>
      <w:r>
        <w:rPr>
          <w:color w:val="231F20"/>
        </w:rPr>
        <w:t>Queda así en evidencia la percepción de una violencia explícita, pero también la otra, la latente, que subyace en las guerras libertarias de los colonizados, en las naciones en formación, en los alcances de la</w:t>
      </w:r>
      <w:r>
        <w:rPr>
          <w:color w:val="231F20"/>
          <w:spacing w:val="-11"/>
        </w:rPr>
        <w:t> </w:t>
      </w:r>
      <w:r>
        <w:rPr>
          <w:color w:val="231F20"/>
        </w:rPr>
        <w:t>ciudadanía,</w:t>
      </w:r>
      <w:r>
        <w:rPr>
          <w:color w:val="231F20"/>
          <w:spacing w:val="-12"/>
        </w:rPr>
        <w:t> </w:t>
      </w:r>
      <w:r>
        <w:rPr>
          <w:color w:val="231F20"/>
        </w:rPr>
        <w:t>en</w:t>
      </w:r>
      <w:r>
        <w:rPr>
          <w:color w:val="231F20"/>
          <w:spacing w:val="-11"/>
        </w:rPr>
        <w:t> </w:t>
      </w:r>
      <w:r>
        <w:rPr>
          <w:color w:val="231F20"/>
        </w:rPr>
        <w:t>las</w:t>
      </w:r>
      <w:r>
        <w:rPr>
          <w:color w:val="231F20"/>
          <w:spacing w:val="-11"/>
        </w:rPr>
        <w:t> </w:t>
      </w:r>
      <w:r>
        <w:rPr>
          <w:color w:val="231F20"/>
        </w:rPr>
        <w:t>aspiraciones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comunidad.</w:t>
      </w:r>
      <w:r>
        <w:rPr>
          <w:color w:val="231F20"/>
          <w:spacing w:val="-12"/>
        </w:rPr>
        <w:t> </w:t>
      </w:r>
      <w:r>
        <w:rPr>
          <w:color w:val="231F20"/>
        </w:rPr>
        <w:t>Problemas</w:t>
      </w:r>
      <w:r>
        <w:rPr>
          <w:color w:val="231F20"/>
          <w:spacing w:val="-11"/>
        </w:rPr>
        <w:t> </w:t>
      </w:r>
      <w:r>
        <w:rPr>
          <w:color w:val="231F20"/>
        </w:rPr>
        <w:t>que</w:t>
      </w:r>
      <w:r>
        <w:rPr>
          <w:color w:val="231F20"/>
          <w:spacing w:val="-11"/>
        </w:rPr>
        <w:t> </w:t>
      </w:r>
      <w:r>
        <w:rPr>
          <w:color w:val="231F20"/>
        </w:rPr>
        <w:t>las viejas naciones irán resolviendo en un entrelazamiento de lealtades y adhesiones</w:t>
      </w:r>
      <w:r>
        <w:rPr>
          <w:color w:val="231F20"/>
          <w:spacing w:val="-4"/>
        </w:rPr>
        <w:t> </w:t>
      </w:r>
      <w:r>
        <w:rPr>
          <w:color w:val="231F20"/>
        </w:rPr>
        <w:t>labradas</w:t>
      </w:r>
      <w:r>
        <w:rPr>
          <w:color w:val="231F20"/>
          <w:spacing w:val="-4"/>
        </w:rPr>
        <w:t> </w:t>
      </w:r>
      <w:r>
        <w:rPr>
          <w:color w:val="231F20"/>
        </w:rPr>
        <w:t>a</w:t>
      </w:r>
      <w:r>
        <w:rPr>
          <w:color w:val="231F20"/>
          <w:spacing w:val="-4"/>
        </w:rPr>
        <w:t> </w:t>
      </w:r>
      <w:r>
        <w:rPr>
          <w:color w:val="231F20"/>
        </w:rPr>
        <w:t>lo</w:t>
      </w:r>
      <w:r>
        <w:rPr>
          <w:color w:val="231F20"/>
          <w:spacing w:val="-4"/>
        </w:rPr>
        <w:t> </w:t>
      </w:r>
      <w:r>
        <w:rPr>
          <w:color w:val="231F20"/>
        </w:rPr>
        <w:t>largo</w:t>
      </w:r>
      <w:r>
        <w:rPr>
          <w:color w:val="231F20"/>
          <w:spacing w:val="-4"/>
        </w:rPr>
        <w:t> </w:t>
      </w:r>
      <w:r>
        <w:rPr>
          <w:color w:val="231F20"/>
        </w:rPr>
        <w:t>de</w:t>
      </w:r>
      <w:r>
        <w:rPr>
          <w:color w:val="231F20"/>
          <w:spacing w:val="-4"/>
        </w:rPr>
        <w:t> </w:t>
      </w:r>
      <w:r>
        <w:rPr>
          <w:color w:val="231F20"/>
        </w:rPr>
        <w:t>siglos,</w:t>
      </w:r>
      <w:r>
        <w:rPr>
          <w:color w:val="231F20"/>
          <w:spacing w:val="-5"/>
        </w:rPr>
        <w:t> </w:t>
      </w:r>
      <w:r>
        <w:rPr>
          <w:color w:val="231F20"/>
        </w:rPr>
        <w:t>en</w:t>
      </w:r>
      <w:r>
        <w:rPr>
          <w:color w:val="231F20"/>
          <w:spacing w:val="-4"/>
        </w:rPr>
        <w:t> </w:t>
      </w:r>
      <w:r>
        <w:rPr>
          <w:color w:val="231F20"/>
        </w:rPr>
        <w:t>tanto</w:t>
      </w:r>
      <w:r>
        <w:rPr>
          <w:color w:val="231F20"/>
          <w:spacing w:val="-4"/>
        </w:rPr>
        <w:t> </w:t>
      </w:r>
      <w:r>
        <w:rPr>
          <w:color w:val="231F20"/>
        </w:rPr>
        <w:t>las</w:t>
      </w:r>
      <w:r>
        <w:rPr>
          <w:color w:val="231F20"/>
          <w:spacing w:val="-4"/>
        </w:rPr>
        <w:t> </w:t>
      </w:r>
      <w:r>
        <w:rPr>
          <w:color w:val="231F20"/>
        </w:rPr>
        <w:t>naciones</w:t>
      </w:r>
      <w:r>
        <w:rPr>
          <w:color w:val="231F20"/>
          <w:spacing w:val="-4"/>
        </w:rPr>
        <w:t> </w:t>
      </w:r>
      <w:r>
        <w:rPr>
          <w:color w:val="231F20"/>
        </w:rPr>
        <w:t>nuevas creadas a esa imagen, colonizadas por medio de la violencia más brutal, para arrancarlas de la anarquía, del caudillaje, del dominio de unas</w:t>
      </w:r>
      <w:r>
        <w:rPr>
          <w:color w:val="231F20"/>
          <w:spacing w:val="-6"/>
        </w:rPr>
        <w:t> </w:t>
      </w:r>
      <w:r>
        <w:rPr>
          <w:color w:val="231F20"/>
        </w:rPr>
        <w:t>regiones</w:t>
      </w:r>
      <w:r>
        <w:rPr>
          <w:color w:val="231F20"/>
          <w:spacing w:val="-6"/>
        </w:rPr>
        <w:t> </w:t>
      </w:r>
      <w:r>
        <w:rPr>
          <w:color w:val="231F20"/>
        </w:rPr>
        <w:t>sobre</w:t>
      </w:r>
      <w:r>
        <w:rPr>
          <w:color w:val="231F20"/>
          <w:spacing w:val="-6"/>
        </w:rPr>
        <w:t> </w:t>
      </w:r>
      <w:r>
        <w:rPr>
          <w:color w:val="231F20"/>
        </w:rPr>
        <w:t>otras;</w:t>
      </w:r>
      <w:r>
        <w:rPr>
          <w:color w:val="231F20"/>
          <w:spacing w:val="-7"/>
        </w:rPr>
        <w:t> </w:t>
      </w:r>
      <w:r>
        <w:rPr>
          <w:color w:val="231F20"/>
        </w:rPr>
        <w:t>entonces,</w:t>
      </w:r>
      <w:r>
        <w:rPr>
          <w:color w:val="231F20"/>
          <w:spacing w:val="-7"/>
        </w:rPr>
        <w:t> </w:t>
      </w:r>
      <w:r>
        <w:rPr>
          <w:color w:val="231F20"/>
        </w:rPr>
        <w:t>resulta</w:t>
      </w:r>
      <w:r>
        <w:rPr>
          <w:color w:val="231F20"/>
          <w:spacing w:val="-6"/>
        </w:rPr>
        <w:t> </w:t>
      </w:r>
      <w:r>
        <w:rPr>
          <w:color w:val="231F20"/>
        </w:rPr>
        <w:t>necesario</w:t>
      </w:r>
      <w:r>
        <w:rPr>
          <w:color w:val="231F20"/>
          <w:spacing w:val="-6"/>
        </w:rPr>
        <w:t> </w:t>
      </w:r>
      <w:r>
        <w:rPr>
          <w:color w:val="231F20"/>
        </w:rPr>
        <w:t>distinguir</w:t>
      </w:r>
      <w:r>
        <w:rPr>
          <w:color w:val="231F20"/>
          <w:spacing w:val="-7"/>
        </w:rPr>
        <w:t> </w:t>
      </w:r>
      <w:r>
        <w:rPr>
          <w:color w:val="231F20"/>
        </w:rPr>
        <w:t>entre</w:t>
      </w:r>
    </w:p>
    <w:p>
      <w:pPr>
        <w:spacing w:after="0" w:line="249" w:lineRule="auto"/>
        <w:jc w:val="both"/>
        <w:sectPr>
          <w:headerReference w:type="default" r:id="rId70"/>
          <w:footerReference w:type="default" r:id="rId71"/>
          <w:pgSz w:w="7830" w:h="11910"/>
          <w:pgMar w:header="0" w:footer="424" w:top="500" w:bottom="620" w:left="920" w:right="900"/>
          <w:pgNumType w:start="2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6"/>
        <w:jc w:val="both"/>
      </w:pPr>
      <w:r>
        <w:rPr>
          <w:color w:val="231F20"/>
        </w:rPr>
        <w:t>la</w:t>
      </w:r>
      <w:r>
        <w:rPr>
          <w:color w:val="231F20"/>
          <w:spacing w:val="-8"/>
        </w:rPr>
        <w:t> </w:t>
      </w:r>
      <w:r>
        <w:rPr>
          <w:color w:val="231F20"/>
        </w:rPr>
        <w:t>violencia</w:t>
      </w:r>
      <w:r>
        <w:rPr>
          <w:color w:val="231F20"/>
          <w:spacing w:val="-8"/>
        </w:rPr>
        <w:t> </w:t>
      </w:r>
      <w:r>
        <w:rPr>
          <w:color w:val="231F20"/>
        </w:rPr>
        <w:t>legítima</w:t>
      </w:r>
      <w:r>
        <w:rPr>
          <w:color w:val="231F20"/>
          <w:spacing w:val="-8"/>
        </w:rPr>
        <w:t> </w:t>
      </w:r>
      <w:r>
        <w:rPr>
          <w:color w:val="231F20"/>
        </w:rPr>
        <w:t>de</w:t>
      </w:r>
      <w:r>
        <w:rPr>
          <w:color w:val="231F20"/>
          <w:spacing w:val="-7"/>
        </w:rPr>
        <w:t> </w:t>
      </w:r>
      <w:r>
        <w:rPr>
          <w:color w:val="231F20"/>
        </w:rPr>
        <w:t>los</w:t>
      </w:r>
      <w:r>
        <w:rPr>
          <w:color w:val="231F20"/>
          <w:spacing w:val="-8"/>
        </w:rPr>
        <w:t> </w:t>
      </w:r>
      <w:r>
        <w:rPr>
          <w:color w:val="231F20"/>
        </w:rPr>
        <w:t>colonizadores</w:t>
      </w:r>
      <w:r>
        <w:rPr>
          <w:color w:val="231F20"/>
          <w:spacing w:val="-8"/>
        </w:rPr>
        <w:t> </w:t>
      </w:r>
      <w:r>
        <w:rPr>
          <w:color w:val="231F20"/>
        </w:rPr>
        <w:t>y</w:t>
      </w:r>
      <w:r>
        <w:rPr>
          <w:color w:val="231F20"/>
          <w:spacing w:val="-7"/>
        </w:rPr>
        <w:t> </w:t>
      </w:r>
      <w:r>
        <w:rPr>
          <w:color w:val="231F20"/>
        </w:rPr>
        <w:t>la</w:t>
      </w:r>
      <w:r>
        <w:rPr>
          <w:color w:val="231F20"/>
          <w:spacing w:val="-8"/>
        </w:rPr>
        <w:t> </w:t>
      </w:r>
      <w:r>
        <w:rPr>
          <w:color w:val="231F20"/>
        </w:rPr>
        <w:t>ilegítima</w:t>
      </w:r>
      <w:r>
        <w:rPr>
          <w:color w:val="231F20"/>
          <w:spacing w:val="-8"/>
        </w:rPr>
        <w:t> </w:t>
      </w:r>
      <w:r>
        <w:rPr>
          <w:color w:val="231F20"/>
        </w:rPr>
        <w:t>de</w:t>
      </w:r>
      <w:r>
        <w:rPr>
          <w:color w:val="231F20"/>
          <w:spacing w:val="-7"/>
        </w:rPr>
        <w:t> </w:t>
      </w:r>
      <w:r>
        <w:rPr>
          <w:color w:val="231F20"/>
        </w:rPr>
        <w:t>los</w:t>
      </w:r>
      <w:r>
        <w:rPr>
          <w:color w:val="231F20"/>
          <w:spacing w:val="-8"/>
        </w:rPr>
        <w:t> </w:t>
      </w:r>
      <w:r>
        <w:rPr>
          <w:color w:val="231F20"/>
        </w:rPr>
        <w:t>coloni- zados, por lo menos así se concibe de acuerdo al dominador, se hace distinción</w:t>
      </w:r>
      <w:r>
        <w:rPr>
          <w:color w:val="231F20"/>
          <w:spacing w:val="-6"/>
        </w:rPr>
        <w:t> </w:t>
      </w:r>
      <w:r>
        <w:rPr>
          <w:color w:val="231F20"/>
        </w:rPr>
        <w:t>en</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casos</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tales</w:t>
      </w:r>
      <w:r>
        <w:rPr>
          <w:color w:val="231F20"/>
          <w:spacing w:val="-6"/>
        </w:rPr>
        <w:t> </w:t>
      </w:r>
      <w:r>
        <w:rPr>
          <w:color w:val="231F20"/>
        </w:rPr>
        <w:t>fines</w:t>
      </w:r>
      <w:r>
        <w:rPr>
          <w:color w:val="231F20"/>
          <w:spacing w:val="-6"/>
        </w:rPr>
        <w:t> </w:t>
      </w:r>
      <w:r>
        <w:rPr>
          <w:color w:val="231F20"/>
        </w:rPr>
        <w:t>pudieran</w:t>
      </w:r>
      <w:r>
        <w:rPr>
          <w:color w:val="231F20"/>
          <w:spacing w:val="-6"/>
        </w:rPr>
        <w:t> </w:t>
      </w:r>
      <w:r>
        <w:rPr>
          <w:color w:val="231F20"/>
        </w:rPr>
        <w:t>ser</w:t>
      </w:r>
      <w:r>
        <w:rPr>
          <w:color w:val="231F20"/>
          <w:spacing w:val="-6"/>
        </w:rPr>
        <w:t> </w:t>
      </w:r>
      <w:r>
        <w:rPr>
          <w:color w:val="231F20"/>
        </w:rPr>
        <w:t>persegui- dos</w:t>
      </w:r>
      <w:r>
        <w:rPr>
          <w:color w:val="231F20"/>
          <w:spacing w:val="-24"/>
        </w:rPr>
        <w:t> </w:t>
      </w:r>
      <w:r>
        <w:rPr>
          <w:color w:val="231F20"/>
        </w:rPr>
        <w:t>mediante</w:t>
      </w:r>
      <w:r>
        <w:rPr>
          <w:color w:val="231F20"/>
          <w:spacing w:val="-24"/>
        </w:rPr>
        <w:t> </w:t>
      </w:r>
      <w:r>
        <w:rPr>
          <w:color w:val="231F20"/>
        </w:rPr>
        <w:t>la</w:t>
      </w:r>
      <w:r>
        <w:rPr>
          <w:color w:val="231F20"/>
          <w:spacing w:val="-24"/>
        </w:rPr>
        <w:t> </w:t>
      </w:r>
      <w:r>
        <w:rPr>
          <w:color w:val="231F20"/>
        </w:rPr>
        <w:t>violencia.</w:t>
      </w:r>
    </w:p>
    <w:p>
      <w:pPr>
        <w:pStyle w:val="BodyText"/>
        <w:spacing w:line="249" w:lineRule="auto" w:before="1"/>
        <w:ind w:left="101" w:right="118" w:firstLine="284"/>
        <w:jc w:val="both"/>
      </w:pPr>
      <w:r>
        <w:rPr>
          <w:color w:val="231F20"/>
        </w:rPr>
        <w:t>Se van </w:t>
      </w:r>
      <w:r>
        <w:rPr>
          <w:color w:val="231F20"/>
          <w:spacing w:val="3"/>
        </w:rPr>
        <w:t>exponiendo </w:t>
      </w:r>
      <w:r>
        <w:rPr>
          <w:color w:val="231F20"/>
        </w:rPr>
        <w:t>ya las </w:t>
      </w:r>
      <w:r>
        <w:rPr>
          <w:color w:val="231F20"/>
          <w:spacing w:val="3"/>
        </w:rPr>
        <w:t>consideraciones </w:t>
      </w:r>
      <w:r>
        <w:rPr>
          <w:color w:val="231F20"/>
        </w:rPr>
        <w:t>en </w:t>
      </w:r>
      <w:r>
        <w:rPr>
          <w:color w:val="231F20"/>
          <w:spacing w:val="2"/>
        </w:rPr>
        <w:t>torno </w:t>
      </w:r>
      <w:r>
        <w:rPr>
          <w:color w:val="231F20"/>
        </w:rPr>
        <w:t>a la </w:t>
      </w:r>
      <w:r>
        <w:rPr>
          <w:color w:val="231F20"/>
          <w:spacing w:val="2"/>
        </w:rPr>
        <w:t>libertad frente </w:t>
      </w:r>
      <w:r>
        <w:rPr>
          <w:color w:val="231F20"/>
        </w:rPr>
        <w:t>a la </w:t>
      </w:r>
      <w:r>
        <w:rPr>
          <w:color w:val="231F20"/>
          <w:spacing w:val="2"/>
        </w:rPr>
        <w:t>violencia, más </w:t>
      </w:r>
      <w:r>
        <w:rPr>
          <w:color w:val="231F20"/>
        </w:rPr>
        <w:t>allá </w:t>
      </w:r>
      <w:r>
        <w:rPr>
          <w:color w:val="231F20"/>
          <w:spacing w:val="2"/>
        </w:rPr>
        <w:t>del derecho con sentido, porque </w:t>
      </w:r>
      <w:r>
        <w:rPr>
          <w:color w:val="231F20"/>
        </w:rPr>
        <w:t>en tal </w:t>
      </w:r>
      <w:r>
        <w:rPr>
          <w:color w:val="231F20"/>
          <w:spacing w:val="2"/>
        </w:rPr>
        <w:t>caso </w:t>
      </w:r>
      <w:r>
        <w:rPr>
          <w:color w:val="231F20"/>
        </w:rPr>
        <w:t>se </w:t>
      </w:r>
      <w:r>
        <w:rPr>
          <w:color w:val="231F20"/>
          <w:spacing w:val="2"/>
        </w:rPr>
        <w:t>reservaría </w:t>
      </w:r>
      <w:r>
        <w:rPr>
          <w:color w:val="231F20"/>
        </w:rPr>
        <w:t>el </w:t>
      </w:r>
      <w:r>
        <w:rPr>
          <w:color w:val="231F20"/>
          <w:spacing w:val="2"/>
        </w:rPr>
        <w:t>poder </w:t>
      </w:r>
      <w:r>
        <w:rPr>
          <w:color w:val="231F20"/>
        </w:rPr>
        <w:t>al </w:t>
      </w:r>
      <w:r>
        <w:rPr>
          <w:color w:val="231F20"/>
          <w:spacing w:val="3"/>
        </w:rPr>
        <w:t>monopolio </w:t>
      </w:r>
      <w:r>
        <w:rPr>
          <w:color w:val="231F20"/>
        </w:rPr>
        <w:t>de la </w:t>
      </w:r>
      <w:r>
        <w:rPr>
          <w:color w:val="231F20"/>
          <w:spacing w:val="2"/>
        </w:rPr>
        <w:t>violencia, cance- lando </w:t>
      </w:r>
      <w:r>
        <w:rPr>
          <w:color w:val="231F20"/>
        </w:rPr>
        <w:t>el </w:t>
      </w:r>
      <w:r>
        <w:rPr>
          <w:color w:val="231F20"/>
          <w:spacing w:val="2"/>
        </w:rPr>
        <w:t>accionar </w:t>
      </w:r>
      <w:r>
        <w:rPr>
          <w:color w:val="231F20"/>
        </w:rPr>
        <w:t>de la </w:t>
      </w:r>
      <w:r>
        <w:rPr>
          <w:color w:val="231F20"/>
          <w:spacing w:val="2"/>
        </w:rPr>
        <w:t>lectura diversa </w:t>
      </w:r>
      <w:r>
        <w:rPr>
          <w:color w:val="231F20"/>
        </w:rPr>
        <w:t>y </w:t>
      </w:r>
      <w:r>
        <w:rPr>
          <w:color w:val="231F20"/>
          <w:spacing w:val="2"/>
        </w:rPr>
        <w:t>creativa </w:t>
      </w:r>
      <w:r>
        <w:rPr>
          <w:color w:val="231F20"/>
        </w:rPr>
        <w:t>de la </w:t>
      </w:r>
      <w:r>
        <w:rPr>
          <w:color w:val="231F20"/>
          <w:spacing w:val="2"/>
        </w:rPr>
        <w:t>realidad. Devendrán tiempos </w:t>
      </w:r>
      <w:r>
        <w:rPr>
          <w:color w:val="231F20"/>
        </w:rPr>
        <w:t>de </w:t>
      </w:r>
      <w:r>
        <w:rPr>
          <w:color w:val="231F20"/>
          <w:spacing w:val="3"/>
        </w:rPr>
        <w:t>compromiso </w:t>
      </w:r>
      <w:r>
        <w:rPr>
          <w:color w:val="231F20"/>
        </w:rPr>
        <w:t>de los </w:t>
      </w:r>
      <w:r>
        <w:rPr>
          <w:color w:val="231F20"/>
          <w:spacing w:val="2"/>
        </w:rPr>
        <w:t>intelectuales </w:t>
      </w:r>
      <w:r>
        <w:rPr>
          <w:color w:val="231F20"/>
        </w:rPr>
        <w:t>que se </w:t>
      </w:r>
      <w:r>
        <w:rPr>
          <w:color w:val="231F20"/>
          <w:spacing w:val="3"/>
        </w:rPr>
        <w:t>pronunciarán </w:t>
      </w:r>
      <w:r>
        <w:rPr>
          <w:color w:val="231F20"/>
          <w:spacing w:val="2"/>
        </w:rPr>
        <w:t>contra todo genocidio, contra </w:t>
      </w:r>
      <w:r>
        <w:rPr>
          <w:color w:val="231F20"/>
        </w:rPr>
        <w:t>el </w:t>
      </w:r>
      <w:r>
        <w:rPr>
          <w:color w:val="231F20"/>
          <w:spacing w:val="2"/>
        </w:rPr>
        <w:t>autoritarismo </w:t>
      </w:r>
      <w:r>
        <w:rPr>
          <w:color w:val="231F20"/>
        </w:rPr>
        <w:t>y la </w:t>
      </w:r>
      <w:r>
        <w:rPr>
          <w:color w:val="231F20"/>
          <w:spacing w:val="2"/>
        </w:rPr>
        <w:t>violencia política, </w:t>
      </w:r>
      <w:r>
        <w:rPr>
          <w:color w:val="231F20"/>
        </w:rPr>
        <w:t>que se ha </w:t>
      </w:r>
      <w:r>
        <w:rPr>
          <w:color w:val="231F20"/>
          <w:spacing w:val="2"/>
        </w:rPr>
        <w:t>degenerado </w:t>
      </w:r>
      <w:r>
        <w:rPr>
          <w:color w:val="231F20"/>
        </w:rPr>
        <w:t>en el </w:t>
      </w:r>
      <w:r>
        <w:rPr>
          <w:color w:val="231F20"/>
          <w:spacing w:val="2"/>
        </w:rPr>
        <w:t>militarismo</w:t>
      </w:r>
      <w:r>
        <w:rPr>
          <w:color w:val="231F20"/>
          <w:spacing w:val="9"/>
        </w:rPr>
        <w:t> </w:t>
      </w:r>
      <w:r>
        <w:rPr>
          <w:color w:val="231F20"/>
          <w:spacing w:val="3"/>
        </w:rPr>
        <w:t>atroz.</w:t>
      </w:r>
    </w:p>
    <w:p>
      <w:pPr>
        <w:pStyle w:val="BodyText"/>
        <w:spacing w:line="247" w:lineRule="auto"/>
        <w:ind w:left="101" w:right="118" w:firstLine="284"/>
        <w:jc w:val="both"/>
      </w:pPr>
      <w:r>
        <w:rPr>
          <w:color w:val="231F20"/>
        </w:rPr>
        <w:t>Hoy si nos atenemos a la comprobación de abusos y olvidos, malos usos y silencios en el sentido de aquel respeto que debiera prevalecer, puede caerse en el cinismo o la desolación. Esa desme- moria, ese olvido, provoca en el hombre común una inercia desdi- chada para la presencia en el mundo, y la historia (Clementi, 1995: 16-19).</w:t>
      </w:r>
    </w:p>
    <w:p>
      <w:pPr>
        <w:pStyle w:val="BodyText"/>
        <w:spacing w:line="249" w:lineRule="auto" w:before="6"/>
        <w:ind w:left="101" w:right="116" w:firstLine="284"/>
        <w:jc w:val="both"/>
      </w:pPr>
      <w:r>
        <w:rPr>
          <w:color w:val="231F20"/>
          <w:spacing w:val="3"/>
        </w:rPr>
        <w:t>En este </w:t>
      </w:r>
      <w:r>
        <w:rPr>
          <w:color w:val="231F20"/>
          <w:spacing w:val="4"/>
        </w:rPr>
        <w:t>sentido, </w:t>
      </w:r>
      <w:r>
        <w:rPr>
          <w:color w:val="231F20"/>
        </w:rPr>
        <w:t>la </w:t>
      </w:r>
      <w:r>
        <w:rPr>
          <w:color w:val="231F20"/>
          <w:spacing w:val="4"/>
        </w:rPr>
        <w:t>violencia puede definirse </w:t>
      </w:r>
      <w:r>
        <w:rPr>
          <w:color w:val="231F20"/>
          <w:spacing w:val="2"/>
        </w:rPr>
        <w:t>en su  </w:t>
      </w:r>
      <w:r>
        <w:rPr>
          <w:color w:val="231F20"/>
          <w:spacing w:val="4"/>
        </w:rPr>
        <w:t>relación  </w:t>
      </w:r>
      <w:r>
        <w:rPr>
          <w:color w:val="231F20"/>
          <w:spacing w:val="3"/>
        </w:rPr>
        <w:t>con </w:t>
      </w:r>
      <w:r>
        <w:rPr>
          <w:color w:val="231F20"/>
          <w:spacing w:val="2"/>
        </w:rPr>
        <w:t>el </w:t>
      </w:r>
      <w:r>
        <w:rPr>
          <w:color w:val="231F20"/>
          <w:spacing w:val="4"/>
        </w:rPr>
        <w:t>derecho </w:t>
      </w:r>
      <w:r>
        <w:rPr>
          <w:color w:val="231F20"/>
        </w:rPr>
        <w:t>y </w:t>
      </w:r>
      <w:r>
        <w:rPr>
          <w:color w:val="231F20"/>
          <w:spacing w:val="3"/>
        </w:rPr>
        <w:t>con </w:t>
      </w:r>
      <w:r>
        <w:rPr>
          <w:color w:val="231F20"/>
        </w:rPr>
        <w:t>la </w:t>
      </w:r>
      <w:r>
        <w:rPr>
          <w:color w:val="231F20"/>
          <w:spacing w:val="4"/>
        </w:rPr>
        <w:t>justicia; </w:t>
      </w:r>
      <w:r>
        <w:rPr>
          <w:color w:val="231F20"/>
        </w:rPr>
        <w:t>la </w:t>
      </w:r>
      <w:r>
        <w:rPr>
          <w:color w:val="231F20"/>
          <w:spacing w:val="4"/>
        </w:rPr>
        <w:t>simple relación </w:t>
      </w:r>
      <w:r>
        <w:rPr>
          <w:color w:val="231F20"/>
          <w:spacing w:val="3"/>
        </w:rPr>
        <w:t>de </w:t>
      </w:r>
      <w:r>
        <w:rPr>
          <w:color w:val="231F20"/>
          <w:spacing w:val="4"/>
        </w:rPr>
        <w:t>mando </w:t>
      </w:r>
      <w:r>
        <w:rPr>
          <w:color w:val="231F20"/>
        </w:rPr>
        <w:t>y </w:t>
      </w:r>
      <w:r>
        <w:rPr>
          <w:color w:val="231F20"/>
          <w:spacing w:val="3"/>
        </w:rPr>
        <w:t>de </w:t>
      </w:r>
      <w:r>
        <w:rPr>
          <w:color w:val="231F20"/>
          <w:spacing w:val="4"/>
        </w:rPr>
        <w:t>obediencia basta para identificar </w:t>
      </w:r>
      <w:r>
        <w:rPr>
          <w:color w:val="231F20"/>
          <w:spacing w:val="2"/>
        </w:rPr>
        <w:t>su </w:t>
      </w:r>
      <w:r>
        <w:rPr>
          <w:color w:val="231F20"/>
          <w:spacing w:val="4"/>
        </w:rPr>
        <w:t>esencia </w:t>
      </w:r>
      <w:r>
        <w:rPr>
          <w:color w:val="231F20"/>
          <w:spacing w:val="2"/>
        </w:rPr>
        <w:t>en la </w:t>
      </w:r>
      <w:r>
        <w:rPr>
          <w:color w:val="231F20"/>
          <w:spacing w:val="3"/>
        </w:rPr>
        <w:t>ley, </w:t>
      </w:r>
      <w:r>
        <w:rPr>
          <w:color w:val="231F20"/>
          <w:spacing w:val="4"/>
        </w:rPr>
        <w:t>porque </w:t>
      </w:r>
      <w:r>
        <w:rPr>
          <w:color w:val="231F20"/>
          <w:spacing w:val="2"/>
        </w:rPr>
        <w:t>el </w:t>
      </w:r>
      <w:r>
        <w:rPr>
          <w:color w:val="231F20"/>
          <w:spacing w:val="4"/>
        </w:rPr>
        <w:t>germen </w:t>
      </w:r>
      <w:r>
        <w:rPr>
          <w:color w:val="231F20"/>
          <w:spacing w:val="2"/>
        </w:rPr>
        <w:t>de </w:t>
      </w:r>
      <w:r>
        <w:rPr>
          <w:color w:val="231F20"/>
          <w:spacing w:val="3"/>
        </w:rPr>
        <w:t>las </w:t>
      </w:r>
      <w:r>
        <w:rPr>
          <w:color w:val="231F20"/>
          <w:spacing w:val="4"/>
        </w:rPr>
        <w:t>relaciones </w:t>
      </w:r>
      <w:r>
        <w:rPr>
          <w:color w:val="231F20"/>
          <w:spacing w:val="5"/>
        </w:rPr>
        <w:t>humanas </w:t>
      </w:r>
      <w:r>
        <w:rPr>
          <w:color w:val="231F20"/>
          <w:spacing w:val="2"/>
        </w:rPr>
        <w:t>se </w:t>
      </w:r>
      <w:r>
        <w:rPr>
          <w:color w:val="231F20"/>
          <w:spacing w:val="4"/>
        </w:rPr>
        <w:t>convierte </w:t>
      </w:r>
      <w:r>
        <w:rPr>
          <w:color w:val="231F20"/>
          <w:spacing w:val="2"/>
        </w:rPr>
        <w:t>en </w:t>
      </w:r>
      <w:r>
        <w:rPr>
          <w:color w:val="231F20"/>
          <w:spacing w:val="4"/>
        </w:rPr>
        <w:t>violencia, </w:t>
      </w:r>
      <w:r>
        <w:rPr>
          <w:color w:val="231F20"/>
          <w:spacing w:val="5"/>
        </w:rPr>
        <w:t>en   </w:t>
      </w:r>
      <w:r>
        <w:rPr>
          <w:color w:val="231F20"/>
          <w:spacing w:val="2"/>
        </w:rPr>
        <w:t>el </w:t>
      </w:r>
      <w:r>
        <w:rPr>
          <w:color w:val="231F20"/>
          <w:spacing w:val="4"/>
        </w:rPr>
        <w:t>sentido exacto </w:t>
      </w:r>
      <w:r>
        <w:rPr>
          <w:color w:val="231F20"/>
          <w:spacing w:val="3"/>
        </w:rPr>
        <w:t>de </w:t>
      </w:r>
      <w:r>
        <w:rPr>
          <w:color w:val="231F20"/>
        </w:rPr>
        <w:t>la </w:t>
      </w:r>
      <w:r>
        <w:rPr>
          <w:color w:val="231F20"/>
          <w:spacing w:val="4"/>
        </w:rPr>
        <w:t>palabra, </w:t>
      </w:r>
      <w:r>
        <w:rPr>
          <w:color w:val="231F20"/>
          <w:spacing w:val="3"/>
        </w:rPr>
        <w:t>solo </w:t>
      </w:r>
      <w:r>
        <w:rPr>
          <w:color w:val="231F20"/>
          <w:spacing w:val="4"/>
        </w:rPr>
        <w:t>cuando incide sobre </w:t>
      </w:r>
      <w:r>
        <w:rPr>
          <w:color w:val="231F20"/>
          <w:spacing w:val="3"/>
        </w:rPr>
        <w:t>las </w:t>
      </w:r>
      <w:r>
        <w:rPr>
          <w:color w:val="231F20"/>
          <w:spacing w:val="4"/>
        </w:rPr>
        <w:t>rela- ciones morales </w:t>
      </w:r>
      <w:r>
        <w:rPr>
          <w:color w:val="231F20"/>
        </w:rPr>
        <w:t>y </w:t>
      </w:r>
      <w:r>
        <w:rPr>
          <w:color w:val="231F20"/>
          <w:spacing w:val="4"/>
        </w:rPr>
        <w:t>éticas. </w:t>
      </w:r>
      <w:r>
        <w:rPr>
          <w:color w:val="231F20"/>
          <w:spacing w:val="3"/>
        </w:rPr>
        <w:t>En </w:t>
      </w:r>
      <w:r>
        <w:rPr>
          <w:color w:val="231F20"/>
        </w:rPr>
        <w:t>lo </w:t>
      </w:r>
      <w:r>
        <w:rPr>
          <w:color w:val="231F20"/>
          <w:spacing w:val="4"/>
        </w:rPr>
        <w:t>que respecta </w:t>
      </w:r>
      <w:r>
        <w:rPr>
          <w:color w:val="231F20"/>
          <w:spacing w:val="2"/>
        </w:rPr>
        <w:t>al </w:t>
      </w:r>
      <w:r>
        <w:rPr>
          <w:color w:val="231F20"/>
          <w:spacing w:val="4"/>
        </w:rPr>
        <w:t>derecho, </w:t>
      </w:r>
      <w:r>
        <w:rPr>
          <w:color w:val="231F20"/>
          <w:spacing w:val="2"/>
        </w:rPr>
        <w:t>es </w:t>
      </w:r>
      <w:r>
        <w:rPr>
          <w:color w:val="231F20"/>
          <w:spacing w:val="5"/>
        </w:rPr>
        <w:t>eviden- </w:t>
      </w:r>
      <w:r>
        <w:rPr>
          <w:color w:val="231F20"/>
          <w:spacing w:val="2"/>
        </w:rPr>
        <w:t>te </w:t>
      </w:r>
      <w:r>
        <w:rPr>
          <w:color w:val="231F20"/>
          <w:spacing w:val="3"/>
        </w:rPr>
        <w:t>que </w:t>
      </w:r>
      <w:r>
        <w:rPr>
          <w:color w:val="231F20"/>
        </w:rPr>
        <w:t>la </w:t>
      </w:r>
      <w:r>
        <w:rPr>
          <w:color w:val="231F20"/>
          <w:spacing w:val="4"/>
        </w:rPr>
        <w:t>relación fundamental </w:t>
      </w:r>
      <w:r>
        <w:rPr>
          <w:color w:val="231F20"/>
        </w:rPr>
        <w:t>y </w:t>
      </w:r>
      <w:r>
        <w:rPr>
          <w:color w:val="231F20"/>
          <w:spacing w:val="4"/>
        </w:rPr>
        <w:t>más elemental </w:t>
      </w:r>
      <w:r>
        <w:rPr>
          <w:color w:val="231F20"/>
          <w:spacing w:val="2"/>
        </w:rPr>
        <w:t>de </w:t>
      </w:r>
      <w:r>
        <w:rPr>
          <w:color w:val="231F20"/>
          <w:spacing w:val="4"/>
        </w:rPr>
        <w:t>todo </w:t>
      </w:r>
      <w:r>
        <w:rPr>
          <w:color w:val="231F20"/>
          <w:spacing w:val="5"/>
        </w:rPr>
        <w:t>ordena- </w:t>
      </w:r>
      <w:r>
        <w:rPr>
          <w:color w:val="231F20"/>
          <w:spacing w:val="4"/>
        </w:rPr>
        <w:t>miento jurídico </w:t>
      </w:r>
      <w:r>
        <w:rPr>
          <w:color w:val="231F20"/>
          <w:spacing w:val="2"/>
        </w:rPr>
        <w:t>es </w:t>
      </w:r>
      <w:r>
        <w:rPr>
          <w:color w:val="231F20"/>
        </w:rPr>
        <w:t>la </w:t>
      </w:r>
      <w:r>
        <w:rPr>
          <w:color w:val="231F20"/>
          <w:spacing w:val="3"/>
        </w:rPr>
        <w:t>del fin </w:t>
      </w:r>
      <w:r>
        <w:rPr>
          <w:color w:val="231F20"/>
        </w:rPr>
        <w:t>y </w:t>
      </w:r>
      <w:r>
        <w:rPr>
          <w:color w:val="231F20"/>
          <w:spacing w:val="2"/>
        </w:rPr>
        <w:t>el </w:t>
      </w:r>
      <w:r>
        <w:rPr>
          <w:color w:val="231F20"/>
          <w:spacing w:val="4"/>
        </w:rPr>
        <w:t>medio; </w:t>
      </w:r>
      <w:r>
        <w:rPr>
          <w:color w:val="231F20"/>
        </w:rPr>
        <w:t>y </w:t>
      </w:r>
      <w:r>
        <w:rPr>
          <w:color w:val="231F20"/>
          <w:spacing w:val="3"/>
        </w:rPr>
        <w:t>que </w:t>
      </w:r>
      <w:r>
        <w:rPr>
          <w:color w:val="231F20"/>
        </w:rPr>
        <w:t>la </w:t>
      </w:r>
      <w:r>
        <w:rPr>
          <w:color w:val="231F20"/>
          <w:spacing w:val="4"/>
        </w:rPr>
        <w:t>violencia, </w:t>
      </w:r>
      <w:r>
        <w:rPr>
          <w:color w:val="231F20"/>
          <w:spacing w:val="3"/>
        </w:rPr>
        <w:t>para </w:t>
      </w:r>
      <w:r>
        <w:rPr>
          <w:color w:val="231F20"/>
          <w:spacing w:val="4"/>
        </w:rPr>
        <w:t>comenzar, </w:t>
      </w:r>
      <w:r>
        <w:rPr>
          <w:color w:val="231F20"/>
          <w:spacing w:val="3"/>
        </w:rPr>
        <w:t>solo </w:t>
      </w:r>
      <w:r>
        <w:rPr>
          <w:color w:val="231F20"/>
          <w:spacing w:val="4"/>
        </w:rPr>
        <w:t>puede </w:t>
      </w:r>
      <w:r>
        <w:rPr>
          <w:color w:val="231F20"/>
          <w:spacing w:val="3"/>
        </w:rPr>
        <w:t>ser </w:t>
      </w:r>
      <w:r>
        <w:rPr>
          <w:color w:val="231F20"/>
          <w:spacing w:val="4"/>
        </w:rPr>
        <w:t>buscada </w:t>
      </w:r>
      <w:r>
        <w:rPr>
          <w:color w:val="231F20"/>
          <w:spacing w:val="2"/>
        </w:rPr>
        <w:t>en el </w:t>
      </w:r>
      <w:r>
        <w:rPr>
          <w:color w:val="231F20"/>
          <w:spacing w:val="3"/>
        </w:rPr>
        <w:t>reino de los </w:t>
      </w:r>
      <w:r>
        <w:rPr>
          <w:color w:val="231F20"/>
          <w:spacing w:val="4"/>
        </w:rPr>
        <w:t>medios </w:t>
      </w:r>
      <w:r>
        <w:rPr>
          <w:color w:val="231F20"/>
        </w:rPr>
        <w:t>y </w:t>
      </w:r>
      <w:r>
        <w:rPr>
          <w:color w:val="231F20"/>
          <w:spacing w:val="5"/>
        </w:rPr>
        <w:t>no </w:t>
      </w:r>
      <w:r>
        <w:rPr>
          <w:color w:val="231F20"/>
          <w:spacing w:val="2"/>
        </w:rPr>
        <w:t>en el </w:t>
      </w:r>
      <w:r>
        <w:rPr>
          <w:color w:val="231F20"/>
          <w:spacing w:val="3"/>
        </w:rPr>
        <w:t>de los </w:t>
      </w:r>
      <w:r>
        <w:rPr>
          <w:color w:val="231F20"/>
          <w:spacing w:val="4"/>
        </w:rPr>
        <w:t>fines. Puesto que </w:t>
      </w:r>
      <w:r>
        <w:rPr>
          <w:color w:val="231F20"/>
        </w:rPr>
        <w:t>la </w:t>
      </w:r>
      <w:r>
        <w:rPr>
          <w:color w:val="231F20"/>
          <w:spacing w:val="4"/>
        </w:rPr>
        <w:t>violencia </w:t>
      </w:r>
      <w:r>
        <w:rPr>
          <w:color w:val="231F20"/>
          <w:spacing w:val="2"/>
        </w:rPr>
        <w:t>es </w:t>
      </w:r>
      <w:r>
        <w:rPr>
          <w:color w:val="231F20"/>
          <w:spacing w:val="3"/>
        </w:rPr>
        <w:t>un </w:t>
      </w:r>
      <w:r>
        <w:rPr>
          <w:color w:val="231F20"/>
          <w:spacing w:val="4"/>
        </w:rPr>
        <w:t>medio, podría parecer </w:t>
      </w:r>
      <w:r>
        <w:rPr>
          <w:color w:val="231F20"/>
          <w:spacing w:val="3"/>
        </w:rPr>
        <w:t>que </w:t>
      </w:r>
      <w:r>
        <w:rPr>
          <w:color w:val="231F20"/>
          <w:spacing w:val="2"/>
        </w:rPr>
        <w:t>el </w:t>
      </w:r>
      <w:r>
        <w:rPr>
          <w:color w:val="231F20"/>
          <w:spacing w:val="4"/>
        </w:rPr>
        <w:t>criterio para </w:t>
      </w:r>
      <w:r>
        <w:rPr>
          <w:color w:val="231F20"/>
          <w:spacing w:val="2"/>
        </w:rPr>
        <w:t>su </w:t>
      </w:r>
      <w:r>
        <w:rPr>
          <w:color w:val="231F20"/>
          <w:spacing w:val="4"/>
        </w:rPr>
        <w:t>crítica </w:t>
      </w:r>
      <w:r>
        <w:rPr>
          <w:color w:val="231F20"/>
          <w:spacing w:val="3"/>
        </w:rPr>
        <w:t>está </w:t>
      </w:r>
      <w:r>
        <w:rPr>
          <w:color w:val="231F20"/>
          <w:spacing w:val="2"/>
        </w:rPr>
        <w:t>ya </w:t>
      </w:r>
      <w:r>
        <w:rPr>
          <w:color w:val="231F20"/>
          <w:spacing w:val="4"/>
        </w:rPr>
        <w:t>dado </w:t>
      </w:r>
      <w:r>
        <w:rPr>
          <w:color w:val="231F20"/>
          <w:spacing w:val="2"/>
        </w:rPr>
        <w:t>en </w:t>
      </w:r>
      <w:r>
        <w:rPr>
          <w:color w:val="231F20"/>
          <w:spacing w:val="4"/>
        </w:rPr>
        <w:t>términos </w:t>
      </w:r>
      <w:r>
        <w:rPr>
          <w:color w:val="231F20"/>
          <w:spacing w:val="6"/>
        </w:rPr>
        <w:t>de </w:t>
      </w:r>
      <w:r>
        <w:rPr>
          <w:color w:val="231F20"/>
          <w:spacing w:val="3"/>
        </w:rPr>
        <w:t>los </w:t>
      </w:r>
      <w:r>
        <w:rPr>
          <w:color w:val="231F20"/>
          <w:spacing w:val="4"/>
        </w:rPr>
        <w:t>fines justos. Pero </w:t>
      </w:r>
      <w:r>
        <w:rPr>
          <w:color w:val="231F20"/>
          <w:spacing w:val="3"/>
        </w:rPr>
        <w:t>las </w:t>
      </w:r>
      <w:r>
        <w:rPr>
          <w:color w:val="231F20"/>
          <w:spacing w:val="4"/>
        </w:rPr>
        <w:t>cosas </w:t>
      </w:r>
      <w:r>
        <w:rPr>
          <w:color w:val="231F20"/>
          <w:spacing w:val="2"/>
        </w:rPr>
        <w:t>no </w:t>
      </w:r>
      <w:r>
        <w:rPr>
          <w:color w:val="231F20"/>
          <w:spacing w:val="3"/>
        </w:rPr>
        <w:t>son así. </w:t>
      </w:r>
      <w:r>
        <w:rPr>
          <w:color w:val="231F20"/>
          <w:spacing w:val="4"/>
        </w:rPr>
        <w:t>Pues </w:t>
      </w:r>
      <w:r>
        <w:rPr>
          <w:color w:val="231F20"/>
        </w:rPr>
        <w:t>lo </w:t>
      </w:r>
      <w:r>
        <w:rPr>
          <w:color w:val="231F20"/>
          <w:spacing w:val="4"/>
        </w:rPr>
        <w:t>que </w:t>
      </w:r>
      <w:r>
        <w:rPr>
          <w:color w:val="231F20"/>
          <w:spacing w:val="3"/>
        </w:rPr>
        <w:t>este </w:t>
      </w:r>
      <w:r>
        <w:rPr>
          <w:color w:val="231F20"/>
          <w:spacing w:val="4"/>
        </w:rPr>
        <w:t>sis- tema daría, </w:t>
      </w:r>
      <w:r>
        <w:rPr>
          <w:color w:val="231F20"/>
          <w:spacing w:val="3"/>
        </w:rPr>
        <w:t>no </w:t>
      </w:r>
      <w:r>
        <w:rPr>
          <w:color w:val="231F20"/>
          <w:spacing w:val="2"/>
        </w:rPr>
        <w:t>es un </w:t>
      </w:r>
      <w:r>
        <w:rPr>
          <w:color w:val="231F20"/>
          <w:spacing w:val="4"/>
        </w:rPr>
        <w:t>criterio </w:t>
      </w:r>
      <w:r>
        <w:rPr>
          <w:color w:val="231F20"/>
          <w:spacing w:val="2"/>
        </w:rPr>
        <w:t>de </w:t>
      </w:r>
      <w:r>
        <w:rPr>
          <w:color w:val="231F20"/>
        </w:rPr>
        <w:t>la </w:t>
      </w:r>
      <w:r>
        <w:rPr>
          <w:color w:val="231F20"/>
          <w:spacing w:val="4"/>
        </w:rPr>
        <w:t>violencia misma como </w:t>
      </w:r>
      <w:r>
        <w:rPr>
          <w:color w:val="231F20"/>
          <w:spacing w:val="5"/>
        </w:rPr>
        <w:t>princi- </w:t>
      </w:r>
      <w:r>
        <w:rPr>
          <w:color w:val="231F20"/>
          <w:spacing w:val="4"/>
        </w:rPr>
        <w:t>pio, sino </w:t>
      </w:r>
      <w:r>
        <w:rPr>
          <w:color w:val="231F20"/>
          <w:spacing w:val="2"/>
        </w:rPr>
        <w:t>un </w:t>
      </w:r>
      <w:r>
        <w:rPr>
          <w:color w:val="231F20"/>
          <w:spacing w:val="4"/>
        </w:rPr>
        <w:t>criterio respecto </w:t>
      </w:r>
      <w:r>
        <w:rPr>
          <w:color w:val="231F20"/>
        </w:rPr>
        <w:t>a </w:t>
      </w:r>
      <w:r>
        <w:rPr>
          <w:color w:val="231F20"/>
          <w:spacing w:val="3"/>
        </w:rPr>
        <w:t>los </w:t>
      </w:r>
      <w:r>
        <w:rPr>
          <w:color w:val="231F20"/>
          <w:spacing w:val="4"/>
        </w:rPr>
        <w:t>casos </w:t>
      </w:r>
      <w:r>
        <w:rPr>
          <w:color w:val="231F20"/>
          <w:spacing w:val="3"/>
        </w:rPr>
        <w:t>de </w:t>
      </w:r>
      <w:r>
        <w:rPr>
          <w:color w:val="231F20"/>
          <w:spacing w:val="2"/>
        </w:rPr>
        <w:t>su </w:t>
      </w:r>
      <w:r>
        <w:rPr>
          <w:color w:val="231F20"/>
          <w:spacing w:val="4"/>
        </w:rPr>
        <w:t>aplicación. </w:t>
      </w:r>
      <w:r>
        <w:rPr>
          <w:color w:val="231F20"/>
          <w:spacing w:val="5"/>
        </w:rPr>
        <w:t>Per- </w:t>
      </w:r>
      <w:r>
        <w:rPr>
          <w:color w:val="231F20"/>
          <w:spacing w:val="4"/>
        </w:rPr>
        <w:t>manecería </w:t>
      </w:r>
      <w:r>
        <w:rPr>
          <w:color w:val="231F20"/>
          <w:spacing w:val="3"/>
        </w:rPr>
        <w:t>sin </w:t>
      </w:r>
      <w:r>
        <w:rPr>
          <w:color w:val="231F20"/>
          <w:spacing w:val="4"/>
        </w:rPr>
        <w:t>respuesta </w:t>
      </w:r>
      <w:r>
        <w:rPr>
          <w:color w:val="231F20"/>
          <w:spacing w:val="2"/>
        </w:rPr>
        <w:t>el </w:t>
      </w:r>
      <w:r>
        <w:rPr>
          <w:color w:val="231F20"/>
          <w:spacing w:val="4"/>
        </w:rPr>
        <w:t>problema </w:t>
      </w:r>
      <w:r>
        <w:rPr>
          <w:color w:val="231F20"/>
          <w:spacing w:val="3"/>
        </w:rPr>
        <w:t>de </w:t>
      </w:r>
      <w:r>
        <w:rPr>
          <w:color w:val="231F20"/>
          <w:spacing w:val="2"/>
        </w:rPr>
        <w:t>si </w:t>
      </w:r>
      <w:r>
        <w:rPr>
          <w:color w:val="231F20"/>
        </w:rPr>
        <w:t>la </w:t>
      </w:r>
      <w:r>
        <w:rPr>
          <w:color w:val="231F20"/>
          <w:spacing w:val="4"/>
        </w:rPr>
        <w:t>violencia </w:t>
      </w:r>
      <w:r>
        <w:rPr>
          <w:color w:val="231F20"/>
          <w:spacing w:val="2"/>
        </w:rPr>
        <w:t>en </w:t>
      </w:r>
      <w:r>
        <w:rPr>
          <w:color w:val="231F20"/>
          <w:spacing w:val="4"/>
        </w:rPr>
        <w:t>general, como principio, </w:t>
      </w:r>
      <w:r>
        <w:rPr>
          <w:color w:val="231F20"/>
          <w:spacing w:val="2"/>
        </w:rPr>
        <w:t>es </w:t>
      </w:r>
      <w:r>
        <w:rPr>
          <w:color w:val="231F20"/>
          <w:spacing w:val="4"/>
        </w:rPr>
        <w:t>moral </w:t>
      </w:r>
      <w:r>
        <w:rPr>
          <w:color w:val="231F20"/>
        </w:rPr>
        <w:t>o </w:t>
      </w:r>
      <w:r>
        <w:rPr>
          <w:color w:val="231F20"/>
          <w:spacing w:val="4"/>
        </w:rPr>
        <w:t>no, </w:t>
      </w:r>
      <w:r>
        <w:rPr>
          <w:color w:val="231F20"/>
          <w:spacing w:val="3"/>
        </w:rPr>
        <w:t>aun </w:t>
      </w:r>
      <w:r>
        <w:rPr>
          <w:color w:val="231F20"/>
          <w:spacing w:val="4"/>
        </w:rPr>
        <w:t>cuando </w:t>
      </w:r>
      <w:r>
        <w:rPr>
          <w:color w:val="231F20"/>
          <w:spacing w:val="3"/>
        </w:rPr>
        <w:t>sea </w:t>
      </w:r>
      <w:r>
        <w:rPr>
          <w:color w:val="231F20"/>
          <w:spacing w:val="2"/>
        </w:rPr>
        <w:t>un </w:t>
      </w:r>
      <w:r>
        <w:rPr>
          <w:color w:val="231F20"/>
          <w:spacing w:val="4"/>
        </w:rPr>
        <w:t>medio para fines</w:t>
      </w:r>
      <w:r>
        <w:rPr>
          <w:color w:val="231F20"/>
          <w:spacing w:val="-8"/>
        </w:rPr>
        <w:t> </w:t>
      </w:r>
      <w:r>
        <w:rPr>
          <w:color w:val="231F20"/>
          <w:spacing w:val="4"/>
        </w:rPr>
        <w:t>justos</w:t>
      </w:r>
      <w:r>
        <w:rPr>
          <w:color w:val="231F20"/>
          <w:spacing w:val="-8"/>
        </w:rPr>
        <w:t> </w:t>
      </w:r>
      <w:r>
        <w:rPr>
          <w:color w:val="231F20"/>
          <w:spacing w:val="4"/>
        </w:rPr>
        <w:t>(Clementi,</w:t>
      </w:r>
      <w:r>
        <w:rPr>
          <w:color w:val="231F20"/>
          <w:spacing w:val="-8"/>
        </w:rPr>
        <w:t> </w:t>
      </w:r>
      <w:r>
        <w:rPr>
          <w:color w:val="231F20"/>
          <w:spacing w:val="4"/>
        </w:rPr>
        <w:t>1995:</w:t>
      </w:r>
      <w:r>
        <w:rPr>
          <w:color w:val="231F20"/>
          <w:spacing w:val="-8"/>
        </w:rPr>
        <w:t> </w:t>
      </w:r>
      <w:r>
        <w:rPr>
          <w:color w:val="231F20"/>
          <w:spacing w:val="3"/>
        </w:rPr>
        <w:t>24).</w:t>
      </w:r>
    </w:p>
    <w:p>
      <w:pPr>
        <w:pStyle w:val="BodyText"/>
        <w:spacing w:line="247" w:lineRule="auto"/>
        <w:ind w:left="101" w:right="116" w:firstLine="284"/>
        <w:jc w:val="both"/>
      </w:pPr>
      <w:r>
        <w:rPr>
          <w:color w:val="231F20"/>
          <w:spacing w:val="2"/>
        </w:rPr>
        <w:t>Este planteamiento caracteriza </w:t>
      </w:r>
      <w:r>
        <w:rPr>
          <w:color w:val="231F20"/>
        </w:rPr>
        <w:t>a una </w:t>
      </w:r>
      <w:r>
        <w:rPr>
          <w:color w:val="231F20"/>
          <w:spacing w:val="2"/>
        </w:rPr>
        <w:t>corriente </w:t>
      </w:r>
      <w:r>
        <w:rPr>
          <w:color w:val="231F20"/>
        </w:rPr>
        <w:t>de la </w:t>
      </w:r>
      <w:r>
        <w:rPr>
          <w:color w:val="231F20"/>
          <w:spacing w:val="2"/>
        </w:rPr>
        <w:t>filosofía  del </w:t>
      </w:r>
      <w:r>
        <w:rPr>
          <w:color w:val="231F20"/>
          <w:spacing w:val="3"/>
        </w:rPr>
        <w:t>derecho, </w:t>
      </w:r>
      <w:r>
        <w:rPr>
          <w:color w:val="231F20"/>
        </w:rPr>
        <w:t>de la </w:t>
      </w:r>
      <w:r>
        <w:rPr>
          <w:color w:val="231F20"/>
          <w:spacing w:val="2"/>
        </w:rPr>
        <w:t>cual </w:t>
      </w:r>
      <w:r>
        <w:rPr>
          <w:color w:val="231F20"/>
        </w:rPr>
        <w:t>el </w:t>
      </w:r>
      <w:r>
        <w:rPr>
          <w:color w:val="231F20"/>
          <w:spacing w:val="2"/>
        </w:rPr>
        <w:t>rasgo más destacado quizá </w:t>
      </w:r>
      <w:r>
        <w:rPr>
          <w:color w:val="231F20"/>
        </w:rPr>
        <w:t>es el </w:t>
      </w:r>
      <w:r>
        <w:rPr>
          <w:color w:val="231F20"/>
          <w:spacing w:val="2"/>
        </w:rPr>
        <w:t>derecho natural. </w:t>
      </w:r>
      <w:r>
        <w:rPr>
          <w:color w:val="231F20"/>
        </w:rPr>
        <w:t>En el </w:t>
      </w:r>
      <w:r>
        <w:rPr>
          <w:color w:val="231F20"/>
          <w:spacing w:val="2"/>
        </w:rPr>
        <w:t>empleo </w:t>
      </w:r>
      <w:r>
        <w:rPr>
          <w:color w:val="231F20"/>
        </w:rPr>
        <w:t>de </w:t>
      </w:r>
      <w:r>
        <w:rPr>
          <w:color w:val="231F20"/>
          <w:spacing w:val="3"/>
        </w:rPr>
        <w:t>medios </w:t>
      </w:r>
      <w:r>
        <w:rPr>
          <w:color w:val="231F20"/>
          <w:spacing w:val="2"/>
        </w:rPr>
        <w:t>violentos para lograr fines justos, </w:t>
      </w:r>
      <w:r>
        <w:rPr>
          <w:color w:val="231F20"/>
        </w:rPr>
        <w:t>el </w:t>
      </w:r>
      <w:r>
        <w:rPr>
          <w:color w:val="231F20"/>
          <w:spacing w:val="2"/>
        </w:rPr>
        <w:t>derecho natural </w:t>
      </w:r>
      <w:r>
        <w:rPr>
          <w:color w:val="231F20"/>
        </w:rPr>
        <w:t>lo ve tan </w:t>
      </w:r>
      <w:r>
        <w:rPr>
          <w:color w:val="231F20"/>
          <w:spacing w:val="3"/>
        </w:rPr>
        <w:t>escasamente como problema, como </w:t>
      </w:r>
      <w:r>
        <w:rPr>
          <w:color w:val="231F20"/>
        </w:rPr>
        <w:t>el </w:t>
      </w:r>
      <w:r>
        <w:rPr>
          <w:color w:val="231F20"/>
          <w:spacing w:val="3"/>
        </w:rPr>
        <w:t>hombre </w:t>
      </w:r>
      <w:r>
        <w:rPr>
          <w:color w:val="231F20"/>
        </w:rPr>
        <w:t>en  el  </w:t>
      </w:r>
      <w:r>
        <w:rPr>
          <w:color w:val="231F20"/>
          <w:spacing w:val="2"/>
        </w:rPr>
        <w:t>derecho  </w:t>
      </w:r>
      <w:r>
        <w:rPr>
          <w:color w:val="231F20"/>
        </w:rPr>
        <w:t>a  </w:t>
      </w:r>
      <w:r>
        <w:rPr>
          <w:color w:val="231F20"/>
          <w:spacing w:val="2"/>
        </w:rPr>
        <w:t>dirigir </w:t>
      </w:r>
      <w:r>
        <w:rPr>
          <w:color w:val="231F20"/>
        </w:rPr>
        <w:t>su  </w:t>
      </w:r>
      <w:r>
        <w:rPr>
          <w:color w:val="231F20"/>
          <w:spacing w:val="2"/>
        </w:rPr>
        <w:t>propio  cuerpo  hacia  </w:t>
      </w:r>
      <w:r>
        <w:rPr>
          <w:color w:val="231F20"/>
        </w:rPr>
        <w:t>la </w:t>
      </w:r>
      <w:r>
        <w:rPr>
          <w:color w:val="231F20"/>
          <w:spacing w:val="14"/>
        </w:rPr>
        <w:t> </w:t>
      </w:r>
      <w:r>
        <w:rPr>
          <w:color w:val="231F20"/>
          <w:spacing w:val="2"/>
        </w:rPr>
        <w:t>meta</w:t>
      </w:r>
    </w:p>
    <w:p>
      <w:pPr>
        <w:spacing w:after="0" w:line="247" w:lineRule="auto"/>
        <w:jc w:val="both"/>
        <w:sectPr>
          <w:headerReference w:type="default" r:id="rId72"/>
          <w:footerReference w:type="default" r:id="rId73"/>
          <w:pgSz w:w="7830" w:h="11910"/>
          <w:pgMar w:header="0" w:footer="424" w:top="500" w:bottom="620" w:left="920" w:right="900"/>
          <w:pgNumType w:start="3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6"/>
        <w:jc w:val="both"/>
      </w:pPr>
      <w:r>
        <w:rPr>
          <w:color w:val="231F20"/>
        </w:rPr>
        <w:t>hacia la cual marcha. Según la concepción iusnaturalista, que sir- vió de base ideológica para el terror de la Revolución Francesa, la violencia es un producto natural, por así decir, una materia prima, cuyo empleo no plantea problemas, con tal de que no se abuse poniendo la violencia al servicio de fines injustos.</w:t>
      </w:r>
    </w:p>
    <w:p>
      <w:pPr>
        <w:pStyle w:val="BodyText"/>
        <w:spacing w:line="249" w:lineRule="auto" w:before="6"/>
        <w:ind w:left="102" w:right="115" w:firstLine="284"/>
        <w:jc w:val="both"/>
      </w:pPr>
      <w:r>
        <w:rPr>
          <w:color w:val="231F20"/>
        </w:rPr>
        <w:t>Si en la </w:t>
      </w:r>
      <w:r>
        <w:rPr>
          <w:color w:val="231F20"/>
          <w:spacing w:val="2"/>
        </w:rPr>
        <w:t>teoría iusnaturalista del Estado </w:t>
      </w:r>
      <w:r>
        <w:rPr>
          <w:color w:val="231F20"/>
        </w:rPr>
        <w:t>las </w:t>
      </w:r>
      <w:r>
        <w:rPr>
          <w:color w:val="231F20"/>
          <w:spacing w:val="3"/>
        </w:rPr>
        <w:t>personas </w:t>
      </w:r>
      <w:r>
        <w:rPr>
          <w:color w:val="231F20"/>
        </w:rPr>
        <w:t>se </w:t>
      </w:r>
      <w:r>
        <w:rPr>
          <w:color w:val="231F20"/>
          <w:spacing w:val="3"/>
        </w:rPr>
        <w:t>despo- </w:t>
      </w:r>
      <w:r>
        <w:rPr>
          <w:color w:val="231F20"/>
        </w:rPr>
        <w:t>jan de </w:t>
      </w:r>
      <w:r>
        <w:rPr>
          <w:color w:val="231F20"/>
          <w:spacing w:val="2"/>
        </w:rPr>
        <w:t>toda </w:t>
      </w:r>
      <w:r>
        <w:rPr>
          <w:color w:val="231F20"/>
        </w:rPr>
        <w:t>su </w:t>
      </w:r>
      <w:r>
        <w:rPr>
          <w:color w:val="231F20"/>
          <w:spacing w:val="2"/>
        </w:rPr>
        <w:t>autoridad </w:t>
      </w:r>
      <w:r>
        <w:rPr>
          <w:color w:val="231F20"/>
        </w:rPr>
        <w:t>a </w:t>
      </w:r>
      <w:r>
        <w:rPr>
          <w:color w:val="231F20"/>
          <w:spacing w:val="2"/>
        </w:rPr>
        <w:t>favor del </w:t>
      </w:r>
      <w:r>
        <w:rPr>
          <w:color w:val="231F20"/>
          <w:spacing w:val="3"/>
        </w:rPr>
        <w:t>mismo, </w:t>
      </w:r>
      <w:r>
        <w:rPr>
          <w:color w:val="231F20"/>
        </w:rPr>
        <w:t>lo </w:t>
      </w:r>
      <w:r>
        <w:rPr>
          <w:color w:val="231F20"/>
          <w:spacing w:val="2"/>
        </w:rPr>
        <w:t>que ocurre sobre </w:t>
      </w:r>
      <w:r>
        <w:rPr>
          <w:color w:val="231F20"/>
        </w:rPr>
        <w:t>la </w:t>
      </w:r>
      <w:r>
        <w:rPr>
          <w:color w:val="231F20"/>
          <w:spacing w:val="2"/>
        </w:rPr>
        <w:t>base </w:t>
      </w:r>
      <w:r>
        <w:rPr>
          <w:color w:val="231F20"/>
        </w:rPr>
        <w:t>del </w:t>
      </w:r>
      <w:r>
        <w:rPr>
          <w:color w:val="231F20"/>
          <w:spacing w:val="2"/>
        </w:rPr>
        <w:t>supuesto </w:t>
      </w:r>
      <w:r>
        <w:rPr>
          <w:color w:val="231F20"/>
        </w:rPr>
        <w:t>de que el </w:t>
      </w:r>
      <w:r>
        <w:rPr>
          <w:color w:val="231F20"/>
          <w:spacing w:val="2"/>
        </w:rPr>
        <w:t>individuo, antes </w:t>
      </w:r>
      <w:r>
        <w:rPr>
          <w:color w:val="231F20"/>
        </w:rPr>
        <w:t>de la </w:t>
      </w:r>
      <w:r>
        <w:rPr>
          <w:color w:val="231F20"/>
          <w:spacing w:val="2"/>
        </w:rPr>
        <w:t>conclusión </w:t>
      </w:r>
      <w:r>
        <w:rPr>
          <w:color w:val="231F20"/>
        </w:rPr>
        <w:t>de  </w:t>
      </w:r>
      <w:r>
        <w:rPr>
          <w:color w:val="231F20"/>
          <w:spacing w:val="2"/>
        </w:rPr>
        <w:t>este contrato racional, ejercite también </w:t>
      </w:r>
      <w:r>
        <w:rPr>
          <w:i/>
          <w:color w:val="231F20"/>
        </w:rPr>
        <w:t>de jure </w:t>
      </w:r>
      <w:r>
        <w:rPr>
          <w:color w:val="231F20"/>
          <w:spacing w:val="2"/>
        </w:rPr>
        <w:t>todo poder que invista</w:t>
      </w:r>
      <w:r>
        <w:rPr>
          <w:i/>
          <w:color w:val="231F20"/>
          <w:spacing w:val="2"/>
        </w:rPr>
        <w:t>de facto</w:t>
      </w:r>
      <w:r>
        <w:rPr>
          <w:color w:val="231F20"/>
          <w:spacing w:val="2"/>
        </w:rPr>
        <w:t>. Quizá estas </w:t>
      </w:r>
      <w:r>
        <w:rPr>
          <w:color w:val="231F20"/>
          <w:spacing w:val="3"/>
        </w:rPr>
        <w:t>concepciones </w:t>
      </w:r>
      <w:r>
        <w:rPr>
          <w:color w:val="231F20"/>
          <w:spacing w:val="2"/>
        </w:rPr>
        <w:t>han </w:t>
      </w:r>
      <w:r>
        <w:rPr>
          <w:color w:val="231F20"/>
        </w:rPr>
        <w:t>sido </w:t>
      </w:r>
      <w:r>
        <w:rPr>
          <w:color w:val="231F20"/>
          <w:spacing w:val="2"/>
        </w:rPr>
        <w:t>estimuladas por </w:t>
      </w:r>
      <w:r>
        <w:rPr>
          <w:color w:val="231F20"/>
        </w:rPr>
        <w:t>la </w:t>
      </w:r>
      <w:r>
        <w:rPr>
          <w:color w:val="231F20"/>
          <w:spacing w:val="2"/>
        </w:rPr>
        <w:t>biología darwinista </w:t>
      </w:r>
      <w:r>
        <w:rPr>
          <w:color w:val="231F20"/>
        </w:rPr>
        <w:t>que </w:t>
      </w:r>
      <w:r>
        <w:rPr>
          <w:color w:val="231F20"/>
          <w:spacing w:val="2"/>
        </w:rPr>
        <w:t>considera, </w:t>
      </w:r>
      <w:r>
        <w:rPr>
          <w:color w:val="231F20"/>
        </w:rPr>
        <w:t>en </w:t>
      </w:r>
      <w:r>
        <w:rPr>
          <w:color w:val="231F20"/>
          <w:spacing w:val="2"/>
        </w:rPr>
        <w:t>forma </w:t>
      </w:r>
      <w:r>
        <w:rPr>
          <w:color w:val="231F20"/>
        </w:rPr>
        <w:t>del </w:t>
      </w:r>
      <w:r>
        <w:rPr>
          <w:color w:val="231F20"/>
          <w:spacing w:val="2"/>
        </w:rPr>
        <w:t>todo dogmática junto con </w:t>
      </w:r>
      <w:r>
        <w:rPr>
          <w:color w:val="231F20"/>
        </w:rPr>
        <w:t>la </w:t>
      </w:r>
      <w:r>
        <w:rPr>
          <w:color w:val="231F20"/>
          <w:spacing w:val="2"/>
        </w:rPr>
        <w:t>selección natural, </w:t>
      </w:r>
      <w:r>
        <w:rPr>
          <w:color w:val="231F20"/>
        </w:rPr>
        <w:t>solo la </w:t>
      </w:r>
      <w:r>
        <w:rPr>
          <w:color w:val="231F20"/>
          <w:spacing w:val="2"/>
        </w:rPr>
        <w:t>violencia </w:t>
      </w:r>
      <w:r>
        <w:rPr>
          <w:color w:val="231F20"/>
          <w:spacing w:val="3"/>
        </w:rPr>
        <w:t>como </w:t>
      </w:r>
      <w:r>
        <w:rPr>
          <w:color w:val="231F20"/>
          <w:spacing w:val="2"/>
        </w:rPr>
        <w:t>medio origi- nario </w:t>
      </w:r>
      <w:r>
        <w:rPr>
          <w:color w:val="231F20"/>
        </w:rPr>
        <w:t>y </w:t>
      </w:r>
      <w:r>
        <w:rPr>
          <w:color w:val="231F20"/>
          <w:spacing w:val="2"/>
        </w:rPr>
        <w:t>único adecuado </w:t>
      </w:r>
      <w:r>
        <w:rPr>
          <w:color w:val="231F20"/>
        </w:rPr>
        <w:t>a </w:t>
      </w:r>
      <w:r>
        <w:rPr>
          <w:color w:val="231F20"/>
          <w:spacing w:val="2"/>
        </w:rPr>
        <w:t>todos los fines vitales </w:t>
      </w:r>
      <w:r>
        <w:rPr>
          <w:color w:val="231F20"/>
        </w:rPr>
        <w:t>de la </w:t>
      </w:r>
      <w:r>
        <w:rPr>
          <w:color w:val="231F20"/>
          <w:spacing w:val="3"/>
        </w:rPr>
        <w:t>naturaleza.</w:t>
      </w:r>
      <w:r>
        <w:rPr>
          <w:color w:val="231F20"/>
          <w:spacing w:val="58"/>
        </w:rPr>
        <w:t> </w:t>
      </w:r>
      <w:r>
        <w:rPr>
          <w:color w:val="231F20"/>
        </w:rPr>
        <w:t>La </w:t>
      </w:r>
      <w:r>
        <w:rPr>
          <w:color w:val="231F20"/>
          <w:spacing w:val="2"/>
        </w:rPr>
        <w:t>filosofía popular darwinista </w:t>
      </w:r>
      <w:r>
        <w:rPr>
          <w:color w:val="231F20"/>
        </w:rPr>
        <w:t>ha </w:t>
      </w:r>
      <w:r>
        <w:rPr>
          <w:color w:val="231F20"/>
          <w:spacing w:val="3"/>
        </w:rPr>
        <w:t>demostrado </w:t>
      </w:r>
      <w:r>
        <w:rPr>
          <w:color w:val="231F20"/>
        </w:rPr>
        <w:t>lo </w:t>
      </w:r>
      <w:r>
        <w:rPr>
          <w:color w:val="231F20"/>
          <w:spacing w:val="2"/>
        </w:rPr>
        <w:t>fácil </w:t>
      </w:r>
      <w:r>
        <w:rPr>
          <w:color w:val="231F20"/>
        </w:rPr>
        <w:t>que </w:t>
      </w:r>
      <w:r>
        <w:rPr>
          <w:color w:val="231F20"/>
          <w:spacing w:val="2"/>
        </w:rPr>
        <w:t>resulta pasar </w:t>
      </w:r>
      <w:r>
        <w:rPr>
          <w:color w:val="231F20"/>
        </w:rPr>
        <w:t>de </w:t>
      </w:r>
      <w:r>
        <w:rPr>
          <w:color w:val="231F20"/>
          <w:spacing w:val="2"/>
        </w:rPr>
        <w:t>este </w:t>
      </w:r>
      <w:r>
        <w:rPr>
          <w:color w:val="231F20"/>
          <w:spacing w:val="3"/>
        </w:rPr>
        <w:t>dogma </w:t>
      </w:r>
      <w:r>
        <w:rPr>
          <w:color w:val="231F20"/>
        </w:rPr>
        <w:t>de la </w:t>
      </w:r>
      <w:r>
        <w:rPr>
          <w:color w:val="231F20"/>
          <w:spacing w:val="2"/>
        </w:rPr>
        <w:t>historia natural </w:t>
      </w:r>
      <w:r>
        <w:rPr>
          <w:color w:val="231F20"/>
        </w:rPr>
        <w:t>al </w:t>
      </w:r>
      <w:r>
        <w:rPr>
          <w:color w:val="231F20"/>
          <w:spacing w:val="3"/>
        </w:rPr>
        <w:t>dogma </w:t>
      </w:r>
      <w:r>
        <w:rPr>
          <w:color w:val="231F20"/>
        </w:rPr>
        <w:t>aún </w:t>
      </w:r>
      <w:r>
        <w:rPr>
          <w:color w:val="231F20"/>
          <w:spacing w:val="2"/>
        </w:rPr>
        <w:t>más </w:t>
      </w:r>
      <w:r>
        <w:rPr>
          <w:color w:val="231F20"/>
          <w:spacing w:val="3"/>
        </w:rPr>
        <w:t>gro- </w:t>
      </w:r>
      <w:r>
        <w:rPr>
          <w:color w:val="231F20"/>
          <w:spacing w:val="2"/>
        </w:rPr>
        <w:t>sero </w:t>
      </w:r>
      <w:r>
        <w:rPr>
          <w:color w:val="231F20"/>
        </w:rPr>
        <w:t>de la </w:t>
      </w:r>
      <w:r>
        <w:rPr>
          <w:color w:val="231F20"/>
          <w:spacing w:val="2"/>
        </w:rPr>
        <w:t>filosofía del </w:t>
      </w:r>
      <w:r>
        <w:rPr>
          <w:color w:val="231F20"/>
          <w:spacing w:val="3"/>
        </w:rPr>
        <w:t>derecho, </w:t>
      </w:r>
      <w:r>
        <w:rPr>
          <w:color w:val="231F20"/>
          <w:spacing w:val="2"/>
        </w:rPr>
        <w:t>para </w:t>
      </w:r>
      <w:r>
        <w:rPr>
          <w:color w:val="231F20"/>
        </w:rPr>
        <w:t>lo </w:t>
      </w:r>
      <w:r>
        <w:rPr>
          <w:color w:val="231F20"/>
          <w:spacing w:val="2"/>
        </w:rPr>
        <w:t>cual aquella violencia </w:t>
      </w:r>
      <w:r>
        <w:rPr>
          <w:color w:val="231F20"/>
        </w:rPr>
        <w:t>que se </w:t>
      </w:r>
      <w:r>
        <w:rPr>
          <w:color w:val="231F20"/>
          <w:spacing w:val="2"/>
        </w:rPr>
        <w:t>adecua casi exclusivamente </w:t>
      </w:r>
      <w:r>
        <w:rPr>
          <w:color w:val="231F20"/>
        </w:rPr>
        <w:t>a </w:t>
      </w:r>
      <w:r>
        <w:rPr>
          <w:color w:val="231F20"/>
          <w:spacing w:val="2"/>
        </w:rPr>
        <w:t>los fines naturales sería por </w:t>
      </w:r>
      <w:r>
        <w:rPr>
          <w:color w:val="231F20"/>
        </w:rPr>
        <w:t>ello </w:t>
      </w:r>
      <w:r>
        <w:rPr>
          <w:color w:val="231F20"/>
          <w:spacing w:val="3"/>
        </w:rPr>
        <w:t>mismo</w:t>
      </w:r>
      <w:r>
        <w:rPr>
          <w:color w:val="231F20"/>
          <w:spacing w:val="-8"/>
        </w:rPr>
        <w:t> </w:t>
      </w:r>
      <w:r>
        <w:rPr>
          <w:color w:val="231F20"/>
          <w:spacing w:val="2"/>
        </w:rPr>
        <w:t>también</w:t>
      </w:r>
      <w:r>
        <w:rPr>
          <w:color w:val="231F20"/>
          <w:spacing w:val="-8"/>
        </w:rPr>
        <w:t> </w:t>
      </w:r>
      <w:r>
        <w:rPr>
          <w:color w:val="231F20"/>
          <w:spacing w:val="2"/>
        </w:rPr>
        <w:t>jurídicamente</w:t>
      </w:r>
      <w:r>
        <w:rPr>
          <w:color w:val="231F20"/>
          <w:spacing w:val="-8"/>
        </w:rPr>
        <w:t> </w:t>
      </w:r>
      <w:r>
        <w:rPr>
          <w:color w:val="231F20"/>
          <w:spacing w:val="2"/>
        </w:rPr>
        <w:t>legítima</w:t>
      </w:r>
      <w:r>
        <w:rPr>
          <w:color w:val="231F20"/>
          <w:spacing w:val="-7"/>
        </w:rPr>
        <w:t> </w:t>
      </w:r>
      <w:r>
        <w:rPr>
          <w:color w:val="231F20"/>
          <w:spacing w:val="3"/>
        </w:rPr>
        <w:t>(Benjamin,</w:t>
      </w:r>
      <w:r>
        <w:rPr>
          <w:color w:val="231F20"/>
          <w:spacing w:val="-9"/>
        </w:rPr>
        <w:t> </w:t>
      </w:r>
      <w:r>
        <w:rPr>
          <w:color w:val="231F20"/>
          <w:spacing w:val="2"/>
        </w:rPr>
        <w:t>1995:</w:t>
      </w:r>
      <w:r>
        <w:rPr>
          <w:color w:val="231F20"/>
          <w:spacing w:val="-9"/>
        </w:rPr>
        <w:t> </w:t>
      </w:r>
      <w:r>
        <w:rPr>
          <w:color w:val="231F20"/>
        </w:rPr>
        <w:t>25</w:t>
      </w:r>
      <w:r>
        <w:rPr>
          <w:color w:val="231F20"/>
          <w:spacing w:val="-8"/>
        </w:rPr>
        <w:t> </w:t>
      </w:r>
      <w:r>
        <w:rPr>
          <w:color w:val="231F20"/>
        </w:rPr>
        <w:t>y</w:t>
      </w:r>
      <w:r>
        <w:rPr>
          <w:color w:val="231F20"/>
          <w:spacing w:val="-8"/>
        </w:rPr>
        <w:t> </w:t>
      </w:r>
      <w:r>
        <w:rPr>
          <w:color w:val="231F20"/>
        </w:rPr>
        <w:t>26).</w:t>
      </w:r>
    </w:p>
    <w:p>
      <w:pPr>
        <w:pStyle w:val="BodyText"/>
        <w:spacing w:line="249" w:lineRule="auto"/>
        <w:ind w:left="102" w:right="115" w:firstLine="284"/>
        <w:jc w:val="both"/>
      </w:pPr>
      <w:r>
        <w:rPr>
          <w:color w:val="231F20"/>
        </w:rPr>
        <w:t>A esta tesis iusnaturalista de la violencia como dato natural se opone la del derecho positivo, que considera al poder en su trans- formación histórica. El derecho positivo puede juzgar todo dere- cho en transformación solo mediante la crítica de sus medios. Si la justicia es el criterio de sus fines, la legalidad es el criterio de los medios. Pero si se prescinde de esta oposición, las dos escuelas se encuentran en el dogma común: los fines justos pueden ser alcan- zados por medios legítimos, los medios legítimos pueden ser em- pleados al servicio de los fines justos. El derecho natural tiende a justificar los medios legítimos con la justicia de los fines; el dere- cho positivo, a garantizar la justicia de los fines con la legitimidad de los medios (Benjamin, 1995: 25 y 26).</w:t>
      </w:r>
    </w:p>
    <w:p>
      <w:pPr>
        <w:pStyle w:val="BodyText"/>
        <w:spacing w:line="247" w:lineRule="auto"/>
        <w:ind w:left="101" w:right="115" w:firstLine="284"/>
        <w:jc w:val="both"/>
      </w:pPr>
      <w:r>
        <w:rPr>
          <w:color w:val="231F20"/>
          <w:spacing w:val="2"/>
        </w:rPr>
        <w:t>Resulta </w:t>
      </w:r>
      <w:r>
        <w:rPr>
          <w:color w:val="231F20"/>
        </w:rPr>
        <w:t>la </w:t>
      </w:r>
      <w:r>
        <w:rPr>
          <w:color w:val="231F20"/>
          <w:spacing w:val="3"/>
        </w:rPr>
        <w:t>antinomia </w:t>
      </w:r>
      <w:r>
        <w:rPr>
          <w:color w:val="231F20"/>
          <w:spacing w:val="2"/>
        </w:rPr>
        <w:t>insoluble </w:t>
      </w:r>
      <w:r>
        <w:rPr>
          <w:color w:val="231F20"/>
        </w:rPr>
        <w:t>si se </w:t>
      </w:r>
      <w:r>
        <w:rPr>
          <w:color w:val="231F20"/>
          <w:spacing w:val="3"/>
        </w:rPr>
        <w:t>demuestra </w:t>
      </w:r>
      <w:r>
        <w:rPr>
          <w:color w:val="231F20"/>
        </w:rPr>
        <w:t>que el </w:t>
      </w:r>
      <w:r>
        <w:rPr>
          <w:color w:val="231F20"/>
          <w:spacing w:val="3"/>
        </w:rPr>
        <w:t>común </w:t>
      </w:r>
      <w:r>
        <w:rPr>
          <w:color w:val="231F20"/>
          <w:spacing w:val="2"/>
        </w:rPr>
        <w:t>supuesto </w:t>
      </w:r>
      <w:r>
        <w:rPr>
          <w:color w:val="231F20"/>
          <w:spacing w:val="3"/>
        </w:rPr>
        <w:t>dogmático </w:t>
      </w:r>
      <w:r>
        <w:rPr>
          <w:color w:val="231F20"/>
        </w:rPr>
        <w:t>es </w:t>
      </w:r>
      <w:r>
        <w:rPr>
          <w:color w:val="231F20"/>
          <w:spacing w:val="2"/>
        </w:rPr>
        <w:t>falso </w:t>
      </w:r>
      <w:r>
        <w:rPr>
          <w:color w:val="231F20"/>
        </w:rPr>
        <w:t>y que </w:t>
      </w:r>
      <w:r>
        <w:rPr>
          <w:color w:val="231F20"/>
          <w:spacing w:val="2"/>
        </w:rPr>
        <w:t>los </w:t>
      </w:r>
      <w:r>
        <w:rPr>
          <w:color w:val="231F20"/>
          <w:spacing w:val="3"/>
        </w:rPr>
        <w:t>medios </w:t>
      </w:r>
      <w:r>
        <w:rPr>
          <w:color w:val="231F20"/>
          <w:spacing w:val="2"/>
        </w:rPr>
        <w:t>legítimos, por </w:t>
      </w:r>
      <w:r>
        <w:rPr>
          <w:color w:val="231F20"/>
          <w:spacing w:val="3"/>
        </w:rPr>
        <w:t>una </w:t>
      </w:r>
      <w:r>
        <w:rPr>
          <w:color w:val="231F20"/>
          <w:spacing w:val="2"/>
        </w:rPr>
        <w:t>parte, </w:t>
      </w:r>
      <w:r>
        <w:rPr>
          <w:color w:val="231F20"/>
        </w:rPr>
        <w:t>y </w:t>
      </w:r>
      <w:r>
        <w:rPr>
          <w:color w:val="231F20"/>
          <w:spacing w:val="2"/>
        </w:rPr>
        <w:t>los fines justos, por </w:t>
      </w:r>
      <w:r>
        <w:rPr>
          <w:color w:val="231F20"/>
        </w:rPr>
        <w:t>la </w:t>
      </w:r>
      <w:r>
        <w:rPr>
          <w:color w:val="231F20"/>
          <w:spacing w:val="2"/>
        </w:rPr>
        <w:t>otra, </w:t>
      </w:r>
      <w:r>
        <w:rPr>
          <w:color w:val="231F20"/>
        </w:rPr>
        <w:t>se </w:t>
      </w:r>
      <w:r>
        <w:rPr>
          <w:color w:val="231F20"/>
          <w:spacing w:val="2"/>
        </w:rPr>
        <w:t>hallan entre </w:t>
      </w:r>
      <w:r>
        <w:rPr>
          <w:color w:val="231F20"/>
        </w:rPr>
        <w:t>sí, en </w:t>
      </w:r>
      <w:r>
        <w:rPr>
          <w:color w:val="231F20"/>
          <w:spacing w:val="3"/>
        </w:rPr>
        <w:t>términos </w:t>
      </w:r>
      <w:r>
        <w:rPr>
          <w:color w:val="231F20"/>
        </w:rPr>
        <w:t>de </w:t>
      </w:r>
      <w:r>
        <w:rPr>
          <w:color w:val="231F20"/>
          <w:spacing w:val="2"/>
        </w:rPr>
        <w:t>contradicción irreductible. </w:t>
      </w:r>
      <w:r>
        <w:rPr>
          <w:color w:val="231F20"/>
        </w:rPr>
        <w:t>El </w:t>
      </w:r>
      <w:r>
        <w:rPr>
          <w:color w:val="231F20"/>
          <w:spacing w:val="2"/>
        </w:rPr>
        <w:t>reino </w:t>
      </w:r>
      <w:r>
        <w:rPr>
          <w:color w:val="231F20"/>
        </w:rPr>
        <w:t>de </w:t>
      </w:r>
      <w:r>
        <w:rPr>
          <w:color w:val="231F20"/>
          <w:spacing w:val="2"/>
        </w:rPr>
        <w:t>los fines, </w:t>
      </w:r>
      <w:r>
        <w:rPr>
          <w:color w:val="231F20"/>
        </w:rPr>
        <w:t>y </w:t>
      </w:r>
      <w:r>
        <w:rPr>
          <w:color w:val="231F20"/>
          <w:spacing w:val="2"/>
        </w:rPr>
        <w:t>por tanto también </w:t>
      </w:r>
      <w:r>
        <w:rPr>
          <w:color w:val="231F20"/>
        </w:rPr>
        <w:t>el </w:t>
      </w:r>
      <w:r>
        <w:rPr>
          <w:color w:val="231F20"/>
          <w:spacing w:val="3"/>
        </w:rPr>
        <w:t>problema </w:t>
      </w:r>
      <w:r>
        <w:rPr>
          <w:color w:val="231F20"/>
        </w:rPr>
        <w:t>de un </w:t>
      </w:r>
      <w:r>
        <w:rPr>
          <w:color w:val="231F20"/>
          <w:spacing w:val="2"/>
        </w:rPr>
        <w:t>criterio </w:t>
      </w:r>
      <w:r>
        <w:rPr>
          <w:color w:val="231F20"/>
        </w:rPr>
        <w:t>de </w:t>
      </w:r>
      <w:r>
        <w:rPr>
          <w:color w:val="231F20"/>
          <w:spacing w:val="2"/>
        </w:rPr>
        <w:t>justicia, queda por </w:t>
      </w:r>
      <w:r>
        <w:rPr>
          <w:color w:val="231F20"/>
        </w:rPr>
        <w:t>el </w:t>
      </w:r>
      <w:r>
        <w:rPr>
          <w:color w:val="231F20"/>
          <w:spacing w:val="4"/>
        </w:rPr>
        <w:t>mo- </w:t>
      </w:r>
      <w:r>
        <w:rPr>
          <w:color w:val="231F20"/>
          <w:spacing w:val="2"/>
        </w:rPr>
        <w:t>mento excluido. </w:t>
      </w:r>
      <w:r>
        <w:rPr>
          <w:color w:val="231F20"/>
        </w:rPr>
        <w:t>En el </w:t>
      </w:r>
      <w:r>
        <w:rPr>
          <w:color w:val="231F20"/>
          <w:spacing w:val="2"/>
        </w:rPr>
        <w:t>centro </w:t>
      </w:r>
      <w:r>
        <w:rPr>
          <w:color w:val="231F20"/>
        </w:rPr>
        <w:t>se </w:t>
      </w:r>
      <w:r>
        <w:rPr>
          <w:color w:val="231F20"/>
          <w:spacing w:val="2"/>
        </w:rPr>
        <w:t>pone </w:t>
      </w:r>
      <w:r>
        <w:rPr>
          <w:color w:val="231F20"/>
        </w:rPr>
        <w:t>el </w:t>
      </w:r>
      <w:r>
        <w:rPr>
          <w:color w:val="231F20"/>
          <w:spacing w:val="2"/>
        </w:rPr>
        <w:t>problema </w:t>
      </w:r>
      <w:r>
        <w:rPr>
          <w:color w:val="231F20"/>
        </w:rPr>
        <w:t>de la </w:t>
      </w:r>
      <w:r>
        <w:rPr>
          <w:color w:val="231F20"/>
          <w:spacing w:val="2"/>
        </w:rPr>
        <w:t>legitimi- dad </w:t>
      </w:r>
      <w:r>
        <w:rPr>
          <w:color w:val="231F20"/>
        </w:rPr>
        <w:t>de </w:t>
      </w:r>
      <w:r>
        <w:rPr>
          <w:color w:val="231F20"/>
          <w:spacing w:val="2"/>
        </w:rPr>
        <w:t>los </w:t>
      </w:r>
      <w:r>
        <w:rPr>
          <w:color w:val="231F20"/>
          <w:spacing w:val="3"/>
        </w:rPr>
        <w:t>medios, </w:t>
      </w:r>
      <w:r>
        <w:rPr>
          <w:color w:val="231F20"/>
        </w:rPr>
        <w:t>o de </w:t>
      </w:r>
      <w:r>
        <w:rPr>
          <w:color w:val="231F20"/>
          <w:spacing w:val="2"/>
        </w:rPr>
        <w:t>ciertos </w:t>
      </w:r>
      <w:r>
        <w:rPr>
          <w:color w:val="231F20"/>
          <w:spacing w:val="3"/>
        </w:rPr>
        <w:t>medios, </w:t>
      </w:r>
      <w:r>
        <w:rPr>
          <w:color w:val="231F20"/>
        </w:rPr>
        <w:t>que </w:t>
      </w:r>
      <w:r>
        <w:rPr>
          <w:color w:val="231F20"/>
          <w:spacing w:val="2"/>
        </w:rPr>
        <w:t>constituye </w:t>
      </w:r>
      <w:r>
        <w:rPr>
          <w:color w:val="231F20"/>
        </w:rPr>
        <w:t>la </w:t>
      </w:r>
      <w:r>
        <w:rPr>
          <w:color w:val="231F20"/>
          <w:spacing w:val="3"/>
        </w:rPr>
        <w:t>violen- </w:t>
      </w:r>
      <w:r>
        <w:rPr>
          <w:color w:val="231F20"/>
        </w:rPr>
        <w:t>cia. </w:t>
      </w:r>
      <w:r>
        <w:rPr>
          <w:color w:val="231F20"/>
          <w:spacing w:val="3"/>
        </w:rPr>
        <w:t>Porque </w:t>
      </w:r>
      <w:r>
        <w:rPr>
          <w:color w:val="231F20"/>
        </w:rPr>
        <w:t>si el </w:t>
      </w:r>
      <w:r>
        <w:rPr>
          <w:color w:val="231F20"/>
          <w:spacing w:val="2"/>
        </w:rPr>
        <w:t>derecho positivo </w:t>
      </w:r>
      <w:r>
        <w:rPr>
          <w:color w:val="231F20"/>
        </w:rPr>
        <w:t>es </w:t>
      </w:r>
      <w:r>
        <w:rPr>
          <w:color w:val="231F20"/>
          <w:spacing w:val="2"/>
        </w:rPr>
        <w:t>ciego para </w:t>
      </w:r>
      <w:r>
        <w:rPr>
          <w:color w:val="231F20"/>
        </w:rPr>
        <w:t>la   </w:t>
      </w:r>
      <w:r>
        <w:rPr>
          <w:color w:val="231F20"/>
          <w:spacing w:val="24"/>
        </w:rPr>
        <w:t> </w:t>
      </w:r>
      <w:r>
        <w:rPr>
          <w:color w:val="231F20"/>
          <w:spacing w:val="2"/>
        </w:rPr>
        <w:t>incondicionali-</w:t>
      </w:r>
    </w:p>
    <w:p>
      <w:pPr>
        <w:spacing w:after="0" w:line="247" w:lineRule="auto"/>
        <w:jc w:val="both"/>
        <w:sectPr>
          <w:headerReference w:type="default" r:id="rId74"/>
          <w:footerReference w:type="default" r:id="rId75"/>
          <w:pgSz w:w="7830" w:h="11910"/>
          <w:pgMar w:header="0" w:footer="424" w:top="500" w:bottom="620" w:left="920" w:right="900"/>
          <w:pgNumType w:start="3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1" w:right="121"/>
      </w:pPr>
      <w:r>
        <w:rPr>
          <w:color w:val="231F20"/>
        </w:rPr>
        <w:t>dad de los fines, el derecho natural es ciego para el condiciona- miento de los medios (Benjamin, 1995: 27).</w:t>
      </w:r>
    </w:p>
    <w:p>
      <w:pPr>
        <w:pStyle w:val="BodyText"/>
        <w:spacing w:line="249" w:lineRule="auto" w:before="1"/>
        <w:ind w:left="101" w:right="115" w:firstLine="284"/>
        <w:jc w:val="both"/>
      </w:pPr>
      <w:r>
        <w:rPr>
          <w:color w:val="231F20"/>
        </w:rPr>
        <w:t>La </w:t>
      </w:r>
      <w:r>
        <w:rPr>
          <w:color w:val="231F20"/>
          <w:spacing w:val="2"/>
        </w:rPr>
        <w:t>teoría positiva del derecho </w:t>
      </w:r>
      <w:r>
        <w:rPr>
          <w:color w:val="231F20"/>
          <w:spacing w:val="3"/>
        </w:rPr>
        <w:t>puede </w:t>
      </w:r>
      <w:r>
        <w:rPr>
          <w:color w:val="231F20"/>
          <w:spacing w:val="2"/>
        </w:rPr>
        <w:t>tornarse </w:t>
      </w:r>
      <w:r>
        <w:rPr>
          <w:color w:val="231F20"/>
          <w:spacing w:val="3"/>
        </w:rPr>
        <w:t>como </w:t>
      </w:r>
      <w:r>
        <w:rPr>
          <w:color w:val="231F20"/>
          <w:spacing w:val="2"/>
        </w:rPr>
        <w:t>hipótesis  </w:t>
      </w:r>
      <w:r>
        <w:rPr>
          <w:color w:val="231F20"/>
        </w:rPr>
        <w:t>de </w:t>
      </w:r>
      <w:r>
        <w:rPr>
          <w:color w:val="231F20"/>
          <w:spacing w:val="2"/>
        </w:rPr>
        <w:t>partida, </w:t>
      </w:r>
      <w:r>
        <w:rPr>
          <w:color w:val="231F20"/>
          <w:spacing w:val="3"/>
        </w:rPr>
        <w:t>porque </w:t>
      </w:r>
      <w:r>
        <w:rPr>
          <w:color w:val="231F20"/>
          <w:spacing w:val="2"/>
        </w:rPr>
        <w:t>establece una distinción </w:t>
      </w:r>
      <w:r>
        <w:rPr>
          <w:color w:val="231F20"/>
        </w:rPr>
        <w:t>de </w:t>
      </w:r>
      <w:r>
        <w:rPr>
          <w:color w:val="231F20"/>
          <w:spacing w:val="2"/>
        </w:rPr>
        <w:t>principio entre </w:t>
      </w:r>
      <w:r>
        <w:rPr>
          <w:color w:val="231F20"/>
          <w:spacing w:val="3"/>
        </w:rPr>
        <w:t>los </w:t>
      </w:r>
      <w:r>
        <w:rPr>
          <w:color w:val="231F20"/>
          <w:spacing w:val="2"/>
        </w:rPr>
        <w:t>diversos géneros </w:t>
      </w:r>
      <w:r>
        <w:rPr>
          <w:color w:val="231F20"/>
        </w:rPr>
        <w:t>de </w:t>
      </w:r>
      <w:r>
        <w:rPr>
          <w:color w:val="231F20"/>
          <w:spacing w:val="2"/>
        </w:rPr>
        <w:t>violencia, </w:t>
      </w:r>
      <w:r>
        <w:rPr>
          <w:color w:val="231F20"/>
          <w:spacing w:val="3"/>
        </w:rPr>
        <w:t>independientemente </w:t>
      </w:r>
      <w:r>
        <w:rPr>
          <w:color w:val="231F20"/>
        </w:rPr>
        <w:t>de </w:t>
      </w:r>
      <w:r>
        <w:rPr>
          <w:color w:val="231F20"/>
          <w:spacing w:val="2"/>
        </w:rPr>
        <w:t>los casos </w:t>
      </w:r>
      <w:r>
        <w:rPr>
          <w:color w:val="231F20"/>
        </w:rPr>
        <w:t>de su </w:t>
      </w:r>
      <w:r>
        <w:rPr>
          <w:color w:val="231F20"/>
          <w:spacing w:val="2"/>
        </w:rPr>
        <w:t>aplicación. </w:t>
      </w:r>
      <w:r>
        <w:rPr>
          <w:color w:val="231F20"/>
        </w:rPr>
        <w:t>Se </w:t>
      </w:r>
      <w:r>
        <w:rPr>
          <w:color w:val="231F20"/>
          <w:spacing w:val="2"/>
        </w:rPr>
        <w:t>establece una distinción entre </w:t>
      </w:r>
      <w:r>
        <w:rPr>
          <w:color w:val="231F20"/>
        </w:rPr>
        <w:t>la </w:t>
      </w:r>
      <w:r>
        <w:rPr>
          <w:color w:val="231F20"/>
          <w:spacing w:val="2"/>
        </w:rPr>
        <w:t>violencia histó- </w:t>
      </w:r>
      <w:r>
        <w:rPr>
          <w:color w:val="231F20"/>
          <w:spacing w:val="3"/>
        </w:rPr>
        <w:t>ricamente reconocida, </w:t>
      </w:r>
      <w:r>
        <w:rPr>
          <w:color w:val="231F20"/>
        </w:rPr>
        <w:t>es </w:t>
      </w:r>
      <w:r>
        <w:rPr>
          <w:color w:val="231F20"/>
          <w:spacing w:val="2"/>
        </w:rPr>
        <w:t>decir, </w:t>
      </w:r>
      <w:r>
        <w:rPr>
          <w:color w:val="231F20"/>
        </w:rPr>
        <w:t>la </w:t>
      </w:r>
      <w:r>
        <w:rPr>
          <w:color w:val="231F20"/>
          <w:spacing w:val="2"/>
        </w:rPr>
        <w:t>violencia </w:t>
      </w:r>
      <w:r>
        <w:rPr>
          <w:color w:val="231F20"/>
          <w:spacing w:val="3"/>
        </w:rPr>
        <w:t>sancionada como </w:t>
      </w:r>
      <w:r>
        <w:rPr>
          <w:color w:val="231F20"/>
          <w:spacing w:val="4"/>
        </w:rPr>
        <w:t>po- </w:t>
      </w:r>
      <w:r>
        <w:rPr>
          <w:color w:val="231F20"/>
          <w:spacing w:val="2"/>
        </w:rPr>
        <w:t>der, </w:t>
      </w:r>
      <w:r>
        <w:rPr>
          <w:color w:val="231F20"/>
        </w:rPr>
        <w:t>y la </w:t>
      </w:r>
      <w:r>
        <w:rPr>
          <w:color w:val="231F20"/>
          <w:spacing w:val="2"/>
        </w:rPr>
        <w:t>violencia </w:t>
      </w:r>
      <w:r>
        <w:rPr>
          <w:color w:val="231F20"/>
        </w:rPr>
        <w:t>no </w:t>
      </w:r>
      <w:r>
        <w:rPr>
          <w:color w:val="231F20"/>
          <w:spacing w:val="3"/>
        </w:rPr>
        <w:t>sancionada. </w:t>
      </w:r>
      <w:r>
        <w:rPr>
          <w:color w:val="231F20"/>
        </w:rPr>
        <w:t>Si el </w:t>
      </w:r>
      <w:r>
        <w:rPr>
          <w:color w:val="231F20"/>
          <w:spacing w:val="2"/>
        </w:rPr>
        <w:t>criterio establecido por </w:t>
      </w:r>
      <w:r>
        <w:rPr>
          <w:color w:val="231F20"/>
        </w:rPr>
        <w:t>el </w:t>
      </w:r>
      <w:r>
        <w:rPr>
          <w:color w:val="231F20"/>
          <w:spacing w:val="2"/>
        </w:rPr>
        <w:t>derecho positivo respecto </w:t>
      </w:r>
      <w:r>
        <w:rPr>
          <w:color w:val="231F20"/>
        </w:rPr>
        <w:t>a la </w:t>
      </w:r>
      <w:r>
        <w:rPr>
          <w:color w:val="231F20"/>
          <w:spacing w:val="2"/>
        </w:rPr>
        <w:t>legitimidad </w:t>
      </w:r>
      <w:r>
        <w:rPr>
          <w:color w:val="231F20"/>
        </w:rPr>
        <w:t>de la </w:t>
      </w:r>
      <w:r>
        <w:rPr>
          <w:color w:val="231F20"/>
          <w:spacing w:val="2"/>
        </w:rPr>
        <w:t>violencia puede   </w:t>
      </w:r>
      <w:r>
        <w:rPr>
          <w:color w:val="231F20"/>
        </w:rPr>
        <w:t>ser </w:t>
      </w:r>
      <w:r>
        <w:rPr>
          <w:color w:val="231F20"/>
          <w:spacing w:val="2"/>
        </w:rPr>
        <w:t>analizado solo según </w:t>
      </w:r>
      <w:r>
        <w:rPr>
          <w:color w:val="231F20"/>
        </w:rPr>
        <w:t>su </w:t>
      </w:r>
      <w:r>
        <w:rPr>
          <w:color w:val="231F20"/>
          <w:spacing w:val="2"/>
        </w:rPr>
        <w:t>significado, </w:t>
      </w:r>
      <w:r>
        <w:rPr>
          <w:color w:val="231F20"/>
        </w:rPr>
        <w:t>la </w:t>
      </w:r>
      <w:r>
        <w:rPr>
          <w:color w:val="231F20"/>
          <w:spacing w:val="2"/>
        </w:rPr>
        <w:t>esfera </w:t>
      </w:r>
      <w:r>
        <w:rPr>
          <w:color w:val="231F20"/>
        </w:rPr>
        <w:t>de su </w:t>
      </w:r>
      <w:r>
        <w:rPr>
          <w:color w:val="231F20"/>
          <w:spacing w:val="2"/>
        </w:rPr>
        <w:t>aplicación debe</w:t>
      </w:r>
      <w:r>
        <w:rPr>
          <w:color w:val="231F20"/>
          <w:spacing w:val="-4"/>
        </w:rPr>
        <w:t> </w:t>
      </w:r>
      <w:r>
        <w:rPr>
          <w:color w:val="231F20"/>
        </w:rPr>
        <w:t>de</w:t>
      </w:r>
      <w:r>
        <w:rPr>
          <w:color w:val="231F20"/>
          <w:spacing w:val="-3"/>
        </w:rPr>
        <w:t> </w:t>
      </w:r>
      <w:r>
        <w:rPr>
          <w:color w:val="231F20"/>
        </w:rPr>
        <w:t>ser</w:t>
      </w:r>
      <w:r>
        <w:rPr>
          <w:color w:val="231F20"/>
          <w:spacing w:val="-4"/>
        </w:rPr>
        <w:t> </w:t>
      </w:r>
      <w:r>
        <w:rPr>
          <w:color w:val="231F20"/>
          <w:spacing w:val="2"/>
        </w:rPr>
        <w:t>criticada</w:t>
      </w:r>
      <w:r>
        <w:rPr>
          <w:color w:val="231F20"/>
          <w:spacing w:val="-3"/>
        </w:rPr>
        <w:t> </w:t>
      </w:r>
      <w:r>
        <w:rPr>
          <w:color w:val="231F20"/>
          <w:spacing w:val="2"/>
        </w:rPr>
        <w:t>según</w:t>
      </w:r>
      <w:r>
        <w:rPr>
          <w:color w:val="231F20"/>
          <w:spacing w:val="-3"/>
        </w:rPr>
        <w:t> </w:t>
      </w:r>
      <w:r>
        <w:rPr>
          <w:color w:val="231F20"/>
        </w:rPr>
        <w:t>su</w:t>
      </w:r>
      <w:r>
        <w:rPr>
          <w:color w:val="231F20"/>
          <w:spacing w:val="-3"/>
        </w:rPr>
        <w:t> </w:t>
      </w:r>
      <w:r>
        <w:rPr>
          <w:color w:val="231F20"/>
          <w:spacing w:val="2"/>
        </w:rPr>
        <w:t>valor</w:t>
      </w:r>
      <w:r>
        <w:rPr>
          <w:color w:val="231F20"/>
          <w:spacing w:val="-4"/>
        </w:rPr>
        <w:t> </w:t>
      </w:r>
      <w:r>
        <w:rPr>
          <w:color w:val="231F20"/>
          <w:spacing w:val="3"/>
        </w:rPr>
        <w:t>(Benjamin,</w:t>
      </w:r>
      <w:r>
        <w:rPr>
          <w:color w:val="231F20"/>
          <w:spacing w:val="-4"/>
        </w:rPr>
        <w:t> </w:t>
      </w:r>
      <w:r>
        <w:rPr>
          <w:color w:val="231F20"/>
          <w:spacing w:val="2"/>
        </w:rPr>
        <w:t>1995:</w:t>
      </w:r>
      <w:r>
        <w:rPr>
          <w:color w:val="231F20"/>
          <w:spacing w:val="-4"/>
        </w:rPr>
        <w:t> </w:t>
      </w:r>
      <w:r>
        <w:rPr>
          <w:color w:val="231F20"/>
        </w:rPr>
        <w:t>28</w:t>
      </w:r>
      <w:r>
        <w:rPr>
          <w:color w:val="231F20"/>
          <w:spacing w:val="-3"/>
        </w:rPr>
        <w:t> </w:t>
      </w:r>
      <w:r>
        <w:rPr>
          <w:color w:val="231F20"/>
        </w:rPr>
        <w:t>y</w:t>
      </w:r>
      <w:r>
        <w:rPr>
          <w:color w:val="231F20"/>
          <w:spacing w:val="-3"/>
        </w:rPr>
        <w:t> </w:t>
      </w:r>
      <w:r>
        <w:rPr>
          <w:color w:val="231F20"/>
        </w:rPr>
        <w:t>29).</w:t>
      </w:r>
    </w:p>
    <w:p>
      <w:pPr>
        <w:pStyle w:val="BodyText"/>
        <w:spacing w:line="249" w:lineRule="auto"/>
        <w:ind w:left="101" w:right="116" w:firstLine="284"/>
        <w:jc w:val="both"/>
      </w:pPr>
      <w:r>
        <w:rPr>
          <w:color w:val="231F20"/>
        </w:rPr>
        <w:t>El </w:t>
      </w:r>
      <w:r>
        <w:rPr>
          <w:color w:val="231F20"/>
          <w:spacing w:val="2"/>
        </w:rPr>
        <w:t>significado </w:t>
      </w:r>
      <w:r>
        <w:rPr>
          <w:color w:val="231F20"/>
        </w:rPr>
        <w:t>de la </w:t>
      </w:r>
      <w:r>
        <w:rPr>
          <w:color w:val="231F20"/>
          <w:spacing w:val="2"/>
        </w:rPr>
        <w:t>distinción </w:t>
      </w:r>
      <w:r>
        <w:rPr>
          <w:color w:val="231F20"/>
        </w:rPr>
        <w:t>de la </w:t>
      </w:r>
      <w:r>
        <w:rPr>
          <w:color w:val="231F20"/>
          <w:spacing w:val="2"/>
        </w:rPr>
        <w:t>violencia legítima </w:t>
      </w:r>
      <w:r>
        <w:rPr>
          <w:color w:val="231F20"/>
        </w:rPr>
        <w:t>e </w:t>
      </w:r>
      <w:r>
        <w:rPr>
          <w:color w:val="231F20"/>
          <w:spacing w:val="2"/>
        </w:rPr>
        <w:t>ilegíti- ma </w:t>
      </w:r>
      <w:r>
        <w:rPr>
          <w:color w:val="231F20"/>
        </w:rPr>
        <w:t>no es </w:t>
      </w:r>
      <w:r>
        <w:rPr>
          <w:color w:val="231F20"/>
          <w:spacing w:val="2"/>
        </w:rPr>
        <w:t>evidente </w:t>
      </w:r>
      <w:r>
        <w:rPr>
          <w:color w:val="231F20"/>
        </w:rPr>
        <w:t>sin </w:t>
      </w:r>
      <w:r>
        <w:rPr>
          <w:color w:val="231F20"/>
          <w:spacing w:val="2"/>
        </w:rPr>
        <w:t>más, </w:t>
      </w:r>
      <w:r>
        <w:rPr>
          <w:color w:val="231F20"/>
        </w:rPr>
        <w:t>hay </w:t>
      </w:r>
      <w:r>
        <w:rPr>
          <w:color w:val="231F20"/>
          <w:spacing w:val="2"/>
        </w:rPr>
        <w:t>que cuidar </w:t>
      </w:r>
      <w:r>
        <w:rPr>
          <w:color w:val="231F20"/>
        </w:rPr>
        <w:t>el </w:t>
      </w:r>
      <w:r>
        <w:rPr>
          <w:color w:val="231F20"/>
          <w:spacing w:val="2"/>
        </w:rPr>
        <w:t>equívoco </w:t>
      </w:r>
      <w:r>
        <w:rPr>
          <w:color w:val="231F20"/>
          <w:spacing w:val="3"/>
        </w:rPr>
        <w:t>iusnatura- </w:t>
      </w:r>
      <w:r>
        <w:rPr>
          <w:color w:val="231F20"/>
        </w:rPr>
        <w:t>lista </w:t>
      </w:r>
      <w:r>
        <w:rPr>
          <w:color w:val="231F20"/>
          <w:spacing w:val="2"/>
        </w:rPr>
        <w:t>para </w:t>
      </w:r>
      <w:r>
        <w:rPr>
          <w:color w:val="231F20"/>
        </w:rPr>
        <w:t>el </w:t>
      </w:r>
      <w:r>
        <w:rPr>
          <w:color w:val="231F20"/>
          <w:spacing w:val="2"/>
        </w:rPr>
        <w:t>cual dicho significado consistiría </w:t>
      </w:r>
      <w:r>
        <w:rPr>
          <w:color w:val="231F20"/>
        </w:rPr>
        <w:t>en la </w:t>
      </w:r>
      <w:r>
        <w:rPr>
          <w:color w:val="231F20"/>
          <w:spacing w:val="2"/>
        </w:rPr>
        <w:t>distinción entre violencia con fines justos </w:t>
      </w:r>
      <w:r>
        <w:rPr>
          <w:color w:val="231F20"/>
        </w:rPr>
        <w:t>o </w:t>
      </w:r>
      <w:r>
        <w:rPr>
          <w:color w:val="231F20"/>
          <w:spacing w:val="2"/>
        </w:rPr>
        <w:t>injustos. Más bien </w:t>
      </w:r>
      <w:r>
        <w:rPr>
          <w:color w:val="231F20"/>
        </w:rPr>
        <w:t>se ha </w:t>
      </w:r>
      <w:r>
        <w:rPr>
          <w:color w:val="231F20"/>
          <w:spacing w:val="2"/>
        </w:rPr>
        <w:t>señalado </w:t>
      </w:r>
      <w:r>
        <w:rPr>
          <w:color w:val="231F20"/>
        </w:rPr>
        <w:t>ya que el </w:t>
      </w:r>
      <w:r>
        <w:rPr>
          <w:color w:val="231F20"/>
          <w:spacing w:val="2"/>
        </w:rPr>
        <w:t>derecho positivo exige </w:t>
      </w:r>
      <w:r>
        <w:rPr>
          <w:color w:val="231F20"/>
        </w:rPr>
        <w:t>a </w:t>
      </w:r>
      <w:r>
        <w:rPr>
          <w:color w:val="231F20"/>
          <w:spacing w:val="2"/>
        </w:rPr>
        <w:t>todo poder </w:t>
      </w:r>
      <w:r>
        <w:rPr>
          <w:color w:val="231F20"/>
        </w:rPr>
        <w:t>un </w:t>
      </w:r>
      <w:r>
        <w:rPr>
          <w:color w:val="231F20"/>
          <w:spacing w:val="2"/>
        </w:rPr>
        <w:t>testimonio </w:t>
      </w:r>
      <w:r>
        <w:rPr>
          <w:color w:val="231F20"/>
        </w:rPr>
        <w:t>de su </w:t>
      </w:r>
      <w:r>
        <w:rPr>
          <w:color w:val="231F20"/>
          <w:spacing w:val="2"/>
        </w:rPr>
        <w:t>origen histórico, </w:t>
      </w:r>
      <w:r>
        <w:rPr>
          <w:color w:val="231F20"/>
        </w:rPr>
        <w:t>que en </w:t>
      </w:r>
      <w:r>
        <w:rPr>
          <w:color w:val="231F20"/>
          <w:spacing w:val="2"/>
        </w:rPr>
        <w:t>ciertas condiciones </w:t>
      </w:r>
      <w:r>
        <w:rPr>
          <w:color w:val="231F20"/>
        </w:rPr>
        <w:t>la </w:t>
      </w:r>
      <w:r>
        <w:rPr>
          <w:color w:val="231F20"/>
          <w:spacing w:val="2"/>
        </w:rPr>
        <w:t>violencia implica </w:t>
      </w:r>
      <w:r>
        <w:rPr>
          <w:color w:val="231F20"/>
        </w:rPr>
        <w:t>su </w:t>
      </w:r>
      <w:r>
        <w:rPr>
          <w:color w:val="231F20"/>
          <w:spacing w:val="2"/>
        </w:rPr>
        <w:t>sanción </w:t>
      </w:r>
      <w:r>
        <w:rPr>
          <w:color w:val="231F20"/>
        </w:rPr>
        <w:t>o </w:t>
      </w:r>
      <w:r>
        <w:rPr>
          <w:color w:val="231F20"/>
          <w:spacing w:val="2"/>
        </w:rPr>
        <w:t>legitimidad. </w:t>
      </w:r>
      <w:r>
        <w:rPr>
          <w:color w:val="231F20"/>
          <w:spacing w:val="3"/>
        </w:rPr>
        <w:t>Dado </w:t>
      </w:r>
      <w:r>
        <w:rPr>
          <w:color w:val="231F20"/>
        </w:rPr>
        <w:t>que el </w:t>
      </w:r>
      <w:r>
        <w:rPr>
          <w:color w:val="231F20"/>
          <w:spacing w:val="3"/>
        </w:rPr>
        <w:t>reconocimiento </w:t>
      </w:r>
      <w:r>
        <w:rPr>
          <w:color w:val="231F20"/>
        </w:rPr>
        <w:t>de </w:t>
      </w:r>
      <w:r>
        <w:rPr>
          <w:color w:val="231F20"/>
          <w:spacing w:val="2"/>
        </w:rPr>
        <w:t>los </w:t>
      </w:r>
      <w:r>
        <w:rPr>
          <w:color w:val="231F20"/>
          <w:spacing w:val="3"/>
        </w:rPr>
        <w:t>poderes </w:t>
      </w:r>
      <w:r>
        <w:rPr>
          <w:color w:val="231F20"/>
          <w:spacing w:val="2"/>
        </w:rPr>
        <w:t>jurídicos </w:t>
      </w:r>
      <w:r>
        <w:rPr>
          <w:color w:val="231F20"/>
        </w:rPr>
        <w:t>se </w:t>
      </w:r>
      <w:r>
        <w:rPr>
          <w:color w:val="231F20"/>
          <w:spacing w:val="2"/>
        </w:rPr>
        <w:t>expresa </w:t>
      </w:r>
      <w:r>
        <w:rPr>
          <w:color w:val="231F20"/>
        </w:rPr>
        <w:t>en </w:t>
      </w:r>
      <w:r>
        <w:rPr>
          <w:color w:val="231F20"/>
          <w:spacing w:val="3"/>
        </w:rPr>
        <w:t>forma </w:t>
      </w:r>
      <w:r>
        <w:rPr>
          <w:color w:val="231F20"/>
          <w:spacing w:val="2"/>
        </w:rPr>
        <w:t>más concreta </w:t>
      </w:r>
      <w:r>
        <w:rPr>
          <w:color w:val="231F20"/>
          <w:spacing w:val="3"/>
        </w:rPr>
        <w:t>mediante </w:t>
      </w:r>
      <w:r>
        <w:rPr>
          <w:color w:val="231F20"/>
        </w:rPr>
        <w:t>la </w:t>
      </w:r>
      <w:r>
        <w:rPr>
          <w:color w:val="231F20"/>
          <w:spacing w:val="2"/>
        </w:rPr>
        <w:t>sumisión pasiva </w:t>
      </w:r>
      <w:r>
        <w:rPr>
          <w:color w:val="231F20"/>
          <w:spacing w:val="3"/>
        </w:rPr>
        <w:t>–como </w:t>
      </w:r>
      <w:r>
        <w:rPr>
          <w:color w:val="231F20"/>
          <w:spacing w:val="2"/>
        </w:rPr>
        <w:t>principio– </w:t>
      </w:r>
      <w:r>
        <w:rPr>
          <w:color w:val="231F20"/>
        </w:rPr>
        <w:t>a sus </w:t>
      </w:r>
      <w:r>
        <w:rPr>
          <w:color w:val="231F20"/>
          <w:spacing w:val="2"/>
        </w:rPr>
        <w:t>fines, </w:t>
      </w:r>
      <w:r>
        <w:rPr>
          <w:color w:val="231F20"/>
          <w:spacing w:val="3"/>
        </w:rPr>
        <w:t>como </w:t>
      </w:r>
      <w:r>
        <w:rPr>
          <w:color w:val="231F20"/>
          <w:spacing w:val="2"/>
        </w:rPr>
        <w:t>criterio </w:t>
      </w:r>
      <w:r>
        <w:rPr>
          <w:color w:val="231F20"/>
        </w:rPr>
        <w:t>de </w:t>
      </w:r>
      <w:r>
        <w:rPr>
          <w:color w:val="231F20"/>
          <w:spacing w:val="3"/>
        </w:rPr>
        <w:t>subdivisión </w:t>
      </w:r>
      <w:r>
        <w:rPr>
          <w:color w:val="231F20"/>
        </w:rPr>
        <w:t>de </w:t>
      </w:r>
      <w:r>
        <w:rPr>
          <w:color w:val="231F20"/>
          <w:spacing w:val="2"/>
        </w:rPr>
        <w:t>los diversos tipos </w:t>
      </w:r>
      <w:r>
        <w:rPr>
          <w:color w:val="231F20"/>
        </w:rPr>
        <w:t>de </w:t>
      </w:r>
      <w:r>
        <w:rPr>
          <w:color w:val="231F20"/>
          <w:spacing w:val="3"/>
        </w:rPr>
        <w:t>autoridad, </w:t>
      </w:r>
      <w:r>
        <w:rPr>
          <w:color w:val="231F20"/>
        </w:rPr>
        <w:t>es </w:t>
      </w:r>
      <w:r>
        <w:rPr>
          <w:color w:val="231F20"/>
          <w:spacing w:val="2"/>
        </w:rPr>
        <w:t>preciso </w:t>
      </w:r>
      <w:r>
        <w:rPr>
          <w:color w:val="231F20"/>
          <w:spacing w:val="3"/>
        </w:rPr>
        <w:t>suponer </w:t>
      </w:r>
      <w:r>
        <w:rPr>
          <w:color w:val="231F20"/>
        </w:rPr>
        <w:t>la </w:t>
      </w:r>
      <w:r>
        <w:rPr>
          <w:color w:val="231F20"/>
          <w:spacing w:val="2"/>
        </w:rPr>
        <w:t>presencia  </w:t>
      </w:r>
      <w:r>
        <w:rPr>
          <w:color w:val="231F20"/>
        </w:rPr>
        <w:t>o la </w:t>
      </w:r>
      <w:r>
        <w:rPr>
          <w:color w:val="231F20"/>
          <w:spacing w:val="2"/>
        </w:rPr>
        <w:t>falta </w:t>
      </w:r>
      <w:r>
        <w:rPr>
          <w:color w:val="231F20"/>
        </w:rPr>
        <w:t>de un </w:t>
      </w:r>
      <w:r>
        <w:rPr>
          <w:color w:val="231F20"/>
          <w:spacing w:val="3"/>
        </w:rPr>
        <w:t>reconocimiento </w:t>
      </w:r>
      <w:r>
        <w:rPr>
          <w:color w:val="231F20"/>
          <w:spacing w:val="2"/>
        </w:rPr>
        <w:t>histórico universal </w:t>
      </w:r>
      <w:r>
        <w:rPr>
          <w:color w:val="231F20"/>
        </w:rPr>
        <w:t>de </w:t>
      </w:r>
      <w:r>
        <w:rPr>
          <w:color w:val="231F20"/>
          <w:spacing w:val="2"/>
        </w:rPr>
        <w:t>sus fines </w:t>
      </w:r>
      <w:r>
        <w:rPr>
          <w:color w:val="231F20"/>
          <w:spacing w:val="3"/>
        </w:rPr>
        <w:t>(Benjamin,</w:t>
      </w:r>
      <w:r>
        <w:rPr>
          <w:color w:val="231F20"/>
          <w:spacing w:val="-23"/>
        </w:rPr>
        <w:t> </w:t>
      </w:r>
      <w:r>
        <w:rPr>
          <w:color w:val="231F20"/>
          <w:spacing w:val="2"/>
        </w:rPr>
        <w:t>1995:29</w:t>
      </w:r>
      <w:r>
        <w:rPr>
          <w:color w:val="231F20"/>
          <w:spacing w:val="-22"/>
        </w:rPr>
        <w:t> </w:t>
      </w:r>
      <w:r>
        <w:rPr>
          <w:color w:val="231F20"/>
        </w:rPr>
        <w:t>y</w:t>
      </w:r>
      <w:r>
        <w:rPr>
          <w:color w:val="231F20"/>
          <w:spacing w:val="-22"/>
        </w:rPr>
        <w:t> </w:t>
      </w:r>
      <w:r>
        <w:rPr>
          <w:color w:val="231F20"/>
        </w:rPr>
        <w:t>30).</w:t>
      </w:r>
    </w:p>
    <w:p>
      <w:pPr>
        <w:pStyle w:val="BodyText"/>
        <w:spacing w:line="249" w:lineRule="auto"/>
        <w:ind w:left="101" w:right="115" w:firstLine="284"/>
        <w:jc w:val="both"/>
      </w:pPr>
      <w:r>
        <w:rPr>
          <w:color w:val="231F20"/>
          <w:spacing w:val="2"/>
        </w:rPr>
        <w:t>Estas relaciones jurídicas </w:t>
      </w:r>
      <w:r>
        <w:rPr>
          <w:color w:val="231F20"/>
        </w:rPr>
        <w:t>se </w:t>
      </w:r>
      <w:r>
        <w:rPr>
          <w:color w:val="231F20"/>
          <w:spacing w:val="2"/>
        </w:rPr>
        <w:t>caracterizan, </w:t>
      </w:r>
      <w:r>
        <w:rPr>
          <w:color w:val="231F20"/>
        </w:rPr>
        <w:t>en lo que </w:t>
      </w:r>
      <w:r>
        <w:rPr>
          <w:color w:val="231F20"/>
          <w:spacing w:val="2"/>
        </w:rPr>
        <w:t>respecta </w:t>
      </w:r>
      <w:r>
        <w:rPr>
          <w:color w:val="231F20"/>
        </w:rPr>
        <w:t>a   la </w:t>
      </w:r>
      <w:r>
        <w:rPr>
          <w:color w:val="231F20"/>
          <w:spacing w:val="3"/>
        </w:rPr>
        <w:t>persona como </w:t>
      </w:r>
      <w:r>
        <w:rPr>
          <w:color w:val="231F20"/>
          <w:spacing w:val="2"/>
        </w:rPr>
        <w:t>sujeto jurídico, por </w:t>
      </w:r>
      <w:r>
        <w:rPr>
          <w:color w:val="231F20"/>
        </w:rPr>
        <w:t>la </w:t>
      </w:r>
      <w:r>
        <w:rPr>
          <w:color w:val="231F20"/>
          <w:spacing w:val="2"/>
        </w:rPr>
        <w:t>tendencia </w:t>
      </w:r>
      <w:r>
        <w:rPr>
          <w:color w:val="231F20"/>
        </w:rPr>
        <w:t>a  no  </w:t>
      </w:r>
      <w:r>
        <w:rPr>
          <w:color w:val="231F20"/>
          <w:spacing w:val="2"/>
        </w:rPr>
        <w:t>admitir  fines naturales </w:t>
      </w:r>
      <w:r>
        <w:rPr>
          <w:color w:val="231F20"/>
        </w:rPr>
        <w:t>de las </w:t>
      </w:r>
      <w:r>
        <w:rPr>
          <w:color w:val="231F20"/>
          <w:spacing w:val="3"/>
        </w:rPr>
        <w:t>personas </w:t>
      </w:r>
      <w:r>
        <w:rPr>
          <w:color w:val="231F20"/>
        </w:rPr>
        <w:t>en </w:t>
      </w:r>
      <w:r>
        <w:rPr>
          <w:color w:val="231F20"/>
          <w:spacing w:val="3"/>
        </w:rPr>
        <w:t>todos </w:t>
      </w:r>
      <w:r>
        <w:rPr>
          <w:color w:val="231F20"/>
          <w:spacing w:val="2"/>
        </w:rPr>
        <w:t>los casos </w:t>
      </w:r>
      <w:r>
        <w:rPr>
          <w:color w:val="231F20"/>
        </w:rPr>
        <w:t>en que </w:t>
      </w:r>
      <w:r>
        <w:rPr>
          <w:color w:val="231F20"/>
          <w:spacing w:val="2"/>
        </w:rPr>
        <w:t>estas pudieran </w:t>
      </w:r>
      <w:r>
        <w:rPr>
          <w:color w:val="231F20"/>
        </w:rPr>
        <w:t>ser </w:t>
      </w:r>
      <w:r>
        <w:rPr>
          <w:color w:val="231F20"/>
          <w:spacing w:val="2"/>
        </w:rPr>
        <w:t>perseguidas mediante </w:t>
      </w:r>
      <w:r>
        <w:rPr>
          <w:color w:val="231F20"/>
        </w:rPr>
        <w:t>la </w:t>
      </w:r>
      <w:r>
        <w:rPr>
          <w:color w:val="231F20"/>
          <w:spacing w:val="2"/>
        </w:rPr>
        <w:t>violencia. Incluso donde los fines naturales son </w:t>
      </w:r>
      <w:r>
        <w:rPr>
          <w:color w:val="231F20"/>
          <w:spacing w:val="3"/>
        </w:rPr>
        <w:t>consentidos </w:t>
      </w:r>
      <w:r>
        <w:rPr>
          <w:color w:val="231F20"/>
          <w:spacing w:val="2"/>
        </w:rPr>
        <w:t>dentro </w:t>
      </w:r>
      <w:r>
        <w:rPr>
          <w:color w:val="231F20"/>
        </w:rPr>
        <w:t>de </w:t>
      </w:r>
      <w:r>
        <w:rPr>
          <w:color w:val="231F20"/>
          <w:spacing w:val="2"/>
        </w:rPr>
        <w:t>límites amplios, </w:t>
      </w:r>
      <w:r>
        <w:rPr>
          <w:color w:val="231F20"/>
          <w:spacing w:val="3"/>
        </w:rPr>
        <w:t>son </w:t>
      </w:r>
      <w:r>
        <w:rPr>
          <w:color w:val="231F20"/>
          <w:spacing w:val="2"/>
        </w:rPr>
        <w:t>perseguidos con </w:t>
      </w:r>
      <w:r>
        <w:rPr>
          <w:color w:val="231F20"/>
        </w:rPr>
        <w:t>un </w:t>
      </w:r>
      <w:r>
        <w:rPr>
          <w:color w:val="231F20"/>
          <w:spacing w:val="2"/>
        </w:rPr>
        <w:t>grado excesivo </w:t>
      </w:r>
      <w:r>
        <w:rPr>
          <w:color w:val="231F20"/>
        </w:rPr>
        <w:t>de </w:t>
      </w:r>
      <w:r>
        <w:rPr>
          <w:color w:val="231F20"/>
          <w:spacing w:val="2"/>
        </w:rPr>
        <w:t>violencia, </w:t>
      </w:r>
      <w:r>
        <w:rPr>
          <w:color w:val="231F20"/>
          <w:spacing w:val="3"/>
        </w:rPr>
        <w:t>como </w:t>
      </w:r>
      <w:r>
        <w:rPr>
          <w:color w:val="231F20"/>
          <w:spacing w:val="2"/>
        </w:rPr>
        <w:t>ocurre </w:t>
      </w:r>
      <w:r>
        <w:rPr>
          <w:color w:val="231F20"/>
        </w:rPr>
        <w:t>en  las </w:t>
      </w:r>
      <w:r>
        <w:rPr>
          <w:color w:val="231F20"/>
          <w:spacing w:val="2"/>
        </w:rPr>
        <w:t>leyes sobre los límites del castigo educativo. De esta </w:t>
      </w:r>
      <w:r>
        <w:rPr>
          <w:color w:val="231F20"/>
          <w:spacing w:val="3"/>
        </w:rPr>
        <w:t>máxima </w:t>
      </w:r>
      <w:r>
        <w:rPr>
          <w:color w:val="231F20"/>
        </w:rPr>
        <w:t>se </w:t>
      </w:r>
      <w:r>
        <w:rPr>
          <w:color w:val="231F20"/>
          <w:spacing w:val="3"/>
        </w:rPr>
        <w:t>deduce </w:t>
      </w:r>
      <w:r>
        <w:rPr>
          <w:color w:val="231F20"/>
          <w:spacing w:val="2"/>
        </w:rPr>
        <w:t>que </w:t>
      </w:r>
      <w:r>
        <w:rPr>
          <w:color w:val="231F20"/>
        </w:rPr>
        <w:t>el </w:t>
      </w:r>
      <w:r>
        <w:rPr>
          <w:color w:val="231F20"/>
          <w:spacing w:val="2"/>
        </w:rPr>
        <w:t>derecho considera </w:t>
      </w:r>
      <w:r>
        <w:rPr>
          <w:color w:val="231F20"/>
        </w:rPr>
        <w:t>la </w:t>
      </w:r>
      <w:r>
        <w:rPr>
          <w:color w:val="231F20"/>
          <w:spacing w:val="2"/>
        </w:rPr>
        <w:t>violencia </w:t>
      </w:r>
      <w:r>
        <w:rPr>
          <w:color w:val="231F20"/>
        </w:rPr>
        <w:t>en </w:t>
      </w:r>
      <w:r>
        <w:rPr>
          <w:color w:val="231F20"/>
          <w:spacing w:val="3"/>
        </w:rPr>
        <w:t>manos </w:t>
      </w:r>
      <w:r>
        <w:rPr>
          <w:color w:val="231F20"/>
        </w:rPr>
        <w:t>de la </w:t>
      </w:r>
      <w:r>
        <w:rPr>
          <w:color w:val="231F20"/>
          <w:spacing w:val="2"/>
        </w:rPr>
        <w:t>per- sona aislada </w:t>
      </w:r>
      <w:r>
        <w:rPr>
          <w:color w:val="231F20"/>
          <w:spacing w:val="3"/>
        </w:rPr>
        <w:t>como </w:t>
      </w:r>
      <w:r>
        <w:rPr>
          <w:color w:val="231F20"/>
        </w:rPr>
        <w:t>un </w:t>
      </w:r>
      <w:r>
        <w:rPr>
          <w:color w:val="231F20"/>
          <w:spacing w:val="2"/>
        </w:rPr>
        <w:t>riesgo </w:t>
      </w:r>
      <w:r>
        <w:rPr>
          <w:color w:val="231F20"/>
        </w:rPr>
        <w:t>o </w:t>
      </w:r>
      <w:r>
        <w:rPr>
          <w:color w:val="231F20"/>
          <w:spacing w:val="2"/>
        </w:rPr>
        <w:t>una </w:t>
      </w:r>
      <w:r>
        <w:rPr>
          <w:color w:val="231F20"/>
          <w:spacing w:val="3"/>
        </w:rPr>
        <w:t>amenaza </w:t>
      </w:r>
      <w:r>
        <w:rPr>
          <w:color w:val="231F20"/>
        </w:rPr>
        <w:t>de </w:t>
      </w:r>
      <w:r>
        <w:rPr>
          <w:color w:val="231F20"/>
          <w:spacing w:val="3"/>
        </w:rPr>
        <w:t>perturbación </w:t>
      </w:r>
      <w:r>
        <w:rPr>
          <w:color w:val="231F20"/>
          <w:spacing w:val="2"/>
        </w:rPr>
        <w:t>para   </w:t>
      </w:r>
      <w:r>
        <w:rPr>
          <w:color w:val="231F20"/>
        </w:rPr>
        <w:t>el </w:t>
      </w:r>
      <w:r>
        <w:rPr>
          <w:color w:val="231F20"/>
          <w:spacing w:val="3"/>
        </w:rPr>
        <w:t>ordenamiento </w:t>
      </w:r>
      <w:r>
        <w:rPr>
          <w:color w:val="231F20"/>
          <w:spacing w:val="2"/>
        </w:rPr>
        <w:t>jurídico. </w:t>
      </w:r>
      <w:r>
        <w:rPr>
          <w:color w:val="231F20"/>
          <w:spacing w:val="3"/>
        </w:rPr>
        <w:t>Porque </w:t>
      </w:r>
      <w:r>
        <w:rPr>
          <w:color w:val="231F20"/>
        </w:rPr>
        <w:t>la </w:t>
      </w:r>
      <w:r>
        <w:rPr>
          <w:color w:val="231F20"/>
          <w:spacing w:val="2"/>
        </w:rPr>
        <w:t>violencia </w:t>
      </w:r>
      <w:r>
        <w:rPr>
          <w:color w:val="231F20"/>
        </w:rPr>
        <w:t>en sí </w:t>
      </w:r>
      <w:r>
        <w:rPr>
          <w:color w:val="231F20"/>
          <w:spacing w:val="3"/>
        </w:rPr>
        <w:t>misma, </w:t>
      </w:r>
      <w:r>
        <w:rPr>
          <w:color w:val="231F20"/>
        </w:rPr>
        <w:t>no se </w:t>
      </w:r>
      <w:r>
        <w:rPr>
          <w:color w:val="231F20"/>
          <w:spacing w:val="3"/>
        </w:rPr>
        <w:t>condenaría,</w:t>
      </w:r>
      <w:r>
        <w:rPr>
          <w:color w:val="231F20"/>
          <w:spacing w:val="-9"/>
        </w:rPr>
        <w:t> </w:t>
      </w:r>
      <w:r>
        <w:rPr>
          <w:color w:val="231F20"/>
          <w:spacing w:val="2"/>
        </w:rPr>
        <w:t>sino</w:t>
      </w:r>
      <w:r>
        <w:rPr>
          <w:color w:val="231F20"/>
          <w:spacing w:val="-8"/>
        </w:rPr>
        <w:t> </w:t>
      </w:r>
      <w:r>
        <w:rPr>
          <w:color w:val="231F20"/>
          <w:spacing w:val="2"/>
        </w:rPr>
        <w:t>solo</w:t>
      </w:r>
      <w:r>
        <w:rPr>
          <w:color w:val="231F20"/>
          <w:spacing w:val="-8"/>
        </w:rPr>
        <w:t> </w:t>
      </w:r>
      <w:r>
        <w:rPr>
          <w:color w:val="231F20"/>
          <w:spacing w:val="2"/>
        </w:rPr>
        <w:t>aquella</w:t>
      </w:r>
      <w:r>
        <w:rPr>
          <w:color w:val="231F20"/>
          <w:spacing w:val="-8"/>
        </w:rPr>
        <w:t> </w:t>
      </w:r>
      <w:r>
        <w:rPr>
          <w:color w:val="231F20"/>
          <w:spacing w:val="2"/>
        </w:rPr>
        <w:t>dirigida</w:t>
      </w:r>
      <w:r>
        <w:rPr>
          <w:color w:val="231F20"/>
          <w:spacing w:val="-8"/>
        </w:rPr>
        <w:t> </w:t>
      </w:r>
      <w:r>
        <w:rPr>
          <w:color w:val="231F20"/>
          <w:spacing w:val="2"/>
        </w:rPr>
        <w:t>hacia</w:t>
      </w:r>
      <w:r>
        <w:rPr>
          <w:color w:val="231F20"/>
          <w:spacing w:val="-8"/>
        </w:rPr>
        <w:t> </w:t>
      </w:r>
      <w:r>
        <w:rPr>
          <w:color w:val="231F20"/>
          <w:spacing w:val="2"/>
        </w:rPr>
        <w:t>fines</w:t>
      </w:r>
      <w:r>
        <w:rPr>
          <w:color w:val="231F20"/>
          <w:spacing w:val="-9"/>
        </w:rPr>
        <w:t> </w:t>
      </w:r>
      <w:r>
        <w:rPr>
          <w:color w:val="231F20"/>
          <w:spacing w:val="2"/>
        </w:rPr>
        <w:t>antijurídicos.</w:t>
      </w:r>
    </w:p>
    <w:p>
      <w:pPr>
        <w:pStyle w:val="BodyText"/>
        <w:spacing w:line="247" w:lineRule="auto"/>
        <w:ind w:left="101" w:right="115" w:firstLine="283"/>
        <w:jc w:val="both"/>
      </w:pPr>
      <w:r>
        <w:rPr>
          <w:color w:val="231F20"/>
        </w:rPr>
        <w:t>Se dice que un sistema de fines jurídicos se puede mantener, si en cualquier punto se pudieran perseguir con violencia fines natu- rales. Es necesario tomar en consideración la sorprendente posibi- lidad de que el interés del derecho por monopolizar la violencia respecto a la persona aislada no tenga como explicación la    inten-</w:t>
      </w:r>
    </w:p>
    <w:p>
      <w:pPr>
        <w:spacing w:after="0" w:line="247" w:lineRule="auto"/>
        <w:jc w:val="both"/>
        <w:sectPr>
          <w:headerReference w:type="default" r:id="rId76"/>
          <w:footerReference w:type="default" r:id="rId77"/>
          <w:pgSz w:w="7830" w:h="11910"/>
          <w:pgMar w:header="0" w:footer="424" w:top="500" w:bottom="620" w:left="920" w:right="900"/>
          <w:pgNumType w:start="3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1" w:right="120"/>
        <w:jc w:val="both"/>
      </w:pPr>
      <w:r>
        <w:rPr>
          <w:color w:val="231F20"/>
          <w:spacing w:val="2"/>
        </w:rPr>
        <w:t>ción </w:t>
      </w:r>
      <w:r>
        <w:rPr>
          <w:color w:val="231F20"/>
        </w:rPr>
        <w:t>de </w:t>
      </w:r>
      <w:r>
        <w:rPr>
          <w:color w:val="231F20"/>
          <w:spacing w:val="2"/>
        </w:rPr>
        <w:t>salvaguardar fines jurídicos, sino más bien </w:t>
      </w:r>
      <w:r>
        <w:rPr>
          <w:color w:val="231F20"/>
        </w:rPr>
        <w:t>el </w:t>
      </w:r>
      <w:r>
        <w:rPr>
          <w:color w:val="231F20"/>
          <w:spacing w:val="2"/>
        </w:rPr>
        <w:t>derecho </w:t>
      </w:r>
      <w:r>
        <w:rPr>
          <w:color w:val="231F20"/>
          <w:spacing w:val="3"/>
        </w:rPr>
        <w:t>mismo. </w:t>
      </w:r>
      <w:r>
        <w:rPr>
          <w:color w:val="231F20"/>
        </w:rPr>
        <w:t>Y </w:t>
      </w:r>
      <w:r>
        <w:rPr>
          <w:color w:val="231F20"/>
          <w:spacing w:val="2"/>
        </w:rPr>
        <w:t>que </w:t>
      </w:r>
      <w:r>
        <w:rPr>
          <w:color w:val="231F20"/>
        </w:rPr>
        <w:t>la </w:t>
      </w:r>
      <w:r>
        <w:rPr>
          <w:color w:val="231F20"/>
          <w:spacing w:val="2"/>
        </w:rPr>
        <w:t>violencia, cuando </w:t>
      </w:r>
      <w:r>
        <w:rPr>
          <w:color w:val="231F20"/>
        </w:rPr>
        <w:t>no se halla en </w:t>
      </w:r>
      <w:r>
        <w:rPr>
          <w:color w:val="231F20"/>
          <w:spacing w:val="2"/>
        </w:rPr>
        <w:t>posesión </w:t>
      </w:r>
      <w:r>
        <w:rPr>
          <w:color w:val="231F20"/>
        </w:rPr>
        <w:t>del </w:t>
      </w:r>
      <w:r>
        <w:rPr>
          <w:color w:val="231F20"/>
          <w:spacing w:val="2"/>
        </w:rPr>
        <w:t>derecho </w:t>
      </w:r>
      <w:r>
        <w:rPr>
          <w:color w:val="231F20"/>
        </w:rPr>
        <w:t>a la </w:t>
      </w:r>
      <w:r>
        <w:rPr>
          <w:color w:val="231F20"/>
          <w:spacing w:val="2"/>
        </w:rPr>
        <w:t>sazón existente, represente para este una </w:t>
      </w:r>
      <w:r>
        <w:rPr>
          <w:color w:val="231F20"/>
          <w:spacing w:val="3"/>
        </w:rPr>
        <w:t>amenaza, </w:t>
      </w:r>
      <w:r>
        <w:rPr>
          <w:color w:val="231F20"/>
        </w:rPr>
        <w:t>no  a </w:t>
      </w:r>
      <w:r>
        <w:rPr>
          <w:color w:val="231F20"/>
          <w:spacing w:val="2"/>
        </w:rPr>
        <w:t>causa </w:t>
      </w:r>
      <w:r>
        <w:rPr>
          <w:color w:val="231F20"/>
        </w:rPr>
        <w:t>de </w:t>
      </w:r>
      <w:r>
        <w:rPr>
          <w:color w:val="231F20"/>
          <w:spacing w:val="2"/>
        </w:rPr>
        <w:t>los fines </w:t>
      </w:r>
      <w:r>
        <w:rPr>
          <w:color w:val="231F20"/>
        </w:rPr>
        <w:t>que la </w:t>
      </w:r>
      <w:r>
        <w:rPr>
          <w:color w:val="231F20"/>
          <w:spacing w:val="2"/>
        </w:rPr>
        <w:t>violencia persigue, sino por </w:t>
      </w:r>
      <w:r>
        <w:rPr>
          <w:color w:val="231F20"/>
        </w:rPr>
        <w:t>su </w:t>
      </w:r>
      <w:r>
        <w:rPr>
          <w:color w:val="231F20"/>
          <w:spacing w:val="2"/>
        </w:rPr>
        <w:t>simple existencia</w:t>
      </w:r>
      <w:r>
        <w:rPr>
          <w:color w:val="231F20"/>
          <w:spacing w:val="-9"/>
        </w:rPr>
        <w:t> </w:t>
      </w:r>
      <w:r>
        <w:rPr>
          <w:color w:val="231F20"/>
          <w:spacing w:val="2"/>
        </w:rPr>
        <w:t>fuera</w:t>
      </w:r>
      <w:r>
        <w:rPr>
          <w:color w:val="231F20"/>
          <w:spacing w:val="-9"/>
        </w:rPr>
        <w:t> </w:t>
      </w:r>
      <w:r>
        <w:rPr>
          <w:color w:val="231F20"/>
          <w:spacing w:val="2"/>
        </w:rPr>
        <w:t>del</w:t>
      </w:r>
      <w:r>
        <w:rPr>
          <w:color w:val="231F20"/>
          <w:spacing w:val="-10"/>
        </w:rPr>
        <w:t> </w:t>
      </w:r>
      <w:r>
        <w:rPr>
          <w:color w:val="231F20"/>
          <w:spacing w:val="2"/>
        </w:rPr>
        <w:t>derecho</w:t>
      </w:r>
      <w:r>
        <w:rPr>
          <w:color w:val="231F20"/>
          <w:spacing w:val="-9"/>
        </w:rPr>
        <w:t> </w:t>
      </w:r>
      <w:r>
        <w:rPr>
          <w:color w:val="231F20"/>
          <w:spacing w:val="3"/>
        </w:rPr>
        <w:t>(Benjamin,</w:t>
      </w:r>
      <w:r>
        <w:rPr>
          <w:color w:val="231F20"/>
          <w:spacing w:val="-10"/>
        </w:rPr>
        <w:t> </w:t>
      </w:r>
      <w:r>
        <w:rPr>
          <w:color w:val="231F20"/>
          <w:spacing w:val="2"/>
        </w:rPr>
        <w:t>1995:</w:t>
      </w:r>
      <w:r>
        <w:rPr>
          <w:color w:val="231F20"/>
          <w:spacing w:val="-10"/>
        </w:rPr>
        <w:t> </w:t>
      </w:r>
      <w:r>
        <w:rPr>
          <w:color w:val="231F20"/>
          <w:spacing w:val="2"/>
        </w:rPr>
        <w:t>32).</w:t>
      </w:r>
    </w:p>
    <w:p>
      <w:pPr>
        <w:pStyle w:val="BodyText"/>
        <w:spacing w:line="247" w:lineRule="auto" w:before="6"/>
        <w:ind w:left="102" w:right="115" w:firstLine="283"/>
        <w:jc w:val="both"/>
      </w:pPr>
      <w:r>
        <w:rPr>
          <w:color w:val="231F20"/>
        </w:rPr>
        <w:t>Por lo tanto, la violencia, que en el derecho actual trata de prohibir a las personas su uso aislado en todos los campos de la praxis, surge como amenaza. Por lo que la función de la violencia, por la cual es tan temida y aparece como peligrosa para el mono- polio del derecho, es la creación de un nuevo derecho que se pre- senta justamente allí donde todavía le es permitido manifestarse según el ordenamiento jurídico actual.</w:t>
      </w:r>
    </w:p>
    <w:p>
      <w:pPr>
        <w:pStyle w:val="BodyText"/>
        <w:spacing w:line="249" w:lineRule="auto" w:before="1"/>
        <w:ind w:left="102" w:right="115" w:firstLine="284"/>
        <w:jc w:val="both"/>
      </w:pPr>
      <w:r>
        <w:rPr>
          <w:color w:val="231F20"/>
        </w:rPr>
        <w:t>Es posible definir en ciertas condiciones la violencia, incluso, como una actitud asumida en ejercicio de un derecho. Y precisa- mente esa actitud, cuando es activa, podrá ser llamada violencia en la medida en que ejerza un derecho que se posee para subvertir el ordenamiento jurídico, en virtud del derecho que le ha sido confe- rido; cuando es pasiva, podrá ser definida en la misma forma, si representa una extorsión en el sentido de estas consideraciones. Puede que el derecho se oponga, en ciertas condiciones, con vio- lencia a la violencia. Porque si la violencia, como parece a primera vista, no fuese más que el medio para asegurar directamente aque- llo que se quiere, podría lograr su fin solo como violencia. Y sería incapaz de fundar o modificar relaciones en forma relativamente estable (Benjamin, 1995: 35 y36).</w:t>
      </w:r>
    </w:p>
    <w:p>
      <w:pPr>
        <w:pStyle w:val="BodyText"/>
        <w:spacing w:line="242" w:lineRule="auto"/>
        <w:ind w:left="102" w:right="116" w:firstLine="284"/>
        <w:jc w:val="both"/>
      </w:pPr>
      <w:r>
        <w:rPr>
          <w:color w:val="231F20"/>
        </w:rPr>
        <w:t>En el </w:t>
      </w:r>
      <w:r>
        <w:rPr>
          <w:color w:val="231F20"/>
          <w:spacing w:val="2"/>
        </w:rPr>
        <w:t>examen </w:t>
      </w:r>
      <w:r>
        <w:rPr>
          <w:color w:val="231F20"/>
        </w:rPr>
        <w:t>de la </w:t>
      </w:r>
      <w:r>
        <w:rPr>
          <w:color w:val="231F20"/>
          <w:spacing w:val="2"/>
        </w:rPr>
        <w:t>violencia bélica, </w:t>
      </w:r>
      <w:r>
        <w:rPr>
          <w:color w:val="231F20"/>
        </w:rPr>
        <w:t>la </w:t>
      </w:r>
      <w:r>
        <w:rPr>
          <w:color w:val="231F20"/>
          <w:spacing w:val="2"/>
        </w:rPr>
        <w:t>posibilidad </w:t>
      </w:r>
      <w:r>
        <w:rPr>
          <w:color w:val="231F20"/>
        </w:rPr>
        <w:t>de un dere- </w:t>
      </w:r>
      <w:r>
        <w:rPr>
          <w:color w:val="231F20"/>
          <w:spacing w:val="2"/>
        </w:rPr>
        <w:t>cho </w:t>
      </w:r>
      <w:r>
        <w:rPr>
          <w:color w:val="231F20"/>
        </w:rPr>
        <w:t>de </w:t>
      </w:r>
      <w:r>
        <w:rPr>
          <w:color w:val="231F20"/>
          <w:spacing w:val="2"/>
        </w:rPr>
        <w:t>guerra descansa </w:t>
      </w:r>
      <w:r>
        <w:rPr>
          <w:color w:val="231F20"/>
          <w:spacing w:val="3"/>
        </w:rPr>
        <w:t>exactamente </w:t>
      </w:r>
      <w:r>
        <w:rPr>
          <w:color w:val="231F20"/>
          <w:spacing w:val="2"/>
        </w:rPr>
        <w:t>sobre </w:t>
      </w:r>
      <w:r>
        <w:rPr>
          <w:color w:val="231F20"/>
        </w:rPr>
        <w:t>las </w:t>
      </w:r>
      <w:r>
        <w:rPr>
          <w:color w:val="231F20"/>
          <w:spacing w:val="3"/>
        </w:rPr>
        <w:t>mismas contradic- </w:t>
      </w:r>
      <w:r>
        <w:rPr>
          <w:color w:val="231F20"/>
          <w:spacing w:val="2"/>
        </w:rPr>
        <w:t>ciones objetivas que </w:t>
      </w:r>
      <w:r>
        <w:rPr>
          <w:color w:val="231F20"/>
        </w:rPr>
        <w:t>la </w:t>
      </w:r>
      <w:r>
        <w:rPr>
          <w:color w:val="231F20"/>
          <w:spacing w:val="2"/>
        </w:rPr>
        <w:t>situación jurídica sobre </w:t>
      </w:r>
      <w:r>
        <w:rPr>
          <w:color w:val="231F20"/>
        </w:rPr>
        <w:t>la que se </w:t>
      </w:r>
      <w:r>
        <w:rPr>
          <w:color w:val="231F20"/>
          <w:spacing w:val="2"/>
        </w:rPr>
        <w:t>funda </w:t>
      </w:r>
      <w:r>
        <w:rPr>
          <w:color w:val="231F20"/>
        </w:rPr>
        <w:t>el </w:t>
      </w:r>
      <w:r>
        <w:rPr>
          <w:color w:val="231F20"/>
          <w:spacing w:val="3"/>
        </w:rPr>
        <w:t>derecho. </w:t>
      </w:r>
      <w:r>
        <w:rPr>
          <w:color w:val="231F20"/>
        </w:rPr>
        <w:t>La </w:t>
      </w:r>
      <w:r>
        <w:rPr>
          <w:color w:val="231F20"/>
          <w:spacing w:val="2"/>
        </w:rPr>
        <w:t>palabra paz </w:t>
      </w:r>
      <w:r>
        <w:rPr>
          <w:color w:val="231F20"/>
        </w:rPr>
        <w:t>en el </w:t>
      </w:r>
      <w:r>
        <w:rPr>
          <w:color w:val="231F20"/>
          <w:spacing w:val="2"/>
        </w:rPr>
        <w:t>sentido </w:t>
      </w:r>
      <w:r>
        <w:rPr>
          <w:color w:val="231F20"/>
        </w:rPr>
        <w:t>en </w:t>
      </w:r>
      <w:r>
        <w:rPr>
          <w:color w:val="231F20"/>
          <w:spacing w:val="2"/>
        </w:rPr>
        <w:t>que está relacionada </w:t>
      </w:r>
      <w:r>
        <w:rPr>
          <w:color w:val="231F20"/>
          <w:spacing w:val="3"/>
        </w:rPr>
        <w:t>con</w:t>
      </w:r>
      <w:r>
        <w:rPr>
          <w:color w:val="231F20"/>
          <w:spacing w:val="58"/>
        </w:rPr>
        <w:t> </w:t>
      </w:r>
      <w:r>
        <w:rPr>
          <w:color w:val="231F20"/>
        </w:rPr>
        <w:t>el </w:t>
      </w:r>
      <w:r>
        <w:rPr>
          <w:color w:val="231F20"/>
          <w:spacing w:val="2"/>
        </w:rPr>
        <w:t>término guerra, indica </w:t>
      </w:r>
      <w:r>
        <w:rPr>
          <w:color w:val="231F20"/>
          <w:spacing w:val="3"/>
        </w:rPr>
        <w:t>justamente </w:t>
      </w:r>
      <w:r>
        <w:rPr>
          <w:color w:val="231F20"/>
          <w:spacing w:val="2"/>
        </w:rPr>
        <w:t>esta sanción necesaria </w:t>
      </w:r>
      <w:r>
        <w:rPr>
          <w:rFonts w:ascii="Palatino Linotype" w:hAnsi="Palatino Linotype"/>
          <w:i/>
          <w:color w:val="231F20"/>
        </w:rPr>
        <w:t>a </w:t>
      </w:r>
      <w:r>
        <w:rPr>
          <w:rFonts w:ascii="Palatino Linotype" w:hAnsi="Palatino Linotype"/>
          <w:i/>
          <w:color w:val="231F20"/>
          <w:spacing w:val="2"/>
        </w:rPr>
        <w:t>priori </w:t>
      </w:r>
      <w:r>
        <w:rPr>
          <w:color w:val="231F20"/>
        </w:rPr>
        <w:t>de </w:t>
      </w:r>
      <w:r>
        <w:rPr>
          <w:color w:val="231F20"/>
          <w:spacing w:val="2"/>
        </w:rPr>
        <w:t>toda victoria, </w:t>
      </w:r>
      <w:r>
        <w:rPr>
          <w:color w:val="231F20"/>
          <w:spacing w:val="3"/>
        </w:rPr>
        <w:t>independientemente </w:t>
      </w:r>
      <w:r>
        <w:rPr>
          <w:color w:val="231F20"/>
        </w:rPr>
        <w:t>de </w:t>
      </w:r>
      <w:r>
        <w:rPr>
          <w:color w:val="231F20"/>
          <w:spacing w:val="2"/>
        </w:rPr>
        <w:t>todas </w:t>
      </w:r>
      <w:r>
        <w:rPr>
          <w:color w:val="231F20"/>
        </w:rPr>
        <w:t>las </w:t>
      </w:r>
      <w:r>
        <w:rPr>
          <w:color w:val="231F20"/>
          <w:spacing w:val="2"/>
        </w:rPr>
        <w:t>otras relaciones jurídicas</w:t>
      </w:r>
      <w:r>
        <w:rPr>
          <w:color w:val="231F20"/>
          <w:spacing w:val="-16"/>
        </w:rPr>
        <w:t> </w:t>
      </w:r>
      <w:r>
        <w:rPr>
          <w:color w:val="231F20"/>
          <w:spacing w:val="3"/>
        </w:rPr>
        <w:t>(Benjamin,</w:t>
      </w:r>
      <w:r>
        <w:rPr>
          <w:color w:val="231F20"/>
          <w:spacing w:val="-16"/>
        </w:rPr>
        <w:t> </w:t>
      </w:r>
      <w:r>
        <w:rPr>
          <w:color w:val="231F20"/>
          <w:spacing w:val="2"/>
        </w:rPr>
        <w:t>1995:</w:t>
      </w:r>
      <w:r>
        <w:rPr>
          <w:color w:val="231F20"/>
          <w:spacing w:val="-16"/>
        </w:rPr>
        <w:t> </w:t>
      </w:r>
      <w:r>
        <w:rPr>
          <w:color w:val="231F20"/>
        </w:rPr>
        <w:t>37</w:t>
      </w:r>
      <w:r>
        <w:rPr>
          <w:color w:val="231F20"/>
          <w:spacing w:val="-16"/>
        </w:rPr>
        <w:t> </w:t>
      </w:r>
      <w:r>
        <w:rPr>
          <w:color w:val="231F20"/>
        </w:rPr>
        <w:t>y</w:t>
      </w:r>
      <w:r>
        <w:rPr>
          <w:color w:val="231F20"/>
          <w:spacing w:val="-16"/>
        </w:rPr>
        <w:t> </w:t>
      </w:r>
      <w:r>
        <w:rPr>
          <w:color w:val="231F20"/>
        </w:rPr>
        <w:t>38).</w:t>
      </w:r>
    </w:p>
    <w:p>
      <w:pPr>
        <w:pStyle w:val="BodyText"/>
        <w:spacing w:line="247" w:lineRule="auto" w:before="6"/>
        <w:ind w:left="102" w:right="113" w:firstLine="284"/>
        <w:jc w:val="both"/>
      </w:pPr>
      <w:r>
        <w:rPr>
          <w:color w:val="231F20"/>
        </w:rPr>
        <w:t>Existe por lo tanto implícito en toda violencia un carácter de creación jurídico, lo que explica la mencionada tendencia del de- recho moderno a vedar toda violencia. Pero el Estado teme a esta violencia en su carácter de creadora de derecho, y el militarismo es el empleo universal de la violencia como medio para los fines del Estado. Tal coacción consiste en el uso de la violencia como me- dio para fines jurídicos. Pues la sumisión del ciudadano a las leyes</w:t>
      </w:r>
    </w:p>
    <w:p>
      <w:pPr>
        <w:spacing w:after="0" w:line="247" w:lineRule="auto"/>
        <w:jc w:val="both"/>
        <w:sectPr>
          <w:headerReference w:type="default" r:id="rId78"/>
          <w:footerReference w:type="default" r:id="rId79"/>
          <w:pgSz w:w="7830" w:h="11910"/>
          <w:pgMar w:header="0" w:footer="424" w:top="500" w:bottom="620" w:left="920" w:right="900"/>
          <w:pgNumType w:start="3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5"/>
        <w:jc w:val="both"/>
      </w:pPr>
      <w:r>
        <w:rPr>
          <w:color w:val="231F20"/>
        </w:rPr>
        <w:t>es un fin jurídico. Si la primera función de la violencia puede ser definida como creadora del derecho, la segunda función es con- servarla. Y su crítica coincide más bien con la crítica de todo po- der jurídico, es decir, con la crítica al poder legal o ejecutivo (Ben- jamin, 1995: 38-40).</w:t>
      </w:r>
    </w:p>
    <w:p>
      <w:pPr>
        <w:pStyle w:val="BodyText"/>
        <w:spacing w:line="249" w:lineRule="auto" w:before="6"/>
        <w:ind w:left="102" w:right="112" w:firstLine="284"/>
        <w:jc w:val="both"/>
      </w:pPr>
      <w:r>
        <w:rPr>
          <w:color w:val="231F20"/>
          <w:spacing w:val="2"/>
        </w:rPr>
        <w:t>Pues </w:t>
      </w:r>
      <w:r>
        <w:rPr>
          <w:color w:val="231F20"/>
        </w:rPr>
        <w:t>el </w:t>
      </w:r>
      <w:r>
        <w:rPr>
          <w:color w:val="231F20"/>
          <w:spacing w:val="2"/>
        </w:rPr>
        <w:t>poder que conserva </w:t>
      </w:r>
      <w:r>
        <w:rPr>
          <w:color w:val="231F20"/>
        </w:rPr>
        <w:t>el </w:t>
      </w:r>
      <w:r>
        <w:rPr>
          <w:color w:val="231F20"/>
          <w:spacing w:val="2"/>
        </w:rPr>
        <w:t>derecho </w:t>
      </w:r>
      <w:r>
        <w:rPr>
          <w:color w:val="231F20"/>
        </w:rPr>
        <w:t>es el </w:t>
      </w:r>
      <w:r>
        <w:rPr>
          <w:color w:val="231F20"/>
          <w:spacing w:val="2"/>
        </w:rPr>
        <w:t>que </w:t>
      </w:r>
      <w:r>
        <w:rPr>
          <w:color w:val="231F20"/>
          <w:spacing w:val="3"/>
        </w:rPr>
        <w:t>amenaza. </w:t>
      </w:r>
      <w:r>
        <w:rPr>
          <w:color w:val="231F20"/>
        </w:rPr>
        <w:t>El </w:t>
      </w:r>
      <w:r>
        <w:rPr>
          <w:color w:val="231F20"/>
          <w:spacing w:val="2"/>
        </w:rPr>
        <w:t>significado más </w:t>
      </w:r>
      <w:r>
        <w:rPr>
          <w:color w:val="231F20"/>
          <w:spacing w:val="3"/>
        </w:rPr>
        <w:t>profundo </w:t>
      </w:r>
      <w:r>
        <w:rPr>
          <w:color w:val="231F20"/>
        </w:rPr>
        <w:t>de la </w:t>
      </w:r>
      <w:r>
        <w:rPr>
          <w:color w:val="231F20"/>
          <w:spacing w:val="3"/>
        </w:rPr>
        <w:t>indeterminación </w:t>
      </w:r>
      <w:r>
        <w:rPr>
          <w:color w:val="231F20"/>
        </w:rPr>
        <w:t>de la </w:t>
      </w:r>
      <w:r>
        <w:rPr>
          <w:color w:val="231F20"/>
          <w:spacing w:val="3"/>
        </w:rPr>
        <w:t>amenaza </w:t>
      </w:r>
      <w:r>
        <w:rPr>
          <w:color w:val="231F20"/>
          <w:spacing w:val="2"/>
        </w:rPr>
        <w:t>jurídica surgirá solo </w:t>
      </w:r>
      <w:r>
        <w:rPr>
          <w:color w:val="231F20"/>
        </w:rPr>
        <w:t>a </w:t>
      </w:r>
      <w:r>
        <w:rPr>
          <w:color w:val="231F20"/>
          <w:spacing w:val="2"/>
        </w:rPr>
        <w:t>través del análisis </w:t>
      </w:r>
      <w:r>
        <w:rPr>
          <w:color w:val="231F20"/>
        </w:rPr>
        <w:t>de su </w:t>
      </w:r>
      <w:r>
        <w:rPr>
          <w:color w:val="231F20"/>
          <w:spacing w:val="2"/>
        </w:rPr>
        <w:t>destino </w:t>
      </w:r>
      <w:r>
        <w:rPr>
          <w:color w:val="231F20"/>
        </w:rPr>
        <w:t>o de la </w:t>
      </w:r>
      <w:r>
        <w:rPr>
          <w:color w:val="231F20"/>
          <w:spacing w:val="2"/>
        </w:rPr>
        <w:t>ame- naza derivada. Una preciosa referencia </w:t>
      </w:r>
      <w:r>
        <w:rPr>
          <w:color w:val="231F20"/>
        </w:rPr>
        <w:t>a </w:t>
      </w:r>
      <w:r>
        <w:rPr>
          <w:color w:val="231F20"/>
          <w:spacing w:val="2"/>
        </w:rPr>
        <w:t>esta esfera </w:t>
      </w:r>
      <w:r>
        <w:rPr>
          <w:color w:val="231F20"/>
        </w:rPr>
        <w:t>se </w:t>
      </w:r>
      <w:r>
        <w:rPr>
          <w:color w:val="231F20"/>
          <w:spacing w:val="2"/>
        </w:rPr>
        <w:t>encuentra  </w:t>
      </w:r>
      <w:r>
        <w:rPr>
          <w:color w:val="231F20"/>
        </w:rPr>
        <w:t>en el </w:t>
      </w:r>
      <w:r>
        <w:rPr>
          <w:color w:val="231F20"/>
          <w:spacing w:val="3"/>
        </w:rPr>
        <w:t>campo </w:t>
      </w:r>
      <w:r>
        <w:rPr>
          <w:color w:val="231F20"/>
        </w:rPr>
        <w:t>de las </w:t>
      </w:r>
      <w:r>
        <w:rPr>
          <w:color w:val="231F20"/>
          <w:spacing w:val="2"/>
        </w:rPr>
        <w:t>penas </w:t>
      </w:r>
      <w:r>
        <w:rPr>
          <w:color w:val="231F20"/>
        </w:rPr>
        <w:t>o </w:t>
      </w:r>
      <w:r>
        <w:rPr>
          <w:color w:val="231F20"/>
          <w:spacing w:val="2"/>
        </w:rPr>
        <w:t>castigos, entre </w:t>
      </w:r>
      <w:r>
        <w:rPr>
          <w:color w:val="231F20"/>
        </w:rPr>
        <w:t>las </w:t>
      </w:r>
      <w:r>
        <w:rPr>
          <w:color w:val="231F20"/>
          <w:spacing w:val="2"/>
        </w:rPr>
        <w:t>cuales, </w:t>
      </w:r>
      <w:r>
        <w:rPr>
          <w:color w:val="231F20"/>
        </w:rPr>
        <w:t>la </w:t>
      </w:r>
      <w:r>
        <w:rPr>
          <w:color w:val="231F20"/>
          <w:spacing w:val="2"/>
        </w:rPr>
        <w:t>pena </w:t>
      </w:r>
      <w:r>
        <w:rPr>
          <w:color w:val="231F20"/>
        </w:rPr>
        <w:t>de </w:t>
      </w:r>
      <w:r>
        <w:rPr>
          <w:color w:val="231F20"/>
          <w:spacing w:val="3"/>
        </w:rPr>
        <w:t>muerte </w:t>
      </w:r>
      <w:r>
        <w:rPr>
          <w:color w:val="231F20"/>
        </w:rPr>
        <w:t>es la </w:t>
      </w:r>
      <w:r>
        <w:rPr>
          <w:color w:val="231F20"/>
          <w:spacing w:val="2"/>
        </w:rPr>
        <w:t>que </w:t>
      </w:r>
      <w:r>
        <w:rPr>
          <w:color w:val="231F20"/>
        </w:rPr>
        <w:t>ha </w:t>
      </w:r>
      <w:r>
        <w:rPr>
          <w:color w:val="231F20"/>
          <w:spacing w:val="2"/>
        </w:rPr>
        <w:t>suscitado </w:t>
      </w:r>
      <w:r>
        <w:rPr>
          <w:color w:val="231F20"/>
          <w:spacing w:val="3"/>
        </w:rPr>
        <w:t>mayor </w:t>
      </w:r>
      <w:r>
        <w:rPr>
          <w:color w:val="231F20"/>
          <w:spacing w:val="2"/>
        </w:rPr>
        <w:t>crítica. Pues </w:t>
      </w:r>
      <w:r>
        <w:rPr>
          <w:color w:val="231F20"/>
        </w:rPr>
        <w:t>si su </w:t>
      </w:r>
      <w:r>
        <w:rPr>
          <w:color w:val="231F20"/>
          <w:spacing w:val="2"/>
        </w:rPr>
        <w:t>origen </w:t>
      </w:r>
      <w:r>
        <w:rPr>
          <w:color w:val="231F20"/>
        </w:rPr>
        <w:t>es la </w:t>
      </w:r>
      <w:r>
        <w:rPr>
          <w:color w:val="231F20"/>
          <w:spacing w:val="2"/>
        </w:rPr>
        <w:t>violencia, </w:t>
      </w:r>
      <w:r>
        <w:rPr>
          <w:color w:val="231F20"/>
        </w:rPr>
        <w:t>la </w:t>
      </w:r>
      <w:r>
        <w:rPr>
          <w:color w:val="231F20"/>
          <w:spacing w:val="2"/>
        </w:rPr>
        <w:t>violencia </w:t>
      </w:r>
      <w:r>
        <w:rPr>
          <w:color w:val="231F20"/>
          <w:spacing w:val="3"/>
        </w:rPr>
        <w:t>coronada </w:t>
      </w:r>
      <w:r>
        <w:rPr>
          <w:color w:val="231F20"/>
          <w:spacing w:val="2"/>
        </w:rPr>
        <w:t>por </w:t>
      </w:r>
      <w:r>
        <w:rPr>
          <w:color w:val="231F20"/>
        </w:rPr>
        <w:t>el </w:t>
      </w:r>
      <w:r>
        <w:rPr>
          <w:color w:val="231F20"/>
          <w:spacing w:val="2"/>
        </w:rPr>
        <w:t>destino, </w:t>
      </w:r>
      <w:r>
        <w:rPr>
          <w:color w:val="231F20"/>
        </w:rPr>
        <w:t>es </w:t>
      </w:r>
      <w:r>
        <w:rPr>
          <w:color w:val="231F20"/>
          <w:spacing w:val="2"/>
        </w:rPr>
        <w:t>lógico </w:t>
      </w:r>
      <w:r>
        <w:rPr>
          <w:color w:val="231F20"/>
          <w:spacing w:val="3"/>
        </w:rPr>
        <w:t>suponer </w:t>
      </w:r>
      <w:r>
        <w:rPr>
          <w:color w:val="231F20"/>
        </w:rPr>
        <w:t>que en el </w:t>
      </w:r>
      <w:r>
        <w:rPr>
          <w:color w:val="231F20"/>
          <w:spacing w:val="2"/>
        </w:rPr>
        <w:t>poder </w:t>
      </w:r>
      <w:r>
        <w:rPr>
          <w:color w:val="231F20"/>
          <w:spacing w:val="3"/>
        </w:rPr>
        <w:t>supremo, </w:t>
      </w:r>
      <w:r>
        <w:rPr>
          <w:color w:val="231F20"/>
        </w:rPr>
        <w:t>el de la vida y la </w:t>
      </w:r>
      <w:r>
        <w:rPr>
          <w:color w:val="231F20"/>
          <w:spacing w:val="2"/>
        </w:rPr>
        <w:t>muerte, </w:t>
      </w:r>
      <w:r>
        <w:rPr>
          <w:color w:val="231F20"/>
        </w:rPr>
        <w:t>en el que </w:t>
      </w:r>
      <w:r>
        <w:rPr>
          <w:color w:val="231F20"/>
          <w:spacing w:val="3"/>
        </w:rPr>
        <w:t>apa- </w:t>
      </w:r>
      <w:r>
        <w:rPr>
          <w:color w:val="231F20"/>
          <w:spacing w:val="2"/>
        </w:rPr>
        <w:t>rece </w:t>
      </w:r>
      <w:r>
        <w:rPr>
          <w:color w:val="231F20"/>
        </w:rPr>
        <w:t>el </w:t>
      </w:r>
      <w:r>
        <w:rPr>
          <w:color w:val="231F20"/>
          <w:spacing w:val="3"/>
        </w:rPr>
        <w:t>ordenamiento, </w:t>
      </w:r>
      <w:r>
        <w:rPr>
          <w:color w:val="231F20"/>
          <w:spacing w:val="2"/>
        </w:rPr>
        <w:t>los orígenes </w:t>
      </w:r>
      <w:r>
        <w:rPr>
          <w:color w:val="231F20"/>
        </w:rPr>
        <w:t>de </w:t>
      </w:r>
      <w:r>
        <w:rPr>
          <w:color w:val="231F20"/>
          <w:spacing w:val="2"/>
        </w:rPr>
        <w:t>este </w:t>
      </w:r>
      <w:r>
        <w:rPr>
          <w:color w:val="231F20"/>
          <w:spacing w:val="3"/>
        </w:rPr>
        <w:t>ordenamiento afloren  </w:t>
      </w:r>
      <w:r>
        <w:rPr>
          <w:color w:val="231F20"/>
        </w:rPr>
        <w:t>en </w:t>
      </w:r>
      <w:r>
        <w:rPr>
          <w:color w:val="231F20"/>
          <w:spacing w:val="3"/>
        </w:rPr>
        <w:t>forma </w:t>
      </w:r>
      <w:r>
        <w:rPr>
          <w:color w:val="231F20"/>
          <w:spacing w:val="2"/>
        </w:rPr>
        <w:t>representativa </w:t>
      </w:r>
      <w:r>
        <w:rPr>
          <w:color w:val="231F20"/>
        </w:rPr>
        <w:t>en la </w:t>
      </w:r>
      <w:r>
        <w:rPr>
          <w:color w:val="231F20"/>
          <w:spacing w:val="2"/>
        </w:rPr>
        <w:t>realidad actual </w:t>
      </w:r>
      <w:r>
        <w:rPr>
          <w:color w:val="231F20"/>
        </w:rPr>
        <w:t>y se </w:t>
      </w:r>
      <w:r>
        <w:rPr>
          <w:color w:val="231F20"/>
          <w:spacing w:val="2"/>
        </w:rPr>
        <w:t>revelen </w:t>
      </w:r>
      <w:r>
        <w:rPr>
          <w:color w:val="231F20"/>
          <w:spacing w:val="3"/>
        </w:rPr>
        <w:t>aterrado- ramente. </w:t>
      </w:r>
      <w:r>
        <w:rPr>
          <w:color w:val="231F20"/>
        </w:rPr>
        <w:t>Su </w:t>
      </w:r>
      <w:r>
        <w:rPr>
          <w:color w:val="231F20"/>
          <w:spacing w:val="2"/>
        </w:rPr>
        <w:t>significado </w:t>
      </w:r>
      <w:r>
        <w:rPr>
          <w:color w:val="231F20"/>
        </w:rPr>
        <w:t>no es el de </w:t>
      </w:r>
      <w:r>
        <w:rPr>
          <w:color w:val="231F20"/>
          <w:spacing w:val="2"/>
        </w:rPr>
        <w:t>castigar </w:t>
      </w:r>
      <w:r>
        <w:rPr>
          <w:color w:val="231F20"/>
        </w:rPr>
        <w:t>la </w:t>
      </w:r>
      <w:r>
        <w:rPr>
          <w:color w:val="231F20"/>
          <w:spacing w:val="2"/>
        </w:rPr>
        <w:t>infracción jurídica, sino </w:t>
      </w:r>
      <w:r>
        <w:rPr>
          <w:color w:val="231F20"/>
        </w:rPr>
        <w:t>el de </w:t>
      </w:r>
      <w:r>
        <w:rPr>
          <w:color w:val="231F20"/>
          <w:spacing w:val="2"/>
        </w:rPr>
        <w:t>establecer </w:t>
      </w:r>
      <w:r>
        <w:rPr>
          <w:color w:val="231F20"/>
        </w:rPr>
        <w:t>el </w:t>
      </w:r>
      <w:r>
        <w:rPr>
          <w:color w:val="231F20"/>
          <w:spacing w:val="2"/>
        </w:rPr>
        <w:t>nuevo </w:t>
      </w:r>
      <w:r>
        <w:rPr>
          <w:color w:val="231F20"/>
          <w:spacing w:val="3"/>
        </w:rPr>
        <w:t>derecho. </w:t>
      </w:r>
      <w:r>
        <w:rPr>
          <w:color w:val="231F20"/>
          <w:spacing w:val="2"/>
        </w:rPr>
        <w:t>Pues </w:t>
      </w:r>
      <w:r>
        <w:rPr>
          <w:color w:val="231F20"/>
        </w:rPr>
        <w:t>en el </w:t>
      </w:r>
      <w:r>
        <w:rPr>
          <w:color w:val="231F20"/>
          <w:spacing w:val="2"/>
        </w:rPr>
        <w:t>ejercicio </w:t>
      </w:r>
      <w:r>
        <w:rPr>
          <w:color w:val="231F20"/>
          <w:spacing w:val="3"/>
        </w:rPr>
        <w:t>del </w:t>
      </w:r>
      <w:r>
        <w:rPr>
          <w:color w:val="231F20"/>
          <w:spacing w:val="2"/>
        </w:rPr>
        <w:t>poder </w:t>
      </w:r>
      <w:r>
        <w:rPr>
          <w:color w:val="231F20"/>
        </w:rPr>
        <w:t>de vida y </w:t>
      </w:r>
      <w:r>
        <w:rPr>
          <w:color w:val="231F20"/>
          <w:spacing w:val="2"/>
        </w:rPr>
        <w:t>muerte, </w:t>
      </w:r>
      <w:r>
        <w:rPr>
          <w:color w:val="231F20"/>
        </w:rPr>
        <w:t>el </w:t>
      </w:r>
      <w:r>
        <w:rPr>
          <w:color w:val="231F20"/>
          <w:spacing w:val="2"/>
        </w:rPr>
        <w:t>derecho </w:t>
      </w:r>
      <w:r>
        <w:rPr>
          <w:color w:val="231F20"/>
        </w:rPr>
        <w:t>se </w:t>
      </w:r>
      <w:r>
        <w:rPr>
          <w:color w:val="231F20"/>
          <w:spacing w:val="3"/>
        </w:rPr>
        <w:t>confirma </w:t>
      </w:r>
      <w:r>
        <w:rPr>
          <w:color w:val="231F20"/>
          <w:spacing w:val="2"/>
        </w:rPr>
        <w:t>más </w:t>
      </w:r>
      <w:r>
        <w:rPr>
          <w:color w:val="231F20"/>
        </w:rPr>
        <w:t>que en </w:t>
      </w:r>
      <w:r>
        <w:rPr>
          <w:color w:val="231F20"/>
          <w:spacing w:val="2"/>
        </w:rPr>
        <w:t>cual- quier otro acto jurídico. Pero </w:t>
      </w:r>
      <w:r>
        <w:rPr>
          <w:color w:val="231F20"/>
        </w:rPr>
        <w:t>al </w:t>
      </w:r>
      <w:r>
        <w:rPr>
          <w:color w:val="231F20"/>
          <w:spacing w:val="3"/>
        </w:rPr>
        <w:t>mismo </w:t>
      </w:r>
      <w:r>
        <w:rPr>
          <w:color w:val="231F20"/>
          <w:spacing w:val="2"/>
        </w:rPr>
        <w:t>tiempo </w:t>
      </w:r>
      <w:r>
        <w:rPr>
          <w:color w:val="231F20"/>
        </w:rPr>
        <w:t>se </w:t>
      </w:r>
      <w:r>
        <w:rPr>
          <w:color w:val="231F20"/>
          <w:spacing w:val="2"/>
        </w:rPr>
        <w:t>advierte con </w:t>
      </w:r>
      <w:r>
        <w:rPr>
          <w:color w:val="231F20"/>
          <w:spacing w:val="3"/>
        </w:rPr>
        <w:t>máxima </w:t>
      </w:r>
      <w:r>
        <w:rPr>
          <w:color w:val="231F20"/>
          <w:spacing w:val="2"/>
        </w:rPr>
        <w:t>claridad </w:t>
      </w:r>
      <w:r>
        <w:rPr>
          <w:color w:val="231F20"/>
        </w:rPr>
        <w:t>algo </w:t>
      </w:r>
      <w:r>
        <w:rPr>
          <w:color w:val="231F20"/>
          <w:spacing w:val="3"/>
        </w:rPr>
        <w:t>corrompido </w:t>
      </w:r>
      <w:r>
        <w:rPr>
          <w:color w:val="231F20"/>
        </w:rPr>
        <w:t>en el </w:t>
      </w:r>
      <w:r>
        <w:rPr>
          <w:color w:val="231F20"/>
          <w:spacing w:val="2"/>
        </w:rPr>
        <w:t>derecho </w:t>
      </w:r>
      <w:r>
        <w:rPr>
          <w:color w:val="231F20"/>
          <w:spacing w:val="3"/>
        </w:rPr>
        <w:t>(Benjamin, </w:t>
      </w:r>
      <w:r>
        <w:rPr>
          <w:color w:val="231F20"/>
          <w:spacing w:val="2"/>
        </w:rPr>
        <w:t>1995: 42-44).</w:t>
      </w:r>
    </w:p>
    <w:p>
      <w:pPr>
        <w:pStyle w:val="BodyText"/>
        <w:spacing w:line="249" w:lineRule="auto"/>
        <w:ind w:left="101" w:right="113" w:firstLine="284"/>
        <w:jc w:val="both"/>
      </w:pPr>
      <w:r>
        <w:rPr>
          <w:color w:val="231F20"/>
          <w:spacing w:val="4"/>
        </w:rPr>
        <w:t>En una </w:t>
      </w:r>
      <w:r>
        <w:rPr>
          <w:color w:val="231F20"/>
          <w:spacing w:val="6"/>
        </w:rPr>
        <w:t>combinación </w:t>
      </w:r>
      <w:r>
        <w:rPr>
          <w:color w:val="231F20"/>
          <w:spacing w:val="5"/>
        </w:rPr>
        <w:t>más </w:t>
      </w:r>
      <w:r>
        <w:rPr>
          <w:color w:val="231F20"/>
          <w:spacing w:val="6"/>
        </w:rPr>
        <w:t>innatural </w:t>
      </w:r>
      <w:r>
        <w:rPr>
          <w:color w:val="231F20"/>
          <w:spacing w:val="4"/>
        </w:rPr>
        <w:t>que </w:t>
      </w:r>
      <w:r>
        <w:rPr>
          <w:color w:val="231F20"/>
          <w:spacing w:val="3"/>
        </w:rPr>
        <w:t>en la </w:t>
      </w:r>
      <w:r>
        <w:rPr>
          <w:color w:val="231F20"/>
          <w:spacing w:val="5"/>
        </w:rPr>
        <w:t>pena </w:t>
      </w:r>
      <w:r>
        <w:rPr>
          <w:color w:val="231F20"/>
          <w:spacing w:val="4"/>
        </w:rPr>
        <w:t>de </w:t>
      </w:r>
      <w:r>
        <w:rPr>
          <w:color w:val="231F20"/>
          <w:spacing w:val="7"/>
        </w:rPr>
        <w:t>muer-  </w:t>
      </w:r>
      <w:r>
        <w:rPr>
          <w:color w:val="231F20"/>
          <w:spacing w:val="4"/>
        </w:rPr>
        <w:t>te, </w:t>
      </w:r>
      <w:r>
        <w:rPr>
          <w:color w:val="231F20"/>
          <w:spacing w:val="3"/>
        </w:rPr>
        <w:t>en </w:t>
      </w:r>
      <w:r>
        <w:rPr>
          <w:color w:val="231F20"/>
          <w:spacing w:val="5"/>
        </w:rPr>
        <w:t>una </w:t>
      </w:r>
      <w:r>
        <w:rPr>
          <w:color w:val="231F20"/>
          <w:spacing w:val="6"/>
        </w:rPr>
        <w:t>mescolanza </w:t>
      </w:r>
      <w:r>
        <w:rPr>
          <w:color w:val="231F20"/>
          <w:spacing w:val="5"/>
        </w:rPr>
        <w:t>casi </w:t>
      </w:r>
      <w:r>
        <w:rPr>
          <w:color w:val="231F20"/>
          <w:spacing w:val="6"/>
        </w:rPr>
        <w:t>espectral, </w:t>
      </w:r>
      <w:r>
        <w:rPr>
          <w:color w:val="231F20"/>
          <w:spacing w:val="5"/>
        </w:rPr>
        <w:t>estas dos </w:t>
      </w:r>
      <w:r>
        <w:rPr>
          <w:color w:val="231F20"/>
          <w:spacing w:val="6"/>
        </w:rPr>
        <w:t>especies </w:t>
      </w:r>
      <w:r>
        <w:rPr>
          <w:color w:val="231F20"/>
          <w:spacing w:val="3"/>
        </w:rPr>
        <w:t>de </w:t>
      </w:r>
      <w:r>
        <w:rPr>
          <w:color w:val="231F20"/>
          <w:spacing w:val="6"/>
        </w:rPr>
        <w:t>vio-</w:t>
      </w:r>
      <w:r>
        <w:rPr>
          <w:color w:val="231F20"/>
          <w:spacing w:val="64"/>
        </w:rPr>
        <w:t> </w:t>
      </w:r>
      <w:r>
        <w:rPr>
          <w:color w:val="231F20"/>
          <w:spacing w:val="5"/>
        </w:rPr>
        <w:t>lencia </w:t>
      </w:r>
      <w:r>
        <w:rPr>
          <w:color w:val="231F20"/>
          <w:spacing w:val="3"/>
        </w:rPr>
        <w:t>se </w:t>
      </w:r>
      <w:r>
        <w:rPr>
          <w:color w:val="231F20"/>
          <w:spacing w:val="5"/>
        </w:rPr>
        <w:t>hallan </w:t>
      </w:r>
      <w:r>
        <w:rPr>
          <w:color w:val="231F20"/>
          <w:spacing w:val="6"/>
        </w:rPr>
        <w:t>presentes </w:t>
      </w:r>
      <w:r>
        <w:rPr>
          <w:color w:val="231F20"/>
          <w:spacing w:val="3"/>
        </w:rPr>
        <w:t>en </w:t>
      </w:r>
      <w:r>
        <w:rPr>
          <w:color w:val="231F20"/>
          <w:spacing w:val="5"/>
        </w:rPr>
        <w:t>otra </w:t>
      </w:r>
      <w:r>
        <w:rPr>
          <w:color w:val="231F20"/>
          <w:spacing w:val="6"/>
        </w:rPr>
        <w:t>institución </w:t>
      </w:r>
      <w:r>
        <w:rPr>
          <w:color w:val="231F20"/>
          <w:spacing w:val="5"/>
        </w:rPr>
        <w:t>del </w:t>
      </w:r>
      <w:r>
        <w:rPr>
          <w:color w:val="231F20"/>
          <w:spacing w:val="6"/>
        </w:rPr>
        <w:t>Estado mo-</w:t>
      </w:r>
      <w:r>
        <w:rPr>
          <w:color w:val="231F20"/>
          <w:spacing w:val="64"/>
        </w:rPr>
        <w:t> </w:t>
      </w:r>
      <w:r>
        <w:rPr>
          <w:color w:val="231F20"/>
          <w:spacing w:val="6"/>
        </w:rPr>
        <w:t>derno: </w:t>
      </w:r>
      <w:r>
        <w:rPr>
          <w:color w:val="231F20"/>
          <w:spacing w:val="3"/>
        </w:rPr>
        <w:t>la </w:t>
      </w:r>
      <w:r>
        <w:rPr>
          <w:color w:val="231F20"/>
          <w:spacing w:val="6"/>
        </w:rPr>
        <w:t>policía. </w:t>
      </w:r>
      <w:r>
        <w:rPr>
          <w:color w:val="231F20"/>
          <w:spacing w:val="4"/>
        </w:rPr>
        <w:t>La </w:t>
      </w:r>
      <w:r>
        <w:rPr>
          <w:color w:val="231F20"/>
          <w:spacing w:val="5"/>
        </w:rPr>
        <w:t>policía </w:t>
      </w:r>
      <w:r>
        <w:rPr>
          <w:color w:val="231F20"/>
          <w:spacing w:val="3"/>
        </w:rPr>
        <w:t>es </w:t>
      </w:r>
      <w:r>
        <w:rPr>
          <w:color w:val="231F20"/>
          <w:spacing w:val="4"/>
        </w:rPr>
        <w:t>un </w:t>
      </w:r>
      <w:r>
        <w:rPr>
          <w:color w:val="231F20"/>
          <w:spacing w:val="6"/>
        </w:rPr>
        <w:t>poder </w:t>
      </w:r>
      <w:r>
        <w:rPr>
          <w:color w:val="231F20"/>
          <w:spacing w:val="5"/>
        </w:rPr>
        <w:t>con fines </w:t>
      </w:r>
      <w:r>
        <w:rPr>
          <w:color w:val="231F20"/>
          <w:spacing w:val="6"/>
        </w:rPr>
        <w:t>jurídicos. </w:t>
      </w:r>
      <w:r>
        <w:rPr>
          <w:color w:val="231F20"/>
          <w:spacing w:val="4"/>
        </w:rPr>
        <w:t>El </w:t>
      </w:r>
      <w:r>
        <w:rPr>
          <w:color w:val="231F20"/>
          <w:spacing w:val="6"/>
        </w:rPr>
        <w:t>aspecto ignominioso </w:t>
      </w:r>
      <w:r>
        <w:rPr>
          <w:color w:val="231F20"/>
          <w:spacing w:val="4"/>
        </w:rPr>
        <w:t>de </w:t>
      </w:r>
      <w:r>
        <w:rPr>
          <w:color w:val="231F20"/>
          <w:spacing w:val="5"/>
        </w:rPr>
        <w:t>esta </w:t>
      </w:r>
      <w:r>
        <w:rPr>
          <w:color w:val="231F20"/>
          <w:spacing w:val="6"/>
        </w:rPr>
        <w:t>autoridad, porque </w:t>
      </w:r>
      <w:r>
        <w:rPr>
          <w:color w:val="231F20"/>
          <w:spacing w:val="5"/>
        </w:rPr>
        <w:t>sus </w:t>
      </w:r>
      <w:r>
        <w:rPr>
          <w:color w:val="231F20"/>
          <w:spacing w:val="6"/>
        </w:rPr>
        <w:t>atribuciones </w:t>
      </w:r>
      <w:r>
        <w:rPr>
          <w:color w:val="231F20"/>
          <w:spacing w:val="3"/>
        </w:rPr>
        <w:t>en </w:t>
      </w:r>
      <w:r>
        <w:rPr>
          <w:color w:val="231F20"/>
          <w:spacing w:val="5"/>
        </w:rPr>
        <w:t>raros casos </w:t>
      </w:r>
      <w:r>
        <w:rPr>
          <w:color w:val="231F20"/>
          <w:spacing w:val="6"/>
        </w:rPr>
        <w:t>justifican </w:t>
      </w:r>
      <w:r>
        <w:rPr>
          <w:color w:val="231F20"/>
          <w:spacing w:val="4"/>
        </w:rPr>
        <w:t>las </w:t>
      </w:r>
      <w:r>
        <w:rPr>
          <w:color w:val="231F20"/>
          <w:spacing w:val="6"/>
        </w:rPr>
        <w:t>intervenciones </w:t>
      </w:r>
      <w:r>
        <w:rPr>
          <w:color w:val="231F20"/>
          <w:spacing w:val="5"/>
        </w:rPr>
        <w:t>más </w:t>
      </w:r>
      <w:r>
        <w:rPr>
          <w:color w:val="231F20"/>
          <w:spacing w:val="6"/>
        </w:rPr>
        <w:t>brutales, </w:t>
      </w:r>
      <w:r>
        <w:rPr>
          <w:color w:val="231F20"/>
          <w:spacing w:val="5"/>
        </w:rPr>
        <w:t>pue- den </w:t>
      </w:r>
      <w:r>
        <w:rPr>
          <w:color w:val="231F20"/>
          <w:spacing w:val="6"/>
        </w:rPr>
        <w:t>operar </w:t>
      </w:r>
      <w:r>
        <w:rPr>
          <w:color w:val="231F20"/>
          <w:spacing w:val="5"/>
        </w:rPr>
        <w:t>con tanta </w:t>
      </w:r>
      <w:r>
        <w:rPr>
          <w:color w:val="231F20"/>
          <w:spacing w:val="6"/>
        </w:rPr>
        <w:t>mayor ceguera </w:t>
      </w:r>
      <w:r>
        <w:rPr>
          <w:color w:val="231F20"/>
          <w:spacing w:val="3"/>
        </w:rPr>
        <w:t>en </w:t>
      </w:r>
      <w:r>
        <w:rPr>
          <w:color w:val="231F20"/>
          <w:spacing w:val="4"/>
        </w:rPr>
        <w:t>los </w:t>
      </w:r>
      <w:r>
        <w:rPr>
          <w:color w:val="231F20"/>
          <w:spacing w:val="6"/>
        </w:rPr>
        <w:t>sectores </w:t>
      </w:r>
      <w:r>
        <w:rPr>
          <w:color w:val="231F20"/>
          <w:spacing w:val="5"/>
        </w:rPr>
        <w:t>más inde- fensos </w:t>
      </w:r>
      <w:r>
        <w:rPr>
          <w:color w:val="231F20"/>
        </w:rPr>
        <w:t>y </w:t>
      </w:r>
      <w:r>
        <w:rPr>
          <w:color w:val="231F20"/>
          <w:spacing w:val="6"/>
        </w:rPr>
        <w:t>contra </w:t>
      </w:r>
      <w:r>
        <w:rPr>
          <w:color w:val="231F20"/>
          <w:spacing w:val="4"/>
        </w:rPr>
        <w:t>las </w:t>
      </w:r>
      <w:r>
        <w:rPr>
          <w:color w:val="231F20"/>
          <w:spacing w:val="6"/>
        </w:rPr>
        <w:t>personas sagaces </w:t>
      </w:r>
      <w:r>
        <w:rPr>
          <w:color w:val="231F20"/>
        </w:rPr>
        <w:t>a </w:t>
      </w:r>
      <w:r>
        <w:rPr>
          <w:color w:val="231F20"/>
          <w:spacing w:val="4"/>
        </w:rPr>
        <w:t>las </w:t>
      </w:r>
      <w:r>
        <w:rPr>
          <w:color w:val="231F20"/>
          <w:spacing w:val="5"/>
        </w:rPr>
        <w:t>que </w:t>
      </w:r>
      <w:r>
        <w:rPr>
          <w:color w:val="231F20"/>
          <w:spacing w:val="4"/>
        </w:rPr>
        <w:t>no </w:t>
      </w:r>
      <w:r>
        <w:rPr>
          <w:color w:val="231F20"/>
          <w:spacing w:val="6"/>
        </w:rPr>
        <w:t>protegen las </w:t>
      </w:r>
      <w:r>
        <w:rPr>
          <w:color w:val="231F20"/>
          <w:spacing w:val="5"/>
        </w:rPr>
        <w:t>leyes del </w:t>
      </w:r>
      <w:r>
        <w:rPr>
          <w:color w:val="231F20"/>
          <w:spacing w:val="6"/>
        </w:rPr>
        <w:t>Estado; consiste </w:t>
      </w:r>
      <w:r>
        <w:rPr>
          <w:color w:val="231F20"/>
          <w:spacing w:val="3"/>
        </w:rPr>
        <w:t>en </w:t>
      </w:r>
      <w:r>
        <w:rPr>
          <w:color w:val="231F20"/>
          <w:spacing w:val="5"/>
        </w:rPr>
        <w:t>que </w:t>
      </w:r>
      <w:r>
        <w:rPr>
          <w:color w:val="231F20"/>
          <w:spacing w:val="3"/>
        </w:rPr>
        <w:t>en </w:t>
      </w:r>
      <w:r>
        <w:rPr>
          <w:color w:val="231F20"/>
          <w:spacing w:val="4"/>
        </w:rPr>
        <w:t>ella </w:t>
      </w:r>
      <w:r>
        <w:rPr>
          <w:color w:val="231F20"/>
          <w:spacing w:val="3"/>
        </w:rPr>
        <w:t>se </w:t>
      </w:r>
      <w:r>
        <w:rPr>
          <w:color w:val="231F20"/>
          <w:spacing w:val="4"/>
        </w:rPr>
        <w:t>ha </w:t>
      </w:r>
      <w:r>
        <w:rPr>
          <w:color w:val="231F20"/>
          <w:spacing w:val="6"/>
        </w:rPr>
        <w:t>suprimido </w:t>
      </w:r>
      <w:r>
        <w:rPr>
          <w:color w:val="231F20"/>
          <w:spacing w:val="3"/>
        </w:rPr>
        <w:t>la </w:t>
      </w:r>
      <w:r>
        <w:rPr>
          <w:color w:val="231F20"/>
          <w:spacing w:val="6"/>
        </w:rPr>
        <w:t>división </w:t>
      </w:r>
      <w:r>
        <w:rPr>
          <w:color w:val="231F20"/>
          <w:spacing w:val="5"/>
        </w:rPr>
        <w:t>entre </w:t>
      </w:r>
      <w:r>
        <w:rPr>
          <w:color w:val="231F20"/>
          <w:spacing w:val="6"/>
        </w:rPr>
        <w:t>violencia </w:t>
      </w:r>
      <w:r>
        <w:rPr>
          <w:color w:val="231F20"/>
          <w:spacing w:val="5"/>
        </w:rPr>
        <w:t>que </w:t>
      </w:r>
      <w:r>
        <w:rPr>
          <w:color w:val="231F20"/>
          <w:spacing w:val="6"/>
        </w:rPr>
        <w:t>funda </w:t>
      </w:r>
      <w:r>
        <w:rPr>
          <w:color w:val="231F20"/>
        </w:rPr>
        <w:t>y </w:t>
      </w:r>
      <w:r>
        <w:rPr>
          <w:color w:val="231F20"/>
          <w:spacing w:val="6"/>
        </w:rPr>
        <w:t>violencia </w:t>
      </w:r>
      <w:r>
        <w:rPr>
          <w:color w:val="231F20"/>
          <w:spacing w:val="5"/>
        </w:rPr>
        <w:t>que </w:t>
      </w:r>
      <w:r>
        <w:rPr>
          <w:color w:val="231F20"/>
          <w:spacing w:val="6"/>
        </w:rPr>
        <w:t>conserva </w:t>
      </w:r>
      <w:r>
        <w:rPr>
          <w:color w:val="231F20"/>
          <w:spacing w:val="3"/>
        </w:rPr>
        <w:t>la</w:t>
      </w:r>
      <w:r>
        <w:rPr>
          <w:color w:val="231F20"/>
          <w:spacing w:val="58"/>
        </w:rPr>
        <w:t> </w:t>
      </w:r>
      <w:r>
        <w:rPr>
          <w:color w:val="231F20"/>
          <w:spacing w:val="4"/>
        </w:rPr>
        <w:t>ley</w:t>
      </w:r>
      <w:r>
        <w:rPr>
          <w:color w:val="231F20"/>
          <w:spacing w:val="-8"/>
        </w:rPr>
        <w:t> </w:t>
      </w:r>
      <w:r>
        <w:rPr>
          <w:color w:val="231F20"/>
          <w:spacing w:val="6"/>
        </w:rPr>
        <w:t>(Benjamin,</w:t>
      </w:r>
      <w:r>
        <w:rPr>
          <w:color w:val="231F20"/>
          <w:spacing w:val="-9"/>
        </w:rPr>
        <w:t> </w:t>
      </w:r>
      <w:r>
        <w:rPr>
          <w:color w:val="231F20"/>
          <w:spacing w:val="6"/>
        </w:rPr>
        <w:t>1995:</w:t>
      </w:r>
      <w:r>
        <w:rPr>
          <w:color w:val="231F20"/>
          <w:spacing w:val="-9"/>
        </w:rPr>
        <w:t> </w:t>
      </w:r>
      <w:r>
        <w:rPr>
          <w:color w:val="231F20"/>
          <w:spacing w:val="4"/>
        </w:rPr>
        <w:t>44</w:t>
      </w:r>
      <w:r>
        <w:rPr>
          <w:color w:val="231F20"/>
          <w:spacing w:val="-8"/>
        </w:rPr>
        <w:t> </w:t>
      </w:r>
      <w:r>
        <w:rPr>
          <w:color w:val="231F20"/>
        </w:rPr>
        <w:t>y</w:t>
      </w:r>
      <w:r>
        <w:rPr>
          <w:color w:val="231F20"/>
          <w:spacing w:val="-8"/>
        </w:rPr>
        <w:t> </w:t>
      </w:r>
      <w:r>
        <w:rPr>
          <w:color w:val="231F20"/>
          <w:spacing w:val="5"/>
        </w:rPr>
        <w:t>45).</w:t>
      </w:r>
    </w:p>
    <w:p>
      <w:pPr>
        <w:pStyle w:val="BodyText"/>
        <w:spacing w:line="247" w:lineRule="auto"/>
        <w:ind w:left="101" w:right="115" w:firstLine="284"/>
        <w:jc w:val="both"/>
      </w:pPr>
      <w:r>
        <w:rPr>
          <w:color w:val="231F20"/>
        </w:rPr>
        <w:t>Por</w:t>
      </w:r>
      <w:r>
        <w:rPr>
          <w:color w:val="231F20"/>
          <w:spacing w:val="-5"/>
        </w:rPr>
        <w:t> </w:t>
      </w:r>
      <w:r>
        <w:rPr>
          <w:color w:val="231F20"/>
        </w:rPr>
        <w:t>ello,</w:t>
      </w:r>
      <w:r>
        <w:rPr>
          <w:color w:val="231F20"/>
          <w:spacing w:val="-5"/>
        </w:rPr>
        <w:t> </w:t>
      </w:r>
      <w:r>
        <w:rPr>
          <w:color w:val="231F20"/>
        </w:rPr>
        <w:t>la</w:t>
      </w:r>
      <w:r>
        <w:rPr>
          <w:color w:val="231F20"/>
          <w:spacing w:val="-5"/>
        </w:rPr>
        <w:t> </w:t>
      </w:r>
      <w:r>
        <w:rPr>
          <w:color w:val="231F20"/>
        </w:rPr>
        <w:t>policía</w:t>
      </w:r>
      <w:r>
        <w:rPr>
          <w:color w:val="231F20"/>
          <w:spacing w:val="-5"/>
        </w:rPr>
        <w:t> </w:t>
      </w:r>
      <w:r>
        <w:rPr>
          <w:color w:val="231F20"/>
        </w:rPr>
        <w:t>interviene</w:t>
      </w:r>
      <w:r>
        <w:rPr>
          <w:color w:val="231F20"/>
          <w:spacing w:val="-5"/>
        </w:rPr>
        <w:t> </w:t>
      </w:r>
      <w:r>
        <w:rPr>
          <w:color w:val="231F20"/>
        </w:rPr>
        <w:t>“por</w:t>
      </w:r>
      <w:r>
        <w:rPr>
          <w:color w:val="231F20"/>
          <w:spacing w:val="-6"/>
        </w:rPr>
        <w:t> </w:t>
      </w:r>
      <w:r>
        <w:rPr>
          <w:color w:val="231F20"/>
        </w:rPr>
        <w:t>razones</w:t>
      </w:r>
      <w:r>
        <w:rPr>
          <w:color w:val="231F20"/>
          <w:spacing w:val="-5"/>
        </w:rPr>
        <w:t> </w:t>
      </w:r>
      <w:r>
        <w:rPr>
          <w:color w:val="231F20"/>
        </w:rPr>
        <w:t>de</w:t>
      </w:r>
      <w:r>
        <w:rPr>
          <w:color w:val="231F20"/>
          <w:spacing w:val="-5"/>
        </w:rPr>
        <w:t> </w:t>
      </w:r>
      <w:r>
        <w:rPr>
          <w:color w:val="231F20"/>
        </w:rPr>
        <w:t>seguridad”</w:t>
      </w:r>
      <w:r>
        <w:rPr>
          <w:color w:val="231F20"/>
          <w:spacing w:val="-5"/>
        </w:rPr>
        <w:t> </w:t>
      </w:r>
      <w:r>
        <w:rPr>
          <w:color w:val="231F20"/>
        </w:rPr>
        <w:t>en</w:t>
      </w:r>
      <w:r>
        <w:rPr>
          <w:color w:val="231F20"/>
          <w:spacing w:val="-4"/>
        </w:rPr>
        <w:t> </w:t>
      </w:r>
      <w:r>
        <w:rPr>
          <w:color w:val="231F20"/>
        </w:rPr>
        <w:t>casos innumerables en los que no subsiste una clara situación jurídica, in- terviene como una vejación brutal, sin relación alguna con fines jurí- dicos, que directamente no vigila a lo largo de una vida regulada por ordenanzas…</w:t>
      </w:r>
      <w:r>
        <w:rPr>
          <w:color w:val="231F20"/>
          <w:spacing w:val="-8"/>
        </w:rPr>
        <w:t> </w:t>
      </w:r>
      <w:r>
        <w:rPr>
          <w:color w:val="231F20"/>
        </w:rPr>
        <w:t>Y</w:t>
      </w:r>
      <w:r>
        <w:rPr>
          <w:color w:val="231F20"/>
          <w:spacing w:val="-9"/>
        </w:rPr>
        <w:t> </w:t>
      </w:r>
      <w:r>
        <w:rPr>
          <w:color w:val="231F20"/>
        </w:rPr>
        <w:t>si</w:t>
      </w:r>
      <w:r>
        <w:rPr>
          <w:color w:val="231F20"/>
          <w:spacing w:val="-11"/>
        </w:rPr>
        <w:t> </w:t>
      </w:r>
      <w:r>
        <w:rPr>
          <w:color w:val="231F20"/>
        </w:rPr>
        <w:t>bien</w:t>
      </w:r>
      <w:r>
        <w:rPr>
          <w:color w:val="231F20"/>
          <w:spacing w:val="-10"/>
        </w:rPr>
        <w:t> </w:t>
      </w:r>
      <w:r>
        <w:rPr>
          <w:color w:val="231F20"/>
        </w:rPr>
        <w:t>la</w:t>
      </w:r>
      <w:r>
        <w:rPr>
          <w:color w:val="231F20"/>
          <w:spacing w:val="-10"/>
        </w:rPr>
        <w:t> </w:t>
      </w:r>
      <w:r>
        <w:rPr>
          <w:color w:val="231F20"/>
        </w:rPr>
        <w:t>policía</w:t>
      </w:r>
      <w:r>
        <w:rPr>
          <w:color w:val="231F20"/>
          <w:spacing w:val="-10"/>
        </w:rPr>
        <w:t> </w:t>
      </w:r>
      <w:r>
        <w:rPr>
          <w:color w:val="231F20"/>
        </w:rPr>
        <w:t>se</w:t>
      </w:r>
      <w:r>
        <w:rPr>
          <w:color w:val="231F20"/>
          <w:spacing w:val="-10"/>
        </w:rPr>
        <w:t> </w:t>
      </w:r>
      <w:r>
        <w:rPr>
          <w:color w:val="231F20"/>
        </w:rPr>
        <w:t>parece</w:t>
      </w:r>
      <w:r>
        <w:rPr>
          <w:color w:val="231F20"/>
          <w:spacing w:val="-10"/>
        </w:rPr>
        <w:t> </w:t>
      </w:r>
      <w:r>
        <w:rPr>
          <w:color w:val="231F20"/>
        </w:rPr>
        <w:t>en</w:t>
      </w:r>
      <w:r>
        <w:rPr>
          <w:color w:val="231F20"/>
          <w:spacing w:val="-10"/>
        </w:rPr>
        <w:t> </w:t>
      </w:r>
      <w:r>
        <w:rPr>
          <w:color w:val="231F20"/>
        </w:rPr>
        <w:t>todos</w:t>
      </w:r>
      <w:r>
        <w:rPr>
          <w:color w:val="231F20"/>
          <w:spacing w:val="-10"/>
        </w:rPr>
        <w:t> </w:t>
      </w:r>
      <w:r>
        <w:rPr>
          <w:color w:val="231F20"/>
        </w:rPr>
        <w:t>lados</w:t>
      </w:r>
      <w:r>
        <w:rPr>
          <w:color w:val="231F20"/>
          <w:spacing w:val="-10"/>
        </w:rPr>
        <w:t> </w:t>
      </w:r>
      <w:r>
        <w:rPr>
          <w:color w:val="231F20"/>
        </w:rPr>
        <w:t>en</w:t>
      </w:r>
      <w:r>
        <w:rPr>
          <w:color w:val="231F20"/>
          <w:spacing w:val="-10"/>
        </w:rPr>
        <w:t> </w:t>
      </w:r>
      <w:r>
        <w:rPr>
          <w:color w:val="231F20"/>
        </w:rPr>
        <w:t>detalles, no se puede dejar de reconocer que su espíritu es menos destructivo allí donde encarna el poder del soberano (monarquía absoluta) en </w:t>
      </w:r>
      <w:r>
        <w:rPr>
          <w:color w:val="231F20"/>
          <w:spacing w:val="4"/>
        </w:rPr>
        <w:t> </w:t>
      </w:r>
      <w:r>
        <w:rPr>
          <w:color w:val="231F20"/>
        </w:rPr>
        <w:t>el</w:t>
      </w:r>
    </w:p>
    <w:p>
      <w:pPr>
        <w:spacing w:after="0" w:line="247" w:lineRule="auto"/>
        <w:jc w:val="both"/>
        <w:sectPr>
          <w:headerReference w:type="default" r:id="rId80"/>
          <w:footerReference w:type="default" r:id="rId81"/>
          <w:pgSz w:w="7830" w:h="11910"/>
          <w:pgMar w:header="0" w:footer="424" w:top="500" w:bottom="620" w:left="920" w:right="900"/>
          <w:pgNumType w:start="3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5"/>
        <w:jc w:val="both"/>
      </w:pPr>
      <w:r>
        <w:rPr>
          <w:color w:val="231F20"/>
        </w:rPr>
        <w:t>cuál</w:t>
      </w:r>
      <w:r>
        <w:rPr>
          <w:color w:val="231F20"/>
          <w:spacing w:val="-12"/>
        </w:rPr>
        <w:t> </w:t>
      </w:r>
      <w:r>
        <w:rPr>
          <w:color w:val="231F20"/>
        </w:rPr>
        <w:t>se</w:t>
      </w:r>
      <w:r>
        <w:rPr>
          <w:color w:val="231F20"/>
          <w:spacing w:val="-11"/>
        </w:rPr>
        <w:t> </w:t>
      </w:r>
      <w:r>
        <w:rPr>
          <w:color w:val="231F20"/>
        </w:rPr>
        <w:t>reúne</w:t>
      </w:r>
      <w:r>
        <w:rPr>
          <w:color w:val="231F20"/>
          <w:spacing w:val="-11"/>
        </w:rPr>
        <w:t> </w:t>
      </w:r>
      <w:r>
        <w:rPr>
          <w:color w:val="231F20"/>
        </w:rPr>
        <w:t>la</w:t>
      </w:r>
      <w:r>
        <w:rPr>
          <w:color w:val="231F20"/>
          <w:spacing w:val="-11"/>
        </w:rPr>
        <w:t> </w:t>
      </w:r>
      <w:r>
        <w:rPr>
          <w:color w:val="231F20"/>
        </w:rPr>
        <w:t>plenitud</w:t>
      </w:r>
      <w:r>
        <w:rPr>
          <w:color w:val="231F20"/>
          <w:spacing w:val="-11"/>
        </w:rPr>
        <w:t> </w:t>
      </w:r>
      <w:r>
        <w:rPr>
          <w:color w:val="231F20"/>
        </w:rPr>
        <w:t>del</w:t>
      </w:r>
      <w:r>
        <w:rPr>
          <w:color w:val="231F20"/>
          <w:spacing w:val="-12"/>
        </w:rPr>
        <w:t> </w:t>
      </w:r>
      <w:r>
        <w:rPr>
          <w:color w:val="231F20"/>
        </w:rPr>
        <w:t>poder</w:t>
      </w:r>
      <w:r>
        <w:rPr>
          <w:color w:val="231F20"/>
          <w:spacing w:val="-11"/>
        </w:rPr>
        <w:t> </w:t>
      </w:r>
      <w:r>
        <w:rPr>
          <w:color w:val="231F20"/>
        </w:rPr>
        <w:t>legislativo</w:t>
      </w:r>
      <w:r>
        <w:rPr>
          <w:color w:val="231F20"/>
          <w:spacing w:val="-11"/>
        </w:rPr>
        <w:t> </w:t>
      </w:r>
      <w:r>
        <w:rPr>
          <w:color w:val="231F20"/>
        </w:rPr>
        <w:t>y</w:t>
      </w:r>
      <w:r>
        <w:rPr>
          <w:color w:val="231F20"/>
          <w:spacing w:val="-11"/>
        </w:rPr>
        <w:t> </w:t>
      </w:r>
      <w:r>
        <w:rPr>
          <w:color w:val="231F20"/>
        </w:rPr>
        <w:t>ejecutivo,</w:t>
      </w:r>
      <w:r>
        <w:rPr>
          <w:color w:val="231F20"/>
          <w:spacing w:val="-12"/>
        </w:rPr>
        <w:t> </w:t>
      </w:r>
      <w:r>
        <w:rPr>
          <w:color w:val="231F20"/>
        </w:rPr>
        <w:t>a</w:t>
      </w:r>
      <w:r>
        <w:rPr>
          <w:color w:val="231F20"/>
          <w:spacing w:val="-11"/>
        </w:rPr>
        <w:t> </w:t>
      </w:r>
      <w:r>
        <w:rPr>
          <w:color w:val="231F20"/>
        </w:rPr>
        <w:t>diferencia de las democracias, donde su presencia, no enaltecida por una rela- ción de esa índole, testimonia la máxima degeneración posible de la </w:t>
      </w:r>
      <w:r>
        <w:rPr>
          <w:color w:val="231F20"/>
          <w:w w:val="95"/>
        </w:rPr>
        <w:t>violencia (Benjamin, 1995: 46y</w:t>
      </w:r>
      <w:r>
        <w:rPr>
          <w:color w:val="231F20"/>
          <w:spacing w:val="-9"/>
          <w:w w:val="95"/>
        </w:rPr>
        <w:t> </w:t>
      </w:r>
      <w:r>
        <w:rPr>
          <w:color w:val="231F20"/>
          <w:w w:val="95"/>
        </w:rPr>
        <w:t>47).</w:t>
      </w:r>
    </w:p>
    <w:p>
      <w:pPr>
        <w:pStyle w:val="BodyText"/>
        <w:spacing w:line="249" w:lineRule="auto" w:before="1"/>
        <w:ind w:left="102" w:right="113" w:firstLine="284"/>
        <w:jc w:val="both"/>
      </w:pPr>
      <w:r>
        <w:rPr>
          <w:color w:val="231F20"/>
          <w:spacing w:val="2"/>
        </w:rPr>
        <w:t>Toda violencia </w:t>
      </w:r>
      <w:r>
        <w:rPr>
          <w:color w:val="231F20"/>
        </w:rPr>
        <w:t>es, </w:t>
      </w:r>
      <w:r>
        <w:rPr>
          <w:color w:val="231F20"/>
          <w:spacing w:val="3"/>
        </w:rPr>
        <w:t>como </w:t>
      </w:r>
      <w:r>
        <w:rPr>
          <w:color w:val="231F20"/>
          <w:spacing w:val="2"/>
        </w:rPr>
        <w:t>medio, poder que funda </w:t>
      </w:r>
      <w:r>
        <w:rPr>
          <w:color w:val="231F20"/>
        </w:rPr>
        <w:t>y </w:t>
      </w:r>
      <w:r>
        <w:rPr>
          <w:color w:val="231F20"/>
          <w:spacing w:val="2"/>
        </w:rPr>
        <w:t>conserva </w:t>
      </w:r>
      <w:r>
        <w:rPr>
          <w:color w:val="231F20"/>
        </w:rPr>
        <w:t>el </w:t>
      </w:r>
      <w:r>
        <w:rPr>
          <w:color w:val="231F20"/>
          <w:spacing w:val="3"/>
        </w:rPr>
        <w:t>derecho. </w:t>
      </w:r>
      <w:r>
        <w:rPr>
          <w:color w:val="231F20"/>
        </w:rPr>
        <w:t>Si no </w:t>
      </w:r>
      <w:r>
        <w:rPr>
          <w:color w:val="231F20"/>
          <w:spacing w:val="2"/>
        </w:rPr>
        <w:t>aspira </w:t>
      </w:r>
      <w:r>
        <w:rPr>
          <w:color w:val="231F20"/>
        </w:rPr>
        <w:t>a </w:t>
      </w:r>
      <w:r>
        <w:rPr>
          <w:color w:val="231F20"/>
          <w:spacing w:val="2"/>
        </w:rPr>
        <w:t>ninguno </w:t>
      </w:r>
      <w:r>
        <w:rPr>
          <w:color w:val="231F20"/>
        </w:rPr>
        <w:t>de </w:t>
      </w:r>
      <w:r>
        <w:rPr>
          <w:color w:val="231F20"/>
          <w:spacing w:val="2"/>
        </w:rPr>
        <w:t>estos dos atributos, renuncia  por </w:t>
      </w:r>
      <w:r>
        <w:rPr>
          <w:color w:val="231F20"/>
        </w:rPr>
        <w:t>sí </w:t>
      </w:r>
      <w:r>
        <w:rPr>
          <w:color w:val="231F20"/>
          <w:spacing w:val="3"/>
        </w:rPr>
        <w:t>misma </w:t>
      </w:r>
      <w:r>
        <w:rPr>
          <w:color w:val="231F20"/>
        </w:rPr>
        <w:t>a </w:t>
      </w:r>
      <w:r>
        <w:rPr>
          <w:color w:val="231F20"/>
          <w:spacing w:val="2"/>
        </w:rPr>
        <w:t>toda validez. Pero </w:t>
      </w:r>
      <w:r>
        <w:rPr>
          <w:color w:val="231F20"/>
        </w:rPr>
        <w:t>de ello se </w:t>
      </w:r>
      <w:r>
        <w:rPr>
          <w:color w:val="231F20"/>
          <w:spacing w:val="2"/>
        </w:rPr>
        <w:t>desprende </w:t>
      </w:r>
      <w:r>
        <w:rPr>
          <w:color w:val="231F20"/>
        </w:rPr>
        <w:t>que </w:t>
      </w:r>
      <w:r>
        <w:rPr>
          <w:color w:val="231F20"/>
          <w:spacing w:val="2"/>
        </w:rPr>
        <w:t>toda</w:t>
      </w:r>
      <w:r>
        <w:rPr>
          <w:color w:val="231F20"/>
          <w:spacing w:val="56"/>
        </w:rPr>
        <w:t> </w:t>
      </w:r>
      <w:r>
        <w:rPr>
          <w:color w:val="231F20"/>
          <w:spacing w:val="2"/>
        </w:rPr>
        <w:t>violencia </w:t>
      </w:r>
      <w:r>
        <w:rPr>
          <w:color w:val="231F20"/>
          <w:spacing w:val="3"/>
        </w:rPr>
        <w:t>como </w:t>
      </w:r>
      <w:r>
        <w:rPr>
          <w:color w:val="231F20"/>
          <w:spacing w:val="2"/>
        </w:rPr>
        <w:t>medio </w:t>
      </w:r>
      <w:r>
        <w:rPr>
          <w:color w:val="231F20"/>
        </w:rPr>
        <w:t>se </w:t>
      </w:r>
      <w:r>
        <w:rPr>
          <w:color w:val="231F20"/>
          <w:spacing w:val="2"/>
        </w:rPr>
        <w:t>halla </w:t>
      </w:r>
      <w:r>
        <w:rPr>
          <w:color w:val="231F20"/>
          <w:spacing w:val="3"/>
        </w:rPr>
        <w:t>sometida </w:t>
      </w:r>
      <w:r>
        <w:rPr>
          <w:color w:val="231F20"/>
        </w:rPr>
        <w:t>a la </w:t>
      </w:r>
      <w:r>
        <w:rPr>
          <w:color w:val="231F20"/>
          <w:spacing w:val="3"/>
        </w:rPr>
        <w:t>problematicidad del </w:t>
      </w:r>
      <w:r>
        <w:rPr>
          <w:color w:val="231F20"/>
          <w:spacing w:val="2"/>
        </w:rPr>
        <w:t>derecho </w:t>
      </w:r>
      <w:r>
        <w:rPr>
          <w:color w:val="231F20"/>
        </w:rPr>
        <w:t>en </w:t>
      </w:r>
      <w:r>
        <w:rPr>
          <w:color w:val="231F20"/>
          <w:spacing w:val="2"/>
        </w:rPr>
        <w:t>general. Así, </w:t>
      </w:r>
      <w:r>
        <w:rPr>
          <w:color w:val="231F20"/>
        </w:rPr>
        <w:t>se </w:t>
      </w:r>
      <w:r>
        <w:rPr>
          <w:color w:val="231F20"/>
          <w:spacing w:val="2"/>
        </w:rPr>
        <w:t>plantea </w:t>
      </w:r>
      <w:r>
        <w:rPr>
          <w:color w:val="231F20"/>
        </w:rPr>
        <w:t>la </w:t>
      </w:r>
      <w:r>
        <w:rPr>
          <w:color w:val="231F20"/>
          <w:spacing w:val="3"/>
        </w:rPr>
        <w:t>pregunta </w:t>
      </w:r>
      <w:r>
        <w:rPr>
          <w:color w:val="231F20"/>
        </w:rPr>
        <w:t>de si no </w:t>
      </w:r>
      <w:r>
        <w:rPr>
          <w:color w:val="231F20"/>
          <w:spacing w:val="2"/>
        </w:rPr>
        <w:t>existirán otros medios que </w:t>
      </w:r>
      <w:r>
        <w:rPr>
          <w:color w:val="231F20"/>
        </w:rPr>
        <w:t>no </w:t>
      </w:r>
      <w:r>
        <w:rPr>
          <w:color w:val="231F20"/>
          <w:spacing w:val="2"/>
        </w:rPr>
        <w:t>sean los violentos para </w:t>
      </w:r>
      <w:r>
        <w:rPr>
          <w:color w:val="231F20"/>
          <w:spacing w:val="3"/>
        </w:rPr>
        <w:t>armonizar </w:t>
      </w:r>
      <w:r>
        <w:rPr>
          <w:color w:val="231F20"/>
          <w:spacing w:val="2"/>
        </w:rPr>
        <w:t>intereses </w:t>
      </w:r>
      <w:r>
        <w:rPr>
          <w:color w:val="231F20"/>
          <w:spacing w:val="3"/>
        </w:rPr>
        <w:t>humanos </w:t>
      </w:r>
      <w:r>
        <w:rPr>
          <w:color w:val="231F20"/>
        </w:rPr>
        <w:t>en </w:t>
      </w:r>
      <w:r>
        <w:rPr>
          <w:color w:val="231F20"/>
          <w:spacing w:val="2"/>
        </w:rPr>
        <w:t>conflicto. Tal pregunta </w:t>
      </w:r>
      <w:r>
        <w:rPr>
          <w:color w:val="231F20"/>
        </w:rPr>
        <w:t>lleva en </w:t>
      </w:r>
      <w:r>
        <w:rPr>
          <w:color w:val="231F20"/>
          <w:spacing w:val="2"/>
        </w:rPr>
        <w:t>principio </w:t>
      </w:r>
      <w:r>
        <w:rPr>
          <w:color w:val="231F20"/>
        </w:rPr>
        <w:t>a </w:t>
      </w:r>
      <w:r>
        <w:rPr>
          <w:color w:val="231F20"/>
          <w:spacing w:val="3"/>
        </w:rPr>
        <w:t>compro- </w:t>
      </w:r>
      <w:r>
        <w:rPr>
          <w:color w:val="231F20"/>
          <w:spacing w:val="2"/>
        </w:rPr>
        <w:t>bar </w:t>
      </w:r>
      <w:r>
        <w:rPr>
          <w:color w:val="231F20"/>
        </w:rPr>
        <w:t>que un </w:t>
      </w:r>
      <w:r>
        <w:rPr>
          <w:color w:val="231F20"/>
          <w:spacing w:val="2"/>
        </w:rPr>
        <w:t>reglamento </w:t>
      </w:r>
      <w:r>
        <w:rPr>
          <w:color w:val="231F20"/>
        </w:rPr>
        <w:t>de </w:t>
      </w:r>
      <w:r>
        <w:rPr>
          <w:color w:val="231F20"/>
          <w:spacing w:val="2"/>
        </w:rPr>
        <w:t>conflictos </w:t>
      </w:r>
      <w:r>
        <w:rPr>
          <w:color w:val="231F20"/>
          <w:spacing w:val="3"/>
        </w:rPr>
        <w:t>totalmente </w:t>
      </w:r>
      <w:r>
        <w:rPr>
          <w:color w:val="231F20"/>
          <w:spacing w:val="2"/>
        </w:rPr>
        <w:t>desprovisto </w:t>
      </w:r>
      <w:r>
        <w:rPr>
          <w:color w:val="231F20"/>
        </w:rPr>
        <w:t>de </w:t>
      </w:r>
      <w:r>
        <w:rPr>
          <w:color w:val="231F20"/>
          <w:spacing w:val="2"/>
        </w:rPr>
        <w:t>violencia </w:t>
      </w:r>
      <w:r>
        <w:rPr>
          <w:color w:val="231F20"/>
        </w:rPr>
        <w:t>no </w:t>
      </w:r>
      <w:r>
        <w:rPr>
          <w:color w:val="231F20"/>
          <w:spacing w:val="2"/>
        </w:rPr>
        <w:t>puede nunca </w:t>
      </w:r>
      <w:r>
        <w:rPr>
          <w:color w:val="231F20"/>
          <w:spacing w:val="3"/>
        </w:rPr>
        <w:t>desembocar </w:t>
      </w:r>
      <w:r>
        <w:rPr>
          <w:color w:val="231F20"/>
        </w:rPr>
        <w:t>en un </w:t>
      </w:r>
      <w:r>
        <w:rPr>
          <w:color w:val="231F20"/>
          <w:spacing w:val="2"/>
        </w:rPr>
        <w:t>contrato jurídico, porque este, aunque </w:t>
      </w:r>
      <w:r>
        <w:rPr>
          <w:color w:val="231F20"/>
        </w:rPr>
        <w:t>las </w:t>
      </w:r>
      <w:r>
        <w:rPr>
          <w:color w:val="231F20"/>
          <w:spacing w:val="2"/>
        </w:rPr>
        <w:t>partes </w:t>
      </w:r>
      <w:r>
        <w:rPr>
          <w:color w:val="231F20"/>
          <w:spacing w:val="3"/>
        </w:rPr>
        <w:t>contratantes </w:t>
      </w:r>
      <w:r>
        <w:rPr>
          <w:color w:val="231F20"/>
          <w:spacing w:val="2"/>
        </w:rPr>
        <w:t>hayan llegado </w:t>
      </w:r>
      <w:r>
        <w:rPr>
          <w:color w:val="231F20"/>
          <w:spacing w:val="3"/>
        </w:rPr>
        <w:t>al </w:t>
      </w:r>
      <w:r>
        <w:rPr>
          <w:color w:val="231F20"/>
          <w:spacing w:val="2"/>
        </w:rPr>
        <w:t>acuerdo </w:t>
      </w:r>
      <w:r>
        <w:rPr>
          <w:color w:val="231F20"/>
        </w:rPr>
        <w:t>en </w:t>
      </w:r>
      <w:r>
        <w:rPr>
          <w:color w:val="231F20"/>
          <w:spacing w:val="3"/>
        </w:rPr>
        <w:t>forma </w:t>
      </w:r>
      <w:r>
        <w:rPr>
          <w:color w:val="231F20"/>
          <w:spacing w:val="2"/>
        </w:rPr>
        <w:t>pacífica, </w:t>
      </w:r>
      <w:r>
        <w:rPr>
          <w:color w:val="231F20"/>
          <w:spacing w:val="3"/>
        </w:rPr>
        <w:t>conduce </w:t>
      </w:r>
      <w:r>
        <w:rPr>
          <w:color w:val="231F20"/>
          <w:spacing w:val="2"/>
        </w:rPr>
        <w:t>siempre </w:t>
      </w:r>
      <w:r>
        <w:rPr>
          <w:color w:val="231F20"/>
        </w:rPr>
        <w:t>en </w:t>
      </w:r>
      <w:r>
        <w:rPr>
          <w:color w:val="231F20"/>
          <w:spacing w:val="2"/>
        </w:rPr>
        <w:t>última instancia </w:t>
      </w:r>
      <w:r>
        <w:rPr>
          <w:color w:val="231F20"/>
        </w:rPr>
        <w:t>a </w:t>
      </w:r>
      <w:r>
        <w:rPr>
          <w:color w:val="231F20"/>
          <w:spacing w:val="2"/>
        </w:rPr>
        <w:t>una posible violencia. Pues concede </w:t>
      </w:r>
      <w:r>
        <w:rPr>
          <w:color w:val="231F20"/>
        </w:rPr>
        <w:t>a </w:t>
      </w:r>
      <w:r>
        <w:rPr>
          <w:color w:val="231F20"/>
          <w:spacing w:val="2"/>
        </w:rPr>
        <w:t>cada parte </w:t>
      </w:r>
      <w:r>
        <w:rPr>
          <w:color w:val="231F20"/>
        </w:rPr>
        <w:t>el </w:t>
      </w:r>
      <w:r>
        <w:rPr>
          <w:color w:val="231F20"/>
          <w:spacing w:val="2"/>
        </w:rPr>
        <w:t>derecho </w:t>
      </w:r>
      <w:r>
        <w:rPr>
          <w:color w:val="231F20"/>
        </w:rPr>
        <w:t>de </w:t>
      </w:r>
      <w:r>
        <w:rPr>
          <w:color w:val="231F20"/>
          <w:spacing w:val="2"/>
        </w:rPr>
        <w:t>recurrir, </w:t>
      </w:r>
      <w:r>
        <w:rPr>
          <w:color w:val="231F20"/>
        </w:rPr>
        <w:t>de </w:t>
      </w:r>
      <w:r>
        <w:rPr>
          <w:color w:val="231F20"/>
          <w:spacing w:val="2"/>
        </w:rPr>
        <w:t>algún </w:t>
      </w:r>
      <w:r>
        <w:rPr>
          <w:color w:val="231F20"/>
          <w:spacing w:val="3"/>
        </w:rPr>
        <w:t>modo, </w:t>
      </w:r>
      <w:r>
        <w:rPr>
          <w:color w:val="231F20"/>
        </w:rPr>
        <w:t>a la </w:t>
      </w:r>
      <w:r>
        <w:rPr>
          <w:color w:val="231F20"/>
          <w:spacing w:val="2"/>
        </w:rPr>
        <w:t>violencia contra </w:t>
      </w:r>
      <w:r>
        <w:rPr>
          <w:color w:val="231F20"/>
        </w:rPr>
        <w:t>la </w:t>
      </w:r>
      <w:r>
        <w:rPr>
          <w:color w:val="231F20"/>
          <w:spacing w:val="2"/>
        </w:rPr>
        <w:t>otra, </w:t>
      </w:r>
      <w:r>
        <w:rPr>
          <w:color w:val="231F20"/>
        </w:rPr>
        <w:t>en </w:t>
      </w:r>
      <w:r>
        <w:rPr>
          <w:color w:val="231F20"/>
          <w:spacing w:val="2"/>
        </w:rPr>
        <w:t>caso </w:t>
      </w:r>
      <w:r>
        <w:rPr>
          <w:color w:val="231F20"/>
        </w:rPr>
        <w:t>de que </w:t>
      </w:r>
      <w:r>
        <w:rPr>
          <w:color w:val="231F20"/>
          <w:spacing w:val="2"/>
        </w:rPr>
        <w:t>esta violase </w:t>
      </w:r>
      <w:r>
        <w:rPr>
          <w:color w:val="231F20"/>
        </w:rPr>
        <w:t>el </w:t>
      </w:r>
      <w:r>
        <w:rPr>
          <w:color w:val="231F20"/>
          <w:spacing w:val="3"/>
        </w:rPr>
        <w:t>contrato. </w:t>
      </w:r>
      <w:r>
        <w:rPr>
          <w:color w:val="231F20"/>
          <w:spacing w:val="2"/>
        </w:rPr>
        <w:t>Aún más, </w:t>
      </w:r>
      <w:r>
        <w:rPr>
          <w:color w:val="231F20"/>
        </w:rPr>
        <w:t>al </w:t>
      </w:r>
      <w:r>
        <w:rPr>
          <w:color w:val="231F20"/>
          <w:spacing w:val="2"/>
        </w:rPr>
        <w:t>igual </w:t>
      </w:r>
      <w:r>
        <w:rPr>
          <w:color w:val="231F20"/>
        </w:rPr>
        <w:t>que el </w:t>
      </w:r>
      <w:r>
        <w:rPr>
          <w:color w:val="231F20"/>
          <w:spacing w:val="2"/>
        </w:rPr>
        <w:t>resultado, también </w:t>
      </w:r>
      <w:r>
        <w:rPr>
          <w:color w:val="231F20"/>
        </w:rPr>
        <w:t>el </w:t>
      </w:r>
      <w:r>
        <w:rPr>
          <w:color w:val="231F20"/>
          <w:spacing w:val="2"/>
        </w:rPr>
        <w:t>origen </w:t>
      </w:r>
      <w:r>
        <w:rPr>
          <w:color w:val="231F20"/>
        </w:rPr>
        <w:t>de </w:t>
      </w:r>
      <w:r>
        <w:rPr>
          <w:color w:val="231F20"/>
          <w:spacing w:val="2"/>
        </w:rPr>
        <w:t>todo contrato </w:t>
      </w:r>
      <w:r>
        <w:rPr>
          <w:color w:val="231F20"/>
          <w:spacing w:val="3"/>
        </w:rPr>
        <w:t>conduce </w:t>
      </w:r>
      <w:r>
        <w:rPr>
          <w:color w:val="231F20"/>
        </w:rPr>
        <w:t>a la  </w:t>
      </w:r>
      <w:r>
        <w:rPr>
          <w:color w:val="231F20"/>
          <w:spacing w:val="2"/>
        </w:rPr>
        <w:t>violencia.  </w:t>
      </w:r>
      <w:r>
        <w:rPr>
          <w:color w:val="231F20"/>
        </w:rPr>
        <w:t>El </w:t>
      </w:r>
      <w:r>
        <w:rPr>
          <w:color w:val="231F20"/>
          <w:spacing w:val="2"/>
        </w:rPr>
        <w:t>poder </w:t>
      </w:r>
      <w:r>
        <w:rPr>
          <w:color w:val="231F20"/>
        </w:rPr>
        <w:t>que </w:t>
      </w:r>
      <w:r>
        <w:rPr>
          <w:color w:val="231F20"/>
          <w:spacing w:val="2"/>
        </w:rPr>
        <w:t>garantiza </w:t>
      </w:r>
      <w:r>
        <w:rPr>
          <w:color w:val="231F20"/>
        </w:rPr>
        <w:t>el </w:t>
      </w:r>
      <w:r>
        <w:rPr>
          <w:color w:val="231F20"/>
          <w:spacing w:val="2"/>
        </w:rPr>
        <w:t>contrato </w:t>
      </w:r>
      <w:r>
        <w:rPr>
          <w:color w:val="231F20"/>
        </w:rPr>
        <w:t>es a su vez de </w:t>
      </w:r>
      <w:r>
        <w:rPr>
          <w:color w:val="231F20"/>
          <w:spacing w:val="2"/>
        </w:rPr>
        <w:t>origen violento </w:t>
      </w:r>
      <w:r>
        <w:rPr>
          <w:color w:val="231F20"/>
          <w:spacing w:val="3"/>
        </w:rPr>
        <w:t>(Benjamin,</w:t>
      </w:r>
      <w:r>
        <w:rPr>
          <w:color w:val="231F20"/>
          <w:spacing w:val="-25"/>
        </w:rPr>
        <w:t> </w:t>
      </w:r>
      <w:r>
        <w:rPr>
          <w:color w:val="231F20"/>
          <w:spacing w:val="2"/>
        </w:rPr>
        <w:t>1995:</w:t>
      </w:r>
      <w:r>
        <w:rPr>
          <w:color w:val="231F20"/>
          <w:spacing w:val="-25"/>
        </w:rPr>
        <w:t> </w:t>
      </w:r>
      <w:r>
        <w:rPr>
          <w:color w:val="231F20"/>
        </w:rPr>
        <w:t>47</w:t>
      </w:r>
      <w:r>
        <w:rPr>
          <w:color w:val="231F20"/>
          <w:spacing w:val="-24"/>
        </w:rPr>
        <w:t> </w:t>
      </w:r>
      <w:r>
        <w:rPr>
          <w:color w:val="231F20"/>
          <w:spacing w:val="2"/>
        </w:rPr>
        <w:t>y48).</w:t>
      </w:r>
    </w:p>
    <w:p>
      <w:pPr>
        <w:pStyle w:val="BodyText"/>
        <w:spacing w:line="247" w:lineRule="auto"/>
        <w:ind w:left="102" w:right="115" w:firstLine="283"/>
        <w:jc w:val="both"/>
      </w:pPr>
      <w:r>
        <w:rPr>
          <w:color w:val="231F20"/>
        </w:rPr>
        <w:t>Los parlamentos presentan un notorio y triste espectáculo porque no han conservado la conciencia de sus fuerzas revolucio- narias a las que deben su existencia. Si bien repudian la violencia abierta, todo compromiso aun cuando lo acepten libremente tiene esencialmente un carácter coactivo. Porque el parlamentarismo no puede ser más que aquellos ordenamientos jurídicos afectados por la violencia en su origen y en su desenlace (Benjamin, 1995: 49).</w:t>
      </w:r>
    </w:p>
    <w:p>
      <w:pPr>
        <w:pStyle w:val="BodyText"/>
        <w:spacing w:line="249" w:lineRule="auto" w:before="1"/>
        <w:ind w:left="102" w:right="115" w:firstLine="284"/>
        <w:jc w:val="both"/>
      </w:pPr>
      <w:r>
        <w:rPr>
          <w:color w:val="231F20"/>
        </w:rPr>
        <w:t>Si el </w:t>
      </w:r>
      <w:r>
        <w:rPr>
          <w:color w:val="231F20"/>
          <w:spacing w:val="3"/>
        </w:rPr>
        <w:t>ordenamiento </w:t>
      </w:r>
      <w:r>
        <w:rPr>
          <w:color w:val="231F20"/>
          <w:spacing w:val="2"/>
        </w:rPr>
        <w:t>jurídico </w:t>
      </w:r>
      <w:r>
        <w:rPr>
          <w:color w:val="231F20"/>
        </w:rPr>
        <w:t>en sus </w:t>
      </w:r>
      <w:r>
        <w:rPr>
          <w:color w:val="231F20"/>
          <w:spacing w:val="2"/>
        </w:rPr>
        <w:t>orígenes, confiando </w:t>
      </w:r>
      <w:r>
        <w:rPr>
          <w:color w:val="231F20"/>
        </w:rPr>
        <w:t>en su </w:t>
      </w:r>
      <w:r>
        <w:rPr>
          <w:color w:val="231F20"/>
          <w:spacing w:val="2"/>
        </w:rPr>
        <w:t>potencia victoriosa, </w:t>
      </w:r>
      <w:r>
        <w:rPr>
          <w:color w:val="231F20"/>
        </w:rPr>
        <w:t>se </w:t>
      </w:r>
      <w:r>
        <w:rPr>
          <w:color w:val="231F20"/>
          <w:spacing w:val="2"/>
        </w:rPr>
        <w:t>limita </w:t>
      </w:r>
      <w:r>
        <w:rPr>
          <w:color w:val="231F20"/>
        </w:rPr>
        <w:t>a </w:t>
      </w:r>
      <w:r>
        <w:rPr>
          <w:color w:val="231F20"/>
          <w:spacing w:val="2"/>
        </w:rPr>
        <w:t>rechazar </w:t>
      </w:r>
      <w:r>
        <w:rPr>
          <w:color w:val="231F20"/>
        </w:rPr>
        <w:t>la </w:t>
      </w:r>
      <w:r>
        <w:rPr>
          <w:color w:val="231F20"/>
          <w:spacing w:val="2"/>
        </w:rPr>
        <w:t>violencia ilegal </w:t>
      </w:r>
      <w:r>
        <w:rPr>
          <w:color w:val="231F20"/>
          <w:spacing w:val="3"/>
        </w:rPr>
        <w:t>donde </w:t>
      </w:r>
      <w:r>
        <w:rPr>
          <w:color w:val="231F20"/>
        </w:rPr>
        <w:t>y </w:t>
      </w:r>
      <w:r>
        <w:rPr>
          <w:color w:val="231F20"/>
          <w:spacing w:val="3"/>
        </w:rPr>
        <w:t>cuando </w:t>
      </w:r>
      <w:r>
        <w:rPr>
          <w:color w:val="231F20"/>
        </w:rPr>
        <w:t>se </w:t>
      </w:r>
      <w:r>
        <w:rPr>
          <w:color w:val="231F20"/>
          <w:spacing w:val="2"/>
        </w:rPr>
        <w:t>presente, </w:t>
      </w:r>
      <w:r>
        <w:rPr>
          <w:color w:val="231F20"/>
        </w:rPr>
        <w:t>el </w:t>
      </w:r>
      <w:r>
        <w:rPr>
          <w:color w:val="231F20"/>
          <w:spacing w:val="3"/>
        </w:rPr>
        <w:t>engaño, </w:t>
      </w:r>
      <w:r>
        <w:rPr>
          <w:color w:val="231F20"/>
          <w:spacing w:val="2"/>
        </w:rPr>
        <w:t>por </w:t>
      </w:r>
      <w:r>
        <w:rPr>
          <w:color w:val="231F20"/>
        </w:rPr>
        <w:t>no </w:t>
      </w:r>
      <w:r>
        <w:rPr>
          <w:color w:val="231F20"/>
          <w:spacing w:val="2"/>
        </w:rPr>
        <w:t>tener </w:t>
      </w:r>
      <w:r>
        <w:rPr>
          <w:color w:val="231F20"/>
        </w:rPr>
        <w:t>en sí </w:t>
      </w:r>
      <w:r>
        <w:rPr>
          <w:color w:val="231F20"/>
          <w:spacing w:val="2"/>
        </w:rPr>
        <w:t>nada </w:t>
      </w:r>
      <w:r>
        <w:rPr>
          <w:color w:val="231F20"/>
        </w:rPr>
        <w:t>de </w:t>
      </w:r>
      <w:r>
        <w:rPr>
          <w:color w:val="231F20"/>
          <w:spacing w:val="3"/>
        </w:rPr>
        <w:t>violen-</w:t>
      </w:r>
      <w:r>
        <w:rPr>
          <w:color w:val="231F20"/>
          <w:spacing w:val="58"/>
        </w:rPr>
        <w:t> </w:t>
      </w:r>
      <w:r>
        <w:rPr>
          <w:color w:val="231F20"/>
          <w:spacing w:val="2"/>
        </w:rPr>
        <w:t>to, puesto que </w:t>
      </w:r>
      <w:r>
        <w:rPr>
          <w:color w:val="231F20"/>
        </w:rPr>
        <w:t>la </w:t>
      </w:r>
      <w:r>
        <w:rPr>
          <w:color w:val="231F20"/>
          <w:spacing w:val="2"/>
        </w:rPr>
        <w:t>mentira </w:t>
      </w:r>
      <w:r>
        <w:rPr>
          <w:color w:val="231F20"/>
        </w:rPr>
        <w:t>no es </w:t>
      </w:r>
      <w:r>
        <w:rPr>
          <w:color w:val="231F20"/>
          <w:spacing w:val="2"/>
        </w:rPr>
        <w:t>sancionada, </w:t>
      </w:r>
      <w:r>
        <w:rPr>
          <w:color w:val="231F20"/>
        </w:rPr>
        <w:t>se ha </w:t>
      </w:r>
      <w:r>
        <w:rPr>
          <w:color w:val="231F20"/>
          <w:spacing w:val="2"/>
        </w:rPr>
        <w:t>considerado </w:t>
      </w:r>
      <w:r>
        <w:rPr>
          <w:color w:val="231F20"/>
          <w:spacing w:val="4"/>
        </w:rPr>
        <w:t>no </w:t>
      </w:r>
      <w:r>
        <w:rPr>
          <w:color w:val="231F20"/>
          <w:spacing w:val="2"/>
        </w:rPr>
        <w:t>punible </w:t>
      </w:r>
      <w:r>
        <w:rPr>
          <w:color w:val="231F20"/>
        </w:rPr>
        <w:t>en el </w:t>
      </w:r>
      <w:r>
        <w:rPr>
          <w:color w:val="231F20"/>
          <w:spacing w:val="2"/>
        </w:rPr>
        <w:t>derecho </w:t>
      </w:r>
      <w:r>
        <w:rPr>
          <w:color w:val="231F20"/>
          <w:spacing w:val="3"/>
        </w:rPr>
        <w:t>romano </w:t>
      </w:r>
      <w:r>
        <w:rPr>
          <w:color w:val="231F20"/>
        </w:rPr>
        <w:t>y </w:t>
      </w:r>
      <w:r>
        <w:rPr>
          <w:color w:val="231F20"/>
          <w:spacing w:val="2"/>
        </w:rPr>
        <w:t>germánico antiguos. </w:t>
      </w:r>
      <w:r>
        <w:rPr>
          <w:color w:val="231F20"/>
        </w:rPr>
        <w:t>El </w:t>
      </w:r>
      <w:r>
        <w:rPr>
          <w:color w:val="231F20"/>
          <w:spacing w:val="3"/>
        </w:rPr>
        <w:t>temor </w:t>
      </w:r>
      <w:r>
        <w:rPr>
          <w:color w:val="231F20"/>
        </w:rPr>
        <w:t>a la </w:t>
      </w:r>
      <w:r>
        <w:rPr>
          <w:color w:val="231F20"/>
          <w:spacing w:val="2"/>
        </w:rPr>
        <w:t>violencia </w:t>
      </w:r>
      <w:r>
        <w:rPr>
          <w:color w:val="231F20"/>
        </w:rPr>
        <w:t>y la </w:t>
      </w:r>
      <w:r>
        <w:rPr>
          <w:color w:val="231F20"/>
          <w:spacing w:val="2"/>
        </w:rPr>
        <w:t>falta </w:t>
      </w:r>
      <w:r>
        <w:rPr>
          <w:color w:val="231F20"/>
        </w:rPr>
        <w:t>de </w:t>
      </w:r>
      <w:r>
        <w:rPr>
          <w:color w:val="231F20"/>
          <w:spacing w:val="2"/>
        </w:rPr>
        <w:t>confianza </w:t>
      </w:r>
      <w:r>
        <w:rPr>
          <w:color w:val="231F20"/>
        </w:rPr>
        <w:t>en sí </w:t>
      </w:r>
      <w:r>
        <w:rPr>
          <w:color w:val="231F20"/>
          <w:spacing w:val="3"/>
        </w:rPr>
        <w:t>mismo </w:t>
      </w:r>
      <w:r>
        <w:rPr>
          <w:color w:val="231F20"/>
          <w:spacing w:val="2"/>
        </w:rPr>
        <w:t>constituyen, </w:t>
      </w:r>
      <w:r>
        <w:rPr>
          <w:color w:val="231F20"/>
          <w:spacing w:val="3"/>
        </w:rPr>
        <w:t>precisa- </w:t>
      </w:r>
      <w:r>
        <w:rPr>
          <w:color w:val="231F20"/>
          <w:spacing w:val="2"/>
        </w:rPr>
        <w:t>mente,</w:t>
      </w:r>
      <w:r>
        <w:rPr>
          <w:color w:val="231F20"/>
          <w:spacing w:val="-13"/>
        </w:rPr>
        <w:t> </w:t>
      </w:r>
      <w:r>
        <w:rPr>
          <w:color w:val="231F20"/>
        </w:rPr>
        <w:t>su</w:t>
      </w:r>
      <w:r>
        <w:rPr>
          <w:color w:val="231F20"/>
          <w:spacing w:val="-13"/>
        </w:rPr>
        <w:t> </w:t>
      </w:r>
      <w:r>
        <w:rPr>
          <w:color w:val="231F20"/>
          <w:spacing w:val="2"/>
        </w:rPr>
        <w:t>crisis(Benjamin,</w:t>
      </w:r>
      <w:r>
        <w:rPr>
          <w:color w:val="231F20"/>
          <w:spacing w:val="-13"/>
        </w:rPr>
        <w:t> </w:t>
      </w:r>
      <w:r>
        <w:rPr>
          <w:color w:val="231F20"/>
          <w:spacing w:val="2"/>
        </w:rPr>
        <w:t>1995:</w:t>
      </w:r>
      <w:r>
        <w:rPr>
          <w:color w:val="231F20"/>
          <w:spacing w:val="-13"/>
        </w:rPr>
        <w:t> </w:t>
      </w:r>
      <w:r>
        <w:rPr>
          <w:color w:val="231F20"/>
          <w:spacing w:val="2"/>
        </w:rPr>
        <w:t>52).</w:t>
      </w:r>
    </w:p>
    <w:p>
      <w:pPr>
        <w:pStyle w:val="BodyText"/>
        <w:spacing w:line="247" w:lineRule="auto"/>
        <w:ind w:left="102" w:right="116" w:firstLine="284"/>
        <w:jc w:val="both"/>
      </w:pPr>
      <w:r>
        <w:rPr>
          <w:color w:val="231F20"/>
        </w:rPr>
        <w:t>En lo que se refiere al hombre, la cólera lo arrastra a los fines más cargados de violencia, la cual como medio no se refiere a un fin preestablecido. Esa violencia no es un medio, sino una mani- festación.  Y  esta  violencia  tiene  manifestaciones  por completo</w:t>
      </w:r>
    </w:p>
    <w:p>
      <w:pPr>
        <w:spacing w:after="0" w:line="247" w:lineRule="auto"/>
        <w:jc w:val="both"/>
        <w:sectPr>
          <w:headerReference w:type="default" r:id="rId82"/>
          <w:footerReference w:type="default" r:id="rId83"/>
          <w:pgSz w:w="7830" w:h="11910"/>
          <w:pgMar w:header="0" w:footer="424" w:top="500" w:bottom="620" w:left="920" w:right="900"/>
          <w:pgNumType w:start="3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5"/>
        <w:jc w:val="both"/>
      </w:pPr>
      <w:r>
        <w:rPr>
          <w:color w:val="231F20"/>
        </w:rPr>
        <w:t>objetivas, a través de las cuales puede ser sometida a la crítica. Tales manifestaciones se encuentran en forma altamente significa- tiva, sobre todo en el mito (Benjamin, 1995: 62 y 63).</w:t>
      </w:r>
    </w:p>
    <w:p>
      <w:pPr>
        <w:pStyle w:val="BodyText"/>
        <w:spacing w:line="249" w:lineRule="auto" w:before="1"/>
        <w:ind w:left="101" w:right="115" w:firstLine="284"/>
        <w:jc w:val="both"/>
      </w:pPr>
      <w:r>
        <w:rPr>
          <w:color w:val="231F20"/>
        </w:rPr>
        <w:t>La creación del derecho es creación de poder, y en tal medida un acto de inmediata manifestación de violencia. Este principio tiene una aplicación de consecuencias graves en el derecho público, del cual</w:t>
      </w:r>
      <w:r>
        <w:rPr>
          <w:color w:val="231F20"/>
          <w:spacing w:val="-6"/>
        </w:rPr>
        <w:t> </w:t>
      </w:r>
      <w:r>
        <w:rPr>
          <w:color w:val="231F20"/>
        </w:rPr>
        <w:t>la</w:t>
      </w:r>
      <w:r>
        <w:rPr>
          <w:color w:val="231F20"/>
          <w:spacing w:val="-5"/>
        </w:rPr>
        <w:t> </w:t>
      </w:r>
      <w:r>
        <w:rPr>
          <w:color w:val="231F20"/>
        </w:rPr>
        <w:t>fijación</w:t>
      </w:r>
      <w:r>
        <w:rPr>
          <w:color w:val="231F20"/>
          <w:spacing w:val="-5"/>
        </w:rPr>
        <w:t> </w:t>
      </w:r>
      <w:r>
        <w:rPr>
          <w:color w:val="231F20"/>
        </w:rPr>
        <w:t>de</w:t>
      </w:r>
      <w:r>
        <w:rPr>
          <w:color w:val="231F20"/>
          <w:spacing w:val="-5"/>
        </w:rPr>
        <w:t> </w:t>
      </w:r>
      <w:r>
        <w:rPr>
          <w:color w:val="231F20"/>
        </w:rPr>
        <w:t>límites,</w:t>
      </w:r>
      <w:r>
        <w:rPr>
          <w:color w:val="231F20"/>
          <w:spacing w:val="-6"/>
        </w:rPr>
        <w:t> </w:t>
      </w:r>
      <w:r>
        <w:rPr>
          <w:color w:val="231F20"/>
        </w:rPr>
        <w:t>tal</w:t>
      </w:r>
      <w:r>
        <w:rPr>
          <w:color w:val="231F20"/>
          <w:spacing w:val="-6"/>
        </w:rPr>
        <w:t> </w:t>
      </w:r>
      <w:r>
        <w:rPr>
          <w:color w:val="231F20"/>
        </w:rPr>
        <w:t>como</w:t>
      </w:r>
      <w:r>
        <w:rPr>
          <w:color w:val="231F20"/>
          <w:spacing w:val="-5"/>
        </w:rPr>
        <w:t> </w:t>
      </w:r>
      <w:r>
        <w:rPr>
          <w:color w:val="231F20"/>
        </w:rPr>
        <w:t>se</w:t>
      </w:r>
      <w:r>
        <w:rPr>
          <w:color w:val="231F20"/>
          <w:spacing w:val="-5"/>
        </w:rPr>
        <w:t> </w:t>
      </w:r>
      <w:r>
        <w:rPr>
          <w:color w:val="231F20"/>
        </w:rPr>
        <w:t>establece</w:t>
      </w:r>
      <w:r>
        <w:rPr>
          <w:color w:val="231F20"/>
          <w:spacing w:val="-5"/>
        </w:rPr>
        <w:t> </w:t>
      </w:r>
      <w:r>
        <w:rPr>
          <w:color w:val="231F20"/>
        </w:rPr>
        <w:t>mediante</w:t>
      </w:r>
      <w:r>
        <w:rPr>
          <w:color w:val="231F20"/>
          <w:spacing w:val="-5"/>
        </w:rPr>
        <w:t> </w:t>
      </w:r>
      <w:r>
        <w:rPr>
          <w:color w:val="231F20"/>
        </w:rPr>
        <w:t>la</w:t>
      </w:r>
      <w:r>
        <w:rPr>
          <w:color w:val="231F20"/>
          <w:spacing w:val="-5"/>
        </w:rPr>
        <w:t> </w:t>
      </w:r>
      <w:r>
        <w:rPr>
          <w:color w:val="231F20"/>
        </w:rPr>
        <w:t>“paz”</w:t>
      </w:r>
      <w:r>
        <w:rPr>
          <w:color w:val="231F20"/>
          <w:spacing w:val="-5"/>
        </w:rPr>
        <w:t> </w:t>
      </w:r>
      <w:r>
        <w:rPr>
          <w:color w:val="231F20"/>
        </w:rPr>
        <w:t>en todas</w:t>
      </w:r>
      <w:r>
        <w:rPr>
          <w:color w:val="231F20"/>
          <w:spacing w:val="-10"/>
        </w:rPr>
        <w:t> </w:t>
      </w:r>
      <w:r>
        <w:rPr>
          <w:color w:val="231F20"/>
        </w:rPr>
        <w:t>las</w:t>
      </w:r>
      <w:r>
        <w:rPr>
          <w:color w:val="231F20"/>
          <w:spacing w:val="-10"/>
        </w:rPr>
        <w:t> </w:t>
      </w:r>
      <w:r>
        <w:rPr>
          <w:color w:val="231F20"/>
        </w:rPr>
        <w:t>guerras,</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arquetipo</w:t>
      </w:r>
      <w:r>
        <w:rPr>
          <w:color w:val="231F20"/>
          <w:spacing w:val="-9"/>
        </w:rPr>
        <w:t> </w:t>
      </w:r>
      <w:r>
        <w:rPr>
          <w:color w:val="231F20"/>
        </w:rPr>
        <w:t>de</w:t>
      </w:r>
      <w:r>
        <w:rPr>
          <w:color w:val="231F20"/>
          <w:spacing w:val="-9"/>
        </w:rPr>
        <w:t> </w:t>
      </w:r>
      <w:r>
        <w:rPr>
          <w:color w:val="231F20"/>
        </w:rPr>
        <w:t>la</w:t>
      </w:r>
      <w:r>
        <w:rPr>
          <w:color w:val="231F20"/>
          <w:spacing w:val="-10"/>
        </w:rPr>
        <w:t> </w:t>
      </w:r>
      <w:r>
        <w:rPr>
          <w:color w:val="231F20"/>
        </w:rPr>
        <w:t>violencia</w:t>
      </w:r>
      <w:r>
        <w:rPr>
          <w:color w:val="231F20"/>
          <w:spacing w:val="-10"/>
        </w:rPr>
        <w:t> </w:t>
      </w:r>
      <w:r>
        <w:rPr>
          <w:color w:val="231F20"/>
        </w:rPr>
        <w:t>creadora</w:t>
      </w:r>
      <w:r>
        <w:rPr>
          <w:color w:val="231F20"/>
          <w:spacing w:val="-10"/>
        </w:rPr>
        <w:t> </w:t>
      </w:r>
      <w:r>
        <w:rPr>
          <w:color w:val="231F20"/>
        </w:rPr>
        <w:t>del</w:t>
      </w:r>
      <w:r>
        <w:rPr>
          <w:color w:val="231F20"/>
          <w:spacing w:val="-10"/>
        </w:rPr>
        <w:t> </w:t>
      </w:r>
      <w:r>
        <w:rPr>
          <w:color w:val="231F20"/>
        </w:rPr>
        <w:t>derecho. Pues desde el punto de vista de la violencia, es la única que puede garantizar el derecho, no existe la igualdad, sino poderes igualmente grandes. Pero el acto de la fijación de límites es importante para el derecho. El hombre puede traspasarlos sin saber, e incurrir así en el castigo. Porque toda intervención del derecho provocado por una infracción a la ley no escrita y no conocida, a diferencia de la pena, </w:t>
      </w:r>
      <w:r>
        <w:rPr>
          <w:color w:val="231F20"/>
          <w:w w:val="95"/>
        </w:rPr>
        <w:t>será castigada (Benjamin, 1995:</w:t>
      </w:r>
      <w:r>
        <w:rPr>
          <w:color w:val="231F20"/>
          <w:spacing w:val="7"/>
          <w:w w:val="95"/>
        </w:rPr>
        <w:t> </w:t>
      </w:r>
      <w:r>
        <w:rPr>
          <w:color w:val="231F20"/>
          <w:w w:val="95"/>
        </w:rPr>
        <w:t>65-67).</w:t>
      </w:r>
    </w:p>
    <w:p>
      <w:pPr>
        <w:pStyle w:val="BodyText"/>
        <w:spacing w:line="249" w:lineRule="auto"/>
        <w:ind w:left="102" w:right="115" w:firstLine="284"/>
        <w:jc w:val="both"/>
      </w:pPr>
      <w:r>
        <w:rPr>
          <w:color w:val="231F20"/>
        </w:rPr>
        <w:t>Toda violencia conservadora se debilita a la larga e indirecta- mente mediante la represión de las fuerzas hostiles, y la violencia creadora que se halla representada en ella. Ello dura hasta el mo- mento en el cual nuevas fuerzas, o aquellas antes oprimidas, pre- dominan sobre la violencia que hasta entonces había fundado el derecho y funda así un nuevo derecho destinado a la  decadencia.</w:t>
      </w:r>
    </w:p>
    <w:p>
      <w:pPr>
        <w:pStyle w:val="BodyText"/>
        <w:spacing w:line="249" w:lineRule="auto"/>
        <w:ind w:left="102" w:right="115" w:firstLine="284"/>
        <w:jc w:val="both"/>
      </w:pPr>
      <w:r>
        <w:rPr>
          <w:color w:val="231F20"/>
        </w:rPr>
        <w:t>Pero si la violencia tiene asegurada la realidad, allende el dere- cho, como violencia pura e inmediata, es porque también es posi- ble la violencia revolucionaria. De nuevo está a disposición de la violencia en todas las formas eternas, que el mito ha bastardeado con el derecho. Tal violencia puede aparecer en la guerra, así co- mo en el juicio divino, de la multitud sobre el delincuente. Pero es reprobable toda violencia mítica que funda el derecho, y que se puede llamar dominante. Y reprobable es también la violencia que conserva el derecho, la violencia administrada, que sirve a la vio- lencia que gobierna (Benjamin, 1995: 75-77).</w:t>
      </w:r>
    </w:p>
    <w:p>
      <w:pPr>
        <w:pStyle w:val="BodyText"/>
        <w:spacing w:line="247" w:lineRule="auto"/>
        <w:ind w:left="102" w:right="115" w:firstLine="284"/>
        <w:jc w:val="both"/>
      </w:pPr>
      <w:r>
        <w:rPr>
          <w:color w:val="231F20"/>
        </w:rPr>
        <w:t>A </w:t>
      </w:r>
      <w:r>
        <w:rPr>
          <w:color w:val="231F20"/>
          <w:spacing w:val="2"/>
        </w:rPr>
        <w:t>los medios legales </w:t>
      </w:r>
      <w:r>
        <w:rPr>
          <w:color w:val="231F20"/>
        </w:rPr>
        <w:t>e </w:t>
      </w:r>
      <w:r>
        <w:rPr>
          <w:color w:val="231F20"/>
          <w:spacing w:val="2"/>
        </w:rPr>
        <w:t>ilegales </w:t>
      </w:r>
      <w:r>
        <w:rPr>
          <w:color w:val="231F20"/>
        </w:rPr>
        <w:t>de </w:t>
      </w:r>
      <w:r>
        <w:rPr>
          <w:color w:val="231F20"/>
          <w:spacing w:val="2"/>
        </w:rPr>
        <w:t>toda índole, que son siempre violentos, </w:t>
      </w:r>
      <w:r>
        <w:rPr>
          <w:color w:val="231F20"/>
        </w:rPr>
        <w:t>es lícito </w:t>
      </w:r>
      <w:r>
        <w:rPr>
          <w:color w:val="231F20"/>
          <w:spacing w:val="2"/>
        </w:rPr>
        <w:t>por </w:t>
      </w:r>
      <w:r>
        <w:rPr>
          <w:color w:val="231F20"/>
        </w:rPr>
        <w:t>lo </w:t>
      </w:r>
      <w:r>
        <w:rPr>
          <w:color w:val="231F20"/>
          <w:spacing w:val="2"/>
        </w:rPr>
        <w:t>tanto </w:t>
      </w:r>
      <w:r>
        <w:rPr>
          <w:color w:val="231F20"/>
          <w:spacing w:val="3"/>
        </w:rPr>
        <w:t>oponer, </w:t>
      </w:r>
      <w:r>
        <w:rPr>
          <w:color w:val="231F20"/>
          <w:spacing w:val="2"/>
        </w:rPr>
        <w:t>los </w:t>
      </w:r>
      <w:r>
        <w:rPr>
          <w:color w:val="231F20"/>
          <w:spacing w:val="3"/>
        </w:rPr>
        <w:t>medios </w:t>
      </w:r>
      <w:r>
        <w:rPr>
          <w:color w:val="231F20"/>
        </w:rPr>
        <w:t>no  </w:t>
      </w:r>
      <w:r>
        <w:rPr>
          <w:color w:val="231F20"/>
          <w:spacing w:val="2"/>
        </w:rPr>
        <w:t>violentos,  </w:t>
      </w:r>
      <w:r>
        <w:rPr>
          <w:color w:val="231F20"/>
        </w:rPr>
        <w:t>así un </w:t>
      </w:r>
      <w:r>
        <w:rPr>
          <w:color w:val="231F20"/>
          <w:spacing w:val="2"/>
        </w:rPr>
        <w:t>acuerdo </w:t>
      </w:r>
      <w:r>
        <w:rPr>
          <w:color w:val="231F20"/>
        </w:rPr>
        <w:t>no </w:t>
      </w:r>
      <w:r>
        <w:rPr>
          <w:color w:val="231F20"/>
          <w:spacing w:val="2"/>
        </w:rPr>
        <w:t>violento puede surgir </w:t>
      </w:r>
      <w:r>
        <w:rPr>
          <w:color w:val="231F20"/>
          <w:spacing w:val="3"/>
        </w:rPr>
        <w:t>dondequiera </w:t>
      </w:r>
      <w:r>
        <w:rPr>
          <w:color w:val="231F20"/>
          <w:spacing w:val="2"/>
        </w:rPr>
        <w:t>que </w:t>
      </w:r>
      <w:r>
        <w:rPr>
          <w:color w:val="231F20"/>
        </w:rPr>
        <w:t>la </w:t>
      </w:r>
      <w:r>
        <w:rPr>
          <w:color w:val="231F20"/>
          <w:spacing w:val="3"/>
        </w:rPr>
        <w:t>cultu- </w:t>
      </w:r>
      <w:r>
        <w:rPr>
          <w:color w:val="231F20"/>
        </w:rPr>
        <w:t>ra de </w:t>
      </w:r>
      <w:r>
        <w:rPr>
          <w:color w:val="231F20"/>
          <w:spacing w:val="2"/>
        </w:rPr>
        <w:t>los </w:t>
      </w:r>
      <w:r>
        <w:rPr>
          <w:color w:val="231F20"/>
          <w:spacing w:val="3"/>
        </w:rPr>
        <w:t>sentimientos pone </w:t>
      </w:r>
      <w:r>
        <w:rPr>
          <w:color w:val="231F20"/>
        </w:rPr>
        <w:t>a </w:t>
      </w:r>
      <w:r>
        <w:rPr>
          <w:color w:val="231F20"/>
          <w:spacing w:val="3"/>
        </w:rPr>
        <w:t>disposición </w:t>
      </w:r>
      <w:r>
        <w:rPr>
          <w:color w:val="231F20"/>
        </w:rPr>
        <w:t>de </w:t>
      </w:r>
      <w:r>
        <w:rPr>
          <w:color w:val="231F20"/>
          <w:spacing w:val="2"/>
        </w:rPr>
        <w:t>los </w:t>
      </w:r>
      <w:r>
        <w:rPr>
          <w:color w:val="231F20"/>
          <w:spacing w:val="3"/>
        </w:rPr>
        <w:t>individuos </w:t>
      </w:r>
      <w:r>
        <w:rPr>
          <w:color w:val="231F20"/>
        </w:rPr>
        <w:t>me- </w:t>
      </w:r>
      <w:r>
        <w:rPr>
          <w:color w:val="231F20"/>
          <w:spacing w:val="2"/>
        </w:rPr>
        <w:t>dios </w:t>
      </w:r>
      <w:r>
        <w:rPr>
          <w:color w:val="231F20"/>
        </w:rPr>
        <w:t>de </w:t>
      </w:r>
      <w:r>
        <w:rPr>
          <w:color w:val="231F20"/>
          <w:spacing w:val="3"/>
        </w:rPr>
        <w:t>comunicación </w:t>
      </w:r>
      <w:r>
        <w:rPr>
          <w:color w:val="231F20"/>
        </w:rPr>
        <w:t>y</w:t>
      </w:r>
      <w:r>
        <w:rPr>
          <w:color w:val="231F20"/>
          <w:spacing w:val="15"/>
        </w:rPr>
        <w:t> </w:t>
      </w:r>
      <w:r>
        <w:rPr>
          <w:color w:val="231F20"/>
          <w:spacing w:val="3"/>
        </w:rPr>
        <w:t>entendimiento.</w:t>
      </w:r>
    </w:p>
    <w:p>
      <w:pPr>
        <w:spacing w:after="0" w:line="247" w:lineRule="auto"/>
        <w:jc w:val="both"/>
        <w:sectPr>
          <w:headerReference w:type="default" r:id="rId84"/>
          <w:footerReference w:type="default" r:id="rId85"/>
          <w:pgSz w:w="7830" w:h="11910"/>
          <w:pgMar w:header="0" w:footer="424" w:top="500" w:bottom="620" w:left="920" w:right="900"/>
          <w:pgNumType w:start="3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before="92"/>
        <w:ind w:left="102" w:right="0" w:firstLine="0"/>
        <w:jc w:val="both"/>
        <w:rPr>
          <w:i/>
          <w:sz w:val="21"/>
        </w:rPr>
      </w:pPr>
      <w:r>
        <w:rPr>
          <w:i/>
          <w:color w:val="231F20"/>
          <w:w w:val="90"/>
          <w:sz w:val="21"/>
        </w:rPr>
        <w:t>La violencia razón del Estado</w:t>
      </w:r>
    </w:p>
    <w:p>
      <w:pPr>
        <w:pStyle w:val="BodyText"/>
        <w:spacing w:before="1"/>
        <w:rPr>
          <w:i/>
        </w:rPr>
      </w:pPr>
    </w:p>
    <w:p>
      <w:pPr>
        <w:pStyle w:val="BodyText"/>
        <w:spacing w:line="247" w:lineRule="auto" w:before="1"/>
        <w:ind w:left="102" w:right="115"/>
        <w:jc w:val="both"/>
      </w:pPr>
      <w:r>
        <w:rPr>
          <w:color w:val="231F20"/>
        </w:rPr>
        <w:t>La despolitización da cuenta de la crítica abierta y frontal del modo de pensar la política desde las doctrinas liberales, que ocultan su contenido y la manera de imponer un tipo de dominación y poder a partir del derecho, y que es representado por un modo particular de autoridad que sirve a los intereses privados, generar y reproducir  una forma de vida supuestamente basada en un contrato, pero que   en realidad sostiene e incrementa la acumulación del capital. Así, la principal acusación plantea que dicha doctrina política está matiza- da por una perspectiva que subraya el derecho universal que sirve para la legitimación de un orden, pero que es incapaz de compren- der los antagonismos y conflictos que se generan en la sociedad y que son derivados del monopolio de la violencia legítima por parte del</w:t>
      </w:r>
      <w:r>
        <w:rPr>
          <w:color w:val="231F20"/>
          <w:spacing w:val="16"/>
        </w:rPr>
        <w:t> </w:t>
      </w:r>
      <w:r>
        <w:rPr>
          <w:color w:val="231F20"/>
        </w:rPr>
        <w:t>Estado.</w:t>
      </w:r>
    </w:p>
    <w:p>
      <w:pPr>
        <w:pStyle w:val="BodyText"/>
        <w:spacing w:line="247" w:lineRule="auto" w:before="15"/>
        <w:ind w:left="102" w:right="115" w:firstLine="284"/>
        <w:jc w:val="both"/>
      </w:pPr>
      <w:r>
        <w:rPr>
          <w:color w:val="231F20"/>
        </w:rPr>
        <w:t>¿Pero de dónde deviene? Ya desde la violencia primaria y fun- dante, como ya decía Maquiavelo en su famoso libro </w:t>
      </w:r>
      <w:r>
        <w:rPr>
          <w:i/>
          <w:color w:val="231F20"/>
        </w:rPr>
        <w:t>El príncipe</w:t>
      </w:r>
      <w:r>
        <w:rPr>
          <w:color w:val="231F20"/>
        </w:rPr>
        <w:t>, el Estado es Estado al máximo en el estado de lucha o de guerra general, y la preocupación de la </w:t>
      </w:r>
      <w:r>
        <w:rPr>
          <w:i/>
          <w:color w:val="231F20"/>
        </w:rPr>
        <w:t>salus pública </w:t>
      </w:r>
      <w:r>
        <w:rPr>
          <w:color w:val="231F20"/>
        </w:rPr>
        <w:t>y del</w:t>
      </w:r>
      <w:r>
        <w:rPr>
          <w:i/>
          <w:color w:val="231F20"/>
        </w:rPr>
        <w:t>bonum commune </w:t>
      </w:r>
      <w:r>
        <w:rPr>
          <w:color w:val="231F20"/>
        </w:rPr>
        <w:t>como virtud se conciben sobre la base de los intereses del prínci- pe, lo que gesta la llamada razón de Estado. El poder doméstico patriarcal del príncipe cristiano se ha condensado en la abstracta afirmación del soberano como </w:t>
      </w:r>
      <w:r>
        <w:rPr>
          <w:i/>
          <w:color w:val="231F20"/>
        </w:rPr>
        <w:t>suprema potestas</w:t>
      </w:r>
      <w:r>
        <w:rPr>
          <w:color w:val="231F20"/>
        </w:rPr>
        <w:t>, y al mismo tiempo se ha desligado de las auténticas funciones sociales del orden do- méstico ampliadas al Estado (Habermas, 1993: 52 y 59).</w:t>
      </w:r>
    </w:p>
    <w:p>
      <w:pPr>
        <w:pStyle w:val="BodyText"/>
        <w:spacing w:line="249" w:lineRule="auto" w:before="1"/>
        <w:ind w:left="102" w:right="115" w:firstLine="284"/>
        <w:jc w:val="both"/>
      </w:pPr>
      <w:r>
        <w:rPr>
          <w:color w:val="231F20"/>
          <w:spacing w:val="2"/>
        </w:rPr>
        <w:t>Así </w:t>
      </w:r>
      <w:r>
        <w:rPr>
          <w:color w:val="231F20"/>
        </w:rPr>
        <w:t>el </w:t>
      </w:r>
      <w:r>
        <w:rPr>
          <w:color w:val="231F20"/>
          <w:spacing w:val="2"/>
        </w:rPr>
        <w:t>nuevo </w:t>
      </w:r>
      <w:r>
        <w:rPr>
          <w:color w:val="231F20"/>
          <w:spacing w:val="3"/>
        </w:rPr>
        <w:t>concepto </w:t>
      </w:r>
      <w:r>
        <w:rPr>
          <w:color w:val="231F20"/>
        </w:rPr>
        <w:t>de lo </w:t>
      </w:r>
      <w:r>
        <w:rPr>
          <w:color w:val="231F20"/>
          <w:spacing w:val="2"/>
        </w:rPr>
        <w:t>político recibe </w:t>
      </w:r>
      <w:r>
        <w:rPr>
          <w:color w:val="231F20"/>
        </w:rPr>
        <w:t>su </w:t>
      </w:r>
      <w:r>
        <w:rPr>
          <w:color w:val="231F20"/>
          <w:spacing w:val="2"/>
        </w:rPr>
        <w:t>sentido, </w:t>
      </w:r>
      <w:r>
        <w:rPr>
          <w:color w:val="231F20"/>
        </w:rPr>
        <w:t>de la </w:t>
      </w:r>
      <w:r>
        <w:rPr>
          <w:color w:val="231F20"/>
          <w:spacing w:val="2"/>
        </w:rPr>
        <w:t>tensión </w:t>
      </w:r>
      <w:r>
        <w:rPr>
          <w:color w:val="231F20"/>
        </w:rPr>
        <w:t>de </w:t>
      </w:r>
      <w:r>
        <w:rPr>
          <w:color w:val="231F20"/>
          <w:spacing w:val="2"/>
        </w:rPr>
        <w:t>utilizar </w:t>
      </w:r>
      <w:r>
        <w:rPr>
          <w:color w:val="231F20"/>
          <w:spacing w:val="3"/>
        </w:rPr>
        <w:t>recíprocamente </w:t>
      </w:r>
      <w:r>
        <w:rPr>
          <w:color w:val="231F20"/>
        </w:rPr>
        <w:t>el </w:t>
      </w:r>
      <w:r>
        <w:rPr>
          <w:color w:val="231F20"/>
          <w:spacing w:val="2"/>
        </w:rPr>
        <w:t>poder </w:t>
      </w:r>
      <w:r>
        <w:rPr>
          <w:color w:val="231F20"/>
        </w:rPr>
        <w:t>y la </w:t>
      </w:r>
      <w:r>
        <w:rPr>
          <w:color w:val="231F20"/>
          <w:spacing w:val="2"/>
        </w:rPr>
        <w:t>violencia: </w:t>
      </w:r>
      <w:r>
        <w:rPr>
          <w:color w:val="231F20"/>
        </w:rPr>
        <w:t>las </w:t>
      </w:r>
      <w:r>
        <w:rPr>
          <w:color w:val="231F20"/>
          <w:spacing w:val="3"/>
        </w:rPr>
        <w:t>rela- </w:t>
      </w:r>
      <w:r>
        <w:rPr>
          <w:color w:val="231F20"/>
          <w:spacing w:val="2"/>
        </w:rPr>
        <w:t>ciones </w:t>
      </w:r>
      <w:r>
        <w:rPr>
          <w:color w:val="231F20"/>
        </w:rPr>
        <w:t>de </w:t>
      </w:r>
      <w:r>
        <w:rPr>
          <w:color w:val="231F20"/>
          <w:spacing w:val="3"/>
        </w:rPr>
        <w:t>dominio </w:t>
      </w:r>
      <w:r>
        <w:rPr>
          <w:color w:val="231F20"/>
        </w:rPr>
        <w:t>de </w:t>
      </w:r>
      <w:r>
        <w:rPr>
          <w:color w:val="231F20"/>
          <w:spacing w:val="2"/>
        </w:rPr>
        <w:t>una minoría sobre </w:t>
      </w:r>
      <w:r>
        <w:rPr>
          <w:color w:val="231F20"/>
        </w:rPr>
        <w:t>la </w:t>
      </w:r>
      <w:r>
        <w:rPr>
          <w:color w:val="231F20"/>
          <w:spacing w:val="2"/>
        </w:rPr>
        <w:t>masa </w:t>
      </w:r>
      <w:r>
        <w:rPr>
          <w:color w:val="231F20"/>
        </w:rPr>
        <w:t>de </w:t>
      </w:r>
      <w:r>
        <w:rPr>
          <w:color w:val="231F20"/>
          <w:spacing w:val="2"/>
        </w:rPr>
        <w:t>los </w:t>
      </w:r>
      <w:r>
        <w:rPr>
          <w:color w:val="231F20"/>
          <w:spacing w:val="3"/>
        </w:rPr>
        <w:t>ciudada- </w:t>
      </w:r>
      <w:r>
        <w:rPr>
          <w:color w:val="231F20"/>
          <w:spacing w:val="2"/>
        </w:rPr>
        <w:t>nos, por una parte, </w:t>
      </w:r>
      <w:r>
        <w:rPr>
          <w:color w:val="231F20"/>
        </w:rPr>
        <w:t>la </w:t>
      </w:r>
      <w:r>
        <w:rPr>
          <w:color w:val="231F20"/>
          <w:spacing w:val="2"/>
        </w:rPr>
        <w:t>primera anhela </w:t>
      </w:r>
      <w:r>
        <w:rPr>
          <w:color w:val="231F20"/>
        </w:rPr>
        <w:t>ser </w:t>
      </w:r>
      <w:r>
        <w:rPr>
          <w:color w:val="231F20"/>
          <w:spacing w:val="2"/>
        </w:rPr>
        <w:t>libre para ordenar; </w:t>
      </w:r>
      <w:r>
        <w:rPr>
          <w:color w:val="231F20"/>
        </w:rPr>
        <w:t>y </w:t>
      </w:r>
      <w:r>
        <w:rPr>
          <w:color w:val="231F20"/>
          <w:spacing w:val="2"/>
        </w:rPr>
        <w:t>por   </w:t>
      </w:r>
      <w:r>
        <w:rPr>
          <w:color w:val="231F20"/>
        </w:rPr>
        <w:t>la </w:t>
      </w:r>
      <w:r>
        <w:rPr>
          <w:color w:val="231F20"/>
          <w:spacing w:val="2"/>
        </w:rPr>
        <w:t>otra, </w:t>
      </w:r>
      <w:r>
        <w:rPr>
          <w:color w:val="231F20"/>
          <w:spacing w:val="3"/>
        </w:rPr>
        <w:t>todos </w:t>
      </w:r>
      <w:r>
        <w:rPr>
          <w:color w:val="231F20"/>
          <w:spacing w:val="2"/>
        </w:rPr>
        <w:t>los </w:t>
      </w:r>
      <w:r>
        <w:rPr>
          <w:color w:val="231F20"/>
          <w:spacing w:val="3"/>
        </w:rPr>
        <w:t>demás </w:t>
      </w:r>
      <w:r>
        <w:rPr>
          <w:color w:val="231F20"/>
          <w:spacing w:val="2"/>
        </w:rPr>
        <w:t>desean </w:t>
      </w:r>
      <w:r>
        <w:rPr>
          <w:color w:val="231F20"/>
        </w:rPr>
        <w:t>la </w:t>
      </w:r>
      <w:r>
        <w:rPr>
          <w:color w:val="231F20"/>
          <w:spacing w:val="2"/>
        </w:rPr>
        <w:t>libertad para </w:t>
      </w:r>
      <w:r>
        <w:rPr>
          <w:color w:val="231F20"/>
        </w:rPr>
        <w:t>vivir </w:t>
      </w:r>
      <w:r>
        <w:rPr>
          <w:color w:val="231F20"/>
          <w:spacing w:val="2"/>
        </w:rPr>
        <w:t>con seguri- dad; por </w:t>
      </w:r>
      <w:r>
        <w:rPr>
          <w:color w:val="231F20"/>
        </w:rPr>
        <w:t>lo </w:t>
      </w:r>
      <w:r>
        <w:rPr>
          <w:color w:val="231F20"/>
          <w:spacing w:val="2"/>
        </w:rPr>
        <w:t>tanto, </w:t>
      </w:r>
      <w:r>
        <w:rPr>
          <w:color w:val="231F20"/>
        </w:rPr>
        <w:t>se </w:t>
      </w:r>
      <w:r>
        <w:rPr>
          <w:color w:val="231F20"/>
          <w:spacing w:val="2"/>
        </w:rPr>
        <w:t>sujetan </w:t>
      </w:r>
      <w:r>
        <w:rPr>
          <w:color w:val="231F20"/>
        </w:rPr>
        <w:t>a esa </w:t>
      </w:r>
      <w:r>
        <w:rPr>
          <w:color w:val="231F20"/>
          <w:spacing w:val="3"/>
        </w:rPr>
        <w:t>autoridad; </w:t>
      </w:r>
      <w:r>
        <w:rPr>
          <w:color w:val="231F20"/>
          <w:spacing w:val="2"/>
        </w:rPr>
        <w:t>tensión que expresa </w:t>
      </w:r>
      <w:r>
        <w:rPr>
          <w:color w:val="231F20"/>
        </w:rPr>
        <w:t>esa </w:t>
      </w:r>
      <w:r>
        <w:rPr>
          <w:color w:val="231F20"/>
          <w:spacing w:val="2"/>
        </w:rPr>
        <w:t>violencia legítima </w:t>
      </w:r>
      <w:r>
        <w:rPr>
          <w:color w:val="231F20"/>
        </w:rPr>
        <w:t>y que se </w:t>
      </w:r>
      <w:r>
        <w:rPr>
          <w:color w:val="231F20"/>
          <w:spacing w:val="3"/>
        </w:rPr>
        <w:t>mantiene renovada </w:t>
      </w:r>
      <w:r>
        <w:rPr>
          <w:color w:val="231F20"/>
          <w:spacing w:val="2"/>
        </w:rPr>
        <w:t>hasta </w:t>
      </w:r>
      <w:r>
        <w:rPr>
          <w:color w:val="231F20"/>
        </w:rPr>
        <w:t>las </w:t>
      </w:r>
      <w:r>
        <w:rPr>
          <w:color w:val="231F20"/>
          <w:spacing w:val="2"/>
        </w:rPr>
        <w:t>socie- dades </w:t>
      </w:r>
      <w:r>
        <w:rPr>
          <w:color w:val="231F20"/>
          <w:spacing w:val="3"/>
        </w:rPr>
        <w:t>contemporáneas. </w:t>
      </w:r>
      <w:r>
        <w:rPr>
          <w:color w:val="231F20"/>
          <w:spacing w:val="2"/>
        </w:rPr>
        <w:t>Esta acepción </w:t>
      </w:r>
      <w:r>
        <w:rPr>
          <w:color w:val="231F20"/>
        </w:rPr>
        <w:t>de lo </w:t>
      </w:r>
      <w:r>
        <w:rPr>
          <w:color w:val="231F20"/>
          <w:spacing w:val="2"/>
        </w:rPr>
        <w:t>político </w:t>
      </w:r>
      <w:r>
        <w:rPr>
          <w:color w:val="231F20"/>
          <w:spacing w:val="3"/>
        </w:rPr>
        <w:t>como </w:t>
      </w:r>
      <w:r>
        <w:rPr>
          <w:color w:val="231F20"/>
          <w:spacing w:val="2"/>
        </w:rPr>
        <w:t>arte </w:t>
      </w:r>
      <w:r>
        <w:rPr>
          <w:color w:val="231F20"/>
        </w:rPr>
        <w:t>de </w:t>
      </w:r>
      <w:r>
        <w:rPr>
          <w:color w:val="231F20"/>
          <w:spacing w:val="2"/>
        </w:rPr>
        <w:t>mantener </w:t>
      </w:r>
      <w:r>
        <w:rPr>
          <w:color w:val="231F20"/>
        </w:rPr>
        <w:t>el </w:t>
      </w:r>
      <w:r>
        <w:rPr>
          <w:color w:val="231F20"/>
          <w:spacing w:val="2"/>
        </w:rPr>
        <w:t>poder, </w:t>
      </w:r>
      <w:r>
        <w:rPr>
          <w:color w:val="231F20"/>
        </w:rPr>
        <w:t>se </w:t>
      </w:r>
      <w:r>
        <w:rPr>
          <w:color w:val="231F20"/>
          <w:spacing w:val="2"/>
        </w:rPr>
        <w:t>sitúa </w:t>
      </w:r>
      <w:r>
        <w:rPr>
          <w:color w:val="231F20"/>
        </w:rPr>
        <w:t>en las </w:t>
      </w:r>
      <w:r>
        <w:rPr>
          <w:color w:val="231F20"/>
          <w:spacing w:val="2"/>
        </w:rPr>
        <w:t>sociedades </w:t>
      </w:r>
      <w:r>
        <w:rPr>
          <w:color w:val="231F20"/>
        </w:rPr>
        <w:t>de </w:t>
      </w:r>
      <w:r>
        <w:rPr>
          <w:color w:val="231F20"/>
          <w:spacing w:val="2"/>
        </w:rPr>
        <w:t>corte feudal, </w:t>
      </w:r>
      <w:r>
        <w:rPr>
          <w:color w:val="231F20"/>
        </w:rPr>
        <w:t>en   las </w:t>
      </w:r>
      <w:r>
        <w:rPr>
          <w:color w:val="231F20"/>
          <w:spacing w:val="2"/>
        </w:rPr>
        <w:t>cuales los siervos </w:t>
      </w:r>
      <w:r>
        <w:rPr>
          <w:color w:val="231F20"/>
        </w:rPr>
        <w:t>y </w:t>
      </w:r>
      <w:r>
        <w:rPr>
          <w:color w:val="231F20"/>
          <w:spacing w:val="3"/>
        </w:rPr>
        <w:t>campesinos </w:t>
      </w:r>
      <w:r>
        <w:rPr>
          <w:color w:val="231F20"/>
          <w:spacing w:val="2"/>
        </w:rPr>
        <w:t>eran propietarios </w:t>
      </w:r>
      <w:r>
        <w:rPr>
          <w:color w:val="231F20"/>
        </w:rPr>
        <w:t>de la </w:t>
      </w:r>
      <w:r>
        <w:rPr>
          <w:color w:val="231F20"/>
          <w:spacing w:val="2"/>
        </w:rPr>
        <w:t>tierra, </w:t>
      </w:r>
      <w:r>
        <w:rPr>
          <w:color w:val="231F20"/>
        </w:rPr>
        <w:t>y </w:t>
      </w:r>
      <w:r>
        <w:rPr>
          <w:color w:val="231F20"/>
          <w:spacing w:val="2"/>
        </w:rPr>
        <w:t>tributaban sus </w:t>
      </w:r>
      <w:r>
        <w:rPr>
          <w:color w:val="231F20"/>
          <w:spacing w:val="3"/>
        </w:rPr>
        <w:t>productos </w:t>
      </w:r>
      <w:r>
        <w:rPr>
          <w:color w:val="231F20"/>
        </w:rPr>
        <w:t>a </w:t>
      </w:r>
      <w:r>
        <w:rPr>
          <w:color w:val="231F20"/>
          <w:spacing w:val="2"/>
        </w:rPr>
        <w:t>aquellos que </w:t>
      </w:r>
      <w:r>
        <w:rPr>
          <w:color w:val="231F20"/>
        </w:rPr>
        <w:t>les </w:t>
      </w:r>
      <w:r>
        <w:rPr>
          <w:color w:val="231F20"/>
          <w:spacing w:val="2"/>
        </w:rPr>
        <w:t>daban </w:t>
      </w:r>
      <w:r>
        <w:rPr>
          <w:color w:val="231F20"/>
          <w:spacing w:val="3"/>
        </w:rPr>
        <w:t>protección, </w:t>
      </w:r>
      <w:r>
        <w:rPr>
          <w:color w:val="231F20"/>
        </w:rPr>
        <w:t>así ese </w:t>
      </w:r>
      <w:r>
        <w:rPr>
          <w:color w:val="231F20"/>
          <w:spacing w:val="3"/>
        </w:rPr>
        <w:t>concepto </w:t>
      </w:r>
      <w:r>
        <w:rPr>
          <w:color w:val="231F20"/>
        </w:rPr>
        <w:t>de lo </w:t>
      </w:r>
      <w:r>
        <w:rPr>
          <w:color w:val="231F20"/>
          <w:spacing w:val="2"/>
        </w:rPr>
        <w:t>político </w:t>
      </w:r>
      <w:r>
        <w:rPr>
          <w:color w:val="231F20"/>
        </w:rPr>
        <w:t>se </w:t>
      </w:r>
      <w:r>
        <w:rPr>
          <w:color w:val="231F20"/>
          <w:spacing w:val="2"/>
        </w:rPr>
        <w:t>ajusta </w:t>
      </w:r>
      <w:r>
        <w:rPr>
          <w:color w:val="231F20"/>
        </w:rPr>
        <w:t>a </w:t>
      </w:r>
      <w:r>
        <w:rPr>
          <w:color w:val="231F20"/>
          <w:spacing w:val="2"/>
        </w:rPr>
        <w:t>una sociedad </w:t>
      </w:r>
      <w:r>
        <w:rPr>
          <w:color w:val="231F20"/>
        </w:rPr>
        <w:t>de </w:t>
      </w:r>
      <w:r>
        <w:rPr>
          <w:color w:val="231F20"/>
          <w:spacing w:val="2"/>
        </w:rPr>
        <w:t>clases, </w:t>
      </w:r>
      <w:r>
        <w:rPr>
          <w:color w:val="231F20"/>
        </w:rPr>
        <w:t>y en su </w:t>
      </w:r>
      <w:r>
        <w:rPr>
          <w:color w:val="231F20"/>
          <w:spacing w:val="2"/>
        </w:rPr>
        <w:t>lucha, por </w:t>
      </w:r>
      <w:r>
        <w:rPr>
          <w:color w:val="231F20"/>
        </w:rPr>
        <w:t>lo </w:t>
      </w:r>
      <w:r>
        <w:rPr>
          <w:color w:val="231F20"/>
          <w:spacing w:val="2"/>
        </w:rPr>
        <w:t>tanto, </w:t>
      </w:r>
      <w:r>
        <w:rPr>
          <w:color w:val="231F20"/>
        </w:rPr>
        <w:t>lo </w:t>
      </w:r>
      <w:r>
        <w:rPr>
          <w:color w:val="231F20"/>
          <w:spacing w:val="2"/>
        </w:rPr>
        <w:t>ético </w:t>
      </w:r>
      <w:r>
        <w:rPr>
          <w:color w:val="231F20"/>
        </w:rPr>
        <w:t>o </w:t>
      </w:r>
      <w:r>
        <w:rPr>
          <w:color w:val="231F20"/>
          <w:spacing w:val="3"/>
        </w:rPr>
        <w:t>moral </w:t>
      </w:r>
      <w:r>
        <w:rPr>
          <w:color w:val="231F20"/>
        </w:rPr>
        <w:t>se va </w:t>
      </w:r>
      <w:r>
        <w:rPr>
          <w:color w:val="231F20"/>
          <w:spacing w:val="3"/>
        </w:rPr>
        <w:t>desdibujando </w:t>
      </w:r>
      <w:r>
        <w:rPr>
          <w:color w:val="231F20"/>
          <w:spacing w:val="2"/>
        </w:rPr>
        <w:t>por </w:t>
      </w:r>
      <w:r>
        <w:rPr>
          <w:color w:val="231F20"/>
        </w:rPr>
        <w:t>un </w:t>
      </w:r>
      <w:r>
        <w:rPr>
          <w:color w:val="231F20"/>
          <w:spacing w:val="3"/>
        </w:rPr>
        <w:t>concepto  </w:t>
      </w:r>
      <w:r>
        <w:rPr>
          <w:color w:val="231F20"/>
        </w:rPr>
        <w:t>de  </w:t>
      </w:r>
      <w:r>
        <w:rPr>
          <w:color w:val="231F20"/>
          <w:spacing w:val="2"/>
        </w:rPr>
        <w:t>autoridad  </w:t>
      </w:r>
      <w:r>
        <w:rPr>
          <w:color w:val="231F20"/>
        </w:rPr>
        <w:t>y  </w:t>
      </w:r>
      <w:r>
        <w:rPr>
          <w:color w:val="231F20"/>
          <w:spacing w:val="3"/>
        </w:rPr>
        <w:t>poder,  </w:t>
      </w:r>
      <w:r>
        <w:rPr>
          <w:color w:val="231F20"/>
        </w:rPr>
        <w:t>de  </w:t>
      </w:r>
      <w:r>
        <w:rPr>
          <w:color w:val="231F20"/>
          <w:spacing w:val="2"/>
        </w:rPr>
        <w:t>protección  </w:t>
      </w:r>
      <w:r>
        <w:rPr>
          <w:color w:val="231F20"/>
        </w:rPr>
        <w:t>y  </w:t>
      </w:r>
      <w:r>
        <w:rPr>
          <w:color w:val="231F20"/>
          <w:spacing w:val="2"/>
        </w:rPr>
        <w:t>sujeción,  </w:t>
      </w:r>
      <w:r>
        <w:rPr>
          <w:color w:val="231F20"/>
        </w:rPr>
        <w:t>o</w:t>
      </w:r>
      <w:r>
        <w:rPr>
          <w:color w:val="231F20"/>
          <w:spacing w:val="7"/>
        </w:rPr>
        <w:t> </w:t>
      </w:r>
      <w:r>
        <w:rPr>
          <w:color w:val="231F20"/>
          <w:spacing w:val="4"/>
        </w:rPr>
        <w:t>de</w:t>
      </w:r>
    </w:p>
    <w:p>
      <w:pPr>
        <w:spacing w:after="0" w:line="249" w:lineRule="auto"/>
        <w:jc w:val="both"/>
        <w:sectPr>
          <w:headerReference w:type="default" r:id="rId86"/>
          <w:footerReference w:type="default" r:id="rId87"/>
          <w:pgSz w:w="7830" w:h="11910"/>
          <w:pgMar w:header="0" w:footer="424" w:top="500" w:bottom="620" w:left="920" w:right="900"/>
          <w:pgNumType w:start="3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21"/>
      </w:pPr>
      <w:r>
        <w:rPr>
          <w:color w:val="231F20"/>
        </w:rPr>
        <w:t>obediencia para sostener la vida; entonces la política se transforma en </w:t>
      </w:r>
      <w:r>
        <w:rPr>
          <w:i/>
          <w:color w:val="231F20"/>
        </w:rPr>
        <w:t>techne</w:t>
      </w:r>
      <w:r>
        <w:rPr>
          <w:color w:val="231F20"/>
        </w:rPr>
        <w:t>, en medio.</w:t>
      </w:r>
    </w:p>
    <w:p>
      <w:pPr>
        <w:pStyle w:val="BodyText"/>
        <w:spacing w:line="249" w:lineRule="auto" w:before="1"/>
        <w:ind w:left="102" w:right="114" w:firstLine="284"/>
        <w:jc w:val="both"/>
      </w:pPr>
      <w:r>
        <w:rPr>
          <w:color w:val="231F20"/>
          <w:spacing w:val="3"/>
        </w:rPr>
        <w:t>Al </w:t>
      </w:r>
      <w:r>
        <w:rPr>
          <w:color w:val="231F20"/>
          <w:spacing w:val="4"/>
        </w:rPr>
        <w:t>buscar </w:t>
      </w:r>
      <w:r>
        <w:rPr>
          <w:color w:val="231F20"/>
        </w:rPr>
        <w:t>la </w:t>
      </w:r>
      <w:r>
        <w:rPr>
          <w:color w:val="231F20"/>
          <w:spacing w:val="4"/>
        </w:rPr>
        <w:t>seguridad </w:t>
      </w:r>
      <w:r>
        <w:rPr>
          <w:color w:val="231F20"/>
          <w:spacing w:val="3"/>
        </w:rPr>
        <w:t>del </w:t>
      </w:r>
      <w:r>
        <w:rPr>
          <w:color w:val="231F20"/>
          <w:spacing w:val="4"/>
        </w:rPr>
        <w:t>orden </w:t>
      </w:r>
      <w:r>
        <w:rPr>
          <w:color w:val="231F20"/>
          <w:spacing w:val="3"/>
        </w:rPr>
        <w:t>civil, los </w:t>
      </w:r>
      <w:r>
        <w:rPr>
          <w:color w:val="231F20"/>
          <w:spacing w:val="4"/>
        </w:rPr>
        <w:t>individuos </w:t>
      </w:r>
      <w:r>
        <w:rPr>
          <w:color w:val="231F20"/>
          <w:spacing w:val="5"/>
        </w:rPr>
        <w:t>desean </w:t>
      </w:r>
      <w:r>
        <w:rPr>
          <w:color w:val="231F20"/>
          <w:spacing w:val="3"/>
        </w:rPr>
        <w:t>salir del </w:t>
      </w:r>
      <w:r>
        <w:rPr>
          <w:color w:val="231F20"/>
          <w:spacing w:val="4"/>
        </w:rPr>
        <w:t>estado </w:t>
      </w:r>
      <w:r>
        <w:rPr>
          <w:color w:val="231F20"/>
          <w:spacing w:val="3"/>
        </w:rPr>
        <w:t>de </w:t>
      </w:r>
      <w:r>
        <w:rPr>
          <w:color w:val="231F20"/>
          <w:spacing w:val="4"/>
        </w:rPr>
        <w:t>miseria </w:t>
      </w:r>
      <w:r>
        <w:rPr>
          <w:color w:val="231F20"/>
        </w:rPr>
        <w:t>y </w:t>
      </w:r>
      <w:r>
        <w:rPr>
          <w:color w:val="231F20"/>
          <w:spacing w:val="4"/>
        </w:rPr>
        <w:t>sufrimiento </w:t>
      </w:r>
      <w:r>
        <w:rPr>
          <w:color w:val="231F20"/>
          <w:spacing w:val="2"/>
        </w:rPr>
        <w:t>en </w:t>
      </w:r>
      <w:r>
        <w:rPr>
          <w:color w:val="231F20"/>
          <w:spacing w:val="4"/>
        </w:rPr>
        <w:t>virtud </w:t>
      </w:r>
      <w:r>
        <w:rPr>
          <w:color w:val="231F20"/>
          <w:spacing w:val="3"/>
        </w:rPr>
        <w:t>de sus </w:t>
      </w:r>
      <w:r>
        <w:rPr>
          <w:color w:val="231F20"/>
          <w:spacing w:val="5"/>
        </w:rPr>
        <w:t>impul- </w:t>
      </w:r>
      <w:r>
        <w:rPr>
          <w:color w:val="231F20"/>
          <w:spacing w:val="3"/>
        </w:rPr>
        <w:t>sos </w:t>
      </w:r>
      <w:r>
        <w:rPr>
          <w:color w:val="231F20"/>
          <w:spacing w:val="4"/>
        </w:rPr>
        <w:t>naturales. Como ciencia </w:t>
      </w:r>
      <w:r>
        <w:rPr>
          <w:color w:val="231F20"/>
          <w:spacing w:val="3"/>
        </w:rPr>
        <w:t>del </w:t>
      </w:r>
      <w:r>
        <w:rPr>
          <w:color w:val="231F20"/>
          <w:spacing w:val="4"/>
        </w:rPr>
        <w:t>Estado natural, </w:t>
      </w:r>
      <w:r>
        <w:rPr>
          <w:color w:val="231F20"/>
        </w:rPr>
        <w:t>la  </w:t>
      </w:r>
      <w:r>
        <w:rPr>
          <w:color w:val="231F20"/>
          <w:spacing w:val="3"/>
        </w:rPr>
        <w:t>ética </w:t>
      </w:r>
      <w:r>
        <w:rPr>
          <w:color w:val="231F20"/>
          <w:spacing w:val="4"/>
        </w:rPr>
        <w:t>clásica  </w:t>
      </w:r>
      <w:r>
        <w:rPr>
          <w:color w:val="231F20"/>
          <w:spacing w:val="3"/>
        </w:rPr>
        <w:t>del </w:t>
      </w:r>
      <w:r>
        <w:rPr>
          <w:color w:val="231F20"/>
          <w:spacing w:val="4"/>
        </w:rPr>
        <w:t>derecho natural </w:t>
      </w:r>
      <w:r>
        <w:rPr>
          <w:color w:val="231F20"/>
          <w:spacing w:val="2"/>
        </w:rPr>
        <w:t>se </w:t>
      </w:r>
      <w:r>
        <w:rPr>
          <w:color w:val="231F20"/>
          <w:spacing w:val="4"/>
        </w:rPr>
        <w:t>desliga </w:t>
      </w:r>
      <w:r>
        <w:rPr>
          <w:color w:val="231F20"/>
          <w:spacing w:val="3"/>
        </w:rPr>
        <w:t>de una física </w:t>
      </w:r>
      <w:r>
        <w:rPr>
          <w:color w:val="231F20"/>
          <w:spacing w:val="4"/>
        </w:rPr>
        <w:t>moderna </w:t>
      </w:r>
      <w:r>
        <w:rPr>
          <w:color w:val="231F20"/>
          <w:spacing w:val="3"/>
        </w:rPr>
        <w:t>de </w:t>
      </w:r>
      <w:r>
        <w:rPr>
          <w:color w:val="231F20"/>
        </w:rPr>
        <w:t>la </w:t>
      </w:r>
      <w:r>
        <w:rPr>
          <w:color w:val="231F20"/>
          <w:spacing w:val="5"/>
        </w:rPr>
        <w:t>natura- </w:t>
      </w:r>
      <w:r>
        <w:rPr>
          <w:color w:val="231F20"/>
          <w:spacing w:val="3"/>
        </w:rPr>
        <w:t>leza </w:t>
      </w:r>
      <w:r>
        <w:rPr>
          <w:color w:val="231F20"/>
          <w:spacing w:val="5"/>
        </w:rPr>
        <w:t>humana, </w:t>
      </w:r>
      <w:r>
        <w:rPr>
          <w:color w:val="231F20"/>
          <w:spacing w:val="2"/>
        </w:rPr>
        <w:t>va </w:t>
      </w:r>
      <w:r>
        <w:rPr>
          <w:color w:val="231F20"/>
          <w:spacing w:val="4"/>
        </w:rPr>
        <w:t>gestando explicaciones  </w:t>
      </w:r>
      <w:r>
        <w:rPr>
          <w:color w:val="231F20"/>
          <w:spacing w:val="3"/>
        </w:rPr>
        <w:t>de  tipo  </w:t>
      </w:r>
      <w:r>
        <w:rPr>
          <w:color w:val="231F20"/>
          <w:spacing w:val="4"/>
        </w:rPr>
        <w:t>iusnaturalista </w:t>
      </w:r>
      <w:r>
        <w:rPr>
          <w:color w:val="231F20"/>
          <w:spacing w:val="3"/>
        </w:rPr>
        <w:t>que </w:t>
      </w:r>
      <w:r>
        <w:rPr>
          <w:color w:val="231F20"/>
          <w:spacing w:val="4"/>
        </w:rPr>
        <w:t>legitiman </w:t>
      </w:r>
      <w:r>
        <w:rPr>
          <w:color w:val="231F20"/>
          <w:spacing w:val="2"/>
        </w:rPr>
        <w:t>el </w:t>
      </w:r>
      <w:r>
        <w:rPr>
          <w:color w:val="231F20"/>
          <w:spacing w:val="4"/>
        </w:rPr>
        <w:t>poder, pues indica </w:t>
      </w:r>
      <w:r>
        <w:rPr>
          <w:color w:val="231F20"/>
          <w:spacing w:val="3"/>
        </w:rPr>
        <w:t>que </w:t>
      </w:r>
      <w:r>
        <w:rPr>
          <w:color w:val="231F20"/>
          <w:spacing w:val="4"/>
        </w:rPr>
        <w:t>todos </w:t>
      </w:r>
      <w:r>
        <w:rPr>
          <w:color w:val="231F20"/>
          <w:spacing w:val="3"/>
        </w:rPr>
        <w:t>los </w:t>
      </w:r>
      <w:r>
        <w:rPr>
          <w:color w:val="231F20"/>
          <w:spacing w:val="4"/>
        </w:rPr>
        <w:t>individuos </w:t>
      </w:r>
      <w:r>
        <w:rPr>
          <w:color w:val="231F20"/>
          <w:spacing w:val="5"/>
        </w:rPr>
        <w:t>son </w:t>
      </w:r>
      <w:r>
        <w:rPr>
          <w:color w:val="231F20"/>
          <w:spacing w:val="4"/>
        </w:rPr>
        <w:t>libres, todos </w:t>
      </w:r>
      <w:r>
        <w:rPr>
          <w:color w:val="231F20"/>
          <w:spacing w:val="3"/>
        </w:rPr>
        <w:t>son </w:t>
      </w:r>
      <w:r>
        <w:rPr>
          <w:color w:val="231F20"/>
          <w:spacing w:val="4"/>
        </w:rPr>
        <w:t>iguales, todos tienen derecho </w:t>
      </w:r>
      <w:r>
        <w:rPr>
          <w:color w:val="231F20"/>
        </w:rPr>
        <w:t>a </w:t>
      </w:r>
      <w:r>
        <w:rPr>
          <w:color w:val="231F20"/>
          <w:spacing w:val="4"/>
        </w:rPr>
        <w:t>todo </w:t>
      </w:r>
      <w:r>
        <w:rPr>
          <w:color w:val="231F20"/>
        </w:rPr>
        <w:t>y </w:t>
      </w:r>
      <w:r>
        <w:rPr>
          <w:color w:val="231F20"/>
          <w:spacing w:val="3"/>
        </w:rPr>
        <w:t>de </w:t>
      </w:r>
      <w:r>
        <w:rPr>
          <w:color w:val="231F20"/>
          <w:spacing w:val="4"/>
        </w:rPr>
        <w:t>todo, como consecuencia </w:t>
      </w:r>
      <w:r>
        <w:rPr>
          <w:color w:val="231F20"/>
          <w:spacing w:val="2"/>
        </w:rPr>
        <w:t>se </w:t>
      </w:r>
      <w:r>
        <w:rPr>
          <w:color w:val="231F20"/>
          <w:spacing w:val="4"/>
        </w:rPr>
        <w:t>sostiene </w:t>
      </w:r>
      <w:r>
        <w:rPr>
          <w:color w:val="231F20"/>
          <w:spacing w:val="3"/>
        </w:rPr>
        <w:t>un </w:t>
      </w:r>
      <w:r>
        <w:rPr>
          <w:color w:val="231F20"/>
          <w:spacing w:val="4"/>
        </w:rPr>
        <w:t>estado </w:t>
      </w:r>
      <w:r>
        <w:rPr>
          <w:color w:val="231F20"/>
          <w:spacing w:val="3"/>
        </w:rPr>
        <w:t>de </w:t>
      </w:r>
      <w:r>
        <w:rPr>
          <w:color w:val="231F20"/>
          <w:spacing w:val="4"/>
        </w:rPr>
        <w:t>desgarramiento recíproco, por </w:t>
      </w:r>
      <w:r>
        <w:rPr>
          <w:color w:val="231F20"/>
          <w:spacing w:val="2"/>
        </w:rPr>
        <w:t>lo </w:t>
      </w:r>
      <w:r>
        <w:rPr>
          <w:color w:val="231F20"/>
          <w:spacing w:val="3"/>
        </w:rPr>
        <w:t>que hay que </w:t>
      </w:r>
      <w:r>
        <w:rPr>
          <w:color w:val="231F20"/>
          <w:spacing w:val="4"/>
        </w:rPr>
        <w:t>organizar </w:t>
      </w:r>
      <w:r>
        <w:rPr>
          <w:color w:val="231F20"/>
          <w:spacing w:val="2"/>
        </w:rPr>
        <w:t>la </w:t>
      </w:r>
      <w:r>
        <w:rPr>
          <w:color w:val="231F20"/>
          <w:spacing w:val="4"/>
        </w:rPr>
        <w:t>amenaza </w:t>
      </w:r>
      <w:r>
        <w:rPr>
          <w:color w:val="231F20"/>
        </w:rPr>
        <w:t>y </w:t>
      </w:r>
      <w:r>
        <w:rPr>
          <w:color w:val="231F20"/>
          <w:spacing w:val="2"/>
        </w:rPr>
        <w:t>la </w:t>
      </w:r>
      <w:r>
        <w:rPr>
          <w:color w:val="231F20"/>
          <w:spacing w:val="4"/>
        </w:rPr>
        <w:t>utiliza- </w:t>
      </w:r>
      <w:r>
        <w:rPr>
          <w:color w:val="231F20"/>
          <w:spacing w:val="3"/>
        </w:rPr>
        <w:t>ción de </w:t>
      </w:r>
      <w:r>
        <w:rPr>
          <w:color w:val="231F20"/>
        </w:rPr>
        <w:t>la </w:t>
      </w:r>
      <w:r>
        <w:rPr>
          <w:color w:val="231F20"/>
          <w:spacing w:val="4"/>
        </w:rPr>
        <w:t>violencia para </w:t>
      </w:r>
      <w:r>
        <w:rPr>
          <w:color w:val="231F20"/>
        </w:rPr>
        <w:t>la </w:t>
      </w:r>
      <w:r>
        <w:rPr>
          <w:color w:val="231F20"/>
          <w:spacing w:val="4"/>
        </w:rPr>
        <w:t>protección </w:t>
      </w:r>
      <w:r>
        <w:rPr>
          <w:color w:val="231F20"/>
          <w:spacing w:val="2"/>
        </w:rPr>
        <w:t>de </w:t>
      </w:r>
      <w:r>
        <w:rPr>
          <w:color w:val="231F20"/>
        </w:rPr>
        <w:t>la </w:t>
      </w:r>
      <w:r>
        <w:rPr>
          <w:color w:val="231F20"/>
          <w:spacing w:val="4"/>
        </w:rPr>
        <w:t>misma sociedad civil, </w:t>
      </w:r>
      <w:r>
        <w:rPr>
          <w:color w:val="231F20"/>
          <w:spacing w:val="3"/>
        </w:rPr>
        <w:t>ello </w:t>
      </w:r>
      <w:r>
        <w:rPr>
          <w:color w:val="231F20"/>
          <w:spacing w:val="4"/>
        </w:rPr>
        <w:t>matiza </w:t>
      </w:r>
      <w:r>
        <w:rPr>
          <w:color w:val="231F20"/>
          <w:spacing w:val="2"/>
        </w:rPr>
        <w:t>el </w:t>
      </w:r>
      <w:r>
        <w:rPr>
          <w:color w:val="231F20"/>
          <w:spacing w:val="4"/>
        </w:rPr>
        <w:t>carácter </w:t>
      </w:r>
      <w:r>
        <w:rPr>
          <w:color w:val="231F20"/>
          <w:spacing w:val="3"/>
        </w:rPr>
        <w:t>del </w:t>
      </w:r>
      <w:r>
        <w:rPr>
          <w:color w:val="231F20"/>
          <w:spacing w:val="4"/>
        </w:rPr>
        <w:t>soberano, </w:t>
      </w:r>
      <w:r>
        <w:rPr>
          <w:color w:val="231F20"/>
          <w:spacing w:val="3"/>
        </w:rPr>
        <w:t>del </w:t>
      </w:r>
      <w:r>
        <w:rPr>
          <w:color w:val="231F20"/>
          <w:spacing w:val="4"/>
        </w:rPr>
        <w:t>poder estatal </w:t>
      </w:r>
      <w:r>
        <w:rPr>
          <w:color w:val="231F20"/>
          <w:spacing w:val="3"/>
        </w:rPr>
        <w:t>que </w:t>
      </w:r>
      <w:r>
        <w:rPr>
          <w:color w:val="231F20"/>
          <w:spacing w:val="2"/>
        </w:rPr>
        <w:t>se </w:t>
      </w:r>
      <w:r>
        <w:rPr>
          <w:color w:val="231F20"/>
          <w:spacing w:val="4"/>
        </w:rPr>
        <w:t>deduce </w:t>
      </w:r>
      <w:r>
        <w:rPr>
          <w:color w:val="231F20"/>
          <w:spacing w:val="3"/>
        </w:rPr>
        <w:t>de </w:t>
      </w:r>
      <w:r>
        <w:rPr>
          <w:color w:val="231F20"/>
        </w:rPr>
        <w:t>la </w:t>
      </w:r>
      <w:r>
        <w:rPr>
          <w:color w:val="231F20"/>
          <w:spacing w:val="4"/>
        </w:rPr>
        <w:t>necesidad </w:t>
      </w:r>
      <w:r>
        <w:rPr>
          <w:color w:val="231F20"/>
          <w:spacing w:val="3"/>
        </w:rPr>
        <w:t>de </w:t>
      </w:r>
      <w:r>
        <w:rPr>
          <w:color w:val="231F20"/>
          <w:spacing w:val="4"/>
        </w:rPr>
        <w:t>obtener </w:t>
      </w:r>
      <w:r>
        <w:rPr>
          <w:color w:val="231F20"/>
          <w:spacing w:val="3"/>
        </w:rPr>
        <w:t>por </w:t>
      </w:r>
      <w:r>
        <w:rPr>
          <w:color w:val="231F20"/>
        </w:rPr>
        <w:t>la </w:t>
      </w:r>
      <w:r>
        <w:rPr>
          <w:color w:val="231F20"/>
          <w:spacing w:val="4"/>
        </w:rPr>
        <w:t>fuerza, </w:t>
      </w:r>
      <w:r>
        <w:rPr>
          <w:color w:val="231F20"/>
        </w:rPr>
        <w:t>la </w:t>
      </w:r>
      <w:r>
        <w:rPr>
          <w:color w:val="231F20"/>
          <w:spacing w:val="4"/>
        </w:rPr>
        <w:t>validez </w:t>
      </w:r>
      <w:r>
        <w:rPr>
          <w:color w:val="231F20"/>
          <w:spacing w:val="5"/>
        </w:rPr>
        <w:t>del </w:t>
      </w:r>
      <w:r>
        <w:rPr>
          <w:color w:val="231F20"/>
          <w:spacing w:val="4"/>
        </w:rPr>
        <w:t>sistema contractual, </w:t>
      </w:r>
      <w:r>
        <w:rPr>
          <w:color w:val="231F20"/>
        </w:rPr>
        <w:t>y </w:t>
      </w:r>
      <w:r>
        <w:rPr>
          <w:color w:val="231F20"/>
          <w:spacing w:val="4"/>
        </w:rPr>
        <w:t>este, </w:t>
      </w:r>
      <w:r>
        <w:rPr>
          <w:color w:val="231F20"/>
          <w:spacing w:val="3"/>
        </w:rPr>
        <w:t>de </w:t>
      </w:r>
      <w:r>
        <w:rPr>
          <w:color w:val="231F20"/>
        </w:rPr>
        <w:t>la </w:t>
      </w:r>
      <w:r>
        <w:rPr>
          <w:color w:val="231F20"/>
          <w:spacing w:val="4"/>
        </w:rPr>
        <w:t>necesidad </w:t>
      </w:r>
      <w:r>
        <w:rPr>
          <w:color w:val="231F20"/>
          <w:spacing w:val="3"/>
        </w:rPr>
        <w:t>de </w:t>
      </w:r>
      <w:r>
        <w:rPr>
          <w:color w:val="231F20"/>
          <w:spacing w:val="4"/>
        </w:rPr>
        <w:t>hacer posible </w:t>
      </w:r>
      <w:r>
        <w:rPr>
          <w:color w:val="231F20"/>
        </w:rPr>
        <w:t>la </w:t>
      </w:r>
      <w:r>
        <w:rPr>
          <w:color w:val="231F20"/>
          <w:spacing w:val="4"/>
        </w:rPr>
        <w:t>supervivencia </w:t>
      </w:r>
      <w:r>
        <w:rPr>
          <w:color w:val="231F20"/>
          <w:spacing w:val="2"/>
        </w:rPr>
        <w:t>en </w:t>
      </w:r>
      <w:r>
        <w:rPr>
          <w:color w:val="231F20"/>
          <w:spacing w:val="3"/>
        </w:rPr>
        <w:t>paz </w:t>
      </w:r>
      <w:r>
        <w:rPr>
          <w:color w:val="231F20"/>
        </w:rPr>
        <w:t>y </w:t>
      </w:r>
      <w:r>
        <w:rPr>
          <w:color w:val="231F20"/>
          <w:spacing w:val="2"/>
        </w:rPr>
        <w:t>en </w:t>
      </w:r>
      <w:r>
        <w:rPr>
          <w:color w:val="231F20"/>
          <w:spacing w:val="4"/>
        </w:rPr>
        <w:t>orden </w:t>
      </w:r>
      <w:r>
        <w:rPr>
          <w:color w:val="231F20"/>
          <w:spacing w:val="2"/>
        </w:rPr>
        <w:t>y, </w:t>
      </w:r>
      <w:r>
        <w:rPr>
          <w:color w:val="231F20"/>
        </w:rPr>
        <w:t>a </w:t>
      </w:r>
      <w:r>
        <w:rPr>
          <w:color w:val="231F20"/>
          <w:spacing w:val="2"/>
        </w:rPr>
        <w:t>su </w:t>
      </w:r>
      <w:r>
        <w:rPr>
          <w:color w:val="231F20"/>
          <w:spacing w:val="3"/>
        </w:rPr>
        <w:t>vez, de </w:t>
      </w:r>
      <w:r>
        <w:rPr>
          <w:color w:val="231F20"/>
          <w:spacing w:val="4"/>
        </w:rPr>
        <w:t>suprimir </w:t>
      </w:r>
      <w:r>
        <w:rPr>
          <w:color w:val="231F20"/>
        </w:rPr>
        <w:t>la </w:t>
      </w:r>
      <w:r>
        <w:rPr>
          <w:color w:val="231F20"/>
          <w:spacing w:val="5"/>
        </w:rPr>
        <w:t>vio- </w:t>
      </w:r>
      <w:r>
        <w:rPr>
          <w:color w:val="231F20"/>
          <w:spacing w:val="3"/>
        </w:rPr>
        <w:t>lencia </w:t>
      </w:r>
      <w:r>
        <w:rPr>
          <w:color w:val="231F20"/>
          <w:spacing w:val="4"/>
        </w:rPr>
        <w:t>que existe </w:t>
      </w:r>
      <w:r>
        <w:rPr>
          <w:color w:val="231F20"/>
          <w:spacing w:val="2"/>
        </w:rPr>
        <w:t>en el </w:t>
      </w:r>
      <w:r>
        <w:rPr>
          <w:color w:val="231F20"/>
          <w:spacing w:val="4"/>
        </w:rPr>
        <w:t>estado</w:t>
      </w:r>
      <w:r>
        <w:rPr>
          <w:color w:val="231F20"/>
        </w:rPr>
        <w:t> </w:t>
      </w:r>
      <w:r>
        <w:rPr>
          <w:color w:val="231F20"/>
          <w:spacing w:val="4"/>
        </w:rPr>
        <w:t>natural.</w:t>
      </w:r>
    </w:p>
    <w:p>
      <w:pPr>
        <w:pStyle w:val="BodyText"/>
        <w:spacing w:line="247" w:lineRule="auto" w:before="3"/>
        <w:ind w:left="101" w:right="115" w:firstLine="284"/>
        <w:jc w:val="both"/>
      </w:pPr>
      <w:r>
        <w:rPr>
          <w:color w:val="231F20"/>
        </w:rPr>
        <w:t>Hobbes proyecta el derecho natural absoluto sobre una relación de los hombres entre sí interpretada a través de Maquiavelo, en esa medida</w:t>
      </w:r>
      <w:r>
        <w:rPr>
          <w:color w:val="231F20"/>
          <w:spacing w:val="-10"/>
        </w:rPr>
        <w:t> </w:t>
      </w:r>
      <w:r>
        <w:rPr>
          <w:color w:val="231F20"/>
        </w:rPr>
        <w:t>aparece</w:t>
      </w:r>
      <w:r>
        <w:rPr>
          <w:color w:val="231F20"/>
          <w:spacing w:val="-10"/>
        </w:rPr>
        <w:t> </w:t>
      </w:r>
      <w:r>
        <w:rPr>
          <w:color w:val="231F20"/>
        </w:rPr>
        <w:t>como</w:t>
      </w:r>
      <w:r>
        <w:rPr>
          <w:color w:val="231F20"/>
          <w:spacing w:val="-10"/>
        </w:rPr>
        <w:t> </w:t>
      </w:r>
      <w:r>
        <w:rPr>
          <w:color w:val="231F20"/>
        </w:rPr>
        <w:t>si</w:t>
      </w:r>
      <w:r>
        <w:rPr>
          <w:color w:val="231F20"/>
          <w:spacing w:val="-10"/>
        </w:rPr>
        <w:t> </w:t>
      </w:r>
      <w:r>
        <w:rPr>
          <w:color w:val="231F20"/>
        </w:rPr>
        <w:t>la</w:t>
      </w:r>
      <w:r>
        <w:rPr>
          <w:color w:val="231F20"/>
          <w:spacing w:val="-10"/>
        </w:rPr>
        <w:t> </w:t>
      </w:r>
      <w:r>
        <w:rPr>
          <w:color w:val="231F20"/>
        </w:rPr>
        <w:t>legalidad</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natural</w:t>
      </w:r>
      <w:r>
        <w:rPr>
          <w:color w:val="231F20"/>
          <w:spacing w:val="-10"/>
        </w:rPr>
        <w:t> </w:t>
      </w:r>
      <w:r>
        <w:rPr>
          <w:color w:val="231F20"/>
        </w:rPr>
        <w:t>fuera</w:t>
      </w:r>
      <w:r>
        <w:rPr>
          <w:color w:val="231F20"/>
          <w:spacing w:val="-10"/>
        </w:rPr>
        <w:t> </w:t>
      </w:r>
      <w:r>
        <w:rPr>
          <w:color w:val="231F20"/>
        </w:rPr>
        <w:t>aprehen- dida normativamente (Habermas, 1993: 70). Traspasa esa forma de ciencia natural fisicalista a categorías jurídicas, aunque siempre la denomine</w:t>
      </w:r>
      <w:r>
        <w:rPr>
          <w:color w:val="231F20"/>
          <w:spacing w:val="-13"/>
        </w:rPr>
        <w:t> </w:t>
      </w:r>
      <w:r>
        <w:rPr>
          <w:color w:val="231F20"/>
        </w:rPr>
        <w:t>como</w:t>
      </w:r>
      <w:r>
        <w:rPr>
          <w:color w:val="231F20"/>
          <w:spacing w:val="-13"/>
        </w:rPr>
        <w:t> </w:t>
      </w:r>
      <w:r>
        <w:rPr>
          <w:color w:val="231F20"/>
        </w:rPr>
        <w:t>ley</w:t>
      </w:r>
      <w:r>
        <w:rPr>
          <w:color w:val="231F20"/>
          <w:spacing w:val="-13"/>
        </w:rPr>
        <w:t> </w:t>
      </w:r>
      <w:r>
        <w:rPr>
          <w:color w:val="231F20"/>
        </w:rPr>
        <w:t>natural,</w:t>
      </w:r>
      <w:r>
        <w:rPr>
          <w:color w:val="231F20"/>
          <w:spacing w:val="-13"/>
        </w:rPr>
        <w:t> </w:t>
      </w:r>
      <w:r>
        <w:rPr>
          <w:color w:val="231F20"/>
        </w:rPr>
        <w:t>de</w:t>
      </w:r>
      <w:r>
        <w:rPr>
          <w:color w:val="231F20"/>
          <w:spacing w:val="-13"/>
        </w:rPr>
        <w:t> </w:t>
      </w:r>
      <w:r>
        <w:rPr>
          <w:color w:val="231F20"/>
        </w:rPr>
        <w:t>ahí</w:t>
      </w:r>
      <w:r>
        <w:rPr>
          <w:color w:val="231F20"/>
          <w:spacing w:val="-13"/>
        </w:rPr>
        <w:t> </w:t>
      </w:r>
      <w:r>
        <w:rPr>
          <w:color w:val="231F20"/>
        </w:rPr>
        <w:t>la</w:t>
      </w:r>
      <w:r>
        <w:rPr>
          <w:color w:val="231F20"/>
          <w:spacing w:val="-13"/>
        </w:rPr>
        <w:t> </w:t>
      </w:r>
      <w:r>
        <w:rPr>
          <w:color w:val="231F20"/>
        </w:rPr>
        <w:t>necesidad</w:t>
      </w:r>
      <w:r>
        <w:rPr>
          <w:color w:val="231F20"/>
          <w:spacing w:val="-13"/>
        </w:rPr>
        <w:t> </w:t>
      </w:r>
      <w:r>
        <w:rPr>
          <w:color w:val="231F20"/>
        </w:rPr>
        <w:t>práctica</w:t>
      </w:r>
      <w:r>
        <w:rPr>
          <w:color w:val="231F20"/>
          <w:spacing w:val="-13"/>
        </w:rPr>
        <w:t> </w:t>
      </w:r>
      <w:r>
        <w:rPr>
          <w:color w:val="231F20"/>
        </w:rPr>
        <w:t>del</w:t>
      </w:r>
      <w:r>
        <w:rPr>
          <w:color w:val="231F20"/>
          <w:spacing w:val="-13"/>
        </w:rPr>
        <w:t> </w:t>
      </w:r>
      <w:r>
        <w:rPr>
          <w:color w:val="231F20"/>
        </w:rPr>
        <w:t>contrato.</w:t>
      </w:r>
    </w:p>
    <w:p>
      <w:pPr>
        <w:pStyle w:val="BodyText"/>
        <w:spacing w:line="249" w:lineRule="auto" w:before="1"/>
        <w:ind w:left="101" w:right="115" w:firstLine="284"/>
        <w:jc w:val="both"/>
      </w:pPr>
      <w:r>
        <w:rPr>
          <w:color w:val="231F20"/>
        </w:rPr>
        <w:t>Lo que </w:t>
      </w:r>
      <w:r>
        <w:rPr>
          <w:color w:val="231F20"/>
          <w:spacing w:val="2"/>
        </w:rPr>
        <w:t>caracteriza </w:t>
      </w:r>
      <w:r>
        <w:rPr>
          <w:color w:val="231F20"/>
        </w:rPr>
        <w:t>al </w:t>
      </w:r>
      <w:r>
        <w:rPr>
          <w:color w:val="231F20"/>
          <w:spacing w:val="2"/>
        </w:rPr>
        <w:t>poder político </w:t>
      </w:r>
      <w:r>
        <w:rPr>
          <w:color w:val="231F20"/>
        </w:rPr>
        <w:t>es la </w:t>
      </w:r>
      <w:r>
        <w:rPr>
          <w:color w:val="231F20"/>
          <w:spacing w:val="2"/>
        </w:rPr>
        <w:t>exclusividad del </w:t>
      </w:r>
      <w:r>
        <w:rPr>
          <w:color w:val="231F20"/>
        </w:rPr>
        <w:t>uso  de la </w:t>
      </w:r>
      <w:r>
        <w:rPr>
          <w:color w:val="231F20"/>
          <w:spacing w:val="2"/>
        </w:rPr>
        <w:t>fuerza respecto </w:t>
      </w:r>
      <w:r>
        <w:rPr>
          <w:color w:val="231F20"/>
        </w:rPr>
        <w:t>de </w:t>
      </w:r>
      <w:r>
        <w:rPr>
          <w:color w:val="231F20"/>
          <w:spacing w:val="3"/>
        </w:rPr>
        <w:t>todos </w:t>
      </w:r>
      <w:r>
        <w:rPr>
          <w:color w:val="231F20"/>
          <w:spacing w:val="2"/>
        </w:rPr>
        <w:t>los </w:t>
      </w:r>
      <w:r>
        <w:rPr>
          <w:color w:val="231F20"/>
          <w:spacing w:val="3"/>
        </w:rPr>
        <w:t>grupos </w:t>
      </w:r>
      <w:r>
        <w:rPr>
          <w:color w:val="231F20"/>
          <w:spacing w:val="2"/>
        </w:rPr>
        <w:t>que actúan </w:t>
      </w:r>
      <w:r>
        <w:rPr>
          <w:color w:val="231F20"/>
        </w:rPr>
        <w:t>en un </w:t>
      </w:r>
      <w:r>
        <w:rPr>
          <w:color w:val="231F20"/>
          <w:spacing w:val="2"/>
        </w:rPr>
        <w:t>deter- minado contexto social, resultado </w:t>
      </w:r>
      <w:r>
        <w:rPr>
          <w:color w:val="231F20"/>
        </w:rPr>
        <w:t>de un </w:t>
      </w:r>
      <w:r>
        <w:rPr>
          <w:color w:val="231F20"/>
          <w:spacing w:val="2"/>
        </w:rPr>
        <w:t>proceso </w:t>
      </w:r>
      <w:r>
        <w:rPr>
          <w:color w:val="231F20"/>
        </w:rPr>
        <w:t>que se </w:t>
      </w:r>
      <w:r>
        <w:rPr>
          <w:color w:val="231F20"/>
          <w:spacing w:val="2"/>
        </w:rPr>
        <w:t>desarrolla </w:t>
      </w:r>
      <w:r>
        <w:rPr>
          <w:color w:val="231F20"/>
        </w:rPr>
        <w:t>en </w:t>
      </w:r>
      <w:r>
        <w:rPr>
          <w:color w:val="231F20"/>
          <w:spacing w:val="2"/>
        </w:rPr>
        <w:t>toda sociedad organizada hacia </w:t>
      </w:r>
      <w:r>
        <w:rPr>
          <w:color w:val="231F20"/>
        </w:rPr>
        <w:t>la </w:t>
      </w:r>
      <w:r>
        <w:rPr>
          <w:color w:val="231F20"/>
          <w:spacing w:val="3"/>
        </w:rPr>
        <w:t>monopolización </w:t>
      </w:r>
      <w:r>
        <w:rPr>
          <w:color w:val="231F20"/>
        </w:rPr>
        <w:t>de la </w:t>
      </w:r>
      <w:r>
        <w:rPr>
          <w:color w:val="231F20"/>
          <w:spacing w:val="2"/>
        </w:rPr>
        <w:t>pose- sión </w:t>
      </w:r>
      <w:r>
        <w:rPr>
          <w:color w:val="231F20"/>
        </w:rPr>
        <w:t>y uso de </w:t>
      </w:r>
      <w:r>
        <w:rPr>
          <w:color w:val="231F20"/>
          <w:spacing w:val="2"/>
        </w:rPr>
        <w:t>los </w:t>
      </w:r>
      <w:r>
        <w:rPr>
          <w:color w:val="231F20"/>
          <w:spacing w:val="3"/>
        </w:rPr>
        <w:t>medios </w:t>
      </w:r>
      <w:r>
        <w:rPr>
          <w:color w:val="231F20"/>
          <w:spacing w:val="2"/>
        </w:rPr>
        <w:t>con los cuales </w:t>
      </w:r>
      <w:r>
        <w:rPr>
          <w:color w:val="231F20"/>
        </w:rPr>
        <w:t>es </w:t>
      </w:r>
      <w:r>
        <w:rPr>
          <w:color w:val="231F20"/>
          <w:spacing w:val="2"/>
        </w:rPr>
        <w:t>posible ejercer </w:t>
      </w:r>
      <w:r>
        <w:rPr>
          <w:color w:val="231F20"/>
        </w:rPr>
        <w:t>la coac- </w:t>
      </w:r>
      <w:r>
        <w:rPr>
          <w:color w:val="231F20"/>
          <w:spacing w:val="2"/>
        </w:rPr>
        <w:t>ción física. </w:t>
      </w:r>
      <w:r>
        <w:rPr>
          <w:color w:val="231F20"/>
        </w:rPr>
        <w:t>En la </w:t>
      </w:r>
      <w:r>
        <w:rPr>
          <w:color w:val="231F20"/>
          <w:spacing w:val="2"/>
        </w:rPr>
        <w:t>hipótesis </w:t>
      </w:r>
      <w:r>
        <w:rPr>
          <w:color w:val="231F20"/>
          <w:spacing w:val="3"/>
        </w:rPr>
        <w:t>hobbesiana, </w:t>
      </w:r>
      <w:r>
        <w:rPr>
          <w:color w:val="231F20"/>
        </w:rPr>
        <w:t>el </w:t>
      </w:r>
      <w:r>
        <w:rPr>
          <w:color w:val="231F20"/>
          <w:spacing w:val="2"/>
        </w:rPr>
        <w:t>pasaje del estado </w:t>
      </w:r>
      <w:r>
        <w:rPr>
          <w:color w:val="231F20"/>
        </w:rPr>
        <w:t>de </w:t>
      </w:r>
      <w:r>
        <w:rPr>
          <w:color w:val="231F20"/>
          <w:spacing w:val="2"/>
        </w:rPr>
        <w:t>naturaleza </w:t>
      </w:r>
      <w:r>
        <w:rPr>
          <w:color w:val="231F20"/>
        </w:rPr>
        <w:t>al </w:t>
      </w:r>
      <w:r>
        <w:rPr>
          <w:color w:val="231F20"/>
          <w:spacing w:val="2"/>
        </w:rPr>
        <w:t>estado </w:t>
      </w:r>
      <w:r>
        <w:rPr>
          <w:color w:val="231F20"/>
        </w:rPr>
        <w:t>civil se </w:t>
      </w:r>
      <w:r>
        <w:rPr>
          <w:color w:val="231F20"/>
          <w:spacing w:val="2"/>
        </w:rPr>
        <w:t>produce cuando los individuos </w:t>
      </w:r>
      <w:r>
        <w:rPr>
          <w:color w:val="231F20"/>
          <w:spacing w:val="3"/>
        </w:rPr>
        <w:t>renun- </w:t>
      </w:r>
      <w:r>
        <w:rPr>
          <w:color w:val="231F20"/>
        </w:rPr>
        <w:t>cian al </w:t>
      </w:r>
      <w:r>
        <w:rPr>
          <w:color w:val="231F20"/>
          <w:spacing w:val="2"/>
        </w:rPr>
        <w:t>derecho </w:t>
      </w:r>
      <w:r>
        <w:rPr>
          <w:color w:val="231F20"/>
        </w:rPr>
        <w:t>de </w:t>
      </w:r>
      <w:r>
        <w:rPr>
          <w:color w:val="231F20"/>
          <w:spacing w:val="2"/>
        </w:rPr>
        <w:t>usar cada uno </w:t>
      </w:r>
      <w:r>
        <w:rPr>
          <w:color w:val="231F20"/>
        </w:rPr>
        <w:t>su  </w:t>
      </w:r>
      <w:r>
        <w:rPr>
          <w:color w:val="231F20"/>
          <w:spacing w:val="2"/>
        </w:rPr>
        <w:t>propia fuerza que los iguala  </w:t>
      </w:r>
      <w:r>
        <w:rPr>
          <w:color w:val="231F20"/>
        </w:rPr>
        <w:t>en el </w:t>
      </w:r>
      <w:r>
        <w:rPr>
          <w:color w:val="231F20"/>
          <w:spacing w:val="2"/>
        </w:rPr>
        <w:t>estado </w:t>
      </w:r>
      <w:r>
        <w:rPr>
          <w:color w:val="231F20"/>
        </w:rPr>
        <w:t>de </w:t>
      </w:r>
      <w:r>
        <w:rPr>
          <w:color w:val="231F20"/>
          <w:spacing w:val="2"/>
        </w:rPr>
        <w:t>naturaleza para colocarlos </w:t>
      </w:r>
      <w:r>
        <w:rPr>
          <w:color w:val="231F20"/>
        </w:rPr>
        <w:t>en </w:t>
      </w:r>
      <w:r>
        <w:rPr>
          <w:color w:val="231F20"/>
          <w:spacing w:val="3"/>
        </w:rPr>
        <w:t>manos </w:t>
      </w:r>
      <w:r>
        <w:rPr>
          <w:color w:val="231F20"/>
        </w:rPr>
        <w:t>de </w:t>
      </w:r>
      <w:r>
        <w:rPr>
          <w:color w:val="231F20"/>
          <w:spacing w:val="2"/>
        </w:rPr>
        <w:t>una sola </w:t>
      </w:r>
      <w:r>
        <w:rPr>
          <w:color w:val="231F20"/>
          <w:spacing w:val="3"/>
        </w:rPr>
        <w:t>persona </w:t>
      </w:r>
      <w:r>
        <w:rPr>
          <w:color w:val="231F20"/>
        </w:rPr>
        <w:t>o de un </w:t>
      </w:r>
      <w:r>
        <w:rPr>
          <w:color w:val="231F20"/>
          <w:spacing w:val="2"/>
        </w:rPr>
        <w:t>solo cuerpo, </w:t>
      </w:r>
      <w:r>
        <w:rPr>
          <w:color w:val="231F20"/>
        </w:rPr>
        <w:t>que de </w:t>
      </w:r>
      <w:r>
        <w:rPr>
          <w:color w:val="231F20"/>
          <w:spacing w:val="2"/>
        </w:rPr>
        <w:t>ahí </w:t>
      </w:r>
      <w:r>
        <w:rPr>
          <w:color w:val="231F20"/>
        </w:rPr>
        <w:t>en </w:t>
      </w:r>
      <w:r>
        <w:rPr>
          <w:color w:val="231F20"/>
          <w:spacing w:val="2"/>
        </w:rPr>
        <w:t>adelante, será </w:t>
      </w:r>
      <w:r>
        <w:rPr>
          <w:color w:val="231F20"/>
        </w:rPr>
        <w:t>el </w:t>
      </w:r>
      <w:r>
        <w:rPr>
          <w:color w:val="231F20"/>
          <w:spacing w:val="2"/>
        </w:rPr>
        <w:t>único autorizado para hacer </w:t>
      </w:r>
      <w:r>
        <w:rPr>
          <w:color w:val="231F20"/>
        </w:rPr>
        <w:t>uso de la</w:t>
      </w:r>
      <w:r>
        <w:rPr>
          <w:color w:val="231F20"/>
          <w:spacing w:val="17"/>
        </w:rPr>
        <w:t> </w:t>
      </w:r>
      <w:r>
        <w:rPr>
          <w:color w:val="231F20"/>
          <w:spacing w:val="2"/>
        </w:rPr>
        <w:t>violencia.</w:t>
      </w:r>
    </w:p>
    <w:p>
      <w:pPr>
        <w:pStyle w:val="BodyText"/>
        <w:spacing w:line="247" w:lineRule="auto"/>
        <w:ind w:left="101" w:right="116" w:firstLine="284"/>
        <w:jc w:val="both"/>
      </w:pPr>
      <w:r>
        <w:rPr>
          <w:color w:val="231F20"/>
        </w:rPr>
        <w:t>El recurrir al uso de la fuerza se convierte en el elemento dis- tintivo del poder político. Su uso es una condición necesaria pero no suficiente para la existencia del poder político. Lo que caracte- riza al poder político es la exclusividad del uso de la fuerza respec- to  de  todos  los  grupos  que  actúan  en  un  determinado contexto</w:t>
      </w:r>
    </w:p>
    <w:p>
      <w:pPr>
        <w:spacing w:after="0" w:line="247" w:lineRule="auto"/>
        <w:jc w:val="both"/>
        <w:sectPr>
          <w:headerReference w:type="default" r:id="rId88"/>
          <w:footerReference w:type="default" r:id="rId89"/>
          <w:pgSz w:w="7830" w:h="11910"/>
          <w:pgMar w:header="0" w:footer="424" w:top="500" w:bottom="620" w:left="920" w:right="900"/>
          <w:pgNumType w:start="3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8"/>
        <w:jc w:val="both"/>
      </w:pPr>
      <w:r>
        <w:rPr>
          <w:color w:val="231F20"/>
        </w:rPr>
        <w:t>social, resultado de un proceso que se desarrolló en toda sociedad organizada hacia la monopolización de la  posesión y  del uso de  los medios con los cuales es posible ejercer la violencia.</w:t>
      </w:r>
    </w:p>
    <w:p>
      <w:pPr>
        <w:pStyle w:val="BodyText"/>
        <w:spacing w:line="249" w:lineRule="auto" w:before="1"/>
        <w:ind w:left="101" w:right="115" w:firstLine="284"/>
        <w:jc w:val="both"/>
      </w:pPr>
      <w:r>
        <w:rPr>
          <w:color w:val="231F20"/>
          <w:spacing w:val="2"/>
        </w:rPr>
        <w:t>De esta manera </w:t>
      </w:r>
      <w:r>
        <w:rPr>
          <w:color w:val="231F20"/>
        </w:rPr>
        <w:t>se </w:t>
      </w:r>
      <w:r>
        <w:rPr>
          <w:color w:val="231F20"/>
          <w:spacing w:val="2"/>
        </w:rPr>
        <w:t>entiende </w:t>
      </w:r>
      <w:r>
        <w:rPr>
          <w:color w:val="231F20"/>
        </w:rPr>
        <w:t>a la </w:t>
      </w:r>
      <w:r>
        <w:rPr>
          <w:color w:val="231F20"/>
          <w:spacing w:val="2"/>
        </w:rPr>
        <w:t>política como aquella actividad dirigida </w:t>
      </w:r>
      <w:r>
        <w:rPr>
          <w:color w:val="231F20"/>
        </w:rPr>
        <w:t>a </w:t>
      </w:r>
      <w:r>
        <w:rPr>
          <w:color w:val="231F20"/>
          <w:spacing w:val="2"/>
        </w:rPr>
        <w:t>establecer una </w:t>
      </w:r>
      <w:r>
        <w:rPr>
          <w:color w:val="231F20"/>
          <w:spacing w:val="3"/>
        </w:rPr>
        <w:t>forma </w:t>
      </w:r>
      <w:r>
        <w:rPr>
          <w:color w:val="231F20"/>
        </w:rPr>
        <w:t>de </w:t>
      </w:r>
      <w:r>
        <w:rPr>
          <w:color w:val="231F20"/>
          <w:spacing w:val="3"/>
        </w:rPr>
        <w:t>dominación, </w:t>
      </w:r>
      <w:r>
        <w:rPr>
          <w:color w:val="231F20"/>
          <w:spacing w:val="2"/>
        </w:rPr>
        <w:t>esto </w:t>
      </w:r>
      <w:r>
        <w:rPr>
          <w:color w:val="231F20"/>
        </w:rPr>
        <w:t>es, un </w:t>
      </w:r>
      <w:r>
        <w:rPr>
          <w:color w:val="231F20"/>
          <w:spacing w:val="3"/>
        </w:rPr>
        <w:t>modo </w:t>
      </w:r>
      <w:r>
        <w:rPr>
          <w:color w:val="231F20"/>
          <w:spacing w:val="2"/>
        </w:rPr>
        <w:t>específico del ejercicio del </w:t>
      </w:r>
      <w:r>
        <w:rPr>
          <w:color w:val="231F20"/>
          <w:spacing w:val="3"/>
        </w:rPr>
        <w:t>poder </w:t>
      </w:r>
      <w:r>
        <w:rPr>
          <w:color w:val="231F20"/>
        </w:rPr>
        <w:t>a </w:t>
      </w:r>
      <w:r>
        <w:rPr>
          <w:color w:val="231F20"/>
          <w:spacing w:val="2"/>
        </w:rPr>
        <w:t>través del aparato </w:t>
      </w:r>
      <w:r>
        <w:rPr>
          <w:color w:val="231F20"/>
          <w:spacing w:val="3"/>
        </w:rPr>
        <w:t>gubernamen- </w:t>
      </w:r>
      <w:r>
        <w:rPr>
          <w:color w:val="231F20"/>
        </w:rPr>
        <w:t>tal, lo </w:t>
      </w:r>
      <w:r>
        <w:rPr>
          <w:color w:val="231F20"/>
          <w:spacing w:val="2"/>
        </w:rPr>
        <w:t>cual implica que </w:t>
      </w:r>
      <w:r>
        <w:rPr>
          <w:color w:val="231F20"/>
        </w:rPr>
        <w:t>se </w:t>
      </w:r>
      <w:r>
        <w:rPr>
          <w:color w:val="231F20"/>
          <w:spacing w:val="2"/>
        </w:rPr>
        <w:t>privilegian </w:t>
      </w:r>
      <w:r>
        <w:rPr>
          <w:color w:val="231F20"/>
        </w:rPr>
        <w:t>las </w:t>
      </w:r>
      <w:r>
        <w:rPr>
          <w:color w:val="231F20"/>
          <w:spacing w:val="2"/>
        </w:rPr>
        <w:t>relaciones </w:t>
      </w:r>
      <w:r>
        <w:rPr>
          <w:color w:val="231F20"/>
        </w:rPr>
        <w:t>de </w:t>
      </w:r>
      <w:r>
        <w:rPr>
          <w:color w:val="231F20"/>
          <w:spacing w:val="2"/>
        </w:rPr>
        <w:t>orden insti- tucional </w:t>
      </w:r>
      <w:r>
        <w:rPr>
          <w:color w:val="231F20"/>
        </w:rPr>
        <w:t>sin </w:t>
      </w:r>
      <w:r>
        <w:rPr>
          <w:color w:val="231F20"/>
          <w:spacing w:val="2"/>
        </w:rPr>
        <w:t>dejar </w:t>
      </w:r>
      <w:r>
        <w:rPr>
          <w:color w:val="231F20"/>
        </w:rPr>
        <w:t>de </w:t>
      </w:r>
      <w:r>
        <w:rPr>
          <w:color w:val="231F20"/>
          <w:spacing w:val="3"/>
        </w:rPr>
        <w:t>reconocer </w:t>
      </w:r>
      <w:r>
        <w:rPr>
          <w:color w:val="231F20"/>
          <w:spacing w:val="2"/>
        </w:rPr>
        <w:t>que toda política requiere </w:t>
      </w:r>
      <w:r>
        <w:rPr>
          <w:color w:val="231F20"/>
        </w:rPr>
        <w:t>la </w:t>
      </w:r>
      <w:r>
        <w:rPr>
          <w:color w:val="231F20"/>
          <w:spacing w:val="3"/>
        </w:rPr>
        <w:t>dispo- </w:t>
      </w:r>
      <w:r>
        <w:rPr>
          <w:color w:val="231F20"/>
          <w:spacing w:val="2"/>
        </w:rPr>
        <w:t>sición </w:t>
      </w:r>
      <w:r>
        <w:rPr>
          <w:color w:val="231F20"/>
        </w:rPr>
        <w:t>de un </w:t>
      </w:r>
      <w:r>
        <w:rPr>
          <w:color w:val="231F20"/>
          <w:spacing w:val="2"/>
        </w:rPr>
        <w:t>conjunto </w:t>
      </w:r>
      <w:r>
        <w:rPr>
          <w:color w:val="231F20"/>
        </w:rPr>
        <w:t>de </w:t>
      </w:r>
      <w:r>
        <w:rPr>
          <w:color w:val="231F20"/>
          <w:spacing w:val="3"/>
        </w:rPr>
        <w:t>instrumentos </w:t>
      </w:r>
      <w:r>
        <w:rPr>
          <w:color w:val="231F20"/>
        </w:rPr>
        <w:t>y </w:t>
      </w:r>
      <w:r>
        <w:rPr>
          <w:color w:val="231F20"/>
          <w:spacing w:val="3"/>
        </w:rPr>
        <w:t>medios </w:t>
      </w:r>
      <w:r>
        <w:rPr>
          <w:color w:val="231F20"/>
          <w:spacing w:val="2"/>
        </w:rPr>
        <w:t>para alcanzar ciertos fines </w:t>
      </w:r>
      <w:r>
        <w:rPr>
          <w:color w:val="231F20"/>
        </w:rPr>
        <w:t>y </w:t>
      </w:r>
      <w:r>
        <w:rPr>
          <w:color w:val="231F20"/>
          <w:spacing w:val="2"/>
        </w:rPr>
        <w:t>realizar los intereses </w:t>
      </w:r>
      <w:r>
        <w:rPr>
          <w:color w:val="231F20"/>
        </w:rPr>
        <w:t>de un </w:t>
      </w:r>
      <w:r>
        <w:rPr>
          <w:color w:val="231F20"/>
          <w:spacing w:val="3"/>
        </w:rPr>
        <w:t>hombre </w:t>
      </w:r>
      <w:r>
        <w:rPr>
          <w:color w:val="231F20"/>
        </w:rPr>
        <w:t>o un </w:t>
      </w:r>
      <w:r>
        <w:rPr>
          <w:color w:val="231F20"/>
          <w:spacing w:val="3"/>
        </w:rPr>
        <w:t>grupo social.</w:t>
      </w:r>
    </w:p>
    <w:p>
      <w:pPr>
        <w:pStyle w:val="BodyText"/>
        <w:spacing w:line="249" w:lineRule="auto"/>
        <w:ind w:left="101" w:right="115" w:firstLine="284"/>
        <w:jc w:val="both"/>
      </w:pPr>
      <w:r>
        <w:rPr>
          <w:color w:val="231F20"/>
        </w:rPr>
        <w:t>Con Locke se recupera la tesis de la sociabilidad, de modo que el contrato social únicamente aportaba la sanción legal y su publi- cidad. El poder es un derecho a dictar leyes encaminadas a regular  y preservar la propiedad, así como a emplear la fuerza de la co- munidad en la ejecución de tales leyes y en la defensa de cualquier ofensa que pueda venir del exterior y todo ello con el fin de la consecución del bien público. La ley natural es una ley eterna para todos los hombres, incluidos los legisladores cuyas leyes positivas tienen que ser acordes a las leyes naturales, dotadas así de un po- der coactivo, para obligar a quienes no las respetan; de ahí que la política se convierta precisamente en una técnica del poder.</w:t>
      </w:r>
    </w:p>
    <w:p>
      <w:pPr>
        <w:pStyle w:val="BodyText"/>
        <w:spacing w:line="249" w:lineRule="auto"/>
        <w:ind w:left="101" w:right="116" w:firstLine="284"/>
        <w:jc w:val="both"/>
      </w:pPr>
      <w:r>
        <w:rPr>
          <w:color w:val="231F20"/>
          <w:spacing w:val="2"/>
        </w:rPr>
        <w:t>Así </w:t>
      </w:r>
      <w:r>
        <w:rPr>
          <w:color w:val="231F20"/>
        </w:rPr>
        <w:t>es </w:t>
      </w:r>
      <w:r>
        <w:rPr>
          <w:color w:val="231F20"/>
          <w:spacing w:val="3"/>
        </w:rPr>
        <w:t>como </w:t>
      </w:r>
      <w:r>
        <w:rPr>
          <w:color w:val="231F20"/>
        </w:rPr>
        <w:t>la ley, y no la </w:t>
      </w:r>
      <w:r>
        <w:rPr>
          <w:color w:val="231F20"/>
          <w:spacing w:val="2"/>
        </w:rPr>
        <w:t>propiedad, nos hace iguales; pero </w:t>
      </w:r>
      <w:r>
        <w:rPr>
          <w:color w:val="231F20"/>
        </w:rPr>
        <w:t>la </w:t>
      </w:r>
      <w:r>
        <w:rPr>
          <w:color w:val="231F20"/>
          <w:spacing w:val="2"/>
        </w:rPr>
        <w:t>libertad </w:t>
      </w:r>
      <w:r>
        <w:rPr>
          <w:color w:val="231F20"/>
        </w:rPr>
        <w:t>es </w:t>
      </w:r>
      <w:r>
        <w:rPr>
          <w:color w:val="231F20"/>
          <w:spacing w:val="2"/>
        </w:rPr>
        <w:t>imposible </w:t>
      </w:r>
      <w:r>
        <w:rPr>
          <w:color w:val="231F20"/>
        </w:rPr>
        <w:t>de </w:t>
      </w:r>
      <w:r>
        <w:rPr>
          <w:color w:val="231F20"/>
          <w:spacing w:val="2"/>
        </w:rPr>
        <w:t>garantizar </w:t>
      </w:r>
      <w:r>
        <w:rPr>
          <w:color w:val="231F20"/>
        </w:rPr>
        <w:t>en el </w:t>
      </w:r>
      <w:r>
        <w:rPr>
          <w:color w:val="231F20"/>
          <w:spacing w:val="2"/>
        </w:rPr>
        <w:t>orden político efectivo,  por </w:t>
      </w:r>
      <w:r>
        <w:rPr>
          <w:color w:val="231F20"/>
        </w:rPr>
        <w:t>eso </w:t>
      </w:r>
      <w:r>
        <w:rPr>
          <w:color w:val="231F20"/>
          <w:spacing w:val="2"/>
        </w:rPr>
        <w:t>esta </w:t>
      </w:r>
      <w:r>
        <w:rPr>
          <w:color w:val="231F20"/>
        </w:rPr>
        <w:t>se </w:t>
      </w:r>
      <w:r>
        <w:rPr>
          <w:color w:val="231F20"/>
          <w:spacing w:val="2"/>
        </w:rPr>
        <w:t>refugiará </w:t>
      </w:r>
      <w:r>
        <w:rPr>
          <w:color w:val="231F20"/>
        </w:rPr>
        <w:t>en la </w:t>
      </w:r>
      <w:r>
        <w:rPr>
          <w:color w:val="231F20"/>
          <w:spacing w:val="2"/>
        </w:rPr>
        <w:t>conciencia del </w:t>
      </w:r>
      <w:r>
        <w:rPr>
          <w:color w:val="231F20"/>
          <w:spacing w:val="3"/>
        </w:rPr>
        <w:t>hombre </w:t>
      </w:r>
      <w:r>
        <w:rPr>
          <w:color w:val="231F20"/>
          <w:spacing w:val="2"/>
        </w:rPr>
        <w:t>libre </w:t>
      </w:r>
      <w:r>
        <w:rPr>
          <w:color w:val="231F20"/>
          <w:spacing w:val="3"/>
        </w:rPr>
        <w:t>como </w:t>
      </w:r>
      <w:r>
        <w:rPr>
          <w:color w:val="231F20"/>
          <w:spacing w:val="2"/>
        </w:rPr>
        <w:t>mandato ético, </w:t>
      </w:r>
      <w:r>
        <w:rPr>
          <w:color w:val="231F20"/>
        </w:rPr>
        <w:t>por ello las </w:t>
      </w:r>
      <w:r>
        <w:rPr>
          <w:color w:val="231F20"/>
          <w:spacing w:val="2"/>
        </w:rPr>
        <w:t>relaciones entre los individuos </w:t>
      </w:r>
      <w:r>
        <w:rPr>
          <w:color w:val="231F20"/>
        </w:rPr>
        <w:t>y la </w:t>
      </w:r>
      <w:r>
        <w:rPr>
          <w:color w:val="231F20"/>
          <w:spacing w:val="2"/>
        </w:rPr>
        <w:t>sociedad </w:t>
      </w:r>
      <w:r>
        <w:rPr>
          <w:color w:val="231F20"/>
        </w:rPr>
        <w:t>no </w:t>
      </w:r>
      <w:r>
        <w:rPr>
          <w:color w:val="231F20"/>
          <w:spacing w:val="2"/>
        </w:rPr>
        <w:t>pueden </w:t>
      </w:r>
      <w:r>
        <w:rPr>
          <w:color w:val="231F20"/>
        </w:rPr>
        <w:t>ser </w:t>
      </w:r>
      <w:r>
        <w:rPr>
          <w:color w:val="231F20"/>
          <w:spacing w:val="2"/>
        </w:rPr>
        <w:t>más </w:t>
      </w:r>
      <w:r>
        <w:rPr>
          <w:color w:val="231F20"/>
        </w:rPr>
        <w:t>que las de un </w:t>
      </w:r>
      <w:r>
        <w:rPr>
          <w:color w:val="231F20"/>
          <w:spacing w:val="2"/>
        </w:rPr>
        <w:t>incurable malestar </w:t>
      </w:r>
      <w:r>
        <w:rPr>
          <w:color w:val="231F20"/>
        </w:rPr>
        <w:t>que </w:t>
      </w:r>
      <w:r>
        <w:rPr>
          <w:color w:val="231F20"/>
          <w:spacing w:val="2"/>
        </w:rPr>
        <w:t>hace precisa </w:t>
      </w:r>
      <w:r>
        <w:rPr>
          <w:color w:val="231F20"/>
        </w:rPr>
        <w:t>la </w:t>
      </w:r>
      <w:r>
        <w:rPr>
          <w:color w:val="231F20"/>
          <w:spacing w:val="2"/>
        </w:rPr>
        <w:t>ficción </w:t>
      </w:r>
      <w:r>
        <w:rPr>
          <w:color w:val="231F20"/>
        </w:rPr>
        <w:t>de la </w:t>
      </w:r>
      <w:r>
        <w:rPr>
          <w:color w:val="231F20"/>
          <w:spacing w:val="2"/>
        </w:rPr>
        <w:t>paz doméstica sobre </w:t>
      </w:r>
      <w:r>
        <w:rPr>
          <w:color w:val="231F20"/>
        </w:rPr>
        <w:t>la </w:t>
      </w:r>
      <w:r>
        <w:rPr>
          <w:color w:val="231F20"/>
          <w:spacing w:val="2"/>
        </w:rPr>
        <w:t>base </w:t>
      </w:r>
      <w:r>
        <w:rPr>
          <w:color w:val="231F20"/>
        </w:rPr>
        <w:t>del </w:t>
      </w:r>
      <w:r>
        <w:rPr>
          <w:color w:val="231F20"/>
          <w:spacing w:val="2"/>
        </w:rPr>
        <w:t>dere- cho. </w:t>
      </w:r>
      <w:r>
        <w:rPr>
          <w:color w:val="231F20"/>
        </w:rPr>
        <w:t>Es </w:t>
      </w:r>
      <w:r>
        <w:rPr>
          <w:color w:val="231F20"/>
          <w:spacing w:val="2"/>
        </w:rPr>
        <w:t>aquí </w:t>
      </w:r>
      <w:r>
        <w:rPr>
          <w:color w:val="231F20"/>
          <w:spacing w:val="3"/>
        </w:rPr>
        <w:t>donde </w:t>
      </w:r>
      <w:r>
        <w:rPr>
          <w:color w:val="231F20"/>
        </w:rPr>
        <w:t>se </w:t>
      </w:r>
      <w:r>
        <w:rPr>
          <w:color w:val="231F20"/>
          <w:spacing w:val="2"/>
        </w:rPr>
        <w:t>verifica </w:t>
      </w:r>
      <w:r>
        <w:rPr>
          <w:color w:val="231F20"/>
        </w:rPr>
        <w:t>el </w:t>
      </w:r>
      <w:r>
        <w:rPr>
          <w:color w:val="231F20"/>
          <w:spacing w:val="3"/>
        </w:rPr>
        <w:t>distanciamiento, </w:t>
      </w:r>
      <w:r>
        <w:rPr>
          <w:color w:val="231F20"/>
        </w:rPr>
        <w:t>a </w:t>
      </w:r>
      <w:r>
        <w:rPr>
          <w:color w:val="231F20"/>
          <w:spacing w:val="2"/>
        </w:rPr>
        <w:t>veces </w:t>
      </w:r>
      <w:r>
        <w:rPr>
          <w:color w:val="231F20"/>
          <w:spacing w:val="3"/>
        </w:rPr>
        <w:t>irrecon- </w:t>
      </w:r>
      <w:r>
        <w:rPr>
          <w:color w:val="231F20"/>
          <w:spacing w:val="2"/>
        </w:rPr>
        <w:t>ciliable,</w:t>
      </w:r>
      <w:r>
        <w:rPr>
          <w:color w:val="231F20"/>
          <w:spacing w:val="-3"/>
        </w:rPr>
        <w:t> </w:t>
      </w:r>
      <w:r>
        <w:rPr>
          <w:color w:val="231F20"/>
        </w:rPr>
        <w:t>de</w:t>
      </w:r>
      <w:r>
        <w:rPr>
          <w:color w:val="231F20"/>
          <w:spacing w:val="-2"/>
        </w:rPr>
        <w:t> </w:t>
      </w:r>
      <w:r>
        <w:rPr>
          <w:color w:val="231F20"/>
        </w:rPr>
        <w:t>lo</w:t>
      </w:r>
      <w:r>
        <w:rPr>
          <w:color w:val="231F20"/>
          <w:spacing w:val="-2"/>
        </w:rPr>
        <w:t> </w:t>
      </w:r>
      <w:r>
        <w:rPr>
          <w:color w:val="231F20"/>
          <w:spacing w:val="2"/>
        </w:rPr>
        <w:t>privado</w:t>
      </w:r>
      <w:r>
        <w:rPr>
          <w:color w:val="231F20"/>
          <w:spacing w:val="-2"/>
        </w:rPr>
        <w:t> </w:t>
      </w:r>
      <w:r>
        <w:rPr>
          <w:color w:val="231F20"/>
        </w:rPr>
        <w:t>y</w:t>
      </w:r>
      <w:r>
        <w:rPr>
          <w:color w:val="231F20"/>
          <w:spacing w:val="-2"/>
        </w:rPr>
        <w:t> </w:t>
      </w:r>
      <w:r>
        <w:rPr>
          <w:color w:val="231F20"/>
        </w:rPr>
        <w:t>lo</w:t>
      </w:r>
      <w:r>
        <w:rPr>
          <w:color w:val="231F20"/>
          <w:spacing w:val="-2"/>
        </w:rPr>
        <w:t> </w:t>
      </w:r>
      <w:r>
        <w:rPr>
          <w:color w:val="231F20"/>
          <w:spacing w:val="2"/>
        </w:rPr>
        <w:t>público,</w:t>
      </w:r>
      <w:r>
        <w:rPr>
          <w:color w:val="231F20"/>
          <w:spacing w:val="-3"/>
        </w:rPr>
        <w:t> </w:t>
      </w:r>
      <w:r>
        <w:rPr>
          <w:color w:val="231F20"/>
        </w:rPr>
        <w:t>y</w:t>
      </w:r>
      <w:r>
        <w:rPr>
          <w:color w:val="231F20"/>
          <w:spacing w:val="-3"/>
        </w:rPr>
        <w:t> </w:t>
      </w:r>
      <w:r>
        <w:rPr>
          <w:color w:val="231F20"/>
        </w:rPr>
        <w:t>de</w:t>
      </w:r>
      <w:r>
        <w:rPr>
          <w:color w:val="231F20"/>
          <w:spacing w:val="-2"/>
        </w:rPr>
        <w:t> </w:t>
      </w:r>
      <w:r>
        <w:rPr>
          <w:color w:val="231F20"/>
        </w:rPr>
        <w:t>la</w:t>
      </w:r>
      <w:r>
        <w:rPr>
          <w:color w:val="231F20"/>
          <w:spacing w:val="-3"/>
        </w:rPr>
        <w:t> </w:t>
      </w:r>
      <w:r>
        <w:rPr>
          <w:color w:val="231F20"/>
          <w:spacing w:val="2"/>
        </w:rPr>
        <w:t>ética</w:t>
      </w:r>
      <w:r>
        <w:rPr>
          <w:color w:val="231F20"/>
          <w:spacing w:val="-3"/>
        </w:rPr>
        <w:t> </w:t>
      </w:r>
      <w:r>
        <w:rPr>
          <w:color w:val="231F20"/>
        </w:rPr>
        <w:t>de</w:t>
      </w:r>
      <w:r>
        <w:rPr>
          <w:color w:val="231F20"/>
          <w:spacing w:val="-2"/>
        </w:rPr>
        <w:t> </w:t>
      </w:r>
      <w:r>
        <w:rPr>
          <w:color w:val="231F20"/>
        </w:rPr>
        <w:t>la</w:t>
      </w:r>
      <w:r>
        <w:rPr>
          <w:color w:val="231F20"/>
          <w:spacing w:val="-3"/>
        </w:rPr>
        <w:t> </w:t>
      </w:r>
      <w:r>
        <w:rPr>
          <w:color w:val="231F20"/>
          <w:spacing w:val="2"/>
        </w:rPr>
        <w:t>política.</w:t>
      </w:r>
    </w:p>
    <w:p>
      <w:pPr>
        <w:pStyle w:val="BodyText"/>
        <w:spacing w:line="247" w:lineRule="auto"/>
        <w:ind w:left="101" w:right="116" w:firstLine="284"/>
        <w:jc w:val="both"/>
      </w:pPr>
      <w:r>
        <w:rPr>
          <w:color w:val="231F20"/>
        </w:rPr>
        <w:t>Se </w:t>
      </w:r>
      <w:r>
        <w:rPr>
          <w:color w:val="231F20"/>
          <w:spacing w:val="2"/>
        </w:rPr>
        <w:t>puede reflexionar, </w:t>
      </w:r>
      <w:r>
        <w:rPr>
          <w:color w:val="231F20"/>
          <w:spacing w:val="3"/>
        </w:rPr>
        <w:t>cómo </w:t>
      </w:r>
      <w:r>
        <w:rPr>
          <w:color w:val="231F20"/>
        </w:rPr>
        <w:t>se </w:t>
      </w:r>
      <w:r>
        <w:rPr>
          <w:color w:val="231F20"/>
          <w:spacing w:val="3"/>
        </w:rPr>
        <w:t>impone </w:t>
      </w:r>
      <w:r>
        <w:rPr>
          <w:color w:val="231F20"/>
          <w:spacing w:val="2"/>
        </w:rPr>
        <w:t>una </w:t>
      </w:r>
      <w:r>
        <w:rPr>
          <w:color w:val="231F20"/>
          <w:spacing w:val="3"/>
        </w:rPr>
        <w:t>forma </w:t>
      </w:r>
      <w:r>
        <w:rPr>
          <w:color w:val="231F20"/>
        </w:rPr>
        <w:t>de </w:t>
      </w:r>
      <w:r>
        <w:rPr>
          <w:color w:val="231F20"/>
          <w:spacing w:val="2"/>
        </w:rPr>
        <w:t>entender   </w:t>
      </w:r>
      <w:r>
        <w:rPr>
          <w:color w:val="231F20"/>
        </w:rPr>
        <w:t>la </w:t>
      </w:r>
      <w:r>
        <w:rPr>
          <w:color w:val="231F20"/>
          <w:spacing w:val="2"/>
        </w:rPr>
        <w:t>política que despolitiza, </w:t>
      </w:r>
      <w:r>
        <w:rPr>
          <w:color w:val="231F20"/>
        </w:rPr>
        <w:t>en </w:t>
      </w:r>
      <w:r>
        <w:rPr>
          <w:color w:val="231F20"/>
          <w:spacing w:val="3"/>
        </w:rPr>
        <w:t>términos </w:t>
      </w:r>
      <w:r>
        <w:rPr>
          <w:color w:val="231F20"/>
        </w:rPr>
        <w:t>de </w:t>
      </w:r>
      <w:r>
        <w:rPr>
          <w:color w:val="231F20"/>
          <w:spacing w:val="2"/>
        </w:rPr>
        <w:t>evitar </w:t>
      </w:r>
      <w:r>
        <w:rPr>
          <w:color w:val="231F20"/>
        </w:rPr>
        <w:t>un </w:t>
      </w:r>
      <w:r>
        <w:rPr>
          <w:color w:val="231F20"/>
          <w:spacing w:val="3"/>
        </w:rPr>
        <w:t>entendimiento </w:t>
      </w:r>
      <w:r>
        <w:rPr>
          <w:color w:val="231F20"/>
        </w:rPr>
        <w:t>que </w:t>
      </w:r>
      <w:r>
        <w:rPr>
          <w:color w:val="231F20"/>
          <w:spacing w:val="2"/>
        </w:rPr>
        <w:t>genere una acción </w:t>
      </w:r>
      <w:r>
        <w:rPr>
          <w:color w:val="231F20"/>
        </w:rPr>
        <w:t>de </w:t>
      </w:r>
      <w:r>
        <w:rPr>
          <w:color w:val="231F20"/>
          <w:spacing w:val="2"/>
        </w:rPr>
        <w:t>los sujetos </w:t>
      </w:r>
      <w:r>
        <w:rPr>
          <w:color w:val="231F20"/>
        </w:rPr>
        <w:t>en </w:t>
      </w:r>
      <w:r>
        <w:rPr>
          <w:color w:val="231F20"/>
          <w:spacing w:val="2"/>
        </w:rPr>
        <w:t>torno </w:t>
      </w:r>
      <w:r>
        <w:rPr>
          <w:color w:val="231F20"/>
        </w:rPr>
        <w:t>a la </w:t>
      </w:r>
      <w:r>
        <w:rPr>
          <w:color w:val="231F20"/>
          <w:spacing w:val="2"/>
        </w:rPr>
        <w:t>conciencia para </w:t>
      </w:r>
      <w:r>
        <w:rPr>
          <w:color w:val="231F20"/>
        </w:rPr>
        <w:t>vivir en una </w:t>
      </w:r>
      <w:r>
        <w:rPr>
          <w:color w:val="231F20"/>
          <w:spacing w:val="2"/>
        </w:rPr>
        <w:t>sociedad </w:t>
      </w:r>
      <w:r>
        <w:rPr>
          <w:color w:val="231F20"/>
        </w:rPr>
        <w:t>que </w:t>
      </w:r>
      <w:r>
        <w:rPr>
          <w:color w:val="231F20"/>
          <w:spacing w:val="2"/>
        </w:rPr>
        <w:t>brinde </w:t>
      </w:r>
      <w:r>
        <w:rPr>
          <w:color w:val="231F20"/>
        </w:rPr>
        <w:t>las </w:t>
      </w:r>
      <w:r>
        <w:rPr>
          <w:color w:val="231F20"/>
          <w:spacing w:val="3"/>
        </w:rPr>
        <w:t>mismas </w:t>
      </w:r>
      <w:r>
        <w:rPr>
          <w:color w:val="231F20"/>
          <w:spacing w:val="2"/>
        </w:rPr>
        <w:t>posibilidades </w:t>
      </w:r>
      <w:r>
        <w:rPr>
          <w:color w:val="231F20"/>
        </w:rPr>
        <w:t>a </w:t>
      </w:r>
      <w:r>
        <w:rPr>
          <w:color w:val="231F20"/>
          <w:spacing w:val="3"/>
        </w:rPr>
        <w:t>todos </w:t>
      </w:r>
      <w:r>
        <w:rPr>
          <w:color w:val="231F20"/>
        </w:rPr>
        <w:t>sus </w:t>
      </w:r>
      <w:r>
        <w:rPr>
          <w:color w:val="231F20"/>
          <w:spacing w:val="2"/>
        </w:rPr>
        <w:t>habitantes; </w:t>
      </w:r>
      <w:r>
        <w:rPr>
          <w:color w:val="231F20"/>
        </w:rPr>
        <w:t>sin </w:t>
      </w:r>
      <w:r>
        <w:rPr>
          <w:color w:val="231F20"/>
          <w:spacing w:val="3"/>
        </w:rPr>
        <w:t>embargo, </w:t>
      </w:r>
      <w:r>
        <w:rPr>
          <w:color w:val="231F20"/>
        </w:rPr>
        <w:t>en la </w:t>
      </w:r>
      <w:r>
        <w:rPr>
          <w:color w:val="231F20"/>
          <w:spacing w:val="2"/>
        </w:rPr>
        <w:t>praxis </w:t>
      </w:r>
      <w:r>
        <w:rPr>
          <w:color w:val="231F20"/>
        </w:rPr>
        <w:t>se </w:t>
      </w:r>
      <w:r>
        <w:rPr>
          <w:color w:val="231F20"/>
          <w:spacing w:val="2"/>
        </w:rPr>
        <w:t>inculca </w:t>
      </w:r>
      <w:r>
        <w:rPr>
          <w:color w:val="231F20"/>
        </w:rPr>
        <w:t>un </w:t>
      </w:r>
      <w:r>
        <w:rPr>
          <w:color w:val="231F20"/>
          <w:spacing w:val="3"/>
        </w:rPr>
        <w:t>pensamien- </w:t>
      </w:r>
      <w:r>
        <w:rPr>
          <w:color w:val="231F20"/>
        </w:rPr>
        <w:t>to en el </w:t>
      </w:r>
      <w:r>
        <w:rPr>
          <w:color w:val="231F20"/>
          <w:spacing w:val="2"/>
        </w:rPr>
        <w:t>cual </w:t>
      </w:r>
      <w:r>
        <w:rPr>
          <w:color w:val="231F20"/>
        </w:rPr>
        <w:t>el </w:t>
      </w:r>
      <w:r>
        <w:rPr>
          <w:color w:val="231F20"/>
          <w:spacing w:val="2"/>
        </w:rPr>
        <w:t>dominio </w:t>
      </w:r>
      <w:r>
        <w:rPr>
          <w:color w:val="231F20"/>
        </w:rPr>
        <w:t>y el </w:t>
      </w:r>
      <w:r>
        <w:rPr>
          <w:color w:val="231F20"/>
          <w:spacing w:val="2"/>
        </w:rPr>
        <w:t>poder </w:t>
      </w:r>
      <w:r>
        <w:rPr>
          <w:color w:val="231F20"/>
        </w:rPr>
        <w:t>se </w:t>
      </w:r>
      <w:r>
        <w:rPr>
          <w:color w:val="231F20"/>
          <w:spacing w:val="2"/>
        </w:rPr>
        <w:t>ven </w:t>
      </w:r>
      <w:r>
        <w:rPr>
          <w:color w:val="231F20"/>
          <w:spacing w:val="3"/>
        </w:rPr>
        <w:t>como </w:t>
      </w:r>
      <w:r>
        <w:rPr>
          <w:color w:val="231F20"/>
          <w:spacing w:val="2"/>
        </w:rPr>
        <w:t>naturales </w:t>
      </w:r>
      <w:r>
        <w:rPr>
          <w:color w:val="231F20"/>
        </w:rPr>
        <w:t>y </w:t>
      </w:r>
      <w:r>
        <w:rPr>
          <w:color w:val="231F20"/>
          <w:spacing w:val="2"/>
        </w:rPr>
        <w:t>nece- sarios para </w:t>
      </w:r>
      <w:r>
        <w:rPr>
          <w:color w:val="231F20"/>
        </w:rPr>
        <w:t>vivir en </w:t>
      </w:r>
      <w:r>
        <w:rPr>
          <w:color w:val="231F20"/>
          <w:spacing w:val="2"/>
        </w:rPr>
        <w:t>una sociedad </w:t>
      </w:r>
      <w:r>
        <w:rPr>
          <w:color w:val="231F20"/>
        </w:rPr>
        <w:t>en </w:t>
      </w:r>
      <w:r>
        <w:rPr>
          <w:color w:val="231F20"/>
          <w:spacing w:val="2"/>
        </w:rPr>
        <w:t>“paz”, visión </w:t>
      </w:r>
      <w:r>
        <w:rPr>
          <w:color w:val="231F20"/>
        </w:rPr>
        <w:t>que se </w:t>
      </w:r>
      <w:r>
        <w:rPr>
          <w:color w:val="231F20"/>
          <w:spacing w:val="3"/>
        </w:rPr>
        <w:t>impone </w:t>
      </w:r>
      <w:r>
        <w:rPr>
          <w:color w:val="231F20"/>
          <w:spacing w:val="2"/>
        </w:rPr>
        <w:t>desde </w:t>
      </w:r>
      <w:r>
        <w:rPr>
          <w:color w:val="231F20"/>
        </w:rPr>
        <w:t>el </w:t>
      </w:r>
      <w:r>
        <w:rPr>
          <w:color w:val="231F20"/>
          <w:spacing w:val="2"/>
        </w:rPr>
        <w:t>Estado autoritario </w:t>
      </w:r>
      <w:r>
        <w:rPr>
          <w:color w:val="231F20"/>
        </w:rPr>
        <w:t>de un </w:t>
      </w:r>
      <w:r>
        <w:rPr>
          <w:color w:val="231F20"/>
          <w:spacing w:val="3"/>
        </w:rPr>
        <w:t>modo </w:t>
      </w:r>
      <w:r>
        <w:rPr>
          <w:color w:val="231F20"/>
          <w:spacing w:val="2"/>
        </w:rPr>
        <w:t>violento pero </w:t>
      </w:r>
      <w:r>
        <w:rPr>
          <w:color w:val="231F20"/>
          <w:spacing w:val="38"/>
        </w:rPr>
        <w:t> </w:t>
      </w:r>
      <w:r>
        <w:rPr>
          <w:color w:val="231F20"/>
          <w:spacing w:val="3"/>
        </w:rPr>
        <w:t>legítimo.</w:t>
      </w:r>
    </w:p>
    <w:p>
      <w:pPr>
        <w:spacing w:after="0" w:line="247" w:lineRule="auto"/>
        <w:jc w:val="both"/>
        <w:sectPr>
          <w:headerReference w:type="default" r:id="rId90"/>
          <w:footerReference w:type="default" r:id="rId91"/>
          <w:pgSz w:w="7830" w:h="11910"/>
          <w:pgMar w:header="0" w:footer="424" w:top="500" w:bottom="620" w:left="920" w:right="900"/>
          <w:pgNumType w:start="3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5" w:firstLine="284"/>
        <w:jc w:val="both"/>
      </w:pPr>
      <w:r>
        <w:rPr>
          <w:color w:val="231F20"/>
          <w:spacing w:val="2"/>
        </w:rPr>
        <w:t>De </w:t>
      </w:r>
      <w:r>
        <w:rPr>
          <w:color w:val="231F20"/>
        </w:rPr>
        <w:t>ahí la </w:t>
      </w:r>
      <w:r>
        <w:rPr>
          <w:color w:val="231F20"/>
          <w:spacing w:val="2"/>
        </w:rPr>
        <w:t>necesidad </w:t>
      </w:r>
      <w:r>
        <w:rPr>
          <w:color w:val="231F20"/>
        </w:rPr>
        <w:t>de </w:t>
      </w:r>
      <w:r>
        <w:rPr>
          <w:color w:val="231F20"/>
          <w:spacing w:val="2"/>
        </w:rPr>
        <w:t>recuperar </w:t>
      </w:r>
      <w:r>
        <w:rPr>
          <w:color w:val="231F20"/>
        </w:rPr>
        <w:t>la </w:t>
      </w:r>
      <w:r>
        <w:rPr>
          <w:color w:val="231F20"/>
          <w:spacing w:val="2"/>
        </w:rPr>
        <w:t>crítica </w:t>
      </w:r>
      <w:r>
        <w:rPr>
          <w:color w:val="231F20"/>
        </w:rPr>
        <w:t>de la </w:t>
      </w:r>
      <w:r>
        <w:rPr>
          <w:color w:val="231F20"/>
          <w:spacing w:val="2"/>
        </w:rPr>
        <w:t>economía polí- </w:t>
      </w:r>
      <w:r>
        <w:rPr>
          <w:color w:val="231F20"/>
        </w:rPr>
        <w:t>tica de </w:t>
      </w:r>
      <w:r>
        <w:rPr>
          <w:color w:val="231F20"/>
          <w:spacing w:val="2"/>
        </w:rPr>
        <w:t>Marx </w:t>
      </w:r>
      <w:r>
        <w:rPr>
          <w:color w:val="231F20"/>
        </w:rPr>
        <w:t>en la </w:t>
      </w:r>
      <w:r>
        <w:rPr>
          <w:color w:val="231F20"/>
          <w:spacing w:val="2"/>
        </w:rPr>
        <w:t>cual </w:t>
      </w:r>
      <w:r>
        <w:rPr>
          <w:color w:val="231F20"/>
        </w:rPr>
        <w:t>se </w:t>
      </w:r>
      <w:r>
        <w:rPr>
          <w:color w:val="231F20"/>
          <w:spacing w:val="3"/>
        </w:rPr>
        <w:t>desenmascaran </w:t>
      </w:r>
      <w:r>
        <w:rPr>
          <w:color w:val="231F20"/>
        </w:rPr>
        <w:t>las </w:t>
      </w:r>
      <w:r>
        <w:rPr>
          <w:color w:val="231F20"/>
          <w:spacing w:val="2"/>
        </w:rPr>
        <w:t>intenciones </w:t>
      </w:r>
      <w:r>
        <w:rPr>
          <w:color w:val="231F20"/>
        </w:rPr>
        <w:t>y la </w:t>
      </w:r>
      <w:r>
        <w:rPr>
          <w:color w:val="231F20"/>
          <w:spacing w:val="2"/>
        </w:rPr>
        <w:t>reali- dad </w:t>
      </w:r>
      <w:r>
        <w:rPr>
          <w:color w:val="231F20"/>
        </w:rPr>
        <w:t>de </w:t>
      </w:r>
      <w:r>
        <w:rPr>
          <w:color w:val="231F20"/>
          <w:spacing w:val="3"/>
        </w:rPr>
        <w:t>cómo </w:t>
      </w:r>
      <w:r>
        <w:rPr>
          <w:color w:val="231F20"/>
        </w:rPr>
        <w:t>se va </w:t>
      </w:r>
      <w:r>
        <w:rPr>
          <w:color w:val="231F20"/>
          <w:spacing w:val="3"/>
        </w:rPr>
        <w:t>imponiendo </w:t>
      </w:r>
      <w:r>
        <w:rPr>
          <w:color w:val="231F20"/>
        </w:rPr>
        <w:t>un </w:t>
      </w:r>
      <w:r>
        <w:rPr>
          <w:color w:val="231F20"/>
          <w:spacing w:val="2"/>
        </w:rPr>
        <w:t>tipo </w:t>
      </w:r>
      <w:r>
        <w:rPr>
          <w:color w:val="231F20"/>
        </w:rPr>
        <w:t>de </w:t>
      </w:r>
      <w:r>
        <w:rPr>
          <w:color w:val="231F20"/>
          <w:spacing w:val="2"/>
        </w:rPr>
        <w:t>política, </w:t>
      </w:r>
      <w:r>
        <w:rPr>
          <w:color w:val="231F20"/>
          <w:spacing w:val="3"/>
        </w:rPr>
        <w:t>como lucha   </w:t>
      </w:r>
      <w:r>
        <w:rPr>
          <w:color w:val="231F20"/>
          <w:spacing w:val="2"/>
        </w:rPr>
        <w:t>por </w:t>
      </w:r>
      <w:r>
        <w:rPr>
          <w:color w:val="231F20"/>
        </w:rPr>
        <w:t>el </w:t>
      </w:r>
      <w:r>
        <w:rPr>
          <w:color w:val="231F20"/>
          <w:spacing w:val="2"/>
        </w:rPr>
        <w:t>poder </w:t>
      </w:r>
      <w:r>
        <w:rPr>
          <w:color w:val="231F20"/>
        </w:rPr>
        <w:t>que se </w:t>
      </w:r>
      <w:r>
        <w:rPr>
          <w:color w:val="231F20"/>
          <w:spacing w:val="2"/>
        </w:rPr>
        <w:t>gesta </w:t>
      </w:r>
      <w:r>
        <w:rPr>
          <w:color w:val="231F20"/>
        </w:rPr>
        <w:t>a </w:t>
      </w:r>
      <w:r>
        <w:rPr>
          <w:color w:val="231F20"/>
          <w:spacing w:val="2"/>
        </w:rPr>
        <w:t>partir </w:t>
      </w:r>
      <w:r>
        <w:rPr>
          <w:color w:val="231F20"/>
        </w:rPr>
        <w:t>de la </w:t>
      </w:r>
      <w:r>
        <w:rPr>
          <w:color w:val="231F20"/>
          <w:spacing w:val="3"/>
        </w:rPr>
        <w:t>dinámica </w:t>
      </w:r>
      <w:r>
        <w:rPr>
          <w:color w:val="231F20"/>
          <w:spacing w:val="2"/>
        </w:rPr>
        <w:t>objetiva entre fuerzas productivas </w:t>
      </w:r>
      <w:r>
        <w:rPr>
          <w:color w:val="231F20"/>
        </w:rPr>
        <w:t>y </w:t>
      </w:r>
      <w:r>
        <w:rPr>
          <w:color w:val="231F20"/>
          <w:spacing w:val="2"/>
        </w:rPr>
        <w:t>relaciones </w:t>
      </w:r>
      <w:r>
        <w:rPr>
          <w:color w:val="231F20"/>
        </w:rPr>
        <w:t>de </w:t>
      </w:r>
      <w:r>
        <w:rPr>
          <w:color w:val="231F20"/>
          <w:spacing w:val="3"/>
        </w:rPr>
        <w:t>producción; </w:t>
      </w:r>
      <w:r>
        <w:rPr>
          <w:color w:val="231F20"/>
          <w:spacing w:val="2"/>
        </w:rPr>
        <w:t>por </w:t>
      </w:r>
      <w:r>
        <w:rPr>
          <w:color w:val="231F20"/>
        </w:rPr>
        <w:t>ello se </w:t>
      </w:r>
      <w:r>
        <w:rPr>
          <w:color w:val="231F20"/>
          <w:spacing w:val="2"/>
        </w:rPr>
        <w:t>cues- tiona </w:t>
      </w:r>
      <w:r>
        <w:rPr>
          <w:color w:val="231F20"/>
        </w:rPr>
        <w:t>al </w:t>
      </w:r>
      <w:r>
        <w:rPr>
          <w:color w:val="231F20"/>
          <w:spacing w:val="2"/>
        </w:rPr>
        <w:t>Estado </w:t>
      </w:r>
      <w:r>
        <w:rPr>
          <w:color w:val="231F20"/>
        </w:rPr>
        <w:t>en su </w:t>
      </w:r>
      <w:r>
        <w:rPr>
          <w:color w:val="231F20"/>
          <w:spacing w:val="3"/>
        </w:rPr>
        <w:t>forma </w:t>
      </w:r>
      <w:r>
        <w:rPr>
          <w:color w:val="231F20"/>
          <w:spacing w:val="2"/>
        </w:rPr>
        <w:t>alienada </w:t>
      </w:r>
      <w:r>
        <w:rPr>
          <w:color w:val="231F20"/>
        </w:rPr>
        <w:t>de la </w:t>
      </w:r>
      <w:r>
        <w:rPr>
          <w:color w:val="231F20"/>
          <w:spacing w:val="2"/>
        </w:rPr>
        <w:t>actividad práctica </w:t>
      </w:r>
      <w:r>
        <w:rPr>
          <w:color w:val="231F20"/>
        </w:rPr>
        <w:t>de </w:t>
      </w:r>
      <w:r>
        <w:rPr>
          <w:color w:val="231F20"/>
          <w:spacing w:val="2"/>
        </w:rPr>
        <w:t>los individuos que </w:t>
      </w:r>
      <w:r>
        <w:rPr>
          <w:color w:val="231F20"/>
          <w:spacing w:val="3"/>
        </w:rPr>
        <w:t>cumple </w:t>
      </w:r>
      <w:r>
        <w:rPr>
          <w:color w:val="231F20"/>
          <w:spacing w:val="2"/>
        </w:rPr>
        <w:t>tareas </w:t>
      </w:r>
      <w:r>
        <w:rPr>
          <w:color w:val="231F20"/>
        </w:rPr>
        <w:t>de </w:t>
      </w:r>
      <w:r>
        <w:rPr>
          <w:color w:val="231F20"/>
          <w:spacing w:val="2"/>
        </w:rPr>
        <w:t>represión </w:t>
      </w:r>
      <w:r>
        <w:rPr>
          <w:color w:val="231F20"/>
        </w:rPr>
        <w:t>e </w:t>
      </w:r>
      <w:r>
        <w:rPr>
          <w:color w:val="231F20"/>
          <w:spacing w:val="2"/>
        </w:rPr>
        <w:t>ideologización </w:t>
      </w:r>
      <w:r>
        <w:rPr>
          <w:color w:val="231F20"/>
        </w:rPr>
        <w:t>y, en </w:t>
      </w:r>
      <w:r>
        <w:rPr>
          <w:color w:val="231F20"/>
          <w:spacing w:val="3"/>
        </w:rPr>
        <w:t>consecuencia, </w:t>
      </w:r>
      <w:r>
        <w:rPr>
          <w:color w:val="231F20"/>
        </w:rPr>
        <w:t>no es </w:t>
      </w:r>
      <w:r>
        <w:rPr>
          <w:color w:val="231F20"/>
          <w:spacing w:val="2"/>
        </w:rPr>
        <w:t>ningún reino </w:t>
      </w:r>
      <w:r>
        <w:rPr>
          <w:color w:val="231F20"/>
        </w:rPr>
        <w:t>de la </w:t>
      </w:r>
      <w:r>
        <w:rPr>
          <w:color w:val="231F20"/>
          <w:spacing w:val="2"/>
        </w:rPr>
        <w:t>realización </w:t>
      </w:r>
      <w:r>
        <w:rPr>
          <w:color w:val="231F20"/>
        </w:rPr>
        <w:t>de la </w:t>
      </w:r>
      <w:r>
        <w:rPr>
          <w:color w:val="231F20"/>
          <w:spacing w:val="2"/>
        </w:rPr>
        <w:t>libertad racional, pues esta solo existe </w:t>
      </w:r>
      <w:r>
        <w:rPr>
          <w:color w:val="231F20"/>
        </w:rPr>
        <w:t>de </w:t>
      </w:r>
      <w:r>
        <w:rPr>
          <w:color w:val="231F20"/>
          <w:spacing w:val="3"/>
        </w:rPr>
        <w:t>modo </w:t>
      </w:r>
      <w:r>
        <w:rPr>
          <w:color w:val="231F20"/>
          <w:spacing w:val="2"/>
        </w:rPr>
        <w:t>formal, </w:t>
      </w:r>
      <w:r>
        <w:rPr>
          <w:color w:val="231F20"/>
        </w:rPr>
        <w:t>de </w:t>
      </w:r>
      <w:r>
        <w:rPr>
          <w:color w:val="231F20"/>
          <w:spacing w:val="3"/>
        </w:rPr>
        <w:t>modo jurídico. </w:t>
      </w:r>
      <w:r>
        <w:rPr>
          <w:color w:val="231F20"/>
          <w:spacing w:val="2"/>
        </w:rPr>
        <w:t>Por ello, para Marx </w:t>
      </w:r>
      <w:r>
        <w:rPr>
          <w:color w:val="231F20"/>
        </w:rPr>
        <w:t>es </w:t>
      </w:r>
      <w:r>
        <w:rPr>
          <w:color w:val="231F20"/>
          <w:spacing w:val="2"/>
        </w:rPr>
        <w:t>necesario aclarar cuál </w:t>
      </w:r>
      <w:r>
        <w:rPr>
          <w:color w:val="231F20"/>
        </w:rPr>
        <w:t>es la </w:t>
      </w:r>
      <w:r>
        <w:rPr>
          <w:color w:val="231F20"/>
          <w:spacing w:val="2"/>
        </w:rPr>
        <w:t>significación </w:t>
      </w:r>
      <w:r>
        <w:rPr>
          <w:color w:val="231F20"/>
        </w:rPr>
        <w:t>y el </w:t>
      </w:r>
      <w:r>
        <w:rPr>
          <w:color w:val="231F20"/>
          <w:spacing w:val="2"/>
        </w:rPr>
        <w:t>carácter histórico del</w:t>
      </w:r>
      <w:r>
        <w:rPr>
          <w:color w:val="231F20"/>
          <w:spacing w:val="19"/>
        </w:rPr>
        <w:t> </w:t>
      </w:r>
      <w:r>
        <w:rPr>
          <w:color w:val="231F20"/>
          <w:spacing w:val="3"/>
        </w:rPr>
        <w:t>Estado.</w:t>
      </w:r>
    </w:p>
    <w:p>
      <w:pPr>
        <w:pStyle w:val="BodyText"/>
        <w:spacing w:line="247" w:lineRule="auto"/>
        <w:ind w:left="101" w:right="116" w:firstLine="284"/>
        <w:jc w:val="both"/>
      </w:pPr>
      <w:r>
        <w:rPr>
          <w:color w:val="231F20"/>
        </w:rPr>
        <w:t>La idea marxista en cuanto al papel histórico y a la significa- ción del Estado, se refiere a su reconocimiento como producto y manifestación del carácter irreconciliable de las contradicciones de clase, su surgimiento se relaciona con el grado en que esas contra- dicciones no pueden objetivamente conciliarse, como bien se cita en Engels:</w:t>
      </w:r>
    </w:p>
    <w:p>
      <w:pPr>
        <w:pStyle w:val="BodyText"/>
        <w:spacing w:before="8"/>
        <w:rPr>
          <w:sz w:val="23"/>
        </w:rPr>
      </w:pPr>
    </w:p>
    <w:p>
      <w:pPr>
        <w:spacing w:line="273" w:lineRule="auto" w:before="0"/>
        <w:ind w:left="810" w:right="164" w:firstLine="0"/>
        <w:jc w:val="both"/>
        <w:rPr>
          <w:sz w:val="19"/>
        </w:rPr>
      </w:pPr>
      <w:r>
        <w:rPr>
          <w:color w:val="231F20"/>
          <w:sz w:val="19"/>
        </w:rPr>
        <w:t>(…) Pero a fin de que estos antagonismos, estas clases con intere- ses económicos en pugna no se devoren a sí mismas y no consu- man a la sociedad en una lucha estéril, se hace necesario un poder situado aparentemente por encima de la sociedad y llamado a amortiguar el choque, a mantenerlo en los límites del orden.</w:t>
      </w:r>
      <w:r>
        <w:rPr>
          <w:color w:val="231F20"/>
          <w:spacing w:val="-33"/>
          <w:sz w:val="19"/>
        </w:rPr>
        <w:t> </w:t>
      </w:r>
      <w:r>
        <w:rPr>
          <w:color w:val="231F20"/>
          <w:sz w:val="19"/>
        </w:rPr>
        <w:t>Y ese poder, nacido de la sociedad, pero que se pone por encima de ella </w:t>
      </w:r>
      <w:r>
        <w:rPr>
          <w:color w:val="231F20"/>
          <w:w w:val="86"/>
          <w:sz w:val="19"/>
        </w:rPr>
        <w:t>y</w:t>
      </w:r>
      <w:r>
        <w:rPr>
          <w:color w:val="231F20"/>
          <w:spacing w:val="-1"/>
          <w:sz w:val="19"/>
        </w:rPr>
        <w:t> </w:t>
      </w:r>
      <w:r>
        <w:rPr>
          <w:color w:val="231F20"/>
          <w:spacing w:val="-1"/>
          <w:w w:val="97"/>
          <w:sz w:val="19"/>
        </w:rPr>
        <w:t>s</w:t>
      </w:r>
      <w:r>
        <w:rPr>
          <w:color w:val="231F20"/>
          <w:w w:val="97"/>
          <w:sz w:val="19"/>
        </w:rPr>
        <w:t>e</w:t>
      </w:r>
      <w:r>
        <w:rPr>
          <w:color w:val="231F20"/>
          <w:spacing w:val="-1"/>
          <w:sz w:val="19"/>
        </w:rPr>
        <w:t> </w:t>
      </w:r>
      <w:r>
        <w:rPr>
          <w:color w:val="231F20"/>
          <w:spacing w:val="-1"/>
          <w:w w:val="103"/>
          <w:sz w:val="19"/>
        </w:rPr>
        <w:t>d</w:t>
      </w:r>
      <w:r>
        <w:rPr>
          <w:color w:val="231F20"/>
          <w:spacing w:val="-2"/>
          <w:w w:val="85"/>
          <w:sz w:val="19"/>
        </w:rPr>
        <w:t>i</w:t>
      </w:r>
      <w:r>
        <w:rPr>
          <w:color w:val="231F20"/>
          <w:spacing w:val="-1"/>
          <w:w w:val="101"/>
          <w:sz w:val="19"/>
        </w:rPr>
        <w:t>vo</w:t>
      </w:r>
      <w:r>
        <w:rPr>
          <w:color w:val="231F20"/>
          <w:spacing w:val="-1"/>
          <w:w w:val="103"/>
          <w:sz w:val="19"/>
        </w:rPr>
        <w:t>r</w:t>
      </w:r>
      <w:r>
        <w:rPr>
          <w:color w:val="231F20"/>
          <w:spacing w:val="-1"/>
          <w:w w:val="97"/>
          <w:sz w:val="19"/>
        </w:rPr>
        <w:t>c</w:t>
      </w:r>
      <w:r>
        <w:rPr>
          <w:color w:val="231F20"/>
          <w:spacing w:val="-2"/>
          <w:w w:val="85"/>
          <w:sz w:val="19"/>
        </w:rPr>
        <w:t>i</w:t>
      </w:r>
      <w:r>
        <w:rPr>
          <w:color w:val="231F20"/>
          <w:w w:val="94"/>
          <w:sz w:val="19"/>
        </w:rPr>
        <w:t>a</w:t>
      </w:r>
      <w:r>
        <w:rPr>
          <w:color w:val="231F20"/>
          <w:spacing w:val="-1"/>
          <w:sz w:val="19"/>
        </w:rPr>
        <w:t> </w:t>
      </w:r>
      <w:r>
        <w:rPr>
          <w:color w:val="231F20"/>
          <w:spacing w:val="-1"/>
          <w:w w:val="103"/>
          <w:sz w:val="19"/>
        </w:rPr>
        <w:t>d</w:t>
      </w:r>
      <w:r>
        <w:rPr>
          <w:color w:val="231F20"/>
          <w:w w:val="97"/>
          <w:sz w:val="19"/>
        </w:rPr>
        <w:t>e</w:t>
      </w:r>
      <w:r>
        <w:rPr>
          <w:color w:val="231F20"/>
          <w:spacing w:val="-1"/>
          <w:sz w:val="19"/>
        </w:rPr>
        <w:t> </w:t>
      </w:r>
      <w:r>
        <w:rPr>
          <w:color w:val="231F20"/>
          <w:spacing w:val="-1"/>
          <w:w w:val="97"/>
          <w:sz w:val="19"/>
        </w:rPr>
        <w:t>e</w:t>
      </w:r>
      <w:r>
        <w:rPr>
          <w:color w:val="231F20"/>
          <w:spacing w:val="-2"/>
          <w:w w:val="85"/>
          <w:sz w:val="19"/>
        </w:rPr>
        <w:t>ll</w:t>
      </w:r>
      <w:r>
        <w:rPr>
          <w:color w:val="231F20"/>
          <w:w w:val="94"/>
          <w:sz w:val="19"/>
        </w:rPr>
        <w:t>a</w:t>
      </w:r>
      <w:r>
        <w:rPr>
          <w:color w:val="231F20"/>
          <w:spacing w:val="-1"/>
          <w:sz w:val="19"/>
        </w:rPr>
        <w:t> </w:t>
      </w:r>
      <w:r>
        <w:rPr>
          <w:color w:val="231F20"/>
          <w:w w:val="102"/>
          <w:sz w:val="19"/>
        </w:rPr>
        <w:t>m</w:t>
      </w:r>
      <w:r>
        <w:rPr>
          <w:color w:val="231F20"/>
          <w:spacing w:val="-1"/>
          <w:w w:val="95"/>
          <w:sz w:val="19"/>
        </w:rPr>
        <w:t>á</w:t>
      </w:r>
      <w:r>
        <w:rPr>
          <w:color w:val="231F20"/>
          <w:w w:val="95"/>
          <w:sz w:val="19"/>
        </w:rPr>
        <w:t>s</w:t>
      </w:r>
      <w:r>
        <w:rPr>
          <w:color w:val="231F20"/>
          <w:spacing w:val="-1"/>
          <w:sz w:val="19"/>
        </w:rPr>
        <w:t> </w:t>
      </w:r>
      <w:r>
        <w:rPr>
          <w:color w:val="231F20"/>
          <w:w w:val="86"/>
          <w:sz w:val="19"/>
        </w:rPr>
        <w:t>y</w:t>
      </w:r>
      <w:r>
        <w:rPr>
          <w:color w:val="231F20"/>
          <w:spacing w:val="-1"/>
          <w:sz w:val="19"/>
        </w:rPr>
        <w:t> </w:t>
      </w:r>
      <w:r>
        <w:rPr>
          <w:color w:val="231F20"/>
          <w:w w:val="102"/>
          <w:sz w:val="19"/>
        </w:rPr>
        <w:t>m</w:t>
      </w:r>
      <w:r>
        <w:rPr>
          <w:color w:val="231F20"/>
          <w:spacing w:val="-1"/>
          <w:w w:val="95"/>
          <w:sz w:val="19"/>
        </w:rPr>
        <w:t>ás</w:t>
      </w:r>
      <w:r>
        <w:rPr>
          <w:color w:val="231F20"/>
          <w:w w:val="90"/>
          <w:sz w:val="19"/>
        </w:rPr>
        <w:t>,</w:t>
      </w:r>
      <w:r>
        <w:rPr>
          <w:color w:val="231F20"/>
          <w:spacing w:val="-1"/>
          <w:sz w:val="19"/>
        </w:rPr>
        <w:t> </w:t>
      </w:r>
      <w:r>
        <w:rPr>
          <w:color w:val="231F20"/>
          <w:spacing w:val="-1"/>
          <w:w w:val="97"/>
          <w:sz w:val="19"/>
        </w:rPr>
        <w:t>e</w:t>
      </w:r>
      <w:r>
        <w:rPr>
          <w:color w:val="231F20"/>
          <w:w w:val="97"/>
          <w:sz w:val="19"/>
        </w:rPr>
        <w:t>s</w:t>
      </w:r>
      <w:r>
        <w:rPr>
          <w:color w:val="231F20"/>
          <w:spacing w:val="-1"/>
          <w:sz w:val="19"/>
        </w:rPr>
        <w:t> </w:t>
      </w:r>
      <w:r>
        <w:rPr>
          <w:color w:val="231F20"/>
          <w:spacing w:val="-1"/>
          <w:w w:val="97"/>
          <w:sz w:val="19"/>
        </w:rPr>
        <w:t>e</w:t>
      </w:r>
      <w:r>
        <w:rPr>
          <w:color w:val="231F20"/>
          <w:w w:val="85"/>
          <w:sz w:val="19"/>
        </w:rPr>
        <w:t>l</w:t>
      </w:r>
      <w:r>
        <w:rPr>
          <w:color w:val="231F20"/>
          <w:spacing w:val="-1"/>
          <w:sz w:val="19"/>
        </w:rPr>
        <w:t> </w:t>
      </w:r>
      <w:r>
        <w:rPr>
          <w:color w:val="231F20"/>
          <w:w w:val="111"/>
          <w:sz w:val="19"/>
        </w:rPr>
        <w:t>E</w:t>
      </w:r>
      <w:r>
        <w:rPr>
          <w:color w:val="231F20"/>
          <w:spacing w:val="-1"/>
          <w:w w:val="101"/>
          <w:sz w:val="19"/>
        </w:rPr>
        <w:t>s</w:t>
      </w:r>
      <w:r>
        <w:rPr>
          <w:color w:val="231F20"/>
          <w:spacing w:val="-2"/>
          <w:w w:val="101"/>
          <w:sz w:val="19"/>
        </w:rPr>
        <w:t>t</w:t>
      </w:r>
      <w:r>
        <w:rPr>
          <w:color w:val="231F20"/>
          <w:spacing w:val="-1"/>
          <w:w w:val="94"/>
          <w:sz w:val="19"/>
        </w:rPr>
        <w:t>a</w:t>
      </w:r>
      <w:r>
        <w:rPr>
          <w:color w:val="231F20"/>
          <w:spacing w:val="-1"/>
          <w:w w:val="103"/>
          <w:sz w:val="19"/>
        </w:rPr>
        <w:t>d</w:t>
      </w:r>
      <w:r>
        <w:rPr>
          <w:color w:val="231F20"/>
          <w:w w:val="105"/>
          <w:sz w:val="19"/>
        </w:rPr>
        <w:t>o</w:t>
      </w:r>
      <w:r>
        <w:rPr>
          <w:color w:val="231F20"/>
          <w:sz w:val="19"/>
        </w:rPr>
        <w:t> </w:t>
      </w:r>
      <w:r>
        <w:rPr>
          <w:color w:val="231F20"/>
          <w:spacing w:val="-2"/>
          <w:w w:val="90"/>
          <w:sz w:val="19"/>
        </w:rPr>
        <w:t>(</w:t>
      </w:r>
      <w:r>
        <w:rPr>
          <w:color w:val="231F20"/>
          <w:w w:val="111"/>
          <w:sz w:val="19"/>
        </w:rPr>
        <w:t>E</w:t>
      </w:r>
      <w:r>
        <w:rPr>
          <w:color w:val="231F20"/>
          <w:spacing w:val="-1"/>
          <w:w w:val="105"/>
          <w:sz w:val="19"/>
        </w:rPr>
        <w:t>n</w:t>
      </w:r>
      <w:r>
        <w:rPr>
          <w:color w:val="231F20"/>
          <w:spacing w:val="-1"/>
          <w:w w:val="94"/>
          <w:sz w:val="19"/>
        </w:rPr>
        <w:t>ge</w:t>
      </w:r>
      <w:r>
        <w:rPr>
          <w:color w:val="231F20"/>
          <w:spacing w:val="-2"/>
          <w:w w:val="85"/>
          <w:sz w:val="19"/>
        </w:rPr>
        <w:t>l</w:t>
      </w:r>
      <w:r>
        <w:rPr>
          <w:color w:val="231F20"/>
          <w:spacing w:val="-1"/>
          <w:w w:val="97"/>
          <w:sz w:val="19"/>
        </w:rPr>
        <w:t>s</w:t>
      </w:r>
      <w:r>
        <w:rPr>
          <w:color w:val="231F20"/>
          <w:w w:val="90"/>
          <w:sz w:val="19"/>
        </w:rPr>
        <w:t>,</w:t>
      </w:r>
      <w:r>
        <w:rPr>
          <w:color w:val="231F20"/>
          <w:spacing w:val="-1"/>
          <w:sz w:val="19"/>
        </w:rPr>
        <w:t> </w:t>
      </w:r>
      <w:r>
        <w:rPr>
          <w:color w:val="231F20"/>
          <w:spacing w:val="-1"/>
          <w:w w:val="97"/>
          <w:sz w:val="19"/>
        </w:rPr>
        <w:t>s</w:t>
      </w:r>
      <w:r>
        <w:rPr>
          <w:color w:val="231F20"/>
          <w:spacing w:val="-1"/>
          <w:w w:val="186"/>
          <w:sz w:val="19"/>
        </w:rPr>
        <w:t>/</w:t>
      </w:r>
      <w:r>
        <w:rPr>
          <w:color w:val="231F20"/>
          <w:spacing w:val="-1"/>
          <w:w w:val="100"/>
          <w:sz w:val="19"/>
        </w:rPr>
        <w:t>f</w:t>
      </w:r>
      <w:r>
        <w:rPr>
          <w:color w:val="231F20"/>
          <w:w w:val="81"/>
          <w:sz w:val="19"/>
        </w:rPr>
        <w:t>:</w:t>
      </w:r>
      <w:r>
        <w:rPr>
          <w:color w:val="231F20"/>
          <w:spacing w:val="-1"/>
          <w:sz w:val="19"/>
        </w:rPr>
        <w:t> </w:t>
      </w:r>
      <w:r>
        <w:rPr>
          <w:color w:val="231F20"/>
          <w:spacing w:val="-1"/>
          <w:w w:val="95"/>
          <w:sz w:val="19"/>
        </w:rPr>
        <w:t>606)</w:t>
      </w:r>
      <w:r>
        <w:rPr>
          <w:color w:val="231F20"/>
          <w:w w:val="90"/>
          <w:sz w:val="19"/>
        </w:rPr>
        <w:t>.</w:t>
      </w:r>
    </w:p>
    <w:p>
      <w:pPr>
        <w:pStyle w:val="BodyText"/>
        <w:spacing w:before="2"/>
        <w:rPr>
          <w:sz w:val="20"/>
        </w:rPr>
      </w:pPr>
    </w:p>
    <w:p>
      <w:pPr>
        <w:pStyle w:val="BodyText"/>
        <w:spacing w:line="249" w:lineRule="auto" w:before="1"/>
        <w:ind w:left="102" w:right="115" w:firstLine="284"/>
        <w:jc w:val="both"/>
      </w:pPr>
      <w:r>
        <w:rPr>
          <w:color w:val="231F20"/>
        </w:rPr>
        <w:t>El poder centralizado del Estado, característico de la sociedad burguesa, surgió en la caída del absolutismo, dos son sus institu- ciones más típicas de esta maquinaria: “la burocracia y el ejército permanente (…) (con) miles de hilos que vinculan estas institu- ciones precisamente con la burguesía… la clase obrera aprende en propia carne a comprender estos vínculos; por eso capta tan fá- cilmente y asimila también la ciencia del carácter inevitable de estos vínculos (…)” (Lenin, 1980: 293).</w:t>
      </w:r>
    </w:p>
    <w:p>
      <w:pPr>
        <w:pStyle w:val="BodyText"/>
        <w:spacing w:line="247" w:lineRule="auto"/>
        <w:ind w:left="102" w:right="115" w:firstLine="283"/>
        <w:jc w:val="both"/>
      </w:pPr>
      <w:r>
        <w:rPr>
          <w:color w:val="231F20"/>
        </w:rPr>
        <w:t>En la crítica que desde Marx se realiza al Estado liberal que ha reposado sobre la malsana ficción de una pseudoigualdad que vuelve inocente a la desigualdad real, de ahí su carácter alienado y de ahí también las tareas que el Estado desempeña en auxilio del proceso de acumulación capitalista: el ocultamiento de la  domina-</w:t>
      </w:r>
    </w:p>
    <w:p>
      <w:pPr>
        <w:spacing w:after="0" w:line="247" w:lineRule="auto"/>
        <w:jc w:val="both"/>
        <w:sectPr>
          <w:headerReference w:type="default" r:id="rId92"/>
          <w:footerReference w:type="default" r:id="rId93"/>
          <w:pgSz w:w="7830" w:h="11910"/>
          <w:pgMar w:header="0" w:footer="424" w:top="500" w:bottom="620" w:left="920" w:right="900"/>
          <w:pgNumType w:start="4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6"/>
        <w:jc w:val="both"/>
      </w:pPr>
      <w:r>
        <w:rPr>
          <w:color w:val="231F20"/>
        </w:rPr>
        <w:t>ción, su invocación manipuladora al pueblo, en su inocua abstrac- ción, para legitimar la dictadura clasista, la separación de la eco- nomía y la política, la primera consagrada como asunto de lo pri- vado al paso de la segunda, que se restringe a los asuntos propios de la esfera de lo público, definida según los criterios de la clase burguesa, reforzado con todo el peso de la violencia en la ley y la autoridad.</w:t>
      </w:r>
    </w:p>
    <w:p>
      <w:pPr>
        <w:pStyle w:val="BodyText"/>
        <w:spacing w:line="247" w:lineRule="auto"/>
        <w:ind w:left="102" w:right="115" w:firstLine="283"/>
        <w:jc w:val="both"/>
      </w:pPr>
      <w:r>
        <w:rPr>
          <w:color w:val="231F20"/>
        </w:rPr>
        <w:t>Marx sometió a la crítica la doctrina económica y  la  práctica del liberalismo político, y con, ello mostró la íntima dependencia del Estado respecto de los intereses de las clases dominantes. Por ello, el recurrir al uso de la fuerza como el elemento distintivo del poder político. Su uso es una condición necesaria pero no sufi- ciente para la existencia del poder político.</w:t>
      </w:r>
    </w:p>
    <w:p>
      <w:pPr>
        <w:pStyle w:val="BodyText"/>
        <w:spacing w:line="247" w:lineRule="auto" w:before="1"/>
        <w:ind w:left="102" w:right="117" w:firstLine="284"/>
        <w:jc w:val="both"/>
      </w:pPr>
      <w:r>
        <w:rPr>
          <w:color w:val="231F20"/>
        </w:rPr>
        <w:t>Ya Max Weber da cuenta de esta violencia que se ejerce por parte del Estado a la población, sin tener como base la crítica:</w:t>
      </w:r>
    </w:p>
    <w:p>
      <w:pPr>
        <w:pStyle w:val="BodyText"/>
        <w:spacing w:before="3"/>
        <w:rPr>
          <w:sz w:val="23"/>
        </w:rPr>
      </w:pPr>
    </w:p>
    <w:p>
      <w:pPr>
        <w:spacing w:line="276" w:lineRule="auto" w:before="0"/>
        <w:ind w:left="810" w:right="164" w:firstLine="0"/>
        <w:jc w:val="both"/>
        <w:rPr>
          <w:sz w:val="19"/>
        </w:rPr>
      </w:pPr>
      <w:r>
        <w:rPr>
          <w:color w:val="231F20"/>
          <w:sz w:val="19"/>
        </w:rPr>
        <w:t>(…) indica que por Estado debe entenderse una empresa institu- cional de carácter político en la cual y en la medida en la cual el aparato administrativo tiene con éxito una pretensión de mono- polio de la coerción física legítima, en vista de la actuación de los ordenamientos (Weber en Bobbio, 1981: 1244).</w:t>
      </w:r>
    </w:p>
    <w:p>
      <w:pPr>
        <w:pStyle w:val="BodyText"/>
        <w:rPr>
          <w:sz w:val="20"/>
        </w:rPr>
      </w:pPr>
    </w:p>
    <w:p>
      <w:pPr>
        <w:pStyle w:val="BodyText"/>
        <w:spacing w:line="247" w:lineRule="auto"/>
        <w:ind w:left="102" w:right="118" w:firstLine="284"/>
        <w:jc w:val="both"/>
      </w:pPr>
      <w:r>
        <w:rPr>
          <w:color w:val="231F20"/>
        </w:rPr>
        <w:t>Para Weber el hecho de ocupar la fuerza física legítima no es más que el hilo conductor de la acción del sistema político que le confiere su particular calidad e importancia y su coherencia como sistema.</w:t>
      </w:r>
    </w:p>
    <w:p>
      <w:pPr>
        <w:pStyle w:val="BodyText"/>
        <w:spacing w:line="249" w:lineRule="auto" w:before="1"/>
        <w:ind w:left="101" w:right="115" w:firstLine="284"/>
        <w:jc w:val="both"/>
      </w:pPr>
      <w:r>
        <w:rPr>
          <w:color w:val="231F20"/>
        </w:rPr>
        <w:t>O como bien dice Gramsci, históricamente el Estado ha tenido dos medios violentos, para imponer una forma de organización política para la reproducción de las condiciones materiales; una, es la represión abierta como violencia legítima y para ello tiene a la mano al ejército o las policías; y la otra, que se establece como una violencia simbólica mucho más sofisticada, es la hegemonía; según él, el Estado es todo el complejo de actividades, prácticas y teóri- cas con las cuales la clase dirigente no solo justifica y mantiene su dominio sino también logra obtener el consenso activo de los gobernados (Gramsci, 1998: 72).</w:t>
      </w:r>
    </w:p>
    <w:p>
      <w:pPr>
        <w:pStyle w:val="BodyText"/>
        <w:spacing w:line="247" w:lineRule="auto"/>
        <w:ind w:left="101" w:right="116" w:firstLine="284"/>
        <w:jc w:val="both"/>
      </w:pPr>
      <w:r>
        <w:rPr>
          <w:color w:val="231F20"/>
        </w:rPr>
        <w:t>En </w:t>
      </w:r>
      <w:r>
        <w:rPr>
          <w:color w:val="231F20"/>
          <w:spacing w:val="2"/>
        </w:rPr>
        <w:t>este sentido </w:t>
      </w:r>
      <w:r>
        <w:rPr>
          <w:color w:val="231F20"/>
        </w:rPr>
        <w:t>no se </w:t>
      </w:r>
      <w:r>
        <w:rPr>
          <w:color w:val="231F20"/>
          <w:spacing w:val="2"/>
        </w:rPr>
        <w:t>puede dejar </w:t>
      </w:r>
      <w:r>
        <w:rPr>
          <w:color w:val="231F20"/>
        </w:rPr>
        <w:t>de </w:t>
      </w:r>
      <w:r>
        <w:rPr>
          <w:color w:val="231F20"/>
          <w:spacing w:val="2"/>
        </w:rPr>
        <w:t>lado </w:t>
      </w:r>
      <w:r>
        <w:rPr>
          <w:color w:val="231F20"/>
        </w:rPr>
        <w:t>que </w:t>
      </w:r>
      <w:r>
        <w:rPr>
          <w:color w:val="231F20"/>
          <w:spacing w:val="2"/>
        </w:rPr>
        <w:t>aunque </w:t>
      </w:r>
      <w:r>
        <w:rPr>
          <w:color w:val="231F20"/>
        </w:rPr>
        <w:t>se </w:t>
      </w:r>
      <w:r>
        <w:rPr>
          <w:color w:val="231F20"/>
          <w:spacing w:val="2"/>
        </w:rPr>
        <w:t>diga  </w:t>
      </w:r>
      <w:r>
        <w:rPr>
          <w:color w:val="231F20"/>
        </w:rPr>
        <w:t>que la </w:t>
      </w:r>
      <w:r>
        <w:rPr>
          <w:color w:val="231F20"/>
          <w:spacing w:val="2"/>
        </w:rPr>
        <w:t>política pública recupera </w:t>
      </w:r>
      <w:r>
        <w:rPr>
          <w:color w:val="231F20"/>
        </w:rPr>
        <w:t>las </w:t>
      </w:r>
      <w:r>
        <w:rPr>
          <w:color w:val="231F20"/>
          <w:spacing w:val="2"/>
        </w:rPr>
        <w:t>necesidades </w:t>
      </w:r>
      <w:r>
        <w:rPr>
          <w:color w:val="231F20"/>
        </w:rPr>
        <w:t>de </w:t>
      </w:r>
      <w:r>
        <w:rPr>
          <w:color w:val="231F20"/>
          <w:spacing w:val="2"/>
        </w:rPr>
        <w:t>los grupos mi- noritarios </w:t>
      </w:r>
      <w:r>
        <w:rPr>
          <w:color w:val="231F20"/>
        </w:rPr>
        <w:t>y  se  </w:t>
      </w:r>
      <w:r>
        <w:rPr>
          <w:color w:val="231F20"/>
          <w:spacing w:val="2"/>
        </w:rPr>
        <w:t>expresa </w:t>
      </w:r>
      <w:r>
        <w:rPr>
          <w:color w:val="231F20"/>
        </w:rPr>
        <w:t>en  </w:t>
      </w:r>
      <w:r>
        <w:rPr>
          <w:color w:val="231F20"/>
          <w:spacing w:val="2"/>
        </w:rPr>
        <w:t>los planes </w:t>
      </w:r>
      <w:r>
        <w:rPr>
          <w:color w:val="231F20"/>
        </w:rPr>
        <w:t>de  </w:t>
      </w:r>
      <w:r>
        <w:rPr>
          <w:color w:val="231F20"/>
          <w:spacing w:val="2"/>
        </w:rPr>
        <w:t>desarrollo </w:t>
      </w:r>
      <w:r>
        <w:rPr>
          <w:color w:val="231F20"/>
        </w:rPr>
        <w:t>o  </w:t>
      </w:r>
      <w:r>
        <w:rPr>
          <w:color w:val="231F20"/>
          <w:spacing w:val="19"/>
        </w:rPr>
        <w:t> </w:t>
      </w:r>
      <w:r>
        <w:rPr>
          <w:color w:val="231F20"/>
          <w:spacing w:val="2"/>
        </w:rPr>
        <w:t>sectoriales,</w:t>
      </w:r>
    </w:p>
    <w:p>
      <w:pPr>
        <w:spacing w:after="0" w:line="247" w:lineRule="auto"/>
        <w:jc w:val="both"/>
        <w:sectPr>
          <w:headerReference w:type="default" r:id="rId94"/>
          <w:footerReference w:type="default" r:id="rId95"/>
          <w:pgSz w:w="7830" w:h="11910"/>
          <w:pgMar w:header="0" w:footer="424" w:top="500" w:bottom="620" w:left="920" w:right="900"/>
          <w:pgNumType w:start="4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5"/>
        <w:jc w:val="both"/>
      </w:pPr>
      <w:r>
        <w:rPr>
          <w:color w:val="231F20"/>
        </w:rPr>
        <w:t>con la reflexión precedente, en realidad, se advierte que las políti- cas encierran un tipo de dominio y violencia para mantener y re- producir las condiciones de la base material y de los grupos en el poder que se hacen del derecho, de la ley y la política en una so- ciedad determinada; la vacían, a esta última, de su contenido ético, es decir, la despolitizan, así como la imponen de forma violenta.</w:t>
      </w:r>
    </w:p>
    <w:p>
      <w:pPr>
        <w:pStyle w:val="BodyText"/>
        <w:spacing w:line="247" w:lineRule="auto"/>
        <w:ind w:left="101" w:right="115" w:firstLine="284"/>
        <w:jc w:val="both"/>
      </w:pPr>
      <w:r>
        <w:rPr>
          <w:color w:val="231F20"/>
        </w:rPr>
        <w:t>De esta reflexión conceptual en términos del Estado y la polí- tica, en un segundo nivel de abstracción, se intenta realizar la in- terpretación del proceso histórico en la formación social mexicana  y dar cuenta de cómo la violencia se encuentra en relación directa con la construcción normativa, a partir de su relación con la base material, la política y cómo se introduce en todas las relaciones, especialmente en la educación.</w:t>
      </w:r>
    </w:p>
    <w:p>
      <w:pPr>
        <w:pStyle w:val="BodyText"/>
        <w:spacing w:before="9"/>
      </w:pPr>
    </w:p>
    <w:p>
      <w:pPr>
        <w:pStyle w:val="BodyText"/>
        <w:ind w:left="101"/>
        <w:jc w:val="both"/>
      </w:pPr>
      <w:r>
        <w:rPr>
          <w:color w:val="231F20"/>
          <w:w w:val="105"/>
        </w:rPr>
        <w:t>LA CONDICIÓN MATERIAL DE LA VIOLENCIA</w:t>
      </w:r>
    </w:p>
    <w:p>
      <w:pPr>
        <w:pStyle w:val="BodyText"/>
        <w:spacing w:before="1"/>
      </w:pPr>
    </w:p>
    <w:p>
      <w:pPr>
        <w:pStyle w:val="BodyText"/>
        <w:spacing w:line="247" w:lineRule="auto" w:before="1"/>
        <w:ind w:left="102" w:right="116" w:hanging="1"/>
        <w:jc w:val="both"/>
      </w:pPr>
      <w:r>
        <w:rPr>
          <w:color w:val="231F20"/>
        </w:rPr>
        <w:t>En el país, desde fines del siglo </w:t>
      </w:r>
      <w:r>
        <w:rPr>
          <w:color w:val="231F20"/>
          <w:sz w:val="19"/>
        </w:rPr>
        <w:t>xx</w:t>
      </w:r>
      <w:r>
        <w:rPr>
          <w:color w:val="231F20"/>
        </w:rPr>
        <w:t>, se ha resentido con tal magnitud y fuerza los desequilibrios económicos producto de las medidas políticas públicas de tipo monetarista que hacen evidentes las con- tradicciones de la implementación del neoliberalismo, ahora mati- zado por un mercado mundial. Se tiene como efecto de esas medi- das una crisis económica endémica, cuyos ciclos se asocian a pro- blemas de tipo financiero; la continua devaluación monetaria, la caída real de los salarios y el recorte del gasto público dan cuenta  del fracaso por restablecer el equilibrio fundamental; por el contra- rio, las medidas adoptadas, unidas a la liberación comercial y la apertura financiera han causado inflación, han incrementado los desequilibrios comerciales, y por sus efectos recesivos en la econo- mía, han deteriorado el balance fiscal. Asimismo, los ajustes a los precios relativos también han sido ineficaces para lograr un mejor aprovechamiento de los recursos productivos internos, por el con- trario, han tenido severos efectos negativos sobre el empleo y el salario. Y esto se traduce en una pauperización de la población que vive en condiciones lacerantes, lo que es un caldo de cultivo para el narcotráfico.</w:t>
      </w:r>
    </w:p>
    <w:p>
      <w:pPr>
        <w:pStyle w:val="BodyText"/>
        <w:spacing w:line="247" w:lineRule="auto" w:before="10"/>
        <w:ind w:left="102" w:right="118" w:firstLine="284"/>
        <w:jc w:val="both"/>
      </w:pPr>
      <w:r>
        <w:rPr>
          <w:color w:val="231F20"/>
        </w:rPr>
        <w:t>Los cambios derivados de las recomendaciones de los bancos internacionales en lo económico se dirigen a contener la inflación, generar mayor crecimiento, superávit fiscal,  saneamiento financiero gubernamental, mayor inversión extranjera, predominio</w:t>
      </w:r>
    </w:p>
    <w:p>
      <w:pPr>
        <w:spacing w:after="0" w:line="247" w:lineRule="auto"/>
        <w:jc w:val="both"/>
        <w:sectPr>
          <w:headerReference w:type="default" r:id="rId96"/>
          <w:footerReference w:type="default" r:id="rId97"/>
          <w:pgSz w:w="7830" w:h="11910"/>
          <w:pgMar w:header="0" w:footer="424" w:top="500" w:bottom="620" w:left="920" w:right="900"/>
          <w:pgNumType w:start="4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9"/>
        <w:jc w:val="both"/>
      </w:pPr>
      <w:r>
        <w:rPr>
          <w:color w:val="231F20"/>
        </w:rPr>
        <w:t>de </w:t>
      </w:r>
      <w:r>
        <w:rPr>
          <w:color w:val="231F20"/>
          <w:spacing w:val="3"/>
        </w:rPr>
        <w:t>exportaciones </w:t>
      </w:r>
      <w:r>
        <w:rPr>
          <w:color w:val="231F20"/>
        </w:rPr>
        <w:t>no </w:t>
      </w:r>
      <w:r>
        <w:rPr>
          <w:color w:val="231F20"/>
          <w:spacing w:val="2"/>
        </w:rPr>
        <w:t>petroleras </w:t>
      </w:r>
      <w:r>
        <w:rPr>
          <w:color w:val="231F20"/>
        </w:rPr>
        <w:t>y </w:t>
      </w:r>
      <w:r>
        <w:rPr>
          <w:color w:val="231F20"/>
          <w:spacing w:val="2"/>
        </w:rPr>
        <w:t>tratados </w:t>
      </w:r>
      <w:r>
        <w:rPr>
          <w:color w:val="231F20"/>
        </w:rPr>
        <w:t>de </w:t>
      </w:r>
      <w:r>
        <w:rPr>
          <w:color w:val="231F20"/>
          <w:spacing w:val="2"/>
        </w:rPr>
        <w:t>libre </w:t>
      </w:r>
      <w:r>
        <w:rPr>
          <w:color w:val="231F20"/>
          <w:spacing w:val="3"/>
        </w:rPr>
        <w:t>comercio. </w:t>
      </w:r>
      <w:r>
        <w:rPr>
          <w:color w:val="231F20"/>
        </w:rPr>
        <w:t>La </w:t>
      </w:r>
      <w:r>
        <w:rPr>
          <w:color w:val="231F20"/>
          <w:spacing w:val="2"/>
        </w:rPr>
        <w:t>estabilidad </w:t>
      </w:r>
      <w:r>
        <w:rPr>
          <w:color w:val="231F20"/>
          <w:spacing w:val="3"/>
        </w:rPr>
        <w:t>macroeconómica </w:t>
      </w:r>
      <w:r>
        <w:rPr>
          <w:color w:val="231F20"/>
          <w:spacing w:val="2"/>
        </w:rPr>
        <w:t>mediante </w:t>
      </w:r>
      <w:r>
        <w:rPr>
          <w:color w:val="231F20"/>
        </w:rPr>
        <w:t>la </w:t>
      </w:r>
      <w:r>
        <w:rPr>
          <w:color w:val="231F20"/>
          <w:spacing w:val="2"/>
        </w:rPr>
        <w:t>reducción del déficit fiscal, </w:t>
      </w:r>
      <w:r>
        <w:rPr>
          <w:color w:val="231F20"/>
        </w:rPr>
        <w:t>el </w:t>
      </w:r>
      <w:r>
        <w:rPr>
          <w:color w:val="231F20"/>
          <w:spacing w:val="3"/>
        </w:rPr>
        <w:t>sobreendeudamiento </w:t>
      </w:r>
      <w:r>
        <w:rPr>
          <w:color w:val="231F20"/>
        </w:rPr>
        <w:t>y la </w:t>
      </w:r>
      <w:r>
        <w:rPr>
          <w:color w:val="231F20"/>
          <w:spacing w:val="2"/>
        </w:rPr>
        <w:t>concertación entre los sectores </w:t>
      </w:r>
      <w:r>
        <w:rPr>
          <w:color w:val="231F20"/>
        </w:rPr>
        <w:t>es la </w:t>
      </w:r>
      <w:r>
        <w:rPr>
          <w:color w:val="231F20"/>
          <w:spacing w:val="2"/>
        </w:rPr>
        <w:t>base sobre </w:t>
      </w:r>
      <w:r>
        <w:rPr>
          <w:color w:val="231F20"/>
        </w:rPr>
        <w:t>la </w:t>
      </w:r>
      <w:r>
        <w:rPr>
          <w:color w:val="231F20"/>
          <w:spacing w:val="2"/>
        </w:rPr>
        <w:t>cual </w:t>
      </w:r>
      <w:r>
        <w:rPr>
          <w:color w:val="231F20"/>
        </w:rPr>
        <w:t>se </w:t>
      </w:r>
      <w:r>
        <w:rPr>
          <w:color w:val="231F20"/>
          <w:spacing w:val="2"/>
        </w:rPr>
        <w:t>finca </w:t>
      </w:r>
      <w:r>
        <w:rPr>
          <w:color w:val="231F20"/>
        </w:rPr>
        <w:t>el </w:t>
      </w:r>
      <w:r>
        <w:rPr>
          <w:color w:val="231F20"/>
          <w:spacing w:val="2"/>
        </w:rPr>
        <w:t>cambio estructural </w:t>
      </w:r>
      <w:r>
        <w:rPr>
          <w:color w:val="231F20"/>
        </w:rPr>
        <w:t>y  un  </w:t>
      </w:r>
      <w:r>
        <w:rPr>
          <w:color w:val="231F20"/>
          <w:spacing w:val="2"/>
        </w:rPr>
        <w:t>contexto </w:t>
      </w:r>
      <w:r>
        <w:rPr>
          <w:color w:val="231F20"/>
          <w:spacing w:val="3"/>
        </w:rPr>
        <w:t>competitivo, </w:t>
      </w:r>
      <w:r>
        <w:rPr>
          <w:color w:val="231F20"/>
          <w:spacing w:val="2"/>
        </w:rPr>
        <w:t>pero </w:t>
      </w:r>
      <w:r>
        <w:rPr>
          <w:color w:val="231F20"/>
        </w:rPr>
        <w:t>en </w:t>
      </w:r>
      <w:r>
        <w:rPr>
          <w:color w:val="231F20"/>
          <w:spacing w:val="2"/>
        </w:rPr>
        <w:t>desventaja, para los países que logran sobrevivir </w:t>
      </w:r>
      <w:r>
        <w:rPr>
          <w:color w:val="231F20"/>
        </w:rPr>
        <w:t>a </w:t>
      </w:r>
      <w:r>
        <w:rPr>
          <w:color w:val="231F20"/>
          <w:spacing w:val="2"/>
        </w:rPr>
        <w:t>partir </w:t>
      </w:r>
      <w:r>
        <w:rPr>
          <w:color w:val="231F20"/>
        </w:rPr>
        <w:t>de la </w:t>
      </w:r>
      <w:r>
        <w:rPr>
          <w:color w:val="231F20"/>
          <w:spacing w:val="2"/>
        </w:rPr>
        <w:t>maquila, </w:t>
      </w:r>
      <w:r>
        <w:rPr>
          <w:color w:val="231F20"/>
          <w:spacing w:val="3"/>
        </w:rPr>
        <w:t>como </w:t>
      </w:r>
      <w:r>
        <w:rPr>
          <w:color w:val="231F20"/>
        </w:rPr>
        <w:t>el</w:t>
      </w:r>
      <w:r>
        <w:rPr>
          <w:color w:val="231F20"/>
          <w:spacing w:val="19"/>
        </w:rPr>
        <w:t> </w:t>
      </w:r>
      <w:r>
        <w:rPr>
          <w:color w:val="231F20"/>
          <w:spacing w:val="2"/>
        </w:rPr>
        <w:t>nuestro.</w:t>
      </w:r>
    </w:p>
    <w:p>
      <w:pPr>
        <w:pStyle w:val="BodyText"/>
        <w:spacing w:line="249" w:lineRule="auto"/>
        <w:ind w:left="101" w:right="115" w:firstLine="284"/>
        <w:jc w:val="both"/>
      </w:pPr>
      <w:r>
        <w:rPr>
          <w:color w:val="231F20"/>
        </w:rPr>
        <w:t>El </w:t>
      </w:r>
      <w:r>
        <w:rPr>
          <w:color w:val="231F20"/>
          <w:spacing w:val="3"/>
        </w:rPr>
        <w:t>capitalismo </w:t>
      </w:r>
      <w:r>
        <w:rPr>
          <w:color w:val="231F20"/>
          <w:spacing w:val="2"/>
        </w:rPr>
        <w:t>global </w:t>
      </w:r>
      <w:r>
        <w:rPr>
          <w:color w:val="231F20"/>
        </w:rPr>
        <w:t>ha </w:t>
      </w:r>
      <w:r>
        <w:rPr>
          <w:color w:val="231F20"/>
          <w:spacing w:val="3"/>
        </w:rPr>
        <w:t>aumentado </w:t>
      </w:r>
      <w:r>
        <w:rPr>
          <w:color w:val="231F20"/>
        </w:rPr>
        <w:t>la </w:t>
      </w:r>
      <w:r>
        <w:rPr>
          <w:color w:val="231F20"/>
          <w:spacing w:val="2"/>
        </w:rPr>
        <w:t>explotación con </w:t>
      </w:r>
      <w:r>
        <w:rPr>
          <w:color w:val="231F20"/>
          <w:spacing w:val="3"/>
        </w:rPr>
        <w:t>formas </w:t>
      </w:r>
      <w:r>
        <w:rPr>
          <w:color w:val="231F20"/>
          <w:spacing w:val="2"/>
        </w:rPr>
        <w:t>colaterales </w:t>
      </w:r>
      <w:r>
        <w:rPr>
          <w:color w:val="231F20"/>
        </w:rPr>
        <w:t>de </w:t>
      </w:r>
      <w:r>
        <w:rPr>
          <w:color w:val="231F20"/>
          <w:spacing w:val="3"/>
        </w:rPr>
        <w:t>opresión, </w:t>
      </w:r>
      <w:r>
        <w:rPr>
          <w:color w:val="231F20"/>
          <w:spacing w:val="2"/>
        </w:rPr>
        <w:t>precarización </w:t>
      </w:r>
      <w:r>
        <w:rPr>
          <w:color w:val="231F20"/>
        </w:rPr>
        <w:t>y </w:t>
      </w:r>
      <w:r>
        <w:rPr>
          <w:color w:val="231F20"/>
          <w:spacing w:val="3"/>
        </w:rPr>
        <w:t>desempleo; </w:t>
      </w:r>
      <w:r>
        <w:rPr>
          <w:color w:val="231F20"/>
        </w:rPr>
        <w:t>se ha </w:t>
      </w:r>
      <w:r>
        <w:rPr>
          <w:color w:val="231F20"/>
          <w:spacing w:val="2"/>
        </w:rPr>
        <w:t>instalado </w:t>
      </w:r>
      <w:r>
        <w:rPr>
          <w:color w:val="231F20"/>
        </w:rPr>
        <w:t>en </w:t>
      </w:r>
      <w:r>
        <w:rPr>
          <w:color w:val="231F20"/>
          <w:spacing w:val="3"/>
        </w:rPr>
        <w:t>forma </w:t>
      </w:r>
      <w:r>
        <w:rPr>
          <w:color w:val="231F20"/>
          <w:spacing w:val="2"/>
        </w:rPr>
        <w:t>salvaje, con </w:t>
      </w:r>
      <w:r>
        <w:rPr>
          <w:color w:val="231F20"/>
        </w:rPr>
        <w:t>la </w:t>
      </w:r>
      <w:r>
        <w:rPr>
          <w:color w:val="231F20"/>
          <w:spacing w:val="2"/>
        </w:rPr>
        <w:t>violación </w:t>
      </w:r>
      <w:r>
        <w:rPr>
          <w:color w:val="231F20"/>
        </w:rPr>
        <w:t>de </w:t>
      </w:r>
      <w:r>
        <w:rPr>
          <w:color w:val="231F20"/>
          <w:spacing w:val="2"/>
        </w:rPr>
        <w:t>casi </w:t>
      </w:r>
      <w:r>
        <w:rPr>
          <w:color w:val="231F20"/>
          <w:spacing w:val="3"/>
        </w:rPr>
        <w:t>todos  </w:t>
      </w:r>
      <w:r>
        <w:rPr>
          <w:color w:val="231F20"/>
          <w:spacing w:val="2"/>
        </w:rPr>
        <w:t>los  </w:t>
      </w:r>
      <w:r>
        <w:rPr>
          <w:color w:val="231F20"/>
          <w:spacing w:val="3"/>
        </w:rPr>
        <w:t>derechos, como </w:t>
      </w:r>
      <w:r>
        <w:rPr>
          <w:color w:val="231F20"/>
        </w:rPr>
        <w:t>la </w:t>
      </w:r>
      <w:r>
        <w:rPr>
          <w:color w:val="231F20"/>
          <w:spacing w:val="2"/>
        </w:rPr>
        <w:t>salud </w:t>
      </w:r>
      <w:r>
        <w:rPr>
          <w:color w:val="231F20"/>
        </w:rPr>
        <w:t>o la </w:t>
      </w:r>
      <w:r>
        <w:rPr>
          <w:color w:val="231F20"/>
          <w:spacing w:val="3"/>
        </w:rPr>
        <w:t>educación, </w:t>
      </w:r>
      <w:r>
        <w:rPr>
          <w:color w:val="231F20"/>
          <w:spacing w:val="2"/>
        </w:rPr>
        <w:t>hasta los del trabajo, </w:t>
      </w:r>
      <w:r>
        <w:rPr>
          <w:color w:val="231F20"/>
        </w:rPr>
        <w:t>y no se </w:t>
      </w:r>
      <w:r>
        <w:rPr>
          <w:color w:val="231F20"/>
          <w:spacing w:val="2"/>
        </w:rPr>
        <w:t>diga </w:t>
      </w:r>
      <w:r>
        <w:rPr>
          <w:color w:val="231F20"/>
        </w:rPr>
        <w:t>de la </w:t>
      </w:r>
      <w:r>
        <w:rPr>
          <w:color w:val="231F20"/>
          <w:spacing w:val="2"/>
        </w:rPr>
        <w:t>seguridad social, </w:t>
      </w:r>
      <w:r>
        <w:rPr>
          <w:color w:val="231F20"/>
        </w:rPr>
        <w:t>lo </w:t>
      </w:r>
      <w:r>
        <w:rPr>
          <w:color w:val="231F20"/>
          <w:spacing w:val="2"/>
        </w:rPr>
        <w:t>que </w:t>
      </w:r>
      <w:r>
        <w:rPr>
          <w:color w:val="231F20"/>
        </w:rPr>
        <w:t>ha </w:t>
      </w:r>
      <w:r>
        <w:rPr>
          <w:color w:val="231F20"/>
          <w:spacing w:val="3"/>
        </w:rPr>
        <w:t>provocado procesos </w:t>
      </w:r>
      <w:r>
        <w:rPr>
          <w:color w:val="231F20"/>
        </w:rPr>
        <w:t>de </w:t>
      </w:r>
      <w:r>
        <w:rPr>
          <w:color w:val="231F20"/>
          <w:spacing w:val="3"/>
        </w:rPr>
        <w:t>enorme </w:t>
      </w:r>
      <w:r>
        <w:rPr>
          <w:color w:val="231F20"/>
          <w:spacing w:val="2"/>
        </w:rPr>
        <w:t>injusticia </w:t>
      </w:r>
      <w:r>
        <w:rPr>
          <w:color w:val="231F20"/>
        </w:rPr>
        <w:t>en la </w:t>
      </w:r>
      <w:r>
        <w:rPr>
          <w:color w:val="231F20"/>
          <w:spacing w:val="2"/>
        </w:rPr>
        <w:t>distribución </w:t>
      </w:r>
      <w:r>
        <w:rPr>
          <w:color w:val="231F20"/>
        </w:rPr>
        <w:t>y el </w:t>
      </w:r>
      <w:r>
        <w:rPr>
          <w:color w:val="231F20"/>
          <w:spacing w:val="3"/>
        </w:rPr>
        <w:t>consumo; </w:t>
      </w:r>
      <w:r>
        <w:rPr>
          <w:color w:val="231F20"/>
          <w:spacing w:val="2"/>
        </w:rPr>
        <w:t>por ejemplo: para </w:t>
      </w:r>
      <w:r>
        <w:rPr>
          <w:color w:val="231F20"/>
          <w:spacing w:val="4"/>
        </w:rPr>
        <w:t>2007  </w:t>
      </w:r>
      <w:r>
        <w:rPr>
          <w:color w:val="231F20"/>
        </w:rPr>
        <w:t>el 10% de las </w:t>
      </w:r>
      <w:r>
        <w:rPr>
          <w:color w:val="231F20"/>
          <w:spacing w:val="3"/>
        </w:rPr>
        <w:t>personas </w:t>
      </w:r>
      <w:r>
        <w:rPr>
          <w:color w:val="231F20"/>
          <w:spacing w:val="2"/>
        </w:rPr>
        <w:t>con </w:t>
      </w:r>
      <w:r>
        <w:rPr>
          <w:color w:val="231F20"/>
          <w:spacing w:val="3"/>
        </w:rPr>
        <w:t>menores </w:t>
      </w:r>
      <w:r>
        <w:rPr>
          <w:color w:val="231F20"/>
          <w:spacing w:val="2"/>
        </w:rPr>
        <w:t>ingresos corrientes </w:t>
      </w:r>
      <w:r>
        <w:rPr>
          <w:color w:val="231F20"/>
          <w:spacing w:val="3"/>
        </w:rPr>
        <w:t>concen- </w:t>
      </w:r>
      <w:r>
        <w:rPr>
          <w:color w:val="231F20"/>
          <w:spacing w:val="2"/>
        </w:rPr>
        <w:t>traban </w:t>
      </w:r>
      <w:r>
        <w:rPr>
          <w:color w:val="231F20"/>
        </w:rPr>
        <w:t>el </w:t>
      </w:r>
      <w:r>
        <w:rPr>
          <w:color w:val="231F20"/>
          <w:spacing w:val="2"/>
        </w:rPr>
        <w:t>1.6% </w:t>
      </w:r>
      <w:r>
        <w:rPr>
          <w:color w:val="231F20"/>
        </w:rPr>
        <w:t>de </w:t>
      </w:r>
      <w:r>
        <w:rPr>
          <w:color w:val="231F20"/>
          <w:spacing w:val="2"/>
        </w:rPr>
        <w:t>los ingresos corrientes totales, mientras que </w:t>
      </w:r>
      <w:r>
        <w:rPr>
          <w:color w:val="231F20"/>
        </w:rPr>
        <w:t>el 10% de las </w:t>
      </w:r>
      <w:r>
        <w:rPr>
          <w:color w:val="231F20"/>
          <w:spacing w:val="2"/>
        </w:rPr>
        <w:t>personas con </w:t>
      </w:r>
      <w:r>
        <w:rPr>
          <w:color w:val="231F20"/>
          <w:spacing w:val="3"/>
        </w:rPr>
        <w:t>mayores </w:t>
      </w:r>
      <w:r>
        <w:rPr>
          <w:color w:val="231F20"/>
          <w:spacing w:val="2"/>
        </w:rPr>
        <w:t>ingresos del país acumulaban </w:t>
      </w:r>
      <w:r>
        <w:rPr>
          <w:color w:val="231F20"/>
        </w:rPr>
        <w:t>el </w:t>
      </w:r>
      <w:r>
        <w:rPr>
          <w:color w:val="231F20"/>
          <w:spacing w:val="2"/>
        </w:rPr>
        <w:t>39.3% </w:t>
      </w:r>
      <w:r>
        <w:rPr>
          <w:color w:val="231F20"/>
        </w:rPr>
        <w:t>de </w:t>
      </w:r>
      <w:r>
        <w:rPr>
          <w:color w:val="231F20"/>
          <w:spacing w:val="2"/>
        </w:rPr>
        <w:t>los ingresos totales corrientes. </w:t>
      </w:r>
      <w:r>
        <w:rPr>
          <w:color w:val="231F20"/>
          <w:spacing w:val="3"/>
        </w:rPr>
        <w:t>CONEVAL, informe </w:t>
      </w:r>
      <w:r>
        <w:rPr>
          <w:color w:val="231F20"/>
        </w:rPr>
        <w:t>3   de </w:t>
      </w:r>
      <w:r>
        <w:rPr>
          <w:color w:val="231F20"/>
          <w:spacing w:val="2"/>
        </w:rPr>
        <w:t>agosto </w:t>
      </w:r>
      <w:r>
        <w:rPr>
          <w:color w:val="231F20"/>
        </w:rPr>
        <w:t>del </w:t>
      </w:r>
      <w:r>
        <w:rPr>
          <w:color w:val="231F20"/>
          <w:spacing w:val="2"/>
        </w:rPr>
        <w:t>2007. Por otra parte, </w:t>
      </w:r>
      <w:r>
        <w:rPr>
          <w:color w:val="231F20"/>
        </w:rPr>
        <w:t>las </w:t>
      </w:r>
      <w:r>
        <w:rPr>
          <w:color w:val="231F20"/>
          <w:spacing w:val="2"/>
        </w:rPr>
        <w:t>recetas impuestas desde fuera por los </w:t>
      </w:r>
      <w:r>
        <w:rPr>
          <w:color w:val="231F20"/>
          <w:spacing w:val="3"/>
        </w:rPr>
        <w:t>bancos </w:t>
      </w:r>
      <w:r>
        <w:rPr>
          <w:color w:val="231F20"/>
          <w:spacing w:val="2"/>
        </w:rPr>
        <w:t>mundiales han contribuido directamente </w:t>
      </w:r>
      <w:r>
        <w:rPr>
          <w:color w:val="231F20"/>
        </w:rPr>
        <w:t>a la </w:t>
      </w:r>
      <w:r>
        <w:rPr>
          <w:color w:val="231F20"/>
          <w:spacing w:val="2"/>
        </w:rPr>
        <w:t>inestabilidad </w:t>
      </w:r>
      <w:r>
        <w:rPr>
          <w:color w:val="231F20"/>
          <w:spacing w:val="3"/>
        </w:rPr>
        <w:t>económica, pobreza </w:t>
      </w:r>
      <w:r>
        <w:rPr>
          <w:color w:val="231F20"/>
        </w:rPr>
        <w:t>y </w:t>
      </w:r>
      <w:r>
        <w:rPr>
          <w:color w:val="231F20"/>
          <w:spacing w:val="2"/>
        </w:rPr>
        <w:t>desigualdad. Hay una </w:t>
      </w:r>
      <w:r>
        <w:rPr>
          <w:color w:val="231F20"/>
          <w:spacing w:val="3"/>
        </w:rPr>
        <w:t>gran </w:t>
      </w:r>
      <w:r>
        <w:rPr>
          <w:color w:val="231F20"/>
          <w:spacing w:val="2"/>
        </w:rPr>
        <w:t>masa </w:t>
      </w:r>
      <w:r>
        <w:rPr>
          <w:color w:val="231F20"/>
        </w:rPr>
        <w:t>de </w:t>
      </w:r>
      <w:r>
        <w:rPr>
          <w:color w:val="231F20"/>
          <w:spacing w:val="3"/>
        </w:rPr>
        <w:t>desocupados </w:t>
      </w:r>
      <w:r>
        <w:rPr>
          <w:color w:val="231F20"/>
          <w:spacing w:val="2"/>
        </w:rPr>
        <w:t>permanentes, trabajadores ocasionales, precarizados </w:t>
      </w:r>
      <w:r>
        <w:rPr>
          <w:color w:val="231F20"/>
        </w:rPr>
        <w:t>e </w:t>
      </w:r>
      <w:r>
        <w:rPr>
          <w:color w:val="231F20"/>
          <w:spacing w:val="2"/>
        </w:rPr>
        <w:t>informales, </w:t>
      </w:r>
      <w:r>
        <w:rPr>
          <w:color w:val="231F20"/>
        </w:rPr>
        <w:t>lo que ha  </w:t>
      </w:r>
      <w:r>
        <w:rPr>
          <w:color w:val="231F20"/>
          <w:spacing w:val="2"/>
        </w:rPr>
        <w:t>gestado una juventud </w:t>
      </w:r>
      <w:r>
        <w:rPr>
          <w:color w:val="231F20"/>
        </w:rPr>
        <w:t>a  la  </w:t>
      </w:r>
      <w:r>
        <w:rPr>
          <w:color w:val="231F20"/>
          <w:spacing w:val="2"/>
        </w:rPr>
        <w:t>cual </w:t>
      </w:r>
      <w:r>
        <w:rPr>
          <w:color w:val="231F20"/>
        </w:rPr>
        <w:t>se le </w:t>
      </w:r>
      <w:r>
        <w:rPr>
          <w:color w:val="231F20"/>
          <w:spacing w:val="2"/>
        </w:rPr>
        <w:t>arrebata </w:t>
      </w:r>
      <w:r>
        <w:rPr>
          <w:color w:val="231F20"/>
        </w:rPr>
        <w:t>su</w:t>
      </w:r>
      <w:r>
        <w:rPr>
          <w:color w:val="231F20"/>
          <w:spacing w:val="15"/>
        </w:rPr>
        <w:t> </w:t>
      </w:r>
      <w:r>
        <w:rPr>
          <w:color w:val="231F20"/>
          <w:spacing w:val="3"/>
        </w:rPr>
        <w:t>futuro.</w:t>
      </w:r>
    </w:p>
    <w:p>
      <w:pPr>
        <w:pStyle w:val="BodyText"/>
        <w:spacing w:line="249" w:lineRule="auto"/>
        <w:ind w:left="101" w:right="115" w:firstLine="284"/>
        <w:jc w:val="both"/>
      </w:pPr>
      <w:r>
        <w:rPr>
          <w:color w:val="231F20"/>
        </w:rPr>
        <w:t>En </w:t>
      </w:r>
      <w:r>
        <w:rPr>
          <w:color w:val="231F20"/>
          <w:spacing w:val="2"/>
        </w:rPr>
        <w:t>cuanto </w:t>
      </w:r>
      <w:r>
        <w:rPr>
          <w:color w:val="231F20"/>
        </w:rPr>
        <w:t>a la </w:t>
      </w:r>
      <w:r>
        <w:rPr>
          <w:color w:val="231F20"/>
          <w:spacing w:val="2"/>
        </w:rPr>
        <w:t>política </w:t>
      </w:r>
      <w:r>
        <w:rPr>
          <w:color w:val="231F20"/>
          <w:spacing w:val="3"/>
        </w:rPr>
        <w:t>económica </w:t>
      </w:r>
      <w:r>
        <w:rPr>
          <w:color w:val="231F20"/>
          <w:spacing w:val="2"/>
        </w:rPr>
        <w:t>con </w:t>
      </w:r>
      <w:r>
        <w:rPr>
          <w:color w:val="231F20"/>
        </w:rPr>
        <w:t>la </w:t>
      </w:r>
      <w:r>
        <w:rPr>
          <w:color w:val="231F20"/>
          <w:spacing w:val="2"/>
        </w:rPr>
        <w:t>apertura, las </w:t>
      </w:r>
      <w:r>
        <w:rPr>
          <w:color w:val="231F20"/>
          <w:spacing w:val="3"/>
        </w:rPr>
        <w:t>privatizaciones </w:t>
      </w:r>
      <w:r>
        <w:rPr>
          <w:color w:val="231F20"/>
        </w:rPr>
        <w:t>y la </w:t>
      </w:r>
      <w:r>
        <w:rPr>
          <w:color w:val="231F20"/>
          <w:spacing w:val="2"/>
        </w:rPr>
        <w:t>desrregulación dirigida desde </w:t>
      </w:r>
      <w:r>
        <w:rPr>
          <w:color w:val="231F20"/>
        </w:rPr>
        <w:t>el </w:t>
      </w:r>
      <w:r>
        <w:rPr>
          <w:color w:val="231F20"/>
          <w:spacing w:val="2"/>
        </w:rPr>
        <w:t>Estado </w:t>
      </w:r>
      <w:r>
        <w:rPr>
          <w:color w:val="231F20"/>
        </w:rPr>
        <w:t>que se </w:t>
      </w:r>
      <w:r>
        <w:rPr>
          <w:color w:val="231F20"/>
          <w:spacing w:val="3"/>
        </w:rPr>
        <w:t>reforma, </w:t>
      </w:r>
      <w:r>
        <w:rPr>
          <w:color w:val="231F20"/>
          <w:spacing w:val="2"/>
        </w:rPr>
        <w:t>con </w:t>
      </w:r>
      <w:r>
        <w:rPr>
          <w:color w:val="231F20"/>
        </w:rPr>
        <w:t>su </w:t>
      </w:r>
      <w:r>
        <w:rPr>
          <w:color w:val="231F20"/>
          <w:spacing w:val="3"/>
        </w:rPr>
        <w:t>intervención </w:t>
      </w:r>
      <w:r>
        <w:rPr>
          <w:color w:val="231F20"/>
        </w:rPr>
        <w:t>en </w:t>
      </w:r>
      <w:r>
        <w:rPr>
          <w:color w:val="231F20"/>
          <w:spacing w:val="2"/>
        </w:rPr>
        <w:t>los </w:t>
      </w:r>
      <w:r>
        <w:rPr>
          <w:color w:val="231F20"/>
          <w:spacing w:val="3"/>
        </w:rPr>
        <w:t>procesos </w:t>
      </w:r>
      <w:r>
        <w:rPr>
          <w:color w:val="231F20"/>
        </w:rPr>
        <w:t>de la  </w:t>
      </w:r>
      <w:r>
        <w:rPr>
          <w:color w:val="231F20"/>
          <w:spacing w:val="3"/>
        </w:rPr>
        <w:t>acumulación  </w:t>
      </w:r>
      <w:r>
        <w:rPr>
          <w:color w:val="231F20"/>
        </w:rPr>
        <w:t>de </w:t>
      </w:r>
      <w:r>
        <w:rPr>
          <w:color w:val="231F20"/>
          <w:spacing w:val="2"/>
        </w:rPr>
        <w:t>capital, </w:t>
      </w:r>
      <w:r>
        <w:rPr>
          <w:color w:val="231F20"/>
          <w:spacing w:val="3"/>
        </w:rPr>
        <w:t>como </w:t>
      </w:r>
      <w:r>
        <w:rPr>
          <w:color w:val="231F20"/>
        </w:rPr>
        <w:t>es el </w:t>
      </w:r>
      <w:r>
        <w:rPr>
          <w:color w:val="231F20"/>
          <w:spacing w:val="3"/>
        </w:rPr>
        <w:t>empleo, </w:t>
      </w:r>
      <w:r>
        <w:rPr>
          <w:color w:val="231F20"/>
        </w:rPr>
        <w:t>el </w:t>
      </w:r>
      <w:r>
        <w:rPr>
          <w:color w:val="231F20"/>
          <w:spacing w:val="3"/>
        </w:rPr>
        <w:t>financiamiento, </w:t>
      </w:r>
      <w:r>
        <w:rPr>
          <w:color w:val="231F20"/>
        </w:rPr>
        <w:t>la </w:t>
      </w:r>
      <w:r>
        <w:rPr>
          <w:color w:val="231F20"/>
          <w:spacing w:val="2"/>
        </w:rPr>
        <w:t>circulación interna </w:t>
      </w:r>
      <w:r>
        <w:rPr>
          <w:color w:val="231F20"/>
        </w:rPr>
        <w:t>y el </w:t>
      </w:r>
      <w:r>
        <w:rPr>
          <w:color w:val="231F20"/>
          <w:spacing w:val="2"/>
        </w:rPr>
        <w:t>comercio exterior, solo </w:t>
      </w:r>
      <w:r>
        <w:rPr>
          <w:color w:val="231F20"/>
        </w:rPr>
        <w:t>se </w:t>
      </w:r>
      <w:r>
        <w:rPr>
          <w:color w:val="231F20"/>
          <w:spacing w:val="2"/>
        </w:rPr>
        <w:t>favorece </w:t>
      </w:r>
      <w:r>
        <w:rPr>
          <w:color w:val="231F20"/>
        </w:rPr>
        <w:t>al </w:t>
      </w:r>
      <w:r>
        <w:rPr>
          <w:color w:val="231F20"/>
          <w:spacing w:val="2"/>
        </w:rPr>
        <w:t>gran capital.  Pues </w:t>
      </w:r>
      <w:r>
        <w:rPr>
          <w:color w:val="231F20"/>
        </w:rPr>
        <w:t>en el </w:t>
      </w:r>
      <w:r>
        <w:rPr>
          <w:color w:val="231F20"/>
          <w:spacing w:val="2"/>
        </w:rPr>
        <w:t>marco </w:t>
      </w:r>
      <w:r>
        <w:rPr>
          <w:color w:val="231F20"/>
        </w:rPr>
        <w:t>de la </w:t>
      </w:r>
      <w:r>
        <w:rPr>
          <w:color w:val="231F20"/>
          <w:spacing w:val="3"/>
        </w:rPr>
        <w:t>competencia, </w:t>
      </w:r>
      <w:r>
        <w:rPr>
          <w:color w:val="231F20"/>
          <w:spacing w:val="2"/>
        </w:rPr>
        <w:t>que dista </w:t>
      </w:r>
      <w:r>
        <w:rPr>
          <w:color w:val="231F20"/>
        </w:rPr>
        <w:t>de ser </w:t>
      </w:r>
      <w:r>
        <w:rPr>
          <w:color w:val="231F20"/>
          <w:spacing w:val="2"/>
        </w:rPr>
        <w:t>perfecta, </w:t>
      </w:r>
      <w:r>
        <w:rPr>
          <w:color w:val="231F20"/>
        </w:rPr>
        <w:t>la </w:t>
      </w:r>
      <w:r>
        <w:rPr>
          <w:color w:val="231F20"/>
          <w:spacing w:val="2"/>
        </w:rPr>
        <w:t>modificación del papel del Estado </w:t>
      </w:r>
      <w:r>
        <w:rPr>
          <w:color w:val="231F20"/>
        </w:rPr>
        <w:t>y la </w:t>
      </w:r>
      <w:r>
        <w:rPr>
          <w:color w:val="231F20"/>
          <w:spacing w:val="2"/>
        </w:rPr>
        <w:t>reproducción del subdesarrollo </w:t>
      </w:r>
      <w:r>
        <w:rPr>
          <w:color w:val="231F20"/>
        </w:rPr>
        <w:t>es un </w:t>
      </w:r>
      <w:r>
        <w:rPr>
          <w:color w:val="231F20"/>
          <w:spacing w:val="2"/>
        </w:rPr>
        <w:t>incesante proceso </w:t>
      </w:r>
      <w:r>
        <w:rPr>
          <w:color w:val="231F20"/>
        </w:rPr>
        <w:t>de </w:t>
      </w:r>
      <w:r>
        <w:rPr>
          <w:color w:val="231F20"/>
          <w:spacing w:val="2"/>
        </w:rPr>
        <w:t>reinserción </w:t>
      </w:r>
      <w:r>
        <w:rPr>
          <w:color w:val="231F20"/>
        </w:rPr>
        <w:t>de la  </w:t>
      </w:r>
      <w:r>
        <w:rPr>
          <w:color w:val="231F20"/>
          <w:spacing w:val="3"/>
        </w:rPr>
        <w:t>economía </w:t>
      </w:r>
      <w:r>
        <w:rPr>
          <w:color w:val="231F20"/>
          <w:spacing w:val="2"/>
        </w:rPr>
        <w:t>nacional </w:t>
      </w:r>
      <w:r>
        <w:rPr>
          <w:color w:val="231F20"/>
        </w:rPr>
        <w:t>a la </w:t>
      </w:r>
      <w:r>
        <w:rPr>
          <w:color w:val="231F20"/>
          <w:spacing w:val="2"/>
        </w:rPr>
        <w:t>internacional, </w:t>
      </w:r>
      <w:r>
        <w:rPr>
          <w:color w:val="231F20"/>
        </w:rPr>
        <w:t>un </w:t>
      </w:r>
      <w:r>
        <w:rPr>
          <w:color w:val="231F20"/>
          <w:spacing w:val="2"/>
        </w:rPr>
        <w:t>nuevo proceso </w:t>
      </w:r>
      <w:r>
        <w:rPr>
          <w:color w:val="231F20"/>
        </w:rPr>
        <w:t>de </w:t>
      </w:r>
      <w:r>
        <w:rPr>
          <w:color w:val="231F20"/>
          <w:spacing w:val="2"/>
        </w:rPr>
        <w:t>colonización. De ahí que, </w:t>
      </w:r>
      <w:r>
        <w:rPr>
          <w:color w:val="231F20"/>
        </w:rPr>
        <w:t>la </w:t>
      </w:r>
      <w:r>
        <w:rPr>
          <w:color w:val="231F20"/>
          <w:spacing w:val="2"/>
        </w:rPr>
        <w:t>puesta </w:t>
      </w:r>
      <w:r>
        <w:rPr>
          <w:color w:val="231F20"/>
        </w:rPr>
        <w:t>en </w:t>
      </w:r>
      <w:r>
        <w:rPr>
          <w:color w:val="231F20"/>
          <w:spacing w:val="2"/>
        </w:rPr>
        <w:t>práctica </w:t>
      </w:r>
      <w:r>
        <w:rPr>
          <w:color w:val="231F20"/>
        </w:rPr>
        <w:t>de </w:t>
      </w:r>
      <w:r>
        <w:rPr>
          <w:color w:val="231F20"/>
          <w:spacing w:val="2"/>
        </w:rPr>
        <w:t>los resultados </w:t>
      </w:r>
      <w:r>
        <w:rPr>
          <w:color w:val="231F20"/>
        </w:rPr>
        <w:t>se </w:t>
      </w:r>
      <w:r>
        <w:rPr>
          <w:color w:val="231F20"/>
          <w:spacing w:val="3"/>
        </w:rPr>
        <w:t>encuentra </w:t>
      </w:r>
      <w:r>
        <w:rPr>
          <w:color w:val="231F20"/>
          <w:spacing w:val="2"/>
        </w:rPr>
        <w:t>más lejana </w:t>
      </w:r>
      <w:r>
        <w:rPr>
          <w:color w:val="231F20"/>
        </w:rPr>
        <w:t>de lo </w:t>
      </w:r>
      <w:r>
        <w:rPr>
          <w:color w:val="231F20"/>
          <w:spacing w:val="2"/>
        </w:rPr>
        <w:t>que </w:t>
      </w:r>
      <w:r>
        <w:rPr>
          <w:color w:val="231F20"/>
        </w:rPr>
        <w:t>se </w:t>
      </w:r>
      <w:r>
        <w:rPr>
          <w:color w:val="231F20"/>
          <w:spacing w:val="2"/>
        </w:rPr>
        <w:t>preveía, los </w:t>
      </w:r>
      <w:r>
        <w:rPr>
          <w:color w:val="231F20"/>
          <w:spacing w:val="3"/>
        </w:rPr>
        <w:t>impactos </w:t>
      </w:r>
      <w:r>
        <w:rPr>
          <w:color w:val="231F20"/>
          <w:spacing w:val="2"/>
        </w:rPr>
        <w:t>reales </w:t>
      </w:r>
      <w:r>
        <w:rPr>
          <w:color w:val="231F20"/>
        </w:rPr>
        <w:t>de </w:t>
      </w:r>
      <w:r>
        <w:rPr>
          <w:color w:val="231F20"/>
          <w:spacing w:val="2"/>
        </w:rPr>
        <w:t>estas políticas </w:t>
      </w:r>
      <w:r>
        <w:rPr>
          <w:color w:val="231F20"/>
        </w:rPr>
        <w:t>no se </w:t>
      </w:r>
      <w:r>
        <w:rPr>
          <w:color w:val="231F20"/>
          <w:spacing w:val="2"/>
        </w:rPr>
        <w:t>traducen </w:t>
      </w:r>
      <w:r>
        <w:rPr>
          <w:color w:val="231F20"/>
        </w:rPr>
        <w:t>en el </w:t>
      </w:r>
      <w:r>
        <w:rPr>
          <w:color w:val="231F20"/>
          <w:spacing w:val="3"/>
        </w:rPr>
        <w:t>mejoramiento </w:t>
      </w:r>
      <w:r>
        <w:rPr>
          <w:color w:val="231F20"/>
        </w:rPr>
        <w:t>de </w:t>
      </w:r>
      <w:r>
        <w:rPr>
          <w:color w:val="231F20"/>
          <w:spacing w:val="2"/>
        </w:rPr>
        <w:t>las  </w:t>
      </w:r>
      <w:r>
        <w:rPr>
          <w:color w:val="231F20"/>
          <w:spacing w:val="3"/>
        </w:rPr>
        <w:t>condiciones </w:t>
      </w:r>
      <w:r>
        <w:rPr>
          <w:color w:val="231F20"/>
        </w:rPr>
        <w:t>de </w:t>
      </w:r>
      <w:r>
        <w:rPr>
          <w:color w:val="231F20"/>
          <w:spacing w:val="2"/>
        </w:rPr>
        <w:t>vida </w:t>
      </w:r>
      <w:r>
        <w:rPr>
          <w:color w:val="231F20"/>
        </w:rPr>
        <w:t>de la </w:t>
      </w:r>
      <w:r>
        <w:rPr>
          <w:color w:val="231F20"/>
          <w:spacing w:val="3"/>
        </w:rPr>
        <w:t>población, </w:t>
      </w:r>
      <w:r>
        <w:rPr>
          <w:color w:val="231F20"/>
          <w:spacing w:val="2"/>
        </w:rPr>
        <w:t>sino </w:t>
      </w:r>
      <w:r>
        <w:rPr>
          <w:color w:val="231F20"/>
          <w:spacing w:val="3"/>
        </w:rPr>
        <w:t>muy </w:t>
      </w:r>
      <w:r>
        <w:rPr>
          <w:color w:val="231F20"/>
        </w:rPr>
        <w:t>al </w:t>
      </w:r>
      <w:r>
        <w:rPr>
          <w:color w:val="231F20"/>
          <w:spacing w:val="2"/>
        </w:rPr>
        <w:t>contrario, </w:t>
      </w:r>
      <w:r>
        <w:rPr>
          <w:color w:val="231F20"/>
        </w:rPr>
        <w:t>en </w:t>
      </w:r>
      <w:r>
        <w:rPr>
          <w:color w:val="231F20"/>
          <w:spacing w:val="4"/>
        </w:rPr>
        <w:t>una </w:t>
      </w:r>
      <w:r>
        <w:rPr>
          <w:color w:val="231F20"/>
          <w:spacing w:val="2"/>
        </w:rPr>
        <w:t>pauperización creciente </w:t>
      </w:r>
      <w:r>
        <w:rPr>
          <w:color w:val="231F20"/>
        </w:rPr>
        <w:t>y </w:t>
      </w:r>
      <w:r>
        <w:rPr>
          <w:color w:val="231F20"/>
          <w:spacing w:val="2"/>
        </w:rPr>
        <w:t>una </w:t>
      </w:r>
      <w:r>
        <w:rPr>
          <w:color w:val="231F20"/>
          <w:spacing w:val="3"/>
        </w:rPr>
        <w:t>mayor </w:t>
      </w:r>
      <w:r>
        <w:rPr>
          <w:color w:val="231F20"/>
          <w:spacing w:val="2"/>
        </w:rPr>
        <w:t>polaridad social, ¿acaso </w:t>
      </w:r>
      <w:r>
        <w:rPr>
          <w:color w:val="231F20"/>
        </w:rPr>
        <w:t>ello no es </w:t>
      </w:r>
      <w:r>
        <w:rPr>
          <w:color w:val="231F20"/>
          <w:spacing w:val="2"/>
        </w:rPr>
        <w:t>una violencia </w:t>
      </w:r>
      <w:r>
        <w:rPr>
          <w:color w:val="231F20"/>
        </w:rPr>
        <w:t>en</w:t>
      </w:r>
      <w:r>
        <w:rPr>
          <w:color w:val="231F20"/>
          <w:spacing w:val="5"/>
        </w:rPr>
        <w:t> </w:t>
      </w:r>
      <w:r>
        <w:rPr>
          <w:color w:val="231F20"/>
        </w:rPr>
        <w:t>sí?</w:t>
      </w:r>
    </w:p>
    <w:p>
      <w:pPr>
        <w:pStyle w:val="BodyText"/>
        <w:spacing w:line="247" w:lineRule="auto"/>
        <w:ind w:left="101" w:right="115" w:firstLine="284"/>
        <w:jc w:val="both"/>
      </w:pPr>
      <w:r>
        <w:rPr>
          <w:color w:val="231F20"/>
        </w:rPr>
        <w:t>Se puede advertir a continuación, cómo este proceso se ha im- puesto en el país desde la última década del siglo pasado: desde  el</w:t>
      </w:r>
    </w:p>
    <w:p>
      <w:pPr>
        <w:spacing w:after="0" w:line="247" w:lineRule="auto"/>
        <w:jc w:val="both"/>
        <w:sectPr>
          <w:headerReference w:type="default" r:id="rId98"/>
          <w:footerReference w:type="default" r:id="rId99"/>
          <w:pgSz w:w="7830" w:h="11910"/>
          <w:pgMar w:header="0" w:footer="424" w:top="500" w:bottom="620" w:left="920" w:right="900"/>
          <w:pgNumType w:start="4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jc w:val="both"/>
      </w:pPr>
      <w:r>
        <w:rPr>
          <w:color w:val="231F20"/>
        </w:rPr>
        <w:t>otorgamiento de la autonomía al Banco de México en 1993 y la devaluación del peso en 1994 se retorna a un escenario de elevada inflación, que dañó la credibilidad del mismo banco. Para resta- blecer el ambiente de confianza, se anuncia en marzo de 1995 el abandono del tipo de cambio como ancla nominal y se ratifica el objetivo prioritario del combate a la inflación. Se instrumenta un tipo de cambio flexible que permita enfrentar los efectos negati- vos generados por la alta volatilidad de los flujos de capital ex- terno. Así se puede notar, el cambio en la instrumentación de la política monetaria, al convertir a la tasa de interés en el principal mecanismo de control de la liquidez y cuyas variaciones se reali- zan a través del ‘corto’ (López-González, 2007: 366).</w:t>
      </w:r>
    </w:p>
    <w:p>
      <w:pPr>
        <w:pStyle w:val="BodyText"/>
        <w:spacing w:line="249" w:lineRule="auto"/>
        <w:ind w:left="101" w:right="115" w:firstLine="284"/>
        <w:jc w:val="both"/>
      </w:pPr>
      <w:r>
        <w:rPr>
          <w:color w:val="231F20"/>
          <w:spacing w:val="2"/>
        </w:rPr>
        <w:t>Esta serie </w:t>
      </w:r>
      <w:r>
        <w:rPr>
          <w:color w:val="231F20"/>
        </w:rPr>
        <w:t>de </w:t>
      </w:r>
      <w:r>
        <w:rPr>
          <w:color w:val="231F20"/>
          <w:spacing w:val="3"/>
        </w:rPr>
        <w:t>medidas </w:t>
      </w:r>
      <w:r>
        <w:rPr>
          <w:color w:val="231F20"/>
          <w:spacing w:val="2"/>
        </w:rPr>
        <w:t>financieras generaron </w:t>
      </w:r>
      <w:r>
        <w:rPr>
          <w:color w:val="231F20"/>
          <w:spacing w:val="3"/>
        </w:rPr>
        <w:t>mayores </w:t>
      </w:r>
      <w:r>
        <w:rPr>
          <w:color w:val="231F20"/>
          <w:spacing w:val="2"/>
        </w:rPr>
        <w:t>proble- mas </w:t>
      </w:r>
      <w:r>
        <w:rPr>
          <w:color w:val="231F20"/>
        </w:rPr>
        <w:t>de </w:t>
      </w:r>
      <w:r>
        <w:rPr>
          <w:color w:val="231F20"/>
          <w:spacing w:val="2"/>
        </w:rPr>
        <w:t>endeudamiento </w:t>
      </w:r>
      <w:r>
        <w:rPr>
          <w:color w:val="231F20"/>
        </w:rPr>
        <w:t>y </w:t>
      </w:r>
      <w:r>
        <w:rPr>
          <w:color w:val="231F20"/>
          <w:spacing w:val="2"/>
        </w:rPr>
        <w:t>usura (Banco </w:t>
      </w:r>
      <w:r>
        <w:rPr>
          <w:color w:val="231F20"/>
        </w:rPr>
        <w:t>de </w:t>
      </w:r>
      <w:r>
        <w:rPr>
          <w:color w:val="231F20"/>
          <w:spacing w:val="2"/>
        </w:rPr>
        <w:t>México, 1995). Para </w:t>
      </w:r>
      <w:r>
        <w:rPr>
          <w:color w:val="231F20"/>
        </w:rPr>
        <w:t>el fin de la </w:t>
      </w:r>
      <w:r>
        <w:rPr>
          <w:color w:val="231F20"/>
          <w:spacing w:val="2"/>
        </w:rPr>
        <w:t>década </w:t>
      </w:r>
      <w:r>
        <w:rPr>
          <w:color w:val="231F20"/>
        </w:rPr>
        <w:t>de </w:t>
      </w:r>
      <w:r>
        <w:rPr>
          <w:color w:val="231F20"/>
          <w:spacing w:val="2"/>
        </w:rPr>
        <w:t>los años </w:t>
      </w:r>
      <w:r>
        <w:rPr>
          <w:color w:val="231F20"/>
          <w:spacing w:val="3"/>
        </w:rPr>
        <w:t>noventa, </w:t>
      </w:r>
      <w:r>
        <w:rPr>
          <w:color w:val="231F20"/>
        </w:rPr>
        <w:t>la </w:t>
      </w:r>
      <w:r>
        <w:rPr>
          <w:color w:val="231F20"/>
          <w:spacing w:val="2"/>
        </w:rPr>
        <w:t>situación </w:t>
      </w:r>
      <w:r>
        <w:rPr>
          <w:color w:val="231F20"/>
        </w:rPr>
        <w:t>se </w:t>
      </w:r>
      <w:r>
        <w:rPr>
          <w:color w:val="231F20"/>
          <w:spacing w:val="2"/>
        </w:rPr>
        <w:t>tornó más difícil ante </w:t>
      </w:r>
      <w:r>
        <w:rPr>
          <w:color w:val="231F20"/>
        </w:rPr>
        <w:t>el </w:t>
      </w:r>
      <w:r>
        <w:rPr>
          <w:color w:val="231F20"/>
          <w:spacing w:val="3"/>
        </w:rPr>
        <w:t>embate </w:t>
      </w:r>
      <w:r>
        <w:rPr>
          <w:color w:val="231F20"/>
        </w:rPr>
        <w:t>de </w:t>
      </w:r>
      <w:r>
        <w:rPr>
          <w:color w:val="231F20"/>
          <w:spacing w:val="2"/>
        </w:rPr>
        <w:t>una nueva crisis más severa </w:t>
      </w:r>
      <w:r>
        <w:rPr>
          <w:color w:val="231F20"/>
        </w:rPr>
        <w:t>en </w:t>
      </w:r>
      <w:r>
        <w:rPr>
          <w:color w:val="231F20"/>
          <w:spacing w:val="2"/>
        </w:rPr>
        <w:t>cuanto </w:t>
      </w:r>
      <w:r>
        <w:rPr>
          <w:color w:val="231F20"/>
        </w:rPr>
        <w:t>a  </w:t>
      </w:r>
      <w:r>
        <w:rPr>
          <w:color w:val="231F20"/>
          <w:spacing w:val="2"/>
        </w:rPr>
        <w:t>los efectos </w:t>
      </w:r>
      <w:r>
        <w:rPr>
          <w:color w:val="231F20"/>
          <w:spacing w:val="3"/>
        </w:rPr>
        <w:t>económicos </w:t>
      </w:r>
      <w:r>
        <w:rPr>
          <w:color w:val="231F20"/>
          <w:spacing w:val="2"/>
        </w:rPr>
        <w:t>para aquellos que </w:t>
      </w:r>
      <w:r>
        <w:rPr>
          <w:color w:val="231F20"/>
          <w:spacing w:val="3"/>
        </w:rPr>
        <w:t>soportan </w:t>
      </w:r>
      <w:r>
        <w:rPr>
          <w:color w:val="231F20"/>
        </w:rPr>
        <w:t>las </w:t>
      </w:r>
      <w:r>
        <w:rPr>
          <w:color w:val="231F20"/>
          <w:spacing w:val="3"/>
        </w:rPr>
        <w:t>medidas </w:t>
      </w:r>
      <w:r>
        <w:rPr>
          <w:color w:val="231F20"/>
        </w:rPr>
        <w:t>de </w:t>
      </w:r>
      <w:r>
        <w:rPr>
          <w:color w:val="231F20"/>
          <w:spacing w:val="2"/>
        </w:rPr>
        <w:t>reestructuración </w:t>
      </w:r>
      <w:r>
        <w:rPr>
          <w:color w:val="231F20"/>
          <w:spacing w:val="3"/>
        </w:rPr>
        <w:t>económica(Banco </w:t>
      </w:r>
      <w:r>
        <w:rPr>
          <w:color w:val="231F20"/>
        </w:rPr>
        <w:t>de </w:t>
      </w:r>
      <w:r>
        <w:rPr>
          <w:color w:val="231F20"/>
          <w:spacing w:val="2"/>
        </w:rPr>
        <w:t>México, 1996). </w:t>
      </w:r>
      <w:r>
        <w:rPr>
          <w:color w:val="231F20"/>
        </w:rPr>
        <w:t>La </w:t>
      </w:r>
      <w:r>
        <w:rPr>
          <w:color w:val="231F20"/>
          <w:spacing w:val="3"/>
        </w:rPr>
        <w:t>econo- </w:t>
      </w:r>
      <w:r>
        <w:rPr>
          <w:color w:val="231F20"/>
          <w:spacing w:val="2"/>
        </w:rPr>
        <w:t>mía </w:t>
      </w:r>
      <w:r>
        <w:rPr>
          <w:color w:val="231F20"/>
        </w:rPr>
        <w:t>en el país se ve </w:t>
      </w:r>
      <w:r>
        <w:rPr>
          <w:color w:val="231F20"/>
          <w:spacing w:val="2"/>
        </w:rPr>
        <w:t>nuevamente perturbada, entre 1998 </w:t>
      </w:r>
      <w:r>
        <w:rPr>
          <w:color w:val="231F20"/>
        </w:rPr>
        <w:t>y </w:t>
      </w:r>
      <w:r>
        <w:rPr>
          <w:color w:val="231F20"/>
          <w:spacing w:val="2"/>
        </w:rPr>
        <w:t>1999, </w:t>
      </w:r>
      <w:r>
        <w:rPr>
          <w:color w:val="231F20"/>
          <w:spacing w:val="56"/>
        </w:rPr>
        <w:t> </w:t>
      </w:r>
      <w:r>
        <w:rPr>
          <w:color w:val="231F20"/>
          <w:spacing w:val="2"/>
        </w:rPr>
        <w:t>por </w:t>
      </w:r>
      <w:r>
        <w:rPr>
          <w:color w:val="231F20"/>
        </w:rPr>
        <w:t>la </w:t>
      </w:r>
      <w:r>
        <w:rPr>
          <w:color w:val="231F20"/>
          <w:spacing w:val="2"/>
        </w:rPr>
        <w:t>caída </w:t>
      </w:r>
      <w:r>
        <w:rPr>
          <w:color w:val="231F20"/>
        </w:rPr>
        <w:t>de </w:t>
      </w:r>
      <w:r>
        <w:rPr>
          <w:color w:val="231F20"/>
          <w:spacing w:val="2"/>
        </w:rPr>
        <w:t>los precios </w:t>
      </w:r>
      <w:r>
        <w:rPr>
          <w:color w:val="231F20"/>
        </w:rPr>
        <w:t>del </w:t>
      </w:r>
      <w:r>
        <w:rPr>
          <w:color w:val="231F20"/>
          <w:spacing w:val="3"/>
        </w:rPr>
        <w:t>petróleo, </w:t>
      </w:r>
      <w:r>
        <w:rPr>
          <w:color w:val="231F20"/>
          <w:spacing w:val="2"/>
        </w:rPr>
        <w:t>con expectativas </w:t>
      </w:r>
      <w:r>
        <w:rPr>
          <w:color w:val="231F20"/>
          <w:spacing w:val="3"/>
        </w:rPr>
        <w:t>inflacio- </w:t>
      </w:r>
      <w:r>
        <w:rPr>
          <w:color w:val="231F20"/>
          <w:spacing w:val="2"/>
        </w:rPr>
        <w:t>narias más elevadas, presiones </w:t>
      </w:r>
      <w:r>
        <w:rPr>
          <w:color w:val="231F20"/>
        </w:rPr>
        <w:t>en  </w:t>
      </w:r>
      <w:r>
        <w:rPr>
          <w:color w:val="231F20"/>
          <w:spacing w:val="2"/>
        </w:rPr>
        <w:t>los salarios contractuales, alza  </w:t>
      </w:r>
      <w:r>
        <w:rPr>
          <w:color w:val="231F20"/>
        </w:rPr>
        <w:t>de las </w:t>
      </w:r>
      <w:r>
        <w:rPr>
          <w:color w:val="231F20"/>
          <w:spacing w:val="2"/>
        </w:rPr>
        <w:t>tasas </w:t>
      </w:r>
      <w:r>
        <w:rPr>
          <w:color w:val="231F20"/>
        </w:rPr>
        <w:t>de </w:t>
      </w:r>
      <w:r>
        <w:rPr>
          <w:color w:val="231F20"/>
          <w:spacing w:val="2"/>
        </w:rPr>
        <w:t>interés </w:t>
      </w:r>
      <w:r>
        <w:rPr>
          <w:color w:val="231F20"/>
        </w:rPr>
        <w:t>y </w:t>
      </w:r>
      <w:r>
        <w:rPr>
          <w:color w:val="231F20"/>
          <w:spacing w:val="2"/>
        </w:rPr>
        <w:t>una incipiente desaceleración </w:t>
      </w:r>
      <w:r>
        <w:rPr>
          <w:color w:val="231F20"/>
        </w:rPr>
        <w:t>de la </w:t>
      </w:r>
      <w:r>
        <w:rPr>
          <w:color w:val="231F20"/>
          <w:spacing w:val="2"/>
        </w:rPr>
        <w:t>activi- dad </w:t>
      </w:r>
      <w:r>
        <w:rPr>
          <w:color w:val="231F20"/>
          <w:spacing w:val="3"/>
        </w:rPr>
        <w:t>económica; </w:t>
      </w:r>
      <w:r>
        <w:rPr>
          <w:color w:val="231F20"/>
        </w:rPr>
        <w:t>en </w:t>
      </w:r>
      <w:r>
        <w:rPr>
          <w:color w:val="231F20"/>
          <w:spacing w:val="2"/>
        </w:rPr>
        <w:t>1998, </w:t>
      </w:r>
      <w:r>
        <w:rPr>
          <w:color w:val="231F20"/>
        </w:rPr>
        <w:t>la </w:t>
      </w:r>
      <w:r>
        <w:rPr>
          <w:color w:val="231F20"/>
          <w:spacing w:val="2"/>
        </w:rPr>
        <w:t>inflación volvió </w:t>
      </w:r>
      <w:r>
        <w:rPr>
          <w:color w:val="231F20"/>
        </w:rPr>
        <w:t>a </w:t>
      </w:r>
      <w:r>
        <w:rPr>
          <w:color w:val="231F20"/>
          <w:spacing w:val="3"/>
        </w:rPr>
        <w:t>incrementarse </w:t>
      </w:r>
      <w:r>
        <w:rPr>
          <w:color w:val="231F20"/>
          <w:spacing w:val="2"/>
        </w:rPr>
        <w:t>hasta </w:t>
      </w:r>
      <w:r>
        <w:rPr>
          <w:color w:val="231F20"/>
        </w:rPr>
        <w:t>un </w:t>
      </w:r>
      <w:r>
        <w:rPr>
          <w:color w:val="231F20"/>
          <w:spacing w:val="2"/>
        </w:rPr>
        <w:t>18.61 </w:t>
      </w:r>
      <w:r>
        <w:rPr>
          <w:color w:val="231F20"/>
        </w:rPr>
        <w:t>% </w:t>
      </w:r>
      <w:r>
        <w:rPr>
          <w:color w:val="231F20"/>
          <w:spacing w:val="2"/>
        </w:rPr>
        <w:t>anual. </w:t>
      </w:r>
      <w:r>
        <w:rPr>
          <w:color w:val="231F20"/>
        </w:rPr>
        <w:t>En </w:t>
      </w:r>
      <w:r>
        <w:rPr>
          <w:color w:val="231F20"/>
          <w:spacing w:val="2"/>
        </w:rPr>
        <w:t>cuanto </w:t>
      </w:r>
      <w:r>
        <w:rPr>
          <w:color w:val="231F20"/>
        </w:rPr>
        <w:t>al </w:t>
      </w:r>
      <w:r>
        <w:rPr>
          <w:color w:val="231F20"/>
          <w:spacing w:val="2"/>
        </w:rPr>
        <w:t>manejo </w:t>
      </w:r>
      <w:r>
        <w:rPr>
          <w:color w:val="231F20"/>
        </w:rPr>
        <w:t>de la </w:t>
      </w:r>
      <w:r>
        <w:rPr>
          <w:color w:val="231F20"/>
          <w:spacing w:val="2"/>
        </w:rPr>
        <w:t>oferta </w:t>
      </w:r>
      <w:r>
        <w:rPr>
          <w:color w:val="231F20"/>
          <w:spacing w:val="3"/>
        </w:rPr>
        <w:t>monetaria </w:t>
      </w:r>
      <w:r>
        <w:rPr>
          <w:color w:val="231F20"/>
        </w:rPr>
        <w:t>se </w:t>
      </w:r>
      <w:r>
        <w:rPr>
          <w:color w:val="231F20"/>
          <w:spacing w:val="2"/>
        </w:rPr>
        <w:t>buscó limitarla para evitar presiones inflacionarias. </w:t>
      </w:r>
      <w:r>
        <w:rPr>
          <w:color w:val="231F20"/>
          <w:spacing w:val="3"/>
        </w:rPr>
        <w:t>Medidas </w:t>
      </w:r>
      <w:r>
        <w:rPr>
          <w:color w:val="231F20"/>
          <w:spacing w:val="2"/>
        </w:rPr>
        <w:t>cla- </w:t>
      </w:r>
      <w:r>
        <w:rPr>
          <w:color w:val="231F20"/>
          <w:spacing w:val="3"/>
        </w:rPr>
        <w:t>ramente </w:t>
      </w:r>
      <w:r>
        <w:rPr>
          <w:color w:val="231F20"/>
          <w:spacing w:val="2"/>
        </w:rPr>
        <w:t>recesivas. No </w:t>
      </w:r>
      <w:r>
        <w:rPr>
          <w:color w:val="231F20"/>
        </w:rPr>
        <w:t>solo </w:t>
      </w:r>
      <w:r>
        <w:rPr>
          <w:color w:val="231F20"/>
          <w:spacing w:val="2"/>
        </w:rPr>
        <w:t>esta situación interna </w:t>
      </w:r>
      <w:r>
        <w:rPr>
          <w:color w:val="231F20"/>
        </w:rPr>
        <w:t>se </w:t>
      </w:r>
      <w:r>
        <w:rPr>
          <w:color w:val="231F20"/>
          <w:spacing w:val="2"/>
        </w:rPr>
        <w:t>caracterizaba por una política recesiva, sino también </w:t>
      </w:r>
      <w:r>
        <w:rPr>
          <w:color w:val="231F20"/>
        </w:rPr>
        <w:t>la </w:t>
      </w:r>
      <w:r>
        <w:rPr>
          <w:color w:val="231F20"/>
          <w:spacing w:val="2"/>
        </w:rPr>
        <w:t>situación internacional, marcada </w:t>
      </w:r>
      <w:r>
        <w:rPr>
          <w:color w:val="231F20"/>
        </w:rPr>
        <w:t>por la </w:t>
      </w:r>
      <w:r>
        <w:rPr>
          <w:color w:val="231F20"/>
          <w:spacing w:val="2"/>
        </w:rPr>
        <w:t>contradicción </w:t>
      </w:r>
      <w:r>
        <w:rPr>
          <w:color w:val="231F20"/>
        </w:rPr>
        <w:t>de las </w:t>
      </w:r>
      <w:r>
        <w:rPr>
          <w:color w:val="231F20"/>
          <w:spacing w:val="2"/>
        </w:rPr>
        <w:t>inversiones extranjeras </w:t>
      </w:r>
      <w:r>
        <w:rPr>
          <w:color w:val="231F20"/>
          <w:spacing w:val="3"/>
        </w:rPr>
        <w:t>direc- </w:t>
      </w:r>
      <w:r>
        <w:rPr>
          <w:color w:val="231F20"/>
        </w:rPr>
        <w:t>tas y el </w:t>
      </w:r>
      <w:r>
        <w:rPr>
          <w:color w:val="231F20"/>
          <w:spacing w:val="3"/>
        </w:rPr>
        <w:t>aumento </w:t>
      </w:r>
      <w:r>
        <w:rPr>
          <w:color w:val="231F20"/>
        </w:rPr>
        <w:t>de la </w:t>
      </w:r>
      <w:r>
        <w:rPr>
          <w:color w:val="231F20"/>
          <w:spacing w:val="2"/>
        </w:rPr>
        <w:t>tasa </w:t>
      </w:r>
      <w:r>
        <w:rPr>
          <w:color w:val="231F20"/>
        </w:rPr>
        <w:t>de </w:t>
      </w:r>
      <w:r>
        <w:rPr>
          <w:color w:val="231F20"/>
          <w:spacing w:val="2"/>
        </w:rPr>
        <w:t>interés, </w:t>
      </w:r>
      <w:r>
        <w:rPr>
          <w:color w:val="231F20"/>
          <w:spacing w:val="3"/>
        </w:rPr>
        <w:t>condujeron </w:t>
      </w:r>
      <w:r>
        <w:rPr>
          <w:color w:val="231F20"/>
        </w:rPr>
        <w:t>a un alza del  </w:t>
      </w:r>
      <w:r>
        <w:rPr>
          <w:color w:val="231F20"/>
          <w:spacing w:val="2"/>
        </w:rPr>
        <w:t>dólar frente </w:t>
      </w:r>
      <w:r>
        <w:rPr>
          <w:color w:val="231F20"/>
        </w:rPr>
        <w:t>al </w:t>
      </w:r>
      <w:r>
        <w:rPr>
          <w:color w:val="231F20"/>
          <w:spacing w:val="2"/>
        </w:rPr>
        <w:t>peso hasta alcanzar 10.64 pesos por dólar. Según datos del Instituto </w:t>
      </w:r>
      <w:r>
        <w:rPr>
          <w:color w:val="231F20"/>
          <w:spacing w:val="3"/>
        </w:rPr>
        <w:t>Nacional </w:t>
      </w:r>
      <w:r>
        <w:rPr>
          <w:color w:val="231F20"/>
        </w:rPr>
        <w:t>de </w:t>
      </w:r>
      <w:r>
        <w:rPr>
          <w:color w:val="231F20"/>
          <w:spacing w:val="2"/>
        </w:rPr>
        <w:t>Estadística, Geografía </w:t>
      </w:r>
      <w:r>
        <w:rPr>
          <w:color w:val="231F20"/>
        </w:rPr>
        <w:t>e </w:t>
      </w:r>
      <w:r>
        <w:rPr>
          <w:color w:val="231F20"/>
          <w:spacing w:val="3"/>
        </w:rPr>
        <w:t>Informá- </w:t>
      </w:r>
      <w:r>
        <w:rPr>
          <w:color w:val="231F20"/>
          <w:spacing w:val="2"/>
        </w:rPr>
        <w:t>tica, </w:t>
      </w:r>
      <w:r>
        <w:rPr>
          <w:color w:val="231F20"/>
        </w:rPr>
        <w:t>en </w:t>
      </w:r>
      <w:r>
        <w:rPr>
          <w:color w:val="231F20"/>
          <w:spacing w:val="3"/>
        </w:rPr>
        <w:t>1999 </w:t>
      </w:r>
      <w:r>
        <w:rPr>
          <w:color w:val="231F20"/>
        </w:rPr>
        <w:t>el </w:t>
      </w:r>
      <w:r>
        <w:rPr>
          <w:color w:val="231F20"/>
          <w:spacing w:val="2"/>
        </w:rPr>
        <w:t>PIB creció 3.7% </w:t>
      </w:r>
      <w:r>
        <w:rPr>
          <w:color w:val="231F20"/>
        </w:rPr>
        <w:t>a </w:t>
      </w:r>
      <w:r>
        <w:rPr>
          <w:color w:val="231F20"/>
          <w:spacing w:val="2"/>
        </w:rPr>
        <w:t>precios </w:t>
      </w:r>
      <w:r>
        <w:rPr>
          <w:color w:val="231F20"/>
          <w:spacing w:val="3"/>
        </w:rPr>
        <w:t>constantes, </w:t>
      </w:r>
      <w:r>
        <w:rPr>
          <w:color w:val="231F20"/>
        </w:rPr>
        <w:t>y </w:t>
      </w:r>
      <w:r>
        <w:rPr>
          <w:color w:val="231F20"/>
          <w:spacing w:val="2"/>
        </w:rPr>
        <w:t>fue </w:t>
      </w:r>
      <w:r>
        <w:rPr>
          <w:color w:val="231F20"/>
          <w:spacing w:val="3"/>
        </w:rPr>
        <w:t>menor </w:t>
      </w:r>
      <w:r>
        <w:rPr>
          <w:color w:val="231F20"/>
        </w:rPr>
        <w:t>al</w:t>
      </w:r>
      <w:r>
        <w:rPr>
          <w:color w:val="231F20"/>
          <w:spacing w:val="-5"/>
        </w:rPr>
        <w:t> </w:t>
      </w:r>
      <w:r>
        <w:rPr>
          <w:color w:val="231F20"/>
        </w:rPr>
        <w:t>de</w:t>
      </w:r>
      <w:r>
        <w:rPr>
          <w:color w:val="231F20"/>
          <w:spacing w:val="-5"/>
        </w:rPr>
        <w:t> </w:t>
      </w:r>
      <w:r>
        <w:rPr>
          <w:color w:val="231F20"/>
          <w:spacing w:val="2"/>
        </w:rPr>
        <w:t>1998</w:t>
      </w:r>
      <w:r>
        <w:rPr>
          <w:color w:val="231F20"/>
          <w:spacing w:val="-5"/>
        </w:rPr>
        <w:t> </w:t>
      </w:r>
      <w:r>
        <w:rPr>
          <w:color w:val="231F20"/>
          <w:spacing w:val="2"/>
        </w:rPr>
        <w:t>(Banco</w:t>
      </w:r>
      <w:r>
        <w:rPr>
          <w:color w:val="231F20"/>
          <w:spacing w:val="-5"/>
        </w:rPr>
        <w:t> </w:t>
      </w:r>
      <w:r>
        <w:rPr>
          <w:color w:val="231F20"/>
        </w:rPr>
        <w:t>de</w:t>
      </w:r>
      <w:r>
        <w:rPr>
          <w:color w:val="231F20"/>
          <w:spacing w:val="-5"/>
        </w:rPr>
        <w:t> </w:t>
      </w:r>
      <w:r>
        <w:rPr>
          <w:color w:val="231F20"/>
          <w:spacing w:val="2"/>
        </w:rPr>
        <w:t>México,</w:t>
      </w:r>
      <w:r>
        <w:rPr>
          <w:color w:val="231F20"/>
          <w:spacing w:val="-5"/>
        </w:rPr>
        <w:t> </w:t>
      </w:r>
      <w:r>
        <w:rPr>
          <w:color w:val="231F20"/>
          <w:spacing w:val="2"/>
        </w:rPr>
        <w:t>1999:</w:t>
      </w:r>
      <w:r>
        <w:rPr>
          <w:color w:val="231F20"/>
          <w:spacing w:val="-5"/>
        </w:rPr>
        <w:t> </w:t>
      </w:r>
      <w:r>
        <w:rPr>
          <w:color w:val="231F20"/>
        </w:rPr>
        <w:t>1).</w:t>
      </w:r>
    </w:p>
    <w:p>
      <w:pPr>
        <w:pStyle w:val="BodyText"/>
        <w:spacing w:line="247" w:lineRule="auto"/>
        <w:ind w:left="101" w:right="116" w:firstLine="284"/>
        <w:jc w:val="both"/>
      </w:pPr>
      <w:r>
        <w:rPr>
          <w:color w:val="231F20"/>
        </w:rPr>
        <w:t>A partir del año 2000 la capacidad del Banco de México para influir en las tasas de interés y en el nivel de precios se ve severa- mente afectada, como consecuencia del alto flujo de capitales externos, pues en ese mismo año y en el 2001 se registra una en- trada inusitada de capital, proveniente de las fusiones de los ban- cos mexicanos más grandes (Banamex, Bancomer     y  Santander-</w:t>
      </w:r>
    </w:p>
    <w:p>
      <w:pPr>
        <w:spacing w:after="0" w:line="247" w:lineRule="auto"/>
        <w:jc w:val="both"/>
        <w:sectPr>
          <w:headerReference w:type="default" r:id="rId100"/>
          <w:footerReference w:type="default" r:id="rId101"/>
          <w:pgSz w:w="7830" w:h="11910"/>
          <w:pgMar w:header="0" w:footer="424" w:top="500" w:bottom="620" w:left="920" w:right="900"/>
          <w:pgNumType w:start="4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4"/>
        <w:jc w:val="both"/>
      </w:pPr>
      <w:r>
        <w:rPr>
          <w:color w:val="231F20"/>
          <w:spacing w:val="2"/>
        </w:rPr>
        <w:t>Serfin) con </w:t>
      </w:r>
      <w:r>
        <w:rPr>
          <w:color w:val="231F20"/>
        </w:rPr>
        <w:t>la </w:t>
      </w:r>
      <w:r>
        <w:rPr>
          <w:color w:val="231F20"/>
          <w:spacing w:val="2"/>
        </w:rPr>
        <w:t>banca internacional, </w:t>
      </w:r>
      <w:r>
        <w:rPr>
          <w:color w:val="231F20"/>
        </w:rPr>
        <w:t>en </w:t>
      </w:r>
      <w:r>
        <w:rPr>
          <w:color w:val="231F20"/>
          <w:spacing w:val="2"/>
        </w:rPr>
        <w:t>consecuencia </w:t>
      </w:r>
      <w:r>
        <w:rPr>
          <w:color w:val="231F20"/>
        </w:rPr>
        <w:t>y </w:t>
      </w:r>
      <w:r>
        <w:rPr>
          <w:color w:val="231F20"/>
          <w:spacing w:val="2"/>
        </w:rPr>
        <w:t>dejando </w:t>
      </w:r>
      <w:r>
        <w:rPr>
          <w:color w:val="231F20"/>
        </w:rPr>
        <w:t>de </w:t>
      </w:r>
      <w:r>
        <w:rPr>
          <w:color w:val="231F20"/>
          <w:spacing w:val="2"/>
        </w:rPr>
        <w:t>lado estas </w:t>
      </w:r>
      <w:r>
        <w:rPr>
          <w:color w:val="231F20"/>
          <w:spacing w:val="3"/>
        </w:rPr>
        <w:t>operaciones, </w:t>
      </w:r>
      <w:r>
        <w:rPr>
          <w:color w:val="231F20"/>
        </w:rPr>
        <w:t>se </w:t>
      </w:r>
      <w:r>
        <w:rPr>
          <w:color w:val="231F20"/>
          <w:spacing w:val="2"/>
        </w:rPr>
        <w:t>está </w:t>
      </w:r>
      <w:r>
        <w:rPr>
          <w:color w:val="231F20"/>
          <w:spacing w:val="3"/>
        </w:rPr>
        <w:t>provocando </w:t>
      </w:r>
      <w:r>
        <w:rPr>
          <w:color w:val="231F20"/>
          <w:spacing w:val="2"/>
        </w:rPr>
        <w:t>una pérdida </w:t>
      </w:r>
      <w:r>
        <w:rPr>
          <w:color w:val="231F20"/>
          <w:spacing w:val="3"/>
        </w:rPr>
        <w:t>paulatina</w:t>
      </w:r>
      <w:r>
        <w:rPr>
          <w:color w:val="231F20"/>
          <w:spacing w:val="58"/>
        </w:rPr>
        <w:t> </w:t>
      </w:r>
      <w:r>
        <w:rPr>
          <w:color w:val="231F20"/>
        </w:rPr>
        <w:t>de </w:t>
      </w:r>
      <w:r>
        <w:rPr>
          <w:color w:val="231F20"/>
          <w:spacing w:val="2"/>
        </w:rPr>
        <w:t>capacidad </w:t>
      </w:r>
      <w:r>
        <w:rPr>
          <w:color w:val="231F20"/>
        </w:rPr>
        <w:t>de </w:t>
      </w:r>
      <w:r>
        <w:rPr>
          <w:color w:val="231F20"/>
          <w:spacing w:val="2"/>
        </w:rPr>
        <w:t>atraer inversión extranjera directa</w:t>
      </w:r>
      <w:r>
        <w:rPr>
          <w:color w:val="231F20"/>
          <w:spacing w:val="30"/>
        </w:rPr>
        <w:t> </w:t>
      </w:r>
      <w:r>
        <w:rPr>
          <w:color w:val="231F20"/>
          <w:spacing w:val="3"/>
        </w:rPr>
        <w:t>(IED).</w:t>
      </w:r>
    </w:p>
    <w:p>
      <w:pPr>
        <w:pStyle w:val="BodyText"/>
        <w:spacing w:line="249" w:lineRule="auto" w:before="1"/>
        <w:ind w:left="102" w:right="114" w:firstLine="284"/>
        <w:jc w:val="both"/>
      </w:pPr>
      <w:r>
        <w:rPr>
          <w:color w:val="231F20"/>
        </w:rPr>
        <w:t>Este ambiente obliga al Banco de México a esterilizar divisas para evitar un crecimiento de la base monetaria, que a su vez, presione sobre los precios y por lo tanto, sobre el tipo de cambio. Esta política ha resultado altamente costosa para el Estado porque implica: por un lado, un crecimiento del endeudamiento tanto interno como externo; y por el otro lado, el incremento en las reservas internacionales genera pérdidas para el Banco de México ocasionadas por el ahorro diferencial entre la rentabilidad de sus obligaciones en títulos del Tesoro Norteamericano.</w:t>
      </w:r>
    </w:p>
    <w:p>
      <w:pPr>
        <w:pStyle w:val="BodyText"/>
        <w:spacing w:line="249" w:lineRule="auto"/>
        <w:ind w:left="102" w:right="117" w:firstLine="284"/>
        <w:jc w:val="both"/>
      </w:pPr>
      <w:r>
        <w:rPr>
          <w:color w:val="231F20"/>
        </w:rPr>
        <w:t>En el 2001 el alto margen de sobrevaluación, el 35%, con el consecuente deterioro de la competitividad del sector exportador, llevó a los sectores manufactureros y maquilador a solicitar la intervención del Banco de México para disminuir el desequilibrio cambiario. En el 2002 se da un ajuste cambiario que rebasó la barrera de los diez pesos por dólar, disminuyendo el porcentaje de apreciación del peso de 24% en el 2002 a 16% en el 2003, que no fue suficiente para contener la presión al alza en el nivel de pre- cios (López-González, 2007: 369).</w:t>
      </w:r>
    </w:p>
    <w:p>
      <w:pPr>
        <w:pStyle w:val="BodyText"/>
        <w:spacing w:line="249" w:lineRule="auto"/>
        <w:ind w:left="102" w:right="117" w:firstLine="284"/>
        <w:jc w:val="both"/>
      </w:pPr>
      <w:r>
        <w:rPr>
          <w:color w:val="231F20"/>
          <w:spacing w:val="2"/>
        </w:rPr>
        <w:t>Para corregir </w:t>
      </w:r>
      <w:r>
        <w:rPr>
          <w:color w:val="231F20"/>
        </w:rPr>
        <w:t>la </w:t>
      </w:r>
      <w:r>
        <w:rPr>
          <w:color w:val="231F20"/>
          <w:spacing w:val="2"/>
        </w:rPr>
        <w:t>inestabilidad </w:t>
      </w:r>
      <w:r>
        <w:rPr>
          <w:color w:val="231F20"/>
          <w:spacing w:val="3"/>
        </w:rPr>
        <w:t>monetaria </w:t>
      </w:r>
      <w:r>
        <w:rPr>
          <w:color w:val="231F20"/>
        </w:rPr>
        <w:t>se </w:t>
      </w:r>
      <w:r>
        <w:rPr>
          <w:color w:val="231F20"/>
          <w:spacing w:val="3"/>
        </w:rPr>
        <w:t>incrementa </w:t>
      </w:r>
      <w:r>
        <w:rPr>
          <w:color w:val="231F20"/>
        </w:rPr>
        <w:t>el </w:t>
      </w:r>
      <w:r>
        <w:rPr>
          <w:color w:val="231F20"/>
          <w:spacing w:val="2"/>
        </w:rPr>
        <w:t>‘corto’ </w:t>
      </w:r>
      <w:r>
        <w:rPr>
          <w:color w:val="231F20"/>
        </w:rPr>
        <w:t>que </w:t>
      </w:r>
      <w:r>
        <w:rPr>
          <w:color w:val="231F20"/>
          <w:spacing w:val="2"/>
        </w:rPr>
        <w:t>pasa </w:t>
      </w:r>
      <w:r>
        <w:rPr>
          <w:color w:val="231F20"/>
        </w:rPr>
        <w:t>de </w:t>
      </w:r>
      <w:r>
        <w:rPr>
          <w:color w:val="231F20"/>
          <w:spacing w:val="2"/>
        </w:rPr>
        <w:t>300 </w:t>
      </w:r>
      <w:r>
        <w:rPr>
          <w:color w:val="231F20"/>
        </w:rPr>
        <w:t>a </w:t>
      </w:r>
      <w:r>
        <w:rPr>
          <w:color w:val="231F20"/>
          <w:spacing w:val="2"/>
        </w:rPr>
        <w:t>400 millones </w:t>
      </w:r>
      <w:r>
        <w:rPr>
          <w:color w:val="231F20"/>
        </w:rPr>
        <w:t>en </w:t>
      </w:r>
      <w:r>
        <w:rPr>
          <w:color w:val="231F20"/>
          <w:spacing w:val="2"/>
        </w:rPr>
        <w:t>septiembre </w:t>
      </w:r>
      <w:r>
        <w:rPr>
          <w:color w:val="231F20"/>
        </w:rPr>
        <w:t>del </w:t>
      </w:r>
      <w:r>
        <w:rPr>
          <w:color w:val="231F20"/>
          <w:spacing w:val="2"/>
        </w:rPr>
        <w:t>2002, </w:t>
      </w:r>
      <w:r>
        <w:rPr>
          <w:color w:val="231F20"/>
        </w:rPr>
        <w:t>y de </w:t>
      </w:r>
      <w:r>
        <w:rPr>
          <w:color w:val="231F20"/>
          <w:spacing w:val="2"/>
        </w:rPr>
        <w:t>400 </w:t>
      </w:r>
      <w:r>
        <w:rPr>
          <w:color w:val="231F20"/>
        </w:rPr>
        <w:t>a </w:t>
      </w:r>
      <w:r>
        <w:rPr>
          <w:color w:val="231F20"/>
          <w:spacing w:val="2"/>
        </w:rPr>
        <w:t>700 millones </w:t>
      </w:r>
      <w:r>
        <w:rPr>
          <w:color w:val="231F20"/>
        </w:rPr>
        <w:t>en el </w:t>
      </w:r>
      <w:r>
        <w:rPr>
          <w:color w:val="231F20"/>
          <w:spacing w:val="2"/>
        </w:rPr>
        <w:t>primer semestre del 2003. </w:t>
      </w:r>
      <w:r>
        <w:rPr>
          <w:color w:val="231F20"/>
        </w:rPr>
        <w:t>Si bien </w:t>
      </w:r>
      <w:r>
        <w:rPr>
          <w:color w:val="231F20"/>
          <w:spacing w:val="2"/>
        </w:rPr>
        <w:t>esta </w:t>
      </w:r>
      <w:r>
        <w:rPr>
          <w:color w:val="231F20"/>
          <w:spacing w:val="3"/>
        </w:rPr>
        <w:t>medida </w:t>
      </w:r>
      <w:r>
        <w:rPr>
          <w:color w:val="231F20"/>
          <w:spacing w:val="2"/>
        </w:rPr>
        <w:t>incidió </w:t>
      </w:r>
      <w:r>
        <w:rPr>
          <w:color w:val="231F20"/>
        </w:rPr>
        <w:t>en </w:t>
      </w:r>
      <w:r>
        <w:rPr>
          <w:color w:val="231F20"/>
          <w:spacing w:val="2"/>
        </w:rPr>
        <w:t>una </w:t>
      </w:r>
      <w:r>
        <w:rPr>
          <w:color w:val="231F20"/>
          <w:spacing w:val="3"/>
        </w:rPr>
        <w:t>pequeña disminución </w:t>
      </w:r>
      <w:r>
        <w:rPr>
          <w:color w:val="231F20"/>
        </w:rPr>
        <w:t>de la </w:t>
      </w:r>
      <w:r>
        <w:rPr>
          <w:color w:val="231F20"/>
          <w:spacing w:val="2"/>
        </w:rPr>
        <w:t>tasa </w:t>
      </w:r>
      <w:r>
        <w:rPr>
          <w:color w:val="231F20"/>
        </w:rPr>
        <w:t>de </w:t>
      </w:r>
      <w:r>
        <w:rPr>
          <w:color w:val="231F20"/>
          <w:spacing w:val="2"/>
        </w:rPr>
        <w:t>interés </w:t>
      </w:r>
      <w:r>
        <w:rPr>
          <w:color w:val="231F20"/>
          <w:spacing w:val="3"/>
        </w:rPr>
        <w:t>nominal </w:t>
      </w:r>
      <w:r>
        <w:rPr>
          <w:color w:val="231F20"/>
        </w:rPr>
        <w:t>de 8.86 a </w:t>
      </w:r>
      <w:r>
        <w:rPr>
          <w:color w:val="231F20"/>
          <w:spacing w:val="2"/>
        </w:rPr>
        <w:t>8.43%, </w:t>
      </w:r>
      <w:r>
        <w:rPr>
          <w:color w:val="231F20"/>
        </w:rPr>
        <w:t>no </w:t>
      </w:r>
      <w:r>
        <w:rPr>
          <w:color w:val="231F20"/>
          <w:spacing w:val="2"/>
        </w:rPr>
        <w:t>tuvo </w:t>
      </w:r>
      <w:r>
        <w:rPr>
          <w:color w:val="231F20"/>
        </w:rPr>
        <w:t>el </w:t>
      </w:r>
      <w:r>
        <w:rPr>
          <w:color w:val="231F20"/>
          <w:spacing w:val="3"/>
        </w:rPr>
        <w:t>mismo </w:t>
      </w:r>
      <w:r>
        <w:rPr>
          <w:color w:val="231F20"/>
          <w:spacing w:val="2"/>
        </w:rPr>
        <w:t>efecto </w:t>
      </w:r>
      <w:r>
        <w:rPr>
          <w:color w:val="231F20"/>
        </w:rPr>
        <w:t>en la </w:t>
      </w:r>
      <w:r>
        <w:rPr>
          <w:color w:val="231F20"/>
          <w:spacing w:val="2"/>
        </w:rPr>
        <w:t>tasa </w:t>
      </w:r>
      <w:r>
        <w:rPr>
          <w:color w:val="231F20"/>
        </w:rPr>
        <w:t>de </w:t>
      </w:r>
      <w:r>
        <w:rPr>
          <w:color w:val="231F20"/>
          <w:spacing w:val="3"/>
        </w:rPr>
        <w:t>inflación</w:t>
      </w:r>
      <w:r>
        <w:rPr>
          <w:color w:val="231F20"/>
          <w:spacing w:val="58"/>
        </w:rPr>
        <w:t> </w:t>
      </w:r>
      <w:r>
        <w:rPr>
          <w:color w:val="231F20"/>
        </w:rPr>
        <w:t>que fue de 5.7% </w:t>
      </w:r>
      <w:r>
        <w:rPr>
          <w:color w:val="231F20"/>
          <w:spacing w:val="2"/>
        </w:rPr>
        <w:t>anual, nivel superior </w:t>
      </w:r>
      <w:r>
        <w:rPr>
          <w:color w:val="231F20"/>
        </w:rPr>
        <w:t>a la </w:t>
      </w:r>
      <w:r>
        <w:rPr>
          <w:color w:val="231F20"/>
          <w:spacing w:val="2"/>
        </w:rPr>
        <w:t>meta </w:t>
      </w:r>
      <w:r>
        <w:rPr>
          <w:color w:val="231F20"/>
        </w:rPr>
        <w:t>que era de 4.5% </w:t>
      </w:r>
      <w:r>
        <w:rPr>
          <w:color w:val="231F20"/>
          <w:spacing w:val="2"/>
        </w:rPr>
        <w:t>para </w:t>
      </w:r>
      <w:r>
        <w:rPr>
          <w:color w:val="231F20"/>
        </w:rPr>
        <w:t>ese </w:t>
      </w:r>
      <w:r>
        <w:rPr>
          <w:color w:val="231F20"/>
          <w:spacing w:val="2"/>
        </w:rPr>
        <w:t>primer semestre. </w:t>
      </w:r>
      <w:r>
        <w:rPr>
          <w:color w:val="231F20"/>
        </w:rPr>
        <w:t>En </w:t>
      </w:r>
      <w:r>
        <w:rPr>
          <w:color w:val="231F20"/>
          <w:spacing w:val="2"/>
        </w:rPr>
        <w:t>cambio </w:t>
      </w:r>
      <w:r>
        <w:rPr>
          <w:color w:val="231F20"/>
        </w:rPr>
        <w:t>el </w:t>
      </w:r>
      <w:r>
        <w:rPr>
          <w:color w:val="231F20"/>
          <w:spacing w:val="2"/>
        </w:rPr>
        <w:t>PIB solo creció </w:t>
      </w:r>
      <w:r>
        <w:rPr>
          <w:color w:val="231F20"/>
        </w:rPr>
        <w:t>0.9% y el </w:t>
      </w:r>
      <w:r>
        <w:rPr>
          <w:color w:val="231F20"/>
          <w:spacing w:val="2"/>
        </w:rPr>
        <w:t>déficit público fue </w:t>
      </w:r>
      <w:r>
        <w:rPr>
          <w:color w:val="231F20"/>
        </w:rPr>
        <w:t>de </w:t>
      </w:r>
      <w:r>
        <w:rPr>
          <w:color w:val="231F20"/>
          <w:spacing w:val="2"/>
        </w:rPr>
        <w:t>1.25%, </w:t>
      </w:r>
      <w:r>
        <w:rPr>
          <w:color w:val="231F20"/>
          <w:spacing w:val="3"/>
        </w:rPr>
        <w:t>como proporción </w:t>
      </w:r>
      <w:r>
        <w:rPr>
          <w:color w:val="231F20"/>
          <w:spacing w:val="2"/>
        </w:rPr>
        <w:t>del PIB, por arriba del</w:t>
      </w:r>
      <w:r>
        <w:rPr>
          <w:color w:val="231F20"/>
          <w:spacing w:val="-8"/>
        </w:rPr>
        <w:t> </w:t>
      </w:r>
      <w:r>
        <w:rPr>
          <w:color w:val="231F20"/>
          <w:spacing w:val="2"/>
        </w:rPr>
        <w:t>0.65%</w:t>
      </w:r>
      <w:r>
        <w:rPr>
          <w:color w:val="231F20"/>
          <w:spacing w:val="-6"/>
        </w:rPr>
        <w:t> </w:t>
      </w:r>
      <w:r>
        <w:rPr>
          <w:color w:val="231F20"/>
          <w:spacing w:val="2"/>
        </w:rPr>
        <w:t>planeado</w:t>
      </w:r>
      <w:r>
        <w:rPr>
          <w:color w:val="231F20"/>
          <w:spacing w:val="-7"/>
        </w:rPr>
        <w:t> </w:t>
      </w:r>
      <w:r>
        <w:rPr>
          <w:color w:val="231F20"/>
          <w:spacing w:val="3"/>
        </w:rPr>
        <w:t>(López-González,</w:t>
      </w:r>
      <w:r>
        <w:rPr>
          <w:color w:val="231F20"/>
          <w:spacing w:val="-8"/>
        </w:rPr>
        <w:t> </w:t>
      </w:r>
      <w:r>
        <w:rPr>
          <w:color w:val="231F20"/>
          <w:spacing w:val="2"/>
        </w:rPr>
        <w:t>2007:</w:t>
      </w:r>
      <w:r>
        <w:rPr>
          <w:color w:val="231F20"/>
          <w:spacing w:val="-8"/>
        </w:rPr>
        <w:t> </w:t>
      </w:r>
      <w:r>
        <w:rPr>
          <w:color w:val="231F20"/>
          <w:spacing w:val="2"/>
        </w:rPr>
        <w:t>369).</w:t>
      </w:r>
    </w:p>
    <w:p>
      <w:pPr>
        <w:pStyle w:val="BodyText"/>
        <w:spacing w:line="247" w:lineRule="auto"/>
        <w:ind w:left="102" w:right="119" w:firstLine="284"/>
        <w:jc w:val="both"/>
      </w:pPr>
      <w:r>
        <w:rPr>
          <w:color w:val="231F20"/>
        </w:rPr>
        <w:t>El </w:t>
      </w:r>
      <w:r>
        <w:rPr>
          <w:color w:val="231F20"/>
          <w:spacing w:val="2"/>
        </w:rPr>
        <w:t>costo </w:t>
      </w:r>
      <w:r>
        <w:rPr>
          <w:color w:val="231F20"/>
        </w:rPr>
        <w:t>de </w:t>
      </w:r>
      <w:r>
        <w:rPr>
          <w:color w:val="231F20"/>
          <w:spacing w:val="3"/>
        </w:rPr>
        <w:t>mantener </w:t>
      </w:r>
      <w:r>
        <w:rPr>
          <w:color w:val="231F20"/>
          <w:spacing w:val="2"/>
        </w:rPr>
        <w:t>estable </w:t>
      </w:r>
      <w:r>
        <w:rPr>
          <w:color w:val="231F20"/>
        </w:rPr>
        <w:t>el </w:t>
      </w:r>
      <w:r>
        <w:rPr>
          <w:color w:val="231F20"/>
          <w:spacing w:val="2"/>
        </w:rPr>
        <w:t>tipo </w:t>
      </w:r>
      <w:r>
        <w:rPr>
          <w:color w:val="231F20"/>
        </w:rPr>
        <w:t>de </w:t>
      </w:r>
      <w:r>
        <w:rPr>
          <w:color w:val="231F20"/>
          <w:spacing w:val="2"/>
        </w:rPr>
        <w:t>cambio </w:t>
      </w:r>
      <w:r>
        <w:rPr>
          <w:color w:val="231F20"/>
        </w:rPr>
        <w:t>y </w:t>
      </w:r>
      <w:r>
        <w:rPr>
          <w:color w:val="231F20"/>
          <w:spacing w:val="2"/>
        </w:rPr>
        <w:t>por tanto </w:t>
      </w:r>
      <w:r>
        <w:rPr>
          <w:color w:val="231F20"/>
        </w:rPr>
        <w:t>evi- tar </w:t>
      </w:r>
      <w:r>
        <w:rPr>
          <w:color w:val="231F20"/>
          <w:spacing w:val="2"/>
        </w:rPr>
        <w:t>presiones inflacionarias, recayó </w:t>
      </w:r>
      <w:r>
        <w:rPr>
          <w:color w:val="231F20"/>
        </w:rPr>
        <w:t>en la </w:t>
      </w:r>
      <w:r>
        <w:rPr>
          <w:color w:val="231F20"/>
          <w:spacing w:val="3"/>
        </w:rPr>
        <w:t>contracción </w:t>
      </w:r>
      <w:r>
        <w:rPr>
          <w:color w:val="231F20"/>
          <w:spacing w:val="2"/>
        </w:rPr>
        <w:t>del nivel </w:t>
      </w:r>
      <w:r>
        <w:rPr>
          <w:color w:val="231F20"/>
        </w:rPr>
        <w:t>de </w:t>
      </w:r>
      <w:r>
        <w:rPr>
          <w:color w:val="231F20"/>
          <w:spacing w:val="2"/>
        </w:rPr>
        <w:t>producto </w:t>
      </w:r>
      <w:r>
        <w:rPr>
          <w:color w:val="231F20"/>
        </w:rPr>
        <w:t>y el </w:t>
      </w:r>
      <w:r>
        <w:rPr>
          <w:color w:val="231F20"/>
          <w:spacing w:val="2"/>
        </w:rPr>
        <w:t>empleo </w:t>
      </w:r>
      <w:r>
        <w:rPr>
          <w:color w:val="231F20"/>
          <w:spacing w:val="3"/>
        </w:rPr>
        <w:t>nuevamente. </w:t>
      </w:r>
      <w:r>
        <w:rPr>
          <w:color w:val="231F20"/>
          <w:spacing w:val="2"/>
        </w:rPr>
        <w:t>Con </w:t>
      </w:r>
      <w:r>
        <w:rPr>
          <w:color w:val="231F20"/>
        </w:rPr>
        <w:t>el </w:t>
      </w:r>
      <w:r>
        <w:rPr>
          <w:color w:val="231F20"/>
          <w:spacing w:val="3"/>
        </w:rPr>
        <w:t>propósito </w:t>
      </w:r>
      <w:r>
        <w:rPr>
          <w:color w:val="231F20"/>
        </w:rPr>
        <w:t>de </w:t>
      </w:r>
      <w:r>
        <w:rPr>
          <w:color w:val="231F20"/>
          <w:spacing w:val="3"/>
        </w:rPr>
        <w:t>contener    </w:t>
      </w:r>
      <w:r>
        <w:rPr>
          <w:color w:val="231F20"/>
        </w:rPr>
        <w:t>el </w:t>
      </w:r>
      <w:r>
        <w:rPr>
          <w:color w:val="231F20"/>
          <w:spacing w:val="2"/>
        </w:rPr>
        <w:t>ajuste cambiario, entre 2003 </w:t>
      </w:r>
      <w:r>
        <w:rPr>
          <w:color w:val="231F20"/>
        </w:rPr>
        <w:t>y </w:t>
      </w:r>
      <w:r>
        <w:rPr>
          <w:color w:val="231F20"/>
          <w:spacing w:val="2"/>
        </w:rPr>
        <w:t>2004 </w:t>
      </w:r>
      <w:r>
        <w:rPr>
          <w:color w:val="231F20"/>
        </w:rPr>
        <w:t>el </w:t>
      </w:r>
      <w:r>
        <w:rPr>
          <w:color w:val="231F20"/>
          <w:spacing w:val="2"/>
        </w:rPr>
        <w:t>Banco </w:t>
      </w:r>
      <w:r>
        <w:rPr>
          <w:color w:val="231F20"/>
        </w:rPr>
        <w:t>de </w:t>
      </w:r>
      <w:r>
        <w:rPr>
          <w:color w:val="231F20"/>
          <w:spacing w:val="2"/>
        </w:rPr>
        <w:t>México subastó más </w:t>
      </w:r>
      <w:r>
        <w:rPr>
          <w:color w:val="231F20"/>
        </w:rPr>
        <w:t>de </w:t>
      </w:r>
      <w:r>
        <w:rPr>
          <w:color w:val="231F20"/>
          <w:spacing w:val="2"/>
        </w:rPr>
        <w:t>4,000 millones </w:t>
      </w:r>
      <w:r>
        <w:rPr>
          <w:color w:val="231F20"/>
        </w:rPr>
        <w:t>de </w:t>
      </w:r>
      <w:r>
        <w:rPr>
          <w:color w:val="231F20"/>
          <w:spacing w:val="2"/>
        </w:rPr>
        <w:t>dólares </w:t>
      </w:r>
      <w:r>
        <w:rPr>
          <w:color w:val="231F20"/>
        </w:rPr>
        <w:t>en el </w:t>
      </w:r>
      <w:r>
        <w:rPr>
          <w:color w:val="231F20"/>
          <w:spacing w:val="2"/>
        </w:rPr>
        <w:t>mercado cambiario, </w:t>
      </w:r>
      <w:r>
        <w:rPr>
          <w:color w:val="231F20"/>
        </w:rPr>
        <w:t>ello </w:t>
      </w:r>
      <w:r>
        <w:rPr>
          <w:color w:val="231F20"/>
          <w:spacing w:val="2"/>
        </w:rPr>
        <w:t>explica </w:t>
      </w:r>
      <w:r>
        <w:rPr>
          <w:color w:val="231F20"/>
          <w:spacing w:val="3"/>
        </w:rPr>
        <w:t>cómo, </w:t>
      </w:r>
      <w:r>
        <w:rPr>
          <w:color w:val="231F20"/>
          <w:spacing w:val="2"/>
        </w:rPr>
        <w:t>desde que inicia </w:t>
      </w:r>
      <w:r>
        <w:rPr>
          <w:color w:val="231F20"/>
        </w:rPr>
        <w:t>la </w:t>
      </w:r>
      <w:r>
        <w:rPr>
          <w:color w:val="231F20"/>
          <w:spacing w:val="2"/>
        </w:rPr>
        <w:t>subasta </w:t>
      </w:r>
      <w:r>
        <w:rPr>
          <w:color w:val="231F20"/>
        </w:rPr>
        <w:t>en </w:t>
      </w:r>
      <w:r>
        <w:rPr>
          <w:color w:val="231F20"/>
          <w:spacing w:val="2"/>
        </w:rPr>
        <w:t>mayo del 2003 hasta  </w:t>
      </w:r>
      <w:r>
        <w:rPr>
          <w:color w:val="231F20"/>
        </w:rPr>
        <w:t>el </w:t>
      </w:r>
      <w:r>
        <w:rPr>
          <w:color w:val="231F20"/>
          <w:spacing w:val="2"/>
        </w:rPr>
        <w:t>2005, </w:t>
      </w:r>
      <w:r>
        <w:rPr>
          <w:color w:val="231F20"/>
        </w:rPr>
        <w:t>se </w:t>
      </w:r>
      <w:r>
        <w:rPr>
          <w:color w:val="231F20"/>
          <w:spacing w:val="3"/>
        </w:rPr>
        <w:t>mantiene </w:t>
      </w:r>
      <w:r>
        <w:rPr>
          <w:color w:val="231F20"/>
          <w:spacing w:val="2"/>
        </w:rPr>
        <w:t>estable </w:t>
      </w:r>
      <w:r>
        <w:rPr>
          <w:color w:val="231F20"/>
        </w:rPr>
        <w:t>el </w:t>
      </w:r>
      <w:r>
        <w:rPr>
          <w:color w:val="231F20"/>
          <w:spacing w:val="2"/>
        </w:rPr>
        <w:t>peso </w:t>
      </w:r>
      <w:r>
        <w:rPr>
          <w:color w:val="231F20"/>
        </w:rPr>
        <w:t>en un </w:t>
      </w:r>
      <w:r>
        <w:rPr>
          <w:color w:val="231F20"/>
          <w:spacing w:val="2"/>
        </w:rPr>
        <w:t>rango que fluctúa  </w:t>
      </w:r>
      <w:r>
        <w:rPr>
          <w:color w:val="231F20"/>
          <w:spacing w:val="27"/>
        </w:rPr>
        <w:t> </w:t>
      </w:r>
      <w:r>
        <w:rPr>
          <w:color w:val="231F20"/>
          <w:spacing w:val="2"/>
        </w:rPr>
        <w:t>entre</w:t>
      </w:r>
    </w:p>
    <w:p>
      <w:pPr>
        <w:pStyle w:val="BodyText"/>
        <w:spacing w:line="247" w:lineRule="auto" w:before="1"/>
        <w:ind w:left="102" w:right="119"/>
        <w:jc w:val="both"/>
      </w:pPr>
      <w:r>
        <w:rPr>
          <w:color w:val="231F20"/>
        </w:rPr>
        <w:t>10.50 y 11.50 pesos por dólar (López-González, 2007: 369). Ac- tualmente, sobrepasa la barrera de los 14.00 pesos.</w:t>
      </w:r>
    </w:p>
    <w:p>
      <w:pPr>
        <w:spacing w:after="0" w:line="247" w:lineRule="auto"/>
        <w:jc w:val="both"/>
        <w:sectPr>
          <w:headerReference w:type="default" r:id="rId102"/>
          <w:footerReference w:type="default" r:id="rId103"/>
          <w:pgSz w:w="7830" w:h="11910"/>
          <w:pgMar w:header="0" w:footer="424" w:top="500" w:bottom="620" w:left="920" w:right="900"/>
          <w:pgNumType w:start="4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8" w:firstLine="284"/>
        <w:jc w:val="both"/>
      </w:pPr>
      <w:r>
        <w:rPr>
          <w:color w:val="231F20"/>
          <w:spacing w:val="2"/>
        </w:rPr>
        <w:t>Esta grave </w:t>
      </w:r>
      <w:r>
        <w:rPr>
          <w:color w:val="231F20"/>
          <w:spacing w:val="3"/>
        </w:rPr>
        <w:t>contracción </w:t>
      </w:r>
      <w:r>
        <w:rPr>
          <w:color w:val="231F20"/>
        </w:rPr>
        <w:t>en el </w:t>
      </w:r>
      <w:r>
        <w:rPr>
          <w:color w:val="231F20"/>
          <w:spacing w:val="2"/>
        </w:rPr>
        <w:t>crecimiento </w:t>
      </w:r>
      <w:r>
        <w:rPr>
          <w:color w:val="231F20"/>
          <w:spacing w:val="3"/>
        </w:rPr>
        <w:t>económico </w:t>
      </w:r>
      <w:r>
        <w:rPr>
          <w:color w:val="231F20"/>
        </w:rPr>
        <w:t>y las </w:t>
      </w:r>
      <w:r>
        <w:rPr>
          <w:color w:val="231F20"/>
          <w:spacing w:val="2"/>
        </w:rPr>
        <w:t>fuer- </w:t>
      </w:r>
      <w:r>
        <w:rPr>
          <w:color w:val="231F20"/>
        </w:rPr>
        <w:t>tes </w:t>
      </w:r>
      <w:r>
        <w:rPr>
          <w:color w:val="231F20"/>
          <w:spacing w:val="2"/>
        </w:rPr>
        <w:t>presiones sobre </w:t>
      </w:r>
      <w:r>
        <w:rPr>
          <w:color w:val="231F20"/>
        </w:rPr>
        <w:t>el </w:t>
      </w:r>
      <w:r>
        <w:rPr>
          <w:color w:val="231F20"/>
          <w:spacing w:val="2"/>
        </w:rPr>
        <w:t>sector externo, han venido </w:t>
      </w:r>
      <w:r>
        <w:rPr>
          <w:color w:val="231F20"/>
          <w:spacing w:val="3"/>
        </w:rPr>
        <w:t>erosionando </w:t>
      </w:r>
      <w:r>
        <w:rPr>
          <w:color w:val="231F20"/>
        </w:rPr>
        <w:t>la </w:t>
      </w:r>
      <w:r>
        <w:rPr>
          <w:color w:val="231F20"/>
          <w:spacing w:val="2"/>
        </w:rPr>
        <w:t>capacidad generada </w:t>
      </w:r>
      <w:r>
        <w:rPr>
          <w:color w:val="231F20"/>
        </w:rPr>
        <w:t>de </w:t>
      </w:r>
      <w:r>
        <w:rPr>
          <w:color w:val="231F20"/>
          <w:spacing w:val="3"/>
        </w:rPr>
        <w:t>empleos. </w:t>
      </w:r>
      <w:r>
        <w:rPr>
          <w:color w:val="231F20"/>
        </w:rPr>
        <w:t>Al </w:t>
      </w:r>
      <w:r>
        <w:rPr>
          <w:color w:val="231F20"/>
          <w:spacing w:val="2"/>
        </w:rPr>
        <w:t>respecto cabe </w:t>
      </w:r>
      <w:r>
        <w:rPr>
          <w:color w:val="231F20"/>
          <w:spacing w:val="3"/>
        </w:rPr>
        <w:t>mencionar </w:t>
      </w:r>
      <w:r>
        <w:rPr>
          <w:color w:val="231F20"/>
          <w:spacing w:val="2"/>
        </w:rPr>
        <w:t>que entre 2004 </w:t>
      </w:r>
      <w:r>
        <w:rPr>
          <w:color w:val="231F20"/>
        </w:rPr>
        <w:t>y </w:t>
      </w:r>
      <w:r>
        <w:rPr>
          <w:color w:val="231F20"/>
          <w:spacing w:val="2"/>
        </w:rPr>
        <w:t>2005, </w:t>
      </w:r>
      <w:r>
        <w:rPr>
          <w:color w:val="231F20"/>
        </w:rPr>
        <w:t>las </w:t>
      </w:r>
      <w:r>
        <w:rPr>
          <w:color w:val="231F20"/>
          <w:spacing w:val="3"/>
        </w:rPr>
        <w:t>exportaciones </w:t>
      </w:r>
      <w:r>
        <w:rPr>
          <w:color w:val="231F20"/>
          <w:spacing w:val="2"/>
        </w:rPr>
        <w:t>del país perdieron competiti- vidad </w:t>
      </w:r>
      <w:r>
        <w:rPr>
          <w:color w:val="231F20"/>
        </w:rPr>
        <w:t>en </w:t>
      </w:r>
      <w:r>
        <w:rPr>
          <w:color w:val="231F20"/>
          <w:spacing w:val="2"/>
        </w:rPr>
        <w:t>los </w:t>
      </w:r>
      <w:r>
        <w:rPr>
          <w:color w:val="231F20"/>
          <w:spacing w:val="3"/>
        </w:rPr>
        <w:t>mercados </w:t>
      </w:r>
      <w:r>
        <w:rPr>
          <w:color w:val="231F20"/>
          <w:spacing w:val="2"/>
        </w:rPr>
        <w:t>internacionales, </w:t>
      </w:r>
      <w:r>
        <w:rPr>
          <w:color w:val="231F20"/>
          <w:spacing w:val="3"/>
        </w:rPr>
        <w:t>como </w:t>
      </w:r>
      <w:r>
        <w:rPr>
          <w:color w:val="231F20"/>
        </w:rPr>
        <w:t>lo </w:t>
      </w:r>
      <w:r>
        <w:rPr>
          <w:color w:val="231F20"/>
          <w:spacing w:val="2"/>
        </w:rPr>
        <w:t>indica </w:t>
      </w:r>
      <w:r>
        <w:rPr>
          <w:color w:val="231F20"/>
        </w:rPr>
        <w:t>el </w:t>
      </w:r>
      <w:r>
        <w:rPr>
          <w:color w:val="231F20"/>
          <w:spacing w:val="3"/>
        </w:rPr>
        <w:t>mismo </w:t>
      </w:r>
      <w:r>
        <w:rPr>
          <w:color w:val="231F20"/>
          <w:spacing w:val="2"/>
        </w:rPr>
        <w:t>Banco </w:t>
      </w:r>
      <w:r>
        <w:rPr>
          <w:color w:val="231F20"/>
        </w:rPr>
        <w:t>de </w:t>
      </w:r>
      <w:r>
        <w:rPr>
          <w:color w:val="231F20"/>
          <w:spacing w:val="2"/>
        </w:rPr>
        <w:t>México (2006). Así que </w:t>
      </w:r>
      <w:r>
        <w:rPr>
          <w:color w:val="231F20"/>
        </w:rPr>
        <w:t>el </w:t>
      </w:r>
      <w:r>
        <w:rPr>
          <w:color w:val="231F20"/>
          <w:spacing w:val="3"/>
        </w:rPr>
        <w:t>estancamiento económico  </w:t>
      </w:r>
      <w:r>
        <w:rPr>
          <w:color w:val="231F20"/>
          <w:spacing w:val="2"/>
        </w:rPr>
        <w:t>con estabilidad </w:t>
      </w:r>
      <w:r>
        <w:rPr>
          <w:color w:val="231F20"/>
          <w:spacing w:val="3"/>
        </w:rPr>
        <w:t>monetaria </w:t>
      </w:r>
      <w:r>
        <w:rPr>
          <w:color w:val="231F20"/>
        </w:rPr>
        <w:t>ha </w:t>
      </w:r>
      <w:r>
        <w:rPr>
          <w:color w:val="231F20"/>
          <w:spacing w:val="2"/>
        </w:rPr>
        <w:t>venido caracterizando </w:t>
      </w:r>
      <w:r>
        <w:rPr>
          <w:color w:val="231F20"/>
        </w:rPr>
        <w:t>la </w:t>
      </w:r>
      <w:r>
        <w:rPr>
          <w:color w:val="231F20"/>
          <w:spacing w:val="2"/>
        </w:rPr>
        <w:t>evolución   </w:t>
      </w:r>
      <w:r>
        <w:rPr>
          <w:color w:val="231F20"/>
        </w:rPr>
        <w:t>de la </w:t>
      </w:r>
      <w:r>
        <w:rPr>
          <w:color w:val="231F20"/>
          <w:spacing w:val="3"/>
        </w:rPr>
        <w:t>economía </w:t>
      </w:r>
      <w:r>
        <w:rPr>
          <w:color w:val="231F20"/>
          <w:spacing w:val="2"/>
        </w:rPr>
        <w:t>mexicana </w:t>
      </w:r>
      <w:r>
        <w:rPr>
          <w:color w:val="231F20"/>
        </w:rPr>
        <w:t>en </w:t>
      </w:r>
      <w:r>
        <w:rPr>
          <w:color w:val="231F20"/>
          <w:spacing w:val="2"/>
        </w:rPr>
        <w:t>estas últimas dos</w:t>
      </w:r>
      <w:r>
        <w:rPr>
          <w:color w:val="231F20"/>
          <w:spacing w:val="-1"/>
        </w:rPr>
        <w:t> </w:t>
      </w:r>
      <w:r>
        <w:rPr>
          <w:color w:val="231F20"/>
          <w:spacing w:val="2"/>
        </w:rPr>
        <w:t>décadas.</w:t>
      </w:r>
    </w:p>
    <w:p>
      <w:pPr>
        <w:pStyle w:val="BodyText"/>
        <w:spacing w:line="249" w:lineRule="auto"/>
        <w:ind w:left="101" w:right="114" w:firstLine="284"/>
        <w:jc w:val="both"/>
      </w:pPr>
      <w:r>
        <w:rPr>
          <w:color w:val="231F20"/>
        </w:rPr>
        <w:t>En </w:t>
      </w:r>
      <w:r>
        <w:rPr>
          <w:color w:val="231F20"/>
          <w:spacing w:val="2"/>
        </w:rPr>
        <w:t>los efectos </w:t>
      </w:r>
      <w:r>
        <w:rPr>
          <w:color w:val="231F20"/>
          <w:spacing w:val="3"/>
        </w:rPr>
        <w:t>inmediatos </w:t>
      </w:r>
      <w:r>
        <w:rPr>
          <w:color w:val="231F20"/>
        </w:rPr>
        <w:t>de </w:t>
      </w:r>
      <w:r>
        <w:rPr>
          <w:color w:val="231F20"/>
          <w:spacing w:val="2"/>
        </w:rPr>
        <w:t>estas </w:t>
      </w:r>
      <w:r>
        <w:rPr>
          <w:color w:val="231F20"/>
          <w:spacing w:val="3"/>
        </w:rPr>
        <w:t>medidas económicas </w:t>
      </w:r>
      <w:r>
        <w:rPr>
          <w:color w:val="231F20"/>
          <w:spacing w:val="2"/>
        </w:rPr>
        <w:t>está </w:t>
      </w:r>
      <w:r>
        <w:rPr>
          <w:color w:val="231F20"/>
          <w:spacing w:val="3"/>
        </w:rPr>
        <w:t>el incremento </w:t>
      </w:r>
      <w:r>
        <w:rPr>
          <w:color w:val="231F20"/>
        </w:rPr>
        <w:t>en </w:t>
      </w:r>
      <w:r>
        <w:rPr>
          <w:color w:val="231F20"/>
          <w:spacing w:val="2"/>
        </w:rPr>
        <w:t>los índices </w:t>
      </w:r>
      <w:r>
        <w:rPr>
          <w:color w:val="231F20"/>
        </w:rPr>
        <w:t>de </w:t>
      </w:r>
      <w:r>
        <w:rPr>
          <w:color w:val="231F20"/>
          <w:spacing w:val="3"/>
        </w:rPr>
        <w:t>pobreza. </w:t>
      </w:r>
      <w:r>
        <w:rPr>
          <w:color w:val="231F20"/>
          <w:spacing w:val="2"/>
        </w:rPr>
        <w:t>De acuerdo </w:t>
      </w:r>
      <w:r>
        <w:rPr>
          <w:color w:val="231F20"/>
        </w:rPr>
        <w:t>a </w:t>
      </w:r>
      <w:r>
        <w:rPr>
          <w:color w:val="231F20"/>
          <w:spacing w:val="2"/>
        </w:rPr>
        <w:t>los </w:t>
      </w:r>
      <w:r>
        <w:rPr>
          <w:color w:val="231F20"/>
          <w:spacing w:val="3"/>
        </w:rPr>
        <w:t>datos </w:t>
      </w:r>
      <w:r>
        <w:rPr>
          <w:color w:val="231F20"/>
          <w:spacing w:val="2"/>
        </w:rPr>
        <w:t>oficiales </w:t>
      </w:r>
      <w:r>
        <w:rPr>
          <w:color w:val="231F20"/>
        </w:rPr>
        <w:t>del </w:t>
      </w:r>
      <w:r>
        <w:rPr>
          <w:color w:val="231F20"/>
          <w:spacing w:val="3"/>
        </w:rPr>
        <w:t>CONEVAL </w:t>
      </w:r>
      <w:r>
        <w:rPr>
          <w:color w:val="231F20"/>
          <w:spacing w:val="2"/>
        </w:rPr>
        <w:t>(2006) </w:t>
      </w:r>
      <w:r>
        <w:rPr>
          <w:color w:val="231F20"/>
        </w:rPr>
        <w:t>en el </w:t>
      </w:r>
      <w:r>
        <w:rPr>
          <w:color w:val="231F20"/>
          <w:spacing w:val="2"/>
        </w:rPr>
        <w:t>país, </w:t>
      </w:r>
      <w:r>
        <w:rPr>
          <w:color w:val="231F20"/>
        </w:rPr>
        <w:t>se </w:t>
      </w:r>
      <w:r>
        <w:rPr>
          <w:color w:val="231F20"/>
          <w:spacing w:val="2"/>
        </w:rPr>
        <w:t>estimaba </w:t>
      </w:r>
      <w:r>
        <w:rPr>
          <w:color w:val="231F20"/>
        </w:rPr>
        <w:t>que </w:t>
      </w:r>
      <w:r>
        <w:rPr>
          <w:color w:val="231F20"/>
          <w:spacing w:val="2"/>
        </w:rPr>
        <w:t>había más </w:t>
      </w:r>
      <w:r>
        <w:rPr>
          <w:color w:val="231F20"/>
        </w:rPr>
        <w:t>de 60 </w:t>
      </w:r>
      <w:r>
        <w:rPr>
          <w:color w:val="231F20"/>
          <w:spacing w:val="2"/>
        </w:rPr>
        <w:t>millones </w:t>
      </w:r>
      <w:r>
        <w:rPr>
          <w:color w:val="231F20"/>
        </w:rPr>
        <w:t>de </w:t>
      </w:r>
      <w:r>
        <w:rPr>
          <w:color w:val="231F20"/>
          <w:spacing w:val="2"/>
        </w:rPr>
        <w:t>pobres, </w:t>
      </w:r>
      <w:r>
        <w:rPr>
          <w:color w:val="231F20"/>
        </w:rPr>
        <w:t>lo </w:t>
      </w:r>
      <w:r>
        <w:rPr>
          <w:color w:val="231F20"/>
          <w:spacing w:val="2"/>
        </w:rPr>
        <w:t>que quiere decir, que </w:t>
      </w:r>
      <w:r>
        <w:rPr>
          <w:i/>
          <w:color w:val="231F20"/>
          <w:spacing w:val="2"/>
        </w:rPr>
        <w:t>más </w:t>
      </w:r>
      <w:r>
        <w:rPr>
          <w:i/>
          <w:color w:val="231F20"/>
        </w:rPr>
        <w:t>de la </w:t>
      </w:r>
      <w:r>
        <w:rPr>
          <w:i/>
          <w:color w:val="231F20"/>
          <w:spacing w:val="2"/>
        </w:rPr>
        <w:t>mitad </w:t>
      </w:r>
      <w:r>
        <w:rPr>
          <w:i/>
          <w:color w:val="231F20"/>
        </w:rPr>
        <w:t>de la </w:t>
      </w:r>
      <w:r>
        <w:rPr>
          <w:i/>
          <w:color w:val="231F20"/>
          <w:spacing w:val="2"/>
        </w:rPr>
        <w:t>población </w:t>
      </w:r>
      <w:r>
        <w:rPr>
          <w:i/>
          <w:color w:val="231F20"/>
        </w:rPr>
        <w:t>era </w:t>
      </w:r>
      <w:r>
        <w:rPr>
          <w:i/>
          <w:color w:val="231F20"/>
          <w:spacing w:val="2"/>
        </w:rPr>
        <w:t>pobre</w:t>
      </w:r>
      <w:r>
        <w:rPr>
          <w:color w:val="231F20"/>
          <w:spacing w:val="2"/>
        </w:rPr>
        <w:t>; para </w:t>
      </w:r>
      <w:r>
        <w:rPr>
          <w:color w:val="231F20"/>
        </w:rPr>
        <w:t>el </w:t>
      </w:r>
      <w:r>
        <w:rPr>
          <w:color w:val="231F20"/>
          <w:spacing w:val="2"/>
        </w:rPr>
        <w:t>2008 </w:t>
      </w:r>
      <w:r>
        <w:rPr>
          <w:color w:val="231F20"/>
        </w:rPr>
        <w:t>ya era el </w:t>
      </w:r>
      <w:r>
        <w:rPr>
          <w:color w:val="231F20"/>
          <w:spacing w:val="2"/>
        </w:rPr>
        <w:t>77%. Este Consejo </w:t>
      </w:r>
      <w:r>
        <w:rPr>
          <w:color w:val="231F20"/>
        </w:rPr>
        <w:t>se </w:t>
      </w:r>
      <w:r>
        <w:rPr>
          <w:color w:val="231F20"/>
          <w:spacing w:val="2"/>
        </w:rPr>
        <w:t>centra </w:t>
      </w:r>
      <w:r>
        <w:rPr>
          <w:color w:val="231F20"/>
        </w:rPr>
        <w:t>en </w:t>
      </w:r>
      <w:r>
        <w:rPr>
          <w:color w:val="231F20"/>
          <w:spacing w:val="2"/>
        </w:rPr>
        <w:t>tres niveles </w:t>
      </w:r>
      <w:r>
        <w:rPr>
          <w:color w:val="231F20"/>
        </w:rPr>
        <w:t>de </w:t>
      </w:r>
      <w:r>
        <w:rPr>
          <w:color w:val="231F20"/>
          <w:spacing w:val="3"/>
        </w:rPr>
        <w:t>pobreza: </w:t>
      </w:r>
      <w:r>
        <w:rPr>
          <w:color w:val="231F20"/>
        </w:rPr>
        <w:t>la </w:t>
      </w:r>
      <w:r>
        <w:rPr>
          <w:color w:val="231F20"/>
          <w:spacing w:val="2"/>
        </w:rPr>
        <w:t>patrimonial, </w:t>
      </w:r>
      <w:r>
        <w:rPr>
          <w:color w:val="231F20"/>
        </w:rPr>
        <w:t>de </w:t>
      </w:r>
      <w:r>
        <w:rPr>
          <w:color w:val="231F20"/>
          <w:spacing w:val="2"/>
        </w:rPr>
        <w:t>capacidades </w:t>
      </w:r>
      <w:r>
        <w:rPr>
          <w:color w:val="231F20"/>
        </w:rPr>
        <w:t>y </w:t>
      </w:r>
      <w:r>
        <w:rPr>
          <w:color w:val="231F20"/>
          <w:spacing w:val="2"/>
        </w:rPr>
        <w:t>alimentaria. </w:t>
      </w:r>
      <w:r>
        <w:rPr>
          <w:color w:val="231F20"/>
        </w:rPr>
        <w:t>Es de </w:t>
      </w:r>
      <w:r>
        <w:rPr>
          <w:color w:val="231F20"/>
          <w:spacing w:val="2"/>
        </w:rPr>
        <w:t>notar que </w:t>
      </w:r>
      <w:r>
        <w:rPr>
          <w:color w:val="231F20"/>
        </w:rPr>
        <w:t>el </w:t>
      </w:r>
      <w:r>
        <w:rPr>
          <w:color w:val="231F20"/>
          <w:spacing w:val="3"/>
        </w:rPr>
        <w:t>mayor número </w:t>
      </w:r>
      <w:r>
        <w:rPr>
          <w:color w:val="231F20"/>
        </w:rPr>
        <w:t>de </w:t>
      </w:r>
      <w:r>
        <w:rPr>
          <w:color w:val="231F20"/>
          <w:spacing w:val="3"/>
        </w:rPr>
        <w:t>pobres </w:t>
      </w:r>
      <w:r>
        <w:rPr>
          <w:color w:val="231F20"/>
        </w:rPr>
        <w:t>se </w:t>
      </w:r>
      <w:r>
        <w:rPr>
          <w:color w:val="231F20"/>
          <w:spacing w:val="2"/>
        </w:rPr>
        <w:t>ubica </w:t>
      </w:r>
      <w:r>
        <w:rPr>
          <w:color w:val="231F20"/>
        </w:rPr>
        <w:t>en el </w:t>
      </w:r>
      <w:r>
        <w:rPr>
          <w:color w:val="231F20"/>
          <w:spacing w:val="2"/>
        </w:rPr>
        <w:t>nivel alimentario </w:t>
      </w:r>
      <w:r>
        <w:rPr>
          <w:color w:val="231F20"/>
        </w:rPr>
        <w:t>y de </w:t>
      </w:r>
      <w:r>
        <w:rPr>
          <w:color w:val="231F20"/>
          <w:spacing w:val="2"/>
        </w:rPr>
        <w:t>capacidades, </w:t>
      </w:r>
      <w:r>
        <w:rPr>
          <w:color w:val="231F20"/>
        </w:rPr>
        <w:t>y  </w:t>
      </w:r>
      <w:r>
        <w:rPr>
          <w:color w:val="231F20"/>
          <w:spacing w:val="3"/>
        </w:rPr>
        <w:t>conjunta </w:t>
      </w:r>
      <w:r>
        <w:rPr>
          <w:color w:val="231F20"/>
        </w:rPr>
        <w:t>a las </w:t>
      </w:r>
      <w:r>
        <w:rPr>
          <w:color w:val="231F20"/>
          <w:spacing w:val="3"/>
        </w:rPr>
        <w:t>personas </w:t>
      </w:r>
      <w:r>
        <w:rPr>
          <w:color w:val="231F20"/>
        </w:rPr>
        <w:t>que aún </w:t>
      </w:r>
      <w:r>
        <w:rPr>
          <w:color w:val="231F20"/>
          <w:spacing w:val="2"/>
        </w:rPr>
        <w:t>viven </w:t>
      </w:r>
      <w:r>
        <w:rPr>
          <w:color w:val="231F20"/>
        </w:rPr>
        <w:t>en o </w:t>
      </w:r>
      <w:r>
        <w:rPr>
          <w:color w:val="231F20"/>
          <w:spacing w:val="2"/>
        </w:rPr>
        <w:t>del </w:t>
      </w:r>
      <w:r>
        <w:rPr>
          <w:color w:val="231F20"/>
          <w:spacing w:val="3"/>
        </w:rPr>
        <w:t>campo; mientras</w:t>
      </w:r>
      <w:r>
        <w:rPr>
          <w:color w:val="231F20"/>
          <w:spacing w:val="58"/>
        </w:rPr>
        <w:t> </w:t>
      </w:r>
      <w:r>
        <w:rPr>
          <w:color w:val="231F20"/>
        </w:rPr>
        <w:t>que la </w:t>
      </w:r>
      <w:r>
        <w:rPr>
          <w:color w:val="231F20"/>
          <w:spacing w:val="3"/>
        </w:rPr>
        <w:t>pobreza patrimonial </w:t>
      </w:r>
      <w:r>
        <w:rPr>
          <w:color w:val="231F20"/>
        </w:rPr>
        <w:t>se </w:t>
      </w:r>
      <w:r>
        <w:rPr>
          <w:color w:val="231F20"/>
          <w:spacing w:val="2"/>
        </w:rPr>
        <w:t>sitúa </w:t>
      </w:r>
      <w:r>
        <w:rPr>
          <w:color w:val="231F20"/>
          <w:spacing w:val="3"/>
        </w:rPr>
        <w:t>preferentemente </w:t>
      </w:r>
      <w:r>
        <w:rPr>
          <w:color w:val="231F20"/>
        </w:rPr>
        <w:t>en </w:t>
      </w:r>
      <w:r>
        <w:rPr>
          <w:color w:val="231F20"/>
          <w:spacing w:val="2"/>
        </w:rPr>
        <w:t>las  ciudades. </w:t>
      </w:r>
      <w:r>
        <w:rPr>
          <w:color w:val="231F20"/>
        </w:rPr>
        <w:t>A su </w:t>
      </w:r>
      <w:r>
        <w:rPr>
          <w:color w:val="231F20"/>
          <w:spacing w:val="2"/>
        </w:rPr>
        <w:t>vez, esto </w:t>
      </w:r>
      <w:r>
        <w:rPr>
          <w:color w:val="231F20"/>
        </w:rPr>
        <w:t>se </w:t>
      </w:r>
      <w:r>
        <w:rPr>
          <w:color w:val="231F20"/>
          <w:spacing w:val="2"/>
        </w:rPr>
        <w:t>expresa </w:t>
      </w:r>
      <w:r>
        <w:rPr>
          <w:color w:val="231F20"/>
        </w:rPr>
        <w:t>de </w:t>
      </w:r>
      <w:r>
        <w:rPr>
          <w:color w:val="231F20"/>
          <w:spacing w:val="3"/>
        </w:rPr>
        <w:t>modo </w:t>
      </w:r>
      <w:r>
        <w:rPr>
          <w:color w:val="231F20"/>
          <w:spacing w:val="2"/>
        </w:rPr>
        <w:t>desigual </w:t>
      </w:r>
      <w:r>
        <w:rPr>
          <w:color w:val="231F20"/>
        </w:rPr>
        <w:t>en </w:t>
      </w:r>
      <w:r>
        <w:rPr>
          <w:color w:val="231F20"/>
          <w:spacing w:val="3"/>
        </w:rPr>
        <w:t>términos </w:t>
      </w:r>
      <w:r>
        <w:rPr>
          <w:color w:val="231F20"/>
          <w:spacing w:val="2"/>
        </w:rPr>
        <w:t>regionales, </w:t>
      </w:r>
      <w:r>
        <w:rPr>
          <w:color w:val="231F20"/>
        </w:rPr>
        <w:t>las </w:t>
      </w:r>
      <w:r>
        <w:rPr>
          <w:color w:val="231F20"/>
          <w:spacing w:val="3"/>
        </w:rPr>
        <w:t>entidades </w:t>
      </w:r>
      <w:r>
        <w:rPr>
          <w:color w:val="231F20"/>
          <w:spacing w:val="2"/>
        </w:rPr>
        <w:t>con </w:t>
      </w:r>
      <w:r>
        <w:rPr>
          <w:color w:val="231F20"/>
          <w:spacing w:val="3"/>
        </w:rPr>
        <w:t>mayor porcentaje </w:t>
      </w:r>
      <w:r>
        <w:rPr>
          <w:color w:val="231F20"/>
        </w:rPr>
        <w:t>de </w:t>
      </w:r>
      <w:r>
        <w:rPr>
          <w:color w:val="231F20"/>
          <w:spacing w:val="3"/>
        </w:rPr>
        <w:t>población en </w:t>
      </w:r>
      <w:r>
        <w:rPr>
          <w:color w:val="231F20"/>
          <w:spacing w:val="2"/>
        </w:rPr>
        <w:t>situación </w:t>
      </w:r>
      <w:r>
        <w:rPr>
          <w:color w:val="231F20"/>
        </w:rPr>
        <w:t>de </w:t>
      </w:r>
      <w:r>
        <w:rPr>
          <w:color w:val="231F20"/>
          <w:spacing w:val="2"/>
        </w:rPr>
        <w:t>pobreza </w:t>
      </w:r>
      <w:r>
        <w:rPr>
          <w:color w:val="231F20"/>
          <w:spacing w:val="3"/>
        </w:rPr>
        <w:t>patrimonial </w:t>
      </w:r>
      <w:r>
        <w:rPr>
          <w:color w:val="231F20"/>
        </w:rPr>
        <w:t>se </w:t>
      </w:r>
      <w:r>
        <w:rPr>
          <w:color w:val="231F20"/>
          <w:spacing w:val="2"/>
        </w:rPr>
        <w:t>ubican </w:t>
      </w:r>
      <w:r>
        <w:rPr>
          <w:color w:val="231F20"/>
        </w:rPr>
        <w:t>en </w:t>
      </w:r>
      <w:r>
        <w:rPr>
          <w:color w:val="231F20"/>
          <w:spacing w:val="2"/>
        </w:rPr>
        <w:t>los estados </w:t>
      </w:r>
      <w:r>
        <w:rPr>
          <w:color w:val="231F20"/>
        </w:rPr>
        <w:t>de </w:t>
      </w:r>
      <w:r>
        <w:rPr>
          <w:color w:val="231F20"/>
          <w:spacing w:val="2"/>
        </w:rPr>
        <w:t>Chiapas con </w:t>
      </w:r>
      <w:r>
        <w:rPr>
          <w:color w:val="231F20"/>
        </w:rPr>
        <w:t>el </w:t>
      </w:r>
      <w:r>
        <w:rPr>
          <w:color w:val="231F20"/>
          <w:spacing w:val="2"/>
        </w:rPr>
        <w:t>75.7%, </w:t>
      </w:r>
      <w:r>
        <w:rPr>
          <w:color w:val="231F20"/>
          <w:spacing w:val="3"/>
        </w:rPr>
        <w:t>Guerrero </w:t>
      </w:r>
      <w:r>
        <w:rPr>
          <w:color w:val="231F20"/>
          <w:spacing w:val="2"/>
        </w:rPr>
        <w:t>con 70.2% </w:t>
      </w:r>
      <w:r>
        <w:rPr>
          <w:color w:val="231F20"/>
        </w:rPr>
        <w:t>y </w:t>
      </w:r>
      <w:r>
        <w:rPr>
          <w:color w:val="231F20"/>
          <w:spacing w:val="2"/>
        </w:rPr>
        <w:t>Oaxaca con </w:t>
      </w:r>
      <w:r>
        <w:rPr>
          <w:color w:val="231F20"/>
          <w:spacing w:val="3"/>
        </w:rPr>
        <w:t>68% </w:t>
      </w:r>
      <w:r>
        <w:rPr>
          <w:color w:val="231F20"/>
          <w:spacing w:val="2"/>
        </w:rPr>
        <w:t>(citado</w:t>
      </w:r>
      <w:r>
        <w:rPr>
          <w:color w:val="231F20"/>
          <w:spacing w:val="-8"/>
        </w:rPr>
        <w:t> </w:t>
      </w:r>
      <w:r>
        <w:rPr>
          <w:color w:val="231F20"/>
        </w:rPr>
        <w:t>en</w:t>
      </w:r>
      <w:r>
        <w:rPr>
          <w:color w:val="231F20"/>
          <w:spacing w:val="-8"/>
        </w:rPr>
        <w:t> </w:t>
      </w:r>
      <w:r>
        <w:rPr>
          <w:color w:val="231F20"/>
          <w:spacing w:val="2"/>
        </w:rPr>
        <w:t>Aziz,</w:t>
      </w:r>
      <w:r>
        <w:rPr>
          <w:color w:val="231F20"/>
          <w:spacing w:val="-9"/>
        </w:rPr>
        <w:t> </w:t>
      </w:r>
      <w:r>
        <w:rPr>
          <w:color w:val="231F20"/>
          <w:spacing w:val="2"/>
        </w:rPr>
        <w:t>2009:</w:t>
      </w:r>
      <w:r>
        <w:rPr>
          <w:color w:val="231F20"/>
          <w:spacing w:val="-9"/>
        </w:rPr>
        <w:t> </w:t>
      </w:r>
      <w:r>
        <w:rPr>
          <w:color w:val="231F20"/>
          <w:spacing w:val="2"/>
        </w:rPr>
        <w:t>103</w:t>
      </w:r>
      <w:r>
        <w:rPr>
          <w:color w:val="231F20"/>
          <w:spacing w:val="-8"/>
        </w:rPr>
        <w:t> </w:t>
      </w:r>
      <w:r>
        <w:rPr>
          <w:color w:val="231F20"/>
        </w:rPr>
        <w:t>y</w:t>
      </w:r>
      <w:r>
        <w:rPr>
          <w:color w:val="231F20"/>
          <w:spacing w:val="-8"/>
        </w:rPr>
        <w:t> </w:t>
      </w:r>
      <w:r>
        <w:rPr>
          <w:color w:val="231F20"/>
          <w:spacing w:val="2"/>
        </w:rPr>
        <w:t>104).</w:t>
      </w:r>
    </w:p>
    <w:p>
      <w:pPr>
        <w:pStyle w:val="BodyText"/>
        <w:spacing w:line="249" w:lineRule="auto"/>
        <w:ind w:left="101" w:right="115" w:firstLine="284"/>
        <w:jc w:val="both"/>
      </w:pPr>
      <w:r>
        <w:rPr>
          <w:color w:val="231F20"/>
          <w:spacing w:val="3"/>
        </w:rPr>
        <w:t>Ahora somos </w:t>
      </w:r>
      <w:r>
        <w:rPr>
          <w:color w:val="231F20"/>
          <w:spacing w:val="2"/>
        </w:rPr>
        <w:t>más desiguales, ahora </w:t>
      </w:r>
      <w:r>
        <w:rPr>
          <w:color w:val="231F20"/>
          <w:spacing w:val="3"/>
        </w:rPr>
        <w:t>estamos </w:t>
      </w:r>
      <w:r>
        <w:rPr>
          <w:color w:val="231F20"/>
          <w:spacing w:val="2"/>
        </w:rPr>
        <w:t>esclavizados </w:t>
      </w:r>
      <w:r>
        <w:rPr>
          <w:color w:val="231F20"/>
        </w:rPr>
        <w:t>y </w:t>
      </w:r>
      <w:r>
        <w:rPr>
          <w:color w:val="231F20"/>
          <w:spacing w:val="2"/>
        </w:rPr>
        <w:t>violentados por </w:t>
      </w:r>
      <w:r>
        <w:rPr>
          <w:color w:val="231F20"/>
        </w:rPr>
        <w:t>el </w:t>
      </w:r>
      <w:r>
        <w:rPr>
          <w:color w:val="231F20"/>
          <w:spacing w:val="3"/>
        </w:rPr>
        <w:t>hambre, </w:t>
      </w:r>
      <w:r>
        <w:rPr>
          <w:color w:val="231F20"/>
        </w:rPr>
        <w:t>el </w:t>
      </w:r>
      <w:r>
        <w:rPr>
          <w:color w:val="231F20"/>
          <w:spacing w:val="3"/>
        </w:rPr>
        <w:t>desempleo </w:t>
      </w:r>
      <w:r>
        <w:rPr>
          <w:color w:val="231F20"/>
        </w:rPr>
        <w:t>y el </w:t>
      </w:r>
      <w:r>
        <w:rPr>
          <w:color w:val="231F20"/>
          <w:spacing w:val="3"/>
        </w:rPr>
        <w:t>analfabetismo, </w:t>
      </w:r>
      <w:r>
        <w:rPr>
          <w:color w:val="231F20"/>
          <w:spacing w:val="2"/>
        </w:rPr>
        <w:t>ade- más </w:t>
      </w:r>
      <w:r>
        <w:rPr>
          <w:color w:val="231F20"/>
        </w:rPr>
        <w:t>de vivir con esa </w:t>
      </w:r>
      <w:r>
        <w:rPr>
          <w:color w:val="231F20"/>
          <w:spacing w:val="2"/>
        </w:rPr>
        <w:t>reforma del Estado que </w:t>
      </w:r>
      <w:r>
        <w:rPr>
          <w:color w:val="231F20"/>
        </w:rPr>
        <w:t>se </w:t>
      </w:r>
      <w:r>
        <w:rPr>
          <w:color w:val="231F20"/>
          <w:spacing w:val="2"/>
        </w:rPr>
        <w:t>expresa </w:t>
      </w:r>
      <w:r>
        <w:rPr>
          <w:color w:val="231F20"/>
        </w:rPr>
        <w:t>en un  </w:t>
      </w:r>
      <w:r>
        <w:rPr>
          <w:color w:val="231F20"/>
          <w:spacing w:val="2"/>
        </w:rPr>
        <w:t>mayor saqueo </w:t>
      </w:r>
      <w:r>
        <w:rPr>
          <w:color w:val="231F20"/>
        </w:rPr>
        <w:t>de los </w:t>
      </w:r>
      <w:r>
        <w:rPr>
          <w:color w:val="231F20"/>
          <w:spacing w:val="2"/>
        </w:rPr>
        <w:t>bienes públicos </w:t>
      </w:r>
      <w:r>
        <w:rPr>
          <w:color w:val="231F20"/>
        </w:rPr>
        <w:t>y de </w:t>
      </w:r>
      <w:r>
        <w:rPr>
          <w:color w:val="231F20"/>
          <w:spacing w:val="2"/>
        </w:rPr>
        <w:t>mayor corrupción, tanto </w:t>
      </w:r>
      <w:r>
        <w:rPr>
          <w:color w:val="231F20"/>
        </w:rPr>
        <w:t>que </w:t>
      </w:r>
      <w:r>
        <w:rPr>
          <w:color w:val="231F20"/>
          <w:spacing w:val="2"/>
        </w:rPr>
        <w:t>ahora vivimos </w:t>
      </w:r>
      <w:r>
        <w:rPr>
          <w:color w:val="231F20"/>
        </w:rPr>
        <w:t>en </w:t>
      </w:r>
      <w:r>
        <w:rPr>
          <w:color w:val="231F20"/>
          <w:spacing w:val="2"/>
        </w:rPr>
        <w:t>una guerra contra </w:t>
      </w:r>
      <w:r>
        <w:rPr>
          <w:color w:val="231F20"/>
        </w:rPr>
        <w:t>el </w:t>
      </w:r>
      <w:r>
        <w:rPr>
          <w:color w:val="231F20"/>
          <w:spacing w:val="2"/>
        </w:rPr>
        <w:t>narcotráfico </w:t>
      </w:r>
      <w:r>
        <w:rPr>
          <w:color w:val="231F20"/>
        </w:rPr>
        <w:t>en la que   se </w:t>
      </w:r>
      <w:r>
        <w:rPr>
          <w:color w:val="231F20"/>
          <w:spacing w:val="2"/>
        </w:rPr>
        <w:t>encuentran involucrados </w:t>
      </w:r>
      <w:r>
        <w:rPr>
          <w:color w:val="231F20"/>
          <w:spacing w:val="3"/>
        </w:rPr>
        <w:t>muchos </w:t>
      </w:r>
      <w:r>
        <w:rPr>
          <w:color w:val="231F20"/>
          <w:spacing w:val="2"/>
        </w:rPr>
        <w:t>servidores públicos </w:t>
      </w:r>
      <w:r>
        <w:rPr>
          <w:color w:val="231F20"/>
        </w:rPr>
        <w:t>de </w:t>
      </w:r>
      <w:r>
        <w:rPr>
          <w:color w:val="231F20"/>
          <w:spacing w:val="2"/>
        </w:rPr>
        <w:t>dife- rentes niveles </w:t>
      </w:r>
      <w:r>
        <w:rPr>
          <w:color w:val="231F20"/>
          <w:spacing w:val="3"/>
        </w:rPr>
        <w:t>administrativos; </w:t>
      </w:r>
      <w:r>
        <w:rPr>
          <w:color w:val="231F20"/>
          <w:spacing w:val="2"/>
        </w:rPr>
        <w:t>pues </w:t>
      </w:r>
      <w:r>
        <w:rPr>
          <w:color w:val="231F20"/>
        </w:rPr>
        <w:t>el </w:t>
      </w:r>
      <w:r>
        <w:rPr>
          <w:color w:val="231F20"/>
          <w:spacing w:val="2"/>
        </w:rPr>
        <w:t>capital del narcotráfico </w:t>
      </w:r>
      <w:r>
        <w:rPr>
          <w:color w:val="231F20"/>
        </w:rPr>
        <w:t>ha </w:t>
      </w:r>
      <w:r>
        <w:rPr>
          <w:color w:val="231F20"/>
          <w:spacing w:val="2"/>
        </w:rPr>
        <w:t>logrado infiltrar </w:t>
      </w:r>
      <w:r>
        <w:rPr>
          <w:color w:val="231F20"/>
        </w:rPr>
        <w:t>un </w:t>
      </w:r>
      <w:r>
        <w:rPr>
          <w:color w:val="231F20"/>
          <w:spacing w:val="2"/>
        </w:rPr>
        <w:t>proceso </w:t>
      </w:r>
      <w:r>
        <w:rPr>
          <w:color w:val="231F20"/>
          <w:spacing w:val="3"/>
        </w:rPr>
        <w:t>muy </w:t>
      </w:r>
      <w:r>
        <w:rPr>
          <w:color w:val="231F20"/>
          <w:spacing w:val="2"/>
        </w:rPr>
        <w:t>particular </w:t>
      </w:r>
      <w:r>
        <w:rPr>
          <w:color w:val="231F20"/>
        </w:rPr>
        <w:t>de </w:t>
      </w:r>
      <w:r>
        <w:rPr>
          <w:color w:val="231F20"/>
          <w:spacing w:val="3"/>
        </w:rPr>
        <w:t>acumulación </w:t>
      </w:r>
      <w:r>
        <w:rPr>
          <w:color w:val="231F20"/>
          <w:spacing w:val="2"/>
        </w:rPr>
        <w:t>del capital </w:t>
      </w:r>
      <w:r>
        <w:rPr>
          <w:color w:val="231F20"/>
        </w:rPr>
        <w:t>a </w:t>
      </w:r>
      <w:r>
        <w:rPr>
          <w:color w:val="231F20"/>
          <w:spacing w:val="2"/>
        </w:rPr>
        <w:t>nivel </w:t>
      </w:r>
      <w:r>
        <w:rPr>
          <w:color w:val="231F20"/>
          <w:spacing w:val="3"/>
        </w:rPr>
        <w:t>mundial. Hemos </w:t>
      </w:r>
      <w:r>
        <w:rPr>
          <w:color w:val="231F20"/>
          <w:spacing w:val="2"/>
        </w:rPr>
        <w:t>llegado </w:t>
      </w:r>
      <w:r>
        <w:rPr>
          <w:color w:val="231F20"/>
        </w:rPr>
        <w:t>a </w:t>
      </w:r>
      <w:r>
        <w:rPr>
          <w:color w:val="231F20"/>
          <w:spacing w:val="3"/>
        </w:rPr>
        <w:t>extremos </w:t>
      </w:r>
      <w:r>
        <w:rPr>
          <w:color w:val="231F20"/>
        </w:rPr>
        <w:t>de </w:t>
      </w:r>
      <w:r>
        <w:rPr>
          <w:color w:val="231F20"/>
          <w:spacing w:val="2"/>
        </w:rPr>
        <w:t>criminalizar </w:t>
      </w:r>
      <w:r>
        <w:rPr>
          <w:color w:val="231F20"/>
        </w:rPr>
        <w:t>la </w:t>
      </w:r>
      <w:r>
        <w:rPr>
          <w:color w:val="231F20"/>
          <w:spacing w:val="3"/>
        </w:rPr>
        <w:t>pobreza </w:t>
      </w:r>
      <w:r>
        <w:rPr>
          <w:color w:val="231F20"/>
        </w:rPr>
        <w:t>y la </w:t>
      </w:r>
      <w:r>
        <w:rPr>
          <w:color w:val="231F20"/>
          <w:spacing w:val="2"/>
        </w:rPr>
        <w:t>protesta social; </w:t>
      </w:r>
      <w:r>
        <w:rPr>
          <w:color w:val="231F20"/>
        </w:rPr>
        <w:t>en </w:t>
      </w:r>
      <w:r>
        <w:rPr>
          <w:color w:val="231F20"/>
          <w:spacing w:val="2"/>
        </w:rPr>
        <w:t>este sentido, hay que aclarar </w:t>
      </w:r>
      <w:r>
        <w:rPr>
          <w:color w:val="231F20"/>
        </w:rPr>
        <w:t>el </w:t>
      </w:r>
      <w:r>
        <w:rPr>
          <w:color w:val="231F20"/>
          <w:spacing w:val="2"/>
        </w:rPr>
        <w:t>vínculo del proceso </w:t>
      </w:r>
      <w:r>
        <w:rPr>
          <w:color w:val="231F20"/>
        </w:rPr>
        <w:t>de </w:t>
      </w:r>
      <w:r>
        <w:rPr>
          <w:color w:val="231F20"/>
          <w:spacing w:val="2"/>
        </w:rPr>
        <w:t>acumulación con </w:t>
      </w:r>
      <w:r>
        <w:rPr>
          <w:color w:val="231F20"/>
        </w:rPr>
        <w:t>el </w:t>
      </w:r>
      <w:r>
        <w:rPr>
          <w:color w:val="231F20"/>
          <w:spacing w:val="3"/>
        </w:rPr>
        <w:t>fenómeno </w:t>
      </w:r>
      <w:r>
        <w:rPr>
          <w:color w:val="231F20"/>
        </w:rPr>
        <w:t>de la </w:t>
      </w:r>
      <w:r>
        <w:rPr>
          <w:color w:val="231F20"/>
          <w:spacing w:val="2"/>
        </w:rPr>
        <w:t>paupe- rización </w:t>
      </w:r>
      <w:r>
        <w:rPr>
          <w:color w:val="231F20"/>
          <w:spacing w:val="3"/>
        </w:rPr>
        <w:t>como </w:t>
      </w:r>
      <w:r>
        <w:rPr>
          <w:color w:val="231F20"/>
          <w:spacing w:val="2"/>
        </w:rPr>
        <w:t>expresión </w:t>
      </w:r>
      <w:r>
        <w:rPr>
          <w:color w:val="231F20"/>
        </w:rPr>
        <w:t>de las </w:t>
      </w:r>
      <w:r>
        <w:rPr>
          <w:color w:val="231F20"/>
          <w:spacing w:val="3"/>
        </w:rPr>
        <w:t>contradicciones </w:t>
      </w:r>
      <w:r>
        <w:rPr>
          <w:color w:val="231F20"/>
        </w:rPr>
        <w:t>de ese </w:t>
      </w:r>
      <w:r>
        <w:rPr>
          <w:color w:val="231F20"/>
          <w:spacing w:val="2"/>
        </w:rPr>
        <w:t>capitalismo rapaz, </w:t>
      </w:r>
      <w:r>
        <w:rPr>
          <w:color w:val="231F20"/>
        </w:rPr>
        <w:t>y no de la </w:t>
      </w:r>
      <w:r>
        <w:rPr>
          <w:color w:val="231F20"/>
          <w:spacing w:val="3"/>
        </w:rPr>
        <w:t>maldad humana, como </w:t>
      </w:r>
      <w:r>
        <w:rPr>
          <w:color w:val="231F20"/>
        </w:rPr>
        <w:t>se </w:t>
      </w:r>
      <w:r>
        <w:rPr>
          <w:color w:val="231F20"/>
          <w:spacing w:val="2"/>
        </w:rPr>
        <w:t>quiere presentar: ¿aca- </w:t>
      </w:r>
      <w:r>
        <w:rPr>
          <w:color w:val="231F20"/>
        </w:rPr>
        <w:t>so </w:t>
      </w:r>
      <w:r>
        <w:rPr>
          <w:color w:val="231F20"/>
          <w:spacing w:val="2"/>
        </w:rPr>
        <w:t>esto </w:t>
      </w:r>
      <w:r>
        <w:rPr>
          <w:color w:val="231F20"/>
        </w:rPr>
        <w:t>no es </w:t>
      </w:r>
      <w:r>
        <w:rPr>
          <w:color w:val="231F20"/>
          <w:spacing w:val="2"/>
        </w:rPr>
        <w:t>una violencia abierta </w:t>
      </w:r>
      <w:r>
        <w:rPr>
          <w:color w:val="231F20"/>
        </w:rPr>
        <w:t>a la</w:t>
      </w:r>
      <w:r>
        <w:rPr>
          <w:color w:val="231F20"/>
          <w:spacing w:val="22"/>
        </w:rPr>
        <w:t> </w:t>
      </w:r>
      <w:r>
        <w:rPr>
          <w:color w:val="231F20"/>
          <w:spacing w:val="3"/>
        </w:rPr>
        <w:t>población?</w:t>
      </w:r>
    </w:p>
    <w:p>
      <w:pPr>
        <w:spacing w:after="0" w:line="249" w:lineRule="auto"/>
        <w:jc w:val="both"/>
        <w:sectPr>
          <w:headerReference w:type="default" r:id="rId104"/>
          <w:footerReference w:type="default" r:id="rId105"/>
          <w:pgSz w:w="7830" w:h="11910"/>
          <w:pgMar w:header="0" w:footer="424" w:top="500" w:bottom="620" w:left="920" w:right="900"/>
          <w:pgNumType w:start="4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before="92"/>
        <w:ind w:left="102" w:right="0" w:firstLine="0"/>
        <w:jc w:val="both"/>
        <w:rPr>
          <w:i/>
          <w:sz w:val="21"/>
        </w:rPr>
      </w:pPr>
      <w:r>
        <w:rPr>
          <w:i/>
          <w:color w:val="231F20"/>
          <w:w w:val="85"/>
          <w:sz w:val="21"/>
        </w:rPr>
        <w:t>La condición política</w:t>
      </w:r>
    </w:p>
    <w:p>
      <w:pPr>
        <w:pStyle w:val="BodyText"/>
        <w:spacing w:before="1"/>
        <w:rPr>
          <w:i/>
        </w:rPr>
      </w:pPr>
    </w:p>
    <w:p>
      <w:pPr>
        <w:pStyle w:val="BodyText"/>
        <w:spacing w:line="247" w:lineRule="auto" w:before="1"/>
        <w:ind w:left="102" w:right="115"/>
        <w:jc w:val="both"/>
      </w:pPr>
      <w:r>
        <w:rPr>
          <w:color w:val="231F20"/>
        </w:rPr>
        <w:t>El Estado, en las propuestas del neoliberalismo, no escapa a sus propios límites y contradicciones en su intento de dejar en la esfera de lo privado la generación de la riqueza y la distribución de la misma, lo cual significa una drástica contracción de su participación en la economía y en la prestación de servicios públicos, cuyo tras- fondo es el cambio de régimen de acumulación, que afecta la orga- nización del proceso productivo, de cara a la reinserción en el mer- cado mundial y al incremento de la productividad del trabajo y la ganancia.</w:t>
      </w:r>
    </w:p>
    <w:p>
      <w:pPr>
        <w:pStyle w:val="BodyText"/>
        <w:spacing w:line="249" w:lineRule="auto" w:before="10"/>
        <w:ind w:left="101" w:right="115" w:firstLine="284"/>
        <w:jc w:val="both"/>
      </w:pPr>
      <w:r>
        <w:rPr>
          <w:color w:val="231F20"/>
        </w:rPr>
        <w:t>El </w:t>
      </w:r>
      <w:r>
        <w:rPr>
          <w:color w:val="231F20"/>
          <w:spacing w:val="2"/>
        </w:rPr>
        <w:t>nivel </w:t>
      </w:r>
      <w:r>
        <w:rPr>
          <w:color w:val="231F20"/>
        </w:rPr>
        <w:t>de </w:t>
      </w:r>
      <w:r>
        <w:rPr>
          <w:color w:val="231F20"/>
          <w:spacing w:val="2"/>
        </w:rPr>
        <w:t>desarrollo alcanzado por </w:t>
      </w:r>
      <w:r>
        <w:rPr>
          <w:color w:val="231F20"/>
        </w:rPr>
        <w:t>las </w:t>
      </w:r>
      <w:r>
        <w:rPr>
          <w:color w:val="231F20"/>
          <w:spacing w:val="2"/>
        </w:rPr>
        <w:t>fuerzas productivas </w:t>
      </w:r>
      <w:r>
        <w:rPr>
          <w:color w:val="231F20"/>
        </w:rPr>
        <w:t>es  la </w:t>
      </w:r>
      <w:r>
        <w:rPr>
          <w:color w:val="231F20"/>
          <w:spacing w:val="2"/>
        </w:rPr>
        <w:t>base </w:t>
      </w:r>
      <w:r>
        <w:rPr>
          <w:color w:val="231F20"/>
        </w:rPr>
        <w:t>de </w:t>
      </w:r>
      <w:r>
        <w:rPr>
          <w:color w:val="231F20"/>
          <w:spacing w:val="2"/>
        </w:rPr>
        <w:t>los </w:t>
      </w:r>
      <w:r>
        <w:rPr>
          <w:color w:val="231F20"/>
          <w:spacing w:val="3"/>
        </w:rPr>
        <w:t>procesos </w:t>
      </w:r>
      <w:r>
        <w:rPr>
          <w:color w:val="231F20"/>
        </w:rPr>
        <w:t>y </w:t>
      </w:r>
      <w:r>
        <w:rPr>
          <w:color w:val="231F20"/>
          <w:spacing w:val="3"/>
        </w:rPr>
        <w:t>cambios </w:t>
      </w:r>
      <w:r>
        <w:rPr>
          <w:color w:val="231F20"/>
        </w:rPr>
        <w:t>de las </w:t>
      </w:r>
      <w:r>
        <w:rPr>
          <w:color w:val="231F20"/>
          <w:spacing w:val="2"/>
        </w:rPr>
        <w:t>estrategias </w:t>
      </w:r>
      <w:r>
        <w:rPr>
          <w:color w:val="231F20"/>
        </w:rPr>
        <w:t>de </w:t>
      </w:r>
      <w:r>
        <w:rPr>
          <w:color w:val="231F20"/>
          <w:spacing w:val="3"/>
        </w:rPr>
        <w:t>acumula- </w:t>
      </w:r>
      <w:r>
        <w:rPr>
          <w:color w:val="231F20"/>
          <w:spacing w:val="2"/>
        </w:rPr>
        <w:t>ción, </w:t>
      </w:r>
      <w:r>
        <w:rPr>
          <w:color w:val="231F20"/>
          <w:spacing w:val="3"/>
        </w:rPr>
        <w:t>como </w:t>
      </w:r>
      <w:r>
        <w:rPr>
          <w:color w:val="231F20"/>
        </w:rPr>
        <w:t>el </w:t>
      </w:r>
      <w:r>
        <w:rPr>
          <w:color w:val="231F20"/>
          <w:spacing w:val="2"/>
        </w:rPr>
        <w:t>elemento material, objetivo, </w:t>
      </w:r>
      <w:r>
        <w:rPr>
          <w:color w:val="231F20"/>
        </w:rPr>
        <w:t>en </w:t>
      </w:r>
      <w:r>
        <w:rPr>
          <w:color w:val="231F20"/>
          <w:spacing w:val="2"/>
        </w:rPr>
        <w:t>que </w:t>
      </w:r>
      <w:r>
        <w:rPr>
          <w:color w:val="231F20"/>
        </w:rPr>
        <w:t>se </w:t>
      </w:r>
      <w:r>
        <w:rPr>
          <w:color w:val="231F20"/>
          <w:spacing w:val="2"/>
        </w:rPr>
        <w:t>sustenta </w:t>
      </w:r>
      <w:r>
        <w:rPr>
          <w:color w:val="231F20"/>
        </w:rPr>
        <w:t>el </w:t>
      </w:r>
      <w:r>
        <w:rPr>
          <w:color w:val="231F20"/>
          <w:spacing w:val="3"/>
        </w:rPr>
        <w:t>Estado. </w:t>
      </w:r>
      <w:r>
        <w:rPr>
          <w:color w:val="231F20"/>
        </w:rPr>
        <w:t>El </w:t>
      </w:r>
      <w:r>
        <w:rPr>
          <w:color w:val="231F20"/>
          <w:spacing w:val="2"/>
        </w:rPr>
        <w:t>otro elemento, </w:t>
      </w:r>
      <w:r>
        <w:rPr>
          <w:color w:val="231F20"/>
        </w:rPr>
        <w:t>el </w:t>
      </w:r>
      <w:r>
        <w:rPr>
          <w:color w:val="231F20"/>
          <w:spacing w:val="2"/>
        </w:rPr>
        <w:t>subjetivo, está constituido por los conflictos </w:t>
      </w:r>
      <w:r>
        <w:rPr>
          <w:color w:val="231F20"/>
        </w:rPr>
        <w:t>de </w:t>
      </w:r>
      <w:r>
        <w:rPr>
          <w:color w:val="231F20"/>
          <w:spacing w:val="2"/>
        </w:rPr>
        <w:t>clase; </w:t>
      </w:r>
      <w:r>
        <w:rPr>
          <w:color w:val="231F20"/>
          <w:spacing w:val="3"/>
        </w:rPr>
        <w:t>ambos </w:t>
      </w:r>
      <w:r>
        <w:rPr>
          <w:color w:val="231F20"/>
        </w:rPr>
        <w:t>se </w:t>
      </w:r>
      <w:r>
        <w:rPr>
          <w:color w:val="231F20"/>
          <w:spacing w:val="2"/>
        </w:rPr>
        <w:t>expresan </w:t>
      </w:r>
      <w:r>
        <w:rPr>
          <w:color w:val="231F20"/>
        </w:rPr>
        <w:t>en el </w:t>
      </w:r>
      <w:r>
        <w:rPr>
          <w:color w:val="231F20"/>
          <w:spacing w:val="2"/>
        </w:rPr>
        <w:t>papel </w:t>
      </w:r>
      <w:r>
        <w:rPr>
          <w:color w:val="231F20"/>
        </w:rPr>
        <w:t>que </w:t>
      </w:r>
      <w:r>
        <w:rPr>
          <w:color w:val="231F20"/>
          <w:spacing w:val="2"/>
        </w:rPr>
        <w:t>asume </w:t>
      </w:r>
      <w:r>
        <w:rPr>
          <w:color w:val="231F20"/>
        </w:rPr>
        <w:t>en </w:t>
      </w:r>
      <w:r>
        <w:rPr>
          <w:color w:val="231F20"/>
          <w:spacing w:val="2"/>
        </w:rPr>
        <w:t>estos </w:t>
      </w:r>
      <w:r>
        <w:rPr>
          <w:color w:val="231F20"/>
          <w:spacing w:val="3"/>
        </w:rPr>
        <w:t>procesos </w:t>
      </w:r>
      <w:r>
        <w:rPr>
          <w:color w:val="231F20"/>
        </w:rPr>
        <w:t>el </w:t>
      </w:r>
      <w:r>
        <w:rPr>
          <w:color w:val="231F20"/>
          <w:spacing w:val="2"/>
        </w:rPr>
        <w:t>Estado </w:t>
      </w:r>
      <w:r>
        <w:rPr>
          <w:color w:val="231F20"/>
        </w:rPr>
        <w:t>y se </w:t>
      </w:r>
      <w:r>
        <w:rPr>
          <w:color w:val="231F20"/>
          <w:spacing w:val="2"/>
        </w:rPr>
        <w:t>concreta </w:t>
      </w:r>
      <w:r>
        <w:rPr>
          <w:color w:val="231F20"/>
        </w:rPr>
        <w:t>en las </w:t>
      </w:r>
      <w:r>
        <w:rPr>
          <w:color w:val="231F20"/>
          <w:spacing w:val="2"/>
        </w:rPr>
        <w:t>políticas públicas </w:t>
      </w:r>
      <w:r>
        <w:rPr>
          <w:color w:val="231F20"/>
        </w:rPr>
        <w:t>y  en </w:t>
      </w:r>
      <w:r>
        <w:rPr>
          <w:color w:val="231F20"/>
          <w:spacing w:val="2"/>
        </w:rPr>
        <w:t>los </w:t>
      </w:r>
      <w:r>
        <w:rPr>
          <w:color w:val="231F20"/>
          <w:spacing w:val="3"/>
        </w:rPr>
        <w:t>compromisos </w:t>
      </w:r>
      <w:r>
        <w:rPr>
          <w:color w:val="231F20"/>
          <w:spacing w:val="2"/>
        </w:rPr>
        <w:t>políticos </w:t>
      </w:r>
      <w:r>
        <w:rPr>
          <w:color w:val="231F20"/>
        </w:rPr>
        <w:t>de </w:t>
      </w:r>
      <w:r>
        <w:rPr>
          <w:color w:val="231F20"/>
          <w:spacing w:val="2"/>
        </w:rPr>
        <w:t>clase, </w:t>
      </w:r>
      <w:r>
        <w:rPr>
          <w:color w:val="231F20"/>
        </w:rPr>
        <w:t>lo </w:t>
      </w:r>
      <w:r>
        <w:rPr>
          <w:color w:val="231F20"/>
          <w:spacing w:val="2"/>
        </w:rPr>
        <w:t>cual permite </w:t>
      </w:r>
      <w:r>
        <w:rPr>
          <w:color w:val="231F20"/>
          <w:spacing w:val="3"/>
        </w:rPr>
        <w:t>compren- </w:t>
      </w:r>
      <w:r>
        <w:rPr>
          <w:color w:val="231F20"/>
          <w:spacing w:val="2"/>
        </w:rPr>
        <w:t>der </w:t>
      </w:r>
      <w:r>
        <w:rPr>
          <w:color w:val="231F20"/>
        </w:rPr>
        <w:t>al </w:t>
      </w:r>
      <w:r>
        <w:rPr>
          <w:color w:val="231F20"/>
          <w:spacing w:val="2"/>
        </w:rPr>
        <w:t>Estado </w:t>
      </w:r>
      <w:r>
        <w:rPr>
          <w:color w:val="231F20"/>
          <w:spacing w:val="3"/>
        </w:rPr>
        <w:t>como </w:t>
      </w:r>
      <w:r>
        <w:rPr>
          <w:color w:val="231F20"/>
          <w:spacing w:val="2"/>
        </w:rPr>
        <w:t>síntesis </w:t>
      </w:r>
      <w:r>
        <w:rPr>
          <w:color w:val="231F20"/>
        </w:rPr>
        <w:t>de las </w:t>
      </w:r>
      <w:r>
        <w:rPr>
          <w:color w:val="231F20"/>
          <w:spacing w:val="2"/>
        </w:rPr>
        <w:t>relaciones sociales, </w:t>
      </w:r>
      <w:r>
        <w:rPr>
          <w:color w:val="231F20"/>
        </w:rPr>
        <w:t>e </w:t>
      </w:r>
      <w:r>
        <w:rPr>
          <w:color w:val="231F20"/>
          <w:spacing w:val="2"/>
        </w:rPr>
        <w:t>interpre- tarlo </w:t>
      </w:r>
      <w:r>
        <w:rPr>
          <w:color w:val="231F20"/>
        </w:rPr>
        <w:t>a la </w:t>
      </w:r>
      <w:r>
        <w:rPr>
          <w:color w:val="231F20"/>
          <w:spacing w:val="2"/>
        </w:rPr>
        <w:t>luz </w:t>
      </w:r>
      <w:r>
        <w:rPr>
          <w:color w:val="231F20"/>
        </w:rPr>
        <w:t>de </w:t>
      </w:r>
      <w:r>
        <w:rPr>
          <w:color w:val="231F20"/>
          <w:spacing w:val="2"/>
        </w:rPr>
        <w:t>los </w:t>
      </w:r>
      <w:r>
        <w:rPr>
          <w:color w:val="231F20"/>
          <w:spacing w:val="3"/>
        </w:rPr>
        <w:t>procesos </w:t>
      </w:r>
      <w:r>
        <w:rPr>
          <w:color w:val="231F20"/>
          <w:spacing w:val="2"/>
        </w:rPr>
        <w:t>históricos </w:t>
      </w:r>
      <w:r>
        <w:rPr>
          <w:color w:val="231F20"/>
          <w:spacing w:val="3"/>
        </w:rPr>
        <w:t>concretos </w:t>
      </w:r>
      <w:r>
        <w:rPr>
          <w:color w:val="231F20"/>
        </w:rPr>
        <w:t>de las </w:t>
      </w:r>
      <w:r>
        <w:rPr>
          <w:color w:val="231F20"/>
          <w:spacing w:val="3"/>
        </w:rPr>
        <w:t>formacio- </w:t>
      </w:r>
      <w:r>
        <w:rPr>
          <w:color w:val="231F20"/>
          <w:spacing w:val="2"/>
        </w:rPr>
        <w:t>nes</w:t>
      </w:r>
      <w:r>
        <w:rPr>
          <w:color w:val="231F20"/>
          <w:spacing w:val="-23"/>
        </w:rPr>
        <w:t> </w:t>
      </w:r>
      <w:r>
        <w:rPr>
          <w:color w:val="231F20"/>
          <w:spacing w:val="2"/>
        </w:rPr>
        <w:t>sociales.</w:t>
      </w:r>
    </w:p>
    <w:p>
      <w:pPr>
        <w:pStyle w:val="BodyText"/>
        <w:spacing w:line="249" w:lineRule="auto"/>
        <w:ind w:left="101" w:right="113" w:firstLine="284"/>
        <w:jc w:val="both"/>
      </w:pPr>
      <w:r>
        <w:rPr>
          <w:color w:val="231F20"/>
        </w:rPr>
        <w:t>Los</w:t>
      </w:r>
      <w:r>
        <w:rPr>
          <w:color w:val="231F20"/>
          <w:spacing w:val="-8"/>
        </w:rPr>
        <w:t> </w:t>
      </w:r>
      <w:r>
        <w:rPr>
          <w:color w:val="231F20"/>
        </w:rPr>
        <w:t>rasgos</w:t>
      </w:r>
      <w:r>
        <w:rPr>
          <w:color w:val="231F20"/>
          <w:spacing w:val="-8"/>
        </w:rPr>
        <w:t> </w:t>
      </w:r>
      <w:r>
        <w:rPr>
          <w:color w:val="231F20"/>
        </w:rPr>
        <w:t>del</w:t>
      </w:r>
      <w:r>
        <w:rPr>
          <w:color w:val="231F20"/>
          <w:spacing w:val="-8"/>
        </w:rPr>
        <w:t> </w:t>
      </w:r>
      <w:r>
        <w:rPr>
          <w:color w:val="231F20"/>
        </w:rPr>
        <w:t>Estado</w:t>
      </w:r>
      <w:r>
        <w:rPr>
          <w:color w:val="231F20"/>
          <w:spacing w:val="-7"/>
        </w:rPr>
        <w:t> </w:t>
      </w:r>
      <w:r>
        <w:rPr>
          <w:color w:val="231F20"/>
        </w:rPr>
        <w:t>postrevolucionario</w:t>
      </w:r>
      <w:r>
        <w:rPr>
          <w:color w:val="231F20"/>
          <w:spacing w:val="-7"/>
        </w:rPr>
        <w:t> </w:t>
      </w:r>
      <w:r>
        <w:rPr>
          <w:color w:val="231F20"/>
        </w:rPr>
        <w:t>constituyen</w:t>
      </w:r>
      <w:r>
        <w:rPr>
          <w:color w:val="231F20"/>
          <w:spacing w:val="-7"/>
        </w:rPr>
        <w:t> </w:t>
      </w:r>
      <w:r>
        <w:rPr>
          <w:color w:val="231F20"/>
        </w:rPr>
        <w:t>las</w:t>
      </w:r>
      <w:r>
        <w:rPr>
          <w:color w:val="231F20"/>
          <w:spacing w:val="-8"/>
        </w:rPr>
        <w:t> </w:t>
      </w:r>
      <w:r>
        <w:rPr>
          <w:color w:val="231F20"/>
        </w:rPr>
        <w:t>bases</w:t>
      </w:r>
      <w:r>
        <w:rPr>
          <w:color w:val="231F20"/>
          <w:spacing w:val="-8"/>
        </w:rPr>
        <w:t> </w:t>
      </w:r>
      <w:r>
        <w:rPr>
          <w:color w:val="231F20"/>
        </w:rPr>
        <w:t>de la organización política autoritaria en México, con una clara restric- ción de la participación, a pesar de que la reforma política de finales de la década de los años setenta o la alternancia de partido en el po- der del año 2000, de todas formas se realizó un control centralizado sobre las elecciones. En este marco autoritario y burocrático, el</w:t>
      </w:r>
      <w:r>
        <w:rPr>
          <w:color w:val="231F20"/>
          <w:spacing w:val="-34"/>
        </w:rPr>
        <w:t> </w:t>
      </w:r>
      <w:r>
        <w:rPr>
          <w:color w:val="231F20"/>
        </w:rPr>
        <w:t>Esta- do incluyó en forma limitada, por lo menos en el tiempo de partido único,</w:t>
      </w:r>
      <w:r>
        <w:rPr>
          <w:color w:val="231F20"/>
          <w:spacing w:val="-5"/>
        </w:rPr>
        <w:t> </w:t>
      </w:r>
      <w:r>
        <w:rPr>
          <w:color w:val="231F20"/>
        </w:rPr>
        <w:t>a</w:t>
      </w:r>
      <w:r>
        <w:rPr>
          <w:color w:val="231F20"/>
          <w:spacing w:val="-4"/>
        </w:rPr>
        <w:t> </w:t>
      </w:r>
      <w:r>
        <w:rPr>
          <w:color w:val="231F20"/>
        </w:rPr>
        <w:t>las</w:t>
      </w:r>
      <w:r>
        <w:rPr>
          <w:color w:val="231F20"/>
          <w:spacing w:val="-4"/>
        </w:rPr>
        <w:t> </w:t>
      </w:r>
      <w:r>
        <w:rPr>
          <w:color w:val="231F20"/>
        </w:rPr>
        <w:t>fuerzas</w:t>
      </w:r>
      <w:r>
        <w:rPr>
          <w:color w:val="231F20"/>
          <w:spacing w:val="-4"/>
        </w:rPr>
        <w:t> </w:t>
      </w:r>
      <w:r>
        <w:rPr>
          <w:color w:val="231F20"/>
        </w:rPr>
        <w:t>vivas,</w:t>
      </w:r>
      <w:r>
        <w:rPr>
          <w:color w:val="231F20"/>
          <w:spacing w:val="-5"/>
        </w:rPr>
        <w:t> </w:t>
      </w:r>
      <w:r>
        <w:rPr>
          <w:color w:val="231F20"/>
        </w:rPr>
        <w:t>campesinos</w:t>
      </w:r>
      <w:r>
        <w:rPr>
          <w:color w:val="231F20"/>
          <w:spacing w:val="-4"/>
        </w:rPr>
        <w:t> </w:t>
      </w:r>
      <w:r>
        <w:rPr>
          <w:color w:val="231F20"/>
        </w:rPr>
        <w:t>y</w:t>
      </w:r>
      <w:r>
        <w:rPr>
          <w:color w:val="231F20"/>
          <w:spacing w:val="-4"/>
        </w:rPr>
        <w:t> </w:t>
      </w:r>
      <w:r>
        <w:rPr>
          <w:color w:val="231F20"/>
        </w:rPr>
        <w:t>obreros,</w:t>
      </w:r>
      <w:r>
        <w:rPr>
          <w:color w:val="231F20"/>
          <w:spacing w:val="-5"/>
        </w:rPr>
        <w:t> </w:t>
      </w:r>
      <w:r>
        <w:rPr>
          <w:color w:val="231F20"/>
        </w:rPr>
        <w:t>en</w:t>
      </w:r>
      <w:r>
        <w:rPr>
          <w:color w:val="231F20"/>
          <w:spacing w:val="-4"/>
        </w:rPr>
        <w:t> </w:t>
      </w:r>
      <w:r>
        <w:rPr>
          <w:color w:val="231F20"/>
        </w:rPr>
        <w:t>una</w:t>
      </w:r>
      <w:r>
        <w:rPr>
          <w:color w:val="231F20"/>
          <w:spacing w:val="-4"/>
        </w:rPr>
        <w:t> </w:t>
      </w:r>
      <w:r>
        <w:rPr>
          <w:color w:val="231F20"/>
        </w:rPr>
        <w:t>relación</w:t>
      </w:r>
      <w:r>
        <w:rPr>
          <w:color w:val="231F20"/>
          <w:spacing w:val="-4"/>
        </w:rPr>
        <w:t> </w:t>
      </w:r>
      <w:r>
        <w:rPr>
          <w:color w:val="231F20"/>
        </w:rPr>
        <w:t>cor- porativa y de cooptación, asimilando a elementos contrarios, pero si esto fallaba, se utilizaría la represión que fue la característica para enfrentar</w:t>
      </w:r>
      <w:r>
        <w:rPr>
          <w:color w:val="231F20"/>
          <w:spacing w:val="-22"/>
        </w:rPr>
        <w:t> </w:t>
      </w:r>
      <w:r>
        <w:rPr>
          <w:color w:val="231F20"/>
        </w:rPr>
        <w:t>los</w:t>
      </w:r>
      <w:r>
        <w:rPr>
          <w:color w:val="231F20"/>
          <w:spacing w:val="-22"/>
        </w:rPr>
        <w:t> </w:t>
      </w:r>
      <w:r>
        <w:rPr>
          <w:color w:val="231F20"/>
        </w:rPr>
        <w:t>diversos</w:t>
      </w:r>
      <w:r>
        <w:rPr>
          <w:color w:val="231F20"/>
          <w:spacing w:val="-22"/>
        </w:rPr>
        <w:t> </w:t>
      </w:r>
      <w:r>
        <w:rPr>
          <w:color w:val="231F20"/>
        </w:rPr>
        <w:t>movimientos</w:t>
      </w:r>
      <w:r>
        <w:rPr>
          <w:color w:val="231F20"/>
          <w:spacing w:val="-22"/>
        </w:rPr>
        <w:t> </w:t>
      </w:r>
      <w:r>
        <w:rPr>
          <w:color w:val="231F20"/>
        </w:rPr>
        <w:t>sociales.</w:t>
      </w:r>
    </w:p>
    <w:p>
      <w:pPr>
        <w:pStyle w:val="BodyText"/>
        <w:spacing w:line="247" w:lineRule="auto"/>
        <w:ind w:left="101" w:right="116" w:firstLine="284"/>
        <w:jc w:val="both"/>
      </w:pPr>
      <w:r>
        <w:rPr>
          <w:color w:val="231F20"/>
        </w:rPr>
        <w:t>El modo particular de mantener el control absoluto se ejerció para sostener la primacía del ejecutivo sobre las estructuras legisla- tivas, que se traduce en un tipo de cultura política generando un modo particular de lealtad personal que se extiende a todas las organizaciones e instituciones del Estado.</w:t>
      </w:r>
    </w:p>
    <w:p>
      <w:pPr>
        <w:pStyle w:val="BodyText"/>
        <w:spacing w:line="247" w:lineRule="auto" w:before="6"/>
        <w:ind w:left="101" w:right="121" w:firstLine="284"/>
        <w:jc w:val="both"/>
      </w:pPr>
      <w:r>
        <w:rPr>
          <w:color w:val="231F20"/>
        </w:rPr>
        <w:t>En este sentido la forma política autoritaria ha tomado la lucha por la  alternancia en  el  poder que  se  preocupa más por arribar  a</w:t>
      </w:r>
    </w:p>
    <w:p>
      <w:pPr>
        <w:spacing w:after="0" w:line="247" w:lineRule="auto"/>
        <w:jc w:val="both"/>
        <w:sectPr>
          <w:headerReference w:type="default" r:id="rId106"/>
          <w:footerReference w:type="default" r:id="rId107"/>
          <w:pgSz w:w="7830" w:h="11910"/>
          <w:pgMar w:header="0" w:footer="424" w:top="500" w:bottom="620" w:left="920" w:right="900"/>
          <w:pgNumType w:start="4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jc w:val="both"/>
      </w:pPr>
      <w:r>
        <w:rPr>
          <w:color w:val="231F20"/>
          <w:spacing w:val="2"/>
        </w:rPr>
        <w:t>negociaciones </w:t>
      </w:r>
      <w:r>
        <w:rPr>
          <w:color w:val="231F20"/>
        </w:rPr>
        <w:t>en lo </w:t>
      </w:r>
      <w:r>
        <w:rPr>
          <w:color w:val="231F20"/>
          <w:spacing w:val="2"/>
        </w:rPr>
        <w:t>obscurito entre los </w:t>
      </w:r>
      <w:r>
        <w:rPr>
          <w:color w:val="231F20"/>
          <w:spacing w:val="3"/>
        </w:rPr>
        <w:t>partidos </w:t>
      </w:r>
      <w:r>
        <w:rPr>
          <w:color w:val="231F20"/>
          <w:spacing w:val="2"/>
        </w:rPr>
        <w:t>que antaño eran </w:t>
      </w:r>
      <w:r>
        <w:rPr>
          <w:color w:val="231F20"/>
          <w:spacing w:val="3"/>
        </w:rPr>
        <w:t>opositores </w:t>
      </w:r>
      <w:r>
        <w:rPr>
          <w:color w:val="231F20"/>
        </w:rPr>
        <w:t>y no </w:t>
      </w:r>
      <w:r>
        <w:rPr>
          <w:color w:val="231F20"/>
          <w:spacing w:val="2"/>
        </w:rPr>
        <w:t>por medio </w:t>
      </w:r>
      <w:r>
        <w:rPr>
          <w:color w:val="231F20"/>
        </w:rPr>
        <w:t>de un </w:t>
      </w:r>
      <w:r>
        <w:rPr>
          <w:color w:val="231F20"/>
          <w:spacing w:val="2"/>
        </w:rPr>
        <w:t>proceso </w:t>
      </w:r>
      <w:r>
        <w:rPr>
          <w:color w:val="231F20"/>
        </w:rPr>
        <w:t>de </w:t>
      </w:r>
      <w:r>
        <w:rPr>
          <w:color w:val="231F20"/>
          <w:spacing w:val="2"/>
        </w:rPr>
        <w:t>democratización </w:t>
      </w:r>
      <w:r>
        <w:rPr>
          <w:color w:val="231F20"/>
        </w:rPr>
        <w:t>y </w:t>
      </w:r>
      <w:r>
        <w:rPr>
          <w:color w:val="231F20"/>
          <w:spacing w:val="2"/>
        </w:rPr>
        <w:t>participación ciudadana. Con </w:t>
      </w:r>
      <w:r>
        <w:rPr>
          <w:color w:val="231F20"/>
        </w:rPr>
        <w:t>ello el </w:t>
      </w:r>
      <w:r>
        <w:rPr>
          <w:color w:val="231F20"/>
          <w:spacing w:val="2"/>
        </w:rPr>
        <w:t>Estado </w:t>
      </w:r>
      <w:r>
        <w:rPr>
          <w:color w:val="231F20"/>
        </w:rPr>
        <w:t>se ha </w:t>
      </w:r>
      <w:r>
        <w:rPr>
          <w:color w:val="231F20"/>
          <w:spacing w:val="2"/>
        </w:rPr>
        <w:t>vaciado </w:t>
      </w:r>
      <w:r>
        <w:rPr>
          <w:color w:val="231F20"/>
        </w:rPr>
        <w:t>de </w:t>
      </w:r>
      <w:r>
        <w:rPr>
          <w:color w:val="231F20"/>
          <w:spacing w:val="4"/>
        </w:rPr>
        <w:t>con- </w:t>
      </w:r>
      <w:r>
        <w:rPr>
          <w:color w:val="231F20"/>
          <w:spacing w:val="2"/>
        </w:rPr>
        <w:t>tenido público </w:t>
      </w:r>
      <w:r>
        <w:rPr>
          <w:color w:val="231F20"/>
        </w:rPr>
        <w:t>y ha </w:t>
      </w:r>
      <w:r>
        <w:rPr>
          <w:color w:val="231F20"/>
          <w:spacing w:val="2"/>
        </w:rPr>
        <w:t>perdido </w:t>
      </w:r>
      <w:r>
        <w:rPr>
          <w:color w:val="231F20"/>
        </w:rPr>
        <w:t>su </w:t>
      </w:r>
      <w:r>
        <w:rPr>
          <w:color w:val="231F20"/>
          <w:spacing w:val="2"/>
        </w:rPr>
        <w:t>sentido ético, </w:t>
      </w:r>
      <w:r>
        <w:rPr>
          <w:color w:val="231F20"/>
        </w:rPr>
        <w:t>ha </w:t>
      </w:r>
      <w:r>
        <w:rPr>
          <w:color w:val="231F20"/>
          <w:spacing w:val="2"/>
        </w:rPr>
        <w:t>endurecido </w:t>
      </w:r>
      <w:r>
        <w:rPr>
          <w:color w:val="231F20"/>
        </w:rPr>
        <w:t>las </w:t>
      </w:r>
      <w:r>
        <w:rPr>
          <w:color w:val="231F20"/>
          <w:spacing w:val="2"/>
        </w:rPr>
        <w:t>actividades legítimas </w:t>
      </w:r>
      <w:r>
        <w:rPr>
          <w:color w:val="231F20"/>
        </w:rPr>
        <w:t>de la </w:t>
      </w:r>
      <w:r>
        <w:rPr>
          <w:color w:val="231F20"/>
          <w:spacing w:val="2"/>
        </w:rPr>
        <w:t>violencia, </w:t>
      </w:r>
      <w:r>
        <w:rPr>
          <w:color w:val="231F20"/>
          <w:spacing w:val="3"/>
        </w:rPr>
        <w:t>como </w:t>
      </w:r>
      <w:r>
        <w:rPr>
          <w:color w:val="231F20"/>
        </w:rPr>
        <w:t>la </w:t>
      </w:r>
      <w:r>
        <w:rPr>
          <w:color w:val="231F20"/>
          <w:spacing w:val="2"/>
        </w:rPr>
        <w:t>salida del ejército </w:t>
      </w:r>
      <w:r>
        <w:rPr>
          <w:color w:val="231F20"/>
        </w:rPr>
        <w:t>a </w:t>
      </w:r>
      <w:r>
        <w:rPr>
          <w:color w:val="231F20"/>
          <w:spacing w:val="2"/>
        </w:rPr>
        <w:t>patrullar </w:t>
      </w:r>
      <w:r>
        <w:rPr>
          <w:color w:val="231F20"/>
        </w:rPr>
        <w:t>las </w:t>
      </w:r>
      <w:r>
        <w:rPr>
          <w:color w:val="231F20"/>
          <w:spacing w:val="2"/>
        </w:rPr>
        <w:t>calles </w:t>
      </w:r>
      <w:r>
        <w:rPr>
          <w:color w:val="231F20"/>
        </w:rPr>
        <w:t>en </w:t>
      </w:r>
      <w:r>
        <w:rPr>
          <w:color w:val="231F20"/>
          <w:spacing w:val="2"/>
        </w:rPr>
        <w:t>aras </w:t>
      </w:r>
      <w:r>
        <w:rPr>
          <w:color w:val="231F20"/>
        </w:rPr>
        <w:t>de </w:t>
      </w:r>
      <w:r>
        <w:rPr>
          <w:color w:val="231F20"/>
          <w:spacing w:val="2"/>
        </w:rPr>
        <w:t>defender </w:t>
      </w:r>
      <w:r>
        <w:rPr>
          <w:color w:val="231F20"/>
        </w:rPr>
        <w:t>a la </w:t>
      </w:r>
      <w:r>
        <w:rPr>
          <w:color w:val="231F20"/>
          <w:spacing w:val="2"/>
        </w:rPr>
        <w:t>población civil. Esto </w:t>
      </w:r>
      <w:r>
        <w:rPr>
          <w:color w:val="231F20"/>
          <w:spacing w:val="3"/>
        </w:rPr>
        <w:t>es </w:t>
      </w:r>
      <w:r>
        <w:rPr>
          <w:color w:val="231F20"/>
        </w:rPr>
        <w:t>lo </w:t>
      </w:r>
      <w:r>
        <w:rPr>
          <w:color w:val="231F20"/>
          <w:spacing w:val="2"/>
        </w:rPr>
        <w:t>que caracteriza </w:t>
      </w:r>
      <w:r>
        <w:rPr>
          <w:color w:val="231F20"/>
        </w:rPr>
        <w:t>el </w:t>
      </w:r>
      <w:r>
        <w:rPr>
          <w:color w:val="231F20"/>
          <w:spacing w:val="2"/>
        </w:rPr>
        <w:t>proyecto social que </w:t>
      </w:r>
      <w:r>
        <w:rPr>
          <w:color w:val="231F20"/>
        </w:rPr>
        <w:t>no </w:t>
      </w:r>
      <w:r>
        <w:rPr>
          <w:color w:val="231F20"/>
          <w:spacing w:val="3"/>
        </w:rPr>
        <w:t>responde </w:t>
      </w:r>
      <w:r>
        <w:rPr>
          <w:color w:val="231F20"/>
        </w:rPr>
        <w:t>a las </w:t>
      </w:r>
      <w:r>
        <w:rPr>
          <w:color w:val="231F20"/>
          <w:spacing w:val="2"/>
        </w:rPr>
        <w:t>enor- mes necesidades </w:t>
      </w:r>
      <w:r>
        <w:rPr>
          <w:color w:val="231F20"/>
        </w:rPr>
        <w:t>de </w:t>
      </w:r>
      <w:r>
        <w:rPr>
          <w:color w:val="231F20"/>
          <w:spacing w:val="2"/>
        </w:rPr>
        <w:t>subsistencia </w:t>
      </w:r>
      <w:r>
        <w:rPr>
          <w:color w:val="231F20"/>
        </w:rPr>
        <w:t>y de </w:t>
      </w:r>
      <w:r>
        <w:rPr>
          <w:color w:val="231F20"/>
          <w:spacing w:val="2"/>
        </w:rPr>
        <w:t>trabajo </w:t>
      </w:r>
      <w:r>
        <w:rPr>
          <w:color w:val="231F20"/>
        </w:rPr>
        <w:t>de las </w:t>
      </w:r>
      <w:r>
        <w:rPr>
          <w:color w:val="231F20"/>
          <w:spacing w:val="2"/>
        </w:rPr>
        <w:t>mayorías </w:t>
      </w:r>
      <w:r>
        <w:rPr>
          <w:color w:val="231F20"/>
        </w:rPr>
        <w:t>y </w:t>
      </w:r>
      <w:r>
        <w:rPr>
          <w:color w:val="231F20"/>
          <w:spacing w:val="2"/>
        </w:rPr>
        <w:t>que </w:t>
      </w:r>
      <w:r>
        <w:rPr>
          <w:color w:val="231F20"/>
        </w:rPr>
        <w:t>se </w:t>
      </w:r>
      <w:r>
        <w:rPr>
          <w:color w:val="231F20"/>
          <w:spacing w:val="2"/>
        </w:rPr>
        <w:t>debate </w:t>
      </w:r>
      <w:r>
        <w:rPr>
          <w:color w:val="231F20"/>
        </w:rPr>
        <w:t>en </w:t>
      </w:r>
      <w:r>
        <w:rPr>
          <w:color w:val="231F20"/>
          <w:spacing w:val="2"/>
        </w:rPr>
        <w:t>una guerra </w:t>
      </w:r>
      <w:r>
        <w:rPr>
          <w:color w:val="231F20"/>
        </w:rPr>
        <w:t>que no </w:t>
      </w:r>
      <w:r>
        <w:rPr>
          <w:color w:val="231F20"/>
          <w:spacing w:val="2"/>
        </w:rPr>
        <w:t>tiene solución, pues </w:t>
      </w:r>
      <w:r>
        <w:rPr>
          <w:color w:val="231F20"/>
        </w:rPr>
        <w:t>se </w:t>
      </w:r>
      <w:r>
        <w:rPr>
          <w:color w:val="231F20"/>
          <w:spacing w:val="3"/>
        </w:rPr>
        <w:t>encuentra enredado </w:t>
      </w:r>
      <w:r>
        <w:rPr>
          <w:color w:val="231F20"/>
          <w:spacing w:val="2"/>
        </w:rPr>
        <w:t>entre </w:t>
      </w:r>
      <w:r>
        <w:rPr>
          <w:color w:val="231F20"/>
        </w:rPr>
        <w:t>el </w:t>
      </w:r>
      <w:r>
        <w:rPr>
          <w:color w:val="231F20"/>
          <w:spacing w:val="2"/>
        </w:rPr>
        <w:t>proceso </w:t>
      </w:r>
      <w:r>
        <w:rPr>
          <w:color w:val="231F20"/>
        </w:rPr>
        <w:t>de </w:t>
      </w:r>
      <w:r>
        <w:rPr>
          <w:color w:val="231F20"/>
          <w:spacing w:val="3"/>
        </w:rPr>
        <w:t>acumulación </w:t>
      </w:r>
      <w:r>
        <w:rPr>
          <w:color w:val="231F20"/>
        </w:rPr>
        <w:t>y la </w:t>
      </w:r>
      <w:r>
        <w:rPr>
          <w:color w:val="231F20"/>
          <w:spacing w:val="2"/>
        </w:rPr>
        <w:t>lucha por </w:t>
      </w:r>
      <w:r>
        <w:rPr>
          <w:color w:val="231F20"/>
        </w:rPr>
        <w:t>el </w:t>
      </w:r>
      <w:r>
        <w:rPr>
          <w:color w:val="231F20"/>
          <w:spacing w:val="3"/>
        </w:rPr>
        <w:t>poder,</w:t>
      </w:r>
      <w:r>
        <w:rPr>
          <w:color w:val="231F20"/>
          <w:spacing w:val="58"/>
        </w:rPr>
        <w:t> </w:t>
      </w:r>
      <w:r>
        <w:rPr>
          <w:color w:val="231F20"/>
        </w:rPr>
        <w:t>y su</w:t>
      </w:r>
      <w:r>
        <w:rPr>
          <w:color w:val="231F20"/>
          <w:spacing w:val="12"/>
        </w:rPr>
        <w:t> </w:t>
      </w:r>
      <w:r>
        <w:rPr>
          <w:color w:val="231F20"/>
          <w:spacing w:val="3"/>
        </w:rPr>
        <w:t>reproducción.</w:t>
      </w:r>
    </w:p>
    <w:p>
      <w:pPr>
        <w:pStyle w:val="BodyText"/>
        <w:spacing w:before="7"/>
      </w:pPr>
    </w:p>
    <w:p>
      <w:pPr>
        <w:pStyle w:val="BodyText"/>
        <w:spacing w:line="249" w:lineRule="auto"/>
        <w:ind w:left="101" w:right="115" w:firstLine="284"/>
        <w:jc w:val="both"/>
      </w:pPr>
      <w:r>
        <w:rPr>
          <w:color w:val="231F20"/>
        </w:rPr>
        <w:t>De ahí que se puede advertir cómo el Estado utiliza legítima- mente y de manera legal su brazo armado en el combate de los carteles de la droga, y de todos aquellos que ejercen una violencia no legítima y a quienes, ahora, se les tilda de narcotraficantes, sin reparar en el daño a la población, pues se generan errores, actos delictivos y abusos por el ejército y las policías, siendo esto una violencia abierta y generando un clima de terror a todas las perso- nas, y que se reproduce en todos los ámbitos de la  sociedad.</w:t>
      </w:r>
    </w:p>
    <w:p>
      <w:pPr>
        <w:pStyle w:val="BodyText"/>
        <w:spacing w:before="7"/>
      </w:pPr>
    </w:p>
    <w:p>
      <w:pPr>
        <w:spacing w:before="0"/>
        <w:ind w:left="101" w:right="0" w:firstLine="0"/>
        <w:jc w:val="both"/>
        <w:rPr>
          <w:i/>
          <w:sz w:val="21"/>
        </w:rPr>
      </w:pPr>
      <w:r>
        <w:rPr>
          <w:i/>
          <w:color w:val="231F20"/>
          <w:w w:val="85"/>
          <w:sz w:val="21"/>
        </w:rPr>
        <w:t>La condición de la universidad</w:t>
      </w:r>
    </w:p>
    <w:p>
      <w:pPr>
        <w:pStyle w:val="BodyText"/>
        <w:spacing w:before="1"/>
        <w:rPr>
          <w:i/>
        </w:rPr>
      </w:pPr>
    </w:p>
    <w:p>
      <w:pPr>
        <w:pStyle w:val="BodyText"/>
        <w:spacing w:line="244" w:lineRule="auto" w:before="1"/>
        <w:ind w:left="101" w:right="114"/>
        <w:jc w:val="both"/>
      </w:pPr>
      <w:r>
        <w:rPr>
          <w:color w:val="231F20"/>
        </w:rPr>
        <w:t>En estas condiciones materiales y políticas se gesta un círculo vicio- so en la educación: por una parte, la baja escolaridad repercute directamente en los niveles de remuneración salarial y productivi- dad de los trabajadores; y por otra, las valoraciones y bajos prome- dios de calificación reflejan esa baja preparación que poseen los estudiantes; en términos generales, se observa un reflejo patético de la devaluación académica del que han sido objeto muchas institu- ciones de educación superior por la falta de financiamiento. De hecho, los estudiantes siguen siendo el sector más abandonado por las políticas académicas y de calidad de las universidades públicas, incrementando el deterioro personal como resultado de los costos sociales del cambio de la estrategia de acumulación; por ello los cambios en estas instituciones no condujeron de manera mecánica a mejorar el aprendizaje y la formación de los estudiantes, pues las visiones individualistas y competitivas que conllevan como los mo- delos curriculares por competencias, o la idea de que solo logran</w:t>
      </w:r>
    </w:p>
    <w:p>
      <w:pPr>
        <w:spacing w:after="0" w:line="244" w:lineRule="auto"/>
        <w:jc w:val="both"/>
        <w:sectPr>
          <w:headerReference w:type="default" r:id="rId108"/>
          <w:footerReference w:type="default" r:id="rId109"/>
          <w:pgSz w:w="7830" w:h="11910"/>
          <w:pgMar w:header="0" w:footer="424" w:top="500" w:bottom="620" w:left="920" w:right="900"/>
          <w:pgNumType w:start="4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4" w:lineRule="auto"/>
        <w:ind w:left="102" w:right="116"/>
        <w:jc w:val="both"/>
      </w:pPr>
      <w:r>
        <w:rPr>
          <w:color w:val="231F20"/>
        </w:rPr>
        <w:t>ingresar a las universidades los mejores ha sido la ideología </w:t>
      </w:r>
      <w:r>
        <w:rPr>
          <w:color w:val="231F20"/>
          <w:spacing w:val="2"/>
        </w:rPr>
        <w:t>que</w:t>
      </w:r>
      <w:r>
        <w:rPr>
          <w:color w:val="231F20"/>
          <w:spacing w:val="56"/>
        </w:rPr>
        <w:t> </w:t>
      </w:r>
      <w:r>
        <w:rPr>
          <w:color w:val="231F20"/>
        </w:rPr>
        <w:t>prevaleció y defendió la imposición de exámenes de ingreso elabo- rados por instituciones privadas como es el Ceneval.</w:t>
      </w:r>
    </w:p>
    <w:p>
      <w:pPr>
        <w:pStyle w:val="BodyText"/>
        <w:spacing w:line="249" w:lineRule="auto" w:before="18"/>
        <w:ind w:left="102" w:right="115" w:firstLine="284"/>
        <w:jc w:val="both"/>
      </w:pPr>
      <w:r>
        <w:rPr>
          <w:color w:val="231F20"/>
          <w:spacing w:val="2"/>
        </w:rPr>
        <w:t>Así, </w:t>
      </w:r>
      <w:r>
        <w:rPr>
          <w:color w:val="231F20"/>
        </w:rPr>
        <w:t>la </w:t>
      </w:r>
      <w:r>
        <w:rPr>
          <w:color w:val="231F20"/>
          <w:spacing w:val="2"/>
        </w:rPr>
        <w:t>estrategia pública </w:t>
      </w:r>
      <w:r>
        <w:rPr>
          <w:color w:val="231F20"/>
        </w:rPr>
        <w:t>de </w:t>
      </w:r>
      <w:r>
        <w:rPr>
          <w:color w:val="231F20"/>
          <w:spacing w:val="2"/>
        </w:rPr>
        <w:t>cambio dirigido </w:t>
      </w:r>
      <w:r>
        <w:rPr>
          <w:color w:val="231F20"/>
          <w:spacing w:val="3"/>
        </w:rPr>
        <w:t>encontró </w:t>
      </w:r>
      <w:r>
        <w:rPr>
          <w:color w:val="231F20"/>
        </w:rPr>
        <w:t>la </w:t>
      </w:r>
      <w:r>
        <w:rPr>
          <w:color w:val="231F20"/>
          <w:spacing w:val="2"/>
        </w:rPr>
        <w:t>mane- </w:t>
      </w:r>
      <w:r>
        <w:rPr>
          <w:color w:val="231F20"/>
        </w:rPr>
        <w:t>ra de </w:t>
      </w:r>
      <w:r>
        <w:rPr>
          <w:color w:val="231F20"/>
          <w:spacing w:val="2"/>
        </w:rPr>
        <w:t>acceder </w:t>
      </w:r>
      <w:r>
        <w:rPr>
          <w:color w:val="231F20"/>
        </w:rPr>
        <w:t>a un  </w:t>
      </w:r>
      <w:r>
        <w:rPr>
          <w:color w:val="231F20"/>
          <w:spacing w:val="3"/>
        </w:rPr>
        <w:t>mayor control </w:t>
      </w:r>
      <w:r>
        <w:rPr>
          <w:color w:val="231F20"/>
          <w:spacing w:val="2"/>
        </w:rPr>
        <w:t>sobre </w:t>
      </w:r>
      <w:r>
        <w:rPr>
          <w:color w:val="231F20"/>
        </w:rPr>
        <w:t>la  </w:t>
      </w:r>
      <w:r>
        <w:rPr>
          <w:color w:val="231F20"/>
          <w:spacing w:val="2"/>
        </w:rPr>
        <w:t>universidad por </w:t>
      </w:r>
      <w:r>
        <w:rPr>
          <w:color w:val="231F20"/>
        </w:rPr>
        <w:t>la  vía de </w:t>
      </w:r>
      <w:r>
        <w:rPr>
          <w:color w:val="231F20"/>
          <w:spacing w:val="2"/>
        </w:rPr>
        <w:t>desplegar </w:t>
      </w:r>
      <w:r>
        <w:rPr>
          <w:color w:val="231F20"/>
        </w:rPr>
        <w:t>las </w:t>
      </w:r>
      <w:r>
        <w:rPr>
          <w:color w:val="231F20"/>
          <w:spacing w:val="2"/>
        </w:rPr>
        <w:t>potencialidades </w:t>
      </w:r>
      <w:r>
        <w:rPr>
          <w:color w:val="231F20"/>
        </w:rPr>
        <w:t>de la </w:t>
      </w:r>
      <w:r>
        <w:rPr>
          <w:color w:val="231F20"/>
          <w:spacing w:val="2"/>
        </w:rPr>
        <w:t>mercantilización </w:t>
      </w:r>
      <w:r>
        <w:rPr>
          <w:color w:val="231F20"/>
        </w:rPr>
        <w:t>de las </w:t>
      </w:r>
      <w:r>
        <w:rPr>
          <w:color w:val="231F20"/>
          <w:spacing w:val="2"/>
        </w:rPr>
        <w:t>rela- ciones entre </w:t>
      </w:r>
      <w:r>
        <w:rPr>
          <w:color w:val="231F20"/>
        </w:rPr>
        <w:t>el </w:t>
      </w:r>
      <w:r>
        <w:rPr>
          <w:color w:val="231F20"/>
          <w:spacing w:val="2"/>
        </w:rPr>
        <w:t>Estado </w:t>
      </w:r>
      <w:r>
        <w:rPr>
          <w:color w:val="231F20"/>
        </w:rPr>
        <w:t>y las </w:t>
      </w:r>
      <w:r>
        <w:rPr>
          <w:color w:val="231F20"/>
          <w:spacing w:val="2"/>
        </w:rPr>
        <w:t>universidades. Los sistemas </w:t>
      </w:r>
      <w:r>
        <w:rPr>
          <w:color w:val="231F20"/>
        </w:rPr>
        <w:t>de </w:t>
      </w:r>
      <w:r>
        <w:rPr>
          <w:color w:val="231F20"/>
          <w:spacing w:val="2"/>
        </w:rPr>
        <w:t>becas </w:t>
      </w:r>
      <w:r>
        <w:rPr>
          <w:color w:val="231F20"/>
        </w:rPr>
        <w:t>y </w:t>
      </w:r>
      <w:r>
        <w:rPr>
          <w:color w:val="231F20"/>
          <w:spacing w:val="2"/>
        </w:rPr>
        <w:t>estímulos </w:t>
      </w:r>
      <w:r>
        <w:rPr>
          <w:color w:val="231F20"/>
        </w:rPr>
        <w:t>a </w:t>
      </w:r>
      <w:r>
        <w:rPr>
          <w:color w:val="231F20"/>
          <w:spacing w:val="2"/>
        </w:rPr>
        <w:t>los trabajadores </w:t>
      </w:r>
      <w:r>
        <w:rPr>
          <w:color w:val="231F20"/>
          <w:spacing w:val="3"/>
        </w:rPr>
        <w:t>académicos </w:t>
      </w:r>
      <w:r>
        <w:rPr>
          <w:color w:val="231F20"/>
          <w:spacing w:val="2"/>
        </w:rPr>
        <w:t>individuales con </w:t>
      </w:r>
      <w:r>
        <w:rPr>
          <w:color w:val="231F20"/>
          <w:spacing w:val="3"/>
        </w:rPr>
        <w:t>criterios </w:t>
      </w:r>
      <w:r>
        <w:rPr>
          <w:color w:val="231F20"/>
          <w:spacing w:val="2"/>
        </w:rPr>
        <w:t>meritocráticos para obtener </w:t>
      </w:r>
      <w:r>
        <w:rPr>
          <w:color w:val="231F20"/>
        </w:rPr>
        <w:t>una </w:t>
      </w:r>
      <w:r>
        <w:rPr>
          <w:color w:val="231F20"/>
          <w:spacing w:val="2"/>
        </w:rPr>
        <w:t>parte </w:t>
      </w:r>
      <w:r>
        <w:rPr>
          <w:color w:val="231F20"/>
        </w:rPr>
        <w:t>de los </w:t>
      </w:r>
      <w:r>
        <w:rPr>
          <w:color w:val="231F20"/>
          <w:spacing w:val="2"/>
        </w:rPr>
        <w:t>ingresos, </w:t>
      </w:r>
      <w:r>
        <w:rPr>
          <w:color w:val="231F20"/>
        </w:rPr>
        <w:t>y con ello </w:t>
      </w:r>
      <w:r>
        <w:rPr>
          <w:color w:val="231F20"/>
          <w:spacing w:val="2"/>
        </w:rPr>
        <w:t>amortiguar </w:t>
      </w:r>
      <w:r>
        <w:rPr>
          <w:color w:val="231F20"/>
        </w:rPr>
        <w:t>el </w:t>
      </w:r>
      <w:r>
        <w:rPr>
          <w:color w:val="231F20"/>
          <w:spacing w:val="2"/>
        </w:rPr>
        <w:t>descenso del </w:t>
      </w:r>
      <w:r>
        <w:rPr>
          <w:color w:val="231F20"/>
          <w:spacing w:val="3"/>
        </w:rPr>
        <w:t>poder </w:t>
      </w:r>
      <w:r>
        <w:rPr>
          <w:color w:val="231F20"/>
          <w:spacing w:val="2"/>
        </w:rPr>
        <w:t>adquisitivo del salario, fueron las </w:t>
      </w:r>
      <w:r>
        <w:rPr>
          <w:color w:val="231F20"/>
          <w:spacing w:val="3"/>
        </w:rPr>
        <w:t>propuestas </w:t>
      </w:r>
      <w:r>
        <w:rPr>
          <w:color w:val="231F20"/>
          <w:spacing w:val="2"/>
        </w:rPr>
        <w:t>para </w:t>
      </w:r>
      <w:r>
        <w:rPr>
          <w:color w:val="231F20"/>
        </w:rPr>
        <w:t>la </w:t>
      </w:r>
      <w:r>
        <w:rPr>
          <w:color w:val="231F20"/>
          <w:spacing w:val="2"/>
        </w:rPr>
        <w:t>vigilancia </w:t>
      </w:r>
      <w:r>
        <w:rPr>
          <w:color w:val="231F20"/>
        </w:rPr>
        <w:t>de </w:t>
      </w:r>
      <w:r>
        <w:rPr>
          <w:color w:val="231F20"/>
          <w:spacing w:val="2"/>
        </w:rPr>
        <w:t>los sujetos, pero </w:t>
      </w:r>
      <w:r>
        <w:rPr>
          <w:color w:val="231F20"/>
        </w:rPr>
        <w:t>no </w:t>
      </w:r>
      <w:r>
        <w:rPr>
          <w:color w:val="231F20"/>
          <w:spacing w:val="3"/>
        </w:rPr>
        <w:t>solucionaron</w:t>
      </w:r>
      <w:r>
        <w:rPr>
          <w:color w:val="231F20"/>
          <w:spacing w:val="58"/>
        </w:rPr>
        <w:t> </w:t>
      </w:r>
      <w:r>
        <w:rPr>
          <w:color w:val="231F20"/>
        </w:rPr>
        <w:t>el </w:t>
      </w:r>
      <w:r>
        <w:rPr>
          <w:color w:val="231F20"/>
          <w:spacing w:val="3"/>
        </w:rPr>
        <w:t>problema </w:t>
      </w:r>
      <w:r>
        <w:rPr>
          <w:color w:val="231F20"/>
        </w:rPr>
        <w:t>de la </w:t>
      </w:r>
      <w:r>
        <w:rPr>
          <w:color w:val="231F20"/>
          <w:spacing w:val="3"/>
        </w:rPr>
        <w:t>productividad, </w:t>
      </w:r>
      <w:r>
        <w:rPr>
          <w:color w:val="231F20"/>
        </w:rPr>
        <w:t>al </w:t>
      </w:r>
      <w:r>
        <w:rPr>
          <w:color w:val="231F20"/>
          <w:spacing w:val="2"/>
        </w:rPr>
        <w:t>contrario, generaron efectos perversos </w:t>
      </w:r>
      <w:r>
        <w:rPr>
          <w:color w:val="231F20"/>
        </w:rPr>
        <w:t>en el </w:t>
      </w:r>
      <w:r>
        <w:rPr>
          <w:color w:val="231F20"/>
          <w:spacing w:val="2"/>
        </w:rPr>
        <w:t>trabajo</w:t>
      </w:r>
      <w:r>
        <w:rPr>
          <w:color w:val="231F20"/>
          <w:spacing w:val="18"/>
        </w:rPr>
        <w:t> </w:t>
      </w:r>
      <w:r>
        <w:rPr>
          <w:color w:val="231F20"/>
          <w:spacing w:val="2"/>
        </w:rPr>
        <w:t>académico.</w:t>
      </w:r>
    </w:p>
    <w:p>
      <w:pPr>
        <w:pStyle w:val="BodyText"/>
        <w:spacing w:line="247" w:lineRule="auto"/>
        <w:ind w:left="102" w:right="115" w:firstLine="284"/>
        <w:jc w:val="both"/>
      </w:pPr>
      <w:r>
        <w:rPr>
          <w:color w:val="231F20"/>
        </w:rPr>
        <w:t>De ahí que la universidad pública enfrente uno de sus mayores retos. “Muchas de las universidades no han resistido la embestida de la crisis económica y política, y se debaten entre la vida y la muerte; entre la privatización frente a menguados subsidios y mantener su lugar como corporación pública.” (Valdivia, 1987: 176). O, como a últimas fechas, se ha visto que las universidades entran en un proceso de descomposición y venta de sus activida- des para apoyar las campañas políticas, especialmente de los parti- dos mayoritarios, corrompiendo una de sus funciones básicas que es la de generar conocimiento y difundirlo a la población.</w:t>
      </w:r>
    </w:p>
    <w:p>
      <w:pPr>
        <w:pStyle w:val="BodyText"/>
        <w:spacing w:line="249" w:lineRule="auto" w:before="1"/>
        <w:ind w:left="101" w:right="115" w:firstLine="284"/>
        <w:jc w:val="both"/>
      </w:pPr>
      <w:r>
        <w:rPr>
          <w:color w:val="231F20"/>
          <w:spacing w:val="2"/>
        </w:rPr>
        <w:t>Parecería ahora, que </w:t>
      </w:r>
      <w:r>
        <w:rPr>
          <w:color w:val="231F20"/>
        </w:rPr>
        <w:t>la </w:t>
      </w:r>
      <w:r>
        <w:rPr>
          <w:color w:val="231F20"/>
          <w:spacing w:val="3"/>
        </w:rPr>
        <w:t>mayor preocupación </w:t>
      </w:r>
      <w:r>
        <w:rPr>
          <w:color w:val="231F20"/>
        </w:rPr>
        <w:t>es  la  de  </w:t>
      </w:r>
      <w:r>
        <w:rPr>
          <w:color w:val="231F20"/>
          <w:spacing w:val="3"/>
        </w:rPr>
        <w:t>obtener </w:t>
      </w:r>
      <w:r>
        <w:rPr>
          <w:color w:val="231F20"/>
          <w:spacing w:val="2"/>
        </w:rPr>
        <w:t>los diversos </w:t>
      </w:r>
      <w:r>
        <w:rPr>
          <w:color w:val="231F20"/>
          <w:spacing w:val="3"/>
        </w:rPr>
        <w:t>financiamientos, </w:t>
      </w:r>
      <w:r>
        <w:rPr>
          <w:color w:val="231F20"/>
        </w:rPr>
        <w:t>ya </w:t>
      </w:r>
      <w:r>
        <w:rPr>
          <w:color w:val="231F20"/>
          <w:spacing w:val="2"/>
        </w:rPr>
        <w:t>sean los federales, estatales </w:t>
      </w:r>
      <w:r>
        <w:rPr>
          <w:color w:val="231F20"/>
        </w:rPr>
        <w:t>o </w:t>
      </w:r>
      <w:r>
        <w:rPr>
          <w:color w:val="231F20"/>
          <w:spacing w:val="2"/>
        </w:rPr>
        <w:t>los extraordinarios, </w:t>
      </w:r>
      <w:r>
        <w:rPr>
          <w:color w:val="231F20"/>
        </w:rPr>
        <w:t>de tal </w:t>
      </w:r>
      <w:r>
        <w:rPr>
          <w:color w:val="231F20"/>
          <w:spacing w:val="3"/>
        </w:rPr>
        <w:t>manera </w:t>
      </w:r>
      <w:r>
        <w:rPr>
          <w:color w:val="231F20"/>
          <w:spacing w:val="2"/>
        </w:rPr>
        <w:t>que </w:t>
      </w:r>
      <w:r>
        <w:rPr>
          <w:color w:val="231F20"/>
        </w:rPr>
        <w:t>las </w:t>
      </w:r>
      <w:r>
        <w:rPr>
          <w:color w:val="231F20"/>
          <w:spacing w:val="2"/>
        </w:rPr>
        <w:t>instituciones públicas, </w:t>
      </w:r>
      <w:r>
        <w:rPr>
          <w:color w:val="231F20"/>
          <w:spacing w:val="3"/>
        </w:rPr>
        <w:t>como </w:t>
      </w:r>
      <w:r>
        <w:rPr>
          <w:color w:val="231F20"/>
        </w:rPr>
        <w:t>las </w:t>
      </w:r>
      <w:r>
        <w:rPr>
          <w:color w:val="231F20"/>
          <w:spacing w:val="2"/>
        </w:rPr>
        <w:t>universidades, logren sobrevivir. </w:t>
      </w:r>
      <w:r>
        <w:rPr>
          <w:color w:val="231F20"/>
        </w:rPr>
        <w:t>En </w:t>
      </w:r>
      <w:r>
        <w:rPr>
          <w:color w:val="231F20"/>
          <w:spacing w:val="2"/>
        </w:rPr>
        <w:t>estos últimos años </w:t>
      </w:r>
      <w:r>
        <w:rPr>
          <w:color w:val="231F20"/>
        </w:rPr>
        <w:t>de </w:t>
      </w:r>
      <w:r>
        <w:rPr>
          <w:color w:val="231F20"/>
          <w:spacing w:val="2"/>
        </w:rPr>
        <w:t>administración panista </w:t>
      </w:r>
      <w:r>
        <w:rPr>
          <w:color w:val="231F20"/>
        </w:rPr>
        <w:t>se </w:t>
      </w:r>
      <w:r>
        <w:rPr>
          <w:color w:val="231F20"/>
          <w:spacing w:val="2"/>
        </w:rPr>
        <w:t>muestra una situación </w:t>
      </w:r>
      <w:r>
        <w:rPr>
          <w:color w:val="231F20"/>
        </w:rPr>
        <w:t>no </w:t>
      </w:r>
      <w:r>
        <w:rPr>
          <w:color w:val="231F20"/>
          <w:spacing w:val="2"/>
        </w:rPr>
        <w:t>solo </w:t>
      </w:r>
      <w:r>
        <w:rPr>
          <w:color w:val="231F20"/>
        </w:rPr>
        <w:t>de </w:t>
      </w:r>
      <w:r>
        <w:rPr>
          <w:color w:val="231F20"/>
          <w:spacing w:val="3"/>
        </w:rPr>
        <w:t>estan- </w:t>
      </w:r>
      <w:r>
        <w:rPr>
          <w:color w:val="231F20"/>
          <w:spacing w:val="2"/>
        </w:rPr>
        <w:t>camiento financiero, </w:t>
      </w:r>
      <w:r>
        <w:rPr>
          <w:color w:val="231F20"/>
          <w:spacing w:val="3"/>
        </w:rPr>
        <w:t>como </w:t>
      </w:r>
      <w:r>
        <w:rPr>
          <w:color w:val="231F20"/>
        </w:rPr>
        <w:t>en </w:t>
      </w:r>
      <w:r>
        <w:rPr>
          <w:color w:val="231F20"/>
          <w:spacing w:val="2"/>
        </w:rPr>
        <w:t>los </w:t>
      </w:r>
      <w:r>
        <w:rPr>
          <w:color w:val="231F20"/>
          <w:spacing w:val="3"/>
        </w:rPr>
        <w:t>primeros </w:t>
      </w:r>
      <w:r>
        <w:rPr>
          <w:color w:val="231F20"/>
          <w:spacing w:val="2"/>
        </w:rPr>
        <w:t>años </w:t>
      </w:r>
      <w:r>
        <w:rPr>
          <w:color w:val="231F20"/>
        </w:rPr>
        <w:t>del </w:t>
      </w:r>
      <w:r>
        <w:rPr>
          <w:color w:val="231F20"/>
          <w:spacing w:val="2"/>
        </w:rPr>
        <w:t>2000, sino </w:t>
      </w:r>
      <w:r>
        <w:rPr>
          <w:color w:val="231F20"/>
        </w:rPr>
        <w:t>un </w:t>
      </w:r>
      <w:r>
        <w:rPr>
          <w:color w:val="231F20"/>
          <w:spacing w:val="2"/>
        </w:rPr>
        <w:t>retroceso, </w:t>
      </w:r>
      <w:r>
        <w:rPr>
          <w:color w:val="231F20"/>
          <w:spacing w:val="3"/>
        </w:rPr>
        <w:t>especialmente, </w:t>
      </w:r>
      <w:r>
        <w:rPr>
          <w:color w:val="231F20"/>
        </w:rPr>
        <w:t>en </w:t>
      </w:r>
      <w:r>
        <w:rPr>
          <w:color w:val="231F20"/>
          <w:spacing w:val="2"/>
        </w:rPr>
        <w:t>este sexenio. </w:t>
      </w:r>
      <w:r>
        <w:rPr>
          <w:color w:val="231F20"/>
        </w:rPr>
        <w:t>Y </w:t>
      </w:r>
      <w:r>
        <w:rPr>
          <w:color w:val="231F20"/>
          <w:spacing w:val="2"/>
        </w:rPr>
        <w:t>con </w:t>
      </w:r>
      <w:r>
        <w:rPr>
          <w:color w:val="231F20"/>
        </w:rPr>
        <w:t>la </w:t>
      </w:r>
      <w:r>
        <w:rPr>
          <w:color w:val="231F20"/>
          <w:spacing w:val="2"/>
        </w:rPr>
        <w:t>necesidad </w:t>
      </w:r>
      <w:r>
        <w:rPr>
          <w:color w:val="231F20"/>
        </w:rPr>
        <w:t>de </w:t>
      </w:r>
      <w:r>
        <w:rPr>
          <w:color w:val="231F20"/>
          <w:spacing w:val="2"/>
        </w:rPr>
        <w:t>atender una cobertura, virtualmente estancada, cercana </w:t>
      </w:r>
      <w:r>
        <w:rPr>
          <w:color w:val="231F20"/>
        </w:rPr>
        <w:t>al 23% de  la </w:t>
      </w:r>
      <w:r>
        <w:rPr>
          <w:color w:val="231F20"/>
          <w:spacing w:val="2"/>
        </w:rPr>
        <w:t>población </w:t>
      </w:r>
      <w:r>
        <w:rPr>
          <w:color w:val="231F20"/>
        </w:rPr>
        <w:t>en </w:t>
      </w:r>
      <w:r>
        <w:rPr>
          <w:color w:val="231F20"/>
          <w:spacing w:val="2"/>
        </w:rPr>
        <w:t>edad </w:t>
      </w:r>
      <w:r>
        <w:rPr>
          <w:color w:val="231F20"/>
        </w:rPr>
        <w:t>de 19 a 23 </w:t>
      </w:r>
      <w:r>
        <w:rPr>
          <w:color w:val="231F20"/>
          <w:spacing w:val="2"/>
        </w:rPr>
        <w:t>años, </w:t>
      </w:r>
      <w:r>
        <w:rPr>
          <w:color w:val="231F20"/>
          <w:spacing w:val="3"/>
        </w:rPr>
        <w:t>dependiendo </w:t>
      </w:r>
      <w:r>
        <w:rPr>
          <w:color w:val="231F20"/>
          <w:spacing w:val="2"/>
        </w:rPr>
        <w:t>del estado </w:t>
      </w:r>
      <w:r>
        <w:rPr>
          <w:color w:val="231F20"/>
        </w:rPr>
        <w:t>de    la </w:t>
      </w:r>
      <w:r>
        <w:rPr>
          <w:color w:val="231F20"/>
          <w:spacing w:val="2"/>
        </w:rPr>
        <w:t>República </w:t>
      </w:r>
      <w:r>
        <w:rPr>
          <w:color w:val="231F20"/>
        </w:rPr>
        <w:t>de </w:t>
      </w:r>
      <w:r>
        <w:rPr>
          <w:color w:val="231F20"/>
          <w:spacing w:val="2"/>
        </w:rPr>
        <w:t>que </w:t>
      </w:r>
      <w:r>
        <w:rPr>
          <w:color w:val="231F20"/>
        </w:rPr>
        <w:t>se </w:t>
      </w:r>
      <w:r>
        <w:rPr>
          <w:color w:val="231F20"/>
          <w:spacing w:val="2"/>
        </w:rPr>
        <w:t>trate. </w:t>
      </w:r>
      <w:r>
        <w:rPr>
          <w:color w:val="231F20"/>
          <w:spacing w:val="3"/>
        </w:rPr>
        <w:t>(Gil-Antón,</w:t>
      </w:r>
      <w:r>
        <w:rPr>
          <w:color w:val="231F20"/>
          <w:spacing w:val="-3"/>
        </w:rPr>
        <w:t> </w:t>
      </w:r>
      <w:r>
        <w:rPr>
          <w:color w:val="231F20"/>
          <w:spacing w:val="3"/>
        </w:rPr>
        <w:t>2009)</w:t>
      </w:r>
    </w:p>
    <w:p>
      <w:pPr>
        <w:pStyle w:val="BodyText"/>
        <w:spacing w:line="249" w:lineRule="auto"/>
        <w:ind w:left="101" w:right="116" w:firstLine="284"/>
        <w:jc w:val="both"/>
      </w:pPr>
      <w:r>
        <w:rPr>
          <w:color w:val="231F20"/>
          <w:spacing w:val="3"/>
        </w:rPr>
        <w:t>Como podemos </w:t>
      </w:r>
      <w:r>
        <w:rPr>
          <w:color w:val="231F20"/>
          <w:spacing w:val="2"/>
        </w:rPr>
        <w:t>darnos cuenta, </w:t>
      </w:r>
      <w:r>
        <w:rPr>
          <w:color w:val="231F20"/>
        </w:rPr>
        <w:t>la </w:t>
      </w:r>
      <w:r>
        <w:rPr>
          <w:color w:val="231F20"/>
          <w:spacing w:val="2"/>
        </w:rPr>
        <w:t>universidad pública enfrenta una </w:t>
      </w:r>
      <w:r>
        <w:rPr>
          <w:color w:val="231F20"/>
          <w:spacing w:val="3"/>
        </w:rPr>
        <w:t>transformación </w:t>
      </w:r>
      <w:r>
        <w:rPr>
          <w:color w:val="231F20"/>
        </w:rPr>
        <w:t>de su </w:t>
      </w:r>
      <w:r>
        <w:rPr>
          <w:color w:val="231F20"/>
          <w:spacing w:val="2"/>
        </w:rPr>
        <w:t>proyecto </w:t>
      </w:r>
      <w:r>
        <w:rPr>
          <w:color w:val="231F20"/>
        </w:rPr>
        <w:t>de </w:t>
      </w:r>
      <w:r>
        <w:rPr>
          <w:color w:val="231F20"/>
          <w:spacing w:val="2"/>
        </w:rPr>
        <w:t>educación generada desde  </w:t>
      </w:r>
      <w:r>
        <w:rPr>
          <w:color w:val="231F20"/>
        </w:rPr>
        <w:t>las </w:t>
      </w:r>
      <w:r>
        <w:rPr>
          <w:color w:val="231F20"/>
          <w:spacing w:val="3"/>
        </w:rPr>
        <w:t>condiciones </w:t>
      </w:r>
      <w:r>
        <w:rPr>
          <w:color w:val="231F20"/>
        </w:rPr>
        <w:t>de </w:t>
      </w:r>
      <w:r>
        <w:rPr>
          <w:color w:val="231F20"/>
          <w:spacing w:val="2"/>
        </w:rPr>
        <w:t>base, </w:t>
      </w:r>
      <w:r>
        <w:rPr>
          <w:color w:val="231F20"/>
        </w:rPr>
        <w:t>el </w:t>
      </w:r>
      <w:r>
        <w:rPr>
          <w:color w:val="231F20"/>
          <w:spacing w:val="2"/>
        </w:rPr>
        <w:t>proyecto </w:t>
      </w:r>
      <w:r>
        <w:rPr>
          <w:color w:val="231F20"/>
        </w:rPr>
        <w:t>de </w:t>
      </w:r>
      <w:r>
        <w:rPr>
          <w:color w:val="231F20"/>
          <w:spacing w:val="2"/>
        </w:rPr>
        <w:t>sociedad </w:t>
      </w:r>
      <w:r>
        <w:rPr>
          <w:color w:val="231F20"/>
        </w:rPr>
        <w:t>o de </w:t>
      </w:r>
      <w:r>
        <w:rPr>
          <w:color w:val="231F20"/>
          <w:spacing w:val="2"/>
        </w:rPr>
        <w:t>nación que   </w:t>
      </w:r>
      <w:r>
        <w:rPr>
          <w:color w:val="231F20"/>
        </w:rPr>
        <w:t>se </w:t>
      </w:r>
      <w:r>
        <w:rPr>
          <w:color w:val="231F20"/>
          <w:spacing w:val="3"/>
        </w:rPr>
        <w:t>impone </w:t>
      </w:r>
      <w:r>
        <w:rPr>
          <w:color w:val="231F20"/>
          <w:spacing w:val="2"/>
        </w:rPr>
        <w:t>desde principios del </w:t>
      </w:r>
      <w:r>
        <w:rPr>
          <w:color w:val="231F20"/>
        </w:rPr>
        <w:t>siglo </w:t>
      </w:r>
      <w:r>
        <w:rPr>
          <w:color w:val="231F20"/>
          <w:spacing w:val="2"/>
        </w:rPr>
        <w:t>xxi, </w:t>
      </w:r>
      <w:r>
        <w:rPr>
          <w:color w:val="231F20"/>
        </w:rPr>
        <w:t>y se </w:t>
      </w:r>
      <w:r>
        <w:rPr>
          <w:color w:val="231F20"/>
          <w:spacing w:val="2"/>
        </w:rPr>
        <w:t>relaciona con las</w:t>
      </w:r>
      <w:r>
        <w:rPr>
          <w:color w:val="231F20"/>
          <w:spacing w:val="56"/>
        </w:rPr>
        <w:t> </w:t>
      </w:r>
      <w:r>
        <w:rPr>
          <w:color w:val="231F20"/>
          <w:spacing w:val="3"/>
        </w:rPr>
        <w:t>formas </w:t>
      </w:r>
      <w:r>
        <w:rPr>
          <w:color w:val="231F20"/>
        </w:rPr>
        <w:t>de </w:t>
      </w:r>
      <w:r>
        <w:rPr>
          <w:color w:val="231F20"/>
          <w:spacing w:val="2"/>
        </w:rPr>
        <w:t>establecer </w:t>
      </w:r>
      <w:r>
        <w:rPr>
          <w:color w:val="231F20"/>
        </w:rPr>
        <w:t>su </w:t>
      </w:r>
      <w:r>
        <w:rPr>
          <w:color w:val="231F20"/>
          <w:spacing w:val="2"/>
        </w:rPr>
        <w:t>relación con </w:t>
      </w:r>
      <w:r>
        <w:rPr>
          <w:color w:val="231F20"/>
        </w:rPr>
        <w:t>el </w:t>
      </w:r>
      <w:r>
        <w:rPr>
          <w:color w:val="231F20"/>
          <w:spacing w:val="2"/>
        </w:rPr>
        <w:t>Estado, </w:t>
      </w:r>
      <w:r>
        <w:rPr>
          <w:color w:val="231F20"/>
        </w:rPr>
        <w:t>la </w:t>
      </w:r>
      <w:r>
        <w:rPr>
          <w:color w:val="231F20"/>
          <w:spacing w:val="2"/>
        </w:rPr>
        <w:t>privatización </w:t>
      </w:r>
      <w:r>
        <w:rPr>
          <w:color w:val="231F20"/>
        </w:rPr>
        <w:t>o </w:t>
      </w:r>
      <w:r>
        <w:rPr>
          <w:color w:val="231F20"/>
          <w:spacing w:val="2"/>
        </w:rPr>
        <w:t>los </w:t>
      </w:r>
      <w:r>
        <w:rPr>
          <w:color w:val="231F20"/>
          <w:spacing w:val="3"/>
        </w:rPr>
        <w:t>enormes problemas </w:t>
      </w:r>
      <w:r>
        <w:rPr>
          <w:color w:val="231F20"/>
          <w:spacing w:val="2"/>
        </w:rPr>
        <w:t>del financiamiento que, claro está,   </w:t>
      </w:r>
      <w:r>
        <w:rPr>
          <w:color w:val="231F20"/>
          <w:spacing w:val="18"/>
        </w:rPr>
        <w:t> </w:t>
      </w:r>
      <w:r>
        <w:rPr>
          <w:color w:val="231F20"/>
          <w:spacing w:val="2"/>
        </w:rPr>
        <w:t>nadie,</w:t>
      </w:r>
    </w:p>
    <w:p>
      <w:pPr>
        <w:spacing w:after="0" w:line="249" w:lineRule="auto"/>
        <w:jc w:val="both"/>
        <w:sectPr>
          <w:headerReference w:type="default" r:id="rId110"/>
          <w:footerReference w:type="default" r:id="rId111"/>
          <w:pgSz w:w="7830" w:h="11910"/>
          <w:pgMar w:header="0" w:footer="424" w:top="500" w:bottom="620" w:left="920" w:right="900"/>
          <w:pgNumType w:start="4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1" w:right="115"/>
        <w:jc w:val="both"/>
      </w:pPr>
      <w:r>
        <w:rPr>
          <w:color w:val="231F20"/>
        </w:rPr>
        <w:t>ni siquiera los jóvenes del país, levanta la voz para defender lo que implica el derecho a la educación y su gratuidad, nadie pone aten- ción a en dónde van a parar los impuestos de todos los contribu- yentes, es decir, los que pagamos los ciudadanos, que es la base para financiar una educación en igualdad.</w:t>
      </w:r>
    </w:p>
    <w:p>
      <w:pPr>
        <w:pStyle w:val="BodyText"/>
        <w:spacing w:line="249" w:lineRule="auto" w:before="6"/>
        <w:ind w:left="102" w:right="115" w:firstLine="284"/>
        <w:jc w:val="both"/>
      </w:pPr>
      <w:r>
        <w:rPr>
          <w:color w:val="231F20"/>
          <w:spacing w:val="2"/>
        </w:rPr>
        <w:t>Con estas políticas </w:t>
      </w:r>
      <w:r>
        <w:rPr>
          <w:color w:val="231F20"/>
        </w:rPr>
        <w:t>se llega a </w:t>
      </w:r>
      <w:r>
        <w:rPr>
          <w:color w:val="231F20"/>
          <w:spacing w:val="2"/>
        </w:rPr>
        <w:t>una educación superior </w:t>
      </w:r>
      <w:r>
        <w:rPr>
          <w:color w:val="231F20"/>
          <w:spacing w:val="3"/>
        </w:rPr>
        <w:t>profun- damente segmentada, </w:t>
      </w:r>
      <w:r>
        <w:rPr>
          <w:color w:val="231F20"/>
          <w:spacing w:val="2"/>
        </w:rPr>
        <w:t>con </w:t>
      </w:r>
      <w:r>
        <w:rPr>
          <w:color w:val="231F20"/>
          <w:spacing w:val="3"/>
        </w:rPr>
        <w:t>apoyos </w:t>
      </w:r>
      <w:r>
        <w:rPr>
          <w:color w:val="231F20"/>
          <w:spacing w:val="2"/>
        </w:rPr>
        <w:t>diferenciados, incluso </w:t>
      </w:r>
      <w:r>
        <w:rPr>
          <w:color w:val="231F20"/>
        </w:rPr>
        <w:t>al </w:t>
      </w:r>
      <w:r>
        <w:rPr>
          <w:color w:val="231F20"/>
          <w:spacing w:val="3"/>
        </w:rPr>
        <w:t>interior </w:t>
      </w:r>
      <w:r>
        <w:rPr>
          <w:color w:val="231F20"/>
        </w:rPr>
        <w:t>de las </w:t>
      </w:r>
      <w:r>
        <w:rPr>
          <w:color w:val="231F20"/>
          <w:spacing w:val="2"/>
        </w:rPr>
        <w:t>instituciones </w:t>
      </w:r>
      <w:r>
        <w:rPr>
          <w:color w:val="231F20"/>
        </w:rPr>
        <w:t>a </w:t>
      </w:r>
      <w:r>
        <w:rPr>
          <w:color w:val="231F20"/>
          <w:spacing w:val="2"/>
        </w:rPr>
        <w:t>costa </w:t>
      </w:r>
      <w:r>
        <w:rPr>
          <w:color w:val="231F20"/>
        </w:rPr>
        <w:t>de las </w:t>
      </w:r>
      <w:r>
        <w:rPr>
          <w:color w:val="231F20"/>
          <w:spacing w:val="2"/>
        </w:rPr>
        <w:t>necesidades sociales </w:t>
      </w:r>
      <w:r>
        <w:rPr>
          <w:color w:val="231F20"/>
        </w:rPr>
        <w:t>de </w:t>
      </w:r>
      <w:r>
        <w:rPr>
          <w:color w:val="231F20"/>
          <w:spacing w:val="3"/>
        </w:rPr>
        <w:t>conoci- </w:t>
      </w:r>
      <w:r>
        <w:rPr>
          <w:color w:val="231F20"/>
          <w:spacing w:val="2"/>
        </w:rPr>
        <w:t>miento </w:t>
      </w:r>
      <w:r>
        <w:rPr>
          <w:color w:val="231F20"/>
        </w:rPr>
        <w:t>y </w:t>
      </w:r>
      <w:r>
        <w:rPr>
          <w:color w:val="231F20"/>
          <w:spacing w:val="2"/>
        </w:rPr>
        <w:t>educación </w:t>
      </w:r>
      <w:r>
        <w:rPr>
          <w:color w:val="231F20"/>
        </w:rPr>
        <w:t>de las </w:t>
      </w:r>
      <w:r>
        <w:rPr>
          <w:color w:val="231F20"/>
          <w:spacing w:val="2"/>
        </w:rPr>
        <w:t>mayorías, </w:t>
      </w:r>
      <w:r>
        <w:rPr>
          <w:color w:val="231F20"/>
        </w:rPr>
        <w:t>con un </w:t>
      </w:r>
      <w:r>
        <w:rPr>
          <w:color w:val="231F20"/>
          <w:spacing w:val="2"/>
        </w:rPr>
        <w:t>régimen </w:t>
      </w:r>
      <w:r>
        <w:rPr>
          <w:color w:val="231F20"/>
          <w:spacing w:val="3"/>
        </w:rPr>
        <w:t>laboral </w:t>
      </w:r>
      <w:r>
        <w:rPr>
          <w:color w:val="231F20"/>
        </w:rPr>
        <w:t>que </w:t>
      </w:r>
      <w:r>
        <w:rPr>
          <w:color w:val="231F20"/>
          <w:spacing w:val="2"/>
        </w:rPr>
        <w:t>deteriora los </w:t>
      </w:r>
      <w:r>
        <w:rPr>
          <w:color w:val="231F20"/>
          <w:spacing w:val="3"/>
        </w:rPr>
        <w:t>derechos </w:t>
      </w:r>
      <w:r>
        <w:rPr>
          <w:color w:val="231F20"/>
        </w:rPr>
        <w:t>de </w:t>
      </w:r>
      <w:r>
        <w:rPr>
          <w:color w:val="231F20"/>
          <w:spacing w:val="2"/>
        </w:rPr>
        <w:t>participación </w:t>
      </w:r>
      <w:r>
        <w:rPr>
          <w:color w:val="231F20"/>
        </w:rPr>
        <w:t>en la </w:t>
      </w:r>
      <w:r>
        <w:rPr>
          <w:color w:val="231F20"/>
          <w:spacing w:val="3"/>
        </w:rPr>
        <w:t>determinación </w:t>
      </w:r>
      <w:r>
        <w:rPr>
          <w:color w:val="231F20"/>
        </w:rPr>
        <w:t>de las </w:t>
      </w:r>
      <w:r>
        <w:rPr>
          <w:color w:val="231F20"/>
          <w:spacing w:val="3"/>
        </w:rPr>
        <w:t>condiciones </w:t>
      </w:r>
      <w:r>
        <w:rPr>
          <w:color w:val="231F20"/>
        </w:rPr>
        <w:t>de </w:t>
      </w:r>
      <w:r>
        <w:rPr>
          <w:color w:val="231F20"/>
          <w:spacing w:val="2"/>
        </w:rPr>
        <w:t>trabajo del académico </w:t>
      </w:r>
      <w:r>
        <w:rPr>
          <w:color w:val="231F20"/>
        </w:rPr>
        <w:t>y </w:t>
      </w:r>
      <w:r>
        <w:rPr>
          <w:color w:val="231F20"/>
          <w:spacing w:val="2"/>
        </w:rPr>
        <w:t>los convierte </w:t>
      </w:r>
      <w:r>
        <w:rPr>
          <w:color w:val="231F20"/>
        </w:rPr>
        <w:t>en </w:t>
      </w:r>
      <w:r>
        <w:rPr>
          <w:color w:val="231F20"/>
          <w:spacing w:val="3"/>
        </w:rPr>
        <w:t>emplea- </w:t>
      </w:r>
      <w:r>
        <w:rPr>
          <w:color w:val="231F20"/>
          <w:spacing w:val="2"/>
        </w:rPr>
        <w:t>dos </w:t>
      </w:r>
      <w:r>
        <w:rPr>
          <w:color w:val="231F20"/>
        </w:rPr>
        <w:t>sin </w:t>
      </w:r>
      <w:r>
        <w:rPr>
          <w:color w:val="231F20"/>
          <w:spacing w:val="3"/>
        </w:rPr>
        <w:t>protección. Asimismo, </w:t>
      </w:r>
      <w:r>
        <w:rPr>
          <w:color w:val="231F20"/>
        </w:rPr>
        <w:t>se </w:t>
      </w:r>
      <w:r>
        <w:rPr>
          <w:color w:val="231F20"/>
          <w:spacing w:val="2"/>
        </w:rPr>
        <w:t>consolida </w:t>
      </w:r>
      <w:r>
        <w:rPr>
          <w:color w:val="231F20"/>
        </w:rPr>
        <w:t>la </w:t>
      </w:r>
      <w:r>
        <w:rPr>
          <w:color w:val="231F20"/>
          <w:spacing w:val="3"/>
        </w:rPr>
        <w:t>conducción </w:t>
      </w:r>
      <w:r>
        <w:rPr>
          <w:color w:val="231F20"/>
        </w:rPr>
        <w:t>de la </w:t>
      </w:r>
      <w:r>
        <w:rPr>
          <w:color w:val="231F20"/>
          <w:spacing w:val="2"/>
        </w:rPr>
        <w:t>universidad </w:t>
      </w:r>
      <w:r>
        <w:rPr>
          <w:color w:val="231F20"/>
        </w:rPr>
        <w:t>en </w:t>
      </w:r>
      <w:r>
        <w:rPr>
          <w:color w:val="231F20"/>
          <w:spacing w:val="3"/>
        </w:rPr>
        <w:t>manos </w:t>
      </w:r>
      <w:r>
        <w:rPr>
          <w:color w:val="231F20"/>
        </w:rPr>
        <w:t>de un </w:t>
      </w:r>
      <w:r>
        <w:rPr>
          <w:color w:val="231F20"/>
          <w:spacing w:val="2"/>
        </w:rPr>
        <w:t>reducido grupo </w:t>
      </w:r>
      <w:r>
        <w:rPr>
          <w:color w:val="231F20"/>
        </w:rPr>
        <w:t>de </w:t>
      </w:r>
      <w:r>
        <w:rPr>
          <w:color w:val="231F20"/>
          <w:spacing w:val="3"/>
        </w:rPr>
        <w:t>funcionarios </w:t>
      </w:r>
      <w:r>
        <w:rPr>
          <w:color w:val="231F20"/>
          <w:spacing w:val="2"/>
        </w:rPr>
        <w:t>tec- nócratas, pues </w:t>
      </w:r>
      <w:r>
        <w:rPr>
          <w:color w:val="231F20"/>
        </w:rPr>
        <w:t>la </w:t>
      </w:r>
      <w:r>
        <w:rPr>
          <w:color w:val="231F20"/>
          <w:spacing w:val="2"/>
        </w:rPr>
        <w:t>diversificación </w:t>
      </w:r>
      <w:r>
        <w:rPr>
          <w:color w:val="231F20"/>
        </w:rPr>
        <w:t>de las </w:t>
      </w:r>
      <w:r>
        <w:rPr>
          <w:color w:val="231F20"/>
          <w:spacing w:val="2"/>
        </w:rPr>
        <w:t>bolsas </w:t>
      </w:r>
      <w:r>
        <w:rPr>
          <w:color w:val="231F20"/>
        </w:rPr>
        <w:t>de </w:t>
      </w:r>
      <w:r>
        <w:rPr>
          <w:color w:val="231F20"/>
          <w:spacing w:val="2"/>
        </w:rPr>
        <w:t>financiamiento federal </w:t>
      </w:r>
      <w:r>
        <w:rPr>
          <w:color w:val="231F20"/>
        </w:rPr>
        <w:t>ha </w:t>
      </w:r>
      <w:r>
        <w:rPr>
          <w:color w:val="231F20"/>
          <w:spacing w:val="2"/>
        </w:rPr>
        <w:t>robustecido una burocracia </w:t>
      </w:r>
      <w:r>
        <w:rPr>
          <w:color w:val="231F20"/>
          <w:spacing w:val="3"/>
        </w:rPr>
        <w:t>profesional </w:t>
      </w:r>
      <w:r>
        <w:rPr>
          <w:color w:val="231F20"/>
          <w:spacing w:val="2"/>
        </w:rPr>
        <w:t>dedicada </w:t>
      </w:r>
      <w:r>
        <w:rPr>
          <w:color w:val="231F20"/>
        </w:rPr>
        <w:t>a la </w:t>
      </w:r>
      <w:r>
        <w:rPr>
          <w:color w:val="231F20"/>
          <w:spacing w:val="2"/>
        </w:rPr>
        <w:t>gestión (Acosta, 2009: 37), que </w:t>
      </w:r>
      <w:r>
        <w:rPr>
          <w:color w:val="231F20"/>
          <w:spacing w:val="3"/>
        </w:rPr>
        <w:t>asume </w:t>
      </w:r>
      <w:r>
        <w:rPr>
          <w:color w:val="231F20"/>
        </w:rPr>
        <w:t>y </w:t>
      </w:r>
      <w:r>
        <w:rPr>
          <w:color w:val="231F20"/>
          <w:spacing w:val="2"/>
        </w:rPr>
        <w:t>traspasa acríticamente una política pública para </w:t>
      </w:r>
      <w:r>
        <w:rPr>
          <w:color w:val="231F20"/>
        </w:rPr>
        <w:t>la </w:t>
      </w:r>
      <w:r>
        <w:rPr>
          <w:color w:val="231F20"/>
          <w:spacing w:val="2"/>
        </w:rPr>
        <w:t>educación superior privatista, con </w:t>
      </w:r>
      <w:r>
        <w:rPr>
          <w:color w:val="231F20"/>
          <w:spacing w:val="3"/>
        </w:rPr>
        <w:t>funda- </w:t>
      </w:r>
      <w:r>
        <w:rPr>
          <w:color w:val="231F20"/>
          <w:spacing w:val="2"/>
        </w:rPr>
        <w:t>mento </w:t>
      </w:r>
      <w:r>
        <w:rPr>
          <w:color w:val="231F20"/>
        </w:rPr>
        <w:t>en una idea de </w:t>
      </w:r>
      <w:r>
        <w:rPr>
          <w:color w:val="231F20"/>
          <w:spacing w:val="2"/>
        </w:rPr>
        <w:t>competencia global, pero </w:t>
      </w:r>
      <w:r>
        <w:rPr>
          <w:color w:val="231F20"/>
        </w:rPr>
        <w:t>en  </w:t>
      </w:r>
      <w:r>
        <w:rPr>
          <w:color w:val="231F20"/>
          <w:spacing w:val="2"/>
        </w:rPr>
        <w:t>desventaja desde </w:t>
      </w:r>
      <w:r>
        <w:rPr>
          <w:color w:val="231F20"/>
        </w:rPr>
        <w:t>su </w:t>
      </w:r>
      <w:r>
        <w:rPr>
          <w:color w:val="231F20"/>
          <w:spacing w:val="2"/>
        </w:rPr>
        <w:t>origen, </w:t>
      </w:r>
      <w:r>
        <w:rPr>
          <w:color w:val="231F20"/>
        </w:rPr>
        <w:t>y </w:t>
      </w:r>
      <w:r>
        <w:rPr>
          <w:color w:val="231F20"/>
          <w:spacing w:val="2"/>
        </w:rPr>
        <w:t>que </w:t>
      </w:r>
      <w:r>
        <w:rPr>
          <w:color w:val="231F20"/>
        </w:rPr>
        <w:t>al </w:t>
      </w:r>
      <w:r>
        <w:rPr>
          <w:color w:val="231F20"/>
          <w:spacing w:val="2"/>
        </w:rPr>
        <w:t>interior </w:t>
      </w:r>
      <w:r>
        <w:rPr>
          <w:color w:val="231F20"/>
        </w:rPr>
        <w:t>de las </w:t>
      </w:r>
      <w:r>
        <w:rPr>
          <w:color w:val="231F20"/>
          <w:spacing w:val="2"/>
        </w:rPr>
        <w:t>relaciones entre sus </w:t>
      </w:r>
      <w:r>
        <w:rPr>
          <w:color w:val="231F20"/>
          <w:spacing w:val="3"/>
        </w:rPr>
        <w:t>pro- </w:t>
      </w:r>
      <w:r>
        <w:rPr>
          <w:color w:val="231F20"/>
          <w:spacing w:val="2"/>
        </w:rPr>
        <w:t>pios sujetos </w:t>
      </w:r>
      <w:r>
        <w:rPr>
          <w:color w:val="231F20"/>
        </w:rPr>
        <w:t>se </w:t>
      </w:r>
      <w:r>
        <w:rPr>
          <w:color w:val="231F20"/>
          <w:spacing w:val="2"/>
        </w:rPr>
        <w:t>expresa </w:t>
      </w:r>
      <w:r>
        <w:rPr>
          <w:color w:val="231F20"/>
        </w:rPr>
        <w:t>de </w:t>
      </w:r>
      <w:r>
        <w:rPr>
          <w:color w:val="231F20"/>
          <w:spacing w:val="3"/>
        </w:rPr>
        <w:t>manera</w:t>
      </w:r>
      <w:r>
        <w:rPr>
          <w:color w:val="231F20"/>
          <w:spacing w:val="5"/>
        </w:rPr>
        <w:t> </w:t>
      </w:r>
      <w:r>
        <w:rPr>
          <w:color w:val="231F20"/>
          <w:spacing w:val="3"/>
        </w:rPr>
        <w:t>violenta.</w:t>
      </w:r>
    </w:p>
    <w:p>
      <w:pPr>
        <w:pStyle w:val="BodyText"/>
        <w:spacing w:line="249" w:lineRule="auto"/>
        <w:ind w:left="102" w:right="115" w:firstLine="284"/>
        <w:jc w:val="both"/>
      </w:pPr>
      <w:r>
        <w:rPr>
          <w:color w:val="231F20"/>
        </w:rPr>
        <w:t>Ya en </w:t>
      </w:r>
      <w:r>
        <w:rPr>
          <w:color w:val="231F20"/>
          <w:spacing w:val="2"/>
        </w:rPr>
        <w:t>los </w:t>
      </w:r>
      <w:r>
        <w:rPr>
          <w:color w:val="231F20"/>
          <w:spacing w:val="3"/>
        </w:rPr>
        <w:t>ámbitos </w:t>
      </w:r>
      <w:r>
        <w:rPr>
          <w:color w:val="231F20"/>
          <w:spacing w:val="2"/>
        </w:rPr>
        <w:t>universitarios, existe </w:t>
      </w:r>
      <w:r>
        <w:rPr>
          <w:color w:val="231F20"/>
        </w:rPr>
        <w:t>un </w:t>
      </w:r>
      <w:r>
        <w:rPr>
          <w:color w:val="231F20"/>
          <w:spacing w:val="2"/>
        </w:rPr>
        <w:t>malestar </w:t>
      </w:r>
      <w:r>
        <w:rPr>
          <w:color w:val="231F20"/>
        </w:rPr>
        <w:t>que no se </w:t>
      </w:r>
      <w:r>
        <w:rPr>
          <w:color w:val="231F20"/>
          <w:spacing w:val="2"/>
        </w:rPr>
        <w:t>palia con estímulos </w:t>
      </w:r>
      <w:r>
        <w:rPr>
          <w:color w:val="231F20"/>
        </w:rPr>
        <w:t>o </w:t>
      </w:r>
      <w:r>
        <w:rPr>
          <w:color w:val="231F20"/>
          <w:spacing w:val="2"/>
        </w:rPr>
        <w:t>clientelismos que generan </w:t>
      </w:r>
      <w:r>
        <w:rPr>
          <w:color w:val="231F20"/>
        </w:rPr>
        <w:t>un </w:t>
      </w:r>
      <w:r>
        <w:rPr>
          <w:color w:val="231F20"/>
          <w:spacing w:val="2"/>
        </w:rPr>
        <w:t>tipo </w:t>
      </w:r>
      <w:r>
        <w:rPr>
          <w:color w:val="231F20"/>
        </w:rPr>
        <w:t>de  </w:t>
      </w:r>
      <w:r>
        <w:rPr>
          <w:color w:val="231F20"/>
          <w:spacing w:val="2"/>
        </w:rPr>
        <w:t>violencia particular, </w:t>
      </w:r>
      <w:r>
        <w:rPr>
          <w:color w:val="231F20"/>
        </w:rPr>
        <w:t>al </w:t>
      </w:r>
      <w:r>
        <w:rPr>
          <w:color w:val="231F20"/>
          <w:spacing w:val="2"/>
        </w:rPr>
        <w:t>contrario, toda </w:t>
      </w:r>
      <w:r>
        <w:rPr>
          <w:color w:val="231F20"/>
        </w:rPr>
        <w:t>la </w:t>
      </w:r>
      <w:r>
        <w:rPr>
          <w:color w:val="231F20"/>
          <w:spacing w:val="3"/>
        </w:rPr>
        <w:t>intervención </w:t>
      </w:r>
      <w:r>
        <w:rPr>
          <w:color w:val="231F20"/>
        </w:rPr>
        <w:t>de las </w:t>
      </w:r>
      <w:r>
        <w:rPr>
          <w:color w:val="231F20"/>
          <w:spacing w:val="2"/>
        </w:rPr>
        <w:t>políticas públicas, </w:t>
      </w:r>
      <w:r>
        <w:rPr>
          <w:color w:val="231F20"/>
        </w:rPr>
        <w:t>y </w:t>
      </w:r>
      <w:r>
        <w:rPr>
          <w:color w:val="231F20"/>
          <w:spacing w:val="2"/>
        </w:rPr>
        <w:t>todo </w:t>
      </w:r>
      <w:r>
        <w:rPr>
          <w:color w:val="231F20"/>
        </w:rPr>
        <w:t>el </w:t>
      </w:r>
      <w:r>
        <w:rPr>
          <w:color w:val="231F20"/>
          <w:spacing w:val="3"/>
        </w:rPr>
        <w:t>intervencionismo </w:t>
      </w:r>
      <w:r>
        <w:rPr>
          <w:color w:val="231F20"/>
        </w:rPr>
        <w:t>del </w:t>
      </w:r>
      <w:r>
        <w:rPr>
          <w:color w:val="231F20"/>
          <w:spacing w:val="2"/>
        </w:rPr>
        <w:t>Estado, </w:t>
      </w:r>
      <w:r>
        <w:rPr>
          <w:color w:val="231F20"/>
          <w:spacing w:val="4"/>
        </w:rPr>
        <w:t>ha </w:t>
      </w:r>
      <w:r>
        <w:rPr>
          <w:color w:val="231F20"/>
          <w:spacing w:val="3"/>
        </w:rPr>
        <w:t>provocado enormes </w:t>
      </w:r>
      <w:r>
        <w:rPr>
          <w:color w:val="231F20"/>
          <w:spacing w:val="2"/>
        </w:rPr>
        <w:t>tensiones entre </w:t>
      </w:r>
      <w:r>
        <w:rPr>
          <w:color w:val="231F20"/>
        </w:rPr>
        <w:t>las </w:t>
      </w:r>
      <w:r>
        <w:rPr>
          <w:color w:val="231F20"/>
          <w:spacing w:val="3"/>
        </w:rPr>
        <w:t>comunidades </w:t>
      </w:r>
      <w:r>
        <w:rPr>
          <w:color w:val="231F20"/>
          <w:spacing w:val="2"/>
        </w:rPr>
        <w:t>académicas,   </w:t>
      </w:r>
      <w:r>
        <w:rPr>
          <w:color w:val="231F20"/>
        </w:rPr>
        <w:t>y </w:t>
      </w:r>
      <w:r>
        <w:rPr>
          <w:color w:val="231F20"/>
          <w:spacing w:val="2"/>
        </w:rPr>
        <w:t>esas tensiones tienen que </w:t>
      </w:r>
      <w:r>
        <w:rPr>
          <w:color w:val="231F20"/>
        </w:rPr>
        <w:t>ver </w:t>
      </w:r>
      <w:r>
        <w:rPr>
          <w:color w:val="231F20"/>
          <w:spacing w:val="2"/>
        </w:rPr>
        <w:t>con </w:t>
      </w:r>
      <w:r>
        <w:rPr>
          <w:color w:val="231F20"/>
        </w:rPr>
        <w:t>la </w:t>
      </w:r>
      <w:r>
        <w:rPr>
          <w:color w:val="231F20"/>
          <w:spacing w:val="2"/>
        </w:rPr>
        <w:t>defensa </w:t>
      </w:r>
      <w:r>
        <w:rPr>
          <w:color w:val="231F20"/>
        </w:rPr>
        <w:t>de </w:t>
      </w:r>
      <w:r>
        <w:rPr>
          <w:color w:val="231F20"/>
          <w:spacing w:val="2"/>
        </w:rPr>
        <w:t>los principios </w:t>
      </w:r>
      <w:r>
        <w:rPr>
          <w:color w:val="231F20"/>
        </w:rPr>
        <w:t>de </w:t>
      </w:r>
      <w:r>
        <w:rPr>
          <w:color w:val="231F20"/>
          <w:spacing w:val="2"/>
        </w:rPr>
        <w:t>libertad </w:t>
      </w:r>
      <w:r>
        <w:rPr>
          <w:color w:val="231F20"/>
        </w:rPr>
        <w:t>y </w:t>
      </w:r>
      <w:r>
        <w:rPr>
          <w:color w:val="231F20"/>
          <w:spacing w:val="3"/>
        </w:rPr>
        <w:t>autonomía </w:t>
      </w:r>
      <w:r>
        <w:rPr>
          <w:color w:val="231F20"/>
        </w:rPr>
        <w:t>de </w:t>
      </w:r>
      <w:r>
        <w:rPr>
          <w:color w:val="231F20"/>
          <w:spacing w:val="2"/>
        </w:rPr>
        <w:t>cátedra, </w:t>
      </w:r>
      <w:r>
        <w:rPr>
          <w:color w:val="231F20"/>
        </w:rPr>
        <w:t>y de </w:t>
      </w:r>
      <w:r>
        <w:rPr>
          <w:color w:val="231F20"/>
          <w:spacing w:val="2"/>
        </w:rPr>
        <w:t>investigación </w:t>
      </w:r>
      <w:r>
        <w:rPr>
          <w:color w:val="231F20"/>
        </w:rPr>
        <w:t>en la </w:t>
      </w:r>
      <w:r>
        <w:rPr>
          <w:color w:val="231F20"/>
          <w:spacing w:val="2"/>
        </w:rPr>
        <w:t>universidad. </w:t>
      </w:r>
      <w:r>
        <w:rPr>
          <w:color w:val="231F20"/>
        </w:rPr>
        <w:t>En </w:t>
      </w:r>
      <w:r>
        <w:rPr>
          <w:color w:val="231F20"/>
          <w:spacing w:val="2"/>
        </w:rPr>
        <w:t>algunos casos estas  voces  han  </w:t>
      </w:r>
      <w:r>
        <w:rPr>
          <w:color w:val="231F20"/>
          <w:spacing w:val="3"/>
        </w:rPr>
        <w:t>conformado </w:t>
      </w:r>
      <w:r>
        <w:rPr>
          <w:color w:val="231F20"/>
          <w:spacing w:val="2"/>
        </w:rPr>
        <w:t>críticas </w:t>
      </w:r>
      <w:r>
        <w:rPr>
          <w:color w:val="231F20"/>
        </w:rPr>
        <w:t>a </w:t>
      </w:r>
      <w:r>
        <w:rPr>
          <w:color w:val="231F20"/>
          <w:spacing w:val="3"/>
        </w:rPr>
        <w:t>programas impuestos </w:t>
      </w:r>
      <w:r>
        <w:rPr>
          <w:color w:val="231F20"/>
          <w:spacing w:val="2"/>
        </w:rPr>
        <w:t>para </w:t>
      </w:r>
      <w:r>
        <w:rPr>
          <w:color w:val="231F20"/>
        </w:rPr>
        <w:t>el </w:t>
      </w:r>
      <w:r>
        <w:rPr>
          <w:color w:val="231F20"/>
          <w:spacing w:val="2"/>
        </w:rPr>
        <w:t>trabajo académico </w:t>
      </w:r>
      <w:r>
        <w:rPr>
          <w:color w:val="231F20"/>
        </w:rPr>
        <w:t>y </w:t>
      </w:r>
      <w:r>
        <w:rPr>
          <w:color w:val="231F20"/>
          <w:spacing w:val="2"/>
        </w:rPr>
        <w:t>científico, </w:t>
      </w:r>
      <w:r>
        <w:rPr>
          <w:color w:val="231F20"/>
          <w:spacing w:val="3"/>
        </w:rPr>
        <w:t>como </w:t>
      </w:r>
      <w:r>
        <w:rPr>
          <w:color w:val="231F20"/>
          <w:spacing w:val="2"/>
        </w:rPr>
        <w:t>son los </w:t>
      </w:r>
      <w:r>
        <w:rPr>
          <w:color w:val="231F20"/>
          <w:spacing w:val="3"/>
        </w:rPr>
        <w:t>cuerpos académicos, </w:t>
      </w:r>
      <w:r>
        <w:rPr>
          <w:color w:val="231F20"/>
        </w:rPr>
        <w:t>que se </w:t>
      </w:r>
      <w:r>
        <w:rPr>
          <w:color w:val="231F20"/>
          <w:spacing w:val="3"/>
        </w:rPr>
        <w:t>han segmentado </w:t>
      </w:r>
      <w:r>
        <w:rPr>
          <w:color w:val="231F20"/>
        </w:rPr>
        <w:t>en </w:t>
      </w:r>
      <w:r>
        <w:rPr>
          <w:color w:val="231F20"/>
          <w:spacing w:val="3"/>
        </w:rPr>
        <w:t>términos </w:t>
      </w:r>
      <w:r>
        <w:rPr>
          <w:color w:val="231F20"/>
        </w:rPr>
        <w:t>de </w:t>
      </w:r>
      <w:r>
        <w:rPr>
          <w:color w:val="231F20"/>
          <w:spacing w:val="2"/>
        </w:rPr>
        <w:t>primera, segunda </w:t>
      </w:r>
      <w:r>
        <w:rPr>
          <w:color w:val="231F20"/>
        </w:rPr>
        <w:t>y </w:t>
      </w:r>
      <w:r>
        <w:rPr>
          <w:color w:val="231F20"/>
          <w:spacing w:val="2"/>
        </w:rPr>
        <w:t>tercera </w:t>
      </w:r>
      <w:r>
        <w:rPr>
          <w:color w:val="231F20"/>
          <w:spacing w:val="3"/>
        </w:rPr>
        <w:t>estancia;  </w:t>
      </w:r>
      <w:r>
        <w:rPr>
          <w:color w:val="231F20"/>
        </w:rPr>
        <w:t>las </w:t>
      </w:r>
      <w:r>
        <w:rPr>
          <w:color w:val="231F20"/>
          <w:spacing w:val="3"/>
        </w:rPr>
        <w:t>formas </w:t>
      </w:r>
      <w:r>
        <w:rPr>
          <w:color w:val="231F20"/>
        </w:rPr>
        <w:t>de </w:t>
      </w:r>
      <w:r>
        <w:rPr>
          <w:color w:val="231F20"/>
          <w:spacing w:val="2"/>
        </w:rPr>
        <w:t>evaluación del sistema nacional </w:t>
      </w:r>
      <w:r>
        <w:rPr>
          <w:color w:val="231F20"/>
        </w:rPr>
        <w:t>de </w:t>
      </w:r>
      <w:r>
        <w:rPr>
          <w:color w:val="231F20"/>
          <w:spacing w:val="2"/>
        </w:rPr>
        <w:t>investigadores terminan por consolidar </w:t>
      </w:r>
      <w:r>
        <w:rPr>
          <w:color w:val="231F20"/>
        </w:rPr>
        <w:t>un </w:t>
      </w:r>
      <w:r>
        <w:rPr>
          <w:color w:val="231F20"/>
          <w:spacing w:val="2"/>
        </w:rPr>
        <w:t>tipo </w:t>
      </w:r>
      <w:r>
        <w:rPr>
          <w:color w:val="231F20"/>
        </w:rPr>
        <w:t>de </w:t>
      </w:r>
      <w:r>
        <w:rPr>
          <w:color w:val="231F20"/>
          <w:spacing w:val="2"/>
        </w:rPr>
        <w:t>clientelismo intelectual </w:t>
      </w:r>
      <w:r>
        <w:rPr>
          <w:color w:val="231F20"/>
        </w:rPr>
        <w:t>y  que  va </w:t>
      </w:r>
      <w:r>
        <w:rPr>
          <w:color w:val="231F20"/>
          <w:spacing w:val="3"/>
        </w:rPr>
        <w:t>encaminado </w:t>
      </w:r>
      <w:r>
        <w:rPr>
          <w:color w:val="231F20"/>
        </w:rPr>
        <w:t>a </w:t>
      </w:r>
      <w:r>
        <w:rPr>
          <w:color w:val="231F20"/>
          <w:spacing w:val="2"/>
        </w:rPr>
        <w:t>fortalecer </w:t>
      </w:r>
      <w:r>
        <w:rPr>
          <w:color w:val="231F20"/>
        </w:rPr>
        <w:t>las </w:t>
      </w:r>
      <w:r>
        <w:rPr>
          <w:color w:val="231F20"/>
          <w:spacing w:val="2"/>
        </w:rPr>
        <w:t>ciencias duras </w:t>
      </w:r>
      <w:r>
        <w:rPr>
          <w:color w:val="231F20"/>
        </w:rPr>
        <w:t>y las </w:t>
      </w:r>
      <w:r>
        <w:rPr>
          <w:color w:val="231F20"/>
          <w:spacing w:val="2"/>
        </w:rPr>
        <w:t>tecnologías; los </w:t>
      </w:r>
      <w:r>
        <w:rPr>
          <w:color w:val="231F20"/>
        </w:rPr>
        <w:t>que </w:t>
      </w:r>
      <w:r>
        <w:rPr>
          <w:color w:val="231F20"/>
          <w:spacing w:val="2"/>
        </w:rPr>
        <w:t>hacen crítica </w:t>
      </w:r>
      <w:r>
        <w:rPr>
          <w:color w:val="231F20"/>
        </w:rPr>
        <w:t>al </w:t>
      </w:r>
      <w:r>
        <w:rPr>
          <w:color w:val="231F20"/>
          <w:spacing w:val="2"/>
        </w:rPr>
        <w:t>respecto </w:t>
      </w:r>
      <w:r>
        <w:rPr>
          <w:color w:val="231F20"/>
        </w:rPr>
        <w:t>no </w:t>
      </w:r>
      <w:r>
        <w:rPr>
          <w:color w:val="231F20"/>
          <w:spacing w:val="2"/>
        </w:rPr>
        <w:t>son voceros </w:t>
      </w:r>
      <w:r>
        <w:rPr>
          <w:color w:val="231F20"/>
        </w:rPr>
        <w:t>de un </w:t>
      </w:r>
      <w:r>
        <w:rPr>
          <w:color w:val="231F20"/>
          <w:spacing w:val="2"/>
        </w:rPr>
        <w:t>proyecto </w:t>
      </w:r>
      <w:r>
        <w:rPr>
          <w:color w:val="231F20"/>
        </w:rPr>
        <w:t>de </w:t>
      </w:r>
      <w:r>
        <w:rPr>
          <w:color w:val="231F20"/>
          <w:spacing w:val="2"/>
        </w:rPr>
        <w:t>persecución, </w:t>
      </w:r>
      <w:r>
        <w:rPr>
          <w:color w:val="231F20"/>
        </w:rPr>
        <w:t>o de la </w:t>
      </w:r>
      <w:r>
        <w:rPr>
          <w:color w:val="231F20"/>
          <w:spacing w:val="2"/>
        </w:rPr>
        <w:t>teoría </w:t>
      </w:r>
      <w:r>
        <w:rPr>
          <w:color w:val="231F20"/>
        </w:rPr>
        <w:t>de la </w:t>
      </w:r>
      <w:r>
        <w:rPr>
          <w:color w:val="231F20"/>
          <w:spacing w:val="2"/>
        </w:rPr>
        <w:t>conspiración </w:t>
      </w:r>
      <w:r>
        <w:rPr>
          <w:color w:val="231F20"/>
        </w:rPr>
        <w:t>ni </w:t>
      </w:r>
      <w:r>
        <w:rPr>
          <w:color w:val="231F20"/>
          <w:spacing w:val="2"/>
        </w:rPr>
        <w:t>son discursos añejos </w:t>
      </w:r>
      <w:r>
        <w:rPr>
          <w:color w:val="231F20"/>
        </w:rPr>
        <w:t>que </w:t>
      </w:r>
      <w:r>
        <w:rPr>
          <w:color w:val="231F20"/>
          <w:spacing w:val="2"/>
        </w:rPr>
        <w:t>intentan descalificarlos, sino que, con base </w:t>
      </w:r>
      <w:r>
        <w:rPr>
          <w:color w:val="231F20"/>
        </w:rPr>
        <w:t>en </w:t>
      </w:r>
      <w:r>
        <w:rPr>
          <w:color w:val="231F20"/>
          <w:spacing w:val="3"/>
        </w:rPr>
        <w:t>estudios  </w:t>
      </w:r>
      <w:r>
        <w:rPr>
          <w:color w:val="231F20"/>
        </w:rPr>
        <w:t>y </w:t>
      </w:r>
      <w:r>
        <w:rPr>
          <w:color w:val="231F20"/>
          <w:spacing w:val="2"/>
        </w:rPr>
        <w:t>análisis, dan cuenta </w:t>
      </w:r>
      <w:r>
        <w:rPr>
          <w:color w:val="231F20"/>
        </w:rPr>
        <w:t>de </w:t>
      </w:r>
      <w:r>
        <w:rPr>
          <w:color w:val="231F20"/>
          <w:spacing w:val="2"/>
        </w:rPr>
        <w:t>los efectos violentos </w:t>
      </w:r>
      <w:r>
        <w:rPr>
          <w:color w:val="231F20"/>
        </w:rPr>
        <w:t>y </w:t>
      </w:r>
      <w:r>
        <w:rPr>
          <w:color w:val="231F20"/>
          <w:spacing w:val="2"/>
        </w:rPr>
        <w:t>perversos </w:t>
      </w:r>
      <w:r>
        <w:rPr>
          <w:color w:val="231F20"/>
        </w:rPr>
        <w:t>que </w:t>
      </w:r>
      <w:r>
        <w:rPr>
          <w:color w:val="231F20"/>
          <w:spacing w:val="49"/>
        </w:rPr>
        <w:t> </w:t>
      </w:r>
      <w:r>
        <w:rPr>
          <w:color w:val="231F20"/>
          <w:spacing w:val="2"/>
        </w:rPr>
        <w:t>han</w:t>
      </w:r>
    </w:p>
    <w:p>
      <w:pPr>
        <w:spacing w:after="0" w:line="249" w:lineRule="auto"/>
        <w:jc w:val="both"/>
        <w:sectPr>
          <w:headerReference w:type="default" r:id="rId112"/>
          <w:footerReference w:type="default" r:id="rId113"/>
          <w:pgSz w:w="7830" w:h="11910"/>
          <w:pgMar w:header="0" w:footer="424" w:top="500" w:bottom="620" w:left="920" w:right="900"/>
          <w:pgNumType w:start="5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8"/>
        <w:jc w:val="both"/>
      </w:pPr>
      <w:r>
        <w:rPr>
          <w:color w:val="231F20"/>
        </w:rPr>
        <w:t>creado estas políticas públicas al interior de la universidades, pero también en la sociedad en su totalidad.</w:t>
      </w:r>
    </w:p>
    <w:p>
      <w:pPr>
        <w:pStyle w:val="BodyText"/>
        <w:spacing w:before="9"/>
      </w:pPr>
    </w:p>
    <w:p>
      <w:pPr>
        <w:pStyle w:val="BodyText"/>
        <w:spacing w:line="249" w:lineRule="auto"/>
        <w:ind w:left="102" w:right="934"/>
      </w:pPr>
      <w:r>
        <w:rPr>
          <w:color w:val="231F20"/>
          <w:w w:val="105"/>
        </w:rPr>
        <w:t>EL SISTEMA NACIONAL DE INVESTIGADORES, UNA</w:t>
      </w:r>
      <w:r>
        <w:rPr>
          <w:color w:val="231F20"/>
          <w:spacing w:val="-17"/>
          <w:w w:val="105"/>
        </w:rPr>
        <w:t> </w:t>
      </w:r>
      <w:r>
        <w:rPr>
          <w:color w:val="231F20"/>
          <w:w w:val="105"/>
        </w:rPr>
        <w:t>VIOLENCIA</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CIENCIA</w:t>
      </w:r>
      <w:r>
        <w:rPr>
          <w:color w:val="231F20"/>
          <w:spacing w:val="-17"/>
          <w:w w:val="105"/>
        </w:rPr>
        <w:t> </w:t>
      </w:r>
      <w:r>
        <w:rPr>
          <w:color w:val="231F20"/>
          <w:w w:val="105"/>
        </w:rPr>
        <w:t>QUE</w:t>
      </w:r>
      <w:r>
        <w:rPr>
          <w:color w:val="231F20"/>
          <w:spacing w:val="-17"/>
          <w:w w:val="105"/>
        </w:rPr>
        <w:t> </w:t>
      </w:r>
      <w:r>
        <w:rPr>
          <w:color w:val="231F20"/>
          <w:w w:val="105"/>
        </w:rPr>
        <w:t>IMPACTA A LA</w:t>
      </w:r>
      <w:r>
        <w:rPr>
          <w:color w:val="231F20"/>
          <w:spacing w:val="-44"/>
          <w:w w:val="105"/>
        </w:rPr>
        <w:t> </w:t>
      </w:r>
      <w:r>
        <w:rPr>
          <w:color w:val="231F20"/>
          <w:w w:val="105"/>
        </w:rPr>
        <w:t>EDUCACIÓN</w:t>
      </w:r>
    </w:p>
    <w:p>
      <w:pPr>
        <w:pStyle w:val="BodyText"/>
        <w:spacing w:before="4"/>
        <w:rPr>
          <w:sz w:val="20"/>
        </w:rPr>
      </w:pPr>
    </w:p>
    <w:p>
      <w:pPr>
        <w:pStyle w:val="BodyText"/>
        <w:spacing w:line="247" w:lineRule="auto"/>
        <w:ind w:left="102" w:right="112"/>
        <w:jc w:val="both"/>
      </w:pPr>
      <w:r>
        <w:rPr>
          <w:color w:val="231F20"/>
        </w:rPr>
        <w:t>El Sistema Nacional de Investigadores se establece en 1984 por acuerdo presidencial, y en octubre del mismo año lanzó su primera convocatoria con la idea de reconocer a los investigadores en cuan- to a la producción en su trabajo de investigación a la par de estable- cer estímulos económicos de acuerdo a los diversos niveles que el propio sistema establece. Su antecedente se puede ubicar en la reunión de la Academia de la Investigación Científica en 1983, que se ha reformado cinco veces y ha generado diversas críticas.</w:t>
      </w:r>
    </w:p>
    <w:p>
      <w:pPr>
        <w:pStyle w:val="BodyText"/>
        <w:spacing w:line="244" w:lineRule="auto"/>
        <w:ind w:left="102" w:right="115" w:hanging="1"/>
        <w:jc w:val="both"/>
      </w:pPr>
      <w:r>
        <w:rPr>
          <w:color w:val="231F20"/>
        </w:rPr>
        <w:t>De acuerdo a lo que el propio sistema marca, están representadas todas las disciplinas (Área i. Física, Matemáticas, Astronomía y Ciencias de la Tierra.Área ii. Ciencias Biológicas y   Químicas.Área</w:t>
      </w:r>
    </w:p>
    <w:p>
      <w:pPr>
        <w:pStyle w:val="ListParagraph"/>
        <w:numPr>
          <w:ilvl w:val="0"/>
          <w:numId w:val="2"/>
        </w:numPr>
        <w:tabs>
          <w:tab w:pos="368" w:val="left" w:leader="none"/>
        </w:tabs>
        <w:spacing w:line="244" w:lineRule="auto" w:before="3" w:after="0"/>
        <w:ind w:left="102" w:right="114" w:firstLine="0"/>
        <w:jc w:val="both"/>
        <w:rPr>
          <w:sz w:val="21"/>
        </w:rPr>
      </w:pPr>
      <w:r>
        <w:rPr>
          <w:color w:val="231F20"/>
          <w:sz w:val="21"/>
        </w:rPr>
        <w:t>Ciencias de la Salud.Área iv. Ciencias Humanas y de la Conduc- ta.Área v. Ciencias Sociales.Área vi. Ciencias Agropecuarias y Pes- ca.Área vii. Ciencias de la Ingeniería.) y se cubren todas las institu- ciones de educación superior o de investigación ya sean públicas o privadas. Sin embargo, lo que no se indica es que los criterios están homologados, en un reglamento, independientemente de la anti- güedad, fortalezas o debilidades de las instituciones, sin bien las evaluaciones las realizan los pares, casi todos ellos de los niveles ii y iii, en lo general, estos investigadores pertenecen a las instituciones más prestigiosas en términos de sus fortalezas, es decir, el criterio   de evaluación no se establece a partir de la institución de origen,  sino de acuerdo a lo que consideran prestigioso o de calidad como un</w:t>
      </w:r>
      <w:r>
        <w:rPr>
          <w:color w:val="231F20"/>
          <w:spacing w:val="-16"/>
          <w:sz w:val="21"/>
        </w:rPr>
        <w:t> </w:t>
      </w:r>
      <w:r>
        <w:rPr>
          <w:color w:val="231F20"/>
          <w:sz w:val="21"/>
        </w:rPr>
        <w:t>concepto</w:t>
      </w:r>
      <w:r>
        <w:rPr>
          <w:color w:val="231F20"/>
          <w:spacing w:val="-16"/>
          <w:sz w:val="21"/>
        </w:rPr>
        <w:t> </w:t>
      </w:r>
      <w:r>
        <w:rPr>
          <w:rFonts w:ascii="Palatino Linotype" w:hAnsi="Palatino Linotype"/>
          <w:i/>
          <w:color w:val="231F20"/>
          <w:sz w:val="21"/>
        </w:rPr>
        <w:t>a</w:t>
      </w:r>
      <w:r>
        <w:rPr>
          <w:rFonts w:ascii="Palatino Linotype" w:hAnsi="Palatino Linotype"/>
          <w:i/>
          <w:color w:val="231F20"/>
          <w:spacing w:val="-16"/>
          <w:sz w:val="21"/>
        </w:rPr>
        <w:t> </w:t>
      </w:r>
      <w:r>
        <w:rPr>
          <w:rFonts w:ascii="Palatino Linotype" w:hAnsi="Palatino Linotype"/>
          <w:i/>
          <w:color w:val="231F20"/>
          <w:sz w:val="21"/>
        </w:rPr>
        <w:t>priori</w:t>
      </w:r>
      <w:r>
        <w:rPr>
          <w:color w:val="231F20"/>
          <w:sz w:val="21"/>
        </w:rPr>
        <w:t>.</w:t>
      </w:r>
    </w:p>
    <w:p>
      <w:pPr>
        <w:pStyle w:val="BodyText"/>
        <w:spacing w:line="249" w:lineRule="auto"/>
        <w:ind w:left="102" w:right="116" w:firstLine="284"/>
        <w:jc w:val="both"/>
      </w:pPr>
      <w:r>
        <w:rPr>
          <w:color w:val="231F20"/>
        </w:rPr>
        <w:t>En este sentido las críticas realizadas a este sistema se han enca- minado</w:t>
      </w:r>
      <w:r>
        <w:rPr>
          <w:color w:val="231F20"/>
          <w:spacing w:val="-9"/>
        </w:rPr>
        <w:t> </w:t>
      </w:r>
      <w:r>
        <w:rPr>
          <w:color w:val="231F20"/>
        </w:rPr>
        <w:t>a</w:t>
      </w:r>
      <w:r>
        <w:rPr>
          <w:color w:val="231F20"/>
          <w:spacing w:val="-10"/>
        </w:rPr>
        <w:t> </w:t>
      </w:r>
      <w:r>
        <w:rPr>
          <w:color w:val="231F20"/>
        </w:rPr>
        <w:t>indicar:</w:t>
      </w:r>
      <w:r>
        <w:rPr>
          <w:color w:val="231F20"/>
          <w:spacing w:val="-11"/>
        </w:rPr>
        <w:t> </w:t>
      </w:r>
      <w:r>
        <w:rPr>
          <w:color w:val="231F20"/>
        </w:rPr>
        <w:t>primero,</w:t>
      </w:r>
      <w:r>
        <w:rPr>
          <w:color w:val="231F20"/>
          <w:spacing w:val="-11"/>
        </w:rPr>
        <w:t> </w:t>
      </w:r>
      <w:r>
        <w:rPr>
          <w:color w:val="231F20"/>
        </w:rPr>
        <w:t>que</w:t>
      </w:r>
      <w:r>
        <w:rPr>
          <w:color w:val="231F20"/>
          <w:spacing w:val="-9"/>
        </w:rPr>
        <w:t> </w:t>
      </w:r>
      <w:r>
        <w:rPr>
          <w:color w:val="231F20"/>
        </w:rPr>
        <w:t>este</w:t>
      </w:r>
      <w:r>
        <w:rPr>
          <w:color w:val="231F20"/>
          <w:spacing w:val="-10"/>
        </w:rPr>
        <w:t> </w:t>
      </w:r>
      <w:r>
        <w:rPr>
          <w:color w:val="231F20"/>
        </w:rPr>
        <w:t>ha</w:t>
      </w:r>
      <w:r>
        <w:rPr>
          <w:color w:val="231F20"/>
          <w:spacing w:val="-10"/>
        </w:rPr>
        <w:t> </w:t>
      </w:r>
      <w:r>
        <w:rPr>
          <w:color w:val="231F20"/>
        </w:rPr>
        <w:t>establecido</w:t>
      </w:r>
      <w:r>
        <w:rPr>
          <w:color w:val="231F20"/>
          <w:spacing w:val="-9"/>
        </w:rPr>
        <w:t> </w:t>
      </w:r>
      <w:r>
        <w:rPr>
          <w:color w:val="231F20"/>
        </w:rPr>
        <w:t>criterios</w:t>
      </w:r>
      <w:r>
        <w:rPr>
          <w:color w:val="231F20"/>
          <w:spacing w:val="-10"/>
        </w:rPr>
        <w:t> </w:t>
      </w:r>
      <w:r>
        <w:rPr>
          <w:color w:val="231F20"/>
        </w:rPr>
        <w:t>apriorísti- cos de lo que debe ser considerado como investigación científica y producción de la misma, que se convierte en una crítica permanente, con muchos aspectos de verdad; segundo, que favorece el</w:t>
      </w:r>
      <w:r>
        <w:rPr>
          <w:color w:val="231F20"/>
          <w:spacing w:val="-37"/>
        </w:rPr>
        <w:t> </w:t>
      </w:r>
      <w:r>
        <w:rPr>
          <w:color w:val="231F20"/>
        </w:rPr>
        <w:t>clasismo o segmentación entre los investigadores entre sí y los investigadores y los que no son reconocidos, ¿acaso esto no es una violencia para todos aquellos que no logran integrase al sistema?; tercero, que   </w:t>
      </w:r>
      <w:r>
        <w:rPr>
          <w:color w:val="231F20"/>
          <w:spacing w:val="20"/>
        </w:rPr>
        <w:t> </w:t>
      </w:r>
      <w:r>
        <w:rPr>
          <w:color w:val="231F20"/>
        </w:rPr>
        <w:t>no</w:t>
      </w:r>
    </w:p>
    <w:p>
      <w:pPr>
        <w:spacing w:after="0" w:line="249" w:lineRule="auto"/>
        <w:jc w:val="both"/>
        <w:sectPr>
          <w:headerReference w:type="default" r:id="rId114"/>
          <w:footerReference w:type="default" r:id="rId115"/>
          <w:pgSz w:w="7830" w:h="11910"/>
          <w:pgMar w:header="0" w:footer="424" w:top="500" w:bottom="620" w:left="920" w:right="900"/>
          <w:pgNumType w:start="5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21"/>
      </w:pPr>
      <w:r>
        <w:rPr>
          <w:color w:val="231F20"/>
        </w:rPr>
        <w:t>establece distingos en las facilidades accesibles a los investigadores, de acuerdo a sus propias condiciones.</w:t>
      </w:r>
    </w:p>
    <w:p>
      <w:pPr>
        <w:pStyle w:val="BodyText"/>
        <w:spacing w:line="249" w:lineRule="auto" w:before="1"/>
        <w:ind w:left="101" w:right="115" w:firstLine="284"/>
        <w:jc w:val="both"/>
      </w:pPr>
      <w:r>
        <w:rPr>
          <w:color w:val="231F20"/>
        </w:rPr>
        <w:t>Si </w:t>
      </w:r>
      <w:r>
        <w:rPr>
          <w:color w:val="231F20"/>
          <w:spacing w:val="2"/>
        </w:rPr>
        <w:t>bien, </w:t>
      </w:r>
      <w:r>
        <w:rPr>
          <w:color w:val="231F20"/>
        </w:rPr>
        <w:t>su </w:t>
      </w:r>
      <w:r>
        <w:rPr>
          <w:color w:val="231F20"/>
          <w:spacing w:val="2"/>
        </w:rPr>
        <w:t>objetivo </w:t>
      </w:r>
      <w:r>
        <w:rPr>
          <w:color w:val="231F20"/>
        </w:rPr>
        <w:t>es el de </w:t>
      </w:r>
      <w:r>
        <w:rPr>
          <w:color w:val="231F20"/>
          <w:spacing w:val="3"/>
        </w:rPr>
        <w:t>promover </w:t>
      </w:r>
      <w:r>
        <w:rPr>
          <w:color w:val="231F20"/>
        </w:rPr>
        <w:t>y </w:t>
      </w:r>
      <w:r>
        <w:rPr>
          <w:color w:val="231F20"/>
          <w:spacing w:val="2"/>
        </w:rPr>
        <w:t>fortalecer, </w:t>
      </w:r>
      <w:r>
        <w:rPr>
          <w:color w:val="231F20"/>
        </w:rPr>
        <w:t>a </w:t>
      </w:r>
      <w:r>
        <w:rPr>
          <w:color w:val="231F20"/>
          <w:spacing w:val="2"/>
        </w:rPr>
        <w:t>través </w:t>
      </w:r>
      <w:r>
        <w:rPr>
          <w:color w:val="231F20"/>
        </w:rPr>
        <w:t>de   la</w:t>
      </w:r>
      <w:r>
        <w:rPr>
          <w:color w:val="231F20"/>
          <w:spacing w:val="-8"/>
        </w:rPr>
        <w:t> </w:t>
      </w:r>
      <w:r>
        <w:rPr>
          <w:color w:val="231F20"/>
          <w:spacing w:val="2"/>
        </w:rPr>
        <w:t>evaluación,</w:t>
      </w:r>
      <w:r>
        <w:rPr>
          <w:color w:val="231F20"/>
          <w:spacing w:val="-8"/>
        </w:rPr>
        <w:t> </w:t>
      </w:r>
      <w:r>
        <w:rPr>
          <w:color w:val="231F20"/>
        </w:rPr>
        <w:t>la</w:t>
      </w:r>
      <w:r>
        <w:rPr>
          <w:color w:val="231F20"/>
          <w:spacing w:val="-8"/>
        </w:rPr>
        <w:t> </w:t>
      </w:r>
      <w:r>
        <w:rPr>
          <w:color w:val="231F20"/>
          <w:spacing w:val="2"/>
        </w:rPr>
        <w:t>calidad</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spacing w:val="2"/>
        </w:rPr>
        <w:t>investigación</w:t>
      </w:r>
      <w:r>
        <w:rPr>
          <w:color w:val="231F20"/>
          <w:spacing w:val="-7"/>
        </w:rPr>
        <w:t> </w:t>
      </w:r>
      <w:r>
        <w:rPr>
          <w:color w:val="231F20"/>
          <w:spacing w:val="2"/>
        </w:rPr>
        <w:t>científica</w:t>
      </w:r>
      <w:r>
        <w:rPr>
          <w:color w:val="231F20"/>
          <w:spacing w:val="-8"/>
        </w:rPr>
        <w:t> </w:t>
      </w:r>
      <w:r>
        <w:rPr>
          <w:color w:val="231F20"/>
        </w:rPr>
        <w:t>y</w:t>
      </w:r>
      <w:r>
        <w:rPr>
          <w:color w:val="231F20"/>
          <w:spacing w:val="-8"/>
        </w:rPr>
        <w:t> </w:t>
      </w:r>
      <w:r>
        <w:rPr>
          <w:color w:val="231F20"/>
          <w:spacing w:val="2"/>
        </w:rPr>
        <w:t>tecnológica, </w:t>
      </w:r>
      <w:r>
        <w:rPr>
          <w:color w:val="231F20"/>
        </w:rPr>
        <w:t>y la </w:t>
      </w:r>
      <w:r>
        <w:rPr>
          <w:color w:val="231F20"/>
          <w:spacing w:val="2"/>
        </w:rPr>
        <w:t>innovación que </w:t>
      </w:r>
      <w:r>
        <w:rPr>
          <w:color w:val="231F20"/>
        </w:rPr>
        <w:t>se </w:t>
      </w:r>
      <w:r>
        <w:rPr>
          <w:color w:val="231F20"/>
          <w:spacing w:val="3"/>
        </w:rPr>
        <w:t>produce </w:t>
      </w:r>
      <w:r>
        <w:rPr>
          <w:color w:val="231F20"/>
        </w:rPr>
        <w:t>en el </w:t>
      </w:r>
      <w:r>
        <w:rPr>
          <w:color w:val="231F20"/>
          <w:spacing w:val="2"/>
        </w:rPr>
        <w:t>país, </w:t>
      </w:r>
      <w:r>
        <w:rPr>
          <w:color w:val="231F20"/>
        </w:rPr>
        <w:t>el </w:t>
      </w:r>
      <w:r>
        <w:rPr>
          <w:color w:val="231F20"/>
          <w:spacing w:val="2"/>
        </w:rPr>
        <w:t>Sistema </w:t>
      </w:r>
      <w:r>
        <w:rPr>
          <w:color w:val="231F20"/>
        </w:rPr>
        <w:t>no ha </w:t>
      </w:r>
      <w:r>
        <w:rPr>
          <w:color w:val="231F20"/>
          <w:spacing w:val="2"/>
        </w:rPr>
        <w:t>contri- buido </w:t>
      </w:r>
      <w:r>
        <w:rPr>
          <w:color w:val="231F20"/>
        </w:rPr>
        <w:t>a la </w:t>
      </w:r>
      <w:r>
        <w:rPr>
          <w:color w:val="231F20"/>
          <w:spacing w:val="3"/>
        </w:rPr>
        <w:t>formación </w:t>
      </w:r>
      <w:r>
        <w:rPr>
          <w:color w:val="231F20"/>
        </w:rPr>
        <w:t>y </w:t>
      </w:r>
      <w:r>
        <w:rPr>
          <w:color w:val="231F20"/>
          <w:spacing w:val="2"/>
        </w:rPr>
        <w:t>consolidación </w:t>
      </w:r>
      <w:r>
        <w:rPr>
          <w:color w:val="231F20"/>
        </w:rPr>
        <w:t>de </w:t>
      </w:r>
      <w:r>
        <w:rPr>
          <w:color w:val="231F20"/>
          <w:spacing w:val="2"/>
        </w:rPr>
        <w:t>investigadores con </w:t>
      </w:r>
      <w:r>
        <w:rPr>
          <w:color w:val="231F20"/>
          <w:spacing w:val="3"/>
        </w:rPr>
        <w:t>cono- </w:t>
      </w:r>
      <w:r>
        <w:rPr>
          <w:color w:val="231F20"/>
          <w:spacing w:val="2"/>
        </w:rPr>
        <w:t>cimientos científicos </w:t>
      </w:r>
      <w:r>
        <w:rPr>
          <w:color w:val="231F20"/>
        </w:rPr>
        <w:t>y </w:t>
      </w:r>
      <w:r>
        <w:rPr>
          <w:color w:val="231F20"/>
          <w:spacing w:val="2"/>
        </w:rPr>
        <w:t>tecnológicos del más </w:t>
      </w:r>
      <w:r>
        <w:rPr>
          <w:color w:val="231F20"/>
        </w:rPr>
        <w:t>alto </w:t>
      </w:r>
      <w:r>
        <w:rPr>
          <w:color w:val="231F20"/>
          <w:spacing w:val="2"/>
        </w:rPr>
        <w:t>nivel </w:t>
      </w:r>
      <w:r>
        <w:rPr>
          <w:color w:val="231F20"/>
          <w:spacing w:val="3"/>
        </w:rPr>
        <w:t>como </w:t>
      </w:r>
      <w:r>
        <w:rPr>
          <w:color w:val="231F20"/>
        </w:rPr>
        <w:t>un </w:t>
      </w:r>
      <w:r>
        <w:rPr>
          <w:color w:val="231F20"/>
          <w:spacing w:val="2"/>
        </w:rPr>
        <w:t>elemento </w:t>
      </w:r>
      <w:r>
        <w:rPr>
          <w:color w:val="231F20"/>
          <w:spacing w:val="3"/>
        </w:rPr>
        <w:t>fundamental </w:t>
      </w:r>
      <w:r>
        <w:rPr>
          <w:color w:val="231F20"/>
          <w:spacing w:val="2"/>
        </w:rPr>
        <w:t>para </w:t>
      </w:r>
      <w:r>
        <w:rPr>
          <w:color w:val="231F20"/>
          <w:spacing w:val="3"/>
        </w:rPr>
        <w:t>incrementar </w:t>
      </w:r>
      <w:r>
        <w:rPr>
          <w:color w:val="231F20"/>
        </w:rPr>
        <w:t>la </w:t>
      </w:r>
      <w:r>
        <w:rPr>
          <w:color w:val="231F20"/>
          <w:spacing w:val="2"/>
        </w:rPr>
        <w:t>cultura, </w:t>
      </w:r>
      <w:r>
        <w:rPr>
          <w:color w:val="231F20"/>
        </w:rPr>
        <w:t>la </w:t>
      </w:r>
      <w:r>
        <w:rPr>
          <w:color w:val="231F20"/>
          <w:spacing w:val="2"/>
        </w:rPr>
        <w:t>productivi- dad, </w:t>
      </w:r>
      <w:r>
        <w:rPr>
          <w:color w:val="231F20"/>
        </w:rPr>
        <w:t>la </w:t>
      </w:r>
      <w:r>
        <w:rPr>
          <w:color w:val="231F20"/>
          <w:spacing w:val="2"/>
        </w:rPr>
        <w:t>competitividad </w:t>
      </w:r>
      <w:r>
        <w:rPr>
          <w:color w:val="231F20"/>
        </w:rPr>
        <w:t>y el </w:t>
      </w:r>
      <w:r>
        <w:rPr>
          <w:color w:val="231F20"/>
          <w:spacing w:val="2"/>
        </w:rPr>
        <w:t>bienestar social; aparece </w:t>
      </w:r>
      <w:r>
        <w:rPr>
          <w:color w:val="231F20"/>
          <w:spacing w:val="3"/>
        </w:rPr>
        <w:t>como </w:t>
      </w:r>
      <w:r>
        <w:rPr>
          <w:color w:val="231F20"/>
        </w:rPr>
        <w:t>un </w:t>
      </w:r>
      <w:r>
        <w:rPr>
          <w:color w:val="231F20"/>
          <w:spacing w:val="3"/>
        </w:rPr>
        <w:t>dis- </w:t>
      </w:r>
      <w:r>
        <w:rPr>
          <w:color w:val="231F20"/>
          <w:spacing w:val="2"/>
        </w:rPr>
        <w:t>curso que </w:t>
      </w:r>
      <w:r>
        <w:rPr>
          <w:color w:val="231F20"/>
        </w:rPr>
        <w:t>ha </w:t>
      </w:r>
      <w:r>
        <w:rPr>
          <w:color w:val="231F20"/>
          <w:spacing w:val="2"/>
        </w:rPr>
        <w:t>logrado sostenerse por </w:t>
      </w:r>
      <w:r>
        <w:rPr>
          <w:color w:val="231F20"/>
          <w:spacing w:val="3"/>
        </w:rPr>
        <w:t>muchos </w:t>
      </w:r>
      <w:r>
        <w:rPr>
          <w:color w:val="231F20"/>
          <w:spacing w:val="2"/>
        </w:rPr>
        <w:t>años. </w:t>
      </w:r>
      <w:r>
        <w:rPr>
          <w:color w:val="231F20"/>
        </w:rPr>
        <w:t>Sin </w:t>
      </w:r>
      <w:r>
        <w:rPr>
          <w:color w:val="231F20"/>
          <w:spacing w:val="3"/>
        </w:rPr>
        <w:t>embargo, </w:t>
      </w:r>
      <w:r>
        <w:rPr>
          <w:color w:val="231F20"/>
        </w:rPr>
        <w:t>con </w:t>
      </w:r>
      <w:r>
        <w:rPr>
          <w:color w:val="231F20"/>
          <w:spacing w:val="2"/>
        </w:rPr>
        <w:t>base </w:t>
      </w:r>
      <w:r>
        <w:rPr>
          <w:color w:val="231F20"/>
        </w:rPr>
        <w:t>en su </w:t>
      </w:r>
      <w:r>
        <w:rPr>
          <w:color w:val="231F20"/>
          <w:spacing w:val="2"/>
        </w:rPr>
        <w:t>sistema </w:t>
      </w:r>
      <w:r>
        <w:rPr>
          <w:color w:val="231F20"/>
        </w:rPr>
        <w:t>de </w:t>
      </w:r>
      <w:r>
        <w:rPr>
          <w:color w:val="231F20"/>
          <w:spacing w:val="2"/>
        </w:rPr>
        <w:t>evaluación </w:t>
      </w:r>
      <w:r>
        <w:rPr>
          <w:color w:val="231F20"/>
        </w:rPr>
        <w:t>y </w:t>
      </w:r>
      <w:r>
        <w:rPr>
          <w:color w:val="231F20"/>
          <w:spacing w:val="2"/>
        </w:rPr>
        <w:t>certificación </w:t>
      </w:r>
      <w:r>
        <w:rPr>
          <w:color w:val="231F20"/>
        </w:rPr>
        <w:t>de </w:t>
      </w:r>
      <w:r>
        <w:rPr>
          <w:color w:val="231F20"/>
          <w:spacing w:val="2"/>
        </w:rPr>
        <w:t>los investi- gadores individuales, supeditado </w:t>
      </w:r>
      <w:r>
        <w:rPr>
          <w:color w:val="231F20"/>
        </w:rPr>
        <w:t>a </w:t>
      </w:r>
      <w:r>
        <w:rPr>
          <w:color w:val="231F20"/>
          <w:spacing w:val="2"/>
        </w:rPr>
        <w:t>una previa valoración </w:t>
      </w:r>
      <w:r>
        <w:rPr>
          <w:color w:val="231F20"/>
        </w:rPr>
        <w:t>de </w:t>
      </w:r>
      <w:r>
        <w:rPr>
          <w:color w:val="231F20"/>
          <w:spacing w:val="2"/>
        </w:rPr>
        <w:t>los méritos académicos, estos criterios </w:t>
      </w:r>
      <w:r>
        <w:rPr>
          <w:color w:val="231F20"/>
        </w:rPr>
        <w:t>son </w:t>
      </w:r>
      <w:r>
        <w:rPr>
          <w:color w:val="231F20"/>
          <w:spacing w:val="2"/>
        </w:rPr>
        <w:t>difíciles </w:t>
      </w:r>
      <w:r>
        <w:rPr>
          <w:color w:val="231F20"/>
        </w:rPr>
        <w:t>de </w:t>
      </w:r>
      <w:r>
        <w:rPr>
          <w:color w:val="231F20"/>
          <w:spacing w:val="2"/>
        </w:rPr>
        <w:t>alcanzar </w:t>
      </w:r>
      <w:r>
        <w:rPr>
          <w:color w:val="231F20"/>
        </w:rPr>
        <w:t>si la </w:t>
      </w:r>
      <w:r>
        <w:rPr>
          <w:color w:val="231F20"/>
          <w:spacing w:val="2"/>
        </w:rPr>
        <w:t>institución </w:t>
      </w:r>
      <w:r>
        <w:rPr>
          <w:color w:val="231F20"/>
        </w:rPr>
        <w:t>de </w:t>
      </w:r>
      <w:r>
        <w:rPr>
          <w:color w:val="231F20"/>
          <w:spacing w:val="2"/>
        </w:rPr>
        <w:t>origen del investigador </w:t>
      </w:r>
      <w:r>
        <w:rPr>
          <w:color w:val="231F20"/>
        </w:rPr>
        <w:t>no </w:t>
      </w:r>
      <w:r>
        <w:rPr>
          <w:color w:val="231F20"/>
          <w:spacing w:val="2"/>
        </w:rPr>
        <w:t>brinda los </w:t>
      </w:r>
      <w:r>
        <w:rPr>
          <w:color w:val="231F20"/>
          <w:spacing w:val="3"/>
        </w:rPr>
        <w:t>apoyos </w:t>
      </w:r>
      <w:r>
        <w:rPr>
          <w:color w:val="231F20"/>
          <w:spacing w:val="2"/>
        </w:rPr>
        <w:t>nece- sarios para </w:t>
      </w:r>
      <w:r>
        <w:rPr>
          <w:color w:val="231F20"/>
        </w:rPr>
        <w:t>la </w:t>
      </w:r>
      <w:r>
        <w:rPr>
          <w:color w:val="231F20"/>
          <w:spacing w:val="2"/>
        </w:rPr>
        <w:t>publicación </w:t>
      </w:r>
      <w:r>
        <w:rPr>
          <w:color w:val="231F20"/>
        </w:rPr>
        <w:t>de </w:t>
      </w:r>
      <w:r>
        <w:rPr>
          <w:color w:val="231F20"/>
          <w:spacing w:val="2"/>
        </w:rPr>
        <w:t>artículos </w:t>
      </w:r>
      <w:r>
        <w:rPr>
          <w:color w:val="231F20"/>
        </w:rPr>
        <w:t>y</w:t>
      </w:r>
      <w:r>
        <w:rPr>
          <w:color w:val="231F20"/>
          <w:spacing w:val="-18"/>
        </w:rPr>
        <w:t> </w:t>
      </w:r>
      <w:r>
        <w:rPr>
          <w:color w:val="231F20"/>
          <w:spacing w:val="2"/>
        </w:rPr>
        <w:t>libros.</w:t>
      </w:r>
    </w:p>
    <w:p>
      <w:pPr>
        <w:pStyle w:val="BodyText"/>
        <w:spacing w:line="249" w:lineRule="auto"/>
        <w:ind w:left="101" w:right="115" w:firstLine="284"/>
        <w:jc w:val="both"/>
      </w:pPr>
      <w:r>
        <w:rPr>
          <w:color w:val="231F20"/>
        </w:rPr>
        <w:t>Se otorga la categoría de investigador nacional o candidato a investigador a quien se dedica de tiempo completo a esta activi- dad; la distinción conlleva un incentivo económico mensual acor- de con la categoría y el nivel obtenido: candidato a investigador, niveles i, ii y iii e investigador emérito. Las diferencias son sustan- tivas entre cada categoría pues el monto que se recibe en el rango más alto cuadriplica el del más bajo; para los investigadores bene- ficiados el incentivo económico representa otro tanto o más de su salario base, por lo cual se ha convertido en un ingreso indispen- sable y diferenciador.</w:t>
      </w:r>
    </w:p>
    <w:p>
      <w:pPr>
        <w:pStyle w:val="BodyText"/>
        <w:spacing w:line="249" w:lineRule="auto"/>
        <w:ind w:left="101" w:right="115" w:firstLine="284"/>
        <w:jc w:val="both"/>
      </w:pPr>
      <w:r>
        <w:rPr>
          <w:color w:val="231F20"/>
          <w:spacing w:val="2"/>
        </w:rPr>
        <w:t>De acuerdo </w:t>
      </w:r>
      <w:r>
        <w:rPr>
          <w:color w:val="231F20"/>
        </w:rPr>
        <w:t>al </w:t>
      </w:r>
      <w:r>
        <w:rPr>
          <w:color w:val="231F20"/>
          <w:spacing w:val="2"/>
        </w:rPr>
        <w:t>Observatorio Ciudadano </w:t>
      </w:r>
      <w:r>
        <w:rPr>
          <w:color w:val="231F20"/>
        </w:rPr>
        <w:t>de  la  </w:t>
      </w:r>
      <w:r>
        <w:rPr>
          <w:color w:val="231F20"/>
          <w:spacing w:val="3"/>
        </w:rPr>
        <w:t>Educación</w:t>
      </w:r>
      <w:r>
        <w:rPr>
          <w:color w:val="231F20"/>
          <w:spacing w:val="58"/>
        </w:rPr>
        <w:t> </w:t>
      </w:r>
      <w:r>
        <w:rPr>
          <w:color w:val="231F20"/>
          <w:spacing w:val="3"/>
        </w:rPr>
        <w:t>(1999), </w:t>
      </w:r>
      <w:r>
        <w:rPr>
          <w:color w:val="231F20"/>
          <w:spacing w:val="2"/>
        </w:rPr>
        <w:t>uno </w:t>
      </w:r>
      <w:r>
        <w:rPr>
          <w:color w:val="231F20"/>
        </w:rPr>
        <w:t>de </w:t>
      </w:r>
      <w:r>
        <w:rPr>
          <w:color w:val="231F20"/>
          <w:spacing w:val="2"/>
        </w:rPr>
        <w:t>los aspectos </w:t>
      </w:r>
      <w:r>
        <w:rPr>
          <w:color w:val="231F20"/>
        </w:rPr>
        <w:t>que </w:t>
      </w:r>
      <w:r>
        <w:rPr>
          <w:color w:val="231F20"/>
          <w:spacing w:val="2"/>
        </w:rPr>
        <w:t>destaca </w:t>
      </w:r>
      <w:r>
        <w:rPr>
          <w:color w:val="231F20"/>
        </w:rPr>
        <w:t>en la </w:t>
      </w:r>
      <w:r>
        <w:rPr>
          <w:color w:val="231F20"/>
          <w:spacing w:val="2"/>
        </w:rPr>
        <w:t>evolución del Siste- ma </w:t>
      </w:r>
      <w:r>
        <w:rPr>
          <w:color w:val="231F20"/>
        </w:rPr>
        <w:t>es la </w:t>
      </w:r>
      <w:r>
        <w:rPr>
          <w:color w:val="231F20"/>
          <w:spacing w:val="2"/>
        </w:rPr>
        <w:t>escasa movilidad entre sus diferentes categorías </w:t>
      </w:r>
      <w:r>
        <w:rPr>
          <w:color w:val="231F20"/>
        </w:rPr>
        <w:t>y </w:t>
      </w:r>
      <w:r>
        <w:rPr>
          <w:color w:val="231F20"/>
          <w:spacing w:val="2"/>
        </w:rPr>
        <w:t>niveles. </w:t>
      </w:r>
      <w:r>
        <w:rPr>
          <w:color w:val="231F20"/>
        </w:rPr>
        <w:t>Al </w:t>
      </w:r>
      <w:r>
        <w:rPr>
          <w:color w:val="231F20"/>
          <w:spacing w:val="2"/>
        </w:rPr>
        <w:t>inicio </w:t>
      </w:r>
      <w:r>
        <w:rPr>
          <w:color w:val="231F20"/>
        </w:rPr>
        <w:t>15% de sus </w:t>
      </w:r>
      <w:r>
        <w:rPr>
          <w:color w:val="231F20"/>
          <w:spacing w:val="3"/>
        </w:rPr>
        <w:t>miembros </w:t>
      </w:r>
      <w:r>
        <w:rPr>
          <w:color w:val="231F20"/>
          <w:spacing w:val="2"/>
        </w:rPr>
        <w:t>eran candidatos, </w:t>
      </w:r>
      <w:r>
        <w:rPr>
          <w:color w:val="231F20"/>
        </w:rPr>
        <w:t>57% </w:t>
      </w:r>
      <w:r>
        <w:rPr>
          <w:color w:val="231F20"/>
          <w:spacing w:val="2"/>
        </w:rPr>
        <w:t>pertenecía </w:t>
      </w:r>
      <w:r>
        <w:rPr>
          <w:color w:val="231F20"/>
          <w:spacing w:val="3"/>
        </w:rPr>
        <w:t>al </w:t>
      </w:r>
      <w:r>
        <w:rPr>
          <w:color w:val="231F20"/>
          <w:spacing w:val="2"/>
        </w:rPr>
        <w:t>nivel </w:t>
      </w:r>
      <w:r>
        <w:rPr>
          <w:color w:val="231F20"/>
        </w:rPr>
        <w:t>i, 19% al ii y 9% al iii; </w:t>
      </w:r>
      <w:r>
        <w:rPr>
          <w:color w:val="231F20"/>
          <w:spacing w:val="2"/>
        </w:rPr>
        <w:t>para </w:t>
      </w:r>
      <w:r>
        <w:rPr>
          <w:color w:val="231F20"/>
        </w:rPr>
        <w:t>el </w:t>
      </w:r>
      <w:r>
        <w:rPr>
          <w:color w:val="231F20"/>
          <w:spacing w:val="2"/>
        </w:rPr>
        <w:t>año </w:t>
      </w:r>
      <w:r>
        <w:rPr>
          <w:color w:val="231F20"/>
        </w:rPr>
        <w:t>de </w:t>
      </w:r>
      <w:r>
        <w:rPr>
          <w:color w:val="231F20"/>
          <w:spacing w:val="2"/>
        </w:rPr>
        <w:t>1997 </w:t>
      </w:r>
      <w:r>
        <w:rPr>
          <w:color w:val="231F20"/>
        </w:rPr>
        <w:t>las </w:t>
      </w:r>
      <w:r>
        <w:rPr>
          <w:color w:val="231F20"/>
          <w:spacing w:val="3"/>
        </w:rPr>
        <w:t>proporciones </w:t>
      </w:r>
      <w:r>
        <w:rPr>
          <w:color w:val="231F20"/>
          <w:spacing w:val="2"/>
        </w:rPr>
        <w:t>eran </w:t>
      </w:r>
      <w:r>
        <w:rPr>
          <w:color w:val="231F20"/>
          <w:spacing w:val="3"/>
        </w:rPr>
        <w:t>muy </w:t>
      </w:r>
      <w:r>
        <w:rPr>
          <w:color w:val="231F20"/>
          <w:spacing w:val="2"/>
        </w:rPr>
        <w:t>similares, </w:t>
      </w:r>
      <w:r>
        <w:rPr>
          <w:color w:val="231F20"/>
          <w:spacing w:val="3"/>
        </w:rPr>
        <w:t>solamente </w:t>
      </w:r>
      <w:r>
        <w:rPr>
          <w:color w:val="231F20"/>
          <w:spacing w:val="2"/>
        </w:rPr>
        <w:t>los </w:t>
      </w:r>
      <w:r>
        <w:rPr>
          <w:color w:val="231F20"/>
          <w:spacing w:val="3"/>
        </w:rPr>
        <w:t>candidatos </w:t>
      </w:r>
      <w:r>
        <w:rPr>
          <w:color w:val="231F20"/>
        </w:rPr>
        <w:t>de </w:t>
      </w:r>
      <w:r>
        <w:rPr>
          <w:color w:val="231F20"/>
          <w:spacing w:val="2"/>
        </w:rPr>
        <w:t>nivel </w:t>
      </w:r>
      <w:r>
        <w:rPr>
          <w:color w:val="231F20"/>
        </w:rPr>
        <w:t>i </w:t>
      </w:r>
      <w:r>
        <w:rPr>
          <w:color w:val="231F20"/>
          <w:spacing w:val="3"/>
        </w:rPr>
        <w:t>aumenta- </w:t>
      </w:r>
      <w:r>
        <w:rPr>
          <w:color w:val="231F20"/>
          <w:spacing w:val="2"/>
        </w:rPr>
        <w:t>ron </w:t>
      </w:r>
      <w:r>
        <w:rPr>
          <w:color w:val="231F20"/>
        </w:rPr>
        <w:t>su </w:t>
      </w:r>
      <w:r>
        <w:rPr>
          <w:color w:val="231F20"/>
          <w:spacing w:val="3"/>
        </w:rPr>
        <w:t>participación </w:t>
      </w:r>
      <w:r>
        <w:rPr>
          <w:color w:val="231F20"/>
        </w:rPr>
        <w:t>en 6 </w:t>
      </w:r>
      <w:r>
        <w:rPr>
          <w:color w:val="231F20"/>
          <w:spacing w:val="3"/>
        </w:rPr>
        <w:t>puntos porcentuales </w:t>
      </w:r>
      <w:r>
        <w:rPr>
          <w:color w:val="231F20"/>
          <w:spacing w:val="2"/>
        </w:rPr>
        <w:t>con </w:t>
      </w:r>
      <w:r>
        <w:rPr>
          <w:color w:val="231F20"/>
        </w:rPr>
        <w:t>la </w:t>
      </w:r>
      <w:r>
        <w:rPr>
          <w:color w:val="231F20"/>
          <w:spacing w:val="3"/>
        </w:rPr>
        <w:t>consecuente disminución </w:t>
      </w:r>
      <w:r>
        <w:rPr>
          <w:color w:val="231F20"/>
        </w:rPr>
        <w:t>en </w:t>
      </w:r>
      <w:r>
        <w:rPr>
          <w:color w:val="231F20"/>
          <w:spacing w:val="2"/>
        </w:rPr>
        <w:t>los otros niveles; </w:t>
      </w:r>
      <w:r>
        <w:rPr>
          <w:color w:val="231F20"/>
        </w:rPr>
        <w:t>de </w:t>
      </w:r>
      <w:r>
        <w:rPr>
          <w:color w:val="231F20"/>
          <w:spacing w:val="2"/>
        </w:rPr>
        <w:t>ahí que conserve una estruc- tura piramidal, </w:t>
      </w:r>
      <w:r>
        <w:rPr>
          <w:color w:val="231F20"/>
        </w:rPr>
        <w:t>en </w:t>
      </w:r>
      <w:r>
        <w:rPr>
          <w:color w:val="231F20"/>
          <w:spacing w:val="2"/>
        </w:rPr>
        <w:t>cuya base (candidatos </w:t>
      </w:r>
      <w:r>
        <w:rPr>
          <w:color w:val="231F20"/>
        </w:rPr>
        <w:t>y </w:t>
      </w:r>
      <w:r>
        <w:rPr>
          <w:color w:val="231F20"/>
          <w:spacing w:val="2"/>
        </w:rPr>
        <w:t>nivel </w:t>
      </w:r>
      <w:r>
        <w:rPr>
          <w:color w:val="231F20"/>
        </w:rPr>
        <w:t>i) se </w:t>
      </w:r>
      <w:r>
        <w:rPr>
          <w:color w:val="231F20"/>
          <w:spacing w:val="2"/>
        </w:rPr>
        <w:t>siguen </w:t>
      </w:r>
      <w:r>
        <w:rPr>
          <w:color w:val="231F20"/>
          <w:spacing w:val="3"/>
        </w:rPr>
        <w:t>con- centrando </w:t>
      </w:r>
      <w:r>
        <w:rPr>
          <w:color w:val="231F20"/>
          <w:spacing w:val="2"/>
        </w:rPr>
        <w:t>tres cuartas partes del total </w:t>
      </w:r>
      <w:r>
        <w:rPr>
          <w:color w:val="231F20"/>
        </w:rPr>
        <w:t>de </w:t>
      </w:r>
      <w:r>
        <w:rPr>
          <w:color w:val="231F20"/>
          <w:spacing w:val="2"/>
        </w:rPr>
        <w:t>los integrantes. De </w:t>
      </w:r>
      <w:r>
        <w:rPr>
          <w:color w:val="231F20"/>
        </w:rPr>
        <w:t>he- </w:t>
      </w:r>
      <w:r>
        <w:rPr>
          <w:color w:val="231F20"/>
          <w:spacing w:val="2"/>
        </w:rPr>
        <w:t>cho, </w:t>
      </w:r>
      <w:r>
        <w:rPr>
          <w:color w:val="231F20"/>
        </w:rPr>
        <w:t>en el </w:t>
      </w:r>
      <w:r>
        <w:rPr>
          <w:color w:val="231F20"/>
          <w:spacing w:val="2"/>
        </w:rPr>
        <w:t>último año </w:t>
      </w:r>
      <w:r>
        <w:rPr>
          <w:color w:val="231F20"/>
        </w:rPr>
        <w:t>del </w:t>
      </w:r>
      <w:r>
        <w:rPr>
          <w:color w:val="231F20"/>
          <w:spacing w:val="2"/>
        </w:rPr>
        <w:t>que </w:t>
      </w:r>
      <w:r>
        <w:rPr>
          <w:color w:val="231F20"/>
        </w:rPr>
        <w:t>se </w:t>
      </w:r>
      <w:r>
        <w:rPr>
          <w:color w:val="231F20"/>
          <w:spacing w:val="2"/>
        </w:rPr>
        <w:t>tiene </w:t>
      </w:r>
      <w:r>
        <w:rPr>
          <w:color w:val="231F20"/>
          <w:spacing w:val="3"/>
        </w:rPr>
        <w:t>información, </w:t>
      </w:r>
      <w:r>
        <w:rPr>
          <w:color w:val="231F20"/>
          <w:spacing w:val="2"/>
        </w:rPr>
        <w:t>del total </w:t>
      </w:r>
      <w:r>
        <w:rPr>
          <w:color w:val="231F20"/>
        </w:rPr>
        <w:t>de </w:t>
      </w:r>
      <w:r>
        <w:rPr>
          <w:color w:val="231F20"/>
          <w:spacing w:val="3"/>
        </w:rPr>
        <w:t>miembros </w:t>
      </w:r>
      <w:r>
        <w:rPr>
          <w:color w:val="231F20"/>
        </w:rPr>
        <w:t>que </w:t>
      </w:r>
      <w:r>
        <w:rPr>
          <w:color w:val="231F20"/>
          <w:spacing w:val="2"/>
        </w:rPr>
        <w:t>solicitaron renovación, </w:t>
      </w:r>
      <w:r>
        <w:rPr>
          <w:color w:val="231F20"/>
        </w:rPr>
        <w:t>7 de </w:t>
      </w:r>
      <w:r>
        <w:rPr>
          <w:color w:val="231F20"/>
          <w:spacing w:val="2"/>
        </w:rPr>
        <w:t>cada </w:t>
      </w:r>
      <w:r>
        <w:rPr>
          <w:color w:val="231F20"/>
        </w:rPr>
        <w:t>10 </w:t>
      </w:r>
      <w:r>
        <w:rPr>
          <w:color w:val="231F20"/>
          <w:spacing w:val="2"/>
        </w:rPr>
        <w:t>conservaron </w:t>
      </w:r>
      <w:r>
        <w:rPr>
          <w:color w:val="231F20"/>
        </w:rPr>
        <w:t>el </w:t>
      </w:r>
      <w:r>
        <w:rPr>
          <w:color w:val="231F20"/>
          <w:spacing w:val="3"/>
        </w:rPr>
        <w:t>mismo </w:t>
      </w:r>
      <w:r>
        <w:rPr>
          <w:color w:val="231F20"/>
          <w:spacing w:val="2"/>
        </w:rPr>
        <w:t>nivel, </w:t>
      </w:r>
      <w:r>
        <w:rPr>
          <w:color w:val="231F20"/>
        </w:rPr>
        <w:t>dos </w:t>
      </w:r>
      <w:r>
        <w:rPr>
          <w:color w:val="231F20"/>
          <w:spacing w:val="2"/>
        </w:rPr>
        <w:t>lograron ascender </w:t>
      </w:r>
      <w:r>
        <w:rPr>
          <w:color w:val="231F20"/>
        </w:rPr>
        <w:t>al </w:t>
      </w:r>
      <w:r>
        <w:rPr>
          <w:color w:val="231F20"/>
          <w:spacing w:val="2"/>
        </w:rPr>
        <w:t>siguiente </w:t>
      </w:r>
      <w:r>
        <w:rPr>
          <w:color w:val="231F20"/>
        </w:rPr>
        <w:t>y </w:t>
      </w:r>
      <w:r>
        <w:rPr>
          <w:color w:val="231F20"/>
          <w:spacing w:val="2"/>
        </w:rPr>
        <w:t>uno </w:t>
      </w:r>
      <w:r>
        <w:rPr>
          <w:color w:val="231F20"/>
        </w:rPr>
        <w:t>fue </w:t>
      </w:r>
      <w:r>
        <w:rPr>
          <w:color w:val="231F20"/>
          <w:spacing w:val="3"/>
        </w:rPr>
        <w:t>recha- </w:t>
      </w:r>
      <w:r>
        <w:rPr>
          <w:color w:val="231F20"/>
          <w:spacing w:val="2"/>
        </w:rPr>
        <w:t>zado </w:t>
      </w:r>
      <w:r>
        <w:rPr>
          <w:color w:val="231F20"/>
        </w:rPr>
        <w:t>o </w:t>
      </w:r>
      <w:r>
        <w:rPr>
          <w:color w:val="231F20"/>
          <w:spacing w:val="2"/>
        </w:rPr>
        <w:t>descendió </w:t>
      </w:r>
      <w:r>
        <w:rPr>
          <w:color w:val="231F20"/>
        </w:rPr>
        <w:t>de</w:t>
      </w:r>
      <w:r>
        <w:rPr>
          <w:color w:val="231F20"/>
          <w:spacing w:val="17"/>
        </w:rPr>
        <w:t> </w:t>
      </w:r>
      <w:r>
        <w:rPr>
          <w:color w:val="231F20"/>
          <w:spacing w:val="2"/>
        </w:rPr>
        <w:t>nivel.</w:t>
      </w:r>
    </w:p>
    <w:p>
      <w:pPr>
        <w:spacing w:after="0" w:line="249" w:lineRule="auto"/>
        <w:jc w:val="both"/>
        <w:sectPr>
          <w:headerReference w:type="default" r:id="rId116"/>
          <w:footerReference w:type="default" r:id="rId117"/>
          <w:pgSz w:w="7830" w:h="11910"/>
          <w:pgMar w:header="0" w:footer="424" w:top="500" w:bottom="620" w:left="920" w:right="900"/>
          <w:pgNumType w:start="5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5" w:firstLine="284"/>
        <w:jc w:val="both"/>
      </w:pPr>
      <w:r>
        <w:rPr>
          <w:color w:val="231F20"/>
        </w:rPr>
        <w:t>Así como, su dimensión ha sido y sigue siendo muy limitada, pues se inició en 1984 con 1,396 miembros, y 13 años después, sumaba 6,356; a pesar de que la cifra casi se multiplicó por cinco, su crecimiento ha sido sumamente gradual, solo 381 investigado- res por año, y sigue siendo muy reducido su volumen en compa- ración con la comunidad de investigadores, la cual comprende aproximadamente una quinta parte; diez años después, en 2007, el SNI reportó 13,485, es decir, un poco más del doble de la cifra de 1997, o sea, un crecimiento en desaceleración.</w:t>
      </w:r>
    </w:p>
    <w:p>
      <w:pPr>
        <w:pStyle w:val="BodyText"/>
        <w:spacing w:line="249" w:lineRule="auto"/>
        <w:ind w:left="101" w:right="116" w:firstLine="284"/>
        <w:jc w:val="both"/>
      </w:pPr>
      <w:r>
        <w:rPr>
          <w:color w:val="231F20"/>
        </w:rPr>
        <w:t>Se </w:t>
      </w:r>
      <w:r>
        <w:rPr>
          <w:color w:val="231F20"/>
          <w:spacing w:val="2"/>
        </w:rPr>
        <w:t>han </w:t>
      </w:r>
      <w:r>
        <w:rPr>
          <w:color w:val="231F20"/>
          <w:spacing w:val="3"/>
        </w:rPr>
        <w:t>incrementado paulatinamente </w:t>
      </w:r>
      <w:r>
        <w:rPr>
          <w:color w:val="231F20"/>
          <w:spacing w:val="2"/>
        </w:rPr>
        <w:t>los requisitos </w:t>
      </w:r>
      <w:r>
        <w:rPr>
          <w:color w:val="231F20"/>
        </w:rPr>
        <w:t>de </w:t>
      </w:r>
      <w:r>
        <w:rPr>
          <w:color w:val="231F20"/>
          <w:spacing w:val="2"/>
        </w:rPr>
        <w:t>ingreso, una </w:t>
      </w:r>
      <w:r>
        <w:rPr>
          <w:color w:val="231F20"/>
        </w:rPr>
        <w:t>de las </w:t>
      </w:r>
      <w:r>
        <w:rPr>
          <w:color w:val="231F20"/>
          <w:spacing w:val="2"/>
        </w:rPr>
        <w:t>consecuencias </w:t>
      </w:r>
      <w:r>
        <w:rPr>
          <w:color w:val="231F20"/>
        </w:rPr>
        <w:t>de </w:t>
      </w:r>
      <w:r>
        <w:rPr>
          <w:color w:val="231F20"/>
          <w:spacing w:val="2"/>
        </w:rPr>
        <w:t>este proceso </w:t>
      </w:r>
      <w:r>
        <w:rPr>
          <w:color w:val="231F20"/>
        </w:rPr>
        <w:t>ha sido que  </w:t>
      </w:r>
      <w:r>
        <w:rPr>
          <w:color w:val="231F20"/>
          <w:spacing w:val="2"/>
        </w:rPr>
        <w:t>los benefi- cios privilegian sobre todo </w:t>
      </w:r>
      <w:r>
        <w:rPr>
          <w:color w:val="231F20"/>
        </w:rPr>
        <w:t>a </w:t>
      </w:r>
      <w:r>
        <w:rPr>
          <w:color w:val="231F20"/>
          <w:spacing w:val="2"/>
        </w:rPr>
        <w:t>los investigadores relativamente esta- blecidos, </w:t>
      </w:r>
      <w:r>
        <w:rPr>
          <w:color w:val="231F20"/>
        </w:rPr>
        <w:t>y </w:t>
      </w:r>
      <w:r>
        <w:rPr>
          <w:color w:val="231F20"/>
          <w:spacing w:val="3"/>
        </w:rPr>
        <w:t>menos </w:t>
      </w:r>
      <w:r>
        <w:rPr>
          <w:color w:val="231F20"/>
        </w:rPr>
        <w:t>a </w:t>
      </w:r>
      <w:r>
        <w:rPr>
          <w:color w:val="231F20"/>
          <w:spacing w:val="2"/>
        </w:rPr>
        <w:t>quienes aspiran </w:t>
      </w:r>
      <w:r>
        <w:rPr>
          <w:color w:val="231F20"/>
        </w:rPr>
        <w:t>a </w:t>
      </w:r>
      <w:r>
        <w:rPr>
          <w:color w:val="231F20"/>
          <w:spacing w:val="2"/>
        </w:rPr>
        <w:t>serlo. Entre 1992 </w:t>
      </w:r>
      <w:r>
        <w:rPr>
          <w:color w:val="231F20"/>
        </w:rPr>
        <w:t>y </w:t>
      </w:r>
      <w:r>
        <w:rPr>
          <w:color w:val="231F20"/>
          <w:spacing w:val="2"/>
        </w:rPr>
        <w:t>1997 </w:t>
      </w:r>
      <w:r>
        <w:rPr>
          <w:color w:val="231F20"/>
        </w:rPr>
        <w:t>el </w:t>
      </w:r>
      <w:r>
        <w:rPr>
          <w:color w:val="231F20"/>
          <w:spacing w:val="3"/>
        </w:rPr>
        <w:t>número </w:t>
      </w:r>
      <w:r>
        <w:rPr>
          <w:color w:val="231F20"/>
        </w:rPr>
        <w:t>de </w:t>
      </w:r>
      <w:r>
        <w:rPr>
          <w:color w:val="231F20"/>
          <w:spacing w:val="2"/>
        </w:rPr>
        <w:t>candidatos </w:t>
      </w:r>
      <w:r>
        <w:rPr>
          <w:color w:val="231F20"/>
        </w:rPr>
        <w:t>a </w:t>
      </w:r>
      <w:r>
        <w:rPr>
          <w:color w:val="231F20"/>
          <w:spacing w:val="2"/>
        </w:rPr>
        <w:t>investigador disminuyó </w:t>
      </w:r>
      <w:r>
        <w:rPr>
          <w:color w:val="231F20"/>
        </w:rPr>
        <w:t>a la </w:t>
      </w:r>
      <w:r>
        <w:rPr>
          <w:color w:val="231F20"/>
          <w:spacing w:val="2"/>
        </w:rPr>
        <w:t>mitad </w:t>
      </w:r>
      <w:r>
        <w:rPr>
          <w:color w:val="231F20"/>
        </w:rPr>
        <w:t>(de </w:t>
      </w:r>
      <w:r>
        <w:rPr>
          <w:color w:val="231F20"/>
          <w:spacing w:val="2"/>
        </w:rPr>
        <w:t>2,655 </w:t>
      </w:r>
      <w:r>
        <w:rPr>
          <w:color w:val="231F20"/>
        </w:rPr>
        <w:t>a </w:t>
      </w:r>
      <w:r>
        <w:rPr>
          <w:color w:val="231F20"/>
          <w:spacing w:val="2"/>
        </w:rPr>
        <w:t>1,332) </w:t>
      </w:r>
      <w:r>
        <w:rPr>
          <w:color w:val="231F20"/>
        </w:rPr>
        <w:t>no </w:t>
      </w:r>
      <w:r>
        <w:rPr>
          <w:color w:val="231F20"/>
          <w:spacing w:val="2"/>
        </w:rPr>
        <w:t>porque hubiesen sido </w:t>
      </w:r>
      <w:r>
        <w:rPr>
          <w:color w:val="231F20"/>
          <w:spacing w:val="3"/>
        </w:rPr>
        <w:t>promovidos </w:t>
      </w:r>
      <w:r>
        <w:rPr>
          <w:color w:val="231F20"/>
        </w:rPr>
        <w:t>al </w:t>
      </w:r>
      <w:r>
        <w:rPr>
          <w:color w:val="231F20"/>
          <w:spacing w:val="2"/>
        </w:rPr>
        <w:t>siguiente nivel </w:t>
      </w:r>
      <w:r>
        <w:rPr>
          <w:color w:val="231F20"/>
          <w:spacing w:val="3"/>
        </w:rPr>
        <w:t>como </w:t>
      </w:r>
      <w:r>
        <w:rPr>
          <w:color w:val="231F20"/>
          <w:spacing w:val="2"/>
        </w:rPr>
        <w:t>hubiese </w:t>
      </w:r>
      <w:r>
        <w:rPr>
          <w:color w:val="231F20"/>
        </w:rPr>
        <w:t>sido </w:t>
      </w:r>
      <w:r>
        <w:rPr>
          <w:color w:val="231F20"/>
          <w:spacing w:val="2"/>
        </w:rPr>
        <w:t>deseable, sino porque </w:t>
      </w:r>
      <w:r>
        <w:rPr>
          <w:color w:val="231F20"/>
        </w:rPr>
        <w:t>se </w:t>
      </w:r>
      <w:r>
        <w:rPr>
          <w:color w:val="231F20"/>
          <w:spacing w:val="2"/>
        </w:rPr>
        <w:t>estableció </w:t>
      </w:r>
      <w:r>
        <w:rPr>
          <w:color w:val="231F20"/>
        </w:rPr>
        <w:t>el </w:t>
      </w:r>
      <w:r>
        <w:rPr>
          <w:color w:val="231F20"/>
          <w:spacing w:val="2"/>
        </w:rPr>
        <w:t>requisito </w:t>
      </w:r>
      <w:r>
        <w:rPr>
          <w:color w:val="231F20"/>
        </w:rPr>
        <w:t>de </w:t>
      </w:r>
      <w:r>
        <w:rPr>
          <w:color w:val="231F20"/>
          <w:spacing w:val="2"/>
        </w:rPr>
        <w:t>cursar </w:t>
      </w:r>
      <w:r>
        <w:rPr>
          <w:color w:val="231F20"/>
        </w:rPr>
        <w:t>el </w:t>
      </w:r>
      <w:r>
        <w:rPr>
          <w:color w:val="231F20"/>
          <w:spacing w:val="2"/>
        </w:rPr>
        <w:t>doctorado para </w:t>
      </w:r>
      <w:r>
        <w:rPr>
          <w:color w:val="231F20"/>
        </w:rPr>
        <w:t>ser </w:t>
      </w:r>
      <w:r>
        <w:rPr>
          <w:color w:val="231F20"/>
          <w:spacing w:val="2"/>
        </w:rPr>
        <w:t>aceptado </w:t>
      </w:r>
      <w:r>
        <w:rPr>
          <w:color w:val="231F20"/>
          <w:spacing w:val="3"/>
        </w:rPr>
        <w:t>como candida-</w:t>
      </w:r>
      <w:r>
        <w:rPr>
          <w:color w:val="231F20"/>
          <w:spacing w:val="58"/>
        </w:rPr>
        <w:t> </w:t>
      </w:r>
      <w:r>
        <w:rPr>
          <w:color w:val="231F20"/>
        </w:rPr>
        <w:t>to </w:t>
      </w:r>
      <w:r>
        <w:rPr>
          <w:color w:val="231F20"/>
          <w:spacing w:val="3"/>
        </w:rPr>
        <w:t>(Observatorio </w:t>
      </w:r>
      <w:r>
        <w:rPr>
          <w:color w:val="231F20"/>
          <w:spacing w:val="2"/>
        </w:rPr>
        <w:t>Ciudadano,</w:t>
      </w:r>
      <w:r>
        <w:rPr>
          <w:color w:val="231F20"/>
          <w:spacing w:val="15"/>
        </w:rPr>
        <w:t> </w:t>
      </w:r>
      <w:r>
        <w:rPr>
          <w:color w:val="231F20"/>
          <w:spacing w:val="2"/>
        </w:rPr>
        <w:t>1999).</w:t>
      </w:r>
    </w:p>
    <w:p>
      <w:pPr>
        <w:pStyle w:val="BodyText"/>
        <w:spacing w:line="249" w:lineRule="auto"/>
        <w:ind w:left="101" w:right="114" w:firstLine="284"/>
        <w:jc w:val="both"/>
      </w:pPr>
      <w:r>
        <w:rPr>
          <w:color w:val="231F20"/>
        </w:rPr>
        <w:t>Desde hace varios años la comunidad académica venía seña- lando varias limitaciones del SNI: su reducido alcance, la escasa movilidad ascendente y, sobre todo, las frecuentes insatisfacciones con los resultados de las evaluaciones; pues se pedía aplicar crite- rios cualitativos, establecer mecanismos más claros, diferenciar las normas por áreas de conocimiento e incrementar los estímulos económicos. Desde septiembre de 1997 el CONACYT abrió una consulta que recogió las sugerencias con miras a evaluarlas y efec- tuar reformas. Un elemento que se sumó a los señalamientos críti- cos fue la recomendación la Comisión Nacional de Derechos Humanos que envió al SNI en julio de 1998 para que incluyera en su estructura normativa una instancia que permitiera impugnar los dictámenes de las comisiones dictaminadoras, toda vez que se consideró que los aspirantes estaban en condiciones de indefen- sión; instancia de impugnación que en ocasiones realizan las insti- tuciones, y en otras, el propio investigador, las respuestas a ello dependen de que instituciones se trate.</w:t>
      </w:r>
    </w:p>
    <w:p>
      <w:pPr>
        <w:pStyle w:val="BodyText"/>
        <w:spacing w:line="247" w:lineRule="auto"/>
        <w:ind w:left="101" w:right="118" w:firstLine="284"/>
        <w:jc w:val="both"/>
      </w:pPr>
      <w:r>
        <w:rPr>
          <w:color w:val="231F20"/>
        </w:rPr>
        <w:t>Otra crítica que se ha escuchado frecuentemente, es que el SNI se presta al establecimiento de grupos de amigos que comparten deshonestamente las publicaciones y no  grupos de  trabajo,  algo así  como  todo  un  sistema  clientelar  tanto  en  la  producción de</w:t>
      </w:r>
    </w:p>
    <w:p>
      <w:pPr>
        <w:spacing w:after="0" w:line="247" w:lineRule="auto"/>
        <w:jc w:val="both"/>
        <w:sectPr>
          <w:headerReference w:type="default" r:id="rId118"/>
          <w:footerReference w:type="default" r:id="rId119"/>
          <w:pgSz w:w="7830" w:h="11910"/>
          <w:pgMar w:header="0" w:footer="424" w:top="500" w:bottom="620" w:left="920" w:right="900"/>
          <w:pgNumType w:start="5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jc w:val="both"/>
      </w:pPr>
      <w:r>
        <w:rPr>
          <w:color w:val="231F20"/>
          <w:spacing w:val="2"/>
        </w:rPr>
        <w:t>trabajo </w:t>
      </w:r>
      <w:r>
        <w:rPr>
          <w:color w:val="231F20"/>
          <w:spacing w:val="3"/>
        </w:rPr>
        <w:t>como </w:t>
      </w:r>
      <w:r>
        <w:rPr>
          <w:color w:val="231F20"/>
        </w:rPr>
        <w:t>en </w:t>
      </w:r>
      <w:r>
        <w:rPr>
          <w:color w:val="231F20"/>
          <w:spacing w:val="2"/>
        </w:rPr>
        <w:t>los </w:t>
      </w:r>
      <w:r>
        <w:rPr>
          <w:color w:val="231F20"/>
          <w:spacing w:val="3"/>
        </w:rPr>
        <w:t>procesos </w:t>
      </w:r>
      <w:r>
        <w:rPr>
          <w:color w:val="231F20"/>
        </w:rPr>
        <w:t>de </w:t>
      </w:r>
      <w:r>
        <w:rPr>
          <w:color w:val="231F20"/>
          <w:spacing w:val="2"/>
        </w:rPr>
        <w:t>evaluación. </w:t>
      </w:r>
      <w:r>
        <w:rPr>
          <w:color w:val="231F20"/>
          <w:spacing w:val="3"/>
        </w:rPr>
        <w:t>También </w:t>
      </w:r>
      <w:r>
        <w:rPr>
          <w:color w:val="231F20"/>
        </w:rPr>
        <w:t>se  </w:t>
      </w:r>
      <w:r>
        <w:rPr>
          <w:color w:val="231F20"/>
          <w:spacing w:val="2"/>
        </w:rPr>
        <w:t>critica  </w:t>
      </w:r>
      <w:r>
        <w:rPr>
          <w:color w:val="231F20"/>
        </w:rPr>
        <w:t>que </w:t>
      </w:r>
      <w:r>
        <w:rPr>
          <w:color w:val="231F20"/>
          <w:spacing w:val="2"/>
        </w:rPr>
        <w:t>cree </w:t>
      </w:r>
      <w:r>
        <w:rPr>
          <w:color w:val="231F20"/>
        </w:rPr>
        <w:t>un </w:t>
      </w:r>
      <w:r>
        <w:rPr>
          <w:color w:val="231F20"/>
          <w:spacing w:val="2"/>
        </w:rPr>
        <w:t>estado </w:t>
      </w:r>
      <w:r>
        <w:rPr>
          <w:color w:val="231F20"/>
        </w:rPr>
        <w:t>de </w:t>
      </w:r>
      <w:r>
        <w:rPr>
          <w:color w:val="231F20"/>
          <w:spacing w:val="2"/>
        </w:rPr>
        <w:t>ansiedad </w:t>
      </w:r>
      <w:r>
        <w:rPr>
          <w:color w:val="231F20"/>
        </w:rPr>
        <w:t>en el </w:t>
      </w:r>
      <w:r>
        <w:rPr>
          <w:color w:val="231F20"/>
          <w:spacing w:val="2"/>
        </w:rPr>
        <w:t>investigador, quien está obli- gado </w:t>
      </w:r>
      <w:r>
        <w:rPr>
          <w:color w:val="231F20"/>
        </w:rPr>
        <w:t>a </w:t>
      </w:r>
      <w:r>
        <w:rPr>
          <w:color w:val="231F20"/>
          <w:spacing w:val="3"/>
        </w:rPr>
        <w:t>demostrar continuamente </w:t>
      </w:r>
      <w:r>
        <w:rPr>
          <w:color w:val="231F20"/>
        </w:rPr>
        <w:t>su </w:t>
      </w:r>
      <w:r>
        <w:rPr>
          <w:color w:val="231F20"/>
          <w:spacing w:val="2"/>
        </w:rPr>
        <w:t>capacidad </w:t>
      </w:r>
      <w:r>
        <w:rPr>
          <w:color w:val="231F20"/>
        </w:rPr>
        <w:t>en </w:t>
      </w:r>
      <w:r>
        <w:rPr>
          <w:color w:val="231F20"/>
          <w:spacing w:val="2"/>
        </w:rPr>
        <w:t>plazos relativa- mente cortos. Cada </w:t>
      </w:r>
      <w:r>
        <w:rPr>
          <w:color w:val="231F20"/>
        </w:rPr>
        <w:t>vez </w:t>
      </w:r>
      <w:r>
        <w:rPr>
          <w:color w:val="231F20"/>
          <w:spacing w:val="2"/>
        </w:rPr>
        <w:t>que </w:t>
      </w:r>
      <w:r>
        <w:rPr>
          <w:color w:val="231F20"/>
        </w:rPr>
        <w:t>va a ser </w:t>
      </w:r>
      <w:r>
        <w:rPr>
          <w:color w:val="231F20"/>
          <w:spacing w:val="2"/>
        </w:rPr>
        <w:t>evaluado, </w:t>
      </w:r>
      <w:r>
        <w:rPr>
          <w:color w:val="231F20"/>
        </w:rPr>
        <w:t>al </w:t>
      </w:r>
      <w:r>
        <w:rPr>
          <w:color w:val="231F20"/>
          <w:spacing w:val="2"/>
        </w:rPr>
        <w:t>investigador </w:t>
      </w:r>
      <w:r>
        <w:rPr>
          <w:color w:val="231F20"/>
        </w:rPr>
        <w:t>le </w:t>
      </w:r>
      <w:r>
        <w:rPr>
          <w:color w:val="231F20"/>
          <w:spacing w:val="2"/>
        </w:rPr>
        <w:t>empieza una taquicardia absoluta </w:t>
      </w:r>
      <w:r>
        <w:rPr>
          <w:color w:val="231F20"/>
          <w:spacing w:val="3"/>
        </w:rPr>
        <w:t>porque </w:t>
      </w:r>
      <w:r>
        <w:rPr>
          <w:color w:val="231F20"/>
        </w:rPr>
        <w:t>no </w:t>
      </w:r>
      <w:r>
        <w:rPr>
          <w:color w:val="231F20"/>
          <w:spacing w:val="2"/>
        </w:rPr>
        <w:t>sabe </w:t>
      </w:r>
      <w:r>
        <w:rPr>
          <w:color w:val="231F20"/>
        </w:rPr>
        <w:t>si lo van a </w:t>
      </w:r>
      <w:r>
        <w:rPr>
          <w:color w:val="231F20"/>
          <w:spacing w:val="2"/>
        </w:rPr>
        <w:t>bajar </w:t>
      </w:r>
      <w:r>
        <w:rPr>
          <w:color w:val="231F20"/>
        </w:rPr>
        <w:t>de </w:t>
      </w:r>
      <w:r>
        <w:rPr>
          <w:color w:val="231F20"/>
          <w:spacing w:val="2"/>
        </w:rPr>
        <w:t>nivel, </w:t>
      </w:r>
      <w:r>
        <w:rPr>
          <w:color w:val="231F20"/>
        </w:rPr>
        <w:t>a </w:t>
      </w:r>
      <w:r>
        <w:rPr>
          <w:color w:val="231F20"/>
          <w:spacing w:val="2"/>
        </w:rPr>
        <w:t>sacar del </w:t>
      </w:r>
      <w:r>
        <w:rPr>
          <w:color w:val="231F20"/>
          <w:spacing w:val="3"/>
        </w:rPr>
        <w:t>SNI, </w:t>
      </w:r>
      <w:r>
        <w:rPr>
          <w:color w:val="231F20"/>
        </w:rPr>
        <w:t>o </w:t>
      </w:r>
      <w:r>
        <w:rPr>
          <w:color w:val="231F20"/>
          <w:spacing w:val="2"/>
        </w:rPr>
        <w:t>qué </w:t>
      </w:r>
      <w:r>
        <w:rPr>
          <w:color w:val="231F20"/>
        </w:rPr>
        <w:t>va a </w:t>
      </w:r>
      <w:r>
        <w:rPr>
          <w:color w:val="231F20"/>
          <w:spacing w:val="2"/>
        </w:rPr>
        <w:t>ocurrir. </w:t>
      </w:r>
      <w:r>
        <w:rPr>
          <w:color w:val="231F20"/>
          <w:spacing w:val="3"/>
        </w:rPr>
        <w:t>Asimismo, </w:t>
      </w:r>
      <w:r>
        <w:rPr>
          <w:color w:val="231F20"/>
        </w:rPr>
        <w:t>se </w:t>
      </w:r>
      <w:r>
        <w:rPr>
          <w:color w:val="231F20"/>
          <w:spacing w:val="2"/>
        </w:rPr>
        <w:t>escucha </w:t>
      </w:r>
      <w:r>
        <w:rPr>
          <w:color w:val="231F20"/>
        </w:rPr>
        <w:t>que el </w:t>
      </w:r>
      <w:r>
        <w:rPr>
          <w:color w:val="231F20"/>
          <w:spacing w:val="2"/>
        </w:rPr>
        <w:t>SNI favorece </w:t>
      </w:r>
      <w:r>
        <w:rPr>
          <w:color w:val="231F20"/>
        </w:rPr>
        <w:t>al </w:t>
      </w:r>
      <w:r>
        <w:rPr>
          <w:color w:val="231F20"/>
          <w:spacing w:val="2"/>
        </w:rPr>
        <w:t>investigador establecido </w:t>
      </w:r>
      <w:r>
        <w:rPr>
          <w:color w:val="231F20"/>
        </w:rPr>
        <w:t>y la </w:t>
      </w:r>
      <w:r>
        <w:rPr>
          <w:color w:val="231F20"/>
          <w:spacing w:val="2"/>
        </w:rPr>
        <w:t>centralización </w:t>
      </w:r>
      <w:r>
        <w:rPr>
          <w:color w:val="231F20"/>
        </w:rPr>
        <w:t>de la </w:t>
      </w:r>
      <w:r>
        <w:rPr>
          <w:color w:val="231F20"/>
          <w:spacing w:val="2"/>
        </w:rPr>
        <w:t>ciencia </w:t>
      </w:r>
      <w:r>
        <w:rPr>
          <w:color w:val="231F20"/>
          <w:spacing w:val="3"/>
        </w:rPr>
        <w:t>geográficamente </w:t>
      </w:r>
      <w:r>
        <w:rPr>
          <w:color w:val="231F20"/>
        </w:rPr>
        <w:t>y </w:t>
      </w:r>
      <w:r>
        <w:rPr>
          <w:color w:val="231F20"/>
          <w:spacing w:val="2"/>
        </w:rPr>
        <w:t>por</w:t>
      </w:r>
      <w:r>
        <w:rPr>
          <w:color w:val="231F20"/>
          <w:spacing w:val="-29"/>
        </w:rPr>
        <w:t> </w:t>
      </w:r>
      <w:r>
        <w:rPr>
          <w:color w:val="231F20"/>
          <w:spacing w:val="2"/>
        </w:rPr>
        <w:t>instituciones.</w:t>
      </w:r>
    </w:p>
    <w:p>
      <w:pPr>
        <w:pStyle w:val="BodyText"/>
        <w:spacing w:line="249" w:lineRule="auto"/>
        <w:ind w:left="101" w:right="115" w:firstLine="284"/>
        <w:jc w:val="both"/>
      </w:pPr>
      <w:r>
        <w:rPr>
          <w:color w:val="231F20"/>
        </w:rPr>
        <w:t>Sin embargo, las reformas que se le han realizado a lo largo del tiempo no favorecen la ampliación de la base de los miembros, ni tienden a estimular el desarrollo de los investigadores más jóve- nes, y tampoco se han aumentado los montos de los estímulos. El incremento de los requisitos de ingreso para los candidatos a in- vestigador en la última modificación, se solicita el grado de doctor o producción equivalente, lo que reforzó la disminución de esta categoría que viene acusándose desde 1992, e indica que se está desalentando la carrera de investigador. La categoría de candidato sigue siendo problemática, ya que solo una muy pequeña propor- ción de quienes se inscriben en ella llegan a constituirse como investigadores y permanecen en el sistema; la mayoría simplemen- te aprovecha el estímulo económico mientras cursaba su doctora- do. En cuanto al monto real de los estímulos, no parece probable que puedan incrementarse en el corto plazo; el SNI consume ya cerca del 20% del presupuesto total del CONACYT.</w:t>
      </w:r>
    </w:p>
    <w:p>
      <w:pPr>
        <w:pStyle w:val="BodyText"/>
        <w:spacing w:line="249" w:lineRule="auto"/>
        <w:ind w:left="101" w:right="115" w:firstLine="284"/>
        <w:jc w:val="both"/>
      </w:pPr>
      <w:r>
        <w:rPr>
          <w:color w:val="231F20"/>
          <w:spacing w:val="2"/>
        </w:rPr>
        <w:t>Los investigadores sociales, </w:t>
      </w:r>
      <w:r>
        <w:rPr>
          <w:color w:val="231F20"/>
        </w:rPr>
        <w:t>de la </w:t>
      </w:r>
      <w:r>
        <w:rPr>
          <w:color w:val="231F20"/>
          <w:spacing w:val="2"/>
        </w:rPr>
        <w:t>conducta </w:t>
      </w:r>
      <w:r>
        <w:rPr>
          <w:color w:val="231F20"/>
        </w:rPr>
        <w:t>y </w:t>
      </w:r>
      <w:r>
        <w:rPr>
          <w:color w:val="231F20"/>
          <w:spacing w:val="2"/>
        </w:rPr>
        <w:t>humanísticos </w:t>
      </w:r>
      <w:r>
        <w:rPr>
          <w:color w:val="231F20"/>
          <w:spacing w:val="4"/>
        </w:rPr>
        <w:t>en- </w:t>
      </w:r>
      <w:r>
        <w:rPr>
          <w:color w:val="231F20"/>
          <w:spacing w:val="2"/>
        </w:rPr>
        <w:t>cuentran </w:t>
      </w:r>
      <w:r>
        <w:rPr>
          <w:color w:val="231F20"/>
        </w:rPr>
        <w:t>en las </w:t>
      </w:r>
      <w:r>
        <w:rPr>
          <w:color w:val="231F20"/>
          <w:spacing w:val="2"/>
        </w:rPr>
        <w:t>instituciones públicas sus sitios naturales </w:t>
      </w:r>
      <w:r>
        <w:rPr>
          <w:color w:val="231F20"/>
        </w:rPr>
        <w:t>de </w:t>
      </w:r>
      <w:r>
        <w:rPr>
          <w:color w:val="231F20"/>
          <w:spacing w:val="3"/>
        </w:rPr>
        <w:t>ads- </w:t>
      </w:r>
      <w:r>
        <w:rPr>
          <w:color w:val="231F20"/>
          <w:spacing w:val="2"/>
        </w:rPr>
        <w:t>cripción; </w:t>
      </w:r>
      <w:r>
        <w:rPr>
          <w:color w:val="231F20"/>
        </w:rPr>
        <w:t>sin </w:t>
      </w:r>
      <w:r>
        <w:rPr>
          <w:color w:val="231F20"/>
          <w:spacing w:val="3"/>
        </w:rPr>
        <w:t>embargo, </w:t>
      </w:r>
      <w:r>
        <w:rPr>
          <w:color w:val="231F20"/>
        </w:rPr>
        <w:t>ello ha </w:t>
      </w:r>
      <w:r>
        <w:rPr>
          <w:color w:val="231F20"/>
          <w:spacing w:val="2"/>
        </w:rPr>
        <w:t>implicado, tras varios decenios </w:t>
      </w:r>
      <w:r>
        <w:rPr>
          <w:color w:val="231F20"/>
        </w:rPr>
        <w:t>de </w:t>
      </w:r>
      <w:r>
        <w:rPr>
          <w:color w:val="231F20"/>
          <w:spacing w:val="2"/>
        </w:rPr>
        <w:t>políticas </w:t>
      </w:r>
      <w:r>
        <w:rPr>
          <w:color w:val="231F20"/>
        </w:rPr>
        <w:t>de </w:t>
      </w:r>
      <w:r>
        <w:rPr>
          <w:color w:val="231F20"/>
          <w:spacing w:val="2"/>
        </w:rPr>
        <w:t>austeridad </w:t>
      </w:r>
      <w:r>
        <w:rPr>
          <w:color w:val="231F20"/>
        </w:rPr>
        <w:t>e </w:t>
      </w:r>
      <w:r>
        <w:rPr>
          <w:color w:val="231F20"/>
          <w:spacing w:val="2"/>
        </w:rPr>
        <w:t>incluso adelgazamiento </w:t>
      </w:r>
      <w:r>
        <w:rPr>
          <w:color w:val="231F20"/>
        </w:rPr>
        <w:t>de </w:t>
      </w:r>
      <w:r>
        <w:rPr>
          <w:color w:val="231F20"/>
          <w:spacing w:val="2"/>
        </w:rPr>
        <w:t>los </w:t>
      </w:r>
      <w:r>
        <w:rPr>
          <w:color w:val="231F20"/>
          <w:spacing w:val="3"/>
        </w:rPr>
        <w:t>presupues- </w:t>
      </w:r>
      <w:r>
        <w:rPr>
          <w:color w:val="231F20"/>
          <w:spacing w:val="2"/>
        </w:rPr>
        <w:t>tos públicos, </w:t>
      </w:r>
      <w:r>
        <w:rPr>
          <w:color w:val="231F20"/>
          <w:spacing w:val="3"/>
        </w:rPr>
        <w:t>prácticamente </w:t>
      </w:r>
      <w:r>
        <w:rPr>
          <w:color w:val="231F20"/>
        </w:rPr>
        <w:t>un </w:t>
      </w:r>
      <w:r>
        <w:rPr>
          <w:color w:val="231F20"/>
          <w:spacing w:val="2"/>
        </w:rPr>
        <w:t>nulo crecimiento </w:t>
      </w:r>
      <w:r>
        <w:rPr>
          <w:color w:val="231F20"/>
        </w:rPr>
        <w:t>de las </w:t>
      </w:r>
      <w:r>
        <w:rPr>
          <w:color w:val="231F20"/>
          <w:spacing w:val="2"/>
        </w:rPr>
        <w:t>plantas </w:t>
      </w:r>
      <w:r>
        <w:rPr>
          <w:color w:val="231F20"/>
        </w:rPr>
        <w:t>de </w:t>
      </w:r>
      <w:r>
        <w:rPr>
          <w:color w:val="231F20"/>
          <w:spacing w:val="2"/>
        </w:rPr>
        <w:t>investigadores, </w:t>
      </w:r>
      <w:r>
        <w:rPr>
          <w:color w:val="231F20"/>
        </w:rPr>
        <w:t>y un </w:t>
      </w:r>
      <w:r>
        <w:rPr>
          <w:color w:val="231F20"/>
          <w:spacing w:val="3"/>
        </w:rPr>
        <w:t>consecuente </w:t>
      </w:r>
      <w:r>
        <w:rPr>
          <w:color w:val="231F20"/>
          <w:spacing w:val="2"/>
        </w:rPr>
        <w:t>envejecimiento </w:t>
      </w:r>
      <w:r>
        <w:rPr>
          <w:color w:val="231F20"/>
        </w:rPr>
        <w:t>de </w:t>
      </w:r>
      <w:r>
        <w:rPr>
          <w:color w:val="231F20"/>
          <w:spacing w:val="2"/>
        </w:rPr>
        <w:t>los académi- cos actuales, </w:t>
      </w:r>
      <w:r>
        <w:rPr>
          <w:color w:val="231F20"/>
        </w:rPr>
        <w:t>así </w:t>
      </w:r>
      <w:r>
        <w:rPr>
          <w:color w:val="231F20"/>
          <w:spacing w:val="3"/>
        </w:rPr>
        <w:t>como </w:t>
      </w:r>
      <w:r>
        <w:rPr>
          <w:color w:val="231F20"/>
        </w:rPr>
        <w:t>un </w:t>
      </w:r>
      <w:r>
        <w:rPr>
          <w:color w:val="231F20"/>
          <w:spacing w:val="2"/>
        </w:rPr>
        <w:t>nulo apoyo para </w:t>
      </w:r>
      <w:r>
        <w:rPr>
          <w:color w:val="231F20"/>
        </w:rPr>
        <w:t>el </w:t>
      </w:r>
      <w:r>
        <w:rPr>
          <w:color w:val="231F20"/>
          <w:spacing w:val="2"/>
        </w:rPr>
        <w:t>trabajo </w:t>
      </w:r>
      <w:r>
        <w:rPr>
          <w:color w:val="231F20"/>
        </w:rPr>
        <w:t>de </w:t>
      </w:r>
      <w:r>
        <w:rPr>
          <w:color w:val="231F20"/>
          <w:spacing w:val="2"/>
        </w:rPr>
        <w:t>investiga- ción por </w:t>
      </w:r>
      <w:r>
        <w:rPr>
          <w:color w:val="231F20"/>
        </w:rPr>
        <w:t>no ser </w:t>
      </w:r>
      <w:r>
        <w:rPr>
          <w:color w:val="231F20"/>
          <w:spacing w:val="2"/>
        </w:rPr>
        <w:t>redituable </w:t>
      </w:r>
      <w:r>
        <w:rPr>
          <w:color w:val="231F20"/>
        </w:rPr>
        <w:t>en </w:t>
      </w:r>
      <w:r>
        <w:rPr>
          <w:color w:val="231F20"/>
          <w:spacing w:val="3"/>
        </w:rPr>
        <w:t>términos </w:t>
      </w:r>
      <w:r>
        <w:rPr>
          <w:color w:val="231F20"/>
          <w:spacing w:val="2"/>
        </w:rPr>
        <w:t>técnicos. </w:t>
      </w:r>
      <w:r>
        <w:rPr>
          <w:color w:val="231F20"/>
        </w:rPr>
        <w:t>En el </w:t>
      </w:r>
      <w:r>
        <w:rPr>
          <w:color w:val="231F20"/>
          <w:spacing w:val="3"/>
        </w:rPr>
        <w:t>campo </w:t>
      </w:r>
      <w:r>
        <w:rPr>
          <w:color w:val="231F20"/>
        </w:rPr>
        <w:t>de    las </w:t>
      </w:r>
      <w:r>
        <w:rPr>
          <w:color w:val="231F20"/>
          <w:spacing w:val="2"/>
        </w:rPr>
        <w:t>ciencias sociales, </w:t>
      </w:r>
      <w:r>
        <w:rPr>
          <w:color w:val="231F20"/>
        </w:rPr>
        <w:t>las </w:t>
      </w:r>
      <w:r>
        <w:rPr>
          <w:color w:val="231F20"/>
          <w:spacing w:val="3"/>
        </w:rPr>
        <w:t>humanidades </w:t>
      </w:r>
      <w:r>
        <w:rPr>
          <w:color w:val="231F20"/>
        </w:rPr>
        <w:t>y las </w:t>
      </w:r>
      <w:r>
        <w:rPr>
          <w:color w:val="231F20"/>
          <w:spacing w:val="2"/>
        </w:rPr>
        <w:t>ciencias </w:t>
      </w:r>
      <w:r>
        <w:rPr>
          <w:color w:val="231F20"/>
        </w:rPr>
        <w:t>de la </w:t>
      </w:r>
      <w:r>
        <w:rPr>
          <w:color w:val="231F20"/>
          <w:spacing w:val="3"/>
        </w:rPr>
        <w:t>conducta </w:t>
      </w:r>
      <w:r>
        <w:rPr>
          <w:color w:val="231F20"/>
          <w:spacing w:val="2"/>
        </w:rPr>
        <w:t>constituye </w:t>
      </w:r>
      <w:r>
        <w:rPr>
          <w:color w:val="231F20"/>
        </w:rPr>
        <w:t>un </w:t>
      </w:r>
      <w:r>
        <w:rPr>
          <w:color w:val="231F20"/>
          <w:spacing w:val="2"/>
        </w:rPr>
        <w:t>especial desafío </w:t>
      </w:r>
      <w:r>
        <w:rPr>
          <w:color w:val="231F20"/>
        </w:rPr>
        <w:t>el </w:t>
      </w:r>
      <w:r>
        <w:rPr>
          <w:color w:val="231F20"/>
          <w:spacing w:val="2"/>
        </w:rPr>
        <w:t>rejuvenecer </w:t>
      </w:r>
      <w:r>
        <w:rPr>
          <w:color w:val="231F20"/>
        </w:rPr>
        <w:t>el </w:t>
      </w:r>
      <w:r>
        <w:rPr>
          <w:color w:val="231F20"/>
          <w:spacing w:val="3"/>
        </w:rPr>
        <w:t>promedio </w:t>
      </w:r>
      <w:r>
        <w:rPr>
          <w:color w:val="231F20"/>
        </w:rPr>
        <w:t>de </w:t>
      </w:r>
      <w:r>
        <w:rPr>
          <w:color w:val="231F20"/>
          <w:spacing w:val="3"/>
        </w:rPr>
        <w:t>edad </w:t>
      </w:r>
      <w:r>
        <w:rPr>
          <w:color w:val="231F20"/>
        </w:rPr>
        <w:t>de </w:t>
      </w:r>
      <w:r>
        <w:rPr>
          <w:color w:val="231F20"/>
          <w:spacing w:val="2"/>
        </w:rPr>
        <w:t>los</w:t>
      </w:r>
      <w:r>
        <w:rPr>
          <w:color w:val="231F20"/>
          <w:spacing w:val="-8"/>
        </w:rPr>
        <w:t> </w:t>
      </w:r>
      <w:r>
        <w:rPr>
          <w:color w:val="231F20"/>
          <w:spacing w:val="2"/>
        </w:rPr>
        <w:t>investigadores.</w:t>
      </w:r>
    </w:p>
    <w:p>
      <w:pPr>
        <w:pStyle w:val="BodyText"/>
        <w:spacing w:line="247" w:lineRule="auto"/>
        <w:ind w:left="101" w:right="116" w:firstLine="284"/>
        <w:jc w:val="both"/>
      </w:pPr>
      <w:r>
        <w:rPr>
          <w:color w:val="231F20"/>
        </w:rPr>
        <w:t>El</w:t>
      </w:r>
      <w:r>
        <w:rPr>
          <w:color w:val="231F20"/>
          <w:spacing w:val="-8"/>
        </w:rPr>
        <w:t> </w:t>
      </w:r>
      <w:r>
        <w:rPr>
          <w:color w:val="231F20"/>
        </w:rPr>
        <w:t>SNI</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solo</w:t>
      </w:r>
      <w:r>
        <w:rPr>
          <w:color w:val="231F20"/>
          <w:spacing w:val="-7"/>
        </w:rPr>
        <w:t> </w:t>
      </w:r>
      <w:r>
        <w:rPr>
          <w:color w:val="231F20"/>
        </w:rPr>
        <w:t>un</w:t>
      </w:r>
      <w:r>
        <w:rPr>
          <w:color w:val="231F20"/>
          <w:spacing w:val="-7"/>
        </w:rPr>
        <w:t> </w:t>
      </w:r>
      <w:r>
        <w:rPr>
          <w:color w:val="231F20"/>
        </w:rPr>
        <w:t>organismo</w:t>
      </w:r>
      <w:r>
        <w:rPr>
          <w:color w:val="231F20"/>
          <w:spacing w:val="-7"/>
        </w:rPr>
        <w:t> </w:t>
      </w:r>
      <w:r>
        <w:rPr>
          <w:color w:val="231F20"/>
        </w:rPr>
        <w:t>que</w:t>
      </w:r>
      <w:r>
        <w:rPr>
          <w:color w:val="231F20"/>
          <w:spacing w:val="-7"/>
        </w:rPr>
        <w:t> </w:t>
      </w:r>
      <w:r>
        <w:rPr>
          <w:color w:val="231F20"/>
        </w:rPr>
        <w:t>evalúa</w:t>
      </w:r>
      <w:r>
        <w:rPr>
          <w:color w:val="231F20"/>
          <w:spacing w:val="-7"/>
        </w:rPr>
        <w:t> </w:t>
      </w:r>
      <w:r>
        <w:rPr>
          <w:color w:val="231F20"/>
        </w:rPr>
        <w:t>y</w:t>
      </w:r>
      <w:r>
        <w:rPr>
          <w:color w:val="231F20"/>
          <w:spacing w:val="-7"/>
        </w:rPr>
        <w:t> </w:t>
      </w:r>
      <w:r>
        <w:rPr>
          <w:color w:val="231F20"/>
        </w:rPr>
        <w:t>certifica</w:t>
      </w:r>
      <w:r>
        <w:rPr>
          <w:color w:val="231F20"/>
          <w:spacing w:val="-7"/>
        </w:rPr>
        <w:t> </w:t>
      </w:r>
      <w:r>
        <w:rPr>
          <w:color w:val="231F20"/>
        </w:rPr>
        <w:t>a</w:t>
      </w:r>
      <w:r>
        <w:rPr>
          <w:color w:val="231F20"/>
          <w:spacing w:val="-7"/>
        </w:rPr>
        <w:t> </w:t>
      </w:r>
      <w:r>
        <w:rPr>
          <w:color w:val="231F20"/>
        </w:rPr>
        <w:t>investiga- dores individuales, sino una pieza central de la política científica y tecnológica nacional. Proyecta su influencia sobre la calidad de los programas de posgrado y de las instituciones, la calidad de los  </w:t>
      </w:r>
      <w:r>
        <w:rPr>
          <w:color w:val="231F20"/>
          <w:spacing w:val="11"/>
        </w:rPr>
        <w:t> </w:t>
      </w:r>
      <w:r>
        <w:rPr>
          <w:color w:val="231F20"/>
        </w:rPr>
        <w:t>pro-</w:t>
      </w:r>
    </w:p>
    <w:p>
      <w:pPr>
        <w:spacing w:after="0" w:line="247" w:lineRule="auto"/>
        <w:jc w:val="both"/>
        <w:sectPr>
          <w:headerReference w:type="default" r:id="rId120"/>
          <w:footerReference w:type="default" r:id="rId121"/>
          <w:pgSz w:w="7830" w:h="11910"/>
          <w:pgMar w:header="0" w:footer="424" w:top="500" w:bottom="620" w:left="920" w:right="900"/>
          <w:pgNumType w:start="5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6"/>
        <w:jc w:val="both"/>
      </w:pPr>
      <w:r>
        <w:rPr>
          <w:color w:val="231F20"/>
        </w:rPr>
        <w:t>yectos</w:t>
      </w:r>
      <w:r>
        <w:rPr>
          <w:color w:val="231F20"/>
          <w:spacing w:val="-9"/>
        </w:rPr>
        <w:t> </w:t>
      </w:r>
      <w:r>
        <w:rPr>
          <w:color w:val="231F20"/>
        </w:rPr>
        <w:t>aprobados</w:t>
      </w:r>
      <w:r>
        <w:rPr>
          <w:color w:val="231F20"/>
          <w:spacing w:val="-9"/>
        </w:rPr>
        <w:t> </w:t>
      </w:r>
      <w:r>
        <w:rPr>
          <w:color w:val="231F20"/>
        </w:rPr>
        <w:t>y</w:t>
      </w:r>
      <w:r>
        <w:rPr>
          <w:color w:val="231F20"/>
          <w:spacing w:val="-9"/>
        </w:rPr>
        <w:t> </w:t>
      </w:r>
      <w:r>
        <w:rPr>
          <w:color w:val="231F20"/>
        </w:rPr>
        <w:t>financiados,</w:t>
      </w:r>
      <w:r>
        <w:rPr>
          <w:color w:val="231F20"/>
          <w:spacing w:val="-9"/>
        </w:rPr>
        <w:t> </w:t>
      </w:r>
      <w:r>
        <w:rPr>
          <w:color w:val="231F20"/>
        </w:rPr>
        <w:t>el</w:t>
      </w:r>
      <w:r>
        <w:rPr>
          <w:color w:val="231F20"/>
          <w:spacing w:val="-9"/>
        </w:rPr>
        <w:t> </w:t>
      </w:r>
      <w:r>
        <w:rPr>
          <w:color w:val="231F20"/>
        </w:rPr>
        <w:t>nivel</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revistas</w:t>
      </w:r>
      <w:r>
        <w:rPr>
          <w:color w:val="231F20"/>
          <w:spacing w:val="-9"/>
        </w:rPr>
        <w:t> </w:t>
      </w:r>
      <w:r>
        <w:rPr>
          <w:color w:val="231F20"/>
        </w:rPr>
        <w:t>científicas,</w:t>
      </w:r>
      <w:r>
        <w:rPr>
          <w:color w:val="231F20"/>
          <w:spacing w:val="-9"/>
        </w:rPr>
        <w:t> </w:t>
      </w:r>
      <w:r>
        <w:rPr>
          <w:color w:val="231F20"/>
        </w:rPr>
        <w:t>las prioridades en la asignación de becas, las relaciones académicas con otros países y el concepto mismo de lo que entienden las universida- des por excelencia académica. Inclusive el SNI influye en la manera como se percibe y se enseña la ciencia en el conjunto del sistema educativo, en el surgimiento de vocaciones de jóvenes a la investiga- ción y en la cultura científica de toda la población (Observatorio Ciudadano</w:t>
      </w:r>
      <w:r>
        <w:rPr>
          <w:color w:val="231F20"/>
          <w:spacing w:val="-12"/>
        </w:rPr>
        <w:t> </w:t>
      </w:r>
      <w:r>
        <w:rPr>
          <w:color w:val="231F20"/>
        </w:rPr>
        <w:t>de</w:t>
      </w:r>
      <w:r>
        <w:rPr>
          <w:color w:val="231F20"/>
          <w:spacing w:val="-12"/>
        </w:rPr>
        <w:t> </w:t>
      </w:r>
      <w:r>
        <w:rPr>
          <w:color w:val="231F20"/>
        </w:rPr>
        <w:t>Educación,</w:t>
      </w:r>
      <w:r>
        <w:rPr>
          <w:color w:val="231F20"/>
          <w:spacing w:val="-13"/>
        </w:rPr>
        <w:t> </w:t>
      </w:r>
      <w:r>
        <w:rPr>
          <w:color w:val="231F20"/>
        </w:rPr>
        <w:t>25</w:t>
      </w:r>
      <w:r>
        <w:rPr>
          <w:color w:val="231F20"/>
          <w:spacing w:val="-12"/>
        </w:rPr>
        <w:t> </w:t>
      </w:r>
      <w:r>
        <w:rPr>
          <w:color w:val="231F20"/>
        </w:rPr>
        <w:t>de</w:t>
      </w:r>
      <w:r>
        <w:rPr>
          <w:color w:val="231F20"/>
          <w:spacing w:val="-12"/>
        </w:rPr>
        <w:t> </w:t>
      </w:r>
      <w:r>
        <w:rPr>
          <w:color w:val="231F20"/>
        </w:rPr>
        <w:t>junio</w:t>
      </w:r>
      <w:r>
        <w:rPr>
          <w:color w:val="231F20"/>
          <w:spacing w:val="-12"/>
        </w:rPr>
        <w:t> </w:t>
      </w:r>
      <w:r>
        <w:rPr>
          <w:color w:val="231F20"/>
        </w:rPr>
        <w:t>1999).</w:t>
      </w:r>
    </w:p>
    <w:p>
      <w:pPr>
        <w:pStyle w:val="BodyText"/>
        <w:spacing w:line="247" w:lineRule="auto"/>
        <w:ind w:left="102" w:right="115" w:firstLine="284"/>
        <w:jc w:val="both"/>
      </w:pPr>
      <w:r>
        <w:rPr>
          <w:color w:val="231F20"/>
          <w:spacing w:val="2"/>
        </w:rPr>
        <w:t>Por </w:t>
      </w:r>
      <w:r>
        <w:rPr>
          <w:color w:val="231F20"/>
        </w:rPr>
        <w:t>lo </w:t>
      </w:r>
      <w:r>
        <w:rPr>
          <w:color w:val="231F20"/>
          <w:spacing w:val="2"/>
        </w:rPr>
        <w:t>tanto, </w:t>
      </w:r>
      <w:r>
        <w:rPr>
          <w:color w:val="231F20"/>
          <w:spacing w:val="3"/>
        </w:rPr>
        <w:t>como </w:t>
      </w:r>
      <w:r>
        <w:rPr>
          <w:color w:val="231F20"/>
          <w:spacing w:val="2"/>
        </w:rPr>
        <w:t>pieza estratégica </w:t>
      </w:r>
      <w:r>
        <w:rPr>
          <w:color w:val="231F20"/>
        </w:rPr>
        <w:t>de la </w:t>
      </w:r>
      <w:r>
        <w:rPr>
          <w:color w:val="231F20"/>
          <w:spacing w:val="2"/>
        </w:rPr>
        <w:t>política, </w:t>
      </w:r>
      <w:r>
        <w:rPr>
          <w:color w:val="231F20"/>
        </w:rPr>
        <w:t>lo </w:t>
      </w:r>
      <w:r>
        <w:rPr>
          <w:color w:val="231F20"/>
          <w:spacing w:val="2"/>
        </w:rPr>
        <w:t>que esto  </w:t>
      </w:r>
      <w:r>
        <w:rPr>
          <w:color w:val="231F20"/>
        </w:rPr>
        <w:t>ha </w:t>
      </w:r>
      <w:r>
        <w:rPr>
          <w:color w:val="231F20"/>
          <w:spacing w:val="2"/>
        </w:rPr>
        <w:t>venido generando </w:t>
      </w:r>
      <w:r>
        <w:rPr>
          <w:color w:val="231F20"/>
        </w:rPr>
        <w:t>es un </w:t>
      </w:r>
      <w:r>
        <w:rPr>
          <w:color w:val="231F20"/>
          <w:spacing w:val="2"/>
        </w:rPr>
        <w:t>proceso silencioso </w:t>
      </w:r>
      <w:r>
        <w:rPr>
          <w:color w:val="231F20"/>
        </w:rPr>
        <w:t>o </w:t>
      </w:r>
      <w:r>
        <w:rPr>
          <w:color w:val="231F20"/>
          <w:spacing w:val="2"/>
        </w:rPr>
        <w:t>simbólico </w:t>
      </w:r>
      <w:r>
        <w:rPr>
          <w:color w:val="231F20"/>
        </w:rPr>
        <w:t>de </w:t>
      </w:r>
      <w:r>
        <w:rPr>
          <w:color w:val="231F20"/>
          <w:spacing w:val="2"/>
        </w:rPr>
        <w:t>violencia entre los investigadores debido </w:t>
      </w:r>
      <w:r>
        <w:rPr>
          <w:color w:val="231F20"/>
        </w:rPr>
        <w:t>a sus </w:t>
      </w:r>
      <w:r>
        <w:rPr>
          <w:color w:val="231F20"/>
          <w:spacing w:val="3"/>
        </w:rPr>
        <w:t>procesos </w:t>
      </w:r>
      <w:r>
        <w:rPr>
          <w:color w:val="231F20"/>
        </w:rPr>
        <w:t>de seg- </w:t>
      </w:r>
      <w:r>
        <w:rPr>
          <w:color w:val="231F20"/>
          <w:spacing w:val="2"/>
        </w:rPr>
        <w:t>mentación </w:t>
      </w:r>
      <w:r>
        <w:rPr>
          <w:color w:val="231F20"/>
        </w:rPr>
        <w:t>e </w:t>
      </w:r>
      <w:r>
        <w:rPr>
          <w:color w:val="231F20"/>
          <w:spacing w:val="2"/>
        </w:rPr>
        <w:t>individuación con base </w:t>
      </w:r>
      <w:r>
        <w:rPr>
          <w:color w:val="231F20"/>
        </w:rPr>
        <w:t>en </w:t>
      </w:r>
      <w:r>
        <w:rPr>
          <w:color w:val="231F20"/>
          <w:spacing w:val="2"/>
        </w:rPr>
        <w:t>los criterios meritocráticos </w:t>
      </w:r>
      <w:r>
        <w:rPr>
          <w:color w:val="231F20"/>
        </w:rPr>
        <w:t>de las </w:t>
      </w:r>
      <w:r>
        <w:rPr>
          <w:color w:val="231F20"/>
          <w:spacing w:val="2"/>
        </w:rPr>
        <w:t>evaluaciones, que </w:t>
      </w:r>
      <w:r>
        <w:rPr>
          <w:color w:val="231F20"/>
        </w:rPr>
        <w:t>no </w:t>
      </w:r>
      <w:r>
        <w:rPr>
          <w:color w:val="231F20"/>
          <w:spacing w:val="2"/>
        </w:rPr>
        <w:t>evidencian más que </w:t>
      </w:r>
      <w:r>
        <w:rPr>
          <w:color w:val="231F20"/>
        </w:rPr>
        <w:t>las </w:t>
      </w:r>
      <w:r>
        <w:rPr>
          <w:color w:val="231F20"/>
          <w:spacing w:val="3"/>
        </w:rPr>
        <w:t>formas corrup- </w:t>
      </w:r>
      <w:r>
        <w:rPr>
          <w:color w:val="231F20"/>
        </w:rPr>
        <w:t>tas y </w:t>
      </w:r>
      <w:r>
        <w:rPr>
          <w:color w:val="231F20"/>
          <w:spacing w:val="2"/>
        </w:rPr>
        <w:t>clientelares </w:t>
      </w:r>
      <w:r>
        <w:rPr>
          <w:color w:val="231F20"/>
        </w:rPr>
        <w:t>a las </w:t>
      </w:r>
      <w:r>
        <w:rPr>
          <w:color w:val="231F20"/>
          <w:spacing w:val="2"/>
        </w:rPr>
        <w:t>que han entrado los investigadores para seguir publicando </w:t>
      </w:r>
      <w:r>
        <w:rPr>
          <w:color w:val="231F20"/>
        </w:rPr>
        <w:t>tan </w:t>
      </w:r>
      <w:r>
        <w:rPr>
          <w:color w:val="231F20"/>
          <w:spacing w:val="3"/>
        </w:rPr>
        <w:t>frecuentemente, </w:t>
      </w:r>
      <w:r>
        <w:rPr>
          <w:color w:val="231F20"/>
        </w:rPr>
        <w:t>que </w:t>
      </w:r>
      <w:r>
        <w:rPr>
          <w:color w:val="231F20"/>
          <w:spacing w:val="2"/>
        </w:rPr>
        <w:t>parece </w:t>
      </w:r>
      <w:r>
        <w:rPr>
          <w:color w:val="231F20"/>
        </w:rPr>
        <w:t>algo </w:t>
      </w:r>
      <w:r>
        <w:rPr>
          <w:color w:val="231F20"/>
          <w:spacing w:val="2"/>
        </w:rPr>
        <w:t>extraordi- nario, tanto </w:t>
      </w:r>
      <w:r>
        <w:rPr>
          <w:color w:val="231F20"/>
        </w:rPr>
        <w:t>en </w:t>
      </w:r>
      <w:r>
        <w:rPr>
          <w:color w:val="231F20"/>
          <w:spacing w:val="2"/>
        </w:rPr>
        <w:t>los recursos </w:t>
      </w:r>
      <w:r>
        <w:rPr>
          <w:color w:val="231F20"/>
          <w:spacing w:val="3"/>
        </w:rPr>
        <w:t>como </w:t>
      </w:r>
      <w:r>
        <w:rPr>
          <w:color w:val="231F20"/>
        </w:rPr>
        <w:t>en la </w:t>
      </w:r>
      <w:r>
        <w:rPr>
          <w:color w:val="231F20"/>
          <w:spacing w:val="3"/>
        </w:rPr>
        <w:t>producción, como </w:t>
      </w:r>
      <w:r>
        <w:rPr>
          <w:color w:val="231F20"/>
          <w:spacing w:val="2"/>
        </w:rPr>
        <w:t>diría </w:t>
      </w:r>
      <w:r>
        <w:rPr>
          <w:color w:val="231F20"/>
        </w:rPr>
        <w:t>el </w:t>
      </w:r>
      <w:r>
        <w:rPr>
          <w:color w:val="231F20"/>
          <w:spacing w:val="2"/>
        </w:rPr>
        <w:t>Foro Consultivo </w:t>
      </w:r>
      <w:r>
        <w:rPr>
          <w:color w:val="231F20"/>
        </w:rPr>
        <w:t>en el</w:t>
      </w:r>
      <w:r>
        <w:rPr>
          <w:color w:val="231F20"/>
          <w:spacing w:val="27"/>
        </w:rPr>
        <w:t> </w:t>
      </w:r>
      <w:r>
        <w:rPr>
          <w:color w:val="231F20"/>
          <w:spacing w:val="2"/>
        </w:rPr>
        <w:t>2005.</w:t>
      </w:r>
    </w:p>
    <w:p>
      <w:pPr>
        <w:pStyle w:val="BodyText"/>
        <w:spacing w:line="247" w:lineRule="auto" w:before="6"/>
        <w:ind w:left="102" w:right="115" w:firstLine="284"/>
        <w:jc w:val="both"/>
      </w:pPr>
      <w:r>
        <w:rPr>
          <w:color w:val="231F20"/>
        </w:rPr>
        <w:t>Así se advierte, en cuanto a la evaluación que algunas comisio- nes, que solamente se evalúan algunos aspectos del trabajo cientí- fico. El resultado produce frecuentes reclamos que no ayudan a mantener la cohesión de la comunidad, y revelan que con fre- cuencia se han cometido omisiones e injusticias. El proceso de evaluación tiene otras características indeseables que obligan a revisarlo (Foro Consultivo Científico y Tecnológico y Academia Mexicana de Ciencias, 2005).</w:t>
      </w:r>
    </w:p>
    <w:p>
      <w:pPr>
        <w:pStyle w:val="BodyText"/>
        <w:spacing w:line="249" w:lineRule="auto" w:before="1"/>
        <w:ind w:left="102" w:right="115" w:firstLine="284"/>
        <w:jc w:val="both"/>
      </w:pPr>
      <w:r>
        <w:rPr>
          <w:color w:val="231F20"/>
        </w:rPr>
        <w:t>En términos de la estratificación del profesorado, si se mira en su conjunto al profesorado de la educación superior mexicana, incluyendo a los investigadores que tanto en las  IES  como  en otros centros desarrollan actividades científicas  y  docentes,  los que forman parte del SNI constituyen un estamento privilegiado </w:t>
      </w:r>
      <w:r>
        <w:rPr>
          <w:color w:val="231F20"/>
          <w:w w:val="95"/>
        </w:rPr>
        <w:t>(Álvarez-Mendiola, 2010).</w:t>
      </w:r>
    </w:p>
    <w:p>
      <w:pPr>
        <w:pStyle w:val="BodyText"/>
        <w:spacing w:line="247" w:lineRule="auto"/>
        <w:ind w:left="102" w:right="114" w:firstLine="284"/>
        <w:jc w:val="both"/>
      </w:pPr>
      <w:r>
        <w:rPr>
          <w:color w:val="231F20"/>
        </w:rPr>
        <w:t>Sin juzgar el mérito de estos investigadores, solo por su pertenencia al SNI, supone que tienen privilegios que el SNI confiere en términos monetarios y simbólicos, exacerban las brechas entre los académicos, entre quienes se dedican a la investigación, que son profesores de tiempo completo generalmente con baja carga docente y atención de alumnos focalizada en los pequeños grupos de los últimos semestres de la licenciatura y  los posgrados (único  espacio  en  el  que el  vínculo</w:t>
      </w:r>
    </w:p>
    <w:p>
      <w:pPr>
        <w:spacing w:after="0" w:line="247" w:lineRule="auto"/>
        <w:jc w:val="both"/>
        <w:sectPr>
          <w:headerReference w:type="default" r:id="rId122"/>
          <w:footerReference w:type="default" r:id="rId123"/>
          <w:pgSz w:w="7830" w:h="11910"/>
          <w:pgMar w:header="0" w:footer="424" w:top="500" w:bottom="620" w:left="920" w:right="900"/>
          <w:pgNumType w:start="5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9"/>
        <w:jc w:val="both"/>
      </w:pPr>
      <w:r>
        <w:rPr>
          <w:color w:val="231F20"/>
        </w:rPr>
        <w:t>investigación-docencia puede ser orgánico), y quienes se dedican a la docencia, ya sean profesores de tiempo completo o por horas, encargados de la enseñanza masificada.</w:t>
      </w:r>
    </w:p>
    <w:p>
      <w:pPr>
        <w:pStyle w:val="BodyText"/>
        <w:spacing w:line="249" w:lineRule="auto" w:before="1"/>
        <w:ind w:left="101" w:right="116" w:firstLine="284"/>
        <w:jc w:val="both"/>
      </w:pPr>
      <w:r>
        <w:rPr>
          <w:color w:val="231F20"/>
        </w:rPr>
        <w:t>Por otro lado, aunque ha disminuido, se mantiene una importante brecha entre los profesores de las instituciones de la Ciudad de México y los de las entidades federativas, generalmente con menores condiciones de trabajo e ingresos más bajos. El carácter estamental de la pertenencia al SNI se refuerza, adicionalmente, con el hecho de que el estímulo que reciben sus miembros no genera impuestos ni se declara ante la autoridad impositiva. Así, el SNI produce el efecto de sobrevalorar la profesión de investigador.</w:t>
      </w:r>
    </w:p>
    <w:p>
      <w:pPr>
        <w:pStyle w:val="BodyText"/>
        <w:spacing w:line="249" w:lineRule="auto"/>
        <w:ind w:left="101" w:right="115" w:firstLine="284"/>
        <w:jc w:val="both"/>
      </w:pPr>
      <w:r>
        <w:rPr>
          <w:color w:val="231F20"/>
          <w:spacing w:val="2"/>
        </w:rPr>
        <w:t>Quienes logran ingresar </w:t>
      </w:r>
      <w:r>
        <w:rPr>
          <w:color w:val="231F20"/>
        </w:rPr>
        <w:t>al </w:t>
      </w:r>
      <w:r>
        <w:rPr>
          <w:color w:val="231F20"/>
          <w:spacing w:val="2"/>
        </w:rPr>
        <w:t>SNI ganarán más dinero </w:t>
      </w:r>
      <w:r>
        <w:rPr>
          <w:color w:val="231F20"/>
        </w:rPr>
        <w:t>y </w:t>
      </w:r>
      <w:r>
        <w:rPr>
          <w:color w:val="231F20"/>
          <w:spacing w:val="2"/>
        </w:rPr>
        <w:t>prestigio </w:t>
      </w:r>
      <w:r>
        <w:rPr>
          <w:color w:val="231F20"/>
        </w:rPr>
        <w:t>que </w:t>
      </w:r>
      <w:r>
        <w:rPr>
          <w:color w:val="231F20"/>
          <w:spacing w:val="2"/>
        </w:rPr>
        <w:t>quienes </w:t>
      </w:r>
      <w:r>
        <w:rPr>
          <w:color w:val="231F20"/>
        </w:rPr>
        <w:t>no </w:t>
      </w:r>
      <w:r>
        <w:rPr>
          <w:color w:val="231F20"/>
          <w:spacing w:val="2"/>
        </w:rPr>
        <w:t>ingresan. Los </w:t>
      </w:r>
      <w:r>
        <w:rPr>
          <w:color w:val="231F20"/>
          <w:spacing w:val="3"/>
        </w:rPr>
        <w:t>profesores </w:t>
      </w:r>
      <w:r>
        <w:rPr>
          <w:color w:val="231F20"/>
        </w:rPr>
        <w:t>que se </w:t>
      </w:r>
      <w:r>
        <w:rPr>
          <w:color w:val="231F20"/>
          <w:spacing w:val="2"/>
        </w:rPr>
        <w:t>dedican </w:t>
      </w:r>
      <w:r>
        <w:rPr>
          <w:color w:val="231F20"/>
        </w:rPr>
        <w:t>a la </w:t>
      </w:r>
      <w:r>
        <w:rPr>
          <w:color w:val="231F20"/>
          <w:spacing w:val="3"/>
        </w:rPr>
        <w:t>enseñanza </w:t>
      </w:r>
      <w:r>
        <w:rPr>
          <w:color w:val="231F20"/>
          <w:spacing w:val="2"/>
        </w:rPr>
        <w:t>tienen una gran desventaja pues </w:t>
      </w:r>
      <w:r>
        <w:rPr>
          <w:color w:val="231F20"/>
        </w:rPr>
        <w:t>no  </w:t>
      </w:r>
      <w:r>
        <w:rPr>
          <w:color w:val="231F20"/>
          <w:spacing w:val="2"/>
        </w:rPr>
        <w:t>existe –ni debería  </w:t>
      </w:r>
      <w:r>
        <w:rPr>
          <w:color w:val="231F20"/>
        </w:rPr>
        <w:t>de </w:t>
      </w:r>
      <w:r>
        <w:rPr>
          <w:color w:val="231F20"/>
          <w:spacing w:val="2"/>
        </w:rPr>
        <w:t>existir– una suerte </w:t>
      </w:r>
      <w:r>
        <w:rPr>
          <w:color w:val="231F20"/>
        </w:rPr>
        <w:t>de </w:t>
      </w:r>
      <w:r>
        <w:rPr>
          <w:color w:val="231F20"/>
          <w:spacing w:val="2"/>
        </w:rPr>
        <w:t>Sistema </w:t>
      </w:r>
      <w:r>
        <w:rPr>
          <w:color w:val="231F20"/>
          <w:spacing w:val="3"/>
        </w:rPr>
        <w:t>Nacional </w:t>
      </w:r>
      <w:r>
        <w:rPr>
          <w:color w:val="231F20"/>
        </w:rPr>
        <w:t>de </w:t>
      </w:r>
      <w:r>
        <w:rPr>
          <w:color w:val="231F20"/>
          <w:spacing w:val="3"/>
        </w:rPr>
        <w:t>Docentes; como </w:t>
      </w:r>
      <w:r>
        <w:rPr>
          <w:color w:val="231F20"/>
        </w:rPr>
        <w:t>sí </w:t>
      </w:r>
      <w:r>
        <w:rPr>
          <w:color w:val="231F20"/>
          <w:spacing w:val="2"/>
        </w:rPr>
        <w:t>existe, por ejemplo, para los creadores. Investigar </w:t>
      </w:r>
      <w:r>
        <w:rPr>
          <w:color w:val="231F20"/>
        </w:rPr>
        <w:t>es </w:t>
      </w:r>
      <w:r>
        <w:rPr>
          <w:color w:val="231F20"/>
          <w:spacing w:val="2"/>
        </w:rPr>
        <w:t>una actividad </w:t>
      </w:r>
      <w:r>
        <w:rPr>
          <w:color w:val="231F20"/>
          <w:spacing w:val="3"/>
        </w:rPr>
        <w:t>profesional como </w:t>
      </w:r>
      <w:r>
        <w:rPr>
          <w:color w:val="231F20"/>
          <w:spacing w:val="2"/>
        </w:rPr>
        <w:t>cualquier otra, </w:t>
      </w:r>
      <w:r>
        <w:rPr>
          <w:color w:val="231F20"/>
        </w:rPr>
        <w:t>de </w:t>
      </w:r>
      <w:r>
        <w:rPr>
          <w:color w:val="231F20"/>
          <w:spacing w:val="2"/>
        </w:rPr>
        <w:t>suma </w:t>
      </w:r>
      <w:r>
        <w:rPr>
          <w:color w:val="231F20"/>
          <w:spacing w:val="3"/>
        </w:rPr>
        <w:t>importancia </w:t>
      </w:r>
      <w:r>
        <w:rPr>
          <w:color w:val="231F20"/>
        </w:rPr>
        <w:t>sin </w:t>
      </w:r>
      <w:r>
        <w:rPr>
          <w:color w:val="231F20"/>
          <w:spacing w:val="3"/>
        </w:rPr>
        <w:t>duda, </w:t>
      </w:r>
      <w:r>
        <w:rPr>
          <w:color w:val="231F20"/>
          <w:spacing w:val="2"/>
        </w:rPr>
        <w:t>pero </w:t>
      </w:r>
      <w:r>
        <w:rPr>
          <w:color w:val="231F20"/>
        </w:rPr>
        <w:t>no </w:t>
      </w:r>
      <w:r>
        <w:rPr>
          <w:color w:val="231F20"/>
          <w:spacing w:val="2"/>
        </w:rPr>
        <w:t>hay ningún </w:t>
      </w:r>
      <w:r>
        <w:rPr>
          <w:color w:val="231F20"/>
          <w:spacing w:val="3"/>
        </w:rPr>
        <w:t>argumento </w:t>
      </w:r>
      <w:r>
        <w:rPr>
          <w:color w:val="231F20"/>
          <w:spacing w:val="2"/>
        </w:rPr>
        <w:t>razonable </w:t>
      </w:r>
      <w:r>
        <w:rPr>
          <w:color w:val="231F20"/>
        </w:rPr>
        <w:t>que </w:t>
      </w:r>
      <w:r>
        <w:rPr>
          <w:color w:val="231F20"/>
          <w:spacing w:val="2"/>
        </w:rPr>
        <w:t>pueda ponerla </w:t>
      </w:r>
      <w:r>
        <w:rPr>
          <w:color w:val="231F20"/>
          <w:spacing w:val="4"/>
        </w:rPr>
        <w:t>por </w:t>
      </w:r>
      <w:r>
        <w:rPr>
          <w:color w:val="231F20"/>
          <w:spacing w:val="2"/>
        </w:rPr>
        <w:t>encima </w:t>
      </w:r>
      <w:r>
        <w:rPr>
          <w:color w:val="231F20"/>
        </w:rPr>
        <w:t>de </w:t>
      </w:r>
      <w:r>
        <w:rPr>
          <w:color w:val="231F20"/>
          <w:spacing w:val="2"/>
        </w:rPr>
        <w:t>otras </w:t>
      </w:r>
      <w:r>
        <w:rPr>
          <w:color w:val="231F20"/>
        </w:rPr>
        <w:t>tan </w:t>
      </w:r>
      <w:r>
        <w:rPr>
          <w:color w:val="231F20"/>
          <w:spacing w:val="2"/>
        </w:rPr>
        <w:t>significativas </w:t>
      </w:r>
      <w:r>
        <w:rPr>
          <w:color w:val="231F20"/>
          <w:spacing w:val="3"/>
        </w:rPr>
        <w:t>como </w:t>
      </w:r>
      <w:r>
        <w:rPr>
          <w:color w:val="231F20"/>
        </w:rPr>
        <w:t>la de </w:t>
      </w:r>
      <w:r>
        <w:rPr>
          <w:color w:val="231F20"/>
          <w:spacing w:val="2"/>
        </w:rPr>
        <w:t>enseñar </w:t>
      </w:r>
      <w:r>
        <w:rPr>
          <w:color w:val="231F20"/>
        </w:rPr>
        <w:t>o</w:t>
      </w:r>
      <w:r>
        <w:rPr>
          <w:color w:val="231F20"/>
          <w:spacing w:val="48"/>
        </w:rPr>
        <w:t> </w:t>
      </w:r>
      <w:r>
        <w:rPr>
          <w:color w:val="231F20"/>
          <w:spacing w:val="2"/>
        </w:rPr>
        <w:t>producir.</w:t>
      </w:r>
    </w:p>
    <w:p>
      <w:pPr>
        <w:pStyle w:val="BodyText"/>
        <w:spacing w:line="247" w:lineRule="auto"/>
        <w:ind w:left="102" w:right="114" w:firstLine="284"/>
        <w:jc w:val="both"/>
      </w:pPr>
      <w:r>
        <w:rPr>
          <w:color w:val="231F20"/>
        </w:rPr>
        <w:t>Reconocer que la investigación debe de tener un estatus semejante al de otras actividades ligadas al mundo académico ayudaría a reducir la brecha tan marcadamente grande entre investigadores y docentes. Reconocido esto, los mecanismos de valoración de las diversas funciones se verían reforzados con criterios diferenciados, de manera que el reconocimiento de la especificidad estaría acompañado de evaluaciones estrictas.</w:t>
      </w:r>
    </w:p>
    <w:p>
      <w:pPr>
        <w:pStyle w:val="BodyText"/>
        <w:spacing w:line="249" w:lineRule="auto" w:before="1"/>
        <w:ind w:left="102" w:right="117" w:firstLine="283"/>
        <w:jc w:val="both"/>
      </w:pPr>
      <w:r>
        <w:rPr>
          <w:color w:val="231F20"/>
        </w:rPr>
        <w:t>El </w:t>
      </w:r>
      <w:r>
        <w:rPr>
          <w:color w:val="231F20"/>
          <w:spacing w:val="2"/>
        </w:rPr>
        <w:t>afianzamiento del </w:t>
      </w:r>
      <w:r>
        <w:rPr>
          <w:color w:val="231F20"/>
          <w:spacing w:val="3"/>
        </w:rPr>
        <w:t>segmento </w:t>
      </w:r>
      <w:r>
        <w:rPr>
          <w:color w:val="231F20"/>
        </w:rPr>
        <w:t>de </w:t>
      </w:r>
      <w:r>
        <w:rPr>
          <w:color w:val="231F20"/>
          <w:spacing w:val="2"/>
        </w:rPr>
        <w:t>investigadores que pertene- </w:t>
      </w:r>
      <w:r>
        <w:rPr>
          <w:color w:val="231F20"/>
        </w:rPr>
        <w:t>cen al </w:t>
      </w:r>
      <w:r>
        <w:rPr>
          <w:color w:val="231F20"/>
          <w:spacing w:val="3"/>
        </w:rPr>
        <w:t>SNI </w:t>
      </w:r>
      <w:r>
        <w:rPr>
          <w:color w:val="231F20"/>
        </w:rPr>
        <w:t>no </w:t>
      </w:r>
      <w:r>
        <w:rPr>
          <w:color w:val="231F20"/>
          <w:spacing w:val="3"/>
        </w:rPr>
        <w:t>puede </w:t>
      </w:r>
      <w:r>
        <w:rPr>
          <w:color w:val="231F20"/>
          <w:spacing w:val="2"/>
        </w:rPr>
        <w:t>ocultar </w:t>
      </w:r>
      <w:r>
        <w:rPr>
          <w:color w:val="231F20"/>
        </w:rPr>
        <w:t>el </w:t>
      </w:r>
      <w:r>
        <w:rPr>
          <w:color w:val="231F20"/>
          <w:spacing w:val="2"/>
        </w:rPr>
        <w:t>hecho </w:t>
      </w:r>
      <w:r>
        <w:rPr>
          <w:color w:val="231F20"/>
        </w:rPr>
        <w:t>de </w:t>
      </w:r>
      <w:r>
        <w:rPr>
          <w:color w:val="231F20"/>
          <w:spacing w:val="2"/>
        </w:rPr>
        <w:t>que existen </w:t>
      </w:r>
      <w:r>
        <w:rPr>
          <w:color w:val="231F20"/>
          <w:spacing w:val="3"/>
        </w:rPr>
        <w:t>muchos </w:t>
      </w:r>
      <w:r>
        <w:rPr>
          <w:color w:val="231F20"/>
          <w:spacing w:val="2"/>
        </w:rPr>
        <w:t>más </w:t>
      </w:r>
      <w:r>
        <w:rPr>
          <w:color w:val="231F20"/>
          <w:spacing w:val="3"/>
        </w:rPr>
        <w:t>académicos </w:t>
      </w:r>
      <w:r>
        <w:rPr>
          <w:color w:val="231F20"/>
        </w:rPr>
        <w:t>que </w:t>
      </w:r>
      <w:r>
        <w:rPr>
          <w:color w:val="231F20"/>
          <w:spacing w:val="2"/>
        </w:rPr>
        <w:t>realizan actividades </w:t>
      </w:r>
      <w:r>
        <w:rPr>
          <w:color w:val="231F20"/>
        </w:rPr>
        <w:t>de </w:t>
      </w:r>
      <w:r>
        <w:rPr>
          <w:color w:val="231F20"/>
          <w:spacing w:val="2"/>
        </w:rPr>
        <w:t>investigación pero cuyo </w:t>
      </w:r>
      <w:r>
        <w:rPr>
          <w:color w:val="231F20"/>
          <w:spacing w:val="3"/>
        </w:rPr>
        <w:t>número </w:t>
      </w:r>
      <w:r>
        <w:rPr>
          <w:color w:val="231F20"/>
        </w:rPr>
        <w:t>y </w:t>
      </w:r>
      <w:r>
        <w:rPr>
          <w:color w:val="231F20"/>
          <w:spacing w:val="2"/>
        </w:rPr>
        <w:t>quehacer </w:t>
      </w:r>
      <w:r>
        <w:rPr>
          <w:color w:val="231F20"/>
        </w:rPr>
        <w:t>se </w:t>
      </w:r>
      <w:r>
        <w:rPr>
          <w:color w:val="231F20"/>
          <w:spacing w:val="2"/>
        </w:rPr>
        <w:t>ignora. </w:t>
      </w:r>
      <w:r>
        <w:rPr>
          <w:color w:val="231F20"/>
        </w:rPr>
        <w:t>Es de </w:t>
      </w:r>
      <w:r>
        <w:rPr>
          <w:color w:val="231F20"/>
          <w:spacing w:val="3"/>
        </w:rPr>
        <w:t>suponer </w:t>
      </w:r>
      <w:r>
        <w:rPr>
          <w:color w:val="231F20"/>
        </w:rPr>
        <w:t>que </w:t>
      </w:r>
      <w:r>
        <w:rPr>
          <w:color w:val="231F20"/>
          <w:spacing w:val="2"/>
        </w:rPr>
        <w:t>esos académicos requieren </w:t>
      </w:r>
      <w:r>
        <w:rPr>
          <w:color w:val="231F20"/>
          <w:spacing w:val="3"/>
        </w:rPr>
        <w:t>también </w:t>
      </w:r>
      <w:r>
        <w:rPr>
          <w:color w:val="231F20"/>
        </w:rPr>
        <w:t>de </w:t>
      </w:r>
      <w:r>
        <w:rPr>
          <w:color w:val="231F20"/>
          <w:spacing w:val="2"/>
        </w:rPr>
        <w:t>una </w:t>
      </w:r>
      <w:r>
        <w:rPr>
          <w:color w:val="231F20"/>
          <w:spacing w:val="3"/>
        </w:rPr>
        <w:t>forma </w:t>
      </w:r>
      <w:r>
        <w:rPr>
          <w:color w:val="231F20"/>
        </w:rPr>
        <w:t>de ser </w:t>
      </w:r>
      <w:r>
        <w:rPr>
          <w:color w:val="231F20"/>
          <w:spacing w:val="2"/>
        </w:rPr>
        <w:t>reconocidos, evaluados </w:t>
      </w:r>
      <w:r>
        <w:rPr>
          <w:color w:val="231F20"/>
        </w:rPr>
        <w:t>y,   si es el </w:t>
      </w:r>
      <w:r>
        <w:rPr>
          <w:color w:val="231F20"/>
          <w:spacing w:val="2"/>
        </w:rPr>
        <w:t>caso, incentivados </w:t>
      </w:r>
      <w:r>
        <w:rPr>
          <w:color w:val="231F20"/>
        </w:rPr>
        <w:t>o </w:t>
      </w:r>
      <w:r>
        <w:rPr>
          <w:color w:val="231F20"/>
          <w:spacing w:val="2"/>
        </w:rPr>
        <w:t>más bien </w:t>
      </w:r>
      <w:r>
        <w:rPr>
          <w:color w:val="231F20"/>
        </w:rPr>
        <w:t>de </w:t>
      </w:r>
      <w:r>
        <w:rPr>
          <w:color w:val="231F20"/>
          <w:spacing w:val="2"/>
        </w:rPr>
        <w:t>gozar </w:t>
      </w:r>
      <w:r>
        <w:rPr>
          <w:color w:val="231F20"/>
        </w:rPr>
        <w:t>de un </w:t>
      </w:r>
      <w:r>
        <w:rPr>
          <w:color w:val="231F20"/>
          <w:spacing w:val="2"/>
        </w:rPr>
        <w:t>salario digno. </w:t>
      </w:r>
      <w:r>
        <w:rPr>
          <w:color w:val="231F20"/>
        </w:rPr>
        <w:t>En </w:t>
      </w:r>
      <w:r>
        <w:rPr>
          <w:color w:val="231F20"/>
          <w:spacing w:val="2"/>
        </w:rPr>
        <w:t>todo caso, </w:t>
      </w:r>
      <w:r>
        <w:rPr>
          <w:color w:val="231F20"/>
        </w:rPr>
        <w:t>no es </w:t>
      </w:r>
      <w:r>
        <w:rPr>
          <w:color w:val="231F20"/>
          <w:spacing w:val="2"/>
        </w:rPr>
        <w:t>posible sostener </w:t>
      </w:r>
      <w:r>
        <w:rPr>
          <w:color w:val="231F20"/>
        </w:rPr>
        <w:t>que </w:t>
      </w:r>
      <w:r>
        <w:rPr>
          <w:color w:val="231F20"/>
          <w:spacing w:val="2"/>
        </w:rPr>
        <w:t>los </w:t>
      </w:r>
      <w:r>
        <w:rPr>
          <w:color w:val="231F20"/>
          <w:spacing w:val="3"/>
        </w:rPr>
        <w:t>miembros </w:t>
      </w:r>
      <w:r>
        <w:rPr>
          <w:color w:val="231F20"/>
          <w:spacing w:val="2"/>
        </w:rPr>
        <w:t>del SNI realizan toda </w:t>
      </w:r>
      <w:r>
        <w:rPr>
          <w:color w:val="231F20"/>
        </w:rPr>
        <w:t>la </w:t>
      </w:r>
      <w:r>
        <w:rPr>
          <w:color w:val="231F20"/>
          <w:spacing w:val="2"/>
        </w:rPr>
        <w:t>investigación </w:t>
      </w:r>
      <w:r>
        <w:rPr>
          <w:color w:val="231F20"/>
        </w:rPr>
        <w:t>y, en ese </w:t>
      </w:r>
      <w:r>
        <w:rPr>
          <w:color w:val="231F20"/>
          <w:spacing w:val="3"/>
        </w:rPr>
        <w:t>sentido, </w:t>
      </w:r>
      <w:r>
        <w:rPr>
          <w:color w:val="231F20"/>
        </w:rPr>
        <w:t>tal vez el </w:t>
      </w:r>
      <w:r>
        <w:rPr>
          <w:color w:val="231F20"/>
          <w:spacing w:val="2"/>
        </w:rPr>
        <w:t>SNI </w:t>
      </w:r>
      <w:r>
        <w:rPr>
          <w:color w:val="231F20"/>
        </w:rPr>
        <w:t>se </w:t>
      </w:r>
      <w:r>
        <w:rPr>
          <w:color w:val="231F20"/>
          <w:spacing w:val="2"/>
        </w:rPr>
        <w:t>trate </w:t>
      </w:r>
      <w:r>
        <w:rPr>
          <w:color w:val="231F20"/>
        </w:rPr>
        <w:t>de </w:t>
      </w:r>
      <w:r>
        <w:rPr>
          <w:color w:val="231F20"/>
          <w:spacing w:val="2"/>
        </w:rPr>
        <w:t>una inversión </w:t>
      </w:r>
      <w:r>
        <w:rPr>
          <w:color w:val="231F20"/>
          <w:spacing w:val="3"/>
        </w:rPr>
        <w:t>muy </w:t>
      </w:r>
      <w:r>
        <w:rPr>
          <w:color w:val="231F20"/>
        </w:rPr>
        <w:t>alta </w:t>
      </w:r>
      <w:r>
        <w:rPr>
          <w:color w:val="231F20"/>
          <w:spacing w:val="2"/>
        </w:rPr>
        <w:t>que </w:t>
      </w:r>
      <w:r>
        <w:rPr>
          <w:color w:val="231F20"/>
        </w:rPr>
        <w:t>no </w:t>
      </w:r>
      <w:r>
        <w:rPr>
          <w:color w:val="231F20"/>
          <w:spacing w:val="2"/>
        </w:rPr>
        <w:t>expresa realmente toda </w:t>
      </w:r>
      <w:r>
        <w:rPr>
          <w:color w:val="231F20"/>
        </w:rPr>
        <w:t>la </w:t>
      </w:r>
      <w:r>
        <w:rPr>
          <w:color w:val="231F20"/>
          <w:spacing w:val="2"/>
        </w:rPr>
        <w:t>actividad </w:t>
      </w:r>
      <w:r>
        <w:rPr>
          <w:color w:val="231F20"/>
        </w:rPr>
        <w:t>de </w:t>
      </w:r>
      <w:r>
        <w:rPr>
          <w:color w:val="231F20"/>
          <w:spacing w:val="2"/>
        </w:rPr>
        <w:t>investigación </w:t>
      </w:r>
      <w:r>
        <w:rPr>
          <w:color w:val="231F20"/>
        </w:rPr>
        <w:t>que se </w:t>
      </w:r>
      <w:r>
        <w:rPr>
          <w:color w:val="231F20"/>
          <w:spacing w:val="2"/>
        </w:rPr>
        <w:t>genera </w:t>
      </w:r>
      <w:r>
        <w:rPr>
          <w:color w:val="231F20"/>
        </w:rPr>
        <w:t>en</w:t>
      </w:r>
      <w:r>
        <w:rPr>
          <w:color w:val="231F20"/>
          <w:spacing w:val="-16"/>
        </w:rPr>
        <w:t> </w:t>
      </w:r>
      <w:r>
        <w:rPr>
          <w:color w:val="231F20"/>
          <w:spacing w:val="2"/>
        </w:rPr>
        <w:t>México.</w:t>
      </w:r>
    </w:p>
    <w:p>
      <w:pPr>
        <w:pStyle w:val="BodyText"/>
        <w:spacing w:line="247" w:lineRule="auto"/>
        <w:ind w:left="102" w:right="115" w:firstLine="284"/>
        <w:jc w:val="both"/>
      </w:pPr>
      <w:r>
        <w:rPr>
          <w:color w:val="231F20"/>
        </w:rPr>
        <w:t>En particular, el Foro Consultivo ya indicaba en el 2005 el in- justo reclamo de los investigadores acerca de que con frecuencia</w:t>
      </w:r>
    </w:p>
    <w:p>
      <w:pPr>
        <w:spacing w:after="0" w:line="247" w:lineRule="auto"/>
        <w:jc w:val="both"/>
        <w:sectPr>
          <w:headerReference w:type="default" r:id="rId124"/>
          <w:footerReference w:type="default" r:id="rId125"/>
          <w:pgSz w:w="7830" w:h="11910"/>
          <w:pgMar w:header="0" w:footer="424" w:top="500" w:bottom="620" w:left="920" w:right="900"/>
          <w:pgNumType w:start="5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5"/>
        <w:jc w:val="both"/>
      </w:pPr>
      <w:r>
        <w:rPr>
          <w:color w:val="231F20"/>
        </w:rPr>
        <w:t>se </w:t>
      </w:r>
      <w:r>
        <w:rPr>
          <w:color w:val="231F20"/>
          <w:spacing w:val="2"/>
        </w:rPr>
        <w:t>califican ciertos </w:t>
      </w:r>
      <w:r>
        <w:rPr>
          <w:color w:val="231F20"/>
          <w:spacing w:val="3"/>
        </w:rPr>
        <w:t>“productos acumulados”, </w:t>
      </w:r>
      <w:r>
        <w:rPr>
          <w:color w:val="231F20"/>
        </w:rPr>
        <w:t>y no el </w:t>
      </w:r>
      <w:r>
        <w:rPr>
          <w:color w:val="231F20"/>
          <w:spacing w:val="2"/>
        </w:rPr>
        <w:t>impacto del científico </w:t>
      </w:r>
      <w:r>
        <w:rPr>
          <w:color w:val="231F20"/>
        </w:rPr>
        <w:t>o su </w:t>
      </w:r>
      <w:r>
        <w:rPr>
          <w:color w:val="231F20"/>
          <w:spacing w:val="3"/>
        </w:rPr>
        <w:t>producción </w:t>
      </w:r>
      <w:r>
        <w:rPr>
          <w:color w:val="231F20"/>
          <w:spacing w:val="2"/>
        </w:rPr>
        <w:t>reciente, </w:t>
      </w:r>
      <w:r>
        <w:rPr>
          <w:color w:val="231F20"/>
        </w:rPr>
        <w:t>lo </w:t>
      </w:r>
      <w:r>
        <w:rPr>
          <w:color w:val="231F20"/>
          <w:spacing w:val="2"/>
        </w:rPr>
        <w:t>que </w:t>
      </w:r>
      <w:r>
        <w:rPr>
          <w:color w:val="231F20"/>
        </w:rPr>
        <w:t>es </w:t>
      </w:r>
      <w:r>
        <w:rPr>
          <w:color w:val="231F20"/>
          <w:spacing w:val="3"/>
        </w:rPr>
        <w:t>indebidamente </w:t>
      </w:r>
      <w:r>
        <w:rPr>
          <w:color w:val="231F20"/>
          <w:spacing w:val="2"/>
        </w:rPr>
        <w:t>per- cibido</w:t>
      </w:r>
      <w:r>
        <w:rPr>
          <w:color w:val="231F20"/>
          <w:spacing w:val="-4"/>
        </w:rPr>
        <w:t> </w:t>
      </w:r>
      <w:r>
        <w:rPr>
          <w:color w:val="231F20"/>
          <w:spacing w:val="3"/>
        </w:rPr>
        <w:t>como</w:t>
      </w:r>
      <w:r>
        <w:rPr>
          <w:color w:val="231F20"/>
          <w:spacing w:val="-4"/>
        </w:rPr>
        <w:t> </w:t>
      </w:r>
      <w:r>
        <w:rPr>
          <w:color w:val="231F20"/>
        </w:rPr>
        <w:t>la</w:t>
      </w:r>
      <w:r>
        <w:rPr>
          <w:color w:val="231F20"/>
          <w:spacing w:val="-5"/>
        </w:rPr>
        <w:t> </w:t>
      </w:r>
      <w:r>
        <w:rPr>
          <w:color w:val="231F20"/>
          <w:spacing w:val="3"/>
        </w:rPr>
        <w:t>transformación</w:t>
      </w:r>
      <w:r>
        <w:rPr>
          <w:color w:val="231F20"/>
          <w:spacing w:val="-4"/>
        </w:rPr>
        <w:t> </w:t>
      </w:r>
      <w:r>
        <w:rPr>
          <w:color w:val="231F20"/>
          <w:spacing w:val="2"/>
        </w:rPr>
        <w:t>del</w:t>
      </w:r>
      <w:r>
        <w:rPr>
          <w:color w:val="231F20"/>
          <w:spacing w:val="-5"/>
        </w:rPr>
        <w:t> </w:t>
      </w:r>
      <w:r>
        <w:rPr>
          <w:color w:val="231F20"/>
          <w:spacing w:val="2"/>
        </w:rPr>
        <w:t>sistema</w:t>
      </w:r>
      <w:r>
        <w:rPr>
          <w:color w:val="231F20"/>
          <w:spacing w:val="-5"/>
        </w:rPr>
        <w:t> </w:t>
      </w:r>
      <w:r>
        <w:rPr>
          <w:color w:val="231F20"/>
        </w:rPr>
        <w:t>en</w:t>
      </w:r>
      <w:r>
        <w:rPr>
          <w:color w:val="231F20"/>
          <w:spacing w:val="-4"/>
        </w:rPr>
        <w:t> </w:t>
      </w:r>
      <w:r>
        <w:rPr>
          <w:color w:val="231F20"/>
        </w:rPr>
        <w:t>un</w:t>
      </w:r>
      <w:r>
        <w:rPr>
          <w:color w:val="231F20"/>
          <w:spacing w:val="-4"/>
        </w:rPr>
        <w:t> </w:t>
      </w:r>
      <w:r>
        <w:rPr>
          <w:color w:val="231F20"/>
          <w:spacing w:val="3"/>
        </w:rPr>
        <w:t>organismo</w:t>
      </w:r>
      <w:r>
        <w:rPr>
          <w:color w:val="231F20"/>
          <w:spacing w:val="-5"/>
        </w:rPr>
        <w:t> </w:t>
      </w:r>
      <w:r>
        <w:rPr>
          <w:i/>
          <w:color w:val="231F20"/>
          <w:spacing w:val="2"/>
        </w:rPr>
        <w:t>escala- </w:t>
      </w:r>
      <w:r>
        <w:rPr>
          <w:i/>
          <w:color w:val="231F20"/>
          <w:spacing w:val="2"/>
        </w:rPr>
        <w:t>fonario</w:t>
      </w:r>
      <w:r>
        <w:rPr>
          <w:color w:val="231F20"/>
          <w:spacing w:val="2"/>
        </w:rPr>
        <w:t>. </w:t>
      </w:r>
      <w:r>
        <w:rPr>
          <w:color w:val="231F20"/>
          <w:spacing w:val="3"/>
        </w:rPr>
        <w:t>Posiblemente, </w:t>
      </w:r>
      <w:r>
        <w:rPr>
          <w:color w:val="231F20"/>
        </w:rPr>
        <w:t>la </w:t>
      </w:r>
      <w:r>
        <w:rPr>
          <w:color w:val="231F20"/>
          <w:spacing w:val="2"/>
        </w:rPr>
        <w:t>falta </w:t>
      </w:r>
      <w:r>
        <w:rPr>
          <w:color w:val="231F20"/>
        </w:rPr>
        <w:t>de </w:t>
      </w:r>
      <w:r>
        <w:rPr>
          <w:color w:val="231F20"/>
          <w:spacing w:val="2"/>
        </w:rPr>
        <w:t>transparencia inherente </w:t>
      </w:r>
      <w:r>
        <w:rPr>
          <w:color w:val="231F20"/>
        </w:rPr>
        <w:t>al </w:t>
      </w:r>
      <w:r>
        <w:rPr>
          <w:color w:val="231F20"/>
          <w:spacing w:val="2"/>
        </w:rPr>
        <w:t>propio proceso </w:t>
      </w:r>
      <w:r>
        <w:rPr>
          <w:color w:val="231F20"/>
        </w:rPr>
        <w:t>de </w:t>
      </w:r>
      <w:r>
        <w:rPr>
          <w:color w:val="231F20"/>
          <w:spacing w:val="2"/>
        </w:rPr>
        <w:t>evaluación por pares anime </w:t>
      </w:r>
      <w:r>
        <w:rPr>
          <w:color w:val="231F20"/>
        </w:rPr>
        <w:t>ese </w:t>
      </w:r>
      <w:r>
        <w:rPr>
          <w:color w:val="231F20"/>
          <w:spacing w:val="2"/>
        </w:rPr>
        <w:t>malestar. </w:t>
      </w:r>
      <w:r>
        <w:rPr>
          <w:color w:val="231F20"/>
        </w:rPr>
        <w:t>Es de </w:t>
      </w:r>
      <w:r>
        <w:rPr>
          <w:color w:val="231F20"/>
          <w:spacing w:val="2"/>
        </w:rPr>
        <w:t>adver- </w:t>
      </w:r>
      <w:r>
        <w:rPr>
          <w:color w:val="231F20"/>
        </w:rPr>
        <w:t>tir </w:t>
      </w:r>
      <w:r>
        <w:rPr>
          <w:color w:val="231F20"/>
          <w:spacing w:val="2"/>
        </w:rPr>
        <w:t>que </w:t>
      </w:r>
      <w:r>
        <w:rPr>
          <w:color w:val="231F20"/>
        </w:rPr>
        <w:t>lo </w:t>
      </w:r>
      <w:r>
        <w:rPr>
          <w:color w:val="231F20"/>
          <w:spacing w:val="2"/>
        </w:rPr>
        <w:t>incorrecto </w:t>
      </w:r>
      <w:r>
        <w:rPr>
          <w:color w:val="231F20"/>
        </w:rPr>
        <w:t>es la </w:t>
      </w:r>
      <w:r>
        <w:rPr>
          <w:color w:val="231F20"/>
          <w:spacing w:val="2"/>
        </w:rPr>
        <w:t>discrecionalidad </w:t>
      </w:r>
      <w:r>
        <w:rPr>
          <w:color w:val="231F20"/>
        </w:rPr>
        <w:t>en el </w:t>
      </w:r>
      <w:r>
        <w:rPr>
          <w:color w:val="231F20"/>
          <w:spacing w:val="2"/>
        </w:rPr>
        <w:t>proceso </w:t>
      </w:r>
      <w:r>
        <w:rPr>
          <w:color w:val="231F20"/>
        </w:rPr>
        <w:t>de </w:t>
      </w:r>
      <w:r>
        <w:rPr>
          <w:color w:val="231F20"/>
          <w:spacing w:val="3"/>
        </w:rPr>
        <w:t>eva- </w:t>
      </w:r>
      <w:r>
        <w:rPr>
          <w:color w:val="231F20"/>
          <w:spacing w:val="2"/>
        </w:rPr>
        <w:t>luación que favorece </w:t>
      </w:r>
      <w:r>
        <w:rPr>
          <w:color w:val="231F20"/>
        </w:rPr>
        <w:t>a </w:t>
      </w:r>
      <w:r>
        <w:rPr>
          <w:color w:val="231F20"/>
          <w:spacing w:val="2"/>
        </w:rPr>
        <w:t>algunos </w:t>
      </w:r>
      <w:r>
        <w:rPr>
          <w:color w:val="231F20"/>
        </w:rPr>
        <w:t>y </w:t>
      </w:r>
      <w:r>
        <w:rPr>
          <w:color w:val="231F20"/>
          <w:spacing w:val="2"/>
        </w:rPr>
        <w:t>que </w:t>
      </w:r>
      <w:r>
        <w:rPr>
          <w:color w:val="231F20"/>
          <w:spacing w:val="3"/>
        </w:rPr>
        <w:t>pone </w:t>
      </w:r>
      <w:r>
        <w:rPr>
          <w:color w:val="231F20"/>
        </w:rPr>
        <w:t>en </w:t>
      </w:r>
      <w:r>
        <w:rPr>
          <w:color w:val="231F20"/>
          <w:spacing w:val="2"/>
        </w:rPr>
        <w:t>desventaja otros,  </w:t>
      </w:r>
      <w:r>
        <w:rPr>
          <w:color w:val="231F20"/>
        </w:rPr>
        <w:t>que no </w:t>
      </w:r>
      <w:r>
        <w:rPr>
          <w:color w:val="231F20"/>
          <w:spacing w:val="2"/>
        </w:rPr>
        <w:t>parecen satisfacer </w:t>
      </w:r>
      <w:r>
        <w:rPr>
          <w:color w:val="231F20"/>
        </w:rPr>
        <w:t>a </w:t>
      </w:r>
      <w:r>
        <w:rPr>
          <w:color w:val="231F20"/>
          <w:spacing w:val="2"/>
        </w:rPr>
        <w:t>cabalidad los criterios publicados </w:t>
      </w:r>
      <w:r>
        <w:rPr>
          <w:color w:val="231F20"/>
        </w:rPr>
        <w:t>de </w:t>
      </w:r>
      <w:r>
        <w:rPr>
          <w:color w:val="231F20"/>
          <w:spacing w:val="2"/>
        </w:rPr>
        <w:t>producción científica </w:t>
      </w:r>
      <w:r>
        <w:rPr>
          <w:color w:val="231F20"/>
        </w:rPr>
        <w:t>y </w:t>
      </w:r>
      <w:r>
        <w:rPr>
          <w:color w:val="231F20"/>
          <w:spacing w:val="2"/>
        </w:rPr>
        <w:t>tecnológica. Parece </w:t>
      </w:r>
      <w:r>
        <w:rPr>
          <w:color w:val="231F20"/>
        </w:rPr>
        <w:t>ser </w:t>
      </w:r>
      <w:r>
        <w:rPr>
          <w:color w:val="231F20"/>
          <w:spacing w:val="2"/>
        </w:rPr>
        <w:t>que otro aspecto limitante </w:t>
      </w:r>
      <w:r>
        <w:rPr>
          <w:color w:val="231F20"/>
        </w:rPr>
        <w:t>de </w:t>
      </w:r>
      <w:r>
        <w:rPr>
          <w:color w:val="231F20"/>
          <w:spacing w:val="2"/>
        </w:rPr>
        <w:t>los criterios </w:t>
      </w:r>
      <w:r>
        <w:rPr>
          <w:color w:val="231F20"/>
        </w:rPr>
        <w:t>de </w:t>
      </w:r>
      <w:r>
        <w:rPr>
          <w:color w:val="231F20"/>
          <w:spacing w:val="2"/>
        </w:rPr>
        <w:t>admisión </w:t>
      </w:r>
      <w:r>
        <w:rPr>
          <w:color w:val="231F20"/>
        </w:rPr>
        <w:t>y </w:t>
      </w:r>
      <w:r>
        <w:rPr>
          <w:color w:val="231F20"/>
          <w:spacing w:val="3"/>
        </w:rPr>
        <w:t>promoción, </w:t>
      </w:r>
      <w:r>
        <w:rPr>
          <w:color w:val="231F20"/>
        </w:rPr>
        <w:t>es el  </w:t>
      </w:r>
      <w:r>
        <w:rPr>
          <w:color w:val="231F20"/>
          <w:spacing w:val="2"/>
        </w:rPr>
        <w:t>poco  valor </w:t>
      </w:r>
      <w:r>
        <w:rPr>
          <w:color w:val="231F20"/>
        </w:rPr>
        <w:t>que se le </w:t>
      </w:r>
      <w:r>
        <w:rPr>
          <w:color w:val="231F20"/>
          <w:spacing w:val="2"/>
        </w:rPr>
        <w:t>asigna </w:t>
      </w:r>
      <w:r>
        <w:rPr>
          <w:color w:val="231F20"/>
        </w:rPr>
        <w:t>a </w:t>
      </w:r>
      <w:r>
        <w:rPr>
          <w:color w:val="231F20"/>
          <w:spacing w:val="2"/>
        </w:rPr>
        <w:t>los trabajos grupales </w:t>
      </w:r>
      <w:r>
        <w:rPr>
          <w:color w:val="231F20"/>
        </w:rPr>
        <w:t>y </w:t>
      </w:r>
      <w:r>
        <w:rPr>
          <w:color w:val="231F20"/>
          <w:spacing w:val="2"/>
        </w:rPr>
        <w:t>multidisciplinarios,  </w:t>
      </w:r>
      <w:r>
        <w:rPr>
          <w:color w:val="231F20"/>
        </w:rPr>
        <w:t>y </w:t>
      </w:r>
      <w:r>
        <w:rPr>
          <w:color w:val="231F20"/>
          <w:spacing w:val="2"/>
        </w:rPr>
        <w:t>que </w:t>
      </w:r>
      <w:r>
        <w:rPr>
          <w:color w:val="231F20"/>
        </w:rPr>
        <w:t>es </w:t>
      </w:r>
      <w:r>
        <w:rPr>
          <w:color w:val="231F20"/>
          <w:spacing w:val="2"/>
        </w:rPr>
        <w:t>contradictorio con otros </w:t>
      </w:r>
      <w:r>
        <w:rPr>
          <w:color w:val="231F20"/>
          <w:spacing w:val="3"/>
        </w:rPr>
        <w:t>programas </w:t>
      </w:r>
      <w:r>
        <w:rPr>
          <w:color w:val="231F20"/>
        </w:rPr>
        <w:t>de </w:t>
      </w:r>
      <w:r>
        <w:rPr>
          <w:color w:val="231F20"/>
          <w:spacing w:val="2"/>
        </w:rPr>
        <w:t>estímulos </w:t>
      </w:r>
      <w:r>
        <w:rPr>
          <w:color w:val="231F20"/>
          <w:spacing w:val="3"/>
        </w:rPr>
        <w:t>como </w:t>
      </w:r>
      <w:r>
        <w:rPr>
          <w:color w:val="231F20"/>
        </w:rPr>
        <w:t>es el</w:t>
      </w:r>
      <w:r>
        <w:rPr>
          <w:color w:val="231F20"/>
          <w:spacing w:val="41"/>
        </w:rPr>
        <w:t> </w:t>
      </w:r>
      <w:r>
        <w:rPr>
          <w:color w:val="231F20"/>
          <w:spacing w:val="3"/>
        </w:rPr>
        <w:t>PROED.</w:t>
      </w:r>
    </w:p>
    <w:p>
      <w:pPr>
        <w:pStyle w:val="BodyText"/>
        <w:spacing w:line="249" w:lineRule="auto"/>
        <w:ind w:left="102" w:right="113" w:firstLine="284"/>
        <w:jc w:val="both"/>
      </w:pPr>
      <w:r>
        <w:rPr>
          <w:color w:val="231F20"/>
        </w:rPr>
        <w:t>Entonces, es a lo largo de más de dos décadas de existencia del SNI que se ha incrementado la inequidad para evaluar por igual a todos los científicos, ya que dependen de las facilidades para la investigación que ofrezca la institución en la que trabajan. Algunas instituciones públicas cuentan con facilidades adecuadas para la investigación; otras, lo tienen en menor medida; y, finalmente, existe un tercer grupo constituido por establecimientos de educa- ción superior en los que la investigación es una actividad de inte- rés secundario, para la que existen muy pocos mecanismos de apoyo, especialmente para las ciencias sociales o humanas.</w:t>
      </w:r>
    </w:p>
    <w:p>
      <w:pPr>
        <w:pStyle w:val="BodyText"/>
        <w:spacing w:line="249" w:lineRule="auto"/>
        <w:ind w:left="102" w:right="115" w:firstLine="284"/>
        <w:jc w:val="both"/>
      </w:pPr>
      <w:r>
        <w:rPr>
          <w:color w:val="231F20"/>
        </w:rPr>
        <w:t>Es </w:t>
      </w:r>
      <w:r>
        <w:rPr>
          <w:color w:val="231F20"/>
          <w:spacing w:val="2"/>
        </w:rPr>
        <w:t>bien conocido </w:t>
      </w:r>
      <w:r>
        <w:rPr>
          <w:color w:val="231F20"/>
        </w:rPr>
        <w:t>que el </w:t>
      </w:r>
      <w:r>
        <w:rPr>
          <w:color w:val="231F20"/>
          <w:spacing w:val="2"/>
        </w:rPr>
        <w:t>SNI </w:t>
      </w:r>
      <w:r>
        <w:rPr>
          <w:color w:val="231F20"/>
        </w:rPr>
        <w:t>fue un </w:t>
      </w:r>
      <w:r>
        <w:rPr>
          <w:color w:val="231F20"/>
          <w:spacing w:val="2"/>
        </w:rPr>
        <w:t>intento del Estado por re- solver </w:t>
      </w:r>
      <w:r>
        <w:rPr>
          <w:color w:val="231F20"/>
          <w:spacing w:val="3"/>
        </w:rPr>
        <w:t>temporalmente </w:t>
      </w:r>
      <w:r>
        <w:rPr>
          <w:color w:val="231F20"/>
        </w:rPr>
        <w:t>un </w:t>
      </w:r>
      <w:r>
        <w:rPr>
          <w:color w:val="231F20"/>
          <w:spacing w:val="2"/>
        </w:rPr>
        <w:t>grave </w:t>
      </w:r>
      <w:r>
        <w:rPr>
          <w:color w:val="231F20"/>
          <w:spacing w:val="3"/>
        </w:rPr>
        <w:t>problema </w:t>
      </w:r>
      <w:r>
        <w:rPr>
          <w:color w:val="231F20"/>
          <w:spacing w:val="2"/>
        </w:rPr>
        <w:t>social </w:t>
      </w:r>
      <w:r>
        <w:rPr>
          <w:color w:val="231F20"/>
        </w:rPr>
        <w:t>y </w:t>
      </w:r>
      <w:r>
        <w:rPr>
          <w:color w:val="231F20"/>
          <w:spacing w:val="3"/>
        </w:rPr>
        <w:t>económico </w:t>
      </w:r>
      <w:r>
        <w:rPr>
          <w:color w:val="231F20"/>
        </w:rPr>
        <w:t>que </w:t>
      </w:r>
      <w:r>
        <w:rPr>
          <w:color w:val="231F20"/>
          <w:spacing w:val="2"/>
        </w:rPr>
        <w:t>sigue vigente: </w:t>
      </w:r>
      <w:r>
        <w:rPr>
          <w:color w:val="231F20"/>
        </w:rPr>
        <w:t>el de </w:t>
      </w:r>
      <w:r>
        <w:rPr>
          <w:color w:val="231F20"/>
          <w:spacing w:val="2"/>
        </w:rPr>
        <w:t>los sueldos miserables </w:t>
      </w:r>
      <w:r>
        <w:rPr>
          <w:color w:val="231F20"/>
        </w:rPr>
        <w:t>de </w:t>
      </w:r>
      <w:r>
        <w:rPr>
          <w:color w:val="231F20"/>
          <w:spacing w:val="2"/>
        </w:rPr>
        <w:t>los trabajadores </w:t>
      </w:r>
      <w:r>
        <w:rPr>
          <w:color w:val="231F20"/>
          <w:spacing w:val="3"/>
        </w:rPr>
        <w:t>aca- démicos </w:t>
      </w:r>
      <w:r>
        <w:rPr>
          <w:color w:val="231F20"/>
        </w:rPr>
        <w:t>e </w:t>
      </w:r>
      <w:r>
        <w:rPr>
          <w:color w:val="231F20"/>
          <w:spacing w:val="2"/>
        </w:rPr>
        <w:t>intelectuales. </w:t>
      </w:r>
      <w:r>
        <w:rPr>
          <w:color w:val="231F20"/>
        </w:rPr>
        <w:t>La </w:t>
      </w:r>
      <w:r>
        <w:rPr>
          <w:color w:val="231F20"/>
          <w:spacing w:val="2"/>
        </w:rPr>
        <w:t>crisis </w:t>
      </w:r>
      <w:r>
        <w:rPr>
          <w:color w:val="231F20"/>
          <w:spacing w:val="3"/>
        </w:rPr>
        <w:t>económica </w:t>
      </w:r>
      <w:r>
        <w:rPr>
          <w:color w:val="231F20"/>
        </w:rPr>
        <w:t>de </w:t>
      </w:r>
      <w:r>
        <w:rPr>
          <w:color w:val="231F20"/>
          <w:spacing w:val="2"/>
        </w:rPr>
        <w:t>principios </w:t>
      </w:r>
      <w:r>
        <w:rPr>
          <w:color w:val="231F20"/>
        </w:rPr>
        <w:t>de </w:t>
      </w:r>
      <w:r>
        <w:rPr>
          <w:color w:val="231F20"/>
          <w:spacing w:val="2"/>
        </w:rPr>
        <w:t>los </w:t>
      </w:r>
      <w:r>
        <w:rPr>
          <w:color w:val="231F20"/>
          <w:spacing w:val="3"/>
        </w:rPr>
        <w:t>ochenta amenazaba </w:t>
      </w:r>
      <w:r>
        <w:rPr>
          <w:color w:val="231F20"/>
          <w:spacing w:val="2"/>
        </w:rPr>
        <w:t>con </w:t>
      </w:r>
      <w:r>
        <w:rPr>
          <w:color w:val="231F20"/>
        </w:rPr>
        <w:t>la </w:t>
      </w:r>
      <w:r>
        <w:rPr>
          <w:color w:val="231F20"/>
          <w:spacing w:val="2"/>
        </w:rPr>
        <w:t>desintegración </w:t>
      </w:r>
      <w:r>
        <w:rPr>
          <w:color w:val="231F20"/>
          <w:spacing w:val="3"/>
        </w:rPr>
        <w:t>completa </w:t>
      </w:r>
      <w:r>
        <w:rPr>
          <w:color w:val="231F20"/>
        </w:rPr>
        <w:t>de la </w:t>
      </w:r>
      <w:r>
        <w:rPr>
          <w:color w:val="231F20"/>
          <w:spacing w:val="3"/>
        </w:rPr>
        <w:t>comuni- </w:t>
      </w:r>
      <w:r>
        <w:rPr>
          <w:color w:val="231F20"/>
          <w:spacing w:val="2"/>
        </w:rPr>
        <w:t>dad científica mexicana; pero, </w:t>
      </w:r>
      <w:r>
        <w:rPr>
          <w:color w:val="231F20"/>
          <w:spacing w:val="3"/>
        </w:rPr>
        <w:t>como </w:t>
      </w:r>
      <w:r>
        <w:rPr>
          <w:color w:val="231F20"/>
        </w:rPr>
        <w:t>el </w:t>
      </w:r>
      <w:r>
        <w:rPr>
          <w:color w:val="231F20"/>
          <w:spacing w:val="2"/>
        </w:rPr>
        <w:t>Estado </w:t>
      </w:r>
      <w:r>
        <w:rPr>
          <w:color w:val="231F20"/>
        </w:rPr>
        <w:t>no </w:t>
      </w:r>
      <w:r>
        <w:rPr>
          <w:color w:val="231F20"/>
          <w:spacing w:val="2"/>
        </w:rPr>
        <w:t>podía igualar </w:t>
      </w:r>
      <w:r>
        <w:rPr>
          <w:color w:val="231F20"/>
        </w:rPr>
        <w:t>las </w:t>
      </w:r>
      <w:r>
        <w:rPr>
          <w:color w:val="231F20"/>
          <w:spacing w:val="3"/>
        </w:rPr>
        <w:t>remuneraciones </w:t>
      </w:r>
      <w:r>
        <w:rPr>
          <w:color w:val="231F20"/>
        </w:rPr>
        <w:t>de </w:t>
      </w:r>
      <w:r>
        <w:rPr>
          <w:color w:val="231F20"/>
          <w:spacing w:val="2"/>
        </w:rPr>
        <w:t>los investigadores con </w:t>
      </w:r>
      <w:r>
        <w:rPr>
          <w:color w:val="231F20"/>
        </w:rPr>
        <w:t>las de </w:t>
      </w:r>
      <w:r>
        <w:rPr>
          <w:color w:val="231F20"/>
          <w:spacing w:val="2"/>
        </w:rPr>
        <w:t>los </w:t>
      </w:r>
      <w:r>
        <w:rPr>
          <w:color w:val="231F20"/>
          <w:spacing w:val="3"/>
        </w:rPr>
        <w:t>diputados </w:t>
      </w:r>
      <w:r>
        <w:rPr>
          <w:color w:val="231F20"/>
        </w:rPr>
        <w:t>o </w:t>
      </w:r>
      <w:r>
        <w:rPr>
          <w:color w:val="231F20"/>
          <w:spacing w:val="2"/>
        </w:rPr>
        <w:t>gerentes </w:t>
      </w:r>
      <w:r>
        <w:rPr>
          <w:color w:val="231F20"/>
        </w:rPr>
        <w:t>de </w:t>
      </w:r>
      <w:r>
        <w:rPr>
          <w:color w:val="231F20"/>
          <w:spacing w:val="3"/>
        </w:rPr>
        <w:t>bancos, </w:t>
      </w:r>
      <w:r>
        <w:rPr>
          <w:color w:val="231F20"/>
        </w:rPr>
        <w:t>sin </w:t>
      </w:r>
      <w:r>
        <w:rPr>
          <w:color w:val="231F20"/>
          <w:spacing w:val="2"/>
        </w:rPr>
        <w:t>desencadenar </w:t>
      </w:r>
      <w:r>
        <w:rPr>
          <w:color w:val="231F20"/>
        </w:rPr>
        <w:t>el </w:t>
      </w:r>
      <w:r>
        <w:rPr>
          <w:color w:val="231F20"/>
          <w:spacing w:val="3"/>
        </w:rPr>
        <w:t>fenómeno </w:t>
      </w:r>
      <w:r>
        <w:rPr>
          <w:i/>
          <w:color w:val="231F20"/>
          <w:spacing w:val="2"/>
        </w:rPr>
        <w:t>“dominó” </w:t>
      </w:r>
      <w:r>
        <w:rPr>
          <w:color w:val="231F20"/>
        </w:rPr>
        <w:t>en </w:t>
      </w:r>
      <w:r>
        <w:rPr>
          <w:color w:val="231F20"/>
          <w:spacing w:val="2"/>
        </w:rPr>
        <w:t>todos los trabajadores sindicalizados, inventó los “estímulos” por productividad, </w:t>
      </w:r>
      <w:r>
        <w:rPr>
          <w:color w:val="231F20"/>
        </w:rPr>
        <w:t>que no </w:t>
      </w:r>
      <w:r>
        <w:rPr>
          <w:color w:val="231F20"/>
          <w:spacing w:val="3"/>
        </w:rPr>
        <w:t>aumentan </w:t>
      </w:r>
      <w:r>
        <w:rPr>
          <w:color w:val="231F20"/>
        </w:rPr>
        <w:t>el </w:t>
      </w:r>
      <w:r>
        <w:rPr>
          <w:color w:val="231F20"/>
          <w:spacing w:val="2"/>
        </w:rPr>
        <w:t>sueldo base (desaparecen con   </w:t>
      </w:r>
      <w:r>
        <w:rPr>
          <w:color w:val="231F20"/>
        </w:rPr>
        <w:t>la </w:t>
      </w:r>
      <w:r>
        <w:rPr>
          <w:color w:val="231F20"/>
          <w:spacing w:val="2"/>
        </w:rPr>
        <w:t>jubilación) </w:t>
      </w:r>
      <w:r>
        <w:rPr>
          <w:color w:val="231F20"/>
        </w:rPr>
        <w:t>y que en su </w:t>
      </w:r>
      <w:r>
        <w:rPr>
          <w:color w:val="231F20"/>
          <w:spacing w:val="3"/>
        </w:rPr>
        <w:t>momento </w:t>
      </w:r>
      <w:r>
        <w:rPr>
          <w:color w:val="231F20"/>
          <w:spacing w:val="2"/>
        </w:rPr>
        <w:t>fueron </w:t>
      </w:r>
      <w:r>
        <w:rPr>
          <w:color w:val="231F20"/>
          <w:spacing w:val="3"/>
        </w:rPr>
        <w:t>como </w:t>
      </w:r>
      <w:r>
        <w:rPr>
          <w:color w:val="231F20"/>
        </w:rPr>
        <w:t>un  </w:t>
      </w:r>
      <w:r>
        <w:rPr>
          <w:color w:val="231F20"/>
          <w:spacing w:val="2"/>
        </w:rPr>
        <w:t>salvavidas para los científicos. Los “estímulos” </w:t>
      </w:r>
      <w:r>
        <w:rPr>
          <w:color w:val="231F20"/>
        </w:rPr>
        <w:t>se </w:t>
      </w:r>
      <w:r>
        <w:rPr>
          <w:color w:val="231F20"/>
          <w:spacing w:val="2"/>
        </w:rPr>
        <w:t>convirtieron </w:t>
      </w:r>
      <w:r>
        <w:rPr>
          <w:color w:val="231F20"/>
        </w:rPr>
        <w:t>de </w:t>
      </w:r>
      <w:r>
        <w:rPr>
          <w:color w:val="231F20"/>
          <w:spacing w:val="2"/>
        </w:rPr>
        <w:t>inmediato </w:t>
      </w:r>
      <w:r>
        <w:rPr>
          <w:color w:val="231F20"/>
        </w:rPr>
        <w:t>en </w:t>
      </w:r>
      <w:r>
        <w:rPr>
          <w:color w:val="231F20"/>
          <w:spacing w:val="2"/>
        </w:rPr>
        <w:t>parte indispensable del </w:t>
      </w:r>
      <w:r>
        <w:rPr>
          <w:color w:val="231F20"/>
          <w:spacing w:val="3"/>
        </w:rPr>
        <w:t>presupuesto </w:t>
      </w:r>
      <w:r>
        <w:rPr>
          <w:color w:val="231F20"/>
          <w:spacing w:val="2"/>
        </w:rPr>
        <w:t>básico familiar </w:t>
      </w:r>
      <w:r>
        <w:rPr>
          <w:color w:val="231F20"/>
        </w:rPr>
        <w:t>de </w:t>
      </w:r>
      <w:r>
        <w:rPr>
          <w:color w:val="231F20"/>
          <w:spacing w:val="2"/>
        </w:rPr>
        <w:t>los </w:t>
      </w:r>
      <w:r>
        <w:rPr>
          <w:color w:val="231F20"/>
          <w:spacing w:val="3"/>
        </w:rPr>
        <w:t>in- </w:t>
      </w:r>
      <w:r>
        <w:rPr>
          <w:color w:val="231F20"/>
          <w:spacing w:val="2"/>
        </w:rPr>
        <w:t>vestigadores, </w:t>
      </w:r>
      <w:r>
        <w:rPr>
          <w:color w:val="231F20"/>
        </w:rPr>
        <w:t>en </w:t>
      </w:r>
      <w:r>
        <w:rPr>
          <w:color w:val="231F20"/>
          <w:spacing w:val="2"/>
        </w:rPr>
        <w:t>lugar </w:t>
      </w:r>
      <w:r>
        <w:rPr>
          <w:color w:val="231F20"/>
        </w:rPr>
        <w:t>de ser un </w:t>
      </w:r>
      <w:r>
        <w:rPr>
          <w:color w:val="231F20"/>
          <w:spacing w:val="3"/>
        </w:rPr>
        <w:t>premio adicional </w:t>
      </w:r>
      <w:r>
        <w:rPr>
          <w:color w:val="231F20"/>
        </w:rPr>
        <w:t>a sus </w:t>
      </w:r>
      <w:r>
        <w:rPr>
          <w:color w:val="231F20"/>
          <w:spacing w:val="2"/>
        </w:rPr>
        <w:t>esfuerzos </w:t>
      </w:r>
      <w:r>
        <w:rPr>
          <w:color w:val="231F20"/>
          <w:spacing w:val="3"/>
        </w:rPr>
        <w:t>(Pérez-Tamayo </w:t>
      </w:r>
      <w:r>
        <w:rPr>
          <w:color w:val="231F20"/>
        </w:rPr>
        <w:t>en </w:t>
      </w:r>
      <w:r>
        <w:rPr>
          <w:color w:val="231F20"/>
          <w:spacing w:val="2"/>
        </w:rPr>
        <w:t>Foro </w:t>
      </w:r>
      <w:r>
        <w:rPr>
          <w:color w:val="231F20"/>
          <w:spacing w:val="3"/>
        </w:rPr>
        <w:t>Consultivo,</w:t>
      </w:r>
      <w:r>
        <w:rPr>
          <w:color w:val="231F20"/>
          <w:spacing w:val="-6"/>
        </w:rPr>
        <w:t> </w:t>
      </w:r>
      <w:r>
        <w:rPr>
          <w:color w:val="231F20"/>
          <w:spacing w:val="2"/>
        </w:rPr>
        <w:t>2005).</w:t>
      </w:r>
    </w:p>
    <w:p>
      <w:pPr>
        <w:spacing w:after="0" w:line="249" w:lineRule="auto"/>
        <w:jc w:val="both"/>
        <w:sectPr>
          <w:headerReference w:type="default" r:id="rId126"/>
          <w:footerReference w:type="default" r:id="rId127"/>
          <w:pgSz w:w="7830" w:h="11910"/>
          <w:pgMar w:header="0" w:footer="424" w:top="500" w:bottom="620" w:left="920" w:right="900"/>
          <w:pgNumType w:start="5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firstLine="284"/>
        <w:jc w:val="both"/>
      </w:pPr>
      <w:r>
        <w:rPr>
          <w:color w:val="231F20"/>
        </w:rPr>
        <w:t>En este sentido, el sistema ha servido como justificación para no incrementar el salario real de los investigadores, dejando fuera la posibilidad de aumentos a prestaciones y condiciones de retiro. En- tonces, se deja claro que ningún sistema, incluyendo el SNI, puede resolver los problemas económicos de todos los investigadores del país, y menos, de todos los rezagos del desarrollo de la investigación científica y tecnológica. Para esto, se necesita una política de Estado consistente en por lo menos invertir más dinero, como lo que repre- senta el 1.5% del PIB, y, por supuesto, tiempo.</w:t>
      </w:r>
    </w:p>
    <w:p>
      <w:pPr>
        <w:pStyle w:val="BodyText"/>
        <w:spacing w:line="249" w:lineRule="auto"/>
        <w:ind w:left="101" w:right="115" w:firstLine="284"/>
        <w:jc w:val="both"/>
      </w:pPr>
      <w:r>
        <w:rPr>
          <w:color w:val="231F20"/>
          <w:spacing w:val="2"/>
        </w:rPr>
        <w:t>Por </w:t>
      </w:r>
      <w:r>
        <w:rPr>
          <w:color w:val="231F20"/>
        </w:rPr>
        <w:t>si </w:t>
      </w:r>
      <w:r>
        <w:rPr>
          <w:color w:val="231F20"/>
          <w:spacing w:val="2"/>
        </w:rPr>
        <w:t>fuera </w:t>
      </w:r>
      <w:r>
        <w:rPr>
          <w:color w:val="231F20"/>
          <w:spacing w:val="3"/>
        </w:rPr>
        <w:t>poco, </w:t>
      </w:r>
      <w:r>
        <w:rPr>
          <w:color w:val="231F20"/>
        </w:rPr>
        <w:t>el </w:t>
      </w:r>
      <w:r>
        <w:rPr>
          <w:color w:val="231F20"/>
          <w:spacing w:val="3"/>
        </w:rPr>
        <w:t>CONACYT </w:t>
      </w:r>
      <w:r>
        <w:rPr>
          <w:color w:val="231F20"/>
          <w:spacing w:val="2"/>
        </w:rPr>
        <w:t>desvía </w:t>
      </w:r>
      <w:r>
        <w:rPr>
          <w:color w:val="231F20"/>
        </w:rPr>
        <w:t>la </w:t>
      </w:r>
      <w:r>
        <w:rPr>
          <w:color w:val="231F20"/>
          <w:spacing w:val="2"/>
        </w:rPr>
        <w:t>atención </w:t>
      </w:r>
      <w:r>
        <w:rPr>
          <w:color w:val="231F20"/>
        </w:rPr>
        <w:t>de </w:t>
      </w:r>
      <w:r>
        <w:rPr>
          <w:color w:val="231F20"/>
          <w:spacing w:val="2"/>
        </w:rPr>
        <w:t>los </w:t>
      </w:r>
      <w:r>
        <w:rPr>
          <w:color w:val="231F20"/>
          <w:spacing w:val="3"/>
        </w:rPr>
        <w:t>problemas </w:t>
      </w:r>
      <w:r>
        <w:rPr>
          <w:color w:val="231F20"/>
          <w:spacing w:val="2"/>
        </w:rPr>
        <w:t>reales, </w:t>
      </w:r>
      <w:r>
        <w:rPr>
          <w:color w:val="231F20"/>
          <w:spacing w:val="3"/>
        </w:rPr>
        <w:t>poniendo </w:t>
      </w:r>
      <w:r>
        <w:rPr>
          <w:color w:val="231F20"/>
        </w:rPr>
        <w:t>la </w:t>
      </w:r>
      <w:r>
        <w:rPr>
          <w:color w:val="231F20"/>
          <w:spacing w:val="3"/>
        </w:rPr>
        <w:t>membresía </w:t>
      </w:r>
      <w:r>
        <w:rPr>
          <w:color w:val="231F20"/>
        </w:rPr>
        <w:t>en el </w:t>
      </w:r>
      <w:r>
        <w:rPr>
          <w:color w:val="231F20"/>
          <w:spacing w:val="2"/>
        </w:rPr>
        <w:t>SNI </w:t>
      </w:r>
      <w:r>
        <w:rPr>
          <w:color w:val="231F20"/>
          <w:spacing w:val="3"/>
        </w:rPr>
        <w:t>como </w:t>
      </w:r>
      <w:r>
        <w:rPr>
          <w:color w:val="231F20"/>
        </w:rPr>
        <w:t>un </w:t>
      </w:r>
      <w:r>
        <w:rPr>
          <w:color w:val="231F20"/>
          <w:spacing w:val="2"/>
        </w:rPr>
        <w:t>requisito para acceder </w:t>
      </w:r>
      <w:r>
        <w:rPr>
          <w:color w:val="231F20"/>
        </w:rPr>
        <w:t>a </w:t>
      </w:r>
      <w:r>
        <w:rPr>
          <w:color w:val="231F20"/>
          <w:spacing w:val="2"/>
        </w:rPr>
        <w:t>otros escasos </w:t>
      </w:r>
      <w:r>
        <w:rPr>
          <w:color w:val="231F20"/>
          <w:spacing w:val="3"/>
        </w:rPr>
        <w:t>apoyos económicos, </w:t>
      </w:r>
      <w:r>
        <w:rPr>
          <w:color w:val="231F20"/>
        </w:rPr>
        <w:t>a </w:t>
      </w:r>
      <w:r>
        <w:rPr>
          <w:color w:val="231F20"/>
          <w:spacing w:val="2"/>
        </w:rPr>
        <w:t>tra- </w:t>
      </w:r>
      <w:r>
        <w:rPr>
          <w:color w:val="231F20"/>
        </w:rPr>
        <w:t>vés </w:t>
      </w:r>
      <w:r>
        <w:rPr>
          <w:color w:val="231F20"/>
          <w:spacing w:val="2"/>
        </w:rPr>
        <w:t>del </w:t>
      </w:r>
      <w:r>
        <w:rPr>
          <w:color w:val="231F20"/>
          <w:spacing w:val="3"/>
        </w:rPr>
        <w:t>Programa </w:t>
      </w:r>
      <w:r>
        <w:rPr>
          <w:color w:val="231F20"/>
          <w:spacing w:val="2"/>
        </w:rPr>
        <w:t>Integral </w:t>
      </w:r>
      <w:r>
        <w:rPr>
          <w:color w:val="231F20"/>
        </w:rPr>
        <w:t>de </w:t>
      </w:r>
      <w:r>
        <w:rPr>
          <w:color w:val="231F20"/>
          <w:spacing w:val="2"/>
        </w:rPr>
        <w:t>Fortalecimiento del </w:t>
      </w:r>
      <w:r>
        <w:rPr>
          <w:color w:val="231F20"/>
          <w:spacing w:val="3"/>
        </w:rPr>
        <w:t>Posgrado </w:t>
      </w:r>
      <w:r>
        <w:rPr>
          <w:color w:val="231F20"/>
        </w:rPr>
        <w:t>y  de  las </w:t>
      </w:r>
      <w:r>
        <w:rPr>
          <w:color w:val="231F20"/>
          <w:spacing w:val="3"/>
        </w:rPr>
        <w:t>convocatorias </w:t>
      </w:r>
      <w:r>
        <w:rPr>
          <w:color w:val="231F20"/>
        </w:rPr>
        <w:t>de </w:t>
      </w:r>
      <w:r>
        <w:rPr>
          <w:color w:val="231F20"/>
          <w:spacing w:val="3"/>
        </w:rPr>
        <w:t>Proyectos </w:t>
      </w:r>
      <w:r>
        <w:rPr>
          <w:color w:val="231F20"/>
        </w:rPr>
        <w:t>de </w:t>
      </w:r>
      <w:r>
        <w:rPr>
          <w:color w:val="231F20"/>
          <w:spacing w:val="2"/>
        </w:rPr>
        <w:t>Investigación. Esto, </w:t>
      </w:r>
      <w:r>
        <w:rPr>
          <w:color w:val="231F20"/>
        </w:rPr>
        <w:t>a su </w:t>
      </w:r>
      <w:r>
        <w:rPr>
          <w:color w:val="231F20"/>
          <w:spacing w:val="3"/>
        </w:rPr>
        <w:t>vez, provoca </w:t>
      </w:r>
      <w:r>
        <w:rPr>
          <w:color w:val="231F20"/>
        </w:rPr>
        <w:t>que las </w:t>
      </w:r>
      <w:r>
        <w:rPr>
          <w:color w:val="231F20"/>
          <w:spacing w:val="2"/>
        </w:rPr>
        <w:t>universidades acepten </w:t>
      </w:r>
      <w:r>
        <w:rPr>
          <w:color w:val="231F20"/>
        </w:rPr>
        <w:t>las </w:t>
      </w:r>
      <w:r>
        <w:rPr>
          <w:color w:val="231F20"/>
          <w:spacing w:val="2"/>
        </w:rPr>
        <w:t>reglas </w:t>
      </w:r>
      <w:r>
        <w:rPr>
          <w:color w:val="231F20"/>
        </w:rPr>
        <w:t>de </w:t>
      </w:r>
      <w:r>
        <w:rPr>
          <w:color w:val="231F20"/>
          <w:spacing w:val="2"/>
        </w:rPr>
        <w:t>juego </w:t>
      </w:r>
      <w:r>
        <w:rPr>
          <w:color w:val="231F20"/>
        </w:rPr>
        <w:t>y </w:t>
      </w:r>
      <w:r>
        <w:rPr>
          <w:color w:val="231F20"/>
          <w:spacing w:val="3"/>
        </w:rPr>
        <w:t>esta- </w:t>
      </w:r>
      <w:r>
        <w:rPr>
          <w:color w:val="231F20"/>
          <w:spacing w:val="2"/>
        </w:rPr>
        <w:t>blezcan </w:t>
      </w:r>
      <w:r>
        <w:rPr>
          <w:color w:val="231F20"/>
        </w:rPr>
        <w:t>la </w:t>
      </w:r>
      <w:r>
        <w:rPr>
          <w:color w:val="231F20"/>
          <w:spacing w:val="2"/>
        </w:rPr>
        <w:t>pertenencia </w:t>
      </w:r>
      <w:r>
        <w:rPr>
          <w:color w:val="231F20"/>
        </w:rPr>
        <w:t>al </w:t>
      </w:r>
      <w:r>
        <w:rPr>
          <w:color w:val="231F20"/>
          <w:spacing w:val="2"/>
        </w:rPr>
        <w:t>SNI </w:t>
      </w:r>
      <w:r>
        <w:rPr>
          <w:color w:val="231F20"/>
          <w:spacing w:val="3"/>
        </w:rPr>
        <w:t>como </w:t>
      </w:r>
      <w:r>
        <w:rPr>
          <w:color w:val="231F20"/>
        </w:rPr>
        <w:t>un </w:t>
      </w:r>
      <w:r>
        <w:rPr>
          <w:color w:val="231F20"/>
          <w:spacing w:val="3"/>
        </w:rPr>
        <w:t>pasaporte </w:t>
      </w:r>
      <w:r>
        <w:rPr>
          <w:color w:val="231F20"/>
        </w:rPr>
        <w:t>de </w:t>
      </w:r>
      <w:r>
        <w:rPr>
          <w:color w:val="231F20"/>
          <w:spacing w:val="2"/>
        </w:rPr>
        <w:t>acceso </w:t>
      </w:r>
      <w:r>
        <w:rPr>
          <w:color w:val="231F20"/>
        </w:rPr>
        <w:t>a </w:t>
      </w:r>
      <w:r>
        <w:rPr>
          <w:color w:val="231F20"/>
          <w:spacing w:val="2"/>
        </w:rPr>
        <w:t>altos niveles </w:t>
      </w:r>
      <w:r>
        <w:rPr>
          <w:color w:val="231F20"/>
        </w:rPr>
        <w:t>de </w:t>
      </w:r>
      <w:r>
        <w:rPr>
          <w:color w:val="231F20"/>
          <w:spacing w:val="2"/>
        </w:rPr>
        <w:t>becas (los cuales constituyen </w:t>
      </w:r>
      <w:r>
        <w:rPr>
          <w:color w:val="231F20"/>
        </w:rPr>
        <w:t>la </w:t>
      </w:r>
      <w:r>
        <w:rPr>
          <w:color w:val="231F20"/>
          <w:spacing w:val="3"/>
        </w:rPr>
        <w:t>mayor </w:t>
      </w:r>
      <w:r>
        <w:rPr>
          <w:color w:val="231F20"/>
          <w:spacing w:val="2"/>
        </w:rPr>
        <w:t>parte </w:t>
      </w:r>
      <w:r>
        <w:rPr>
          <w:color w:val="231F20"/>
        </w:rPr>
        <w:t>de </w:t>
      </w:r>
      <w:r>
        <w:rPr>
          <w:color w:val="231F20"/>
          <w:spacing w:val="2"/>
        </w:rPr>
        <w:t>los </w:t>
      </w:r>
      <w:r>
        <w:rPr>
          <w:color w:val="231F20"/>
          <w:spacing w:val="4"/>
        </w:rPr>
        <w:t>in- </w:t>
      </w:r>
      <w:r>
        <w:rPr>
          <w:color w:val="231F20"/>
          <w:spacing w:val="2"/>
        </w:rPr>
        <w:t>gresos), </w:t>
      </w:r>
      <w:r>
        <w:rPr>
          <w:color w:val="231F20"/>
        </w:rPr>
        <w:t>así </w:t>
      </w:r>
      <w:r>
        <w:rPr>
          <w:color w:val="231F20"/>
          <w:spacing w:val="3"/>
        </w:rPr>
        <w:t>como </w:t>
      </w:r>
      <w:r>
        <w:rPr>
          <w:color w:val="231F20"/>
        </w:rPr>
        <w:t>a </w:t>
      </w:r>
      <w:r>
        <w:rPr>
          <w:color w:val="231F20"/>
          <w:spacing w:val="2"/>
        </w:rPr>
        <w:t>los </w:t>
      </w:r>
      <w:r>
        <w:rPr>
          <w:color w:val="231F20"/>
          <w:spacing w:val="3"/>
        </w:rPr>
        <w:t>apoyos </w:t>
      </w:r>
      <w:r>
        <w:rPr>
          <w:color w:val="231F20"/>
          <w:spacing w:val="2"/>
        </w:rPr>
        <w:t>mediante </w:t>
      </w:r>
      <w:r>
        <w:rPr>
          <w:color w:val="231F20"/>
          <w:spacing w:val="3"/>
        </w:rPr>
        <w:t>proyectos </w:t>
      </w:r>
      <w:r>
        <w:rPr>
          <w:color w:val="231F20"/>
          <w:spacing w:val="2"/>
        </w:rPr>
        <w:t>internos </w:t>
      </w:r>
      <w:r>
        <w:rPr>
          <w:color w:val="231F20"/>
        </w:rPr>
        <w:t>de </w:t>
      </w:r>
      <w:r>
        <w:rPr>
          <w:color w:val="231F20"/>
          <w:spacing w:val="2"/>
        </w:rPr>
        <w:t>investigación, acaso ¿esto </w:t>
      </w:r>
      <w:r>
        <w:rPr>
          <w:color w:val="231F20"/>
        </w:rPr>
        <w:t>no es </w:t>
      </w:r>
      <w:r>
        <w:rPr>
          <w:color w:val="231F20"/>
          <w:spacing w:val="2"/>
        </w:rPr>
        <w:t>una violencia abierta para </w:t>
      </w:r>
      <w:r>
        <w:rPr>
          <w:color w:val="231F20"/>
          <w:spacing w:val="3"/>
        </w:rPr>
        <w:t>institu- </w:t>
      </w:r>
      <w:r>
        <w:rPr>
          <w:color w:val="231F20"/>
          <w:spacing w:val="2"/>
        </w:rPr>
        <w:t>ciones </w:t>
      </w:r>
      <w:r>
        <w:rPr>
          <w:color w:val="231F20"/>
        </w:rPr>
        <w:t>y </w:t>
      </w:r>
      <w:r>
        <w:rPr>
          <w:color w:val="231F20"/>
          <w:spacing w:val="2"/>
        </w:rPr>
        <w:t>para investigadores </w:t>
      </w:r>
      <w:r>
        <w:rPr>
          <w:color w:val="231F20"/>
        </w:rPr>
        <w:t>y </w:t>
      </w:r>
      <w:r>
        <w:rPr>
          <w:color w:val="231F20"/>
          <w:spacing w:val="3"/>
        </w:rPr>
        <w:t>académicos </w:t>
      </w:r>
      <w:r>
        <w:rPr>
          <w:color w:val="231F20"/>
          <w:spacing w:val="2"/>
        </w:rPr>
        <w:t>que </w:t>
      </w:r>
      <w:r>
        <w:rPr>
          <w:color w:val="231F20"/>
        </w:rPr>
        <w:t>se </w:t>
      </w:r>
      <w:r>
        <w:rPr>
          <w:color w:val="231F20"/>
          <w:spacing w:val="2"/>
        </w:rPr>
        <w:t>dedican </w:t>
      </w:r>
      <w:r>
        <w:rPr>
          <w:color w:val="231F20"/>
        </w:rPr>
        <w:t>a la </w:t>
      </w:r>
      <w:r>
        <w:rPr>
          <w:color w:val="231F20"/>
          <w:spacing w:val="2"/>
        </w:rPr>
        <w:t>investigación</w:t>
      </w:r>
      <w:r>
        <w:rPr>
          <w:color w:val="231F20"/>
          <w:spacing w:val="-5"/>
        </w:rPr>
        <w:t> </w:t>
      </w:r>
      <w:r>
        <w:rPr>
          <w:color w:val="231F20"/>
        </w:rPr>
        <w:t>y</w:t>
      </w:r>
      <w:r>
        <w:rPr>
          <w:color w:val="231F20"/>
          <w:spacing w:val="-5"/>
        </w:rPr>
        <w:t> </w:t>
      </w:r>
      <w:r>
        <w:rPr>
          <w:color w:val="231F20"/>
          <w:spacing w:val="2"/>
        </w:rPr>
        <w:t>hasta</w:t>
      </w:r>
      <w:r>
        <w:rPr>
          <w:color w:val="231F20"/>
          <w:spacing w:val="-5"/>
        </w:rPr>
        <w:t> </w:t>
      </w:r>
      <w:r>
        <w:rPr>
          <w:color w:val="231F20"/>
          <w:spacing w:val="2"/>
        </w:rPr>
        <w:t>para</w:t>
      </w:r>
      <w:r>
        <w:rPr>
          <w:color w:val="231F20"/>
          <w:spacing w:val="-5"/>
        </w:rPr>
        <w:t> </w:t>
      </w:r>
      <w:r>
        <w:rPr>
          <w:color w:val="231F20"/>
        </w:rPr>
        <w:t>las</w:t>
      </w:r>
      <w:r>
        <w:rPr>
          <w:color w:val="231F20"/>
          <w:spacing w:val="-6"/>
        </w:rPr>
        <w:t> </w:t>
      </w:r>
      <w:r>
        <w:rPr>
          <w:color w:val="231F20"/>
          <w:spacing w:val="2"/>
        </w:rPr>
        <w:t>propias</w:t>
      </w:r>
      <w:r>
        <w:rPr>
          <w:color w:val="231F20"/>
          <w:spacing w:val="-6"/>
        </w:rPr>
        <w:t> </w:t>
      </w:r>
      <w:r>
        <w:rPr>
          <w:color w:val="231F20"/>
          <w:spacing w:val="2"/>
        </w:rPr>
        <w:t>universidades</w:t>
      </w:r>
      <w:r>
        <w:rPr>
          <w:color w:val="231F20"/>
          <w:spacing w:val="-6"/>
        </w:rPr>
        <w:t> </w:t>
      </w:r>
      <w:r>
        <w:rPr>
          <w:color w:val="231F20"/>
          <w:spacing w:val="2"/>
        </w:rPr>
        <w:t>públicas?</w:t>
      </w:r>
    </w:p>
    <w:p>
      <w:pPr>
        <w:pStyle w:val="BodyText"/>
        <w:spacing w:line="249" w:lineRule="auto"/>
        <w:ind w:left="101" w:right="115" w:firstLine="284"/>
        <w:jc w:val="both"/>
      </w:pPr>
      <w:r>
        <w:rPr>
          <w:color w:val="231F20"/>
        </w:rPr>
        <w:t>En este sentido, el SNI ha contribuido a fortalecer una política educativa y científica centrada en la evaluación de indicadores no en la calidad de los procesos y de sus resultados, o en la productividad medida</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cantidad</w:t>
      </w:r>
      <w:r>
        <w:rPr>
          <w:color w:val="231F20"/>
          <w:spacing w:val="-5"/>
        </w:rPr>
        <w:t> </w:t>
      </w:r>
      <w:r>
        <w:rPr>
          <w:color w:val="231F20"/>
        </w:rPr>
        <w:t>de</w:t>
      </w:r>
      <w:r>
        <w:rPr>
          <w:color w:val="231F20"/>
          <w:spacing w:val="-5"/>
        </w:rPr>
        <w:t> </w:t>
      </w:r>
      <w:r>
        <w:rPr>
          <w:color w:val="231F20"/>
        </w:rPr>
        <w:t>productos</w:t>
      </w:r>
      <w:r>
        <w:rPr>
          <w:color w:val="231F20"/>
          <w:spacing w:val="-5"/>
        </w:rPr>
        <w:t> </w:t>
      </w:r>
      <w:r>
        <w:rPr>
          <w:color w:val="231F20"/>
        </w:rPr>
        <w:t>exigidos,</w:t>
      </w:r>
      <w:r>
        <w:rPr>
          <w:color w:val="231F20"/>
          <w:spacing w:val="-5"/>
        </w:rPr>
        <w:t> </w:t>
      </w:r>
      <w:r>
        <w:rPr>
          <w:color w:val="231F20"/>
        </w:rPr>
        <w:t>principalmente en</w:t>
      </w:r>
      <w:r>
        <w:rPr>
          <w:color w:val="231F20"/>
          <w:spacing w:val="-12"/>
        </w:rPr>
        <w:t> </w:t>
      </w:r>
      <w:r>
        <w:rPr>
          <w:color w:val="231F20"/>
        </w:rPr>
        <w:t>los</w:t>
      </w:r>
      <w:r>
        <w:rPr>
          <w:color w:val="231F20"/>
          <w:spacing w:val="-12"/>
        </w:rPr>
        <w:t> </w:t>
      </w:r>
      <w:r>
        <w:rPr>
          <w:color w:val="231F20"/>
        </w:rPr>
        <w:t>niveles</w:t>
      </w:r>
      <w:r>
        <w:rPr>
          <w:color w:val="231F20"/>
          <w:spacing w:val="-12"/>
        </w:rPr>
        <w:t> </w:t>
      </w:r>
      <w:r>
        <w:rPr>
          <w:color w:val="231F20"/>
        </w:rPr>
        <w:t>de</w:t>
      </w:r>
      <w:r>
        <w:rPr>
          <w:color w:val="231F20"/>
          <w:spacing w:val="-12"/>
        </w:rPr>
        <w:t> </w:t>
      </w:r>
      <w:r>
        <w:rPr>
          <w:color w:val="231F20"/>
        </w:rPr>
        <w:t>candidatos</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nivel</w:t>
      </w:r>
      <w:r>
        <w:rPr>
          <w:color w:val="231F20"/>
          <w:spacing w:val="-11"/>
        </w:rPr>
        <w:t> </w:t>
      </w:r>
      <w:r>
        <w:rPr>
          <w:color w:val="231F20"/>
        </w:rPr>
        <w:t>i.</w:t>
      </w:r>
      <w:r>
        <w:rPr>
          <w:color w:val="231F20"/>
          <w:spacing w:val="-13"/>
        </w:rPr>
        <w:t> </w:t>
      </w:r>
      <w:r>
        <w:rPr>
          <w:color w:val="231F20"/>
        </w:rPr>
        <w:t>Los</w:t>
      </w:r>
      <w:r>
        <w:rPr>
          <w:color w:val="231F20"/>
          <w:spacing w:val="-12"/>
        </w:rPr>
        <w:t> </w:t>
      </w:r>
      <w:r>
        <w:rPr>
          <w:color w:val="231F20"/>
        </w:rPr>
        <w:t>criterios</w:t>
      </w:r>
      <w:r>
        <w:rPr>
          <w:color w:val="231F20"/>
          <w:spacing w:val="-12"/>
        </w:rPr>
        <w:t> </w:t>
      </w:r>
      <w:r>
        <w:rPr>
          <w:color w:val="231F20"/>
        </w:rPr>
        <w:t>cualitativos,</w:t>
      </w:r>
      <w:r>
        <w:rPr>
          <w:color w:val="231F20"/>
          <w:spacing w:val="-13"/>
        </w:rPr>
        <w:t> </w:t>
      </w:r>
      <w:r>
        <w:rPr>
          <w:color w:val="231F20"/>
        </w:rPr>
        <w:t>por su parte, han recibido críticas, en particular porque hay sospechas de que su aplicación es susceptible de variar en función de los tiempos, del tamaño y de las características de los grupos a los cuales están destinados. Algunos especialistas en particular han indicado que los procesos de evaluación en relación a la productividad fueron más benignos</w:t>
      </w:r>
      <w:r>
        <w:rPr>
          <w:color w:val="231F20"/>
          <w:spacing w:val="-5"/>
        </w:rPr>
        <w:t> </w:t>
      </w:r>
      <w:r>
        <w:rPr>
          <w:color w:val="231F20"/>
        </w:rPr>
        <w:t>para</w:t>
      </w:r>
      <w:r>
        <w:rPr>
          <w:color w:val="231F20"/>
          <w:spacing w:val="-5"/>
        </w:rPr>
        <w:t> </w:t>
      </w:r>
      <w:r>
        <w:rPr>
          <w:color w:val="231F20"/>
        </w:rPr>
        <w:t>los</w:t>
      </w:r>
      <w:r>
        <w:rPr>
          <w:color w:val="231F20"/>
          <w:spacing w:val="-5"/>
        </w:rPr>
        <w:t> </w:t>
      </w:r>
      <w:r>
        <w:rPr>
          <w:color w:val="231F20"/>
        </w:rPr>
        <w:t>miembros</w:t>
      </w:r>
      <w:r>
        <w:rPr>
          <w:color w:val="231F20"/>
          <w:spacing w:val="-5"/>
        </w:rPr>
        <w:t> </w:t>
      </w:r>
      <w:r>
        <w:rPr>
          <w:color w:val="231F20"/>
        </w:rPr>
        <w:t>de</w:t>
      </w:r>
      <w:r>
        <w:rPr>
          <w:color w:val="231F20"/>
          <w:spacing w:val="-5"/>
        </w:rPr>
        <w:t> </w:t>
      </w:r>
      <w:r>
        <w:rPr>
          <w:color w:val="231F20"/>
        </w:rPr>
        <w:t>mayor</w:t>
      </w:r>
      <w:r>
        <w:rPr>
          <w:color w:val="231F20"/>
          <w:spacing w:val="-5"/>
        </w:rPr>
        <w:t> </w:t>
      </w:r>
      <w:r>
        <w:rPr>
          <w:color w:val="231F20"/>
        </w:rPr>
        <w:t>edad</w:t>
      </w:r>
      <w:r>
        <w:rPr>
          <w:color w:val="231F20"/>
          <w:spacing w:val="-4"/>
        </w:rPr>
        <w:t> </w:t>
      </w:r>
      <w:r>
        <w:rPr>
          <w:color w:val="231F20"/>
        </w:rPr>
        <w:t>del</w:t>
      </w:r>
      <w:r>
        <w:rPr>
          <w:color w:val="231F20"/>
          <w:spacing w:val="-5"/>
        </w:rPr>
        <w:t> </w:t>
      </w:r>
      <w:r>
        <w:rPr>
          <w:color w:val="231F20"/>
        </w:rPr>
        <w:t>SNI</w:t>
      </w:r>
      <w:r>
        <w:rPr>
          <w:color w:val="231F20"/>
          <w:spacing w:val="-5"/>
        </w:rPr>
        <w:t> </w:t>
      </w:r>
      <w:r>
        <w:rPr>
          <w:color w:val="231F20"/>
        </w:rPr>
        <w:t>que</w:t>
      </w:r>
      <w:r>
        <w:rPr>
          <w:color w:val="231F20"/>
          <w:spacing w:val="-5"/>
        </w:rPr>
        <w:t> </w:t>
      </w:r>
      <w:r>
        <w:rPr>
          <w:color w:val="231F20"/>
        </w:rPr>
        <w:t>para</w:t>
      </w:r>
      <w:r>
        <w:rPr>
          <w:color w:val="231F20"/>
          <w:spacing w:val="-5"/>
        </w:rPr>
        <w:t> </w:t>
      </w:r>
      <w:r>
        <w:rPr>
          <w:color w:val="231F20"/>
        </w:rPr>
        <w:t>los</w:t>
      </w:r>
      <w:r>
        <w:rPr>
          <w:color w:val="231F20"/>
          <w:spacing w:val="-5"/>
        </w:rPr>
        <w:t> </w:t>
      </w:r>
      <w:r>
        <w:rPr>
          <w:color w:val="231F20"/>
        </w:rPr>
        <w:t>más jóvenes, conforme al principio de competición interna cuya intensi- dad se incrementó. También notaron que los efectos punitivos del SNI (en términos de expulsión del sistema o de retrogradación entre una categoría y la anterior, por falta de productividad suficiente) son marcadamente superiores en las categorías de candidato y de nivel i que de nivel iii, independientemente de los perfiles de las curvas de productividad.</w:t>
      </w:r>
    </w:p>
    <w:p>
      <w:pPr>
        <w:spacing w:after="0" w:line="249" w:lineRule="auto"/>
        <w:jc w:val="both"/>
        <w:sectPr>
          <w:headerReference w:type="default" r:id="rId128"/>
          <w:footerReference w:type="default" r:id="rId129"/>
          <w:pgSz w:w="7830" w:h="11910"/>
          <w:pgMar w:header="0" w:footer="424" w:top="500" w:bottom="620" w:left="920" w:right="900"/>
          <w:pgNumType w:start="5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4" w:firstLine="284"/>
        <w:jc w:val="both"/>
      </w:pPr>
      <w:r>
        <w:rPr>
          <w:color w:val="231F20"/>
          <w:spacing w:val="2"/>
        </w:rPr>
        <w:t>Existen </w:t>
      </w:r>
      <w:r>
        <w:rPr>
          <w:color w:val="231F20"/>
          <w:spacing w:val="3"/>
        </w:rPr>
        <w:t>numerosos </w:t>
      </w:r>
      <w:r>
        <w:rPr>
          <w:color w:val="231F20"/>
          <w:spacing w:val="2"/>
        </w:rPr>
        <w:t>cuellos </w:t>
      </w:r>
      <w:r>
        <w:rPr>
          <w:color w:val="231F20"/>
        </w:rPr>
        <w:t>de </w:t>
      </w:r>
      <w:r>
        <w:rPr>
          <w:color w:val="231F20"/>
          <w:spacing w:val="2"/>
        </w:rPr>
        <w:t>botella dentro del sistema; entre estos destacan, por </w:t>
      </w:r>
      <w:r>
        <w:rPr>
          <w:color w:val="231F20"/>
        </w:rPr>
        <w:t>un </w:t>
      </w:r>
      <w:r>
        <w:rPr>
          <w:color w:val="231F20"/>
          <w:spacing w:val="2"/>
        </w:rPr>
        <w:t>lado, </w:t>
      </w:r>
      <w:r>
        <w:rPr>
          <w:color w:val="231F20"/>
        </w:rPr>
        <w:t>las </w:t>
      </w:r>
      <w:r>
        <w:rPr>
          <w:color w:val="231F20"/>
          <w:spacing w:val="2"/>
        </w:rPr>
        <w:t>inequidades </w:t>
      </w:r>
      <w:r>
        <w:rPr>
          <w:color w:val="231F20"/>
        </w:rPr>
        <w:t>de </w:t>
      </w:r>
      <w:r>
        <w:rPr>
          <w:color w:val="231F20"/>
          <w:spacing w:val="2"/>
        </w:rPr>
        <w:t>género </w:t>
      </w:r>
      <w:r>
        <w:rPr>
          <w:color w:val="231F20"/>
        </w:rPr>
        <w:t>y, </w:t>
      </w:r>
      <w:r>
        <w:rPr>
          <w:color w:val="231F20"/>
          <w:spacing w:val="2"/>
        </w:rPr>
        <w:t>por </w:t>
      </w:r>
      <w:r>
        <w:rPr>
          <w:color w:val="231F20"/>
        </w:rPr>
        <w:t>el  </w:t>
      </w:r>
      <w:r>
        <w:rPr>
          <w:color w:val="231F20"/>
          <w:spacing w:val="2"/>
        </w:rPr>
        <w:t>otro, los </w:t>
      </w:r>
      <w:r>
        <w:rPr>
          <w:color w:val="231F20"/>
          <w:spacing w:val="3"/>
        </w:rPr>
        <w:t>problemas </w:t>
      </w:r>
      <w:r>
        <w:rPr>
          <w:color w:val="231F20"/>
        </w:rPr>
        <w:t>de </w:t>
      </w:r>
      <w:r>
        <w:rPr>
          <w:color w:val="231F20"/>
          <w:spacing w:val="2"/>
        </w:rPr>
        <w:t>movilidad dentro </w:t>
      </w:r>
      <w:r>
        <w:rPr>
          <w:color w:val="231F20"/>
        </w:rPr>
        <w:t>del </w:t>
      </w:r>
      <w:r>
        <w:rPr>
          <w:color w:val="231F20"/>
          <w:spacing w:val="2"/>
        </w:rPr>
        <w:t>sistema. </w:t>
      </w:r>
      <w:r>
        <w:rPr>
          <w:color w:val="231F20"/>
        </w:rPr>
        <w:t>En </w:t>
      </w:r>
      <w:r>
        <w:rPr>
          <w:color w:val="231F20"/>
          <w:spacing w:val="2"/>
        </w:rPr>
        <w:t>particular </w:t>
      </w:r>
      <w:r>
        <w:rPr>
          <w:color w:val="231F20"/>
        </w:rPr>
        <w:t>en el </w:t>
      </w:r>
      <w:r>
        <w:rPr>
          <w:color w:val="231F20"/>
          <w:spacing w:val="2"/>
        </w:rPr>
        <w:t>nivel </w:t>
      </w:r>
      <w:r>
        <w:rPr>
          <w:color w:val="231F20"/>
        </w:rPr>
        <w:t>i, </w:t>
      </w:r>
      <w:r>
        <w:rPr>
          <w:color w:val="231F20"/>
          <w:spacing w:val="2"/>
        </w:rPr>
        <w:t>donde </w:t>
      </w:r>
      <w:r>
        <w:rPr>
          <w:color w:val="231F20"/>
          <w:spacing w:val="3"/>
        </w:rPr>
        <w:t>gravemente </w:t>
      </w:r>
      <w:r>
        <w:rPr>
          <w:color w:val="231F20"/>
          <w:spacing w:val="2"/>
        </w:rPr>
        <w:t>los investigadores resultan </w:t>
      </w:r>
      <w:r>
        <w:rPr>
          <w:color w:val="231F20"/>
          <w:spacing w:val="3"/>
        </w:rPr>
        <w:t>expulsados </w:t>
      </w:r>
      <w:r>
        <w:rPr>
          <w:color w:val="231F20"/>
          <w:spacing w:val="2"/>
        </w:rPr>
        <w:t>del sistema </w:t>
      </w:r>
      <w:r>
        <w:rPr>
          <w:color w:val="231F20"/>
        </w:rPr>
        <w:t>y </w:t>
      </w:r>
      <w:r>
        <w:rPr>
          <w:color w:val="231F20"/>
          <w:spacing w:val="3"/>
        </w:rPr>
        <w:t>donde </w:t>
      </w:r>
      <w:r>
        <w:rPr>
          <w:color w:val="231F20"/>
        </w:rPr>
        <w:t>la </w:t>
      </w:r>
      <w:r>
        <w:rPr>
          <w:color w:val="231F20"/>
          <w:spacing w:val="3"/>
        </w:rPr>
        <w:t>proporción </w:t>
      </w:r>
      <w:r>
        <w:rPr>
          <w:color w:val="231F20"/>
        </w:rPr>
        <w:t>de </w:t>
      </w:r>
      <w:r>
        <w:rPr>
          <w:color w:val="231F20"/>
          <w:spacing w:val="3"/>
        </w:rPr>
        <w:t>candidatos </w:t>
      </w:r>
      <w:r>
        <w:rPr>
          <w:color w:val="231F20"/>
          <w:spacing w:val="2"/>
        </w:rPr>
        <w:t>respecto del nivel </w:t>
      </w:r>
      <w:r>
        <w:rPr>
          <w:color w:val="231F20"/>
        </w:rPr>
        <w:t>i es </w:t>
      </w:r>
      <w:r>
        <w:rPr>
          <w:color w:val="231F20"/>
          <w:spacing w:val="3"/>
        </w:rPr>
        <w:t>preocupantemente </w:t>
      </w:r>
      <w:r>
        <w:rPr>
          <w:color w:val="231F20"/>
          <w:spacing w:val="2"/>
        </w:rPr>
        <w:t>baja, </w:t>
      </w:r>
      <w:r>
        <w:rPr>
          <w:color w:val="231F20"/>
        </w:rPr>
        <w:t>y la </w:t>
      </w:r>
      <w:r>
        <w:rPr>
          <w:color w:val="231F20"/>
          <w:spacing w:val="2"/>
        </w:rPr>
        <w:t>base para una posible expansión </w:t>
      </w:r>
      <w:r>
        <w:rPr>
          <w:color w:val="231F20"/>
        </w:rPr>
        <w:t>es </w:t>
      </w:r>
      <w:r>
        <w:rPr>
          <w:color w:val="231F20"/>
          <w:spacing w:val="2"/>
        </w:rPr>
        <w:t>muy pequeña. </w:t>
      </w:r>
      <w:r>
        <w:rPr>
          <w:color w:val="231F20"/>
        </w:rPr>
        <w:t>La </w:t>
      </w:r>
      <w:r>
        <w:rPr>
          <w:color w:val="231F20"/>
          <w:spacing w:val="2"/>
        </w:rPr>
        <w:t>escasa  movilidad  entre nivel </w:t>
      </w:r>
      <w:r>
        <w:rPr>
          <w:color w:val="231F20"/>
        </w:rPr>
        <w:t>i y ii </w:t>
      </w:r>
      <w:r>
        <w:rPr>
          <w:color w:val="231F20"/>
          <w:spacing w:val="2"/>
        </w:rPr>
        <w:t>también resulta </w:t>
      </w:r>
      <w:r>
        <w:rPr>
          <w:color w:val="231F20"/>
          <w:spacing w:val="3"/>
        </w:rPr>
        <w:t>problemática, </w:t>
      </w:r>
      <w:r>
        <w:rPr>
          <w:color w:val="231F20"/>
          <w:spacing w:val="2"/>
        </w:rPr>
        <w:t>pero, </w:t>
      </w:r>
      <w:r>
        <w:rPr>
          <w:color w:val="231F20"/>
          <w:spacing w:val="3"/>
        </w:rPr>
        <w:t>finalmente, </w:t>
      </w:r>
      <w:r>
        <w:rPr>
          <w:color w:val="231F20"/>
        </w:rPr>
        <w:t>no </w:t>
      </w:r>
      <w:r>
        <w:rPr>
          <w:color w:val="231F20"/>
          <w:spacing w:val="2"/>
        </w:rPr>
        <w:t>significa </w:t>
      </w:r>
      <w:r>
        <w:rPr>
          <w:color w:val="231F20"/>
        </w:rPr>
        <w:t>que </w:t>
      </w:r>
      <w:r>
        <w:rPr>
          <w:color w:val="231F20"/>
          <w:spacing w:val="2"/>
        </w:rPr>
        <w:t>los investigadores tengan </w:t>
      </w:r>
      <w:r>
        <w:rPr>
          <w:color w:val="231F20"/>
        </w:rPr>
        <w:t>que </w:t>
      </w:r>
      <w:r>
        <w:rPr>
          <w:color w:val="231F20"/>
          <w:spacing w:val="3"/>
        </w:rPr>
        <w:t>abandonar </w:t>
      </w:r>
      <w:r>
        <w:rPr>
          <w:color w:val="231F20"/>
        </w:rPr>
        <w:t>el </w:t>
      </w:r>
      <w:r>
        <w:rPr>
          <w:color w:val="231F20"/>
          <w:spacing w:val="3"/>
        </w:rPr>
        <w:t>sistema, como </w:t>
      </w:r>
      <w:r>
        <w:rPr>
          <w:color w:val="231F20"/>
          <w:spacing w:val="2"/>
        </w:rPr>
        <w:t>sucede </w:t>
      </w:r>
      <w:r>
        <w:rPr>
          <w:color w:val="231F20"/>
        </w:rPr>
        <w:t>en el </w:t>
      </w:r>
      <w:r>
        <w:rPr>
          <w:color w:val="231F20"/>
          <w:spacing w:val="2"/>
        </w:rPr>
        <w:t>primer</w:t>
      </w:r>
      <w:r>
        <w:rPr>
          <w:color w:val="231F20"/>
          <w:spacing w:val="31"/>
        </w:rPr>
        <w:t> </w:t>
      </w:r>
      <w:r>
        <w:rPr>
          <w:color w:val="231F20"/>
          <w:spacing w:val="2"/>
        </w:rPr>
        <w:t>caso.</w:t>
      </w:r>
    </w:p>
    <w:p>
      <w:pPr>
        <w:pStyle w:val="BodyText"/>
        <w:spacing w:line="249" w:lineRule="auto"/>
        <w:ind w:left="102" w:right="116" w:firstLine="284"/>
        <w:jc w:val="both"/>
      </w:pPr>
      <w:r>
        <w:rPr>
          <w:color w:val="231F20"/>
          <w:spacing w:val="2"/>
        </w:rPr>
        <w:t>Didou </w:t>
      </w:r>
      <w:r>
        <w:rPr>
          <w:color w:val="231F20"/>
        </w:rPr>
        <w:t>y </w:t>
      </w:r>
      <w:r>
        <w:rPr>
          <w:color w:val="231F20"/>
          <w:spacing w:val="2"/>
        </w:rPr>
        <w:t>Gérard (2010) prueban </w:t>
      </w:r>
      <w:r>
        <w:rPr>
          <w:color w:val="231F20"/>
        </w:rPr>
        <w:t>que las </w:t>
      </w:r>
      <w:r>
        <w:rPr>
          <w:color w:val="231F20"/>
          <w:spacing w:val="2"/>
        </w:rPr>
        <w:t>mujeres presentan apenas </w:t>
      </w:r>
      <w:r>
        <w:rPr>
          <w:color w:val="231F20"/>
        </w:rPr>
        <w:t>el 39 </w:t>
      </w:r>
      <w:r>
        <w:rPr>
          <w:color w:val="231F20"/>
          <w:spacing w:val="2"/>
        </w:rPr>
        <w:t>por ciento </w:t>
      </w:r>
      <w:r>
        <w:rPr>
          <w:color w:val="231F20"/>
        </w:rPr>
        <w:t>de </w:t>
      </w:r>
      <w:r>
        <w:rPr>
          <w:color w:val="231F20"/>
          <w:spacing w:val="2"/>
        </w:rPr>
        <w:t>los </w:t>
      </w:r>
      <w:r>
        <w:rPr>
          <w:color w:val="231F20"/>
          <w:spacing w:val="3"/>
        </w:rPr>
        <w:t>miembros </w:t>
      </w:r>
      <w:r>
        <w:rPr>
          <w:color w:val="231F20"/>
          <w:spacing w:val="2"/>
        </w:rPr>
        <w:t>del SNI (5,064 mujeres </w:t>
      </w:r>
      <w:r>
        <w:rPr>
          <w:color w:val="231F20"/>
        </w:rPr>
        <w:t>y </w:t>
      </w:r>
      <w:r>
        <w:rPr>
          <w:color w:val="231F20"/>
          <w:spacing w:val="2"/>
        </w:rPr>
        <w:t>10,389 </w:t>
      </w:r>
      <w:r>
        <w:rPr>
          <w:color w:val="231F20"/>
          <w:spacing w:val="3"/>
        </w:rPr>
        <w:t>hombres). Adicionalmente </w:t>
      </w:r>
      <w:r>
        <w:rPr>
          <w:color w:val="231F20"/>
          <w:spacing w:val="2"/>
        </w:rPr>
        <w:t>existe </w:t>
      </w:r>
      <w:r>
        <w:rPr>
          <w:color w:val="231F20"/>
        </w:rPr>
        <w:t>el </w:t>
      </w:r>
      <w:r>
        <w:rPr>
          <w:color w:val="231F20"/>
          <w:spacing w:val="3"/>
        </w:rPr>
        <w:t>problema </w:t>
      </w:r>
      <w:r>
        <w:rPr>
          <w:color w:val="231F20"/>
        </w:rPr>
        <w:t>de la </w:t>
      </w:r>
      <w:r>
        <w:rPr>
          <w:color w:val="231F20"/>
          <w:spacing w:val="2"/>
        </w:rPr>
        <w:t>progresión entre </w:t>
      </w:r>
      <w:r>
        <w:rPr>
          <w:color w:val="231F20"/>
        </w:rPr>
        <w:t>un </w:t>
      </w:r>
      <w:r>
        <w:rPr>
          <w:color w:val="231F20"/>
          <w:spacing w:val="2"/>
        </w:rPr>
        <w:t>nivel </w:t>
      </w:r>
      <w:r>
        <w:rPr>
          <w:color w:val="231F20"/>
        </w:rPr>
        <w:t>y </w:t>
      </w:r>
      <w:r>
        <w:rPr>
          <w:color w:val="231F20"/>
          <w:spacing w:val="2"/>
        </w:rPr>
        <w:t>otro, puesto </w:t>
      </w:r>
      <w:r>
        <w:rPr>
          <w:color w:val="231F20"/>
        </w:rPr>
        <w:t>que la </w:t>
      </w:r>
      <w:r>
        <w:rPr>
          <w:color w:val="231F20"/>
          <w:spacing w:val="2"/>
        </w:rPr>
        <w:t>presencia </w:t>
      </w:r>
      <w:r>
        <w:rPr>
          <w:color w:val="231F20"/>
        </w:rPr>
        <w:t>de </w:t>
      </w:r>
      <w:r>
        <w:rPr>
          <w:color w:val="231F20"/>
          <w:spacing w:val="2"/>
        </w:rPr>
        <w:t>las mujeres definitivamente </w:t>
      </w:r>
      <w:r>
        <w:rPr>
          <w:color w:val="231F20"/>
        </w:rPr>
        <w:t>se ve </w:t>
      </w:r>
      <w:r>
        <w:rPr>
          <w:color w:val="231F20"/>
          <w:spacing w:val="2"/>
        </w:rPr>
        <w:t>debilitada conforme </w:t>
      </w:r>
      <w:r>
        <w:rPr>
          <w:color w:val="231F20"/>
        </w:rPr>
        <w:t>se </w:t>
      </w:r>
      <w:r>
        <w:rPr>
          <w:color w:val="231F20"/>
          <w:spacing w:val="2"/>
        </w:rPr>
        <w:t>pasa </w:t>
      </w:r>
      <w:r>
        <w:rPr>
          <w:color w:val="231F20"/>
        </w:rPr>
        <w:t>de un </w:t>
      </w:r>
      <w:r>
        <w:rPr>
          <w:color w:val="231F20"/>
          <w:spacing w:val="2"/>
        </w:rPr>
        <w:t>nivel </w:t>
      </w:r>
      <w:r>
        <w:rPr>
          <w:color w:val="231F20"/>
        </w:rPr>
        <w:t>a </w:t>
      </w:r>
      <w:r>
        <w:rPr>
          <w:color w:val="231F20"/>
          <w:spacing w:val="2"/>
        </w:rPr>
        <w:t>otro: </w:t>
      </w:r>
      <w:r>
        <w:rPr>
          <w:color w:val="231F20"/>
        </w:rPr>
        <w:t>ellas </w:t>
      </w:r>
      <w:r>
        <w:rPr>
          <w:color w:val="231F20"/>
          <w:spacing w:val="2"/>
        </w:rPr>
        <w:t>representan </w:t>
      </w:r>
      <w:r>
        <w:rPr>
          <w:color w:val="231F20"/>
        </w:rPr>
        <w:t>39 </w:t>
      </w:r>
      <w:r>
        <w:rPr>
          <w:color w:val="231F20"/>
          <w:spacing w:val="2"/>
        </w:rPr>
        <w:t>por ciento </w:t>
      </w:r>
      <w:r>
        <w:rPr>
          <w:color w:val="231F20"/>
        </w:rPr>
        <w:t>de  </w:t>
      </w:r>
      <w:r>
        <w:rPr>
          <w:color w:val="231F20"/>
          <w:spacing w:val="2"/>
        </w:rPr>
        <w:t>los candidatos,  pero </w:t>
      </w:r>
      <w:r>
        <w:rPr>
          <w:color w:val="231F20"/>
        </w:rPr>
        <w:t>su </w:t>
      </w:r>
      <w:r>
        <w:rPr>
          <w:color w:val="231F20"/>
          <w:spacing w:val="3"/>
        </w:rPr>
        <w:t>proporción </w:t>
      </w:r>
      <w:r>
        <w:rPr>
          <w:color w:val="231F20"/>
          <w:spacing w:val="2"/>
        </w:rPr>
        <w:t>baja </w:t>
      </w:r>
      <w:r>
        <w:rPr>
          <w:color w:val="231F20"/>
        </w:rPr>
        <w:t>a 34.6 </w:t>
      </w:r>
      <w:r>
        <w:rPr>
          <w:color w:val="231F20"/>
          <w:spacing w:val="2"/>
        </w:rPr>
        <w:t>por ciento </w:t>
      </w:r>
      <w:r>
        <w:rPr>
          <w:color w:val="231F20"/>
        </w:rPr>
        <w:t>en el </w:t>
      </w:r>
      <w:r>
        <w:rPr>
          <w:color w:val="231F20"/>
          <w:spacing w:val="2"/>
        </w:rPr>
        <w:t>nivel </w:t>
      </w:r>
      <w:r>
        <w:rPr>
          <w:color w:val="231F20"/>
        </w:rPr>
        <w:t>i, a 28.5 </w:t>
      </w:r>
      <w:r>
        <w:rPr>
          <w:color w:val="231F20"/>
          <w:spacing w:val="2"/>
        </w:rPr>
        <w:t>por ciento </w:t>
      </w:r>
      <w:r>
        <w:rPr>
          <w:color w:val="231F20"/>
        </w:rPr>
        <w:t>en el ii y se llega al </w:t>
      </w:r>
      <w:r>
        <w:rPr>
          <w:color w:val="231F20"/>
          <w:spacing w:val="3"/>
        </w:rPr>
        <w:t>punto </w:t>
      </w:r>
      <w:r>
        <w:rPr>
          <w:color w:val="231F20"/>
        </w:rPr>
        <w:t>de </w:t>
      </w:r>
      <w:r>
        <w:rPr>
          <w:color w:val="231F20"/>
          <w:spacing w:val="2"/>
        </w:rPr>
        <w:t>solo representar </w:t>
      </w:r>
      <w:r>
        <w:rPr>
          <w:color w:val="231F20"/>
        </w:rPr>
        <w:t>18.6 </w:t>
      </w:r>
      <w:r>
        <w:rPr>
          <w:color w:val="231F20"/>
          <w:spacing w:val="2"/>
        </w:rPr>
        <w:t>por  ciento</w:t>
      </w:r>
      <w:r>
        <w:rPr>
          <w:color w:val="231F20"/>
          <w:spacing w:val="-14"/>
        </w:rPr>
        <w:t> </w:t>
      </w:r>
      <w:r>
        <w:rPr>
          <w:color w:val="231F20"/>
        </w:rPr>
        <w:t>en</w:t>
      </w:r>
      <w:r>
        <w:rPr>
          <w:color w:val="231F20"/>
          <w:spacing w:val="-14"/>
        </w:rPr>
        <w:t> </w:t>
      </w:r>
      <w:r>
        <w:rPr>
          <w:color w:val="231F20"/>
        </w:rPr>
        <w:t>el</w:t>
      </w:r>
      <w:r>
        <w:rPr>
          <w:color w:val="231F20"/>
          <w:spacing w:val="-15"/>
        </w:rPr>
        <w:t> </w:t>
      </w:r>
      <w:r>
        <w:rPr>
          <w:color w:val="231F20"/>
        </w:rPr>
        <w:t>iii</w:t>
      </w:r>
      <w:r>
        <w:rPr>
          <w:color w:val="231F20"/>
          <w:spacing w:val="-15"/>
        </w:rPr>
        <w:t> </w:t>
      </w:r>
      <w:r>
        <w:rPr>
          <w:color w:val="231F20"/>
          <w:spacing w:val="3"/>
        </w:rPr>
        <w:t>(Álvarez-Mendiola,</w:t>
      </w:r>
      <w:r>
        <w:rPr>
          <w:color w:val="231F20"/>
          <w:spacing w:val="-15"/>
        </w:rPr>
        <w:t> </w:t>
      </w:r>
      <w:r>
        <w:rPr>
          <w:color w:val="231F20"/>
          <w:spacing w:val="2"/>
        </w:rPr>
        <w:t>2010).</w:t>
      </w:r>
    </w:p>
    <w:p>
      <w:pPr>
        <w:pStyle w:val="BodyText"/>
        <w:spacing w:line="247" w:lineRule="auto"/>
        <w:ind w:left="102" w:right="113" w:firstLine="284"/>
        <w:jc w:val="both"/>
      </w:pPr>
      <w:r>
        <w:rPr>
          <w:color w:val="231F20"/>
        </w:rPr>
        <w:t>Para observar la segmentación entre los investigadores al inte- rior del propio sistema, se consideran las cifras que el propio SNI reporta, en cuatro tópicos: el área, la categoría, la ubicación y el género. El recorrido en cifras por lustros desde el 2000 hasta el 2010, mantiene un crecimiento diverso; mientras que entre el año 2000 y el 2005 se incorporan 69 investigadores por año en pro- medio para el área i, para el área iv disminuye en 20 investigadores anuales y crece en 205 investigadores por año en  el  área v.  Para los años 2005 y 2010, se incorporan al sistema 84 investigadores por año (en promedio) en el área iii, y 249 en el área v.</w:t>
      </w:r>
    </w:p>
    <w:p>
      <w:pPr>
        <w:pStyle w:val="BodyText"/>
        <w:spacing w:line="247" w:lineRule="auto" w:before="6"/>
        <w:ind w:left="103" w:right="112" w:firstLine="284"/>
        <w:jc w:val="both"/>
      </w:pPr>
      <w:r>
        <w:rPr>
          <w:color w:val="231F20"/>
        </w:rPr>
        <w:t>En cuanto a las categorías, es de llamar la atención que entre el 2000 y el 2005 la categoría i crece en promedio 316 investigadores por año, mientras que entre 2005 y 2010 casi se duplica a 608 investigadores por año, en promedio. En las otras categorías, mientras que entre el primer lustro del 2000 crece la categoría iii y ii en 155, para el segundo lustro, la categoría ii crece en 223 inves- tigadores por año, la iii solo 91 en promedio, lo que corrobora las críticas antes expuestas.</w:t>
      </w:r>
    </w:p>
    <w:p>
      <w:pPr>
        <w:pStyle w:val="BodyText"/>
        <w:spacing w:line="247" w:lineRule="auto" w:before="1"/>
        <w:ind w:left="103" w:right="114" w:firstLine="284"/>
        <w:jc w:val="both"/>
      </w:pPr>
      <w:r>
        <w:rPr>
          <w:color w:val="231F20"/>
        </w:rPr>
        <w:t>En cuanto a ubicación, la incorporación de investigadores del Distrito Federal en el primer lustro es de 256 anualmente en pro-</w:t>
      </w:r>
    </w:p>
    <w:p>
      <w:pPr>
        <w:spacing w:after="0" w:line="247" w:lineRule="auto"/>
        <w:jc w:val="both"/>
        <w:sectPr>
          <w:headerReference w:type="default" r:id="rId130"/>
          <w:footerReference w:type="default" r:id="rId131"/>
          <w:pgSz w:w="7830" w:h="11910"/>
          <w:pgMar w:header="0" w:footer="424" w:top="500" w:bottom="620" w:left="920" w:right="900"/>
          <w:pgNumType w:start="5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jc w:val="both"/>
      </w:pPr>
      <w:r>
        <w:rPr>
          <w:color w:val="231F20"/>
          <w:spacing w:val="2"/>
        </w:rPr>
        <w:t>medio, </w:t>
      </w:r>
      <w:r>
        <w:rPr>
          <w:color w:val="231F20"/>
        </w:rPr>
        <w:t>y en el </w:t>
      </w:r>
      <w:r>
        <w:rPr>
          <w:color w:val="231F20"/>
          <w:spacing w:val="2"/>
        </w:rPr>
        <w:t>segundo lustro 277; mientras </w:t>
      </w:r>
      <w:r>
        <w:rPr>
          <w:color w:val="231F20"/>
        </w:rPr>
        <w:t>que los </w:t>
      </w:r>
      <w:r>
        <w:rPr>
          <w:color w:val="231F20"/>
          <w:spacing w:val="2"/>
        </w:rPr>
        <w:t>investigadores </w:t>
      </w:r>
      <w:r>
        <w:rPr>
          <w:color w:val="231F20"/>
        </w:rPr>
        <w:t>que se </w:t>
      </w:r>
      <w:r>
        <w:rPr>
          <w:color w:val="231F20"/>
          <w:spacing w:val="3"/>
        </w:rPr>
        <w:t>incorporan </w:t>
      </w:r>
      <w:r>
        <w:rPr>
          <w:color w:val="231F20"/>
        </w:rPr>
        <w:t>de  </w:t>
      </w:r>
      <w:r>
        <w:rPr>
          <w:color w:val="231F20"/>
          <w:spacing w:val="2"/>
        </w:rPr>
        <w:t>todos los demás estados </w:t>
      </w:r>
      <w:r>
        <w:rPr>
          <w:color w:val="231F20"/>
        </w:rPr>
        <w:t>de  la  </w:t>
      </w:r>
      <w:r>
        <w:rPr>
          <w:color w:val="231F20"/>
          <w:spacing w:val="3"/>
        </w:rPr>
        <w:t>República,</w:t>
      </w:r>
      <w:r>
        <w:rPr>
          <w:color w:val="231F20"/>
          <w:spacing w:val="58"/>
        </w:rPr>
        <w:t> </w:t>
      </w:r>
      <w:r>
        <w:rPr>
          <w:color w:val="231F20"/>
        </w:rPr>
        <w:t>que </w:t>
      </w:r>
      <w:r>
        <w:rPr>
          <w:color w:val="231F20"/>
          <w:spacing w:val="2"/>
        </w:rPr>
        <w:t>son </w:t>
      </w:r>
      <w:r>
        <w:rPr>
          <w:color w:val="231F20"/>
        </w:rPr>
        <w:t>31, en el </w:t>
      </w:r>
      <w:r>
        <w:rPr>
          <w:color w:val="231F20"/>
          <w:spacing w:val="2"/>
        </w:rPr>
        <w:t>primer lustro </w:t>
      </w:r>
      <w:r>
        <w:rPr>
          <w:color w:val="231F20"/>
        </w:rPr>
        <w:t>es de </w:t>
      </w:r>
      <w:r>
        <w:rPr>
          <w:color w:val="231F20"/>
          <w:spacing w:val="2"/>
        </w:rPr>
        <w:t>431 </w:t>
      </w:r>
      <w:r>
        <w:rPr>
          <w:color w:val="231F20"/>
        </w:rPr>
        <w:t>y </w:t>
      </w:r>
      <w:r>
        <w:rPr>
          <w:color w:val="231F20"/>
          <w:spacing w:val="2"/>
        </w:rPr>
        <w:t>861 </w:t>
      </w:r>
      <w:r>
        <w:rPr>
          <w:color w:val="231F20"/>
        </w:rPr>
        <w:t>en el </w:t>
      </w:r>
      <w:r>
        <w:rPr>
          <w:color w:val="231F20"/>
          <w:spacing w:val="3"/>
        </w:rPr>
        <w:t>segundo </w:t>
      </w:r>
      <w:r>
        <w:rPr>
          <w:color w:val="231F20"/>
          <w:spacing w:val="2"/>
        </w:rPr>
        <w:t>lustro; </w:t>
      </w:r>
      <w:r>
        <w:rPr>
          <w:color w:val="231F20"/>
        </w:rPr>
        <w:t>en </w:t>
      </w:r>
      <w:r>
        <w:rPr>
          <w:color w:val="231F20"/>
          <w:spacing w:val="3"/>
        </w:rPr>
        <w:t>promedio, </w:t>
      </w:r>
      <w:r>
        <w:rPr>
          <w:color w:val="231F20"/>
        </w:rPr>
        <w:t>si </w:t>
      </w:r>
      <w:r>
        <w:rPr>
          <w:color w:val="231F20"/>
          <w:spacing w:val="2"/>
        </w:rPr>
        <w:t>estas cifras </w:t>
      </w:r>
      <w:r>
        <w:rPr>
          <w:color w:val="231F20"/>
        </w:rPr>
        <w:t>las </w:t>
      </w:r>
      <w:r>
        <w:rPr>
          <w:color w:val="231F20"/>
          <w:spacing w:val="2"/>
        </w:rPr>
        <w:t>dividimos entre los </w:t>
      </w:r>
      <w:r>
        <w:rPr>
          <w:color w:val="231F20"/>
        </w:rPr>
        <w:t>31 </w:t>
      </w:r>
      <w:r>
        <w:rPr>
          <w:color w:val="231F20"/>
          <w:spacing w:val="3"/>
        </w:rPr>
        <w:t>esta- </w:t>
      </w:r>
      <w:r>
        <w:rPr>
          <w:color w:val="231F20"/>
          <w:spacing w:val="2"/>
        </w:rPr>
        <w:t>dos quedaría </w:t>
      </w:r>
      <w:r>
        <w:rPr>
          <w:color w:val="231F20"/>
        </w:rPr>
        <w:t>en 14 y 27 </w:t>
      </w:r>
      <w:r>
        <w:rPr>
          <w:color w:val="231F20"/>
          <w:spacing w:val="2"/>
        </w:rPr>
        <w:t>investigadores por entidad </w:t>
      </w:r>
      <w:r>
        <w:rPr>
          <w:color w:val="231F20"/>
        </w:rPr>
        <w:t>(en </w:t>
      </w:r>
      <w:r>
        <w:rPr>
          <w:color w:val="231F20"/>
          <w:spacing w:val="3"/>
        </w:rPr>
        <w:t>promedio </w:t>
      </w:r>
      <w:r>
        <w:rPr>
          <w:color w:val="231F20"/>
          <w:spacing w:val="2"/>
        </w:rPr>
        <w:t>anual), nunca </w:t>
      </w:r>
      <w:r>
        <w:rPr>
          <w:color w:val="231F20"/>
          <w:spacing w:val="3"/>
        </w:rPr>
        <w:t>comparable </w:t>
      </w:r>
      <w:r>
        <w:rPr>
          <w:color w:val="231F20"/>
          <w:spacing w:val="2"/>
        </w:rPr>
        <w:t>con </w:t>
      </w:r>
      <w:r>
        <w:rPr>
          <w:color w:val="231F20"/>
        </w:rPr>
        <w:t>el </w:t>
      </w:r>
      <w:r>
        <w:rPr>
          <w:color w:val="231F20"/>
          <w:spacing w:val="2"/>
        </w:rPr>
        <w:t>Distrito Federal </w:t>
      </w:r>
      <w:r>
        <w:rPr>
          <w:color w:val="231F20"/>
        </w:rPr>
        <w:t>que </w:t>
      </w:r>
      <w:r>
        <w:rPr>
          <w:color w:val="231F20"/>
          <w:spacing w:val="3"/>
        </w:rPr>
        <w:t>mantiene</w:t>
      </w:r>
      <w:r>
        <w:rPr>
          <w:color w:val="231F20"/>
          <w:spacing w:val="58"/>
        </w:rPr>
        <w:t> </w:t>
      </w:r>
      <w:r>
        <w:rPr>
          <w:color w:val="231F20"/>
          <w:spacing w:val="2"/>
        </w:rPr>
        <w:t>una </w:t>
      </w:r>
      <w:r>
        <w:rPr>
          <w:color w:val="231F20"/>
          <w:spacing w:val="3"/>
        </w:rPr>
        <w:t>proporción mucho</w:t>
      </w:r>
      <w:r>
        <w:rPr>
          <w:color w:val="231F20"/>
          <w:spacing w:val="40"/>
        </w:rPr>
        <w:t> </w:t>
      </w:r>
      <w:r>
        <w:rPr>
          <w:color w:val="231F20"/>
          <w:spacing w:val="3"/>
        </w:rPr>
        <w:t>mayor.</w:t>
      </w:r>
    </w:p>
    <w:p>
      <w:pPr>
        <w:pStyle w:val="BodyText"/>
        <w:spacing w:line="247" w:lineRule="auto"/>
        <w:ind w:left="102" w:right="115" w:firstLine="284"/>
        <w:jc w:val="both"/>
      </w:pPr>
      <w:r>
        <w:rPr>
          <w:color w:val="231F20"/>
        </w:rPr>
        <w:t>Y </w:t>
      </w:r>
      <w:r>
        <w:rPr>
          <w:color w:val="231F20"/>
          <w:spacing w:val="2"/>
        </w:rPr>
        <w:t>respecto </w:t>
      </w:r>
      <w:r>
        <w:rPr>
          <w:color w:val="231F20"/>
        </w:rPr>
        <w:t>al </w:t>
      </w:r>
      <w:r>
        <w:rPr>
          <w:color w:val="231F20"/>
          <w:spacing w:val="2"/>
        </w:rPr>
        <w:t>género, </w:t>
      </w:r>
      <w:r>
        <w:rPr>
          <w:color w:val="231F20"/>
        </w:rPr>
        <w:t>en el </w:t>
      </w:r>
      <w:r>
        <w:rPr>
          <w:color w:val="231F20"/>
          <w:spacing w:val="2"/>
        </w:rPr>
        <w:t>primer lustro </w:t>
      </w:r>
      <w:r>
        <w:rPr>
          <w:color w:val="231F20"/>
          <w:spacing w:val="3"/>
        </w:rPr>
        <w:t>aumentan </w:t>
      </w:r>
      <w:r>
        <w:rPr>
          <w:color w:val="231F20"/>
          <w:spacing w:val="2"/>
        </w:rPr>
        <w:t>480 </w:t>
      </w:r>
      <w:r>
        <w:rPr>
          <w:color w:val="231F20"/>
          <w:spacing w:val="3"/>
        </w:rPr>
        <w:t>inves- </w:t>
      </w:r>
      <w:r>
        <w:rPr>
          <w:color w:val="231F20"/>
          <w:spacing w:val="2"/>
        </w:rPr>
        <w:t>tigadores </w:t>
      </w:r>
      <w:r>
        <w:rPr>
          <w:color w:val="231F20"/>
          <w:spacing w:val="3"/>
        </w:rPr>
        <w:t>hombres anualmente </w:t>
      </w:r>
      <w:r>
        <w:rPr>
          <w:color w:val="231F20"/>
        </w:rPr>
        <w:t>(en </w:t>
      </w:r>
      <w:r>
        <w:rPr>
          <w:color w:val="231F20"/>
          <w:spacing w:val="3"/>
        </w:rPr>
        <w:t>promedio) </w:t>
      </w:r>
      <w:r>
        <w:rPr>
          <w:color w:val="231F20"/>
          <w:spacing w:val="2"/>
        </w:rPr>
        <w:t>mientras que las investigadoras crecen </w:t>
      </w:r>
      <w:r>
        <w:rPr>
          <w:color w:val="231F20"/>
        </w:rPr>
        <w:t>un </w:t>
      </w:r>
      <w:r>
        <w:rPr>
          <w:color w:val="231F20"/>
          <w:spacing w:val="2"/>
        </w:rPr>
        <w:t>poco </w:t>
      </w:r>
      <w:r>
        <w:rPr>
          <w:color w:val="231F20"/>
          <w:spacing w:val="3"/>
        </w:rPr>
        <w:t>menos </w:t>
      </w:r>
      <w:r>
        <w:rPr>
          <w:color w:val="231F20"/>
        </w:rPr>
        <w:t>de la </w:t>
      </w:r>
      <w:r>
        <w:rPr>
          <w:color w:val="231F20"/>
          <w:spacing w:val="2"/>
        </w:rPr>
        <w:t>mitad </w:t>
      </w:r>
      <w:r>
        <w:rPr>
          <w:color w:val="231F20"/>
        </w:rPr>
        <w:t>de esa </w:t>
      </w:r>
      <w:r>
        <w:rPr>
          <w:color w:val="231F20"/>
          <w:spacing w:val="2"/>
        </w:rPr>
        <w:t>cantidad, </w:t>
      </w:r>
      <w:r>
        <w:rPr>
          <w:color w:val="231F20"/>
        </w:rPr>
        <w:t>es </w:t>
      </w:r>
      <w:r>
        <w:rPr>
          <w:color w:val="231F20"/>
          <w:spacing w:val="2"/>
        </w:rPr>
        <w:t>decir, solo </w:t>
      </w:r>
      <w:r>
        <w:rPr>
          <w:color w:val="231F20"/>
        </w:rPr>
        <w:t>192 </w:t>
      </w:r>
      <w:r>
        <w:rPr>
          <w:color w:val="231F20"/>
          <w:spacing w:val="2"/>
        </w:rPr>
        <w:t>mujeres, dos </w:t>
      </w:r>
      <w:r>
        <w:rPr>
          <w:color w:val="231F20"/>
        </w:rPr>
        <w:t>y </w:t>
      </w:r>
      <w:r>
        <w:rPr>
          <w:color w:val="231F20"/>
          <w:spacing w:val="2"/>
        </w:rPr>
        <w:t>medio investigadores </w:t>
      </w:r>
      <w:r>
        <w:rPr>
          <w:color w:val="231F20"/>
          <w:spacing w:val="3"/>
        </w:rPr>
        <w:t>hombres</w:t>
      </w:r>
      <w:r>
        <w:rPr>
          <w:color w:val="231F20"/>
          <w:spacing w:val="58"/>
        </w:rPr>
        <w:t> </w:t>
      </w:r>
      <w:r>
        <w:rPr>
          <w:color w:val="231F20"/>
          <w:spacing w:val="2"/>
        </w:rPr>
        <w:t>por una investigadora mujer; para </w:t>
      </w:r>
      <w:r>
        <w:rPr>
          <w:color w:val="231F20"/>
        </w:rPr>
        <w:t>el </w:t>
      </w:r>
      <w:r>
        <w:rPr>
          <w:color w:val="231F20"/>
          <w:spacing w:val="2"/>
        </w:rPr>
        <w:t>segundo lustro, los </w:t>
      </w:r>
      <w:r>
        <w:rPr>
          <w:color w:val="231F20"/>
          <w:spacing w:val="3"/>
        </w:rPr>
        <w:t>investiga- </w:t>
      </w:r>
      <w:r>
        <w:rPr>
          <w:color w:val="231F20"/>
          <w:spacing w:val="2"/>
        </w:rPr>
        <w:t>dores </w:t>
      </w:r>
      <w:r>
        <w:rPr>
          <w:color w:val="231F20"/>
          <w:spacing w:val="3"/>
        </w:rPr>
        <w:t>aumentan </w:t>
      </w:r>
      <w:r>
        <w:rPr>
          <w:color w:val="231F20"/>
        </w:rPr>
        <w:t>en 702 </w:t>
      </w:r>
      <w:r>
        <w:rPr>
          <w:color w:val="231F20"/>
          <w:spacing w:val="2"/>
        </w:rPr>
        <w:t>por año </w:t>
      </w:r>
      <w:r>
        <w:rPr>
          <w:color w:val="231F20"/>
        </w:rPr>
        <w:t>en </w:t>
      </w:r>
      <w:r>
        <w:rPr>
          <w:color w:val="231F20"/>
          <w:spacing w:val="3"/>
        </w:rPr>
        <w:t>promedio, </w:t>
      </w:r>
      <w:r>
        <w:rPr>
          <w:color w:val="231F20"/>
        </w:rPr>
        <w:t>y las </w:t>
      </w:r>
      <w:r>
        <w:rPr>
          <w:color w:val="231F20"/>
          <w:spacing w:val="2"/>
        </w:rPr>
        <w:t>mujeres 487, </w:t>
      </w:r>
      <w:r>
        <w:rPr>
          <w:color w:val="231F20"/>
        </w:rPr>
        <w:t>la </w:t>
      </w:r>
      <w:r>
        <w:rPr>
          <w:color w:val="231F20"/>
          <w:spacing w:val="2"/>
        </w:rPr>
        <w:t>relación </w:t>
      </w:r>
      <w:r>
        <w:rPr>
          <w:color w:val="231F20"/>
        </w:rPr>
        <w:t>en </w:t>
      </w:r>
      <w:r>
        <w:rPr>
          <w:color w:val="231F20"/>
          <w:spacing w:val="2"/>
        </w:rPr>
        <w:t>estos años </w:t>
      </w:r>
      <w:r>
        <w:rPr>
          <w:color w:val="231F20"/>
        </w:rPr>
        <w:t>es de </w:t>
      </w:r>
      <w:r>
        <w:rPr>
          <w:color w:val="231F20"/>
          <w:spacing w:val="2"/>
        </w:rPr>
        <w:t>uno </w:t>
      </w:r>
      <w:r>
        <w:rPr>
          <w:color w:val="231F20"/>
        </w:rPr>
        <w:t>y </w:t>
      </w:r>
      <w:r>
        <w:rPr>
          <w:color w:val="231F20"/>
          <w:spacing w:val="3"/>
        </w:rPr>
        <w:t>medio aproximadamente (Es- </w:t>
      </w:r>
      <w:r>
        <w:rPr>
          <w:color w:val="231F20"/>
          <w:spacing w:val="3"/>
          <w:w w:val="107"/>
        </w:rPr>
        <w:t>t</w:t>
      </w:r>
      <w:r>
        <w:rPr>
          <w:color w:val="231F20"/>
          <w:spacing w:val="3"/>
          <w:w w:val="98"/>
        </w:rPr>
        <w:t>ad</w:t>
      </w:r>
      <w:r>
        <w:rPr>
          <w:color w:val="231F20"/>
          <w:spacing w:val="2"/>
          <w:w w:val="84"/>
        </w:rPr>
        <w:t>í</w:t>
      </w:r>
      <w:r>
        <w:rPr>
          <w:color w:val="231F20"/>
          <w:spacing w:val="3"/>
          <w:w w:val="96"/>
        </w:rPr>
        <w:t>s</w:t>
      </w:r>
      <w:r>
        <w:rPr>
          <w:color w:val="231F20"/>
          <w:spacing w:val="3"/>
          <w:w w:val="107"/>
        </w:rPr>
        <w:t>t</w:t>
      </w:r>
      <w:r>
        <w:rPr>
          <w:color w:val="231F20"/>
          <w:spacing w:val="2"/>
          <w:w w:val="84"/>
        </w:rPr>
        <w:t>i</w:t>
      </w:r>
      <w:r>
        <w:rPr>
          <w:color w:val="231F20"/>
          <w:spacing w:val="3"/>
          <w:w w:val="96"/>
        </w:rPr>
        <w:t>c</w:t>
      </w:r>
      <w:r>
        <w:rPr>
          <w:color w:val="231F20"/>
          <w:spacing w:val="3"/>
          <w:w w:val="95"/>
        </w:rPr>
        <w:t>a</w:t>
      </w:r>
      <w:r>
        <w:rPr>
          <w:color w:val="231F20"/>
          <w:w w:val="95"/>
        </w:rPr>
        <w:t>s</w:t>
      </w:r>
      <w:r>
        <w:rPr>
          <w:color w:val="231F20"/>
          <w:spacing w:val="8"/>
        </w:rPr>
        <w:t> </w:t>
      </w:r>
      <w:r>
        <w:rPr>
          <w:color w:val="231F20"/>
          <w:spacing w:val="4"/>
          <w:w w:val="94"/>
        </w:rPr>
        <w:t>B</w:t>
      </w:r>
      <w:r>
        <w:rPr>
          <w:color w:val="231F20"/>
          <w:spacing w:val="3"/>
          <w:w w:val="95"/>
        </w:rPr>
        <w:t>ás</w:t>
      </w:r>
      <w:r>
        <w:rPr>
          <w:color w:val="231F20"/>
          <w:spacing w:val="2"/>
          <w:w w:val="84"/>
        </w:rPr>
        <w:t>i</w:t>
      </w:r>
      <w:r>
        <w:rPr>
          <w:color w:val="231F20"/>
          <w:spacing w:val="3"/>
          <w:w w:val="96"/>
        </w:rPr>
        <w:t>c</w:t>
      </w:r>
      <w:r>
        <w:rPr>
          <w:color w:val="231F20"/>
          <w:spacing w:val="3"/>
          <w:w w:val="95"/>
        </w:rPr>
        <w:t>a</w:t>
      </w:r>
      <w:r>
        <w:rPr>
          <w:color w:val="231F20"/>
          <w:w w:val="95"/>
        </w:rPr>
        <w:t>s</w:t>
      </w:r>
      <w:r>
        <w:rPr>
          <w:color w:val="231F20"/>
          <w:spacing w:val="8"/>
        </w:rPr>
        <w:t> </w:t>
      </w:r>
      <w:r>
        <w:rPr>
          <w:color w:val="231F20"/>
          <w:spacing w:val="3"/>
          <w:w w:val="88"/>
        </w:rPr>
        <w:t>S</w:t>
      </w:r>
      <w:r>
        <w:rPr>
          <w:color w:val="231F20"/>
          <w:spacing w:val="5"/>
          <w:w w:val="109"/>
        </w:rPr>
        <w:t>N</w:t>
      </w:r>
      <w:r>
        <w:rPr>
          <w:color w:val="231F20"/>
          <w:spacing w:val="3"/>
          <w:w w:val="109"/>
        </w:rPr>
        <w:t>I</w:t>
      </w:r>
      <w:r>
        <w:rPr>
          <w:color w:val="231F20"/>
          <w:spacing w:val="3"/>
          <w:w w:val="185"/>
        </w:rPr>
        <w:t>/</w:t>
      </w:r>
      <w:r>
        <w:rPr>
          <w:color w:val="231F20"/>
          <w:spacing w:val="4"/>
          <w:w w:val="97"/>
        </w:rPr>
        <w:t>C</w:t>
      </w:r>
      <w:r>
        <w:rPr>
          <w:color w:val="231F20"/>
          <w:spacing w:val="5"/>
          <w:w w:val="111"/>
        </w:rPr>
        <w:t>O</w:t>
      </w:r>
      <w:r>
        <w:rPr>
          <w:color w:val="231F20"/>
          <w:spacing w:val="5"/>
          <w:w w:val="109"/>
        </w:rPr>
        <w:t>N</w:t>
      </w:r>
      <w:r>
        <w:rPr>
          <w:color w:val="231F20"/>
          <w:spacing w:val="4"/>
          <w:w w:val="96"/>
        </w:rPr>
        <w:t>A</w:t>
      </w:r>
      <w:r>
        <w:rPr>
          <w:color w:val="231F20"/>
          <w:spacing w:val="4"/>
          <w:w w:val="97"/>
        </w:rPr>
        <w:t>C</w:t>
      </w:r>
      <w:r>
        <w:rPr>
          <w:color w:val="231F20"/>
          <w:spacing w:val="4"/>
          <w:w w:val="93"/>
        </w:rPr>
        <w:t>Y</w:t>
      </w:r>
      <w:r>
        <w:rPr>
          <w:color w:val="231F20"/>
          <w:spacing w:val="4"/>
          <w:w w:val="103"/>
        </w:rPr>
        <w:t>T</w:t>
      </w:r>
      <w:r>
        <w:rPr>
          <w:color w:val="231F20"/>
          <w:w w:val="89"/>
        </w:rPr>
        <w:t>,</w:t>
      </w:r>
      <w:r>
        <w:rPr>
          <w:color w:val="231F20"/>
          <w:spacing w:val="7"/>
        </w:rPr>
        <w:t> </w:t>
      </w:r>
      <w:r>
        <w:rPr>
          <w:color w:val="231F20"/>
          <w:spacing w:val="4"/>
          <w:w w:val="96"/>
        </w:rPr>
        <w:t>201</w:t>
      </w:r>
      <w:r>
        <w:rPr>
          <w:color w:val="231F20"/>
          <w:spacing w:val="3"/>
          <w:w w:val="96"/>
        </w:rPr>
        <w:t>0</w:t>
      </w:r>
      <w:r>
        <w:rPr>
          <w:color w:val="231F20"/>
          <w:spacing w:val="2"/>
          <w:w w:val="90"/>
        </w:rPr>
        <w:t>)</w:t>
      </w:r>
      <w:r>
        <w:rPr>
          <w:color w:val="231F20"/>
          <w:w w:val="89"/>
        </w:rPr>
        <w:t>.</w:t>
      </w:r>
    </w:p>
    <w:p>
      <w:pPr>
        <w:pStyle w:val="BodyText"/>
        <w:spacing w:line="249" w:lineRule="auto" w:before="1"/>
        <w:ind w:left="102" w:right="114" w:firstLine="284"/>
        <w:jc w:val="both"/>
      </w:pPr>
      <w:r>
        <w:rPr>
          <w:color w:val="231F20"/>
          <w:spacing w:val="2"/>
        </w:rPr>
        <w:t>Aunque los datos </w:t>
      </w:r>
      <w:r>
        <w:rPr>
          <w:color w:val="231F20"/>
          <w:spacing w:val="3"/>
        </w:rPr>
        <w:t>reportados </w:t>
      </w:r>
      <w:r>
        <w:rPr>
          <w:color w:val="231F20"/>
          <w:spacing w:val="2"/>
        </w:rPr>
        <w:t>tienen </w:t>
      </w:r>
      <w:r>
        <w:rPr>
          <w:color w:val="231F20"/>
        </w:rPr>
        <w:t>sus </w:t>
      </w:r>
      <w:r>
        <w:rPr>
          <w:color w:val="231F20"/>
          <w:spacing w:val="2"/>
        </w:rPr>
        <w:t>limitaciones, nos </w:t>
      </w:r>
      <w:r>
        <w:rPr>
          <w:color w:val="231F20"/>
        </w:rPr>
        <w:t>da  </w:t>
      </w:r>
      <w:r>
        <w:rPr>
          <w:color w:val="231F20"/>
          <w:spacing w:val="2"/>
        </w:rPr>
        <w:t>una </w:t>
      </w:r>
      <w:r>
        <w:rPr>
          <w:color w:val="231F20"/>
        </w:rPr>
        <w:t>idea </w:t>
      </w:r>
      <w:r>
        <w:rPr>
          <w:color w:val="231F20"/>
          <w:spacing w:val="2"/>
        </w:rPr>
        <w:t>general </w:t>
      </w:r>
      <w:r>
        <w:rPr>
          <w:color w:val="231F20"/>
        </w:rPr>
        <w:t>de la </w:t>
      </w:r>
      <w:r>
        <w:rPr>
          <w:color w:val="231F20"/>
          <w:spacing w:val="3"/>
        </w:rPr>
        <w:t>segmentación </w:t>
      </w:r>
      <w:r>
        <w:rPr>
          <w:color w:val="231F20"/>
        </w:rPr>
        <w:t>de </w:t>
      </w:r>
      <w:r>
        <w:rPr>
          <w:color w:val="231F20"/>
          <w:spacing w:val="2"/>
        </w:rPr>
        <w:t>los investigadores </w:t>
      </w:r>
      <w:r>
        <w:rPr>
          <w:color w:val="231F20"/>
        </w:rPr>
        <w:t>al </w:t>
      </w:r>
      <w:r>
        <w:rPr>
          <w:color w:val="231F20"/>
          <w:spacing w:val="2"/>
        </w:rPr>
        <w:t>inte- rior del Sistema </w:t>
      </w:r>
      <w:r>
        <w:rPr>
          <w:color w:val="231F20"/>
          <w:spacing w:val="3"/>
        </w:rPr>
        <w:t>Nacional, </w:t>
      </w:r>
      <w:r>
        <w:rPr>
          <w:color w:val="231F20"/>
          <w:spacing w:val="2"/>
        </w:rPr>
        <w:t>ahora habría </w:t>
      </w:r>
      <w:r>
        <w:rPr>
          <w:color w:val="231F20"/>
        </w:rPr>
        <w:t>que </w:t>
      </w:r>
      <w:r>
        <w:rPr>
          <w:color w:val="231F20"/>
          <w:spacing w:val="3"/>
        </w:rPr>
        <w:t>imaginar </w:t>
      </w:r>
      <w:r>
        <w:rPr>
          <w:color w:val="231F20"/>
        </w:rPr>
        <w:t>la </w:t>
      </w:r>
      <w:r>
        <w:rPr>
          <w:color w:val="231F20"/>
          <w:spacing w:val="2"/>
        </w:rPr>
        <w:t>diferencia- ción </w:t>
      </w:r>
      <w:r>
        <w:rPr>
          <w:color w:val="231F20"/>
        </w:rPr>
        <w:t>en </w:t>
      </w:r>
      <w:r>
        <w:rPr>
          <w:color w:val="231F20"/>
          <w:spacing w:val="2"/>
        </w:rPr>
        <w:t>referencia </w:t>
      </w:r>
      <w:r>
        <w:rPr>
          <w:color w:val="231F20"/>
        </w:rPr>
        <w:t>de </w:t>
      </w:r>
      <w:r>
        <w:rPr>
          <w:color w:val="231F20"/>
          <w:spacing w:val="3"/>
        </w:rPr>
        <w:t>todos </w:t>
      </w:r>
      <w:r>
        <w:rPr>
          <w:color w:val="231F20"/>
          <w:spacing w:val="2"/>
        </w:rPr>
        <w:t>aquellos </w:t>
      </w:r>
      <w:r>
        <w:rPr>
          <w:color w:val="231F20"/>
        </w:rPr>
        <w:t>que no </w:t>
      </w:r>
      <w:r>
        <w:rPr>
          <w:color w:val="231F20"/>
          <w:spacing w:val="2"/>
        </w:rPr>
        <w:t>logran ingresar </w:t>
      </w:r>
      <w:r>
        <w:rPr>
          <w:color w:val="231F20"/>
          <w:spacing w:val="3"/>
        </w:rPr>
        <w:t>al </w:t>
      </w:r>
      <w:r>
        <w:rPr>
          <w:color w:val="231F20"/>
          <w:spacing w:val="2"/>
        </w:rPr>
        <w:t>sistema </w:t>
      </w:r>
      <w:r>
        <w:rPr>
          <w:color w:val="231F20"/>
        </w:rPr>
        <w:t>aun </w:t>
      </w:r>
      <w:r>
        <w:rPr>
          <w:color w:val="231F20"/>
          <w:spacing w:val="3"/>
        </w:rPr>
        <w:t>cuando </w:t>
      </w:r>
      <w:r>
        <w:rPr>
          <w:color w:val="231F20"/>
          <w:spacing w:val="2"/>
        </w:rPr>
        <w:t>tengan los </w:t>
      </w:r>
      <w:r>
        <w:rPr>
          <w:color w:val="231F20"/>
          <w:spacing w:val="3"/>
        </w:rPr>
        <w:t>merecimientos </w:t>
      </w:r>
      <w:r>
        <w:rPr>
          <w:color w:val="231F20"/>
        </w:rPr>
        <w:t>de </w:t>
      </w:r>
      <w:r>
        <w:rPr>
          <w:color w:val="231F20"/>
          <w:spacing w:val="3"/>
        </w:rPr>
        <w:t>productividad </w:t>
      </w:r>
      <w:r>
        <w:rPr>
          <w:color w:val="231F20"/>
        </w:rPr>
        <w:t>y </w:t>
      </w:r>
      <w:r>
        <w:rPr>
          <w:color w:val="231F20"/>
          <w:spacing w:val="2"/>
        </w:rPr>
        <w:t>trabajo </w:t>
      </w:r>
      <w:r>
        <w:rPr>
          <w:color w:val="231F20"/>
        </w:rPr>
        <w:t>en las </w:t>
      </w:r>
      <w:r>
        <w:rPr>
          <w:color w:val="231F20"/>
          <w:spacing w:val="2"/>
        </w:rPr>
        <w:t>Instituciones </w:t>
      </w:r>
      <w:r>
        <w:rPr>
          <w:color w:val="231F20"/>
        </w:rPr>
        <w:t>de </w:t>
      </w:r>
      <w:r>
        <w:rPr>
          <w:color w:val="231F20"/>
          <w:spacing w:val="2"/>
        </w:rPr>
        <w:t>Educación Superior, ¿acaso </w:t>
      </w:r>
      <w:r>
        <w:rPr>
          <w:color w:val="231F20"/>
        </w:rPr>
        <w:t>no es </w:t>
      </w:r>
      <w:r>
        <w:rPr>
          <w:color w:val="231F20"/>
          <w:spacing w:val="2"/>
        </w:rPr>
        <w:t>una violencia callada pero sistemática respecto </w:t>
      </w:r>
      <w:r>
        <w:rPr>
          <w:color w:val="231F20"/>
        </w:rPr>
        <w:t>al </w:t>
      </w:r>
      <w:r>
        <w:rPr>
          <w:color w:val="231F20"/>
          <w:spacing w:val="2"/>
        </w:rPr>
        <w:t>trabajo </w:t>
      </w:r>
      <w:r>
        <w:rPr>
          <w:color w:val="231F20"/>
        </w:rPr>
        <w:t>de </w:t>
      </w:r>
      <w:r>
        <w:rPr>
          <w:color w:val="231F20"/>
          <w:spacing w:val="2"/>
        </w:rPr>
        <w:t>los </w:t>
      </w:r>
      <w:r>
        <w:rPr>
          <w:color w:val="231F20"/>
          <w:spacing w:val="3"/>
        </w:rPr>
        <w:t>académicos, profesores </w:t>
      </w:r>
      <w:r>
        <w:rPr>
          <w:color w:val="231F20"/>
        </w:rPr>
        <w:t>e </w:t>
      </w:r>
      <w:r>
        <w:rPr>
          <w:color w:val="231F20"/>
          <w:spacing w:val="2"/>
        </w:rPr>
        <w:t>investigadores?, pues ahora, algunos </w:t>
      </w:r>
      <w:r>
        <w:rPr>
          <w:color w:val="231F20"/>
          <w:spacing w:val="3"/>
        </w:rPr>
        <w:t>son </w:t>
      </w:r>
      <w:r>
        <w:rPr>
          <w:color w:val="231F20"/>
        </w:rPr>
        <w:t>de </w:t>
      </w:r>
      <w:r>
        <w:rPr>
          <w:color w:val="231F20"/>
          <w:spacing w:val="2"/>
        </w:rPr>
        <w:t>primera, </w:t>
      </w:r>
      <w:r>
        <w:rPr>
          <w:color w:val="231F20"/>
          <w:spacing w:val="3"/>
        </w:rPr>
        <w:t>segunda, </w:t>
      </w:r>
      <w:r>
        <w:rPr>
          <w:color w:val="231F20"/>
          <w:spacing w:val="2"/>
        </w:rPr>
        <w:t>tercera </w:t>
      </w:r>
      <w:r>
        <w:rPr>
          <w:color w:val="231F20"/>
        </w:rPr>
        <w:t>y </w:t>
      </w:r>
      <w:r>
        <w:rPr>
          <w:color w:val="231F20"/>
          <w:spacing w:val="2"/>
        </w:rPr>
        <w:t>hasta cuarta categoría </w:t>
      </w:r>
      <w:r>
        <w:rPr>
          <w:color w:val="231F20"/>
        </w:rPr>
        <w:t>en </w:t>
      </w:r>
      <w:r>
        <w:rPr>
          <w:color w:val="231F20"/>
          <w:spacing w:val="3"/>
        </w:rPr>
        <w:t>términos </w:t>
      </w:r>
      <w:r>
        <w:rPr>
          <w:color w:val="231F20"/>
          <w:spacing w:val="2"/>
        </w:rPr>
        <w:t>del discurso </w:t>
      </w:r>
      <w:r>
        <w:rPr>
          <w:color w:val="231F20"/>
        </w:rPr>
        <w:t>de </w:t>
      </w:r>
      <w:r>
        <w:rPr>
          <w:color w:val="231F20"/>
          <w:spacing w:val="2"/>
        </w:rPr>
        <w:t>calidad, </w:t>
      </w:r>
      <w:r>
        <w:rPr>
          <w:color w:val="231F20"/>
        </w:rPr>
        <w:t>en </w:t>
      </w:r>
      <w:r>
        <w:rPr>
          <w:color w:val="231F20"/>
          <w:spacing w:val="3"/>
        </w:rPr>
        <w:t>términos </w:t>
      </w:r>
      <w:r>
        <w:rPr>
          <w:color w:val="231F20"/>
        </w:rPr>
        <w:t>de </w:t>
      </w:r>
      <w:r>
        <w:rPr>
          <w:color w:val="231F20"/>
          <w:spacing w:val="2"/>
        </w:rPr>
        <w:t>política pública.</w:t>
      </w:r>
    </w:p>
    <w:p>
      <w:pPr>
        <w:pStyle w:val="BodyText"/>
        <w:spacing w:before="7"/>
      </w:pPr>
    </w:p>
    <w:p>
      <w:pPr>
        <w:pStyle w:val="BodyText"/>
        <w:ind w:left="102"/>
        <w:jc w:val="both"/>
      </w:pPr>
      <w:r>
        <w:rPr>
          <w:color w:val="231F20"/>
          <w:w w:val="105"/>
        </w:rPr>
        <w:t>PARA NO CONCLUIR</w:t>
      </w:r>
    </w:p>
    <w:p>
      <w:pPr>
        <w:pStyle w:val="BodyText"/>
        <w:spacing w:before="1"/>
      </w:pPr>
    </w:p>
    <w:p>
      <w:pPr>
        <w:pStyle w:val="BodyText"/>
        <w:spacing w:line="247" w:lineRule="auto" w:before="1"/>
        <w:ind w:left="102" w:right="114"/>
        <w:jc w:val="both"/>
      </w:pPr>
      <w:r>
        <w:rPr>
          <w:color w:val="231F20"/>
        </w:rPr>
        <w:t>Pero para pensar en una propuesta de futuro para la educación y  para la universidad, que sea distinta a ese </w:t>
      </w:r>
      <w:r>
        <w:rPr>
          <w:i/>
          <w:color w:val="231F20"/>
        </w:rPr>
        <w:t>performance </w:t>
      </w:r>
      <w:r>
        <w:rPr>
          <w:color w:val="231F20"/>
        </w:rPr>
        <w:t>y a esa violencia sistemática, se requiere pensar en el proyecto social o de nación que tiene que ver necesariamente con cómo concebir el trabajo. En este sentido es necesario replantear el problema del desempleo, el subempleo, la pobreza, y la pauperización creciente  de la población, que se convierte en caldo de cultivo  del narcotráfico; por lo que se necesita pensar en términos de luchas, conflictos y tendencias de tipo ideológico, social y político que impliquen la participación de la sociedad, no solo de forma coyuntural, pues tiene que ver con la contradicción de los  </w:t>
      </w:r>
      <w:r>
        <w:rPr>
          <w:color w:val="231F20"/>
          <w:spacing w:val="41"/>
        </w:rPr>
        <w:t> </w:t>
      </w:r>
      <w:r>
        <w:rPr>
          <w:color w:val="231F20"/>
        </w:rPr>
        <w:t>procesos</w:t>
      </w:r>
    </w:p>
    <w:p>
      <w:pPr>
        <w:spacing w:after="0" w:line="247" w:lineRule="auto"/>
        <w:jc w:val="both"/>
        <w:sectPr>
          <w:headerReference w:type="default" r:id="rId132"/>
          <w:footerReference w:type="default" r:id="rId133"/>
          <w:pgSz w:w="7830" w:h="11910"/>
          <w:pgMar w:header="0" w:footer="424" w:top="500" w:bottom="620" w:left="920" w:right="900"/>
          <w:pgNumType w:start="6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4"/>
        <w:jc w:val="both"/>
      </w:pPr>
      <w:r>
        <w:rPr>
          <w:color w:val="231F20"/>
        </w:rPr>
        <w:t>de acumulación del excedente y su reproducción que ha venido afectando a los más pobres, sino en general, de toda la población, debido a la exclusión y explotación que se genera y se expresa contradictoriamente en guerras de baja o alta intensidad, y en las crisis del ambiente por el agotamiento y destrucción de los recursos naturales y de los energéticos nacionales, ¿acaso esto no habla de una</w:t>
      </w:r>
      <w:r>
        <w:rPr>
          <w:color w:val="231F20"/>
          <w:spacing w:val="-14"/>
        </w:rPr>
        <w:t> </w:t>
      </w:r>
      <w:r>
        <w:rPr>
          <w:color w:val="231F20"/>
        </w:rPr>
        <w:t>violencia</w:t>
      </w:r>
      <w:r>
        <w:rPr>
          <w:color w:val="231F20"/>
          <w:spacing w:val="-14"/>
        </w:rPr>
        <w:t> </w:t>
      </w:r>
      <w:r>
        <w:rPr>
          <w:color w:val="231F20"/>
        </w:rPr>
        <w:t>callada</w:t>
      </w:r>
      <w:r>
        <w:rPr>
          <w:color w:val="231F20"/>
          <w:spacing w:val="-14"/>
        </w:rPr>
        <w:t> </w:t>
      </w:r>
      <w:r>
        <w:rPr>
          <w:color w:val="231F20"/>
        </w:rPr>
        <w:t>pero</w:t>
      </w:r>
      <w:r>
        <w:rPr>
          <w:color w:val="231F20"/>
          <w:spacing w:val="-14"/>
        </w:rPr>
        <w:t> </w:t>
      </w:r>
      <w:r>
        <w:rPr>
          <w:color w:val="231F20"/>
        </w:rPr>
        <w:t>sistemática?</w:t>
      </w:r>
    </w:p>
    <w:p>
      <w:pPr>
        <w:pStyle w:val="BodyText"/>
        <w:spacing w:line="249" w:lineRule="auto" w:before="10"/>
        <w:ind w:left="102" w:right="114" w:firstLine="284"/>
        <w:jc w:val="both"/>
      </w:pPr>
      <w:r>
        <w:rPr>
          <w:color w:val="231F20"/>
          <w:spacing w:val="3"/>
        </w:rPr>
        <w:t>Entonces, </w:t>
      </w:r>
      <w:r>
        <w:rPr>
          <w:color w:val="231F20"/>
        </w:rPr>
        <w:t>el </w:t>
      </w:r>
      <w:r>
        <w:rPr>
          <w:color w:val="231F20"/>
          <w:spacing w:val="2"/>
        </w:rPr>
        <w:t>proyecto social </w:t>
      </w:r>
      <w:r>
        <w:rPr>
          <w:color w:val="231F20"/>
        </w:rPr>
        <w:t>o de </w:t>
      </w:r>
      <w:r>
        <w:rPr>
          <w:color w:val="231F20"/>
          <w:spacing w:val="2"/>
        </w:rPr>
        <w:t>nación tendrá </w:t>
      </w:r>
      <w:r>
        <w:rPr>
          <w:color w:val="231F20"/>
        </w:rPr>
        <w:t>que </w:t>
      </w:r>
      <w:r>
        <w:rPr>
          <w:color w:val="231F20"/>
          <w:spacing w:val="3"/>
        </w:rPr>
        <w:t>considerar</w:t>
      </w:r>
      <w:r>
        <w:rPr>
          <w:color w:val="231F20"/>
          <w:spacing w:val="58"/>
        </w:rPr>
        <w:t> </w:t>
      </w:r>
      <w:r>
        <w:rPr>
          <w:color w:val="231F20"/>
        </w:rPr>
        <w:t>la </w:t>
      </w:r>
      <w:r>
        <w:rPr>
          <w:color w:val="231F20"/>
          <w:spacing w:val="2"/>
        </w:rPr>
        <w:t>participación activa </w:t>
      </w:r>
      <w:r>
        <w:rPr>
          <w:color w:val="231F20"/>
        </w:rPr>
        <w:t>de la </w:t>
      </w:r>
      <w:r>
        <w:rPr>
          <w:color w:val="231F20"/>
          <w:spacing w:val="2"/>
        </w:rPr>
        <w:t>sociedad para construir </w:t>
      </w:r>
      <w:r>
        <w:rPr>
          <w:color w:val="231F20"/>
        </w:rPr>
        <w:t>otra </w:t>
      </w:r>
      <w:r>
        <w:rPr>
          <w:color w:val="231F20"/>
          <w:spacing w:val="3"/>
        </w:rPr>
        <w:t>forma </w:t>
      </w:r>
      <w:r>
        <w:rPr>
          <w:color w:val="231F20"/>
        </w:rPr>
        <w:t>de </w:t>
      </w:r>
      <w:r>
        <w:rPr>
          <w:color w:val="231F20"/>
          <w:spacing w:val="2"/>
        </w:rPr>
        <w:t>ingresar </w:t>
      </w:r>
      <w:r>
        <w:rPr>
          <w:color w:val="231F20"/>
        </w:rPr>
        <w:t>o </w:t>
      </w:r>
      <w:r>
        <w:rPr>
          <w:color w:val="231F20"/>
          <w:spacing w:val="3"/>
        </w:rPr>
        <w:t>producir </w:t>
      </w:r>
      <w:r>
        <w:rPr>
          <w:color w:val="231F20"/>
          <w:spacing w:val="2"/>
        </w:rPr>
        <w:t>trabajo, que </w:t>
      </w:r>
      <w:r>
        <w:rPr>
          <w:color w:val="231F20"/>
        </w:rPr>
        <w:t>a su vez se </w:t>
      </w:r>
      <w:r>
        <w:rPr>
          <w:color w:val="231F20"/>
          <w:spacing w:val="2"/>
        </w:rPr>
        <w:t>convierta </w:t>
      </w:r>
      <w:r>
        <w:rPr>
          <w:color w:val="231F20"/>
        </w:rPr>
        <w:t>en </w:t>
      </w:r>
      <w:r>
        <w:rPr>
          <w:color w:val="231F20"/>
          <w:spacing w:val="2"/>
        </w:rPr>
        <w:t>una </w:t>
      </w:r>
      <w:r>
        <w:rPr>
          <w:color w:val="231F20"/>
          <w:spacing w:val="3"/>
        </w:rPr>
        <w:t>lucha </w:t>
      </w:r>
      <w:r>
        <w:rPr>
          <w:color w:val="231F20"/>
          <w:spacing w:val="2"/>
        </w:rPr>
        <w:t>contra </w:t>
      </w:r>
      <w:r>
        <w:rPr>
          <w:color w:val="231F20"/>
        </w:rPr>
        <w:t>la </w:t>
      </w:r>
      <w:r>
        <w:rPr>
          <w:color w:val="231F20"/>
          <w:spacing w:val="2"/>
        </w:rPr>
        <w:t>explotación, </w:t>
      </w:r>
      <w:r>
        <w:rPr>
          <w:color w:val="231F20"/>
        </w:rPr>
        <w:t>la </w:t>
      </w:r>
      <w:r>
        <w:rPr>
          <w:color w:val="231F20"/>
          <w:spacing w:val="2"/>
        </w:rPr>
        <w:t>marginación </w:t>
      </w:r>
      <w:r>
        <w:rPr>
          <w:color w:val="231F20"/>
        </w:rPr>
        <w:t>y la </w:t>
      </w:r>
      <w:r>
        <w:rPr>
          <w:color w:val="231F20"/>
          <w:spacing w:val="2"/>
        </w:rPr>
        <w:t>exclusión, </w:t>
      </w:r>
      <w:r>
        <w:rPr>
          <w:color w:val="231F20"/>
        </w:rPr>
        <w:t>en </w:t>
      </w:r>
      <w:r>
        <w:rPr>
          <w:color w:val="231F20"/>
          <w:spacing w:val="2"/>
        </w:rPr>
        <w:t>una participación desde abajo </w:t>
      </w:r>
      <w:r>
        <w:rPr>
          <w:color w:val="231F20"/>
        </w:rPr>
        <w:t>y no </w:t>
      </w:r>
      <w:r>
        <w:rPr>
          <w:color w:val="231F20"/>
          <w:spacing w:val="2"/>
        </w:rPr>
        <w:t>desde discursos ideológicos  políticos </w:t>
      </w:r>
      <w:r>
        <w:rPr>
          <w:color w:val="231F20"/>
        </w:rPr>
        <w:t>que </w:t>
      </w:r>
      <w:r>
        <w:rPr>
          <w:color w:val="231F20"/>
          <w:spacing w:val="2"/>
        </w:rPr>
        <w:t>sirven para </w:t>
      </w:r>
      <w:r>
        <w:rPr>
          <w:color w:val="231F20"/>
          <w:spacing w:val="3"/>
        </w:rPr>
        <w:t>contener </w:t>
      </w:r>
      <w:r>
        <w:rPr>
          <w:color w:val="231F20"/>
        </w:rPr>
        <w:t>y </w:t>
      </w:r>
      <w:r>
        <w:rPr>
          <w:color w:val="231F20"/>
          <w:spacing w:val="2"/>
        </w:rPr>
        <w:t>controlar </w:t>
      </w:r>
      <w:r>
        <w:rPr>
          <w:color w:val="231F20"/>
        </w:rPr>
        <w:t>a la </w:t>
      </w:r>
      <w:r>
        <w:rPr>
          <w:color w:val="231F20"/>
          <w:spacing w:val="3"/>
        </w:rPr>
        <w:t>población con promesas </w:t>
      </w:r>
      <w:r>
        <w:rPr>
          <w:color w:val="231F20"/>
          <w:spacing w:val="2"/>
        </w:rPr>
        <w:t>mesiánicas </w:t>
      </w:r>
      <w:r>
        <w:rPr>
          <w:color w:val="231F20"/>
        </w:rPr>
        <w:t>o </w:t>
      </w:r>
      <w:r>
        <w:rPr>
          <w:color w:val="231F20"/>
          <w:spacing w:val="2"/>
        </w:rPr>
        <w:t>con </w:t>
      </w:r>
      <w:r>
        <w:rPr>
          <w:color w:val="231F20"/>
          <w:spacing w:val="3"/>
        </w:rPr>
        <w:t>amenazas mayores </w:t>
      </w:r>
      <w:r>
        <w:rPr>
          <w:color w:val="231F20"/>
        </w:rPr>
        <w:t>que </w:t>
      </w:r>
      <w:r>
        <w:rPr>
          <w:color w:val="231F20"/>
          <w:spacing w:val="2"/>
        </w:rPr>
        <w:t>hacen </w:t>
      </w:r>
      <w:r>
        <w:rPr>
          <w:color w:val="231F20"/>
        </w:rPr>
        <w:t>que </w:t>
      </w:r>
      <w:r>
        <w:rPr>
          <w:color w:val="231F20"/>
          <w:spacing w:val="2"/>
        </w:rPr>
        <w:t>los </w:t>
      </w:r>
      <w:r>
        <w:rPr>
          <w:color w:val="231F20"/>
          <w:spacing w:val="3"/>
        </w:rPr>
        <w:t>ciudadanos </w:t>
      </w:r>
      <w:r>
        <w:rPr>
          <w:color w:val="231F20"/>
          <w:spacing w:val="2"/>
        </w:rPr>
        <w:t>dejen </w:t>
      </w:r>
      <w:r>
        <w:rPr>
          <w:color w:val="231F20"/>
        </w:rPr>
        <w:t>de </w:t>
      </w:r>
      <w:r>
        <w:rPr>
          <w:color w:val="231F20"/>
          <w:spacing w:val="2"/>
        </w:rPr>
        <w:t>pensar </w:t>
      </w:r>
      <w:r>
        <w:rPr>
          <w:color w:val="231F20"/>
        </w:rPr>
        <w:t>en vivir en </w:t>
      </w:r>
      <w:r>
        <w:rPr>
          <w:color w:val="231F20"/>
          <w:spacing w:val="2"/>
        </w:rPr>
        <w:t>una sociedad más  equitativa. Pensar, </w:t>
      </w:r>
      <w:r>
        <w:rPr>
          <w:color w:val="231F20"/>
          <w:spacing w:val="3"/>
        </w:rPr>
        <w:t>como </w:t>
      </w:r>
      <w:r>
        <w:rPr>
          <w:color w:val="231F20"/>
        </w:rPr>
        <w:t>la </w:t>
      </w:r>
      <w:r>
        <w:rPr>
          <w:color w:val="231F20"/>
          <w:spacing w:val="2"/>
        </w:rPr>
        <w:t>violencia genera </w:t>
      </w:r>
      <w:r>
        <w:rPr>
          <w:color w:val="231F20"/>
        </w:rPr>
        <w:t>y </w:t>
      </w:r>
      <w:r>
        <w:rPr>
          <w:color w:val="231F20"/>
          <w:spacing w:val="3"/>
        </w:rPr>
        <w:t>reproduce </w:t>
      </w:r>
      <w:r>
        <w:rPr>
          <w:color w:val="231F20"/>
          <w:spacing w:val="2"/>
        </w:rPr>
        <w:t>las  </w:t>
      </w:r>
      <w:r>
        <w:rPr>
          <w:color w:val="231F20"/>
          <w:spacing w:val="3"/>
        </w:rPr>
        <w:t>formas </w:t>
      </w:r>
      <w:r>
        <w:rPr>
          <w:color w:val="231F20"/>
          <w:spacing w:val="2"/>
        </w:rPr>
        <w:t>del derecho </w:t>
      </w:r>
      <w:r>
        <w:rPr>
          <w:color w:val="231F20"/>
        </w:rPr>
        <w:t>que </w:t>
      </w:r>
      <w:r>
        <w:rPr>
          <w:color w:val="231F20"/>
          <w:spacing w:val="2"/>
        </w:rPr>
        <w:t>con base </w:t>
      </w:r>
      <w:r>
        <w:rPr>
          <w:color w:val="231F20"/>
        </w:rPr>
        <w:t>en </w:t>
      </w:r>
      <w:r>
        <w:rPr>
          <w:color w:val="231F20"/>
          <w:spacing w:val="2"/>
        </w:rPr>
        <w:t>este descalifican </w:t>
      </w:r>
      <w:r>
        <w:rPr>
          <w:color w:val="231F20"/>
        </w:rPr>
        <w:t>a </w:t>
      </w:r>
      <w:r>
        <w:rPr>
          <w:color w:val="231F20"/>
          <w:spacing w:val="3"/>
        </w:rPr>
        <w:t>todos </w:t>
      </w:r>
      <w:r>
        <w:rPr>
          <w:color w:val="231F20"/>
          <w:spacing w:val="2"/>
        </w:rPr>
        <w:t>aquellos </w:t>
      </w:r>
      <w:r>
        <w:rPr>
          <w:color w:val="231F20"/>
        </w:rPr>
        <w:t>que </w:t>
      </w:r>
      <w:r>
        <w:rPr>
          <w:color w:val="231F20"/>
          <w:spacing w:val="2"/>
        </w:rPr>
        <w:t>intentan </w:t>
      </w:r>
      <w:r>
        <w:rPr>
          <w:color w:val="231F20"/>
        </w:rPr>
        <w:t>la </w:t>
      </w:r>
      <w:r>
        <w:rPr>
          <w:color w:val="231F20"/>
          <w:spacing w:val="3"/>
        </w:rPr>
        <w:t>transformación </w:t>
      </w:r>
      <w:r>
        <w:rPr>
          <w:color w:val="231F20"/>
        </w:rPr>
        <w:t>de </w:t>
      </w:r>
      <w:r>
        <w:rPr>
          <w:color w:val="231F20"/>
          <w:spacing w:val="2"/>
        </w:rPr>
        <w:t>todas esas injusticias, </w:t>
      </w:r>
      <w:r>
        <w:rPr>
          <w:color w:val="231F20"/>
          <w:spacing w:val="3"/>
        </w:rPr>
        <w:t>segmentaciones </w:t>
      </w:r>
      <w:r>
        <w:rPr>
          <w:color w:val="231F20"/>
        </w:rPr>
        <w:t>y </w:t>
      </w:r>
      <w:r>
        <w:rPr>
          <w:color w:val="231F20"/>
          <w:spacing w:val="2"/>
        </w:rPr>
        <w:t>violencias legítima </w:t>
      </w:r>
      <w:r>
        <w:rPr>
          <w:color w:val="231F20"/>
        </w:rPr>
        <w:t>y de </w:t>
      </w:r>
      <w:r>
        <w:rPr>
          <w:color w:val="231F20"/>
          <w:spacing w:val="2"/>
        </w:rPr>
        <w:t>origen; </w:t>
      </w:r>
      <w:r>
        <w:rPr>
          <w:color w:val="231F20"/>
        </w:rPr>
        <w:t>así la </w:t>
      </w:r>
      <w:r>
        <w:rPr>
          <w:color w:val="231F20"/>
          <w:spacing w:val="2"/>
        </w:rPr>
        <w:t>despolitización creciente, cuyo </w:t>
      </w:r>
      <w:r>
        <w:rPr>
          <w:color w:val="231F20"/>
        </w:rPr>
        <w:t>fin es la </w:t>
      </w:r>
      <w:r>
        <w:rPr>
          <w:color w:val="231F20"/>
          <w:spacing w:val="2"/>
        </w:rPr>
        <w:t>individualización para sobrevivir, </w:t>
      </w:r>
      <w:r>
        <w:rPr>
          <w:color w:val="231F20"/>
        </w:rPr>
        <w:t>se </w:t>
      </w:r>
      <w:r>
        <w:rPr>
          <w:color w:val="231F20"/>
          <w:spacing w:val="3"/>
        </w:rPr>
        <w:t>impone </w:t>
      </w:r>
      <w:r>
        <w:rPr>
          <w:color w:val="231F20"/>
        </w:rPr>
        <w:t>en la </w:t>
      </w:r>
      <w:r>
        <w:rPr>
          <w:color w:val="231F20"/>
          <w:spacing w:val="2"/>
        </w:rPr>
        <w:t>cotidianidad, </w:t>
      </w:r>
      <w:r>
        <w:rPr>
          <w:color w:val="231F20"/>
        </w:rPr>
        <w:t>y se </w:t>
      </w:r>
      <w:r>
        <w:rPr>
          <w:color w:val="231F20"/>
          <w:spacing w:val="2"/>
        </w:rPr>
        <w:t>hace necesario  revisar </w:t>
      </w:r>
      <w:r>
        <w:rPr>
          <w:color w:val="231F20"/>
        </w:rPr>
        <w:t>a </w:t>
      </w:r>
      <w:r>
        <w:rPr>
          <w:color w:val="231F20"/>
          <w:spacing w:val="3"/>
        </w:rPr>
        <w:t>profundidad </w:t>
      </w:r>
      <w:r>
        <w:rPr>
          <w:color w:val="231F20"/>
        </w:rPr>
        <w:t>y </w:t>
      </w:r>
      <w:r>
        <w:rPr>
          <w:color w:val="231F20"/>
          <w:spacing w:val="3"/>
        </w:rPr>
        <w:t>comprender </w:t>
      </w:r>
      <w:r>
        <w:rPr>
          <w:color w:val="231F20"/>
        </w:rPr>
        <w:t>el </w:t>
      </w:r>
      <w:r>
        <w:rPr>
          <w:color w:val="231F20"/>
          <w:spacing w:val="2"/>
        </w:rPr>
        <w:t>sentido </w:t>
      </w:r>
      <w:r>
        <w:rPr>
          <w:color w:val="231F20"/>
          <w:spacing w:val="3"/>
        </w:rPr>
        <w:t>mismo </w:t>
      </w:r>
      <w:r>
        <w:rPr>
          <w:color w:val="231F20"/>
        </w:rPr>
        <w:t>de la </w:t>
      </w:r>
      <w:r>
        <w:rPr>
          <w:color w:val="231F20"/>
          <w:spacing w:val="2"/>
        </w:rPr>
        <w:t>violencia </w:t>
      </w:r>
      <w:r>
        <w:rPr>
          <w:color w:val="231F20"/>
        </w:rPr>
        <w:t>y no </w:t>
      </w:r>
      <w:r>
        <w:rPr>
          <w:color w:val="231F20"/>
          <w:spacing w:val="2"/>
        </w:rPr>
        <w:t>quedarse con los </w:t>
      </w:r>
      <w:r>
        <w:rPr>
          <w:color w:val="231F20"/>
          <w:spacing w:val="3"/>
        </w:rPr>
        <w:t>fenómenos </w:t>
      </w:r>
      <w:r>
        <w:rPr>
          <w:color w:val="231F20"/>
        </w:rPr>
        <w:t>en la </w:t>
      </w:r>
      <w:r>
        <w:rPr>
          <w:color w:val="231F20"/>
          <w:spacing w:val="2"/>
        </w:rPr>
        <w:t>superficie, </w:t>
      </w:r>
      <w:r>
        <w:rPr>
          <w:color w:val="231F20"/>
          <w:spacing w:val="3"/>
        </w:rPr>
        <w:t>como </w:t>
      </w:r>
      <w:r>
        <w:rPr>
          <w:color w:val="231F20"/>
        </w:rPr>
        <w:t>es la </w:t>
      </w:r>
      <w:r>
        <w:rPr>
          <w:color w:val="231F20"/>
          <w:spacing w:val="2"/>
        </w:rPr>
        <w:t>violencia </w:t>
      </w:r>
      <w:r>
        <w:rPr>
          <w:color w:val="231F20"/>
          <w:spacing w:val="3"/>
        </w:rPr>
        <w:t>personal como </w:t>
      </w:r>
      <w:r>
        <w:rPr>
          <w:color w:val="231F20"/>
        </w:rPr>
        <w:t>el </w:t>
      </w:r>
      <w:r>
        <w:rPr>
          <w:i/>
          <w:color w:val="231F20"/>
          <w:spacing w:val="2"/>
        </w:rPr>
        <w:t>bullying</w:t>
      </w:r>
      <w:r>
        <w:rPr>
          <w:color w:val="231F20"/>
          <w:spacing w:val="2"/>
        </w:rPr>
        <w:t>, </w:t>
      </w:r>
      <w:r>
        <w:rPr>
          <w:color w:val="231F20"/>
        </w:rPr>
        <w:t>que si </w:t>
      </w:r>
      <w:r>
        <w:rPr>
          <w:color w:val="231F20"/>
          <w:spacing w:val="2"/>
        </w:rPr>
        <w:t>bien son reflejo </w:t>
      </w:r>
      <w:r>
        <w:rPr>
          <w:color w:val="231F20"/>
        </w:rPr>
        <w:t>de esa </w:t>
      </w:r>
      <w:r>
        <w:rPr>
          <w:color w:val="231F20"/>
          <w:spacing w:val="2"/>
        </w:rPr>
        <w:t>violencia </w:t>
      </w:r>
      <w:r>
        <w:rPr>
          <w:color w:val="231F20"/>
          <w:spacing w:val="3"/>
        </w:rPr>
        <w:t>fundante </w:t>
      </w:r>
      <w:r>
        <w:rPr>
          <w:color w:val="231F20"/>
        </w:rPr>
        <w:t>en </w:t>
      </w:r>
      <w:r>
        <w:rPr>
          <w:color w:val="231F20"/>
          <w:spacing w:val="2"/>
        </w:rPr>
        <w:t>ocasiones dispersa </w:t>
      </w:r>
      <w:r>
        <w:rPr>
          <w:color w:val="231F20"/>
        </w:rPr>
        <w:t>e </w:t>
      </w:r>
      <w:r>
        <w:rPr>
          <w:color w:val="231F20"/>
          <w:spacing w:val="2"/>
        </w:rPr>
        <w:t>impide </w:t>
      </w:r>
      <w:r>
        <w:rPr>
          <w:color w:val="231F20"/>
        </w:rPr>
        <w:t>ver el </w:t>
      </w:r>
      <w:r>
        <w:rPr>
          <w:color w:val="231F20"/>
          <w:spacing w:val="3"/>
        </w:rPr>
        <w:t>fenómeno como</w:t>
      </w:r>
      <w:r>
        <w:rPr>
          <w:color w:val="231F20"/>
          <w:spacing w:val="31"/>
        </w:rPr>
        <w:t> </w:t>
      </w:r>
      <w:r>
        <w:rPr>
          <w:color w:val="231F20"/>
          <w:spacing w:val="3"/>
        </w:rPr>
        <w:t>totalidad.</w:t>
      </w:r>
    </w:p>
    <w:p>
      <w:pPr>
        <w:pStyle w:val="BodyText"/>
        <w:rPr>
          <w:sz w:val="22"/>
        </w:rPr>
      </w:pPr>
    </w:p>
    <w:p>
      <w:pPr>
        <w:spacing w:before="144"/>
        <w:ind w:left="102" w:right="121" w:firstLine="0"/>
        <w:jc w:val="left"/>
        <w:rPr>
          <w:sz w:val="18"/>
        </w:rPr>
      </w:pPr>
      <w:r>
        <w:rPr>
          <w:rFonts w:ascii="MS UI Gothic"/>
          <w:color w:val="231F20"/>
          <w:w w:val="105"/>
          <w:sz w:val="24"/>
        </w:rPr>
        <w:t>R</w:t>
      </w:r>
      <w:r>
        <w:rPr>
          <w:color w:val="231F20"/>
          <w:w w:val="105"/>
          <w:sz w:val="18"/>
        </w:rPr>
        <w:t>EFERENCIAS</w:t>
      </w:r>
    </w:p>
    <w:p>
      <w:pPr>
        <w:spacing w:line="247" w:lineRule="auto" w:before="149"/>
        <w:ind w:left="822" w:right="140" w:hanging="720"/>
        <w:jc w:val="left"/>
        <w:rPr>
          <w:sz w:val="21"/>
        </w:rPr>
      </w:pPr>
      <w:r>
        <w:rPr>
          <w:color w:val="231F20"/>
          <w:w w:val="90"/>
          <w:sz w:val="21"/>
        </w:rPr>
        <w:t>Acosta-Silva, Adrián. (2009). </w:t>
      </w:r>
      <w:r>
        <w:rPr>
          <w:i/>
          <w:color w:val="231F20"/>
          <w:w w:val="90"/>
          <w:sz w:val="21"/>
        </w:rPr>
        <w:t>Príncipes, burócratas y gerentes. El gobierno </w:t>
      </w:r>
      <w:r>
        <w:rPr>
          <w:i/>
          <w:color w:val="231F20"/>
          <w:w w:val="90"/>
          <w:sz w:val="21"/>
        </w:rPr>
        <w:t>de las universidades públicas en México. </w:t>
      </w:r>
      <w:r>
        <w:rPr>
          <w:color w:val="231F20"/>
          <w:w w:val="90"/>
          <w:sz w:val="21"/>
        </w:rPr>
        <w:t>México: ANUIES.</w:t>
      </w:r>
    </w:p>
    <w:p>
      <w:pPr>
        <w:spacing w:line="247" w:lineRule="auto" w:before="0"/>
        <w:ind w:left="822" w:right="121" w:hanging="720"/>
        <w:jc w:val="left"/>
        <w:rPr>
          <w:sz w:val="21"/>
        </w:rPr>
      </w:pPr>
      <w:r>
        <w:rPr>
          <w:color w:val="231F20"/>
          <w:w w:val="95"/>
          <w:sz w:val="21"/>
        </w:rPr>
        <w:t>Álvarez-Mendiola,</w:t>
      </w:r>
      <w:r>
        <w:rPr>
          <w:color w:val="231F20"/>
          <w:spacing w:val="-15"/>
          <w:w w:val="95"/>
          <w:sz w:val="21"/>
        </w:rPr>
        <w:t> </w:t>
      </w:r>
      <w:r>
        <w:rPr>
          <w:color w:val="231F20"/>
          <w:w w:val="95"/>
          <w:sz w:val="21"/>
        </w:rPr>
        <w:t>Germán.</w:t>
      </w:r>
      <w:r>
        <w:rPr>
          <w:color w:val="231F20"/>
          <w:spacing w:val="-15"/>
          <w:w w:val="95"/>
          <w:sz w:val="21"/>
        </w:rPr>
        <w:t> </w:t>
      </w:r>
      <w:r>
        <w:rPr>
          <w:color w:val="231F20"/>
          <w:w w:val="95"/>
          <w:sz w:val="21"/>
        </w:rPr>
        <w:t>(2010).</w:t>
      </w:r>
      <w:r>
        <w:rPr>
          <w:color w:val="231F20"/>
          <w:spacing w:val="-15"/>
          <w:w w:val="95"/>
          <w:sz w:val="21"/>
        </w:rPr>
        <w:t> </w:t>
      </w:r>
      <w:r>
        <w:rPr>
          <w:i/>
          <w:color w:val="231F20"/>
          <w:w w:val="95"/>
          <w:sz w:val="21"/>
        </w:rPr>
        <w:t>Los</w:t>
      </w:r>
      <w:r>
        <w:rPr>
          <w:i/>
          <w:color w:val="231F20"/>
          <w:spacing w:val="-15"/>
          <w:w w:val="95"/>
          <w:sz w:val="21"/>
        </w:rPr>
        <w:t> </w:t>
      </w:r>
      <w:r>
        <w:rPr>
          <w:i/>
          <w:color w:val="231F20"/>
          <w:w w:val="95"/>
          <w:sz w:val="21"/>
        </w:rPr>
        <w:t>efectos</w:t>
      </w:r>
      <w:r>
        <w:rPr>
          <w:i/>
          <w:color w:val="231F20"/>
          <w:spacing w:val="-15"/>
          <w:w w:val="95"/>
          <w:sz w:val="21"/>
        </w:rPr>
        <w:t> </w:t>
      </w:r>
      <w:r>
        <w:rPr>
          <w:i/>
          <w:color w:val="231F20"/>
          <w:w w:val="95"/>
          <w:sz w:val="21"/>
        </w:rPr>
        <w:t>indeseados</w:t>
      </w:r>
      <w:r>
        <w:rPr>
          <w:i/>
          <w:color w:val="231F20"/>
          <w:spacing w:val="-16"/>
          <w:w w:val="95"/>
          <w:sz w:val="21"/>
        </w:rPr>
        <w:t> </w:t>
      </w:r>
      <w:r>
        <w:rPr>
          <w:i/>
          <w:color w:val="231F20"/>
          <w:w w:val="95"/>
          <w:sz w:val="21"/>
        </w:rPr>
        <w:t>del</w:t>
      </w:r>
      <w:r>
        <w:rPr>
          <w:i/>
          <w:color w:val="231F20"/>
          <w:spacing w:val="-15"/>
          <w:w w:val="95"/>
          <w:sz w:val="21"/>
        </w:rPr>
        <w:t> </w:t>
      </w:r>
      <w:r>
        <w:rPr>
          <w:i/>
          <w:color w:val="231F20"/>
          <w:w w:val="95"/>
          <w:sz w:val="21"/>
        </w:rPr>
        <w:t>SNI</w:t>
      </w:r>
      <w:r>
        <w:rPr>
          <w:i/>
          <w:color w:val="231F20"/>
          <w:spacing w:val="-15"/>
          <w:w w:val="95"/>
          <w:sz w:val="21"/>
        </w:rPr>
        <w:t> </w:t>
      </w:r>
      <w:r>
        <w:rPr>
          <w:i/>
          <w:color w:val="231F20"/>
          <w:w w:val="95"/>
          <w:sz w:val="21"/>
        </w:rPr>
        <w:t>y</w:t>
      </w:r>
      <w:r>
        <w:rPr>
          <w:i/>
          <w:color w:val="231F20"/>
          <w:spacing w:val="-15"/>
          <w:w w:val="95"/>
          <w:sz w:val="21"/>
        </w:rPr>
        <w:t> </w:t>
      </w:r>
      <w:r>
        <w:rPr>
          <w:i/>
          <w:color w:val="231F20"/>
          <w:w w:val="95"/>
          <w:sz w:val="21"/>
        </w:rPr>
        <w:t>la </w:t>
      </w:r>
      <w:r>
        <w:rPr>
          <w:i/>
          <w:color w:val="231F20"/>
          <w:w w:val="90"/>
          <w:sz w:val="21"/>
        </w:rPr>
        <w:t>necesidad de transformación</w:t>
      </w:r>
      <w:r>
        <w:rPr>
          <w:color w:val="231F20"/>
          <w:w w:val="90"/>
          <w:sz w:val="21"/>
        </w:rPr>
        <w:t>. México: CINVESTAV, </w:t>
      </w:r>
      <w:r>
        <w:rPr>
          <w:color w:val="231F20"/>
          <w:spacing w:val="22"/>
          <w:w w:val="90"/>
          <w:sz w:val="21"/>
        </w:rPr>
        <w:t> </w:t>
      </w:r>
      <w:r>
        <w:rPr>
          <w:color w:val="231F20"/>
          <w:w w:val="90"/>
          <w:sz w:val="21"/>
        </w:rPr>
        <w:t>IPN.</w:t>
      </w:r>
    </w:p>
    <w:p>
      <w:pPr>
        <w:spacing w:line="238" w:lineRule="exact" w:before="0"/>
        <w:ind w:left="101" w:right="121" w:firstLine="0"/>
        <w:jc w:val="left"/>
        <w:rPr>
          <w:sz w:val="21"/>
        </w:rPr>
      </w:pPr>
      <w:r>
        <w:rPr>
          <w:color w:val="231F20"/>
          <w:w w:val="95"/>
          <w:sz w:val="21"/>
        </w:rPr>
        <w:t>Arendt, Hannah. (1998). </w:t>
      </w:r>
      <w:r>
        <w:rPr>
          <w:i/>
          <w:color w:val="231F20"/>
          <w:w w:val="95"/>
          <w:sz w:val="21"/>
        </w:rPr>
        <w:t>La condición humana. </w:t>
      </w:r>
      <w:r>
        <w:rPr>
          <w:color w:val="231F20"/>
          <w:w w:val="95"/>
          <w:sz w:val="21"/>
        </w:rPr>
        <w:t>México: Paidós.</w:t>
      </w:r>
    </w:p>
    <w:p>
      <w:pPr>
        <w:spacing w:line="242" w:lineRule="auto" w:before="8"/>
        <w:ind w:left="821" w:right="210" w:hanging="720"/>
        <w:jc w:val="left"/>
        <w:rPr>
          <w:sz w:val="21"/>
        </w:rPr>
      </w:pPr>
      <w:r>
        <w:rPr>
          <w:color w:val="231F20"/>
          <w:w w:val="95"/>
          <w:sz w:val="21"/>
        </w:rPr>
        <w:t>Aziz Nassif, Alberto y Alonso, Jorge. (2009). </w:t>
      </w:r>
      <w:r>
        <w:rPr>
          <w:i/>
          <w:color w:val="231F20"/>
          <w:w w:val="95"/>
          <w:sz w:val="21"/>
        </w:rPr>
        <w:t>México: una democracia </w:t>
      </w:r>
      <w:r>
        <w:rPr>
          <w:i/>
          <w:color w:val="231F20"/>
          <w:w w:val="95"/>
          <w:sz w:val="21"/>
        </w:rPr>
        <w:t>vulnerada. </w:t>
      </w:r>
      <w:r>
        <w:rPr>
          <w:color w:val="231F20"/>
          <w:w w:val="95"/>
          <w:sz w:val="21"/>
        </w:rPr>
        <w:t>México: Ciesas/Porrúa.</w:t>
      </w:r>
    </w:p>
    <w:p>
      <w:pPr>
        <w:spacing w:line="247" w:lineRule="auto" w:before="6"/>
        <w:ind w:left="822" w:right="121" w:hanging="721"/>
        <w:jc w:val="left"/>
        <w:rPr>
          <w:sz w:val="21"/>
        </w:rPr>
      </w:pPr>
      <w:r>
        <w:rPr>
          <w:color w:val="231F20"/>
          <w:sz w:val="21"/>
        </w:rPr>
        <w:t>Banco</w:t>
      </w:r>
      <w:r>
        <w:rPr>
          <w:color w:val="231F20"/>
          <w:spacing w:val="-24"/>
          <w:sz w:val="21"/>
        </w:rPr>
        <w:t> </w:t>
      </w:r>
      <w:r>
        <w:rPr>
          <w:color w:val="231F20"/>
          <w:sz w:val="21"/>
        </w:rPr>
        <w:t>de</w:t>
      </w:r>
      <w:r>
        <w:rPr>
          <w:color w:val="231F20"/>
          <w:spacing w:val="-24"/>
          <w:sz w:val="21"/>
        </w:rPr>
        <w:t> </w:t>
      </w:r>
      <w:r>
        <w:rPr>
          <w:color w:val="231F20"/>
          <w:sz w:val="21"/>
        </w:rPr>
        <w:t>México.</w:t>
      </w:r>
      <w:r>
        <w:rPr>
          <w:color w:val="231F20"/>
          <w:spacing w:val="-24"/>
          <w:sz w:val="21"/>
        </w:rPr>
        <w:t> </w:t>
      </w:r>
      <w:r>
        <w:rPr>
          <w:color w:val="231F20"/>
          <w:sz w:val="21"/>
        </w:rPr>
        <w:t>(1995).</w:t>
      </w:r>
      <w:r>
        <w:rPr>
          <w:color w:val="231F20"/>
          <w:spacing w:val="-24"/>
          <w:sz w:val="21"/>
        </w:rPr>
        <w:t> </w:t>
      </w:r>
      <w:r>
        <w:rPr>
          <w:i/>
          <w:color w:val="231F20"/>
          <w:sz w:val="21"/>
        </w:rPr>
        <w:t>Informe</w:t>
      </w:r>
      <w:r>
        <w:rPr>
          <w:i/>
          <w:color w:val="231F20"/>
          <w:spacing w:val="-24"/>
          <w:sz w:val="21"/>
        </w:rPr>
        <w:t> </w:t>
      </w:r>
      <w:r>
        <w:rPr>
          <w:i/>
          <w:color w:val="231F20"/>
          <w:sz w:val="21"/>
        </w:rPr>
        <w:t>anual</w:t>
      </w:r>
      <w:r>
        <w:rPr>
          <w:i/>
          <w:color w:val="231F20"/>
          <w:spacing w:val="-24"/>
          <w:sz w:val="21"/>
        </w:rPr>
        <w:t> </w:t>
      </w:r>
      <w:r>
        <w:rPr>
          <w:i/>
          <w:color w:val="231F20"/>
          <w:sz w:val="21"/>
        </w:rPr>
        <w:t>1994.</w:t>
      </w:r>
      <w:r>
        <w:rPr>
          <w:i/>
          <w:color w:val="231F20"/>
          <w:spacing w:val="-25"/>
          <w:sz w:val="21"/>
        </w:rPr>
        <w:t> </w:t>
      </w:r>
      <w:r>
        <w:rPr>
          <w:color w:val="231F20"/>
          <w:sz w:val="21"/>
        </w:rPr>
        <w:t>México:</w:t>
      </w:r>
      <w:r>
        <w:rPr>
          <w:color w:val="231F20"/>
          <w:spacing w:val="-24"/>
          <w:sz w:val="21"/>
        </w:rPr>
        <w:t> </w:t>
      </w:r>
      <w:r>
        <w:rPr>
          <w:color w:val="231F20"/>
          <w:sz w:val="21"/>
        </w:rPr>
        <w:t>Banco</w:t>
      </w:r>
      <w:r>
        <w:rPr>
          <w:color w:val="231F20"/>
          <w:spacing w:val="-24"/>
          <w:sz w:val="21"/>
        </w:rPr>
        <w:t> </w:t>
      </w:r>
      <w:r>
        <w:rPr>
          <w:color w:val="231F20"/>
          <w:sz w:val="21"/>
        </w:rPr>
        <w:t>de México.</w:t>
      </w:r>
    </w:p>
    <w:p>
      <w:pPr>
        <w:spacing w:after="0" w:line="247" w:lineRule="auto"/>
        <w:jc w:val="left"/>
        <w:rPr>
          <w:sz w:val="21"/>
        </w:rPr>
        <w:sectPr>
          <w:headerReference w:type="default" r:id="rId134"/>
          <w:footerReference w:type="default" r:id="rId135"/>
          <w:pgSz w:w="7830" w:h="11910"/>
          <w:pgMar w:header="0" w:footer="424" w:top="500" w:bottom="620" w:left="920" w:right="900"/>
          <w:pgNumType w:start="61"/>
        </w:sectPr>
      </w:pPr>
    </w:p>
    <w:p>
      <w:pPr>
        <w:spacing w:before="46"/>
        <w:ind w:left="564" w:right="541"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spacing w:line="247" w:lineRule="auto" w:before="0"/>
        <w:ind w:left="822" w:right="50" w:hanging="721"/>
        <w:jc w:val="left"/>
        <w:rPr>
          <w:sz w:val="21"/>
        </w:rPr>
      </w:pPr>
      <w:r>
        <w:rPr>
          <w:color w:val="231F20"/>
          <w:sz w:val="21"/>
        </w:rPr>
        <w:t>Banco</w:t>
      </w:r>
      <w:r>
        <w:rPr>
          <w:color w:val="231F20"/>
          <w:spacing w:val="-24"/>
          <w:sz w:val="21"/>
        </w:rPr>
        <w:t> </w:t>
      </w:r>
      <w:r>
        <w:rPr>
          <w:color w:val="231F20"/>
          <w:sz w:val="21"/>
        </w:rPr>
        <w:t>de</w:t>
      </w:r>
      <w:r>
        <w:rPr>
          <w:color w:val="231F20"/>
          <w:spacing w:val="-24"/>
          <w:sz w:val="21"/>
        </w:rPr>
        <w:t> </w:t>
      </w:r>
      <w:r>
        <w:rPr>
          <w:color w:val="231F20"/>
          <w:sz w:val="21"/>
        </w:rPr>
        <w:t>México.</w:t>
      </w:r>
      <w:r>
        <w:rPr>
          <w:color w:val="231F20"/>
          <w:spacing w:val="-24"/>
          <w:sz w:val="21"/>
        </w:rPr>
        <w:t> </w:t>
      </w:r>
      <w:r>
        <w:rPr>
          <w:color w:val="231F20"/>
          <w:sz w:val="21"/>
        </w:rPr>
        <w:t>(1996).</w:t>
      </w:r>
      <w:r>
        <w:rPr>
          <w:color w:val="231F20"/>
          <w:spacing w:val="-24"/>
          <w:sz w:val="21"/>
        </w:rPr>
        <w:t> </w:t>
      </w:r>
      <w:r>
        <w:rPr>
          <w:i/>
          <w:color w:val="231F20"/>
          <w:sz w:val="21"/>
        </w:rPr>
        <w:t>Informe</w:t>
      </w:r>
      <w:r>
        <w:rPr>
          <w:i/>
          <w:color w:val="231F20"/>
          <w:spacing w:val="-24"/>
          <w:sz w:val="21"/>
        </w:rPr>
        <w:t> </w:t>
      </w:r>
      <w:r>
        <w:rPr>
          <w:i/>
          <w:color w:val="231F20"/>
          <w:sz w:val="21"/>
        </w:rPr>
        <w:t>anual</w:t>
      </w:r>
      <w:r>
        <w:rPr>
          <w:i/>
          <w:color w:val="231F20"/>
          <w:spacing w:val="-24"/>
          <w:sz w:val="21"/>
        </w:rPr>
        <w:t> </w:t>
      </w:r>
      <w:r>
        <w:rPr>
          <w:i/>
          <w:color w:val="231F20"/>
          <w:sz w:val="21"/>
        </w:rPr>
        <w:t>1995.</w:t>
      </w:r>
      <w:r>
        <w:rPr>
          <w:i/>
          <w:color w:val="231F20"/>
          <w:spacing w:val="-25"/>
          <w:sz w:val="21"/>
        </w:rPr>
        <w:t> </w:t>
      </w:r>
      <w:r>
        <w:rPr>
          <w:color w:val="231F20"/>
          <w:sz w:val="21"/>
        </w:rPr>
        <w:t>México:</w:t>
      </w:r>
      <w:r>
        <w:rPr>
          <w:color w:val="231F20"/>
          <w:spacing w:val="-24"/>
          <w:sz w:val="21"/>
        </w:rPr>
        <w:t> </w:t>
      </w:r>
      <w:r>
        <w:rPr>
          <w:color w:val="231F20"/>
          <w:sz w:val="21"/>
        </w:rPr>
        <w:t>Banco</w:t>
      </w:r>
      <w:r>
        <w:rPr>
          <w:color w:val="231F20"/>
          <w:spacing w:val="-24"/>
          <w:sz w:val="21"/>
        </w:rPr>
        <w:t> </w:t>
      </w:r>
      <w:r>
        <w:rPr>
          <w:color w:val="231F20"/>
          <w:sz w:val="21"/>
        </w:rPr>
        <w:t>de México.</w:t>
      </w:r>
    </w:p>
    <w:p>
      <w:pPr>
        <w:spacing w:line="247" w:lineRule="auto" w:before="0"/>
        <w:ind w:left="822" w:right="50" w:hanging="721"/>
        <w:jc w:val="left"/>
        <w:rPr>
          <w:sz w:val="21"/>
        </w:rPr>
      </w:pPr>
      <w:r>
        <w:rPr>
          <w:color w:val="231F20"/>
          <w:sz w:val="21"/>
        </w:rPr>
        <w:t>Banco</w:t>
      </w:r>
      <w:r>
        <w:rPr>
          <w:color w:val="231F20"/>
          <w:spacing w:val="-24"/>
          <w:sz w:val="21"/>
        </w:rPr>
        <w:t> </w:t>
      </w:r>
      <w:r>
        <w:rPr>
          <w:color w:val="231F20"/>
          <w:sz w:val="21"/>
        </w:rPr>
        <w:t>de</w:t>
      </w:r>
      <w:r>
        <w:rPr>
          <w:color w:val="231F20"/>
          <w:spacing w:val="-24"/>
          <w:sz w:val="21"/>
        </w:rPr>
        <w:t> </w:t>
      </w:r>
      <w:r>
        <w:rPr>
          <w:color w:val="231F20"/>
          <w:sz w:val="21"/>
        </w:rPr>
        <w:t>México.</w:t>
      </w:r>
      <w:r>
        <w:rPr>
          <w:color w:val="231F20"/>
          <w:spacing w:val="-24"/>
          <w:sz w:val="21"/>
        </w:rPr>
        <w:t> </w:t>
      </w:r>
      <w:r>
        <w:rPr>
          <w:color w:val="231F20"/>
          <w:sz w:val="21"/>
        </w:rPr>
        <w:t>(1999).</w:t>
      </w:r>
      <w:r>
        <w:rPr>
          <w:color w:val="231F20"/>
          <w:spacing w:val="-24"/>
          <w:sz w:val="21"/>
        </w:rPr>
        <w:t> </w:t>
      </w:r>
      <w:r>
        <w:rPr>
          <w:i/>
          <w:color w:val="231F20"/>
          <w:sz w:val="21"/>
        </w:rPr>
        <w:t>Informe</w:t>
      </w:r>
      <w:r>
        <w:rPr>
          <w:i/>
          <w:color w:val="231F20"/>
          <w:spacing w:val="-24"/>
          <w:sz w:val="21"/>
        </w:rPr>
        <w:t> </w:t>
      </w:r>
      <w:r>
        <w:rPr>
          <w:i/>
          <w:color w:val="231F20"/>
          <w:sz w:val="21"/>
        </w:rPr>
        <w:t>anual</w:t>
      </w:r>
      <w:r>
        <w:rPr>
          <w:i/>
          <w:color w:val="231F20"/>
          <w:spacing w:val="-24"/>
          <w:sz w:val="21"/>
        </w:rPr>
        <w:t> </w:t>
      </w:r>
      <w:r>
        <w:rPr>
          <w:i/>
          <w:color w:val="231F20"/>
          <w:sz w:val="21"/>
        </w:rPr>
        <w:t>1998.</w:t>
      </w:r>
      <w:r>
        <w:rPr>
          <w:i/>
          <w:color w:val="231F20"/>
          <w:spacing w:val="-25"/>
          <w:sz w:val="21"/>
        </w:rPr>
        <w:t> </w:t>
      </w:r>
      <w:r>
        <w:rPr>
          <w:color w:val="231F20"/>
          <w:sz w:val="21"/>
        </w:rPr>
        <w:t>México:</w:t>
      </w:r>
      <w:r>
        <w:rPr>
          <w:color w:val="231F20"/>
          <w:spacing w:val="-24"/>
          <w:sz w:val="21"/>
        </w:rPr>
        <w:t> </w:t>
      </w:r>
      <w:r>
        <w:rPr>
          <w:color w:val="231F20"/>
          <w:sz w:val="21"/>
        </w:rPr>
        <w:t>Banco</w:t>
      </w:r>
      <w:r>
        <w:rPr>
          <w:color w:val="231F20"/>
          <w:spacing w:val="-24"/>
          <w:sz w:val="21"/>
        </w:rPr>
        <w:t> </w:t>
      </w:r>
      <w:r>
        <w:rPr>
          <w:color w:val="231F20"/>
          <w:sz w:val="21"/>
        </w:rPr>
        <w:t>de México.</w:t>
      </w:r>
    </w:p>
    <w:p>
      <w:pPr>
        <w:spacing w:line="247" w:lineRule="auto" w:before="0"/>
        <w:ind w:left="822" w:right="50" w:hanging="721"/>
        <w:jc w:val="left"/>
        <w:rPr>
          <w:sz w:val="21"/>
        </w:rPr>
      </w:pPr>
      <w:r>
        <w:rPr>
          <w:color w:val="231F20"/>
          <w:w w:val="95"/>
          <w:sz w:val="21"/>
        </w:rPr>
        <w:t>Benjamin,</w:t>
      </w:r>
      <w:r>
        <w:rPr>
          <w:color w:val="231F20"/>
          <w:spacing w:val="-19"/>
          <w:w w:val="95"/>
          <w:sz w:val="21"/>
        </w:rPr>
        <w:t> </w:t>
      </w:r>
      <w:r>
        <w:rPr>
          <w:color w:val="231F20"/>
          <w:w w:val="95"/>
          <w:sz w:val="21"/>
        </w:rPr>
        <w:t>Walter.</w:t>
      </w:r>
      <w:r>
        <w:rPr>
          <w:color w:val="231F20"/>
          <w:spacing w:val="-19"/>
          <w:w w:val="95"/>
          <w:sz w:val="21"/>
        </w:rPr>
        <w:t> </w:t>
      </w:r>
      <w:r>
        <w:rPr>
          <w:color w:val="231F20"/>
          <w:w w:val="95"/>
          <w:sz w:val="21"/>
        </w:rPr>
        <w:t>(1995).</w:t>
      </w:r>
      <w:r>
        <w:rPr>
          <w:color w:val="231F20"/>
          <w:spacing w:val="-19"/>
          <w:w w:val="95"/>
          <w:sz w:val="21"/>
        </w:rPr>
        <w:t> </w:t>
      </w:r>
      <w:r>
        <w:rPr>
          <w:i/>
          <w:color w:val="231F20"/>
          <w:w w:val="95"/>
          <w:sz w:val="21"/>
        </w:rPr>
        <w:t>Para</w:t>
      </w:r>
      <w:r>
        <w:rPr>
          <w:i/>
          <w:color w:val="231F20"/>
          <w:spacing w:val="-18"/>
          <w:w w:val="95"/>
          <w:sz w:val="21"/>
        </w:rPr>
        <w:t> </w:t>
      </w:r>
      <w:r>
        <w:rPr>
          <w:i/>
          <w:color w:val="231F20"/>
          <w:w w:val="95"/>
          <w:sz w:val="21"/>
        </w:rPr>
        <w:t>una</w:t>
      </w:r>
      <w:r>
        <w:rPr>
          <w:i/>
          <w:color w:val="231F20"/>
          <w:spacing w:val="-18"/>
          <w:w w:val="95"/>
          <w:sz w:val="21"/>
        </w:rPr>
        <w:t> </w:t>
      </w:r>
      <w:r>
        <w:rPr>
          <w:i/>
          <w:color w:val="231F20"/>
          <w:w w:val="95"/>
          <w:sz w:val="21"/>
        </w:rPr>
        <w:t>crítica</w:t>
      </w:r>
      <w:r>
        <w:rPr>
          <w:i/>
          <w:color w:val="231F20"/>
          <w:spacing w:val="-18"/>
          <w:w w:val="95"/>
          <w:sz w:val="21"/>
        </w:rPr>
        <w:t> </w:t>
      </w:r>
      <w:r>
        <w:rPr>
          <w:i/>
          <w:color w:val="231F20"/>
          <w:w w:val="95"/>
          <w:sz w:val="21"/>
        </w:rPr>
        <w:t>de</w:t>
      </w:r>
      <w:r>
        <w:rPr>
          <w:i/>
          <w:color w:val="231F20"/>
          <w:spacing w:val="-19"/>
          <w:w w:val="95"/>
          <w:sz w:val="21"/>
        </w:rPr>
        <w:t> </w:t>
      </w:r>
      <w:r>
        <w:rPr>
          <w:i/>
          <w:color w:val="231F20"/>
          <w:w w:val="95"/>
          <w:sz w:val="21"/>
        </w:rPr>
        <w:t>la</w:t>
      </w:r>
      <w:r>
        <w:rPr>
          <w:i/>
          <w:color w:val="231F20"/>
          <w:spacing w:val="-18"/>
          <w:w w:val="95"/>
          <w:sz w:val="21"/>
        </w:rPr>
        <w:t> </w:t>
      </w:r>
      <w:r>
        <w:rPr>
          <w:i/>
          <w:color w:val="231F20"/>
          <w:w w:val="95"/>
          <w:sz w:val="21"/>
        </w:rPr>
        <w:t>violencia</w:t>
      </w:r>
      <w:r>
        <w:rPr>
          <w:color w:val="231F20"/>
          <w:w w:val="95"/>
          <w:sz w:val="21"/>
        </w:rPr>
        <w:t>.</w:t>
      </w:r>
      <w:r>
        <w:rPr>
          <w:color w:val="231F20"/>
          <w:spacing w:val="-19"/>
          <w:w w:val="95"/>
          <w:sz w:val="21"/>
        </w:rPr>
        <w:t> </w:t>
      </w:r>
      <w:r>
        <w:rPr>
          <w:color w:val="231F20"/>
          <w:w w:val="95"/>
          <w:sz w:val="21"/>
        </w:rPr>
        <w:t>Buenos</w:t>
      </w:r>
      <w:r>
        <w:rPr>
          <w:color w:val="231F20"/>
          <w:spacing w:val="-18"/>
          <w:w w:val="95"/>
          <w:sz w:val="21"/>
        </w:rPr>
        <w:t> </w:t>
      </w:r>
      <w:r>
        <w:rPr>
          <w:color w:val="231F20"/>
          <w:w w:val="95"/>
          <w:sz w:val="21"/>
        </w:rPr>
        <w:t>Aires: </w:t>
      </w:r>
      <w:r>
        <w:rPr>
          <w:color w:val="231F20"/>
          <w:sz w:val="21"/>
        </w:rPr>
        <w:t>Leviatán.</w:t>
      </w:r>
    </w:p>
    <w:p>
      <w:pPr>
        <w:pStyle w:val="BodyText"/>
        <w:spacing w:before="1"/>
        <w:ind w:left="102" w:right="50"/>
      </w:pPr>
      <w:r>
        <w:rPr>
          <w:color w:val="231F20"/>
        </w:rPr>
        <w:t>Bobbio, Norberto (1981). “Política”, en Bobbio, Norberto, </w:t>
      </w:r>
      <w:r>
        <w:rPr>
          <w:i/>
          <w:color w:val="231F20"/>
        </w:rPr>
        <w:t>et. al</w:t>
      </w:r>
      <w:r>
        <w:rPr>
          <w:color w:val="231F20"/>
        </w:rPr>
        <w:t>.</w:t>
      </w:r>
    </w:p>
    <w:p>
      <w:pPr>
        <w:spacing w:before="3"/>
        <w:ind w:left="811" w:right="50" w:firstLine="0"/>
        <w:jc w:val="left"/>
        <w:rPr>
          <w:sz w:val="21"/>
        </w:rPr>
      </w:pPr>
      <w:r>
        <w:rPr>
          <w:i/>
          <w:color w:val="231F20"/>
          <w:w w:val="90"/>
          <w:sz w:val="21"/>
        </w:rPr>
        <w:t>Diccionario de política</w:t>
      </w:r>
      <w:r>
        <w:rPr>
          <w:color w:val="231F20"/>
          <w:w w:val="90"/>
          <w:sz w:val="21"/>
        </w:rPr>
        <w:t>. México, Siglo XXI.</w:t>
      </w:r>
    </w:p>
    <w:p>
      <w:pPr>
        <w:spacing w:line="242" w:lineRule="auto" w:before="8"/>
        <w:ind w:left="823" w:right="331" w:hanging="721"/>
        <w:jc w:val="left"/>
        <w:rPr>
          <w:sz w:val="21"/>
        </w:rPr>
      </w:pPr>
      <w:r>
        <w:rPr>
          <w:color w:val="231F20"/>
          <w:sz w:val="21"/>
        </w:rPr>
        <w:t>Clementi, Hebe. (1995). Introducción. En Walter Benjamin. </w:t>
      </w:r>
      <w:r>
        <w:rPr>
          <w:i/>
          <w:color w:val="231F20"/>
          <w:sz w:val="21"/>
        </w:rPr>
        <w:t>Para </w:t>
      </w:r>
      <w:r>
        <w:rPr>
          <w:i/>
          <w:color w:val="231F20"/>
          <w:w w:val="95"/>
          <w:sz w:val="21"/>
        </w:rPr>
        <w:t>una crítica de la violencia. </w:t>
      </w:r>
      <w:r>
        <w:rPr>
          <w:color w:val="231F20"/>
          <w:w w:val="95"/>
          <w:sz w:val="21"/>
        </w:rPr>
        <w:t>Buenos Aires: Levitán.</w:t>
      </w:r>
    </w:p>
    <w:p>
      <w:pPr>
        <w:spacing w:line="242" w:lineRule="auto" w:before="6"/>
        <w:ind w:left="103" w:right="50" w:hanging="1"/>
        <w:jc w:val="left"/>
        <w:rPr>
          <w:sz w:val="21"/>
        </w:rPr>
      </w:pPr>
      <w:r>
        <w:rPr>
          <w:color w:val="231F20"/>
          <w:w w:val="95"/>
          <w:sz w:val="21"/>
        </w:rPr>
        <w:t>CONACYT. (2010). </w:t>
      </w:r>
      <w:r>
        <w:rPr>
          <w:i/>
          <w:color w:val="231F20"/>
          <w:w w:val="95"/>
          <w:sz w:val="21"/>
        </w:rPr>
        <w:t>Estadísticas básicas. </w:t>
      </w:r>
      <w:r>
        <w:rPr>
          <w:color w:val="231F20"/>
          <w:w w:val="95"/>
          <w:sz w:val="21"/>
        </w:rPr>
        <w:t>México: SNI/CONACYT. CONEVAL. (2007). </w:t>
      </w:r>
      <w:r>
        <w:rPr>
          <w:i/>
          <w:color w:val="231F20"/>
          <w:w w:val="95"/>
          <w:sz w:val="21"/>
        </w:rPr>
        <w:t>Informe 03 de febrero del 2007. </w:t>
      </w:r>
      <w:r>
        <w:rPr>
          <w:color w:val="231F20"/>
          <w:w w:val="95"/>
          <w:sz w:val="21"/>
        </w:rPr>
        <w:t>México:</w:t>
      </w:r>
    </w:p>
    <w:p>
      <w:pPr>
        <w:pStyle w:val="BodyText"/>
        <w:spacing w:before="6"/>
        <w:ind w:left="823" w:right="50"/>
      </w:pPr>
      <w:r>
        <w:rPr>
          <w:color w:val="231F20"/>
        </w:rPr>
        <w:t>CONEVAL.</w:t>
      </w:r>
    </w:p>
    <w:p>
      <w:pPr>
        <w:pStyle w:val="BodyText"/>
        <w:spacing w:line="247" w:lineRule="auto" w:before="3"/>
        <w:ind w:left="823" w:right="50" w:hanging="720"/>
      </w:pPr>
      <w:r>
        <w:rPr>
          <w:color w:val="231F20"/>
        </w:rPr>
        <w:t>Engels, Friedrich. (s.f.). El origen de la familia, la propiedad privada y el Estado</w:t>
      </w:r>
      <w:r>
        <w:rPr>
          <w:i/>
          <w:color w:val="231F20"/>
        </w:rPr>
        <w:t>. </w:t>
      </w:r>
      <w:r>
        <w:rPr>
          <w:color w:val="231F20"/>
        </w:rPr>
        <w:t>En Friedrich Engels.</w:t>
      </w:r>
      <w:r>
        <w:rPr>
          <w:i/>
          <w:color w:val="231F20"/>
        </w:rPr>
        <w:t>Obras escogidas. </w:t>
      </w:r>
      <w:r>
        <w:rPr>
          <w:color w:val="231F20"/>
        </w:rPr>
        <w:t>Moscú: Editorial Progreso.</w:t>
      </w:r>
    </w:p>
    <w:p>
      <w:pPr>
        <w:spacing w:line="244" w:lineRule="auto" w:before="0"/>
        <w:ind w:left="811" w:right="132" w:hanging="709"/>
        <w:jc w:val="left"/>
        <w:rPr>
          <w:sz w:val="21"/>
        </w:rPr>
      </w:pPr>
      <w:r>
        <w:rPr>
          <w:color w:val="231F20"/>
          <w:sz w:val="21"/>
        </w:rPr>
        <w:t>Foro Consultivo Científico y Tecnológico y Academia Mexicana de </w:t>
      </w:r>
      <w:r>
        <w:rPr>
          <w:color w:val="231F20"/>
          <w:w w:val="95"/>
          <w:sz w:val="21"/>
        </w:rPr>
        <w:t>Ciencias,</w:t>
      </w:r>
      <w:r>
        <w:rPr>
          <w:color w:val="231F20"/>
          <w:spacing w:val="-26"/>
          <w:w w:val="95"/>
          <w:sz w:val="21"/>
        </w:rPr>
        <w:t> </w:t>
      </w:r>
      <w:r>
        <w:rPr>
          <w:color w:val="231F20"/>
          <w:w w:val="95"/>
          <w:sz w:val="21"/>
        </w:rPr>
        <w:t>(2005),</w:t>
      </w:r>
      <w:r>
        <w:rPr>
          <w:color w:val="231F20"/>
          <w:spacing w:val="-26"/>
          <w:w w:val="95"/>
          <w:sz w:val="21"/>
        </w:rPr>
        <w:t> </w:t>
      </w:r>
      <w:r>
        <w:rPr>
          <w:i/>
          <w:color w:val="231F20"/>
          <w:w w:val="95"/>
          <w:sz w:val="21"/>
        </w:rPr>
        <w:t>Una</w:t>
      </w:r>
      <w:r>
        <w:rPr>
          <w:i/>
          <w:color w:val="231F20"/>
          <w:spacing w:val="-25"/>
          <w:w w:val="95"/>
          <w:sz w:val="21"/>
        </w:rPr>
        <w:t> </w:t>
      </w:r>
      <w:r>
        <w:rPr>
          <w:i/>
          <w:color w:val="231F20"/>
          <w:w w:val="95"/>
          <w:sz w:val="21"/>
        </w:rPr>
        <w:t>reflexión</w:t>
      </w:r>
      <w:r>
        <w:rPr>
          <w:i/>
          <w:color w:val="231F20"/>
          <w:spacing w:val="-25"/>
          <w:w w:val="95"/>
          <w:sz w:val="21"/>
        </w:rPr>
        <w:t> </w:t>
      </w:r>
      <w:r>
        <w:rPr>
          <w:i/>
          <w:color w:val="231F20"/>
          <w:w w:val="95"/>
          <w:sz w:val="21"/>
        </w:rPr>
        <w:t>sobre</w:t>
      </w:r>
      <w:r>
        <w:rPr>
          <w:i/>
          <w:color w:val="231F20"/>
          <w:spacing w:val="-26"/>
          <w:w w:val="95"/>
          <w:sz w:val="21"/>
        </w:rPr>
        <w:t> </w:t>
      </w:r>
      <w:r>
        <w:rPr>
          <w:i/>
          <w:color w:val="231F20"/>
          <w:w w:val="95"/>
          <w:sz w:val="21"/>
        </w:rPr>
        <w:t>el</w:t>
      </w:r>
      <w:r>
        <w:rPr>
          <w:i/>
          <w:color w:val="231F20"/>
          <w:spacing w:val="-26"/>
          <w:w w:val="95"/>
          <w:sz w:val="21"/>
        </w:rPr>
        <w:t> </w:t>
      </w:r>
      <w:r>
        <w:rPr>
          <w:i/>
          <w:color w:val="231F20"/>
          <w:w w:val="95"/>
          <w:sz w:val="21"/>
        </w:rPr>
        <w:t>Sistema</w:t>
      </w:r>
      <w:r>
        <w:rPr>
          <w:i/>
          <w:color w:val="231F20"/>
          <w:spacing w:val="-25"/>
          <w:w w:val="95"/>
          <w:sz w:val="21"/>
        </w:rPr>
        <w:t> </w:t>
      </w:r>
      <w:r>
        <w:rPr>
          <w:i/>
          <w:color w:val="231F20"/>
          <w:w w:val="95"/>
          <w:sz w:val="21"/>
        </w:rPr>
        <w:t>Nacional</w:t>
      </w:r>
      <w:r>
        <w:rPr>
          <w:i/>
          <w:color w:val="231F20"/>
          <w:spacing w:val="-26"/>
          <w:w w:val="95"/>
          <w:sz w:val="21"/>
        </w:rPr>
        <w:t> </w:t>
      </w:r>
      <w:r>
        <w:rPr>
          <w:i/>
          <w:color w:val="231F20"/>
          <w:w w:val="95"/>
          <w:sz w:val="21"/>
        </w:rPr>
        <w:t>de</w:t>
      </w:r>
      <w:r>
        <w:rPr>
          <w:i/>
          <w:color w:val="231F20"/>
          <w:spacing w:val="-26"/>
          <w:w w:val="95"/>
          <w:sz w:val="21"/>
        </w:rPr>
        <w:t> </w:t>
      </w:r>
      <w:r>
        <w:rPr>
          <w:i/>
          <w:color w:val="231F20"/>
          <w:w w:val="95"/>
          <w:sz w:val="21"/>
        </w:rPr>
        <w:t>In- </w:t>
      </w:r>
      <w:r>
        <w:rPr>
          <w:i/>
          <w:color w:val="231F20"/>
          <w:w w:val="90"/>
          <w:sz w:val="21"/>
        </w:rPr>
        <w:t>vestigadores</w:t>
      </w:r>
      <w:r>
        <w:rPr>
          <w:i/>
          <w:color w:val="231F20"/>
          <w:spacing w:val="-28"/>
          <w:w w:val="90"/>
          <w:sz w:val="21"/>
        </w:rPr>
        <w:t> </w:t>
      </w:r>
      <w:r>
        <w:rPr>
          <w:i/>
          <w:color w:val="231F20"/>
          <w:w w:val="90"/>
          <w:sz w:val="21"/>
        </w:rPr>
        <w:t>a</w:t>
      </w:r>
      <w:r>
        <w:rPr>
          <w:i/>
          <w:color w:val="231F20"/>
          <w:spacing w:val="-27"/>
          <w:w w:val="90"/>
          <w:sz w:val="21"/>
        </w:rPr>
        <w:t> </w:t>
      </w:r>
      <w:r>
        <w:rPr>
          <w:i/>
          <w:color w:val="231F20"/>
          <w:w w:val="90"/>
          <w:sz w:val="21"/>
        </w:rPr>
        <w:t>20</w:t>
      </w:r>
      <w:r>
        <w:rPr>
          <w:i/>
          <w:color w:val="231F20"/>
          <w:spacing w:val="-27"/>
          <w:w w:val="90"/>
          <w:sz w:val="21"/>
        </w:rPr>
        <w:t> </w:t>
      </w:r>
      <w:r>
        <w:rPr>
          <w:i/>
          <w:color w:val="231F20"/>
          <w:w w:val="90"/>
          <w:sz w:val="21"/>
        </w:rPr>
        <w:t>años</w:t>
      </w:r>
      <w:r>
        <w:rPr>
          <w:i/>
          <w:color w:val="231F20"/>
          <w:spacing w:val="-28"/>
          <w:w w:val="90"/>
          <w:sz w:val="21"/>
        </w:rPr>
        <w:t> </w:t>
      </w:r>
      <w:r>
        <w:rPr>
          <w:i/>
          <w:color w:val="231F20"/>
          <w:w w:val="90"/>
          <w:sz w:val="21"/>
        </w:rPr>
        <w:t>de</w:t>
      </w:r>
      <w:r>
        <w:rPr>
          <w:i/>
          <w:color w:val="231F20"/>
          <w:spacing w:val="-28"/>
          <w:w w:val="90"/>
          <w:sz w:val="21"/>
        </w:rPr>
        <w:t> </w:t>
      </w:r>
      <w:r>
        <w:rPr>
          <w:i/>
          <w:color w:val="231F20"/>
          <w:w w:val="90"/>
          <w:sz w:val="21"/>
        </w:rPr>
        <w:t>su</w:t>
      </w:r>
      <w:r>
        <w:rPr>
          <w:i/>
          <w:color w:val="231F20"/>
          <w:spacing w:val="-27"/>
          <w:w w:val="90"/>
          <w:sz w:val="21"/>
        </w:rPr>
        <w:t> </w:t>
      </w:r>
      <w:r>
        <w:rPr>
          <w:i/>
          <w:color w:val="231F20"/>
          <w:w w:val="90"/>
          <w:sz w:val="21"/>
        </w:rPr>
        <w:t>creación</w:t>
      </w:r>
      <w:r>
        <w:rPr>
          <w:color w:val="231F20"/>
          <w:w w:val="90"/>
          <w:sz w:val="21"/>
        </w:rPr>
        <w:t>.</w:t>
      </w:r>
      <w:r>
        <w:rPr>
          <w:color w:val="231F20"/>
          <w:spacing w:val="-28"/>
          <w:w w:val="90"/>
          <w:sz w:val="21"/>
        </w:rPr>
        <w:t> </w:t>
      </w:r>
      <w:r>
        <w:rPr>
          <w:color w:val="231F20"/>
          <w:w w:val="90"/>
          <w:sz w:val="21"/>
        </w:rPr>
        <w:t>México.</w:t>
      </w:r>
    </w:p>
    <w:p>
      <w:pPr>
        <w:spacing w:before="3"/>
        <w:ind w:left="103" w:right="50" w:firstLine="0"/>
        <w:jc w:val="left"/>
        <w:rPr>
          <w:sz w:val="21"/>
        </w:rPr>
      </w:pPr>
      <w:r>
        <w:rPr>
          <w:color w:val="231F20"/>
          <w:w w:val="95"/>
          <w:sz w:val="21"/>
        </w:rPr>
        <w:t>Freud, Sigmon. (1999). </w:t>
      </w:r>
      <w:r>
        <w:rPr>
          <w:i/>
          <w:color w:val="231F20"/>
          <w:w w:val="95"/>
          <w:sz w:val="21"/>
        </w:rPr>
        <w:t>El malestar de la cultura</w:t>
      </w:r>
      <w:r>
        <w:rPr>
          <w:color w:val="231F20"/>
          <w:w w:val="95"/>
          <w:sz w:val="21"/>
        </w:rPr>
        <w:t>. Madrid: Alianza.</w:t>
      </w:r>
    </w:p>
    <w:p>
      <w:pPr>
        <w:spacing w:before="3"/>
        <w:ind w:left="103" w:right="50" w:firstLine="0"/>
        <w:jc w:val="left"/>
        <w:rPr>
          <w:i/>
          <w:sz w:val="21"/>
        </w:rPr>
      </w:pPr>
      <w:r>
        <w:rPr>
          <w:color w:val="231F20"/>
          <w:w w:val="90"/>
          <w:sz w:val="21"/>
        </w:rPr>
        <w:t>Gil-Antón, Manuel. (2009). </w:t>
      </w:r>
      <w:r>
        <w:rPr>
          <w:i/>
          <w:color w:val="231F20"/>
          <w:w w:val="90"/>
          <w:sz w:val="21"/>
        </w:rPr>
        <w:t>Cobertura de la educación superior en México.</w:t>
      </w:r>
    </w:p>
    <w:p>
      <w:pPr>
        <w:pStyle w:val="BodyText"/>
        <w:spacing w:before="8"/>
        <w:ind w:left="823" w:right="50"/>
      </w:pPr>
      <w:r>
        <w:rPr>
          <w:color w:val="231F20"/>
        </w:rPr>
        <w:t>México: ANUIES.</w:t>
      </w:r>
    </w:p>
    <w:p>
      <w:pPr>
        <w:spacing w:line="242" w:lineRule="auto" w:before="8"/>
        <w:ind w:left="823" w:right="50" w:hanging="721"/>
        <w:jc w:val="left"/>
        <w:rPr>
          <w:sz w:val="21"/>
        </w:rPr>
      </w:pPr>
      <w:r>
        <w:rPr>
          <w:color w:val="231F20"/>
          <w:w w:val="95"/>
          <w:sz w:val="21"/>
        </w:rPr>
        <w:t>Gramsci, Antonio. (1998). </w:t>
      </w:r>
      <w:r>
        <w:rPr>
          <w:i/>
          <w:color w:val="231F20"/>
          <w:w w:val="95"/>
          <w:sz w:val="21"/>
        </w:rPr>
        <w:t>La política y el Estado moderno. </w:t>
      </w:r>
      <w:r>
        <w:rPr>
          <w:color w:val="231F20"/>
          <w:w w:val="95"/>
          <w:sz w:val="21"/>
        </w:rPr>
        <w:t>Buenos </w:t>
      </w:r>
      <w:r>
        <w:rPr>
          <w:color w:val="231F20"/>
          <w:sz w:val="21"/>
        </w:rPr>
        <w:t>Aires: Fontamara.</w:t>
      </w:r>
    </w:p>
    <w:p>
      <w:pPr>
        <w:spacing w:line="242" w:lineRule="auto" w:before="6"/>
        <w:ind w:left="103" w:right="1174" w:firstLine="0"/>
        <w:jc w:val="left"/>
        <w:rPr>
          <w:sz w:val="21"/>
        </w:rPr>
      </w:pPr>
      <w:r>
        <w:rPr>
          <w:color w:val="231F20"/>
          <w:sz w:val="21"/>
        </w:rPr>
        <w:t>Habermas,</w:t>
      </w:r>
      <w:r>
        <w:rPr>
          <w:color w:val="231F20"/>
          <w:spacing w:val="-24"/>
          <w:sz w:val="21"/>
        </w:rPr>
        <w:t> </w:t>
      </w:r>
      <w:r>
        <w:rPr>
          <w:color w:val="231F20"/>
          <w:sz w:val="21"/>
        </w:rPr>
        <w:t>Jürgen.</w:t>
      </w:r>
      <w:r>
        <w:rPr>
          <w:color w:val="231F20"/>
          <w:spacing w:val="-24"/>
          <w:sz w:val="21"/>
        </w:rPr>
        <w:t> </w:t>
      </w:r>
      <w:r>
        <w:rPr>
          <w:color w:val="231F20"/>
          <w:sz w:val="21"/>
        </w:rPr>
        <w:t>(1993).</w:t>
      </w:r>
      <w:r>
        <w:rPr>
          <w:color w:val="231F20"/>
          <w:spacing w:val="-24"/>
          <w:sz w:val="21"/>
        </w:rPr>
        <w:t> </w:t>
      </w:r>
      <w:r>
        <w:rPr>
          <w:i/>
          <w:color w:val="231F20"/>
          <w:sz w:val="21"/>
        </w:rPr>
        <w:t>Teoría</w:t>
      </w:r>
      <w:r>
        <w:rPr>
          <w:i/>
          <w:color w:val="231F20"/>
          <w:spacing w:val="-24"/>
          <w:sz w:val="21"/>
        </w:rPr>
        <w:t> </w:t>
      </w:r>
      <w:r>
        <w:rPr>
          <w:i/>
          <w:color w:val="231F20"/>
          <w:sz w:val="21"/>
        </w:rPr>
        <w:t>y</w:t>
      </w:r>
      <w:r>
        <w:rPr>
          <w:i/>
          <w:color w:val="231F20"/>
          <w:spacing w:val="-24"/>
          <w:sz w:val="21"/>
        </w:rPr>
        <w:t> </w:t>
      </w:r>
      <w:r>
        <w:rPr>
          <w:i/>
          <w:color w:val="231F20"/>
          <w:sz w:val="21"/>
        </w:rPr>
        <w:t>Práxis</w:t>
      </w:r>
      <w:r>
        <w:rPr>
          <w:color w:val="231F20"/>
          <w:sz w:val="21"/>
        </w:rPr>
        <w:t>.</w:t>
      </w:r>
      <w:r>
        <w:rPr>
          <w:color w:val="231F20"/>
          <w:spacing w:val="-24"/>
          <w:sz w:val="21"/>
        </w:rPr>
        <w:t> </w:t>
      </w:r>
      <w:r>
        <w:rPr>
          <w:color w:val="231F20"/>
          <w:sz w:val="21"/>
        </w:rPr>
        <w:t>México:</w:t>
      </w:r>
      <w:r>
        <w:rPr>
          <w:color w:val="231F20"/>
          <w:spacing w:val="-24"/>
          <w:sz w:val="21"/>
        </w:rPr>
        <w:t> </w:t>
      </w:r>
      <w:r>
        <w:rPr>
          <w:color w:val="231F20"/>
          <w:sz w:val="21"/>
        </w:rPr>
        <w:t>REI. Hobbes,</w:t>
      </w:r>
      <w:r>
        <w:rPr>
          <w:color w:val="231F20"/>
          <w:spacing w:val="-8"/>
          <w:sz w:val="21"/>
        </w:rPr>
        <w:t> </w:t>
      </w:r>
      <w:r>
        <w:rPr>
          <w:color w:val="231F20"/>
          <w:sz w:val="21"/>
        </w:rPr>
        <w:t>Thomas.</w:t>
      </w:r>
      <w:r>
        <w:rPr>
          <w:color w:val="231F20"/>
          <w:spacing w:val="-8"/>
          <w:sz w:val="21"/>
        </w:rPr>
        <w:t> </w:t>
      </w:r>
      <w:r>
        <w:rPr>
          <w:color w:val="231F20"/>
          <w:sz w:val="21"/>
        </w:rPr>
        <w:t>(1984).</w:t>
      </w:r>
      <w:r>
        <w:rPr>
          <w:color w:val="231F20"/>
          <w:spacing w:val="-8"/>
          <w:sz w:val="21"/>
        </w:rPr>
        <w:t> </w:t>
      </w:r>
      <w:r>
        <w:rPr>
          <w:i/>
          <w:color w:val="231F20"/>
          <w:sz w:val="21"/>
        </w:rPr>
        <w:t>Levitán</w:t>
      </w:r>
      <w:r>
        <w:rPr>
          <w:i/>
          <w:color w:val="231F20"/>
          <w:spacing w:val="-8"/>
          <w:sz w:val="21"/>
        </w:rPr>
        <w:t> </w:t>
      </w:r>
      <w:r>
        <w:rPr>
          <w:i/>
          <w:color w:val="231F20"/>
          <w:sz w:val="21"/>
        </w:rPr>
        <w:t>I</w:t>
      </w:r>
      <w:r>
        <w:rPr>
          <w:i/>
          <w:color w:val="231F20"/>
          <w:spacing w:val="-8"/>
          <w:sz w:val="21"/>
        </w:rPr>
        <w:t> </w:t>
      </w:r>
      <w:r>
        <w:rPr>
          <w:i/>
          <w:color w:val="231F20"/>
          <w:sz w:val="21"/>
        </w:rPr>
        <w:t>y</w:t>
      </w:r>
      <w:r>
        <w:rPr>
          <w:i/>
          <w:color w:val="231F20"/>
          <w:spacing w:val="-8"/>
          <w:sz w:val="21"/>
        </w:rPr>
        <w:t> </w:t>
      </w:r>
      <w:r>
        <w:rPr>
          <w:i/>
          <w:color w:val="231F20"/>
          <w:sz w:val="21"/>
        </w:rPr>
        <w:t>II</w:t>
      </w:r>
      <w:r>
        <w:rPr>
          <w:color w:val="231F20"/>
          <w:sz w:val="21"/>
        </w:rPr>
        <w:t>.</w:t>
      </w:r>
      <w:r>
        <w:rPr>
          <w:color w:val="231F20"/>
          <w:spacing w:val="-8"/>
          <w:sz w:val="21"/>
        </w:rPr>
        <w:t> </w:t>
      </w:r>
      <w:r>
        <w:rPr>
          <w:color w:val="231F20"/>
          <w:sz w:val="21"/>
        </w:rPr>
        <w:t>España:</w:t>
      </w:r>
      <w:r>
        <w:rPr>
          <w:color w:val="231F20"/>
          <w:spacing w:val="-8"/>
          <w:sz w:val="21"/>
        </w:rPr>
        <w:t> </w:t>
      </w:r>
      <w:r>
        <w:rPr>
          <w:color w:val="231F20"/>
          <w:sz w:val="21"/>
        </w:rPr>
        <w:t>Sarpe.</w:t>
      </w:r>
    </w:p>
    <w:p>
      <w:pPr>
        <w:spacing w:before="6"/>
        <w:ind w:left="103" w:right="50" w:firstLine="0"/>
        <w:jc w:val="left"/>
        <w:rPr>
          <w:i/>
          <w:sz w:val="21"/>
        </w:rPr>
      </w:pPr>
      <w:r>
        <w:rPr>
          <w:color w:val="231F20"/>
          <w:w w:val="95"/>
          <w:sz w:val="21"/>
        </w:rPr>
        <w:t>Lenin. (1980). </w:t>
      </w:r>
      <w:r>
        <w:rPr>
          <w:i/>
          <w:color w:val="231F20"/>
          <w:w w:val="95"/>
          <w:sz w:val="21"/>
        </w:rPr>
        <w:t>El Estado y la revolución</w:t>
      </w:r>
      <w:r>
        <w:rPr>
          <w:color w:val="231F20"/>
          <w:w w:val="95"/>
          <w:sz w:val="21"/>
        </w:rPr>
        <w:t>. En Lenin. </w:t>
      </w:r>
      <w:r>
        <w:rPr>
          <w:i/>
          <w:color w:val="231F20"/>
          <w:w w:val="95"/>
          <w:sz w:val="21"/>
        </w:rPr>
        <w:t>Obras escogidas.</w:t>
      </w:r>
    </w:p>
    <w:p>
      <w:pPr>
        <w:pStyle w:val="BodyText"/>
        <w:spacing w:before="3"/>
        <w:ind w:left="823" w:right="50"/>
      </w:pPr>
      <w:r>
        <w:rPr>
          <w:color w:val="231F20"/>
        </w:rPr>
        <w:t>Moscú: Editorial Progreso.</w:t>
      </w:r>
    </w:p>
    <w:p>
      <w:pPr>
        <w:pStyle w:val="BodyText"/>
        <w:spacing w:line="242" w:lineRule="auto" w:before="8"/>
        <w:ind w:left="823" w:right="136" w:hanging="720"/>
      </w:pPr>
      <w:r>
        <w:rPr>
          <w:color w:val="231F20"/>
        </w:rPr>
        <w:t>López-González, Teresa S. (2007). El carácter inestable del crédito y la intervención del Banco Central en el enfoque de Ralph</w:t>
      </w:r>
    </w:p>
    <w:p>
      <w:pPr>
        <w:pStyle w:val="ListParagraph"/>
        <w:numPr>
          <w:ilvl w:val="1"/>
          <w:numId w:val="2"/>
        </w:numPr>
        <w:tabs>
          <w:tab w:pos="1097" w:val="left" w:leader="none"/>
        </w:tabs>
        <w:spacing w:line="247" w:lineRule="auto" w:before="6" w:after="0"/>
        <w:ind w:left="823" w:right="251" w:firstLine="0"/>
        <w:jc w:val="left"/>
        <w:rPr>
          <w:color w:val="231F20"/>
          <w:sz w:val="21"/>
        </w:rPr>
      </w:pPr>
      <w:r>
        <w:rPr>
          <w:color w:val="231F20"/>
          <w:sz w:val="21"/>
        </w:rPr>
        <w:t>Hawtrey: lecciones de política monetoria para México. En María Guadalupe Mántey de Anguiano. </w:t>
      </w:r>
      <w:r>
        <w:rPr>
          <w:i/>
          <w:color w:val="231F20"/>
          <w:sz w:val="21"/>
        </w:rPr>
        <w:t>Políticas </w:t>
      </w:r>
      <w:r>
        <w:rPr>
          <w:i/>
          <w:color w:val="231F20"/>
          <w:sz w:val="21"/>
        </w:rPr>
        <w:t>macroeconómicas para países en desarrollo. </w:t>
      </w:r>
      <w:r>
        <w:rPr>
          <w:color w:val="231F20"/>
          <w:sz w:val="21"/>
        </w:rPr>
        <w:t>México: </w:t>
      </w:r>
      <w:r>
        <w:rPr>
          <w:color w:val="231F20"/>
          <w:spacing w:val="2"/>
          <w:w w:val="100"/>
          <w:sz w:val="21"/>
        </w:rPr>
        <w:t>U</w:t>
      </w:r>
      <w:r>
        <w:rPr>
          <w:color w:val="231F20"/>
          <w:spacing w:val="3"/>
          <w:w w:val="109"/>
          <w:sz w:val="21"/>
        </w:rPr>
        <w:t>N</w:t>
      </w:r>
      <w:r>
        <w:rPr>
          <w:color w:val="231F20"/>
          <w:spacing w:val="2"/>
          <w:w w:val="96"/>
          <w:sz w:val="21"/>
        </w:rPr>
        <w:t>A</w:t>
      </w:r>
      <w:r>
        <w:rPr>
          <w:color w:val="231F20"/>
          <w:spacing w:val="3"/>
          <w:w w:val="96"/>
          <w:sz w:val="21"/>
        </w:rPr>
        <w:t>M</w:t>
      </w:r>
      <w:r>
        <w:rPr>
          <w:color w:val="231F20"/>
          <w:spacing w:val="2"/>
          <w:w w:val="185"/>
          <w:sz w:val="21"/>
        </w:rPr>
        <w:t>/</w:t>
      </w:r>
      <w:r>
        <w:rPr>
          <w:color w:val="231F20"/>
          <w:spacing w:val="2"/>
          <w:w w:val="104"/>
          <w:sz w:val="21"/>
        </w:rPr>
        <w:t>P</w:t>
      </w:r>
      <w:r>
        <w:rPr>
          <w:color w:val="231F20"/>
          <w:spacing w:val="2"/>
          <w:w w:val="104"/>
          <w:sz w:val="21"/>
        </w:rPr>
        <w:t>o</w:t>
      </w:r>
      <w:r>
        <w:rPr>
          <w:color w:val="231F20"/>
          <w:spacing w:val="1"/>
          <w:w w:val="103"/>
          <w:sz w:val="21"/>
        </w:rPr>
        <w:t>rr</w:t>
      </w:r>
      <w:r>
        <w:rPr>
          <w:color w:val="231F20"/>
          <w:spacing w:val="1"/>
          <w:w w:val="100"/>
          <w:sz w:val="21"/>
        </w:rPr>
        <w:t>ú</w:t>
      </w:r>
      <w:r>
        <w:rPr>
          <w:color w:val="231F20"/>
          <w:spacing w:val="1"/>
          <w:w w:val="94"/>
          <w:sz w:val="21"/>
        </w:rPr>
        <w:t>a</w:t>
      </w:r>
      <w:r>
        <w:rPr>
          <w:color w:val="231F20"/>
          <w:w w:val="89"/>
          <w:sz w:val="21"/>
        </w:rPr>
        <w:t>.</w:t>
      </w:r>
    </w:p>
    <w:p>
      <w:pPr>
        <w:pStyle w:val="BodyText"/>
        <w:spacing w:line="247" w:lineRule="auto"/>
        <w:ind w:left="104" w:right="331" w:hanging="1"/>
      </w:pPr>
      <w:r>
        <w:rPr>
          <w:color w:val="231F20"/>
        </w:rPr>
        <w:t>Lorenz,</w:t>
      </w:r>
      <w:r>
        <w:rPr>
          <w:color w:val="231F20"/>
          <w:spacing w:val="-31"/>
        </w:rPr>
        <w:t> </w:t>
      </w:r>
      <w:r>
        <w:rPr>
          <w:color w:val="231F20"/>
        </w:rPr>
        <w:t>Konrad.</w:t>
      </w:r>
      <w:r>
        <w:rPr>
          <w:color w:val="231F20"/>
          <w:spacing w:val="-30"/>
        </w:rPr>
        <w:t> </w:t>
      </w:r>
      <w:r>
        <w:rPr>
          <w:color w:val="231F20"/>
        </w:rPr>
        <w:t>(2003).</w:t>
      </w:r>
      <w:r>
        <w:rPr>
          <w:color w:val="231F20"/>
          <w:spacing w:val="-31"/>
        </w:rPr>
        <w:t> </w:t>
      </w:r>
      <w:r>
        <w:rPr>
          <w:i/>
          <w:color w:val="231F20"/>
        </w:rPr>
        <w:t>Sobre</w:t>
      </w:r>
      <w:r>
        <w:rPr>
          <w:i/>
          <w:color w:val="231F20"/>
          <w:spacing w:val="-31"/>
        </w:rPr>
        <w:t> </w:t>
      </w:r>
      <w:r>
        <w:rPr>
          <w:i/>
          <w:color w:val="231F20"/>
        </w:rPr>
        <w:t>la</w:t>
      </w:r>
      <w:r>
        <w:rPr>
          <w:i/>
          <w:color w:val="231F20"/>
          <w:spacing w:val="-31"/>
        </w:rPr>
        <w:t> </w:t>
      </w:r>
      <w:r>
        <w:rPr>
          <w:i/>
          <w:color w:val="231F20"/>
        </w:rPr>
        <w:t>agresión.</w:t>
      </w:r>
      <w:r>
        <w:rPr>
          <w:i/>
          <w:color w:val="231F20"/>
          <w:spacing w:val="-30"/>
        </w:rPr>
        <w:t> </w:t>
      </w:r>
      <w:r>
        <w:rPr>
          <w:color w:val="231F20"/>
        </w:rPr>
        <w:t>México.</w:t>
      </w:r>
      <w:r>
        <w:rPr>
          <w:color w:val="231F20"/>
          <w:spacing w:val="-31"/>
        </w:rPr>
        <w:t> </w:t>
      </w:r>
      <w:r>
        <w:rPr>
          <w:color w:val="231F20"/>
        </w:rPr>
        <w:t>Siglo</w:t>
      </w:r>
      <w:r>
        <w:rPr>
          <w:color w:val="231F20"/>
          <w:spacing w:val="-30"/>
        </w:rPr>
        <w:t> </w:t>
      </w:r>
      <w:r>
        <w:rPr>
          <w:color w:val="231F20"/>
        </w:rPr>
        <w:t>XXI. Mántey de Anguiano, María Guadalupe y</w:t>
      </w:r>
      <w:r>
        <w:rPr>
          <w:color w:val="231F20"/>
          <w:spacing w:val="-13"/>
        </w:rPr>
        <w:t> </w:t>
      </w:r>
      <w:r>
        <w:rPr>
          <w:color w:val="231F20"/>
        </w:rPr>
        <w:t>Ornah-Levy-Orlik,</w:t>
      </w:r>
    </w:p>
    <w:p>
      <w:pPr>
        <w:pStyle w:val="BodyText"/>
        <w:spacing w:line="247" w:lineRule="auto"/>
        <w:ind w:left="822" w:right="50" w:firstLine="1"/>
      </w:pPr>
      <w:r>
        <w:rPr>
          <w:color w:val="231F20"/>
        </w:rPr>
        <w:t>Noemí . (2007). Banco Central en el enfoque de Ralph G Hawtrey: lecciones de política monetaria para México.</w:t>
      </w:r>
    </w:p>
    <w:p>
      <w:pPr>
        <w:spacing w:after="0" w:line="247" w:lineRule="auto"/>
        <w:sectPr>
          <w:headerReference w:type="default" r:id="rId136"/>
          <w:footerReference w:type="default" r:id="rId137"/>
          <w:pgSz w:w="7830" w:h="11910"/>
          <w:pgMar w:header="0" w:footer="424" w:top="500" w:bottom="620" w:left="920" w:right="940"/>
          <w:pgNumType w:start="62"/>
        </w:sectPr>
      </w:pPr>
    </w:p>
    <w:p>
      <w:pPr>
        <w:spacing w:before="43"/>
        <w:ind w:left="1463" w:right="50" w:firstLine="0"/>
        <w:jc w:val="left"/>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spacing w:before="7"/>
        <w:rPr>
          <w:rFonts w:ascii="Cambria"/>
        </w:rPr>
      </w:pPr>
    </w:p>
    <w:p>
      <w:pPr>
        <w:spacing w:line="242" w:lineRule="auto" w:before="1"/>
        <w:ind w:left="822" w:right="597" w:firstLine="0"/>
        <w:jc w:val="left"/>
        <w:rPr>
          <w:rFonts w:ascii="Cambria" w:hAnsi="Cambria"/>
          <w:sz w:val="21"/>
        </w:rPr>
      </w:pPr>
      <w:r>
        <w:rPr>
          <w:i/>
          <w:color w:val="231F20"/>
          <w:w w:val="85"/>
          <w:sz w:val="21"/>
        </w:rPr>
        <w:t>Políticas macroeconómicas para países en desarrollo. </w:t>
      </w:r>
      <w:r>
        <w:rPr>
          <w:rFonts w:ascii="Cambria" w:hAnsi="Cambria"/>
          <w:color w:val="231F20"/>
          <w:w w:val="85"/>
          <w:sz w:val="21"/>
        </w:rPr>
        <w:t>México: </w:t>
      </w:r>
      <w:r>
        <w:rPr>
          <w:rFonts w:ascii="Cambria" w:hAnsi="Cambria"/>
          <w:color w:val="231F20"/>
          <w:sz w:val="21"/>
        </w:rPr>
        <w:t>UNAM/FES  Acatlán/Porrúa.</w:t>
      </w:r>
    </w:p>
    <w:p>
      <w:pPr>
        <w:spacing w:line="242" w:lineRule="auto" w:before="0"/>
        <w:ind w:left="822" w:right="50" w:hanging="721"/>
        <w:jc w:val="left"/>
        <w:rPr>
          <w:rFonts w:ascii="Cambria" w:hAnsi="Cambria"/>
          <w:sz w:val="21"/>
        </w:rPr>
      </w:pPr>
      <w:r>
        <w:rPr>
          <w:rFonts w:ascii="Cambria" w:hAnsi="Cambria"/>
          <w:color w:val="231F20"/>
          <w:w w:val="95"/>
          <w:sz w:val="21"/>
        </w:rPr>
        <w:t>Maquiavelo, Nicolás. (1971). </w:t>
      </w:r>
      <w:r>
        <w:rPr>
          <w:i/>
          <w:color w:val="231F20"/>
          <w:w w:val="95"/>
          <w:sz w:val="21"/>
        </w:rPr>
        <w:t>El Príncipe. Comentado por Napoleón </w:t>
      </w:r>
      <w:r>
        <w:rPr>
          <w:i/>
          <w:color w:val="231F20"/>
          <w:w w:val="85"/>
          <w:sz w:val="21"/>
        </w:rPr>
        <w:t>Bonaparte, seguido del Anti Maquiavelo de Federico II, corregido por </w:t>
      </w:r>
      <w:r>
        <w:rPr>
          <w:i/>
          <w:color w:val="231F20"/>
          <w:w w:val="95"/>
          <w:sz w:val="21"/>
        </w:rPr>
        <w:t>Voltaire. </w:t>
      </w:r>
      <w:r>
        <w:rPr>
          <w:rFonts w:ascii="Cambria" w:hAnsi="Cambria"/>
          <w:color w:val="231F20"/>
          <w:w w:val="95"/>
          <w:sz w:val="21"/>
        </w:rPr>
        <w:t>Madrid: Imprenta Sáez-Hierbabuena.</w:t>
      </w:r>
    </w:p>
    <w:p>
      <w:pPr>
        <w:spacing w:before="1"/>
        <w:ind w:left="102" w:right="50" w:firstLine="0"/>
        <w:jc w:val="left"/>
        <w:rPr>
          <w:rFonts w:ascii="Cambria" w:hAnsi="Cambria"/>
          <w:sz w:val="21"/>
        </w:rPr>
      </w:pPr>
      <w:r>
        <w:rPr>
          <w:i/>
          <w:color w:val="231F20"/>
          <w:w w:val="90"/>
          <w:sz w:val="21"/>
        </w:rPr>
        <w:t>Observatorio Ciudadano de la Educación . </w:t>
      </w:r>
      <w:r>
        <w:rPr>
          <w:rFonts w:ascii="Cambria" w:hAnsi="Cambria"/>
          <w:color w:val="231F20"/>
          <w:w w:val="90"/>
          <w:sz w:val="21"/>
        </w:rPr>
        <w:t>(25 de junio de 1999).</w:t>
      </w:r>
    </w:p>
    <w:p>
      <w:pPr>
        <w:pStyle w:val="BodyText"/>
        <w:spacing w:before="3"/>
        <w:ind w:left="822" w:right="50"/>
        <w:rPr>
          <w:rFonts w:ascii="Cambria"/>
        </w:rPr>
      </w:pPr>
      <w:r>
        <w:rPr>
          <w:rFonts w:ascii="Cambria"/>
          <w:color w:val="231F20"/>
        </w:rPr>
        <w:t>Obtenido de </w:t>
      </w:r>
      <w:hyperlink r:id="rId140">
        <w:r>
          <w:rPr>
            <w:rFonts w:ascii="Cambria"/>
            <w:color w:val="231F20"/>
            <w:w w:val="95"/>
          </w:rPr>
          <w:t>http://observatorio.org/comunicados/comun011_2.html</w:t>
        </w:r>
      </w:hyperlink>
    </w:p>
    <w:p>
      <w:pPr>
        <w:pStyle w:val="BodyText"/>
        <w:spacing w:before="3"/>
        <w:ind w:left="822" w:right="132" w:hanging="720"/>
        <w:rPr>
          <w:rFonts w:ascii="Cambria" w:hAnsi="Cambria"/>
        </w:rPr>
      </w:pPr>
      <w:r>
        <w:rPr>
          <w:rFonts w:ascii="Cambria" w:hAnsi="Cambria"/>
          <w:color w:val="231F20"/>
          <w:w w:val="95"/>
        </w:rPr>
        <w:t>Pérez Tamayo, Ruy (2005). “Reflexiones sobre el sistema nacional </w:t>
      </w:r>
      <w:r>
        <w:rPr>
          <w:rFonts w:ascii="Cambria" w:hAnsi="Cambria"/>
          <w:color w:val="231F20"/>
        </w:rPr>
        <w:t>de investigadores”, en Una reflexión sobre el Sistema </w:t>
      </w:r>
      <w:r>
        <w:rPr>
          <w:rFonts w:ascii="Cambria" w:hAnsi="Cambria"/>
          <w:color w:val="231F20"/>
          <w:w w:val="95"/>
        </w:rPr>
        <w:t>Nacional de Investigadores a 20 años de su creación.</w:t>
      </w:r>
    </w:p>
    <w:p>
      <w:pPr>
        <w:pStyle w:val="BodyText"/>
        <w:spacing w:line="242" w:lineRule="auto"/>
        <w:ind w:left="822" w:right="50"/>
        <w:rPr>
          <w:rFonts w:ascii="Cambria" w:hAnsi="Cambria"/>
        </w:rPr>
      </w:pPr>
      <w:r>
        <w:rPr>
          <w:rFonts w:ascii="Cambria" w:hAnsi="Cambria"/>
          <w:color w:val="231F20"/>
        </w:rPr>
        <w:t>México, El Foro Consultivo Científico y Tecnológico y la </w:t>
      </w:r>
      <w:r>
        <w:rPr>
          <w:rFonts w:ascii="Cambria" w:hAnsi="Cambria"/>
          <w:color w:val="231F20"/>
          <w:w w:val="95"/>
        </w:rPr>
        <w:t>Academia Mexicana de Ciencias.</w:t>
      </w:r>
    </w:p>
    <w:p>
      <w:pPr>
        <w:pStyle w:val="BodyText"/>
        <w:spacing w:line="242" w:lineRule="auto"/>
        <w:ind w:left="822" w:right="50" w:hanging="721"/>
        <w:rPr>
          <w:rFonts w:ascii="Cambria" w:hAnsi="Cambria"/>
        </w:rPr>
      </w:pPr>
      <w:r>
        <w:rPr>
          <w:rFonts w:ascii="Cambria" w:hAnsi="Cambria"/>
          <w:color w:val="231F20"/>
        </w:rPr>
        <w:t>Timbergen,</w:t>
      </w:r>
      <w:r>
        <w:rPr>
          <w:rFonts w:ascii="Cambria" w:hAnsi="Cambria"/>
          <w:color w:val="231F20"/>
          <w:spacing w:val="-27"/>
        </w:rPr>
        <w:t> </w:t>
      </w:r>
      <w:r>
        <w:rPr>
          <w:rFonts w:ascii="Cambria" w:hAnsi="Cambria"/>
          <w:color w:val="231F20"/>
        </w:rPr>
        <w:t>Nikolaas.</w:t>
      </w:r>
      <w:r>
        <w:rPr>
          <w:rFonts w:ascii="Cambria" w:hAnsi="Cambria"/>
          <w:color w:val="231F20"/>
          <w:spacing w:val="-27"/>
        </w:rPr>
        <w:t> </w:t>
      </w:r>
      <w:r>
        <w:rPr>
          <w:rFonts w:ascii="Cambria" w:hAnsi="Cambria"/>
          <w:color w:val="231F20"/>
        </w:rPr>
        <w:t>(1989).</w:t>
      </w:r>
      <w:r>
        <w:rPr>
          <w:rFonts w:ascii="Cambria" w:hAnsi="Cambria"/>
          <w:color w:val="231F20"/>
          <w:spacing w:val="-26"/>
        </w:rPr>
        <w:t> </w:t>
      </w:r>
      <w:r>
        <w:rPr>
          <w:rFonts w:ascii="Cambria" w:hAnsi="Cambria"/>
          <w:color w:val="231F20"/>
        </w:rPr>
        <w:t>El</w:t>
      </w:r>
      <w:r>
        <w:rPr>
          <w:rFonts w:ascii="Cambria" w:hAnsi="Cambria"/>
          <w:color w:val="231F20"/>
          <w:spacing w:val="-27"/>
        </w:rPr>
        <w:t> </w:t>
      </w:r>
      <w:r>
        <w:rPr>
          <w:rFonts w:ascii="Cambria" w:hAnsi="Cambria"/>
          <w:color w:val="231F20"/>
        </w:rPr>
        <w:t>estudio</w:t>
      </w:r>
      <w:r>
        <w:rPr>
          <w:rFonts w:ascii="Cambria" w:hAnsi="Cambria"/>
          <w:color w:val="231F20"/>
          <w:spacing w:val="-26"/>
        </w:rPr>
        <w:t> </w:t>
      </w:r>
      <w:r>
        <w:rPr>
          <w:rFonts w:ascii="Cambria" w:hAnsi="Cambria"/>
          <w:color w:val="231F20"/>
        </w:rPr>
        <w:t>del</w:t>
      </w:r>
      <w:r>
        <w:rPr>
          <w:rFonts w:ascii="Cambria" w:hAnsi="Cambria"/>
          <w:color w:val="231F20"/>
          <w:spacing w:val="-27"/>
        </w:rPr>
        <w:t> </w:t>
      </w:r>
      <w:r>
        <w:rPr>
          <w:rFonts w:ascii="Cambria" w:hAnsi="Cambria"/>
          <w:color w:val="231F20"/>
        </w:rPr>
        <w:t>instinto.</w:t>
      </w:r>
      <w:r>
        <w:rPr>
          <w:rFonts w:ascii="Cambria" w:hAnsi="Cambria"/>
          <w:color w:val="231F20"/>
          <w:spacing w:val="-26"/>
        </w:rPr>
        <w:t> </w:t>
      </w:r>
      <w:r>
        <w:rPr>
          <w:rFonts w:ascii="Cambria" w:hAnsi="Cambria"/>
          <w:color w:val="231F20"/>
        </w:rPr>
        <w:t>México.</w:t>
      </w:r>
      <w:r>
        <w:rPr>
          <w:rFonts w:ascii="Cambria" w:hAnsi="Cambria"/>
          <w:color w:val="231F20"/>
          <w:spacing w:val="-27"/>
        </w:rPr>
        <w:t> </w:t>
      </w:r>
      <w:r>
        <w:rPr>
          <w:rFonts w:ascii="Cambria" w:hAnsi="Cambria"/>
          <w:color w:val="231F20"/>
        </w:rPr>
        <w:t>Siglo XXI.</w:t>
      </w:r>
    </w:p>
    <w:p>
      <w:pPr>
        <w:spacing w:line="240" w:lineRule="auto" w:before="1"/>
        <w:ind w:left="822" w:right="50" w:hanging="720"/>
        <w:jc w:val="left"/>
        <w:rPr>
          <w:rFonts w:ascii="Cambria" w:hAnsi="Cambria"/>
          <w:sz w:val="21"/>
        </w:rPr>
      </w:pPr>
      <w:r>
        <w:rPr>
          <w:rFonts w:ascii="Cambria" w:hAnsi="Cambria"/>
          <w:color w:val="231F20"/>
          <w:w w:val="95"/>
          <w:sz w:val="21"/>
        </w:rPr>
        <w:t>Valdivia, Luis Miguel (1987). Problemática en México y América Latina. </w:t>
      </w:r>
      <w:r>
        <w:rPr>
          <w:i/>
          <w:color w:val="231F20"/>
          <w:w w:val="95"/>
          <w:sz w:val="21"/>
        </w:rPr>
        <w:t>Políticas Estatales en Materia Educativa. </w:t>
      </w:r>
      <w:r>
        <w:rPr>
          <w:rFonts w:ascii="Cambria" w:hAnsi="Cambria"/>
          <w:color w:val="231F20"/>
          <w:w w:val="95"/>
          <w:sz w:val="21"/>
        </w:rPr>
        <w:t>México: </w:t>
      </w:r>
      <w:r>
        <w:rPr>
          <w:rFonts w:ascii="Cambria" w:hAnsi="Cambria"/>
          <w:color w:val="231F20"/>
          <w:sz w:val="21"/>
        </w:rPr>
        <w:t>SENTE.</w:t>
      </w:r>
    </w:p>
    <w:p>
      <w:pPr>
        <w:spacing w:after="0" w:line="240" w:lineRule="auto"/>
        <w:jc w:val="left"/>
        <w:rPr>
          <w:rFonts w:ascii="Cambria" w:hAnsi="Cambria"/>
          <w:sz w:val="21"/>
        </w:rPr>
        <w:sectPr>
          <w:headerReference w:type="default" r:id="rId138"/>
          <w:footerReference w:type="default" r:id="rId139"/>
          <w:pgSz w:w="7830" w:h="11910"/>
          <w:pgMar w:header="0" w:footer="424" w:top="500" w:bottom="620" w:left="920" w:right="940"/>
          <w:pgNumType w:start="63"/>
        </w:sectPr>
      </w:pPr>
    </w:p>
    <w:p>
      <w:pPr>
        <w:pStyle w:val="BodyText"/>
        <w:rPr>
          <w:sz w:val="20"/>
        </w:rPr>
      </w:pPr>
      <w:r>
        <w:rPr/>
        <w:pict>
          <v:shape style="position:absolute;margin-left:0pt;margin-top:431.243011pt;width:227.4pt;height:27.05pt;mso-position-horizontal-relative:page;mso-position-vertical-relative:page;z-index:-483880" type="#_x0000_t202" filled="false" stroked="false">
            <v:textbox inset="0,0,0,0">
              <w:txbxContent>
                <w:p>
                  <w:pPr>
                    <w:pStyle w:val="BodyText"/>
                    <w:spacing w:before="1"/>
                    <w:rPr>
                      <w:sz w:val="15"/>
                    </w:rPr>
                  </w:pPr>
                </w:p>
                <w:p>
                  <w:pPr>
                    <w:spacing w:before="1"/>
                    <w:ind w:left="1931" w:right="2397" w:firstLine="0"/>
                    <w:jc w:val="center"/>
                    <w:rPr>
                      <w:sz w:val="17"/>
                    </w:rPr>
                  </w:pPr>
                  <w:r>
                    <w:rPr>
                      <w:color w:val="231F20"/>
                      <w:w w:val="105"/>
                      <w:sz w:val="17"/>
                    </w:rPr>
                    <w:t>64</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p>
    <w:p>
      <w:pPr>
        <w:pStyle w:val="BodyText"/>
        <w:rPr>
          <w:sz w:val="20"/>
        </w:rPr>
      </w:pPr>
      <w:r>
        <w:rPr>
          <w:sz w:val="20"/>
        </w:rPr>
        <w:pict>
          <v:group style="width:227.4pt;height:27.05pt;mso-position-horizontal-relative:char;mso-position-vertical-relative:line" coordorigin="0,0" coordsize="4548,541">
            <v:rect style="position:absolute;left:0;top:0;width:4547;height:541" filled="true" fillcolor="#ffffff" stroked="false">
              <v:fill type="solid"/>
            </v:rect>
          </v:group>
        </w:pict>
      </w:r>
      <w:r>
        <w:rPr>
          <w:sz w:val="20"/>
        </w:rPr>
      </w:r>
    </w:p>
    <w:p>
      <w:pPr>
        <w:spacing w:after="0"/>
        <w:rPr>
          <w:sz w:val="20"/>
        </w:rPr>
        <w:sectPr>
          <w:headerReference w:type="default" r:id="rId141"/>
          <w:footerReference w:type="default" r:id="rId142"/>
          <w:pgSz w:w="7830" w:h="11910"/>
          <w:pgMar w:header="0" w:footer="0" w:top="1100" w:bottom="280" w:left="0" w:right="1060"/>
        </w:sectPr>
      </w:pPr>
    </w:p>
    <w:p>
      <w:pPr>
        <w:pStyle w:val="BodyText"/>
        <w:ind w:left="100"/>
        <w:rPr>
          <w:sz w:val="20"/>
        </w:rPr>
      </w:pPr>
      <w:r>
        <w:rPr>
          <w:sz w:val="20"/>
        </w:rPr>
        <w:pict>
          <v:group style="width:279pt;height:23.6pt;mso-position-horizontal-relative:char;mso-position-vertical-relative:line" coordorigin="0,0" coordsize="5580,472">
            <v:rect style="position:absolute;left:0;top:0;width:5580;height:472" filled="true" fillcolor="#ffffff" stroked="false">
              <v:fill type="solid"/>
            </v:rect>
          </v:group>
        </w:pict>
      </w:r>
      <w:r>
        <w:rPr>
          <w:sz w:val="20"/>
        </w:rPr>
      </w:r>
    </w:p>
    <w:p>
      <w:pPr>
        <w:pStyle w:val="BodyText"/>
        <w:spacing w:before="5"/>
      </w:pPr>
    </w:p>
    <w:p>
      <w:pPr>
        <w:pStyle w:val="Heading2"/>
        <w:spacing w:line="285" w:lineRule="auto" w:before="56"/>
        <w:ind w:left="282" w:right="362" w:hanging="1"/>
      </w:pPr>
      <w:r>
        <w:rPr/>
        <w:pict>
          <v:shape style="position:absolute;margin-left:42.041pt;margin-top:-37.881493pt;width:279pt;height:23.6pt;mso-position-horizontal-relative:page;mso-position-vertical-relative:paragraph;z-index:-483808" type="#_x0000_t202" filled="false" stroked="false">
            <v:textbox inset="0,0,0,0">
              <w:txbxContent>
                <w:p>
                  <w:pPr>
                    <w:pStyle w:val="BodyText"/>
                    <w:spacing w:before="7"/>
                    <w:rPr>
                      <w:sz w:val="16"/>
                    </w:rPr>
                  </w:pPr>
                </w:p>
                <w:p>
                  <w:pPr>
                    <w:spacing w:before="0"/>
                    <w:ind w:left="1542" w:right="0" w:firstLine="0"/>
                    <w:jc w:val="left"/>
                    <w:rPr>
                      <w:sz w:val="13"/>
                    </w:rPr>
                  </w:pPr>
                  <w:r>
                    <w:rPr>
                      <w:color w:val="231F20"/>
                      <w:sz w:val="16"/>
                    </w:rPr>
                    <w:t>E</w:t>
                  </w:r>
                  <w:r>
                    <w:rPr>
                      <w:color w:val="231F20"/>
                      <w:sz w:val="13"/>
                    </w:rPr>
                    <w:t>STUDIOS SOBRE VIOLENCIA EN LA EDUCACIÓN</w:t>
                  </w:r>
                </w:p>
              </w:txbxContent>
            </v:textbox>
            <w10:wrap type="none"/>
          </v:shape>
        </w:pict>
      </w:r>
      <w:bookmarkStart w:name="_TOC_250001" w:id="1"/>
      <w:r>
        <w:rPr>
          <w:rFonts w:ascii="Georgia" w:hAnsi="Georgia"/>
          <w:color w:val="231F20"/>
          <w:sz w:val="28"/>
        </w:rPr>
        <w:t>E</w:t>
      </w:r>
      <w:r>
        <w:rPr>
          <w:color w:val="231F20"/>
        </w:rPr>
        <w:t>L DISCUR</w:t>
      </w:r>
      <w:r>
        <w:rPr>
          <w:rFonts w:ascii="Trebuchet MS" w:hAnsi="Trebuchet MS"/>
          <w:color w:val="231F20"/>
        </w:rPr>
        <w:t>S</w:t>
      </w:r>
      <w:r>
        <w:rPr>
          <w:rFonts w:ascii="Arial" w:hAnsi="Arial"/>
          <w:color w:val="231F20"/>
        </w:rPr>
        <w:t>O </w:t>
      </w:r>
      <w:bookmarkEnd w:id="1"/>
      <w:r>
        <w:rPr>
          <w:color w:val="231F20"/>
        </w:rPr>
        <w:t>DE LAS POLÍTICAS EDUCATIVAS DE LA TEORÍA A LA  IDEOLOGÍA</w:t>
      </w:r>
    </w:p>
    <w:p>
      <w:pPr>
        <w:pStyle w:val="BodyText"/>
        <w:spacing w:before="2"/>
        <w:rPr>
          <w:b/>
          <w:sz w:val="25"/>
        </w:rPr>
      </w:pPr>
    </w:p>
    <w:p>
      <w:pPr>
        <w:pStyle w:val="BodyText"/>
        <w:ind w:left="282"/>
        <w:jc w:val="both"/>
        <w:rPr>
          <w:rFonts w:ascii="Symbol" w:hAnsi="Symbol"/>
          <w:sz w:val="17"/>
        </w:rPr>
      </w:pPr>
      <w:r>
        <w:rPr>
          <w:color w:val="231F20"/>
          <w:w w:val="95"/>
        </w:rPr>
        <w:t>Maximiliano  Valle-Cruz</w:t>
      </w:r>
      <w:r>
        <w:rPr>
          <w:rFonts w:ascii="Symbol" w:hAnsi="Symbol"/>
          <w:color w:val="231F20"/>
          <w:w w:val="95"/>
          <w:sz w:val="17"/>
        </w:rPr>
        <w:t></w:t>
      </w:r>
    </w:p>
    <w:p>
      <w:pPr>
        <w:pStyle w:val="BodyText"/>
        <w:rPr>
          <w:rFonts w:ascii="Symbol" w:hAnsi="Symbol"/>
          <w:sz w:val="22"/>
        </w:rPr>
      </w:pPr>
    </w:p>
    <w:p>
      <w:pPr>
        <w:pStyle w:val="BodyText"/>
        <w:rPr>
          <w:rFonts w:ascii="Symbol" w:hAnsi="Symbol"/>
          <w:sz w:val="17"/>
        </w:rPr>
      </w:pPr>
    </w:p>
    <w:p>
      <w:pPr>
        <w:pStyle w:val="BodyText"/>
        <w:ind w:left="282"/>
        <w:jc w:val="both"/>
      </w:pPr>
      <w:r>
        <w:rPr>
          <w:color w:val="231F20"/>
        </w:rPr>
        <w:t>Resumen</w:t>
      </w:r>
    </w:p>
    <w:p>
      <w:pPr>
        <w:pStyle w:val="BodyText"/>
        <w:spacing w:line="247" w:lineRule="auto" w:before="3"/>
        <w:ind w:left="282" w:right="115"/>
        <w:jc w:val="both"/>
      </w:pPr>
      <w:r>
        <w:rPr>
          <w:color w:val="231F20"/>
        </w:rPr>
        <w:t>Para examinar la violencia en las instituciones de educación supe- rior, el trabajo sostiene que siendo la violencia expresión fenoméni- ca de relaciones sociales contradictorias, que implican el ejercicio  del poder, es necesario reconstruir los conceptos de ideología en términos de las funciones de alienación, , para poder comprender la violencia como expresión de relaciones  sociales  deformadas  –ya que en torno a esta existen diversas teorías–, y para discutir el con- cepto de políticas educativas en términos de un discurso legitiman- te, especializado, cuya pretensión es el dominio, donde los discur- sos teóricos se convierten en un discurso del poder: en una ideolo- gía. A partir de estos referentes se analizan las políticas educativas neoliberales y el tipo de violencia que promueven mediante el des- pliegue de una ideología, en la forma de un lenguaje particular </w:t>
      </w:r>
      <w:r>
        <w:rPr>
          <w:color w:val="231F20"/>
          <w:spacing w:val="2"/>
        </w:rPr>
        <w:t>que </w:t>
      </w:r>
      <w:r>
        <w:rPr>
          <w:color w:val="231F20"/>
        </w:rPr>
        <w:t>pretende imponer una única forma de comprender e interpretar la realidad educativa donde se reestructuran las relaciones de dominio con nuevas formas de regulación y control social sobre los sujetos  de las instituciones</w:t>
      </w:r>
      <w:r>
        <w:rPr>
          <w:color w:val="231F20"/>
          <w:spacing w:val="-31"/>
        </w:rPr>
        <w:t> </w:t>
      </w:r>
      <w:r>
        <w:rPr>
          <w:color w:val="231F20"/>
        </w:rPr>
        <w:t>educativas.</w:t>
      </w:r>
    </w:p>
    <w:p>
      <w:pPr>
        <w:pStyle w:val="BodyText"/>
        <w:spacing w:before="4"/>
      </w:pPr>
    </w:p>
    <w:p>
      <w:pPr>
        <w:pStyle w:val="BodyText"/>
        <w:spacing w:line="247" w:lineRule="auto"/>
        <w:ind w:left="282" w:right="56"/>
      </w:pPr>
      <w:r>
        <w:rPr>
          <w:color w:val="231F20"/>
        </w:rPr>
        <w:t>Palabras clave: Teorías de la violencia, ideología, discurso legitiman- te, dominación, política educativa</w:t>
      </w:r>
    </w:p>
    <w:p>
      <w:pPr>
        <w:pStyle w:val="BodyText"/>
        <w:spacing w:line="494" w:lineRule="exact" w:before="47"/>
        <w:ind w:left="282" w:right="362"/>
      </w:pPr>
      <w:r>
        <w:rPr>
          <w:color w:val="231F20"/>
        </w:rPr>
        <w:t>The discourse of educational policy: from theory to ideology Abstract</w:t>
      </w:r>
    </w:p>
    <w:p>
      <w:pPr>
        <w:pStyle w:val="BodyText"/>
        <w:spacing w:line="196" w:lineRule="exact"/>
        <w:ind w:left="282"/>
        <w:jc w:val="both"/>
      </w:pPr>
      <w:r>
        <w:rPr>
          <w:color w:val="231F20"/>
        </w:rPr>
        <w:t>The paper argues, to discuss violence in institutions of higher    edu-</w:t>
      </w:r>
    </w:p>
    <w:p>
      <w:pPr>
        <w:pStyle w:val="BodyText"/>
        <w:spacing w:line="247" w:lineRule="auto" w:before="3"/>
        <w:ind w:left="282" w:right="56"/>
      </w:pPr>
      <w:r>
        <w:rPr>
          <w:color w:val="231F20"/>
        </w:rPr>
        <w:t>cation, that violence being phenomenal expression of contradictory social relations involving the exercise of power, it is necessary to</w:t>
      </w:r>
    </w:p>
    <w:p>
      <w:pPr>
        <w:pStyle w:val="BodyText"/>
        <w:spacing w:before="6"/>
        <w:rPr>
          <w:sz w:val="11"/>
        </w:rPr>
      </w:pPr>
      <w:r>
        <w:rPr/>
        <w:pict>
          <v:line style="position:absolute;mso-position-horizontal-relative:page;mso-position-vertical-relative:paragraph;z-index:1432;mso-wrap-distance-left:0;mso-wrap-distance-right:0" from="51.110001pt,8.870819pt" to="195.110001pt,8.870819pt" stroked="true" strokeweight=".48pt" strokecolor="#231f20">
            <w10:wrap type="topAndBottom"/>
          </v:line>
        </w:pict>
      </w:r>
    </w:p>
    <w:p>
      <w:pPr>
        <w:spacing w:before="85"/>
        <w:ind w:left="282" w:right="0" w:firstLine="0"/>
        <w:jc w:val="both"/>
        <w:rPr>
          <w:sz w:val="14"/>
        </w:rPr>
      </w:pPr>
      <w:r>
        <w:rPr>
          <w:rFonts w:ascii="Symbol" w:hAnsi="Symbol"/>
          <w:color w:val="231F20"/>
          <w:position w:val="-4"/>
          <w:sz w:val="17"/>
        </w:rPr>
        <w:t></w:t>
      </w:r>
      <w:r>
        <w:rPr>
          <w:color w:val="231F20"/>
          <w:sz w:val="14"/>
        </w:rPr>
        <w:t>Maximiliano Valle-Cruz es sociólogo egresado de la UNAM y profesor-investigador adscrito al Cuerpo</w:t>
      </w:r>
    </w:p>
    <w:p>
      <w:pPr>
        <w:spacing w:line="369" w:lineRule="auto" w:before="31"/>
        <w:ind w:left="282" w:right="115" w:firstLine="0"/>
        <w:jc w:val="both"/>
        <w:rPr>
          <w:sz w:val="14"/>
        </w:rPr>
      </w:pPr>
      <w:r>
        <w:rPr>
          <w:color w:val="231F20"/>
          <w:sz w:val="14"/>
        </w:rPr>
        <w:t>Académico</w:t>
      </w:r>
      <w:r>
        <w:rPr>
          <w:color w:val="231F20"/>
          <w:spacing w:val="-15"/>
          <w:sz w:val="14"/>
        </w:rPr>
        <w:t> </w:t>
      </w:r>
      <w:r>
        <w:rPr>
          <w:color w:val="231F20"/>
          <w:sz w:val="14"/>
        </w:rPr>
        <w:t>de</w:t>
      </w:r>
      <w:r>
        <w:rPr>
          <w:color w:val="231F20"/>
          <w:spacing w:val="-15"/>
          <w:sz w:val="14"/>
        </w:rPr>
        <w:t> </w:t>
      </w:r>
      <w:r>
        <w:rPr>
          <w:color w:val="231F20"/>
          <w:sz w:val="14"/>
        </w:rPr>
        <w:t>Educación</w:t>
      </w:r>
      <w:r>
        <w:rPr>
          <w:color w:val="231F20"/>
          <w:spacing w:val="-15"/>
          <w:sz w:val="14"/>
        </w:rPr>
        <w:t> </w:t>
      </w:r>
      <w:r>
        <w:rPr>
          <w:color w:val="231F20"/>
          <w:sz w:val="14"/>
        </w:rPr>
        <w:t>y</w:t>
      </w:r>
      <w:r>
        <w:rPr>
          <w:color w:val="231F20"/>
          <w:spacing w:val="-15"/>
          <w:sz w:val="14"/>
        </w:rPr>
        <w:t> </w:t>
      </w:r>
      <w:r>
        <w:rPr>
          <w:color w:val="231F20"/>
          <w:sz w:val="14"/>
        </w:rPr>
        <w:t>Políticas</w:t>
      </w:r>
      <w:r>
        <w:rPr>
          <w:color w:val="231F20"/>
          <w:spacing w:val="-15"/>
          <w:sz w:val="14"/>
        </w:rPr>
        <w:t> </w:t>
      </w:r>
      <w:r>
        <w:rPr>
          <w:color w:val="231F20"/>
          <w:sz w:val="14"/>
        </w:rPr>
        <w:t>Educativas</w:t>
      </w:r>
      <w:r>
        <w:rPr>
          <w:color w:val="231F20"/>
          <w:spacing w:val="-15"/>
          <w:sz w:val="14"/>
        </w:rPr>
        <w:t> </w:t>
      </w:r>
      <w:r>
        <w:rPr>
          <w:color w:val="231F20"/>
          <w:sz w:val="14"/>
        </w:rPr>
        <w:t>de</w:t>
      </w:r>
      <w:r>
        <w:rPr>
          <w:color w:val="231F20"/>
          <w:spacing w:val="-15"/>
          <w:sz w:val="14"/>
        </w:rPr>
        <w:t> </w:t>
      </w:r>
      <w:r>
        <w:rPr>
          <w:color w:val="231F20"/>
          <w:sz w:val="14"/>
        </w:rPr>
        <w:t>la</w:t>
      </w:r>
      <w:r>
        <w:rPr>
          <w:color w:val="231F20"/>
          <w:spacing w:val="-15"/>
          <w:sz w:val="14"/>
        </w:rPr>
        <w:t> </w:t>
      </w:r>
      <w:r>
        <w:rPr>
          <w:color w:val="231F20"/>
          <w:sz w:val="14"/>
        </w:rPr>
        <w:t>Universidad</w:t>
      </w:r>
      <w:r>
        <w:rPr>
          <w:color w:val="231F20"/>
          <w:spacing w:val="-15"/>
          <w:sz w:val="14"/>
        </w:rPr>
        <w:t> </w:t>
      </w:r>
      <w:r>
        <w:rPr>
          <w:color w:val="231F20"/>
          <w:sz w:val="14"/>
        </w:rPr>
        <w:t>Autónoma</w:t>
      </w:r>
      <w:r>
        <w:rPr>
          <w:color w:val="231F20"/>
          <w:spacing w:val="-15"/>
          <w:sz w:val="14"/>
        </w:rPr>
        <w:t> </w:t>
      </w:r>
      <w:r>
        <w:rPr>
          <w:color w:val="231F20"/>
          <w:sz w:val="14"/>
        </w:rPr>
        <w:t>del</w:t>
      </w:r>
      <w:r>
        <w:rPr>
          <w:color w:val="231F20"/>
          <w:spacing w:val="-15"/>
          <w:sz w:val="14"/>
        </w:rPr>
        <w:t> </w:t>
      </w:r>
      <w:r>
        <w:rPr>
          <w:color w:val="231F20"/>
          <w:sz w:val="14"/>
        </w:rPr>
        <w:t>Estado</w:t>
      </w:r>
      <w:r>
        <w:rPr>
          <w:color w:val="231F20"/>
          <w:spacing w:val="-15"/>
          <w:sz w:val="14"/>
        </w:rPr>
        <w:t> </w:t>
      </w:r>
      <w:r>
        <w:rPr>
          <w:color w:val="231F20"/>
          <w:sz w:val="14"/>
        </w:rPr>
        <w:t>de</w:t>
      </w:r>
      <w:r>
        <w:rPr>
          <w:color w:val="231F20"/>
          <w:spacing w:val="-15"/>
          <w:sz w:val="14"/>
        </w:rPr>
        <w:t> </w:t>
      </w:r>
      <w:r>
        <w:rPr>
          <w:color w:val="231F20"/>
          <w:sz w:val="14"/>
        </w:rPr>
        <w:t>México.</w:t>
      </w:r>
      <w:r>
        <w:rPr>
          <w:color w:val="231F20"/>
          <w:spacing w:val="-15"/>
          <w:sz w:val="14"/>
        </w:rPr>
        <w:t> </w:t>
      </w:r>
      <w:r>
        <w:rPr>
          <w:color w:val="231F20"/>
          <w:sz w:val="14"/>
        </w:rPr>
        <w:t>Entre sus publicaciones como autor y coautor están: La evaluación como racionalización en la universidad: estrategia</w:t>
      </w:r>
      <w:r>
        <w:rPr>
          <w:color w:val="231F20"/>
          <w:spacing w:val="-22"/>
          <w:sz w:val="14"/>
        </w:rPr>
        <w:t> </w:t>
      </w:r>
      <w:r>
        <w:rPr>
          <w:color w:val="231F20"/>
          <w:sz w:val="14"/>
        </w:rPr>
        <w:t>de</w:t>
      </w:r>
      <w:r>
        <w:rPr>
          <w:color w:val="231F20"/>
          <w:spacing w:val="-22"/>
          <w:sz w:val="14"/>
        </w:rPr>
        <w:t> </w:t>
      </w:r>
      <w:r>
        <w:rPr>
          <w:color w:val="231F20"/>
          <w:sz w:val="14"/>
        </w:rPr>
        <w:t>control</w:t>
      </w:r>
      <w:r>
        <w:rPr>
          <w:color w:val="231F20"/>
          <w:spacing w:val="-22"/>
          <w:sz w:val="14"/>
        </w:rPr>
        <w:t> </w:t>
      </w:r>
      <w:r>
        <w:rPr>
          <w:color w:val="231F20"/>
          <w:sz w:val="14"/>
        </w:rPr>
        <w:t>y</w:t>
      </w:r>
      <w:r>
        <w:rPr>
          <w:color w:val="231F20"/>
          <w:spacing w:val="-22"/>
          <w:sz w:val="14"/>
        </w:rPr>
        <w:t> </w:t>
      </w:r>
      <w:r>
        <w:rPr>
          <w:color w:val="231F20"/>
          <w:sz w:val="14"/>
        </w:rPr>
        <w:t>vigilancia.</w:t>
      </w:r>
      <w:r>
        <w:rPr>
          <w:color w:val="231F20"/>
          <w:spacing w:val="-22"/>
          <w:sz w:val="14"/>
        </w:rPr>
        <w:t> </w:t>
      </w:r>
      <w:r>
        <w:rPr>
          <w:color w:val="231F20"/>
          <w:sz w:val="14"/>
        </w:rPr>
        <w:t>La</w:t>
      </w:r>
      <w:r>
        <w:rPr>
          <w:color w:val="231F20"/>
          <w:spacing w:val="-22"/>
          <w:sz w:val="14"/>
        </w:rPr>
        <w:t> </w:t>
      </w:r>
      <w:r>
        <w:rPr>
          <w:color w:val="231F20"/>
          <w:sz w:val="14"/>
        </w:rPr>
        <w:t>universidad</w:t>
      </w:r>
      <w:r>
        <w:rPr>
          <w:color w:val="231F20"/>
          <w:spacing w:val="-22"/>
          <w:sz w:val="14"/>
        </w:rPr>
        <w:t> </w:t>
      </w:r>
      <w:r>
        <w:rPr>
          <w:color w:val="231F20"/>
          <w:sz w:val="14"/>
        </w:rPr>
        <w:t>pública,</w:t>
      </w:r>
      <w:r>
        <w:rPr>
          <w:color w:val="231F20"/>
          <w:spacing w:val="-22"/>
          <w:sz w:val="14"/>
        </w:rPr>
        <w:t> </w:t>
      </w:r>
      <w:r>
        <w:rPr>
          <w:color w:val="231F20"/>
          <w:sz w:val="14"/>
        </w:rPr>
        <w:t>pasado,</w:t>
      </w:r>
      <w:r>
        <w:rPr>
          <w:color w:val="231F20"/>
          <w:spacing w:val="-22"/>
          <w:sz w:val="14"/>
        </w:rPr>
        <w:t> </w:t>
      </w:r>
      <w:r>
        <w:rPr>
          <w:color w:val="231F20"/>
          <w:sz w:val="14"/>
        </w:rPr>
        <w:t>presente</w:t>
      </w:r>
      <w:r>
        <w:rPr>
          <w:color w:val="231F20"/>
          <w:spacing w:val="-22"/>
          <w:sz w:val="14"/>
        </w:rPr>
        <w:t> </w:t>
      </w:r>
      <w:r>
        <w:rPr>
          <w:color w:val="231F20"/>
          <w:sz w:val="14"/>
        </w:rPr>
        <w:t>y</w:t>
      </w:r>
      <w:r>
        <w:rPr>
          <w:color w:val="231F20"/>
          <w:spacing w:val="-22"/>
          <w:sz w:val="14"/>
        </w:rPr>
        <w:t> </w:t>
      </w:r>
      <w:r>
        <w:rPr>
          <w:color w:val="231F20"/>
          <w:sz w:val="14"/>
        </w:rPr>
        <w:t>futuro.</w:t>
      </w:r>
    </w:p>
    <w:p>
      <w:pPr>
        <w:spacing w:after="0" w:line="369" w:lineRule="auto"/>
        <w:jc w:val="both"/>
        <w:rPr>
          <w:sz w:val="14"/>
        </w:rPr>
        <w:sectPr>
          <w:headerReference w:type="default" r:id="rId143"/>
          <w:footerReference w:type="default" r:id="rId144"/>
          <w:pgSz w:w="7830" w:h="11910"/>
          <w:pgMar w:header="0" w:footer="424" w:top="360" w:bottom="620" w:left="740" w:right="900"/>
          <w:pgNumType w:start="6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4" w:lineRule="auto"/>
        <w:ind w:left="101" w:right="115"/>
        <w:jc w:val="both"/>
      </w:pPr>
      <w:r>
        <w:rPr>
          <w:color w:val="231F20"/>
        </w:rPr>
        <w:t>reconstruct the concepts of ideology in terms of the functions of alienation, to understand violence as an expression of social rela- tions distorted around-since there are diverse  theories,  violence, and discuss the concept of educational policies in terms of legiti- mizing, specialized discourse, whose aim is the domain where theo- retical discourse becomes a discourse of power: an ideology. From these referents neoliberal educational policies and the type of vio- lence promoted by the deployment of an ideology, in the form of a particular language that seeks to impose a single way to understand and interpret the educational reality where l analyzed restructure the domain relationships with new forms of social regulation and con- trol over the subject of educational</w:t>
      </w:r>
      <w:r>
        <w:rPr>
          <w:color w:val="231F20"/>
          <w:spacing w:val="44"/>
        </w:rPr>
        <w:t> </w:t>
      </w:r>
      <w:r>
        <w:rPr>
          <w:color w:val="231F20"/>
        </w:rPr>
        <w:t>institutions.</w:t>
      </w:r>
    </w:p>
    <w:p>
      <w:pPr>
        <w:pStyle w:val="BodyText"/>
        <w:spacing w:before="6"/>
      </w:pPr>
    </w:p>
    <w:p>
      <w:pPr>
        <w:pStyle w:val="BodyText"/>
        <w:spacing w:before="1"/>
        <w:ind w:left="101"/>
        <w:jc w:val="both"/>
      </w:pPr>
      <w:r>
        <w:rPr>
          <w:color w:val="231F20"/>
        </w:rPr>
        <w:t>Keywords: violence, educational policy.</w:t>
      </w:r>
    </w:p>
    <w:p>
      <w:pPr>
        <w:pStyle w:val="BodyText"/>
        <w:rPr>
          <w:sz w:val="22"/>
        </w:rPr>
      </w:pPr>
    </w:p>
    <w:p>
      <w:pPr>
        <w:pStyle w:val="BodyText"/>
        <w:spacing w:before="10"/>
        <w:rPr>
          <w:sz w:val="17"/>
        </w:rPr>
      </w:pPr>
    </w:p>
    <w:p>
      <w:pPr>
        <w:pStyle w:val="BodyText"/>
        <w:spacing w:before="1"/>
        <w:ind w:left="101"/>
        <w:jc w:val="both"/>
      </w:pPr>
      <w:r>
        <w:rPr>
          <w:color w:val="231F20"/>
          <w:w w:val="105"/>
        </w:rPr>
        <w:t>INTRODUCCIÓN</w:t>
      </w:r>
    </w:p>
    <w:p>
      <w:pPr>
        <w:pStyle w:val="BodyText"/>
        <w:spacing w:before="1"/>
      </w:pPr>
    </w:p>
    <w:p>
      <w:pPr>
        <w:pStyle w:val="BodyText"/>
        <w:spacing w:line="247" w:lineRule="auto" w:before="1"/>
        <w:ind w:left="101" w:right="116"/>
        <w:jc w:val="both"/>
      </w:pPr>
      <w:r>
        <w:rPr>
          <w:color w:val="231F20"/>
        </w:rPr>
        <w:t>Comenzamos con una interrogante: ¿cómo investigar las políticas educativas como un discurso, pero además, como un discurso que implica una violencia? Para tal efecto, en este ensayo se procede a discutir, primero, no el concepto de violencia, sino los supuestos epistemológicos de las teorías de la violencia, para poder articular el estudio de la violencia con una teoría de la ideología que permita entender las políticas educativas como un discurso en el que se expresa una estructura de coerción. Pero ello, también exige que se explicite qué entendemos por discurso.</w:t>
      </w:r>
    </w:p>
    <w:p>
      <w:pPr>
        <w:pStyle w:val="BodyText"/>
        <w:spacing w:line="249" w:lineRule="auto" w:before="10"/>
        <w:ind w:left="101" w:right="116" w:firstLine="284"/>
        <w:jc w:val="both"/>
      </w:pPr>
      <w:r>
        <w:rPr>
          <w:color w:val="231F20"/>
          <w:spacing w:val="3"/>
        </w:rPr>
        <w:t>Ordinariamente </w:t>
      </w:r>
      <w:r>
        <w:rPr>
          <w:color w:val="231F20"/>
        </w:rPr>
        <w:t>se </w:t>
      </w:r>
      <w:r>
        <w:rPr>
          <w:color w:val="231F20"/>
          <w:spacing w:val="2"/>
        </w:rPr>
        <w:t>habla </w:t>
      </w:r>
      <w:r>
        <w:rPr>
          <w:color w:val="231F20"/>
        </w:rPr>
        <w:t>de </w:t>
      </w:r>
      <w:r>
        <w:rPr>
          <w:color w:val="231F20"/>
          <w:spacing w:val="2"/>
        </w:rPr>
        <w:t>violencia refiriéndola </w:t>
      </w:r>
      <w:r>
        <w:rPr>
          <w:color w:val="231F20"/>
        </w:rPr>
        <w:t>a las </w:t>
      </w:r>
      <w:r>
        <w:rPr>
          <w:color w:val="231F20"/>
          <w:spacing w:val="3"/>
        </w:rPr>
        <w:t>expre- </w:t>
      </w:r>
      <w:r>
        <w:rPr>
          <w:color w:val="231F20"/>
          <w:spacing w:val="2"/>
        </w:rPr>
        <w:t>siones </w:t>
      </w:r>
      <w:r>
        <w:rPr>
          <w:color w:val="231F20"/>
        </w:rPr>
        <w:t>que </w:t>
      </w:r>
      <w:r>
        <w:rPr>
          <w:color w:val="231F20"/>
          <w:spacing w:val="2"/>
        </w:rPr>
        <w:t>implican </w:t>
      </w:r>
      <w:r>
        <w:rPr>
          <w:color w:val="231F20"/>
        </w:rPr>
        <w:t>uso de la </w:t>
      </w:r>
      <w:r>
        <w:rPr>
          <w:color w:val="231F20"/>
          <w:spacing w:val="2"/>
        </w:rPr>
        <w:t>fuerza material; </w:t>
      </w:r>
      <w:r>
        <w:rPr>
          <w:color w:val="231F20"/>
          <w:spacing w:val="3"/>
        </w:rPr>
        <w:t>empero </w:t>
      </w:r>
      <w:r>
        <w:rPr>
          <w:color w:val="231F20"/>
          <w:spacing w:val="2"/>
        </w:rPr>
        <w:t>existe una larga tradición </w:t>
      </w:r>
      <w:r>
        <w:rPr>
          <w:color w:val="231F20"/>
        </w:rPr>
        <w:t>ya </w:t>
      </w:r>
      <w:r>
        <w:rPr>
          <w:color w:val="231F20"/>
          <w:spacing w:val="2"/>
        </w:rPr>
        <w:t>que, </w:t>
      </w:r>
      <w:r>
        <w:rPr>
          <w:color w:val="231F20"/>
        </w:rPr>
        <w:t>al </w:t>
      </w:r>
      <w:r>
        <w:rPr>
          <w:color w:val="231F20"/>
          <w:spacing w:val="2"/>
        </w:rPr>
        <w:t>examinar </w:t>
      </w:r>
      <w:r>
        <w:rPr>
          <w:color w:val="231F20"/>
        </w:rPr>
        <w:t>las </w:t>
      </w:r>
      <w:r>
        <w:rPr>
          <w:color w:val="231F20"/>
          <w:spacing w:val="3"/>
        </w:rPr>
        <w:t>formas </w:t>
      </w:r>
      <w:r>
        <w:rPr>
          <w:color w:val="231F20"/>
        </w:rPr>
        <w:t>de </w:t>
      </w:r>
      <w:r>
        <w:rPr>
          <w:color w:val="231F20"/>
          <w:spacing w:val="3"/>
        </w:rPr>
        <w:t>dominio </w:t>
      </w:r>
      <w:r>
        <w:rPr>
          <w:color w:val="231F20"/>
          <w:spacing w:val="2"/>
        </w:rPr>
        <w:t>político </w:t>
      </w:r>
      <w:r>
        <w:rPr>
          <w:color w:val="231F20"/>
        </w:rPr>
        <w:t>se ha </w:t>
      </w:r>
      <w:r>
        <w:rPr>
          <w:color w:val="231F20"/>
          <w:spacing w:val="2"/>
        </w:rPr>
        <w:t>advertido que, </w:t>
      </w:r>
      <w:r>
        <w:rPr>
          <w:color w:val="231F20"/>
        </w:rPr>
        <w:t>el </w:t>
      </w:r>
      <w:r>
        <w:rPr>
          <w:color w:val="231F20"/>
          <w:spacing w:val="3"/>
        </w:rPr>
        <w:t>dominio </w:t>
      </w:r>
      <w:r>
        <w:rPr>
          <w:color w:val="231F20"/>
        </w:rPr>
        <w:t>no </w:t>
      </w:r>
      <w:r>
        <w:rPr>
          <w:color w:val="231F20"/>
          <w:spacing w:val="2"/>
        </w:rPr>
        <w:t>puede descansar </w:t>
      </w:r>
      <w:r>
        <w:rPr>
          <w:color w:val="231F20"/>
          <w:spacing w:val="3"/>
        </w:rPr>
        <w:t>exclusivamen- </w:t>
      </w:r>
      <w:r>
        <w:rPr>
          <w:color w:val="231F20"/>
        </w:rPr>
        <w:t>te en el </w:t>
      </w:r>
      <w:r>
        <w:rPr>
          <w:color w:val="231F20"/>
          <w:spacing w:val="2"/>
        </w:rPr>
        <w:t>uso </w:t>
      </w:r>
      <w:r>
        <w:rPr>
          <w:color w:val="231F20"/>
        </w:rPr>
        <w:t>de la </w:t>
      </w:r>
      <w:r>
        <w:rPr>
          <w:color w:val="231F20"/>
          <w:spacing w:val="2"/>
        </w:rPr>
        <w:t>fuerza, sino que requiere </w:t>
      </w:r>
      <w:r>
        <w:rPr>
          <w:color w:val="231F20"/>
        </w:rPr>
        <w:t>de </w:t>
      </w:r>
      <w:r>
        <w:rPr>
          <w:color w:val="231F20"/>
          <w:spacing w:val="3"/>
        </w:rPr>
        <w:t>formas racionaliza- </w:t>
      </w:r>
      <w:r>
        <w:rPr>
          <w:color w:val="231F20"/>
          <w:spacing w:val="2"/>
        </w:rPr>
        <w:t>das que </w:t>
      </w:r>
      <w:r>
        <w:rPr>
          <w:color w:val="231F20"/>
        </w:rPr>
        <w:t>se </w:t>
      </w:r>
      <w:r>
        <w:rPr>
          <w:color w:val="231F20"/>
          <w:spacing w:val="3"/>
        </w:rPr>
        <w:t>pueden </w:t>
      </w:r>
      <w:r>
        <w:rPr>
          <w:color w:val="231F20"/>
          <w:spacing w:val="2"/>
        </w:rPr>
        <w:t>expresar bajo </w:t>
      </w:r>
      <w:r>
        <w:rPr>
          <w:color w:val="231F20"/>
        </w:rPr>
        <w:t>las </w:t>
      </w:r>
      <w:r>
        <w:rPr>
          <w:color w:val="231F20"/>
          <w:spacing w:val="3"/>
        </w:rPr>
        <w:t>formas </w:t>
      </w:r>
      <w:r>
        <w:rPr>
          <w:color w:val="231F20"/>
        </w:rPr>
        <w:t>de </w:t>
      </w:r>
      <w:r>
        <w:rPr>
          <w:color w:val="231F20"/>
          <w:spacing w:val="2"/>
        </w:rPr>
        <w:t>una jurisdicción </w:t>
      </w:r>
      <w:r>
        <w:rPr>
          <w:color w:val="231F20"/>
        </w:rPr>
        <w:t>de las </w:t>
      </w:r>
      <w:r>
        <w:rPr>
          <w:color w:val="231F20"/>
          <w:spacing w:val="2"/>
        </w:rPr>
        <w:t>relaciones entre los sujetos, esto </w:t>
      </w:r>
      <w:r>
        <w:rPr>
          <w:color w:val="231F20"/>
        </w:rPr>
        <w:t>es: </w:t>
      </w:r>
      <w:r>
        <w:rPr>
          <w:color w:val="231F20"/>
          <w:spacing w:val="2"/>
        </w:rPr>
        <w:t>una tendencia progresiva </w:t>
      </w:r>
      <w:r>
        <w:rPr>
          <w:color w:val="231F20"/>
        </w:rPr>
        <w:t>a </w:t>
      </w:r>
      <w:r>
        <w:rPr>
          <w:color w:val="231F20"/>
          <w:spacing w:val="2"/>
        </w:rPr>
        <w:t>regular </w:t>
      </w:r>
      <w:r>
        <w:rPr>
          <w:color w:val="231F20"/>
          <w:spacing w:val="3"/>
        </w:rPr>
        <w:t>jurídicamente todos </w:t>
      </w:r>
      <w:r>
        <w:rPr>
          <w:color w:val="231F20"/>
          <w:spacing w:val="2"/>
        </w:rPr>
        <w:t>los </w:t>
      </w:r>
      <w:r>
        <w:rPr>
          <w:color w:val="231F20"/>
          <w:spacing w:val="3"/>
        </w:rPr>
        <w:t>ámbitos </w:t>
      </w:r>
      <w:r>
        <w:rPr>
          <w:color w:val="231F20"/>
        </w:rPr>
        <w:t>de la </w:t>
      </w:r>
      <w:r>
        <w:rPr>
          <w:color w:val="231F20"/>
          <w:spacing w:val="2"/>
        </w:rPr>
        <w:t>vida social </w:t>
      </w:r>
      <w:r>
        <w:rPr>
          <w:color w:val="231F20"/>
        </w:rPr>
        <w:t>que im- </w:t>
      </w:r>
      <w:r>
        <w:rPr>
          <w:color w:val="231F20"/>
          <w:spacing w:val="2"/>
        </w:rPr>
        <w:t>plica, siguiendo </w:t>
      </w:r>
      <w:r>
        <w:rPr>
          <w:color w:val="231F20"/>
        </w:rPr>
        <w:t>a </w:t>
      </w:r>
      <w:r>
        <w:rPr>
          <w:color w:val="231F20"/>
          <w:spacing w:val="3"/>
        </w:rPr>
        <w:t>Habermas, </w:t>
      </w:r>
      <w:r>
        <w:rPr>
          <w:color w:val="231F20"/>
          <w:spacing w:val="2"/>
        </w:rPr>
        <w:t>una </w:t>
      </w:r>
      <w:r>
        <w:rPr>
          <w:color w:val="231F20"/>
          <w:spacing w:val="3"/>
        </w:rPr>
        <w:t>constante </w:t>
      </w:r>
      <w:r>
        <w:rPr>
          <w:color w:val="231F20"/>
          <w:spacing w:val="2"/>
        </w:rPr>
        <w:t>“colonización </w:t>
      </w:r>
      <w:r>
        <w:rPr>
          <w:color w:val="231F20"/>
        </w:rPr>
        <w:t>del </w:t>
      </w:r>
      <w:r>
        <w:rPr>
          <w:color w:val="231F20"/>
          <w:spacing w:val="3"/>
        </w:rPr>
        <w:t>mundo </w:t>
      </w:r>
      <w:r>
        <w:rPr>
          <w:color w:val="231F20"/>
        </w:rPr>
        <w:t>de la </w:t>
      </w:r>
      <w:r>
        <w:rPr>
          <w:color w:val="231F20"/>
          <w:spacing w:val="2"/>
        </w:rPr>
        <w:t>vida”, </w:t>
      </w:r>
      <w:r>
        <w:rPr>
          <w:color w:val="231F20"/>
          <w:spacing w:val="3"/>
        </w:rPr>
        <w:t>(Habermas, </w:t>
      </w:r>
      <w:r>
        <w:rPr>
          <w:color w:val="231F20"/>
          <w:spacing w:val="2"/>
        </w:rPr>
        <w:t>2008:522), fenómeno </w:t>
      </w:r>
      <w:r>
        <w:rPr>
          <w:color w:val="231F20"/>
        </w:rPr>
        <w:t>ya </w:t>
      </w:r>
      <w:r>
        <w:rPr>
          <w:color w:val="231F20"/>
          <w:spacing w:val="2"/>
        </w:rPr>
        <w:t>planteado por </w:t>
      </w:r>
      <w:r>
        <w:rPr>
          <w:color w:val="231F20"/>
          <w:spacing w:val="3"/>
        </w:rPr>
        <w:t>Weber </w:t>
      </w:r>
      <w:r>
        <w:rPr>
          <w:color w:val="231F20"/>
          <w:spacing w:val="2"/>
        </w:rPr>
        <w:t>bajo </w:t>
      </w:r>
      <w:r>
        <w:rPr>
          <w:color w:val="231F20"/>
        </w:rPr>
        <w:t>la </w:t>
      </w:r>
      <w:r>
        <w:rPr>
          <w:color w:val="231F20"/>
          <w:spacing w:val="2"/>
        </w:rPr>
        <w:t>perspectiva </w:t>
      </w:r>
      <w:r>
        <w:rPr>
          <w:color w:val="231F20"/>
        </w:rPr>
        <w:t>del </w:t>
      </w:r>
      <w:r>
        <w:rPr>
          <w:color w:val="231F20"/>
          <w:spacing w:val="2"/>
        </w:rPr>
        <w:t>desarrollo </w:t>
      </w:r>
      <w:r>
        <w:rPr>
          <w:color w:val="231F20"/>
        </w:rPr>
        <w:t>del </w:t>
      </w:r>
      <w:r>
        <w:rPr>
          <w:color w:val="231F20"/>
          <w:spacing w:val="2"/>
        </w:rPr>
        <w:t>derecho suponía   </w:t>
      </w:r>
      <w:r>
        <w:rPr>
          <w:color w:val="231F20"/>
        </w:rPr>
        <w:t>la </w:t>
      </w:r>
      <w:r>
        <w:rPr>
          <w:color w:val="231F20"/>
          <w:spacing w:val="2"/>
        </w:rPr>
        <w:t>respuesta </w:t>
      </w:r>
      <w:r>
        <w:rPr>
          <w:color w:val="231F20"/>
        </w:rPr>
        <w:t>a </w:t>
      </w:r>
      <w:r>
        <w:rPr>
          <w:color w:val="231F20"/>
          <w:spacing w:val="2"/>
        </w:rPr>
        <w:t>exigencias concretas </w:t>
      </w:r>
      <w:r>
        <w:rPr>
          <w:color w:val="231F20"/>
        </w:rPr>
        <w:t>de las </w:t>
      </w:r>
      <w:r>
        <w:rPr>
          <w:color w:val="231F20"/>
          <w:spacing w:val="2"/>
        </w:rPr>
        <w:t>clases sociales, pero</w:t>
      </w:r>
      <w:r>
        <w:rPr>
          <w:color w:val="231F20"/>
          <w:spacing w:val="34"/>
        </w:rPr>
        <w:t> </w:t>
      </w:r>
      <w:r>
        <w:rPr>
          <w:color w:val="231F20"/>
          <w:spacing w:val="3"/>
        </w:rPr>
        <w:t>aso-</w:t>
      </w:r>
    </w:p>
    <w:p>
      <w:pPr>
        <w:spacing w:after="0" w:line="249" w:lineRule="auto"/>
        <w:jc w:val="both"/>
        <w:sectPr>
          <w:headerReference w:type="default" r:id="rId145"/>
          <w:footerReference w:type="default" r:id="rId146"/>
          <w:pgSz w:w="7830" w:h="11910"/>
          <w:pgMar w:header="0" w:footer="424" w:top="500" w:bottom="620" w:left="920" w:right="900"/>
          <w:pgNumType w:start="6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5"/>
        <w:jc w:val="both"/>
      </w:pPr>
      <w:r>
        <w:rPr>
          <w:color w:val="231F20"/>
          <w:spacing w:val="2"/>
        </w:rPr>
        <w:t>ciada </w:t>
      </w:r>
      <w:r>
        <w:rPr>
          <w:color w:val="231F20"/>
        </w:rPr>
        <w:t>a la </w:t>
      </w:r>
      <w:r>
        <w:rPr>
          <w:color w:val="231F20"/>
          <w:spacing w:val="3"/>
        </w:rPr>
        <w:t>conformación </w:t>
      </w:r>
      <w:r>
        <w:rPr>
          <w:color w:val="231F20"/>
        </w:rPr>
        <w:t>de la </w:t>
      </w:r>
      <w:r>
        <w:rPr>
          <w:color w:val="231F20"/>
          <w:spacing w:val="2"/>
        </w:rPr>
        <w:t>burocracia, pues </w:t>
      </w:r>
      <w:r>
        <w:rPr>
          <w:color w:val="231F20"/>
        </w:rPr>
        <w:t>lo </w:t>
      </w:r>
      <w:r>
        <w:rPr>
          <w:color w:val="231F20"/>
          <w:spacing w:val="2"/>
        </w:rPr>
        <w:t>que está </w:t>
      </w:r>
      <w:r>
        <w:rPr>
          <w:color w:val="231F20"/>
        </w:rPr>
        <w:t>en jue- go es la </w:t>
      </w:r>
      <w:r>
        <w:rPr>
          <w:color w:val="231F20"/>
          <w:spacing w:val="2"/>
        </w:rPr>
        <w:t>legitimidad </w:t>
      </w:r>
      <w:r>
        <w:rPr>
          <w:color w:val="231F20"/>
        </w:rPr>
        <w:t>de la </w:t>
      </w:r>
      <w:r>
        <w:rPr>
          <w:color w:val="231F20"/>
          <w:spacing w:val="3"/>
        </w:rPr>
        <w:t>dominación, (Weber, </w:t>
      </w:r>
      <w:r>
        <w:rPr>
          <w:color w:val="231F20"/>
          <w:spacing w:val="2"/>
        </w:rPr>
        <w:t>2008:172, 653), </w:t>
      </w:r>
      <w:r>
        <w:rPr>
          <w:color w:val="231F20"/>
          <w:spacing w:val="3"/>
        </w:rPr>
        <w:t>empero, Habermas produce </w:t>
      </w:r>
      <w:r>
        <w:rPr>
          <w:color w:val="231F20"/>
        </w:rPr>
        <w:t>un </w:t>
      </w:r>
      <w:r>
        <w:rPr>
          <w:color w:val="231F20"/>
          <w:spacing w:val="2"/>
        </w:rPr>
        <w:t>desarrollo más </w:t>
      </w:r>
      <w:r>
        <w:rPr>
          <w:color w:val="231F20"/>
          <w:spacing w:val="3"/>
        </w:rPr>
        <w:t>profundo </w:t>
      </w:r>
      <w:r>
        <w:rPr>
          <w:color w:val="231F20"/>
        </w:rPr>
        <w:t>de esa </w:t>
      </w:r>
      <w:r>
        <w:rPr>
          <w:color w:val="231F20"/>
          <w:spacing w:val="2"/>
        </w:rPr>
        <w:t>situación </w:t>
      </w:r>
      <w:r>
        <w:rPr>
          <w:color w:val="231F20"/>
        </w:rPr>
        <w:t>al </w:t>
      </w:r>
      <w:r>
        <w:rPr>
          <w:color w:val="231F20"/>
          <w:spacing w:val="2"/>
        </w:rPr>
        <w:t>insistir </w:t>
      </w:r>
      <w:r>
        <w:rPr>
          <w:color w:val="231F20"/>
        </w:rPr>
        <w:t>en </w:t>
      </w:r>
      <w:r>
        <w:rPr>
          <w:color w:val="231F20"/>
          <w:spacing w:val="2"/>
        </w:rPr>
        <w:t>los </w:t>
      </w:r>
      <w:r>
        <w:rPr>
          <w:color w:val="231F20"/>
          <w:spacing w:val="3"/>
        </w:rPr>
        <w:t>modos </w:t>
      </w:r>
      <w:r>
        <w:rPr>
          <w:color w:val="231F20"/>
        </w:rPr>
        <w:t>en que es </w:t>
      </w:r>
      <w:r>
        <w:rPr>
          <w:color w:val="231F20"/>
          <w:spacing w:val="2"/>
        </w:rPr>
        <w:t>colonizado </w:t>
      </w:r>
      <w:r>
        <w:rPr>
          <w:color w:val="231F20"/>
        </w:rPr>
        <w:t>el </w:t>
      </w:r>
      <w:r>
        <w:rPr>
          <w:color w:val="231F20"/>
          <w:spacing w:val="4"/>
        </w:rPr>
        <w:t>mundo   </w:t>
      </w:r>
      <w:r>
        <w:rPr>
          <w:color w:val="231F20"/>
        </w:rPr>
        <w:t>de la vida </w:t>
      </w:r>
      <w:r>
        <w:rPr>
          <w:color w:val="231F20"/>
          <w:spacing w:val="3"/>
        </w:rPr>
        <w:t>(Habermas, </w:t>
      </w:r>
      <w:r>
        <w:rPr>
          <w:color w:val="231F20"/>
          <w:spacing w:val="2"/>
        </w:rPr>
        <w:t>1991:14-73). </w:t>
      </w:r>
      <w:r>
        <w:rPr>
          <w:color w:val="231F20"/>
        </w:rPr>
        <w:t>Sin </w:t>
      </w:r>
      <w:r>
        <w:rPr>
          <w:color w:val="231F20"/>
          <w:spacing w:val="3"/>
        </w:rPr>
        <w:t>embargo, </w:t>
      </w:r>
      <w:r>
        <w:rPr>
          <w:color w:val="231F20"/>
          <w:spacing w:val="2"/>
        </w:rPr>
        <w:t>para volver </w:t>
      </w:r>
      <w:r>
        <w:rPr>
          <w:color w:val="231F20"/>
        </w:rPr>
        <w:t>a </w:t>
      </w:r>
      <w:r>
        <w:rPr>
          <w:color w:val="231F20"/>
          <w:spacing w:val="2"/>
        </w:rPr>
        <w:t>replantear </w:t>
      </w:r>
      <w:r>
        <w:rPr>
          <w:color w:val="231F20"/>
        </w:rPr>
        <w:t>el </w:t>
      </w:r>
      <w:r>
        <w:rPr>
          <w:color w:val="231F20"/>
          <w:spacing w:val="3"/>
        </w:rPr>
        <w:t>problema </w:t>
      </w:r>
      <w:r>
        <w:rPr>
          <w:color w:val="231F20"/>
        </w:rPr>
        <w:t>es </w:t>
      </w:r>
      <w:r>
        <w:rPr>
          <w:color w:val="231F20"/>
          <w:spacing w:val="2"/>
        </w:rPr>
        <w:t>necesario recuperar </w:t>
      </w:r>
      <w:r>
        <w:rPr>
          <w:color w:val="231F20"/>
        </w:rPr>
        <w:t>el </w:t>
      </w:r>
      <w:r>
        <w:rPr>
          <w:color w:val="231F20"/>
          <w:spacing w:val="3"/>
        </w:rPr>
        <w:t>planteamiento </w:t>
      </w:r>
      <w:r>
        <w:rPr>
          <w:color w:val="231F20"/>
        </w:rPr>
        <w:t>de </w:t>
      </w:r>
      <w:r>
        <w:rPr>
          <w:color w:val="231F20"/>
          <w:spacing w:val="2"/>
        </w:rPr>
        <w:t>Marx respecto </w:t>
      </w:r>
      <w:r>
        <w:rPr>
          <w:color w:val="231F20"/>
        </w:rPr>
        <w:t>al </w:t>
      </w:r>
      <w:r>
        <w:rPr>
          <w:color w:val="231F20"/>
          <w:spacing w:val="3"/>
        </w:rPr>
        <w:t>modo </w:t>
      </w:r>
      <w:r>
        <w:rPr>
          <w:color w:val="231F20"/>
        </w:rPr>
        <w:t>en </w:t>
      </w:r>
      <w:r>
        <w:rPr>
          <w:color w:val="231F20"/>
          <w:spacing w:val="2"/>
        </w:rPr>
        <w:t>que </w:t>
      </w:r>
      <w:r>
        <w:rPr>
          <w:color w:val="231F20"/>
        </w:rPr>
        <w:t>el </w:t>
      </w:r>
      <w:r>
        <w:rPr>
          <w:color w:val="231F20"/>
          <w:spacing w:val="2"/>
        </w:rPr>
        <w:t>despliegue </w:t>
      </w:r>
      <w:r>
        <w:rPr>
          <w:color w:val="231F20"/>
        </w:rPr>
        <w:t>de </w:t>
      </w:r>
      <w:r>
        <w:rPr>
          <w:color w:val="231F20"/>
          <w:spacing w:val="2"/>
        </w:rPr>
        <w:t>una ideología está </w:t>
      </w:r>
      <w:r>
        <w:rPr>
          <w:color w:val="231F20"/>
        </w:rPr>
        <w:t>en </w:t>
      </w:r>
      <w:r>
        <w:rPr>
          <w:color w:val="231F20"/>
          <w:spacing w:val="2"/>
        </w:rPr>
        <w:t>conexión con </w:t>
      </w:r>
      <w:r>
        <w:rPr>
          <w:color w:val="231F20"/>
        </w:rPr>
        <w:t>las </w:t>
      </w:r>
      <w:r>
        <w:rPr>
          <w:color w:val="231F20"/>
          <w:spacing w:val="2"/>
        </w:rPr>
        <w:t>ideas que brotan </w:t>
      </w:r>
      <w:r>
        <w:rPr>
          <w:color w:val="231F20"/>
        </w:rPr>
        <w:t>de la  </w:t>
      </w:r>
      <w:r>
        <w:rPr>
          <w:color w:val="231F20"/>
          <w:spacing w:val="2"/>
        </w:rPr>
        <w:t>actividad material </w:t>
      </w:r>
      <w:r>
        <w:rPr>
          <w:color w:val="231F20"/>
        </w:rPr>
        <w:t>de  </w:t>
      </w:r>
      <w:r>
        <w:rPr>
          <w:color w:val="231F20"/>
          <w:spacing w:val="2"/>
        </w:rPr>
        <w:t>los </w:t>
      </w:r>
      <w:r>
        <w:rPr>
          <w:color w:val="231F20"/>
          <w:spacing w:val="3"/>
        </w:rPr>
        <w:t>hombres, </w:t>
      </w:r>
      <w:r>
        <w:rPr>
          <w:color w:val="231F20"/>
        </w:rPr>
        <w:t>de tal </w:t>
      </w:r>
      <w:r>
        <w:rPr>
          <w:color w:val="231F20"/>
          <w:spacing w:val="3"/>
        </w:rPr>
        <w:t>modo </w:t>
      </w:r>
      <w:r>
        <w:rPr>
          <w:color w:val="231F20"/>
          <w:spacing w:val="2"/>
        </w:rPr>
        <w:t>que opera </w:t>
      </w:r>
      <w:r>
        <w:rPr>
          <w:color w:val="231F20"/>
          <w:spacing w:val="3"/>
        </w:rPr>
        <w:t>como </w:t>
      </w:r>
      <w:r>
        <w:rPr>
          <w:color w:val="231F20"/>
        </w:rPr>
        <w:t>un </w:t>
      </w:r>
      <w:r>
        <w:rPr>
          <w:color w:val="231F20"/>
          <w:spacing w:val="2"/>
        </w:rPr>
        <w:t>proceso </w:t>
      </w:r>
      <w:r>
        <w:rPr>
          <w:color w:val="231F20"/>
        </w:rPr>
        <w:t>de </w:t>
      </w:r>
      <w:r>
        <w:rPr>
          <w:color w:val="231F20"/>
          <w:spacing w:val="2"/>
        </w:rPr>
        <w:t>oculta- miento </w:t>
      </w:r>
      <w:r>
        <w:rPr>
          <w:color w:val="231F20"/>
        </w:rPr>
        <w:t>o </w:t>
      </w:r>
      <w:r>
        <w:rPr>
          <w:color w:val="231F20"/>
          <w:spacing w:val="2"/>
        </w:rPr>
        <w:t>deformación </w:t>
      </w:r>
      <w:r>
        <w:rPr>
          <w:color w:val="231F20"/>
        </w:rPr>
        <w:t>de la </w:t>
      </w:r>
      <w:r>
        <w:rPr>
          <w:color w:val="231F20"/>
          <w:spacing w:val="2"/>
        </w:rPr>
        <w:t>conciencia respecto </w:t>
      </w:r>
      <w:r>
        <w:rPr>
          <w:color w:val="231F20"/>
        </w:rPr>
        <w:t>de la </w:t>
      </w:r>
      <w:r>
        <w:rPr>
          <w:color w:val="231F20"/>
          <w:spacing w:val="2"/>
        </w:rPr>
        <w:t>vida </w:t>
      </w:r>
      <w:r>
        <w:rPr>
          <w:color w:val="231F20"/>
          <w:spacing w:val="3"/>
        </w:rPr>
        <w:t>mate- </w:t>
      </w:r>
      <w:r>
        <w:rPr>
          <w:color w:val="231F20"/>
          <w:spacing w:val="2"/>
        </w:rPr>
        <w:t>rial </w:t>
      </w:r>
      <w:r>
        <w:rPr>
          <w:color w:val="231F20"/>
          <w:spacing w:val="3"/>
        </w:rPr>
        <w:t>–por </w:t>
      </w:r>
      <w:r>
        <w:rPr>
          <w:color w:val="231F20"/>
          <w:spacing w:val="2"/>
        </w:rPr>
        <w:t>tanto, constituye una violencia– </w:t>
      </w:r>
      <w:r>
        <w:rPr>
          <w:color w:val="231F20"/>
        </w:rPr>
        <w:t>ya</w:t>
      </w:r>
      <w:r>
        <w:rPr>
          <w:color w:val="231F20"/>
          <w:spacing w:val="-4"/>
        </w:rPr>
        <w:t> </w:t>
      </w:r>
      <w:r>
        <w:rPr>
          <w:color w:val="231F20"/>
          <w:spacing w:val="2"/>
        </w:rPr>
        <w:t>que:</w:t>
      </w:r>
    </w:p>
    <w:p>
      <w:pPr>
        <w:pStyle w:val="BodyText"/>
        <w:spacing w:before="1"/>
        <w:rPr>
          <w:sz w:val="23"/>
        </w:rPr>
      </w:pPr>
    </w:p>
    <w:p>
      <w:pPr>
        <w:spacing w:line="276" w:lineRule="auto" w:before="0"/>
        <w:ind w:left="810" w:right="164" w:firstLine="0"/>
        <w:jc w:val="both"/>
        <w:rPr>
          <w:sz w:val="19"/>
        </w:rPr>
      </w:pPr>
      <w:r>
        <w:rPr>
          <w:color w:val="231F20"/>
          <w:sz w:val="19"/>
        </w:rPr>
        <w:t>(…) en toda ideología los hombres y sus relaciones aparecen in- vertidos como en una cámara oscura, este fenómeno responde a  su proceso histórico de vida, pero además, esa ideología reposa  en la producción de las ideas y representaciones, de la concien- cia, [donde esa producción de ideas y representaciones] aparece   al principio directamente entrelazada con la actividad material y  el comercio de los hombres, como el lenguaje de la vida real </w:t>
      </w:r>
      <w:r>
        <w:rPr>
          <w:color w:val="231F20"/>
          <w:w w:val="95"/>
          <w:sz w:val="19"/>
        </w:rPr>
        <w:t>(Marx,</w:t>
      </w:r>
      <w:r>
        <w:rPr>
          <w:color w:val="231F20"/>
          <w:spacing w:val="21"/>
          <w:w w:val="95"/>
          <w:sz w:val="19"/>
        </w:rPr>
        <w:t> </w:t>
      </w:r>
      <w:r>
        <w:rPr>
          <w:color w:val="231F20"/>
          <w:w w:val="95"/>
          <w:sz w:val="19"/>
        </w:rPr>
        <w:t>1994:40).</w:t>
      </w:r>
    </w:p>
    <w:p>
      <w:pPr>
        <w:pStyle w:val="BodyText"/>
        <w:rPr>
          <w:sz w:val="20"/>
        </w:rPr>
      </w:pPr>
    </w:p>
    <w:p>
      <w:pPr>
        <w:pStyle w:val="BodyText"/>
        <w:spacing w:line="249" w:lineRule="auto"/>
        <w:ind w:left="102" w:right="117" w:firstLine="284"/>
        <w:jc w:val="both"/>
      </w:pPr>
      <w:r>
        <w:rPr>
          <w:color w:val="231F20"/>
          <w:spacing w:val="2"/>
        </w:rPr>
        <w:t>Así </w:t>
      </w:r>
      <w:r>
        <w:rPr>
          <w:color w:val="231F20"/>
        </w:rPr>
        <w:t>lo que </w:t>
      </w:r>
      <w:r>
        <w:rPr>
          <w:color w:val="231F20"/>
          <w:spacing w:val="2"/>
        </w:rPr>
        <w:t>puede advertirse </w:t>
      </w:r>
      <w:r>
        <w:rPr>
          <w:color w:val="231F20"/>
        </w:rPr>
        <w:t>es que la </w:t>
      </w:r>
      <w:r>
        <w:rPr>
          <w:color w:val="231F20"/>
          <w:spacing w:val="2"/>
        </w:rPr>
        <w:t>ideología </w:t>
      </w:r>
      <w:r>
        <w:rPr>
          <w:color w:val="231F20"/>
        </w:rPr>
        <w:t>se </w:t>
      </w:r>
      <w:r>
        <w:rPr>
          <w:color w:val="231F20"/>
          <w:spacing w:val="2"/>
        </w:rPr>
        <w:t>manifiesta </w:t>
      </w:r>
      <w:r>
        <w:rPr>
          <w:color w:val="231F20"/>
          <w:spacing w:val="3"/>
        </w:rPr>
        <w:t>como </w:t>
      </w:r>
      <w:r>
        <w:rPr>
          <w:color w:val="231F20"/>
        </w:rPr>
        <w:t>un </w:t>
      </w:r>
      <w:r>
        <w:rPr>
          <w:color w:val="231F20"/>
          <w:spacing w:val="2"/>
        </w:rPr>
        <w:t>discurso que </w:t>
      </w:r>
      <w:r>
        <w:rPr>
          <w:color w:val="231F20"/>
        </w:rPr>
        <w:t>se </w:t>
      </w:r>
      <w:r>
        <w:rPr>
          <w:color w:val="231F20"/>
          <w:spacing w:val="2"/>
        </w:rPr>
        <w:t>expresa </w:t>
      </w:r>
      <w:r>
        <w:rPr>
          <w:color w:val="231F20"/>
        </w:rPr>
        <w:t>en un </w:t>
      </w:r>
      <w:r>
        <w:rPr>
          <w:color w:val="231F20"/>
          <w:spacing w:val="2"/>
        </w:rPr>
        <w:t>lenguaje peculiar que, </w:t>
      </w:r>
      <w:r>
        <w:rPr>
          <w:color w:val="231F20"/>
        </w:rPr>
        <w:t>o </w:t>
      </w:r>
      <w:r>
        <w:rPr>
          <w:color w:val="231F20"/>
          <w:spacing w:val="2"/>
        </w:rPr>
        <w:t>bien gesta </w:t>
      </w:r>
      <w:r>
        <w:rPr>
          <w:color w:val="231F20"/>
        </w:rPr>
        <w:t>un </w:t>
      </w:r>
      <w:r>
        <w:rPr>
          <w:color w:val="231F20"/>
          <w:spacing w:val="2"/>
        </w:rPr>
        <w:t>determinado </w:t>
      </w:r>
      <w:r>
        <w:rPr>
          <w:color w:val="231F20"/>
          <w:spacing w:val="3"/>
        </w:rPr>
        <w:t>consenso </w:t>
      </w:r>
      <w:r>
        <w:rPr>
          <w:color w:val="231F20"/>
          <w:spacing w:val="2"/>
        </w:rPr>
        <w:t>entre los </w:t>
      </w:r>
      <w:r>
        <w:rPr>
          <w:color w:val="231F20"/>
          <w:spacing w:val="3"/>
        </w:rPr>
        <w:t>dominados respec-</w:t>
      </w:r>
      <w:r>
        <w:rPr>
          <w:color w:val="231F20"/>
          <w:spacing w:val="58"/>
        </w:rPr>
        <w:t> </w:t>
      </w:r>
      <w:r>
        <w:rPr>
          <w:color w:val="231F20"/>
        </w:rPr>
        <w:t>to a la </w:t>
      </w:r>
      <w:r>
        <w:rPr>
          <w:color w:val="231F20"/>
          <w:spacing w:val="2"/>
        </w:rPr>
        <w:t>dirección política que ejercen los </w:t>
      </w:r>
      <w:r>
        <w:rPr>
          <w:color w:val="231F20"/>
          <w:spacing w:val="3"/>
        </w:rPr>
        <w:t>dominadores, </w:t>
      </w:r>
      <w:r>
        <w:rPr>
          <w:color w:val="231F20"/>
        </w:rPr>
        <w:t>en el </w:t>
      </w:r>
      <w:r>
        <w:rPr>
          <w:color w:val="231F20"/>
          <w:spacing w:val="2"/>
        </w:rPr>
        <w:t>senti- </w:t>
      </w:r>
      <w:r>
        <w:rPr>
          <w:color w:val="231F20"/>
        </w:rPr>
        <w:t>do de </w:t>
      </w:r>
      <w:r>
        <w:rPr>
          <w:color w:val="231F20"/>
          <w:spacing w:val="3"/>
        </w:rPr>
        <w:t>Gramsci </w:t>
      </w:r>
      <w:r>
        <w:rPr>
          <w:color w:val="231F20"/>
        </w:rPr>
        <w:t>de </w:t>
      </w:r>
      <w:r>
        <w:rPr>
          <w:color w:val="231F20"/>
          <w:spacing w:val="3"/>
        </w:rPr>
        <w:t>cómo </w:t>
      </w:r>
      <w:r>
        <w:rPr>
          <w:color w:val="231F20"/>
        </w:rPr>
        <w:t>se </w:t>
      </w:r>
      <w:r>
        <w:rPr>
          <w:color w:val="231F20"/>
          <w:spacing w:val="2"/>
        </w:rPr>
        <w:t>articulan dos </w:t>
      </w:r>
      <w:r>
        <w:rPr>
          <w:color w:val="231F20"/>
          <w:spacing w:val="3"/>
        </w:rPr>
        <w:t>planos: </w:t>
      </w:r>
      <w:r>
        <w:rPr>
          <w:color w:val="231F20"/>
        </w:rPr>
        <w:t>el </w:t>
      </w:r>
      <w:r>
        <w:rPr>
          <w:color w:val="231F20"/>
          <w:spacing w:val="2"/>
        </w:rPr>
        <w:t>“de </w:t>
      </w:r>
      <w:r>
        <w:rPr>
          <w:color w:val="231F20"/>
        </w:rPr>
        <w:t>la </w:t>
      </w:r>
      <w:r>
        <w:rPr>
          <w:color w:val="231F20"/>
          <w:spacing w:val="2"/>
        </w:rPr>
        <w:t>«socie- dad civil», </w:t>
      </w:r>
      <w:r>
        <w:rPr>
          <w:color w:val="231F20"/>
        </w:rPr>
        <w:t>o </w:t>
      </w:r>
      <w:r>
        <w:rPr>
          <w:color w:val="231F20"/>
          <w:spacing w:val="2"/>
        </w:rPr>
        <w:t>sea, del </w:t>
      </w:r>
      <w:r>
        <w:rPr>
          <w:color w:val="231F20"/>
          <w:spacing w:val="3"/>
        </w:rPr>
        <w:t>conjunto </w:t>
      </w:r>
      <w:r>
        <w:rPr>
          <w:color w:val="231F20"/>
        </w:rPr>
        <w:t>de </w:t>
      </w:r>
      <w:r>
        <w:rPr>
          <w:color w:val="231F20"/>
          <w:spacing w:val="3"/>
        </w:rPr>
        <w:t>organismos vulgarmente llama- </w:t>
      </w:r>
      <w:r>
        <w:rPr>
          <w:color w:val="231F20"/>
          <w:spacing w:val="2"/>
        </w:rPr>
        <w:t>dos «privados» </w:t>
      </w:r>
      <w:r>
        <w:rPr>
          <w:color w:val="231F20"/>
        </w:rPr>
        <w:t>y el de la </w:t>
      </w:r>
      <w:r>
        <w:rPr>
          <w:color w:val="231F20"/>
          <w:spacing w:val="2"/>
        </w:rPr>
        <w:t>«sociedad política </w:t>
      </w:r>
      <w:r>
        <w:rPr>
          <w:color w:val="231F20"/>
        </w:rPr>
        <w:t>o </w:t>
      </w:r>
      <w:r>
        <w:rPr>
          <w:color w:val="231F20"/>
          <w:spacing w:val="3"/>
        </w:rPr>
        <w:t>Estado»” </w:t>
      </w:r>
      <w:r>
        <w:rPr>
          <w:color w:val="231F20"/>
          <w:spacing w:val="2"/>
        </w:rPr>
        <w:t>con </w:t>
      </w:r>
      <w:r>
        <w:rPr>
          <w:color w:val="231F20"/>
        </w:rPr>
        <w:t>las </w:t>
      </w:r>
      <w:r>
        <w:rPr>
          <w:color w:val="231F20"/>
          <w:spacing w:val="2"/>
        </w:rPr>
        <w:t>funciones “de </w:t>
      </w:r>
      <w:r>
        <w:rPr>
          <w:color w:val="231F20"/>
          <w:spacing w:val="3"/>
        </w:rPr>
        <w:t>«hegemonía» </w:t>
      </w:r>
      <w:r>
        <w:rPr>
          <w:color w:val="231F20"/>
        </w:rPr>
        <w:t>que el </w:t>
      </w:r>
      <w:r>
        <w:rPr>
          <w:color w:val="231F20"/>
          <w:spacing w:val="2"/>
        </w:rPr>
        <w:t>grupo </w:t>
      </w:r>
      <w:r>
        <w:rPr>
          <w:color w:val="231F20"/>
          <w:spacing w:val="3"/>
        </w:rPr>
        <w:t>dominante </w:t>
      </w:r>
      <w:r>
        <w:rPr>
          <w:color w:val="231F20"/>
          <w:spacing w:val="2"/>
        </w:rPr>
        <w:t>ejerce </w:t>
      </w:r>
      <w:r>
        <w:rPr>
          <w:color w:val="231F20"/>
        </w:rPr>
        <w:t>en </w:t>
      </w:r>
      <w:r>
        <w:rPr>
          <w:color w:val="231F20"/>
          <w:spacing w:val="2"/>
        </w:rPr>
        <w:t>toda </w:t>
      </w:r>
      <w:r>
        <w:rPr>
          <w:color w:val="231F20"/>
        </w:rPr>
        <w:t>la </w:t>
      </w:r>
      <w:r>
        <w:rPr>
          <w:color w:val="231F20"/>
          <w:spacing w:val="2"/>
        </w:rPr>
        <w:t>sociedad </w:t>
      </w:r>
      <w:r>
        <w:rPr>
          <w:color w:val="231F20"/>
        </w:rPr>
        <w:t>y a la de </w:t>
      </w:r>
      <w:r>
        <w:rPr>
          <w:color w:val="231F20"/>
          <w:spacing w:val="3"/>
        </w:rPr>
        <w:t>«dominio </w:t>
      </w:r>
      <w:r>
        <w:rPr>
          <w:color w:val="231F20"/>
          <w:spacing w:val="2"/>
        </w:rPr>
        <w:t>directo» </w:t>
      </w:r>
      <w:r>
        <w:rPr>
          <w:color w:val="231F20"/>
        </w:rPr>
        <w:t>o </w:t>
      </w:r>
      <w:r>
        <w:rPr>
          <w:color w:val="231F20"/>
          <w:spacing w:val="3"/>
        </w:rPr>
        <w:t>mando, </w:t>
      </w:r>
      <w:r>
        <w:rPr>
          <w:color w:val="231F20"/>
        </w:rPr>
        <w:t>que se </w:t>
      </w:r>
      <w:r>
        <w:rPr>
          <w:color w:val="231F20"/>
          <w:spacing w:val="2"/>
        </w:rPr>
        <w:t>expresa  </w:t>
      </w:r>
      <w:r>
        <w:rPr>
          <w:color w:val="231F20"/>
        </w:rPr>
        <w:t>en el </w:t>
      </w:r>
      <w:r>
        <w:rPr>
          <w:color w:val="231F20"/>
          <w:spacing w:val="2"/>
        </w:rPr>
        <w:t>Estado </w:t>
      </w:r>
      <w:r>
        <w:rPr>
          <w:color w:val="231F20"/>
        </w:rPr>
        <w:t>y en el </w:t>
      </w:r>
      <w:r>
        <w:rPr>
          <w:color w:val="231F20"/>
          <w:spacing w:val="2"/>
        </w:rPr>
        <w:t>gobierno «jurídico»”, articulación que </w:t>
      </w:r>
      <w:r>
        <w:rPr>
          <w:color w:val="231F20"/>
        </w:rPr>
        <w:t>es </w:t>
      </w:r>
      <w:r>
        <w:rPr>
          <w:color w:val="231F20"/>
          <w:spacing w:val="2"/>
        </w:rPr>
        <w:t>me- diada por los intelectuales con </w:t>
      </w:r>
      <w:r>
        <w:rPr>
          <w:color w:val="231F20"/>
        </w:rPr>
        <w:t>el fin  de  </w:t>
      </w:r>
      <w:r>
        <w:rPr>
          <w:color w:val="231F20"/>
          <w:spacing w:val="2"/>
        </w:rPr>
        <w:t>lograr </w:t>
      </w:r>
      <w:r>
        <w:rPr>
          <w:color w:val="231F20"/>
        </w:rPr>
        <w:t>el  </w:t>
      </w:r>
      <w:r>
        <w:rPr>
          <w:color w:val="231F20"/>
          <w:spacing w:val="47"/>
        </w:rPr>
        <w:t> </w:t>
      </w:r>
      <w:r>
        <w:rPr>
          <w:color w:val="231F20"/>
          <w:spacing w:val="3"/>
        </w:rPr>
        <w:t>consentimiento</w:t>
      </w:r>
    </w:p>
    <w:p>
      <w:pPr>
        <w:pStyle w:val="BodyText"/>
        <w:spacing w:line="247" w:lineRule="auto"/>
        <w:ind w:left="102" w:right="115"/>
        <w:jc w:val="both"/>
      </w:pPr>
      <w:r>
        <w:rPr>
          <w:color w:val="231F20"/>
          <w:spacing w:val="3"/>
        </w:rPr>
        <w:t>«espontáneo», </w:t>
      </w:r>
      <w:r>
        <w:rPr>
          <w:color w:val="231F20"/>
          <w:spacing w:val="2"/>
        </w:rPr>
        <w:t>dado por </w:t>
      </w:r>
      <w:r>
        <w:rPr>
          <w:color w:val="231F20"/>
        </w:rPr>
        <w:t>las </w:t>
      </w:r>
      <w:r>
        <w:rPr>
          <w:color w:val="231F20"/>
          <w:spacing w:val="2"/>
        </w:rPr>
        <w:t>grandes masas </w:t>
      </w:r>
      <w:r>
        <w:rPr>
          <w:color w:val="231F20"/>
        </w:rPr>
        <w:t>de la </w:t>
      </w:r>
      <w:r>
        <w:rPr>
          <w:color w:val="231F20"/>
          <w:spacing w:val="2"/>
        </w:rPr>
        <w:t>población </w:t>
      </w:r>
      <w:r>
        <w:rPr>
          <w:color w:val="231F20"/>
        </w:rPr>
        <w:t>a la </w:t>
      </w:r>
      <w:r>
        <w:rPr>
          <w:color w:val="231F20"/>
          <w:spacing w:val="2"/>
        </w:rPr>
        <w:t>orientación impresa </w:t>
      </w:r>
      <w:r>
        <w:rPr>
          <w:color w:val="231F20"/>
        </w:rPr>
        <w:t>a la vida </w:t>
      </w:r>
      <w:r>
        <w:rPr>
          <w:color w:val="231F20"/>
          <w:spacing w:val="2"/>
        </w:rPr>
        <w:t>social por </w:t>
      </w:r>
      <w:r>
        <w:rPr>
          <w:color w:val="231F20"/>
        </w:rPr>
        <w:t>el </w:t>
      </w:r>
      <w:r>
        <w:rPr>
          <w:color w:val="231F20"/>
          <w:spacing w:val="2"/>
        </w:rPr>
        <w:t>grupo </w:t>
      </w:r>
      <w:r>
        <w:rPr>
          <w:color w:val="231F20"/>
          <w:spacing w:val="3"/>
        </w:rPr>
        <w:t>dominante fun- damental, consentimiento </w:t>
      </w:r>
      <w:r>
        <w:rPr>
          <w:color w:val="231F20"/>
          <w:spacing w:val="2"/>
        </w:rPr>
        <w:t>que nace </w:t>
      </w:r>
      <w:r>
        <w:rPr>
          <w:color w:val="231F20"/>
          <w:spacing w:val="3"/>
        </w:rPr>
        <w:t>«históricamente» </w:t>
      </w:r>
      <w:r>
        <w:rPr>
          <w:color w:val="231F20"/>
          <w:spacing w:val="2"/>
        </w:rPr>
        <w:t>del prestigio </w:t>
      </w:r>
      <w:r>
        <w:rPr>
          <w:color w:val="231F20"/>
        </w:rPr>
        <w:t>(y, </w:t>
      </w:r>
      <w:r>
        <w:rPr>
          <w:color w:val="231F20"/>
          <w:spacing w:val="2"/>
        </w:rPr>
        <w:t>por tanto, </w:t>
      </w:r>
      <w:r>
        <w:rPr>
          <w:color w:val="231F20"/>
        </w:rPr>
        <w:t>de la </w:t>
      </w:r>
      <w:r>
        <w:rPr>
          <w:color w:val="231F20"/>
          <w:spacing w:val="2"/>
        </w:rPr>
        <w:t>confianza) que </w:t>
      </w:r>
      <w:r>
        <w:rPr>
          <w:color w:val="231F20"/>
        </w:rPr>
        <w:t>el </w:t>
      </w:r>
      <w:r>
        <w:rPr>
          <w:color w:val="231F20"/>
          <w:spacing w:val="2"/>
        </w:rPr>
        <w:t>grupo </w:t>
      </w:r>
      <w:r>
        <w:rPr>
          <w:color w:val="231F20"/>
          <w:spacing w:val="3"/>
        </w:rPr>
        <w:t>dominante </w:t>
      </w:r>
      <w:r>
        <w:rPr>
          <w:color w:val="231F20"/>
        </w:rPr>
        <w:t>–o las </w:t>
      </w:r>
      <w:r>
        <w:rPr>
          <w:color w:val="231F20"/>
          <w:spacing w:val="2"/>
        </w:rPr>
        <w:t>insti- tuciones que sirven para </w:t>
      </w:r>
      <w:r>
        <w:rPr>
          <w:color w:val="231F20"/>
        </w:rPr>
        <w:t>el </w:t>
      </w:r>
      <w:r>
        <w:rPr>
          <w:color w:val="231F20"/>
          <w:spacing w:val="3"/>
        </w:rPr>
        <w:t>dominio–,obtiene </w:t>
      </w:r>
      <w:r>
        <w:rPr>
          <w:color w:val="231F20"/>
        </w:rPr>
        <w:t>de su </w:t>
      </w:r>
      <w:r>
        <w:rPr>
          <w:color w:val="231F20"/>
          <w:spacing w:val="2"/>
        </w:rPr>
        <w:t>posición </w:t>
      </w:r>
      <w:r>
        <w:rPr>
          <w:color w:val="231F20"/>
        </w:rPr>
        <w:t>y de  su </w:t>
      </w:r>
      <w:r>
        <w:rPr>
          <w:color w:val="231F20"/>
          <w:spacing w:val="2"/>
        </w:rPr>
        <w:t>función </w:t>
      </w:r>
      <w:r>
        <w:rPr>
          <w:color w:val="231F20"/>
        </w:rPr>
        <w:t>en el </w:t>
      </w:r>
      <w:r>
        <w:rPr>
          <w:color w:val="231F20"/>
          <w:spacing w:val="3"/>
        </w:rPr>
        <w:t>mundo </w:t>
      </w:r>
      <w:r>
        <w:rPr>
          <w:color w:val="231F20"/>
        </w:rPr>
        <w:t>de la  </w:t>
      </w:r>
      <w:r>
        <w:rPr>
          <w:color w:val="231F20"/>
          <w:spacing w:val="3"/>
        </w:rPr>
        <w:t>producción(Gramsci,  </w:t>
      </w:r>
      <w:r>
        <w:rPr>
          <w:color w:val="231F20"/>
          <w:spacing w:val="2"/>
        </w:rPr>
        <w:t>2005:394); pero </w:t>
      </w:r>
      <w:r>
        <w:rPr>
          <w:color w:val="231F20"/>
        </w:rPr>
        <w:t>no </w:t>
      </w:r>
      <w:r>
        <w:rPr>
          <w:color w:val="231F20"/>
          <w:spacing w:val="2"/>
        </w:rPr>
        <w:t>hay </w:t>
      </w:r>
      <w:r>
        <w:rPr>
          <w:color w:val="231F20"/>
        </w:rPr>
        <w:t>que </w:t>
      </w:r>
      <w:r>
        <w:rPr>
          <w:color w:val="231F20"/>
          <w:spacing w:val="2"/>
        </w:rPr>
        <w:t>olvidar </w:t>
      </w:r>
      <w:r>
        <w:rPr>
          <w:color w:val="231F20"/>
        </w:rPr>
        <w:t>que tal </w:t>
      </w:r>
      <w:r>
        <w:rPr>
          <w:color w:val="231F20"/>
          <w:spacing w:val="2"/>
        </w:rPr>
        <w:t>dominio </w:t>
      </w:r>
      <w:r>
        <w:rPr>
          <w:color w:val="231F20"/>
        </w:rPr>
        <w:t>se </w:t>
      </w:r>
      <w:r>
        <w:rPr>
          <w:color w:val="231F20"/>
          <w:spacing w:val="2"/>
        </w:rPr>
        <w:t>encarna </w:t>
      </w:r>
      <w:r>
        <w:rPr>
          <w:color w:val="231F20"/>
        </w:rPr>
        <w:t>en el </w:t>
      </w:r>
      <w:r>
        <w:rPr>
          <w:color w:val="231F20"/>
          <w:spacing w:val="49"/>
        </w:rPr>
        <w:t> </w:t>
      </w:r>
      <w:r>
        <w:rPr>
          <w:color w:val="231F20"/>
          <w:spacing w:val="2"/>
        </w:rPr>
        <w:t>Estado:</w:t>
      </w:r>
    </w:p>
    <w:p>
      <w:pPr>
        <w:spacing w:after="0" w:line="247" w:lineRule="auto"/>
        <w:jc w:val="both"/>
        <w:sectPr>
          <w:headerReference w:type="default" r:id="rId147"/>
          <w:footerReference w:type="default" r:id="rId148"/>
          <w:pgSz w:w="7830" w:h="11910"/>
          <w:pgMar w:header="0" w:footer="424" w:top="500" w:bottom="620" w:left="920" w:right="900"/>
          <w:pgNumType w:start="6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rPr>
          <w:sz w:val="16"/>
        </w:rPr>
      </w:pPr>
    </w:p>
    <w:p>
      <w:pPr>
        <w:pStyle w:val="BodyText"/>
        <w:spacing w:before="4"/>
        <w:rPr>
          <w:sz w:val="15"/>
        </w:rPr>
      </w:pPr>
    </w:p>
    <w:p>
      <w:pPr>
        <w:spacing w:line="273" w:lineRule="auto" w:before="0"/>
        <w:ind w:left="811" w:right="115" w:firstLine="0"/>
        <w:jc w:val="both"/>
        <w:rPr>
          <w:sz w:val="19"/>
        </w:rPr>
      </w:pPr>
      <w:r>
        <w:rPr>
          <w:color w:val="231F20"/>
          <w:spacing w:val="3"/>
          <w:sz w:val="19"/>
        </w:rPr>
        <w:t>…como </w:t>
      </w:r>
      <w:r>
        <w:rPr>
          <w:color w:val="231F20"/>
          <w:spacing w:val="2"/>
          <w:sz w:val="19"/>
        </w:rPr>
        <w:t>organismo propio </w:t>
      </w:r>
      <w:r>
        <w:rPr>
          <w:color w:val="231F20"/>
          <w:sz w:val="19"/>
        </w:rPr>
        <w:t>de un </w:t>
      </w:r>
      <w:r>
        <w:rPr>
          <w:color w:val="231F20"/>
          <w:spacing w:val="2"/>
          <w:sz w:val="19"/>
        </w:rPr>
        <w:t>grupo, destinado </w:t>
      </w:r>
      <w:r>
        <w:rPr>
          <w:color w:val="231F20"/>
          <w:sz w:val="19"/>
        </w:rPr>
        <w:t>a </w:t>
      </w:r>
      <w:r>
        <w:rPr>
          <w:color w:val="231F20"/>
          <w:spacing w:val="2"/>
          <w:sz w:val="19"/>
        </w:rPr>
        <w:t>crear </w:t>
      </w:r>
      <w:r>
        <w:rPr>
          <w:color w:val="231F20"/>
          <w:spacing w:val="3"/>
          <w:sz w:val="19"/>
        </w:rPr>
        <w:t>con- </w:t>
      </w:r>
      <w:r>
        <w:rPr>
          <w:color w:val="231F20"/>
          <w:spacing w:val="2"/>
          <w:sz w:val="19"/>
        </w:rPr>
        <w:t>diciones favorables </w:t>
      </w:r>
      <w:r>
        <w:rPr>
          <w:color w:val="231F20"/>
          <w:sz w:val="19"/>
        </w:rPr>
        <w:t>a la </w:t>
      </w:r>
      <w:r>
        <w:rPr>
          <w:color w:val="231F20"/>
          <w:spacing w:val="2"/>
          <w:sz w:val="19"/>
        </w:rPr>
        <w:t>máxima expansión </w:t>
      </w:r>
      <w:r>
        <w:rPr>
          <w:color w:val="231F20"/>
          <w:sz w:val="19"/>
        </w:rPr>
        <w:t>de ese </w:t>
      </w:r>
      <w:r>
        <w:rPr>
          <w:color w:val="231F20"/>
          <w:spacing w:val="2"/>
          <w:sz w:val="19"/>
        </w:rPr>
        <w:t>grupo; pero </w:t>
      </w:r>
      <w:r>
        <w:rPr>
          <w:color w:val="231F20"/>
          <w:sz w:val="19"/>
        </w:rPr>
        <w:t>ese </w:t>
      </w:r>
      <w:r>
        <w:rPr>
          <w:color w:val="231F20"/>
          <w:spacing w:val="2"/>
          <w:sz w:val="19"/>
        </w:rPr>
        <w:t>desarrollo </w:t>
      </w:r>
      <w:r>
        <w:rPr>
          <w:color w:val="231F20"/>
          <w:sz w:val="19"/>
        </w:rPr>
        <w:t>y esa </w:t>
      </w:r>
      <w:r>
        <w:rPr>
          <w:color w:val="231F20"/>
          <w:spacing w:val="2"/>
          <w:sz w:val="19"/>
        </w:rPr>
        <w:t>expansión </w:t>
      </w:r>
      <w:r>
        <w:rPr>
          <w:color w:val="231F20"/>
          <w:sz w:val="19"/>
        </w:rPr>
        <w:t>se </w:t>
      </w:r>
      <w:r>
        <w:rPr>
          <w:color w:val="231F20"/>
          <w:spacing w:val="2"/>
          <w:sz w:val="19"/>
        </w:rPr>
        <w:t>conciben </w:t>
      </w:r>
      <w:r>
        <w:rPr>
          <w:color w:val="231F20"/>
          <w:sz w:val="19"/>
        </w:rPr>
        <w:t>y se </w:t>
      </w:r>
      <w:r>
        <w:rPr>
          <w:color w:val="231F20"/>
          <w:spacing w:val="2"/>
          <w:sz w:val="19"/>
        </w:rPr>
        <w:t>presentan como  </w:t>
      </w:r>
      <w:r>
        <w:rPr>
          <w:color w:val="231F20"/>
          <w:sz w:val="19"/>
        </w:rPr>
        <w:t>la </w:t>
      </w:r>
      <w:r>
        <w:rPr>
          <w:color w:val="231F20"/>
          <w:spacing w:val="2"/>
          <w:sz w:val="19"/>
        </w:rPr>
        <w:t>fuerza promotora </w:t>
      </w:r>
      <w:r>
        <w:rPr>
          <w:color w:val="231F20"/>
          <w:sz w:val="19"/>
        </w:rPr>
        <w:t>de una </w:t>
      </w:r>
      <w:r>
        <w:rPr>
          <w:color w:val="231F20"/>
          <w:spacing w:val="2"/>
          <w:sz w:val="19"/>
        </w:rPr>
        <w:t>expansión universal, </w:t>
      </w:r>
      <w:r>
        <w:rPr>
          <w:color w:val="231F20"/>
          <w:sz w:val="19"/>
        </w:rPr>
        <w:t>de un </w:t>
      </w:r>
      <w:r>
        <w:rPr>
          <w:color w:val="231F20"/>
          <w:spacing w:val="2"/>
          <w:sz w:val="19"/>
        </w:rPr>
        <w:t>desarro-  </w:t>
      </w:r>
      <w:r>
        <w:rPr>
          <w:color w:val="231F20"/>
          <w:sz w:val="19"/>
        </w:rPr>
        <w:t>llo de </w:t>
      </w:r>
      <w:r>
        <w:rPr>
          <w:color w:val="231F20"/>
          <w:spacing w:val="2"/>
          <w:sz w:val="19"/>
        </w:rPr>
        <w:t>todas </w:t>
      </w:r>
      <w:r>
        <w:rPr>
          <w:color w:val="231F20"/>
          <w:sz w:val="19"/>
        </w:rPr>
        <w:t>las </w:t>
      </w:r>
      <w:r>
        <w:rPr>
          <w:color w:val="231F20"/>
          <w:spacing w:val="2"/>
          <w:sz w:val="19"/>
        </w:rPr>
        <w:t>energías «nacionales», </w:t>
      </w:r>
      <w:r>
        <w:rPr>
          <w:color w:val="231F20"/>
          <w:sz w:val="19"/>
        </w:rPr>
        <w:t>o </w:t>
      </w:r>
      <w:r>
        <w:rPr>
          <w:color w:val="231F20"/>
          <w:spacing w:val="2"/>
          <w:sz w:val="19"/>
        </w:rPr>
        <w:t>sea: </w:t>
      </w:r>
      <w:r>
        <w:rPr>
          <w:color w:val="231F20"/>
          <w:sz w:val="19"/>
        </w:rPr>
        <w:t>el </w:t>
      </w:r>
      <w:r>
        <w:rPr>
          <w:color w:val="231F20"/>
          <w:spacing w:val="2"/>
          <w:sz w:val="19"/>
        </w:rPr>
        <w:t>grupo dominante </w:t>
      </w:r>
      <w:r>
        <w:rPr>
          <w:color w:val="231F20"/>
          <w:sz w:val="19"/>
        </w:rPr>
        <w:t>se </w:t>
      </w:r>
      <w:r>
        <w:rPr>
          <w:color w:val="231F20"/>
          <w:spacing w:val="2"/>
          <w:sz w:val="19"/>
        </w:rPr>
        <w:t>coordina concretamente </w:t>
      </w:r>
      <w:r>
        <w:rPr>
          <w:color w:val="231F20"/>
          <w:sz w:val="19"/>
        </w:rPr>
        <w:t>con los </w:t>
      </w:r>
      <w:r>
        <w:rPr>
          <w:color w:val="231F20"/>
          <w:spacing w:val="2"/>
          <w:sz w:val="19"/>
        </w:rPr>
        <w:t>intereses generales </w:t>
      </w:r>
      <w:r>
        <w:rPr>
          <w:color w:val="231F20"/>
          <w:sz w:val="19"/>
        </w:rPr>
        <w:t>de los </w:t>
      </w:r>
      <w:r>
        <w:rPr>
          <w:color w:val="231F20"/>
          <w:spacing w:val="2"/>
          <w:sz w:val="19"/>
        </w:rPr>
        <w:t>grupos subordinados, </w:t>
      </w:r>
      <w:r>
        <w:rPr>
          <w:color w:val="231F20"/>
          <w:sz w:val="19"/>
        </w:rPr>
        <w:t>y la vida </w:t>
      </w:r>
      <w:r>
        <w:rPr>
          <w:color w:val="231F20"/>
          <w:spacing w:val="2"/>
          <w:sz w:val="19"/>
        </w:rPr>
        <w:t>estatal </w:t>
      </w:r>
      <w:r>
        <w:rPr>
          <w:color w:val="231F20"/>
          <w:sz w:val="19"/>
        </w:rPr>
        <w:t>se </w:t>
      </w:r>
      <w:r>
        <w:rPr>
          <w:color w:val="231F20"/>
          <w:spacing w:val="2"/>
          <w:sz w:val="19"/>
        </w:rPr>
        <w:t>concibe como </w:t>
      </w:r>
      <w:r>
        <w:rPr>
          <w:color w:val="231F20"/>
          <w:sz w:val="19"/>
        </w:rPr>
        <w:t>un </w:t>
      </w:r>
      <w:r>
        <w:rPr>
          <w:color w:val="231F20"/>
          <w:spacing w:val="3"/>
          <w:sz w:val="19"/>
        </w:rPr>
        <w:t>con- </w:t>
      </w:r>
      <w:r>
        <w:rPr>
          <w:color w:val="231F20"/>
          <w:sz w:val="19"/>
        </w:rPr>
        <w:t>tinuo  </w:t>
      </w:r>
      <w:r>
        <w:rPr>
          <w:color w:val="231F20"/>
          <w:spacing w:val="2"/>
          <w:sz w:val="19"/>
        </w:rPr>
        <w:t>formarse </w:t>
      </w:r>
      <w:r>
        <w:rPr>
          <w:color w:val="231F20"/>
          <w:sz w:val="19"/>
        </w:rPr>
        <w:t>y </w:t>
      </w:r>
      <w:r>
        <w:rPr>
          <w:color w:val="231F20"/>
          <w:spacing w:val="2"/>
          <w:sz w:val="19"/>
        </w:rPr>
        <w:t>superarse </w:t>
      </w:r>
      <w:r>
        <w:rPr>
          <w:color w:val="231F20"/>
          <w:sz w:val="19"/>
        </w:rPr>
        <w:t>de </w:t>
      </w:r>
      <w:r>
        <w:rPr>
          <w:color w:val="231F20"/>
          <w:spacing w:val="2"/>
          <w:sz w:val="19"/>
        </w:rPr>
        <w:t>equilibrios inestables (dentro </w:t>
      </w:r>
      <w:r>
        <w:rPr>
          <w:color w:val="231F20"/>
          <w:sz w:val="19"/>
        </w:rPr>
        <w:t>de   la ley) </w:t>
      </w:r>
      <w:r>
        <w:rPr>
          <w:color w:val="231F20"/>
          <w:spacing w:val="2"/>
          <w:sz w:val="19"/>
        </w:rPr>
        <w:t>entre </w:t>
      </w:r>
      <w:r>
        <w:rPr>
          <w:color w:val="231F20"/>
          <w:sz w:val="19"/>
        </w:rPr>
        <w:t>los </w:t>
      </w:r>
      <w:r>
        <w:rPr>
          <w:color w:val="231F20"/>
          <w:spacing w:val="2"/>
          <w:sz w:val="19"/>
        </w:rPr>
        <w:t>intereses </w:t>
      </w:r>
      <w:r>
        <w:rPr>
          <w:color w:val="231F20"/>
          <w:sz w:val="19"/>
        </w:rPr>
        <w:t>del </w:t>
      </w:r>
      <w:r>
        <w:rPr>
          <w:color w:val="231F20"/>
          <w:spacing w:val="2"/>
          <w:sz w:val="19"/>
        </w:rPr>
        <w:t>grupo fundamental </w:t>
      </w:r>
      <w:r>
        <w:rPr>
          <w:color w:val="231F20"/>
          <w:sz w:val="19"/>
        </w:rPr>
        <w:t>y los de los </w:t>
      </w:r>
      <w:r>
        <w:rPr>
          <w:color w:val="231F20"/>
          <w:spacing w:val="2"/>
          <w:sz w:val="19"/>
        </w:rPr>
        <w:t>grupos subordinados, equilibrios </w:t>
      </w:r>
      <w:r>
        <w:rPr>
          <w:color w:val="231F20"/>
          <w:sz w:val="19"/>
        </w:rPr>
        <w:t>en los </w:t>
      </w:r>
      <w:r>
        <w:rPr>
          <w:color w:val="231F20"/>
          <w:spacing w:val="2"/>
          <w:sz w:val="19"/>
        </w:rPr>
        <w:t>cuales </w:t>
      </w:r>
      <w:r>
        <w:rPr>
          <w:color w:val="231F20"/>
          <w:sz w:val="19"/>
        </w:rPr>
        <w:t>los </w:t>
      </w:r>
      <w:r>
        <w:rPr>
          <w:color w:val="231F20"/>
          <w:spacing w:val="2"/>
          <w:sz w:val="19"/>
        </w:rPr>
        <w:t>intereses </w:t>
      </w:r>
      <w:r>
        <w:rPr>
          <w:color w:val="231F20"/>
          <w:sz w:val="19"/>
        </w:rPr>
        <w:t>del </w:t>
      </w:r>
      <w:r>
        <w:rPr>
          <w:color w:val="231F20"/>
          <w:spacing w:val="2"/>
          <w:sz w:val="19"/>
        </w:rPr>
        <w:t>grupo dominante prevalecen (Gramsci, 2005: 415,</w:t>
      </w:r>
      <w:r>
        <w:rPr>
          <w:color w:val="231F20"/>
          <w:spacing w:val="8"/>
          <w:sz w:val="19"/>
        </w:rPr>
        <w:t> </w:t>
      </w:r>
      <w:r>
        <w:rPr>
          <w:color w:val="231F20"/>
          <w:spacing w:val="2"/>
          <w:sz w:val="19"/>
        </w:rPr>
        <w:t>402).</w:t>
      </w:r>
    </w:p>
    <w:p>
      <w:pPr>
        <w:pStyle w:val="BodyText"/>
        <w:spacing w:before="3"/>
        <w:rPr>
          <w:sz w:val="20"/>
        </w:rPr>
      </w:pPr>
    </w:p>
    <w:p>
      <w:pPr>
        <w:pStyle w:val="BodyText"/>
        <w:spacing w:line="249" w:lineRule="auto"/>
        <w:ind w:left="102" w:right="115" w:firstLine="284"/>
        <w:jc w:val="both"/>
      </w:pPr>
      <w:r>
        <w:rPr>
          <w:color w:val="231F20"/>
        </w:rPr>
        <w:t>O en </w:t>
      </w:r>
      <w:r>
        <w:rPr>
          <w:color w:val="231F20"/>
          <w:spacing w:val="2"/>
        </w:rPr>
        <w:t>otros casos este </w:t>
      </w:r>
      <w:r>
        <w:rPr>
          <w:color w:val="231F20"/>
          <w:spacing w:val="3"/>
        </w:rPr>
        <w:t>dominio </w:t>
      </w:r>
      <w:r>
        <w:rPr>
          <w:color w:val="231F20"/>
          <w:spacing w:val="2"/>
        </w:rPr>
        <w:t>sirve para justificar </w:t>
      </w:r>
      <w:r>
        <w:rPr>
          <w:color w:val="231F20"/>
        </w:rPr>
        <w:t>un </w:t>
      </w:r>
      <w:r>
        <w:rPr>
          <w:color w:val="231F20"/>
          <w:spacing w:val="2"/>
        </w:rPr>
        <w:t>determi- nado orden </w:t>
      </w:r>
      <w:r>
        <w:rPr>
          <w:color w:val="231F20"/>
          <w:spacing w:val="3"/>
        </w:rPr>
        <w:t>económico </w:t>
      </w:r>
      <w:r>
        <w:rPr>
          <w:color w:val="231F20"/>
        </w:rPr>
        <w:t>y </w:t>
      </w:r>
      <w:r>
        <w:rPr>
          <w:color w:val="231F20"/>
          <w:spacing w:val="2"/>
        </w:rPr>
        <w:t>político </w:t>
      </w:r>
      <w:r>
        <w:rPr>
          <w:color w:val="231F20"/>
          <w:spacing w:val="3"/>
        </w:rPr>
        <w:t>como </w:t>
      </w:r>
      <w:r>
        <w:rPr>
          <w:color w:val="231F20"/>
        </w:rPr>
        <w:t>el </w:t>
      </w:r>
      <w:r>
        <w:rPr>
          <w:color w:val="231F20"/>
          <w:spacing w:val="2"/>
        </w:rPr>
        <w:t>único adecuado para</w:t>
      </w:r>
      <w:r>
        <w:rPr>
          <w:color w:val="231F20"/>
          <w:spacing w:val="56"/>
        </w:rPr>
        <w:t> </w:t>
      </w:r>
      <w:r>
        <w:rPr>
          <w:color w:val="231F20"/>
          <w:spacing w:val="2"/>
        </w:rPr>
        <w:t>superar </w:t>
      </w:r>
      <w:r>
        <w:rPr>
          <w:color w:val="231F20"/>
        </w:rPr>
        <w:t>las </w:t>
      </w:r>
      <w:r>
        <w:rPr>
          <w:color w:val="231F20"/>
          <w:spacing w:val="2"/>
        </w:rPr>
        <w:t>desigualdades existentes. Así, </w:t>
      </w:r>
      <w:r>
        <w:rPr>
          <w:color w:val="231F20"/>
        </w:rPr>
        <w:t>las </w:t>
      </w:r>
      <w:r>
        <w:rPr>
          <w:color w:val="231F20"/>
          <w:spacing w:val="3"/>
        </w:rPr>
        <w:t>formas </w:t>
      </w:r>
      <w:r>
        <w:rPr>
          <w:color w:val="231F20"/>
        </w:rPr>
        <w:t>de </w:t>
      </w:r>
      <w:r>
        <w:rPr>
          <w:color w:val="231F20"/>
          <w:spacing w:val="2"/>
        </w:rPr>
        <w:t>racionali- zación </w:t>
      </w:r>
      <w:r>
        <w:rPr>
          <w:color w:val="231F20"/>
        </w:rPr>
        <w:t>de la </w:t>
      </w:r>
      <w:r>
        <w:rPr>
          <w:color w:val="231F20"/>
          <w:spacing w:val="2"/>
        </w:rPr>
        <w:t>violencia </w:t>
      </w:r>
      <w:r>
        <w:rPr>
          <w:color w:val="231F20"/>
        </w:rPr>
        <w:t>se </w:t>
      </w:r>
      <w:r>
        <w:rPr>
          <w:color w:val="231F20"/>
          <w:spacing w:val="2"/>
        </w:rPr>
        <w:t>revelan </w:t>
      </w:r>
      <w:r>
        <w:rPr>
          <w:color w:val="231F20"/>
          <w:spacing w:val="3"/>
        </w:rPr>
        <w:t>como </w:t>
      </w:r>
      <w:r>
        <w:rPr>
          <w:color w:val="231F20"/>
          <w:spacing w:val="2"/>
        </w:rPr>
        <w:t>sistematizaciones </w:t>
      </w:r>
      <w:r>
        <w:rPr>
          <w:color w:val="231F20"/>
        </w:rPr>
        <w:t>de </w:t>
      </w:r>
      <w:r>
        <w:rPr>
          <w:color w:val="231F20"/>
          <w:spacing w:val="2"/>
        </w:rPr>
        <w:t>las relaciones </w:t>
      </w:r>
      <w:r>
        <w:rPr>
          <w:color w:val="231F20"/>
        </w:rPr>
        <w:t>de </w:t>
      </w:r>
      <w:r>
        <w:rPr>
          <w:color w:val="231F20"/>
          <w:spacing w:val="2"/>
        </w:rPr>
        <w:t>desigualdad </w:t>
      </w:r>
      <w:r>
        <w:rPr>
          <w:color w:val="231F20"/>
        </w:rPr>
        <w:t>y </w:t>
      </w:r>
      <w:r>
        <w:rPr>
          <w:color w:val="231F20"/>
          <w:spacing w:val="2"/>
        </w:rPr>
        <w:t>exclusión social </w:t>
      </w:r>
      <w:r>
        <w:rPr>
          <w:color w:val="231F20"/>
        </w:rPr>
        <w:t>que </w:t>
      </w:r>
      <w:r>
        <w:rPr>
          <w:color w:val="231F20"/>
          <w:spacing w:val="3"/>
        </w:rPr>
        <w:t>implican </w:t>
      </w:r>
      <w:r>
        <w:rPr>
          <w:color w:val="231F20"/>
        </w:rPr>
        <w:t>la </w:t>
      </w:r>
      <w:r>
        <w:rPr>
          <w:color w:val="231F20"/>
          <w:spacing w:val="3"/>
        </w:rPr>
        <w:t>elabo- </w:t>
      </w:r>
      <w:r>
        <w:rPr>
          <w:color w:val="231F20"/>
          <w:spacing w:val="2"/>
        </w:rPr>
        <w:t>ración </w:t>
      </w:r>
      <w:r>
        <w:rPr>
          <w:color w:val="231F20"/>
        </w:rPr>
        <w:t>de </w:t>
      </w:r>
      <w:r>
        <w:rPr>
          <w:color w:val="231F20"/>
          <w:spacing w:val="2"/>
        </w:rPr>
        <w:t>discursos </w:t>
      </w:r>
      <w:r>
        <w:rPr>
          <w:color w:val="231F20"/>
        </w:rPr>
        <w:t>que </w:t>
      </w:r>
      <w:r>
        <w:rPr>
          <w:color w:val="231F20"/>
          <w:spacing w:val="2"/>
        </w:rPr>
        <w:t>explican </w:t>
      </w:r>
      <w:r>
        <w:rPr>
          <w:color w:val="231F20"/>
        </w:rPr>
        <w:t>y </w:t>
      </w:r>
      <w:r>
        <w:rPr>
          <w:color w:val="231F20"/>
          <w:spacing w:val="2"/>
        </w:rPr>
        <w:t>justifican esas relaciones, pero que, </w:t>
      </w:r>
      <w:r>
        <w:rPr>
          <w:color w:val="231F20"/>
        </w:rPr>
        <w:t>al </w:t>
      </w:r>
      <w:r>
        <w:rPr>
          <w:color w:val="231F20"/>
          <w:spacing w:val="3"/>
        </w:rPr>
        <w:t>mismo tiempo, </w:t>
      </w:r>
      <w:r>
        <w:rPr>
          <w:color w:val="231F20"/>
          <w:spacing w:val="2"/>
        </w:rPr>
        <w:t>tornan </w:t>
      </w:r>
      <w:r>
        <w:rPr>
          <w:color w:val="231F20"/>
          <w:spacing w:val="3"/>
        </w:rPr>
        <w:t>opacos, </w:t>
      </w:r>
      <w:r>
        <w:rPr>
          <w:color w:val="231F20"/>
          <w:spacing w:val="2"/>
        </w:rPr>
        <w:t>invisibles, </w:t>
      </w:r>
      <w:r>
        <w:rPr>
          <w:color w:val="231F20"/>
        </w:rPr>
        <w:t>a </w:t>
      </w:r>
      <w:r>
        <w:rPr>
          <w:color w:val="231F20"/>
          <w:spacing w:val="2"/>
        </w:rPr>
        <w:t>los sujetos </w:t>
      </w:r>
      <w:r>
        <w:rPr>
          <w:color w:val="231F20"/>
          <w:spacing w:val="3"/>
        </w:rPr>
        <w:t>productores </w:t>
      </w:r>
      <w:r>
        <w:rPr>
          <w:color w:val="231F20"/>
        </w:rPr>
        <w:t>y </w:t>
      </w:r>
      <w:r>
        <w:rPr>
          <w:color w:val="231F20"/>
          <w:spacing w:val="3"/>
        </w:rPr>
        <w:t>portadores </w:t>
      </w:r>
      <w:r>
        <w:rPr>
          <w:color w:val="231F20"/>
        </w:rPr>
        <w:t>de </w:t>
      </w:r>
      <w:r>
        <w:rPr>
          <w:color w:val="231F20"/>
          <w:spacing w:val="2"/>
        </w:rPr>
        <w:t>esos discursos: </w:t>
      </w:r>
      <w:r>
        <w:rPr>
          <w:color w:val="231F20"/>
        </w:rPr>
        <w:t>lo que se </w:t>
      </w:r>
      <w:r>
        <w:rPr>
          <w:color w:val="231F20"/>
          <w:spacing w:val="2"/>
        </w:rPr>
        <w:t>nos </w:t>
      </w:r>
      <w:r>
        <w:rPr>
          <w:color w:val="231F20"/>
          <w:spacing w:val="3"/>
        </w:rPr>
        <w:t>presen-</w:t>
      </w:r>
      <w:r>
        <w:rPr>
          <w:color w:val="231F20"/>
          <w:spacing w:val="58"/>
        </w:rPr>
        <w:t> </w:t>
      </w:r>
      <w:r>
        <w:rPr>
          <w:color w:val="231F20"/>
        </w:rPr>
        <w:t>ta, de </w:t>
      </w:r>
      <w:r>
        <w:rPr>
          <w:color w:val="231F20"/>
          <w:spacing w:val="3"/>
        </w:rPr>
        <w:t>modo </w:t>
      </w:r>
      <w:r>
        <w:rPr>
          <w:color w:val="231F20"/>
          <w:spacing w:val="2"/>
        </w:rPr>
        <w:t>inmediato, son </w:t>
      </w:r>
      <w:r>
        <w:rPr>
          <w:color w:val="231F20"/>
        </w:rPr>
        <w:t>las  </w:t>
      </w:r>
      <w:r>
        <w:rPr>
          <w:color w:val="231F20"/>
          <w:spacing w:val="2"/>
        </w:rPr>
        <w:t>instituciones </w:t>
      </w:r>
      <w:r>
        <w:rPr>
          <w:color w:val="231F20"/>
        </w:rPr>
        <w:t>y  </w:t>
      </w:r>
      <w:r>
        <w:rPr>
          <w:color w:val="231F20"/>
          <w:spacing w:val="2"/>
        </w:rPr>
        <w:t>los discursos que  </w:t>
      </w:r>
      <w:r>
        <w:rPr>
          <w:color w:val="231F20"/>
        </w:rPr>
        <w:t>las</w:t>
      </w:r>
      <w:r>
        <w:rPr>
          <w:color w:val="231F20"/>
          <w:spacing w:val="-2"/>
        </w:rPr>
        <w:t> </w:t>
      </w:r>
      <w:r>
        <w:rPr>
          <w:color w:val="231F20"/>
          <w:spacing w:val="3"/>
        </w:rPr>
        <w:t>acompañan.</w:t>
      </w:r>
    </w:p>
    <w:p>
      <w:pPr>
        <w:pStyle w:val="BodyText"/>
        <w:spacing w:line="240" w:lineRule="exact"/>
        <w:ind w:left="386" w:right="121"/>
      </w:pPr>
      <w:r>
        <w:rPr>
          <w:color w:val="231F20"/>
        </w:rPr>
        <w:t>Por  ello  en  esta  investigación  se  parte  de  una  interrogante,</w:t>
      </w:r>
    </w:p>
    <w:p>
      <w:pPr>
        <w:pStyle w:val="BodyText"/>
        <w:spacing w:line="249" w:lineRule="auto" w:before="8"/>
        <w:ind w:left="102" w:right="115"/>
        <w:jc w:val="both"/>
      </w:pPr>
      <w:r>
        <w:rPr>
          <w:color w:val="231F20"/>
        </w:rPr>
        <w:t>¿cómo las políticas educativas constituyen un discurso del domi- nio que </w:t>
      </w:r>
      <w:r>
        <w:rPr>
          <w:i/>
          <w:color w:val="231F20"/>
        </w:rPr>
        <w:t>se presenta como </w:t>
      </w:r>
      <w:r>
        <w:rPr>
          <w:color w:val="231F20"/>
        </w:rPr>
        <w:t>fundado teóricamente, pero que descansa en una ideología legitimante? Aquí tenemos que entender la ideo- logía legitimante como una expresión simbólica que procura pre- sentar una concepción de realidad y un modo de intervenir en ella que es presentado como el único camino para superar las “insufi- ciencias” presentes, o heredadas.</w:t>
      </w:r>
    </w:p>
    <w:p>
      <w:pPr>
        <w:pStyle w:val="BodyText"/>
        <w:spacing w:line="247" w:lineRule="auto"/>
        <w:ind w:left="102" w:right="115" w:firstLine="284"/>
        <w:jc w:val="both"/>
      </w:pPr>
      <w:r>
        <w:rPr>
          <w:color w:val="231F20"/>
        </w:rPr>
        <w:t>Para desarrollar esa pregunta suponemos que las políticas edu- cativas –en general las políticas públicas– expresan un discurso donde la comprensión de la realidad social a la que aluden se pre- senta como el resultado de una elaboración científica (investiga- ción), que se expresa como diagnóstico a partir del cual se deter- minan una serie de problemas a superar para alcanzar un fin de- terminado, o bien, se justifican una serie de decisiones.</w:t>
      </w:r>
    </w:p>
    <w:p>
      <w:pPr>
        <w:spacing w:after="0" w:line="247" w:lineRule="auto"/>
        <w:jc w:val="both"/>
        <w:sectPr>
          <w:headerReference w:type="default" r:id="rId149"/>
          <w:footerReference w:type="default" r:id="rId150"/>
          <w:pgSz w:w="7830" w:h="11910"/>
          <w:pgMar w:header="0" w:footer="424" w:top="500" w:bottom="620" w:left="920" w:right="900"/>
          <w:pgNumType w:start="6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4" w:firstLine="283"/>
        <w:jc w:val="both"/>
      </w:pPr>
      <w:r>
        <w:rPr>
          <w:color w:val="231F20"/>
          <w:spacing w:val="2"/>
        </w:rPr>
        <w:t>Por discurso </w:t>
      </w:r>
      <w:r>
        <w:rPr>
          <w:color w:val="231F20"/>
          <w:spacing w:val="3"/>
        </w:rPr>
        <w:t>entendemos, </w:t>
      </w:r>
      <w:r>
        <w:rPr>
          <w:color w:val="231F20"/>
          <w:spacing w:val="2"/>
        </w:rPr>
        <w:t>siguiendo </w:t>
      </w:r>
      <w:r>
        <w:rPr>
          <w:color w:val="231F20"/>
        </w:rPr>
        <w:t>a </w:t>
      </w:r>
      <w:r>
        <w:rPr>
          <w:color w:val="231F20"/>
          <w:spacing w:val="3"/>
        </w:rPr>
        <w:t>Habermas, </w:t>
      </w:r>
      <w:r>
        <w:rPr>
          <w:color w:val="231F20"/>
          <w:spacing w:val="2"/>
        </w:rPr>
        <w:t>una </w:t>
      </w:r>
      <w:r>
        <w:rPr>
          <w:color w:val="231F20"/>
          <w:spacing w:val="3"/>
        </w:rPr>
        <w:t>“argu- </w:t>
      </w:r>
      <w:r>
        <w:rPr>
          <w:color w:val="231F20"/>
          <w:spacing w:val="2"/>
        </w:rPr>
        <w:t>mentación </w:t>
      </w:r>
      <w:r>
        <w:rPr>
          <w:color w:val="231F20"/>
        </w:rPr>
        <w:t>al tipo de </w:t>
      </w:r>
      <w:r>
        <w:rPr>
          <w:color w:val="231F20"/>
          <w:spacing w:val="2"/>
        </w:rPr>
        <w:t>discurso </w:t>
      </w:r>
      <w:r>
        <w:rPr>
          <w:color w:val="231F20"/>
        </w:rPr>
        <w:t>en el que los </w:t>
      </w:r>
      <w:r>
        <w:rPr>
          <w:color w:val="231F20"/>
          <w:spacing w:val="2"/>
        </w:rPr>
        <w:t>participantes tematizan ciertas </w:t>
      </w:r>
      <w:r>
        <w:rPr>
          <w:color w:val="231F20"/>
          <w:spacing w:val="3"/>
        </w:rPr>
        <w:t>pretensiones </w:t>
      </w:r>
      <w:r>
        <w:rPr>
          <w:color w:val="231F20"/>
        </w:rPr>
        <w:t>de </w:t>
      </w:r>
      <w:r>
        <w:rPr>
          <w:color w:val="231F20"/>
          <w:spacing w:val="2"/>
        </w:rPr>
        <w:t>validez que </w:t>
      </w:r>
      <w:r>
        <w:rPr>
          <w:color w:val="231F20"/>
        </w:rPr>
        <w:t>se </w:t>
      </w:r>
      <w:r>
        <w:rPr>
          <w:color w:val="231F20"/>
          <w:spacing w:val="2"/>
        </w:rPr>
        <w:t>han vuelto objeto </w:t>
      </w:r>
      <w:r>
        <w:rPr>
          <w:color w:val="231F20"/>
        </w:rPr>
        <w:t>de </w:t>
      </w:r>
      <w:r>
        <w:rPr>
          <w:color w:val="231F20"/>
          <w:spacing w:val="2"/>
        </w:rPr>
        <w:t>disputa  </w:t>
      </w:r>
      <w:r>
        <w:rPr>
          <w:color w:val="231F20"/>
        </w:rPr>
        <w:t>e </w:t>
      </w:r>
      <w:r>
        <w:rPr>
          <w:color w:val="231F20"/>
          <w:spacing w:val="2"/>
        </w:rPr>
        <w:t>intentan saldarlas </w:t>
      </w:r>
      <w:r>
        <w:rPr>
          <w:color w:val="231F20"/>
        </w:rPr>
        <w:t>y </w:t>
      </w:r>
      <w:r>
        <w:rPr>
          <w:color w:val="231F20"/>
          <w:spacing w:val="2"/>
        </w:rPr>
        <w:t>criticarlas con </w:t>
      </w:r>
      <w:r>
        <w:rPr>
          <w:color w:val="231F20"/>
          <w:spacing w:val="3"/>
        </w:rPr>
        <w:t>argumentos, </w:t>
      </w:r>
      <w:r>
        <w:rPr>
          <w:color w:val="231F20"/>
        </w:rPr>
        <w:t>que </w:t>
      </w:r>
      <w:r>
        <w:rPr>
          <w:color w:val="231F20"/>
          <w:spacing w:val="3"/>
        </w:rPr>
        <w:t>contienen </w:t>
      </w:r>
      <w:r>
        <w:rPr>
          <w:color w:val="231F20"/>
          <w:spacing w:val="2"/>
        </w:rPr>
        <w:t>razones… </w:t>
      </w:r>
      <w:r>
        <w:rPr>
          <w:color w:val="231F20"/>
          <w:spacing w:val="3"/>
        </w:rPr>
        <w:t>conectadas… </w:t>
      </w:r>
      <w:r>
        <w:rPr>
          <w:color w:val="231F20"/>
          <w:spacing w:val="2"/>
        </w:rPr>
        <w:t>con </w:t>
      </w:r>
      <w:r>
        <w:rPr>
          <w:color w:val="231F20"/>
        </w:rPr>
        <w:t>la </w:t>
      </w:r>
      <w:r>
        <w:rPr>
          <w:color w:val="231F20"/>
          <w:spacing w:val="3"/>
        </w:rPr>
        <w:t>pretensión </w:t>
      </w:r>
      <w:r>
        <w:rPr>
          <w:color w:val="231F20"/>
        </w:rPr>
        <w:t>de </w:t>
      </w:r>
      <w:r>
        <w:rPr>
          <w:color w:val="231F20"/>
          <w:spacing w:val="2"/>
        </w:rPr>
        <w:t>validez </w:t>
      </w:r>
      <w:r>
        <w:rPr>
          <w:color w:val="231F20"/>
        </w:rPr>
        <w:t>de un </w:t>
      </w:r>
      <w:r>
        <w:rPr>
          <w:color w:val="231F20"/>
          <w:spacing w:val="3"/>
        </w:rPr>
        <w:t>enun- </w:t>
      </w:r>
      <w:r>
        <w:rPr>
          <w:color w:val="231F20"/>
          <w:spacing w:val="2"/>
        </w:rPr>
        <w:t>ciado </w:t>
      </w:r>
      <w:r>
        <w:rPr>
          <w:color w:val="231F20"/>
          <w:spacing w:val="3"/>
        </w:rPr>
        <w:t>problematizado”, </w:t>
      </w:r>
      <w:r>
        <w:rPr>
          <w:color w:val="231F20"/>
        </w:rPr>
        <w:t>de allí </w:t>
      </w:r>
      <w:r>
        <w:rPr>
          <w:color w:val="231F20"/>
          <w:spacing w:val="2"/>
        </w:rPr>
        <w:t>que </w:t>
      </w:r>
      <w:r>
        <w:rPr>
          <w:color w:val="231F20"/>
        </w:rPr>
        <w:t>se </w:t>
      </w:r>
      <w:r>
        <w:rPr>
          <w:color w:val="231F20"/>
          <w:spacing w:val="3"/>
        </w:rPr>
        <w:t>puedan </w:t>
      </w:r>
      <w:r>
        <w:rPr>
          <w:color w:val="231F20"/>
          <w:spacing w:val="2"/>
        </w:rPr>
        <w:t>distinguir dos </w:t>
      </w:r>
      <w:r>
        <w:rPr>
          <w:color w:val="231F20"/>
          <w:spacing w:val="3"/>
        </w:rPr>
        <w:t>tipos</w:t>
      </w:r>
      <w:r>
        <w:rPr>
          <w:color w:val="231F20"/>
          <w:spacing w:val="58"/>
        </w:rPr>
        <w:t> </w:t>
      </w:r>
      <w:r>
        <w:rPr>
          <w:color w:val="231F20"/>
        </w:rPr>
        <w:t>de </w:t>
      </w:r>
      <w:r>
        <w:rPr>
          <w:color w:val="231F20"/>
          <w:spacing w:val="2"/>
        </w:rPr>
        <w:t>discurso: </w:t>
      </w:r>
      <w:r>
        <w:rPr>
          <w:color w:val="231F20"/>
        </w:rPr>
        <w:t>un </w:t>
      </w:r>
      <w:r>
        <w:rPr>
          <w:color w:val="231F20"/>
          <w:spacing w:val="2"/>
        </w:rPr>
        <w:t>discurso teórico </w:t>
      </w:r>
      <w:r>
        <w:rPr>
          <w:color w:val="231F20"/>
          <w:spacing w:val="3"/>
        </w:rPr>
        <w:t>donde </w:t>
      </w:r>
      <w:r>
        <w:rPr>
          <w:color w:val="231F20"/>
        </w:rPr>
        <w:t>lo </w:t>
      </w:r>
      <w:r>
        <w:rPr>
          <w:color w:val="231F20"/>
          <w:spacing w:val="2"/>
        </w:rPr>
        <w:t>racional </w:t>
      </w:r>
      <w:r>
        <w:rPr>
          <w:color w:val="231F20"/>
        </w:rPr>
        <w:t>se  </w:t>
      </w:r>
      <w:r>
        <w:rPr>
          <w:color w:val="231F20"/>
          <w:spacing w:val="2"/>
        </w:rPr>
        <w:t>presenta </w:t>
      </w:r>
      <w:r>
        <w:rPr>
          <w:color w:val="231F20"/>
          <w:spacing w:val="3"/>
        </w:rPr>
        <w:t>como dominio </w:t>
      </w:r>
      <w:r>
        <w:rPr>
          <w:color w:val="231F20"/>
          <w:spacing w:val="2"/>
        </w:rPr>
        <w:t>cognitivo </w:t>
      </w:r>
      <w:r>
        <w:rPr>
          <w:color w:val="231F20"/>
          <w:spacing w:val="3"/>
        </w:rPr>
        <w:t>instrumental </w:t>
      </w:r>
      <w:r>
        <w:rPr>
          <w:color w:val="231F20"/>
        </w:rPr>
        <w:t>y, </w:t>
      </w:r>
      <w:r>
        <w:rPr>
          <w:color w:val="231F20"/>
          <w:spacing w:val="2"/>
        </w:rPr>
        <w:t>por tanto los </w:t>
      </w:r>
      <w:r>
        <w:rPr>
          <w:color w:val="231F20"/>
          <w:spacing w:val="3"/>
        </w:rPr>
        <w:t>enunciados </w:t>
      </w:r>
      <w:r>
        <w:rPr>
          <w:color w:val="231F20"/>
          <w:spacing w:val="2"/>
        </w:rPr>
        <w:t>están </w:t>
      </w:r>
      <w:r>
        <w:rPr>
          <w:color w:val="231F20"/>
          <w:spacing w:val="3"/>
        </w:rPr>
        <w:t>fundados </w:t>
      </w:r>
      <w:r>
        <w:rPr>
          <w:color w:val="231F20"/>
        </w:rPr>
        <w:t>y las </w:t>
      </w:r>
      <w:r>
        <w:rPr>
          <w:color w:val="231F20"/>
          <w:spacing w:val="2"/>
        </w:rPr>
        <w:t>actuaciones </w:t>
      </w:r>
      <w:r>
        <w:rPr>
          <w:color w:val="231F20"/>
        </w:rPr>
        <w:t>se </w:t>
      </w:r>
      <w:r>
        <w:rPr>
          <w:color w:val="231F20"/>
          <w:spacing w:val="2"/>
        </w:rPr>
        <w:t>presentan </w:t>
      </w:r>
      <w:r>
        <w:rPr>
          <w:color w:val="231F20"/>
          <w:spacing w:val="3"/>
        </w:rPr>
        <w:t>como </w:t>
      </w:r>
      <w:r>
        <w:rPr>
          <w:color w:val="231F20"/>
          <w:spacing w:val="2"/>
        </w:rPr>
        <w:t>eficientes respecto </w:t>
      </w:r>
      <w:r>
        <w:rPr>
          <w:color w:val="231F20"/>
        </w:rPr>
        <w:t>a las </w:t>
      </w:r>
      <w:r>
        <w:rPr>
          <w:color w:val="231F20"/>
          <w:spacing w:val="2"/>
        </w:rPr>
        <w:t>situaciones </w:t>
      </w:r>
      <w:r>
        <w:rPr>
          <w:color w:val="231F20"/>
          <w:spacing w:val="3"/>
        </w:rPr>
        <w:t>definidas como problemáticas; </w:t>
      </w:r>
      <w:r>
        <w:rPr>
          <w:color w:val="231F20"/>
          <w:spacing w:val="2"/>
        </w:rPr>
        <w:t>por otra parte, está </w:t>
      </w:r>
      <w:r>
        <w:rPr>
          <w:color w:val="231F20"/>
        </w:rPr>
        <w:t>el </w:t>
      </w:r>
      <w:r>
        <w:rPr>
          <w:color w:val="231F20"/>
          <w:spacing w:val="2"/>
        </w:rPr>
        <w:t>discurso práctico donde </w:t>
      </w:r>
      <w:r>
        <w:rPr>
          <w:color w:val="231F20"/>
        </w:rPr>
        <w:t>lo </w:t>
      </w:r>
      <w:r>
        <w:rPr>
          <w:color w:val="231F20"/>
          <w:spacing w:val="2"/>
        </w:rPr>
        <w:t>racional expresa </w:t>
      </w:r>
      <w:r>
        <w:rPr>
          <w:color w:val="231F20"/>
        </w:rPr>
        <w:t>un </w:t>
      </w:r>
      <w:r>
        <w:rPr>
          <w:color w:val="231F20"/>
          <w:spacing w:val="4"/>
        </w:rPr>
        <w:t>en- </w:t>
      </w:r>
      <w:r>
        <w:rPr>
          <w:color w:val="231F20"/>
          <w:spacing w:val="2"/>
        </w:rPr>
        <w:t>tendimiento recíproco que tiende </w:t>
      </w:r>
      <w:r>
        <w:rPr>
          <w:color w:val="231F20"/>
        </w:rPr>
        <w:t>a un </w:t>
      </w:r>
      <w:r>
        <w:rPr>
          <w:color w:val="231F20"/>
          <w:spacing w:val="2"/>
        </w:rPr>
        <w:t>acuerdo </w:t>
      </w:r>
      <w:r>
        <w:rPr>
          <w:color w:val="231F20"/>
          <w:spacing w:val="3"/>
        </w:rPr>
        <w:t>racionalmente, </w:t>
      </w:r>
      <w:r>
        <w:rPr>
          <w:color w:val="231F20"/>
        </w:rPr>
        <w:t>de allí que </w:t>
      </w:r>
      <w:r>
        <w:rPr>
          <w:color w:val="231F20"/>
          <w:spacing w:val="2"/>
        </w:rPr>
        <w:t>los </w:t>
      </w:r>
      <w:r>
        <w:rPr>
          <w:color w:val="231F20"/>
          <w:spacing w:val="3"/>
        </w:rPr>
        <w:t>enunciados </w:t>
      </w:r>
      <w:r>
        <w:rPr>
          <w:color w:val="231F20"/>
          <w:spacing w:val="2"/>
        </w:rPr>
        <w:t>juzgan situaciones respecto </w:t>
      </w:r>
      <w:r>
        <w:rPr>
          <w:color w:val="231F20"/>
        </w:rPr>
        <w:t>a </w:t>
      </w:r>
      <w:r>
        <w:rPr>
          <w:color w:val="231F20"/>
          <w:spacing w:val="2"/>
        </w:rPr>
        <w:t>cuestiones morales </w:t>
      </w:r>
      <w:r>
        <w:rPr>
          <w:color w:val="231F20"/>
        </w:rPr>
        <w:t>y de </w:t>
      </w:r>
      <w:r>
        <w:rPr>
          <w:color w:val="231F20"/>
          <w:spacing w:val="2"/>
        </w:rPr>
        <w:t>justicia. </w:t>
      </w:r>
      <w:r>
        <w:rPr>
          <w:color w:val="231F20"/>
        </w:rPr>
        <w:t>Sin </w:t>
      </w:r>
      <w:r>
        <w:rPr>
          <w:color w:val="231F20"/>
          <w:spacing w:val="2"/>
        </w:rPr>
        <w:t>embargo, </w:t>
      </w:r>
      <w:r>
        <w:rPr>
          <w:color w:val="231F20"/>
        </w:rPr>
        <w:t>bajo </w:t>
      </w:r>
      <w:r>
        <w:rPr>
          <w:color w:val="231F20"/>
          <w:spacing w:val="2"/>
        </w:rPr>
        <w:t>esta comprensión </w:t>
      </w:r>
      <w:r>
        <w:rPr>
          <w:color w:val="231F20"/>
        </w:rPr>
        <w:t>del </w:t>
      </w:r>
      <w:r>
        <w:rPr>
          <w:color w:val="231F20"/>
          <w:spacing w:val="2"/>
        </w:rPr>
        <w:t>discurso </w:t>
      </w:r>
      <w:r>
        <w:rPr>
          <w:color w:val="231F20"/>
        </w:rPr>
        <w:t>se </w:t>
      </w:r>
      <w:r>
        <w:rPr>
          <w:color w:val="231F20"/>
          <w:spacing w:val="2"/>
        </w:rPr>
        <w:t>desancla </w:t>
      </w:r>
      <w:r>
        <w:rPr>
          <w:color w:val="231F20"/>
        </w:rPr>
        <w:t>la </w:t>
      </w:r>
      <w:r>
        <w:rPr>
          <w:color w:val="231F20"/>
          <w:spacing w:val="2"/>
        </w:rPr>
        <w:t>cuestión relativa </w:t>
      </w:r>
      <w:r>
        <w:rPr>
          <w:color w:val="231F20"/>
        </w:rPr>
        <w:t>a </w:t>
      </w:r>
      <w:r>
        <w:rPr>
          <w:color w:val="231F20"/>
          <w:spacing w:val="2"/>
        </w:rPr>
        <w:t>que, esos discursos, </w:t>
      </w:r>
      <w:r>
        <w:rPr>
          <w:color w:val="231F20"/>
          <w:spacing w:val="3"/>
        </w:rPr>
        <w:t>al </w:t>
      </w:r>
      <w:r>
        <w:rPr>
          <w:color w:val="231F20"/>
          <w:spacing w:val="2"/>
        </w:rPr>
        <w:t>vincularse </w:t>
      </w:r>
      <w:r>
        <w:rPr>
          <w:color w:val="231F20"/>
        </w:rPr>
        <w:t>a </w:t>
      </w:r>
      <w:r>
        <w:rPr>
          <w:color w:val="231F20"/>
          <w:spacing w:val="3"/>
        </w:rPr>
        <w:t>contextos </w:t>
      </w:r>
      <w:r>
        <w:rPr>
          <w:color w:val="231F20"/>
          <w:spacing w:val="2"/>
        </w:rPr>
        <w:t>específicos </w:t>
      </w:r>
      <w:r>
        <w:rPr>
          <w:color w:val="231F20"/>
        </w:rPr>
        <w:t>de </w:t>
      </w:r>
      <w:r>
        <w:rPr>
          <w:color w:val="231F20"/>
          <w:spacing w:val="2"/>
        </w:rPr>
        <w:t>constitución </w:t>
      </w:r>
      <w:r>
        <w:rPr>
          <w:color w:val="231F20"/>
        </w:rPr>
        <w:t>de </w:t>
      </w:r>
      <w:r>
        <w:rPr>
          <w:color w:val="231F20"/>
          <w:spacing w:val="2"/>
        </w:rPr>
        <w:t>intereses, devienen </w:t>
      </w:r>
      <w:r>
        <w:rPr>
          <w:color w:val="231F20"/>
        </w:rPr>
        <w:t>en </w:t>
      </w:r>
      <w:r>
        <w:rPr>
          <w:color w:val="231F20"/>
          <w:spacing w:val="2"/>
        </w:rPr>
        <w:t>ideologías </w:t>
      </w:r>
      <w:r>
        <w:rPr>
          <w:color w:val="231F20"/>
          <w:spacing w:val="3"/>
        </w:rPr>
        <w:t>cuando </w:t>
      </w:r>
      <w:r>
        <w:rPr>
          <w:color w:val="231F20"/>
          <w:spacing w:val="2"/>
        </w:rPr>
        <w:t>sirven para ocultar, </w:t>
      </w:r>
      <w:r>
        <w:rPr>
          <w:color w:val="231F20"/>
        </w:rPr>
        <w:t>o </w:t>
      </w:r>
      <w:r>
        <w:rPr>
          <w:color w:val="231F20"/>
          <w:spacing w:val="3"/>
        </w:rPr>
        <w:t>deformar, </w:t>
      </w:r>
      <w:r>
        <w:rPr>
          <w:color w:val="231F20"/>
        </w:rPr>
        <w:t>las </w:t>
      </w:r>
      <w:r>
        <w:rPr>
          <w:color w:val="231F20"/>
          <w:spacing w:val="3"/>
        </w:rPr>
        <w:t>situaciones </w:t>
      </w:r>
      <w:r>
        <w:rPr>
          <w:color w:val="231F20"/>
        </w:rPr>
        <w:t>de</w:t>
      </w:r>
      <w:r>
        <w:rPr>
          <w:color w:val="231F20"/>
          <w:spacing w:val="-37"/>
        </w:rPr>
        <w:t> </w:t>
      </w:r>
      <w:r>
        <w:rPr>
          <w:color w:val="231F20"/>
          <w:spacing w:val="2"/>
        </w:rPr>
        <w:t>injusticia.</w:t>
      </w:r>
    </w:p>
    <w:p>
      <w:pPr>
        <w:pStyle w:val="BodyText"/>
        <w:spacing w:line="247" w:lineRule="auto"/>
        <w:ind w:left="102" w:right="115" w:firstLine="284"/>
        <w:jc w:val="both"/>
      </w:pPr>
      <w:r>
        <w:rPr>
          <w:color w:val="231F20"/>
        </w:rPr>
        <w:t>Por ello, para examinar las políticas educativas como un dis- curso tenemos que indicar que existen, también, distintas posibili- dades para su estudio, de las cuales solo referiré el modo en que Van Dijk, desde una perspectiva estructuralista concibe el análisis del discurso político, para concentrar la atención en el plantea- miento de Habermas y en una recuperación del concepto de ideo- logía como lo formula Marx y es reinterpretado por Ricoeur.</w:t>
      </w:r>
    </w:p>
    <w:p>
      <w:pPr>
        <w:pStyle w:val="BodyText"/>
        <w:spacing w:line="249" w:lineRule="auto" w:before="1"/>
        <w:ind w:left="102" w:right="113" w:firstLine="284"/>
        <w:jc w:val="both"/>
      </w:pPr>
      <w:r>
        <w:rPr>
          <w:color w:val="231F20"/>
          <w:spacing w:val="2"/>
        </w:rPr>
        <w:t>Para Van Dijk </w:t>
      </w:r>
      <w:r>
        <w:rPr>
          <w:color w:val="231F20"/>
        </w:rPr>
        <w:t>un </w:t>
      </w:r>
      <w:r>
        <w:rPr>
          <w:color w:val="231F20"/>
          <w:spacing w:val="2"/>
        </w:rPr>
        <w:t>análisis </w:t>
      </w:r>
      <w:r>
        <w:rPr>
          <w:color w:val="231F20"/>
        </w:rPr>
        <w:t>del </w:t>
      </w:r>
      <w:r>
        <w:rPr>
          <w:color w:val="231F20"/>
          <w:spacing w:val="2"/>
        </w:rPr>
        <w:t>discurso político que ofrezca una novedad tiene </w:t>
      </w:r>
      <w:r>
        <w:rPr>
          <w:color w:val="231F20"/>
        </w:rPr>
        <w:t>que </w:t>
      </w:r>
      <w:r>
        <w:rPr>
          <w:color w:val="231F20"/>
          <w:spacing w:val="3"/>
        </w:rPr>
        <w:t>homologarse </w:t>
      </w:r>
      <w:r>
        <w:rPr>
          <w:color w:val="231F20"/>
          <w:spacing w:val="2"/>
        </w:rPr>
        <w:t>con </w:t>
      </w:r>
      <w:r>
        <w:rPr>
          <w:color w:val="231F20"/>
        </w:rPr>
        <w:t>el </w:t>
      </w:r>
      <w:r>
        <w:rPr>
          <w:color w:val="231F20"/>
          <w:spacing w:val="2"/>
        </w:rPr>
        <w:t>análisis crítico </w:t>
      </w:r>
      <w:r>
        <w:rPr>
          <w:color w:val="231F20"/>
        </w:rPr>
        <w:t>del </w:t>
      </w:r>
      <w:r>
        <w:rPr>
          <w:color w:val="231F20"/>
          <w:spacing w:val="2"/>
        </w:rPr>
        <w:t>discurso, para poder concebirlo </w:t>
      </w:r>
      <w:r>
        <w:rPr>
          <w:color w:val="231F20"/>
        </w:rPr>
        <w:t>de la </w:t>
      </w:r>
      <w:r>
        <w:rPr>
          <w:color w:val="231F20"/>
          <w:spacing w:val="3"/>
        </w:rPr>
        <w:t>manera </w:t>
      </w:r>
      <w:r>
        <w:rPr>
          <w:color w:val="231F20"/>
          <w:spacing w:val="2"/>
        </w:rPr>
        <w:t>siguiente: “…el análisis del discurso crítico-político consiste especialmente </w:t>
      </w:r>
      <w:r>
        <w:rPr>
          <w:color w:val="231F20"/>
        </w:rPr>
        <w:t>en el  </w:t>
      </w:r>
      <w:r>
        <w:rPr>
          <w:color w:val="231F20"/>
          <w:spacing w:val="2"/>
        </w:rPr>
        <w:t>estudio </w:t>
      </w:r>
      <w:r>
        <w:rPr>
          <w:color w:val="231F20"/>
        </w:rPr>
        <w:t>de  las </w:t>
      </w:r>
      <w:r>
        <w:rPr>
          <w:color w:val="231F20"/>
          <w:spacing w:val="3"/>
        </w:rPr>
        <w:t>formas </w:t>
      </w:r>
      <w:r>
        <w:rPr>
          <w:color w:val="231F20"/>
        </w:rPr>
        <w:t>de </w:t>
      </w:r>
      <w:r>
        <w:rPr>
          <w:color w:val="231F20"/>
          <w:spacing w:val="3"/>
        </w:rPr>
        <w:t>reproducción </w:t>
      </w:r>
      <w:r>
        <w:rPr>
          <w:color w:val="231F20"/>
          <w:spacing w:val="2"/>
        </w:rPr>
        <w:t>del </w:t>
      </w:r>
      <w:r>
        <w:rPr>
          <w:color w:val="231F20"/>
          <w:spacing w:val="3"/>
        </w:rPr>
        <w:t>poder </w:t>
      </w:r>
      <w:r>
        <w:rPr>
          <w:color w:val="231F20"/>
          <w:spacing w:val="2"/>
        </w:rPr>
        <w:t>político, </w:t>
      </w:r>
      <w:r>
        <w:rPr>
          <w:color w:val="231F20"/>
        </w:rPr>
        <w:t>la </w:t>
      </w:r>
      <w:r>
        <w:rPr>
          <w:color w:val="231F20"/>
          <w:spacing w:val="3"/>
        </w:rPr>
        <w:t>dominación </w:t>
      </w:r>
      <w:r>
        <w:rPr>
          <w:color w:val="231F20"/>
        </w:rPr>
        <w:t>o el </w:t>
      </w:r>
      <w:r>
        <w:rPr>
          <w:color w:val="231F20"/>
          <w:spacing w:val="2"/>
        </w:rPr>
        <w:t>abuso </w:t>
      </w:r>
      <w:r>
        <w:rPr>
          <w:color w:val="231F20"/>
        </w:rPr>
        <w:t>de </w:t>
      </w:r>
      <w:r>
        <w:rPr>
          <w:color w:val="231F20"/>
          <w:spacing w:val="3"/>
        </w:rPr>
        <w:t>poder mediante </w:t>
      </w:r>
      <w:r>
        <w:rPr>
          <w:color w:val="231F20"/>
        </w:rPr>
        <w:t>el </w:t>
      </w:r>
      <w:r>
        <w:rPr>
          <w:color w:val="231F20"/>
          <w:spacing w:val="2"/>
        </w:rPr>
        <w:t>discurso político, incluyendo </w:t>
      </w:r>
      <w:r>
        <w:rPr>
          <w:color w:val="231F20"/>
        </w:rPr>
        <w:t>las </w:t>
      </w:r>
      <w:r>
        <w:rPr>
          <w:color w:val="231F20"/>
          <w:spacing w:val="2"/>
        </w:rPr>
        <w:t>di- versas </w:t>
      </w:r>
      <w:r>
        <w:rPr>
          <w:color w:val="231F20"/>
          <w:spacing w:val="3"/>
        </w:rPr>
        <w:t>formas </w:t>
      </w:r>
      <w:r>
        <w:rPr>
          <w:color w:val="231F20"/>
        </w:rPr>
        <w:t>de </w:t>
      </w:r>
      <w:r>
        <w:rPr>
          <w:color w:val="231F20"/>
          <w:spacing w:val="2"/>
        </w:rPr>
        <w:t>resistencia </w:t>
      </w:r>
      <w:r>
        <w:rPr>
          <w:color w:val="231F20"/>
        </w:rPr>
        <w:t>o las </w:t>
      </w:r>
      <w:r>
        <w:rPr>
          <w:color w:val="231F20"/>
          <w:spacing w:val="3"/>
        </w:rPr>
        <w:t>muestras-de-poder </w:t>
      </w:r>
      <w:r>
        <w:rPr>
          <w:color w:val="231F20"/>
          <w:spacing w:val="2"/>
        </w:rPr>
        <w:t>contra tales </w:t>
      </w:r>
      <w:r>
        <w:rPr>
          <w:color w:val="231F20"/>
          <w:spacing w:val="3"/>
        </w:rPr>
        <w:t>formas </w:t>
      </w:r>
      <w:r>
        <w:rPr>
          <w:color w:val="231F20"/>
        </w:rPr>
        <w:t>de </w:t>
      </w:r>
      <w:r>
        <w:rPr>
          <w:color w:val="231F20"/>
          <w:spacing w:val="3"/>
        </w:rPr>
        <w:t>predominio </w:t>
      </w:r>
      <w:r>
        <w:rPr>
          <w:color w:val="231F20"/>
          <w:spacing w:val="2"/>
        </w:rPr>
        <w:t>del discurso. </w:t>
      </w:r>
      <w:r>
        <w:rPr>
          <w:color w:val="231F20"/>
        </w:rPr>
        <w:t>En </w:t>
      </w:r>
      <w:r>
        <w:rPr>
          <w:color w:val="231F20"/>
          <w:spacing w:val="2"/>
        </w:rPr>
        <w:t>particular, este tipo </w:t>
      </w:r>
      <w:r>
        <w:rPr>
          <w:color w:val="231F20"/>
          <w:spacing w:val="4"/>
        </w:rPr>
        <w:t>de </w:t>
      </w:r>
      <w:r>
        <w:rPr>
          <w:color w:val="231F20"/>
          <w:spacing w:val="2"/>
        </w:rPr>
        <w:t>análisis tiene </w:t>
      </w:r>
      <w:r>
        <w:rPr>
          <w:color w:val="231F20"/>
        </w:rPr>
        <w:t>que ver </w:t>
      </w:r>
      <w:r>
        <w:rPr>
          <w:color w:val="231F20"/>
          <w:spacing w:val="2"/>
        </w:rPr>
        <w:t>con </w:t>
      </w:r>
      <w:r>
        <w:rPr>
          <w:color w:val="231F20"/>
        </w:rPr>
        <w:t>las </w:t>
      </w:r>
      <w:r>
        <w:rPr>
          <w:color w:val="231F20"/>
          <w:spacing w:val="3"/>
        </w:rPr>
        <w:t>condiciones </w:t>
      </w:r>
      <w:r>
        <w:rPr>
          <w:color w:val="231F20"/>
          <w:spacing w:val="2"/>
        </w:rPr>
        <w:t>discursivas </w:t>
      </w:r>
      <w:r>
        <w:rPr>
          <w:color w:val="231F20"/>
        </w:rPr>
        <w:t>y las </w:t>
      </w:r>
      <w:r>
        <w:rPr>
          <w:color w:val="231F20"/>
          <w:spacing w:val="3"/>
        </w:rPr>
        <w:t>conse- </w:t>
      </w:r>
      <w:r>
        <w:rPr>
          <w:color w:val="231F20"/>
          <w:spacing w:val="2"/>
        </w:rPr>
        <w:t>cuencias </w:t>
      </w:r>
      <w:r>
        <w:rPr>
          <w:color w:val="231F20"/>
        </w:rPr>
        <w:t>de la </w:t>
      </w:r>
      <w:r>
        <w:rPr>
          <w:color w:val="231F20"/>
          <w:spacing w:val="2"/>
        </w:rPr>
        <w:t>desigualdad política </w:t>
      </w:r>
      <w:r>
        <w:rPr>
          <w:color w:val="231F20"/>
        </w:rPr>
        <w:t>y </w:t>
      </w:r>
      <w:r>
        <w:rPr>
          <w:color w:val="231F20"/>
          <w:spacing w:val="2"/>
        </w:rPr>
        <w:t>social que resulta </w:t>
      </w:r>
      <w:r>
        <w:rPr>
          <w:color w:val="231F20"/>
        </w:rPr>
        <w:t>de </w:t>
      </w:r>
      <w:r>
        <w:rPr>
          <w:color w:val="231F20"/>
          <w:spacing w:val="2"/>
        </w:rPr>
        <w:t>esta </w:t>
      </w:r>
      <w:r>
        <w:rPr>
          <w:color w:val="231F20"/>
          <w:spacing w:val="3"/>
        </w:rPr>
        <w:t>do- </w:t>
      </w:r>
      <w:r>
        <w:rPr>
          <w:color w:val="231F20"/>
          <w:spacing w:val="2"/>
        </w:rPr>
        <w:t>minación”,</w:t>
      </w:r>
      <w:r>
        <w:rPr>
          <w:color w:val="231F20"/>
          <w:spacing w:val="-4"/>
        </w:rPr>
        <w:t> </w:t>
      </w:r>
      <w:r>
        <w:rPr>
          <w:color w:val="231F20"/>
          <w:spacing w:val="2"/>
        </w:rPr>
        <w:t>(Van</w:t>
      </w:r>
      <w:r>
        <w:rPr>
          <w:color w:val="231F20"/>
          <w:spacing w:val="-4"/>
        </w:rPr>
        <w:t> </w:t>
      </w:r>
      <w:r>
        <w:rPr>
          <w:color w:val="231F20"/>
          <w:spacing w:val="2"/>
        </w:rPr>
        <w:t>Dijk</w:t>
      </w:r>
      <w:r>
        <w:rPr>
          <w:color w:val="231F20"/>
          <w:spacing w:val="-4"/>
        </w:rPr>
        <w:t> </w:t>
      </w:r>
      <w:r>
        <w:rPr>
          <w:color w:val="231F20"/>
        </w:rPr>
        <w:t>y</w:t>
      </w:r>
      <w:r>
        <w:rPr>
          <w:color w:val="231F20"/>
          <w:spacing w:val="-4"/>
        </w:rPr>
        <w:t> </w:t>
      </w:r>
      <w:r>
        <w:rPr>
          <w:color w:val="231F20"/>
          <w:spacing w:val="2"/>
        </w:rPr>
        <w:t>Mendizábal,</w:t>
      </w:r>
      <w:r>
        <w:rPr>
          <w:color w:val="231F20"/>
          <w:spacing w:val="-4"/>
        </w:rPr>
        <w:t> </w:t>
      </w:r>
      <w:r>
        <w:rPr>
          <w:color w:val="231F20"/>
          <w:spacing w:val="2"/>
        </w:rPr>
        <w:t>1999:10),</w:t>
      </w:r>
      <w:r>
        <w:rPr>
          <w:color w:val="231F20"/>
          <w:spacing w:val="-4"/>
        </w:rPr>
        <w:t> </w:t>
      </w:r>
      <w:r>
        <w:rPr>
          <w:color w:val="231F20"/>
        </w:rPr>
        <w:t>así</w:t>
      </w:r>
      <w:r>
        <w:rPr>
          <w:color w:val="231F20"/>
          <w:spacing w:val="-4"/>
        </w:rPr>
        <w:t> </w:t>
      </w:r>
      <w:r>
        <w:rPr>
          <w:color w:val="231F20"/>
          <w:spacing w:val="3"/>
        </w:rPr>
        <w:t>comienza</w:t>
      </w:r>
      <w:r>
        <w:rPr>
          <w:color w:val="231F20"/>
          <w:spacing w:val="-4"/>
        </w:rPr>
        <w:t> </w:t>
      </w:r>
      <w:r>
        <w:rPr>
          <w:color w:val="231F20"/>
          <w:spacing w:val="3"/>
        </w:rPr>
        <w:t>explo- </w:t>
      </w:r>
      <w:r>
        <w:rPr>
          <w:color w:val="231F20"/>
          <w:spacing w:val="2"/>
        </w:rPr>
        <w:t>rando </w:t>
      </w:r>
      <w:r>
        <w:rPr>
          <w:color w:val="231F20"/>
        </w:rPr>
        <w:t>el </w:t>
      </w:r>
      <w:r>
        <w:rPr>
          <w:color w:val="231F20"/>
          <w:spacing w:val="3"/>
        </w:rPr>
        <w:t>modo </w:t>
      </w:r>
      <w:r>
        <w:rPr>
          <w:color w:val="231F20"/>
        </w:rPr>
        <w:t>en que se </w:t>
      </w:r>
      <w:r>
        <w:rPr>
          <w:color w:val="231F20"/>
          <w:spacing w:val="3"/>
        </w:rPr>
        <w:t>considera </w:t>
      </w:r>
      <w:r>
        <w:rPr>
          <w:color w:val="231F20"/>
        </w:rPr>
        <w:t>el </w:t>
      </w:r>
      <w:r>
        <w:rPr>
          <w:color w:val="231F20"/>
          <w:spacing w:val="2"/>
        </w:rPr>
        <w:t>texto </w:t>
      </w:r>
      <w:r>
        <w:rPr>
          <w:color w:val="231F20"/>
        </w:rPr>
        <w:t>y el </w:t>
      </w:r>
      <w:r>
        <w:rPr>
          <w:color w:val="231F20"/>
          <w:spacing w:val="2"/>
        </w:rPr>
        <w:t>habla para definir   </w:t>
      </w:r>
      <w:r>
        <w:rPr>
          <w:color w:val="231F20"/>
        </w:rPr>
        <w:t>el </w:t>
      </w:r>
      <w:r>
        <w:rPr>
          <w:color w:val="231F20"/>
          <w:spacing w:val="2"/>
        </w:rPr>
        <w:t>objeto </w:t>
      </w:r>
      <w:r>
        <w:rPr>
          <w:color w:val="231F20"/>
        </w:rPr>
        <w:t>de </w:t>
      </w:r>
      <w:r>
        <w:rPr>
          <w:color w:val="231F20"/>
          <w:spacing w:val="2"/>
        </w:rPr>
        <w:t>estudio, </w:t>
      </w:r>
      <w:r>
        <w:rPr>
          <w:color w:val="231F20"/>
        </w:rPr>
        <w:t>o lo </w:t>
      </w:r>
      <w:r>
        <w:rPr>
          <w:color w:val="231F20"/>
          <w:spacing w:val="2"/>
        </w:rPr>
        <w:t>dicho por los “actores </w:t>
      </w:r>
      <w:r>
        <w:rPr>
          <w:color w:val="231F20"/>
        </w:rPr>
        <w:t>o </w:t>
      </w:r>
      <w:r>
        <w:rPr>
          <w:color w:val="231F20"/>
          <w:spacing w:val="2"/>
        </w:rPr>
        <w:t>autores, </w:t>
      </w:r>
      <w:r>
        <w:rPr>
          <w:color w:val="231F20"/>
          <w:spacing w:val="3"/>
        </w:rPr>
        <w:t>los </w:t>
      </w:r>
      <w:r>
        <w:rPr>
          <w:color w:val="231F20"/>
          <w:spacing w:val="2"/>
        </w:rPr>
        <w:t>políticos”, </w:t>
      </w:r>
      <w:r>
        <w:rPr>
          <w:color w:val="231F20"/>
        </w:rPr>
        <w:t>de  las  </w:t>
      </w:r>
      <w:r>
        <w:rPr>
          <w:color w:val="231F20"/>
          <w:spacing w:val="2"/>
        </w:rPr>
        <w:t>instituciones, </w:t>
      </w:r>
      <w:r>
        <w:rPr>
          <w:color w:val="231F20"/>
          <w:spacing w:val="3"/>
        </w:rPr>
        <w:t>empero </w:t>
      </w:r>
      <w:r>
        <w:rPr>
          <w:color w:val="231F20"/>
          <w:spacing w:val="2"/>
        </w:rPr>
        <w:t>indica </w:t>
      </w:r>
      <w:r>
        <w:rPr>
          <w:color w:val="231F20"/>
        </w:rPr>
        <w:t>que  esa  </w:t>
      </w:r>
      <w:r>
        <w:rPr>
          <w:color w:val="231F20"/>
          <w:spacing w:val="3"/>
        </w:rPr>
        <w:t>forma  </w:t>
      </w:r>
      <w:r>
        <w:rPr>
          <w:color w:val="231F20"/>
          <w:spacing w:val="25"/>
        </w:rPr>
        <w:t> </w:t>
      </w:r>
      <w:r>
        <w:rPr>
          <w:color w:val="231F20"/>
        </w:rPr>
        <w:t>de</w:t>
      </w:r>
    </w:p>
    <w:p>
      <w:pPr>
        <w:spacing w:after="0" w:line="249" w:lineRule="auto"/>
        <w:jc w:val="both"/>
        <w:sectPr>
          <w:headerReference w:type="default" r:id="rId151"/>
          <w:footerReference w:type="default" r:id="rId152"/>
          <w:pgSz w:w="7830" w:h="11910"/>
          <w:pgMar w:header="0" w:footer="424" w:top="500" w:bottom="620" w:left="920" w:right="900"/>
          <w:pgNumType w:start="6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4"/>
        <w:jc w:val="both"/>
      </w:pPr>
      <w:r>
        <w:rPr>
          <w:color w:val="231F20"/>
          <w:spacing w:val="2"/>
        </w:rPr>
        <w:t>concebir </w:t>
      </w:r>
      <w:r>
        <w:rPr>
          <w:color w:val="231F20"/>
        </w:rPr>
        <w:t>el </w:t>
      </w:r>
      <w:r>
        <w:rPr>
          <w:color w:val="231F20"/>
          <w:spacing w:val="2"/>
        </w:rPr>
        <w:t>objeto del discurso político poco </w:t>
      </w:r>
      <w:r>
        <w:rPr>
          <w:color w:val="231F20"/>
        </w:rPr>
        <w:t>de  </w:t>
      </w:r>
      <w:r>
        <w:rPr>
          <w:color w:val="231F20"/>
          <w:spacing w:val="2"/>
        </w:rPr>
        <w:t>distingue  </w:t>
      </w:r>
      <w:r>
        <w:rPr>
          <w:color w:val="231F20"/>
        </w:rPr>
        <w:t>de  lo que se </w:t>
      </w:r>
      <w:r>
        <w:rPr>
          <w:color w:val="231F20"/>
          <w:spacing w:val="3"/>
        </w:rPr>
        <w:t>denomina </w:t>
      </w:r>
      <w:r>
        <w:rPr>
          <w:color w:val="231F20"/>
          <w:spacing w:val="2"/>
        </w:rPr>
        <w:t>“discurso educativo, legal </w:t>
      </w:r>
      <w:r>
        <w:rPr>
          <w:color w:val="231F20"/>
        </w:rPr>
        <w:t>o </w:t>
      </w:r>
      <w:r>
        <w:rPr>
          <w:color w:val="231F20"/>
          <w:spacing w:val="2"/>
        </w:rPr>
        <w:t>médico con los </w:t>
      </w:r>
      <w:r>
        <w:rPr>
          <w:color w:val="231F20"/>
          <w:spacing w:val="3"/>
        </w:rPr>
        <w:t>par- </w:t>
      </w:r>
      <w:r>
        <w:rPr>
          <w:color w:val="231F20"/>
          <w:spacing w:val="2"/>
        </w:rPr>
        <w:t>ticipantes respectivos”, </w:t>
      </w:r>
      <w:r>
        <w:rPr>
          <w:color w:val="231F20"/>
        </w:rPr>
        <w:t>de allí </w:t>
      </w:r>
      <w:r>
        <w:rPr>
          <w:color w:val="231F20"/>
          <w:spacing w:val="2"/>
        </w:rPr>
        <w:t>que </w:t>
      </w:r>
      <w:r>
        <w:rPr>
          <w:color w:val="231F20"/>
          <w:spacing w:val="3"/>
        </w:rPr>
        <w:t>propone reconocer </w:t>
      </w:r>
      <w:r>
        <w:rPr>
          <w:color w:val="231F20"/>
        </w:rPr>
        <w:t>a </w:t>
      </w:r>
      <w:r>
        <w:rPr>
          <w:color w:val="231F20"/>
          <w:spacing w:val="2"/>
        </w:rPr>
        <w:t>otros “participantes </w:t>
      </w:r>
      <w:r>
        <w:rPr>
          <w:color w:val="231F20"/>
        </w:rPr>
        <w:t>en el </w:t>
      </w:r>
      <w:r>
        <w:rPr>
          <w:color w:val="231F20"/>
          <w:spacing w:val="2"/>
        </w:rPr>
        <w:t>terreno </w:t>
      </w:r>
      <w:r>
        <w:rPr>
          <w:color w:val="231F20"/>
        </w:rPr>
        <w:t>de la </w:t>
      </w:r>
      <w:r>
        <w:rPr>
          <w:color w:val="231F20"/>
          <w:spacing w:val="2"/>
        </w:rPr>
        <w:t>política”, </w:t>
      </w:r>
      <w:r>
        <w:rPr>
          <w:color w:val="231F20"/>
        </w:rPr>
        <w:t>es </w:t>
      </w:r>
      <w:r>
        <w:rPr>
          <w:color w:val="231F20"/>
          <w:spacing w:val="2"/>
        </w:rPr>
        <w:t>decir, </w:t>
      </w:r>
      <w:r>
        <w:rPr>
          <w:color w:val="231F20"/>
        </w:rPr>
        <w:t>se </w:t>
      </w:r>
      <w:r>
        <w:rPr>
          <w:color w:val="231F20"/>
          <w:spacing w:val="2"/>
        </w:rPr>
        <w:t>requiere tener una </w:t>
      </w:r>
      <w:r>
        <w:rPr>
          <w:color w:val="231F20"/>
          <w:spacing w:val="3"/>
        </w:rPr>
        <w:t>concepción </w:t>
      </w:r>
      <w:r>
        <w:rPr>
          <w:color w:val="231F20"/>
        </w:rPr>
        <w:t>de </w:t>
      </w:r>
      <w:r>
        <w:rPr>
          <w:color w:val="231F20"/>
          <w:spacing w:val="2"/>
        </w:rPr>
        <w:t>ciencia política </w:t>
      </w:r>
      <w:r>
        <w:rPr>
          <w:color w:val="231F20"/>
        </w:rPr>
        <w:t>que </w:t>
      </w:r>
      <w:r>
        <w:rPr>
          <w:color w:val="231F20"/>
          <w:spacing w:val="2"/>
        </w:rPr>
        <w:t>incluya los “sucesos </w:t>
      </w:r>
      <w:r>
        <w:rPr>
          <w:color w:val="231F20"/>
          <w:spacing w:val="3"/>
        </w:rPr>
        <w:t>comunicativos” </w:t>
      </w:r>
      <w:r>
        <w:rPr>
          <w:color w:val="231F20"/>
          <w:spacing w:val="2"/>
        </w:rPr>
        <w:t>que </w:t>
      </w:r>
      <w:r>
        <w:rPr>
          <w:color w:val="231F20"/>
        </w:rPr>
        <w:t>se </w:t>
      </w:r>
      <w:r>
        <w:rPr>
          <w:color w:val="231F20"/>
          <w:spacing w:val="2"/>
        </w:rPr>
        <w:t>ubican </w:t>
      </w:r>
      <w:r>
        <w:rPr>
          <w:color w:val="231F20"/>
        </w:rPr>
        <w:t>en la </w:t>
      </w:r>
      <w:r>
        <w:rPr>
          <w:color w:val="231F20"/>
          <w:spacing w:val="2"/>
        </w:rPr>
        <w:t>“esfera pública” </w:t>
      </w:r>
      <w:r>
        <w:rPr>
          <w:color w:val="231F20"/>
          <w:spacing w:val="3"/>
        </w:rPr>
        <w:t>donde los </w:t>
      </w:r>
      <w:r>
        <w:rPr>
          <w:color w:val="231F20"/>
          <w:spacing w:val="2"/>
        </w:rPr>
        <w:t>“actores políticos [actúan] </w:t>
      </w:r>
      <w:r>
        <w:rPr>
          <w:color w:val="231F20"/>
          <w:spacing w:val="3"/>
        </w:rPr>
        <w:t>como </w:t>
      </w:r>
      <w:r>
        <w:rPr>
          <w:color w:val="231F20"/>
          <w:spacing w:val="2"/>
        </w:rPr>
        <w:t>participantes </w:t>
      </w:r>
      <w:r>
        <w:rPr>
          <w:color w:val="231F20"/>
        </w:rPr>
        <w:t>en </w:t>
      </w:r>
      <w:r>
        <w:rPr>
          <w:color w:val="231F20"/>
          <w:spacing w:val="2"/>
        </w:rPr>
        <w:t>acciones políti- </w:t>
      </w:r>
      <w:r>
        <w:rPr>
          <w:color w:val="231F20"/>
        </w:rPr>
        <w:t>cas </w:t>
      </w:r>
      <w:r>
        <w:rPr>
          <w:color w:val="231F20"/>
          <w:spacing w:val="3"/>
        </w:rPr>
        <w:t>como gobernar, </w:t>
      </w:r>
      <w:r>
        <w:rPr>
          <w:color w:val="231F20"/>
        </w:rPr>
        <w:t>ser </w:t>
      </w:r>
      <w:r>
        <w:rPr>
          <w:color w:val="231F20"/>
          <w:spacing w:val="3"/>
        </w:rPr>
        <w:t>ciudadanos, </w:t>
      </w:r>
      <w:r>
        <w:rPr>
          <w:color w:val="231F20"/>
          <w:spacing w:val="2"/>
        </w:rPr>
        <w:t>legislar, protestar, estar </w:t>
      </w:r>
      <w:r>
        <w:rPr>
          <w:color w:val="231F20"/>
          <w:spacing w:val="3"/>
        </w:rPr>
        <w:t>dis- conformes, </w:t>
      </w:r>
      <w:r>
        <w:rPr>
          <w:color w:val="231F20"/>
        </w:rPr>
        <w:t>o </w:t>
      </w:r>
      <w:r>
        <w:rPr>
          <w:color w:val="231F20"/>
          <w:spacing w:val="2"/>
        </w:rPr>
        <w:t>votar” </w:t>
      </w:r>
      <w:r>
        <w:rPr>
          <w:color w:val="231F20"/>
          <w:spacing w:val="3"/>
        </w:rPr>
        <w:t>donde </w:t>
      </w:r>
      <w:r>
        <w:rPr>
          <w:color w:val="231F20"/>
          <w:spacing w:val="2"/>
        </w:rPr>
        <w:t>esas “prácticas </w:t>
      </w:r>
      <w:r>
        <w:rPr>
          <w:color w:val="231F20"/>
        </w:rPr>
        <w:t>o </w:t>
      </w:r>
      <w:r>
        <w:rPr>
          <w:color w:val="231F20"/>
          <w:spacing w:val="2"/>
        </w:rPr>
        <w:t>acciones políticas  sean </w:t>
      </w:r>
      <w:r>
        <w:rPr>
          <w:color w:val="231F20"/>
        </w:rPr>
        <w:t>a la vez </w:t>
      </w:r>
      <w:r>
        <w:rPr>
          <w:color w:val="231F20"/>
          <w:spacing w:val="2"/>
        </w:rPr>
        <w:t>prácticas discursivas </w:t>
      </w:r>
      <w:r>
        <w:rPr>
          <w:color w:val="231F20"/>
        </w:rPr>
        <w:t>[es </w:t>
      </w:r>
      <w:r>
        <w:rPr>
          <w:color w:val="231F20"/>
          <w:spacing w:val="2"/>
        </w:rPr>
        <w:t>decir, </w:t>
      </w:r>
      <w:r>
        <w:rPr>
          <w:color w:val="231F20"/>
        </w:rPr>
        <w:t>se </w:t>
      </w:r>
      <w:r>
        <w:rPr>
          <w:color w:val="231F20"/>
          <w:spacing w:val="2"/>
        </w:rPr>
        <w:t>concreten en] for- mas </w:t>
      </w:r>
      <w:r>
        <w:rPr>
          <w:color w:val="231F20"/>
        </w:rPr>
        <w:t>de </w:t>
      </w:r>
      <w:r>
        <w:rPr>
          <w:color w:val="231F20"/>
          <w:spacing w:val="2"/>
        </w:rPr>
        <w:t>texto </w:t>
      </w:r>
      <w:r>
        <w:rPr>
          <w:color w:val="231F20"/>
        </w:rPr>
        <w:t>y </w:t>
      </w:r>
      <w:r>
        <w:rPr>
          <w:color w:val="231F20"/>
          <w:spacing w:val="2"/>
        </w:rPr>
        <w:t>habla [con] implicaciones </w:t>
      </w:r>
      <w:r>
        <w:rPr>
          <w:color w:val="231F20"/>
        </w:rPr>
        <w:t>y </w:t>
      </w:r>
      <w:r>
        <w:rPr>
          <w:color w:val="231F20"/>
          <w:spacing w:val="2"/>
        </w:rPr>
        <w:t>funciones políticas” (Van Dijk </w:t>
      </w:r>
      <w:r>
        <w:rPr>
          <w:color w:val="231F20"/>
        </w:rPr>
        <w:t>y </w:t>
      </w:r>
      <w:r>
        <w:rPr>
          <w:color w:val="231F20"/>
          <w:spacing w:val="2"/>
        </w:rPr>
        <w:t>Mendizábal, 1999:13, </w:t>
      </w:r>
      <w:r>
        <w:rPr>
          <w:color w:val="231F20"/>
        </w:rPr>
        <w:t>15). El </w:t>
      </w:r>
      <w:r>
        <w:rPr>
          <w:color w:val="231F20"/>
          <w:spacing w:val="3"/>
        </w:rPr>
        <w:t>problema </w:t>
      </w:r>
      <w:r>
        <w:rPr>
          <w:color w:val="231F20"/>
          <w:spacing w:val="2"/>
        </w:rPr>
        <w:t>que presenta   </w:t>
      </w:r>
      <w:r>
        <w:rPr>
          <w:color w:val="231F20"/>
        </w:rPr>
        <w:t>la </w:t>
      </w:r>
      <w:r>
        <w:rPr>
          <w:color w:val="231F20"/>
          <w:spacing w:val="2"/>
        </w:rPr>
        <w:t>perspectiva </w:t>
      </w:r>
      <w:r>
        <w:rPr>
          <w:color w:val="231F20"/>
        </w:rPr>
        <w:t>de </w:t>
      </w:r>
      <w:r>
        <w:rPr>
          <w:color w:val="231F20"/>
          <w:spacing w:val="2"/>
        </w:rPr>
        <w:t>Van Dijk </w:t>
      </w:r>
      <w:r>
        <w:rPr>
          <w:color w:val="231F20"/>
        </w:rPr>
        <w:t>es </w:t>
      </w:r>
      <w:r>
        <w:rPr>
          <w:color w:val="231F20"/>
          <w:spacing w:val="2"/>
        </w:rPr>
        <w:t>que, </w:t>
      </w:r>
      <w:r>
        <w:rPr>
          <w:color w:val="231F20"/>
        </w:rPr>
        <w:t>al </w:t>
      </w:r>
      <w:r>
        <w:rPr>
          <w:color w:val="231F20"/>
          <w:spacing w:val="2"/>
        </w:rPr>
        <w:t>guiarse analíticamente, ter- mina </w:t>
      </w:r>
      <w:r>
        <w:rPr>
          <w:color w:val="231F20"/>
        </w:rPr>
        <w:t>por </w:t>
      </w:r>
      <w:r>
        <w:rPr>
          <w:color w:val="231F20"/>
          <w:spacing w:val="2"/>
        </w:rPr>
        <w:t>imponer </w:t>
      </w:r>
      <w:r>
        <w:rPr>
          <w:color w:val="231F20"/>
        </w:rPr>
        <w:t>una </w:t>
      </w:r>
      <w:r>
        <w:rPr>
          <w:color w:val="231F20"/>
          <w:spacing w:val="2"/>
        </w:rPr>
        <w:t>forma </w:t>
      </w:r>
      <w:r>
        <w:rPr>
          <w:color w:val="231F20"/>
        </w:rPr>
        <w:t>de </w:t>
      </w:r>
      <w:r>
        <w:rPr>
          <w:color w:val="231F20"/>
          <w:spacing w:val="2"/>
        </w:rPr>
        <w:t>racionalidad teleológica </w:t>
      </w:r>
      <w:r>
        <w:rPr>
          <w:color w:val="231F20"/>
        </w:rPr>
        <w:t>al </w:t>
      </w:r>
      <w:r>
        <w:rPr>
          <w:color w:val="231F20"/>
          <w:spacing w:val="2"/>
        </w:rPr>
        <w:t>análisis del discurso, </w:t>
      </w:r>
      <w:r>
        <w:rPr>
          <w:color w:val="231F20"/>
        </w:rPr>
        <w:t>ya </w:t>
      </w:r>
      <w:r>
        <w:rPr>
          <w:color w:val="231F20"/>
          <w:spacing w:val="2"/>
        </w:rPr>
        <w:t>que </w:t>
      </w:r>
      <w:r>
        <w:rPr>
          <w:color w:val="231F20"/>
        </w:rPr>
        <w:t>al </w:t>
      </w:r>
      <w:r>
        <w:rPr>
          <w:color w:val="231F20"/>
          <w:spacing w:val="2"/>
        </w:rPr>
        <w:t>integrar “los </w:t>
      </w:r>
      <w:r>
        <w:rPr>
          <w:color w:val="231F20"/>
          <w:spacing w:val="3"/>
        </w:rPr>
        <w:t>contextos </w:t>
      </w:r>
      <w:r>
        <w:rPr>
          <w:color w:val="231F20"/>
        </w:rPr>
        <w:t>y </w:t>
      </w:r>
      <w:r>
        <w:rPr>
          <w:color w:val="231F20"/>
          <w:spacing w:val="2"/>
        </w:rPr>
        <w:t>los textos </w:t>
      </w:r>
      <w:r>
        <w:rPr>
          <w:color w:val="231F20"/>
          <w:spacing w:val="3"/>
        </w:rPr>
        <w:t>políticos </w:t>
      </w:r>
      <w:r>
        <w:rPr>
          <w:color w:val="231F20"/>
          <w:spacing w:val="2"/>
        </w:rPr>
        <w:t>con los eventos políticos” señala que </w:t>
      </w:r>
      <w:r>
        <w:rPr>
          <w:color w:val="231F20"/>
        </w:rPr>
        <w:t>esa </w:t>
      </w:r>
      <w:r>
        <w:rPr>
          <w:color w:val="231F20"/>
          <w:spacing w:val="2"/>
        </w:rPr>
        <w:t>relación </w:t>
      </w:r>
      <w:r>
        <w:rPr>
          <w:color w:val="231F20"/>
          <w:spacing w:val="3"/>
        </w:rPr>
        <w:t>“puede </w:t>
      </w:r>
      <w:r>
        <w:rPr>
          <w:color w:val="231F20"/>
        </w:rPr>
        <w:t>ser </w:t>
      </w:r>
      <w:r>
        <w:rPr>
          <w:color w:val="231F20"/>
          <w:spacing w:val="2"/>
        </w:rPr>
        <w:t>ca- racterizada </w:t>
      </w:r>
      <w:r>
        <w:rPr>
          <w:color w:val="231F20"/>
        </w:rPr>
        <w:t>en </w:t>
      </w:r>
      <w:r>
        <w:rPr>
          <w:color w:val="231F20"/>
          <w:spacing w:val="3"/>
        </w:rPr>
        <w:t>términos </w:t>
      </w:r>
      <w:r>
        <w:rPr>
          <w:color w:val="231F20"/>
          <w:spacing w:val="2"/>
        </w:rPr>
        <w:t>más abstractos </w:t>
      </w:r>
      <w:r>
        <w:rPr>
          <w:color w:val="231F20"/>
          <w:spacing w:val="3"/>
        </w:rPr>
        <w:t>como cumplir  </w:t>
      </w:r>
      <w:r>
        <w:rPr>
          <w:color w:val="231F20"/>
          <w:spacing w:val="2"/>
        </w:rPr>
        <w:t>metas  </w:t>
      </w:r>
      <w:r>
        <w:rPr>
          <w:color w:val="231F20"/>
        </w:rPr>
        <w:t>y </w:t>
      </w:r>
      <w:r>
        <w:rPr>
          <w:color w:val="231F20"/>
          <w:spacing w:val="2"/>
        </w:rPr>
        <w:t>fines políticos específicos, tales </w:t>
      </w:r>
      <w:r>
        <w:rPr>
          <w:color w:val="231F20"/>
          <w:spacing w:val="3"/>
        </w:rPr>
        <w:t>como </w:t>
      </w:r>
      <w:r>
        <w:rPr>
          <w:color w:val="231F20"/>
          <w:spacing w:val="2"/>
        </w:rPr>
        <w:t>elaborar </w:t>
      </w:r>
      <w:r>
        <w:rPr>
          <w:color w:val="231F20"/>
        </w:rPr>
        <w:t>o </w:t>
      </w:r>
      <w:r>
        <w:rPr>
          <w:color w:val="231F20"/>
          <w:spacing w:val="2"/>
        </w:rPr>
        <w:t>influir decisiones políticas </w:t>
      </w:r>
      <w:r>
        <w:rPr>
          <w:color w:val="231F20"/>
        </w:rPr>
        <w:t>que las </w:t>
      </w:r>
      <w:r>
        <w:rPr>
          <w:color w:val="231F20"/>
          <w:spacing w:val="2"/>
        </w:rPr>
        <w:t>decisiones pertenezcan </w:t>
      </w:r>
      <w:r>
        <w:rPr>
          <w:color w:val="231F20"/>
        </w:rPr>
        <w:t>a la </w:t>
      </w:r>
      <w:r>
        <w:rPr>
          <w:color w:val="231F20"/>
          <w:spacing w:val="2"/>
        </w:rPr>
        <w:t>acción </w:t>
      </w:r>
      <w:r>
        <w:rPr>
          <w:color w:val="231F20"/>
          <w:spacing w:val="3"/>
        </w:rPr>
        <w:t>conjunto, </w:t>
      </w:r>
      <w:r>
        <w:rPr>
          <w:color w:val="231F20"/>
        </w:rPr>
        <w:t>la </w:t>
      </w:r>
      <w:r>
        <w:rPr>
          <w:color w:val="231F20"/>
          <w:spacing w:val="2"/>
        </w:rPr>
        <w:t>distribución </w:t>
      </w:r>
      <w:r>
        <w:rPr>
          <w:color w:val="231F20"/>
        </w:rPr>
        <w:t>de </w:t>
      </w:r>
      <w:r>
        <w:rPr>
          <w:color w:val="231F20"/>
          <w:spacing w:val="2"/>
        </w:rPr>
        <w:t>recursos sociales, </w:t>
      </w:r>
      <w:r>
        <w:rPr>
          <w:color w:val="231F20"/>
        </w:rPr>
        <w:t>el </w:t>
      </w:r>
      <w:r>
        <w:rPr>
          <w:color w:val="231F20"/>
          <w:spacing w:val="2"/>
        </w:rPr>
        <w:t>establecimiento </w:t>
      </w:r>
      <w:r>
        <w:rPr>
          <w:color w:val="231F20"/>
        </w:rPr>
        <w:t>o </w:t>
      </w:r>
      <w:r>
        <w:rPr>
          <w:color w:val="231F20"/>
          <w:spacing w:val="2"/>
        </w:rPr>
        <w:t>cambio </w:t>
      </w:r>
      <w:r>
        <w:rPr>
          <w:color w:val="231F20"/>
        </w:rPr>
        <w:t>de </w:t>
      </w:r>
      <w:r>
        <w:rPr>
          <w:color w:val="231F20"/>
          <w:spacing w:val="3"/>
        </w:rPr>
        <w:t>normas, </w:t>
      </w:r>
      <w:r>
        <w:rPr>
          <w:color w:val="231F20"/>
          <w:spacing w:val="2"/>
        </w:rPr>
        <w:t>regulaciones </w:t>
      </w:r>
      <w:r>
        <w:rPr>
          <w:color w:val="231F20"/>
        </w:rPr>
        <w:t>y </w:t>
      </w:r>
      <w:r>
        <w:rPr>
          <w:color w:val="231F20"/>
          <w:spacing w:val="2"/>
        </w:rPr>
        <w:t>leyes oficiales, etc.” (Van Dijk </w:t>
      </w:r>
      <w:r>
        <w:rPr>
          <w:color w:val="231F20"/>
        </w:rPr>
        <w:t>y </w:t>
      </w:r>
      <w:r>
        <w:rPr>
          <w:color w:val="231F20"/>
          <w:spacing w:val="3"/>
        </w:rPr>
        <w:t>Mendizá- </w:t>
      </w:r>
      <w:r>
        <w:rPr>
          <w:color w:val="231F20"/>
          <w:spacing w:val="2"/>
        </w:rPr>
        <w:t>bal, 1999:16). </w:t>
      </w:r>
      <w:r>
        <w:rPr>
          <w:color w:val="231F20"/>
        </w:rPr>
        <w:t>Allí </w:t>
      </w:r>
      <w:r>
        <w:rPr>
          <w:color w:val="231F20"/>
          <w:spacing w:val="2"/>
        </w:rPr>
        <w:t>deslinda </w:t>
      </w:r>
      <w:r>
        <w:rPr>
          <w:color w:val="231F20"/>
        </w:rPr>
        <w:t>“el </w:t>
      </w:r>
      <w:r>
        <w:rPr>
          <w:color w:val="231F20"/>
          <w:spacing w:val="2"/>
        </w:rPr>
        <w:t>discurso educativo, médico </w:t>
      </w:r>
      <w:r>
        <w:rPr>
          <w:color w:val="231F20"/>
        </w:rPr>
        <w:t>o </w:t>
      </w:r>
      <w:r>
        <w:rPr>
          <w:color w:val="231F20"/>
          <w:spacing w:val="3"/>
        </w:rPr>
        <w:t>cor- </w:t>
      </w:r>
      <w:r>
        <w:rPr>
          <w:color w:val="231F20"/>
          <w:spacing w:val="2"/>
        </w:rPr>
        <w:t>porativo, </w:t>
      </w:r>
      <w:r>
        <w:rPr>
          <w:color w:val="231F20"/>
        </w:rPr>
        <w:t>aun </w:t>
      </w:r>
      <w:r>
        <w:rPr>
          <w:color w:val="231F20"/>
          <w:spacing w:val="3"/>
        </w:rPr>
        <w:t>cuando </w:t>
      </w:r>
      <w:r>
        <w:rPr>
          <w:color w:val="231F20"/>
        </w:rPr>
        <w:t>sea </w:t>
      </w:r>
      <w:r>
        <w:rPr>
          <w:color w:val="231F20"/>
          <w:spacing w:val="2"/>
        </w:rPr>
        <w:t>público </w:t>
      </w:r>
      <w:r>
        <w:rPr>
          <w:color w:val="231F20"/>
        </w:rPr>
        <w:t>y </w:t>
      </w:r>
      <w:r>
        <w:rPr>
          <w:color w:val="231F20"/>
          <w:spacing w:val="2"/>
        </w:rPr>
        <w:t>afecte </w:t>
      </w:r>
      <w:r>
        <w:rPr>
          <w:color w:val="231F20"/>
        </w:rPr>
        <w:t>la </w:t>
      </w:r>
      <w:r>
        <w:rPr>
          <w:color w:val="231F20"/>
          <w:spacing w:val="2"/>
        </w:rPr>
        <w:t>vida </w:t>
      </w:r>
      <w:r>
        <w:rPr>
          <w:color w:val="231F20"/>
        </w:rPr>
        <w:t>de </w:t>
      </w:r>
      <w:r>
        <w:rPr>
          <w:color w:val="231F20"/>
          <w:spacing w:val="3"/>
        </w:rPr>
        <w:t>(muchos) ciudadanos, </w:t>
      </w:r>
      <w:r>
        <w:rPr>
          <w:color w:val="231F20"/>
          <w:spacing w:val="2"/>
        </w:rPr>
        <w:t>aquí </w:t>
      </w:r>
      <w:r>
        <w:rPr>
          <w:color w:val="231F20"/>
        </w:rPr>
        <w:t>no se le </w:t>
      </w:r>
      <w:r>
        <w:rPr>
          <w:color w:val="231F20"/>
          <w:spacing w:val="2"/>
        </w:rPr>
        <w:t>incluirá </w:t>
      </w:r>
      <w:r>
        <w:rPr>
          <w:color w:val="231F20"/>
          <w:spacing w:val="3"/>
        </w:rPr>
        <w:t>como formas </w:t>
      </w:r>
      <w:r>
        <w:rPr>
          <w:color w:val="231F20"/>
          <w:spacing w:val="2"/>
        </w:rPr>
        <w:t>del discurso políti- co. </w:t>
      </w:r>
      <w:r>
        <w:rPr>
          <w:color w:val="231F20"/>
          <w:spacing w:val="3"/>
        </w:rPr>
        <w:t>Aunque podamos </w:t>
      </w:r>
      <w:r>
        <w:rPr>
          <w:color w:val="231F20"/>
          <w:spacing w:val="2"/>
        </w:rPr>
        <w:t>suscribirnos fácilmente </w:t>
      </w:r>
      <w:r>
        <w:rPr>
          <w:color w:val="231F20"/>
        </w:rPr>
        <w:t>a la </w:t>
      </w:r>
      <w:r>
        <w:rPr>
          <w:color w:val="231F20"/>
          <w:spacing w:val="3"/>
        </w:rPr>
        <w:t>muy conocida </w:t>
      </w:r>
      <w:r>
        <w:rPr>
          <w:color w:val="231F20"/>
          <w:spacing w:val="2"/>
        </w:rPr>
        <w:t>consigna feminista que </w:t>
      </w:r>
      <w:r>
        <w:rPr>
          <w:color w:val="231F20"/>
        </w:rPr>
        <w:t>lo </w:t>
      </w:r>
      <w:r>
        <w:rPr>
          <w:color w:val="231F20"/>
          <w:spacing w:val="3"/>
        </w:rPr>
        <w:t>personal </w:t>
      </w:r>
      <w:r>
        <w:rPr>
          <w:color w:val="231F20"/>
        </w:rPr>
        <w:t>es </w:t>
      </w:r>
      <w:r>
        <w:rPr>
          <w:color w:val="231F20"/>
          <w:spacing w:val="2"/>
        </w:rPr>
        <w:t>política, igualmente </w:t>
      </w:r>
      <w:r>
        <w:rPr>
          <w:color w:val="231F20"/>
        </w:rPr>
        <w:t>no </w:t>
      </w:r>
      <w:r>
        <w:rPr>
          <w:color w:val="231F20"/>
          <w:spacing w:val="3"/>
        </w:rPr>
        <w:t>to- maremos necesariamente </w:t>
      </w:r>
      <w:r>
        <w:rPr>
          <w:color w:val="231F20"/>
          <w:spacing w:val="2"/>
        </w:rPr>
        <w:t>todo </w:t>
      </w:r>
      <w:r>
        <w:rPr>
          <w:color w:val="231F20"/>
        </w:rPr>
        <w:t>el </w:t>
      </w:r>
      <w:r>
        <w:rPr>
          <w:color w:val="231F20"/>
          <w:spacing w:val="2"/>
        </w:rPr>
        <w:t>habla  </w:t>
      </w:r>
      <w:r>
        <w:rPr>
          <w:color w:val="231F20"/>
          <w:spacing w:val="3"/>
        </w:rPr>
        <w:t>interpersonal </w:t>
      </w:r>
      <w:r>
        <w:rPr>
          <w:color w:val="231F20"/>
          <w:spacing w:val="2"/>
        </w:rPr>
        <w:t>(ni  siquiera </w:t>
      </w:r>
      <w:r>
        <w:rPr>
          <w:color w:val="231F20"/>
        </w:rPr>
        <w:t>de </w:t>
      </w:r>
      <w:r>
        <w:rPr>
          <w:color w:val="231F20"/>
          <w:spacing w:val="2"/>
        </w:rPr>
        <w:t>género) </w:t>
      </w:r>
      <w:r>
        <w:rPr>
          <w:color w:val="231F20"/>
          <w:spacing w:val="3"/>
        </w:rPr>
        <w:t>como </w:t>
      </w:r>
      <w:r>
        <w:rPr>
          <w:color w:val="231F20"/>
          <w:spacing w:val="2"/>
        </w:rPr>
        <w:t>discurso político” (Van Dijk </w:t>
      </w:r>
      <w:r>
        <w:rPr>
          <w:color w:val="231F20"/>
        </w:rPr>
        <w:t>y </w:t>
      </w:r>
      <w:r>
        <w:rPr>
          <w:color w:val="231F20"/>
          <w:spacing w:val="3"/>
        </w:rPr>
        <w:t>Mendizábal, </w:t>
      </w:r>
      <w:r>
        <w:rPr>
          <w:color w:val="231F20"/>
          <w:spacing w:val="2"/>
        </w:rPr>
        <w:t>1999:16-17), pues estos son </w:t>
      </w:r>
      <w:r>
        <w:rPr>
          <w:color w:val="231F20"/>
          <w:spacing w:val="3"/>
        </w:rPr>
        <w:t>considerados como </w:t>
      </w:r>
      <w:r>
        <w:rPr>
          <w:color w:val="231F20"/>
          <w:spacing w:val="2"/>
        </w:rPr>
        <w:t>discursos con posibles efectos</w:t>
      </w:r>
      <w:r>
        <w:rPr>
          <w:color w:val="231F20"/>
          <w:spacing w:val="-1"/>
        </w:rPr>
        <w:t> </w:t>
      </w:r>
      <w:r>
        <w:rPr>
          <w:color w:val="231F20"/>
          <w:spacing w:val="2"/>
        </w:rPr>
        <w:t>políticos.</w:t>
      </w:r>
    </w:p>
    <w:p>
      <w:pPr>
        <w:pStyle w:val="BodyText"/>
        <w:spacing w:line="247" w:lineRule="auto"/>
        <w:ind w:left="101" w:right="112" w:firstLine="284"/>
        <w:jc w:val="both"/>
      </w:pPr>
      <w:r>
        <w:rPr>
          <w:color w:val="231F20"/>
        </w:rPr>
        <w:t>Un </w:t>
      </w:r>
      <w:r>
        <w:rPr>
          <w:color w:val="231F20"/>
          <w:spacing w:val="2"/>
        </w:rPr>
        <w:t>aspecto </w:t>
      </w:r>
      <w:r>
        <w:rPr>
          <w:color w:val="231F20"/>
        </w:rPr>
        <w:t>que es de </w:t>
      </w:r>
      <w:r>
        <w:rPr>
          <w:color w:val="231F20"/>
          <w:spacing w:val="2"/>
        </w:rPr>
        <w:t>destacar </w:t>
      </w:r>
      <w:r>
        <w:rPr>
          <w:color w:val="231F20"/>
        </w:rPr>
        <w:t>en </w:t>
      </w:r>
      <w:r>
        <w:rPr>
          <w:color w:val="231F20"/>
          <w:spacing w:val="2"/>
        </w:rPr>
        <w:t>Van Dijk </w:t>
      </w:r>
      <w:r>
        <w:rPr>
          <w:color w:val="231F20"/>
        </w:rPr>
        <w:t>se </w:t>
      </w:r>
      <w:r>
        <w:rPr>
          <w:color w:val="231F20"/>
          <w:spacing w:val="2"/>
        </w:rPr>
        <w:t>refiere </w:t>
      </w:r>
      <w:r>
        <w:rPr>
          <w:color w:val="231F20"/>
        </w:rPr>
        <w:t>al </w:t>
      </w:r>
      <w:r>
        <w:rPr>
          <w:color w:val="231F20"/>
          <w:spacing w:val="3"/>
        </w:rPr>
        <w:t>papel </w:t>
      </w:r>
      <w:r>
        <w:rPr>
          <w:color w:val="231F20"/>
        </w:rPr>
        <w:t>que </w:t>
      </w:r>
      <w:r>
        <w:rPr>
          <w:color w:val="231F20"/>
          <w:spacing w:val="2"/>
        </w:rPr>
        <w:t>tienen los valores políticos </w:t>
      </w:r>
      <w:r>
        <w:rPr>
          <w:color w:val="231F20"/>
          <w:spacing w:val="3"/>
        </w:rPr>
        <w:t>como </w:t>
      </w:r>
      <w:r>
        <w:rPr>
          <w:color w:val="231F20"/>
          <w:spacing w:val="2"/>
        </w:rPr>
        <w:t>libertad, igualdad, solidari- dad, tolerancia </w:t>
      </w:r>
      <w:r>
        <w:rPr>
          <w:color w:val="231F20"/>
        </w:rPr>
        <w:t>ya </w:t>
      </w:r>
      <w:r>
        <w:rPr>
          <w:color w:val="231F20"/>
          <w:spacing w:val="2"/>
        </w:rPr>
        <w:t>que permiten organizar </w:t>
      </w:r>
      <w:r>
        <w:rPr>
          <w:color w:val="231F20"/>
        </w:rPr>
        <w:t>“las </w:t>
      </w:r>
      <w:r>
        <w:rPr>
          <w:color w:val="231F20"/>
          <w:spacing w:val="2"/>
        </w:rPr>
        <w:t>actitudes </w:t>
      </w:r>
      <w:r>
        <w:rPr>
          <w:color w:val="231F20"/>
        </w:rPr>
        <w:t>e </w:t>
      </w:r>
      <w:r>
        <w:rPr>
          <w:color w:val="231F20"/>
          <w:spacing w:val="3"/>
        </w:rPr>
        <w:t>ideolo- </w:t>
      </w:r>
      <w:r>
        <w:rPr>
          <w:color w:val="231F20"/>
        </w:rPr>
        <w:t>gías </w:t>
      </w:r>
      <w:r>
        <w:rPr>
          <w:color w:val="231F20"/>
          <w:spacing w:val="2"/>
        </w:rPr>
        <w:t>políticas específicas”, </w:t>
      </w:r>
      <w:r>
        <w:rPr>
          <w:color w:val="231F20"/>
        </w:rPr>
        <w:t>al </w:t>
      </w:r>
      <w:r>
        <w:rPr>
          <w:color w:val="231F20"/>
          <w:spacing w:val="3"/>
        </w:rPr>
        <w:t>mismo </w:t>
      </w:r>
      <w:r>
        <w:rPr>
          <w:color w:val="231F20"/>
          <w:spacing w:val="2"/>
        </w:rPr>
        <w:t>tiempo que dota </w:t>
      </w:r>
      <w:r>
        <w:rPr>
          <w:color w:val="231F20"/>
        </w:rPr>
        <w:t>a </w:t>
      </w:r>
      <w:r>
        <w:rPr>
          <w:color w:val="231F20"/>
          <w:spacing w:val="2"/>
        </w:rPr>
        <w:t>los </w:t>
      </w:r>
      <w:r>
        <w:rPr>
          <w:color w:val="231F20"/>
          <w:spacing w:val="3"/>
        </w:rPr>
        <w:t>grupos </w:t>
      </w:r>
      <w:r>
        <w:rPr>
          <w:color w:val="231F20"/>
          <w:spacing w:val="2"/>
        </w:rPr>
        <w:t>sociales </w:t>
      </w:r>
      <w:r>
        <w:rPr>
          <w:color w:val="231F20"/>
        </w:rPr>
        <w:t>de un </w:t>
      </w:r>
      <w:r>
        <w:rPr>
          <w:color w:val="231F20"/>
          <w:spacing w:val="3"/>
        </w:rPr>
        <w:t>modo </w:t>
      </w:r>
      <w:r>
        <w:rPr>
          <w:color w:val="231F20"/>
        </w:rPr>
        <w:t>de </w:t>
      </w:r>
      <w:r>
        <w:rPr>
          <w:color w:val="231F20"/>
          <w:spacing w:val="2"/>
        </w:rPr>
        <w:t>definirse </w:t>
      </w:r>
      <w:r>
        <w:rPr>
          <w:color w:val="231F20"/>
        </w:rPr>
        <w:t>a sí </w:t>
      </w:r>
      <w:r>
        <w:rPr>
          <w:color w:val="231F20"/>
          <w:spacing w:val="3"/>
        </w:rPr>
        <w:t>mismos </w:t>
      </w:r>
      <w:r>
        <w:rPr>
          <w:color w:val="231F20"/>
        </w:rPr>
        <w:t>y sus </w:t>
      </w:r>
      <w:r>
        <w:rPr>
          <w:color w:val="231F20"/>
          <w:spacing w:val="2"/>
        </w:rPr>
        <w:t>metas desde   los valores que </w:t>
      </w:r>
      <w:r>
        <w:rPr>
          <w:color w:val="231F20"/>
          <w:spacing w:val="3"/>
        </w:rPr>
        <w:t>pregonen, </w:t>
      </w:r>
      <w:r>
        <w:rPr>
          <w:color w:val="231F20"/>
        </w:rPr>
        <w:t>de allí </w:t>
      </w:r>
      <w:r>
        <w:rPr>
          <w:color w:val="231F20"/>
          <w:spacing w:val="2"/>
        </w:rPr>
        <w:t>que </w:t>
      </w:r>
      <w:r>
        <w:rPr>
          <w:color w:val="231F20"/>
          <w:spacing w:val="3"/>
        </w:rPr>
        <w:t>puedan </w:t>
      </w:r>
      <w:r>
        <w:rPr>
          <w:color w:val="231F20"/>
          <w:spacing w:val="2"/>
        </w:rPr>
        <w:t>identificar </w:t>
      </w:r>
      <w:r>
        <w:rPr>
          <w:color w:val="231F20"/>
        </w:rPr>
        <w:t>a </w:t>
      </w:r>
      <w:r>
        <w:rPr>
          <w:color w:val="231F20"/>
          <w:spacing w:val="3"/>
        </w:rPr>
        <w:t>grupos dominados </w:t>
      </w:r>
      <w:r>
        <w:rPr>
          <w:color w:val="231F20"/>
        </w:rPr>
        <w:t>y </w:t>
      </w:r>
      <w:r>
        <w:rPr>
          <w:color w:val="231F20"/>
          <w:spacing w:val="3"/>
        </w:rPr>
        <w:t>dominantes, </w:t>
      </w:r>
      <w:r>
        <w:rPr>
          <w:color w:val="231F20"/>
          <w:spacing w:val="2"/>
        </w:rPr>
        <w:t>pues para estos últimos son relevantes los valores </w:t>
      </w:r>
      <w:r>
        <w:rPr>
          <w:color w:val="231F20"/>
        </w:rPr>
        <w:t>de </w:t>
      </w:r>
      <w:r>
        <w:rPr>
          <w:color w:val="231F20"/>
          <w:spacing w:val="3"/>
        </w:rPr>
        <w:t>“armonía, sumisión, </w:t>
      </w:r>
      <w:r>
        <w:rPr>
          <w:color w:val="231F20"/>
        </w:rPr>
        <w:t>o </w:t>
      </w:r>
      <w:r>
        <w:rPr>
          <w:color w:val="231F20"/>
          <w:spacing w:val="2"/>
        </w:rPr>
        <w:t>simpatía”, </w:t>
      </w:r>
      <w:r>
        <w:rPr>
          <w:color w:val="231F20"/>
        </w:rPr>
        <w:t>así las </w:t>
      </w:r>
      <w:r>
        <w:rPr>
          <w:color w:val="231F20"/>
          <w:spacing w:val="2"/>
        </w:rPr>
        <w:t>ideologías políticas definen </w:t>
      </w:r>
      <w:r>
        <w:rPr>
          <w:color w:val="231F20"/>
        </w:rPr>
        <w:t>un </w:t>
      </w:r>
      <w:r>
        <w:rPr>
          <w:color w:val="231F20"/>
          <w:spacing w:val="2"/>
        </w:rPr>
        <w:t>sistema </w:t>
      </w:r>
      <w:r>
        <w:rPr>
          <w:color w:val="231F20"/>
        </w:rPr>
        <w:t>de </w:t>
      </w:r>
      <w:r>
        <w:rPr>
          <w:color w:val="231F20"/>
          <w:spacing w:val="2"/>
        </w:rPr>
        <w:t>creencias “que </w:t>
      </w:r>
      <w:r>
        <w:rPr>
          <w:color w:val="231F20"/>
          <w:spacing w:val="3"/>
        </w:rPr>
        <w:t>subyacen </w:t>
      </w:r>
      <w:r>
        <w:rPr>
          <w:color w:val="231F20"/>
        </w:rPr>
        <w:t>y   </w:t>
      </w:r>
      <w:r>
        <w:rPr>
          <w:color w:val="231F20"/>
          <w:spacing w:val="2"/>
        </w:rPr>
        <w:t>organi-</w:t>
      </w:r>
    </w:p>
    <w:p>
      <w:pPr>
        <w:spacing w:after="0" w:line="247" w:lineRule="auto"/>
        <w:jc w:val="both"/>
        <w:sectPr>
          <w:headerReference w:type="default" r:id="rId153"/>
          <w:footerReference w:type="default" r:id="rId154"/>
          <w:pgSz w:w="7830" w:h="11910"/>
          <w:pgMar w:header="0" w:footer="424" w:top="500" w:bottom="620" w:left="920" w:right="900"/>
          <w:pgNumType w:start="7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3"/>
        <w:jc w:val="both"/>
      </w:pPr>
      <w:r>
        <w:rPr>
          <w:color w:val="231F20"/>
        </w:rPr>
        <w:t>zan las </w:t>
      </w:r>
      <w:r>
        <w:rPr>
          <w:color w:val="231F20"/>
          <w:spacing w:val="3"/>
        </w:rPr>
        <w:t>representaciones </w:t>
      </w:r>
      <w:r>
        <w:rPr>
          <w:color w:val="231F20"/>
          <w:spacing w:val="2"/>
        </w:rPr>
        <w:t>sociales </w:t>
      </w:r>
      <w:r>
        <w:rPr>
          <w:color w:val="231F20"/>
          <w:spacing w:val="3"/>
        </w:rPr>
        <w:t>compartidas </w:t>
      </w:r>
      <w:r>
        <w:rPr>
          <w:color w:val="231F20"/>
        </w:rPr>
        <w:t>de los </w:t>
      </w:r>
      <w:r>
        <w:rPr>
          <w:color w:val="231F20"/>
          <w:spacing w:val="2"/>
        </w:rPr>
        <w:t>grupos </w:t>
      </w:r>
      <w:r>
        <w:rPr>
          <w:color w:val="231F20"/>
        </w:rPr>
        <w:t>y sus </w:t>
      </w:r>
      <w:r>
        <w:rPr>
          <w:color w:val="231F20"/>
          <w:spacing w:val="3"/>
        </w:rPr>
        <w:t>miembros” </w:t>
      </w:r>
      <w:r>
        <w:rPr>
          <w:color w:val="231F20"/>
          <w:spacing w:val="2"/>
        </w:rPr>
        <w:t>(Van Dijk </w:t>
      </w:r>
      <w:r>
        <w:rPr>
          <w:color w:val="231F20"/>
        </w:rPr>
        <w:t>y </w:t>
      </w:r>
      <w:r>
        <w:rPr>
          <w:color w:val="231F20"/>
          <w:spacing w:val="3"/>
        </w:rPr>
        <w:t>Mendizábal, </w:t>
      </w:r>
      <w:r>
        <w:rPr>
          <w:color w:val="231F20"/>
          <w:spacing w:val="2"/>
        </w:rPr>
        <w:t>1999:20-21); </w:t>
      </w:r>
      <w:r>
        <w:rPr>
          <w:color w:val="231F20"/>
        </w:rPr>
        <w:t>sin </w:t>
      </w:r>
      <w:r>
        <w:rPr>
          <w:color w:val="231F20"/>
          <w:spacing w:val="3"/>
        </w:rPr>
        <w:t>embargo, </w:t>
      </w:r>
      <w:r>
        <w:rPr>
          <w:color w:val="231F20"/>
        </w:rPr>
        <w:t>ese </w:t>
      </w:r>
      <w:r>
        <w:rPr>
          <w:color w:val="231F20"/>
          <w:spacing w:val="3"/>
        </w:rPr>
        <w:t>modo </w:t>
      </w:r>
      <w:r>
        <w:rPr>
          <w:color w:val="231F20"/>
        </w:rPr>
        <w:t>de </w:t>
      </w:r>
      <w:r>
        <w:rPr>
          <w:color w:val="231F20"/>
          <w:spacing w:val="2"/>
        </w:rPr>
        <w:t>conceptualizar </w:t>
      </w:r>
      <w:r>
        <w:rPr>
          <w:color w:val="231F20"/>
        </w:rPr>
        <w:t>la </w:t>
      </w:r>
      <w:r>
        <w:rPr>
          <w:color w:val="231F20"/>
          <w:spacing w:val="2"/>
        </w:rPr>
        <w:t>ideología política, </w:t>
      </w:r>
      <w:r>
        <w:rPr>
          <w:color w:val="231F20"/>
        </w:rPr>
        <w:t>solo </w:t>
      </w:r>
      <w:r>
        <w:rPr>
          <w:color w:val="231F20"/>
          <w:spacing w:val="3"/>
        </w:rPr>
        <w:t>pone </w:t>
      </w:r>
      <w:r>
        <w:rPr>
          <w:color w:val="231F20"/>
        </w:rPr>
        <w:t>de </w:t>
      </w:r>
      <w:r>
        <w:rPr>
          <w:color w:val="231F20"/>
          <w:spacing w:val="2"/>
        </w:rPr>
        <w:t>relieve que, </w:t>
      </w:r>
      <w:r>
        <w:rPr>
          <w:color w:val="231F20"/>
          <w:spacing w:val="3"/>
        </w:rPr>
        <w:t>como </w:t>
      </w:r>
      <w:r>
        <w:rPr>
          <w:color w:val="231F20"/>
          <w:spacing w:val="2"/>
        </w:rPr>
        <w:t>sistema </w:t>
      </w:r>
      <w:r>
        <w:rPr>
          <w:color w:val="231F20"/>
        </w:rPr>
        <w:t>de </w:t>
      </w:r>
      <w:r>
        <w:rPr>
          <w:color w:val="231F20"/>
          <w:spacing w:val="2"/>
        </w:rPr>
        <w:t>creencias son “valores pertinentes </w:t>
      </w:r>
      <w:r>
        <w:rPr>
          <w:color w:val="231F20"/>
        </w:rPr>
        <w:t>y </w:t>
      </w:r>
      <w:r>
        <w:rPr>
          <w:color w:val="231F20"/>
          <w:spacing w:val="2"/>
        </w:rPr>
        <w:t>mantienen actitudes específicas acerca </w:t>
      </w:r>
      <w:r>
        <w:rPr>
          <w:color w:val="231F20"/>
        </w:rPr>
        <w:t>de las </w:t>
      </w:r>
      <w:r>
        <w:rPr>
          <w:color w:val="231F20"/>
          <w:spacing w:val="2"/>
        </w:rPr>
        <w:t>propiedades (como   </w:t>
      </w:r>
      <w:r>
        <w:rPr>
          <w:color w:val="231F20"/>
        </w:rPr>
        <w:t>el </w:t>
      </w:r>
      <w:r>
        <w:rPr>
          <w:color w:val="231F20"/>
          <w:spacing w:val="3"/>
        </w:rPr>
        <w:t>poder, </w:t>
      </w:r>
      <w:r>
        <w:rPr>
          <w:color w:val="231F20"/>
        </w:rPr>
        <w:t>la </w:t>
      </w:r>
      <w:r>
        <w:rPr>
          <w:color w:val="231F20"/>
          <w:spacing w:val="2"/>
        </w:rPr>
        <w:t>igualdad, etc.) que caracterizan </w:t>
      </w:r>
      <w:r>
        <w:rPr>
          <w:color w:val="231F20"/>
        </w:rPr>
        <w:t>al </w:t>
      </w:r>
      <w:r>
        <w:rPr>
          <w:color w:val="231F20"/>
          <w:spacing w:val="2"/>
        </w:rPr>
        <w:t>sistema” (Van Dijk </w:t>
      </w:r>
      <w:r>
        <w:rPr>
          <w:color w:val="231F20"/>
        </w:rPr>
        <w:t>y </w:t>
      </w:r>
      <w:r>
        <w:rPr>
          <w:color w:val="231F20"/>
          <w:spacing w:val="2"/>
        </w:rPr>
        <w:t>Mendizábal, 1999:21). </w:t>
      </w:r>
      <w:r>
        <w:rPr>
          <w:color w:val="231F20"/>
        </w:rPr>
        <w:t>La </w:t>
      </w:r>
      <w:r>
        <w:rPr>
          <w:color w:val="231F20"/>
          <w:spacing w:val="2"/>
        </w:rPr>
        <w:t>limitación </w:t>
      </w:r>
      <w:r>
        <w:rPr>
          <w:color w:val="231F20"/>
        </w:rPr>
        <w:t>del </w:t>
      </w:r>
      <w:r>
        <w:rPr>
          <w:color w:val="231F20"/>
          <w:spacing w:val="3"/>
        </w:rPr>
        <w:t>planteamiento  </w:t>
      </w:r>
      <w:r>
        <w:rPr>
          <w:color w:val="231F20"/>
        </w:rPr>
        <w:t>de  </w:t>
      </w:r>
      <w:r>
        <w:rPr>
          <w:color w:val="231F20"/>
          <w:spacing w:val="3"/>
        </w:rPr>
        <w:t>Van </w:t>
      </w:r>
      <w:r>
        <w:rPr>
          <w:color w:val="231F20"/>
          <w:spacing w:val="2"/>
        </w:rPr>
        <w:t>Dijk </w:t>
      </w:r>
      <w:r>
        <w:rPr>
          <w:color w:val="231F20"/>
        </w:rPr>
        <w:t>es que </w:t>
      </w:r>
      <w:r>
        <w:rPr>
          <w:color w:val="231F20"/>
          <w:spacing w:val="2"/>
        </w:rPr>
        <w:t>procura aislar, autonomizar, como </w:t>
      </w:r>
      <w:r>
        <w:rPr>
          <w:color w:val="231F20"/>
        </w:rPr>
        <w:t>un </w:t>
      </w:r>
      <w:r>
        <w:rPr>
          <w:color w:val="231F20"/>
          <w:spacing w:val="2"/>
        </w:rPr>
        <w:t>objeto </w:t>
      </w:r>
      <w:r>
        <w:rPr>
          <w:color w:val="231F20"/>
        </w:rPr>
        <w:t>de </w:t>
      </w:r>
      <w:r>
        <w:rPr>
          <w:color w:val="231F20"/>
          <w:spacing w:val="2"/>
        </w:rPr>
        <w:t>estu- dio específico </w:t>
      </w:r>
      <w:r>
        <w:rPr>
          <w:color w:val="231F20"/>
        </w:rPr>
        <w:t>al </w:t>
      </w:r>
      <w:r>
        <w:rPr>
          <w:color w:val="231F20"/>
          <w:spacing w:val="2"/>
        </w:rPr>
        <w:t>análisis del discurso político </w:t>
      </w:r>
      <w:r>
        <w:rPr>
          <w:color w:val="231F20"/>
        </w:rPr>
        <w:t>en </w:t>
      </w:r>
      <w:r>
        <w:rPr>
          <w:color w:val="231F20"/>
          <w:spacing w:val="3"/>
        </w:rPr>
        <w:t>términos </w:t>
      </w:r>
      <w:r>
        <w:rPr>
          <w:color w:val="231F20"/>
          <w:spacing w:val="2"/>
        </w:rPr>
        <w:t>exclusi- vos </w:t>
      </w:r>
      <w:r>
        <w:rPr>
          <w:color w:val="231F20"/>
        </w:rPr>
        <w:t>de las </w:t>
      </w:r>
      <w:r>
        <w:rPr>
          <w:color w:val="231F20"/>
          <w:spacing w:val="3"/>
        </w:rPr>
        <w:t>formas </w:t>
      </w:r>
      <w:r>
        <w:rPr>
          <w:color w:val="231F20"/>
        </w:rPr>
        <w:t>de </w:t>
      </w:r>
      <w:r>
        <w:rPr>
          <w:color w:val="231F20"/>
          <w:spacing w:val="3"/>
        </w:rPr>
        <w:t>comunicación </w:t>
      </w:r>
      <w:r>
        <w:rPr>
          <w:color w:val="231F20"/>
        </w:rPr>
        <w:t>que se </w:t>
      </w:r>
      <w:r>
        <w:rPr>
          <w:color w:val="231F20"/>
          <w:spacing w:val="3"/>
        </w:rPr>
        <w:t>producen </w:t>
      </w:r>
      <w:r>
        <w:rPr>
          <w:color w:val="231F20"/>
        </w:rPr>
        <w:t>en </w:t>
      </w:r>
      <w:r>
        <w:rPr>
          <w:color w:val="231F20"/>
          <w:spacing w:val="3"/>
        </w:rPr>
        <w:t>contextos, </w:t>
      </w:r>
      <w:r>
        <w:rPr>
          <w:color w:val="231F20"/>
          <w:spacing w:val="2"/>
        </w:rPr>
        <w:t>textos, </w:t>
      </w:r>
      <w:r>
        <w:rPr>
          <w:color w:val="231F20"/>
          <w:spacing w:val="3"/>
        </w:rPr>
        <w:t>eventos </w:t>
      </w:r>
      <w:r>
        <w:rPr>
          <w:color w:val="231F20"/>
          <w:spacing w:val="2"/>
        </w:rPr>
        <w:t>políticos </w:t>
      </w:r>
      <w:r>
        <w:rPr>
          <w:color w:val="231F20"/>
        </w:rPr>
        <w:t>y </w:t>
      </w:r>
      <w:r>
        <w:rPr>
          <w:color w:val="231F20"/>
          <w:spacing w:val="2"/>
        </w:rPr>
        <w:t>actores que actúan </w:t>
      </w:r>
      <w:r>
        <w:rPr>
          <w:color w:val="231F20"/>
        </w:rPr>
        <w:t>en la </w:t>
      </w:r>
      <w:r>
        <w:rPr>
          <w:color w:val="231F20"/>
          <w:spacing w:val="2"/>
        </w:rPr>
        <w:t>esfera pública </w:t>
      </w:r>
      <w:r>
        <w:rPr>
          <w:color w:val="231F20"/>
          <w:spacing w:val="3"/>
        </w:rPr>
        <w:t>donde </w:t>
      </w:r>
      <w:r>
        <w:rPr>
          <w:color w:val="231F20"/>
          <w:spacing w:val="2"/>
        </w:rPr>
        <w:t>cada actor </w:t>
      </w:r>
      <w:r>
        <w:rPr>
          <w:color w:val="231F20"/>
          <w:spacing w:val="3"/>
        </w:rPr>
        <w:t>queda </w:t>
      </w:r>
      <w:r>
        <w:rPr>
          <w:color w:val="231F20"/>
          <w:spacing w:val="2"/>
        </w:rPr>
        <w:t>ubicado por </w:t>
      </w:r>
      <w:r>
        <w:rPr>
          <w:color w:val="231F20"/>
        </w:rPr>
        <w:t>el </w:t>
      </w:r>
      <w:r>
        <w:rPr>
          <w:color w:val="231F20"/>
          <w:spacing w:val="2"/>
        </w:rPr>
        <w:t>lugar </w:t>
      </w:r>
      <w:r>
        <w:rPr>
          <w:color w:val="231F20"/>
        </w:rPr>
        <w:t>que </w:t>
      </w:r>
      <w:r>
        <w:rPr>
          <w:color w:val="231F20"/>
          <w:spacing w:val="2"/>
        </w:rPr>
        <w:t>ocupa dentro </w:t>
      </w:r>
      <w:r>
        <w:rPr>
          <w:color w:val="231F20"/>
        </w:rPr>
        <w:t>del </w:t>
      </w:r>
      <w:r>
        <w:rPr>
          <w:color w:val="231F20"/>
          <w:spacing w:val="2"/>
        </w:rPr>
        <w:t>sistema político, </w:t>
      </w:r>
      <w:r>
        <w:rPr>
          <w:color w:val="231F20"/>
        </w:rPr>
        <w:t>de allí que su </w:t>
      </w:r>
      <w:r>
        <w:rPr>
          <w:color w:val="231F20"/>
          <w:spacing w:val="3"/>
        </w:rPr>
        <w:t>planteamiento </w:t>
      </w:r>
      <w:r>
        <w:rPr>
          <w:color w:val="231F20"/>
        </w:rPr>
        <w:t>se </w:t>
      </w:r>
      <w:r>
        <w:rPr>
          <w:color w:val="231F20"/>
          <w:spacing w:val="3"/>
        </w:rPr>
        <w:t>concentre </w:t>
      </w:r>
      <w:r>
        <w:rPr>
          <w:color w:val="231F20"/>
        </w:rPr>
        <w:t>en la </w:t>
      </w:r>
      <w:r>
        <w:rPr>
          <w:color w:val="231F20"/>
          <w:spacing w:val="2"/>
        </w:rPr>
        <w:t>dilucidación </w:t>
      </w:r>
      <w:r>
        <w:rPr>
          <w:color w:val="231F20"/>
        </w:rPr>
        <w:t>de </w:t>
      </w:r>
      <w:r>
        <w:rPr>
          <w:color w:val="231F20"/>
          <w:spacing w:val="2"/>
        </w:rPr>
        <w:t>una racionalidad teleológica </w:t>
      </w:r>
      <w:r>
        <w:rPr>
          <w:color w:val="231F20"/>
          <w:spacing w:val="3"/>
        </w:rPr>
        <w:t>donde </w:t>
      </w:r>
      <w:r>
        <w:rPr>
          <w:color w:val="231F20"/>
        </w:rPr>
        <w:t>la </w:t>
      </w:r>
      <w:r>
        <w:rPr>
          <w:color w:val="231F20"/>
          <w:spacing w:val="2"/>
        </w:rPr>
        <w:t>ideología política permite identificar </w:t>
      </w:r>
      <w:r>
        <w:rPr>
          <w:color w:val="231F20"/>
        </w:rPr>
        <w:t>las </w:t>
      </w:r>
      <w:r>
        <w:rPr>
          <w:color w:val="231F20"/>
          <w:spacing w:val="2"/>
        </w:rPr>
        <w:t>relaciones entre grupos, </w:t>
      </w:r>
      <w:r>
        <w:rPr>
          <w:color w:val="231F20"/>
        </w:rPr>
        <w:t>ya que la </w:t>
      </w:r>
      <w:r>
        <w:rPr>
          <w:color w:val="231F20"/>
          <w:spacing w:val="2"/>
        </w:rPr>
        <w:t>concibe </w:t>
      </w:r>
      <w:r>
        <w:rPr>
          <w:color w:val="231F20"/>
          <w:spacing w:val="3"/>
        </w:rPr>
        <w:t>como </w:t>
      </w:r>
      <w:r>
        <w:rPr>
          <w:color w:val="231F20"/>
        </w:rPr>
        <w:t>un </w:t>
      </w:r>
      <w:r>
        <w:rPr>
          <w:color w:val="231F20"/>
          <w:spacing w:val="2"/>
        </w:rPr>
        <w:t>sistema </w:t>
      </w:r>
      <w:r>
        <w:rPr>
          <w:color w:val="231F20"/>
        </w:rPr>
        <w:t>de </w:t>
      </w:r>
      <w:r>
        <w:rPr>
          <w:color w:val="231F20"/>
          <w:spacing w:val="2"/>
        </w:rPr>
        <w:t>creencias </w:t>
      </w:r>
      <w:r>
        <w:rPr>
          <w:color w:val="231F20"/>
        </w:rPr>
        <w:t>y </w:t>
      </w:r>
      <w:r>
        <w:rPr>
          <w:color w:val="231F20"/>
          <w:spacing w:val="2"/>
        </w:rPr>
        <w:t>valores, pero </w:t>
      </w:r>
      <w:r>
        <w:rPr>
          <w:color w:val="231F20"/>
          <w:spacing w:val="3"/>
        </w:rPr>
        <w:t>quedan </w:t>
      </w:r>
      <w:r>
        <w:rPr>
          <w:color w:val="231F20"/>
        </w:rPr>
        <w:t>en </w:t>
      </w:r>
      <w:r>
        <w:rPr>
          <w:color w:val="231F20"/>
          <w:spacing w:val="2"/>
        </w:rPr>
        <w:t>suspenso </w:t>
      </w:r>
      <w:r>
        <w:rPr>
          <w:color w:val="231F20"/>
        </w:rPr>
        <w:t>la </w:t>
      </w:r>
      <w:r>
        <w:rPr>
          <w:color w:val="231F20"/>
          <w:spacing w:val="2"/>
        </w:rPr>
        <w:t>constitución </w:t>
      </w:r>
      <w:r>
        <w:rPr>
          <w:color w:val="231F20"/>
        </w:rPr>
        <w:t>de </w:t>
      </w:r>
      <w:r>
        <w:rPr>
          <w:color w:val="231F20"/>
          <w:spacing w:val="2"/>
        </w:rPr>
        <w:t>situaciones </w:t>
      </w:r>
      <w:r>
        <w:rPr>
          <w:color w:val="231F20"/>
        </w:rPr>
        <w:t>de </w:t>
      </w:r>
      <w:r>
        <w:rPr>
          <w:color w:val="231F20"/>
          <w:spacing w:val="2"/>
        </w:rPr>
        <w:t>intereses </w:t>
      </w:r>
      <w:r>
        <w:rPr>
          <w:color w:val="231F20"/>
          <w:spacing w:val="3"/>
        </w:rPr>
        <w:t>materiales como fundamento </w:t>
      </w:r>
      <w:r>
        <w:rPr>
          <w:color w:val="231F20"/>
        </w:rPr>
        <w:t>de las </w:t>
      </w:r>
      <w:r>
        <w:rPr>
          <w:color w:val="231F20"/>
          <w:spacing w:val="2"/>
        </w:rPr>
        <w:t>creencias </w:t>
      </w:r>
      <w:r>
        <w:rPr>
          <w:color w:val="231F20"/>
        </w:rPr>
        <w:t>y </w:t>
      </w:r>
      <w:r>
        <w:rPr>
          <w:color w:val="231F20"/>
          <w:spacing w:val="2"/>
        </w:rPr>
        <w:t>valores que expresan los distintos </w:t>
      </w:r>
      <w:r>
        <w:rPr>
          <w:color w:val="231F20"/>
          <w:spacing w:val="3"/>
        </w:rPr>
        <w:t>grupos</w:t>
      </w:r>
      <w:r>
        <w:rPr>
          <w:color w:val="231F20"/>
          <w:spacing w:val="-11"/>
        </w:rPr>
        <w:t> </w:t>
      </w:r>
      <w:r>
        <w:rPr>
          <w:color w:val="231F20"/>
          <w:spacing w:val="2"/>
        </w:rPr>
        <w:t>sociales.</w:t>
      </w:r>
    </w:p>
    <w:p>
      <w:pPr>
        <w:pStyle w:val="BodyText"/>
        <w:spacing w:line="249" w:lineRule="auto"/>
        <w:ind w:left="102" w:right="114" w:firstLine="284"/>
        <w:jc w:val="both"/>
      </w:pPr>
      <w:r>
        <w:rPr>
          <w:color w:val="231F20"/>
        </w:rPr>
        <w:t>Ante ello, como lo que nos proponemos es aclarar el modo en  que las políticas educativas constituyen un discurso del dominio, resulta pertinente proceder siguiendo a Habermas, cuando establece que existen deformaciones en la comunicación cuando se sigue una acción estratégica, como ocurre en el ámbito de la política, pero a diferencia</w:t>
      </w:r>
      <w:r>
        <w:rPr>
          <w:color w:val="231F20"/>
          <w:spacing w:val="-6"/>
        </w:rPr>
        <w:t> </w:t>
      </w:r>
      <w:r>
        <w:rPr>
          <w:color w:val="231F20"/>
        </w:rPr>
        <w:t>de</w:t>
      </w:r>
      <w:r>
        <w:rPr>
          <w:color w:val="231F20"/>
          <w:spacing w:val="-5"/>
        </w:rPr>
        <w:t> </w:t>
      </w:r>
      <w:r>
        <w:rPr>
          <w:color w:val="231F20"/>
        </w:rPr>
        <w:t>este</w:t>
      </w:r>
      <w:r>
        <w:rPr>
          <w:color w:val="231F20"/>
          <w:spacing w:val="-6"/>
        </w:rPr>
        <w:t> </w:t>
      </w:r>
      <w:r>
        <w:rPr>
          <w:color w:val="231F20"/>
        </w:rPr>
        <w:t>autor,</w:t>
      </w:r>
      <w:r>
        <w:rPr>
          <w:color w:val="231F20"/>
          <w:spacing w:val="-7"/>
        </w:rPr>
        <w:t> </w:t>
      </w:r>
      <w:r>
        <w:rPr>
          <w:color w:val="231F20"/>
        </w:rPr>
        <w:t>seguimos</w:t>
      </w:r>
      <w:r>
        <w:rPr>
          <w:color w:val="231F20"/>
          <w:spacing w:val="-6"/>
        </w:rPr>
        <w:t> </w:t>
      </w:r>
      <w:r>
        <w:rPr>
          <w:color w:val="231F20"/>
        </w:rPr>
        <w:t>el</w:t>
      </w:r>
      <w:r>
        <w:rPr>
          <w:color w:val="231F20"/>
          <w:spacing w:val="-6"/>
        </w:rPr>
        <w:t> </w:t>
      </w:r>
      <w:r>
        <w:rPr>
          <w:color w:val="231F20"/>
        </w:rPr>
        <w:t>planteamiento</w:t>
      </w:r>
      <w:r>
        <w:rPr>
          <w:color w:val="231F20"/>
          <w:spacing w:val="-5"/>
        </w:rPr>
        <w:t> </w:t>
      </w:r>
      <w:r>
        <w:rPr>
          <w:color w:val="231F20"/>
        </w:rPr>
        <w:t>de</w:t>
      </w:r>
      <w:r>
        <w:rPr>
          <w:color w:val="231F20"/>
          <w:spacing w:val="-6"/>
        </w:rPr>
        <w:t> </w:t>
      </w:r>
      <w:r>
        <w:rPr>
          <w:color w:val="231F20"/>
        </w:rPr>
        <w:t>Marx</w:t>
      </w:r>
      <w:r>
        <w:rPr>
          <w:color w:val="231F20"/>
          <w:spacing w:val="-5"/>
        </w:rPr>
        <w:t> </w:t>
      </w:r>
      <w:r>
        <w:rPr>
          <w:color w:val="231F20"/>
        </w:rPr>
        <w:t>respecto a que lo que ocurre es una “inversión de la realidad” en la medida que</w:t>
      </w:r>
      <w:r>
        <w:rPr>
          <w:color w:val="231F20"/>
          <w:spacing w:val="-6"/>
        </w:rPr>
        <w:t> </w:t>
      </w:r>
      <w:r>
        <w:rPr>
          <w:color w:val="231F20"/>
        </w:rPr>
        <w:t>la</w:t>
      </w:r>
      <w:r>
        <w:rPr>
          <w:color w:val="231F20"/>
          <w:spacing w:val="-6"/>
        </w:rPr>
        <w:t> </w:t>
      </w:r>
      <w:r>
        <w:rPr>
          <w:color w:val="231F20"/>
        </w:rPr>
        <w:t>realidad</w:t>
      </w:r>
      <w:r>
        <w:rPr>
          <w:color w:val="231F20"/>
          <w:spacing w:val="-6"/>
        </w:rPr>
        <w:t> </w:t>
      </w:r>
      <w:r>
        <w:rPr>
          <w:color w:val="231F20"/>
        </w:rPr>
        <w:t>social</w:t>
      </w:r>
      <w:r>
        <w:rPr>
          <w:color w:val="231F20"/>
          <w:spacing w:val="-6"/>
        </w:rPr>
        <w:t> </w:t>
      </w:r>
      <w:r>
        <w:rPr>
          <w:color w:val="231F20"/>
        </w:rPr>
        <w:t>–sus</w:t>
      </w:r>
      <w:r>
        <w:rPr>
          <w:color w:val="231F20"/>
          <w:spacing w:val="-6"/>
        </w:rPr>
        <w:t> </w:t>
      </w:r>
      <w:r>
        <w:rPr>
          <w:color w:val="231F20"/>
        </w:rPr>
        <w:t>contradicciones–</w:t>
      </w:r>
      <w:r>
        <w:rPr>
          <w:color w:val="231F20"/>
          <w:spacing w:val="-3"/>
        </w:rPr>
        <w:t> </w:t>
      </w:r>
      <w:r>
        <w:rPr>
          <w:color w:val="231F20"/>
        </w:rPr>
        <w:t>son</w:t>
      </w:r>
      <w:r>
        <w:rPr>
          <w:color w:val="231F20"/>
          <w:spacing w:val="-6"/>
        </w:rPr>
        <w:t> </w:t>
      </w:r>
      <w:r>
        <w:rPr>
          <w:color w:val="231F20"/>
        </w:rPr>
        <w:t>ideologizadas,</w:t>
      </w:r>
      <w:r>
        <w:rPr>
          <w:color w:val="231F20"/>
          <w:spacing w:val="-6"/>
        </w:rPr>
        <w:t> </w:t>
      </w:r>
      <w:r>
        <w:rPr>
          <w:color w:val="231F20"/>
        </w:rPr>
        <w:t>situa- ción que Habermas ha replanteado en términos de cómo la ciencia y la técnica se convierten en ideología cuando tienden a legitimar las desigualdades</w:t>
      </w:r>
      <w:r>
        <w:rPr>
          <w:color w:val="231F20"/>
          <w:spacing w:val="-28"/>
        </w:rPr>
        <w:t> </w:t>
      </w:r>
      <w:r>
        <w:rPr>
          <w:color w:val="231F20"/>
        </w:rPr>
        <w:t>sociales,</w:t>
      </w:r>
      <w:r>
        <w:rPr>
          <w:color w:val="231F20"/>
          <w:spacing w:val="-29"/>
        </w:rPr>
        <w:t> </w:t>
      </w:r>
      <w:r>
        <w:rPr>
          <w:color w:val="231F20"/>
        </w:rPr>
        <w:t>las</w:t>
      </w:r>
      <w:r>
        <w:rPr>
          <w:color w:val="231F20"/>
          <w:spacing w:val="-28"/>
        </w:rPr>
        <w:t> </w:t>
      </w:r>
      <w:r>
        <w:rPr>
          <w:color w:val="231F20"/>
        </w:rPr>
        <w:t>injusticias.</w:t>
      </w:r>
      <w:r>
        <w:rPr>
          <w:color w:val="231F20"/>
          <w:spacing w:val="-29"/>
        </w:rPr>
        <w:t> </w:t>
      </w:r>
      <w:r>
        <w:rPr>
          <w:color w:val="231F20"/>
        </w:rPr>
        <w:t>Ciertamente</w:t>
      </w:r>
      <w:r>
        <w:rPr>
          <w:color w:val="231F20"/>
          <w:spacing w:val="-28"/>
        </w:rPr>
        <w:t> </w:t>
      </w:r>
      <w:r>
        <w:rPr>
          <w:color w:val="231F20"/>
        </w:rPr>
        <w:t>el</w:t>
      </w:r>
      <w:r>
        <w:rPr>
          <w:color w:val="231F20"/>
          <w:spacing w:val="-29"/>
        </w:rPr>
        <w:t> </w:t>
      </w:r>
      <w:r>
        <w:rPr>
          <w:color w:val="231F20"/>
        </w:rPr>
        <w:t>planteamiento</w:t>
      </w:r>
      <w:r>
        <w:rPr>
          <w:color w:val="231F20"/>
          <w:spacing w:val="-28"/>
        </w:rPr>
        <w:t> </w:t>
      </w:r>
      <w:r>
        <w:rPr>
          <w:color w:val="231F20"/>
        </w:rPr>
        <w:t>de Habermas supone que el capitalismo tardío se caracteriza por la con- tención de los antagonismos de clase, mediante la integración de los asalariados</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lógica</w:t>
      </w:r>
      <w:r>
        <w:rPr>
          <w:color w:val="231F20"/>
          <w:spacing w:val="-22"/>
        </w:rPr>
        <w:t> </w:t>
      </w:r>
      <w:r>
        <w:rPr>
          <w:color w:val="231F20"/>
        </w:rPr>
        <w:t>del</w:t>
      </w:r>
      <w:r>
        <w:rPr>
          <w:color w:val="231F20"/>
          <w:spacing w:val="-22"/>
        </w:rPr>
        <w:t> </w:t>
      </w:r>
      <w:r>
        <w:rPr>
          <w:color w:val="231F20"/>
        </w:rPr>
        <w:t>capital</w:t>
      </w:r>
      <w:r>
        <w:rPr>
          <w:color w:val="231F20"/>
          <w:spacing w:val="-22"/>
        </w:rPr>
        <w:t> </w:t>
      </w:r>
      <w:r>
        <w:rPr>
          <w:color w:val="231F20"/>
        </w:rPr>
        <w:t>ofreciéndoles</w:t>
      </w:r>
      <w:r>
        <w:rPr>
          <w:color w:val="231F20"/>
          <w:spacing w:val="-22"/>
        </w:rPr>
        <w:t> </w:t>
      </w:r>
      <w:r>
        <w:rPr>
          <w:color w:val="231F20"/>
        </w:rPr>
        <w:t>compensaciones</w:t>
      </w:r>
      <w:r>
        <w:rPr>
          <w:color w:val="231F20"/>
          <w:spacing w:val="-22"/>
        </w:rPr>
        <w:t> </w:t>
      </w:r>
      <w:r>
        <w:rPr>
          <w:color w:val="231F20"/>
        </w:rPr>
        <w:t>socia- les a través del Estado lo cual pondría en suspenso la teoría de la lucha de clases, de allí que, por una parte se tendría que desplazar la crítica</w:t>
      </w:r>
      <w:r>
        <w:rPr>
          <w:color w:val="231F20"/>
          <w:spacing w:val="-14"/>
        </w:rPr>
        <w:t> </w:t>
      </w:r>
      <w:r>
        <w:rPr>
          <w:color w:val="231F20"/>
        </w:rPr>
        <w:t>ideológica</w:t>
      </w:r>
      <w:r>
        <w:rPr>
          <w:color w:val="231F20"/>
          <w:spacing w:val="-14"/>
        </w:rPr>
        <w:t> </w:t>
      </w:r>
      <w:r>
        <w:rPr>
          <w:color w:val="231F20"/>
        </w:rPr>
        <w:t>por</w:t>
      </w:r>
      <w:r>
        <w:rPr>
          <w:color w:val="231F20"/>
          <w:spacing w:val="-14"/>
        </w:rPr>
        <w:t> </w:t>
      </w:r>
      <w:r>
        <w:rPr>
          <w:color w:val="231F20"/>
        </w:rPr>
        <w:t>una</w:t>
      </w:r>
      <w:r>
        <w:rPr>
          <w:color w:val="231F20"/>
          <w:spacing w:val="-14"/>
        </w:rPr>
        <w:t> </w:t>
      </w:r>
      <w:r>
        <w:rPr>
          <w:color w:val="231F20"/>
        </w:rPr>
        <w:t>crítica</w:t>
      </w:r>
      <w:r>
        <w:rPr>
          <w:color w:val="231F20"/>
          <w:spacing w:val="-14"/>
        </w:rPr>
        <w:t> </w:t>
      </w:r>
      <w:r>
        <w:rPr>
          <w:color w:val="231F20"/>
        </w:rPr>
        <w:t>del</w:t>
      </w:r>
      <w:r>
        <w:rPr>
          <w:color w:val="231F20"/>
          <w:spacing w:val="-14"/>
        </w:rPr>
        <w:t> </w:t>
      </w:r>
      <w:r>
        <w:rPr>
          <w:color w:val="231F20"/>
        </w:rPr>
        <w:t>deterioro</w:t>
      </w:r>
      <w:r>
        <w:rPr>
          <w:color w:val="231F20"/>
          <w:spacing w:val="-13"/>
        </w:rPr>
        <w:t> </w:t>
      </w:r>
      <w:r>
        <w:rPr>
          <w:color w:val="231F20"/>
        </w:rPr>
        <w:t>cultural</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consecuen- te fragmentación de la conciencia, y por otra parte, obligaría a enten- der, a abandonar la explicación de la pauperización de los</w:t>
      </w:r>
      <w:r>
        <w:rPr>
          <w:color w:val="231F20"/>
          <w:spacing w:val="-10"/>
        </w:rPr>
        <w:t> </w:t>
      </w:r>
      <w:r>
        <w:rPr>
          <w:color w:val="231F20"/>
        </w:rPr>
        <w:t>trabajado-</w:t>
      </w:r>
    </w:p>
    <w:p>
      <w:pPr>
        <w:spacing w:after="0" w:line="249" w:lineRule="auto"/>
        <w:jc w:val="both"/>
        <w:sectPr>
          <w:headerReference w:type="default" r:id="rId155"/>
          <w:footerReference w:type="default" r:id="rId156"/>
          <w:pgSz w:w="7830" w:h="11910"/>
          <w:pgMar w:header="0" w:footer="424" w:top="500" w:bottom="620" w:left="920" w:right="900"/>
          <w:pgNumType w:start="7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21"/>
      </w:pPr>
      <w:r>
        <w:rPr>
          <w:color w:val="231F20"/>
        </w:rPr>
        <w:t>res a partir de los procesos de explotación en la medida que el siste- ma capitalista depende menos del trabajo vivo (Habermas, 1987).</w:t>
      </w:r>
    </w:p>
    <w:p>
      <w:pPr>
        <w:pStyle w:val="BodyText"/>
        <w:spacing w:line="249" w:lineRule="auto" w:before="1"/>
        <w:ind w:left="102" w:right="114" w:firstLine="284"/>
        <w:jc w:val="both"/>
      </w:pPr>
      <w:r>
        <w:rPr>
          <w:color w:val="231F20"/>
          <w:spacing w:val="2"/>
        </w:rPr>
        <w:t>Bajo esas premisas </w:t>
      </w:r>
      <w:r>
        <w:rPr>
          <w:color w:val="231F20"/>
        </w:rPr>
        <w:t>se </w:t>
      </w:r>
      <w:r>
        <w:rPr>
          <w:color w:val="231F20"/>
          <w:spacing w:val="2"/>
        </w:rPr>
        <w:t>puede reconsiderar </w:t>
      </w:r>
      <w:r>
        <w:rPr>
          <w:color w:val="231F20"/>
        </w:rPr>
        <w:t>el </w:t>
      </w:r>
      <w:r>
        <w:rPr>
          <w:color w:val="231F20"/>
          <w:spacing w:val="3"/>
        </w:rPr>
        <w:t>planteamiento </w:t>
      </w:r>
      <w:r>
        <w:rPr>
          <w:color w:val="231F20"/>
        </w:rPr>
        <w:t>ya </w:t>
      </w:r>
      <w:r>
        <w:rPr>
          <w:color w:val="231F20"/>
          <w:spacing w:val="2"/>
        </w:rPr>
        <w:t>realizado por Foucault respecto </w:t>
      </w:r>
      <w:r>
        <w:rPr>
          <w:color w:val="231F20"/>
        </w:rPr>
        <w:t>a la </w:t>
      </w:r>
      <w:r>
        <w:rPr>
          <w:color w:val="231F20"/>
          <w:spacing w:val="2"/>
        </w:rPr>
        <w:t>relación existente entre </w:t>
      </w:r>
      <w:r>
        <w:rPr>
          <w:color w:val="231F20"/>
          <w:spacing w:val="3"/>
        </w:rPr>
        <w:t>saber</w:t>
      </w:r>
      <w:r>
        <w:rPr>
          <w:color w:val="231F20"/>
          <w:spacing w:val="58"/>
        </w:rPr>
        <w:t> </w:t>
      </w:r>
      <w:r>
        <w:rPr>
          <w:color w:val="231F20"/>
        </w:rPr>
        <w:t>y </w:t>
      </w:r>
      <w:r>
        <w:rPr>
          <w:color w:val="231F20"/>
          <w:spacing w:val="3"/>
        </w:rPr>
        <w:t>poder </w:t>
      </w:r>
      <w:r>
        <w:rPr>
          <w:color w:val="231F20"/>
        </w:rPr>
        <w:t>en </w:t>
      </w:r>
      <w:r>
        <w:rPr>
          <w:color w:val="231F20"/>
          <w:spacing w:val="2"/>
        </w:rPr>
        <w:t>una sociedad </w:t>
      </w:r>
      <w:r>
        <w:rPr>
          <w:color w:val="231F20"/>
        </w:rPr>
        <w:t>en la </w:t>
      </w:r>
      <w:r>
        <w:rPr>
          <w:color w:val="231F20"/>
          <w:spacing w:val="2"/>
        </w:rPr>
        <w:t>que </w:t>
      </w:r>
      <w:r>
        <w:rPr>
          <w:color w:val="231F20"/>
        </w:rPr>
        <w:t>se </w:t>
      </w:r>
      <w:r>
        <w:rPr>
          <w:color w:val="231F20"/>
          <w:spacing w:val="3"/>
        </w:rPr>
        <w:t>impone </w:t>
      </w:r>
      <w:r>
        <w:rPr>
          <w:color w:val="231F20"/>
        </w:rPr>
        <w:t>la </w:t>
      </w:r>
      <w:r>
        <w:rPr>
          <w:color w:val="231F20"/>
          <w:spacing w:val="2"/>
        </w:rPr>
        <w:t>disciplina </w:t>
      </w:r>
      <w:r>
        <w:rPr>
          <w:color w:val="231F20"/>
        </w:rPr>
        <w:t>de </w:t>
      </w:r>
      <w:r>
        <w:rPr>
          <w:color w:val="231F20"/>
          <w:spacing w:val="3"/>
        </w:rPr>
        <w:t>los cuerpos </w:t>
      </w:r>
      <w:r>
        <w:rPr>
          <w:color w:val="231F20"/>
        </w:rPr>
        <w:t>y las </w:t>
      </w:r>
      <w:r>
        <w:rPr>
          <w:color w:val="231F20"/>
          <w:spacing w:val="2"/>
        </w:rPr>
        <w:t>conciencias, para </w:t>
      </w:r>
      <w:r>
        <w:rPr>
          <w:color w:val="231F20"/>
        </w:rPr>
        <w:t>lo </w:t>
      </w:r>
      <w:r>
        <w:rPr>
          <w:color w:val="231F20"/>
          <w:spacing w:val="2"/>
        </w:rPr>
        <w:t>cual </w:t>
      </w:r>
      <w:r>
        <w:rPr>
          <w:color w:val="231F20"/>
        </w:rPr>
        <w:t>se </w:t>
      </w:r>
      <w:r>
        <w:rPr>
          <w:color w:val="231F20"/>
          <w:spacing w:val="2"/>
        </w:rPr>
        <w:t>elaboran los discursos teóricos que </w:t>
      </w:r>
      <w:r>
        <w:rPr>
          <w:color w:val="231F20"/>
        </w:rPr>
        <w:t>se </w:t>
      </w:r>
      <w:r>
        <w:rPr>
          <w:color w:val="231F20"/>
          <w:spacing w:val="2"/>
        </w:rPr>
        <w:t>vinculan </w:t>
      </w:r>
      <w:r>
        <w:rPr>
          <w:color w:val="231F20"/>
        </w:rPr>
        <w:t>al </w:t>
      </w:r>
      <w:r>
        <w:rPr>
          <w:color w:val="231F20"/>
          <w:spacing w:val="2"/>
        </w:rPr>
        <w:t>poder para poder efectuar </w:t>
      </w:r>
      <w:r>
        <w:rPr>
          <w:color w:val="231F20"/>
        </w:rPr>
        <w:t>las </w:t>
      </w:r>
      <w:r>
        <w:rPr>
          <w:color w:val="231F20"/>
          <w:spacing w:val="3"/>
        </w:rPr>
        <w:t>opera- </w:t>
      </w:r>
      <w:r>
        <w:rPr>
          <w:color w:val="231F20"/>
          <w:spacing w:val="2"/>
        </w:rPr>
        <w:t>ciones </w:t>
      </w:r>
      <w:r>
        <w:rPr>
          <w:color w:val="231F20"/>
        </w:rPr>
        <w:t>de </w:t>
      </w:r>
      <w:r>
        <w:rPr>
          <w:color w:val="231F20"/>
          <w:spacing w:val="3"/>
        </w:rPr>
        <w:t>control </w:t>
      </w:r>
      <w:r>
        <w:rPr>
          <w:color w:val="231F20"/>
        </w:rPr>
        <w:t>y </w:t>
      </w:r>
      <w:r>
        <w:rPr>
          <w:color w:val="231F20"/>
          <w:spacing w:val="2"/>
        </w:rPr>
        <w:t>vigilancia, </w:t>
      </w:r>
      <w:r>
        <w:rPr>
          <w:color w:val="231F20"/>
        </w:rPr>
        <w:t>de tal </w:t>
      </w:r>
      <w:r>
        <w:rPr>
          <w:color w:val="231F20"/>
          <w:spacing w:val="3"/>
        </w:rPr>
        <w:t>modo </w:t>
      </w:r>
      <w:r>
        <w:rPr>
          <w:color w:val="231F20"/>
          <w:spacing w:val="2"/>
        </w:rPr>
        <w:t>que </w:t>
      </w:r>
      <w:r>
        <w:rPr>
          <w:color w:val="231F20"/>
        </w:rPr>
        <w:t>el </w:t>
      </w:r>
      <w:r>
        <w:rPr>
          <w:color w:val="231F20"/>
          <w:spacing w:val="2"/>
        </w:rPr>
        <w:t>discurso </w:t>
      </w:r>
      <w:r>
        <w:rPr>
          <w:color w:val="231F20"/>
          <w:spacing w:val="3"/>
        </w:rPr>
        <w:t>teórico, podemos </w:t>
      </w:r>
      <w:r>
        <w:rPr>
          <w:color w:val="231F20"/>
          <w:spacing w:val="2"/>
        </w:rPr>
        <w:t>decir, </w:t>
      </w:r>
      <w:r>
        <w:rPr>
          <w:color w:val="231F20"/>
        </w:rPr>
        <w:t>se </w:t>
      </w:r>
      <w:r>
        <w:rPr>
          <w:color w:val="231F20"/>
          <w:spacing w:val="3"/>
        </w:rPr>
        <w:t>transforma </w:t>
      </w:r>
      <w:r>
        <w:rPr>
          <w:color w:val="231F20"/>
        </w:rPr>
        <w:t>en un </w:t>
      </w:r>
      <w:r>
        <w:rPr>
          <w:color w:val="231F20"/>
          <w:spacing w:val="2"/>
        </w:rPr>
        <w:t>discurso específico adherido    </w:t>
      </w:r>
      <w:r>
        <w:rPr>
          <w:color w:val="231F20"/>
        </w:rPr>
        <w:t>a las </w:t>
      </w:r>
      <w:r>
        <w:rPr>
          <w:color w:val="231F20"/>
          <w:spacing w:val="2"/>
        </w:rPr>
        <w:t>estructuras burocráticas </w:t>
      </w:r>
      <w:r>
        <w:rPr>
          <w:color w:val="231F20"/>
        </w:rPr>
        <w:t>de la </w:t>
      </w:r>
      <w:r>
        <w:rPr>
          <w:color w:val="231F20"/>
          <w:spacing w:val="2"/>
        </w:rPr>
        <w:t>organización empresarial </w:t>
      </w:r>
      <w:r>
        <w:rPr>
          <w:color w:val="231F20"/>
        </w:rPr>
        <w:t>y </w:t>
      </w:r>
      <w:r>
        <w:rPr>
          <w:color w:val="231F20"/>
          <w:spacing w:val="2"/>
        </w:rPr>
        <w:t>política, </w:t>
      </w:r>
      <w:r>
        <w:rPr>
          <w:color w:val="231F20"/>
        </w:rPr>
        <w:t>es </w:t>
      </w:r>
      <w:r>
        <w:rPr>
          <w:color w:val="231F20"/>
          <w:spacing w:val="2"/>
        </w:rPr>
        <w:t>decir, emerge </w:t>
      </w:r>
      <w:r>
        <w:rPr>
          <w:color w:val="231F20"/>
        </w:rPr>
        <w:t>un </w:t>
      </w:r>
      <w:r>
        <w:rPr>
          <w:color w:val="231F20"/>
          <w:spacing w:val="2"/>
        </w:rPr>
        <w:t>discurso especializado cuya </w:t>
      </w:r>
      <w:r>
        <w:rPr>
          <w:color w:val="231F20"/>
          <w:spacing w:val="3"/>
        </w:rPr>
        <w:t>preten- </w:t>
      </w:r>
      <w:r>
        <w:rPr>
          <w:color w:val="231F20"/>
          <w:spacing w:val="2"/>
        </w:rPr>
        <w:t>sión </w:t>
      </w:r>
      <w:r>
        <w:rPr>
          <w:color w:val="231F20"/>
        </w:rPr>
        <w:t>es el </w:t>
      </w:r>
      <w:r>
        <w:rPr>
          <w:color w:val="231F20"/>
          <w:spacing w:val="3"/>
        </w:rPr>
        <w:t>dominio </w:t>
      </w:r>
      <w:r>
        <w:rPr>
          <w:color w:val="231F20"/>
        </w:rPr>
        <w:t>de </w:t>
      </w:r>
      <w:r>
        <w:rPr>
          <w:color w:val="231F20"/>
          <w:spacing w:val="2"/>
        </w:rPr>
        <w:t>cara </w:t>
      </w:r>
      <w:r>
        <w:rPr>
          <w:color w:val="231F20"/>
        </w:rPr>
        <w:t>a </w:t>
      </w:r>
      <w:r>
        <w:rPr>
          <w:color w:val="231F20"/>
          <w:spacing w:val="2"/>
        </w:rPr>
        <w:t>una organización </w:t>
      </w:r>
      <w:r>
        <w:rPr>
          <w:color w:val="231F20"/>
        </w:rPr>
        <w:t>de la </w:t>
      </w:r>
      <w:r>
        <w:rPr>
          <w:color w:val="231F20"/>
          <w:spacing w:val="3"/>
        </w:rPr>
        <w:t>producción </w:t>
      </w:r>
      <w:r>
        <w:rPr>
          <w:color w:val="231F20"/>
        </w:rPr>
        <w:t>y </w:t>
      </w:r>
      <w:r>
        <w:rPr>
          <w:color w:val="231F20"/>
          <w:spacing w:val="2"/>
        </w:rPr>
        <w:t>social específica. </w:t>
      </w:r>
      <w:r>
        <w:rPr>
          <w:color w:val="231F20"/>
          <w:spacing w:val="3"/>
        </w:rPr>
        <w:t>Precisamente, </w:t>
      </w:r>
      <w:r>
        <w:rPr>
          <w:color w:val="231F20"/>
        </w:rPr>
        <w:t>la </w:t>
      </w:r>
      <w:r>
        <w:rPr>
          <w:color w:val="231F20"/>
          <w:spacing w:val="2"/>
        </w:rPr>
        <w:t>adhesión del discurso teórico </w:t>
      </w:r>
      <w:r>
        <w:rPr>
          <w:color w:val="231F20"/>
        </w:rPr>
        <w:t>a las </w:t>
      </w:r>
      <w:r>
        <w:rPr>
          <w:color w:val="231F20"/>
          <w:spacing w:val="2"/>
        </w:rPr>
        <w:t>estructuras burocráticas, </w:t>
      </w:r>
      <w:r>
        <w:rPr>
          <w:color w:val="231F20"/>
          <w:spacing w:val="3"/>
        </w:rPr>
        <w:t>producen </w:t>
      </w:r>
      <w:r>
        <w:rPr>
          <w:color w:val="231F20"/>
          <w:spacing w:val="2"/>
        </w:rPr>
        <w:t>una </w:t>
      </w:r>
      <w:r>
        <w:rPr>
          <w:color w:val="231F20"/>
          <w:spacing w:val="3"/>
        </w:rPr>
        <w:t>deformación </w:t>
      </w:r>
      <w:r>
        <w:rPr>
          <w:color w:val="231F20"/>
          <w:spacing w:val="2"/>
        </w:rPr>
        <w:t>sistemáti- </w:t>
      </w:r>
      <w:r>
        <w:rPr>
          <w:color w:val="231F20"/>
          <w:w w:val="95"/>
        </w:rPr>
        <w:t>ca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3"/>
          <w:w w:val="95"/>
        </w:rPr>
        <w:t>comunicación,</w:t>
      </w:r>
      <w:r>
        <w:rPr>
          <w:color w:val="231F20"/>
          <w:spacing w:val="-17"/>
          <w:w w:val="95"/>
        </w:rPr>
        <w:t> </w:t>
      </w:r>
      <w:r>
        <w:rPr>
          <w:color w:val="231F20"/>
          <w:spacing w:val="2"/>
          <w:w w:val="95"/>
        </w:rPr>
        <w:t>presente</w:t>
      </w:r>
      <w:r>
        <w:rPr>
          <w:color w:val="231F20"/>
          <w:spacing w:val="-17"/>
          <w:w w:val="95"/>
        </w:rPr>
        <w:t> </w:t>
      </w:r>
      <w:r>
        <w:rPr>
          <w:color w:val="231F20"/>
          <w:w w:val="95"/>
        </w:rPr>
        <w:t>en</w:t>
      </w:r>
      <w:r>
        <w:rPr>
          <w:color w:val="231F20"/>
          <w:spacing w:val="-17"/>
          <w:w w:val="95"/>
        </w:rPr>
        <w:t> </w:t>
      </w:r>
      <w:r>
        <w:rPr>
          <w:color w:val="231F20"/>
          <w:spacing w:val="2"/>
          <w:w w:val="95"/>
        </w:rPr>
        <w:t>los</w:t>
      </w:r>
      <w:r>
        <w:rPr>
          <w:color w:val="231F20"/>
          <w:spacing w:val="-17"/>
          <w:w w:val="95"/>
        </w:rPr>
        <w:t> </w:t>
      </w:r>
      <w:r>
        <w:rPr>
          <w:i/>
          <w:color w:val="231F20"/>
          <w:spacing w:val="2"/>
          <w:w w:val="95"/>
        </w:rPr>
        <w:t>discursos</w:t>
      </w:r>
      <w:r>
        <w:rPr>
          <w:i/>
          <w:color w:val="231F20"/>
          <w:spacing w:val="-17"/>
          <w:w w:val="95"/>
        </w:rPr>
        <w:t> </w:t>
      </w:r>
      <w:r>
        <w:rPr>
          <w:i/>
          <w:color w:val="231F20"/>
          <w:spacing w:val="2"/>
          <w:w w:val="95"/>
        </w:rPr>
        <w:t>científicos</w:t>
      </w:r>
      <w:r>
        <w:rPr>
          <w:i/>
          <w:color w:val="231F20"/>
          <w:spacing w:val="-17"/>
          <w:w w:val="95"/>
        </w:rPr>
        <w:t> </w:t>
      </w:r>
      <w:r>
        <w:rPr>
          <w:i/>
          <w:color w:val="231F20"/>
          <w:spacing w:val="2"/>
          <w:w w:val="95"/>
        </w:rPr>
        <w:t>instituciona- </w:t>
      </w:r>
      <w:r>
        <w:rPr>
          <w:i/>
          <w:color w:val="231F20"/>
          <w:spacing w:val="2"/>
        </w:rPr>
        <w:t>lizados </w:t>
      </w:r>
      <w:r>
        <w:rPr>
          <w:color w:val="231F20"/>
          <w:spacing w:val="2"/>
        </w:rPr>
        <w:t>–es decir, aquellos que </w:t>
      </w:r>
      <w:r>
        <w:rPr>
          <w:color w:val="231F20"/>
        </w:rPr>
        <w:t>se </w:t>
      </w:r>
      <w:r>
        <w:rPr>
          <w:color w:val="231F20"/>
          <w:spacing w:val="2"/>
        </w:rPr>
        <w:t>expresan </w:t>
      </w:r>
      <w:r>
        <w:rPr>
          <w:color w:val="231F20"/>
        </w:rPr>
        <w:t>en las </w:t>
      </w:r>
      <w:r>
        <w:rPr>
          <w:color w:val="231F20"/>
          <w:spacing w:val="2"/>
        </w:rPr>
        <w:t>políticas públi- cas– pues </w:t>
      </w:r>
      <w:r>
        <w:rPr>
          <w:color w:val="231F20"/>
        </w:rPr>
        <w:t>su </w:t>
      </w:r>
      <w:r>
        <w:rPr>
          <w:color w:val="231F20"/>
          <w:spacing w:val="2"/>
        </w:rPr>
        <w:t>finalidad, </w:t>
      </w:r>
      <w:r>
        <w:rPr>
          <w:color w:val="231F20"/>
          <w:spacing w:val="3"/>
        </w:rPr>
        <w:t>como </w:t>
      </w:r>
      <w:r>
        <w:rPr>
          <w:color w:val="231F20"/>
          <w:spacing w:val="2"/>
        </w:rPr>
        <w:t>sostiene Foucault </w:t>
      </w:r>
      <w:r>
        <w:rPr>
          <w:color w:val="231F20"/>
        </w:rPr>
        <w:t>es </w:t>
      </w:r>
      <w:r>
        <w:rPr>
          <w:color w:val="231F20"/>
          <w:spacing w:val="2"/>
        </w:rPr>
        <w:t>articular </w:t>
      </w:r>
      <w:r>
        <w:rPr>
          <w:color w:val="231F20"/>
        </w:rPr>
        <w:t>el </w:t>
      </w:r>
      <w:r>
        <w:rPr>
          <w:color w:val="231F20"/>
          <w:spacing w:val="3"/>
        </w:rPr>
        <w:t>sa- </w:t>
      </w:r>
      <w:r>
        <w:rPr>
          <w:color w:val="231F20"/>
          <w:spacing w:val="2"/>
        </w:rPr>
        <w:t>ber </w:t>
      </w:r>
      <w:r>
        <w:rPr>
          <w:color w:val="231F20"/>
        </w:rPr>
        <w:t>y el </w:t>
      </w:r>
      <w:r>
        <w:rPr>
          <w:color w:val="231F20"/>
          <w:spacing w:val="2"/>
        </w:rPr>
        <w:t>poder con fines </w:t>
      </w:r>
      <w:r>
        <w:rPr>
          <w:color w:val="231F20"/>
        </w:rPr>
        <w:t>de </w:t>
      </w:r>
      <w:r>
        <w:rPr>
          <w:color w:val="231F20"/>
          <w:spacing w:val="3"/>
        </w:rPr>
        <w:t>control </w:t>
      </w:r>
      <w:r>
        <w:rPr>
          <w:color w:val="231F20"/>
        </w:rPr>
        <w:t>del </w:t>
      </w:r>
      <w:r>
        <w:rPr>
          <w:color w:val="231F20"/>
          <w:spacing w:val="2"/>
        </w:rPr>
        <w:t>cuerpo </w:t>
      </w:r>
      <w:r>
        <w:rPr>
          <w:color w:val="231F20"/>
          <w:spacing w:val="3"/>
        </w:rPr>
        <w:t>como </w:t>
      </w:r>
      <w:r>
        <w:rPr>
          <w:color w:val="231F20"/>
        </w:rPr>
        <w:t>un </w:t>
      </w:r>
      <w:r>
        <w:rPr>
          <w:color w:val="231F20"/>
          <w:spacing w:val="2"/>
        </w:rPr>
        <w:t>dispositi-  </w:t>
      </w:r>
      <w:r>
        <w:rPr>
          <w:color w:val="231F20"/>
        </w:rPr>
        <w:t>vo que </w:t>
      </w:r>
      <w:r>
        <w:rPr>
          <w:color w:val="231F20"/>
          <w:spacing w:val="2"/>
        </w:rPr>
        <w:t>permite </w:t>
      </w:r>
      <w:r>
        <w:rPr>
          <w:color w:val="231F20"/>
        </w:rPr>
        <w:t>la </w:t>
      </w:r>
      <w:r>
        <w:rPr>
          <w:color w:val="231F20"/>
          <w:spacing w:val="2"/>
        </w:rPr>
        <w:t>regulación social, pues </w:t>
      </w:r>
      <w:r>
        <w:rPr>
          <w:color w:val="231F20"/>
        </w:rPr>
        <w:t>en</w:t>
      </w:r>
      <w:r>
        <w:rPr>
          <w:color w:val="231F20"/>
          <w:spacing w:val="-11"/>
        </w:rPr>
        <w:t> </w:t>
      </w:r>
      <w:r>
        <w:rPr>
          <w:color w:val="231F20"/>
          <w:spacing w:val="2"/>
        </w:rPr>
        <w:t>ellos:</w:t>
      </w:r>
    </w:p>
    <w:p>
      <w:pPr>
        <w:pStyle w:val="BodyText"/>
        <w:spacing w:before="1"/>
        <w:rPr>
          <w:sz w:val="23"/>
        </w:rPr>
      </w:pPr>
    </w:p>
    <w:p>
      <w:pPr>
        <w:spacing w:line="273" w:lineRule="auto" w:before="0"/>
        <w:ind w:left="810" w:right="163" w:firstLine="0"/>
        <w:jc w:val="both"/>
        <w:rPr>
          <w:sz w:val="19"/>
        </w:rPr>
      </w:pPr>
      <w:r>
        <w:rPr>
          <w:color w:val="231F20"/>
          <w:sz w:val="19"/>
        </w:rPr>
        <w:t>(…) se articulan los efectos de determinado tipo de poder y la referencia de un saber, el engranaje por el cual las relaciones de saber dan lugar a un saber posible, y el saber prolonga y refuerza los efectos del poder. Sobre esa realidad-referencia se han cons- truido conceptos diversos y se han delimitado campos de análi- sis: psique, subjetividad, personalidad, conciencia, etc.; sobre ella se han edificado técnicas y discursos científicos… Pero no hay que engañarse: no se ha sustituido el alma, la ilusión de los teó- logos, por un hombre real. El hombre de que se nos habla y se  nos invita a liberar es ya en sí un efecto de un sometimiento mu- cho más profundo que él mismo [y añade distinguiendo las cien- cias de la naturaleza de las ciencias del hombre]. El gran cono- cimiento empírico que ha recubierto las cosas del mundo y las ha transcrito en la ordenación de un discurso indefinido que com- prueba, describe y establece los “hechos”… tiene sin duda su modelo operatorio en la Inquisición… Ahora bien, lo que esa investigación político-jurídica, administrativa y criminal,</w:t>
      </w:r>
      <w:r>
        <w:rPr>
          <w:color w:val="231F20"/>
          <w:spacing w:val="-34"/>
          <w:sz w:val="19"/>
        </w:rPr>
        <w:t> </w:t>
      </w:r>
      <w:r>
        <w:rPr>
          <w:color w:val="231F20"/>
          <w:sz w:val="19"/>
        </w:rPr>
        <w:t>religiosa y laica fue para las ciencias de la naturaleza, el análisis disciplina- rio lo ha sido para las ciencias del hombre. Estas ciencias…   </w:t>
      </w:r>
      <w:r>
        <w:rPr>
          <w:color w:val="231F20"/>
          <w:spacing w:val="13"/>
          <w:sz w:val="19"/>
        </w:rPr>
        <w:t> </w:t>
      </w:r>
      <w:r>
        <w:rPr>
          <w:color w:val="231F20"/>
          <w:sz w:val="19"/>
        </w:rPr>
        <w:t>tie-</w:t>
      </w:r>
    </w:p>
    <w:p>
      <w:pPr>
        <w:spacing w:after="0" w:line="273" w:lineRule="auto"/>
        <w:jc w:val="both"/>
        <w:rPr>
          <w:sz w:val="19"/>
        </w:rPr>
        <w:sectPr>
          <w:headerReference w:type="default" r:id="rId157"/>
          <w:footerReference w:type="default" r:id="rId158"/>
          <w:pgSz w:w="7830" w:h="11910"/>
          <w:pgMar w:header="0" w:footer="424" w:top="500" w:bottom="620" w:left="920" w:right="900"/>
          <w:pgNumType w:start="7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line="273" w:lineRule="auto" w:before="111"/>
        <w:ind w:left="810" w:right="121" w:firstLine="0"/>
        <w:jc w:val="left"/>
        <w:rPr>
          <w:sz w:val="19"/>
        </w:rPr>
      </w:pPr>
      <w:r>
        <w:rPr>
          <w:color w:val="231F20"/>
          <w:sz w:val="19"/>
        </w:rPr>
        <w:t>nen su matriz técnica en la minuciosa reparona y aviesa de las disciplinas y de sus investigaciones (Foucault, 1996:36,228).</w:t>
      </w:r>
    </w:p>
    <w:p>
      <w:pPr>
        <w:pStyle w:val="BodyText"/>
        <w:spacing w:before="2"/>
        <w:rPr>
          <w:sz w:val="20"/>
        </w:rPr>
      </w:pPr>
    </w:p>
    <w:p>
      <w:pPr>
        <w:pStyle w:val="BodyText"/>
        <w:spacing w:line="249" w:lineRule="auto"/>
        <w:ind w:left="102" w:right="114" w:firstLine="284"/>
        <w:jc w:val="both"/>
      </w:pPr>
      <w:r>
        <w:rPr>
          <w:color w:val="231F20"/>
        </w:rPr>
        <w:t>Así, pues en los discursos institucionalizados, tanto de las ciencias naturales como de las ciencias humanas, Foucault advierte la constitución y el reforzamiento de relaciones de poder, por más que las ciencias humanas se hayan distanciado del “procedimiento inquisitorial” mediante técnicas de investigación empírica (tests, interrogatorios, conversaciones, consultas), y añade  que:  “…no hay que engañarse; estas técnicas no hacen sino remitir a los indi- viduos de una instancia disciplinaria a otra, y reproducen, en una forma concentrada o formalizada, el esquema de saber-poder propio de toda disciplina” (Foucault, 1996:229).</w:t>
      </w:r>
    </w:p>
    <w:p>
      <w:pPr>
        <w:pStyle w:val="BodyText"/>
        <w:spacing w:line="249" w:lineRule="auto"/>
        <w:ind w:left="102" w:right="116" w:firstLine="284"/>
        <w:jc w:val="both"/>
      </w:pPr>
      <w:r>
        <w:rPr>
          <w:color w:val="231F20"/>
        </w:rPr>
        <w:t>El planteamiento de Foucault nos lleva a intentar producir un discurso distinto, nuevo, a los discursos institucionalizados, pues- to que en ellos ve a una sociedad constituida por relaciones de poder, por ello llega a afirmar: “No hay ejercicio de poder posible sin una cierta economía de los discursos de verdad que funcionen en, y a partir de esta pareja” (Foucault, 1991:139-140). En suma, los discursos científicos vinculados al poder, instauran formas de argumentación que operan bajo una idea de verdad unilateral, de  allí que sea necesario proceder a su comprensión, y desmontaje, para producir otro discurso que, en el caso que nos ocupa, se trata de advertir cómo esos discursos, al transitar del planteamiento teórico a la justificación de un orden económico y político –como ocurre en las políticas públicas– instaura formas específicas de violencia hacia los destinatarios de tales políticas.</w:t>
      </w:r>
    </w:p>
    <w:p>
      <w:pPr>
        <w:pStyle w:val="BodyText"/>
        <w:spacing w:line="249" w:lineRule="auto"/>
        <w:ind w:left="102" w:right="114" w:firstLine="284"/>
        <w:jc w:val="right"/>
      </w:pPr>
      <w:r>
        <w:rPr>
          <w:color w:val="231F20"/>
        </w:rPr>
        <w:t>Sin </w:t>
      </w:r>
      <w:r>
        <w:rPr>
          <w:color w:val="231F20"/>
          <w:spacing w:val="3"/>
        </w:rPr>
        <w:t>embargo, </w:t>
      </w:r>
      <w:r>
        <w:rPr>
          <w:color w:val="231F20"/>
        </w:rPr>
        <w:t>al </w:t>
      </w:r>
      <w:r>
        <w:rPr>
          <w:color w:val="231F20"/>
          <w:spacing w:val="3"/>
        </w:rPr>
        <w:t>planteamiento </w:t>
      </w:r>
      <w:r>
        <w:rPr>
          <w:color w:val="231F20"/>
        </w:rPr>
        <w:t>de </w:t>
      </w:r>
      <w:r>
        <w:rPr>
          <w:color w:val="231F20"/>
          <w:spacing w:val="2"/>
        </w:rPr>
        <w:t>Foucault habría </w:t>
      </w:r>
      <w:r>
        <w:rPr>
          <w:color w:val="231F20"/>
        </w:rPr>
        <w:t>que </w:t>
      </w:r>
      <w:r>
        <w:rPr>
          <w:color w:val="231F20"/>
          <w:spacing w:val="3"/>
        </w:rPr>
        <w:t>replan-</w:t>
      </w:r>
      <w:r>
        <w:rPr>
          <w:color w:val="231F20"/>
          <w:spacing w:val="4"/>
          <w:w w:val="101"/>
        </w:rPr>
        <w:t> </w:t>
      </w:r>
      <w:r>
        <w:rPr>
          <w:color w:val="231F20"/>
          <w:spacing w:val="2"/>
        </w:rPr>
        <w:t>tearlo </w:t>
      </w:r>
      <w:r>
        <w:rPr>
          <w:color w:val="231F20"/>
        </w:rPr>
        <w:t>en la </w:t>
      </w:r>
      <w:r>
        <w:rPr>
          <w:color w:val="231F20"/>
          <w:spacing w:val="3"/>
        </w:rPr>
        <w:t>manera </w:t>
      </w:r>
      <w:r>
        <w:rPr>
          <w:color w:val="231F20"/>
        </w:rPr>
        <w:t>en </w:t>
      </w:r>
      <w:r>
        <w:rPr>
          <w:color w:val="231F20"/>
          <w:spacing w:val="2"/>
        </w:rPr>
        <w:t>que </w:t>
      </w:r>
      <w:r>
        <w:rPr>
          <w:color w:val="231F20"/>
        </w:rPr>
        <w:t>se </w:t>
      </w:r>
      <w:r>
        <w:rPr>
          <w:color w:val="231F20"/>
          <w:spacing w:val="2"/>
        </w:rPr>
        <w:t>asocia saber </w:t>
      </w:r>
      <w:r>
        <w:rPr>
          <w:color w:val="231F20"/>
        </w:rPr>
        <w:t>y </w:t>
      </w:r>
      <w:r>
        <w:rPr>
          <w:color w:val="231F20"/>
          <w:spacing w:val="2"/>
        </w:rPr>
        <w:t>poder, </w:t>
      </w:r>
      <w:r>
        <w:rPr>
          <w:color w:val="231F20"/>
        </w:rPr>
        <w:t>en </w:t>
      </w:r>
      <w:r>
        <w:rPr>
          <w:color w:val="231F20"/>
          <w:spacing w:val="2"/>
        </w:rPr>
        <w:t>cuanto </w:t>
      </w:r>
      <w:r>
        <w:rPr>
          <w:color w:val="231F20"/>
        </w:rPr>
        <w:t>se</w:t>
      </w:r>
      <w:r>
        <w:rPr>
          <w:color w:val="231F20"/>
          <w:w w:val="96"/>
        </w:rPr>
        <w:t> </w:t>
      </w:r>
      <w:r>
        <w:rPr>
          <w:color w:val="231F20"/>
          <w:spacing w:val="2"/>
        </w:rPr>
        <w:t>restringe </w:t>
      </w:r>
      <w:r>
        <w:rPr>
          <w:color w:val="231F20"/>
        </w:rPr>
        <w:t>a </w:t>
      </w:r>
      <w:r>
        <w:rPr>
          <w:color w:val="231F20"/>
          <w:spacing w:val="2"/>
        </w:rPr>
        <w:t>una </w:t>
      </w:r>
      <w:r>
        <w:rPr>
          <w:color w:val="231F20"/>
        </w:rPr>
        <w:t>de las </w:t>
      </w:r>
      <w:r>
        <w:rPr>
          <w:color w:val="231F20"/>
          <w:spacing w:val="3"/>
        </w:rPr>
        <w:t>modalidades </w:t>
      </w:r>
      <w:r>
        <w:rPr>
          <w:color w:val="231F20"/>
        </w:rPr>
        <w:t>en que el </w:t>
      </w:r>
      <w:r>
        <w:rPr>
          <w:color w:val="231F20"/>
          <w:spacing w:val="2"/>
        </w:rPr>
        <w:t>saber </w:t>
      </w:r>
      <w:r>
        <w:rPr>
          <w:color w:val="231F20"/>
        </w:rPr>
        <w:t>es </w:t>
      </w:r>
      <w:r>
        <w:rPr>
          <w:color w:val="231F20"/>
          <w:spacing w:val="3"/>
        </w:rPr>
        <w:t>transforma-</w:t>
      </w:r>
      <w:r>
        <w:rPr>
          <w:color w:val="231F20"/>
          <w:spacing w:val="3"/>
          <w:w w:val="95"/>
        </w:rPr>
        <w:t> </w:t>
      </w:r>
      <w:r>
        <w:rPr>
          <w:color w:val="231F20"/>
        </w:rPr>
        <w:t>do en </w:t>
      </w:r>
      <w:r>
        <w:rPr>
          <w:color w:val="231F20"/>
          <w:spacing w:val="2"/>
        </w:rPr>
        <w:t>una tecnología </w:t>
      </w:r>
      <w:r>
        <w:rPr>
          <w:color w:val="231F20"/>
        </w:rPr>
        <w:t>del </w:t>
      </w:r>
      <w:r>
        <w:rPr>
          <w:color w:val="231F20"/>
          <w:spacing w:val="3"/>
        </w:rPr>
        <w:t>dominio, </w:t>
      </w:r>
      <w:r>
        <w:rPr>
          <w:color w:val="231F20"/>
        </w:rPr>
        <w:t>en un </w:t>
      </w:r>
      <w:r>
        <w:rPr>
          <w:color w:val="231F20"/>
          <w:spacing w:val="2"/>
        </w:rPr>
        <w:t>discurso </w:t>
      </w:r>
      <w:r>
        <w:rPr>
          <w:color w:val="231F20"/>
        </w:rPr>
        <w:t>del </w:t>
      </w:r>
      <w:r>
        <w:rPr>
          <w:color w:val="231F20"/>
          <w:spacing w:val="2"/>
        </w:rPr>
        <w:t>poder; </w:t>
      </w:r>
      <w:r>
        <w:rPr>
          <w:color w:val="231F20"/>
        </w:rPr>
        <w:t>lo</w:t>
      </w:r>
      <w:r>
        <w:rPr>
          <w:color w:val="231F20"/>
          <w:w w:val="104"/>
        </w:rPr>
        <w:t> </w:t>
      </w:r>
      <w:r>
        <w:rPr>
          <w:color w:val="231F20"/>
        </w:rPr>
        <w:t>que es </w:t>
      </w:r>
      <w:r>
        <w:rPr>
          <w:color w:val="231F20"/>
          <w:spacing w:val="2"/>
        </w:rPr>
        <w:t>preciso recuperar </w:t>
      </w:r>
      <w:r>
        <w:rPr>
          <w:color w:val="231F20"/>
        </w:rPr>
        <w:t>es la </w:t>
      </w:r>
      <w:r>
        <w:rPr>
          <w:color w:val="231F20"/>
          <w:spacing w:val="2"/>
        </w:rPr>
        <w:t>relación entre saber </w:t>
      </w:r>
      <w:r>
        <w:rPr>
          <w:color w:val="231F20"/>
        </w:rPr>
        <w:t>y </w:t>
      </w:r>
      <w:r>
        <w:rPr>
          <w:color w:val="231F20"/>
          <w:spacing w:val="2"/>
        </w:rPr>
        <w:t>racionalidad</w:t>
      </w:r>
      <w:r>
        <w:rPr>
          <w:color w:val="231F20"/>
          <w:spacing w:val="3"/>
          <w:w w:val="98"/>
        </w:rPr>
        <w:t> </w:t>
      </w:r>
      <w:r>
        <w:rPr>
          <w:color w:val="231F20"/>
          <w:spacing w:val="2"/>
        </w:rPr>
        <w:t>para poder llegar </w:t>
      </w:r>
      <w:r>
        <w:rPr>
          <w:color w:val="231F20"/>
        </w:rPr>
        <w:t>a </w:t>
      </w:r>
      <w:r>
        <w:rPr>
          <w:color w:val="231F20"/>
          <w:spacing w:val="2"/>
        </w:rPr>
        <w:t>entender </w:t>
      </w:r>
      <w:r>
        <w:rPr>
          <w:color w:val="231F20"/>
        </w:rPr>
        <w:t>el </w:t>
      </w:r>
      <w:r>
        <w:rPr>
          <w:color w:val="231F20"/>
          <w:spacing w:val="2"/>
        </w:rPr>
        <w:t>proceso mediante </w:t>
      </w:r>
      <w:r>
        <w:rPr>
          <w:color w:val="231F20"/>
        </w:rPr>
        <w:t>el </w:t>
      </w:r>
      <w:r>
        <w:rPr>
          <w:color w:val="231F20"/>
          <w:spacing w:val="2"/>
        </w:rPr>
        <w:t>cual</w:t>
      </w:r>
      <w:r>
        <w:rPr>
          <w:color w:val="231F20"/>
          <w:spacing w:val="55"/>
        </w:rPr>
        <w:t> </w:t>
      </w:r>
      <w:r>
        <w:rPr>
          <w:color w:val="231F20"/>
        </w:rPr>
        <w:t>el </w:t>
      </w:r>
      <w:r>
        <w:rPr>
          <w:color w:val="231F20"/>
          <w:spacing w:val="2"/>
        </w:rPr>
        <w:t>discur-</w:t>
      </w:r>
      <w:r>
        <w:rPr>
          <w:color w:val="231F20"/>
          <w:w w:val="96"/>
        </w:rPr>
        <w:t> </w:t>
      </w:r>
      <w:r>
        <w:rPr>
          <w:color w:val="231F20"/>
        </w:rPr>
        <w:t>so </w:t>
      </w:r>
      <w:r>
        <w:rPr>
          <w:color w:val="231F20"/>
          <w:spacing w:val="2"/>
        </w:rPr>
        <w:t>teórico </w:t>
      </w:r>
      <w:r>
        <w:rPr>
          <w:color w:val="231F20"/>
        </w:rPr>
        <w:t>se </w:t>
      </w:r>
      <w:r>
        <w:rPr>
          <w:color w:val="231F20"/>
          <w:spacing w:val="2"/>
        </w:rPr>
        <w:t>convierte </w:t>
      </w:r>
      <w:r>
        <w:rPr>
          <w:color w:val="231F20"/>
        </w:rPr>
        <w:t>en un </w:t>
      </w:r>
      <w:r>
        <w:rPr>
          <w:color w:val="231F20"/>
          <w:spacing w:val="2"/>
        </w:rPr>
        <w:t>discurso del </w:t>
      </w:r>
      <w:r>
        <w:rPr>
          <w:color w:val="231F20"/>
          <w:spacing w:val="3"/>
        </w:rPr>
        <w:t>poder: </w:t>
      </w:r>
      <w:r>
        <w:rPr>
          <w:color w:val="231F20"/>
        </w:rPr>
        <w:t>en </w:t>
      </w:r>
      <w:r>
        <w:rPr>
          <w:color w:val="231F20"/>
          <w:spacing w:val="2"/>
        </w:rPr>
        <w:t>una  ideología.</w:t>
      </w:r>
    </w:p>
    <w:p>
      <w:pPr>
        <w:pStyle w:val="BodyText"/>
        <w:spacing w:line="247" w:lineRule="auto"/>
        <w:ind w:left="102" w:right="115" w:firstLine="284"/>
        <w:jc w:val="both"/>
      </w:pPr>
      <w:r>
        <w:rPr>
          <w:color w:val="231F20"/>
          <w:spacing w:val="2"/>
        </w:rPr>
        <w:t>Con </w:t>
      </w:r>
      <w:r>
        <w:rPr>
          <w:color w:val="231F20"/>
          <w:spacing w:val="3"/>
        </w:rPr>
        <w:t>Habermas </w:t>
      </w:r>
      <w:r>
        <w:rPr>
          <w:color w:val="231F20"/>
        </w:rPr>
        <w:t>se </w:t>
      </w:r>
      <w:r>
        <w:rPr>
          <w:color w:val="231F20"/>
          <w:spacing w:val="2"/>
        </w:rPr>
        <w:t>puede indicar que, </w:t>
      </w:r>
      <w:r>
        <w:rPr>
          <w:color w:val="231F20"/>
        </w:rPr>
        <w:t>al </w:t>
      </w:r>
      <w:r>
        <w:rPr>
          <w:color w:val="231F20"/>
          <w:spacing w:val="2"/>
        </w:rPr>
        <w:t>replantear </w:t>
      </w:r>
      <w:r>
        <w:rPr>
          <w:color w:val="231F20"/>
        </w:rPr>
        <w:t>el </w:t>
      </w:r>
      <w:r>
        <w:rPr>
          <w:color w:val="231F20"/>
          <w:spacing w:val="3"/>
        </w:rPr>
        <w:t>problema </w:t>
      </w:r>
      <w:r>
        <w:rPr>
          <w:color w:val="231F20"/>
        </w:rPr>
        <w:t>en </w:t>
      </w:r>
      <w:r>
        <w:rPr>
          <w:color w:val="231F20"/>
          <w:spacing w:val="3"/>
        </w:rPr>
        <w:t>términos </w:t>
      </w:r>
      <w:r>
        <w:rPr>
          <w:color w:val="231F20"/>
        </w:rPr>
        <w:t>de </w:t>
      </w:r>
      <w:r>
        <w:rPr>
          <w:color w:val="231F20"/>
          <w:spacing w:val="2"/>
        </w:rPr>
        <w:t>saber </w:t>
      </w:r>
      <w:r>
        <w:rPr>
          <w:color w:val="231F20"/>
        </w:rPr>
        <w:t>y </w:t>
      </w:r>
      <w:r>
        <w:rPr>
          <w:color w:val="231F20"/>
          <w:spacing w:val="2"/>
        </w:rPr>
        <w:t>racionalidad nos </w:t>
      </w:r>
      <w:r>
        <w:rPr>
          <w:color w:val="231F20"/>
          <w:spacing w:val="3"/>
        </w:rPr>
        <w:t>encontramos </w:t>
      </w:r>
      <w:r>
        <w:rPr>
          <w:color w:val="231F20"/>
          <w:spacing w:val="2"/>
        </w:rPr>
        <w:t>con </w:t>
      </w:r>
      <w:r>
        <w:rPr>
          <w:color w:val="231F20"/>
        </w:rPr>
        <w:t>la </w:t>
      </w:r>
      <w:r>
        <w:rPr>
          <w:color w:val="231F20"/>
          <w:spacing w:val="3"/>
        </w:rPr>
        <w:t>cues- </w:t>
      </w:r>
      <w:r>
        <w:rPr>
          <w:color w:val="231F20"/>
          <w:spacing w:val="2"/>
        </w:rPr>
        <w:t>tión </w:t>
      </w:r>
      <w:r>
        <w:rPr>
          <w:color w:val="231F20"/>
        </w:rPr>
        <w:t>de </w:t>
      </w:r>
      <w:r>
        <w:rPr>
          <w:color w:val="231F20"/>
          <w:spacing w:val="2"/>
        </w:rPr>
        <w:t>dilucidar </w:t>
      </w:r>
      <w:r>
        <w:rPr>
          <w:color w:val="231F20"/>
        </w:rPr>
        <w:t>si </w:t>
      </w:r>
      <w:r>
        <w:rPr>
          <w:color w:val="231F20"/>
          <w:spacing w:val="2"/>
        </w:rPr>
        <w:t>una emisión discursiva tiene que </w:t>
      </w:r>
      <w:r>
        <w:rPr>
          <w:color w:val="231F20"/>
          <w:spacing w:val="3"/>
        </w:rPr>
        <w:t>fundamentar- </w:t>
      </w:r>
      <w:r>
        <w:rPr>
          <w:color w:val="231F20"/>
        </w:rPr>
        <w:t>se, o de qué </w:t>
      </w:r>
      <w:r>
        <w:rPr>
          <w:color w:val="231F20"/>
          <w:spacing w:val="3"/>
        </w:rPr>
        <w:t>modo </w:t>
      </w:r>
      <w:r>
        <w:rPr>
          <w:color w:val="231F20"/>
        </w:rPr>
        <w:t>se </w:t>
      </w:r>
      <w:r>
        <w:rPr>
          <w:color w:val="231F20"/>
          <w:spacing w:val="3"/>
        </w:rPr>
        <w:t>fundamenta </w:t>
      </w:r>
      <w:r>
        <w:rPr>
          <w:color w:val="231F20"/>
          <w:spacing w:val="2"/>
        </w:rPr>
        <w:t>cuando </w:t>
      </w:r>
      <w:r>
        <w:rPr>
          <w:color w:val="231F20"/>
        </w:rPr>
        <w:t>lo </w:t>
      </w:r>
      <w:r>
        <w:rPr>
          <w:color w:val="231F20"/>
          <w:spacing w:val="2"/>
        </w:rPr>
        <w:t>hace. Esta cuestión   </w:t>
      </w:r>
      <w:r>
        <w:rPr>
          <w:color w:val="231F20"/>
          <w:spacing w:val="56"/>
        </w:rPr>
        <w:t> </w:t>
      </w:r>
      <w:r>
        <w:rPr>
          <w:color w:val="231F20"/>
        </w:rPr>
        <w:t>es  </w:t>
      </w:r>
      <w:r>
        <w:rPr>
          <w:color w:val="231F20"/>
          <w:spacing w:val="2"/>
        </w:rPr>
        <w:t>dilucidada por </w:t>
      </w:r>
      <w:r>
        <w:rPr>
          <w:color w:val="231F20"/>
          <w:spacing w:val="3"/>
        </w:rPr>
        <w:t>Habermas </w:t>
      </w:r>
      <w:r>
        <w:rPr>
          <w:color w:val="231F20"/>
          <w:spacing w:val="2"/>
        </w:rPr>
        <w:t>ilustrando </w:t>
      </w:r>
      <w:r>
        <w:rPr>
          <w:color w:val="231F20"/>
        </w:rPr>
        <w:t>lo  </w:t>
      </w:r>
      <w:r>
        <w:rPr>
          <w:color w:val="231F20"/>
          <w:spacing w:val="2"/>
        </w:rPr>
        <w:t>que </w:t>
      </w:r>
      <w:r>
        <w:rPr>
          <w:color w:val="231F20"/>
          <w:spacing w:val="3"/>
        </w:rPr>
        <w:t>supone    </w:t>
      </w:r>
      <w:r>
        <w:rPr>
          <w:color w:val="231F20"/>
          <w:spacing w:val="4"/>
        </w:rPr>
        <w:t> </w:t>
      </w:r>
      <w:r>
        <w:rPr>
          <w:color w:val="231F20"/>
        </w:rPr>
        <w:t>la  </w:t>
      </w:r>
      <w:r>
        <w:rPr>
          <w:color w:val="231F20"/>
          <w:spacing w:val="3"/>
        </w:rPr>
        <w:t>acción</w:t>
      </w:r>
    </w:p>
    <w:p>
      <w:pPr>
        <w:spacing w:after="0" w:line="247" w:lineRule="auto"/>
        <w:jc w:val="both"/>
        <w:sectPr>
          <w:headerReference w:type="default" r:id="rId159"/>
          <w:footerReference w:type="default" r:id="rId160"/>
          <w:pgSz w:w="7830" w:h="11910"/>
          <w:pgMar w:header="0" w:footer="424" w:top="500" w:bottom="620" w:left="920" w:right="900"/>
          <w:pgNumType w:start="7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jc w:val="both"/>
      </w:pPr>
      <w:r>
        <w:rPr>
          <w:color w:val="231F20"/>
          <w:spacing w:val="3"/>
        </w:rPr>
        <w:t>comunicativa, </w:t>
      </w:r>
      <w:r>
        <w:rPr>
          <w:color w:val="231F20"/>
        </w:rPr>
        <w:t>a </w:t>
      </w:r>
      <w:r>
        <w:rPr>
          <w:color w:val="231F20"/>
          <w:spacing w:val="2"/>
        </w:rPr>
        <w:t>diferencia </w:t>
      </w:r>
      <w:r>
        <w:rPr>
          <w:color w:val="231F20"/>
        </w:rPr>
        <w:t>de la </w:t>
      </w:r>
      <w:r>
        <w:rPr>
          <w:color w:val="231F20"/>
          <w:spacing w:val="2"/>
        </w:rPr>
        <w:t>acción teológica, pues </w:t>
      </w:r>
      <w:r>
        <w:rPr>
          <w:color w:val="231F20"/>
        </w:rPr>
        <w:t>en la pri- </w:t>
      </w:r>
      <w:r>
        <w:rPr>
          <w:color w:val="231F20"/>
          <w:spacing w:val="2"/>
        </w:rPr>
        <w:t>mera </w:t>
      </w:r>
      <w:r>
        <w:rPr>
          <w:color w:val="231F20"/>
        </w:rPr>
        <w:t>se </w:t>
      </w:r>
      <w:r>
        <w:rPr>
          <w:color w:val="231F20"/>
          <w:spacing w:val="2"/>
        </w:rPr>
        <w:t>procede mediante </w:t>
      </w:r>
      <w:r>
        <w:rPr>
          <w:color w:val="231F20"/>
        </w:rPr>
        <w:t>una </w:t>
      </w:r>
      <w:r>
        <w:rPr>
          <w:color w:val="231F20"/>
          <w:spacing w:val="2"/>
        </w:rPr>
        <w:t>afirmación </w:t>
      </w:r>
      <w:r>
        <w:rPr>
          <w:color w:val="231F20"/>
        </w:rPr>
        <w:t>u </w:t>
      </w:r>
      <w:r>
        <w:rPr>
          <w:color w:val="231F20"/>
          <w:spacing w:val="2"/>
        </w:rPr>
        <w:t>opinión, </w:t>
      </w:r>
      <w:r>
        <w:rPr>
          <w:color w:val="231F20"/>
        </w:rPr>
        <w:t>en </w:t>
      </w:r>
      <w:r>
        <w:rPr>
          <w:color w:val="231F20"/>
          <w:spacing w:val="2"/>
        </w:rPr>
        <w:t>tanto </w:t>
      </w:r>
      <w:r>
        <w:rPr>
          <w:color w:val="231F20"/>
          <w:spacing w:val="3"/>
        </w:rPr>
        <w:t>que </w:t>
      </w:r>
      <w:r>
        <w:rPr>
          <w:color w:val="231F20"/>
        </w:rPr>
        <w:t>en la </w:t>
      </w:r>
      <w:r>
        <w:rPr>
          <w:color w:val="231F20"/>
          <w:spacing w:val="3"/>
        </w:rPr>
        <w:t>segunda </w:t>
      </w:r>
      <w:r>
        <w:rPr>
          <w:color w:val="231F20"/>
        </w:rPr>
        <w:t>se </w:t>
      </w:r>
      <w:r>
        <w:rPr>
          <w:color w:val="231F20"/>
          <w:spacing w:val="2"/>
        </w:rPr>
        <w:t>alude </w:t>
      </w:r>
      <w:r>
        <w:rPr>
          <w:color w:val="231F20"/>
        </w:rPr>
        <w:t>a </w:t>
      </w:r>
      <w:r>
        <w:rPr>
          <w:color w:val="231F20"/>
          <w:spacing w:val="2"/>
        </w:rPr>
        <w:t>una acción ejecutada; </w:t>
      </w:r>
      <w:r>
        <w:rPr>
          <w:color w:val="231F20"/>
        </w:rPr>
        <w:t>en </w:t>
      </w:r>
      <w:r>
        <w:rPr>
          <w:color w:val="231F20"/>
          <w:spacing w:val="3"/>
        </w:rPr>
        <w:t>ambos </w:t>
      </w:r>
      <w:r>
        <w:rPr>
          <w:color w:val="231F20"/>
          <w:spacing w:val="2"/>
        </w:rPr>
        <w:t>casos </w:t>
      </w:r>
      <w:r>
        <w:rPr>
          <w:color w:val="231F20"/>
        </w:rPr>
        <w:t>es </w:t>
      </w:r>
      <w:r>
        <w:rPr>
          <w:color w:val="231F20"/>
          <w:spacing w:val="2"/>
        </w:rPr>
        <w:t>posible </w:t>
      </w:r>
      <w:r>
        <w:rPr>
          <w:color w:val="231F20"/>
          <w:spacing w:val="3"/>
        </w:rPr>
        <w:t>proceder mediante </w:t>
      </w:r>
      <w:r>
        <w:rPr>
          <w:color w:val="231F20"/>
        </w:rPr>
        <w:t>la </w:t>
      </w:r>
      <w:r>
        <w:rPr>
          <w:color w:val="231F20"/>
          <w:spacing w:val="2"/>
        </w:rPr>
        <w:t>crítica respecto </w:t>
      </w:r>
      <w:r>
        <w:rPr>
          <w:color w:val="231F20"/>
        </w:rPr>
        <w:t>a la </w:t>
      </w:r>
      <w:r>
        <w:rPr>
          <w:color w:val="231F20"/>
          <w:spacing w:val="2"/>
        </w:rPr>
        <w:t>verdad </w:t>
      </w:r>
      <w:r>
        <w:rPr>
          <w:color w:val="231F20"/>
        </w:rPr>
        <w:t>de </w:t>
      </w:r>
      <w:r>
        <w:rPr>
          <w:color w:val="231F20"/>
          <w:spacing w:val="2"/>
        </w:rPr>
        <w:t>una afirmación </w:t>
      </w:r>
      <w:r>
        <w:rPr>
          <w:color w:val="231F20"/>
        </w:rPr>
        <w:t>u </w:t>
      </w:r>
      <w:r>
        <w:rPr>
          <w:color w:val="231F20"/>
          <w:spacing w:val="2"/>
        </w:rPr>
        <w:t>opinión –realizada </w:t>
      </w:r>
      <w:r>
        <w:rPr>
          <w:color w:val="231F20"/>
        </w:rPr>
        <w:t>o </w:t>
      </w:r>
      <w:r>
        <w:rPr>
          <w:color w:val="231F20"/>
          <w:spacing w:val="2"/>
        </w:rPr>
        <w:t>emitida– sobre </w:t>
      </w:r>
      <w:r>
        <w:rPr>
          <w:color w:val="231F20"/>
        </w:rPr>
        <w:t>algo que </w:t>
      </w:r>
      <w:r>
        <w:rPr>
          <w:color w:val="231F20"/>
          <w:spacing w:val="2"/>
        </w:rPr>
        <w:t>ocurre  </w:t>
      </w:r>
      <w:r>
        <w:rPr>
          <w:color w:val="231F20"/>
        </w:rPr>
        <w:t>en el </w:t>
      </w:r>
      <w:r>
        <w:rPr>
          <w:color w:val="231F20"/>
          <w:spacing w:val="3"/>
        </w:rPr>
        <w:t>mundo </w:t>
      </w:r>
      <w:r>
        <w:rPr>
          <w:color w:val="231F20"/>
          <w:spacing w:val="2"/>
        </w:rPr>
        <w:t>objetivo, </w:t>
      </w:r>
      <w:r>
        <w:rPr>
          <w:color w:val="231F20"/>
        </w:rPr>
        <w:t>así </w:t>
      </w:r>
      <w:r>
        <w:rPr>
          <w:color w:val="231F20"/>
          <w:spacing w:val="3"/>
        </w:rPr>
        <w:t>como </w:t>
      </w:r>
      <w:r>
        <w:rPr>
          <w:color w:val="231F20"/>
        </w:rPr>
        <w:t>de las </w:t>
      </w:r>
      <w:r>
        <w:rPr>
          <w:color w:val="231F20"/>
          <w:spacing w:val="2"/>
        </w:rPr>
        <w:t>posibilidades </w:t>
      </w:r>
      <w:r>
        <w:rPr>
          <w:color w:val="231F20"/>
        </w:rPr>
        <w:t>de  </w:t>
      </w:r>
      <w:r>
        <w:rPr>
          <w:color w:val="231F20"/>
          <w:spacing w:val="2"/>
        </w:rPr>
        <w:t>éxito </w:t>
      </w:r>
      <w:r>
        <w:rPr>
          <w:color w:val="231F20"/>
        </w:rPr>
        <w:t>de </w:t>
      </w:r>
      <w:r>
        <w:rPr>
          <w:color w:val="231F20"/>
          <w:spacing w:val="2"/>
        </w:rPr>
        <w:t>una acción ejecutada </w:t>
      </w:r>
      <w:r>
        <w:rPr>
          <w:color w:val="231F20"/>
        </w:rPr>
        <w:t>que </w:t>
      </w:r>
      <w:r>
        <w:rPr>
          <w:color w:val="231F20"/>
          <w:spacing w:val="2"/>
        </w:rPr>
        <w:t>tendría lugar </w:t>
      </w:r>
      <w:r>
        <w:rPr>
          <w:color w:val="231F20"/>
        </w:rPr>
        <w:t>en el </w:t>
      </w:r>
      <w:r>
        <w:rPr>
          <w:color w:val="231F20"/>
          <w:spacing w:val="3"/>
        </w:rPr>
        <w:t>mismo mundo </w:t>
      </w:r>
      <w:r>
        <w:rPr>
          <w:color w:val="231F20"/>
          <w:spacing w:val="2"/>
        </w:rPr>
        <w:t>objeti- vo; </w:t>
      </w:r>
      <w:r>
        <w:rPr>
          <w:color w:val="231F20"/>
        </w:rPr>
        <w:t>lo </w:t>
      </w:r>
      <w:r>
        <w:rPr>
          <w:color w:val="231F20"/>
          <w:spacing w:val="2"/>
        </w:rPr>
        <w:t>que </w:t>
      </w:r>
      <w:r>
        <w:rPr>
          <w:color w:val="231F20"/>
        </w:rPr>
        <w:t>no </w:t>
      </w:r>
      <w:r>
        <w:rPr>
          <w:color w:val="231F20"/>
          <w:spacing w:val="2"/>
        </w:rPr>
        <w:t>hay que olvidar </w:t>
      </w:r>
      <w:r>
        <w:rPr>
          <w:color w:val="231F20"/>
        </w:rPr>
        <w:t>es </w:t>
      </w:r>
      <w:r>
        <w:rPr>
          <w:color w:val="231F20"/>
          <w:spacing w:val="2"/>
        </w:rPr>
        <w:t>que </w:t>
      </w:r>
      <w:r>
        <w:rPr>
          <w:color w:val="231F20"/>
          <w:spacing w:val="3"/>
        </w:rPr>
        <w:t>ambas formas </w:t>
      </w:r>
      <w:r>
        <w:rPr>
          <w:color w:val="231F20"/>
        </w:rPr>
        <w:t>de la </w:t>
      </w:r>
      <w:r>
        <w:rPr>
          <w:color w:val="231F20"/>
          <w:spacing w:val="2"/>
        </w:rPr>
        <w:t>acción </w:t>
      </w:r>
      <w:r>
        <w:rPr>
          <w:color w:val="231F20"/>
        </w:rPr>
        <w:t>se </w:t>
      </w:r>
      <w:r>
        <w:rPr>
          <w:color w:val="231F20"/>
          <w:spacing w:val="3"/>
        </w:rPr>
        <w:t>ponen </w:t>
      </w:r>
      <w:r>
        <w:rPr>
          <w:color w:val="231F20"/>
        </w:rPr>
        <w:t>de </w:t>
      </w:r>
      <w:r>
        <w:rPr>
          <w:color w:val="231F20"/>
          <w:spacing w:val="2"/>
        </w:rPr>
        <w:t>manifiesto </w:t>
      </w:r>
      <w:r>
        <w:rPr>
          <w:color w:val="231F20"/>
        </w:rPr>
        <w:t>de </w:t>
      </w:r>
      <w:r>
        <w:rPr>
          <w:color w:val="231F20"/>
          <w:spacing w:val="3"/>
        </w:rPr>
        <w:t>manera </w:t>
      </w:r>
      <w:r>
        <w:rPr>
          <w:color w:val="231F20"/>
          <w:spacing w:val="2"/>
        </w:rPr>
        <w:t>simbólica, </w:t>
      </w:r>
      <w:r>
        <w:rPr>
          <w:color w:val="231F20"/>
        </w:rPr>
        <w:t>de allí, </w:t>
      </w:r>
      <w:r>
        <w:rPr>
          <w:color w:val="231F20"/>
          <w:spacing w:val="3"/>
        </w:rPr>
        <w:t>entonces, </w:t>
      </w:r>
      <w:r>
        <w:rPr>
          <w:color w:val="231F20"/>
        </w:rPr>
        <w:t>que la </w:t>
      </w:r>
      <w:r>
        <w:rPr>
          <w:color w:val="231F20"/>
          <w:spacing w:val="3"/>
        </w:rPr>
        <w:t>racionalidad </w:t>
      </w:r>
      <w:r>
        <w:rPr>
          <w:color w:val="231F20"/>
        </w:rPr>
        <w:t>que </w:t>
      </w:r>
      <w:r>
        <w:rPr>
          <w:color w:val="231F20"/>
          <w:spacing w:val="3"/>
        </w:rPr>
        <w:t>implican </w:t>
      </w:r>
      <w:r>
        <w:rPr>
          <w:color w:val="231F20"/>
        </w:rPr>
        <w:t>es </w:t>
      </w:r>
      <w:r>
        <w:rPr>
          <w:color w:val="231F20"/>
          <w:spacing w:val="2"/>
        </w:rPr>
        <w:t>susceptible </w:t>
      </w:r>
      <w:r>
        <w:rPr>
          <w:color w:val="231F20"/>
        </w:rPr>
        <w:t>de </w:t>
      </w:r>
      <w:r>
        <w:rPr>
          <w:color w:val="231F20"/>
          <w:spacing w:val="2"/>
        </w:rPr>
        <w:t>crítica </w:t>
      </w:r>
      <w:r>
        <w:rPr>
          <w:color w:val="231F20"/>
        </w:rPr>
        <w:t>a </w:t>
      </w:r>
      <w:r>
        <w:rPr>
          <w:color w:val="231F20"/>
          <w:spacing w:val="2"/>
        </w:rPr>
        <w:t>partir </w:t>
      </w:r>
      <w:r>
        <w:rPr>
          <w:color w:val="231F20"/>
        </w:rPr>
        <w:t>de sus </w:t>
      </w:r>
      <w:r>
        <w:rPr>
          <w:color w:val="231F20"/>
          <w:spacing w:val="3"/>
        </w:rPr>
        <w:t>pretensiones </w:t>
      </w:r>
      <w:r>
        <w:rPr>
          <w:color w:val="231F20"/>
        </w:rPr>
        <w:t>de </w:t>
      </w:r>
      <w:r>
        <w:rPr>
          <w:color w:val="231F20"/>
          <w:spacing w:val="2"/>
        </w:rPr>
        <w:t>validez, </w:t>
      </w:r>
      <w:r>
        <w:rPr>
          <w:color w:val="231F20"/>
        </w:rPr>
        <w:t>en </w:t>
      </w:r>
      <w:r>
        <w:rPr>
          <w:color w:val="231F20"/>
          <w:spacing w:val="2"/>
        </w:rPr>
        <w:t>tanto </w:t>
      </w:r>
      <w:r>
        <w:rPr>
          <w:color w:val="231F20"/>
        </w:rPr>
        <w:t>que </w:t>
      </w:r>
      <w:r>
        <w:rPr>
          <w:color w:val="231F20"/>
          <w:spacing w:val="2"/>
        </w:rPr>
        <w:t>exigen </w:t>
      </w:r>
      <w:r>
        <w:rPr>
          <w:color w:val="231F20"/>
          <w:spacing w:val="3"/>
        </w:rPr>
        <w:t>modos </w:t>
      </w:r>
      <w:r>
        <w:rPr>
          <w:color w:val="231F20"/>
          <w:spacing w:val="2"/>
        </w:rPr>
        <w:t>peculiares </w:t>
      </w:r>
      <w:r>
        <w:rPr>
          <w:color w:val="231F20"/>
        </w:rPr>
        <w:t>de </w:t>
      </w:r>
      <w:r>
        <w:rPr>
          <w:color w:val="231F20"/>
          <w:spacing w:val="3"/>
        </w:rPr>
        <w:t>fundamentación. </w:t>
      </w:r>
      <w:r>
        <w:rPr>
          <w:color w:val="231F20"/>
          <w:spacing w:val="2"/>
        </w:rPr>
        <w:t>Pero justamente, </w:t>
      </w:r>
      <w:r>
        <w:rPr>
          <w:color w:val="231F20"/>
        </w:rPr>
        <w:t>al </w:t>
      </w:r>
      <w:r>
        <w:rPr>
          <w:color w:val="231F20"/>
          <w:spacing w:val="2"/>
        </w:rPr>
        <w:t>señalar esta situación </w:t>
      </w:r>
      <w:r>
        <w:rPr>
          <w:color w:val="231F20"/>
        </w:rPr>
        <w:t>es </w:t>
      </w:r>
      <w:r>
        <w:rPr>
          <w:color w:val="231F20"/>
          <w:spacing w:val="3"/>
        </w:rPr>
        <w:t>que </w:t>
      </w:r>
      <w:r>
        <w:rPr>
          <w:color w:val="231F20"/>
        </w:rPr>
        <w:t>se </w:t>
      </w:r>
      <w:r>
        <w:rPr>
          <w:color w:val="231F20"/>
          <w:spacing w:val="2"/>
        </w:rPr>
        <w:t>advierte </w:t>
      </w:r>
      <w:r>
        <w:rPr>
          <w:color w:val="231F20"/>
        </w:rPr>
        <w:t>que </w:t>
      </w:r>
      <w:r>
        <w:rPr>
          <w:color w:val="231F20"/>
          <w:spacing w:val="2"/>
        </w:rPr>
        <w:t>toda elaboración discursiva implica </w:t>
      </w:r>
      <w:r>
        <w:rPr>
          <w:color w:val="231F20"/>
        </w:rPr>
        <w:t>la  </w:t>
      </w:r>
      <w:r>
        <w:rPr>
          <w:color w:val="231F20"/>
          <w:spacing w:val="2"/>
        </w:rPr>
        <w:t>relación entre sujetos capaces </w:t>
      </w:r>
      <w:r>
        <w:rPr>
          <w:color w:val="231F20"/>
        </w:rPr>
        <w:t>de </w:t>
      </w:r>
      <w:r>
        <w:rPr>
          <w:color w:val="231F20"/>
          <w:spacing w:val="2"/>
        </w:rPr>
        <w:t>lenguaje, habla </w:t>
      </w:r>
      <w:r>
        <w:rPr>
          <w:color w:val="231F20"/>
        </w:rPr>
        <w:t>y </w:t>
      </w:r>
      <w:r>
        <w:rPr>
          <w:color w:val="231F20"/>
          <w:spacing w:val="2"/>
        </w:rPr>
        <w:t>acción que actúan </w:t>
      </w:r>
      <w:r>
        <w:rPr>
          <w:color w:val="231F20"/>
        </w:rPr>
        <w:t>en </w:t>
      </w:r>
      <w:r>
        <w:rPr>
          <w:color w:val="231F20"/>
          <w:spacing w:val="3"/>
        </w:rPr>
        <w:t>contextos </w:t>
      </w:r>
      <w:r>
        <w:rPr>
          <w:color w:val="231F20"/>
          <w:spacing w:val="2"/>
        </w:rPr>
        <w:t>históricos sociales</w:t>
      </w:r>
      <w:r>
        <w:rPr>
          <w:color w:val="231F20"/>
          <w:spacing w:val="6"/>
        </w:rPr>
        <w:t> </w:t>
      </w:r>
      <w:r>
        <w:rPr>
          <w:color w:val="231F20"/>
          <w:spacing w:val="3"/>
        </w:rPr>
        <w:t>concretos.</w:t>
      </w:r>
    </w:p>
    <w:p>
      <w:pPr>
        <w:pStyle w:val="BodyText"/>
        <w:spacing w:line="249" w:lineRule="auto"/>
        <w:ind w:left="102" w:right="116" w:firstLine="284"/>
        <w:jc w:val="both"/>
      </w:pPr>
      <w:r>
        <w:rPr>
          <w:color w:val="231F20"/>
        </w:rPr>
        <w:t>En este punto es necesario recurrir a la distinción que hace Ha- bermas entre discurso teórico y discurso práctico. En el primero lo racional se expresa como dominio cognitivo-instrumental que se despliega</w:t>
      </w:r>
      <w:r>
        <w:rPr>
          <w:color w:val="231F20"/>
          <w:spacing w:val="-10"/>
        </w:rPr>
        <w:t> </w:t>
      </w:r>
      <w:r>
        <w:rPr>
          <w:color w:val="231F20"/>
        </w:rPr>
        <w:t>en</w:t>
      </w:r>
      <w:r>
        <w:rPr>
          <w:color w:val="231F20"/>
          <w:spacing w:val="-9"/>
        </w:rPr>
        <w:t> </w:t>
      </w:r>
      <w:r>
        <w:rPr>
          <w:color w:val="231F20"/>
        </w:rPr>
        <w:t>enunciados</w:t>
      </w:r>
      <w:r>
        <w:rPr>
          <w:color w:val="231F20"/>
          <w:spacing w:val="-10"/>
        </w:rPr>
        <w:t> </w:t>
      </w:r>
      <w:r>
        <w:rPr>
          <w:color w:val="231F20"/>
        </w:rPr>
        <w:t>fundados</w:t>
      </w:r>
      <w:r>
        <w:rPr>
          <w:color w:val="231F20"/>
          <w:spacing w:val="-10"/>
        </w:rPr>
        <w:t> </w:t>
      </w:r>
      <w:r>
        <w:rPr>
          <w:color w:val="231F20"/>
        </w:rPr>
        <w:t>y</w:t>
      </w:r>
      <w:r>
        <w:rPr>
          <w:color w:val="231F20"/>
          <w:spacing w:val="-9"/>
        </w:rPr>
        <w:t> </w:t>
      </w:r>
      <w:r>
        <w:rPr>
          <w:color w:val="231F20"/>
        </w:rPr>
        <w:t>actuaciones</w:t>
      </w:r>
      <w:r>
        <w:rPr>
          <w:color w:val="231F20"/>
          <w:spacing w:val="-10"/>
        </w:rPr>
        <w:t> </w:t>
      </w:r>
      <w:r>
        <w:rPr>
          <w:color w:val="231F20"/>
        </w:rPr>
        <w:t>eficientes</w:t>
      </w:r>
      <w:r>
        <w:rPr>
          <w:color w:val="231F20"/>
          <w:spacing w:val="-10"/>
        </w:rPr>
        <w:t> </w:t>
      </w:r>
      <w:r>
        <w:rPr>
          <w:color w:val="231F20"/>
        </w:rPr>
        <w:t>que</w:t>
      </w:r>
      <w:r>
        <w:rPr>
          <w:color w:val="231F20"/>
          <w:spacing w:val="-9"/>
        </w:rPr>
        <w:t> </w:t>
      </w:r>
      <w:r>
        <w:rPr>
          <w:color w:val="231F20"/>
        </w:rPr>
        <w:t>llevan a</w:t>
      </w:r>
      <w:r>
        <w:rPr>
          <w:color w:val="231F20"/>
          <w:spacing w:val="-6"/>
        </w:rPr>
        <w:t> </w:t>
      </w:r>
      <w:r>
        <w:rPr>
          <w:color w:val="231F20"/>
        </w:rPr>
        <w:t>procesos</w:t>
      </w:r>
      <w:r>
        <w:rPr>
          <w:color w:val="231F20"/>
          <w:spacing w:val="-6"/>
        </w:rPr>
        <w:t> </w:t>
      </w:r>
      <w:r>
        <w:rPr>
          <w:color w:val="231F20"/>
        </w:rPr>
        <w:t>de</w:t>
      </w:r>
      <w:r>
        <w:rPr>
          <w:color w:val="231F20"/>
          <w:spacing w:val="-6"/>
        </w:rPr>
        <w:t> </w:t>
      </w:r>
      <w:r>
        <w:rPr>
          <w:color w:val="231F20"/>
        </w:rPr>
        <w:t>aprendizaje</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equivocaciones,</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refutación de hipótesis y de los resultados obtenidos en las intervenciones en el mundo, de allí que, en los discursos teóricos las situaciones proble- máticas son las que ponen en tensión las pretensiones de validez. En cambio en el discurso práctico se juzgan situaciones en torno a las cuestiones</w:t>
      </w:r>
      <w:r>
        <w:rPr>
          <w:color w:val="231F20"/>
          <w:spacing w:val="-9"/>
        </w:rPr>
        <w:t> </w:t>
      </w:r>
      <w:r>
        <w:rPr>
          <w:color w:val="231F20"/>
        </w:rPr>
        <w:t>morales</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justicia,</w:t>
      </w:r>
      <w:r>
        <w:rPr>
          <w:color w:val="231F20"/>
          <w:spacing w:val="-10"/>
        </w:rPr>
        <w:t> </w:t>
      </w:r>
      <w:r>
        <w:rPr>
          <w:color w:val="231F20"/>
        </w:rPr>
        <w:t>de</w:t>
      </w:r>
      <w:r>
        <w:rPr>
          <w:color w:val="231F20"/>
          <w:spacing w:val="-9"/>
        </w:rPr>
        <w:t> </w:t>
      </w:r>
      <w:r>
        <w:rPr>
          <w:color w:val="231F20"/>
        </w:rPr>
        <w:t>tal</w:t>
      </w:r>
      <w:r>
        <w:rPr>
          <w:color w:val="231F20"/>
          <w:spacing w:val="-10"/>
        </w:rPr>
        <w:t> </w:t>
      </w:r>
      <w:r>
        <w:rPr>
          <w:color w:val="231F20"/>
        </w:rPr>
        <w:t>modo</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racionalidad</w:t>
      </w:r>
      <w:r>
        <w:rPr>
          <w:color w:val="231F20"/>
          <w:spacing w:val="-9"/>
        </w:rPr>
        <w:t> </w:t>
      </w:r>
      <w:r>
        <w:rPr>
          <w:color w:val="231F20"/>
        </w:rPr>
        <w:t>de</w:t>
      </w:r>
      <w:r>
        <w:rPr>
          <w:color w:val="231F20"/>
          <w:spacing w:val="-9"/>
        </w:rPr>
        <w:t> </w:t>
      </w:r>
      <w:r>
        <w:rPr>
          <w:color w:val="231F20"/>
        </w:rPr>
        <w:t>la acción se valora en términos del entendimiento mutuo y el acuerdo racionalmente alcanzado, lo que pone en tensión las pretensiones de validez</w:t>
      </w:r>
      <w:r>
        <w:rPr>
          <w:color w:val="231F20"/>
          <w:spacing w:val="-27"/>
        </w:rPr>
        <w:t> </w:t>
      </w:r>
      <w:r>
        <w:rPr>
          <w:color w:val="231F20"/>
        </w:rPr>
        <w:t>es</w:t>
      </w:r>
      <w:r>
        <w:rPr>
          <w:color w:val="231F20"/>
          <w:spacing w:val="-28"/>
        </w:rPr>
        <w:t> </w:t>
      </w:r>
      <w:r>
        <w:rPr>
          <w:color w:val="231F20"/>
        </w:rPr>
        <w:t>la</w:t>
      </w:r>
      <w:r>
        <w:rPr>
          <w:color w:val="231F20"/>
          <w:spacing w:val="-28"/>
        </w:rPr>
        <w:t> </w:t>
      </w:r>
      <w:r>
        <w:rPr>
          <w:color w:val="231F20"/>
        </w:rPr>
        <w:t>integridad</w:t>
      </w:r>
      <w:r>
        <w:rPr>
          <w:color w:val="231F20"/>
          <w:spacing w:val="-27"/>
        </w:rPr>
        <w:t> </w:t>
      </w:r>
      <w:r>
        <w:rPr>
          <w:color w:val="231F20"/>
        </w:rPr>
        <w:t>procedimental.</w:t>
      </w:r>
    </w:p>
    <w:p>
      <w:pPr>
        <w:pStyle w:val="BodyText"/>
        <w:spacing w:line="249" w:lineRule="auto"/>
        <w:ind w:left="101" w:right="115" w:firstLine="284"/>
        <w:jc w:val="both"/>
      </w:pPr>
      <w:r>
        <w:rPr>
          <w:color w:val="231F20"/>
        </w:rPr>
        <w:t>En </w:t>
      </w:r>
      <w:r>
        <w:rPr>
          <w:color w:val="231F20"/>
          <w:spacing w:val="2"/>
        </w:rPr>
        <w:t>este punto </w:t>
      </w:r>
      <w:r>
        <w:rPr>
          <w:color w:val="231F20"/>
        </w:rPr>
        <w:t>es </w:t>
      </w:r>
      <w:r>
        <w:rPr>
          <w:color w:val="231F20"/>
          <w:spacing w:val="2"/>
        </w:rPr>
        <w:t>que, siguiendo </w:t>
      </w:r>
      <w:r>
        <w:rPr>
          <w:color w:val="231F20"/>
        </w:rPr>
        <w:t>a </w:t>
      </w:r>
      <w:r>
        <w:rPr>
          <w:color w:val="231F20"/>
          <w:spacing w:val="3"/>
        </w:rPr>
        <w:t>Habermas podemos </w:t>
      </w:r>
      <w:r>
        <w:rPr>
          <w:color w:val="231F20"/>
          <w:spacing w:val="2"/>
        </w:rPr>
        <w:t>avanzar   </w:t>
      </w:r>
      <w:r>
        <w:rPr>
          <w:color w:val="231F20"/>
        </w:rPr>
        <w:t>a </w:t>
      </w:r>
      <w:r>
        <w:rPr>
          <w:color w:val="231F20"/>
          <w:spacing w:val="2"/>
        </w:rPr>
        <w:t>una enunciación </w:t>
      </w:r>
      <w:r>
        <w:rPr>
          <w:color w:val="231F20"/>
        </w:rPr>
        <w:t>de lo que se </w:t>
      </w:r>
      <w:r>
        <w:rPr>
          <w:color w:val="231F20"/>
          <w:spacing w:val="2"/>
        </w:rPr>
        <w:t>entiende por discurso, </w:t>
      </w:r>
      <w:r>
        <w:rPr>
          <w:color w:val="231F20"/>
          <w:spacing w:val="3"/>
        </w:rPr>
        <w:t>cuando </w:t>
      </w:r>
      <w:r>
        <w:rPr>
          <w:color w:val="231F20"/>
          <w:spacing w:val="2"/>
        </w:rPr>
        <w:t>asevera que: </w:t>
      </w:r>
      <w:r>
        <w:rPr>
          <w:color w:val="231F20"/>
          <w:spacing w:val="3"/>
        </w:rPr>
        <w:t>“llamamos argumentación </w:t>
      </w:r>
      <w:r>
        <w:rPr>
          <w:color w:val="231F20"/>
        </w:rPr>
        <w:t>al </w:t>
      </w:r>
      <w:r>
        <w:rPr>
          <w:color w:val="231F20"/>
          <w:spacing w:val="2"/>
        </w:rPr>
        <w:t>tipo </w:t>
      </w:r>
      <w:r>
        <w:rPr>
          <w:color w:val="231F20"/>
        </w:rPr>
        <w:t>de </w:t>
      </w:r>
      <w:r>
        <w:rPr>
          <w:color w:val="231F20"/>
          <w:spacing w:val="2"/>
        </w:rPr>
        <w:t>discurso </w:t>
      </w:r>
      <w:r>
        <w:rPr>
          <w:color w:val="231F20"/>
        </w:rPr>
        <w:t>en el que </w:t>
      </w:r>
      <w:r>
        <w:rPr>
          <w:color w:val="231F20"/>
          <w:spacing w:val="2"/>
        </w:rPr>
        <w:t>los participantes tematizan ciertas </w:t>
      </w:r>
      <w:r>
        <w:rPr>
          <w:color w:val="231F20"/>
          <w:spacing w:val="3"/>
        </w:rPr>
        <w:t>pretensiones </w:t>
      </w:r>
      <w:r>
        <w:rPr>
          <w:color w:val="231F20"/>
        </w:rPr>
        <w:t>de </w:t>
      </w:r>
      <w:r>
        <w:rPr>
          <w:color w:val="231F20"/>
          <w:spacing w:val="2"/>
        </w:rPr>
        <w:t>validez </w:t>
      </w:r>
      <w:r>
        <w:rPr>
          <w:color w:val="231F20"/>
        </w:rPr>
        <w:t>que se </w:t>
      </w:r>
      <w:r>
        <w:rPr>
          <w:color w:val="231F20"/>
          <w:spacing w:val="2"/>
        </w:rPr>
        <w:t>han vuelto objeto </w:t>
      </w:r>
      <w:r>
        <w:rPr>
          <w:color w:val="231F20"/>
        </w:rPr>
        <w:t>de </w:t>
      </w:r>
      <w:r>
        <w:rPr>
          <w:color w:val="231F20"/>
          <w:spacing w:val="2"/>
        </w:rPr>
        <w:t>disputa </w:t>
      </w:r>
      <w:r>
        <w:rPr>
          <w:color w:val="231F20"/>
        </w:rPr>
        <w:t>e </w:t>
      </w:r>
      <w:r>
        <w:rPr>
          <w:color w:val="231F20"/>
          <w:spacing w:val="2"/>
        </w:rPr>
        <w:t>intentan saldarlas </w:t>
      </w:r>
      <w:r>
        <w:rPr>
          <w:color w:val="231F20"/>
        </w:rPr>
        <w:t>y </w:t>
      </w:r>
      <w:r>
        <w:rPr>
          <w:color w:val="231F20"/>
          <w:spacing w:val="2"/>
        </w:rPr>
        <w:t>criticarlas</w:t>
      </w:r>
      <w:r>
        <w:rPr>
          <w:color w:val="231F20"/>
          <w:spacing w:val="56"/>
        </w:rPr>
        <w:t> </w:t>
      </w:r>
      <w:r>
        <w:rPr>
          <w:color w:val="231F20"/>
          <w:spacing w:val="2"/>
        </w:rPr>
        <w:t>con </w:t>
      </w:r>
      <w:r>
        <w:rPr>
          <w:color w:val="231F20"/>
          <w:spacing w:val="3"/>
        </w:rPr>
        <w:t>argumentos. </w:t>
      </w:r>
      <w:r>
        <w:rPr>
          <w:color w:val="231F20"/>
        </w:rPr>
        <w:t>Un </w:t>
      </w:r>
      <w:r>
        <w:rPr>
          <w:color w:val="231F20"/>
          <w:spacing w:val="3"/>
        </w:rPr>
        <w:t>argumento </w:t>
      </w:r>
      <w:r>
        <w:rPr>
          <w:color w:val="231F20"/>
          <w:spacing w:val="2"/>
        </w:rPr>
        <w:t>contiene razones que están </w:t>
      </w:r>
      <w:r>
        <w:rPr>
          <w:color w:val="231F20"/>
          <w:spacing w:val="3"/>
        </w:rPr>
        <w:t>co- </w:t>
      </w:r>
      <w:r>
        <w:rPr>
          <w:color w:val="231F20"/>
          <w:spacing w:val="2"/>
        </w:rPr>
        <w:t>nectadas </w:t>
      </w:r>
      <w:r>
        <w:rPr>
          <w:color w:val="231F20"/>
        </w:rPr>
        <w:t>de </w:t>
      </w:r>
      <w:r>
        <w:rPr>
          <w:color w:val="231F20"/>
          <w:spacing w:val="3"/>
        </w:rPr>
        <w:t>forma </w:t>
      </w:r>
      <w:r>
        <w:rPr>
          <w:color w:val="231F20"/>
          <w:spacing w:val="2"/>
        </w:rPr>
        <w:t>sistemática con </w:t>
      </w:r>
      <w:r>
        <w:rPr>
          <w:color w:val="231F20"/>
        </w:rPr>
        <w:t>la </w:t>
      </w:r>
      <w:r>
        <w:rPr>
          <w:color w:val="231F20"/>
          <w:spacing w:val="2"/>
        </w:rPr>
        <w:t>pretensión </w:t>
      </w:r>
      <w:r>
        <w:rPr>
          <w:color w:val="231F20"/>
        </w:rPr>
        <w:t>de </w:t>
      </w:r>
      <w:r>
        <w:rPr>
          <w:color w:val="231F20"/>
          <w:spacing w:val="2"/>
        </w:rPr>
        <w:t>validez </w:t>
      </w:r>
      <w:r>
        <w:rPr>
          <w:color w:val="231F20"/>
        </w:rPr>
        <w:t>de </w:t>
      </w:r>
      <w:r>
        <w:rPr>
          <w:color w:val="231F20"/>
          <w:spacing w:val="3"/>
        </w:rPr>
        <w:t>un enunciado problematizado” (Habermas, 2008a:38). </w:t>
      </w:r>
      <w:r>
        <w:rPr>
          <w:color w:val="231F20"/>
          <w:spacing w:val="2"/>
        </w:rPr>
        <w:t>Pero con esto </w:t>
      </w:r>
      <w:r>
        <w:rPr>
          <w:color w:val="231F20"/>
          <w:spacing w:val="3"/>
        </w:rPr>
        <w:t>pasamos </w:t>
      </w:r>
      <w:r>
        <w:rPr>
          <w:color w:val="231F20"/>
        </w:rPr>
        <w:t>de </w:t>
      </w:r>
      <w:r>
        <w:rPr>
          <w:color w:val="231F20"/>
          <w:spacing w:val="2"/>
        </w:rPr>
        <w:t>una </w:t>
      </w:r>
      <w:r>
        <w:rPr>
          <w:color w:val="231F20"/>
          <w:spacing w:val="3"/>
        </w:rPr>
        <w:t>comprensión </w:t>
      </w:r>
      <w:r>
        <w:rPr>
          <w:color w:val="231F20"/>
        </w:rPr>
        <w:t>de la </w:t>
      </w:r>
      <w:r>
        <w:rPr>
          <w:color w:val="231F20"/>
          <w:spacing w:val="2"/>
        </w:rPr>
        <w:t>acción comunicativa, </w:t>
      </w:r>
      <w:r>
        <w:rPr>
          <w:color w:val="231F20"/>
        </w:rPr>
        <w:t>en </w:t>
      </w:r>
      <w:r>
        <w:rPr>
          <w:color w:val="231F20"/>
          <w:spacing w:val="3"/>
        </w:rPr>
        <w:t>cuan- </w:t>
      </w:r>
      <w:r>
        <w:rPr>
          <w:color w:val="231F20"/>
        </w:rPr>
        <w:t>to </w:t>
      </w:r>
      <w:r>
        <w:rPr>
          <w:color w:val="231F20"/>
          <w:spacing w:val="2"/>
        </w:rPr>
        <w:t>interacción entre sujetos </w:t>
      </w:r>
      <w:r>
        <w:rPr>
          <w:color w:val="231F20"/>
        </w:rPr>
        <w:t>de un </w:t>
      </w:r>
      <w:r>
        <w:rPr>
          <w:color w:val="231F20"/>
          <w:spacing w:val="3"/>
        </w:rPr>
        <w:t>modo </w:t>
      </w:r>
      <w:r>
        <w:rPr>
          <w:color w:val="231F20"/>
          <w:spacing w:val="2"/>
        </w:rPr>
        <w:t>inicial, </w:t>
      </w:r>
      <w:r>
        <w:rPr>
          <w:color w:val="231F20"/>
        </w:rPr>
        <w:t>o </w:t>
      </w:r>
      <w:r>
        <w:rPr>
          <w:color w:val="231F20"/>
          <w:spacing w:val="2"/>
        </w:rPr>
        <w:t>primaria, </w:t>
      </w:r>
      <w:r>
        <w:rPr>
          <w:color w:val="231F20"/>
        </w:rPr>
        <w:t>a </w:t>
      </w:r>
      <w:r>
        <w:rPr>
          <w:color w:val="231F20"/>
          <w:spacing w:val="2"/>
        </w:rPr>
        <w:t>una </w:t>
      </w:r>
      <w:r>
        <w:rPr>
          <w:color w:val="231F20"/>
          <w:spacing w:val="3"/>
        </w:rPr>
        <w:t>forma </w:t>
      </w:r>
      <w:r>
        <w:rPr>
          <w:color w:val="231F20"/>
        </w:rPr>
        <w:t>de </w:t>
      </w:r>
      <w:r>
        <w:rPr>
          <w:color w:val="231F20"/>
          <w:spacing w:val="2"/>
        </w:rPr>
        <w:t>interacción </w:t>
      </w:r>
      <w:r>
        <w:rPr>
          <w:color w:val="231F20"/>
        </w:rPr>
        <w:t>de un </w:t>
      </w:r>
      <w:r>
        <w:rPr>
          <w:color w:val="231F20"/>
          <w:spacing w:val="2"/>
        </w:rPr>
        <w:t>orden superior </w:t>
      </w:r>
      <w:r>
        <w:rPr>
          <w:color w:val="231F20"/>
          <w:spacing w:val="3"/>
        </w:rPr>
        <w:t>(Habermas,  </w:t>
      </w:r>
      <w:r>
        <w:rPr>
          <w:color w:val="231F20"/>
          <w:spacing w:val="4"/>
        </w:rPr>
        <w:t> </w:t>
      </w:r>
      <w:r>
        <w:rPr>
          <w:color w:val="231F20"/>
          <w:spacing w:val="2"/>
        </w:rPr>
        <w:t>1989:121),</w:t>
      </w:r>
    </w:p>
    <w:p>
      <w:pPr>
        <w:spacing w:after="0" w:line="249" w:lineRule="auto"/>
        <w:jc w:val="both"/>
        <w:sectPr>
          <w:headerReference w:type="default" r:id="rId161"/>
          <w:footerReference w:type="default" r:id="rId162"/>
          <w:pgSz w:w="7830" w:h="11910"/>
          <w:pgMar w:header="0" w:footer="424" w:top="500" w:bottom="620" w:left="920" w:right="900"/>
          <w:pgNumType w:start="7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3"/>
        <w:jc w:val="both"/>
      </w:pPr>
      <w:r>
        <w:rPr>
          <w:color w:val="231F20"/>
          <w:spacing w:val="3"/>
        </w:rPr>
        <w:t>donde </w:t>
      </w:r>
      <w:r>
        <w:rPr>
          <w:color w:val="231F20"/>
        </w:rPr>
        <w:t>la </w:t>
      </w:r>
      <w:r>
        <w:rPr>
          <w:color w:val="231F20"/>
          <w:spacing w:val="2"/>
        </w:rPr>
        <w:t>teoría </w:t>
      </w:r>
      <w:r>
        <w:rPr>
          <w:color w:val="231F20"/>
        </w:rPr>
        <w:t>de la </w:t>
      </w:r>
      <w:r>
        <w:rPr>
          <w:color w:val="231F20"/>
          <w:spacing w:val="2"/>
        </w:rPr>
        <w:t>acción </w:t>
      </w:r>
      <w:r>
        <w:rPr>
          <w:color w:val="231F20"/>
          <w:spacing w:val="3"/>
        </w:rPr>
        <w:t>comunicativa </w:t>
      </w:r>
      <w:r>
        <w:rPr>
          <w:color w:val="231F20"/>
        </w:rPr>
        <w:t>es </w:t>
      </w:r>
      <w:r>
        <w:rPr>
          <w:color w:val="231F20"/>
          <w:spacing w:val="2"/>
        </w:rPr>
        <w:t>ampliada </w:t>
      </w:r>
      <w:r>
        <w:rPr>
          <w:color w:val="231F20"/>
        </w:rPr>
        <w:t>a </w:t>
      </w:r>
      <w:r>
        <w:rPr>
          <w:color w:val="231F20"/>
          <w:spacing w:val="3"/>
        </w:rPr>
        <w:t>“sujetos   </w:t>
      </w:r>
      <w:r>
        <w:rPr>
          <w:color w:val="231F20"/>
        </w:rPr>
        <w:t>de </w:t>
      </w:r>
      <w:r>
        <w:rPr>
          <w:color w:val="231F20"/>
          <w:spacing w:val="2"/>
        </w:rPr>
        <w:t>gran </w:t>
      </w:r>
      <w:r>
        <w:rPr>
          <w:color w:val="231F20"/>
          <w:spacing w:val="3"/>
        </w:rPr>
        <w:t>formato” </w:t>
      </w:r>
      <w:r>
        <w:rPr>
          <w:color w:val="231F20"/>
        </w:rPr>
        <w:t>o </w:t>
      </w:r>
      <w:r>
        <w:rPr>
          <w:color w:val="231F20"/>
          <w:spacing w:val="2"/>
        </w:rPr>
        <w:t>colectivos </w:t>
      </w:r>
      <w:r>
        <w:rPr>
          <w:color w:val="231F20"/>
          <w:spacing w:val="3"/>
        </w:rPr>
        <w:t>podemos </w:t>
      </w:r>
      <w:r>
        <w:rPr>
          <w:color w:val="231F20"/>
          <w:spacing w:val="2"/>
        </w:rPr>
        <w:t>decir. </w:t>
      </w:r>
      <w:r>
        <w:rPr>
          <w:color w:val="231F20"/>
          <w:spacing w:val="3"/>
        </w:rPr>
        <w:t>Asimismo, con Habermas </w:t>
      </w:r>
      <w:r>
        <w:rPr>
          <w:color w:val="231F20"/>
        </w:rPr>
        <w:t>se </w:t>
      </w:r>
      <w:r>
        <w:rPr>
          <w:color w:val="231F20"/>
          <w:spacing w:val="2"/>
        </w:rPr>
        <w:t>plantea </w:t>
      </w:r>
      <w:r>
        <w:rPr>
          <w:color w:val="231F20"/>
        </w:rPr>
        <w:t>el </w:t>
      </w:r>
      <w:r>
        <w:rPr>
          <w:color w:val="231F20"/>
          <w:spacing w:val="2"/>
        </w:rPr>
        <w:t>análisis del discurso </w:t>
      </w:r>
      <w:r>
        <w:rPr>
          <w:color w:val="231F20"/>
        </w:rPr>
        <w:t>a </w:t>
      </w:r>
      <w:r>
        <w:rPr>
          <w:color w:val="231F20"/>
          <w:spacing w:val="2"/>
        </w:rPr>
        <w:t>partir </w:t>
      </w:r>
      <w:r>
        <w:rPr>
          <w:color w:val="231F20"/>
        </w:rPr>
        <w:t>de las </w:t>
      </w:r>
      <w:r>
        <w:rPr>
          <w:color w:val="231F20"/>
          <w:spacing w:val="2"/>
        </w:rPr>
        <w:t>formas </w:t>
      </w:r>
      <w:r>
        <w:rPr>
          <w:color w:val="231F20"/>
        </w:rPr>
        <w:t>de </w:t>
      </w:r>
      <w:r>
        <w:rPr>
          <w:color w:val="231F20"/>
          <w:spacing w:val="3"/>
        </w:rPr>
        <w:t>argumentación </w:t>
      </w:r>
      <w:r>
        <w:rPr>
          <w:color w:val="231F20"/>
        </w:rPr>
        <w:t>y </w:t>
      </w:r>
      <w:r>
        <w:rPr>
          <w:color w:val="231F20"/>
          <w:spacing w:val="2"/>
        </w:rPr>
        <w:t>sus </w:t>
      </w:r>
      <w:r>
        <w:rPr>
          <w:color w:val="231F20"/>
          <w:spacing w:val="3"/>
        </w:rPr>
        <w:t>correspondientes pretensiones </w:t>
      </w:r>
      <w:r>
        <w:rPr>
          <w:color w:val="231F20"/>
        </w:rPr>
        <w:t>de </w:t>
      </w:r>
      <w:r>
        <w:rPr>
          <w:color w:val="231F20"/>
          <w:spacing w:val="2"/>
        </w:rPr>
        <w:t>validez. De </w:t>
      </w:r>
      <w:r>
        <w:rPr>
          <w:color w:val="231F20"/>
        </w:rPr>
        <w:t>allí </w:t>
      </w:r>
      <w:r>
        <w:rPr>
          <w:color w:val="231F20"/>
          <w:spacing w:val="2"/>
        </w:rPr>
        <w:t>que, entonces </w:t>
      </w:r>
      <w:r>
        <w:rPr>
          <w:color w:val="231F20"/>
        </w:rPr>
        <w:t>el </w:t>
      </w:r>
      <w:r>
        <w:rPr>
          <w:color w:val="231F20"/>
          <w:spacing w:val="2"/>
        </w:rPr>
        <w:t>discurso, para </w:t>
      </w:r>
      <w:r>
        <w:rPr>
          <w:color w:val="231F20"/>
          <w:spacing w:val="3"/>
        </w:rPr>
        <w:t>Habermas, </w:t>
      </w:r>
      <w:r>
        <w:rPr>
          <w:color w:val="231F20"/>
          <w:spacing w:val="2"/>
        </w:rPr>
        <w:t>constituye una </w:t>
      </w:r>
      <w:r>
        <w:rPr>
          <w:color w:val="231F20"/>
          <w:spacing w:val="3"/>
        </w:rPr>
        <w:t>forma </w:t>
      </w:r>
      <w:r>
        <w:rPr>
          <w:color w:val="231F20"/>
        </w:rPr>
        <w:t>de </w:t>
      </w:r>
      <w:r>
        <w:rPr>
          <w:color w:val="231F20"/>
          <w:spacing w:val="3"/>
        </w:rPr>
        <w:t>problematizar pretensiones </w:t>
      </w:r>
      <w:r>
        <w:rPr>
          <w:color w:val="231F20"/>
        </w:rPr>
        <w:t>de </w:t>
      </w:r>
      <w:r>
        <w:rPr>
          <w:color w:val="231F20"/>
          <w:spacing w:val="2"/>
        </w:rPr>
        <w:t>validez </w:t>
      </w:r>
      <w:r>
        <w:rPr>
          <w:color w:val="231F20"/>
          <w:spacing w:val="3"/>
        </w:rPr>
        <w:t>(Habermas, </w:t>
      </w:r>
      <w:r>
        <w:rPr>
          <w:color w:val="231F20"/>
          <w:spacing w:val="2"/>
        </w:rPr>
        <w:t>1985:78), donde </w:t>
      </w:r>
      <w:r>
        <w:rPr>
          <w:color w:val="231F20"/>
        </w:rPr>
        <w:t>lo que se </w:t>
      </w:r>
      <w:r>
        <w:rPr>
          <w:color w:val="231F20"/>
          <w:spacing w:val="2"/>
        </w:rPr>
        <w:t>examina son: </w:t>
      </w:r>
      <w:r>
        <w:rPr>
          <w:color w:val="231F20"/>
        </w:rPr>
        <w:t>las </w:t>
      </w:r>
      <w:r>
        <w:rPr>
          <w:color w:val="231F20"/>
          <w:spacing w:val="2"/>
        </w:rPr>
        <w:t>razones que </w:t>
      </w:r>
      <w:r>
        <w:rPr>
          <w:color w:val="231F20"/>
          <w:spacing w:val="3"/>
        </w:rPr>
        <w:t>funda- </w:t>
      </w:r>
      <w:r>
        <w:rPr>
          <w:color w:val="231F20"/>
          <w:spacing w:val="2"/>
        </w:rPr>
        <w:t>mentan </w:t>
      </w:r>
      <w:r>
        <w:rPr>
          <w:color w:val="231F20"/>
        </w:rPr>
        <w:t>las </w:t>
      </w:r>
      <w:r>
        <w:rPr>
          <w:color w:val="231F20"/>
          <w:spacing w:val="2"/>
        </w:rPr>
        <w:t>pretensiones </w:t>
      </w:r>
      <w:r>
        <w:rPr>
          <w:color w:val="231F20"/>
        </w:rPr>
        <w:t>de </w:t>
      </w:r>
      <w:r>
        <w:rPr>
          <w:color w:val="231F20"/>
          <w:spacing w:val="2"/>
        </w:rPr>
        <w:t>validez, como ocurre </w:t>
      </w:r>
      <w:r>
        <w:rPr>
          <w:color w:val="231F20"/>
        </w:rPr>
        <w:t>en el </w:t>
      </w:r>
      <w:r>
        <w:rPr>
          <w:color w:val="231F20"/>
          <w:spacing w:val="2"/>
        </w:rPr>
        <w:t>discurso teórico; </w:t>
      </w:r>
      <w:r>
        <w:rPr>
          <w:color w:val="231F20"/>
        </w:rPr>
        <w:t>las </w:t>
      </w:r>
      <w:r>
        <w:rPr>
          <w:color w:val="231F20"/>
          <w:spacing w:val="2"/>
        </w:rPr>
        <w:t>razones </w:t>
      </w:r>
      <w:r>
        <w:rPr>
          <w:color w:val="231F20"/>
        </w:rPr>
        <w:t>que </w:t>
      </w:r>
      <w:r>
        <w:rPr>
          <w:color w:val="231F20"/>
          <w:spacing w:val="3"/>
        </w:rPr>
        <w:t>fundamentan </w:t>
      </w:r>
      <w:r>
        <w:rPr>
          <w:color w:val="231F20"/>
        </w:rPr>
        <w:t>la </w:t>
      </w:r>
      <w:r>
        <w:rPr>
          <w:color w:val="231F20"/>
          <w:spacing w:val="2"/>
        </w:rPr>
        <w:t>corrección </w:t>
      </w:r>
      <w:r>
        <w:rPr>
          <w:color w:val="231F20"/>
        </w:rPr>
        <w:t>de </w:t>
      </w:r>
      <w:r>
        <w:rPr>
          <w:color w:val="231F20"/>
          <w:spacing w:val="2"/>
        </w:rPr>
        <w:t>una acción   </w:t>
      </w:r>
      <w:r>
        <w:rPr>
          <w:color w:val="231F20"/>
        </w:rPr>
        <w:t>o </w:t>
      </w:r>
      <w:r>
        <w:rPr>
          <w:color w:val="231F20"/>
          <w:spacing w:val="2"/>
        </w:rPr>
        <w:t>una </w:t>
      </w:r>
      <w:r>
        <w:rPr>
          <w:color w:val="231F20"/>
          <w:spacing w:val="3"/>
        </w:rPr>
        <w:t>norma </w:t>
      </w:r>
      <w:r>
        <w:rPr>
          <w:color w:val="231F20"/>
        </w:rPr>
        <w:t>de </w:t>
      </w:r>
      <w:r>
        <w:rPr>
          <w:color w:val="231F20"/>
          <w:spacing w:val="2"/>
        </w:rPr>
        <w:t>acción, </w:t>
      </w:r>
      <w:r>
        <w:rPr>
          <w:color w:val="231F20"/>
          <w:spacing w:val="3"/>
        </w:rPr>
        <w:t>como </w:t>
      </w:r>
      <w:r>
        <w:rPr>
          <w:color w:val="231F20"/>
        </w:rPr>
        <w:t>se </w:t>
      </w:r>
      <w:r>
        <w:rPr>
          <w:color w:val="231F20"/>
          <w:spacing w:val="2"/>
        </w:rPr>
        <w:t>procede </w:t>
      </w:r>
      <w:r>
        <w:rPr>
          <w:color w:val="231F20"/>
        </w:rPr>
        <w:t>en el </w:t>
      </w:r>
      <w:r>
        <w:rPr>
          <w:color w:val="231F20"/>
          <w:spacing w:val="2"/>
        </w:rPr>
        <w:t>discurso práctico;   </w:t>
      </w:r>
      <w:r>
        <w:rPr>
          <w:color w:val="231F20"/>
        </w:rPr>
        <w:t>en </w:t>
      </w:r>
      <w:r>
        <w:rPr>
          <w:color w:val="231F20"/>
          <w:spacing w:val="2"/>
        </w:rPr>
        <w:t>tanto </w:t>
      </w:r>
      <w:r>
        <w:rPr>
          <w:color w:val="231F20"/>
        </w:rPr>
        <w:t>la </w:t>
      </w:r>
      <w:r>
        <w:rPr>
          <w:color w:val="231F20"/>
          <w:spacing w:val="2"/>
        </w:rPr>
        <w:t>inteligibilidad </w:t>
      </w:r>
      <w:r>
        <w:rPr>
          <w:color w:val="231F20"/>
        </w:rPr>
        <w:t>de la </w:t>
      </w:r>
      <w:r>
        <w:rPr>
          <w:color w:val="231F20"/>
          <w:spacing w:val="2"/>
        </w:rPr>
        <w:t>acción, </w:t>
      </w:r>
      <w:r>
        <w:rPr>
          <w:color w:val="231F20"/>
        </w:rPr>
        <w:t>en </w:t>
      </w:r>
      <w:r>
        <w:rPr>
          <w:color w:val="231F20"/>
          <w:spacing w:val="2"/>
        </w:rPr>
        <w:t>cuanto </w:t>
      </w:r>
      <w:r>
        <w:rPr>
          <w:color w:val="231F20"/>
          <w:spacing w:val="3"/>
        </w:rPr>
        <w:t>pretensión, </w:t>
      </w:r>
      <w:r>
        <w:rPr>
          <w:color w:val="231F20"/>
          <w:spacing w:val="2"/>
        </w:rPr>
        <w:t>úni- </w:t>
      </w:r>
      <w:r>
        <w:rPr>
          <w:color w:val="231F20"/>
          <w:spacing w:val="3"/>
        </w:rPr>
        <w:t>camente </w:t>
      </w:r>
      <w:r>
        <w:rPr>
          <w:color w:val="231F20"/>
        </w:rPr>
        <w:t>es </w:t>
      </w:r>
      <w:r>
        <w:rPr>
          <w:color w:val="231F20"/>
          <w:spacing w:val="2"/>
        </w:rPr>
        <w:t>una condición para que exista </w:t>
      </w:r>
      <w:r>
        <w:rPr>
          <w:color w:val="231F20"/>
          <w:spacing w:val="3"/>
        </w:rPr>
        <w:t>comunicación </w:t>
      </w:r>
      <w:r>
        <w:rPr>
          <w:color w:val="231F20"/>
        </w:rPr>
        <w:t>y es a lo que </w:t>
      </w:r>
      <w:r>
        <w:rPr>
          <w:color w:val="231F20"/>
          <w:spacing w:val="3"/>
        </w:rPr>
        <w:t>Habermas denomina </w:t>
      </w:r>
      <w:r>
        <w:rPr>
          <w:color w:val="231F20"/>
          <w:spacing w:val="2"/>
        </w:rPr>
        <w:t>discurso explicativo </w:t>
      </w:r>
      <w:r>
        <w:rPr>
          <w:color w:val="231F20"/>
        </w:rPr>
        <w:t>y </w:t>
      </w:r>
      <w:r>
        <w:rPr>
          <w:color w:val="231F20"/>
          <w:spacing w:val="3"/>
        </w:rPr>
        <w:t>supone, también, </w:t>
      </w:r>
      <w:r>
        <w:rPr>
          <w:color w:val="231F20"/>
        </w:rPr>
        <w:t>un </w:t>
      </w:r>
      <w:r>
        <w:rPr>
          <w:color w:val="231F20"/>
          <w:spacing w:val="3"/>
        </w:rPr>
        <w:t>reconocimiento </w:t>
      </w:r>
      <w:r>
        <w:rPr>
          <w:color w:val="231F20"/>
          <w:spacing w:val="2"/>
        </w:rPr>
        <w:t>recíproco </w:t>
      </w:r>
      <w:r>
        <w:rPr>
          <w:color w:val="231F20"/>
        </w:rPr>
        <w:t>de las </w:t>
      </w:r>
      <w:r>
        <w:rPr>
          <w:color w:val="231F20"/>
          <w:spacing w:val="3"/>
        </w:rPr>
        <w:t>pretensiones </w:t>
      </w:r>
      <w:r>
        <w:rPr>
          <w:color w:val="231F20"/>
        </w:rPr>
        <w:t>de </w:t>
      </w:r>
      <w:r>
        <w:rPr>
          <w:color w:val="231F20"/>
          <w:spacing w:val="2"/>
        </w:rPr>
        <w:t>validez; </w:t>
      </w:r>
      <w:r>
        <w:rPr>
          <w:color w:val="231F20"/>
        </w:rPr>
        <w:t>en </w:t>
      </w:r>
      <w:r>
        <w:rPr>
          <w:color w:val="231F20"/>
          <w:spacing w:val="2"/>
        </w:rPr>
        <w:t>tanto que </w:t>
      </w:r>
      <w:r>
        <w:rPr>
          <w:color w:val="231F20"/>
        </w:rPr>
        <w:t>la </w:t>
      </w:r>
      <w:r>
        <w:rPr>
          <w:color w:val="231F20"/>
          <w:spacing w:val="2"/>
        </w:rPr>
        <w:t>veracidad </w:t>
      </w:r>
      <w:r>
        <w:rPr>
          <w:color w:val="231F20"/>
        </w:rPr>
        <w:t>de </w:t>
      </w:r>
      <w:r>
        <w:rPr>
          <w:color w:val="231F20"/>
          <w:spacing w:val="2"/>
        </w:rPr>
        <w:t>una acción, </w:t>
      </w:r>
      <w:r>
        <w:rPr>
          <w:color w:val="231F20"/>
          <w:spacing w:val="3"/>
        </w:rPr>
        <w:t>como pretensión, </w:t>
      </w:r>
      <w:r>
        <w:rPr>
          <w:color w:val="231F20"/>
          <w:spacing w:val="2"/>
        </w:rPr>
        <w:t>nos </w:t>
      </w:r>
      <w:r>
        <w:rPr>
          <w:color w:val="231F20"/>
        </w:rPr>
        <w:t>dirá </w:t>
      </w:r>
      <w:r>
        <w:rPr>
          <w:color w:val="231F20"/>
          <w:spacing w:val="3"/>
        </w:rPr>
        <w:t>Habermas, </w:t>
      </w:r>
      <w:r>
        <w:rPr>
          <w:color w:val="231F20"/>
        </w:rPr>
        <w:t>no se </w:t>
      </w:r>
      <w:r>
        <w:rPr>
          <w:color w:val="231F20"/>
          <w:spacing w:val="2"/>
        </w:rPr>
        <w:t>dirime discursivamente </w:t>
      </w:r>
      <w:r>
        <w:rPr>
          <w:color w:val="231F20"/>
        </w:rPr>
        <w:t>sino en las </w:t>
      </w:r>
      <w:r>
        <w:rPr>
          <w:color w:val="231F20"/>
          <w:spacing w:val="2"/>
        </w:rPr>
        <w:t>propias ac- ciones, </w:t>
      </w:r>
      <w:r>
        <w:rPr>
          <w:color w:val="231F20"/>
        </w:rPr>
        <w:t>es allí </w:t>
      </w:r>
      <w:r>
        <w:rPr>
          <w:color w:val="231F20"/>
          <w:spacing w:val="3"/>
        </w:rPr>
        <w:t>donde </w:t>
      </w:r>
      <w:r>
        <w:rPr>
          <w:color w:val="231F20"/>
        </w:rPr>
        <w:t>se </w:t>
      </w:r>
      <w:r>
        <w:rPr>
          <w:color w:val="231F20"/>
          <w:spacing w:val="2"/>
        </w:rPr>
        <w:t>expresa </w:t>
      </w:r>
      <w:r>
        <w:rPr>
          <w:color w:val="231F20"/>
        </w:rPr>
        <w:t>la </w:t>
      </w:r>
      <w:r>
        <w:rPr>
          <w:color w:val="231F20"/>
          <w:spacing w:val="2"/>
        </w:rPr>
        <w:t>sinceridad </w:t>
      </w:r>
      <w:r>
        <w:rPr>
          <w:color w:val="231F20"/>
        </w:rPr>
        <w:t>de </w:t>
      </w:r>
      <w:r>
        <w:rPr>
          <w:color w:val="231F20"/>
          <w:spacing w:val="2"/>
        </w:rPr>
        <w:t>los actos </w:t>
      </w:r>
      <w:r>
        <w:rPr>
          <w:color w:val="231F20"/>
        </w:rPr>
        <w:t>de </w:t>
      </w:r>
      <w:r>
        <w:rPr>
          <w:color w:val="231F20"/>
          <w:spacing w:val="2"/>
        </w:rPr>
        <w:t>habla </w:t>
      </w:r>
      <w:r>
        <w:rPr>
          <w:color w:val="231F20"/>
          <w:spacing w:val="3"/>
        </w:rPr>
        <w:t>(Habermas, 1987). </w:t>
      </w:r>
      <w:r>
        <w:rPr>
          <w:color w:val="231F20"/>
        </w:rPr>
        <w:t>Lo </w:t>
      </w:r>
      <w:r>
        <w:rPr>
          <w:color w:val="231F20"/>
          <w:spacing w:val="2"/>
        </w:rPr>
        <w:t>que causa cierta duda </w:t>
      </w:r>
      <w:r>
        <w:rPr>
          <w:color w:val="231F20"/>
        </w:rPr>
        <w:t>es </w:t>
      </w:r>
      <w:r>
        <w:rPr>
          <w:color w:val="231F20"/>
          <w:spacing w:val="2"/>
        </w:rPr>
        <w:t>que para </w:t>
      </w:r>
      <w:r>
        <w:rPr>
          <w:color w:val="231F20"/>
          <w:spacing w:val="3"/>
        </w:rPr>
        <w:t>Haber- </w:t>
      </w:r>
      <w:r>
        <w:rPr>
          <w:color w:val="231F20"/>
          <w:spacing w:val="2"/>
        </w:rPr>
        <w:t>mas </w:t>
      </w:r>
      <w:r>
        <w:rPr>
          <w:color w:val="231F20"/>
        </w:rPr>
        <w:t>el </w:t>
      </w:r>
      <w:r>
        <w:rPr>
          <w:color w:val="231F20"/>
          <w:spacing w:val="2"/>
        </w:rPr>
        <w:t>discurso siempre procede como “una situación ideal </w:t>
      </w:r>
      <w:r>
        <w:rPr>
          <w:color w:val="231F20"/>
        </w:rPr>
        <w:t>de </w:t>
      </w:r>
      <w:r>
        <w:rPr>
          <w:color w:val="231F20"/>
          <w:spacing w:val="2"/>
        </w:rPr>
        <w:t>habla” </w:t>
      </w:r>
      <w:r>
        <w:rPr>
          <w:color w:val="231F20"/>
          <w:spacing w:val="3"/>
        </w:rPr>
        <w:t>(Habermas, 1989:153) </w:t>
      </w:r>
      <w:r>
        <w:rPr>
          <w:color w:val="231F20"/>
        </w:rPr>
        <w:t>en </w:t>
      </w:r>
      <w:r>
        <w:rPr>
          <w:color w:val="231F20"/>
          <w:spacing w:val="2"/>
        </w:rPr>
        <w:t>que </w:t>
      </w:r>
      <w:r>
        <w:rPr>
          <w:color w:val="231F20"/>
        </w:rPr>
        <w:t>se </w:t>
      </w:r>
      <w:r>
        <w:rPr>
          <w:color w:val="231F20"/>
          <w:spacing w:val="2"/>
        </w:rPr>
        <w:t>dirimen </w:t>
      </w:r>
      <w:r>
        <w:rPr>
          <w:color w:val="231F20"/>
          <w:spacing w:val="3"/>
        </w:rPr>
        <w:t>pretensiones </w:t>
      </w:r>
      <w:r>
        <w:rPr>
          <w:color w:val="231F20"/>
        </w:rPr>
        <w:t>de </w:t>
      </w:r>
      <w:r>
        <w:rPr>
          <w:color w:val="231F20"/>
          <w:spacing w:val="2"/>
        </w:rPr>
        <w:t>validez, cuando </w:t>
      </w:r>
      <w:r>
        <w:rPr>
          <w:color w:val="231F20"/>
        </w:rPr>
        <w:t>en </w:t>
      </w:r>
      <w:r>
        <w:rPr>
          <w:color w:val="231F20"/>
          <w:spacing w:val="2"/>
        </w:rPr>
        <w:t>los </w:t>
      </w:r>
      <w:r>
        <w:rPr>
          <w:color w:val="231F20"/>
          <w:spacing w:val="3"/>
        </w:rPr>
        <w:t>contextos </w:t>
      </w:r>
      <w:r>
        <w:rPr>
          <w:color w:val="231F20"/>
          <w:spacing w:val="2"/>
        </w:rPr>
        <w:t>histórico-sociales </w:t>
      </w:r>
      <w:r>
        <w:rPr>
          <w:color w:val="231F20"/>
          <w:spacing w:val="3"/>
        </w:rPr>
        <w:t>concretos esas pretensiones </w:t>
      </w:r>
      <w:r>
        <w:rPr>
          <w:color w:val="231F20"/>
        </w:rPr>
        <w:t>de </w:t>
      </w:r>
      <w:r>
        <w:rPr>
          <w:color w:val="231F20"/>
          <w:spacing w:val="2"/>
        </w:rPr>
        <w:t>validez quedan aunadas </w:t>
      </w:r>
      <w:r>
        <w:rPr>
          <w:color w:val="231F20"/>
        </w:rPr>
        <w:t>a la </w:t>
      </w:r>
      <w:r>
        <w:rPr>
          <w:color w:val="231F20"/>
          <w:spacing w:val="2"/>
        </w:rPr>
        <w:t>justificación </w:t>
      </w:r>
      <w:r>
        <w:rPr>
          <w:color w:val="231F20"/>
        </w:rPr>
        <w:t>de </w:t>
      </w:r>
      <w:r>
        <w:rPr>
          <w:color w:val="231F20"/>
          <w:spacing w:val="4"/>
        </w:rPr>
        <w:t>in- </w:t>
      </w:r>
      <w:r>
        <w:rPr>
          <w:color w:val="231F20"/>
          <w:spacing w:val="2"/>
        </w:rPr>
        <w:t>tereses</w:t>
      </w:r>
      <w:r>
        <w:rPr>
          <w:color w:val="231F20"/>
          <w:spacing w:val="-7"/>
        </w:rPr>
        <w:t> </w:t>
      </w:r>
      <w:r>
        <w:rPr>
          <w:color w:val="231F20"/>
          <w:spacing w:val="2"/>
        </w:rPr>
        <w:t>específicos</w:t>
      </w:r>
      <w:r>
        <w:rPr>
          <w:color w:val="231F20"/>
          <w:spacing w:val="-7"/>
        </w:rPr>
        <w:t> </w:t>
      </w:r>
      <w:r>
        <w:rPr>
          <w:color w:val="231F20"/>
        </w:rPr>
        <w:t>de</w:t>
      </w:r>
      <w:r>
        <w:rPr>
          <w:color w:val="231F20"/>
          <w:spacing w:val="-7"/>
        </w:rPr>
        <w:t> </w:t>
      </w:r>
      <w:r>
        <w:rPr>
          <w:color w:val="231F20"/>
          <w:spacing w:val="3"/>
        </w:rPr>
        <w:t>grupos</w:t>
      </w:r>
      <w:r>
        <w:rPr>
          <w:color w:val="231F20"/>
          <w:spacing w:val="-7"/>
        </w:rPr>
        <w:t> </w:t>
      </w:r>
      <w:r>
        <w:rPr>
          <w:color w:val="231F20"/>
        </w:rPr>
        <w:t>y</w:t>
      </w:r>
      <w:r>
        <w:rPr>
          <w:color w:val="231F20"/>
          <w:spacing w:val="-7"/>
        </w:rPr>
        <w:t> </w:t>
      </w:r>
      <w:r>
        <w:rPr>
          <w:color w:val="231F20"/>
          <w:spacing w:val="2"/>
        </w:rPr>
        <w:t>clases</w:t>
      </w:r>
      <w:r>
        <w:rPr>
          <w:color w:val="231F20"/>
          <w:spacing w:val="-7"/>
        </w:rPr>
        <w:t> </w:t>
      </w:r>
      <w:r>
        <w:rPr>
          <w:color w:val="231F20"/>
          <w:spacing w:val="2"/>
        </w:rPr>
        <w:t>sociales.</w:t>
      </w:r>
    </w:p>
    <w:p>
      <w:pPr>
        <w:pStyle w:val="BodyText"/>
        <w:spacing w:line="226" w:lineRule="exact"/>
        <w:ind w:left="102" w:right="56" w:firstLine="284"/>
      </w:pPr>
      <w:r>
        <w:rPr>
          <w:color w:val="231F20"/>
        </w:rPr>
        <w:t>Cabe señalar que Habermas, también ofrece una clasificación  de</w:t>
      </w:r>
    </w:p>
    <w:p>
      <w:pPr>
        <w:pStyle w:val="BodyText"/>
        <w:spacing w:line="242" w:lineRule="auto" w:before="8"/>
        <w:ind w:left="102" w:right="116"/>
        <w:jc w:val="both"/>
      </w:pPr>
      <w:r>
        <w:rPr>
          <w:color w:val="231F20"/>
        </w:rPr>
        <w:t>las pretensiones de validez vinculándolas a los actos de habla, por una parte y a dos formas de crítica, del modo siguiente:</w:t>
      </w:r>
    </w:p>
    <w:p>
      <w:pPr>
        <w:pStyle w:val="ListParagraph"/>
        <w:numPr>
          <w:ilvl w:val="0"/>
          <w:numId w:val="3"/>
        </w:numPr>
        <w:tabs>
          <w:tab w:pos="388" w:val="left" w:leader="none"/>
        </w:tabs>
        <w:spacing w:line="244" w:lineRule="auto" w:before="6" w:after="0"/>
        <w:ind w:left="102" w:right="119" w:firstLine="0"/>
        <w:jc w:val="both"/>
        <w:rPr>
          <w:sz w:val="21"/>
        </w:rPr>
      </w:pPr>
      <w:r>
        <w:rPr>
          <w:color w:val="231F20"/>
          <w:sz w:val="21"/>
        </w:rPr>
        <w:t>Acto de habla constatativo (afirmar, narrar, referir, explicar, predecir, negar, impugnar), el hablante pretende que  su  enunciado es</w:t>
      </w:r>
      <w:r>
        <w:rPr>
          <w:color w:val="231F20"/>
          <w:spacing w:val="4"/>
          <w:sz w:val="21"/>
        </w:rPr>
        <w:t> </w:t>
      </w:r>
      <w:r>
        <w:rPr>
          <w:color w:val="231F20"/>
          <w:sz w:val="21"/>
        </w:rPr>
        <w:t>verdadero.</w:t>
      </w:r>
    </w:p>
    <w:p>
      <w:pPr>
        <w:pStyle w:val="ListParagraph"/>
        <w:numPr>
          <w:ilvl w:val="0"/>
          <w:numId w:val="3"/>
        </w:numPr>
        <w:tabs>
          <w:tab w:pos="336" w:val="left" w:leader="none"/>
        </w:tabs>
        <w:spacing w:line="247" w:lineRule="auto" w:before="0" w:after="0"/>
        <w:ind w:left="102" w:right="117" w:firstLine="0"/>
        <w:jc w:val="both"/>
        <w:rPr>
          <w:sz w:val="21"/>
        </w:rPr>
      </w:pPr>
      <w:r>
        <w:rPr>
          <w:color w:val="231F20"/>
          <w:sz w:val="21"/>
        </w:rPr>
        <w:t>Acto de habla regulativo (mandatos, exigencias, amonestaciones, excusas, recomendaciones, consejos), el hablante pretende que lo enunciado sea</w:t>
      </w:r>
      <w:r>
        <w:rPr>
          <w:color w:val="231F20"/>
          <w:spacing w:val="22"/>
          <w:sz w:val="21"/>
        </w:rPr>
        <w:t> </w:t>
      </w:r>
      <w:r>
        <w:rPr>
          <w:color w:val="231F20"/>
          <w:sz w:val="21"/>
        </w:rPr>
        <w:t>correcto.</w:t>
      </w:r>
    </w:p>
    <w:p>
      <w:pPr>
        <w:pStyle w:val="ListParagraph"/>
        <w:numPr>
          <w:ilvl w:val="0"/>
          <w:numId w:val="3"/>
        </w:numPr>
        <w:tabs>
          <w:tab w:pos="335" w:val="left" w:leader="none"/>
        </w:tabs>
        <w:spacing w:line="244" w:lineRule="auto" w:before="0" w:after="0"/>
        <w:ind w:left="102" w:right="116" w:firstLine="0"/>
        <w:jc w:val="both"/>
        <w:rPr>
          <w:sz w:val="21"/>
        </w:rPr>
      </w:pPr>
      <w:r>
        <w:rPr>
          <w:color w:val="231F20"/>
          <w:sz w:val="21"/>
        </w:rPr>
        <w:t>Acto de habla representativo (revelar, descubrir, admitir, ocultar, engañar, despistar, expresar), el hablante pretende que lo enunciado sea sincero o</w:t>
      </w:r>
      <w:r>
        <w:rPr>
          <w:color w:val="231F20"/>
          <w:spacing w:val="-3"/>
          <w:sz w:val="21"/>
        </w:rPr>
        <w:t> </w:t>
      </w:r>
      <w:r>
        <w:rPr>
          <w:color w:val="231F20"/>
          <w:sz w:val="21"/>
        </w:rPr>
        <w:t>veraz.</w:t>
      </w:r>
    </w:p>
    <w:p>
      <w:pPr>
        <w:pStyle w:val="ListParagraph"/>
        <w:numPr>
          <w:ilvl w:val="0"/>
          <w:numId w:val="3"/>
        </w:numPr>
        <w:tabs>
          <w:tab w:pos="325" w:val="left" w:leader="none"/>
        </w:tabs>
        <w:spacing w:line="240" w:lineRule="auto" w:before="3" w:after="0"/>
        <w:ind w:left="324" w:right="0" w:hanging="222"/>
        <w:jc w:val="both"/>
        <w:rPr>
          <w:sz w:val="21"/>
        </w:rPr>
      </w:pPr>
      <w:r>
        <w:rPr>
          <w:color w:val="231F20"/>
          <w:sz w:val="21"/>
        </w:rPr>
        <w:t>Crítica estética: pretensión de adecuación a estándares de</w:t>
      </w:r>
      <w:r>
        <w:rPr>
          <w:color w:val="231F20"/>
          <w:spacing w:val="-12"/>
          <w:sz w:val="21"/>
        </w:rPr>
        <w:t> </w:t>
      </w:r>
      <w:r>
        <w:rPr>
          <w:color w:val="231F20"/>
          <w:sz w:val="21"/>
        </w:rPr>
        <w:t>valor</w:t>
      </w:r>
    </w:p>
    <w:p>
      <w:pPr>
        <w:pStyle w:val="ListParagraph"/>
        <w:numPr>
          <w:ilvl w:val="0"/>
          <w:numId w:val="3"/>
        </w:numPr>
        <w:tabs>
          <w:tab w:pos="450" w:val="left" w:leader="none"/>
        </w:tabs>
        <w:spacing w:line="247" w:lineRule="auto" w:before="3" w:after="0"/>
        <w:ind w:left="102" w:right="118" w:firstLine="0"/>
        <w:jc w:val="both"/>
        <w:rPr>
          <w:sz w:val="21"/>
        </w:rPr>
      </w:pPr>
      <w:r>
        <w:rPr>
          <w:color w:val="231F20"/>
          <w:sz w:val="21"/>
        </w:rPr>
        <w:t>Crítica terapéutica: enunciados expresivos: pretensión de veracidad o</w:t>
      </w:r>
      <w:r>
        <w:rPr>
          <w:color w:val="231F20"/>
          <w:spacing w:val="-14"/>
          <w:sz w:val="21"/>
        </w:rPr>
        <w:t> </w:t>
      </w:r>
      <w:r>
        <w:rPr>
          <w:color w:val="231F20"/>
          <w:sz w:val="21"/>
        </w:rPr>
        <w:t>sinceridad</w:t>
      </w:r>
    </w:p>
    <w:p>
      <w:pPr>
        <w:spacing w:after="0" w:line="247" w:lineRule="auto"/>
        <w:jc w:val="both"/>
        <w:rPr>
          <w:sz w:val="21"/>
        </w:rPr>
        <w:sectPr>
          <w:headerReference w:type="default" r:id="rId163"/>
          <w:footerReference w:type="default" r:id="rId164"/>
          <w:pgSz w:w="7830" w:h="11910"/>
          <w:pgMar w:header="0" w:footer="424" w:top="500" w:bottom="620" w:left="920" w:right="900"/>
          <w:pgNumType w:start="7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9" w:firstLine="284"/>
        <w:jc w:val="both"/>
      </w:pPr>
      <w:r>
        <w:rPr>
          <w:color w:val="231F20"/>
        </w:rPr>
        <w:t>En tanto que la inteligibilidad se presenta como el reconoci- miento recíproco de pretensiones de validez. (Habermas, 1985).</w:t>
      </w:r>
    </w:p>
    <w:p>
      <w:pPr>
        <w:pStyle w:val="BodyText"/>
        <w:spacing w:line="249" w:lineRule="auto" w:before="1"/>
        <w:ind w:left="102" w:right="115" w:firstLine="284"/>
        <w:jc w:val="both"/>
      </w:pPr>
      <w:r>
        <w:rPr>
          <w:color w:val="231F20"/>
        </w:rPr>
        <w:t>A </w:t>
      </w:r>
      <w:r>
        <w:rPr>
          <w:color w:val="231F20"/>
          <w:spacing w:val="2"/>
        </w:rPr>
        <w:t>partir </w:t>
      </w:r>
      <w:r>
        <w:rPr>
          <w:color w:val="231F20"/>
        </w:rPr>
        <w:t>de lo </w:t>
      </w:r>
      <w:r>
        <w:rPr>
          <w:color w:val="231F20"/>
          <w:spacing w:val="2"/>
        </w:rPr>
        <w:t>anterior, </w:t>
      </w:r>
      <w:r>
        <w:rPr>
          <w:color w:val="231F20"/>
          <w:spacing w:val="3"/>
        </w:rPr>
        <w:t>podemos </w:t>
      </w:r>
      <w:r>
        <w:rPr>
          <w:color w:val="231F20"/>
          <w:spacing w:val="2"/>
        </w:rPr>
        <w:t>avanzar hacia una distinción entre </w:t>
      </w:r>
      <w:r>
        <w:rPr>
          <w:color w:val="231F20"/>
        </w:rPr>
        <w:t>lo  </w:t>
      </w:r>
      <w:r>
        <w:rPr>
          <w:color w:val="231F20"/>
          <w:spacing w:val="2"/>
        </w:rPr>
        <w:t>que son los discursos teóricos, los discursos prácticos </w:t>
      </w:r>
      <w:r>
        <w:rPr>
          <w:color w:val="231F20"/>
        </w:rPr>
        <w:t>y  </w:t>
      </w:r>
      <w:r>
        <w:rPr>
          <w:color w:val="231F20"/>
          <w:spacing w:val="2"/>
        </w:rPr>
        <w:t>los discursos del </w:t>
      </w:r>
      <w:r>
        <w:rPr>
          <w:color w:val="231F20"/>
          <w:spacing w:val="3"/>
        </w:rPr>
        <w:t>poder como </w:t>
      </w:r>
      <w:r>
        <w:rPr>
          <w:color w:val="231F20"/>
          <w:spacing w:val="2"/>
        </w:rPr>
        <w:t>una </w:t>
      </w:r>
      <w:r>
        <w:rPr>
          <w:color w:val="231F20"/>
          <w:spacing w:val="3"/>
        </w:rPr>
        <w:t>argumentación </w:t>
      </w:r>
      <w:r>
        <w:rPr>
          <w:color w:val="231F20"/>
          <w:spacing w:val="2"/>
        </w:rPr>
        <w:t>que </w:t>
      </w:r>
      <w:r>
        <w:rPr>
          <w:color w:val="231F20"/>
          <w:spacing w:val="3"/>
        </w:rPr>
        <w:t>pretende </w:t>
      </w:r>
      <w:r>
        <w:rPr>
          <w:color w:val="231F20"/>
          <w:spacing w:val="2"/>
        </w:rPr>
        <w:t>fundarse </w:t>
      </w:r>
      <w:r>
        <w:rPr>
          <w:color w:val="231F20"/>
        </w:rPr>
        <w:t>en un </w:t>
      </w:r>
      <w:r>
        <w:rPr>
          <w:color w:val="231F20"/>
          <w:spacing w:val="2"/>
        </w:rPr>
        <w:t>presunto saber </w:t>
      </w:r>
      <w:r>
        <w:rPr>
          <w:color w:val="231F20"/>
          <w:spacing w:val="3"/>
        </w:rPr>
        <w:t>(históricamente </w:t>
      </w:r>
      <w:r>
        <w:rPr>
          <w:color w:val="231F20"/>
        </w:rPr>
        <w:t>ese </w:t>
      </w:r>
      <w:r>
        <w:rPr>
          <w:color w:val="231F20"/>
          <w:spacing w:val="2"/>
        </w:rPr>
        <w:t>saber </w:t>
      </w:r>
      <w:r>
        <w:rPr>
          <w:color w:val="231F20"/>
        </w:rPr>
        <w:t>se ha </w:t>
      </w:r>
      <w:r>
        <w:rPr>
          <w:color w:val="231F20"/>
          <w:spacing w:val="2"/>
        </w:rPr>
        <w:t>modificado) que legitima </w:t>
      </w:r>
      <w:r>
        <w:rPr>
          <w:color w:val="231F20"/>
        </w:rPr>
        <w:t>las </w:t>
      </w:r>
      <w:r>
        <w:rPr>
          <w:color w:val="231F20"/>
          <w:spacing w:val="2"/>
        </w:rPr>
        <w:t>decisiones </w:t>
      </w:r>
      <w:r>
        <w:rPr>
          <w:color w:val="231F20"/>
        </w:rPr>
        <w:t>de la </w:t>
      </w:r>
      <w:r>
        <w:rPr>
          <w:color w:val="231F20"/>
          <w:spacing w:val="2"/>
        </w:rPr>
        <w:t>autoridad política constituida bajo </w:t>
      </w:r>
      <w:r>
        <w:rPr>
          <w:color w:val="231F20"/>
          <w:spacing w:val="3"/>
        </w:rPr>
        <w:t>argumentos </w:t>
      </w:r>
      <w:r>
        <w:rPr>
          <w:color w:val="231F20"/>
          <w:spacing w:val="2"/>
        </w:rPr>
        <w:t>que “desvían” </w:t>
      </w:r>
      <w:r>
        <w:rPr>
          <w:color w:val="231F20"/>
        </w:rPr>
        <w:t>la </w:t>
      </w:r>
      <w:r>
        <w:rPr>
          <w:color w:val="231F20"/>
          <w:spacing w:val="2"/>
        </w:rPr>
        <w:t>discusión </w:t>
      </w:r>
      <w:r>
        <w:rPr>
          <w:color w:val="231F20"/>
        </w:rPr>
        <w:t>de las </w:t>
      </w:r>
      <w:r>
        <w:rPr>
          <w:color w:val="231F20"/>
          <w:spacing w:val="3"/>
        </w:rPr>
        <w:t>constelaciones </w:t>
      </w:r>
      <w:r>
        <w:rPr>
          <w:color w:val="231F20"/>
        </w:rPr>
        <w:t>de </w:t>
      </w:r>
      <w:r>
        <w:rPr>
          <w:color w:val="231F20"/>
          <w:spacing w:val="2"/>
        </w:rPr>
        <w:t>intereses, </w:t>
      </w:r>
      <w:r>
        <w:rPr>
          <w:color w:val="231F20"/>
        </w:rPr>
        <w:t>de las </w:t>
      </w:r>
      <w:r>
        <w:rPr>
          <w:color w:val="231F20"/>
          <w:spacing w:val="3"/>
        </w:rPr>
        <w:t>contradicciones </w:t>
      </w:r>
      <w:r>
        <w:rPr>
          <w:color w:val="231F20"/>
          <w:spacing w:val="2"/>
        </w:rPr>
        <w:t>sociales efecti- vas, hacia </w:t>
      </w:r>
      <w:r>
        <w:rPr>
          <w:color w:val="231F20"/>
        </w:rPr>
        <w:t>un </w:t>
      </w:r>
      <w:r>
        <w:rPr>
          <w:color w:val="231F20"/>
          <w:spacing w:val="2"/>
        </w:rPr>
        <w:t>principio </w:t>
      </w:r>
      <w:r>
        <w:rPr>
          <w:color w:val="231F20"/>
        </w:rPr>
        <w:t>de </w:t>
      </w:r>
      <w:r>
        <w:rPr>
          <w:color w:val="231F20"/>
          <w:spacing w:val="2"/>
        </w:rPr>
        <w:t>autoridad </w:t>
      </w:r>
      <w:r>
        <w:rPr>
          <w:color w:val="231F20"/>
        </w:rPr>
        <w:t>de tal </w:t>
      </w:r>
      <w:r>
        <w:rPr>
          <w:color w:val="231F20"/>
          <w:spacing w:val="3"/>
        </w:rPr>
        <w:t>modo </w:t>
      </w:r>
      <w:r>
        <w:rPr>
          <w:color w:val="231F20"/>
          <w:spacing w:val="2"/>
        </w:rPr>
        <w:t>que, </w:t>
      </w:r>
      <w:r>
        <w:rPr>
          <w:color w:val="231F20"/>
        </w:rPr>
        <w:t>el </w:t>
      </w:r>
      <w:r>
        <w:rPr>
          <w:color w:val="231F20"/>
          <w:spacing w:val="2"/>
        </w:rPr>
        <w:t>discurso  del </w:t>
      </w:r>
      <w:r>
        <w:rPr>
          <w:color w:val="231F20"/>
          <w:spacing w:val="3"/>
        </w:rPr>
        <w:t>poder </w:t>
      </w:r>
      <w:r>
        <w:rPr>
          <w:color w:val="231F20"/>
        </w:rPr>
        <w:t>se </w:t>
      </w:r>
      <w:r>
        <w:rPr>
          <w:color w:val="231F20"/>
          <w:spacing w:val="2"/>
        </w:rPr>
        <w:t>erige, </w:t>
      </w:r>
      <w:r>
        <w:rPr>
          <w:color w:val="231F20"/>
        </w:rPr>
        <w:t>y </w:t>
      </w:r>
      <w:r>
        <w:rPr>
          <w:color w:val="231F20"/>
          <w:spacing w:val="3"/>
        </w:rPr>
        <w:t>funda, </w:t>
      </w:r>
      <w:r>
        <w:rPr>
          <w:color w:val="231F20"/>
          <w:spacing w:val="2"/>
        </w:rPr>
        <w:t>ideologías legitimantes: </w:t>
      </w:r>
      <w:r>
        <w:rPr>
          <w:color w:val="231F20"/>
        </w:rPr>
        <w:t>es allí </w:t>
      </w:r>
      <w:r>
        <w:rPr>
          <w:color w:val="231F20"/>
          <w:spacing w:val="3"/>
        </w:rPr>
        <w:t>donde ubicamos </w:t>
      </w:r>
      <w:r>
        <w:rPr>
          <w:color w:val="231F20"/>
        </w:rPr>
        <w:t>el </w:t>
      </w:r>
      <w:r>
        <w:rPr>
          <w:color w:val="231F20"/>
          <w:spacing w:val="3"/>
        </w:rPr>
        <w:t>punto </w:t>
      </w:r>
      <w:r>
        <w:rPr>
          <w:color w:val="231F20"/>
        </w:rPr>
        <w:t>de </w:t>
      </w:r>
      <w:r>
        <w:rPr>
          <w:color w:val="231F20"/>
          <w:spacing w:val="2"/>
        </w:rPr>
        <w:t>inflexión </w:t>
      </w:r>
      <w:r>
        <w:rPr>
          <w:color w:val="231F20"/>
        </w:rPr>
        <w:t>en que el </w:t>
      </w:r>
      <w:r>
        <w:rPr>
          <w:color w:val="231F20"/>
          <w:spacing w:val="2"/>
        </w:rPr>
        <w:t>discurso </w:t>
      </w:r>
      <w:r>
        <w:rPr>
          <w:color w:val="231F20"/>
        </w:rPr>
        <w:t>del </w:t>
      </w:r>
      <w:r>
        <w:rPr>
          <w:color w:val="231F20"/>
          <w:spacing w:val="2"/>
        </w:rPr>
        <w:t>poder, </w:t>
      </w:r>
      <w:r>
        <w:rPr>
          <w:color w:val="231F20"/>
          <w:spacing w:val="4"/>
        </w:rPr>
        <w:t>pro- </w:t>
      </w:r>
      <w:r>
        <w:rPr>
          <w:color w:val="231F20"/>
          <w:spacing w:val="2"/>
        </w:rPr>
        <w:t>pio </w:t>
      </w:r>
      <w:r>
        <w:rPr>
          <w:color w:val="231F20"/>
        </w:rPr>
        <w:t>de las </w:t>
      </w:r>
      <w:r>
        <w:rPr>
          <w:color w:val="231F20"/>
          <w:spacing w:val="2"/>
        </w:rPr>
        <w:t>instituciones políticas </w:t>
      </w:r>
      <w:r>
        <w:rPr>
          <w:color w:val="231F20"/>
        </w:rPr>
        <w:t>y </w:t>
      </w:r>
      <w:r>
        <w:rPr>
          <w:color w:val="231F20"/>
          <w:spacing w:val="3"/>
        </w:rPr>
        <w:t>económicas </w:t>
      </w:r>
      <w:r>
        <w:rPr>
          <w:color w:val="231F20"/>
        </w:rPr>
        <w:t>que </w:t>
      </w:r>
      <w:r>
        <w:rPr>
          <w:color w:val="231F20"/>
          <w:spacing w:val="2"/>
        </w:rPr>
        <w:t>organizan </w:t>
      </w:r>
      <w:r>
        <w:rPr>
          <w:color w:val="231F20"/>
        </w:rPr>
        <w:t>el </w:t>
      </w:r>
      <w:r>
        <w:rPr>
          <w:color w:val="231F20"/>
          <w:spacing w:val="3"/>
        </w:rPr>
        <w:t>dominio </w:t>
      </w:r>
      <w:r>
        <w:rPr>
          <w:color w:val="231F20"/>
        </w:rPr>
        <w:t>de </w:t>
      </w:r>
      <w:r>
        <w:rPr>
          <w:color w:val="231F20"/>
          <w:spacing w:val="2"/>
        </w:rPr>
        <w:t>clase </w:t>
      </w:r>
      <w:r>
        <w:rPr>
          <w:color w:val="231F20"/>
        </w:rPr>
        <w:t>en la </w:t>
      </w:r>
      <w:r>
        <w:rPr>
          <w:color w:val="231F20"/>
          <w:spacing w:val="2"/>
        </w:rPr>
        <w:t>sociedad, hacen del lenguaje que emplean  </w:t>
      </w:r>
      <w:r>
        <w:rPr>
          <w:color w:val="231F20"/>
        </w:rPr>
        <w:t>su </w:t>
      </w:r>
      <w:r>
        <w:rPr>
          <w:color w:val="231F20"/>
          <w:spacing w:val="2"/>
        </w:rPr>
        <w:t>medio </w:t>
      </w:r>
      <w:r>
        <w:rPr>
          <w:color w:val="231F20"/>
        </w:rPr>
        <w:t>de </w:t>
      </w:r>
      <w:r>
        <w:rPr>
          <w:color w:val="231F20"/>
          <w:spacing w:val="3"/>
        </w:rPr>
        <w:t>imposición, </w:t>
      </w:r>
      <w:r>
        <w:rPr>
          <w:color w:val="231F20"/>
        </w:rPr>
        <w:t>de </w:t>
      </w:r>
      <w:r>
        <w:rPr>
          <w:color w:val="231F20"/>
          <w:spacing w:val="2"/>
        </w:rPr>
        <w:t>coacción para hacer admitir </w:t>
      </w:r>
      <w:r>
        <w:rPr>
          <w:color w:val="231F20"/>
        </w:rPr>
        <w:t>las </w:t>
      </w:r>
      <w:r>
        <w:rPr>
          <w:color w:val="231F20"/>
          <w:spacing w:val="2"/>
        </w:rPr>
        <w:t>pre- tensiones </w:t>
      </w:r>
      <w:r>
        <w:rPr>
          <w:color w:val="231F20"/>
        </w:rPr>
        <w:t>de </w:t>
      </w:r>
      <w:r>
        <w:rPr>
          <w:color w:val="231F20"/>
          <w:spacing w:val="2"/>
        </w:rPr>
        <w:t>dominio </w:t>
      </w:r>
      <w:r>
        <w:rPr>
          <w:color w:val="231F20"/>
          <w:spacing w:val="3"/>
        </w:rPr>
        <w:t>como pretensiones </w:t>
      </w:r>
      <w:r>
        <w:rPr>
          <w:color w:val="231F20"/>
        </w:rPr>
        <w:t>de </w:t>
      </w:r>
      <w:r>
        <w:rPr>
          <w:color w:val="231F20"/>
          <w:spacing w:val="2"/>
        </w:rPr>
        <w:t>validez respecto </w:t>
      </w:r>
      <w:r>
        <w:rPr>
          <w:color w:val="231F20"/>
        </w:rPr>
        <w:t>a la </w:t>
      </w:r>
      <w:r>
        <w:rPr>
          <w:color w:val="231F20"/>
          <w:spacing w:val="2"/>
        </w:rPr>
        <w:t>consideración </w:t>
      </w:r>
      <w:r>
        <w:rPr>
          <w:color w:val="231F20"/>
        </w:rPr>
        <w:t>de la </w:t>
      </w:r>
      <w:r>
        <w:rPr>
          <w:color w:val="231F20"/>
          <w:spacing w:val="2"/>
        </w:rPr>
        <w:t>realidad, </w:t>
      </w:r>
      <w:r>
        <w:rPr>
          <w:color w:val="231F20"/>
        </w:rPr>
        <w:t>de </w:t>
      </w:r>
      <w:r>
        <w:rPr>
          <w:color w:val="231F20"/>
          <w:spacing w:val="2"/>
        </w:rPr>
        <w:t>los </w:t>
      </w:r>
      <w:r>
        <w:rPr>
          <w:color w:val="231F20"/>
          <w:spacing w:val="3"/>
        </w:rPr>
        <w:t>problemas </w:t>
      </w:r>
      <w:r>
        <w:rPr>
          <w:color w:val="231F20"/>
          <w:spacing w:val="2"/>
        </w:rPr>
        <w:t>que </w:t>
      </w:r>
      <w:r>
        <w:rPr>
          <w:color w:val="231F20"/>
        </w:rPr>
        <w:t>la </w:t>
      </w:r>
      <w:r>
        <w:rPr>
          <w:color w:val="231F20"/>
          <w:spacing w:val="2"/>
        </w:rPr>
        <w:t>constituyen </w:t>
      </w:r>
      <w:r>
        <w:rPr>
          <w:color w:val="231F20"/>
        </w:rPr>
        <w:t>y </w:t>
      </w:r>
      <w:r>
        <w:rPr>
          <w:color w:val="231F20"/>
          <w:spacing w:val="2"/>
        </w:rPr>
        <w:t>del </w:t>
      </w:r>
      <w:r>
        <w:rPr>
          <w:color w:val="231F20"/>
          <w:spacing w:val="3"/>
        </w:rPr>
        <w:t>modo </w:t>
      </w:r>
      <w:r>
        <w:rPr>
          <w:color w:val="231F20"/>
        </w:rPr>
        <w:t>de </w:t>
      </w:r>
      <w:r>
        <w:rPr>
          <w:color w:val="231F20"/>
          <w:spacing w:val="2"/>
        </w:rPr>
        <w:t>superarlos </w:t>
      </w:r>
      <w:r>
        <w:rPr>
          <w:color w:val="231F20"/>
        </w:rPr>
        <w:t>de </w:t>
      </w:r>
      <w:r>
        <w:rPr>
          <w:color w:val="231F20"/>
          <w:spacing w:val="2"/>
        </w:rPr>
        <w:t>una </w:t>
      </w:r>
      <w:r>
        <w:rPr>
          <w:color w:val="231F20"/>
          <w:spacing w:val="3"/>
        </w:rPr>
        <w:t>manera</w:t>
      </w:r>
      <w:r>
        <w:rPr>
          <w:color w:val="231F20"/>
          <w:spacing w:val="33"/>
        </w:rPr>
        <w:t> </w:t>
      </w:r>
      <w:r>
        <w:rPr>
          <w:color w:val="231F20"/>
          <w:spacing w:val="2"/>
        </w:rPr>
        <w:t>unilateral.</w:t>
      </w:r>
    </w:p>
    <w:p>
      <w:pPr>
        <w:pStyle w:val="BodyText"/>
        <w:spacing w:line="247" w:lineRule="auto"/>
        <w:ind w:left="102" w:right="117" w:firstLine="284"/>
        <w:jc w:val="both"/>
      </w:pPr>
      <w:r>
        <w:rPr>
          <w:color w:val="231F20"/>
        </w:rPr>
        <w:t>A partir de lo anterior se puede plantear que la violencia que se expande con las políticas educativas consiste en la manera en que se despliega una ideología, en la forma de un lenguaje particular que pretende imponer una única forma de comprender e interpretar la realidad con el fin de mantener el dominio sobre las clases sociales subalternas mediante las instituciones políticas establecidas.</w:t>
      </w:r>
    </w:p>
    <w:p>
      <w:pPr>
        <w:pStyle w:val="BodyText"/>
        <w:rPr>
          <w:sz w:val="22"/>
        </w:rPr>
      </w:pPr>
    </w:p>
    <w:p>
      <w:pPr>
        <w:pStyle w:val="BodyText"/>
        <w:spacing w:before="6"/>
      </w:pPr>
    </w:p>
    <w:p>
      <w:pPr>
        <w:pStyle w:val="BodyText"/>
        <w:spacing w:line="247" w:lineRule="auto"/>
        <w:ind w:left="102" w:right="119"/>
        <w:jc w:val="both"/>
      </w:pPr>
      <w:r>
        <w:rPr>
          <w:color w:val="231F20"/>
          <w:w w:val="105"/>
        </w:rPr>
        <w:t>IDEOLOGÍA, DE LA DEFORMACIÓN DE LA REALIDAD AL BLOQUEO DE LA COMUNICACIÓN</w:t>
      </w:r>
    </w:p>
    <w:p>
      <w:pPr>
        <w:pStyle w:val="BodyText"/>
        <w:spacing w:before="11"/>
        <w:rPr>
          <w:sz w:val="20"/>
        </w:rPr>
      </w:pPr>
    </w:p>
    <w:p>
      <w:pPr>
        <w:pStyle w:val="BodyText"/>
        <w:spacing w:line="244" w:lineRule="auto"/>
        <w:ind w:left="102" w:right="114"/>
        <w:jc w:val="both"/>
      </w:pPr>
      <w:r>
        <w:rPr>
          <w:color w:val="231F20"/>
        </w:rPr>
        <w:t>Empecemos con Ricoeur, cuando sostiene que ideología y utopía se oponen y complementan para constituir “la imaginación social y cultural” (Ricoeur, 1994:45), pero el propósito de Ricoeur es mos- trar que, tanto utopía como ideología están en la base de la cons- trucción de las identidades y, por tanto, cumplen funciones de inte- gración social. Empero Ricoeur, asume que, siguiendo a Marx y a Althusser, se puede advertir que la ideología tiene una función de- formadora que se aplica como un criterio de demarcación entre lo real y lo ideológico (lo imaginario) (Ricoeur, 1994: 240), en tanto que al examinar a Althusser la ideología se opone a la ciencia; de</w:t>
      </w:r>
    </w:p>
    <w:p>
      <w:pPr>
        <w:spacing w:after="0" w:line="244" w:lineRule="auto"/>
        <w:jc w:val="both"/>
        <w:sectPr>
          <w:headerReference w:type="default" r:id="rId165"/>
          <w:footerReference w:type="default" r:id="rId166"/>
          <w:pgSz w:w="7830" w:h="11910"/>
          <w:pgMar w:header="0" w:footer="424" w:top="500" w:bottom="620" w:left="920" w:right="900"/>
          <w:pgNumType w:start="7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6" w:hanging="1"/>
        <w:jc w:val="both"/>
      </w:pPr>
      <w:r>
        <w:rPr>
          <w:color w:val="231F20"/>
        </w:rPr>
        <w:t>ambos autores, Ricoeur extrae la conclusión de que tanto la teoría como la ideología se sirven del lenguaje, de lo simbólico, pues llega a aseverar que “las llamadas causas reales nunca se manifiestan como tales en la existencia humana sino que siempre lo hacen en   un modo simbólico. Y es este modo simbólico lo que queda secun- dariamente deformado” (Ricoeur, 1994: 174, 179): lo que se defor- ma</w:t>
      </w:r>
      <w:r>
        <w:rPr>
          <w:color w:val="231F20"/>
          <w:spacing w:val="-6"/>
        </w:rPr>
        <w:t> </w:t>
      </w:r>
      <w:r>
        <w:rPr>
          <w:color w:val="231F20"/>
        </w:rPr>
        <w:t>no</w:t>
      </w:r>
      <w:r>
        <w:rPr>
          <w:color w:val="231F20"/>
          <w:spacing w:val="-5"/>
        </w:rPr>
        <w:t> </w:t>
      </w:r>
      <w:r>
        <w:rPr>
          <w:color w:val="231F20"/>
        </w:rPr>
        <w:t>es</w:t>
      </w:r>
      <w:r>
        <w:rPr>
          <w:color w:val="231F20"/>
          <w:spacing w:val="-6"/>
        </w:rPr>
        <w:t> </w:t>
      </w:r>
      <w:r>
        <w:rPr>
          <w:color w:val="231F20"/>
        </w:rPr>
        <w:t>la</w:t>
      </w:r>
      <w:r>
        <w:rPr>
          <w:color w:val="231F20"/>
          <w:spacing w:val="-6"/>
        </w:rPr>
        <w:t> </w:t>
      </w:r>
      <w:r>
        <w:rPr>
          <w:color w:val="231F20"/>
        </w:rPr>
        <w:t>realidad,</w:t>
      </w:r>
      <w:r>
        <w:rPr>
          <w:color w:val="231F20"/>
          <w:spacing w:val="-6"/>
        </w:rPr>
        <w:t> </w:t>
      </w:r>
      <w:r>
        <w:rPr>
          <w:color w:val="231F20"/>
        </w:rPr>
        <w:t>sino</w:t>
      </w:r>
      <w:r>
        <w:rPr>
          <w:color w:val="231F20"/>
          <w:spacing w:val="-5"/>
        </w:rPr>
        <w:t> </w:t>
      </w:r>
      <w:r>
        <w:rPr>
          <w:color w:val="231F20"/>
        </w:rPr>
        <w:t>el</w:t>
      </w:r>
      <w:r>
        <w:rPr>
          <w:color w:val="231F20"/>
          <w:spacing w:val="-6"/>
        </w:rPr>
        <w:t> </w:t>
      </w:r>
      <w:r>
        <w:rPr>
          <w:color w:val="231F20"/>
        </w:rPr>
        <w:t>lenguaje</w:t>
      </w:r>
      <w:r>
        <w:rPr>
          <w:color w:val="231F20"/>
          <w:spacing w:val="-5"/>
        </w:rPr>
        <w:t> </w:t>
      </w:r>
      <w:r>
        <w:rPr>
          <w:color w:val="231F20"/>
        </w:rPr>
        <w:t>en</w:t>
      </w:r>
      <w:r>
        <w:rPr>
          <w:color w:val="231F20"/>
          <w:spacing w:val="-3"/>
        </w:rPr>
        <w:t> </w:t>
      </w:r>
      <w:r>
        <w:rPr>
          <w:color w:val="231F20"/>
        </w:rPr>
        <w:t>que</w:t>
      </w:r>
      <w:r>
        <w:rPr>
          <w:color w:val="231F20"/>
          <w:spacing w:val="-5"/>
        </w:rPr>
        <w:t> </w:t>
      </w:r>
      <w:r>
        <w:rPr>
          <w:color w:val="231F20"/>
        </w:rPr>
        <w:t>se</w:t>
      </w:r>
      <w:r>
        <w:rPr>
          <w:color w:val="231F20"/>
          <w:spacing w:val="-5"/>
        </w:rPr>
        <w:t> </w:t>
      </w:r>
      <w:r>
        <w:rPr>
          <w:color w:val="231F20"/>
        </w:rPr>
        <w:t>expresa</w:t>
      </w:r>
      <w:r>
        <w:rPr>
          <w:color w:val="231F20"/>
          <w:spacing w:val="-5"/>
        </w:rPr>
        <w:t> </w:t>
      </w:r>
      <w:r>
        <w:rPr>
          <w:color w:val="231F20"/>
        </w:rPr>
        <w:t>la</w:t>
      </w:r>
      <w:r>
        <w:rPr>
          <w:color w:val="231F20"/>
          <w:spacing w:val="-5"/>
        </w:rPr>
        <w:t> </w:t>
      </w:r>
      <w:r>
        <w:rPr>
          <w:color w:val="231F20"/>
        </w:rPr>
        <w:t>realidad.</w:t>
      </w:r>
    </w:p>
    <w:p>
      <w:pPr>
        <w:pStyle w:val="BodyText"/>
        <w:spacing w:line="247" w:lineRule="auto" w:before="10"/>
        <w:ind w:left="102" w:right="115" w:firstLine="284"/>
        <w:jc w:val="both"/>
      </w:pPr>
      <w:r>
        <w:rPr>
          <w:color w:val="231F20"/>
          <w:spacing w:val="2"/>
        </w:rPr>
        <w:t>Ricoeur añade una tercera función </w:t>
      </w:r>
      <w:r>
        <w:rPr>
          <w:color w:val="231F20"/>
        </w:rPr>
        <w:t>a la </w:t>
      </w:r>
      <w:r>
        <w:rPr>
          <w:color w:val="231F20"/>
          <w:spacing w:val="2"/>
        </w:rPr>
        <w:t>ideología, extraída </w:t>
      </w:r>
      <w:r>
        <w:rPr>
          <w:color w:val="231F20"/>
        </w:rPr>
        <w:t>de   </w:t>
      </w:r>
      <w:r>
        <w:rPr>
          <w:color w:val="231F20"/>
          <w:spacing w:val="2"/>
        </w:rPr>
        <w:t>los </w:t>
      </w:r>
      <w:r>
        <w:rPr>
          <w:color w:val="231F20"/>
          <w:spacing w:val="3"/>
        </w:rPr>
        <w:t>planteamientos </w:t>
      </w:r>
      <w:r>
        <w:rPr>
          <w:color w:val="231F20"/>
        </w:rPr>
        <w:t>de </w:t>
      </w:r>
      <w:r>
        <w:rPr>
          <w:color w:val="231F20"/>
          <w:spacing w:val="2"/>
        </w:rPr>
        <w:t>Max </w:t>
      </w:r>
      <w:r>
        <w:rPr>
          <w:color w:val="231F20"/>
          <w:spacing w:val="3"/>
        </w:rPr>
        <w:t>Weber </w:t>
      </w:r>
      <w:r>
        <w:rPr>
          <w:color w:val="231F20"/>
        </w:rPr>
        <w:t>y </w:t>
      </w:r>
      <w:r>
        <w:rPr>
          <w:color w:val="231F20"/>
          <w:spacing w:val="2"/>
        </w:rPr>
        <w:t>Geertz, </w:t>
      </w:r>
      <w:r>
        <w:rPr>
          <w:color w:val="231F20"/>
        </w:rPr>
        <w:t>que </w:t>
      </w:r>
      <w:r>
        <w:rPr>
          <w:color w:val="231F20"/>
          <w:spacing w:val="3"/>
        </w:rPr>
        <w:t>cumple </w:t>
      </w:r>
      <w:r>
        <w:rPr>
          <w:color w:val="231F20"/>
          <w:spacing w:val="2"/>
        </w:rPr>
        <w:t>una </w:t>
      </w:r>
      <w:r>
        <w:rPr>
          <w:color w:val="231F20"/>
          <w:spacing w:val="3"/>
        </w:rPr>
        <w:t>fun- </w:t>
      </w:r>
      <w:r>
        <w:rPr>
          <w:color w:val="231F20"/>
          <w:spacing w:val="2"/>
        </w:rPr>
        <w:t>ción</w:t>
      </w:r>
      <w:r>
        <w:rPr>
          <w:color w:val="231F20"/>
          <w:spacing w:val="-24"/>
        </w:rPr>
        <w:t> </w:t>
      </w:r>
      <w:r>
        <w:rPr>
          <w:color w:val="231F20"/>
          <w:spacing w:val="2"/>
        </w:rPr>
        <w:t>legitimadora:</w:t>
      </w:r>
    </w:p>
    <w:p>
      <w:pPr>
        <w:pStyle w:val="BodyText"/>
        <w:spacing w:before="4"/>
        <w:rPr>
          <w:sz w:val="23"/>
        </w:rPr>
      </w:pPr>
    </w:p>
    <w:p>
      <w:pPr>
        <w:spacing w:line="276" w:lineRule="auto" w:before="0"/>
        <w:ind w:left="810" w:right="162" w:firstLine="0"/>
        <w:jc w:val="both"/>
        <w:rPr>
          <w:sz w:val="19"/>
        </w:rPr>
      </w:pPr>
      <w:r>
        <w:rPr>
          <w:color w:val="231F20"/>
          <w:sz w:val="19"/>
        </w:rPr>
        <w:t>La</w:t>
      </w:r>
      <w:r>
        <w:rPr>
          <w:color w:val="231F20"/>
          <w:spacing w:val="-12"/>
          <w:sz w:val="19"/>
        </w:rPr>
        <w:t> </w:t>
      </w:r>
      <w:r>
        <w:rPr>
          <w:color w:val="231F20"/>
          <w:sz w:val="19"/>
        </w:rPr>
        <w:t>ideología</w:t>
      </w:r>
      <w:r>
        <w:rPr>
          <w:color w:val="231F20"/>
          <w:spacing w:val="-12"/>
          <w:sz w:val="19"/>
        </w:rPr>
        <w:t> </w:t>
      </w:r>
      <w:r>
        <w:rPr>
          <w:color w:val="231F20"/>
          <w:sz w:val="19"/>
        </w:rPr>
        <w:t>funciona</w:t>
      </w:r>
      <w:r>
        <w:rPr>
          <w:color w:val="231F20"/>
          <w:spacing w:val="-12"/>
          <w:sz w:val="19"/>
        </w:rPr>
        <w:t> </w:t>
      </w:r>
      <w:r>
        <w:rPr>
          <w:color w:val="231F20"/>
          <w:sz w:val="19"/>
        </w:rPr>
        <w:t>para</w:t>
      </w:r>
      <w:r>
        <w:rPr>
          <w:color w:val="231F20"/>
          <w:spacing w:val="-12"/>
          <w:sz w:val="19"/>
        </w:rPr>
        <w:t> </w:t>
      </w:r>
      <w:r>
        <w:rPr>
          <w:color w:val="231F20"/>
          <w:sz w:val="19"/>
        </w:rPr>
        <w:t>agregar</w:t>
      </w:r>
      <w:r>
        <w:rPr>
          <w:color w:val="231F20"/>
          <w:spacing w:val="-12"/>
          <w:sz w:val="19"/>
        </w:rPr>
        <w:t> </w:t>
      </w:r>
      <w:r>
        <w:rPr>
          <w:color w:val="231F20"/>
          <w:sz w:val="19"/>
        </w:rPr>
        <w:t>cierta</w:t>
      </w:r>
      <w:r>
        <w:rPr>
          <w:color w:val="231F20"/>
          <w:spacing w:val="-12"/>
          <w:sz w:val="19"/>
        </w:rPr>
        <w:t> </w:t>
      </w:r>
      <w:r>
        <w:rPr>
          <w:color w:val="231F20"/>
          <w:sz w:val="19"/>
        </w:rPr>
        <w:t>plusvalía</w:t>
      </w:r>
      <w:r>
        <w:rPr>
          <w:color w:val="231F20"/>
          <w:spacing w:val="-12"/>
          <w:sz w:val="19"/>
        </w:rPr>
        <w:t> </w:t>
      </w:r>
      <w:r>
        <w:rPr>
          <w:color w:val="231F20"/>
          <w:sz w:val="19"/>
        </w:rPr>
        <w:t>a</w:t>
      </w:r>
      <w:r>
        <w:rPr>
          <w:color w:val="231F20"/>
          <w:spacing w:val="-12"/>
          <w:sz w:val="19"/>
        </w:rPr>
        <w:t> </w:t>
      </w:r>
      <w:r>
        <w:rPr>
          <w:color w:val="231F20"/>
          <w:sz w:val="19"/>
        </w:rPr>
        <w:t>nuestra</w:t>
      </w:r>
      <w:r>
        <w:rPr>
          <w:color w:val="231F20"/>
          <w:spacing w:val="-12"/>
          <w:sz w:val="19"/>
        </w:rPr>
        <w:t> </w:t>
      </w:r>
      <w:r>
        <w:rPr>
          <w:color w:val="231F20"/>
          <w:sz w:val="19"/>
        </w:rPr>
        <w:t>creen- cia a fin de que nuestra creencia pueda satisfacer los requerimien- tos de la autoridad. La idea marxista de la deformación tiene más sentido si decimos que la función de la ideología es siempre legi- timar una pretensión de legitimidad, agregando un suplemento a nuestra espontánea creencia. La función de la ideología en esta</w:t>
      </w:r>
      <w:r>
        <w:rPr>
          <w:color w:val="231F20"/>
          <w:spacing w:val="-32"/>
          <w:sz w:val="19"/>
        </w:rPr>
        <w:t> </w:t>
      </w:r>
      <w:r>
        <w:rPr>
          <w:color w:val="231F20"/>
          <w:sz w:val="19"/>
        </w:rPr>
        <w:t>fa- se consiste en llenar la brecha de credibilidad que existe en todos los</w:t>
      </w:r>
      <w:r>
        <w:rPr>
          <w:color w:val="231F20"/>
          <w:spacing w:val="-19"/>
          <w:sz w:val="19"/>
        </w:rPr>
        <w:t> </w:t>
      </w:r>
      <w:r>
        <w:rPr>
          <w:color w:val="231F20"/>
          <w:sz w:val="19"/>
        </w:rPr>
        <w:t>sistemas</w:t>
      </w:r>
      <w:r>
        <w:rPr>
          <w:color w:val="231F20"/>
          <w:spacing w:val="-19"/>
          <w:sz w:val="19"/>
        </w:rPr>
        <w:t> </w:t>
      </w:r>
      <w:r>
        <w:rPr>
          <w:color w:val="231F20"/>
          <w:sz w:val="19"/>
        </w:rPr>
        <w:t>de</w:t>
      </w:r>
      <w:r>
        <w:rPr>
          <w:color w:val="231F20"/>
          <w:spacing w:val="-19"/>
          <w:sz w:val="19"/>
        </w:rPr>
        <w:t> </w:t>
      </w:r>
      <w:r>
        <w:rPr>
          <w:color w:val="231F20"/>
          <w:sz w:val="19"/>
        </w:rPr>
        <w:t>autoridad</w:t>
      </w:r>
      <w:r>
        <w:rPr>
          <w:color w:val="231F20"/>
          <w:spacing w:val="-19"/>
          <w:sz w:val="19"/>
        </w:rPr>
        <w:t> </w:t>
      </w:r>
      <w:r>
        <w:rPr>
          <w:color w:val="231F20"/>
          <w:sz w:val="19"/>
        </w:rPr>
        <w:t>(Ricoeur,</w:t>
      </w:r>
      <w:r>
        <w:rPr>
          <w:color w:val="231F20"/>
          <w:spacing w:val="-19"/>
          <w:sz w:val="19"/>
        </w:rPr>
        <w:t> </w:t>
      </w:r>
      <w:r>
        <w:rPr>
          <w:color w:val="231F20"/>
          <w:sz w:val="19"/>
        </w:rPr>
        <w:t>1994:</w:t>
      </w:r>
      <w:r>
        <w:rPr>
          <w:color w:val="231F20"/>
          <w:spacing w:val="-19"/>
          <w:sz w:val="19"/>
        </w:rPr>
        <w:t> </w:t>
      </w:r>
      <w:r>
        <w:rPr>
          <w:color w:val="231F20"/>
          <w:sz w:val="19"/>
        </w:rPr>
        <w:t>213).</w:t>
      </w:r>
    </w:p>
    <w:p>
      <w:pPr>
        <w:pStyle w:val="BodyText"/>
        <w:rPr>
          <w:sz w:val="20"/>
        </w:rPr>
      </w:pPr>
    </w:p>
    <w:p>
      <w:pPr>
        <w:pStyle w:val="BodyText"/>
        <w:spacing w:line="249" w:lineRule="auto"/>
        <w:ind w:left="102" w:right="117" w:firstLine="284"/>
        <w:jc w:val="both"/>
      </w:pPr>
      <w:r>
        <w:rPr>
          <w:color w:val="231F20"/>
          <w:spacing w:val="2"/>
        </w:rPr>
        <w:t>Siguiendo, pues </w:t>
      </w:r>
      <w:r>
        <w:rPr>
          <w:color w:val="231F20"/>
        </w:rPr>
        <w:t>el </w:t>
      </w:r>
      <w:r>
        <w:rPr>
          <w:color w:val="231F20"/>
          <w:spacing w:val="2"/>
        </w:rPr>
        <w:t>camino </w:t>
      </w:r>
      <w:r>
        <w:rPr>
          <w:color w:val="231F20"/>
          <w:spacing w:val="3"/>
        </w:rPr>
        <w:t>propuesto </w:t>
      </w:r>
      <w:r>
        <w:rPr>
          <w:color w:val="231F20"/>
          <w:spacing w:val="2"/>
        </w:rPr>
        <w:t>por Ricoeur, </w:t>
      </w:r>
      <w:r>
        <w:rPr>
          <w:color w:val="231F20"/>
        </w:rPr>
        <w:t>se </w:t>
      </w:r>
      <w:r>
        <w:rPr>
          <w:color w:val="231F20"/>
          <w:spacing w:val="2"/>
        </w:rPr>
        <w:t>llegan </w:t>
      </w:r>
      <w:r>
        <w:rPr>
          <w:color w:val="231F20"/>
        </w:rPr>
        <w:t>a </w:t>
      </w:r>
      <w:r>
        <w:rPr>
          <w:color w:val="231F20"/>
          <w:spacing w:val="2"/>
        </w:rPr>
        <w:t>examinar </w:t>
      </w:r>
      <w:r>
        <w:rPr>
          <w:color w:val="231F20"/>
        </w:rPr>
        <w:t>las </w:t>
      </w:r>
      <w:r>
        <w:rPr>
          <w:color w:val="231F20"/>
          <w:spacing w:val="3"/>
        </w:rPr>
        <w:t>funciones </w:t>
      </w:r>
      <w:r>
        <w:rPr>
          <w:color w:val="231F20"/>
        </w:rPr>
        <w:t>que se </w:t>
      </w:r>
      <w:r>
        <w:rPr>
          <w:color w:val="231F20"/>
          <w:spacing w:val="2"/>
        </w:rPr>
        <w:t>atribuyen </w:t>
      </w:r>
      <w:r>
        <w:rPr>
          <w:color w:val="231F20"/>
        </w:rPr>
        <w:t>a la </w:t>
      </w:r>
      <w:r>
        <w:rPr>
          <w:color w:val="231F20"/>
          <w:spacing w:val="2"/>
        </w:rPr>
        <w:t>ideología, </w:t>
      </w:r>
      <w:r>
        <w:rPr>
          <w:color w:val="231F20"/>
        </w:rPr>
        <w:t>las </w:t>
      </w:r>
      <w:r>
        <w:rPr>
          <w:color w:val="231F20"/>
          <w:spacing w:val="2"/>
        </w:rPr>
        <w:t>cuales </w:t>
      </w:r>
      <w:r>
        <w:rPr>
          <w:color w:val="231F20"/>
          <w:spacing w:val="3"/>
        </w:rPr>
        <w:t>concurren, </w:t>
      </w:r>
      <w:r>
        <w:rPr>
          <w:color w:val="231F20"/>
          <w:spacing w:val="2"/>
        </w:rPr>
        <w:t>finalmente, </w:t>
      </w:r>
      <w:r>
        <w:rPr>
          <w:color w:val="231F20"/>
        </w:rPr>
        <w:t>en la </w:t>
      </w:r>
      <w:r>
        <w:rPr>
          <w:color w:val="231F20"/>
          <w:spacing w:val="2"/>
        </w:rPr>
        <w:t>justificación </w:t>
      </w:r>
      <w:r>
        <w:rPr>
          <w:color w:val="231F20"/>
        </w:rPr>
        <w:t>de </w:t>
      </w:r>
      <w:r>
        <w:rPr>
          <w:color w:val="231F20"/>
          <w:spacing w:val="2"/>
        </w:rPr>
        <w:t>una </w:t>
      </w:r>
      <w:r>
        <w:rPr>
          <w:color w:val="231F20"/>
          <w:spacing w:val="3"/>
        </w:rPr>
        <w:t>autoridad,  </w:t>
      </w:r>
      <w:r>
        <w:rPr>
          <w:color w:val="231F20"/>
        </w:rPr>
        <w:t>en </w:t>
      </w:r>
      <w:r>
        <w:rPr>
          <w:color w:val="231F20"/>
          <w:spacing w:val="2"/>
        </w:rPr>
        <w:t>tanto que </w:t>
      </w:r>
      <w:r>
        <w:rPr>
          <w:color w:val="231F20"/>
        </w:rPr>
        <w:t>la </w:t>
      </w:r>
      <w:r>
        <w:rPr>
          <w:color w:val="231F20"/>
          <w:spacing w:val="3"/>
        </w:rPr>
        <w:t>deformación </w:t>
      </w:r>
      <w:r>
        <w:rPr>
          <w:color w:val="231F20"/>
          <w:spacing w:val="2"/>
        </w:rPr>
        <w:t>que </w:t>
      </w:r>
      <w:r>
        <w:rPr>
          <w:color w:val="231F20"/>
          <w:spacing w:val="3"/>
        </w:rPr>
        <w:t>produce proviene </w:t>
      </w:r>
      <w:r>
        <w:rPr>
          <w:color w:val="231F20"/>
        </w:rPr>
        <w:t>del </w:t>
      </w:r>
      <w:r>
        <w:rPr>
          <w:color w:val="231F20"/>
          <w:spacing w:val="3"/>
        </w:rPr>
        <w:t>modo </w:t>
      </w:r>
      <w:r>
        <w:rPr>
          <w:color w:val="231F20"/>
        </w:rPr>
        <w:t>en </w:t>
      </w:r>
      <w:r>
        <w:rPr>
          <w:color w:val="231F20"/>
          <w:spacing w:val="2"/>
        </w:rPr>
        <w:t>que  </w:t>
      </w:r>
      <w:r>
        <w:rPr>
          <w:color w:val="231F20"/>
        </w:rPr>
        <w:t>lo </w:t>
      </w:r>
      <w:r>
        <w:rPr>
          <w:color w:val="231F20"/>
          <w:spacing w:val="2"/>
        </w:rPr>
        <w:t>simbólico </w:t>
      </w:r>
      <w:r>
        <w:rPr>
          <w:color w:val="231F20"/>
        </w:rPr>
        <w:t>es </w:t>
      </w:r>
      <w:r>
        <w:rPr>
          <w:color w:val="231F20"/>
          <w:spacing w:val="3"/>
        </w:rPr>
        <w:t>deformado, </w:t>
      </w:r>
      <w:r>
        <w:rPr>
          <w:color w:val="231F20"/>
        </w:rPr>
        <w:t>en </w:t>
      </w:r>
      <w:r>
        <w:rPr>
          <w:color w:val="231F20"/>
          <w:spacing w:val="2"/>
        </w:rPr>
        <w:t>aras del </w:t>
      </w:r>
      <w:r>
        <w:rPr>
          <w:color w:val="231F20"/>
          <w:spacing w:val="3"/>
        </w:rPr>
        <w:t>mantenimiento </w:t>
      </w:r>
      <w:r>
        <w:rPr>
          <w:color w:val="231F20"/>
        </w:rPr>
        <w:t>de la </w:t>
      </w:r>
      <w:r>
        <w:rPr>
          <w:color w:val="231F20"/>
          <w:spacing w:val="2"/>
        </w:rPr>
        <w:t>inte- gración social, </w:t>
      </w:r>
      <w:r>
        <w:rPr>
          <w:color w:val="231F20"/>
        </w:rPr>
        <w:t>lo </w:t>
      </w:r>
      <w:r>
        <w:rPr>
          <w:color w:val="231F20"/>
          <w:spacing w:val="2"/>
        </w:rPr>
        <w:t>cual hay </w:t>
      </w:r>
      <w:r>
        <w:rPr>
          <w:color w:val="231F20"/>
        </w:rPr>
        <w:t>que </w:t>
      </w:r>
      <w:r>
        <w:rPr>
          <w:color w:val="231F20"/>
          <w:spacing w:val="2"/>
        </w:rPr>
        <w:t>entender </w:t>
      </w:r>
      <w:r>
        <w:rPr>
          <w:color w:val="231F20"/>
          <w:spacing w:val="3"/>
        </w:rPr>
        <w:t>como mantenimiento </w:t>
      </w:r>
      <w:r>
        <w:rPr>
          <w:color w:val="231F20"/>
        </w:rPr>
        <w:t>– </w:t>
      </w:r>
      <w:r>
        <w:rPr>
          <w:color w:val="231F20"/>
          <w:spacing w:val="2"/>
        </w:rPr>
        <w:t>justificación– </w:t>
      </w:r>
      <w:r>
        <w:rPr>
          <w:color w:val="231F20"/>
        </w:rPr>
        <w:t>de un </w:t>
      </w:r>
      <w:r>
        <w:rPr>
          <w:color w:val="231F20"/>
          <w:spacing w:val="2"/>
        </w:rPr>
        <w:t>orden </w:t>
      </w:r>
      <w:r>
        <w:rPr>
          <w:color w:val="231F20"/>
          <w:spacing w:val="3"/>
        </w:rPr>
        <w:t>económico </w:t>
      </w:r>
      <w:r>
        <w:rPr>
          <w:color w:val="231F20"/>
        </w:rPr>
        <w:t>y </w:t>
      </w:r>
      <w:r>
        <w:rPr>
          <w:color w:val="231F20"/>
          <w:spacing w:val="2"/>
        </w:rPr>
        <w:t>político signado por rela- ciones </w:t>
      </w:r>
      <w:r>
        <w:rPr>
          <w:color w:val="231F20"/>
        </w:rPr>
        <w:t>de</w:t>
      </w:r>
      <w:r>
        <w:rPr>
          <w:color w:val="231F20"/>
          <w:spacing w:val="16"/>
        </w:rPr>
        <w:t> </w:t>
      </w:r>
      <w:r>
        <w:rPr>
          <w:color w:val="231F20"/>
          <w:spacing w:val="3"/>
        </w:rPr>
        <w:t>dominio.</w:t>
      </w:r>
    </w:p>
    <w:p>
      <w:pPr>
        <w:pStyle w:val="BodyText"/>
        <w:spacing w:line="249" w:lineRule="auto"/>
        <w:ind w:left="102" w:right="114" w:firstLine="284"/>
        <w:jc w:val="both"/>
      </w:pPr>
      <w:r>
        <w:rPr>
          <w:color w:val="231F20"/>
        </w:rPr>
        <w:t>Así, pues, en un camino más cercano a Marx, tenemos a Ha- bermas que nos provee de una comprensión de la ideología como deformación sistemática de la comunicación entre los integrantes de una sociedad de clases (Habermas, 1975:44), lo cual equivale a sostener que lo que se produce es una pérdida del diálogo como base de sucesivas crisis de legitimación; aunque no habría que olvidar que, para Habermas el conocimiento científico tecnológico deviene en ideología cuando se pone al servicio de la justificación de situaciones de desigualdad (Habermas, 1996: 86 y ss.), lo cual supone que la ideología expresa un desanclaje entre fundamenta- ción epistemológica y ética en el discurso, pero: ¿de dónde brota</w:t>
      </w:r>
    </w:p>
    <w:p>
      <w:pPr>
        <w:spacing w:after="0" w:line="249" w:lineRule="auto"/>
        <w:jc w:val="both"/>
        <w:sectPr>
          <w:headerReference w:type="default" r:id="rId167"/>
          <w:footerReference w:type="default" r:id="rId168"/>
          <w:pgSz w:w="7830" w:h="11910"/>
          <w:pgMar w:header="0" w:footer="424" w:top="500" w:bottom="620" w:left="920" w:right="900"/>
          <w:pgNumType w:start="7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3"/>
        <w:jc w:val="both"/>
      </w:pPr>
      <w:r>
        <w:rPr>
          <w:color w:val="231F20"/>
        </w:rPr>
        <w:t>la </w:t>
      </w:r>
      <w:r>
        <w:rPr>
          <w:color w:val="231F20"/>
          <w:spacing w:val="2"/>
        </w:rPr>
        <w:t>exigencia </w:t>
      </w:r>
      <w:r>
        <w:rPr>
          <w:color w:val="231F20"/>
        </w:rPr>
        <w:t>de </w:t>
      </w:r>
      <w:r>
        <w:rPr>
          <w:color w:val="231F20"/>
          <w:spacing w:val="2"/>
        </w:rPr>
        <w:t>una ideología? De </w:t>
      </w:r>
      <w:r>
        <w:rPr>
          <w:color w:val="231F20"/>
          <w:spacing w:val="3"/>
        </w:rPr>
        <w:t>manera fenoménica, </w:t>
      </w:r>
      <w:r>
        <w:rPr>
          <w:color w:val="231F20"/>
        </w:rPr>
        <w:t>en la </w:t>
      </w:r>
      <w:r>
        <w:rPr>
          <w:color w:val="231F20"/>
          <w:spacing w:val="2"/>
        </w:rPr>
        <w:t>medi- </w:t>
      </w:r>
      <w:r>
        <w:rPr>
          <w:color w:val="231F20"/>
        </w:rPr>
        <w:t>da </w:t>
      </w:r>
      <w:r>
        <w:rPr>
          <w:color w:val="231F20"/>
          <w:spacing w:val="2"/>
        </w:rPr>
        <w:t>que una ideología </w:t>
      </w:r>
      <w:r>
        <w:rPr>
          <w:color w:val="231F20"/>
          <w:spacing w:val="3"/>
        </w:rPr>
        <w:t>produce </w:t>
      </w:r>
      <w:r>
        <w:rPr>
          <w:color w:val="231F20"/>
          <w:spacing w:val="2"/>
        </w:rPr>
        <w:t>una conciencia invertida </w:t>
      </w:r>
      <w:r>
        <w:rPr>
          <w:color w:val="231F20"/>
        </w:rPr>
        <w:t>de la </w:t>
      </w:r>
      <w:r>
        <w:rPr>
          <w:color w:val="231F20"/>
          <w:spacing w:val="2"/>
        </w:rPr>
        <w:t>reali- dad, que </w:t>
      </w:r>
      <w:r>
        <w:rPr>
          <w:color w:val="231F20"/>
        </w:rPr>
        <w:t>se </w:t>
      </w:r>
      <w:r>
        <w:rPr>
          <w:color w:val="231F20"/>
          <w:spacing w:val="2"/>
        </w:rPr>
        <w:t>manifiesta </w:t>
      </w:r>
      <w:r>
        <w:rPr>
          <w:color w:val="231F20"/>
        </w:rPr>
        <w:t>en un </w:t>
      </w:r>
      <w:r>
        <w:rPr>
          <w:color w:val="231F20"/>
          <w:spacing w:val="2"/>
        </w:rPr>
        <w:t>lenguaje particular </w:t>
      </w:r>
      <w:r>
        <w:rPr>
          <w:color w:val="231F20"/>
          <w:spacing w:val="3"/>
        </w:rPr>
        <w:t>mediante </w:t>
      </w:r>
      <w:r>
        <w:rPr>
          <w:color w:val="231F20"/>
        </w:rPr>
        <w:t>el </w:t>
      </w:r>
      <w:r>
        <w:rPr>
          <w:color w:val="231F20"/>
          <w:spacing w:val="2"/>
        </w:rPr>
        <w:t>cual  </w:t>
      </w:r>
      <w:r>
        <w:rPr>
          <w:color w:val="231F20"/>
        </w:rPr>
        <w:t>se </w:t>
      </w:r>
      <w:r>
        <w:rPr>
          <w:color w:val="231F20"/>
          <w:spacing w:val="2"/>
        </w:rPr>
        <w:t>racionalizan </w:t>
      </w:r>
      <w:r>
        <w:rPr>
          <w:color w:val="231F20"/>
        </w:rPr>
        <w:t>el </w:t>
      </w:r>
      <w:r>
        <w:rPr>
          <w:color w:val="231F20"/>
          <w:spacing w:val="2"/>
        </w:rPr>
        <w:t>conjunto </w:t>
      </w:r>
      <w:r>
        <w:rPr>
          <w:color w:val="231F20"/>
        </w:rPr>
        <w:t>de </w:t>
      </w:r>
      <w:r>
        <w:rPr>
          <w:color w:val="231F20"/>
          <w:spacing w:val="3"/>
        </w:rPr>
        <w:t>coacciones </w:t>
      </w:r>
      <w:r>
        <w:rPr>
          <w:color w:val="231F20"/>
        </w:rPr>
        <w:t>que </w:t>
      </w:r>
      <w:r>
        <w:rPr>
          <w:color w:val="231F20"/>
          <w:spacing w:val="2"/>
        </w:rPr>
        <w:t>pesan sobre las relaciones </w:t>
      </w:r>
      <w:r>
        <w:rPr>
          <w:color w:val="231F20"/>
        </w:rPr>
        <w:t>que </w:t>
      </w:r>
      <w:r>
        <w:rPr>
          <w:color w:val="231F20"/>
          <w:spacing w:val="2"/>
        </w:rPr>
        <w:t>establecen entre </w:t>
      </w:r>
      <w:r>
        <w:rPr>
          <w:color w:val="231F20"/>
        </w:rPr>
        <w:t>sí </w:t>
      </w:r>
      <w:r>
        <w:rPr>
          <w:color w:val="231F20"/>
          <w:spacing w:val="2"/>
        </w:rPr>
        <w:t>los seres </w:t>
      </w:r>
      <w:r>
        <w:rPr>
          <w:color w:val="231F20"/>
          <w:spacing w:val="3"/>
        </w:rPr>
        <w:t>humanos, donde el dominio </w:t>
      </w:r>
      <w:r>
        <w:rPr>
          <w:color w:val="231F20"/>
          <w:spacing w:val="2"/>
        </w:rPr>
        <w:t>directo </w:t>
      </w:r>
      <w:r>
        <w:rPr>
          <w:color w:val="231F20"/>
        </w:rPr>
        <w:t>se </w:t>
      </w:r>
      <w:r>
        <w:rPr>
          <w:color w:val="231F20"/>
          <w:spacing w:val="3"/>
        </w:rPr>
        <w:t>transmuta </w:t>
      </w:r>
      <w:r>
        <w:rPr>
          <w:color w:val="231F20"/>
        </w:rPr>
        <w:t>en </w:t>
      </w:r>
      <w:r>
        <w:rPr>
          <w:color w:val="231F20"/>
          <w:spacing w:val="3"/>
        </w:rPr>
        <w:t>consentimiento, </w:t>
      </w:r>
      <w:r>
        <w:rPr>
          <w:color w:val="231F20"/>
        </w:rPr>
        <w:t>la </w:t>
      </w:r>
      <w:r>
        <w:rPr>
          <w:color w:val="231F20"/>
          <w:spacing w:val="2"/>
        </w:rPr>
        <w:t>violencia  tiende </w:t>
      </w:r>
      <w:r>
        <w:rPr>
          <w:color w:val="231F20"/>
        </w:rPr>
        <w:t>a </w:t>
      </w:r>
      <w:r>
        <w:rPr>
          <w:color w:val="231F20"/>
          <w:spacing w:val="2"/>
        </w:rPr>
        <w:t>instalarse </w:t>
      </w:r>
      <w:r>
        <w:rPr>
          <w:color w:val="231F20"/>
        </w:rPr>
        <w:t>en las </w:t>
      </w:r>
      <w:r>
        <w:rPr>
          <w:color w:val="231F20"/>
          <w:spacing w:val="3"/>
        </w:rPr>
        <w:t>formas </w:t>
      </w:r>
      <w:r>
        <w:rPr>
          <w:color w:val="231F20"/>
        </w:rPr>
        <w:t>de </w:t>
      </w:r>
      <w:r>
        <w:rPr>
          <w:color w:val="231F20"/>
          <w:spacing w:val="3"/>
        </w:rPr>
        <w:t>comunicación, </w:t>
      </w:r>
      <w:r>
        <w:rPr>
          <w:color w:val="231F20"/>
          <w:spacing w:val="2"/>
        </w:rPr>
        <w:t>que, </w:t>
      </w:r>
      <w:r>
        <w:rPr>
          <w:color w:val="231F20"/>
        </w:rPr>
        <w:t>en </w:t>
      </w:r>
      <w:r>
        <w:rPr>
          <w:color w:val="231F20"/>
          <w:spacing w:val="2"/>
        </w:rPr>
        <w:t>las sociedades capitalistas tiene </w:t>
      </w:r>
      <w:r>
        <w:rPr>
          <w:color w:val="231F20"/>
        </w:rPr>
        <w:t>su </w:t>
      </w:r>
      <w:r>
        <w:rPr>
          <w:color w:val="231F20"/>
          <w:spacing w:val="2"/>
        </w:rPr>
        <w:t>base material </w:t>
      </w:r>
      <w:r>
        <w:rPr>
          <w:color w:val="231F20"/>
        </w:rPr>
        <w:t>en la </w:t>
      </w:r>
      <w:r>
        <w:rPr>
          <w:color w:val="231F20"/>
          <w:spacing w:val="2"/>
        </w:rPr>
        <w:t>inversión que opera</w:t>
      </w:r>
      <w:r>
        <w:rPr>
          <w:color w:val="231F20"/>
          <w:spacing w:val="-9"/>
        </w:rPr>
        <w:t> </w:t>
      </w:r>
      <w:r>
        <w:rPr>
          <w:color w:val="231F20"/>
        </w:rPr>
        <w:t>la</w:t>
      </w:r>
      <w:r>
        <w:rPr>
          <w:color w:val="231F20"/>
          <w:spacing w:val="-9"/>
        </w:rPr>
        <w:t> </w:t>
      </w:r>
      <w:r>
        <w:rPr>
          <w:color w:val="231F20"/>
          <w:spacing w:val="2"/>
        </w:rPr>
        <w:t>relación</w:t>
      </w:r>
      <w:r>
        <w:rPr>
          <w:color w:val="231F20"/>
          <w:spacing w:val="-9"/>
        </w:rPr>
        <w:t> </w:t>
      </w:r>
      <w:r>
        <w:rPr>
          <w:color w:val="231F20"/>
          <w:spacing w:val="2"/>
        </w:rPr>
        <w:t>capitalista,</w:t>
      </w:r>
      <w:r>
        <w:rPr>
          <w:color w:val="231F20"/>
          <w:spacing w:val="-9"/>
        </w:rPr>
        <w:t> </w:t>
      </w:r>
      <w:r>
        <w:rPr>
          <w:color w:val="231F20"/>
        </w:rPr>
        <w:t>ya</w:t>
      </w:r>
      <w:r>
        <w:rPr>
          <w:color w:val="231F20"/>
          <w:spacing w:val="-9"/>
        </w:rPr>
        <w:t> </w:t>
      </w:r>
      <w:r>
        <w:rPr>
          <w:color w:val="231F20"/>
          <w:spacing w:val="2"/>
        </w:rPr>
        <w:t>que:</w:t>
      </w:r>
    </w:p>
    <w:p>
      <w:pPr>
        <w:pStyle w:val="BodyText"/>
        <w:spacing w:before="1"/>
        <w:rPr>
          <w:sz w:val="23"/>
        </w:rPr>
      </w:pPr>
    </w:p>
    <w:p>
      <w:pPr>
        <w:spacing w:line="273" w:lineRule="auto" w:before="1"/>
        <w:ind w:left="810" w:right="165" w:firstLine="0"/>
        <w:jc w:val="both"/>
        <w:rPr>
          <w:sz w:val="19"/>
        </w:rPr>
      </w:pPr>
      <w:r>
        <w:rPr>
          <w:color w:val="231F20"/>
          <w:sz w:val="19"/>
        </w:rPr>
        <w:t>hace</w:t>
      </w:r>
      <w:r>
        <w:rPr>
          <w:color w:val="231F20"/>
          <w:spacing w:val="-8"/>
          <w:sz w:val="19"/>
        </w:rPr>
        <w:t> </w:t>
      </w:r>
      <w:r>
        <w:rPr>
          <w:color w:val="231F20"/>
          <w:sz w:val="19"/>
        </w:rPr>
        <w:t>su</w:t>
      </w:r>
      <w:r>
        <w:rPr>
          <w:color w:val="231F20"/>
          <w:spacing w:val="-8"/>
          <w:sz w:val="19"/>
        </w:rPr>
        <w:t> </w:t>
      </w:r>
      <w:r>
        <w:rPr>
          <w:color w:val="231F20"/>
          <w:sz w:val="19"/>
        </w:rPr>
        <w:t>aparición</w:t>
      </w:r>
      <w:r>
        <w:rPr>
          <w:color w:val="231F20"/>
          <w:spacing w:val="-8"/>
          <w:sz w:val="19"/>
        </w:rPr>
        <w:t> </w:t>
      </w:r>
      <w:r>
        <w:rPr>
          <w:color w:val="231F20"/>
          <w:sz w:val="19"/>
        </w:rPr>
        <w:t>asimismo</w:t>
      </w:r>
      <w:r>
        <w:rPr>
          <w:color w:val="231F20"/>
          <w:spacing w:val="-8"/>
          <w:sz w:val="19"/>
        </w:rPr>
        <w:t> </w:t>
      </w:r>
      <w:r>
        <w:rPr>
          <w:color w:val="231F20"/>
          <w:sz w:val="19"/>
        </w:rPr>
        <w:t>la</w:t>
      </w:r>
      <w:r>
        <w:rPr>
          <w:color w:val="231F20"/>
          <w:spacing w:val="-8"/>
          <w:sz w:val="19"/>
        </w:rPr>
        <w:t> </w:t>
      </w:r>
      <w:r>
        <w:rPr>
          <w:color w:val="231F20"/>
          <w:sz w:val="19"/>
        </w:rPr>
        <w:t>mistificación</w:t>
      </w:r>
      <w:r>
        <w:rPr>
          <w:color w:val="231F20"/>
          <w:spacing w:val="-8"/>
          <w:sz w:val="19"/>
        </w:rPr>
        <w:t> </w:t>
      </w:r>
      <w:r>
        <w:rPr>
          <w:color w:val="231F20"/>
          <w:sz w:val="19"/>
        </w:rPr>
        <w:t>inherente</w:t>
      </w:r>
      <w:r>
        <w:rPr>
          <w:color w:val="231F20"/>
          <w:spacing w:val="-8"/>
          <w:sz w:val="19"/>
        </w:rPr>
        <w:t> </w:t>
      </w:r>
      <w:r>
        <w:rPr>
          <w:color w:val="231F20"/>
          <w:sz w:val="19"/>
        </w:rPr>
        <w:t>a</w:t>
      </w:r>
      <w:r>
        <w:rPr>
          <w:color w:val="231F20"/>
          <w:spacing w:val="-8"/>
          <w:sz w:val="19"/>
        </w:rPr>
        <w:t> </w:t>
      </w:r>
      <w:r>
        <w:rPr>
          <w:color w:val="231F20"/>
          <w:sz w:val="19"/>
        </w:rPr>
        <w:t>la</w:t>
      </w:r>
      <w:r>
        <w:rPr>
          <w:color w:val="231F20"/>
          <w:spacing w:val="-9"/>
          <w:sz w:val="19"/>
        </w:rPr>
        <w:t> </w:t>
      </w:r>
      <w:r>
        <w:rPr>
          <w:i/>
          <w:color w:val="231F20"/>
          <w:sz w:val="19"/>
        </w:rPr>
        <w:t>relación </w:t>
      </w:r>
      <w:r>
        <w:rPr>
          <w:i/>
          <w:color w:val="231F20"/>
          <w:sz w:val="19"/>
        </w:rPr>
        <w:t>capitalista</w:t>
      </w:r>
      <w:r>
        <w:rPr>
          <w:color w:val="231F20"/>
          <w:sz w:val="19"/>
        </w:rPr>
        <w:t>.</w:t>
      </w:r>
      <w:r>
        <w:rPr>
          <w:color w:val="231F20"/>
          <w:spacing w:val="-9"/>
          <w:sz w:val="19"/>
        </w:rPr>
        <w:t> </w:t>
      </w:r>
      <w:r>
        <w:rPr>
          <w:color w:val="231F20"/>
          <w:sz w:val="19"/>
        </w:rPr>
        <w:t>La</w:t>
      </w:r>
      <w:r>
        <w:rPr>
          <w:color w:val="231F20"/>
          <w:spacing w:val="-9"/>
          <w:sz w:val="19"/>
        </w:rPr>
        <w:t> </w:t>
      </w:r>
      <w:r>
        <w:rPr>
          <w:color w:val="231F20"/>
          <w:sz w:val="19"/>
        </w:rPr>
        <w:t>facultad</w:t>
      </w:r>
      <w:r>
        <w:rPr>
          <w:color w:val="231F20"/>
          <w:spacing w:val="-8"/>
          <w:sz w:val="19"/>
        </w:rPr>
        <w:t> </w:t>
      </w:r>
      <w:r>
        <w:rPr>
          <w:color w:val="231F20"/>
          <w:sz w:val="19"/>
        </w:rPr>
        <w:t>que</w:t>
      </w:r>
      <w:r>
        <w:rPr>
          <w:color w:val="231F20"/>
          <w:spacing w:val="-9"/>
          <w:sz w:val="19"/>
        </w:rPr>
        <w:t> </w:t>
      </w:r>
      <w:r>
        <w:rPr>
          <w:color w:val="231F20"/>
          <w:sz w:val="19"/>
        </w:rPr>
        <w:t>el</w:t>
      </w:r>
      <w:r>
        <w:rPr>
          <w:color w:val="231F20"/>
          <w:spacing w:val="-9"/>
          <w:sz w:val="19"/>
        </w:rPr>
        <w:t> </w:t>
      </w:r>
      <w:r>
        <w:rPr>
          <w:color w:val="231F20"/>
          <w:sz w:val="19"/>
        </w:rPr>
        <w:t>trabajo</w:t>
      </w:r>
      <w:r>
        <w:rPr>
          <w:color w:val="231F20"/>
          <w:spacing w:val="-8"/>
          <w:sz w:val="19"/>
        </w:rPr>
        <w:t> </w:t>
      </w:r>
      <w:r>
        <w:rPr>
          <w:color w:val="231F20"/>
          <w:sz w:val="19"/>
        </w:rPr>
        <w:t>tiene</w:t>
      </w:r>
      <w:r>
        <w:rPr>
          <w:color w:val="231F20"/>
          <w:spacing w:val="-9"/>
          <w:sz w:val="19"/>
        </w:rPr>
        <w:t> </w:t>
      </w:r>
      <w:r>
        <w:rPr>
          <w:color w:val="231F20"/>
          <w:sz w:val="19"/>
        </w:rPr>
        <w:t>de</w:t>
      </w:r>
      <w:r>
        <w:rPr>
          <w:color w:val="231F20"/>
          <w:spacing w:val="-9"/>
          <w:sz w:val="19"/>
        </w:rPr>
        <w:t> </w:t>
      </w:r>
      <w:r>
        <w:rPr>
          <w:color w:val="231F20"/>
          <w:sz w:val="19"/>
        </w:rPr>
        <w:t>conservar</w:t>
      </w:r>
      <w:r>
        <w:rPr>
          <w:color w:val="231F20"/>
          <w:spacing w:val="-9"/>
          <w:sz w:val="19"/>
        </w:rPr>
        <w:t> </w:t>
      </w:r>
      <w:r>
        <w:rPr>
          <w:color w:val="231F20"/>
          <w:sz w:val="19"/>
        </w:rPr>
        <w:t>el</w:t>
      </w:r>
      <w:r>
        <w:rPr>
          <w:color w:val="231F20"/>
          <w:spacing w:val="-9"/>
          <w:sz w:val="19"/>
        </w:rPr>
        <w:t> </w:t>
      </w:r>
      <w:r>
        <w:rPr>
          <w:color w:val="231F20"/>
          <w:sz w:val="19"/>
        </w:rPr>
        <w:t>valor</w:t>
      </w:r>
      <w:r>
        <w:rPr>
          <w:color w:val="231F20"/>
          <w:spacing w:val="-9"/>
          <w:sz w:val="19"/>
        </w:rPr>
        <w:t> </w:t>
      </w:r>
      <w:r>
        <w:rPr>
          <w:color w:val="231F20"/>
          <w:sz w:val="19"/>
        </w:rPr>
        <w:t>se presenta como facultad de autoconservación del capital; la facul- tad del trabajo de generar valor, como facultad de autovaloriza- ción del capital, y en conjunto, y por definición, el trabajo </w:t>
      </w:r>
      <w:r>
        <w:rPr>
          <w:i/>
          <w:color w:val="231F20"/>
          <w:sz w:val="19"/>
        </w:rPr>
        <w:t>objeti- </w:t>
      </w:r>
      <w:r>
        <w:rPr>
          <w:i/>
          <w:color w:val="231F20"/>
          <w:sz w:val="19"/>
        </w:rPr>
        <w:t>vado</w:t>
      </w:r>
      <w:r>
        <w:rPr>
          <w:i/>
          <w:color w:val="231F20"/>
          <w:spacing w:val="-20"/>
          <w:sz w:val="19"/>
        </w:rPr>
        <w:t> </w:t>
      </w:r>
      <w:r>
        <w:rPr>
          <w:color w:val="231F20"/>
          <w:sz w:val="19"/>
        </w:rPr>
        <w:t>aparece</w:t>
      </w:r>
      <w:r>
        <w:rPr>
          <w:color w:val="231F20"/>
          <w:spacing w:val="-20"/>
          <w:sz w:val="19"/>
        </w:rPr>
        <w:t> </w:t>
      </w:r>
      <w:r>
        <w:rPr>
          <w:color w:val="231F20"/>
          <w:sz w:val="19"/>
        </w:rPr>
        <w:t>como</w:t>
      </w:r>
      <w:r>
        <w:rPr>
          <w:color w:val="231F20"/>
          <w:spacing w:val="-19"/>
          <w:sz w:val="19"/>
        </w:rPr>
        <w:t> </w:t>
      </w:r>
      <w:r>
        <w:rPr>
          <w:color w:val="231F20"/>
          <w:sz w:val="19"/>
        </w:rPr>
        <w:t>si</w:t>
      </w:r>
      <w:r>
        <w:rPr>
          <w:color w:val="231F20"/>
          <w:spacing w:val="-20"/>
          <w:sz w:val="19"/>
        </w:rPr>
        <w:t> </w:t>
      </w:r>
      <w:r>
        <w:rPr>
          <w:color w:val="231F20"/>
          <w:sz w:val="19"/>
        </w:rPr>
        <w:t>utilizara</w:t>
      </w:r>
      <w:r>
        <w:rPr>
          <w:color w:val="231F20"/>
          <w:spacing w:val="-20"/>
          <w:sz w:val="19"/>
        </w:rPr>
        <w:t> </w:t>
      </w:r>
      <w:r>
        <w:rPr>
          <w:color w:val="231F20"/>
          <w:sz w:val="19"/>
        </w:rPr>
        <w:t>al</w:t>
      </w:r>
      <w:r>
        <w:rPr>
          <w:color w:val="231F20"/>
          <w:spacing w:val="-20"/>
          <w:sz w:val="19"/>
        </w:rPr>
        <w:t> </w:t>
      </w:r>
      <w:r>
        <w:rPr>
          <w:color w:val="231F20"/>
          <w:sz w:val="19"/>
        </w:rPr>
        <w:t>trabajo</w:t>
      </w:r>
      <w:r>
        <w:rPr>
          <w:color w:val="231F20"/>
          <w:spacing w:val="-20"/>
          <w:sz w:val="19"/>
        </w:rPr>
        <w:t> </w:t>
      </w:r>
      <w:r>
        <w:rPr>
          <w:i/>
          <w:color w:val="231F20"/>
          <w:sz w:val="19"/>
        </w:rPr>
        <w:t>vivo</w:t>
      </w:r>
      <w:r>
        <w:rPr>
          <w:i/>
          <w:color w:val="231F20"/>
          <w:spacing w:val="-20"/>
          <w:sz w:val="19"/>
        </w:rPr>
        <w:t> </w:t>
      </w:r>
      <w:r>
        <w:rPr>
          <w:color w:val="231F20"/>
          <w:sz w:val="19"/>
        </w:rPr>
        <w:t>(Marx,</w:t>
      </w:r>
      <w:r>
        <w:rPr>
          <w:color w:val="231F20"/>
          <w:spacing w:val="-20"/>
          <w:sz w:val="19"/>
        </w:rPr>
        <w:t> </w:t>
      </w:r>
      <w:r>
        <w:rPr>
          <w:color w:val="231F20"/>
          <w:sz w:val="19"/>
        </w:rPr>
        <w:t>2001:55).</w:t>
      </w:r>
    </w:p>
    <w:p>
      <w:pPr>
        <w:pStyle w:val="BodyText"/>
        <w:spacing w:before="7"/>
        <w:rPr>
          <w:sz w:val="20"/>
        </w:rPr>
      </w:pPr>
    </w:p>
    <w:p>
      <w:pPr>
        <w:pStyle w:val="BodyText"/>
        <w:spacing w:line="247" w:lineRule="auto"/>
        <w:ind w:left="102" w:right="115" w:firstLine="284"/>
        <w:jc w:val="both"/>
      </w:pPr>
      <w:r>
        <w:rPr>
          <w:color w:val="231F20"/>
        </w:rPr>
        <w:t>Lo cual ya había planteado Marx como un proceso de extra- ñamiento de la propia actividad del trabajador que ocurre al pro- fundizarse el proceso de “valorización del mundo de las cosas”:</w:t>
      </w:r>
    </w:p>
    <w:p>
      <w:pPr>
        <w:pStyle w:val="BodyText"/>
        <w:spacing w:before="4"/>
        <w:rPr>
          <w:sz w:val="23"/>
        </w:rPr>
      </w:pPr>
    </w:p>
    <w:p>
      <w:pPr>
        <w:spacing w:line="273" w:lineRule="auto" w:before="0"/>
        <w:ind w:left="810" w:right="165" w:firstLine="0"/>
        <w:jc w:val="both"/>
        <w:rPr>
          <w:sz w:val="19"/>
        </w:rPr>
      </w:pPr>
      <w:r>
        <w:rPr>
          <w:color w:val="231F20"/>
          <w:sz w:val="19"/>
        </w:rPr>
        <w:t>Lo que este hecho expresa es, sencillamente, lo siguiente: el ob- jeto producido por el trabajo, su producto, se enfrenta a él (el </w:t>
      </w:r>
      <w:r>
        <w:rPr>
          <w:color w:val="231F20"/>
          <w:w w:val="95"/>
          <w:sz w:val="19"/>
        </w:rPr>
        <w:t>obrero)</w:t>
      </w:r>
      <w:r>
        <w:rPr>
          <w:color w:val="231F20"/>
          <w:spacing w:val="-5"/>
          <w:w w:val="95"/>
          <w:sz w:val="19"/>
        </w:rPr>
        <w:t> </w:t>
      </w:r>
      <w:r>
        <w:rPr>
          <w:color w:val="231F20"/>
          <w:w w:val="95"/>
          <w:sz w:val="19"/>
        </w:rPr>
        <w:t>como</w:t>
      </w:r>
      <w:r>
        <w:rPr>
          <w:color w:val="231F20"/>
          <w:spacing w:val="-5"/>
          <w:w w:val="95"/>
          <w:sz w:val="19"/>
        </w:rPr>
        <w:t> </w:t>
      </w:r>
      <w:r>
        <w:rPr>
          <w:i/>
          <w:color w:val="231F20"/>
          <w:w w:val="95"/>
          <w:sz w:val="19"/>
        </w:rPr>
        <w:t>algo</w:t>
      </w:r>
      <w:r>
        <w:rPr>
          <w:i/>
          <w:color w:val="231F20"/>
          <w:spacing w:val="-5"/>
          <w:w w:val="95"/>
          <w:sz w:val="19"/>
        </w:rPr>
        <w:t> </w:t>
      </w:r>
      <w:r>
        <w:rPr>
          <w:i/>
          <w:color w:val="231F20"/>
          <w:w w:val="95"/>
          <w:sz w:val="19"/>
        </w:rPr>
        <w:t>extraño</w:t>
      </w:r>
      <w:r>
        <w:rPr>
          <w:color w:val="231F20"/>
          <w:w w:val="95"/>
          <w:sz w:val="19"/>
        </w:rPr>
        <w:t>,</w:t>
      </w:r>
      <w:r>
        <w:rPr>
          <w:color w:val="231F20"/>
          <w:spacing w:val="-6"/>
          <w:w w:val="95"/>
          <w:sz w:val="19"/>
        </w:rPr>
        <w:t> </w:t>
      </w:r>
      <w:r>
        <w:rPr>
          <w:color w:val="231F20"/>
          <w:w w:val="95"/>
          <w:sz w:val="19"/>
        </w:rPr>
        <w:t>como</w:t>
      </w:r>
      <w:r>
        <w:rPr>
          <w:color w:val="231F20"/>
          <w:spacing w:val="-5"/>
          <w:w w:val="95"/>
          <w:sz w:val="19"/>
        </w:rPr>
        <w:t> </w:t>
      </w:r>
      <w:r>
        <w:rPr>
          <w:color w:val="231F20"/>
          <w:w w:val="95"/>
          <w:sz w:val="19"/>
        </w:rPr>
        <w:t>un</w:t>
      </w:r>
      <w:r>
        <w:rPr>
          <w:color w:val="231F20"/>
          <w:spacing w:val="-5"/>
          <w:w w:val="95"/>
          <w:sz w:val="19"/>
        </w:rPr>
        <w:t> </w:t>
      </w:r>
      <w:r>
        <w:rPr>
          <w:i/>
          <w:color w:val="231F20"/>
          <w:w w:val="95"/>
          <w:sz w:val="19"/>
        </w:rPr>
        <w:t>poder</w:t>
      </w:r>
      <w:r>
        <w:rPr>
          <w:i/>
          <w:color w:val="231F20"/>
          <w:spacing w:val="-6"/>
          <w:w w:val="95"/>
          <w:sz w:val="19"/>
        </w:rPr>
        <w:t> </w:t>
      </w:r>
      <w:r>
        <w:rPr>
          <w:i/>
          <w:color w:val="231F20"/>
          <w:w w:val="95"/>
          <w:sz w:val="19"/>
        </w:rPr>
        <w:t>independiente</w:t>
      </w:r>
      <w:r>
        <w:rPr>
          <w:i/>
          <w:color w:val="231F20"/>
          <w:spacing w:val="-6"/>
          <w:w w:val="95"/>
          <w:sz w:val="19"/>
        </w:rPr>
        <w:t> </w:t>
      </w:r>
      <w:r>
        <w:rPr>
          <w:color w:val="231F20"/>
          <w:w w:val="95"/>
          <w:sz w:val="19"/>
        </w:rPr>
        <w:t>del</w:t>
      </w:r>
      <w:r>
        <w:rPr>
          <w:color w:val="231F20"/>
          <w:spacing w:val="-6"/>
          <w:w w:val="95"/>
          <w:sz w:val="19"/>
        </w:rPr>
        <w:t> </w:t>
      </w:r>
      <w:r>
        <w:rPr>
          <w:color w:val="231F20"/>
          <w:w w:val="95"/>
          <w:sz w:val="19"/>
        </w:rPr>
        <w:t>produc- </w:t>
      </w:r>
      <w:r>
        <w:rPr>
          <w:color w:val="231F20"/>
          <w:sz w:val="19"/>
        </w:rPr>
        <w:t>tor. El producto del trabajo que se ha plasmado, materializado     en un objeto, es la objetivación del trabajo. La realización del trabajo es su objetivación (Marx,</w:t>
      </w:r>
      <w:r>
        <w:rPr>
          <w:color w:val="231F20"/>
          <w:spacing w:val="-30"/>
          <w:sz w:val="19"/>
        </w:rPr>
        <w:t> </w:t>
      </w:r>
      <w:r>
        <w:rPr>
          <w:color w:val="231F20"/>
          <w:sz w:val="19"/>
        </w:rPr>
        <w:t>1968:75).</w:t>
      </w:r>
    </w:p>
    <w:p>
      <w:pPr>
        <w:pStyle w:val="BodyText"/>
        <w:spacing w:before="2"/>
        <w:rPr>
          <w:sz w:val="20"/>
        </w:rPr>
      </w:pPr>
    </w:p>
    <w:p>
      <w:pPr>
        <w:pStyle w:val="BodyText"/>
        <w:spacing w:line="249" w:lineRule="auto" w:before="1"/>
        <w:ind w:left="102" w:right="113" w:firstLine="284"/>
        <w:jc w:val="both"/>
      </w:pPr>
      <w:r>
        <w:rPr>
          <w:color w:val="231F20"/>
          <w:spacing w:val="2"/>
        </w:rPr>
        <w:t>Esa escisión entre realización del trabajo </w:t>
      </w:r>
      <w:r>
        <w:rPr>
          <w:color w:val="231F20"/>
        </w:rPr>
        <w:t>y </w:t>
      </w:r>
      <w:r>
        <w:rPr>
          <w:color w:val="231F20"/>
          <w:spacing w:val="2"/>
        </w:rPr>
        <w:t>objetivación </w:t>
      </w:r>
      <w:r>
        <w:rPr>
          <w:color w:val="231F20"/>
          <w:spacing w:val="3"/>
        </w:rPr>
        <w:t>del mismo </w:t>
      </w:r>
      <w:r>
        <w:rPr>
          <w:color w:val="231F20"/>
        </w:rPr>
        <w:t>se </w:t>
      </w:r>
      <w:r>
        <w:rPr>
          <w:color w:val="231F20"/>
          <w:spacing w:val="2"/>
        </w:rPr>
        <w:t>convierte </w:t>
      </w:r>
      <w:r>
        <w:rPr>
          <w:color w:val="231F20"/>
        </w:rPr>
        <w:t>en el </w:t>
      </w:r>
      <w:r>
        <w:rPr>
          <w:color w:val="231F20"/>
          <w:spacing w:val="2"/>
        </w:rPr>
        <w:t>punto clave </w:t>
      </w:r>
      <w:r>
        <w:rPr>
          <w:color w:val="231F20"/>
        </w:rPr>
        <w:t>de la </w:t>
      </w:r>
      <w:r>
        <w:rPr>
          <w:color w:val="231F20"/>
          <w:spacing w:val="2"/>
        </w:rPr>
        <w:t>elaboración </w:t>
      </w:r>
      <w:r>
        <w:rPr>
          <w:color w:val="231F20"/>
        </w:rPr>
        <w:t>de las </w:t>
      </w:r>
      <w:r>
        <w:rPr>
          <w:color w:val="231F20"/>
          <w:spacing w:val="2"/>
        </w:rPr>
        <w:t>ideologías, puesto que </w:t>
      </w:r>
      <w:r>
        <w:rPr>
          <w:color w:val="231F20"/>
        </w:rPr>
        <w:t>lo que se </w:t>
      </w:r>
      <w:r>
        <w:rPr>
          <w:color w:val="231F20"/>
          <w:spacing w:val="2"/>
        </w:rPr>
        <w:t>trata </w:t>
      </w:r>
      <w:r>
        <w:rPr>
          <w:color w:val="231F20"/>
        </w:rPr>
        <w:t>de </w:t>
      </w:r>
      <w:r>
        <w:rPr>
          <w:color w:val="231F20"/>
          <w:spacing w:val="2"/>
        </w:rPr>
        <w:t>justificar </w:t>
      </w:r>
      <w:r>
        <w:rPr>
          <w:color w:val="231F20"/>
        </w:rPr>
        <w:t>es el </w:t>
      </w:r>
      <w:r>
        <w:rPr>
          <w:color w:val="231F20"/>
          <w:spacing w:val="3"/>
        </w:rPr>
        <w:t>modo </w:t>
      </w:r>
      <w:r>
        <w:rPr>
          <w:color w:val="231F20"/>
        </w:rPr>
        <w:t>en  que se </w:t>
      </w:r>
      <w:r>
        <w:rPr>
          <w:color w:val="231F20"/>
          <w:spacing w:val="2"/>
        </w:rPr>
        <w:t>produce una pérdida </w:t>
      </w:r>
      <w:r>
        <w:rPr>
          <w:color w:val="231F20"/>
        </w:rPr>
        <w:t>en la </w:t>
      </w:r>
      <w:r>
        <w:rPr>
          <w:color w:val="231F20"/>
          <w:spacing w:val="2"/>
        </w:rPr>
        <w:t>realización </w:t>
      </w:r>
      <w:r>
        <w:rPr>
          <w:color w:val="231F20"/>
        </w:rPr>
        <w:t>del </w:t>
      </w:r>
      <w:r>
        <w:rPr>
          <w:color w:val="231F20"/>
          <w:spacing w:val="2"/>
        </w:rPr>
        <w:t>trabajo </w:t>
      </w:r>
      <w:r>
        <w:rPr>
          <w:color w:val="231F20"/>
        </w:rPr>
        <w:t>y, en </w:t>
      </w:r>
      <w:r>
        <w:rPr>
          <w:color w:val="231F20"/>
          <w:spacing w:val="4"/>
        </w:rPr>
        <w:t>con- </w:t>
      </w:r>
      <w:r>
        <w:rPr>
          <w:color w:val="231F20"/>
          <w:spacing w:val="2"/>
        </w:rPr>
        <w:t>secuencia, una pérdida del objeto </w:t>
      </w:r>
      <w:r>
        <w:rPr>
          <w:color w:val="231F20"/>
        </w:rPr>
        <w:t>de </w:t>
      </w:r>
      <w:r>
        <w:rPr>
          <w:color w:val="231F20"/>
          <w:spacing w:val="2"/>
        </w:rPr>
        <w:t>trabajo </w:t>
      </w:r>
      <w:r>
        <w:rPr>
          <w:color w:val="231F20"/>
        </w:rPr>
        <w:t>que se </w:t>
      </w:r>
      <w:r>
        <w:rPr>
          <w:color w:val="231F20"/>
          <w:spacing w:val="2"/>
        </w:rPr>
        <w:t>convierte </w:t>
      </w:r>
      <w:r>
        <w:rPr>
          <w:color w:val="231F20"/>
          <w:spacing w:val="3"/>
        </w:rPr>
        <w:t>en </w:t>
      </w:r>
      <w:r>
        <w:rPr>
          <w:color w:val="231F20"/>
          <w:spacing w:val="2"/>
        </w:rPr>
        <w:t>poder sobre una parte </w:t>
      </w:r>
      <w:r>
        <w:rPr>
          <w:color w:val="231F20"/>
        </w:rPr>
        <w:t>de  </w:t>
      </w:r>
      <w:r>
        <w:rPr>
          <w:color w:val="231F20"/>
          <w:spacing w:val="2"/>
        </w:rPr>
        <w:t>los </w:t>
      </w:r>
      <w:r>
        <w:rPr>
          <w:color w:val="231F20"/>
          <w:spacing w:val="3"/>
        </w:rPr>
        <w:t>hombres, </w:t>
      </w:r>
      <w:r>
        <w:rPr>
          <w:color w:val="231F20"/>
          <w:spacing w:val="2"/>
        </w:rPr>
        <w:t>los </w:t>
      </w:r>
      <w:r>
        <w:rPr>
          <w:color w:val="231F20"/>
          <w:spacing w:val="3"/>
        </w:rPr>
        <w:t>productores </w:t>
      </w:r>
      <w:r>
        <w:rPr>
          <w:color w:val="231F20"/>
          <w:spacing w:val="2"/>
        </w:rPr>
        <w:t>directos,   </w:t>
      </w:r>
      <w:r>
        <w:rPr>
          <w:color w:val="231F20"/>
        </w:rPr>
        <w:t>de tal </w:t>
      </w:r>
      <w:r>
        <w:rPr>
          <w:color w:val="231F20"/>
          <w:spacing w:val="3"/>
        </w:rPr>
        <w:t>modo </w:t>
      </w:r>
      <w:r>
        <w:rPr>
          <w:color w:val="231F20"/>
          <w:spacing w:val="2"/>
        </w:rPr>
        <w:t>que </w:t>
      </w:r>
      <w:r>
        <w:rPr>
          <w:color w:val="231F20"/>
        </w:rPr>
        <w:t>el </w:t>
      </w:r>
      <w:r>
        <w:rPr>
          <w:color w:val="231F20"/>
          <w:spacing w:val="2"/>
        </w:rPr>
        <w:t>mismo trabajador </w:t>
      </w:r>
      <w:r>
        <w:rPr>
          <w:color w:val="231F20"/>
        </w:rPr>
        <w:t>“se </w:t>
      </w:r>
      <w:r>
        <w:rPr>
          <w:color w:val="231F20"/>
          <w:spacing w:val="3"/>
        </w:rPr>
        <w:t>comporta </w:t>
      </w:r>
      <w:r>
        <w:rPr>
          <w:color w:val="231F20"/>
          <w:spacing w:val="2"/>
        </w:rPr>
        <w:t>hacia </w:t>
      </w:r>
      <w:r>
        <w:rPr>
          <w:color w:val="231F20"/>
        </w:rPr>
        <w:t>el </w:t>
      </w:r>
      <w:r>
        <w:rPr>
          <w:i/>
          <w:color w:val="231F20"/>
          <w:spacing w:val="3"/>
        </w:rPr>
        <w:t>produc- </w:t>
      </w:r>
      <w:r>
        <w:rPr>
          <w:i/>
          <w:color w:val="231F20"/>
        </w:rPr>
        <w:t>to de su </w:t>
      </w:r>
      <w:r>
        <w:rPr>
          <w:i/>
          <w:color w:val="231F20"/>
          <w:spacing w:val="2"/>
        </w:rPr>
        <w:t>trabajo </w:t>
      </w:r>
      <w:r>
        <w:rPr>
          <w:color w:val="231F20"/>
          <w:spacing w:val="3"/>
        </w:rPr>
        <w:t>como </w:t>
      </w:r>
      <w:r>
        <w:rPr>
          <w:color w:val="231F20"/>
          <w:spacing w:val="2"/>
        </w:rPr>
        <w:t>hacia </w:t>
      </w:r>
      <w:r>
        <w:rPr>
          <w:color w:val="231F20"/>
        </w:rPr>
        <w:t>un </w:t>
      </w:r>
      <w:r>
        <w:rPr>
          <w:color w:val="231F20"/>
          <w:spacing w:val="2"/>
        </w:rPr>
        <w:t>objeto </w:t>
      </w:r>
      <w:r>
        <w:rPr>
          <w:i/>
          <w:color w:val="231F20"/>
          <w:spacing w:val="2"/>
        </w:rPr>
        <w:t>ajeno</w:t>
      </w:r>
      <w:r>
        <w:rPr>
          <w:color w:val="231F20"/>
          <w:spacing w:val="2"/>
        </w:rPr>
        <w:t>”. Por </w:t>
      </w:r>
      <w:r>
        <w:rPr>
          <w:color w:val="231F20"/>
        </w:rPr>
        <w:t>lo </w:t>
      </w:r>
      <w:r>
        <w:rPr>
          <w:color w:val="231F20"/>
          <w:spacing w:val="2"/>
        </w:rPr>
        <w:t>tanto, </w:t>
      </w:r>
      <w:r>
        <w:rPr>
          <w:color w:val="231F20"/>
        </w:rPr>
        <w:t>la </w:t>
      </w:r>
      <w:r>
        <w:rPr>
          <w:color w:val="231F20"/>
          <w:spacing w:val="2"/>
        </w:rPr>
        <w:t>base sobre </w:t>
      </w:r>
      <w:r>
        <w:rPr>
          <w:color w:val="231F20"/>
        </w:rPr>
        <w:t>la que </w:t>
      </w:r>
      <w:r>
        <w:rPr>
          <w:color w:val="231F20"/>
          <w:spacing w:val="2"/>
        </w:rPr>
        <w:t>emergen </w:t>
      </w:r>
      <w:r>
        <w:rPr>
          <w:color w:val="231F20"/>
        </w:rPr>
        <w:t>las </w:t>
      </w:r>
      <w:r>
        <w:rPr>
          <w:color w:val="231F20"/>
          <w:spacing w:val="2"/>
        </w:rPr>
        <w:t>ideologías </w:t>
      </w:r>
      <w:r>
        <w:rPr>
          <w:color w:val="231F20"/>
        </w:rPr>
        <w:t>es </w:t>
      </w:r>
      <w:r>
        <w:rPr>
          <w:color w:val="231F20"/>
          <w:spacing w:val="3"/>
        </w:rPr>
        <w:t>enteramente </w:t>
      </w:r>
      <w:r>
        <w:rPr>
          <w:color w:val="231F20"/>
          <w:spacing w:val="2"/>
        </w:rPr>
        <w:t>material, </w:t>
      </w:r>
      <w:r>
        <w:rPr>
          <w:color w:val="231F20"/>
          <w:spacing w:val="3"/>
        </w:rPr>
        <w:t>el </w:t>
      </w:r>
      <w:r>
        <w:rPr>
          <w:color w:val="231F20"/>
          <w:spacing w:val="2"/>
        </w:rPr>
        <w:t>proceso </w:t>
      </w:r>
      <w:r>
        <w:rPr>
          <w:color w:val="231F20"/>
          <w:spacing w:val="3"/>
        </w:rPr>
        <w:t>mismo </w:t>
      </w:r>
      <w:r>
        <w:rPr>
          <w:color w:val="231F20"/>
        </w:rPr>
        <w:t>de </w:t>
      </w:r>
      <w:r>
        <w:rPr>
          <w:color w:val="231F20"/>
          <w:spacing w:val="2"/>
        </w:rPr>
        <w:t>dominio político, </w:t>
      </w:r>
      <w:r>
        <w:rPr>
          <w:color w:val="231F20"/>
        </w:rPr>
        <w:t>el </w:t>
      </w:r>
      <w:r>
        <w:rPr>
          <w:color w:val="231F20"/>
          <w:spacing w:val="2"/>
        </w:rPr>
        <w:t>poder </w:t>
      </w:r>
      <w:r>
        <w:rPr>
          <w:color w:val="231F20"/>
        </w:rPr>
        <w:t>que se </w:t>
      </w:r>
      <w:r>
        <w:rPr>
          <w:color w:val="231F20"/>
          <w:spacing w:val="2"/>
        </w:rPr>
        <w:t>ejerce sobre  los  </w:t>
      </w:r>
      <w:r>
        <w:rPr>
          <w:color w:val="231F20"/>
          <w:spacing w:val="3"/>
        </w:rPr>
        <w:t>gobernados, </w:t>
      </w:r>
      <w:r>
        <w:rPr>
          <w:color w:val="231F20"/>
          <w:spacing w:val="2"/>
        </w:rPr>
        <w:t>tiene  </w:t>
      </w:r>
      <w:r>
        <w:rPr>
          <w:color w:val="231F20"/>
        </w:rPr>
        <w:t>su  </w:t>
      </w:r>
      <w:r>
        <w:rPr>
          <w:color w:val="231F20"/>
          <w:spacing w:val="3"/>
        </w:rPr>
        <w:t>fundamento </w:t>
      </w:r>
      <w:r>
        <w:rPr>
          <w:color w:val="231F20"/>
        </w:rPr>
        <w:t>en  </w:t>
      </w:r>
      <w:r>
        <w:rPr>
          <w:color w:val="231F20"/>
          <w:spacing w:val="2"/>
        </w:rPr>
        <w:t>esos  </w:t>
      </w:r>
      <w:r>
        <w:rPr>
          <w:color w:val="231F20"/>
          <w:spacing w:val="3"/>
        </w:rPr>
        <w:t>procesos</w:t>
      </w:r>
      <w:r>
        <w:rPr>
          <w:color w:val="231F20"/>
          <w:spacing w:val="2"/>
        </w:rPr>
        <w:t> mediante</w:t>
      </w:r>
    </w:p>
    <w:p>
      <w:pPr>
        <w:spacing w:after="0" w:line="249" w:lineRule="auto"/>
        <w:jc w:val="both"/>
        <w:sectPr>
          <w:headerReference w:type="default" r:id="rId169"/>
          <w:footerReference w:type="default" r:id="rId170"/>
          <w:pgSz w:w="7830" w:h="11910"/>
          <w:pgMar w:header="0" w:footer="424" w:top="500" w:bottom="620" w:left="920" w:right="900"/>
          <w:pgNumType w:start="7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5"/>
        <w:jc w:val="both"/>
      </w:pPr>
      <w:r>
        <w:rPr>
          <w:color w:val="231F20"/>
        </w:rPr>
        <w:t>los cuales la realización del trabajo se objetiva y se convierte en poder, es decir, en capacidad de disponer de los trabajadores y sus productos, la cual se ve amplificada por la extensión de la división del trabajo. Con esto lo que se quiere decir es que, si solo se con- sidera a la ideología como una falsa conciencia se estaría en la situación que Marx cuestionaba a aquellos que sostenían que bas- taba con modificar los pensamientos de los hombres para trans- formar sus vidas. Así, para entender las ideologías y el papel que cumplen, dirá Marx:</w:t>
      </w:r>
    </w:p>
    <w:p>
      <w:pPr>
        <w:pStyle w:val="BodyText"/>
        <w:spacing w:before="1"/>
        <w:rPr>
          <w:sz w:val="23"/>
        </w:rPr>
      </w:pPr>
    </w:p>
    <w:p>
      <w:pPr>
        <w:spacing w:line="273" w:lineRule="auto" w:before="1"/>
        <w:ind w:left="810" w:right="165" w:firstLine="0"/>
        <w:jc w:val="both"/>
        <w:rPr>
          <w:sz w:val="19"/>
        </w:rPr>
      </w:pPr>
      <w:r>
        <w:rPr>
          <w:color w:val="231F20"/>
          <w:sz w:val="19"/>
        </w:rPr>
        <w:t>Las premisas de donde partimos no son bases arbitrarias, ni dogmas; son bases reales que nada más en la imaginación podemos abstraer. Son los individuos reales, su actividad y sus condiciones materiales de vida, tanto las que encontraron ya preparadas como las que crearon con su propio esfuerzo. Estas bases son, pues, comprobables por una vía puramente empírica </w:t>
      </w:r>
      <w:r>
        <w:rPr>
          <w:color w:val="231F20"/>
          <w:w w:val="95"/>
          <w:sz w:val="19"/>
        </w:rPr>
        <w:t>(Marx, 1985:24).</w:t>
      </w:r>
    </w:p>
    <w:p>
      <w:pPr>
        <w:pStyle w:val="BodyText"/>
        <w:spacing w:before="7"/>
        <w:rPr>
          <w:sz w:val="20"/>
        </w:rPr>
      </w:pPr>
    </w:p>
    <w:p>
      <w:pPr>
        <w:pStyle w:val="BodyText"/>
        <w:spacing w:line="249" w:lineRule="auto"/>
        <w:ind w:left="102" w:right="115" w:firstLine="283"/>
        <w:jc w:val="both"/>
      </w:pPr>
      <w:r>
        <w:rPr>
          <w:color w:val="231F20"/>
        </w:rPr>
        <w:t>Si </w:t>
      </w:r>
      <w:r>
        <w:rPr>
          <w:color w:val="231F20"/>
          <w:spacing w:val="2"/>
        </w:rPr>
        <w:t>bien, </w:t>
      </w:r>
      <w:r>
        <w:rPr>
          <w:color w:val="231F20"/>
        </w:rPr>
        <w:t>la </w:t>
      </w:r>
      <w:r>
        <w:rPr>
          <w:color w:val="231F20"/>
          <w:spacing w:val="2"/>
        </w:rPr>
        <w:t>ideología tiene una base material cuya </w:t>
      </w:r>
      <w:r>
        <w:rPr>
          <w:color w:val="231F20"/>
        </w:rPr>
        <w:t>raíz se </w:t>
      </w:r>
      <w:r>
        <w:rPr>
          <w:color w:val="231F20"/>
          <w:spacing w:val="3"/>
        </w:rPr>
        <w:t>en- </w:t>
      </w:r>
      <w:r>
        <w:rPr>
          <w:color w:val="231F20"/>
          <w:spacing w:val="2"/>
        </w:rPr>
        <w:t>cuentra </w:t>
      </w:r>
      <w:r>
        <w:rPr>
          <w:color w:val="231F20"/>
        </w:rPr>
        <w:t>en </w:t>
      </w:r>
      <w:r>
        <w:rPr>
          <w:color w:val="231F20"/>
          <w:spacing w:val="2"/>
        </w:rPr>
        <w:t>los </w:t>
      </w:r>
      <w:r>
        <w:rPr>
          <w:color w:val="231F20"/>
          <w:spacing w:val="3"/>
        </w:rPr>
        <w:t>modos </w:t>
      </w:r>
      <w:r>
        <w:rPr>
          <w:color w:val="231F20"/>
        </w:rPr>
        <w:t>en </w:t>
      </w:r>
      <w:r>
        <w:rPr>
          <w:color w:val="231F20"/>
          <w:spacing w:val="2"/>
        </w:rPr>
        <w:t>que </w:t>
      </w:r>
      <w:r>
        <w:rPr>
          <w:color w:val="231F20"/>
        </w:rPr>
        <w:t>se </w:t>
      </w:r>
      <w:r>
        <w:rPr>
          <w:color w:val="231F20"/>
          <w:spacing w:val="2"/>
        </w:rPr>
        <w:t>objetiva </w:t>
      </w:r>
      <w:r>
        <w:rPr>
          <w:color w:val="231F20"/>
        </w:rPr>
        <w:t>el </w:t>
      </w:r>
      <w:r>
        <w:rPr>
          <w:color w:val="231F20"/>
          <w:spacing w:val="2"/>
        </w:rPr>
        <w:t>trabajo </w:t>
      </w:r>
      <w:r>
        <w:rPr>
          <w:color w:val="231F20"/>
        </w:rPr>
        <w:t>y se </w:t>
      </w:r>
      <w:r>
        <w:rPr>
          <w:color w:val="231F20"/>
          <w:spacing w:val="2"/>
        </w:rPr>
        <w:t>convierte   </w:t>
      </w:r>
      <w:r>
        <w:rPr>
          <w:color w:val="231F20"/>
        </w:rPr>
        <w:t>en un </w:t>
      </w:r>
      <w:r>
        <w:rPr>
          <w:color w:val="231F20"/>
          <w:spacing w:val="3"/>
        </w:rPr>
        <w:t>poder </w:t>
      </w:r>
      <w:r>
        <w:rPr>
          <w:color w:val="231F20"/>
          <w:spacing w:val="2"/>
        </w:rPr>
        <w:t>ajeno </w:t>
      </w:r>
      <w:r>
        <w:rPr>
          <w:color w:val="231F20"/>
        </w:rPr>
        <w:t>a </w:t>
      </w:r>
      <w:r>
        <w:rPr>
          <w:color w:val="231F20"/>
          <w:spacing w:val="2"/>
        </w:rPr>
        <w:t>los </w:t>
      </w:r>
      <w:r>
        <w:rPr>
          <w:color w:val="231F20"/>
          <w:spacing w:val="3"/>
        </w:rPr>
        <w:t>hombres, entonces, </w:t>
      </w:r>
      <w:r>
        <w:rPr>
          <w:color w:val="231F20"/>
        </w:rPr>
        <w:t>se </w:t>
      </w:r>
      <w:r>
        <w:rPr>
          <w:color w:val="231F20"/>
          <w:spacing w:val="3"/>
        </w:rPr>
        <w:t>puede </w:t>
      </w:r>
      <w:r>
        <w:rPr>
          <w:color w:val="231F20"/>
          <w:spacing w:val="2"/>
        </w:rPr>
        <w:t>interpretar </w:t>
      </w:r>
      <w:r>
        <w:rPr>
          <w:color w:val="231F20"/>
        </w:rPr>
        <w:t>que el </w:t>
      </w:r>
      <w:r>
        <w:rPr>
          <w:color w:val="231F20"/>
          <w:spacing w:val="2"/>
        </w:rPr>
        <w:t>anclaje </w:t>
      </w:r>
      <w:r>
        <w:rPr>
          <w:color w:val="231F20"/>
        </w:rPr>
        <w:t>de la </w:t>
      </w:r>
      <w:r>
        <w:rPr>
          <w:color w:val="231F20"/>
          <w:spacing w:val="2"/>
        </w:rPr>
        <w:t>ideología </w:t>
      </w:r>
      <w:r>
        <w:rPr>
          <w:color w:val="231F20"/>
        </w:rPr>
        <w:t>se </w:t>
      </w:r>
      <w:r>
        <w:rPr>
          <w:color w:val="231F20"/>
          <w:spacing w:val="2"/>
        </w:rPr>
        <w:t>realiza bajo determinadas </w:t>
      </w:r>
      <w:r>
        <w:rPr>
          <w:color w:val="231F20"/>
          <w:spacing w:val="3"/>
        </w:rPr>
        <w:t>condi- </w:t>
      </w:r>
      <w:r>
        <w:rPr>
          <w:color w:val="231F20"/>
          <w:spacing w:val="2"/>
        </w:rPr>
        <w:t>ciones materiales </w:t>
      </w:r>
      <w:r>
        <w:rPr>
          <w:color w:val="231F20"/>
        </w:rPr>
        <w:t>de </w:t>
      </w:r>
      <w:r>
        <w:rPr>
          <w:color w:val="231F20"/>
          <w:spacing w:val="2"/>
        </w:rPr>
        <w:t>existencia, </w:t>
      </w:r>
      <w:r>
        <w:rPr>
          <w:color w:val="231F20"/>
        </w:rPr>
        <w:t>las </w:t>
      </w:r>
      <w:r>
        <w:rPr>
          <w:color w:val="231F20"/>
          <w:spacing w:val="2"/>
        </w:rPr>
        <w:t>cuales operan </w:t>
      </w:r>
      <w:r>
        <w:rPr>
          <w:color w:val="231F20"/>
        </w:rPr>
        <w:t>en </w:t>
      </w:r>
      <w:r>
        <w:rPr>
          <w:color w:val="231F20"/>
          <w:spacing w:val="2"/>
        </w:rPr>
        <w:t>dos sentidos, uno </w:t>
      </w:r>
      <w:r>
        <w:rPr>
          <w:color w:val="231F20"/>
        </w:rPr>
        <w:t>en que se </w:t>
      </w:r>
      <w:r>
        <w:rPr>
          <w:color w:val="231F20"/>
          <w:spacing w:val="2"/>
        </w:rPr>
        <w:t>expresa </w:t>
      </w:r>
      <w:r>
        <w:rPr>
          <w:color w:val="231F20"/>
        </w:rPr>
        <w:t>lo ya </w:t>
      </w:r>
      <w:r>
        <w:rPr>
          <w:color w:val="231F20"/>
          <w:spacing w:val="2"/>
        </w:rPr>
        <w:t>constituido, </w:t>
      </w:r>
      <w:r>
        <w:rPr>
          <w:color w:val="231F20"/>
        </w:rPr>
        <w:t>lo </w:t>
      </w:r>
      <w:r>
        <w:rPr>
          <w:color w:val="231F20"/>
          <w:spacing w:val="2"/>
        </w:rPr>
        <w:t>objetivo (condiciones materiales </w:t>
      </w:r>
      <w:r>
        <w:rPr>
          <w:color w:val="231F20"/>
        </w:rPr>
        <w:t>ya </w:t>
      </w:r>
      <w:r>
        <w:rPr>
          <w:color w:val="231F20"/>
          <w:spacing w:val="2"/>
        </w:rPr>
        <w:t>existentes) </w:t>
      </w:r>
      <w:r>
        <w:rPr>
          <w:color w:val="231F20"/>
        </w:rPr>
        <w:t>y, </w:t>
      </w:r>
      <w:r>
        <w:rPr>
          <w:color w:val="231F20"/>
          <w:spacing w:val="2"/>
        </w:rPr>
        <w:t>otro, que </w:t>
      </w:r>
      <w:r>
        <w:rPr>
          <w:color w:val="231F20"/>
        </w:rPr>
        <w:t>se </w:t>
      </w:r>
      <w:r>
        <w:rPr>
          <w:color w:val="231F20"/>
          <w:spacing w:val="2"/>
        </w:rPr>
        <w:t>refiere </w:t>
      </w:r>
      <w:r>
        <w:rPr>
          <w:color w:val="231F20"/>
        </w:rPr>
        <w:t>a lo </w:t>
      </w:r>
      <w:r>
        <w:rPr>
          <w:color w:val="231F20"/>
          <w:spacing w:val="2"/>
        </w:rPr>
        <w:t>que </w:t>
      </w:r>
      <w:r>
        <w:rPr>
          <w:color w:val="231F20"/>
        </w:rPr>
        <w:t>los </w:t>
      </w:r>
      <w:r>
        <w:rPr>
          <w:color w:val="231F20"/>
          <w:spacing w:val="3"/>
        </w:rPr>
        <w:t>hom- </w:t>
      </w:r>
      <w:r>
        <w:rPr>
          <w:color w:val="231F20"/>
          <w:spacing w:val="2"/>
        </w:rPr>
        <w:t>bres construyen </w:t>
      </w:r>
      <w:r>
        <w:rPr>
          <w:color w:val="231F20"/>
        </w:rPr>
        <w:t>en </w:t>
      </w:r>
      <w:r>
        <w:rPr>
          <w:color w:val="231F20"/>
          <w:spacing w:val="2"/>
        </w:rPr>
        <w:t>cada época, </w:t>
      </w:r>
      <w:r>
        <w:rPr>
          <w:color w:val="231F20"/>
        </w:rPr>
        <w:t>en </w:t>
      </w:r>
      <w:r>
        <w:rPr>
          <w:color w:val="231F20"/>
          <w:spacing w:val="2"/>
        </w:rPr>
        <w:t>cada sociedad, </w:t>
      </w:r>
      <w:r>
        <w:rPr>
          <w:color w:val="231F20"/>
        </w:rPr>
        <w:t>lo </w:t>
      </w:r>
      <w:r>
        <w:rPr>
          <w:color w:val="231F20"/>
          <w:spacing w:val="2"/>
        </w:rPr>
        <w:t>subjetivo (condiciones producidas por </w:t>
      </w:r>
      <w:r>
        <w:rPr>
          <w:color w:val="231F20"/>
        </w:rPr>
        <w:t>su </w:t>
      </w:r>
      <w:r>
        <w:rPr>
          <w:color w:val="231F20"/>
          <w:spacing w:val="2"/>
        </w:rPr>
        <w:t>propia actividad). Situación que </w:t>
      </w:r>
      <w:r>
        <w:rPr>
          <w:color w:val="231F20"/>
          <w:spacing w:val="3"/>
        </w:rPr>
        <w:t>podemos </w:t>
      </w:r>
      <w:r>
        <w:rPr>
          <w:color w:val="231F20"/>
          <w:spacing w:val="2"/>
        </w:rPr>
        <w:t>interpretar </w:t>
      </w:r>
      <w:r>
        <w:rPr>
          <w:color w:val="231F20"/>
          <w:spacing w:val="3"/>
        </w:rPr>
        <w:t>como </w:t>
      </w:r>
      <w:r>
        <w:rPr>
          <w:color w:val="231F20"/>
        </w:rPr>
        <w:t>la </w:t>
      </w:r>
      <w:r>
        <w:rPr>
          <w:color w:val="231F20"/>
          <w:spacing w:val="2"/>
        </w:rPr>
        <w:t>constitución </w:t>
      </w:r>
      <w:r>
        <w:rPr>
          <w:color w:val="231F20"/>
        </w:rPr>
        <w:t>de un </w:t>
      </w:r>
      <w:r>
        <w:rPr>
          <w:color w:val="231F20"/>
          <w:spacing w:val="2"/>
        </w:rPr>
        <w:t>contexto </w:t>
      </w:r>
      <w:r>
        <w:rPr>
          <w:color w:val="231F20"/>
        </w:rPr>
        <w:t>de </w:t>
      </w:r>
      <w:r>
        <w:rPr>
          <w:color w:val="231F20"/>
          <w:spacing w:val="4"/>
        </w:rPr>
        <w:t>in- </w:t>
      </w:r>
      <w:r>
        <w:rPr>
          <w:color w:val="231F20"/>
          <w:spacing w:val="2"/>
        </w:rPr>
        <w:t>tereses, </w:t>
      </w:r>
      <w:r>
        <w:rPr>
          <w:color w:val="231F20"/>
        </w:rPr>
        <w:t>en la </w:t>
      </w:r>
      <w:r>
        <w:rPr>
          <w:color w:val="231F20"/>
          <w:spacing w:val="2"/>
        </w:rPr>
        <w:t>medida que </w:t>
      </w:r>
      <w:r>
        <w:rPr>
          <w:color w:val="231F20"/>
        </w:rPr>
        <w:t>se </w:t>
      </w:r>
      <w:r>
        <w:rPr>
          <w:color w:val="231F20"/>
          <w:spacing w:val="3"/>
        </w:rPr>
        <w:t>reconoce </w:t>
      </w:r>
      <w:r>
        <w:rPr>
          <w:color w:val="231F20"/>
        </w:rPr>
        <w:t>la </w:t>
      </w:r>
      <w:r>
        <w:rPr>
          <w:color w:val="231F20"/>
          <w:spacing w:val="2"/>
        </w:rPr>
        <w:t>división </w:t>
      </w:r>
      <w:r>
        <w:rPr>
          <w:color w:val="231F20"/>
        </w:rPr>
        <w:t>de </w:t>
      </w:r>
      <w:r>
        <w:rPr>
          <w:color w:val="231F20"/>
          <w:spacing w:val="2"/>
        </w:rPr>
        <w:t>los </w:t>
      </w:r>
      <w:r>
        <w:rPr>
          <w:color w:val="231F20"/>
          <w:spacing w:val="3"/>
        </w:rPr>
        <w:t>hombres   </w:t>
      </w:r>
      <w:r>
        <w:rPr>
          <w:color w:val="231F20"/>
        </w:rPr>
        <w:t>en </w:t>
      </w:r>
      <w:r>
        <w:rPr>
          <w:color w:val="231F20"/>
          <w:spacing w:val="2"/>
        </w:rPr>
        <w:t>clases sociales con capacidad </w:t>
      </w:r>
      <w:r>
        <w:rPr>
          <w:color w:val="231F20"/>
        </w:rPr>
        <w:t>de </w:t>
      </w:r>
      <w:r>
        <w:rPr>
          <w:color w:val="231F20"/>
          <w:spacing w:val="2"/>
        </w:rPr>
        <w:t>actuar tanto sobre </w:t>
      </w:r>
      <w:r>
        <w:rPr>
          <w:color w:val="231F20"/>
        </w:rPr>
        <w:t>las </w:t>
      </w:r>
      <w:r>
        <w:rPr>
          <w:color w:val="231F20"/>
          <w:spacing w:val="2"/>
        </w:rPr>
        <w:t>condi- ciones que heredan </w:t>
      </w:r>
      <w:r>
        <w:rPr>
          <w:color w:val="231F20"/>
          <w:spacing w:val="3"/>
        </w:rPr>
        <w:t>como </w:t>
      </w:r>
      <w:r>
        <w:rPr>
          <w:color w:val="231F20"/>
          <w:spacing w:val="2"/>
        </w:rPr>
        <w:t>sobre </w:t>
      </w:r>
      <w:r>
        <w:rPr>
          <w:color w:val="231F20"/>
        </w:rPr>
        <w:t>las </w:t>
      </w:r>
      <w:r>
        <w:rPr>
          <w:color w:val="231F20"/>
          <w:spacing w:val="2"/>
        </w:rPr>
        <w:t>que </w:t>
      </w:r>
      <w:r>
        <w:rPr>
          <w:color w:val="231F20"/>
        </w:rPr>
        <w:t>ellas  </w:t>
      </w:r>
      <w:r>
        <w:rPr>
          <w:color w:val="231F20"/>
          <w:spacing w:val="3"/>
        </w:rPr>
        <w:t>mismas </w:t>
      </w:r>
      <w:r>
        <w:rPr>
          <w:color w:val="231F20"/>
          <w:spacing w:val="2"/>
        </w:rPr>
        <w:t>forjan. De  </w:t>
      </w:r>
      <w:r>
        <w:rPr>
          <w:color w:val="231F20"/>
        </w:rPr>
        <w:t>allí, </w:t>
      </w:r>
      <w:r>
        <w:rPr>
          <w:color w:val="231F20"/>
          <w:spacing w:val="3"/>
        </w:rPr>
        <w:t>entonces </w:t>
      </w:r>
      <w:r>
        <w:rPr>
          <w:color w:val="231F20"/>
        </w:rPr>
        <w:t>que </w:t>
      </w:r>
      <w:r>
        <w:rPr>
          <w:color w:val="231F20"/>
          <w:spacing w:val="2"/>
        </w:rPr>
        <w:t>pueda afirmarse </w:t>
      </w:r>
      <w:r>
        <w:rPr>
          <w:color w:val="231F20"/>
        </w:rPr>
        <w:t>que el </w:t>
      </w:r>
      <w:r>
        <w:rPr>
          <w:color w:val="231F20"/>
          <w:spacing w:val="3"/>
        </w:rPr>
        <w:t>problema </w:t>
      </w:r>
      <w:r>
        <w:rPr>
          <w:color w:val="231F20"/>
        </w:rPr>
        <w:t>de la </w:t>
      </w:r>
      <w:r>
        <w:rPr>
          <w:color w:val="231F20"/>
          <w:spacing w:val="2"/>
        </w:rPr>
        <w:t>ideología </w:t>
      </w:r>
      <w:r>
        <w:rPr>
          <w:color w:val="231F20"/>
        </w:rPr>
        <w:t>no </w:t>
      </w:r>
      <w:r>
        <w:rPr>
          <w:color w:val="231F20"/>
          <w:spacing w:val="2"/>
        </w:rPr>
        <w:t>consiste </w:t>
      </w:r>
      <w:r>
        <w:rPr>
          <w:color w:val="231F20"/>
        </w:rPr>
        <w:t>en </w:t>
      </w:r>
      <w:r>
        <w:rPr>
          <w:color w:val="231F20"/>
          <w:spacing w:val="2"/>
        </w:rPr>
        <w:t>crear una conciencia falsa,  sino  </w:t>
      </w:r>
      <w:r>
        <w:rPr>
          <w:color w:val="231F20"/>
        </w:rPr>
        <w:t>en  </w:t>
      </w:r>
      <w:r>
        <w:rPr>
          <w:color w:val="231F20"/>
          <w:spacing w:val="2"/>
        </w:rPr>
        <w:t>producir  </w:t>
      </w:r>
      <w:r>
        <w:rPr>
          <w:color w:val="231F20"/>
        </w:rPr>
        <w:t>un </w:t>
      </w:r>
      <w:r>
        <w:rPr>
          <w:color w:val="231F20"/>
          <w:spacing w:val="2"/>
        </w:rPr>
        <w:t>nexo </w:t>
      </w:r>
      <w:r>
        <w:rPr>
          <w:color w:val="231F20"/>
        </w:rPr>
        <w:t>de </w:t>
      </w:r>
      <w:r>
        <w:rPr>
          <w:color w:val="231F20"/>
          <w:spacing w:val="2"/>
        </w:rPr>
        <w:t>continuidad entre </w:t>
      </w:r>
      <w:r>
        <w:rPr>
          <w:color w:val="231F20"/>
        </w:rPr>
        <w:t>lo </w:t>
      </w:r>
      <w:r>
        <w:rPr>
          <w:color w:val="231F20"/>
          <w:spacing w:val="2"/>
        </w:rPr>
        <w:t>real (condiciones materiales </w:t>
      </w:r>
      <w:r>
        <w:rPr>
          <w:color w:val="231F20"/>
        </w:rPr>
        <w:t>de </w:t>
      </w:r>
      <w:r>
        <w:rPr>
          <w:color w:val="231F20"/>
          <w:spacing w:val="3"/>
        </w:rPr>
        <w:t>exis- </w:t>
      </w:r>
      <w:r>
        <w:rPr>
          <w:color w:val="231F20"/>
          <w:spacing w:val="2"/>
        </w:rPr>
        <w:t>tencia) </w:t>
      </w:r>
      <w:r>
        <w:rPr>
          <w:color w:val="231F20"/>
        </w:rPr>
        <w:t>y su </w:t>
      </w:r>
      <w:r>
        <w:rPr>
          <w:color w:val="231F20"/>
          <w:spacing w:val="3"/>
        </w:rPr>
        <w:t>representación, </w:t>
      </w:r>
      <w:r>
        <w:rPr>
          <w:color w:val="231F20"/>
          <w:spacing w:val="2"/>
        </w:rPr>
        <w:t>entre </w:t>
      </w:r>
      <w:r>
        <w:rPr>
          <w:color w:val="231F20"/>
        </w:rPr>
        <w:t>la </w:t>
      </w:r>
      <w:r>
        <w:rPr>
          <w:color w:val="231F20"/>
          <w:spacing w:val="2"/>
        </w:rPr>
        <w:t>praxis </w:t>
      </w:r>
      <w:r>
        <w:rPr>
          <w:color w:val="231F20"/>
        </w:rPr>
        <w:t>y las </w:t>
      </w:r>
      <w:r>
        <w:rPr>
          <w:color w:val="231F20"/>
          <w:spacing w:val="3"/>
        </w:rPr>
        <w:t>concepciones </w:t>
      </w:r>
      <w:r>
        <w:rPr>
          <w:color w:val="231F20"/>
        </w:rPr>
        <w:t>que de ella se </w:t>
      </w:r>
      <w:r>
        <w:rPr>
          <w:color w:val="231F20"/>
          <w:spacing w:val="2"/>
        </w:rPr>
        <w:t>hacen los </w:t>
      </w:r>
      <w:r>
        <w:rPr>
          <w:color w:val="231F20"/>
          <w:spacing w:val="3"/>
        </w:rPr>
        <w:t>hombres </w:t>
      </w:r>
      <w:r>
        <w:rPr>
          <w:color w:val="231F20"/>
          <w:spacing w:val="2"/>
        </w:rPr>
        <w:t>para justificar una </w:t>
      </w:r>
      <w:r>
        <w:rPr>
          <w:color w:val="231F20"/>
          <w:spacing w:val="3"/>
        </w:rPr>
        <w:t>forma </w:t>
      </w:r>
      <w:r>
        <w:rPr>
          <w:color w:val="231F20"/>
          <w:spacing w:val="2"/>
        </w:rPr>
        <w:t>específica  </w:t>
      </w:r>
      <w:r>
        <w:rPr>
          <w:color w:val="231F20"/>
        </w:rPr>
        <w:t>de </w:t>
      </w:r>
      <w:r>
        <w:rPr>
          <w:color w:val="231F20"/>
          <w:spacing w:val="2"/>
        </w:rPr>
        <w:t>alienación respecto </w:t>
      </w:r>
      <w:r>
        <w:rPr>
          <w:color w:val="231F20"/>
        </w:rPr>
        <w:t>a su </w:t>
      </w:r>
      <w:r>
        <w:rPr>
          <w:color w:val="231F20"/>
          <w:spacing w:val="2"/>
        </w:rPr>
        <w:t>actividad práctica que </w:t>
      </w:r>
      <w:r>
        <w:rPr>
          <w:color w:val="231F20"/>
        </w:rPr>
        <w:t>se les </w:t>
      </w:r>
      <w:r>
        <w:rPr>
          <w:color w:val="231F20"/>
          <w:spacing w:val="4"/>
        </w:rPr>
        <w:t>opone </w:t>
      </w:r>
      <w:r>
        <w:rPr>
          <w:color w:val="231F20"/>
          <w:spacing w:val="3"/>
        </w:rPr>
        <w:t>como </w:t>
      </w:r>
      <w:r>
        <w:rPr>
          <w:color w:val="231F20"/>
        </w:rPr>
        <w:t>un </w:t>
      </w:r>
      <w:r>
        <w:rPr>
          <w:color w:val="231F20"/>
          <w:spacing w:val="3"/>
        </w:rPr>
        <w:t>poder</w:t>
      </w:r>
      <w:r>
        <w:rPr>
          <w:color w:val="231F20"/>
          <w:spacing w:val="42"/>
        </w:rPr>
        <w:t> </w:t>
      </w:r>
      <w:r>
        <w:rPr>
          <w:color w:val="231F20"/>
          <w:spacing w:val="3"/>
        </w:rPr>
        <w:t>ajeno.</w:t>
      </w:r>
    </w:p>
    <w:p>
      <w:pPr>
        <w:spacing w:after="0" w:line="249" w:lineRule="auto"/>
        <w:jc w:val="both"/>
        <w:sectPr>
          <w:headerReference w:type="default" r:id="rId171"/>
          <w:footerReference w:type="default" r:id="rId172"/>
          <w:pgSz w:w="7830" w:h="11910"/>
          <w:pgMar w:header="0" w:footer="424" w:top="500" w:bottom="620" w:left="920" w:right="900"/>
          <w:pgNumType w:start="7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3" w:firstLine="284"/>
        <w:jc w:val="both"/>
      </w:pPr>
      <w:r>
        <w:rPr>
          <w:color w:val="231F20"/>
        </w:rPr>
        <w:t>Así, lo que una ideología justifica, en primer lugar, es la </w:t>
      </w:r>
      <w:r>
        <w:rPr>
          <w:i/>
          <w:color w:val="231F20"/>
        </w:rPr>
        <w:t>separa- </w:t>
      </w:r>
      <w:r>
        <w:rPr>
          <w:i/>
          <w:color w:val="231F20"/>
        </w:rPr>
        <w:t>ción </w:t>
      </w:r>
      <w:r>
        <w:rPr>
          <w:color w:val="231F20"/>
        </w:rPr>
        <w:t>–o extrañamiento– en que nos hallamos en nuestra propia actividad. En segundo lugar, sobre esa base se fundamenta el ejer- cicio del poder, como parte de determinadas condiciones materia- les de existencia, que se presenta como la única forma posible de organización política de la sociedad, esto es, el concepto de ideo- logía deriva hacia la idea de una clase gobernante, de una clase dominante que, en lo económico es resultado de la extensión de la división del trabajo y los intercambios basados en la gran industria (Marx, 1985:95-97). Condición material sobre la cual se erigen las concepciones teóricas de autonomía de lo político (del Estado, específicamente), ya sea en la versión liberal de un Estado por encima de los conflictos sociales, o como autonomía relativa del Estado respecto de las contradicciones de clases para mantener las </w:t>
      </w:r>
      <w:r>
        <w:rPr>
          <w:color w:val="231F20"/>
          <w:w w:val="95"/>
        </w:rPr>
        <w:t>condiciones  capitalistas.</w:t>
      </w:r>
    </w:p>
    <w:p>
      <w:pPr>
        <w:pStyle w:val="BodyText"/>
        <w:spacing w:line="249" w:lineRule="auto"/>
        <w:ind w:left="102" w:right="116" w:firstLine="284"/>
        <w:jc w:val="both"/>
      </w:pPr>
      <w:r>
        <w:rPr>
          <w:color w:val="231F20"/>
        </w:rPr>
        <w:t>En esa inversión de la relación entre trabajo y capital se anuda todo el proceso de cosificación del sujeto pensante, hablante y actuante que aparece inmerso en un plexo de instituciones y sus discursos, de tal modo que pareciera que las distintas formas de violencia brotan de las estructuras sociales, de los discursos insti- tucionalizados, y no de la manera en que están organizadas las relaciones entre el hombre y los productos de su trabajo, entre su actividad material y el conjunto de ideas y representaciones res- pecto de la misma. Pero semejante inversión de la realidad solo es posible en la medida que se expande la subsunción real del trabajo al capital, la cual permite liberar al capitalista:</w:t>
      </w:r>
    </w:p>
    <w:p>
      <w:pPr>
        <w:pStyle w:val="BodyText"/>
        <w:rPr>
          <w:sz w:val="23"/>
        </w:rPr>
      </w:pPr>
    </w:p>
    <w:p>
      <w:pPr>
        <w:spacing w:line="273" w:lineRule="auto" w:before="0"/>
        <w:ind w:left="810" w:right="164" w:firstLine="0"/>
        <w:jc w:val="both"/>
        <w:rPr>
          <w:sz w:val="19"/>
        </w:rPr>
      </w:pPr>
      <w:r>
        <w:rPr>
          <w:color w:val="231F20"/>
          <w:sz w:val="19"/>
        </w:rPr>
        <w:t>(…) del trabajo directo y solo trabajo como </w:t>
      </w:r>
      <w:r>
        <w:rPr>
          <w:i/>
          <w:color w:val="231F20"/>
          <w:sz w:val="19"/>
        </w:rPr>
        <w:t>capitalista</w:t>
      </w:r>
      <w:r>
        <w:rPr>
          <w:color w:val="231F20"/>
          <w:sz w:val="19"/>
        </w:rPr>
        <w:t>, como su- pervisor y director del proceso: por así decirlo, que ejerza la fun- ción, dotada de voluntad y conciencia, del capital empeñado en   su proceso de valorización. Esa ampliación de la escala constitu- ye también la base real sobre la cual se alza el modo de produc- ción específicamente capitalista en condiciones históricas por lo demás favorables, como por ejemplo las del siglo xvi, aunque desde luego puede aparecer de manera </w:t>
      </w:r>
      <w:r>
        <w:rPr>
          <w:i/>
          <w:color w:val="231F20"/>
          <w:sz w:val="19"/>
        </w:rPr>
        <w:t>esporádica </w:t>
      </w:r>
      <w:r>
        <w:rPr>
          <w:color w:val="231F20"/>
          <w:sz w:val="19"/>
        </w:rPr>
        <w:t>y sin enseño- rearse de la sociedad, en puntos aislados, dentro de formas so- ciales</w:t>
      </w:r>
      <w:r>
        <w:rPr>
          <w:color w:val="231F20"/>
          <w:spacing w:val="-17"/>
          <w:sz w:val="19"/>
        </w:rPr>
        <w:t> </w:t>
      </w:r>
      <w:r>
        <w:rPr>
          <w:color w:val="231F20"/>
          <w:sz w:val="19"/>
        </w:rPr>
        <w:t>más</w:t>
      </w:r>
      <w:r>
        <w:rPr>
          <w:color w:val="231F20"/>
          <w:spacing w:val="-17"/>
          <w:sz w:val="19"/>
        </w:rPr>
        <w:t> </w:t>
      </w:r>
      <w:r>
        <w:rPr>
          <w:color w:val="231F20"/>
          <w:sz w:val="19"/>
        </w:rPr>
        <w:t>antiguas</w:t>
      </w:r>
      <w:r>
        <w:rPr>
          <w:color w:val="231F20"/>
          <w:spacing w:val="-17"/>
          <w:sz w:val="19"/>
        </w:rPr>
        <w:t> </w:t>
      </w:r>
      <w:r>
        <w:rPr>
          <w:color w:val="231F20"/>
          <w:sz w:val="19"/>
        </w:rPr>
        <w:t>(Marx,</w:t>
      </w:r>
      <w:r>
        <w:rPr>
          <w:color w:val="231F20"/>
          <w:spacing w:val="-17"/>
          <w:sz w:val="19"/>
        </w:rPr>
        <w:t> </w:t>
      </w:r>
      <w:r>
        <w:rPr>
          <w:color w:val="231F20"/>
          <w:sz w:val="19"/>
        </w:rPr>
        <w:t>2001:57).</w:t>
      </w:r>
    </w:p>
    <w:p>
      <w:pPr>
        <w:spacing w:after="0" w:line="273" w:lineRule="auto"/>
        <w:jc w:val="both"/>
        <w:rPr>
          <w:sz w:val="19"/>
        </w:rPr>
        <w:sectPr>
          <w:headerReference w:type="default" r:id="rId173"/>
          <w:footerReference w:type="default" r:id="rId174"/>
          <w:pgSz w:w="7830" w:h="11910"/>
          <w:pgMar w:header="0" w:footer="424" w:top="500" w:bottom="620" w:left="920" w:right="900"/>
          <w:pgNumType w:start="8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5" w:firstLine="284"/>
        <w:jc w:val="both"/>
      </w:pPr>
      <w:r>
        <w:rPr>
          <w:color w:val="231F20"/>
        </w:rPr>
        <w:t>Marx</w:t>
      </w:r>
      <w:r>
        <w:rPr>
          <w:color w:val="231F20"/>
          <w:spacing w:val="-7"/>
        </w:rPr>
        <w:t> </w:t>
      </w:r>
      <w:r>
        <w:rPr>
          <w:color w:val="231F20"/>
        </w:rPr>
        <w:t>abunda</w:t>
      </w:r>
      <w:r>
        <w:rPr>
          <w:color w:val="231F20"/>
          <w:spacing w:val="-8"/>
        </w:rPr>
        <w:t> </w:t>
      </w:r>
      <w:r>
        <w:rPr>
          <w:color w:val="231F20"/>
        </w:rPr>
        <w:t>en</w:t>
      </w:r>
      <w:r>
        <w:rPr>
          <w:color w:val="231F20"/>
          <w:spacing w:val="-7"/>
        </w:rPr>
        <w:t> </w:t>
      </w:r>
      <w:r>
        <w:rPr>
          <w:color w:val="231F20"/>
        </w:rPr>
        <w:t>la</w:t>
      </w:r>
      <w:r>
        <w:rPr>
          <w:color w:val="231F20"/>
          <w:spacing w:val="-8"/>
        </w:rPr>
        <w:t> </w:t>
      </w:r>
      <w:r>
        <w:rPr>
          <w:color w:val="231F20"/>
        </w:rPr>
        <w:t>argumentación</w:t>
      </w:r>
      <w:r>
        <w:rPr>
          <w:color w:val="231F20"/>
          <w:spacing w:val="-7"/>
        </w:rPr>
        <w:t> </w:t>
      </w:r>
      <w:r>
        <w:rPr>
          <w:color w:val="231F20"/>
        </w:rPr>
        <w:t>para</w:t>
      </w:r>
      <w:r>
        <w:rPr>
          <w:color w:val="231F20"/>
          <w:spacing w:val="-8"/>
        </w:rPr>
        <w:t> </w:t>
      </w:r>
      <w:r>
        <w:rPr>
          <w:color w:val="231F20"/>
        </w:rPr>
        <w:t>señalar</w:t>
      </w:r>
      <w:r>
        <w:rPr>
          <w:color w:val="231F20"/>
          <w:spacing w:val="-8"/>
        </w:rPr>
        <w:t> </w:t>
      </w:r>
      <w:r>
        <w:rPr>
          <w:color w:val="231F20"/>
        </w:rPr>
        <w:t>que,</w:t>
      </w:r>
      <w:r>
        <w:rPr>
          <w:color w:val="231F20"/>
          <w:spacing w:val="-6"/>
        </w:rPr>
        <w:t> </w:t>
      </w:r>
      <w:r>
        <w:rPr>
          <w:color w:val="231F20"/>
        </w:rPr>
        <w:t>la</w:t>
      </w:r>
      <w:r>
        <w:rPr>
          <w:color w:val="231F20"/>
          <w:spacing w:val="-8"/>
        </w:rPr>
        <w:t> </w:t>
      </w:r>
      <w:r>
        <w:rPr>
          <w:color w:val="231F20"/>
        </w:rPr>
        <w:t>subsunción formal del trabajo en el capital, surge directamente del proceso de intercambio de mercancías y solo cuando el comprador emerge co- mo “poseedor de las condiciones de trabajo” el vendedor queda bajo la dependencia económica del comprador, o solo a merced de cir- cunstancias políticas previas, esto es, solo cuando las condiciones objetivas y subjetivas de trabajo se enfrentan al productor directo como capital, como ajenas, se concreta la subsunción del trabajo en el capital; así pues, el proceso laboral puede mantenerse invariable “desde</w:t>
      </w:r>
      <w:r>
        <w:rPr>
          <w:color w:val="231F20"/>
          <w:spacing w:val="-8"/>
        </w:rPr>
        <w:t> </w:t>
      </w:r>
      <w:r>
        <w:rPr>
          <w:color w:val="231F20"/>
        </w:rPr>
        <w:t>el</w:t>
      </w:r>
      <w:r>
        <w:rPr>
          <w:color w:val="231F20"/>
          <w:spacing w:val="-9"/>
        </w:rPr>
        <w:t> </w:t>
      </w:r>
      <w:r>
        <w:rPr>
          <w:color w:val="231F20"/>
        </w:rPr>
        <w:t>punto</w:t>
      </w:r>
      <w:r>
        <w:rPr>
          <w:color w:val="231F20"/>
          <w:spacing w:val="-8"/>
        </w:rPr>
        <w:t> </w:t>
      </w:r>
      <w:r>
        <w:rPr>
          <w:color w:val="231F20"/>
        </w:rPr>
        <w:t>de</w:t>
      </w:r>
      <w:r>
        <w:rPr>
          <w:color w:val="231F20"/>
          <w:spacing w:val="-8"/>
        </w:rPr>
        <w:t> </w:t>
      </w:r>
      <w:r>
        <w:rPr>
          <w:color w:val="231F20"/>
        </w:rPr>
        <w:t>vista</w:t>
      </w:r>
      <w:r>
        <w:rPr>
          <w:color w:val="231F20"/>
          <w:spacing w:val="-8"/>
        </w:rPr>
        <w:t> </w:t>
      </w:r>
      <w:r>
        <w:rPr>
          <w:i/>
          <w:color w:val="231F20"/>
        </w:rPr>
        <w:t>tecnológico</w:t>
      </w:r>
      <w:r>
        <w:rPr>
          <w:color w:val="231F20"/>
        </w:rPr>
        <w:t>”…</w:t>
      </w:r>
      <w:r>
        <w:rPr>
          <w:color w:val="231F20"/>
          <w:spacing w:val="-7"/>
        </w:rPr>
        <w:t> </w:t>
      </w:r>
      <w:r>
        <w:rPr>
          <w:color w:val="231F20"/>
        </w:rPr>
        <w:t>solo</w:t>
      </w:r>
      <w:r>
        <w:rPr>
          <w:color w:val="231F20"/>
          <w:spacing w:val="-8"/>
        </w:rPr>
        <w:t> </w:t>
      </w:r>
      <w:r>
        <w:rPr>
          <w:color w:val="231F20"/>
        </w:rPr>
        <w:t>que</w:t>
      </w:r>
      <w:r>
        <w:rPr>
          <w:color w:val="231F20"/>
          <w:spacing w:val="-8"/>
        </w:rPr>
        <w:t> </w:t>
      </w:r>
      <w:r>
        <w:rPr>
          <w:color w:val="231F20"/>
        </w:rPr>
        <w:t>ahora</w:t>
      </w:r>
      <w:r>
        <w:rPr>
          <w:color w:val="231F20"/>
          <w:spacing w:val="-8"/>
        </w:rPr>
        <w:t> </w:t>
      </w:r>
      <w:r>
        <w:rPr>
          <w:color w:val="231F20"/>
        </w:rPr>
        <w:t>como</w:t>
      </w:r>
      <w:r>
        <w:rPr>
          <w:color w:val="231F20"/>
          <w:spacing w:val="-8"/>
        </w:rPr>
        <w:t> </w:t>
      </w:r>
      <w:r>
        <w:rPr>
          <w:color w:val="231F20"/>
        </w:rPr>
        <w:t>proceso laboral subordinado al capital. No obstante, en el proceso de produc- ción mismo… se desarrollan 1) una relación económica de hegemo- nía y subordinación, puesto que es el capitalista quien consume la capacidad</w:t>
      </w:r>
      <w:r>
        <w:rPr>
          <w:color w:val="231F20"/>
          <w:spacing w:val="-5"/>
        </w:rPr>
        <w:t> </w:t>
      </w:r>
      <w:r>
        <w:rPr>
          <w:color w:val="231F20"/>
        </w:rPr>
        <w:t>de</w:t>
      </w:r>
      <w:r>
        <w:rPr>
          <w:color w:val="231F20"/>
          <w:spacing w:val="-5"/>
        </w:rPr>
        <w:t> </w:t>
      </w:r>
      <w:r>
        <w:rPr>
          <w:color w:val="231F20"/>
        </w:rPr>
        <w:t>trabajo,</w:t>
      </w:r>
      <w:r>
        <w:rPr>
          <w:color w:val="231F20"/>
          <w:spacing w:val="-5"/>
        </w:rPr>
        <w:t> </w:t>
      </w:r>
      <w:r>
        <w:rPr>
          <w:color w:val="231F20"/>
        </w:rPr>
        <w:t>y</w:t>
      </w:r>
      <w:r>
        <w:rPr>
          <w:color w:val="231F20"/>
          <w:spacing w:val="-5"/>
        </w:rPr>
        <w:t> </w:t>
      </w:r>
      <w:r>
        <w:rPr>
          <w:color w:val="231F20"/>
        </w:rPr>
        <w:t>por</w:t>
      </w:r>
      <w:r>
        <w:rPr>
          <w:color w:val="231F20"/>
          <w:spacing w:val="-5"/>
        </w:rPr>
        <w:t> </w:t>
      </w:r>
      <w:r>
        <w:rPr>
          <w:color w:val="231F20"/>
        </w:rPr>
        <w:t>tanto</w:t>
      </w:r>
      <w:r>
        <w:rPr>
          <w:color w:val="231F20"/>
          <w:spacing w:val="-5"/>
        </w:rPr>
        <w:t> </w:t>
      </w:r>
      <w:r>
        <w:rPr>
          <w:color w:val="231F20"/>
        </w:rPr>
        <w:t>la</w:t>
      </w:r>
      <w:r>
        <w:rPr>
          <w:color w:val="231F20"/>
          <w:spacing w:val="-5"/>
        </w:rPr>
        <w:t> </w:t>
      </w:r>
      <w:r>
        <w:rPr>
          <w:color w:val="231F20"/>
        </w:rPr>
        <w:t>vigila</w:t>
      </w:r>
      <w:r>
        <w:rPr>
          <w:color w:val="231F20"/>
          <w:spacing w:val="-5"/>
        </w:rPr>
        <w:t> </w:t>
      </w:r>
      <w:r>
        <w:rPr>
          <w:color w:val="231F20"/>
        </w:rPr>
        <w:t>y</w:t>
      </w:r>
      <w:r>
        <w:rPr>
          <w:color w:val="231F20"/>
          <w:spacing w:val="-5"/>
        </w:rPr>
        <w:t> </w:t>
      </w:r>
      <w:r>
        <w:rPr>
          <w:color w:val="231F20"/>
        </w:rPr>
        <w:t>dirige,</w:t>
      </w:r>
      <w:r>
        <w:rPr>
          <w:color w:val="231F20"/>
          <w:spacing w:val="-5"/>
        </w:rPr>
        <w:t> </w:t>
      </w:r>
      <w:r>
        <w:rPr>
          <w:color w:val="231F20"/>
        </w:rPr>
        <w:t>y</w:t>
      </w:r>
      <w:r>
        <w:rPr>
          <w:color w:val="231F20"/>
          <w:spacing w:val="-5"/>
        </w:rPr>
        <w:t> </w:t>
      </w:r>
      <w:r>
        <w:rPr>
          <w:color w:val="231F20"/>
        </w:rPr>
        <w:t>2)</w:t>
      </w:r>
      <w:r>
        <w:rPr>
          <w:color w:val="231F20"/>
          <w:spacing w:val="-5"/>
        </w:rPr>
        <w:t> </w:t>
      </w:r>
      <w:r>
        <w:rPr>
          <w:color w:val="231F20"/>
        </w:rPr>
        <w:t>una</w:t>
      </w:r>
      <w:r>
        <w:rPr>
          <w:color w:val="231F20"/>
          <w:spacing w:val="-5"/>
        </w:rPr>
        <w:t> </w:t>
      </w:r>
      <w:r>
        <w:rPr>
          <w:color w:val="231F20"/>
        </w:rPr>
        <w:t>gran</w:t>
      </w:r>
      <w:r>
        <w:rPr>
          <w:color w:val="231F20"/>
          <w:spacing w:val="-5"/>
        </w:rPr>
        <w:t> </w:t>
      </w:r>
      <w:r>
        <w:rPr>
          <w:color w:val="231F20"/>
        </w:rPr>
        <w:t>con- tinuidad e intensidad del trabajo y una economía mayor en el empleo de</w:t>
      </w:r>
      <w:r>
        <w:rPr>
          <w:color w:val="231F20"/>
          <w:spacing w:val="-23"/>
        </w:rPr>
        <w:t> </w:t>
      </w:r>
      <w:r>
        <w:rPr>
          <w:color w:val="231F20"/>
        </w:rPr>
        <w:t>las</w:t>
      </w:r>
      <w:r>
        <w:rPr>
          <w:color w:val="231F20"/>
          <w:spacing w:val="-24"/>
        </w:rPr>
        <w:t> </w:t>
      </w:r>
      <w:r>
        <w:rPr>
          <w:color w:val="231F20"/>
        </w:rPr>
        <w:t>condiciones</w:t>
      </w:r>
      <w:r>
        <w:rPr>
          <w:color w:val="231F20"/>
          <w:spacing w:val="-24"/>
        </w:rPr>
        <w:t> </w:t>
      </w:r>
      <w:r>
        <w:rPr>
          <w:color w:val="231F20"/>
        </w:rPr>
        <w:t>de</w:t>
      </w:r>
      <w:r>
        <w:rPr>
          <w:color w:val="231F20"/>
          <w:spacing w:val="-23"/>
        </w:rPr>
        <w:t> </w:t>
      </w:r>
      <w:r>
        <w:rPr>
          <w:color w:val="231F20"/>
        </w:rPr>
        <w:t>trabajo</w:t>
      </w:r>
      <w:r>
        <w:rPr>
          <w:color w:val="231F20"/>
          <w:spacing w:val="-23"/>
        </w:rPr>
        <w:t> </w:t>
      </w:r>
      <w:r>
        <w:rPr>
          <w:color w:val="231F20"/>
        </w:rPr>
        <w:t>(Marx,</w:t>
      </w:r>
      <w:r>
        <w:rPr>
          <w:color w:val="231F20"/>
          <w:spacing w:val="-24"/>
        </w:rPr>
        <w:t> </w:t>
      </w:r>
      <w:r>
        <w:rPr>
          <w:color w:val="231F20"/>
        </w:rPr>
        <w:t>2001:61).</w:t>
      </w:r>
    </w:p>
    <w:p>
      <w:pPr>
        <w:pStyle w:val="BodyText"/>
        <w:spacing w:line="249" w:lineRule="auto"/>
        <w:ind w:left="102" w:right="115" w:firstLine="284"/>
        <w:jc w:val="both"/>
      </w:pPr>
      <w:r>
        <w:rPr>
          <w:color w:val="231F20"/>
        </w:rPr>
        <w:t>De esto se sigue que, si bien las ideologías tienen una base ma- terial, al orientarse hacia la justificación de un poder devenido de dicha base material, muestran una estructura de poder, es decir, el ejercicio de poder de una clase social sobre el conjunto de la so- ciedad, como queda claro cuando Marx sostiene que:</w:t>
      </w:r>
    </w:p>
    <w:p>
      <w:pPr>
        <w:pStyle w:val="BodyText"/>
        <w:rPr>
          <w:sz w:val="23"/>
        </w:rPr>
      </w:pPr>
    </w:p>
    <w:p>
      <w:pPr>
        <w:spacing w:line="273" w:lineRule="auto" w:before="0"/>
        <w:ind w:left="810" w:right="164" w:firstLine="0"/>
        <w:jc w:val="both"/>
        <w:rPr>
          <w:sz w:val="19"/>
        </w:rPr>
      </w:pPr>
      <w:r>
        <w:rPr>
          <w:color w:val="231F20"/>
          <w:sz w:val="19"/>
        </w:rPr>
        <w:t>las ideas de la clase dominante son en cada época las ideas do- minantes, es decir, la clase que ejerce el poder </w:t>
      </w:r>
      <w:r>
        <w:rPr>
          <w:i/>
          <w:color w:val="231F20"/>
          <w:sz w:val="19"/>
        </w:rPr>
        <w:t>material </w:t>
      </w:r>
      <w:r>
        <w:rPr>
          <w:color w:val="231F20"/>
          <w:sz w:val="19"/>
        </w:rPr>
        <w:t>en la so- ciedad,</w:t>
      </w:r>
      <w:r>
        <w:rPr>
          <w:color w:val="231F20"/>
          <w:spacing w:val="-5"/>
          <w:sz w:val="19"/>
        </w:rPr>
        <w:t> </w:t>
      </w:r>
      <w:r>
        <w:rPr>
          <w:color w:val="231F20"/>
          <w:sz w:val="19"/>
        </w:rPr>
        <w:t>resulta</w:t>
      </w:r>
      <w:r>
        <w:rPr>
          <w:color w:val="231F20"/>
          <w:spacing w:val="-5"/>
          <w:sz w:val="19"/>
        </w:rPr>
        <w:t> </w:t>
      </w:r>
      <w:r>
        <w:rPr>
          <w:color w:val="231F20"/>
          <w:sz w:val="19"/>
        </w:rPr>
        <w:t>al</w:t>
      </w:r>
      <w:r>
        <w:rPr>
          <w:color w:val="231F20"/>
          <w:spacing w:val="-5"/>
          <w:sz w:val="19"/>
        </w:rPr>
        <w:t> </w:t>
      </w:r>
      <w:r>
        <w:rPr>
          <w:color w:val="231F20"/>
          <w:sz w:val="19"/>
        </w:rPr>
        <w:t>mismo</w:t>
      </w:r>
      <w:r>
        <w:rPr>
          <w:color w:val="231F20"/>
          <w:spacing w:val="-5"/>
          <w:sz w:val="19"/>
        </w:rPr>
        <w:t> </w:t>
      </w:r>
      <w:r>
        <w:rPr>
          <w:color w:val="231F20"/>
          <w:sz w:val="19"/>
        </w:rPr>
        <w:t>tiempo</w:t>
      </w:r>
      <w:r>
        <w:rPr>
          <w:color w:val="231F20"/>
          <w:spacing w:val="-5"/>
          <w:sz w:val="19"/>
        </w:rPr>
        <w:t> </w:t>
      </w:r>
      <w:r>
        <w:rPr>
          <w:color w:val="231F20"/>
          <w:sz w:val="19"/>
        </w:rPr>
        <w:t>la</w:t>
      </w:r>
      <w:r>
        <w:rPr>
          <w:color w:val="231F20"/>
          <w:spacing w:val="-5"/>
          <w:sz w:val="19"/>
        </w:rPr>
        <w:t> </w:t>
      </w:r>
      <w:r>
        <w:rPr>
          <w:color w:val="231F20"/>
          <w:sz w:val="19"/>
        </w:rPr>
        <w:t>fuerza</w:t>
      </w:r>
      <w:r>
        <w:rPr>
          <w:color w:val="231F20"/>
          <w:spacing w:val="-4"/>
          <w:sz w:val="19"/>
        </w:rPr>
        <w:t> </w:t>
      </w:r>
      <w:r>
        <w:rPr>
          <w:i/>
          <w:color w:val="231F20"/>
          <w:sz w:val="19"/>
        </w:rPr>
        <w:t>espiritual</w:t>
      </w:r>
      <w:r>
        <w:rPr>
          <w:i/>
          <w:color w:val="231F20"/>
          <w:spacing w:val="-5"/>
          <w:sz w:val="19"/>
        </w:rPr>
        <w:t> </w:t>
      </w:r>
      <w:r>
        <w:rPr>
          <w:color w:val="231F20"/>
          <w:sz w:val="19"/>
        </w:rPr>
        <w:t>dominante.</w:t>
      </w:r>
      <w:r>
        <w:rPr>
          <w:color w:val="231F20"/>
          <w:spacing w:val="-5"/>
          <w:sz w:val="19"/>
        </w:rPr>
        <w:t> </w:t>
      </w:r>
      <w:r>
        <w:rPr>
          <w:color w:val="231F20"/>
          <w:sz w:val="19"/>
        </w:rPr>
        <w:t>La clase que controla los medios de la producción material controla también los medios de producción intelectual, de tal manera, que en general las ideas de los que no disponen de los medios de producción intelectual son sometidas a las ideas de la clase do- minante. Las ideas dominantes no son más  que  la  expresión ideal de las relaciones materiales dominantes, o sea, las mismas relaciones materiales dominantes concebidas como ideas, es de- cir, la expresión de las relaciones que hacen de una clase deter- minada una clase dominante, en una palabra son las ideas de su dominio (Marx,</w:t>
      </w:r>
      <w:r>
        <w:rPr>
          <w:color w:val="231F20"/>
          <w:spacing w:val="-29"/>
          <w:sz w:val="19"/>
        </w:rPr>
        <w:t> </w:t>
      </w:r>
      <w:r>
        <w:rPr>
          <w:color w:val="231F20"/>
          <w:sz w:val="19"/>
        </w:rPr>
        <w:t>2001:64).</w:t>
      </w:r>
    </w:p>
    <w:p>
      <w:pPr>
        <w:pStyle w:val="BodyText"/>
        <w:spacing w:before="3"/>
        <w:rPr>
          <w:sz w:val="20"/>
        </w:rPr>
      </w:pPr>
    </w:p>
    <w:p>
      <w:pPr>
        <w:pStyle w:val="BodyText"/>
        <w:spacing w:line="247" w:lineRule="auto"/>
        <w:ind w:left="102" w:right="114" w:firstLine="284"/>
        <w:jc w:val="both"/>
      </w:pPr>
      <w:r>
        <w:rPr>
          <w:color w:val="231F20"/>
        </w:rPr>
        <w:t>A partir de lo anterior se puede aseverar que la ideología, al expresar conceptualmente las relaciones materiales, tiene como cometido justificar idealmente el poder que ejerce la clase    social</w:t>
      </w:r>
    </w:p>
    <w:p>
      <w:pPr>
        <w:spacing w:after="0" w:line="247" w:lineRule="auto"/>
        <w:jc w:val="both"/>
        <w:sectPr>
          <w:headerReference w:type="default" r:id="rId175"/>
          <w:footerReference w:type="default" r:id="rId176"/>
          <w:pgSz w:w="7830" w:h="11910"/>
          <w:pgMar w:header="0" w:footer="424" w:top="500" w:bottom="620" w:left="920" w:right="900"/>
          <w:pgNumType w:start="8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3"/>
        <w:jc w:val="both"/>
      </w:pPr>
      <w:r>
        <w:rPr>
          <w:color w:val="231F20"/>
        </w:rPr>
        <w:t>que </w:t>
      </w:r>
      <w:r>
        <w:rPr>
          <w:color w:val="231F20"/>
          <w:spacing w:val="2"/>
        </w:rPr>
        <w:t>detenta los medios </w:t>
      </w:r>
      <w:r>
        <w:rPr>
          <w:color w:val="231F20"/>
        </w:rPr>
        <w:t>de </w:t>
      </w:r>
      <w:r>
        <w:rPr>
          <w:color w:val="231F20"/>
          <w:spacing w:val="3"/>
        </w:rPr>
        <w:t>producción, </w:t>
      </w:r>
      <w:r>
        <w:rPr>
          <w:color w:val="231F20"/>
          <w:spacing w:val="2"/>
        </w:rPr>
        <w:t>situación que, </w:t>
      </w:r>
      <w:r>
        <w:rPr>
          <w:color w:val="231F20"/>
        </w:rPr>
        <w:t>de </w:t>
      </w:r>
      <w:r>
        <w:rPr>
          <w:color w:val="231F20"/>
          <w:spacing w:val="3"/>
        </w:rPr>
        <w:t>manera </w:t>
      </w:r>
      <w:r>
        <w:rPr>
          <w:color w:val="231F20"/>
          <w:spacing w:val="2"/>
        </w:rPr>
        <w:t>fáctica </w:t>
      </w:r>
      <w:r>
        <w:rPr>
          <w:color w:val="231F20"/>
        </w:rPr>
        <w:t>la </w:t>
      </w:r>
      <w:r>
        <w:rPr>
          <w:color w:val="231F20"/>
          <w:spacing w:val="2"/>
        </w:rPr>
        <w:t>constituye </w:t>
      </w:r>
      <w:r>
        <w:rPr>
          <w:color w:val="231F20"/>
        </w:rPr>
        <w:t>en la </w:t>
      </w:r>
      <w:r>
        <w:rPr>
          <w:color w:val="231F20"/>
          <w:spacing w:val="2"/>
        </w:rPr>
        <w:t>fuerza </w:t>
      </w:r>
      <w:r>
        <w:rPr>
          <w:color w:val="231F20"/>
        </w:rPr>
        <w:t>que </w:t>
      </w:r>
      <w:r>
        <w:rPr>
          <w:color w:val="231F20"/>
          <w:spacing w:val="2"/>
        </w:rPr>
        <w:t>gobierna </w:t>
      </w:r>
      <w:r>
        <w:rPr>
          <w:color w:val="231F20"/>
        </w:rPr>
        <w:t>y </w:t>
      </w:r>
      <w:r>
        <w:rPr>
          <w:color w:val="231F20"/>
          <w:spacing w:val="2"/>
        </w:rPr>
        <w:t>requiere </w:t>
      </w:r>
      <w:r>
        <w:rPr>
          <w:color w:val="231F20"/>
          <w:spacing w:val="3"/>
        </w:rPr>
        <w:t>funda- </w:t>
      </w:r>
      <w:r>
        <w:rPr>
          <w:color w:val="231F20"/>
          <w:spacing w:val="2"/>
        </w:rPr>
        <w:t>mentar tanto </w:t>
      </w:r>
      <w:r>
        <w:rPr>
          <w:color w:val="231F20"/>
        </w:rPr>
        <w:t>las </w:t>
      </w:r>
      <w:r>
        <w:rPr>
          <w:color w:val="231F20"/>
          <w:spacing w:val="2"/>
        </w:rPr>
        <w:t>relaciones materiales como </w:t>
      </w:r>
      <w:r>
        <w:rPr>
          <w:color w:val="231F20"/>
        </w:rPr>
        <w:t>las </w:t>
      </w:r>
      <w:r>
        <w:rPr>
          <w:color w:val="231F20"/>
          <w:spacing w:val="2"/>
        </w:rPr>
        <w:t>relaciones </w:t>
      </w:r>
      <w:r>
        <w:rPr>
          <w:color w:val="231F20"/>
        </w:rPr>
        <w:t>de </w:t>
      </w:r>
      <w:r>
        <w:rPr>
          <w:color w:val="231F20"/>
          <w:spacing w:val="5"/>
        </w:rPr>
        <w:t>po- </w:t>
      </w:r>
      <w:r>
        <w:rPr>
          <w:color w:val="231F20"/>
          <w:spacing w:val="2"/>
        </w:rPr>
        <w:t>der. Con </w:t>
      </w:r>
      <w:r>
        <w:rPr>
          <w:color w:val="231F20"/>
        </w:rPr>
        <w:t>ello se </w:t>
      </w:r>
      <w:r>
        <w:rPr>
          <w:color w:val="231F20"/>
          <w:spacing w:val="2"/>
        </w:rPr>
        <w:t>abren paso los temas </w:t>
      </w:r>
      <w:r>
        <w:rPr>
          <w:color w:val="231F20"/>
        </w:rPr>
        <w:t>de la </w:t>
      </w:r>
      <w:r>
        <w:rPr>
          <w:color w:val="231F20"/>
          <w:spacing w:val="3"/>
        </w:rPr>
        <w:t>hegemonía </w:t>
      </w:r>
      <w:r>
        <w:rPr>
          <w:color w:val="231F20"/>
        </w:rPr>
        <w:t>y la legiti- </w:t>
      </w:r>
      <w:r>
        <w:rPr>
          <w:color w:val="231F20"/>
          <w:spacing w:val="3"/>
        </w:rPr>
        <w:t>midad. </w:t>
      </w:r>
      <w:r>
        <w:rPr>
          <w:color w:val="231F20"/>
          <w:spacing w:val="2"/>
        </w:rPr>
        <w:t>Pues </w:t>
      </w:r>
      <w:r>
        <w:rPr>
          <w:color w:val="231F20"/>
        </w:rPr>
        <w:t>si bien se </w:t>
      </w:r>
      <w:r>
        <w:rPr>
          <w:color w:val="231F20"/>
          <w:spacing w:val="2"/>
        </w:rPr>
        <w:t>puede afirmar que </w:t>
      </w:r>
      <w:r>
        <w:rPr>
          <w:color w:val="231F20"/>
        </w:rPr>
        <w:t>la </w:t>
      </w:r>
      <w:r>
        <w:rPr>
          <w:color w:val="231F20"/>
          <w:spacing w:val="2"/>
        </w:rPr>
        <w:t>base material </w:t>
      </w:r>
      <w:r>
        <w:rPr>
          <w:color w:val="231F20"/>
          <w:spacing w:val="3"/>
        </w:rPr>
        <w:t>del go- </w:t>
      </w:r>
      <w:r>
        <w:rPr>
          <w:color w:val="231F20"/>
          <w:spacing w:val="2"/>
        </w:rPr>
        <w:t>bierno </w:t>
      </w:r>
      <w:r>
        <w:rPr>
          <w:color w:val="231F20"/>
        </w:rPr>
        <w:t>de </w:t>
      </w:r>
      <w:r>
        <w:rPr>
          <w:color w:val="231F20"/>
          <w:spacing w:val="2"/>
        </w:rPr>
        <w:t>una clase </w:t>
      </w:r>
      <w:r>
        <w:rPr>
          <w:color w:val="231F20"/>
          <w:spacing w:val="3"/>
        </w:rPr>
        <w:t>dominante </w:t>
      </w:r>
      <w:r>
        <w:rPr>
          <w:color w:val="231F20"/>
          <w:spacing w:val="2"/>
        </w:rPr>
        <w:t>descansa </w:t>
      </w:r>
      <w:r>
        <w:rPr>
          <w:color w:val="231F20"/>
        </w:rPr>
        <w:t>en la </w:t>
      </w:r>
      <w:r>
        <w:rPr>
          <w:color w:val="231F20"/>
          <w:spacing w:val="2"/>
        </w:rPr>
        <w:t>propiedad </w:t>
      </w:r>
      <w:r>
        <w:rPr>
          <w:color w:val="231F20"/>
        </w:rPr>
        <w:t>de </w:t>
      </w:r>
      <w:r>
        <w:rPr>
          <w:color w:val="231F20"/>
          <w:spacing w:val="2"/>
        </w:rPr>
        <w:t>los medios </w:t>
      </w:r>
      <w:r>
        <w:rPr>
          <w:color w:val="231F20"/>
        </w:rPr>
        <w:t>de </w:t>
      </w:r>
      <w:r>
        <w:rPr>
          <w:color w:val="231F20"/>
          <w:spacing w:val="2"/>
        </w:rPr>
        <w:t>producción </w:t>
      </w:r>
      <w:r>
        <w:rPr>
          <w:color w:val="231F20"/>
        </w:rPr>
        <w:t>ese solo </w:t>
      </w:r>
      <w:r>
        <w:rPr>
          <w:color w:val="231F20"/>
          <w:spacing w:val="2"/>
        </w:rPr>
        <w:t>hecho </w:t>
      </w:r>
      <w:r>
        <w:rPr>
          <w:color w:val="231F20"/>
        </w:rPr>
        <w:t>no </w:t>
      </w:r>
      <w:r>
        <w:rPr>
          <w:color w:val="231F20"/>
          <w:spacing w:val="2"/>
        </w:rPr>
        <w:t>explica </w:t>
      </w:r>
      <w:r>
        <w:rPr>
          <w:color w:val="231F20"/>
        </w:rPr>
        <w:t>la </w:t>
      </w:r>
      <w:r>
        <w:rPr>
          <w:color w:val="231F20"/>
          <w:spacing w:val="3"/>
        </w:rPr>
        <w:t>manera </w:t>
      </w:r>
      <w:r>
        <w:rPr>
          <w:color w:val="231F20"/>
        </w:rPr>
        <w:t>en </w:t>
      </w:r>
      <w:r>
        <w:rPr>
          <w:color w:val="231F20"/>
          <w:spacing w:val="2"/>
        </w:rPr>
        <w:t>que </w:t>
      </w:r>
      <w:r>
        <w:rPr>
          <w:color w:val="231F20"/>
        </w:rPr>
        <w:t>se </w:t>
      </w:r>
      <w:r>
        <w:rPr>
          <w:color w:val="231F20"/>
          <w:spacing w:val="3"/>
        </w:rPr>
        <w:t>mantiene </w:t>
      </w:r>
      <w:r>
        <w:rPr>
          <w:color w:val="231F20"/>
        </w:rPr>
        <w:t>en el </w:t>
      </w:r>
      <w:r>
        <w:rPr>
          <w:color w:val="231F20"/>
          <w:spacing w:val="3"/>
        </w:rPr>
        <w:t>poder conteniendo </w:t>
      </w:r>
      <w:r>
        <w:rPr>
          <w:color w:val="231F20"/>
          <w:spacing w:val="2"/>
        </w:rPr>
        <w:t>los </w:t>
      </w:r>
      <w:r>
        <w:rPr>
          <w:color w:val="231F20"/>
          <w:spacing w:val="3"/>
        </w:rPr>
        <w:t>embates </w:t>
      </w:r>
      <w:r>
        <w:rPr>
          <w:color w:val="231F20"/>
        </w:rPr>
        <w:t>de las </w:t>
      </w:r>
      <w:r>
        <w:rPr>
          <w:color w:val="231F20"/>
          <w:spacing w:val="2"/>
        </w:rPr>
        <w:t>clases </w:t>
      </w:r>
      <w:r>
        <w:rPr>
          <w:color w:val="231F20"/>
          <w:spacing w:val="3"/>
        </w:rPr>
        <w:t>dominadas </w:t>
      </w:r>
      <w:r>
        <w:rPr>
          <w:color w:val="231F20"/>
        </w:rPr>
        <w:t>y </w:t>
      </w:r>
      <w:r>
        <w:rPr>
          <w:color w:val="231F20"/>
          <w:spacing w:val="2"/>
        </w:rPr>
        <w:t>hasta </w:t>
      </w:r>
      <w:r>
        <w:rPr>
          <w:color w:val="231F20"/>
          <w:spacing w:val="3"/>
        </w:rPr>
        <w:t>aceptando </w:t>
      </w:r>
      <w:r>
        <w:rPr>
          <w:color w:val="231F20"/>
        </w:rPr>
        <w:t>el </w:t>
      </w:r>
      <w:r>
        <w:rPr>
          <w:color w:val="231F20"/>
          <w:spacing w:val="3"/>
        </w:rPr>
        <w:t>dominio, </w:t>
      </w:r>
      <w:r>
        <w:rPr>
          <w:color w:val="231F20"/>
        </w:rPr>
        <w:t>o </w:t>
      </w:r>
      <w:r>
        <w:rPr>
          <w:color w:val="231F20"/>
          <w:spacing w:val="2"/>
        </w:rPr>
        <w:t>bien </w:t>
      </w:r>
      <w:r>
        <w:rPr>
          <w:color w:val="231F20"/>
          <w:spacing w:val="3"/>
        </w:rPr>
        <w:t>como </w:t>
      </w:r>
      <w:r>
        <w:rPr>
          <w:color w:val="231F20"/>
          <w:spacing w:val="2"/>
        </w:rPr>
        <w:t>otras clases subalternas tendrían </w:t>
      </w:r>
      <w:r>
        <w:rPr>
          <w:color w:val="231F20"/>
        </w:rPr>
        <w:t>la </w:t>
      </w:r>
      <w:r>
        <w:rPr>
          <w:color w:val="231F20"/>
          <w:spacing w:val="2"/>
        </w:rPr>
        <w:t>posibilidad </w:t>
      </w:r>
      <w:r>
        <w:rPr>
          <w:color w:val="231F20"/>
        </w:rPr>
        <w:t>de </w:t>
      </w:r>
      <w:r>
        <w:rPr>
          <w:color w:val="231F20"/>
          <w:spacing w:val="2"/>
        </w:rPr>
        <w:t>acceder </w:t>
      </w:r>
      <w:r>
        <w:rPr>
          <w:color w:val="231F20"/>
        </w:rPr>
        <w:t>al </w:t>
      </w:r>
      <w:r>
        <w:rPr>
          <w:color w:val="231F20"/>
          <w:spacing w:val="3"/>
        </w:rPr>
        <w:t>poder. Tampoco   </w:t>
      </w:r>
      <w:r>
        <w:rPr>
          <w:color w:val="231F20"/>
        </w:rPr>
        <w:t>el </w:t>
      </w:r>
      <w:r>
        <w:rPr>
          <w:color w:val="231F20"/>
          <w:spacing w:val="2"/>
        </w:rPr>
        <w:t>simple hecho </w:t>
      </w:r>
      <w:r>
        <w:rPr>
          <w:color w:val="231F20"/>
        </w:rPr>
        <w:t>de </w:t>
      </w:r>
      <w:r>
        <w:rPr>
          <w:color w:val="231F20"/>
          <w:spacing w:val="2"/>
        </w:rPr>
        <w:t>que una clase social </w:t>
      </w:r>
      <w:r>
        <w:rPr>
          <w:color w:val="231F20"/>
          <w:spacing w:val="3"/>
        </w:rPr>
        <w:t>disponga </w:t>
      </w:r>
      <w:r>
        <w:rPr>
          <w:color w:val="231F20"/>
        </w:rPr>
        <w:t>de </w:t>
      </w:r>
      <w:r>
        <w:rPr>
          <w:color w:val="231F20"/>
          <w:spacing w:val="2"/>
        </w:rPr>
        <w:t>los </w:t>
      </w:r>
      <w:r>
        <w:rPr>
          <w:color w:val="231F20"/>
          <w:spacing w:val="3"/>
        </w:rPr>
        <w:t>medios </w:t>
      </w:r>
      <w:r>
        <w:rPr>
          <w:color w:val="231F20"/>
        </w:rPr>
        <w:t>de </w:t>
      </w:r>
      <w:r>
        <w:rPr>
          <w:color w:val="231F20"/>
          <w:spacing w:val="2"/>
        </w:rPr>
        <w:t>producción </w:t>
      </w:r>
      <w:r>
        <w:rPr>
          <w:color w:val="231F20"/>
        </w:rPr>
        <w:t>le </w:t>
      </w:r>
      <w:r>
        <w:rPr>
          <w:color w:val="231F20"/>
          <w:spacing w:val="2"/>
        </w:rPr>
        <w:t>asegura </w:t>
      </w:r>
      <w:r>
        <w:rPr>
          <w:color w:val="231F20"/>
        </w:rPr>
        <w:t>el </w:t>
      </w:r>
      <w:r>
        <w:rPr>
          <w:color w:val="231F20"/>
          <w:spacing w:val="3"/>
        </w:rPr>
        <w:t>control </w:t>
      </w:r>
      <w:r>
        <w:rPr>
          <w:color w:val="231F20"/>
          <w:spacing w:val="2"/>
        </w:rPr>
        <w:t>sobre los “medios </w:t>
      </w:r>
      <w:r>
        <w:rPr>
          <w:color w:val="231F20"/>
        </w:rPr>
        <w:t>de </w:t>
      </w:r>
      <w:r>
        <w:rPr>
          <w:color w:val="231F20"/>
          <w:spacing w:val="2"/>
        </w:rPr>
        <w:t>producción intelectual”, pues aún </w:t>
      </w:r>
      <w:r>
        <w:rPr>
          <w:color w:val="231F20"/>
          <w:spacing w:val="3"/>
        </w:rPr>
        <w:t>queda </w:t>
      </w:r>
      <w:r>
        <w:rPr>
          <w:color w:val="231F20"/>
          <w:spacing w:val="2"/>
        </w:rPr>
        <w:t>por explicar </w:t>
      </w:r>
      <w:r>
        <w:rPr>
          <w:color w:val="231F20"/>
          <w:spacing w:val="3"/>
        </w:rPr>
        <w:t>cómo </w:t>
      </w:r>
      <w:r>
        <w:rPr>
          <w:color w:val="231F20"/>
        </w:rPr>
        <w:t>es </w:t>
      </w:r>
      <w:r>
        <w:rPr>
          <w:color w:val="231F20"/>
          <w:spacing w:val="2"/>
        </w:rPr>
        <w:t>que </w:t>
      </w:r>
      <w:r>
        <w:rPr>
          <w:color w:val="231F20"/>
        </w:rPr>
        <w:t>un </w:t>
      </w:r>
      <w:r>
        <w:rPr>
          <w:color w:val="231F20"/>
          <w:spacing w:val="3"/>
        </w:rPr>
        <w:t>interés dominante </w:t>
      </w:r>
      <w:r>
        <w:rPr>
          <w:color w:val="231F20"/>
          <w:spacing w:val="2"/>
        </w:rPr>
        <w:t>–que </w:t>
      </w:r>
      <w:r>
        <w:rPr>
          <w:color w:val="231F20"/>
        </w:rPr>
        <w:t>es un </w:t>
      </w:r>
      <w:r>
        <w:rPr>
          <w:color w:val="231F20"/>
          <w:spacing w:val="2"/>
        </w:rPr>
        <w:t>interés particular– </w:t>
      </w:r>
      <w:r>
        <w:rPr>
          <w:color w:val="231F20"/>
        </w:rPr>
        <w:t>se llega a </w:t>
      </w:r>
      <w:r>
        <w:rPr>
          <w:color w:val="231F20"/>
          <w:spacing w:val="2"/>
        </w:rPr>
        <w:t>constituir </w:t>
      </w:r>
      <w:r>
        <w:rPr>
          <w:color w:val="231F20"/>
          <w:spacing w:val="3"/>
        </w:rPr>
        <w:t>en </w:t>
      </w:r>
      <w:r>
        <w:rPr>
          <w:color w:val="231F20"/>
          <w:spacing w:val="2"/>
        </w:rPr>
        <w:t>una </w:t>
      </w:r>
      <w:r>
        <w:rPr>
          <w:color w:val="231F20"/>
        </w:rPr>
        <w:t>idea </w:t>
      </w:r>
      <w:r>
        <w:rPr>
          <w:color w:val="231F20"/>
          <w:spacing w:val="3"/>
        </w:rPr>
        <w:t>dominante, </w:t>
      </w:r>
      <w:r>
        <w:rPr>
          <w:color w:val="231F20"/>
          <w:spacing w:val="2"/>
        </w:rPr>
        <w:t>una </w:t>
      </w:r>
      <w:r>
        <w:rPr>
          <w:color w:val="231F20"/>
        </w:rPr>
        <w:t>idea</w:t>
      </w:r>
      <w:r>
        <w:rPr>
          <w:color w:val="231F20"/>
          <w:spacing w:val="24"/>
        </w:rPr>
        <w:t> </w:t>
      </w:r>
      <w:r>
        <w:rPr>
          <w:color w:val="231F20"/>
          <w:spacing w:val="3"/>
        </w:rPr>
        <w:t>rectora.</w:t>
      </w:r>
    </w:p>
    <w:p>
      <w:pPr>
        <w:pStyle w:val="BodyText"/>
        <w:spacing w:line="249" w:lineRule="auto"/>
        <w:ind w:left="102" w:right="115" w:firstLine="284"/>
        <w:jc w:val="both"/>
      </w:pPr>
      <w:r>
        <w:rPr>
          <w:color w:val="231F20"/>
          <w:spacing w:val="2"/>
        </w:rPr>
        <w:t>Hasta este </w:t>
      </w:r>
      <w:r>
        <w:rPr>
          <w:color w:val="231F20"/>
          <w:spacing w:val="3"/>
        </w:rPr>
        <w:t>momento podemos </w:t>
      </w:r>
      <w:r>
        <w:rPr>
          <w:color w:val="231F20"/>
          <w:spacing w:val="2"/>
        </w:rPr>
        <w:t>advertir </w:t>
      </w:r>
      <w:r>
        <w:rPr>
          <w:color w:val="231F20"/>
        </w:rPr>
        <w:t>que las </w:t>
      </w:r>
      <w:r>
        <w:rPr>
          <w:color w:val="231F20"/>
          <w:spacing w:val="2"/>
        </w:rPr>
        <w:t>ideologías </w:t>
      </w:r>
      <w:r>
        <w:rPr>
          <w:color w:val="231F20"/>
        </w:rPr>
        <w:t>se </w:t>
      </w:r>
      <w:r>
        <w:rPr>
          <w:color w:val="231F20"/>
          <w:spacing w:val="2"/>
        </w:rPr>
        <w:t>vinculan con dos </w:t>
      </w:r>
      <w:r>
        <w:rPr>
          <w:color w:val="231F20"/>
          <w:spacing w:val="3"/>
        </w:rPr>
        <w:t>ámbitos: </w:t>
      </w:r>
      <w:r>
        <w:rPr>
          <w:color w:val="231F20"/>
          <w:spacing w:val="2"/>
        </w:rPr>
        <w:t>por una parte justifican </w:t>
      </w:r>
      <w:r>
        <w:rPr>
          <w:color w:val="231F20"/>
        </w:rPr>
        <w:t>las </w:t>
      </w:r>
      <w:r>
        <w:rPr>
          <w:color w:val="231F20"/>
          <w:spacing w:val="2"/>
        </w:rPr>
        <w:t>diferencias </w:t>
      </w:r>
      <w:r>
        <w:rPr>
          <w:color w:val="231F20"/>
        </w:rPr>
        <w:t>y </w:t>
      </w:r>
      <w:r>
        <w:rPr>
          <w:color w:val="231F20"/>
          <w:spacing w:val="2"/>
        </w:rPr>
        <w:t>desigualdades </w:t>
      </w:r>
      <w:r>
        <w:rPr>
          <w:color w:val="231F20"/>
        </w:rPr>
        <w:t>de </w:t>
      </w:r>
      <w:r>
        <w:rPr>
          <w:color w:val="231F20"/>
          <w:spacing w:val="2"/>
        </w:rPr>
        <w:t>clases que emergen </w:t>
      </w:r>
      <w:r>
        <w:rPr>
          <w:color w:val="231F20"/>
        </w:rPr>
        <w:t>de un </w:t>
      </w:r>
      <w:r>
        <w:rPr>
          <w:color w:val="231F20"/>
          <w:spacing w:val="2"/>
        </w:rPr>
        <w:t>orden </w:t>
      </w:r>
      <w:r>
        <w:rPr>
          <w:color w:val="231F20"/>
          <w:spacing w:val="3"/>
        </w:rPr>
        <w:t>económico, </w:t>
      </w:r>
      <w:r>
        <w:rPr>
          <w:color w:val="231F20"/>
        </w:rPr>
        <w:t>y, </w:t>
      </w:r>
      <w:r>
        <w:rPr>
          <w:color w:val="231F20"/>
          <w:spacing w:val="2"/>
        </w:rPr>
        <w:t>por otra parte, justifican una </w:t>
      </w:r>
      <w:r>
        <w:rPr>
          <w:color w:val="231F20"/>
          <w:spacing w:val="3"/>
        </w:rPr>
        <w:t>forma </w:t>
      </w:r>
      <w:r>
        <w:rPr>
          <w:color w:val="231F20"/>
        </w:rPr>
        <w:t>de </w:t>
      </w:r>
      <w:r>
        <w:rPr>
          <w:color w:val="231F20"/>
          <w:spacing w:val="3"/>
        </w:rPr>
        <w:t>gobierno, </w:t>
      </w:r>
      <w:r>
        <w:rPr>
          <w:color w:val="231F20"/>
        </w:rPr>
        <w:t>un uso </w:t>
      </w:r>
      <w:r>
        <w:rPr>
          <w:color w:val="231F20"/>
          <w:spacing w:val="2"/>
        </w:rPr>
        <w:t>específico del </w:t>
      </w:r>
      <w:r>
        <w:rPr>
          <w:color w:val="231F20"/>
          <w:spacing w:val="3"/>
        </w:rPr>
        <w:t>poder </w:t>
      </w:r>
      <w:r>
        <w:rPr>
          <w:color w:val="231F20"/>
          <w:spacing w:val="2"/>
        </w:rPr>
        <w:t>político que reposa </w:t>
      </w:r>
      <w:r>
        <w:rPr>
          <w:color w:val="231F20"/>
        </w:rPr>
        <w:t>en la </w:t>
      </w:r>
      <w:r>
        <w:rPr>
          <w:color w:val="231F20"/>
          <w:spacing w:val="2"/>
        </w:rPr>
        <w:t>distinción entre </w:t>
      </w:r>
      <w:r>
        <w:rPr>
          <w:color w:val="231F20"/>
          <w:spacing w:val="3"/>
        </w:rPr>
        <w:t>gobernantes </w:t>
      </w:r>
      <w:r>
        <w:rPr>
          <w:color w:val="231F20"/>
        </w:rPr>
        <w:t>y </w:t>
      </w:r>
      <w:r>
        <w:rPr>
          <w:color w:val="231F20"/>
          <w:spacing w:val="3"/>
        </w:rPr>
        <w:t>gobernados. </w:t>
      </w:r>
      <w:r>
        <w:rPr>
          <w:color w:val="231F20"/>
        </w:rPr>
        <w:t>En </w:t>
      </w:r>
      <w:r>
        <w:rPr>
          <w:color w:val="231F20"/>
          <w:spacing w:val="3"/>
        </w:rPr>
        <w:t>ambos </w:t>
      </w:r>
      <w:r>
        <w:rPr>
          <w:color w:val="231F20"/>
          <w:spacing w:val="2"/>
        </w:rPr>
        <w:t>casos </w:t>
      </w:r>
      <w:r>
        <w:rPr>
          <w:color w:val="231F20"/>
        </w:rPr>
        <w:t>el </w:t>
      </w:r>
      <w:r>
        <w:rPr>
          <w:color w:val="231F20"/>
          <w:spacing w:val="2"/>
        </w:rPr>
        <w:t>Estado aparece </w:t>
      </w:r>
      <w:r>
        <w:rPr>
          <w:color w:val="231F20"/>
          <w:spacing w:val="3"/>
        </w:rPr>
        <w:t>como </w:t>
      </w:r>
      <w:r>
        <w:rPr>
          <w:color w:val="231F20"/>
        </w:rPr>
        <w:t>la </w:t>
      </w:r>
      <w:r>
        <w:rPr>
          <w:color w:val="231F20"/>
          <w:spacing w:val="2"/>
        </w:rPr>
        <w:t>instancia </w:t>
      </w:r>
      <w:r>
        <w:rPr>
          <w:color w:val="231F20"/>
        </w:rPr>
        <w:t>que </w:t>
      </w:r>
      <w:r>
        <w:rPr>
          <w:color w:val="231F20"/>
          <w:spacing w:val="2"/>
        </w:rPr>
        <w:t>contiene los potenciales </w:t>
      </w:r>
      <w:r>
        <w:rPr>
          <w:color w:val="231F20"/>
        </w:rPr>
        <w:t>de </w:t>
      </w:r>
      <w:r>
        <w:rPr>
          <w:color w:val="231F20"/>
          <w:spacing w:val="2"/>
        </w:rPr>
        <w:t>conflicto social mediante </w:t>
      </w:r>
      <w:r>
        <w:rPr>
          <w:color w:val="231F20"/>
        </w:rPr>
        <w:t>su </w:t>
      </w:r>
      <w:r>
        <w:rPr>
          <w:color w:val="231F20"/>
          <w:spacing w:val="3"/>
        </w:rPr>
        <w:t>trans- formación </w:t>
      </w:r>
      <w:r>
        <w:rPr>
          <w:color w:val="231F20"/>
        </w:rPr>
        <w:t>en </w:t>
      </w:r>
      <w:r>
        <w:rPr>
          <w:color w:val="231F20"/>
          <w:spacing w:val="3"/>
        </w:rPr>
        <w:t>derechos </w:t>
      </w:r>
      <w:r>
        <w:rPr>
          <w:color w:val="231F20"/>
          <w:spacing w:val="2"/>
        </w:rPr>
        <w:t>sociales </w:t>
      </w:r>
      <w:r>
        <w:rPr>
          <w:color w:val="231F20"/>
        </w:rPr>
        <w:t>que </w:t>
      </w:r>
      <w:r>
        <w:rPr>
          <w:color w:val="231F20"/>
          <w:spacing w:val="2"/>
        </w:rPr>
        <w:t>tienen </w:t>
      </w:r>
      <w:r>
        <w:rPr>
          <w:color w:val="231F20"/>
        </w:rPr>
        <w:t>su </w:t>
      </w:r>
      <w:r>
        <w:rPr>
          <w:color w:val="231F20"/>
          <w:spacing w:val="2"/>
        </w:rPr>
        <w:t>correlato </w:t>
      </w:r>
      <w:r>
        <w:rPr>
          <w:color w:val="231F20"/>
        </w:rPr>
        <w:t>en el </w:t>
      </w:r>
      <w:r>
        <w:rPr>
          <w:color w:val="231F20"/>
          <w:spacing w:val="3"/>
        </w:rPr>
        <w:t>in- tervencionismo </w:t>
      </w:r>
      <w:r>
        <w:rPr>
          <w:color w:val="231F20"/>
          <w:spacing w:val="2"/>
        </w:rPr>
        <w:t>estatal </w:t>
      </w:r>
      <w:r>
        <w:rPr>
          <w:color w:val="231F20"/>
          <w:spacing w:val="3"/>
        </w:rPr>
        <w:t>como mecanismo </w:t>
      </w:r>
      <w:r>
        <w:rPr>
          <w:color w:val="231F20"/>
          <w:spacing w:val="2"/>
        </w:rPr>
        <w:t>que corrige los desequi- librios </w:t>
      </w:r>
      <w:r>
        <w:rPr>
          <w:color w:val="231F20"/>
          <w:spacing w:val="3"/>
        </w:rPr>
        <w:t>económicos </w:t>
      </w:r>
      <w:r>
        <w:rPr>
          <w:color w:val="231F20"/>
        </w:rPr>
        <w:t>y </w:t>
      </w:r>
      <w:r>
        <w:rPr>
          <w:color w:val="231F20"/>
          <w:spacing w:val="2"/>
        </w:rPr>
        <w:t>sociales que dieron </w:t>
      </w:r>
      <w:r>
        <w:rPr>
          <w:color w:val="231F20"/>
          <w:spacing w:val="3"/>
        </w:rPr>
        <w:t>como </w:t>
      </w:r>
      <w:r>
        <w:rPr>
          <w:color w:val="231F20"/>
          <w:spacing w:val="2"/>
        </w:rPr>
        <w:t>resultado </w:t>
      </w:r>
      <w:r>
        <w:rPr>
          <w:color w:val="231F20"/>
        </w:rPr>
        <w:t>las </w:t>
      </w:r>
      <w:r>
        <w:rPr>
          <w:color w:val="231F20"/>
          <w:spacing w:val="2"/>
        </w:rPr>
        <w:t>polí- ticas </w:t>
      </w:r>
      <w:r>
        <w:rPr>
          <w:color w:val="231F20"/>
        </w:rPr>
        <w:t>de </w:t>
      </w:r>
      <w:r>
        <w:rPr>
          <w:color w:val="231F20"/>
          <w:spacing w:val="2"/>
        </w:rPr>
        <w:t>bienestar social, </w:t>
      </w:r>
      <w:r>
        <w:rPr>
          <w:color w:val="231F20"/>
        </w:rPr>
        <w:t>la </w:t>
      </w:r>
      <w:r>
        <w:rPr>
          <w:color w:val="231F20"/>
          <w:spacing w:val="2"/>
        </w:rPr>
        <w:t>ampliación </w:t>
      </w:r>
      <w:r>
        <w:rPr>
          <w:color w:val="231F20"/>
        </w:rPr>
        <w:t>de la </w:t>
      </w:r>
      <w:r>
        <w:rPr>
          <w:color w:val="231F20"/>
          <w:spacing w:val="2"/>
        </w:rPr>
        <w:t>democracia </w:t>
      </w:r>
      <w:r>
        <w:rPr>
          <w:color w:val="231F20"/>
          <w:spacing w:val="3"/>
        </w:rPr>
        <w:t>represen- </w:t>
      </w:r>
      <w:r>
        <w:rPr>
          <w:color w:val="231F20"/>
          <w:spacing w:val="2"/>
        </w:rPr>
        <w:t>tativa </w:t>
      </w:r>
      <w:r>
        <w:rPr>
          <w:color w:val="231F20"/>
        </w:rPr>
        <w:t>y la </w:t>
      </w:r>
      <w:r>
        <w:rPr>
          <w:color w:val="231F20"/>
          <w:spacing w:val="2"/>
        </w:rPr>
        <w:t>regulación estatal </w:t>
      </w:r>
      <w:r>
        <w:rPr>
          <w:color w:val="231F20"/>
        </w:rPr>
        <w:t>de la </w:t>
      </w:r>
      <w:r>
        <w:rPr>
          <w:color w:val="231F20"/>
          <w:spacing w:val="3"/>
        </w:rPr>
        <w:t>economía </w:t>
      </w:r>
      <w:r>
        <w:rPr>
          <w:color w:val="231F20"/>
        </w:rPr>
        <w:t>en las </w:t>
      </w:r>
      <w:r>
        <w:rPr>
          <w:color w:val="231F20"/>
          <w:spacing w:val="2"/>
        </w:rPr>
        <w:t>condiciones capitalistas.</w:t>
      </w:r>
    </w:p>
    <w:p>
      <w:pPr>
        <w:pStyle w:val="BodyText"/>
        <w:rPr>
          <w:sz w:val="22"/>
        </w:rPr>
      </w:pPr>
    </w:p>
    <w:p>
      <w:pPr>
        <w:pStyle w:val="BodyText"/>
        <w:ind w:left="386" w:right="121"/>
      </w:pPr>
      <w:r>
        <w:rPr>
          <w:color w:val="231F20"/>
        </w:rPr>
        <w:t>En este caso Gramsci advierte que no se trata  de:</w:t>
      </w:r>
    </w:p>
    <w:p>
      <w:pPr>
        <w:pStyle w:val="BodyText"/>
        <w:spacing w:before="9"/>
        <w:rPr>
          <w:sz w:val="23"/>
        </w:rPr>
      </w:pPr>
    </w:p>
    <w:p>
      <w:pPr>
        <w:spacing w:line="273" w:lineRule="auto" w:before="0"/>
        <w:ind w:left="810" w:right="164" w:firstLine="0"/>
        <w:jc w:val="both"/>
        <w:rPr>
          <w:sz w:val="19"/>
        </w:rPr>
      </w:pPr>
      <w:r>
        <w:rPr>
          <w:color w:val="231F20"/>
          <w:sz w:val="19"/>
        </w:rPr>
        <w:t>(…) partir del punto de vista de que el Estado no «castiga»... y de que lucha solo contra la «peligrosidad» social. En realidad el Es- tado debe ser considerado como «educador» en cuanto tiende justamente a crear un nuevo tipo o nivel de civilización. Por el hecho de que se opera esencialmente sobre las fuerzas económi- cas, reorganizando y desarrollando el aparato de producción económica, innovando la estructura, no debe extraerse la conclu- sión de que los hechos de superestructura deben abandonarse a</w:t>
      </w:r>
    </w:p>
    <w:p>
      <w:pPr>
        <w:spacing w:after="0" w:line="273" w:lineRule="auto"/>
        <w:jc w:val="both"/>
        <w:rPr>
          <w:sz w:val="19"/>
        </w:rPr>
        <w:sectPr>
          <w:headerReference w:type="default" r:id="rId177"/>
          <w:footerReference w:type="default" r:id="rId178"/>
          <w:pgSz w:w="7830" w:h="11910"/>
          <w:pgMar w:header="0" w:footer="424" w:top="500" w:bottom="620" w:left="920" w:right="900"/>
          <w:pgNumType w:start="8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line="273" w:lineRule="auto" w:before="111"/>
        <w:ind w:left="810" w:right="162" w:firstLine="0"/>
        <w:jc w:val="both"/>
        <w:rPr>
          <w:sz w:val="19"/>
        </w:rPr>
      </w:pPr>
      <w:r>
        <w:rPr>
          <w:color w:val="231F20"/>
          <w:sz w:val="19"/>
        </w:rPr>
        <w:t>sí mismos, a su desarrollo espontáneo, a una germinación casual   y esporádica. El Estado, también en este campo, es un instru- mento de «racionalización», de aceleración y taylorización, obra según un plan, urge, incita, solicita y «castiga» ya que una vez creadas las condiciones en las cuales es «posible» un determinado modo de vida, la «acción» o la omisión criminal deben tener una sanción punitiva, de importancia moral y no solo un juicio de peligrosidad genérica. El derecho es el aspecto represivo y nega- tivo de toda la actividad positiva de formación civil desplegada por el Estado (Gramsci,</w:t>
      </w:r>
      <w:r>
        <w:rPr>
          <w:color w:val="231F20"/>
          <w:spacing w:val="14"/>
          <w:sz w:val="19"/>
        </w:rPr>
        <w:t> </w:t>
      </w:r>
      <w:r>
        <w:rPr>
          <w:color w:val="231F20"/>
          <w:sz w:val="19"/>
        </w:rPr>
        <w:t>1986:117).</w:t>
      </w:r>
    </w:p>
    <w:p>
      <w:pPr>
        <w:pStyle w:val="BodyText"/>
        <w:spacing w:before="3"/>
        <w:rPr>
          <w:sz w:val="20"/>
        </w:rPr>
      </w:pPr>
    </w:p>
    <w:p>
      <w:pPr>
        <w:pStyle w:val="BodyText"/>
        <w:spacing w:line="249" w:lineRule="auto"/>
        <w:ind w:left="101" w:right="115" w:firstLine="284"/>
        <w:jc w:val="both"/>
      </w:pPr>
      <w:r>
        <w:rPr>
          <w:color w:val="231F20"/>
          <w:spacing w:val="2"/>
        </w:rPr>
        <w:t>Atendiendo </w:t>
      </w:r>
      <w:r>
        <w:rPr>
          <w:color w:val="231F20"/>
        </w:rPr>
        <w:t>a la idea del </w:t>
      </w:r>
      <w:r>
        <w:rPr>
          <w:color w:val="231F20"/>
          <w:spacing w:val="2"/>
        </w:rPr>
        <w:t>Estado </w:t>
      </w:r>
      <w:r>
        <w:rPr>
          <w:color w:val="231F20"/>
          <w:spacing w:val="3"/>
        </w:rPr>
        <w:t>como </w:t>
      </w:r>
      <w:r>
        <w:rPr>
          <w:color w:val="231F20"/>
          <w:spacing w:val="2"/>
        </w:rPr>
        <w:t>síntesis </w:t>
      </w:r>
      <w:r>
        <w:rPr>
          <w:color w:val="231F20"/>
        </w:rPr>
        <w:t>de las </w:t>
      </w:r>
      <w:r>
        <w:rPr>
          <w:color w:val="231F20"/>
          <w:spacing w:val="2"/>
        </w:rPr>
        <w:t>relaciones </w:t>
      </w:r>
      <w:r>
        <w:rPr>
          <w:color w:val="231F20"/>
        </w:rPr>
        <w:t>que </w:t>
      </w:r>
      <w:r>
        <w:rPr>
          <w:color w:val="231F20"/>
          <w:spacing w:val="2"/>
        </w:rPr>
        <w:t>hacen </w:t>
      </w:r>
      <w:r>
        <w:rPr>
          <w:color w:val="231F20"/>
        </w:rPr>
        <w:t>a </w:t>
      </w:r>
      <w:r>
        <w:rPr>
          <w:color w:val="231F20"/>
          <w:spacing w:val="2"/>
        </w:rPr>
        <w:t>una clase social </w:t>
      </w:r>
      <w:r>
        <w:rPr>
          <w:color w:val="231F20"/>
          <w:spacing w:val="3"/>
        </w:rPr>
        <w:t>dominante, </w:t>
      </w:r>
      <w:r>
        <w:rPr>
          <w:color w:val="231F20"/>
        </w:rPr>
        <w:t>se </w:t>
      </w:r>
      <w:r>
        <w:rPr>
          <w:color w:val="231F20"/>
          <w:spacing w:val="2"/>
        </w:rPr>
        <w:t>puede interpretar </w:t>
      </w:r>
      <w:r>
        <w:rPr>
          <w:color w:val="231F20"/>
        </w:rPr>
        <w:t>el </w:t>
      </w:r>
      <w:r>
        <w:rPr>
          <w:color w:val="231F20"/>
          <w:spacing w:val="3"/>
        </w:rPr>
        <w:t>fragmento gramsciano, como </w:t>
      </w:r>
      <w:r>
        <w:rPr>
          <w:color w:val="231F20"/>
        </w:rPr>
        <w:t>el </w:t>
      </w:r>
      <w:r>
        <w:rPr>
          <w:color w:val="231F20"/>
          <w:spacing w:val="2"/>
        </w:rPr>
        <w:t>imperativo </w:t>
      </w:r>
      <w:r>
        <w:rPr>
          <w:color w:val="231F20"/>
        </w:rPr>
        <w:t>que </w:t>
      </w:r>
      <w:r>
        <w:rPr>
          <w:color w:val="231F20"/>
          <w:spacing w:val="3"/>
        </w:rPr>
        <w:t>impone </w:t>
      </w:r>
      <w:r>
        <w:rPr>
          <w:color w:val="231F20"/>
        </w:rPr>
        <w:t>la </w:t>
      </w:r>
      <w:r>
        <w:rPr>
          <w:color w:val="231F20"/>
          <w:spacing w:val="2"/>
        </w:rPr>
        <w:t>clase  </w:t>
      </w:r>
      <w:r>
        <w:rPr>
          <w:color w:val="231F20"/>
        </w:rPr>
        <w:t>que </w:t>
      </w:r>
      <w:r>
        <w:rPr>
          <w:color w:val="231F20"/>
          <w:spacing w:val="3"/>
        </w:rPr>
        <w:t>domina: </w:t>
      </w:r>
      <w:r>
        <w:rPr>
          <w:color w:val="231F20"/>
          <w:spacing w:val="2"/>
        </w:rPr>
        <w:t>asimilar </w:t>
      </w:r>
      <w:r>
        <w:rPr>
          <w:color w:val="231F20"/>
        </w:rPr>
        <w:t>a su </w:t>
      </w:r>
      <w:r>
        <w:rPr>
          <w:color w:val="231F20"/>
          <w:spacing w:val="3"/>
        </w:rPr>
        <w:t>forma </w:t>
      </w:r>
      <w:r>
        <w:rPr>
          <w:color w:val="231F20"/>
        </w:rPr>
        <w:t>de vida a las </w:t>
      </w:r>
      <w:r>
        <w:rPr>
          <w:color w:val="231F20"/>
          <w:spacing w:val="2"/>
        </w:rPr>
        <w:t>clases </w:t>
      </w:r>
      <w:r>
        <w:rPr>
          <w:color w:val="231F20"/>
          <w:spacing w:val="3"/>
        </w:rPr>
        <w:t>subalternas </w:t>
      </w:r>
      <w:r>
        <w:rPr>
          <w:color w:val="231F20"/>
          <w:spacing w:val="2"/>
        </w:rPr>
        <w:t>para poder garantizar </w:t>
      </w:r>
      <w:r>
        <w:rPr>
          <w:color w:val="231F20"/>
        </w:rPr>
        <w:t>su </w:t>
      </w:r>
      <w:r>
        <w:rPr>
          <w:color w:val="231F20"/>
          <w:spacing w:val="3"/>
        </w:rPr>
        <w:t>dominio, </w:t>
      </w:r>
      <w:r>
        <w:rPr>
          <w:color w:val="231F20"/>
          <w:spacing w:val="2"/>
        </w:rPr>
        <w:t>mediante </w:t>
      </w:r>
      <w:r>
        <w:rPr>
          <w:color w:val="231F20"/>
        </w:rPr>
        <w:t>el uso de la </w:t>
      </w:r>
      <w:r>
        <w:rPr>
          <w:color w:val="231F20"/>
          <w:spacing w:val="2"/>
        </w:rPr>
        <w:t>coerción directa, pero sobre todo </w:t>
      </w:r>
      <w:r>
        <w:rPr>
          <w:color w:val="231F20"/>
          <w:spacing w:val="3"/>
        </w:rPr>
        <w:t>mediante formas </w:t>
      </w:r>
      <w:r>
        <w:rPr>
          <w:color w:val="231F20"/>
          <w:spacing w:val="2"/>
        </w:rPr>
        <w:t>racionalizadas del </w:t>
      </w:r>
      <w:r>
        <w:rPr>
          <w:color w:val="231F20"/>
          <w:spacing w:val="4"/>
        </w:rPr>
        <w:t>do- </w:t>
      </w:r>
      <w:r>
        <w:rPr>
          <w:color w:val="231F20"/>
          <w:spacing w:val="2"/>
        </w:rPr>
        <w:t>minio, </w:t>
      </w:r>
      <w:r>
        <w:rPr>
          <w:color w:val="231F20"/>
        </w:rPr>
        <w:t>lo </w:t>
      </w:r>
      <w:r>
        <w:rPr>
          <w:color w:val="231F20"/>
          <w:spacing w:val="2"/>
        </w:rPr>
        <w:t>cual puede </w:t>
      </w:r>
      <w:r>
        <w:rPr>
          <w:color w:val="231F20"/>
        </w:rPr>
        <w:t>ser </w:t>
      </w:r>
      <w:r>
        <w:rPr>
          <w:color w:val="231F20"/>
          <w:spacing w:val="2"/>
        </w:rPr>
        <w:t>interpretado como </w:t>
      </w:r>
      <w:r>
        <w:rPr>
          <w:color w:val="231F20"/>
        </w:rPr>
        <w:t>el </w:t>
      </w:r>
      <w:r>
        <w:rPr>
          <w:color w:val="231F20"/>
          <w:spacing w:val="2"/>
        </w:rPr>
        <w:t>desarrollo </w:t>
      </w:r>
      <w:r>
        <w:rPr>
          <w:color w:val="231F20"/>
        </w:rPr>
        <w:t>de </w:t>
      </w:r>
      <w:r>
        <w:rPr>
          <w:color w:val="231F20"/>
          <w:spacing w:val="2"/>
        </w:rPr>
        <w:t>for-</w:t>
      </w:r>
      <w:r>
        <w:rPr>
          <w:color w:val="231F20"/>
          <w:spacing w:val="56"/>
        </w:rPr>
        <w:t> </w:t>
      </w:r>
      <w:r>
        <w:rPr>
          <w:color w:val="231F20"/>
          <w:spacing w:val="2"/>
        </w:rPr>
        <w:t>mas </w:t>
      </w:r>
      <w:r>
        <w:rPr>
          <w:color w:val="231F20"/>
        </w:rPr>
        <w:t>de </w:t>
      </w:r>
      <w:r>
        <w:rPr>
          <w:color w:val="231F20"/>
          <w:spacing w:val="2"/>
        </w:rPr>
        <w:t>violencia simbólica organizadas </w:t>
      </w:r>
      <w:r>
        <w:rPr>
          <w:color w:val="231F20"/>
        </w:rPr>
        <w:t>en </w:t>
      </w:r>
      <w:r>
        <w:rPr>
          <w:color w:val="231F20"/>
          <w:spacing w:val="2"/>
        </w:rPr>
        <w:t>términos </w:t>
      </w:r>
      <w:r>
        <w:rPr>
          <w:color w:val="231F20"/>
        </w:rPr>
        <w:t>de </w:t>
      </w:r>
      <w:r>
        <w:rPr>
          <w:color w:val="231F20"/>
          <w:spacing w:val="2"/>
        </w:rPr>
        <w:t>funciones estatales vinculadas </w:t>
      </w:r>
      <w:r>
        <w:rPr>
          <w:color w:val="231F20"/>
        </w:rPr>
        <w:t>a la </w:t>
      </w:r>
      <w:r>
        <w:rPr>
          <w:color w:val="231F20"/>
          <w:spacing w:val="2"/>
        </w:rPr>
        <w:t>organización cultural </w:t>
      </w:r>
      <w:r>
        <w:rPr>
          <w:color w:val="231F20"/>
        </w:rPr>
        <w:t>y </w:t>
      </w:r>
      <w:r>
        <w:rPr>
          <w:color w:val="231F20"/>
          <w:spacing w:val="3"/>
        </w:rPr>
        <w:t>moral </w:t>
      </w:r>
      <w:r>
        <w:rPr>
          <w:color w:val="231F20"/>
        </w:rPr>
        <w:t>de las </w:t>
      </w:r>
      <w:r>
        <w:rPr>
          <w:color w:val="231F20"/>
          <w:spacing w:val="3"/>
        </w:rPr>
        <w:t>masas </w:t>
      </w:r>
      <w:r>
        <w:rPr>
          <w:color w:val="231F20"/>
          <w:spacing w:val="2"/>
        </w:rPr>
        <w:t>mediante </w:t>
      </w:r>
      <w:r>
        <w:rPr>
          <w:color w:val="231F20"/>
        </w:rPr>
        <w:t>las </w:t>
      </w:r>
      <w:r>
        <w:rPr>
          <w:color w:val="231F20"/>
          <w:spacing w:val="2"/>
        </w:rPr>
        <w:t>instituciones educativas, </w:t>
      </w:r>
      <w:r>
        <w:rPr>
          <w:color w:val="231F20"/>
        </w:rPr>
        <w:t>el </w:t>
      </w:r>
      <w:r>
        <w:rPr>
          <w:color w:val="231F20"/>
          <w:spacing w:val="2"/>
        </w:rPr>
        <w:t>derecho </w:t>
      </w:r>
      <w:r>
        <w:rPr>
          <w:color w:val="231F20"/>
        </w:rPr>
        <w:t>y los </w:t>
      </w:r>
      <w:r>
        <w:rPr>
          <w:color w:val="231F20"/>
          <w:spacing w:val="2"/>
        </w:rPr>
        <w:t>tribunales </w:t>
      </w:r>
      <w:r>
        <w:rPr>
          <w:color w:val="231F20"/>
          <w:spacing w:val="3"/>
        </w:rPr>
        <w:t>(Gramsci, </w:t>
      </w:r>
      <w:r>
        <w:rPr>
          <w:color w:val="231F20"/>
          <w:spacing w:val="2"/>
        </w:rPr>
        <w:t>1986:161) </w:t>
      </w:r>
      <w:r>
        <w:rPr>
          <w:color w:val="231F20"/>
        </w:rPr>
        <w:t>que se </w:t>
      </w:r>
      <w:r>
        <w:rPr>
          <w:color w:val="231F20"/>
          <w:spacing w:val="2"/>
        </w:rPr>
        <w:t>sintonizan con </w:t>
      </w:r>
      <w:r>
        <w:rPr>
          <w:color w:val="231F20"/>
        </w:rPr>
        <w:t>el </w:t>
      </w:r>
      <w:r>
        <w:rPr>
          <w:color w:val="231F20"/>
          <w:spacing w:val="2"/>
        </w:rPr>
        <w:t>desarrollo </w:t>
      </w:r>
      <w:r>
        <w:rPr>
          <w:color w:val="231F20"/>
        </w:rPr>
        <w:t>de las </w:t>
      </w:r>
      <w:r>
        <w:rPr>
          <w:color w:val="231F20"/>
          <w:spacing w:val="2"/>
        </w:rPr>
        <w:t>fuerzas </w:t>
      </w:r>
      <w:r>
        <w:rPr>
          <w:color w:val="231F20"/>
          <w:spacing w:val="3"/>
        </w:rPr>
        <w:t>productivas. </w:t>
      </w:r>
      <w:r>
        <w:rPr>
          <w:color w:val="231F20"/>
          <w:spacing w:val="2"/>
        </w:rPr>
        <w:t>Así, con </w:t>
      </w:r>
      <w:r>
        <w:rPr>
          <w:color w:val="231F20"/>
          <w:spacing w:val="3"/>
        </w:rPr>
        <w:t>Gramsci </w:t>
      </w:r>
      <w:r>
        <w:rPr>
          <w:color w:val="231F20"/>
        </w:rPr>
        <w:t>se </w:t>
      </w:r>
      <w:r>
        <w:rPr>
          <w:color w:val="231F20"/>
          <w:spacing w:val="2"/>
        </w:rPr>
        <w:t>atisba una posibilidad </w:t>
      </w:r>
      <w:r>
        <w:rPr>
          <w:color w:val="231F20"/>
          <w:spacing w:val="4"/>
        </w:rPr>
        <w:t>de </w:t>
      </w:r>
      <w:r>
        <w:rPr>
          <w:color w:val="231F20"/>
          <w:spacing w:val="3"/>
        </w:rPr>
        <w:t>transformación </w:t>
      </w:r>
      <w:r>
        <w:rPr>
          <w:color w:val="231F20"/>
        </w:rPr>
        <w:t>de la </w:t>
      </w:r>
      <w:r>
        <w:rPr>
          <w:color w:val="231F20"/>
          <w:spacing w:val="2"/>
        </w:rPr>
        <w:t>sociedad donde </w:t>
      </w:r>
      <w:r>
        <w:rPr>
          <w:color w:val="231F20"/>
        </w:rPr>
        <w:t>el </w:t>
      </w:r>
      <w:r>
        <w:rPr>
          <w:color w:val="231F20"/>
          <w:spacing w:val="3"/>
        </w:rPr>
        <w:t>conjunto </w:t>
      </w:r>
      <w:r>
        <w:rPr>
          <w:color w:val="231F20"/>
        </w:rPr>
        <w:t>de </w:t>
      </w:r>
      <w:r>
        <w:rPr>
          <w:color w:val="231F20"/>
          <w:spacing w:val="2"/>
        </w:rPr>
        <w:t>instituciones sociales </w:t>
      </w:r>
      <w:r>
        <w:rPr>
          <w:color w:val="231F20"/>
        </w:rPr>
        <w:t>y </w:t>
      </w:r>
      <w:r>
        <w:rPr>
          <w:color w:val="231F20"/>
          <w:spacing w:val="2"/>
        </w:rPr>
        <w:t>políticas son susceptibles </w:t>
      </w:r>
      <w:r>
        <w:rPr>
          <w:color w:val="231F20"/>
        </w:rPr>
        <w:t>de </w:t>
      </w:r>
      <w:r>
        <w:rPr>
          <w:color w:val="231F20"/>
          <w:spacing w:val="2"/>
        </w:rPr>
        <w:t>disputa política, </w:t>
      </w:r>
      <w:r>
        <w:rPr>
          <w:color w:val="231F20"/>
        </w:rPr>
        <w:t>a </w:t>
      </w:r>
      <w:r>
        <w:rPr>
          <w:color w:val="231F20"/>
          <w:spacing w:val="2"/>
        </w:rPr>
        <w:t>pesar </w:t>
      </w:r>
      <w:r>
        <w:rPr>
          <w:color w:val="231F20"/>
        </w:rPr>
        <w:t>de que </w:t>
      </w:r>
      <w:r>
        <w:rPr>
          <w:color w:val="231F20"/>
          <w:spacing w:val="2"/>
        </w:rPr>
        <w:t>constituyan una estructura mediante </w:t>
      </w:r>
      <w:r>
        <w:rPr>
          <w:color w:val="231F20"/>
        </w:rPr>
        <w:t>la </w:t>
      </w:r>
      <w:r>
        <w:rPr>
          <w:color w:val="231F20"/>
          <w:spacing w:val="2"/>
        </w:rPr>
        <w:t>cual </w:t>
      </w:r>
      <w:r>
        <w:rPr>
          <w:color w:val="231F20"/>
        </w:rPr>
        <w:t>se </w:t>
      </w:r>
      <w:r>
        <w:rPr>
          <w:color w:val="231F20"/>
          <w:spacing w:val="2"/>
        </w:rPr>
        <w:t>organiza </w:t>
      </w:r>
      <w:r>
        <w:rPr>
          <w:color w:val="231F20"/>
        </w:rPr>
        <w:t>el </w:t>
      </w:r>
      <w:r>
        <w:rPr>
          <w:color w:val="231F20"/>
          <w:spacing w:val="3"/>
        </w:rPr>
        <w:t>dominio </w:t>
      </w:r>
      <w:r>
        <w:rPr>
          <w:color w:val="231F20"/>
        </w:rPr>
        <w:t>de las </w:t>
      </w:r>
      <w:r>
        <w:rPr>
          <w:color w:val="231F20"/>
          <w:spacing w:val="2"/>
        </w:rPr>
        <w:t>clases</w:t>
      </w:r>
      <w:r>
        <w:rPr>
          <w:color w:val="231F20"/>
        </w:rPr>
        <w:t> </w:t>
      </w:r>
      <w:r>
        <w:rPr>
          <w:color w:val="231F20"/>
          <w:spacing w:val="3"/>
        </w:rPr>
        <w:t>dominantes.</w:t>
      </w:r>
    </w:p>
    <w:p>
      <w:pPr>
        <w:pStyle w:val="BodyText"/>
        <w:spacing w:line="249" w:lineRule="auto"/>
        <w:ind w:left="101" w:right="113" w:firstLine="284"/>
        <w:jc w:val="both"/>
      </w:pPr>
      <w:r>
        <w:rPr>
          <w:color w:val="231F20"/>
          <w:spacing w:val="3"/>
        </w:rPr>
        <w:t>Empero </w:t>
      </w:r>
      <w:r>
        <w:rPr>
          <w:color w:val="231F20"/>
          <w:spacing w:val="2"/>
        </w:rPr>
        <w:t>hasta aquí </w:t>
      </w:r>
      <w:r>
        <w:rPr>
          <w:color w:val="231F20"/>
        </w:rPr>
        <w:t>se </w:t>
      </w:r>
      <w:r>
        <w:rPr>
          <w:color w:val="231F20"/>
          <w:spacing w:val="2"/>
        </w:rPr>
        <w:t>puede </w:t>
      </w:r>
      <w:r>
        <w:rPr>
          <w:color w:val="231F20"/>
          <w:spacing w:val="3"/>
        </w:rPr>
        <w:t>entender </w:t>
      </w:r>
      <w:r>
        <w:rPr>
          <w:color w:val="231F20"/>
        </w:rPr>
        <w:t>la </w:t>
      </w:r>
      <w:r>
        <w:rPr>
          <w:color w:val="231F20"/>
          <w:spacing w:val="2"/>
        </w:rPr>
        <w:t>ideología </w:t>
      </w:r>
      <w:r>
        <w:rPr>
          <w:color w:val="231F20"/>
          <w:spacing w:val="3"/>
        </w:rPr>
        <w:t>como </w:t>
      </w:r>
      <w:r>
        <w:rPr>
          <w:color w:val="231F20"/>
          <w:spacing w:val="2"/>
        </w:rPr>
        <w:t>una </w:t>
      </w:r>
      <w:r>
        <w:rPr>
          <w:color w:val="231F20"/>
          <w:spacing w:val="3"/>
        </w:rPr>
        <w:t>forma </w:t>
      </w:r>
      <w:r>
        <w:rPr>
          <w:color w:val="231F20"/>
        </w:rPr>
        <w:t>de </w:t>
      </w:r>
      <w:r>
        <w:rPr>
          <w:color w:val="231F20"/>
          <w:spacing w:val="2"/>
        </w:rPr>
        <w:t>inversión </w:t>
      </w:r>
      <w:r>
        <w:rPr>
          <w:color w:val="231F20"/>
        </w:rPr>
        <w:t>de la </w:t>
      </w:r>
      <w:r>
        <w:rPr>
          <w:color w:val="231F20"/>
          <w:spacing w:val="2"/>
        </w:rPr>
        <w:t>realidad </w:t>
      </w:r>
      <w:r>
        <w:rPr>
          <w:color w:val="231F20"/>
        </w:rPr>
        <w:t>que </w:t>
      </w:r>
      <w:r>
        <w:rPr>
          <w:color w:val="231F20"/>
          <w:spacing w:val="2"/>
        </w:rPr>
        <w:t>brota del proceso </w:t>
      </w:r>
      <w:r>
        <w:rPr>
          <w:color w:val="231F20"/>
          <w:spacing w:val="3"/>
        </w:rPr>
        <w:t>mismo </w:t>
      </w:r>
      <w:r>
        <w:rPr>
          <w:color w:val="231F20"/>
          <w:spacing w:val="4"/>
        </w:rPr>
        <w:t>de </w:t>
      </w:r>
      <w:r>
        <w:rPr>
          <w:color w:val="231F20"/>
          <w:spacing w:val="3"/>
        </w:rPr>
        <w:t>producción; </w:t>
      </w:r>
      <w:r>
        <w:rPr>
          <w:color w:val="231F20"/>
        </w:rPr>
        <w:t>sin </w:t>
      </w:r>
      <w:r>
        <w:rPr>
          <w:color w:val="231F20"/>
          <w:spacing w:val="3"/>
        </w:rPr>
        <w:t>embargo, </w:t>
      </w:r>
      <w:r>
        <w:rPr>
          <w:color w:val="231F20"/>
        </w:rPr>
        <w:t>al </w:t>
      </w:r>
      <w:r>
        <w:rPr>
          <w:color w:val="231F20"/>
          <w:spacing w:val="2"/>
        </w:rPr>
        <w:t>quedar organizada </w:t>
      </w:r>
      <w:r>
        <w:rPr>
          <w:color w:val="231F20"/>
        </w:rPr>
        <w:t>en </w:t>
      </w:r>
      <w:r>
        <w:rPr>
          <w:color w:val="231F20"/>
          <w:spacing w:val="2"/>
        </w:rPr>
        <w:t>conexión con </w:t>
      </w:r>
      <w:r>
        <w:rPr>
          <w:color w:val="231F20"/>
        </w:rPr>
        <w:t>la </w:t>
      </w:r>
      <w:r>
        <w:rPr>
          <w:color w:val="231F20"/>
          <w:spacing w:val="2"/>
        </w:rPr>
        <w:t>cultura, </w:t>
      </w:r>
      <w:r>
        <w:rPr>
          <w:color w:val="231F20"/>
        </w:rPr>
        <w:t>la </w:t>
      </w:r>
      <w:r>
        <w:rPr>
          <w:color w:val="231F20"/>
          <w:spacing w:val="3"/>
        </w:rPr>
        <w:t>moral </w:t>
      </w:r>
      <w:r>
        <w:rPr>
          <w:color w:val="231F20"/>
        </w:rPr>
        <w:t>y las </w:t>
      </w:r>
      <w:r>
        <w:rPr>
          <w:color w:val="231F20"/>
          <w:spacing w:val="2"/>
        </w:rPr>
        <w:t>relaciones </w:t>
      </w:r>
      <w:r>
        <w:rPr>
          <w:color w:val="231F20"/>
        </w:rPr>
        <w:t>de </w:t>
      </w:r>
      <w:r>
        <w:rPr>
          <w:color w:val="231F20"/>
          <w:spacing w:val="3"/>
        </w:rPr>
        <w:t>producción </w:t>
      </w:r>
      <w:r>
        <w:rPr>
          <w:color w:val="231F20"/>
          <w:spacing w:val="2"/>
        </w:rPr>
        <w:t>adquieren una función legitimante. </w:t>
      </w:r>
      <w:r>
        <w:rPr>
          <w:color w:val="231F20"/>
        </w:rPr>
        <w:t>Lo que se </w:t>
      </w:r>
      <w:r>
        <w:rPr>
          <w:color w:val="231F20"/>
          <w:spacing w:val="2"/>
        </w:rPr>
        <w:t>puede advertir </w:t>
      </w:r>
      <w:r>
        <w:rPr>
          <w:color w:val="231F20"/>
        </w:rPr>
        <w:t>es que si la </w:t>
      </w:r>
      <w:r>
        <w:rPr>
          <w:color w:val="231F20"/>
          <w:spacing w:val="2"/>
        </w:rPr>
        <w:t>ideología </w:t>
      </w:r>
      <w:r>
        <w:rPr>
          <w:color w:val="231F20"/>
          <w:spacing w:val="3"/>
        </w:rPr>
        <w:t>primariamente </w:t>
      </w:r>
      <w:r>
        <w:rPr>
          <w:color w:val="231F20"/>
          <w:spacing w:val="2"/>
        </w:rPr>
        <w:t>cumple </w:t>
      </w:r>
      <w:r>
        <w:rPr>
          <w:color w:val="231F20"/>
        </w:rPr>
        <w:t>la </w:t>
      </w:r>
      <w:r>
        <w:rPr>
          <w:color w:val="231F20"/>
          <w:spacing w:val="2"/>
        </w:rPr>
        <w:t>función </w:t>
      </w:r>
      <w:r>
        <w:rPr>
          <w:color w:val="231F20"/>
        </w:rPr>
        <w:t>de </w:t>
      </w:r>
      <w:r>
        <w:rPr>
          <w:color w:val="231F20"/>
          <w:spacing w:val="3"/>
        </w:rPr>
        <w:t>deformación </w:t>
      </w:r>
      <w:r>
        <w:rPr>
          <w:color w:val="231F20"/>
        </w:rPr>
        <w:t>de la </w:t>
      </w:r>
      <w:r>
        <w:rPr>
          <w:color w:val="231F20"/>
          <w:spacing w:val="2"/>
        </w:rPr>
        <w:t>realidad para justificar </w:t>
      </w:r>
      <w:r>
        <w:rPr>
          <w:color w:val="231F20"/>
        </w:rPr>
        <w:t>la </w:t>
      </w:r>
      <w:r>
        <w:rPr>
          <w:color w:val="231F20"/>
          <w:spacing w:val="2"/>
        </w:rPr>
        <w:t>cosificación </w:t>
      </w:r>
      <w:r>
        <w:rPr>
          <w:color w:val="231F20"/>
        </w:rPr>
        <w:t>de </w:t>
      </w:r>
      <w:r>
        <w:rPr>
          <w:color w:val="231F20"/>
          <w:spacing w:val="2"/>
        </w:rPr>
        <w:t>los seres </w:t>
      </w:r>
      <w:r>
        <w:rPr>
          <w:color w:val="231F20"/>
          <w:spacing w:val="3"/>
        </w:rPr>
        <w:t>humanos </w:t>
      </w:r>
      <w:r>
        <w:rPr>
          <w:color w:val="231F20"/>
        </w:rPr>
        <w:t>en el </w:t>
      </w:r>
      <w:r>
        <w:rPr>
          <w:color w:val="231F20"/>
          <w:spacing w:val="2"/>
        </w:rPr>
        <w:t>proceso  </w:t>
      </w:r>
      <w:r>
        <w:rPr>
          <w:color w:val="231F20"/>
        </w:rPr>
        <w:t>de </w:t>
      </w:r>
      <w:r>
        <w:rPr>
          <w:color w:val="231F20"/>
          <w:spacing w:val="3"/>
        </w:rPr>
        <w:t>producción, </w:t>
      </w:r>
      <w:r>
        <w:rPr>
          <w:color w:val="231F20"/>
          <w:spacing w:val="2"/>
        </w:rPr>
        <w:t>desde </w:t>
      </w:r>
      <w:r>
        <w:rPr>
          <w:color w:val="231F20"/>
        </w:rPr>
        <w:t>allí </w:t>
      </w:r>
      <w:r>
        <w:rPr>
          <w:color w:val="231F20"/>
          <w:spacing w:val="3"/>
        </w:rPr>
        <w:t>comienza </w:t>
      </w:r>
      <w:r>
        <w:rPr>
          <w:color w:val="231F20"/>
        </w:rPr>
        <w:t>ya a </w:t>
      </w:r>
      <w:r>
        <w:rPr>
          <w:color w:val="231F20"/>
          <w:spacing w:val="2"/>
        </w:rPr>
        <w:t>legitimar </w:t>
      </w:r>
      <w:r>
        <w:rPr>
          <w:color w:val="231F20"/>
        </w:rPr>
        <w:t>la </w:t>
      </w:r>
      <w:r>
        <w:rPr>
          <w:color w:val="231F20"/>
          <w:spacing w:val="3"/>
        </w:rPr>
        <w:t>apropiación </w:t>
      </w:r>
      <w:r>
        <w:rPr>
          <w:color w:val="231F20"/>
          <w:spacing w:val="2"/>
        </w:rPr>
        <w:t>privada </w:t>
      </w:r>
      <w:r>
        <w:rPr>
          <w:color w:val="231F20"/>
        </w:rPr>
        <w:t>de la </w:t>
      </w:r>
      <w:r>
        <w:rPr>
          <w:color w:val="231F20"/>
          <w:spacing w:val="2"/>
        </w:rPr>
        <w:t>riqueza socialmente producida, pero </w:t>
      </w:r>
      <w:r>
        <w:rPr>
          <w:color w:val="231F20"/>
        </w:rPr>
        <w:t>su </w:t>
      </w:r>
      <w:r>
        <w:rPr>
          <w:color w:val="231F20"/>
          <w:spacing w:val="2"/>
        </w:rPr>
        <w:t>efecto </w:t>
      </w:r>
      <w:r>
        <w:rPr>
          <w:color w:val="231F20"/>
        </w:rPr>
        <w:t>se </w:t>
      </w:r>
      <w:r>
        <w:rPr>
          <w:color w:val="231F20"/>
          <w:spacing w:val="2"/>
        </w:rPr>
        <w:t>amplifica cuando </w:t>
      </w:r>
      <w:r>
        <w:rPr>
          <w:color w:val="231F20"/>
        </w:rPr>
        <w:t>se </w:t>
      </w:r>
      <w:r>
        <w:rPr>
          <w:color w:val="231F20"/>
          <w:spacing w:val="2"/>
        </w:rPr>
        <w:t>extiende </w:t>
      </w:r>
      <w:r>
        <w:rPr>
          <w:color w:val="231F20"/>
        </w:rPr>
        <w:t>a la </w:t>
      </w:r>
      <w:r>
        <w:rPr>
          <w:color w:val="231F20"/>
          <w:spacing w:val="2"/>
        </w:rPr>
        <w:t>instituciones </w:t>
      </w:r>
      <w:r>
        <w:rPr>
          <w:color w:val="231F20"/>
        </w:rPr>
        <w:t>que </w:t>
      </w:r>
      <w:r>
        <w:rPr>
          <w:color w:val="231F20"/>
          <w:spacing w:val="2"/>
        </w:rPr>
        <w:t>permiten </w:t>
      </w:r>
      <w:r>
        <w:rPr>
          <w:color w:val="231F20"/>
          <w:spacing w:val="3"/>
        </w:rPr>
        <w:t>orga- </w:t>
      </w:r>
      <w:r>
        <w:rPr>
          <w:color w:val="231F20"/>
          <w:spacing w:val="2"/>
        </w:rPr>
        <w:t>nizar </w:t>
      </w:r>
      <w:r>
        <w:rPr>
          <w:color w:val="231F20"/>
        </w:rPr>
        <w:t>el </w:t>
      </w:r>
      <w:r>
        <w:rPr>
          <w:color w:val="231F20"/>
          <w:spacing w:val="2"/>
        </w:rPr>
        <w:t>dominio político </w:t>
      </w:r>
      <w:r>
        <w:rPr>
          <w:color w:val="231F20"/>
        </w:rPr>
        <w:t>y a </w:t>
      </w:r>
      <w:r>
        <w:rPr>
          <w:color w:val="231F20"/>
          <w:spacing w:val="2"/>
        </w:rPr>
        <w:t>legitimar diversas </w:t>
      </w:r>
      <w:r>
        <w:rPr>
          <w:color w:val="231F20"/>
          <w:spacing w:val="3"/>
        </w:rPr>
        <w:t>formas </w:t>
      </w:r>
      <w:r>
        <w:rPr>
          <w:color w:val="231F20"/>
        </w:rPr>
        <w:t>de de- </w:t>
      </w:r>
      <w:r>
        <w:rPr>
          <w:color w:val="231F20"/>
          <w:spacing w:val="2"/>
          <w:w w:val="95"/>
        </w:rPr>
        <w:t>sigualdad</w:t>
      </w:r>
      <w:r>
        <w:rPr>
          <w:color w:val="231F20"/>
          <w:spacing w:val="23"/>
          <w:w w:val="95"/>
        </w:rPr>
        <w:t> </w:t>
      </w:r>
      <w:r>
        <w:rPr>
          <w:color w:val="231F20"/>
          <w:spacing w:val="2"/>
          <w:w w:val="95"/>
        </w:rPr>
        <w:t>social.</w:t>
      </w:r>
    </w:p>
    <w:p>
      <w:pPr>
        <w:spacing w:after="0" w:line="249" w:lineRule="auto"/>
        <w:jc w:val="both"/>
        <w:sectPr>
          <w:headerReference w:type="default" r:id="rId179"/>
          <w:footerReference w:type="default" r:id="rId180"/>
          <w:pgSz w:w="7830" w:h="11910"/>
          <w:pgMar w:header="0" w:footer="424" w:top="500" w:bottom="620" w:left="920" w:right="900"/>
          <w:pgNumType w:start="8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3" w:firstLine="284"/>
        <w:jc w:val="both"/>
      </w:pPr>
      <w:r>
        <w:rPr>
          <w:color w:val="231F20"/>
          <w:spacing w:val="3"/>
        </w:rPr>
        <w:t>Ahora </w:t>
      </w:r>
      <w:r>
        <w:rPr>
          <w:color w:val="231F20"/>
          <w:spacing w:val="2"/>
        </w:rPr>
        <w:t>bien, cuando </w:t>
      </w:r>
      <w:r>
        <w:rPr>
          <w:color w:val="231F20"/>
        </w:rPr>
        <w:t>se ha </w:t>
      </w:r>
      <w:r>
        <w:rPr>
          <w:color w:val="231F20"/>
          <w:spacing w:val="2"/>
        </w:rPr>
        <w:t>pretendido recuperar </w:t>
      </w:r>
      <w:r>
        <w:rPr>
          <w:color w:val="231F20"/>
        </w:rPr>
        <w:t>el </w:t>
      </w:r>
      <w:r>
        <w:rPr>
          <w:color w:val="231F20"/>
          <w:spacing w:val="3"/>
        </w:rPr>
        <w:t>concepto </w:t>
      </w:r>
      <w:r>
        <w:rPr>
          <w:color w:val="231F20"/>
        </w:rPr>
        <w:t>de </w:t>
      </w:r>
      <w:r>
        <w:rPr>
          <w:color w:val="231F20"/>
          <w:spacing w:val="2"/>
        </w:rPr>
        <w:t>ideología, para examinar </w:t>
      </w:r>
      <w:r>
        <w:rPr>
          <w:color w:val="231F20"/>
          <w:spacing w:val="3"/>
        </w:rPr>
        <w:t>problemáticas </w:t>
      </w:r>
      <w:r>
        <w:rPr>
          <w:color w:val="231F20"/>
          <w:spacing w:val="2"/>
        </w:rPr>
        <w:t>sociales actuales, </w:t>
      </w:r>
      <w:r>
        <w:rPr>
          <w:color w:val="231F20"/>
          <w:spacing w:val="3"/>
        </w:rPr>
        <w:t>aunque </w:t>
      </w:r>
      <w:r>
        <w:rPr>
          <w:color w:val="231F20"/>
        </w:rPr>
        <w:t>se </w:t>
      </w:r>
      <w:r>
        <w:rPr>
          <w:color w:val="231F20"/>
          <w:spacing w:val="3"/>
        </w:rPr>
        <w:t>mantiene </w:t>
      </w:r>
      <w:r>
        <w:rPr>
          <w:color w:val="231F20"/>
        </w:rPr>
        <w:t>la </w:t>
      </w:r>
      <w:r>
        <w:rPr>
          <w:color w:val="231F20"/>
          <w:spacing w:val="2"/>
        </w:rPr>
        <w:t>idea </w:t>
      </w:r>
      <w:r>
        <w:rPr>
          <w:color w:val="231F20"/>
        </w:rPr>
        <w:t>de que </w:t>
      </w:r>
      <w:r>
        <w:rPr>
          <w:color w:val="231F20"/>
          <w:spacing w:val="2"/>
        </w:rPr>
        <w:t>sirve para ocultar </w:t>
      </w:r>
      <w:r>
        <w:rPr>
          <w:color w:val="231F20"/>
        </w:rPr>
        <w:t>u </w:t>
      </w:r>
      <w:r>
        <w:rPr>
          <w:color w:val="231F20"/>
          <w:spacing w:val="2"/>
        </w:rPr>
        <w:t>opacar </w:t>
      </w:r>
      <w:r>
        <w:rPr>
          <w:color w:val="231F20"/>
        </w:rPr>
        <w:t>la </w:t>
      </w:r>
      <w:r>
        <w:rPr>
          <w:color w:val="231F20"/>
          <w:spacing w:val="2"/>
        </w:rPr>
        <w:t>realidad,  </w:t>
      </w:r>
      <w:r>
        <w:rPr>
          <w:color w:val="231F20"/>
        </w:rPr>
        <w:t>se </w:t>
      </w:r>
      <w:r>
        <w:rPr>
          <w:color w:val="231F20"/>
          <w:spacing w:val="2"/>
        </w:rPr>
        <w:t>tiende </w:t>
      </w:r>
      <w:r>
        <w:rPr>
          <w:color w:val="231F20"/>
        </w:rPr>
        <w:t>a </w:t>
      </w:r>
      <w:r>
        <w:rPr>
          <w:color w:val="231F20"/>
          <w:spacing w:val="2"/>
        </w:rPr>
        <w:t>vincularla </w:t>
      </w:r>
      <w:r>
        <w:rPr>
          <w:color w:val="231F20"/>
        </w:rPr>
        <w:t>a las </w:t>
      </w:r>
      <w:r>
        <w:rPr>
          <w:color w:val="231F20"/>
          <w:spacing w:val="2"/>
        </w:rPr>
        <w:t>cuestiones </w:t>
      </w:r>
      <w:r>
        <w:rPr>
          <w:color w:val="231F20"/>
        </w:rPr>
        <w:t>de la </w:t>
      </w:r>
      <w:r>
        <w:rPr>
          <w:color w:val="231F20"/>
          <w:spacing w:val="2"/>
        </w:rPr>
        <w:t>integración social como sostiene Beriain cuando </w:t>
      </w:r>
      <w:r>
        <w:rPr>
          <w:color w:val="231F20"/>
        </w:rPr>
        <w:t>se </w:t>
      </w:r>
      <w:r>
        <w:rPr>
          <w:color w:val="231F20"/>
          <w:spacing w:val="3"/>
        </w:rPr>
        <w:t>propone: “…desvelar </w:t>
      </w:r>
      <w:r>
        <w:rPr>
          <w:color w:val="231F20"/>
        </w:rPr>
        <w:t>«las </w:t>
      </w:r>
      <w:r>
        <w:rPr>
          <w:color w:val="231F20"/>
          <w:spacing w:val="2"/>
        </w:rPr>
        <w:t>fuerzas </w:t>
      </w:r>
      <w:r>
        <w:rPr>
          <w:color w:val="231F20"/>
          <w:spacing w:val="3"/>
        </w:rPr>
        <w:t>so- </w:t>
      </w:r>
      <w:r>
        <w:rPr>
          <w:color w:val="231F20"/>
          <w:spacing w:val="2"/>
        </w:rPr>
        <w:t>ciales» visibles </w:t>
      </w:r>
      <w:r>
        <w:rPr>
          <w:color w:val="231F20"/>
        </w:rPr>
        <w:t>e </w:t>
      </w:r>
      <w:r>
        <w:rPr>
          <w:color w:val="231F20"/>
          <w:spacing w:val="2"/>
        </w:rPr>
        <w:t>invisibles que operan </w:t>
      </w:r>
      <w:r>
        <w:rPr>
          <w:i/>
          <w:color w:val="231F20"/>
        </w:rPr>
        <w:t>en </w:t>
      </w:r>
      <w:r>
        <w:rPr>
          <w:color w:val="231F20"/>
        </w:rPr>
        <w:t>las </w:t>
      </w:r>
      <w:r>
        <w:rPr>
          <w:color w:val="231F20"/>
          <w:spacing w:val="2"/>
        </w:rPr>
        <w:t>sociedades </w:t>
      </w:r>
      <w:r>
        <w:rPr>
          <w:color w:val="231F20"/>
          <w:spacing w:val="3"/>
        </w:rPr>
        <w:t>modernas encargándose </w:t>
      </w:r>
      <w:r>
        <w:rPr>
          <w:color w:val="231F20"/>
        </w:rPr>
        <w:t>de la </w:t>
      </w:r>
      <w:r>
        <w:rPr>
          <w:color w:val="231F20"/>
          <w:spacing w:val="2"/>
        </w:rPr>
        <w:t>integración simbólica, </w:t>
      </w:r>
      <w:r>
        <w:rPr>
          <w:color w:val="231F20"/>
        </w:rPr>
        <w:t>de la </w:t>
      </w:r>
      <w:r>
        <w:rPr>
          <w:color w:val="231F20"/>
          <w:spacing w:val="2"/>
        </w:rPr>
        <w:t>integración </w:t>
      </w:r>
      <w:r>
        <w:rPr>
          <w:color w:val="231F20"/>
          <w:spacing w:val="3"/>
        </w:rPr>
        <w:t>fun- </w:t>
      </w:r>
      <w:r>
        <w:rPr>
          <w:color w:val="231F20"/>
          <w:spacing w:val="2"/>
        </w:rPr>
        <w:t>cional </w:t>
      </w:r>
      <w:r>
        <w:rPr>
          <w:color w:val="231F20"/>
        </w:rPr>
        <w:t>y de la </w:t>
      </w:r>
      <w:r>
        <w:rPr>
          <w:color w:val="231F20"/>
          <w:spacing w:val="2"/>
        </w:rPr>
        <w:t>integración moral. Tematizar </w:t>
      </w:r>
      <w:r>
        <w:rPr>
          <w:color w:val="231F20"/>
        </w:rPr>
        <w:t>la </w:t>
      </w:r>
      <w:r>
        <w:rPr>
          <w:color w:val="231F20"/>
          <w:spacing w:val="2"/>
        </w:rPr>
        <w:t>integración significa asimismo dar cuenta </w:t>
      </w:r>
      <w:r>
        <w:rPr>
          <w:color w:val="231F20"/>
        </w:rPr>
        <w:t>de su </w:t>
      </w:r>
      <w:r>
        <w:rPr>
          <w:color w:val="231F20"/>
          <w:spacing w:val="2"/>
        </w:rPr>
        <w:t>«alteridad», </w:t>
      </w:r>
      <w:r>
        <w:rPr>
          <w:color w:val="231F20"/>
        </w:rPr>
        <w:t>de la </w:t>
      </w:r>
      <w:r>
        <w:rPr>
          <w:color w:val="231F20"/>
          <w:spacing w:val="2"/>
        </w:rPr>
        <w:t>ausencia </w:t>
      </w:r>
      <w:r>
        <w:rPr>
          <w:color w:val="231F20"/>
        </w:rPr>
        <w:t>o </w:t>
      </w:r>
      <w:r>
        <w:rPr>
          <w:color w:val="231F20"/>
          <w:spacing w:val="2"/>
        </w:rPr>
        <w:t>déficit </w:t>
      </w:r>
      <w:r>
        <w:rPr>
          <w:color w:val="231F20"/>
        </w:rPr>
        <w:t>de </w:t>
      </w:r>
      <w:r>
        <w:rPr>
          <w:color w:val="231F20"/>
          <w:spacing w:val="2"/>
        </w:rPr>
        <w:t>integración, </w:t>
      </w:r>
      <w:r>
        <w:rPr>
          <w:color w:val="231F20"/>
        </w:rPr>
        <w:t>en la </w:t>
      </w:r>
      <w:r>
        <w:rPr>
          <w:color w:val="231F20"/>
          <w:spacing w:val="3"/>
        </w:rPr>
        <w:t>forma </w:t>
      </w:r>
      <w:r>
        <w:rPr>
          <w:color w:val="231F20"/>
        </w:rPr>
        <w:t>de </w:t>
      </w:r>
      <w:r>
        <w:rPr>
          <w:color w:val="231F20"/>
          <w:spacing w:val="3"/>
        </w:rPr>
        <w:t>fragmentación </w:t>
      </w:r>
      <w:r>
        <w:rPr>
          <w:color w:val="231F20"/>
          <w:spacing w:val="2"/>
        </w:rPr>
        <w:t>cultural, </w:t>
      </w:r>
      <w:r>
        <w:rPr>
          <w:color w:val="231F20"/>
          <w:spacing w:val="3"/>
        </w:rPr>
        <w:t>anomía </w:t>
      </w:r>
      <w:r>
        <w:rPr>
          <w:color w:val="231F20"/>
        </w:rPr>
        <w:t>o </w:t>
      </w:r>
      <w:r>
        <w:rPr>
          <w:color w:val="231F20"/>
          <w:spacing w:val="2"/>
        </w:rPr>
        <w:t>crisis </w:t>
      </w:r>
      <w:r>
        <w:rPr>
          <w:color w:val="231F20"/>
          <w:spacing w:val="3"/>
        </w:rPr>
        <w:t>económica”, </w:t>
      </w:r>
      <w:r>
        <w:rPr>
          <w:color w:val="231F20"/>
          <w:spacing w:val="2"/>
        </w:rPr>
        <w:t>pero </w:t>
      </w:r>
      <w:r>
        <w:rPr>
          <w:color w:val="231F20"/>
        </w:rPr>
        <w:t>a </w:t>
      </w:r>
      <w:r>
        <w:rPr>
          <w:color w:val="231F20"/>
          <w:spacing w:val="2"/>
        </w:rPr>
        <w:t>partir </w:t>
      </w:r>
      <w:r>
        <w:rPr>
          <w:color w:val="231F20"/>
        </w:rPr>
        <w:t>de las </w:t>
      </w:r>
      <w:r>
        <w:rPr>
          <w:color w:val="231F20"/>
          <w:spacing w:val="2"/>
        </w:rPr>
        <w:t>“dinámicas, los principios que estructuran </w:t>
      </w:r>
      <w:r>
        <w:rPr>
          <w:color w:val="231F20"/>
        </w:rPr>
        <w:t>las </w:t>
      </w:r>
      <w:r>
        <w:rPr>
          <w:color w:val="231F20"/>
          <w:spacing w:val="2"/>
        </w:rPr>
        <w:t>relaciones sociales </w:t>
      </w:r>
      <w:r>
        <w:rPr>
          <w:color w:val="231F20"/>
        </w:rPr>
        <w:t>en las </w:t>
      </w:r>
      <w:r>
        <w:rPr>
          <w:color w:val="231F20"/>
          <w:spacing w:val="3"/>
        </w:rPr>
        <w:t>sociedades modernas”, </w:t>
      </w:r>
      <w:r>
        <w:rPr>
          <w:color w:val="231F20"/>
          <w:spacing w:val="2"/>
        </w:rPr>
        <w:t>entre</w:t>
      </w:r>
      <w:r>
        <w:rPr>
          <w:color w:val="231F20"/>
          <w:spacing w:val="-9"/>
        </w:rPr>
        <w:t> </w:t>
      </w:r>
      <w:r>
        <w:rPr>
          <w:color w:val="231F20"/>
        </w:rPr>
        <w:t>la</w:t>
      </w:r>
      <w:r>
        <w:rPr>
          <w:color w:val="231F20"/>
          <w:spacing w:val="-9"/>
        </w:rPr>
        <w:t> </w:t>
      </w:r>
      <w:r>
        <w:rPr>
          <w:color w:val="231F20"/>
          <w:spacing w:val="2"/>
        </w:rPr>
        <w:t>que</w:t>
      </w:r>
      <w:r>
        <w:rPr>
          <w:color w:val="231F20"/>
          <w:spacing w:val="-9"/>
        </w:rPr>
        <w:t> </w:t>
      </w:r>
      <w:r>
        <w:rPr>
          <w:color w:val="231F20"/>
          <w:spacing w:val="2"/>
        </w:rPr>
        <w:t>destaca</w:t>
      </w:r>
      <w:r>
        <w:rPr>
          <w:color w:val="231F20"/>
          <w:spacing w:val="-9"/>
        </w:rPr>
        <w:t> </w:t>
      </w:r>
      <w:r>
        <w:rPr>
          <w:color w:val="231F20"/>
        </w:rPr>
        <w:t>la</w:t>
      </w:r>
      <w:r>
        <w:rPr>
          <w:color w:val="231F20"/>
          <w:spacing w:val="-9"/>
        </w:rPr>
        <w:t> </w:t>
      </w:r>
      <w:r>
        <w:rPr>
          <w:color w:val="231F20"/>
          <w:spacing w:val="2"/>
        </w:rPr>
        <w:t>diferenciación</w:t>
      </w:r>
      <w:r>
        <w:rPr>
          <w:color w:val="231F20"/>
          <w:spacing w:val="-9"/>
        </w:rPr>
        <w:t> </w:t>
      </w:r>
      <w:r>
        <w:rPr>
          <w:color w:val="231F20"/>
          <w:spacing w:val="2"/>
        </w:rPr>
        <w:t>social</w:t>
      </w:r>
      <w:r>
        <w:rPr>
          <w:color w:val="231F20"/>
          <w:spacing w:val="-9"/>
        </w:rPr>
        <w:t> </w:t>
      </w:r>
      <w:r>
        <w:rPr>
          <w:color w:val="231F20"/>
          <w:spacing w:val="2"/>
        </w:rPr>
        <w:t>(Beriain,</w:t>
      </w:r>
      <w:r>
        <w:rPr>
          <w:color w:val="231F20"/>
          <w:spacing w:val="-9"/>
        </w:rPr>
        <w:t> </w:t>
      </w:r>
      <w:r>
        <w:rPr>
          <w:color w:val="231F20"/>
          <w:spacing w:val="2"/>
        </w:rPr>
        <w:t>1996:9).</w:t>
      </w:r>
    </w:p>
    <w:p>
      <w:pPr>
        <w:pStyle w:val="BodyText"/>
        <w:spacing w:line="249" w:lineRule="auto"/>
        <w:ind w:left="101" w:right="119" w:firstLine="284"/>
        <w:jc w:val="both"/>
      </w:pPr>
      <w:r>
        <w:rPr>
          <w:color w:val="231F20"/>
        </w:rPr>
        <w:t>Así Beriain sostiene: “la diferenciación significa que una uni- dad es divida en dos o más unidades que difieren de la original en estructura y en función”, y coloca el ejemplo ya reiterado de la unidad productiva agrícola y la unidad productiva industrial (Be- riain, 1996:26), para declarar que la diferenciación implica que:</w:t>
      </w:r>
    </w:p>
    <w:p>
      <w:pPr>
        <w:pStyle w:val="BodyText"/>
        <w:spacing w:before="1"/>
        <w:rPr>
          <w:sz w:val="23"/>
        </w:rPr>
      </w:pPr>
    </w:p>
    <w:p>
      <w:pPr>
        <w:spacing w:line="273" w:lineRule="auto" w:before="0"/>
        <w:ind w:left="810" w:right="162" w:firstLine="0"/>
        <w:jc w:val="both"/>
        <w:rPr>
          <w:sz w:val="19"/>
        </w:rPr>
      </w:pPr>
      <w:r>
        <w:rPr>
          <w:color w:val="231F20"/>
          <w:sz w:val="19"/>
        </w:rPr>
        <w:t>(…) dos roles y dos colectividades han sido diferenciados y sus funciones separadas. La diferenciación es progresiva cuando las nuevas unidades realizan sus funciones mejor que la unidad anti- gua, cuando el proceso de diferenciación es al mismo tiempo un proceso de </w:t>
      </w:r>
      <w:r>
        <w:rPr>
          <w:i/>
          <w:color w:val="231F20"/>
          <w:sz w:val="19"/>
        </w:rPr>
        <w:t>incremento adaptativo </w:t>
      </w:r>
      <w:r>
        <w:rPr>
          <w:color w:val="231F20"/>
          <w:sz w:val="19"/>
        </w:rPr>
        <w:t>de todas las unidades implica- das… no toda diferenciación es progresiva. La unidad original cede funciones en orden a desarrollar su función primaria, pero  las nuevas unidades deben ser integradas. Solo si consiguen su </w:t>
      </w:r>
      <w:r>
        <w:rPr>
          <w:i/>
          <w:color w:val="231F20"/>
          <w:sz w:val="19"/>
        </w:rPr>
        <w:t>inclusión </w:t>
      </w:r>
      <w:r>
        <w:rPr>
          <w:color w:val="231F20"/>
          <w:sz w:val="19"/>
        </w:rPr>
        <w:t>completa en una sociedad pueden incrementar su propia capacidad adaptativa, así como la de la sociedad a la que perte- necen</w:t>
      </w:r>
      <w:r>
        <w:rPr>
          <w:color w:val="231F20"/>
          <w:spacing w:val="-21"/>
          <w:sz w:val="19"/>
        </w:rPr>
        <w:t> </w:t>
      </w:r>
      <w:r>
        <w:rPr>
          <w:color w:val="231F20"/>
          <w:sz w:val="19"/>
        </w:rPr>
        <w:t>(Beriain,</w:t>
      </w:r>
      <w:r>
        <w:rPr>
          <w:color w:val="231F20"/>
          <w:spacing w:val="-21"/>
          <w:sz w:val="19"/>
        </w:rPr>
        <w:t> </w:t>
      </w:r>
      <w:r>
        <w:rPr>
          <w:color w:val="231F20"/>
          <w:sz w:val="19"/>
        </w:rPr>
        <w:t>1996:26).</w:t>
      </w:r>
    </w:p>
    <w:p>
      <w:pPr>
        <w:pStyle w:val="BodyText"/>
        <w:spacing w:before="3"/>
        <w:rPr>
          <w:sz w:val="20"/>
        </w:rPr>
      </w:pPr>
    </w:p>
    <w:p>
      <w:pPr>
        <w:pStyle w:val="BodyText"/>
        <w:spacing w:line="247" w:lineRule="auto"/>
        <w:ind w:left="102" w:right="116" w:firstLine="284"/>
        <w:jc w:val="both"/>
      </w:pPr>
      <w:r>
        <w:rPr>
          <w:color w:val="231F20"/>
        </w:rPr>
        <w:t>El </w:t>
      </w:r>
      <w:r>
        <w:rPr>
          <w:color w:val="231F20"/>
          <w:spacing w:val="3"/>
        </w:rPr>
        <w:t>problema </w:t>
      </w:r>
      <w:r>
        <w:rPr>
          <w:color w:val="231F20"/>
        </w:rPr>
        <w:t>que se </w:t>
      </w:r>
      <w:r>
        <w:rPr>
          <w:color w:val="231F20"/>
          <w:spacing w:val="2"/>
        </w:rPr>
        <w:t>plantea Beriain, </w:t>
      </w:r>
      <w:r>
        <w:rPr>
          <w:color w:val="231F20"/>
          <w:spacing w:val="3"/>
        </w:rPr>
        <w:t>como </w:t>
      </w:r>
      <w:r>
        <w:rPr>
          <w:color w:val="231F20"/>
          <w:spacing w:val="2"/>
        </w:rPr>
        <w:t>funcionalista, </w:t>
      </w:r>
      <w:r>
        <w:rPr>
          <w:color w:val="231F20"/>
        </w:rPr>
        <w:t>es </w:t>
      </w:r>
      <w:r>
        <w:rPr>
          <w:color w:val="231F20"/>
          <w:spacing w:val="3"/>
        </w:rPr>
        <w:t>que </w:t>
      </w:r>
      <w:r>
        <w:rPr>
          <w:color w:val="231F20"/>
        </w:rPr>
        <w:t>se </w:t>
      </w:r>
      <w:r>
        <w:rPr>
          <w:color w:val="231F20"/>
          <w:spacing w:val="2"/>
        </w:rPr>
        <w:t>trata </w:t>
      </w:r>
      <w:r>
        <w:rPr>
          <w:color w:val="231F20"/>
        </w:rPr>
        <w:t>de </w:t>
      </w:r>
      <w:r>
        <w:rPr>
          <w:color w:val="231F20"/>
          <w:spacing w:val="2"/>
        </w:rPr>
        <w:t>una universalización (inclusión) del acceso </w:t>
      </w:r>
      <w:r>
        <w:rPr>
          <w:color w:val="231F20"/>
        </w:rPr>
        <w:t>a </w:t>
      </w:r>
      <w:r>
        <w:rPr>
          <w:color w:val="231F20"/>
          <w:spacing w:val="2"/>
        </w:rPr>
        <w:t>distintos </w:t>
      </w:r>
      <w:r>
        <w:rPr>
          <w:color w:val="231F20"/>
          <w:spacing w:val="3"/>
        </w:rPr>
        <w:t>contextos </w:t>
      </w:r>
      <w:r>
        <w:rPr>
          <w:color w:val="231F20"/>
          <w:spacing w:val="2"/>
        </w:rPr>
        <w:t>funcionales, </w:t>
      </w:r>
      <w:r>
        <w:rPr>
          <w:color w:val="231F20"/>
        </w:rPr>
        <w:t>al </w:t>
      </w:r>
      <w:r>
        <w:rPr>
          <w:color w:val="231F20"/>
          <w:spacing w:val="3"/>
        </w:rPr>
        <w:t>menos porque todos </w:t>
      </w:r>
      <w:r>
        <w:rPr>
          <w:color w:val="231F20"/>
        </w:rPr>
        <w:t>se </w:t>
      </w:r>
      <w:r>
        <w:rPr>
          <w:color w:val="231F20"/>
          <w:spacing w:val="2"/>
        </w:rPr>
        <w:t>convierten </w:t>
      </w:r>
      <w:r>
        <w:rPr>
          <w:color w:val="231F20"/>
        </w:rPr>
        <w:t>en </w:t>
      </w:r>
      <w:r>
        <w:rPr>
          <w:color w:val="231F20"/>
          <w:spacing w:val="2"/>
        </w:rPr>
        <w:t>“sujetos </w:t>
      </w:r>
      <w:r>
        <w:rPr>
          <w:color w:val="231F20"/>
        </w:rPr>
        <w:t>de </w:t>
      </w:r>
      <w:r>
        <w:rPr>
          <w:color w:val="231F20"/>
          <w:spacing w:val="2"/>
        </w:rPr>
        <w:t>derechos”, </w:t>
      </w:r>
      <w:r>
        <w:rPr>
          <w:color w:val="231F20"/>
        </w:rPr>
        <w:t>en </w:t>
      </w:r>
      <w:r>
        <w:rPr>
          <w:color w:val="231F20"/>
          <w:spacing w:val="3"/>
        </w:rPr>
        <w:t>consecuencia </w:t>
      </w:r>
      <w:r>
        <w:rPr>
          <w:color w:val="231F20"/>
        </w:rPr>
        <w:t>la </w:t>
      </w:r>
      <w:r>
        <w:rPr>
          <w:color w:val="231F20"/>
          <w:spacing w:val="2"/>
        </w:rPr>
        <w:t>categoría aplica para describir </w:t>
      </w:r>
      <w:r>
        <w:rPr>
          <w:color w:val="231F20"/>
        </w:rPr>
        <w:t>la </w:t>
      </w:r>
      <w:r>
        <w:rPr>
          <w:color w:val="231F20"/>
          <w:spacing w:val="2"/>
        </w:rPr>
        <w:t>evolución social </w:t>
      </w:r>
      <w:r>
        <w:rPr>
          <w:color w:val="231F20"/>
        </w:rPr>
        <w:t>en </w:t>
      </w:r>
      <w:r>
        <w:rPr>
          <w:color w:val="231F20"/>
          <w:spacing w:val="3"/>
        </w:rPr>
        <w:t>términos </w:t>
      </w:r>
      <w:r>
        <w:rPr>
          <w:color w:val="231F20"/>
        </w:rPr>
        <w:t>de un </w:t>
      </w:r>
      <w:r>
        <w:rPr>
          <w:color w:val="231F20"/>
          <w:spacing w:val="2"/>
        </w:rPr>
        <w:t>progresivo incre- mento </w:t>
      </w:r>
      <w:r>
        <w:rPr>
          <w:color w:val="231F20"/>
        </w:rPr>
        <w:t>de “las </w:t>
      </w:r>
      <w:r>
        <w:rPr>
          <w:color w:val="231F20"/>
          <w:spacing w:val="2"/>
        </w:rPr>
        <w:t>posibilidades </w:t>
      </w:r>
      <w:r>
        <w:rPr>
          <w:color w:val="231F20"/>
        </w:rPr>
        <w:t>de la </w:t>
      </w:r>
      <w:r>
        <w:rPr>
          <w:color w:val="231F20"/>
          <w:spacing w:val="2"/>
        </w:rPr>
        <w:t>sociedad </w:t>
      </w:r>
      <w:r>
        <w:rPr>
          <w:color w:val="231F20"/>
        </w:rPr>
        <w:t>en el </w:t>
      </w:r>
      <w:r>
        <w:rPr>
          <w:color w:val="231F20"/>
          <w:spacing w:val="2"/>
        </w:rPr>
        <w:t>ámbito </w:t>
      </w:r>
      <w:r>
        <w:rPr>
          <w:color w:val="231F20"/>
        </w:rPr>
        <w:t>de </w:t>
      </w:r>
      <w:r>
        <w:rPr>
          <w:color w:val="231F20"/>
          <w:spacing w:val="2"/>
        </w:rPr>
        <w:t>las</w:t>
      </w:r>
      <w:r>
        <w:rPr>
          <w:color w:val="231F20"/>
          <w:spacing w:val="56"/>
        </w:rPr>
        <w:t> </w:t>
      </w:r>
      <w:r>
        <w:rPr>
          <w:color w:val="231F20"/>
          <w:spacing w:val="2"/>
        </w:rPr>
        <w:t>metas </w:t>
      </w:r>
      <w:r>
        <w:rPr>
          <w:color w:val="231F20"/>
        </w:rPr>
        <w:t>y de las </w:t>
      </w:r>
      <w:r>
        <w:rPr>
          <w:color w:val="231F20"/>
          <w:spacing w:val="2"/>
        </w:rPr>
        <w:t>funciones, </w:t>
      </w:r>
      <w:r>
        <w:rPr>
          <w:color w:val="231F20"/>
        </w:rPr>
        <w:t>por </w:t>
      </w:r>
      <w:r>
        <w:rPr>
          <w:color w:val="231F20"/>
          <w:spacing w:val="2"/>
        </w:rPr>
        <w:t>tanto </w:t>
      </w:r>
      <w:r>
        <w:rPr>
          <w:color w:val="231F20"/>
        </w:rPr>
        <w:t>la </w:t>
      </w:r>
      <w:r>
        <w:rPr>
          <w:color w:val="231F20"/>
          <w:spacing w:val="2"/>
        </w:rPr>
        <w:t>sociedad precisa </w:t>
      </w:r>
      <w:r>
        <w:rPr>
          <w:color w:val="231F20"/>
        </w:rPr>
        <w:t>de </w:t>
      </w:r>
      <w:r>
        <w:rPr>
          <w:color w:val="231F20"/>
          <w:spacing w:val="2"/>
        </w:rPr>
        <w:t>una </w:t>
      </w:r>
      <w:r>
        <w:rPr>
          <w:color w:val="231F20"/>
          <w:spacing w:val="3"/>
        </w:rPr>
        <w:t>más </w:t>
      </w:r>
      <w:r>
        <w:rPr>
          <w:color w:val="231F20"/>
          <w:spacing w:val="2"/>
        </w:rPr>
        <w:t>abstracta </w:t>
      </w:r>
      <w:r>
        <w:rPr>
          <w:color w:val="231F20"/>
        </w:rPr>
        <w:t>y </w:t>
      </w:r>
      <w:r>
        <w:rPr>
          <w:color w:val="231F20"/>
          <w:spacing w:val="2"/>
        </w:rPr>
        <w:t>universal base </w:t>
      </w:r>
      <w:r>
        <w:rPr>
          <w:color w:val="231F20"/>
        </w:rPr>
        <w:t>de </w:t>
      </w:r>
      <w:r>
        <w:rPr>
          <w:color w:val="231F20"/>
          <w:spacing w:val="2"/>
        </w:rPr>
        <w:t>legitimación”, </w:t>
      </w:r>
      <w:r>
        <w:rPr>
          <w:color w:val="231F20"/>
        </w:rPr>
        <w:t>tan </w:t>
      </w:r>
      <w:r>
        <w:rPr>
          <w:color w:val="231F20"/>
          <w:spacing w:val="2"/>
        </w:rPr>
        <w:t>funcionalista </w:t>
      </w:r>
      <w:r>
        <w:rPr>
          <w:color w:val="231F20"/>
        </w:rPr>
        <w:t>es  </w:t>
      </w:r>
      <w:r>
        <w:rPr>
          <w:color w:val="231F20"/>
          <w:spacing w:val="11"/>
        </w:rPr>
        <w:t> </w:t>
      </w:r>
      <w:r>
        <w:rPr>
          <w:color w:val="231F20"/>
        </w:rPr>
        <w:t>el</w:t>
      </w:r>
    </w:p>
    <w:p>
      <w:pPr>
        <w:spacing w:after="0" w:line="247" w:lineRule="auto"/>
        <w:jc w:val="both"/>
        <w:sectPr>
          <w:headerReference w:type="default" r:id="rId181"/>
          <w:footerReference w:type="default" r:id="rId182"/>
          <w:pgSz w:w="7830" w:h="11910"/>
          <w:pgMar w:header="0" w:footer="424" w:top="500" w:bottom="620" w:left="920" w:right="900"/>
          <w:pgNumType w:start="8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6"/>
        <w:jc w:val="both"/>
      </w:pPr>
      <w:r>
        <w:rPr>
          <w:color w:val="231F20"/>
          <w:spacing w:val="3"/>
        </w:rPr>
        <w:t>planteamiento </w:t>
      </w:r>
      <w:r>
        <w:rPr>
          <w:color w:val="231F20"/>
        </w:rPr>
        <w:t>que se </w:t>
      </w:r>
      <w:r>
        <w:rPr>
          <w:color w:val="231F20"/>
          <w:spacing w:val="2"/>
        </w:rPr>
        <w:t>apela </w:t>
      </w:r>
      <w:r>
        <w:rPr>
          <w:color w:val="231F20"/>
        </w:rPr>
        <w:t>a </w:t>
      </w:r>
      <w:r>
        <w:rPr>
          <w:color w:val="231F20"/>
          <w:spacing w:val="3"/>
        </w:rPr>
        <w:t>Parsons </w:t>
      </w:r>
      <w:r>
        <w:rPr>
          <w:color w:val="231F20"/>
          <w:spacing w:val="2"/>
        </w:rPr>
        <w:t>para identificar </w:t>
      </w:r>
      <w:r>
        <w:rPr>
          <w:color w:val="231F20"/>
        </w:rPr>
        <w:t>la </w:t>
      </w:r>
      <w:r>
        <w:rPr>
          <w:color w:val="231F20"/>
          <w:spacing w:val="2"/>
        </w:rPr>
        <w:t>universali- zación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2"/>
        </w:rPr>
        <w:t>legitimación</w:t>
      </w:r>
      <w:r>
        <w:rPr>
          <w:color w:val="231F20"/>
          <w:spacing w:val="-7"/>
        </w:rPr>
        <w:t> </w:t>
      </w:r>
      <w:r>
        <w:rPr>
          <w:color w:val="231F20"/>
          <w:spacing w:val="2"/>
        </w:rPr>
        <w:t>con</w:t>
      </w:r>
      <w:r>
        <w:rPr>
          <w:color w:val="231F20"/>
          <w:spacing w:val="-7"/>
        </w:rPr>
        <w:t> </w:t>
      </w:r>
      <w:r>
        <w:rPr>
          <w:color w:val="231F20"/>
          <w:spacing w:val="2"/>
        </w:rPr>
        <w:t>una</w:t>
      </w:r>
      <w:r>
        <w:rPr>
          <w:color w:val="231F20"/>
          <w:spacing w:val="-7"/>
        </w:rPr>
        <w:t> </w:t>
      </w:r>
      <w:r>
        <w:rPr>
          <w:color w:val="231F20"/>
          <w:spacing w:val="2"/>
        </w:rPr>
        <w:t>“</w:t>
      </w:r>
      <w:r>
        <w:rPr>
          <w:i/>
          <w:color w:val="231F20"/>
          <w:spacing w:val="2"/>
        </w:rPr>
        <w:t>generalización</w:t>
      </w:r>
      <w:r>
        <w:rPr>
          <w:i/>
          <w:color w:val="231F20"/>
          <w:spacing w:val="-7"/>
        </w:rPr>
        <w:t> </w:t>
      </w:r>
      <w:r>
        <w:rPr>
          <w:i/>
          <w:color w:val="231F20"/>
        </w:rPr>
        <w:t>de</w:t>
      </w:r>
      <w:r>
        <w:rPr>
          <w:i/>
          <w:color w:val="231F20"/>
          <w:spacing w:val="-8"/>
        </w:rPr>
        <w:t> </w:t>
      </w:r>
      <w:r>
        <w:rPr>
          <w:i/>
          <w:color w:val="231F20"/>
          <w:spacing w:val="2"/>
        </w:rPr>
        <w:t>valores</w:t>
      </w:r>
      <w:r>
        <w:rPr>
          <w:color w:val="231F20"/>
          <w:spacing w:val="2"/>
        </w:rPr>
        <w:t>”</w:t>
      </w:r>
      <w:r>
        <w:rPr>
          <w:color w:val="231F20"/>
          <w:spacing w:val="-7"/>
        </w:rPr>
        <w:t> </w:t>
      </w:r>
      <w:r>
        <w:rPr>
          <w:color w:val="231F20"/>
        </w:rPr>
        <w:t>de</w:t>
      </w:r>
      <w:r>
        <w:rPr>
          <w:color w:val="231F20"/>
          <w:spacing w:val="-7"/>
        </w:rPr>
        <w:t> </w:t>
      </w:r>
      <w:r>
        <w:rPr>
          <w:color w:val="231F20"/>
          <w:spacing w:val="3"/>
        </w:rPr>
        <w:t>tal </w:t>
      </w:r>
      <w:r>
        <w:rPr>
          <w:color w:val="231F20"/>
          <w:spacing w:val="2"/>
        </w:rPr>
        <w:t>manera </w:t>
      </w:r>
      <w:r>
        <w:rPr>
          <w:color w:val="231F20"/>
        </w:rPr>
        <w:t>que “se </w:t>
      </w:r>
      <w:r>
        <w:rPr>
          <w:color w:val="231F20"/>
          <w:spacing w:val="2"/>
        </w:rPr>
        <w:t>articula </w:t>
      </w:r>
      <w:r>
        <w:rPr>
          <w:color w:val="231F20"/>
        </w:rPr>
        <w:t>en </w:t>
      </w:r>
      <w:r>
        <w:rPr>
          <w:color w:val="231F20"/>
          <w:spacing w:val="2"/>
        </w:rPr>
        <w:t>torno </w:t>
      </w:r>
      <w:r>
        <w:rPr>
          <w:color w:val="231F20"/>
        </w:rPr>
        <w:t>a un </w:t>
      </w:r>
      <w:r>
        <w:rPr>
          <w:color w:val="231F20"/>
          <w:spacing w:val="2"/>
        </w:rPr>
        <w:t>modelo </w:t>
      </w:r>
      <w:r>
        <w:rPr>
          <w:color w:val="231F20"/>
        </w:rPr>
        <w:t>de </w:t>
      </w:r>
      <w:r>
        <w:rPr>
          <w:color w:val="231F20"/>
          <w:spacing w:val="2"/>
        </w:rPr>
        <w:t>valores institui-  </w:t>
      </w:r>
      <w:r>
        <w:rPr>
          <w:color w:val="231F20"/>
        </w:rPr>
        <w:t>do de </w:t>
      </w:r>
      <w:r>
        <w:rPr>
          <w:color w:val="231F20"/>
          <w:spacing w:val="2"/>
        </w:rPr>
        <w:t>acuerdo </w:t>
      </w:r>
      <w:r>
        <w:rPr>
          <w:color w:val="231F20"/>
        </w:rPr>
        <w:t>a </w:t>
      </w:r>
      <w:r>
        <w:rPr>
          <w:color w:val="231F20"/>
          <w:spacing w:val="2"/>
        </w:rPr>
        <w:t>una </w:t>
      </w:r>
      <w:r>
        <w:rPr>
          <w:color w:val="231F20"/>
        </w:rPr>
        <w:t>alta </w:t>
      </w:r>
      <w:r>
        <w:rPr>
          <w:color w:val="231F20"/>
          <w:spacing w:val="2"/>
        </w:rPr>
        <w:t>generalidad, </w:t>
      </w:r>
      <w:r>
        <w:rPr>
          <w:color w:val="231F20"/>
        </w:rPr>
        <w:t>de tal </w:t>
      </w:r>
      <w:r>
        <w:rPr>
          <w:color w:val="231F20"/>
          <w:spacing w:val="3"/>
        </w:rPr>
        <w:t>manera </w:t>
      </w:r>
      <w:r>
        <w:rPr>
          <w:color w:val="231F20"/>
          <w:spacing w:val="2"/>
        </w:rPr>
        <w:t>que </w:t>
      </w:r>
      <w:r>
        <w:rPr>
          <w:color w:val="231F20"/>
          <w:spacing w:val="3"/>
        </w:rPr>
        <w:t>pueda </w:t>
      </w:r>
      <w:r>
        <w:rPr>
          <w:color w:val="231F20"/>
          <w:spacing w:val="2"/>
        </w:rPr>
        <w:t>legitimar una </w:t>
      </w:r>
      <w:r>
        <w:rPr>
          <w:color w:val="231F20"/>
          <w:spacing w:val="3"/>
        </w:rPr>
        <w:t>mayor </w:t>
      </w:r>
      <w:r>
        <w:rPr>
          <w:color w:val="231F20"/>
          <w:spacing w:val="2"/>
        </w:rPr>
        <w:t>variedad </w:t>
      </w:r>
      <w:r>
        <w:rPr>
          <w:color w:val="231F20"/>
        </w:rPr>
        <w:t>de </w:t>
      </w:r>
      <w:r>
        <w:rPr>
          <w:color w:val="231F20"/>
          <w:spacing w:val="2"/>
        </w:rPr>
        <w:t>metas </w:t>
      </w:r>
      <w:r>
        <w:rPr>
          <w:color w:val="231F20"/>
        </w:rPr>
        <w:t>y </w:t>
      </w:r>
      <w:r>
        <w:rPr>
          <w:color w:val="231F20"/>
          <w:spacing w:val="3"/>
        </w:rPr>
        <w:t>funciones </w:t>
      </w:r>
      <w:r>
        <w:rPr>
          <w:color w:val="231F20"/>
        </w:rPr>
        <w:t>de las </w:t>
      </w:r>
      <w:r>
        <w:rPr>
          <w:color w:val="231F20"/>
          <w:spacing w:val="3"/>
        </w:rPr>
        <w:t>unidades </w:t>
      </w:r>
      <w:r>
        <w:rPr>
          <w:color w:val="231F20"/>
          <w:spacing w:val="2"/>
        </w:rPr>
        <w:t>sociales”</w:t>
      </w:r>
      <w:r>
        <w:rPr>
          <w:color w:val="231F20"/>
          <w:spacing w:val="-5"/>
        </w:rPr>
        <w:t> </w:t>
      </w:r>
      <w:r>
        <w:rPr>
          <w:color w:val="231F20"/>
          <w:spacing w:val="2"/>
        </w:rPr>
        <w:t>(Beriain,</w:t>
      </w:r>
      <w:r>
        <w:rPr>
          <w:color w:val="231F20"/>
          <w:spacing w:val="-5"/>
        </w:rPr>
        <w:t> </w:t>
      </w:r>
      <w:r>
        <w:rPr>
          <w:color w:val="231F20"/>
          <w:spacing w:val="2"/>
        </w:rPr>
        <w:t>1996:27),</w:t>
      </w:r>
      <w:r>
        <w:rPr>
          <w:color w:val="231F20"/>
          <w:spacing w:val="-6"/>
        </w:rPr>
        <w:t> </w:t>
      </w:r>
      <w:r>
        <w:rPr>
          <w:color w:val="231F20"/>
          <w:spacing w:val="2"/>
        </w:rPr>
        <w:t>pero</w:t>
      </w:r>
      <w:r>
        <w:rPr>
          <w:color w:val="231F20"/>
          <w:spacing w:val="-5"/>
        </w:rPr>
        <w:t> </w:t>
      </w:r>
      <w:r>
        <w:rPr>
          <w:color w:val="231F20"/>
          <w:spacing w:val="2"/>
        </w:rPr>
        <w:t>hay</w:t>
      </w:r>
      <w:r>
        <w:rPr>
          <w:color w:val="231F20"/>
          <w:spacing w:val="-5"/>
        </w:rPr>
        <w:t> </w:t>
      </w:r>
      <w:r>
        <w:rPr>
          <w:color w:val="231F20"/>
        </w:rPr>
        <w:t>algo</w:t>
      </w:r>
      <w:r>
        <w:rPr>
          <w:color w:val="231F20"/>
          <w:spacing w:val="-5"/>
        </w:rPr>
        <w:t> </w:t>
      </w:r>
      <w:r>
        <w:rPr>
          <w:color w:val="231F20"/>
          <w:spacing w:val="2"/>
        </w:rPr>
        <w:t>más</w:t>
      </w:r>
      <w:r>
        <w:rPr>
          <w:color w:val="231F20"/>
          <w:spacing w:val="-5"/>
        </w:rPr>
        <w:t> </w:t>
      </w:r>
      <w:r>
        <w:rPr>
          <w:color w:val="231F20"/>
        </w:rPr>
        <w:t>en</w:t>
      </w:r>
      <w:r>
        <w:rPr>
          <w:color w:val="231F20"/>
          <w:spacing w:val="-5"/>
        </w:rPr>
        <w:t> </w:t>
      </w:r>
      <w:r>
        <w:rPr>
          <w:color w:val="231F20"/>
          <w:spacing w:val="3"/>
        </w:rPr>
        <w:t>Joshexto:</w:t>
      </w:r>
      <w:r>
        <w:rPr>
          <w:color w:val="231F20"/>
          <w:spacing w:val="-6"/>
        </w:rPr>
        <w:t> </w:t>
      </w:r>
      <w:r>
        <w:rPr>
          <w:color w:val="231F20"/>
        </w:rPr>
        <w:t>la</w:t>
      </w:r>
      <w:r>
        <w:rPr>
          <w:color w:val="231F20"/>
          <w:spacing w:val="-5"/>
        </w:rPr>
        <w:t> </w:t>
      </w:r>
      <w:r>
        <w:rPr>
          <w:color w:val="231F20"/>
        </w:rPr>
        <w:t>idea de </w:t>
      </w:r>
      <w:r>
        <w:rPr>
          <w:color w:val="231F20"/>
          <w:spacing w:val="2"/>
        </w:rPr>
        <w:t>que </w:t>
      </w:r>
      <w:r>
        <w:rPr>
          <w:color w:val="231F20"/>
        </w:rPr>
        <w:t>la </w:t>
      </w:r>
      <w:r>
        <w:rPr>
          <w:color w:val="231F20"/>
          <w:spacing w:val="2"/>
        </w:rPr>
        <w:t>“diferenciación </w:t>
      </w:r>
      <w:r>
        <w:rPr>
          <w:color w:val="231F20"/>
        </w:rPr>
        <w:t>de </w:t>
      </w:r>
      <w:r>
        <w:rPr>
          <w:color w:val="231F20"/>
          <w:spacing w:val="2"/>
        </w:rPr>
        <w:t>los sistemas sociales” logra estabilizar </w:t>
      </w:r>
      <w:r>
        <w:rPr>
          <w:color w:val="231F20"/>
        </w:rPr>
        <w:t>la </w:t>
      </w:r>
      <w:r>
        <w:rPr>
          <w:color w:val="231F20"/>
          <w:spacing w:val="2"/>
        </w:rPr>
        <w:t>evolución social, “posibilita </w:t>
      </w:r>
      <w:r>
        <w:rPr>
          <w:color w:val="231F20"/>
          <w:spacing w:val="3"/>
        </w:rPr>
        <w:t>mantener </w:t>
      </w:r>
      <w:r>
        <w:rPr>
          <w:color w:val="231F20"/>
        </w:rPr>
        <w:t>y </w:t>
      </w:r>
      <w:r>
        <w:rPr>
          <w:color w:val="231F20"/>
          <w:spacing w:val="3"/>
        </w:rPr>
        <w:t>reproducir </w:t>
      </w:r>
      <w:r>
        <w:rPr>
          <w:color w:val="231F20"/>
          <w:spacing w:val="2"/>
        </w:rPr>
        <w:t>los avances </w:t>
      </w:r>
      <w:r>
        <w:rPr>
          <w:color w:val="231F20"/>
        </w:rPr>
        <w:t>en el </w:t>
      </w:r>
      <w:r>
        <w:rPr>
          <w:color w:val="231F20"/>
          <w:spacing w:val="2"/>
        </w:rPr>
        <w:t>marco </w:t>
      </w:r>
      <w:r>
        <w:rPr>
          <w:color w:val="231F20"/>
        </w:rPr>
        <w:t>de </w:t>
      </w:r>
      <w:r>
        <w:rPr>
          <w:color w:val="231F20"/>
          <w:spacing w:val="2"/>
        </w:rPr>
        <w:t>sistemas diferenciados </w:t>
      </w:r>
      <w:r>
        <w:rPr>
          <w:color w:val="231F20"/>
        </w:rPr>
        <w:t>y </w:t>
      </w:r>
      <w:r>
        <w:rPr>
          <w:color w:val="231F20"/>
          <w:spacing w:val="3"/>
        </w:rPr>
        <w:t>entornos </w:t>
      </w:r>
      <w:r>
        <w:rPr>
          <w:color w:val="231F20"/>
          <w:spacing w:val="2"/>
        </w:rPr>
        <w:t>particulares” </w:t>
      </w:r>
      <w:r>
        <w:rPr>
          <w:color w:val="231F20"/>
          <w:spacing w:val="2"/>
          <w:w w:val="95"/>
        </w:rPr>
        <w:t>(Beriain,</w:t>
      </w:r>
      <w:r>
        <w:rPr>
          <w:color w:val="231F20"/>
          <w:spacing w:val="13"/>
          <w:w w:val="95"/>
        </w:rPr>
        <w:t> </w:t>
      </w:r>
      <w:r>
        <w:rPr>
          <w:color w:val="231F20"/>
          <w:spacing w:val="2"/>
          <w:w w:val="95"/>
        </w:rPr>
        <w:t>1996:28).</w:t>
      </w:r>
    </w:p>
    <w:p>
      <w:pPr>
        <w:pStyle w:val="BodyText"/>
        <w:spacing w:line="249" w:lineRule="auto"/>
        <w:ind w:left="102" w:right="112" w:firstLine="284"/>
        <w:jc w:val="both"/>
      </w:pPr>
      <w:r>
        <w:rPr>
          <w:color w:val="231F20"/>
          <w:spacing w:val="2"/>
        </w:rPr>
        <w:t>Así, </w:t>
      </w:r>
      <w:r>
        <w:rPr>
          <w:color w:val="231F20"/>
        </w:rPr>
        <w:t>lo que </w:t>
      </w:r>
      <w:r>
        <w:rPr>
          <w:color w:val="231F20"/>
          <w:spacing w:val="3"/>
        </w:rPr>
        <w:t>podemos </w:t>
      </w:r>
      <w:r>
        <w:rPr>
          <w:color w:val="231F20"/>
          <w:spacing w:val="2"/>
        </w:rPr>
        <w:t>advertir </w:t>
      </w:r>
      <w:r>
        <w:rPr>
          <w:color w:val="231F20"/>
        </w:rPr>
        <w:t>es </w:t>
      </w:r>
      <w:r>
        <w:rPr>
          <w:color w:val="231F20"/>
          <w:spacing w:val="2"/>
        </w:rPr>
        <w:t>que, </w:t>
      </w:r>
      <w:r>
        <w:rPr>
          <w:color w:val="231F20"/>
        </w:rPr>
        <w:t>el </w:t>
      </w:r>
      <w:r>
        <w:rPr>
          <w:color w:val="231F20"/>
          <w:spacing w:val="3"/>
        </w:rPr>
        <w:t>concepto </w:t>
      </w:r>
      <w:r>
        <w:rPr>
          <w:color w:val="231F20"/>
        </w:rPr>
        <w:t>de </w:t>
      </w:r>
      <w:r>
        <w:rPr>
          <w:color w:val="231F20"/>
          <w:spacing w:val="2"/>
        </w:rPr>
        <w:t>ideología, </w:t>
      </w:r>
      <w:r>
        <w:rPr>
          <w:color w:val="231F20"/>
        </w:rPr>
        <w:t>es </w:t>
      </w:r>
      <w:r>
        <w:rPr>
          <w:color w:val="231F20"/>
          <w:spacing w:val="3"/>
        </w:rPr>
        <w:t>recuperado </w:t>
      </w:r>
      <w:r>
        <w:rPr>
          <w:color w:val="231F20"/>
        </w:rPr>
        <w:t>en </w:t>
      </w:r>
      <w:r>
        <w:rPr>
          <w:color w:val="231F20"/>
          <w:spacing w:val="2"/>
        </w:rPr>
        <w:t>tres sentidos –adscritos </w:t>
      </w:r>
      <w:r>
        <w:rPr>
          <w:color w:val="231F20"/>
        </w:rPr>
        <w:t>a </w:t>
      </w:r>
      <w:r>
        <w:rPr>
          <w:color w:val="231F20"/>
          <w:spacing w:val="2"/>
        </w:rPr>
        <w:t>supuestos </w:t>
      </w:r>
      <w:r>
        <w:rPr>
          <w:color w:val="231F20"/>
          <w:spacing w:val="3"/>
        </w:rPr>
        <w:t>epistemoló- </w:t>
      </w:r>
      <w:r>
        <w:rPr>
          <w:color w:val="231F20"/>
          <w:spacing w:val="2"/>
        </w:rPr>
        <w:t>gicos </w:t>
      </w:r>
      <w:r>
        <w:rPr>
          <w:color w:val="231F20"/>
          <w:spacing w:val="3"/>
        </w:rPr>
        <w:t>muy </w:t>
      </w:r>
      <w:r>
        <w:rPr>
          <w:color w:val="231F20"/>
          <w:spacing w:val="2"/>
        </w:rPr>
        <w:t>claros–, pues por una parte, desde </w:t>
      </w:r>
      <w:r>
        <w:rPr>
          <w:color w:val="231F20"/>
        </w:rPr>
        <w:t>el </w:t>
      </w:r>
      <w:r>
        <w:rPr>
          <w:color w:val="231F20"/>
          <w:spacing w:val="3"/>
        </w:rPr>
        <w:t>marxismo </w:t>
      </w:r>
      <w:r>
        <w:rPr>
          <w:color w:val="231F20"/>
        </w:rPr>
        <w:t>a la </w:t>
      </w:r>
      <w:r>
        <w:rPr>
          <w:color w:val="231F20"/>
          <w:spacing w:val="2"/>
        </w:rPr>
        <w:t>teoría crítica, </w:t>
      </w:r>
      <w:r>
        <w:rPr>
          <w:color w:val="231F20"/>
        </w:rPr>
        <w:t>la </w:t>
      </w:r>
      <w:r>
        <w:rPr>
          <w:color w:val="231F20"/>
          <w:spacing w:val="2"/>
        </w:rPr>
        <w:t>ideología permite establecer </w:t>
      </w:r>
      <w:r>
        <w:rPr>
          <w:color w:val="231F20"/>
        </w:rPr>
        <w:t>la </w:t>
      </w:r>
      <w:r>
        <w:rPr>
          <w:color w:val="231F20"/>
          <w:spacing w:val="3"/>
        </w:rPr>
        <w:t>manera </w:t>
      </w:r>
      <w:r>
        <w:rPr>
          <w:color w:val="231F20"/>
        </w:rPr>
        <w:t>en que la </w:t>
      </w:r>
      <w:r>
        <w:rPr>
          <w:color w:val="231F20"/>
          <w:spacing w:val="2"/>
        </w:rPr>
        <w:t>realidad social concreta </w:t>
      </w:r>
      <w:r>
        <w:rPr>
          <w:color w:val="231F20"/>
        </w:rPr>
        <w:t>es </w:t>
      </w:r>
      <w:r>
        <w:rPr>
          <w:color w:val="231F20"/>
          <w:spacing w:val="3"/>
        </w:rPr>
        <w:t>deformada, </w:t>
      </w:r>
      <w:r>
        <w:rPr>
          <w:color w:val="231F20"/>
          <w:spacing w:val="2"/>
        </w:rPr>
        <w:t>velada, </w:t>
      </w:r>
      <w:r>
        <w:rPr>
          <w:color w:val="231F20"/>
        </w:rPr>
        <w:t>ya sea </w:t>
      </w:r>
      <w:r>
        <w:rPr>
          <w:color w:val="231F20"/>
          <w:spacing w:val="2"/>
        </w:rPr>
        <w:t>para </w:t>
      </w:r>
      <w:r>
        <w:rPr>
          <w:color w:val="231F20"/>
          <w:spacing w:val="3"/>
        </w:rPr>
        <w:t>imponer </w:t>
      </w:r>
      <w:r>
        <w:rPr>
          <w:color w:val="231F20"/>
          <w:spacing w:val="2"/>
        </w:rPr>
        <w:t>intereses </w:t>
      </w:r>
      <w:r>
        <w:rPr>
          <w:color w:val="231F20"/>
        </w:rPr>
        <w:t>de </w:t>
      </w:r>
      <w:r>
        <w:rPr>
          <w:color w:val="231F20"/>
          <w:spacing w:val="2"/>
        </w:rPr>
        <w:t>una clase social </w:t>
      </w:r>
      <w:r>
        <w:rPr>
          <w:color w:val="231F20"/>
          <w:spacing w:val="3"/>
        </w:rPr>
        <w:t>como </w:t>
      </w:r>
      <w:r>
        <w:rPr>
          <w:color w:val="231F20"/>
          <w:spacing w:val="2"/>
        </w:rPr>
        <w:t>intereses generales </w:t>
      </w:r>
      <w:r>
        <w:rPr>
          <w:color w:val="231F20"/>
        </w:rPr>
        <w:t>de la </w:t>
      </w:r>
      <w:r>
        <w:rPr>
          <w:color w:val="231F20"/>
          <w:spacing w:val="2"/>
        </w:rPr>
        <w:t>socie- dad, </w:t>
      </w:r>
      <w:r>
        <w:rPr>
          <w:color w:val="231F20"/>
        </w:rPr>
        <w:t>o </w:t>
      </w:r>
      <w:r>
        <w:rPr>
          <w:color w:val="231F20"/>
          <w:spacing w:val="3"/>
        </w:rPr>
        <w:t>como </w:t>
      </w:r>
      <w:r>
        <w:rPr>
          <w:color w:val="231F20"/>
        </w:rPr>
        <w:t>un </w:t>
      </w:r>
      <w:r>
        <w:rPr>
          <w:color w:val="231F20"/>
          <w:spacing w:val="3"/>
        </w:rPr>
        <w:t>modo </w:t>
      </w:r>
      <w:r>
        <w:rPr>
          <w:color w:val="231F20"/>
        </w:rPr>
        <w:t>de </w:t>
      </w:r>
      <w:r>
        <w:rPr>
          <w:color w:val="231F20"/>
          <w:spacing w:val="2"/>
        </w:rPr>
        <w:t>anular </w:t>
      </w:r>
      <w:r>
        <w:rPr>
          <w:color w:val="231F20"/>
        </w:rPr>
        <w:t>las </w:t>
      </w:r>
      <w:r>
        <w:rPr>
          <w:color w:val="231F20"/>
          <w:spacing w:val="2"/>
        </w:rPr>
        <w:t>posibilidades </w:t>
      </w:r>
      <w:r>
        <w:rPr>
          <w:color w:val="231F20"/>
        </w:rPr>
        <w:t>de </w:t>
      </w:r>
      <w:r>
        <w:rPr>
          <w:color w:val="231F20"/>
          <w:spacing w:val="2"/>
        </w:rPr>
        <w:t>plantear si- tuaciones </w:t>
      </w:r>
      <w:r>
        <w:rPr>
          <w:color w:val="231F20"/>
        </w:rPr>
        <w:t>de </w:t>
      </w:r>
      <w:r>
        <w:rPr>
          <w:color w:val="231F20"/>
          <w:spacing w:val="2"/>
        </w:rPr>
        <w:t>intereses generalizables, </w:t>
      </w:r>
      <w:r>
        <w:rPr>
          <w:color w:val="231F20"/>
        </w:rPr>
        <w:t>en </w:t>
      </w:r>
      <w:r>
        <w:rPr>
          <w:color w:val="231F20"/>
          <w:spacing w:val="3"/>
        </w:rPr>
        <w:t>consecuencia </w:t>
      </w:r>
      <w:r>
        <w:rPr>
          <w:color w:val="231F20"/>
          <w:spacing w:val="2"/>
        </w:rPr>
        <w:t>permite expresar </w:t>
      </w:r>
      <w:r>
        <w:rPr>
          <w:color w:val="231F20"/>
          <w:spacing w:val="3"/>
        </w:rPr>
        <w:t>formas </w:t>
      </w:r>
      <w:r>
        <w:rPr>
          <w:color w:val="231F20"/>
        </w:rPr>
        <w:t>de </w:t>
      </w:r>
      <w:r>
        <w:rPr>
          <w:color w:val="231F20"/>
          <w:spacing w:val="3"/>
        </w:rPr>
        <w:t>imposición, </w:t>
      </w:r>
      <w:r>
        <w:rPr>
          <w:color w:val="231F20"/>
        </w:rPr>
        <w:t>de </w:t>
      </w:r>
      <w:r>
        <w:rPr>
          <w:color w:val="231F20"/>
          <w:spacing w:val="2"/>
        </w:rPr>
        <w:t>legitimación, </w:t>
      </w:r>
      <w:r>
        <w:rPr>
          <w:color w:val="231F20"/>
        </w:rPr>
        <w:t>de </w:t>
      </w:r>
      <w:r>
        <w:rPr>
          <w:color w:val="231F20"/>
          <w:spacing w:val="2"/>
        </w:rPr>
        <w:t>situaciones </w:t>
      </w:r>
      <w:r>
        <w:rPr>
          <w:color w:val="231F20"/>
        </w:rPr>
        <w:t>de </w:t>
      </w:r>
      <w:r>
        <w:rPr>
          <w:color w:val="231F20"/>
          <w:spacing w:val="2"/>
        </w:rPr>
        <w:t>desigualdad; por otra parte </w:t>
      </w:r>
      <w:r>
        <w:rPr>
          <w:color w:val="231F20"/>
        </w:rPr>
        <w:t>se </w:t>
      </w:r>
      <w:r>
        <w:rPr>
          <w:color w:val="231F20"/>
          <w:spacing w:val="2"/>
        </w:rPr>
        <w:t>tiene </w:t>
      </w:r>
      <w:r>
        <w:rPr>
          <w:color w:val="231F20"/>
        </w:rPr>
        <w:t>la </w:t>
      </w:r>
      <w:r>
        <w:rPr>
          <w:color w:val="231F20"/>
          <w:spacing w:val="2"/>
        </w:rPr>
        <w:t>perspectiva </w:t>
      </w:r>
      <w:r>
        <w:rPr>
          <w:color w:val="231F20"/>
          <w:spacing w:val="3"/>
        </w:rPr>
        <w:t>hermenéutica </w:t>
      </w:r>
      <w:r>
        <w:rPr>
          <w:color w:val="231F20"/>
          <w:spacing w:val="2"/>
        </w:rPr>
        <w:t>(representada por Ricoeur) que entiende </w:t>
      </w:r>
      <w:r>
        <w:rPr>
          <w:color w:val="231F20"/>
        </w:rPr>
        <w:t>la </w:t>
      </w:r>
      <w:r>
        <w:rPr>
          <w:color w:val="231F20"/>
          <w:spacing w:val="2"/>
        </w:rPr>
        <w:t>ideología </w:t>
      </w:r>
      <w:r>
        <w:rPr>
          <w:color w:val="231F20"/>
          <w:spacing w:val="3"/>
        </w:rPr>
        <w:t>como </w:t>
      </w:r>
      <w:r>
        <w:rPr>
          <w:color w:val="231F20"/>
          <w:spacing w:val="2"/>
        </w:rPr>
        <w:t>de-</w:t>
      </w:r>
      <w:r>
        <w:rPr>
          <w:color w:val="231F20"/>
          <w:spacing w:val="56"/>
        </w:rPr>
        <w:t> </w:t>
      </w:r>
      <w:r>
        <w:rPr>
          <w:color w:val="231F20"/>
          <w:spacing w:val="3"/>
        </w:rPr>
        <w:t>formación </w:t>
      </w:r>
      <w:r>
        <w:rPr>
          <w:color w:val="231F20"/>
        </w:rPr>
        <w:t>de la </w:t>
      </w:r>
      <w:r>
        <w:rPr>
          <w:color w:val="231F20"/>
          <w:spacing w:val="2"/>
        </w:rPr>
        <w:t>función simbólica cuando </w:t>
      </w:r>
      <w:r>
        <w:rPr>
          <w:color w:val="231F20"/>
        </w:rPr>
        <w:t>se ata a </w:t>
      </w:r>
      <w:r>
        <w:rPr>
          <w:color w:val="231F20"/>
          <w:spacing w:val="2"/>
        </w:rPr>
        <w:t>exigencias </w:t>
      </w:r>
      <w:r>
        <w:rPr>
          <w:color w:val="231F20"/>
        </w:rPr>
        <w:t>de </w:t>
      </w:r>
      <w:r>
        <w:rPr>
          <w:color w:val="231F20"/>
          <w:spacing w:val="2"/>
        </w:rPr>
        <w:t>integración social; por último, desde una perspectiva empírico-</w:t>
      </w:r>
      <w:r>
        <w:rPr>
          <w:color w:val="231F20"/>
          <w:spacing w:val="56"/>
        </w:rPr>
        <w:t> </w:t>
      </w:r>
      <w:r>
        <w:rPr>
          <w:color w:val="231F20"/>
          <w:spacing w:val="2"/>
        </w:rPr>
        <w:t>analítica </w:t>
      </w:r>
      <w:r>
        <w:rPr>
          <w:color w:val="231F20"/>
          <w:spacing w:val="3"/>
        </w:rPr>
        <w:t>–como </w:t>
      </w:r>
      <w:r>
        <w:rPr>
          <w:color w:val="231F20"/>
        </w:rPr>
        <w:t>es el </w:t>
      </w:r>
      <w:r>
        <w:rPr>
          <w:color w:val="231F20"/>
          <w:spacing w:val="2"/>
        </w:rPr>
        <w:t>caso del </w:t>
      </w:r>
      <w:r>
        <w:rPr>
          <w:color w:val="231F20"/>
          <w:spacing w:val="3"/>
        </w:rPr>
        <w:t>funcionalismo– </w:t>
      </w:r>
      <w:r>
        <w:rPr>
          <w:color w:val="231F20"/>
        </w:rPr>
        <w:t>la </w:t>
      </w:r>
      <w:r>
        <w:rPr>
          <w:color w:val="231F20"/>
          <w:spacing w:val="2"/>
        </w:rPr>
        <w:t>ideología </w:t>
      </w:r>
      <w:r>
        <w:rPr>
          <w:color w:val="231F20"/>
        </w:rPr>
        <w:t>se </w:t>
      </w:r>
      <w:r>
        <w:rPr>
          <w:color w:val="231F20"/>
          <w:spacing w:val="3"/>
        </w:rPr>
        <w:t>en- </w:t>
      </w:r>
      <w:r>
        <w:rPr>
          <w:color w:val="231F20"/>
          <w:spacing w:val="2"/>
        </w:rPr>
        <w:t>tiende desde </w:t>
      </w:r>
      <w:r>
        <w:rPr>
          <w:color w:val="231F20"/>
        </w:rPr>
        <w:t>el </w:t>
      </w:r>
      <w:r>
        <w:rPr>
          <w:color w:val="231F20"/>
          <w:spacing w:val="3"/>
        </w:rPr>
        <w:t>punto </w:t>
      </w:r>
      <w:r>
        <w:rPr>
          <w:color w:val="231F20"/>
        </w:rPr>
        <w:t>de </w:t>
      </w:r>
      <w:r>
        <w:rPr>
          <w:color w:val="231F20"/>
          <w:spacing w:val="2"/>
        </w:rPr>
        <w:t>vista </w:t>
      </w:r>
      <w:r>
        <w:rPr>
          <w:color w:val="231F20"/>
        </w:rPr>
        <w:t>de las </w:t>
      </w:r>
      <w:r>
        <w:rPr>
          <w:color w:val="231F20"/>
          <w:spacing w:val="2"/>
        </w:rPr>
        <w:t>exigencias </w:t>
      </w:r>
      <w:r>
        <w:rPr>
          <w:color w:val="231F20"/>
        </w:rPr>
        <w:t>de </w:t>
      </w:r>
      <w:r>
        <w:rPr>
          <w:color w:val="231F20"/>
          <w:spacing w:val="2"/>
        </w:rPr>
        <w:t>legitimación </w:t>
      </w:r>
      <w:r>
        <w:rPr>
          <w:color w:val="231F20"/>
          <w:spacing w:val="56"/>
        </w:rPr>
        <w:t> </w:t>
      </w:r>
      <w:r>
        <w:rPr>
          <w:color w:val="231F20"/>
        </w:rPr>
        <w:t>que </w:t>
      </w:r>
      <w:r>
        <w:rPr>
          <w:color w:val="231F20"/>
          <w:spacing w:val="2"/>
        </w:rPr>
        <w:t>plantea </w:t>
      </w:r>
      <w:r>
        <w:rPr>
          <w:color w:val="231F20"/>
        </w:rPr>
        <w:t>la </w:t>
      </w:r>
      <w:r>
        <w:rPr>
          <w:color w:val="231F20"/>
          <w:spacing w:val="2"/>
        </w:rPr>
        <w:t>diferenciación </w:t>
      </w:r>
      <w:r>
        <w:rPr>
          <w:color w:val="231F20"/>
        </w:rPr>
        <w:t>de </w:t>
      </w:r>
      <w:r>
        <w:rPr>
          <w:color w:val="231F20"/>
          <w:spacing w:val="2"/>
        </w:rPr>
        <w:t>los sistemas sociales, mediante  una generalización </w:t>
      </w:r>
      <w:r>
        <w:rPr>
          <w:color w:val="231F20"/>
        </w:rPr>
        <w:t>de </w:t>
      </w:r>
      <w:r>
        <w:rPr>
          <w:color w:val="231F20"/>
          <w:spacing w:val="2"/>
        </w:rPr>
        <w:t>valores, logrando estabilizar </w:t>
      </w:r>
      <w:r>
        <w:rPr>
          <w:color w:val="231F20"/>
        </w:rPr>
        <w:t>la </w:t>
      </w:r>
      <w:r>
        <w:rPr>
          <w:color w:val="231F20"/>
          <w:spacing w:val="2"/>
        </w:rPr>
        <w:t>evolución social, esto </w:t>
      </w:r>
      <w:r>
        <w:rPr>
          <w:color w:val="231F20"/>
        </w:rPr>
        <w:t>es, </w:t>
      </w:r>
      <w:r>
        <w:rPr>
          <w:color w:val="231F20"/>
          <w:spacing w:val="3"/>
        </w:rPr>
        <w:t>mantener </w:t>
      </w:r>
      <w:r>
        <w:rPr>
          <w:color w:val="231F20"/>
        </w:rPr>
        <w:t>y  </w:t>
      </w:r>
      <w:r>
        <w:rPr>
          <w:color w:val="231F20"/>
          <w:spacing w:val="2"/>
        </w:rPr>
        <w:t>reproducir los </w:t>
      </w:r>
      <w:r>
        <w:rPr>
          <w:color w:val="231F20"/>
          <w:spacing w:val="3"/>
        </w:rPr>
        <w:t>marcos normativos </w:t>
      </w:r>
      <w:r>
        <w:rPr>
          <w:color w:val="231F20"/>
        </w:rPr>
        <w:t>de  </w:t>
      </w:r>
      <w:r>
        <w:rPr>
          <w:color w:val="231F20"/>
          <w:spacing w:val="2"/>
        </w:rPr>
        <w:t>los sistemas </w:t>
      </w:r>
      <w:r>
        <w:rPr>
          <w:color w:val="231F20"/>
        </w:rPr>
        <w:t>de </w:t>
      </w:r>
      <w:r>
        <w:rPr>
          <w:color w:val="231F20"/>
          <w:spacing w:val="2"/>
        </w:rPr>
        <w:t>acción social diferenciados </w:t>
      </w:r>
      <w:r>
        <w:rPr>
          <w:color w:val="231F20"/>
          <w:spacing w:val="3"/>
        </w:rPr>
        <w:t>como </w:t>
      </w:r>
      <w:r>
        <w:rPr>
          <w:color w:val="231F20"/>
        </w:rPr>
        <w:t>un</w:t>
      </w:r>
      <w:r>
        <w:rPr>
          <w:color w:val="231F20"/>
          <w:spacing w:val="33"/>
        </w:rPr>
        <w:t> </w:t>
      </w:r>
      <w:r>
        <w:rPr>
          <w:color w:val="231F20"/>
          <w:spacing w:val="3"/>
        </w:rPr>
        <w:t>todo.</w:t>
      </w:r>
    </w:p>
    <w:p>
      <w:pPr>
        <w:pStyle w:val="BodyText"/>
        <w:rPr>
          <w:sz w:val="22"/>
        </w:rPr>
      </w:pPr>
    </w:p>
    <w:p>
      <w:pPr>
        <w:pStyle w:val="BodyText"/>
        <w:spacing w:line="247" w:lineRule="auto"/>
        <w:ind w:left="102" w:right="114"/>
        <w:jc w:val="both"/>
      </w:pPr>
      <w:r>
        <w:rPr>
          <w:color w:val="231F20"/>
          <w:w w:val="105"/>
        </w:rPr>
        <w:t>VIOLENCIA, DE LA FUNDAMENTACIÓN EPISTEMOLÓ- GICA AL BLOQUEO ÉTICO</w:t>
      </w:r>
    </w:p>
    <w:p>
      <w:pPr>
        <w:pStyle w:val="BodyText"/>
        <w:spacing w:before="6"/>
        <w:rPr>
          <w:sz w:val="20"/>
        </w:rPr>
      </w:pPr>
    </w:p>
    <w:p>
      <w:pPr>
        <w:pStyle w:val="BodyText"/>
        <w:spacing w:line="247" w:lineRule="auto"/>
        <w:ind w:left="101" w:right="115"/>
        <w:jc w:val="both"/>
      </w:pPr>
      <w:r>
        <w:rPr>
          <w:color w:val="231F20"/>
        </w:rPr>
        <w:t>Ahora bien, hemos planteado que la ideología, en lo fundamental, es concebida como una forma lingüística de inversión, de deformación, de</w:t>
      </w:r>
      <w:r>
        <w:rPr>
          <w:color w:val="231F20"/>
          <w:spacing w:val="-7"/>
        </w:rPr>
        <w:t> </w:t>
      </w:r>
      <w:r>
        <w:rPr>
          <w:color w:val="231F20"/>
        </w:rPr>
        <w:t>la</w:t>
      </w:r>
      <w:r>
        <w:rPr>
          <w:color w:val="231F20"/>
          <w:spacing w:val="-7"/>
        </w:rPr>
        <w:t> </w:t>
      </w:r>
      <w:r>
        <w:rPr>
          <w:color w:val="231F20"/>
        </w:rPr>
        <w:t>conciencia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tiene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realidad,</w:t>
      </w:r>
      <w:r>
        <w:rPr>
          <w:color w:val="231F20"/>
          <w:spacing w:val="-8"/>
        </w:rPr>
        <w:t> </w:t>
      </w:r>
      <w:r>
        <w:rPr>
          <w:color w:val="231F20"/>
        </w:rPr>
        <w:t>en</w:t>
      </w:r>
      <w:r>
        <w:rPr>
          <w:color w:val="231F20"/>
          <w:spacing w:val="-7"/>
        </w:rPr>
        <w:t> </w:t>
      </w:r>
      <w:r>
        <w:rPr>
          <w:color w:val="231F20"/>
        </w:rPr>
        <w:t>consecuencia</w:t>
      </w:r>
      <w:r>
        <w:rPr>
          <w:color w:val="231F20"/>
          <w:spacing w:val="-7"/>
        </w:rPr>
        <w:t> </w:t>
      </w:r>
      <w:r>
        <w:rPr>
          <w:color w:val="231F20"/>
        </w:rPr>
        <w:t>se</w:t>
      </w:r>
      <w:r>
        <w:rPr>
          <w:color w:val="231F20"/>
          <w:spacing w:val="-7"/>
        </w:rPr>
        <w:t> </w:t>
      </w:r>
      <w:r>
        <w:rPr>
          <w:color w:val="231F20"/>
        </w:rPr>
        <w:t>puede expresar como una forma de bloqueo, o deformación, en los proce- sos de comunicación, por tanto, constituye una expresión de la vio- lencia</w:t>
      </w:r>
      <w:r>
        <w:rPr>
          <w:color w:val="231F20"/>
          <w:spacing w:val="-13"/>
        </w:rPr>
        <w:t> </w:t>
      </w:r>
      <w:r>
        <w:rPr>
          <w:color w:val="231F20"/>
        </w:rPr>
        <w:t>entre</w:t>
      </w:r>
      <w:r>
        <w:rPr>
          <w:color w:val="231F20"/>
          <w:spacing w:val="-13"/>
        </w:rPr>
        <w:t> </w:t>
      </w:r>
      <w:r>
        <w:rPr>
          <w:color w:val="231F20"/>
        </w:rPr>
        <w:t>clases</w:t>
      </w:r>
      <w:r>
        <w:rPr>
          <w:color w:val="231F20"/>
          <w:spacing w:val="-13"/>
        </w:rPr>
        <w:t> </w:t>
      </w:r>
      <w:r>
        <w:rPr>
          <w:color w:val="231F20"/>
        </w:rPr>
        <w:t>sociales.</w:t>
      </w:r>
      <w:r>
        <w:rPr>
          <w:color w:val="231F20"/>
          <w:spacing w:val="-14"/>
        </w:rPr>
        <w:t> </w:t>
      </w:r>
      <w:r>
        <w:rPr>
          <w:color w:val="231F20"/>
        </w:rPr>
        <w:t>De</w:t>
      </w:r>
      <w:r>
        <w:rPr>
          <w:color w:val="231F20"/>
          <w:spacing w:val="-13"/>
        </w:rPr>
        <w:t> </w:t>
      </w:r>
      <w:r>
        <w:rPr>
          <w:color w:val="231F20"/>
        </w:rPr>
        <w:t>allí</w:t>
      </w:r>
      <w:r>
        <w:rPr>
          <w:color w:val="231F20"/>
          <w:spacing w:val="-14"/>
        </w:rPr>
        <w:t> </w:t>
      </w:r>
      <w:r>
        <w:rPr>
          <w:color w:val="231F20"/>
        </w:rPr>
        <w:t>que</w:t>
      </w:r>
      <w:r>
        <w:rPr>
          <w:color w:val="231F20"/>
          <w:spacing w:val="-13"/>
        </w:rPr>
        <w:t> </w:t>
      </w:r>
      <w:r>
        <w:rPr>
          <w:color w:val="231F20"/>
        </w:rPr>
        <w:t>tengamos</w:t>
      </w:r>
      <w:r>
        <w:rPr>
          <w:color w:val="231F20"/>
          <w:spacing w:val="-13"/>
        </w:rPr>
        <w:t> </w:t>
      </w:r>
      <w:r>
        <w:rPr>
          <w:color w:val="231F20"/>
        </w:rPr>
        <w:t>que</w:t>
      </w:r>
      <w:r>
        <w:rPr>
          <w:color w:val="231F20"/>
          <w:spacing w:val="-13"/>
        </w:rPr>
        <w:t> </w:t>
      </w:r>
      <w:r>
        <w:rPr>
          <w:color w:val="231F20"/>
        </w:rPr>
        <w:t>revisar</w:t>
      </w:r>
      <w:r>
        <w:rPr>
          <w:color w:val="231F20"/>
          <w:spacing w:val="-14"/>
        </w:rPr>
        <w:t> </w:t>
      </w:r>
      <w:r>
        <w:rPr>
          <w:color w:val="231F20"/>
        </w:rPr>
        <w:t>la</w:t>
      </w:r>
      <w:r>
        <w:rPr>
          <w:color w:val="231F20"/>
          <w:spacing w:val="-13"/>
        </w:rPr>
        <w:t> </w:t>
      </w:r>
      <w:r>
        <w:rPr>
          <w:color w:val="231F20"/>
        </w:rPr>
        <w:t>mane-</w:t>
      </w:r>
    </w:p>
    <w:p>
      <w:pPr>
        <w:spacing w:after="0" w:line="247" w:lineRule="auto"/>
        <w:jc w:val="both"/>
        <w:sectPr>
          <w:headerReference w:type="default" r:id="rId183"/>
          <w:footerReference w:type="default" r:id="rId184"/>
          <w:pgSz w:w="7830" w:h="11910"/>
          <w:pgMar w:header="0" w:footer="424" w:top="500" w:bottom="620" w:left="920" w:right="900"/>
          <w:pgNumType w:start="8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1" w:right="115"/>
        <w:jc w:val="both"/>
      </w:pPr>
      <w:r>
        <w:rPr>
          <w:color w:val="231F20"/>
        </w:rPr>
        <w:t>ra</w:t>
      </w:r>
      <w:r>
        <w:rPr>
          <w:color w:val="231F20"/>
          <w:spacing w:val="-5"/>
        </w:rPr>
        <w:t> </w:t>
      </w:r>
      <w:r>
        <w:rPr>
          <w:color w:val="231F20"/>
        </w:rPr>
        <w:t>en</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conceptualiza</w:t>
      </w:r>
      <w:r>
        <w:rPr>
          <w:color w:val="231F20"/>
          <w:spacing w:val="-5"/>
        </w:rPr>
        <w:t> </w:t>
      </w:r>
      <w:r>
        <w:rPr>
          <w:color w:val="231F20"/>
        </w:rPr>
        <w:t>la</w:t>
      </w:r>
      <w:r>
        <w:rPr>
          <w:color w:val="231F20"/>
          <w:spacing w:val="-5"/>
        </w:rPr>
        <w:t> </w:t>
      </w:r>
      <w:r>
        <w:rPr>
          <w:color w:val="231F20"/>
        </w:rPr>
        <w:t>violencia,</w:t>
      </w:r>
      <w:r>
        <w:rPr>
          <w:color w:val="231F20"/>
          <w:spacing w:val="-5"/>
        </w:rPr>
        <w:t> </w:t>
      </w:r>
      <w:r>
        <w:rPr>
          <w:color w:val="231F20"/>
        </w:rPr>
        <w:t>indicando</w:t>
      </w:r>
      <w:r>
        <w:rPr>
          <w:color w:val="231F20"/>
          <w:spacing w:val="-4"/>
        </w:rPr>
        <w:t> </w:t>
      </w:r>
      <w:r>
        <w:rPr>
          <w:color w:val="231F20"/>
        </w:rPr>
        <w:t>que</w:t>
      </w:r>
      <w:r>
        <w:rPr>
          <w:color w:val="231F20"/>
          <w:spacing w:val="-4"/>
        </w:rPr>
        <w:t> </w:t>
      </w:r>
      <w:r>
        <w:rPr>
          <w:color w:val="231F20"/>
        </w:rPr>
        <w:t>existen,</w:t>
      </w:r>
      <w:r>
        <w:rPr>
          <w:color w:val="231F20"/>
          <w:spacing w:val="-5"/>
        </w:rPr>
        <w:t> </w:t>
      </w:r>
      <w:r>
        <w:rPr>
          <w:color w:val="231F20"/>
        </w:rPr>
        <w:t>al</w:t>
      </w:r>
      <w:r>
        <w:rPr>
          <w:color w:val="231F20"/>
          <w:spacing w:val="-5"/>
        </w:rPr>
        <w:t> </w:t>
      </w:r>
      <w:r>
        <w:rPr>
          <w:color w:val="231F20"/>
        </w:rPr>
        <w:t>me- nos,</w:t>
      </w:r>
      <w:r>
        <w:rPr>
          <w:color w:val="231F20"/>
          <w:spacing w:val="-7"/>
        </w:rPr>
        <w:t> </w:t>
      </w:r>
      <w:r>
        <w:rPr>
          <w:color w:val="231F20"/>
        </w:rPr>
        <w:t>tres</w:t>
      </w:r>
      <w:r>
        <w:rPr>
          <w:color w:val="231F20"/>
          <w:spacing w:val="-6"/>
        </w:rPr>
        <w:t> </w:t>
      </w:r>
      <w:r>
        <w:rPr>
          <w:color w:val="231F20"/>
        </w:rPr>
        <w:t>posibilidades</w:t>
      </w:r>
      <w:r>
        <w:rPr>
          <w:color w:val="231F20"/>
          <w:spacing w:val="-6"/>
        </w:rPr>
        <w:t> </w:t>
      </w:r>
      <w:r>
        <w:rPr>
          <w:color w:val="231F20"/>
        </w:rPr>
        <w:t>de</w:t>
      </w:r>
      <w:r>
        <w:rPr>
          <w:color w:val="231F20"/>
          <w:spacing w:val="-6"/>
        </w:rPr>
        <w:t> </w:t>
      </w:r>
      <w:r>
        <w:rPr>
          <w:color w:val="231F20"/>
        </w:rPr>
        <w:t>teorización</w:t>
      </w:r>
      <w:r>
        <w:rPr>
          <w:color w:val="231F20"/>
          <w:spacing w:val="-6"/>
        </w:rPr>
        <w:t> </w:t>
      </w:r>
      <w:r>
        <w:rPr>
          <w:color w:val="231F20"/>
        </w:rPr>
        <w:t>que,</w:t>
      </w:r>
      <w:r>
        <w:rPr>
          <w:color w:val="231F20"/>
          <w:spacing w:val="-7"/>
        </w:rPr>
        <w:t> </w:t>
      </w:r>
      <w:r>
        <w:rPr>
          <w:color w:val="231F20"/>
        </w:rPr>
        <w:t>al</w:t>
      </w:r>
      <w:r>
        <w:rPr>
          <w:color w:val="231F20"/>
          <w:spacing w:val="-7"/>
        </w:rPr>
        <w:t> </w:t>
      </w:r>
      <w:r>
        <w:rPr>
          <w:color w:val="231F20"/>
        </w:rPr>
        <w:t>mismo</w:t>
      </w:r>
      <w:r>
        <w:rPr>
          <w:color w:val="231F20"/>
          <w:spacing w:val="-6"/>
        </w:rPr>
        <w:t> </w:t>
      </w:r>
      <w:r>
        <w:rPr>
          <w:color w:val="231F20"/>
        </w:rPr>
        <w:t>tiempo,</w:t>
      </w:r>
      <w:r>
        <w:rPr>
          <w:color w:val="231F20"/>
          <w:spacing w:val="-7"/>
        </w:rPr>
        <w:t> </w:t>
      </w:r>
      <w:r>
        <w:rPr>
          <w:color w:val="231F20"/>
        </w:rPr>
        <w:t>constitu- yen</w:t>
      </w:r>
      <w:r>
        <w:rPr>
          <w:color w:val="231F20"/>
          <w:spacing w:val="-8"/>
        </w:rPr>
        <w:t> </w:t>
      </w:r>
      <w:r>
        <w:rPr>
          <w:color w:val="231F20"/>
        </w:rPr>
        <w:t>posibilidades</w:t>
      </w:r>
      <w:r>
        <w:rPr>
          <w:color w:val="231F20"/>
          <w:spacing w:val="-8"/>
        </w:rPr>
        <w:t> </w:t>
      </w:r>
      <w:r>
        <w:rPr>
          <w:color w:val="231F20"/>
        </w:rPr>
        <w:t>de</w:t>
      </w:r>
      <w:r>
        <w:rPr>
          <w:color w:val="231F20"/>
          <w:spacing w:val="-8"/>
        </w:rPr>
        <w:t> </w:t>
      </w:r>
      <w:r>
        <w:rPr>
          <w:color w:val="231F20"/>
        </w:rPr>
        <w:t>investigación.</w:t>
      </w:r>
      <w:r>
        <w:rPr>
          <w:color w:val="231F20"/>
          <w:spacing w:val="-9"/>
        </w:rPr>
        <w:t> </w:t>
      </w:r>
      <w:r>
        <w:rPr>
          <w:color w:val="231F20"/>
        </w:rPr>
        <w:t>Para</w:t>
      </w:r>
      <w:r>
        <w:rPr>
          <w:color w:val="231F20"/>
          <w:spacing w:val="-8"/>
        </w:rPr>
        <w:t> </w:t>
      </w:r>
      <w:r>
        <w:rPr>
          <w:color w:val="231F20"/>
        </w:rPr>
        <w:t>abordar</w:t>
      </w:r>
      <w:r>
        <w:rPr>
          <w:color w:val="231F20"/>
          <w:spacing w:val="-8"/>
        </w:rPr>
        <w:t> </w:t>
      </w:r>
      <w:r>
        <w:rPr>
          <w:color w:val="231F20"/>
        </w:rPr>
        <w:t>este</w:t>
      </w:r>
      <w:r>
        <w:rPr>
          <w:color w:val="231F20"/>
          <w:spacing w:val="-8"/>
        </w:rPr>
        <w:t> </w:t>
      </w:r>
      <w:r>
        <w:rPr>
          <w:color w:val="231F20"/>
        </w:rPr>
        <w:t>aspecto</w:t>
      </w:r>
      <w:r>
        <w:rPr>
          <w:color w:val="231F20"/>
          <w:spacing w:val="-8"/>
        </w:rPr>
        <w:t> </w:t>
      </w:r>
      <w:r>
        <w:rPr>
          <w:color w:val="231F20"/>
        </w:rPr>
        <w:t>se</w:t>
      </w:r>
      <w:r>
        <w:rPr>
          <w:color w:val="231F20"/>
          <w:spacing w:val="-8"/>
        </w:rPr>
        <w:t> </w:t>
      </w:r>
      <w:r>
        <w:rPr>
          <w:color w:val="231F20"/>
        </w:rPr>
        <w:t>recu- pera, principalmente, el planteamiento de Fromm para quien el desa- rrollo de las teorías acerca de los seres humanos está en conexión directa</w:t>
      </w:r>
      <w:r>
        <w:rPr>
          <w:color w:val="231F20"/>
          <w:spacing w:val="-24"/>
        </w:rPr>
        <w:t> </w:t>
      </w:r>
      <w:r>
        <w:rPr>
          <w:color w:val="231F20"/>
        </w:rPr>
        <w:t>con</w:t>
      </w:r>
      <w:r>
        <w:rPr>
          <w:color w:val="231F20"/>
          <w:spacing w:val="-24"/>
        </w:rPr>
        <w:t> </w:t>
      </w:r>
      <w:r>
        <w:rPr>
          <w:color w:val="231F20"/>
        </w:rPr>
        <w:t>las</w:t>
      </w:r>
      <w:r>
        <w:rPr>
          <w:color w:val="231F20"/>
          <w:spacing w:val="-24"/>
        </w:rPr>
        <w:t> </w:t>
      </w:r>
      <w:r>
        <w:rPr>
          <w:color w:val="231F20"/>
        </w:rPr>
        <w:t>condiciones</w:t>
      </w:r>
      <w:r>
        <w:rPr>
          <w:color w:val="231F20"/>
          <w:spacing w:val="-24"/>
        </w:rPr>
        <w:t> </w:t>
      </w:r>
      <w:r>
        <w:rPr>
          <w:color w:val="231F20"/>
        </w:rPr>
        <w:t>materiales</w:t>
      </w:r>
      <w:r>
        <w:rPr>
          <w:color w:val="231F20"/>
          <w:spacing w:val="-24"/>
        </w:rPr>
        <w:t> </w:t>
      </w:r>
      <w:r>
        <w:rPr>
          <w:color w:val="231F20"/>
        </w:rPr>
        <w:t>de</w:t>
      </w:r>
      <w:r>
        <w:rPr>
          <w:color w:val="231F20"/>
          <w:spacing w:val="-24"/>
        </w:rPr>
        <w:t> </w:t>
      </w:r>
      <w:r>
        <w:rPr>
          <w:color w:val="231F20"/>
        </w:rPr>
        <w:t>existencia,</w:t>
      </w:r>
      <w:r>
        <w:rPr>
          <w:color w:val="231F20"/>
          <w:spacing w:val="-24"/>
        </w:rPr>
        <w:t> </w:t>
      </w:r>
      <w:r>
        <w:rPr>
          <w:color w:val="231F20"/>
        </w:rPr>
        <w:t>así</w:t>
      </w:r>
      <w:r>
        <w:rPr>
          <w:color w:val="231F20"/>
          <w:spacing w:val="-24"/>
        </w:rPr>
        <w:t> </w:t>
      </w:r>
      <w:r>
        <w:rPr>
          <w:color w:val="231F20"/>
        </w:rPr>
        <w:t>sostiene:</w:t>
      </w:r>
    </w:p>
    <w:p>
      <w:pPr>
        <w:pStyle w:val="BodyText"/>
        <w:spacing w:before="7"/>
        <w:rPr>
          <w:sz w:val="24"/>
        </w:rPr>
      </w:pPr>
    </w:p>
    <w:p>
      <w:pPr>
        <w:spacing w:line="273" w:lineRule="auto" w:before="0"/>
        <w:ind w:left="810" w:right="162" w:firstLine="0"/>
        <w:jc w:val="both"/>
        <w:rPr>
          <w:sz w:val="19"/>
        </w:rPr>
      </w:pPr>
      <w:r>
        <w:rPr>
          <w:color w:val="231F20"/>
          <w:sz w:val="19"/>
        </w:rPr>
        <w:t>En el capitalismo decimonónico, el poder se basaba en gran par- te en el ejercicio de principios patriarcales estrictos, apoyados moralmente por la autoridad de Dios y del rey. El capitalismo cibernético, con sus empresas centralizadas gigantescas y su ca- pacidad de dar a los trabajadores pan y entretenimiento, puede dominar por la manipulación psicológica y la ingeniería humana. Necesita un hombre muy maleable y fácil de influenciar, no uno cuyos “instintos” se controlen mediante el temor a la autoridad. Finalmente, la sociedad industrial contemporánea ve el objeto de la vida de modo diferente que la del siglo pasado… la visión contemporánea es de consumo ilimitado y de poder  ilimitado sobre la naturaleza. Los hombres se inflaman con el sueño de llegar un día a dominar la naturaleza por completo y ser, pues, como Dios; ¿por qué, entonces, no podrían dominar totalmente    la</w:t>
      </w:r>
      <w:r>
        <w:rPr>
          <w:color w:val="231F20"/>
          <w:spacing w:val="-26"/>
          <w:sz w:val="19"/>
        </w:rPr>
        <w:t> </w:t>
      </w:r>
      <w:r>
        <w:rPr>
          <w:color w:val="231F20"/>
          <w:sz w:val="19"/>
        </w:rPr>
        <w:t>naturaleza</w:t>
      </w:r>
      <w:r>
        <w:rPr>
          <w:color w:val="231F20"/>
          <w:spacing w:val="-26"/>
          <w:sz w:val="19"/>
        </w:rPr>
        <w:t> </w:t>
      </w:r>
      <w:r>
        <w:rPr>
          <w:i/>
          <w:color w:val="231F20"/>
          <w:sz w:val="19"/>
        </w:rPr>
        <w:t>humana</w:t>
      </w:r>
      <w:r>
        <w:rPr>
          <w:color w:val="231F20"/>
          <w:sz w:val="19"/>
        </w:rPr>
        <w:t>?</w:t>
      </w:r>
      <w:r>
        <w:rPr>
          <w:color w:val="231F20"/>
          <w:spacing w:val="-26"/>
          <w:sz w:val="19"/>
        </w:rPr>
        <w:t> </w:t>
      </w:r>
      <w:r>
        <w:rPr>
          <w:color w:val="231F20"/>
          <w:sz w:val="19"/>
        </w:rPr>
        <w:t>(Fromm,</w:t>
      </w:r>
      <w:r>
        <w:rPr>
          <w:color w:val="231F20"/>
          <w:spacing w:val="-26"/>
          <w:sz w:val="19"/>
        </w:rPr>
        <w:t> </w:t>
      </w:r>
      <w:r>
        <w:rPr>
          <w:color w:val="231F20"/>
          <w:sz w:val="19"/>
        </w:rPr>
        <w:t>1986:88).</w:t>
      </w:r>
    </w:p>
    <w:p>
      <w:pPr>
        <w:pStyle w:val="BodyText"/>
        <w:spacing w:before="3"/>
        <w:rPr>
          <w:sz w:val="20"/>
        </w:rPr>
      </w:pPr>
    </w:p>
    <w:p>
      <w:pPr>
        <w:pStyle w:val="BodyText"/>
        <w:spacing w:line="249" w:lineRule="auto"/>
        <w:ind w:left="101" w:right="114" w:firstLine="284"/>
        <w:jc w:val="both"/>
      </w:pPr>
      <w:r>
        <w:rPr>
          <w:color w:val="231F20"/>
          <w:spacing w:val="2"/>
        </w:rPr>
        <w:t>Así, </w:t>
      </w:r>
      <w:r>
        <w:rPr>
          <w:color w:val="231F20"/>
          <w:spacing w:val="3"/>
        </w:rPr>
        <w:t>Fromm </w:t>
      </w:r>
      <w:r>
        <w:rPr>
          <w:color w:val="231F20"/>
          <w:spacing w:val="2"/>
        </w:rPr>
        <w:t>destaca </w:t>
      </w:r>
      <w:r>
        <w:rPr>
          <w:color w:val="231F20"/>
        </w:rPr>
        <w:t>el </w:t>
      </w:r>
      <w:r>
        <w:rPr>
          <w:color w:val="231F20"/>
          <w:spacing w:val="2"/>
        </w:rPr>
        <w:t>carácter histórico </w:t>
      </w:r>
      <w:r>
        <w:rPr>
          <w:color w:val="231F20"/>
        </w:rPr>
        <w:t>de las </w:t>
      </w:r>
      <w:r>
        <w:rPr>
          <w:color w:val="231F20"/>
          <w:spacing w:val="2"/>
        </w:rPr>
        <w:t>teorías sociales  </w:t>
      </w:r>
      <w:r>
        <w:rPr>
          <w:color w:val="231F20"/>
        </w:rPr>
        <w:t>y </w:t>
      </w:r>
      <w:r>
        <w:rPr>
          <w:color w:val="231F20"/>
          <w:spacing w:val="2"/>
        </w:rPr>
        <w:t>sus discusiones </w:t>
      </w:r>
      <w:r>
        <w:rPr>
          <w:color w:val="231F20"/>
        </w:rPr>
        <w:t>y, al </w:t>
      </w:r>
      <w:r>
        <w:rPr>
          <w:color w:val="231F20"/>
          <w:spacing w:val="3"/>
        </w:rPr>
        <w:t>mismo tiempo, pone </w:t>
      </w:r>
      <w:r>
        <w:rPr>
          <w:color w:val="231F20"/>
        </w:rPr>
        <w:t>en </w:t>
      </w:r>
      <w:r>
        <w:rPr>
          <w:color w:val="231F20"/>
          <w:spacing w:val="2"/>
        </w:rPr>
        <w:t>evidencia que, </w:t>
      </w:r>
      <w:r>
        <w:rPr>
          <w:color w:val="231F20"/>
        </w:rPr>
        <w:t>en el </w:t>
      </w:r>
      <w:r>
        <w:rPr>
          <w:color w:val="231F20"/>
          <w:spacing w:val="2"/>
        </w:rPr>
        <w:t>desarrollo </w:t>
      </w:r>
      <w:r>
        <w:rPr>
          <w:color w:val="231F20"/>
        </w:rPr>
        <w:t>de </w:t>
      </w:r>
      <w:r>
        <w:rPr>
          <w:color w:val="231F20"/>
          <w:spacing w:val="2"/>
        </w:rPr>
        <w:t>tales teorías </w:t>
      </w:r>
      <w:r>
        <w:rPr>
          <w:color w:val="231F20"/>
        </w:rPr>
        <w:t>se </w:t>
      </w:r>
      <w:r>
        <w:rPr>
          <w:color w:val="231F20"/>
          <w:spacing w:val="3"/>
        </w:rPr>
        <w:t>pone </w:t>
      </w:r>
      <w:r>
        <w:rPr>
          <w:color w:val="231F20"/>
        </w:rPr>
        <w:t>en </w:t>
      </w:r>
      <w:r>
        <w:rPr>
          <w:color w:val="231F20"/>
          <w:spacing w:val="2"/>
        </w:rPr>
        <w:t>juego una pretensión  </w:t>
      </w:r>
      <w:r>
        <w:rPr>
          <w:color w:val="231F20"/>
        </w:rPr>
        <w:t>de </w:t>
      </w:r>
      <w:r>
        <w:rPr>
          <w:color w:val="231F20"/>
          <w:spacing w:val="2"/>
        </w:rPr>
        <w:t>poder, </w:t>
      </w:r>
      <w:r>
        <w:rPr>
          <w:color w:val="231F20"/>
        </w:rPr>
        <w:t>no </w:t>
      </w:r>
      <w:r>
        <w:rPr>
          <w:color w:val="231F20"/>
          <w:spacing w:val="2"/>
        </w:rPr>
        <w:t>solo </w:t>
      </w:r>
      <w:r>
        <w:rPr>
          <w:color w:val="231F20"/>
        </w:rPr>
        <w:t>de </w:t>
      </w:r>
      <w:r>
        <w:rPr>
          <w:color w:val="231F20"/>
          <w:spacing w:val="2"/>
        </w:rPr>
        <w:t>validez, puesto que </w:t>
      </w:r>
      <w:r>
        <w:rPr>
          <w:color w:val="231F20"/>
        </w:rPr>
        <w:t>el </w:t>
      </w:r>
      <w:r>
        <w:rPr>
          <w:color w:val="231F20"/>
          <w:spacing w:val="3"/>
        </w:rPr>
        <w:t>conocimiento </w:t>
      </w:r>
      <w:r>
        <w:rPr>
          <w:color w:val="231F20"/>
          <w:spacing w:val="2"/>
        </w:rPr>
        <w:t>que </w:t>
      </w:r>
      <w:r>
        <w:rPr>
          <w:color w:val="231F20"/>
        </w:rPr>
        <w:t>se </w:t>
      </w:r>
      <w:r>
        <w:rPr>
          <w:color w:val="231F20"/>
          <w:spacing w:val="2"/>
        </w:rPr>
        <w:t>genera, tiende </w:t>
      </w:r>
      <w:r>
        <w:rPr>
          <w:color w:val="231F20"/>
        </w:rPr>
        <w:t>en </w:t>
      </w:r>
      <w:r>
        <w:rPr>
          <w:color w:val="231F20"/>
          <w:spacing w:val="2"/>
        </w:rPr>
        <w:t>gran parte, </w:t>
      </w:r>
      <w:r>
        <w:rPr>
          <w:color w:val="231F20"/>
        </w:rPr>
        <w:t>a </w:t>
      </w:r>
      <w:r>
        <w:rPr>
          <w:color w:val="231F20"/>
          <w:spacing w:val="2"/>
        </w:rPr>
        <w:t>orientarse hacia una aspiración </w:t>
      </w:r>
      <w:r>
        <w:rPr>
          <w:color w:val="231F20"/>
        </w:rPr>
        <w:t>a </w:t>
      </w:r>
      <w:r>
        <w:rPr>
          <w:color w:val="231F20"/>
          <w:spacing w:val="3"/>
        </w:rPr>
        <w:t>dominar </w:t>
      </w:r>
      <w:r>
        <w:rPr>
          <w:color w:val="231F20"/>
        </w:rPr>
        <w:t>a  </w:t>
      </w:r>
      <w:r>
        <w:rPr>
          <w:color w:val="231F20"/>
          <w:spacing w:val="2"/>
        </w:rPr>
        <w:t>los </w:t>
      </w:r>
      <w:r>
        <w:rPr>
          <w:color w:val="231F20"/>
          <w:spacing w:val="3"/>
        </w:rPr>
        <w:t>hombres, </w:t>
      </w:r>
      <w:r>
        <w:rPr>
          <w:color w:val="231F20"/>
          <w:spacing w:val="2"/>
        </w:rPr>
        <w:t>pues siempre existe una </w:t>
      </w:r>
      <w:r>
        <w:rPr>
          <w:color w:val="231F20"/>
          <w:spacing w:val="3"/>
        </w:rPr>
        <w:t>contestación </w:t>
      </w:r>
      <w:r>
        <w:rPr>
          <w:color w:val="231F20"/>
        </w:rPr>
        <w:t>a  esa </w:t>
      </w:r>
      <w:r>
        <w:rPr>
          <w:color w:val="231F20"/>
          <w:spacing w:val="2"/>
        </w:rPr>
        <w:t>pretensión </w:t>
      </w:r>
      <w:r>
        <w:rPr>
          <w:color w:val="231F20"/>
        </w:rPr>
        <w:t>de </w:t>
      </w:r>
      <w:r>
        <w:rPr>
          <w:color w:val="231F20"/>
          <w:spacing w:val="3"/>
        </w:rPr>
        <w:t>dominio. </w:t>
      </w:r>
      <w:r>
        <w:rPr>
          <w:color w:val="231F20"/>
        </w:rPr>
        <w:t>Al </w:t>
      </w:r>
      <w:r>
        <w:rPr>
          <w:color w:val="231F20"/>
          <w:spacing w:val="2"/>
        </w:rPr>
        <w:t>considerar </w:t>
      </w:r>
      <w:r>
        <w:rPr>
          <w:color w:val="231F20"/>
        </w:rPr>
        <w:t>esa </w:t>
      </w:r>
      <w:r>
        <w:rPr>
          <w:color w:val="231F20"/>
          <w:spacing w:val="2"/>
        </w:rPr>
        <w:t>condición del </w:t>
      </w:r>
      <w:r>
        <w:rPr>
          <w:color w:val="231F20"/>
          <w:spacing w:val="3"/>
        </w:rPr>
        <w:t>cono- </w:t>
      </w:r>
      <w:r>
        <w:rPr>
          <w:color w:val="231F20"/>
          <w:spacing w:val="2"/>
        </w:rPr>
        <w:t>cimiento social, </w:t>
      </w:r>
      <w:r>
        <w:rPr>
          <w:color w:val="231F20"/>
        </w:rPr>
        <w:t>se </w:t>
      </w:r>
      <w:r>
        <w:rPr>
          <w:color w:val="231F20"/>
          <w:spacing w:val="3"/>
        </w:rPr>
        <w:t>puede entender </w:t>
      </w:r>
      <w:r>
        <w:rPr>
          <w:color w:val="231F20"/>
        </w:rPr>
        <w:t>el </w:t>
      </w:r>
      <w:r>
        <w:rPr>
          <w:color w:val="231F20"/>
          <w:spacing w:val="3"/>
        </w:rPr>
        <w:t>modo </w:t>
      </w:r>
      <w:r>
        <w:rPr>
          <w:color w:val="231F20"/>
        </w:rPr>
        <w:t>en </w:t>
      </w:r>
      <w:r>
        <w:rPr>
          <w:color w:val="231F20"/>
          <w:spacing w:val="2"/>
        </w:rPr>
        <w:t>que </w:t>
      </w:r>
      <w:r>
        <w:rPr>
          <w:color w:val="231F20"/>
        </w:rPr>
        <w:t>se </w:t>
      </w:r>
      <w:r>
        <w:rPr>
          <w:color w:val="231F20"/>
          <w:spacing w:val="2"/>
        </w:rPr>
        <w:t>vincula </w:t>
      </w:r>
      <w:r>
        <w:rPr>
          <w:color w:val="231F20"/>
          <w:spacing w:val="3"/>
        </w:rPr>
        <w:t>al </w:t>
      </w:r>
      <w:r>
        <w:rPr>
          <w:color w:val="231F20"/>
          <w:spacing w:val="2"/>
        </w:rPr>
        <w:t>desarrollo </w:t>
      </w:r>
      <w:r>
        <w:rPr>
          <w:color w:val="231F20"/>
        </w:rPr>
        <w:t>de </w:t>
      </w:r>
      <w:r>
        <w:rPr>
          <w:color w:val="231F20"/>
          <w:spacing w:val="2"/>
        </w:rPr>
        <w:t>ideologías. </w:t>
      </w:r>
      <w:r>
        <w:rPr>
          <w:color w:val="231F20"/>
          <w:spacing w:val="3"/>
        </w:rPr>
        <w:t>Asimismo </w:t>
      </w:r>
      <w:r>
        <w:rPr>
          <w:color w:val="231F20"/>
        </w:rPr>
        <w:t>ese es el </w:t>
      </w:r>
      <w:r>
        <w:rPr>
          <w:color w:val="231F20"/>
          <w:spacing w:val="2"/>
        </w:rPr>
        <w:t>marco desde </w:t>
      </w:r>
      <w:r>
        <w:rPr>
          <w:color w:val="231F20"/>
        </w:rPr>
        <w:t>el </w:t>
      </w:r>
      <w:r>
        <w:rPr>
          <w:color w:val="231F20"/>
          <w:spacing w:val="2"/>
        </w:rPr>
        <w:t>cual distingue tres tipos </w:t>
      </w:r>
      <w:r>
        <w:rPr>
          <w:color w:val="231F20"/>
        </w:rPr>
        <w:t>de </w:t>
      </w:r>
      <w:r>
        <w:rPr>
          <w:color w:val="231F20"/>
          <w:spacing w:val="2"/>
        </w:rPr>
        <w:t>teorías </w:t>
      </w:r>
      <w:r>
        <w:rPr>
          <w:color w:val="231F20"/>
        </w:rPr>
        <w:t>que </w:t>
      </w:r>
      <w:r>
        <w:rPr>
          <w:color w:val="231F20"/>
          <w:spacing w:val="2"/>
        </w:rPr>
        <w:t>tematizan </w:t>
      </w:r>
      <w:r>
        <w:rPr>
          <w:color w:val="231F20"/>
        </w:rPr>
        <w:t>la </w:t>
      </w:r>
      <w:r>
        <w:rPr>
          <w:color w:val="231F20"/>
          <w:spacing w:val="2"/>
        </w:rPr>
        <w:t>violencia, </w:t>
      </w:r>
      <w:r>
        <w:rPr>
          <w:color w:val="231F20"/>
          <w:spacing w:val="3"/>
        </w:rPr>
        <w:t>donde </w:t>
      </w:r>
      <w:r>
        <w:rPr>
          <w:color w:val="231F20"/>
          <w:spacing w:val="2"/>
        </w:rPr>
        <w:t>observa una </w:t>
      </w:r>
      <w:r>
        <w:rPr>
          <w:color w:val="231F20"/>
          <w:spacing w:val="3"/>
        </w:rPr>
        <w:t>forma </w:t>
      </w:r>
      <w:r>
        <w:rPr>
          <w:color w:val="231F20"/>
          <w:spacing w:val="2"/>
        </w:rPr>
        <w:t>empírico-analítica –ilustrada por </w:t>
      </w:r>
      <w:r>
        <w:rPr>
          <w:color w:val="231F20"/>
        </w:rPr>
        <w:t>el </w:t>
      </w:r>
      <w:r>
        <w:rPr>
          <w:color w:val="231F20"/>
          <w:spacing w:val="3"/>
        </w:rPr>
        <w:t>conductis- mo– donde </w:t>
      </w:r>
      <w:r>
        <w:rPr>
          <w:color w:val="231F20"/>
        </w:rPr>
        <w:t>la </w:t>
      </w:r>
      <w:r>
        <w:rPr>
          <w:color w:val="231F20"/>
          <w:spacing w:val="2"/>
        </w:rPr>
        <w:t>violencia </w:t>
      </w:r>
      <w:r>
        <w:rPr>
          <w:color w:val="231F20"/>
        </w:rPr>
        <w:t>se </w:t>
      </w:r>
      <w:r>
        <w:rPr>
          <w:color w:val="231F20"/>
          <w:spacing w:val="2"/>
        </w:rPr>
        <w:t>concibe </w:t>
      </w:r>
      <w:r>
        <w:rPr>
          <w:color w:val="231F20"/>
          <w:spacing w:val="3"/>
        </w:rPr>
        <w:t>como </w:t>
      </w:r>
      <w:r>
        <w:rPr>
          <w:color w:val="231F20"/>
        </w:rPr>
        <w:t>algo </w:t>
      </w:r>
      <w:r>
        <w:rPr>
          <w:color w:val="231F20"/>
          <w:spacing w:val="2"/>
        </w:rPr>
        <w:t>innato </w:t>
      </w:r>
      <w:r>
        <w:rPr>
          <w:color w:val="231F20"/>
        </w:rPr>
        <w:t>y es </w:t>
      </w:r>
      <w:r>
        <w:rPr>
          <w:color w:val="231F20"/>
          <w:spacing w:val="3"/>
        </w:rPr>
        <w:t>equipa- </w:t>
      </w:r>
      <w:r>
        <w:rPr>
          <w:color w:val="231F20"/>
          <w:spacing w:val="2"/>
        </w:rPr>
        <w:t>rada con agresión cuya finalidad </w:t>
      </w:r>
      <w:r>
        <w:rPr>
          <w:color w:val="231F20"/>
        </w:rPr>
        <w:t>es </w:t>
      </w:r>
      <w:r>
        <w:rPr>
          <w:color w:val="231F20"/>
          <w:spacing w:val="2"/>
        </w:rPr>
        <w:t>adaptativa </w:t>
      </w:r>
      <w:r>
        <w:rPr>
          <w:color w:val="231F20"/>
        </w:rPr>
        <w:t>a un </w:t>
      </w:r>
      <w:r>
        <w:rPr>
          <w:color w:val="231F20"/>
          <w:spacing w:val="3"/>
        </w:rPr>
        <w:t>medio; </w:t>
      </w:r>
      <w:r>
        <w:rPr>
          <w:color w:val="231F20"/>
          <w:spacing w:val="2"/>
        </w:rPr>
        <w:t>otra perspectiva, </w:t>
      </w:r>
      <w:r>
        <w:rPr>
          <w:color w:val="231F20"/>
        </w:rPr>
        <w:t>que </w:t>
      </w:r>
      <w:r>
        <w:rPr>
          <w:color w:val="231F20"/>
          <w:spacing w:val="2"/>
        </w:rPr>
        <w:t>aparece </w:t>
      </w:r>
      <w:r>
        <w:rPr>
          <w:color w:val="231F20"/>
        </w:rPr>
        <w:t>ya </w:t>
      </w:r>
      <w:r>
        <w:rPr>
          <w:color w:val="231F20"/>
          <w:spacing w:val="3"/>
        </w:rPr>
        <w:t>como </w:t>
      </w:r>
      <w:r>
        <w:rPr>
          <w:color w:val="231F20"/>
          <w:spacing w:val="2"/>
        </w:rPr>
        <w:t>superación del </w:t>
      </w:r>
      <w:r>
        <w:rPr>
          <w:color w:val="231F20"/>
          <w:spacing w:val="3"/>
        </w:rPr>
        <w:t>conductismo, </w:t>
      </w:r>
      <w:r>
        <w:rPr>
          <w:color w:val="231F20"/>
        </w:rPr>
        <w:t>la </w:t>
      </w:r>
      <w:r>
        <w:rPr>
          <w:color w:val="231F20"/>
          <w:spacing w:val="3"/>
        </w:rPr>
        <w:t>denomina </w:t>
      </w:r>
      <w:r>
        <w:rPr>
          <w:color w:val="231F20"/>
          <w:spacing w:val="2"/>
        </w:rPr>
        <w:t>instintivismo </w:t>
      </w:r>
      <w:r>
        <w:rPr>
          <w:color w:val="231F20"/>
        </w:rPr>
        <w:t>y, en ella </w:t>
      </w:r>
      <w:r>
        <w:rPr>
          <w:color w:val="231F20"/>
          <w:spacing w:val="2"/>
        </w:rPr>
        <w:t>incluye </w:t>
      </w:r>
      <w:r>
        <w:rPr>
          <w:color w:val="231F20"/>
        </w:rPr>
        <w:t>al </w:t>
      </w:r>
      <w:r>
        <w:rPr>
          <w:color w:val="231F20"/>
          <w:spacing w:val="2"/>
        </w:rPr>
        <w:t>psicoanálisis que, </w:t>
      </w:r>
      <w:r>
        <w:rPr>
          <w:color w:val="231F20"/>
        </w:rPr>
        <w:t>a la </w:t>
      </w:r>
      <w:r>
        <w:rPr>
          <w:color w:val="231F20"/>
          <w:spacing w:val="2"/>
        </w:rPr>
        <w:t>vez, </w:t>
      </w:r>
      <w:r>
        <w:rPr>
          <w:color w:val="231F20"/>
        </w:rPr>
        <w:t>lo </w:t>
      </w:r>
      <w:r>
        <w:rPr>
          <w:color w:val="231F20"/>
          <w:spacing w:val="2"/>
        </w:rPr>
        <w:t>considera </w:t>
      </w:r>
      <w:r>
        <w:rPr>
          <w:color w:val="231F20"/>
        </w:rPr>
        <w:t>la </w:t>
      </w:r>
      <w:r>
        <w:rPr>
          <w:color w:val="231F20"/>
          <w:spacing w:val="2"/>
        </w:rPr>
        <w:t>superación del </w:t>
      </w:r>
      <w:r>
        <w:rPr>
          <w:color w:val="231F20"/>
          <w:spacing w:val="3"/>
        </w:rPr>
        <w:t>conductismo </w:t>
      </w:r>
      <w:r>
        <w:rPr>
          <w:color w:val="231F20"/>
        </w:rPr>
        <w:t>y </w:t>
      </w:r>
      <w:r>
        <w:rPr>
          <w:color w:val="231F20"/>
          <w:spacing w:val="2"/>
        </w:rPr>
        <w:t>del   </w:t>
      </w:r>
      <w:r>
        <w:rPr>
          <w:color w:val="231F20"/>
          <w:spacing w:val="30"/>
        </w:rPr>
        <w:t> </w:t>
      </w:r>
      <w:r>
        <w:rPr>
          <w:color w:val="231F20"/>
          <w:spacing w:val="2"/>
        </w:rPr>
        <w:t>instintivis-</w:t>
      </w:r>
    </w:p>
    <w:p>
      <w:pPr>
        <w:spacing w:after="0" w:line="249" w:lineRule="auto"/>
        <w:jc w:val="both"/>
        <w:sectPr>
          <w:headerReference w:type="default" r:id="rId185"/>
          <w:footerReference w:type="default" r:id="rId186"/>
          <w:pgSz w:w="7830" w:h="11910"/>
          <w:pgMar w:header="0" w:footer="424" w:top="500" w:bottom="620" w:left="920" w:right="900"/>
          <w:pgNumType w:start="8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2"/>
        <w:jc w:val="both"/>
      </w:pPr>
      <w:r>
        <w:rPr>
          <w:color w:val="231F20"/>
          <w:spacing w:val="2"/>
        </w:rPr>
        <w:t>mo </w:t>
      </w:r>
      <w:r>
        <w:rPr>
          <w:color w:val="231F20"/>
          <w:spacing w:val="3"/>
        </w:rPr>
        <w:t>(Fromm, </w:t>
      </w:r>
      <w:r>
        <w:rPr>
          <w:color w:val="231F20"/>
          <w:spacing w:val="2"/>
        </w:rPr>
        <w:t>1986:90), dado que </w:t>
      </w:r>
      <w:r>
        <w:rPr>
          <w:color w:val="231F20"/>
          <w:spacing w:val="3"/>
        </w:rPr>
        <w:t>incorpora </w:t>
      </w:r>
      <w:r>
        <w:rPr>
          <w:color w:val="231F20"/>
        </w:rPr>
        <w:t>la </w:t>
      </w:r>
      <w:r>
        <w:rPr>
          <w:color w:val="231F20"/>
          <w:spacing w:val="2"/>
        </w:rPr>
        <w:t>subjetividad </w:t>
      </w:r>
      <w:r>
        <w:rPr>
          <w:color w:val="231F20"/>
          <w:spacing w:val="3"/>
        </w:rPr>
        <w:t>como </w:t>
      </w:r>
      <w:r>
        <w:rPr>
          <w:color w:val="231F20"/>
        </w:rPr>
        <w:t>algo </w:t>
      </w:r>
      <w:r>
        <w:rPr>
          <w:color w:val="231F20"/>
          <w:spacing w:val="2"/>
        </w:rPr>
        <w:t>subyacente, </w:t>
      </w:r>
      <w:r>
        <w:rPr>
          <w:color w:val="231F20"/>
          <w:spacing w:val="3"/>
        </w:rPr>
        <w:t>como </w:t>
      </w:r>
      <w:r>
        <w:rPr>
          <w:color w:val="231F20"/>
          <w:spacing w:val="2"/>
        </w:rPr>
        <w:t>impulso </w:t>
      </w:r>
      <w:r>
        <w:rPr>
          <w:color w:val="231F20"/>
        </w:rPr>
        <w:t>que lleva a </w:t>
      </w:r>
      <w:r>
        <w:rPr>
          <w:color w:val="231F20"/>
          <w:spacing w:val="2"/>
        </w:rPr>
        <w:t>obrar </w:t>
      </w:r>
      <w:r>
        <w:rPr>
          <w:color w:val="231F20"/>
        </w:rPr>
        <w:t>de un </w:t>
      </w:r>
      <w:r>
        <w:rPr>
          <w:color w:val="231F20"/>
          <w:spacing w:val="3"/>
        </w:rPr>
        <w:t>modo determinado; </w:t>
      </w:r>
      <w:r>
        <w:rPr>
          <w:color w:val="231F20"/>
        </w:rPr>
        <w:t>y </w:t>
      </w:r>
      <w:r>
        <w:rPr>
          <w:color w:val="231F20"/>
          <w:spacing w:val="2"/>
        </w:rPr>
        <w:t>finalmente, una orientación crítica </w:t>
      </w:r>
      <w:r>
        <w:rPr>
          <w:color w:val="231F20"/>
          <w:spacing w:val="3"/>
        </w:rPr>
        <w:t>donde </w:t>
      </w:r>
      <w:r>
        <w:rPr>
          <w:color w:val="231F20"/>
        </w:rPr>
        <w:t>la </w:t>
      </w:r>
      <w:r>
        <w:rPr>
          <w:color w:val="231F20"/>
          <w:spacing w:val="3"/>
        </w:rPr>
        <w:t>vio- </w:t>
      </w:r>
      <w:r>
        <w:rPr>
          <w:color w:val="231F20"/>
          <w:spacing w:val="2"/>
        </w:rPr>
        <w:t>lencia </w:t>
      </w:r>
      <w:r>
        <w:rPr>
          <w:color w:val="231F20"/>
        </w:rPr>
        <w:t>se </w:t>
      </w:r>
      <w:r>
        <w:rPr>
          <w:color w:val="231F20"/>
          <w:spacing w:val="2"/>
        </w:rPr>
        <w:t>concibe </w:t>
      </w:r>
      <w:r>
        <w:rPr>
          <w:color w:val="231F20"/>
          <w:spacing w:val="3"/>
        </w:rPr>
        <w:t>como </w:t>
      </w:r>
      <w:r>
        <w:rPr>
          <w:color w:val="231F20"/>
          <w:spacing w:val="2"/>
        </w:rPr>
        <w:t>expresión </w:t>
      </w:r>
      <w:r>
        <w:rPr>
          <w:color w:val="231F20"/>
        </w:rPr>
        <w:t>de la </w:t>
      </w:r>
      <w:r>
        <w:rPr>
          <w:color w:val="231F20"/>
          <w:spacing w:val="2"/>
        </w:rPr>
        <w:t>irracionalidad del sistema social, </w:t>
      </w:r>
      <w:r>
        <w:rPr>
          <w:color w:val="231F20"/>
        </w:rPr>
        <w:t>de las </w:t>
      </w:r>
      <w:r>
        <w:rPr>
          <w:color w:val="231F20"/>
          <w:spacing w:val="3"/>
        </w:rPr>
        <w:t>formas </w:t>
      </w:r>
      <w:r>
        <w:rPr>
          <w:color w:val="231F20"/>
        </w:rPr>
        <w:t>de </w:t>
      </w:r>
      <w:r>
        <w:rPr>
          <w:color w:val="231F20"/>
          <w:spacing w:val="3"/>
        </w:rPr>
        <w:t>producción </w:t>
      </w:r>
      <w:r>
        <w:rPr>
          <w:color w:val="231F20"/>
        </w:rPr>
        <w:t>y de la </w:t>
      </w:r>
      <w:r>
        <w:rPr>
          <w:color w:val="231F20"/>
          <w:spacing w:val="2"/>
        </w:rPr>
        <w:t>organización política.  </w:t>
      </w:r>
      <w:r>
        <w:rPr>
          <w:color w:val="231F20"/>
        </w:rPr>
        <w:t>El </w:t>
      </w:r>
      <w:r>
        <w:rPr>
          <w:color w:val="231F20"/>
          <w:spacing w:val="2"/>
        </w:rPr>
        <w:t>punto </w:t>
      </w:r>
      <w:r>
        <w:rPr>
          <w:color w:val="231F20"/>
        </w:rPr>
        <w:t>de </w:t>
      </w:r>
      <w:r>
        <w:rPr>
          <w:color w:val="231F20"/>
          <w:spacing w:val="2"/>
        </w:rPr>
        <w:t>conexión entre </w:t>
      </w:r>
      <w:r>
        <w:rPr>
          <w:color w:val="231F20"/>
          <w:spacing w:val="3"/>
        </w:rPr>
        <w:t>conductismo </w:t>
      </w:r>
      <w:r>
        <w:rPr>
          <w:color w:val="231F20"/>
        </w:rPr>
        <w:t>e  </w:t>
      </w:r>
      <w:r>
        <w:rPr>
          <w:color w:val="231F20"/>
          <w:spacing w:val="2"/>
        </w:rPr>
        <w:t>instintivismo </w:t>
      </w:r>
      <w:r>
        <w:rPr>
          <w:color w:val="231F20"/>
        </w:rPr>
        <w:t>lo  </w:t>
      </w:r>
      <w:r>
        <w:rPr>
          <w:color w:val="231F20"/>
          <w:spacing w:val="2"/>
        </w:rPr>
        <w:t>ubica </w:t>
      </w:r>
      <w:r>
        <w:rPr>
          <w:color w:val="231F20"/>
        </w:rPr>
        <w:t>en </w:t>
      </w:r>
      <w:r>
        <w:rPr>
          <w:color w:val="231F20"/>
          <w:spacing w:val="2"/>
        </w:rPr>
        <w:t>“una premisa básica: que </w:t>
      </w:r>
      <w:r>
        <w:rPr>
          <w:color w:val="231F20"/>
        </w:rPr>
        <w:t>el </w:t>
      </w:r>
      <w:r>
        <w:rPr>
          <w:color w:val="231F20"/>
          <w:spacing w:val="3"/>
        </w:rPr>
        <w:t>hombre </w:t>
      </w:r>
      <w:r>
        <w:rPr>
          <w:color w:val="231F20"/>
        </w:rPr>
        <w:t>no </w:t>
      </w:r>
      <w:r>
        <w:rPr>
          <w:color w:val="231F20"/>
          <w:spacing w:val="2"/>
        </w:rPr>
        <w:t>tiene psique con estruc- tura </w:t>
      </w:r>
      <w:r>
        <w:rPr>
          <w:color w:val="231F20"/>
        </w:rPr>
        <w:t>y </w:t>
      </w:r>
      <w:r>
        <w:rPr>
          <w:color w:val="231F20"/>
          <w:spacing w:val="2"/>
        </w:rPr>
        <w:t>leyes propias” </w:t>
      </w:r>
      <w:r>
        <w:rPr>
          <w:color w:val="231F20"/>
          <w:spacing w:val="3"/>
        </w:rPr>
        <w:t>(Fromm,</w:t>
      </w:r>
      <w:r>
        <w:rPr>
          <w:color w:val="231F20"/>
          <w:spacing w:val="-35"/>
        </w:rPr>
        <w:t> </w:t>
      </w:r>
      <w:r>
        <w:rPr>
          <w:color w:val="231F20"/>
          <w:spacing w:val="3"/>
        </w:rPr>
        <w:t>1986:83).</w:t>
      </w:r>
    </w:p>
    <w:p>
      <w:pPr>
        <w:pStyle w:val="BodyText"/>
        <w:spacing w:line="247" w:lineRule="auto"/>
        <w:ind w:left="101" w:right="116" w:firstLine="284"/>
        <w:jc w:val="both"/>
      </w:pPr>
      <w:r>
        <w:rPr>
          <w:color w:val="231F20"/>
          <w:spacing w:val="3"/>
        </w:rPr>
        <w:t>Así </w:t>
      </w:r>
      <w:r>
        <w:rPr>
          <w:color w:val="231F20"/>
          <w:spacing w:val="4"/>
        </w:rPr>
        <w:t>pues, </w:t>
      </w:r>
      <w:r>
        <w:rPr>
          <w:color w:val="231F20"/>
          <w:spacing w:val="3"/>
        </w:rPr>
        <w:t>con </w:t>
      </w:r>
      <w:r>
        <w:rPr>
          <w:color w:val="231F20"/>
          <w:spacing w:val="4"/>
        </w:rPr>
        <w:t>Fromm </w:t>
      </w:r>
      <w:r>
        <w:rPr>
          <w:color w:val="231F20"/>
          <w:spacing w:val="2"/>
        </w:rPr>
        <w:t>se </w:t>
      </w:r>
      <w:r>
        <w:rPr>
          <w:color w:val="231F20"/>
          <w:spacing w:val="4"/>
        </w:rPr>
        <w:t>advierte </w:t>
      </w:r>
      <w:r>
        <w:rPr>
          <w:color w:val="231F20"/>
          <w:spacing w:val="3"/>
        </w:rPr>
        <w:t>que, </w:t>
      </w:r>
      <w:r>
        <w:rPr>
          <w:color w:val="231F20"/>
          <w:spacing w:val="2"/>
        </w:rPr>
        <w:t>en el </w:t>
      </w:r>
      <w:r>
        <w:rPr>
          <w:color w:val="231F20"/>
          <w:spacing w:val="4"/>
        </w:rPr>
        <w:t>desarrollo </w:t>
      </w:r>
      <w:r>
        <w:rPr>
          <w:color w:val="231F20"/>
          <w:spacing w:val="2"/>
        </w:rPr>
        <w:t>de </w:t>
      </w:r>
      <w:r>
        <w:rPr>
          <w:color w:val="231F20"/>
          <w:spacing w:val="4"/>
        </w:rPr>
        <w:t>las teorías respecto </w:t>
      </w:r>
      <w:r>
        <w:rPr>
          <w:color w:val="231F20"/>
        </w:rPr>
        <w:t>a la </w:t>
      </w:r>
      <w:r>
        <w:rPr>
          <w:color w:val="231F20"/>
          <w:spacing w:val="4"/>
        </w:rPr>
        <w:t>violencia </w:t>
      </w:r>
      <w:r>
        <w:rPr>
          <w:color w:val="231F20"/>
          <w:spacing w:val="2"/>
        </w:rPr>
        <w:t>se </w:t>
      </w:r>
      <w:r>
        <w:rPr>
          <w:color w:val="231F20"/>
          <w:spacing w:val="4"/>
        </w:rPr>
        <w:t>constata </w:t>
      </w:r>
      <w:r>
        <w:rPr>
          <w:color w:val="231F20"/>
          <w:spacing w:val="2"/>
        </w:rPr>
        <w:t>un </w:t>
      </w:r>
      <w:r>
        <w:rPr>
          <w:color w:val="231F20"/>
          <w:spacing w:val="4"/>
        </w:rPr>
        <w:t>continuo </w:t>
      </w:r>
      <w:r>
        <w:rPr>
          <w:color w:val="231F20"/>
          <w:spacing w:val="5"/>
        </w:rPr>
        <w:t>desplaza- </w:t>
      </w:r>
      <w:r>
        <w:rPr>
          <w:color w:val="231F20"/>
          <w:spacing w:val="4"/>
        </w:rPr>
        <w:t>miento </w:t>
      </w:r>
      <w:r>
        <w:rPr>
          <w:color w:val="231F20"/>
          <w:spacing w:val="3"/>
        </w:rPr>
        <w:t>de las </w:t>
      </w:r>
      <w:r>
        <w:rPr>
          <w:color w:val="231F20"/>
          <w:spacing w:val="4"/>
        </w:rPr>
        <w:t>cuestiones epistemológicas </w:t>
      </w:r>
      <w:r>
        <w:rPr>
          <w:color w:val="231F20"/>
          <w:spacing w:val="3"/>
        </w:rPr>
        <w:t>de las </w:t>
      </w:r>
      <w:r>
        <w:rPr>
          <w:color w:val="231F20"/>
          <w:spacing w:val="4"/>
        </w:rPr>
        <w:t>valoraciones éticas, pues </w:t>
      </w:r>
      <w:r>
        <w:rPr>
          <w:color w:val="231F20"/>
          <w:spacing w:val="3"/>
        </w:rPr>
        <w:t>con </w:t>
      </w:r>
      <w:r>
        <w:rPr>
          <w:color w:val="231F20"/>
          <w:spacing w:val="4"/>
        </w:rPr>
        <w:t>ellas </w:t>
      </w:r>
      <w:r>
        <w:rPr>
          <w:color w:val="231F20"/>
          <w:spacing w:val="2"/>
        </w:rPr>
        <w:t>se </w:t>
      </w:r>
      <w:r>
        <w:rPr>
          <w:color w:val="231F20"/>
          <w:spacing w:val="4"/>
        </w:rPr>
        <w:t>pretende desterrar pasiones </w:t>
      </w:r>
      <w:r>
        <w:rPr>
          <w:color w:val="231F20"/>
        </w:rPr>
        <w:t>y </w:t>
      </w:r>
      <w:r>
        <w:rPr>
          <w:color w:val="231F20"/>
          <w:spacing w:val="5"/>
        </w:rPr>
        <w:t>emocio- </w:t>
      </w:r>
      <w:r>
        <w:rPr>
          <w:color w:val="231F20"/>
          <w:spacing w:val="4"/>
        </w:rPr>
        <w:t>nes; </w:t>
      </w:r>
      <w:r>
        <w:rPr>
          <w:color w:val="231F20"/>
          <w:spacing w:val="2"/>
        </w:rPr>
        <w:t>en </w:t>
      </w:r>
      <w:r>
        <w:rPr>
          <w:color w:val="231F20"/>
          <w:spacing w:val="4"/>
        </w:rPr>
        <w:t>realidad, </w:t>
      </w:r>
      <w:r>
        <w:rPr>
          <w:color w:val="231F20"/>
          <w:spacing w:val="2"/>
        </w:rPr>
        <w:t>en </w:t>
      </w:r>
      <w:r>
        <w:rPr>
          <w:color w:val="231F20"/>
          <w:spacing w:val="3"/>
        </w:rPr>
        <w:t>esas </w:t>
      </w:r>
      <w:r>
        <w:rPr>
          <w:color w:val="231F20"/>
          <w:spacing w:val="4"/>
        </w:rPr>
        <w:t>teorías, </w:t>
      </w:r>
      <w:r>
        <w:rPr>
          <w:color w:val="231F20"/>
          <w:spacing w:val="3"/>
        </w:rPr>
        <w:t>está </w:t>
      </w:r>
      <w:r>
        <w:rPr>
          <w:color w:val="231F20"/>
          <w:spacing w:val="4"/>
        </w:rPr>
        <w:t>operando </w:t>
      </w:r>
      <w:r>
        <w:rPr>
          <w:color w:val="231F20"/>
          <w:spacing w:val="2"/>
        </w:rPr>
        <w:t>la </w:t>
      </w:r>
      <w:r>
        <w:rPr>
          <w:color w:val="231F20"/>
          <w:spacing w:val="4"/>
        </w:rPr>
        <w:t>pretensión </w:t>
      </w:r>
      <w:r>
        <w:rPr>
          <w:color w:val="231F20"/>
          <w:spacing w:val="3"/>
        </w:rPr>
        <w:t>de </w:t>
      </w:r>
      <w:r>
        <w:rPr>
          <w:color w:val="231F20"/>
          <w:spacing w:val="4"/>
        </w:rPr>
        <w:t>poder </w:t>
      </w:r>
      <w:r>
        <w:rPr>
          <w:color w:val="231F20"/>
        </w:rPr>
        <w:t>y </w:t>
      </w:r>
      <w:r>
        <w:rPr>
          <w:color w:val="231F20"/>
          <w:spacing w:val="2"/>
        </w:rPr>
        <w:t>se </w:t>
      </w:r>
      <w:r>
        <w:rPr>
          <w:color w:val="231F20"/>
          <w:spacing w:val="4"/>
        </w:rPr>
        <w:t>están expresando </w:t>
      </w:r>
      <w:r>
        <w:rPr>
          <w:color w:val="231F20"/>
          <w:spacing w:val="2"/>
        </w:rPr>
        <w:t>un </w:t>
      </w:r>
      <w:r>
        <w:rPr>
          <w:color w:val="231F20"/>
          <w:spacing w:val="4"/>
        </w:rPr>
        <w:t>conjunto </w:t>
      </w:r>
      <w:r>
        <w:rPr>
          <w:color w:val="231F20"/>
          <w:spacing w:val="3"/>
        </w:rPr>
        <w:t>de </w:t>
      </w:r>
      <w:r>
        <w:rPr>
          <w:color w:val="231F20"/>
          <w:spacing w:val="4"/>
        </w:rPr>
        <w:t>ideas acerca </w:t>
      </w:r>
      <w:r>
        <w:rPr>
          <w:color w:val="231F20"/>
          <w:spacing w:val="3"/>
        </w:rPr>
        <w:t>del </w:t>
      </w:r>
      <w:r>
        <w:rPr>
          <w:color w:val="231F20"/>
          <w:spacing w:val="5"/>
        </w:rPr>
        <w:t>hombre </w:t>
      </w:r>
      <w:r>
        <w:rPr>
          <w:color w:val="231F20"/>
          <w:spacing w:val="4"/>
        </w:rPr>
        <w:t>emergidas </w:t>
      </w:r>
      <w:r>
        <w:rPr>
          <w:color w:val="231F20"/>
          <w:spacing w:val="3"/>
        </w:rPr>
        <w:t>de las </w:t>
      </w:r>
      <w:r>
        <w:rPr>
          <w:color w:val="231F20"/>
          <w:spacing w:val="5"/>
        </w:rPr>
        <w:t>condiciones </w:t>
      </w:r>
      <w:r>
        <w:rPr>
          <w:color w:val="231F20"/>
          <w:spacing w:val="3"/>
        </w:rPr>
        <w:t>de </w:t>
      </w:r>
      <w:r>
        <w:rPr>
          <w:color w:val="231F20"/>
          <w:spacing w:val="4"/>
        </w:rPr>
        <w:t>desarrollo </w:t>
      </w:r>
      <w:r>
        <w:rPr>
          <w:color w:val="231F20"/>
          <w:spacing w:val="3"/>
        </w:rPr>
        <w:t>del </w:t>
      </w:r>
      <w:r>
        <w:rPr>
          <w:color w:val="231F20"/>
          <w:spacing w:val="4"/>
        </w:rPr>
        <w:t>capital,   </w:t>
      </w:r>
      <w:r>
        <w:rPr>
          <w:color w:val="231F20"/>
          <w:spacing w:val="2"/>
        </w:rPr>
        <w:t>ya </w:t>
      </w:r>
      <w:r>
        <w:rPr>
          <w:color w:val="231F20"/>
          <w:spacing w:val="4"/>
        </w:rPr>
        <w:t>que </w:t>
      </w:r>
      <w:r>
        <w:rPr>
          <w:color w:val="231F20"/>
          <w:spacing w:val="2"/>
        </w:rPr>
        <w:t>en </w:t>
      </w:r>
      <w:r>
        <w:rPr>
          <w:color w:val="231F20"/>
        </w:rPr>
        <w:t>la </w:t>
      </w:r>
      <w:r>
        <w:rPr>
          <w:color w:val="231F20"/>
          <w:spacing w:val="4"/>
        </w:rPr>
        <w:t>sociedad</w:t>
      </w:r>
      <w:r>
        <w:rPr>
          <w:color w:val="231F20"/>
          <w:spacing w:val="-12"/>
        </w:rPr>
        <w:t> </w:t>
      </w:r>
      <w:r>
        <w:rPr>
          <w:color w:val="231F20"/>
          <w:spacing w:val="4"/>
        </w:rPr>
        <w:t>actual:</w:t>
      </w:r>
    </w:p>
    <w:p>
      <w:pPr>
        <w:pStyle w:val="BodyText"/>
        <w:spacing w:before="8"/>
        <w:rPr>
          <w:sz w:val="23"/>
        </w:rPr>
      </w:pPr>
    </w:p>
    <w:p>
      <w:pPr>
        <w:spacing w:line="273" w:lineRule="auto" w:before="0"/>
        <w:ind w:left="810" w:right="164" w:firstLine="0"/>
        <w:jc w:val="both"/>
        <w:rPr>
          <w:sz w:val="19"/>
        </w:rPr>
      </w:pPr>
      <w:r>
        <w:rPr>
          <w:color w:val="231F20"/>
          <w:sz w:val="19"/>
        </w:rPr>
        <w:t>(…) El carácter mercantil todo [lo] transforma en artículo de comercio –no solo las cosas sino la persona misma, su energía física, sus destrezas, conocimientos, opiniones,  sentimientos  y aun sus sonrisas–. Este tipo caracterológico es un fenómeno his- tóricamente nuevo, ya que es el producto de un capitalismo ple- namente desarrollado que gira en torno al mercado –el mercado  de artículos de comercio, el mercado del trabajo y el mercado de personalidades– y cuyo principio es lograr un beneficio mediante un intercambio favorable” (Fromm,</w:t>
      </w:r>
      <w:r>
        <w:rPr>
          <w:color w:val="231F20"/>
          <w:spacing w:val="20"/>
          <w:sz w:val="19"/>
        </w:rPr>
        <w:t> </w:t>
      </w:r>
      <w:r>
        <w:rPr>
          <w:color w:val="231F20"/>
          <w:sz w:val="19"/>
        </w:rPr>
        <w:t>1986:347).</w:t>
      </w:r>
    </w:p>
    <w:p>
      <w:pPr>
        <w:pStyle w:val="BodyText"/>
        <w:spacing w:before="3"/>
        <w:rPr>
          <w:sz w:val="20"/>
        </w:rPr>
      </w:pPr>
    </w:p>
    <w:p>
      <w:pPr>
        <w:pStyle w:val="BodyText"/>
        <w:spacing w:line="249" w:lineRule="auto"/>
        <w:ind w:left="102" w:right="115" w:firstLine="284"/>
        <w:jc w:val="both"/>
      </w:pPr>
      <w:r>
        <w:rPr>
          <w:color w:val="231F20"/>
        </w:rPr>
        <w:t>Son</w:t>
      </w:r>
      <w:r>
        <w:rPr>
          <w:color w:val="231F20"/>
          <w:spacing w:val="-12"/>
        </w:rPr>
        <w:t> </w:t>
      </w:r>
      <w:r>
        <w:rPr>
          <w:color w:val="231F20"/>
        </w:rPr>
        <w:t>las</w:t>
      </w:r>
      <w:r>
        <w:rPr>
          <w:color w:val="231F20"/>
          <w:spacing w:val="-12"/>
        </w:rPr>
        <w:t> </w:t>
      </w:r>
      <w:r>
        <w:rPr>
          <w:color w:val="231F20"/>
        </w:rPr>
        <w:t>condiciones</w:t>
      </w:r>
      <w:r>
        <w:rPr>
          <w:color w:val="231F20"/>
          <w:spacing w:val="-12"/>
        </w:rPr>
        <w:t> </w:t>
      </w:r>
      <w:r>
        <w:rPr>
          <w:color w:val="231F20"/>
        </w:rPr>
        <w:t>materiales</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conjunto</w:t>
      </w:r>
      <w:r>
        <w:rPr>
          <w:color w:val="231F20"/>
          <w:spacing w:val="-12"/>
        </w:rPr>
        <w:t> </w:t>
      </w:r>
      <w:r>
        <w:rPr>
          <w:color w:val="231F20"/>
        </w:rPr>
        <w:t>de</w:t>
      </w:r>
      <w:r>
        <w:rPr>
          <w:color w:val="231F20"/>
          <w:spacing w:val="-12"/>
        </w:rPr>
        <w:t> </w:t>
      </w:r>
      <w:r>
        <w:rPr>
          <w:color w:val="231F20"/>
        </w:rPr>
        <w:t>ideas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forjan respecto a ellas las que se ponen en juego al formular las diversas teorías sociales y, son ellas, también, las que marcan el signo de los debates teóricos y permiten distinguir el interés que guía la produc- ción</w:t>
      </w:r>
      <w:r>
        <w:rPr>
          <w:color w:val="231F20"/>
          <w:spacing w:val="-5"/>
        </w:rPr>
        <w:t> </w:t>
      </w:r>
      <w:r>
        <w:rPr>
          <w:color w:val="231F20"/>
        </w:rPr>
        <w:t>de</w:t>
      </w:r>
      <w:r>
        <w:rPr>
          <w:color w:val="231F20"/>
          <w:spacing w:val="-5"/>
        </w:rPr>
        <w:t> </w:t>
      </w:r>
      <w:r>
        <w:rPr>
          <w:color w:val="231F20"/>
        </w:rPr>
        <w:t>conocimientos.</w:t>
      </w:r>
      <w:r>
        <w:rPr>
          <w:color w:val="231F20"/>
          <w:spacing w:val="-6"/>
        </w:rPr>
        <w:t> </w:t>
      </w:r>
      <w:r>
        <w:rPr>
          <w:color w:val="231F20"/>
        </w:rPr>
        <w:t>Esta</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condición</w:t>
      </w:r>
      <w:r>
        <w:rPr>
          <w:color w:val="231F20"/>
          <w:spacing w:val="-5"/>
        </w:rPr>
        <w:t> </w:t>
      </w:r>
      <w:r>
        <w:rPr>
          <w:color w:val="231F20"/>
        </w:rPr>
        <w:t>necesariapara</w:t>
      </w:r>
      <w:r>
        <w:rPr>
          <w:color w:val="231F20"/>
          <w:spacing w:val="-6"/>
        </w:rPr>
        <w:t> </w:t>
      </w:r>
      <w:r>
        <w:rPr>
          <w:color w:val="231F20"/>
        </w:rPr>
        <w:t>proceder</w:t>
      </w:r>
      <w:r>
        <w:rPr>
          <w:color w:val="231F20"/>
          <w:spacing w:val="-5"/>
        </w:rPr>
        <w:t> </w:t>
      </w:r>
      <w:r>
        <w:rPr>
          <w:color w:val="231F20"/>
        </w:rPr>
        <w:t>a formular, como hace Fromm, una crítica a las teorías que pretenden explicar</w:t>
      </w:r>
      <w:r>
        <w:rPr>
          <w:color w:val="231F20"/>
          <w:spacing w:val="-9"/>
        </w:rPr>
        <w:t> </w:t>
      </w:r>
      <w:r>
        <w:rPr>
          <w:color w:val="231F20"/>
        </w:rPr>
        <w:t>la</w:t>
      </w:r>
      <w:r>
        <w:rPr>
          <w:color w:val="231F20"/>
          <w:spacing w:val="-8"/>
        </w:rPr>
        <w:t> </w:t>
      </w:r>
      <w:r>
        <w:rPr>
          <w:color w:val="231F20"/>
        </w:rPr>
        <w:t>violencia</w:t>
      </w:r>
      <w:r>
        <w:rPr>
          <w:color w:val="231F20"/>
          <w:spacing w:val="-8"/>
        </w:rPr>
        <w:t> </w:t>
      </w:r>
      <w:r>
        <w:rPr>
          <w:color w:val="231F20"/>
        </w:rPr>
        <w:t>como</w:t>
      </w:r>
      <w:r>
        <w:rPr>
          <w:color w:val="231F20"/>
          <w:spacing w:val="-8"/>
        </w:rPr>
        <w:t> </w:t>
      </w:r>
      <w:r>
        <w:rPr>
          <w:color w:val="231F20"/>
        </w:rPr>
        <w:t>algo</w:t>
      </w:r>
      <w:r>
        <w:rPr>
          <w:color w:val="231F20"/>
          <w:spacing w:val="-8"/>
        </w:rPr>
        <w:t> </w:t>
      </w:r>
      <w:r>
        <w:rPr>
          <w:color w:val="231F20"/>
        </w:rPr>
        <w:t>innato,</w:t>
      </w:r>
      <w:r>
        <w:rPr>
          <w:color w:val="231F20"/>
          <w:spacing w:val="-9"/>
        </w:rPr>
        <w:t> </w:t>
      </w:r>
      <w:r>
        <w:rPr>
          <w:color w:val="231F20"/>
        </w:rPr>
        <w:t>instintivo,</w:t>
      </w:r>
      <w:r>
        <w:rPr>
          <w:color w:val="231F20"/>
          <w:spacing w:val="-11"/>
        </w:rPr>
        <w:t> </w:t>
      </w:r>
      <w:r>
        <w:rPr>
          <w:color w:val="231F20"/>
        </w:rPr>
        <w:t>que,</w:t>
      </w:r>
      <w:r>
        <w:rPr>
          <w:color w:val="231F20"/>
          <w:spacing w:val="-9"/>
        </w:rPr>
        <w:t> </w:t>
      </w:r>
      <w:r>
        <w:rPr>
          <w:color w:val="231F20"/>
        </w:rPr>
        <w:t>por</w:t>
      </w:r>
      <w:r>
        <w:rPr>
          <w:color w:val="231F20"/>
          <w:spacing w:val="-9"/>
        </w:rPr>
        <w:t> </w:t>
      </w:r>
      <w:r>
        <w:rPr>
          <w:color w:val="231F20"/>
        </w:rPr>
        <w:t>lo</w:t>
      </w:r>
      <w:r>
        <w:rPr>
          <w:color w:val="231F20"/>
          <w:spacing w:val="-8"/>
        </w:rPr>
        <w:t> </w:t>
      </w:r>
      <w:r>
        <w:rPr>
          <w:color w:val="231F20"/>
        </w:rPr>
        <w:t>tanto,</w:t>
      </w:r>
      <w:r>
        <w:rPr>
          <w:color w:val="231F20"/>
          <w:spacing w:val="-9"/>
        </w:rPr>
        <w:t> </w:t>
      </w:r>
      <w:r>
        <w:rPr>
          <w:color w:val="231F20"/>
        </w:rPr>
        <w:t>le permite cuestionar el equívoco en que se incurre para denominar, con la misma palabra actos que son distintos, como es el caso de la palabra agresión con la cual se alude a actos de protección, lo mismo que a actos destructivos o que expresan una impetuosidad. Así nos dice,</w:t>
      </w:r>
      <w:r>
        <w:rPr>
          <w:color w:val="231F20"/>
          <w:spacing w:val="-22"/>
        </w:rPr>
        <w:t> </w:t>
      </w:r>
      <w:r>
        <w:rPr>
          <w:color w:val="231F20"/>
        </w:rPr>
        <w:t>refiriéndose</w:t>
      </w:r>
      <w:r>
        <w:rPr>
          <w:color w:val="231F20"/>
          <w:spacing w:val="-22"/>
        </w:rPr>
        <w:t> </w:t>
      </w:r>
      <w:r>
        <w:rPr>
          <w:color w:val="231F20"/>
        </w:rPr>
        <w:t>a</w:t>
      </w:r>
      <w:r>
        <w:rPr>
          <w:color w:val="231F20"/>
          <w:spacing w:val="-22"/>
        </w:rPr>
        <w:t> </w:t>
      </w:r>
      <w:r>
        <w:rPr>
          <w:color w:val="231F20"/>
        </w:rPr>
        <w:t>Lorenz:</w:t>
      </w:r>
    </w:p>
    <w:p>
      <w:pPr>
        <w:spacing w:after="0" w:line="249" w:lineRule="auto"/>
        <w:jc w:val="both"/>
        <w:sectPr>
          <w:headerReference w:type="default" r:id="rId187"/>
          <w:footerReference w:type="default" r:id="rId188"/>
          <w:pgSz w:w="7830" w:h="11910"/>
          <w:pgMar w:header="0" w:footer="424" w:top="500" w:bottom="620" w:left="920" w:right="900"/>
          <w:pgNumType w:start="8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3" w:lineRule="auto" w:before="111"/>
        <w:ind w:left="810" w:right="162" w:firstLine="0"/>
        <w:jc w:val="both"/>
        <w:rPr>
          <w:sz w:val="19"/>
        </w:rPr>
      </w:pPr>
      <w:r>
        <w:rPr>
          <w:color w:val="231F20"/>
          <w:sz w:val="19"/>
        </w:rPr>
        <w:t>(…) Su concepto de agresión es originalmente el de un impulso biológicamente adaptativo, desarrollado por evolución, que sirve para la supervivencia del individuo y de la especie. Pero como ha aplicado también el nombre  de  ‘agresión’ al vehemente anhelo de derramar sangre y la crueldad, la conclusión es que todas esas pasiones irracionales son también innatas, y dado que se entien-  de que causa las guerras el placer de matar, la conclusión ulterior es que las guerras se deben a una tendencia destructiva innata de  la naturaleza humana (Fromm,</w:t>
      </w:r>
      <w:r>
        <w:rPr>
          <w:color w:val="231F20"/>
          <w:spacing w:val="-3"/>
          <w:sz w:val="19"/>
        </w:rPr>
        <w:t> </w:t>
      </w:r>
      <w:r>
        <w:rPr>
          <w:color w:val="231F20"/>
          <w:sz w:val="19"/>
        </w:rPr>
        <w:t>2004:14).</w:t>
      </w:r>
    </w:p>
    <w:p>
      <w:pPr>
        <w:pStyle w:val="BodyText"/>
        <w:spacing w:before="2"/>
        <w:rPr>
          <w:sz w:val="20"/>
        </w:rPr>
      </w:pPr>
    </w:p>
    <w:p>
      <w:pPr>
        <w:pStyle w:val="BodyText"/>
        <w:spacing w:line="249" w:lineRule="auto" w:before="1"/>
        <w:ind w:left="102" w:right="113" w:firstLine="284"/>
        <w:jc w:val="both"/>
      </w:pPr>
      <w:r>
        <w:rPr>
          <w:color w:val="231F20"/>
          <w:spacing w:val="3"/>
        </w:rPr>
        <w:t>Justamente </w:t>
      </w:r>
      <w:r>
        <w:rPr>
          <w:color w:val="231F20"/>
          <w:spacing w:val="2"/>
        </w:rPr>
        <w:t>allí </w:t>
      </w:r>
      <w:r>
        <w:rPr>
          <w:color w:val="231F20"/>
        </w:rPr>
        <w:t>se </w:t>
      </w:r>
      <w:r>
        <w:rPr>
          <w:color w:val="231F20"/>
          <w:spacing w:val="2"/>
        </w:rPr>
        <w:t>encuentra </w:t>
      </w:r>
      <w:r>
        <w:rPr>
          <w:color w:val="231F20"/>
        </w:rPr>
        <w:t>el </w:t>
      </w:r>
      <w:r>
        <w:rPr>
          <w:color w:val="231F20"/>
          <w:spacing w:val="2"/>
        </w:rPr>
        <w:t>vicio del </w:t>
      </w:r>
      <w:r>
        <w:rPr>
          <w:color w:val="231F20"/>
          <w:spacing w:val="3"/>
        </w:rPr>
        <w:t>razonamiento </w:t>
      </w:r>
      <w:r>
        <w:rPr>
          <w:color w:val="231F20"/>
        </w:rPr>
        <w:t>de </w:t>
      </w:r>
      <w:r>
        <w:rPr>
          <w:color w:val="231F20"/>
          <w:spacing w:val="3"/>
        </w:rPr>
        <w:t>las </w:t>
      </w:r>
      <w:r>
        <w:rPr>
          <w:color w:val="231F20"/>
          <w:spacing w:val="2"/>
        </w:rPr>
        <w:t>teorías psicológicas conductistas </w:t>
      </w:r>
      <w:r>
        <w:rPr>
          <w:color w:val="231F20"/>
        </w:rPr>
        <w:t>e </w:t>
      </w:r>
      <w:r>
        <w:rPr>
          <w:color w:val="231F20"/>
          <w:spacing w:val="2"/>
        </w:rPr>
        <w:t>institivistas, pues giran  </w:t>
      </w:r>
      <w:r>
        <w:rPr>
          <w:color w:val="231F20"/>
        </w:rPr>
        <w:t>en  </w:t>
      </w:r>
      <w:r>
        <w:rPr>
          <w:color w:val="231F20"/>
          <w:spacing w:val="2"/>
        </w:rPr>
        <w:t>torno </w:t>
      </w:r>
      <w:r>
        <w:rPr>
          <w:color w:val="231F20"/>
        </w:rPr>
        <w:t>al </w:t>
      </w:r>
      <w:r>
        <w:rPr>
          <w:color w:val="231F20"/>
          <w:spacing w:val="2"/>
        </w:rPr>
        <w:t>silogismo que considera </w:t>
      </w:r>
      <w:r>
        <w:rPr>
          <w:color w:val="231F20"/>
        </w:rPr>
        <w:t>la </w:t>
      </w:r>
      <w:r>
        <w:rPr>
          <w:color w:val="231F20"/>
          <w:spacing w:val="2"/>
        </w:rPr>
        <w:t>agresión </w:t>
      </w:r>
      <w:r>
        <w:rPr>
          <w:color w:val="231F20"/>
          <w:spacing w:val="3"/>
        </w:rPr>
        <w:t>como </w:t>
      </w:r>
      <w:r>
        <w:rPr>
          <w:color w:val="231F20"/>
          <w:spacing w:val="2"/>
        </w:rPr>
        <w:t>expresión </w:t>
      </w:r>
      <w:r>
        <w:rPr>
          <w:color w:val="231F20"/>
          <w:spacing w:val="3"/>
        </w:rPr>
        <w:t>bio- </w:t>
      </w:r>
      <w:r>
        <w:rPr>
          <w:color w:val="231F20"/>
          <w:spacing w:val="2"/>
        </w:rPr>
        <w:t>lógica </w:t>
      </w:r>
      <w:r>
        <w:rPr>
          <w:color w:val="231F20"/>
        </w:rPr>
        <w:t>de la </w:t>
      </w:r>
      <w:r>
        <w:rPr>
          <w:color w:val="231F20"/>
          <w:spacing w:val="3"/>
        </w:rPr>
        <w:t>adaptación, </w:t>
      </w:r>
      <w:r>
        <w:rPr>
          <w:color w:val="231F20"/>
        </w:rPr>
        <w:t>y </w:t>
      </w:r>
      <w:r>
        <w:rPr>
          <w:color w:val="231F20"/>
          <w:spacing w:val="2"/>
        </w:rPr>
        <w:t>terminan por </w:t>
      </w:r>
      <w:r>
        <w:rPr>
          <w:color w:val="231F20"/>
          <w:spacing w:val="3"/>
        </w:rPr>
        <w:t>suponer </w:t>
      </w:r>
      <w:r>
        <w:rPr>
          <w:color w:val="231F20"/>
        </w:rPr>
        <w:t>que la </w:t>
      </w:r>
      <w:r>
        <w:rPr>
          <w:color w:val="231F20"/>
          <w:spacing w:val="2"/>
        </w:rPr>
        <w:t>agresión </w:t>
      </w:r>
      <w:r>
        <w:rPr>
          <w:color w:val="231F20"/>
        </w:rPr>
        <w:t>es </w:t>
      </w:r>
      <w:r>
        <w:rPr>
          <w:color w:val="231F20"/>
          <w:spacing w:val="2"/>
        </w:rPr>
        <w:t>innata </w:t>
      </w:r>
      <w:r>
        <w:rPr>
          <w:color w:val="231F20"/>
        </w:rPr>
        <w:t>y, </w:t>
      </w:r>
      <w:r>
        <w:rPr>
          <w:color w:val="231F20"/>
          <w:spacing w:val="2"/>
        </w:rPr>
        <w:t>por tanto, </w:t>
      </w:r>
      <w:r>
        <w:rPr>
          <w:color w:val="231F20"/>
        </w:rPr>
        <w:t>la </w:t>
      </w:r>
      <w:r>
        <w:rPr>
          <w:color w:val="231F20"/>
          <w:spacing w:val="2"/>
        </w:rPr>
        <w:t>destructividad </w:t>
      </w:r>
      <w:r>
        <w:rPr>
          <w:color w:val="231F20"/>
        </w:rPr>
        <w:t>y </w:t>
      </w:r>
      <w:r>
        <w:rPr>
          <w:color w:val="231F20"/>
          <w:spacing w:val="2"/>
        </w:rPr>
        <w:t>crueldad </w:t>
      </w:r>
      <w:r>
        <w:rPr>
          <w:color w:val="231F20"/>
          <w:spacing w:val="3"/>
        </w:rPr>
        <w:t>humanas </w:t>
      </w:r>
      <w:r>
        <w:rPr>
          <w:color w:val="231F20"/>
          <w:spacing w:val="2"/>
        </w:rPr>
        <w:t>son </w:t>
      </w:r>
      <w:r>
        <w:rPr>
          <w:color w:val="231F20"/>
        </w:rPr>
        <w:t>agre- </w:t>
      </w:r>
      <w:r>
        <w:rPr>
          <w:color w:val="231F20"/>
          <w:spacing w:val="2"/>
        </w:rPr>
        <w:t>sión, </w:t>
      </w:r>
      <w:r>
        <w:rPr>
          <w:color w:val="231F20"/>
        </w:rPr>
        <w:t>en </w:t>
      </w:r>
      <w:r>
        <w:rPr>
          <w:color w:val="231F20"/>
          <w:spacing w:val="2"/>
        </w:rPr>
        <w:t>consecuencia resultan innatas. Con </w:t>
      </w:r>
      <w:r>
        <w:rPr>
          <w:color w:val="231F20"/>
        </w:rPr>
        <w:t>esa </w:t>
      </w:r>
      <w:r>
        <w:rPr>
          <w:color w:val="231F20"/>
          <w:spacing w:val="3"/>
        </w:rPr>
        <w:t>forma </w:t>
      </w:r>
      <w:r>
        <w:rPr>
          <w:color w:val="231F20"/>
        </w:rPr>
        <w:t>de </w:t>
      </w:r>
      <w:r>
        <w:rPr>
          <w:color w:val="231F20"/>
          <w:spacing w:val="3"/>
        </w:rPr>
        <w:t>razona- </w:t>
      </w:r>
      <w:r>
        <w:rPr>
          <w:color w:val="231F20"/>
          <w:spacing w:val="2"/>
        </w:rPr>
        <w:t>miento </w:t>
      </w:r>
      <w:r>
        <w:rPr>
          <w:color w:val="231F20"/>
        </w:rPr>
        <w:t>se </w:t>
      </w:r>
      <w:r>
        <w:rPr>
          <w:color w:val="231F20"/>
          <w:spacing w:val="2"/>
        </w:rPr>
        <w:t>diluye </w:t>
      </w:r>
      <w:r>
        <w:rPr>
          <w:color w:val="231F20"/>
        </w:rPr>
        <w:t>la </w:t>
      </w:r>
      <w:r>
        <w:rPr>
          <w:color w:val="231F20"/>
          <w:spacing w:val="2"/>
        </w:rPr>
        <w:t>comprensión </w:t>
      </w:r>
      <w:r>
        <w:rPr>
          <w:color w:val="231F20"/>
        </w:rPr>
        <w:t>de las </w:t>
      </w:r>
      <w:r>
        <w:rPr>
          <w:color w:val="231F20"/>
          <w:spacing w:val="2"/>
        </w:rPr>
        <w:t>causas </w:t>
      </w:r>
      <w:r>
        <w:rPr>
          <w:color w:val="231F20"/>
        </w:rPr>
        <w:t>de la </w:t>
      </w:r>
      <w:r>
        <w:rPr>
          <w:color w:val="231F20"/>
          <w:spacing w:val="2"/>
        </w:rPr>
        <w:t>agresión, </w:t>
      </w:r>
      <w:r>
        <w:rPr>
          <w:color w:val="231F20"/>
        </w:rPr>
        <w:t>de  allí, </w:t>
      </w:r>
      <w:r>
        <w:rPr>
          <w:color w:val="231F20"/>
          <w:spacing w:val="3"/>
        </w:rPr>
        <w:t>entonces </w:t>
      </w:r>
      <w:r>
        <w:rPr>
          <w:color w:val="231F20"/>
          <w:spacing w:val="2"/>
        </w:rPr>
        <w:t>que, aunque </w:t>
      </w:r>
      <w:r>
        <w:rPr>
          <w:color w:val="231F20"/>
        </w:rPr>
        <w:t>las </w:t>
      </w:r>
      <w:r>
        <w:rPr>
          <w:color w:val="231F20"/>
          <w:spacing w:val="3"/>
        </w:rPr>
        <w:t>preocupaciones </w:t>
      </w:r>
      <w:r>
        <w:rPr>
          <w:color w:val="231F20"/>
          <w:spacing w:val="2"/>
        </w:rPr>
        <w:t>por </w:t>
      </w:r>
      <w:r>
        <w:rPr>
          <w:color w:val="231F20"/>
        </w:rPr>
        <w:t>la </w:t>
      </w:r>
      <w:r>
        <w:rPr>
          <w:color w:val="231F20"/>
          <w:spacing w:val="2"/>
        </w:rPr>
        <w:t>violencia </w:t>
      </w:r>
      <w:r>
        <w:rPr>
          <w:color w:val="231F20"/>
        </w:rPr>
        <w:t>y la </w:t>
      </w:r>
      <w:r>
        <w:rPr>
          <w:color w:val="231F20"/>
          <w:spacing w:val="2"/>
        </w:rPr>
        <w:t>destructividad </w:t>
      </w:r>
      <w:r>
        <w:rPr>
          <w:color w:val="231F20"/>
        </w:rPr>
        <w:t>se </w:t>
      </w:r>
      <w:r>
        <w:rPr>
          <w:color w:val="231F20"/>
          <w:spacing w:val="2"/>
        </w:rPr>
        <w:t>han </w:t>
      </w:r>
      <w:r>
        <w:rPr>
          <w:color w:val="231F20"/>
          <w:spacing w:val="3"/>
        </w:rPr>
        <w:t>incrementado, </w:t>
      </w:r>
      <w:r>
        <w:rPr>
          <w:color w:val="231F20"/>
        </w:rPr>
        <w:t>es </w:t>
      </w:r>
      <w:r>
        <w:rPr>
          <w:color w:val="231F20"/>
          <w:spacing w:val="2"/>
        </w:rPr>
        <w:t>posible advertir que tales </w:t>
      </w:r>
      <w:r>
        <w:rPr>
          <w:color w:val="231F20"/>
          <w:spacing w:val="3"/>
        </w:rPr>
        <w:t>preocupaciones, históricamente, </w:t>
      </w:r>
      <w:r>
        <w:rPr>
          <w:color w:val="231F20"/>
          <w:spacing w:val="2"/>
        </w:rPr>
        <w:t>han transitado por los </w:t>
      </w:r>
      <w:r>
        <w:rPr>
          <w:color w:val="231F20"/>
          <w:spacing w:val="3"/>
        </w:rPr>
        <w:t>temores </w:t>
      </w:r>
      <w:r>
        <w:rPr>
          <w:color w:val="231F20"/>
        </w:rPr>
        <w:t>a   la </w:t>
      </w:r>
      <w:r>
        <w:rPr>
          <w:color w:val="231F20"/>
          <w:spacing w:val="2"/>
        </w:rPr>
        <w:t>guerra </w:t>
      </w:r>
      <w:r>
        <w:rPr>
          <w:color w:val="231F20"/>
        </w:rPr>
        <w:t>a </w:t>
      </w:r>
      <w:r>
        <w:rPr>
          <w:color w:val="231F20"/>
          <w:spacing w:val="2"/>
        </w:rPr>
        <w:t>partir </w:t>
      </w:r>
      <w:r>
        <w:rPr>
          <w:color w:val="231F20"/>
        </w:rPr>
        <w:t>de </w:t>
      </w:r>
      <w:r>
        <w:rPr>
          <w:color w:val="231F20"/>
          <w:spacing w:val="2"/>
        </w:rPr>
        <w:t>los años sesenta,–bajo </w:t>
      </w:r>
      <w:r>
        <w:rPr>
          <w:color w:val="231F20"/>
        </w:rPr>
        <w:t>un </w:t>
      </w:r>
      <w:r>
        <w:rPr>
          <w:color w:val="231F20"/>
          <w:spacing w:val="2"/>
        </w:rPr>
        <w:t>signo teórico </w:t>
      </w:r>
      <w:r>
        <w:rPr>
          <w:color w:val="231F20"/>
          <w:spacing w:val="3"/>
        </w:rPr>
        <w:t>domi- </w:t>
      </w:r>
      <w:r>
        <w:rPr>
          <w:color w:val="231F20"/>
          <w:spacing w:val="2"/>
        </w:rPr>
        <w:t>nante </w:t>
      </w:r>
      <w:r>
        <w:rPr>
          <w:color w:val="231F20"/>
        </w:rPr>
        <w:t>que </w:t>
      </w:r>
      <w:r>
        <w:rPr>
          <w:color w:val="231F20"/>
          <w:spacing w:val="2"/>
        </w:rPr>
        <w:t>coloca </w:t>
      </w:r>
      <w:r>
        <w:rPr>
          <w:color w:val="231F20"/>
        </w:rPr>
        <w:t>el </w:t>
      </w:r>
      <w:r>
        <w:rPr>
          <w:color w:val="231F20"/>
          <w:spacing w:val="2"/>
        </w:rPr>
        <w:t>énfasis </w:t>
      </w:r>
      <w:r>
        <w:rPr>
          <w:color w:val="231F20"/>
        </w:rPr>
        <w:t>en el  </w:t>
      </w:r>
      <w:r>
        <w:rPr>
          <w:color w:val="231F20"/>
          <w:spacing w:val="2"/>
        </w:rPr>
        <w:t>estudio  </w:t>
      </w:r>
      <w:r>
        <w:rPr>
          <w:color w:val="231F20"/>
        </w:rPr>
        <w:t>del  </w:t>
      </w:r>
      <w:r>
        <w:rPr>
          <w:color w:val="231F20"/>
          <w:spacing w:val="3"/>
        </w:rPr>
        <w:t>comportamiento– </w:t>
      </w:r>
      <w:r>
        <w:rPr>
          <w:color w:val="231F20"/>
          <w:spacing w:val="2"/>
        </w:rPr>
        <w:t>pero </w:t>
      </w:r>
      <w:r>
        <w:rPr>
          <w:color w:val="231F20"/>
        </w:rPr>
        <w:t>que </w:t>
      </w:r>
      <w:r>
        <w:rPr>
          <w:color w:val="231F20"/>
          <w:spacing w:val="3"/>
        </w:rPr>
        <w:t>terminaron </w:t>
      </w:r>
      <w:r>
        <w:rPr>
          <w:color w:val="231F20"/>
        </w:rPr>
        <w:t>en la </w:t>
      </w:r>
      <w:r>
        <w:rPr>
          <w:color w:val="231F20"/>
          <w:spacing w:val="2"/>
        </w:rPr>
        <w:t>ideología “que </w:t>
      </w:r>
      <w:r>
        <w:rPr>
          <w:color w:val="231F20"/>
          <w:spacing w:val="3"/>
        </w:rPr>
        <w:t>contribuye </w:t>
      </w:r>
      <w:r>
        <w:rPr>
          <w:color w:val="231F20"/>
        </w:rPr>
        <w:t>a </w:t>
      </w:r>
      <w:r>
        <w:rPr>
          <w:color w:val="231F20"/>
          <w:spacing w:val="2"/>
        </w:rPr>
        <w:t>calmar </w:t>
      </w:r>
      <w:r>
        <w:rPr>
          <w:color w:val="231F20"/>
        </w:rPr>
        <w:t>el </w:t>
      </w:r>
      <w:r>
        <w:rPr>
          <w:color w:val="231F20"/>
          <w:spacing w:val="3"/>
        </w:rPr>
        <w:t>temor </w:t>
      </w:r>
      <w:r>
        <w:rPr>
          <w:color w:val="231F20"/>
        </w:rPr>
        <w:t>de lo </w:t>
      </w:r>
      <w:r>
        <w:rPr>
          <w:color w:val="231F20"/>
          <w:spacing w:val="2"/>
        </w:rPr>
        <w:t>que sucederá </w:t>
      </w:r>
      <w:r>
        <w:rPr>
          <w:color w:val="231F20"/>
        </w:rPr>
        <w:t>y a </w:t>
      </w:r>
      <w:r>
        <w:rPr>
          <w:color w:val="231F20"/>
          <w:spacing w:val="2"/>
        </w:rPr>
        <w:t>racionalizar </w:t>
      </w:r>
      <w:r>
        <w:rPr>
          <w:color w:val="231F20"/>
        </w:rPr>
        <w:t>la </w:t>
      </w:r>
      <w:r>
        <w:rPr>
          <w:color w:val="231F20"/>
          <w:spacing w:val="2"/>
        </w:rPr>
        <w:t>sensación </w:t>
      </w:r>
      <w:r>
        <w:rPr>
          <w:color w:val="231F20"/>
        </w:rPr>
        <w:t>de </w:t>
      </w:r>
      <w:r>
        <w:rPr>
          <w:color w:val="231F20"/>
          <w:spacing w:val="3"/>
        </w:rPr>
        <w:t>impoten- </w:t>
      </w:r>
      <w:r>
        <w:rPr>
          <w:color w:val="231F20"/>
        </w:rPr>
        <w:t>cia” </w:t>
      </w:r>
      <w:r>
        <w:rPr>
          <w:color w:val="231F20"/>
          <w:spacing w:val="3"/>
        </w:rPr>
        <w:t>(Fromm, </w:t>
      </w:r>
      <w:r>
        <w:rPr>
          <w:color w:val="231F20"/>
          <w:spacing w:val="2"/>
        </w:rPr>
        <w:t>2004:16-17), </w:t>
      </w:r>
      <w:r>
        <w:rPr>
          <w:color w:val="231F20"/>
        </w:rPr>
        <w:t>de allí que </w:t>
      </w:r>
      <w:r>
        <w:rPr>
          <w:color w:val="231F20"/>
          <w:spacing w:val="3"/>
        </w:rPr>
        <w:t>proponga </w:t>
      </w:r>
      <w:r>
        <w:rPr>
          <w:color w:val="231F20"/>
          <w:spacing w:val="2"/>
        </w:rPr>
        <w:t>“analizar </w:t>
      </w:r>
      <w:r>
        <w:rPr>
          <w:color w:val="231F20"/>
        </w:rPr>
        <w:t>la </w:t>
      </w:r>
      <w:r>
        <w:rPr>
          <w:color w:val="231F20"/>
          <w:spacing w:val="3"/>
        </w:rPr>
        <w:t>irra- </w:t>
      </w:r>
      <w:r>
        <w:rPr>
          <w:color w:val="231F20"/>
          <w:spacing w:val="2"/>
        </w:rPr>
        <w:t>cionalidad </w:t>
      </w:r>
      <w:r>
        <w:rPr>
          <w:color w:val="231F20"/>
        </w:rPr>
        <w:t>de </w:t>
      </w:r>
      <w:r>
        <w:rPr>
          <w:color w:val="231F20"/>
          <w:spacing w:val="2"/>
        </w:rPr>
        <w:t>nuestro sistema social </w:t>
      </w:r>
      <w:r>
        <w:rPr>
          <w:color w:val="231F20"/>
        </w:rPr>
        <w:t>y a </w:t>
      </w:r>
      <w:r>
        <w:rPr>
          <w:color w:val="231F20"/>
          <w:spacing w:val="2"/>
        </w:rPr>
        <w:t>violar los tabúes que </w:t>
      </w:r>
      <w:r>
        <w:rPr>
          <w:color w:val="231F20"/>
        </w:rPr>
        <w:t>se </w:t>
      </w:r>
      <w:r>
        <w:rPr>
          <w:color w:val="231F20"/>
          <w:spacing w:val="2"/>
        </w:rPr>
        <w:t>ocultan detrás </w:t>
      </w:r>
      <w:r>
        <w:rPr>
          <w:color w:val="231F20"/>
        </w:rPr>
        <w:t>de </w:t>
      </w:r>
      <w:r>
        <w:rPr>
          <w:color w:val="231F20"/>
          <w:spacing w:val="2"/>
        </w:rPr>
        <w:t>palabras graves, </w:t>
      </w:r>
      <w:r>
        <w:rPr>
          <w:color w:val="231F20"/>
          <w:spacing w:val="3"/>
        </w:rPr>
        <w:t>como </w:t>
      </w:r>
      <w:r>
        <w:rPr>
          <w:color w:val="231F20"/>
          <w:spacing w:val="2"/>
        </w:rPr>
        <w:t>‘defensa’, </w:t>
      </w:r>
      <w:r>
        <w:rPr>
          <w:color w:val="231F20"/>
          <w:spacing w:val="3"/>
        </w:rPr>
        <w:t>‘honor’ </w:t>
      </w:r>
      <w:r>
        <w:rPr>
          <w:color w:val="231F20"/>
        </w:rPr>
        <w:t>y </w:t>
      </w:r>
      <w:r>
        <w:rPr>
          <w:color w:val="231F20"/>
          <w:spacing w:val="3"/>
        </w:rPr>
        <w:t>‘pa- </w:t>
      </w:r>
      <w:r>
        <w:rPr>
          <w:color w:val="231F20"/>
          <w:spacing w:val="2"/>
        </w:rPr>
        <w:t>triotismo’. Nada </w:t>
      </w:r>
      <w:r>
        <w:rPr>
          <w:color w:val="231F20"/>
        </w:rPr>
        <w:t>que no sea un </w:t>
      </w:r>
      <w:r>
        <w:rPr>
          <w:color w:val="231F20"/>
          <w:spacing w:val="2"/>
        </w:rPr>
        <w:t>análisis </w:t>
      </w:r>
      <w:r>
        <w:rPr>
          <w:color w:val="231F20"/>
        </w:rPr>
        <w:t>en </w:t>
      </w:r>
      <w:r>
        <w:rPr>
          <w:color w:val="231F20"/>
          <w:spacing w:val="2"/>
        </w:rPr>
        <w:t>profundidad </w:t>
      </w:r>
      <w:r>
        <w:rPr>
          <w:color w:val="231F20"/>
        </w:rPr>
        <w:t>de </w:t>
      </w:r>
      <w:r>
        <w:rPr>
          <w:color w:val="231F20"/>
          <w:spacing w:val="2"/>
        </w:rPr>
        <w:t>nuestro sistema social puede revelar </w:t>
      </w:r>
      <w:r>
        <w:rPr>
          <w:color w:val="231F20"/>
        </w:rPr>
        <w:t>las </w:t>
      </w:r>
      <w:r>
        <w:rPr>
          <w:color w:val="231F20"/>
          <w:spacing w:val="2"/>
        </w:rPr>
        <w:t>razones </w:t>
      </w:r>
      <w:r>
        <w:rPr>
          <w:color w:val="231F20"/>
        </w:rPr>
        <w:t>de ese </w:t>
      </w:r>
      <w:r>
        <w:rPr>
          <w:color w:val="231F20"/>
          <w:spacing w:val="3"/>
        </w:rPr>
        <w:t>incremento </w:t>
      </w:r>
      <w:r>
        <w:rPr>
          <w:color w:val="231F20"/>
        </w:rPr>
        <w:t>de </w:t>
      </w:r>
      <w:r>
        <w:rPr>
          <w:color w:val="231F20"/>
          <w:spacing w:val="2"/>
        </w:rPr>
        <w:t>destructividad </w:t>
      </w:r>
      <w:r>
        <w:rPr>
          <w:color w:val="231F20"/>
        </w:rPr>
        <w:t>o </w:t>
      </w:r>
      <w:r>
        <w:rPr>
          <w:color w:val="231F20"/>
          <w:spacing w:val="2"/>
        </w:rPr>
        <w:t>sugerir </w:t>
      </w:r>
      <w:r>
        <w:rPr>
          <w:color w:val="231F20"/>
          <w:spacing w:val="3"/>
        </w:rPr>
        <w:t>modos </w:t>
      </w:r>
      <w:r>
        <w:rPr>
          <w:color w:val="231F20"/>
        </w:rPr>
        <w:t>y </w:t>
      </w:r>
      <w:r>
        <w:rPr>
          <w:color w:val="231F20"/>
          <w:spacing w:val="3"/>
        </w:rPr>
        <w:t>medios </w:t>
      </w:r>
      <w:r>
        <w:rPr>
          <w:color w:val="231F20"/>
        </w:rPr>
        <w:t>de </w:t>
      </w:r>
      <w:r>
        <w:rPr>
          <w:color w:val="231F20"/>
          <w:spacing w:val="2"/>
        </w:rPr>
        <w:t>reducirlo” </w:t>
      </w:r>
      <w:r>
        <w:rPr>
          <w:color w:val="231F20"/>
          <w:spacing w:val="3"/>
        </w:rPr>
        <w:t>(Fromm, </w:t>
      </w:r>
      <w:r>
        <w:rPr>
          <w:color w:val="231F20"/>
          <w:spacing w:val="2"/>
        </w:rPr>
        <w:t>2004:17), pero justo </w:t>
      </w:r>
      <w:r>
        <w:rPr>
          <w:color w:val="231F20"/>
        </w:rPr>
        <w:t>allí es </w:t>
      </w:r>
      <w:r>
        <w:rPr>
          <w:color w:val="231F20"/>
          <w:spacing w:val="3"/>
        </w:rPr>
        <w:t>donde </w:t>
      </w:r>
      <w:r>
        <w:rPr>
          <w:color w:val="231F20"/>
          <w:spacing w:val="2"/>
        </w:rPr>
        <w:t>advierte </w:t>
      </w:r>
      <w:r>
        <w:rPr>
          <w:color w:val="231F20"/>
        </w:rPr>
        <w:t>un </w:t>
      </w:r>
      <w:r>
        <w:rPr>
          <w:color w:val="231F20"/>
          <w:spacing w:val="2"/>
        </w:rPr>
        <w:t>obstáculo </w:t>
      </w:r>
      <w:r>
        <w:rPr>
          <w:color w:val="231F20"/>
        </w:rPr>
        <w:t>en el te- </w:t>
      </w:r>
      <w:r>
        <w:rPr>
          <w:color w:val="231F20"/>
          <w:spacing w:val="2"/>
        </w:rPr>
        <w:t>rreno </w:t>
      </w:r>
      <w:r>
        <w:rPr>
          <w:color w:val="231F20"/>
          <w:spacing w:val="3"/>
        </w:rPr>
        <w:t>mismo </w:t>
      </w:r>
      <w:r>
        <w:rPr>
          <w:color w:val="231F20"/>
        </w:rPr>
        <w:t>de la </w:t>
      </w:r>
      <w:r>
        <w:rPr>
          <w:color w:val="231F20"/>
          <w:spacing w:val="2"/>
        </w:rPr>
        <w:t>teoría, pues con </w:t>
      </w:r>
      <w:r>
        <w:rPr>
          <w:color w:val="231F20"/>
        </w:rPr>
        <w:t>el </w:t>
      </w:r>
      <w:r>
        <w:rPr>
          <w:color w:val="231F20"/>
          <w:spacing w:val="2"/>
        </w:rPr>
        <w:t>desarrollo </w:t>
      </w:r>
      <w:r>
        <w:rPr>
          <w:color w:val="231F20"/>
        </w:rPr>
        <w:t>de “la </w:t>
      </w:r>
      <w:r>
        <w:rPr>
          <w:color w:val="231F20"/>
          <w:spacing w:val="2"/>
        </w:rPr>
        <w:t>teoría ins- tintivista </w:t>
      </w:r>
      <w:r>
        <w:rPr>
          <w:color w:val="231F20"/>
        </w:rPr>
        <w:t>se </w:t>
      </w:r>
      <w:r>
        <w:rPr>
          <w:color w:val="231F20"/>
          <w:spacing w:val="2"/>
        </w:rPr>
        <w:t>ofrece </w:t>
      </w:r>
      <w:r>
        <w:rPr>
          <w:color w:val="231F20"/>
        </w:rPr>
        <w:t>a </w:t>
      </w:r>
      <w:r>
        <w:rPr>
          <w:color w:val="231F20"/>
          <w:spacing w:val="3"/>
        </w:rPr>
        <w:t>ahorrarnos </w:t>
      </w:r>
      <w:r>
        <w:rPr>
          <w:color w:val="231F20"/>
        </w:rPr>
        <w:t>la </w:t>
      </w:r>
      <w:r>
        <w:rPr>
          <w:color w:val="231F20"/>
          <w:spacing w:val="2"/>
        </w:rPr>
        <w:t>pesada labor </w:t>
      </w:r>
      <w:r>
        <w:rPr>
          <w:color w:val="231F20"/>
        </w:rPr>
        <w:t>de </w:t>
      </w:r>
      <w:r>
        <w:rPr>
          <w:color w:val="231F20"/>
          <w:spacing w:val="2"/>
        </w:rPr>
        <w:t>realizar </w:t>
      </w:r>
      <w:r>
        <w:rPr>
          <w:color w:val="231F20"/>
        </w:rPr>
        <w:t>ese </w:t>
      </w:r>
      <w:r>
        <w:rPr>
          <w:color w:val="231F20"/>
          <w:spacing w:val="2"/>
        </w:rPr>
        <w:t>análisis. Implica que, aunque todo deba perecer, </w:t>
      </w:r>
      <w:r>
        <w:rPr>
          <w:color w:val="231F20"/>
          <w:spacing w:val="3"/>
        </w:rPr>
        <w:t>podemos </w:t>
      </w:r>
      <w:r>
        <w:rPr>
          <w:color w:val="231F20"/>
        </w:rPr>
        <w:t>al </w:t>
      </w:r>
      <w:r>
        <w:rPr>
          <w:color w:val="231F20"/>
          <w:spacing w:val="3"/>
        </w:rPr>
        <w:t>me- </w:t>
      </w:r>
      <w:r>
        <w:rPr>
          <w:color w:val="231F20"/>
          <w:spacing w:val="2"/>
        </w:rPr>
        <w:t>nos hacerlo con </w:t>
      </w:r>
      <w:r>
        <w:rPr>
          <w:color w:val="231F20"/>
        </w:rPr>
        <w:t>la </w:t>
      </w:r>
      <w:r>
        <w:rPr>
          <w:color w:val="231F20"/>
          <w:spacing w:val="2"/>
        </w:rPr>
        <w:t>convicción </w:t>
      </w:r>
      <w:r>
        <w:rPr>
          <w:color w:val="231F20"/>
        </w:rPr>
        <w:t>de que </w:t>
      </w:r>
      <w:r>
        <w:rPr>
          <w:color w:val="231F20"/>
          <w:spacing w:val="2"/>
        </w:rPr>
        <w:t>nuestra ‘naturaleza’ nos </w:t>
      </w:r>
      <w:r>
        <w:rPr>
          <w:color w:val="231F20"/>
          <w:spacing w:val="3"/>
        </w:rPr>
        <w:t>impuso </w:t>
      </w:r>
      <w:r>
        <w:rPr>
          <w:color w:val="231F20"/>
        </w:rPr>
        <w:t>ese </w:t>
      </w:r>
      <w:r>
        <w:rPr>
          <w:color w:val="231F20"/>
          <w:spacing w:val="2"/>
        </w:rPr>
        <w:t>destino fatal </w:t>
      </w:r>
      <w:r>
        <w:rPr>
          <w:color w:val="231F20"/>
        </w:rPr>
        <w:t>y </w:t>
      </w:r>
      <w:r>
        <w:rPr>
          <w:color w:val="231F20"/>
          <w:spacing w:val="2"/>
        </w:rPr>
        <w:t>que </w:t>
      </w:r>
      <w:r>
        <w:rPr>
          <w:color w:val="231F20"/>
          <w:spacing w:val="3"/>
        </w:rPr>
        <w:t>comprendamos </w:t>
      </w:r>
      <w:r>
        <w:rPr>
          <w:color w:val="231F20"/>
          <w:spacing w:val="2"/>
        </w:rPr>
        <w:t>por qué todo tenía </w:t>
      </w:r>
      <w:r>
        <w:rPr>
          <w:color w:val="231F20"/>
        </w:rPr>
        <w:t>que </w:t>
      </w:r>
      <w:r>
        <w:rPr>
          <w:color w:val="231F20"/>
          <w:spacing w:val="2"/>
        </w:rPr>
        <w:t>ocurrir </w:t>
      </w:r>
      <w:r>
        <w:rPr>
          <w:color w:val="231F20"/>
          <w:spacing w:val="3"/>
        </w:rPr>
        <w:t>como </w:t>
      </w:r>
      <w:r>
        <w:rPr>
          <w:color w:val="231F20"/>
          <w:spacing w:val="2"/>
        </w:rPr>
        <w:t>ocurrió” </w:t>
      </w:r>
      <w:r>
        <w:rPr>
          <w:color w:val="231F20"/>
          <w:spacing w:val="3"/>
        </w:rPr>
        <w:t>(Fromm,</w:t>
      </w:r>
      <w:r>
        <w:rPr>
          <w:color w:val="231F20"/>
          <w:spacing w:val="30"/>
        </w:rPr>
        <w:t> </w:t>
      </w:r>
      <w:r>
        <w:rPr>
          <w:color w:val="231F20"/>
          <w:spacing w:val="2"/>
        </w:rPr>
        <w:t>2004:17).</w:t>
      </w:r>
    </w:p>
    <w:p>
      <w:pPr>
        <w:pStyle w:val="BodyText"/>
        <w:spacing w:line="247" w:lineRule="auto"/>
        <w:ind w:left="102" w:right="117" w:firstLine="284"/>
        <w:jc w:val="both"/>
      </w:pPr>
      <w:r>
        <w:rPr>
          <w:color w:val="231F20"/>
        </w:rPr>
        <w:t>Fromm</w:t>
      </w:r>
      <w:r>
        <w:rPr>
          <w:color w:val="231F20"/>
          <w:spacing w:val="-14"/>
        </w:rPr>
        <w:t> </w:t>
      </w:r>
      <w:r>
        <w:rPr>
          <w:color w:val="231F20"/>
        </w:rPr>
        <w:t>establece</w:t>
      </w:r>
      <w:r>
        <w:rPr>
          <w:color w:val="231F20"/>
          <w:spacing w:val="-16"/>
        </w:rPr>
        <w:t> </w:t>
      </w:r>
      <w:r>
        <w:rPr>
          <w:color w:val="231F20"/>
        </w:rPr>
        <w:t>una</w:t>
      </w:r>
      <w:r>
        <w:rPr>
          <w:color w:val="231F20"/>
          <w:spacing w:val="-16"/>
        </w:rPr>
        <w:t> </w:t>
      </w:r>
      <w:r>
        <w:rPr>
          <w:color w:val="231F20"/>
        </w:rPr>
        <w:t>cierta</w:t>
      </w:r>
      <w:r>
        <w:rPr>
          <w:color w:val="231F20"/>
          <w:spacing w:val="-16"/>
        </w:rPr>
        <w:t> </w:t>
      </w:r>
      <w:r>
        <w:rPr>
          <w:color w:val="231F20"/>
        </w:rPr>
        <w:t>distancia</w:t>
      </w:r>
      <w:r>
        <w:rPr>
          <w:color w:val="231F20"/>
          <w:spacing w:val="-16"/>
        </w:rPr>
        <w:t> </w:t>
      </w:r>
      <w:r>
        <w:rPr>
          <w:color w:val="231F20"/>
        </w:rPr>
        <w:t>entre</w:t>
      </w:r>
      <w:r>
        <w:rPr>
          <w:color w:val="231F20"/>
          <w:spacing w:val="-16"/>
        </w:rPr>
        <w:t> </w:t>
      </w:r>
      <w:r>
        <w:rPr>
          <w:color w:val="231F20"/>
        </w:rPr>
        <w:t>las</w:t>
      </w:r>
      <w:r>
        <w:rPr>
          <w:color w:val="231F20"/>
          <w:spacing w:val="-16"/>
        </w:rPr>
        <w:t> </w:t>
      </w:r>
      <w:r>
        <w:rPr>
          <w:color w:val="231F20"/>
        </w:rPr>
        <w:t>teorías</w:t>
      </w:r>
      <w:r>
        <w:rPr>
          <w:color w:val="231F20"/>
          <w:spacing w:val="-16"/>
        </w:rPr>
        <w:t> </w:t>
      </w:r>
      <w:r>
        <w:rPr>
          <w:color w:val="231F20"/>
        </w:rPr>
        <w:t>instintivistas y</w:t>
      </w:r>
      <w:r>
        <w:rPr>
          <w:color w:val="231F20"/>
          <w:spacing w:val="26"/>
        </w:rPr>
        <w:t> </w:t>
      </w:r>
      <w:r>
        <w:rPr>
          <w:color w:val="231F20"/>
        </w:rPr>
        <w:t>el</w:t>
      </w:r>
      <w:r>
        <w:rPr>
          <w:color w:val="231F20"/>
          <w:spacing w:val="25"/>
        </w:rPr>
        <w:t> </w:t>
      </w:r>
      <w:r>
        <w:rPr>
          <w:color w:val="231F20"/>
        </w:rPr>
        <w:t>conductismo,</w:t>
      </w:r>
      <w:r>
        <w:rPr>
          <w:color w:val="231F20"/>
          <w:spacing w:val="25"/>
        </w:rPr>
        <w:t> </w:t>
      </w:r>
      <w:r>
        <w:rPr>
          <w:color w:val="231F20"/>
        </w:rPr>
        <w:t>pues</w:t>
      </w:r>
      <w:r>
        <w:rPr>
          <w:color w:val="231F20"/>
          <w:spacing w:val="26"/>
        </w:rPr>
        <w:t> </w:t>
      </w:r>
      <w:r>
        <w:rPr>
          <w:color w:val="231F20"/>
        </w:rPr>
        <w:t>presenta</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rPr>
        <w:t>primeras</w:t>
      </w:r>
      <w:r>
        <w:rPr>
          <w:color w:val="231F20"/>
          <w:spacing w:val="26"/>
        </w:rPr>
        <w:t> </w:t>
      </w:r>
      <w:r>
        <w:rPr>
          <w:color w:val="231F20"/>
        </w:rPr>
        <w:t>como</w:t>
      </w:r>
      <w:r>
        <w:rPr>
          <w:color w:val="231F20"/>
          <w:spacing w:val="26"/>
        </w:rPr>
        <w:t> </w:t>
      </w:r>
      <w:r>
        <w:rPr>
          <w:color w:val="231F20"/>
        </w:rPr>
        <w:t>un</w:t>
      </w:r>
      <w:r>
        <w:rPr>
          <w:color w:val="231F20"/>
          <w:spacing w:val="26"/>
        </w:rPr>
        <w:t> </w:t>
      </w:r>
      <w:r>
        <w:rPr>
          <w:color w:val="231F20"/>
        </w:rPr>
        <w:t>modo</w:t>
      </w:r>
      <w:r>
        <w:rPr>
          <w:color w:val="231F20"/>
          <w:spacing w:val="27"/>
        </w:rPr>
        <w:t> </w:t>
      </w:r>
      <w:r>
        <w:rPr>
          <w:color w:val="231F20"/>
        </w:rPr>
        <w:t>de</w:t>
      </w:r>
    </w:p>
    <w:p>
      <w:pPr>
        <w:spacing w:after="0" w:line="247" w:lineRule="auto"/>
        <w:jc w:val="both"/>
        <w:sectPr>
          <w:headerReference w:type="default" r:id="rId189"/>
          <w:footerReference w:type="default" r:id="rId190"/>
          <w:pgSz w:w="7830" w:h="11910"/>
          <w:pgMar w:header="0" w:footer="424" w:top="500" w:bottom="620" w:left="920" w:right="900"/>
          <w:pgNumType w:start="8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5"/>
        <w:jc w:val="both"/>
      </w:pPr>
      <w:r>
        <w:rPr>
          <w:color w:val="231F20"/>
        </w:rPr>
        <w:t>incorporar la subjetividad como algo subyacente, como impulso que lleva a obrar de un modo determinado, en tanto que el conductismo únicamente se preocupa por “el modo que tiene [el hombre] de con- ducirse</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condicionamiento</w:t>
      </w:r>
      <w:r>
        <w:rPr>
          <w:color w:val="231F20"/>
          <w:spacing w:val="-13"/>
        </w:rPr>
        <w:t> </w:t>
      </w:r>
      <w:r>
        <w:rPr>
          <w:color w:val="231F20"/>
        </w:rPr>
        <w:t>social</w:t>
      </w:r>
      <w:r>
        <w:rPr>
          <w:color w:val="231F20"/>
          <w:spacing w:val="-13"/>
        </w:rPr>
        <w:t> </w:t>
      </w:r>
      <w:r>
        <w:rPr>
          <w:color w:val="231F20"/>
        </w:rPr>
        <w:t>que</w:t>
      </w:r>
      <w:r>
        <w:rPr>
          <w:color w:val="231F20"/>
          <w:spacing w:val="-13"/>
        </w:rPr>
        <w:t> </w:t>
      </w:r>
      <w:r>
        <w:rPr>
          <w:color w:val="231F20"/>
        </w:rPr>
        <w:t>configura</w:t>
      </w:r>
      <w:r>
        <w:rPr>
          <w:color w:val="231F20"/>
          <w:spacing w:val="-13"/>
        </w:rPr>
        <w:t> </w:t>
      </w:r>
      <w:r>
        <w:rPr>
          <w:color w:val="231F20"/>
        </w:rPr>
        <w:t>su</w:t>
      </w:r>
      <w:r>
        <w:rPr>
          <w:color w:val="231F20"/>
          <w:spacing w:val="-13"/>
        </w:rPr>
        <w:t> </w:t>
      </w:r>
      <w:r>
        <w:rPr>
          <w:color w:val="231F20"/>
        </w:rPr>
        <w:t>comportamien- to”, pero en ambos casos se destierran las pasiones y emociones como</w:t>
      </w:r>
      <w:r>
        <w:rPr>
          <w:color w:val="231F20"/>
          <w:spacing w:val="-20"/>
        </w:rPr>
        <w:t> </w:t>
      </w:r>
      <w:r>
        <w:rPr>
          <w:color w:val="231F20"/>
        </w:rPr>
        <w:t>datos</w:t>
      </w:r>
      <w:r>
        <w:rPr>
          <w:color w:val="231F20"/>
          <w:spacing w:val="-21"/>
        </w:rPr>
        <w:t> </w:t>
      </w:r>
      <w:r>
        <w:rPr>
          <w:color w:val="231F20"/>
        </w:rPr>
        <w:t>no</w:t>
      </w:r>
      <w:r>
        <w:rPr>
          <w:color w:val="231F20"/>
          <w:spacing w:val="-20"/>
        </w:rPr>
        <w:t> </w:t>
      </w:r>
      <w:r>
        <w:rPr>
          <w:color w:val="231F20"/>
        </w:rPr>
        <w:t>científicos(Fromm,</w:t>
      </w:r>
      <w:r>
        <w:rPr>
          <w:color w:val="231F20"/>
          <w:spacing w:val="-21"/>
        </w:rPr>
        <w:t> </w:t>
      </w:r>
      <w:r>
        <w:rPr>
          <w:color w:val="231F20"/>
        </w:rPr>
        <w:t>2004:17-18).</w:t>
      </w:r>
    </w:p>
    <w:p>
      <w:pPr>
        <w:pStyle w:val="BodyText"/>
        <w:spacing w:line="249" w:lineRule="auto"/>
        <w:ind w:left="101" w:right="116" w:firstLine="284"/>
        <w:jc w:val="both"/>
      </w:pPr>
      <w:r>
        <w:rPr>
          <w:color w:val="231F20"/>
        </w:rPr>
        <w:t>En un </w:t>
      </w:r>
      <w:r>
        <w:rPr>
          <w:color w:val="231F20"/>
          <w:spacing w:val="2"/>
        </w:rPr>
        <w:t>intento por avanzar más </w:t>
      </w:r>
      <w:r>
        <w:rPr>
          <w:color w:val="231F20"/>
        </w:rPr>
        <w:t>allá de </w:t>
      </w:r>
      <w:r>
        <w:rPr>
          <w:color w:val="231F20"/>
          <w:spacing w:val="2"/>
        </w:rPr>
        <w:t>los </w:t>
      </w:r>
      <w:r>
        <w:rPr>
          <w:color w:val="231F20"/>
          <w:spacing w:val="3"/>
        </w:rPr>
        <w:t>planteamientos </w:t>
      </w:r>
      <w:r>
        <w:rPr>
          <w:color w:val="231F20"/>
          <w:spacing w:val="2"/>
        </w:rPr>
        <w:t>ins- tintivistas </w:t>
      </w:r>
      <w:r>
        <w:rPr>
          <w:color w:val="231F20"/>
        </w:rPr>
        <w:t>y </w:t>
      </w:r>
      <w:r>
        <w:rPr>
          <w:color w:val="231F20"/>
          <w:spacing w:val="2"/>
        </w:rPr>
        <w:t>conductistas, </w:t>
      </w:r>
      <w:r>
        <w:rPr>
          <w:color w:val="231F20"/>
          <w:spacing w:val="3"/>
        </w:rPr>
        <w:t>Fromm </w:t>
      </w:r>
      <w:r>
        <w:rPr>
          <w:color w:val="231F20"/>
          <w:spacing w:val="2"/>
        </w:rPr>
        <w:t>procede </w:t>
      </w:r>
      <w:r>
        <w:rPr>
          <w:color w:val="231F20"/>
        </w:rPr>
        <w:t>a </w:t>
      </w:r>
      <w:r>
        <w:rPr>
          <w:color w:val="231F20"/>
          <w:spacing w:val="2"/>
        </w:rPr>
        <w:t>“distinguir </w:t>
      </w:r>
      <w:r>
        <w:rPr>
          <w:color w:val="231F20"/>
        </w:rPr>
        <w:t>en el </w:t>
      </w:r>
      <w:r>
        <w:rPr>
          <w:color w:val="231F20"/>
          <w:spacing w:val="3"/>
          <w:w w:val="95"/>
        </w:rPr>
        <w:t>hombre </w:t>
      </w:r>
      <w:r>
        <w:rPr>
          <w:i/>
          <w:color w:val="231F20"/>
          <w:w w:val="95"/>
        </w:rPr>
        <w:t>dos </w:t>
      </w:r>
      <w:r>
        <w:rPr>
          <w:i/>
          <w:color w:val="231F20"/>
          <w:spacing w:val="2"/>
          <w:w w:val="95"/>
        </w:rPr>
        <w:t>tipos </w:t>
      </w:r>
      <w:r>
        <w:rPr>
          <w:i/>
          <w:color w:val="231F20"/>
          <w:w w:val="95"/>
        </w:rPr>
        <w:t>de </w:t>
      </w:r>
      <w:r>
        <w:rPr>
          <w:i/>
          <w:color w:val="231F20"/>
          <w:spacing w:val="2"/>
          <w:w w:val="95"/>
        </w:rPr>
        <w:t>agresión enteramente diferentes</w:t>
      </w:r>
      <w:r>
        <w:rPr>
          <w:color w:val="231F20"/>
          <w:spacing w:val="2"/>
          <w:w w:val="95"/>
        </w:rPr>
        <w:t>. </w:t>
      </w:r>
      <w:r>
        <w:rPr>
          <w:color w:val="231F20"/>
          <w:w w:val="95"/>
        </w:rPr>
        <w:t>El </w:t>
      </w:r>
      <w:r>
        <w:rPr>
          <w:color w:val="231F20"/>
          <w:spacing w:val="3"/>
          <w:w w:val="95"/>
        </w:rPr>
        <w:t>primero, </w:t>
      </w:r>
      <w:r>
        <w:rPr>
          <w:color w:val="231F20"/>
          <w:w w:val="95"/>
        </w:rPr>
        <w:t>que </w:t>
      </w:r>
      <w:r>
        <w:rPr>
          <w:color w:val="231F20"/>
          <w:spacing w:val="3"/>
        </w:rPr>
        <w:t>comparte </w:t>
      </w:r>
      <w:r>
        <w:rPr>
          <w:color w:val="231F20"/>
          <w:spacing w:val="2"/>
        </w:rPr>
        <w:t>con </w:t>
      </w:r>
      <w:r>
        <w:rPr>
          <w:color w:val="231F20"/>
          <w:spacing w:val="3"/>
        </w:rPr>
        <w:t>todos </w:t>
      </w:r>
      <w:r>
        <w:rPr>
          <w:color w:val="231F20"/>
          <w:spacing w:val="2"/>
        </w:rPr>
        <w:t>los animales, </w:t>
      </w:r>
      <w:r>
        <w:rPr>
          <w:color w:val="231F20"/>
        </w:rPr>
        <w:t>es un </w:t>
      </w:r>
      <w:r>
        <w:rPr>
          <w:color w:val="231F20"/>
          <w:spacing w:val="2"/>
        </w:rPr>
        <w:t>impulso filogenéticamente </w:t>
      </w:r>
      <w:r>
        <w:rPr>
          <w:color w:val="231F20"/>
          <w:spacing w:val="3"/>
        </w:rPr>
        <w:t>programado </w:t>
      </w:r>
      <w:r>
        <w:rPr>
          <w:color w:val="231F20"/>
          <w:spacing w:val="2"/>
        </w:rPr>
        <w:t>para atacar </w:t>
      </w:r>
      <w:r>
        <w:rPr>
          <w:color w:val="231F20"/>
        </w:rPr>
        <w:t>(o </w:t>
      </w:r>
      <w:r>
        <w:rPr>
          <w:color w:val="231F20"/>
          <w:spacing w:val="2"/>
        </w:rPr>
        <w:t>huir) cuando están </w:t>
      </w:r>
      <w:r>
        <w:rPr>
          <w:color w:val="231F20"/>
          <w:spacing w:val="3"/>
        </w:rPr>
        <w:t>amenazados </w:t>
      </w:r>
      <w:r>
        <w:rPr>
          <w:color w:val="231F20"/>
          <w:spacing w:val="2"/>
        </w:rPr>
        <w:t>intere- </w:t>
      </w:r>
      <w:r>
        <w:rPr>
          <w:color w:val="231F20"/>
        </w:rPr>
        <w:t>ses </w:t>
      </w:r>
      <w:r>
        <w:rPr>
          <w:color w:val="231F20"/>
          <w:spacing w:val="2"/>
        </w:rPr>
        <w:t>vitales. Esta agresión ‘benigna’, defensiva, está </w:t>
      </w:r>
      <w:r>
        <w:rPr>
          <w:color w:val="231F20"/>
        </w:rPr>
        <w:t>al </w:t>
      </w:r>
      <w:r>
        <w:rPr>
          <w:color w:val="231F20"/>
          <w:spacing w:val="2"/>
        </w:rPr>
        <w:t>servicio </w:t>
      </w:r>
      <w:r>
        <w:rPr>
          <w:color w:val="231F20"/>
        </w:rPr>
        <w:t>de la </w:t>
      </w:r>
      <w:r>
        <w:rPr>
          <w:color w:val="231F20"/>
          <w:spacing w:val="2"/>
        </w:rPr>
        <w:t>supervivencia del individuo </w:t>
      </w:r>
      <w:r>
        <w:rPr>
          <w:color w:val="231F20"/>
        </w:rPr>
        <w:t>y de la </w:t>
      </w:r>
      <w:r>
        <w:rPr>
          <w:color w:val="231F20"/>
          <w:spacing w:val="2"/>
        </w:rPr>
        <w:t>especie, </w:t>
      </w:r>
      <w:r>
        <w:rPr>
          <w:color w:val="231F20"/>
        </w:rPr>
        <w:t>es </w:t>
      </w:r>
      <w:r>
        <w:rPr>
          <w:color w:val="231F20"/>
          <w:spacing w:val="3"/>
        </w:rPr>
        <w:t>biológicamente </w:t>
      </w:r>
      <w:r>
        <w:rPr>
          <w:color w:val="231F20"/>
          <w:spacing w:val="2"/>
        </w:rPr>
        <w:t>adaptativa </w:t>
      </w:r>
      <w:r>
        <w:rPr>
          <w:color w:val="231F20"/>
        </w:rPr>
        <w:t>y </w:t>
      </w:r>
      <w:r>
        <w:rPr>
          <w:color w:val="231F20"/>
          <w:spacing w:val="2"/>
        </w:rPr>
        <w:t>cesa cuando cesa </w:t>
      </w:r>
      <w:r>
        <w:rPr>
          <w:color w:val="231F20"/>
        </w:rPr>
        <w:t>la </w:t>
      </w:r>
      <w:r>
        <w:rPr>
          <w:color w:val="231F20"/>
          <w:spacing w:val="3"/>
        </w:rPr>
        <w:t>amenaza. </w:t>
      </w:r>
      <w:r>
        <w:rPr>
          <w:color w:val="231F20"/>
        </w:rPr>
        <w:t>El </w:t>
      </w:r>
      <w:r>
        <w:rPr>
          <w:color w:val="231F20"/>
          <w:spacing w:val="2"/>
        </w:rPr>
        <w:t>otro tipo, </w:t>
      </w:r>
      <w:r>
        <w:rPr>
          <w:color w:val="231F20"/>
        </w:rPr>
        <w:t>la </w:t>
      </w:r>
      <w:r>
        <w:rPr>
          <w:color w:val="231F20"/>
          <w:spacing w:val="2"/>
        </w:rPr>
        <w:t>agresión ‘maligna’, </w:t>
      </w:r>
      <w:r>
        <w:rPr>
          <w:color w:val="231F20"/>
        </w:rPr>
        <w:t>o sea la </w:t>
      </w:r>
      <w:r>
        <w:rPr>
          <w:color w:val="231F20"/>
          <w:spacing w:val="2"/>
        </w:rPr>
        <w:t>crueldad </w:t>
      </w:r>
      <w:r>
        <w:rPr>
          <w:color w:val="231F20"/>
        </w:rPr>
        <w:t>y </w:t>
      </w:r>
      <w:r>
        <w:rPr>
          <w:color w:val="231F20"/>
          <w:spacing w:val="2"/>
        </w:rPr>
        <w:t>destructividad, </w:t>
      </w:r>
      <w:r>
        <w:rPr>
          <w:color w:val="231F20"/>
        </w:rPr>
        <w:t>es </w:t>
      </w:r>
      <w:r>
        <w:rPr>
          <w:color w:val="231F20"/>
          <w:spacing w:val="2"/>
        </w:rPr>
        <w:t>específico </w:t>
      </w:r>
      <w:r>
        <w:rPr>
          <w:color w:val="231F20"/>
        </w:rPr>
        <w:t>de la </w:t>
      </w:r>
      <w:r>
        <w:rPr>
          <w:color w:val="231F20"/>
          <w:spacing w:val="2"/>
        </w:rPr>
        <w:t>especie </w:t>
      </w:r>
      <w:r>
        <w:rPr>
          <w:color w:val="231F20"/>
          <w:spacing w:val="3"/>
        </w:rPr>
        <w:t>humana </w:t>
      </w:r>
      <w:r>
        <w:rPr>
          <w:color w:val="231F20"/>
        </w:rPr>
        <w:t>y se </w:t>
      </w:r>
      <w:r>
        <w:rPr>
          <w:color w:val="231F20"/>
          <w:spacing w:val="2"/>
        </w:rPr>
        <w:t>halla virtualmente ausente </w:t>
      </w:r>
      <w:r>
        <w:rPr>
          <w:color w:val="231F20"/>
        </w:rPr>
        <w:t>en la </w:t>
      </w:r>
      <w:r>
        <w:rPr>
          <w:color w:val="231F20"/>
          <w:spacing w:val="2"/>
        </w:rPr>
        <w:t>mayoría </w:t>
      </w:r>
      <w:r>
        <w:rPr>
          <w:color w:val="231F20"/>
        </w:rPr>
        <w:t>de  </w:t>
      </w:r>
      <w:r>
        <w:rPr>
          <w:color w:val="231F20"/>
          <w:spacing w:val="2"/>
        </w:rPr>
        <w:t>los </w:t>
      </w:r>
      <w:r>
        <w:rPr>
          <w:color w:val="231F20"/>
          <w:spacing w:val="3"/>
        </w:rPr>
        <w:t>mamíferos; </w:t>
      </w:r>
      <w:r>
        <w:rPr>
          <w:color w:val="231F20"/>
        </w:rPr>
        <w:t>no </w:t>
      </w:r>
      <w:r>
        <w:rPr>
          <w:color w:val="231F20"/>
          <w:spacing w:val="2"/>
        </w:rPr>
        <w:t>está </w:t>
      </w:r>
      <w:r>
        <w:rPr>
          <w:color w:val="231F20"/>
          <w:spacing w:val="3"/>
        </w:rPr>
        <w:t>programada </w:t>
      </w:r>
      <w:r>
        <w:rPr>
          <w:color w:val="231F20"/>
          <w:spacing w:val="2"/>
        </w:rPr>
        <w:t>filogenéticamente </w:t>
      </w:r>
      <w:r>
        <w:rPr>
          <w:color w:val="231F20"/>
        </w:rPr>
        <w:t>y no es </w:t>
      </w:r>
      <w:r>
        <w:rPr>
          <w:color w:val="231F20"/>
          <w:spacing w:val="3"/>
        </w:rPr>
        <w:t>biológicamente </w:t>
      </w:r>
      <w:r>
        <w:rPr>
          <w:color w:val="231F20"/>
          <w:spacing w:val="2"/>
        </w:rPr>
        <w:t>adaptativa; </w:t>
      </w:r>
      <w:r>
        <w:rPr>
          <w:color w:val="231F20"/>
        </w:rPr>
        <w:t>no </w:t>
      </w:r>
      <w:r>
        <w:rPr>
          <w:color w:val="231F20"/>
          <w:spacing w:val="2"/>
        </w:rPr>
        <w:t>tiene </w:t>
      </w:r>
      <w:r>
        <w:rPr>
          <w:color w:val="231F20"/>
          <w:spacing w:val="3"/>
        </w:rPr>
        <w:t>ninguna </w:t>
      </w:r>
      <w:r>
        <w:rPr>
          <w:color w:val="231F20"/>
          <w:spacing w:val="2"/>
        </w:rPr>
        <w:t>finalidad </w:t>
      </w:r>
      <w:r>
        <w:rPr>
          <w:color w:val="231F20"/>
        </w:rPr>
        <w:t>y su </w:t>
      </w:r>
      <w:r>
        <w:rPr>
          <w:color w:val="231F20"/>
          <w:spacing w:val="3"/>
        </w:rPr>
        <w:t>satis- </w:t>
      </w:r>
      <w:r>
        <w:rPr>
          <w:color w:val="231F20"/>
          <w:spacing w:val="2"/>
        </w:rPr>
        <w:t>facción </w:t>
      </w:r>
      <w:r>
        <w:rPr>
          <w:color w:val="231F20"/>
        </w:rPr>
        <w:t>es </w:t>
      </w:r>
      <w:r>
        <w:rPr>
          <w:color w:val="231F20"/>
          <w:spacing w:val="2"/>
        </w:rPr>
        <w:t>placentera” </w:t>
      </w:r>
      <w:r>
        <w:rPr>
          <w:color w:val="231F20"/>
          <w:spacing w:val="3"/>
        </w:rPr>
        <w:t>(Fromm,</w:t>
      </w:r>
      <w:r>
        <w:rPr>
          <w:color w:val="231F20"/>
          <w:spacing w:val="-15"/>
        </w:rPr>
        <w:t> </w:t>
      </w:r>
      <w:r>
        <w:rPr>
          <w:color w:val="231F20"/>
          <w:spacing w:val="2"/>
        </w:rPr>
        <w:t>2004:18).</w:t>
      </w:r>
    </w:p>
    <w:p>
      <w:pPr>
        <w:pStyle w:val="BodyText"/>
        <w:spacing w:line="247" w:lineRule="auto"/>
        <w:ind w:left="101" w:right="118" w:firstLine="284"/>
        <w:jc w:val="both"/>
      </w:pPr>
      <w:r>
        <w:rPr>
          <w:color w:val="231F20"/>
          <w:spacing w:val="3"/>
        </w:rPr>
        <w:t>Fromm apunta </w:t>
      </w:r>
      <w:r>
        <w:rPr>
          <w:color w:val="231F20"/>
          <w:spacing w:val="2"/>
        </w:rPr>
        <w:t>que </w:t>
      </w:r>
      <w:r>
        <w:rPr>
          <w:color w:val="231F20"/>
        </w:rPr>
        <w:t>la </w:t>
      </w:r>
      <w:r>
        <w:rPr>
          <w:color w:val="231F20"/>
          <w:spacing w:val="2"/>
        </w:rPr>
        <w:t>violencia difundida por </w:t>
      </w:r>
      <w:r>
        <w:rPr>
          <w:color w:val="231F20"/>
        </w:rPr>
        <w:t>la </w:t>
      </w:r>
      <w:r>
        <w:rPr>
          <w:color w:val="231F20"/>
          <w:spacing w:val="2"/>
        </w:rPr>
        <w:t>sociedad </w:t>
      </w:r>
      <w:r>
        <w:rPr>
          <w:color w:val="231F20"/>
        </w:rPr>
        <w:t>se </w:t>
      </w:r>
      <w:r>
        <w:rPr>
          <w:color w:val="231F20"/>
          <w:spacing w:val="2"/>
        </w:rPr>
        <w:t>pretende asociar con estados </w:t>
      </w:r>
      <w:r>
        <w:rPr>
          <w:color w:val="231F20"/>
        </w:rPr>
        <w:t>de </w:t>
      </w:r>
      <w:r>
        <w:rPr>
          <w:color w:val="231F20"/>
          <w:spacing w:val="2"/>
        </w:rPr>
        <w:t>esquizofrenia </w:t>
      </w:r>
      <w:r>
        <w:rPr>
          <w:color w:val="231F20"/>
        </w:rPr>
        <w:t>o </w:t>
      </w:r>
      <w:r>
        <w:rPr>
          <w:color w:val="231F20"/>
          <w:spacing w:val="3"/>
        </w:rPr>
        <w:t>trastornos </w:t>
      </w:r>
      <w:r>
        <w:rPr>
          <w:color w:val="231F20"/>
          <w:spacing w:val="2"/>
        </w:rPr>
        <w:t>autísti- cos, </w:t>
      </w:r>
      <w:r>
        <w:rPr>
          <w:color w:val="231F20"/>
        </w:rPr>
        <w:t>de tal </w:t>
      </w:r>
      <w:r>
        <w:rPr>
          <w:color w:val="231F20"/>
          <w:spacing w:val="3"/>
        </w:rPr>
        <w:t>modo </w:t>
      </w:r>
      <w:r>
        <w:rPr>
          <w:color w:val="231F20"/>
          <w:spacing w:val="2"/>
        </w:rPr>
        <w:t>que </w:t>
      </w:r>
      <w:r>
        <w:rPr>
          <w:color w:val="231F20"/>
        </w:rPr>
        <w:t>la </w:t>
      </w:r>
      <w:r>
        <w:rPr>
          <w:color w:val="231F20"/>
          <w:spacing w:val="2"/>
        </w:rPr>
        <w:t>“destructividad </w:t>
      </w:r>
      <w:r>
        <w:rPr>
          <w:color w:val="231F20"/>
          <w:spacing w:val="3"/>
        </w:rPr>
        <w:t>humana” puede </w:t>
      </w:r>
      <w:r>
        <w:rPr>
          <w:color w:val="231F20"/>
          <w:spacing w:val="2"/>
        </w:rPr>
        <w:t>atribuirse  </w:t>
      </w:r>
      <w:r>
        <w:rPr>
          <w:color w:val="231F20"/>
        </w:rPr>
        <w:t>a </w:t>
      </w:r>
      <w:r>
        <w:rPr>
          <w:color w:val="231F20"/>
          <w:spacing w:val="2"/>
        </w:rPr>
        <w:t>una condición personal, </w:t>
      </w:r>
      <w:r>
        <w:rPr>
          <w:color w:val="231F20"/>
        </w:rPr>
        <w:t>y se </w:t>
      </w:r>
      <w:r>
        <w:rPr>
          <w:color w:val="231F20"/>
          <w:spacing w:val="2"/>
        </w:rPr>
        <w:t>puede interpretar </w:t>
      </w:r>
      <w:r>
        <w:rPr>
          <w:color w:val="231F20"/>
          <w:spacing w:val="3"/>
        </w:rPr>
        <w:t>como </w:t>
      </w:r>
      <w:r>
        <w:rPr>
          <w:color w:val="231F20"/>
          <w:spacing w:val="2"/>
        </w:rPr>
        <w:t>una enfer- medad. </w:t>
      </w:r>
      <w:r>
        <w:rPr>
          <w:color w:val="231F20"/>
        </w:rPr>
        <w:t>Sin </w:t>
      </w:r>
      <w:r>
        <w:rPr>
          <w:color w:val="231F20"/>
          <w:spacing w:val="2"/>
        </w:rPr>
        <w:t>embargo, advierte </w:t>
      </w:r>
      <w:r>
        <w:rPr>
          <w:color w:val="231F20"/>
        </w:rPr>
        <w:t>que lo que </w:t>
      </w:r>
      <w:r>
        <w:rPr>
          <w:color w:val="231F20"/>
          <w:spacing w:val="2"/>
        </w:rPr>
        <w:t>revelan distintos </w:t>
      </w:r>
      <w:r>
        <w:rPr>
          <w:color w:val="231F20"/>
          <w:spacing w:val="3"/>
        </w:rPr>
        <w:t>estu- </w:t>
      </w:r>
      <w:r>
        <w:rPr>
          <w:color w:val="231F20"/>
          <w:spacing w:val="2"/>
        </w:rPr>
        <w:t>dios </w:t>
      </w:r>
      <w:r>
        <w:rPr>
          <w:color w:val="231F20"/>
        </w:rPr>
        <w:t>es </w:t>
      </w:r>
      <w:r>
        <w:rPr>
          <w:color w:val="231F20"/>
          <w:spacing w:val="2"/>
        </w:rPr>
        <w:t>que </w:t>
      </w:r>
      <w:r>
        <w:rPr>
          <w:color w:val="231F20"/>
        </w:rPr>
        <w:t>las </w:t>
      </w:r>
      <w:r>
        <w:rPr>
          <w:color w:val="231F20"/>
          <w:spacing w:val="3"/>
        </w:rPr>
        <w:t>personas </w:t>
      </w:r>
      <w:r>
        <w:rPr>
          <w:color w:val="231F20"/>
          <w:spacing w:val="2"/>
        </w:rPr>
        <w:t>esquizofrénicas, </w:t>
      </w:r>
      <w:r>
        <w:rPr>
          <w:color w:val="231F20"/>
          <w:spacing w:val="3"/>
        </w:rPr>
        <w:t>cuando </w:t>
      </w:r>
      <w:r>
        <w:rPr>
          <w:color w:val="231F20"/>
        </w:rPr>
        <w:t>se les </w:t>
      </w:r>
      <w:r>
        <w:rPr>
          <w:color w:val="231F20"/>
          <w:spacing w:val="2"/>
        </w:rPr>
        <w:t>“deja </w:t>
      </w:r>
      <w:r>
        <w:rPr>
          <w:color w:val="231F20"/>
        </w:rPr>
        <w:t>en </w:t>
      </w:r>
      <w:r>
        <w:rPr>
          <w:color w:val="231F20"/>
          <w:spacing w:val="2"/>
        </w:rPr>
        <w:t>paz” conviven </w:t>
      </w:r>
      <w:r>
        <w:rPr>
          <w:color w:val="231F20"/>
        </w:rPr>
        <w:t>sin</w:t>
      </w:r>
      <w:r>
        <w:rPr>
          <w:color w:val="231F20"/>
          <w:spacing w:val="-12"/>
        </w:rPr>
        <w:t> </w:t>
      </w:r>
      <w:r>
        <w:rPr>
          <w:color w:val="231F20"/>
          <w:spacing w:val="2"/>
        </w:rPr>
        <w:t>dificultades:</w:t>
      </w:r>
    </w:p>
    <w:p>
      <w:pPr>
        <w:pStyle w:val="BodyText"/>
        <w:spacing w:before="2"/>
        <w:rPr>
          <w:sz w:val="23"/>
        </w:rPr>
      </w:pPr>
    </w:p>
    <w:p>
      <w:pPr>
        <w:spacing w:line="273" w:lineRule="auto" w:before="0"/>
        <w:ind w:left="810" w:right="164" w:firstLine="0"/>
        <w:jc w:val="both"/>
        <w:rPr>
          <w:sz w:val="19"/>
        </w:rPr>
      </w:pPr>
      <w:r>
        <w:rPr>
          <w:color w:val="231F20"/>
          <w:sz w:val="19"/>
        </w:rPr>
        <w:t>(…) Pero a la persona ‘normal’ de esquizofrenia poco marcada  no la dejan sola. La importunan y atropellan, lastiman su delica- da sensibilidad muchas veces al día, de modo que ciertamente podríamos entender que esta patología de lo normal engendraría destructividad en muchos individuos. Menos, naturalmente, en- tre los mejor adaptados al sistema social y más en aquellos que ni tienen compensaciones sociales ni ocupan en la estructura un lu- gar de importancia para ellos: los pobres, los negros, los jóvenes, los desempleados (Fromm, 2004:354).</w:t>
      </w:r>
    </w:p>
    <w:p>
      <w:pPr>
        <w:pStyle w:val="BodyText"/>
        <w:spacing w:before="2"/>
        <w:rPr>
          <w:sz w:val="20"/>
        </w:rPr>
      </w:pPr>
    </w:p>
    <w:p>
      <w:pPr>
        <w:pStyle w:val="BodyText"/>
        <w:spacing w:line="247" w:lineRule="auto" w:before="1"/>
        <w:ind w:left="102" w:right="119" w:firstLine="284"/>
        <w:jc w:val="both"/>
      </w:pPr>
      <w:r>
        <w:rPr>
          <w:color w:val="231F20"/>
        </w:rPr>
        <w:t>De allí que sugiere que el problema radica en “la pérdida de la facultad de pensar en función de visiones constructivas [esa] es  en</w:t>
      </w:r>
    </w:p>
    <w:p>
      <w:pPr>
        <w:spacing w:after="0" w:line="247" w:lineRule="auto"/>
        <w:jc w:val="both"/>
        <w:sectPr>
          <w:headerReference w:type="default" r:id="rId191"/>
          <w:footerReference w:type="default" r:id="rId192"/>
          <w:pgSz w:w="7830" w:h="11910"/>
          <w:pgMar w:header="0" w:footer="424" w:top="500" w:bottom="620" w:left="920" w:right="900"/>
          <w:pgNumType w:start="8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8"/>
        <w:jc w:val="both"/>
      </w:pPr>
      <w:r>
        <w:rPr>
          <w:color w:val="231F20"/>
        </w:rPr>
        <w:t>sí una grave amenaza para la supervivencia” (Fromm, 2004:355), por lo tanto:</w:t>
      </w:r>
    </w:p>
    <w:p>
      <w:pPr>
        <w:pStyle w:val="BodyText"/>
        <w:spacing w:before="4"/>
        <w:rPr>
          <w:sz w:val="23"/>
        </w:rPr>
      </w:pPr>
    </w:p>
    <w:p>
      <w:pPr>
        <w:spacing w:line="273" w:lineRule="auto" w:before="1"/>
        <w:ind w:left="810" w:right="165" w:firstLine="0"/>
        <w:jc w:val="both"/>
        <w:rPr>
          <w:sz w:val="19"/>
        </w:rPr>
      </w:pPr>
      <w:r>
        <w:rPr>
          <w:color w:val="231F20"/>
          <w:sz w:val="19"/>
        </w:rPr>
        <w:t>(…) La violencia y la destructividad son otra consecuencia no menos peligrosa del aburrimiento insuficientemente compensa- do. Con suma frecuencia toman la forma pasiva de atracción por los relatos de crímenes, accidentes fatales y otras escenas de san- gre y crueldad que son el pan de cada día suministrado al público por la prensa, la radio y la televisión. La gente reacciona ansio- samente a esos relatos porque son el medio más rápido de pro- ducir excitación y aliviar así el aburrimiento sin actividad interna (Fromm, 2004:251).</w:t>
      </w:r>
    </w:p>
    <w:p>
      <w:pPr>
        <w:pStyle w:val="BodyText"/>
        <w:spacing w:before="2"/>
        <w:rPr>
          <w:sz w:val="20"/>
        </w:rPr>
      </w:pPr>
    </w:p>
    <w:p>
      <w:pPr>
        <w:pStyle w:val="BodyText"/>
        <w:spacing w:line="249" w:lineRule="auto" w:before="1"/>
        <w:ind w:left="102" w:right="114" w:firstLine="284"/>
        <w:jc w:val="both"/>
      </w:pPr>
      <w:r>
        <w:rPr>
          <w:color w:val="231F20"/>
          <w:spacing w:val="2"/>
        </w:rPr>
        <w:t>Con </w:t>
      </w:r>
      <w:r>
        <w:rPr>
          <w:color w:val="231F20"/>
          <w:spacing w:val="3"/>
        </w:rPr>
        <w:t>Fromm </w:t>
      </w:r>
      <w:r>
        <w:rPr>
          <w:color w:val="231F20"/>
        </w:rPr>
        <w:t>se </w:t>
      </w:r>
      <w:r>
        <w:rPr>
          <w:color w:val="231F20"/>
          <w:spacing w:val="2"/>
        </w:rPr>
        <w:t>tiene, </w:t>
      </w:r>
      <w:r>
        <w:rPr>
          <w:color w:val="231F20"/>
          <w:spacing w:val="3"/>
        </w:rPr>
        <w:t>entonces, </w:t>
      </w:r>
      <w:r>
        <w:rPr>
          <w:color w:val="231F20"/>
          <w:spacing w:val="2"/>
        </w:rPr>
        <w:t>una crítica </w:t>
      </w:r>
      <w:r>
        <w:rPr>
          <w:color w:val="231F20"/>
        </w:rPr>
        <w:t>a </w:t>
      </w:r>
      <w:r>
        <w:rPr>
          <w:color w:val="231F20"/>
          <w:spacing w:val="2"/>
        </w:rPr>
        <w:t>los </w:t>
      </w:r>
      <w:r>
        <w:rPr>
          <w:color w:val="231F20"/>
          <w:spacing w:val="3"/>
        </w:rPr>
        <w:t>supuestos epistemológicos </w:t>
      </w:r>
      <w:r>
        <w:rPr>
          <w:color w:val="231F20"/>
        </w:rPr>
        <w:t>de las </w:t>
      </w:r>
      <w:r>
        <w:rPr>
          <w:color w:val="231F20"/>
          <w:spacing w:val="2"/>
        </w:rPr>
        <w:t>teorías sobre </w:t>
      </w:r>
      <w:r>
        <w:rPr>
          <w:color w:val="231F20"/>
        </w:rPr>
        <w:t>la </w:t>
      </w:r>
      <w:r>
        <w:rPr>
          <w:color w:val="231F20"/>
          <w:spacing w:val="2"/>
        </w:rPr>
        <w:t>violencia, específicamente, </w:t>
      </w:r>
      <w:r>
        <w:rPr>
          <w:color w:val="231F20"/>
          <w:spacing w:val="3"/>
        </w:rPr>
        <w:t>cuando pretenden </w:t>
      </w:r>
      <w:r>
        <w:rPr>
          <w:color w:val="231F20"/>
          <w:spacing w:val="2"/>
        </w:rPr>
        <w:t>explicar sus causas, </w:t>
      </w:r>
      <w:r>
        <w:rPr>
          <w:color w:val="231F20"/>
        </w:rPr>
        <w:t>su </w:t>
      </w:r>
      <w:r>
        <w:rPr>
          <w:color w:val="231F20"/>
          <w:spacing w:val="2"/>
        </w:rPr>
        <w:t>origen, para </w:t>
      </w:r>
      <w:r>
        <w:rPr>
          <w:color w:val="231F20"/>
          <w:spacing w:val="3"/>
        </w:rPr>
        <w:t>producir </w:t>
      </w:r>
      <w:r>
        <w:rPr>
          <w:color w:val="231F20"/>
          <w:spacing w:val="2"/>
        </w:rPr>
        <w:t>visiones </w:t>
      </w:r>
      <w:r>
        <w:rPr>
          <w:color w:val="231F20"/>
          <w:spacing w:val="3"/>
        </w:rPr>
        <w:t>donde </w:t>
      </w:r>
      <w:r>
        <w:rPr>
          <w:color w:val="231F20"/>
        </w:rPr>
        <w:t>la </w:t>
      </w:r>
      <w:r>
        <w:rPr>
          <w:color w:val="231F20"/>
          <w:spacing w:val="2"/>
        </w:rPr>
        <w:t>violencia </w:t>
      </w:r>
      <w:r>
        <w:rPr>
          <w:color w:val="231F20"/>
        </w:rPr>
        <w:t>se </w:t>
      </w:r>
      <w:r>
        <w:rPr>
          <w:color w:val="231F20"/>
          <w:spacing w:val="2"/>
        </w:rPr>
        <w:t>deposita </w:t>
      </w:r>
      <w:r>
        <w:rPr>
          <w:color w:val="231F20"/>
        </w:rPr>
        <w:t>en el </w:t>
      </w:r>
      <w:r>
        <w:rPr>
          <w:color w:val="231F20"/>
          <w:spacing w:val="2"/>
        </w:rPr>
        <w:t>individuo </w:t>
      </w:r>
      <w:r>
        <w:rPr>
          <w:color w:val="231F20"/>
        </w:rPr>
        <w:t>ya sea </w:t>
      </w:r>
      <w:r>
        <w:rPr>
          <w:color w:val="231F20"/>
          <w:spacing w:val="2"/>
        </w:rPr>
        <w:t>por una disposición natural </w:t>
      </w:r>
      <w:r>
        <w:rPr>
          <w:color w:val="231F20"/>
        </w:rPr>
        <w:t>o </w:t>
      </w:r>
      <w:r>
        <w:rPr>
          <w:color w:val="231F20"/>
          <w:spacing w:val="2"/>
        </w:rPr>
        <w:t>innata, </w:t>
      </w:r>
      <w:r>
        <w:rPr>
          <w:color w:val="231F20"/>
        </w:rPr>
        <w:t>o </w:t>
      </w:r>
      <w:r>
        <w:rPr>
          <w:color w:val="231F20"/>
          <w:spacing w:val="2"/>
        </w:rPr>
        <w:t>porque queda desligado </w:t>
      </w:r>
      <w:r>
        <w:rPr>
          <w:color w:val="231F20"/>
        </w:rPr>
        <w:t>del </w:t>
      </w:r>
      <w:r>
        <w:rPr>
          <w:color w:val="231F20"/>
          <w:spacing w:val="3"/>
        </w:rPr>
        <w:t>conjunto </w:t>
      </w:r>
      <w:r>
        <w:rPr>
          <w:color w:val="231F20"/>
        </w:rPr>
        <w:t>de </w:t>
      </w:r>
      <w:r>
        <w:rPr>
          <w:color w:val="231F20"/>
          <w:spacing w:val="3"/>
        </w:rPr>
        <w:t>normas </w:t>
      </w:r>
      <w:r>
        <w:rPr>
          <w:color w:val="231F20"/>
          <w:spacing w:val="2"/>
        </w:rPr>
        <w:t>sociales. Ante </w:t>
      </w:r>
      <w:r>
        <w:rPr>
          <w:color w:val="231F20"/>
        </w:rPr>
        <w:t>ello </w:t>
      </w:r>
      <w:r>
        <w:rPr>
          <w:color w:val="231F20"/>
          <w:spacing w:val="3"/>
        </w:rPr>
        <w:t>procura </w:t>
      </w:r>
      <w:r>
        <w:rPr>
          <w:color w:val="231F20"/>
          <w:spacing w:val="2"/>
        </w:rPr>
        <w:t>delinear una </w:t>
      </w:r>
      <w:r>
        <w:rPr>
          <w:color w:val="231F20"/>
          <w:spacing w:val="3"/>
        </w:rPr>
        <w:t>teoría donde </w:t>
      </w:r>
      <w:r>
        <w:rPr>
          <w:color w:val="231F20"/>
        </w:rPr>
        <w:t>la </w:t>
      </w:r>
      <w:r>
        <w:rPr>
          <w:color w:val="231F20"/>
          <w:spacing w:val="2"/>
        </w:rPr>
        <w:t>violencia solo constituye </w:t>
      </w:r>
      <w:r>
        <w:rPr>
          <w:color w:val="231F20"/>
        </w:rPr>
        <w:t>la </w:t>
      </w:r>
      <w:r>
        <w:rPr>
          <w:color w:val="231F20"/>
          <w:spacing w:val="3"/>
        </w:rPr>
        <w:t>forma </w:t>
      </w:r>
      <w:r>
        <w:rPr>
          <w:color w:val="231F20"/>
        </w:rPr>
        <w:t>de </w:t>
      </w:r>
      <w:r>
        <w:rPr>
          <w:color w:val="231F20"/>
          <w:spacing w:val="2"/>
        </w:rPr>
        <w:t>expresión </w:t>
      </w:r>
      <w:r>
        <w:rPr>
          <w:color w:val="231F20"/>
        </w:rPr>
        <w:t>de la </w:t>
      </w:r>
      <w:r>
        <w:rPr>
          <w:color w:val="231F20"/>
          <w:spacing w:val="2"/>
        </w:rPr>
        <w:t>pérdida </w:t>
      </w:r>
      <w:r>
        <w:rPr>
          <w:color w:val="231F20"/>
        </w:rPr>
        <w:t>de la </w:t>
      </w:r>
      <w:r>
        <w:rPr>
          <w:color w:val="231F20"/>
          <w:spacing w:val="2"/>
        </w:rPr>
        <w:t>facultad </w:t>
      </w:r>
      <w:r>
        <w:rPr>
          <w:color w:val="231F20"/>
        </w:rPr>
        <w:t>de </w:t>
      </w:r>
      <w:r>
        <w:rPr>
          <w:color w:val="231F20"/>
          <w:spacing w:val="2"/>
        </w:rPr>
        <w:t>pensar con perspectivas </w:t>
      </w:r>
      <w:r>
        <w:rPr>
          <w:color w:val="231F20"/>
        </w:rPr>
        <w:t>de </w:t>
      </w:r>
      <w:r>
        <w:rPr>
          <w:color w:val="231F20"/>
          <w:spacing w:val="2"/>
        </w:rPr>
        <w:t>futuro, </w:t>
      </w:r>
      <w:r>
        <w:rPr>
          <w:color w:val="231F20"/>
          <w:spacing w:val="3"/>
        </w:rPr>
        <w:t>como </w:t>
      </w:r>
      <w:r>
        <w:rPr>
          <w:color w:val="231F20"/>
          <w:spacing w:val="2"/>
        </w:rPr>
        <w:t>resultado del </w:t>
      </w:r>
      <w:r>
        <w:rPr>
          <w:color w:val="231F20"/>
          <w:spacing w:val="3"/>
        </w:rPr>
        <w:t>aburrimiento </w:t>
      </w:r>
      <w:r>
        <w:rPr>
          <w:color w:val="231F20"/>
        </w:rPr>
        <w:t>no </w:t>
      </w:r>
      <w:r>
        <w:rPr>
          <w:color w:val="231F20"/>
          <w:spacing w:val="3"/>
        </w:rPr>
        <w:t>compensado, </w:t>
      </w:r>
      <w:r>
        <w:rPr>
          <w:color w:val="231F20"/>
        </w:rPr>
        <w:t>que </w:t>
      </w:r>
      <w:r>
        <w:rPr>
          <w:color w:val="231F20"/>
          <w:spacing w:val="2"/>
        </w:rPr>
        <w:t>tiene </w:t>
      </w:r>
      <w:r>
        <w:rPr>
          <w:color w:val="231F20"/>
        </w:rPr>
        <w:t>sus </w:t>
      </w:r>
      <w:r>
        <w:rPr>
          <w:color w:val="231F20"/>
          <w:spacing w:val="3"/>
        </w:rPr>
        <w:t>raíces  </w:t>
      </w:r>
      <w:r>
        <w:rPr>
          <w:color w:val="231F20"/>
          <w:spacing w:val="58"/>
        </w:rPr>
        <w:t> </w:t>
      </w:r>
      <w:r>
        <w:rPr>
          <w:color w:val="231F20"/>
        </w:rPr>
        <w:t>en </w:t>
      </w:r>
      <w:r>
        <w:rPr>
          <w:color w:val="231F20"/>
          <w:spacing w:val="2"/>
        </w:rPr>
        <w:t>los </w:t>
      </w:r>
      <w:r>
        <w:rPr>
          <w:color w:val="231F20"/>
          <w:spacing w:val="3"/>
        </w:rPr>
        <w:t>procesos </w:t>
      </w:r>
      <w:r>
        <w:rPr>
          <w:color w:val="231F20"/>
          <w:spacing w:val="2"/>
        </w:rPr>
        <w:t>civilizatorios </w:t>
      </w:r>
      <w:r>
        <w:rPr>
          <w:color w:val="231F20"/>
        </w:rPr>
        <w:t>y la </w:t>
      </w:r>
      <w:r>
        <w:rPr>
          <w:color w:val="231F20"/>
          <w:spacing w:val="2"/>
        </w:rPr>
        <w:t>creciente </w:t>
      </w:r>
      <w:r>
        <w:rPr>
          <w:color w:val="231F20"/>
          <w:spacing w:val="3"/>
        </w:rPr>
        <w:t>racionalización </w:t>
      </w:r>
      <w:r>
        <w:rPr>
          <w:color w:val="231F20"/>
        </w:rPr>
        <w:t>de la </w:t>
      </w:r>
      <w:r>
        <w:rPr>
          <w:color w:val="231F20"/>
          <w:spacing w:val="2"/>
        </w:rPr>
        <w:t>vida, </w:t>
      </w:r>
      <w:r>
        <w:rPr>
          <w:color w:val="231F20"/>
          <w:spacing w:val="3"/>
        </w:rPr>
        <w:t>mostrando, </w:t>
      </w:r>
      <w:r>
        <w:rPr>
          <w:color w:val="231F20"/>
        </w:rPr>
        <w:t>al </w:t>
      </w:r>
      <w:r>
        <w:rPr>
          <w:color w:val="231F20"/>
          <w:spacing w:val="3"/>
        </w:rPr>
        <w:t>mismo tiempo, </w:t>
      </w:r>
      <w:r>
        <w:rPr>
          <w:color w:val="231F20"/>
        </w:rPr>
        <w:t>que la </w:t>
      </w:r>
      <w:r>
        <w:rPr>
          <w:color w:val="231F20"/>
          <w:spacing w:val="2"/>
        </w:rPr>
        <w:t>producción </w:t>
      </w:r>
      <w:r>
        <w:rPr>
          <w:color w:val="231F20"/>
        </w:rPr>
        <w:t>de </w:t>
      </w:r>
      <w:r>
        <w:rPr>
          <w:color w:val="231F20"/>
          <w:spacing w:val="3"/>
        </w:rPr>
        <w:t>conoci- </w:t>
      </w:r>
      <w:r>
        <w:rPr>
          <w:color w:val="231F20"/>
          <w:spacing w:val="2"/>
        </w:rPr>
        <w:t>mientos </w:t>
      </w:r>
      <w:r>
        <w:rPr>
          <w:color w:val="231F20"/>
        </w:rPr>
        <w:t>en </w:t>
      </w:r>
      <w:r>
        <w:rPr>
          <w:color w:val="231F20"/>
          <w:spacing w:val="2"/>
        </w:rPr>
        <w:t>torno </w:t>
      </w:r>
      <w:r>
        <w:rPr>
          <w:color w:val="231F20"/>
        </w:rPr>
        <w:t>a la </w:t>
      </w:r>
      <w:r>
        <w:rPr>
          <w:color w:val="231F20"/>
          <w:spacing w:val="2"/>
        </w:rPr>
        <w:t>violencia </w:t>
      </w:r>
      <w:r>
        <w:rPr>
          <w:color w:val="231F20"/>
        </w:rPr>
        <w:t>ha </w:t>
      </w:r>
      <w:r>
        <w:rPr>
          <w:color w:val="231F20"/>
          <w:spacing w:val="2"/>
        </w:rPr>
        <w:t>estado </w:t>
      </w:r>
      <w:r>
        <w:rPr>
          <w:color w:val="231F20"/>
          <w:spacing w:val="3"/>
        </w:rPr>
        <w:t>asociada </w:t>
      </w:r>
      <w:r>
        <w:rPr>
          <w:color w:val="231F20"/>
        </w:rPr>
        <w:t>a </w:t>
      </w:r>
      <w:r>
        <w:rPr>
          <w:color w:val="231F20"/>
          <w:spacing w:val="2"/>
        </w:rPr>
        <w:t>una </w:t>
      </w:r>
      <w:r>
        <w:rPr>
          <w:color w:val="231F20"/>
          <w:spacing w:val="3"/>
        </w:rPr>
        <w:t>aspira- </w:t>
      </w:r>
      <w:r>
        <w:rPr>
          <w:color w:val="231F20"/>
          <w:spacing w:val="2"/>
        </w:rPr>
        <w:t>ción </w:t>
      </w:r>
      <w:r>
        <w:rPr>
          <w:color w:val="231F20"/>
        </w:rPr>
        <w:t>de </w:t>
      </w:r>
      <w:r>
        <w:rPr>
          <w:color w:val="231F20"/>
          <w:spacing w:val="3"/>
        </w:rPr>
        <w:t>dominio </w:t>
      </w:r>
      <w:r>
        <w:rPr>
          <w:color w:val="231F20"/>
          <w:spacing w:val="2"/>
        </w:rPr>
        <w:t>sobre los </w:t>
      </w:r>
      <w:r>
        <w:rPr>
          <w:color w:val="231F20"/>
          <w:spacing w:val="3"/>
        </w:rPr>
        <w:t>hombres: </w:t>
      </w:r>
      <w:r>
        <w:rPr>
          <w:color w:val="231F20"/>
        </w:rPr>
        <w:t>esa </w:t>
      </w:r>
      <w:r>
        <w:rPr>
          <w:color w:val="231F20"/>
          <w:spacing w:val="2"/>
        </w:rPr>
        <w:t>violencia </w:t>
      </w:r>
      <w:r>
        <w:rPr>
          <w:color w:val="231F20"/>
        </w:rPr>
        <w:t>no se </w:t>
      </w:r>
      <w:r>
        <w:rPr>
          <w:color w:val="231F20"/>
          <w:spacing w:val="2"/>
        </w:rPr>
        <w:t>presenta </w:t>
      </w:r>
      <w:r>
        <w:rPr>
          <w:color w:val="231F20"/>
          <w:spacing w:val="3"/>
        </w:rPr>
        <w:t>inmediatamente como </w:t>
      </w:r>
      <w:r>
        <w:rPr>
          <w:color w:val="231F20"/>
          <w:spacing w:val="2"/>
        </w:rPr>
        <w:t>agresión, sino bajo formas </w:t>
      </w:r>
      <w:r>
        <w:rPr>
          <w:color w:val="231F20"/>
          <w:spacing w:val="3"/>
        </w:rPr>
        <w:t>extremadamente racionalizadas, como </w:t>
      </w:r>
      <w:r>
        <w:rPr>
          <w:color w:val="231F20"/>
          <w:spacing w:val="2"/>
        </w:rPr>
        <w:t>jurisdicción </w:t>
      </w:r>
      <w:r>
        <w:rPr>
          <w:color w:val="231F20"/>
        </w:rPr>
        <w:t>de las </w:t>
      </w:r>
      <w:r>
        <w:rPr>
          <w:color w:val="231F20"/>
          <w:spacing w:val="2"/>
        </w:rPr>
        <w:t>relaciones entre los </w:t>
      </w:r>
      <w:r>
        <w:rPr>
          <w:color w:val="231F20"/>
          <w:spacing w:val="3"/>
        </w:rPr>
        <w:t>hom- </w:t>
      </w:r>
      <w:r>
        <w:rPr>
          <w:color w:val="231F20"/>
          <w:spacing w:val="2"/>
        </w:rPr>
        <w:t>bres </w:t>
      </w:r>
      <w:r>
        <w:rPr>
          <w:color w:val="231F20"/>
        </w:rPr>
        <w:t>o </w:t>
      </w:r>
      <w:r>
        <w:rPr>
          <w:color w:val="231F20"/>
          <w:spacing w:val="3"/>
        </w:rPr>
        <w:t>como </w:t>
      </w:r>
      <w:r>
        <w:rPr>
          <w:color w:val="231F20"/>
          <w:spacing w:val="2"/>
        </w:rPr>
        <w:t>acción educativa para </w:t>
      </w:r>
      <w:r>
        <w:rPr>
          <w:color w:val="231F20"/>
          <w:spacing w:val="3"/>
        </w:rPr>
        <w:t>imponer </w:t>
      </w:r>
      <w:r>
        <w:rPr>
          <w:color w:val="231F20"/>
        </w:rPr>
        <w:t>un </w:t>
      </w:r>
      <w:r>
        <w:rPr>
          <w:color w:val="231F20"/>
          <w:spacing w:val="3"/>
        </w:rPr>
        <w:t>modo </w:t>
      </w:r>
      <w:r>
        <w:rPr>
          <w:color w:val="231F20"/>
          <w:spacing w:val="2"/>
        </w:rPr>
        <w:t>unilateral </w:t>
      </w:r>
      <w:r>
        <w:rPr>
          <w:color w:val="231F20"/>
        </w:rPr>
        <w:t>de </w:t>
      </w:r>
      <w:r>
        <w:rPr>
          <w:color w:val="231F20"/>
          <w:spacing w:val="2"/>
        </w:rPr>
        <w:t>vida, </w:t>
      </w:r>
      <w:r>
        <w:rPr>
          <w:color w:val="231F20"/>
        </w:rPr>
        <w:t>de </w:t>
      </w:r>
      <w:r>
        <w:rPr>
          <w:color w:val="231F20"/>
          <w:spacing w:val="2"/>
        </w:rPr>
        <w:t>organización </w:t>
      </w:r>
      <w:r>
        <w:rPr>
          <w:color w:val="231F20"/>
        </w:rPr>
        <w:t>de </w:t>
      </w:r>
      <w:r>
        <w:rPr>
          <w:color w:val="231F20"/>
          <w:spacing w:val="2"/>
        </w:rPr>
        <w:t>los sujetos</w:t>
      </w:r>
      <w:r>
        <w:rPr>
          <w:color w:val="231F20"/>
          <w:spacing w:val="-20"/>
        </w:rPr>
        <w:t> </w:t>
      </w:r>
      <w:r>
        <w:rPr>
          <w:color w:val="231F20"/>
          <w:spacing w:val="2"/>
        </w:rPr>
        <w:t>socializados.</w:t>
      </w:r>
    </w:p>
    <w:p>
      <w:pPr>
        <w:pStyle w:val="BodyText"/>
        <w:spacing w:before="7"/>
      </w:pPr>
    </w:p>
    <w:p>
      <w:pPr>
        <w:spacing w:before="0"/>
        <w:ind w:left="102" w:right="0" w:firstLine="0"/>
        <w:jc w:val="both"/>
        <w:rPr>
          <w:i/>
          <w:sz w:val="21"/>
        </w:rPr>
      </w:pPr>
      <w:r>
        <w:rPr>
          <w:i/>
          <w:color w:val="231F20"/>
          <w:w w:val="85"/>
          <w:sz w:val="21"/>
        </w:rPr>
        <w:t>La violencia en la escuela</w:t>
      </w:r>
    </w:p>
    <w:p>
      <w:pPr>
        <w:pStyle w:val="BodyText"/>
        <w:spacing w:before="4"/>
        <w:rPr>
          <w:i/>
          <w:sz w:val="24"/>
        </w:rPr>
      </w:pPr>
    </w:p>
    <w:p>
      <w:pPr>
        <w:pStyle w:val="BodyText"/>
        <w:spacing w:line="249" w:lineRule="auto"/>
        <w:ind w:left="101" w:right="115"/>
        <w:jc w:val="both"/>
      </w:pPr>
      <w:r>
        <w:rPr>
          <w:color w:val="231F20"/>
        </w:rPr>
        <w:t>Si seguimos el planteamiento de Fromm, podemos apuntar ciertas tendencias epistemológicas en el estudio de la violencia, de modo particular, cuando se refiere a la escuela. En este terreno encon- tramos una abundante literatura donde la violencia es tratada en términos de </w:t>
      </w:r>
      <w:r>
        <w:rPr>
          <w:i/>
          <w:color w:val="231F20"/>
        </w:rPr>
        <w:t>maltrato </w:t>
      </w:r>
      <w:r>
        <w:rPr>
          <w:color w:val="231F20"/>
        </w:rPr>
        <w:t>(Valadez, 2008; Ortega, 2008), de </w:t>
      </w:r>
      <w:r>
        <w:rPr>
          <w:i/>
          <w:color w:val="231F20"/>
        </w:rPr>
        <w:t>acoso </w:t>
      </w:r>
      <w:r>
        <w:rPr>
          <w:color w:val="231F20"/>
        </w:rPr>
        <w:t>(Olweus, 1998; Muzás, 2007; Voors, 2005; Castro, 2006),    como</w:t>
      </w:r>
    </w:p>
    <w:p>
      <w:pPr>
        <w:spacing w:after="0" w:line="249" w:lineRule="auto"/>
        <w:jc w:val="both"/>
        <w:sectPr>
          <w:headerReference w:type="default" r:id="rId193"/>
          <w:footerReference w:type="default" r:id="rId194"/>
          <w:pgSz w:w="7830" w:h="11910"/>
          <w:pgMar w:header="0" w:footer="424" w:top="500" w:bottom="620" w:left="920" w:right="900"/>
          <w:pgNumType w:start="9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5"/>
        <w:jc w:val="both"/>
      </w:pPr>
      <w:r>
        <w:rPr>
          <w:color w:val="231F20"/>
          <w:spacing w:val="2"/>
        </w:rPr>
        <w:t>resultado</w:t>
      </w:r>
      <w:r>
        <w:rPr>
          <w:color w:val="231F20"/>
          <w:spacing w:val="-14"/>
        </w:rPr>
        <w:t> </w:t>
      </w:r>
      <w:r>
        <w:rPr>
          <w:color w:val="231F20"/>
        </w:rPr>
        <w:t>de</w:t>
      </w:r>
      <w:r>
        <w:rPr>
          <w:color w:val="231F20"/>
          <w:spacing w:val="-14"/>
        </w:rPr>
        <w:t> </w:t>
      </w:r>
      <w:r>
        <w:rPr>
          <w:color w:val="231F20"/>
        </w:rPr>
        <w:t>la</w:t>
      </w:r>
      <w:r>
        <w:rPr>
          <w:color w:val="231F20"/>
          <w:spacing w:val="-14"/>
        </w:rPr>
        <w:t> </w:t>
      </w:r>
      <w:r>
        <w:rPr>
          <w:i/>
          <w:color w:val="231F20"/>
          <w:spacing w:val="2"/>
        </w:rPr>
        <w:t>indisciplina</w:t>
      </w:r>
      <w:r>
        <w:rPr>
          <w:i/>
          <w:color w:val="231F20"/>
          <w:spacing w:val="-14"/>
        </w:rPr>
        <w:t> </w:t>
      </w:r>
      <w:r>
        <w:rPr>
          <w:color w:val="231F20"/>
          <w:spacing w:val="2"/>
        </w:rPr>
        <w:t>(García,</w:t>
      </w:r>
      <w:r>
        <w:rPr>
          <w:color w:val="231F20"/>
          <w:spacing w:val="-15"/>
        </w:rPr>
        <w:t> </w:t>
      </w:r>
      <w:r>
        <w:rPr>
          <w:color w:val="231F20"/>
          <w:spacing w:val="2"/>
        </w:rPr>
        <w:t>2008;</w:t>
      </w:r>
      <w:r>
        <w:rPr>
          <w:color w:val="231F20"/>
          <w:spacing w:val="-15"/>
        </w:rPr>
        <w:t> </w:t>
      </w:r>
      <w:r>
        <w:rPr>
          <w:color w:val="231F20"/>
          <w:spacing w:val="2"/>
        </w:rPr>
        <w:t>Ortega</w:t>
      </w:r>
      <w:r>
        <w:rPr>
          <w:color w:val="231F20"/>
          <w:spacing w:val="-14"/>
        </w:rPr>
        <w:t> </w:t>
      </w:r>
      <w:r>
        <w:rPr>
          <w:color w:val="231F20"/>
        </w:rPr>
        <w:t>y</w:t>
      </w:r>
      <w:r>
        <w:rPr>
          <w:color w:val="231F20"/>
          <w:spacing w:val="-14"/>
        </w:rPr>
        <w:t> </w:t>
      </w:r>
      <w:r>
        <w:rPr>
          <w:color w:val="231F20"/>
        </w:rPr>
        <w:t>del</w:t>
      </w:r>
      <w:r>
        <w:rPr>
          <w:color w:val="231F20"/>
          <w:spacing w:val="-15"/>
        </w:rPr>
        <w:t> </w:t>
      </w:r>
      <w:r>
        <w:rPr>
          <w:color w:val="231F20"/>
          <w:spacing w:val="2"/>
        </w:rPr>
        <w:t>Rey,</w:t>
      </w:r>
      <w:r>
        <w:rPr>
          <w:color w:val="231F20"/>
          <w:spacing w:val="-15"/>
        </w:rPr>
        <w:t> </w:t>
      </w:r>
      <w:r>
        <w:rPr>
          <w:color w:val="231F20"/>
          <w:spacing w:val="2"/>
        </w:rPr>
        <w:t>2003),</w:t>
      </w:r>
      <w:r>
        <w:rPr>
          <w:color w:val="231F20"/>
          <w:spacing w:val="-15"/>
        </w:rPr>
        <w:t> </w:t>
      </w:r>
      <w:r>
        <w:rPr>
          <w:color w:val="231F20"/>
        </w:rPr>
        <w:t>o </w:t>
      </w:r>
      <w:r>
        <w:rPr>
          <w:color w:val="231F20"/>
          <w:spacing w:val="2"/>
        </w:rPr>
        <w:t>bien </w:t>
      </w:r>
      <w:r>
        <w:rPr>
          <w:color w:val="231F20"/>
          <w:spacing w:val="3"/>
        </w:rPr>
        <w:t>como </w:t>
      </w:r>
      <w:r>
        <w:rPr>
          <w:i/>
          <w:color w:val="231F20"/>
          <w:spacing w:val="2"/>
        </w:rPr>
        <w:t>desprecio</w:t>
      </w:r>
      <w:r>
        <w:rPr>
          <w:color w:val="231F20"/>
          <w:spacing w:val="2"/>
        </w:rPr>
        <w:t>, especialmente para tratar </w:t>
      </w:r>
      <w:r>
        <w:rPr>
          <w:color w:val="231F20"/>
        </w:rPr>
        <w:t>las </w:t>
      </w:r>
      <w:r>
        <w:rPr>
          <w:color w:val="231F20"/>
          <w:spacing w:val="2"/>
        </w:rPr>
        <w:t>relaciones </w:t>
      </w:r>
      <w:r>
        <w:rPr>
          <w:color w:val="231F20"/>
        </w:rPr>
        <w:t>de </w:t>
      </w:r>
      <w:r>
        <w:rPr>
          <w:color w:val="231F20"/>
          <w:spacing w:val="2"/>
        </w:rPr>
        <w:t>género </w:t>
      </w:r>
      <w:r>
        <w:rPr>
          <w:color w:val="231F20"/>
        </w:rPr>
        <w:t>o de </w:t>
      </w:r>
      <w:r>
        <w:rPr>
          <w:color w:val="231F20"/>
          <w:spacing w:val="3"/>
        </w:rPr>
        <w:t>reconocimiento </w:t>
      </w:r>
      <w:r>
        <w:rPr>
          <w:color w:val="231F20"/>
        </w:rPr>
        <w:t>de la </w:t>
      </w:r>
      <w:r>
        <w:rPr>
          <w:color w:val="231F20"/>
          <w:spacing w:val="2"/>
        </w:rPr>
        <w:t>otredad  (Fisas, 2004), </w:t>
      </w:r>
      <w:r>
        <w:rPr>
          <w:color w:val="231F20"/>
        </w:rPr>
        <w:t>en  ese </w:t>
      </w:r>
      <w:r>
        <w:rPr>
          <w:color w:val="231F20"/>
          <w:spacing w:val="2"/>
        </w:rPr>
        <w:t>mar </w:t>
      </w:r>
      <w:r>
        <w:rPr>
          <w:color w:val="231F20"/>
        </w:rPr>
        <w:t>de </w:t>
      </w:r>
      <w:r>
        <w:rPr>
          <w:color w:val="231F20"/>
          <w:spacing w:val="3"/>
        </w:rPr>
        <w:t>propuestas </w:t>
      </w:r>
      <w:r>
        <w:rPr>
          <w:color w:val="231F20"/>
        </w:rPr>
        <w:t>de </w:t>
      </w:r>
      <w:r>
        <w:rPr>
          <w:color w:val="231F20"/>
          <w:spacing w:val="2"/>
        </w:rPr>
        <w:t>investigación </w:t>
      </w:r>
      <w:r>
        <w:rPr>
          <w:color w:val="231F20"/>
          <w:spacing w:val="3"/>
        </w:rPr>
        <w:t>domina </w:t>
      </w:r>
      <w:r>
        <w:rPr>
          <w:color w:val="231F20"/>
        </w:rPr>
        <w:t>el </w:t>
      </w:r>
      <w:r>
        <w:rPr>
          <w:color w:val="231F20"/>
          <w:spacing w:val="2"/>
        </w:rPr>
        <w:t>interés por prevenir </w:t>
      </w:r>
      <w:r>
        <w:rPr>
          <w:color w:val="231F20"/>
        </w:rPr>
        <w:t>la </w:t>
      </w:r>
      <w:r>
        <w:rPr>
          <w:color w:val="231F20"/>
          <w:spacing w:val="2"/>
        </w:rPr>
        <w:t>violencia </w:t>
      </w:r>
      <w:r>
        <w:rPr>
          <w:color w:val="231F20"/>
          <w:spacing w:val="3"/>
        </w:rPr>
        <w:t>mediante </w:t>
      </w:r>
      <w:r>
        <w:rPr>
          <w:color w:val="231F20"/>
        </w:rPr>
        <w:t>la </w:t>
      </w:r>
      <w:r>
        <w:rPr>
          <w:color w:val="231F20"/>
          <w:spacing w:val="3"/>
        </w:rPr>
        <w:t>reordenación </w:t>
      </w:r>
      <w:r>
        <w:rPr>
          <w:color w:val="231F20"/>
        </w:rPr>
        <w:t>de las </w:t>
      </w:r>
      <w:r>
        <w:rPr>
          <w:color w:val="231F20"/>
          <w:spacing w:val="3"/>
        </w:rPr>
        <w:t>formas </w:t>
      </w:r>
      <w:r>
        <w:rPr>
          <w:color w:val="231F20"/>
        </w:rPr>
        <w:t>de </w:t>
      </w:r>
      <w:r>
        <w:rPr>
          <w:color w:val="231F20"/>
          <w:spacing w:val="3"/>
        </w:rPr>
        <w:t>conviven- </w:t>
      </w:r>
      <w:r>
        <w:rPr>
          <w:color w:val="231F20"/>
        </w:rPr>
        <w:t>cia en las </w:t>
      </w:r>
      <w:r>
        <w:rPr>
          <w:color w:val="231F20"/>
          <w:spacing w:val="2"/>
        </w:rPr>
        <w:t>aulas, </w:t>
      </w:r>
      <w:r>
        <w:rPr>
          <w:color w:val="231F20"/>
        </w:rPr>
        <w:t>o </w:t>
      </w:r>
      <w:r>
        <w:rPr>
          <w:color w:val="231F20"/>
          <w:spacing w:val="2"/>
        </w:rPr>
        <w:t>bien, </w:t>
      </w:r>
      <w:r>
        <w:rPr>
          <w:color w:val="231F20"/>
          <w:spacing w:val="3"/>
        </w:rPr>
        <w:t>disminuyendo </w:t>
      </w:r>
      <w:r>
        <w:rPr>
          <w:color w:val="231F20"/>
        </w:rPr>
        <w:t>lo </w:t>
      </w:r>
      <w:r>
        <w:rPr>
          <w:color w:val="231F20"/>
          <w:spacing w:val="2"/>
        </w:rPr>
        <w:t>que </w:t>
      </w:r>
      <w:r>
        <w:rPr>
          <w:color w:val="231F20"/>
        </w:rPr>
        <w:t>se </w:t>
      </w:r>
      <w:r>
        <w:rPr>
          <w:color w:val="231F20"/>
          <w:spacing w:val="2"/>
        </w:rPr>
        <w:t>consideran causas </w:t>
      </w:r>
      <w:r>
        <w:rPr>
          <w:color w:val="231F20"/>
        </w:rPr>
        <w:t>de </w:t>
      </w:r>
      <w:r>
        <w:rPr>
          <w:color w:val="231F20"/>
          <w:spacing w:val="2"/>
        </w:rPr>
        <w:t>conflictos que, por </w:t>
      </w:r>
      <w:r>
        <w:rPr>
          <w:color w:val="231F20"/>
        </w:rPr>
        <w:t>lo </w:t>
      </w:r>
      <w:r>
        <w:rPr>
          <w:color w:val="231F20"/>
          <w:spacing w:val="2"/>
        </w:rPr>
        <w:t>regular, son ubicados </w:t>
      </w:r>
      <w:r>
        <w:rPr>
          <w:color w:val="231F20"/>
        </w:rPr>
        <w:t>en </w:t>
      </w:r>
      <w:r>
        <w:rPr>
          <w:color w:val="231F20"/>
          <w:spacing w:val="2"/>
        </w:rPr>
        <w:t>desajustes </w:t>
      </w:r>
      <w:r>
        <w:rPr>
          <w:color w:val="231F20"/>
        </w:rPr>
        <w:t>del </w:t>
      </w:r>
      <w:r>
        <w:rPr>
          <w:color w:val="231F20"/>
          <w:spacing w:val="2"/>
        </w:rPr>
        <w:t>sujeto respecto </w:t>
      </w:r>
      <w:r>
        <w:rPr>
          <w:color w:val="231F20"/>
        </w:rPr>
        <w:t>a la </w:t>
      </w:r>
      <w:r>
        <w:rPr>
          <w:color w:val="231F20"/>
          <w:spacing w:val="2"/>
        </w:rPr>
        <w:t>observancia </w:t>
      </w:r>
      <w:r>
        <w:rPr>
          <w:color w:val="231F20"/>
        </w:rPr>
        <w:t>de </w:t>
      </w:r>
      <w:r>
        <w:rPr>
          <w:color w:val="231F20"/>
          <w:spacing w:val="3"/>
        </w:rPr>
        <w:t>determinadas normas. </w:t>
      </w:r>
      <w:r>
        <w:rPr>
          <w:color w:val="231F20"/>
          <w:spacing w:val="2"/>
        </w:rPr>
        <w:t>Por </w:t>
      </w:r>
      <w:r>
        <w:rPr>
          <w:color w:val="231F20"/>
        </w:rPr>
        <w:t>ello </w:t>
      </w:r>
      <w:r>
        <w:rPr>
          <w:color w:val="231F20"/>
          <w:spacing w:val="2"/>
        </w:rPr>
        <w:t>destacan </w:t>
      </w:r>
      <w:r>
        <w:rPr>
          <w:color w:val="231F20"/>
        </w:rPr>
        <w:t>las </w:t>
      </w:r>
      <w:r>
        <w:rPr>
          <w:color w:val="231F20"/>
          <w:spacing w:val="2"/>
        </w:rPr>
        <w:t>perspectivas que examinan </w:t>
      </w:r>
      <w:r>
        <w:rPr>
          <w:color w:val="231F20"/>
        </w:rPr>
        <w:t>la </w:t>
      </w:r>
      <w:r>
        <w:rPr>
          <w:color w:val="231F20"/>
          <w:spacing w:val="2"/>
        </w:rPr>
        <w:t>violencia </w:t>
      </w:r>
      <w:r>
        <w:rPr>
          <w:color w:val="231F20"/>
          <w:spacing w:val="3"/>
        </w:rPr>
        <w:t>como resulta- </w:t>
      </w:r>
      <w:r>
        <w:rPr>
          <w:color w:val="231F20"/>
        </w:rPr>
        <w:t>do de </w:t>
      </w:r>
      <w:r>
        <w:rPr>
          <w:color w:val="231F20"/>
          <w:spacing w:val="3"/>
        </w:rPr>
        <w:t>“promesas incumplidas </w:t>
      </w:r>
      <w:r>
        <w:rPr>
          <w:color w:val="231F20"/>
        </w:rPr>
        <w:t>y </w:t>
      </w:r>
      <w:r>
        <w:rPr>
          <w:color w:val="231F20"/>
          <w:spacing w:val="2"/>
        </w:rPr>
        <w:t>ausencia </w:t>
      </w:r>
      <w:r>
        <w:rPr>
          <w:color w:val="231F20"/>
        </w:rPr>
        <w:t>de </w:t>
      </w:r>
      <w:r>
        <w:rPr>
          <w:color w:val="231F20"/>
          <w:spacing w:val="2"/>
        </w:rPr>
        <w:t>perspectivas </w:t>
      </w:r>
      <w:r>
        <w:rPr>
          <w:color w:val="231F20"/>
        </w:rPr>
        <w:t>de </w:t>
      </w:r>
      <w:r>
        <w:rPr>
          <w:color w:val="231F20"/>
          <w:spacing w:val="3"/>
        </w:rPr>
        <w:t>futu- </w:t>
      </w:r>
      <w:r>
        <w:rPr>
          <w:color w:val="231F20"/>
          <w:spacing w:val="2"/>
        </w:rPr>
        <w:t>ro” </w:t>
      </w:r>
      <w:r>
        <w:rPr>
          <w:color w:val="231F20"/>
        </w:rPr>
        <w:t>en </w:t>
      </w:r>
      <w:r>
        <w:rPr>
          <w:color w:val="231F20"/>
          <w:spacing w:val="2"/>
        </w:rPr>
        <w:t>franco </w:t>
      </w:r>
      <w:r>
        <w:rPr>
          <w:color w:val="231F20"/>
          <w:spacing w:val="3"/>
        </w:rPr>
        <w:t>cuestionamiento </w:t>
      </w:r>
      <w:r>
        <w:rPr>
          <w:color w:val="231F20"/>
        </w:rPr>
        <w:t>a las </w:t>
      </w:r>
      <w:r>
        <w:rPr>
          <w:color w:val="231F20"/>
          <w:spacing w:val="2"/>
        </w:rPr>
        <w:t>teorías que </w:t>
      </w:r>
      <w:r>
        <w:rPr>
          <w:color w:val="231F20"/>
        </w:rPr>
        <w:t>la </w:t>
      </w:r>
      <w:r>
        <w:rPr>
          <w:color w:val="231F20"/>
          <w:spacing w:val="2"/>
        </w:rPr>
        <w:t>conciben </w:t>
      </w:r>
      <w:r>
        <w:rPr>
          <w:color w:val="231F20"/>
          <w:spacing w:val="3"/>
        </w:rPr>
        <w:t>como </w:t>
      </w:r>
      <w:r>
        <w:rPr>
          <w:color w:val="231F20"/>
          <w:spacing w:val="2"/>
        </w:rPr>
        <w:t>resultado </w:t>
      </w:r>
      <w:r>
        <w:rPr>
          <w:color w:val="231F20"/>
        </w:rPr>
        <w:t>de la </w:t>
      </w:r>
      <w:r>
        <w:rPr>
          <w:color w:val="231F20"/>
          <w:spacing w:val="3"/>
        </w:rPr>
        <w:t>pobreza </w:t>
      </w:r>
      <w:r>
        <w:rPr>
          <w:color w:val="231F20"/>
        </w:rPr>
        <w:t>o de </w:t>
      </w:r>
      <w:r>
        <w:rPr>
          <w:color w:val="231F20"/>
          <w:spacing w:val="3"/>
        </w:rPr>
        <w:t>determinismos </w:t>
      </w:r>
      <w:r>
        <w:rPr>
          <w:color w:val="231F20"/>
          <w:spacing w:val="2"/>
        </w:rPr>
        <w:t>naturalistas (Bleich- mar, 2008), </w:t>
      </w:r>
      <w:r>
        <w:rPr>
          <w:color w:val="231F20"/>
        </w:rPr>
        <w:t>o los </w:t>
      </w:r>
      <w:r>
        <w:rPr>
          <w:color w:val="231F20"/>
          <w:spacing w:val="2"/>
        </w:rPr>
        <w:t>trabajos </w:t>
      </w:r>
      <w:r>
        <w:rPr>
          <w:color w:val="231F20"/>
        </w:rPr>
        <w:t>que </w:t>
      </w:r>
      <w:r>
        <w:rPr>
          <w:color w:val="231F20"/>
          <w:spacing w:val="2"/>
        </w:rPr>
        <w:t>colocan </w:t>
      </w:r>
      <w:r>
        <w:rPr>
          <w:color w:val="231F20"/>
        </w:rPr>
        <w:t>la </w:t>
      </w:r>
      <w:r>
        <w:rPr>
          <w:color w:val="231F20"/>
          <w:spacing w:val="2"/>
        </w:rPr>
        <w:t>atención </w:t>
      </w:r>
      <w:r>
        <w:rPr>
          <w:color w:val="231F20"/>
        </w:rPr>
        <w:t>en la </w:t>
      </w:r>
      <w:r>
        <w:rPr>
          <w:color w:val="231F20"/>
          <w:spacing w:val="3"/>
        </w:rPr>
        <w:t>construc- </w:t>
      </w:r>
      <w:r>
        <w:rPr>
          <w:color w:val="231F20"/>
          <w:spacing w:val="2"/>
        </w:rPr>
        <w:t>ción </w:t>
      </w:r>
      <w:r>
        <w:rPr>
          <w:color w:val="231F20"/>
        </w:rPr>
        <w:t>de </w:t>
      </w:r>
      <w:r>
        <w:rPr>
          <w:color w:val="231F20"/>
          <w:spacing w:val="2"/>
        </w:rPr>
        <w:t>subjetividades, </w:t>
      </w:r>
      <w:r>
        <w:rPr>
          <w:color w:val="231F20"/>
          <w:spacing w:val="3"/>
        </w:rPr>
        <w:t>aunque </w:t>
      </w:r>
      <w:r>
        <w:rPr>
          <w:color w:val="231F20"/>
          <w:spacing w:val="2"/>
        </w:rPr>
        <w:t>tiendan </w:t>
      </w:r>
      <w:r>
        <w:rPr>
          <w:color w:val="231F20"/>
        </w:rPr>
        <w:t>a </w:t>
      </w:r>
      <w:r>
        <w:rPr>
          <w:color w:val="231F20"/>
          <w:spacing w:val="2"/>
        </w:rPr>
        <w:t>ubicarse desde una teoría sistémica </w:t>
      </w:r>
      <w:r>
        <w:rPr>
          <w:color w:val="231F20"/>
          <w:spacing w:val="3"/>
        </w:rPr>
        <w:t>(Kalbermatter,</w:t>
      </w:r>
      <w:r>
        <w:rPr>
          <w:color w:val="231F20"/>
          <w:spacing w:val="-41"/>
        </w:rPr>
        <w:t> </w:t>
      </w:r>
      <w:r>
        <w:rPr>
          <w:color w:val="231F20"/>
          <w:spacing w:val="2"/>
        </w:rPr>
        <w:t>2005).</w:t>
      </w:r>
    </w:p>
    <w:p>
      <w:pPr>
        <w:pStyle w:val="BodyText"/>
        <w:spacing w:line="249" w:lineRule="auto"/>
        <w:ind w:left="101" w:right="116" w:firstLine="284"/>
        <w:jc w:val="both"/>
      </w:pPr>
      <w:r>
        <w:rPr>
          <w:color w:val="231F20"/>
        </w:rPr>
        <w:t>La última perspectiva subjetivista, tal como se presenta en la propuesta de Kalbermatter, considera que “la violencia es una cua- lidad determinada de la agresión: la virulencia destructiva de la misma y es privativa del ser humano” (Kalbermatter, 2005:17) y le atribuye “al menos tres elementos específicamente humanos”:</w:t>
      </w:r>
    </w:p>
    <w:p>
      <w:pPr>
        <w:pStyle w:val="BodyText"/>
        <w:rPr>
          <w:sz w:val="23"/>
        </w:rPr>
      </w:pPr>
    </w:p>
    <w:p>
      <w:pPr>
        <w:pStyle w:val="ListParagraph"/>
        <w:numPr>
          <w:ilvl w:val="1"/>
          <w:numId w:val="3"/>
        </w:numPr>
        <w:tabs>
          <w:tab w:pos="1171" w:val="left" w:leader="none"/>
        </w:tabs>
        <w:spacing w:line="273" w:lineRule="auto" w:before="1" w:after="0"/>
        <w:ind w:left="1170" w:right="163" w:hanging="360"/>
        <w:jc w:val="both"/>
        <w:rPr>
          <w:sz w:val="19"/>
        </w:rPr>
      </w:pPr>
      <w:r>
        <w:rPr>
          <w:color w:val="231F20"/>
          <w:sz w:val="19"/>
        </w:rPr>
        <w:t>Es un comportamiento que tiene intencionalidad de daño,    lo logre o no, inmediata o mediatamente. El daño apunta a    la integridad del otro, un igual que es reducido al dominio  del</w:t>
      </w:r>
      <w:r>
        <w:rPr>
          <w:color w:val="231F20"/>
          <w:spacing w:val="-16"/>
          <w:sz w:val="19"/>
        </w:rPr>
        <w:t> </w:t>
      </w:r>
      <w:r>
        <w:rPr>
          <w:color w:val="231F20"/>
          <w:sz w:val="19"/>
        </w:rPr>
        <w:t>victimario.</w:t>
      </w:r>
    </w:p>
    <w:p>
      <w:pPr>
        <w:pStyle w:val="ListParagraph"/>
        <w:numPr>
          <w:ilvl w:val="1"/>
          <w:numId w:val="3"/>
        </w:numPr>
        <w:tabs>
          <w:tab w:pos="1171" w:val="left" w:leader="none"/>
        </w:tabs>
        <w:spacing w:line="276" w:lineRule="auto" w:before="1" w:after="0"/>
        <w:ind w:left="1170" w:right="165" w:hanging="360"/>
        <w:jc w:val="both"/>
        <w:rPr>
          <w:sz w:val="19"/>
        </w:rPr>
      </w:pPr>
      <w:r>
        <w:rPr>
          <w:color w:val="231F20"/>
          <w:sz w:val="19"/>
        </w:rPr>
        <w:t>Es renuncia a la representación del otro como igual, lo que implica que el otro es considerado por el que ejerce violen- cia como un inferior en dignidad y derechos: es codificado, objetivizado o reificado con el fin de someterlo a nuestro dominio.</w:t>
      </w:r>
    </w:p>
    <w:p>
      <w:pPr>
        <w:pStyle w:val="ListParagraph"/>
        <w:numPr>
          <w:ilvl w:val="1"/>
          <w:numId w:val="3"/>
        </w:numPr>
        <w:tabs>
          <w:tab w:pos="1171" w:val="left" w:leader="none"/>
        </w:tabs>
        <w:spacing w:line="273" w:lineRule="auto" w:before="0" w:after="0"/>
        <w:ind w:left="1170" w:right="162" w:hanging="360"/>
        <w:jc w:val="both"/>
        <w:rPr>
          <w:sz w:val="19"/>
        </w:rPr>
      </w:pPr>
      <w:r>
        <w:rPr>
          <w:color w:val="231F20"/>
          <w:sz w:val="19"/>
        </w:rPr>
        <w:t>Tiene siempre un sustrato ideológico: especialmente en el siglo recién concluido, el fomento de la violencia adquirió  un soporte filosófico y teórico, que legitimó la violencia de unos en contra de otros: a la violencia reaccionaria se le opuso la violencia revolucionaria, a la violencia subversiva, se le opuso la violencia del Estado, en este caso el lenguaje tiene un papel relevante (Kalbermatter, 2005:17).</w:t>
      </w:r>
    </w:p>
    <w:p>
      <w:pPr>
        <w:spacing w:after="0" w:line="273" w:lineRule="auto"/>
        <w:jc w:val="both"/>
        <w:rPr>
          <w:sz w:val="19"/>
        </w:rPr>
        <w:sectPr>
          <w:headerReference w:type="default" r:id="rId195"/>
          <w:footerReference w:type="default" r:id="rId196"/>
          <w:pgSz w:w="7830" w:h="11910"/>
          <w:pgMar w:header="0" w:footer="424" w:top="500" w:bottom="620" w:left="920" w:right="900"/>
          <w:pgNumType w:start="9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before="92"/>
        <w:ind w:left="386" w:right="121"/>
      </w:pPr>
      <w:r>
        <w:rPr>
          <w:color w:val="231F20"/>
        </w:rPr>
        <w:t>Kalbermatter procede a tipificar las formas de violencia como:</w:t>
      </w:r>
    </w:p>
    <w:p>
      <w:pPr>
        <w:pStyle w:val="BodyText"/>
        <w:rPr>
          <w:sz w:val="24"/>
        </w:rPr>
      </w:pPr>
    </w:p>
    <w:p>
      <w:pPr>
        <w:spacing w:line="273" w:lineRule="auto" w:before="0"/>
        <w:ind w:left="810" w:right="166" w:firstLine="0"/>
        <w:jc w:val="both"/>
        <w:rPr>
          <w:sz w:val="19"/>
        </w:rPr>
      </w:pPr>
      <w:r>
        <w:rPr>
          <w:color w:val="231F20"/>
          <w:sz w:val="19"/>
        </w:rPr>
        <w:t>(…) Personal, que ha comenzado a ser sancionada con más cer- teza en estos últimos tiempos de la  humanidad.</w:t>
      </w:r>
    </w:p>
    <w:p>
      <w:pPr>
        <w:spacing w:line="273" w:lineRule="auto" w:before="1"/>
        <w:ind w:left="810" w:right="165" w:firstLine="0"/>
        <w:jc w:val="both"/>
        <w:rPr>
          <w:sz w:val="19"/>
        </w:rPr>
      </w:pPr>
      <w:r>
        <w:rPr>
          <w:color w:val="231F20"/>
          <w:sz w:val="19"/>
        </w:rPr>
        <w:t>(…) Interpersonal, es aquella que se expresa con el otro, cultural  o social con el semejante inmediato –‘el vecino’– o con un refe- rente externo respecto de la sociedad: tiene un carácter anónimo. (…) Institucionalizada, que es así porque es aceptada socialmen- te, no es cuestionada; hay un menor grado de identificación, no   es un sujeto el que imparte violencia sino la propia sociedad; es una violencia que viene desde ‘arriba’… las instituciones tienen todo el poder para condenarnos, pero nosotros, más allá de lo formal declamativo, no tenemos posibilidad de condenar lo ins- titucional… Este último tipo de violencia se ejerce siempre des- de un plano superior en cualquier tipo de sociedad, y admite  cierta amplitud interpretativa en  los actos, puesto  que depende  de la particularidad cultural (Kalbermatter,</w:t>
      </w:r>
      <w:r>
        <w:rPr>
          <w:color w:val="231F20"/>
          <w:spacing w:val="-34"/>
          <w:sz w:val="19"/>
        </w:rPr>
        <w:t> </w:t>
      </w:r>
      <w:r>
        <w:rPr>
          <w:color w:val="231F20"/>
          <w:sz w:val="19"/>
        </w:rPr>
        <w:t>2005:18-19).</w:t>
      </w:r>
    </w:p>
    <w:p>
      <w:pPr>
        <w:pStyle w:val="BodyText"/>
        <w:spacing w:before="8"/>
        <w:rPr>
          <w:sz w:val="20"/>
        </w:rPr>
      </w:pPr>
    </w:p>
    <w:p>
      <w:pPr>
        <w:pStyle w:val="BodyText"/>
        <w:spacing w:line="249" w:lineRule="auto"/>
        <w:ind w:left="102" w:right="115" w:firstLine="284"/>
        <w:jc w:val="both"/>
      </w:pPr>
      <w:r>
        <w:rPr>
          <w:color w:val="231F20"/>
        </w:rPr>
        <w:t>Sin </w:t>
      </w:r>
      <w:r>
        <w:rPr>
          <w:color w:val="231F20"/>
          <w:spacing w:val="3"/>
        </w:rPr>
        <w:t>embargo, Kalbermatter </w:t>
      </w:r>
      <w:r>
        <w:rPr>
          <w:color w:val="231F20"/>
        </w:rPr>
        <w:t>al </w:t>
      </w:r>
      <w:r>
        <w:rPr>
          <w:color w:val="231F20"/>
          <w:spacing w:val="2"/>
        </w:rPr>
        <w:t>asumir una perspectiva teórica sistémica, concibe </w:t>
      </w:r>
      <w:r>
        <w:rPr>
          <w:color w:val="231F20"/>
        </w:rPr>
        <w:t>a la </w:t>
      </w:r>
      <w:r>
        <w:rPr>
          <w:color w:val="231F20"/>
          <w:spacing w:val="2"/>
        </w:rPr>
        <w:t>institución escolar </w:t>
      </w:r>
      <w:r>
        <w:rPr>
          <w:color w:val="231F20"/>
          <w:spacing w:val="3"/>
        </w:rPr>
        <w:t>como </w:t>
      </w:r>
      <w:r>
        <w:rPr>
          <w:color w:val="231F20"/>
        </w:rPr>
        <w:t>un </w:t>
      </w:r>
      <w:r>
        <w:rPr>
          <w:color w:val="231F20"/>
          <w:spacing w:val="2"/>
        </w:rPr>
        <w:t>“espacio </w:t>
      </w:r>
      <w:r>
        <w:rPr>
          <w:color w:val="231F20"/>
          <w:spacing w:val="3"/>
        </w:rPr>
        <w:t>don- </w:t>
      </w:r>
      <w:r>
        <w:rPr>
          <w:color w:val="231F20"/>
        </w:rPr>
        <w:t>de </w:t>
      </w:r>
      <w:r>
        <w:rPr>
          <w:color w:val="231F20"/>
          <w:spacing w:val="2"/>
        </w:rPr>
        <w:t>conviven </w:t>
      </w:r>
      <w:r>
        <w:rPr>
          <w:color w:val="231F20"/>
        </w:rPr>
        <w:t>el </w:t>
      </w:r>
      <w:r>
        <w:rPr>
          <w:color w:val="231F20"/>
          <w:spacing w:val="2"/>
        </w:rPr>
        <w:t>interjuego </w:t>
      </w:r>
      <w:r>
        <w:rPr>
          <w:color w:val="231F20"/>
        </w:rPr>
        <w:t>de </w:t>
      </w:r>
      <w:r>
        <w:rPr>
          <w:color w:val="231F20"/>
          <w:spacing w:val="3"/>
        </w:rPr>
        <w:t>poderes </w:t>
      </w:r>
      <w:r>
        <w:rPr>
          <w:color w:val="231F20"/>
        </w:rPr>
        <w:t>y </w:t>
      </w:r>
      <w:r>
        <w:rPr>
          <w:color w:val="231F20"/>
          <w:spacing w:val="2"/>
        </w:rPr>
        <w:t>también </w:t>
      </w:r>
      <w:r>
        <w:rPr>
          <w:color w:val="231F20"/>
        </w:rPr>
        <w:t>las </w:t>
      </w:r>
      <w:r>
        <w:rPr>
          <w:color w:val="231F20"/>
          <w:spacing w:val="2"/>
        </w:rPr>
        <w:t>intenciones </w:t>
      </w:r>
      <w:r>
        <w:rPr>
          <w:color w:val="231F20"/>
        </w:rPr>
        <w:t>de </w:t>
      </w:r>
      <w:r>
        <w:rPr>
          <w:color w:val="231F20"/>
          <w:spacing w:val="2"/>
        </w:rPr>
        <w:t>alterar </w:t>
      </w:r>
      <w:r>
        <w:rPr>
          <w:color w:val="231F20"/>
        </w:rPr>
        <w:t>el </w:t>
      </w:r>
      <w:r>
        <w:rPr>
          <w:color w:val="231F20"/>
          <w:spacing w:val="2"/>
        </w:rPr>
        <w:t>orden institucional establecido, </w:t>
      </w:r>
      <w:r>
        <w:rPr>
          <w:color w:val="231F20"/>
        </w:rPr>
        <w:t>se </w:t>
      </w:r>
      <w:r>
        <w:rPr>
          <w:color w:val="231F20"/>
          <w:spacing w:val="2"/>
        </w:rPr>
        <w:t>observa </w:t>
      </w:r>
      <w:r>
        <w:rPr>
          <w:color w:val="231F20"/>
        </w:rPr>
        <w:t>que </w:t>
      </w:r>
      <w:r>
        <w:rPr>
          <w:color w:val="231F20"/>
          <w:spacing w:val="3"/>
        </w:rPr>
        <w:t>estas </w:t>
      </w:r>
      <w:r>
        <w:rPr>
          <w:color w:val="231F20"/>
          <w:spacing w:val="2"/>
        </w:rPr>
        <w:t>últimas están más presentes cuando </w:t>
      </w:r>
      <w:r>
        <w:rPr>
          <w:color w:val="231F20"/>
        </w:rPr>
        <w:t>ese </w:t>
      </w:r>
      <w:r>
        <w:rPr>
          <w:color w:val="231F20"/>
          <w:spacing w:val="2"/>
        </w:rPr>
        <w:t>orden </w:t>
      </w:r>
      <w:r>
        <w:rPr>
          <w:color w:val="231F20"/>
        </w:rPr>
        <w:t>no </w:t>
      </w:r>
      <w:r>
        <w:rPr>
          <w:color w:val="231F20"/>
          <w:spacing w:val="3"/>
        </w:rPr>
        <w:t>responde </w:t>
      </w:r>
      <w:r>
        <w:rPr>
          <w:color w:val="231F20"/>
        </w:rPr>
        <w:t>a </w:t>
      </w:r>
      <w:r>
        <w:rPr>
          <w:color w:val="231F20"/>
          <w:spacing w:val="2"/>
        </w:rPr>
        <w:t>las necesidades </w:t>
      </w:r>
      <w:r>
        <w:rPr>
          <w:color w:val="231F20"/>
        </w:rPr>
        <w:t>y </w:t>
      </w:r>
      <w:r>
        <w:rPr>
          <w:color w:val="231F20"/>
          <w:spacing w:val="2"/>
        </w:rPr>
        <w:t>expectativas </w:t>
      </w:r>
      <w:r>
        <w:rPr>
          <w:color w:val="231F20"/>
        </w:rPr>
        <w:t>de sus </w:t>
      </w:r>
      <w:r>
        <w:rPr>
          <w:color w:val="231F20"/>
          <w:spacing w:val="3"/>
        </w:rPr>
        <w:t>miembros” (Kalbermatter, </w:t>
      </w:r>
      <w:r>
        <w:rPr>
          <w:color w:val="231F20"/>
          <w:spacing w:val="2"/>
        </w:rPr>
        <w:t>2005:83). </w:t>
      </w:r>
      <w:r>
        <w:rPr>
          <w:color w:val="231F20"/>
          <w:spacing w:val="3"/>
        </w:rPr>
        <w:t>Desde </w:t>
      </w:r>
      <w:r>
        <w:rPr>
          <w:color w:val="231F20"/>
        </w:rPr>
        <w:t>esa </w:t>
      </w:r>
      <w:r>
        <w:rPr>
          <w:color w:val="231F20"/>
          <w:spacing w:val="2"/>
        </w:rPr>
        <w:t>perspectiva sostiene </w:t>
      </w:r>
      <w:r>
        <w:rPr>
          <w:color w:val="231F20"/>
        </w:rPr>
        <w:t>que “la </w:t>
      </w:r>
      <w:r>
        <w:rPr>
          <w:color w:val="231F20"/>
          <w:spacing w:val="2"/>
        </w:rPr>
        <w:t>violencia puede instalarse </w:t>
      </w:r>
      <w:r>
        <w:rPr>
          <w:color w:val="231F20"/>
        </w:rPr>
        <w:t>en la </w:t>
      </w:r>
      <w:r>
        <w:rPr>
          <w:color w:val="231F20"/>
          <w:spacing w:val="2"/>
        </w:rPr>
        <w:t>escuela </w:t>
      </w:r>
      <w:r>
        <w:rPr>
          <w:color w:val="231F20"/>
          <w:spacing w:val="3"/>
        </w:rPr>
        <w:t>como </w:t>
      </w:r>
      <w:r>
        <w:rPr>
          <w:color w:val="231F20"/>
          <w:spacing w:val="2"/>
        </w:rPr>
        <w:t>una </w:t>
      </w:r>
      <w:r>
        <w:rPr>
          <w:color w:val="231F20"/>
          <w:spacing w:val="3"/>
        </w:rPr>
        <w:t>forma </w:t>
      </w:r>
      <w:r>
        <w:rPr>
          <w:color w:val="231F20"/>
        </w:rPr>
        <w:t>de </w:t>
      </w:r>
      <w:r>
        <w:rPr>
          <w:color w:val="231F20"/>
          <w:spacing w:val="3"/>
        </w:rPr>
        <w:t>comunicación, </w:t>
      </w:r>
      <w:r>
        <w:rPr>
          <w:color w:val="231F20"/>
        </w:rPr>
        <w:t>de </w:t>
      </w:r>
      <w:r>
        <w:rPr>
          <w:color w:val="231F20"/>
          <w:spacing w:val="3"/>
        </w:rPr>
        <w:t>au- toafirmación, </w:t>
      </w:r>
      <w:r>
        <w:rPr>
          <w:color w:val="231F20"/>
        </w:rPr>
        <w:t>de </w:t>
      </w:r>
      <w:r>
        <w:rPr>
          <w:color w:val="231F20"/>
          <w:spacing w:val="3"/>
        </w:rPr>
        <w:t>consecución </w:t>
      </w:r>
      <w:r>
        <w:rPr>
          <w:color w:val="231F20"/>
        </w:rPr>
        <w:t>de </w:t>
      </w:r>
      <w:r>
        <w:rPr>
          <w:color w:val="231F20"/>
          <w:spacing w:val="2"/>
        </w:rPr>
        <w:t>objetivos, que afecta </w:t>
      </w:r>
      <w:r>
        <w:rPr>
          <w:color w:val="231F20"/>
        </w:rPr>
        <w:t>el </w:t>
      </w:r>
      <w:r>
        <w:rPr>
          <w:color w:val="231F20"/>
          <w:spacing w:val="2"/>
        </w:rPr>
        <w:t>clima social </w:t>
      </w:r>
      <w:r>
        <w:rPr>
          <w:color w:val="231F20"/>
        </w:rPr>
        <w:t>y </w:t>
      </w:r>
      <w:r>
        <w:rPr>
          <w:color w:val="231F20"/>
          <w:spacing w:val="2"/>
        </w:rPr>
        <w:t>obstaculiza </w:t>
      </w:r>
      <w:r>
        <w:rPr>
          <w:color w:val="231F20"/>
        </w:rPr>
        <w:t>su </w:t>
      </w:r>
      <w:r>
        <w:rPr>
          <w:color w:val="231F20"/>
          <w:spacing w:val="2"/>
        </w:rPr>
        <w:t>función específica, socializar, transmitir </w:t>
      </w:r>
      <w:r>
        <w:rPr>
          <w:color w:val="231F20"/>
          <w:spacing w:val="3"/>
        </w:rPr>
        <w:t>conocimientos </w:t>
      </w:r>
      <w:r>
        <w:rPr>
          <w:color w:val="231F20"/>
        </w:rPr>
        <w:t>y </w:t>
      </w:r>
      <w:r>
        <w:rPr>
          <w:color w:val="231F20"/>
          <w:spacing w:val="2"/>
        </w:rPr>
        <w:t>enriquecer los </w:t>
      </w:r>
      <w:r>
        <w:rPr>
          <w:color w:val="231F20"/>
          <w:spacing w:val="3"/>
        </w:rPr>
        <w:t>modelos </w:t>
      </w:r>
      <w:r>
        <w:rPr>
          <w:color w:val="231F20"/>
        </w:rPr>
        <w:t>de </w:t>
      </w:r>
      <w:r>
        <w:rPr>
          <w:color w:val="231F20"/>
          <w:spacing w:val="2"/>
        </w:rPr>
        <w:t>socialización…” </w:t>
      </w:r>
      <w:r>
        <w:rPr>
          <w:color w:val="231F20"/>
          <w:spacing w:val="3"/>
        </w:rPr>
        <w:t>(Kalbermatter, 2005:83), </w:t>
      </w:r>
      <w:r>
        <w:rPr>
          <w:color w:val="231F20"/>
        </w:rPr>
        <w:t>la </w:t>
      </w:r>
      <w:r>
        <w:rPr>
          <w:color w:val="231F20"/>
          <w:spacing w:val="2"/>
        </w:rPr>
        <w:t>violencia </w:t>
      </w:r>
      <w:r>
        <w:rPr>
          <w:color w:val="231F20"/>
        </w:rPr>
        <w:t>en las </w:t>
      </w:r>
      <w:r>
        <w:rPr>
          <w:color w:val="231F20"/>
          <w:spacing w:val="2"/>
        </w:rPr>
        <w:t>escuelas, entonces, </w:t>
      </w:r>
      <w:r>
        <w:rPr>
          <w:color w:val="231F20"/>
        </w:rPr>
        <w:t>la </w:t>
      </w:r>
      <w:r>
        <w:rPr>
          <w:color w:val="231F20"/>
          <w:spacing w:val="2"/>
        </w:rPr>
        <w:t>reduce </w:t>
      </w:r>
      <w:r>
        <w:rPr>
          <w:color w:val="231F20"/>
        </w:rPr>
        <w:t>a la </w:t>
      </w:r>
      <w:r>
        <w:rPr>
          <w:color w:val="231F20"/>
          <w:spacing w:val="3"/>
        </w:rPr>
        <w:t>deformación </w:t>
      </w:r>
      <w:r>
        <w:rPr>
          <w:color w:val="231F20"/>
        </w:rPr>
        <w:t>en el </w:t>
      </w:r>
      <w:r>
        <w:rPr>
          <w:color w:val="231F20"/>
          <w:spacing w:val="3"/>
        </w:rPr>
        <w:t>cumplimiento </w:t>
      </w:r>
      <w:r>
        <w:rPr>
          <w:color w:val="231F20"/>
        </w:rPr>
        <w:t>de la </w:t>
      </w:r>
      <w:r>
        <w:rPr>
          <w:color w:val="231F20"/>
          <w:spacing w:val="2"/>
        </w:rPr>
        <w:t>función  </w:t>
      </w:r>
      <w:r>
        <w:rPr>
          <w:color w:val="231F20"/>
        </w:rPr>
        <w:t>que </w:t>
      </w:r>
      <w:r>
        <w:rPr>
          <w:color w:val="231F20"/>
          <w:spacing w:val="2"/>
        </w:rPr>
        <w:t>tiene </w:t>
      </w:r>
      <w:r>
        <w:rPr>
          <w:color w:val="231F20"/>
        </w:rPr>
        <w:t>la </w:t>
      </w:r>
      <w:r>
        <w:rPr>
          <w:color w:val="231F20"/>
          <w:spacing w:val="2"/>
        </w:rPr>
        <w:t>institución escolar; </w:t>
      </w:r>
      <w:r>
        <w:rPr>
          <w:color w:val="231F20"/>
          <w:spacing w:val="3"/>
        </w:rPr>
        <w:t>asimismo, </w:t>
      </w:r>
      <w:r>
        <w:rPr>
          <w:color w:val="231F20"/>
          <w:spacing w:val="2"/>
        </w:rPr>
        <w:t>acorde con </w:t>
      </w:r>
      <w:r>
        <w:rPr>
          <w:color w:val="231F20"/>
        </w:rPr>
        <w:t>el </w:t>
      </w:r>
      <w:r>
        <w:rPr>
          <w:color w:val="231F20"/>
          <w:spacing w:val="3"/>
        </w:rPr>
        <w:t>planteamiento </w:t>
      </w:r>
      <w:r>
        <w:rPr>
          <w:color w:val="231F20"/>
          <w:spacing w:val="2"/>
        </w:rPr>
        <w:t>sistémico </w:t>
      </w:r>
      <w:r>
        <w:rPr>
          <w:color w:val="231F20"/>
        </w:rPr>
        <w:t>la </w:t>
      </w:r>
      <w:r>
        <w:rPr>
          <w:color w:val="231F20"/>
          <w:spacing w:val="2"/>
        </w:rPr>
        <w:t>explica </w:t>
      </w:r>
      <w:r>
        <w:rPr>
          <w:color w:val="231F20"/>
        </w:rPr>
        <w:t>a </w:t>
      </w:r>
      <w:r>
        <w:rPr>
          <w:color w:val="231F20"/>
          <w:spacing w:val="2"/>
        </w:rPr>
        <w:t>partir </w:t>
      </w:r>
      <w:r>
        <w:rPr>
          <w:color w:val="231F20"/>
        </w:rPr>
        <w:t>de la </w:t>
      </w:r>
      <w:r>
        <w:rPr>
          <w:color w:val="231F20"/>
          <w:spacing w:val="2"/>
        </w:rPr>
        <w:t>interacción </w:t>
      </w:r>
      <w:r>
        <w:rPr>
          <w:color w:val="231F20"/>
        </w:rPr>
        <w:t>de la </w:t>
      </w:r>
      <w:r>
        <w:rPr>
          <w:color w:val="231F20"/>
          <w:spacing w:val="2"/>
        </w:rPr>
        <w:t>escuela con ciertas </w:t>
      </w:r>
      <w:r>
        <w:rPr>
          <w:color w:val="231F20"/>
          <w:spacing w:val="3"/>
        </w:rPr>
        <w:t>“condicionantes </w:t>
      </w:r>
      <w:r>
        <w:rPr>
          <w:color w:val="231F20"/>
          <w:spacing w:val="2"/>
        </w:rPr>
        <w:t>sociales”, pero </w:t>
      </w:r>
      <w:r>
        <w:rPr>
          <w:color w:val="231F20"/>
        </w:rPr>
        <w:t>la </w:t>
      </w:r>
      <w:r>
        <w:rPr>
          <w:color w:val="231F20"/>
          <w:spacing w:val="2"/>
        </w:rPr>
        <w:t>veta funcionalista </w:t>
      </w:r>
      <w:r>
        <w:rPr>
          <w:color w:val="231F20"/>
        </w:rPr>
        <w:t>se </w:t>
      </w:r>
      <w:r>
        <w:rPr>
          <w:color w:val="231F20"/>
          <w:spacing w:val="2"/>
        </w:rPr>
        <w:t>perfila </w:t>
      </w:r>
      <w:r>
        <w:rPr>
          <w:color w:val="231F20"/>
        </w:rPr>
        <w:t>en el </w:t>
      </w:r>
      <w:r>
        <w:rPr>
          <w:color w:val="231F20"/>
          <w:spacing w:val="3"/>
        </w:rPr>
        <w:t>modo </w:t>
      </w:r>
      <w:r>
        <w:rPr>
          <w:color w:val="231F20"/>
        </w:rPr>
        <w:t>de </w:t>
      </w:r>
      <w:r>
        <w:rPr>
          <w:color w:val="231F20"/>
          <w:spacing w:val="2"/>
        </w:rPr>
        <w:t>reducir </w:t>
      </w:r>
      <w:r>
        <w:rPr>
          <w:color w:val="231F20"/>
        </w:rPr>
        <w:t>la </w:t>
      </w:r>
      <w:r>
        <w:rPr>
          <w:color w:val="231F20"/>
          <w:spacing w:val="2"/>
        </w:rPr>
        <w:t>violencia </w:t>
      </w:r>
      <w:r>
        <w:rPr>
          <w:color w:val="231F20"/>
        </w:rPr>
        <w:t>a </w:t>
      </w:r>
      <w:r>
        <w:rPr>
          <w:color w:val="231F20"/>
          <w:spacing w:val="2"/>
        </w:rPr>
        <w:t>una conducta </w:t>
      </w:r>
      <w:r>
        <w:rPr>
          <w:color w:val="231F20"/>
        </w:rPr>
        <w:t>de </w:t>
      </w:r>
      <w:r>
        <w:rPr>
          <w:color w:val="231F20"/>
          <w:spacing w:val="2"/>
        </w:rPr>
        <w:t>los</w:t>
      </w:r>
      <w:r>
        <w:rPr>
          <w:color w:val="231F20"/>
          <w:spacing w:val="56"/>
        </w:rPr>
        <w:t> </w:t>
      </w:r>
      <w:r>
        <w:rPr>
          <w:color w:val="231F20"/>
          <w:spacing w:val="2"/>
        </w:rPr>
        <w:t>jóvenes respecto </w:t>
      </w:r>
      <w:r>
        <w:rPr>
          <w:color w:val="231F20"/>
        </w:rPr>
        <w:t>a lo </w:t>
      </w:r>
      <w:r>
        <w:rPr>
          <w:color w:val="231F20"/>
          <w:spacing w:val="2"/>
        </w:rPr>
        <w:t>instituido, pues </w:t>
      </w:r>
      <w:r>
        <w:rPr>
          <w:color w:val="231F20"/>
        </w:rPr>
        <w:t>se</w:t>
      </w:r>
      <w:r>
        <w:rPr>
          <w:color w:val="231F20"/>
          <w:spacing w:val="17"/>
        </w:rPr>
        <w:t> </w:t>
      </w:r>
      <w:r>
        <w:rPr>
          <w:color w:val="231F20"/>
          <w:spacing w:val="2"/>
        </w:rPr>
        <w:t>afirma:</w:t>
      </w:r>
    </w:p>
    <w:p>
      <w:pPr>
        <w:pStyle w:val="BodyText"/>
        <w:spacing w:before="1"/>
        <w:rPr>
          <w:sz w:val="23"/>
        </w:rPr>
      </w:pPr>
    </w:p>
    <w:p>
      <w:pPr>
        <w:spacing w:line="273" w:lineRule="auto" w:before="0"/>
        <w:ind w:left="810" w:right="165" w:firstLine="0"/>
        <w:jc w:val="both"/>
        <w:rPr>
          <w:sz w:val="19"/>
        </w:rPr>
      </w:pPr>
      <w:r>
        <w:rPr>
          <w:color w:val="231F20"/>
          <w:sz w:val="19"/>
        </w:rPr>
        <w:t>La institución escolar es un sistema abierto que interactúa inten- samente con su medio, en el cual impactan condicionantes  socia-</w:t>
      </w:r>
    </w:p>
    <w:p>
      <w:pPr>
        <w:spacing w:after="0" w:line="273" w:lineRule="auto"/>
        <w:jc w:val="both"/>
        <w:rPr>
          <w:sz w:val="19"/>
        </w:rPr>
        <w:sectPr>
          <w:headerReference w:type="default" r:id="rId197"/>
          <w:footerReference w:type="default" r:id="rId198"/>
          <w:pgSz w:w="7830" w:h="11910"/>
          <w:pgMar w:header="0" w:footer="424" w:top="500" w:bottom="620" w:left="920" w:right="900"/>
          <w:pgNumType w:start="92"/>
        </w:sectPr>
      </w:pPr>
    </w:p>
    <w:p>
      <w:pPr>
        <w:spacing w:before="43"/>
        <w:ind w:left="1463" w:right="121" w:firstLine="0"/>
        <w:jc w:val="left"/>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rPr>
          <w:rFonts w:ascii="Cambria"/>
          <w:sz w:val="16"/>
        </w:rPr>
      </w:pPr>
    </w:p>
    <w:p>
      <w:pPr>
        <w:spacing w:line="268" w:lineRule="auto" w:before="100"/>
        <w:ind w:left="810" w:right="164" w:firstLine="0"/>
        <w:jc w:val="both"/>
        <w:rPr>
          <w:rFonts w:ascii="Cambria" w:hAnsi="Cambria"/>
          <w:sz w:val="19"/>
        </w:rPr>
      </w:pPr>
      <w:r>
        <w:rPr>
          <w:rFonts w:ascii="Cambria" w:hAnsi="Cambria"/>
          <w:color w:val="231F20"/>
          <w:sz w:val="19"/>
        </w:rPr>
        <w:t>les</w:t>
      </w:r>
      <w:r>
        <w:rPr>
          <w:rFonts w:ascii="Cambria" w:hAnsi="Cambria"/>
          <w:color w:val="231F20"/>
          <w:spacing w:val="-19"/>
          <w:sz w:val="19"/>
        </w:rPr>
        <w:t> </w:t>
      </w:r>
      <w:r>
        <w:rPr>
          <w:rFonts w:ascii="Cambria" w:hAnsi="Cambria"/>
          <w:color w:val="231F20"/>
          <w:sz w:val="19"/>
        </w:rPr>
        <w:t>–marginalidad,</w:t>
      </w:r>
      <w:r>
        <w:rPr>
          <w:rFonts w:ascii="Cambria" w:hAnsi="Cambria"/>
          <w:color w:val="231F20"/>
          <w:spacing w:val="-19"/>
          <w:sz w:val="19"/>
        </w:rPr>
        <w:t> </w:t>
      </w:r>
      <w:r>
        <w:rPr>
          <w:rFonts w:ascii="Cambria" w:hAnsi="Cambria"/>
          <w:color w:val="231F20"/>
          <w:sz w:val="19"/>
        </w:rPr>
        <w:t>discriminación,</w:t>
      </w:r>
      <w:r>
        <w:rPr>
          <w:rFonts w:ascii="Cambria" w:hAnsi="Cambria"/>
          <w:color w:val="231F20"/>
          <w:spacing w:val="-19"/>
          <w:sz w:val="19"/>
        </w:rPr>
        <w:t> </w:t>
      </w:r>
      <w:r>
        <w:rPr>
          <w:rFonts w:ascii="Cambria" w:hAnsi="Cambria"/>
          <w:color w:val="231F20"/>
          <w:sz w:val="19"/>
        </w:rPr>
        <w:t>pobreza,</w:t>
      </w:r>
      <w:r>
        <w:rPr>
          <w:rFonts w:ascii="Cambria" w:hAnsi="Cambria"/>
          <w:color w:val="231F20"/>
          <w:spacing w:val="-19"/>
          <w:sz w:val="19"/>
        </w:rPr>
        <w:t> </w:t>
      </w:r>
      <w:r>
        <w:rPr>
          <w:rFonts w:ascii="Cambria" w:hAnsi="Cambria"/>
          <w:color w:val="231F20"/>
          <w:sz w:val="19"/>
        </w:rPr>
        <w:t>crisis</w:t>
      </w:r>
      <w:r>
        <w:rPr>
          <w:rFonts w:ascii="Cambria" w:hAnsi="Cambria"/>
          <w:color w:val="231F20"/>
          <w:spacing w:val="-19"/>
          <w:sz w:val="19"/>
        </w:rPr>
        <w:t> </w:t>
      </w:r>
      <w:r>
        <w:rPr>
          <w:rFonts w:ascii="Cambria" w:hAnsi="Cambria"/>
          <w:color w:val="231F20"/>
          <w:sz w:val="19"/>
        </w:rPr>
        <w:t>de</w:t>
      </w:r>
      <w:r>
        <w:rPr>
          <w:rFonts w:ascii="Cambria" w:hAnsi="Cambria"/>
          <w:color w:val="231F20"/>
          <w:spacing w:val="-19"/>
          <w:sz w:val="19"/>
        </w:rPr>
        <w:t> </w:t>
      </w:r>
      <w:r>
        <w:rPr>
          <w:rFonts w:ascii="Cambria" w:hAnsi="Cambria"/>
          <w:color w:val="231F20"/>
          <w:sz w:val="19"/>
        </w:rPr>
        <w:t>valores</w:t>
      </w:r>
      <w:r>
        <w:rPr>
          <w:rFonts w:ascii="Cambria" w:hAnsi="Cambria"/>
          <w:color w:val="231F20"/>
          <w:spacing w:val="-19"/>
          <w:sz w:val="19"/>
        </w:rPr>
        <w:t> </w:t>
      </w:r>
      <w:r>
        <w:rPr>
          <w:rFonts w:ascii="Cambria" w:hAnsi="Cambria"/>
          <w:color w:val="231F20"/>
          <w:sz w:val="19"/>
        </w:rPr>
        <w:t>so- </w:t>
      </w:r>
      <w:r>
        <w:rPr>
          <w:rFonts w:ascii="Cambria" w:hAnsi="Cambria"/>
          <w:color w:val="231F20"/>
          <w:w w:val="95"/>
          <w:sz w:val="19"/>
        </w:rPr>
        <w:t>ciales y éticos, desigualdad de oportunidades– que contribuyen a </w:t>
      </w:r>
      <w:r>
        <w:rPr>
          <w:rFonts w:ascii="Cambria" w:hAnsi="Cambria"/>
          <w:color w:val="231F20"/>
          <w:sz w:val="19"/>
        </w:rPr>
        <w:t>provocar</w:t>
      </w:r>
      <w:r>
        <w:rPr>
          <w:rFonts w:ascii="Cambria" w:hAnsi="Cambria"/>
          <w:color w:val="231F20"/>
          <w:spacing w:val="-16"/>
          <w:sz w:val="19"/>
        </w:rPr>
        <w:t> </w:t>
      </w:r>
      <w:r>
        <w:rPr>
          <w:rFonts w:ascii="Cambria" w:hAnsi="Cambria"/>
          <w:color w:val="231F20"/>
          <w:sz w:val="19"/>
        </w:rPr>
        <w:t>reacciones</w:t>
      </w:r>
      <w:r>
        <w:rPr>
          <w:rFonts w:ascii="Cambria" w:hAnsi="Cambria"/>
          <w:color w:val="231F20"/>
          <w:spacing w:val="-16"/>
          <w:sz w:val="19"/>
        </w:rPr>
        <w:t> </w:t>
      </w:r>
      <w:r>
        <w:rPr>
          <w:rFonts w:ascii="Cambria" w:hAnsi="Cambria"/>
          <w:color w:val="231F20"/>
          <w:sz w:val="19"/>
        </w:rPr>
        <w:t>frecuentemente</w:t>
      </w:r>
      <w:r>
        <w:rPr>
          <w:rFonts w:ascii="Cambria" w:hAnsi="Cambria"/>
          <w:color w:val="231F20"/>
          <w:spacing w:val="-16"/>
          <w:sz w:val="19"/>
        </w:rPr>
        <w:t> </w:t>
      </w:r>
      <w:r>
        <w:rPr>
          <w:rFonts w:ascii="Cambria" w:hAnsi="Cambria"/>
          <w:color w:val="231F20"/>
          <w:sz w:val="19"/>
        </w:rPr>
        <w:t>violentas.</w:t>
      </w:r>
      <w:r>
        <w:rPr>
          <w:rFonts w:ascii="Cambria" w:hAnsi="Cambria"/>
          <w:color w:val="231F20"/>
          <w:spacing w:val="-16"/>
          <w:sz w:val="19"/>
        </w:rPr>
        <w:t> </w:t>
      </w:r>
      <w:r>
        <w:rPr>
          <w:rFonts w:ascii="Cambria" w:hAnsi="Cambria"/>
          <w:color w:val="231F20"/>
          <w:sz w:val="19"/>
        </w:rPr>
        <w:t>Y</w:t>
      </w:r>
      <w:r>
        <w:rPr>
          <w:rFonts w:ascii="Cambria" w:hAnsi="Cambria"/>
          <w:color w:val="231F20"/>
          <w:spacing w:val="-15"/>
          <w:sz w:val="19"/>
        </w:rPr>
        <w:t> </w:t>
      </w:r>
      <w:r>
        <w:rPr>
          <w:rFonts w:ascii="Cambria" w:hAnsi="Cambria"/>
          <w:color w:val="231F20"/>
          <w:sz w:val="19"/>
        </w:rPr>
        <w:t>es</w:t>
      </w:r>
      <w:r>
        <w:rPr>
          <w:rFonts w:ascii="Cambria" w:hAnsi="Cambria"/>
          <w:color w:val="231F20"/>
          <w:spacing w:val="-16"/>
          <w:sz w:val="19"/>
        </w:rPr>
        <w:t> </w:t>
      </w:r>
      <w:r>
        <w:rPr>
          <w:rFonts w:ascii="Cambria" w:hAnsi="Cambria"/>
          <w:color w:val="231F20"/>
          <w:sz w:val="19"/>
        </w:rPr>
        <w:t>la</w:t>
      </w:r>
      <w:r>
        <w:rPr>
          <w:rFonts w:ascii="Cambria" w:hAnsi="Cambria"/>
          <w:color w:val="231F20"/>
          <w:spacing w:val="-16"/>
          <w:sz w:val="19"/>
        </w:rPr>
        <w:t> </w:t>
      </w:r>
      <w:r>
        <w:rPr>
          <w:rFonts w:ascii="Cambria" w:hAnsi="Cambria"/>
          <w:color w:val="231F20"/>
          <w:sz w:val="19"/>
        </w:rPr>
        <w:t>conducta de</w:t>
      </w:r>
      <w:r>
        <w:rPr>
          <w:rFonts w:ascii="Cambria" w:hAnsi="Cambria"/>
          <w:color w:val="231F20"/>
          <w:spacing w:val="-11"/>
          <w:sz w:val="19"/>
        </w:rPr>
        <w:t> </w:t>
      </w:r>
      <w:r>
        <w:rPr>
          <w:rFonts w:ascii="Cambria" w:hAnsi="Cambria"/>
          <w:color w:val="231F20"/>
          <w:sz w:val="19"/>
        </w:rPr>
        <w:t>los</w:t>
      </w:r>
      <w:r>
        <w:rPr>
          <w:rFonts w:ascii="Cambria" w:hAnsi="Cambria"/>
          <w:color w:val="231F20"/>
          <w:spacing w:val="-11"/>
          <w:sz w:val="19"/>
        </w:rPr>
        <w:t> </w:t>
      </w:r>
      <w:r>
        <w:rPr>
          <w:rFonts w:ascii="Cambria" w:hAnsi="Cambria"/>
          <w:color w:val="231F20"/>
          <w:sz w:val="19"/>
        </w:rPr>
        <w:t>jóvenes</w:t>
      </w:r>
      <w:r>
        <w:rPr>
          <w:rFonts w:ascii="Cambria" w:hAnsi="Cambria"/>
          <w:color w:val="231F20"/>
          <w:spacing w:val="-11"/>
          <w:sz w:val="19"/>
        </w:rPr>
        <w:t> </w:t>
      </w:r>
      <w:r>
        <w:rPr>
          <w:rFonts w:ascii="Cambria" w:hAnsi="Cambria"/>
          <w:color w:val="231F20"/>
          <w:sz w:val="19"/>
        </w:rPr>
        <w:t>que</w:t>
      </w:r>
      <w:r>
        <w:rPr>
          <w:rFonts w:ascii="Cambria" w:hAnsi="Cambria"/>
          <w:color w:val="231F20"/>
          <w:spacing w:val="-11"/>
          <w:sz w:val="19"/>
        </w:rPr>
        <w:t> </w:t>
      </w:r>
      <w:r>
        <w:rPr>
          <w:rFonts w:ascii="Cambria" w:hAnsi="Cambria"/>
          <w:color w:val="231F20"/>
          <w:sz w:val="19"/>
        </w:rPr>
        <w:t>se</w:t>
      </w:r>
      <w:r>
        <w:rPr>
          <w:rFonts w:ascii="Cambria" w:hAnsi="Cambria"/>
          <w:color w:val="231F20"/>
          <w:spacing w:val="-11"/>
          <w:sz w:val="19"/>
        </w:rPr>
        <w:t> </w:t>
      </w:r>
      <w:r>
        <w:rPr>
          <w:rFonts w:ascii="Cambria" w:hAnsi="Cambria"/>
          <w:color w:val="231F20"/>
          <w:sz w:val="19"/>
        </w:rPr>
        <w:t>pone</w:t>
      </w:r>
      <w:r>
        <w:rPr>
          <w:rFonts w:ascii="Cambria" w:hAnsi="Cambria"/>
          <w:color w:val="231F20"/>
          <w:spacing w:val="-11"/>
          <w:sz w:val="19"/>
        </w:rPr>
        <w:t> </w:t>
      </w:r>
      <w:r>
        <w:rPr>
          <w:rFonts w:ascii="Cambria" w:hAnsi="Cambria"/>
          <w:color w:val="231F20"/>
          <w:sz w:val="19"/>
        </w:rPr>
        <w:t>de</w:t>
      </w:r>
      <w:r>
        <w:rPr>
          <w:rFonts w:ascii="Cambria" w:hAnsi="Cambria"/>
          <w:color w:val="231F20"/>
          <w:spacing w:val="-11"/>
          <w:sz w:val="19"/>
        </w:rPr>
        <w:t> </w:t>
      </w:r>
      <w:r>
        <w:rPr>
          <w:rFonts w:ascii="Cambria" w:hAnsi="Cambria"/>
          <w:color w:val="231F20"/>
          <w:sz w:val="19"/>
        </w:rPr>
        <w:t>manifiesto</w:t>
      </w:r>
      <w:r>
        <w:rPr>
          <w:rFonts w:ascii="Cambria" w:hAnsi="Cambria"/>
          <w:color w:val="231F20"/>
          <w:spacing w:val="-11"/>
          <w:sz w:val="19"/>
        </w:rPr>
        <w:t> </w:t>
      </w:r>
      <w:r>
        <w:rPr>
          <w:rFonts w:ascii="Cambria" w:hAnsi="Cambria"/>
          <w:color w:val="231F20"/>
          <w:sz w:val="19"/>
        </w:rPr>
        <w:t>en</w:t>
      </w:r>
      <w:r>
        <w:rPr>
          <w:rFonts w:ascii="Cambria" w:hAnsi="Cambria"/>
          <w:color w:val="231F20"/>
          <w:spacing w:val="-11"/>
          <w:sz w:val="19"/>
        </w:rPr>
        <w:t> </w:t>
      </w:r>
      <w:r>
        <w:rPr>
          <w:rFonts w:ascii="Cambria" w:hAnsi="Cambria"/>
          <w:color w:val="231F20"/>
          <w:sz w:val="19"/>
        </w:rPr>
        <w:t>la</w:t>
      </w:r>
      <w:r>
        <w:rPr>
          <w:rFonts w:ascii="Cambria" w:hAnsi="Cambria"/>
          <w:color w:val="231F20"/>
          <w:spacing w:val="-11"/>
          <w:sz w:val="19"/>
        </w:rPr>
        <w:t> </w:t>
      </w:r>
      <w:r>
        <w:rPr>
          <w:rFonts w:ascii="Cambria" w:hAnsi="Cambria"/>
          <w:color w:val="231F20"/>
          <w:sz w:val="19"/>
        </w:rPr>
        <w:t>escuela,</w:t>
      </w:r>
      <w:r>
        <w:rPr>
          <w:rFonts w:ascii="Cambria" w:hAnsi="Cambria"/>
          <w:color w:val="231F20"/>
          <w:spacing w:val="-12"/>
          <w:sz w:val="19"/>
        </w:rPr>
        <w:t> </w:t>
      </w:r>
      <w:r>
        <w:rPr>
          <w:rFonts w:ascii="Cambria" w:hAnsi="Cambria"/>
          <w:color w:val="231F20"/>
          <w:sz w:val="19"/>
        </w:rPr>
        <w:t>la</w:t>
      </w:r>
      <w:r>
        <w:rPr>
          <w:rFonts w:ascii="Cambria" w:hAnsi="Cambria"/>
          <w:color w:val="231F20"/>
          <w:spacing w:val="-11"/>
          <w:sz w:val="19"/>
        </w:rPr>
        <w:t> </w:t>
      </w:r>
      <w:r>
        <w:rPr>
          <w:rFonts w:ascii="Cambria" w:hAnsi="Cambria"/>
          <w:color w:val="231F20"/>
          <w:sz w:val="19"/>
        </w:rPr>
        <w:t>conse- </w:t>
      </w:r>
      <w:r>
        <w:rPr>
          <w:rFonts w:ascii="Cambria" w:hAnsi="Cambria"/>
          <w:color w:val="231F20"/>
          <w:w w:val="95"/>
          <w:sz w:val="19"/>
        </w:rPr>
        <w:t>cuencia de estos condicionantes, que catalizados desde su subje- </w:t>
      </w:r>
      <w:r>
        <w:rPr>
          <w:rFonts w:ascii="Cambria" w:hAnsi="Cambria"/>
          <w:color w:val="231F20"/>
          <w:sz w:val="19"/>
        </w:rPr>
        <w:t>tividad,</w:t>
      </w:r>
      <w:r>
        <w:rPr>
          <w:rFonts w:ascii="Cambria" w:hAnsi="Cambria"/>
          <w:color w:val="231F20"/>
          <w:spacing w:val="-14"/>
          <w:sz w:val="19"/>
        </w:rPr>
        <w:t> </w:t>
      </w:r>
      <w:r>
        <w:rPr>
          <w:rFonts w:ascii="Cambria" w:hAnsi="Cambria"/>
          <w:color w:val="231F20"/>
          <w:sz w:val="19"/>
        </w:rPr>
        <w:t>provocan</w:t>
      </w:r>
      <w:r>
        <w:rPr>
          <w:rFonts w:ascii="Cambria" w:hAnsi="Cambria"/>
          <w:color w:val="231F20"/>
          <w:spacing w:val="-14"/>
          <w:sz w:val="19"/>
        </w:rPr>
        <w:t> </w:t>
      </w:r>
      <w:r>
        <w:rPr>
          <w:rFonts w:ascii="Cambria" w:hAnsi="Cambria"/>
          <w:color w:val="231F20"/>
          <w:sz w:val="19"/>
        </w:rPr>
        <w:t>actitudes</w:t>
      </w:r>
      <w:r>
        <w:rPr>
          <w:rFonts w:ascii="Cambria" w:hAnsi="Cambria"/>
          <w:color w:val="231F20"/>
          <w:spacing w:val="-14"/>
          <w:sz w:val="19"/>
        </w:rPr>
        <w:t> </w:t>
      </w:r>
      <w:r>
        <w:rPr>
          <w:rFonts w:ascii="Cambria" w:hAnsi="Cambria"/>
          <w:color w:val="231F20"/>
          <w:sz w:val="19"/>
        </w:rPr>
        <w:t>de</w:t>
      </w:r>
      <w:r>
        <w:rPr>
          <w:rFonts w:ascii="Cambria" w:hAnsi="Cambria"/>
          <w:color w:val="231F20"/>
          <w:spacing w:val="-14"/>
          <w:sz w:val="19"/>
        </w:rPr>
        <w:t> </w:t>
      </w:r>
      <w:r>
        <w:rPr>
          <w:rFonts w:ascii="Cambria" w:hAnsi="Cambria"/>
          <w:color w:val="231F20"/>
          <w:sz w:val="19"/>
        </w:rPr>
        <w:t>disconformismo,</w:t>
      </w:r>
      <w:r>
        <w:rPr>
          <w:rFonts w:ascii="Cambria" w:hAnsi="Cambria"/>
          <w:color w:val="231F20"/>
          <w:spacing w:val="-14"/>
          <w:sz w:val="19"/>
        </w:rPr>
        <w:t> </w:t>
      </w:r>
      <w:r>
        <w:rPr>
          <w:rFonts w:ascii="Cambria" w:hAnsi="Cambria"/>
          <w:color w:val="231F20"/>
          <w:sz w:val="19"/>
        </w:rPr>
        <w:t>desorientación respecto a los valores, protesta contra todo orden instituido, y </w:t>
      </w:r>
      <w:r>
        <w:rPr>
          <w:rFonts w:ascii="Cambria" w:hAnsi="Cambria"/>
          <w:color w:val="231F20"/>
          <w:w w:val="90"/>
          <w:sz w:val="19"/>
        </w:rPr>
        <w:t>conductas  autodestructivas”  (Kalbermatter,  </w:t>
      </w:r>
      <w:r>
        <w:rPr>
          <w:rFonts w:ascii="Cambria" w:hAnsi="Cambria"/>
          <w:color w:val="231F20"/>
          <w:spacing w:val="1"/>
          <w:w w:val="90"/>
          <w:sz w:val="19"/>
        </w:rPr>
        <w:t> </w:t>
      </w:r>
      <w:r>
        <w:rPr>
          <w:rFonts w:ascii="Cambria" w:hAnsi="Cambria"/>
          <w:color w:val="231F20"/>
          <w:w w:val="90"/>
          <w:sz w:val="19"/>
        </w:rPr>
        <w:t>2005:83-84).</w:t>
      </w:r>
    </w:p>
    <w:p>
      <w:pPr>
        <w:pStyle w:val="BodyText"/>
        <w:spacing w:before="8"/>
        <w:rPr>
          <w:rFonts w:ascii="Cambria"/>
          <w:sz w:val="19"/>
        </w:rPr>
      </w:pPr>
    </w:p>
    <w:p>
      <w:pPr>
        <w:pStyle w:val="BodyText"/>
        <w:spacing w:line="244" w:lineRule="auto"/>
        <w:ind w:left="102" w:right="115" w:firstLine="284"/>
        <w:jc w:val="both"/>
        <w:rPr>
          <w:rFonts w:ascii="Cambria" w:hAnsi="Cambria"/>
        </w:rPr>
      </w:pPr>
      <w:r>
        <w:rPr>
          <w:rFonts w:ascii="Cambria" w:hAnsi="Cambria"/>
          <w:color w:val="231F20"/>
          <w:spacing w:val="3"/>
        </w:rPr>
        <w:t>Justamente, como </w:t>
      </w:r>
      <w:r>
        <w:rPr>
          <w:rFonts w:ascii="Cambria" w:hAnsi="Cambria"/>
          <w:color w:val="231F20"/>
          <w:spacing w:val="2"/>
        </w:rPr>
        <w:t>cuestiona Bleichmar, </w:t>
      </w:r>
      <w:r>
        <w:rPr>
          <w:rFonts w:ascii="Cambria" w:hAnsi="Cambria"/>
          <w:color w:val="231F20"/>
        </w:rPr>
        <w:t>la </w:t>
      </w:r>
      <w:r>
        <w:rPr>
          <w:rFonts w:ascii="Cambria" w:hAnsi="Cambria"/>
          <w:color w:val="231F20"/>
          <w:spacing w:val="2"/>
        </w:rPr>
        <w:t>violencia termina por concebirse </w:t>
      </w:r>
      <w:r>
        <w:rPr>
          <w:rFonts w:ascii="Cambria" w:hAnsi="Cambria"/>
          <w:color w:val="231F20"/>
          <w:spacing w:val="3"/>
        </w:rPr>
        <w:t>como </w:t>
      </w:r>
      <w:r>
        <w:rPr>
          <w:rFonts w:ascii="Cambria" w:hAnsi="Cambria"/>
          <w:color w:val="231F20"/>
          <w:spacing w:val="2"/>
        </w:rPr>
        <w:t>resultado </w:t>
      </w:r>
      <w:r>
        <w:rPr>
          <w:rFonts w:ascii="Cambria" w:hAnsi="Cambria"/>
          <w:color w:val="231F20"/>
        </w:rPr>
        <w:t>de </w:t>
      </w:r>
      <w:r>
        <w:rPr>
          <w:rFonts w:ascii="Cambria" w:hAnsi="Cambria"/>
          <w:color w:val="231F20"/>
          <w:spacing w:val="2"/>
        </w:rPr>
        <w:t>condiciones </w:t>
      </w:r>
      <w:r>
        <w:rPr>
          <w:rFonts w:ascii="Cambria" w:hAnsi="Cambria"/>
          <w:color w:val="231F20"/>
        </w:rPr>
        <w:t>de </w:t>
      </w:r>
      <w:r>
        <w:rPr>
          <w:rFonts w:ascii="Cambria" w:hAnsi="Cambria"/>
          <w:color w:val="231F20"/>
          <w:spacing w:val="3"/>
        </w:rPr>
        <w:t>pobreza </w:t>
      </w:r>
      <w:r>
        <w:rPr>
          <w:rFonts w:ascii="Cambria" w:hAnsi="Cambria"/>
          <w:color w:val="231F20"/>
        </w:rPr>
        <w:t>y se </w:t>
      </w:r>
      <w:r>
        <w:rPr>
          <w:rFonts w:ascii="Cambria" w:hAnsi="Cambria"/>
          <w:color w:val="231F20"/>
          <w:spacing w:val="2"/>
        </w:rPr>
        <w:t>manifiesta</w:t>
      </w:r>
      <w:r>
        <w:rPr>
          <w:rFonts w:ascii="Cambria" w:hAnsi="Cambria"/>
          <w:color w:val="231F20"/>
          <w:spacing w:val="-7"/>
        </w:rPr>
        <w:t> </w:t>
      </w:r>
      <w:r>
        <w:rPr>
          <w:rFonts w:ascii="Cambria" w:hAnsi="Cambria"/>
          <w:color w:val="231F20"/>
          <w:spacing w:val="2"/>
        </w:rPr>
        <w:t>como</w:t>
      </w:r>
      <w:r>
        <w:rPr>
          <w:rFonts w:ascii="Cambria" w:hAnsi="Cambria"/>
          <w:color w:val="231F20"/>
          <w:spacing w:val="-6"/>
        </w:rPr>
        <w:t> </w:t>
      </w:r>
      <w:r>
        <w:rPr>
          <w:rFonts w:ascii="Cambria" w:hAnsi="Cambria"/>
          <w:color w:val="231F20"/>
          <w:spacing w:val="2"/>
        </w:rPr>
        <w:t>rechazo</w:t>
      </w:r>
      <w:r>
        <w:rPr>
          <w:rFonts w:ascii="Cambria" w:hAnsi="Cambria"/>
          <w:color w:val="231F20"/>
          <w:spacing w:val="-6"/>
        </w:rPr>
        <w:t> </w:t>
      </w:r>
      <w:r>
        <w:rPr>
          <w:rFonts w:ascii="Cambria" w:hAnsi="Cambria"/>
          <w:color w:val="231F20"/>
        </w:rPr>
        <w:t>a</w:t>
      </w:r>
      <w:r>
        <w:rPr>
          <w:rFonts w:ascii="Cambria" w:hAnsi="Cambria"/>
          <w:color w:val="231F20"/>
          <w:spacing w:val="-7"/>
        </w:rPr>
        <w:t> </w:t>
      </w:r>
      <w:r>
        <w:rPr>
          <w:rFonts w:ascii="Cambria" w:hAnsi="Cambria"/>
          <w:color w:val="231F20"/>
        </w:rPr>
        <w:t>lo</w:t>
      </w:r>
      <w:r>
        <w:rPr>
          <w:rFonts w:ascii="Cambria" w:hAnsi="Cambria"/>
          <w:color w:val="231F20"/>
          <w:spacing w:val="-6"/>
        </w:rPr>
        <w:t> </w:t>
      </w:r>
      <w:r>
        <w:rPr>
          <w:rFonts w:ascii="Cambria" w:hAnsi="Cambria"/>
          <w:color w:val="231F20"/>
          <w:spacing w:val="2"/>
        </w:rPr>
        <w:t>instituido:</w:t>
      </w:r>
      <w:r>
        <w:rPr>
          <w:rFonts w:ascii="Cambria" w:hAnsi="Cambria"/>
          <w:color w:val="231F20"/>
          <w:spacing w:val="-7"/>
        </w:rPr>
        <w:t> </w:t>
      </w:r>
      <w:r>
        <w:rPr>
          <w:rFonts w:ascii="Cambria" w:hAnsi="Cambria"/>
          <w:color w:val="231F20"/>
        </w:rPr>
        <w:t>la</w:t>
      </w:r>
      <w:r>
        <w:rPr>
          <w:rFonts w:ascii="Cambria" w:hAnsi="Cambria"/>
          <w:color w:val="231F20"/>
          <w:spacing w:val="-7"/>
        </w:rPr>
        <w:t> </w:t>
      </w:r>
      <w:r>
        <w:rPr>
          <w:rFonts w:ascii="Cambria" w:hAnsi="Cambria"/>
          <w:color w:val="231F20"/>
          <w:spacing w:val="2"/>
        </w:rPr>
        <w:t>subjetividad</w:t>
      </w:r>
      <w:r>
        <w:rPr>
          <w:rFonts w:ascii="Cambria" w:hAnsi="Cambria"/>
          <w:color w:val="231F20"/>
          <w:spacing w:val="-6"/>
        </w:rPr>
        <w:t> </w:t>
      </w:r>
      <w:r>
        <w:rPr>
          <w:rFonts w:ascii="Cambria" w:hAnsi="Cambria"/>
          <w:color w:val="231F20"/>
        </w:rPr>
        <w:t>es</w:t>
      </w:r>
      <w:r>
        <w:rPr>
          <w:rFonts w:ascii="Cambria" w:hAnsi="Cambria"/>
          <w:color w:val="231F20"/>
          <w:spacing w:val="-7"/>
        </w:rPr>
        <w:t> </w:t>
      </w:r>
      <w:r>
        <w:rPr>
          <w:rFonts w:ascii="Cambria" w:hAnsi="Cambria"/>
          <w:color w:val="231F20"/>
          <w:spacing w:val="2"/>
        </w:rPr>
        <w:t>confi- nada </w:t>
      </w:r>
      <w:r>
        <w:rPr>
          <w:rFonts w:ascii="Cambria" w:hAnsi="Cambria"/>
          <w:color w:val="231F20"/>
        </w:rPr>
        <w:t>a un </w:t>
      </w:r>
      <w:r>
        <w:rPr>
          <w:rFonts w:ascii="Cambria" w:hAnsi="Cambria"/>
          <w:color w:val="231F20"/>
          <w:spacing w:val="2"/>
        </w:rPr>
        <w:t>dualismo </w:t>
      </w:r>
      <w:r>
        <w:rPr>
          <w:rFonts w:ascii="Cambria" w:hAnsi="Cambria"/>
          <w:color w:val="231F20"/>
        </w:rPr>
        <w:t>que </w:t>
      </w:r>
      <w:r>
        <w:rPr>
          <w:rFonts w:ascii="Cambria" w:hAnsi="Cambria"/>
          <w:color w:val="231F20"/>
          <w:spacing w:val="3"/>
        </w:rPr>
        <w:t>opone conformismo/disconformismo, </w:t>
      </w:r>
      <w:r>
        <w:rPr>
          <w:rFonts w:ascii="Cambria" w:hAnsi="Cambria"/>
          <w:color w:val="231F20"/>
          <w:spacing w:val="3"/>
          <w:w w:val="95"/>
        </w:rPr>
        <w:t>orientación/desorientación, protesta/no </w:t>
      </w:r>
      <w:r>
        <w:rPr>
          <w:rFonts w:ascii="Cambria" w:hAnsi="Cambria"/>
          <w:color w:val="231F20"/>
          <w:spacing w:val="2"/>
          <w:w w:val="95"/>
        </w:rPr>
        <w:t>protesta </w:t>
      </w:r>
      <w:r>
        <w:rPr>
          <w:rFonts w:ascii="Cambria" w:hAnsi="Cambria"/>
          <w:color w:val="231F20"/>
          <w:w w:val="95"/>
        </w:rPr>
        <w:t>que se </w:t>
      </w:r>
      <w:r>
        <w:rPr>
          <w:rFonts w:ascii="Cambria" w:hAnsi="Cambria"/>
          <w:color w:val="231F20"/>
          <w:spacing w:val="2"/>
          <w:w w:val="95"/>
        </w:rPr>
        <w:t>conjugan </w:t>
      </w:r>
      <w:r>
        <w:rPr>
          <w:rFonts w:ascii="Cambria" w:hAnsi="Cambria"/>
          <w:color w:val="231F20"/>
          <w:w w:val="95"/>
        </w:rPr>
        <w:t>en </w:t>
      </w:r>
      <w:r>
        <w:rPr>
          <w:rFonts w:ascii="Cambria" w:hAnsi="Cambria"/>
          <w:color w:val="231F20"/>
          <w:spacing w:val="3"/>
          <w:w w:val="95"/>
        </w:rPr>
        <w:t>ambientes </w:t>
      </w:r>
      <w:r>
        <w:rPr>
          <w:rFonts w:ascii="Cambria" w:hAnsi="Cambria"/>
          <w:color w:val="231F20"/>
          <w:spacing w:val="2"/>
          <w:w w:val="95"/>
        </w:rPr>
        <w:t>institucionales </w:t>
      </w:r>
      <w:r>
        <w:rPr>
          <w:rFonts w:ascii="Cambria" w:hAnsi="Cambria"/>
          <w:color w:val="231F20"/>
          <w:spacing w:val="3"/>
          <w:w w:val="95"/>
        </w:rPr>
        <w:t>donde </w:t>
      </w:r>
      <w:r>
        <w:rPr>
          <w:rFonts w:ascii="Cambria" w:hAnsi="Cambria"/>
          <w:color w:val="231F20"/>
          <w:w w:val="95"/>
        </w:rPr>
        <w:t>se </w:t>
      </w:r>
      <w:r>
        <w:rPr>
          <w:rFonts w:ascii="Cambria" w:hAnsi="Cambria"/>
          <w:color w:val="231F20"/>
          <w:spacing w:val="3"/>
          <w:w w:val="95"/>
        </w:rPr>
        <w:t>condena </w:t>
      </w:r>
      <w:r>
        <w:rPr>
          <w:rFonts w:ascii="Cambria" w:hAnsi="Cambria"/>
          <w:color w:val="231F20"/>
          <w:w w:val="95"/>
        </w:rPr>
        <w:t>sin </w:t>
      </w:r>
      <w:r>
        <w:rPr>
          <w:rFonts w:ascii="Cambria" w:hAnsi="Cambria"/>
          <w:color w:val="231F20"/>
          <w:spacing w:val="2"/>
          <w:w w:val="95"/>
        </w:rPr>
        <w:t>posibilidad </w:t>
      </w:r>
      <w:r>
        <w:rPr>
          <w:rFonts w:ascii="Cambria" w:hAnsi="Cambria"/>
          <w:color w:val="231F20"/>
          <w:w w:val="95"/>
        </w:rPr>
        <w:t>de </w:t>
      </w:r>
      <w:r>
        <w:rPr>
          <w:rFonts w:ascii="Cambria" w:hAnsi="Cambria"/>
          <w:color w:val="231F20"/>
          <w:spacing w:val="3"/>
        </w:rPr>
        <w:t>condenar,</w:t>
      </w:r>
      <w:r>
        <w:rPr>
          <w:rFonts w:ascii="Cambria" w:hAnsi="Cambria"/>
          <w:color w:val="231F20"/>
          <w:spacing w:val="-13"/>
        </w:rPr>
        <w:t> </w:t>
      </w:r>
      <w:r>
        <w:rPr>
          <w:rFonts w:ascii="Cambria" w:hAnsi="Cambria"/>
          <w:color w:val="231F20"/>
          <w:spacing w:val="3"/>
        </w:rPr>
        <w:t>donde</w:t>
      </w:r>
      <w:r>
        <w:rPr>
          <w:rFonts w:ascii="Cambria" w:hAnsi="Cambria"/>
          <w:color w:val="231F20"/>
          <w:spacing w:val="-13"/>
        </w:rPr>
        <w:t> </w:t>
      </w:r>
      <w:r>
        <w:rPr>
          <w:rFonts w:ascii="Cambria" w:hAnsi="Cambria"/>
          <w:color w:val="231F20"/>
        </w:rPr>
        <w:t>el</w:t>
      </w:r>
      <w:r>
        <w:rPr>
          <w:rFonts w:ascii="Cambria" w:hAnsi="Cambria"/>
          <w:color w:val="231F20"/>
          <w:spacing w:val="-13"/>
        </w:rPr>
        <w:t> </w:t>
      </w:r>
      <w:r>
        <w:rPr>
          <w:rFonts w:ascii="Cambria" w:hAnsi="Cambria"/>
          <w:color w:val="231F20"/>
          <w:spacing w:val="2"/>
        </w:rPr>
        <w:t>lenguaje</w:t>
      </w:r>
      <w:r>
        <w:rPr>
          <w:rFonts w:ascii="Cambria" w:hAnsi="Cambria"/>
          <w:color w:val="231F20"/>
          <w:spacing w:val="-13"/>
        </w:rPr>
        <w:t> </w:t>
      </w:r>
      <w:r>
        <w:rPr>
          <w:rFonts w:ascii="Cambria" w:hAnsi="Cambria"/>
          <w:color w:val="231F20"/>
          <w:spacing w:val="2"/>
        </w:rPr>
        <w:t>sirve</w:t>
      </w:r>
      <w:r>
        <w:rPr>
          <w:rFonts w:ascii="Cambria" w:hAnsi="Cambria"/>
          <w:color w:val="231F20"/>
          <w:spacing w:val="-13"/>
        </w:rPr>
        <w:t> </w:t>
      </w:r>
      <w:r>
        <w:rPr>
          <w:rFonts w:ascii="Cambria" w:hAnsi="Cambria"/>
          <w:color w:val="231F20"/>
        </w:rPr>
        <w:t>a</w:t>
      </w:r>
      <w:r>
        <w:rPr>
          <w:rFonts w:ascii="Cambria" w:hAnsi="Cambria"/>
          <w:color w:val="231F20"/>
          <w:spacing w:val="-13"/>
        </w:rPr>
        <w:t> </w:t>
      </w:r>
      <w:r>
        <w:rPr>
          <w:rFonts w:ascii="Cambria" w:hAnsi="Cambria"/>
          <w:color w:val="231F20"/>
          <w:spacing w:val="2"/>
        </w:rPr>
        <w:t>los</w:t>
      </w:r>
      <w:r>
        <w:rPr>
          <w:rFonts w:ascii="Cambria" w:hAnsi="Cambria"/>
          <w:color w:val="231F20"/>
          <w:spacing w:val="-13"/>
        </w:rPr>
        <w:t> </w:t>
      </w:r>
      <w:r>
        <w:rPr>
          <w:rFonts w:ascii="Cambria" w:hAnsi="Cambria"/>
          <w:color w:val="231F20"/>
          <w:spacing w:val="2"/>
        </w:rPr>
        <w:t>fines</w:t>
      </w:r>
      <w:r>
        <w:rPr>
          <w:rFonts w:ascii="Cambria" w:hAnsi="Cambria"/>
          <w:color w:val="231F20"/>
          <w:spacing w:val="-13"/>
        </w:rPr>
        <w:t> </w:t>
      </w:r>
      <w:r>
        <w:rPr>
          <w:rFonts w:ascii="Cambria" w:hAnsi="Cambria"/>
          <w:color w:val="231F20"/>
        </w:rPr>
        <w:t>de</w:t>
      </w:r>
      <w:r>
        <w:rPr>
          <w:rFonts w:ascii="Cambria" w:hAnsi="Cambria"/>
          <w:color w:val="231F20"/>
          <w:spacing w:val="-13"/>
        </w:rPr>
        <w:t> </w:t>
      </w:r>
      <w:r>
        <w:rPr>
          <w:rFonts w:ascii="Cambria" w:hAnsi="Cambria"/>
          <w:color w:val="231F20"/>
        </w:rPr>
        <w:t>la</w:t>
      </w:r>
      <w:r>
        <w:rPr>
          <w:rFonts w:ascii="Cambria" w:hAnsi="Cambria"/>
          <w:color w:val="231F20"/>
          <w:spacing w:val="-13"/>
        </w:rPr>
        <w:t> </w:t>
      </w:r>
      <w:r>
        <w:rPr>
          <w:rFonts w:ascii="Cambria" w:hAnsi="Cambria"/>
          <w:color w:val="231F20"/>
          <w:spacing w:val="2"/>
        </w:rPr>
        <w:t>justificación</w:t>
      </w:r>
      <w:r>
        <w:rPr>
          <w:rFonts w:ascii="Cambria" w:hAnsi="Cambria"/>
          <w:color w:val="231F20"/>
          <w:spacing w:val="-13"/>
        </w:rPr>
        <w:t> </w:t>
      </w:r>
      <w:r>
        <w:rPr>
          <w:rFonts w:ascii="Cambria" w:hAnsi="Cambria"/>
          <w:color w:val="231F20"/>
        </w:rPr>
        <w:t>de un </w:t>
      </w:r>
      <w:r>
        <w:rPr>
          <w:rFonts w:ascii="Cambria" w:hAnsi="Cambria"/>
          <w:color w:val="231F20"/>
          <w:spacing w:val="2"/>
        </w:rPr>
        <w:t>poder impuesto desde arriba. Con todo, </w:t>
      </w:r>
      <w:r>
        <w:rPr>
          <w:rFonts w:ascii="Cambria" w:hAnsi="Cambria"/>
          <w:color w:val="231F20"/>
        </w:rPr>
        <w:t>el </w:t>
      </w:r>
      <w:r>
        <w:rPr>
          <w:rFonts w:ascii="Cambria" w:hAnsi="Cambria"/>
          <w:color w:val="231F20"/>
          <w:spacing w:val="3"/>
        </w:rPr>
        <w:t>planteamiento </w:t>
      </w:r>
      <w:r>
        <w:rPr>
          <w:rFonts w:ascii="Cambria" w:hAnsi="Cambria"/>
          <w:color w:val="231F20"/>
        </w:rPr>
        <w:t>de </w:t>
      </w:r>
      <w:r>
        <w:rPr>
          <w:rFonts w:ascii="Cambria" w:hAnsi="Cambria"/>
          <w:color w:val="231F20"/>
          <w:spacing w:val="3"/>
        </w:rPr>
        <w:t>Kalbermatter</w:t>
      </w:r>
      <w:r>
        <w:rPr>
          <w:rFonts w:ascii="Cambria" w:hAnsi="Cambria"/>
          <w:color w:val="231F20"/>
          <w:spacing w:val="-7"/>
        </w:rPr>
        <w:t> </w:t>
      </w:r>
      <w:r>
        <w:rPr>
          <w:rFonts w:ascii="Cambria" w:hAnsi="Cambria"/>
          <w:color w:val="231F20"/>
          <w:spacing w:val="2"/>
        </w:rPr>
        <w:t>nos</w:t>
      </w:r>
      <w:r>
        <w:rPr>
          <w:rFonts w:ascii="Cambria" w:hAnsi="Cambria"/>
          <w:color w:val="231F20"/>
          <w:spacing w:val="-7"/>
        </w:rPr>
        <w:t> </w:t>
      </w:r>
      <w:r>
        <w:rPr>
          <w:rFonts w:ascii="Cambria" w:hAnsi="Cambria"/>
          <w:color w:val="231F20"/>
          <w:spacing w:val="2"/>
        </w:rPr>
        <w:t>coloca</w:t>
      </w:r>
      <w:r>
        <w:rPr>
          <w:rFonts w:ascii="Cambria" w:hAnsi="Cambria"/>
          <w:color w:val="231F20"/>
          <w:spacing w:val="-7"/>
        </w:rPr>
        <w:t> </w:t>
      </w:r>
      <w:r>
        <w:rPr>
          <w:rFonts w:ascii="Cambria" w:hAnsi="Cambria"/>
          <w:color w:val="231F20"/>
        </w:rPr>
        <w:t>en</w:t>
      </w:r>
      <w:r>
        <w:rPr>
          <w:rFonts w:ascii="Cambria" w:hAnsi="Cambria"/>
          <w:color w:val="231F20"/>
          <w:spacing w:val="-7"/>
        </w:rPr>
        <w:t> </w:t>
      </w:r>
      <w:r>
        <w:rPr>
          <w:rFonts w:ascii="Cambria" w:hAnsi="Cambria"/>
          <w:color w:val="231F20"/>
        </w:rPr>
        <w:t>la</w:t>
      </w:r>
      <w:r>
        <w:rPr>
          <w:rFonts w:ascii="Cambria" w:hAnsi="Cambria"/>
          <w:color w:val="231F20"/>
          <w:spacing w:val="-7"/>
        </w:rPr>
        <w:t> </w:t>
      </w:r>
      <w:r>
        <w:rPr>
          <w:rFonts w:ascii="Cambria" w:hAnsi="Cambria"/>
          <w:color w:val="231F20"/>
          <w:spacing w:val="2"/>
        </w:rPr>
        <w:t>posibilidad</w:t>
      </w:r>
      <w:r>
        <w:rPr>
          <w:rFonts w:ascii="Cambria" w:hAnsi="Cambria"/>
          <w:color w:val="231F20"/>
          <w:spacing w:val="-7"/>
        </w:rPr>
        <w:t> </w:t>
      </w:r>
      <w:r>
        <w:rPr>
          <w:rFonts w:ascii="Cambria" w:hAnsi="Cambria"/>
          <w:color w:val="231F20"/>
        </w:rPr>
        <w:t>de</w:t>
      </w:r>
      <w:r>
        <w:rPr>
          <w:rFonts w:ascii="Cambria" w:hAnsi="Cambria"/>
          <w:color w:val="231F20"/>
          <w:spacing w:val="-7"/>
        </w:rPr>
        <w:t> </w:t>
      </w:r>
      <w:r>
        <w:rPr>
          <w:rFonts w:ascii="Cambria" w:hAnsi="Cambria"/>
          <w:color w:val="231F20"/>
          <w:spacing w:val="3"/>
        </w:rPr>
        <w:t>comprender</w:t>
      </w:r>
      <w:r>
        <w:rPr>
          <w:rFonts w:ascii="Cambria" w:hAnsi="Cambria"/>
          <w:color w:val="231F20"/>
          <w:spacing w:val="-7"/>
        </w:rPr>
        <w:t> </w:t>
      </w:r>
      <w:r>
        <w:rPr>
          <w:rFonts w:ascii="Cambria" w:hAnsi="Cambria"/>
          <w:color w:val="231F20"/>
        </w:rPr>
        <w:t>la</w:t>
      </w:r>
      <w:r>
        <w:rPr>
          <w:rFonts w:ascii="Cambria" w:hAnsi="Cambria"/>
          <w:color w:val="231F20"/>
          <w:spacing w:val="-7"/>
        </w:rPr>
        <w:t> </w:t>
      </w:r>
      <w:r>
        <w:rPr>
          <w:rFonts w:ascii="Cambria" w:hAnsi="Cambria"/>
          <w:color w:val="231F20"/>
          <w:spacing w:val="3"/>
        </w:rPr>
        <w:t>vio- </w:t>
      </w:r>
      <w:r>
        <w:rPr>
          <w:rFonts w:ascii="Cambria" w:hAnsi="Cambria"/>
          <w:color w:val="231F20"/>
          <w:spacing w:val="2"/>
          <w:w w:val="95"/>
        </w:rPr>
        <w:t>lencia </w:t>
      </w:r>
      <w:r>
        <w:rPr>
          <w:rFonts w:ascii="Cambria" w:hAnsi="Cambria"/>
          <w:color w:val="231F20"/>
          <w:spacing w:val="3"/>
          <w:w w:val="95"/>
        </w:rPr>
        <w:t>como </w:t>
      </w:r>
      <w:r>
        <w:rPr>
          <w:rFonts w:ascii="Cambria" w:hAnsi="Cambria"/>
          <w:color w:val="231F20"/>
          <w:spacing w:val="2"/>
          <w:w w:val="95"/>
        </w:rPr>
        <w:t>resultado </w:t>
      </w:r>
      <w:r>
        <w:rPr>
          <w:rFonts w:ascii="Cambria" w:hAnsi="Cambria"/>
          <w:color w:val="231F20"/>
          <w:w w:val="95"/>
        </w:rPr>
        <w:t>de </w:t>
      </w:r>
      <w:r>
        <w:rPr>
          <w:rFonts w:ascii="Cambria" w:hAnsi="Cambria"/>
          <w:color w:val="231F20"/>
          <w:spacing w:val="3"/>
          <w:w w:val="95"/>
        </w:rPr>
        <w:t>procesos </w:t>
      </w:r>
      <w:r>
        <w:rPr>
          <w:rFonts w:ascii="Cambria" w:hAnsi="Cambria"/>
          <w:color w:val="231F20"/>
          <w:w w:val="95"/>
        </w:rPr>
        <w:t>de </w:t>
      </w:r>
      <w:r>
        <w:rPr>
          <w:rFonts w:ascii="Cambria" w:hAnsi="Cambria"/>
          <w:color w:val="231F20"/>
          <w:spacing w:val="2"/>
          <w:w w:val="95"/>
        </w:rPr>
        <w:t>constitución </w:t>
      </w:r>
      <w:r>
        <w:rPr>
          <w:rFonts w:ascii="Cambria" w:hAnsi="Cambria"/>
          <w:color w:val="231F20"/>
          <w:w w:val="95"/>
        </w:rPr>
        <w:t>de </w:t>
      </w:r>
      <w:r>
        <w:rPr>
          <w:rFonts w:ascii="Cambria" w:hAnsi="Cambria"/>
          <w:color w:val="231F20"/>
          <w:spacing w:val="3"/>
          <w:w w:val="95"/>
        </w:rPr>
        <w:t>subjetivida- </w:t>
      </w:r>
      <w:r>
        <w:rPr>
          <w:rFonts w:ascii="Cambria" w:hAnsi="Cambria"/>
          <w:color w:val="231F20"/>
          <w:spacing w:val="2"/>
          <w:w w:val="90"/>
        </w:rPr>
        <w:t>des </w:t>
      </w:r>
      <w:r>
        <w:rPr>
          <w:rFonts w:ascii="Cambria" w:hAnsi="Cambria"/>
          <w:color w:val="231F20"/>
          <w:spacing w:val="3"/>
          <w:w w:val="90"/>
        </w:rPr>
        <w:t> deformadas.</w:t>
      </w:r>
    </w:p>
    <w:p>
      <w:pPr>
        <w:pStyle w:val="BodyText"/>
        <w:spacing w:line="244" w:lineRule="auto"/>
        <w:ind w:left="101" w:right="115" w:firstLine="284"/>
        <w:jc w:val="both"/>
        <w:rPr>
          <w:rFonts w:ascii="Cambria" w:hAnsi="Cambria"/>
        </w:rPr>
      </w:pPr>
      <w:r>
        <w:rPr>
          <w:rFonts w:ascii="Cambria" w:hAnsi="Cambria"/>
          <w:color w:val="231F20"/>
          <w:spacing w:val="2"/>
        </w:rPr>
        <w:t>Otra</w:t>
      </w:r>
      <w:r>
        <w:rPr>
          <w:rFonts w:ascii="Cambria" w:hAnsi="Cambria"/>
          <w:color w:val="231F20"/>
          <w:spacing w:val="-25"/>
        </w:rPr>
        <w:t> </w:t>
      </w:r>
      <w:r>
        <w:rPr>
          <w:rFonts w:ascii="Cambria" w:hAnsi="Cambria"/>
          <w:color w:val="231F20"/>
          <w:spacing w:val="2"/>
        </w:rPr>
        <w:t>perspectiva</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spacing w:val="2"/>
        </w:rPr>
        <w:t>teorizar</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spacing w:val="2"/>
        </w:rPr>
        <w:t>violencia</w:t>
      </w:r>
      <w:r>
        <w:rPr>
          <w:rFonts w:ascii="Cambria" w:hAnsi="Cambria"/>
          <w:color w:val="231F20"/>
          <w:spacing w:val="-25"/>
        </w:rPr>
        <w:t> </w:t>
      </w:r>
      <w:r>
        <w:rPr>
          <w:rFonts w:ascii="Cambria" w:hAnsi="Cambria"/>
          <w:color w:val="231F20"/>
        </w:rPr>
        <w:t>en</w:t>
      </w:r>
      <w:r>
        <w:rPr>
          <w:rFonts w:ascii="Cambria" w:hAnsi="Cambria"/>
          <w:color w:val="231F20"/>
          <w:spacing w:val="-25"/>
        </w:rPr>
        <w:t> </w:t>
      </w:r>
      <w:r>
        <w:rPr>
          <w:rFonts w:ascii="Cambria" w:hAnsi="Cambria"/>
          <w:color w:val="231F20"/>
        </w:rPr>
        <w:t>el</w:t>
      </w:r>
      <w:r>
        <w:rPr>
          <w:rFonts w:ascii="Cambria" w:hAnsi="Cambria"/>
          <w:color w:val="231F20"/>
          <w:spacing w:val="-26"/>
        </w:rPr>
        <w:t> </w:t>
      </w:r>
      <w:r>
        <w:rPr>
          <w:rFonts w:ascii="Cambria" w:hAnsi="Cambria"/>
          <w:color w:val="231F20"/>
          <w:spacing w:val="2"/>
        </w:rPr>
        <w:t>ámbito</w:t>
      </w:r>
      <w:r>
        <w:rPr>
          <w:rFonts w:ascii="Cambria" w:hAnsi="Cambria"/>
          <w:color w:val="231F20"/>
          <w:spacing w:val="-25"/>
        </w:rPr>
        <w:t> </w:t>
      </w:r>
      <w:r>
        <w:rPr>
          <w:rFonts w:ascii="Cambria" w:hAnsi="Cambria"/>
          <w:color w:val="231F20"/>
          <w:spacing w:val="2"/>
        </w:rPr>
        <w:t>escolar</w:t>
      </w:r>
      <w:r>
        <w:rPr>
          <w:rFonts w:ascii="Cambria" w:hAnsi="Cambria"/>
          <w:color w:val="231F20"/>
          <w:spacing w:val="-25"/>
        </w:rPr>
        <w:t> </w:t>
      </w:r>
      <w:r>
        <w:rPr>
          <w:rFonts w:ascii="Cambria" w:hAnsi="Cambria"/>
          <w:color w:val="231F20"/>
        </w:rPr>
        <w:t>es la</w:t>
      </w:r>
      <w:r>
        <w:rPr>
          <w:rFonts w:ascii="Cambria" w:hAnsi="Cambria"/>
          <w:color w:val="231F20"/>
          <w:spacing w:val="-9"/>
        </w:rPr>
        <w:t> </w:t>
      </w:r>
      <w:r>
        <w:rPr>
          <w:rFonts w:ascii="Cambria" w:hAnsi="Cambria"/>
          <w:color w:val="231F20"/>
        </w:rPr>
        <w:t>de</w:t>
      </w:r>
      <w:r>
        <w:rPr>
          <w:rFonts w:ascii="Cambria" w:hAnsi="Cambria"/>
          <w:color w:val="231F20"/>
          <w:spacing w:val="-9"/>
        </w:rPr>
        <w:t> </w:t>
      </w:r>
      <w:r>
        <w:rPr>
          <w:rFonts w:ascii="Cambria" w:hAnsi="Cambria"/>
          <w:color w:val="231F20"/>
          <w:spacing w:val="2"/>
        </w:rPr>
        <w:t>Pross</w:t>
      </w:r>
      <w:r>
        <w:rPr>
          <w:rFonts w:ascii="Cambria" w:hAnsi="Cambria"/>
          <w:color w:val="231F20"/>
          <w:spacing w:val="-9"/>
        </w:rPr>
        <w:t> </w:t>
      </w:r>
      <w:r>
        <w:rPr>
          <w:rFonts w:ascii="Cambria" w:hAnsi="Cambria"/>
          <w:color w:val="231F20"/>
          <w:spacing w:val="3"/>
        </w:rPr>
        <w:t>cuando</w:t>
      </w:r>
      <w:r>
        <w:rPr>
          <w:rFonts w:ascii="Cambria" w:hAnsi="Cambria"/>
          <w:color w:val="231F20"/>
          <w:spacing w:val="-9"/>
        </w:rPr>
        <w:t> </w:t>
      </w:r>
      <w:r>
        <w:rPr>
          <w:rFonts w:ascii="Cambria" w:hAnsi="Cambria"/>
          <w:color w:val="231F20"/>
          <w:spacing w:val="2"/>
        </w:rPr>
        <w:t>dirige</w:t>
      </w:r>
      <w:r>
        <w:rPr>
          <w:rFonts w:ascii="Cambria" w:hAnsi="Cambria"/>
          <w:color w:val="231F20"/>
          <w:spacing w:val="-9"/>
        </w:rPr>
        <w:t> </w:t>
      </w:r>
      <w:r>
        <w:rPr>
          <w:rFonts w:ascii="Cambria" w:hAnsi="Cambria"/>
          <w:color w:val="231F20"/>
        </w:rPr>
        <w:t>la</w:t>
      </w:r>
      <w:r>
        <w:rPr>
          <w:rFonts w:ascii="Cambria" w:hAnsi="Cambria"/>
          <w:color w:val="231F20"/>
          <w:spacing w:val="-9"/>
        </w:rPr>
        <w:t> </w:t>
      </w:r>
      <w:r>
        <w:rPr>
          <w:rFonts w:ascii="Cambria" w:hAnsi="Cambria"/>
          <w:color w:val="231F20"/>
          <w:spacing w:val="2"/>
        </w:rPr>
        <w:t>atención</w:t>
      </w:r>
      <w:r>
        <w:rPr>
          <w:rFonts w:ascii="Cambria" w:hAnsi="Cambria"/>
          <w:color w:val="231F20"/>
          <w:spacing w:val="-9"/>
        </w:rPr>
        <w:t> </w:t>
      </w:r>
      <w:r>
        <w:rPr>
          <w:rFonts w:ascii="Cambria" w:hAnsi="Cambria"/>
          <w:color w:val="231F20"/>
          <w:spacing w:val="2"/>
        </w:rPr>
        <w:t>hacia</w:t>
      </w:r>
      <w:r>
        <w:rPr>
          <w:rFonts w:ascii="Cambria" w:hAnsi="Cambria"/>
          <w:color w:val="231F20"/>
          <w:spacing w:val="-9"/>
        </w:rPr>
        <w:t> </w:t>
      </w:r>
      <w:r>
        <w:rPr>
          <w:rFonts w:ascii="Cambria" w:hAnsi="Cambria"/>
          <w:color w:val="231F20"/>
        </w:rPr>
        <w:t>las</w:t>
      </w:r>
      <w:r>
        <w:rPr>
          <w:rFonts w:ascii="Cambria" w:hAnsi="Cambria"/>
          <w:color w:val="231F20"/>
          <w:spacing w:val="-9"/>
        </w:rPr>
        <w:t> </w:t>
      </w:r>
      <w:r>
        <w:rPr>
          <w:rFonts w:ascii="Cambria" w:hAnsi="Cambria"/>
          <w:color w:val="231F20"/>
          <w:spacing w:val="3"/>
        </w:rPr>
        <w:t>maneras</w:t>
      </w:r>
      <w:r>
        <w:rPr>
          <w:rFonts w:ascii="Cambria" w:hAnsi="Cambria"/>
          <w:color w:val="231F20"/>
          <w:spacing w:val="-9"/>
        </w:rPr>
        <w:t> </w:t>
      </w:r>
      <w:r>
        <w:rPr>
          <w:rFonts w:ascii="Cambria" w:hAnsi="Cambria"/>
          <w:color w:val="231F20"/>
        </w:rPr>
        <w:t>en</w:t>
      </w:r>
      <w:r>
        <w:rPr>
          <w:rFonts w:ascii="Cambria" w:hAnsi="Cambria"/>
          <w:color w:val="231F20"/>
          <w:spacing w:val="-9"/>
        </w:rPr>
        <w:t> </w:t>
      </w:r>
      <w:r>
        <w:rPr>
          <w:rFonts w:ascii="Cambria" w:hAnsi="Cambria"/>
          <w:color w:val="231F20"/>
        </w:rPr>
        <w:t>que</w:t>
      </w:r>
      <w:r>
        <w:rPr>
          <w:rFonts w:ascii="Cambria" w:hAnsi="Cambria"/>
          <w:color w:val="231F20"/>
          <w:spacing w:val="-9"/>
        </w:rPr>
        <w:t> </w:t>
      </w:r>
      <w:r>
        <w:rPr>
          <w:rFonts w:ascii="Cambria" w:hAnsi="Cambria"/>
          <w:color w:val="231F20"/>
        </w:rPr>
        <w:t>se </w:t>
      </w:r>
      <w:r>
        <w:rPr>
          <w:rFonts w:ascii="Cambria" w:hAnsi="Cambria"/>
          <w:color w:val="231F20"/>
          <w:spacing w:val="2"/>
        </w:rPr>
        <w:t>han</w:t>
      </w:r>
      <w:r>
        <w:rPr>
          <w:rFonts w:ascii="Cambria" w:hAnsi="Cambria"/>
          <w:color w:val="231F20"/>
          <w:spacing w:val="-6"/>
        </w:rPr>
        <w:t> </w:t>
      </w:r>
      <w:r>
        <w:rPr>
          <w:rFonts w:ascii="Cambria" w:hAnsi="Cambria"/>
          <w:color w:val="231F20"/>
          <w:spacing w:val="2"/>
        </w:rPr>
        <w:t>tratado</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spacing w:val="2"/>
        </w:rPr>
        <w:t>entender</w:t>
      </w:r>
      <w:r>
        <w:rPr>
          <w:rFonts w:ascii="Cambria" w:hAnsi="Cambria"/>
          <w:color w:val="231F20"/>
          <w:spacing w:val="-6"/>
        </w:rPr>
        <w:t> </w:t>
      </w:r>
      <w:r>
        <w:rPr>
          <w:rFonts w:ascii="Cambria" w:hAnsi="Cambria"/>
          <w:color w:val="231F20"/>
        </w:rPr>
        <w:t>las</w:t>
      </w:r>
      <w:r>
        <w:rPr>
          <w:rFonts w:ascii="Cambria" w:hAnsi="Cambria"/>
          <w:color w:val="231F20"/>
          <w:spacing w:val="-6"/>
        </w:rPr>
        <w:t> </w:t>
      </w:r>
      <w:r>
        <w:rPr>
          <w:rFonts w:ascii="Cambria" w:hAnsi="Cambria"/>
          <w:color w:val="231F20"/>
          <w:spacing w:val="2"/>
        </w:rPr>
        <w:t>causas</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rPr>
        <w:t>la</w:t>
      </w:r>
      <w:r>
        <w:rPr>
          <w:rFonts w:ascii="Cambria" w:hAnsi="Cambria"/>
          <w:color w:val="231F20"/>
          <w:spacing w:val="-6"/>
        </w:rPr>
        <w:t> </w:t>
      </w:r>
      <w:r>
        <w:rPr>
          <w:rFonts w:ascii="Cambria" w:hAnsi="Cambria"/>
          <w:color w:val="231F20"/>
          <w:spacing w:val="2"/>
        </w:rPr>
        <w:t>violencia</w:t>
      </w:r>
      <w:r>
        <w:rPr>
          <w:rFonts w:ascii="Cambria" w:hAnsi="Cambria"/>
          <w:color w:val="231F20"/>
          <w:spacing w:val="-6"/>
        </w:rPr>
        <w:t> </w:t>
      </w:r>
      <w:r>
        <w:rPr>
          <w:rFonts w:ascii="Cambria" w:hAnsi="Cambria"/>
          <w:color w:val="231F20"/>
          <w:spacing w:val="2"/>
        </w:rPr>
        <w:t>expresa</w:t>
      </w:r>
      <w:r>
        <w:rPr>
          <w:rFonts w:ascii="Cambria" w:hAnsi="Cambria"/>
          <w:color w:val="231F20"/>
          <w:spacing w:val="-6"/>
        </w:rPr>
        <w:t> </w:t>
      </w:r>
      <w:r>
        <w:rPr>
          <w:rFonts w:ascii="Cambria" w:hAnsi="Cambria"/>
          <w:color w:val="231F20"/>
        </w:rPr>
        <w:t>en</w:t>
      </w:r>
      <w:r>
        <w:rPr>
          <w:rFonts w:ascii="Cambria" w:hAnsi="Cambria"/>
          <w:color w:val="231F20"/>
          <w:spacing w:val="-6"/>
        </w:rPr>
        <w:t> </w:t>
      </w:r>
      <w:r>
        <w:rPr>
          <w:rFonts w:ascii="Cambria" w:hAnsi="Cambria"/>
          <w:color w:val="231F20"/>
          <w:spacing w:val="2"/>
        </w:rPr>
        <w:t>los conflictos bélicos </w:t>
      </w:r>
      <w:r>
        <w:rPr>
          <w:rFonts w:ascii="Cambria" w:hAnsi="Cambria"/>
          <w:color w:val="231F20"/>
        </w:rPr>
        <w:t>y el </w:t>
      </w:r>
      <w:r>
        <w:rPr>
          <w:rFonts w:ascii="Cambria" w:hAnsi="Cambria"/>
          <w:color w:val="231F20"/>
          <w:spacing w:val="3"/>
        </w:rPr>
        <w:t>modo </w:t>
      </w:r>
      <w:r>
        <w:rPr>
          <w:rFonts w:ascii="Cambria" w:hAnsi="Cambria"/>
          <w:color w:val="231F20"/>
        </w:rPr>
        <w:t>en </w:t>
      </w:r>
      <w:r>
        <w:rPr>
          <w:rFonts w:ascii="Cambria" w:hAnsi="Cambria"/>
          <w:color w:val="231F20"/>
          <w:spacing w:val="2"/>
        </w:rPr>
        <w:t>que </w:t>
      </w:r>
      <w:r>
        <w:rPr>
          <w:i/>
          <w:color w:val="231F20"/>
          <w:spacing w:val="2"/>
        </w:rPr>
        <w:t>transitan </w:t>
      </w:r>
      <w:r>
        <w:rPr>
          <w:rFonts w:ascii="Cambria" w:hAnsi="Cambria"/>
          <w:color w:val="231F20"/>
        </w:rPr>
        <w:t>de </w:t>
      </w:r>
      <w:r>
        <w:rPr>
          <w:rFonts w:ascii="Cambria" w:hAnsi="Cambria"/>
          <w:color w:val="231F20"/>
          <w:spacing w:val="2"/>
        </w:rPr>
        <w:t>una “violencia brutal” </w:t>
      </w:r>
      <w:r>
        <w:rPr>
          <w:i/>
          <w:color w:val="231F20"/>
          <w:spacing w:val="2"/>
        </w:rPr>
        <w:t>hacia </w:t>
      </w:r>
      <w:r>
        <w:rPr>
          <w:rFonts w:ascii="Cambria" w:hAnsi="Cambria"/>
          <w:color w:val="231F20"/>
        </w:rPr>
        <w:t>“las </w:t>
      </w:r>
      <w:r>
        <w:rPr>
          <w:rFonts w:ascii="Cambria" w:hAnsi="Cambria"/>
          <w:color w:val="231F20"/>
          <w:spacing w:val="2"/>
        </w:rPr>
        <w:t>disputas, </w:t>
      </w:r>
      <w:r>
        <w:rPr>
          <w:rFonts w:ascii="Cambria" w:hAnsi="Cambria"/>
          <w:color w:val="231F20"/>
          <w:spacing w:val="3"/>
        </w:rPr>
        <w:t>principalmente </w:t>
      </w:r>
      <w:r>
        <w:rPr>
          <w:rFonts w:ascii="Cambria" w:hAnsi="Cambria"/>
          <w:color w:val="231F20"/>
          <w:spacing w:val="2"/>
        </w:rPr>
        <w:t>simbólicas, entre las </w:t>
      </w:r>
      <w:r>
        <w:rPr>
          <w:rFonts w:ascii="Cambria" w:hAnsi="Cambria"/>
          <w:color w:val="231F20"/>
          <w:spacing w:val="2"/>
          <w:w w:val="95"/>
        </w:rPr>
        <w:t>potencias atómicas rivales; son medios </w:t>
      </w:r>
      <w:r>
        <w:rPr>
          <w:rFonts w:ascii="Cambria" w:hAnsi="Cambria"/>
          <w:color w:val="231F20"/>
          <w:w w:val="95"/>
        </w:rPr>
        <w:t>de </w:t>
      </w:r>
      <w:r>
        <w:rPr>
          <w:rFonts w:ascii="Cambria" w:hAnsi="Cambria"/>
          <w:color w:val="231F20"/>
          <w:spacing w:val="2"/>
          <w:w w:val="95"/>
        </w:rPr>
        <w:t>dirección </w:t>
      </w:r>
      <w:r>
        <w:rPr>
          <w:rFonts w:ascii="Cambria" w:hAnsi="Cambria"/>
          <w:color w:val="231F20"/>
          <w:w w:val="95"/>
        </w:rPr>
        <w:t>que se </w:t>
      </w:r>
      <w:r>
        <w:rPr>
          <w:rFonts w:ascii="Cambria" w:hAnsi="Cambria"/>
          <w:color w:val="231F20"/>
          <w:spacing w:val="2"/>
          <w:w w:val="95"/>
        </w:rPr>
        <w:t>utilizan para legitimar determinadas </w:t>
      </w:r>
      <w:r>
        <w:rPr>
          <w:rFonts w:ascii="Cambria" w:hAnsi="Cambria"/>
          <w:color w:val="231F20"/>
          <w:spacing w:val="3"/>
          <w:w w:val="95"/>
        </w:rPr>
        <w:t>pretensiones </w:t>
      </w:r>
      <w:r>
        <w:rPr>
          <w:rFonts w:ascii="Cambria" w:hAnsi="Cambria"/>
          <w:color w:val="231F20"/>
          <w:w w:val="95"/>
        </w:rPr>
        <w:t>de </w:t>
      </w:r>
      <w:r>
        <w:rPr>
          <w:rFonts w:ascii="Cambria" w:hAnsi="Cambria"/>
          <w:color w:val="231F20"/>
          <w:spacing w:val="2"/>
          <w:w w:val="95"/>
        </w:rPr>
        <w:t>poder” (Pross </w:t>
      </w:r>
      <w:r>
        <w:rPr>
          <w:rFonts w:ascii="Cambria" w:hAnsi="Cambria"/>
          <w:color w:val="231F20"/>
          <w:w w:val="95"/>
        </w:rPr>
        <w:t>y </w:t>
      </w:r>
      <w:r>
        <w:rPr>
          <w:rFonts w:ascii="Cambria" w:hAnsi="Cambria"/>
          <w:color w:val="231F20"/>
          <w:spacing w:val="4"/>
          <w:w w:val="95"/>
        </w:rPr>
        <w:t>Ro- </w:t>
      </w:r>
      <w:r>
        <w:rPr>
          <w:rFonts w:ascii="Cambria" w:hAnsi="Cambria"/>
          <w:color w:val="231F20"/>
          <w:spacing w:val="2"/>
        </w:rPr>
        <w:t>mano,</w:t>
      </w:r>
      <w:r>
        <w:rPr>
          <w:rFonts w:ascii="Cambria" w:hAnsi="Cambria"/>
          <w:color w:val="231F20"/>
          <w:spacing w:val="-15"/>
        </w:rPr>
        <w:t> </w:t>
      </w:r>
      <w:r>
        <w:rPr>
          <w:rFonts w:ascii="Cambria" w:hAnsi="Cambria"/>
          <w:color w:val="231F20"/>
          <w:spacing w:val="2"/>
        </w:rPr>
        <w:t>1989:15).</w:t>
      </w:r>
      <w:r>
        <w:rPr>
          <w:rFonts w:ascii="Cambria" w:hAnsi="Cambria"/>
          <w:color w:val="231F20"/>
          <w:spacing w:val="-15"/>
        </w:rPr>
        <w:t> </w:t>
      </w:r>
      <w:r>
        <w:rPr>
          <w:rFonts w:ascii="Cambria" w:hAnsi="Cambria"/>
          <w:color w:val="231F20"/>
        </w:rPr>
        <w:t>Lo</w:t>
      </w:r>
      <w:r>
        <w:rPr>
          <w:rFonts w:ascii="Cambria" w:hAnsi="Cambria"/>
          <w:color w:val="231F20"/>
          <w:spacing w:val="-15"/>
        </w:rPr>
        <w:t> </w:t>
      </w:r>
      <w:r>
        <w:rPr>
          <w:rFonts w:ascii="Cambria" w:hAnsi="Cambria"/>
          <w:color w:val="231F20"/>
        </w:rPr>
        <w:t>que</w:t>
      </w:r>
      <w:r>
        <w:rPr>
          <w:rFonts w:ascii="Cambria" w:hAnsi="Cambria"/>
          <w:color w:val="231F20"/>
          <w:spacing w:val="-15"/>
        </w:rPr>
        <w:t> </w:t>
      </w:r>
      <w:r>
        <w:rPr>
          <w:rFonts w:ascii="Cambria" w:hAnsi="Cambria"/>
          <w:color w:val="231F20"/>
        </w:rPr>
        <w:t>nos</w:t>
      </w:r>
      <w:r>
        <w:rPr>
          <w:rFonts w:ascii="Cambria" w:hAnsi="Cambria"/>
          <w:color w:val="231F20"/>
          <w:spacing w:val="-15"/>
        </w:rPr>
        <w:t> </w:t>
      </w:r>
      <w:r>
        <w:rPr>
          <w:rFonts w:ascii="Cambria" w:hAnsi="Cambria"/>
          <w:color w:val="231F20"/>
          <w:spacing w:val="2"/>
        </w:rPr>
        <w:t>manifiesta</w:t>
      </w:r>
      <w:r>
        <w:rPr>
          <w:rFonts w:ascii="Cambria" w:hAnsi="Cambria"/>
          <w:color w:val="231F20"/>
          <w:spacing w:val="-15"/>
        </w:rPr>
        <w:t> </w:t>
      </w:r>
      <w:r>
        <w:rPr>
          <w:rFonts w:ascii="Cambria" w:hAnsi="Cambria"/>
          <w:color w:val="231F20"/>
          <w:spacing w:val="2"/>
        </w:rPr>
        <w:t>Pross</w:t>
      </w:r>
      <w:r>
        <w:rPr>
          <w:rFonts w:ascii="Cambria" w:hAnsi="Cambria"/>
          <w:color w:val="231F20"/>
          <w:spacing w:val="-15"/>
        </w:rPr>
        <w:t> </w:t>
      </w:r>
      <w:r>
        <w:rPr>
          <w:rFonts w:ascii="Cambria" w:hAnsi="Cambria"/>
          <w:color w:val="231F20"/>
        </w:rPr>
        <w:t>es</w:t>
      </w:r>
      <w:r>
        <w:rPr>
          <w:rFonts w:ascii="Cambria" w:hAnsi="Cambria"/>
          <w:color w:val="231F20"/>
          <w:spacing w:val="-15"/>
        </w:rPr>
        <w:t> </w:t>
      </w:r>
      <w:r>
        <w:rPr>
          <w:rFonts w:ascii="Cambria" w:hAnsi="Cambria"/>
          <w:color w:val="231F20"/>
        </w:rPr>
        <w:t>el</w:t>
      </w:r>
      <w:r>
        <w:rPr>
          <w:rFonts w:ascii="Cambria" w:hAnsi="Cambria"/>
          <w:color w:val="231F20"/>
          <w:spacing w:val="-15"/>
        </w:rPr>
        <w:t> </w:t>
      </w:r>
      <w:r>
        <w:rPr>
          <w:rFonts w:ascii="Cambria" w:hAnsi="Cambria"/>
          <w:color w:val="231F20"/>
          <w:spacing w:val="2"/>
        </w:rPr>
        <w:t>modo</w:t>
      </w:r>
      <w:r>
        <w:rPr>
          <w:rFonts w:ascii="Cambria" w:hAnsi="Cambria"/>
          <w:color w:val="231F20"/>
          <w:spacing w:val="-14"/>
        </w:rPr>
        <w:t> </w:t>
      </w:r>
      <w:r>
        <w:rPr>
          <w:rFonts w:ascii="Cambria" w:hAnsi="Cambria"/>
          <w:color w:val="231F20"/>
        </w:rPr>
        <w:t>en</w:t>
      </w:r>
      <w:r>
        <w:rPr>
          <w:rFonts w:ascii="Cambria" w:hAnsi="Cambria"/>
          <w:color w:val="231F20"/>
          <w:spacing w:val="-15"/>
        </w:rPr>
        <w:t> </w:t>
      </w:r>
      <w:r>
        <w:rPr>
          <w:rFonts w:ascii="Cambria" w:hAnsi="Cambria"/>
          <w:color w:val="231F20"/>
        </w:rPr>
        <w:t>que</w:t>
      </w:r>
      <w:r>
        <w:rPr>
          <w:rFonts w:ascii="Cambria" w:hAnsi="Cambria"/>
          <w:color w:val="231F20"/>
          <w:spacing w:val="-15"/>
        </w:rPr>
        <w:t> </w:t>
      </w:r>
      <w:r>
        <w:rPr>
          <w:rFonts w:ascii="Cambria" w:hAnsi="Cambria"/>
          <w:color w:val="231F20"/>
        </w:rPr>
        <w:t>la </w:t>
      </w:r>
      <w:r>
        <w:rPr>
          <w:rFonts w:ascii="Cambria" w:hAnsi="Cambria"/>
          <w:color w:val="231F20"/>
          <w:spacing w:val="2"/>
          <w:w w:val="95"/>
        </w:rPr>
        <w:t>violencia directa </w:t>
      </w:r>
      <w:r>
        <w:rPr>
          <w:rFonts w:ascii="Cambria" w:hAnsi="Cambria"/>
          <w:color w:val="231F20"/>
          <w:w w:val="95"/>
        </w:rPr>
        <w:t>es </w:t>
      </w:r>
      <w:r>
        <w:rPr>
          <w:rFonts w:ascii="Cambria" w:hAnsi="Cambria"/>
          <w:color w:val="231F20"/>
          <w:spacing w:val="2"/>
          <w:w w:val="95"/>
        </w:rPr>
        <w:t>racionalizada </w:t>
      </w:r>
      <w:r>
        <w:rPr>
          <w:rFonts w:ascii="Cambria" w:hAnsi="Cambria"/>
          <w:color w:val="231F20"/>
          <w:w w:val="95"/>
        </w:rPr>
        <w:t>y </w:t>
      </w:r>
      <w:r>
        <w:rPr>
          <w:rFonts w:ascii="Cambria" w:hAnsi="Cambria"/>
          <w:color w:val="231F20"/>
          <w:spacing w:val="2"/>
          <w:w w:val="95"/>
        </w:rPr>
        <w:t>asume </w:t>
      </w:r>
      <w:r>
        <w:rPr>
          <w:rFonts w:ascii="Cambria" w:hAnsi="Cambria"/>
          <w:color w:val="231F20"/>
          <w:w w:val="95"/>
        </w:rPr>
        <w:t>el </w:t>
      </w:r>
      <w:r>
        <w:rPr>
          <w:rFonts w:ascii="Cambria" w:hAnsi="Cambria"/>
          <w:color w:val="231F20"/>
          <w:spacing w:val="2"/>
          <w:w w:val="95"/>
        </w:rPr>
        <w:t>carácter </w:t>
      </w:r>
      <w:r>
        <w:rPr>
          <w:rFonts w:ascii="Cambria" w:hAnsi="Cambria"/>
          <w:color w:val="231F20"/>
          <w:w w:val="95"/>
        </w:rPr>
        <w:t>de </w:t>
      </w:r>
      <w:r>
        <w:rPr>
          <w:rFonts w:ascii="Cambria" w:hAnsi="Cambria"/>
          <w:color w:val="231F20"/>
          <w:spacing w:val="2"/>
          <w:w w:val="95"/>
        </w:rPr>
        <w:t>violencia </w:t>
      </w:r>
      <w:r>
        <w:rPr>
          <w:rFonts w:ascii="Cambria" w:hAnsi="Cambria"/>
          <w:color w:val="231F20"/>
          <w:spacing w:val="2"/>
        </w:rPr>
        <w:t>simbólica.</w:t>
      </w:r>
      <w:r>
        <w:rPr>
          <w:rFonts w:ascii="Cambria" w:hAnsi="Cambria"/>
          <w:color w:val="231F20"/>
          <w:spacing w:val="-19"/>
        </w:rPr>
        <w:t> </w:t>
      </w:r>
      <w:r>
        <w:rPr>
          <w:rFonts w:ascii="Cambria" w:hAnsi="Cambria"/>
          <w:color w:val="231F20"/>
        </w:rPr>
        <w:t>El</w:t>
      </w:r>
      <w:r>
        <w:rPr>
          <w:rFonts w:ascii="Cambria" w:hAnsi="Cambria"/>
          <w:color w:val="231F20"/>
          <w:spacing w:val="-19"/>
        </w:rPr>
        <w:t> </w:t>
      </w:r>
      <w:r>
        <w:rPr>
          <w:rFonts w:ascii="Cambria" w:hAnsi="Cambria"/>
          <w:color w:val="231F20"/>
          <w:spacing w:val="2"/>
        </w:rPr>
        <w:t>camino</w:t>
      </w:r>
      <w:r>
        <w:rPr>
          <w:rFonts w:ascii="Cambria" w:hAnsi="Cambria"/>
          <w:color w:val="231F20"/>
          <w:spacing w:val="-19"/>
        </w:rPr>
        <w:t> </w:t>
      </w:r>
      <w:r>
        <w:rPr>
          <w:rFonts w:ascii="Cambria" w:hAnsi="Cambria"/>
          <w:color w:val="231F20"/>
        </w:rPr>
        <w:t>que</w:t>
      </w:r>
      <w:r>
        <w:rPr>
          <w:rFonts w:ascii="Cambria" w:hAnsi="Cambria"/>
          <w:color w:val="231F20"/>
          <w:spacing w:val="-19"/>
        </w:rPr>
        <w:t> </w:t>
      </w:r>
      <w:r>
        <w:rPr>
          <w:rFonts w:ascii="Cambria" w:hAnsi="Cambria"/>
          <w:color w:val="231F20"/>
          <w:spacing w:val="2"/>
        </w:rPr>
        <w:t>sigue,</w:t>
      </w:r>
      <w:r>
        <w:rPr>
          <w:rFonts w:ascii="Cambria" w:hAnsi="Cambria"/>
          <w:color w:val="231F20"/>
          <w:spacing w:val="-19"/>
        </w:rPr>
        <w:t> </w:t>
      </w:r>
      <w:r>
        <w:rPr>
          <w:rFonts w:ascii="Cambria" w:hAnsi="Cambria"/>
          <w:color w:val="231F20"/>
          <w:spacing w:val="2"/>
        </w:rPr>
        <w:t>para</w:t>
      </w:r>
      <w:r>
        <w:rPr>
          <w:rFonts w:ascii="Cambria" w:hAnsi="Cambria"/>
          <w:color w:val="231F20"/>
          <w:spacing w:val="-19"/>
        </w:rPr>
        <w:t> </w:t>
      </w:r>
      <w:r>
        <w:rPr>
          <w:rFonts w:ascii="Cambria" w:hAnsi="Cambria"/>
          <w:color w:val="231F20"/>
          <w:spacing w:val="2"/>
        </w:rPr>
        <w:t>examinar</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spacing w:val="2"/>
        </w:rPr>
        <w:t>violencia</w:t>
      </w:r>
      <w:r>
        <w:rPr>
          <w:rFonts w:ascii="Cambria" w:hAnsi="Cambria"/>
          <w:color w:val="231F20"/>
          <w:spacing w:val="-19"/>
        </w:rPr>
        <w:t> </w:t>
      </w:r>
      <w:r>
        <w:rPr>
          <w:rFonts w:ascii="Cambria" w:hAnsi="Cambria"/>
          <w:color w:val="231F20"/>
          <w:spacing w:val="3"/>
        </w:rPr>
        <w:t>simbó- </w:t>
      </w:r>
      <w:r>
        <w:rPr>
          <w:rFonts w:ascii="Cambria" w:hAnsi="Cambria"/>
          <w:color w:val="231F20"/>
        </w:rPr>
        <w:t>lica,</w:t>
      </w:r>
      <w:r>
        <w:rPr>
          <w:rFonts w:ascii="Cambria" w:hAnsi="Cambria"/>
          <w:color w:val="231F20"/>
          <w:spacing w:val="-7"/>
        </w:rPr>
        <w:t> </w:t>
      </w:r>
      <w:r>
        <w:rPr>
          <w:rFonts w:ascii="Cambria" w:hAnsi="Cambria"/>
          <w:color w:val="231F20"/>
        </w:rPr>
        <w:t>es</w:t>
      </w:r>
      <w:r>
        <w:rPr>
          <w:rFonts w:ascii="Cambria" w:hAnsi="Cambria"/>
          <w:color w:val="231F20"/>
          <w:spacing w:val="-6"/>
        </w:rPr>
        <w:t> </w:t>
      </w:r>
      <w:r>
        <w:rPr>
          <w:rFonts w:ascii="Cambria" w:hAnsi="Cambria"/>
          <w:color w:val="231F20"/>
          <w:spacing w:val="2"/>
        </w:rPr>
        <w:t>advirtiendo</w:t>
      </w:r>
      <w:r>
        <w:rPr>
          <w:rFonts w:ascii="Cambria" w:hAnsi="Cambria"/>
          <w:color w:val="231F20"/>
          <w:spacing w:val="-6"/>
        </w:rPr>
        <w:t> </w:t>
      </w:r>
      <w:r>
        <w:rPr>
          <w:rFonts w:ascii="Cambria" w:hAnsi="Cambria"/>
          <w:color w:val="231F20"/>
        </w:rPr>
        <w:t>el</w:t>
      </w:r>
      <w:r>
        <w:rPr>
          <w:rFonts w:ascii="Cambria" w:hAnsi="Cambria"/>
          <w:color w:val="231F20"/>
          <w:spacing w:val="-7"/>
        </w:rPr>
        <w:t> </w:t>
      </w:r>
      <w:r>
        <w:rPr>
          <w:rFonts w:ascii="Cambria" w:hAnsi="Cambria"/>
          <w:color w:val="231F20"/>
          <w:spacing w:val="3"/>
        </w:rPr>
        <w:t>modo</w:t>
      </w:r>
      <w:r>
        <w:rPr>
          <w:rFonts w:ascii="Cambria" w:hAnsi="Cambria"/>
          <w:color w:val="231F20"/>
          <w:spacing w:val="-6"/>
        </w:rPr>
        <w:t> </w:t>
      </w:r>
      <w:r>
        <w:rPr>
          <w:rFonts w:ascii="Cambria" w:hAnsi="Cambria"/>
          <w:color w:val="231F20"/>
        </w:rPr>
        <w:t>en</w:t>
      </w:r>
      <w:r>
        <w:rPr>
          <w:rFonts w:ascii="Cambria" w:hAnsi="Cambria"/>
          <w:color w:val="231F20"/>
          <w:spacing w:val="-6"/>
        </w:rPr>
        <w:t> </w:t>
      </w:r>
      <w:r>
        <w:rPr>
          <w:rFonts w:ascii="Cambria" w:hAnsi="Cambria"/>
          <w:color w:val="231F20"/>
          <w:spacing w:val="2"/>
        </w:rPr>
        <w:t>que</w:t>
      </w:r>
      <w:r>
        <w:rPr>
          <w:rFonts w:ascii="Cambria" w:hAnsi="Cambria"/>
          <w:color w:val="231F20"/>
          <w:spacing w:val="-6"/>
        </w:rPr>
        <w:t> </w:t>
      </w:r>
      <w:r>
        <w:rPr>
          <w:rFonts w:ascii="Cambria" w:hAnsi="Cambria"/>
          <w:color w:val="231F20"/>
        </w:rPr>
        <w:t>se</w:t>
      </w:r>
      <w:r>
        <w:rPr>
          <w:rFonts w:ascii="Cambria" w:hAnsi="Cambria"/>
          <w:color w:val="231F20"/>
          <w:spacing w:val="-6"/>
        </w:rPr>
        <w:t> </w:t>
      </w:r>
      <w:r>
        <w:rPr>
          <w:rFonts w:ascii="Cambria" w:hAnsi="Cambria"/>
          <w:color w:val="231F20"/>
          <w:spacing w:val="2"/>
        </w:rPr>
        <w:t>utilizan</w:t>
      </w:r>
      <w:r>
        <w:rPr>
          <w:rFonts w:ascii="Cambria" w:hAnsi="Cambria"/>
          <w:color w:val="231F20"/>
          <w:spacing w:val="-6"/>
        </w:rPr>
        <w:t> </w:t>
      </w:r>
      <w:r>
        <w:rPr>
          <w:rFonts w:ascii="Cambria" w:hAnsi="Cambria"/>
          <w:color w:val="231F20"/>
          <w:spacing w:val="2"/>
        </w:rPr>
        <w:t>los</w:t>
      </w:r>
      <w:r>
        <w:rPr>
          <w:rFonts w:ascii="Cambria" w:hAnsi="Cambria"/>
          <w:color w:val="231F20"/>
          <w:spacing w:val="-6"/>
        </w:rPr>
        <w:t> </w:t>
      </w:r>
      <w:r>
        <w:rPr>
          <w:rFonts w:ascii="Cambria" w:hAnsi="Cambria"/>
          <w:color w:val="231F20"/>
          <w:spacing w:val="2"/>
        </w:rPr>
        <w:t>signos</w:t>
      </w:r>
      <w:r>
        <w:rPr>
          <w:rFonts w:ascii="Cambria" w:hAnsi="Cambria"/>
          <w:color w:val="231F20"/>
          <w:spacing w:val="-6"/>
        </w:rPr>
        <w:t> </w:t>
      </w:r>
      <w:r>
        <w:rPr>
          <w:rFonts w:ascii="Cambria" w:hAnsi="Cambria"/>
          <w:color w:val="231F20"/>
          <w:spacing w:val="2"/>
        </w:rPr>
        <w:t>que</w:t>
      </w:r>
      <w:r>
        <w:rPr>
          <w:rFonts w:ascii="Cambria" w:hAnsi="Cambria"/>
          <w:color w:val="231F20"/>
          <w:spacing w:val="-6"/>
        </w:rPr>
        <w:t> </w:t>
      </w:r>
      <w:r>
        <w:rPr>
          <w:rFonts w:ascii="Cambria" w:hAnsi="Cambria"/>
          <w:color w:val="231F20"/>
          <w:spacing w:val="2"/>
        </w:rPr>
        <w:t>alu- den</w:t>
      </w:r>
      <w:r>
        <w:rPr>
          <w:rFonts w:ascii="Cambria" w:hAnsi="Cambria"/>
          <w:color w:val="231F20"/>
          <w:spacing w:val="-25"/>
        </w:rPr>
        <w:t> </w:t>
      </w:r>
      <w:r>
        <w:rPr>
          <w:rFonts w:ascii="Cambria" w:hAnsi="Cambria"/>
          <w:color w:val="231F20"/>
        </w:rPr>
        <w:t>a</w:t>
      </w:r>
      <w:r>
        <w:rPr>
          <w:rFonts w:ascii="Cambria" w:hAnsi="Cambria"/>
          <w:color w:val="231F20"/>
          <w:spacing w:val="-25"/>
        </w:rPr>
        <w:t> </w:t>
      </w:r>
      <w:r>
        <w:rPr>
          <w:rFonts w:ascii="Cambria" w:hAnsi="Cambria"/>
          <w:color w:val="231F20"/>
          <w:spacing w:val="2"/>
        </w:rPr>
        <w:t>valores,</w:t>
      </w:r>
      <w:r>
        <w:rPr>
          <w:rFonts w:ascii="Cambria" w:hAnsi="Cambria"/>
          <w:color w:val="231F20"/>
          <w:spacing w:val="-25"/>
        </w:rPr>
        <w:t> </w:t>
      </w:r>
      <w:r>
        <w:rPr>
          <w:rFonts w:ascii="Cambria" w:hAnsi="Cambria"/>
          <w:color w:val="231F20"/>
        </w:rPr>
        <w:t>y</w:t>
      </w:r>
      <w:r>
        <w:rPr>
          <w:rFonts w:ascii="Cambria" w:hAnsi="Cambria"/>
          <w:color w:val="231F20"/>
          <w:spacing w:val="-25"/>
        </w:rPr>
        <w:t> </w:t>
      </w:r>
      <w:r>
        <w:rPr>
          <w:rFonts w:ascii="Cambria" w:hAnsi="Cambria"/>
          <w:color w:val="231F20"/>
          <w:spacing w:val="2"/>
        </w:rPr>
        <w:t>nos</w:t>
      </w:r>
      <w:r>
        <w:rPr>
          <w:rFonts w:ascii="Cambria" w:hAnsi="Cambria"/>
          <w:color w:val="231F20"/>
          <w:spacing w:val="-25"/>
        </w:rPr>
        <w:t> </w:t>
      </w:r>
      <w:r>
        <w:rPr>
          <w:rFonts w:ascii="Cambria" w:hAnsi="Cambria"/>
          <w:color w:val="231F20"/>
          <w:spacing w:val="2"/>
        </w:rPr>
        <w:t>dice:</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spacing w:val="2"/>
        </w:rPr>
        <w:t>violencia</w:t>
      </w:r>
      <w:r>
        <w:rPr>
          <w:rFonts w:ascii="Cambria" w:hAnsi="Cambria"/>
          <w:color w:val="231F20"/>
          <w:spacing w:val="-25"/>
        </w:rPr>
        <w:t> </w:t>
      </w:r>
      <w:r>
        <w:rPr>
          <w:rFonts w:ascii="Cambria" w:hAnsi="Cambria"/>
          <w:color w:val="231F20"/>
          <w:spacing w:val="2"/>
        </w:rPr>
        <w:t>simbólica</w:t>
      </w:r>
      <w:r>
        <w:rPr>
          <w:rFonts w:ascii="Cambria" w:hAnsi="Cambria"/>
          <w:color w:val="231F20"/>
          <w:spacing w:val="-25"/>
        </w:rPr>
        <w:t> </w:t>
      </w:r>
      <w:r>
        <w:rPr>
          <w:rFonts w:ascii="Cambria" w:hAnsi="Cambria"/>
          <w:color w:val="231F20"/>
        </w:rPr>
        <w:t>“se</w:t>
      </w:r>
      <w:r>
        <w:rPr>
          <w:rFonts w:ascii="Cambria" w:hAnsi="Cambria"/>
          <w:color w:val="231F20"/>
          <w:spacing w:val="-25"/>
        </w:rPr>
        <w:t> </w:t>
      </w:r>
      <w:r>
        <w:rPr>
          <w:rFonts w:ascii="Cambria" w:hAnsi="Cambria"/>
          <w:color w:val="231F20"/>
          <w:spacing w:val="2"/>
        </w:rPr>
        <w:t>realiza</w:t>
      </w:r>
      <w:r>
        <w:rPr>
          <w:rFonts w:ascii="Cambria" w:hAnsi="Cambria"/>
          <w:color w:val="231F20"/>
          <w:spacing w:val="-25"/>
        </w:rPr>
        <w:t> </w:t>
      </w:r>
      <w:r>
        <w:rPr>
          <w:rFonts w:ascii="Cambria" w:hAnsi="Cambria"/>
          <w:color w:val="231F20"/>
          <w:spacing w:val="3"/>
        </w:rPr>
        <w:t>median- </w:t>
      </w:r>
      <w:r>
        <w:rPr>
          <w:rFonts w:ascii="Cambria" w:hAnsi="Cambria"/>
          <w:color w:val="231F20"/>
          <w:w w:val="95"/>
        </w:rPr>
        <w:t>te la </w:t>
      </w:r>
      <w:r>
        <w:rPr>
          <w:i/>
          <w:color w:val="231F20"/>
          <w:spacing w:val="2"/>
          <w:w w:val="95"/>
        </w:rPr>
        <w:t>yuxtaposición </w:t>
      </w:r>
      <w:r>
        <w:rPr>
          <w:rFonts w:ascii="Cambria" w:hAnsi="Cambria"/>
          <w:color w:val="231F20"/>
          <w:w w:val="95"/>
        </w:rPr>
        <w:t>de </w:t>
      </w:r>
      <w:r>
        <w:rPr>
          <w:rFonts w:ascii="Cambria" w:hAnsi="Cambria"/>
          <w:color w:val="231F20"/>
          <w:spacing w:val="2"/>
          <w:w w:val="95"/>
        </w:rPr>
        <w:t>sus signos, pero que </w:t>
      </w:r>
      <w:r>
        <w:rPr>
          <w:rFonts w:ascii="Cambria" w:hAnsi="Cambria"/>
          <w:color w:val="231F20"/>
          <w:w w:val="95"/>
        </w:rPr>
        <w:t>se </w:t>
      </w:r>
      <w:r>
        <w:rPr>
          <w:rFonts w:ascii="Cambria" w:hAnsi="Cambria"/>
          <w:color w:val="231F20"/>
          <w:spacing w:val="3"/>
          <w:w w:val="95"/>
        </w:rPr>
        <w:t>fundamenta</w:t>
      </w:r>
      <w:r>
        <w:rPr>
          <w:rFonts w:ascii="Cambria" w:hAnsi="Cambria"/>
          <w:color w:val="231F20"/>
          <w:spacing w:val="-23"/>
          <w:w w:val="95"/>
        </w:rPr>
        <w:t> </w:t>
      </w:r>
      <w:r>
        <w:rPr>
          <w:rFonts w:ascii="Cambria" w:hAnsi="Cambria"/>
          <w:color w:val="231F20"/>
          <w:spacing w:val="3"/>
          <w:w w:val="95"/>
        </w:rPr>
        <w:t>mediante </w:t>
      </w:r>
      <w:r>
        <w:rPr>
          <w:rFonts w:ascii="Cambria" w:hAnsi="Cambria"/>
          <w:color w:val="231F20"/>
          <w:spacing w:val="2"/>
        </w:rPr>
        <w:t>valores</w:t>
      </w:r>
      <w:r>
        <w:rPr>
          <w:rFonts w:ascii="Cambria" w:hAnsi="Cambria"/>
          <w:color w:val="231F20"/>
          <w:spacing w:val="-14"/>
        </w:rPr>
        <w:t> </w:t>
      </w:r>
      <w:r>
        <w:rPr>
          <w:rFonts w:ascii="Cambria" w:hAnsi="Cambria"/>
          <w:color w:val="231F20"/>
        </w:rPr>
        <w:t>que</w:t>
      </w:r>
      <w:r>
        <w:rPr>
          <w:rFonts w:ascii="Cambria" w:hAnsi="Cambria"/>
          <w:color w:val="231F20"/>
          <w:spacing w:val="-14"/>
        </w:rPr>
        <w:t> </w:t>
      </w:r>
      <w:r>
        <w:rPr>
          <w:rFonts w:ascii="Cambria" w:hAnsi="Cambria"/>
          <w:color w:val="231F20"/>
        </w:rPr>
        <w:t>se</w:t>
      </w:r>
      <w:r>
        <w:rPr>
          <w:rFonts w:ascii="Cambria" w:hAnsi="Cambria"/>
          <w:color w:val="231F20"/>
          <w:spacing w:val="-14"/>
        </w:rPr>
        <w:t> </w:t>
      </w:r>
      <w:r>
        <w:rPr>
          <w:rFonts w:ascii="Cambria" w:hAnsi="Cambria"/>
          <w:color w:val="231F20"/>
          <w:spacing w:val="2"/>
        </w:rPr>
        <w:t>piensan</w:t>
      </w:r>
      <w:r>
        <w:rPr>
          <w:rFonts w:ascii="Cambria" w:hAnsi="Cambria"/>
          <w:color w:val="231F20"/>
          <w:spacing w:val="-14"/>
        </w:rPr>
        <w:t> </w:t>
      </w:r>
      <w:r>
        <w:rPr>
          <w:rFonts w:ascii="Cambria" w:hAnsi="Cambria"/>
          <w:color w:val="231F20"/>
          <w:spacing w:val="2"/>
        </w:rPr>
        <w:t>situados</w:t>
      </w:r>
      <w:r>
        <w:rPr>
          <w:rFonts w:ascii="Cambria" w:hAnsi="Cambria"/>
          <w:color w:val="231F20"/>
          <w:spacing w:val="-14"/>
        </w:rPr>
        <w:t> </w:t>
      </w:r>
      <w:r>
        <w:rPr>
          <w:i/>
          <w:color w:val="231F20"/>
          <w:spacing w:val="2"/>
        </w:rPr>
        <w:t>unos</w:t>
      </w:r>
      <w:r>
        <w:rPr>
          <w:i/>
          <w:color w:val="231F20"/>
          <w:spacing w:val="-20"/>
        </w:rPr>
        <w:t> </w:t>
      </w:r>
      <w:r>
        <w:rPr>
          <w:i/>
          <w:color w:val="231F20"/>
        </w:rPr>
        <w:t>por</w:t>
      </w:r>
      <w:r>
        <w:rPr>
          <w:i/>
          <w:color w:val="231F20"/>
          <w:spacing w:val="-20"/>
        </w:rPr>
        <w:t> </w:t>
      </w:r>
      <w:r>
        <w:rPr>
          <w:i/>
          <w:color w:val="231F20"/>
          <w:spacing w:val="2"/>
        </w:rPr>
        <w:t>encima</w:t>
      </w:r>
      <w:r>
        <w:rPr>
          <w:i/>
          <w:color w:val="231F20"/>
          <w:spacing w:val="-20"/>
        </w:rPr>
        <w:t> </w:t>
      </w:r>
      <w:r>
        <w:rPr>
          <w:i/>
          <w:color w:val="231F20"/>
        </w:rPr>
        <w:t>de</w:t>
      </w:r>
      <w:r>
        <w:rPr>
          <w:i/>
          <w:color w:val="231F20"/>
          <w:spacing w:val="-20"/>
        </w:rPr>
        <w:t> </w:t>
      </w:r>
      <w:r>
        <w:rPr>
          <w:i/>
          <w:color w:val="231F20"/>
          <w:spacing w:val="2"/>
        </w:rPr>
        <w:t>otros</w:t>
      </w:r>
      <w:r>
        <w:rPr>
          <w:rFonts w:ascii="Cambria" w:hAnsi="Cambria"/>
          <w:color w:val="231F20"/>
          <w:spacing w:val="2"/>
        </w:rPr>
        <w:t>”</w:t>
      </w:r>
      <w:r>
        <w:rPr>
          <w:rFonts w:ascii="Cambria" w:hAnsi="Cambria"/>
          <w:color w:val="231F20"/>
          <w:spacing w:val="-14"/>
        </w:rPr>
        <w:t> </w:t>
      </w:r>
      <w:r>
        <w:rPr>
          <w:rFonts w:ascii="Cambria" w:hAnsi="Cambria"/>
          <w:color w:val="231F20"/>
          <w:spacing w:val="2"/>
        </w:rPr>
        <w:t>(Pross</w:t>
      </w:r>
      <w:r>
        <w:rPr>
          <w:rFonts w:ascii="Cambria" w:hAnsi="Cambria"/>
          <w:color w:val="231F20"/>
          <w:spacing w:val="-14"/>
        </w:rPr>
        <w:t> </w:t>
      </w:r>
      <w:r>
        <w:rPr>
          <w:rFonts w:ascii="Cambria" w:hAnsi="Cambria"/>
          <w:color w:val="231F20"/>
        </w:rPr>
        <w:t>y </w:t>
      </w:r>
      <w:r>
        <w:rPr>
          <w:rFonts w:ascii="Cambria" w:hAnsi="Cambria"/>
          <w:color w:val="231F20"/>
          <w:spacing w:val="3"/>
          <w:w w:val="95"/>
        </w:rPr>
        <w:t>Romano,</w:t>
      </w:r>
      <w:r>
        <w:rPr>
          <w:rFonts w:ascii="Cambria" w:hAnsi="Cambria"/>
          <w:color w:val="231F20"/>
          <w:spacing w:val="-12"/>
          <w:w w:val="95"/>
        </w:rPr>
        <w:t> </w:t>
      </w:r>
      <w:r>
        <w:rPr>
          <w:rFonts w:ascii="Cambria" w:hAnsi="Cambria"/>
          <w:color w:val="231F20"/>
          <w:spacing w:val="2"/>
          <w:w w:val="95"/>
        </w:rPr>
        <w:t>1989:74)</w:t>
      </w:r>
      <w:r>
        <w:rPr>
          <w:rFonts w:ascii="Cambria" w:hAnsi="Cambria"/>
          <w:color w:val="231F20"/>
          <w:spacing w:val="-12"/>
          <w:w w:val="95"/>
        </w:rPr>
        <w:t> </w:t>
      </w:r>
      <w:r>
        <w:rPr>
          <w:rFonts w:ascii="Cambria" w:hAnsi="Cambria"/>
          <w:color w:val="231F20"/>
          <w:w w:val="95"/>
        </w:rPr>
        <w:t>y</w:t>
      </w:r>
      <w:r>
        <w:rPr>
          <w:rFonts w:ascii="Cambria" w:hAnsi="Cambria"/>
          <w:color w:val="231F20"/>
          <w:spacing w:val="-11"/>
          <w:w w:val="95"/>
        </w:rPr>
        <w:t> </w:t>
      </w:r>
      <w:r>
        <w:rPr>
          <w:rFonts w:ascii="Cambria" w:hAnsi="Cambria"/>
          <w:color w:val="231F20"/>
          <w:spacing w:val="2"/>
          <w:w w:val="95"/>
        </w:rPr>
        <w:t>añade</w:t>
      </w:r>
      <w:r>
        <w:rPr>
          <w:rFonts w:ascii="Cambria" w:hAnsi="Cambria"/>
          <w:color w:val="231F20"/>
          <w:spacing w:val="-11"/>
          <w:w w:val="95"/>
        </w:rPr>
        <w:t> </w:t>
      </w:r>
      <w:r>
        <w:rPr>
          <w:rFonts w:ascii="Cambria" w:hAnsi="Cambria"/>
          <w:color w:val="231F20"/>
          <w:spacing w:val="2"/>
          <w:w w:val="95"/>
        </w:rPr>
        <w:t>que:</w:t>
      </w:r>
    </w:p>
    <w:p>
      <w:pPr>
        <w:pStyle w:val="BodyText"/>
        <w:spacing w:before="6"/>
        <w:rPr>
          <w:rFonts w:ascii="Cambria"/>
          <w:sz w:val="22"/>
        </w:rPr>
      </w:pPr>
    </w:p>
    <w:p>
      <w:pPr>
        <w:spacing w:line="268" w:lineRule="auto" w:before="1"/>
        <w:ind w:left="810" w:right="163" w:firstLine="0"/>
        <w:jc w:val="both"/>
        <w:rPr>
          <w:rFonts w:ascii="Cambria" w:hAnsi="Cambria"/>
          <w:sz w:val="19"/>
        </w:rPr>
      </w:pPr>
      <w:r>
        <w:rPr>
          <w:rFonts w:ascii="Cambria" w:hAnsi="Cambria"/>
          <w:color w:val="231F20"/>
          <w:sz w:val="19"/>
        </w:rPr>
        <w:t>Los</w:t>
      </w:r>
      <w:r>
        <w:rPr>
          <w:rFonts w:ascii="Cambria" w:hAnsi="Cambria"/>
          <w:color w:val="231F20"/>
          <w:spacing w:val="-15"/>
          <w:sz w:val="19"/>
        </w:rPr>
        <w:t> </w:t>
      </w:r>
      <w:r>
        <w:rPr>
          <w:rFonts w:ascii="Cambria" w:hAnsi="Cambria"/>
          <w:color w:val="231F20"/>
          <w:sz w:val="19"/>
        </w:rPr>
        <w:t>símbolos</w:t>
      </w:r>
      <w:r>
        <w:rPr>
          <w:rFonts w:ascii="Cambria" w:hAnsi="Cambria"/>
          <w:color w:val="231F20"/>
          <w:spacing w:val="-15"/>
          <w:sz w:val="19"/>
        </w:rPr>
        <w:t> </w:t>
      </w:r>
      <w:r>
        <w:rPr>
          <w:rFonts w:ascii="Cambria" w:hAnsi="Cambria"/>
          <w:color w:val="231F20"/>
          <w:sz w:val="19"/>
        </w:rPr>
        <w:t>son</w:t>
      </w:r>
      <w:r>
        <w:rPr>
          <w:rFonts w:ascii="Cambria" w:hAnsi="Cambria"/>
          <w:color w:val="231F20"/>
          <w:spacing w:val="-14"/>
          <w:sz w:val="19"/>
        </w:rPr>
        <w:t> </w:t>
      </w:r>
      <w:r>
        <w:rPr>
          <w:rFonts w:ascii="Cambria" w:hAnsi="Cambria"/>
          <w:color w:val="231F20"/>
          <w:sz w:val="19"/>
        </w:rPr>
        <w:t>signos</w:t>
      </w:r>
      <w:r>
        <w:rPr>
          <w:rFonts w:ascii="Cambria" w:hAnsi="Cambria"/>
          <w:color w:val="231F20"/>
          <w:spacing w:val="-15"/>
          <w:sz w:val="19"/>
        </w:rPr>
        <w:t> </w:t>
      </w:r>
      <w:r>
        <w:rPr>
          <w:rFonts w:ascii="Cambria" w:hAnsi="Cambria"/>
          <w:color w:val="231F20"/>
          <w:sz w:val="19"/>
        </w:rPr>
        <w:t>que</w:t>
      </w:r>
      <w:r>
        <w:rPr>
          <w:rFonts w:ascii="Cambria" w:hAnsi="Cambria"/>
          <w:color w:val="231F20"/>
          <w:spacing w:val="-15"/>
          <w:sz w:val="19"/>
        </w:rPr>
        <w:t> </w:t>
      </w:r>
      <w:r>
        <w:rPr>
          <w:rFonts w:ascii="Cambria" w:hAnsi="Cambria"/>
          <w:color w:val="231F20"/>
          <w:sz w:val="19"/>
        </w:rPr>
        <w:t>indican</w:t>
      </w:r>
      <w:r>
        <w:rPr>
          <w:rFonts w:ascii="Cambria" w:hAnsi="Cambria"/>
          <w:color w:val="231F20"/>
          <w:spacing w:val="-14"/>
          <w:sz w:val="19"/>
        </w:rPr>
        <w:t> </w:t>
      </w:r>
      <w:r>
        <w:rPr>
          <w:rFonts w:ascii="Cambria" w:hAnsi="Cambria"/>
          <w:color w:val="231F20"/>
          <w:sz w:val="19"/>
        </w:rPr>
        <w:t>valores.</w:t>
      </w:r>
      <w:r>
        <w:rPr>
          <w:rFonts w:ascii="Cambria" w:hAnsi="Cambria"/>
          <w:color w:val="231F20"/>
          <w:spacing w:val="-15"/>
          <w:sz w:val="19"/>
        </w:rPr>
        <w:t> </w:t>
      </w:r>
      <w:r>
        <w:rPr>
          <w:rFonts w:ascii="Cambria" w:hAnsi="Cambria"/>
          <w:color w:val="231F20"/>
          <w:sz w:val="19"/>
        </w:rPr>
        <w:t>Nunca</w:t>
      </w:r>
      <w:r>
        <w:rPr>
          <w:rFonts w:ascii="Cambria" w:hAnsi="Cambria"/>
          <w:color w:val="231F20"/>
          <w:spacing w:val="-14"/>
          <w:sz w:val="19"/>
        </w:rPr>
        <w:t> </w:t>
      </w:r>
      <w:r>
        <w:rPr>
          <w:rFonts w:ascii="Cambria" w:hAnsi="Cambria"/>
          <w:color w:val="231F20"/>
          <w:sz w:val="19"/>
        </w:rPr>
        <w:t>están</w:t>
      </w:r>
      <w:r>
        <w:rPr>
          <w:rFonts w:ascii="Cambria" w:hAnsi="Cambria"/>
          <w:color w:val="231F20"/>
          <w:spacing w:val="-14"/>
          <w:sz w:val="19"/>
        </w:rPr>
        <w:t> </w:t>
      </w:r>
      <w:r>
        <w:rPr>
          <w:rFonts w:ascii="Cambria" w:hAnsi="Cambria"/>
          <w:color w:val="231F20"/>
          <w:sz w:val="19"/>
        </w:rPr>
        <w:t>solos, sino</w:t>
      </w:r>
      <w:r>
        <w:rPr>
          <w:rFonts w:ascii="Cambria" w:hAnsi="Cambria"/>
          <w:color w:val="231F20"/>
          <w:spacing w:val="-17"/>
          <w:sz w:val="19"/>
        </w:rPr>
        <w:t> </w:t>
      </w:r>
      <w:r>
        <w:rPr>
          <w:rFonts w:ascii="Cambria" w:hAnsi="Cambria"/>
          <w:color w:val="231F20"/>
          <w:sz w:val="19"/>
        </w:rPr>
        <w:t>dentro</w:t>
      </w:r>
      <w:r>
        <w:rPr>
          <w:rFonts w:ascii="Cambria" w:hAnsi="Cambria"/>
          <w:color w:val="231F20"/>
          <w:spacing w:val="-17"/>
          <w:sz w:val="19"/>
        </w:rPr>
        <w:t> </w:t>
      </w:r>
      <w:r>
        <w:rPr>
          <w:rFonts w:ascii="Cambria" w:hAnsi="Cambria"/>
          <w:color w:val="231F20"/>
          <w:sz w:val="19"/>
        </w:rPr>
        <w:t>de</w:t>
      </w:r>
      <w:r>
        <w:rPr>
          <w:rFonts w:ascii="Cambria" w:hAnsi="Cambria"/>
          <w:color w:val="231F20"/>
          <w:spacing w:val="-17"/>
          <w:sz w:val="19"/>
        </w:rPr>
        <w:t> </w:t>
      </w:r>
      <w:r>
        <w:rPr>
          <w:rFonts w:ascii="Cambria" w:hAnsi="Cambria"/>
          <w:color w:val="231F20"/>
          <w:sz w:val="19"/>
        </w:rPr>
        <w:t>determinados</w:t>
      </w:r>
      <w:r>
        <w:rPr>
          <w:rFonts w:ascii="Cambria" w:hAnsi="Cambria"/>
          <w:color w:val="231F20"/>
          <w:spacing w:val="-18"/>
          <w:sz w:val="19"/>
        </w:rPr>
        <w:t> </w:t>
      </w:r>
      <w:r>
        <w:rPr>
          <w:rFonts w:ascii="Cambria" w:hAnsi="Cambria"/>
          <w:color w:val="231F20"/>
          <w:sz w:val="19"/>
        </w:rPr>
        <w:t>órdenes.</w:t>
      </w:r>
      <w:r>
        <w:rPr>
          <w:rFonts w:ascii="Cambria" w:hAnsi="Cambria"/>
          <w:color w:val="231F20"/>
          <w:spacing w:val="-18"/>
          <w:sz w:val="19"/>
        </w:rPr>
        <w:t> </w:t>
      </w:r>
      <w:r>
        <w:rPr>
          <w:rFonts w:ascii="Cambria" w:hAnsi="Cambria"/>
          <w:color w:val="231F20"/>
          <w:sz w:val="19"/>
        </w:rPr>
        <w:t>En</w:t>
      </w:r>
      <w:r>
        <w:rPr>
          <w:rFonts w:ascii="Cambria" w:hAnsi="Cambria"/>
          <w:color w:val="231F20"/>
          <w:spacing w:val="-17"/>
          <w:sz w:val="19"/>
        </w:rPr>
        <w:t> </w:t>
      </w:r>
      <w:r>
        <w:rPr>
          <w:rFonts w:ascii="Cambria" w:hAnsi="Cambria"/>
          <w:color w:val="231F20"/>
          <w:sz w:val="19"/>
        </w:rPr>
        <w:t>el</w:t>
      </w:r>
      <w:r>
        <w:rPr>
          <w:rFonts w:ascii="Cambria" w:hAnsi="Cambria"/>
          <w:color w:val="231F20"/>
          <w:spacing w:val="-18"/>
          <w:sz w:val="19"/>
        </w:rPr>
        <w:t> </w:t>
      </w:r>
      <w:r>
        <w:rPr>
          <w:rFonts w:ascii="Cambria" w:hAnsi="Cambria"/>
          <w:color w:val="231F20"/>
          <w:sz w:val="19"/>
        </w:rPr>
        <w:t>plano</w:t>
      </w:r>
      <w:r>
        <w:rPr>
          <w:rFonts w:ascii="Cambria" w:hAnsi="Cambria"/>
          <w:color w:val="231F20"/>
          <w:spacing w:val="-17"/>
          <w:sz w:val="19"/>
        </w:rPr>
        <w:t> </w:t>
      </w:r>
      <w:r>
        <w:rPr>
          <w:rFonts w:ascii="Cambria" w:hAnsi="Cambria"/>
          <w:color w:val="231F20"/>
          <w:sz w:val="19"/>
        </w:rPr>
        <w:t>de</w:t>
      </w:r>
      <w:r>
        <w:rPr>
          <w:rFonts w:ascii="Cambria" w:hAnsi="Cambria"/>
          <w:color w:val="231F20"/>
          <w:spacing w:val="-17"/>
          <w:sz w:val="19"/>
        </w:rPr>
        <w:t> </w:t>
      </w:r>
      <w:r>
        <w:rPr>
          <w:rFonts w:ascii="Cambria" w:hAnsi="Cambria"/>
          <w:color w:val="231F20"/>
          <w:sz w:val="19"/>
        </w:rPr>
        <w:t>los</w:t>
      </w:r>
      <w:r>
        <w:rPr>
          <w:rFonts w:ascii="Cambria" w:hAnsi="Cambria"/>
          <w:color w:val="231F20"/>
          <w:spacing w:val="-18"/>
          <w:sz w:val="19"/>
        </w:rPr>
        <w:t> </w:t>
      </w:r>
      <w:r>
        <w:rPr>
          <w:rFonts w:ascii="Cambria" w:hAnsi="Cambria"/>
          <w:color w:val="231F20"/>
          <w:sz w:val="19"/>
        </w:rPr>
        <w:t>hechos, </w:t>
      </w:r>
      <w:r>
        <w:rPr>
          <w:rFonts w:ascii="Cambria" w:hAnsi="Cambria"/>
          <w:color w:val="231F20"/>
          <w:w w:val="95"/>
          <w:sz w:val="19"/>
        </w:rPr>
        <w:t>los órdenes espaciales están separados y unidos por signos.</w:t>
      </w:r>
      <w:r>
        <w:rPr>
          <w:rFonts w:ascii="Cambria" w:hAnsi="Cambria"/>
          <w:color w:val="231F20"/>
          <w:spacing w:val="27"/>
          <w:w w:val="95"/>
          <w:sz w:val="19"/>
        </w:rPr>
        <w:t> </w:t>
      </w:r>
      <w:r>
        <w:rPr>
          <w:rFonts w:ascii="Cambria" w:hAnsi="Cambria"/>
          <w:color w:val="231F20"/>
          <w:w w:val="95"/>
          <w:sz w:val="19"/>
        </w:rPr>
        <w:t>Pero</w:t>
      </w:r>
    </w:p>
    <w:p>
      <w:pPr>
        <w:spacing w:after="0" w:line="268" w:lineRule="auto"/>
        <w:jc w:val="both"/>
        <w:rPr>
          <w:rFonts w:ascii="Cambria" w:hAnsi="Cambria"/>
          <w:sz w:val="19"/>
        </w:rPr>
        <w:sectPr>
          <w:headerReference w:type="default" r:id="rId199"/>
          <w:footerReference w:type="default" r:id="rId200"/>
          <w:pgSz w:w="7830" w:h="11910"/>
          <w:pgMar w:header="0" w:footer="424" w:top="500" w:bottom="620" w:left="920" w:right="900"/>
          <w:pgNumType w:start="9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3" w:lineRule="auto" w:before="111"/>
        <w:ind w:left="810" w:right="164" w:firstLine="0"/>
        <w:jc w:val="both"/>
        <w:rPr>
          <w:sz w:val="19"/>
        </w:rPr>
      </w:pPr>
      <w:r>
        <w:rPr>
          <w:color w:val="231F20"/>
          <w:sz w:val="19"/>
        </w:rPr>
        <w:t>en el ámbito de los valores vivimos en representaciones vertica- les. Toda cultura, toda religión, toda ciencia, se justifica por valo- res “supremos” que tienen su polo opuesto en los valores “infe- riores” también “extremos”. Trasladar la </w:t>
      </w:r>
      <w:r>
        <w:rPr>
          <w:i/>
          <w:color w:val="231F20"/>
          <w:sz w:val="19"/>
        </w:rPr>
        <w:t>jerarquía de valores </w:t>
      </w:r>
      <w:r>
        <w:rPr>
          <w:color w:val="231F20"/>
          <w:sz w:val="19"/>
        </w:rPr>
        <w:t>a la yuxtaposición de sus signos es la tarea que hay que resolver siempre de nuevo. No tomar arriba y abajo como algo objetivo, sino como expresión simbólica de representaciones de valor, o actuar como si los hombres estuviesen unos por encima de otros   y no unos al lado de otros, esta es la decisión que debe tomar el sujeto (Pross y Romano,</w:t>
      </w:r>
      <w:r>
        <w:rPr>
          <w:color w:val="231F20"/>
          <w:spacing w:val="-6"/>
          <w:sz w:val="19"/>
        </w:rPr>
        <w:t> </w:t>
      </w:r>
      <w:r>
        <w:rPr>
          <w:color w:val="231F20"/>
          <w:sz w:val="19"/>
        </w:rPr>
        <w:t>1989:74).</w:t>
      </w:r>
    </w:p>
    <w:p>
      <w:pPr>
        <w:pStyle w:val="BodyText"/>
        <w:spacing w:before="3"/>
        <w:rPr>
          <w:sz w:val="20"/>
        </w:rPr>
      </w:pPr>
    </w:p>
    <w:p>
      <w:pPr>
        <w:pStyle w:val="BodyText"/>
        <w:spacing w:line="249" w:lineRule="auto"/>
        <w:ind w:left="102" w:right="115" w:firstLine="284"/>
        <w:jc w:val="both"/>
      </w:pPr>
      <w:r>
        <w:rPr>
          <w:color w:val="231F20"/>
        </w:rPr>
        <w:t>Así, la primera operación en la constitución de la violencia simbólica, según Pross, en el sentido de racionalización de la vio- lencia directa, física, consiste en una jerarquización de valores que permitan representar un determinado orden, separándolo o uniéndolo a otros órdenes, de esa manera todo lenguaje se con- vierte en representación de condiciones empíricas, de allí que la exigencia de interpretación, se convierte en la segunda    operación</w:t>
      </w:r>
    </w:p>
    <w:p>
      <w:pPr>
        <w:pStyle w:val="BodyText"/>
        <w:spacing w:line="247" w:lineRule="auto"/>
        <w:ind w:left="102" w:right="118" w:hanging="1"/>
        <w:jc w:val="both"/>
      </w:pPr>
      <w:r>
        <w:rPr>
          <w:color w:val="231F20"/>
        </w:rPr>
        <w:t>–pero ahora desde el punto de vista de la investigación– que posi- bilita comprender el modo en que se representan el orden y las condiciones empíricas, como lugar donde se instala la violencia simbólica pues señala:</w:t>
      </w:r>
    </w:p>
    <w:p>
      <w:pPr>
        <w:pStyle w:val="BodyText"/>
        <w:spacing w:before="4"/>
        <w:rPr>
          <w:sz w:val="23"/>
        </w:rPr>
      </w:pPr>
    </w:p>
    <w:p>
      <w:pPr>
        <w:spacing w:line="273" w:lineRule="auto" w:before="0"/>
        <w:ind w:left="810" w:right="164" w:firstLine="0"/>
        <w:jc w:val="both"/>
        <w:rPr>
          <w:sz w:val="19"/>
        </w:rPr>
      </w:pPr>
      <w:r>
        <w:rPr>
          <w:color w:val="231F20"/>
          <w:sz w:val="19"/>
        </w:rPr>
        <w:t>Es cierto que los avances científicos solo se efectuaron cuando actuó este regulador de la humanidad. Pero también hay que ver que, debido a su orientación vertical, la propia ciencia no fomen- ta sin más la coexistencia de los hombres. El mismo lenguaje y  los modelos consiguientes de descripción de condiciones empí- ricas está orientado verticalmente y, por lo tanto, necesita inter- pretación. Y mucho más los simbolismos de la presentación en    la exposición de la ciencia y de la política (Pross y Romano, 1989:74).</w:t>
      </w:r>
    </w:p>
    <w:p>
      <w:pPr>
        <w:pStyle w:val="BodyText"/>
        <w:spacing w:before="2"/>
        <w:rPr>
          <w:sz w:val="20"/>
        </w:rPr>
      </w:pPr>
    </w:p>
    <w:p>
      <w:pPr>
        <w:pStyle w:val="BodyText"/>
        <w:spacing w:line="247" w:lineRule="auto" w:before="1"/>
        <w:ind w:left="101" w:right="114" w:firstLine="284"/>
        <w:jc w:val="both"/>
      </w:pPr>
      <w:r>
        <w:rPr>
          <w:color w:val="231F20"/>
        </w:rPr>
        <w:t>De ese modo, son dos elementos los que destaca Pross para comprender la violencia: primero advertir la manera en que se constituye un orden jerarquizado y, luego interpretar ese orden ya que como “‘formas simbólicas’ significa estudiar las relaciones de la ‘violencia simbólica’ en el conflicto entre la orientación vertical y la praxis horizontal. Lo que decide el futuro no es la altura a la</w:t>
      </w:r>
    </w:p>
    <w:p>
      <w:pPr>
        <w:spacing w:after="0" w:line="247" w:lineRule="auto"/>
        <w:jc w:val="both"/>
        <w:sectPr>
          <w:headerReference w:type="default" r:id="rId201"/>
          <w:footerReference w:type="default" r:id="rId202"/>
          <w:pgSz w:w="7830" w:h="11910"/>
          <w:pgMar w:header="0" w:footer="424" w:top="500" w:bottom="620" w:left="920" w:right="900"/>
          <w:pgNumType w:start="94"/>
        </w:sectPr>
      </w:pPr>
    </w:p>
    <w:p>
      <w:pPr>
        <w:spacing w:before="48"/>
        <w:ind w:left="1463" w:right="121" w:firstLine="0"/>
        <w:jc w:val="left"/>
        <w:rPr>
          <w:rFonts w:ascii="Georgia" w:hAnsi="Georgia"/>
          <w:sz w:val="13"/>
        </w:rPr>
      </w:pPr>
      <w:r>
        <w:rPr>
          <w:rFonts w:ascii="Georgia" w:hAnsi="Georgia"/>
          <w:color w:val="231F20"/>
          <w:sz w:val="16"/>
        </w:rPr>
        <w:t>E</w:t>
      </w:r>
      <w:r>
        <w:rPr>
          <w:rFonts w:ascii="Georgia" w:hAnsi="Georgia"/>
          <w:color w:val="231F20"/>
          <w:sz w:val="13"/>
        </w:rPr>
        <w:t>STUDIOS SOBRE VIOLENCIA EN LA EDUCACIÓN</w:t>
      </w:r>
    </w:p>
    <w:p>
      <w:pPr>
        <w:pStyle w:val="BodyText"/>
        <w:rPr>
          <w:rFonts w:ascii="Georgia"/>
          <w:sz w:val="16"/>
        </w:rPr>
      </w:pPr>
    </w:p>
    <w:p>
      <w:pPr>
        <w:pStyle w:val="BodyText"/>
        <w:rPr>
          <w:rFonts w:ascii="Georgia"/>
          <w:sz w:val="16"/>
        </w:rPr>
      </w:pPr>
    </w:p>
    <w:p>
      <w:pPr>
        <w:pStyle w:val="BodyText"/>
        <w:spacing w:line="252" w:lineRule="auto" w:before="100"/>
        <w:ind w:left="102" w:right="116"/>
        <w:jc w:val="both"/>
        <w:rPr>
          <w:rFonts w:ascii="Georgia" w:hAnsi="Georgia"/>
        </w:rPr>
      </w:pPr>
      <w:r>
        <w:rPr>
          <w:rFonts w:ascii="Georgia" w:hAnsi="Georgia"/>
          <w:color w:val="231F20"/>
        </w:rPr>
        <w:t>que se coloquen los valores, sino cómo pueden traducirse a las proporciones de la coexistencia humana” (Pross y Romano, 1989:74).</w:t>
      </w:r>
    </w:p>
    <w:p>
      <w:pPr>
        <w:pStyle w:val="BodyText"/>
        <w:spacing w:line="252" w:lineRule="auto"/>
        <w:ind w:left="101" w:right="115" w:firstLine="284"/>
        <w:jc w:val="both"/>
        <w:rPr>
          <w:rFonts w:ascii="Georgia" w:hAnsi="Georgia"/>
        </w:rPr>
      </w:pPr>
      <w:r>
        <w:rPr>
          <w:rFonts w:ascii="Georgia" w:hAnsi="Georgia"/>
          <w:color w:val="231F20"/>
        </w:rPr>
        <w:t>En</w:t>
      </w:r>
      <w:r>
        <w:rPr>
          <w:rFonts w:ascii="Georgia" w:hAnsi="Georgia"/>
          <w:color w:val="231F20"/>
          <w:spacing w:val="-20"/>
        </w:rPr>
        <w:t> </w:t>
      </w:r>
      <w:r>
        <w:rPr>
          <w:rFonts w:ascii="Georgia" w:hAnsi="Georgia"/>
          <w:color w:val="231F20"/>
          <w:spacing w:val="2"/>
        </w:rPr>
        <w:t>este</w:t>
      </w:r>
      <w:r>
        <w:rPr>
          <w:rFonts w:ascii="Georgia" w:hAnsi="Georgia"/>
          <w:color w:val="231F20"/>
          <w:spacing w:val="-20"/>
        </w:rPr>
        <w:t> </w:t>
      </w:r>
      <w:r>
        <w:rPr>
          <w:rFonts w:ascii="Georgia" w:hAnsi="Georgia"/>
          <w:color w:val="231F20"/>
          <w:spacing w:val="2"/>
        </w:rPr>
        <w:t>caso,</w:t>
      </w:r>
      <w:r>
        <w:rPr>
          <w:rFonts w:ascii="Georgia" w:hAnsi="Georgia"/>
          <w:color w:val="231F20"/>
          <w:spacing w:val="-21"/>
        </w:rPr>
        <w:t> </w:t>
      </w:r>
      <w:r>
        <w:rPr>
          <w:rFonts w:ascii="Georgia" w:hAnsi="Georgia"/>
          <w:color w:val="231F20"/>
        </w:rPr>
        <w:t>lo</w:t>
      </w:r>
      <w:r>
        <w:rPr>
          <w:rFonts w:ascii="Georgia" w:hAnsi="Georgia"/>
          <w:color w:val="231F20"/>
          <w:spacing w:val="-20"/>
        </w:rPr>
        <w:t> </w:t>
      </w:r>
      <w:r>
        <w:rPr>
          <w:rFonts w:ascii="Georgia" w:hAnsi="Georgia"/>
          <w:color w:val="231F20"/>
          <w:spacing w:val="2"/>
        </w:rPr>
        <w:t>que</w:t>
      </w:r>
      <w:r>
        <w:rPr>
          <w:rFonts w:ascii="Georgia" w:hAnsi="Georgia"/>
          <w:color w:val="231F20"/>
          <w:spacing w:val="-20"/>
        </w:rPr>
        <w:t> </w:t>
      </w:r>
      <w:r>
        <w:rPr>
          <w:rFonts w:ascii="Georgia" w:hAnsi="Georgia"/>
          <w:color w:val="231F20"/>
          <w:spacing w:val="2"/>
        </w:rPr>
        <w:t>destaca</w:t>
      </w:r>
      <w:r>
        <w:rPr>
          <w:rFonts w:ascii="Georgia" w:hAnsi="Georgia"/>
          <w:color w:val="231F20"/>
          <w:spacing w:val="-20"/>
        </w:rPr>
        <w:t> </w:t>
      </w:r>
      <w:r>
        <w:rPr>
          <w:rFonts w:ascii="Georgia" w:hAnsi="Georgia"/>
          <w:color w:val="231F20"/>
        </w:rPr>
        <w:t>es</w:t>
      </w:r>
      <w:r>
        <w:rPr>
          <w:rFonts w:ascii="Georgia" w:hAnsi="Georgia"/>
          <w:color w:val="231F20"/>
          <w:spacing w:val="-20"/>
        </w:rPr>
        <w:t> </w:t>
      </w:r>
      <w:r>
        <w:rPr>
          <w:rFonts w:ascii="Georgia" w:hAnsi="Georgia"/>
          <w:color w:val="231F20"/>
        </w:rPr>
        <w:t>el</w:t>
      </w:r>
      <w:r>
        <w:rPr>
          <w:rFonts w:ascii="Georgia" w:hAnsi="Georgia"/>
          <w:color w:val="231F20"/>
          <w:spacing w:val="-21"/>
        </w:rPr>
        <w:t> </w:t>
      </w:r>
      <w:r>
        <w:rPr>
          <w:rFonts w:ascii="Georgia" w:hAnsi="Georgia"/>
          <w:color w:val="231F20"/>
          <w:spacing w:val="3"/>
        </w:rPr>
        <w:t>argumento</w:t>
      </w:r>
      <w:r>
        <w:rPr>
          <w:rFonts w:ascii="Georgia" w:hAnsi="Georgia"/>
          <w:color w:val="231F20"/>
          <w:spacing w:val="-20"/>
        </w:rPr>
        <w:t> </w:t>
      </w:r>
      <w:r>
        <w:rPr>
          <w:rFonts w:ascii="Georgia" w:hAnsi="Georgia"/>
          <w:color w:val="231F20"/>
        </w:rPr>
        <w:t>de</w:t>
      </w:r>
      <w:r>
        <w:rPr>
          <w:rFonts w:ascii="Georgia" w:hAnsi="Georgia"/>
          <w:color w:val="231F20"/>
          <w:spacing w:val="-20"/>
        </w:rPr>
        <w:t> </w:t>
      </w:r>
      <w:r>
        <w:rPr>
          <w:rFonts w:ascii="Georgia" w:hAnsi="Georgia"/>
          <w:color w:val="231F20"/>
          <w:spacing w:val="2"/>
        </w:rPr>
        <w:t>que</w:t>
      </w:r>
      <w:r>
        <w:rPr>
          <w:rFonts w:ascii="Georgia" w:hAnsi="Georgia"/>
          <w:color w:val="231F20"/>
          <w:spacing w:val="-20"/>
        </w:rPr>
        <w:t> </w:t>
      </w:r>
      <w:r>
        <w:rPr>
          <w:rFonts w:ascii="Georgia" w:hAnsi="Georgia"/>
          <w:color w:val="231F20"/>
        </w:rPr>
        <w:t>la</w:t>
      </w:r>
      <w:r>
        <w:rPr>
          <w:rFonts w:ascii="Georgia" w:hAnsi="Georgia"/>
          <w:color w:val="231F20"/>
          <w:spacing w:val="-20"/>
        </w:rPr>
        <w:t> </w:t>
      </w:r>
      <w:r>
        <w:rPr>
          <w:rFonts w:ascii="Georgia" w:hAnsi="Georgia"/>
          <w:color w:val="231F20"/>
          <w:spacing w:val="3"/>
        </w:rPr>
        <w:t>violen- </w:t>
      </w:r>
      <w:r>
        <w:rPr>
          <w:rFonts w:ascii="Georgia" w:hAnsi="Georgia"/>
          <w:color w:val="231F20"/>
        </w:rPr>
        <w:t>cia,</w:t>
      </w:r>
      <w:r>
        <w:rPr>
          <w:rFonts w:ascii="Georgia" w:hAnsi="Georgia"/>
          <w:color w:val="231F20"/>
          <w:spacing w:val="-21"/>
        </w:rPr>
        <w:t> </w:t>
      </w:r>
      <w:r>
        <w:rPr>
          <w:rFonts w:ascii="Georgia" w:hAnsi="Georgia"/>
          <w:color w:val="231F20"/>
        </w:rPr>
        <w:t>en</w:t>
      </w:r>
      <w:r>
        <w:rPr>
          <w:rFonts w:ascii="Georgia" w:hAnsi="Georgia"/>
          <w:color w:val="231F20"/>
          <w:spacing w:val="-20"/>
        </w:rPr>
        <w:t> </w:t>
      </w:r>
      <w:r>
        <w:rPr>
          <w:rFonts w:ascii="Georgia" w:hAnsi="Georgia"/>
          <w:color w:val="231F20"/>
          <w:spacing w:val="2"/>
        </w:rPr>
        <w:t>particular</w:t>
      </w:r>
      <w:r>
        <w:rPr>
          <w:rFonts w:ascii="Georgia" w:hAnsi="Georgia"/>
          <w:color w:val="231F20"/>
          <w:spacing w:val="-21"/>
        </w:rPr>
        <w:t> </w:t>
      </w:r>
      <w:r>
        <w:rPr>
          <w:rFonts w:ascii="Georgia" w:hAnsi="Georgia"/>
          <w:color w:val="231F20"/>
        </w:rPr>
        <w:t>la</w:t>
      </w:r>
      <w:r>
        <w:rPr>
          <w:rFonts w:ascii="Georgia" w:hAnsi="Georgia"/>
          <w:color w:val="231F20"/>
          <w:spacing w:val="-21"/>
        </w:rPr>
        <w:t> </w:t>
      </w:r>
      <w:r>
        <w:rPr>
          <w:rFonts w:ascii="Georgia" w:hAnsi="Georgia"/>
          <w:color w:val="231F20"/>
          <w:spacing w:val="2"/>
        </w:rPr>
        <w:t>simbólica,</w:t>
      </w:r>
      <w:r>
        <w:rPr>
          <w:rFonts w:ascii="Georgia" w:hAnsi="Georgia"/>
          <w:color w:val="231F20"/>
          <w:spacing w:val="-21"/>
        </w:rPr>
        <w:t> </w:t>
      </w:r>
      <w:r>
        <w:rPr>
          <w:rFonts w:ascii="Georgia" w:hAnsi="Georgia"/>
          <w:color w:val="231F20"/>
          <w:spacing w:val="2"/>
        </w:rPr>
        <w:t>tiene</w:t>
      </w:r>
      <w:r>
        <w:rPr>
          <w:rFonts w:ascii="Georgia" w:hAnsi="Georgia"/>
          <w:color w:val="231F20"/>
          <w:spacing w:val="-21"/>
        </w:rPr>
        <w:t> </w:t>
      </w:r>
      <w:r>
        <w:rPr>
          <w:rFonts w:ascii="Georgia" w:hAnsi="Georgia"/>
          <w:color w:val="231F20"/>
        </w:rPr>
        <w:t>un</w:t>
      </w:r>
      <w:r>
        <w:rPr>
          <w:rFonts w:ascii="Georgia" w:hAnsi="Georgia"/>
          <w:color w:val="231F20"/>
          <w:spacing w:val="-21"/>
        </w:rPr>
        <w:t> </w:t>
      </w:r>
      <w:r>
        <w:rPr>
          <w:rFonts w:ascii="Georgia" w:hAnsi="Georgia"/>
          <w:color w:val="231F20"/>
          <w:spacing w:val="3"/>
        </w:rPr>
        <w:t>modo</w:t>
      </w:r>
      <w:r>
        <w:rPr>
          <w:rFonts w:ascii="Georgia" w:hAnsi="Georgia"/>
          <w:color w:val="231F20"/>
          <w:spacing w:val="-21"/>
        </w:rPr>
        <w:t> </w:t>
      </w:r>
      <w:r>
        <w:rPr>
          <w:rFonts w:ascii="Georgia" w:hAnsi="Georgia"/>
          <w:color w:val="231F20"/>
        </w:rPr>
        <w:t>de</w:t>
      </w:r>
      <w:r>
        <w:rPr>
          <w:rFonts w:ascii="Georgia" w:hAnsi="Georgia"/>
          <w:color w:val="231F20"/>
          <w:spacing w:val="-21"/>
        </w:rPr>
        <w:t> </w:t>
      </w:r>
      <w:r>
        <w:rPr>
          <w:rFonts w:ascii="Georgia" w:hAnsi="Georgia"/>
          <w:color w:val="231F20"/>
          <w:spacing w:val="2"/>
        </w:rPr>
        <w:t>justificación</w:t>
      </w:r>
      <w:r>
        <w:rPr>
          <w:rFonts w:ascii="Georgia" w:hAnsi="Georgia"/>
          <w:color w:val="231F20"/>
          <w:spacing w:val="-21"/>
        </w:rPr>
        <w:t> </w:t>
      </w:r>
      <w:r>
        <w:rPr>
          <w:rFonts w:ascii="Georgia" w:hAnsi="Georgia"/>
          <w:color w:val="231F20"/>
        </w:rPr>
        <w:t>de un</w:t>
      </w:r>
      <w:r>
        <w:rPr>
          <w:rFonts w:ascii="Georgia" w:hAnsi="Georgia"/>
          <w:color w:val="231F20"/>
          <w:spacing w:val="-8"/>
        </w:rPr>
        <w:t> </w:t>
      </w:r>
      <w:r>
        <w:rPr>
          <w:rFonts w:ascii="Georgia" w:hAnsi="Georgia"/>
          <w:color w:val="231F20"/>
          <w:spacing w:val="2"/>
        </w:rPr>
        <w:t>orden</w:t>
      </w:r>
      <w:r>
        <w:rPr>
          <w:rFonts w:ascii="Georgia" w:hAnsi="Georgia"/>
          <w:color w:val="231F20"/>
          <w:spacing w:val="-8"/>
        </w:rPr>
        <w:t> </w:t>
      </w:r>
      <w:r>
        <w:rPr>
          <w:rFonts w:ascii="Georgia" w:hAnsi="Georgia"/>
          <w:color w:val="231F20"/>
          <w:spacing w:val="2"/>
        </w:rPr>
        <w:t>(vertical/horizontal)</w:t>
      </w:r>
      <w:r>
        <w:rPr>
          <w:rFonts w:ascii="Georgia" w:hAnsi="Georgia"/>
          <w:color w:val="231F20"/>
          <w:spacing w:val="-8"/>
        </w:rPr>
        <w:t> </w:t>
      </w:r>
      <w:r>
        <w:rPr>
          <w:rFonts w:ascii="Georgia" w:hAnsi="Georgia"/>
          <w:color w:val="231F20"/>
        </w:rPr>
        <w:t>y</w:t>
      </w:r>
      <w:r>
        <w:rPr>
          <w:rFonts w:ascii="Georgia" w:hAnsi="Georgia"/>
          <w:color w:val="231F20"/>
          <w:spacing w:val="-8"/>
        </w:rPr>
        <w:t> </w:t>
      </w:r>
      <w:r>
        <w:rPr>
          <w:rFonts w:ascii="Georgia" w:hAnsi="Georgia"/>
          <w:color w:val="231F20"/>
        </w:rPr>
        <w:t>que</w:t>
      </w:r>
      <w:r>
        <w:rPr>
          <w:rFonts w:ascii="Georgia" w:hAnsi="Georgia"/>
          <w:color w:val="231F20"/>
          <w:spacing w:val="-8"/>
        </w:rPr>
        <w:t> </w:t>
      </w:r>
      <w:r>
        <w:rPr>
          <w:rFonts w:ascii="Georgia" w:hAnsi="Georgia"/>
          <w:color w:val="231F20"/>
        </w:rPr>
        <w:t>se</w:t>
      </w:r>
      <w:r>
        <w:rPr>
          <w:rFonts w:ascii="Georgia" w:hAnsi="Georgia"/>
          <w:color w:val="231F20"/>
          <w:spacing w:val="-8"/>
        </w:rPr>
        <w:t> </w:t>
      </w:r>
      <w:r>
        <w:rPr>
          <w:rFonts w:ascii="Georgia" w:hAnsi="Georgia"/>
          <w:color w:val="231F20"/>
          <w:spacing w:val="3"/>
        </w:rPr>
        <w:t>produce</w:t>
      </w:r>
      <w:r>
        <w:rPr>
          <w:rFonts w:ascii="Georgia" w:hAnsi="Georgia"/>
          <w:color w:val="231F20"/>
          <w:spacing w:val="-8"/>
        </w:rPr>
        <w:t> </w:t>
      </w:r>
      <w:r>
        <w:rPr>
          <w:rFonts w:ascii="Georgia" w:hAnsi="Georgia"/>
          <w:color w:val="231F20"/>
        </w:rPr>
        <w:t>en</w:t>
      </w:r>
      <w:r>
        <w:rPr>
          <w:rFonts w:ascii="Georgia" w:hAnsi="Georgia"/>
          <w:color w:val="231F20"/>
          <w:spacing w:val="-8"/>
        </w:rPr>
        <w:t> </w:t>
      </w:r>
      <w:r>
        <w:rPr>
          <w:rFonts w:ascii="Georgia" w:hAnsi="Georgia"/>
          <w:color w:val="231F20"/>
          <w:spacing w:val="2"/>
        </w:rPr>
        <w:t>los</w:t>
      </w:r>
      <w:r>
        <w:rPr>
          <w:rFonts w:ascii="Georgia" w:hAnsi="Georgia"/>
          <w:color w:val="231F20"/>
          <w:spacing w:val="-8"/>
        </w:rPr>
        <w:t> </w:t>
      </w:r>
      <w:r>
        <w:rPr>
          <w:rFonts w:ascii="Georgia" w:hAnsi="Georgia"/>
          <w:color w:val="231F20"/>
          <w:spacing w:val="3"/>
        </w:rPr>
        <w:t>mismos </w:t>
      </w:r>
      <w:r>
        <w:rPr>
          <w:rFonts w:ascii="Georgia" w:hAnsi="Georgia"/>
          <w:color w:val="231F20"/>
          <w:spacing w:val="3"/>
          <w:w w:val="95"/>
        </w:rPr>
        <w:t>procesos</w:t>
      </w:r>
      <w:r>
        <w:rPr>
          <w:rFonts w:ascii="Georgia" w:hAnsi="Georgia"/>
          <w:color w:val="231F20"/>
          <w:spacing w:val="-21"/>
          <w:w w:val="95"/>
        </w:rPr>
        <w:t> </w:t>
      </w:r>
      <w:r>
        <w:rPr>
          <w:rFonts w:ascii="Georgia" w:hAnsi="Georgia"/>
          <w:color w:val="231F20"/>
          <w:w w:val="95"/>
        </w:rPr>
        <w:t>de</w:t>
      </w:r>
      <w:r>
        <w:rPr>
          <w:rFonts w:ascii="Georgia" w:hAnsi="Georgia"/>
          <w:color w:val="231F20"/>
          <w:spacing w:val="-21"/>
          <w:w w:val="95"/>
        </w:rPr>
        <w:t> </w:t>
      </w:r>
      <w:r>
        <w:rPr>
          <w:rFonts w:ascii="Georgia" w:hAnsi="Georgia"/>
          <w:color w:val="231F20"/>
          <w:spacing w:val="2"/>
          <w:w w:val="95"/>
        </w:rPr>
        <w:t>interpretación;</w:t>
      </w:r>
      <w:r>
        <w:rPr>
          <w:rFonts w:ascii="Georgia" w:hAnsi="Georgia"/>
          <w:color w:val="231F20"/>
          <w:spacing w:val="-21"/>
          <w:w w:val="95"/>
        </w:rPr>
        <w:t> </w:t>
      </w:r>
      <w:r>
        <w:rPr>
          <w:rFonts w:ascii="Georgia" w:hAnsi="Georgia"/>
          <w:color w:val="231F20"/>
          <w:w w:val="95"/>
        </w:rPr>
        <w:t>así,</w:t>
      </w:r>
      <w:r>
        <w:rPr>
          <w:rFonts w:ascii="Georgia" w:hAnsi="Georgia"/>
          <w:color w:val="231F20"/>
          <w:spacing w:val="-21"/>
          <w:w w:val="95"/>
        </w:rPr>
        <w:t> </w:t>
      </w:r>
      <w:r>
        <w:rPr>
          <w:rFonts w:ascii="Georgia" w:hAnsi="Georgia"/>
          <w:color w:val="231F20"/>
          <w:spacing w:val="2"/>
          <w:w w:val="95"/>
        </w:rPr>
        <w:t>desde</w:t>
      </w:r>
      <w:r>
        <w:rPr>
          <w:rFonts w:ascii="Georgia" w:hAnsi="Georgia"/>
          <w:color w:val="231F20"/>
          <w:spacing w:val="-21"/>
          <w:w w:val="95"/>
        </w:rPr>
        <w:t> </w:t>
      </w:r>
      <w:r>
        <w:rPr>
          <w:rFonts w:ascii="Georgia" w:hAnsi="Georgia"/>
          <w:color w:val="231F20"/>
          <w:w w:val="95"/>
        </w:rPr>
        <w:t>esa</w:t>
      </w:r>
      <w:r>
        <w:rPr>
          <w:rFonts w:ascii="Georgia" w:hAnsi="Georgia"/>
          <w:color w:val="231F20"/>
          <w:spacing w:val="-21"/>
          <w:w w:val="95"/>
        </w:rPr>
        <w:t> </w:t>
      </w:r>
      <w:r>
        <w:rPr>
          <w:rFonts w:ascii="Georgia" w:hAnsi="Georgia"/>
          <w:color w:val="231F20"/>
          <w:spacing w:val="2"/>
          <w:w w:val="95"/>
        </w:rPr>
        <w:t>perspectiva</w:t>
      </w:r>
      <w:r>
        <w:rPr>
          <w:rFonts w:ascii="Georgia" w:hAnsi="Georgia"/>
          <w:color w:val="231F20"/>
          <w:spacing w:val="-21"/>
          <w:w w:val="95"/>
        </w:rPr>
        <w:t> </w:t>
      </w:r>
      <w:r>
        <w:rPr>
          <w:rFonts w:ascii="Georgia" w:hAnsi="Georgia"/>
          <w:color w:val="231F20"/>
          <w:w w:val="95"/>
        </w:rPr>
        <w:t>se</w:t>
      </w:r>
      <w:r>
        <w:rPr>
          <w:rFonts w:ascii="Georgia" w:hAnsi="Georgia"/>
          <w:color w:val="231F20"/>
          <w:spacing w:val="-21"/>
          <w:w w:val="95"/>
        </w:rPr>
        <w:t> </w:t>
      </w:r>
      <w:r>
        <w:rPr>
          <w:rFonts w:ascii="Georgia" w:hAnsi="Georgia"/>
          <w:color w:val="231F20"/>
          <w:spacing w:val="4"/>
          <w:w w:val="95"/>
        </w:rPr>
        <w:t>compren- </w:t>
      </w:r>
      <w:r>
        <w:rPr>
          <w:rFonts w:ascii="Georgia" w:hAnsi="Georgia"/>
          <w:color w:val="231F20"/>
        </w:rPr>
        <w:t>de</w:t>
      </w:r>
      <w:r>
        <w:rPr>
          <w:rFonts w:ascii="Georgia" w:hAnsi="Georgia"/>
          <w:color w:val="231F20"/>
          <w:spacing w:val="-15"/>
        </w:rPr>
        <w:t> </w:t>
      </w:r>
      <w:r>
        <w:rPr>
          <w:rFonts w:ascii="Georgia" w:hAnsi="Georgia"/>
          <w:color w:val="231F20"/>
        </w:rPr>
        <w:t>la</w:t>
      </w:r>
      <w:r>
        <w:rPr>
          <w:rFonts w:ascii="Georgia" w:hAnsi="Georgia"/>
          <w:color w:val="231F20"/>
          <w:spacing w:val="-15"/>
        </w:rPr>
        <w:t> </w:t>
      </w:r>
      <w:r>
        <w:rPr>
          <w:rFonts w:ascii="Georgia" w:hAnsi="Georgia"/>
          <w:color w:val="231F20"/>
          <w:spacing w:val="2"/>
        </w:rPr>
        <w:t>violencia</w:t>
      </w:r>
      <w:r>
        <w:rPr>
          <w:rFonts w:ascii="Georgia" w:hAnsi="Georgia"/>
          <w:color w:val="231F20"/>
          <w:spacing w:val="-15"/>
        </w:rPr>
        <w:t> </w:t>
      </w:r>
      <w:r>
        <w:rPr>
          <w:rFonts w:ascii="Georgia" w:hAnsi="Georgia"/>
          <w:color w:val="231F20"/>
        </w:rPr>
        <w:t>en</w:t>
      </w:r>
      <w:r>
        <w:rPr>
          <w:rFonts w:ascii="Georgia" w:hAnsi="Georgia"/>
          <w:color w:val="231F20"/>
          <w:spacing w:val="-14"/>
        </w:rPr>
        <w:t> </w:t>
      </w:r>
      <w:r>
        <w:rPr>
          <w:rFonts w:ascii="Georgia" w:hAnsi="Georgia"/>
          <w:color w:val="231F20"/>
          <w:spacing w:val="3"/>
        </w:rPr>
        <w:t>términos</w:t>
      </w:r>
      <w:r>
        <w:rPr>
          <w:rFonts w:ascii="Georgia" w:hAnsi="Georgia"/>
          <w:color w:val="231F20"/>
          <w:spacing w:val="-15"/>
        </w:rPr>
        <w:t> </w:t>
      </w:r>
      <w:r>
        <w:rPr>
          <w:rFonts w:ascii="Georgia" w:hAnsi="Georgia"/>
          <w:color w:val="231F20"/>
        </w:rPr>
        <w:t>de</w:t>
      </w:r>
      <w:r>
        <w:rPr>
          <w:rFonts w:ascii="Georgia" w:hAnsi="Georgia"/>
          <w:color w:val="231F20"/>
          <w:spacing w:val="-15"/>
        </w:rPr>
        <w:t> </w:t>
      </w:r>
      <w:r>
        <w:rPr>
          <w:rFonts w:ascii="Georgia" w:hAnsi="Georgia"/>
          <w:color w:val="231F20"/>
          <w:spacing w:val="3"/>
        </w:rPr>
        <w:t>poder,</w:t>
      </w:r>
      <w:r>
        <w:rPr>
          <w:rFonts w:ascii="Georgia" w:hAnsi="Georgia"/>
          <w:color w:val="231F20"/>
          <w:spacing w:val="-15"/>
        </w:rPr>
        <w:t> </w:t>
      </w:r>
      <w:r>
        <w:rPr>
          <w:rFonts w:ascii="Georgia" w:hAnsi="Georgia"/>
          <w:color w:val="231F20"/>
        </w:rPr>
        <w:t>de</w:t>
      </w:r>
      <w:r>
        <w:rPr>
          <w:rFonts w:ascii="Georgia" w:hAnsi="Georgia"/>
          <w:color w:val="231F20"/>
          <w:spacing w:val="-15"/>
        </w:rPr>
        <w:t> </w:t>
      </w:r>
      <w:r>
        <w:rPr>
          <w:rFonts w:ascii="Georgia" w:hAnsi="Georgia"/>
          <w:color w:val="231F20"/>
          <w:spacing w:val="3"/>
        </w:rPr>
        <w:t>gobierno,</w:t>
      </w:r>
      <w:r>
        <w:rPr>
          <w:rFonts w:ascii="Georgia" w:hAnsi="Georgia"/>
          <w:color w:val="231F20"/>
          <w:spacing w:val="-15"/>
        </w:rPr>
        <w:t> </w:t>
      </w:r>
      <w:r>
        <w:rPr>
          <w:rFonts w:ascii="Georgia" w:hAnsi="Georgia"/>
          <w:color w:val="231F20"/>
        </w:rPr>
        <w:t>de</w:t>
      </w:r>
      <w:r>
        <w:rPr>
          <w:rFonts w:ascii="Georgia" w:hAnsi="Georgia"/>
          <w:color w:val="231F20"/>
          <w:spacing w:val="-15"/>
        </w:rPr>
        <w:t> </w:t>
      </w:r>
      <w:r>
        <w:rPr>
          <w:rFonts w:ascii="Georgia" w:hAnsi="Georgia"/>
          <w:color w:val="231F20"/>
          <w:spacing w:val="2"/>
        </w:rPr>
        <w:t>fuerza,</w:t>
      </w:r>
      <w:r>
        <w:rPr>
          <w:rFonts w:ascii="Georgia" w:hAnsi="Georgia"/>
          <w:color w:val="231F20"/>
          <w:spacing w:val="-15"/>
        </w:rPr>
        <w:t> </w:t>
      </w:r>
      <w:r>
        <w:rPr>
          <w:rFonts w:ascii="Georgia" w:hAnsi="Georgia"/>
          <w:color w:val="231F20"/>
        </w:rPr>
        <w:t>en </w:t>
      </w:r>
      <w:r>
        <w:rPr>
          <w:rFonts w:ascii="Georgia" w:hAnsi="Georgia"/>
          <w:color w:val="231F20"/>
          <w:spacing w:val="2"/>
          <w:w w:val="95"/>
        </w:rPr>
        <w:t>cuanto</w:t>
      </w:r>
      <w:r>
        <w:rPr>
          <w:rFonts w:ascii="Georgia" w:hAnsi="Georgia"/>
          <w:color w:val="231F20"/>
          <w:spacing w:val="-3"/>
          <w:w w:val="95"/>
        </w:rPr>
        <w:t> </w:t>
      </w:r>
      <w:r>
        <w:rPr>
          <w:rFonts w:ascii="Georgia" w:hAnsi="Georgia"/>
          <w:color w:val="231F20"/>
          <w:w w:val="95"/>
        </w:rPr>
        <w:t>la</w:t>
      </w:r>
      <w:r>
        <w:rPr>
          <w:rFonts w:ascii="Georgia" w:hAnsi="Georgia"/>
          <w:color w:val="231F20"/>
          <w:spacing w:val="-4"/>
          <w:w w:val="95"/>
        </w:rPr>
        <w:t> </w:t>
      </w:r>
      <w:r>
        <w:rPr>
          <w:rFonts w:ascii="Georgia" w:hAnsi="Georgia"/>
          <w:color w:val="231F20"/>
          <w:spacing w:val="2"/>
          <w:w w:val="95"/>
        </w:rPr>
        <w:t>violencia</w:t>
      </w:r>
      <w:r>
        <w:rPr>
          <w:rFonts w:ascii="Georgia" w:hAnsi="Georgia"/>
          <w:color w:val="231F20"/>
          <w:spacing w:val="-4"/>
          <w:w w:val="95"/>
        </w:rPr>
        <w:t> </w:t>
      </w:r>
      <w:r>
        <w:rPr>
          <w:rFonts w:ascii="Georgia" w:hAnsi="Georgia"/>
          <w:color w:val="231F20"/>
          <w:spacing w:val="2"/>
          <w:w w:val="95"/>
        </w:rPr>
        <w:t>simbólica</w:t>
      </w:r>
      <w:r>
        <w:rPr>
          <w:rFonts w:ascii="Georgia" w:hAnsi="Georgia"/>
          <w:color w:val="231F20"/>
          <w:spacing w:val="-4"/>
          <w:w w:val="95"/>
        </w:rPr>
        <w:t> </w:t>
      </w:r>
      <w:r>
        <w:rPr>
          <w:rFonts w:ascii="Georgia" w:hAnsi="Georgia"/>
          <w:color w:val="231F20"/>
          <w:spacing w:val="2"/>
          <w:w w:val="95"/>
        </w:rPr>
        <w:t>dirige,</w:t>
      </w:r>
      <w:r>
        <w:rPr>
          <w:rFonts w:ascii="Georgia" w:hAnsi="Georgia"/>
          <w:color w:val="231F20"/>
          <w:spacing w:val="-4"/>
          <w:w w:val="95"/>
        </w:rPr>
        <w:t> </w:t>
      </w:r>
      <w:r>
        <w:rPr>
          <w:rFonts w:ascii="Georgia" w:hAnsi="Georgia"/>
          <w:color w:val="231F20"/>
          <w:spacing w:val="2"/>
          <w:w w:val="95"/>
        </w:rPr>
        <w:t>establece</w:t>
      </w:r>
      <w:r>
        <w:rPr>
          <w:rFonts w:ascii="Georgia" w:hAnsi="Georgia"/>
          <w:color w:val="231F20"/>
          <w:spacing w:val="-4"/>
          <w:w w:val="95"/>
        </w:rPr>
        <w:t> </w:t>
      </w:r>
      <w:r>
        <w:rPr>
          <w:rFonts w:ascii="Georgia" w:hAnsi="Georgia"/>
          <w:color w:val="231F20"/>
          <w:spacing w:val="2"/>
          <w:w w:val="95"/>
        </w:rPr>
        <w:t>una</w:t>
      </w:r>
      <w:r>
        <w:rPr>
          <w:rFonts w:ascii="Georgia" w:hAnsi="Georgia"/>
          <w:color w:val="231F20"/>
          <w:spacing w:val="-4"/>
          <w:w w:val="95"/>
        </w:rPr>
        <w:t> </w:t>
      </w:r>
      <w:r>
        <w:rPr>
          <w:rFonts w:ascii="Georgia" w:hAnsi="Georgia"/>
          <w:color w:val="231F20"/>
          <w:spacing w:val="2"/>
          <w:w w:val="95"/>
        </w:rPr>
        <w:t>disposición</w:t>
      </w:r>
      <w:r>
        <w:rPr>
          <w:rFonts w:ascii="Georgia" w:hAnsi="Georgia"/>
          <w:color w:val="231F20"/>
          <w:spacing w:val="-3"/>
          <w:w w:val="95"/>
        </w:rPr>
        <w:t> </w:t>
      </w:r>
      <w:r>
        <w:rPr>
          <w:rFonts w:ascii="Georgia" w:hAnsi="Georgia"/>
          <w:color w:val="231F20"/>
          <w:w w:val="95"/>
        </w:rPr>
        <w:t>de </w:t>
      </w:r>
      <w:r>
        <w:rPr>
          <w:rFonts w:ascii="Georgia" w:hAnsi="Georgia"/>
          <w:color w:val="231F20"/>
          <w:spacing w:val="2"/>
          <w:w w:val="95"/>
        </w:rPr>
        <w:t>cosas </w:t>
      </w:r>
      <w:r>
        <w:rPr>
          <w:rFonts w:ascii="Georgia" w:hAnsi="Georgia"/>
          <w:color w:val="231F20"/>
          <w:w w:val="95"/>
        </w:rPr>
        <w:t>y </w:t>
      </w:r>
      <w:r>
        <w:rPr>
          <w:rFonts w:ascii="Georgia" w:hAnsi="Georgia"/>
          <w:color w:val="231F20"/>
          <w:spacing w:val="3"/>
          <w:w w:val="95"/>
        </w:rPr>
        <w:t>personas, </w:t>
      </w:r>
      <w:r>
        <w:rPr>
          <w:rFonts w:ascii="Georgia" w:hAnsi="Georgia"/>
          <w:color w:val="231F20"/>
          <w:spacing w:val="2"/>
          <w:w w:val="95"/>
        </w:rPr>
        <w:t>delimita espacios, </w:t>
      </w:r>
      <w:r>
        <w:rPr>
          <w:rFonts w:ascii="Georgia" w:hAnsi="Georgia"/>
          <w:color w:val="231F20"/>
          <w:spacing w:val="3"/>
          <w:w w:val="95"/>
        </w:rPr>
        <w:t>funciones, </w:t>
      </w:r>
      <w:r>
        <w:rPr>
          <w:rFonts w:ascii="Georgia" w:hAnsi="Georgia"/>
          <w:color w:val="231F20"/>
          <w:spacing w:val="2"/>
          <w:w w:val="95"/>
        </w:rPr>
        <w:t>etc. (Pross </w:t>
      </w:r>
      <w:r>
        <w:rPr>
          <w:rFonts w:ascii="Georgia" w:hAnsi="Georgia"/>
          <w:color w:val="231F20"/>
          <w:w w:val="95"/>
        </w:rPr>
        <w:t>y </w:t>
      </w:r>
      <w:r>
        <w:rPr>
          <w:rFonts w:ascii="Georgia" w:hAnsi="Georgia"/>
          <w:color w:val="231F20"/>
          <w:spacing w:val="4"/>
          <w:w w:val="95"/>
        </w:rPr>
        <w:t>Ro- </w:t>
      </w:r>
      <w:r>
        <w:rPr>
          <w:rFonts w:ascii="Georgia" w:hAnsi="Georgia"/>
          <w:color w:val="231F20"/>
          <w:spacing w:val="2"/>
          <w:w w:val="95"/>
        </w:rPr>
        <w:t>mano, 1989:75), todo </w:t>
      </w:r>
      <w:r>
        <w:rPr>
          <w:rFonts w:ascii="Georgia" w:hAnsi="Georgia"/>
          <w:color w:val="231F20"/>
          <w:w w:val="95"/>
        </w:rPr>
        <w:t>lo </w:t>
      </w:r>
      <w:r>
        <w:rPr>
          <w:rFonts w:ascii="Georgia" w:hAnsi="Georgia"/>
          <w:color w:val="231F20"/>
          <w:spacing w:val="2"/>
          <w:w w:val="95"/>
        </w:rPr>
        <w:t>cual </w:t>
      </w:r>
      <w:r>
        <w:rPr>
          <w:rFonts w:ascii="Georgia" w:hAnsi="Georgia"/>
          <w:color w:val="231F20"/>
          <w:w w:val="95"/>
        </w:rPr>
        <w:t>es </w:t>
      </w:r>
      <w:r>
        <w:rPr>
          <w:rFonts w:ascii="Georgia" w:hAnsi="Georgia"/>
          <w:color w:val="231F20"/>
          <w:spacing w:val="2"/>
          <w:w w:val="95"/>
        </w:rPr>
        <w:t>convertido </w:t>
      </w:r>
      <w:r>
        <w:rPr>
          <w:rFonts w:ascii="Georgia" w:hAnsi="Georgia"/>
          <w:color w:val="231F20"/>
          <w:w w:val="95"/>
        </w:rPr>
        <w:t>en </w:t>
      </w:r>
      <w:r>
        <w:rPr>
          <w:rFonts w:ascii="Georgia" w:hAnsi="Georgia"/>
          <w:color w:val="231F20"/>
          <w:spacing w:val="3"/>
          <w:w w:val="95"/>
        </w:rPr>
        <w:t>símbolos </w:t>
      </w:r>
      <w:r>
        <w:rPr>
          <w:rFonts w:ascii="Georgia" w:hAnsi="Georgia"/>
          <w:color w:val="231F20"/>
          <w:spacing w:val="2"/>
          <w:w w:val="95"/>
        </w:rPr>
        <w:t>específi- cos</w:t>
      </w:r>
      <w:r>
        <w:rPr>
          <w:rFonts w:ascii="Georgia" w:hAnsi="Georgia"/>
          <w:color w:val="231F20"/>
          <w:spacing w:val="-4"/>
          <w:w w:val="95"/>
        </w:rPr>
        <w:t> </w:t>
      </w:r>
      <w:r>
        <w:rPr>
          <w:rFonts w:ascii="Georgia" w:hAnsi="Georgia"/>
          <w:color w:val="231F20"/>
          <w:w w:val="95"/>
        </w:rPr>
        <w:t>que</w:t>
      </w:r>
      <w:r>
        <w:rPr>
          <w:rFonts w:ascii="Georgia" w:hAnsi="Georgia"/>
          <w:color w:val="231F20"/>
          <w:spacing w:val="-4"/>
          <w:w w:val="95"/>
        </w:rPr>
        <w:t> </w:t>
      </w:r>
      <w:r>
        <w:rPr>
          <w:rFonts w:ascii="Georgia" w:hAnsi="Georgia"/>
          <w:color w:val="231F20"/>
          <w:w w:val="95"/>
        </w:rPr>
        <w:t>se</w:t>
      </w:r>
      <w:r>
        <w:rPr>
          <w:rFonts w:ascii="Georgia" w:hAnsi="Georgia"/>
          <w:color w:val="231F20"/>
          <w:spacing w:val="-4"/>
          <w:w w:val="95"/>
        </w:rPr>
        <w:t> </w:t>
      </w:r>
      <w:r>
        <w:rPr>
          <w:rFonts w:ascii="Georgia" w:hAnsi="Georgia"/>
          <w:color w:val="231F20"/>
          <w:spacing w:val="3"/>
          <w:w w:val="95"/>
        </w:rPr>
        <w:t>transforman</w:t>
      </w:r>
      <w:r>
        <w:rPr>
          <w:rFonts w:ascii="Georgia" w:hAnsi="Georgia"/>
          <w:color w:val="231F20"/>
          <w:spacing w:val="-4"/>
          <w:w w:val="95"/>
        </w:rPr>
        <w:t> </w:t>
      </w:r>
      <w:r>
        <w:rPr>
          <w:rFonts w:ascii="Georgia" w:hAnsi="Georgia"/>
          <w:color w:val="231F20"/>
          <w:w w:val="95"/>
        </w:rPr>
        <w:t>en</w:t>
      </w:r>
      <w:r>
        <w:rPr>
          <w:rFonts w:ascii="Georgia" w:hAnsi="Georgia"/>
          <w:color w:val="231F20"/>
          <w:spacing w:val="-4"/>
          <w:w w:val="95"/>
        </w:rPr>
        <w:t> </w:t>
      </w:r>
      <w:r>
        <w:rPr>
          <w:rFonts w:ascii="Georgia" w:hAnsi="Georgia"/>
          <w:color w:val="231F20"/>
          <w:spacing w:val="2"/>
          <w:w w:val="95"/>
        </w:rPr>
        <w:t>signos</w:t>
      </w:r>
      <w:r>
        <w:rPr>
          <w:rFonts w:ascii="Georgia" w:hAnsi="Georgia"/>
          <w:color w:val="231F20"/>
          <w:spacing w:val="-4"/>
          <w:w w:val="95"/>
        </w:rPr>
        <w:t> </w:t>
      </w:r>
      <w:r>
        <w:rPr>
          <w:rFonts w:ascii="Georgia" w:hAnsi="Georgia"/>
          <w:color w:val="231F20"/>
          <w:w w:val="95"/>
        </w:rPr>
        <w:t>de</w:t>
      </w:r>
      <w:r>
        <w:rPr>
          <w:rFonts w:ascii="Georgia" w:hAnsi="Georgia"/>
          <w:color w:val="231F20"/>
          <w:spacing w:val="-4"/>
          <w:w w:val="95"/>
        </w:rPr>
        <w:t> </w:t>
      </w:r>
      <w:r>
        <w:rPr>
          <w:rFonts w:ascii="Georgia" w:hAnsi="Georgia"/>
          <w:color w:val="231F20"/>
          <w:spacing w:val="2"/>
          <w:w w:val="95"/>
        </w:rPr>
        <w:t>ciertos</w:t>
      </w:r>
      <w:r>
        <w:rPr>
          <w:rFonts w:ascii="Georgia" w:hAnsi="Georgia"/>
          <w:color w:val="231F20"/>
          <w:spacing w:val="-4"/>
          <w:w w:val="95"/>
        </w:rPr>
        <w:t> </w:t>
      </w:r>
      <w:r>
        <w:rPr>
          <w:rFonts w:ascii="Georgia" w:hAnsi="Georgia"/>
          <w:color w:val="231F20"/>
          <w:spacing w:val="2"/>
          <w:w w:val="95"/>
        </w:rPr>
        <w:t>valores.</w:t>
      </w:r>
      <w:r>
        <w:rPr>
          <w:rFonts w:ascii="Georgia" w:hAnsi="Georgia"/>
          <w:color w:val="231F20"/>
          <w:spacing w:val="-5"/>
          <w:w w:val="95"/>
        </w:rPr>
        <w:t> </w:t>
      </w:r>
      <w:r>
        <w:rPr>
          <w:rFonts w:ascii="Georgia" w:hAnsi="Georgia"/>
          <w:color w:val="231F20"/>
          <w:spacing w:val="2"/>
          <w:w w:val="95"/>
        </w:rPr>
        <w:t>De</w:t>
      </w:r>
      <w:r>
        <w:rPr>
          <w:rFonts w:ascii="Georgia" w:hAnsi="Georgia"/>
          <w:color w:val="231F20"/>
          <w:spacing w:val="-4"/>
          <w:w w:val="95"/>
        </w:rPr>
        <w:t> </w:t>
      </w:r>
      <w:r>
        <w:rPr>
          <w:rFonts w:ascii="Georgia" w:hAnsi="Georgia"/>
          <w:color w:val="231F20"/>
          <w:w w:val="95"/>
        </w:rPr>
        <w:t>ese</w:t>
      </w:r>
      <w:r>
        <w:rPr>
          <w:rFonts w:ascii="Georgia" w:hAnsi="Georgia"/>
          <w:color w:val="231F20"/>
          <w:spacing w:val="-4"/>
          <w:w w:val="95"/>
        </w:rPr>
        <w:t> </w:t>
      </w:r>
      <w:r>
        <w:rPr>
          <w:rFonts w:ascii="Georgia" w:hAnsi="Georgia"/>
          <w:color w:val="231F20"/>
          <w:spacing w:val="3"/>
          <w:w w:val="95"/>
        </w:rPr>
        <w:t>modo </w:t>
      </w:r>
      <w:r>
        <w:rPr>
          <w:rFonts w:ascii="Georgia" w:hAnsi="Georgia"/>
          <w:color w:val="231F20"/>
          <w:w w:val="95"/>
        </w:rPr>
        <w:t>las </w:t>
      </w:r>
      <w:r>
        <w:rPr>
          <w:rFonts w:ascii="Georgia" w:hAnsi="Georgia"/>
          <w:color w:val="231F20"/>
          <w:spacing w:val="2"/>
          <w:w w:val="95"/>
        </w:rPr>
        <w:t>relaciones </w:t>
      </w:r>
      <w:r>
        <w:rPr>
          <w:rFonts w:ascii="Georgia" w:hAnsi="Georgia"/>
          <w:color w:val="231F20"/>
          <w:w w:val="95"/>
        </w:rPr>
        <w:t>de </w:t>
      </w:r>
      <w:r>
        <w:rPr>
          <w:rFonts w:ascii="Georgia" w:hAnsi="Georgia"/>
          <w:color w:val="231F20"/>
          <w:spacing w:val="2"/>
          <w:w w:val="95"/>
        </w:rPr>
        <w:t>fuerza, </w:t>
      </w:r>
      <w:r>
        <w:rPr>
          <w:rFonts w:ascii="Georgia" w:hAnsi="Georgia"/>
          <w:color w:val="231F20"/>
          <w:w w:val="95"/>
        </w:rPr>
        <w:t>en </w:t>
      </w:r>
      <w:r>
        <w:rPr>
          <w:rFonts w:ascii="Georgia" w:hAnsi="Georgia"/>
          <w:color w:val="231F20"/>
          <w:spacing w:val="3"/>
          <w:w w:val="95"/>
        </w:rPr>
        <w:t>términos </w:t>
      </w:r>
      <w:r>
        <w:rPr>
          <w:rFonts w:ascii="Georgia" w:hAnsi="Georgia"/>
          <w:color w:val="231F20"/>
          <w:spacing w:val="2"/>
          <w:w w:val="95"/>
        </w:rPr>
        <w:t>físicos, son desplazadas por </w:t>
      </w:r>
      <w:r>
        <w:rPr>
          <w:rFonts w:ascii="Georgia" w:hAnsi="Georgia"/>
          <w:color w:val="231F20"/>
          <w:spacing w:val="3"/>
          <w:w w:val="95"/>
        </w:rPr>
        <w:t>mecanismos </w:t>
      </w:r>
      <w:r>
        <w:rPr>
          <w:rFonts w:ascii="Georgia" w:hAnsi="Georgia"/>
          <w:color w:val="231F20"/>
          <w:spacing w:val="2"/>
          <w:w w:val="95"/>
        </w:rPr>
        <w:t>que tienden </w:t>
      </w:r>
      <w:r>
        <w:rPr>
          <w:rFonts w:ascii="Georgia" w:hAnsi="Georgia"/>
          <w:color w:val="231F20"/>
          <w:w w:val="95"/>
        </w:rPr>
        <w:t>a </w:t>
      </w:r>
      <w:r>
        <w:rPr>
          <w:rFonts w:ascii="Georgia" w:hAnsi="Georgia"/>
          <w:color w:val="231F20"/>
          <w:spacing w:val="2"/>
          <w:w w:val="95"/>
        </w:rPr>
        <w:t>imponer </w:t>
      </w:r>
      <w:r>
        <w:rPr>
          <w:rFonts w:ascii="Georgia" w:hAnsi="Georgia"/>
          <w:color w:val="231F20"/>
          <w:w w:val="95"/>
        </w:rPr>
        <w:t>“la </w:t>
      </w:r>
      <w:r>
        <w:rPr>
          <w:rFonts w:ascii="Georgia" w:hAnsi="Georgia"/>
          <w:color w:val="231F20"/>
          <w:spacing w:val="2"/>
          <w:w w:val="95"/>
        </w:rPr>
        <w:t>validez </w:t>
      </w:r>
      <w:r>
        <w:rPr>
          <w:rFonts w:ascii="Georgia" w:hAnsi="Georgia"/>
          <w:color w:val="231F20"/>
          <w:w w:val="95"/>
        </w:rPr>
        <w:t>de </w:t>
      </w:r>
      <w:r>
        <w:rPr>
          <w:rFonts w:ascii="Georgia" w:hAnsi="Georgia"/>
          <w:color w:val="231F20"/>
          <w:spacing w:val="2"/>
          <w:w w:val="95"/>
        </w:rPr>
        <w:t>ciertos signifi- </w:t>
      </w:r>
      <w:r>
        <w:rPr>
          <w:rFonts w:ascii="Georgia" w:hAnsi="Georgia"/>
          <w:color w:val="231F20"/>
          <w:spacing w:val="2"/>
          <w:w w:val="90"/>
        </w:rPr>
        <w:t>cados… </w:t>
      </w:r>
      <w:r>
        <w:rPr>
          <w:rFonts w:ascii="Georgia" w:hAnsi="Georgia"/>
          <w:color w:val="231F20"/>
          <w:w w:val="90"/>
        </w:rPr>
        <w:t>La </w:t>
      </w:r>
      <w:r>
        <w:rPr>
          <w:rFonts w:ascii="Georgia" w:hAnsi="Georgia"/>
          <w:color w:val="231F20"/>
          <w:spacing w:val="2"/>
          <w:w w:val="90"/>
        </w:rPr>
        <w:t>idea </w:t>
      </w:r>
      <w:r>
        <w:rPr>
          <w:rFonts w:ascii="Georgia" w:hAnsi="Georgia"/>
          <w:color w:val="231F20"/>
          <w:w w:val="90"/>
        </w:rPr>
        <w:t>de </w:t>
      </w:r>
      <w:r>
        <w:rPr>
          <w:rFonts w:ascii="Georgia" w:hAnsi="Georgia"/>
          <w:color w:val="231F20"/>
          <w:spacing w:val="2"/>
          <w:w w:val="90"/>
        </w:rPr>
        <w:t>violencia </w:t>
      </w:r>
      <w:r>
        <w:rPr>
          <w:rFonts w:ascii="Georgia" w:hAnsi="Georgia"/>
          <w:color w:val="231F20"/>
          <w:spacing w:val="3"/>
          <w:w w:val="90"/>
        </w:rPr>
        <w:t>como </w:t>
      </w:r>
      <w:r>
        <w:rPr>
          <w:i/>
          <w:color w:val="231F20"/>
          <w:spacing w:val="2"/>
          <w:w w:val="90"/>
        </w:rPr>
        <w:t>menoscabo corporal </w:t>
      </w:r>
      <w:r>
        <w:rPr>
          <w:rFonts w:ascii="Georgia" w:hAnsi="Georgia"/>
          <w:color w:val="231F20"/>
          <w:spacing w:val="2"/>
          <w:w w:val="90"/>
        </w:rPr>
        <w:t>(</w:t>
      </w:r>
      <w:r>
        <w:rPr>
          <w:i/>
          <w:color w:val="231F20"/>
          <w:spacing w:val="2"/>
          <w:w w:val="90"/>
        </w:rPr>
        <w:t>vis</w:t>
      </w:r>
      <w:r>
        <w:rPr>
          <w:rFonts w:ascii="Georgia" w:hAnsi="Georgia"/>
          <w:color w:val="231F20"/>
          <w:spacing w:val="2"/>
          <w:w w:val="90"/>
        </w:rPr>
        <w:t>, violencia, </w:t>
      </w:r>
      <w:r>
        <w:rPr>
          <w:i/>
          <w:color w:val="231F20"/>
          <w:spacing w:val="2"/>
          <w:w w:val="95"/>
        </w:rPr>
        <w:t>violence</w:t>
      </w:r>
      <w:r>
        <w:rPr>
          <w:rFonts w:ascii="Georgia" w:hAnsi="Georgia"/>
          <w:color w:val="231F20"/>
          <w:spacing w:val="2"/>
          <w:w w:val="95"/>
        </w:rPr>
        <w:t>)</w:t>
      </w:r>
      <w:r>
        <w:rPr>
          <w:rFonts w:ascii="Georgia" w:hAnsi="Georgia"/>
          <w:color w:val="231F20"/>
          <w:spacing w:val="-24"/>
          <w:w w:val="95"/>
        </w:rPr>
        <w:t> </w:t>
      </w:r>
      <w:r>
        <w:rPr>
          <w:rFonts w:ascii="Georgia" w:hAnsi="Georgia"/>
          <w:color w:val="231F20"/>
          <w:spacing w:val="2"/>
          <w:w w:val="95"/>
        </w:rPr>
        <w:t>pasa</w:t>
      </w:r>
      <w:r>
        <w:rPr>
          <w:rFonts w:ascii="Georgia" w:hAnsi="Georgia"/>
          <w:color w:val="231F20"/>
          <w:spacing w:val="-24"/>
          <w:w w:val="95"/>
        </w:rPr>
        <w:t> </w:t>
      </w:r>
      <w:r>
        <w:rPr>
          <w:rFonts w:ascii="Georgia" w:hAnsi="Georgia"/>
          <w:color w:val="231F20"/>
          <w:w w:val="95"/>
        </w:rPr>
        <w:t>a</w:t>
      </w:r>
      <w:r>
        <w:rPr>
          <w:rFonts w:ascii="Georgia" w:hAnsi="Georgia"/>
          <w:color w:val="231F20"/>
          <w:spacing w:val="-24"/>
          <w:w w:val="95"/>
        </w:rPr>
        <w:t> </w:t>
      </w:r>
      <w:r>
        <w:rPr>
          <w:rFonts w:ascii="Georgia" w:hAnsi="Georgia"/>
          <w:color w:val="231F20"/>
          <w:spacing w:val="2"/>
          <w:w w:val="95"/>
        </w:rPr>
        <w:t>segundo</w:t>
      </w:r>
      <w:r>
        <w:rPr>
          <w:rFonts w:ascii="Georgia" w:hAnsi="Georgia"/>
          <w:color w:val="231F20"/>
          <w:spacing w:val="-24"/>
          <w:w w:val="95"/>
        </w:rPr>
        <w:t> </w:t>
      </w:r>
      <w:r>
        <w:rPr>
          <w:rFonts w:ascii="Georgia" w:hAnsi="Georgia"/>
          <w:color w:val="231F20"/>
          <w:spacing w:val="2"/>
          <w:w w:val="95"/>
        </w:rPr>
        <w:t>plano</w:t>
      </w:r>
      <w:r>
        <w:rPr>
          <w:rFonts w:ascii="Georgia" w:hAnsi="Georgia"/>
          <w:color w:val="231F20"/>
          <w:spacing w:val="-24"/>
          <w:w w:val="95"/>
        </w:rPr>
        <w:t> </w:t>
      </w:r>
      <w:r>
        <w:rPr>
          <w:rFonts w:ascii="Georgia" w:hAnsi="Georgia"/>
          <w:color w:val="231F20"/>
          <w:spacing w:val="2"/>
          <w:w w:val="95"/>
        </w:rPr>
        <w:t>mientras</w:t>
      </w:r>
      <w:r>
        <w:rPr>
          <w:rFonts w:ascii="Georgia" w:hAnsi="Georgia"/>
          <w:color w:val="231F20"/>
          <w:spacing w:val="-24"/>
          <w:w w:val="95"/>
        </w:rPr>
        <w:t> </w:t>
      </w:r>
      <w:r>
        <w:rPr>
          <w:rFonts w:ascii="Georgia" w:hAnsi="Georgia"/>
          <w:color w:val="231F20"/>
          <w:w w:val="95"/>
        </w:rPr>
        <w:t>se</w:t>
      </w:r>
      <w:r>
        <w:rPr>
          <w:rFonts w:ascii="Georgia" w:hAnsi="Georgia"/>
          <w:color w:val="231F20"/>
          <w:spacing w:val="-24"/>
          <w:w w:val="95"/>
        </w:rPr>
        <w:t> </w:t>
      </w:r>
      <w:r>
        <w:rPr>
          <w:rFonts w:ascii="Georgia" w:hAnsi="Georgia"/>
          <w:color w:val="231F20"/>
          <w:spacing w:val="2"/>
          <w:w w:val="95"/>
        </w:rPr>
        <w:t>respete</w:t>
      </w:r>
      <w:r>
        <w:rPr>
          <w:rFonts w:ascii="Georgia" w:hAnsi="Georgia"/>
          <w:color w:val="231F20"/>
          <w:spacing w:val="-24"/>
          <w:w w:val="95"/>
        </w:rPr>
        <w:t> </w:t>
      </w:r>
      <w:r>
        <w:rPr>
          <w:rFonts w:ascii="Georgia" w:hAnsi="Georgia"/>
          <w:color w:val="231F20"/>
          <w:w w:val="95"/>
        </w:rPr>
        <w:t>la</w:t>
      </w:r>
      <w:r>
        <w:rPr>
          <w:rFonts w:ascii="Georgia" w:hAnsi="Georgia"/>
          <w:color w:val="231F20"/>
          <w:spacing w:val="-24"/>
          <w:w w:val="95"/>
        </w:rPr>
        <w:t> </w:t>
      </w:r>
      <w:r>
        <w:rPr>
          <w:rFonts w:ascii="Georgia" w:hAnsi="Georgia"/>
          <w:color w:val="231F20"/>
          <w:spacing w:val="2"/>
          <w:w w:val="95"/>
        </w:rPr>
        <w:t>violencia</w:t>
      </w:r>
      <w:r>
        <w:rPr>
          <w:rFonts w:ascii="Georgia" w:hAnsi="Georgia"/>
          <w:color w:val="231F20"/>
          <w:spacing w:val="-24"/>
          <w:w w:val="95"/>
        </w:rPr>
        <w:t> </w:t>
      </w:r>
      <w:r>
        <w:rPr>
          <w:rFonts w:ascii="Georgia" w:hAnsi="Georgia"/>
          <w:color w:val="231F20"/>
          <w:spacing w:val="2"/>
          <w:w w:val="95"/>
        </w:rPr>
        <w:t>sim- </w:t>
      </w:r>
      <w:r>
        <w:rPr>
          <w:rFonts w:ascii="Georgia" w:hAnsi="Georgia"/>
          <w:color w:val="231F20"/>
          <w:spacing w:val="2"/>
        </w:rPr>
        <w:t>bólica”</w:t>
      </w:r>
      <w:r>
        <w:rPr>
          <w:rFonts w:ascii="Georgia" w:hAnsi="Georgia"/>
          <w:color w:val="231F20"/>
          <w:spacing w:val="-19"/>
        </w:rPr>
        <w:t> </w:t>
      </w:r>
      <w:r>
        <w:rPr>
          <w:rFonts w:ascii="Georgia" w:hAnsi="Georgia"/>
          <w:color w:val="231F20"/>
        </w:rPr>
        <w:t>que</w:t>
      </w:r>
      <w:r>
        <w:rPr>
          <w:rFonts w:ascii="Georgia" w:hAnsi="Georgia"/>
          <w:color w:val="231F20"/>
          <w:spacing w:val="-19"/>
        </w:rPr>
        <w:t> </w:t>
      </w:r>
      <w:r>
        <w:rPr>
          <w:rFonts w:ascii="Georgia" w:hAnsi="Georgia"/>
          <w:color w:val="231F20"/>
        </w:rPr>
        <w:t>se</w:t>
      </w:r>
      <w:r>
        <w:rPr>
          <w:rFonts w:ascii="Georgia" w:hAnsi="Georgia"/>
          <w:color w:val="231F20"/>
          <w:spacing w:val="-19"/>
        </w:rPr>
        <w:t> </w:t>
      </w:r>
      <w:r>
        <w:rPr>
          <w:rFonts w:ascii="Georgia" w:hAnsi="Georgia"/>
          <w:color w:val="231F20"/>
          <w:spacing w:val="2"/>
        </w:rPr>
        <w:t>oculta</w:t>
      </w:r>
      <w:r>
        <w:rPr>
          <w:rFonts w:ascii="Georgia" w:hAnsi="Georgia"/>
          <w:color w:val="231F20"/>
          <w:spacing w:val="-19"/>
        </w:rPr>
        <w:t> </w:t>
      </w:r>
      <w:r>
        <w:rPr>
          <w:rFonts w:ascii="Georgia" w:hAnsi="Georgia"/>
          <w:color w:val="231F20"/>
          <w:spacing w:val="2"/>
        </w:rPr>
        <w:t>bajo</w:t>
      </w:r>
      <w:r>
        <w:rPr>
          <w:rFonts w:ascii="Georgia" w:hAnsi="Georgia"/>
          <w:color w:val="231F20"/>
          <w:spacing w:val="-19"/>
        </w:rPr>
        <w:t> </w:t>
      </w:r>
      <w:r>
        <w:rPr>
          <w:rFonts w:ascii="Georgia" w:hAnsi="Georgia"/>
          <w:color w:val="231F20"/>
        </w:rPr>
        <w:t>las</w:t>
      </w:r>
      <w:r>
        <w:rPr>
          <w:rFonts w:ascii="Georgia" w:hAnsi="Georgia"/>
          <w:color w:val="231F20"/>
          <w:spacing w:val="-19"/>
        </w:rPr>
        <w:t> </w:t>
      </w:r>
      <w:r>
        <w:rPr>
          <w:rFonts w:ascii="Georgia" w:hAnsi="Georgia"/>
          <w:color w:val="231F20"/>
          <w:spacing w:val="3"/>
        </w:rPr>
        <w:t>formas</w:t>
      </w:r>
      <w:r>
        <w:rPr>
          <w:rFonts w:ascii="Georgia" w:hAnsi="Georgia"/>
          <w:color w:val="231F20"/>
          <w:spacing w:val="-19"/>
        </w:rPr>
        <w:t> </w:t>
      </w:r>
      <w:r>
        <w:rPr>
          <w:rFonts w:ascii="Georgia" w:hAnsi="Georgia"/>
          <w:color w:val="231F20"/>
        </w:rPr>
        <w:t>de</w:t>
      </w:r>
      <w:r>
        <w:rPr>
          <w:rFonts w:ascii="Georgia" w:hAnsi="Georgia"/>
          <w:color w:val="231F20"/>
          <w:spacing w:val="-19"/>
        </w:rPr>
        <w:t> </w:t>
      </w:r>
      <w:r>
        <w:rPr>
          <w:rFonts w:ascii="Georgia" w:hAnsi="Georgia"/>
          <w:color w:val="231F20"/>
        </w:rPr>
        <w:t>la</w:t>
      </w:r>
      <w:r>
        <w:rPr>
          <w:rFonts w:ascii="Georgia" w:hAnsi="Georgia"/>
          <w:color w:val="231F20"/>
          <w:spacing w:val="-19"/>
        </w:rPr>
        <w:t> </w:t>
      </w:r>
      <w:r>
        <w:rPr>
          <w:rFonts w:ascii="Georgia" w:hAnsi="Georgia"/>
          <w:color w:val="231F20"/>
          <w:spacing w:val="2"/>
        </w:rPr>
        <w:t>validez</w:t>
      </w:r>
      <w:r>
        <w:rPr>
          <w:rFonts w:ascii="Georgia" w:hAnsi="Georgia"/>
          <w:color w:val="231F20"/>
          <w:spacing w:val="-19"/>
        </w:rPr>
        <w:t> </w:t>
      </w:r>
      <w:r>
        <w:rPr>
          <w:rFonts w:ascii="Georgia" w:hAnsi="Georgia"/>
          <w:color w:val="231F20"/>
          <w:spacing w:val="3"/>
        </w:rPr>
        <w:t>consensual</w:t>
      </w:r>
      <w:r>
        <w:rPr>
          <w:rFonts w:ascii="Georgia" w:hAnsi="Georgia"/>
          <w:color w:val="231F20"/>
          <w:spacing w:val="-19"/>
        </w:rPr>
        <w:t> </w:t>
      </w:r>
      <w:r>
        <w:rPr>
          <w:rFonts w:ascii="Georgia" w:hAnsi="Georgia"/>
          <w:color w:val="231F20"/>
        </w:rPr>
        <w:t>de </w:t>
      </w:r>
      <w:r>
        <w:rPr>
          <w:rFonts w:ascii="Georgia" w:hAnsi="Georgia"/>
          <w:color w:val="231F20"/>
          <w:spacing w:val="2"/>
        </w:rPr>
        <w:t>los</w:t>
      </w:r>
      <w:r>
        <w:rPr>
          <w:rFonts w:ascii="Georgia" w:hAnsi="Georgia"/>
          <w:color w:val="231F20"/>
          <w:spacing w:val="-22"/>
        </w:rPr>
        <w:t> </w:t>
      </w:r>
      <w:r>
        <w:rPr>
          <w:rFonts w:ascii="Georgia" w:hAnsi="Georgia"/>
          <w:color w:val="231F20"/>
          <w:spacing w:val="2"/>
        </w:rPr>
        <w:t>significados,</w:t>
      </w:r>
      <w:r>
        <w:rPr>
          <w:rFonts w:ascii="Georgia" w:hAnsi="Georgia"/>
          <w:color w:val="231F20"/>
          <w:spacing w:val="-22"/>
        </w:rPr>
        <w:t> </w:t>
      </w:r>
      <w:r>
        <w:rPr>
          <w:rFonts w:ascii="Georgia" w:hAnsi="Georgia"/>
          <w:color w:val="231F20"/>
          <w:spacing w:val="2"/>
        </w:rPr>
        <w:t>pero</w:t>
      </w:r>
      <w:r>
        <w:rPr>
          <w:rFonts w:ascii="Georgia" w:hAnsi="Georgia"/>
          <w:color w:val="231F20"/>
          <w:spacing w:val="-22"/>
        </w:rPr>
        <w:t> </w:t>
      </w:r>
      <w:r>
        <w:rPr>
          <w:rFonts w:ascii="Georgia" w:hAnsi="Georgia"/>
          <w:color w:val="231F20"/>
          <w:spacing w:val="2"/>
        </w:rPr>
        <w:t>siempre</w:t>
      </w:r>
      <w:r>
        <w:rPr>
          <w:rFonts w:ascii="Georgia" w:hAnsi="Georgia"/>
          <w:color w:val="231F20"/>
          <w:spacing w:val="-22"/>
        </w:rPr>
        <w:t> </w:t>
      </w:r>
      <w:r>
        <w:rPr>
          <w:rFonts w:ascii="Georgia" w:hAnsi="Georgia"/>
          <w:color w:val="231F20"/>
          <w:spacing w:val="3"/>
        </w:rPr>
        <w:t>mantiene</w:t>
      </w:r>
      <w:r>
        <w:rPr>
          <w:rFonts w:ascii="Georgia" w:hAnsi="Georgia"/>
          <w:color w:val="231F20"/>
          <w:spacing w:val="-22"/>
        </w:rPr>
        <w:t> </w:t>
      </w:r>
      <w:r>
        <w:rPr>
          <w:rFonts w:ascii="Georgia" w:hAnsi="Georgia"/>
          <w:color w:val="231F20"/>
        </w:rPr>
        <w:t>la</w:t>
      </w:r>
      <w:r>
        <w:rPr>
          <w:rFonts w:ascii="Georgia" w:hAnsi="Georgia"/>
          <w:color w:val="231F20"/>
          <w:spacing w:val="-22"/>
        </w:rPr>
        <w:t> </w:t>
      </w:r>
      <w:r>
        <w:rPr>
          <w:rFonts w:ascii="Georgia" w:hAnsi="Georgia"/>
          <w:color w:val="231F20"/>
          <w:spacing w:val="3"/>
        </w:rPr>
        <w:t>amenaza</w:t>
      </w:r>
      <w:r>
        <w:rPr>
          <w:rFonts w:ascii="Georgia" w:hAnsi="Georgia"/>
          <w:color w:val="231F20"/>
          <w:spacing w:val="-22"/>
        </w:rPr>
        <w:t> </w:t>
      </w:r>
      <w:r>
        <w:rPr>
          <w:rFonts w:ascii="Georgia" w:hAnsi="Georgia"/>
          <w:color w:val="231F20"/>
        </w:rPr>
        <w:t>de</w:t>
      </w:r>
      <w:r>
        <w:rPr>
          <w:rFonts w:ascii="Georgia" w:hAnsi="Georgia"/>
          <w:color w:val="231F20"/>
          <w:spacing w:val="-22"/>
        </w:rPr>
        <w:t> </w:t>
      </w:r>
      <w:r>
        <w:rPr>
          <w:rFonts w:ascii="Georgia" w:hAnsi="Georgia"/>
          <w:color w:val="231F20"/>
          <w:spacing w:val="2"/>
        </w:rPr>
        <w:t>uso</w:t>
      </w:r>
      <w:r>
        <w:rPr>
          <w:rFonts w:ascii="Georgia" w:hAnsi="Georgia"/>
          <w:color w:val="231F20"/>
          <w:spacing w:val="-22"/>
        </w:rPr>
        <w:t> </w:t>
      </w:r>
      <w:r>
        <w:rPr>
          <w:rFonts w:ascii="Georgia" w:hAnsi="Georgia"/>
          <w:color w:val="231F20"/>
        </w:rPr>
        <w:t>de</w:t>
      </w:r>
      <w:r>
        <w:rPr>
          <w:rFonts w:ascii="Georgia" w:hAnsi="Georgia"/>
          <w:color w:val="231F20"/>
          <w:spacing w:val="-22"/>
        </w:rPr>
        <w:t> </w:t>
      </w:r>
      <w:r>
        <w:rPr>
          <w:rFonts w:ascii="Georgia" w:hAnsi="Georgia"/>
          <w:color w:val="231F20"/>
        </w:rPr>
        <w:t>la </w:t>
      </w:r>
      <w:r>
        <w:rPr>
          <w:rFonts w:ascii="Georgia" w:hAnsi="Georgia"/>
          <w:color w:val="231F20"/>
          <w:spacing w:val="2"/>
          <w:w w:val="95"/>
        </w:rPr>
        <w:t>fuerza</w:t>
      </w:r>
      <w:r>
        <w:rPr>
          <w:rFonts w:ascii="Georgia" w:hAnsi="Georgia"/>
          <w:color w:val="231F20"/>
          <w:spacing w:val="-14"/>
          <w:w w:val="95"/>
        </w:rPr>
        <w:t> </w:t>
      </w:r>
      <w:r>
        <w:rPr>
          <w:rFonts w:ascii="Georgia" w:hAnsi="Georgia"/>
          <w:color w:val="231F20"/>
          <w:spacing w:val="2"/>
          <w:w w:val="95"/>
        </w:rPr>
        <w:t>bruta”,</w:t>
      </w:r>
      <w:r>
        <w:rPr>
          <w:rFonts w:ascii="Georgia" w:hAnsi="Georgia"/>
          <w:color w:val="231F20"/>
          <w:spacing w:val="-14"/>
          <w:w w:val="95"/>
        </w:rPr>
        <w:t> </w:t>
      </w:r>
      <w:r>
        <w:rPr>
          <w:rFonts w:ascii="Georgia" w:hAnsi="Georgia"/>
          <w:color w:val="231F20"/>
          <w:spacing w:val="2"/>
          <w:w w:val="95"/>
        </w:rPr>
        <w:t>pues</w:t>
      </w:r>
      <w:r>
        <w:rPr>
          <w:rFonts w:ascii="Georgia" w:hAnsi="Georgia"/>
          <w:color w:val="231F20"/>
          <w:spacing w:val="-14"/>
          <w:w w:val="95"/>
        </w:rPr>
        <w:t> </w:t>
      </w:r>
      <w:r>
        <w:rPr>
          <w:rFonts w:ascii="Georgia" w:hAnsi="Georgia"/>
          <w:color w:val="231F20"/>
          <w:w w:val="95"/>
        </w:rPr>
        <w:t>la</w:t>
      </w:r>
      <w:r>
        <w:rPr>
          <w:rFonts w:ascii="Georgia" w:hAnsi="Georgia"/>
          <w:color w:val="231F20"/>
          <w:spacing w:val="-14"/>
          <w:w w:val="95"/>
        </w:rPr>
        <w:t> </w:t>
      </w:r>
      <w:r>
        <w:rPr>
          <w:rFonts w:ascii="Georgia" w:hAnsi="Georgia"/>
          <w:color w:val="231F20"/>
          <w:spacing w:val="2"/>
          <w:w w:val="95"/>
        </w:rPr>
        <w:t>violencia</w:t>
      </w:r>
      <w:r>
        <w:rPr>
          <w:rFonts w:ascii="Georgia" w:hAnsi="Georgia"/>
          <w:color w:val="231F20"/>
          <w:spacing w:val="-14"/>
          <w:w w:val="95"/>
        </w:rPr>
        <w:t> </w:t>
      </w:r>
      <w:r>
        <w:rPr>
          <w:rFonts w:ascii="Georgia" w:hAnsi="Georgia"/>
          <w:color w:val="231F20"/>
          <w:spacing w:val="2"/>
          <w:w w:val="95"/>
        </w:rPr>
        <w:t>simbólica</w:t>
      </w:r>
      <w:r>
        <w:rPr>
          <w:rFonts w:ascii="Georgia" w:hAnsi="Georgia"/>
          <w:color w:val="231F20"/>
          <w:spacing w:val="-14"/>
          <w:w w:val="95"/>
        </w:rPr>
        <w:t> </w:t>
      </w:r>
      <w:r>
        <w:rPr>
          <w:rFonts w:ascii="Georgia" w:hAnsi="Georgia"/>
          <w:color w:val="231F20"/>
          <w:w w:val="95"/>
        </w:rPr>
        <w:t>está</w:t>
      </w:r>
      <w:r>
        <w:rPr>
          <w:rFonts w:ascii="Georgia" w:hAnsi="Georgia"/>
          <w:color w:val="231F20"/>
          <w:spacing w:val="-14"/>
          <w:w w:val="95"/>
        </w:rPr>
        <w:t> </w:t>
      </w:r>
      <w:r>
        <w:rPr>
          <w:rFonts w:ascii="Georgia" w:hAnsi="Georgia"/>
          <w:color w:val="231F20"/>
          <w:spacing w:val="3"/>
          <w:w w:val="95"/>
        </w:rPr>
        <w:t>expresando</w:t>
      </w:r>
      <w:r>
        <w:rPr>
          <w:rFonts w:ascii="Georgia" w:hAnsi="Georgia"/>
          <w:color w:val="231F20"/>
          <w:spacing w:val="-14"/>
          <w:w w:val="95"/>
        </w:rPr>
        <w:t> </w:t>
      </w:r>
      <w:r>
        <w:rPr>
          <w:rFonts w:ascii="Georgia" w:hAnsi="Georgia"/>
          <w:color w:val="231F20"/>
          <w:spacing w:val="3"/>
          <w:w w:val="95"/>
        </w:rPr>
        <w:t>preten- </w:t>
      </w:r>
      <w:r>
        <w:rPr>
          <w:rFonts w:ascii="Georgia" w:hAnsi="Georgia"/>
          <w:color w:val="231F20"/>
          <w:spacing w:val="2"/>
          <w:w w:val="95"/>
        </w:rPr>
        <w:t>siones</w:t>
      </w:r>
      <w:r>
        <w:rPr>
          <w:rFonts w:ascii="Georgia" w:hAnsi="Georgia"/>
          <w:color w:val="231F20"/>
          <w:spacing w:val="-21"/>
          <w:w w:val="95"/>
        </w:rPr>
        <w:t> </w:t>
      </w:r>
      <w:r>
        <w:rPr>
          <w:rFonts w:ascii="Georgia" w:hAnsi="Georgia"/>
          <w:color w:val="231F20"/>
          <w:w w:val="95"/>
        </w:rPr>
        <w:t>de</w:t>
      </w:r>
      <w:r>
        <w:rPr>
          <w:rFonts w:ascii="Georgia" w:hAnsi="Georgia"/>
          <w:color w:val="231F20"/>
          <w:spacing w:val="-20"/>
          <w:w w:val="95"/>
        </w:rPr>
        <w:t> </w:t>
      </w:r>
      <w:r>
        <w:rPr>
          <w:rFonts w:ascii="Georgia" w:hAnsi="Georgia"/>
          <w:color w:val="231F20"/>
          <w:spacing w:val="3"/>
          <w:w w:val="95"/>
        </w:rPr>
        <w:t>poder</w:t>
      </w:r>
      <w:r>
        <w:rPr>
          <w:rFonts w:ascii="Georgia" w:hAnsi="Georgia"/>
          <w:color w:val="231F20"/>
          <w:spacing w:val="-21"/>
          <w:w w:val="95"/>
        </w:rPr>
        <w:t> </w:t>
      </w:r>
      <w:r>
        <w:rPr>
          <w:rFonts w:ascii="Georgia" w:hAnsi="Georgia"/>
          <w:color w:val="231F20"/>
          <w:spacing w:val="2"/>
          <w:w w:val="95"/>
        </w:rPr>
        <w:t>(Pross</w:t>
      </w:r>
      <w:r>
        <w:rPr>
          <w:rFonts w:ascii="Georgia" w:hAnsi="Georgia"/>
          <w:color w:val="231F20"/>
          <w:spacing w:val="-21"/>
          <w:w w:val="95"/>
        </w:rPr>
        <w:t> </w:t>
      </w:r>
      <w:r>
        <w:rPr>
          <w:rFonts w:ascii="Georgia" w:hAnsi="Georgia"/>
          <w:color w:val="231F20"/>
          <w:w w:val="95"/>
        </w:rPr>
        <w:t>y</w:t>
      </w:r>
      <w:r>
        <w:rPr>
          <w:rFonts w:ascii="Georgia" w:hAnsi="Georgia"/>
          <w:color w:val="231F20"/>
          <w:spacing w:val="-21"/>
          <w:w w:val="95"/>
        </w:rPr>
        <w:t> </w:t>
      </w:r>
      <w:r>
        <w:rPr>
          <w:rFonts w:ascii="Georgia" w:hAnsi="Georgia"/>
          <w:color w:val="231F20"/>
          <w:spacing w:val="3"/>
          <w:w w:val="95"/>
        </w:rPr>
        <w:t>Romano,</w:t>
      </w:r>
      <w:r>
        <w:rPr>
          <w:rFonts w:ascii="Georgia" w:hAnsi="Georgia"/>
          <w:color w:val="231F20"/>
          <w:spacing w:val="-21"/>
          <w:w w:val="95"/>
        </w:rPr>
        <w:t> </w:t>
      </w:r>
      <w:r>
        <w:rPr>
          <w:rFonts w:ascii="Georgia" w:hAnsi="Georgia"/>
          <w:color w:val="231F20"/>
          <w:spacing w:val="2"/>
          <w:w w:val="95"/>
        </w:rPr>
        <w:t>1989:75).</w:t>
      </w:r>
    </w:p>
    <w:p>
      <w:pPr>
        <w:pStyle w:val="BodyText"/>
        <w:spacing w:line="252" w:lineRule="auto"/>
        <w:ind w:left="101" w:right="115" w:firstLine="284"/>
        <w:jc w:val="both"/>
        <w:rPr>
          <w:rFonts w:ascii="Georgia" w:hAnsi="Georgia"/>
        </w:rPr>
      </w:pPr>
      <w:r>
        <w:rPr>
          <w:rFonts w:ascii="Georgia" w:hAnsi="Georgia"/>
          <w:color w:val="231F20"/>
        </w:rPr>
        <w:t>Uno</w:t>
      </w:r>
      <w:r>
        <w:rPr>
          <w:rFonts w:ascii="Georgia" w:hAnsi="Georgia"/>
          <w:color w:val="231F20"/>
          <w:spacing w:val="-24"/>
        </w:rPr>
        <w:t> </w:t>
      </w:r>
      <w:r>
        <w:rPr>
          <w:rFonts w:ascii="Georgia" w:hAnsi="Georgia"/>
          <w:color w:val="231F20"/>
        </w:rPr>
        <w:t>de</w:t>
      </w:r>
      <w:r>
        <w:rPr>
          <w:rFonts w:ascii="Georgia" w:hAnsi="Georgia"/>
          <w:color w:val="231F20"/>
          <w:spacing w:val="-24"/>
        </w:rPr>
        <w:t> </w:t>
      </w:r>
      <w:r>
        <w:rPr>
          <w:rFonts w:ascii="Georgia" w:hAnsi="Georgia"/>
          <w:color w:val="231F20"/>
        </w:rPr>
        <w:t>los</w:t>
      </w:r>
      <w:r>
        <w:rPr>
          <w:rFonts w:ascii="Georgia" w:hAnsi="Georgia"/>
          <w:color w:val="231F20"/>
          <w:spacing w:val="-24"/>
        </w:rPr>
        <w:t> </w:t>
      </w:r>
      <w:r>
        <w:rPr>
          <w:rFonts w:ascii="Georgia" w:hAnsi="Georgia"/>
          <w:color w:val="231F20"/>
        </w:rPr>
        <w:t>puntos</w:t>
      </w:r>
      <w:r>
        <w:rPr>
          <w:rFonts w:ascii="Georgia" w:hAnsi="Georgia"/>
          <w:color w:val="231F20"/>
          <w:spacing w:val="-24"/>
        </w:rPr>
        <w:t> </w:t>
      </w:r>
      <w:r>
        <w:rPr>
          <w:rFonts w:ascii="Georgia" w:hAnsi="Georgia"/>
          <w:color w:val="231F20"/>
        </w:rPr>
        <w:t>débiles</w:t>
      </w:r>
      <w:r>
        <w:rPr>
          <w:rFonts w:ascii="Georgia" w:hAnsi="Georgia"/>
          <w:color w:val="231F20"/>
          <w:spacing w:val="-24"/>
        </w:rPr>
        <w:t> </w:t>
      </w:r>
      <w:r>
        <w:rPr>
          <w:rFonts w:ascii="Georgia" w:hAnsi="Georgia"/>
          <w:color w:val="231F20"/>
        </w:rPr>
        <w:t>de</w:t>
      </w:r>
      <w:r>
        <w:rPr>
          <w:rFonts w:ascii="Georgia" w:hAnsi="Georgia"/>
          <w:color w:val="231F20"/>
          <w:spacing w:val="-24"/>
        </w:rPr>
        <w:t> </w:t>
      </w:r>
      <w:r>
        <w:rPr>
          <w:rFonts w:ascii="Georgia" w:hAnsi="Georgia"/>
          <w:color w:val="231F20"/>
        </w:rPr>
        <w:t>Pross</w:t>
      </w:r>
      <w:r>
        <w:rPr>
          <w:rFonts w:ascii="Georgia" w:hAnsi="Georgia"/>
          <w:color w:val="231F20"/>
          <w:spacing w:val="-24"/>
        </w:rPr>
        <w:t> </w:t>
      </w:r>
      <w:r>
        <w:rPr>
          <w:rFonts w:ascii="Georgia" w:hAnsi="Georgia"/>
          <w:color w:val="231F20"/>
        </w:rPr>
        <w:t>es</w:t>
      </w:r>
      <w:r>
        <w:rPr>
          <w:rFonts w:ascii="Georgia" w:hAnsi="Georgia"/>
          <w:color w:val="231F20"/>
          <w:spacing w:val="-24"/>
        </w:rPr>
        <w:t> </w:t>
      </w:r>
      <w:r>
        <w:rPr>
          <w:rFonts w:ascii="Georgia" w:hAnsi="Georgia"/>
          <w:color w:val="231F20"/>
        </w:rPr>
        <w:t>considerar</w:t>
      </w:r>
      <w:r>
        <w:rPr>
          <w:rFonts w:ascii="Georgia" w:hAnsi="Georgia"/>
          <w:color w:val="231F20"/>
          <w:spacing w:val="-24"/>
        </w:rPr>
        <w:t> </w:t>
      </w:r>
      <w:r>
        <w:rPr>
          <w:rFonts w:ascii="Georgia" w:hAnsi="Georgia"/>
          <w:color w:val="231F20"/>
        </w:rPr>
        <w:t>que</w:t>
      </w:r>
      <w:r>
        <w:rPr>
          <w:rFonts w:ascii="Georgia" w:hAnsi="Georgia"/>
          <w:color w:val="231F20"/>
          <w:spacing w:val="-24"/>
        </w:rPr>
        <w:t> </w:t>
      </w:r>
      <w:r>
        <w:rPr>
          <w:rFonts w:ascii="Georgia" w:hAnsi="Georgia"/>
          <w:color w:val="231F20"/>
        </w:rPr>
        <w:t>existe</w:t>
      </w:r>
      <w:r>
        <w:rPr>
          <w:rFonts w:ascii="Georgia" w:hAnsi="Georgia"/>
          <w:color w:val="231F20"/>
          <w:spacing w:val="-24"/>
        </w:rPr>
        <w:t> </w:t>
      </w:r>
      <w:r>
        <w:rPr>
          <w:rFonts w:ascii="Georgia" w:hAnsi="Georgia"/>
          <w:color w:val="231F20"/>
        </w:rPr>
        <w:t>un orden</w:t>
      </w:r>
      <w:r>
        <w:rPr>
          <w:rFonts w:ascii="Georgia" w:hAnsi="Georgia"/>
          <w:color w:val="231F20"/>
          <w:spacing w:val="-17"/>
        </w:rPr>
        <w:t> </w:t>
      </w:r>
      <w:r>
        <w:rPr>
          <w:rFonts w:ascii="Georgia" w:hAnsi="Georgia"/>
          <w:color w:val="231F20"/>
        </w:rPr>
        <w:t>básico</w:t>
      </w:r>
      <w:r>
        <w:rPr>
          <w:rFonts w:ascii="Georgia" w:hAnsi="Georgia"/>
          <w:color w:val="231F20"/>
          <w:spacing w:val="-17"/>
        </w:rPr>
        <w:t> </w:t>
      </w:r>
      <w:r>
        <w:rPr>
          <w:rFonts w:ascii="Georgia" w:hAnsi="Georgia"/>
          <w:color w:val="231F20"/>
        </w:rPr>
        <w:t>que</w:t>
      </w:r>
      <w:r>
        <w:rPr>
          <w:rFonts w:ascii="Georgia" w:hAnsi="Georgia"/>
          <w:color w:val="231F20"/>
          <w:spacing w:val="-17"/>
        </w:rPr>
        <w:t> </w:t>
      </w:r>
      <w:r>
        <w:rPr>
          <w:rFonts w:ascii="Georgia" w:hAnsi="Georgia"/>
          <w:color w:val="231F20"/>
        </w:rPr>
        <w:t>rige</w:t>
      </w:r>
      <w:r>
        <w:rPr>
          <w:rFonts w:ascii="Georgia" w:hAnsi="Georgia"/>
          <w:color w:val="231F20"/>
          <w:spacing w:val="-17"/>
        </w:rPr>
        <w:t> </w:t>
      </w:r>
      <w:r>
        <w:rPr>
          <w:rFonts w:ascii="Georgia" w:hAnsi="Georgia"/>
          <w:color w:val="231F20"/>
        </w:rPr>
        <w:t>la</w:t>
      </w:r>
      <w:r>
        <w:rPr>
          <w:rFonts w:ascii="Georgia" w:hAnsi="Georgia"/>
          <w:color w:val="231F20"/>
          <w:spacing w:val="-17"/>
        </w:rPr>
        <w:t> </w:t>
      </w:r>
      <w:r>
        <w:rPr>
          <w:rFonts w:ascii="Georgia" w:hAnsi="Georgia"/>
          <w:color w:val="231F20"/>
        </w:rPr>
        <w:t>acciones</w:t>
      </w:r>
      <w:r>
        <w:rPr>
          <w:rFonts w:ascii="Georgia" w:hAnsi="Georgia"/>
          <w:color w:val="231F20"/>
          <w:spacing w:val="-17"/>
        </w:rPr>
        <w:t> </w:t>
      </w:r>
      <w:r>
        <w:rPr>
          <w:rFonts w:ascii="Georgia" w:hAnsi="Georgia"/>
          <w:color w:val="231F20"/>
        </w:rPr>
        <w:t>humanas,</w:t>
      </w:r>
      <w:r>
        <w:rPr>
          <w:rFonts w:ascii="Georgia" w:hAnsi="Georgia"/>
          <w:color w:val="231F20"/>
          <w:spacing w:val="-17"/>
        </w:rPr>
        <w:t> </w:t>
      </w:r>
      <w:r>
        <w:rPr>
          <w:rFonts w:ascii="Georgia" w:hAnsi="Georgia"/>
          <w:color w:val="231F20"/>
        </w:rPr>
        <w:t>el</w:t>
      </w:r>
      <w:r>
        <w:rPr>
          <w:rFonts w:ascii="Georgia" w:hAnsi="Georgia"/>
          <w:color w:val="231F20"/>
          <w:spacing w:val="-17"/>
        </w:rPr>
        <w:t> </w:t>
      </w:r>
      <w:r>
        <w:rPr>
          <w:rFonts w:ascii="Georgia" w:hAnsi="Georgia"/>
          <w:color w:val="231F20"/>
        </w:rPr>
        <w:t>cual</w:t>
      </w:r>
      <w:r>
        <w:rPr>
          <w:rFonts w:ascii="Georgia" w:hAnsi="Georgia"/>
          <w:color w:val="231F20"/>
          <w:spacing w:val="-17"/>
        </w:rPr>
        <w:t> </w:t>
      </w:r>
      <w:r>
        <w:rPr>
          <w:rFonts w:ascii="Georgia" w:hAnsi="Georgia"/>
          <w:color w:val="231F20"/>
        </w:rPr>
        <w:t>es</w:t>
      </w:r>
      <w:r>
        <w:rPr>
          <w:rFonts w:ascii="Georgia" w:hAnsi="Georgia"/>
          <w:color w:val="231F20"/>
          <w:spacing w:val="-17"/>
        </w:rPr>
        <w:t> </w:t>
      </w:r>
      <w:r>
        <w:rPr>
          <w:rFonts w:ascii="Georgia" w:hAnsi="Georgia"/>
          <w:color w:val="231F20"/>
        </w:rPr>
        <w:t>deformado </w:t>
      </w:r>
      <w:r>
        <w:rPr>
          <w:rFonts w:ascii="Georgia" w:hAnsi="Georgia"/>
          <w:color w:val="231F20"/>
          <w:w w:val="95"/>
        </w:rPr>
        <w:t>por la violencia simbólica –en cuanto implica pretensiones de po- der–,</w:t>
      </w:r>
      <w:r>
        <w:rPr>
          <w:rFonts w:ascii="Georgia" w:hAnsi="Georgia"/>
          <w:color w:val="231F20"/>
          <w:spacing w:val="-11"/>
          <w:w w:val="95"/>
        </w:rPr>
        <w:t> </w:t>
      </w:r>
      <w:r>
        <w:rPr>
          <w:rFonts w:ascii="Georgia" w:hAnsi="Georgia"/>
          <w:color w:val="231F20"/>
          <w:w w:val="95"/>
        </w:rPr>
        <w:t>ya</w:t>
      </w:r>
      <w:r>
        <w:rPr>
          <w:rFonts w:ascii="Georgia" w:hAnsi="Georgia"/>
          <w:color w:val="231F20"/>
          <w:spacing w:val="-11"/>
          <w:w w:val="95"/>
        </w:rPr>
        <w:t> </w:t>
      </w:r>
      <w:r>
        <w:rPr>
          <w:rFonts w:ascii="Georgia" w:hAnsi="Georgia"/>
          <w:color w:val="231F20"/>
          <w:w w:val="95"/>
        </w:rPr>
        <w:t>que</w:t>
      </w:r>
      <w:r>
        <w:rPr>
          <w:rFonts w:ascii="Georgia" w:hAnsi="Georgia"/>
          <w:color w:val="231F20"/>
          <w:spacing w:val="-11"/>
          <w:w w:val="95"/>
        </w:rPr>
        <w:t> </w:t>
      </w:r>
      <w:r>
        <w:rPr>
          <w:rFonts w:ascii="Georgia" w:hAnsi="Georgia"/>
          <w:color w:val="231F20"/>
          <w:w w:val="95"/>
        </w:rPr>
        <w:t>“en</w:t>
      </w:r>
      <w:r>
        <w:rPr>
          <w:rFonts w:ascii="Georgia" w:hAnsi="Georgia"/>
          <w:color w:val="231F20"/>
          <w:spacing w:val="-10"/>
          <w:w w:val="95"/>
        </w:rPr>
        <w:t> </w:t>
      </w:r>
      <w:r>
        <w:rPr>
          <w:rFonts w:ascii="Georgia" w:hAnsi="Georgia"/>
          <w:color w:val="231F20"/>
          <w:w w:val="95"/>
        </w:rPr>
        <w:t>el</w:t>
      </w:r>
      <w:r>
        <w:rPr>
          <w:rFonts w:ascii="Georgia" w:hAnsi="Georgia"/>
          <w:color w:val="231F20"/>
          <w:spacing w:val="-11"/>
          <w:w w:val="95"/>
        </w:rPr>
        <w:t> </w:t>
      </w:r>
      <w:r>
        <w:rPr>
          <w:rFonts w:ascii="Georgia" w:hAnsi="Georgia"/>
          <w:color w:val="231F20"/>
          <w:w w:val="95"/>
        </w:rPr>
        <w:t>contacto</w:t>
      </w:r>
      <w:r>
        <w:rPr>
          <w:rFonts w:ascii="Georgia" w:hAnsi="Georgia"/>
          <w:color w:val="231F20"/>
          <w:spacing w:val="-10"/>
          <w:w w:val="95"/>
        </w:rPr>
        <w:t> </w:t>
      </w:r>
      <w:r>
        <w:rPr>
          <w:rFonts w:ascii="Georgia" w:hAnsi="Georgia"/>
          <w:color w:val="231F20"/>
          <w:w w:val="95"/>
        </w:rPr>
        <w:t>elemental</w:t>
      </w:r>
      <w:r>
        <w:rPr>
          <w:rFonts w:ascii="Georgia" w:hAnsi="Georgia"/>
          <w:color w:val="231F20"/>
          <w:spacing w:val="-11"/>
          <w:w w:val="95"/>
        </w:rPr>
        <w:t> </w:t>
      </w:r>
      <w:r>
        <w:rPr>
          <w:rFonts w:ascii="Georgia" w:hAnsi="Georgia"/>
          <w:color w:val="231F20"/>
          <w:w w:val="95"/>
        </w:rPr>
        <w:t>nos</w:t>
      </w:r>
      <w:r>
        <w:rPr>
          <w:rFonts w:ascii="Georgia" w:hAnsi="Georgia"/>
          <w:color w:val="231F20"/>
          <w:spacing w:val="-11"/>
          <w:w w:val="95"/>
        </w:rPr>
        <w:t> </w:t>
      </w:r>
      <w:r>
        <w:rPr>
          <w:rFonts w:ascii="Georgia" w:hAnsi="Georgia"/>
          <w:color w:val="231F20"/>
          <w:w w:val="95"/>
        </w:rPr>
        <w:t>sometemos</w:t>
      </w:r>
      <w:r>
        <w:rPr>
          <w:rFonts w:ascii="Georgia" w:hAnsi="Georgia"/>
          <w:color w:val="231F20"/>
          <w:spacing w:val="-11"/>
          <w:w w:val="95"/>
        </w:rPr>
        <w:t> </w:t>
      </w:r>
      <w:r>
        <w:rPr>
          <w:rFonts w:ascii="Georgia" w:hAnsi="Georgia"/>
          <w:color w:val="231F20"/>
          <w:w w:val="95"/>
        </w:rPr>
        <w:t>unos</w:t>
      </w:r>
      <w:r>
        <w:rPr>
          <w:rFonts w:ascii="Georgia" w:hAnsi="Georgia"/>
          <w:color w:val="231F20"/>
          <w:spacing w:val="-11"/>
          <w:w w:val="95"/>
        </w:rPr>
        <w:t> </w:t>
      </w:r>
      <w:r>
        <w:rPr>
          <w:rFonts w:ascii="Georgia" w:hAnsi="Georgia"/>
          <w:color w:val="231F20"/>
          <w:w w:val="95"/>
        </w:rPr>
        <w:t>a</w:t>
      </w:r>
      <w:r>
        <w:rPr>
          <w:rFonts w:ascii="Georgia" w:hAnsi="Georgia"/>
          <w:color w:val="231F20"/>
          <w:spacing w:val="-11"/>
          <w:w w:val="95"/>
        </w:rPr>
        <w:t> </w:t>
      </w:r>
      <w:r>
        <w:rPr>
          <w:rFonts w:ascii="Georgia" w:hAnsi="Georgia"/>
          <w:color w:val="231F20"/>
          <w:w w:val="95"/>
        </w:rPr>
        <w:t>otros en</w:t>
      </w:r>
      <w:r>
        <w:rPr>
          <w:rFonts w:ascii="Georgia" w:hAnsi="Georgia"/>
          <w:color w:val="231F20"/>
          <w:spacing w:val="-12"/>
          <w:w w:val="95"/>
        </w:rPr>
        <w:t> </w:t>
      </w:r>
      <w:r>
        <w:rPr>
          <w:rFonts w:ascii="Georgia" w:hAnsi="Georgia"/>
          <w:color w:val="231F20"/>
          <w:w w:val="95"/>
        </w:rPr>
        <w:t>el</w:t>
      </w:r>
      <w:r>
        <w:rPr>
          <w:rFonts w:ascii="Georgia" w:hAnsi="Georgia"/>
          <w:color w:val="231F20"/>
          <w:spacing w:val="-12"/>
          <w:w w:val="95"/>
        </w:rPr>
        <w:t> </w:t>
      </w:r>
      <w:r>
        <w:rPr>
          <w:rFonts w:ascii="Georgia" w:hAnsi="Georgia"/>
          <w:color w:val="231F20"/>
          <w:w w:val="95"/>
        </w:rPr>
        <w:t>sonido,</w:t>
      </w:r>
      <w:r>
        <w:rPr>
          <w:rFonts w:ascii="Georgia" w:hAnsi="Georgia"/>
          <w:color w:val="231F20"/>
          <w:spacing w:val="-12"/>
          <w:w w:val="95"/>
        </w:rPr>
        <w:t> </w:t>
      </w:r>
      <w:r>
        <w:rPr>
          <w:rFonts w:ascii="Georgia" w:hAnsi="Georgia"/>
          <w:color w:val="231F20"/>
          <w:w w:val="95"/>
        </w:rPr>
        <w:t>en</w:t>
      </w:r>
      <w:r>
        <w:rPr>
          <w:rFonts w:ascii="Georgia" w:hAnsi="Georgia"/>
          <w:color w:val="231F20"/>
          <w:spacing w:val="-12"/>
          <w:w w:val="95"/>
        </w:rPr>
        <w:t> </w:t>
      </w:r>
      <w:r>
        <w:rPr>
          <w:rFonts w:ascii="Georgia" w:hAnsi="Georgia"/>
          <w:color w:val="231F20"/>
          <w:w w:val="95"/>
        </w:rPr>
        <w:t>el</w:t>
      </w:r>
      <w:r>
        <w:rPr>
          <w:rFonts w:ascii="Georgia" w:hAnsi="Georgia"/>
          <w:color w:val="231F20"/>
          <w:spacing w:val="-12"/>
          <w:w w:val="95"/>
        </w:rPr>
        <w:t> </w:t>
      </w:r>
      <w:r>
        <w:rPr>
          <w:rFonts w:ascii="Georgia" w:hAnsi="Georgia"/>
          <w:color w:val="231F20"/>
          <w:w w:val="95"/>
        </w:rPr>
        <w:t>gesto,</w:t>
      </w:r>
      <w:r>
        <w:rPr>
          <w:rFonts w:ascii="Georgia" w:hAnsi="Georgia"/>
          <w:color w:val="231F20"/>
          <w:spacing w:val="-12"/>
          <w:w w:val="95"/>
        </w:rPr>
        <w:t> </w:t>
      </w:r>
      <w:r>
        <w:rPr>
          <w:rFonts w:ascii="Georgia" w:hAnsi="Georgia"/>
          <w:color w:val="231F20"/>
          <w:w w:val="95"/>
        </w:rPr>
        <w:t>en</w:t>
      </w:r>
      <w:r>
        <w:rPr>
          <w:rFonts w:ascii="Georgia" w:hAnsi="Georgia"/>
          <w:color w:val="231F20"/>
          <w:spacing w:val="-12"/>
          <w:w w:val="95"/>
        </w:rPr>
        <w:t> </w:t>
      </w:r>
      <w:r>
        <w:rPr>
          <w:rFonts w:ascii="Georgia" w:hAnsi="Georgia"/>
          <w:color w:val="231F20"/>
          <w:w w:val="95"/>
        </w:rPr>
        <w:t>la</w:t>
      </w:r>
      <w:r>
        <w:rPr>
          <w:rFonts w:ascii="Georgia" w:hAnsi="Georgia"/>
          <w:color w:val="231F20"/>
          <w:spacing w:val="-12"/>
          <w:w w:val="95"/>
        </w:rPr>
        <w:t> </w:t>
      </w:r>
      <w:r>
        <w:rPr>
          <w:rFonts w:ascii="Georgia" w:hAnsi="Georgia"/>
          <w:color w:val="231F20"/>
          <w:w w:val="95"/>
        </w:rPr>
        <w:t>mímica</w:t>
      </w:r>
      <w:r>
        <w:rPr>
          <w:rFonts w:ascii="Georgia" w:hAnsi="Georgia"/>
          <w:color w:val="231F20"/>
          <w:spacing w:val="-12"/>
          <w:w w:val="95"/>
        </w:rPr>
        <w:t> </w:t>
      </w:r>
      <w:r>
        <w:rPr>
          <w:rFonts w:ascii="Georgia" w:hAnsi="Georgia"/>
          <w:color w:val="231F20"/>
          <w:w w:val="95"/>
        </w:rPr>
        <w:t>y,</w:t>
      </w:r>
      <w:r>
        <w:rPr>
          <w:rFonts w:ascii="Georgia" w:hAnsi="Georgia"/>
          <w:color w:val="231F20"/>
          <w:spacing w:val="-12"/>
          <w:w w:val="95"/>
        </w:rPr>
        <w:t> </w:t>
      </w:r>
      <w:r>
        <w:rPr>
          <w:rFonts w:ascii="Georgia" w:hAnsi="Georgia"/>
          <w:color w:val="231F20"/>
          <w:w w:val="95"/>
        </w:rPr>
        <w:t>finalmente,</w:t>
      </w:r>
      <w:r>
        <w:rPr>
          <w:rFonts w:ascii="Georgia" w:hAnsi="Georgia"/>
          <w:color w:val="231F20"/>
          <w:spacing w:val="-12"/>
          <w:w w:val="95"/>
        </w:rPr>
        <w:t> </w:t>
      </w:r>
      <w:r>
        <w:rPr>
          <w:rFonts w:ascii="Georgia" w:hAnsi="Georgia"/>
          <w:color w:val="231F20"/>
          <w:w w:val="95"/>
        </w:rPr>
        <w:t>en</w:t>
      </w:r>
      <w:r>
        <w:rPr>
          <w:rFonts w:ascii="Georgia" w:hAnsi="Georgia"/>
          <w:color w:val="231F20"/>
          <w:spacing w:val="-12"/>
          <w:w w:val="95"/>
        </w:rPr>
        <w:t> </w:t>
      </w:r>
      <w:r>
        <w:rPr>
          <w:rFonts w:ascii="Georgia" w:hAnsi="Georgia"/>
          <w:color w:val="231F20"/>
          <w:w w:val="95"/>
        </w:rPr>
        <w:t>el</w:t>
      </w:r>
      <w:r>
        <w:rPr>
          <w:rFonts w:ascii="Georgia" w:hAnsi="Georgia"/>
          <w:color w:val="231F20"/>
          <w:spacing w:val="-12"/>
          <w:w w:val="95"/>
        </w:rPr>
        <w:t> </w:t>
      </w:r>
      <w:r>
        <w:rPr>
          <w:rFonts w:ascii="Georgia" w:hAnsi="Georgia"/>
          <w:color w:val="231F20"/>
          <w:w w:val="95"/>
        </w:rPr>
        <w:t>tacto.</w:t>
      </w:r>
      <w:r>
        <w:rPr>
          <w:rFonts w:ascii="Georgia" w:hAnsi="Georgia"/>
          <w:color w:val="231F20"/>
          <w:spacing w:val="-12"/>
          <w:w w:val="95"/>
        </w:rPr>
        <w:t> </w:t>
      </w:r>
      <w:r>
        <w:rPr>
          <w:rFonts w:ascii="Georgia" w:hAnsi="Georgia"/>
          <w:color w:val="231F20"/>
          <w:w w:val="95"/>
        </w:rPr>
        <w:t>Los medios</w:t>
      </w:r>
      <w:r>
        <w:rPr>
          <w:rFonts w:ascii="Georgia" w:hAnsi="Georgia"/>
          <w:color w:val="231F20"/>
          <w:spacing w:val="-10"/>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la</w:t>
      </w:r>
      <w:r>
        <w:rPr>
          <w:rFonts w:ascii="Georgia" w:hAnsi="Georgia"/>
          <w:color w:val="231F20"/>
          <w:spacing w:val="-10"/>
          <w:w w:val="95"/>
        </w:rPr>
        <w:t> </w:t>
      </w:r>
      <w:r>
        <w:rPr>
          <w:rFonts w:ascii="Georgia" w:hAnsi="Georgia"/>
          <w:color w:val="231F20"/>
          <w:w w:val="95"/>
        </w:rPr>
        <w:t>prensa</w:t>
      </w:r>
      <w:r>
        <w:rPr>
          <w:rFonts w:ascii="Georgia" w:hAnsi="Georgia"/>
          <w:color w:val="231F20"/>
          <w:spacing w:val="-10"/>
          <w:w w:val="95"/>
        </w:rPr>
        <w:t> </w:t>
      </w:r>
      <w:r>
        <w:rPr>
          <w:rFonts w:ascii="Georgia" w:hAnsi="Georgia"/>
          <w:color w:val="231F20"/>
          <w:w w:val="95"/>
        </w:rPr>
        <w:t>y</w:t>
      </w:r>
      <w:r>
        <w:rPr>
          <w:rFonts w:ascii="Georgia" w:hAnsi="Georgia"/>
          <w:color w:val="231F20"/>
          <w:spacing w:val="-10"/>
          <w:w w:val="95"/>
        </w:rPr>
        <w:t> </w:t>
      </w:r>
      <w:r>
        <w:rPr>
          <w:rFonts w:ascii="Georgia" w:hAnsi="Georgia"/>
          <w:color w:val="231F20"/>
          <w:w w:val="95"/>
        </w:rPr>
        <w:t>los</w:t>
      </w:r>
      <w:r>
        <w:rPr>
          <w:rFonts w:ascii="Georgia" w:hAnsi="Georgia"/>
          <w:color w:val="231F20"/>
          <w:spacing w:val="-10"/>
          <w:w w:val="95"/>
        </w:rPr>
        <w:t> </w:t>
      </w:r>
      <w:r>
        <w:rPr>
          <w:rFonts w:ascii="Georgia" w:hAnsi="Georgia"/>
          <w:color w:val="231F20"/>
          <w:w w:val="95"/>
        </w:rPr>
        <w:t>medios</w:t>
      </w:r>
      <w:r>
        <w:rPr>
          <w:rFonts w:ascii="Georgia" w:hAnsi="Georgia"/>
          <w:color w:val="231F20"/>
          <w:spacing w:val="-10"/>
          <w:w w:val="95"/>
        </w:rPr>
        <w:t> </w:t>
      </w:r>
      <w:r>
        <w:rPr>
          <w:rFonts w:ascii="Georgia" w:hAnsi="Georgia"/>
          <w:color w:val="231F20"/>
          <w:w w:val="95"/>
        </w:rPr>
        <w:t>electrónicos</w:t>
      </w:r>
      <w:r>
        <w:rPr>
          <w:rFonts w:ascii="Georgia" w:hAnsi="Georgia"/>
          <w:color w:val="231F20"/>
          <w:spacing w:val="-10"/>
          <w:w w:val="95"/>
        </w:rPr>
        <w:t> </w:t>
      </w:r>
      <w:r>
        <w:rPr>
          <w:rFonts w:ascii="Georgia" w:hAnsi="Georgia"/>
          <w:color w:val="231F20"/>
          <w:w w:val="95"/>
        </w:rPr>
        <w:t>reproducen</w:t>
      </w:r>
      <w:r>
        <w:rPr>
          <w:rFonts w:ascii="Georgia" w:hAnsi="Georgia"/>
          <w:color w:val="231F20"/>
          <w:spacing w:val="-10"/>
          <w:w w:val="95"/>
        </w:rPr>
        <w:t> </w:t>
      </w:r>
      <w:r>
        <w:rPr>
          <w:rFonts w:ascii="Georgia" w:hAnsi="Georgia"/>
          <w:color w:val="231F20"/>
          <w:w w:val="95"/>
        </w:rPr>
        <w:t>este</w:t>
      </w:r>
      <w:r>
        <w:rPr>
          <w:rFonts w:ascii="Georgia" w:hAnsi="Georgia"/>
          <w:color w:val="231F20"/>
          <w:spacing w:val="-10"/>
          <w:w w:val="95"/>
        </w:rPr>
        <w:t> </w:t>
      </w:r>
      <w:r>
        <w:rPr>
          <w:rFonts w:ascii="Georgia" w:hAnsi="Georgia"/>
          <w:color w:val="231F20"/>
          <w:spacing w:val="2"/>
          <w:w w:val="95"/>
        </w:rPr>
        <w:t>mo- </w:t>
      </w:r>
      <w:r>
        <w:rPr>
          <w:rFonts w:ascii="Georgia" w:hAnsi="Georgia"/>
          <w:color w:val="231F20"/>
          <w:w w:val="95"/>
        </w:rPr>
        <w:t>delo</w:t>
      </w:r>
      <w:r>
        <w:rPr>
          <w:rFonts w:ascii="Georgia" w:hAnsi="Georgia"/>
          <w:color w:val="231F20"/>
          <w:spacing w:val="-10"/>
          <w:w w:val="95"/>
        </w:rPr>
        <w:t> </w:t>
      </w:r>
      <w:r>
        <w:rPr>
          <w:rFonts w:ascii="Georgia" w:hAnsi="Georgia"/>
          <w:color w:val="231F20"/>
          <w:w w:val="95"/>
        </w:rPr>
        <w:t>básico</w:t>
      </w:r>
      <w:r>
        <w:rPr>
          <w:rFonts w:ascii="Georgia" w:hAnsi="Georgia"/>
          <w:color w:val="231F20"/>
          <w:spacing w:val="-10"/>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la</w:t>
      </w:r>
      <w:r>
        <w:rPr>
          <w:rFonts w:ascii="Georgia" w:hAnsi="Georgia"/>
          <w:color w:val="231F20"/>
          <w:spacing w:val="-10"/>
          <w:w w:val="95"/>
        </w:rPr>
        <w:t> </w:t>
      </w:r>
      <w:r>
        <w:rPr>
          <w:rFonts w:ascii="Georgia" w:hAnsi="Georgia"/>
          <w:color w:val="231F20"/>
          <w:w w:val="95"/>
        </w:rPr>
        <w:t>violencia</w:t>
      </w:r>
      <w:r>
        <w:rPr>
          <w:rFonts w:ascii="Georgia" w:hAnsi="Georgia"/>
          <w:color w:val="231F20"/>
          <w:spacing w:val="-10"/>
          <w:w w:val="95"/>
        </w:rPr>
        <w:t> </w:t>
      </w:r>
      <w:r>
        <w:rPr>
          <w:rFonts w:ascii="Georgia" w:hAnsi="Georgia"/>
          <w:color w:val="231F20"/>
          <w:w w:val="95"/>
        </w:rPr>
        <w:t>simbólica.</w:t>
      </w:r>
      <w:r>
        <w:rPr>
          <w:rFonts w:ascii="Georgia" w:hAnsi="Georgia"/>
          <w:color w:val="231F20"/>
          <w:spacing w:val="-10"/>
          <w:w w:val="95"/>
        </w:rPr>
        <w:t> </w:t>
      </w:r>
      <w:r>
        <w:rPr>
          <w:rFonts w:ascii="Georgia" w:hAnsi="Georgia"/>
          <w:color w:val="231F20"/>
          <w:w w:val="95"/>
        </w:rPr>
        <w:t>Hacen</w:t>
      </w:r>
      <w:r>
        <w:rPr>
          <w:rFonts w:ascii="Georgia" w:hAnsi="Georgia"/>
          <w:color w:val="231F20"/>
          <w:spacing w:val="-10"/>
          <w:w w:val="95"/>
        </w:rPr>
        <w:t> </w:t>
      </w:r>
      <w:r>
        <w:rPr>
          <w:rFonts w:ascii="Georgia" w:hAnsi="Georgia"/>
          <w:color w:val="231F20"/>
          <w:w w:val="95"/>
        </w:rPr>
        <w:t>que</w:t>
      </w:r>
      <w:r>
        <w:rPr>
          <w:rFonts w:ascii="Georgia" w:hAnsi="Georgia"/>
          <w:color w:val="231F20"/>
          <w:spacing w:val="-8"/>
          <w:w w:val="95"/>
        </w:rPr>
        <w:t> </w:t>
      </w:r>
      <w:r>
        <w:rPr>
          <w:rFonts w:ascii="Georgia" w:hAnsi="Georgia"/>
          <w:color w:val="231F20"/>
          <w:w w:val="95"/>
        </w:rPr>
        <w:t>determinados</w:t>
      </w:r>
      <w:r>
        <w:rPr>
          <w:rFonts w:ascii="Georgia" w:hAnsi="Georgia"/>
          <w:color w:val="231F20"/>
          <w:spacing w:val="-10"/>
          <w:w w:val="95"/>
        </w:rPr>
        <w:t> </w:t>
      </w:r>
      <w:r>
        <w:rPr>
          <w:rFonts w:ascii="Georgia" w:hAnsi="Georgia"/>
          <w:color w:val="231F20"/>
          <w:w w:val="95"/>
        </w:rPr>
        <w:t>sig- nificados adquieran </w:t>
      </w:r>
      <w:r>
        <w:rPr>
          <w:i/>
          <w:color w:val="231F20"/>
          <w:w w:val="95"/>
        </w:rPr>
        <w:t>validez</w:t>
      </w:r>
      <w:r>
        <w:rPr>
          <w:rFonts w:ascii="Georgia" w:hAnsi="Georgia"/>
          <w:color w:val="231F20"/>
          <w:w w:val="95"/>
        </w:rPr>
        <w:t>” (Pross y Romano, 1989:76), pero jus- tamente, presuponer un orden básico lesirve para ubicar aquello que</w:t>
      </w:r>
      <w:r>
        <w:rPr>
          <w:rFonts w:ascii="Georgia" w:hAnsi="Georgia"/>
          <w:color w:val="231F20"/>
          <w:spacing w:val="-12"/>
          <w:w w:val="95"/>
        </w:rPr>
        <w:t> </w:t>
      </w:r>
      <w:r>
        <w:rPr>
          <w:rFonts w:ascii="Georgia" w:hAnsi="Georgia"/>
          <w:color w:val="231F20"/>
          <w:w w:val="95"/>
        </w:rPr>
        <w:t>es</w:t>
      </w:r>
      <w:r>
        <w:rPr>
          <w:rFonts w:ascii="Georgia" w:hAnsi="Georgia"/>
          <w:color w:val="231F20"/>
          <w:spacing w:val="-12"/>
          <w:w w:val="95"/>
        </w:rPr>
        <w:t> </w:t>
      </w:r>
      <w:r>
        <w:rPr>
          <w:rFonts w:ascii="Georgia" w:hAnsi="Georgia"/>
          <w:color w:val="231F20"/>
          <w:w w:val="95"/>
        </w:rPr>
        <w:t>deformado,</w:t>
      </w:r>
      <w:r>
        <w:rPr>
          <w:rFonts w:ascii="Georgia" w:hAnsi="Georgia"/>
          <w:color w:val="231F20"/>
          <w:spacing w:val="-12"/>
          <w:w w:val="95"/>
        </w:rPr>
        <w:t> </w:t>
      </w:r>
      <w:r>
        <w:rPr>
          <w:rFonts w:ascii="Georgia" w:hAnsi="Georgia"/>
          <w:color w:val="231F20"/>
          <w:w w:val="95"/>
        </w:rPr>
        <w:t>disminuido,</w:t>
      </w:r>
      <w:r>
        <w:rPr>
          <w:rFonts w:ascii="Georgia" w:hAnsi="Georgia"/>
          <w:color w:val="231F20"/>
          <w:spacing w:val="-12"/>
          <w:w w:val="95"/>
        </w:rPr>
        <w:t> </w:t>
      </w:r>
      <w:r>
        <w:rPr>
          <w:rFonts w:ascii="Georgia" w:hAnsi="Georgia"/>
          <w:color w:val="231F20"/>
          <w:w w:val="95"/>
        </w:rPr>
        <w:t>o</w:t>
      </w:r>
      <w:r>
        <w:rPr>
          <w:rFonts w:ascii="Georgia" w:hAnsi="Georgia"/>
          <w:color w:val="231F20"/>
          <w:spacing w:val="-11"/>
          <w:w w:val="95"/>
        </w:rPr>
        <w:t> </w:t>
      </w:r>
      <w:r>
        <w:rPr>
          <w:rFonts w:ascii="Georgia" w:hAnsi="Georgia"/>
          <w:color w:val="231F20"/>
          <w:w w:val="95"/>
        </w:rPr>
        <w:t>perdido</w:t>
      </w:r>
      <w:r>
        <w:rPr>
          <w:rFonts w:ascii="Georgia" w:hAnsi="Georgia"/>
          <w:color w:val="231F20"/>
          <w:spacing w:val="-11"/>
          <w:w w:val="95"/>
        </w:rPr>
        <w:t> </w:t>
      </w:r>
      <w:r>
        <w:rPr>
          <w:rFonts w:ascii="Georgia" w:hAnsi="Georgia"/>
          <w:color w:val="231F20"/>
          <w:w w:val="95"/>
        </w:rPr>
        <w:t>en</w:t>
      </w:r>
      <w:r>
        <w:rPr>
          <w:rFonts w:ascii="Georgia" w:hAnsi="Georgia"/>
          <w:color w:val="231F20"/>
          <w:spacing w:val="-11"/>
          <w:w w:val="95"/>
        </w:rPr>
        <w:t> </w:t>
      </w:r>
      <w:r>
        <w:rPr>
          <w:rFonts w:ascii="Georgia" w:hAnsi="Georgia"/>
          <w:color w:val="231F20"/>
          <w:w w:val="95"/>
        </w:rPr>
        <w:t>la</w:t>
      </w:r>
      <w:r>
        <w:rPr>
          <w:rFonts w:ascii="Georgia" w:hAnsi="Georgia"/>
          <w:color w:val="231F20"/>
          <w:spacing w:val="-12"/>
          <w:w w:val="95"/>
        </w:rPr>
        <w:t> </w:t>
      </w:r>
      <w:r>
        <w:rPr>
          <w:rFonts w:ascii="Georgia" w:hAnsi="Georgia"/>
          <w:color w:val="231F20"/>
          <w:w w:val="95"/>
        </w:rPr>
        <w:t>comunicación</w:t>
      </w:r>
      <w:r>
        <w:rPr>
          <w:rFonts w:ascii="Georgia" w:hAnsi="Georgia"/>
          <w:color w:val="231F20"/>
          <w:spacing w:val="-11"/>
          <w:w w:val="95"/>
        </w:rPr>
        <w:t> </w:t>
      </w:r>
      <w:r>
        <w:rPr>
          <w:rFonts w:ascii="Georgia" w:hAnsi="Georgia"/>
          <w:color w:val="231F20"/>
          <w:w w:val="95"/>
        </w:rPr>
        <w:t>entre sujetos, de tal manera que la violencia simbólica se presenta</w:t>
      </w:r>
      <w:r>
        <w:rPr>
          <w:rFonts w:ascii="Georgia" w:hAnsi="Georgia"/>
          <w:color w:val="231F20"/>
          <w:spacing w:val="-34"/>
          <w:w w:val="95"/>
        </w:rPr>
        <w:t> </w:t>
      </w:r>
      <w:r>
        <w:rPr>
          <w:rFonts w:ascii="Georgia" w:hAnsi="Georgia"/>
          <w:color w:val="231F20"/>
          <w:w w:val="95"/>
        </w:rPr>
        <w:t>como capacidad</w:t>
      </w:r>
      <w:r>
        <w:rPr>
          <w:rFonts w:ascii="Georgia" w:hAnsi="Georgia"/>
          <w:color w:val="231F20"/>
          <w:spacing w:val="-11"/>
          <w:w w:val="95"/>
        </w:rPr>
        <w:t> </w:t>
      </w:r>
      <w:r>
        <w:rPr>
          <w:rFonts w:ascii="Georgia" w:hAnsi="Georgia"/>
          <w:color w:val="231F20"/>
          <w:w w:val="95"/>
        </w:rPr>
        <w:t>de</w:t>
      </w:r>
      <w:r>
        <w:rPr>
          <w:rFonts w:ascii="Georgia" w:hAnsi="Georgia"/>
          <w:color w:val="231F20"/>
          <w:spacing w:val="-12"/>
          <w:w w:val="95"/>
        </w:rPr>
        <w:t> </w:t>
      </w:r>
      <w:r>
        <w:rPr>
          <w:rFonts w:ascii="Georgia" w:hAnsi="Georgia"/>
          <w:color w:val="231F20"/>
          <w:w w:val="95"/>
        </w:rPr>
        <w:t>imponer</w:t>
      </w:r>
      <w:r>
        <w:rPr>
          <w:rFonts w:ascii="Georgia" w:hAnsi="Georgia"/>
          <w:color w:val="231F20"/>
          <w:spacing w:val="-12"/>
          <w:w w:val="95"/>
        </w:rPr>
        <w:t> </w:t>
      </w:r>
      <w:r>
        <w:rPr>
          <w:rFonts w:ascii="Georgia" w:hAnsi="Georgia"/>
          <w:color w:val="231F20"/>
          <w:w w:val="95"/>
        </w:rPr>
        <w:t>símbolos</w:t>
      </w:r>
      <w:r>
        <w:rPr>
          <w:rFonts w:ascii="Georgia" w:hAnsi="Georgia"/>
          <w:color w:val="231F20"/>
          <w:spacing w:val="-12"/>
          <w:w w:val="95"/>
        </w:rPr>
        <w:t> </w:t>
      </w:r>
      <w:r>
        <w:rPr>
          <w:rFonts w:ascii="Georgia" w:hAnsi="Georgia"/>
          <w:color w:val="231F20"/>
          <w:w w:val="95"/>
        </w:rPr>
        <w:t>en</w:t>
      </w:r>
      <w:r>
        <w:rPr>
          <w:rFonts w:ascii="Georgia" w:hAnsi="Georgia"/>
          <w:color w:val="231F20"/>
          <w:spacing w:val="-11"/>
          <w:w w:val="95"/>
        </w:rPr>
        <w:t> </w:t>
      </w:r>
      <w:r>
        <w:rPr>
          <w:rFonts w:ascii="Georgia" w:hAnsi="Georgia"/>
          <w:color w:val="231F20"/>
          <w:w w:val="95"/>
        </w:rPr>
        <w:t>un</w:t>
      </w:r>
      <w:r>
        <w:rPr>
          <w:rFonts w:ascii="Georgia" w:hAnsi="Georgia"/>
          <w:color w:val="231F20"/>
          <w:spacing w:val="-11"/>
          <w:w w:val="95"/>
        </w:rPr>
        <w:t> </w:t>
      </w:r>
      <w:r>
        <w:rPr>
          <w:rFonts w:ascii="Georgia" w:hAnsi="Georgia"/>
          <w:color w:val="231F20"/>
          <w:w w:val="95"/>
        </w:rPr>
        <w:t>tiempo</w:t>
      </w:r>
      <w:r>
        <w:rPr>
          <w:rFonts w:ascii="Georgia" w:hAnsi="Georgia"/>
          <w:color w:val="231F20"/>
          <w:spacing w:val="-11"/>
          <w:w w:val="95"/>
        </w:rPr>
        <w:t> </w:t>
      </w:r>
      <w:r>
        <w:rPr>
          <w:rFonts w:ascii="Georgia" w:hAnsi="Georgia"/>
          <w:color w:val="231F20"/>
          <w:w w:val="95"/>
        </w:rPr>
        <w:t>y</w:t>
      </w:r>
      <w:r>
        <w:rPr>
          <w:rFonts w:ascii="Georgia" w:hAnsi="Georgia"/>
          <w:color w:val="231F20"/>
          <w:spacing w:val="-12"/>
          <w:w w:val="95"/>
        </w:rPr>
        <w:t> </w:t>
      </w:r>
      <w:r>
        <w:rPr>
          <w:rFonts w:ascii="Georgia" w:hAnsi="Georgia"/>
          <w:color w:val="231F20"/>
          <w:w w:val="95"/>
        </w:rPr>
        <w:t>espacio</w:t>
      </w:r>
      <w:r>
        <w:rPr>
          <w:rFonts w:ascii="Georgia" w:hAnsi="Georgia"/>
          <w:color w:val="231F20"/>
          <w:spacing w:val="-11"/>
          <w:w w:val="95"/>
        </w:rPr>
        <w:t> </w:t>
      </w:r>
      <w:r>
        <w:rPr>
          <w:rFonts w:ascii="Georgia" w:hAnsi="Georgia"/>
          <w:color w:val="231F20"/>
          <w:w w:val="95"/>
        </w:rPr>
        <w:t>determina- </w:t>
      </w:r>
      <w:r>
        <w:rPr>
          <w:rFonts w:ascii="Georgia" w:hAnsi="Georgia"/>
          <w:color w:val="231F20"/>
        </w:rPr>
        <w:t>dos</w:t>
      </w:r>
      <w:r>
        <w:rPr>
          <w:rFonts w:ascii="Georgia" w:hAnsi="Georgia"/>
          <w:color w:val="231F20"/>
          <w:spacing w:val="-23"/>
        </w:rPr>
        <w:t> </w:t>
      </w:r>
      <w:r>
        <w:rPr>
          <w:rFonts w:ascii="Georgia" w:hAnsi="Georgia"/>
          <w:color w:val="231F20"/>
        </w:rPr>
        <w:t>que</w:t>
      </w:r>
      <w:r>
        <w:rPr>
          <w:rFonts w:ascii="Georgia" w:hAnsi="Georgia"/>
          <w:color w:val="231F20"/>
          <w:spacing w:val="-23"/>
        </w:rPr>
        <w:t> </w:t>
      </w:r>
      <w:r>
        <w:rPr>
          <w:rFonts w:ascii="Georgia" w:hAnsi="Georgia"/>
          <w:color w:val="231F20"/>
        </w:rPr>
        <w:t>aluden</w:t>
      </w:r>
      <w:r>
        <w:rPr>
          <w:rFonts w:ascii="Georgia" w:hAnsi="Georgia"/>
          <w:color w:val="231F20"/>
          <w:spacing w:val="-23"/>
        </w:rPr>
        <w:t> </w:t>
      </w:r>
      <w:r>
        <w:rPr>
          <w:rFonts w:ascii="Georgia" w:hAnsi="Georgia"/>
          <w:color w:val="231F20"/>
        </w:rPr>
        <w:t>a</w:t>
      </w:r>
      <w:r>
        <w:rPr>
          <w:rFonts w:ascii="Georgia" w:hAnsi="Georgia"/>
          <w:color w:val="231F20"/>
          <w:spacing w:val="-23"/>
        </w:rPr>
        <w:t> </w:t>
      </w:r>
      <w:r>
        <w:rPr>
          <w:rFonts w:ascii="Georgia" w:hAnsi="Georgia"/>
          <w:color w:val="231F20"/>
        </w:rPr>
        <w:t>los</w:t>
      </w:r>
      <w:r>
        <w:rPr>
          <w:rFonts w:ascii="Georgia" w:hAnsi="Georgia"/>
          <w:color w:val="231F20"/>
          <w:spacing w:val="-23"/>
        </w:rPr>
        <w:t> </w:t>
      </w:r>
      <w:r>
        <w:rPr>
          <w:rFonts w:ascii="Georgia" w:hAnsi="Georgia"/>
          <w:color w:val="231F20"/>
        </w:rPr>
        <w:t>valores</w:t>
      </w:r>
      <w:r>
        <w:rPr>
          <w:rFonts w:ascii="Georgia" w:hAnsi="Georgia"/>
          <w:color w:val="231F20"/>
          <w:spacing w:val="-23"/>
        </w:rPr>
        <w:t> </w:t>
      </w:r>
      <w:r>
        <w:rPr>
          <w:rFonts w:ascii="Georgia" w:hAnsi="Georgia"/>
          <w:color w:val="231F20"/>
        </w:rPr>
        <w:t>considerados</w:t>
      </w:r>
      <w:r>
        <w:rPr>
          <w:rFonts w:ascii="Georgia" w:hAnsi="Georgia"/>
          <w:color w:val="231F20"/>
          <w:spacing w:val="-23"/>
        </w:rPr>
        <w:t> </w:t>
      </w:r>
      <w:r>
        <w:rPr>
          <w:rFonts w:ascii="Georgia" w:hAnsi="Georgia"/>
          <w:color w:val="231F20"/>
        </w:rPr>
        <w:t>fundantes</w:t>
      </w:r>
      <w:r>
        <w:rPr>
          <w:rFonts w:ascii="Georgia" w:hAnsi="Georgia"/>
          <w:color w:val="231F20"/>
          <w:spacing w:val="-23"/>
        </w:rPr>
        <w:t> </w:t>
      </w:r>
      <w:r>
        <w:rPr>
          <w:rFonts w:ascii="Georgia" w:hAnsi="Georgia"/>
          <w:color w:val="231F20"/>
        </w:rPr>
        <w:t>de</w:t>
      </w:r>
      <w:r>
        <w:rPr>
          <w:rFonts w:ascii="Georgia" w:hAnsi="Georgia"/>
          <w:color w:val="231F20"/>
          <w:spacing w:val="-23"/>
        </w:rPr>
        <w:t> </w:t>
      </w:r>
      <w:r>
        <w:rPr>
          <w:rFonts w:ascii="Georgia" w:hAnsi="Georgia"/>
          <w:color w:val="231F20"/>
        </w:rPr>
        <w:t>un</w:t>
      </w:r>
      <w:r>
        <w:rPr>
          <w:rFonts w:ascii="Georgia" w:hAnsi="Georgia"/>
          <w:color w:val="231F20"/>
          <w:spacing w:val="-23"/>
        </w:rPr>
        <w:t> </w:t>
      </w:r>
      <w:r>
        <w:rPr>
          <w:rFonts w:ascii="Georgia" w:hAnsi="Georgia"/>
          <w:color w:val="231F20"/>
        </w:rPr>
        <w:t>orden </w:t>
      </w:r>
      <w:r>
        <w:rPr>
          <w:rFonts w:ascii="Georgia" w:hAnsi="Georgia"/>
          <w:color w:val="231F20"/>
          <w:w w:val="95"/>
        </w:rPr>
        <w:t>básico,</w:t>
      </w:r>
      <w:r>
        <w:rPr>
          <w:rFonts w:ascii="Georgia" w:hAnsi="Georgia"/>
          <w:color w:val="231F20"/>
          <w:spacing w:val="-14"/>
          <w:w w:val="95"/>
        </w:rPr>
        <w:t> </w:t>
      </w:r>
      <w:r>
        <w:rPr>
          <w:rFonts w:ascii="Georgia" w:hAnsi="Georgia"/>
          <w:color w:val="231F20"/>
          <w:w w:val="95"/>
        </w:rPr>
        <w:t>de</w:t>
      </w:r>
      <w:r>
        <w:rPr>
          <w:rFonts w:ascii="Georgia" w:hAnsi="Georgia"/>
          <w:color w:val="231F20"/>
          <w:spacing w:val="-14"/>
          <w:w w:val="95"/>
        </w:rPr>
        <w:t> </w:t>
      </w:r>
      <w:r>
        <w:rPr>
          <w:rFonts w:ascii="Georgia" w:hAnsi="Georgia"/>
          <w:color w:val="231F20"/>
          <w:w w:val="95"/>
        </w:rPr>
        <w:t>tal</w:t>
      </w:r>
      <w:r>
        <w:rPr>
          <w:rFonts w:ascii="Georgia" w:hAnsi="Georgia"/>
          <w:color w:val="231F20"/>
          <w:spacing w:val="-15"/>
          <w:w w:val="95"/>
        </w:rPr>
        <w:t> </w:t>
      </w:r>
      <w:r>
        <w:rPr>
          <w:rFonts w:ascii="Georgia" w:hAnsi="Georgia"/>
          <w:color w:val="231F20"/>
          <w:w w:val="95"/>
        </w:rPr>
        <w:t>modo</w:t>
      </w:r>
      <w:r>
        <w:rPr>
          <w:rFonts w:ascii="Georgia" w:hAnsi="Georgia"/>
          <w:color w:val="231F20"/>
          <w:spacing w:val="-14"/>
          <w:w w:val="95"/>
        </w:rPr>
        <w:t> </w:t>
      </w:r>
      <w:r>
        <w:rPr>
          <w:rFonts w:ascii="Georgia" w:hAnsi="Georgia"/>
          <w:color w:val="231F20"/>
          <w:w w:val="95"/>
        </w:rPr>
        <w:t>que</w:t>
      </w:r>
      <w:r>
        <w:rPr>
          <w:rFonts w:ascii="Georgia" w:hAnsi="Georgia"/>
          <w:color w:val="231F20"/>
          <w:spacing w:val="-14"/>
          <w:w w:val="95"/>
        </w:rPr>
        <w:t> </w:t>
      </w:r>
      <w:r>
        <w:rPr>
          <w:rFonts w:ascii="Georgia" w:hAnsi="Georgia"/>
          <w:color w:val="231F20"/>
          <w:w w:val="95"/>
        </w:rPr>
        <w:t>esos</w:t>
      </w:r>
      <w:r>
        <w:rPr>
          <w:rFonts w:ascii="Georgia" w:hAnsi="Georgia"/>
          <w:color w:val="231F20"/>
          <w:spacing w:val="-14"/>
          <w:w w:val="95"/>
        </w:rPr>
        <w:t> </w:t>
      </w:r>
      <w:r>
        <w:rPr>
          <w:rFonts w:ascii="Georgia" w:hAnsi="Georgia"/>
          <w:color w:val="231F20"/>
          <w:w w:val="95"/>
        </w:rPr>
        <w:t>símbolos</w:t>
      </w:r>
      <w:r>
        <w:rPr>
          <w:rFonts w:ascii="Georgia" w:hAnsi="Georgia"/>
          <w:color w:val="231F20"/>
          <w:spacing w:val="-14"/>
          <w:w w:val="95"/>
        </w:rPr>
        <w:t> </w:t>
      </w:r>
      <w:r>
        <w:rPr>
          <w:rFonts w:ascii="Georgia" w:hAnsi="Georgia"/>
          <w:color w:val="231F20"/>
          <w:w w:val="95"/>
        </w:rPr>
        <w:t>están</w:t>
      </w:r>
      <w:r>
        <w:rPr>
          <w:rFonts w:ascii="Georgia" w:hAnsi="Georgia"/>
          <w:color w:val="231F20"/>
          <w:spacing w:val="-14"/>
          <w:w w:val="95"/>
        </w:rPr>
        <w:t> </w:t>
      </w:r>
      <w:r>
        <w:rPr>
          <w:rFonts w:ascii="Georgia" w:hAnsi="Georgia"/>
          <w:color w:val="231F20"/>
          <w:w w:val="95"/>
        </w:rPr>
        <w:t>adheridos</w:t>
      </w:r>
      <w:r>
        <w:rPr>
          <w:rFonts w:ascii="Georgia" w:hAnsi="Georgia"/>
          <w:color w:val="231F20"/>
          <w:spacing w:val="-14"/>
          <w:w w:val="95"/>
        </w:rPr>
        <w:t> </w:t>
      </w:r>
      <w:r>
        <w:rPr>
          <w:rFonts w:ascii="Georgia" w:hAnsi="Georgia"/>
          <w:color w:val="231F20"/>
          <w:w w:val="95"/>
        </w:rPr>
        <w:t>a</w:t>
      </w:r>
      <w:r>
        <w:rPr>
          <w:rFonts w:ascii="Georgia" w:hAnsi="Georgia"/>
          <w:color w:val="231F20"/>
          <w:spacing w:val="-14"/>
          <w:w w:val="95"/>
        </w:rPr>
        <w:t> </w:t>
      </w:r>
      <w:r>
        <w:rPr>
          <w:rFonts w:ascii="Georgia" w:hAnsi="Georgia"/>
          <w:color w:val="231F20"/>
          <w:w w:val="95"/>
        </w:rPr>
        <w:t>un</w:t>
      </w:r>
      <w:r>
        <w:rPr>
          <w:rFonts w:ascii="Georgia" w:hAnsi="Georgia"/>
          <w:color w:val="231F20"/>
          <w:spacing w:val="-14"/>
          <w:w w:val="95"/>
        </w:rPr>
        <w:t> </w:t>
      </w:r>
      <w:r>
        <w:rPr>
          <w:rFonts w:ascii="Georgia" w:hAnsi="Georgia"/>
          <w:color w:val="231F20"/>
          <w:w w:val="95"/>
        </w:rPr>
        <w:t>tiempo, </w:t>
      </w:r>
      <w:r>
        <w:rPr>
          <w:rFonts w:ascii="Georgia" w:hAnsi="Georgia"/>
          <w:color w:val="231F20"/>
        </w:rPr>
        <w:t>a</w:t>
      </w:r>
      <w:r>
        <w:rPr>
          <w:rFonts w:ascii="Georgia" w:hAnsi="Georgia"/>
          <w:color w:val="231F20"/>
          <w:spacing w:val="-19"/>
        </w:rPr>
        <w:t> </w:t>
      </w:r>
      <w:r>
        <w:rPr>
          <w:rFonts w:ascii="Georgia" w:hAnsi="Georgia"/>
          <w:color w:val="231F20"/>
        </w:rPr>
        <w:t>un</w:t>
      </w:r>
      <w:r>
        <w:rPr>
          <w:rFonts w:ascii="Georgia" w:hAnsi="Georgia"/>
          <w:color w:val="231F20"/>
          <w:spacing w:val="-19"/>
        </w:rPr>
        <w:t> </w:t>
      </w:r>
      <w:r>
        <w:rPr>
          <w:rFonts w:ascii="Georgia" w:hAnsi="Georgia"/>
          <w:color w:val="231F20"/>
        </w:rPr>
        <w:t>espacio</w:t>
      </w:r>
      <w:r>
        <w:rPr>
          <w:rFonts w:ascii="Georgia" w:hAnsi="Georgia"/>
          <w:color w:val="231F20"/>
          <w:spacing w:val="-19"/>
        </w:rPr>
        <w:t> </w:t>
      </w:r>
      <w:r>
        <w:rPr>
          <w:rFonts w:ascii="Georgia" w:hAnsi="Georgia"/>
          <w:color w:val="231F20"/>
        </w:rPr>
        <w:t>y</w:t>
      </w:r>
      <w:r>
        <w:rPr>
          <w:rFonts w:ascii="Georgia" w:hAnsi="Georgia"/>
          <w:color w:val="231F20"/>
          <w:spacing w:val="-19"/>
        </w:rPr>
        <w:t> </w:t>
      </w:r>
      <w:r>
        <w:rPr>
          <w:rFonts w:ascii="Georgia" w:hAnsi="Georgia"/>
          <w:color w:val="231F20"/>
        </w:rPr>
        <w:t>a</w:t>
      </w:r>
      <w:r>
        <w:rPr>
          <w:rFonts w:ascii="Georgia" w:hAnsi="Georgia"/>
          <w:color w:val="231F20"/>
          <w:spacing w:val="-19"/>
        </w:rPr>
        <w:t> </w:t>
      </w:r>
      <w:r>
        <w:rPr>
          <w:rFonts w:ascii="Georgia" w:hAnsi="Georgia"/>
          <w:color w:val="231F20"/>
        </w:rPr>
        <w:t>una</w:t>
      </w:r>
      <w:r>
        <w:rPr>
          <w:rFonts w:ascii="Georgia" w:hAnsi="Georgia"/>
          <w:color w:val="231F20"/>
          <w:spacing w:val="-19"/>
        </w:rPr>
        <w:t> </w:t>
      </w:r>
      <w:r>
        <w:rPr>
          <w:rFonts w:ascii="Georgia" w:hAnsi="Georgia"/>
          <w:color w:val="231F20"/>
        </w:rPr>
        <w:t>población:</w:t>
      </w:r>
      <w:r>
        <w:rPr>
          <w:rFonts w:ascii="Georgia" w:hAnsi="Georgia"/>
          <w:color w:val="231F20"/>
          <w:spacing w:val="-20"/>
        </w:rPr>
        <w:t> </w:t>
      </w:r>
      <w:r>
        <w:rPr>
          <w:rFonts w:ascii="Georgia" w:hAnsi="Georgia"/>
          <w:color w:val="231F20"/>
        </w:rPr>
        <w:t>delinean</w:t>
      </w:r>
      <w:r>
        <w:rPr>
          <w:rFonts w:ascii="Georgia" w:hAnsi="Georgia"/>
          <w:color w:val="231F20"/>
          <w:spacing w:val="-19"/>
        </w:rPr>
        <w:t> </w:t>
      </w:r>
      <w:r>
        <w:rPr>
          <w:rFonts w:ascii="Georgia" w:hAnsi="Georgia"/>
          <w:color w:val="231F20"/>
        </w:rPr>
        <w:t>un</w:t>
      </w:r>
      <w:r>
        <w:rPr>
          <w:rFonts w:ascii="Georgia" w:hAnsi="Georgia"/>
          <w:color w:val="231F20"/>
          <w:spacing w:val="-19"/>
        </w:rPr>
        <w:t> </w:t>
      </w:r>
      <w:r>
        <w:rPr>
          <w:rFonts w:ascii="Georgia" w:hAnsi="Georgia"/>
          <w:color w:val="231F20"/>
        </w:rPr>
        <w:t>orden</w:t>
      </w:r>
      <w:r>
        <w:rPr>
          <w:rFonts w:ascii="Georgia" w:hAnsi="Georgia"/>
          <w:color w:val="231F20"/>
          <w:spacing w:val="-19"/>
        </w:rPr>
        <w:t> </w:t>
      </w:r>
      <w:r>
        <w:rPr>
          <w:rFonts w:ascii="Georgia" w:hAnsi="Georgia"/>
          <w:color w:val="231F20"/>
        </w:rPr>
        <w:t>político</w:t>
      </w:r>
      <w:r>
        <w:rPr>
          <w:rFonts w:ascii="Georgia" w:hAnsi="Georgia"/>
          <w:color w:val="231F20"/>
          <w:spacing w:val="-19"/>
        </w:rPr>
        <w:t> </w:t>
      </w:r>
      <w:r>
        <w:rPr>
          <w:rFonts w:ascii="Georgia" w:hAnsi="Georgia"/>
          <w:color w:val="231F20"/>
        </w:rPr>
        <w:t>que</w:t>
      </w:r>
      <w:r>
        <w:rPr>
          <w:rFonts w:ascii="Georgia" w:hAnsi="Georgia"/>
          <w:color w:val="231F20"/>
          <w:spacing w:val="-19"/>
        </w:rPr>
        <w:t> </w:t>
      </w:r>
      <w:r>
        <w:rPr>
          <w:rFonts w:ascii="Georgia" w:hAnsi="Georgia"/>
          <w:color w:val="231F20"/>
        </w:rPr>
        <w:t>se presenta</w:t>
      </w:r>
      <w:r>
        <w:rPr>
          <w:rFonts w:ascii="Georgia" w:hAnsi="Georgia"/>
          <w:color w:val="231F20"/>
          <w:spacing w:val="-23"/>
        </w:rPr>
        <w:t> </w:t>
      </w:r>
      <w:r>
        <w:rPr>
          <w:rFonts w:ascii="Georgia" w:hAnsi="Georgia"/>
          <w:color w:val="231F20"/>
        </w:rPr>
        <w:t>como</w:t>
      </w:r>
      <w:r>
        <w:rPr>
          <w:rFonts w:ascii="Georgia" w:hAnsi="Georgia"/>
          <w:color w:val="231F20"/>
          <w:spacing w:val="-23"/>
        </w:rPr>
        <w:t> </w:t>
      </w:r>
      <w:r>
        <w:rPr>
          <w:rFonts w:ascii="Georgia" w:hAnsi="Georgia"/>
          <w:color w:val="231F20"/>
        </w:rPr>
        <w:t>“acto</w:t>
      </w:r>
      <w:r>
        <w:rPr>
          <w:rFonts w:ascii="Georgia" w:hAnsi="Georgia"/>
          <w:color w:val="231F20"/>
          <w:spacing w:val="-23"/>
        </w:rPr>
        <w:t> </w:t>
      </w:r>
      <w:r>
        <w:rPr>
          <w:rFonts w:ascii="Georgia" w:hAnsi="Georgia"/>
          <w:color w:val="231F20"/>
        </w:rPr>
        <w:t>común</w:t>
      </w:r>
      <w:r>
        <w:rPr>
          <w:rFonts w:ascii="Georgia" w:hAnsi="Georgia"/>
          <w:color w:val="231F20"/>
          <w:spacing w:val="-23"/>
        </w:rPr>
        <w:t> </w:t>
      </w:r>
      <w:r>
        <w:rPr>
          <w:rFonts w:ascii="Georgia" w:hAnsi="Georgia"/>
          <w:color w:val="231F20"/>
        </w:rPr>
        <w:t>de</w:t>
      </w:r>
      <w:r>
        <w:rPr>
          <w:rFonts w:ascii="Georgia" w:hAnsi="Georgia"/>
          <w:color w:val="231F20"/>
          <w:spacing w:val="-23"/>
        </w:rPr>
        <w:t> </w:t>
      </w:r>
      <w:r>
        <w:rPr>
          <w:rFonts w:ascii="Georgia" w:hAnsi="Georgia"/>
          <w:color w:val="231F20"/>
        </w:rPr>
        <w:t>comunicación”</w:t>
      </w:r>
      <w:r>
        <w:rPr>
          <w:rFonts w:ascii="Georgia" w:hAnsi="Georgia"/>
          <w:color w:val="231F20"/>
          <w:spacing w:val="-23"/>
        </w:rPr>
        <w:t> </w:t>
      </w:r>
      <w:r>
        <w:rPr>
          <w:rFonts w:ascii="Georgia" w:hAnsi="Georgia"/>
          <w:color w:val="231F20"/>
        </w:rPr>
        <w:t>(Pross</w:t>
      </w:r>
      <w:r>
        <w:rPr>
          <w:rFonts w:ascii="Georgia" w:hAnsi="Georgia"/>
          <w:color w:val="231F20"/>
          <w:spacing w:val="-23"/>
        </w:rPr>
        <w:t> </w:t>
      </w:r>
      <w:r>
        <w:rPr>
          <w:rFonts w:ascii="Georgia" w:hAnsi="Georgia"/>
          <w:color w:val="231F20"/>
        </w:rPr>
        <w:t>y</w:t>
      </w:r>
      <w:r>
        <w:rPr>
          <w:rFonts w:ascii="Georgia" w:hAnsi="Georgia"/>
          <w:color w:val="231F20"/>
          <w:spacing w:val="-23"/>
        </w:rPr>
        <w:t> </w:t>
      </w:r>
      <w:r>
        <w:rPr>
          <w:rFonts w:ascii="Georgia" w:hAnsi="Georgia"/>
          <w:color w:val="231F20"/>
        </w:rPr>
        <w:t>Romano, 1989:115),</w:t>
      </w:r>
      <w:r>
        <w:rPr>
          <w:rFonts w:ascii="Georgia" w:hAnsi="Georgia"/>
          <w:color w:val="231F20"/>
          <w:spacing w:val="-16"/>
        </w:rPr>
        <w:t> </w:t>
      </w:r>
      <w:r>
        <w:rPr>
          <w:rFonts w:ascii="Georgia" w:hAnsi="Georgia"/>
          <w:color w:val="231F20"/>
        </w:rPr>
        <w:t>así</w:t>
      </w:r>
      <w:r>
        <w:rPr>
          <w:rFonts w:ascii="Georgia" w:hAnsi="Georgia"/>
          <w:color w:val="231F20"/>
          <w:spacing w:val="-16"/>
        </w:rPr>
        <w:t> </w:t>
      </w:r>
      <w:r>
        <w:rPr>
          <w:rFonts w:ascii="Georgia" w:hAnsi="Georgia"/>
          <w:color w:val="231F20"/>
        </w:rPr>
        <w:t>toda</w:t>
      </w:r>
      <w:r>
        <w:rPr>
          <w:rFonts w:ascii="Georgia" w:hAnsi="Georgia"/>
          <w:color w:val="231F20"/>
          <w:spacing w:val="-16"/>
        </w:rPr>
        <w:t> </w:t>
      </w:r>
      <w:r>
        <w:rPr>
          <w:rFonts w:ascii="Georgia" w:hAnsi="Georgia"/>
          <w:color w:val="231F20"/>
        </w:rPr>
        <w:t>la</w:t>
      </w:r>
      <w:r>
        <w:rPr>
          <w:rFonts w:ascii="Georgia" w:hAnsi="Georgia"/>
          <w:color w:val="231F20"/>
          <w:spacing w:val="-16"/>
        </w:rPr>
        <w:t> </w:t>
      </w:r>
      <w:r>
        <w:rPr>
          <w:rFonts w:ascii="Georgia" w:hAnsi="Georgia"/>
          <w:color w:val="231F20"/>
        </w:rPr>
        <w:t>“simbología”</w:t>
      </w:r>
      <w:r>
        <w:rPr>
          <w:rFonts w:ascii="Georgia" w:hAnsi="Georgia"/>
          <w:color w:val="231F20"/>
          <w:spacing w:val="-16"/>
        </w:rPr>
        <w:t> </w:t>
      </w:r>
      <w:r>
        <w:rPr>
          <w:rFonts w:ascii="Georgia" w:hAnsi="Georgia"/>
          <w:color w:val="231F20"/>
        </w:rPr>
        <w:t>se</w:t>
      </w:r>
      <w:r>
        <w:rPr>
          <w:rFonts w:ascii="Georgia" w:hAnsi="Georgia"/>
          <w:color w:val="231F20"/>
          <w:spacing w:val="-16"/>
        </w:rPr>
        <w:t> </w:t>
      </w:r>
      <w:r>
        <w:rPr>
          <w:rFonts w:ascii="Georgia" w:hAnsi="Georgia"/>
          <w:color w:val="231F20"/>
        </w:rPr>
        <w:t>dirige</w:t>
      </w:r>
      <w:r>
        <w:rPr>
          <w:rFonts w:ascii="Georgia" w:hAnsi="Georgia"/>
          <w:color w:val="231F20"/>
          <w:spacing w:val="-16"/>
        </w:rPr>
        <w:t> </w:t>
      </w:r>
      <w:r>
        <w:rPr>
          <w:rFonts w:ascii="Georgia" w:hAnsi="Georgia"/>
          <w:color w:val="231F20"/>
        </w:rPr>
        <w:t>al</w:t>
      </w:r>
      <w:r>
        <w:rPr>
          <w:rFonts w:ascii="Georgia" w:hAnsi="Georgia"/>
          <w:color w:val="231F20"/>
          <w:spacing w:val="-16"/>
        </w:rPr>
        <w:t> </w:t>
      </w:r>
      <w:r>
        <w:rPr>
          <w:rFonts w:ascii="Georgia" w:hAnsi="Georgia"/>
          <w:color w:val="231F20"/>
        </w:rPr>
        <w:t>control</w:t>
      </w:r>
      <w:r>
        <w:rPr>
          <w:rFonts w:ascii="Georgia" w:hAnsi="Georgia"/>
          <w:color w:val="231F20"/>
          <w:spacing w:val="-16"/>
        </w:rPr>
        <w:t> </w:t>
      </w:r>
      <w:r>
        <w:rPr>
          <w:rFonts w:ascii="Georgia" w:hAnsi="Georgia"/>
          <w:color w:val="231F20"/>
        </w:rPr>
        <w:t>social</w:t>
      </w:r>
      <w:r>
        <w:rPr>
          <w:rFonts w:ascii="Georgia" w:hAnsi="Georgia"/>
          <w:color w:val="231F20"/>
          <w:spacing w:val="-16"/>
        </w:rPr>
        <w:t> </w:t>
      </w:r>
      <w:r>
        <w:rPr>
          <w:rFonts w:ascii="Georgia" w:hAnsi="Georgia"/>
          <w:color w:val="231F20"/>
        </w:rPr>
        <w:t>me- </w:t>
      </w:r>
      <w:r>
        <w:rPr>
          <w:rFonts w:ascii="Georgia" w:hAnsi="Georgia"/>
          <w:color w:val="231F20"/>
          <w:w w:val="90"/>
        </w:rPr>
        <w:t>diante procesos comunicativos </w:t>
      </w:r>
      <w:r>
        <w:rPr>
          <w:rFonts w:ascii="Georgia" w:hAnsi="Georgia"/>
          <w:color w:val="231F20"/>
          <w:spacing w:val="17"/>
          <w:w w:val="90"/>
        </w:rPr>
        <w:t> </w:t>
      </w:r>
      <w:r>
        <w:rPr>
          <w:rFonts w:ascii="Georgia" w:hAnsi="Georgia"/>
          <w:color w:val="231F20"/>
          <w:w w:val="90"/>
        </w:rPr>
        <w:t>deformados.</w:t>
      </w:r>
    </w:p>
    <w:p>
      <w:pPr>
        <w:spacing w:after="0" w:line="252" w:lineRule="auto"/>
        <w:jc w:val="both"/>
        <w:rPr>
          <w:rFonts w:ascii="Georgia" w:hAnsi="Georgia"/>
        </w:rPr>
        <w:sectPr>
          <w:headerReference w:type="default" r:id="rId203"/>
          <w:footerReference w:type="default" r:id="rId204"/>
          <w:pgSz w:w="7830" w:h="11910"/>
          <w:pgMar w:header="0" w:footer="424" w:top="500" w:bottom="620" w:left="920" w:right="900"/>
          <w:pgNumType w:start="9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5" w:firstLine="284"/>
        <w:jc w:val="both"/>
      </w:pPr>
      <w:r>
        <w:rPr>
          <w:color w:val="231F20"/>
        </w:rPr>
        <w:t>En realidad los medios de comunicación (prensa, cine) son los mecanismos mediante los cuales la violencia simbólica se instala bajo “una filosofía del </w:t>
      </w:r>
      <w:r>
        <w:rPr>
          <w:i/>
          <w:color w:val="231F20"/>
        </w:rPr>
        <w:t>éxito </w:t>
      </w:r>
      <w:r>
        <w:rPr>
          <w:color w:val="231F20"/>
        </w:rPr>
        <w:t>social </w:t>
      </w:r>
      <w:r>
        <w:rPr>
          <w:i/>
          <w:color w:val="231F20"/>
        </w:rPr>
        <w:t>a cualquier precio</w:t>
      </w:r>
      <w:r>
        <w:rPr>
          <w:color w:val="231F20"/>
        </w:rPr>
        <w:t>”; sin embargo, en lugar de proseguir con el núcleo racional que contiene el argu- mento respecto a que esa filosofía solo es posible en una sociedad donde se ha producido una profunda indiferenciación social res- pecto a las formas de  obtención de  ingresos –es decir, el  trabajo se ha empobrecido, no solo materialmente, sino  intelectualmente–</w:t>
      </w:r>
    </w:p>
    <w:p>
      <w:pPr>
        <w:pStyle w:val="BodyText"/>
        <w:spacing w:line="249" w:lineRule="auto"/>
        <w:ind w:left="101" w:right="113"/>
        <w:jc w:val="both"/>
      </w:pPr>
      <w:r>
        <w:rPr>
          <w:color w:val="231F20"/>
        </w:rPr>
        <w:t>, </w:t>
      </w:r>
      <w:r>
        <w:rPr>
          <w:color w:val="231F20"/>
          <w:spacing w:val="2"/>
        </w:rPr>
        <w:t>Pross termina por establecer </w:t>
      </w:r>
      <w:r>
        <w:rPr>
          <w:color w:val="231F20"/>
        </w:rPr>
        <w:t>un </w:t>
      </w:r>
      <w:r>
        <w:rPr>
          <w:color w:val="231F20"/>
          <w:spacing w:val="2"/>
        </w:rPr>
        <w:t>correlato entre acción violenta </w:t>
      </w:r>
      <w:r>
        <w:rPr>
          <w:color w:val="231F20"/>
        </w:rPr>
        <w:t>y su </w:t>
      </w:r>
      <w:r>
        <w:rPr>
          <w:color w:val="231F20"/>
          <w:spacing w:val="3"/>
        </w:rPr>
        <w:t>promoción </w:t>
      </w:r>
      <w:r>
        <w:rPr>
          <w:color w:val="231F20"/>
        </w:rPr>
        <w:t>a </w:t>
      </w:r>
      <w:r>
        <w:rPr>
          <w:color w:val="231F20"/>
          <w:spacing w:val="2"/>
        </w:rPr>
        <w:t>través </w:t>
      </w:r>
      <w:r>
        <w:rPr>
          <w:color w:val="231F20"/>
        </w:rPr>
        <w:t>de </w:t>
      </w:r>
      <w:r>
        <w:rPr>
          <w:color w:val="231F20"/>
          <w:spacing w:val="3"/>
        </w:rPr>
        <w:t>medios, como </w:t>
      </w:r>
      <w:r>
        <w:rPr>
          <w:color w:val="231F20"/>
        </w:rPr>
        <w:t>las </w:t>
      </w:r>
      <w:r>
        <w:rPr>
          <w:color w:val="231F20"/>
          <w:spacing w:val="2"/>
        </w:rPr>
        <w:t>series </w:t>
      </w:r>
      <w:r>
        <w:rPr>
          <w:color w:val="231F20"/>
        </w:rPr>
        <w:t>de </w:t>
      </w:r>
      <w:r>
        <w:rPr>
          <w:color w:val="231F20"/>
          <w:spacing w:val="2"/>
        </w:rPr>
        <w:t>televisión, </w:t>
      </w:r>
      <w:r>
        <w:rPr>
          <w:color w:val="231F20"/>
          <w:spacing w:val="3"/>
        </w:rPr>
        <w:t>donde</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spacing w:val="2"/>
        </w:rPr>
        <w:t>escena</w:t>
      </w:r>
      <w:r>
        <w:rPr>
          <w:color w:val="231F20"/>
          <w:spacing w:val="-10"/>
        </w:rPr>
        <w:t> </w:t>
      </w:r>
      <w:r>
        <w:rPr>
          <w:color w:val="231F20"/>
          <w:spacing w:val="3"/>
        </w:rPr>
        <w:t>dominada</w:t>
      </w:r>
      <w:r>
        <w:rPr>
          <w:color w:val="231F20"/>
          <w:spacing w:val="-10"/>
        </w:rPr>
        <w:t> </w:t>
      </w:r>
      <w:r>
        <w:rPr>
          <w:color w:val="231F20"/>
          <w:spacing w:val="2"/>
        </w:rPr>
        <w:t>por</w:t>
      </w:r>
      <w:r>
        <w:rPr>
          <w:color w:val="231F20"/>
          <w:spacing w:val="-10"/>
        </w:rPr>
        <w:t> </w:t>
      </w:r>
      <w:r>
        <w:rPr>
          <w:color w:val="231F20"/>
        </w:rPr>
        <w:t>el</w:t>
      </w:r>
      <w:r>
        <w:rPr>
          <w:color w:val="231F20"/>
          <w:spacing w:val="-10"/>
        </w:rPr>
        <w:t> </w:t>
      </w:r>
      <w:r>
        <w:rPr>
          <w:i/>
          <w:color w:val="231F20"/>
          <w:spacing w:val="2"/>
        </w:rPr>
        <w:t>derecho</w:t>
      </w:r>
      <w:r>
        <w:rPr>
          <w:i/>
          <w:color w:val="231F20"/>
          <w:spacing w:val="-10"/>
        </w:rPr>
        <w:t> </w:t>
      </w:r>
      <w:r>
        <w:rPr>
          <w:i/>
          <w:color w:val="231F20"/>
        </w:rPr>
        <w:t>del</w:t>
      </w:r>
      <w:r>
        <w:rPr>
          <w:i/>
          <w:color w:val="231F20"/>
          <w:spacing w:val="-11"/>
        </w:rPr>
        <w:t> </w:t>
      </w:r>
      <w:r>
        <w:rPr>
          <w:i/>
          <w:color w:val="231F20"/>
          <w:spacing w:val="2"/>
        </w:rPr>
        <w:t>más</w:t>
      </w:r>
      <w:r>
        <w:rPr>
          <w:i/>
          <w:color w:val="231F20"/>
          <w:spacing w:val="-10"/>
        </w:rPr>
        <w:t> </w:t>
      </w:r>
      <w:r>
        <w:rPr>
          <w:i/>
          <w:color w:val="231F20"/>
          <w:spacing w:val="2"/>
        </w:rPr>
        <w:t>fuerte</w:t>
      </w:r>
      <w:r>
        <w:rPr>
          <w:color w:val="231F20"/>
          <w:spacing w:val="2"/>
        </w:rPr>
        <w:t>,</w:t>
      </w:r>
      <w:r>
        <w:rPr>
          <w:color w:val="231F20"/>
          <w:spacing w:val="-11"/>
        </w:rPr>
        <w:t> </w:t>
      </w:r>
      <w:r>
        <w:rPr>
          <w:color w:val="231F20"/>
        </w:rPr>
        <w:t>no</w:t>
      </w:r>
      <w:r>
        <w:rPr>
          <w:color w:val="231F20"/>
          <w:spacing w:val="-10"/>
        </w:rPr>
        <w:t> </w:t>
      </w:r>
      <w:r>
        <w:rPr>
          <w:color w:val="231F20"/>
        </w:rPr>
        <w:t>la</w:t>
      </w:r>
      <w:r>
        <w:rPr>
          <w:color w:val="231F20"/>
          <w:spacing w:val="-10"/>
        </w:rPr>
        <w:t> </w:t>
      </w:r>
      <w:r>
        <w:rPr>
          <w:color w:val="231F20"/>
        </w:rPr>
        <w:t>de </w:t>
      </w:r>
      <w:r>
        <w:rPr>
          <w:color w:val="231F20"/>
          <w:spacing w:val="2"/>
        </w:rPr>
        <w:t>los ideales </w:t>
      </w:r>
      <w:r>
        <w:rPr>
          <w:color w:val="231F20"/>
          <w:spacing w:val="3"/>
        </w:rPr>
        <w:t>democráticos </w:t>
      </w:r>
      <w:r>
        <w:rPr>
          <w:color w:val="231F20"/>
        </w:rPr>
        <w:t>de </w:t>
      </w:r>
      <w:r>
        <w:rPr>
          <w:color w:val="231F20"/>
          <w:spacing w:val="2"/>
        </w:rPr>
        <w:t>igualdad </w:t>
      </w:r>
      <w:r>
        <w:rPr>
          <w:color w:val="231F20"/>
        </w:rPr>
        <w:t>y </w:t>
      </w:r>
      <w:r>
        <w:rPr>
          <w:color w:val="231F20"/>
          <w:spacing w:val="2"/>
        </w:rPr>
        <w:t>dignidad </w:t>
      </w:r>
      <w:r>
        <w:rPr>
          <w:color w:val="231F20"/>
          <w:spacing w:val="3"/>
        </w:rPr>
        <w:t>humana, </w:t>
      </w:r>
      <w:r>
        <w:rPr>
          <w:color w:val="231F20"/>
        </w:rPr>
        <w:t>ni </w:t>
      </w:r>
      <w:r>
        <w:rPr>
          <w:color w:val="231F20"/>
          <w:spacing w:val="2"/>
        </w:rPr>
        <w:t>siquie- </w:t>
      </w:r>
      <w:r>
        <w:rPr>
          <w:color w:val="231F20"/>
        </w:rPr>
        <w:t>ra el </w:t>
      </w:r>
      <w:r>
        <w:rPr>
          <w:color w:val="231F20"/>
          <w:spacing w:val="2"/>
        </w:rPr>
        <w:t>orden del Estado </w:t>
      </w:r>
      <w:r>
        <w:rPr>
          <w:color w:val="231F20"/>
        </w:rPr>
        <w:t>de </w:t>
      </w:r>
      <w:r>
        <w:rPr>
          <w:color w:val="231F20"/>
          <w:spacing w:val="3"/>
        </w:rPr>
        <w:t>derecho, </w:t>
      </w:r>
      <w:r>
        <w:rPr>
          <w:color w:val="231F20"/>
          <w:spacing w:val="2"/>
        </w:rPr>
        <w:t>cuyos signos </w:t>
      </w:r>
      <w:r>
        <w:rPr>
          <w:color w:val="231F20"/>
        </w:rPr>
        <w:t>se </w:t>
      </w:r>
      <w:r>
        <w:rPr>
          <w:color w:val="231F20"/>
          <w:spacing w:val="2"/>
        </w:rPr>
        <w:t>exhiben </w:t>
      </w:r>
      <w:r>
        <w:rPr>
          <w:color w:val="231F20"/>
        </w:rPr>
        <w:t>a  fin  de </w:t>
      </w:r>
      <w:r>
        <w:rPr>
          <w:i/>
          <w:color w:val="231F20"/>
          <w:spacing w:val="2"/>
        </w:rPr>
        <w:t>proteger</w:t>
      </w:r>
      <w:r>
        <w:rPr>
          <w:color w:val="231F20"/>
          <w:spacing w:val="2"/>
        </w:rPr>
        <w:t>el derecho </w:t>
      </w:r>
      <w:r>
        <w:rPr>
          <w:color w:val="231F20"/>
        </w:rPr>
        <w:t>a </w:t>
      </w:r>
      <w:r>
        <w:rPr>
          <w:color w:val="231F20"/>
          <w:spacing w:val="2"/>
        </w:rPr>
        <w:t>los que por </w:t>
      </w:r>
      <w:r>
        <w:rPr>
          <w:color w:val="231F20"/>
        </w:rPr>
        <w:t>su </w:t>
      </w:r>
      <w:r>
        <w:rPr>
          <w:color w:val="231F20"/>
          <w:spacing w:val="2"/>
        </w:rPr>
        <w:t>constitución orgánica </w:t>
      </w:r>
      <w:r>
        <w:rPr>
          <w:color w:val="231F20"/>
          <w:spacing w:val="3"/>
        </w:rPr>
        <w:t>son </w:t>
      </w:r>
      <w:r>
        <w:rPr>
          <w:i/>
          <w:color w:val="231F20"/>
          <w:spacing w:val="2"/>
        </w:rPr>
        <w:t>más débiles</w:t>
      </w:r>
      <w:r>
        <w:rPr>
          <w:color w:val="231F20"/>
          <w:spacing w:val="2"/>
        </w:rPr>
        <w:t>. </w:t>
      </w:r>
      <w:r>
        <w:rPr>
          <w:color w:val="231F20"/>
          <w:spacing w:val="3"/>
        </w:rPr>
        <w:t>Donde </w:t>
      </w:r>
      <w:r>
        <w:rPr>
          <w:color w:val="231F20"/>
        </w:rPr>
        <w:t>rige la </w:t>
      </w:r>
      <w:r>
        <w:rPr>
          <w:color w:val="231F20"/>
          <w:spacing w:val="2"/>
        </w:rPr>
        <w:t>violencia </w:t>
      </w:r>
      <w:r>
        <w:rPr>
          <w:color w:val="231F20"/>
        </w:rPr>
        <w:t>no rige el </w:t>
      </w:r>
      <w:r>
        <w:rPr>
          <w:color w:val="231F20"/>
          <w:spacing w:val="2"/>
        </w:rPr>
        <w:t>derecho. </w:t>
      </w:r>
      <w:r>
        <w:rPr>
          <w:color w:val="231F20"/>
        </w:rPr>
        <w:t>Y </w:t>
      </w:r>
      <w:r>
        <w:rPr>
          <w:color w:val="231F20"/>
          <w:spacing w:val="2"/>
        </w:rPr>
        <w:t>donde impera </w:t>
      </w:r>
      <w:r>
        <w:rPr>
          <w:color w:val="231F20"/>
        </w:rPr>
        <w:t>el </w:t>
      </w:r>
      <w:r>
        <w:rPr>
          <w:color w:val="231F20"/>
          <w:spacing w:val="3"/>
        </w:rPr>
        <w:t>derecho, </w:t>
      </w:r>
      <w:r>
        <w:rPr>
          <w:color w:val="231F20"/>
        </w:rPr>
        <w:t>se </w:t>
      </w:r>
      <w:r>
        <w:rPr>
          <w:color w:val="231F20"/>
          <w:spacing w:val="2"/>
        </w:rPr>
        <w:t>dirige contra </w:t>
      </w:r>
      <w:r>
        <w:rPr>
          <w:color w:val="231F20"/>
        </w:rPr>
        <w:t>la </w:t>
      </w:r>
      <w:r>
        <w:rPr>
          <w:color w:val="231F20"/>
          <w:spacing w:val="2"/>
        </w:rPr>
        <w:t>arbitrariedad”, </w:t>
      </w:r>
      <w:r>
        <w:rPr>
          <w:color w:val="231F20"/>
        </w:rPr>
        <w:t>de esa </w:t>
      </w:r>
      <w:r>
        <w:rPr>
          <w:color w:val="231F20"/>
          <w:spacing w:val="3"/>
        </w:rPr>
        <w:t>mane- </w:t>
      </w:r>
      <w:r>
        <w:rPr>
          <w:color w:val="231F20"/>
        </w:rPr>
        <w:t>ra se </w:t>
      </w:r>
      <w:r>
        <w:rPr>
          <w:color w:val="231F20"/>
          <w:spacing w:val="3"/>
        </w:rPr>
        <w:t>impone </w:t>
      </w:r>
      <w:r>
        <w:rPr>
          <w:color w:val="231F20"/>
        </w:rPr>
        <w:t>“la </w:t>
      </w:r>
      <w:r>
        <w:rPr>
          <w:color w:val="231F20"/>
          <w:spacing w:val="2"/>
        </w:rPr>
        <w:t>violencia </w:t>
      </w:r>
      <w:r>
        <w:rPr>
          <w:color w:val="231F20"/>
          <w:spacing w:val="3"/>
        </w:rPr>
        <w:t>simbólica </w:t>
      </w:r>
      <w:r>
        <w:rPr>
          <w:color w:val="231F20"/>
          <w:spacing w:val="2"/>
        </w:rPr>
        <w:t>del </w:t>
      </w:r>
      <w:r>
        <w:rPr>
          <w:color w:val="231F20"/>
          <w:spacing w:val="3"/>
        </w:rPr>
        <w:t>derecho, </w:t>
      </w:r>
      <w:r>
        <w:rPr>
          <w:color w:val="231F20"/>
        </w:rPr>
        <w:t>de la </w:t>
      </w:r>
      <w:r>
        <w:rPr>
          <w:color w:val="231F20"/>
          <w:spacing w:val="2"/>
        </w:rPr>
        <w:t>cual </w:t>
      </w:r>
      <w:r>
        <w:rPr>
          <w:color w:val="231F20"/>
          <w:spacing w:val="3"/>
        </w:rPr>
        <w:t>están </w:t>
      </w:r>
      <w:r>
        <w:rPr>
          <w:color w:val="231F20"/>
          <w:spacing w:val="2"/>
        </w:rPr>
        <w:t>alejadas</w:t>
      </w:r>
      <w:r>
        <w:rPr>
          <w:color w:val="231F20"/>
          <w:spacing w:val="-6"/>
        </w:rPr>
        <w:t> </w:t>
      </w:r>
      <w:r>
        <w:rPr>
          <w:color w:val="231F20"/>
        </w:rPr>
        <w:t>las</w:t>
      </w:r>
      <w:r>
        <w:rPr>
          <w:color w:val="231F20"/>
          <w:spacing w:val="-6"/>
        </w:rPr>
        <w:t> </w:t>
      </w:r>
      <w:r>
        <w:rPr>
          <w:color w:val="231F20"/>
          <w:spacing w:val="2"/>
        </w:rPr>
        <w:t>mayorías</w:t>
      </w:r>
      <w:r>
        <w:rPr>
          <w:color w:val="231F20"/>
          <w:spacing w:val="-6"/>
        </w:rPr>
        <w:t> </w:t>
      </w:r>
      <w:r>
        <w:rPr>
          <w:color w:val="231F20"/>
        </w:rPr>
        <w:t>que</w:t>
      </w:r>
      <w:r>
        <w:rPr>
          <w:color w:val="231F20"/>
          <w:spacing w:val="-6"/>
        </w:rPr>
        <w:t> </w:t>
      </w:r>
      <w:r>
        <w:rPr>
          <w:color w:val="231F20"/>
          <w:spacing w:val="2"/>
        </w:rPr>
        <w:t>“viven</w:t>
      </w:r>
      <w:r>
        <w:rPr>
          <w:color w:val="231F20"/>
          <w:spacing w:val="-6"/>
        </w:rPr>
        <w:t> </w:t>
      </w:r>
      <w:r>
        <w:rPr>
          <w:color w:val="231F20"/>
          <w:spacing w:val="2"/>
        </w:rPr>
        <w:t>diariamente</w:t>
      </w:r>
      <w:r>
        <w:rPr>
          <w:color w:val="231F20"/>
          <w:spacing w:val="-6"/>
        </w:rPr>
        <w:t> </w:t>
      </w:r>
      <w:r>
        <w:rPr>
          <w:color w:val="231F20"/>
        </w:rPr>
        <w:t>la</w:t>
      </w:r>
      <w:r>
        <w:rPr>
          <w:color w:val="231F20"/>
          <w:spacing w:val="-6"/>
        </w:rPr>
        <w:t> </w:t>
      </w:r>
      <w:r>
        <w:rPr>
          <w:i/>
          <w:color w:val="231F20"/>
          <w:spacing w:val="2"/>
        </w:rPr>
        <w:t>victoriosa</w:t>
      </w:r>
      <w:r>
        <w:rPr>
          <w:i/>
          <w:color w:val="231F20"/>
          <w:spacing w:val="-6"/>
        </w:rPr>
        <w:t> </w:t>
      </w:r>
      <w:r>
        <w:rPr>
          <w:i/>
          <w:color w:val="231F20"/>
          <w:spacing w:val="2"/>
        </w:rPr>
        <w:t>violencia </w:t>
      </w:r>
      <w:r>
        <w:rPr>
          <w:i/>
          <w:color w:val="231F20"/>
          <w:spacing w:val="2"/>
        </w:rPr>
        <w:t>bruta </w:t>
      </w:r>
      <w:r>
        <w:rPr>
          <w:color w:val="231F20"/>
          <w:spacing w:val="2"/>
        </w:rPr>
        <w:t>dentro </w:t>
      </w:r>
      <w:r>
        <w:rPr>
          <w:color w:val="231F20"/>
        </w:rPr>
        <w:t>de </w:t>
      </w:r>
      <w:r>
        <w:rPr>
          <w:color w:val="231F20"/>
          <w:spacing w:val="2"/>
        </w:rPr>
        <w:t>sus cuatro paredes </w:t>
      </w:r>
      <w:r>
        <w:rPr>
          <w:color w:val="231F20"/>
        </w:rPr>
        <w:t>y </w:t>
      </w:r>
      <w:r>
        <w:rPr>
          <w:color w:val="231F20"/>
          <w:spacing w:val="2"/>
        </w:rPr>
        <w:t>para ampliación del  </w:t>
      </w:r>
      <w:r>
        <w:rPr>
          <w:color w:val="231F20"/>
          <w:spacing w:val="3"/>
        </w:rPr>
        <w:t>yo” </w:t>
      </w:r>
      <w:r>
        <w:rPr>
          <w:color w:val="231F20"/>
          <w:spacing w:val="2"/>
        </w:rPr>
        <w:t>(Pross </w:t>
      </w:r>
      <w:r>
        <w:rPr>
          <w:color w:val="231F20"/>
        </w:rPr>
        <w:t>y </w:t>
      </w:r>
      <w:r>
        <w:rPr>
          <w:color w:val="231F20"/>
          <w:spacing w:val="3"/>
        </w:rPr>
        <w:t>Romano,</w:t>
      </w:r>
      <w:r>
        <w:rPr>
          <w:color w:val="231F20"/>
          <w:spacing w:val="-25"/>
        </w:rPr>
        <w:t> </w:t>
      </w:r>
      <w:r>
        <w:rPr>
          <w:color w:val="231F20"/>
          <w:spacing w:val="2"/>
        </w:rPr>
        <w:t>1989:94).</w:t>
      </w:r>
    </w:p>
    <w:p>
      <w:pPr>
        <w:pStyle w:val="BodyText"/>
        <w:spacing w:line="249" w:lineRule="auto"/>
        <w:ind w:left="102" w:right="115" w:firstLine="284"/>
        <w:jc w:val="both"/>
      </w:pPr>
      <w:r>
        <w:rPr>
          <w:color w:val="231F20"/>
        </w:rPr>
        <w:t>El </w:t>
      </w:r>
      <w:r>
        <w:rPr>
          <w:color w:val="231F20"/>
          <w:spacing w:val="2"/>
        </w:rPr>
        <w:t>punto más débil </w:t>
      </w:r>
      <w:r>
        <w:rPr>
          <w:color w:val="231F20"/>
        </w:rPr>
        <w:t>de su </w:t>
      </w:r>
      <w:r>
        <w:rPr>
          <w:color w:val="231F20"/>
          <w:spacing w:val="3"/>
        </w:rPr>
        <w:t>planteamiento </w:t>
      </w:r>
      <w:r>
        <w:rPr>
          <w:color w:val="231F20"/>
        </w:rPr>
        <w:t>es </w:t>
      </w:r>
      <w:r>
        <w:rPr>
          <w:color w:val="231F20"/>
          <w:spacing w:val="2"/>
        </w:rPr>
        <w:t>creer que </w:t>
      </w:r>
      <w:r>
        <w:rPr>
          <w:color w:val="231F20"/>
        </w:rPr>
        <w:t>la </w:t>
      </w:r>
      <w:r>
        <w:rPr>
          <w:color w:val="231F20"/>
          <w:spacing w:val="3"/>
        </w:rPr>
        <w:t>irrup- </w:t>
      </w:r>
      <w:r>
        <w:rPr>
          <w:color w:val="231F20"/>
          <w:spacing w:val="2"/>
        </w:rPr>
        <w:t>ción </w:t>
      </w:r>
      <w:r>
        <w:rPr>
          <w:color w:val="231F20"/>
        </w:rPr>
        <w:t>de </w:t>
      </w:r>
      <w:r>
        <w:rPr>
          <w:color w:val="231F20"/>
          <w:spacing w:val="2"/>
        </w:rPr>
        <w:t>otros </w:t>
      </w:r>
      <w:r>
        <w:rPr>
          <w:color w:val="231F20"/>
          <w:spacing w:val="3"/>
        </w:rPr>
        <w:t>medios </w:t>
      </w:r>
      <w:r>
        <w:rPr>
          <w:color w:val="231F20"/>
          <w:spacing w:val="2"/>
        </w:rPr>
        <w:t>electrónicos incide </w:t>
      </w:r>
      <w:r>
        <w:rPr>
          <w:color w:val="231F20"/>
        </w:rPr>
        <w:t>en “las </w:t>
      </w:r>
      <w:r>
        <w:rPr>
          <w:color w:val="231F20"/>
          <w:spacing w:val="2"/>
        </w:rPr>
        <w:t>posibilidades </w:t>
      </w:r>
      <w:r>
        <w:rPr>
          <w:color w:val="231F20"/>
        </w:rPr>
        <w:t>de </w:t>
      </w:r>
      <w:r>
        <w:rPr>
          <w:color w:val="231F20"/>
          <w:spacing w:val="3"/>
        </w:rPr>
        <w:t>comunicación. </w:t>
      </w:r>
      <w:r>
        <w:rPr>
          <w:color w:val="231F20"/>
        </w:rPr>
        <w:t>La </w:t>
      </w:r>
      <w:r>
        <w:rPr>
          <w:color w:val="231F20"/>
          <w:spacing w:val="2"/>
        </w:rPr>
        <w:t>sociedad </w:t>
      </w:r>
      <w:r>
        <w:rPr>
          <w:color w:val="231F20"/>
        </w:rPr>
        <w:t>es lo </w:t>
      </w:r>
      <w:r>
        <w:rPr>
          <w:color w:val="231F20"/>
          <w:spacing w:val="2"/>
        </w:rPr>
        <w:t>que son sus posibilidades </w:t>
      </w:r>
      <w:r>
        <w:rPr>
          <w:color w:val="231F20"/>
        </w:rPr>
        <w:t>de </w:t>
      </w:r>
      <w:r>
        <w:rPr>
          <w:color w:val="231F20"/>
          <w:spacing w:val="3"/>
        </w:rPr>
        <w:t>comunicación”, </w:t>
      </w:r>
      <w:r>
        <w:rPr>
          <w:color w:val="231F20"/>
          <w:spacing w:val="2"/>
        </w:rPr>
        <w:t>pues </w:t>
      </w:r>
      <w:r>
        <w:rPr>
          <w:color w:val="231F20"/>
        </w:rPr>
        <w:t>la </w:t>
      </w:r>
      <w:r>
        <w:rPr>
          <w:color w:val="231F20"/>
          <w:spacing w:val="2"/>
        </w:rPr>
        <w:t>idea </w:t>
      </w:r>
      <w:r>
        <w:rPr>
          <w:color w:val="231F20"/>
        </w:rPr>
        <w:t>de </w:t>
      </w:r>
      <w:r>
        <w:rPr>
          <w:color w:val="231F20"/>
          <w:spacing w:val="2"/>
        </w:rPr>
        <w:t>base </w:t>
      </w:r>
      <w:r>
        <w:rPr>
          <w:color w:val="231F20"/>
        </w:rPr>
        <w:t>es </w:t>
      </w:r>
      <w:r>
        <w:rPr>
          <w:color w:val="231F20"/>
          <w:spacing w:val="2"/>
        </w:rPr>
        <w:t>que permiten interpreta- ciones más plurales (Pross </w:t>
      </w:r>
      <w:r>
        <w:rPr>
          <w:color w:val="231F20"/>
        </w:rPr>
        <w:t>y </w:t>
      </w:r>
      <w:r>
        <w:rPr>
          <w:color w:val="231F20"/>
          <w:spacing w:val="3"/>
        </w:rPr>
        <w:t>Romano, </w:t>
      </w:r>
      <w:r>
        <w:rPr>
          <w:color w:val="231F20"/>
          <w:spacing w:val="2"/>
        </w:rPr>
        <w:t>1989:96), pluralidad </w:t>
      </w:r>
      <w:r>
        <w:rPr>
          <w:color w:val="231F20"/>
          <w:spacing w:val="3"/>
        </w:rPr>
        <w:t>de </w:t>
      </w:r>
      <w:r>
        <w:rPr>
          <w:color w:val="231F20"/>
          <w:spacing w:val="2"/>
        </w:rPr>
        <w:t>interpretaciones, </w:t>
      </w:r>
      <w:r>
        <w:rPr>
          <w:color w:val="231F20"/>
          <w:spacing w:val="3"/>
        </w:rPr>
        <w:t>supondría entonces, </w:t>
      </w:r>
      <w:r>
        <w:rPr>
          <w:color w:val="231F20"/>
          <w:spacing w:val="2"/>
        </w:rPr>
        <w:t>superación </w:t>
      </w:r>
      <w:r>
        <w:rPr>
          <w:color w:val="231F20"/>
        </w:rPr>
        <w:t>de las </w:t>
      </w:r>
      <w:r>
        <w:rPr>
          <w:color w:val="231F20"/>
          <w:spacing w:val="2"/>
        </w:rPr>
        <w:t>limitacio- nes </w:t>
      </w:r>
      <w:r>
        <w:rPr>
          <w:color w:val="231F20"/>
          <w:spacing w:val="3"/>
        </w:rPr>
        <w:t>normativas </w:t>
      </w:r>
      <w:r>
        <w:rPr>
          <w:color w:val="231F20"/>
          <w:spacing w:val="2"/>
        </w:rPr>
        <w:t>(del orden vigente) para lograr </w:t>
      </w:r>
      <w:r>
        <w:rPr>
          <w:color w:val="231F20"/>
        </w:rPr>
        <w:t>la </w:t>
      </w:r>
      <w:r>
        <w:rPr>
          <w:color w:val="231F20"/>
          <w:spacing w:val="3"/>
        </w:rPr>
        <w:t>comunicación, </w:t>
      </w:r>
      <w:r>
        <w:rPr>
          <w:color w:val="231F20"/>
          <w:spacing w:val="2"/>
        </w:rPr>
        <w:t>esto </w:t>
      </w:r>
      <w:r>
        <w:rPr>
          <w:color w:val="231F20"/>
        </w:rPr>
        <w:t>es, </w:t>
      </w:r>
      <w:r>
        <w:rPr>
          <w:color w:val="231F20"/>
          <w:spacing w:val="2"/>
        </w:rPr>
        <w:t>pasar </w:t>
      </w:r>
      <w:r>
        <w:rPr>
          <w:color w:val="231F20"/>
        </w:rPr>
        <w:t>del </w:t>
      </w:r>
      <w:r>
        <w:rPr>
          <w:color w:val="231F20"/>
          <w:spacing w:val="3"/>
        </w:rPr>
        <w:t>poder </w:t>
      </w:r>
      <w:r>
        <w:rPr>
          <w:color w:val="231F20"/>
          <w:spacing w:val="2"/>
        </w:rPr>
        <w:t>que selecciona, </w:t>
      </w:r>
      <w:r>
        <w:rPr>
          <w:color w:val="231F20"/>
          <w:spacing w:val="3"/>
        </w:rPr>
        <w:t>impone </w:t>
      </w:r>
      <w:r>
        <w:rPr>
          <w:color w:val="231F20"/>
        </w:rPr>
        <w:t>y </w:t>
      </w:r>
      <w:r>
        <w:rPr>
          <w:color w:val="231F20"/>
          <w:spacing w:val="2"/>
        </w:rPr>
        <w:t>excluye </w:t>
      </w:r>
      <w:r>
        <w:rPr>
          <w:color w:val="231F20"/>
          <w:spacing w:val="3"/>
        </w:rPr>
        <w:t>median- </w:t>
      </w:r>
      <w:r>
        <w:rPr>
          <w:color w:val="231F20"/>
        </w:rPr>
        <w:t>te un </w:t>
      </w:r>
      <w:r>
        <w:rPr>
          <w:color w:val="231F20"/>
          <w:spacing w:val="3"/>
        </w:rPr>
        <w:t>conjunto </w:t>
      </w:r>
      <w:r>
        <w:rPr>
          <w:color w:val="231F20"/>
        </w:rPr>
        <w:t>de </w:t>
      </w:r>
      <w:r>
        <w:rPr>
          <w:color w:val="231F20"/>
          <w:spacing w:val="2"/>
        </w:rPr>
        <w:t>símbolos </w:t>
      </w:r>
      <w:r>
        <w:rPr>
          <w:color w:val="231F20"/>
        </w:rPr>
        <w:t>y </w:t>
      </w:r>
      <w:r>
        <w:rPr>
          <w:color w:val="231F20"/>
          <w:spacing w:val="2"/>
        </w:rPr>
        <w:t>prescripciones (véase Pross </w:t>
      </w:r>
      <w:r>
        <w:rPr>
          <w:color w:val="231F20"/>
        </w:rPr>
        <w:t>y </w:t>
      </w:r>
      <w:r>
        <w:rPr>
          <w:color w:val="231F20"/>
          <w:spacing w:val="4"/>
        </w:rPr>
        <w:t>Ro- </w:t>
      </w:r>
      <w:r>
        <w:rPr>
          <w:color w:val="231F20"/>
          <w:spacing w:val="2"/>
        </w:rPr>
        <w:t>mano, 1989:112), </w:t>
      </w:r>
      <w:r>
        <w:rPr>
          <w:color w:val="231F20"/>
        </w:rPr>
        <w:t>a la </w:t>
      </w:r>
      <w:r>
        <w:rPr>
          <w:color w:val="231F20"/>
          <w:spacing w:val="2"/>
        </w:rPr>
        <w:t>pretensión </w:t>
      </w:r>
      <w:r>
        <w:rPr>
          <w:color w:val="231F20"/>
        </w:rPr>
        <w:t>de </w:t>
      </w:r>
      <w:r>
        <w:rPr>
          <w:color w:val="231F20"/>
          <w:spacing w:val="2"/>
        </w:rPr>
        <w:t>poder que </w:t>
      </w:r>
      <w:r>
        <w:rPr>
          <w:color w:val="231F20"/>
        </w:rPr>
        <w:t>se </w:t>
      </w:r>
      <w:r>
        <w:rPr>
          <w:color w:val="231F20"/>
          <w:spacing w:val="2"/>
        </w:rPr>
        <w:t>expresa como   </w:t>
      </w:r>
      <w:r>
        <w:rPr>
          <w:color w:val="231F20"/>
        </w:rPr>
        <w:t>“el </w:t>
      </w:r>
      <w:r>
        <w:rPr>
          <w:color w:val="231F20"/>
          <w:spacing w:val="2"/>
        </w:rPr>
        <w:t>poder </w:t>
      </w:r>
      <w:r>
        <w:rPr>
          <w:color w:val="231F20"/>
        </w:rPr>
        <w:t>de </w:t>
      </w:r>
      <w:r>
        <w:rPr>
          <w:color w:val="231F20"/>
          <w:spacing w:val="3"/>
        </w:rPr>
        <w:t>imponer </w:t>
      </w:r>
      <w:r>
        <w:rPr>
          <w:color w:val="231F20"/>
        </w:rPr>
        <w:t>a </w:t>
      </w:r>
      <w:r>
        <w:rPr>
          <w:color w:val="231F20"/>
          <w:spacing w:val="2"/>
        </w:rPr>
        <w:t>otros seres </w:t>
      </w:r>
      <w:r>
        <w:rPr>
          <w:color w:val="231F20"/>
          <w:spacing w:val="3"/>
        </w:rPr>
        <w:t>humanos </w:t>
      </w:r>
      <w:r>
        <w:rPr>
          <w:color w:val="231F20"/>
        </w:rPr>
        <w:t>la </w:t>
      </w:r>
      <w:r>
        <w:rPr>
          <w:color w:val="231F20"/>
          <w:spacing w:val="2"/>
        </w:rPr>
        <w:t>validez </w:t>
      </w:r>
      <w:r>
        <w:rPr>
          <w:color w:val="231F20"/>
        </w:rPr>
        <w:t>de </w:t>
      </w:r>
      <w:r>
        <w:rPr>
          <w:color w:val="231F20"/>
          <w:spacing w:val="2"/>
        </w:rPr>
        <w:t>signifi- cado </w:t>
      </w:r>
      <w:r>
        <w:rPr>
          <w:color w:val="231F20"/>
          <w:spacing w:val="3"/>
        </w:rPr>
        <w:t>mediante </w:t>
      </w:r>
      <w:r>
        <w:rPr>
          <w:color w:val="231F20"/>
          <w:spacing w:val="2"/>
        </w:rPr>
        <w:t>signos, con </w:t>
      </w:r>
      <w:r>
        <w:rPr>
          <w:color w:val="231F20"/>
        </w:rPr>
        <w:t>el </w:t>
      </w:r>
      <w:r>
        <w:rPr>
          <w:color w:val="231F20"/>
          <w:spacing w:val="2"/>
        </w:rPr>
        <w:t>efecto </w:t>
      </w:r>
      <w:r>
        <w:rPr>
          <w:color w:val="231F20"/>
        </w:rPr>
        <w:t>de </w:t>
      </w:r>
      <w:r>
        <w:rPr>
          <w:color w:val="231F20"/>
          <w:spacing w:val="2"/>
        </w:rPr>
        <w:t>que estos otros seres hu- manos </w:t>
      </w:r>
      <w:r>
        <w:rPr>
          <w:color w:val="231F20"/>
        </w:rPr>
        <w:t>se </w:t>
      </w:r>
      <w:r>
        <w:rPr>
          <w:color w:val="231F20"/>
          <w:spacing w:val="2"/>
        </w:rPr>
        <w:t>identifiquen con </w:t>
      </w:r>
      <w:r>
        <w:rPr>
          <w:color w:val="231F20"/>
        </w:rPr>
        <w:t>el </w:t>
      </w:r>
      <w:r>
        <w:rPr>
          <w:color w:val="231F20"/>
          <w:spacing w:val="2"/>
        </w:rPr>
        <w:t>significado válido” (Pross </w:t>
      </w:r>
      <w:r>
        <w:rPr>
          <w:color w:val="231F20"/>
        </w:rPr>
        <w:t>y </w:t>
      </w:r>
      <w:r>
        <w:rPr>
          <w:color w:val="231F20"/>
          <w:spacing w:val="4"/>
        </w:rPr>
        <w:t>Romano, </w:t>
      </w:r>
      <w:r>
        <w:rPr>
          <w:color w:val="231F20"/>
          <w:spacing w:val="2"/>
        </w:rPr>
        <w:t>1989:113). </w:t>
      </w:r>
      <w:r>
        <w:rPr>
          <w:color w:val="231F20"/>
        </w:rPr>
        <w:t>En </w:t>
      </w:r>
      <w:r>
        <w:rPr>
          <w:color w:val="231F20"/>
          <w:spacing w:val="2"/>
        </w:rPr>
        <w:t>esta definición </w:t>
      </w:r>
      <w:r>
        <w:rPr>
          <w:color w:val="231F20"/>
        </w:rPr>
        <w:t>se </w:t>
      </w:r>
      <w:r>
        <w:rPr>
          <w:color w:val="231F20"/>
          <w:spacing w:val="2"/>
        </w:rPr>
        <w:t>pueden advertir </w:t>
      </w:r>
      <w:r>
        <w:rPr>
          <w:color w:val="231F20"/>
        </w:rPr>
        <w:t>las </w:t>
      </w:r>
      <w:r>
        <w:rPr>
          <w:color w:val="231F20"/>
          <w:spacing w:val="2"/>
        </w:rPr>
        <w:t>huellas del </w:t>
      </w:r>
      <w:r>
        <w:rPr>
          <w:color w:val="231F20"/>
          <w:spacing w:val="3"/>
        </w:rPr>
        <w:t>concepto </w:t>
      </w:r>
      <w:r>
        <w:rPr>
          <w:color w:val="231F20"/>
        </w:rPr>
        <w:t>de </w:t>
      </w:r>
      <w:r>
        <w:rPr>
          <w:color w:val="231F20"/>
          <w:spacing w:val="3"/>
        </w:rPr>
        <w:t>dominación </w:t>
      </w:r>
      <w:r>
        <w:rPr>
          <w:color w:val="231F20"/>
        </w:rPr>
        <w:t>de </w:t>
      </w:r>
      <w:r>
        <w:rPr>
          <w:color w:val="231F20"/>
          <w:spacing w:val="3"/>
        </w:rPr>
        <w:t>Weber cuando </w:t>
      </w:r>
      <w:r>
        <w:rPr>
          <w:color w:val="231F20"/>
        </w:rPr>
        <w:t>la </w:t>
      </w:r>
      <w:r>
        <w:rPr>
          <w:color w:val="231F20"/>
          <w:spacing w:val="2"/>
        </w:rPr>
        <w:t>define </w:t>
      </w:r>
      <w:r>
        <w:rPr>
          <w:color w:val="231F20"/>
        </w:rPr>
        <w:t>a  </w:t>
      </w:r>
      <w:r>
        <w:rPr>
          <w:color w:val="231F20"/>
          <w:spacing w:val="2"/>
        </w:rPr>
        <w:t>partir </w:t>
      </w:r>
      <w:r>
        <w:rPr>
          <w:color w:val="231F20"/>
        </w:rPr>
        <w:t>de  </w:t>
      </w:r>
      <w:r>
        <w:rPr>
          <w:color w:val="231F20"/>
          <w:spacing w:val="2"/>
        </w:rPr>
        <w:t>una noción </w:t>
      </w:r>
      <w:r>
        <w:rPr>
          <w:color w:val="231F20"/>
        </w:rPr>
        <w:t>de </w:t>
      </w:r>
      <w:r>
        <w:rPr>
          <w:color w:val="231F20"/>
          <w:spacing w:val="2"/>
        </w:rPr>
        <w:t>poder </w:t>
      </w:r>
      <w:r>
        <w:rPr>
          <w:color w:val="231F20"/>
        </w:rPr>
        <w:t>que </w:t>
      </w:r>
      <w:r>
        <w:rPr>
          <w:color w:val="231F20"/>
          <w:spacing w:val="3"/>
        </w:rPr>
        <w:t>supone </w:t>
      </w:r>
      <w:r>
        <w:rPr>
          <w:color w:val="231F20"/>
        </w:rPr>
        <w:t>la </w:t>
      </w:r>
      <w:r>
        <w:rPr>
          <w:color w:val="231F20"/>
          <w:spacing w:val="2"/>
        </w:rPr>
        <w:t>“posibilidad </w:t>
      </w:r>
      <w:r>
        <w:rPr>
          <w:color w:val="231F20"/>
        </w:rPr>
        <w:t>de </w:t>
      </w:r>
      <w:r>
        <w:rPr>
          <w:color w:val="231F20"/>
          <w:spacing w:val="3"/>
        </w:rPr>
        <w:t>imponer </w:t>
      </w:r>
      <w:r>
        <w:rPr>
          <w:color w:val="231F20"/>
        </w:rPr>
        <w:t>la </w:t>
      </w:r>
      <w:r>
        <w:rPr>
          <w:color w:val="231F20"/>
          <w:spacing w:val="2"/>
        </w:rPr>
        <w:t>propia voluntad sobre </w:t>
      </w:r>
      <w:r>
        <w:rPr>
          <w:color w:val="231F20"/>
        </w:rPr>
        <w:t>la </w:t>
      </w:r>
      <w:r>
        <w:rPr>
          <w:color w:val="231F20"/>
          <w:spacing w:val="3"/>
        </w:rPr>
        <w:t>conducta </w:t>
      </w:r>
      <w:r>
        <w:rPr>
          <w:color w:val="231F20"/>
          <w:spacing w:val="2"/>
        </w:rPr>
        <w:t>ajena” </w:t>
      </w:r>
      <w:r>
        <w:rPr>
          <w:color w:val="231F20"/>
        </w:rPr>
        <w:t>de </w:t>
      </w:r>
      <w:r>
        <w:rPr>
          <w:color w:val="231F20"/>
          <w:spacing w:val="3"/>
        </w:rPr>
        <w:t>donde </w:t>
      </w:r>
      <w:r>
        <w:rPr>
          <w:color w:val="231F20"/>
        </w:rPr>
        <w:t>se  </w:t>
      </w:r>
      <w:r>
        <w:rPr>
          <w:color w:val="231F20"/>
          <w:spacing w:val="2"/>
        </w:rPr>
        <w:t>sigue que  </w:t>
      </w:r>
      <w:r>
        <w:rPr>
          <w:color w:val="231F20"/>
        </w:rPr>
        <w:t>“la </w:t>
      </w:r>
      <w:r>
        <w:rPr>
          <w:color w:val="231F20"/>
          <w:spacing w:val="3"/>
        </w:rPr>
        <w:t>dominación </w:t>
      </w:r>
      <w:r>
        <w:rPr>
          <w:color w:val="231F20"/>
          <w:spacing w:val="2"/>
        </w:rPr>
        <w:t>puede presentarse </w:t>
      </w:r>
      <w:r>
        <w:rPr>
          <w:color w:val="231F20"/>
        </w:rPr>
        <w:t>en las </w:t>
      </w:r>
      <w:r>
        <w:rPr>
          <w:color w:val="231F20"/>
          <w:spacing w:val="3"/>
        </w:rPr>
        <w:t>formas </w:t>
      </w:r>
      <w:r>
        <w:rPr>
          <w:color w:val="231F20"/>
          <w:spacing w:val="2"/>
        </w:rPr>
        <w:t>más diversas” </w:t>
      </w:r>
      <w:r>
        <w:rPr>
          <w:color w:val="231F20"/>
          <w:spacing w:val="3"/>
        </w:rPr>
        <w:t>(Weber, 2008:696), </w:t>
      </w:r>
      <w:r>
        <w:rPr>
          <w:color w:val="231F20"/>
          <w:spacing w:val="2"/>
        </w:rPr>
        <w:t>pero </w:t>
      </w:r>
      <w:r>
        <w:rPr>
          <w:color w:val="231F20"/>
          <w:spacing w:val="3"/>
        </w:rPr>
        <w:t>Weber </w:t>
      </w:r>
      <w:r>
        <w:rPr>
          <w:color w:val="231F20"/>
          <w:spacing w:val="2"/>
        </w:rPr>
        <w:t>diluye </w:t>
      </w:r>
      <w:r>
        <w:rPr>
          <w:color w:val="231F20"/>
        </w:rPr>
        <w:t>el </w:t>
      </w:r>
      <w:r>
        <w:rPr>
          <w:color w:val="231F20"/>
          <w:spacing w:val="3"/>
        </w:rPr>
        <w:t>concepto </w:t>
      </w:r>
      <w:r>
        <w:rPr>
          <w:color w:val="231F20"/>
        </w:rPr>
        <w:t>de </w:t>
      </w:r>
      <w:r>
        <w:rPr>
          <w:color w:val="231F20"/>
          <w:spacing w:val="2"/>
        </w:rPr>
        <w:t>poder por</w:t>
      </w:r>
      <w:r>
        <w:rPr>
          <w:color w:val="231F20"/>
          <w:spacing w:val="16"/>
        </w:rPr>
        <w:t> </w:t>
      </w:r>
      <w:r>
        <w:rPr>
          <w:color w:val="231F20"/>
        </w:rPr>
        <w:t>el</w:t>
      </w:r>
    </w:p>
    <w:p>
      <w:pPr>
        <w:spacing w:after="0" w:line="249" w:lineRule="auto"/>
        <w:jc w:val="both"/>
        <w:sectPr>
          <w:headerReference w:type="default" r:id="rId205"/>
          <w:footerReference w:type="default" r:id="rId206"/>
          <w:pgSz w:w="7830" w:h="11910"/>
          <w:pgMar w:header="0" w:footer="424" w:top="500" w:bottom="620" w:left="920" w:right="900"/>
          <w:pgNumType w:start="96"/>
        </w:sectPr>
      </w:pPr>
    </w:p>
    <w:p>
      <w:pPr>
        <w:spacing w:before="43"/>
        <w:ind w:left="1463" w:right="121" w:firstLine="0"/>
        <w:jc w:val="left"/>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spacing w:before="10"/>
        <w:rPr>
          <w:rFonts w:ascii="Cambria"/>
          <w:sz w:val="22"/>
        </w:rPr>
      </w:pPr>
    </w:p>
    <w:p>
      <w:pPr>
        <w:pStyle w:val="BodyText"/>
        <w:spacing w:line="244" w:lineRule="auto"/>
        <w:ind w:left="101" w:right="113"/>
        <w:jc w:val="both"/>
        <w:rPr>
          <w:rFonts w:ascii="Cambria" w:hAnsi="Cambria"/>
        </w:rPr>
      </w:pPr>
      <w:r>
        <w:rPr>
          <w:rFonts w:ascii="Cambria" w:hAnsi="Cambria"/>
          <w:color w:val="231F20"/>
        </w:rPr>
        <w:t>de </w:t>
      </w:r>
      <w:r>
        <w:rPr>
          <w:rFonts w:ascii="Cambria" w:hAnsi="Cambria"/>
          <w:color w:val="231F20"/>
          <w:spacing w:val="3"/>
        </w:rPr>
        <w:t>dominación </w:t>
      </w:r>
      <w:r>
        <w:rPr>
          <w:rFonts w:ascii="Cambria" w:hAnsi="Cambria"/>
          <w:color w:val="231F20"/>
        </w:rPr>
        <w:t>ya </w:t>
      </w:r>
      <w:r>
        <w:rPr>
          <w:rFonts w:ascii="Cambria" w:hAnsi="Cambria"/>
          <w:color w:val="231F20"/>
          <w:spacing w:val="2"/>
        </w:rPr>
        <w:t>que </w:t>
      </w:r>
      <w:r>
        <w:rPr>
          <w:rFonts w:ascii="Cambria" w:hAnsi="Cambria"/>
          <w:color w:val="231F20"/>
        </w:rPr>
        <w:t>en la </w:t>
      </w:r>
      <w:r>
        <w:rPr>
          <w:rFonts w:ascii="Cambria" w:hAnsi="Cambria"/>
          <w:color w:val="231F20"/>
          <w:spacing w:val="3"/>
        </w:rPr>
        <w:t>dominación </w:t>
      </w:r>
      <w:r>
        <w:rPr>
          <w:rFonts w:ascii="Cambria" w:hAnsi="Cambria"/>
          <w:color w:val="231F20"/>
          <w:spacing w:val="2"/>
        </w:rPr>
        <w:t>distingue dos tipos: </w:t>
      </w:r>
      <w:r>
        <w:rPr>
          <w:rFonts w:ascii="Cambria" w:hAnsi="Cambria"/>
          <w:color w:val="231F20"/>
        </w:rPr>
        <w:t>“la </w:t>
      </w:r>
      <w:r>
        <w:rPr>
          <w:rFonts w:ascii="Cambria" w:hAnsi="Cambria"/>
          <w:color w:val="231F20"/>
          <w:spacing w:val="3"/>
        </w:rPr>
        <w:t>dominación</w:t>
      </w:r>
      <w:r>
        <w:rPr>
          <w:rFonts w:ascii="Cambria" w:hAnsi="Cambria"/>
          <w:color w:val="231F20"/>
          <w:spacing w:val="-19"/>
        </w:rPr>
        <w:t> </w:t>
      </w:r>
      <w:r>
        <w:rPr>
          <w:rFonts w:ascii="Cambria" w:hAnsi="Cambria"/>
          <w:color w:val="231F20"/>
          <w:spacing w:val="3"/>
        </w:rPr>
        <w:t>mediante</w:t>
      </w:r>
      <w:r>
        <w:rPr>
          <w:rFonts w:ascii="Cambria" w:hAnsi="Cambria"/>
          <w:color w:val="231F20"/>
          <w:spacing w:val="-20"/>
        </w:rPr>
        <w:t> </w:t>
      </w:r>
      <w:r>
        <w:rPr>
          <w:rFonts w:ascii="Cambria" w:hAnsi="Cambria"/>
          <w:color w:val="231F20"/>
          <w:spacing w:val="2"/>
        </w:rPr>
        <w:t>una</w:t>
      </w:r>
      <w:r>
        <w:rPr>
          <w:rFonts w:ascii="Cambria" w:hAnsi="Cambria"/>
          <w:color w:val="231F20"/>
          <w:spacing w:val="-20"/>
        </w:rPr>
        <w:t> </w:t>
      </w:r>
      <w:r>
        <w:rPr>
          <w:rFonts w:ascii="Cambria" w:hAnsi="Cambria"/>
          <w:color w:val="231F20"/>
          <w:spacing w:val="2"/>
        </w:rPr>
        <w:t>constelación</w:t>
      </w:r>
      <w:r>
        <w:rPr>
          <w:rFonts w:ascii="Cambria" w:hAnsi="Cambria"/>
          <w:color w:val="231F20"/>
          <w:spacing w:val="-19"/>
        </w:rPr>
        <w:t> </w:t>
      </w:r>
      <w:r>
        <w:rPr>
          <w:rFonts w:ascii="Cambria" w:hAnsi="Cambria"/>
          <w:color w:val="231F20"/>
        </w:rPr>
        <w:t>de</w:t>
      </w:r>
      <w:r>
        <w:rPr>
          <w:rFonts w:ascii="Cambria" w:hAnsi="Cambria"/>
          <w:color w:val="231F20"/>
          <w:spacing w:val="-20"/>
        </w:rPr>
        <w:t> </w:t>
      </w:r>
      <w:r>
        <w:rPr>
          <w:rFonts w:ascii="Cambria" w:hAnsi="Cambria"/>
          <w:color w:val="231F20"/>
          <w:spacing w:val="2"/>
        </w:rPr>
        <w:t>intereses…</w:t>
      </w:r>
      <w:r>
        <w:rPr>
          <w:rFonts w:ascii="Cambria" w:hAnsi="Cambria"/>
          <w:color w:val="231F20"/>
          <w:spacing w:val="-19"/>
        </w:rPr>
        <w:t> </w:t>
      </w:r>
      <w:r>
        <w:rPr>
          <w:rFonts w:ascii="Cambria" w:hAnsi="Cambria"/>
          <w:color w:val="231F20"/>
        </w:rPr>
        <w:t>[y]</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spacing w:val="3"/>
        </w:rPr>
        <w:t>auto- </w:t>
      </w:r>
      <w:r>
        <w:rPr>
          <w:rFonts w:ascii="Cambria" w:hAnsi="Cambria"/>
          <w:color w:val="231F20"/>
          <w:spacing w:val="2"/>
        </w:rPr>
        <w:t>ridad</w:t>
      </w:r>
      <w:r>
        <w:rPr>
          <w:rFonts w:ascii="Cambria" w:hAnsi="Cambria"/>
          <w:color w:val="231F20"/>
          <w:spacing w:val="-23"/>
        </w:rPr>
        <w:t> </w:t>
      </w:r>
      <w:r>
        <w:rPr>
          <w:rFonts w:ascii="Cambria" w:hAnsi="Cambria"/>
          <w:color w:val="231F20"/>
          <w:spacing w:val="3"/>
        </w:rPr>
        <w:t>(poder</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spacing w:val="3"/>
        </w:rPr>
        <w:t>mando</w:t>
      </w:r>
      <w:r>
        <w:rPr>
          <w:rFonts w:ascii="Cambria" w:hAnsi="Cambria"/>
          <w:color w:val="231F20"/>
          <w:spacing w:val="-23"/>
        </w:rPr>
        <w:t> </w:t>
      </w:r>
      <w:r>
        <w:rPr>
          <w:rFonts w:ascii="Cambria" w:hAnsi="Cambria"/>
          <w:color w:val="231F20"/>
        </w:rPr>
        <w:t>y</w:t>
      </w:r>
      <w:r>
        <w:rPr>
          <w:rFonts w:ascii="Cambria" w:hAnsi="Cambria"/>
          <w:color w:val="231F20"/>
          <w:spacing w:val="-24"/>
        </w:rPr>
        <w:t> </w:t>
      </w:r>
      <w:r>
        <w:rPr>
          <w:rFonts w:ascii="Cambria" w:hAnsi="Cambria"/>
          <w:color w:val="231F20"/>
          <w:spacing w:val="2"/>
        </w:rPr>
        <w:t>deber</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spacing w:val="3"/>
        </w:rPr>
        <w:t>obediencia),</w:t>
      </w:r>
      <w:r>
        <w:rPr>
          <w:rFonts w:ascii="Cambria" w:hAnsi="Cambria"/>
          <w:color w:val="231F20"/>
          <w:spacing w:val="-24"/>
        </w:rPr>
        <w:t> </w:t>
      </w:r>
      <w:r>
        <w:rPr>
          <w:rFonts w:ascii="Cambria" w:hAnsi="Cambria"/>
          <w:color w:val="231F20"/>
          <w:spacing w:val="2"/>
        </w:rPr>
        <w:t>con</w:t>
      </w:r>
      <w:r>
        <w:rPr>
          <w:rFonts w:ascii="Cambria" w:hAnsi="Cambria"/>
          <w:color w:val="231F20"/>
          <w:spacing w:val="-23"/>
        </w:rPr>
        <w:t> </w:t>
      </w:r>
      <w:r>
        <w:rPr>
          <w:rFonts w:ascii="Cambria" w:hAnsi="Cambria"/>
          <w:color w:val="231F20"/>
          <w:spacing w:val="2"/>
        </w:rPr>
        <w:t>ello</w:t>
      </w:r>
      <w:r>
        <w:rPr>
          <w:rFonts w:ascii="Cambria" w:hAnsi="Cambria"/>
          <w:color w:val="231F20"/>
          <w:spacing w:val="-23"/>
        </w:rPr>
        <w:t> </w:t>
      </w:r>
      <w:r>
        <w:rPr>
          <w:rFonts w:ascii="Cambria" w:hAnsi="Cambria"/>
          <w:color w:val="231F20"/>
          <w:spacing w:val="2"/>
        </w:rPr>
        <w:t>desliga</w:t>
      </w:r>
      <w:r>
        <w:rPr>
          <w:rFonts w:ascii="Cambria" w:hAnsi="Cambria"/>
          <w:color w:val="231F20"/>
          <w:spacing w:val="-24"/>
        </w:rPr>
        <w:t> </w:t>
      </w:r>
      <w:r>
        <w:rPr>
          <w:rFonts w:ascii="Cambria" w:hAnsi="Cambria"/>
          <w:color w:val="231F20"/>
        </w:rPr>
        <w:t>las </w:t>
      </w:r>
      <w:r>
        <w:rPr>
          <w:rFonts w:ascii="Cambria" w:hAnsi="Cambria"/>
          <w:color w:val="231F20"/>
          <w:spacing w:val="2"/>
        </w:rPr>
        <w:t>relaciones</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spacing w:val="3"/>
        </w:rPr>
        <w:t>poder</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las</w:t>
      </w:r>
      <w:r>
        <w:rPr>
          <w:rFonts w:ascii="Cambria" w:hAnsi="Cambria"/>
          <w:color w:val="231F20"/>
          <w:spacing w:val="-20"/>
        </w:rPr>
        <w:t> </w:t>
      </w:r>
      <w:r>
        <w:rPr>
          <w:rFonts w:ascii="Cambria" w:hAnsi="Cambria"/>
          <w:color w:val="231F20"/>
          <w:spacing w:val="3"/>
        </w:rPr>
        <w:t>condiciones</w:t>
      </w:r>
      <w:r>
        <w:rPr>
          <w:rFonts w:ascii="Cambria" w:hAnsi="Cambria"/>
          <w:color w:val="231F20"/>
          <w:spacing w:val="-20"/>
        </w:rPr>
        <w:t> </w:t>
      </w:r>
      <w:r>
        <w:rPr>
          <w:rFonts w:ascii="Cambria" w:hAnsi="Cambria"/>
          <w:color w:val="231F20"/>
          <w:spacing w:val="3"/>
        </w:rPr>
        <w:t>económicas,</w:t>
      </w:r>
      <w:r>
        <w:rPr>
          <w:rFonts w:ascii="Cambria" w:hAnsi="Cambria"/>
          <w:color w:val="231F20"/>
          <w:spacing w:val="-20"/>
        </w:rPr>
        <w:t> </w:t>
      </w:r>
      <w:r>
        <w:rPr>
          <w:rFonts w:ascii="Cambria" w:hAnsi="Cambria"/>
          <w:color w:val="231F20"/>
          <w:spacing w:val="2"/>
        </w:rPr>
        <w:t>pues</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spacing w:val="2"/>
        </w:rPr>
        <w:t>domi- nación</w:t>
      </w:r>
      <w:r>
        <w:rPr>
          <w:rFonts w:ascii="Cambria" w:hAnsi="Cambria"/>
          <w:color w:val="231F20"/>
          <w:spacing w:val="-18"/>
        </w:rPr>
        <w:t> </w:t>
      </w:r>
      <w:r>
        <w:rPr>
          <w:rFonts w:ascii="Cambria" w:hAnsi="Cambria"/>
          <w:color w:val="231F20"/>
        </w:rPr>
        <w:t>en</w:t>
      </w:r>
      <w:r>
        <w:rPr>
          <w:rFonts w:ascii="Cambria" w:hAnsi="Cambria"/>
          <w:color w:val="231F20"/>
          <w:spacing w:val="-18"/>
        </w:rPr>
        <w:t> </w:t>
      </w:r>
      <w:r>
        <w:rPr>
          <w:rFonts w:ascii="Cambria" w:hAnsi="Cambria"/>
          <w:color w:val="231F20"/>
        </w:rPr>
        <w:t>ese</w:t>
      </w:r>
      <w:r>
        <w:rPr>
          <w:rFonts w:ascii="Cambria" w:hAnsi="Cambria"/>
          <w:color w:val="231F20"/>
          <w:spacing w:val="-18"/>
        </w:rPr>
        <w:t> </w:t>
      </w:r>
      <w:r>
        <w:rPr>
          <w:rFonts w:ascii="Cambria" w:hAnsi="Cambria"/>
          <w:color w:val="231F20"/>
          <w:spacing w:val="2"/>
        </w:rPr>
        <w:t>ámbito</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spacing w:val="2"/>
        </w:rPr>
        <w:t>restringe</w:t>
      </w:r>
      <w:r>
        <w:rPr>
          <w:rFonts w:ascii="Cambria" w:hAnsi="Cambria"/>
          <w:color w:val="231F20"/>
          <w:spacing w:val="-18"/>
        </w:rPr>
        <w:t> </w:t>
      </w:r>
      <w:r>
        <w:rPr>
          <w:rFonts w:ascii="Cambria" w:hAnsi="Cambria"/>
          <w:color w:val="231F20"/>
        </w:rPr>
        <w:t>a</w:t>
      </w:r>
      <w:r>
        <w:rPr>
          <w:rFonts w:ascii="Cambria" w:hAnsi="Cambria"/>
          <w:color w:val="231F20"/>
          <w:spacing w:val="-18"/>
        </w:rPr>
        <w:t> </w:t>
      </w:r>
      <w:r>
        <w:rPr>
          <w:rFonts w:ascii="Cambria" w:hAnsi="Cambria"/>
          <w:color w:val="231F20"/>
        </w:rPr>
        <w:t>‘las</w:t>
      </w:r>
      <w:r>
        <w:rPr>
          <w:rFonts w:ascii="Cambria" w:hAnsi="Cambria"/>
          <w:color w:val="231F20"/>
          <w:spacing w:val="-18"/>
        </w:rPr>
        <w:t> </w:t>
      </w:r>
      <w:r>
        <w:rPr>
          <w:rFonts w:ascii="Cambria" w:hAnsi="Cambria"/>
          <w:color w:val="231F20"/>
          <w:spacing w:val="2"/>
        </w:rPr>
        <w:t>influencias’</w:t>
      </w:r>
      <w:r>
        <w:rPr>
          <w:rFonts w:ascii="Cambria" w:hAnsi="Cambria"/>
          <w:color w:val="231F20"/>
          <w:spacing w:val="-19"/>
        </w:rPr>
        <w:t> </w:t>
      </w:r>
      <w:r>
        <w:rPr>
          <w:rFonts w:ascii="Cambria" w:hAnsi="Cambria"/>
          <w:color w:val="231F20"/>
          <w:spacing w:val="2"/>
        </w:rPr>
        <w:t>que,</w:t>
      </w:r>
      <w:r>
        <w:rPr>
          <w:rFonts w:ascii="Cambria" w:hAnsi="Cambria"/>
          <w:color w:val="231F20"/>
          <w:spacing w:val="-19"/>
        </w:rPr>
        <w:t> </w:t>
      </w:r>
      <w:r>
        <w:rPr>
          <w:rFonts w:ascii="Cambria" w:hAnsi="Cambria"/>
          <w:color w:val="231F20"/>
        </w:rPr>
        <w:t>a</w:t>
      </w:r>
      <w:r>
        <w:rPr>
          <w:rFonts w:ascii="Cambria" w:hAnsi="Cambria"/>
          <w:color w:val="231F20"/>
          <w:spacing w:val="-18"/>
        </w:rPr>
        <w:t> </w:t>
      </w:r>
      <w:r>
        <w:rPr>
          <w:rFonts w:ascii="Cambria" w:hAnsi="Cambria"/>
          <w:color w:val="231F20"/>
          <w:spacing w:val="2"/>
        </w:rPr>
        <w:t>causa</w:t>
      </w:r>
      <w:r>
        <w:rPr>
          <w:rFonts w:ascii="Cambria" w:hAnsi="Cambria"/>
          <w:color w:val="231F20"/>
          <w:spacing w:val="-18"/>
        </w:rPr>
        <w:t> </w:t>
      </w:r>
      <w:r>
        <w:rPr>
          <w:rFonts w:ascii="Cambria" w:hAnsi="Cambria"/>
          <w:color w:val="231F20"/>
        </w:rPr>
        <w:t>de </w:t>
      </w:r>
      <w:r>
        <w:rPr>
          <w:rFonts w:ascii="Cambria" w:hAnsi="Cambria"/>
          <w:color w:val="231F20"/>
          <w:spacing w:val="2"/>
        </w:rPr>
        <w:t>cualquier posesión </w:t>
      </w:r>
      <w:r>
        <w:rPr>
          <w:rFonts w:ascii="Cambria" w:hAnsi="Cambria"/>
          <w:color w:val="231F20"/>
        </w:rPr>
        <w:t>(o de </w:t>
      </w:r>
      <w:r>
        <w:rPr>
          <w:rFonts w:ascii="Cambria" w:hAnsi="Cambria"/>
          <w:color w:val="231F20"/>
          <w:spacing w:val="2"/>
        </w:rPr>
        <w:t>los precios fijados </w:t>
      </w:r>
      <w:r>
        <w:rPr>
          <w:rFonts w:ascii="Cambria" w:hAnsi="Cambria"/>
          <w:color w:val="231F20"/>
        </w:rPr>
        <w:t>en el </w:t>
      </w:r>
      <w:r>
        <w:rPr>
          <w:rFonts w:ascii="Cambria" w:hAnsi="Cambria"/>
          <w:color w:val="231F20"/>
          <w:spacing w:val="3"/>
        </w:rPr>
        <w:t>mercado), </w:t>
      </w:r>
      <w:r>
        <w:rPr>
          <w:rFonts w:ascii="Cambria" w:hAnsi="Cambria"/>
          <w:color w:val="231F20"/>
        </w:rPr>
        <w:t>se </w:t>
      </w:r>
      <w:r>
        <w:rPr>
          <w:rFonts w:ascii="Cambria" w:hAnsi="Cambria"/>
          <w:color w:val="231F20"/>
          <w:spacing w:val="2"/>
        </w:rPr>
        <w:t>ejercen</w:t>
      </w:r>
      <w:r>
        <w:rPr>
          <w:rFonts w:ascii="Cambria" w:hAnsi="Cambria"/>
          <w:color w:val="231F20"/>
          <w:spacing w:val="-23"/>
        </w:rPr>
        <w:t> </w:t>
      </w:r>
      <w:r>
        <w:rPr>
          <w:rFonts w:ascii="Cambria" w:hAnsi="Cambria"/>
          <w:color w:val="231F20"/>
          <w:spacing w:val="2"/>
        </w:rPr>
        <w:t>sobre</w:t>
      </w:r>
      <w:r>
        <w:rPr>
          <w:rFonts w:ascii="Cambria" w:hAnsi="Cambria"/>
          <w:color w:val="231F20"/>
          <w:spacing w:val="-23"/>
        </w:rPr>
        <w:t> </w:t>
      </w:r>
      <w:r>
        <w:rPr>
          <w:rFonts w:ascii="Cambria" w:hAnsi="Cambria"/>
          <w:color w:val="231F20"/>
        </w:rPr>
        <w:t>el</w:t>
      </w:r>
      <w:r>
        <w:rPr>
          <w:rFonts w:ascii="Cambria" w:hAnsi="Cambria"/>
          <w:color w:val="231F20"/>
          <w:spacing w:val="-23"/>
        </w:rPr>
        <w:t> </w:t>
      </w:r>
      <w:r>
        <w:rPr>
          <w:rFonts w:ascii="Cambria" w:hAnsi="Cambria"/>
          <w:color w:val="231F20"/>
          <w:spacing w:val="2"/>
        </w:rPr>
        <w:t>tráfico</w:t>
      </w:r>
      <w:r>
        <w:rPr>
          <w:rFonts w:ascii="Cambria" w:hAnsi="Cambria"/>
          <w:color w:val="231F20"/>
          <w:spacing w:val="-23"/>
        </w:rPr>
        <w:t> </w:t>
      </w:r>
      <w:r>
        <w:rPr>
          <w:rFonts w:ascii="Cambria" w:hAnsi="Cambria"/>
          <w:color w:val="231F20"/>
          <w:spacing w:val="3"/>
        </w:rPr>
        <w:t>formalmente</w:t>
      </w:r>
      <w:r>
        <w:rPr>
          <w:rFonts w:ascii="Cambria" w:hAnsi="Cambria"/>
          <w:color w:val="231F20"/>
          <w:spacing w:val="-23"/>
        </w:rPr>
        <w:t> </w:t>
      </w:r>
      <w:r>
        <w:rPr>
          <w:rFonts w:ascii="Cambria" w:hAnsi="Cambria"/>
          <w:color w:val="231F20"/>
          <w:spacing w:val="2"/>
        </w:rPr>
        <w:t>‘libre’</w:t>
      </w:r>
      <w:r>
        <w:rPr>
          <w:rFonts w:ascii="Cambria" w:hAnsi="Cambria"/>
          <w:color w:val="231F20"/>
          <w:spacing w:val="-23"/>
        </w:rPr>
        <w:t> </w:t>
      </w:r>
      <w:r>
        <w:rPr>
          <w:rFonts w:ascii="Cambria" w:hAnsi="Cambria"/>
          <w:color w:val="231F20"/>
        </w:rPr>
        <w:t>de</w:t>
      </w:r>
      <w:r>
        <w:rPr>
          <w:rFonts w:ascii="Cambria" w:hAnsi="Cambria"/>
          <w:color w:val="231F20"/>
          <w:spacing w:val="-23"/>
        </w:rPr>
        <w:t> </w:t>
      </w:r>
      <w:r>
        <w:rPr>
          <w:rFonts w:ascii="Cambria" w:hAnsi="Cambria"/>
          <w:color w:val="231F20"/>
          <w:spacing w:val="2"/>
        </w:rPr>
        <w:t>los</w:t>
      </w:r>
      <w:r>
        <w:rPr>
          <w:rFonts w:ascii="Cambria" w:hAnsi="Cambria"/>
          <w:color w:val="231F20"/>
          <w:spacing w:val="-23"/>
        </w:rPr>
        <w:t> </w:t>
      </w:r>
      <w:r>
        <w:rPr>
          <w:rFonts w:ascii="Cambria" w:hAnsi="Cambria"/>
          <w:color w:val="231F20"/>
          <w:spacing w:val="3"/>
        </w:rPr>
        <w:t>dominados,</w:t>
      </w:r>
      <w:r>
        <w:rPr>
          <w:rFonts w:ascii="Cambria" w:hAnsi="Cambria"/>
          <w:color w:val="231F20"/>
          <w:spacing w:val="-23"/>
        </w:rPr>
        <w:t> </w:t>
      </w:r>
      <w:r>
        <w:rPr>
          <w:rFonts w:ascii="Cambria" w:hAnsi="Cambria"/>
          <w:color w:val="231F20"/>
          <w:spacing w:val="2"/>
        </w:rPr>
        <w:t>que </w:t>
      </w:r>
      <w:r>
        <w:rPr>
          <w:rFonts w:ascii="Cambria" w:hAnsi="Cambria"/>
          <w:color w:val="231F20"/>
        </w:rPr>
        <w:t>se</w:t>
      </w:r>
      <w:r>
        <w:rPr>
          <w:rFonts w:ascii="Cambria" w:hAnsi="Cambria"/>
          <w:color w:val="231F20"/>
          <w:spacing w:val="-5"/>
        </w:rPr>
        <w:t> </w:t>
      </w:r>
      <w:r>
        <w:rPr>
          <w:rFonts w:ascii="Cambria" w:hAnsi="Cambria"/>
          <w:color w:val="231F20"/>
          <w:spacing w:val="2"/>
        </w:rPr>
        <w:t>inspiran</w:t>
      </w:r>
      <w:r>
        <w:rPr>
          <w:rFonts w:ascii="Cambria" w:hAnsi="Cambria"/>
          <w:color w:val="231F20"/>
          <w:spacing w:val="-4"/>
        </w:rPr>
        <w:t> </w:t>
      </w:r>
      <w:r>
        <w:rPr>
          <w:rFonts w:ascii="Cambria" w:hAnsi="Cambria"/>
          <w:color w:val="231F20"/>
        </w:rPr>
        <w:t>en</w:t>
      </w:r>
      <w:r>
        <w:rPr>
          <w:rFonts w:ascii="Cambria" w:hAnsi="Cambria"/>
          <w:color w:val="231F20"/>
          <w:spacing w:val="-4"/>
        </w:rPr>
        <w:t> </w:t>
      </w:r>
      <w:r>
        <w:rPr>
          <w:rFonts w:ascii="Cambria" w:hAnsi="Cambria"/>
          <w:color w:val="231F20"/>
        </w:rPr>
        <w:t>su</w:t>
      </w:r>
      <w:r>
        <w:rPr>
          <w:rFonts w:ascii="Cambria" w:hAnsi="Cambria"/>
          <w:color w:val="231F20"/>
          <w:spacing w:val="-5"/>
        </w:rPr>
        <w:t> </w:t>
      </w:r>
      <w:r>
        <w:rPr>
          <w:rFonts w:ascii="Cambria" w:hAnsi="Cambria"/>
          <w:color w:val="231F20"/>
          <w:spacing w:val="2"/>
        </w:rPr>
        <w:t>propio</w:t>
      </w:r>
      <w:r>
        <w:rPr>
          <w:rFonts w:ascii="Cambria" w:hAnsi="Cambria"/>
          <w:color w:val="231F20"/>
          <w:spacing w:val="-4"/>
        </w:rPr>
        <w:t> </w:t>
      </w:r>
      <w:r>
        <w:rPr>
          <w:rFonts w:ascii="Cambria" w:hAnsi="Cambria"/>
          <w:color w:val="231F20"/>
          <w:spacing w:val="2"/>
        </w:rPr>
        <w:t>interés.</w:t>
      </w:r>
      <w:r>
        <w:rPr>
          <w:rFonts w:ascii="Cambria" w:hAnsi="Cambria"/>
          <w:color w:val="231F20"/>
          <w:spacing w:val="-5"/>
        </w:rPr>
        <w:t> </w:t>
      </w:r>
      <w:r>
        <w:rPr>
          <w:rFonts w:ascii="Cambria" w:hAnsi="Cambria"/>
          <w:color w:val="231F20"/>
        </w:rPr>
        <w:t>El</w:t>
      </w:r>
      <w:r>
        <w:rPr>
          <w:rFonts w:ascii="Cambria" w:hAnsi="Cambria"/>
          <w:color w:val="231F20"/>
          <w:spacing w:val="-5"/>
        </w:rPr>
        <w:t> </w:t>
      </w:r>
      <w:r>
        <w:rPr>
          <w:rFonts w:ascii="Cambria" w:hAnsi="Cambria"/>
          <w:color w:val="231F20"/>
          <w:spacing w:val="2"/>
        </w:rPr>
        <w:t>último</w:t>
      </w:r>
      <w:r>
        <w:rPr>
          <w:rFonts w:ascii="Cambria" w:hAnsi="Cambria"/>
          <w:color w:val="231F20"/>
          <w:spacing w:val="-4"/>
        </w:rPr>
        <w:t> </w:t>
      </w:r>
      <w:r>
        <w:rPr>
          <w:rFonts w:ascii="Cambria" w:hAnsi="Cambria"/>
          <w:color w:val="231F20"/>
        </w:rPr>
        <w:t>se</w:t>
      </w:r>
      <w:r>
        <w:rPr>
          <w:rFonts w:ascii="Cambria" w:hAnsi="Cambria"/>
          <w:color w:val="231F20"/>
          <w:spacing w:val="-5"/>
        </w:rPr>
        <w:t> </w:t>
      </w:r>
      <w:r>
        <w:rPr>
          <w:rFonts w:ascii="Cambria" w:hAnsi="Cambria"/>
          <w:color w:val="231F20"/>
          <w:spacing w:val="2"/>
        </w:rPr>
        <w:t>basa</w:t>
      </w:r>
      <w:r>
        <w:rPr>
          <w:rFonts w:ascii="Cambria" w:hAnsi="Cambria"/>
          <w:color w:val="231F20"/>
          <w:spacing w:val="-5"/>
        </w:rPr>
        <w:t> </w:t>
      </w:r>
      <w:r>
        <w:rPr>
          <w:rFonts w:ascii="Cambria" w:hAnsi="Cambria"/>
          <w:color w:val="231F20"/>
        </w:rPr>
        <w:t>en</w:t>
      </w:r>
      <w:r>
        <w:rPr>
          <w:rFonts w:ascii="Cambria" w:hAnsi="Cambria"/>
          <w:color w:val="231F20"/>
          <w:spacing w:val="-4"/>
        </w:rPr>
        <w:t> </w:t>
      </w:r>
      <w:r>
        <w:rPr>
          <w:rFonts w:ascii="Cambria" w:hAnsi="Cambria"/>
          <w:color w:val="231F20"/>
        </w:rPr>
        <w:t>el</w:t>
      </w:r>
      <w:r>
        <w:rPr>
          <w:rFonts w:ascii="Cambria" w:hAnsi="Cambria"/>
          <w:color w:val="231F20"/>
          <w:spacing w:val="-5"/>
        </w:rPr>
        <w:t> </w:t>
      </w:r>
      <w:r>
        <w:rPr>
          <w:rFonts w:ascii="Cambria" w:hAnsi="Cambria"/>
          <w:color w:val="231F20"/>
          <w:spacing w:val="2"/>
        </w:rPr>
        <w:t>hecho</w:t>
      </w:r>
      <w:r>
        <w:rPr>
          <w:rFonts w:ascii="Cambria" w:hAnsi="Cambria"/>
          <w:color w:val="231F20"/>
          <w:spacing w:val="-4"/>
        </w:rPr>
        <w:t> </w:t>
      </w:r>
      <w:r>
        <w:rPr>
          <w:rFonts w:ascii="Cambria" w:hAnsi="Cambria"/>
          <w:color w:val="231F20"/>
          <w:spacing w:val="4"/>
        </w:rPr>
        <w:t>de </w:t>
      </w:r>
      <w:r>
        <w:rPr>
          <w:rFonts w:ascii="Cambria" w:hAnsi="Cambria"/>
          <w:color w:val="231F20"/>
          <w:spacing w:val="2"/>
        </w:rPr>
        <w:t>recurrir </w:t>
      </w:r>
      <w:r>
        <w:rPr>
          <w:rFonts w:ascii="Cambria" w:hAnsi="Cambria"/>
          <w:color w:val="231F20"/>
        </w:rPr>
        <w:t>al </w:t>
      </w:r>
      <w:r>
        <w:rPr>
          <w:rFonts w:ascii="Cambria" w:hAnsi="Cambria"/>
          <w:color w:val="231F20"/>
          <w:spacing w:val="2"/>
        </w:rPr>
        <w:t>deber </w:t>
      </w:r>
      <w:r>
        <w:rPr>
          <w:rFonts w:ascii="Cambria" w:hAnsi="Cambria"/>
          <w:color w:val="231F20"/>
        </w:rPr>
        <w:t>de </w:t>
      </w:r>
      <w:r>
        <w:rPr>
          <w:rFonts w:ascii="Cambria" w:hAnsi="Cambria"/>
          <w:color w:val="231F20"/>
          <w:spacing w:val="3"/>
        </w:rPr>
        <w:t>obediencia </w:t>
      </w:r>
      <w:r>
        <w:rPr>
          <w:rFonts w:ascii="Cambria" w:hAnsi="Cambria"/>
          <w:color w:val="231F20"/>
          <w:spacing w:val="2"/>
        </w:rPr>
        <w:t>con absoluta independencia </w:t>
      </w:r>
      <w:r>
        <w:rPr>
          <w:rFonts w:ascii="Cambria" w:hAnsi="Cambria"/>
          <w:color w:val="231F20"/>
        </w:rPr>
        <w:t>de </w:t>
      </w:r>
      <w:r>
        <w:rPr>
          <w:rFonts w:ascii="Cambria" w:hAnsi="Cambria"/>
          <w:color w:val="231F20"/>
          <w:spacing w:val="2"/>
        </w:rPr>
        <w:t>toda</w:t>
      </w:r>
      <w:r>
        <w:rPr>
          <w:rFonts w:ascii="Cambria" w:hAnsi="Cambria"/>
          <w:color w:val="231F20"/>
          <w:spacing w:val="-12"/>
        </w:rPr>
        <w:t> </w:t>
      </w:r>
      <w:r>
        <w:rPr>
          <w:rFonts w:ascii="Cambria" w:hAnsi="Cambria"/>
          <w:color w:val="231F20"/>
          <w:spacing w:val="2"/>
        </w:rPr>
        <w:t>suerte</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spacing w:val="3"/>
        </w:rPr>
        <w:t>motivos</w:t>
      </w:r>
      <w:r>
        <w:rPr>
          <w:rFonts w:ascii="Cambria" w:hAnsi="Cambria"/>
          <w:color w:val="231F20"/>
          <w:spacing w:val="-12"/>
        </w:rPr>
        <w:t> </w:t>
      </w:r>
      <w:r>
        <w:rPr>
          <w:rFonts w:ascii="Cambria" w:hAnsi="Cambria"/>
          <w:color w:val="231F20"/>
        </w:rPr>
        <w:t>e</w:t>
      </w:r>
      <w:r>
        <w:rPr>
          <w:rFonts w:ascii="Cambria" w:hAnsi="Cambria"/>
          <w:color w:val="231F20"/>
          <w:spacing w:val="-12"/>
        </w:rPr>
        <w:t> </w:t>
      </w:r>
      <w:r>
        <w:rPr>
          <w:rFonts w:ascii="Cambria" w:hAnsi="Cambria"/>
          <w:color w:val="231F20"/>
          <w:spacing w:val="2"/>
        </w:rPr>
        <w:t>intereses”</w:t>
      </w:r>
      <w:r>
        <w:rPr>
          <w:rFonts w:ascii="Cambria" w:hAnsi="Cambria"/>
          <w:color w:val="231F20"/>
          <w:spacing w:val="-12"/>
        </w:rPr>
        <w:t> </w:t>
      </w:r>
      <w:r>
        <w:rPr>
          <w:rFonts w:ascii="Cambria" w:hAnsi="Cambria"/>
          <w:color w:val="231F20"/>
          <w:spacing w:val="3"/>
        </w:rPr>
        <w:t>(Weber,</w:t>
      </w:r>
      <w:r>
        <w:rPr>
          <w:rFonts w:ascii="Cambria" w:hAnsi="Cambria"/>
          <w:color w:val="231F20"/>
          <w:spacing w:val="-12"/>
        </w:rPr>
        <w:t> </w:t>
      </w:r>
      <w:r>
        <w:rPr>
          <w:rFonts w:ascii="Cambria" w:hAnsi="Cambria"/>
          <w:color w:val="231F20"/>
          <w:spacing w:val="3"/>
        </w:rPr>
        <w:t>2008:696).</w:t>
      </w:r>
      <w:r>
        <w:rPr>
          <w:rFonts w:ascii="Cambria" w:hAnsi="Cambria"/>
          <w:color w:val="231F20"/>
          <w:spacing w:val="-12"/>
        </w:rPr>
        <w:t> </w:t>
      </w:r>
      <w:r>
        <w:rPr>
          <w:rFonts w:ascii="Cambria" w:hAnsi="Cambria"/>
          <w:color w:val="231F20"/>
        </w:rPr>
        <w:t>En</w:t>
      </w:r>
      <w:r>
        <w:rPr>
          <w:rFonts w:ascii="Cambria" w:hAnsi="Cambria"/>
          <w:color w:val="231F20"/>
          <w:spacing w:val="-12"/>
        </w:rPr>
        <w:t> </w:t>
      </w:r>
      <w:r>
        <w:rPr>
          <w:rFonts w:ascii="Cambria" w:hAnsi="Cambria"/>
          <w:color w:val="231F20"/>
          <w:spacing w:val="2"/>
        </w:rPr>
        <w:t>tanto </w:t>
      </w:r>
      <w:r>
        <w:rPr>
          <w:rFonts w:ascii="Cambria" w:hAnsi="Cambria"/>
          <w:color w:val="231F20"/>
        </w:rPr>
        <w:t>que </w:t>
      </w:r>
      <w:r>
        <w:rPr>
          <w:rFonts w:ascii="Cambria" w:hAnsi="Cambria"/>
          <w:color w:val="231F20"/>
          <w:spacing w:val="2"/>
        </w:rPr>
        <w:t>Pross describe </w:t>
      </w:r>
      <w:r>
        <w:rPr>
          <w:rFonts w:ascii="Cambria" w:hAnsi="Cambria"/>
          <w:color w:val="231F20"/>
        </w:rPr>
        <w:t>el </w:t>
      </w:r>
      <w:r>
        <w:rPr>
          <w:rFonts w:ascii="Cambria" w:hAnsi="Cambria"/>
          <w:color w:val="231F20"/>
          <w:spacing w:val="2"/>
        </w:rPr>
        <w:t>poder </w:t>
      </w:r>
      <w:r>
        <w:rPr>
          <w:rFonts w:ascii="Cambria" w:hAnsi="Cambria"/>
          <w:color w:val="231F20"/>
          <w:spacing w:val="3"/>
        </w:rPr>
        <w:t>como </w:t>
      </w:r>
      <w:r>
        <w:rPr>
          <w:rFonts w:ascii="Cambria" w:hAnsi="Cambria"/>
          <w:color w:val="231F20"/>
          <w:spacing w:val="2"/>
        </w:rPr>
        <w:t>una imposición unívoca </w:t>
      </w:r>
      <w:r>
        <w:rPr>
          <w:rFonts w:ascii="Cambria" w:hAnsi="Cambria"/>
          <w:color w:val="231F20"/>
        </w:rPr>
        <w:t>de </w:t>
      </w:r>
      <w:r>
        <w:rPr>
          <w:rFonts w:ascii="Cambria" w:hAnsi="Cambria"/>
          <w:color w:val="231F20"/>
          <w:spacing w:val="3"/>
        </w:rPr>
        <w:t>significados.</w:t>
      </w:r>
    </w:p>
    <w:p>
      <w:pPr>
        <w:pStyle w:val="BodyText"/>
        <w:spacing w:line="244" w:lineRule="auto"/>
        <w:ind w:left="101" w:right="115" w:firstLine="284"/>
        <w:jc w:val="both"/>
        <w:rPr>
          <w:rFonts w:ascii="Cambria" w:hAnsi="Cambria"/>
        </w:rPr>
      </w:pPr>
      <w:r>
        <w:rPr>
          <w:rFonts w:ascii="Cambria" w:hAnsi="Cambria"/>
          <w:color w:val="231F20"/>
          <w:spacing w:val="2"/>
        </w:rPr>
        <w:t>Una</w:t>
      </w:r>
      <w:r>
        <w:rPr>
          <w:rFonts w:ascii="Cambria" w:hAnsi="Cambria"/>
          <w:color w:val="231F20"/>
          <w:spacing w:val="-26"/>
        </w:rPr>
        <w:t> </w:t>
      </w:r>
      <w:r>
        <w:rPr>
          <w:rFonts w:ascii="Cambria" w:hAnsi="Cambria"/>
          <w:color w:val="231F20"/>
          <w:spacing w:val="2"/>
        </w:rPr>
        <w:t>versión</w:t>
      </w:r>
      <w:r>
        <w:rPr>
          <w:rFonts w:ascii="Cambria" w:hAnsi="Cambria"/>
          <w:color w:val="231F20"/>
          <w:spacing w:val="-26"/>
        </w:rPr>
        <w:t> </w:t>
      </w:r>
      <w:r>
        <w:rPr>
          <w:rFonts w:ascii="Cambria" w:hAnsi="Cambria"/>
          <w:color w:val="231F20"/>
          <w:spacing w:val="2"/>
        </w:rPr>
        <w:t>peculiar</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spacing w:val="2"/>
        </w:rPr>
        <w:t>violencia</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spacing w:val="3"/>
        </w:rPr>
        <w:t>proporciona</w:t>
      </w:r>
      <w:r>
        <w:rPr>
          <w:rFonts w:ascii="Cambria" w:hAnsi="Cambria"/>
          <w:color w:val="231F20"/>
          <w:spacing w:val="-26"/>
        </w:rPr>
        <w:t> </w:t>
      </w:r>
      <w:r>
        <w:rPr>
          <w:rFonts w:ascii="Cambria" w:hAnsi="Cambria"/>
          <w:color w:val="231F20"/>
          <w:spacing w:val="2"/>
        </w:rPr>
        <w:t>María</w:t>
      </w:r>
      <w:r>
        <w:rPr>
          <w:rFonts w:ascii="Cambria" w:hAnsi="Cambria"/>
          <w:color w:val="231F20"/>
          <w:spacing w:val="-26"/>
        </w:rPr>
        <w:t> </w:t>
      </w:r>
      <w:r>
        <w:rPr>
          <w:rFonts w:ascii="Cambria" w:hAnsi="Cambria"/>
          <w:color w:val="231F20"/>
          <w:spacing w:val="2"/>
        </w:rPr>
        <w:t>Jesús Izquierdo que, </w:t>
      </w:r>
      <w:r>
        <w:rPr>
          <w:rFonts w:ascii="Cambria" w:hAnsi="Cambria"/>
          <w:color w:val="231F20"/>
        </w:rPr>
        <w:t>en un </w:t>
      </w:r>
      <w:r>
        <w:rPr>
          <w:rFonts w:ascii="Cambria" w:hAnsi="Cambria"/>
          <w:color w:val="231F20"/>
          <w:spacing w:val="2"/>
        </w:rPr>
        <w:t>intento por recuperar </w:t>
      </w:r>
      <w:r>
        <w:rPr>
          <w:rFonts w:ascii="Cambria" w:hAnsi="Cambria"/>
          <w:color w:val="231F20"/>
        </w:rPr>
        <w:t>la </w:t>
      </w:r>
      <w:r>
        <w:rPr>
          <w:rFonts w:ascii="Cambria" w:hAnsi="Cambria"/>
          <w:color w:val="231F20"/>
          <w:spacing w:val="2"/>
        </w:rPr>
        <w:t>subjetividad (Iz- quierdo, 1998), parte </w:t>
      </w:r>
      <w:r>
        <w:rPr>
          <w:rFonts w:ascii="Cambria" w:hAnsi="Cambria"/>
          <w:color w:val="231F20"/>
        </w:rPr>
        <w:t>de un </w:t>
      </w:r>
      <w:r>
        <w:rPr>
          <w:rFonts w:ascii="Cambria" w:hAnsi="Cambria"/>
          <w:color w:val="231F20"/>
          <w:spacing w:val="2"/>
        </w:rPr>
        <w:t>señalamiento </w:t>
      </w:r>
      <w:r>
        <w:rPr>
          <w:rFonts w:ascii="Cambria" w:hAnsi="Cambria"/>
          <w:color w:val="231F20"/>
        </w:rPr>
        <w:t>que </w:t>
      </w:r>
      <w:r>
        <w:rPr>
          <w:rFonts w:ascii="Cambria" w:hAnsi="Cambria"/>
          <w:color w:val="231F20"/>
          <w:spacing w:val="3"/>
        </w:rPr>
        <w:t>confronta </w:t>
      </w:r>
      <w:r>
        <w:rPr>
          <w:rFonts w:ascii="Cambria" w:hAnsi="Cambria"/>
          <w:color w:val="231F20"/>
          <w:spacing w:val="2"/>
        </w:rPr>
        <w:t>por </w:t>
      </w:r>
      <w:r>
        <w:rPr>
          <w:rFonts w:ascii="Cambria" w:hAnsi="Cambria"/>
          <w:color w:val="231F20"/>
        </w:rPr>
        <w:t>un </w:t>
      </w:r>
      <w:r>
        <w:rPr>
          <w:rFonts w:ascii="Cambria" w:hAnsi="Cambria"/>
          <w:color w:val="231F20"/>
          <w:spacing w:val="2"/>
        </w:rPr>
        <w:t>lado, </w:t>
      </w:r>
      <w:r>
        <w:rPr>
          <w:rFonts w:ascii="Cambria" w:hAnsi="Cambria"/>
          <w:color w:val="231F20"/>
        </w:rPr>
        <w:t>lo </w:t>
      </w:r>
      <w:r>
        <w:rPr>
          <w:rFonts w:ascii="Cambria" w:hAnsi="Cambria"/>
          <w:color w:val="231F20"/>
          <w:spacing w:val="2"/>
        </w:rPr>
        <w:t>social </w:t>
      </w:r>
      <w:r>
        <w:rPr>
          <w:rFonts w:ascii="Cambria" w:hAnsi="Cambria"/>
          <w:color w:val="231F20"/>
        </w:rPr>
        <w:t>y </w:t>
      </w:r>
      <w:r>
        <w:rPr>
          <w:rFonts w:ascii="Cambria" w:hAnsi="Cambria"/>
          <w:color w:val="231F20"/>
          <w:spacing w:val="2"/>
        </w:rPr>
        <w:t>político </w:t>
      </w:r>
      <w:r>
        <w:rPr>
          <w:rFonts w:ascii="Cambria" w:hAnsi="Cambria"/>
          <w:color w:val="231F20"/>
          <w:spacing w:val="3"/>
        </w:rPr>
        <w:t>oponiendo </w:t>
      </w:r>
      <w:r>
        <w:rPr>
          <w:rFonts w:ascii="Cambria" w:hAnsi="Cambria"/>
          <w:color w:val="231F20"/>
        </w:rPr>
        <w:t>la </w:t>
      </w:r>
      <w:r>
        <w:rPr>
          <w:rFonts w:ascii="Cambria" w:hAnsi="Cambria"/>
          <w:color w:val="231F20"/>
          <w:spacing w:val="2"/>
        </w:rPr>
        <w:t>violencia </w:t>
      </w:r>
      <w:r>
        <w:rPr>
          <w:rFonts w:ascii="Cambria" w:hAnsi="Cambria"/>
          <w:color w:val="231F20"/>
        </w:rPr>
        <w:t>a la </w:t>
      </w:r>
      <w:r>
        <w:rPr>
          <w:rFonts w:ascii="Cambria" w:hAnsi="Cambria"/>
          <w:color w:val="231F20"/>
          <w:spacing w:val="3"/>
        </w:rPr>
        <w:t>democracia, </w:t>
      </w:r>
      <w:r>
        <w:rPr>
          <w:rFonts w:ascii="Cambria" w:hAnsi="Cambria"/>
          <w:color w:val="231F20"/>
          <w:spacing w:val="2"/>
        </w:rPr>
        <w:t>por</w:t>
      </w:r>
      <w:r>
        <w:rPr>
          <w:rFonts w:ascii="Cambria" w:hAnsi="Cambria"/>
          <w:color w:val="231F20"/>
          <w:spacing w:val="-19"/>
        </w:rPr>
        <w:t> </w:t>
      </w:r>
      <w:r>
        <w:rPr>
          <w:rFonts w:ascii="Cambria" w:hAnsi="Cambria"/>
          <w:color w:val="231F20"/>
          <w:spacing w:val="2"/>
        </w:rPr>
        <w:t>otro</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spacing w:val="2"/>
        </w:rPr>
        <w:t>violencia</w:t>
      </w:r>
      <w:r>
        <w:rPr>
          <w:rFonts w:ascii="Cambria" w:hAnsi="Cambria"/>
          <w:color w:val="231F20"/>
          <w:spacing w:val="-18"/>
        </w:rPr>
        <w:t> </w:t>
      </w:r>
      <w:r>
        <w:rPr>
          <w:rFonts w:ascii="Cambria" w:hAnsi="Cambria"/>
          <w:color w:val="231F20"/>
        </w:rPr>
        <w:t>se</w:t>
      </w:r>
      <w:r>
        <w:rPr>
          <w:rFonts w:ascii="Cambria" w:hAnsi="Cambria"/>
          <w:color w:val="231F20"/>
          <w:spacing w:val="-19"/>
        </w:rPr>
        <w:t> </w:t>
      </w:r>
      <w:r>
        <w:rPr>
          <w:rFonts w:ascii="Cambria" w:hAnsi="Cambria"/>
          <w:color w:val="231F20"/>
          <w:spacing w:val="2"/>
        </w:rPr>
        <w:t>resigna</w:t>
      </w:r>
      <w:r>
        <w:rPr>
          <w:rFonts w:ascii="Cambria" w:hAnsi="Cambria"/>
          <w:color w:val="231F20"/>
          <w:spacing w:val="-18"/>
        </w:rPr>
        <w:t> </w:t>
      </w:r>
      <w:r>
        <w:rPr>
          <w:rFonts w:ascii="Cambria" w:hAnsi="Cambria"/>
          <w:color w:val="231F20"/>
        </w:rPr>
        <w:t>al</w:t>
      </w:r>
      <w:r>
        <w:rPr>
          <w:rFonts w:ascii="Cambria" w:hAnsi="Cambria"/>
          <w:color w:val="231F20"/>
          <w:spacing w:val="-19"/>
        </w:rPr>
        <w:t> </w:t>
      </w:r>
      <w:r>
        <w:rPr>
          <w:rFonts w:ascii="Cambria" w:hAnsi="Cambria"/>
          <w:color w:val="231F20"/>
          <w:spacing w:val="3"/>
        </w:rPr>
        <w:t>“binomio</w:t>
      </w:r>
      <w:r>
        <w:rPr>
          <w:rFonts w:ascii="Cambria" w:hAnsi="Cambria"/>
          <w:color w:val="231F20"/>
          <w:spacing w:val="-18"/>
        </w:rPr>
        <w:t> </w:t>
      </w:r>
      <w:r>
        <w:rPr>
          <w:rFonts w:ascii="Cambria" w:hAnsi="Cambria"/>
          <w:color w:val="231F20"/>
          <w:spacing w:val="2"/>
        </w:rPr>
        <w:t>agresor/víctima,</w:t>
      </w:r>
      <w:r>
        <w:rPr>
          <w:rFonts w:ascii="Cambria" w:hAnsi="Cambria"/>
          <w:color w:val="231F20"/>
          <w:spacing w:val="-19"/>
        </w:rPr>
        <w:t> </w:t>
      </w:r>
      <w:r>
        <w:rPr>
          <w:rFonts w:ascii="Cambria" w:hAnsi="Cambria"/>
          <w:color w:val="231F20"/>
          <w:spacing w:val="4"/>
        </w:rPr>
        <w:t>don- </w:t>
      </w:r>
      <w:r>
        <w:rPr>
          <w:rFonts w:ascii="Cambria" w:hAnsi="Cambria"/>
          <w:color w:val="231F20"/>
        </w:rPr>
        <w:t>de</w:t>
      </w:r>
      <w:r>
        <w:rPr>
          <w:rFonts w:ascii="Cambria" w:hAnsi="Cambria"/>
          <w:color w:val="231F20"/>
          <w:spacing w:val="-13"/>
        </w:rPr>
        <w:t> </w:t>
      </w:r>
      <w:r>
        <w:rPr>
          <w:rFonts w:ascii="Cambria" w:hAnsi="Cambria"/>
          <w:color w:val="231F20"/>
        </w:rPr>
        <w:t>el</w:t>
      </w:r>
      <w:r>
        <w:rPr>
          <w:rFonts w:ascii="Cambria" w:hAnsi="Cambria"/>
          <w:color w:val="231F20"/>
          <w:spacing w:val="-14"/>
        </w:rPr>
        <w:t> </w:t>
      </w:r>
      <w:r>
        <w:rPr>
          <w:rFonts w:ascii="Cambria" w:hAnsi="Cambria"/>
          <w:color w:val="231F20"/>
          <w:spacing w:val="2"/>
        </w:rPr>
        <w:t>agresor</w:t>
      </w:r>
      <w:r>
        <w:rPr>
          <w:rFonts w:ascii="Cambria" w:hAnsi="Cambria"/>
          <w:color w:val="231F20"/>
          <w:spacing w:val="-14"/>
        </w:rPr>
        <w:t> </w:t>
      </w:r>
      <w:r>
        <w:rPr>
          <w:rFonts w:ascii="Cambria" w:hAnsi="Cambria"/>
          <w:color w:val="231F20"/>
        </w:rPr>
        <w:t>es</w:t>
      </w:r>
      <w:r>
        <w:rPr>
          <w:rFonts w:ascii="Cambria" w:hAnsi="Cambria"/>
          <w:color w:val="231F20"/>
          <w:spacing w:val="-13"/>
        </w:rPr>
        <w:t> </w:t>
      </w:r>
      <w:r>
        <w:rPr>
          <w:rFonts w:ascii="Cambria" w:hAnsi="Cambria"/>
          <w:color w:val="231F20"/>
        </w:rPr>
        <w:t>un</w:t>
      </w:r>
      <w:r>
        <w:rPr>
          <w:rFonts w:ascii="Cambria" w:hAnsi="Cambria"/>
          <w:color w:val="231F20"/>
          <w:spacing w:val="-13"/>
        </w:rPr>
        <w:t> </w:t>
      </w:r>
      <w:r>
        <w:rPr>
          <w:rFonts w:ascii="Cambria" w:hAnsi="Cambria"/>
          <w:color w:val="231F20"/>
          <w:spacing w:val="3"/>
        </w:rPr>
        <w:t>hombre</w:t>
      </w:r>
      <w:r>
        <w:rPr>
          <w:rFonts w:ascii="Cambria" w:hAnsi="Cambria"/>
          <w:color w:val="231F20"/>
          <w:spacing w:val="-13"/>
        </w:rPr>
        <w:t> </w:t>
      </w:r>
      <w:r>
        <w:rPr>
          <w:rFonts w:ascii="Cambria" w:hAnsi="Cambria"/>
          <w:color w:val="231F20"/>
        </w:rPr>
        <w:t>y</w:t>
      </w:r>
      <w:r>
        <w:rPr>
          <w:rFonts w:ascii="Cambria" w:hAnsi="Cambria"/>
          <w:color w:val="231F20"/>
          <w:spacing w:val="-13"/>
        </w:rPr>
        <w:t> </w:t>
      </w:r>
      <w:r>
        <w:rPr>
          <w:rFonts w:ascii="Cambria" w:hAnsi="Cambria"/>
          <w:color w:val="231F20"/>
        </w:rPr>
        <w:t>la</w:t>
      </w:r>
      <w:r>
        <w:rPr>
          <w:rFonts w:ascii="Cambria" w:hAnsi="Cambria"/>
          <w:color w:val="231F20"/>
          <w:spacing w:val="-12"/>
        </w:rPr>
        <w:t> </w:t>
      </w:r>
      <w:r>
        <w:rPr>
          <w:rFonts w:ascii="Cambria" w:hAnsi="Cambria"/>
          <w:color w:val="231F20"/>
          <w:spacing w:val="2"/>
        </w:rPr>
        <w:t>víctima</w:t>
      </w:r>
      <w:r>
        <w:rPr>
          <w:rFonts w:ascii="Cambria" w:hAnsi="Cambria"/>
          <w:color w:val="231F20"/>
          <w:spacing w:val="-13"/>
        </w:rPr>
        <w:t> </w:t>
      </w:r>
      <w:r>
        <w:rPr>
          <w:rFonts w:ascii="Cambria" w:hAnsi="Cambria"/>
          <w:color w:val="231F20"/>
        </w:rPr>
        <w:t>una</w:t>
      </w:r>
      <w:r>
        <w:rPr>
          <w:rFonts w:ascii="Cambria" w:hAnsi="Cambria"/>
          <w:color w:val="231F20"/>
          <w:spacing w:val="-13"/>
        </w:rPr>
        <w:t> </w:t>
      </w:r>
      <w:r>
        <w:rPr>
          <w:rFonts w:ascii="Cambria" w:hAnsi="Cambria"/>
          <w:color w:val="231F20"/>
          <w:spacing w:val="2"/>
        </w:rPr>
        <w:t>mujer.</w:t>
      </w:r>
      <w:r>
        <w:rPr>
          <w:rFonts w:ascii="Cambria" w:hAnsi="Cambria"/>
          <w:color w:val="231F20"/>
          <w:spacing w:val="-14"/>
        </w:rPr>
        <w:t> </w:t>
      </w:r>
      <w:r>
        <w:rPr>
          <w:rFonts w:ascii="Cambria" w:hAnsi="Cambria"/>
          <w:color w:val="231F20"/>
        </w:rPr>
        <w:t>El</w:t>
      </w:r>
      <w:r>
        <w:rPr>
          <w:rFonts w:ascii="Cambria" w:hAnsi="Cambria"/>
          <w:color w:val="231F20"/>
          <w:spacing w:val="-14"/>
        </w:rPr>
        <w:t> </w:t>
      </w:r>
      <w:r>
        <w:rPr>
          <w:rFonts w:ascii="Cambria" w:hAnsi="Cambria"/>
          <w:color w:val="231F20"/>
          <w:spacing w:val="2"/>
        </w:rPr>
        <w:t>resultado</w:t>
      </w:r>
      <w:r>
        <w:rPr>
          <w:rFonts w:ascii="Cambria" w:hAnsi="Cambria"/>
          <w:color w:val="231F20"/>
          <w:spacing w:val="-13"/>
        </w:rPr>
        <w:t> </w:t>
      </w:r>
      <w:r>
        <w:rPr>
          <w:rFonts w:ascii="Cambria" w:hAnsi="Cambria"/>
          <w:color w:val="231F20"/>
        </w:rPr>
        <w:t>es que</w:t>
      </w:r>
      <w:r>
        <w:rPr>
          <w:rFonts w:ascii="Cambria" w:hAnsi="Cambria"/>
          <w:color w:val="231F20"/>
          <w:spacing w:val="-5"/>
        </w:rPr>
        <w:t> </w:t>
      </w:r>
      <w:r>
        <w:rPr>
          <w:rFonts w:ascii="Cambria" w:hAnsi="Cambria"/>
          <w:color w:val="231F20"/>
        </w:rPr>
        <w:t>de</w:t>
      </w:r>
      <w:r>
        <w:rPr>
          <w:rFonts w:ascii="Cambria" w:hAnsi="Cambria"/>
          <w:color w:val="231F20"/>
          <w:spacing w:val="-5"/>
        </w:rPr>
        <w:t> </w:t>
      </w:r>
      <w:r>
        <w:rPr>
          <w:rFonts w:ascii="Cambria" w:hAnsi="Cambria"/>
          <w:color w:val="231F20"/>
          <w:spacing w:val="2"/>
        </w:rPr>
        <w:t>una</w:t>
      </w:r>
      <w:r>
        <w:rPr>
          <w:rFonts w:ascii="Cambria" w:hAnsi="Cambria"/>
          <w:color w:val="231F20"/>
          <w:spacing w:val="-5"/>
        </w:rPr>
        <w:t> </w:t>
      </w:r>
      <w:r>
        <w:rPr>
          <w:rFonts w:ascii="Cambria" w:hAnsi="Cambria"/>
          <w:color w:val="231F20"/>
          <w:spacing w:val="2"/>
        </w:rPr>
        <w:t>parte</w:t>
      </w:r>
      <w:r>
        <w:rPr>
          <w:rFonts w:ascii="Cambria" w:hAnsi="Cambria"/>
          <w:color w:val="231F20"/>
          <w:spacing w:val="-5"/>
        </w:rPr>
        <w:t> </w:t>
      </w:r>
      <w:r>
        <w:rPr>
          <w:rFonts w:ascii="Cambria" w:hAnsi="Cambria"/>
          <w:color w:val="231F20"/>
        </w:rPr>
        <w:t>se</w:t>
      </w:r>
      <w:r>
        <w:rPr>
          <w:rFonts w:ascii="Cambria" w:hAnsi="Cambria"/>
          <w:color w:val="231F20"/>
          <w:spacing w:val="-5"/>
        </w:rPr>
        <w:t> </w:t>
      </w:r>
      <w:r>
        <w:rPr>
          <w:rFonts w:ascii="Cambria" w:hAnsi="Cambria"/>
          <w:color w:val="231F20"/>
          <w:spacing w:val="2"/>
        </w:rPr>
        <w:t>define</w:t>
      </w:r>
      <w:r>
        <w:rPr>
          <w:rFonts w:ascii="Cambria" w:hAnsi="Cambria"/>
          <w:color w:val="231F20"/>
          <w:spacing w:val="-5"/>
        </w:rPr>
        <w:t> </w:t>
      </w:r>
      <w:r>
        <w:rPr>
          <w:rFonts w:ascii="Cambria" w:hAnsi="Cambria"/>
          <w:color w:val="231F20"/>
          <w:spacing w:val="3"/>
        </w:rPr>
        <w:t>como</w:t>
      </w:r>
      <w:r>
        <w:rPr>
          <w:rFonts w:ascii="Cambria" w:hAnsi="Cambria"/>
          <w:color w:val="231F20"/>
          <w:spacing w:val="-4"/>
        </w:rPr>
        <w:t> </w:t>
      </w:r>
      <w:r>
        <w:rPr>
          <w:rFonts w:ascii="Cambria" w:hAnsi="Cambria"/>
          <w:color w:val="231F20"/>
          <w:spacing w:val="3"/>
        </w:rPr>
        <w:t>problema</w:t>
      </w:r>
      <w:r>
        <w:rPr>
          <w:rFonts w:ascii="Cambria" w:hAnsi="Cambria"/>
          <w:color w:val="231F20"/>
          <w:spacing w:val="-5"/>
        </w:rPr>
        <w:t> </w:t>
      </w:r>
      <w:r>
        <w:rPr>
          <w:rFonts w:ascii="Cambria" w:hAnsi="Cambria"/>
          <w:color w:val="231F20"/>
        </w:rPr>
        <w:t>el</w:t>
      </w:r>
      <w:r>
        <w:rPr>
          <w:rFonts w:ascii="Cambria" w:hAnsi="Cambria"/>
          <w:color w:val="231F20"/>
          <w:spacing w:val="-5"/>
        </w:rPr>
        <w:t> </w:t>
      </w:r>
      <w:r>
        <w:rPr>
          <w:rFonts w:ascii="Cambria" w:hAnsi="Cambria"/>
          <w:color w:val="231F20"/>
        </w:rPr>
        <w:t>uso</w:t>
      </w:r>
      <w:r>
        <w:rPr>
          <w:rFonts w:ascii="Cambria" w:hAnsi="Cambria"/>
          <w:color w:val="231F20"/>
          <w:spacing w:val="-4"/>
        </w:rPr>
        <w:t> </w:t>
      </w:r>
      <w:r>
        <w:rPr>
          <w:rFonts w:ascii="Cambria" w:hAnsi="Cambria"/>
          <w:color w:val="231F20"/>
        </w:rPr>
        <w:t>de</w:t>
      </w:r>
      <w:r>
        <w:rPr>
          <w:rFonts w:ascii="Cambria" w:hAnsi="Cambria"/>
          <w:color w:val="231F20"/>
          <w:spacing w:val="-5"/>
        </w:rPr>
        <w:t> </w:t>
      </w:r>
      <w:r>
        <w:rPr>
          <w:rFonts w:ascii="Cambria" w:hAnsi="Cambria"/>
          <w:color w:val="231F20"/>
        </w:rPr>
        <w:t>la</w:t>
      </w:r>
      <w:r>
        <w:rPr>
          <w:rFonts w:ascii="Cambria" w:hAnsi="Cambria"/>
          <w:color w:val="231F20"/>
          <w:spacing w:val="-5"/>
        </w:rPr>
        <w:t> </w:t>
      </w:r>
      <w:r>
        <w:rPr>
          <w:rFonts w:ascii="Cambria" w:hAnsi="Cambria"/>
          <w:color w:val="231F20"/>
          <w:spacing w:val="2"/>
        </w:rPr>
        <w:t>violencia, aislando</w:t>
      </w:r>
      <w:r>
        <w:rPr>
          <w:rFonts w:ascii="Cambria" w:hAnsi="Cambria"/>
          <w:color w:val="231F20"/>
          <w:spacing w:val="-14"/>
        </w:rPr>
        <w:t> </w:t>
      </w:r>
      <w:r>
        <w:rPr>
          <w:rFonts w:ascii="Cambria" w:hAnsi="Cambria"/>
          <w:color w:val="231F20"/>
        </w:rPr>
        <w:t>el</w:t>
      </w:r>
      <w:r>
        <w:rPr>
          <w:rFonts w:ascii="Cambria" w:hAnsi="Cambria"/>
          <w:color w:val="231F20"/>
          <w:spacing w:val="-15"/>
        </w:rPr>
        <w:t> </w:t>
      </w:r>
      <w:r>
        <w:rPr>
          <w:rFonts w:ascii="Cambria" w:hAnsi="Cambria"/>
          <w:color w:val="231F20"/>
          <w:spacing w:val="3"/>
        </w:rPr>
        <w:t>fenómeno,</w:t>
      </w:r>
      <w:r>
        <w:rPr>
          <w:rFonts w:ascii="Cambria" w:hAnsi="Cambria"/>
          <w:color w:val="231F20"/>
          <w:spacing w:val="-15"/>
        </w:rPr>
        <w:t> </w:t>
      </w:r>
      <w:r>
        <w:rPr>
          <w:rFonts w:ascii="Cambria" w:hAnsi="Cambria"/>
          <w:color w:val="231F20"/>
          <w:spacing w:val="3"/>
        </w:rPr>
        <w:t>tomándolo</w:t>
      </w:r>
      <w:r>
        <w:rPr>
          <w:rFonts w:ascii="Cambria" w:hAnsi="Cambria"/>
          <w:color w:val="231F20"/>
          <w:spacing w:val="-15"/>
        </w:rPr>
        <w:t> </w:t>
      </w:r>
      <w:r>
        <w:rPr>
          <w:rFonts w:ascii="Cambria" w:hAnsi="Cambria"/>
          <w:color w:val="231F20"/>
          <w:spacing w:val="3"/>
        </w:rPr>
        <w:t>como</w:t>
      </w:r>
      <w:r>
        <w:rPr>
          <w:rFonts w:ascii="Cambria" w:hAnsi="Cambria"/>
          <w:color w:val="231F20"/>
          <w:spacing w:val="-15"/>
        </w:rPr>
        <w:t> </w:t>
      </w:r>
      <w:r>
        <w:rPr>
          <w:rFonts w:ascii="Cambria" w:hAnsi="Cambria"/>
          <w:color w:val="231F20"/>
        </w:rPr>
        <w:t>algo</w:t>
      </w:r>
      <w:r>
        <w:rPr>
          <w:rFonts w:ascii="Cambria" w:hAnsi="Cambria"/>
          <w:color w:val="231F20"/>
          <w:spacing w:val="-15"/>
        </w:rPr>
        <w:t> </w:t>
      </w:r>
      <w:r>
        <w:rPr>
          <w:rFonts w:ascii="Cambria" w:hAnsi="Cambria"/>
          <w:color w:val="231F20"/>
          <w:spacing w:val="2"/>
        </w:rPr>
        <w:t>excepcional,</w:t>
      </w:r>
      <w:r>
        <w:rPr>
          <w:rFonts w:ascii="Cambria" w:hAnsi="Cambria"/>
          <w:color w:val="231F20"/>
          <w:spacing w:val="-15"/>
        </w:rPr>
        <w:t> </w:t>
      </w:r>
      <w:r>
        <w:rPr>
          <w:rFonts w:ascii="Cambria" w:hAnsi="Cambria"/>
          <w:color w:val="231F20"/>
        </w:rPr>
        <w:t>y</w:t>
      </w:r>
      <w:r>
        <w:rPr>
          <w:rFonts w:ascii="Cambria" w:hAnsi="Cambria"/>
          <w:color w:val="231F20"/>
          <w:spacing w:val="-15"/>
        </w:rPr>
        <w:t> </w:t>
      </w:r>
      <w:r>
        <w:rPr>
          <w:rFonts w:ascii="Cambria" w:hAnsi="Cambria"/>
          <w:color w:val="231F20"/>
          <w:spacing w:val="2"/>
        </w:rPr>
        <w:t>por</w:t>
      </w:r>
      <w:r>
        <w:rPr>
          <w:rFonts w:ascii="Cambria" w:hAnsi="Cambria"/>
          <w:color w:val="231F20"/>
          <w:spacing w:val="-14"/>
        </w:rPr>
        <w:t> </w:t>
      </w:r>
      <w:r>
        <w:rPr>
          <w:rFonts w:ascii="Cambria" w:hAnsi="Cambria"/>
          <w:color w:val="231F20"/>
        </w:rPr>
        <w:t>la </w:t>
      </w:r>
      <w:r>
        <w:rPr>
          <w:rFonts w:ascii="Cambria" w:hAnsi="Cambria"/>
          <w:color w:val="231F20"/>
          <w:spacing w:val="2"/>
        </w:rPr>
        <w:t>otra </w:t>
      </w:r>
      <w:r>
        <w:rPr>
          <w:rFonts w:ascii="Cambria" w:hAnsi="Cambria"/>
          <w:color w:val="231F20"/>
        </w:rPr>
        <w:t>se </w:t>
      </w:r>
      <w:r>
        <w:rPr>
          <w:rFonts w:ascii="Cambria" w:hAnsi="Cambria"/>
          <w:color w:val="231F20"/>
          <w:spacing w:val="3"/>
        </w:rPr>
        <w:t>supone </w:t>
      </w:r>
      <w:r>
        <w:rPr>
          <w:rFonts w:ascii="Cambria" w:hAnsi="Cambria"/>
          <w:color w:val="231F20"/>
        </w:rPr>
        <w:t>que el no </w:t>
      </w:r>
      <w:r>
        <w:rPr>
          <w:rFonts w:ascii="Cambria" w:hAnsi="Cambria"/>
          <w:color w:val="231F20"/>
          <w:spacing w:val="2"/>
        </w:rPr>
        <w:t>violento </w:t>
      </w:r>
      <w:r>
        <w:rPr>
          <w:rFonts w:ascii="Cambria" w:hAnsi="Cambria"/>
          <w:color w:val="231F20"/>
        </w:rPr>
        <w:t>es </w:t>
      </w:r>
      <w:r>
        <w:rPr>
          <w:rFonts w:ascii="Cambria" w:hAnsi="Cambria"/>
          <w:color w:val="231F20"/>
          <w:spacing w:val="2"/>
        </w:rPr>
        <w:t>víctima </w:t>
      </w:r>
      <w:r>
        <w:rPr>
          <w:rFonts w:ascii="Cambria" w:hAnsi="Cambria"/>
          <w:color w:val="231F20"/>
        </w:rPr>
        <w:t>y solo </w:t>
      </w:r>
      <w:r>
        <w:rPr>
          <w:rFonts w:ascii="Cambria" w:hAnsi="Cambria"/>
          <w:color w:val="231F20"/>
          <w:spacing w:val="2"/>
        </w:rPr>
        <w:t>víctima, </w:t>
      </w:r>
      <w:r>
        <w:rPr>
          <w:rFonts w:ascii="Cambria" w:hAnsi="Cambria"/>
          <w:color w:val="231F20"/>
        </w:rPr>
        <w:t>su </w:t>
      </w:r>
      <w:r>
        <w:rPr>
          <w:rFonts w:ascii="Cambria" w:hAnsi="Cambria"/>
          <w:color w:val="231F20"/>
          <w:spacing w:val="2"/>
        </w:rPr>
        <w:t>relación con </w:t>
      </w:r>
      <w:r>
        <w:rPr>
          <w:rFonts w:ascii="Cambria" w:hAnsi="Cambria"/>
          <w:color w:val="231F20"/>
        </w:rPr>
        <w:t>el </w:t>
      </w:r>
      <w:r>
        <w:rPr>
          <w:rFonts w:ascii="Cambria" w:hAnsi="Cambria"/>
          <w:color w:val="231F20"/>
          <w:spacing w:val="2"/>
        </w:rPr>
        <w:t>hecho violento </w:t>
      </w:r>
      <w:r>
        <w:rPr>
          <w:rFonts w:ascii="Cambria" w:hAnsi="Cambria"/>
          <w:color w:val="231F20"/>
        </w:rPr>
        <w:t>no es </w:t>
      </w:r>
      <w:r>
        <w:rPr>
          <w:rFonts w:ascii="Cambria" w:hAnsi="Cambria"/>
          <w:color w:val="231F20"/>
          <w:spacing w:val="2"/>
        </w:rPr>
        <w:t>otra cosa </w:t>
      </w:r>
      <w:r>
        <w:rPr>
          <w:rFonts w:ascii="Cambria" w:hAnsi="Cambria"/>
          <w:color w:val="231F20"/>
        </w:rPr>
        <w:t>que la de </w:t>
      </w:r>
      <w:r>
        <w:rPr>
          <w:rFonts w:ascii="Cambria" w:hAnsi="Cambria"/>
          <w:color w:val="231F20"/>
          <w:spacing w:val="2"/>
        </w:rPr>
        <w:t>sufrirlo. </w:t>
      </w:r>
      <w:r>
        <w:rPr>
          <w:rFonts w:ascii="Cambria" w:hAnsi="Cambria"/>
          <w:color w:val="231F20"/>
        </w:rPr>
        <w:t>Se </w:t>
      </w:r>
      <w:r>
        <w:rPr>
          <w:rFonts w:ascii="Cambria" w:hAnsi="Cambria"/>
          <w:color w:val="231F20"/>
          <w:spacing w:val="2"/>
        </w:rPr>
        <w:t>realiza una definición </w:t>
      </w:r>
      <w:r>
        <w:rPr>
          <w:rFonts w:ascii="Cambria" w:hAnsi="Cambria"/>
          <w:color w:val="231F20"/>
        </w:rPr>
        <w:t>de </w:t>
      </w:r>
      <w:r>
        <w:rPr>
          <w:rFonts w:ascii="Cambria" w:hAnsi="Cambria"/>
          <w:color w:val="231F20"/>
          <w:spacing w:val="2"/>
        </w:rPr>
        <w:t>realidad </w:t>
      </w:r>
      <w:r>
        <w:rPr>
          <w:rFonts w:ascii="Cambria" w:hAnsi="Cambria"/>
          <w:color w:val="231F20"/>
        </w:rPr>
        <w:t>en que el </w:t>
      </w:r>
      <w:r>
        <w:rPr>
          <w:rFonts w:ascii="Cambria" w:hAnsi="Cambria"/>
          <w:color w:val="231F20"/>
          <w:spacing w:val="2"/>
        </w:rPr>
        <w:t>sujeto agente </w:t>
      </w:r>
      <w:r>
        <w:rPr>
          <w:rFonts w:ascii="Cambria" w:hAnsi="Cambria"/>
          <w:color w:val="231F20"/>
        </w:rPr>
        <w:t>es </w:t>
      </w:r>
      <w:r>
        <w:rPr>
          <w:rFonts w:ascii="Cambria" w:hAnsi="Cambria"/>
          <w:color w:val="231F20"/>
          <w:spacing w:val="2"/>
        </w:rPr>
        <w:t>malo </w:t>
      </w:r>
      <w:r>
        <w:rPr>
          <w:rFonts w:ascii="Cambria" w:hAnsi="Cambria"/>
          <w:color w:val="231F20"/>
        </w:rPr>
        <w:t>y el </w:t>
      </w:r>
      <w:r>
        <w:rPr>
          <w:rFonts w:ascii="Cambria" w:hAnsi="Cambria"/>
          <w:color w:val="231F20"/>
          <w:spacing w:val="2"/>
        </w:rPr>
        <w:t>sujeto paciente bueno. </w:t>
      </w:r>
      <w:r>
        <w:rPr>
          <w:rFonts w:ascii="Cambria" w:hAnsi="Cambria"/>
          <w:color w:val="231F20"/>
        </w:rPr>
        <w:t>Si el </w:t>
      </w:r>
      <w:r>
        <w:rPr>
          <w:rFonts w:ascii="Cambria" w:hAnsi="Cambria"/>
          <w:color w:val="231F20"/>
          <w:spacing w:val="2"/>
        </w:rPr>
        <w:t>malo </w:t>
      </w:r>
      <w:r>
        <w:rPr>
          <w:rFonts w:ascii="Cambria" w:hAnsi="Cambria"/>
          <w:color w:val="231F20"/>
        </w:rPr>
        <w:t>es el </w:t>
      </w:r>
      <w:r>
        <w:rPr>
          <w:rFonts w:ascii="Cambria" w:hAnsi="Cambria"/>
          <w:color w:val="231F20"/>
          <w:spacing w:val="2"/>
        </w:rPr>
        <w:t>que hace </w:t>
      </w:r>
      <w:r>
        <w:rPr>
          <w:rFonts w:ascii="Cambria" w:hAnsi="Cambria"/>
          <w:color w:val="231F20"/>
        </w:rPr>
        <w:t>las </w:t>
      </w:r>
      <w:r>
        <w:rPr>
          <w:rFonts w:ascii="Cambria" w:hAnsi="Cambria"/>
          <w:color w:val="231F20"/>
          <w:spacing w:val="4"/>
        </w:rPr>
        <w:t>co- </w:t>
      </w:r>
      <w:r>
        <w:rPr>
          <w:rFonts w:ascii="Cambria" w:hAnsi="Cambria"/>
          <w:color w:val="231F20"/>
          <w:spacing w:val="2"/>
        </w:rPr>
        <w:t>sas, ¿qué </w:t>
      </w:r>
      <w:r>
        <w:rPr>
          <w:rFonts w:ascii="Cambria" w:hAnsi="Cambria"/>
          <w:color w:val="231F20"/>
          <w:spacing w:val="3"/>
        </w:rPr>
        <w:t>hemos </w:t>
      </w:r>
      <w:r>
        <w:rPr>
          <w:rFonts w:ascii="Cambria" w:hAnsi="Cambria"/>
          <w:color w:val="231F20"/>
        </w:rPr>
        <w:t>de </w:t>
      </w:r>
      <w:r>
        <w:rPr>
          <w:rFonts w:ascii="Cambria" w:hAnsi="Cambria"/>
          <w:color w:val="231F20"/>
          <w:spacing w:val="2"/>
        </w:rPr>
        <w:t>esperar, </w:t>
      </w:r>
      <w:r>
        <w:rPr>
          <w:rFonts w:ascii="Cambria" w:hAnsi="Cambria"/>
          <w:color w:val="231F20"/>
        </w:rPr>
        <w:t>que sea el </w:t>
      </w:r>
      <w:r>
        <w:rPr>
          <w:rFonts w:ascii="Cambria" w:hAnsi="Cambria"/>
          <w:color w:val="231F20"/>
          <w:spacing w:val="2"/>
        </w:rPr>
        <w:t>malo quien </w:t>
      </w:r>
      <w:r>
        <w:rPr>
          <w:rFonts w:ascii="Cambria" w:hAnsi="Cambria"/>
          <w:color w:val="231F20"/>
        </w:rPr>
        <w:t>las </w:t>
      </w:r>
      <w:r>
        <w:rPr>
          <w:rFonts w:ascii="Cambria" w:hAnsi="Cambria"/>
          <w:color w:val="231F20"/>
          <w:spacing w:val="44"/>
        </w:rPr>
        <w:t> </w:t>
      </w:r>
      <w:r>
        <w:rPr>
          <w:rFonts w:ascii="Cambria" w:hAnsi="Cambria"/>
          <w:color w:val="231F20"/>
          <w:spacing w:val="2"/>
        </w:rPr>
        <w:t>cambie?,</w:t>
      </w:r>
    </w:p>
    <w:p>
      <w:pPr>
        <w:pStyle w:val="BodyText"/>
        <w:spacing w:line="244" w:lineRule="auto"/>
        <w:ind w:left="101" w:right="115"/>
        <w:jc w:val="both"/>
        <w:rPr>
          <w:rFonts w:ascii="Cambria" w:hAnsi="Cambria"/>
        </w:rPr>
      </w:pPr>
      <w:r>
        <w:rPr>
          <w:rFonts w:ascii="Cambria" w:hAnsi="Cambria"/>
          <w:color w:val="231F20"/>
          <w:spacing w:val="2"/>
        </w:rPr>
        <w:t>¿quién, </w:t>
      </w:r>
      <w:r>
        <w:rPr>
          <w:rFonts w:ascii="Cambria" w:hAnsi="Cambria"/>
          <w:color w:val="231F20"/>
        </w:rPr>
        <w:t>si </w:t>
      </w:r>
      <w:r>
        <w:rPr>
          <w:rFonts w:ascii="Cambria" w:hAnsi="Cambria"/>
          <w:color w:val="231F20"/>
          <w:spacing w:val="2"/>
        </w:rPr>
        <w:t>no, puede cambiar </w:t>
      </w:r>
      <w:r>
        <w:rPr>
          <w:rFonts w:ascii="Cambria" w:hAnsi="Cambria"/>
          <w:color w:val="231F20"/>
        </w:rPr>
        <w:t>las </w:t>
      </w:r>
      <w:r>
        <w:rPr>
          <w:rFonts w:ascii="Cambria" w:hAnsi="Cambria"/>
          <w:color w:val="231F20"/>
          <w:spacing w:val="2"/>
        </w:rPr>
        <w:t>cosas?Las leyes, los jueces, los tribunales,</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spacing w:val="2"/>
        </w:rPr>
        <w:t>policía;</w:t>
      </w:r>
      <w:r>
        <w:rPr>
          <w:rFonts w:ascii="Cambria" w:hAnsi="Cambria"/>
          <w:color w:val="231F20"/>
          <w:spacing w:val="-20"/>
        </w:rPr>
        <w:t> </w:t>
      </w:r>
      <w:r>
        <w:rPr>
          <w:rFonts w:ascii="Cambria" w:hAnsi="Cambria"/>
          <w:color w:val="231F20"/>
        </w:rPr>
        <w:t>o,</w:t>
      </w:r>
      <w:r>
        <w:rPr>
          <w:rFonts w:ascii="Cambria" w:hAnsi="Cambria"/>
          <w:color w:val="231F20"/>
          <w:spacing w:val="-20"/>
        </w:rPr>
        <w:t> </w:t>
      </w:r>
      <w:r>
        <w:rPr>
          <w:rFonts w:ascii="Cambria" w:hAnsi="Cambria"/>
          <w:color w:val="231F20"/>
        </w:rPr>
        <w:t>si</w:t>
      </w:r>
      <w:r>
        <w:rPr>
          <w:rFonts w:ascii="Cambria" w:hAnsi="Cambria"/>
          <w:color w:val="231F20"/>
          <w:spacing w:val="-20"/>
        </w:rPr>
        <w:t> </w:t>
      </w:r>
      <w:r>
        <w:rPr>
          <w:rFonts w:ascii="Cambria" w:hAnsi="Cambria"/>
          <w:color w:val="231F20"/>
        </w:rPr>
        <w:t>se</w:t>
      </w:r>
      <w:r>
        <w:rPr>
          <w:rFonts w:ascii="Cambria" w:hAnsi="Cambria"/>
          <w:color w:val="231F20"/>
          <w:spacing w:val="-20"/>
        </w:rPr>
        <w:t> </w:t>
      </w:r>
      <w:r>
        <w:rPr>
          <w:rFonts w:ascii="Cambria" w:hAnsi="Cambria"/>
          <w:color w:val="231F20"/>
          <w:spacing w:val="3"/>
        </w:rPr>
        <w:t>toma</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spacing w:val="2"/>
        </w:rPr>
        <w:t>línea</w:t>
      </w:r>
      <w:r>
        <w:rPr>
          <w:rFonts w:ascii="Cambria" w:hAnsi="Cambria"/>
          <w:color w:val="231F20"/>
          <w:spacing w:val="-20"/>
        </w:rPr>
        <w:t> </w:t>
      </w:r>
      <w:r>
        <w:rPr>
          <w:rFonts w:ascii="Cambria" w:hAnsi="Cambria"/>
          <w:color w:val="231F20"/>
          <w:spacing w:val="2"/>
        </w:rPr>
        <w:t>terapéutica,</w:t>
      </w:r>
      <w:r>
        <w:rPr>
          <w:rFonts w:ascii="Cambria" w:hAnsi="Cambria"/>
          <w:color w:val="231F20"/>
          <w:spacing w:val="-20"/>
        </w:rPr>
        <w:t> </w:t>
      </w:r>
      <w:r>
        <w:rPr>
          <w:rFonts w:ascii="Cambria" w:hAnsi="Cambria"/>
          <w:color w:val="231F20"/>
          <w:spacing w:val="2"/>
        </w:rPr>
        <w:t>los</w:t>
      </w:r>
      <w:r>
        <w:rPr>
          <w:rFonts w:ascii="Cambria" w:hAnsi="Cambria"/>
          <w:color w:val="231F20"/>
          <w:spacing w:val="-20"/>
        </w:rPr>
        <w:t> </w:t>
      </w:r>
      <w:r>
        <w:rPr>
          <w:rFonts w:ascii="Cambria" w:hAnsi="Cambria"/>
          <w:color w:val="231F20"/>
          <w:spacing w:val="3"/>
        </w:rPr>
        <w:t>psiquia- </w:t>
      </w:r>
      <w:r>
        <w:rPr>
          <w:rFonts w:ascii="Cambria" w:hAnsi="Cambria"/>
          <w:color w:val="231F20"/>
          <w:spacing w:val="2"/>
        </w:rPr>
        <w:t>tras.</w:t>
      </w:r>
      <w:r>
        <w:rPr>
          <w:rFonts w:ascii="Cambria" w:hAnsi="Cambria"/>
          <w:color w:val="231F20"/>
          <w:spacing w:val="-7"/>
        </w:rPr>
        <w:t> </w:t>
      </w:r>
      <w:r>
        <w:rPr>
          <w:rFonts w:ascii="Cambria" w:hAnsi="Cambria"/>
          <w:color w:val="231F20"/>
        </w:rPr>
        <w:t>La</w:t>
      </w:r>
      <w:r>
        <w:rPr>
          <w:rFonts w:ascii="Cambria" w:hAnsi="Cambria"/>
          <w:color w:val="231F20"/>
          <w:spacing w:val="-6"/>
        </w:rPr>
        <w:t> </w:t>
      </w:r>
      <w:r>
        <w:rPr>
          <w:rFonts w:ascii="Cambria" w:hAnsi="Cambria"/>
          <w:color w:val="231F20"/>
          <w:spacing w:val="2"/>
        </w:rPr>
        <w:t>víctima</w:t>
      </w:r>
      <w:r>
        <w:rPr>
          <w:rFonts w:ascii="Cambria" w:hAnsi="Cambria"/>
          <w:color w:val="231F20"/>
          <w:spacing w:val="-6"/>
        </w:rPr>
        <w:t> </w:t>
      </w:r>
      <w:r>
        <w:rPr>
          <w:rFonts w:ascii="Cambria" w:hAnsi="Cambria"/>
          <w:color w:val="231F20"/>
        </w:rPr>
        <w:t>se</w:t>
      </w:r>
      <w:r>
        <w:rPr>
          <w:rFonts w:ascii="Cambria" w:hAnsi="Cambria"/>
          <w:color w:val="231F20"/>
          <w:spacing w:val="-6"/>
        </w:rPr>
        <w:t> </w:t>
      </w:r>
      <w:r>
        <w:rPr>
          <w:rFonts w:ascii="Cambria" w:hAnsi="Cambria"/>
          <w:color w:val="231F20"/>
          <w:spacing w:val="2"/>
        </w:rPr>
        <w:t>sitúa</w:t>
      </w:r>
      <w:r>
        <w:rPr>
          <w:rFonts w:ascii="Cambria" w:hAnsi="Cambria"/>
          <w:color w:val="231F20"/>
          <w:spacing w:val="-6"/>
        </w:rPr>
        <w:t> </w:t>
      </w:r>
      <w:r>
        <w:rPr>
          <w:rFonts w:ascii="Cambria" w:hAnsi="Cambria"/>
          <w:color w:val="231F20"/>
          <w:spacing w:val="2"/>
        </w:rPr>
        <w:t>ante</w:t>
      </w:r>
      <w:r>
        <w:rPr>
          <w:rFonts w:ascii="Cambria" w:hAnsi="Cambria"/>
          <w:color w:val="231F20"/>
          <w:spacing w:val="-6"/>
        </w:rPr>
        <w:t> </w:t>
      </w:r>
      <w:r>
        <w:rPr>
          <w:rFonts w:ascii="Cambria" w:hAnsi="Cambria"/>
          <w:color w:val="231F20"/>
        </w:rPr>
        <w:t>la</w:t>
      </w:r>
      <w:r>
        <w:rPr>
          <w:rFonts w:ascii="Cambria" w:hAnsi="Cambria"/>
          <w:color w:val="231F20"/>
          <w:spacing w:val="-6"/>
        </w:rPr>
        <w:t> </w:t>
      </w:r>
      <w:r>
        <w:rPr>
          <w:rFonts w:ascii="Cambria" w:hAnsi="Cambria"/>
          <w:color w:val="231F20"/>
          <w:spacing w:val="2"/>
        </w:rPr>
        <w:t>agresión</w:t>
      </w:r>
      <w:r>
        <w:rPr>
          <w:rFonts w:ascii="Cambria" w:hAnsi="Cambria"/>
          <w:color w:val="231F20"/>
          <w:spacing w:val="-6"/>
        </w:rPr>
        <w:t> </w:t>
      </w:r>
      <w:r>
        <w:rPr>
          <w:rFonts w:ascii="Cambria" w:hAnsi="Cambria"/>
          <w:color w:val="231F20"/>
        </w:rPr>
        <w:t>en</w:t>
      </w:r>
      <w:r>
        <w:rPr>
          <w:rFonts w:ascii="Cambria" w:hAnsi="Cambria"/>
          <w:color w:val="231F20"/>
          <w:spacing w:val="-6"/>
        </w:rPr>
        <w:t> </w:t>
      </w:r>
      <w:r>
        <w:rPr>
          <w:rFonts w:ascii="Cambria" w:hAnsi="Cambria"/>
          <w:color w:val="231F20"/>
          <w:spacing w:val="2"/>
        </w:rPr>
        <w:t>una</w:t>
      </w:r>
      <w:r>
        <w:rPr>
          <w:rFonts w:ascii="Cambria" w:hAnsi="Cambria"/>
          <w:color w:val="231F20"/>
          <w:spacing w:val="-6"/>
        </w:rPr>
        <w:t> </w:t>
      </w:r>
      <w:r>
        <w:rPr>
          <w:rFonts w:ascii="Cambria" w:hAnsi="Cambria"/>
          <w:color w:val="231F20"/>
          <w:spacing w:val="2"/>
        </w:rPr>
        <w:t>posición</w:t>
      </w:r>
      <w:r>
        <w:rPr>
          <w:rFonts w:ascii="Cambria" w:hAnsi="Cambria"/>
          <w:color w:val="231F20"/>
          <w:spacing w:val="-6"/>
        </w:rPr>
        <w:t> </w:t>
      </w:r>
      <w:r>
        <w:rPr>
          <w:rFonts w:ascii="Cambria" w:hAnsi="Cambria"/>
          <w:color w:val="231F20"/>
          <w:spacing w:val="2"/>
        </w:rPr>
        <w:t>infantil, </w:t>
      </w:r>
      <w:r>
        <w:rPr>
          <w:rFonts w:ascii="Cambria" w:hAnsi="Cambria"/>
          <w:color w:val="231F20"/>
          <w:spacing w:val="3"/>
        </w:rPr>
        <w:t>esperando </w:t>
      </w:r>
      <w:r>
        <w:rPr>
          <w:rFonts w:ascii="Cambria" w:hAnsi="Cambria"/>
          <w:color w:val="231F20"/>
          <w:spacing w:val="2"/>
        </w:rPr>
        <w:t>que </w:t>
      </w:r>
      <w:r>
        <w:rPr>
          <w:rFonts w:ascii="Cambria" w:hAnsi="Cambria"/>
          <w:color w:val="231F20"/>
        </w:rPr>
        <w:t>el </w:t>
      </w:r>
      <w:r>
        <w:rPr>
          <w:rFonts w:ascii="Cambria" w:hAnsi="Cambria"/>
          <w:color w:val="231F20"/>
          <w:spacing w:val="2"/>
        </w:rPr>
        <w:t>primo </w:t>
      </w:r>
      <w:r>
        <w:rPr>
          <w:rFonts w:ascii="Cambria" w:hAnsi="Cambria"/>
          <w:color w:val="231F20"/>
        </w:rPr>
        <w:t>de </w:t>
      </w:r>
      <w:r>
        <w:rPr>
          <w:i/>
          <w:color w:val="231F20"/>
          <w:spacing w:val="2"/>
        </w:rPr>
        <w:t>Zumosol </w:t>
      </w:r>
      <w:r>
        <w:rPr>
          <w:rFonts w:ascii="Cambria" w:hAnsi="Cambria"/>
          <w:color w:val="231F20"/>
          <w:spacing w:val="2"/>
        </w:rPr>
        <w:t>llegue </w:t>
      </w:r>
      <w:r>
        <w:rPr>
          <w:rFonts w:ascii="Cambria" w:hAnsi="Cambria"/>
          <w:color w:val="231F20"/>
        </w:rPr>
        <w:t>y </w:t>
      </w:r>
      <w:r>
        <w:rPr>
          <w:rFonts w:ascii="Cambria" w:hAnsi="Cambria"/>
          <w:color w:val="231F20"/>
          <w:spacing w:val="3"/>
        </w:rPr>
        <w:t>ponga </w:t>
      </w:r>
      <w:r>
        <w:rPr>
          <w:rFonts w:ascii="Cambria" w:hAnsi="Cambria"/>
          <w:color w:val="231F20"/>
        </w:rPr>
        <w:t>a </w:t>
      </w:r>
      <w:r>
        <w:rPr>
          <w:rFonts w:ascii="Cambria" w:hAnsi="Cambria"/>
          <w:color w:val="231F20"/>
          <w:spacing w:val="2"/>
        </w:rPr>
        <w:t>los </w:t>
      </w:r>
      <w:r>
        <w:rPr>
          <w:rFonts w:ascii="Cambria" w:hAnsi="Cambria"/>
          <w:color w:val="231F20"/>
          <w:spacing w:val="3"/>
        </w:rPr>
        <w:t>niños </w:t>
      </w:r>
      <w:r>
        <w:rPr>
          <w:rFonts w:ascii="Cambria" w:hAnsi="Cambria"/>
          <w:color w:val="231F20"/>
          <w:spacing w:val="2"/>
        </w:rPr>
        <w:t>malos </w:t>
      </w:r>
      <w:r>
        <w:rPr>
          <w:rFonts w:ascii="Cambria" w:hAnsi="Cambria"/>
          <w:color w:val="231F20"/>
        </w:rPr>
        <w:t>en su </w:t>
      </w:r>
      <w:r>
        <w:rPr>
          <w:rFonts w:ascii="Cambria" w:hAnsi="Cambria"/>
          <w:color w:val="231F20"/>
          <w:spacing w:val="2"/>
        </w:rPr>
        <w:t>sitio, </w:t>
      </w:r>
      <w:r>
        <w:rPr>
          <w:rFonts w:ascii="Cambria" w:hAnsi="Cambria"/>
          <w:color w:val="231F20"/>
        </w:rPr>
        <w:t>o que el </w:t>
      </w:r>
      <w:r>
        <w:rPr>
          <w:rFonts w:ascii="Cambria" w:hAnsi="Cambria"/>
          <w:color w:val="231F20"/>
          <w:spacing w:val="2"/>
        </w:rPr>
        <w:t>papá Estado </w:t>
      </w:r>
      <w:r>
        <w:rPr>
          <w:rFonts w:ascii="Cambria" w:hAnsi="Cambria"/>
          <w:color w:val="231F20"/>
        </w:rPr>
        <w:t>se </w:t>
      </w:r>
      <w:r>
        <w:rPr>
          <w:rFonts w:ascii="Cambria" w:hAnsi="Cambria"/>
          <w:color w:val="231F20"/>
          <w:spacing w:val="2"/>
        </w:rPr>
        <w:t>haga cargo </w:t>
      </w:r>
      <w:r>
        <w:rPr>
          <w:rFonts w:ascii="Cambria" w:hAnsi="Cambria"/>
          <w:color w:val="231F20"/>
        </w:rPr>
        <w:t>del</w:t>
      </w:r>
      <w:r>
        <w:rPr>
          <w:rFonts w:ascii="Cambria" w:hAnsi="Cambria"/>
          <w:color w:val="231F20"/>
          <w:spacing w:val="-29"/>
        </w:rPr>
        <w:t> </w:t>
      </w:r>
      <w:r>
        <w:rPr>
          <w:rFonts w:ascii="Cambria" w:hAnsi="Cambria"/>
          <w:color w:val="231F20"/>
          <w:spacing w:val="3"/>
        </w:rPr>
        <w:t>proble- </w:t>
      </w:r>
      <w:r>
        <w:rPr>
          <w:rFonts w:ascii="Cambria" w:hAnsi="Cambria"/>
          <w:color w:val="231F20"/>
          <w:spacing w:val="2"/>
        </w:rPr>
        <w:t>ma.</w:t>
      </w:r>
      <w:r>
        <w:rPr>
          <w:rFonts w:ascii="Cambria" w:hAnsi="Cambria"/>
          <w:color w:val="231F20"/>
          <w:spacing w:val="-19"/>
        </w:rPr>
        <w:t> </w:t>
      </w:r>
      <w:r>
        <w:rPr>
          <w:rFonts w:ascii="Cambria" w:hAnsi="Cambria"/>
          <w:color w:val="231F20"/>
        </w:rPr>
        <w:t>Se</w:t>
      </w:r>
      <w:r>
        <w:rPr>
          <w:rFonts w:ascii="Cambria" w:hAnsi="Cambria"/>
          <w:color w:val="231F20"/>
          <w:spacing w:val="-19"/>
        </w:rPr>
        <w:t> </w:t>
      </w:r>
      <w:r>
        <w:rPr>
          <w:rFonts w:ascii="Cambria" w:hAnsi="Cambria"/>
          <w:color w:val="231F20"/>
          <w:spacing w:val="2"/>
        </w:rPr>
        <w:t>niega</w:t>
      </w:r>
      <w:r>
        <w:rPr>
          <w:rFonts w:ascii="Cambria" w:hAnsi="Cambria"/>
          <w:color w:val="231F20"/>
          <w:spacing w:val="-19"/>
        </w:rPr>
        <w:t> </w:t>
      </w:r>
      <w:r>
        <w:rPr>
          <w:rFonts w:ascii="Cambria" w:hAnsi="Cambria"/>
          <w:color w:val="231F20"/>
        </w:rPr>
        <w:t>el</w:t>
      </w:r>
      <w:r>
        <w:rPr>
          <w:rFonts w:ascii="Cambria" w:hAnsi="Cambria"/>
          <w:color w:val="231F20"/>
          <w:spacing w:val="-19"/>
        </w:rPr>
        <w:t> </w:t>
      </w:r>
      <w:r>
        <w:rPr>
          <w:rFonts w:ascii="Cambria" w:hAnsi="Cambria"/>
          <w:color w:val="231F20"/>
          <w:spacing w:val="2"/>
        </w:rPr>
        <w:t>carácter</w:t>
      </w:r>
      <w:r>
        <w:rPr>
          <w:rFonts w:ascii="Cambria" w:hAnsi="Cambria"/>
          <w:color w:val="231F20"/>
          <w:spacing w:val="-19"/>
        </w:rPr>
        <w:t> </w:t>
      </w:r>
      <w:r>
        <w:rPr>
          <w:rFonts w:ascii="Cambria" w:hAnsi="Cambria"/>
          <w:color w:val="231F20"/>
          <w:spacing w:val="2"/>
        </w:rPr>
        <w:t>necesariamente</w:t>
      </w:r>
      <w:r>
        <w:rPr>
          <w:rFonts w:ascii="Cambria" w:hAnsi="Cambria"/>
          <w:color w:val="231F20"/>
          <w:spacing w:val="-19"/>
        </w:rPr>
        <w:t> </w:t>
      </w:r>
      <w:r>
        <w:rPr>
          <w:rFonts w:ascii="Cambria" w:hAnsi="Cambria"/>
          <w:color w:val="231F20"/>
          <w:spacing w:val="2"/>
        </w:rPr>
        <w:t>conflictivo</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las</w:t>
      </w:r>
      <w:r>
        <w:rPr>
          <w:rFonts w:ascii="Cambria" w:hAnsi="Cambria"/>
          <w:color w:val="231F20"/>
          <w:spacing w:val="-19"/>
        </w:rPr>
        <w:t> </w:t>
      </w:r>
      <w:r>
        <w:rPr>
          <w:rFonts w:ascii="Cambria" w:hAnsi="Cambria"/>
          <w:color w:val="231F20"/>
          <w:spacing w:val="3"/>
        </w:rPr>
        <w:t>relacio- </w:t>
      </w:r>
      <w:r>
        <w:rPr>
          <w:rFonts w:ascii="Cambria" w:hAnsi="Cambria"/>
          <w:color w:val="231F20"/>
          <w:spacing w:val="2"/>
        </w:rPr>
        <w:t>nes sociales, </w:t>
      </w:r>
      <w:r>
        <w:rPr>
          <w:rFonts w:ascii="Cambria" w:hAnsi="Cambria"/>
          <w:color w:val="231F20"/>
          <w:spacing w:val="3"/>
        </w:rPr>
        <w:t>suponiendo </w:t>
      </w:r>
      <w:r>
        <w:rPr>
          <w:rFonts w:ascii="Cambria" w:hAnsi="Cambria"/>
          <w:color w:val="231F20"/>
        </w:rPr>
        <w:t>que </w:t>
      </w:r>
      <w:r>
        <w:rPr>
          <w:rFonts w:ascii="Cambria" w:hAnsi="Cambria"/>
          <w:color w:val="231F20"/>
          <w:spacing w:val="2"/>
        </w:rPr>
        <w:t>los conflictos </w:t>
      </w:r>
      <w:r>
        <w:rPr>
          <w:rFonts w:ascii="Cambria" w:hAnsi="Cambria"/>
          <w:color w:val="231F20"/>
        </w:rPr>
        <w:t>y las </w:t>
      </w:r>
      <w:r>
        <w:rPr>
          <w:rFonts w:ascii="Cambria" w:hAnsi="Cambria"/>
          <w:color w:val="231F20"/>
          <w:spacing w:val="2"/>
        </w:rPr>
        <w:t>luchas son </w:t>
      </w:r>
      <w:r>
        <w:rPr>
          <w:rFonts w:ascii="Cambria" w:hAnsi="Cambria"/>
          <w:color w:val="231F20"/>
          <w:spacing w:val="3"/>
        </w:rPr>
        <w:t>una amenaza </w:t>
      </w:r>
      <w:r>
        <w:rPr>
          <w:rFonts w:ascii="Cambria" w:hAnsi="Cambria"/>
          <w:color w:val="231F20"/>
        </w:rPr>
        <w:t>a la </w:t>
      </w:r>
      <w:r>
        <w:rPr>
          <w:rFonts w:ascii="Cambria" w:hAnsi="Cambria"/>
          <w:color w:val="231F20"/>
          <w:spacing w:val="2"/>
        </w:rPr>
        <w:t>vida social, </w:t>
      </w:r>
      <w:r>
        <w:rPr>
          <w:rFonts w:ascii="Cambria" w:hAnsi="Cambria"/>
          <w:color w:val="231F20"/>
        </w:rPr>
        <w:t>no su </w:t>
      </w:r>
      <w:r>
        <w:rPr>
          <w:rFonts w:ascii="Cambria" w:hAnsi="Cambria"/>
          <w:color w:val="231F20"/>
          <w:spacing w:val="2"/>
        </w:rPr>
        <w:t>substancia </w:t>
      </w:r>
      <w:r>
        <w:rPr>
          <w:rFonts w:ascii="Cambria" w:hAnsi="Cambria"/>
          <w:color w:val="231F20"/>
          <w:spacing w:val="3"/>
        </w:rPr>
        <w:t>misma” </w:t>
      </w:r>
      <w:r>
        <w:rPr>
          <w:rFonts w:ascii="Cambria" w:hAnsi="Cambria"/>
          <w:color w:val="231F20"/>
          <w:spacing w:val="2"/>
        </w:rPr>
        <w:t>(Izquierdo, </w:t>
      </w:r>
      <w:r>
        <w:rPr>
          <w:rFonts w:ascii="Cambria" w:hAnsi="Cambria"/>
          <w:color w:val="231F20"/>
          <w:spacing w:val="2"/>
          <w:w w:val="95"/>
        </w:rPr>
        <w:t>1998:61); </w:t>
      </w:r>
      <w:r>
        <w:rPr>
          <w:rFonts w:ascii="Cambria" w:hAnsi="Cambria"/>
          <w:color w:val="231F20"/>
          <w:w w:val="95"/>
        </w:rPr>
        <w:t>sin </w:t>
      </w:r>
      <w:r>
        <w:rPr>
          <w:rFonts w:ascii="Cambria" w:hAnsi="Cambria"/>
          <w:color w:val="231F20"/>
          <w:spacing w:val="3"/>
          <w:w w:val="95"/>
        </w:rPr>
        <w:t>embargo, </w:t>
      </w:r>
      <w:r>
        <w:rPr>
          <w:rFonts w:ascii="Cambria" w:hAnsi="Cambria"/>
          <w:color w:val="231F20"/>
          <w:w w:val="95"/>
        </w:rPr>
        <w:t>la </w:t>
      </w:r>
      <w:r>
        <w:rPr>
          <w:rFonts w:ascii="Cambria" w:hAnsi="Cambria"/>
          <w:color w:val="231F20"/>
          <w:spacing w:val="2"/>
          <w:w w:val="95"/>
        </w:rPr>
        <w:t>autora nos advierte </w:t>
      </w:r>
      <w:r>
        <w:rPr>
          <w:rFonts w:ascii="Cambria" w:hAnsi="Cambria"/>
          <w:color w:val="231F20"/>
          <w:w w:val="95"/>
        </w:rPr>
        <w:t>que ello </w:t>
      </w:r>
      <w:r>
        <w:rPr>
          <w:rFonts w:ascii="Cambria" w:hAnsi="Cambria"/>
          <w:color w:val="231F20"/>
          <w:spacing w:val="2"/>
          <w:w w:val="95"/>
        </w:rPr>
        <w:t>solo crea </w:t>
      </w:r>
      <w:r>
        <w:rPr>
          <w:rFonts w:ascii="Cambria" w:hAnsi="Cambria"/>
          <w:color w:val="231F20"/>
          <w:w w:val="95"/>
        </w:rPr>
        <w:t>un </w:t>
      </w:r>
      <w:r>
        <w:rPr>
          <w:rFonts w:ascii="Cambria" w:hAnsi="Cambria"/>
          <w:color w:val="231F20"/>
          <w:spacing w:val="2"/>
          <w:w w:val="95"/>
        </w:rPr>
        <w:t>círculo vicioso pues justifica </w:t>
      </w:r>
      <w:r>
        <w:rPr>
          <w:rFonts w:ascii="Cambria" w:hAnsi="Cambria"/>
          <w:color w:val="231F20"/>
          <w:w w:val="95"/>
        </w:rPr>
        <w:t>la </w:t>
      </w:r>
      <w:r>
        <w:rPr>
          <w:rFonts w:ascii="Cambria" w:hAnsi="Cambria"/>
          <w:color w:val="231F20"/>
          <w:spacing w:val="2"/>
          <w:w w:val="95"/>
        </w:rPr>
        <w:t>violencia “contra los</w:t>
      </w:r>
      <w:r>
        <w:rPr>
          <w:rFonts w:ascii="Cambria" w:hAnsi="Cambria"/>
          <w:color w:val="231F20"/>
          <w:spacing w:val="37"/>
          <w:w w:val="95"/>
        </w:rPr>
        <w:t> </w:t>
      </w:r>
      <w:r>
        <w:rPr>
          <w:rFonts w:ascii="Cambria" w:hAnsi="Cambria"/>
          <w:color w:val="231F20"/>
          <w:spacing w:val="2"/>
          <w:w w:val="95"/>
        </w:rPr>
        <w:t>violentos”.</w:t>
      </w:r>
    </w:p>
    <w:p>
      <w:pPr>
        <w:pStyle w:val="BodyText"/>
        <w:spacing w:line="242" w:lineRule="auto"/>
        <w:ind w:left="101" w:right="118" w:firstLine="284"/>
        <w:jc w:val="both"/>
        <w:rPr>
          <w:rFonts w:ascii="Cambria" w:hAnsi="Cambria"/>
        </w:rPr>
      </w:pPr>
      <w:r>
        <w:rPr>
          <w:rFonts w:ascii="Cambria" w:hAnsi="Cambria"/>
          <w:color w:val="231F20"/>
        </w:rPr>
        <w:t>Algo</w:t>
      </w:r>
      <w:r>
        <w:rPr>
          <w:rFonts w:ascii="Cambria" w:hAnsi="Cambria"/>
          <w:color w:val="231F20"/>
          <w:spacing w:val="-9"/>
        </w:rPr>
        <w:t> </w:t>
      </w:r>
      <w:r>
        <w:rPr>
          <w:rFonts w:ascii="Cambria" w:hAnsi="Cambria"/>
          <w:color w:val="231F20"/>
        </w:rPr>
        <w:t>que</w:t>
      </w:r>
      <w:r>
        <w:rPr>
          <w:rFonts w:ascii="Cambria" w:hAnsi="Cambria"/>
          <w:color w:val="231F20"/>
          <w:spacing w:val="-9"/>
        </w:rPr>
        <w:t> </w:t>
      </w:r>
      <w:r>
        <w:rPr>
          <w:rFonts w:ascii="Cambria" w:hAnsi="Cambria"/>
          <w:color w:val="231F20"/>
        </w:rPr>
        <w:t>resulta</w:t>
      </w:r>
      <w:r>
        <w:rPr>
          <w:rFonts w:ascii="Cambria" w:hAnsi="Cambria"/>
          <w:color w:val="231F20"/>
          <w:spacing w:val="-9"/>
        </w:rPr>
        <w:t> </w:t>
      </w:r>
      <w:r>
        <w:rPr>
          <w:rFonts w:ascii="Cambria" w:hAnsi="Cambria"/>
          <w:color w:val="231F20"/>
        </w:rPr>
        <w:t>claro,</w:t>
      </w:r>
      <w:r>
        <w:rPr>
          <w:rFonts w:ascii="Cambria" w:hAnsi="Cambria"/>
          <w:color w:val="231F20"/>
          <w:spacing w:val="-9"/>
        </w:rPr>
        <w:t> </w:t>
      </w:r>
      <w:r>
        <w:rPr>
          <w:rFonts w:ascii="Cambria" w:hAnsi="Cambria"/>
          <w:color w:val="231F20"/>
        </w:rPr>
        <w:t>en</w:t>
      </w:r>
      <w:r>
        <w:rPr>
          <w:rFonts w:ascii="Cambria" w:hAnsi="Cambria"/>
          <w:color w:val="231F20"/>
          <w:spacing w:val="-9"/>
        </w:rPr>
        <w:t> </w:t>
      </w:r>
      <w:r>
        <w:rPr>
          <w:rFonts w:ascii="Cambria" w:hAnsi="Cambria"/>
          <w:color w:val="231F20"/>
        </w:rPr>
        <w:t>las</w:t>
      </w:r>
      <w:r>
        <w:rPr>
          <w:rFonts w:ascii="Cambria" w:hAnsi="Cambria"/>
          <w:color w:val="231F20"/>
          <w:spacing w:val="-9"/>
        </w:rPr>
        <w:t> </w:t>
      </w:r>
      <w:r>
        <w:rPr>
          <w:rFonts w:ascii="Cambria" w:hAnsi="Cambria"/>
          <w:color w:val="231F20"/>
        </w:rPr>
        <w:t>distintas</w:t>
      </w:r>
      <w:r>
        <w:rPr>
          <w:rFonts w:ascii="Cambria" w:hAnsi="Cambria"/>
          <w:color w:val="231F20"/>
          <w:spacing w:val="-9"/>
        </w:rPr>
        <w:t> </w:t>
      </w:r>
      <w:r>
        <w:rPr>
          <w:rFonts w:ascii="Cambria" w:hAnsi="Cambria"/>
          <w:color w:val="231F20"/>
        </w:rPr>
        <w:t>investigaciones</w:t>
      </w:r>
      <w:r>
        <w:rPr>
          <w:rFonts w:ascii="Cambria" w:hAnsi="Cambria"/>
          <w:color w:val="231F20"/>
          <w:spacing w:val="-9"/>
        </w:rPr>
        <w:t> </w:t>
      </w:r>
      <w:r>
        <w:rPr>
          <w:rFonts w:ascii="Cambria" w:hAnsi="Cambria"/>
          <w:color w:val="231F20"/>
        </w:rPr>
        <w:t>sobre</w:t>
      </w:r>
      <w:r>
        <w:rPr>
          <w:rFonts w:ascii="Cambria" w:hAnsi="Cambria"/>
          <w:color w:val="231F20"/>
          <w:spacing w:val="-9"/>
        </w:rPr>
        <w:t> </w:t>
      </w:r>
      <w:r>
        <w:rPr>
          <w:rFonts w:ascii="Cambria" w:hAnsi="Cambria"/>
          <w:color w:val="231F20"/>
        </w:rPr>
        <w:t>la violencia</w:t>
      </w:r>
      <w:r>
        <w:rPr>
          <w:rFonts w:ascii="Cambria" w:hAnsi="Cambria"/>
          <w:color w:val="231F20"/>
          <w:spacing w:val="-9"/>
        </w:rPr>
        <w:t> </w:t>
      </w:r>
      <w:r>
        <w:rPr>
          <w:rFonts w:ascii="Cambria" w:hAnsi="Cambria"/>
          <w:color w:val="231F20"/>
        </w:rPr>
        <w:t>en</w:t>
      </w:r>
      <w:r>
        <w:rPr>
          <w:rFonts w:ascii="Cambria" w:hAnsi="Cambria"/>
          <w:color w:val="231F20"/>
          <w:spacing w:val="-9"/>
        </w:rPr>
        <w:t> </w:t>
      </w:r>
      <w:r>
        <w:rPr>
          <w:rFonts w:ascii="Cambria" w:hAnsi="Cambria"/>
          <w:color w:val="231F20"/>
        </w:rPr>
        <w:t>las</w:t>
      </w:r>
      <w:r>
        <w:rPr>
          <w:rFonts w:ascii="Cambria" w:hAnsi="Cambria"/>
          <w:color w:val="231F20"/>
          <w:spacing w:val="-9"/>
        </w:rPr>
        <w:t> </w:t>
      </w:r>
      <w:r>
        <w:rPr>
          <w:rFonts w:ascii="Cambria" w:hAnsi="Cambria"/>
          <w:color w:val="231F20"/>
        </w:rPr>
        <w:t>escuelas,</w:t>
      </w:r>
      <w:r>
        <w:rPr>
          <w:rFonts w:ascii="Cambria" w:hAnsi="Cambria"/>
          <w:color w:val="231F20"/>
          <w:spacing w:val="-9"/>
        </w:rPr>
        <w:t> </w:t>
      </w:r>
      <w:r>
        <w:rPr>
          <w:rFonts w:ascii="Cambria" w:hAnsi="Cambria"/>
          <w:color w:val="231F20"/>
        </w:rPr>
        <w:t>más</w:t>
      </w:r>
      <w:r>
        <w:rPr>
          <w:rFonts w:ascii="Cambria" w:hAnsi="Cambria"/>
          <w:color w:val="231F20"/>
          <w:spacing w:val="-9"/>
        </w:rPr>
        <w:t> </w:t>
      </w:r>
      <w:r>
        <w:rPr>
          <w:rFonts w:ascii="Cambria" w:hAnsi="Cambria"/>
          <w:color w:val="231F20"/>
        </w:rPr>
        <w:t>allá</w:t>
      </w:r>
      <w:r>
        <w:rPr>
          <w:rFonts w:ascii="Cambria" w:hAnsi="Cambria"/>
          <w:color w:val="231F20"/>
          <w:spacing w:val="-9"/>
        </w:rPr>
        <w:t> </w:t>
      </w:r>
      <w:r>
        <w:rPr>
          <w:rFonts w:ascii="Cambria" w:hAnsi="Cambria"/>
          <w:color w:val="231F20"/>
        </w:rPr>
        <w:t>de</w:t>
      </w:r>
      <w:r>
        <w:rPr>
          <w:rFonts w:ascii="Cambria" w:hAnsi="Cambria"/>
          <w:color w:val="231F20"/>
          <w:spacing w:val="-9"/>
        </w:rPr>
        <w:t> </w:t>
      </w:r>
      <w:r>
        <w:rPr>
          <w:rFonts w:ascii="Cambria" w:hAnsi="Cambria"/>
          <w:color w:val="231F20"/>
        </w:rPr>
        <w:t>la</w:t>
      </w:r>
      <w:r>
        <w:rPr>
          <w:rFonts w:ascii="Cambria" w:hAnsi="Cambria"/>
          <w:color w:val="231F20"/>
          <w:spacing w:val="-9"/>
        </w:rPr>
        <w:t> </w:t>
      </w:r>
      <w:r>
        <w:rPr>
          <w:rFonts w:ascii="Cambria" w:hAnsi="Cambria"/>
          <w:color w:val="231F20"/>
        </w:rPr>
        <w:t>caracterización</w:t>
      </w:r>
      <w:r>
        <w:rPr>
          <w:rFonts w:ascii="Cambria" w:hAnsi="Cambria"/>
          <w:color w:val="231F20"/>
          <w:spacing w:val="-9"/>
        </w:rPr>
        <w:t> </w:t>
      </w:r>
      <w:r>
        <w:rPr>
          <w:rFonts w:ascii="Cambria" w:hAnsi="Cambria"/>
          <w:color w:val="231F20"/>
        </w:rPr>
        <w:t>de</w:t>
      </w:r>
      <w:r>
        <w:rPr>
          <w:rFonts w:ascii="Cambria" w:hAnsi="Cambria"/>
          <w:color w:val="231F20"/>
          <w:spacing w:val="-9"/>
        </w:rPr>
        <w:t> </w:t>
      </w:r>
      <w:r>
        <w:rPr>
          <w:rFonts w:ascii="Cambria" w:hAnsi="Cambria"/>
          <w:color w:val="231F20"/>
        </w:rPr>
        <w:t>sus</w:t>
      </w:r>
      <w:r>
        <w:rPr>
          <w:rFonts w:ascii="Cambria" w:hAnsi="Cambria"/>
          <w:color w:val="231F20"/>
          <w:spacing w:val="-9"/>
        </w:rPr>
        <w:t> </w:t>
      </w:r>
      <w:r>
        <w:rPr>
          <w:rFonts w:ascii="Cambria" w:hAnsi="Cambria"/>
          <w:color w:val="231F20"/>
        </w:rPr>
        <w:t>for- mas y de la pretensión de prevenirla, es que, la violencia que se despliega</w:t>
      </w:r>
      <w:r>
        <w:rPr>
          <w:rFonts w:ascii="Cambria" w:hAnsi="Cambria"/>
          <w:color w:val="231F20"/>
          <w:spacing w:val="-18"/>
        </w:rPr>
        <w:t> </w:t>
      </w:r>
      <w:r>
        <w:rPr>
          <w:rFonts w:ascii="Cambria" w:hAnsi="Cambria"/>
          <w:color w:val="231F20"/>
        </w:rPr>
        <w:t>en</w:t>
      </w:r>
      <w:r>
        <w:rPr>
          <w:rFonts w:ascii="Cambria" w:hAnsi="Cambria"/>
          <w:color w:val="231F20"/>
          <w:spacing w:val="-18"/>
        </w:rPr>
        <w:t> </w:t>
      </w:r>
      <w:r>
        <w:rPr>
          <w:rFonts w:ascii="Cambria" w:hAnsi="Cambria"/>
          <w:color w:val="231F20"/>
        </w:rPr>
        <w:t>todos</w:t>
      </w:r>
      <w:r>
        <w:rPr>
          <w:rFonts w:ascii="Cambria" w:hAnsi="Cambria"/>
          <w:color w:val="231F20"/>
          <w:spacing w:val="-18"/>
        </w:rPr>
        <w:t> </w:t>
      </w:r>
      <w:r>
        <w:rPr>
          <w:rFonts w:ascii="Cambria" w:hAnsi="Cambria"/>
          <w:color w:val="231F20"/>
        </w:rPr>
        <w:t>los</w:t>
      </w:r>
      <w:r>
        <w:rPr>
          <w:rFonts w:ascii="Cambria" w:hAnsi="Cambria"/>
          <w:color w:val="231F20"/>
          <w:spacing w:val="-18"/>
        </w:rPr>
        <w:t> </w:t>
      </w:r>
      <w:r>
        <w:rPr>
          <w:rFonts w:ascii="Cambria" w:hAnsi="Cambria"/>
          <w:color w:val="231F20"/>
        </w:rPr>
        <w:t>ámbitos</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educación,</w:t>
      </w:r>
      <w:r>
        <w:rPr>
          <w:rFonts w:ascii="Cambria" w:hAnsi="Cambria"/>
          <w:color w:val="231F20"/>
          <w:spacing w:val="-18"/>
        </w:rPr>
        <w:t> </w:t>
      </w:r>
      <w:r>
        <w:rPr>
          <w:rFonts w:ascii="Cambria" w:hAnsi="Cambria"/>
          <w:color w:val="231F20"/>
        </w:rPr>
        <w:t>en</w:t>
      </w:r>
      <w:r>
        <w:rPr>
          <w:rFonts w:ascii="Cambria" w:hAnsi="Cambria"/>
          <w:color w:val="231F20"/>
          <w:spacing w:val="-18"/>
        </w:rPr>
        <w:t> </w:t>
      </w:r>
      <w:r>
        <w:rPr>
          <w:rFonts w:ascii="Cambria" w:hAnsi="Cambria"/>
          <w:color w:val="231F20"/>
        </w:rPr>
        <w:t>lo</w:t>
      </w:r>
      <w:r>
        <w:rPr>
          <w:rFonts w:ascii="Cambria" w:hAnsi="Cambria"/>
          <w:color w:val="231F20"/>
          <w:spacing w:val="-18"/>
        </w:rPr>
        <w:t> </w:t>
      </w:r>
      <w:r>
        <w:rPr>
          <w:rFonts w:ascii="Cambria" w:hAnsi="Cambria"/>
          <w:color w:val="231F20"/>
        </w:rPr>
        <w:t>fundamental,</w:t>
      </w:r>
    </w:p>
    <w:p>
      <w:pPr>
        <w:spacing w:after="0" w:line="242" w:lineRule="auto"/>
        <w:jc w:val="both"/>
        <w:rPr>
          <w:rFonts w:ascii="Cambria" w:hAnsi="Cambria"/>
        </w:rPr>
        <w:sectPr>
          <w:headerReference w:type="default" r:id="rId207"/>
          <w:footerReference w:type="default" r:id="rId208"/>
          <w:pgSz w:w="7830" w:h="11910"/>
          <w:pgMar w:header="0" w:footer="424" w:top="500" w:bottom="620" w:left="920" w:right="900"/>
          <w:pgNumType w:start="9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6"/>
        <w:jc w:val="both"/>
      </w:pPr>
      <w:r>
        <w:rPr>
          <w:color w:val="231F20"/>
        </w:rPr>
        <w:t>adquiere formas simbólicas, es decir, hace uso del lenguaje, aspira a controlar y regular las formas de comunicación entre los sujetos en todos los órdenes de su actividad.</w:t>
      </w:r>
    </w:p>
    <w:p>
      <w:pPr>
        <w:pStyle w:val="BodyText"/>
        <w:spacing w:before="9"/>
      </w:pPr>
    </w:p>
    <w:p>
      <w:pPr>
        <w:pStyle w:val="BodyText"/>
        <w:ind w:left="102"/>
        <w:jc w:val="both"/>
      </w:pPr>
      <w:r>
        <w:rPr>
          <w:color w:val="231F20"/>
        </w:rPr>
        <w:t>DE POLÍTICAS PÚBLICAS A POLÍTICAS   EDUCATIVAS</w:t>
      </w:r>
    </w:p>
    <w:p>
      <w:pPr>
        <w:pStyle w:val="BodyText"/>
        <w:spacing w:before="6"/>
      </w:pPr>
    </w:p>
    <w:p>
      <w:pPr>
        <w:pStyle w:val="BodyText"/>
        <w:spacing w:line="244" w:lineRule="auto"/>
        <w:ind w:left="101" w:right="115"/>
        <w:jc w:val="both"/>
      </w:pPr>
      <w:r>
        <w:rPr>
          <w:color w:val="231F20"/>
        </w:rPr>
        <w:t>Sin entrar en el terreno de la discusión de las políticas públicas, se asume que las políticas educativas constituyen uno de sus compo- nentes, concebidos como un medio para la consecución de fines de las políticas públicas, aunque ellas se propongan sus propios fines y planteen sus propios medios. Sin embargo, en la actualidad se ha estado transitando de las políticas públicas diseñadas en el ámbito nacional hacia políticas públicas globales, es decir, las diseñadas desde los organismos internacionales, que se han venido forjando desde la década de 1970, y tienen como base la transformación de los procesos de acumulación y la organización y administración de las empresas. Para imponerse han elaborado  un  discurso  teórico que puso en cuestión el llamado estado de bienestar que se consti- tuyó, sobre todo, a partir de la Segunda Guerra Mundial, así como   el proyecto social nacional –que se planteaba como distinto al capi- talismo o al socialismo real– que forjaron un conjunto de países que se autodenominaron No Alineados, luego  “Tercer  Mundistas”  y que suponían un desarrollo propio fundado en el control de sus recursos naturales y la conformación de un mercado interno. La implantación de las políticas globales opera mediante reuniones de ministros en cada área de intervención de las políticas públicas, de donde emergen recomendaciones que se presentan como acuerdos entre países. De allí ha surgido, como una exigencia fundamental para el desarrollo y el crecimiento económico, la transformación de la educación, en general, pero de modo especial de la educación superior</w:t>
      </w:r>
      <w:r>
        <w:rPr>
          <w:color w:val="231F20"/>
          <w:spacing w:val="-7"/>
        </w:rPr>
        <w:t> </w:t>
      </w:r>
      <w:r>
        <w:rPr>
          <w:color w:val="231F20"/>
        </w:rPr>
        <w:t>y,</w:t>
      </w:r>
      <w:r>
        <w:rPr>
          <w:color w:val="231F20"/>
          <w:spacing w:val="-7"/>
        </w:rPr>
        <w:t> </w:t>
      </w:r>
      <w:r>
        <w:rPr>
          <w:color w:val="231F20"/>
        </w:rPr>
        <w:t>en</w:t>
      </w:r>
      <w:r>
        <w:rPr>
          <w:color w:val="231F20"/>
          <w:spacing w:val="-6"/>
        </w:rPr>
        <w:t> </w:t>
      </w:r>
      <w:r>
        <w:rPr>
          <w:color w:val="231F20"/>
        </w:rPr>
        <w:t>particular,</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universidad</w:t>
      </w:r>
      <w:r>
        <w:rPr>
          <w:color w:val="231F20"/>
          <w:spacing w:val="-6"/>
        </w:rPr>
        <w:t> </w:t>
      </w:r>
      <w:r>
        <w:rPr>
          <w:color w:val="231F20"/>
        </w:rPr>
        <w:t>pública.</w:t>
      </w:r>
    </w:p>
    <w:p>
      <w:pPr>
        <w:pStyle w:val="BodyText"/>
        <w:spacing w:before="3"/>
        <w:rPr>
          <w:sz w:val="23"/>
        </w:rPr>
      </w:pPr>
    </w:p>
    <w:p>
      <w:pPr>
        <w:spacing w:before="0"/>
        <w:ind w:left="101" w:right="0" w:firstLine="0"/>
        <w:jc w:val="both"/>
        <w:rPr>
          <w:i/>
          <w:sz w:val="21"/>
        </w:rPr>
      </w:pPr>
      <w:r>
        <w:rPr>
          <w:i/>
          <w:color w:val="231F20"/>
          <w:w w:val="85"/>
          <w:sz w:val="21"/>
        </w:rPr>
        <w:t>El discurso de las políticas educativas, un ejemplo</w:t>
      </w:r>
    </w:p>
    <w:p>
      <w:pPr>
        <w:pStyle w:val="BodyText"/>
        <w:spacing w:before="4"/>
        <w:rPr>
          <w:i/>
          <w:sz w:val="22"/>
        </w:rPr>
      </w:pPr>
    </w:p>
    <w:p>
      <w:pPr>
        <w:pStyle w:val="BodyText"/>
        <w:spacing w:line="247" w:lineRule="auto" w:before="1"/>
        <w:ind w:left="101" w:right="115"/>
        <w:jc w:val="both"/>
      </w:pPr>
      <w:r>
        <w:rPr>
          <w:color w:val="231F20"/>
        </w:rPr>
        <w:t>El discurso dominante en las políticas educativas plantea la  exigencia de transformar la educación, aunque de modo particular   se refiere a la educación superior. Para ello parte de un </w:t>
      </w:r>
      <w:r>
        <w:rPr>
          <w:i/>
          <w:color w:val="231F20"/>
        </w:rPr>
        <w:t>diagnóstico </w:t>
      </w:r>
      <w:r>
        <w:rPr>
          <w:color w:val="231F20"/>
        </w:rPr>
        <w:t>que abunda en  estadísticas donde se asevera que se ha producido   un</w:t>
      </w:r>
      <w:r>
        <w:rPr>
          <w:color w:val="231F20"/>
          <w:spacing w:val="-23"/>
        </w:rPr>
        <w:t> </w:t>
      </w:r>
      <w:r>
        <w:rPr>
          <w:color w:val="231F20"/>
        </w:rPr>
        <w:t>deterioro</w:t>
      </w:r>
      <w:r>
        <w:rPr>
          <w:color w:val="231F20"/>
          <w:spacing w:val="-23"/>
        </w:rPr>
        <w:t> </w:t>
      </w:r>
      <w:r>
        <w:rPr>
          <w:color w:val="231F20"/>
        </w:rPr>
        <w:t>de</w:t>
      </w:r>
      <w:r>
        <w:rPr>
          <w:color w:val="231F20"/>
          <w:spacing w:val="-23"/>
        </w:rPr>
        <w:t> </w:t>
      </w:r>
      <w:r>
        <w:rPr>
          <w:color w:val="231F20"/>
        </w:rPr>
        <w:t>la</w:t>
      </w:r>
      <w:r>
        <w:rPr>
          <w:color w:val="231F20"/>
          <w:spacing w:val="-23"/>
        </w:rPr>
        <w:t> </w:t>
      </w:r>
      <w:r>
        <w:rPr>
          <w:i/>
          <w:color w:val="231F20"/>
        </w:rPr>
        <w:t>calidad</w:t>
      </w:r>
      <w:r>
        <w:rPr>
          <w:i/>
          <w:color w:val="231F20"/>
          <w:spacing w:val="-23"/>
        </w:rPr>
        <w:t> </w:t>
      </w:r>
      <w:r>
        <w:rPr>
          <w:i/>
          <w:color w:val="231F20"/>
        </w:rPr>
        <w:t>de</w:t>
      </w:r>
      <w:r>
        <w:rPr>
          <w:i/>
          <w:color w:val="231F20"/>
          <w:spacing w:val="-23"/>
        </w:rPr>
        <w:t> </w:t>
      </w:r>
      <w:r>
        <w:rPr>
          <w:i/>
          <w:color w:val="231F20"/>
        </w:rPr>
        <w:t>la</w:t>
      </w:r>
      <w:r>
        <w:rPr>
          <w:i/>
          <w:color w:val="231F20"/>
          <w:spacing w:val="-23"/>
        </w:rPr>
        <w:t> </w:t>
      </w:r>
      <w:r>
        <w:rPr>
          <w:i/>
          <w:color w:val="231F20"/>
        </w:rPr>
        <w:t>educación</w:t>
      </w:r>
      <w:r>
        <w:rPr>
          <w:i/>
          <w:color w:val="231F20"/>
          <w:spacing w:val="-23"/>
        </w:rPr>
        <w:t> </w:t>
      </w:r>
      <w:r>
        <w:rPr>
          <w:color w:val="231F20"/>
        </w:rPr>
        <w:t>debido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masificación,</w:t>
      </w:r>
      <w:r>
        <w:rPr>
          <w:color w:val="231F20"/>
          <w:spacing w:val="-23"/>
        </w:rPr>
        <w:t> </w:t>
      </w:r>
      <w:r>
        <w:rPr>
          <w:color w:val="231F20"/>
        </w:rPr>
        <w:t>a</w:t>
      </w:r>
      <w:r>
        <w:rPr>
          <w:color w:val="231F20"/>
          <w:spacing w:val="-23"/>
        </w:rPr>
        <w:t> </w:t>
      </w:r>
      <w:r>
        <w:rPr>
          <w:color w:val="231F20"/>
        </w:rPr>
        <w:t>la</w:t>
      </w:r>
    </w:p>
    <w:p>
      <w:pPr>
        <w:spacing w:after="0" w:line="247" w:lineRule="auto"/>
        <w:jc w:val="both"/>
        <w:sectPr>
          <w:headerReference w:type="default" r:id="rId209"/>
          <w:footerReference w:type="default" r:id="rId210"/>
          <w:pgSz w:w="7830" w:h="11910"/>
          <w:pgMar w:header="0" w:footer="424" w:top="500" w:bottom="620" w:left="920" w:right="900"/>
          <w:pgNumType w:start="98"/>
        </w:sectPr>
      </w:pPr>
    </w:p>
    <w:p>
      <w:pPr>
        <w:spacing w:before="48"/>
        <w:ind w:left="1463" w:right="121" w:firstLine="0"/>
        <w:jc w:val="left"/>
        <w:rPr>
          <w:rFonts w:ascii="Georgia" w:hAnsi="Georgia"/>
          <w:sz w:val="13"/>
        </w:rPr>
      </w:pPr>
      <w:r>
        <w:rPr>
          <w:rFonts w:ascii="Georgia" w:hAnsi="Georgia"/>
          <w:color w:val="231F20"/>
          <w:sz w:val="16"/>
        </w:rPr>
        <w:t>E</w:t>
      </w:r>
      <w:r>
        <w:rPr>
          <w:rFonts w:ascii="Georgia" w:hAnsi="Georgia"/>
          <w:color w:val="231F20"/>
          <w:sz w:val="13"/>
        </w:rPr>
        <w:t>STUDIOS SOBRE VIOLENCIA EN LA EDUCACIÓN</w:t>
      </w:r>
    </w:p>
    <w:p>
      <w:pPr>
        <w:pStyle w:val="BodyText"/>
        <w:rPr>
          <w:rFonts w:ascii="Georgia"/>
          <w:sz w:val="16"/>
        </w:rPr>
      </w:pPr>
    </w:p>
    <w:p>
      <w:pPr>
        <w:pStyle w:val="BodyText"/>
        <w:rPr>
          <w:rFonts w:ascii="Georgia"/>
          <w:sz w:val="16"/>
        </w:rPr>
      </w:pPr>
    </w:p>
    <w:p>
      <w:pPr>
        <w:pStyle w:val="BodyText"/>
        <w:spacing w:line="252" w:lineRule="auto" w:before="100"/>
        <w:ind w:left="102" w:right="113"/>
        <w:jc w:val="both"/>
        <w:rPr>
          <w:rFonts w:ascii="Georgia" w:hAnsi="Georgia"/>
        </w:rPr>
      </w:pPr>
      <w:r>
        <w:rPr>
          <w:rFonts w:ascii="Georgia" w:hAnsi="Georgia"/>
          <w:color w:val="231F20"/>
          <w:w w:val="95"/>
        </w:rPr>
        <w:t>ineficiencia</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las</w:t>
      </w:r>
      <w:r>
        <w:rPr>
          <w:rFonts w:ascii="Georgia" w:hAnsi="Georgia"/>
          <w:color w:val="231F20"/>
          <w:spacing w:val="-19"/>
          <w:w w:val="95"/>
        </w:rPr>
        <w:t> </w:t>
      </w:r>
      <w:r>
        <w:rPr>
          <w:rFonts w:ascii="Georgia" w:hAnsi="Georgia"/>
          <w:color w:val="231F20"/>
          <w:w w:val="95"/>
        </w:rPr>
        <w:t>instituciones,</w:t>
      </w:r>
      <w:r>
        <w:rPr>
          <w:rFonts w:ascii="Georgia" w:hAnsi="Georgia"/>
          <w:color w:val="231F20"/>
          <w:spacing w:val="-19"/>
          <w:w w:val="95"/>
        </w:rPr>
        <w:t> </w:t>
      </w:r>
      <w:r>
        <w:rPr>
          <w:rFonts w:ascii="Georgia" w:hAnsi="Georgia"/>
          <w:color w:val="231F20"/>
          <w:w w:val="95"/>
        </w:rPr>
        <w:t>a</w:t>
      </w:r>
      <w:r>
        <w:rPr>
          <w:rFonts w:ascii="Georgia" w:hAnsi="Georgia"/>
          <w:color w:val="231F20"/>
          <w:spacing w:val="-19"/>
          <w:w w:val="95"/>
        </w:rPr>
        <w:t> </w:t>
      </w:r>
      <w:r>
        <w:rPr>
          <w:rFonts w:ascii="Georgia" w:hAnsi="Georgia"/>
          <w:color w:val="231F20"/>
          <w:w w:val="95"/>
        </w:rPr>
        <w:t>la</w:t>
      </w:r>
      <w:r>
        <w:rPr>
          <w:rFonts w:ascii="Georgia" w:hAnsi="Georgia"/>
          <w:color w:val="231F20"/>
          <w:spacing w:val="-19"/>
          <w:w w:val="95"/>
        </w:rPr>
        <w:t> </w:t>
      </w:r>
      <w:r>
        <w:rPr>
          <w:rFonts w:ascii="Georgia" w:hAnsi="Georgia"/>
          <w:color w:val="231F20"/>
          <w:w w:val="95"/>
        </w:rPr>
        <w:t>pobre</w:t>
      </w:r>
      <w:r>
        <w:rPr>
          <w:rFonts w:ascii="Georgia" w:hAnsi="Georgia"/>
          <w:color w:val="231F20"/>
          <w:spacing w:val="-19"/>
          <w:w w:val="95"/>
        </w:rPr>
        <w:t> </w:t>
      </w:r>
      <w:r>
        <w:rPr>
          <w:rFonts w:ascii="Georgia" w:hAnsi="Georgia"/>
          <w:color w:val="231F20"/>
          <w:w w:val="95"/>
        </w:rPr>
        <w:t>formación</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profesores, y</w:t>
      </w:r>
      <w:r>
        <w:rPr>
          <w:rFonts w:ascii="Georgia" w:hAnsi="Georgia"/>
          <w:color w:val="231F20"/>
          <w:spacing w:val="-15"/>
          <w:w w:val="95"/>
        </w:rPr>
        <w:t> </w:t>
      </w:r>
      <w:r>
        <w:rPr>
          <w:rFonts w:ascii="Georgia" w:hAnsi="Georgia"/>
          <w:color w:val="231F20"/>
          <w:w w:val="95"/>
        </w:rPr>
        <w:t>a</w:t>
      </w:r>
      <w:r>
        <w:rPr>
          <w:rFonts w:ascii="Georgia" w:hAnsi="Georgia"/>
          <w:color w:val="231F20"/>
          <w:spacing w:val="-15"/>
          <w:w w:val="95"/>
        </w:rPr>
        <w:t> </w:t>
      </w:r>
      <w:r>
        <w:rPr>
          <w:rFonts w:ascii="Georgia" w:hAnsi="Georgia"/>
          <w:color w:val="231F20"/>
          <w:w w:val="95"/>
        </w:rPr>
        <w:t>la</w:t>
      </w:r>
      <w:r>
        <w:rPr>
          <w:rFonts w:ascii="Georgia" w:hAnsi="Georgia"/>
          <w:color w:val="231F20"/>
          <w:spacing w:val="-15"/>
          <w:w w:val="95"/>
        </w:rPr>
        <w:t> </w:t>
      </w:r>
      <w:r>
        <w:rPr>
          <w:rFonts w:ascii="Georgia" w:hAnsi="Georgia"/>
          <w:color w:val="231F20"/>
          <w:w w:val="95"/>
        </w:rPr>
        <w:t>escasa</w:t>
      </w:r>
      <w:r>
        <w:rPr>
          <w:rFonts w:ascii="Georgia" w:hAnsi="Georgia"/>
          <w:color w:val="231F20"/>
          <w:spacing w:val="-15"/>
          <w:w w:val="95"/>
        </w:rPr>
        <w:t> </w:t>
      </w:r>
      <w:r>
        <w:rPr>
          <w:rFonts w:ascii="Georgia" w:hAnsi="Georgia"/>
          <w:color w:val="231F20"/>
          <w:w w:val="95"/>
        </w:rPr>
        <w:t>pertinencia</w:t>
      </w:r>
      <w:r>
        <w:rPr>
          <w:rFonts w:ascii="Georgia" w:hAnsi="Georgia"/>
          <w:color w:val="231F20"/>
          <w:spacing w:val="-15"/>
          <w:w w:val="95"/>
        </w:rPr>
        <w:t> </w:t>
      </w:r>
      <w:r>
        <w:rPr>
          <w:rFonts w:ascii="Georgia" w:hAnsi="Georgia"/>
          <w:color w:val="231F20"/>
          <w:w w:val="95"/>
        </w:rPr>
        <w:t>de</w:t>
      </w:r>
      <w:r>
        <w:rPr>
          <w:rFonts w:ascii="Georgia" w:hAnsi="Georgia"/>
          <w:color w:val="231F20"/>
          <w:spacing w:val="-15"/>
          <w:w w:val="95"/>
        </w:rPr>
        <w:t> </w:t>
      </w:r>
      <w:r>
        <w:rPr>
          <w:rFonts w:ascii="Georgia" w:hAnsi="Georgia"/>
          <w:color w:val="231F20"/>
          <w:w w:val="95"/>
        </w:rPr>
        <w:t>sus</w:t>
      </w:r>
      <w:r>
        <w:rPr>
          <w:rFonts w:ascii="Georgia" w:hAnsi="Georgia"/>
          <w:color w:val="231F20"/>
          <w:spacing w:val="-15"/>
          <w:w w:val="95"/>
        </w:rPr>
        <w:t> </w:t>
      </w:r>
      <w:r>
        <w:rPr>
          <w:rFonts w:ascii="Georgia" w:hAnsi="Georgia"/>
          <w:color w:val="231F20"/>
          <w:w w:val="95"/>
        </w:rPr>
        <w:t>programas</w:t>
      </w:r>
      <w:r>
        <w:rPr>
          <w:rFonts w:ascii="Georgia" w:hAnsi="Georgia"/>
          <w:color w:val="231F20"/>
          <w:spacing w:val="-15"/>
          <w:w w:val="95"/>
        </w:rPr>
        <w:t> </w:t>
      </w:r>
      <w:r>
        <w:rPr>
          <w:rFonts w:ascii="Georgia" w:hAnsi="Georgia"/>
          <w:color w:val="231F20"/>
          <w:w w:val="95"/>
        </w:rPr>
        <w:t>educativos;</w:t>
      </w:r>
      <w:r>
        <w:rPr>
          <w:rFonts w:ascii="Georgia" w:hAnsi="Georgia"/>
          <w:color w:val="231F20"/>
          <w:spacing w:val="-15"/>
          <w:w w:val="95"/>
        </w:rPr>
        <w:t> </w:t>
      </w:r>
      <w:r>
        <w:rPr>
          <w:rFonts w:ascii="Georgia" w:hAnsi="Georgia"/>
          <w:color w:val="231F20"/>
          <w:w w:val="95"/>
        </w:rPr>
        <w:t>de</w:t>
      </w:r>
      <w:r>
        <w:rPr>
          <w:rFonts w:ascii="Georgia" w:hAnsi="Georgia"/>
          <w:color w:val="231F20"/>
          <w:spacing w:val="-15"/>
          <w:w w:val="95"/>
        </w:rPr>
        <w:t> </w:t>
      </w:r>
      <w:r>
        <w:rPr>
          <w:rFonts w:ascii="Georgia" w:hAnsi="Georgia"/>
          <w:color w:val="231F20"/>
          <w:w w:val="95"/>
        </w:rPr>
        <w:t>allí</w:t>
      </w:r>
      <w:r>
        <w:rPr>
          <w:rFonts w:ascii="Georgia" w:hAnsi="Georgia"/>
          <w:color w:val="231F20"/>
          <w:spacing w:val="-15"/>
          <w:w w:val="95"/>
        </w:rPr>
        <w:t> </w:t>
      </w:r>
      <w:r>
        <w:rPr>
          <w:rFonts w:ascii="Georgia" w:hAnsi="Georgia"/>
          <w:color w:val="231F20"/>
          <w:w w:val="95"/>
        </w:rPr>
        <w:t>deriva la</w:t>
      </w:r>
      <w:r>
        <w:rPr>
          <w:rFonts w:ascii="Georgia" w:hAnsi="Georgia"/>
          <w:color w:val="231F20"/>
          <w:spacing w:val="-11"/>
          <w:w w:val="95"/>
        </w:rPr>
        <w:t> </w:t>
      </w:r>
      <w:r>
        <w:rPr>
          <w:rFonts w:ascii="Georgia" w:hAnsi="Georgia"/>
          <w:color w:val="231F20"/>
          <w:w w:val="95"/>
        </w:rPr>
        <w:t>exigencia</w:t>
      </w:r>
      <w:r>
        <w:rPr>
          <w:rFonts w:ascii="Georgia" w:hAnsi="Georgia"/>
          <w:color w:val="231F20"/>
          <w:spacing w:val="-11"/>
          <w:w w:val="95"/>
        </w:rPr>
        <w:t> </w:t>
      </w:r>
      <w:r>
        <w:rPr>
          <w:rFonts w:ascii="Georgia" w:hAnsi="Georgia"/>
          <w:color w:val="231F20"/>
          <w:w w:val="95"/>
        </w:rPr>
        <w:t>de</w:t>
      </w:r>
      <w:r>
        <w:rPr>
          <w:rFonts w:ascii="Georgia" w:hAnsi="Georgia"/>
          <w:color w:val="231F20"/>
          <w:spacing w:val="-11"/>
          <w:w w:val="95"/>
        </w:rPr>
        <w:t> </w:t>
      </w:r>
      <w:r>
        <w:rPr>
          <w:rFonts w:ascii="Georgia" w:hAnsi="Georgia"/>
          <w:color w:val="231F20"/>
          <w:w w:val="95"/>
        </w:rPr>
        <w:t>transformar</w:t>
      </w:r>
      <w:r>
        <w:rPr>
          <w:rFonts w:ascii="Georgia" w:hAnsi="Georgia"/>
          <w:color w:val="231F20"/>
          <w:spacing w:val="-11"/>
          <w:w w:val="95"/>
        </w:rPr>
        <w:t> </w:t>
      </w:r>
      <w:r>
        <w:rPr>
          <w:rFonts w:ascii="Georgia" w:hAnsi="Georgia"/>
          <w:color w:val="231F20"/>
          <w:w w:val="95"/>
        </w:rPr>
        <w:t>la</w:t>
      </w:r>
      <w:r>
        <w:rPr>
          <w:rFonts w:ascii="Georgia" w:hAnsi="Georgia"/>
          <w:color w:val="231F20"/>
          <w:spacing w:val="-11"/>
          <w:w w:val="95"/>
        </w:rPr>
        <w:t> </w:t>
      </w:r>
      <w:r>
        <w:rPr>
          <w:rFonts w:ascii="Georgia" w:hAnsi="Georgia"/>
          <w:color w:val="231F20"/>
          <w:w w:val="95"/>
        </w:rPr>
        <w:t>educación</w:t>
      </w:r>
      <w:r>
        <w:rPr>
          <w:rFonts w:ascii="Georgia" w:hAnsi="Georgia"/>
          <w:color w:val="231F20"/>
          <w:spacing w:val="-11"/>
          <w:w w:val="95"/>
        </w:rPr>
        <w:t> </w:t>
      </w:r>
      <w:r>
        <w:rPr>
          <w:rFonts w:ascii="Georgia" w:hAnsi="Georgia"/>
          <w:color w:val="231F20"/>
          <w:w w:val="95"/>
        </w:rPr>
        <w:t>superior</w:t>
      </w:r>
      <w:r>
        <w:rPr>
          <w:rFonts w:ascii="Georgia" w:hAnsi="Georgia"/>
          <w:color w:val="231F20"/>
          <w:spacing w:val="-11"/>
          <w:w w:val="95"/>
        </w:rPr>
        <w:t> </w:t>
      </w:r>
      <w:r>
        <w:rPr>
          <w:rFonts w:ascii="Georgia" w:hAnsi="Georgia"/>
          <w:color w:val="231F20"/>
          <w:w w:val="95"/>
        </w:rPr>
        <w:t>en</w:t>
      </w:r>
      <w:r>
        <w:rPr>
          <w:rFonts w:ascii="Georgia" w:hAnsi="Georgia"/>
          <w:color w:val="231F20"/>
          <w:spacing w:val="-11"/>
          <w:w w:val="95"/>
        </w:rPr>
        <w:t> </w:t>
      </w:r>
      <w:r>
        <w:rPr>
          <w:rFonts w:ascii="Georgia" w:hAnsi="Georgia"/>
          <w:color w:val="231F20"/>
          <w:w w:val="95"/>
        </w:rPr>
        <w:t>función</w:t>
      </w:r>
      <w:r>
        <w:rPr>
          <w:rFonts w:ascii="Georgia" w:hAnsi="Georgia"/>
          <w:color w:val="231F20"/>
          <w:spacing w:val="-11"/>
          <w:w w:val="95"/>
        </w:rPr>
        <w:t> </w:t>
      </w:r>
      <w:r>
        <w:rPr>
          <w:rFonts w:ascii="Georgia" w:hAnsi="Georgia"/>
          <w:color w:val="231F20"/>
          <w:w w:val="95"/>
        </w:rPr>
        <w:t>de</w:t>
      </w:r>
      <w:r>
        <w:rPr>
          <w:rFonts w:ascii="Georgia" w:hAnsi="Georgia"/>
          <w:color w:val="231F20"/>
          <w:spacing w:val="-11"/>
          <w:w w:val="95"/>
        </w:rPr>
        <w:t> </w:t>
      </w:r>
      <w:r>
        <w:rPr>
          <w:rFonts w:ascii="Georgia" w:hAnsi="Georgia"/>
          <w:color w:val="231F20"/>
          <w:w w:val="95"/>
        </w:rPr>
        <w:t>los imperativos</w:t>
      </w:r>
      <w:r>
        <w:rPr>
          <w:rFonts w:ascii="Georgia" w:hAnsi="Georgia"/>
          <w:color w:val="231F20"/>
          <w:spacing w:val="-12"/>
          <w:w w:val="95"/>
        </w:rPr>
        <w:t> </w:t>
      </w:r>
      <w:r>
        <w:rPr>
          <w:rFonts w:ascii="Georgia" w:hAnsi="Georgia"/>
          <w:color w:val="231F20"/>
          <w:w w:val="95"/>
        </w:rPr>
        <w:t>de</w:t>
      </w:r>
      <w:r>
        <w:rPr>
          <w:rFonts w:ascii="Georgia" w:hAnsi="Georgia"/>
          <w:color w:val="231F20"/>
          <w:spacing w:val="-12"/>
          <w:w w:val="95"/>
        </w:rPr>
        <w:t> </w:t>
      </w:r>
      <w:r>
        <w:rPr>
          <w:rFonts w:ascii="Georgia" w:hAnsi="Georgia"/>
          <w:color w:val="231F20"/>
          <w:w w:val="95"/>
        </w:rPr>
        <w:t>la</w:t>
      </w:r>
      <w:r>
        <w:rPr>
          <w:rFonts w:ascii="Georgia" w:hAnsi="Georgia"/>
          <w:color w:val="231F20"/>
          <w:spacing w:val="-12"/>
          <w:w w:val="95"/>
        </w:rPr>
        <w:t> </w:t>
      </w:r>
      <w:r>
        <w:rPr>
          <w:rFonts w:ascii="Georgia" w:hAnsi="Georgia"/>
          <w:color w:val="231F20"/>
          <w:w w:val="95"/>
        </w:rPr>
        <w:t>globalización,</w:t>
      </w:r>
      <w:r>
        <w:rPr>
          <w:rFonts w:ascii="Georgia" w:hAnsi="Georgia"/>
          <w:color w:val="231F20"/>
          <w:spacing w:val="-13"/>
          <w:w w:val="95"/>
        </w:rPr>
        <w:t> </w:t>
      </w:r>
      <w:r>
        <w:rPr>
          <w:rFonts w:ascii="Georgia" w:hAnsi="Georgia"/>
          <w:color w:val="231F20"/>
          <w:w w:val="95"/>
        </w:rPr>
        <w:t>para</w:t>
      </w:r>
      <w:r>
        <w:rPr>
          <w:rFonts w:ascii="Georgia" w:hAnsi="Georgia"/>
          <w:color w:val="231F20"/>
          <w:spacing w:val="-12"/>
          <w:w w:val="95"/>
        </w:rPr>
        <w:t> </w:t>
      </w:r>
      <w:r>
        <w:rPr>
          <w:rFonts w:ascii="Georgia" w:hAnsi="Georgia"/>
          <w:color w:val="231F20"/>
          <w:w w:val="95"/>
        </w:rPr>
        <w:t>lograr</w:t>
      </w:r>
      <w:r>
        <w:rPr>
          <w:rFonts w:ascii="Georgia" w:hAnsi="Georgia"/>
          <w:color w:val="231F20"/>
          <w:spacing w:val="-12"/>
          <w:w w:val="95"/>
        </w:rPr>
        <w:t> </w:t>
      </w:r>
      <w:r>
        <w:rPr>
          <w:rFonts w:ascii="Georgia" w:hAnsi="Georgia"/>
          <w:color w:val="231F20"/>
          <w:w w:val="95"/>
        </w:rPr>
        <w:t>un</w:t>
      </w:r>
      <w:r>
        <w:rPr>
          <w:rFonts w:ascii="Georgia" w:hAnsi="Georgia"/>
          <w:color w:val="231F20"/>
          <w:spacing w:val="-12"/>
          <w:w w:val="95"/>
        </w:rPr>
        <w:t> </w:t>
      </w:r>
      <w:r>
        <w:rPr>
          <w:rFonts w:ascii="Georgia" w:hAnsi="Georgia"/>
          <w:color w:val="231F20"/>
          <w:w w:val="95"/>
        </w:rPr>
        <w:t>sistema</w:t>
      </w:r>
      <w:r>
        <w:rPr>
          <w:rFonts w:ascii="Georgia" w:hAnsi="Georgia"/>
          <w:color w:val="231F20"/>
          <w:spacing w:val="-12"/>
          <w:w w:val="95"/>
        </w:rPr>
        <w:t> </w:t>
      </w:r>
      <w:r>
        <w:rPr>
          <w:rFonts w:ascii="Georgia" w:hAnsi="Georgia"/>
          <w:color w:val="231F20"/>
          <w:w w:val="95"/>
        </w:rPr>
        <w:t>homogéneo de créditos que posibiliten la movilidad, para reorientar los programas educativos hacia la inserción laboral, para asegurar la equidad</w:t>
      </w:r>
      <w:r>
        <w:rPr>
          <w:rFonts w:ascii="Georgia" w:hAnsi="Georgia"/>
          <w:color w:val="231F20"/>
          <w:spacing w:val="-14"/>
          <w:w w:val="95"/>
        </w:rPr>
        <w:t> </w:t>
      </w:r>
      <w:r>
        <w:rPr>
          <w:rFonts w:ascii="Georgia" w:hAnsi="Georgia"/>
          <w:color w:val="231F20"/>
          <w:w w:val="95"/>
        </w:rPr>
        <w:t>en</w:t>
      </w:r>
      <w:r>
        <w:rPr>
          <w:rFonts w:ascii="Georgia" w:hAnsi="Georgia"/>
          <w:color w:val="231F20"/>
          <w:spacing w:val="-13"/>
          <w:w w:val="95"/>
        </w:rPr>
        <w:t> </w:t>
      </w:r>
      <w:r>
        <w:rPr>
          <w:rFonts w:ascii="Georgia" w:hAnsi="Georgia"/>
          <w:color w:val="231F20"/>
          <w:w w:val="95"/>
        </w:rPr>
        <w:t>el</w:t>
      </w:r>
      <w:r>
        <w:rPr>
          <w:rFonts w:ascii="Georgia" w:hAnsi="Georgia"/>
          <w:color w:val="231F20"/>
          <w:spacing w:val="-14"/>
          <w:w w:val="95"/>
        </w:rPr>
        <w:t> </w:t>
      </w:r>
      <w:r>
        <w:rPr>
          <w:rFonts w:ascii="Georgia" w:hAnsi="Georgia"/>
          <w:color w:val="231F20"/>
          <w:w w:val="95"/>
        </w:rPr>
        <w:t>ingreso</w:t>
      </w:r>
      <w:r>
        <w:rPr>
          <w:rFonts w:ascii="Georgia" w:hAnsi="Georgia"/>
          <w:color w:val="231F20"/>
          <w:spacing w:val="-13"/>
          <w:w w:val="95"/>
        </w:rPr>
        <w:t> </w:t>
      </w:r>
      <w:r>
        <w:rPr>
          <w:rFonts w:ascii="Georgia" w:hAnsi="Georgia"/>
          <w:color w:val="231F20"/>
          <w:w w:val="95"/>
        </w:rPr>
        <w:t>y</w:t>
      </w:r>
      <w:r>
        <w:rPr>
          <w:rFonts w:ascii="Georgia" w:hAnsi="Georgia"/>
          <w:color w:val="231F20"/>
          <w:spacing w:val="-14"/>
          <w:w w:val="95"/>
        </w:rPr>
        <w:t> </w:t>
      </w:r>
      <w:r>
        <w:rPr>
          <w:rFonts w:ascii="Georgia" w:hAnsi="Georgia"/>
          <w:color w:val="231F20"/>
          <w:w w:val="95"/>
        </w:rPr>
        <w:t>permanencia</w:t>
      </w:r>
      <w:r>
        <w:rPr>
          <w:rFonts w:ascii="Georgia" w:hAnsi="Georgia"/>
          <w:color w:val="231F20"/>
          <w:spacing w:val="-14"/>
          <w:w w:val="95"/>
        </w:rPr>
        <w:t> </w:t>
      </w:r>
      <w:r>
        <w:rPr>
          <w:rFonts w:ascii="Georgia" w:hAnsi="Georgia"/>
          <w:color w:val="231F20"/>
          <w:w w:val="95"/>
        </w:rPr>
        <w:t>(mediante</w:t>
      </w:r>
      <w:r>
        <w:rPr>
          <w:rFonts w:ascii="Georgia" w:hAnsi="Georgia"/>
          <w:color w:val="231F20"/>
          <w:spacing w:val="-14"/>
          <w:w w:val="95"/>
        </w:rPr>
        <w:t> </w:t>
      </w:r>
      <w:r>
        <w:rPr>
          <w:rFonts w:ascii="Georgia" w:hAnsi="Georgia"/>
          <w:color w:val="231F20"/>
          <w:w w:val="95"/>
        </w:rPr>
        <w:t>exámenes</w:t>
      </w:r>
      <w:r>
        <w:rPr>
          <w:rFonts w:ascii="Georgia" w:hAnsi="Georgia"/>
          <w:color w:val="231F20"/>
          <w:spacing w:val="-14"/>
          <w:w w:val="95"/>
        </w:rPr>
        <w:t> </w:t>
      </w:r>
      <w:r>
        <w:rPr>
          <w:rFonts w:ascii="Georgia" w:hAnsi="Georgia"/>
          <w:color w:val="231F20"/>
          <w:w w:val="95"/>
        </w:rPr>
        <w:t>y</w:t>
      </w:r>
      <w:r>
        <w:rPr>
          <w:rFonts w:ascii="Georgia" w:hAnsi="Georgia"/>
          <w:color w:val="231F20"/>
          <w:spacing w:val="-14"/>
          <w:w w:val="95"/>
        </w:rPr>
        <w:t> </w:t>
      </w:r>
      <w:r>
        <w:rPr>
          <w:rFonts w:ascii="Georgia" w:hAnsi="Georgia"/>
          <w:color w:val="231F20"/>
          <w:w w:val="95"/>
        </w:rPr>
        <w:t>becas), para diversificar las fuentes de financiamiento (mediante el cobro de</w:t>
      </w:r>
      <w:r>
        <w:rPr>
          <w:rFonts w:ascii="Georgia" w:hAnsi="Georgia"/>
          <w:color w:val="231F20"/>
          <w:spacing w:val="-14"/>
          <w:w w:val="95"/>
        </w:rPr>
        <w:t> </w:t>
      </w:r>
      <w:r>
        <w:rPr>
          <w:rFonts w:ascii="Georgia" w:hAnsi="Georgia"/>
          <w:color w:val="231F20"/>
          <w:w w:val="95"/>
        </w:rPr>
        <w:t>cuotas</w:t>
      </w:r>
      <w:r>
        <w:rPr>
          <w:rFonts w:ascii="Georgia" w:hAnsi="Georgia"/>
          <w:color w:val="231F20"/>
          <w:spacing w:val="-14"/>
          <w:w w:val="95"/>
        </w:rPr>
        <w:t> </w:t>
      </w:r>
      <w:r>
        <w:rPr>
          <w:rFonts w:ascii="Georgia" w:hAnsi="Georgia"/>
          <w:color w:val="231F20"/>
          <w:w w:val="95"/>
        </w:rPr>
        <w:t>y</w:t>
      </w:r>
      <w:r>
        <w:rPr>
          <w:rFonts w:ascii="Georgia" w:hAnsi="Georgia"/>
          <w:color w:val="231F20"/>
          <w:spacing w:val="-14"/>
          <w:w w:val="95"/>
        </w:rPr>
        <w:t> </w:t>
      </w:r>
      <w:r>
        <w:rPr>
          <w:rFonts w:ascii="Georgia" w:hAnsi="Georgia"/>
          <w:color w:val="231F20"/>
          <w:w w:val="95"/>
        </w:rPr>
        <w:t>mercantilización</w:t>
      </w:r>
      <w:r>
        <w:rPr>
          <w:rFonts w:ascii="Georgia" w:hAnsi="Georgia"/>
          <w:color w:val="231F20"/>
          <w:spacing w:val="-14"/>
          <w:w w:val="95"/>
        </w:rPr>
        <w:t> </w:t>
      </w:r>
      <w:r>
        <w:rPr>
          <w:rFonts w:ascii="Georgia" w:hAnsi="Georgia"/>
          <w:color w:val="231F20"/>
          <w:w w:val="95"/>
        </w:rPr>
        <w:t>de</w:t>
      </w:r>
      <w:r>
        <w:rPr>
          <w:rFonts w:ascii="Georgia" w:hAnsi="Georgia"/>
          <w:color w:val="231F20"/>
          <w:spacing w:val="-14"/>
          <w:w w:val="95"/>
        </w:rPr>
        <w:t> </w:t>
      </w:r>
      <w:r>
        <w:rPr>
          <w:rFonts w:ascii="Georgia" w:hAnsi="Georgia"/>
          <w:color w:val="231F20"/>
          <w:w w:val="95"/>
        </w:rPr>
        <w:t>los</w:t>
      </w:r>
      <w:r>
        <w:rPr>
          <w:rFonts w:ascii="Georgia" w:hAnsi="Georgia"/>
          <w:color w:val="231F20"/>
          <w:spacing w:val="-14"/>
          <w:w w:val="95"/>
        </w:rPr>
        <w:t> </w:t>
      </w:r>
      <w:r>
        <w:rPr>
          <w:rFonts w:ascii="Georgia" w:hAnsi="Georgia"/>
          <w:color w:val="231F20"/>
          <w:w w:val="95"/>
        </w:rPr>
        <w:t>todos</w:t>
      </w:r>
      <w:r>
        <w:rPr>
          <w:rFonts w:ascii="Georgia" w:hAnsi="Georgia"/>
          <w:color w:val="231F20"/>
          <w:spacing w:val="-14"/>
          <w:w w:val="95"/>
        </w:rPr>
        <w:t> </w:t>
      </w:r>
      <w:r>
        <w:rPr>
          <w:rFonts w:ascii="Georgia" w:hAnsi="Georgia"/>
          <w:color w:val="231F20"/>
          <w:w w:val="95"/>
        </w:rPr>
        <w:t>los</w:t>
      </w:r>
      <w:r>
        <w:rPr>
          <w:rFonts w:ascii="Georgia" w:hAnsi="Georgia"/>
          <w:color w:val="231F20"/>
          <w:spacing w:val="-14"/>
          <w:w w:val="95"/>
        </w:rPr>
        <w:t> </w:t>
      </w:r>
      <w:r>
        <w:rPr>
          <w:rFonts w:ascii="Georgia" w:hAnsi="Georgia"/>
          <w:color w:val="231F20"/>
          <w:w w:val="95"/>
        </w:rPr>
        <w:t>productos</w:t>
      </w:r>
      <w:r>
        <w:rPr>
          <w:rFonts w:ascii="Georgia" w:hAnsi="Georgia"/>
          <w:color w:val="231F20"/>
          <w:spacing w:val="-14"/>
          <w:w w:val="95"/>
        </w:rPr>
        <w:t> </w:t>
      </w:r>
      <w:r>
        <w:rPr>
          <w:rFonts w:ascii="Georgia" w:hAnsi="Georgia"/>
          <w:color w:val="231F20"/>
          <w:w w:val="95"/>
        </w:rPr>
        <w:t>y</w:t>
      </w:r>
      <w:r>
        <w:rPr>
          <w:rFonts w:ascii="Georgia" w:hAnsi="Georgia"/>
          <w:color w:val="231F20"/>
          <w:spacing w:val="-14"/>
          <w:w w:val="95"/>
        </w:rPr>
        <w:t> </w:t>
      </w:r>
      <w:r>
        <w:rPr>
          <w:rFonts w:ascii="Georgia" w:hAnsi="Georgia"/>
          <w:color w:val="231F20"/>
          <w:w w:val="95"/>
        </w:rPr>
        <w:t>servicios), el</w:t>
      </w:r>
      <w:r>
        <w:rPr>
          <w:rFonts w:ascii="Georgia" w:hAnsi="Georgia"/>
          <w:color w:val="231F20"/>
          <w:spacing w:val="-8"/>
          <w:w w:val="95"/>
        </w:rPr>
        <w:t> </w:t>
      </w:r>
      <w:r>
        <w:rPr>
          <w:rFonts w:ascii="Georgia" w:hAnsi="Georgia"/>
          <w:color w:val="231F20"/>
          <w:w w:val="95"/>
        </w:rPr>
        <w:t>control</w:t>
      </w:r>
      <w:r>
        <w:rPr>
          <w:rFonts w:ascii="Georgia" w:hAnsi="Georgia"/>
          <w:color w:val="231F20"/>
          <w:spacing w:val="-8"/>
          <w:w w:val="95"/>
        </w:rPr>
        <w:t> </w:t>
      </w:r>
      <w:r>
        <w:rPr>
          <w:rFonts w:ascii="Georgia" w:hAnsi="Georgia"/>
          <w:color w:val="231F20"/>
          <w:w w:val="95"/>
        </w:rPr>
        <w:t>de</w:t>
      </w:r>
      <w:r>
        <w:rPr>
          <w:rFonts w:ascii="Georgia" w:hAnsi="Georgia"/>
          <w:color w:val="231F20"/>
          <w:spacing w:val="-7"/>
          <w:w w:val="95"/>
        </w:rPr>
        <w:t> </w:t>
      </w:r>
      <w:r>
        <w:rPr>
          <w:rFonts w:ascii="Georgia" w:hAnsi="Georgia"/>
          <w:color w:val="231F20"/>
          <w:w w:val="95"/>
        </w:rPr>
        <w:t>la</w:t>
      </w:r>
      <w:r>
        <w:rPr>
          <w:rFonts w:ascii="Georgia" w:hAnsi="Georgia"/>
          <w:color w:val="231F20"/>
          <w:spacing w:val="-7"/>
          <w:w w:val="95"/>
        </w:rPr>
        <w:t> </w:t>
      </w:r>
      <w:r>
        <w:rPr>
          <w:rFonts w:ascii="Georgia" w:hAnsi="Georgia"/>
          <w:color w:val="231F20"/>
          <w:w w:val="95"/>
        </w:rPr>
        <w:t>formación</w:t>
      </w:r>
      <w:r>
        <w:rPr>
          <w:rFonts w:ascii="Georgia" w:hAnsi="Georgia"/>
          <w:color w:val="231F20"/>
          <w:spacing w:val="-7"/>
          <w:w w:val="95"/>
        </w:rPr>
        <w:t> </w:t>
      </w:r>
      <w:r>
        <w:rPr>
          <w:rFonts w:ascii="Georgia" w:hAnsi="Georgia"/>
          <w:color w:val="231F20"/>
          <w:w w:val="95"/>
        </w:rPr>
        <w:t>y</w:t>
      </w:r>
      <w:r>
        <w:rPr>
          <w:rFonts w:ascii="Georgia" w:hAnsi="Georgia"/>
          <w:color w:val="231F20"/>
          <w:spacing w:val="-7"/>
          <w:w w:val="95"/>
        </w:rPr>
        <w:t> </w:t>
      </w:r>
      <w:r>
        <w:rPr>
          <w:rFonts w:ascii="Georgia" w:hAnsi="Georgia"/>
          <w:color w:val="231F20"/>
          <w:w w:val="95"/>
        </w:rPr>
        <w:t>la</w:t>
      </w:r>
      <w:r>
        <w:rPr>
          <w:rFonts w:ascii="Georgia" w:hAnsi="Georgia"/>
          <w:color w:val="231F20"/>
          <w:spacing w:val="-7"/>
          <w:w w:val="95"/>
        </w:rPr>
        <w:t> </w:t>
      </w:r>
      <w:r>
        <w:rPr>
          <w:rFonts w:ascii="Georgia" w:hAnsi="Georgia"/>
          <w:color w:val="231F20"/>
          <w:w w:val="95"/>
        </w:rPr>
        <w:t>actividad</w:t>
      </w:r>
      <w:r>
        <w:rPr>
          <w:rFonts w:ascii="Georgia" w:hAnsi="Georgia"/>
          <w:color w:val="231F20"/>
          <w:spacing w:val="-7"/>
          <w:w w:val="95"/>
        </w:rPr>
        <w:t> </w:t>
      </w:r>
      <w:r>
        <w:rPr>
          <w:rFonts w:ascii="Georgia" w:hAnsi="Georgia"/>
          <w:color w:val="231F20"/>
          <w:w w:val="95"/>
        </w:rPr>
        <w:t>de</w:t>
      </w:r>
      <w:r>
        <w:rPr>
          <w:rFonts w:ascii="Georgia" w:hAnsi="Georgia"/>
          <w:color w:val="231F20"/>
          <w:spacing w:val="-7"/>
          <w:w w:val="95"/>
        </w:rPr>
        <w:t> </w:t>
      </w:r>
      <w:r>
        <w:rPr>
          <w:rFonts w:ascii="Georgia" w:hAnsi="Georgia"/>
          <w:color w:val="231F20"/>
          <w:w w:val="95"/>
        </w:rPr>
        <w:t>los</w:t>
      </w:r>
      <w:r>
        <w:rPr>
          <w:rFonts w:ascii="Georgia" w:hAnsi="Georgia"/>
          <w:color w:val="231F20"/>
          <w:spacing w:val="-7"/>
          <w:w w:val="95"/>
        </w:rPr>
        <w:t> </w:t>
      </w:r>
      <w:r>
        <w:rPr>
          <w:rFonts w:ascii="Georgia" w:hAnsi="Georgia"/>
          <w:color w:val="231F20"/>
          <w:w w:val="95"/>
        </w:rPr>
        <w:t>profesores,</w:t>
      </w:r>
      <w:r>
        <w:rPr>
          <w:rFonts w:ascii="Georgia" w:hAnsi="Georgia"/>
          <w:color w:val="231F20"/>
          <w:spacing w:val="-8"/>
          <w:w w:val="95"/>
        </w:rPr>
        <w:t> </w:t>
      </w:r>
      <w:r>
        <w:rPr>
          <w:rFonts w:ascii="Georgia" w:hAnsi="Georgia"/>
          <w:color w:val="231F20"/>
          <w:w w:val="95"/>
        </w:rPr>
        <w:t>para</w:t>
      </w:r>
      <w:r>
        <w:rPr>
          <w:rFonts w:ascii="Georgia" w:hAnsi="Georgia"/>
          <w:color w:val="231F20"/>
          <w:spacing w:val="-7"/>
          <w:w w:val="95"/>
        </w:rPr>
        <w:t> </w:t>
      </w:r>
      <w:r>
        <w:rPr>
          <w:rFonts w:ascii="Georgia" w:hAnsi="Georgia"/>
          <w:color w:val="231F20"/>
          <w:w w:val="95"/>
        </w:rPr>
        <w:t>que las instituciones constituyan los medios para lograr el acceso al conocimiento,</w:t>
      </w:r>
      <w:r>
        <w:rPr>
          <w:rFonts w:ascii="Georgia" w:hAnsi="Georgia"/>
          <w:color w:val="231F20"/>
          <w:spacing w:val="-11"/>
          <w:w w:val="95"/>
        </w:rPr>
        <w:t> </w:t>
      </w:r>
      <w:r>
        <w:rPr>
          <w:rFonts w:ascii="Georgia" w:hAnsi="Georgia"/>
          <w:color w:val="231F20"/>
          <w:w w:val="95"/>
        </w:rPr>
        <w:t>su</w:t>
      </w:r>
      <w:r>
        <w:rPr>
          <w:rFonts w:ascii="Georgia" w:hAnsi="Georgia"/>
          <w:color w:val="231F20"/>
          <w:spacing w:val="-11"/>
          <w:w w:val="95"/>
        </w:rPr>
        <w:t> </w:t>
      </w:r>
      <w:r>
        <w:rPr>
          <w:rFonts w:ascii="Georgia" w:hAnsi="Georgia"/>
          <w:color w:val="231F20"/>
          <w:w w:val="95"/>
        </w:rPr>
        <w:t>adaptación</w:t>
      </w:r>
      <w:r>
        <w:rPr>
          <w:rFonts w:ascii="Georgia" w:hAnsi="Georgia"/>
          <w:color w:val="231F20"/>
          <w:spacing w:val="-11"/>
          <w:w w:val="95"/>
        </w:rPr>
        <w:t> </w:t>
      </w:r>
      <w:r>
        <w:rPr>
          <w:rFonts w:ascii="Georgia" w:hAnsi="Georgia"/>
          <w:color w:val="231F20"/>
          <w:w w:val="95"/>
        </w:rPr>
        <w:t>y</w:t>
      </w:r>
      <w:r>
        <w:rPr>
          <w:rFonts w:ascii="Georgia" w:hAnsi="Georgia"/>
          <w:color w:val="231F20"/>
          <w:spacing w:val="-11"/>
          <w:w w:val="95"/>
        </w:rPr>
        <w:t> </w:t>
      </w:r>
      <w:r>
        <w:rPr>
          <w:rFonts w:ascii="Georgia" w:hAnsi="Georgia"/>
          <w:color w:val="231F20"/>
          <w:w w:val="95"/>
        </w:rPr>
        <w:t>transferencia</w:t>
      </w:r>
      <w:r>
        <w:rPr>
          <w:rFonts w:ascii="Georgia" w:hAnsi="Georgia"/>
          <w:color w:val="231F20"/>
          <w:spacing w:val="-11"/>
          <w:w w:val="95"/>
        </w:rPr>
        <w:t> </w:t>
      </w:r>
      <w:r>
        <w:rPr>
          <w:rFonts w:ascii="Georgia" w:hAnsi="Georgia"/>
          <w:color w:val="231F20"/>
          <w:w w:val="95"/>
        </w:rPr>
        <w:t>para</w:t>
      </w:r>
      <w:r>
        <w:rPr>
          <w:rFonts w:ascii="Georgia" w:hAnsi="Georgia"/>
          <w:color w:val="231F20"/>
          <w:spacing w:val="-11"/>
          <w:w w:val="95"/>
        </w:rPr>
        <w:t> </w:t>
      </w:r>
      <w:r>
        <w:rPr>
          <w:rFonts w:ascii="Georgia" w:hAnsi="Georgia"/>
          <w:color w:val="231F20"/>
          <w:w w:val="95"/>
        </w:rPr>
        <w:t>reducir</w:t>
      </w:r>
      <w:r>
        <w:rPr>
          <w:rFonts w:ascii="Georgia" w:hAnsi="Georgia"/>
          <w:color w:val="231F20"/>
          <w:spacing w:val="-11"/>
          <w:w w:val="95"/>
        </w:rPr>
        <w:t> </w:t>
      </w:r>
      <w:r>
        <w:rPr>
          <w:rFonts w:ascii="Georgia" w:hAnsi="Georgia"/>
          <w:color w:val="231F20"/>
          <w:w w:val="95"/>
        </w:rPr>
        <w:t>la</w:t>
      </w:r>
      <w:r>
        <w:rPr>
          <w:rFonts w:ascii="Georgia" w:hAnsi="Georgia"/>
          <w:color w:val="231F20"/>
          <w:spacing w:val="-11"/>
          <w:w w:val="95"/>
        </w:rPr>
        <w:t> </w:t>
      </w:r>
      <w:r>
        <w:rPr>
          <w:rFonts w:ascii="Georgia" w:hAnsi="Georgia"/>
          <w:color w:val="231F20"/>
          <w:w w:val="95"/>
        </w:rPr>
        <w:t>brecha </w:t>
      </w:r>
      <w:r>
        <w:rPr>
          <w:rFonts w:ascii="Georgia" w:hAnsi="Georgia"/>
          <w:color w:val="231F20"/>
          <w:w w:val="90"/>
        </w:rPr>
        <w:t>entre países desarrollados y en vías de</w:t>
      </w:r>
      <w:r>
        <w:rPr>
          <w:rFonts w:ascii="Georgia" w:hAnsi="Georgia"/>
          <w:color w:val="231F20"/>
          <w:spacing w:val="18"/>
          <w:w w:val="90"/>
        </w:rPr>
        <w:t> </w:t>
      </w:r>
      <w:r>
        <w:rPr>
          <w:rFonts w:ascii="Georgia" w:hAnsi="Georgia"/>
          <w:color w:val="231F20"/>
          <w:w w:val="90"/>
        </w:rPr>
        <w:t>desarrollo.</w:t>
      </w:r>
    </w:p>
    <w:p>
      <w:pPr>
        <w:pStyle w:val="BodyText"/>
        <w:spacing w:line="252" w:lineRule="auto"/>
        <w:ind w:left="102" w:right="115" w:firstLine="284"/>
        <w:jc w:val="both"/>
        <w:rPr>
          <w:rFonts w:ascii="Georgia" w:hAnsi="Georgia"/>
        </w:rPr>
      </w:pPr>
      <w:r>
        <w:rPr>
          <w:rFonts w:ascii="Georgia" w:hAnsi="Georgia"/>
          <w:color w:val="231F20"/>
          <w:spacing w:val="3"/>
          <w:w w:val="95"/>
        </w:rPr>
        <w:t>Ahora</w:t>
      </w:r>
      <w:r>
        <w:rPr>
          <w:rFonts w:ascii="Georgia" w:hAnsi="Georgia"/>
          <w:color w:val="231F20"/>
          <w:spacing w:val="-11"/>
          <w:w w:val="95"/>
        </w:rPr>
        <w:t> </w:t>
      </w:r>
      <w:r>
        <w:rPr>
          <w:rFonts w:ascii="Georgia" w:hAnsi="Georgia"/>
          <w:color w:val="231F20"/>
          <w:spacing w:val="2"/>
          <w:w w:val="95"/>
        </w:rPr>
        <w:t>bien,</w:t>
      </w:r>
      <w:r>
        <w:rPr>
          <w:rFonts w:ascii="Georgia" w:hAnsi="Georgia"/>
          <w:color w:val="231F20"/>
          <w:spacing w:val="-12"/>
          <w:w w:val="95"/>
        </w:rPr>
        <w:t> </w:t>
      </w:r>
      <w:r>
        <w:rPr>
          <w:rFonts w:ascii="Georgia" w:hAnsi="Georgia"/>
          <w:color w:val="231F20"/>
          <w:spacing w:val="2"/>
          <w:w w:val="95"/>
        </w:rPr>
        <w:t>para</w:t>
      </w:r>
      <w:r>
        <w:rPr>
          <w:rFonts w:ascii="Georgia" w:hAnsi="Georgia"/>
          <w:color w:val="231F20"/>
          <w:spacing w:val="-11"/>
          <w:w w:val="95"/>
        </w:rPr>
        <w:t> </w:t>
      </w:r>
      <w:r>
        <w:rPr>
          <w:rFonts w:ascii="Georgia" w:hAnsi="Georgia"/>
          <w:color w:val="231F20"/>
          <w:w w:val="95"/>
        </w:rPr>
        <w:t>dar</w:t>
      </w:r>
      <w:r>
        <w:rPr>
          <w:rFonts w:ascii="Georgia" w:hAnsi="Georgia"/>
          <w:color w:val="231F20"/>
          <w:spacing w:val="-11"/>
          <w:w w:val="95"/>
        </w:rPr>
        <w:t> </w:t>
      </w:r>
      <w:r>
        <w:rPr>
          <w:rFonts w:ascii="Georgia" w:hAnsi="Georgia"/>
          <w:color w:val="231F20"/>
          <w:spacing w:val="2"/>
          <w:w w:val="95"/>
        </w:rPr>
        <w:t>viabilidad</w:t>
      </w:r>
      <w:r>
        <w:rPr>
          <w:rFonts w:ascii="Georgia" w:hAnsi="Georgia"/>
          <w:color w:val="231F20"/>
          <w:spacing w:val="-11"/>
          <w:w w:val="95"/>
        </w:rPr>
        <w:t> </w:t>
      </w:r>
      <w:r>
        <w:rPr>
          <w:rFonts w:ascii="Georgia" w:hAnsi="Georgia"/>
          <w:color w:val="231F20"/>
          <w:w w:val="95"/>
        </w:rPr>
        <w:t>a</w:t>
      </w:r>
      <w:r>
        <w:rPr>
          <w:rFonts w:ascii="Georgia" w:hAnsi="Georgia"/>
          <w:color w:val="231F20"/>
          <w:spacing w:val="-11"/>
          <w:w w:val="95"/>
        </w:rPr>
        <w:t> </w:t>
      </w:r>
      <w:r>
        <w:rPr>
          <w:rFonts w:ascii="Georgia" w:hAnsi="Georgia"/>
          <w:color w:val="231F20"/>
          <w:w w:val="95"/>
        </w:rPr>
        <w:t>ese</w:t>
      </w:r>
      <w:r>
        <w:rPr>
          <w:rFonts w:ascii="Georgia" w:hAnsi="Georgia"/>
          <w:color w:val="231F20"/>
          <w:spacing w:val="-11"/>
          <w:w w:val="95"/>
        </w:rPr>
        <w:t> </w:t>
      </w:r>
      <w:r>
        <w:rPr>
          <w:rFonts w:ascii="Georgia" w:hAnsi="Georgia"/>
          <w:color w:val="231F20"/>
          <w:spacing w:val="2"/>
          <w:w w:val="95"/>
        </w:rPr>
        <w:t>discurso</w:t>
      </w:r>
      <w:r>
        <w:rPr>
          <w:rFonts w:ascii="Georgia" w:hAnsi="Georgia"/>
          <w:color w:val="231F20"/>
          <w:spacing w:val="-11"/>
          <w:w w:val="95"/>
        </w:rPr>
        <w:t> </w:t>
      </w:r>
      <w:r>
        <w:rPr>
          <w:rFonts w:ascii="Georgia" w:hAnsi="Georgia"/>
          <w:color w:val="231F20"/>
          <w:w w:val="95"/>
        </w:rPr>
        <w:t>de</w:t>
      </w:r>
      <w:r>
        <w:rPr>
          <w:rFonts w:ascii="Georgia" w:hAnsi="Georgia"/>
          <w:color w:val="231F20"/>
          <w:spacing w:val="-11"/>
          <w:w w:val="95"/>
        </w:rPr>
        <w:t> </w:t>
      </w:r>
      <w:r>
        <w:rPr>
          <w:rFonts w:ascii="Georgia" w:hAnsi="Georgia"/>
          <w:color w:val="231F20"/>
          <w:w w:val="95"/>
        </w:rPr>
        <w:t>las</w:t>
      </w:r>
      <w:r>
        <w:rPr>
          <w:rFonts w:ascii="Georgia" w:hAnsi="Georgia"/>
          <w:color w:val="231F20"/>
          <w:spacing w:val="-11"/>
          <w:w w:val="95"/>
        </w:rPr>
        <w:t> </w:t>
      </w:r>
      <w:r>
        <w:rPr>
          <w:rFonts w:ascii="Georgia" w:hAnsi="Georgia"/>
          <w:color w:val="231F20"/>
          <w:spacing w:val="2"/>
          <w:w w:val="95"/>
        </w:rPr>
        <w:t>políticas</w:t>
      </w:r>
      <w:r>
        <w:rPr>
          <w:rFonts w:ascii="Georgia" w:hAnsi="Georgia"/>
          <w:color w:val="231F20"/>
          <w:spacing w:val="-11"/>
          <w:w w:val="95"/>
        </w:rPr>
        <w:t> </w:t>
      </w:r>
      <w:r>
        <w:rPr>
          <w:rFonts w:ascii="Georgia" w:hAnsi="Georgia"/>
          <w:color w:val="231F20"/>
          <w:w w:val="95"/>
        </w:rPr>
        <w:t>– que </w:t>
      </w:r>
      <w:r>
        <w:rPr>
          <w:rFonts w:ascii="Georgia" w:hAnsi="Georgia"/>
          <w:color w:val="231F20"/>
          <w:spacing w:val="2"/>
          <w:w w:val="95"/>
        </w:rPr>
        <w:t>expresa todo </w:t>
      </w:r>
      <w:r>
        <w:rPr>
          <w:rFonts w:ascii="Georgia" w:hAnsi="Georgia"/>
          <w:color w:val="231F20"/>
          <w:w w:val="95"/>
        </w:rPr>
        <w:t>un </w:t>
      </w:r>
      <w:r>
        <w:rPr>
          <w:rFonts w:ascii="Georgia" w:hAnsi="Georgia"/>
          <w:color w:val="231F20"/>
          <w:spacing w:val="2"/>
          <w:w w:val="95"/>
        </w:rPr>
        <w:t>proyecto </w:t>
      </w:r>
      <w:r>
        <w:rPr>
          <w:rFonts w:ascii="Georgia" w:hAnsi="Georgia"/>
          <w:color w:val="231F20"/>
          <w:w w:val="95"/>
        </w:rPr>
        <w:t>de </w:t>
      </w:r>
      <w:r>
        <w:rPr>
          <w:rFonts w:ascii="Georgia" w:hAnsi="Georgia"/>
          <w:color w:val="231F20"/>
          <w:spacing w:val="2"/>
          <w:w w:val="95"/>
        </w:rPr>
        <w:t>reorganización </w:t>
      </w:r>
      <w:r>
        <w:rPr>
          <w:rFonts w:ascii="Georgia" w:hAnsi="Georgia"/>
          <w:color w:val="231F20"/>
          <w:w w:val="95"/>
        </w:rPr>
        <w:t>de la </w:t>
      </w:r>
      <w:r>
        <w:rPr>
          <w:rFonts w:ascii="Georgia" w:hAnsi="Georgia"/>
          <w:color w:val="231F20"/>
          <w:spacing w:val="2"/>
          <w:w w:val="95"/>
        </w:rPr>
        <w:t>educación </w:t>
      </w:r>
      <w:r>
        <w:rPr>
          <w:rFonts w:ascii="Georgia" w:hAnsi="Georgia"/>
          <w:color w:val="231F20"/>
          <w:spacing w:val="2"/>
        </w:rPr>
        <w:t>superior</w:t>
      </w:r>
      <w:r>
        <w:rPr>
          <w:rFonts w:ascii="Georgia" w:hAnsi="Georgia"/>
          <w:color w:val="231F20"/>
          <w:spacing w:val="-8"/>
        </w:rPr>
        <w:t> </w:t>
      </w:r>
      <w:r>
        <w:rPr>
          <w:rFonts w:ascii="Georgia" w:hAnsi="Georgia"/>
          <w:color w:val="231F20"/>
        </w:rPr>
        <w:t>en</w:t>
      </w:r>
      <w:r>
        <w:rPr>
          <w:rFonts w:ascii="Georgia" w:hAnsi="Georgia"/>
          <w:color w:val="231F20"/>
          <w:spacing w:val="-8"/>
        </w:rPr>
        <w:t> </w:t>
      </w:r>
      <w:r>
        <w:rPr>
          <w:rFonts w:ascii="Georgia" w:hAnsi="Georgia"/>
          <w:color w:val="231F20"/>
          <w:spacing w:val="2"/>
        </w:rPr>
        <w:t>función</w:t>
      </w:r>
      <w:r>
        <w:rPr>
          <w:rFonts w:ascii="Georgia" w:hAnsi="Georgia"/>
          <w:color w:val="231F20"/>
          <w:spacing w:val="-8"/>
        </w:rPr>
        <w:t> </w:t>
      </w:r>
      <w:r>
        <w:rPr>
          <w:rFonts w:ascii="Georgia" w:hAnsi="Georgia"/>
          <w:color w:val="231F20"/>
        </w:rPr>
        <w:t>de</w:t>
      </w:r>
      <w:r>
        <w:rPr>
          <w:rFonts w:ascii="Georgia" w:hAnsi="Georgia"/>
          <w:color w:val="231F20"/>
          <w:spacing w:val="-8"/>
        </w:rPr>
        <w:t> </w:t>
      </w:r>
      <w:r>
        <w:rPr>
          <w:rFonts w:ascii="Georgia" w:hAnsi="Georgia"/>
          <w:color w:val="231F20"/>
          <w:spacing w:val="2"/>
        </w:rPr>
        <w:t>los</w:t>
      </w:r>
      <w:r>
        <w:rPr>
          <w:rFonts w:ascii="Georgia" w:hAnsi="Georgia"/>
          <w:color w:val="231F20"/>
          <w:spacing w:val="-8"/>
        </w:rPr>
        <w:t> </w:t>
      </w:r>
      <w:r>
        <w:rPr>
          <w:rFonts w:ascii="Georgia" w:hAnsi="Georgia"/>
          <w:color w:val="231F20"/>
          <w:spacing w:val="2"/>
        </w:rPr>
        <w:t>imperativos</w:t>
      </w:r>
      <w:r>
        <w:rPr>
          <w:rFonts w:ascii="Georgia" w:hAnsi="Georgia"/>
          <w:color w:val="231F20"/>
          <w:spacing w:val="-8"/>
        </w:rPr>
        <w:t> </w:t>
      </w:r>
      <w:r>
        <w:rPr>
          <w:rFonts w:ascii="Georgia" w:hAnsi="Georgia"/>
          <w:color w:val="231F20"/>
        </w:rPr>
        <w:t>de</w:t>
      </w:r>
      <w:r>
        <w:rPr>
          <w:rFonts w:ascii="Georgia" w:hAnsi="Georgia"/>
          <w:color w:val="231F20"/>
          <w:spacing w:val="-8"/>
        </w:rPr>
        <w:t> </w:t>
      </w:r>
      <w:r>
        <w:rPr>
          <w:rFonts w:ascii="Georgia" w:hAnsi="Georgia"/>
          <w:color w:val="231F20"/>
        </w:rPr>
        <w:t>la</w:t>
      </w:r>
      <w:r>
        <w:rPr>
          <w:rFonts w:ascii="Georgia" w:hAnsi="Georgia"/>
          <w:color w:val="231F20"/>
          <w:spacing w:val="-8"/>
        </w:rPr>
        <w:t> </w:t>
      </w:r>
      <w:r>
        <w:rPr>
          <w:rFonts w:ascii="Georgia" w:hAnsi="Georgia"/>
          <w:color w:val="231F20"/>
          <w:spacing w:val="2"/>
        </w:rPr>
        <w:t>globalización–</w:t>
      </w:r>
      <w:r>
        <w:rPr>
          <w:rFonts w:ascii="Georgia" w:hAnsi="Georgia"/>
          <w:color w:val="231F20"/>
          <w:spacing w:val="-8"/>
        </w:rPr>
        <w:t> </w:t>
      </w:r>
      <w:r>
        <w:rPr>
          <w:rFonts w:ascii="Georgia" w:hAnsi="Georgia"/>
          <w:color w:val="231F20"/>
        </w:rPr>
        <w:t>las </w:t>
      </w:r>
      <w:r>
        <w:rPr>
          <w:rFonts w:ascii="Georgia" w:hAnsi="Georgia"/>
          <w:color w:val="231F20"/>
          <w:spacing w:val="3"/>
          <w:w w:val="95"/>
        </w:rPr>
        <w:t>propuestas</w:t>
      </w:r>
      <w:r>
        <w:rPr>
          <w:rFonts w:ascii="Georgia" w:hAnsi="Georgia"/>
          <w:color w:val="231F20"/>
          <w:spacing w:val="-4"/>
          <w:w w:val="95"/>
        </w:rPr>
        <w:t> </w:t>
      </w:r>
      <w:r>
        <w:rPr>
          <w:rFonts w:ascii="Georgia" w:hAnsi="Georgia"/>
          <w:color w:val="231F20"/>
          <w:w w:val="95"/>
        </w:rPr>
        <w:t>de</w:t>
      </w:r>
      <w:r>
        <w:rPr>
          <w:rFonts w:ascii="Georgia" w:hAnsi="Georgia"/>
          <w:color w:val="231F20"/>
          <w:spacing w:val="-4"/>
          <w:w w:val="95"/>
        </w:rPr>
        <w:t> </w:t>
      </w:r>
      <w:r>
        <w:rPr>
          <w:rFonts w:ascii="Georgia" w:hAnsi="Georgia"/>
          <w:color w:val="231F20"/>
          <w:spacing w:val="3"/>
          <w:w w:val="95"/>
        </w:rPr>
        <w:t>reforma,</w:t>
      </w:r>
      <w:r>
        <w:rPr>
          <w:rFonts w:ascii="Georgia" w:hAnsi="Georgia"/>
          <w:color w:val="231F20"/>
          <w:spacing w:val="-5"/>
          <w:w w:val="95"/>
        </w:rPr>
        <w:t> </w:t>
      </w:r>
      <w:r>
        <w:rPr>
          <w:rFonts w:ascii="Georgia" w:hAnsi="Georgia"/>
          <w:color w:val="231F20"/>
          <w:w w:val="95"/>
        </w:rPr>
        <w:t>en</w:t>
      </w:r>
      <w:r>
        <w:rPr>
          <w:rFonts w:ascii="Georgia" w:hAnsi="Georgia"/>
          <w:color w:val="231F20"/>
          <w:spacing w:val="-4"/>
          <w:w w:val="95"/>
        </w:rPr>
        <w:t> </w:t>
      </w:r>
      <w:r>
        <w:rPr>
          <w:rFonts w:ascii="Georgia" w:hAnsi="Georgia"/>
          <w:color w:val="231F20"/>
          <w:w w:val="95"/>
        </w:rPr>
        <w:t>el</w:t>
      </w:r>
      <w:r>
        <w:rPr>
          <w:rFonts w:ascii="Georgia" w:hAnsi="Georgia"/>
          <w:color w:val="231F20"/>
          <w:spacing w:val="-5"/>
          <w:w w:val="95"/>
        </w:rPr>
        <w:t> </w:t>
      </w:r>
      <w:r>
        <w:rPr>
          <w:rFonts w:ascii="Georgia" w:hAnsi="Georgia"/>
          <w:color w:val="231F20"/>
          <w:spacing w:val="2"/>
          <w:w w:val="95"/>
        </w:rPr>
        <w:t>ámbito</w:t>
      </w:r>
      <w:r>
        <w:rPr>
          <w:rFonts w:ascii="Georgia" w:hAnsi="Georgia"/>
          <w:color w:val="231F20"/>
          <w:spacing w:val="-4"/>
          <w:w w:val="95"/>
        </w:rPr>
        <w:t> </w:t>
      </w:r>
      <w:r>
        <w:rPr>
          <w:rFonts w:ascii="Georgia" w:hAnsi="Georgia"/>
          <w:color w:val="231F20"/>
          <w:spacing w:val="2"/>
          <w:w w:val="95"/>
        </w:rPr>
        <w:t>curricular,</w:t>
      </w:r>
      <w:r>
        <w:rPr>
          <w:rFonts w:ascii="Georgia" w:hAnsi="Georgia"/>
          <w:color w:val="231F20"/>
          <w:spacing w:val="-5"/>
          <w:w w:val="95"/>
        </w:rPr>
        <w:t> </w:t>
      </w:r>
      <w:r>
        <w:rPr>
          <w:rFonts w:ascii="Georgia" w:hAnsi="Georgia"/>
          <w:color w:val="231F20"/>
          <w:spacing w:val="2"/>
          <w:w w:val="95"/>
        </w:rPr>
        <w:t>están</w:t>
      </w:r>
      <w:r>
        <w:rPr>
          <w:rFonts w:ascii="Georgia" w:hAnsi="Georgia"/>
          <w:color w:val="231F20"/>
          <w:spacing w:val="-3"/>
          <w:w w:val="95"/>
        </w:rPr>
        <w:t> </w:t>
      </w:r>
      <w:r>
        <w:rPr>
          <w:rFonts w:ascii="Georgia" w:hAnsi="Georgia"/>
          <w:color w:val="231F20"/>
          <w:spacing w:val="3"/>
          <w:w w:val="95"/>
        </w:rPr>
        <w:t>contenidas </w:t>
      </w:r>
      <w:r>
        <w:rPr>
          <w:rFonts w:ascii="Georgia" w:hAnsi="Georgia"/>
          <w:color w:val="231F20"/>
          <w:w w:val="95"/>
        </w:rPr>
        <w:t>en el </w:t>
      </w:r>
      <w:r>
        <w:rPr>
          <w:rFonts w:ascii="Georgia" w:hAnsi="Georgia"/>
          <w:color w:val="231F20"/>
          <w:spacing w:val="2"/>
          <w:w w:val="95"/>
        </w:rPr>
        <w:t>llamado Proceso Bolonia </w:t>
      </w:r>
      <w:r>
        <w:rPr>
          <w:rFonts w:ascii="Georgia" w:hAnsi="Georgia"/>
          <w:color w:val="231F20"/>
          <w:w w:val="95"/>
        </w:rPr>
        <w:t>y </w:t>
      </w:r>
      <w:r>
        <w:rPr>
          <w:rFonts w:ascii="Georgia" w:hAnsi="Georgia"/>
          <w:color w:val="231F20"/>
          <w:spacing w:val="2"/>
          <w:w w:val="95"/>
        </w:rPr>
        <w:t>son asumidas bajo </w:t>
      </w:r>
      <w:r>
        <w:rPr>
          <w:rFonts w:ascii="Georgia" w:hAnsi="Georgia"/>
          <w:color w:val="231F20"/>
          <w:w w:val="95"/>
        </w:rPr>
        <w:t>la </w:t>
      </w:r>
      <w:r>
        <w:rPr>
          <w:rFonts w:ascii="Georgia" w:hAnsi="Georgia"/>
          <w:color w:val="231F20"/>
          <w:spacing w:val="3"/>
          <w:w w:val="95"/>
        </w:rPr>
        <w:t>denomina- </w:t>
      </w:r>
      <w:r>
        <w:rPr>
          <w:rFonts w:ascii="Georgia" w:hAnsi="Georgia"/>
          <w:color w:val="231F20"/>
          <w:spacing w:val="2"/>
          <w:w w:val="95"/>
        </w:rPr>
        <w:t>ción</w:t>
      </w:r>
      <w:r>
        <w:rPr>
          <w:rFonts w:ascii="Georgia" w:hAnsi="Georgia"/>
          <w:color w:val="231F20"/>
          <w:spacing w:val="-16"/>
          <w:w w:val="95"/>
        </w:rPr>
        <w:t> </w:t>
      </w:r>
      <w:r>
        <w:rPr>
          <w:rFonts w:ascii="Georgia" w:hAnsi="Georgia"/>
          <w:color w:val="231F20"/>
          <w:w w:val="95"/>
        </w:rPr>
        <w:t>de</w:t>
      </w:r>
      <w:r>
        <w:rPr>
          <w:rFonts w:ascii="Georgia" w:hAnsi="Georgia"/>
          <w:color w:val="231F20"/>
          <w:spacing w:val="-17"/>
          <w:w w:val="95"/>
        </w:rPr>
        <w:t> </w:t>
      </w:r>
      <w:r>
        <w:rPr>
          <w:rFonts w:ascii="Georgia" w:hAnsi="Georgia"/>
          <w:color w:val="231F20"/>
          <w:spacing w:val="2"/>
          <w:w w:val="95"/>
        </w:rPr>
        <w:t>Proyecto</w:t>
      </w:r>
      <w:r>
        <w:rPr>
          <w:rFonts w:ascii="Georgia" w:hAnsi="Georgia"/>
          <w:color w:val="231F20"/>
          <w:spacing w:val="-16"/>
          <w:w w:val="95"/>
        </w:rPr>
        <w:t> </w:t>
      </w:r>
      <w:r>
        <w:rPr>
          <w:rFonts w:ascii="Georgia" w:hAnsi="Georgia"/>
          <w:color w:val="231F20"/>
          <w:spacing w:val="3"/>
          <w:w w:val="95"/>
        </w:rPr>
        <w:t>Tunning.</w:t>
      </w:r>
    </w:p>
    <w:p>
      <w:pPr>
        <w:pStyle w:val="BodyText"/>
        <w:spacing w:line="252" w:lineRule="auto"/>
        <w:ind w:left="102" w:right="112" w:firstLine="284"/>
        <w:jc w:val="both"/>
        <w:rPr>
          <w:rFonts w:ascii="Georgia" w:hAnsi="Georgia"/>
        </w:rPr>
      </w:pPr>
      <w:r>
        <w:rPr>
          <w:rFonts w:ascii="Georgia" w:hAnsi="Georgia"/>
          <w:color w:val="231F20"/>
          <w:spacing w:val="2"/>
        </w:rPr>
        <w:t>Así,</w:t>
      </w:r>
      <w:r>
        <w:rPr>
          <w:rFonts w:ascii="Georgia" w:hAnsi="Georgia"/>
          <w:color w:val="231F20"/>
          <w:spacing w:val="-9"/>
        </w:rPr>
        <w:t> </w:t>
      </w:r>
      <w:r>
        <w:rPr>
          <w:rFonts w:ascii="Georgia" w:hAnsi="Georgia"/>
          <w:color w:val="231F20"/>
        </w:rPr>
        <w:t>lo</w:t>
      </w:r>
      <w:r>
        <w:rPr>
          <w:rFonts w:ascii="Georgia" w:hAnsi="Georgia"/>
          <w:color w:val="231F20"/>
          <w:spacing w:val="-8"/>
        </w:rPr>
        <w:t> </w:t>
      </w:r>
      <w:r>
        <w:rPr>
          <w:rFonts w:ascii="Georgia" w:hAnsi="Georgia"/>
          <w:color w:val="231F20"/>
        </w:rPr>
        <w:t>que</w:t>
      </w:r>
      <w:r>
        <w:rPr>
          <w:rFonts w:ascii="Georgia" w:hAnsi="Georgia"/>
          <w:color w:val="231F20"/>
          <w:spacing w:val="-8"/>
        </w:rPr>
        <w:t> </w:t>
      </w:r>
      <w:r>
        <w:rPr>
          <w:rFonts w:ascii="Georgia" w:hAnsi="Georgia"/>
          <w:color w:val="231F20"/>
          <w:spacing w:val="3"/>
        </w:rPr>
        <w:t>vemos</w:t>
      </w:r>
      <w:r>
        <w:rPr>
          <w:rFonts w:ascii="Georgia" w:hAnsi="Georgia"/>
          <w:color w:val="231F20"/>
          <w:spacing w:val="-8"/>
        </w:rPr>
        <w:t> </w:t>
      </w:r>
      <w:r>
        <w:rPr>
          <w:rFonts w:ascii="Georgia" w:hAnsi="Georgia"/>
          <w:color w:val="231F20"/>
        </w:rPr>
        <w:t>es</w:t>
      </w:r>
      <w:r>
        <w:rPr>
          <w:rFonts w:ascii="Georgia" w:hAnsi="Georgia"/>
          <w:color w:val="231F20"/>
          <w:spacing w:val="-8"/>
        </w:rPr>
        <w:t> </w:t>
      </w:r>
      <w:r>
        <w:rPr>
          <w:rFonts w:ascii="Georgia" w:hAnsi="Georgia"/>
          <w:color w:val="231F20"/>
        </w:rPr>
        <w:t>que</w:t>
      </w:r>
      <w:r>
        <w:rPr>
          <w:rFonts w:ascii="Georgia" w:hAnsi="Georgia"/>
          <w:color w:val="231F20"/>
          <w:spacing w:val="-8"/>
        </w:rPr>
        <w:t> </w:t>
      </w:r>
      <w:r>
        <w:rPr>
          <w:rFonts w:ascii="Georgia" w:hAnsi="Georgia"/>
          <w:color w:val="231F20"/>
        </w:rPr>
        <w:t>las</w:t>
      </w:r>
      <w:r>
        <w:rPr>
          <w:rFonts w:ascii="Georgia" w:hAnsi="Georgia"/>
          <w:color w:val="231F20"/>
          <w:spacing w:val="-8"/>
        </w:rPr>
        <w:t> </w:t>
      </w:r>
      <w:r>
        <w:rPr>
          <w:rFonts w:ascii="Georgia" w:hAnsi="Georgia"/>
          <w:color w:val="231F20"/>
          <w:spacing w:val="2"/>
        </w:rPr>
        <w:t>políticas</w:t>
      </w:r>
      <w:r>
        <w:rPr>
          <w:rFonts w:ascii="Georgia" w:hAnsi="Georgia"/>
          <w:color w:val="231F20"/>
          <w:spacing w:val="-8"/>
        </w:rPr>
        <w:t> </w:t>
      </w:r>
      <w:r>
        <w:rPr>
          <w:rFonts w:ascii="Georgia" w:hAnsi="Georgia"/>
          <w:color w:val="231F20"/>
          <w:spacing w:val="2"/>
        </w:rPr>
        <w:t>educativas</w:t>
      </w:r>
      <w:r>
        <w:rPr>
          <w:rFonts w:ascii="Georgia" w:hAnsi="Georgia"/>
          <w:color w:val="231F20"/>
          <w:spacing w:val="-8"/>
        </w:rPr>
        <w:t> </w:t>
      </w:r>
      <w:r>
        <w:rPr>
          <w:rFonts w:ascii="Georgia" w:hAnsi="Georgia"/>
          <w:color w:val="231F20"/>
          <w:spacing w:val="2"/>
        </w:rPr>
        <w:t>han</w:t>
      </w:r>
      <w:r>
        <w:rPr>
          <w:rFonts w:ascii="Georgia" w:hAnsi="Georgia"/>
          <w:color w:val="231F20"/>
          <w:spacing w:val="-8"/>
        </w:rPr>
        <w:t> </w:t>
      </w:r>
      <w:r>
        <w:rPr>
          <w:rFonts w:ascii="Georgia" w:hAnsi="Georgia"/>
          <w:color w:val="231F20"/>
          <w:spacing w:val="2"/>
        </w:rPr>
        <w:t>venido </w:t>
      </w:r>
      <w:r>
        <w:rPr>
          <w:rFonts w:ascii="Georgia" w:hAnsi="Georgia"/>
          <w:color w:val="231F20"/>
          <w:spacing w:val="3"/>
          <w:w w:val="95"/>
        </w:rPr>
        <w:t>estructurando </w:t>
      </w:r>
      <w:r>
        <w:rPr>
          <w:rFonts w:ascii="Georgia" w:hAnsi="Georgia"/>
          <w:color w:val="231F20"/>
          <w:w w:val="95"/>
        </w:rPr>
        <w:t>un </w:t>
      </w:r>
      <w:r>
        <w:rPr>
          <w:rFonts w:ascii="Georgia" w:hAnsi="Georgia"/>
          <w:color w:val="231F20"/>
          <w:spacing w:val="2"/>
          <w:w w:val="95"/>
        </w:rPr>
        <w:t>discurso que </w:t>
      </w:r>
      <w:r>
        <w:rPr>
          <w:rFonts w:ascii="Georgia" w:hAnsi="Georgia"/>
          <w:color w:val="231F20"/>
          <w:w w:val="95"/>
        </w:rPr>
        <w:t>se </w:t>
      </w:r>
      <w:r>
        <w:rPr>
          <w:rFonts w:ascii="Georgia" w:hAnsi="Georgia"/>
          <w:color w:val="231F20"/>
          <w:spacing w:val="2"/>
          <w:w w:val="95"/>
        </w:rPr>
        <w:t>funda </w:t>
      </w:r>
      <w:r>
        <w:rPr>
          <w:rFonts w:ascii="Georgia" w:hAnsi="Georgia"/>
          <w:color w:val="231F20"/>
          <w:w w:val="95"/>
        </w:rPr>
        <w:t>en el </w:t>
      </w:r>
      <w:r>
        <w:rPr>
          <w:rFonts w:ascii="Georgia" w:hAnsi="Georgia"/>
          <w:color w:val="231F20"/>
          <w:spacing w:val="3"/>
          <w:w w:val="95"/>
        </w:rPr>
        <w:t>binomio deterioro </w:t>
      </w:r>
      <w:r>
        <w:rPr>
          <w:rFonts w:ascii="Georgia" w:hAnsi="Georgia"/>
          <w:color w:val="231F20"/>
          <w:w w:val="95"/>
        </w:rPr>
        <w:t>de</w:t>
      </w:r>
      <w:r>
        <w:rPr>
          <w:rFonts w:ascii="Georgia" w:hAnsi="Georgia"/>
          <w:color w:val="231F20"/>
          <w:spacing w:val="-10"/>
          <w:w w:val="95"/>
        </w:rPr>
        <w:t> </w:t>
      </w:r>
      <w:r>
        <w:rPr>
          <w:rFonts w:ascii="Georgia" w:hAnsi="Georgia"/>
          <w:color w:val="231F20"/>
          <w:w w:val="95"/>
        </w:rPr>
        <w:t>la</w:t>
      </w:r>
      <w:r>
        <w:rPr>
          <w:rFonts w:ascii="Georgia" w:hAnsi="Georgia"/>
          <w:color w:val="231F20"/>
          <w:spacing w:val="-10"/>
          <w:w w:val="95"/>
        </w:rPr>
        <w:t> </w:t>
      </w:r>
      <w:r>
        <w:rPr>
          <w:rFonts w:ascii="Georgia" w:hAnsi="Georgia"/>
          <w:color w:val="231F20"/>
          <w:spacing w:val="2"/>
          <w:w w:val="95"/>
        </w:rPr>
        <w:t>calidad</w:t>
      </w:r>
      <w:r>
        <w:rPr>
          <w:rFonts w:ascii="Georgia" w:hAnsi="Georgia"/>
          <w:color w:val="231F20"/>
          <w:spacing w:val="-10"/>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la</w:t>
      </w:r>
      <w:r>
        <w:rPr>
          <w:rFonts w:ascii="Georgia" w:hAnsi="Georgia"/>
          <w:color w:val="231F20"/>
          <w:spacing w:val="-10"/>
          <w:w w:val="95"/>
        </w:rPr>
        <w:t> </w:t>
      </w:r>
      <w:r>
        <w:rPr>
          <w:rFonts w:ascii="Georgia" w:hAnsi="Georgia"/>
          <w:color w:val="231F20"/>
          <w:spacing w:val="3"/>
          <w:w w:val="95"/>
        </w:rPr>
        <w:t>educación/mejora</w:t>
      </w:r>
      <w:r>
        <w:rPr>
          <w:rFonts w:ascii="Georgia" w:hAnsi="Georgia"/>
          <w:color w:val="231F20"/>
          <w:spacing w:val="-10"/>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la</w:t>
      </w:r>
      <w:r>
        <w:rPr>
          <w:rFonts w:ascii="Georgia" w:hAnsi="Georgia"/>
          <w:color w:val="231F20"/>
          <w:spacing w:val="-10"/>
          <w:w w:val="95"/>
        </w:rPr>
        <w:t> </w:t>
      </w:r>
      <w:r>
        <w:rPr>
          <w:rFonts w:ascii="Georgia" w:hAnsi="Georgia"/>
          <w:color w:val="231F20"/>
          <w:spacing w:val="2"/>
          <w:w w:val="95"/>
        </w:rPr>
        <w:t>calidad</w:t>
      </w:r>
      <w:r>
        <w:rPr>
          <w:rFonts w:ascii="Georgia" w:hAnsi="Georgia"/>
          <w:color w:val="231F20"/>
          <w:spacing w:val="-10"/>
          <w:w w:val="95"/>
        </w:rPr>
        <w:t> </w:t>
      </w:r>
      <w:r>
        <w:rPr>
          <w:rFonts w:ascii="Georgia" w:hAnsi="Georgia"/>
          <w:color w:val="231F20"/>
          <w:spacing w:val="2"/>
          <w:w w:val="95"/>
        </w:rPr>
        <w:t>que</w:t>
      </w:r>
      <w:r>
        <w:rPr>
          <w:rFonts w:ascii="Georgia" w:hAnsi="Georgia"/>
          <w:color w:val="231F20"/>
          <w:spacing w:val="-10"/>
          <w:w w:val="95"/>
        </w:rPr>
        <w:t> </w:t>
      </w:r>
      <w:r>
        <w:rPr>
          <w:rFonts w:ascii="Georgia" w:hAnsi="Georgia"/>
          <w:color w:val="231F20"/>
          <w:w w:val="95"/>
        </w:rPr>
        <w:t>se</w:t>
      </w:r>
      <w:r>
        <w:rPr>
          <w:rFonts w:ascii="Georgia" w:hAnsi="Georgia"/>
          <w:color w:val="231F20"/>
          <w:spacing w:val="-10"/>
          <w:w w:val="95"/>
        </w:rPr>
        <w:t> </w:t>
      </w:r>
      <w:r>
        <w:rPr>
          <w:rFonts w:ascii="Georgia" w:hAnsi="Georgia"/>
          <w:color w:val="231F20"/>
          <w:spacing w:val="2"/>
          <w:w w:val="95"/>
        </w:rPr>
        <w:t>presenta </w:t>
      </w:r>
      <w:r>
        <w:rPr>
          <w:rFonts w:ascii="Georgia" w:hAnsi="Georgia"/>
          <w:color w:val="231F20"/>
          <w:spacing w:val="3"/>
        </w:rPr>
        <w:t>como</w:t>
      </w:r>
      <w:r>
        <w:rPr>
          <w:rFonts w:ascii="Georgia" w:hAnsi="Georgia"/>
          <w:color w:val="231F20"/>
          <w:spacing w:val="-10"/>
        </w:rPr>
        <w:t> </w:t>
      </w:r>
      <w:r>
        <w:rPr>
          <w:rFonts w:ascii="Georgia" w:hAnsi="Georgia"/>
          <w:color w:val="231F20"/>
        </w:rPr>
        <w:t>un</w:t>
      </w:r>
      <w:r>
        <w:rPr>
          <w:rFonts w:ascii="Georgia" w:hAnsi="Georgia"/>
          <w:color w:val="231F20"/>
          <w:spacing w:val="-10"/>
        </w:rPr>
        <w:t> </w:t>
      </w:r>
      <w:r>
        <w:rPr>
          <w:rFonts w:ascii="Georgia" w:hAnsi="Georgia"/>
          <w:color w:val="231F20"/>
          <w:spacing w:val="2"/>
        </w:rPr>
        <w:t>diagnóstico</w:t>
      </w:r>
      <w:r>
        <w:rPr>
          <w:rFonts w:ascii="Georgia" w:hAnsi="Georgia"/>
          <w:color w:val="231F20"/>
          <w:spacing w:val="-10"/>
        </w:rPr>
        <w:t> </w:t>
      </w:r>
      <w:r>
        <w:rPr>
          <w:rFonts w:ascii="Georgia" w:hAnsi="Georgia"/>
          <w:color w:val="231F20"/>
          <w:spacing w:val="3"/>
        </w:rPr>
        <w:t>técnicamente</w:t>
      </w:r>
      <w:r>
        <w:rPr>
          <w:rFonts w:ascii="Georgia" w:hAnsi="Georgia"/>
          <w:color w:val="231F20"/>
          <w:spacing w:val="-11"/>
        </w:rPr>
        <w:t> </w:t>
      </w:r>
      <w:r>
        <w:rPr>
          <w:rFonts w:ascii="Georgia" w:hAnsi="Georgia"/>
          <w:color w:val="231F20"/>
          <w:spacing w:val="2"/>
        </w:rPr>
        <w:t>elaborado</w:t>
      </w:r>
      <w:r>
        <w:rPr>
          <w:rFonts w:ascii="Georgia" w:hAnsi="Georgia"/>
          <w:color w:val="231F20"/>
          <w:spacing w:val="-10"/>
        </w:rPr>
        <w:t> </w:t>
      </w:r>
      <w:r>
        <w:rPr>
          <w:rFonts w:ascii="Georgia" w:hAnsi="Georgia"/>
          <w:color w:val="231F20"/>
          <w:spacing w:val="2"/>
        </w:rPr>
        <w:t>dado</w:t>
      </w:r>
      <w:r>
        <w:rPr>
          <w:rFonts w:ascii="Georgia" w:hAnsi="Georgia"/>
          <w:color w:val="231F20"/>
          <w:spacing w:val="-10"/>
        </w:rPr>
        <w:t> </w:t>
      </w:r>
      <w:r>
        <w:rPr>
          <w:rFonts w:ascii="Georgia" w:hAnsi="Georgia"/>
          <w:color w:val="231F20"/>
          <w:spacing w:val="2"/>
        </w:rPr>
        <w:t>que</w:t>
      </w:r>
      <w:r>
        <w:rPr>
          <w:rFonts w:ascii="Georgia" w:hAnsi="Georgia"/>
          <w:color w:val="231F20"/>
          <w:spacing w:val="-11"/>
        </w:rPr>
        <w:t> </w:t>
      </w:r>
      <w:r>
        <w:rPr>
          <w:rFonts w:ascii="Georgia" w:hAnsi="Georgia"/>
          <w:color w:val="231F20"/>
          <w:spacing w:val="2"/>
        </w:rPr>
        <w:t>aporta </w:t>
      </w:r>
      <w:r>
        <w:rPr>
          <w:rFonts w:ascii="Georgia" w:hAnsi="Georgia"/>
          <w:color w:val="231F20"/>
          <w:spacing w:val="2"/>
          <w:w w:val="95"/>
        </w:rPr>
        <w:t>datos</w:t>
      </w:r>
      <w:r>
        <w:rPr>
          <w:rFonts w:ascii="Georgia" w:hAnsi="Georgia"/>
          <w:color w:val="231F20"/>
          <w:spacing w:val="-5"/>
          <w:w w:val="95"/>
        </w:rPr>
        <w:t> </w:t>
      </w:r>
      <w:r>
        <w:rPr>
          <w:rFonts w:ascii="Georgia" w:hAnsi="Georgia"/>
          <w:color w:val="231F20"/>
          <w:spacing w:val="2"/>
          <w:w w:val="95"/>
        </w:rPr>
        <w:t>estadísticos</w:t>
      </w:r>
      <w:r>
        <w:rPr>
          <w:rFonts w:ascii="Georgia" w:hAnsi="Georgia"/>
          <w:color w:val="231F20"/>
          <w:spacing w:val="-5"/>
          <w:w w:val="95"/>
        </w:rPr>
        <w:t> </w:t>
      </w:r>
      <w:r>
        <w:rPr>
          <w:rFonts w:ascii="Georgia" w:hAnsi="Georgia"/>
          <w:color w:val="231F20"/>
          <w:spacing w:val="2"/>
          <w:w w:val="95"/>
        </w:rPr>
        <w:t>sobre</w:t>
      </w:r>
      <w:r>
        <w:rPr>
          <w:rFonts w:ascii="Georgia" w:hAnsi="Georgia"/>
          <w:color w:val="231F20"/>
          <w:spacing w:val="-5"/>
          <w:w w:val="95"/>
        </w:rPr>
        <w:t> </w:t>
      </w:r>
      <w:r>
        <w:rPr>
          <w:rFonts w:ascii="Georgia" w:hAnsi="Georgia"/>
          <w:color w:val="231F20"/>
          <w:spacing w:val="2"/>
          <w:w w:val="95"/>
        </w:rPr>
        <w:t>inscripción,</w:t>
      </w:r>
      <w:r>
        <w:rPr>
          <w:rFonts w:ascii="Georgia" w:hAnsi="Georgia"/>
          <w:color w:val="231F20"/>
          <w:spacing w:val="-5"/>
          <w:w w:val="95"/>
        </w:rPr>
        <w:t> </w:t>
      </w:r>
      <w:r>
        <w:rPr>
          <w:rFonts w:ascii="Georgia" w:hAnsi="Georgia"/>
          <w:color w:val="231F20"/>
          <w:spacing w:val="2"/>
          <w:w w:val="95"/>
        </w:rPr>
        <w:t>retención,</w:t>
      </w:r>
      <w:r>
        <w:rPr>
          <w:rFonts w:ascii="Georgia" w:hAnsi="Georgia"/>
          <w:color w:val="231F20"/>
          <w:spacing w:val="-5"/>
          <w:w w:val="95"/>
        </w:rPr>
        <w:t> </w:t>
      </w:r>
      <w:r>
        <w:rPr>
          <w:rFonts w:ascii="Georgia" w:hAnsi="Georgia"/>
          <w:color w:val="231F20"/>
          <w:spacing w:val="2"/>
          <w:w w:val="95"/>
        </w:rPr>
        <w:t>inserción</w:t>
      </w:r>
      <w:r>
        <w:rPr>
          <w:rFonts w:ascii="Georgia" w:hAnsi="Georgia"/>
          <w:color w:val="231F20"/>
          <w:spacing w:val="-5"/>
          <w:w w:val="95"/>
        </w:rPr>
        <w:t> </w:t>
      </w:r>
      <w:r>
        <w:rPr>
          <w:rFonts w:ascii="Georgia" w:hAnsi="Georgia"/>
          <w:color w:val="231F20"/>
          <w:spacing w:val="2"/>
          <w:w w:val="95"/>
        </w:rPr>
        <w:t>laboral, </w:t>
      </w:r>
      <w:r>
        <w:rPr>
          <w:rFonts w:ascii="Georgia" w:hAnsi="Georgia"/>
          <w:color w:val="231F20"/>
        </w:rPr>
        <w:t>uso</w:t>
      </w:r>
      <w:r>
        <w:rPr>
          <w:rFonts w:ascii="Georgia" w:hAnsi="Georgia"/>
          <w:color w:val="231F20"/>
          <w:spacing w:val="-5"/>
        </w:rPr>
        <w:t> </w:t>
      </w:r>
      <w:r>
        <w:rPr>
          <w:rFonts w:ascii="Georgia" w:hAnsi="Georgia"/>
          <w:color w:val="231F20"/>
        </w:rPr>
        <w:t>de</w:t>
      </w:r>
      <w:r>
        <w:rPr>
          <w:rFonts w:ascii="Georgia" w:hAnsi="Georgia"/>
          <w:color w:val="231F20"/>
          <w:spacing w:val="-5"/>
        </w:rPr>
        <w:t> </w:t>
      </w:r>
      <w:r>
        <w:rPr>
          <w:rFonts w:ascii="Georgia" w:hAnsi="Georgia"/>
          <w:color w:val="231F20"/>
          <w:spacing w:val="2"/>
        </w:rPr>
        <w:t>nuevas</w:t>
      </w:r>
      <w:r>
        <w:rPr>
          <w:rFonts w:ascii="Georgia" w:hAnsi="Georgia"/>
          <w:color w:val="231F20"/>
          <w:spacing w:val="-5"/>
        </w:rPr>
        <w:t> </w:t>
      </w:r>
      <w:r>
        <w:rPr>
          <w:rFonts w:ascii="Georgia" w:hAnsi="Georgia"/>
          <w:color w:val="231F20"/>
          <w:spacing w:val="2"/>
        </w:rPr>
        <w:t>tecnologías,</w:t>
      </w:r>
      <w:r>
        <w:rPr>
          <w:rFonts w:ascii="Georgia" w:hAnsi="Georgia"/>
          <w:color w:val="231F20"/>
          <w:spacing w:val="-6"/>
        </w:rPr>
        <w:t> </w:t>
      </w:r>
      <w:r>
        <w:rPr>
          <w:rFonts w:ascii="Georgia" w:hAnsi="Georgia"/>
          <w:color w:val="231F20"/>
          <w:spacing w:val="2"/>
        </w:rPr>
        <w:t>etc.,</w:t>
      </w:r>
      <w:r>
        <w:rPr>
          <w:rFonts w:ascii="Georgia" w:hAnsi="Georgia"/>
          <w:color w:val="231F20"/>
          <w:spacing w:val="-6"/>
        </w:rPr>
        <w:t> </w:t>
      </w:r>
      <w:r>
        <w:rPr>
          <w:rFonts w:ascii="Georgia" w:hAnsi="Georgia"/>
          <w:color w:val="231F20"/>
        </w:rPr>
        <w:t>de</w:t>
      </w:r>
      <w:r>
        <w:rPr>
          <w:rFonts w:ascii="Georgia" w:hAnsi="Georgia"/>
          <w:color w:val="231F20"/>
          <w:spacing w:val="-5"/>
        </w:rPr>
        <w:t> </w:t>
      </w:r>
      <w:r>
        <w:rPr>
          <w:rFonts w:ascii="Georgia" w:hAnsi="Georgia"/>
          <w:color w:val="231F20"/>
        </w:rPr>
        <w:t>allí</w:t>
      </w:r>
      <w:r>
        <w:rPr>
          <w:rFonts w:ascii="Georgia" w:hAnsi="Georgia"/>
          <w:color w:val="231F20"/>
          <w:spacing w:val="-6"/>
        </w:rPr>
        <w:t> </w:t>
      </w:r>
      <w:r>
        <w:rPr>
          <w:rFonts w:ascii="Georgia" w:hAnsi="Georgia"/>
          <w:color w:val="231F20"/>
        </w:rPr>
        <w:t>se</w:t>
      </w:r>
      <w:r>
        <w:rPr>
          <w:rFonts w:ascii="Georgia" w:hAnsi="Georgia"/>
          <w:color w:val="231F20"/>
          <w:spacing w:val="-5"/>
        </w:rPr>
        <w:t> </w:t>
      </w:r>
      <w:r>
        <w:rPr>
          <w:rFonts w:ascii="Georgia" w:hAnsi="Georgia"/>
          <w:color w:val="231F20"/>
          <w:spacing w:val="2"/>
        </w:rPr>
        <w:t>delinean</w:t>
      </w:r>
      <w:r>
        <w:rPr>
          <w:rFonts w:ascii="Georgia" w:hAnsi="Georgia"/>
          <w:color w:val="231F20"/>
          <w:spacing w:val="-5"/>
        </w:rPr>
        <w:t> </w:t>
      </w:r>
      <w:r>
        <w:rPr>
          <w:rFonts w:ascii="Georgia" w:hAnsi="Georgia"/>
          <w:color w:val="231F20"/>
          <w:spacing w:val="2"/>
        </w:rPr>
        <w:t>una</w:t>
      </w:r>
      <w:r>
        <w:rPr>
          <w:rFonts w:ascii="Georgia" w:hAnsi="Georgia"/>
          <w:color w:val="231F20"/>
          <w:spacing w:val="-5"/>
        </w:rPr>
        <w:t> </w:t>
      </w:r>
      <w:r>
        <w:rPr>
          <w:rFonts w:ascii="Georgia" w:hAnsi="Georgia"/>
          <w:color w:val="231F20"/>
          <w:spacing w:val="2"/>
        </w:rPr>
        <w:t>serie</w:t>
      </w:r>
      <w:r>
        <w:rPr>
          <w:rFonts w:ascii="Georgia" w:hAnsi="Georgia"/>
          <w:color w:val="231F20"/>
          <w:spacing w:val="-5"/>
        </w:rPr>
        <w:t> </w:t>
      </w:r>
      <w:r>
        <w:rPr>
          <w:rFonts w:ascii="Georgia" w:hAnsi="Georgia"/>
          <w:color w:val="231F20"/>
        </w:rPr>
        <w:t>de </w:t>
      </w:r>
      <w:r>
        <w:rPr>
          <w:rFonts w:ascii="Georgia" w:hAnsi="Georgia"/>
          <w:color w:val="231F20"/>
          <w:spacing w:val="2"/>
          <w:w w:val="95"/>
        </w:rPr>
        <w:t>medios</w:t>
      </w:r>
      <w:r>
        <w:rPr>
          <w:rFonts w:ascii="Georgia" w:hAnsi="Georgia"/>
          <w:color w:val="231F20"/>
          <w:spacing w:val="-6"/>
          <w:w w:val="95"/>
        </w:rPr>
        <w:t> </w:t>
      </w:r>
      <w:r>
        <w:rPr>
          <w:rFonts w:ascii="Georgia" w:hAnsi="Georgia"/>
          <w:color w:val="231F20"/>
          <w:spacing w:val="2"/>
          <w:w w:val="95"/>
        </w:rPr>
        <w:t>para</w:t>
      </w:r>
      <w:r>
        <w:rPr>
          <w:rFonts w:ascii="Georgia" w:hAnsi="Georgia"/>
          <w:color w:val="231F20"/>
          <w:spacing w:val="-6"/>
          <w:w w:val="95"/>
        </w:rPr>
        <w:t> </w:t>
      </w:r>
      <w:r>
        <w:rPr>
          <w:rFonts w:ascii="Georgia" w:hAnsi="Georgia"/>
          <w:color w:val="231F20"/>
          <w:spacing w:val="2"/>
          <w:w w:val="95"/>
        </w:rPr>
        <w:t>alcanzar</w:t>
      </w:r>
      <w:r>
        <w:rPr>
          <w:rFonts w:ascii="Georgia" w:hAnsi="Georgia"/>
          <w:color w:val="231F20"/>
          <w:spacing w:val="-6"/>
          <w:w w:val="95"/>
        </w:rPr>
        <w:t> </w:t>
      </w:r>
      <w:r>
        <w:rPr>
          <w:rFonts w:ascii="Georgia" w:hAnsi="Georgia"/>
          <w:color w:val="231F20"/>
          <w:w w:val="95"/>
        </w:rPr>
        <w:t>los</w:t>
      </w:r>
      <w:r>
        <w:rPr>
          <w:rFonts w:ascii="Georgia" w:hAnsi="Georgia"/>
          <w:color w:val="231F20"/>
          <w:spacing w:val="-6"/>
          <w:w w:val="95"/>
        </w:rPr>
        <w:t> </w:t>
      </w:r>
      <w:r>
        <w:rPr>
          <w:rFonts w:ascii="Georgia" w:hAnsi="Georgia"/>
          <w:color w:val="231F20"/>
          <w:spacing w:val="2"/>
          <w:w w:val="95"/>
        </w:rPr>
        <w:t>objetivos</w:t>
      </w:r>
      <w:r>
        <w:rPr>
          <w:rFonts w:ascii="Georgia" w:hAnsi="Georgia"/>
          <w:color w:val="231F20"/>
          <w:spacing w:val="-6"/>
          <w:w w:val="95"/>
        </w:rPr>
        <w:t> </w:t>
      </w:r>
      <w:r>
        <w:rPr>
          <w:rFonts w:ascii="Georgia" w:hAnsi="Georgia"/>
          <w:color w:val="231F20"/>
          <w:spacing w:val="2"/>
          <w:w w:val="95"/>
        </w:rPr>
        <w:t>propuestos</w:t>
      </w:r>
      <w:r>
        <w:rPr>
          <w:rFonts w:ascii="Georgia" w:hAnsi="Georgia"/>
          <w:color w:val="231F20"/>
          <w:spacing w:val="-6"/>
          <w:w w:val="95"/>
        </w:rPr>
        <w:t> </w:t>
      </w:r>
      <w:r>
        <w:rPr>
          <w:rFonts w:ascii="Georgia" w:hAnsi="Georgia"/>
          <w:color w:val="231F20"/>
          <w:w w:val="95"/>
        </w:rPr>
        <w:t>que</w:t>
      </w:r>
      <w:r>
        <w:rPr>
          <w:rFonts w:ascii="Georgia" w:hAnsi="Georgia"/>
          <w:color w:val="231F20"/>
          <w:spacing w:val="-6"/>
          <w:w w:val="95"/>
        </w:rPr>
        <w:t> </w:t>
      </w:r>
      <w:r>
        <w:rPr>
          <w:rFonts w:ascii="Georgia" w:hAnsi="Georgia"/>
          <w:color w:val="231F20"/>
          <w:spacing w:val="2"/>
          <w:w w:val="95"/>
        </w:rPr>
        <w:t>giran</w:t>
      </w:r>
      <w:r>
        <w:rPr>
          <w:rFonts w:ascii="Georgia" w:hAnsi="Georgia"/>
          <w:color w:val="231F20"/>
          <w:spacing w:val="-5"/>
          <w:w w:val="95"/>
        </w:rPr>
        <w:t> </w:t>
      </w:r>
      <w:r>
        <w:rPr>
          <w:rFonts w:ascii="Georgia" w:hAnsi="Georgia"/>
          <w:color w:val="231F20"/>
          <w:w w:val="95"/>
        </w:rPr>
        <w:t>en</w:t>
      </w:r>
      <w:r>
        <w:rPr>
          <w:rFonts w:ascii="Georgia" w:hAnsi="Georgia"/>
          <w:color w:val="231F20"/>
          <w:spacing w:val="-5"/>
          <w:w w:val="95"/>
        </w:rPr>
        <w:t> </w:t>
      </w:r>
      <w:r>
        <w:rPr>
          <w:rFonts w:ascii="Georgia" w:hAnsi="Georgia"/>
          <w:color w:val="231F20"/>
          <w:spacing w:val="3"/>
          <w:w w:val="95"/>
        </w:rPr>
        <w:t>torno </w:t>
      </w:r>
      <w:r>
        <w:rPr>
          <w:rFonts w:ascii="Georgia" w:hAnsi="Georgia"/>
          <w:color w:val="231F20"/>
          <w:w w:val="95"/>
        </w:rPr>
        <w:t>a</w:t>
      </w:r>
      <w:r>
        <w:rPr>
          <w:rFonts w:ascii="Georgia" w:hAnsi="Georgia"/>
          <w:color w:val="231F20"/>
          <w:spacing w:val="-11"/>
          <w:w w:val="95"/>
        </w:rPr>
        <w:t> </w:t>
      </w:r>
      <w:r>
        <w:rPr>
          <w:rFonts w:ascii="Georgia" w:hAnsi="Georgia"/>
          <w:color w:val="231F20"/>
          <w:spacing w:val="2"/>
          <w:w w:val="95"/>
        </w:rPr>
        <w:t>una</w:t>
      </w:r>
      <w:r>
        <w:rPr>
          <w:rFonts w:ascii="Georgia" w:hAnsi="Georgia"/>
          <w:color w:val="231F20"/>
          <w:spacing w:val="-11"/>
          <w:w w:val="95"/>
        </w:rPr>
        <w:t> </w:t>
      </w:r>
      <w:r>
        <w:rPr>
          <w:rFonts w:ascii="Georgia" w:hAnsi="Georgia"/>
          <w:color w:val="231F20"/>
          <w:spacing w:val="2"/>
          <w:w w:val="95"/>
        </w:rPr>
        <w:t>modificación</w:t>
      </w:r>
      <w:r>
        <w:rPr>
          <w:rFonts w:ascii="Georgia" w:hAnsi="Georgia"/>
          <w:color w:val="231F20"/>
          <w:spacing w:val="-11"/>
          <w:w w:val="95"/>
        </w:rPr>
        <w:t> </w:t>
      </w:r>
      <w:r>
        <w:rPr>
          <w:rFonts w:ascii="Georgia" w:hAnsi="Georgia"/>
          <w:color w:val="231F20"/>
          <w:w w:val="95"/>
        </w:rPr>
        <w:t>de</w:t>
      </w:r>
      <w:r>
        <w:rPr>
          <w:rFonts w:ascii="Georgia" w:hAnsi="Georgia"/>
          <w:color w:val="231F20"/>
          <w:spacing w:val="-11"/>
          <w:w w:val="95"/>
        </w:rPr>
        <w:t> </w:t>
      </w:r>
      <w:r>
        <w:rPr>
          <w:rFonts w:ascii="Georgia" w:hAnsi="Georgia"/>
          <w:color w:val="231F20"/>
          <w:spacing w:val="2"/>
          <w:w w:val="95"/>
        </w:rPr>
        <w:t>planes</w:t>
      </w:r>
      <w:r>
        <w:rPr>
          <w:rFonts w:ascii="Georgia" w:hAnsi="Georgia"/>
          <w:color w:val="231F20"/>
          <w:spacing w:val="-11"/>
          <w:w w:val="95"/>
        </w:rPr>
        <w:t> </w:t>
      </w:r>
      <w:r>
        <w:rPr>
          <w:rFonts w:ascii="Georgia" w:hAnsi="Georgia"/>
          <w:color w:val="231F20"/>
          <w:w w:val="95"/>
        </w:rPr>
        <w:t>de</w:t>
      </w:r>
      <w:r>
        <w:rPr>
          <w:rFonts w:ascii="Georgia" w:hAnsi="Georgia"/>
          <w:color w:val="231F20"/>
          <w:spacing w:val="-11"/>
          <w:w w:val="95"/>
        </w:rPr>
        <w:t> </w:t>
      </w:r>
      <w:r>
        <w:rPr>
          <w:rFonts w:ascii="Georgia" w:hAnsi="Georgia"/>
          <w:color w:val="231F20"/>
          <w:spacing w:val="2"/>
          <w:w w:val="95"/>
        </w:rPr>
        <w:t>estudio,</w:t>
      </w:r>
      <w:r>
        <w:rPr>
          <w:rFonts w:ascii="Georgia" w:hAnsi="Georgia"/>
          <w:color w:val="231F20"/>
          <w:spacing w:val="-12"/>
          <w:w w:val="95"/>
        </w:rPr>
        <w:t> </w:t>
      </w:r>
      <w:r>
        <w:rPr>
          <w:rFonts w:ascii="Georgia" w:hAnsi="Georgia"/>
          <w:color w:val="231F20"/>
          <w:w w:val="95"/>
        </w:rPr>
        <w:t>de</w:t>
      </w:r>
      <w:r>
        <w:rPr>
          <w:rFonts w:ascii="Georgia" w:hAnsi="Georgia"/>
          <w:color w:val="231F20"/>
          <w:spacing w:val="-11"/>
          <w:w w:val="95"/>
        </w:rPr>
        <w:t> </w:t>
      </w:r>
      <w:r>
        <w:rPr>
          <w:rFonts w:ascii="Georgia" w:hAnsi="Georgia"/>
          <w:color w:val="231F20"/>
          <w:spacing w:val="2"/>
          <w:w w:val="95"/>
        </w:rPr>
        <w:t>regulación</w:t>
      </w:r>
      <w:r>
        <w:rPr>
          <w:rFonts w:ascii="Georgia" w:hAnsi="Georgia"/>
          <w:color w:val="231F20"/>
          <w:spacing w:val="-11"/>
          <w:w w:val="95"/>
        </w:rPr>
        <w:t> </w:t>
      </w:r>
      <w:r>
        <w:rPr>
          <w:rFonts w:ascii="Georgia" w:hAnsi="Georgia"/>
          <w:color w:val="231F20"/>
          <w:spacing w:val="2"/>
          <w:w w:val="95"/>
        </w:rPr>
        <w:t>del</w:t>
      </w:r>
      <w:r>
        <w:rPr>
          <w:rFonts w:ascii="Georgia" w:hAnsi="Georgia"/>
          <w:color w:val="231F20"/>
          <w:spacing w:val="-12"/>
          <w:w w:val="95"/>
        </w:rPr>
        <w:t> </w:t>
      </w:r>
      <w:r>
        <w:rPr>
          <w:rFonts w:ascii="Georgia" w:hAnsi="Georgia"/>
          <w:color w:val="231F20"/>
          <w:spacing w:val="2"/>
          <w:w w:val="95"/>
        </w:rPr>
        <w:t>acceso, </w:t>
      </w:r>
      <w:r>
        <w:rPr>
          <w:rFonts w:ascii="Georgia" w:hAnsi="Georgia"/>
          <w:color w:val="231F20"/>
        </w:rPr>
        <w:t>de</w:t>
      </w:r>
      <w:r>
        <w:rPr>
          <w:rFonts w:ascii="Georgia" w:hAnsi="Georgia"/>
          <w:color w:val="231F20"/>
          <w:spacing w:val="-19"/>
        </w:rPr>
        <w:t> </w:t>
      </w:r>
      <w:r>
        <w:rPr>
          <w:rFonts w:ascii="Georgia" w:hAnsi="Georgia"/>
          <w:color w:val="231F20"/>
          <w:spacing w:val="3"/>
        </w:rPr>
        <w:t>control</w:t>
      </w:r>
      <w:r>
        <w:rPr>
          <w:rFonts w:ascii="Georgia" w:hAnsi="Georgia"/>
          <w:color w:val="231F20"/>
          <w:spacing w:val="-20"/>
        </w:rPr>
        <w:t> </w:t>
      </w:r>
      <w:r>
        <w:rPr>
          <w:rFonts w:ascii="Georgia" w:hAnsi="Georgia"/>
          <w:color w:val="231F20"/>
          <w:spacing w:val="2"/>
        </w:rPr>
        <w:t>sobre</w:t>
      </w:r>
      <w:r>
        <w:rPr>
          <w:rFonts w:ascii="Georgia" w:hAnsi="Georgia"/>
          <w:color w:val="231F20"/>
          <w:spacing w:val="-19"/>
        </w:rPr>
        <w:t> </w:t>
      </w:r>
      <w:r>
        <w:rPr>
          <w:rFonts w:ascii="Georgia" w:hAnsi="Georgia"/>
          <w:color w:val="231F20"/>
        </w:rPr>
        <w:t>la</w:t>
      </w:r>
      <w:r>
        <w:rPr>
          <w:rFonts w:ascii="Georgia" w:hAnsi="Georgia"/>
          <w:color w:val="231F20"/>
          <w:spacing w:val="-20"/>
        </w:rPr>
        <w:t> </w:t>
      </w:r>
      <w:r>
        <w:rPr>
          <w:rFonts w:ascii="Georgia" w:hAnsi="Georgia"/>
          <w:color w:val="231F20"/>
          <w:spacing w:val="2"/>
        </w:rPr>
        <w:t>actividad</w:t>
      </w:r>
      <w:r>
        <w:rPr>
          <w:rFonts w:ascii="Georgia" w:hAnsi="Georgia"/>
          <w:color w:val="231F20"/>
          <w:spacing w:val="-19"/>
        </w:rPr>
        <w:t> </w:t>
      </w:r>
      <w:r>
        <w:rPr>
          <w:rFonts w:ascii="Georgia" w:hAnsi="Georgia"/>
          <w:color w:val="231F20"/>
        </w:rPr>
        <w:t>de</w:t>
      </w:r>
      <w:r>
        <w:rPr>
          <w:rFonts w:ascii="Georgia" w:hAnsi="Georgia"/>
          <w:color w:val="231F20"/>
          <w:spacing w:val="-19"/>
        </w:rPr>
        <w:t> </w:t>
      </w:r>
      <w:r>
        <w:rPr>
          <w:rFonts w:ascii="Georgia" w:hAnsi="Georgia"/>
          <w:color w:val="231F20"/>
          <w:spacing w:val="2"/>
        </w:rPr>
        <w:t>los</w:t>
      </w:r>
      <w:r>
        <w:rPr>
          <w:rFonts w:ascii="Georgia" w:hAnsi="Georgia"/>
          <w:color w:val="231F20"/>
          <w:spacing w:val="-20"/>
        </w:rPr>
        <w:t> </w:t>
      </w:r>
      <w:r>
        <w:rPr>
          <w:rFonts w:ascii="Georgia" w:hAnsi="Georgia"/>
          <w:color w:val="231F20"/>
          <w:spacing w:val="3"/>
        </w:rPr>
        <w:t>profesores,</w:t>
      </w:r>
      <w:r>
        <w:rPr>
          <w:rFonts w:ascii="Georgia" w:hAnsi="Georgia"/>
          <w:color w:val="231F20"/>
          <w:spacing w:val="-20"/>
        </w:rPr>
        <w:t> </w:t>
      </w:r>
      <w:r>
        <w:rPr>
          <w:rFonts w:ascii="Georgia" w:hAnsi="Georgia"/>
          <w:color w:val="231F20"/>
        </w:rPr>
        <w:t>de</w:t>
      </w:r>
      <w:r>
        <w:rPr>
          <w:rFonts w:ascii="Georgia" w:hAnsi="Georgia"/>
          <w:color w:val="231F20"/>
          <w:spacing w:val="-19"/>
        </w:rPr>
        <w:t> </w:t>
      </w:r>
      <w:r>
        <w:rPr>
          <w:rFonts w:ascii="Georgia" w:hAnsi="Georgia"/>
          <w:color w:val="231F20"/>
          <w:spacing w:val="2"/>
        </w:rPr>
        <w:t>asignación</w:t>
      </w:r>
      <w:r>
        <w:rPr>
          <w:rFonts w:ascii="Georgia" w:hAnsi="Georgia"/>
          <w:color w:val="231F20"/>
          <w:spacing w:val="-19"/>
        </w:rPr>
        <w:t> </w:t>
      </w:r>
      <w:r>
        <w:rPr>
          <w:rFonts w:ascii="Georgia" w:hAnsi="Georgia"/>
          <w:color w:val="231F20"/>
        </w:rPr>
        <w:t>de </w:t>
      </w:r>
      <w:r>
        <w:rPr>
          <w:rFonts w:ascii="Georgia" w:hAnsi="Georgia"/>
          <w:color w:val="231F20"/>
          <w:spacing w:val="2"/>
        </w:rPr>
        <w:t>recursos</w:t>
      </w:r>
      <w:r>
        <w:rPr>
          <w:rFonts w:ascii="Georgia" w:hAnsi="Georgia"/>
          <w:color w:val="231F20"/>
          <w:spacing w:val="-10"/>
        </w:rPr>
        <w:t> </w:t>
      </w:r>
      <w:r>
        <w:rPr>
          <w:rFonts w:ascii="Georgia" w:hAnsi="Georgia"/>
          <w:color w:val="231F20"/>
          <w:spacing w:val="3"/>
        </w:rPr>
        <w:t>financieros</w:t>
      </w:r>
      <w:r>
        <w:rPr>
          <w:rFonts w:ascii="Georgia" w:hAnsi="Georgia"/>
          <w:color w:val="231F20"/>
          <w:spacing w:val="-10"/>
        </w:rPr>
        <w:t> </w:t>
      </w:r>
      <w:r>
        <w:rPr>
          <w:rFonts w:ascii="Georgia" w:hAnsi="Georgia"/>
          <w:color w:val="231F20"/>
          <w:spacing w:val="3"/>
        </w:rPr>
        <w:t>conforme</w:t>
      </w:r>
      <w:r>
        <w:rPr>
          <w:rFonts w:ascii="Georgia" w:hAnsi="Georgia"/>
          <w:color w:val="231F20"/>
          <w:spacing w:val="-10"/>
        </w:rPr>
        <w:t> </w:t>
      </w:r>
      <w:r>
        <w:rPr>
          <w:rFonts w:ascii="Georgia" w:hAnsi="Georgia"/>
          <w:color w:val="231F20"/>
        </w:rPr>
        <w:t>a</w:t>
      </w:r>
      <w:r>
        <w:rPr>
          <w:rFonts w:ascii="Georgia" w:hAnsi="Georgia"/>
          <w:color w:val="231F20"/>
          <w:spacing w:val="-10"/>
        </w:rPr>
        <w:t> </w:t>
      </w:r>
      <w:r>
        <w:rPr>
          <w:rFonts w:ascii="Georgia" w:hAnsi="Georgia"/>
          <w:color w:val="231F20"/>
          <w:spacing w:val="2"/>
        </w:rPr>
        <w:t>criterios</w:t>
      </w:r>
      <w:r>
        <w:rPr>
          <w:rFonts w:ascii="Georgia" w:hAnsi="Georgia"/>
          <w:color w:val="231F20"/>
          <w:spacing w:val="-10"/>
        </w:rPr>
        <w:t> </w:t>
      </w:r>
      <w:r>
        <w:rPr>
          <w:rFonts w:ascii="Georgia" w:hAnsi="Georgia"/>
          <w:color w:val="231F20"/>
        </w:rPr>
        <w:t>de</w:t>
      </w:r>
      <w:r>
        <w:rPr>
          <w:rFonts w:ascii="Georgia" w:hAnsi="Georgia"/>
          <w:color w:val="231F20"/>
          <w:spacing w:val="-10"/>
        </w:rPr>
        <w:t> </w:t>
      </w:r>
      <w:r>
        <w:rPr>
          <w:rFonts w:ascii="Georgia" w:hAnsi="Georgia"/>
          <w:color w:val="231F20"/>
          <w:spacing w:val="3"/>
        </w:rPr>
        <w:t>mercado…</w:t>
      </w:r>
      <w:r>
        <w:rPr>
          <w:rFonts w:ascii="Georgia" w:hAnsi="Georgia"/>
          <w:color w:val="231F20"/>
          <w:spacing w:val="-9"/>
        </w:rPr>
        <w:t> </w:t>
      </w:r>
      <w:r>
        <w:rPr>
          <w:rFonts w:ascii="Georgia" w:hAnsi="Georgia"/>
          <w:color w:val="231F20"/>
          <w:spacing w:val="2"/>
        </w:rPr>
        <w:t>De</w:t>
      </w:r>
      <w:r>
        <w:rPr>
          <w:rFonts w:ascii="Georgia" w:hAnsi="Georgia"/>
          <w:color w:val="231F20"/>
          <w:spacing w:val="-10"/>
        </w:rPr>
        <w:t> </w:t>
      </w:r>
      <w:r>
        <w:rPr>
          <w:rFonts w:ascii="Georgia" w:hAnsi="Georgia"/>
          <w:color w:val="231F20"/>
        </w:rPr>
        <w:t>ese </w:t>
      </w:r>
      <w:r>
        <w:rPr>
          <w:rFonts w:ascii="Georgia" w:hAnsi="Georgia"/>
          <w:color w:val="231F20"/>
          <w:spacing w:val="3"/>
          <w:w w:val="95"/>
        </w:rPr>
        <w:t>modo</w:t>
      </w:r>
      <w:r>
        <w:rPr>
          <w:rFonts w:ascii="Georgia" w:hAnsi="Georgia"/>
          <w:color w:val="231F20"/>
          <w:spacing w:val="-5"/>
          <w:w w:val="95"/>
        </w:rPr>
        <w:t> </w:t>
      </w:r>
      <w:r>
        <w:rPr>
          <w:rFonts w:ascii="Georgia" w:hAnsi="Georgia"/>
          <w:color w:val="231F20"/>
          <w:w w:val="95"/>
        </w:rPr>
        <w:t>se</w:t>
      </w:r>
      <w:r>
        <w:rPr>
          <w:rFonts w:ascii="Georgia" w:hAnsi="Georgia"/>
          <w:color w:val="231F20"/>
          <w:spacing w:val="-5"/>
          <w:w w:val="95"/>
        </w:rPr>
        <w:t> </w:t>
      </w:r>
      <w:r>
        <w:rPr>
          <w:rFonts w:ascii="Georgia" w:hAnsi="Georgia"/>
          <w:color w:val="231F20"/>
          <w:spacing w:val="2"/>
          <w:w w:val="95"/>
        </w:rPr>
        <w:t>advierte</w:t>
      </w:r>
      <w:r>
        <w:rPr>
          <w:rFonts w:ascii="Georgia" w:hAnsi="Georgia"/>
          <w:color w:val="231F20"/>
          <w:spacing w:val="-5"/>
          <w:w w:val="95"/>
        </w:rPr>
        <w:t> </w:t>
      </w:r>
      <w:r>
        <w:rPr>
          <w:rFonts w:ascii="Georgia" w:hAnsi="Georgia"/>
          <w:color w:val="231F20"/>
          <w:spacing w:val="2"/>
          <w:w w:val="95"/>
        </w:rPr>
        <w:t>cómo</w:t>
      </w:r>
      <w:r>
        <w:rPr>
          <w:rFonts w:ascii="Georgia" w:hAnsi="Georgia"/>
          <w:color w:val="231F20"/>
          <w:spacing w:val="-5"/>
          <w:w w:val="95"/>
        </w:rPr>
        <w:t> </w:t>
      </w:r>
      <w:r>
        <w:rPr>
          <w:rFonts w:ascii="Georgia" w:hAnsi="Georgia"/>
          <w:color w:val="231F20"/>
          <w:w w:val="95"/>
        </w:rPr>
        <w:t>se</w:t>
      </w:r>
      <w:r>
        <w:rPr>
          <w:rFonts w:ascii="Georgia" w:hAnsi="Georgia"/>
          <w:color w:val="231F20"/>
          <w:spacing w:val="-5"/>
          <w:w w:val="95"/>
        </w:rPr>
        <w:t> </w:t>
      </w:r>
      <w:r>
        <w:rPr>
          <w:rFonts w:ascii="Georgia" w:hAnsi="Georgia"/>
          <w:color w:val="231F20"/>
          <w:spacing w:val="2"/>
          <w:w w:val="95"/>
        </w:rPr>
        <w:t>gesta</w:t>
      </w:r>
      <w:r>
        <w:rPr>
          <w:rFonts w:ascii="Georgia" w:hAnsi="Georgia"/>
          <w:color w:val="231F20"/>
          <w:spacing w:val="-5"/>
          <w:w w:val="95"/>
        </w:rPr>
        <w:t> </w:t>
      </w:r>
      <w:r>
        <w:rPr>
          <w:rFonts w:ascii="Georgia" w:hAnsi="Georgia"/>
          <w:color w:val="231F20"/>
          <w:spacing w:val="2"/>
          <w:w w:val="95"/>
        </w:rPr>
        <w:t>una</w:t>
      </w:r>
      <w:r>
        <w:rPr>
          <w:rFonts w:ascii="Georgia" w:hAnsi="Georgia"/>
          <w:color w:val="231F20"/>
          <w:spacing w:val="-5"/>
          <w:w w:val="95"/>
        </w:rPr>
        <w:t> </w:t>
      </w:r>
      <w:r>
        <w:rPr>
          <w:rFonts w:ascii="Georgia" w:hAnsi="Georgia"/>
          <w:color w:val="231F20"/>
          <w:spacing w:val="2"/>
          <w:w w:val="95"/>
        </w:rPr>
        <w:t>estructura</w:t>
      </w:r>
      <w:r>
        <w:rPr>
          <w:rFonts w:ascii="Georgia" w:hAnsi="Georgia"/>
          <w:color w:val="231F20"/>
          <w:spacing w:val="-5"/>
          <w:w w:val="95"/>
        </w:rPr>
        <w:t> </w:t>
      </w:r>
      <w:r>
        <w:rPr>
          <w:rFonts w:ascii="Georgia" w:hAnsi="Georgia"/>
          <w:color w:val="231F20"/>
          <w:w w:val="95"/>
        </w:rPr>
        <w:t>de</w:t>
      </w:r>
      <w:r>
        <w:rPr>
          <w:rFonts w:ascii="Georgia" w:hAnsi="Georgia"/>
          <w:color w:val="231F20"/>
          <w:spacing w:val="-5"/>
          <w:w w:val="95"/>
        </w:rPr>
        <w:t> </w:t>
      </w:r>
      <w:r>
        <w:rPr>
          <w:rFonts w:ascii="Georgia" w:hAnsi="Georgia"/>
          <w:color w:val="231F20"/>
          <w:spacing w:val="2"/>
          <w:w w:val="95"/>
        </w:rPr>
        <w:t>coacciones</w:t>
      </w:r>
      <w:r>
        <w:rPr>
          <w:rFonts w:ascii="Georgia" w:hAnsi="Georgia"/>
          <w:color w:val="231F20"/>
          <w:spacing w:val="-6"/>
          <w:w w:val="95"/>
        </w:rPr>
        <w:t> </w:t>
      </w:r>
      <w:r>
        <w:rPr>
          <w:rFonts w:ascii="Georgia" w:hAnsi="Georgia"/>
          <w:color w:val="231F20"/>
          <w:spacing w:val="2"/>
          <w:w w:val="95"/>
        </w:rPr>
        <w:t>que hace </w:t>
      </w:r>
      <w:r>
        <w:rPr>
          <w:rFonts w:ascii="Georgia" w:hAnsi="Georgia"/>
          <w:color w:val="231F20"/>
          <w:w w:val="95"/>
        </w:rPr>
        <w:t>uso de </w:t>
      </w:r>
      <w:r>
        <w:rPr>
          <w:rFonts w:ascii="Georgia" w:hAnsi="Georgia"/>
          <w:color w:val="231F20"/>
          <w:spacing w:val="2"/>
          <w:w w:val="95"/>
        </w:rPr>
        <w:t>una </w:t>
      </w:r>
      <w:r>
        <w:rPr>
          <w:rFonts w:ascii="Georgia" w:hAnsi="Georgia"/>
          <w:color w:val="231F20"/>
          <w:spacing w:val="3"/>
          <w:w w:val="95"/>
        </w:rPr>
        <w:t>fundamentación </w:t>
      </w:r>
      <w:r>
        <w:rPr>
          <w:rFonts w:ascii="Georgia" w:hAnsi="Georgia"/>
          <w:color w:val="231F20"/>
          <w:spacing w:val="2"/>
          <w:w w:val="95"/>
        </w:rPr>
        <w:t>teórica provista por </w:t>
      </w:r>
      <w:r>
        <w:rPr>
          <w:rFonts w:ascii="Georgia" w:hAnsi="Georgia"/>
          <w:color w:val="231F20"/>
          <w:w w:val="95"/>
        </w:rPr>
        <w:t>las </w:t>
      </w:r>
      <w:r>
        <w:rPr>
          <w:rFonts w:ascii="Georgia" w:hAnsi="Georgia"/>
          <w:color w:val="231F20"/>
          <w:spacing w:val="3"/>
          <w:w w:val="95"/>
        </w:rPr>
        <w:t>teorías </w:t>
      </w:r>
      <w:r>
        <w:rPr>
          <w:rFonts w:ascii="Georgia" w:hAnsi="Georgia"/>
          <w:color w:val="231F20"/>
          <w:spacing w:val="2"/>
          <w:w w:val="95"/>
        </w:rPr>
        <w:t>neoliberales,</w:t>
      </w:r>
      <w:r>
        <w:rPr>
          <w:rFonts w:ascii="Georgia" w:hAnsi="Georgia"/>
          <w:color w:val="231F20"/>
          <w:spacing w:val="-18"/>
          <w:w w:val="95"/>
        </w:rPr>
        <w:t> </w:t>
      </w:r>
      <w:r>
        <w:rPr>
          <w:rFonts w:ascii="Georgia" w:hAnsi="Georgia"/>
          <w:color w:val="231F20"/>
          <w:w w:val="95"/>
        </w:rPr>
        <w:t>a</w:t>
      </w:r>
      <w:r>
        <w:rPr>
          <w:rFonts w:ascii="Georgia" w:hAnsi="Georgia"/>
          <w:color w:val="231F20"/>
          <w:spacing w:val="-17"/>
          <w:w w:val="95"/>
        </w:rPr>
        <w:t> </w:t>
      </w:r>
      <w:r>
        <w:rPr>
          <w:rFonts w:ascii="Georgia" w:hAnsi="Georgia"/>
          <w:color w:val="231F20"/>
          <w:spacing w:val="2"/>
          <w:w w:val="95"/>
        </w:rPr>
        <w:t>partir</w:t>
      </w:r>
      <w:r>
        <w:rPr>
          <w:rFonts w:ascii="Georgia" w:hAnsi="Georgia"/>
          <w:color w:val="231F20"/>
          <w:spacing w:val="-17"/>
          <w:w w:val="95"/>
        </w:rPr>
        <w:t> </w:t>
      </w:r>
      <w:r>
        <w:rPr>
          <w:rFonts w:ascii="Georgia" w:hAnsi="Georgia"/>
          <w:color w:val="231F20"/>
          <w:w w:val="95"/>
        </w:rPr>
        <w:t>de</w:t>
      </w:r>
      <w:r>
        <w:rPr>
          <w:rFonts w:ascii="Georgia" w:hAnsi="Georgia"/>
          <w:color w:val="231F20"/>
          <w:spacing w:val="-17"/>
          <w:w w:val="95"/>
        </w:rPr>
        <w:t> </w:t>
      </w:r>
      <w:r>
        <w:rPr>
          <w:rFonts w:ascii="Georgia" w:hAnsi="Georgia"/>
          <w:color w:val="231F20"/>
          <w:w w:val="95"/>
        </w:rPr>
        <w:t>la</w:t>
      </w:r>
      <w:r>
        <w:rPr>
          <w:rFonts w:ascii="Georgia" w:hAnsi="Georgia"/>
          <w:color w:val="231F20"/>
          <w:spacing w:val="-17"/>
          <w:w w:val="95"/>
        </w:rPr>
        <w:t> </w:t>
      </w:r>
      <w:r>
        <w:rPr>
          <w:rFonts w:ascii="Georgia" w:hAnsi="Georgia"/>
          <w:color w:val="231F20"/>
          <w:spacing w:val="2"/>
          <w:w w:val="95"/>
        </w:rPr>
        <w:t>cual</w:t>
      </w:r>
      <w:r>
        <w:rPr>
          <w:rFonts w:ascii="Georgia" w:hAnsi="Georgia"/>
          <w:color w:val="231F20"/>
          <w:spacing w:val="-18"/>
          <w:w w:val="95"/>
        </w:rPr>
        <w:t> </w:t>
      </w:r>
      <w:r>
        <w:rPr>
          <w:rFonts w:ascii="Georgia" w:hAnsi="Georgia"/>
          <w:color w:val="231F20"/>
          <w:w w:val="95"/>
        </w:rPr>
        <w:t>se</w:t>
      </w:r>
      <w:r>
        <w:rPr>
          <w:rFonts w:ascii="Georgia" w:hAnsi="Georgia"/>
          <w:color w:val="231F20"/>
          <w:spacing w:val="-17"/>
          <w:w w:val="95"/>
        </w:rPr>
        <w:t> </w:t>
      </w:r>
      <w:r>
        <w:rPr>
          <w:rFonts w:ascii="Georgia" w:hAnsi="Georgia"/>
          <w:color w:val="231F20"/>
          <w:spacing w:val="2"/>
          <w:w w:val="95"/>
        </w:rPr>
        <w:t>plantean</w:t>
      </w:r>
      <w:r>
        <w:rPr>
          <w:rFonts w:ascii="Georgia" w:hAnsi="Georgia"/>
          <w:color w:val="231F20"/>
          <w:spacing w:val="-17"/>
          <w:w w:val="95"/>
        </w:rPr>
        <w:t> </w:t>
      </w:r>
      <w:r>
        <w:rPr>
          <w:rFonts w:ascii="Georgia" w:hAnsi="Georgia"/>
          <w:color w:val="231F20"/>
          <w:spacing w:val="3"/>
          <w:w w:val="95"/>
        </w:rPr>
        <w:t>problemas</w:t>
      </w:r>
      <w:r>
        <w:rPr>
          <w:rFonts w:ascii="Georgia" w:hAnsi="Georgia"/>
          <w:color w:val="231F20"/>
          <w:spacing w:val="-17"/>
          <w:w w:val="95"/>
        </w:rPr>
        <w:t> </w:t>
      </w:r>
      <w:r>
        <w:rPr>
          <w:rFonts w:ascii="Georgia" w:hAnsi="Georgia"/>
          <w:color w:val="231F20"/>
          <w:spacing w:val="2"/>
          <w:w w:val="95"/>
        </w:rPr>
        <w:t>por</w:t>
      </w:r>
      <w:r>
        <w:rPr>
          <w:rFonts w:ascii="Georgia" w:hAnsi="Georgia"/>
          <w:color w:val="231F20"/>
          <w:spacing w:val="-17"/>
          <w:w w:val="95"/>
        </w:rPr>
        <w:t> </w:t>
      </w:r>
      <w:r>
        <w:rPr>
          <w:rFonts w:ascii="Georgia" w:hAnsi="Georgia"/>
          <w:color w:val="231F20"/>
          <w:spacing w:val="3"/>
          <w:w w:val="95"/>
        </w:rPr>
        <w:t>solucio- </w:t>
      </w:r>
      <w:r>
        <w:rPr>
          <w:rFonts w:ascii="Georgia" w:hAnsi="Georgia"/>
          <w:color w:val="231F20"/>
          <w:spacing w:val="2"/>
          <w:w w:val="95"/>
        </w:rPr>
        <w:t>nar</w:t>
      </w:r>
      <w:r>
        <w:rPr>
          <w:rFonts w:ascii="Georgia" w:hAnsi="Georgia"/>
          <w:color w:val="231F20"/>
          <w:spacing w:val="-11"/>
          <w:w w:val="95"/>
        </w:rPr>
        <w:t> </w:t>
      </w:r>
      <w:r>
        <w:rPr>
          <w:rFonts w:ascii="Georgia" w:hAnsi="Georgia"/>
          <w:color w:val="231F20"/>
          <w:w w:val="95"/>
        </w:rPr>
        <w:t>y</w:t>
      </w:r>
      <w:r>
        <w:rPr>
          <w:rFonts w:ascii="Georgia" w:hAnsi="Georgia"/>
          <w:color w:val="231F20"/>
          <w:spacing w:val="-10"/>
          <w:w w:val="95"/>
        </w:rPr>
        <w:t> </w:t>
      </w:r>
      <w:r>
        <w:rPr>
          <w:rFonts w:ascii="Georgia" w:hAnsi="Georgia"/>
          <w:color w:val="231F20"/>
          <w:spacing w:val="2"/>
          <w:w w:val="95"/>
        </w:rPr>
        <w:t>los</w:t>
      </w:r>
      <w:r>
        <w:rPr>
          <w:rFonts w:ascii="Georgia" w:hAnsi="Georgia"/>
          <w:color w:val="231F20"/>
          <w:spacing w:val="-10"/>
          <w:w w:val="95"/>
        </w:rPr>
        <w:t> </w:t>
      </w:r>
      <w:r>
        <w:rPr>
          <w:rFonts w:ascii="Georgia" w:hAnsi="Georgia"/>
          <w:color w:val="231F20"/>
          <w:spacing w:val="2"/>
          <w:w w:val="95"/>
        </w:rPr>
        <w:t>medios</w:t>
      </w:r>
      <w:r>
        <w:rPr>
          <w:rFonts w:ascii="Georgia" w:hAnsi="Georgia"/>
          <w:color w:val="231F20"/>
          <w:spacing w:val="-10"/>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que</w:t>
      </w:r>
      <w:r>
        <w:rPr>
          <w:rFonts w:ascii="Georgia" w:hAnsi="Georgia"/>
          <w:color w:val="231F20"/>
          <w:spacing w:val="-10"/>
          <w:w w:val="95"/>
        </w:rPr>
        <w:t> </w:t>
      </w:r>
      <w:r>
        <w:rPr>
          <w:rFonts w:ascii="Georgia" w:hAnsi="Georgia"/>
          <w:color w:val="231F20"/>
          <w:spacing w:val="2"/>
          <w:w w:val="95"/>
        </w:rPr>
        <w:t>dispone.</w:t>
      </w:r>
      <w:r>
        <w:rPr>
          <w:rFonts w:ascii="Georgia" w:hAnsi="Georgia"/>
          <w:color w:val="231F20"/>
          <w:spacing w:val="-11"/>
          <w:w w:val="95"/>
        </w:rPr>
        <w:t> </w:t>
      </w:r>
      <w:r>
        <w:rPr>
          <w:rFonts w:ascii="Georgia" w:hAnsi="Georgia"/>
          <w:color w:val="231F20"/>
          <w:spacing w:val="3"/>
          <w:w w:val="95"/>
        </w:rPr>
        <w:t>Decimos</w:t>
      </w:r>
      <w:r>
        <w:rPr>
          <w:rFonts w:ascii="Georgia" w:hAnsi="Georgia"/>
          <w:color w:val="231F20"/>
          <w:spacing w:val="-10"/>
          <w:w w:val="95"/>
        </w:rPr>
        <w:t> </w:t>
      </w:r>
      <w:r>
        <w:rPr>
          <w:rFonts w:ascii="Georgia" w:hAnsi="Georgia"/>
          <w:color w:val="231F20"/>
          <w:spacing w:val="2"/>
          <w:w w:val="95"/>
        </w:rPr>
        <w:t>que</w:t>
      </w:r>
      <w:r>
        <w:rPr>
          <w:rFonts w:ascii="Georgia" w:hAnsi="Georgia"/>
          <w:color w:val="231F20"/>
          <w:spacing w:val="-10"/>
          <w:w w:val="95"/>
        </w:rPr>
        <w:t> </w:t>
      </w:r>
      <w:r>
        <w:rPr>
          <w:rFonts w:ascii="Georgia" w:hAnsi="Georgia"/>
          <w:color w:val="231F20"/>
          <w:spacing w:val="2"/>
          <w:w w:val="95"/>
        </w:rPr>
        <w:t>gesta</w:t>
      </w:r>
      <w:r>
        <w:rPr>
          <w:rFonts w:ascii="Georgia" w:hAnsi="Georgia"/>
          <w:color w:val="231F20"/>
          <w:spacing w:val="-10"/>
          <w:w w:val="95"/>
        </w:rPr>
        <w:t> </w:t>
      </w:r>
      <w:r>
        <w:rPr>
          <w:rFonts w:ascii="Georgia" w:hAnsi="Georgia"/>
          <w:color w:val="231F20"/>
          <w:spacing w:val="2"/>
          <w:w w:val="95"/>
        </w:rPr>
        <w:t>una</w:t>
      </w:r>
      <w:r>
        <w:rPr>
          <w:rFonts w:ascii="Georgia" w:hAnsi="Georgia"/>
          <w:color w:val="231F20"/>
          <w:spacing w:val="-10"/>
          <w:w w:val="95"/>
        </w:rPr>
        <w:t> </w:t>
      </w:r>
      <w:r>
        <w:rPr>
          <w:rFonts w:ascii="Georgia" w:hAnsi="Georgia"/>
          <w:color w:val="231F20"/>
          <w:spacing w:val="3"/>
          <w:w w:val="95"/>
        </w:rPr>
        <w:t>estructu- </w:t>
      </w:r>
      <w:r>
        <w:rPr>
          <w:rFonts w:ascii="Georgia" w:hAnsi="Georgia"/>
          <w:color w:val="231F20"/>
          <w:w w:val="95"/>
        </w:rPr>
        <w:t>ra</w:t>
      </w:r>
      <w:r>
        <w:rPr>
          <w:rFonts w:ascii="Georgia" w:hAnsi="Georgia"/>
          <w:color w:val="231F20"/>
          <w:spacing w:val="-12"/>
          <w:w w:val="95"/>
        </w:rPr>
        <w:t> </w:t>
      </w:r>
      <w:r>
        <w:rPr>
          <w:rFonts w:ascii="Georgia" w:hAnsi="Georgia"/>
          <w:color w:val="231F20"/>
          <w:w w:val="95"/>
        </w:rPr>
        <w:t>de</w:t>
      </w:r>
      <w:r>
        <w:rPr>
          <w:rFonts w:ascii="Georgia" w:hAnsi="Georgia"/>
          <w:color w:val="231F20"/>
          <w:spacing w:val="-12"/>
          <w:w w:val="95"/>
        </w:rPr>
        <w:t> </w:t>
      </w:r>
      <w:r>
        <w:rPr>
          <w:rFonts w:ascii="Georgia" w:hAnsi="Georgia"/>
          <w:color w:val="231F20"/>
          <w:spacing w:val="3"/>
          <w:w w:val="95"/>
        </w:rPr>
        <w:t>coacciones</w:t>
      </w:r>
      <w:r>
        <w:rPr>
          <w:rFonts w:ascii="Georgia" w:hAnsi="Georgia"/>
          <w:color w:val="231F20"/>
          <w:spacing w:val="-12"/>
          <w:w w:val="95"/>
        </w:rPr>
        <w:t> </w:t>
      </w:r>
      <w:r>
        <w:rPr>
          <w:rFonts w:ascii="Georgia" w:hAnsi="Georgia"/>
          <w:color w:val="231F20"/>
          <w:spacing w:val="3"/>
          <w:w w:val="95"/>
        </w:rPr>
        <w:t>debido</w:t>
      </w:r>
      <w:r>
        <w:rPr>
          <w:rFonts w:ascii="Georgia" w:hAnsi="Georgia"/>
          <w:color w:val="231F20"/>
          <w:spacing w:val="-12"/>
          <w:w w:val="95"/>
        </w:rPr>
        <w:t> </w:t>
      </w:r>
      <w:r>
        <w:rPr>
          <w:rFonts w:ascii="Georgia" w:hAnsi="Georgia"/>
          <w:color w:val="231F20"/>
          <w:w w:val="95"/>
        </w:rPr>
        <w:t>a</w:t>
      </w:r>
      <w:r>
        <w:rPr>
          <w:rFonts w:ascii="Georgia" w:hAnsi="Georgia"/>
          <w:color w:val="231F20"/>
          <w:spacing w:val="-12"/>
          <w:w w:val="95"/>
        </w:rPr>
        <w:t> </w:t>
      </w:r>
      <w:r>
        <w:rPr>
          <w:rFonts w:ascii="Georgia" w:hAnsi="Georgia"/>
          <w:color w:val="231F20"/>
          <w:w w:val="95"/>
        </w:rPr>
        <w:t>que</w:t>
      </w:r>
      <w:r>
        <w:rPr>
          <w:rFonts w:ascii="Georgia" w:hAnsi="Georgia"/>
          <w:color w:val="231F20"/>
          <w:spacing w:val="-12"/>
          <w:w w:val="95"/>
        </w:rPr>
        <w:t> </w:t>
      </w:r>
      <w:r>
        <w:rPr>
          <w:rFonts w:ascii="Georgia" w:hAnsi="Georgia"/>
          <w:color w:val="231F20"/>
          <w:spacing w:val="3"/>
          <w:w w:val="95"/>
        </w:rPr>
        <w:t>impone</w:t>
      </w:r>
      <w:r>
        <w:rPr>
          <w:rFonts w:ascii="Georgia" w:hAnsi="Georgia"/>
          <w:color w:val="231F20"/>
          <w:spacing w:val="-12"/>
          <w:w w:val="95"/>
        </w:rPr>
        <w:t> </w:t>
      </w:r>
      <w:r>
        <w:rPr>
          <w:rFonts w:ascii="Georgia" w:hAnsi="Georgia"/>
          <w:color w:val="231F20"/>
          <w:w w:val="95"/>
        </w:rPr>
        <w:t>un</w:t>
      </w:r>
      <w:r>
        <w:rPr>
          <w:rFonts w:ascii="Georgia" w:hAnsi="Georgia"/>
          <w:color w:val="231F20"/>
          <w:spacing w:val="-12"/>
          <w:w w:val="95"/>
        </w:rPr>
        <w:t> </w:t>
      </w:r>
      <w:r>
        <w:rPr>
          <w:rFonts w:ascii="Georgia" w:hAnsi="Georgia"/>
          <w:color w:val="231F20"/>
          <w:spacing w:val="2"/>
          <w:w w:val="95"/>
        </w:rPr>
        <w:t>lenguaje</w:t>
      </w:r>
      <w:r>
        <w:rPr>
          <w:rFonts w:ascii="Georgia" w:hAnsi="Georgia"/>
          <w:color w:val="231F20"/>
          <w:spacing w:val="-12"/>
          <w:w w:val="95"/>
        </w:rPr>
        <w:t> </w:t>
      </w:r>
      <w:r>
        <w:rPr>
          <w:rFonts w:ascii="Georgia" w:hAnsi="Georgia"/>
          <w:color w:val="231F20"/>
          <w:spacing w:val="3"/>
          <w:w w:val="95"/>
        </w:rPr>
        <w:t>(productividad </w:t>
      </w:r>
      <w:r>
        <w:rPr>
          <w:rFonts w:ascii="Georgia" w:hAnsi="Georgia"/>
          <w:color w:val="231F20"/>
          <w:w w:val="95"/>
        </w:rPr>
        <w:t>y</w:t>
      </w:r>
      <w:r>
        <w:rPr>
          <w:rFonts w:ascii="Georgia" w:hAnsi="Georgia"/>
          <w:color w:val="231F20"/>
          <w:spacing w:val="-25"/>
          <w:w w:val="95"/>
        </w:rPr>
        <w:t> </w:t>
      </w:r>
      <w:r>
        <w:rPr>
          <w:rFonts w:ascii="Georgia" w:hAnsi="Georgia"/>
          <w:color w:val="231F20"/>
          <w:spacing w:val="3"/>
          <w:w w:val="95"/>
        </w:rPr>
        <w:t>competitividad),</w:t>
      </w:r>
      <w:r>
        <w:rPr>
          <w:rFonts w:ascii="Georgia" w:hAnsi="Georgia"/>
          <w:color w:val="231F20"/>
          <w:spacing w:val="-25"/>
          <w:w w:val="95"/>
        </w:rPr>
        <w:t> </w:t>
      </w:r>
      <w:r>
        <w:rPr>
          <w:rFonts w:ascii="Georgia" w:hAnsi="Georgia"/>
          <w:color w:val="231F20"/>
          <w:spacing w:val="2"/>
          <w:w w:val="95"/>
        </w:rPr>
        <w:t>una</w:t>
      </w:r>
      <w:r>
        <w:rPr>
          <w:rFonts w:ascii="Georgia" w:hAnsi="Georgia"/>
          <w:color w:val="231F20"/>
          <w:spacing w:val="-25"/>
          <w:w w:val="95"/>
        </w:rPr>
        <w:t> </w:t>
      </w:r>
      <w:r>
        <w:rPr>
          <w:rFonts w:ascii="Georgia" w:hAnsi="Georgia"/>
          <w:color w:val="231F20"/>
          <w:spacing w:val="3"/>
          <w:w w:val="95"/>
        </w:rPr>
        <w:t>forma</w:t>
      </w:r>
      <w:r>
        <w:rPr>
          <w:rFonts w:ascii="Georgia" w:hAnsi="Georgia"/>
          <w:color w:val="231F20"/>
          <w:spacing w:val="-25"/>
          <w:w w:val="95"/>
        </w:rPr>
        <w:t> </w:t>
      </w:r>
      <w:r>
        <w:rPr>
          <w:i/>
          <w:color w:val="231F20"/>
          <w:spacing w:val="2"/>
          <w:w w:val="95"/>
        </w:rPr>
        <w:t>única</w:t>
      </w:r>
      <w:r>
        <w:rPr>
          <w:i/>
          <w:color w:val="231F20"/>
          <w:spacing w:val="-26"/>
          <w:w w:val="95"/>
        </w:rPr>
        <w:t> </w:t>
      </w:r>
      <w:r>
        <w:rPr>
          <w:rFonts w:ascii="Georgia" w:hAnsi="Georgia"/>
          <w:color w:val="231F20"/>
          <w:w w:val="95"/>
        </w:rPr>
        <w:t>de</w:t>
      </w:r>
      <w:r>
        <w:rPr>
          <w:rFonts w:ascii="Georgia" w:hAnsi="Georgia"/>
          <w:color w:val="231F20"/>
          <w:spacing w:val="-25"/>
          <w:w w:val="95"/>
        </w:rPr>
        <w:t> </w:t>
      </w:r>
      <w:r>
        <w:rPr>
          <w:rFonts w:ascii="Georgia" w:hAnsi="Georgia"/>
          <w:color w:val="231F20"/>
          <w:spacing w:val="3"/>
          <w:w w:val="95"/>
        </w:rPr>
        <w:t>comprender</w:t>
      </w:r>
      <w:r>
        <w:rPr>
          <w:rFonts w:ascii="Georgia" w:hAnsi="Georgia"/>
          <w:color w:val="231F20"/>
          <w:spacing w:val="-25"/>
          <w:w w:val="95"/>
        </w:rPr>
        <w:t> </w:t>
      </w:r>
      <w:r>
        <w:rPr>
          <w:rFonts w:ascii="Georgia" w:hAnsi="Georgia"/>
          <w:color w:val="231F20"/>
          <w:w w:val="95"/>
        </w:rPr>
        <w:t>la</w:t>
      </w:r>
      <w:r>
        <w:rPr>
          <w:rFonts w:ascii="Georgia" w:hAnsi="Georgia"/>
          <w:color w:val="231F20"/>
          <w:spacing w:val="-25"/>
          <w:w w:val="95"/>
        </w:rPr>
        <w:t> </w:t>
      </w:r>
      <w:r>
        <w:rPr>
          <w:rFonts w:ascii="Georgia" w:hAnsi="Georgia"/>
          <w:color w:val="231F20"/>
          <w:spacing w:val="2"/>
          <w:w w:val="95"/>
        </w:rPr>
        <w:t>realidad</w:t>
      </w:r>
      <w:r>
        <w:rPr>
          <w:rFonts w:ascii="Georgia" w:hAnsi="Georgia"/>
          <w:color w:val="231F20"/>
          <w:spacing w:val="-25"/>
          <w:w w:val="95"/>
        </w:rPr>
        <w:t> </w:t>
      </w:r>
      <w:r>
        <w:rPr>
          <w:rFonts w:ascii="Georgia" w:hAnsi="Georgia"/>
          <w:color w:val="231F20"/>
          <w:spacing w:val="3"/>
          <w:w w:val="95"/>
        </w:rPr>
        <w:t>edu- </w:t>
      </w:r>
      <w:r>
        <w:rPr>
          <w:rFonts w:ascii="Georgia" w:hAnsi="Georgia"/>
          <w:color w:val="231F20"/>
          <w:spacing w:val="2"/>
        </w:rPr>
        <w:t>cativa</w:t>
      </w:r>
      <w:r>
        <w:rPr>
          <w:rFonts w:ascii="Georgia" w:hAnsi="Georgia"/>
          <w:color w:val="231F20"/>
          <w:spacing w:val="-21"/>
        </w:rPr>
        <w:t> </w:t>
      </w:r>
      <w:r>
        <w:rPr>
          <w:rFonts w:ascii="Georgia" w:hAnsi="Georgia"/>
          <w:color w:val="231F20"/>
        </w:rPr>
        <w:t>y</w:t>
      </w:r>
      <w:r>
        <w:rPr>
          <w:rFonts w:ascii="Georgia" w:hAnsi="Georgia"/>
          <w:color w:val="231F20"/>
          <w:spacing w:val="-21"/>
        </w:rPr>
        <w:t> </w:t>
      </w:r>
      <w:r>
        <w:rPr>
          <w:rFonts w:ascii="Georgia" w:hAnsi="Georgia"/>
          <w:color w:val="231F20"/>
          <w:spacing w:val="2"/>
        </w:rPr>
        <w:t>superar</w:t>
      </w:r>
      <w:r>
        <w:rPr>
          <w:rFonts w:ascii="Georgia" w:hAnsi="Georgia"/>
          <w:color w:val="231F20"/>
          <w:spacing w:val="-21"/>
        </w:rPr>
        <w:t> </w:t>
      </w:r>
      <w:r>
        <w:rPr>
          <w:rFonts w:ascii="Georgia" w:hAnsi="Georgia"/>
          <w:color w:val="231F20"/>
          <w:spacing w:val="2"/>
        </w:rPr>
        <w:t>los</w:t>
      </w:r>
      <w:r>
        <w:rPr>
          <w:rFonts w:ascii="Georgia" w:hAnsi="Georgia"/>
          <w:color w:val="231F20"/>
          <w:spacing w:val="-21"/>
        </w:rPr>
        <w:t> </w:t>
      </w:r>
      <w:r>
        <w:rPr>
          <w:rFonts w:ascii="Georgia" w:hAnsi="Georgia"/>
          <w:color w:val="231F20"/>
          <w:spacing w:val="3"/>
        </w:rPr>
        <w:t>problemas</w:t>
      </w:r>
      <w:r>
        <w:rPr>
          <w:rFonts w:ascii="Georgia" w:hAnsi="Georgia"/>
          <w:color w:val="231F20"/>
          <w:spacing w:val="-21"/>
        </w:rPr>
        <w:t> </w:t>
      </w:r>
      <w:r>
        <w:rPr>
          <w:rFonts w:ascii="Georgia" w:hAnsi="Georgia"/>
          <w:color w:val="231F20"/>
          <w:spacing w:val="2"/>
        </w:rPr>
        <w:t>que</w:t>
      </w:r>
      <w:r>
        <w:rPr>
          <w:rFonts w:ascii="Georgia" w:hAnsi="Georgia"/>
          <w:color w:val="231F20"/>
          <w:spacing w:val="-21"/>
        </w:rPr>
        <w:t> </w:t>
      </w:r>
      <w:r>
        <w:rPr>
          <w:rFonts w:ascii="Georgia" w:hAnsi="Georgia"/>
          <w:color w:val="231F20"/>
          <w:spacing w:val="2"/>
        </w:rPr>
        <w:t>plantea,</w:t>
      </w:r>
      <w:r>
        <w:rPr>
          <w:rFonts w:ascii="Georgia" w:hAnsi="Georgia"/>
          <w:color w:val="231F20"/>
          <w:spacing w:val="-21"/>
        </w:rPr>
        <w:t> </w:t>
      </w:r>
      <w:r>
        <w:rPr>
          <w:rFonts w:ascii="Georgia" w:hAnsi="Georgia"/>
          <w:color w:val="231F20"/>
        </w:rPr>
        <w:t>que</w:t>
      </w:r>
      <w:r>
        <w:rPr>
          <w:rFonts w:ascii="Georgia" w:hAnsi="Georgia"/>
          <w:color w:val="231F20"/>
          <w:spacing w:val="-21"/>
        </w:rPr>
        <w:t> </w:t>
      </w:r>
      <w:r>
        <w:rPr>
          <w:rFonts w:ascii="Georgia" w:hAnsi="Georgia"/>
          <w:color w:val="231F20"/>
          <w:spacing w:val="3"/>
        </w:rPr>
        <w:t>toma</w:t>
      </w:r>
      <w:r>
        <w:rPr>
          <w:rFonts w:ascii="Georgia" w:hAnsi="Georgia"/>
          <w:color w:val="231F20"/>
          <w:spacing w:val="-21"/>
        </w:rPr>
        <w:t> </w:t>
      </w:r>
      <w:r>
        <w:rPr>
          <w:rFonts w:ascii="Georgia" w:hAnsi="Georgia"/>
          <w:color w:val="231F20"/>
          <w:spacing w:val="2"/>
        </w:rPr>
        <w:t>formas</w:t>
      </w:r>
      <w:r>
        <w:rPr>
          <w:rFonts w:ascii="Georgia" w:hAnsi="Georgia"/>
          <w:color w:val="231F20"/>
          <w:spacing w:val="-21"/>
        </w:rPr>
        <w:t> </w:t>
      </w:r>
      <w:r>
        <w:rPr>
          <w:rFonts w:ascii="Georgia" w:hAnsi="Georgia"/>
          <w:color w:val="231F20"/>
        </w:rPr>
        <w:t>de </w:t>
      </w:r>
      <w:r>
        <w:rPr>
          <w:rFonts w:ascii="Georgia" w:hAnsi="Georgia"/>
          <w:color w:val="231F20"/>
          <w:spacing w:val="2"/>
        </w:rPr>
        <w:t>concreción</w:t>
      </w:r>
      <w:r>
        <w:rPr>
          <w:rFonts w:ascii="Georgia" w:hAnsi="Georgia"/>
          <w:color w:val="231F20"/>
          <w:spacing w:val="-18"/>
        </w:rPr>
        <w:t> </w:t>
      </w:r>
      <w:r>
        <w:rPr>
          <w:rFonts w:ascii="Georgia" w:hAnsi="Georgia"/>
          <w:color w:val="231F20"/>
          <w:spacing w:val="2"/>
        </w:rPr>
        <w:t>que</w:t>
      </w:r>
      <w:r>
        <w:rPr>
          <w:rFonts w:ascii="Georgia" w:hAnsi="Georgia"/>
          <w:color w:val="231F20"/>
          <w:spacing w:val="-19"/>
        </w:rPr>
        <w:t> </w:t>
      </w:r>
      <w:r>
        <w:rPr>
          <w:rFonts w:ascii="Georgia" w:hAnsi="Georgia"/>
          <w:color w:val="231F20"/>
          <w:spacing w:val="2"/>
        </w:rPr>
        <w:t>exacerban</w:t>
      </w:r>
      <w:r>
        <w:rPr>
          <w:rFonts w:ascii="Georgia" w:hAnsi="Georgia"/>
          <w:color w:val="231F20"/>
          <w:spacing w:val="-18"/>
        </w:rPr>
        <w:t> </w:t>
      </w:r>
      <w:r>
        <w:rPr>
          <w:rFonts w:ascii="Georgia" w:hAnsi="Georgia"/>
          <w:color w:val="231F20"/>
          <w:spacing w:val="2"/>
        </w:rPr>
        <w:t>los</w:t>
      </w:r>
      <w:r>
        <w:rPr>
          <w:rFonts w:ascii="Georgia" w:hAnsi="Georgia"/>
          <w:color w:val="231F20"/>
          <w:spacing w:val="-19"/>
        </w:rPr>
        <w:t> </w:t>
      </w:r>
      <w:r>
        <w:rPr>
          <w:rFonts w:ascii="Georgia" w:hAnsi="Georgia"/>
          <w:color w:val="231F20"/>
          <w:spacing w:val="3"/>
        </w:rPr>
        <w:t>procesos</w:t>
      </w:r>
      <w:r>
        <w:rPr>
          <w:rFonts w:ascii="Georgia" w:hAnsi="Georgia"/>
          <w:color w:val="231F20"/>
          <w:spacing w:val="-19"/>
        </w:rPr>
        <w:t> </w:t>
      </w:r>
      <w:r>
        <w:rPr>
          <w:rFonts w:ascii="Georgia" w:hAnsi="Georgia"/>
          <w:color w:val="231F20"/>
        </w:rPr>
        <w:t>de</w:t>
      </w:r>
      <w:r>
        <w:rPr>
          <w:rFonts w:ascii="Georgia" w:hAnsi="Georgia"/>
          <w:color w:val="231F20"/>
          <w:spacing w:val="-19"/>
        </w:rPr>
        <w:t> </w:t>
      </w:r>
      <w:r>
        <w:rPr>
          <w:rFonts w:ascii="Georgia" w:hAnsi="Georgia"/>
          <w:color w:val="231F20"/>
          <w:spacing w:val="2"/>
        </w:rPr>
        <w:t>selección</w:t>
      </w:r>
      <w:r>
        <w:rPr>
          <w:rFonts w:ascii="Georgia" w:hAnsi="Georgia"/>
          <w:color w:val="231F20"/>
          <w:spacing w:val="-18"/>
        </w:rPr>
        <w:t> </w:t>
      </w:r>
      <w:r>
        <w:rPr>
          <w:rFonts w:ascii="Georgia" w:hAnsi="Georgia"/>
          <w:color w:val="231F20"/>
        </w:rPr>
        <w:t>y</w:t>
      </w:r>
      <w:r>
        <w:rPr>
          <w:rFonts w:ascii="Georgia" w:hAnsi="Georgia"/>
          <w:color w:val="231F20"/>
          <w:spacing w:val="-18"/>
        </w:rPr>
        <w:t> </w:t>
      </w:r>
      <w:r>
        <w:rPr>
          <w:rFonts w:ascii="Georgia" w:hAnsi="Georgia"/>
          <w:color w:val="231F20"/>
          <w:spacing w:val="2"/>
        </w:rPr>
        <w:t>exclusión </w:t>
      </w:r>
      <w:r>
        <w:rPr>
          <w:rFonts w:ascii="Georgia" w:hAnsi="Georgia"/>
          <w:color w:val="231F20"/>
          <w:spacing w:val="2"/>
          <w:w w:val="95"/>
        </w:rPr>
        <w:t>social.</w:t>
      </w:r>
      <w:r>
        <w:rPr>
          <w:rFonts w:ascii="Georgia" w:hAnsi="Georgia"/>
          <w:color w:val="231F20"/>
          <w:spacing w:val="-11"/>
          <w:w w:val="95"/>
        </w:rPr>
        <w:t> </w:t>
      </w:r>
      <w:r>
        <w:rPr>
          <w:rFonts w:ascii="Georgia" w:hAnsi="Georgia"/>
          <w:color w:val="231F20"/>
          <w:spacing w:val="3"/>
          <w:w w:val="95"/>
        </w:rPr>
        <w:t>Precisamente,</w:t>
      </w:r>
      <w:r>
        <w:rPr>
          <w:rFonts w:ascii="Georgia" w:hAnsi="Georgia"/>
          <w:color w:val="231F20"/>
          <w:spacing w:val="-11"/>
          <w:w w:val="95"/>
        </w:rPr>
        <w:t> </w:t>
      </w:r>
      <w:r>
        <w:rPr>
          <w:rFonts w:ascii="Georgia" w:hAnsi="Georgia"/>
          <w:color w:val="231F20"/>
          <w:w w:val="95"/>
        </w:rPr>
        <w:t>el</w:t>
      </w:r>
      <w:r>
        <w:rPr>
          <w:rFonts w:ascii="Georgia" w:hAnsi="Georgia"/>
          <w:color w:val="231F20"/>
          <w:spacing w:val="-12"/>
          <w:w w:val="95"/>
        </w:rPr>
        <w:t> </w:t>
      </w:r>
      <w:r>
        <w:rPr>
          <w:rFonts w:ascii="Georgia" w:hAnsi="Georgia"/>
          <w:color w:val="231F20"/>
          <w:spacing w:val="2"/>
          <w:w w:val="95"/>
        </w:rPr>
        <w:t>carácter</w:t>
      </w:r>
      <w:r>
        <w:rPr>
          <w:rFonts w:ascii="Georgia" w:hAnsi="Georgia"/>
          <w:color w:val="231F20"/>
          <w:spacing w:val="-11"/>
          <w:w w:val="95"/>
        </w:rPr>
        <w:t> </w:t>
      </w:r>
      <w:r>
        <w:rPr>
          <w:rFonts w:ascii="Georgia" w:hAnsi="Georgia"/>
          <w:color w:val="231F20"/>
          <w:spacing w:val="2"/>
          <w:w w:val="95"/>
        </w:rPr>
        <w:t>coactivo,</w:t>
      </w:r>
      <w:r>
        <w:rPr>
          <w:rFonts w:ascii="Georgia" w:hAnsi="Georgia"/>
          <w:color w:val="231F20"/>
          <w:spacing w:val="-11"/>
          <w:w w:val="95"/>
        </w:rPr>
        <w:t> </w:t>
      </w:r>
      <w:r>
        <w:rPr>
          <w:rFonts w:ascii="Georgia" w:hAnsi="Georgia"/>
          <w:color w:val="231F20"/>
          <w:w w:val="95"/>
        </w:rPr>
        <w:t>la</w:t>
      </w:r>
      <w:r>
        <w:rPr>
          <w:rFonts w:ascii="Georgia" w:hAnsi="Georgia"/>
          <w:color w:val="231F20"/>
          <w:spacing w:val="-11"/>
          <w:w w:val="95"/>
        </w:rPr>
        <w:t> </w:t>
      </w:r>
      <w:r>
        <w:rPr>
          <w:rFonts w:ascii="Georgia" w:hAnsi="Georgia"/>
          <w:color w:val="231F20"/>
          <w:spacing w:val="2"/>
          <w:w w:val="95"/>
        </w:rPr>
        <w:t>univocidad</w:t>
      </w:r>
      <w:r>
        <w:rPr>
          <w:rFonts w:ascii="Georgia" w:hAnsi="Georgia"/>
          <w:color w:val="231F20"/>
          <w:spacing w:val="-11"/>
          <w:w w:val="95"/>
        </w:rPr>
        <w:t> </w:t>
      </w:r>
      <w:r>
        <w:rPr>
          <w:rFonts w:ascii="Georgia" w:hAnsi="Georgia"/>
          <w:color w:val="231F20"/>
          <w:w w:val="95"/>
        </w:rPr>
        <w:t>de</w:t>
      </w:r>
      <w:r>
        <w:rPr>
          <w:rFonts w:ascii="Georgia" w:hAnsi="Georgia"/>
          <w:color w:val="231F20"/>
          <w:spacing w:val="-11"/>
          <w:w w:val="95"/>
        </w:rPr>
        <w:t> </w:t>
      </w:r>
      <w:r>
        <w:rPr>
          <w:rFonts w:ascii="Georgia" w:hAnsi="Georgia"/>
          <w:color w:val="231F20"/>
          <w:spacing w:val="3"/>
          <w:w w:val="95"/>
        </w:rPr>
        <w:t>dichas </w:t>
      </w:r>
      <w:r>
        <w:rPr>
          <w:rFonts w:ascii="Georgia" w:hAnsi="Georgia"/>
          <w:color w:val="231F20"/>
          <w:spacing w:val="2"/>
          <w:w w:val="95"/>
        </w:rPr>
        <w:t>políticas</w:t>
      </w:r>
      <w:r>
        <w:rPr>
          <w:rFonts w:ascii="Georgia" w:hAnsi="Georgia"/>
          <w:color w:val="231F20"/>
          <w:spacing w:val="-12"/>
          <w:w w:val="95"/>
        </w:rPr>
        <w:t> </w:t>
      </w:r>
      <w:r>
        <w:rPr>
          <w:rFonts w:ascii="Georgia" w:hAnsi="Georgia"/>
          <w:color w:val="231F20"/>
          <w:w w:val="95"/>
        </w:rPr>
        <w:t>da</w:t>
      </w:r>
      <w:r>
        <w:rPr>
          <w:rFonts w:ascii="Georgia" w:hAnsi="Georgia"/>
          <w:color w:val="231F20"/>
          <w:spacing w:val="-12"/>
          <w:w w:val="95"/>
        </w:rPr>
        <w:t> </w:t>
      </w:r>
      <w:r>
        <w:rPr>
          <w:rFonts w:ascii="Georgia" w:hAnsi="Georgia"/>
          <w:color w:val="231F20"/>
          <w:spacing w:val="2"/>
          <w:w w:val="95"/>
        </w:rPr>
        <w:t>lugar</w:t>
      </w:r>
      <w:r>
        <w:rPr>
          <w:rFonts w:ascii="Georgia" w:hAnsi="Georgia"/>
          <w:color w:val="231F20"/>
          <w:spacing w:val="-12"/>
          <w:w w:val="95"/>
        </w:rPr>
        <w:t> </w:t>
      </w:r>
      <w:r>
        <w:rPr>
          <w:rFonts w:ascii="Georgia" w:hAnsi="Georgia"/>
          <w:color w:val="231F20"/>
          <w:w w:val="95"/>
        </w:rPr>
        <w:t>a</w:t>
      </w:r>
      <w:r>
        <w:rPr>
          <w:rFonts w:ascii="Georgia" w:hAnsi="Georgia"/>
          <w:color w:val="231F20"/>
          <w:spacing w:val="-12"/>
          <w:w w:val="95"/>
        </w:rPr>
        <w:t> </w:t>
      </w:r>
      <w:r>
        <w:rPr>
          <w:rFonts w:ascii="Georgia" w:hAnsi="Georgia"/>
          <w:color w:val="231F20"/>
          <w:spacing w:val="2"/>
          <w:w w:val="95"/>
        </w:rPr>
        <w:t>una</w:t>
      </w:r>
      <w:r>
        <w:rPr>
          <w:rFonts w:ascii="Georgia" w:hAnsi="Georgia"/>
          <w:color w:val="231F20"/>
          <w:spacing w:val="-12"/>
          <w:w w:val="95"/>
        </w:rPr>
        <w:t> </w:t>
      </w:r>
      <w:r>
        <w:rPr>
          <w:rFonts w:ascii="Georgia" w:hAnsi="Georgia"/>
          <w:color w:val="231F20"/>
          <w:spacing w:val="2"/>
          <w:w w:val="95"/>
        </w:rPr>
        <w:t>serie</w:t>
      </w:r>
      <w:r>
        <w:rPr>
          <w:rFonts w:ascii="Georgia" w:hAnsi="Georgia"/>
          <w:color w:val="231F20"/>
          <w:spacing w:val="-12"/>
          <w:w w:val="95"/>
        </w:rPr>
        <w:t> </w:t>
      </w:r>
      <w:r>
        <w:rPr>
          <w:rFonts w:ascii="Georgia" w:hAnsi="Georgia"/>
          <w:color w:val="231F20"/>
          <w:w w:val="95"/>
        </w:rPr>
        <w:t>de</w:t>
      </w:r>
      <w:r>
        <w:rPr>
          <w:rFonts w:ascii="Georgia" w:hAnsi="Georgia"/>
          <w:color w:val="231F20"/>
          <w:spacing w:val="-12"/>
          <w:w w:val="95"/>
        </w:rPr>
        <w:t> </w:t>
      </w:r>
      <w:r>
        <w:rPr>
          <w:rFonts w:ascii="Georgia" w:hAnsi="Georgia"/>
          <w:color w:val="231F20"/>
          <w:spacing w:val="3"/>
          <w:w w:val="95"/>
        </w:rPr>
        <w:t>cuestionamientos</w:t>
      </w:r>
      <w:r>
        <w:rPr>
          <w:rFonts w:ascii="Georgia" w:hAnsi="Georgia"/>
          <w:color w:val="231F20"/>
          <w:spacing w:val="-12"/>
          <w:w w:val="95"/>
        </w:rPr>
        <w:t> </w:t>
      </w:r>
      <w:r>
        <w:rPr>
          <w:rFonts w:ascii="Georgia" w:hAnsi="Georgia"/>
          <w:color w:val="231F20"/>
          <w:w w:val="95"/>
        </w:rPr>
        <w:t>que</w:t>
      </w:r>
      <w:r>
        <w:rPr>
          <w:rFonts w:ascii="Georgia" w:hAnsi="Georgia"/>
          <w:color w:val="231F20"/>
          <w:spacing w:val="-12"/>
          <w:w w:val="95"/>
        </w:rPr>
        <w:t> </w:t>
      </w:r>
      <w:r>
        <w:rPr>
          <w:rFonts w:ascii="Georgia" w:hAnsi="Georgia"/>
          <w:color w:val="231F20"/>
          <w:spacing w:val="3"/>
          <w:w w:val="95"/>
        </w:rPr>
        <w:t>comienzan</w:t>
      </w:r>
    </w:p>
    <w:p>
      <w:pPr>
        <w:spacing w:after="0" w:line="252" w:lineRule="auto"/>
        <w:jc w:val="both"/>
        <w:rPr>
          <w:rFonts w:ascii="Georgia" w:hAnsi="Georgia"/>
        </w:rPr>
        <w:sectPr>
          <w:headerReference w:type="default" r:id="rId211"/>
          <w:footerReference w:type="default" r:id="rId212"/>
          <w:pgSz w:w="7830" w:h="11910"/>
          <w:pgMar w:header="0" w:footer="424" w:top="500" w:bottom="620" w:left="920" w:right="900"/>
          <w:pgNumType w:start="9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rPr>
          <w:sz w:val="20"/>
        </w:rPr>
      </w:pPr>
    </w:p>
    <w:p>
      <w:pPr>
        <w:pStyle w:val="BodyText"/>
        <w:spacing w:line="249" w:lineRule="auto"/>
        <w:ind w:left="102" w:right="115"/>
        <w:jc w:val="both"/>
      </w:pPr>
      <w:r>
        <w:rPr>
          <w:color w:val="231F20"/>
          <w:spacing w:val="2"/>
        </w:rPr>
        <w:t>por criticarlas debido </w:t>
      </w:r>
      <w:r>
        <w:rPr>
          <w:color w:val="231F20"/>
        </w:rPr>
        <w:t>a que </w:t>
      </w:r>
      <w:r>
        <w:rPr>
          <w:color w:val="231F20"/>
          <w:spacing w:val="3"/>
        </w:rPr>
        <w:t>suponen </w:t>
      </w:r>
      <w:r>
        <w:rPr>
          <w:color w:val="231F20"/>
          <w:spacing w:val="2"/>
        </w:rPr>
        <w:t>una modificación radical </w:t>
      </w:r>
      <w:r>
        <w:rPr>
          <w:color w:val="231F20"/>
        </w:rPr>
        <w:t>del </w:t>
      </w:r>
      <w:r>
        <w:rPr>
          <w:color w:val="231F20"/>
          <w:spacing w:val="2"/>
        </w:rPr>
        <w:t>proyecto </w:t>
      </w:r>
      <w:r>
        <w:rPr>
          <w:color w:val="231F20"/>
        </w:rPr>
        <w:t>de </w:t>
      </w:r>
      <w:r>
        <w:rPr>
          <w:color w:val="231F20"/>
          <w:spacing w:val="2"/>
        </w:rPr>
        <w:t>universidad pública que, </w:t>
      </w:r>
      <w:r>
        <w:rPr>
          <w:color w:val="231F20"/>
        </w:rPr>
        <w:t>“se </w:t>
      </w:r>
      <w:r>
        <w:rPr>
          <w:color w:val="231F20"/>
          <w:spacing w:val="2"/>
        </w:rPr>
        <w:t>produce </w:t>
      </w:r>
      <w:r>
        <w:rPr>
          <w:color w:val="231F20"/>
        </w:rPr>
        <w:t>a </w:t>
      </w:r>
      <w:r>
        <w:rPr>
          <w:color w:val="231F20"/>
          <w:spacing w:val="2"/>
        </w:rPr>
        <w:t>partir </w:t>
      </w:r>
      <w:r>
        <w:rPr>
          <w:color w:val="231F20"/>
        </w:rPr>
        <w:t>del </w:t>
      </w:r>
      <w:r>
        <w:rPr>
          <w:color w:val="231F20"/>
          <w:spacing w:val="3"/>
        </w:rPr>
        <w:t>momento </w:t>
      </w:r>
      <w:r>
        <w:rPr>
          <w:color w:val="231F20"/>
        </w:rPr>
        <w:t>en </w:t>
      </w:r>
      <w:r>
        <w:rPr>
          <w:color w:val="231F20"/>
          <w:spacing w:val="2"/>
        </w:rPr>
        <w:t>que </w:t>
      </w:r>
      <w:r>
        <w:rPr>
          <w:color w:val="231F20"/>
        </w:rPr>
        <w:t>se inicia el </w:t>
      </w:r>
      <w:r>
        <w:rPr>
          <w:color w:val="231F20"/>
          <w:spacing w:val="2"/>
        </w:rPr>
        <w:t>cambio </w:t>
      </w:r>
      <w:r>
        <w:rPr>
          <w:color w:val="231F20"/>
        </w:rPr>
        <w:t>de </w:t>
      </w:r>
      <w:r>
        <w:rPr>
          <w:color w:val="231F20"/>
          <w:spacing w:val="2"/>
        </w:rPr>
        <w:t>estrategia </w:t>
      </w:r>
      <w:r>
        <w:rPr>
          <w:color w:val="231F20"/>
        </w:rPr>
        <w:t>de </w:t>
      </w:r>
      <w:r>
        <w:rPr>
          <w:color w:val="231F20"/>
          <w:spacing w:val="2"/>
        </w:rPr>
        <w:t>acumulación” (Ramírez, </w:t>
      </w:r>
      <w:r>
        <w:rPr>
          <w:color w:val="231F20"/>
          <w:spacing w:val="3"/>
        </w:rPr>
        <w:t>2001:99), </w:t>
      </w:r>
      <w:r>
        <w:rPr>
          <w:color w:val="231F20"/>
        </w:rPr>
        <w:t>lo </w:t>
      </w:r>
      <w:r>
        <w:rPr>
          <w:color w:val="231F20"/>
          <w:spacing w:val="2"/>
        </w:rPr>
        <w:t>cual </w:t>
      </w:r>
      <w:r>
        <w:rPr>
          <w:color w:val="231F20"/>
        </w:rPr>
        <w:t>ha </w:t>
      </w:r>
      <w:r>
        <w:rPr>
          <w:color w:val="231F20"/>
          <w:spacing w:val="2"/>
        </w:rPr>
        <w:t>llevado </w:t>
      </w:r>
      <w:r>
        <w:rPr>
          <w:color w:val="231F20"/>
        </w:rPr>
        <w:t>a </w:t>
      </w:r>
      <w:r>
        <w:rPr>
          <w:color w:val="231F20"/>
          <w:spacing w:val="2"/>
        </w:rPr>
        <w:t>una privatización que </w:t>
      </w:r>
      <w:r>
        <w:rPr>
          <w:color w:val="231F20"/>
        </w:rPr>
        <w:t>se </w:t>
      </w:r>
      <w:r>
        <w:rPr>
          <w:color w:val="231F20"/>
          <w:spacing w:val="3"/>
        </w:rPr>
        <w:t>introduce </w:t>
      </w:r>
      <w:r>
        <w:rPr>
          <w:color w:val="231F20"/>
        </w:rPr>
        <w:t>en  el </w:t>
      </w:r>
      <w:r>
        <w:rPr>
          <w:color w:val="231F20"/>
          <w:spacing w:val="3"/>
        </w:rPr>
        <w:t>conocimiento </w:t>
      </w:r>
      <w:r>
        <w:rPr>
          <w:color w:val="231F20"/>
        </w:rPr>
        <w:t>y en  las </w:t>
      </w:r>
      <w:r>
        <w:rPr>
          <w:color w:val="231F20"/>
          <w:spacing w:val="3"/>
        </w:rPr>
        <w:t>condiciones </w:t>
      </w:r>
      <w:r>
        <w:rPr>
          <w:color w:val="231F20"/>
        </w:rPr>
        <w:t>de </w:t>
      </w:r>
      <w:r>
        <w:rPr>
          <w:color w:val="231F20"/>
          <w:spacing w:val="2"/>
        </w:rPr>
        <w:t>trabajo, </w:t>
      </w:r>
      <w:r>
        <w:rPr>
          <w:color w:val="231F20"/>
        </w:rPr>
        <w:t>en  la </w:t>
      </w:r>
      <w:r>
        <w:rPr>
          <w:color w:val="231F20"/>
          <w:spacing w:val="3"/>
        </w:rPr>
        <w:t>transformación </w:t>
      </w:r>
      <w:r>
        <w:rPr>
          <w:color w:val="231F20"/>
          <w:spacing w:val="2"/>
        </w:rPr>
        <w:t>del gobierno universitario </w:t>
      </w:r>
      <w:r>
        <w:rPr>
          <w:color w:val="231F20"/>
        </w:rPr>
        <w:t>y </w:t>
      </w:r>
      <w:r>
        <w:rPr>
          <w:color w:val="231F20"/>
          <w:spacing w:val="2"/>
        </w:rPr>
        <w:t>sus </w:t>
      </w:r>
      <w:r>
        <w:rPr>
          <w:color w:val="231F20"/>
          <w:spacing w:val="3"/>
        </w:rPr>
        <w:t>consecuencias </w:t>
      </w:r>
      <w:r>
        <w:rPr>
          <w:color w:val="231F20"/>
        </w:rPr>
        <w:t>en la </w:t>
      </w:r>
      <w:r>
        <w:rPr>
          <w:color w:val="231F20"/>
          <w:spacing w:val="3"/>
        </w:rPr>
        <w:t>autonomía como </w:t>
      </w:r>
      <w:r>
        <w:rPr>
          <w:color w:val="231F20"/>
          <w:spacing w:val="2"/>
        </w:rPr>
        <w:t>han señalado Ramírez (2001:9, 18-19, 201), Aboites  (1997:15,  50-52,  </w:t>
      </w:r>
      <w:r>
        <w:rPr>
          <w:color w:val="231F20"/>
        </w:rPr>
        <w:t>72,  </w:t>
      </w:r>
      <w:r>
        <w:rPr>
          <w:color w:val="231F20"/>
          <w:spacing w:val="2"/>
        </w:rPr>
        <w:t>367,  274),  Ibarra-Colado  </w:t>
      </w:r>
      <w:r>
        <w:rPr>
          <w:color w:val="231F20"/>
          <w:spacing w:val="35"/>
        </w:rPr>
        <w:t> </w:t>
      </w:r>
      <w:r>
        <w:rPr>
          <w:color w:val="231F20"/>
          <w:spacing w:val="2"/>
        </w:rPr>
        <w:t>(1993;</w:t>
      </w:r>
    </w:p>
    <w:p>
      <w:pPr>
        <w:pStyle w:val="BodyText"/>
        <w:spacing w:line="240" w:lineRule="exact"/>
        <w:ind w:left="102"/>
        <w:jc w:val="both"/>
      </w:pPr>
      <w:r>
        <w:rPr>
          <w:color w:val="231F20"/>
        </w:rPr>
        <w:t>2001:129), y Varela-Petito (1996).</w:t>
      </w:r>
    </w:p>
    <w:p>
      <w:pPr>
        <w:pStyle w:val="BodyText"/>
        <w:spacing w:line="249" w:lineRule="auto" w:before="8"/>
        <w:ind w:left="102" w:right="114" w:firstLine="284"/>
        <w:jc w:val="both"/>
      </w:pPr>
      <w:r>
        <w:rPr>
          <w:color w:val="231F20"/>
        </w:rPr>
        <w:t>La </w:t>
      </w:r>
      <w:r>
        <w:rPr>
          <w:color w:val="231F20"/>
          <w:spacing w:val="2"/>
        </w:rPr>
        <w:t>educación superior </w:t>
      </w:r>
      <w:r>
        <w:rPr>
          <w:color w:val="231F20"/>
        </w:rPr>
        <w:t>y la </w:t>
      </w:r>
      <w:r>
        <w:rPr>
          <w:color w:val="231F20"/>
          <w:spacing w:val="2"/>
        </w:rPr>
        <w:t>universidad pública </w:t>
      </w:r>
      <w:r>
        <w:rPr>
          <w:color w:val="231F20"/>
        </w:rPr>
        <w:t>en </w:t>
      </w:r>
      <w:r>
        <w:rPr>
          <w:color w:val="231F20"/>
          <w:spacing w:val="3"/>
        </w:rPr>
        <w:t>particu- </w:t>
      </w:r>
      <w:r>
        <w:rPr>
          <w:color w:val="231F20"/>
          <w:spacing w:val="2"/>
        </w:rPr>
        <w:t>larsonreestructuradas </w:t>
      </w:r>
      <w:r>
        <w:rPr>
          <w:color w:val="231F20"/>
        </w:rPr>
        <w:t>a </w:t>
      </w:r>
      <w:r>
        <w:rPr>
          <w:color w:val="231F20"/>
          <w:spacing w:val="2"/>
        </w:rPr>
        <w:t>partir </w:t>
      </w:r>
      <w:r>
        <w:rPr>
          <w:color w:val="231F20"/>
        </w:rPr>
        <w:t>de las </w:t>
      </w:r>
      <w:r>
        <w:rPr>
          <w:color w:val="231F20"/>
          <w:spacing w:val="3"/>
        </w:rPr>
        <w:t>recomendaciones </w:t>
      </w:r>
      <w:r>
        <w:rPr>
          <w:color w:val="231F20"/>
        </w:rPr>
        <w:t>de </w:t>
      </w:r>
      <w:r>
        <w:rPr>
          <w:color w:val="231F20"/>
          <w:spacing w:val="2"/>
        </w:rPr>
        <w:t>los </w:t>
      </w:r>
      <w:r>
        <w:rPr>
          <w:color w:val="231F20"/>
          <w:spacing w:val="3"/>
        </w:rPr>
        <w:t>orga- nismos </w:t>
      </w:r>
      <w:r>
        <w:rPr>
          <w:color w:val="231F20"/>
          <w:spacing w:val="2"/>
        </w:rPr>
        <w:t>financieros </w:t>
      </w:r>
      <w:r>
        <w:rPr>
          <w:color w:val="231F20"/>
        </w:rPr>
        <w:t>y no </w:t>
      </w:r>
      <w:r>
        <w:rPr>
          <w:color w:val="231F20"/>
          <w:spacing w:val="2"/>
        </w:rPr>
        <w:t>financieros mundiales. Los </w:t>
      </w:r>
      <w:r>
        <w:rPr>
          <w:color w:val="231F20"/>
          <w:spacing w:val="3"/>
        </w:rPr>
        <w:t>argumentos </w:t>
      </w:r>
      <w:r>
        <w:rPr>
          <w:color w:val="231F20"/>
          <w:spacing w:val="2"/>
        </w:rPr>
        <w:t>para </w:t>
      </w:r>
      <w:r>
        <w:rPr>
          <w:color w:val="231F20"/>
          <w:spacing w:val="3"/>
        </w:rPr>
        <w:t>promover </w:t>
      </w:r>
      <w:r>
        <w:rPr>
          <w:color w:val="231F20"/>
        </w:rPr>
        <w:t>la </w:t>
      </w:r>
      <w:r>
        <w:rPr>
          <w:color w:val="231F20"/>
          <w:spacing w:val="3"/>
        </w:rPr>
        <w:t>reforma </w:t>
      </w:r>
      <w:r>
        <w:rPr>
          <w:color w:val="231F20"/>
        </w:rPr>
        <w:t>de la </w:t>
      </w:r>
      <w:r>
        <w:rPr>
          <w:color w:val="231F20"/>
          <w:spacing w:val="2"/>
        </w:rPr>
        <w:t>educación superior pública </w:t>
      </w:r>
      <w:r>
        <w:rPr>
          <w:color w:val="231F20"/>
          <w:spacing w:val="3"/>
        </w:rPr>
        <w:t>han </w:t>
      </w:r>
      <w:r>
        <w:rPr>
          <w:color w:val="231F20"/>
          <w:spacing w:val="2"/>
        </w:rPr>
        <w:t>consistido </w:t>
      </w:r>
      <w:r>
        <w:rPr>
          <w:color w:val="231F20"/>
        </w:rPr>
        <w:t>en el </w:t>
      </w:r>
      <w:r>
        <w:rPr>
          <w:color w:val="231F20"/>
          <w:spacing w:val="3"/>
        </w:rPr>
        <w:t>cuestionamiento </w:t>
      </w:r>
      <w:r>
        <w:rPr>
          <w:color w:val="231F20"/>
        </w:rPr>
        <w:t>a la </w:t>
      </w:r>
      <w:r>
        <w:rPr>
          <w:color w:val="231F20"/>
          <w:spacing w:val="2"/>
        </w:rPr>
        <w:t>masificación </w:t>
      </w:r>
      <w:r>
        <w:rPr>
          <w:color w:val="231F20"/>
        </w:rPr>
        <w:t>y el </w:t>
      </w:r>
      <w:r>
        <w:rPr>
          <w:color w:val="231F20"/>
          <w:spacing w:val="2"/>
        </w:rPr>
        <w:t>deterioro   </w:t>
      </w:r>
      <w:r>
        <w:rPr>
          <w:color w:val="231F20"/>
        </w:rPr>
        <w:t>de la </w:t>
      </w:r>
      <w:r>
        <w:rPr>
          <w:color w:val="231F20"/>
          <w:spacing w:val="2"/>
        </w:rPr>
        <w:t>calidad, </w:t>
      </w:r>
      <w:r>
        <w:rPr>
          <w:color w:val="231F20"/>
        </w:rPr>
        <w:t>así </w:t>
      </w:r>
      <w:r>
        <w:rPr>
          <w:color w:val="231F20"/>
          <w:spacing w:val="3"/>
        </w:rPr>
        <w:t>como </w:t>
      </w:r>
      <w:r>
        <w:rPr>
          <w:color w:val="231F20"/>
        </w:rPr>
        <w:t>la </w:t>
      </w:r>
      <w:r>
        <w:rPr>
          <w:color w:val="231F20"/>
          <w:spacing w:val="2"/>
        </w:rPr>
        <w:t>insuficiencia </w:t>
      </w:r>
      <w:r>
        <w:rPr>
          <w:color w:val="231F20"/>
        </w:rPr>
        <w:t>de </w:t>
      </w:r>
      <w:r>
        <w:rPr>
          <w:color w:val="231F20"/>
          <w:spacing w:val="2"/>
        </w:rPr>
        <w:t>recursos financieros, </w:t>
      </w:r>
      <w:r>
        <w:rPr>
          <w:color w:val="231F20"/>
        </w:rPr>
        <w:t>de allí que se </w:t>
      </w:r>
      <w:r>
        <w:rPr>
          <w:color w:val="231F20"/>
          <w:spacing w:val="2"/>
        </w:rPr>
        <w:t>insista </w:t>
      </w:r>
      <w:r>
        <w:rPr>
          <w:color w:val="231F20"/>
        </w:rPr>
        <w:t>en </w:t>
      </w:r>
      <w:r>
        <w:rPr>
          <w:color w:val="231F20"/>
          <w:spacing w:val="2"/>
        </w:rPr>
        <w:t>“nuevas fórmulas </w:t>
      </w:r>
      <w:r>
        <w:rPr>
          <w:color w:val="231F20"/>
        </w:rPr>
        <w:t>de </w:t>
      </w:r>
      <w:r>
        <w:rPr>
          <w:color w:val="231F20"/>
          <w:spacing w:val="2"/>
        </w:rPr>
        <w:t>financiamiento </w:t>
      </w:r>
      <w:r>
        <w:rPr>
          <w:color w:val="231F20"/>
          <w:spacing w:val="3"/>
        </w:rPr>
        <w:t>comple- </w:t>
      </w:r>
      <w:r>
        <w:rPr>
          <w:color w:val="231F20"/>
          <w:spacing w:val="2"/>
        </w:rPr>
        <w:t>mentario </w:t>
      </w:r>
      <w:r>
        <w:rPr>
          <w:color w:val="231F20"/>
        </w:rPr>
        <w:t>a los </w:t>
      </w:r>
      <w:r>
        <w:rPr>
          <w:color w:val="231F20"/>
          <w:spacing w:val="2"/>
        </w:rPr>
        <w:t>recursos fiscales”; </w:t>
      </w:r>
      <w:r>
        <w:rPr>
          <w:color w:val="231F20"/>
        </w:rPr>
        <w:t>así los ejes de la </w:t>
      </w:r>
      <w:r>
        <w:rPr>
          <w:color w:val="231F20"/>
          <w:spacing w:val="2"/>
        </w:rPr>
        <w:t>reforma </w:t>
      </w:r>
      <w:r>
        <w:rPr>
          <w:color w:val="231F20"/>
        </w:rPr>
        <w:t>a </w:t>
      </w:r>
      <w:r>
        <w:rPr>
          <w:color w:val="231F20"/>
          <w:spacing w:val="2"/>
        </w:rPr>
        <w:t>las</w:t>
      </w:r>
      <w:r>
        <w:rPr>
          <w:color w:val="231F20"/>
          <w:spacing w:val="56"/>
        </w:rPr>
        <w:t> </w:t>
      </w:r>
      <w:r>
        <w:rPr>
          <w:color w:val="231F20"/>
          <w:spacing w:val="2"/>
        </w:rPr>
        <w:t>universidades han descansado </w:t>
      </w:r>
      <w:r>
        <w:rPr>
          <w:color w:val="231F20"/>
        </w:rPr>
        <w:t>en la </w:t>
      </w:r>
      <w:r>
        <w:rPr>
          <w:color w:val="231F20"/>
          <w:spacing w:val="2"/>
        </w:rPr>
        <w:t>modificación </w:t>
      </w:r>
      <w:r>
        <w:rPr>
          <w:color w:val="231F20"/>
        </w:rPr>
        <w:t>de las </w:t>
      </w:r>
      <w:r>
        <w:rPr>
          <w:color w:val="231F20"/>
          <w:spacing w:val="3"/>
        </w:rPr>
        <w:t>formas </w:t>
      </w:r>
      <w:r>
        <w:rPr>
          <w:color w:val="231F20"/>
        </w:rPr>
        <w:t>de </w:t>
      </w:r>
      <w:r>
        <w:rPr>
          <w:color w:val="231F20"/>
          <w:spacing w:val="3"/>
        </w:rPr>
        <w:t>financiamiento, </w:t>
      </w:r>
      <w:r>
        <w:rPr>
          <w:color w:val="231F20"/>
        </w:rPr>
        <w:t>el </w:t>
      </w:r>
      <w:r>
        <w:rPr>
          <w:color w:val="231F20"/>
          <w:spacing w:val="3"/>
        </w:rPr>
        <w:t>control </w:t>
      </w:r>
      <w:r>
        <w:rPr>
          <w:color w:val="231F20"/>
          <w:spacing w:val="2"/>
        </w:rPr>
        <w:t>sobre los </w:t>
      </w:r>
      <w:r>
        <w:rPr>
          <w:color w:val="231F20"/>
          <w:spacing w:val="3"/>
        </w:rPr>
        <w:t>programas </w:t>
      </w:r>
      <w:r>
        <w:rPr>
          <w:color w:val="231F20"/>
          <w:spacing w:val="2"/>
        </w:rPr>
        <w:t>educativos </w:t>
      </w:r>
      <w:r>
        <w:rPr>
          <w:color w:val="231F20"/>
        </w:rPr>
        <w:t>y </w:t>
      </w:r>
      <w:r>
        <w:rPr>
          <w:color w:val="231F20"/>
          <w:spacing w:val="2"/>
        </w:rPr>
        <w:t>sobre </w:t>
      </w:r>
      <w:r>
        <w:rPr>
          <w:color w:val="231F20"/>
        </w:rPr>
        <w:t>el </w:t>
      </w:r>
      <w:r>
        <w:rPr>
          <w:color w:val="231F20"/>
          <w:spacing w:val="2"/>
        </w:rPr>
        <w:t>ingreso </w:t>
      </w:r>
      <w:r>
        <w:rPr>
          <w:color w:val="231F20"/>
        </w:rPr>
        <w:t>a la </w:t>
      </w:r>
      <w:r>
        <w:rPr>
          <w:color w:val="231F20"/>
          <w:spacing w:val="2"/>
        </w:rPr>
        <w:t>educación superior, </w:t>
      </w:r>
      <w:r>
        <w:rPr>
          <w:color w:val="231F20"/>
        </w:rPr>
        <w:t>así </w:t>
      </w:r>
      <w:r>
        <w:rPr>
          <w:color w:val="231F20"/>
          <w:spacing w:val="3"/>
        </w:rPr>
        <w:t>como nuevos  </w:t>
      </w:r>
      <w:r>
        <w:rPr>
          <w:color w:val="231F20"/>
          <w:spacing w:val="2"/>
        </w:rPr>
        <w:t>controles sobre </w:t>
      </w:r>
      <w:r>
        <w:rPr>
          <w:color w:val="231F20"/>
        </w:rPr>
        <w:t>el </w:t>
      </w:r>
      <w:r>
        <w:rPr>
          <w:color w:val="231F20"/>
          <w:spacing w:val="2"/>
        </w:rPr>
        <w:t>trabajo </w:t>
      </w:r>
      <w:r>
        <w:rPr>
          <w:color w:val="231F20"/>
        </w:rPr>
        <w:t>y el </w:t>
      </w:r>
      <w:r>
        <w:rPr>
          <w:color w:val="231F20"/>
          <w:spacing w:val="2"/>
        </w:rPr>
        <w:t>salario </w:t>
      </w:r>
      <w:r>
        <w:rPr>
          <w:color w:val="231F20"/>
        </w:rPr>
        <w:t>de </w:t>
      </w:r>
      <w:r>
        <w:rPr>
          <w:color w:val="231F20"/>
          <w:spacing w:val="2"/>
        </w:rPr>
        <w:t>los </w:t>
      </w:r>
      <w:r>
        <w:rPr>
          <w:color w:val="231F20"/>
          <w:spacing w:val="3"/>
        </w:rPr>
        <w:t>académicos. </w:t>
      </w:r>
      <w:r>
        <w:rPr>
          <w:color w:val="231F20"/>
          <w:spacing w:val="2"/>
        </w:rPr>
        <w:t>Por supuesto </w:t>
      </w:r>
      <w:r>
        <w:rPr>
          <w:color w:val="231F20"/>
        </w:rPr>
        <w:t>que </w:t>
      </w:r>
      <w:r>
        <w:rPr>
          <w:color w:val="231F20"/>
          <w:spacing w:val="3"/>
        </w:rPr>
        <w:t>el </w:t>
      </w:r>
      <w:r>
        <w:rPr>
          <w:color w:val="231F20"/>
          <w:spacing w:val="2"/>
        </w:rPr>
        <w:t>desarrollo </w:t>
      </w:r>
      <w:r>
        <w:rPr>
          <w:color w:val="231F20"/>
        </w:rPr>
        <w:t>de </w:t>
      </w:r>
      <w:r>
        <w:rPr>
          <w:color w:val="231F20"/>
          <w:spacing w:val="2"/>
        </w:rPr>
        <w:t>investigaciones, </w:t>
      </w:r>
      <w:r>
        <w:rPr>
          <w:color w:val="231F20"/>
          <w:spacing w:val="3"/>
        </w:rPr>
        <w:t>como </w:t>
      </w:r>
      <w:r>
        <w:rPr>
          <w:color w:val="231F20"/>
        </w:rPr>
        <w:t>las </w:t>
      </w:r>
      <w:r>
        <w:rPr>
          <w:color w:val="231F20"/>
          <w:spacing w:val="2"/>
        </w:rPr>
        <w:t>referidas, que </w:t>
      </w:r>
      <w:r>
        <w:rPr>
          <w:color w:val="231F20"/>
          <w:spacing w:val="3"/>
        </w:rPr>
        <w:t>ponen </w:t>
      </w:r>
      <w:r>
        <w:rPr>
          <w:color w:val="231F20"/>
        </w:rPr>
        <w:t>en </w:t>
      </w:r>
      <w:r>
        <w:rPr>
          <w:color w:val="231F20"/>
          <w:spacing w:val="2"/>
        </w:rPr>
        <w:t>evidencia </w:t>
      </w:r>
      <w:r>
        <w:rPr>
          <w:color w:val="231F20"/>
        </w:rPr>
        <w:t>el </w:t>
      </w:r>
      <w:r>
        <w:rPr>
          <w:color w:val="231F20"/>
          <w:spacing w:val="2"/>
        </w:rPr>
        <w:t>carácter destructivo </w:t>
      </w:r>
      <w:r>
        <w:rPr>
          <w:color w:val="231F20"/>
        </w:rPr>
        <w:t>de las </w:t>
      </w:r>
      <w:r>
        <w:rPr>
          <w:color w:val="231F20"/>
          <w:spacing w:val="2"/>
        </w:rPr>
        <w:t>políticas educativas hacia </w:t>
      </w:r>
      <w:r>
        <w:rPr>
          <w:color w:val="231F20"/>
        </w:rPr>
        <w:t>la </w:t>
      </w:r>
      <w:r>
        <w:rPr>
          <w:color w:val="231F20"/>
          <w:spacing w:val="2"/>
        </w:rPr>
        <w:t>educación superior, </w:t>
      </w:r>
      <w:r>
        <w:rPr>
          <w:color w:val="231F20"/>
        </w:rPr>
        <w:t>así </w:t>
      </w:r>
      <w:r>
        <w:rPr>
          <w:color w:val="231F20"/>
          <w:spacing w:val="3"/>
        </w:rPr>
        <w:t>como </w:t>
      </w:r>
      <w:r>
        <w:rPr>
          <w:color w:val="231F20"/>
        </w:rPr>
        <w:t>el </w:t>
      </w:r>
      <w:r>
        <w:rPr>
          <w:color w:val="231F20"/>
          <w:spacing w:val="2"/>
        </w:rPr>
        <w:t>tipo </w:t>
      </w:r>
      <w:r>
        <w:rPr>
          <w:color w:val="231F20"/>
        </w:rPr>
        <w:t>de </w:t>
      </w:r>
      <w:r>
        <w:rPr>
          <w:color w:val="231F20"/>
          <w:spacing w:val="2"/>
        </w:rPr>
        <w:t>violencias que instaura sobre los sujetos </w:t>
      </w:r>
      <w:r>
        <w:rPr>
          <w:color w:val="231F20"/>
          <w:spacing w:val="3"/>
        </w:rPr>
        <w:t>alumnos </w:t>
      </w:r>
      <w:r>
        <w:rPr>
          <w:color w:val="231F20"/>
        </w:rPr>
        <w:t>y </w:t>
      </w:r>
      <w:r>
        <w:rPr>
          <w:color w:val="231F20"/>
          <w:spacing w:val="3"/>
        </w:rPr>
        <w:t>profesores, </w:t>
      </w:r>
      <w:r>
        <w:rPr>
          <w:color w:val="231F20"/>
        </w:rPr>
        <w:t>se </w:t>
      </w:r>
      <w:r>
        <w:rPr>
          <w:color w:val="231F20"/>
          <w:spacing w:val="2"/>
        </w:rPr>
        <w:t>puede constatar tam- bién </w:t>
      </w:r>
      <w:r>
        <w:rPr>
          <w:color w:val="231F20"/>
        </w:rPr>
        <w:t>a </w:t>
      </w:r>
      <w:r>
        <w:rPr>
          <w:color w:val="231F20"/>
          <w:spacing w:val="2"/>
        </w:rPr>
        <w:t>otro nivel </w:t>
      </w:r>
      <w:r>
        <w:rPr>
          <w:color w:val="231F20"/>
        </w:rPr>
        <w:t>de </w:t>
      </w:r>
      <w:r>
        <w:rPr>
          <w:color w:val="231F20"/>
          <w:spacing w:val="3"/>
        </w:rPr>
        <w:t>concreción, como </w:t>
      </w:r>
      <w:r>
        <w:rPr>
          <w:color w:val="231F20"/>
        </w:rPr>
        <w:t>se </w:t>
      </w:r>
      <w:r>
        <w:rPr>
          <w:color w:val="231F20"/>
          <w:spacing w:val="2"/>
        </w:rPr>
        <w:t>puso </w:t>
      </w:r>
      <w:r>
        <w:rPr>
          <w:color w:val="231F20"/>
        </w:rPr>
        <w:t>de </w:t>
      </w:r>
      <w:r>
        <w:rPr>
          <w:color w:val="231F20"/>
          <w:spacing w:val="2"/>
        </w:rPr>
        <w:t>manifesto </w:t>
      </w:r>
      <w:r>
        <w:rPr>
          <w:color w:val="231F20"/>
          <w:spacing w:val="3"/>
        </w:rPr>
        <w:t>cuan- </w:t>
      </w:r>
      <w:r>
        <w:rPr>
          <w:color w:val="231F20"/>
        </w:rPr>
        <w:t>do en </w:t>
      </w:r>
      <w:r>
        <w:rPr>
          <w:color w:val="231F20"/>
          <w:spacing w:val="2"/>
        </w:rPr>
        <w:t>México, </w:t>
      </w:r>
      <w:r>
        <w:rPr>
          <w:color w:val="231F20"/>
        </w:rPr>
        <w:t>en </w:t>
      </w:r>
      <w:r>
        <w:rPr>
          <w:color w:val="231F20"/>
          <w:spacing w:val="2"/>
        </w:rPr>
        <w:t>1991, </w:t>
      </w:r>
      <w:r>
        <w:rPr>
          <w:color w:val="231F20"/>
        </w:rPr>
        <w:t>la </w:t>
      </w:r>
      <w:r>
        <w:rPr>
          <w:color w:val="231F20"/>
          <w:spacing w:val="3"/>
        </w:rPr>
        <w:t>Comisión Nacional </w:t>
      </w:r>
      <w:r>
        <w:rPr>
          <w:color w:val="231F20"/>
          <w:spacing w:val="2"/>
        </w:rPr>
        <w:t>para </w:t>
      </w:r>
      <w:r>
        <w:rPr>
          <w:color w:val="231F20"/>
        </w:rPr>
        <w:t>la </w:t>
      </w:r>
      <w:r>
        <w:rPr>
          <w:color w:val="231F20"/>
          <w:spacing w:val="3"/>
        </w:rPr>
        <w:t>Planeación</w:t>
      </w:r>
      <w:r>
        <w:rPr>
          <w:color w:val="231F20"/>
          <w:spacing w:val="58"/>
        </w:rPr>
        <w:t> </w:t>
      </w:r>
      <w:r>
        <w:rPr>
          <w:color w:val="231F20"/>
        </w:rPr>
        <w:t>de la </w:t>
      </w:r>
      <w:r>
        <w:rPr>
          <w:color w:val="231F20"/>
          <w:spacing w:val="3"/>
        </w:rPr>
        <w:t>Educación Superior (CONPES) </w:t>
      </w:r>
      <w:r>
        <w:rPr>
          <w:color w:val="231F20"/>
        </w:rPr>
        <w:t>fijó </w:t>
      </w:r>
      <w:r>
        <w:rPr>
          <w:color w:val="231F20"/>
          <w:spacing w:val="2"/>
        </w:rPr>
        <w:t>diez líneas prioritarias </w:t>
      </w:r>
      <w:r>
        <w:rPr>
          <w:color w:val="231F20"/>
        </w:rPr>
        <w:t>que </w:t>
      </w:r>
      <w:r>
        <w:rPr>
          <w:color w:val="231F20"/>
          <w:spacing w:val="2"/>
        </w:rPr>
        <w:t>tenían </w:t>
      </w:r>
      <w:r>
        <w:rPr>
          <w:color w:val="231F20"/>
          <w:spacing w:val="3"/>
        </w:rPr>
        <w:t>como </w:t>
      </w:r>
      <w:r>
        <w:rPr>
          <w:color w:val="231F20"/>
        </w:rPr>
        <w:t>eje “el </w:t>
      </w:r>
      <w:r>
        <w:rPr>
          <w:color w:val="231F20"/>
          <w:spacing w:val="3"/>
        </w:rPr>
        <w:t>fomento </w:t>
      </w:r>
      <w:r>
        <w:rPr>
          <w:color w:val="231F20"/>
        </w:rPr>
        <w:t>de la </w:t>
      </w:r>
      <w:r>
        <w:rPr>
          <w:color w:val="231F20"/>
          <w:spacing w:val="2"/>
        </w:rPr>
        <w:t>calidad </w:t>
      </w:r>
      <w:r>
        <w:rPr>
          <w:color w:val="231F20"/>
        </w:rPr>
        <w:t>de la </w:t>
      </w:r>
      <w:r>
        <w:rPr>
          <w:color w:val="231F20"/>
          <w:spacing w:val="2"/>
        </w:rPr>
        <w:t>educación superior” </w:t>
      </w:r>
      <w:r>
        <w:rPr>
          <w:color w:val="231F20"/>
        </w:rPr>
        <w:t>que</w:t>
      </w:r>
      <w:r>
        <w:rPr>
          <w:color w:val="231F20"/>
          <w:spacing w:val="19"/>
        </w:rPr>
        <w:t> </w:t>
      </w:r>
      <w:r>
        <w:rPr>
          <w:color w:val="231F20"/>
          <w:spacing w:val="2"/>
        </w:rPr>
        <w:t>eran:</w:t>
      </w:r>
    </w:p>
    <w:p>
      <w:pPr>
        <w:pStyle w:val="BodyText"/>
        <w:spacing w:before="11"/>
        <w:rPr>
          <w:sz w:val="22"/>
        </w:rPr>
      </w:pPr>
    </w:p>
    <w:p>
      <w:pPr>
        <w:pStyle w:val="ListParagraph"/>
        <w:numPr>
          <w:ilvl w:val="0"/>
          <w:numId w:val="4"/>
        </w:numPr>
        <w:tabs>
          <w:tab w:pos="1035" w:val="left" w:leader="none"/>
        </w:tabs>
        <w:spacing w:line="273" w:lineRule="auto" w:before="0" w:after="0"/>
        <w:ind w:left="810" w:right="167" w:firstLine="0"/>
        <w:jc w:val="left"/>
        <w:rPr>
          <w:sz w:val="19"/>
        </w:rPr>
      </w:pPr>
      <w:r>
        <w:rPr>
          <w:color w:val="231F20"/>
          <w:sz w:val="19"/>
        </w:rPr>
        <w:t>Actualización curricular y mejoramiento de la calidad en la formación de</w:t>
      </w:r>
      <w:r>
        <w:rPr>
          <w:color w:val="231F20"/>
          <w:spacing w:val="27"/>
          <w:sz w:val="19"/>
        </w:rPr>
        <w:t> </w:t>
      </w:r>
      <w:r>
        <w:rPr>
          <w:color w:val="231F20"/>
          <w:sz w:val="19"/>
        </w:rPr>
        <w:t>profesionales.</w:t>
      </w:r>
    </w:p>
    <w:p>
      <w:pPr>
        <w:pStyle w:val="ListParagraph"/>
        <w:numPr>
          <w:ilvl w:val="0"/>
          <w:numId w:val="4"/>
        </w:numPr>
        <w:tabs>
          <w:tab w:pos="998" w:val="left" w:leader="none"/>
        </w:tabs>
        <w:spacing w:line="240" w:lineRule="auto" w:before="1" w:after="0"/>
        <w:ind w:left="997" w:right="0" w:hanging="187"/>
        <w:jc w:val="left"/>
        <w:rPr>
          <w:sz w:val="19"/>
        </w:rPr>
      </w:pPr>
      <w:r>
        <w:rPr>
          <w:color w:val="231F20"/>
          <w:sz w:val="19"/>
        </w:rPr>
        <w:t>Formación de</w:t>
      </w:r>
      <w:r>
        <w:rPr>
          <w:color w:val="231F20"/>
          <w:spacing w:val="44"/>
          <w:sz w:val="19"/>
        </w:rPr>
        <w:t> </w:t>
      </w:r>
      <w:r>
        <w:rPr>
          <w:color w:val="231F20"/>
          <w:sz w:val="19"/>
        </w:rPr>
        <w:t>profesores.</w:t>
      </w:r>
    </w:p>
    <w:p>
      <w:pPr>
        <w:pStyle w:val="ListParagraph"/>
        <w:numPr>
          <w:ilvl w:val="0"/>
          <w:numId w:val="4"/>
        </w:numPr>
        <w:tabs>
          <w:tab w:pos="998" w:val="left" w:leader="none"/>
        </w:tabs>
        <w:spacing w:line="240" w:lineRule="auto" w:before="31" w:after="0"/>
        <w:ind w:left="997" w:right="0" w:hanging="187"/>
        <w:jc w:val="left"/>
        <w:rPr>
          <w:sz w:val="19"/>
        </w:rPr>
      </w:pPr>
      <w:r>
        <w:rPr>
          <w:color w:val="231F20"/>
          <w:sz w:val="19"/>
        </w:rPr>
        <w:t>Formación de</w:t>
      </w:r>
      <w:r>
        <w:rPr>
          <w:color w:val="231F20"/>
          <w:spacing w:val="17"/>
          <w:sz w:val="19"/>
        </w:rPr>
        <w:t> </w:t>
      </w:r>
      <w:r>
        <w:rPr>
          <w:color w:val="231F20"/>
          <w:sz w:val="19"/>
        </w:rPr>
        <w:t>investigadores.</w:t>
      </w:r>
    </w:p>
    <w:p>
      <w:pPr>
        <w:pStyle w:val="ListParagraph"/>
        <w:numPr>
          <w:ilvl w:val="0"/>
          <w:numId w:val="4"/>
        </w:numPr>
        <w:tabs>
          <w:tab w:pos="998" w:val="left" w:leader="none"/>
        </w:tabs>
        <w:spacing w:line="240" w:lineRule="auto" w:before="31" w:after="0"/>
        <w:ind w:left="997" w:right="0" w:hanging="187"/>
        <w:jc w:val="left"/>
        <w:rPr>
          <w:sz w:val="19"/>
        </w:rPr>
      </w:pPr>
      <w:r>
        <w:rPr>
          <w:color w:val="231F20"/>
          <w:sz w:val="19"/>
        </w:rPr>
        <w:t>Revisión y readecuación de la oferta</w:t>
      </w:r>
      <w:r>
        <w:rPr>
          <w:color w:val="231F20"/>
          <w:spacing w:val="-16"/>
          <w:sz w:val="19"/>
        </w:rPr>
        <w:t> </w:t>
      </w:r>
      <w:r>
        <w:rPr>
          <w:color w:val="231F20"/>
          <w:sz w:val="19"/>
        </w:rPr>
        <w:t>educativa.</w:t>
      </w:r>
    </w:p>
    <w:p>
      <w:pPr>
        <w:pStyle w:val="ListParagraph"/>
        <w:numPr>
          <w:ilvl w:val="0"/>
          <w:numId w:val="4"/>
        </w:numPr>
        <w:tabs>
          <w:tab w:pos="1008" w:val="left" w:leader="none"/>
        </w:tabs>
        <w:spacing w:line="273" w:lineRule="auto" w:before="31" w:after="0"/>
        <w:ind w:left="810" w:right="165" w:firstLine="0"/>
        <w:jc w:val="left"/>
        <w:rPr>
          <w:sz w:val="19"/>
        </w:rPr>
      </w:pPr>
      <w:r>
        <w:rPr>
          <w:color w:val="231F20"/>
          <w:sz w:val="19"/>
        </w:rPr>
        <w:t>Definición de una identidad institucional en materia de inves- tigación y</w:t>
      </w:r>
      <w:r>
        <w:rPr>
          <w:color w:val="231F20"/>
          <w:spacing w:val="-4"/>
          <w:sz w:val="19"/>
        </w:rPr>
        <w:t> </w:t>
      </w:r>
      <w:r>
        <w:rPr>
          <w:color w:val="231F20"/>
          <w:sz w:val="19"/>
        </w:rPr>
        <w:t>posgrado.</w:t>
      </w:r>
    </w:p>
    <w:p>
      <w:pPr>
        <w:pStyle w:val="ListParagraph"/>
        <w:numPr>
          <w:ilvl w:val="0"/>
          <w:numId w:val="4"/>
        </w:numPr>
        <w:tabs>
          <w:tab w:pos="998" w:val="left" w:leader="none"/>
        </w:tabs>
        <w:spacing w:line="240" w:lineRule="auto" w:before="1" w:after="0"/>
        <w:ind w:left="997" w:right="0" w:hanging="187"/>
        <w:jc w:val="left"/>
        <w:rPr>
          <w:sz w:val="19"/>
        </w:rPr>
      </w:pPr>
      <w:r>
        <w:rPr>
          <w:color w:val="231F20"/>
          <w:sz w:val="19"/>
        </w:rPr>
        <w:t>Actualización de la infraestructura</w:t>
      </w:r>
      <w:r>
        <w:rPr>
          <w:color w:val="231F20"/>
          <w:spacing w:val="-18"/>
          <w:sz w:val="19"/>
        </w:rPr>
        <w:t> </w:t>
      </w:r>
      <w:r>
        <w:rPr>
          <w:color w:val="231F20"/>
          <w:sz w:val="19"/>
        </w:rPr>
        <w:t>académica.</w:t>
      </w:r>
    </w:p>
    <w:p>
      <w:pPr>
        <w:spacing w:after="0" w:line="240" w:lineRule="auto"/>
        <w:jc w:val="left"/>
        <w:rPr>
          <w:sz w:val="19"/>
        </w:rPr>
        <w:sectPr>
          <w:headerReference w:type="default" r:id="rId213"/>
          <w:footerReference w:type="default" r:id="rId214"/>
          <w:pgSz w:w="7830" w:h="11910"/>
          <w:pgMar w:header="0" w:footer="424" w:top="500" w:bottom="620" w:left="920" w:right="90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ListParagraph"/>
        <w:numPr>
          <w:ilvl w:val="0"/>
          <w:numId w:val="4"/>
        </w:numPr>
        <w:tabs>
          <w:tab w:pos="998" w:val="left" w:leader="none"/>
        </w:tabs>
        <w:spacing w:line="240" w:lineRule="auto" w:before="111" w:after="0"/>
        <w:ind w:left="997" w:right="0" w:hanging="187"/>
        <w:jc w:val="both"/>
        <w:rPr>
          <w:sz w:val="19"/>
        </w:rPr>
      </w:pPr>
      <w:r>
        <w:rPr>
          <w:color w:val="231F20"/>
          <w:sz w:val="19"/>
        </w:rPr>
        <w:t>Reordenación de la administración y la</w:t>
      </w:r>
      <w:r>
        <w:rPr>
          <w:color w:val="231F20"/>
          <w:spacing w:val="7"/>
          <w:sz w:val="19"/>
        </w:rPr>
        <w:t> </w:t>
      </w:r>
      <w:r>
        <w:rPr>
          <w:color w:val="231F20"/>
          <w:sz w:val="19"/>
        </w:rPr>
        <w:t>normativa.</w:t>
      </w:r>
    </w:p>
    <w:p>
      <w:pPr>
        <w:pStyle w:val="ListParagraph"/>
        <w:numPr>
          <w:ilvl w:val="0"/>
          <w:numId w:val="4"/>
        </w:numPr>
        <w:tabs>
          <w:tab w:pos="998" w:val="left" w:leader="none"/>
        </w:tabs>
        <w:spacing w:line="240" w:lineRule="auto" w:before="31" w:after="0"/>
        <w:ind w:left="997" w:right="0" w:hanging="187"/>
        <w:jc w:val="both"/>
        <w:rPr>
          <w:sz w:val="19"/>
        </w:rPr>
      </w:pPr>
      <w:r>
        <w:rPr>
          <w:color w:val="231F20"/>
          <w:sz w:val="19"/>
        </w:rPr>
        <w:t>Sistema institucional de</w:t>
      </w:r>
      <w:r>
        <w:rPr>
          <w:color w:val="231F20"/>
          <w:spacing w:val="2"/>
          <w:sz w:val="19"/>
        </w:rPr>
        <w:t> </w:t>
      </w:r>
      <w:r>
        <w:rPr>
          <w:color w:val="231F20"/>
          <w:sz w:val="19"/>
        </w:rPr>
        <w:t>información.</w:t>
      </w:r>
    </w:p>
    <w:p>
      <w:pPr>
        <w:pStyle w:val="ListParagraph"/>
        <w:numPr>
          <w:ilvl w:val="0"/>
          <w:numId w:val="4"/>
        </w:numPr>
        <w:tabs>
          <w:tab w:pos="998" w:val="left" w:leader="none"/>
        </w:tabs>
        <w:spacing w:line="240" w:lineRule="auto" w:before="31" w:after="0"/>
        <w:ind w:left="997" w:right="0" w:hanging="187"/>
        <w:jc w:val="both"/>
        <w:rPr>
          <w:sz w:val="19"/>
        </w:rPr>
      </w:pPr>
      <w:r>
        <w:rPr>
          <w:color w:val="231F20"/>
          <w:sz w:val="19"/>
        </w:rPr>
        <w:t>Diversificación de las fuentes de</w:t>
      </w:r>
      <w:r>
        <w:rPr>
          <w:color w:val="231F20"/>
          <w:spacing w:val="8"/>
          <w:sz w:val="19"/>
        </w:rPr>
        <w:t> </w:t>
      </w:r>
      <w:r>
        <w:rPr>
          <w:color w:val="231F20"/>
          <w:sz w:val="19"/>
        </w:rPr>
        <w:t>financiamiento.</w:t>
      </w:r>
    </w:p>
    <w:p>
      <w:pPr>
        <w:pStyle w:val="ListParagraph"/>
        <w:numPr>
          <w:ilvl w:val="0"/>
          <w:numId w:val="4"/>
        </w:numPr>
        <w:tabs>
          <w:tab w:pos="1097" w:val="left" w:leader="none"/>
        </w:tabs>
        <w:spacing w:line="273" w:lineRule="auto" w:before="31" w:after="0"/>
        <w:ind w:left="810" w:right="164" w:firstLine="0"/>
        <w:jc w:val="left"/>
        <w:rPr>
          <w:sz w:val="19"/>
        </w:rPr>
      </w:pPr>
      <w:r>
        <w:rPr>
          <w:color w:val="231F20"/>
          <w:sz w:val="19"/>
        </w:rPr>
        <w:t>Impulso a la participación de los sectores social y productivo en las áreas de la educación superior (Rubio,</w:t>
      </w:r>
      <w:r>
        <w:rPr>
          <w:color w:val="231F20"/>
          <w:spacing w:val="-7"/>
          <w:sz w:val="19"/>
        </w:rPr>
        <w:t> </w:t>
      </w:r>
      <w:r>
        <w:rPr>
          <w:color w:val="231F20"/>
          <w:sz w:val="19"/>
        </w:rPr>
        <w:t>2000).</w:t>
      </w:r>
    </w:p>
    <w:p>
      <w:pPr>
        <w:pStyle w:val="BodyText"/>
        <w:rPr>
          <w:sz w:val="20"/>
        </w:rPr>
      </w:pPr>
    </w:p>
    <w:p>
      <w:pPr>
        <w:pStyle w:val="BodyText"/>
        <w:spacing w:line="247" w:lineRule="auto" w:before="127"/>
        <w:ind w:left="102" w:right="115" w:firstLine="284"/>
        <w:jc w:val="both"/>
      </w:pPr>
      <w:r>
        <w:rPr>
          <w:color w:val="231F20"/>
          <w:spacing w:val="2"/>
        </w:rPr>
        <w:t>Tres años después </w:t>
      </w:r>
      <w:r>
        <w:rPr>
          <w:color w:val="231F20"/>
        </w:rPr>
        <w:t>la </w:t>
      </w:r>
      <w:r>
        <w:rPr>
          <w:color w:val="231F20"/>
          <w:spacing w:val="3"/>
        </w:rPr>
        <w:t>ANUIES promovió </w:t>
      </w:r>
      <w:r>
        <w:rPr>
          <w:color w:val="231F20"/>
          <w:spacing w:val="2"/>
        </w:rPr>
        <w:t>una nueva política para educación superior, </w:t>
      </w:r>
      <w:r>
        <w:rPr>
          <w:color w:val="231F20"/>
        </w:rPr>
        <w:t>que no es </w:t>
      </w:r>
      <w:r>
        <w:rPr>
          <w:color w:val="231F20"/>
          <w:spacing w:val="2"/>
        </w:rPr>
        <w:t>más </w:t>
      </w:r>
      <w:r>
        <w:rPr>
          <w:color w:val="231F20"/>
        </w:rPr>
        <w:t>que la </w:t>
      </w:r>
      <w:r>
        <w:rPr>
          <w:color w:val="231F20"/>
          <w:spacing w:val="2"/>
        </w:rPr>
        <w:t>concreción </w:t>
      </w:r>
      <w:r>
        <w:rPr>
          <w:color w:val="231F20"/>
          <w:spacing w:val="3"/>
        </w:rPr>
        <w:t>particu- </w:t>
      </w:r>
      <w:r>
        <w:rPr>
          <w:color w:val="231F20"/>
        </w:rPr>
        <w:t>lar de las </w:t>
      </w:r>
      <w:r>
        <w:rPr>
          <w:color w:val="231F20"/>
          <w:spacing w:val="3"/>
        </w:rPr>
        <w:t>recomendaciones </w:t>
      </w:r>
      <w:r>
        <w:rPr>
          <w:color w:val="231F20"/>
        </w:rPr>
        <w:t>de </w:t>
      </w:r>
      <w:r>
        <w:rPr>
          <w:color w:val="231F20"/>
          <w:spacing w:val="2"/>
        </w:rPr>
        <w:t>los </w:t>
      </w:r>
      <w:r>
        <w:rPr>
          <w:color w:val="231F20"/>
          <w:spacing w:val="3"/>
        </w:rPr>
        <w:t>organismos </w:t>
      </w:r>
      <w:r>
        <w:rPr>
          <w:color w:val="231F20"/>
          <w:spacing w:val="2"/>
        </w:rPr>
        <w:t>financieros </w:t>
      </w:r>
      <w:r>
        <w:rPr>
          <w:color w:val="231F20"/>
          <w:spacing w:val="3"/>
        </w:rPr>
        <w:t>mundia- </w:t>
      </w:r>
      <w:r>
        <w:rPr>
          <w:color w:val="231F20"/>
        </w:rPr>
        <w:t>les, </w:t>
      </w:r>
      <w:r>
        <w:rPr>
          <w:color w:val="231F20"/>
          <w:spacing w:val="2"/>
        </w:rPr>
        <w:t>pues </w:t>
      </w:r>
      <w:r>
        <w:rPr>
          <w:color w:val="231F20"/>
        </w:rPr>
        <w:t>esa </w:t>
      </w:r>
      <w:r>
        <w:rPr>
          <w:color w:val="231F20"/>
          <w:spacing w:val="2"/>
        </w:rPr>
        <w:t>nueva política </w:t>
      </w:r>
      <w:r>
        <w:rPr>
          <w:color w:val="231F20"/>
        </w:rPr>
        <w:t>se </w:t>
      </w:r>
      <w:r>
        <w:rPr>
          <w:color w:val="231F20"/>
          <w:spacing w:val="3"/>
        </w:rPr>
        <w:t>encaminó </w:t>
      </w:r>
      <w:r>
        <w:rPr>
          <w:color w:val="231F20"/>
        </w:rPr>
        <w:t>a</w:t>
      </w:r>
      <w:r>
        <w:rPr>
          <w:color w:val="231F20"/>
          <w:spacing w:val="-17"/>
        </w:rPr>
        <w:t> </w:t>
      </w:r>
      <w:r>
        <w:rPr>
          <w:color w:val="231F20"/>
          <w:spacing w:val="2"/>
        </w:rPr>
        <w:t>la:</w:t>
      </w:r>
    </w:p>
    <w:p>
      <w:pPr>
        <w:pStyle w:val="BodyText"/>
        <w:spacing w:before="4"/>
        <w:rPr>
          <w:sz w:val="23"/>
        </w:rPr>
      </w:pPr>
    </w:p>
    <w:p>
      <w:pPr>
        <w:pStyle w:val="ListParagraph"/>
        <w:numPr>
          <w:ilvl w:val="0"/>
          <w:numId w:val="5"/>
        </w:numPr>
        <w:tabs>
          <w:tab w:pos="940" w:val="left" w:leader="none"/>
        </w:tabs>
        <w:spacing w:line="273" w:lineRule="auto" w:before="0" w:after="0"/>
        <w:ind w:left="810" w:right="165" w:firstLine="0"/>
        <w:jc w:val="left"/>
        <w:rPr>
          <w:sz w:val="19"/>
        </w:rPr>
      </w:pPr>
      <w:r>
        <w:rPr>
          <w:color w:val="231F20"/>
          <w:sz w:val="19"/>
        </w:rPr>
        <w:t>Redefinición de la misión general de la universidad mexicana y de la misión de cada institución universitaria en particular.</w:t>
      </w:r>
    </w:p>
    <w:p>
      <w:pPr>
        <w:pStyle w:val="ListParagraph"/>
        <w:numPr>
          <w:ilvl w:val="0"/>
          <w:numId w:val="5"/>
        </w:numPr>
        <w:tabs>
          <w:tab w:pos="931" w:val="left" w:leader="none"/>
        </w:tabs>
        <w:spacing w:line="240" w:lineRule="auto" w:before="1" w:after="0"/>
        <w:ind w:left="931" w:right="0" w:hanging="121"/>
        <w:jc w:val="both"/>
        <w:rPr>
          <w:sz w:val="19"/>
        </w:rPr>
      </w:pPr>
      <w:r>
        <w:rPr>
          <w:color w:val="231F20"/>
          <w:sz w:val="19"/>
        </w:rPr>
        <w:t>Creación de un sistema nacional de</w:t>
      </w:r>
      <w:r>
        <w:rPr>
          <w:color w:val="231F20"/>
          <w:spacing w:val="18"/>
          <w:sz w:val="19"/>
        </w:rPr>
        <w:t> </w:t>
      </w:r>
      <w:r>
        <w:rPr>
          <w:color w:val="231F20"/>
          <w:sz w:val="19"/>
        </w:rPr>
        <w:t>acreditación.</w:t>
      </w:r>
    </w:p>
    <w:p>
      <w:pPr>
        <w:pStyle w:val="ListParagraph"/>
        <w:numPr>
          <w:ilvl w:val="0"/>
          <w:numId w:val="5"/>
        </w:numPr>
        <w:tabs>
          <w:tab w:pos="955" w:val="left" w:leader="none"/>
        </w:tabs>
        <w:spacing w:line="273" w:lineRule="auto" w:before="31" w:after="0"/>
        <w:ind w:left="810" w:right="165" w:firstLine="0"/>
        <w:jc w:val="left"/>
        <w:rPr>
          <w:sz w:val="19"/>
        </w:rPr>
      </w:pPr>
      <w:r>
        <w:rPr>
          <w:color w:val="231F20"/>
          <w:sz w:val="19"/>
        </w:rPr>
        <w:t>Institucionalización de referencias mínimas de calidad para el funcionamiento de las</w:t>
      </w:r>
      <w:r>
        <w:rPr>
          <w:color w:val="231F20"/>
          <w:spacing w:val="13"/>
          <w:sz w:val="19"/>
        </w:rPr>
        <w:t> </w:t>
      </w:r>
      <w:r>
        <w:rPr>
          <w:color w:val="231F20"/>
          <w:sz w:val="19"/>
        </w:rPr>
        <w:t>universidades.</w:t>
      </w:r>
    </w:p>
    <w:p>
      <w:pPr>
        <w:pStyle w:val="ListParagraph"/>
        <w:numPr>
          <w:ilvl w:val="0"/>
          <w:numId w:val="5"/>
        </w:numPr>
        <w:tabs>
          <w:tab w:pos="944" w:val="left" w:leader="none"/>
        </w:tabs>
        <w:spacing w:line="276" w:lineRule="auto" w:before="1" w:after="0"/>
        <w:ind w:left="810" w:right="164" w:firstLine="0"/>
        <w:jc w:val="both"/>
        <w:rPr>
          <w:sz w:val="19"/>
        </w:rPr>
      </w:pPr>
      <w:r>
        <w:rPr>
          <w:color w:val="231F20"/>
          <w:sz w:val="19"/>
        </w:rPr>
        <w:t>Establecimiento de nuevos fundamentos para los procesos re- gulares de asignación presupuestaria y para los de asignación de los fondos extraordinarios para proyectos</w:t>
      </w:r>
      <w:r>
        <w:rPr>
          <w:color w:val="231F20"/>
          <w:spacing w:val="29"/>
          <w:sz w:val="19"/>
        </w:rPr>
        <w:t> </w:t>
      </w:r>
      <w:r>
        <w:rPr>
          <w:color w:val="231F20"/>
          <w:sz w:val="19"/>
        </w:rPr>
        <w:t>especiales.</w:t>
      </w:r>
    </w:p>
    <w:p>
      <w:pPr>
        <w:pStyle w:val="ListParagraph"/>
        <w:numPr>
          <w:ilvl w:val="0"/>
          <w:numId w:val="5"/>
        </w:numPr>
        <w:tabs>
          <w:tab w:pos="957" w:val="left" w:leader="none"/>
        </w:tabs>
        <w:spacing w:line="234" w:lineRule="exact" w:before="0" w:after="0"/>
        <w:ind w:left="956" w:right="0" w:hanging="146"/>
        <w:jc w:val="both"/>
        <w:rPr>
          <w:sz w:val="19"/>
        </w:rPr>
      </w:pPr>
      <w:r>
        <w:rPr>
          <w:color w:val="231F20"/>
          <w:sz w:val="19"/>
        </w:rPr>
        <w:t>Definición del </w:t>
      </w:r>
      <w:r>
        <w:rPr>
          <w:rFonts w:ascii="Palatino Linotype" w:hAnsi="Palatino Linotype"/>
          <w:i/>
          <w:color w:val="231F20"/>
          <w:sz w:val="19"/>
        </w:rPr>
        <w:t>status quo </w:t>
      </w:r>
      <w:r>
        <w:rPr>
          <w:color w:val="231F20"/>
          <w:sz w:val="19"/>
        </w:rPr>
        <w:t>de la carrera académica del  </w:t>
      </w:r>
      <w:r>
        <w:rPr>
          <w:color w:val="231F20"/>
          <w:spacing w:val="25"/>
          <w:sz w:val="19"/>
        </w:rPr>
        <w:t> </w:t>
      </w:r>
      <w:r>
        <w:rPr>
          <w:color w:val="231F20"/>
          <w:sz w:val="19"/>
        </w:rPr>
        <w:t>personal</w:t>
      </w:r>
    </w:p>
    <w:p>
      <w:pPr>
        <w:spacing w:before="15"/>
        <w:ind w:left="810" w:right="0" w:firstLine="0"/>
        <w:jc w:val="both"/>
        <w:rPr>
          <w:sz w:val="19"/>
        </w:rPr>
      </w:pPr>
      <w:r>
        <w:rPr>
          <w:color w:val="231F20"/>
          <w:sz w:val="19"/>
        </w:rPr>
        <w:t>docente y de investigación (ANUIES, 1994).</w:t>
      </w:r>
    </w:p>
    <w:p>
      <w:pPr>
        <w:pStyle w:val="BodyText"/>
        <w:spacing w:before="9"/>
        <w:rPr>
          <w:sz w:val="22"/>
        </w:rPr>
      </w:pPr>
    </w:p>
    <w:p>
      <w:pPr>
        <w:pStyle w:val="BodyText"/>
        <w:spacing w:line="249" w:lineRule="auto"/>
        <w:ind w:left="102" w:right="113" w:firstLine="284"/>
        <w:jc w:val="both"/>
      </w:pPr>
      <w:r>
        <w:rPr>
          <w:color w:val="231F20"/>
          <w:spacing w:val="2"/>
        </w:rPr>
        <w:t>Destaca, entonces, cómo </w:t>
      </w:r>
      <w:r>
        <w:rPr>
          <w:color w:val="231F20"/>
        </w:rPr>
        <w:t>las </w:t>
      </w:r>
      <w:r>
        <w:rPr>
          <w:color w:val="231F20"/>
          <w:spacing w:val="2"/>
        </w:rPr>
        <w:t>políticas educativas nacionales </w:t>
      </w:r>
      <w:r>
        <w:rPr>
          <w:color w:val="231F20"/>
        </w:rPr>
        <w:t>no </w:t>
      </w:r>
      <w:r>
        <w:rPr>
          <w:color w:val="231F20"/>
          <w:spacing w:val="2"/>
        </w:rPr>
        <w:t>solo </w:t>
      </w:r>
      <w:r>
        <w:rPr>
          <w:color w:val="231F20"/>
          <w:spacing w:val="3"/>
        </w:rPr>
        <w:t>imponen </w:t>
      </w:r>
      <w:r>
        <w:rPr>
          <w:color w:val="231F20"/>
        </w:rPr>
        <w:t>un </w:t>
      </w:r>
      <w:r>
        <w:rPr>
          <w:color w:val="231F20"/>
          <w:spacing w:val="2"/>
        </w:rPr>
        <w:t>discurso </w:t>
      </w:r>
      <w:r>
        <w:rPr>
          <w:color w:val="231F20"/>
        </w:rPr>
        <w:t>de la </w:t>
      </w:r>
      <w:r>
        <w:rPr>
          <w:color w:val="231F20"/>
          <w:spacing w:val="2"/>
        </w:rPr>
        <w:t>calidad, para legitimar nuevas </w:t>
      </w:r>
      <w:r>
        <w:rPr>
          <w:color w:val="231F20"/>
          <w:spacing w:val="3"/>
        </w:rPr>
        <w:t>formas </w:t>
      </w:r>
      <w:r>
        <w:rPr>
          <w:color w:val="231F20"/>
        </w:rPr>
        <w:t>de </w:t>
      </w:r>
      <w:r>
        <w:rPr>
          <w:color w:val="231F20"/>
          <w:spacing w:val="2"/>
        </w:rPr>
        <w:t>regulación </w:t>
      </w:r>
      <w:r>
        <w:rPr>
          <w:color w:val="231F20"/>
        </w:rPr>
        <w:t>y </w:t>
      </w:r>
      <w:r>
        <w:rPr>
          <w:color w:val="231F20"/>
          <w:spacing w:val="3"/>
        </w:rPr>
        <w:t>control </w:t>
      </w:r>
      <w:r>
        <w:rPr>
          <w:color w:val="231F20"/>
          <w:spacing w:val="2"/>
        </w:rPr>
        <w:t>social sobre </w:t>
      </w:r>
      <w:r>
        <w:rPr>
          <w:color w:val="231F20"/>
        </w:rPr>
        <w:t>las </w:t>
      </w:r>
      <w:r>
        <w:rPr>
          <w:color w:val="231F20"/>
          <w:spacing w:val="3"/>
        </w:rPr>
        <w:t>instituciones </w:t>
      </w:r>
      <w:r>
        <w:rPr>
          <w:color w:val="231F20"/>
        </w:rPr>
        <w:t>y </w:t>
      </w:r>
      <w:r>
        <w:rPr>
          <w:color w:val="231F20"/>
          <w:spacing w:val="2"/>
        </w:rPr>
        <w:t>los sujetos </w:t>
      </w:r>
      <w:r>
        <w:rPr>
          <w:color w:val="231F20"/>
        </w:rPr>
        <w:t>de la </w:t>
      </w:r>
      <w:r>
        <w:rPr>
          <w:color w:val="231F20"/>
          <w:spacing w:val="2"/>
        </w:rPr>
        <w:t>educación, sino </w:t>
      </w:r>
      <w:r>
        <w:rPr>
          <w:color w:val="231F20"/>
        </w:rPr>
        <w:t>que  </w:t>
      </w:r>
      <w:r>
        <w:rPr>
          <w:color w:val="231F20"/>
          <w:spacing w:val="2"/>
        </w:rPr>
        <w:t>operan  </w:t>
      </w:r>
      <w:r>
        <w:rPr>
          <w:color w:val="231F20"/>
          <w:spacing w:val="3"/>
        </w:rPr>
        <w:t>como mecanismos </w:t>
      </w:r>
      <w:r>
        <w:rPr>
          <w:color w:val="231F20"/>
        </w:rPr>
        <w:t>que van </w:t>
      </w:r>
      <w:r>
        <w:rPr>
          <w:color w:val="231F20"/>
          <w:spacing w:val="3"/>
        </w:rPr>
        <w:t>sintonizando </w:t>
      </w:r>
      <w:r>
        <w:rPr>
          <w:color w:val="231F20"/>
        </w:rPr>
        <w:t>las </w:t>
      </w:r>
      <w:r>
        <w:rPr>
          <w:color w:val="231F20"/>
          <w:spacing w:val="2"/>
        </w:rPr>
        <w:t>políticas nacionales </w:t>
      </w:r>
      <w:r>
        <w:rPr>
          <w:color w:val="231F20"/>
        </w:rPr>
        <w:t>a las </w:t>
      </w:r>
      <w:r>
        <w:rPr>
          <w:color w:val="231F20"/>
          <w:spacing w:val="3"/>
        </w:rPr>
        <w:t>recomendaciones </w:t>
      </w:r>
      <w:r>
        <w:rPr>
          <w:color w:val="231F20"/>
        </w:rPr>
        <w:t>de </w:t>
      </w:r>
      <w:r>
        <w:rPr>
          <w:color w:val="231F20"/>
          <w:spacing w:val="2"/>
        </w:rPr>
        <w:t>los </w:t>
      </w:r>
      <w:r>
        <w:rPr>
          <w:color w:val="231F20"/>
          <w:spacing w:val="3"/>
        </w:rPr>
        <w:t>organismos </w:t>
      </w:r>
      <w:r>
        <w:rPr>
          <w:color w:val="231F20"/>
          <w:spacing w:val="2"/>
        </w:rPr>
        <w:t>financieros internacionales, </w:t>
      </w:r>
      <w:r>
        <w:rPr>
          <w:color w:val="231F20"/>
          <w:spacing w:val="3"/>
        </w:rPr>
        <w:t>donde </w:t>
      </w:r>
      <w:r>
        <w:rPr>
          <w:color w:val="231F20"/>
        </w:rPr>
        <w:t>lo </w:t>
      </w:r>
      <w:r>
        <w:rPr>
          <w:color w:val="231F20"/>
          <w:spacing w:val="2"/>
        </w:rPr>
        <w:t>relevante, </w:t>
      </w:r>
      <w:r>
        <w:rPr>
          <w:color w:val="231F20"/>
          <w:spacing w:val="3"/>
        </w:rPr>
        <w:t>como </w:t>
      </w:r>
      <w:r>
        <w:rPr>
          <w:color w:val="231F20"/>
        </w:rPr>
        <w:t>es </w:t>
      </w:r>
      <w:r>
        <w:rPr>
          <w:color w:val="231F20"/>
          <w:spacing w:val="2"/>
        </w:rPr>
        <w:t>claro </w:t>
      </w:r>
      <w:r>
        <w:rPr>
          <w:color w:val="231F20"/>
        </w:rPr>
        <w:t>en el </w:t>
      </w:r>
      <w:r>
        <w:rPr>
          <w:color w:val="231F20"/>
          <w:spacing w:val="2"/>
        </w:rPr>
        <w:t>caso </w:t>
      </w:r>
      <w:r>
        <w:rPr>
          <w:color w:val="231F20"/>
        </w:rPr>
        <w:t>de la </w:t>
      </w:r>
      <w:r>
        <w:rPr>
          <w:color w:val="231F20"/>
          <w:spacing w:val="3"/>
        </w:rPr>
        <w:t>ANUIES, </w:t>
      </w:r>
      <w:r>
        <w:rPr>
          <w:color w:val="231F20"/>
        </w:rPr>
        <w:t>se </w:t>
      </w:r>
      <w:r>
        <w:rPr>
          <w:color w:val="231F20"/>
          <w:spacing w:val="2"/>
        </w:rPr>
        <w:t>presenta </w:t>
      </w:r>
      <w:r>
        <w:rPr>
          <w:color w:val="231F20"/>
          <w:spacing w:val="3"/>
        </w:rPr>
        <w:t>como accio- </w:t>
      </w:r>
      <w:r>
        <w:rPr>
          <w:color w:val="231F20"/>
          <w:spacing w:val="2"/>
        </w:rPr>
        <w:t>nes para </w:t>
      </w:r>
      <w:r>
        <w:rPr>
          <w:color w:val="231F20"/>
        </w:rPr>
        <w:t>la </w:t>
      </w:r>
      <w:r>
        <w:rPr>
          <w:color w:val="231F20"/>
          <w:spacing w:val="2"/>
        </w:rPr>
        <w:t>mejora </w:t>
      </w:r>
      <w:r>
        <w:rPr>
          <w:color w:val="231F20"/>
        </w:rPr>
        <w:t>de la </w:t>
      </w:r>
      <w:r>
        <w:rPr>
          <w:color w:val="231F20"/>
          <w:spacing w:val="2"/>
        </w:rPr>
        <w:t>calidad </w:t>
      </w:r>
      <w:r>
        <w:rPr>
          <w:color w:val="231F20"/>
        </w:rPr>
        <w:t>y </w:t>
      </w:r>
      <w:r>
        <w:rPr>
          <w:color w:val="231F20"/>
          <w:spacing w:val="2"/>
        </w:rPr>
        <w:t>para </w:t>
      </w:r>
      <w:r>
        <w:rPr>
          <w:color w:val="231F20"/>
        </w:rPr>
        <w:t>la </w:t>
      </w:r>
      <w:r>
        <w:rPr>
          <w:color w:val="231F20"/>
          <w:spacing w:val="2"/>
        </w:rPr>
        <w:t>diversificación </w:t>
      </w:r>
      <w:r>
        <w:rPr>
          <w:color w:val="231F20"/>
        </w:rPr>
        <w:t>de </w:t>
      </w:r>
      <w:r>
        <w:rPr>
          <w:color w:val="231F20"/>
          <w:spacing w:val="2"/>
        </w:rPr>
        <w:t>las fuentes </w:t>
      </w:r>
      <w:r>
        <w:rPr>
          <w:color w:val="231F20"/>
        </w:rPr>
        <w:t>de </w:t>
      </w:r>
      <w:r>
        <w:rPr>
          <w:color w:val="231F20"/>
          <w:spacing w:val="3"/>
        </w:rPr>
        <w:t>financiamiento, </w:t>
      </w:r>
      <w:r>
        <w:rPr>
          <w:color w:val="231F20"/>
        </w:rPr>
        <w:t>la </w:t>
      </w:r>
      <w:r>
        <w:rPr>
          <w:color w:val="231F20"/>
          <w:spacing w:val="2"/>
        </w:rPr>
        <w:t>reorientación </w:t>
      </w:r>
      <w:r>
        <w:rPr>
          <w:color w:val="231F20"/>
        </w:rPr>
        <w:t>de </w:t>
      </w:r>
      <w:r>
        <w:rPr>
          <w:color w:val="231F20"/>
          <w:spacing w:val="2"/>
        </w:rPr>
        <w:t>los estudios profe- sionales </w:t>
      </w:r>
      <w:r>
        <w:rPr>
          <w:color w:val="231F20"/>
        </w:rPr>
        <w:t>y la </w:t>
      </w:r>
      <w:r>
        <w:rPr>
          <w:color w:val="231F20"/>
          <w:spacing w:val="3"/>
        </w:rPr>
        <w:t>promoción </w:t>
      </w:r>
      <w:r>
        <w:rPr>
          <w:color w:val="231F20"/>
        </w:rPr>
        <w:t>de la </w:t>
      </w:r>
      <w:r>
        <w:rPr>
          <w:color w:val="231F20"/>
          <w:spacing w:val="2"/>
        </w:rPr>
        <w:t>participación </w:t>
      </w:r>
      <w:r>
        <w:rPr>
          <w:color w:val="231F20"/>
        </w:rPr>
        <w:t>de </w:t>
      </w:r>
      <w:r>
        <w:rPr>
          <w:color w:val="231F20"/>
          <w:spacing w:val="2"/>
        </w:rPr>
        <w:t>los “sectores </w:t>
      </w:r>
      <w:r>
        <w:rPr>
          <w:color w:val="231F20"/>
          <w:spacing w:val="3"/>
        </w:rPr>
        <w:t>social</w:t>
      </w:r>
      <w:r>
        <w:rPr>
          <w:color w:val="231F20"/>
          <w:spacing w:val="58"/>
        </w:rPr>
        <w:t> </w:t>
      </w:r>
      <w:r>
        <w:rPr>
          <w:color w:val="231F20"/>
        </w:rPr>
        <w:t>y </w:t>
      </w:r>
      <w:r>
        <w:rPr>
          <w:color w:val="231F20"/>
          <w:spacing w:val="2"/>
        </w:rPr>
        <w:t>productivo”, </w:t>
      </w:r>
      <w:r>
        <w:rPr>
          <w:color w:val="231F20"/>
        </w:rPr>
        <w:t>así </w:t>
      </w:r>
      <w:r>
        <w:rPr>
          <w:color w:val="231F20"/>
          <w:spacing w:val="3"/>
        </w:rPr>
        <w:t>como </w:t>
      </w:r>
      <w:r>
        <w:rPr>
          <w:color w:val="231F20"/>
          <w:spacing w:val="2"/>
        </w:rPr>
        <w:t>tendientes </w:t>
      </w:r>
      <w:r>
        <w:rPr>
          <w:color w:val="231F20"/>
        </w:rPr>
        <w:t>a </w:t>
      </w:r>
      <w:r>
        <w:rPr>
          <w:color w:val="231F20"/>
          <w:spacing w:val="2"/>
        </w:rPr>
        <w:t>regular </w:t>
      </w:r>
      <w:r>
        <w:rPr>
          <w:color w:val="231F20"/>
        </w:rPr>
        <w:t>el </w:t>
      </w:r>
      <w:r>
        <w:rPr>
          <w:color w:val="231F20"/>
          <w:spacing w:val="2"/>
        </w:rPr>
        <w:t>ingreso </w:t>
      </w:r>
      <w:r>
        <w:rPr>
          <w:color w:val="231F20"/>
        </w:rPr>
        <w:t>y las </w:t>
      </w:r>
      <w:r>
        <w:rPr>
          <w:color w:val="231F20"/>
          <w:spacing w:val="4"/>
        </w:rPr>
        <w:t>con- </w:t>
      </w:r>
      <w:r>
        <w:rPr>
          <w:color w:val="231F20"/>
          <w:spacing w:val="2"/>
        </w:rPr>
        <w:t>diciones </w:t>
      </w:r>
      <w:r>
        <w:rPr>
          <w:color w:val="231F20"/>
        </w:rPr>
        <w:t>de </w:t>
      </w:r>
      <w:r>
        <w:rPr>
          <w:color w:val="231F20"/>
          <w:spacing w:val="2"/>
        </w:rPr>
        <w:t>trabajo </w:t>
      </w:r>
      <w:r>
        <w:rPr>
          <w:color w:val="231F20"/>
        </w:rPr>
        <w:t>de </w:t>
      </w:r>
      <w:r>
        <w:rPr>
          <w:color w:val="231F20"/>
          <w:spacing w:val="2"/>
        </w:rPr>
        <w:t>los</w:t>
      </w:r>
      <w:r>
        <w:rPr>
          <w:color w:val="231F20"/>
          <w:spacing w:val="1"/>
        </w:rPr>
        <w:t> </w:t>
      </w:r>
      <w:r>
        <w:rPr>
          <w:color w:val="231F20"/>
          <w:spacing w:val="3"/>
        </w:rPr>
        <w:t>académicos.</w:t>
      </w:r>
    </w:p>
    <w:p>
      <w:pPr>
        <w:pStyle w:val="BodyText"/>
        <w:spacing w:line="247" w:lineRule="auto"/>
        <w:ind w:left="101" w:right="115" w:firstLine="284"/>
        <w:jc w:val="both"/>
      </w:pPr>
      <w:r>
        <w:rPr>
          <w:color w:val="231F20"/>
        </w:rPr>
        <w:t>Sin embargo se puede advertir que, no solo desde la investiga- ción se produce una crítica al discurso y las prácticas que instau- ran las políticas educativas, sino desde los otros sujetos afectados por  las  políticas:  entre  los  estudiantes  también  se  produce   un</w:t>
      </w:r>
    </w:p>
    <w:p>
      <w:pPr>
        <w:spacing w:after="0" w:line="247" w:lineRule="auto"/>
        <w:jc w:val="both"/>
        <w:sectPr>
          <w:headerReference w:type="default" r:id="rId215"/>
          <w:footerReference w:type="default" r:id="rId216"/>
          <w:pgSz w:w="7830" w:h="11910"/>
          <w:pgMar w:header="0" w:footer="424" w:top="500" w:bottom="620" w:left="920" w:right="900"/>
          <w:pgNumType w:start="10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3"/>
        <w:jc w:val="both"/>
      </w:pPr>
      <w:r>
        <w:rPr>
          <w:color w:val="231F20"/>
          <w:spacing w:val="3"/>
        </w:rPr>
        <w:t>cuestionamiento </w:t>
      </w:r>
      <w:r>
        <w:rPr>
          <w:color w:val="231F20"/>
          <w:spacing w:val="2"/>
        </w:rPr>
        <w:t>que </w:t>
      </w:r>
      <w:r>
        <w:rPr>
          <w:color w:val="231F20"/>
          <w:spacing w:val="3"/>
        </w:rPr>
        <w:t>asume </w:t>
      </w:r>
      <w:r>
        <w:rPr>
          <w:color w:val="231F20"/>
        </w:rPr>
        <w:t>la </w:t>
      </w:r>
      <w:r>
        <w:rPr>
          <w:color w:val="231F20"/>
          <w:spacing w:val="3"/>
        </w:rPr>
        <w:t>forma </w:t>
      </w:r>
      <w:r>
        <w:rPr>
          <w:color w:val="231F20"/>
        </w:rPr>
        <w:t>de </w:t>
      </w:r>
      <w:r>
        <w:rPr>
          <w:color w:val="231F20"/>
          <w:spacing w:val="2"/>
        </w:rPr>
        <w:t>movilizaciones </w:t>
      </w:r>
      <w:r>
        <w:rPr>
          <w:color w:val="231F20"/>
          <w:spacing w:val="3"/>
        </w:rPr>
        <w:t>donde </w:t>
      </w:r>
      <w:r>
        <w:rPr>
          <w:color w:val="231F20"/>
          <w:spacing w:val="2"/>
        </w:rPr>
        <w:t>destacan </w:t>
      </w:r>
      <w:r>
        <w:rPr>
          <w:color w:val="231F20"/>
        </w:rPr>
        <w:t>un </w:t>
      </w:r>
      <w:r>
        <w:rPr>
          <w:color w:val="231F20"/>
          <w:spacing w:val="3"/>
        </w:rPr>
        <w:t>conjunto </w:t>
      </w:r>
      <w:r>
        <w:rPr>
          <w:color w:val="231F20"/>
        </w:rPr>
        <w:t>de </w:t>
      </w:r>
      <w:r>
        <w:rPr>
          <w:color w:val="231F20"/>
          <w:spacing w:val="3"/>
        </w:rPr>
        <w:t>demandas </w:t>
      </w:r>
      <w:r>
        <w:rPr>
          <w:color w:val="231F20"/>
          <w:spacing w:val="2"/>
        </w:rPr>
        <w:t>que repudian </w:t>
      </w:r>
      <w:r>
        <w:rPr>
          <w:color w:val="231F20"/>
        </w:rPr>
        <w:t>las </w:t>
      </w:r>
      <w:r>
        <w:rPr>
          <w:color w:val="231F20"/>
          <w:spacing w:val="2"/>
        </w:rPr>
        <w:t>prácticas </w:t>
      </w:r>
      <w:r>
        <w:rPr>
          <w:color w:val="231F20"/>
        </w:rPr>
        <w:t>y a las </w:t>
      </w:r>
      <w:r>
        <w:rPr>
          <w:color w:val="231F20"/>
          <w:spacing w:val="2"/>
        </w:rPr>
        <w:t>instituciones establecidas para regular </w:t>
      </w:r>
      <w:r>
        <w:rPr>
          <w:color w:val="231F20"/>
        </w:rPr>
        <w:t>y </w:t>
      </w:r>
      <w:r>
        <w:rPr>
          <w:color w:val="231F20"/>
          <w:spacing w:val="2"/>
        </w:rPr>
        <w:t>controlar </w:t>
      </w:r>
      <w:r>
        <w:rPr>
          <w:color w:val="231F20"/>
        </w:rPr>
        <w:t>a la </w:t>
      </w:r>
      <w:r>
        <w:rPr>
          <w:color w:val="231F20"/>
          <w:spacing w:val="3"/>
        </w:rPr>
        <w:t>educa- </w:t>
      </w:r>
      <w:r>
        <w:rPr>
          <w:color w:val="231F20"/>
          <w:spacing w:val="2"/>
        </w:rPr>
        <w:t>ción. Estos estudiantes han desarrollado una </w:t>
      </w:r>
      <w:r>
        <w:rPr>
          <w:color w:val="231F20"/>
          <w:spacing w:val="3"/>
        </w:rPr>
        <w:t>con-</w:t>
      </w:r>
      <w:r>
        <w:rPr>
          <w:color w:val="231F20"/>
          <w:spacing w:val="58"/>
        </w:rPr>
        <w:t> </w:t>
      </w:r>
      <w:r>
        <w:rPr>
          <w:color w:val="231F20"/>
          <w:spacing w:val="3"/>
        </w:rPr>
        <w:t>traargumentación, </w:t>
      </w:r>
      <w:r>
        <w:rPr>
          <w:color w:val="231F20"/>
          <w:spacing w:val="2"/>
        </w:rPr>
        <w:t>respecto </w:t>
      </w:r>
      <w:r>
        <w:rPr>
          <w:color w:val="231F20"/>
        </w:rPr>
        <w:t>a </w:t>
      </w:r>
      <w:r>
        <w:rPr>
          <w:color w:val="231F20"/>
          <w:spacing w:val="2"/>
        </w:rPr>
        <w:t>los </w:t>
      </w:r>
      <w:r>
        <w:rPr>
          <w:color w:val="231F20"/>
          <w:spacing w:val="3"/>
        </w:rPr>
        <w:t>argumentos </w:t>
      </w:r>
      <w:r>
        <w:rPr>
          <w:color w:val="231F20"/>
        </w:rPr>
        <w:t>de las </w:t>
      </w:r>
      <w:r>
        <w:rPr>
          <w:color w:val="231F20"/>
          <w:spacing w:val="2"/>
        </w:rPr>
        <w:t>autoridades </w:t>
      </w:r>
      <w:r>
        <w:rPr>
          <w:color w:val="231F20"/>
        </w:rPr>
        <w:t>de </w:t>
      </w:r>
      <w:r>
        <w:rPr>
          <w:color w:val="231F20"/>
          <w:spacing w:val="2"/>
        </w:rPr>
        <w:t>apego </w:t>
      </w:r>
      <w:r>
        <w:rPr>
          <w:color w:val="231F20"/>
        </w:rPr>
        <w:t>a la </w:t>
      </w:r>
      <w:r>
        <w:rPr>
          <w:color w:val="231F20"/>
          <w:spacing w:val="2"/>
        </w:rPr>
        <w:t>institucionalidad, pero reivindicando </w:t>
      </w:r>
      <w:r>
        <w:rPr>
          <w:color w:val="231F20"/>
        </w:rPr>
        <w:t>la </w:t>
      </w:r>
      <w:r>
        <w:rPr>
          <w:color w:val="231F20"/>
          <w:spacing w:val="2"/>
        </w:rPr>
        <w:t>legalidad </w:t>
      </w:r>
      <w:r>
        <w:rPr>
          <w:color w:val="231F20"/>
        </w:rPr>
        <w:t>de </w:t>
      </w:r>
      <w:r>
        <w:rPr>
          <w:color w:val="231F20"/>
          <w:spacing w:val="2"/>
        </w:rPr>
        <w:t>sus movilizaciones como derecho </w:t>
      </w:r>
      <w:r>
        <w:rPr>
          <w:color w:val="231F20"/>
        </w:rPr>
        <w:t>a la </w:t>
      </w:r>
      <w:r>
        <w:rPr>
          <w:color w:val="231F20"/>
          <w:spacing w:val="2"/>
        </w:rPr>
        <w:t>libertad </w:t>
      </w:r>
      <w:r>
        <w:rPr>
          <w:color w:val="231F20"/>
        </w:rPr>
        <w:t>de </w:t>
      </w:r>
      <w:r>
        <w:rPr>
          <w:color w:val="231F20"/>
          <w:spacing w:val="2"/>
        </w:rPr>
        <w:t>expresión </w:t>
      </w:r>
      <w:r>
        <w:rPr>
          <w:color w:val="231F20"/>
          <w:spacing w:val="3"/>
        </w:rPr>
        <w:t>que </w:t>
      </w:r>
      <w:r>
        <w:rPr>
          <w:color w:val="231F20"/>
          <w:spacing w:val="2"/>
        </w:rPr>
        <w:t>reivindica </w:t>
      </w:r>
      <w:r>
        <w:rPr>
          <w:color w:val="231F20"/>
        </w:rPr>
        <w:t>el </w:t>
      </w:r>
      <w:r>
        <w:rPr>
          <w:color w:val="231F20"/>
          <w:spacing w:val="2"/>
        </w:rPr>
        <w:t>derecho universal </w:t>
      </w:r>
      <w:r>
        <w:rPr>
          <w:color w:val="231F20"/>
        </w:rPr>
        <w:t>a la </w:t>
      </w:r>
      <w:r>
        <w:rPr>
          <w:color w:val="231F20"/>
          <w:spacing w:val="2"/>
        </w:rPr>
        <w:t>educación, con ello </w:t>
      </w:r>
      <w:r>
        <w:rPr>
          <w:color w:val="231F20"/>
          <w:spacing w:val="3"/>
        </w:rPr>
        <w:t>buscan contener </w:t>
      </w:r>
      <w:r>
        <w:rPr>
          <w:color w:val="231F20"/>
        </w:rPr>
        <w:t>el </w:t>
      </w:r>
      <w:r>
        <w:rPr>
          <w:color w:val="231F20"/>
          <w:spacing w:val="2"/>
        </w:rPr>
        <w:t>uso </w:t>
      </w:r>
      <w:r>
        <w:rPr>
          <w:color w:val="231F20"/>
        </w:rPr>
        <w:t>de la </w:t>
      </w:r>
      <w:r>
        <w:rPr>
          <w:color w:val="231F20"/>
          <w:spacing w:val="2"/>
        </w:rPr>
        <w:t>fuerza directa por parte </w:t>
      </w:r>
      <w:r>
        <w:rPr>
          <w:color w:val="231F20"/>
        </w:rPr>
        <w:t>del </w:t>
      </w:r>
      <w:r>
        <w:rPr>
          <w:color w:val="231F20"/>
          <w:spacing w:val="2"/>
        </w:rPr>
        <w:t>Estado, ante </w:t>
      </w:r>
      <w:r>
        <w:rPr>
          <w:color w:val="231F20"/>
        </w:rPr>
        <w:t>la </w:t>
      </w:r>
      <w:r>
        <w:rPr>
          <w:color w:val="231F20"/>
          <w:spacing w:val="2"/>
        </w:rPr>
        <w:t>ineficacia </w:t>
      </w:r>
      <w:r>
        <w:rPr>
          <w:color w:val="231F20"/>
        </w:rPr>
        <w:t>de las </w:t>
      </w:r>
      <w:r>
        <w:rPr>
          <w:color w:val="231F20"/>
          <w:spacing w:val="3"/>
        </w:rPr>
        <w:t>argumentaciones </w:t>
      </w:r>
      <w:r>
        <w:rPr>
          <w:color w:val="231F20"/>
          <w:spacing w:val="2"/>
        </w:rPr>
        <w:t>que descalifican </w:t>
      </w:r>
      <w:r>
        <w:rPr>
          <w:color w:val="231F20"/>
        </w:rPr>
        <w:t>la </w:t>
      </w:r>
      <w:r>
        <w:rPr>
          <w:color w:val="231F20"/>
          <w:spacing w:val="2"/>
        </w:rPr>
        <w:t>resistencia, </w:t>
      </w:r>
      <w:r>
        <w:rPr>
          <w:color w:val="231F20"/>
        </w:rPr>
        <w:t>la </w:t>
      </w:r>
      <w:r>
        <w:rPr>
          <w:color w:val="231F20"/>
          <w:spacing w:val="2"/>
        </w:rPr>
        <w:t>protesta, </w:t>
      </w:r>
      <w:r>
        <w:rPr>
          <w:color w:val="231F20"/>
          <w:spacing w:val="3"/>
        </w:rPr>
        <w:t>como </w:t>
      </w:r>
      <w:r>
        <w:rPr>
          <w:color w:val="231F20"/>
        </w:rPr>
        <w:t>si </w:t>
      </w:r>
      <w:r>
        <w:rPr>
          <w:color w:val="231F20"/>
          <w:spacing w:val="2"/>
        </w:rPr>
        <w:t>fuera una oposición </w:t>
      </w:r>
      <w:r>
        <w:rPr>
          <w:color w:val="231F20"/>
        </w:rPr>
        <w:t>al </w:t>
      </w:r>
      <w:r>
        <w:rPr>
          <w:color w:val="231F20"/>
          <w:spacing w:val="2"/>
        </w:rPr>
        <w:t>cambio </w:t>
      </w:r>
      <w:r>
        <w:rPr>
          <w:color w:val="231F20"/>
        </w:rPr>
        <w:t>o  </w:t>
      </w:r>
      <w:r>
        <w:rPr>
          <w:color w:val="231F20"/>
          <w:spacing w:val="3"/>
        </w:rPr>
        <w:t>como </w:t>
      </w:r>
      <w:r>
        <w:rPr>
          <w:color w:val="231F20"/>
          <w:spacing w:val="2"/>
        </w:rPr>
        <w:t>defensa  </w:t>
      </w:r>
      <w:r>
        <w:rPr>
          <w:color w:val="231F20"/>
        </w:rPr>
        <w:t>de </w:t>
      </w:r>
      <w:r>
        <w:rPr>
          <w:color w:val="231F20"/>
          <w:spacing w:val="2"/>
        </w:rPr>
        <w:t>privilegios. Así, </w:t>
      </w:r>
      <w:r>
        <w:rPr>
          <w:color w:val="231F20"/>
        </w:rPr>
        <w:t>la </w:t>
      </w:r>
      <w:r>
        <w:rPr>
          <w:color w:val="231F20"/>
          <w:spacing w:val="2"/>
        </w:rPr>
        <w:t>contestación estudiantil </w:t>
      </w:r>
      <w:r>
        <w:rPr>
          <w:color w:val="231F20"/>
        </w:rPr>
        <w:t>a las </w:t>
      </w:r>
      <w:r>
        <w:rPr>
          <w:color w:val="231F20"/>
          <w:spacing w:val="2"/>
        </w:rPr>
        <w:t>políticas </w:t>
      </w:r>
      <w:r>
        <w:rPr>
          <w:color w:val="231F20"/>
          <w:spacing w:val="3"/>
        </w:rPr>
        <w:t>educa- </w:t>
      </w:r>
      <w:r>
        <w:rPr>
          <w:color w:val="231F20"/>
          <w:spacing w:val="2"/>
        </w:rPr>
        <w:t>tivas, durante toda </w:t>
      </w:r>
      <w:r>
        <w:rPr>
          <w:color w:val="231F20"/>
        </w:rPr>
        <w:t>la </w:t>
      </w:r>
      <w:r>
        <w:rPr>
          <w:color w:val="231F20"/>
          <w:spacing w:val="2"/>
        </w:rPr>
        <w:t>primera década </w:t>
      </w:r>
      <w:r>
        <w:rPr>
          <w:color w:val="231F20"/>
        </w:rPr>
        <w:t>del </w:t>
      </w:r>
      <w:r>
        <w:rPr>
          <w:color w:val="231F20"/>
          <w:spacing w:val="2"/>
        </w:rPr>
        <w:t>2000, </w:t>
      </w:r>
      <w:r>
        <w:rPr>
          <w:color w:val="231F20"/>
          <w:spacing w:val="3"/>
        </w:rPr>
        <w:t>muestra </w:t>
      </w:r>
      <w:r>
        <w:rPr>
          <w:color w:val="231F20"/>
          <w:spacing w:val="2"/>
        </w:rPr>
        <w:t>que </w:t>
      </w:r>
      <w:r>
        <w:rPr>
          <w:color w:val="231F20"/>
        </w:rPr>
        <w:t>la </w:t>
      </w:r>
      <w:r>
        <w:rPr>
          <w:color w:val="231F20"/>
          <w:spacing w:val="2"/>
        </w:rPr>
        <w:t>violencia instaurada </w:t>
      </w:r>
      <w:r>
        <w:rPr>
          <w:color w:val="231F20"/>
        </w:rPr>
        <w:t>en la </w:t>
      </w:r>
      <w:r>
        <w:rPr>
          <w:color w:val="231F20"/>
          <w:spacing w:val="2"/>
        </w:rPr>
        <w:t>educación tiende </w:t>
      </w:r>
      <w:r>
        <w:rPr>
          <w:color w:val="231F20"/>
        </w:rPr>
        <w:t>a </w:t>
      </w:r>
      <w:r>
        <w:rPr>
          <w:color w:val="231F20"/>
          <w:spacing w:val="2"/>
        </w:rPr>
        <w:t>contrarrestar </w:t>
      </w:r>
      <w:r>
        <w:rPr>
          <w:color w:val="231F20"/>
        </w:rPr>
        <w:t>la </w:t>
      </w:r>
      <w:r>
        <w:rPr>
          <w:color w:val="231F20"/>
          <w:spacing w:val="3"/>
        </w:rPr>
        <w:t>capa- </w:t>
      </w:r>
      <w:r>
        <w:rPr>
          <w:color w:val="231F20"/>
          <w:spacing w:val="2"/>
        </w:rPr>
        <w:t>cidad </w:t>
      </w:r>
      <w:r>
        <w:rPr>
          <w:color w:val="231F20"/>
        </w:rPr>
        <w:t>de </w:t>
      </w:r>
      <w:r>
        <w:rPr>
          <w:color w:val="231F20"/>
          <w:spacing w:val="2"/>
        </w:rPr>
        <w:t>organización </w:t>
      </w:r>
      <w:r>
        <w:rPr>
          <w:color w:val="231F20"/>
        </w:rPr>
        <w:t>y </w:t>
      </w:r>
      <w:r>
        <w:rPr>
          <w:color w:val="231F20"/>
          <w:spacing w:val="2"/>
        </w:rPr>
        <w:t>movilización </w:t>
      </w:r>
      <w:r>
        <w:rPr>
          <w:color w:val="231F20"/>
        </w:rPr>
        <w:t>de </w:t>
      </w:r>
      <w:r>
        <w:rPr>
          <w:color w:val="231F20"/>
          <w:spacing w:val="2"/>
        </w:rPr>
        <w:t>los sujetos, </w:t>
      </w:r>
      <w:r>
        <w:rPr>
          <w:color w:val="231F20"/>
        </w:rPr>
        <w:t>de allí </w:t>
      </w:r>
      <w:r>
        <w:rPr>
          <w:color w:val="231F20"/>
          <w:spacing w:val="4"/>
        </w:rPr>
        <w:t>que </w:t>
      </w:r>
      <w:r>
        <w:rPr>
          <w:color w:val="231F20"/>
          <w:spacing w:val="3"/>
        </w:rPr>
        <w:t>concretamente </w:t>
      </w:r>
      <w:r>
        <w:rPr>
          <w:color w:val="231F20"/>
        </w:rPr>
        <w:t>se </w:t>
      </w:r>
      <w:r>
        <w:rPr>
          <w:color w:val="231F20"/>
          <w:spacing w:val="2"/>
        </w:rPr>
        <w:t>exprese </w:t>
      </w:r>
      <w:r>
        <w:rPr>
          <w:color w:val="231F20"/>
          <w:spacing w:val="3"/>
        </w:rPr>
        <w:t>como </w:t>
      </w:r>
      <w:r>
        <w:rPr>
          <w:color w:val="231F20"/>
          <w:spacing w:val="2"/>
        </w:rPr>
        <w:t>represión </w:t>
      </w:r>
      <w:r>
        <w:rPr>
          <w:color w:val="231F20"/>
        </w:rPr>
        <w:t>de las </w:t>
      </w:r>
      <w:r>
        <w:rPr>
          <w:color w:val="231F20"/>
          <w:spacing w:val="2"/>
        </w:rPr>
        <w:t>movilizaciones, </w:t>
      </w:r>
      <w:r>
        <w:rPr>
          <w:color w:val="231F20"/>
        </w:rPr>
        <w:t>y </w:t>
      </w:r>
      <w:r>
        <w:rPr>
          <w:color w:val="231F20"/>
          <w:spacing w:val="3"/>
        </w:rPr>
        <w:t>simbólicamente </w:t>
      </w:r>
      <w:r>
        <w:rPr>
          <w:color w:val="231F20"/>
          <w:spacing w:val="2"/>
        </w:rPr>
        <w:t>asuma </w:t>
      </w:r>
      <w:r>
        <w:rPr>
          <w:color w:val="231F20"/>
        </w:rPr>
        <w:t>el </w:t>
      </w:r>
      <w:r>
        <w:rPr>
          <w:color w:val="231F20"/>
          <w:spacing w:val="2"/>
        </w:rPr>
        <w:t>recurso </w:t>
      </w:r>
      <w:r>
        <w:rPr>
          <w:color w:val="231F20"/>
        </w:rPr>
        <w:t>de </w:t>
      </w:r>
      <w:r>
        <w:rPr>
          <w:color w:val="231F20"/>
          <w:spacing w:val="2"/>
        </w:rPr>
        <w:t>resistencia </w:t>
      </w:r>
      <w:r>
        <w:rPr>
          <w:color w:val="231F20"/>
        </w:rPr>
        <w:t>al </w:t>
      </w:r>
      <w:r>
        <w:rPr>
          <w:color w:val="231F20"/>
          <w:spacing w:val="2"/>
        </w:rPr>
        <w:t>cambio </w:t>
      </w:r>
      <w:r>
        <w:rPr>
          <w:color w:val="231F20"/>
        </w:rPr>
        <w:t>o </w:t>
      </w:r>
      <w:r>
        <w:rPr>
          <w:color w:val="231F20"/>
          <w:spacing w:val="3"/>
        </w:rPr>
        <w:t>defen- </w:t>
      </w:r>
      <w:r>
        <w:rPr>
          <w:color w:val="231F20"/>
        </w:rPr>
        <w:t>sa de </w:t>
      </w:r>
      <w:r>
        <w:rPr>
          <w:color w:val="231F20"/>
          <w:spacing w:val="2"/>
        </w:rPr>
        <w:t>privilegios para descalificar </w:t>
      </w:r>
      <w:r>
        <w:rPr>
          <w:color w:val="231F20"/>
        </w:rPr>
        <w:t>la </w:t>
      </w:r>
      <w:r>
        <w:rPr>
          <w:color w:val="231F20"/>
          <w:spacing w:val="2"/>
        </w:rPr>
        <w:t>validez </w:t>
      </w:r>
      <w:r>
        <w:rPr>
          <w:color w:val="231F20"/>
        </w:rPr>
        <w:t>de las </w:t>
      </w:r>
      <w:r>
        <w:rPr>
          <w:color w:val="231F20"/>
          <w:spacing w:val="3"/>
        </w:rPr>
        <w:t>demandas que, </w:t>
      </w:r>
      <w:r>
        <w:rPr>
          <w:color w:val="231F20"/>
        </w:rPr>
        <w:t>en las </w:t>
      </w:r>
      <w:r>
        <w:rPr>
          <w:color w:val="231F20"/>
          <w:spacing w:val="2"/>
        </w:rPr>
        <w:t>distintas movilizaciones estudiantiles han venido </w:t>
      </w:r>
      <w:r>
        <w:rPr>
          <w:color w:val="231F20"/>
          <w:spacing w:val="3"/>
        </w:rPr>
        <w:t>destacan- </w:t>
      </w:r>
      <w:r>
        <w:rPr>
          <w:color w:val="231F20"/>
          <w:spacing w:val="2"/>
        </w:rPr>
        <w:t>do: </w:t>
      </w:r>
      <w:r>
        <w:rPr>
          <w:color w:val="231F20"/>
        </w:rPr>
        <w:t>la </w:t>
      </w:r>
      <w:r>
        <w:rPr>
          <w:color w:val="231F20"/>
          <w:spacing w:val="2"/>
        </w:rPr>
        <w:t>defensa </w:t>
      </w:r>
      <w:r>
        <w:rPr>
          <w:color w:val="231F20"/>
        </w:rPr>
        <w:t>de la </w:t>
      </w:r>
      <w:r>
        <w:rPr>
          <w:color w:val="231F20"/>
          <w:spacing w:val="2"/>
        </w:rPr>
        <w:t>educación superior pública, </w:t>
      </w:r>
      <w:r>
        <w:rPr>
          <w:color w:val="231F20"/>
        </w:rPr>
        <w:t>la </w:t>
      </w:r>
      <w:r>
        <w:rPr>
          <w:color w:val="231F20"/>
          <w:spacing w:val="2"/>
        </w:rPr>
        <w:t>participación </w:t>
      </w:r>
      <w:r>
        <w:rPr>
          <w:color w:val="231F20"/>
        </w:rPr>
        <w:t>de las </w:t>
      </w:r>
      <w:r>
        <w:rPr>
          <w:color w:val="231F20"/>
          <w:spacing w:val="3"/>
        </w:rPr>
        <w:t>comunidades </w:t>
      </w:r>
      <w:r>
        <w:rPr>
          <w:color w:val="231F20"/>
          <w:spacing w:val="2"/>
        </w:rPr>
        <w:t>académicas </w:t>
      </w:r>
      <w:r>
        <w:rPr>
          <w:color w:val="231F20"/>
        </w:rPr>
        <w:t>en las </w:t>
      </w:r>
      <w:r>
        <w:rPr>
          <w:color w:val="231F20"/>
          <w:spacing w:val="3"/>
        </w:rPr>
        <w:t>reformas </w:t>
      </w:r>
      <w:r>
        <w:rPr>
          <w:color w:val="231F20"/>
        </w:rPr>
        <w:t>a </w:t>
      </w:r>
      <w:r>
        <w:rPr>
          <w:color w:val="231F20"/>
          <w:spacing w:val="2"/>
        </w:rPr>
        <w:t>los planes </w:t>
      </w:r>
      <w:r>
        <w:rPr>
          <w:color w:val="231F20"/>
        </w:rPr>
        <w:t>de </w:t>
      </w:r>
      <w:r>
        <w:rPr>
          <w:color w:val="231F20"/>
          <w:spacing w:val="2"/>
        </w:rPr>
        <w:t>estu- dio, </w:t>
      </w:r>
      <w:r>
        <w:rPr>
          <w:color w:val="231F20"/>
        </w:rPr>
        <w:t>la </w:t>
      </w:r>
      <w:r>
        <w:rPr>
          <w:color w:val="231F20"/>
          <w:spacing w:val="3"/>
        </w:rPr>
        <w:t>democratización </w:t>
      </w:r>
      <w:r>
        <w:rPr>
          <w:color w:val="231F20"/>
          <w:spacing w:val="2"/>
        </w:rPr>
        <w:t>del gobierno universitario </w:t>
      </w:r>
      <w:r>
        <w:rPr>
          <w:color w:val="231F20"/>
        </w:rPr>
        <w:t>y, en </w:t>
      </w:r>
      <w:r>
        <w:rPr>
          <w:color w:val="231F20"/>
          <w:spacing w:val="2"/>
        </w:rPr>
        <w:t>especial, </w:t>
      </w:r>
      <w:r>
        <w:rPr>
          <w:color w:val="231F20"/>
        </w:rPr>
        <w:t>el </w:t>
      </w:r>
      <w:r>
        <w:rPr>
          <w:color w:val="231F20"/>
          <w:spacing w:val="2"/>
        </w:rPr>
        <w:t>repudio </w:t>
      </w:r>
      <w:r>
        <w:rPr>
          <w:color w:val="231F20"/>
        </w:rPr>
        <w:t>a las </w:t>
      </w:r>
      <w:r>
        <w:rPr>
          <w:color w:val="231F20"/>
          <w:spacing w:val="3"/>
        </w:rPr>
        <w:t>reducciones </w:t>
      </w:r>
      <w:r>
        <w:rPr>
          <w:color w:val="231F20"/>
          <w:spacing w:val="2"/>
        </w:rPr>
        <w:t>presupuestales </w:t>
      </w:r>
      <w:r>
        <w:rPr>
          <w:color w:val="231F20"/>
        </w:rPr>
        <w:t>a la </w:t>
      </w:r>
      <w:r>
        <w:rPr>
          <w:color w:val="231F20"/>
          <w:spacing w:val="2"/>
        </w:rPr>
        <w:t>educación superior pública </w:t>
      </w:r>
      <w:r>
        <w:rPr>
          <w:color w:val="231F20"/>
        </w:rPr>
        <w:t>y en </w:t>
      </w:r>
      <w:r>
        <w:rPr>
          <w:color w:val="231F20"/>
          <w:spacing w:val="2"/>
        </w:rPr>
        <w:t>contra </w:t>
      </w:r>
      <w:r>
        <w:rPr>
          <w:color w:val="231F20"/>
        </w:rPr>
        <w:t>del </w:t>
      </w:r>
      <w:r>
        <w:rPr>
          <w:color w:val="231F20"/>
          <w:spacing w:val="3"/>
        </w:rPr>
        <w:t>aumento </w:t>
      </w:r>
      <w:r>
        <w:rPr>
          <w:color w:val="231F20"/>
        </w:rPr>
        <w:t>de las</w:t>
      </w:r>
      <w:r>
        <w:rPr>
          <w:color w:val="231F20"/>
          <w:spacing w:val="44"/>
        </w:rPr>
        <w:t> </w:t>
      </w:r>
      <w:r>
        <w:rPr>
          <w:color w:val="231F20"/>
          <w:spacing w:val="2"/>
        </w:rPr>
        <w:t>cuotas.</w:t>
      </w:r>
    </w:p>
    <w:p>
      <w:pPr>
        <w:pStyle w:val="BodyText"/>
        <w:spacing w:line="249" w:lineRule="auto"/>
        <w:ind w:left="101" w:right="116" w:firstLine="284"/>
        <w:jc w:val="both"/>
      </w:pPr>
      <w:r>
        <w:rPr>
          <w:color w:val="231F20"/>
        </w:rPr>
        <w:t>En la </w:t>
      </w:r>
      <w:r>
        <w:rPr>
          <w:color w:val="231F20"/>
          <w:spacing w:val="2"/>
        </w:rPr>
        <w:t>actualidad, destacan dos </w:t>
      </w:r>
      <w:r>
        <w:rPr>
          <w:color w:val="231F20"/>
          <w:spacing w:val="3"/>
        </w:rPr>
        <w:t>movimientos </w:t>
      </w:r>
      <w:r>
        <w:rPr>
          <w:color w:val="231F20"/>
          <w:spacing w:val="2"/>
        </w:rPr>
        <w:t>estudiantiles </w:t>
      </w:r>
      <w:r>
        <w:rPr>
          <w:color w:val="231F20"/>
        </w:rPr>
        <w:t>que </w:t>
      </w:r>
      <w:r>
        <w:rPr>
          <w:color w:val="231F20"/>
          <w:spacing w:val="2"/>
        </w:rPr>
        <w:t>cuestionan </w:t>
      </w:r>
      <w:r>
        <w:rPr>
          <w:color w:val="231F20"/>
        </w:rPr>
        <w:t>las </w:t>
      </w:r>
      <w:r>
        <w:rPr>
          <w:color w:val="231F20"/>
          <w:spacing w:val="2"/>
        </w:rPr>
        <w:t>políticas educativas, uno </w:t>
      </w:r>
      <w:r>
        <w:rPr>
          <w:color w:val="231F20"/>
        </w:rPr>
        <w:t>en </w:t>
      </w:r>
      <w:r>
        <w:rPr>
          <w:color w:val="231F20"/>
          <w:spacing w:val="3"/>
        </w:rPr>
        <w:t>Europa, </w:t>
      </w:r>
      <w:r>
        <w:rPr>
          <w:color w:val="231F20"/>
          <w:spacing w:val="2"/>
        </w:rPr>
        <w:t>especialmente </w:t>
      </w:r>
      <w:r>
        <w:rPr>
          <w:color w:val="231F20"/>
        </w:rPr>
        <w:t>en </w:t>
      </w:r>
      <w:r>
        <w:rPr>
          <w:color w:val="231F20"/>
          <w:spacing w:val="3"/>
        </w:rPr>
        <w:t>España, </w:t>
      </w:r>
      <w:r>
        <w:rPr>
          <w:color w:val="231F20"/>
        </w:rPr>
        <w:t>y </w:t>
      </w:r>
      <w:r>
        <w:rPr>
          <w:color w:val="231F20"/>
          <w:spacing w:val="2"/>
        </w:rPr>
        <w:t>otro </w:t>
      </w:r>
      <w:r>
        <w:rPr>
          <w:color w:val="231F20"/>
        </w:rPr>
        <w:t>en </w:t>
      </w:r>
      <w:r>
        <w:rPr>
          <w:color w:val="231F20"/>
          <w:spacing w:val="2"/>
        </w:rPr>
        <w:t>América Latina, </w:t>
      </w:r>
      <w:r>
        <w:rPr>
          <w:color w:val="231F20"/>
        </w:rPr>
        <w:t>en  </w:t>
      </w:r>
      <w:r>
        <w:rPr>
          <w:color w:val="231F20"/>
          <w:spacing w:val="2"/>
        </w:rPr>
        <w:t>Chile. </w:t>
      </w:r>
      <w:r>
        <w:rPr>
          <w:color w:val="231F20"/>
        </w:rPr>
        <w:t>En  el  </w:t>
      </w:r>
      <w:r>
        <w:rPr>
          <w:color w:val="231F20"/>
          <w:spacing w:val="2"/>
        </w:rPr>
        <w:t>primero </w:t>
      </w:r>
      <w:r>
        <w:rPr>
          <w:color w:val="231F20"/>
        </w:rPr>
        <w:t>el eje ha </w:t>
      </w:r>
      <w:r>
        <w:rPr>
          <w:color w:val="231F20"/>
          <w:spacing w:val="2"/>
        </w:rPr>
        <w:t>sido </w:t>
      </w:r>
      <w:r>
        <w:rPr>
          <w:color w:val="231F20"/>
        </w:rPr>
        <w:t>la </w:t>
      </w:r>
      <w:r>
        <w:rPr>
          <w:color w:val="231F20"/>
          <w:spacing w:val="3"/>
        </w:rPr>
        <w:t>impugnación </w:t>
      </w:r>
      <w:r>
        <w:rPr>
          <w:color w:val="231F20"/>
          <w:spacing w:val="2"/>
        </w:rPr>
        <w:t>del Proceso </w:t>
      </w:r>
      <w:r>
        <w:rPr>
          <w:color w:val="231F20"/>
          <w:spacing w:val="3"/>
        </w:rPr>
        <w:t>Bolonia, indicando </w:t>
      </w:r>
      <w:r>
        <w:rPr>
          <w:color w:val="231F20"/>
        </w:rPr>
        <w:t>que </w:t>
      </w:r>
      <w:r>
        <w:rPr>
          <w:color w:val="231F20"/>
          <w:spacing w:val="2"/>
        </w:rPr>
        <w:t>implica </w:t>
      </w:r>
      <w:r>
        <w:rPr>
          <w:color w:val="231F20"/>
        </w:rPr>
        <w:t>un </w:t>
      </w:r>
      <w:r>
        <w:rPr>
          <w:color w:val="231F20"/>
          <w:spacing w:val="2"/>
        </w:rPr>
        <w:t>retiro del Estado </w:t>
      </w:r>
      <w:r>
        <w:rPr>
          <w:color w:val="231F20"/>
        </w:rPr>
        <w:t>en la </w:t>
      </w:r>
      <w:r>
        <w:rPr>
          <w:color w:val="231F20"/>
          <w:spacing w:val="2"/>
        </w:rPr>
        <w:t>regulación </w:t>
      </w:r>
      <w:r>
        <w:rPr>
          <w:color w:val="231F20"/>
        </w:rPr>
        <w:t>de </w:t>
      </w:r>
      <w:r>
        <w:rPr>
          <w:color w:val="231F20"/>
          <w:spacing w:val="2"/>
        </w:rPr>
        <w:t>los estudios, </w:t>
      </w:r>
      <w:r>
        <w:rPr>
          <w:color w:val="231F20"/>
        </w:rPr>
        <w:t>lo   </w:t>
      </w:r>
      <w:r>
        <w:rPr>
          <w:color w:val="231F20"/>
          <w:spacing w:val="2"/>
        </w:rPr>
        <w:t>cual </w:t>
      </w:r>
      <w:r>
        <w:rPr>
          <w:color w:val="231F20"/>
        </w:rPr>
        <w:t>en </w:t>
      </w:r>
      <w:r>
        <w:rPr>
          <w:color w:val="231F20"/>
          <w:spacing w:val="2"/>
        </w:rPr>
        <w:t>apariencia fortalece </w:t>
      </w:r>
      <w:r>
        <w:rPr>
          <w:color w:val="231F20"/>
        </w:rPr>
        <w:t>la </w:t>
      </w:r>
      <w:r>
        <w:rPr>
          <w:color w:val="231F20"/>
          <w:spacing w:val="3"/>
        </w:rPr>
        <w:t>autonomía, cuando </w:t>
      </w:r>
      <w:r>
        <w:rPr>
          <w:color w:val="231F20"/>
        </w:rPr>
        <w:t>en </w:t>
      </w:r>
      <w:r>
        <w:rPr>
          <w:color w:val="231F20"/>
          <w:spacing w:val="2"/>
        </w:rPr>
        <w:t>realidad </w:t>
      </w:r>
      <w:r>
        <w:rPr>
          <w:color w:val="231F20"/>
        </w:rPr>
        <w:t>le </w:t>
      </w:r>
      <w:r>
        <w:rPr>
          <w:color w:val="231F20"/>
          <w:spacing w:val="2"/>
        </w:rPr>
        <w:t>confiere </w:t>
      </w:r>
      <w:r>
        <w:rPr>
          <w:color w:val="231F20"/>
          <w:spacing w:val="3"/>
        </w:rPr>
        <w:t>mayor poder </w:t>
      </w:r>
      <w:r>
        <w:rPr>
          <w:color w:val="231F20"/>
        </w:rPr>
        <w:t>a las </w:t>
      </w:r>
      <w:r>
        <w:rPr>
          <w:color w:val="231F20"/>
          <w:spacing w:val="2"/>
        </w:rPr>
        <w:t>burocracias universitarias </w:t>
      </w:r>
      <w:r>
        <w:rPr>
          <w:color w:val="231F20"/>
        </w:rPr>
        <w:t>y </w:t>
      </w:r>
      <w:r>
        <w:rPr>
          <w:color w:val="231F20"/>
          <w:spacing w:val="2"/>
        </w:rPr>
        <w:t>abre las puertas </w:t>
      </w:r>
      <w:r>
        <w:rPr>
          <w:color w:val="231F20"/>
        </w:rPr>
        <w:t>a </w:t>
      </w:r>
      <w:r>
        <w:rPr>
          <w:color w:val="231F20"/>
          <w:spacing w:val="2"/>
        </w:rPr>
        <w:t>los </w:t>
      </w:r>
      <w:r>
        <w:rPr>
          <w:color w:val="231F20"/>
          <w:spacing w:val="3"/>
        </w:rPr>
        <w:t>representantes </w:t>
      </w:r>
      <w:r>
        <w:rPr>
          <w:color w:val="231F20"/>
          <w:spacing w:val="2"/>
        </w:rPr>
        <w:t>empresariales, </w:t>
      </w:r>
      <w:r>
        <w:rPr>
          <w:color w:val="231F20"/>
        </w:rPr>
        <w:t>así </w:t>
      </w:r>
      <w:r>
        <w:rPr>
          <w:color w:val="231F20"/>
          <w:spacing w:val="3"/>
        </w:rPr>
        <w:t>como </w:t>
      </w:r>
      <w:r>
        <w:rPr>
          <w:color w:val="231F20"/>
        </w:rPr>
        <w:t>a las </w:t>
      </w:r>
      <w:r>
        <w:rPr>
          <w:color w:val="231F20"/>
          <w:spacing w:val="3"/>
        </w:rPr>
        <w:t>burocra- </w:t>
      </w:r>
      <w:r>
        <w:rPr>
          <w:color w:val="231F20"/>
        </w:rPr>
        <w:t>cias </w:t>
      </w:r>
      <w:r>
        <w:rPr>
          <w:color w:val="231F20"/>
          <w:spacing w:val="2"/>
        </w:rPr>
        <w:t>sindicales. </w:t>
      </w:r>
      <w:r>
        <w:rPr>
          <w:color w:val="231F20"/>
        </w:rPr>
        <w:t>Se </w:t>
      </w:r>
      <w:r>
        <w:rPr>
          <w:color w:val="231F20"/>
          <w:spacing w:val="3"/>
        </w:rPr>
        <w:t>denuncia </w:t>
      </w:r>
      <w:r>
        <w:rPr>
          <w:color w:val="231F20"/>
          <w:spacing w:val="2"/>
        </w:rPr>
        <w:t>que </w:t>
      </w:r>
      <w:r>
        <w:rPr>
          <w:color w:val="231F20"/>
        </w:rPr>
        <w:t>se </w:t>
      </w:r>
      <w:r>
        <w:rPr>
          <w:color w:val="231F20"/>
          <w:spacing w:val="3"/>
        </w:rPr>
        <w:t>impone </w:t>
      </w:r>
      <w:r>
        <w:rPr>
          <w:color w:val="231F20"/>
        </w:rPr>
        <w:t>la idea de la </w:t>
      </w:r>
      <w:r>
        <w:rPr>
          <w:color w:val="231F20"/>
          <w:spacing w:val="2"/>
        </w:rPr>
        <w:t>“salida productiva” </w:t>
      </w:r>
      <w:r>
        <w:rPr>
          <w:color w:val="231F20"/>
        </w:rPr>
        <w:t>en </w:t>
      </w:r>
      <w:r>
        <w:rPr>
          <w:color w:val="231F20"/>
          <w:spacing w:val="2"/>
        </w:rPr>
        <w:t>detrimento </w:t>
      </w:r>
      <w:r>
        <w:rPr>
          <w:color w:val="231F20"/>
        </w:rPr>
        <w:t>de las </w:t>
      </w:r>
      <w:r>
        <w:rPr>
          <w:color w:val="231F20"/>
          <w:spacing w:val="3"/>
        </w:rPr>
        <w:t>humanidades, </w:t>
      </w:r>
      <w:r>
        <w:rPr>
          <w:color w:val="231F20"/>
        </w:rPr>
        <w:t>es </w:t>
      </w:r>
      <w:r>
        <w:rPr>
          <w:color w:val="231F20"/>
          <w:spacing w:val="2"/>
        </w:rPr>
        <w:t>decir, </w:t>
      </w:r>
      <w:r>
        <w:rPr>
          <w:color w:val="231F20"/>
        </w:rPr>
        <w:t>que la </w:t>
      </w:r>
      <w:r>
        <w:rPr>
          <w:color w:val="231F20"/>
          <w:spacing w:val="3"/>
        </w:rPr>
        <w:t>reforma</w:t>
      </w:r>
      <w:r>
        <w:rPr>
          <w:color w:val="231F20"/>
          <w:spacing w:val="-10"/>
        </w:rPr>
        <w:t> </w:t>
      </w:r>
      <w:r>
        <w:rPr>
          <w:color w:val="231F20"/>
        </w:rPr>
        <w:t>al</w:t>
      </w:r>
      <w:r>
        <w:rPr>
          <w:color w:val="231F20"/>
          <w:spacing w:val="-10"/>
        </w:rPr>
        <w:t> </w:t>
      </w:r>
      <w:r>
        <w:rPr>
          <w:i/>
          <w:color w:val="231F20"/>
          <w:spacing w:val="2"/>
        </w:rPr>
        <w:t>curriculum</w:t>
      </w:r>
      <w:r>
        <w:rPr>
          <w:i/>
          <w:color w:val="231F20"/>
          <w:spacing w:val="-9"/>
        </w:rPr>
        <w:t> </w:t>
      </w:r>
      <w:r>
        <w:rPr>
          <w:color w:val="231F20"/>
          <w:spacing w:val="3"/>
        </w:rPr>
        <w:t>supone</w:t>
      </w:r>
      <w:r>
        <w:rPr>
          <w:color w:val="231F20"/>
          <w:spacing w:val="-9"/>
        </w:rPr>
        <w:t> </w:t>
      </w:r>
      <w:r>
        <w:rPr>
          <w:color w:val="231F20"/>
        </w:rPr>
        <w:t>la</w:t>
      </w:r>
      <w:r>
        <w:rPr>
          <w:color w:val="231F20"/>
          <w:spacing w:val="-10"/>
        </w:rPr>
        <w:t> </w:t>
      </w:r>
      <w:r>
        <w:rPr>
          <w:color w:val="231F20"/>
          <w:spacing w:val="3"/>
        </w:rPr>
        <w:t>modificación</w:t>
      </w:r>
      <w:r>
        <w:rPr>
          <w:color w:val="231F20"/>
          <w:spacing w:val="-9"/>
        </w:rPr>
        <w:t> </w:t>
      </w:r>
      <w:r>
        <w:rPr>
          <w:color w:val="231F20"/>
        </w:rPr>
        <w:t>de</w:t>
      </w:r>
      <w:r>
        <w:rPr>
          <w:color w:val="231F20"/>
          <w:spacing w:val="-9"/>
        </w:rPr>
        <w:t> </w:t>
      </w:r>
      <w:r>
        <w:rPr>
          <w:color w:val="231F20"/>
          <w:spacing w:val="2"/>
        </w:rPr>
        <w:t>los</w:t>
      </w:r>
      <w:r>
        <w:rPr>
          <w:color w:val="231F20"/>
          <w:spacing w:val="-10"/>
        </w:rPr>
        <w:t> </w:t>
      </w:r>
      <w:r>
        <w:rPr>
          <w:color w:val="231F20"/>
          <w:spacing w:val="2"/>
        </w:rPr>
        <w:t>estudios</w:t>
      </w:r>
      <w:r>
        <w:rPr>
          <w:color w:val="231F20"/>
          <w:spacing w:val="-10"/>
        </w:rPr>
        <w:t> </w:t>
      </w:r>
      <w:r>
        <w:rPr>
          <w:color w:val="231F20"/>
          <w:spacing w:val="2"/>
        </w:rPr>
        <w:t>profe- sionales por </w:t>
      </w:r>
      <w:r>
        <w:rPr>
          <w:color w:val="231F20"/>
        </w:rPr>
        <w:t>un </w:t>
      </w:r>
      <w:r>
        <w:rPr>
          <w:color w:val="231F20"/>
          <w:spacing w:val="2"/>
        </w:rPr>
        <w:t>nuevo sistema </w:t>
      </w:r>
      <w:r>
        <w:rPr>
          <w:color w:val="231F20"/>
        </w:rPr>
        <w:t>que se rige </w:t>
      </w:r>
      <w:r>
        <w:rPr>
          <w:color w:val="231F20"/>
          <w:spacing w:val="2"/>
        </w:rPr>
        <w:t>por grados </w:t>
      </w:r>
      <w:r>
        <w:rPr>
          <w:color w:val="231F20"/>
        </w:rPr>
        <w:t>y </w:t>
      </w:r>
      <w:r>
        <w:rPr>
          <w:color w:val="231F20"/>
          <w:spacing w:val="3"/>
        </w:rPr>
        <w:t>posgrados, donde </w:t>
      </w:r>
      <w:r>
        <w:rPr>
          <w:color w:val="231F20"/>
          <w:spacing w:val="2"/>
        </w:rPr>
        <w:t>los grados constarán </w:t>
      </w:r>
      <w:r>
        <w:rPr>
          <w:color w:val="231F20"/>
        </w:rPr>
        <w:t>de un </w:t>
      </w:r>
      <w:r>
        <w:rPr>
          <w:color w:val="231F20"/>
          <w:spacing w:val="3"/>
        </w:rPr>
        <w:t>primer </w:t>
      </w:r>
      <w:r>
        <w:rPr>
          <w:color w:val="231F20"/>
          <w:spacing w:val="2"/>
        </w:rPr>
        <w:t>curso </w:t>
      </w:r>
      <w:r>
        <w:rPr>
          <w:color w:val="231F20"/>
        </w:rPr>
        <w:t>de </w:t>
      </w:r>
      <w:r>
        <w:rPr>
          <w:color w:val="231F20"/>
          <w:spacing w:val="2"/>
        </w:rPr>
        <w:t>carácter </w:t>
      </w:r>
      <w:r>
        <w:rPr>
          <w:color w:val="231F20"/>
          <w:spacing w:val="3"/>
        </w:rPr>
        <w:t>general compartido </w:t>
      </w:r>
      <w:r>
        <w:rPr>
          <w:color w:val="231F20"/>
          <w:spacing w:val="2"/>
        </w:rPr>
        <w:t>por distintas ramas profesionales, que sería más pare- cido </w:t>
      </w:r>
      <w:r>
        <w:rPr>
          <w:color w:val="231F20"/>
        </w:rPr>
        <w:t>a  un  </w:t>
      </w:r>
      <w:r>
        <w:rPr>
          <w:color w:val="231F20"/>
          <w:spacing w:val="2"/>
        </w:rPr>
        <w:t>tercer curso </w:t>
      </w:r>
      <w:r>
        <w:rPr>
          <w:color w:val="231F20"/>
        </w:rPr>
        <w:t>de  </w:t>
      </w:r>
      <w:r>
        <w:rPr>
          <w:color w:val="231F20"/>
          <w:spacing w:val="2"/>
        </w:rPr>
        <w:t>bachillerato que </w:t>
      </w:r>
      <w:r>
        <w:rPr>
          <w:color w:val="231F20"/>
        </w:rPr>
        <w:t>a  un  </w:t>
      </w:r>
      <w:r>
        <w:rPr>
          <w:color w:val="231F20"/>
          <w:spacing w:val="2"/>
        </w:rPr>
        <w:t>primer curso   </w:t>
      </w:r>
      <w:r>
        <w:rPr>
          <w:color w:val="231F20"/>
          <w:spacing w:val="3"/>
        </w:rPr>
        <w:t> </w:t>
      </w:r>
      <w:r>
        <w:rPr>
          <w:color w:val="231F20"/>
        </w:rPr>
        <w:t>de</w:t>
      </w:r>
    </w:p>
    <w:p>
      <w:pPr>
        <w:spacing w:after="0" w:line="249" w:lineRule="auto"/>
        <w:jc w:val="both"/>
        <w:sectPr>
          <w:headerReference w:type="default" r:id="rId217"/>
          <w:footerReference w:type="default" r:id="rId218"/>
          <w:pgSz w:w="7830" w:h="11910"/>
          <w:pgMar w:header="0" w:footer="424" w:top="500" w:bottom="620" w:left="920" w:right="900"/>
          <w:pgNumType w:start="10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4"/>
        <w:jc w:val="both"/>
      </w:pPr>
      <w:r>
        <w:rPr>
          <w:color w:val="231F20"/>
          <w:spacing w:val="2"/>
        </w:rPr>
        <w:t>estudios universitarios; mientras que </w:t>
      </w:r>
      <w:r>
        <w:rPr>
          <w:color w:val="231F20"/>
        </w:rPr>
        <w:t>en el </w:t>
      </w:r>
      <w:r>
        <w:rPr>
          <w:color w:val="231F20"/>
          <w:spacing w:val="3"/>
        </w:rPr>
        <w:t>segundo </w:t>
      </w:r>
      <w:r>
        <w:rPr>
          <w:color w:val="231F20"/>
        </w:rPr>
        <w:t>y </w:t>
      </w:r>
      <w:r>
        <w:rPr>
          <w:color w:val="231F20"/>
          <w:spacing w:val="2"/>
        </w:rPr>
        <w:t>tercer curso </w:t>
      </w:r>
      <w:r>
        <w:rPr>
          <w:color w:val="231F20"/>
        </w:rPr>
        <w:t>se </w:t>
      </w:r>
      <w:r>
        <w:rPr>
          <w:color w:val="231F20"/>
          <w:spacing w:val="2"/>
        </w:rPr>
        <w:t>impartirán asignaturas obligatorias </w:t>
      </w:r>
      <w:r>
        <w:rPr>
          <w:color w:val="231F20"/>
        </w:rPr>
        <w:t>y </w:t>
      </w:r>
      <w:r>
        <w:rPr>
          <w:color w:val="231F20"/>
          <w:spacing w:val="2"/>
        </w:rPr>
        <w:t>optativas junto </w:t>
      </w:r>
      <w:r>
        <w:rPr>
          <w:color w:val="231F20"/>
        </w:rPr>
        <w:t>a </w:t>
      </w:r>
      <w:r>
        <w:rPr>
          <w:color w:val="231F20"/>
          <w:spacing w:val="2"/>
        </w:rPr>
        <w:t>activida- des dirigidas </w:t>
      </w:r>
      <w:r>
        <w:rPr>
          <w:color w:val="231F20"/>
        </w:rPr>
        <w:t>a la </w:t>
      </w:r>
      <w:r>
        <w:rPr>
          <w:color w:val="231F20"/>
          <w:spacing w:val="2"/>
        </w:rPr>
        <w:t>“capacitación </w:t>
      </w:r>
      <w:r>
        <w:rPr>
          <w:color w:val="231F20"/>
        </w:rPr>
        <w:t>de </w:t>
      </w:r>
      <w:r>
        <w:rPr>
          <w:color w:val="231F20"/>
          <w:spacing w:val="2"/>
        </w:rPr>
        <w:t>habilidades”; finalmente, </w:t>
      </w:r>
      <w:r>
        <w:rPr>
          <w:color w:val="231F20"/>
        </w:rPr>
        <w:t>el </w:t>
      </w:r>
      <w:r>
        <w:rPr>
          <w:color w:val="231F20"/>
          <w:spacing w:val="2"/>
        </w:rPr>
        <w:t>cuarto curso estaría </w:t>
      </w:r>
      <w:r>
        <w:rPr>
          <w:color w:val="231F20"/>
          <w:spacing w:val="3"/>
        </w:rPr>
        <w:t>orientado, fundamentalmente, </w:t>
      </w:r>
      <w:r>
        <w:rPr>
          <w:color w:val="231F20"/>
        </w:rPr>
        <w:t>“a la </w:t>
      </w:r>
      <w:r>
        <w:rPr>
          <w:color w:val="231F20"/>
          <w:spacing w:val="2"/>
        </w:rPr>
        <w:t>realiza- ción </w:t>
      </w:r>
      <w:r>
        <w:rPr>
          <w:color w:val="231F20"/>
        </w:rPr>
        <w:t>de </w:t>
      </w:r>
      <w:r>
        <w:rPr>
          <w:color w:val="231F20"/>
          <w:spacing w:val="2"/>
        </w:rPr>
        <w:t>prácticas </w:t>
      </w:r>
      <w:r>
        <w:rPr>
          <w:color w:val="231F20"/>
        </w:rPr>
        <w:t>no </w:t>
      </w:r>
      <w:r>
        <w:rPr>
          <w:color w:val="231F20"/>
          <w:spacing w:val="3"/>
        </w:rPr>
        <w:t>remuneradas </w:t>
      </w:r>
      <w:r>
        <w:rPr>
          <w:color w:val="231F20"/>
        </w:rPr>
        <w:t>en </w:t>
      </w:r>
      <w:r>
        <w:rPr>
          <w:color w:val="231F20"/>
          <w:spacing w:val="3"/>
        </w:rPr>
        <w:t>empresas”, </w:t>
      </w:r>
      <w:r>
        <w:rPr>
          <w:color w:val="231F20"/>
        </w:rPr>
        <w:t>de allí </w:t>
      </w:r>
      <w:r>
        <w:rPr>
          <w:color w:val="231F20"/>
          <w:spacing w:val="2"/>
        </w:rPr>
        <w:t>que los estudiantes consideren </w:t>
      </w:r>
      <w:r>
        <w:rPr>
          <w:color w:val="231F20"/>
        </w:rPr>
        <w:t>que </w:t>
      </w:r>
      <w:r>
        <w:rPr>
          <w:color w:val="231F20"/>
          <w:spacing w:val="2"/>
        </w:rPr>
        <w:t>esta última medida </w:t>
      </w:r>
      <w:r>
        <w:rPr>
          <w:color w:val="231F20"/>
        </w:rPr>
        <w:t>lleva a que </w:t>
      </w:r>
      <w:r>
        <w:rPr>
          <w:color w:val="231F20"/>
          <w:spacing w:val="2"/>
        </w:rPr>
        <w:t>ellos</w:t>
      </w:r>
      <w:r>
        <w:rPr>
          <w:color w:val="231F20"/>
          <w:spacing w:val="56"/>
        </w:rPr>
        <w:t> </w:t>
      </w:r>
      <w:r>
        <w:rPr>
          <w:color w:val="231F20"/>
          <w:spacing w:val="2"/>
        </w:rPr>
        <w:t>paguen por trabajar </w:t>
      </w:r>
      <w:r>
        <w:rPr>
          <w:color w:val="231F20"/>
        </w:rPr>
        <w:t>en </w:t>
      </w:r>
      <w:r>
        <w:rPr>
          <w:color w:val="231F20"/>
          <w:spacing w:val="2"/>
        </w:rPr>
        <w:t>lugar </w:t>
      </w:r>
      <w:r>
        <w:rPr>
          <w:color w:val="231F20"/>
        </w:rPr>
        <w:t>de </w:t>
      </w:r>
      <w:r>
        <w:rPr>
          <w:color w:val="231F20"/>
          <w:spacing w:val="2"/>
        </w:rPr>
        <w:t>recibir </w:t>
      </w:r>
      <w:r>
        <w:rPr>
          <w:color w:val="231F20"/>
        </w:rPr>
        <w:t>un </w:t>
      </w:r>
      <w:r>
        <w:rPr>
          <w:color w:val="231F20"/>
          <w:spacing w:val="2"/>
        </w:rPr>
        <w:t>salario, puesto </w:t>
      </w:r>
      <w:r>
        <w:rPr>
          <w:color w:val="231F20"/>
        </w:rPr>
        <w:t>que </w:t>
      </w:r>
      <w:r>
        <w:rPr>
          <w:color w:val="231F20"/>
          <w:spacing w:val="2"/>
        </w:rPr>
        <w:t>los estudiantes pagan por los créditos que </w:t>
      </w:r>
      <w:r>
        <w:rPr>
          <w:color w:val="231F20"/>
        </w:rPr>
        <w:t>se </w:t>
      </w:r>
      <w:r>
        <w:rPr>
          <w:color w:val="231F20"/>
          <w:spacing w:val="2"/>
        </w:rPr>
        <w:t>otorgan </w:t>
      </w:r>
      <w:r>
        <w:rPr>
          <w:color w:val="231F20"/>
        </w:rPr>
        <w:t>a </w:t>
      </w:r>
      <w:r>
        <w:rPr>
          <w:color w:val="231F20"/>
          <w:spacing w:val="2"/>
        </w:rPr>
        <w:t>tales prácticas: este </w:t>
      </w:r>
      <w:r>
        <w:rPr>
          <w:color w:val="231F20"/>
        </w:rPr>
        <w:t>es un </w:t>
      </w:r>
      <w:r>
        <w:rPr>
          <w:color w:val="231F20"/>
          <w:spacing w:val="3"/>
        </w:rPr>
        <w:t>punto nodal </w:t>
      </w:r>
      <w:r>
        <w:rPr>
          <w:color w:val="231F20"/>
        </w:rPr>
        <w:t>de la </w:t>
      </w:r>
      <w:r>
        <w:rPr>
          <w:color w:val="231F20"/>
          <w:spacing w:val="2"/>
        </w:rPr>
        <w:t>oposición </w:t>
      </w:r>
      <w:r>
        <w:rPr>
          <w:color w:val="231F20"/>
        </w:rPr>
        <w:t>a la </w:t>
      </w:r>
      <w:r>
        <w:rPr>
          <w:color w:val="231F20"/>
          <w:spacing w:val="3"/>
        </w:rPr>
        <w:t>reforma </w:t>
      </w:r>
      <w:r>
        <w:rPr>
          <w:color w:val="231F20"/>
        </w:rPr>
        <w:t>a </w:t>
      </w:r>
      <w:r>
        <w:rPr>
          <w:color w:val="231F20"/>
          <w:spacing w:val="2"/>
        </w:rPr>
        <w:t>los </w:t>
      </w:r>
      <w:r>
        <w:rPr>
          <w:color w:val="231F20"/>
          <w:spacing w:val="3"/>
        </w:rPr>
        <w:t>estudios </w:t>
      </w:r>
      <w:r>
        <w:rPr>
          <w:color w:val="231F20"/>
          <w:spacing w:val="2"/>
        </w:rPr>
        <w:t>universitarios </w:t>
      </w:r>
      <w:r>
        <w:rPr>
          <w:color w:val="231F20"/>
        </w:rPr>
        <w:t>que </w:t>
      </w:r>
      <w:r>
        <w:rPr>
          <w:color w:val="231F20"/>
          <w:spacing w:val="3"/>
        </w:rPr>
        <w:t>propone </w:t>
      </w:r>
      <w:r>
        <w:rPr>
          <w:color w:val="231F20"/>
        </w:rPr>
        <w:t>el </w:t>
      </w:r>
      <w:r>
        <w:rPr>
          <w:color w:val="231F20"/>
          <w:spacing w:val="2"/>
        </w:rPr>
        <w:t>Proceso </w:t>
      </w:r>
      <w:r>
        <w:rPr>
          <w:color w:val="231F20"/>
        </w:rPr>
        <w:t>de </w:t>
      </w:r>
      <w:r>
        <w:rPr>
          <w:color w:val="231F20"/>
          <w:spacing w:val="2"/>
        </w:rPr>
        <w:t>Bolonia, pues los </w:t>
      </w:r>
      <w:r>
        <w:rPr>
          <w:color w:val="231F20"/>
          <w:spacing w:val="3"/>
        </w:rPr>
        <w:t>estu- </w:t>
      </w:r>
      <w:r>
        <w:rPr>
          <w:color w:val="231F20"/>
          <w:spacing w:val="2"/>
        </w:rPr>
        <w:t>diantes consideran que </w:t>
      </w:r>
      <w:r>
        <w:rPr>
          <w:color w:val="231F20"/>
        </w:rPr>
        <w:t>el </w:t>
      </w:r>
      <w:r>
        <w:rPr>
          <w:color w:val="231F20"/>
          <w:spacing w:val="2"/>
        </w:rPr>
        <w:t>sistema </w:t>
      </w:r>
      <w:r>
        <w:rPr>
          <w:color w:val="231F20"/>
        </w:rPr>
        <w:t>de </w:t>
      </w:r>
      <w:r>
        <w:rPr>
          <w:color w:val="231F20"/>
          <w:spacing w:val="2"/>
        </w:rPr>
        <w:t>grados, </w:t>
      </w:r>
      <w:r>
        <w:rPr>
          <w:color w:val="231F20"/>
        </w:rPr>
        <w:t>y la </w:t>
      </w:r>
      <w:r>
        <w:rPr>
          <w:color w:val="231F20"/>
          <w:spacing w:val="2"/>
        </w:rPr>
        <w:t>tendencia </w:t>
      </w:r>
      <w:r>
        <w:rPr>
          <w:color w:val="231F20"/>
        </w:rPr>
        <w:t>a </w:t>
      </w:r>
      <w:r>
        <w:rPr>
          <w:color w:val="231F20"/>
          <w:spacing w:val="2"/>
        </w:rPr>
        <w:t>im- </w:t>
      </w:r>
      <w:r>
        <w:rPr>
          <w:color w:val="231F20"/>
          <w:spacing w:val="3"/>
        </w:rPr>
        <w:t>poner </w:t>
      </w:r>
      <w:r>
        <w:rPr>
          <w:color w:val="231F20"/>
        </w:rPr>
        <w:t>la </w:t>
      </w:r>
      <w:r>
        <w:rPr>
          <w:color w:val="231F20"/>
          <w:spacing w:val="2"/>
        </w:rPr>
        <w:t>realización </w:t>
      </w:r>
      <w:r>
        <w:rPr>
          <w:color w:val="231F20"/>
        </w:rPr>
        <w:t>de </w:t>
      </w:r>
      <w:r>
        <w:rPr>
          <w:color w:val="231F20"/>
          <w:spacing w:val="2"/>
        </w:rPr>
        <w:t>prácticas por </w:t>
      </w:r>
      <w:r>
        <w:rPr>
          <w:color w:val="231F20"/>
        </w:rPr>
        <w:t>las que </w:t>
      </w:r>
      <w:r>
        <w:rPr>
          <w:color w:val="231F20"/>
          <w:spacing w:val="2"/>
        </w:rPr>
        <w:t>ellos pagan, </w:t>
      </w:r>
      <w:r>
        <w:rPr>
          <w:color w:val="231F20"/>
          <w:spacing w:val="3"/>
        </w:rPr>
        <w:t>constitu- </w:t>
      </w:r>
      <w:r>
        <w:rPr>
          <w:color w:val="231F20"/>
        </w:rPr>
        <w:t>ye un </w:t>
      </w:r>
      <w:r>
        <w:rPr>
          <w:color w:val="231F20"/>
          <w:spacing w:val="3"/>
        </w:rPr>
        <w:t>modo </w:t>
      </w:r>
      <w:r>
        <w:rPr>
          <w:color w:val="231F20"/>
        </w:rPr>
        <w:t>de </w:t>
      </w:r>
      <w:r>
        <w:rPr>
          <w:color w:val="231F20"/>
          <w:spacing w:val="2"/>
        </w:rPr>
        <w:t>asegurar </w:t>
      </w:r>
      <w:r>
        <w:rPr>
          <w:color w:val="231F20"/>
        </w:rPr>
        <w:t>a las </w:t>
      </w:r>
      <w:r>
        <w:rPr>
          <w:color w:val="231F20"/>
          <w:spacing w:val="3"/>
        </w:rPr>
        <w:t>empresas </w:t>
      </w:r>
      <w:r>
        <w:rPr>
          <w:color w:val="231F20"/>
          <w:spacing w:val="2"/>
        </w:rPr>
        <w:t>una cantidad anual </w:t>
      </w:r>
      <w:r>
        <w:rPr>
          <w:color w:val="231F20"/>
        </w:rPr>
        <w:t>de </w:t>
      </w:r>
      <w:r>
        <w:rPr>
          <w:color w:val="231F20"/>
          <w:spacing w:val="2"/>
        </w:rPr>
        <w:t>estudiantes que trabajen </w:t>
      </w:r>
      <w:r>
        <w:rPr>
          <w:color w:val="231F20"/>
        </w:rPr>
        <w:t>de </w:t>
      </w:r>
      <w:r>
        <w:rPr>
          <w:color w:val="231F20"/>
          <w:spacing w:val="3"/>
        </w:rPr>
        <w:t>manera </w:t>
      </w:r>
      <w:r>
        <w:rPr>
          <w:color w:val="231F20"/>
          <w:spacing w:val="2"/>
        </w:rPr>
        <w:t>gratuita, </w:t>
      </w:r>
      <w:r>
        <w:rPr>
          <w:color w:val="231F20"/>
        </w:rPr>
        <w:t>lo </w:t>
      </w:r>
      <w:r>
        <w:rPr>
          <w:color w:val="231F20"/>
          <w:spacing w:val="2"/>
        </w:rPr>
        <w:t>cual </w:t>
      </w:r>
      <w:r>
        <w:rPr>
          <w:color w:val="231F20"/>
        </w:rPr>
        <w:t>solo </w:t>
      </w:r>
      <w:r>
        <w:rPr>
          <w:color w:val="231F20"/>
          <w:spacing w:val="3"/>
        </w:rPr>
        <w:t>refuerza </w:t>
      </w:r>
      <w:r>
        <w:rPr>
          <w:color w:val="231F20"/>
        </w:rPr>
        <w:t>“la </w:t>
      </w:r>
      <w:r>
        <w:rPr>
          <w:color w:val="231F20"/>
          <w:spacing w:val="2"/>
        </w:rPr>
        <w:t>precariedad </w:t>
      </w:r>
      <w:r>
        <w:rPr>
          <w:color w:val="231F20"/>
        </w:rPr>
        <w:t>y la </w:t>
      </w:r>
      <w:r>
        <w:rPr>
          <w:color w:val="231F20"/>
          <w:spacing w:val="2"/>
        </w:rPr>
        <w:t>temporalidad </w:t>
      </w:r>
      <w:r>
        <w:rPr>
          <w:color w:val="231F20"/>
        </w:rPr>
        <w:t>del </w:t>
      </w:r>
      <w:r>
        <w:rPr>
          <w:color w:val="231F20"/>
          <w:spacing w:val="2"/>
        </w:rPr>
        <w:t>mercado </w:t>
      </w:r>
      <w:r>
        <w:rPr>
          <w:color w:val="231F20"/>
        </w:rPr>
        <w:t>de</w:t>
      </w:r>
      <w:r>
        <w:rPr>
          <w:color w:val="231F20"/>
          <w:spacing w:val="26"/>
        </w:rPr>
        <w:t> </w:t>
      </w:r>
      <w:r>
        <w:rPr>
          <w:color w:val="231F20"/>
          <w:spacing w:val="3"/>
        </w:rPr>
        <w:t>trabajo”.</w:t>
      </w:r>
    </w:p>
    <w:p>
      <w:pPr>
        <w:pStyle w:val="BodyText"/>
        <w:tabs>
          <w:tab w:pos="4840" w:val="left" w:leader="none"/>
        </w:tabs>
        <w:spacing w:line="249" w:lineRule="auto"/>
        <w:ind w:left="102" w:right="115" w:firstLine="284"/>
        <w:jc w:val="both"/>
      </w:pPr>
      <w:r>
        <w:rPr>
          <w:color w:val="231F20"/>
        </w:rPr>
        <w:t>En </w:t>
      </w:r>
      <w:r>
        <w:rPr>
          <w:color w:val="231F20"/>
          <w:spacing w:val="2"/>
        </w:rPr>
        <w:t>cuanto </w:t>
      </w:r>
      <w:r>
        <w:rPr>
          <w:color w:val="231F20"/>
        </w:rPr>
        <w:t>a la </w:t>
      </w:r>
      <w:r>
        <w:rPr>
          <w:color w:val="231F20"/>
          <w:spacing w:val="2"/>
        </w:rPr>
        <w:t>reorganización del </w:t>
      </w:r>
      <w:r>
        <w:rPr>
          <w:color w:val="231F20"/>
          <w:spacing w:val="3"/>
        </w:rPr>
        <w:t>posgrado como </w:t>
      </w:r>
      <w:r>
        <w:rPr>
          <w:color w:val="231F20"/>
        </w:rPr>
        <w:t>un  </w:t>
      </w:r>
      <w:r>
        <w:rPr>
          <w:color w:val="231F20"/>
          <w:spacing w:val="2"/>
        </w:rPr>
        <w:t>sistema  </w:t>
      </w:r>
      <w:r>
        <w:rPr>
          <w:color w:val="231F20"/>
        </w:rPr>
        <w:t>de </w:t>
      </w:r>
      <w:r>
        <w:rPr>
          <w:color w:val="231F20"/>
          <w:spacing w:val="2"/>
        </w:rPr>
        <w:t>masters, </w:t>
      </w:r>
      <w:r>
        <w:rPr>
          <w:color w:val="231F20"/>
        </w:rPr>
        <w:t>en </w:t>
      </w:r>
      <w:r>
        <w:rPr>
          <w:color w:val="231F20"/>
          <w:spacing w:val="2"/>
        </w:rPr>
        <w:t>reemplazo </w:t>
      </w:r>
      <w:r>
        <w:rPr>
          <w:color w:val="231F20"/>
        </w:rPr>
        <w:t>de </w:t>
      </w:r>
      <w:r>
        <w:rPr>
          <w:color w:val="231F20"/>
          <w:spacing w:val="2"/>
        </w:rPr>
        <w:t>los </w:t>
      </w:r>
      <w:r>
        <w:rPr>
          <w:color w:val="231F20"/>
          <w:spacing w:val="3"/>
        </w:rPr>
        <w:t>doctorados </w:t>
      </w:r>
      <w:r>
        <w:rPr>
          <w:color w:val="231F20"/>
          <w:spacing w:val="2"/>
        </w:rPr>
        <w:t>existentes, consideran los estudiantes </w:t>
      </w:r>
      <w:r>
        <w:rPr>
          <w:color w:val="231F20"/>
        </w:rPr>
        <w:t>que </w:t>
      </w:r>
      <w:r>
        <w:rPr>
          <w:color w:val="231F20"/>
          <w:spacing w:val="2"/>
        </w:rPr>
        <w:t>solo reforzarían </w:t>
      </w:r>
      <w:r>
        <w:rPr>
          <w:color w:val="231F20"/>
        </w:rPr>
        <w:t>la </w:t>
      </w:r>
      <w:r>
        <w:rPr>
          <w:color w:val="231F20"/>
          <w:spacing w:val="2"/>
        </w:rPr>
        <w:t>“elitización </w:t>
      </w:r>
      <w:r>
        <w:rPr>
          <w:color w:val="231F20"/>
        </w:rPr>
        <w:t>de la </w:t>
      </w:r>
      <w:r>
        <w:rPr>
          <w:color w:val="231F20"/>
          <w:spacing w:val="2"/>
        </w:rPr>
        <w:t>educación superior”, </w:t>
      </w:r>
      <w:r>
        <w:rPr>
          <w:color w:val="231F20"/>
        </w:rPr>
        <w:t>a la vez que </w:t>
      </w:r>
      <w:r>
        <w:rPr>
          <w:color w:val="231F20"/>
          <w:spacing w:val="2"/>
        </w:rPr>
        <w:t>coloca </w:t>
      </w:r>
      <w:r>
        <w:rPr>
          <w:color w:val="231F20"/>
        </w:rPr>
        <w:t>a </w:t>
      </w:r>
      <w:r>
        <w:rPr>
          <w:color w:val="231F20"/>
          <w:spacing w:val="3"/>
        </w:rPr>
        <w:t>muchos </w:t>
      </w:r>
      <w:r>
        <w:rPr>
          <w:color w:val="231F20"/>
        </w:rPr>
        <w:t>de </w:t>
      </w:r>
      <w:r>
        <w:rPr>
          <w:color w:val="231F20"/>
          <w:spacing w:val="2"/>
        </w:rPr>
        <w:t>esos estudios </w:t>
      </w:r>
      <w:r>
        <w:rPr>
          <w:color w:val="231F20"/>
        </w:rPr>
        <w:t>en </w:t>
      </w:r>
      <w:r>
        <w:rPr>
          <w:color w:val="231F20"/>
          <w:spacing w:val="2"/>
        </w:rPr>
        <w:t>ma-  nos </w:t>
      </w:r>
      <w:r>
        <w:rPr>
          <w:color w:val="231F20"/>
        </w:rPr>
        <w:t>de las </w:t>
      </w:r>
      <w:r>
        <w:rPr>
          <w:color w:val="231F20"/>
          <w:spacing w:val="3"/>
        </w:rPr>
        <w:t>empresas, </w:t>
      </w:r>
      <w:r>
        <w:rPr>
          <w:color w:val="231F20"/>
          <w:spacing w:val="2"/>
        </w:rPr>
        <w:t>pues por una parte </w:t>
      </w:r>
      <w:r>
        <w:rPr>
          <w:color w:val="231F20"/>
        </w:rPr>
        <w:t>“las </w:t>
      </w:r>
      <w:r>
        <w:rPr>
          <w:color w:val="231F20"/>
          <w:spacing w:val="2"/>
        </w:rPr>
        <w:t>tasas </w:t>
      </w:r>
      <w:r>
        <w:rPr>
          <w:color w:val="231F20"/>
        </w:rPr>
        <w:t>no </w:t>
      </w:r>
      <w:r>
        <w:rPr>
          <w:color w:val="231F20"/>
          <w:spacing w:val="2"/>
        </w:rPr>
        <w:t>estarán suje- </w:t>
      </w:r>
      <w:r>
        <w:rPr>
          <w:color w:val="231F20"/>
        </w:rPr>
        <w:t>tas a </w:t>
      </w:r>
      <w:r>
        <w:rPr>
          <w:color w:val="231F20"/>
          <w:spacing w:val="3"/>
        </w:rPr>
        <w:t>ninguna </w:t>
      </w:r>
      <w:r>
        <w:rPr>
          <w:color w:val="231F20"/>
          <w:spacing w:val="2"/>
        </w:rPr>
        <w:t>regulación, sino </w:t>
      </w:r>
      <w:r>
        <w:rPr>
          <w:color w:val="231F20"/>
        </w:rPr>
        <w:t>a la </w:t>
      </w:r>
      <w:r>
        <w:rPr>
          <w:color w:val="231F20"/>
          <w:spacing w:val="2"/>
        </w:rPr>
        <w:t>oferta </w:t>
      </w:r>
      <w:r>
        <w:rPr>
          <w:color w:val="231F20"/>
        </w:rPr>
        <w:t>y </w:t>
      </w:r>
      <w:r>
        <w:rPr>
          <w:color w:val="231F20"/>
          <w:spacing w:val="3"/>
        </w:rPr>
        <w:t>demanda. </w:t>
      </w:r>
      <w:r>
        <w:rPr>
          <w:color w:val="231F20"/>
        </w:rPr>
        <w:t>En </w:t>
      </w:r>
      <w:r>
        <w:rPr>
          <w:color w:val="231F20"/>
          <w:spacing w:val="2"/>
        </w:rPr>
        <w:t>este </w:t>
      </w:r>
      <w:r>
        <w:rPr>
          <w:color w:val="231F20"/>
          <w:spacing w:val="3"/>
        </w:rPr>
        <w:t>curso </w:t>
      </w:r>
      <w:r>
        <w:rPr>
          <w:color w:val="231F20"/>
          <w:spacing w:val="2"/>
        </w:rPr>
        <w:t>2007-08, </w:t>
      </w:r>
      <w:r>
        <w:rPr>
          <w:color w:val="231F20"/>
        </w:rPr>
        <w:t>el </w:t>
      </w:r>
      <w:r>
        <w:rPr>
          <w:color w:val="231F20"/>
          <w:spacing w:val="2"/>
        </w:rPr>
        <w:t>precio </w:t>
      </w:r>
      <w:r>
        <w:rPr>
          <w:color w:val="231F20"/>
        </w:rPr>
        <w:t>de un </w:t>
      </w:r>
      <w:r>
        <w:rPr>
          <w:color w:val="231F20"/>
          <w:spacing w:val="2"/>
        </w:rPr>
        <w:t>crédito </w:t>
      </w:r>
      <w:r>
        <w:rPr>
          <w:color w:val="231F20"/>
        </w:rPr>
        <w:t>de </w:t>
      </w:r>
      <w:r>
        <w:rPr>
          <w:color w:val="231F20"/>
          <w:spacing w:val="2"/>
        </w:rPr>
        <w:t>master triplica </w:t>
      </w:r>
      <w:r>
        <w:rPr>
          <w:color w:val="231F20"/>
        </w:rPr>
        <w:t>el </w:t>
      </w:r>
      <w:r>
        <w:rPr>
          <w:color w:val="231F20"/>
          <w:spacing w:val="2"/>
        </w:rPr>
        <w:t>precio del</w:t>
      </w:r>
      <w:r>
        <w:rPr>
          <w:color w:val="231F20"/>
          <w:spacing w:val="56"/>
        </w:rPr>
        <w:t> </w:t>
      </w:r>
      <w:r>
        <w:rPr>
          <w:color w:val="231F20"/>
          <w:spacing w:val="2"/>
        </w:rPr>
        <w:t>crédito </w:t>
      </w:r>
      <w:r>
        <w:rPr>
          <w:color w:val="231F20"/>
        </w:rPr>
        <w:t>de </w:t>
      </w:r>
      <w:r>
        <w:rPr>
          <w:color w:val="231F20"/>
          <w:spacing w:val="2"/>
        </w:rPr>
        <w:t>una licenciatura. Masters que por otro lado pueden </w:t>
      </w:r>
      <w:r>
        <w:rPr>
          <w:color w:val="231F20"/>
        </w:rPr>
        <w:t>ser </w:t>
      </w:r>
      <w:r>
        <w:rPr>
          <w:color w:val="231F20"/>
          <w:spacing w:val="2"/>
        </w:rPr>
        <w:t>dirigidos por </w:t>
      </w:r>
      <w:r>
        <w:rPr>
          <w:color w:val="231F20"/>
          <w:spacing w:val="3"/>
        </w:rPr>
        <w:t>empresas </w:t>
      </w:r>
      <w:r>
        <w:rPr>
          <w:color w:val="231F20"/>
          <w:spacing w:val="2"/>
        </w:rPr>
        <w:t>privadas, </w:t>
      </w:r>
      <w:r>
        <w:rPr>
          <w:color w:val="231F20"/>
          <w:spacing w:val="3"/>
        </w:rPr>
        <w:t>como actualmente </w:t>
      </w:r>
      <w:r>
        <w:rPr>
          <w:color w:val="231F20"/>
        </w:rPr>
        <w:t>ya </w:t>
      </w:r>
      <w:r>
        <w:rPr>
          <w:color w:val="231F20"/>
          <w:spacing w:val="2"/>
        </w:rPr>
        <w:t>sucede </w:t>
      </w:r>
      <w:r>
        <w:rPr>
          <w:color w:val="231F20"/>
          <w:spacing w:val="3"/>
        </w:rPr>
        <w:t>con </w:t>
      </w:r>
      <w:r>
        <w:rPr>
          <w:color w:val="231F20"/>
        </w:rPr>
        <w:t>la </w:t>
      </w:r>
      <w:r>
        <w:rPr>
          <w:color w:val="231F20"/>
          <w:spacing w:val="2"/>
        </w:rPr>
        <w:t>Cátedra </w:t>
      </w:r>
      <w:r>
        <w:rPr>
          <w:color w:val="231F20"/>
          <w:spacing w:val="3"/>
        </w:rPr>
        <w:t>Repsol </w:t>
      </w:r>
      <w:r>
        <w:rPr>
          <w:color w:val="231F20"/>
        </w:rPr>
        <w:t>en la </w:t>
      </w:r>
      <w:r>
        <w:rPr>
          <w:color w:val="231F20"/>
          <w:spacing w:val="2"/>
        </w:rPr>
        <w:t>Universidad Carlos </w:t>
      </w:r>
      <w:r>
        <w:rPr>
          <w:color w:val="231F20"/>
        </w:rPr>
        <w:t>iii </w:t>
      </w:r>
      <w:r>
        <w:rPr>
          <w:color w:val="231F20"/>
          <w:spacing w:val="2"/>
        </w:rPr>
        <w:t>(UCIII) </w:t>
      </w:r>
      <w:r>
        <w:rPr>
          <w:color w:val="231F20"/>
        </w:rPr>
        <w:t>de </w:t>
      </w:r>
      <w:r>
        <w:rPr>
          <w:color w:val="231F20"/>
          <w:spacing w:val="2"/>
        </w:rPr>
        <w:t>Madrid. Los postgrados divididos </w:t>
      </w:r>
      <w:r>
        <w:rPr>
          <w:color w:val="231F20"/>
        </w:rPr>
        <w:t>en </w:t>
      </w:r>
      <w:r>
        <w:rPr>
          <w:color w:val="231F20"/>
          <w:spacing w:val="2"/>
        </w:rPr>
        <w:t>dos años ofrecerán </w:t>
      </w:r>
      <w:r>
        <w:rPr>
          <w:color w:val="231F20"/>
        </w:rPr>
        <w:t>al </w:t>
      </w:r>
      <w:r>
        <w:rPr>
          <w:color w:val="231F20"/>
          <w:spacing w:val="2"/>
        </w:rPr>
        <w:t>estudiante, </w:t>
      </w:r>
      <w:r>
        <w:rPr>
          <w:color w:val="231F20"/>
        </w:rPr>
        <w:t>tal y </w:t>
      </w:r>
      <w:r>
        <w:rPr>
          <w:color w:val="231F20"/>
          <w:spacing w:val="3"/>
        </w:rPr>
        <w:t>como </w:t>
      </w:r>
      <w:r>
        <w:rPr>
          <w:color w:val="231F20"/>
          <w:spacing w:val="2"/>
        </w:rPr>
        <w:t>sucede </w:t>
      </w:r>
      <w:r>
        <w:rPr>
          <w:color w:val="231F20"/>
        </w:rPr>
        <w:t>en </w:t>
      </w:r>
      <w:r>
        <w:rPr>
          <w:color w:val="231F20"/>
          <w:spacing w:val="2"/>
        </w:rPr>
        <w:t>los grados, </w:t>
      </w:r>
      <w:r>
        <w:rPr>
          <w:color w:val="231F20"/>
        </w:rPr>
        <w:t>un </w:t>
      </w:r>
      <w:r>
        <w:rPr>
          <w:color w:val="231F20"/>
          <w:spacing w:val="2"/>
        </w:rPr>
        <w:t>curso entero </w:t>
      </w:r>
      <w:r>
        <w:rPr>
          <w:color w:val="231F20"/>
        </w:rPr>
        <w:t>de </w:t>
      </w:r>
      <w:r>
        <w:rPr>
          <w:color w:val="231F20"/>
          <w:spacing w:val="2"/>
        </w:rPr>
        <w:t>prácticas </w:t>
      </w:r>
      <w:r>
        <w:rPr>
          <w:color w:val="231F20"/>
        </w:rPr>
        <w:t>no re- </w:t>
      </w:r>
      <w:r>
        <w:rPr>
          <w:color w:val="231F20"/>
          <w:spacing w:val="2"/>
        </w:rPr>
        <w:t>muneradas </w:t>
      </w:r>
      <w:r>
        <w:rPr>
          <w:color w:val="231F20"/>
        </w:rPr>
        <w:t>en </w:t>
      </w:r>
      <w:r>
        <w:rPr>
          <w:color w:val="231F20"/>
          <w:spacing w:val="2"/>
        </w:rPr>
        <w:t>empresas. Pagado también </w:t>
      </w:r>
      <w:r>
        <w:rPr>
          <w:color w:val="231F20"/>
        </w:rPr>
        <w:t>a </w:t>
      </w:r>
      <w:r>
        <w:rPr>
          <w:color w:val="231F20"/>
          <w:spacing w:val="2"/>
        </w:rPr>
        <w:t>precio europeo, </w:t>
      </w:r>
      <w:r>
        <w:rPr>
          <w:color w:val="231F20"/>
          <w:spacing w:val="3"/>
        </w:rPr>
        <w:t>cer- </w:t>
      </w:r>
      <w:r>
        <w:rPr>
          <w:color w:val="231F20"/>
          <w:spacing w:val="2"/>
        </w:rPr>
        <w:t>cano </w:t>
      </w:r>
      <w:r>
        <w:rPr>
          <w:color w:val="231F20"/>
        </w:rPr>
        <w:t>a </w:t>
      </w:r>
      <w:r>
        <w:rPr>
          <w:color w:val="231F20"/>
          <w:spacing w:val="2"/>
        </w:rPr>
        <w:t>los 8.000 euros </w:t>
      </w:r>
      <w:r>
        <w:rPr>
          <w:color w:val="231F20"/>
        </w:rPr>
        <w:t>al </w:t>
      </w:r>
      <w:r>
        <w:rPr>
          <w:color w:val="231F20"/>
          <w:spacing w:val="2"/>
        </w:rPr>
        <w:t>año </w:t>
      </w:r>
      <w:r>
        <w:rPr>
          <w:color w:val="231F20"/>
          <w:spacing w:val="3"/>
        </w:rPr>
        <w:t>como </w:t>
      </w:r>
      <w:r>
        <w:rPr>
          <w:color w:val="231F20"/>
          <w:spacing w:val="2"/>
        </w:rPr>
        <w:t>afirman algunas fuentes”, </w:t>
      </w:r>
      <w:r>
        <w:rPr>
          <w:color w:val="231F20"/>
        </w:rPr>
        <w:t>al </w:t>
      </w:r>
      <w:r>
        <w:rPr>
          <w:color w:val="231F20"/>
          <w:spacing w:val="2"/>
        </w:rPr>
        <w:t>respecto, véanse los blogs </w:t>
      </w:r>
      <w:r>
        <w:rPr>
          <w:color w:val="231F20"/>
        </w:rPr>
        <w:t>de </w:t>
      </w:r>
      <w:r>
        <w:rPr>
          <w:color w:val="231F20"/>
          <w:spacing w:val="2"/>
        </w:rPr>
        <w:t>estudiantes </w:t>
      </w:r>
      <w:r>
        <w:rPr>
          <w:color w:val="231F20"/>
        </w:rPr>
        <w:t>de </w:t>
      </w:r>
      <w:r>
        <w:rPr>
          <w:color w:val="231F20"/>
          <w:spacing w:val="2"/>
        </w:rPr>
        <w:t>diversas universidades españolas, tales </w:t>
      </w:r>
      <w:r>
        <w:rPr>
          <w:color w:val="231F20"/>
          <w:spacing w:val="3"/>
        </w:rPr>
        <w:t>como: noabolonia.wordpress.com </w:t>
      </w:r>
      <w:r>
        <w:rPr>
          <w:color w:val="231F20"/>
          <w:spacing w:val="2"/>
        </w:rPr>
        <w:t>(Sevilla); espe- </w:t>
      </w:r>
      <w:r>
        <w:rPr>
          <w:color w:val="231F20"/>
          <w:spacing w:val="3"/>
        </w:rPr>
        <w:t>cialbolonya.wordpress.com</w:t>
        <w:tab/>
      </w:r>
      <w:r>
        <w:rPr>
          <w:color w:val="231F20"/>
          <w:spacing w:val="2"/>
          <w:w w:val="95"/>
        </w:rPr>
        <w:t>(Barcelona); </w:t>
      </w:r>
      <w:hyperlink r:id="rId221">
        <w:r>
          <w:rPr>
            <w:color w:val="231F20"/>
            <w:spacing w:val="2"/>
          </w:rPr>
          <w:t>www.universitatpublica.org</w:t>
        </w:r>
      </w:hyperlink>
      <w:r>
        <w:rPr>
          <w:color w:val="231F20"/>
          <w:spacing w:val="2"/>
        </w:rPr>
        <w:t> </w:t>
      </w:r>
      <w:r>
        <w:rPr>
          <w:color w:val="231F20"/>
          <w:spacing w:val="3"/>
        </w:rPr>
        <w:t>(PMDUP); infobolonia.blogspot.com </w:t>
      </w:r>
      <w:r>
        <w:rPr>
          <w:color w:val="231F20"/>
          <w:spacing w:val="2"/>
        </w:rPr>
        <w:t>(Madrid).</w:t>
      </w:r>
    </w:p>
    <w:p>
      <w:pPr>
        <w:pStyle w:val="BodyText"/>
        <w:spacing w:line="247" w:lineRule="auto"/>
        <w:ind w:left="103" w:right="114" w:firstLine="284"/>
        <w:jc w:val="both"/>
      </w:pPr>
      <w:r>
        <w:rPr>
          <w:color w:val="231F20"/>
        </w:rPr>
        <w:t>Por su parte, los estudiantes chilenos han constituido el Mo- vimiento Social por una Educación Pública y Gratuita, desde abril de 2011 han incrementado sus movilizaciones en rechazo a la política gubernamental, específicamente ante la expedición de la Ley de Aseguramiento de la Calidad de la Educación, que  estable-</w:t>
      </w:r>
    </w:p>
    <w:p>
      <w:pPr>
        <w:spacing w:after="0" w:line="247" w:lineRule="auto"/>
        <w:jc w:val="both"/>
        <w:sectPr>
          <w:headerReference w:type="default" r:id="rId219"/>
          <w:footerReference w:type="default" r:id="rId220"/>
          <w:pgSz w:w="7830" w:h="11910"/>
          <w:pgMar w:header="0" w:footer="424" w:top="500" w:bottom="620" w:left="920" w:right="900"/>
          <w:pgNumType w:start="10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20"/>
        <w:jc w:val="both"/>
      </w:pPr>
      <w:r>
        <w:rPr>
          <w:color w:val="231F20"/>
        </w:rPr>
        <w:t>ce “la creación de una Superintendencia y la Agencia de la Calidad de la Educación” y reitera el establecimiento de cuotas.</w:t>
      </w:r>
    </w:p>
    <w:p>
      <w:pPr>
        <w:pStyle w:val="BodyText"/>
        <w:tabs>
          <w:tab w:pos="1351" w:val="left" w:leader="none"/>
          <w:tab w:pos="2091" w:val="left" w:leader="none"/>
          <w:tab w:pos="2834" w:val="left" w:leader="none"/>
          <w:tab w:pos="3520" w:val="left" w:leader="none"/>
          <w:tab w:pos="4041" w:val="left" w:leader="none"/>
          <w:tab w:pos="4193" w:val="left" w:leader="none"/>
          <w:tab w:pos="4496" w:val="left" w:leader="none"/>
          <w:tab w:pos="5676" w:val="left" w:leader="none"/>
        </w:tabs>
        <w:spacing w:line="249" w:lineRule="auto" w:before="1"/>
        <w:ind w:left="101" w:right="115" w:firstLine="284"/>
      </w:pPr>
      <w:r>
        <w:rPr>
          <w:color w:val="231F20"/>
          <w:spacing w:val="2"/>
        </w:rPr>
        <w:t>Justificando </w:t>
      </w:r>
      <w:r>
        <w:rPr>
          <w:color w:val="231F20"/>
        </w:rPr>
        <w:t>la </w:t>
      </w:r>
      <w:r>
        <w:rPr>
          <w:color w:val="231F20"/>
          <w:spacing w:val="2"/>
        </w:rPr>
        <w:t>medida, </w:t>
      </w:r>
      <w:r>
        <w:rPr>
          <w:color w:val="231F20"/>
        </w:rPr>
        <w:t>el </w:t>
      </w:r>
      <w:r>
        <w:rPr>
          <w:color w:val="231F20"/>
          <w:spacing w:val="2"/>
        </w:rPr>
        <w:t>presidente Sebastián Piñera dice </w:t>
      </w:r>
      <w:r>
        <w:rPr>
          <w:color w:val="231F20"/>
          <w:spacing w:val="3"/>
        </w:rPr>
        <w:t>“na- </w:t>
      </w:r>
      <w:r>
        <w:rPr>
          <w:color w:val="231F20"/>
        </w:rPr>
        <w:t>da es </w:t>
      </w:r>
      <w:r>
        <w:rPr>
          <w:color w:val="231F20"/>
          <w:spacing w:val="2"/>
        </w:rPr>
        <w:t>gratis </w:t>
      </w:r>
      <w:r>
        <w:rPr>
          <w:color w:val="231F20"/>
        </w:rPr>
        <w:t>en la </w:t>
      </w:r>
      <w:r>
        <w:rPr>
          <w:color w:val="231F20"/>
          <w:spacing w:val="2"/>
        </w:rPr>
        <w:t>vida </w:t>
      </w:r>
      <w:r>
        <w:rPr>
          <w:color w:val="231F20"/>
        </w:rPr>
        <w:t>y al </w:t>
      </w:r>
      <w:r>
        <w:rPr>
          <w:color w:val="231F20"/>
          <w:spacing w:val="2"/>
        </w:rPr>
        <w:t>final </w:t>
      </w:r>
      <w:r>
        <w:rPr>
          <w:color w:val="231F20"/>
        </w:rPr>
        <w:t>lo </w:t>
      </w:r>
      <w:r>
        <w:rPr>
          <w:color w:val="231F20"/>
          <w:spacing w:val="2"/>
        </w:rPr>
        <w:t>paga todo </w:t>
      </w:r>
      <w:r>
        <w:rPr>
          <w:color w:val="231F20"/>
        </w:rPr>
        <w:t>la </w:t>
      </w:r>
      <w:r>
        <w:rPr>
          <w:color w:val="231F20"/>
          <w:spacing w:val="2"/>
        </w:rPr>
        <w:t>sociedad </w:t>
      </w:r>
      <w:r>
        <w:rPr>
          <w:color w:val="231F20"/>
        </w:rPr>
        <w:t>a </w:t>
      </w:r>
      <w:r>
        <w:rPr>
          <w:color w:val="231F20"/>
          <w:spacing w:val="2"/>
        </w:rPr>
        <w:t>través </w:t>
      </w:r>
      <w:r>
        <w:rPr>
          <w:color w:val="231F20"/>
        </w:rPr>
        <w:t>de </w:t>
      </w:r>
      <w:r>
        <w:rPr>
          <w:color w:val="231F20"/>
          <w:spacing w:val="2"/>
        </w:rPr>
        <w:t>los </w:t>
      </w:r>
      <w:r>
        <w:rPr>
          <w:color w:val="231F20"/>
          <w:spacing w:val="3"/>
        </w:rPr>
        <w:t>impuestos”; </w:t>
      </w:r>
      <w:r>
        <w:rPr>
          <w:color w:val="231F20"/>
          <w:spacing w:val="2"/>
        </w:rPr>
        <w:t>los estudiantes exigen una nueva </w:t>
      </w:r>
      <w:r>
        <w:rPr>
          <w:color w:val="231F20"/>
          <w:spacing w:val="3"/>
        </w:rPr>
        <w:t>propuesta </w:t>
      </w:r>
      <w:r>
        <w:rPr>
          <w:color w:val="231F20"/>
        </w:rPr>
        <w:t>de </w:t>
      </w:r>
      <w:r>
        <w:rPr>
          <w:color w:val="231F20"/>
          <w:spacing w:val="2"/>
        </w:rPr>
        <w:t>Ley </w:t>
      </w:r>
      <w:r>
        <w:rPr>
          <w:color w:val="231F20"/>
        </w:rPr>
        <w:t>y un </w:t>
      </w:r>
      <w:r>
        <w:rPr>
          <w:color w:val="231F20"/>
          <w:spacing w:val="2"/>
        </w:rPr>
        <w:t>plebiscito, </w:t>
      </w:r>
      <w:r>
        <w:rPr>
          <w:color w:val="231F20"/>
          <w:spacing w:val="3"/>
        </w:rPr>
        <w:t>como puede </w:t>
      </w:r>
      <w:r>
        <w:rPr>
          <w:color w:val="231F20"/>
          <w:spacing w:val="2"/>
        </w:rPr>
        <w:t>verse </w:t>
      </w:r>
      <w:r>
        <w:rPr>
          <w:color w:val="231F20"/>
          <w:spacing w:val="3"/>
        </w:rPr>
        <w:t>en“Mantienen </w:t>
      </w:r>
      <w:r>
        <w:rPr>
          <w:color w:val="231F20"/>
          <w:spacing w:val="2"/>
        </w:rPr>
        <w:t>estudiantes </w:t>
      </w:r>
      <w:r>
        <w:rPr>
          <w:color w:val="231F20"/>
        </w:rPr>
        <w:t>chi- </w:t>
      </w:r>
      <w:r>
        <w:rPr>
          <w:color w:val="231F20"/>
          <w:spacing w:val="2"/>
        </w:rPr>
        <w:t>lenos </w:t>
      </w:r>
      <w:r>
        <w:rPr>
          <w:color w:val="231F20"/>
        </w:rPr>
        <w:t>sus </w:t>
      </w:r>
      <w:r>
        <w:rPr>
          <w:color w:val="231F20"/>
          <w:spacing w:val="3"/>
        </w:rPr>
        <w:t>demandas </w:t>
      </w:r>
      <w:r>
        <w:rPr>
          <w:color w:val="231F20"/>
        </w:rPr>
        <w:t>a </w:t>
      </w:r>
      <w:r>
        <w:rPr>
          <w:color w:val="231F20"/>
          <w:spacing w:val="2"/>
        </w:rPr>
        <w:t>pesar </w:t>
      </w:r>
      <w:r>
        <w:rPr>
          <w:color w:val="231F20"/>
        </w:rPr>
        <w:t>de ley </w:t>
      </w:r>
      <w:r>
        <w:rPr>
          <w:color w:val="231F20"/>
          <w:spacing w:val="3"/>
        </w:rPr>
        <w:t>gubernamental”, </w:t>
      </w:r>
      <w:r>
        <w:rPr>
          <w:color w:val="231F20"/>
          <w:spacing w:val="2"/>
        </w:rPr>
        <w:t>disponible en: </w:t>
      </w:r>
      <w:hyperlink r:id="rId224">
        <w:r>
          <w:rPr>
            <w:color w:val="231F20"/>
            <w:spacing w:val="4"/>
            <w:w w:val="104"/>
          </w:rPr>
          <w:t>h</w:t>
        </w:r>
        <w:r>
          <w:rPr>
            <w:color w:val="231F20"/>
            <w:spacing w:val="3"/>
            <w:w w:val="107"/>
          </w:rPr>
          <w:t>tt</w:t>
        </w:r>
        <w:r>
          <w:rPr>
            <w:color w:val="231F20"/>
            <w:spacing w:val="4"/>
            <w:w w:val="104"/>
          </w:rPr>
          <w:t>p</w:t>
        </w:r>
        <w:r>
          <w:rPr>
            <w:color w:val="231F20"/>
            <w:spacing w:val="2"/>
            <w:w w:val="80"/>
          </w:rPr>
          <w:t>:</w:t>
        </w:r>
        <w:r>
          <w:rPr>
            <w:color w:val="231F20"/>
            <w:spacing w:val="3"/>
            <w:w w:val="185"/>
          </w:rPr>
          <w:t>//</w:t>
        </w:r>
        <w:r>
          <w:rPr>
            <w:color w:val="231F20"/>
            <w:spacing w:val="4"/>
            <w:w w:val="94"/>
          </w:rPr>
          <w:t>www</w:t>
        </w:r>
        <w:r>
          <w:rPr>
            <w:color w:val="231F20"/>
            <w:spacing w:val="2"/>
            <w:w w:val="90"/>
          </w:rPr>
          <w:t>.</w:t>
        </w:r>
        <w:r>
          <w:rPr>
            <w:color w:val="231F20"/>
            <w:spacing w:val="3"/>
            <w:w w:val="103"/>
          </w:rPr>
          <w:t>r</w:t>
        </w:r>
        <w:r>
          <w:rPr>
            <w:color w:val="231F20"/>
            <w:spacing w:val="3"/>
            <w:w w:val="98"/>
          </w:rPr>
          <w:t>ad</w:t>
        </w:r>
        <w:r>
          <w:rPr>
            <w:color w:val="231F20"/>
            <w:spacing w:val="2"/>
            <w:w w:val="84"/>
          </w:rPr>
          <w:t>i</w:t>
        </w:r>
        <w:r>
          <w:rPr>
            <w:color w:val="231F20"/>
            <w:spacing w:val="4"/>
            <w:w w:val="104"/>
          </w:rPr>
          <w:t>oh</w:t>
        </w:r>
        <w:r>
          <w:rPr>
            <w:color w:val="231F20"/>
            <w:spacing w:val="3"/>
            <w:w w:val="96"/>
          </w:rPr>
          <w:t>c</w:t>
        </w:r>
        <w:r>
          <w:rPr>
            <w:color w:val="231F20"/>
            <w:spacing w:val="2"/>
            <w:w w:val="90"/>
          </w:rPr>
          <w:t>.</w:t>
        </w:r>
        <w:r>
          <w:rPr>
            <w:color w:val="231F20"/>
            <w:spacing w:val="3"/>
            <w:w w:val="96"/>
          </w:rPr>
          <w:t>c</w:t>
        </w:r>
        <w:r>
          <w:rPr>
            <w:color w:val="231F20"/>
            <w:spacing w:val="3"/>
            <w:w w:val="100"/>
          </w:rPr>
          <w:t>u</w:t>
        </w:r>
        <w:r>
          <w:rPr>
            <w:color w:val="231F20"/>
            <w:spacing w:val="3"/>
            <w:w w:val="185"/>
          </w:rPr>
          <w:t>/</w:t>
        </w:r>
        <w:r>
          <w:rPr>
            <w:color w:val="231F20"/>
            <w:spacing w:val="4"/>
            <w:w w:val="104"/>
          </w:rPr>
          <w:t>no</w:t>
        </w:r>
        <w:r>
          <w:rPr>
            <w:color w:val="231F20"/>
            <w:spacing w:val="3"/>
            <w:w w:val="107"/>
          </w:rPr>
          <w:t>t</w:t>
        </w:r>
        <w:r>
          <w:rPr>
            <w:color w:val="231F20"/>
            <w:spacing w:val="2"/>
            <w:w w:val="84"/>
          </w:rPr>
          <w:t>i</w:t>
        </w:r>
        <w:r>
          <w:rPr>
            <w:color w:val="231F20"/>
            <w:spacing w:val="3"/>
            <w:w w:val="96"/>
          </w:rPr>
          <w:t>c</w:t>
        </w:r>
        <w:r>
          <w:rPr>
            <w:color w:val="231F20"/>
            <w:spacing w:val="2"/>
            <w:w w:val="84"/>
          </w:rPr>
          <w:t>i</w:t>
        </w:r>
        <w:r>
          <w:rPr>
            <w:color w:val="231F20"/>
            <w:spacing w:val="3"/>
            <w:w w:val="95"/>
          </w:rPr>
          <w:t>as</w:t>
        </w:r>
        <w:r>
          <w:rPr>
            <w:color w:val="231F20"/>
            <w:spacing w:val="3"/>
            <w:w w:val="185"/>
          </w:rPr>
          <w:t>/</w:t>
        </w:r>
        <w:r>
          <w:rPr>
            <w:color w:val="231F20"/>
            <w:spacing w:val="2"/>
            <w:w w:val="84"/>
          </w:rPr>
          <w:t>i</w:t>
        </w:r>
        <w:r>
          <w:rPr>
            <w:color w:val="231F20"/>
            <w:spacing w:val="4"/>
            <w:w w:val="104"/>
          </w:rPr>
          <w:t>n</w:t>
        </w:r>
        <w:r>
          <w:rPr>
            <w:color w:val="231F20"/>
            <w:spacing w:val="3"/>
            <w:w w:val="107"/>
          </w:rPr>
          <w:t>t</w:t>
        </w:r>
        <w:r>
          <w:rPr>
            <w:color w:val="231F20"/>
            <w:spacing w:val="3"/>
            <w:w w:val="96"/>
          </w:rPr>
          <w:t>e</w:t>
        </w:r>
        <w:r>
          <w:rPr>
            <w:color w:val="231F20"/>
            <w:spacing w:val="3"/>
            <w:w w:val="103"/>
          </w:rPr>
          <w:t>r</w:t>
        </w:r>
        <w:r>
          <w:rPr>
            <w:color w:val="231F20"/>
            <w:spacing w:val="4"/>
            <w:w w:val="104"/>
          </w:rPr>
          <w:t>n</w:t>
        </w:r>
        <w:r>
          <w:rPr>
            <w:color w:val="231F20"/>
            <w:spacing w:val="3"/>
            <w:w w:val="95"/>
          </w:rPr>
          <w:t>ac</w:t>
        </w:r>
        <w:r>
          <w:rPr>
            <w:color w:val="231F20"/>
            <w:spacing w:val="2"/>
            <w:w w:val="84"/>
          </w:rPr>
          <w:t>i</w:t>
        </w:r>
        <w:r>
          <w:rPr>
            <w:color w:val="231F20"/>
            <w:spacing w:val="4"/>
            <w:w w:val="104"/>
          </w:rPr>
          <w:t>on</w:t>
        </w:r>
        <w:r>
          <w:rPr>
            <w:color w:val="231F20"/>
            <w:spacing w:val="3"/>
            <w:w w:val="90"/>
          </w:rPr>
          <w:t>a</w:t>
        </w:r>
        <w:r>
          <w:rPr>
            <w:color w:val="231F20"/>
            <w:spacing w:val="2"/>
            <w:w w:val="90"/>
          </w:rPr>
          <w:t>l</w:t>
        </w:r>
        <w:r>
          <w:rPr>
            <w:color w:val="231F20"/>
            <w:spacing w:val="3"/>
            <w:w w:val="96"/>
          </w:rPr>
          <w:t>e</w:t>
        </w:r>
        <w:r>
          <w:rPr>
            <w:color w:val="231F20"/>
            <w:spacing w:val="3"/>
            <w:w w:val="96"/>
          </w:rPr>
          <w:t>s</w:t>
        </w:r>
        <w:r>
          <w:rPr>
            <w:color w:val="231F20"/>
            <w:spacing w:val="3"/>
            <w:w w:val="185"/>
          </w:rPr>
          <w:t>/</w:t>
        </w:r>
        <w:r>
          <w:rPr>
            <w:color w:val="231F20"/>
            <w:spacing w:val="3"/>
            <w:w w:val="96"/>
          </w:rPr>
          <w:t>440</w:t>
        </w:r>
        <w:r>
          <w:rPr>
            <w:color w:val="231F20"/>
            <w:spacing w:val="5"/>
            <w:w w:val="96"/>
          </w:rPr>
          <w:t>9</w:t>
        </w:r>
        <w:r>
          <w:rPr>
            <w:color w:val="231F20"/>
            <w:w w:val="96"/>
          </w:rPr>
          <w:t>-</w:t>
        </w:r>
      </w:hyperlink>
      <w:r>
        <w:rPr>
          <w:color w:val="231F20"/>
          <w:w w:val="96"/>
        </w:rPr>
        <w:t> </w:t>
      </w:r>
      <w:r>
        <w:rPr>
          <w:color w:val="231F20"/>
          <w:spacing w:val="3"/>
        </w:rPr>
        <w:t>mantienen-estudiantes-chilenos-sus-demandas-a-pesar-de-ley- </w:t>
      </w:r>
      <w:r>
        <w:rPr>
          <w:color w:val="231F20"/>
          <w:spacing w:val="2"/>
        </w:rPr>
        <w:t>gube </w:t>
      </w:r>
      <w:r>
        <w:rPr>
          <w:color w:val="231F20"/>
        </w:rPr>
        <w:t>[10 de </w:t>
      </w:r>
      <w:r>
        <w:rPr>
          <w:color w:val="231F20"/>
          <w:spacing w:val="3"/>
        </w:rPr>
        <w:t>octubre </w:t>
      </w:r>
      <w:r>
        <w:rPr>
          <w:color w:val="231F20"/>
        </w:rPr>
        <w:t>de </w:t>
      </w:r>
      <w:r>
        <w:rPr>
          <w:color w:val="231F20"/>
          <w:spacing w:val="2"/>
        </w:rPr>
        <w:t>2011]; </w:t>
      </w:r>
      <w:r>
        <w:rPr>
          <w:color w:val="231F20"/>
        </w:rPr>
        <w:t>y </w:t>
      </w:r>
      <w:r>
        <w:rPr>
          <w:color w:val="231F20"/>
          <w:spacing w:val="2"/>
        </w:rPr>
        <w:t>“Las </w:t>
      </w:r>
      <w:r>
        <w:rPr>
          <w:color w:val="231F20"/>
          <w:spacing w:val="3"/>
        </w:rPr>
        <w:t>demandas </w:t>
      </w:r>
      <w:r>
        <w:rPr>
          <w:color w:val="231F20"/>
        </w:rPr>
        <w:t>de </w:t>
      </w:r>
      <w:r>
        <w:rPr>
          <w:color w:val="231F20"/>
          <w:spacing w:val="2"/>
        </w:rPr>
        <w:t>los estudiantes chilenos</w:t>
        <w:tab/>
      </w:r>
      <w:r>
        <w:rPr>
          <w:color w:val="231F20"/>
        </w:rPr>
        <w:t>en</w:t>
        <w:tab/>
        <w:t>12</w:t>
        <w:tab/>
      </w:r>
      <w:r>
        <w:rPr>
          <w:color w:val="231F20"/>
          <w:spacing w:val="2"/>
        </w:rPr>
        <w:t>idiomas”,</w:t>
        <w:tab/>
        <w:tab/>
        <w:t>consultado</w:t>
        <w:tab/>
      </w:r>
      <w:r>
        <w:rPr>
          <w:color w:val="231F20"/>
        </w:rPr>
        <w:t>en </w:t>
      </w:r>
      <w:hyperlink r:id="rId225">
        <w:r>
          <w:rPr>
            <w:color w:val="231F20"/>
            <w:spacing w:val="3"/>
          </w:rPr>
          <w:t>http://www.animalpolitico.com/2011/08/las-demandas-de-los-</w:t>
        </w:r>
      </w:hyperlink>
      <w:r>
        <w:rPr>
          <w:color w:val="231F20"/>
          <w:spacing w:val="3"/>
        </w:rPr>
        <w:t> </w:t>
      </w:r>
      <w:r>
        <w:rPr>
          <w:color w:val="231F20"/>
          <w:spacing w:val="3"/>
          <w:w w:val="96"/>
        </w:rPr>
        <w:t>e</w:t>
      </w:r>
      <w:r>
        <w:rPr>
          <w:color w:val="231F20"/>
          <w:spacing w:val="3"/>
          <w:w w:val="96"/>
        </w:rPr>
        <w:t>s</w:t>
      </w:r>
      <w:r>
        <w:rPr>
          <w:color w:val="231F20"/>
          <w:spacing w:val="3"/>
          <w:w w:val="107"/>
        </w:rPr>
        <w:t>t</w:t>
      </w:r>
      <w:r>
        <w:rPr>
          <w:color w:val="231F20"/>
          <w:spacing w:val="4"/>
          <w:w w:val="100"/>
        </w:rPr>
        <w:t>u</w:t>
      </w:r>
      <w:r>
        <w:rPr>
          <w:color w:val="231F20"/>
          <w:spacing w:val="4"/>
          <w:w w:val="102"/>
        </w:rPr>
        <w:t>d</w:t>
      </w:r>
      <w:r>
        <w:rPr>
          <w:color w:val="231F20"/>
          <w:spacing w:val="2"/>
          <w:w w:val="84"/>
        </w:rPr>
        <w:t>i</w:t>
      </w:r>
      <w:r>
        <w:rPr>
          <w:color w:val="231F20"/>
          <w:spacing w:val="3"/>
          <w:w w:val="94"/>
        </w:rPr>
        <w:t>a</w:t>
      </w:r>
      <w:r>
        <w:rPr>
          <w:color w:val="231F20"/>
          <w:spacing w:val="4"/>
          <w:w w:val="104"/>
        </w:rPr>
        <w:t>n</w:t>
      </w:r>
      <w:r>
        <w:rPr>
          <w:color w:val="231F20"/>
          <w:spacing w:val="3"/>
          <w:w w:val="107"/>
        </w:rPr>
        <w:t>t</w:t>
      </w:r>
      <w:r>
        <w:rPr>
          <w:color w:val="231F20"/>
          <w:spacing w:val="3"/>
          <w:w w:val="96"/>
        </w:rPr>
        <w:t>e</w:t>
      </w:r>
      <w:r>
        <w:rPr>
          <w:color w:val="231F20"/>
          <w:spacing w:val="3"/>
          <w:w w:val="96"/>
        </w:rPr>
        <w:t>s</w:t>
      </w:r>
      <w:r>
        <w:rPr>
          <w:color w:val="231F20"/>
          <w:spacing w:val="3"/>
          <w:w w:val="96"/>
        </w:rPr>
        <w:t>-c</w:t>
      </w:r>
      <w:r>
        <w:rPr>
          <w:color w:val="231F20"/>
          <w:spacing w:val="4"/>
          <w:w w:val="97"/>
        </w:rPr>
        <w:t>h</w:t>
      </w:r>
      <w:r>
        <w:rPr>
          <w:color w:val="231F20"/>
          <w:spacing w:val="2"/>
          <w:w w:val="97"/>
        </w:rPr>
        <w:t>i</w:t>
      </w:r>
      <w:r>
        <w:rPr>
          <w:color w:val="231F20"/>
          <w:spacing w:val="2"/>
          <w:w w:val="84"/>
        </w:rPr>
        <w:t>l</w:t>
      </w:r>
      <w:r>
        <w:rPr>
          <w:color w:val="231F20"/>
          <w:spacing w:val="3"/>
          <w:w w:val="96"/>
        </w:rPr>
        <w:t>e</w:t>
      </w:r>
      <w:r>
        <w:rPr>
          <w:color w:val="231F20"/>
          <w:spacing w:val="4"/>
          <w:w w:val="102"/>
        </w:rPr>
        <w:t>no</w:t>
      </w:r>
      <w:r>
        <w:rPr>
          <w:color w:val="231F20"/>
          <w:spacing w:val="3"/>
          <w:w w:val="102"/>
        </w:rPr>
        <w:t>s</w:t>
      </w:r>
      <w:r>
        <w:rPr>
          <w:color w:val="231F20"/>
          <w:spacing w:val="3"/>
          <w:w w:val="96"/>
        </w:rPr>
        <w:t>-e</w:t>
      </w:r>
      <w:r>
        <w:rPr>
          <w:color w:val="231F20"/>
          <w:spacing w:val="3"/>
          <w:w w:val="104"/>
        </w:rPr>
        <w:t>n</w:t>
      </w:r>
      <w:r>
        <w:rPr>
          <w:color w:val="231F20"/>
          <w:spacing w:val="3"/>
          <w:w w:val="96"/>
        </w:rPr>
        <w:t>-</w:t>
      </w:r>
      <w:r>
        <w:rPr>
          <w:color w:val="231F20"/>
          <w:spacing w:val="3"/>
          <w:w w:val="96"/>
        </w:rPr>
        <w:t>12</w:t>
      </w:r>
      <w:r>
        <w:rPr>
          <w:color w:val="231F20"/>
          <w:spacing w:val="3"/>
          <w:w w:val="96"/>
        </w:rPr>
        <w:t>-</w:t>
      </w:r>
      <w:r>
        <w:rPr>
          <w:color w:val="231F20"/>
          <w:spacing w:val="2"/>
          <w:w w:val="84"/>
        </w:rPr>
        <w:t>i</w:t>
      </w:r>
      <w:r>
        <w:rPr>
          <w:color w:val="231F20"/>
          <w:spacing w:val="4"/>
          <w:w w:val="102"/>
        </w:rPr>
        <w:t>d</w:t>
      </w:r>
      <w:r>
        <w:rPr>
          <w:color w:val="231F20"/>
          <w:spacing w:val="2"/>
          <w:w w:val="84"/>
        </w:rPr>
        <w:t>i</w:t>
      </w:r>
      <w:r>
        <w:rPr>
          <w:color w:val="231F20"/>
          <w:spacing w:val="4"/>
          <w:w w:val="103"/>
        </w:rPr>
        <w:t>o</w:t>
      </w:r>
      <w:r>
        <w:rPr>
          <w:color w:val="231F20"/>
          <w:spacing w:val="5"/>
          <w:w w:val="103"/>
        </w:rPr>
        <w:t>m</w:t>
      </w:r>
      <w:r>
        <w:rPr>
          <w:color w:val="231F20"/>
          <w:spacing w:val="3"/>
          <w:w w:val="94"/>
        </w:rPr>
        <w:t>a</w:t>
      </w:r>
      <w:r>
        <w:rPr>
          <w:color w:val="231F20"/>
          <w:spacing w:val="3"/>
          <w:w w:val="96"/>
        </w:rPr>
        <w:t>s</w:t>
      </w:r>
      <w:r>
        <w:rPr>
          <w:color w:val="231F20"/>
          <w:w w:val="185"/>
        </w:rPr>
        <w:t>/</w:t>
      </w:r>
      <w:r>
        <w:rPr>
          <w:color w:val="231F20"/>
        </w:rPr>
        <w:tab/>
      </w:r>
      <w:r>
        <w:rPr>
          <w:color w:val="231F20"/>
          <w:spacing w:val="3"/>
          <w:w w:val="83"/>
        </w:rPr>
        <w:t>[</w:t>
      </w:r>
      <w:r>
        <w:rPr>
          <w:color w:val="231F20"/>
          <w:spacing w:val="3"/>
          <w:w w:val="96"/>
        </w:rPr>
        <w:t>1</w:t>
      </w:r>
      <w:r>
        <w:rPr>
          <w:color w:val="231F20"/>
          <w:w w:val="96"/>
        </w:rPr>
        <w:t>2</w:t>
      </w:r>
      <w:r>
        <w:rPr>
          <w:color w:val="231F20"/>
        </w:rPr>
        <w:tab/>
      </w:r>
      <w:r>
        <w:rPr>
          <w:color w:val="231F20"/>
          <w:spacing w:val="4"/>
          <w:w w:val="102"/>
        </w:rPr>
        <w:t>d</w:t>
      </w:r>
      <w:r>
        <w:rPr>
          <w:color w:val="231F20"/>
          <w:w w:val="96"/>
        </w:rPr>
        <w:t>e</w:t>
      </w:r>
      <w:r>
        <w:rPr>
          <w:color w:val="231F20"/>
        </w:rPr>
        <w:tab/>
      </w:r>
      <w:r>
        <w:rPr>
          <w:color w:val="231F20"/>
          <w:spacing w:val="4"/>
          <w:w w:val="102"/>
        </w:rPr>
        <w:t>no</w:t>
      </w:r>
      <w:r>
        <w:rPr>
          <w:color w:val="231F20"/>
          <w:spacing w:val="3"/>
          <w:w w:val="102"/>
        </w:rPr>
        <w:t>v</w:t>
      </w:r>
      <w:r>
        <w:rPr>
          <w:color w:val="231F20"/>
          <w:spacing w:val="2"/>
          <w:w w:val="84"/>
        </w:rPr>
        <w:t>i</w:t>
      </w:r>
      <w:r>
        <w:rPr>
          <w:color w:val="231F20"/>
          <w:spacing w:val="3"/>
          <w:w w:val="96"/>
        </w:rPr>
        <w:t>e</w:t>
      </w:r>
      <w:r>
        <w:rPr>
          <w:color w:val="231F20"/>
          <w:spacing w:val="5"/>
          <w:w w:val="101"/>
        </w:rPr>
        <w:t>m</w:t>
      </w:r>
      <w:r>
        <w:rPr>
          <w:color w:val="231F20"/>
          <w:spacing w:val="4"/>
          <w:w w:val="104"/>
        </w:rPr>
        <w:t>b</w:t>
      </w:r>
      <w:r>
        <w:rPr>
          <w:color w:val="231F20"/>
          <w:spacing w:val="3"/>
          <w:w w:val="104"/>
        </w:rPr>
        <w:t>r</w:t>
      </w:r>
      <w:r>
        <w:rPr>
          <w:color w:val="231F20"/>
          <w:w w:val="96"/>
        </w:rPr>
        <w:t>e</w:t>
      </w:r>
      <w:r>
        <w:rPr>
          <w:color w:val="231F20"/>
        </w:rPr>
        <w:tab/>
      </w:r>
      <w:r>
        <w:rPr>
          <w:color w:val="231F20"/>
          <w:w w:val="5"/>
        </w:rPr>
        <w:t> </w:t>
      </w:r>
      <w:r>
        <w:rPr>
          <w:color w:val="231F20"/>
          <w:spacing w:val="4"/>
          <w:w w:val="102"/>
        </w:rPr>
        <w:t>d</w:t>
      </w:r>
      <w:r>
        <w:rPr>
          <w:color w:val="231F20"/>
          <w:w w:val="96"/>
        </w:rPr>
        <w:t>e </w:t>
      </w:r>
      <w:r>
        <w:rPr>
          <w:color w:val="231F20"/>
          <w:spacing w:val="2"/>
        </w:rPr>
        <w:t>2011];así </w:t>
      </w:r>
      <w:r>
        <w:rPr>
          <w:color w:val="231F20"/>
          <w:spacing w:val="3"/>
        </w:rPr>
        <w:t>como </w:t>
      </w:r>
      <w:r>
        <w:rPr>
          <w:color w:val="231F20"/>
          <w:spacing w:val="2"/>
        </w:rPr>
        <w:t>exigen </w:t>
      </w:r>
      <w:r>
        <w:rPr>
          <w:color w:val="231F20"/>
          <w:spacing w:val="3"/>
        </w:rPr>
        <w:t>mayor </w:t>
      </w:r>
      <w:r>
        <w:rPr>
          <w:color w:val="231F20"/>
          <w:spacing w:val="2"/>
        </w:rPr>
        <w:t>financiamiento </w:t>
      </w:r>
      <w:r>
        <w:rPr>
          <w:color w:val="231F20"/>
        </w:rPr>
        <w:t>a la </w:t>
      </w:r>
      <w:r>
        <w:rPr>
          <w:color w:val="231F20"/>
          <w:spacing w:val="2"/>
        </w:rPr>
        <w:t>educación públi- </w:t>
      </w:r>
      <w:r>
        <w:rPr>
          <w:color w:val="231F20"/>
        </w:rPr>
        <w:t>ca, </w:t>
      </w:r>
      <w:r>
        <w:rPr>
          <w:color w:val="231F20"/>
          <w:spacing w:val="2"/>
        </w:rPr>
        <w:t>gratuidad </w:t>
      </w:r>
      <w:r>
        <w:rPr>
          <w:color w:val="231F20"/>
        </w:rPr>
        <w:t>en </w:t>
      </w:r>
      <w:r>
        <w:rPr>
          <w:color w:val="231F20"/>
          <w:spacing w:val="2"/>
        </w:rPr>
        <w:t>toda </w:t>
      </w:r>
      <w:r>
        <w:rPr>
          <w:color w:val="231F20"/>
        </w:rPr>
        <w:t>la </w:t>
      </w:r>
      <w:r>
        <w:rPr>
          <w:color w:val="231F20"/>
          <w:spacing w:val="2"/>
        </w:rPr>
        <w:t>educación pública, antes que una </w:t>
      </w:r>
      <w:r>
        <w:rPr>
          <w:color w:val="231F20"/>
          <w:spacing w:val="3"/>
        </w:rPr>
        <w:t>reorga- </w:t>
      </w:r>
      <w:r>
        <w:rPr>
          <w:color w:val="231F20"/>
          <w:spacing w:val="2"/>
        </w:rPr>
        <w:t>nización </w:t>
      </w:r>
      <w:r>
        <w:rPr>
          <w:color w:val="231F20"/>
        </w:rPr>
        <w:t>de </w:t>
      </w:r>
      <w:r>
        <w:rPr>
          <w:color w:val="231F20"/>
          <w:spacing w:val="2"/>
        </w:rPr>
        <w:t>créditos para los estudios. Las movilizaciones, </w:t>
      </w:r>
      <w:r>
        <w:rPr>
          <w:color w:val="231F20"/>
        </w:rPr>
        <w:t>y </w:t>
      </w:r>
      <w:r>
        <w:rPr>
          <w:color w:val="231F20"/>
          <w:spacing w:val="2"/>
        </w:rPr>
        <w:t>los </w:t>
      </w:r>
      <w:r>
        <w:rPr>
          <w:color w:val="231F20"/>
          <w:spacing w:val="3"/>
        </w:rPr>
        <w:t>argumentos, </w:t>
      </w:r>
      <w:r>
        <w:rPr>
          <w:color w:val="231F20"/>
        </w:rPr>
        <w:t>de </w:t>
      </w:r>
      <w:r>
        <w:rPr>
          <w:color w:val="231F20"/>
          <w:spacing w:val="2"/>
        </w:rPr>
        <w:t>los estudiantes </w:t>
      </w:r>
      <w:r>
        <w:rPr>
          <w:color w:val="231F20"/>
        </w:rPr>
        <w:t>se </w:t>
      </w:r>
      <w:r>
        <w:rPr>
          <w:color w:val="231F20"/>
          <w:spacing w:val="3"/>
        </w:rPr>
        <w:t>comprenden </w:t>
      </w:r>
      <w:r>
        <w:rPr>
          <w:color w:val="231F20"/>
          <w:spacing w:val="2"/>
        </w:rPr>
        <w:t>debido </w:t>
      </w:r>
      <w:r>
        <w:rPr>
          <w:color w:val="231F20"/>
        </w:rPr>
        <w:t>a </w:t>
      </w:r>
      <w:r>
        <w:rPr>
          <w:color w:val="231F20"/>
          <w:spacing w:val="2"/>
        </w:rPr>
        <w:t>que, </w:t>
      </w:r>
      <w:r>
        <w:rPr>
          <w:color w:val="231F20"/>
        </w:rPr>
        <w:t>en </w:t>
      </w:r>
      <w:r>
        <w:rPr>
          <w:color w:val="231F20"/>
          <w:spacing w:val="2"/>
        </w:rPr>
        <w:t>Chile, </w:t>
      </w:r>
      <w:r>
        <w:rPr>
          <w:color w:val="231F20"/>
        </w:rPr>
        <w:t>la </w:t>
      </w:r>
      <w:r>
        <w:rPr>
          <w:color w:val="231F20"/>
          <w:spacing w:val="2"/>
        </w:rPr>
        <w:t>privatización </w:t>
      </w:r>
      <w:r>
        <w:rPr>
          <w:color w:val="231F20"/>
        </w:rPr>
        <w:t>de la </w:t>
      </w:r>
      <w:r>
        <w:rPr>
          <w:color w:val="231F20"/>
          <w:spacing w:val="2"/>
        </w:rPr>
        <w:t>educación </w:t>
      </w:r>
      <w:r>
        <w:rPr>
          <w:color w:val="231F20"/>
        </w:rPr>
        <w:t>ha </w:t>
      </w:r>
      <w:r>
        <w:rPr>
          <w:color w:val="231F20"/>
          <w:spacing w:val="2"/>
        </w:rPr>
        <w:t>avanzado más rápido </w:t>
      </w:r>
      <w:r>
        <w:rPr>
          <w:color w:val="231F20"/>
          <w:spacing w:val="56"/>
        </w:rPr>
        <w:t> </w:t>
      </w:r>
      <w:r>
        <w:rPr>
          <w:color w:val="231F20"/>
        </w:rPr>
        <w:t>que en el </w:t>
      </w:r>
      <w:r>
        <w:rPr>
          <w:color w:val="231F20"/>
          <w:spacing w:val="2"/>
        </w:rPr>
        <w:t>resto </w:t>
      </w:r>
      <w:r>
        <w:rPr>
          <w:color w:val="231F20"/>
        </w:rPr>
        <w:t>de </w:t>
      </w:r>
      <w:r>
        <w:rPr>
          <w:color w:val="231F20"/>
          <w:spacing w:val="2"/>
        </w:rPr>
        <w:t>los países </w:t>
      </w:r>
      <w:r>
        <w:rPr>
          <w:color w:val="231F20"/>
          <w:spacing w:val="3"/>
        </w:rPr>
        <w:t>latinoamericanos, </w:t>
      </w:r>
      <w:r>
        <w:rPr>
          <w:color w:val="231F20"/>
          <w:spacing w:val="2"/>
        </w:rPr>
        <w:t>desde </w:t>
      </w:r>
      <w:r>
        <w:rPr>
          <w:color w:val="231F20"/>
        </w:rPr>
        <w:t>la </w:t>
      </w:r>
      <w:r>
        <w:rPr>
          <w:color w:val="231F20"/>
          <w:spacing w:val="2"/>
        </w:rPr>
        <w:t>época </w:t>
      </w:r>
      <w:r>
        <w:rPr>
          <w:color w:val="231F20"/>
        </w:rPr>
        <w:t>de </w:t>
      </w:r>
      <w:r>
        <w:rPr>
          <w:color w:val="231F20"/>
          <w:spacing w:val="2"/>
        </w:rPr>
        <w:t>Augusto </w:t>
      </w:r>
      <w:r>
        <w:rPr>
          <w:color w:val="231F20"/>
          <w:spacing w:val="3"/>
        </w:rPr>
        <w:t>Pinochet, </w:t>
      </w:r>
      <w:r>
        <w:rPr>
          <w:color w:val="231F20"/>
          <w:spacing w:val="2"/>
        </w:rPr>
        <w:t>que, </w:t>
      </w:r>
      <w:r>
        <w:rPr>
          <w:color w:val="231F20"/>
        </w:rPr>
        <w:t>en </w:t>
      </w:r>
      <w:r>
        <w:rPr>
          <w:color w:val="231F20"/>
          <w:spacing w:val="2"/>
        </w:rPr>
        <w:t>1980, expidió </w:t>
      </w:r>
      <w:r>
        <w:rPr>
          <w:color w:val="231F20"/>
        </w:rPr>
        <w:t>la </w:t>
      </w:r>
      <w:r>
        <w:rPr>
          <w:color w:val="231F20"/>
          <w:spacing w:val="2"/>
        </w:rPr>
        <w:t>Ley Orgánica </w:t>
      </w:r>
      <w:r>
        <w:rPr>
          <w:color w:val="231F20"/>
          <w:spacing w:val="3"/>
        </w:rPr>
        <w:t>Consti- </w:t>
      </w:r>
      <w:r>
        <w:rPr>
          <w:color w:val="231F20"/>
          <w:spacing w:val="2"/>
        </w:rPr>
        <w:t>tucional </w:t>
      </w:r>
      <w:r>
        <w:rPr>
          <w:color w:val="231F20"/>
        </w:rPr>
        <w:t>de </w:t>
      </w:r>
      <w:r>
        <w:rPr>
          <w:color w:val="231F20"/>
          <w:spacing w:val="3"/>
        </w:rPr>
        <w:t>Enseñanza </w:t>
      </w:r>
      <w:r>
        <w:rPr>
          <w:color w:val="231F20"/>
          <w:spacing w:val="2"/>
        </w:rPr>
        <w:t>mediante </w:t>
      </w:r>
      <w:r>
        <w:rPr>
          <w:color w:val="231F20"/>
        </w:rPr>
        <w:t>la </w:t>
      </w:r>
      <w:r>
        <w:rPr>
          <w:color w:val="231F20"/>
          <w:spacing w:val="2"/>
        </w:rPr>
        <w:t>cual </w:t>
      </w:r>
      <w:r>
        <w:rPr>
          <w:color w:val="231F20"/>
        </w:rPr>
        <w:t>se dejó en </w:t>
      </w:r>
      <w:r>
        <w:rPr>
          <w:color w:val="231F20"/>
          <w:spacing w:val="3"/>
        </w:rPr>
        <w:t>manos privadas </w:t>
      </w:r>
      <w:r>
        <w:rPr>
          <w:color w:val="231F20"/>
        </w:rPr>
        <w:t>la </w:t>
      </w:r>
      <w:r>
        <w:rPr>
          <w:color w:val="231F20"/>
          <w:spacing w:val="3"/>
        </w:rPr>
        <w:t>mayor </w:t>
      </w:r>
      <w:r>
        <w:rPr>
          <w:color w:val="231F20"/>
          <w:spacing w:val="2"/>
        </w:rPr>
        <w:t>parte </w:t>
      </w:r>
      <w:r>
        <w:rPr>
          <w:color w:val="231F20"/>
        </w:rPr>
        <w:t>de la </w:t>
      </w:r>
      <w:r>
        <w:rPr>
          <w:color w:val="231F20"/>
          <w:spacing w:val="3"/>
        </w:rPr>
        <w:t>educación, </w:t>
      </w:r>
      <w:r>
        <w:rPr>
          <w:color w:val="231F20"/>
          <w:spacing w:val="2"/>
        </w:rPr>
        <w:t>pero fue hasta 2006, </w:t>
      </w:r>
      <w:r>
        <w:rPr>
          <w:color w:val="231F20"/>
          <w:spacing w:val="3"/>
        </w:rPr>
        <w:t>cuando </w:t>
      </w:r>
      <w:r>
        <w:rPr>
          <w:color w:val="231F20"/>
          <w:spacing w:val="2"/>
        </w:rPr>
        <w:t>los estudiantes </w:t>
      </w:r>
      <w:r>
        <w:rPr>
          <w:color w:val="231F20"/>
          <w:spacing w:val="3"/>
        </w:rPr>
        <w:t>comenzaron </w:t>
      </w:r>
      <w:r>
        <w:rPr>
          <w:color w:val="231F20"/>
        </w:rPr>
        <w:t>a </w:t>
      </w:r>
      <w:r>
        <w:rPr>
          <w:color w:val="231F20"/>
          <w:spacing w:val="2"/>
        </w:rPr>
        <w:t>movilizarse </w:t>
      </w:r>
      <w:r>
        <w:rPr>
          <w:color w:val="231F20"/>
        </w:rPr>
        <w:t>en </w:t>
      </w:r>
      <w:r>
        <w:rPr>
          <w:color w:val="231F20"/>
          <w:spacing w:val="2"/>
        </w:rPr>
        <w:t>contra </w:t>
      </w:r>
      <w:r>
        <w:rPr>
          <w:color w:val="231F20"/>
        </w:rPr>
        <w:t>de </w:t>
      </w:r>
      <w:r>
        <w:rPr>
          <w:color w:val="231F20"/>
          <w:spacing w:val="2"/>
        </w:rPr>
        <w:t>dicha Ley, logrando que </w:t>
      </w:r>
      <w:r>
        <w:rPr>
          <w:color w:val="231F20"/>
        </w:rPr>
        <w:t>se </w:t>
      </w:r>
      <w:r>
        <w:rPr>
          <w:color w:val="231F20"/>
          <w:spacing w:val="2"/>
        </w:rPr>
        <w:t>emitiera otra </w:t>
      </w:r>
      <w:r>
        <w:rPr>
          <w:color w:val="231F20"/>
        </w:rPr>
        <w:t>en </w:t>
      </w:r>
      <w:r>
        <w:rPr>
          <w:color w:val="231F20"/>
          <w:spacing w:val="2"/>
        </w:rPr>
        <w:t>2009 (Ley </w:t>
      </w:r>
      <w:r>
        <w:rPr>
          <w:color w:val="231F20"/>
          <w:spacing w:val="3"/>
        </w:rPr>
        <w:t>General </w:t>
      </w:r>
      <w:r>
        <w:rPr>
          <w:color w:val="231F20"/>
        </w:rPr>
        <w:t>de </w:t>
      </w:r>
      <w:r>
        <w:rPr>
          <w:color w:val="231F20"/>
          <w:spacing w:val="3"/>
        </w:rPr>
        <w:t>Educa- </w:t>
      </w:r>
      <w:r>
        <w:rPr>
          <w:color w:val="231F20"/>
          <w:spacing w:val="2"/>
        </w:rPr>
        <w:t>ción), pero </w:t>
      </w:r>
      <w:r>
        <w:rPr>
          <w:color w:val="231F20"/>
        </w:rPr>
        <w:t>no </w:t>
      </w:r>
      <w:r>
        <w:rPr>
          <w:color w:val="231F20"/>
          <w:spacing w:val="2"/>
        </w:rPr>
        <w:t>introdujo </w:t>
      </w:r>
      <w:r>
        <w:rPr>
          <w:color w:val="231F20"/>
          <w:spacing w:val="3"/>
        </w:rPr>
        <w:t>cambios </w:t>
      </w:r>
      <w:r>
        <w:rPr>
          <w:color w:val="231F20"/>
          <w:spacing w:val="2"/>
        </w:rPr>
        <w:t>significativos, </w:t>
      </w:r>
      <w:r>
        <w:rPr>
          <w:color w:val="231F20"/>
          <w:spacing w:val="3"/>
        </w:rPr>
        <w:t>como </w:t>
      </w:r>
      <w:r>
        <w:rPr>
          <w:color w:val="231F20"/>
          <w:spacing w:val="2"/>
        </w:rPr>
        <w:t>puede leer- </w:t>
      </w:r>
      <w:r>
        <w:rPr>
          <w:color w:val="231F20"/>
        </w:rPr>
        <w:t>se en </w:t>
      </w:r>
      <w:r>
        <w:rPr>
          <w:color w:val="231F20"/>
          <w:spacing w:val="2"/>
        </w:rPr>
        <w:t>“Movilización estudiantil </w:t>
      </w:r>
      <w:r>
        <w:rPr>
          <w:color w:val="231F20"/>
        </w:rPr>
        <w:t>en </w:t>
      </w:r>
      <w:r>
        <w:rPr>
          <w:color w:val="231F20"/>
          <w:spacing w:val="2"/>
        </w:rPr>
        <w:t>Chile </w:t>
      </w:r>
      <w:r>
        <w:rPr>
          <w:color w:val="231F20"/>
        </w:rPr>
        <w:t>de </w:t>
      </w:r>
      <w:r>
        <w:rPr>
          <w:color w:val="231F20"/>
          <w:spacing w:val="2"/>
        </w:rPr>
        <w:t>2011”, disponible en: </w:t>
      </w:r>
      <w:hyperlink r:id="rId226">
        <w:r>
          <w:rPr>
            <w:color w:val="231F20"/>
            <w:spacing w:val="4"/>
            <w:w w:val="104"/>
          </w:rPr>
          <w:t>h</w:t>
        </w:r>
        <w:r>
          <w:rPr>
            <w:color w:val="231F20"/>
            <w:spacing w:val="3"/>
            <w:w w:val="107"/>
          </w:rPr>
          <w:t>tt</w:t>
        </w:r>
        <w:r>
          <w:rPr>
            <w:color w:val="231F20"/>
            <w:spacing w:val="4"/>
            <w:w w:val="104"/>
          </w:rPr>
          <w:t>p</w:t>
        </w:r>
        <w:r>
          <w:rPr>
            <w:color w:val="231F20"/>
            <w:spacing w:val="2"/>
            <w:w w:val="133"/>
          </w:rPr>
          <w:t>:</w:t>
        </w:r>
        <w:r>
          <w:rPr>
            <w:color w:val="231F20"/>
            <w:spacing w:val="3"/>
            <w:w w:val="133"/>
          </w:rPr>
          <w:t>/</w:t>
        </w:r>
        <w:r>
          <w:rPr>
            <w:color w:val="231F20"/>
            <w:spacing w:val="3"/>
            <w:w w:val="185"/>
          </w:rPr>
          <w:t>/</w:t>
        </w:r>
        <w:r>
          <w:rPr>
            <w:color w:val="231F20"/>
            <w:spacing w:val="3"/>
            <w:w w:val="96"/>
          </w:rPr>
          <w:t>e</w:t>
        </w:r>
        <w:r>
          <w:rPr>
            <w:color w:val="231F20"/>
            <w:spacing w:val="3"/>
            <w:w w:val="96"/>
          </w:rPr>
          <w:t>s</w:t>
        </w:r>
        <w:r>
          <w:rPr>
            <w:color w:val="231F20"/>
            <w:spacing w:val="2"/>
            <w:w w:val="93"/>
          </w:rPr>
          <w:t>.</w:t>
        </w:r>
        <w:r>
          <w:rPr>
            <w:color w:val="231F20"/>
            <w:spacing w:val="4"/>
            <w:w w:val="93"/>
          </w:rPr>
          <w:t>w</w:t>
        </w:r>
        <w:r>
          <w:rPr>
            <w:color w:val="231F20"/>
            <w:spacing w:val="2"/>
            <w:w w:val="92"/>
          </w:rPr>
          <w:t>i</w:t>
        </w:r>
        <w:r>
          <w:rPr>
            <w:color w:val="231F20"/>
            <w:spacing w:val="3"/>
            <w:w w:val="92"/>
          </w:rPr>
          <w:t>k</w:t>
        </w:r>
        <w:r>
          <w:rPr>
            <w:color w:val="231F20"/>
            <w:spacing w:val="2"/>
            <w:w w:val="97"/>
          </w:rPr>
          <w:t>i</w:t>
        </w:r>
        <w:r>
          <w:rPr>
            <w:color w:val="231F20"/>
            <w:spacing w:val="4"/>
            <w:w w:val="97"/>
          </w:rPr>
          <w:t>p</w:t>
        </w:r>
        <w:r>
          <w:rPr>
            <w:color w:val="231F20"/>
            <w:spacing w:val="3"/>
            <w:w w:val="96"/>
          </w:rPr>
          <w:t>e</w:t>
        </w:r>
        <w:r>
          <w:rPr>
            <w:color w:val="231F20"/>
            <w:spacing w:val="3"/>
            <w:w w:val="102"/>
          </w:rPr>
          <w:t>d</w:t>
        </w:r>
        <w:r>
          <w:rPr>
            <w:color w:val="231F20"/>
            <w:spacing w:val="2"/>
            <w:w w:val="90"/>
          </w:rPr>
          <w:t>i</w:t>
        </w:r>
        <w:r>
          <w:rPr>
            <w:color w:val="231F20"/>
            <w:spacing w:val="3"/>
            <w:w w:val="90"/>
          </w:rPr>
          <w:t>a</w:t>
        </w:r>
        <w:r>
          <w:rPr>
            <w:color w:val="231F20"/>
            <w:spacing w:val="2"/>
            <w:w w:val="99"/>
          </w:rPr>
          <w:t>.</w:t>
        </w:r>
        <w:r>
          <w:rPr>
            <w:color w:val="231F20"/>
            <w:spacing w:val="4"/>
            <w:w w:val="99"/>
          </w:rPr>
          <w:t>o</w:t>
        </w:r>
        <w:r>
          <w:rPr>
            <w:color w:val="231F20"/>
            <w:spacing w:val="3"/>
            <w:w w:val="103"/>
          </w:rPr>
          <w:t>r</w:t>
        </w:r>
        <w:r>
          <w:rPr>
            <w:color w:val="231F20"/>
            <w:spacing w:val="3"/>
            <w:w w:val="92"/>
          </w:rPr>
          <w:t>g</w:t>
        </w:r>
        <w:r>
          <w:rPr>
            <w:color w:val="231F20"/>
            <w:spacing w:val="3"/>
            <w:w w:val="185"/>
          </w:rPr>
          <w:t>/</w:t>
        </w:r>
        <w:r>
          <w:rPr>
            <w:color w:val="231F20"/>
            <w:spacing w:val="4"/>
            <w:w w:val="94"/>
          </w:rPr>
          <w:t>w</w:t>
        </w:r>
        <w:r>
          <w:rPr>
            <w:color w:val="231F20"/>
            <w:spacing w:val="2"/>
            <w:w w:val="92"/>
          </w:rPr>
          <w:t>i</w:t>
        </w:r>
        <w:r>
          <w:rPr>
            <w:color w:val="231F20"/>
            <w:spacing w:val="3"/>
            <w:w w:val="92"/>
          </w:rPr>
          <w:t>k</w:t>
        </w:r>
        <w:r>
          <w:rPr>
            <w:color w:val="231F20"/>
            <w:spacing w:val="2"/>
            <w:w w:val="134"/>
          </w:rPr>
          <w:t>i</w:t>
        </w:r>
        <w:r>
          <w:rPr>
            <w:color w:val="231F20"/>
            <w:spacing w:val="3"/>
            <w:w w:val="134"/>
          </w:rPr>
          <w:t>/</w:t>
        </w:r>
        <w:r>
          <w:rPr>
            <w:color w:val="231F20"/>
            <w:spacing w:val="5"/>
            <w:w w:val="96"/>
          </w:rPr>
          <w:t>M</w:t>
        </w:r>
        <w:r>
          <w:rPr>
            <w:color w:val="231F20"/>
            <w:spacing w:val="4"/>
            <w:w w:val="104"/>
          </w:rPr>
          <w:t>o</w:t>
        </w:r>
        <w:r>
          <w:rPr>
            <w:color w:val="231F20"/>
            <w:spacing w:val="3"/>
            <w:w w:val="96"/>
          </w:rPr>
          <w:t>v</w:t>
        </w:r>
        <w:r>
          <w:rPr>
            <w:color w:val="231F20"/>
            <w:spacing w:val="2"/>
            <w:w w:val="89"/>
          </w:rPr>
          <w:t>ili</w:t>
        </w:r>
        <w:r>
          <w:rPr>
            <w:color w:val="231F20"/>
            <w:spacing w:val="3"/>
            <w:w w:val="89"/>
          </w:rPr>
          <w:t>z</w:t>
        </w:r>
        <w:r>
          <w:rPr>
            <w:color w:val="231F20"/>
            <w:spacing w:val="3"/>
            <w:w w:val="94"/>
          </w:rPr>
          <w:t>a</w:t>
        </w:r>
        <w:r>
          <w:rPr>
            <w:color w:val="231F20"/>
            <w:spacing w:val="3"/>
            <w:w w:val="96"/>
          </w:rPr>
          <w:t>c</w:t>
        </w:r>
        <w:r>
          <w:rPr>
            <w:color w:val="231F20"/>
            <w:spacing w:val="2"/>
            <w:w w:val="97"/>
          </w:rPr>
          <w:t>i</w:t>
        </w:r>
        <w:r>
          <w:rPr>
            <w:color w:val="231F20"/>
            <w:spacing w:val="5"/>
            <w:w w:val="97"/>
          </w:rPr>
          <w:t>%</w:t>
        </w:r>
        <w:r>
          <w:rPr>
            <w:color w:val="231F20"/>
            <w:spacing w:val="4"/>
            <w:w w:val="97"/>
          </w:rPr>
          <w:t>C</w:t>
        </w:r>
        <w:r>
          <w:rPr>
            <w:color w:val="231F20"/>
            <w:spacing w:val="3"/>
            <w:w w:val="96"/>
          </w:rPr>
          <w:t>3</w:t>
        </w:r>
        <w:r>
          <w:rPr>
            <w:color w:val="231F20"/>
            <w:spacing w:val="5"/>
            <w:w w:val="101"/>
          </w:rPr>
          <w:t>%</w:t>
        </w:r>
        <w:r>
          <w:rPr>
            <w:color w:val="231F20"/>
            <w:spacing w:val="4"/>
            <w:w w:val="94"/>
          </w:rPr>
          <w:t>B</w:t>
        </w:r>
        <w:r>
          <w:rPr>
            <w:color w:val="231F20"/>
            <w:spacing w:val="3"/>
            <w:w w:val="96"/>
          </w:rPr>
          <w:t>3</w:t>
        </w:r>
        <w:r>
          <w:rPr>
            <w:color w:val="231F20"/>
            <w:spacing w:val="4"/>
            <w:w w:val="104"/>
          </w:rPr>
          <w:t>n</w:t>
        </w:r>
        <w:r>
          <w:rPr>
            <w:color w:val="231F20"/>
            <w:spacing w:val="3"/>
            <w:w w:val="102"/>
          </w:rPr>
          <w:t>_</w:t>
        </w:r>
        <w:r>
          <w:rPr>
            <w:color w:val="231F20"/>
            <w:spacing w:val="3"/>
            <w:w w:val="96"/>
          </w:rPr>
          <w:t>e</w:t>
        </w:r>
        <w:r>
          <w:rPr>
            <w:color w:val="231F20"/>
            <w:spacing w:val="3"/>
            <w:w w:val="96"/>
          </w:rPr>
          <w:t>s</w:t>
        </w:r>
        <w:r>
          <w:rPr>
            <w:color w:val="231F20"/>
            <w:spacing w:val="3"/>
            <w:w w:val="107"/>
          </w:rPr>
          <w:t>t</w:t>
        </w:r>
        <w:r>
          <w:rPr>
            <w:color w:val="231F20"/>
            <w:spacing w:val="3"/>
            <w:w w:val="100"/>
          </w:rPr>
          <w:t>u</w:t>
        </w:r>
        <w:r>
          <w:rPr>
            <w:color w:val="231F20"/>
            <w:spacing w:val="3"/>
            <w:w w:val="102"/>
          </w:rPr>
          <w:t>d</w:t>
        </w:r>
        <w:r>
          <w:rPr>
            <w:color w:val="231F20"/>
            <w:spacing w:val="2"/>
            <w:w w:val="90"/>
          </w:rPr>
          <w:t>i</w:t>
        </w:r>
        <w:r>
          <w:rPr>
            <w:color w:val="231F20"/>
            <w:spacing w:val="3"/>
            <w:w w:val="90"/>
          </w:rPr>
          <w:t>a</w:t>
        </w:r>
        <w:r>
          <w:rPr>
            <w:color w:val="231F20"/>
            <w:spacing w:val="4"/>
            <w:w w:val="104"/>
          </w:rPr>
          <w:t>n</w:t>
        </w:r>
        <w:r>
          <w:rPr>
            <w:color w:val="231F20"/>
            <w:spacing w:val="3"/>
            <w:w w:val="107"/>
          </w:rPr>
          <w:t>t</w:t>
        </w:r>
        <w:r>
          <w:rPr>
            <w:color w:val="231F20"/>
            <w:spacing w:val="2"/>
            <w:w w:val="93"/>
          </w:rPr>
          <w:t>il</w:t>
        </w:r>
        <w:r>
          <w:rPr>
            <w:color w:val="231F20"/>
            <w:spacing w:val="3"/>
            <w:w w:val="93"/>
          </w:rPr>
          <w:t>_</w:t>
        </w:r>
        <w:r>
          <w:rPr>
            <w:color w:val="231F20"/>
            <w:w w:val="96"/>
          </w:rPr>
          <w:t>e</w:t>
        </w:r>
      </w:hyperlink>
      <w:r>
        <w:rPr>
          <w:color w:val="231F20"/>
          <w:w w:val="96"/>
        </w:rPr>
        <w:t> </w:t>
      </w:r>
      <w:r>
        <w:rPr>
          <w:color w:val="231F20"/>
          <w:spacing w:val="2"/>
        </w:rPr>
        <w:t>n_Chile_de_2011 [15 </w:t>
      </w:r>
      <w:r>
        <w:rPr>
          <w:color w:val="231F20"/>
        </w:rPr>
        <w:t>de </w:t>
      </w:r>
      <w:r>
        <w:rPr>
          <w:color w:val="231F20"/>
          <w:spacing w:val="3"/>
        </w:rPr>
        <w:t>noviembre </w:t>
      </w:r>
      <w:r>
        <w:rPr>
          <w:color w:val="231F20"/>
        </w:rPr>
        <w:t>de </w:t>
      </w:r>
      <w:r>
        <w:rPr>
          <w:color w:val="231F20"/>
          <w:spacing w:val="2"/>
        </w:rPr>
        <w:t>2011]. Hay </w:t>
      </w:r>
      <w:r>
        <w:rPr>
          <w:color w:val="231F20"/>
        </w:rPr>
        <w:t>que </w:t>
      </w:r>
      <w:r>
        <w:rPr>
          <w:color w:val="231F20"/>
          <w:spacing w:val="3"/>
        </w:rPr>
        <w:t>destacar </w:t>
      </w:r>
      <w:r>
        <w:rPr>
          <w:color w:val="231F20"/>
        </w:rPr>
        <w:t>que ha </w:t>
      </w:r>
      <w:r>
        <w:rPr>
          <w:color w:val="231F20"/>
          <w:spacing w:val="2"/>
        </w:rPr>
        <w:t>incluido </w:t>
      </w:r>
      <w:r>
        <w:rPr>
          <w:color w:val="231F20"/>
        </w:rPr>
        <w:t>a </w:t>
      </w:r>
      <w:r>
        <w:rPr>
          <w:color w:val="231F20"/>
          <w:spacing w:val="2"/>
        </w:rPr>
        <w:t>estudiantes </w:t>
      </w:r>
      <w:r>
        <w:rPr>
          <w:color w:val="231F20"/>
        </w:rPr>
        <w:t>de </w:t>
      </w:r>
      <w:r>
        <w:rPr>
          <w:color w:val="231F20"/>
          <w:spacing w:val="2"/>
        </w:rPr>
        <w:t>todos los niveles educativos, </w:t>
      </w:r>
      <w:r>
        <w:rPr>
          <w:color w:val="231F20"/>
        </w:rPr>
        <w:t>así </w:t>
      </w:r>
      <w:r>
        <w:rPr>
          <w:color w:val="231F20"/>
          <w:spacing w:val="3"/>
        </w:rPr>
        <w:t>como </w:t>
      </w:r>
      <w:r>
        <w:rPr>
          <w:color w:val="231F20"/>
        </w:rPr>
        <w:t>a </w:t>
      </w:r>
      <w:r>
        <w:rPr>
          <w:color w:val="231F20"/>
          <w:spacing w:val="2"/>
        </w:rPr>
        <w:t>padres </w:t>
      </w:r>
      <w:r>
        <w:rPr>
          <w:color w:val="231F20"/>
        </w:rPr>
        <w:t>de </w:t>
      </w:r>
      <w:r>
        <w:rPr>
          <w:color w:val="231F20"/>
          <w:spacing w:val="2"/>
        </w:rPr>
        <w:t>familia </w:t>
      </w:r>
      <w:r>
        <w:rPr>
          <w:color w:val="231F20"/>
        </w:rPr>
        <w:t>y </w:t>
      </w:r>
      <w:r>
        <w:rPr>
          <w:color w:val="231F20"/>
          <w:spacing w:val="2"/>
        </w:rPr>
        <w:t>organizaciones</w:t>
      </w:r>
      <w:r>
        <w:rPr>
          <w:color w:val="231F20"/>
          <w:spacing w:val="-33"/>
        </w:rPr>
        <w:t> </w:t>
      </w:r>
      <w:r>
        <w:rPr>
          <w:color w:val="231F20"/>
          <w:spacing w:val="2"/>
        </w:rPr>
        <w:t>sindicales.</w:t>
      </w:r>
    </w:p>
    <w:p>
      <w:pPr>
        <w:pStyle w:val="BodyText"/>
        <w:rPr>
          <w:sz w:val="22"/>
        </w:rPr>
      </w:pPr>
    </w:p>
    <w:p>
      <w:pPr>
        <w:pStyle w:val="BodyText"/>
        <w:rPr>
          <w:sz w:val="22"/>
        </w:rPr>
      </w:pPr>
    </w:p>
    <w:p>
      <w:pPr>
        <w:pStyle w:val="BodyText"/>
      </w:pPr>
    </w:p>
    <w:p>
      <w:pPr>
        <w:pStyle w:val="BodyText"/>
        <w:ind w:left="102"/>
        <w:jc w:val="both"/>
      </w:pPr>
      <w:r>
        <w:rPr>
          <w:color w:val="231F20"/>
        </w:rPr>
        <w:t>PARA UNA CRÍTICA A LAS POLÍTICAS  EDUCATIVAS</w:t>
      </w:r>
    </w:p>
    <w:p>
      <w:pPr>
        <w:pStyle w:val="BodyText"/>
        <w:spacing w:before="1"/>
      </w:pPr>
    </w:p>
    <w:p>
      <w:pPr>
        <w:pStyle w:val="BodyText"/>
        <w:spacing w:line="247" w:lineRule="auto" w:before="1"/>
        <w:ind w:left="102" w:right="114"/>
        <w:jc w:val="both"/>
      </w:pPr>
      <w:r>
        <w:rPr>
          <w:color w:val="231F20"/>
        </w:rPr>
        <w:t>Así, antes que formular conclusiones apuntamos hacia el comienzo, y recuperación de una crítica a las políticas educativas en tanto que elaboran un discurso donde las pretensiones de validez son trans- formadas en pretensiones de poder, pues en ese discurso se instala</w:t>
      </w:r>
    </w:p>
    <w:p>
      <w:pPr>
        <w:spacing w:after="0" w:line="247" w:lineRule="auto"/>
        <w:jc w:val="both"/>
        <w:sectPr>
          <w:headerReference w:type="default" r:id="rId222"/>
          <w:footerReference w:type="default" r:id="rId223"/>
          <w:pgSz w:w="7830" w:h="11910"/>
          <w:pgMar w:header="0" w:footer="424" w:top="500" w:bottom="620" w:left="920" w:right="900"/>
          <w:pgNumType w:start="10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304"/>
      </w:pPr>
      <w:r>
        <w:rPr>
          <w:color w:val="231F20"/>
        </w:rPr>
        <w:t>una estructura de coacciones que se somete a crítica por parte de    los sujetos afectados por ese</w:t>
      </w:r>
      <w:r>
        <w:rPr>
          <w:color w:val="231F20"/>
          <w:spacing w:val="20"/>
        </w:rPr>
        <w:t> </w:t>
      </w:r>
      <w:r>
        <w:rPr>
          <w:color w:val="231F20"/>
        </w:rPr>
        <w:t>discurso.</w:t>
      </w:r>
    </w:p>
    <w:p>
      <w:pPr>
        <w:pStyle w:val="BodyText"/>
        <w:spacing w:line="249" w:lineRule="auto" w:before="10"/>
        <w:ind w:left="102" w:right="115" w:firstLine="284"/>
        <w:jc w:val="both"/>
      </w:pPr>
      <w:r>
        <w:rPr>
          <w:color w:val="231F20"/>
        </w:rPr>
        <w:t>Es </w:t>
      </w:r>
      <w:r>
        <w:rPr>
          <w:color w:val="231F20"/>
          <w:spacing w:val="2"/>
        </w:rPr>
        <w:t>notorio </w:t>
      </w:r>
      <w:r>
        <w:rPr>
          <w:color w:val="231F20"/>
        </w:rPr>
        <w:t>que el </w:t>
      </w:r>
      <w:r>
        <w:rPr>
          <w:color w:val="231F20"/>
          <w:spacing w:val="2"/>
        </w:rPr>
        <w:t>punto </w:t>
      </w:r>
      <w:r>
        <w:rPr>
          <w:color w:val="231F20"/>
        </w:rPr>
        <w:t>de </w:t>
      </w:r>
      <w:r>
        <w:rPr>
          <w:color w:val="231F20"/>
          <w:spacing w:val="2"/>
        </w:rPr>
        <w:t>coincidencia entre los sujetos </w:t>
      </w:r>
      <w:r>
        <w:rPr>
          <w:color w:val="231F20"/>
        </w:rPr>
        <w:t>es la </w:t>
      </w:r>
      <w:r>
        <w:rPr>
          <w:color w:val="231F20"/>
          <w:spacing w:val="2"/>
        </w:rPr>
        <w:t>necesidad </w:t>
      </w:r>
      <w:r>
        <w:rPr>
          <w:color w:val="231F20"/>
        </w:rPr>
        <w:t>de </w:t>
      </w:r>
      <w:r>
        <w:rPr>
          <w:color w:val="231F20"/>
          <w:spacing w:val="2"/>
        </w:rPr>
        <w:t>una </w:t>
      </w:r>
      <w:r>
        <w:rPr>
          <w:color w:val="231F20"/>
          <w:spacing w:val="3"/>
        </w:rPr>
        <w:t>reforma </w:t>
      </w:r>
      <w:r>
        <w:rPr>
          <w:color w:val="231F20"/>
          <w:spacing w:val="2"/>
        </w:rPr>
        <w:t>educativa, pero difieren </w:t>
      </w:r>
      <w:r>
        <w:rPr>
          <w:color w:val="231F20"/>
        </w:rPr>
        <w:t>en  </w:t>
      </w:r>
      <w:r>
        <w:rPr>
          <w:color w:val="231F20"/>
          <w:spacing w:val="2"/>
        </w:rPr>
        <w:t>los </w:t>
      </w:r>
      <w:r>
        <w:rPr>
          <w:color w:val="231F20"/>
          <w:spacing w:val="3"/>
        </w:rPr>
        <w:t>modos</w:t>
      </w:r>
      <w:r>
        <w:rPr>
          <w:color w:val="231F20"/>
          <w:spacing w:val="58"/>
        </w:rPr>
        <w:t> </w:t>
      </w:r>
      <w:r>
        <w:rPr>
          <w:color w:val="231F20"/>
        </w:rPr>
        <w:t>de </w:t>
      </w:r>
      <w:r>
        <w:rPr>
          <w:color w:val="231F20"/>
          <w:spacing w:val="2"/>
        </w:rPr>
        <w:t>concebirla, pues desde </w:t>
      </w:r>
      <w:r>
        <w:rPr>
          <w:color w:val="231F20"/>
        </w:rPr>
        <w:t>el </w:t>
      </w:r>
      <w:r>
        <w:rPr>
          <w:color w:val="231F20"/>
          <w:spacing w:val="2"/>
        </w:rPr>
        <w:t>discurso </w:t>
      </w:r>
      <w:r>
        <w:rPr>
          <w:color w:val="231F20"/>
        </w:rPr>
        <w:t>de las </w:t>
      </w:r>
      <w:r>
        <w:rPr>
          <w:color w:val="231F20"/>
          <w:spacing w:val="2"/>
        </w:rPr>
        <w:t>políticas educativas </w:t>
      </w:r>
      <w:r>
        <w:rPr>
          <w:color w:val="231F20"/>
        </w:rPr>
        <w:t>se </w:t>
      </w:r>
      <w:r>
        <w:rPr>
          <w:color w:val="231F20"/>
          <w:spacing w:val="2"/>
        </w:rPr>
        <w:t>tiende </w:t>
      </w:r>
      <w:r>
        <w:rPr>
          <w:color w:val="231F20"/>
        </w:rPr>
        <w:t>a </w:t>
      </w:r>
      <w:r>
        <w:rPr>
          <w:color w:val="231F20"/>
          <w:spacing w:val="2"/>
        </w:rPr>
        <w:t>reprimir </w:t>
      </w:r>
      <w:r>
        <w:rPr>
          <w:color w:val="231F20"/>
        </w:rPr>
        <w:t>la </w:t>
      </w:r>
      <w:r>
        <w:rPr>
          <w:color w:val="231F20"/>
          <w:spacing w:val="2"/>
        </w:rPr>
        <w:t>posibilidad </w:t>
      </w:r>
      <w:r>
        <w:rPr>
          <w:color w:val="231F20"/>
        </w:rPr>
        <w:t>de </w:t>
      </w:r>
      <w:r>
        <w:rPr>
          <w:color w:val="231F20"/>
          <w:spacing w:val="2"/>
        </w:rPr>
        <w:t>realizarlas desde una </w:t>
      </w:r>
      <w:r>
        <w:rPr>
          <w:color w:val="231F20"/>
          <w:spacing w:val="3"/>
        </w:rPr>
        <w:t>recupera- </w:t>
      </w:r>
      <w:r>
        <w:rPr>
          <w:color w:val="231F20"/>
          <w:spacing w:val="2"/>
        </w:rPr>
        <w:t>ción </w:t>
      </w:r>
      <w:r>
        <w:rPr>
          <w:color w:val="231F20"/>
        </w:rPr>
        <w:t>de </w:t>
      </w:r>
      <w:r>
        <w:rPr>
          <w:color w:val="231F20"/>
          <w:spacing w:val="2"/>
        </w:rPr>
        <w:t>intereses generalizables </w:t>
      </w:r>
      <w:r>
        <w:rPr>
          <w:color w:val="231F20"/>
        </w:rPr>
        <w:t>ya </w:t>
      </w:r>
      <w:r>
        <w:rPr>
          <w:color w:val="231F20"/>
          <w:spacing w:val="2"/>
        </w:rPr>
        <w:t>que, </w:t>
      </w:r>
      <w:r>
        <w:rPr>
          <w:color w:val="231F20"/>
          <w:spacing w:val="3"/>
        </w:rPr>
        <w:t>como </w:t>
      </w:r>
      <w:r>
        <w:rPr>
          <w:color w:val="231F20"/>
        </w:rPr>
        <w:t>ha </w:t>
      </w:r>
      <w:r>
        <w:rPr>
          <w:color w:val="231F20"/>
          <w:spacing w:val="2"/>
        </w:rPr>
        <w:t>señalado Carlos Alberto</w:t>
      </w:r>
      <w:r>
        <w:rPr>
          <w:color w:val="231F20"/>
          <w:spacing w:val="10"/>
        </w:rPr>
        <w:t> </w:t>
      </w:r>
      <w:r>
        <w:rPr>
          <w:color w:val="231F20"/>
          <w:spacing w:val="3"/>
        </w:rPr>
        <w:t>Torres:</w:t>
      </w:r>
    </w:p>
    <w:p>
      <w:pPr>
        <w:pStyle w:val="BodyText"/>
        <w:spacing w:before="2"/>
        <w:rPr>
          <w:sz w:val="23"/>
        </w:rPr>
      </w:pPr>
    </w:p>
    <w:p>
      <w:pPr>
        <w:spacing w:line="273" w:lineRule="auto" w:before="0"/>
        <w:ind w:left="810" w:right="164" w:firstLine="0"/>
        <w:jc w:val="both"/>
        <w:rPr>
          <w:sz w:val="19"/>
        </w:rPr>
      </w:pPr>
      <w:r>
        <w:rPr>
          <w:color w:val="231F20"/>
          <w:sz w:val="19"/>
        </w:rPr>
        <w:t>El </w:t>
      </w:r>
      <w:r>
        <w:rPr>
          <w:color w:val="231F20"/>
          <w:spacing w:val="2"/>
          <w:sz w:val="19"/>
        </w:rPr>
        <w:t>impacto </w:t>
      </w:r>
      <w:r>
        <w:rPr>
          <w:color w:val="231F20"/>
          <w:sz w:val="19"/>
        </w:rPr>
        <w:t>de la </w:t>
      </w:r>
      <w:r>
        <w:rPr>
          <w:color w:val="231F20"/>
          <w:spacing w:val="2"/>
          <w:sz w:val="19"/>
        </w:rPr>
        <w:t>globalización </w:t>
      </w:r>
      <w:r>
        <w:rPr>
          <w:color w:val="231F20"/>
          <w:sz w:val="19"/>
        </w:rPr>
        <w:t>en los </w:t>
      </w:r>
      <w:r>
        <w:rPr>
          <w:color w:val="231F20"/>
          <w:spacing w:val="2"/>
          <w:sz w:val="19"/>
        </w:rPr>
        <w:t>colegios </w:t>
      </w:r>
      <w:r>
        <w:rPr>
          <w:color w:val="231F20"/>
          <w:sz w:val="19"/>
        </w:rPr>
        <w:t>y </w:t>
      </w:r>
      <w:r>
        <w:rPr>
          <w:color w:val="231F20"/>
          <w:spacing w:val="2"/>
          <w:sz w:val="19"/>
        </w:rPr>
        <w:t>universidades  </w:t>
      </w:r>
      <w:r>
        <w:rPr>
          <w:color w:val="231F20"/>
          <w:sz w:val="19"/>
        </w:rPr>
        <w:t>es tanto </w:t>
      </w:r>
      <w:r>
        <w:rPr>
          <w:color w:val="231F20"/>
          <w:spacing w:val="2"/>
          <w:sz w:val="19"/>
        </w:rPr>
        <w:t>directo como indirecto. </w:t>
      </w:r>
      <w:r>
        <w:rPr>
          <w:color w:val="231F20"/>
          <w:sz w:val="19"/>
        </w:rPr>
        <w:t>Un </w:t>
      </w:r>
      <w:r>
        <w:rPr>
          <w:color w:val="231F20"/>
          <w:spacing w:val="2"/>
          <w:sz w:val="19"/>
        </w:rPr>
        <w:t>ejemplo </w:t>
      </w:r>
      <w:r>
        <w:rPr>
          <w:color w:val="231F20"/>
          <w:sz w:val="19"/>
        </w:rPr>
        <w:t>de un </w:t>
      </w:r>
      <w:r>
        <w:rPr>
          <w:color w:val="231F20"/>
          <w:spacing w:val="2"/>
          <w:sz w:val="19"/>
        </w:rPr>
        <w:t>efecto </w:t>
      </w:r>
      <w:r>
        <w:rPr>
          <w:color w:val="231F20"/>
          <w:spacing w:val="3"/>
          <w:sz w:val="19"/>
        </w:rPr>
        <w:t>di- </w:t>
      </w:r>
      <w:r>
        <w:rPr>
          <w:color w:val="231F20"/>
          <w:spacing w:val="2"/>
          <w:sz w:val="19"/>
        </w:rPr>
        <w:t>recto </w:t>
      </w:r>
      <w:r>
        <w:rPr>
          <w:color w:val="231F20"/>
          <w:sz w:val="19"/>
        </w:rPr>
        <w:t>es la </w:t>
      </w:r>
      <w:r>
        <w:rPr>
          <w:color w:val="231F20"/>
          <w:spacing w:val="2"/>
          <w:sz w:val="19"/>
        </w:rPr>
        <w:t>forma </w:t>
      </w:r>
      <w:r>
        <w:rPr>
          <w:color w:val="231F20"/>
          <w:sz w:val="19"/>
        </w:rPr>
        <w:t>en la que las </w:t>
      </w:r>
      <w:r>
        <w:rPr>
          <w:color w:val="231F20"/>
          <w:spacing w:val="2"/>
          <w:sz w:val="19"/>
        </w:rPr>
        <w:t>economías nacionales están </w:t>
      </w:r>
      <w:r>
        <w:rPr>
          <w:color w:val="231F20"/>
          <w:spacing w:val="3"/>
          <w:sz w:val="19"/>
        </w:rPr>
        <w:t>rees- </w:t>
      </w:r>
      <w:r>
        <w:rPr>
          <w:color w:val="231F20"/>
          <w:spacing w:val="2"/>
          <w:sz w:val="19"/>
        </w:rPr>
        <w:t>tructurando </w:t>
      </w:r>
      <w:r>
        <w:rPr>
          <w:color w:val="231F20"/>
          <w:sz w:val="19"/>
        </w:rPr>
        <w:t>sus </w:t>
      </w:r>
      <w:r>
        <w:rPr>
          <w:color w:val="231F20"/>
          <w:spacing w:val="2"/>
          <w:sz w:val="19"/>
        </w:rPr>
        <w:t>sistemas </w:t>
      </w:r>
      <w:r>
        <w:rPr>
          <w:color w:val="231F20"/>
          <w:sz w:val="19"/>
        </w:rPr>
        <w:t>de </w:t>
      </w:r>
      <w:r>
        <w:rPr>
          <w:color w:val="231F20"/>
          <w:spacing w:val="2"/>
          <w:sz w:val="19"/>
        </w:rPr>
        <w:t>apoyo para </w:t>
      </w:r>
      <w:r>
        <w:rPr>
          <w:color w:val="231F20"/>
          <w:sz w:val="19"/>
        </w:rPr>
        <w:t>la </w:t>
      </w:r>
      <w:r>
        <w:rPr>
          <w:color w:val="231F20"/>
          <w:spacing w:val="2"/>
          <w:sz w:val="19"/>
        </w:rPr>
        <w:t>educación superior como </w:t>
      </w:r>
      <w:r>
        <w:rPr>
          <w:color w:val="231F20"/>
          <w:sz w:val="19"/>
        </w:rPr>
        <w:t>una </w:t>
      </w:r>
      <w:r>
        <w:rPr>
          <w:color w:val="231F20"/>
          <w:spacing w:val="2"/>
          <w:sz w:val="19"/>
        </w:rPr>
        <w:t>consecuencia </w:t>
      </w:r>
      <w:r>
        <w:rPr>
          <w:color w:val="231F20"/>
          <w:sz w:val="19"/>
        </w:rPr>
        <w:t>del </w:t>
      </w:r>
      <w:r>
        <w:rPr>
          <w:color w:val="231F20"/>
          <w:spacing w:val="2"/>
          <w:sz w:val="19"/>
        </w:rPr>
        <w:t>cambio </w:t>
      </w:r>
      <w:r>
        <w:rPr>
          <w:color w:val="231F20"/>
          <w:sz w:val="19"/>
        </w:rPr>
        <w:t>de las </w:t>
      </w:r>
      <w:r>
        <w:rPr>
          <w:color w:val="231F20"/>
          <w:spacing w:val="2"/>
          <w:sz w:val="19"/>
        </w:rPr>
        <w:t>prioridades </w:t>
      </w:r>
      <w:r>
        <w:rPr>
          <w:color w:val="231F20"/>
          <w:spacing w:val="3"/>
          <w:sz w:val="19"/>
        </w:rPr>
        <w:t>econó- </w:t>
      </w:r>
      <w:r>
        <w:rPr>
          <w:color w:val="231F20"/>
          <w:spacing w:val="2"/>
          <w:sz w:val="19"/>
        </w:rPr>
        <w:t>micas </w:t>
      </w:r>
      <w:r>
        <w:rPr>
          <w:color w:val="231F20"/>
          <w:sz w:val="19"/>
        </w:rPr>
        <w:t>y las </w:t>
      </w:r>
      <w:r>
        <w:rPr>
          <w:color w:val="231F20"/>
          <w:spacing w:val="2"/>
          <w:sz w:val="19"/>
        </w:rPr>
        <w:t>políticas </w:t>
      </w:r>
      <w:r>
        <w:rPr>
          <w:color w:val="231F20"/>
          <w:sz w:val="19"/>
        </w:rPr>
        <w:t>de </w:t>
      </w:r>
      <w:r>
        <w:rPr>
          <w:color w:val="231F20"/>
          <w:spacing w:val="2"/>
          <w:sz w:val="19"/>
        </w:rPr>
        <w:t>ajuste estructural dictadas desde arriba. Ejemplos </w:t>
      </w:r>
      <w:r>
        <w:rPr>
          <w:color w:val="231F20"/>
          <w:sz w:val="19"/>
        </w:rPr>
        <w:t>de </w:t>
      </w:r>
      <w:r>
        <w:rPr>
          <w:color w:val="231F20"/>
          <w:spacing w:val="2"/>
          <w:sz w:val="19"/>
        </w:rPr>
        <w:t>efectos indirectos incluyen </w:t>
      </w:r>
      <w:r>
        <w:rPr>
          <w:color w:val="231F20"/>
          <w:sz w:val="19"/>
        </w:rPr>
        <w:t>la </w:t>
      </w:r>
      <w:r>
        <w:rPr>
          <w:color w:val="231F20"/>
          <w:spacing w:val="2"/>
          <w:sz w:val="19"/>
        </w:rPr>
        <w:t>forma mediante </w:t>
      </w:r>
      <w:r>
        <w:rPr>
          <w:color w:val="231F20"/>
          <w:sz w:val="19"/>
        </w:rPr>
        <w:t>la </w:t>
      </w:r>
      <w:r>
        <w:rPr>
          <w:color w:val="231F20"/>
          <w:spacing w:val="2"/>
          <w:sz w:val="19"/>
        </w:rPr>
        <w:t>cual </w:t>
      </w:r>
      <w:r>
        <w:rPr>
          <w:color w:val="231F20"/>
          <w:sz w:val="19"/>
        </w:rPr>
        <w:t>la </w:t>
      </w:r>
      <w:r>
        <w:rPr>
          <w:color w:val="231F20"/>
          <w:spacing w:val="2"/>
          <w:sz w:val="19"/>
        </w:rPr>
        <w:t>guerra contra </w:t>
      </w:r>
      <w:r>
        <w:rPr>
          <w:color w:val="231F20"/>
          <w:sz w:val="19"/>
        </w:rPr>
        <w:t>el </w:t>
      </w:r>
      <w:r>
        <w:rPr>
          <w:color w:val="231F20"/>
          <w:spacing w:val="2"/>
          <w:sz w:val="19"/>
        </w:rPr>
        <w:t>terrorismo </w:t>
      </w:r>
      <w:r>
        <w:rPr>
          <w:color w:val="231F20"/>
          <w:sz w:val="19"/>
        </w:rPr>
        <w:t>ha </w:t>
      </w:r>
      <w:r>
        <w:rPr>
          <w:color w:val="231F20"/>
          <w:spacing w:val="2"/>
          <w:sz w:val="19"/>
        </w:rPr>
        <w:t>venido </w:t>
      </w:r>
      <w:r>
        <w:rPr>
          <w:color w:val="231F20"/>
          <w:sz w:val="19"/>
        </w:rPr>
        <w:t>a </w:t>
      </w:r>
      <w:r>
        <w:rPr>
          <w:color w:val="231F20"/>
          <w:spacing w:val="2"/>
          <w:sz w:val="19"/>
        </w:rPr>
        <w:t>limitar </w:t>
      </w:r>
      <w:r>
        <w:rPr>
          <w:color w:val="231F20"/>
          <w:sz w:val="19"/>
        </w:rPr>
        <w:t>la </w:t>
      </w:r>
      <w:r>
        <w:rPr>
          <w:color w:val="231F20"/>
          <w:spacing w:val="3"/>
          <w:sz w:val="19"/>
        </w:rPr>
        <w:t>liber- </w:t>
      </w:r>
      <w:r>
        <w:rPr>
          <w:color w:val="231F20"/>
          <w:sz w:val="19"/>
        </w:rPr>
        <w:t>tad </w:t>
      </w:r>
      <w:r>
        <w:rPr>
          <w:color w:val="231F20"/>
          <w:spacing w:val="2"/>
          <w:sz w:val="19"/>
        </w:rPr>
        <w:t>académica </w:t>
      </w:r>
      <w:r>
        <w:rPr>
          <w:color w:val="231F20"/>
          <w:sz w:val="19"/>
        </w:rPr>
        <w:t>y el flujo </w:t>
      </w:r>
      <w:r>
        <w:rPr>
          <w:color w:val="231F20"/>
          <w:spacing w:val="2"/>
          <w:sz w:val="19"/>
        </w:rPr>
        <w:t>trasnacional </w:t>
      </w:r>
      <w:r>
        <w:rPr>
          <w:color w:val="231F20"/>
          <w:sz w:val="19"/>
        </w:rPr>
        <w:t>de </w:t>
      </w:r>
      <w:r>
        <w:rPr>
          <w:color w:val="231F20"/>
          <w:spacing w:val="2"/>
          <w:sz w:val="19"/>
        </w:rPr>
        <w:t>profesores </w:t>
      </w:r>
      <w:r>
        <w:rPr>
          <w:color w:val="231F20"/>
          <w:sz w:val="19"/>
        </w:rPr>
        <w:t>y </w:t>
      </w:r>
      <w:r>
        <w:rPr>
          <w:color w:val="231F20"/>
          <w:spacing w:val="2"/>
          <w:sz w:val="19"/>
        </w:rPr>
        <w:t>estudian- </w:t>
      </w:r>
      <w:r>
        <w:rPr>
          <w:color w:val="231F20"/>
          <w:sz w:val="19"/>
        </w:rPr>
        <w:t>tes, o la </w:t>
      </w:r>
      <w:r>
        <w:rPr>
          <w:color w:val="231F20"/>
          <w:spacing w:val="2"/>
          <w:sz w:val="19"/>
        </w:rPr>
        <w:t>forma </w:t>
      </w:r>
      <w:r>
        <w:rPr>
          <w:color w:val="231F20"/>
          <w:sz w:val="19"/>
        </w:rPr>
        <w:t>en la </w:t>
      </w:r>
      <w:r>
        <w:rPr>
          <w:color w:val="231F20"/>
          <w:spacing w:val="2"/>
          <w:sz w:val="19"/>
        </w:rPr>
        <w:t>cual </w:t>
      </w:r>
      <w:r>
        <w:rPr>
          <w:color w:val="231F20"/>
          <w:sz w:val="19"/>
        </w:rPr>
        <w:t>la </w:t>
      </w:r>
      <w:r>
        <w:rPr>
          <w:color w:val="231F20"/>
          <w:spacing w:val="2"/>
          <w:sz w:val="19"/>
        </w:rPr>
        <w:t>cultura académica </w:t>
      </w:r>
      <w:r>
        <w:rPr>
          <w:color w:val="231F20"/>
          <w:sz w:val="19"/>
        </w:rPr>
        <w:t>en </w:t>
      </w:r>
      <w:r>
        <w:rPr>
          <w:color w:val="231F20"/>
          <w:spacing w:val="2"/>
          <w:sz w:val="19"/>
        </w:rPr>
        <w:t>algunas uni- versidades </w:t>
      </w:r>
      <w:r>
        <w:rPr>
          <w:color w:val="231F20"/>
          <w:sz w:val="19"/>
        </w:rPr>
        <w:t>de </w:t>
      </w:r>
      <w:r>
        <w:rPr>
          <w:color w:val="231F20"/>
          <w:spacing w:val="2"/>
          <w:sz w:val="19"/>
        </w:rPr>
        <w:t>América Latina </w:t>
      </w:r>
      <w:r>
        <w:rPr>
          <w:color w:val="231F20"/>
          <w:sz w:val="19"/>
        </w:rPr>
        <w:t>está </w:t>
      </w:r>
      <w:r>
        <w:rPr>
          <w:color w:val="231F20"/>
          <w:spacing w:val="2"/>
          <w:sz w:val="19"/>
        </w:rPr>
        <w:t>cambiando </w:t>
      </w:r>
      <w:r>
        <w:rPr>
          <w:color w:val="231F20"/>
          <w:sz w:val="19"/>
        </w:rPr>
        <w:t>de una </w:t>
      </w:r>
      <w:r>
        <w:rPr>
          <w:color w:val="231F20"/>
          <w:spacing w:val="3"/>
          <w:sz w:val="19"/>
        </w:rPr>
        <w:t>orienta- </w:t>
      </w:r>
      <w:r>
        <w:rPr>
          <w:color w:val="231F20"/>
          <w:sz w:val="19"/>
        </w:rPr>
        <w:t>ción </w:t>
      </w:r>
      <w:r>
        <w:rPr>
          <w:color w:val="231F20"/>
          <w:spacing w:val="2"/>
          <w:sz w:val="19"/>
        </w:rPr>
        <w:t>colectivista hacia ideales asociados </w:t>
      </w:r>
      <w:r>
        <w:rPr>
          <w:color w:val="231F20"/>
          <w:sz w:val="19"/>
        </w:rPr>
        <w:t>con el </w:t>
      </w:r>
      <w:r>
        <w:rPr>
          <w:color w:val="231F20"/>
          <w:spacing w:val="2"/>
          <w:sz w:val="19"/>
        </w:rPr>
        <w:t>individualismo. </w:t>
      </w:r>
      <w:r>
        <w:rPr>
          <w:color w:val="231F20"/>
          <w:sz w:val="19"/>
        </w:rPr>
        <w:t>Lo que está </w:t>
      </w:r>
      <w:r>
        <w:rPr>
          <w:color w:val="231F20"/>
          <w:spacing w:val="2"/>
          <w:sz w:val="19"/>
        </w:rPr>
        <w:t>claro </w:t>
      </w:r>
      <w:r>
        <w:rPr>
          <w:color w:val="231F20"/>
          <w:sz w:val="19"/>
        </w:rPr>
        <w:t>es que las </w:t>
      </w:r>
      <w:r>
        <w:rPr>
          <w:color w:val="231F20"/>
          <w:spacing w:val="2"/>
          <w:sz w:val="19"/>
        </w:rPr>
        <w:t>diversas manifestaciones </w:t>
      </w:r>
      <w:r>
        <w:rPr>
          <w:color w:val="231F20"/>
          <w:sz w:val="19"/>
        </w:rPr>
        <w:t>de la </w:t>
      </w:r>
      <w:r>
        <w:rPr>
          <w:color w:val="231F20"/>
          <w:spacing w:val="2"/>
          <w:sz w:val="19"/>
        </w:rPr>
        <w:t>glo- balización tienen </w:t>
      </w:r>
      <w:r>
        <w:rPr>
          <w:color w:val="231F20"/>
          <w:sz w:val="19"/>
        </w:rPr>
        <w:t>el </w:t>
      </w:r>
      <w:r>
        <w:rPr>
          <w:color w:val="231F20"/>
          <w:spacing w:val="2"/>
          <w:sz w:val="19"/>
        </w:rPr>
        <w:t>potencial para producir diferentes clases </w:t>
      </w:r>
      <w:r>
        <w:rPr>
          <w:color w:val="231F20"/>
          <w:sz w:val="19"/>
        </w:rPr>
        <w:t>de </w:t>
      </w:r>
      <w:r>
        <w:rPr>
          <w:color w:val="231F20"/>
          <w:spacing w:val="2"/>
          <w:sz w:val="19"/>
        </w:rPr>
        <w:t>efectos, aunque desenmarañar causa </w:t>
      </w:r>
      <w:r>
        <w:rPr>
          <w:color w:val="231F20"/>
          <w:sz w:val="19"/>
        </w:rPr>
        <w:t>y </w:t>
      </w:r>
      <w:r>
        <w:rPr>
          <w:color w:val="231F20"/>
          <w:spacing w:val="2"/>
          <w:sz w:val="19"/>
        </w:rPr>
        <w:t>efecto puede </w:t>
      </w:r>
      <w:r>
        <w:rPr>
          <w:color w:val="231F20"/>
          <w:sz w:val="19"/>
        </w:rPr>
        <w:t>ser </w:t>
      </w:r>
      <w:r>
        <w:rPr>
          <w:color w:val="231F20"/>
          <w:spacing w:val="3"/>
          <w:sz w:val="19"/>
        </w:rPr>
        <w:t>bastan- </w:t>
      </w:r>
      <w:r>
        <w:rPr>
          <w:color w:val="231F20"/>
          <w:sz w:val="19"/>
        </w:rPr>
        <w:t>te </w:t>
      </w:r>
      <w:r>
        <w:rPr>
          <w:color w:val="231F20"/>
          <w:spacing w:val="2"/>
          <w:sz w:val="19"/>
        </w:rPr>
        <w:t>problemático (Torres, 2007, </w:t>
      </w:r>
      <w:r>
        <w:rPr>
          <w:color w:val="231F20"/>
          <w:sz w:val="19"/>
        </w:rPr>
        <w:t>p.</w:t>
      </w:r>
      <w:r>
        <w:rPr>
          <w:color w:val="231F20"/>
          <w:spacing w:val="36"/>
          <w:sz w:val="19"/>
        </w:rPr>
        <w:t> </w:t>
      </w:r>
      <w:r>
        <w:rPr>
          <w:color w:val="231F20"/>
          <w:sz w:val="19"/>
        </w:rPr>
        <w:t>62).</w:t>
      </w:r>
    </w:p>
    <w:p>
      <w:pPr>
        <w:pStyle w:val="BodyText"/>
        <w:spacing w:before="3"/>
        <w:rPr>
          <w:sz w:val="20"/>
        </w:rPr>
      </w:pPr>
    </w:p>
    <w:p>
      <w:pPr>
        <w:pStyle w:val="BodyText"/>
        <w:spacing w:line="249" w:lineRule="auto"/>
        <w:ind w:left="102" w:right="115" w:firstLine="284"/>
        <w:jc w:val="both"/>
      </w:pPr>
      <w:r>
        <w:rPr>
          <w:color w:val="231F20"/>
        </w:rPr>
        <w:t>El pronunciamiento en contra de las políticas educativas, tanto de profesores como de estudiantes, somete a crítica la manera en que las recomendaciones de los organismos financieros mundia- les, las políticas globales con sus reformas universitarias, desman- telan la universidad pública y devastan el ámbito del bienestar social; por tal razón cuestiona los recortes al financiamiento pú- blico y el incremento de las cuotas, la transformación de las ayu- das económicas en becas crédito, la comercialización del conoci- miento, y las reformas universitarias armadas con base en el Pro- ceso de Bolonia al constituir el mecanismo de mercantilización de la educación superior. También somete a crítica la idea de calidad de la educación asociada a una sujeción mayor a las exigencias del ámbito  productivo  y  de  organización  empresarial,  así  como  la</w:t>
      </w:r>
    </w:p>
    <w:p>
      <w:pPr>
        <w:spacing w:after="0" w:line="249" w:lineRule="auto"/>
        <w:jc w:val="both"/>
        <w:sectPr>
          <w:headerReference w:type="default" r:id="rId227"/>
          <w:footerReference w:type="default" r:id="rId228"/>
          <w:pgSz w:w="7830" w:h="11910"/>
          <w:pgMar w:header="0" w:footer="424" w:top="500" w:bottom="620" w:left="920" w:right="900"/>
          <w:pgNumType w:start="10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hanging="1"/>
        <w:jc w:val="both"/>
      </w:pPr>
      <w:r>
        <w:rPr>
          <w:color w:val="231F20"/>
          <w:spacing w:val="2"/>
        </w:rPr>
        <w:t>injerencia empresarial </w:t>
      </w:r>
      <w:r>
        <w:rPr>
          <w:color w:val="231F20"/>
        </w:rPr>
        <w:t>en el </w:t>
      </w:r>
      <w:r>
        <w:rPr>
          <w:color w:val="231F20"/>
          <w:spacing w:val="2"/>
        </w:rPr>
        <w:t>gobierno universitario, </w:t>
      </w:r>
      <w:r>
        <w:rPr>
          <w:color w:val="231F20"/>
        </w:rPr>
        <w:t>ello no </w:t>
      </w:r>
      <w:r>
        <w:rPr>
          <w:color w:val="231F20"/>
          <w:spacing w:val="2"/>
        </w:rPr>
        <w:t>signifi- </w:t>
      </w:r>
      <w:r>
        <w:rPr>
          <w:color w:val="231F20"/>
        </w:rPr>
        <w:t>ca </w:t>
      </w:r>
      <w:r>
        <w:rPr>
          <w:color w:val="231F20"/>
          <w:spacing w:val="3"/>
        </w:rPr>
        <w:t>oponerse </w:t>
      </w:r>
      <w:r>
        <w:rPr>
          <w:color w:val="231F20"/>
        </w:rPr>
        <w:t>a </w:t>
      </w:r>
      <w:r>
        <w:rPr>
          <w:color w:val="231F20"/>
          <w:spacing w:val="2"/>
        </w:rPr>
        <w:t>una </w:t>
      </w:r>
      <w:r>
        <w:rPr>
          <w:color w:val="231F20"/>
          <w:spacing w:val="3"/>
        </w:rPr>
        <w:t>transformación </w:t>
      </w:r>
      <w:r>
        <w:rPr>
          <w:color w:val="231F20"/>
        </w:rPr>
        <w:t>de la </w:t>
      </w:r>
      <w:r>
        <w:rPr>
          <w:color w:val="231F20"/>
          <w:spacing w:val="2"/>
        </w:rPr>
        <w:t>universidad pública, antes bien plantea </w:t>
      </w:r>
      <w:r>
        <w:rPr>
          <w:color w:val="231F20"/>
        </w:rPr>
        <w:t>un </w:t>
      </w:r>
      <w:r>
        <w:rPr>
          <w:color w:val="231F20"/>
          <w:spacing w:val="2"/>
        </w:rPr>
        <w:t>cambio </w:t>
      </w:r>
      <w:r>
        <w:rPr>
          <w:color w:val="231F20"/>
        </w:rPr>
        <w:t>de la </w:t>
      </w:r>
      <w:r>
        <w:rPr>
          <w:color w:val="231F20"/>
          <w:spacing w:val="2"/>
        </w:rPr>
        <w:t>educación superior para democrati- </w:t>
      </w:r>
      <w:r>
        <w:rPr>
          <w:color w:val="231F20"/>
        </w:rPr>
        <w:t>zar las </w:t>
      </w:r>
      <w:r>
        <w:rPr>
          <w:color w:val="231F20"/>
          <w:spacing w:val="2"/>
        </w:rPr>
        <w:t>decisiones, para lograr una </w:t>
      </w:r>
      <w:r>
        <w:rPr>
          <w:color w:val="231F20"/>
          <w:spacing w:val="3"/>
        </w:rPr>
        <w:t>mayor </w:t>
      </w:r>
      <w:r>
        <w:rPr>
          <w:color w:val="231F20"/>
          <w:spacing w:val="2"/>
        </w:rPr>
        <w:t>participación </w:t>
      </w:r>
      <w:r>
        <w:rPr>
          <w:color w:val="231F20"/>
        </w:rPr>
        <w:t>de las </w:t>
      </w:r>
      <w:r>
        <w:rPr>
          <w:color w:val="231F20"/>
          <w:spacing w:val="4"/>
        </w:rPr>
        <w:t>co- </w:t>
      </w:r>
      <w:r>
        <w:rPr>
          <w:color w:val="231F20"/>
          <w:spacing w:val="3"/>
        </w:rPr>
        <w:t>munidades </w:t>
      </w:r>
      <w:r>
        <w:rPr>
          <w:color w:val="231F20"/>
          <w:spacing w:val="2"/>
        </w:rPr>
        <w:t>académicas </w:t>
      </w:r>
      <w:r>
        <w:rPr>
          <w:color w:val="231F20"/>
        </w:rPr>
        <w:t>en la </w:t>
      </w:r>
      <w:r>
        <w:rPr>
          <w:color w:val="231F20"/>
          <w:spacing w:val="3"/>
        </w:rPr>
        <w:t>reforma </w:t>
      </w:r>
      <w:r>
        <w:rPr>
          <w:color w:val="231F20"/>
          <w:spacing w:val="2"/>
        </w:rPr>
        <w:t>curricular </w:t>
      </w:r>
      <w:r>
        <w:rPr>
          <w:color w:val="231F20"/>
        </w:rPr>
        <w:t>y </w:t>
      </w:r>
      <w:r>
        <w:rPr>
          <w:color w:val="231F20"/>
          <w:spacing w:val="2"/>
        </w:rPr>
        <w:t>garantizar </w:t>
      </w:r>
      <w:r>
        <w:rPr>
          <w:color w:val="231F20"/>
        </w:rPr>
        <w:t>el</w:t>
      </w:r>
      <w:r>
        <w:rPr>
          <w:color w:val="231F20"/>
          <w:spacing w:val="-35"/>
        </w:rPr>
        <w:t> </w:t>
      </w:r>
      <w:r>
        <w:rPr>
          <w:color w:val="231F20"/>
          <w:spacing w:val="2"/>
        </w:rPr>
        <w:t>libre acceso </w:t>
      </w:r>
      <w:r>
        <w:rPr>
          <w:color w:val="231F20"/>
        </w:rPr>
        <w:t>a la </w:t>
      </w:r>
      <w:r>
        <w:rPr>
          <w:color w:val="231F20"/>
          <w:spacing w:val="2"/>
        </w:rPr>
        <w:t>educación superior. De </w:t>
      </w:r>
      <w:r>
        <w:rPr>
          <w:color w:val="231F20"/>
        </w:rPr>
        <w:t>ese </w:t>
      </w:r>
      <w:r>
        <w:rPr>
          <w:color w:val="231F20"/>
          <w:spacing w:val="3"/>
        </w:rPr>
        <w:t>modo, </w:t>
      </w:r>
      <w:r>
        <w:rPr>
          <w:color w:val="231F20"/>
        </w:rPr>
        <w:t>las </w:t>
      </w:r>
      <w:r>
        <w:rPr>
          <w:color w:val="231F20"/>
          <w:spacing w:val="3"/>
        </w:rPr>
        <w:t>mismas </w:t>
      </w:r>
      <w:r>
        <w:rPr>
          <w:color w:val="231F20"/>
          <w:spacing w:val="2"/>
        </w:rPr>
        <w:t>críticas </w:t>
      </w:r>
      <w:r>
        <w:rPr>
          <w:color w:val="231F20"/>
        </w:rPr>
        <w:t>a las </w:t>
      </w:r>
      <w:r>
        <w:rPr>
          <w:color w:val="231F20"/>
          <w:spacing w:val="2"/>
        </w:rPr>
        <w:t>políticas educativas, </w:t>
      </w:r>
      <w:r>
        <w:rPr>
          <w:color w:val="231F20"/>
          <w:spacing w:val="3"/>
        </w:rPr>
        <w:t>ponen </w:t>
      </w:r>
      <w:r>
        <w:rPr>
          <w:color w:val="231F20"/>
        </w:rPr>
        <w:t>al </w:t>
      </w:r>
      <w:r>
        <w:rPr>
          <w:color w:val="231F20"/>
          <w:spacing w:val="2"/>
        </w:rPr>
        <w:t>descubierto </w:t>
      </w:r>
      <w:r>
        <w:rPr>
          <w:color w:val="231F20"/>
        </w:rPr>
        <w:t>el </w:t>
      </w:r>
      <w:r>
        <w:rPr>
          <w:color w:val="231F20"/>
          <w:spacing w:val="3"/>
        </w:rPr>
        <w:t>contenido ideoló- </w:t>
      </w:r>
      <w:r>
        <w:rPr>
          <w:color w:val="231F20"/>
        </w:rPr>
        <w:t>gico de las </w:t>
      </w:r>
      <w:r>
        <w:rPr>
          <w:color w:val="231F20"/>
          <w:spacing w:val="2"/>
        </w:rPr>
        <w:t>políticas educativas, </w:t>
      </w:r>
      <w:r>
        <w:rPr>
          <w:color w:val="231F20"/>
        </w:rPr>
        <w:t>en </w:t>
      </w:r>
      <w:r>
        <w:rPr>
          <w:color w:val="231F20"/>
          <w:spacing w:val="2"/>
        </w:rPr>
        <w:t>cuanto todo </w:t>
      </w:r>
      <w:r>
        <w:rPr>
          <w:color w:val="231F20"/>
        </w:rPr>
        <w:t>su </w:t>
      </w:r>
      <w:r>
        <w:rPr>
          <w:color w:val="231F20"/>
          <w:spacing w:val="2"/>
        </w:rPr>
        <w:t>proyecto </w:t>
      </w:r>
      <w:r>
        <w:rPr>
          <w:color w:val="231F20"/>
        </w:rPr>
        <w:t>de </w:t>
      </w:r>
      <w:r>
        <w:rPr>
          <w:color w:val="231F20"/>
          <w:spacing w:val="3"/>
        </w:rPr>
        <w:t>reforma </w:t>
      </w:r>
      <w:r>
        <w:rPr>
          <w:color w:val="231F20"/>
          <w:spacing w:val="2"/>
        </w:rPr>
        <w:t>expresa una estructura </w:t>
      </w:r>
      <w:r>
        <w:rPr>
          <w:color w:val="231F20"/>
        </w:rPr>
        <w:t>de </w:t>
      </w:r>
      <w:r>
        <w:rPr>
          <w:color w:val="231F20"/>
          <w:spacing w:val="2"/>
        </w:rPr>
        <w:t>coacciones que instaura </w:t>
      </w:r>
      <w:r>
        <w:rPr>
          <w:color w:val="231F20"/>
          <w:spacing w:val="3"/>
        </w:rPr>
        <w:t>nuevas formas </w:t>
      </w:r>
      <w:r>
        <w:rPr>
          <w:color w:val="231F20"/>
        </w:rPr>
        <w:t>de </w:t>
      </w:r>
      <w:r>
        <w:rPr>
          <w:color w:val="231F20"/>
          <w:spacing w:val="2"/>
        </w:rPr>
        <w:t>regulación </w:t>
      </w:r>
      <w:r>
        <w:rPr>
          <w:color w:val="231F20"/>
        </w:rPr>
        <w:t>y </w:t>
      </w:r>
      <w:r>
        <w:rPr>
          <w:color w:val="231F20"/>
          <w:spacing w:val="3"/>
        </w:rPr>
        <w:t>control </w:t>
      </w:r>
      <w:r>
        <w:rPr>
          <w:color w:val="231F20"/>
          <w:spacing w:val="2"/>
        </w:rPr>
        <w:t>social sobre los sujetos </w:t>
      </w:r>
      <w:r>
        <w:rPr>
          <w:color w:val="231F20"/>
        </w:rPr>
        <w:t>en </w:t>
      </w:r>
      <w:r>
        <w:rPr>
          <w:color w:val="231F20"/>
          <w:spacing w:val="2"/>
        </w:rPr>
        <w:t>benefi- </w:t>
      </w:r>
      <w:r>
        <w:rPr>
          <w:color w:val="231F20"/>
        </w:rPr>
        <w:t>cio de </w:t>
      </w:r>
      <w:r>
        <w:rPr>
          <w:color w:val="231F20"/>
          <w:spacing w:val="3"/>
        </w:rPr>
        <w:t>pretensiones </w:t>
      </w:r>
      <w:r>
        <w:rPr>
          <w:color w:val="231F20"/>
        </w:rPr>
        <w:t>de </w:t>
      </w:r>
      <w:r>
        <w:rPr>
          <w:color w:val="231F20"/>
          <w:spacing w:val="3"/>
        </w:rPr>
        <w:t>poder, </w:t>
      </w:r>
      <w:r>
        <w:rPr>
          <w:color w:val="231F20"/>
        </w:rPr>
        <w:t>es </w:t>
      </w:r>
      <w:r>
        <w:rPr>
          <w:color w:val="231F20"/>
          <w:spacing w:val="2"/>
        </w:rPr>
        <w:t>decir, </w:t>
      </w:r>
      <w:r>
        <w:rPr>
          <w:color w:val="231F20"/>
        </w:rPr>
        <w:t>de </w:t>
      </w:r>
      <w:r>
        <w:rPr>
          <w:color w:val="231F20"/>
          <w:spacing w:val="2"/>
        </w:rPr>
        <w:t>intereses particulares, </w:t>
      </w:r>
      <w:r>
        <w:rPr>
          <w:color w:val="231F20"/>
          <w:spacing w:val="3"/>
        </w:rPr>
        <w:t>como </w:t>
      </w:r>
      <w:r>
        <w:rPr>
          <w:color w:val="231F20"/>
          <w:spacing w:val="2"/>
        </w:rPr>
        <w:t>son los </w:t>
      </w:r>
      <w:r>
        <w:rPr>
          <w:color w:val="231F20"/>
        </w:rPr>
        <w:t>de las </w:t>
      </w:r>
      <w:r>
        <w:rPr>
          <w:color w:val="231F20"/>
          <w:spacing w:val="3"/>
        </w:rPr>
        <w:t>empresas </w:t>
      </w:r>
      <w:r>
        <w:rPr>
          <w:color w:val="231F20"/>
        </w:rPr>
        <w:t>y el </w:t>
      </w:r>
      <w:r>
        <w:rPr>
          <w:color w:val="231F20"/>
          <w:spacing w:val="2"/>
        </w:rPr>
        <w:t>capital financiero. De </w:t>
      </w:r>
      <w:r>
        <w:rPr>
          <w:color w:val="231F20"/>
        </w:rPr>
        <w:t>allí </w:t>
      </w:r>
      <w:r>
        <w:rPr>
          <w:color w:val="231F20"/>
          <w:spacing w:val="2"/>
        </w:rPr>
        <w:t>que procure delinear una </w:t>
      </w:r>
      <w:r>
        <w:rPr>
          <w:color w:val="231F20"/>
          <w:spacing w:val="3"/>
        </w:rPr>
        <w:t>propuesta </w:t>
      </w:r>
      <w:r>
        <w:rPr>
          <w:color w:val="231F20"/>
        </w:rPr>
        <w:t>de </w:t>
      </w:r>
      <w:r>
        <w:rPr>
          <w:color w:val="231F20"/>
          <w:spacing w:val="3"/>
        </w:rPr>
        <w:t>transformación </w:t>
      </w:r>
      <w:r>
        <w:rPr>
          <w:color w:val="231F20"/>
        </w:rPr>
        <w:t>de la </w:t>
      </w:r>
      <w:r>
        <w:rPr>
          <w:color w:val="231F20"/>
          <w:spacing w:val="3"/>
        </w:rPr>
        <w:t>educación </w:t>
      </w:r>
      <w:r>
        <w:rPr>
          <w:color w:val="231F20"/>
          <w:spacing w:val="2"/>
        </w:rPr>
        <w:t>pública, </w:t>
      </w:r>
      <w:r>
        <w:rPr>
          <w:color w:val="231F20"/>
        </w:rPr>
        <w:t>en </w:t>
      </w:r>
      <w:r>
        <w:rPr>
          <w:color w:val="231F20"/>
          <w:spacing w:val="2"/>
        </w:rPr>
        <w:t>particular </w:t>
      </w:r>
      <w:r>
        <w:rPr>
          <w:color w:val="231F20"/>
        </w:rPr>
        <w:t>de la </w:t>
      </w:r>
      <w:r>
        <w:rPr>
          <w:color w:val="231F20"/>
          <w:spacing w:val="2"/>
        </w:rPr>
        <w:t>educación superior, </w:t>
      </w:r>
      <w:r>
        <w:rPr>
          <w:color w:val="231F20"/>
          <w:spacing w:val="3"/>
        </w:rPr>
        <w:t>como </w:t>
      </w:r>
      <w:r>
        <w:rPr>
          <w:color w:val="231F20"/>
        </w:rPr>
        <w:t>un </w:t>
      </w:r>
      <w:r>
        <w:rPr>
          <w:color w:val="231F20"/>
          <w:spacing w:val="2"/>
        </w:rPr>
        <w:t>bien colectivo </w:t>
      </w:r>
      <w:r>
        <w:rPr>
          <w:color w:val="231F20"/>
        </w:rPr>
        <w:t>en </w:t>
      </w:r>
      <w:r>
        <w:rPr>
          <w:color w:val="231F20"/>
          <w:spacing w:val="2"/>
        </w:rPr>
        <w:t>cuanto permite eliminar desigualdades sociales </w:t>
      </w:r>
      <w:r>
        <w:rPr>
          <w:color w:val="231F20"/>
        </w:rPr>
        <w:t>y </w:t>
      </w:r>
      <w:r>
        <w:rPr>
          <w:color w:val="231F20"/>
          <w:spacing w:val="2"/>
        </w:rPr>
        <w:t>construir una sociedad más</w:t>
      </w:r>
      <w:r>
        <w:rPr>
          <w:color w:val="231F20"/>
          <w:spacing w:val="15"/>
        </w:rPr>
        <w:t> </w:t>
      </w:r>
      <w:r>
        <w:rPr>
          <w:color w:val="231F20"/>
          <w:spacing w:val="2"/>
        </w:rPr>
        <w:t>justa.</w:t>
      </w:r>
    </w:p>
    <w:p>
      <w:pPr>
        <w:pStyle w:val="BodyText"/>
        <w:rPr>
          <w:sz w:val="22"/>
        </w:rPr>
      </w:pPr>
    </w:p>
    <w:p>
      <w:pPr>
        <w:pStyle w:val="BodyText"/>
        <w:rPr>
          <w:sz w:val="22"/>
        </w:rPr>
      </w:pPr>
    </w:p>
    <w:p>
      <w:pPr>
        <w:pStyle w:val="BodyText"/>
        <w:spacing w:before="8"/>
        <w:rPr>
          <w:sz w:val="19"/>
        </w:rPr>
      </w:pPr>
    </w:p>
    <w:p>
      <w:pPr>
        <w:spacing w:before="1"/>
        <w:ind w:left="102" w:right="121" w:firstLine="0"/>
        <w:jc w:val="left"/>
        <w:rPr>
          <w:sz w:val="17"/>
        </w:rPr>
      </w:pPr>
      <w:r>
        <w:rPr>
          <w:color w:val="231F20"/>
          <w:w w:val="105"/>
          <w:sz w:val="21"/>
        </w:rPr>
        <w:t>R</w:t>
      </w:r>
      <w:r>
        <w:rPr>
          <w:color w:val="231F20"/>
          <w:w w:val="105"/>
          <w:sz w:val="17"/>
        </w:rPr>
        <w:t>EFERENCIAS</w:t>
      </w:r>
    </w:p>
    <w:p>
      <w:pPr>
        <w:pStyle w:val="BodyText"/>
        <w:rPr>
          <w:sz w:val="22"/>
        </w:rPr>
      </w:pPr>
    </w:p>
    <w:p>
      <w:pPr>
        <w:spacing w:line="247" w:lineRule="auto" w:before="185"/>
        <w:ind w:left="822" w:right="121" w:hanging="721"/>
        <w:jc w:val="left"/>
        <w:rPr>
          <w:sz w:val="21"/>
        </w:rPr>
      </w:pPr>
      <w:r>
        <w:rPr>
          <w:color w:val="231F20"/>
          <w:w w:val="95"/>
          <w:sz w:val="21"/>
        </w:rPr>
        <w:t>Aboites,</w:t>
      </w:r>
      <w:r>
        <w:rPr>
          <w:color w:val="231F20"/>
          <w:spacing w:val="-14"/>
          <w:w w:val="95"/>
          <w:sz w:val="21"/>
        </w:rPr>
        <w:t> </w:t>
      </w:r>
      <w:r>
        <w:rPr>
          <w:color w:val="231F20"/>
          <w:w w:val="95"/>
          <w:sz w:val="21"/>
        </w:rPr>
        <w:t>Hugo.</w:t>
      </w:r>
      <w:r>
        <w:rPr>
          <w:color w:val="231F20"/>
          <w:spacing w:val="-14"/>
          <w:w w:val="95"/>
          <w:sz w:val="21"/>
        </w:rPr>
        <w:t> </w:t>
      </w:r>
      <w:r>
        <w:rPr>
          <w:color w:val="231F20"/>
          <w:w w:val="95"/>
          <w:sz w:val="21"/>
        </w:rPr>
        <w:t>(1997).</w:t>
      </w:r>
      <w:r>
        <w:rPr>
          <w:color w:val="231F20"/>
          <w:spacing w:val="-14"/>
          <w:w w:val="95"/>
          <w:sz w:val="21"/>
        </w:rPr>
        <w:t> </w:t>
      </w:r>
      <w:r>
        <w:rPr>
          <w:i/>
          <w:color w:val="231F20"/>
          <w:w w:val="95"/>
          <w:sz w:val="21"/>
        </w:rPr>
        <w:t>Viento</w:t>
      </w:r>
      <w:r>
        <w:rPr>
          <w:i/>
          <w:color w:val="231F20"/>
          <w:spacing w:val="-14"/>
          <w:w w:val="95"/>
          <w:sz w:val="21"/>
        </w:rPr>
        <w:t> </w:t>
      </w:r>
      <w:r>
        <w:rPr>
          <w:i/>
          <w:color w:val="231F20"/>
          <w:w w:val="95"/>
          <w:sz w:val="21"/>
        </w:rPr>
        <w:t>del</w:t>
      </w:r>
      <w:r>
        <w:rPr>
          <w:i/>
          <w:color w:val="231F20"/>
          <w:spacing w:val="-14"/>
          <w:w w:val="95"/>
          <w:sz w:val="21"/>
        </w:rPr>
        <w:t> </w:t>
      </w:r>
      <w:r>
        <w:rPr>
          <w:i/>
          <w:color w:val="231F20"/>
          <w:w w:val="95"/>
          <w:sz w:val="21"/>
        </w:rPr>
        <w:t>norte:</w:t>
      </w:r>
      <w:r>
        <w:rPr>
          <w:i/>
          <w:color w:val="231F20"/>
          <w:spacing w:val="-14"/>
          <w:w w:val="95"/>
          <w:sz w:val="21"/>
        </w:rPr>
        <w:t> </w:t>
      </w:r>
      <w:r>
        <w:rPr>
          <w:i/>
          <w:color w:val="231F20"/>
          <w:w w:val="95"/>
          <w:sz w:val="21"/>
        </w:rPr>
        <w:t>TLC</w:t>
      </w:r>
      <w:r>
        <w:rPr>
          <w:i/>
          <w:color w:val="231F20"/>
          <w:spacing w:val="-14"/>
          <w:w w:val="95"/>
          <w:sz w:val="21"/>
        </w:rPr>
        <w:t> </w:t>
      </w:r>
      <w:r>
        <w:rPr>
          <w:i/>
          <w:color w:val="231F20"/>
          <w:w w:val="95"/>
          <w:sz w:val="21"/>
        </w:rPr>
        <w:t>y</w:t>
      </w:r>
      <w:r>
        <w:rPr>
          <w:i/>
          <w:color w:val="231F20"/>
          <w:spacing w:val="-14"/>
          <w:w w:val="95"/>
          <w:sz w:val="21"/>
        </w:rPr>
        <w:t> </w:t>
      </w:r>
      <w:r>
        <w:rPr>
          <w:i/>
          <w:color w:val="231F20"/>
          <w:w w:val="95"/>
          <w:sz w:val="21"/>
        </w:rPr>
        <w:t>privatización</w:t>
      </w:r>
      <w:r>
        <w:rPr>
          <w:i/>
          <w:color w:val="231F20"/>
          <w:spacing w:val="-14"/>
          <w:w w:val="95"/>
          <w:sz w:val="21"/>
        </w:rPr>
        <w:t> </w:t>
      </w:r>
      <w:r>
        <w:rPr>
          <w:i/>
          <w:color w:val="231F20"/>
          <w:w w:val="95"/>
          <w:sz w:val="21"/>
        </w:rPr>
        <w:t>de</w:t>
      </w:r>
      <w:r>
        <w:rPr>
          <w:i/>
          <w:color w:val="231F20"/>
          <w:spacing w:val="-14"/>
          <w:w w:val="95"/>
          <w:sz w:val="21"/>
        </w:rPr>
        <w:t> </w:t>
      </w:r>
      <w:r>
        <w:rPr>
          <w:i/>
          <w:color w:val="231F20"/>
          <w:w w:val="95"/>
          <w:sz w:val="21"/>
        </w:rPr>
        <w:t>la </w:t>
      </w:r>
      <w:r>
        <w:rPr>
          <w:i/>
          <w:color w:val="231F20"/>
          <w:w w:val="90"/>
          <w:sz w:val="21"/>
        </w:rPr>
        <w:t>educación</w:t>
      </w:r>
      <w:r>
        <w:rPr>
          <w:i/>
          <w:color w:val="231F20"/>
          <w:spacing w:val="-5"/>
          <w:w w:val="90"/>
          <w:sz w:val="21"/>
        </w:rPr>
        <w:t> </w:t>
      </w:r>
      <w:r>
        <w:rPr>
          <w:i/>
          <w:color w:val="231F20"/>
          <w:w w:val="90"/>
          <w:sz w:val="21"/>
        </w:rPr>
        <w:t>superior</w:t>
      </w:r>
      <w:r>
        <w:rPr>
          <w:i/>
          <w:color w:val="231F20"/>
          <w:spacing w:val="-6"/>
          <w:w w:val="90"/>
          <w:sz w:val="21"/>
        </w:rPr>
        <w:t> </w:t>
      </w:r>
      <w:r>
        <w:rPr>
          <w:i/>
          <w:color w:val="231F20"/>
          <w:w w:val="90"/>
          <w:sz w:val="21"/>
        </w:rPr>
        <w:t>en</w:t>
      </w:r>
      <w:r>
        <w:rPr>
          <w:i/>
          <w:color w:val="231F20"/>
          <w:spacing w:val="-5"/>
          <w:w w:val="90"/>
          <w:sz w:val="21"/>
        </w:rPr>
        <w:t> </w:t>
      </w:r>
      <w:r>
        <w:rPr>
          <w:i/>
          <w:color w:val="231F20"/>
          <w:w w:val="90"/>
          <w:sz w:val="21"/>
        </w:rPr>
        <w:t>México.</w:t>
      </w:r>
      <w:r>
        <w:rPr>
          <w:i/>
          <w:color w:val="231F20"/>
          <w:spacing w:val="-6"/>
          <w:w w:val="90"/>
          <w:sz w:val="21"/>
        </w:rPr>
        <w:t> </w:t>
      </w:r>
      <w:r>
        <w:rPr>
          <w:color w:val="231F20"/>
          <w:w w:val="90"/>
          <w:sz w:val="21"/>
        </w:rPr>
        <w:t>México:</w:t>
      </w:r>
      <w:r>
        <w:rPr>
          <w:color w:val="231F20"/>
          <w:spacing w:val="-6"/>
          <w:w w:val="90"/>
          <w:sz w:val="21"/>
        </w:rPr>
        <w:t> </w:t>
      </w:r>
      <w:r>
        <w:rPr>
          <w:color w:val="231F20"/>
          <w:w w:val="90"/>
          <w:sz w:val="21"/>
        </w:rPr>
        <w:t>Plaza</w:t>
      </w:r>
      <w:r>
        <w:rPr>
          <w:color w:val="231F20"/>
          <w:spacing w:val="-5"/>
          <w:w w:val="90"/>
          <w:sz w:val="21"/>
        </w:rPr>
        <w:t> </w:t>
      </w:r>
      <w:r>
        <w:rPr>
          <w:color w:val="231F20"/>
          <w:w w:val="90"/>
          <w:sz w:val="21"/>
        </w:rPr>
        <w:t>y</w:t>
      </w:r>
      <w:r>
        <w:rPr>
          <w:color w:val="231F20"/>
          <w:spacing w:val="-5"/>
          <w:w w:val="90"/>
          <w:sz w:val="21"/>
        </w:rPr>
        <w:t> </w:t>
      </w:r>
      <w:r>
        <w:rPr>
          <w:color w:val="231F20"/>
          <w:w w:val="90"/>
          <w:sz w:val="21"/>
        </w:rPr>
        <w:t>Valdés.</w:t>
      </w:r>
    </w:p>
    <w:p>
      <w:pPr>
        <w:pStyle w:val="BodyText"/>
        <w:spacing w:line="238" w:lineRule="exact"/>
        <w:ind w:left="102" w:right="121"/>
      </w:pPr>
      <w:r>
        <w:rPr>
          <w:color w:val="231F20"/>
        </w:rPr>
        <w:t>ANUIES. (1994). Avances de la universidad pública en México.</w:t>
      </w:r>
    </w:p>
    <w:p>
      <w:pPr>
        <w:pStyle w:val="BodyText"/>
        <w:spacing w:line="244" w:lineRule="auto" w:before="8"/>
        <w:ind w:left="822" w:right="121"/>
      </w:pPr>
      <w:r>
        <w:rPr>
          <w:color w:val="231F20"/>
          <w:w w:val="105"/>
        </w:rPr>
        <w:t>ANUIES. Obtenido de </w:t>
      </w:r>
      <w:r>
        <w:rPr>
          <w:color w:val="231F20"/>
          <w:w w:val="104"/>
        </w:rPr>
        <w:t>h</w:t>
      </w:r>
      <w:r>
        <w:rPr>
          <w:color w:val="231F20"/>
          <w:w w:val="107"/>
        </w:rPr>
        <w:t>tt</w:t>
      </w:r>
      <w:r>
        <w:rPr>
          <w:color w:val="231F20"/>
          <w:w w:val="104"/>
        </w:rPr>
        <w:t>p</w:t>
      </w:r>
      <w:r>
        <w:rPr>
          <w:color w:val="231F20"/>
          <w:w w:val="185"/>
        </w:rPr>
        <w:t>//</w:t>
      </w:r>
      <w:hyperlink r:id="rId231">
        <w:r>
          <w:rPr>
            <w:color w:val="231F20"/>
            <w:w w:val="94"/>
          </w:rPr>
          <w:t>www</w:t>
        </w:r>
        <w:r>
          <w:rPr>
            <w:color w:val="231F20"/>
            <w:w w:val="92"/>
          </w:rPr>
          <w:t>.a</w:t>
        </w:r>
        <w:r>
          <w:rPr>
            <w:color w:val="231F20"/>
            <w:w w:val="104"/>
          </w:rPr>
          <w:t>n</w:t>
        </w:r>
        <w:r>
          <w:rPr>
            <w:color w:val="231F20"/>
            <w:w w:val="100"/>
          </w:rPr>
          <w:t>u</w:t>
        </w:r>
        <w:r>
          <w:rPr>
            <w:color w:val="231F20"/>
            <w:w w:val="92"/>
          </w:rPr>
          <w:t>ie</w:t>
        </w:r>
        <w:r>
          <w:rPr>
            <w:color w:val="231F20"/>
            <w:w w:val="96"/>
          </w:rPr>
          <w:t>s</w:t>
        </w:r>
        <w:r>
          <w:rPr>
            <w:color w:val="231F20"/>
            <w:w w:val="99"/>
          </w:rPr>
          <w:t>.m</w:t>
        </w:r>
        <w:r>
          <w:rPr>
            <w:color w:val="231F20"/>
            <w:w w:val="94"/>
          </w:rPr>
          <w:t>x</w:t>
        </w:r>
        <w:r>
          <w:rPr>
            <w:color w:val="231F20"/>
            <w:w w:val="140"/>
          </w:rPr>
          <w:t>./</w:t>
        </w:r>
        <w:r>
          <w:rPr>
            <w:color w:val="231F20"/>
            <w:w w:val="104"/>
          </w:rPr>
          <w:t>p</w:t>
        </w:r>
        <w:r>
          <w:rPr>
            <w:color w:val="231F20"/>
            <w:w w:val="102"/>
          </w:rPr>
          <w:t>_</w:t>
        </w:r>
        <w:r>
          <w:rPr>
            <w:color w:val="231F20"/>
            <w:w w:val="94"/>
          </w:rPr>
          <w:t>a</w:t>
        </w:r>
        <w:r>
          <w:rPr>
            <w:color w:val="231F20"/>
            <w:w w:val="104"/>
          </w:rPr>
          <w:t>n</w:t>
        </w:r>
        <w:r>
          <w:rPr>
            <w:color w:val="231F20"/>
            <w:w w:val="100"/>
          </w:rPr>
          <w:t>u</w:t>
        </w:r>
        <w:r>
          <w:rPr>
            <w:color w:val="231F20"/>
            <w:w w:val="92"/>
          </w:rPr>
          <w:t>ie</w:t>
        </w:r>
        <w:r>
          <w:rPr>
            <w:color w:val="231F20"/>
            <w:w w:val="96"/>
          </w:rPr>
          <w:t>s</w:t>
        </w:r>
        <w:r>
          <w:rPr>
            <w:color w:val="231F20"/>
            <w:w w:val="185"/>
          </w:rPr>
          <w:t>/</w:t>
        </w:r>
        <w:r>
          <w:rPr>
            <w:color w:val="231F20"/>
            <w:w w:val="104"/>
          </w:rPr>
          <w:t>p</w:t>
        </w:r>
        <w:r>
          <w:rPr>
            <w:color w:val="231F20"/>
            <w:w w:val="100"/>
          </w:rPr>
          <w:t>u</w:t>
        </w:r>
        <w:r>
          <w:rPr>
            <w:color w:val="231F20"/>
            <w:w w:val="104"/>
          </w:rPr>
          <w:t>b</w:t>
        </w:r>
        <w:r>
          <w:rPr>
            <w:color w:val="231F20"/>
            <w:w w:val="89"/>
          </w:rPr>
          <w:t>lic</w:t>
        </w:r>
        <w:r>
          <w:rPr>
            <w:color w:val="231F20"/>
            <w:w w:val="94"/>
          </w:rPr>
          <w:t>a</w:t>
        </w:r>
        <w:r>
          <w:rPr>
            <w:color w:val="231F20"/>
            <w:w w:val="96"/>
          </w:rPr>
          <w:t>c</w:t>
        </w:r>
        <w:r>
          <w:rPr>
            <w:color w:val="231F20"/>
            <w:w w:val="97"/>
          </w:rPr>
          <w:t>io</w:t>
        </w:r>
        <w:r>
          <w:rPr>
            <w:color w:val="231F20"/>
            <w:w w:val="104"/>
          </w:rPr>
          <w:t>n</w:t>
        </w:r>
        <w:r>
          <w:rPr>
            <w:color w:val="231F20"/>
            <w:w w:val="96"/>
          </w:rPr>
          <w:t>e</w:t>
        </w:r>
        <w:r>
          <w:rPr>
            <w:color w:val="231F20"/>
            <w:w w:val="96"/>
          </w:rPr>
          <w:t>s</w:t>
        </w:r>
        <w:r>
          <w:rPr>
            <w:color w:val="231F20"/>
            <w:w w:val="185"/>
          </w:rPr>
          <w:t>/</w:t>
        </w:r>
        <w:r>
          <w:rPr>
            <w:color w:val="231F20"/>
            <w:w w:val="94"/>
          </w:rPr>
          <w:t>lib</w:t>
        </w:r>
        <w:r>
          <w:rPr>
            <w:color w:val="231F20"/>
            <w:w w:val="103"/>
          </w:rPr>
          <w:t>r</w:t>
        </w:r>
        <w:r>
          <w:rPr>
            <w:color w:val="231F20"/>
            <w:w w:val="104"/>
          </w:rPr>
          <w:t>o</w:t>
        </w:r>
        <w:r>
          <w:rPr>
            <w:color w:val="231F20"/>
            <w:w w:val="96"/>
          </w:rPr>
          <w:t>s</w:t>
        </w:r>
        <w:r>
          <w:rPr>
            <w:color w:val="231F20"/>
            <w:w w:val="185"/>
          </w:rPr>
          <w:t>/</w:t>
        </w:r>
        <w:r>
          <w:rPr>
            <w:color w:val="231F20"/>
            <w:w w:val="94"/>
          </w:rPr>
          <w:t>lib</w:t>
        </w:r>
      </w:hyperlink>
      <w:r>
        <w:rPr>
          <w:color w:val="231F20"/>
          <w:w w:val="94"/>
        </w:rPr>
        <w:t> </w:t>
      </w:r>
      <w:r>
        <w:rPr>
          <w:color w:val="231F20"/>
          <w:w w:val="105"/>
        </w:rPr>
        <w:t>41/000.htm</w:t>
      </w:r>
    </w:p>
    <w:p>
      <w:pPr>
        <w:spacing w:line="242" w:lineRule="auto" w:before="3"/>
        <w:ind w:left="102" w:right="121" w:firstLine="0"/>
        <w:jc w:val="left"/>
        <w:rPr>
          <w:i/>
          <w:sz w:val="21"/>
        </w:rPr>
      </w:pPr>
      <w:r>
        <w:rPr>
          <w:color w:val="231F20"/>
          <w:w w:val="94"/>
          <w:sz w:val="21"/>
        </w:rPr>
        <w:t>B</w:t>
      </w:r>
      <w:r>
        <w:rPr>
          <w:color w:val="231F20"/>
          <w:w w:val="94"/>
          <w:sz w:val="21"/>
        </w:rPr>
        <w:t>a</w:t>
      </w:r>
      <w:r>
        <w:rPr>
          <w:color w:val="231F20"/>
          <w:w w:val="103"/>
          <w:sz w:val="21"/>
        </w:rPr>
        <w:t>rró</w:t>
      </w:r>
      <w:r>
        <w:rPr>
          <w:color w:val="231F20"/>
          <w:w w:val="104"/>
          <w:sz w:val="21"/>
        </w:rPr>
        <w:t>n</w:t>
      </w:r>
      <w:r>
        <w:rPr>
          <w:color w:val="231F20"/>
          <w:w w:val="89"/>
          <w:sz w:val="21"/>
        </w:rPr>
        <w:t>,</w:t>
      </w:r>
      <w:r>
        <w:rPr>
          <w:color w:val="231F20"/>
          <w:sz w:val="21"/>
        </w:rPr>
        <w:t> </w:t>
      </w:r>
      <w:r>
        <w:rPr>
          <w:color w:val="231F20"/>
          <w:w w:val="96"/>
          <w:sz w:val="21"/>
        </w:rPr>
        <w:t>M</w:t>
      </w:r>
      <w:r>
        <w:rPr>
          <w:color w:val="231F20"/>
          <w:w w:val="97"/>
          <w:sz w:val="21"/>
        </w:rPr>
        <w:t>ar</w:t>
      </w:r>
      <w:r>
        <w:rPr>
          <w:color w:val="231F20"/>
          <w:w w:val="95"/>
          <w:sz w:val="21"/>
        </w:rPr>
        <w:t>gar</w:t>
      </w:r>
      <w:r>
        <w:rPr>
          <w:color w:val="231F20"/>
          <w:w w:val="84"/>
          <w:sz w:val="21"/>
        </w:rPr>
        <w:t>i</w:t>
      </w:r>
      <w:r>
        <w:rPr>
          <w:color w:val="231F20"/>
          <w:w w:val="107"/>
          <w:sz w:val="21"/>
        </w:rPr>
        <w:t>t</w:t>
      </w:r>
      <w:r>
        <w:rPr>
          <w:color w:val="231F20"/>
          <w:w w:val="92"/>
          <w:sz w:val="21"/>
        </w:rPr>
        <w:t>a.</w:t>
      </w:r>
      <w:r>
        <w:rPr>
          <w:color w:val="231F20"/>
          <w:sz w:val="21"/>
        </w:rPr>
        <w:t> </w:t>
      </w:r>
      <w:r>
        <w:rPr>
          <w:color w:val="231F20"/>
          <w:w w:val="90"/>
          <w:sz w:val="21"/>
        </w:rPr>
        <w:t>(</w:t>
      </w:r>
      <w:r>
        <w:rPr>
          <w:color w:val="231F20"/>
          <w:w w:val="95"/>
          <w:sz w:val="21"/>
        </w:rPr>
        <w:t>2007)</w:t>
      </w:r>
      <w:r>
        <w:rPr>
          <w:color w:val="231F20"/>
          <w:w w:val="89"/>
          <w:sz w:val="21"/>
        </w:rPr>
        <w:t>.</w:t>
      </w:r>
      <w:r>
        <w:rPr>
          <w:color w:val="231F20"/>
          <w:sz w:val="21"/>
        </w:rPr>
        <w:t> </w:t>
      </w:r>
      <w:r>
        <w:rPr>
          <w:i/>
          <w:color w:val="231F20"/>
          <w:w w:val="135"/>
          <w:sz w:val="21"/>
        </w:rPr>
        <w:t>V</w:t>
      </w:r>
      <w:r>
        <w:rPr>
          <w:i/>
          <w:color w:val="231F20"/>
          <w:w w:val="77"/>
          <w:sz w:val="21"/>
        </w:rPr>
        <w:t>io</w:t>
      </w:r>
      <w:r>
        <w:rPr>
          <w:i/>
          <w:color w:val="231F20"/>
          <w:w w:val="72"/>
          <w:sz w:val="21"/>
        </w:rPr>
        <w:t>le</w:t>
      </w:r>
      <w:r>
        <w:rPr>
          <w:i/>
          <w:color w:val="231F20"/>
          <w:w w:val="87"/>
          <w:sz w:val="21"/>
        </w:rPr>
        <w:t>n</w:t>
      </w:r>
      <w:r>
        <w:rPr>
          <w:i/>
          <w:color w:val="231F20"/>
          <w:w w:val="62"/>
          <w:sz w:val="21"/>
        </w:rPr>
        <w:t>c</w:t>
      </w:r>
      <w:r>
        <w:rPr>
          <w:i/>
          <w:color w:val="231F20"/>
          <w:w w:val="84"/>
          <w:sz w:val="21"/>
        </w:rPr>
        <w:t>ia</w:t>
      </w:r>
      <w:r>
        <w:rPr>
          <w:i/>
          <w:color w:val="231F20"/>
          <w:w w:val="89"/>
          <w:sz w:val="21"/>
        </w:rPr>
        <w:t>.</w:t>
      </w:r>
      <w:r>
        <w:rPr>
          <w:i/>
          <w:color w:val="231F20"/>
          <w:sz w:val="21"/>
        </w:rPr>
        <w:t> </w:t>
      </w:r>
      <w:r>
        <w:rPr>
          <w:color w:val="231F20"/>
          <w:w w:val="97"/>
          <w:sz w:val="21"/>
        </w:rPr>
        <w:t>C</w:t>
      </w:r>
      <w:r>
        <w:rPr>
          <w:color w:val="231F20"/>
          <w:w w:val="104"/>
          <w:sz w:val="21"/>
        </w:rPr>
        <w:t>ó</w:t>
      </w:r>
      <w:r>
        <w:rPr>
          <w:color w:val="231F20"/>
          <w:w w:val="103"/>
          <w:sz w:val="21"/>
        </w:rPr>
        <w:t>r</w:t>
      </w:r>
      <w:r>
        <w:rPr>
          <w:color w:val="231F20"/>
          <w:w w:val="102"/>
          <w:sz w:val="21"/>
        </w:rPr>
        <w:t>d</w:t>
      </w:r>
      <w:r>
        <w:rPr>
          <w:color w:val="231F20"/>
          <w:w w:val="104"/>
          <w:sz w:val="21"/>
        </w:rPr>
        <w:t>o</w:t>
      </w:r>
      <w:r>
        <w:rPr>
          <w:color w:val="231F20"/>
          <w:w w:val="94"/>
          <w:sz w:val="21"/>
        </w:rPr>
        <w:t>va,</w:t>
      </w:r>
      <w:r>
        <w:rPr>
          <w:color w:val="231F20"/>
          <w:sz w:val="21"/>
        </w:rPr>
        <w:t> </w:t>
      </w:r>
      <w:r>
        <w:rPr>
          <w:color w:val="231F20"/>
          <w:w w:val="96"/>
          <w:sz w:val="21"/>
        </w:rPr>
        <w:t>A</w:t>
      </w:r>
      <w:r>
        <w:rPr>
          <w:color w:val="231F20"/>
          <w:w w:val="103"/>
          <w:sz w:val="21"/>
        </w:rPr>
        <w:t>r</w:t>
      </w:r>
      <w:r>
        <w:rPr>
          <w:color w:val="231F20"/>
          <w:w w:val="94"/>
          <w:sz w:val="21"/>
        </w:rPr>
        <w:t>ge</w:t>
      </w:r>
      <w:r>
        <w:rPr>
          <w:color w:val="231F20"/>
          <w:w w:val="104"/>
          <w:sz w:val="21"/>
        </w:rPr>
        <w:t>n</w:t>
      </w:r>
      <w:r>
        <w:rPr>
          <w:color w:val="231F20"/>
          <w:w w:val="107"/>
          <w:sz w:val="21"/>
        </w:rPr>
        <w:t>t</w:t>
      </w:r>
      <w:r>
        <w:rPr>
          <w:color w:val="231F20"/>
          <w:w w:val="84"/>
          <w:sz w:val="21"/>
        </w:rPr>
        <w:t>i</w:t>
      </w:r>
      <w:r>
        <w:rPr>
          <w:color w:val="231F20"/>
          <w:w w:val="104"/>
          <w:sz w:val="21"/>
        </w:rPr>
        <w:t>n</w:t>
      </w:r>
      <w:r>
        <w:rPr>
          <w:color w:val="231F20"/>
          <w:w w:val="89"/>
          <w:sz w:val="21"/>
        </w:rPr>
        <w:t>a:</w:t>
      </w:r>
      <w:r>
        <w:rPr>
          <w:color w:val="231F20"/>
          <w:sz w:val="21"/>
        </w:rPr>
        <w:t> </w:t>
      </w:r>
      <w:r>
        <w:rPr>
          <w:color w:val="231F20"/>
          <w:w w:val="94"/>
          <w:sz w:val="21"/>
        </w:rPr>
        <w:t>B</w:t>
      </w:r>
      <w:r>
        <w:rPr>
          <w:color w:val="231F20"/>
          <w:w w:val="103"/>
          <w:sz w:val="21"/>
        </w:rPr>
        <w:t>r</w:t>
      </w:r>
      <w:r>
        <w:rPr>
          <w:color w:val="231F20"/>
          <w:w w:val="100"/>
          <w:sz w:val="21"/>
        </w:rPr>
        <w:t>u</w:t>
      </w:r>
      <w:r>
        <w:rPr>
          <w:color w:val="231F20"/>
          <w:w w:val="84"/>
          <w:sz w:val="21"/>
        </w:rPr>
        <w:t>j</w:t>
      </w:r>
      <w:r>
        <w:rPr>
          <w:color w:val="231F20"/>
          <w:w w:val="95"/>
          <w:sz w:val="21"/>
        </w:rPr>
        <w:t>as</w:t>
      </w:r>
      <w:r>
        <w:rPr>
          <w:color w:val="231F20"/>
          <w:w w:val="89"/>
          <w:sz w:val="21"/>
        </w:rPr>
        <w:t>. </w:t>
      </w:r>
      <w:r>
        <w:rPr>
          <w:color w:val="231F20"/>
          <w:w w:val="95"/>
          <w:sz w:val="21"/>
        </w:rPr>
        <w:t>Baudrillard, Jean y Morín, Edgar. (2004). </w:t>
      </w:r>
      <w:r>
        <w:rPr>
          <w:i/>
          <w:color w:val="231F20"/>
          <w:w w:val="95"/>
          <w:sz w:val="21"/>
        </w:rPr>
        <w:t>La violencia del mundo.</w:t>
      </w:r>
    </w:p>
    <w:p>
      <w:pPr>
        <w:pStyle w:val="BodyText"/>
        <w:spacing w:before="6"/>
        <w:ind w:left="823" w:right="121"/>
      </w:pPr>
      <w:r>
        <w:rPr>
          <w:color w:val="231F20"/>
        </w:rPr>
        <w:t>Barcelona: Paidós.</w:t>
      </w:r>
    </w:p>
    <w:p>
      <w:pPr>
        <w:spacing w:before="3"/>
        <w:ind w:left="103" w:right="121" w:firstLine="0"/>
        <w:jc w:val="left"/>
        <w:rPr>
          <w:i/>
          <w:sz w:val="21"/>
        </w:rPr>
      </w:pPr>
      <w:r>
        <w:rPr>
          <w:color w:val="231F20"/>
          <w:w w:val="90"/>
          <w:sz w:val="21"/>
        </w:rPr>
        <w:t>Beriain, Josetxo. (1996). </w:t>
      </w:r>
      <w:r>
        <w:rPr>
          <w:i/>
          <w:color w:val="231F20"/>
          <w:w w:val="90"/>
          <w:sz w:val="21"/>
        </w:rPr>
        <w:t>La integración en las sociedades modernas.</w:t>
      </w:r>
    </w:p>
    <w:p>
      <w:pPr>
        <w:pStyle w:val="BodyText"/>
        <w:spacing w:before="8"/>
        <w:ind w:left="823" w:right="121"/>
      </w:pPr>
      <w:r>
        <w:rPr>
          <w:color w:val="231F20"/>
        </w:rPr>
        <w:t>Barcelona: Anthropos.</w:t>
      </w:r>
    </w:p>
    <w:p>
      <w:pPr>
        <w:spacing w:before="3"/>
        <w:ind w:left="103" w:right="121" w:firstLine="0"/>
        <w:jc w:val="left"/>
        <w:rPr>
          <w:i/>
          <w:sz w:val="21"/>
        </w:rPr>
      </w:pPr>
      <w:r>
        <w:rPr>
          <w:color w:val="231F20"/>
          <w:spacing w:val="2"/>
          <w:w w:val="94"/>
          <w:sz w:val="21"/>
        </w:rPr>
        <w:t>B</w:t>
      </w:r>
      <w:r>
        <w:rPr>
          <w:color w:val="231F20"/>
          <w:w w:val="92"/>
          <w:sz w:val="21"/>
        </w:rPr>
        <w:t>l</w:t>
      </w:r>
      <w:r>
        <w:rPr>
          <w:color w:val="231F20"/>
          <w:spacing w:val="1"/>
          <w:w w:val="92"/>
          <w:sz w:val="21"/>
        </w:rPr>
        <w:t>e</w:t>
      </w:r>
      <w:r>
        <w:rPr>
          <w:color w:val="231F20"/>
          <w:w w:val="92"/>
          <w:sz w:val="21"/>
        </w:rPr>
        <w:t>i</w:t>
      </w:r>
      <w:r>
        <w:rPr>
          <w:color w:val="231F20"/>
          <w:spacing w:val="1"/>
          <w:w w:val="92"/>
          <w:sz w:val="21"/>
        </w:rPr>
        <w:t>c</w:t>
      </w:r>
      <w:r>
        <w:rPr>
          <w:color w:val="231F20"/>
          <w:spacing w:val="2"/>
          <w:w w:val="104"/>
          <w:sz w:val="21"/>
        </w:rPr>
        <w:t>h</w:t>
      </w:r>
      <w:r>
        <w:rPr>
          <w:color w:val="231F20"/>
          <w:spacing w:val="3"/>
          <w:w w:val="101"/>
          <w:sz w:val="21"/>
        </w:rPr>
        <w:t>m</w:t>
      </w:r>
      <w:r>
        <w:rPr>
          <w:color w:val="231F20"/>
          <w:spacing w:val="1"/>
          <w:w w:val="94"/>
          <w:sz w:val="21"/>
        </w:rPr>
        <w:t>a</w:t>
      </w:r>
      <w:r>
        <w:rPr>
          <w:color w:val="231F20"/>
          <w:spacing w:val="1"/>
          <w:w w:val="103"/>
          <w:sz w:val="21"/>
        </w:rPr>
        <w:t>r</w:t>
      </w:r>
      <w:r>
        <w:rPr>
          <w:color w:val="231F20"/>
          <w:w w:val="90"/>
          <w:sz w:val="21"/>
        </w:rPr>
        <w:t>,</w:t>
      </w:r>
      <w:r>
        <w:rPr>
          <w:color w:val="231F20"/>
          <w:spacing w:val="3"/>
          <w:sz w:val="21"/>
        </w:rPr>
        <w:t> </w:t>
      </w:r>
      <w:r>
        <w:rPr>
          <w:color w:val="231F20"/>
          <w:spacing w:val="1"/>
          <w:w w:val="88"/>
          <w:sz w:val="21"/>
        </w:rPr>
        <w:t>S</w:t>
      </w:r>
      <w:r>
        <w:rPr>
          <w:color w:val="231F20"/>
          <w:w w:val="90"/>
          <w:sz w:val="21"/>
        </w:rPr>
        <w:t>il</w:t>
      </w:r>
      <w:r>
        <w:rPr>
          <w:color w:val="231F20"/>
          <w:spacing w:val="1"/>
          <w:w w:val="90"/>
          <w:sz w:val="21"/>
        </w:rPr>
        <w:t>v</w:t>
      </w:r>
      <w:r>
        <w:rPr>
          <w:color w:val="231F20"/>
          <w:w w:val="90"/>
          <w:sz w:val="21"/>
        </w:rPr>
        <w:t>i</w:t>
      </w:r>
      <w:r>
        <w:rPr>
          <w:color w:val="231F20"/>
          <w:spacing w:val="1"/>
          <w:w w:val="90"/>
          <w:sz w:val="21"/>
        </w:rPr>
        <w:t>a</w:t>
      </w:r>
      <w:r>
        <w:rPr>
          <w:color w:val="231F20"/>
          <w:w w:val="90"/>
          <w:sz w:val="21"/>
        </w:rPr>
        <w:t>.</w:t>
      </w:r>
      <w:r>
        <w:rPr>
          <w:color w:val="231F20"/>
          <w:spacing w:val="3"/>
          <w:sz w:val="21"/>
        </w:rPr>
        <w:t> </w:t>
      </w:r>
      <w:r>
        <w:rPr>
          <w:color w:val="231F20"/>
          <w:spacing w:val="1"/>
          <w:w w:val="90"/>
          <w:sz w:val="21"/>
        </w:rPr>
        <w:t>(</w:t>
      </w:r>
      <w:r>
        <w:rPr>
          <w:color w:val="231F20"/>
          <w:spacing w:val="1"/>
          <w:w w:val="95"/>
          <w:sz w:val="21"/>
        </w:rPr>
        <w:t>2008)</w:t>
      </w:r>
      <w:r>
        <w:rPr>
          <w:color w:val="231F20"/>
          <w:w w:val="90"/>
          <w:sz w:val="21"/>
        </w:rPr>
        <w:t>.</w:t>
      </w:r>
      <w:r>
        <w:rPr>
          <w:color w:val="231F20"/>
          <w:spacing w:val="3"/>
          <w:sz w:val="21"/>
        </w:rPr>
        <w:t> </w:t>
      </w:r>
      <w:r>
        <w:rPr>
          <w:i/>
          <w:color w:val="231F20"/>
          <w:spacing w:val="3"/>
          <w:w w:val="135"/>
          <w:sz w:val="21"/>
        </w:rPr>
        <w:t>V</w:t>
      </w:r>
      <w:r>
        <w:rPr>
          <w:i/>
          <w:color w:val="231F20"/>
          <w:w w:val="77"/>
          <w:sz w:val="21"/>
        </w:rPr>
        <w:t>i</w:t>
      </w:r>
      <w:r>
        <w:rPr>
          <w:i/>
          <w:color w:val="231F20"/>
          <w:spacing w:val="1"/>
          <w:w w:val="77"/>
          <w:sz w:val="21"/>
        </w:rPr>
        <w:t>o</w:t>
      </w:r>
      <w:r>
        <w:rPr>
          <w:i/>
          <w:color w:val="231F20"/>
          <w:w w:val="72"/>
          <w:sz w:val="21"/>
        </w:rPr>
        <w:t>l</w:t>
      </w:r>
      <w:r>
        <w:rPr>
          <w:i/>
          <w:color w:val="231F20"/>
          <w:spacing w:val="1"/>
          <w:w w:val="72"/>
          <w:sz w:val="21"/>
        </w:rPr>
        <w:t>e</w:t>
      </w:r>
      <w:r>
        <w:rPr>
          <w:i/>
          <w:color w:val="231F20"/>
          <w:spacing w:val="1"/>
          <w:w w:val="87"/>
          <w:sz w:val="21"/>
        </w:rPr>
        <w:t>n</w:t>
      </w:r>
      <w:r>
        <w:rPr>
          <w:i/>
          <w:color w:val="231F20"/>
          <w:spacing w:val="1"/>
          <w:w w:val="62"/>
          <w:sz w:val="21"/>
        </w:rPr>
        <w:t>c</w:t>
      </w:r>
      <w:r>
        <w:rPr>
          <w:i/>
          <w:color w:val="231F20"/>
          <w:w w:val="84"/>
          <w:sz w:val="21"/>
        </w:rPr>
        <w:t>ia</w:t>
      </w:r>
      <w:r>
        <w:rPr>
          <w:i/>
          <w:color w:val="231F20"/>
          <w:spacing w:val="4"/>
          <w:sz w:val="21"/>
        </w:rPr>
        <w:t> </w:t>
      </w:r>
      <w:r>
        <w:rPr>
          <w:i/>
          <w:color w:val="231F20"/>
          <w:spacing w:val="1"/>
          <w:w w:val="77"/>
          <w:sz w:val="21"/>
        </w:rPr>
        <w:t>s</w:t>
      </w:r>
      <w:r>
        <w:rPr>
          <w:i/>
          <w:color w:val="231F20"/>
          <w:spacing w:val="1"/>
          <w:w w:val="72"/>
          <w:sz w:val="21"/>
        </w:rPr>
        <w:t>o</w:t>
      </w:r>
      <w:r>
        <w:rPr>
          <w:i/>
          <w:color w:val="231F20"/>
          <w:spacing w:val="1"/>
          <w:w w:val="62"/>
          <w:sz w:val="21"/>
        </w:rPr>
        <w:t>c</w:t>
      </w:r>
      <w:r>
        <w:rPr>
          <w:i/>
          <w:color w:val="231F20"/>
          <w:w w:val="84"/>
          <w:sz w:val="21"/>
        </w:rPr>
        <w:t>i</w:t>
      </w:r>
      <w:r>
        <w:rPr>
          <w:i/>
          <w:color w:val="231F20"/>
          <w:spacing w:val="1"/>
          <w:w w:val="84"/>
          <w:sz w:val="21"/>
        </w:rPr>
        <w:t>a</w:t>
      </w:r>
      <w:r>
        <w:rPr>
          <w:i/>
          <w:color w:val="231F20"/>
          <w:w w:val="80"/>
          <w:sz w:val="21"/>
        </w:rPr>
        <w:t>l</w:t>
      </w:r>
      <w:r>
        <w:rPr>
          <w:i/>
          <w:color w:val="231F20"/>
          <w:spacing w:val="1"/>
          <w:w w:val="80"/>
          <w:sz w:val="21"/>
        </w:rPr>
        <w:t>-</w:t>
      </w:r>
      <w:r>
        <w:rPr>
          <w:i/>
          <w:color w:val="231F20"/>
          <w:spacing w:val="1"/>
          <w:w w:val="79"/>
          <w:sz w:val="21"/>
        </w:rPr>
        <w:t>v</w:t>
      </w:r>
      <w:r>
        <w:rPr>
          <w:i/>
          <w:color w:val="231F20"/>
          <w:w w:val="77"/>
          <w:sz w:val="21"/>
        </w:rPr>
        <w:t>i</w:t>
      </w:r>
      <w:r>
        <w:rPr>
          <w:i/>
          <w:color w:val="231F20"/>
          <w:spacing w:val="1"/>
          <w:w w:val="77"/>
          <w:sz w:val="21"/>
        </w:rPr>
        <w:t>o</w:t>
      </w:r>
      <w:r>
        <w:rPr>
          <w:i/>
          <w:color w:val="231F20"/>
          <w:w w:val="72"/>
          <w:sz w:val="21"/>
        </w:rPr>
        <w:t>l</w:t>
      </w:r>
      <w:r>
        <w:rPr>
          <w:i/>
          <w:color w:val="231F20"/>
          <w:spacing w:val="1"/>
          <w:w w:val="72"/>
          <w:sz w:val="21"/>
        </w:rPr>
        <w:t>e</w:t>
      </w:r>
      <w:r>
        <w:rPr>
          <w:i/>
          <w:color w:val="231F20"/>
          <w:spacing w:val="1"/>
          <w:w w:val="87"/>
          <w:sz w:val="21"/>
        </w:rPr>
        <w:t>n</w:t>
      </w:r>
      <w:r>
        <w:rPr>
          <w:i/>
          <w:color w:val="231F20"/>
          <w:spacing w:val="1"/>
          <w:w w:val="62"/>
          <w:sz w:val="21"/>
        </w:rPr>
        <w:t>c</w:t>
      </w:r>
      <w:r>
        <w:rPr>
          <w:i/>
          <w:color w:val="231F20"/>
          <w:w w:val="84"/>
          <w:sz w:val="21"/>
        </w:rPr>
        <w:t>ia</w:t>
      </w:r>
      <w:r>
        <w:rPr>
          <w:i/>
          <w:color w:val="231F20"/>
          <w:spacing w:val="4"/>
          <w:sz w:val="21"/>
        </w:rPr>
        <w:t> </w:t>
      </w:r>
      <w:r>
        <w:rPr>
          <w:i/>
          <w:color w:val="231F20"/>
          <w:spacing w:val="1"/>
          <w:w w:val="67"/>
          <w:sz w:val="21"/>
        </w:rPr>
        <w:t>e</w:t>
      </w:r>
      <w:r>
        <w:rPr>
          <w:i/>
          <w:color w:val="231F20"/>
          <w:spacing w:val="1"/>
          <w:w w:val="77"/>
          <w:sz w:val="21"/>
        </w:rPr>
        <w:t>s</w:t>
      </w:r>
      <w:r>
        <w:rPr>
          <w:i/>
          <w:color w:val="231F20"/>
          <w:spacing w:val="1"/>
          <w:w w:val="62"/>
          <w:sz w:val="21"/>
        </w:rPr>
        <w:t>c</w:t>
      </w:r>
      <w:r>
        <w:rPr>
          <w:i/>
          <w:color w:val="231F20"/>
          <w:spacing w:val="1"/>
          <w:w w:val="72"/>
          <w:sz w:val="21"/>
        </w:rPr>
        <w:t>o</w:t>
      </w:r>
      <w:r>
        <w:rPr>
          <w:i/>
          <w:color w:val="231F20"/>
          <w:w w:val="82"/>
          <w:sz w:val="21"/>
        </w:rPr>
        <w:t>l</w:t>
      </w:r>
      <w:r>
        <w:rPr>
          <w:i/>
          <w:color w:val="231F20"/>
          <w:spacing w:val="1"/>
          <w:w w:val="82"/>
          <w:sz w:val="21"/>
        </w:rPr>
        <w:t>a</w:t>
      </w:r>
      <w:r>
        <w:rPr>
          <w:i/>
          <w:color w:val="231F20"/>
          <w:w w:val="79"/>
          <w:sz w:val="21"/>
        </w:rPr>
        <w:t>r</w:t>
      </w:r>
      <w:r>
        <w:rPr>
          <w:i/>
          <w:color w:val="231F20"/>
          <w:w w:val="90"/>
          <w:sz w:val="21"/>
        </w:rPr>
        <w:t>.</w:t>
      </w:r>
      <w:r>
        <w:rPr>
          <w:i/>
          <w:color w:val="231F20"/>
          <w:spacing w:val="3"/>
          <w:sz w:val="21"/>
        </w:rPr>
        <w:t> </w:t>
      </w:r>
      <w:r>
        <w:rPr>
          <w:i/>
          <w:color w:val="231F20"/>
          <w:spacing w:val="2"/>
          <w:w w:val="103"/>
          <w:sz w:val="21"/>
        </w:rPr>
        <w:t>D</w:t>
      </w:r>
      <w:r>
        <w:rPr>
          <w:i/>
          <w:color w:val="231F20"/>
          <w:w w:val="67"/>
          <w:sz w:val="21"/>
        </w:rPr>
        <w:t>e</w:t>
      </w:r>
      <w:r>
        <w:rPr>
          <w:i/>
          <w:color w:val="231F20"/>
          <w:spacing w:val="3"/>
          <w:sz w:val="21"/>
        </w:rPr>
        <w:t> </w:t>
      </w:r>
      <w:r>
        <w:rPr>
          <w:i/>
          <w:color w:val="231F20"/>
          <w:w w:val="80"/>
          <w:sz w:val="21"/>
        </w:rPr>
        <w:t>l</w:t>
      </w:r>
      <w:r>
        <w:rPr>
          <w:i/>
          <w:color w:val="231F20"/>
          <w:w w:val="83"/>
          <w:sz w:val="21"/>
        </w:rPr>
        <w:t>a</w:t>
      </w:r>
    </w:p>
    <w:p>
      <w:pPr>
        <w:spacing w:line="247" w:lineRule="auto" w:before="8"/>
        <w:ind w:left="823" w:right="56" w:hanging="721"/>
        <w:jc w:val="left"/>
        <w:rPr>
          <w:sz w:val="21"/>
        </w:rPr>
      </w:pPr>
      <w:r>
        <w:rPr>
          <w:i/>
          <w:color w:val="231F20"/>
          <w:w w:val="90"/>
          <w:sz w:val="21"/>
        </w:rPr>
        <w:t>puesta de límites a la construcción de legalidades. </w:t>
      </w:r>
      <w:r>
        <w:rPr>
          <w:color w:val="231F20"/>
          <w:w w:val="90"/>
          <w:sz w:val="21"/>
        </w:rPr>
        <w:t>Buenos Aires: Novedades </w:t>
      </w:r>
      <w:r>
        <w:rPr>
          <w:color w:val="231F20"/>
          <w:w w:val="95"/>
          <w:sz w:val="21"/>
        </w:rPr>
        <w:t>Educativas  de México.</w:t>
      </w:r>
    </w:p>
    <w:p>
      <w:pPr>
        <w:spacing w:line="244" w:lineRule="auto" w:before="0"/>
        <w:ind w:left="824" w:right="121" w:hanging="721"/>
        <w:jc w:val="left"/>
        <w:rPr>
          <w:sz w:val="21"/>
        </w:rPr>
      </w:pPr>
      <w:r>
        <w:rPr>
          <w:color w:val="231F20"/>
          <w:spacing w:val="2"/>
          <w:w w:val="97"/>
          <w:sz w:val="21"/>
        </w:rPr>
        <w:t>C</w:t>
      </w:r>
      <w:r>
        <w:rPr>
          <w:color w:val="231F20"/>
          <w:spacing w:val="1"/>
          <w:w w:val="94"/>
          <w:sz w:val="21"/>
        </w:rPr>
        <w:t>a</w:t>
      </w:r>
      <w:r>
        <w:rPr>
          <w:color w:val="231F20"/>
          <w:spacing w:val="1"/>
          <w:w w:val="101"/>
          <w:sz w:val="21"/>
        </w:rPr>
        <w:t>st</w:t>
      </w:r>
      <w:r>
        <w:rPr>
          <w:color w:val="231F20"/>
          <w:spacing w:val="1"/>
          <w:w w:val="103"/>
          <w:sz w:val="21"/>
        </w:rPr>
        <w:t>r</w:t>
      </w:r>
      <w:r>
        <w:rPr>
          <w:color w:val="231F20"/>
          <w:spacing w:val="2"/>
          <w:w w:val="104"/>
          <w:sz w:val="21"/>
        </w:rPr>
        <w:t>o</w:t>
      </w:r>
      <w:r>
        <w:rPr>
          <w:color w:val="231F20"/>
          <w:spacing w:val="1"/>
          <w:w w:val="96"/>
          <w:sz w:val="21"/>
        </w:rPr>
        <w:t>-</w:t>
      </w:r>
      <w:r>
        <w:rPr>
          <w:color w:val="231F20"/>
          <w:spacing w:val="1"/>
          <w:w w:val="88"/>
          <w:sz w:val="21"/>
        </w:rPr>
        <w:t>S</w:t>
      </w:r>
      <w:r>
        <w:rPr>
          <w:color w:val="231F20"/>
          <w:spacing w:val="1"/>
          <w:w w:val="94"/>
          <w:sz w:val="21"/>
        </w:rPr>
        <w:t>a</w:t>
      </w:r>
      <w:r>
        <w:rPr>
          <w:color w:val="231F20"/>
          <w:spacing w:val="2"/>
          <w:w w:val="104"/>
          <w:sz w:val="21"/>
        </w:rPr>
        <w:t>n</w:t>
      </w:r>
      <w:r>
        <w:rPr>
          <w:color w:val="231F20"/>
          <w:spacing w:val="1"/>
          <w:w w:val="107"/>
          <w:sz w:val="21"/>
        </w:rPr>
        <w:t>t</w:t>
      </w:r>
      <w:r>
        <w:rPr>
          <w:color w:val="231F20"/>
          <w:spacing w:val="1"/>
          <w:w w:val="94"/>
          <w:sz w:val="21"/>
        </w:rPr>
        <w:t>a</w:t>
      </w:r>
      <w:r>
        <w:rPr>
          <w:color w:val="231F20"/>
          <w:spacing w:val="2"/>
          <w:w w:val="104"/>
          <w:sz w:val="21"/>
        </w:rPr>
        <w:t>n</w:t>
      </w:r>
      <w:r>
        <w:rPr>
          <w:color w:val="231F20"/>
          <w:spacing w:val="1"/>
          <w:w w:val="102"/>
          <w:sz w:val="21"/>
        </w:rPr>
        <w:t>d</w:t>
      </w:r>
      <w:r>
        <w:rPr>
          <w:color w:val="231F20"/>
          <w:spacing w:val="1"/>
          <w:w w:val="96"/>
          <w:sz w:val="21"/>
        </w:rPr>
        <w:t>e</w:t>
      </w:r>
      <w:r>
        <w:rPr>
          <w:color w:val="231F20"/>
          <w:spacing w:val="1"/>
          <w:w w:val="103"/>
          <w:sz w:val="21"/>
        </w:rPr>
        <w:t>r</w:t>
      </w:r>
      <w:r>
        <w:rPr>
          <w:color w:val="231F20"/>
          <w:w w:val="90"/>
          <w:sz w:val="21"/>
        </w:rPr>
        <w:t>,</w:t>
      </w:r>
      <w:r>
        <w:rPr>
          <w:color w:val="231F20"/>
          <w:spacing w:val="3"/>
          <w:sz w:val="21"/>
        </w:rPr>
        <w:t> </w:t>
      </w:r>
      <w:r>
        <w:rPr>
          <w:color w:val="231F20"/>
          <w:spacing w:val="2"/>
          <w:w w:val="96"/>
          <w:sz w:val="21"/>
        </w:rPr>
        <w:t>A</w:t>
      </w:r>
      <w:r>
        <w:rPr>
          <w:color w:val="231F20"/>
          <w:w w:val="92"/>
          <w:sz w:val="21"/>
        </w:rPr>
        <w:t>l</w:t>
      </w:r>
      <w:r>
        <w:rPr>
          <w:color w:val="231F20"/>
          <w:spacing w:val="1"/>
          <w:w w:val="92"/>
          <w:sz w:val="21"/>
        </w:rPr>
        <w:t>e</w:t>
      </w:r>
      <w:r>
        <w:rPr>
          <w:color w:val="231F20"/>
          <w:w w:val="90"/>
          <w:sz w:val="21"/>
        </w:rPr>
        <w:t>j</w:t>
      </w:r>
      <w:r>
        <w:rPr>
          <w:color w:val="231F20"/>
          <w:spacing w:val="1"/>
          <w:w w:val="90"/>
          <w:sz w:val="21"/>
        </w:rPr>
        <w:t>a</w:t>
      </w:r>
      <w:r>
        <w:rPr>
          <w:color w:val="231F20"/>
          <w:spacing w:val="2"/>
          <w:w w:val="104"/>
          <w:sz w:val="21"/>
        </w:rPr>
        <w:t>n</w:t>
      </w:r>
      <w:r>
        <w:rPr>
          <w:color w:val="231F20"/>
          <w:spacing w:val="1"/>
          <w:w w:val="102"/>
          <w:sz w:val="21"/>
        </w:rPr>
        <w:t>d</w:t>
      </w:r>
      <w:r>
        <w:rPr>
          <w:color w:val="231F20"/>
          <w:spacing w:val="1"/>
          <w:w w:val="103"/>
          <w:sz w:val="21"/>
        </w:rPr>
        <w:t>r</w:t>
      </w:r>
      <w:r>
        <w:rPr>
          <w:color w:val="231F20"/>
          <w:spacing w:val="2"/>
          <w:w w:val="104"/>
          <w:sz w:val="21"/>
        </w:rPr>
        <w:t>o</w:t>
      </w:r>
      <w:r>
        <w:rPr>
          <w:color w:val="231F20"/>
          <w:w w:val="90"/>
          <w:sz w:val="21"/>
        </w:rPr>
        <w:t>.</w:t>
      </w:r>
      <w:r>
        <w:rPr>
          <w:color w:val="231F20"/>
          <w:spacing w:val="3"/>
          <w:sz w:val="21"/>
        </w:rPr>
        <w:t> </w:t>
      </w:r>
      <w:r>
        <w:rPr>
          <w:color w:val="231F20"/>
          <w:spacing w:val="1"/>
          <w:w w:val="90"/>
          <w:sz w:val="21"/>
        </w:rPr>
        <w:t>(</w:t>
      </w:r>
      <w:r>
        <w:rPr>
          <w:color w:val="231F20"/>
          <w:spacing w:val="1"/>
          <w:w w:val="95"/>
          <w:sz w:val="21"/>
        </w:rPr>
        <w:t>2006)</w:t>
      </w:r>
      <w:r>
        <w:rPr>
          <w:color w:val="231F20"/>
          <w:w w:val="90"/>
          <w:sz w:val="21"/>
        </w:rPr>
        <w:t>.</w:t>
      </w:r>
      <w:r>
        <w:rPr>
          <w:color w:val="231F20"/>
          <w:spacing w:val="3"/>
          <w:sz w:val="21"/>
        </w:rPr>
        <w:t> </w:t>
      </w:r>
      <w:r>
        <w:rPr>
          <w:i/>
          <w:color w:val="231F20"/>
          <w:spacing w:val="3"/>
          <w:w w:val="135"/>
          <w:sz w:val="21"/>
        </w:rPr>
        <w:t>V</w:t>
      </w:r>
      <w:r>
        <w:rPr>
          <w:i/>
          <w:color w:val="231F20"/>
          <w:w w:val="84"/>
          <w:sz w:val="21"/>
        </w:rPr>
        <w:t>i</w:t>
      </w:r>
      <w:r>
        <w:rPr>
          <w:i/>
          <w:color w:val="231F20"/>
          <w:spacing w:val="1"/>
          <w:w w:val="75"/>
          <w:sz w:val="21"/>
        </w:rPr>
        <w:t>o</w:t>
      </w:r>
      <w:r>
        <w:rPr>
          <w:i/>
          <w:color w:val="231F20"/>
          <w:w w:val="75"/>
          <w:sz w:val="21"/>
        </w:rPr>
        <w:t>l</w:t>
      </w:r>
      <w:r>
        <w:rPr>
          <w:i/>
          <w:color w:val="231F20"/>
          <w:spacing w:val="1"/>
          <w:w w:val="67"/>
          <w:sz w:val="21"/>
        </w:rPr>
        <w:t>e</w:t>
      </w:r>
      <w:r>
        <w:rPr>
          <w:i/>
          <w:color w:val="231F20"/>
          <w:spacing w:val="1"/>
          <w:w w:val="87"/>
          <w:sz w:val="21"/>
        </w:rPr>
        <w:t>n</w:t>
      </w:r>
      <w:r>
        <w:rPr>
          <w:i/>
          <w:color w:val="231F20"/>
          <w:spacing w:val="1"/>
          <w:w w:val="62"/>
          <w:sz w:val="21"/>
        </w:rPr>
        <w:t>c</w:t>
      </w:r>
      <w:r>
        <w:rPr>
          <w:i/>
          <w:color w:val="231F20"/>
          <w:w w:val="84"/>
          <w:sz w:val="21"/>
        </w:rPr>
        <w:t>i</w:t>
      </w:r>
      <w:r>
        <w:rPr>
          <w:i/>
          <w:color w:val="231F20"/>
          <w:w w:val="83"/>
          <w:sz w:val="21"/>
        </w:rPr>
        <w:t>a</w:t>
      </w:r>
      <w:r>
        <w:rPr>
          <w:i/>
          <w:color w:val="231F20"/>
          <w:spacing w:val="4"/>
          <w:sz w:val="21"/>
        </w:rPr>
        <w:t> </w:t>
      </w:r>
      <w:r>
        <w:rPr>
          <w:i/>
          <w:color w:val="231F20"/>
          <w:spacing w:val="1"/>
          <w:w w:val="77"/>
          <w:sz w:val="21"/>
        </w:rPr>
        <w:t>s</w:t>
      </w:r>
      <w:r>
        <w:rPr>
          <w:i/>
          <w:color w:val="231F20"/>
          <w:w w:val="84"/>
          <w:sz w:val="21"/>
        </w:rPr>
        <w:t>i</w:t>
      </w:r>
      <w:r>
        <w:rPr>
          <w:i/>
          <w:color w:val="231F20"/>
          <w:w w:val="80"/>
          <w:sz w:val="21"/>
        </w:rPr>
        <w:t>l</w:t>
      </w:r>
      <w:r>
        <w:rPr>
          <w:i/>
          <w:color w:val="231F20"/>
          <w:spacing w:val="1"/>
          <w:w w:val="67"/>
          <w:sz w:val="21"/>
        </w:rPr>
        <w:t>e</w:t>
      </w:r>
      <w:r>
        <w:rPr>
          <w:i/>
          <w:color w:val="231F20"/>
          <w:spacing w:val="1"/>
          <w:w w:val="87"/>
          <w:sz w:val="21"/>
        </w:rPr>
        <w:t>n</w:t>
      </w:r>
      <w:r>
        <w:rPr>
          <w:i/>
          <w:color w:val="231F20"/>
          <w:spacing w:val="1"/>
          <w:w w:val="62"/>
          <w:sz w:val="21"/>
        </w:rPr>
        <w:t>c</w:t>
      </w:r>
      <w:r>
        <w:rPr>
          <w:i/>
          <w:color w:val="231F20"/>
          <w:w w:val="84"/>
          <w:sz w:val="21"/>
        </w:rPr>
        <w:t>i</w:t>
      </w:r>
      <w:r>
        <w:rPr>
          <w:i/>
          <w:color w:val="231F20"/>
          <w:spacing w:val="1"/>
          <w:w w:val="74"/>
          <w:sz w:val="21"/>
        </w:rPr>
        <w:t>os</w:t>
      </w:r>
      <w:r>
        <w:rPr>
          <w:i/>
          <w:color w:val="231F20"/>
          <w:w w:val="83"/>
          <w:sz w:val="21"/>
        </w:rPr>
        <w:t>a</w:t>
      </w:r>
      <w:r>
        <w:rPr>
          <w:i/>
          <w:color w:val="231F20"/>
          <w:spacing w:val="4"/>
          <w:sz w:val="21"/>
        </w:rPr>
        <w:t> </w:t>
      </w:r>
      <w:r>
        <w:rPr>
          <w:i/>
          <w:color w:val="231F20"/>
          <w:spacing w:val="1"/>
          <w:w w:val="67"/>
          <w:sz w:val="21"/>
        </w:rPr>
        <w:t>e</w:t>
      </w:r>
      <w:r>
        <w:rPr>
          <w:i/>
          <w:color w:val="231F20"/>
          <w:w w:val="87"/>
          <w:sz w:val="21"/>
        </w:rPr>
        <w:t>n</w:t>
      </w:r>
      <w:r>
        <w:rPr>
          <w:i/>
          <w:color w:val="231F20"/>
          <w:spacing w:val="4"/>
          <w:sz w:val="21"/>
        </w:rPr>
        <w:t> </w:t>
      </w:r>
      <w:r>
        <w:rPr>
          <w:i/>
          <w:color w:val="231F20"/>
          <w:w w:val="80"/>
          <w:sz w:val="21"/>
        </w:rPr>
        <w:t>l</w:t>
      </w:r>
      <w:r>
        <w:rPr>
          <w:i/>
          <w:color w:val="231F20"/>
          <w:w w:val="83"/>
          <w:sz w:val="21"/>
        </w:rPr>
        <w:t>a</w:t>
      </w:r>
      <w:r>
        <w:rPr>
          <w:i/>
          <w:color w:val="231F20"/>
          <w:spacing w:val="4"/>
          <w:sz w:val="21"/>
        </w:rPr>
        <w:t> </w:t>
      </w:r>
      <w:r>
        <w:rPr>
          <w:i/>
          <w:color w:val="231F20"/>
          <w:spacing w:val="1"/>
          <w:w w:val="67"/>
          <w:sz w:val="21"/>
        </w:rPr>
        <w:t>e</w:t>
      </w:r>
      <w:r>
        <w:rPr>
          <w:i/>
          <w:color w:val="231F20"/>
          <w:spacing w:val="1"/>
          <w:w w:val="77"/>
          <w:sz w:val="21"/>
        </w:rPr>
        <w:t>s</w:t>
      </w:r>
      <w:r>
        <w:rPr>
          <w:i/>
          <w:color w:val="231F20"/>
          <w:spacing w:val="1"/>
          <w:w w:val="62"/>
          <w:sz w:val="21"/>
        </w:rPr>
        <w:t>c</w:t>
      </w:r>
      <w:r>
        <w:rPr>
          <w:i/>
          <w:color w:val="231F20"/>
          <w:spacing w:val="1"/>
          <w:w w:val="87"/>
          <w:sz w:val="21"/>
        </w:rPr>
        <w:t>u</w:t>
      </w:r>
      <w:r>
        <w:rPr>
          <w:i/>
          <w:color w:val="231F20"/>
          <w:spacing w:val="1"/>
          <w:w w:val="67"/>
          <w:sz w:val="21"/>
        </w:rPr>
        <w:t>e</w:t>
      </w:r>
      <w:r>
        <w:rPr>
          <w:i/>
          <w:color w:val="231F20"/>
          <w:w w:val="80"/>
          <w:sz w:val="21"/>
        </w:rPr>
        <w:t>l</w:t>
      </w:r>
      <w:r>
        <w:rPr>
          <w:i/>
          <w:color w:val="231F20"/>
          <w:spacing w:val="1"/>
          <w:w w:val="83"/>
          <w:sz w:val="21"/>
        </w:rPr>
        <w:t>a</w:t>
      </w:r>
      <w:r>
        <w:rPr>
          <w:i/>
          <w:color w:val="231F20"/>
          <w:w w:val="90"/>
          <w:sz w:val="21"/>
        </w:rPr>
        <w:t>.</w:t>
      </w:r>
      <w:r>
        <w:rPr>
          <w:i/>
          <w:color w:val="231F20"/>
          <w:w w:val="90"/>
          <w:sz w:val="21"/>
        </w:rPr>
        <w:t> </w:t>
      </w:r>
      <w:r>
        <w:rPr>
          <w:i/>
          <w:color w:val="231F20"/>
          <w:w w:val="95"/>
          <w:sz w:val="21"/>
        </w:rPr>
        <w:t>Dinámica</w:t>
      </w:r>
      <w:r>
        <w:rPr>
          <w:i/>
          <w:color w:val="231F20"/>
          <w:spacing w:val="-25"/>
          <w:w w:val="95"/>
          <w:sz w:val="21"/>
        </w:rPr>
        <w:t> </w:t>
      </w:r>
      <w:r>
        <w:rPr>
          <w:i/>
          <w:color w:val="231F20"/>
          <w:w w:val="95"/>
          <w:sz w:val="21"/>
        </w:rPr>
        <w:t>del</w:t>
      </w:r>
      <w:r>
        <w:rPr>
          <w:i/>
          <w:color w:val="231F20"/>
          <w:spacing w:val="-26"/>
          <w:w w:val="95"/>
          <w:sz w:val="21"/>
        </w:rPr>
        <w:t> </w:t>
      </w:r>
      <w:r>
        <w:rPr>
          <w:i/>
          <w:color w:val="231F20"/>
          <w:w w:val="95"/>
          <w:sz w:val="21"/>
        </w:rPr>
        <w:t>acoso</w:t>
      </w:r>
      <w:r>
        <w:rPr>
          <w:i/>
          <w:color w:val="231F20"/>
          <w:spacing w:val="-25"/>
          <w:w w:val="95"/>
          <w:sz w:val="21"/>
        </w:rPr>
        <w:t> </w:t>
      </w:r>
      <w:r>
        <w:rPr>
          <w:i/>
          <w:color w:val="231F20"/>
          <w:w w:val="95"/>
          <w:sz w:val="21"/>
        </w:rPr>
        <w:t>escolar</w:t>
      </w:r>
      <w:r>
        <w:rPr>
          <w:i/>
          <w:color w:val="231F20"/>
          <w:spacing w:val="-26"/>
          <w:w w:val="95"/>
          <w:sz w:val="21"/>
        </w:rPr>
        <w:t> </w:t>
      </w:r>
      <w:r>
        <w:rPr>
          <w:i/>
          <w:color w:val="231F20"/>
          <w:w w:val="95"/>
          <w:sz w:val="21"/>
        </w:rPr>
        <w:t>y</w:t>
      </w:r>
      <w:r>
        <w:rPr>
          <w:i/>
          <w:color w:val="231F20"/>
          <w:spacing w:val="-26"/>
          <w:w w:val="95"/>
          <w:sz w:val="21"/>
        </w:rPr>
        <w:t> </w:t>
      </w:r>
      <w:r>
        <w:rPr>
          <w:i/>
          <w:color w:val="231F20"/>
          <w:w w:val="95"/>
          <w:sz w:val="21"/>
        </w:rPr>
        <w:t>laboral.</w:t>
      </w:r>
      <w:r>
        <w:rPr>
          <w:i/>
          <w:color w:val="231F20"/>
          <w:spacing w:val="-26"/>
          <w:w w:val="95"/>
          <w:sz w:val="21"/>
        </w:rPr>
        <w:t> </w:t>
      </w:r>
      <w:r>
        <w:rPr>
          <w:color w:val="231F20"/>
          <w:w w:val="95"/>
          <w:sz w:val="21"/>
        </w:rPr>
        <w:t>Buenos</w:t>
      </w:r>
      <w:r>
        <w:rPr>
          <w:color w:val="231F20"/>
          <w:spacing w:val="-26"/>
          <w:w w:val="95"/>
          <w:sz w:val="21"/>
        </w:rPr>
        <w:t> </w:t>
      </w:r>
      <w:r>
        <w:rPr>
          <w:color w:val="231F20"/>
          <w:w w:val="95"/>
          <w:sz w:val="21"/>
        </w:rPr>
        <w:t>Aires:</w:t>
      </w:r>
      <w:r>
        <w:rPr>
          <w:color w:val="231F20"/>
          <w:spacing w:val="-26"/>
          <w:w w:val="95"/>
          <w:sz w:val="21"/>
        </w:rPr>
        <w:t> </w:t>
      </w:r>
      <w:r>
        <w:rPr>
          <w:color w:val="231F20"/>
          <w:w w:val="95"/>
          <w:sz w:val="21"/>
        </w:rPr>
        <w:t>Editorial Bonum.</w:t>
      </w:r>
    </w:p>
    <w:p>
      <w:pPr>
        <w:spacing w:after="0" w:line="244" w:lineRule="auto"/>
        <w:jc w:val="left"/>
        <w:rPr>
          <w:sz w:val="21"/>
        </w:rPr>
        <w:sectPr>
          <w:headerReference w:type="default" r:id="rId229"/>
          <w:footerReference w:type="default" r:id="rId230"/>
          <w:pgSz w:w="7830" w:h="11910"/>
          <w:pgMar w:header="0" w:footer="424" w:top="500" w:bottom="620" w:left="920" w:right="900"/>
          <w:pgNumType w:start="106"/>
        </w:sectPr>
      </w:pPr>
    </w:p>
    <w:p>
      <w:pPr>
        <w:spacing w:before="46"/>
        <w:ind w:left="564" w:right="541"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spacing w:line="247" w:lineRule="auto" w:before="0"/>
        <w:ind w:left="822" w:right="132" w:hanging="721"/>
        <w:jc w:val="left"/>
        <w:rPr>
          <w:sz w:val="21"/>
        </w:rPr>
      </w:pPr>
      <w:r>
        <w:rPr>
          <w:color w:val="231F20"/>
          <w:w w:val="95"/>
          <w:sz w:val="21"/>
        </w:rPr>
        <w:t>Fisas-Armengol,</w:t>
      </w:r>
      <w:r>
        <w:rPr>
          <w:color w:val="231F20"/>
          <w:spacing w:val="-29"/>
          <w:w w:val="95"/>
          <w:sz w:val="21"/>
        </w:rPr>
        <w:t> </w:t>
      </w:r>
      <w:r>
        <w:rPr>
          <w:color w:val="231F20"/>
          <w:w w:val="95"/>
          <w:sz w:val="21"/>
        </w:rPr>
        <w:t>Vicenç.</w:t>
      </w:r>
      <w:r>
        <w:rPr>
          <w:color w:val="231F20"/>
          <w:spacing w:val="-33"/>
          <w:w w:val="95"/>
          <w:sz w:val="21"/>
        </w:rPr>
        <w:t> </w:t>
      </w:r>
      <w:r>
        <w:rPr>
          <w:color w:val="231F20"/>
          <w:w w:val="95"/>
          <w:sz w:val="21"/>
        </w:rPr>
        <w:t>(2004).</w:t>
      </w:r>
      <w:r>
        <w:rPr>
          <w:color w:val="231F20"/>
          <w:spacing w:val="-29"/>
          <w:w w:val="95"/>
          <w:sz w:val="21"/>
        </w:rPr>
        <w:t> </w:t>
      </w:r>
      <w:r>
        <w:rPr>
          <w:i/>
          <w:color w:val="231F20"/>
          <w:w w:val="95"/>
          <w:sz w:val="21"/>
        </w:rPr>
        <w:t>El</w:t>
      </w:r>
      <w:r>
        <w:rPr>
          <w:i/>
          <w:color w:val="231F20"/>
          <w:spacing w:val="-29"/>
          <w:w w:val="95"/>
          <w:sz w:val="21"/>
        </w:rPr>
        <w:t> </w:t>
      </w:r>
      <w:r>
        <w:rPr>
          <w:i/>
          <w:color w:val="231F20"/>
          <w:w w:val="95"/>
          <w:sz w:val="21"/>
        </w:rPr>
        <w:t>sexo</w:t>
      </w:r>
      <w:r>
        <w:rPr>
          <w:i/>
          <w:color w:val="231F20"/>
          <w:spacing w:val="-29"/>
          <w:w w:val="95"/>
          <w:sz w:val="21"/>
        </w:rPr>
        <w:t> </w:t>
      </w:r>
      <w:r>
        <w:rPr>
          <w:i/>
          <w:color w:val="231F20"/>
          <w:w w:val="95"/>
          <w:sz w:val="21"/>
        </w:rPr>
        <w:t>de</w:t>
      </w:r>
      <w:r>
        <w:rPr>
          <w:i/>
          <w:color w:val="231F20"/>
          <w:spacing w:val="-29"/>
          <w:w w:val="95"/>
          <w:sz w:val="21"/>
        </w:rPr>
        <w:t> </w:t>
      </w:r>
      <w:r>
        <w:rPr>
          <w:i/>
          <w:color w:val="231F20"/>
          <w:w w:val="95"/>
          <w:sz w:val="21"/>
        </w:rPr>
        <w:t>la</w:t>
      </w:r>
      <w:r>
        <w:rPr>
          <w:i/>
          <w:color w:val="231F20"/>
          <w:spacing w:val="-28"/>
          <w:w w:val="95"/>
          <w:sz w:val="21"/>
        </w:rPr>
        <w:t> </w:t>
      </w:r>
      <w:r>
        <w:rPr>
          <w:i/>
          <w:color w:val="231F20"/>
          <w:w w:val="95"/>
          <w:sz w:val="21"/>
        </w:rPr>
        <w:t>violencia:</w:t>
      </w:r>
      <w:r>
        <w:rPr>
          <w:i/>
          <w:color w:val="231F20"/>
          <w:spacing w:val="-29"/>
          <w:w w:val="95"/>
          <w:sz w:val="21"/>
        </w:rPr>
        <w:t> </w:t>
      </w:r>
      <w:r>
        <w:rPr>
          <w:i/>
          <w:color w:val="231F20"/>
          <w:w w:val="95"/>
          <w:sz w:val="21"/>
        </w:rPr>
        <w:t>género</w:t>
      </w:r>
      <w:r>
        <w:rPr>
          <w:i/>
          <w:color w:val="231F20"/>
          <w:spacing w:val="-29"/>
          <w:w w:val="95"/>
          <w:sz w:val="21"/>
        </w:rPr>
        <w:t> </w:t>
      </w:r>
      <w:r>
        <w:rPr>
          <w:i/>
          <w:color w:val="231F20"/>
          <w:w w:val="95"/>
          <w:sz w:val="21"/>
        </w:rPr>
        <w:t>y</w:t>
      </w:r>
      <w:r>
        <w:rPr>
          <w:i/>
          <w:color w:val="231F20"/>
          <w:spacing w:val="-29"/>
          <w:w w:val="95"/>
          <w:sz w:val="21"/>
        </w:rPr>
        <w:t> </w:t>
      </w:r>
      <w:r>
        <w:rPr>
          <w:i/>
          <w:color w:val="231F20"/>
          <w:w w:val="95"/>
          <w:sz w:val="21"/>
        </w:rPr>
        <w:t>cultura </w:t>
      </w:r>
      <w:r>
        <w:rPr>
          <w:i/>
          <w:color w:val="231F20"/>
          <w:w w:val="90"/>
          <w:sz w:val="21"/>
        </w:rPr>
        <w:t>de la violencia. </w:t>
      </w:r>
      <w:r>
        <w:rPr>
          <w:color w:val="231F20"/>
          <w:w w:val="90"/>
          <w:sz w:val="21"/>
        </w:rPr>
        <w:t>Barcelona:</w:t>
      </w:r>
      <w:r>
        <w:rPr>
          <w:color w:val="231F20"/>
          <w:spacing w:val="16"/>
          <w:w w:val="90"/>
          <w:sz w:val="21"/>
        </w:rPr>
        <w:t> </w:t>
      </w:r>
      <w:r>
        <w:rPr>
          <w:color w:val="231F20"/>
          <w:w w:val="90"/>
          <w:sz w:val="21"/>
        </w:rPr>
        <w:t>Icaria.</w:t>
      </w:r>
    </w:p>
    <w:p>
      <w:pPr>
        <w:spacing w:line="247" w:lineRule="auto" w:before="0"/>
        <w:ind w:left="822" w:right="50" w:hanging="721"/>
        <w:jc w:val="left"/>
        <w:rPr>
          <w:sz w:val="21"/>
        </w:rPr>
      </w:pPr>
      <w:r>
        <w:rPr>
          <w:color w:val="231F20"/>
          <w:w w:val="95"/>
          <w:sz w:val="21"/>
        </w:rPr>
        <w:t>Fromm,</w:t>
      </w:r>
      <w:r>
        <w:rPr>
          <w:color w:val="231F20"/>
          <w:spacing w:val="-16"/>
          <w:w w:val="95"/>
          <w:sz w:val="21"/>
        </w:rPr>
        <w:t> </w:t>
      </w:r>
      <w:r>
        <w:rPr>
          <w:color w:val="231F20"/>
          <w:w w:val="95"/>
          <w:sz w:val="21"/>
        </w:rPr>
        <w:t>Erich.</w:t>
      </w:r>
      <w:r>
        <w:rPr>
          <w:color w:val="231F20"/>
          <w:spacing w:val="-16"/>
          <w:w w:val="95"/>
          <w:sz w:val="21"/>
        </w:rPr>
        <w:t> </w:t>
      </w:r>
      <w:r>
        <w:rPr>
          <w:color w:val="231F20"/>
          <w:w w:val="95"/>
          <w:sz w:val="21"/>
        </w:rPr>
        <w:t>(2004).</w:t>
      </w:r>
      <w:r>
        <w:rPr>
          <w:color w:val="231F20"/>
          <w:spacing w:val="-16"/>
          <w:w w:val="95"/>
          <w:sz w:val="21"/>
        </w:rPr>
        <w:t> </w:t>
      </w:r>
      <w:r>
        <w:rPr>
          <w:i/>
          <w:color w:val="231F20"/>
          <w:w w:val="95"/>
          <w:sz w:val="21"/>
        </w:rPr>
        <w:t>Anatomía</w:t>
      </w:r>
      <w:r>
        <w:rPr>
          <w:i/>
          <w:color w:val="231F20"/>
          <w:spacing w:val="-16"/>
          <w:w w:val="95"/>
          <w:sz w:val="21"/>
        </w:rPr>
        <w:t> </w:t>
      </w:r>
      <w:r>
        <w:rPr>
          <w:i/>
          <w:color w:val="231F20"/>
          <w:w w:val="95"/>
          <w:sz w:val="21"/>
        </w:rPr>
        <w:t>de</w:t>
      </w:r>
      <w:r>
        <w:rPr>
          <w:i/>
          <w:color w:val="231F20"/>
          <w:spacing w:val="-16"/>
          <w:w w:val="95"/>
          <w:sz w:val="21"/>
        </w:rPr>
        <w:t> </w:t>
      </w:r>
      <w:r>
        <w:rPr>
          <w:i/>
          <w:color w:val="231F20"/>
          <w:w w:val="95"/>
          <w:sz w:val="21"/>
        </w:rPr>
        <w:t>la</w:t>
      </w:r>
      <w:r>
        <w:rPr>
          <w:i/>
          <w:color w:val="231F20"/>
          <w:spacing w:val="-16"/>
          <w:w w:val="95"/>
          <w:sz w:val="21"/>
        </w:rPr>
        <w:t> </w:t>
      </w:r>
      <w:r>
        <w:rPr>
          <w:i/>
          <w:color w:val="231F20"/>
          <w:w w:val="95"/>
          <w:sz w:val="21"/>
        </w:rPr>
        <w:t>destructividad</w:t>
      </w:r>
      <w:r>
        <w:rPr>
          <w:i/>
          <w:color w:val="231F20"/>
          <w:spacing w:val="-16"/>
          <w:w w:val="95"/>
          <w:sz w:val="21"/>
        </w:rPr>
        <w:t> </w:t>
      </w:r>
      <w:r>
        <w:rPr>
          <w:i/>
          <w:color w:val="231F20"/>
          <w:w w:val="95"/>
          <w:sz w:val="21"/>
        </w:rPr>
        <w:t>humana.</w:t>
      </w:r>
      <w:r>
        <w:rPr>
          <w:i/>
          <w:color w:val="231F20"/>
          <w:spacing w:val="-15"/>
          <w:w w:val="95"/>
          <w:sz w:val="21"/>
        </w:rPr>
        <w:t> </w:t>
      </w:r>
      <w:r>
        <w:rPr>
          <w:color w:val="231F20"/>
          <w:w w:val="95"/>
          <w:sz w:val="21"/>
        </w:rPr>
        <w:t>México: </w:t>
      </w:r>
      <w:r>
        <w:rPr>
          <w:color w:val="231F20"/>
          <w:sz w:val="21"/>
        </w:rPr>
        <w:t>Siglo</w:t>
      </w:r>
      <w:r>
        <w:rPr>
          <w:color w:val="231F20"/>
          <w:spacing w:val="-24"/>
          <w:sz w:val="21"/>
        </w:rPr>
        <w:t> </w:t>
      </w:r>
      <w:r>
        <w:rPr>
          <w:color w:val="231F20"/>
          <w:sz w:val="21"/>
        </w:rPr>
        <w:t>XXI.</w:t>
      </w:r>
    </w:p>
    <w:p>
      <w:pPr>
        <w:spacing w:line="238" w:lineRule="exact" w:before="0"/>
        <w:ind w:left="102" w:right="50" w:firstLine="0"/>
        <w:jc w:val="left"/>
        <w:rPr>
          <w:i/>
          <w:sz w:val="21"/>
        </w:rPr>
      </w:pPr>
      <w:r>
        <w:rPr>
          <w:color w:val="231F20"/>
          <w:w w:val="95"/>
          <w:sz w:val="21"/>
        </w:rPr>
        <w:t>García Correa, Antonio. (2008). </w:t>
      </w:r>
      <w:r>
        <w:rPr>
          <w:i/>
          <w:color w:val="231F20"/>
          <w:w w:val="95"/>
          <w:sz w:val="21"/>
        </w:rPr>
        <w:t>La disciplina escolar. Guía docente.</w:t>
      </w:r>
    </w:p>
    <w:p>
      <w:pPr>
        <w:pStyle w:val="BodyText"/>
        <w:spacing w:before="8"/>
        <w:ind w:left="822" w:right="50"/>
      </w:pPr>
      <w:r>
        <w:rPr>
          <w:color w:val="231F20"/>
        </w:rPr>
        <w:t>Murcia: Universiad de Murcia.</w:t>
      </w:r>
    </w:p>
    <w:p>
      <w:pPr>
        <w:spacing w:line="244" w:lineRule="auto" w:before="8"/>
        <w:ind w:left="822" w:right="495" w:hanging="721"/>
        <w:jc w:val="left"/>
        <w:rPr>
          <w:sz w:val="21"/>
        </w:rPr>
      </w:pPr>
      <w:r>
        <w:rPr>
          <w:color w:val="231F20"/>
          <w:w w:val="95"/>
          <w:sz w:val="21"/>
        </w:rPr>
        <w:t>Gramsci, Antonio. (1986). </w:t>
      </w:r>
      <w:r>
        <w:rPr>
          <w:i/>
          <w:color w:val="231F20"/>
          <w:w w:val="95"/>
          <w:sz w:val="21"/>
        </w:rPr>
        <w:t>Cuadernos de la cárcel. Notas sobre </w:t>
      </w:r>
      <w:r>
        <w:rPr>
          <w:i/>
          <w:color w:val="231F20"/>
          <w:w w:val="90"/>
          <w:sz w:val="21"/>
        </w:rPr>
        <w:t>Maquiavelo,</w:t>
      </w:r>
      <w:r>
        <w:rPr>
          <w:i/>
          <w:color w:val="231F20"/>
          <w:spacing w:val="-26"/>
          <w:w w:val="90"/>
          <w:sz w:val="21"/>
        </w:rPr>
        <w:t> </w:t>
      </w:r>
      <w:r>
        <w:rPr>
          <w:i/>
          <w:color w:val="231F20"/>
          <w:w w:val="90"/>
          <w:sz w:val="21"/>
        </w:rPr>
        <w:t>sobre</w:t>
      </w:r>
      <w:r>
        <w:rPr>
          <w:i/>
          <w:color w:val="231F20"/>
          <w:spacing w:val="-26"/>
          <w:w w:val="90"/>
          <w:sz w:val="21"/>
        </w:rPr>
        <w:t> </w:t>
      </w:r>
      <w:r>
        <w:rPr>
          <w:i/>
          <w:color w:val="231F20"/>
          <w:w w:val="90"/>
          <w:sz w:val="21"/>
        </w:rPr>
        <w:t>política</w:t>
      </w:r>
      <w:r>
        <w:rPr>
          <w:i/>
          <w:color w:val="231F20"/>
          <w:spacing w:val="-25"/>
          <w:w w:val="90"/>
          <w:sz w:val="21"/>
        </w:rPr>
        <w:t> </w:t>
      </w:r>
      <w:r>
        <w:rPr>
          <w:i/>
          <w:color w:val="231F20"/>
          <w:w w:val="90"/>
          <w:sz w:val="21"/>
        </w:rPr>
        <w:t>y</w:t>
      </w:r>
      <w:r>
        <w:rPr>
          <w:i/>
          <w:color w:val="231F20"/>
          <w:spacing w:val="-26"/>
          <w:w w:val="90"/>
          <w:sz w:val="21"/>
        </w:rPr>
        <w:t> </w:t>
      </w:r>
      <w:r>
        <w:rPr>
          <w:i/>
          <w:color w:val="231F20"/>
          <w:w w:val="90"/>
          <w:sz w:val="21"/>
        </w:rPr>
        <w:t>sobre</w:t>
      </w:r>
      <w:r>
        <w:rPr>
          <w:i/>
          <w:color w:val="231F20"/>
          <w:spacing w:val="-26"/>
          <w:w w:val="90"/>
          <w:sz w:val="21"/>
        </w:rPr>
        <w:t> </w:t>
      </w:r>
      <w:r>
        <w:rPr>
          <w:i/>
          <w:color w:val="231F20"/>
          <w:w w:val="90"/>
          <w:sz w:val="21"/>
        </w:rPr>
        <w:t>el</w:t>
      </w:r>
      <w:r>
        <w:rPr>
          <w:i/>
          <w:color w:val="231F20"/>
          <w:spacing w:val="-26"/>
          <w:w w:val="90"/>
          <w:sz w:val="21"/>
        </w:rPr>
        <w:t> </w:t>
      </w:r>
      <w:r>
        <w:rPr>
          <w:i/>
          <w:color w:val="231F20"/>
          <w:w w:val="90"/>
          <w:sz w:val="21"/>
        </w:rPr>
        <w:t>Estado</w:t>
      </w:r>
      <w:r>
        <w:rPr>
          <w:i/>
          <w:color w:val="231F20"/>
          <w:spacing w:val="-25"/>
          <w:w w:val="90"/>
          <w:sz w:val="21"/>
        </w:rPr>
        <w:t> </w:t>
      </w:r>
      <w:r>
        <w:rPr>
          <w:i/>
          <w:color w:val="231F20"/>
          <w:w w:val="90"/>
          <w:sz w:val="21"/>
        </w:rPr>
        <w:t>moderno.</w:t>
      </w:r>
      <w:r>
        <w:rPr>
          <w:i/>
          <w:color w:val="231F20"/>
          <w:spacing w:val="-27"/>
          <w:w w:val="90"/>
          <w:sz w:val="21"/>
        </w:rPr>
        <w:t> </w:t>
      </w:r>
      <w:r>
        <w:rPr>
          <w:color w:val="231F20"/>
          <w:w w:val="90"/>
          <w:sz w:val="21"/>
        </w:rPr>
        <w:t>México: </w:t>
      </w:r>
      <w:r>
        <w:rPr>
          <w:color w:val="231F20"/>
          <w:w w:val="95"/>
          <w:sz w:val="21"/>
        </w:rPr>
        <w:t>Juan </w:t>
      </w:r>
      <w:r>
        <w:rPr>
          <w:color w:val="231F20"/>
          <w:spacing w:val="2"/>
          <w:w w:val="95"/>
          <w:sz w:val="21"/>
        </w:rPr>
        <w:t> </w:t>
      </w:r>
      <w:r>
        <w:rPr>
          <w:color w:val="231F20"/>
          <w:w w:val="95"/>
          <w:sz w:val="21"/>
        </w:rPr>
        <w:t>Pablos.</w:t>
      </w:r>
    </w:p>
    <w:p>
      <w:pPr>
        <w:spacing w:line="247" w:lineRule="auto" w:before="0"/>
        <w:ind w:left="822" w:right="50" w:hanging="720"/>
        <w:jc w:val="left"/>
        <w:rPr>
          <w:sz w:val="21"/>
        </w:rPr>
      </w:pPr>
      <w:r>
        <w:rPr>
          <w:color w:val="231F20"/>
          <w:w w:val="95"/>
          <w:sz w:val="21"/>
        </w:rPr>
        <w:t>Gramsci, Antonio. (2005). </w:t>
      </w:r>
      <w:r>
        <w:rPr>
          <w:i/>
          <w:color w:val="231F20"/>
          <w:w w:val="95"/>
          <w:sz w:val="21"/>
        </w:rPr>
        <w:t>Antonio Gramsci: Antología. </w:t>
      </w:r>
      <w:r>
        <w:rPr>
          <w:color w:val="231F20"/>
          <w:w w:val="95"/>
          <w:sz w:val="21"/>
        </w:rPr>
        <w:t>México: Siglo </w:t>
      </w:r>
      <w:r>
        <w:rPr>
          <w:color w:val="231F20"/>
          <w:sz w:val="21"/>
        </w:rPr>
        <w:t>XXI.</w:t>
      </w:r>
    </w:p>
    <w:p>
      <w:pPr>
        <w:spacing w:line="247" w:lineRule="auto" w:before="0"/>
        <w:ind w:left="822" w:right="50" w:hanging="721"/>
        <w:jc w:val="left"/>
        <w:rPr>
          <w:sz w:val="21"/>
        </w:rPr>
      </w:pPr>
      <w:r>
        <w:rPr>
          <w:color w:val="231F20"/>
          <w:w w:val="90"/>
          <w:sz w:val="21"/>
        </w:rPr>
        <w:t>Habermas, Jürgen. (1975). </w:t>
      </w:r>
      <w:r>
        <w:rPr>
          <w:i/>
          <w:color w:val="231F20"/>
          <w:w w:val="90"/>
          <w:sz w:val="21"/>
        </w:rPr>
        <w:t>Problemas de legitimación en el capitalismo </w:t>
      </w:r>
      <w:r>
        <w:rPr>
          <w:i/>
          <w:color w:val="231F20"/>
          <w:sz w:val="21"/>
        </w:rPr>
        <w:t>tardío. </w:t>
      </w:r>
      <w:r>
        <w:rPr>
          <w:color w:val="231F20"/>
          <w:sz w:val="21"/>
        </w:rPr>
        <w:t>Buenos Aires: Amorrortu Editores.</w:t>
      </w:r>
    </w:p>
    <w:p>
      <w:pPr>
        <w:pStyle w:val="BodyText"/>
        <w:spacing w:line="238" w:lineRule="exact"/>
        <w:ind w:left="102" w:right="50"/>
      </w:pPr>
      <w:r>
        <w:rPr>
          <w:color w:val="231F20"/>
        </w:rPr>
        <w:t>Habermas, Jürgen. (1985). Ética del discurso. En Jürgen Habermas.</w:t>
      </w:r>
    </w:p>
    <w:p>
      <w:pPr>
        <w:spacing w:before="8"/>
        <w:ind w:left="822" w:right="50" w:firstLine="0"/>
        <w:jc w:val="left"/>
        <w:rPr>
          <w:sz w:val="21"/>
        </w:rPr>
      </w:pPr>
      <w:r>
        <w:rPr>
          <w:i/>
          <w:color w:val="231F20"/>
          <w:w w:val="90"/>
          <w:sz w:val="21"/>
        </w:rPr>
        <w:t>Conciencia moral y acción comunicativa. </w:t>
      </w:r>
      <w:r>
        <w:rPr>
          <w:color w:val="231F20"/>
          <w:w w:val="90"/>
          <w:sz w:val="21"/>
        </w:rPr>
        <w:t>Barcelona: Península.</w:t>
      </w:r>
    </w:p>
    <w:p>
      <w:pPr>
        <w:spacing w:line="244" w:lineRule="auto" w:before="8"/>
        <w:ind w:left="823" w:right="606" w:hanging="721"/>
        <w:jc w:val="left"/>
        <w:rPr>
          <w:sz w:val="21"/>
        </w:rPr>
      </w:pPr>
      <w:r>
        <w:rPr>
          <w:color w:val="231F20"/>
          <w:sz w:val="21"/>
        </w:rPr>
        <w:t>Habermas, Jürgen. (1989). Teoría de la verdad. En Jürgen </w:t>
      </w:r>
      <w:r>
        <w:rPr>
          <w:color w:val="231F20"/>
          <w:w w:val="90"/>
          <w:sz w:val="21"/>
        </w:rPr>
        <w:t>Habermas.</w:t>
      </w:r>
      <w:r>
        <w:rPr>
          <w:color w:val="231F20"/>
          <w:spacing w:val="-29"/>
          <w:w w:val="90"/>
          <w:sz w:val="21"/>
        </w:rPr>
        <w:t> </w:t>
      </w:r>
      <w:r>
        <w:rPr>
          <w:i/>
          <w:color w:val="231F20"/>
          <w:w w:val="90"/>
          <w:sz w:val="21"/>
        </w:rPr>
        <w:t>Teoría</w:t>
      </w:r>
      <w:r>
        <w:rPr>
          <w:i/>
          <w:color w:val="231F20"/>
          <w:spacing w:val="-29"/>
          <w:w w:val="90"/>
          <w:sz w:val="21"/>
        </w:rPr>
        <w:t> </w:t>
      </w:r>
      <w:r>
        <w:rPr>
          <w:i/>
          <w:color w:val="231F20"/>
          <w:w w:val="90"/>
          <w:sz w:val="21"/>
        </w:rPr>
        <w:t>de</w:t>
      </w:r>
      <w:r>
        <w:rPr>
          <w:i/>
          <w:color w:val="231F20"/>
          <w:spacing w:val="-29"/>
          <w:w w:val="90"/>
          <w:sz w:val="21"/>
        </w:rPr>
        <w:t> </w:t>
      </w:r>
      <w:r>
        <w:rPr>
          <w:i/>
          <w:color w:val="231F20"/>
          <w:w w:val="90"/>
          <w:sz w:val="21"/>
        </w:rPr>
        <w:t>la</w:t>
      </w:r>
      <w:r>
        <w:rPr>
          <w:i/>
          <w:color w:val="231F20"/>
          <w:spacing w:val="-29"/>
          <w:w w:val="90"/>
          <w:sz w:val="21"/>
        </w:rPr>
        <w:t> </w:t>
      </w:r>
      <w:r>
        <w:rPr>
          <w:i/>
          <w:color w:val="231F20"/>
          <w:w w:val="90"/>
          <w:sz w:val="21"/>
        </w:rPr>
        <w:t>acción</w:t>
      </w:r>
      <w:r>
        <w:rPr>
          <w:i/>
          <w:color w:val="231F20"/>
          <w:spacing w:val="-29"/>
          <w:w w:val="90"/>
          <w:sz w:val="21"/>
        </w:rPr>
        <w:t> </w:t>
      </w:r>
      <w:r>
        <w:rPr>
          <w:i/>
          <w:color w:val="231F20"/>
          <w:w w:val="90"/>
          <w:sz w:val="21"/>
        </w:rPr>
        <w:t>comunicativa:</w:t>
      </w:r>
      <w:r>
        <w:rPr>
          <w:i/>
          <w:color w:val="231F20"/>
          <w:spacing w:val="-29"/>
          <w:w w:val="90"/>
          <w:sz w:val="21"/>
        </w:rPr>
        <w:t> </w:t>
      </w:r>
      <w:r>
        <w:rPr>
          <w:i/>
          <w:color w:val="231F20"/>
          <w:w w:val="90"/>
          <w:sz w:val="21"/>
        </w:rPr>
        <w:t>complementos</w:t>
      </w:r>
      <w:r>
        <w:rPr>
          <w:i/>
          <w:color w:val="231F20"/>
          <w:spacing w:val="-29"/>
          <w:w w:val="90"/>
          <w:sz w:val="21"/>
        </w:rPr>
        <w:t> </w:t>
      </w:r>
      <w:r>
        <w:rPr>
          <w:i/>
          <w:color w:val="231F20"/>
          <w:w w:val="90"/>
          <w:sz w:val="21"/>
        </w:rPr>
        <w:t>y </w:t>
      </w:r>
      <w:r>
        <w:rPr>
          <w:i/>
          <w:color w:val="231F20"/>
          <w:w w:val="90"/>
          <w:sz w:val="21"/>
        </w:rPr>
        <w:t>estudios previos. </w:t>
      </w:r>
      <w:r>
        <w:rPr>
          <w:color w:val="231F20"/>
          <w:w w:val="90"/>
          <w:sz w:val="21"/>
        </w:rPr>
        <w:t>Madrid:</w:t>
      </w:r>
      <w:r>
        <w:rPr>
          <w:color w:val="231F20"/>
          <w:spacing w:val="6"/>
          <w:w w:val="90"/>
          <w:sz w:val="21"/>
        </w:rPr>
        <w:t> </w:t>
      </w:r>
      <w:r>
        <w:rPr>
          <w:color w:val="231F20"/>
          <w:w w:val="90"/>
          <w:sz w:val="21"/>
        </w:rPr>
        <w:t>Cátedra.</w:t>
      </w:r>
    </w:p>
    <w:p>
      <w:pPr>
        <w:spacing w:line="247" w:lineRule="auto" w:before="0"/>
        <w:ind w:left="823" w:right="50" w:hanging="721"/>
        <w:jc w:val="left"/>
        <w:rPr>
          <w:sz w:val="21"/>
        </w:rPr>
      </w:pPr>
      <w:r>
        <w:rPr>
          <w:color w:val="231F20"/>
          <w:w w:val="95"/>
          <w:sz w:val="21"/>
        </w:rPr>
        <w:t>Habermas,</w:t>
      </w:r>
      <w:r>
        <w:rPr>
          <w:color w:val="231F20"/>
          <w:spacing w:val="-23"/>
          <w:w w:val="95"/>
          <w:sz w:val="21"/>
        </w:rPr>
        <w:t> </w:t>
      </w:r>
      <w:r>
        <w:rPr>
          <w:color w:val="231F20"/>
          <w:w w:val="95"/>
          <w:sz w:val="21"/>
        </w:rPr>
        <w:t>Jürgen.</w:t>
      </w:r>
      <w:r>
        <w:rPr>
          <w:color w:val="231F20"/>
          <w:spacing w:val="-23"/>
          <w:w w:val="95"/>
          <w:sz w:val="21"/>
        </w:rPr>
        <w:t> </w:t>
      </w:r>
      <w:r>
        <w:rPr>
          <w:color w:val="231F20"/>
          <w:w w:val="95"/>
          <w:sz w:val="21"/>
        </w:rPr>
        <w:t>(2008)</w:t>
      </w:r>
      <w:r>
        <w:rPr>
          <w:color w:val="231F20"/>
          <w:spacing w:val="-23"/>
          <w:w w:val="95"/>
          <w:sz w:val="21"/>
        </w:rPr>
        <w:t> </w:t>
      </w:r>
      <w:r>
        <w:rPr>
          <w:color w:val="231F20"/>
          <w:w w:val="95"/>
          <w:sz w:val="21"/>
        </w:rPr>
        <w:t>(I).</w:t>
      </w:r>
      <w:r>
        <w:rPr>
          <w:color w:val="231F20"/>
          <w:spacing w:val="-23"/>
          <w:w w:val="95"/>
          <w:sz w:val="21"/>
        </w:rPr>
        <w:t> </w:t>
      </w:r>
      <w:r>
        <w:rPr>
          <w:i/>
          <w:color w:val="231F20"/>
          <w:w w:val="95"/>
          <w:sz w:val="21"/>
        </w:rPr>
        <w:t>Teoría</w:t>
      </w:r>
      <w:r>
        <w:rPr>
          <w:i/>
          <w:color w:val="231F20"/>
          <w:spacing w:val="-23"/>
          <w:w w:val="95"/>
          <w:sz w:val="21"/>
        </w:rPr>
        <w:t> </w:t>
      </w:r>
      <w:r>
        <w:rPr>
          <w:i/>
          <w:color w:val="231F20"/>
          <w:w w:val="95"/>
          <w:sz w:val="21"/>
        </w:rPr>
        <w:t>de</w:t>
      </w:r>
      <w:r>
        <w:rPr>
          <w:i/>
          <w:color w:val="231F20"/>
          <w:spacing w:val="-23"/>
          <w:w w:val="95"/>
          <w:sz w:val="21"/>
        </w:rPr>
        <w:t> </w:t>
      </w:r>
      <w:r>
        <w:rPr>
          <w:i/>
          <w:color w:val="231F20"/>
          <w:w w:val="95"/>
          <w:sz w:val="21"/>
        </w:rPr>
        <w:t>la</w:t>
      </w:r>
      <w:r>
        <w:rPr>
          <w:i/>
          <w:color w:val="231F20"/>
          <w:spacing w:val="-23"/>
          <w:w w:val="95"/>
          <w:sz w:val="21"/>
        </w:rPr>
        <w:t> </w:t>
      </w:r>
      <w:r>
        <w:rPr>
          <w:i/>
          <w:color w:val="231F20"/>
          <w:w w:val="95"/>
          <w:sz w:val="21"/>
        </w:rPr>
        <w:t>acción</w:t>
      </w:r>
      <w:r>
        <w:rPr>
          <w:i/>
          <w:color w:val="231F20"/>
          <w:spacing w:val="-23"/>
          <w:w w:val="95"/>
          <w:sz w:val="21"/>
        </w:rPr>
        <w:t> </w:t>
      </w:r>
      <w:r>
        <w:rPr>
          <w:i/>
          <w:color w:val="231F20"/>
          <w:w w:val="95"/>
          <w:sz w:val="21"/>
        </w:rPr>
        <w:t>comunicativa.</w:t>
      </w:r>
      <w:r>
        <w:rPr>
          <w:i/>
          <w:color w:val="231F20"/>
          <w:spacing w:val="-23"/>
          <w:w w:val="95"/>
          <w:sz w:val="21"/>
        </w:rPr>
        <w:t> </w:t>
      </w:r>
      <w:r>
        <w:rPr>
          <w:color w:val="231F20"/>
          <w:w w:val="95"/>
          <w:sz w:val="21"/>
        </w:rPr>
        <w:t>México: </w:t>
      </w:r>
      <w:r>
        <w:rPr>
          <w:color w:val="231F20"/>
          <w:sz w:val="21"/>
        </w:rPr>
        <w:t>Taurus.</w:t>
      </w:r>
    </w:p>
    <w:p>
      <w:pPr>
        <w:spacing w:line="247" w:lineRule="auto" w:before="0"/>
        <w:ind w:left="823" w:right="50" w:hanging="720"/>
        <w:jc w:val="left"/>
        <w:rPr>
          <w:sz w:val="21"/>
        </w:rPr>
      </w:pPr>
      <w:r>
        <w:rPr>
          <w:color w:val="231F20"/>
          <w:w w:val="95"/>
          <w:sz w:val="21"/>
        </w:rPr>
        <w:t>Habermas,</w:t>
      </w:r>
      <w:r>
        <w:rPr>
          <w:color w:val="231F20"/>
          <w:spacing w:val="-22"/>
          <w:w w:val="95"/>
          <w:sz w:val="21"/>
        </w:rPr>
        <w:t> </w:t>
      </w:r>
      <w:r>
        <w:rPr>
          <w:color w:val="231F20"/>
          <w:w w:val="95"/>
          <w:sz w:val="21"/>
        </w:rPr>
        <w:t>Jürgen.</w:t>
      </w:r>
      <w:r>
        <w:rPr>
          <w:color w:val="231F20"/>
          <w:spacing w:val="-22"/>
          <w:w w:val="95"/>
          <w:sz w:val="21"/>
        </w:rPr>
        <w:t> </w:t>
      </w:r>
      <w:r>
        <w:rPr>
          <w:color w:val="231F20"/>
          <w:w w:val="95"/>
          <w:sz w:val="21"/>
        </w:rPr>
        <w:t>(2008)</w:t>
      </w:r>
      <w:r>
        <w:rPr>
          <w:color w:val="231F20"/>
          <w:spacing w:val="-22"/>
          <w:w w:val="95"/>
          <w:sz w:val="21"/>
        </w:rPr>
        <w:t> </w:t>
      </w:r>
      <w:r>
        <w:rPr>
          <w:color w:val="231F20"/>
          <w:w w:val="95"/>
          <w:sz w:val="21"/>
        </w:rPr>
        <w:t>(II).</w:t>
      </w:r>
      <w:r>
        <w:rPr>
          <w:color w:val="231F20"/>
          <w:spacing w:val="-22"/>
          <w:w w:val="95"/>
          <w:sz w:val="21"/>
        </w:rPr>
        <w:t> </w:t>
      </w:r>
      <w:r>
        <w:rPr>
          <w:i/>
          <w:color w:val="231F20"/>
          <w:w w:val="95"/>
          <w:sz w:val="21"/>
        </w:rPr>
        <w:t>Teoría</w:t>
      </w:r>
      <w:r>
        <w:rPr>
          <w:i/>
          <w:color w:val="231F20"/>
          <w:spacing w:val="-22"/>
          <w:w w:val="95"/>
          <w:sz w:val="21"/>
        </w:rPr>
        <w:t> </w:t>
      </w:r>
      <w:r>
        <w:rPr>
          <w:i/>
          <w:color w:val="231F20"/>
          <w:w w:val="95"/>
          <w:sz w:val="21"/>
        </w:rPr>
        <w:t>de</w:t>
      </w:r>
      <w:r>
        <w:rPr>
          <w:i/>
          <w:color w:val="231F20"/>
          <w:spacing w:val="-22"/>
          <w:w w:val="95"/>
          <w:sz w:val="21"/>
        </w:rPr>
        <w:t> </w:t>
      </w:r>
      <w:r>
        <w:rPr>
          <w:i/>
          <w:color w:val="231F20"/>
          <w:w w:val="95"/>
          <w:sz w:val="21"/>
        </w:rPr>
        <w:t>la</w:t>
      </w:r>
      <w:r>
        <w:rPr>
          <w:i/>
          <w:color w:val="231F20"/>
          <w:spacing w:val="-22"/>
          <w:w w:val="95"/>
          <w:sz w:val="21"/>
        </w:rPr>
        <w:t> </w:t>
      </w:r>
      <w:r>
        <w:rPr>
          <w:i/>
          <w:color w:val="231F20"/>
          <w:w w:val="95"/>
          <w:sz w:val="21"/>
        </w:rPr>
        <w:t>acción</w:t>
      </w:r>
      <w:r>
        <w:rPr>
          <w:i/>
          <w:color w:val="231F20"/>
          <w:spacing w:val="-21"/>
          <w:w w:val="95"/>
          <w:sz w:val="21"/>
        </w:rPr>
        <w:t> </w:t>
      </w:r>
      <w:r>
        <w:rPr>
          <w:i/>
          <w:color w:val="231F20"/>
          <w:w w:val="95"/>
          <w:sz w:val="21"/>
        </w:rPr>
        <w:t>comunicativa.</w:t>
      </w:r>
      <w:r>
        <w:rPr>
          <w:i/>
          <w:color w:val="231F20"/>
          <w:spacing w:val="-21"/>
          <w:w w:val="95"/>
          <w:sz w:val="21"/>
        </w:rPr>
        <w:t> </w:t>
      </w:r>
      <w:r>
        <w:rPr>
          <w:color w:val="231F20"/>
          <w:w w:val="95"/>
          <w:sz w:val="21"/>
        </w:rPr>
        <w:t>México: </w:t>
      </w:r>
      <w:r>
        <w:rPr>
          <w:color w:val="231F20"/>
          <w:sz w:val="21"/>
        </w:rPr>
        <w:t>Taurus.</w:t>
      </w:r>
    </w:p>
    <w:p>
      <w:pPr>
        <w:spacing w:line="242" w:lineRule="auto" w:before="1"/>
        <w:ind w:left="823" w:right="272" w:hanging="720"/>
        <w:jc w:val="left"/>
        <w:rPr>
          <w:sz w:val="21"/>
        </w:rPr>
      </w:pPr>
      <w:r>
        <w:rPr>
          <w:color w:val="231F20"/>
          <w:w w:val="95"/>
          <w:sz w:val="21"/>
        </w:rPr>
        <w:t>Ianni,</w:t>
      </w:r>
      <w:r>
        <w:rPr>
          <w:color w:val="231F20"/>
          <w:spacing w:val="-32"/>
          <w:w w:val="95"/>
          <w:sz w:val="21"/>
        </w:rPr>
        <w:t> </w:t>
      </w:r>
      <w:r>
        <w:rPr>
          <w:color w:val="231F20"/>
          <w:w w:val="95"/>
          <w:sz w:val="21"/>
        </w:rPr>
        <w:t>Octavio.</w:t>
      </w:r>
      <w:r>
        <w:rPr>
          <w:color w:val="231F20"/>
          <w:spacing w:val="-32"/>
          <w:w w:val="95"/>
          <w:sz w:val="21"/>
        </w:rPr>
        <w:t> </w:t>
      </w:r>
      <w:r>
        <w:rPr>
          <w:color w:val="231F20"/>
          <w:w w:val="95"/>
          <w:sz w:val="21"/>
        </w:rPr>
        <w:t>(1987).</w:t>
      </w:r>
      <w:r>
        <w:rPr>
          <w:color w:val="231F20"/>
          <w:spacing w:val="-32"/>
          <w:w w:val="95"/>
          <w:sz w:val="21"/>
        </w:rPr>
        <w:t> </w:t>
      </w:r>
      <w:r>
        <w:rPr>
          <w:i/>
          <w:color w:val="231F20"/>
          <w:w w:val="95"/>
          <w:sz w:val="21"/>
        </w:rPr>
        <w:t>Imperialismo</w:t>
      </w:r>
      <w:r>
        <w:rPr>
          <w:i/>
          <w:color w:val="231F20"/>
          <w:spacing w:val="-31"/>
          <w:w w:val="95"/>
          <w:sz w:val="21"/>
        </w:rPr>
        <w:t> </w:t>
      </w:r>
      <w:r>
        <w:rPr>
          <w:i/>
          <w:color w:val="231F20"/>
          <w:w w:val="95"/>
          <w:sz w:val="21"/>
        </w:rPr>
        <w:t>y</w:t>
      </w:r>
      <w:r>
        <w:rPr>
          <w:i/>
          <w:color w:val="231F20"/>
          <w:spacing w:val="-32"/>
          <w:w w:val="95"/>
          <w:sz w:val="21"/>
        </w:rPr>
        <w:t> </w:t>
      </w:r>
      <w:r>
        <w:rPr>
          <w:i/>
          <w:color w:val="231F20"/>
          <w:w w:val="95"/>
          <w:sz w:val="21"/>
        </w:rPr>
        <w:t>cultura</w:t>
      </w:r>
      <w:r>
        <w:rPr>
          <w:i/>
          <w:color w:val="231F20"/>
          <w:spacing w:val="-31"/>
          <w:w w:val="95"/>
          <w:sz w:val="21"/>
        </w:rPr>
        <w:t> </w:t>
      </w:r>
      <w:r>
        <w:rPr>
          <w:i/>
          <w:color w:val="231F20"/>
          <w:w w:val="95"/>
          <w:sz w:val="21"/>
        </w:rPr>
        <w:t>de</w:t>
      </w:r>
      <w:r>
        <w:rPr>
          <w:i/>
          <w:color w:val="231F20"/>
          <w:spacing w:val="-32"/>
          <w:w w:val="95"/>
          <w:sz w:val="21"/>
        </w:rPr>
        <w:t> </w:t>
      </w:r>
      <w:r>
        <w:rPr>
          <w:i/>
          <w:color w:val="231F20"/>
          <w:w w:val="95"/>
          <w:sz w:val="21"/>
        </w:rPr>
        <w:t>la</w:t>
      </w:r>
      <w:r>
        <w:rPr>
          <w:i/>
          <w:color w:val="231F20"/>
          <w:spacing w:val="-31"/>
          <w:w w:val="95"/>
          <w:sz w:val="21"/>
        </w:rPr>
        <w:t> </w:t>
      </w:r>
      <w:r>
        <w:rPr>
          <w:i/>
          <w:color w:val="231F20"/>
          <w:w w:val="95"/>
          <w:sz w:val="21"/>
        </w:rPr>
        <w:t>violencia</w:t>
      </w:r>
      <w:r>
        <w:rPr>
          <w:i/>
          <w:color w:val="231F20"/>
          <w:spacing w:val="-31"/>
          <w:w w:val="95"/>
          <w:sz w:val="21"/>
        </w:rPr>
        <w:t> </w:t>
      </w:r>
      <w:r>
        <w:rPr>
          <w:i/>
          <w:color w:val="231F20"/>
          <w:w w:val="95"/>
          <w:sz w:val="21"/>
        </w:rPr>
        <w:t>en</w:t>
      </w:r>
      <w:r>
        <w:rPr>
          <w:i/>
          <w:color w:val="231F20"/>
          <w:spacing w:val="-31"/>
          <w:w w:val="95"/>
          <w:sz w:val="21"/>
        </w:rPr>
        <w:t> </w:t>
      </w:r>
      <w:r>
        <w:rPr>
          <w:i/>
          <w:color w:val="231F20"/>
          <w:w w:val="95"/>
          <w:sz w:val="21"/>
        </w:rPr>
        <w:t>América </w:t>
      </w:r>
      <w:r>
        <w:rPr>
          <w:i/>
          <w:color w:val="231F20"/>
          <w:w w:val="95"/>
          <w:sz w:val="21"/>
        </w:rPr>
        <w:t>latina. </w:t>
      </w:r>
      <w:r>
        <w:rPr>
          <w:color w:val="231F20"/>
          <w:w w:val="95"/>
          <w:sz w:val="21"/>
        </w:rPr>
        <w:t>México: Siglo</w:t>
      </w:r>
      <w:r>
        <w:rPr>
          <w:color w:val="231F20"/>
          <w:spacing w:val="-4"/>
          <w:w w:val="95"/>
          <w:sz w:val="21"/>
        </w:rPr>
        <w:t> </w:t>
      </w:r>
      <w:r>
        <w:rPr>
          <w:color w:val="231F20"/>
          <w:w w:val="95"/>
          <w:sz w:val="21"/>
        </w:rPr>
        <w:t>XXI.</w:t>
      </w:r>
    </w:p>
    <w:p>
      <w:pPr>
        <w:spacing w:line="244" w:lineRule="auto" w:before="6"/>
        <w:ind w:left="823" w:right="566" w:hanging="720"/>
        <w:jc w:val="both"/>
        <w:rPr>
          <w:sz w:val="21"/>
        </w:rPr>
      </w:pPr>
      <w:r>
        <w:rPr>
          <w:color w:val="231F20"/>
          <w:w w:val="95"/>
          <w:sz w:val="21"/>
        </w:rPr>
        <w:t>Ibarra-Colado,</w:t>
      </w:r>
      <w:r>
        <w:rPr>
          <w:color w:val="231F20"/>
          <w:spacing w:val="-16"/>
          <w:w w:val="95"/>
          <w:sz w:val="21"/>
        </w:rPr>
        <w:t> </w:t>
      </w:r>
      <w:r>
        <w:rPr>
          <w:color w:val="231F20"/>
          <w:w w:val="95"/>
          <w:sz w:val="21"/>
        </w:rPr>
        <w:t>Eduardo.</w:t>
      </w:r>
      <w:r>
        <w:rPr>
          <w:color w:val="231F20"/>
          <w:spacing w:val="-16"/>
          <w:w w:val="95"/>
          <w:sz w:val="21"/>
        </w:rPr>
        <w:t> </w:t>
      </w:r>
      <w:r>
        <w:rPr>
          <w:color w:val="231F20"/>
          <w:w w:val="95"/>
          <w:sz w:val="21"/>
        </w:rPr>
        <w:t>(1993).</w:t>
      </w:r>
      <w:r>
        <w:rPr>
          <w:color w:val="231F20"/>
          <w:spacing w:val="-17"/>
          <w:w w:val="95"/>
          <w:sz w:val="21"/>
        </w:rPr>
        <w:t> </w:t>
      </w:r>
      <w:r>
        <w:rPr>
          <w:i/>
          <w:color w:val="231F20"/>
          <w:w w:val="95"/>
          <w:sz w:val="21"/>
        </w:rPr>
        <w:t>La</w:t>
      </w:r>
      <w:r>
        <w:rPr>
          <w:i/>
          <w:color w:val="231F20"/>
          <w:spacing w:val="-15"/>
          <w:w w:val="95"/>
          <w:sz w:val="21"/>
        </w:rPr>
        <w:t> </w:t>
      </w:r>
      <w:r>
        <w:rPr>
          <w:i/>
          <w:color w:val="231F20"/>
          <w:w w:val="95"/>
          <w:sz w:val="21"/>
        </w:rPr>
        <w:t>universidad</w:t>
      </w:r>
      <w:r>
        <w:rPr>
          <w:i/>
          <w:color w:val="231F20"/>
          <w:spacing w:val="-15"/>
          <w:w w:val="95"/>
          <w:sz w:val="21"/>
        </w:rPr>
        <w:t> </w:t>
      </w:r>
      <w:r>
        <w:rPr>
          <w:i/>
          <w:color w:val="231F20"/>
          <w:w w:val="95"/>
          <w:sz w:val="21"/>
        </w:rPr>
        <w:t>ante</w:t>
      </w:r>
      <w:r>
        <w:rPr>
          <w:i/>
          <w:color w:val="231F20"/>
          <w:spacing w:val="-16"/>
          <w:w w:val="95"/>
          <w:sz w:val="21"/>
        </w:rPr>
        <w:t> </w:t>
      </w:r>
      <w:r>
        <w:rPr>
          <w:i/>
          <w:color w:val="231F20"/>
          <w:w w:val="95"/>
          <w:sz w:val="21"/>
        </w:rPr>
        <w:t>el</w:t>
      </w:r>
      <w:r>
        <w:rPr>
          <w:i/>
          <w:color w:val="231F20"/>
          <w:spacing w:val="-17"/>
          <w:w w:val="95"/>
          <w:sz w:val="21"/>
        </w:rPr>
        <w:t> </w:t>
      </w:r>
      <w:r>
        <w:rPr>
          <w:i/>
          <w:color w:val="231F20"/>
          <w:w w:val="95"/>
          <w:sz w:val="21"/>
        </w:rPr>
        <w:t>espejo</w:t>
      </w:r>
      <w:r>
        <w:rPr>
          <w:i/>
          <w:color w:val="231F20"/>
          <w:spacing w:val="-15"/>
          <w:w w:val="95"/>
          <w:sz w:val="21"/>
        </w:rPr>
        <w:t> </w:t>
      </w:r>
      <w:r>
        <w:rPr>
          <w:i/>
          <w:color w:val="231F20"/>
          <w:w w:val="95"/>
          <w:sz w:val="21"/>
        </w:rPr>
        <w:t>de</w:t>
      </w:r>
      <w:r>
        <w:rPr>
          <w:i/>
          <w:color w:val="231F20"/>
          <w:spacing w:val="-16"/>
          <w:w w:val="95"/>
          <w:sz w:val="21"/>
        </w:rPr>
        <w:t> </w:t>
      </w:r>
      <w:r>
        <w:rPr>
          <w:i/>
          <w:color w:val="231F20"/>
          <w:w w:val="95"/>
          <w:sz w:val="21"/>
        </w:rPr>
        <w:t>la </w:t>
      </w:r>
      <w:r>
        <w:rPr>
          <w:i/>
          <w:color w:val="231F20"/>
          <w:w w:val="90"/>
          <w:sz w:val="21"/>
        </w:rPr>
        <w:t>excelencia:</w:t>
      </w:r>
      <w:r>
        <w:rPr>
          <w:i/>
          <w:color w:val="231F20"/>
          <w:spacing w:val="-25"/>
          <w:w w:val="90"/>
          <w:sz w:val="21"/>
        </w:rPr>
        <w:t> </w:t>
      </w:r>
      <w:r>
        <w:rPr>
          <w:i/>
          <w:color w:val="231F20"/>
          <w:w w:val="90"/>
          <w:sz w:val="21"/>
        </w:rPr>
        <w:t>en</w:t>
      </w:r>
      <w:r>
        <w:rPr>
          <w:i/>
          <w:color w:val="231F20"/>
          <w:spacing w:val="-25"/>
          <w:w w:val="90"/>
          <w:sz w:val="21"/>
        </w:rPr>
        <w:t> </w:t>
      </w:r>
      <w:r>
        <w:rPr>
          <w:i/>
          <w:color w:val="231F20"/>
          <w:w w:val="90"/>
          <w:sz w:val="21"/>
        </w:rPr>
        <w:t>juegos</w:t>
      </w:r>
      <w:r>
        <w:rPr>
          <w:i/>
          <w:color w:val="231F20"/>
          <w:spacing w:val="-25"/>
          <w:w w:val="90"/>
          <w:sz w:val="21"/>
        </w:rPr>
        <w:t> </w:t>
      </w:r>
      <w:r>
        <w:rPr>
          <w:i/>
          <w:color w:val="231F20"/>
          <w:w w:val="90"/>
          <w:sz w:val="21"/>
        </w:rPr>
        <w:t>organizacionales.</w:t>
      </w:r>
      <w:r>
        <w:rPr>
          <w:i/>
          <w:color w:val="231F20"/>
          <w:spacing w:val="-25"/>
          <w:w w:val="90"/>
          <w:sz w:val="21"/>
        </w:rPr>
        <w:t> </w:t>
      </w:r>
      <w:r>
        <w:rPr>
          <w:color w:val="231F20"/>
          <w:w w:val="90"/>
          <w:sz w:val="21"/>
        </w:rPr>
        <w:t>México:</w:t>
      </w:r>
      <w:r>
        <w:rPr>
          <w:color w:val="231F20"/>
          <w:spacing w:val="-25"/>
          <w:w w:val="90"/>
          <w:sz w:val="21"/>
        </w:rPr>
        <w:t> </w:t>
      </w:r>
      <w:r>
        <w:rPr>
          <w:color w:val="231F20"/>
          <w:w w:val="90"/>
          <w:sz w:val="21"/>
        </w:rPr>
        <w:t>Universidad </w:t>
      </w:r>
      <w:r>
        <w:rPr>
          <w:color w:val="231F20"/>
          <w:w w:val="95"/>
          <w:sz w:val="21"/>
        </w:rPr>
        <w:t>Autónoma   Metropolitana-Unidad  </w:t>
      </w:r>
      <w:r>
        <w:rPr>
          <w:color w:val="231F20"/>
          <w:spacing w:val="36"/>
          <w:w w:val="95"/>
          <w:sz w:val="21"/>
        </w:rPr>
        <w:t> </w:t>
      </w:r>
      <w:r>
        <w:rPr>
          <w:color w:val="231F20"/>
          <w:w w:val="95"/>
          <w:sz w:val="21"/>
        </w:rPr>
        <w:t>Iztapalapa.</w:t>
      </w:r>
    </w:p>
    <w:p>
      <w:pPr>
        <w:spacing w:line="247" w:lineRule="auto" w:before="0"/>
        <w:ind w:left="823" w:right="50" w:hanging="720"/>
        <w:jc w:val="left"/>
        <w:rPr>
          <w:sz w:val="21"/>
        </w:rPr>
      </w:pPr>
      <w:r>
        <w:rPr>
          <w:color w:val="231F20"/>
          <w:w w:val="95"/>
          <w:sz w:val="21"/>
        </w:rPr>
        <w:t>Ibarra-Colado, Eduardo. (2001). </w:t>
      </w:r>
      <w:r>
        <w:rPr>
          <w:i/>
          <w:color w:val="231F20"/>
          <w:w w:val="95"/>
          <w:sz w:val="21"/>
        </w:rPr>
        <w:t>La universidad en México hoy: </w:t>
      </w:r>
      <w:r>
        <w:rPr>
          <w:i/>
          <w:color w:val="231F20"/>
          <w:w w:val="90"/>
          <w:sz w:val="21"/>
        </w:rPr>
        <w:t>gubernamentalidad y modernización. </w:t>
      </w:r>
      <w:r>
        <w:rPr>
          <w:color w:val="231F20"/>
          <w:w w:val="90"/>
          <w:sz w:val="21"/>
        </w:rPr>
        <w:t>México: UNAM.</w:t>
      </w:r>
    </w:p>
    <w:p>
      <w:pPr>
        <w:spacing w:line="247" w:lineRule="auto" w:before="0"/>
        <w:ind w:left="823" w:right="50" w:hanging="721"/>
        <w:jc w:val="left"/>
        <w:rPr>
          <w:sz w:val="21"/>
        </w:rPr>
      </w:pPr>
      <w:r>
        <w:rPr>
          <w:color w:val="231F20"/>
          <w:sz w:val="21"/>
        </w:rPr>
        <w:t>Izquierdo,</w:t>
      </w:r>
      <w:r>
        <w:rPr>
          <w:color w:val="231F20"/>
          <w:spacing w:val="-8"/>
          <w:sz w:val="21"/>
        </w:rPr>
        <w:t> </w:t>
      </w:r>
      <w:r>
        <w:rPr>
          <w:color w:val="231F20"/>
          <w:sz w:val="21"/>
        </w:rPr>
        <w:t>María</w:t>
      </w:r>
      <w:r>
        <w:rPr>
          <w:color w:val="231F20"/>
          <w:spacing w:val="-7"/>
          <w:sz w:val="21"/>
        </w:rPr>
        <w:t> </w:t>
      </w:r>
      <w:r>
        <w:rPr>
          <w:color w:val="231F20"/>
          <w:sz w:val="21"/>
        </w:rPr>
        <w:t>de</w:t>
      </w:r>
      <w:r>
        <w:rPr>
          <w:color w:val="231F20"/>
          <w:spacing w:val="-7"/>
          <w:sz w:val="21"/>
        </w:rPr>
        <w:t> </w:t>
      </w:r>
      <w:r>
        <w:rPr>
          <w:color w:val="231F20"/>
          <w:sz w:val="21"/>
        </w:rPr>
        <w:t>Jesús.</w:t>
      </w:r>
      <w:r>
        <w:rPr>
          <w:color w:val="231F20"/>
          <w:spacing w:val="-8"/>
          <w:sz w:val="21"/>
        </w:rPr>
        <w:t> </w:t>
      </w:r>
      <w:r>
        <w:rPr>
          <w:color w:val="231F20"/>
          <w:sz w:val="21"/>
        </w:rPr>
        <w:t>(1998).</w:t>
      </w:r>
      <w:r>
        <w:rPr>
          <w:color w:val="231F20"/>
          <w:spacing w:val="-8"/>
          <w:sz w:val="21"/>
        </w:rPr>
        <w:t> </w:t>
      </w:r>
      <w:r>
        <w:rPr>
          <w:color w:val="231F20"/>
          <w:sz w:val="21"/>
        </w:rPr>
        <w:t>Las</w:t>
      </w:r>
      <w:r>
        <w:rPr>
          <w:color w:val="231F20"/>
          <w:spacing w:val="-8"/>
          <w:sz w:val="21"/>
        </w:rPr>
        <w:t> </w:t>
      </w:r>
      <w:r>
        <w:rPr>
          <w:color w:val="231F20"/>
          <w:sz w:val="21"/>
        </w:rPr>
        <w:t>órdenes</w:t>
      </w:r>
      <w:r>
        <w:rPr>
          <w:color w:val="231F20"/>
          <w:spacing w:val="-8"/>
          <w:sz w:val="21"/>
        </w:rPr>
        <w:t> </w:t>
      </w:r>
      <w:r>
        <w:rPr>
          <w:color w:val="231F20"/>
          <w:sz w:val="21"/>
        </w:rPr>
        <w:t>de</w:t>
      </w:r>
      <w:r>
        <w:rPr>
          <w:color w:val="231F20"/>
          <w:spacing w:val="-7"/>
          <w:sz w:val="21"/>
        </w:rPr>
        <w:t> </w:t>
      </w:r>
      <w:r>
        <w:rPr>
          <w:color w:val="231F20"/>
          <w:sz w:val="21"/>
        </w:rPr>
        <w:t>la</w:t>
      </w:r>
      <w:r>
        <w:rPr>
          <w:color w:val="231F20"/>
          <w:spacing w:val="-8"/>
          <w:sz w:val="21"/>
        </w:rPr>
        <w:t> </w:t>
      </w:r>
      <w:r>
        <w:rPr>
          <w:color w:val="231F20"/>
          <w:sz w:val="21"/>
        </w:rPr>
        <w:t>violencia: especie,</w:t>
      </w:r>
      <w:r>
        <w:rPr>
          <w:color w:val="231F20"/>
          <w:spacing w:val="-11"/>
          <w:sz w:val="21"/>
        </w:rPr>
        <w:t> </w:t>
      </w:r>
      <w:r>
        <w:rPr>
          <w:color w:val="231F20"/>
          <w:sz w:val="21"/>
        </w:rPr>
        <w:t>sexo</w:t>
      </w:r>
      <w:r>
        <w:rPr>
          <w:color w:val="231F20"/>
          <w:spacing w:val="-11"/>
          <w:sz w:val="21"/>
        </w:rPr>
        <w:t> </w:t>
      </w:r>
      <w:r>
        <w:rPr>
          <w:color w:val="231F20"/>
          <w:sz w:val="21"/>
        </w:rPr>
        <w:t>y</w:t>
      </w:r>
      <w:r>
        <w:rPr>
          <w:color w:val="231F20"/>
          <w:spacing w:val="-11"/>
          <w:sz w:val="21"/>
        </w:rPr>
        <w:t> </w:t>
      </w:r>
      <w:r>
        <w:rPr>
          <w:color w:val="231F20"/>
          <w:sz w:val="21"/>
        </w:rPr>
        <w:t>género.</w:t>
      </w:r>
      <w:r>
        <w:rPr>
          <w:color w:val="231F20"/>
          <w:spacing w:val="-11"/>
          <w:sz w:val="21"/>
        </w:rPr>
        <w:t> </w:t>
      </w:r>
      <w:r>
        <w:rPr>
          <w:color w:val="231F20"/>
          <w:sz w:val="21"/>
        </w:rPr>
        <w:t>En</w:t>
      </w:r>
      <w:r>
        <w:rPr>
          <w:color w:val="231F20"/>
          <w:spacing w:val="-11"/>
          <w:sz w:val="21"/>
        </w:rPr>
        <w:t> </w:t>
      </w:r>
      <w:r>
        <w:rPr>
          <w:color w:val="231F20"/>
          <w:sz w:val="21"/>
        </w:rPr>
        <w:t>Vicenç</w:t>
      </w:r>
      <w:r>
        <w:rPr>
          <w:color w:val="231F20"/>
          <w:spacing w:val="-11"/>
          <w:sz w:val="21"/>
        </w:rPr>
        <w:t> </w:t>
      </w:r>
      <w:r>
        <w:rPr>
          <w:color w:val="231F20"/>
          <w:sz w:val="21"/>
        </w:rPr>
        <w:t>Fisas,</w:t>
      </w:r>
      <w:r>
        <w:rPr>
          <w:color w:val="231F20"/>
          <w:spacing w:val="-11"/>
          <w:sz w:val="21"/>
        </w:rPr>
        <w:t> </w:t>
      </w:r>
      <w:r>
        <w:rPr>
          <w:i/>
          <w:color w:val="231F20"/>
          <w:sz w:val="21"/>
        </w:rPr>
        <w:t>El</w:t>
      </w:r>
      <w:r>
        <w:rPr>
          <w:i/>
          <w:color w:val="231F20"/>
          <w:spacing w:val="-11"/>
          <w:sz w:val="21"/>
        </w:rPr>
        <w:t> </w:t>
      </w:r>
      <w:r>
        <w:rPr>
          <w:i/>
          <w:color w:val="231F20"/>
          <w:sz w:val="21"/>
        </w:rPr>
        <w:t>sexo</w:t>
      </w:r>
      <w:r>
        <w:rPr>
          <w:i/>
          <w:color w:val="231F20"/>
          <w:spacing w:val="-11"/>
          <w:sz w:val="21"/>
        </w:rPr>
        <w:t> </w:t>
      </w:r>
      <w:r>
        <w:rPr>
          <w:i/>
          <w:color w:val="231F20"/>
          <w:sz w:val="21"/>
        </w:rPr>
        <w:t>de</w:t>
      </w:r>
      <w:r>
        <w:rPr>
          <w:i/>
          <w:color w:val="231F20"/>
          <w:spacing w:val="-11"/>
          <w:sz w:val="21"/>
        </w:rPr>
        <w:t> </w:t>
      </w:r>
      <w:r>
        <w:rPr>
          <w:i/>
          <w:color w:val="231F20"/>
          <w:sz w:val="21"/>
        </w:rPr>
        <w:t>la </w:t>
      </w:r>
      <w:r>
        <w:rPr>
          <w:i/>
          <w:color w:val="231F20"/>
          <w:w w:val="90"/>
          <w:sz w:val="21"/>
        </w:rPr>
        <w:t>violencia:</w:t>
      </w:r>
      <w:r>
        <w:rPr>
          <w:i/>
          <w:color w:val="231F20"/>
          <w:spacing w:val="-26"/>
          <w:w w:val="90"/>
          <w:sz w:val="21"/>
        </w:rPr>
        <w:t> </w:t>
      </w:r>
      <w:r>
        <w:rPr>
          <w:i/>
          <w:color w:val="231F20"/>
          <w:w w:val="90"/>
          <w:sz w:val="21"/>
        </w:rPr>
        <w:t>género</w:t>
      </w:r>
      <w:r>
        <w:rPr>
          <w:i/>
          <w:color w:val="231F20"/>
          <w:spacing w:val="-26"/>
          <w:w w:val="90"/>
          <w:sz w:val="21"/>
        </w:rPr>
        <w:t> </w:t>
      </w:r>
      <w:r>
        <w:rPr>
          <w:i/>
          <w:color w:val="231F20"/>
          <w:w w:val="90"/>
          <w:sz w:val="21"/>
        </w:rPr>
        <w:t>y</w:t>
      </w:r>
      <w:r>
        <w:rPr>
          <w:i/>
          <w:color w:val="231F20"/>
          <w:spacing w:val="-26"/>
          <w:w w:val="90"/>
          <w:sz w:val="21"/>
        </w:rPr>
        <w:t> </w:t>
      </w:r>
      <w:r>
        <w:rPr>
          <w:i/>
          <w:color w:val="231F20"/>
          <w:w w:val="90"/>
          <w:sz w:val="21"/>
        </w:rPr>
        <w:t>cultura</w:t>
      </w:r>
      <w:r>
        <w:rPr>
          <w:i/>
          <w:color w:val="231F20"/>
          <w:spacing w:val="-25"/>
          <w:w w:val="90"/>
          <w:sz w:val="21"/>
        </w:rPr>
        <w:t> </w:t>
      </w:r>
      <w:r>
        <w:rPr>
          <w:i/>
          <w:color w:val="231F20"/>
          <w:w w:val="90"/>
          <w:sz w:val="21"/>
        </w:rPr>
        <w:t>de</w:t>
      </w:r>
      <w:r>
        <w:rPr>
          <w:i/>
          <w:color w:val="231F20"/>
          <w:spacing w:val="-26"/>
          <w:w w:val="90"/>
          <w:sz w:val="21"/>
        </w:rPr>
        <w:t> </w:t>
      </w:r>
      <w:r>
        <w:rPr>
          <w:i/>
          <w:color w:val="231F20"/>
          <w:w w:val="90"/>
          <w:sz w:val="21"/>
        </w:rPr>
        <w:t>la</w:t>
      </w:r>
      <w:r>
        <w:rPr>
          <w:i/>
          <w:color w:val="231F20"/>
          <w:spacing w:val="-25"/>
          <w:w w:val="90"/>
          <w:sz w:val="21"/>
        </w:rPr>
        <w:t> </w:t>
      </w:r>
      <w:r>
        <w:rPr>
          <w:i/>
          <w:color w:val="231F20"/>
          <w:w w:val="90"/>
          <w:sz w:val="21"/>
        </w:rPr>
        <w:t>violencia.</w:t>
      </w:r>
      <w:r>
        <w:rPr>
          <w:i/>
          <w:color w:val="231F20"/>
          <w:spacing w:val="-26"/>
          <w:w w:val="90"/>
          <w:sz w:val="21"/>
        </w:rPr>
        <w:t> </w:t>
      </w:r>
      <w:r>
        <w:rPr>
          <w:color w:val="231F20"/>
          <w:w w:val="90"/>
          <w:sz w:val="21"/>
        </w:rPr>
        <w:t>Barcelona:</w:t>
      </w:r>
      <w:r>
        <w:rPr>
          <w:color w:val="231F20"/>
          <w:spacing w:val="-26"/>
          <w:w w:val="90"/>
          <w:sz w:val="21"/>
        </w:rPr>
        <w:t> </w:t>
      </w:r>
      <w:r>
        <w:rPr>
          <w:color w:val="231F20"/>
          <w:w w:val="90"/>
          <w:sz w:val="21"/>
        </w:rPr>
        <w:t>Icaria.</w:t>
      </w:r>
    </w:p>
    <w:p>
      <w:pPr>
        <w:spacing w:line="238" w:lineRule="exact" w:before="0"/>
        <w:ind w:left="103" w:right="50" w:firstLine="0"/>
        <w:jc w:val="left"/>
        <w:rPr>
          <w:i/>
          <w:sz w:val="21"/>
        </w:rPr>
      </w:pPr>
      <w:r>
        <w:rPr>
          <w:color w:val="231F20"/>
          <w:spacing w:val="2"/>
          <w:w w:val="105"/>
          <w:sz w:val="21"/>
        </w:rPr>
        <w:t>K</w:t>
      </w:r>
      <w:r>
        <w:rPr>
          <w:color w:val="231F20"/>
          <w:spacing w:val="1"/>
          <w:w w:val="94"/>
          <w:sz w:val="21"/>
        </w:rPr>
        <w:t>a</w:t>
      </w:r>
      <w:r>
        <w:rPr>
          <w:color w:val="231F20"/>
          <w:w w:val="97"/>
          <w:sz w:val="21"/>
        </w:rPr>
        <w:t>l</w:t>
      </w:r>
      <w:r>
        <w:rPr>
          <w:color w:val="231F20"/>
          <w:spacing w:val="1"/>
          <w:w w:val="97"/>
          <w:sz w:val="21"/>
        </w:rPr>
        <w:t>b</w:t>
      </w:r>
      <w:r>
        <w:rPr>
          <w:color w:val="231F20"/>
          <w:spacing w:val="1"/>
          <w:w w:val="96"/>
          <w:sz w:val="21"/>
        </w:rPr>
        <w:t>e</w:t>
      </w:r>
      <w:r>
        <w:rPr>
          <w:color w:val="231F20"/>
          <w:spacing w:val="1"/>
          <w:w w:val="103"/>
          <w:sz w:val="21"/>
        </w:rPr>
        <w:t>r</w:t>
      </w:r>
      <w:r>
        <w:rPr>
          <w:color w:val="231F20"/>
          <w:spacing w:val="3"/>
          <w:w w:val="101"/>
          <w:sz w:val="21"/>
        </w:rPr>
        <w:t>m</w:t>
      </w:r>
      <w:r>
        <w:rPr>
          <w:color w:val="231F20"/>
          <w:spacing w:val="1"/>
          <w:w w:val="94"/>
          <w:sz w:val="21"/>
        </w:rPr>
        <w:t>a</w:t>
      </w:r>
      <w:r>
        <w:rPr>
          <w:color w:val="231F20"/>
          <w:w w:val="102"/>
          <w:sz w:val="21"/>
        </w:rPr>
        <w:t>tt</w:t>
      </w:r>
      <w:r>
        <w:rPr>
          <w:color w:val="231F20"/>
          <w:spacing w:val="1"/>
          <w:w w:val="102"/>
          <w:sz w:val="21"/>
        </w:rPr>
        <w:t>e</w:t>
      </w:r>
      <w:r>
        <w:rPr>
          <w:color w:val="231F20"/>
          <w:spacing w:val="1"/>
          <w:w w:val="103"/>
          <w:sz w:val="21"/>
        </w:rPr>
        <w:t>r</w:t>
      </w:r>
      <w:r>
        <w:rPr>
          <w:color w:val="231F20"/>
          <w:w w:val="89"/>
          <w:sz w:val="21"/>
        </w:rPr>
        <w:t>,</w:t>
      </w:r>
      <w:r>
        <w:rPr>
          <w:color w:val="231F20"/>
          <w:spacing w:val="3"/>
          <w:sz w:val="21"/>
        </w:rPr>
        <w:t> </w:t>
      </w:r>
      <w:r>
        <w:rPr>
          <w:color w:val="231F20"/>
          <w:spacing w:val="3"/>
          <w:w w:val="96"/>
          <w:sz w:val="21"/>
        </w:rPr>
        <w:t>M</w:t>
      </w:r>
      <w:r>
        <w:rPr>
          <w:color w:val="231F20"/>
          <w:spacing w:val="1"/>
          <w:w w:val="94"/>
          <w:sz w:val="21"/>
        </w:rPr>
        <w:t>a</w:t>
      </w:r>
      <w:r>
        <w:rPr>
          <w:color w:val="231F20"/>
          <w:spacing w:val="1"/>
          <w:w w:val="103"/>
          <w:sz w:val="21"/>
        </w:rPr>
        <w:t>r</w:t>
      </w:r>
      <w:r>
        <w:rPr>
          <w:color w:val="231F20"/>
          <w:w w:val="90"/>
          <w:sz w:val="21"/>
        </w:rPr>
        <w:t>ía</w:t>
      </w:r>
      <w:r>
        <w:rPr>
          <w:color w:val="231F20"/>
          <w:spacing w:val="3"/>
          <w:sz w:val="21"/>
        </w:rPr>
        <w:t> </w:t>
      </w:r>
      <w:r>
        <w:rPr>
          <w:color w:val="231F20"/>
          <w:spacing w:val="2"/>
          <w:w w:val="97"/>
          <w:sz w:val="21"/>
        </w:rPr>
        <w:t>C</w:t>
      </w:r>
      <w:r>
        <w:rPr>
          <w:color w:val="231F20"/>
          <w:spacing w:val="1"/>
          <w:w w:val="103"/>
          <w:sz w:val="21"/>
        </w:rPr>
        <w:t>r</w:t>
      </w:r>
      <w:r>
        <w:rPr>
          <w:color w:val="231F20"/>
          <w:w w:val="91"/>
          <w:sz w:val="21"/>
        </w:rPr>
        <w:t>i</w:t>
      </w:r>
      <w:r>
        <w:rPr>
          <w:color w:val="231F20"/>
          <w:spacing w:val="1"/>
          <w:w w:val="91"/>
          <w:sz w:val="21"/>
        </w:rPr>
        <w:t>s</w:t>
      </w:r>
      <w:r>
        <w:rPr>
          <w:color w:val="231F20"/>
          <w:w w:val="100"/>
          <w:sz w:val="21"/>
        </w:rPr>
        <w:t>ti</w:t>
      </w:r>
      <w:r>
        <w:rPr>
          <w:color w:val="231F20"/>
          <w:spacing w:val="1"/>
          <w:w w:val="100"/>
          <w:sz w:val="21"/>
        </w:rPr>
        <w:t>n</w:t>
      </w:r>
      <w:r>
        <w:rPr>
          <w:color w:val="231F20"/>
          <w:spacing w:val="3"/>
          <w:w w:val="94"/>
          <w:sz w:val="21"/>
        </w:rPr>
        <w:t>a</w:t>
      </w:r>
      <w:r>
        <w:rPr>
          <w:color w:val="231F20"/>
          <w:w w:val="89"/>
          <w:sz w:val="21"/>
        </w:rPr>
        <w:t>.</w:t>
      </w:r>
      <w:r>
        <w:rPr>
          <w:color w:val="231F20"/>
          <w:spacing w:val="3"/>
          <w:sz w:val="21"/>
        </w:rPr>
        <w:t> </w:t>
      </w:r>
      <w:r>
        <w:rPr>
          <w:color w:val="231F20"/>
          <w:spacing w:val="1"/>
          <w:w w:val="90"/>
          <w:sz w:val="21"/>
        </w:rPr>
        <w:t>(</w:t>
      </w:r>
      <w:r>
        <w:rPr>
          <w:color w:val="231F20"/>
          <w:spacing w:val="1"/>
          <w:w w:val="95"/>
          <w:sz w:val="21"/>
        </w:rPr>
        <w:t>2005)</w:t>
      </w:r>
      <w:r>
        <w:rPr>
          <w:color w:val="231F20"/>
          <w:w w:val="89"/>
          <w:sz w:val="21"/>
        </w:rPr>
        <w:t>.</w:t>
      </w:r>
      <w:r>
        <w:rPr>
          <w:color w:val="231F20"/>
          <w:spacing w:val="3"/>
          <w:sz w:val="21"/>
        </w:rPr>
        <w:t> </w:t>
      </w:r>
      <w:r>
        <w:rPr>
          <w:i/>
          <w:color w:val="231F20"/>
          <w:spacing w:val="3"/>
          <w:w w:val="135"/>
          <w:sz w:val="21"/>
        </w:rPr>
        <w:t>V</w:t>
      </w:r>
      <w:r>
        <w:rPr>
          <w:i/>
          <w:color w:val="231F20"/>
          <w:w w:val="84"/>
          <w:sz w:val="21"/>
        </w:rPr>
        <w:t>i</w:t>
      </w:r>
      <w:r>
        <w:rPr>
          <w:i/>
          <w:color w:val="231F20"/>
          <w:spacing w:val="1"/>
          <w:w w:val="75"/>
          <w:sz w:val="21"/>
        </w:rPr>
        <w:t>o</w:t>
      </w:r>
      <w:r>
        <w:rPr>
          <w:i/>
          <w:color w:val="231F20"/>
          <w:w w:val="75"/>
          <w:sz w:val="21"/>
        </w:rPr>
        <w:t>l</w:t>
      </w:r>
      <w:r>
        <w:rPr>
          <w:i/>
          <w:color w:val="231F20"/>
          <w:spacing w:val="1"/>
          <w:w w:val="67"/>
          <w:sz w:val="21"/>
        </w:rPr>
        <w:t>e</w:t>
      </w:r>
      <w:r>
        <w:rPr>
          <w:i/>
          <w:color w:val="231F20"/>
          <w:spacing w:val="1"/>
          <w:w w:val="87"/>
          <w:sz w:val="21"/>
        </w:rPr>
        <w:t>n</w:t>
      </w:r>
      <w:r>
        <w:rPr>
          <w:i/>
          <w:color w:val="231F20"/>
          <w:spacing w:val="1"/>
          <w:w w:val="62"/>
          <w:sz w:val="21"/>
        </w:rPr>
        <w:t>c</w:t>
      </w:r>
      <w:r>
        <w:rPr>
          <w:i/>
          <w:color w:val="231F20"/>
          <w:w w:val="84"/>
          <w:sz w:val="21"/>
        </w:rPr>
        <w:t>i</w:t>
      </w:r>
      <w:r>
        <w:rPr>
          <w:i/>
          <w:color w:val="231F20"/>
          <w:spacing w:val="1"/>
          <w:w w:val="83"/>
          <w:sz w:val="21"/>
        </w:rPr>
        <w:t>a</w:t>
      </w:r>
      <w:r>
        <w:rPr>
          <w:i/>
          <w:color w:val="231F20"/>
          <w:w w:val="67"/>
          <w:sz w:val="21"/>
        </w:rPr>
        <w:t>:</w:t>
      </w:r>
      <w:r>
        <w:rPr>
          <w:i/>
          <w:color w:val="231F20"/>
          <w:spacing w:val="3"/>
          <w:sz w:val="21"/>
        </w:rPr>
        <w:t> </w:t>
      </w:r>
      <w:r>
        <w:rPr>
          <w:i/>
          <w:color w:val="231F20"/>
          <w:spacing w:val="1"/>
          <w:w w:val="71"/>
          <w:sz w:val="21"/>
        </w:rPr>
        <w:t>¿e</w:t>
      </w:r>
      <w:r>
        <w:rPr>
          <w:i/>
          <w:color w:val="231F20"/>
          <w:spacing w:val="1"/>
          <w:w w:val="77"/>
          <w:sz w:val="21"/>
        </w:rPr>
        <w:t>s</w:t>
      </w:r>
      <w:r>
        <w:rPr>
          <w:i/>
          <w:color w:val="231F20"/>
          <w:spacing w:val="1"/>
          <w:w w:val="67"/>
          <w:sz w:val="21"/>
        </w:rPr>
        <w:t>e</w:t>
      </w:r>
      <w:r>
        <w:rPr>
          <w:i/>
          <w:color w:val="231F20"/>
          <w:spacing w:val="1"/>
          <w:w w:val="87"/>
          <w:sz w:val="21"/>
        </w:rPr>
        <w:t>n</w:t>
      </w:r>
      <w:r>
        <w:rPr>
          <w:i/>
          <w:color w:val="231F20"/>
          <w:spacing w:val="1"/>
          <w:w w:val="62"/>
          <w:sz w:val="21"/>
        </w:rPr>
        <w:t>c</w:t>
      </w:r>
      <w:r>
        <w:rPr>
          <w:i/>
          <w:color w:val="231F20"/>
          <w:w w:val="84"/>
          <w:sz w:val="21"/>
        </w:rPr>
        <w:t>i</w:t>
      </w:r>
      <w:r>
        <w:rPr>
          <w:i/>
          <w:color w:val="231F20"/>
          <w:w w:val="83"/>
          <w:sz w:val="21"/>
        </w:rPr>
        <w:t>a</w:t>
      </w:r>
      <w:r>
        <w:rPr>
          <w:i/>
          <w:color w:val="231F20"/>
          <w:spacing w:val="4"/>
          <w:sz w:val="21"/>
        </w:rPr>
        <w:t> </w:t>
      </w:r>
      <w:r>
        <w:rPr>
          <w:i/>
          <w:color w:val="231F20"/>
          <w:w w:val="72"/>
          <w:sz w:val="21"/>
        </w:rPr>
        <w:t>o</w:t>
      </w:r>
      <w:r>
        <w:rPr>
          <w:i/>
          <w:color w:val="231F20"/>
          <w:spacing w:val="3"/>
          <w:sz w:val="21"/>
        </w:rPr>
        <w:t> </w:t>
      </w:r>
      <w:r>
        <w:rPr>
          <w:i/>
          <w:color w:val="231F20"/>
          <w:spacing w:val="1"/>
          <w:w w:val="62"/>
          <w:sz w:val="21"/>
        </w:rPr>
        <w:t>c</w:t>
      </w:r>
      <w:r>
        <w:rPr>
          <w:i/>
          <w:color w:val="231F20"/>
          <w:spacing w:val="1"/>
          <w:w w:val="80"/>
          <w:sz w:val="21"/>
        </w:rPr>
        <w:t>on</w:t>
      </w:r>
      <w:r>
        <w:rPr>
          <w:i/>
          <w:color w:val="231F20"/>
          <w:spacing w:val="1"/>
          <w:w w:val="77"/>
          <w:sz w:val="21"/>
        </w:rPr>
        <w:t>s</w:t>
      </w:r>
      <w:r>
        <w:rPr>
          <w:i/>
          <w:color w:val="231F20"/>
          <w:w w:val="92"/>
          <w:sz w:val="21"/>
        </w:rPr>
        <w:t>t</w:t>
      </w:r>
      <w:r>
        <w:rPr>
          <w:i/>
          <w:color w:val="231F20"/>
          <w:spacing w:val="1"/>
          <w:w w:val="84"/>
          <w:sz w:val="21"/>
        </w:rPr>
        <w:t>ru</w:t>
      </w:r>
      <w:r>
        <w:rPr>
          <w:i/>
          <w:color w:val="231F20"/>
          <w:spacing w:val="1"/>
          <w:w w:val="62"/>
          <w:sz w:val="21"/>
        </w:rPr>
        <w:t>cc</w:t>
      </w:r>
      <w:r>
        <w:rPr>
          <w:i/>
          <w:color w:val="231F20"/>
          <w:w w:val="84"/>
          <w:sz w:val="21"/>
        </w:rPr>
        <w:t>i</w:t>
      </w:r>
      <w:r>
        <w:rPr>
          <w:i/>
          <w:color w:val="231F20"/>
          <w:spacing w:val="1"/>
          <w:w w:val="80"/>
          <w:sz w:val="21"/>
        </w:rPr>
        <w:t>ón</w:t>
      </w:r>
      <w:r>
        <w:rPr>
          <w:i/>
          <w:color w:val="231F20"/>
          <w:spacing w:val="1"/>
          <w:w w:val="72"/>
          <w:sz w:val="21"/>
        </w:rPr>
        <w:t>?:</w:t>
      </w:r>
    </w:p>
    <w:p>
      <w:pPr>
        <w:spacing w:before="8"/>
        <w:ind w:left="823" w:right="50" w:firstLine="0"/>
        <w:jc w:val="left"/>
        <w:rPr>
          <w:sz w:val="21"/>
        </w:rPr>
      </w:pPr>
      <w:r>
        <w:rPr>
          <w:i/>
          <w:color w:val="231F20"/>
          <w:w w:val="90"/>
          <w:sz w:val="21"/>
        </w:rPr>
        <w:t>¿víctimas o victimarios? </w:t>
      </w:r>
      <w:r>
        <w:rPr>
          <w:color w:val="231F20"/>
          <w:w w:val="90"/>
          <w:sz w:val="21"/>
        </w:rPr>
        <w:t>Córdova, Argentina:  Brujas.</w:t>
      </w:r>
    </w:p>
    <w:p>
      <w:pPr>
        <w:spacing w:line="247" w:lineRule="auto" w:before="3"/>
        <w:ind w:left="823" w:right="289" w:hanging="721"/>
        <w:jc w:val="left"/>
        <w:rPr>
          <w:sz w:val="21"/>
        </w:rPr>
      </w:pPr>
      <w:r>
        <w:rPr>
          <w:color w:val="231F20"/>
          <w:w w:val="90"/>
          <w:sz w:val="21"/>
        </w:rPr>
        <w:t>Marx, Karl. (1968). </w:t>
      </w:r>
      <w:r>
        <w:rPr>
          <w:i/>
          <w:color w:val="231F20"/>
          <w:w w:val="90"/>
          <w:sz w:val="21"/>
        </w:rPr>
        <w:t>Manuscritos económico-filosóficos de 1884. </w:t>
      </w:r>
      <w:r>
        <w:rPr>
          <w:color w:val="231F20"/>
          <w:w w:val="90"/>
          <w:sz w:val="21"/>
        </w:rPr>
        <w:t>México: </w:t>
      </w:r>
      <w:r>
        <w:rPr>
          <w:color w:val="231F20"/>
          <w:w w:val="95"/>
          <w:sz w:val="21"/>
        </w:rPr>
        <w:t>Grijalbo.</w:t>
      </w:r>
    </w:p>
    <w:p>
      <w:pPr>
        <w:spacing w:line="247" w:lineRule="auto" w:before="0"/>
        <w:ind w:left="823" w:right="50" w:hanging="720"/>
        <w:jc w:val="left"/>
        <w:rPr>
          <w:sz w:val="21"/>
        </w:rPr>
      </w:pPr>
      <w:r>
        <w:rPr>
          <w:color w:val="231F20"/>
          <w:w w:val="95"/>
          <w:sz w:val="21"/>
        </w:rPr>
        <w:t>Marx, Karl y Engels, Friedrich. (1985). </w:t>
      </w:r>
      <w:r>
        <w:rPr>
          <w:i/>
          <w:color w:val="231F20"/>
          <w:w w:val="95"/>
          <w:sz w:val="21"/>
        </w:rPr>
        <w:t>La ideología alemana. </w:t>
      </w:r>
      <w:r>
        <w:rPr>
          <w:color w:val="231F20"/>
          <w:w w:val="95"/>
          <w:sz w:val="21"/>
        </w:rPr>
        <w:t>México: </w:t>
      </w:r>
      <w:r>
        <w:rPr>
          <w:color w:val="231F20"/>
          <w:sz w:val="21"/>
        </w:rPr>
        <w:t>Ediciones de Cultura Popular.</w:t>
      </w:r>
    </w:p>
    <w:p>
      <w:pPr>
        <w:spacing w:after="0" w:line="247" w:lineRule="auto"/>
        <w:jc w:val="left"/>
        <w:rPr>
          <w:sz w:val="21"/>
        </w:rPr>
        <w:sectPr>
          <w:headerReference w:type="default" r:id="rId232"/>
          <w:footerReference w:type="default" r:id="rId233"/>
          <w:pgSz w:w="7830" w:h="11910"/>
          <w:pgMar w:header="0" w:footer="424" w:top="500" w:bottom="620" w:left="920" w:right="940"/>
          <w:pgNumType w:start="107"/>
        </w:sectPr>
      </w:pPr>
    </w:p>
    <w:p>
      <w:pPr>
        <w:spacing w:before="46"/>
        <w:ind w:left="59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spacing w:line="247" w:lineRule="auto" w:before="0"/>
        <w:ind w:left="822" w:right="94" w:hanging="720"/>
        <w:jc w:val="left"/>
        <w:rPr>
          <w:sz w:val="21"/>
        </w:rPr>
      </w:pPr>
      <w:r>
        <w:rPr>
          <w:color w:val="231F20"/>
          <w:sz w:val="21"/>
        </w:rPr>
        <w:t>Marx, Karl. (1994). La ideología en general y la ideología alemana en</w:t>
      </w:r>
      <w:r>
        <w:rPr>
          <w:color w:val="231F20"/>
          <w:spacing w:val="-14"/>
          <w:sz w:val="21"/>
        </w:rPr>
        <w:t> </w:t>
      </w:r>
      <w:r>
        <w:rPr>
          <w:color w:val="231F20"/>
          <w:sz w:val="21"/>
        </w:rPr>
        <w:t>particular.</w:t>
      </w:r>
      <w:r>
        <w:rPr>
          <w:color w:val="231F20"/>
          <w:spacing w:val="-14"/>
          <w:sz w:val="21"/>
        </w:rPr>
        <w:t> </w:t>
      </w:r>
      <w:r>
        <w:rPr>
          <w:color w:val="231F20"/>
          <w:sz w:val="21"/>
        </w:rPr>
        <w:t>En</w:t>
      </w:r>
      <w:r>
        <w:rPr>
          <w:color w:val="231F20"/>
          <w:spacing w:val="-14"/>
          <w:sz w:val="21"/>
        </w:rPr>
        <w:t> </w:t>
      </w:r>
      <w:r>
        <w:rPr>
          <w:color w:val="231F20"/>
          <w:sz w:val="21"/>
        </w:rPr>
        <w:t>Karl</w:t>
      </w:r>
      <w:r>
        <w:rPr>
          <w:color w:val="231F20"/>
          <w:spacing w:val="-21"/>
          <w:sz w:val="21"/>
        </w:rPr>
        <w:t> </w:t>
      </w:r>
      <w:r>
        <w:rPr>
          <w:color w:val="231F20"/>
          <w:sz w:val="21"/>
        </w:rPr>
        <w:t>Marx</w:t>
      </w:r>
      <w:r>
        <w:rPr>
          <w:color w:val="231F20"/>
          <w:spacing w:val="-14"/>
          <w:sz w:val="21"/>
        </w:rPr>
        <w:t> </w:t>
      </w:r>
      <w:r>
        <w:rPr>
          <w:color w:val="231F20"/>
          <w:sz w:val="21"/>
        </w:rPr>
        <w:t>y</w:t>
      </w:r>
      <w:r>
        <w:rPr>
          <w:color w:val="231F20"/>
          <w:spacing w:val="-21"/>
          <w:sz w:val="21"/>
        </w:rPr>
        <w:t> </w:t>
      </w:r>
      <w:r>
        <w:rPr>
          <w:color w:val="231F20"/>
          <w:sz w:val="21"/>
        </w:rPr>
        <w:t>Friedrich</w:t>
      </w:r>
      <w:r>
        <w:rPr>
          <w:color w:val="231F20"/>
          <w:spacing w:val="-14"/>
          <w:sz w:val="21"/>
        </w:rPr>
        <w:t> </w:t>
      </w:r>
      <w:r>
        <w:rPr>
          <w:color w:val="231F20"/>
          <w:sz w:val="21"/>
        </w:rPr>
        <w:t>Engels.</w:t>
      </w:r>
      <w:r>
        <w:rPr>
          <w:color w:val="231F20"/>
          <w:spacing w:val="-14"/>
          <w:sz w:val="21"/>
        </w:rPr>
        <w:t> </w:t>
      </w:r>
      <w:r>
        <w:rPr>
          <w:i/>
          <w:color w:val="231F20"/>
          <w:sz w:val="21"/>
        </w:rPr>
        <w:t>La</w:t>
      </w:r>
      <w:r>
        <w:rPr>
          <w:i/>
          <w:color w:val="231F20"/>
          <w:spacing w:val="-14"/>
          <w:sz w:val="21"/>
        </w:rPr>
        <w:t> </w:t>
      </w:r>
      <w:r>
        <w:rPr>
          <w:i/>
          <w:color w:val="231F20"/>
          <w:sz w:val="21"/>
        </w:rPr>
        <w:t>ideología </w:t>
      </w:r>
      <w:r>
        <w:rPr>
          <w:i/>
          <w:color w:val="231F20"/>
          <w:w w:val="85"/>
          <w:sz w:val="21"/>
        </w:rPr>
        <w:t>alemana.</w:t>
      </w:r>
      <w:r>
        <w:rPr>
          <w:i/>
          <w:color w:val="231F20"/>
          <w:spacing w:val="-16"/>
          <w:w w:val="85"/>
          <w:sz w:val="21"/>
        </w:rPr>
        <w:t> </w:t>
      </w:r>
      <w:r>
        <w:rPr>
          <w:i/>
          <w:color w:val="231F20"/>
          <w:w w:val="85"/>
          <w:sz w:val="21"/>
        </w:rPr>
        <w:t>Feuerbach.</w:t>
      </w:r>
      <w:r>
        <w:rPr>
          <w:i/>
          <w:color w:val="231F20"/>
          <w:spacing w:val="-16"/>
          <w:w w:val="85"/>
          <w:sz w:val="21"/>
        </w:rPr>
        <w:t> </w:t>
      </w:r>
      <w:r>
        <w:rPr>
          <w:i/>
          <w:color w:val="231F20"/>
          <w:w w:val="85"/>
          <w:sz w:val="21"/>
        </w:rPr>
        <w:t>Contraposición</w:t>
      </w:r>
      <w:r>
        <w:rPr>
          <w:i/>
          <w:color w:val="231F20"/>
          <w:spacing w:val="-16"/>
          <w:w w:val="85"/>
          <w:sz w:val="21"/>
        </w:rPr>
        <w:t> </w:t>
      </w:r>
      <w:r>
        <w:rPr>
          <w:i/>
          <w:color w:val="231F20"/>
          <w:w w:val="85"/>
          <w:sz w:val="21"/>
        </w:rPr>
        <w:t>entre</w:t>
      </w:r>
      <w:r>
        <w:rPr>
          <w:i/>
          <w:color w:val="231F20"/>
          <w:spacing w:val="-16"/>
          <w:w w:val="85"/>
          <w:sz w:val="21"/>
        </w:rPr>
        <w:t> </w:t>
      </w:r>
      <w:r>
        <w:rPr>
          <w:i/>
          <w:color w:val="231F20"/>
          <w:w w:val="85"/>
          <w:sz w:val="21"/>
        </w:rPr>
        <w:t>la</w:t>
      </w:r>
      <w:r>
        <w:rPr>
          <w:i/>
          <w:color w:val="231F20"/>
          <w:spacing w:val="-16"/>
          <w:w w:val="85"/>
          <w:sz w:val="21"/>
        </w:rPr>
        <w:t> </w:t>
      </w:r>
      <w:r>
        <w:rPr>
          <w:i/>
          <w:color w:val="231F20"/>
          <w:w w:val="85"/>
          <w:sz w:val="21"/>
        </w:rPr>
        <w:t>concepción</w:t>
      </w:r>
      <w:r>
        <w:rPr>
          <w:i/>
          <w:color w:val="231F20"/>
          <w:spacing w:val="-16"/>
          <w:w w:val="85"/>
          <w:sz w:val="21"/>
        </w:rPr>
        <w:t> </w:t>
      </w:r>
      <w:r>
        <w:rPr>
          <w:i/>
          <w:color w:val="231F20"/>
          <w:w w:val="85"/>
          <w:sz w:val="21"/>
        </w:rPr>
        <w:t>materialista</w:t>
      </w:r>
      <w:r>
        <w:rPr>
          <w:i/>
          <w:color w:val="231F20"/>
          <w:spacing w:val="-16"/>
          <w:w w:val="85"/>
          <w:sz w:val="21"/>
        </w:rPr>
        <w:t> </w:t>
      </w:r>
      <w:r>
        <w:rPr>
          <w:i/>
          <w:color w:val="231F20"/>
          <w:w w:val="85"/>
          <w:sz w:val="21"/>
        </w:rPr>
        <w:t>y </w:t>
      </w:r>
      <w:r>
        <w:rPr>
          <w:i/>
          <w:color w:val="231F20"/>
          <w:w w:val="95"/>
          <w:sz w:val="21"/>
        </w:rPr>
        <w:t>la idealista. </w:t>
      </w:r>
      <w:r>
        <w:rPr>
          <w:color w:val="231F20"/>
          <w:w w:val="95"/>
          <w:sz w:val="21"/>
        </w:rPr>
        <w:t>Valencia: Universidad de</w:t>
      </w:r>
      <w:r>
        <w:rPr>
          <w:color w:val="231F20"/>
          <w:spacing w:val="-21"/>
          <w:w w:val="95"/>
          <w:sz w:val="21"/>
        </w:rPr>
        <w:t> </w:t>
      </w:r>
      <w:r>
        <w:rPr>
          <w:color w:val="231F20"/>
          <w:w w:val="95"/>
          <w:sz w:val="21"/>
        </w:rPr>
        <w:t>Valencia.</w:t>
      </w:r>
    </w:p>
    <w:p>
      <w:pPr>
        <w:spacing w:line="247" w:lineRule="auto" w:before="0"/>
        <w:ind w:left="822" w:right="0" w:hanging="721"/>
        <w:jc w:val="left"/>
        <w:rPr>
          <w:sz w:val="21"/>
        </w:rPr>
      </w:pPr>
      <w:r>
        <w:rPr>
          <w:color w:val="231F20"/>
          <w:w w:val="90"/>
          <w:sz w:val="21"/>
        </w:rPr>
        <w:t>Marx, Karl. (2001). </w:t>
      </w:r>
      <w:r>
        <w:rPr>
          <w:i/>
          <w:color w:val="231F20"/>
          <w:w w:val="90"/>
          <w:sz w:val="21"/>
        </w:rPr>
        <w:t>Libro I, capítulo VI, inédito: resultados del proceso </w:t>
      </w:r>
      <w:r>
        <w:rPr>
          <w:i/>
          <w:color w:val="231F20"/>
          <w:w w:val="90"/>
          <w:sz w:val="21"/>
        </w:rPr>
        <w:t>inmediato de producción. </w:t>
      </w:r>
      <w:r>
        <w:rPr>
          <w:color w:val="231F20"/>
          <w:w w:val="90"/>
          <w:sz w:val="21"/>
        </w:rPr>
        <w:t>México: Siglo XXI.</w:t>
      </w:r>
    </w:p>
    <w:p>
      <w:pPr>
        <w:spacing w:line="242" w:lineRule="auto" w:before="1"/>
        <w:ind w:left="822" w:right="0" w:hanging="720"/>
        <w:jc w:val="left"/>
        <w:rPr>
          <w:sz w:val="21"/>
        </w:rPr>
      </w:pPr>
      <w:r>
        <w:rPr>
          <w:color w:val="231F20"/>
          <w:w w:val="96"/>
          <w:sz w:val="21"/>
        </w:rPr>
        <w:t>M</w:t>
      </w:r>
      <w:r>
        <w:rPr>
          <w:color w:val="231F20"/>
          <w:w w:val="100"/>
          <w:sz w:val="21"/>
        </w:rPr>
        <w:t>u</w:t>
      </w:r>
      <w:r>
        <w:rPr>
          <w:color w:val="231F20"/>
          <w:w w:val="99"/>
          <w:sz w:val="21"/>
        </w:rPr>
        <w:t>z</w:t>
      </w:r>
      <w:r>
        <w:rPr>
          <w:color w:val="231F20"/>
          <w:w w:val="94"/>
          <w:sz w:val="21"/>
        </w:rPr>
        <w:t>a</w:t>
      </w:r>
      <w:r>
        <w:rPr>
          <w:color w:val="231F20"/>
          <w:w w:val="96"/>
          <w:sz w:val="21"/>
        </w:rPr>
        <w:t>s</w:t>
      </w:r>
      <w:r>
        <w:rPr>
          <w:color w:val="231F20"/>
          <w:sz w:val="21"/>
        </w:rPr>
        <w:t> </w:t>
      </w:r>
      <w:r>
        <w:rPr>
          <w:color w:val="231F20"/>
          <w:w w:val="96"/>
          <w:sz w:val="21"/>
        </w:rPr>
        <w:t>R</w:t>
      </w:r>
      <w:r>
        <w:rPr>
          <w:color w:val="231F20"/>
          <w:w w:val="100"/>
          <w:sz w:val="21"/>
        </w:rPr>
        <w:t>u</w:t>
      </w:r>
      <w:r>
        <w:rPr>
          <w:color w:val="231F20"/>
          <w:w w:val="104"/>
          <w:sz w:val="21"/>
        </w:rPr>
        <w:t>b</w:t>
      </w:r>
      <w:r>
        <w:rPr>
          <w:color w:val="231F20"/>
          <w:w w:val="97"/>
          <w:sz w:val="21"/>
        </w:rPr>
        <w:t>io</w:t>
      </w:r>
      <w:r>
        <w:rPr>
          <w:color w:val="231F20"/>
          <w:w w:val="89"/>
          <w:sz w:val="21"/>
        </w:rPr>
        <w:t>,</w:t>
      </w:r>
      <w:r>
        <w:rPr>
          <w:color w:val="231F20"/>
          <w:sz w:val="21"/>
        </w:rPr>
        <w:t> </w:t>
      </w:r>
      <w:r>
        <w:rPr>
          <w:color w:val="231F20"/>
          <w:w w:val="110"/>
          <w:sz w:val="21"/>
        </w:rPr>
        <w:t>E</w:t>
      </w:r>
      <w:r>
        <w:rPr>
          <w:color w:val="231F20"/>
          <w:w w:val="96"/>
          <w:sz w:val="21"/>
        </w:rPr>
        <w:t>s</w:t>
      </w:r>
      <w:r>
        <w:rPr>
          <w:color w:val="231F20"/>
          <w:w w:val="107"/>
          <w:sz w:val="21"/>
        </w:rPr>
        <w:t>t</w:t>
      </w:r>
      <w:r>
        <w:rPr>
          <w:color w:val="231F20"/>
          <w:w w:val="97"/>
          <w:sz w:val="21"/>
        </w:rPr>
        <w:t>íb</w:t>
      </w:r>
      <w:r>
        <w:rPr>
          <w:color w:val="231F20"/>
          <w:w w:val="94"/>
          <w:sz w:val="21"/>
        </w:rPr>
        <w:t>a</w:t>
      </w:r>
      <w:r>
        <w:rPr>
          <w:color w:val="231F20"/>
          <w:w w:val="91"/>
          <w:sz w:val="21"/>
        </w:rPr>
        <w:t>liz</w:t>
      </w:r>
      <w:r>
        <w:rPr>
          <w:color w:val="231F20"/>
          <w:w w:val="89"/>
          <w:sz w:val="21"/>
        </w:rPr>
        <w:t>.</w:t>
      </w:r>
      <w:r>
        <w:rPr>
          <w:color w:val="231F20"/>
          <w:sz w:val="21"/>
        </w:rPr>
        <w:t> </w:t>
      </w:r>
      <w:r>
        <w:rPr>
          <w:color w:val="231F20"/>
          <w:w w:val="90"/>
          <w:sz w:val="21"/>
        </w:rPr>
        <w:t>(</w:t>
      </w:r>
      <w:r>
        <w:rPr>
          <w:color w:val="231F20"/>
          <w:w w:val="95"/>
          <w:sz w:val="21"/>
        </w:rPr>
        <w:t>2007)</w:t>
      </w:r>
      <w:r>
        <w:rPr>
          <w:color w:val="231F20"/>
          <w:w w:val="89"/>
          <w:sz w:val="21"/>
        </w:rPr>
        <w:t>.</w:t>
      </w:r>
      <w:r>
        <w:rPr>
          <w:color w:val="231F20"/>
          <w:sz w:val="21"/>
        </w:rPr>
        <w:t> </w:t>
      </w:r>
      <w:r>
        <w:rPr>
          <w:i/>
          <w:color w:val="231F20"/>
          <w:w w:val="128"/>
          <w:sz w:val="21"/>
        </w:rPr>
        <w:t>A</w:t>
      </w:r>
      <w:r>
        <w:rPr>
          <w:i/>
          <w:color w:val="231F20"/>
          <w:w w:val="62"/>
          <w:sz w:val="21"/>
        </w:rPr>
        <w:t>c</w:t>
      </w:r>
      <w:r>
        <w:rPr>
          <w:i/>
          <w:color w:val="231F20"/>
          <w:w w:val="74"/>
          <w:sz w:val="21"/>
        </w:rPr>
        <w:t>os</w:t>
      </w:r>
      <w:r>
        <w:rPr>
          <w:i/>
          <w:color w:val="231F20"/>
          <w:w w:val="72"/>
          <w:sz w:val="21"/>
        </w:rPr>
        <w:t>o</w:t>
      </w:r>
      <w:r>
        <w:rPr>
          <w:i/>
          <w:color w:val="231F20"/>
          <w:sz w:val="21"/>
        </w:rPr>
        <w:t> </w:t>
      </w:r>
      <w:r>
        <w:rPr>
          <w:i/>
          <w:color w:val="231F20"/>
          <w:w w:val="67"/>
          <w:sz w:val="21"/>
        </w:rPr>
        <w:t>e</w:t>
      </w:r>
      <w:r>
        <w:rPr>
          <w:i/>
          <w:color w:val="231F20"/>
          <w:w w:val="77"/>
          <w:sz w:val="21"/>
        </w:rPr>
        <w:t>s</w:t>
      </w:r>
      <w:r>
        <w:rPr>
          <w:i/>
          <w:color w:val="231F20"/>
          <w:w w:val="62"/>
          <w:sz w:val="21"/>
        </w:rPr>
        <w:t>c</w:t>
      </w:r>
      <w:r>
        <w:rPr>
          <w:i/>
          <w:color w:val="231F20"/>
          <w:w w:val="75"/>
          <w:sz w:val="21"/>
        </w:rPr>
        <w:t>ol</w:t>
      </w:r>
      <w:r>
        <w:rPr>
          <w:i/>
          <w:color w:val="231F20"/>
          <w:w w:val="83"/>
          <w:sz w:val="21"/>
        </w:rPr>
        <w:t>a</w:t>
      </w:r>
      <w:r>
        <w:rPr>
          <w:i/>
          <w:color w:val="231F20"/>
          <w:w w:val="79"/>
          <w:sz w:val="21"/>
        </w:rPr>
        <w:t>r</w:t>
      </w:r>
      <w:r>
        <w:rPr>
          <w:i/>
          <w:color w:val="231F20"/>
          <w:w w:val="67"/>
          <w:sz w:val="21"/>
        </w:rPr>
        <w:t>:</w:t>
      </w:r>
      <w:r>
        <w:rPr>
          <w:i/>
          <w:color w:val="231F20"/>
          <w:sz w:val="21"/>
        </w:rPr>
        <w:t> </w:t>
      </w:r>
      <w:r>
        <w:rPr>
          <w:i/>
          <w:color w:val="231F20"/>
          <w:w w:val="83"/>
          <w:sz w:val="21"/>
        </w:rPr>
        <w:t>d</w:t>
      </w:r>
      <w:r>
        <w:rPr>
          <w:i/>
          <w:color w:val="231F20"/>
          <w:w w:val="67"/>
          <w:sz w:val="21"/>
        </w:rPr>
        <w:t>e</w:t>
      </w:r>
      <w:r>
        <w:rPr>
          <w:i/>
          <w:color w:val="231F20"/>
          <w:w w:val="77"/>
          <w:sz w:val="21"/>
        </w:rPr>
        <w:t>s</w:t>
      </w:r>
      <w:r>
        <w:rPr>
          <w:i/>
          <w:color w:val="231F20"/>
          <w:w w:val="83"/>
          <w:sz w:val="21"/>
        </w:rPr>
        <w:t>a</w:t>
      </w:r>
      <w:r>
        <w:rPr>
          <w:i/>
          <w:color w:val="231F20"/>
          <w:w w:val="79"/>
          <w:sz w:val="21"/>
        </w:rPr>
        <w:t>rr</w:t>
      </w:r>
      <w:r>
        <w:rPr>
          <w:i/>
          <w:color w:val="231F20"/>
          <w:w w:val="75"/>
          <w:sz w:val="21"/>
        </w:rPr>
        <w:t>ol</w:t>
      </w:r>
      <w:r>
        <w:rPr>
          <w:i/>
          <w:color w:val="231F20"/>
          <w:w w:val="80"/>
          <w:sz w:val="21"/>
        </w:rPr>
        <w:t>l</w:t>
      </w:r>
      <w:r>
        <w:rPr>
          <w:i/>
          <w:color w:val="231F20"/>
          <w:w w:val="78"/>
          <w:sz w:val="21"/>
        </w:rPr>
        <w:t>o,</w:t>
      </w:r>
      <w:r>
        <w:rPr>
          <w:i/>
          <w:color w:val="231F20"/>
          <w:sz w:val="21"/>
        </w:rPr>
        <w:t> </w:t>
      </w:r>
      <w:r>
        <w:rPr>
          <w:i/>
          <w:color w:val="231F20"/>
          <w:w w:val="83"/>
          <w:sz w:val="21"/>
        </w:rPr>
        <w:t>p</w:t>
      </w:r>
      <w:r>
        <w:rPr>
          <w:i/>
          <w:color w:val="231F20"/>
          <w:w w:val="79"/>
          <w:sz w:val="21"/>
        </w:rPr>
        <w:t>r</w:t>
      </w:r>
      <w:r>
        <w:rPr>
          <w:i/>
          <w:color w:val="231F20"/>
          <w:w w:val="67"/>
          <w:sz w:val="21"/>
        </w:rPr>
        <w:t>e</w:t>
      </w:r>
      <w:r>
        <w:rPr>
          <w:i/>
          <w:color w:val="231F20"/>
          <w:w w:val="73"/>
          <w:sz w:val="21"/>
        </w:rPr>
        <w:t>ve</w:t>
      </w:r>
      <w:r>
        <w:rPr>
          <w:i/>
          <w:color w:val="231F20"/>
          <w:w w:val="87"/>
          <w:sz w:val="21"/>
        </w:rPr>
        <w:t>n</w:t>
      </w:r>
      <w:r>
        <w:rPr>
          <w:i/>
          <w:color w:val="231F20"/>
          <w:w w:val="62"/>
          <w:sz w:val="21"/>
        </w:rPr>
        <w:t>c</w:t>
      </w:r>
      <w:r>
        <w:rPr>
          <w:i/>
          <w:color w:val="231F20"/>
          <w:w w:val="84"/>
          <w:sz w:val="21"/>
        </w:rPr>
        <w:t>i</w:t>
      </w:r>
      <w:r>
        <w:rPr>
          <w:i/>
          <w:color w:val="231F20"/>
          <w:w w:val="80"/>
          <w:sz w:val="21"/>
        </w:rPr>
        <w:t>ón</w:t>
      </w:r>
      <w:r>
        <w:rPr>
          <w:i/>
          <w:color w:val="231F20"/>
          <w:sz w:val="21"/>
        </w:rPr>
        <w:t> </w:t>
      </w:r>
      <w:r>
        <w:rPr>
          <w:i/>
          <w:color w:val="231F20"/>
          <w:w w:val="77"/>
          <w:sz w:val="21"/>
        </w:rPr>
        <w:t>y</w:t>
      </w:r>
      <w:r>
        <w:rPr>
          <w:i/>
          <w:color w:val="231F20"/>
          <w:w w:val="77"/>
          <w:sz w:val="21"/>
        </w:rPr>
        <w:t> </w:t>
      </w:r>
      <w:r>
        <w:rPr>
          <w:i/>
          <w:color w:val="231F20"/>
          <w:w w:val="95"/>
          <w:sz w:val="21"/>
        </w:rPr>
        <w:t>herramientas de trabajo. </w:t>
      </w:r>
      <w:r>
        <w:rPr>
          <w:color w:val="231F20"/>
          <w:w w:val="95"/>
          <w:sz w:val="21"/>
        </w:rPr>
        <w:t>Madrid</w:t>
      </w:r>
      <w:r>
        <w:rPr>
          <w:i/>
          <w:color w:val="231F20"/>
          <w:w w:val="95"/>
          <w:sz w:val="21"/>
        </w:rPr>
        <w:t>: </w:t>
      </w:r>
      <w:r>
        <w:rPr>
          <w:color w:val="231F20"/>
          <w:w w:val="95"/>
          <w:sz w:val="21"/>
        </w:rPr>
        <w:t>Narca Ediciones.</w:t>
      </w:r>
    </w:p>
    <w:p>
      <w:pPr>
        <w:spacing w:before="6"/>
        <w:ind w:left="102" w:right="0" w:firstLine="0"/>
        <w:jc w:val="left"/>
        <w:rPr>
          <w:i/>
          <w:sz w:val="21"/>
        </w:rPr>
      </w:pPr>
      <w:r>
        <w:rPr>
          <w:color w:val="231F20"/>
          <w:w w:val="90"/>
          <w:sz w:val="21"/>
        </w:rPr>
        <w:t>Olweus, Dan. (1998). </w:t>
      </w:r>
      <w:r>
        <w:rPr>
          <w:i/>
          <w:color w:val="231F20"/>
          <w:w w:val="90"/>
          <w:sz w:val="21"/>
        </w:rPr>
        <w:t>Conductas de acoso y amenaza entre escolares.</w:t>
      </w:r>
    </w:p>
    <w:p>
      <w:pPr>
        <w:pStyle w:val="BodyText"/>
        <w:spacing w:before="3"/>
        <w:ind w:left="822" w:right="774"/>
      </w:pPr>
      <w:r>
        <w:rPr>
          <w:color w:val="231F20"/>
        </w:rPr>
        <w:t>Madrid: Morata.</w:t>
      </w:r>
    </w:p>
    <w:p>
      <w:pPr>
        <w:spacing w:line="242" w:lineRule="auto" w:before="8"/>
        <w:ind w:left="822" w:right="94" w:hanging="720"/>
        <w:jc w:val="left"/>
        <w:rPr>
          <w:sz w:val="21"/>
        </w:rPr>
      </w:pPr>
      <w:r>
        <w:rPr>
          <w:color w:val="231F20"/>
          <w:sz w:val="21"/>
        </w:rPr>
        <w:t>Ortega-Ruiz, Rosario y del Rey-Alamillo, Rosario. (2003). </w:t>
      </w:r>
      <w:r>
        <w:rPr>
          <w:i/>
          <w:color w:val="231F20"/>
          <w:sz w:val="21"/>
        </w:rPr>
        <w:t>La </w:t>
      </w:r>
      <w:r>
        <w:rPr>
          <w:i/>
          <w:color w:val="231F20"/>
          <w:w w:val="85"/>
          <w:sz w:val="21"/>
        </w:rPr>
        <w:t>violencia escolar: estrategias de prevención. </w:t>
      </w:r>
      <w:r>
        <w:rPr>
          <w:color w:val="231F20"/>
          <w:w w:val="85"/>
          <w:sz w:val="21"/>
        </w:rPr>
        <w:t>Barcelona: Grao.</w:t>
      </w:r>
    </w:p>
    <w:p>
      <w:pPr>
        <w:spacing w:line="247" w:lineRule="auto" w:before="6"/>
        <w:ind w:left="822" w:right="214" w:hanging="720"/>
        <w:jc w:val="left"/>
        <w:rPr>
          <w:sz w:val="21"/>
        </w:rPr>
      </w:pPr>
      <w:r>
        <w:rPr>
          <w:color w:val="231F20"/>
          <w:sz w:val="21"/>
        </w:rPr>
        <w:t>Ortega-Soto, Martha, Castañeda Reyes, José Carlos y Lazarín Mi- randa, Federico. (2004). </w:t>
      </w:r>
      <w:r>
        <w:rPr>
          <w:i/>
          <w:color w:val="231F20"/>
          <w:sz w:val="21"/>
        </w:rPr>
        <w:t>Violencia: estado y sociedad: una </w:t>
      </w:r>
      <w:r>
        <w:rPr>
          <w:i/>
          <w:color w:val="231F20"/>
          <w:w w:val="95"/>
          <w:sz w:val="21"/>
        </w:rPr>
        <w:t>perspectiva histórica. </w:t>
      </w:r>
      <w:r>
        <w:rPr>
          <w:color w:val="231F20"/>
          <w:w w:val="95"/>
          <w:sz w:val="21"/>
        </w:rPr>
        <w:t>México: H. Cámara de Diputados, LIX </w:t>
      </w:r>
      <w:r>
        <w:rPr>
          <w:color w:val="231F20"/>
          <w:sz w:val="21"/>
        </w:rPr>
        <w:t>Legislatura.</w:t>
      </w:r>
    </w:p>
    <w:p>
      <w:pPr>
        <w:spacing w:line="247" w:lineRule="auto" w:before="0"/>
        <w:ind w:left="822" w:right="480" w:hanging="720"/>
        <w:jc w:val="left"/>
        <w:rPr>
          <w:sz w:val="21"/>
        </w:rPr>
      </w:pPr>
      <w:r>
        <w:rPr>
          <w:color w:val="231F20"/>
          <w:w w:val="95"/>
          <w:sz w:val="21"/>
        </w:rPr>
        <w:t>Pross,</w:t>
      </w:r>
      <w:r>
        <w:rPr>
          <w:color w:val="231F20"/>
          <w:spacing w:val="-30"/>
          <w:w w:val="95"/>
          <w:sz w:val="21"/>
        </w:rPr>
        <w:t> </w:t>
      </w:r>
      <w:r>
        <w:rPr>
          <w:color w:val="231F20"/>
          <w:w w:val="95"/>
          <w:sz w:val="21"/>
        </w:rPr>
        <w:t>Harry.</w:t>
      </w:r>
      <w:r>
        <w:rPr>
          <w:color w:val="231F20"/>
          <w:spacing w:val="-30"/>
          <w:w w:val="95"/>
          <w:sz w:val="21"/>
        </w:rPr>
        <w:t> </w:t>
      </w:r>
      <w:r>
        <w:rPr>
          <w:color w:val="231F20"/>
          <w:w w:val="95"/>
          <w:sz w:val="21"/>
        </w:rPr>
        <w:t>(1989).</w:t>
      </w:r>
      <w:r>
        <w:rPr>
          <w:color w:val="231F20"/>
          <w:spacing w:val="-30"/>
          <w:w w:val="95"/>
          <w:sz w:val="21"/>
        </w:rPr>
        <w:t> </w:t>
      </w:r>
      <w:r>
        <w:rPr>
          <w:i/>
          <w:color w:val="231F20"/>
          <w:w w:val="95"/>
          <w:sz w:val="21"/>
        </w:rPr>
        <w:t>La</w:t>
      </w:r>
      <w:r>
        <w:rPr>
          <w:i/>
          <w:color w:val="231F20"/>
          <w:spacing w:val="-30"/>
          <w:w w:val="95"/>
          <w:sz w:val="21"/>
        </w:rPr>
        <w:t> </w:t>
      </w:r>
      <w:r>
        <w:rPr>
          <w:i/>
          <w:color w:val="231F20"/>
          <w:w w:val="95"/>
          <w:sz w:val="21"/>
        </w:rPr>
        <w:t>violencia</w:t>
      </w:r>
      <w:r>
        <w:rPr>
          <w:i/>
          <w:color w:val="231F20"/>
          <w:spacing w:val="-30"/>
          <w:w w:val="95"/>
          <w:sz w:val="21"/>
        </w:rPr>
        <w:t> </w:t>
      </w:r>
      <w:r>
        <w:rPr>
          <w:i/>
          <w:color w:val="231F20"/>
          <w:w w:val="95"/>
          <w:sz w:val="21"/>
        </w:rPr>
        <w:t>de</w:t>
      </w:r>
      <w:r>
        <w:rPr>
          <w:i/>
          <w:color w:val="231F20"/>
          <w:spacing w:val="-30"/>
          <w:w w:val="95"/>
          <w:sz w:val="21"/>
        </w:rPr>
        <w:t> </w:t>
      </w:r>
      <w:r>
        <w:rPr>
          <w:i/>
          <w:color w:val="231F20"/>
          <w:w w:val="95"/>
          <w:sz w:val="21"/>
        </w:rPr>
        <w:t>los</w:t>
      </w:r>
      <w:r>
        <w:rPr>
          <w:i/>
          <w:color w:val="231F20"/>
          <w:spacing w:val="-30"/>
          <w:w w:val="95"/>
          <w:sz w:val="21"/>
        </w:rPr>
        <w:t> </w:t>
      </w:r>
      <w:r>
        <w:rPr>
          <w:i/>
          <w:color w:val="231F20"/>
          <w:w w:val="95"/>
          <w:sz w:val="21"/>
        </w:rPr>
        <w:t>símbolos</w:t>
      </w:r>
      <w:r>
        <w:rPr>
          <w:i/>
          <w:color w:val="231F20"/>
          <w:spacing w:val="-30"/>
          <w:w w:val="95"/>
          <w:sz w:val="21"/>
        </w:rPr>
        <w:t> </w:t>
      </w:r>
      <w:r>
        <w:rPr>
          <w:i/>
          <w:color w:val="231F20"/>
          <w:w w:val="95"/>
          <w:sz w:val="21"/>
        </w:rPr>
        <w:t>sociales.</w:t>
      </w:r>
      <w:r>
        <w:rPr>
          <w:i/>
          <w:color w:val="231F20"/>
          <w:spacing w:val="-30"/>
          <w:w w:val="95"/>
          <w:sz w:val="21"/>
        </w:rPr>
        <w:t> </w:t>
      </w:r>
      <w:r>
        <w:rPr>
          <w:color w:val="231F20"/>
          <w:w w:val="95"/>
          <w:sz w:val="21"/>
        </w:rPr>
        <w:t>Barcelona: </w:t>
      </w:r>
      <w:r>
        <w:rPr>
          <w:color w:val="231F20"/>
          <w:sz w:val="21"/>
        </w:rPr>
        <w:t>Anthropos</w:t>
      </w:r>
      <w:r>
        <w:rPr>
          <w:color w:val="231F20"/>
          <w:spacing w:val="41"/>
          <w:sz w:val="21"/>
        </w:rPr>
        <w:t> </w:t>
      </w:r>
      <w:r>
        <w:rPr>
          <w:color w:val="231F20"/>
          <w:sz w:val="21"/>
        </w:rPr>
        <w:t>Editorial.</w:t>
      </w:r>
    </w:p>
    <w:p>
      <w:pPr>
        <w:spacing w:line="244" w:lineRule="auto" w:before="0"/>
        <w:ind w:left="822" w:right="94" w:hanging="721"/>
        <w:jc w:val="left"/>
        <w:rPr>
          <w:sz w:val="21"/>
        </w:rPr>
      </w:pPr>
      <w:r>
        <w:rPr>
          <w:color w:val="231F20"/>
          <w:w w:val="95"/>
          <w:sz w:val="21"/>
        </w:rPr>
        <w:t>Ramírez</w:t>
      </w:r>
      <w:r>
        <w:rPr>
          <w:color w:val="231F20"/>
          <w:spacing w:val="-17"/>
          <w:w w:val="95"/>
          <w:sz w:val="21"/>
        </w:rPr>
        <w:t> </w:t>
      </w:r>
      <w:r>
        <w:rPr>
          <w:color w:val="231F20"/>
          <w:w w:val="95"/>
          <w:sz w:val="21"/>
        </w:rPr>
        <w:t>Martínez,</w:t>
      </w:r>
      <w:r>
        <w:rPr>
          <w:color w:val="231F20"/>
          <w:spacing w:val="-18"/>
          <w:w w:val="95"/>
          <w:sz w:val="21"/>
        </w:rPr>
        <w:t> </w:t>
      </w:r>
      <w:r>
        <w:rPr>
          <w:color w:val="231F20"/>
          <w:w w:val="95"/>
          <w:sz w:val="21"/>
        </w:rPr>
        <w:t>Rosa</w:t>
      </w:r>
      <w:r>
        <w:rPr>
          <w:color w:val="231F20"/>
          <w:spacing w:val="-17"/>
          <w:w w:val="95"/>
          <w:sz w:val="21"/>
        </w:rPr>
        <w:t> </w:t>
      </w:r>
      <w:r>
        <w:rPr>
          <w:color w:val="231F20"/>
          <w:w w:val="95"/>
          <w:sz w:val="21"/>
        </w:rPr>
        <w:t>María.</w:t>
      </w:r>
      <w:r>
        <w:rPr>
          <w:color w:val="231F20"/>
          <w:spacing w:val="-18"/>
          <w:w w:val="95"/>
          <w:sz w:val="21"/>
        </w:rPr>
        <w:t> </w:t>
      </w:r>
      <w:r>
        <w:rPr>
          <w:color w:val="231F20"/>
          <w:w w:val="95"/>
          <w:sz w:val="21"/>
        </w:rPr>
        <w:t>(2001).</w:t>
      </w:r>
      <w:r>
        <w:rPr>
          <w:color w:val="231F20"/>
          <w:spacing w:val="-18"/>
          <w:w w:val="95"/>
          <w:sz w:val="21"/>
        </w:rPr>
        <w:t> </w:t>
      </w:r>
      <w:r>
        <w:rPr>
          <w:i/>
          <w:color w:val="231F20"/>
          <w:w w:val="95"/>
          <w:sz w:val="21"/>
        </w:rPr>
        <w:t>Políticas</w:t>
      </w:r>
      <w:r>
        <w:rPr>
          <w:i/>
          <w:color w:val="231F20"/>
          <w:spacing w:val="-18"/>
          <w:w w:val="95"/>
          <w:sz w:val="21"/>
        </w:rPr>
        <w:t> </w:t>
      </w:r>
      <w:r>
        <w:rPr>
          <w:i/>
          <w:color w:val="231F20"/>
          <w:w w:val="95"/>
          <w:sz w:val="21"/>
        </w:rPr>
        <w:t>de</w:t>
      </w:r>
      <w:r>
        <w:rPr>
          <w:i/>
          <w:color w:val="231F20"/>
          <w:spacing w:val="-18"/>
          <w:w w:val="95"/>
          <w:sz w:val="21"/>
        </w:rPr>
        <w:t> </w:t>
      </w:r>
      <w:r>
        <w:rPr>
          <w:i/>
          <w:color w:val="231F20"/>
          <w:w w:val="95"/>
          <w:sz w:val="21"/>
        </w:rPr>
        <w:t>la</w:t>
      </w:r>
      <w:r>
        <w:rPr>
          <w:i/>
          <w:color w:val="231F20"/>
          <w:spacing w:val="-17"/>
          <w:w w:val="95"/>
          <w:sz w:val="21"/>
        </w:rPr>
        <w:t> </w:t>
      </w:r>
      <w:r>
        <w:rPr>
          <w:i/>
          <w:color w:val="231F20"/>
          <w:w w:val="95"/>
          <w:sz w:val="21"/>
        </w:rPr>
        <w:t>universidad </w:t>
      </w:r>
      <w:r>
        <w:rPr>
          <w:i/>
          <w:color w:val="231F20"/>
          <w:w w:val="95"/>
          <w:sz w:val="21"/>
        </w:rPr>
        <w:t>pública: el discurso de la calidad</w:t>
      </w:r>
      <w:r>
        <w:rPr>
          <w:color w:val="231F20"/>
          <w:w w:val="95"/>
          <w:sz w:val="21"/>
        </w:rPr>
        <w:t>. Toluca: Universidad </w:t>
      </w:r>
      <w:r>
        <w:rPr>
          <w:color w:val="231F20"/>
          <w:sz w:val="21"/>
        </w:rPr>
        <w:t>Autónoma del Estado de</w:t>
      </w:r>
      <w:r>
        <w:rPr>
          <w:color w:val="231F20"/>
          <w:spacing w:val="38"/>
          <w:sz w:val="21"/>
        </w:rPr>
        <w:t> </w:t>
      </w:r>
      <w:r>
        <w:rPr>
          <w:color w:val="231F20"/>
          <w:sz w:val="21"/>
        </w:rPr>
        <w:t>México.</w:t>
      </w:r>
    </w:p>
    <w:p>
      <w:pPr>
        <w:pStyle w:val="BodyText"/>
        <w:spacing w:line="247" w:lineRule="auto" w:before="3"/>
        <w:ind w:left="102" w:hanging="1"/>
        <w:rPr>
          <w:i/>
        </w:rPr>
      </w:pPr>
      <w:r>
        <w:rPr>
          <w:color w:val="231F20"/>
        </w:rPr>
        <w:t>Ricoeur, Paul. (1994). </w:t>
      </w:r>
      <w:r>
        <w:rPr>
          <w:i/>
          <w:color w:val="231F20"/>
        </w:rPr>
        <w:t>Ideología y Utopía. </w:t>
      </w:r>
      <w:r>
        <w:rPr>
          <w:color w:val="231F20"/>
        </w:rPr>
        <w:t>Barcelona: Gedisa. Sobrevilla, David. (1991). Derecho y moral (Dos lecciones). En </w:t>
      </w:r>
      <w:r>
        <w:rPr>
          <w:i/>
          <w:color w:val="231F20"/>
        </w:rPr>
        <w:t>El</w:t>
      </w:r>
    </w:p>
    <w:p>
      <w:pPr>
        <w:spacing w:line="247" w:lineRule="auto" w:before="0"/>
        <w:ind w:left="822" w:right="0" w:firstLine="0"/>
        <w:jc w:val="left"/>
        <w:rPr>
          <w:sz w:val="21"/>
        </w:rPr>
      </w:pPr>
      <w:r>
        <w:rPr>
          <w:i/>
          <w:color w:val="231F20"/>
          <w:w w:val="95"/>
          <w:sz w:val="21"/>
        </w:rPr>
        <w:t>Derecho,</w:t>
      </w:r>
      <w:r>
        <w:rPr>
          <w:i/>
          <w:color w:val="231F20"/>
          <w:spacing w:val="-27"/>
          <w:w w:val="95"/>
          <w:sz w:val="21"/>
        </w:rPr>
        <w:t> </w:t>
      </w:r>
      <w:r>
        <w:rPr>
          <w:i/>
          <w:color w:val="231F20"/>
          <w:w w:val="95"/>
          <w:sz w:val="21"/>
        </w:rPr>
        <w:t>la</w:t>
      </w:r>
      <w:r>
        <w:rPr>
          <w:i/>
          <w:color w:val="231F20"/>
          <w:spacing w:val="-27"/>
          <w:w w:val="95"/>
          <w:sz w:val="21"/>
        </w:rPr>
        <w:t> </w:t>
      </w:r>
      <w:r>
        <w:rPr>
          <w:i/>
          <w:color w:val="231F20"/>
          <w:w w:val="95"/>
          <w:sz w:val="21"/>
        </w:rPr>
        <w:t>política</w:t>
      </w:r>
      <w:r>
        <w:rPr>
          <w:i/>
          <w:color w:val="231F20"/>
          <w:spacing w:val="-27"/>
          <w:w w:val="95"/>
          <w:sz w:val="21"/>
        </w:rPr>
        <w:t> </w:t>
      </w:r>
      <w:r>
        <w:rPr>
          <w:i/>
          <w:color w:val="231F20"/>
          <w:w w:val="95"/>
          <w:sz w:val="21"/>
        </w:rPr>
        <w:t>y</w:t>
      </w:r>
      <w:r>
        <w:rPr>
          <w:i/>
          <w:color w:val="231F20"/>
          <w:spacing w:val="-27"/>
          <w:w w:val="95"/>
          <w:sz w:val="21"/>
        </w:rPr>
        <w:t> </w:t>
      </w:r>
      <w:r>
        <w:rPr>
          <w:i/>
          <w:color w:val="231F20"/>
          <w:w w:val="95"/>
          <w:sz w:val="21"/>
        </w:rPr>
        <w:t>la</w:t>
      </w:r>
      <w:r>
        <w:rPr>
          <w:i/>
          <w:color w:val="231F20"/>
          <w:spacing w:val="-27"/>
          <w:w w:val="95"/>
          <w:sz w:val="21"/>
        </w:rPr>
        <w:t> </w:t>
      </w:r>
      <w:r>
        <w:rPr>
          <w:i/>
          <w:color w:val="231F20"/>
          <w:w w:val="95"/>
          <w:sz w:val="21"/>
        </w:rPr>
        <w:t>ética:</w:t>
      </w:r>
      <w:r>
        <w:rPr>
          <w:i/>
          <w:color w:val="231F20"/>
          <w:spacing w:val="-27"/>
          <w:w w:val="95"/>
          <w:sz w:val="21"/>
        </w:rPr>
        <w:t> </w:t>
      </w:r>
      <w:r>
        <w:rPr>
          <w:i/>
          <w:color w:val="231F20"/>
          <w:w w:val="95"/>
          <w:sz w:val="21"/>
        </w:rPr>
        <w:t>actas</w:t>
      </w:r>
      <w:r>
        <w:rPr>
          <w:i/>
          <w:color w:val="231F20"/>
          <w:spacing w:val="-27"/>
          <w:w w:val="95"/>
          <w:sz w:val="21"/>
        </w:rPr>
        <w:t> </w:t>
      </w:r>
      <w:r>
        <w:rPr>
          <w:i/>
          <w:color w:val="231F20"/>
          <w:w w:val="95"/>
          <w:sz w:val="21"/>
        </w:rPr>
        <w:t>del</w:t>
      </w:r>
      <w:r>
        <w:rPr>
          <w:i/>
          <w:color w:val="231F20"/>
          <w:spacing w:val="-27"/>
          <w:w w:val="95"/>
          <w:sz w:val="21"/>
        </w:rPr>
        <w:t> </w:t>
      </w:r>
      <w:r>
        <w:rPr>
          <w:i/>
          <w:color w:val="231F20"/>
          <w:w w:val="95"/>
          <w:sz w:val="21"/>
        </w:rPr>
        <w:t>II</w:t>
      </w:r>
      <w:r>
        <w:rPr>
          <w:i/>
          <w:color w:val="231F20"/>
          <w:spacing w:val="-27"/>
          <w:w w:val="95"/>
          <w:sz w:val="21"/>
        </w:rPr>
        <w:t> </w:t>
      </w:r>
      <w:r>
        <w:rPr>
          <w:i/>
          <w:color w:val="231F20"/>
          <w:w w:val="95"/>
          <w:sz w:val="21"/>
        </w:rPr>
        <w:t>Coloquio</w:t>
      </w:r>
      <w:r>
        <w:rPr>
          <w:i/>
          <w:color w:val="231F20"/>
          <w:spacing w:val="-27"/>
          <w:w w:val="95"/>
          <w:sz w:val="21"/>
        </w:rPr>
        <w:t> </w:t>
      </w:r>
      <w:r>
        <w:rPr>
          <w:i/>
          <w:color w:val="231F20"/>
          <w:w w:val="95"/>
          <w:sz w:val="21"/>
        </w:rPr>
        <w:t>Alemán- </w:t>
      </w:r>
      <w:r>
        <w:rPr>
          <w:i/>
          <w:color w:val="231F20"/>
          <w:w w:val="90"/>
          <w:sz w:val="21"/>
        </w:rPr>
        <w:t>latinoamericano de Filosofía, Lima, 1987. </w:t>
      </w:r>
      <w:r>
        <w:rPr>
          <w:color w:val="231F20"/>
          <w:w w:val="90"/>
          <w:sz w:val="21"/>
        </w:rPr>
        <w:t>México: Siglo</w:t>
      </w:r>
      <w:r>
        <w:rPr>
          <w:color w:val="231F20"/>
          <w:spacing w:val="22"/>
          <w:w w:val="90"/>
          <w:sz w:val="21"/>
        </w:rPr>
        <w:t> </w:t>
      </w:r>
      <w:r>
        <w:rPr>
          <w:color w:val="231F20"/>
          <w:w w:val="90"/>
          <w:sz w:val="21"/>
        </w:rPr>
        <w:t>XXI.</w:t>
      </w:r>
    </w:p>
    <w:p>
      <w:pPr>
        <w:spacing w:line="247" w:lineRule="auto" w:before="0"/>
        <w:ind w:left="822" w:right="94" w:hanging="720"/>
        <w:jc w:val="left"/>
        <w:rPr>
          <w:sz w:val="21"/>
        </w:rPr>
      </w:pPr>
      <w:r>
        <w:rPr>
          <w:color w:val="231F20"/>
          <w:sz w:val="21"/>
        </w:rPr>
        <w:t>Torres, Carlos Alberto. (2007). Globalización y Educación Superior </w:t>
      </w:r>
      <w:r>
        <w:rPr>
          <w:color w:val="231F20"/>
          <w:w w:val="90"/>
          <w:sz w:val="21"/>
        </w:rPr>
        <w:t>en</w:t>
      </w:r>
      <w:r>
        <w:rPr>
          <w:color w:val="231F20"/>
          <w:spacing w:val="-13"/>
          <w:w w:val="90"/>
          <w:sz w:val="21"/>
        </w:rPr>
        <w:t> </w:t>
      </w:r>
      <w:r>
        <w:rPr>
          <w:color w:val="231F20"/>
          <w:w w:val="90"/>
          <w:sz w:val="21"/>
        </w:rPr>
        <w:t>las</w:t>
      </w:r>
      <w:r>
        <w:rPr>
          <w:color w:val="231F20"/>
          <w:spacing w:val="-14"/>
          <w:w w:val="90"/>
          <w:sz w:val="21"/>
        </w:rPr>
        <w:t> </w:t>
      </w:r>
      <w:r>
        <w:rPr>
          <w:color w:val="231F20"/>
          <w:w w:val="90"/>
          <w:sz w:val="21"/>
        </w:rPr>
        <w:t>Américas.</w:t>
      </w:r>
      <w:r>
        <w:rPr>
          <w:color w:val="231F20"/>
          <w:spacing w:val="-14"/>
          <w:w w:val="90"/>
          <w:sz w:val="21"/>
        </w:rPr>
        <w:t> </w:t>
      </w:r>
      <w:r>
        <w:rPr>
          <w:i/>
          <w:color w:val="231F20"/>
          <w:w w:val="90"/>
          <w:sz w:val="21"/>
        </w:rPr>
        <w:t>Theomai.</w:t>
      </w:r>
      <w:r>
        <w:rPr>
          <w:i/>
          <w:color w:val="231F20"/>
          <w:spacing w:val="-14"/>
          <w:w w:val="90"/>
          <w:sz w:val="21"/>
        </w:rPr>
        <w:t> </w:t>
      </w:r>
      <w:r>
        <w:rPr>
          <w:i/>
          <w:color w:val="231F20"/>
          <w:w w:val="90"/>
          <w:sz w:val="21"/>
        </w:rPr>
        <w:t>Estudios</w:t>
      </w:r>
      <w:r>
        <w:rPr>
          <w:i/>
          <w:color w:val="231F20"/>
          <w:spacing w:val="-14"/>
          <w:w w:val="90"/>
          <w:sz w:val="21"/>
        </w:rPr>
        <w:t> </w:t>
      </w:r>
      <w:r>
        <w:rPr>
          <w:i/>
          <w:color w:val="231F20"/>
          <w:w w:val="90"/>
          <w:sz w:val="21"/>
        </w:rPr>
        <w:t>sobre</w:t>
      </w:r>
      <w:r>
        <w:rPr>
          <w:i/>
          <w:color w:val="231F20"/>
          <w:spacing w:val="-14"/>
          <w:w w:val="90"/>
          <w:sz w:val="21"/>
        </w:rPr>
        <w:t> </w:t>
      </w:r>
      <w:r>
        <w:rPr>
          <w:i/>
          <w:color w:val="231F20"/>
          <w:w w:val="90"/>
          <w:sz w:val="21"/>
        </w:rPr>
        <w:t>sociedad</w:t>
      </w:r>
      <w:r>
        <w:rPr>
          <w:i/>
          <w:color w:val="231F20"/>
          <w:spacing w:val="-14"/>
          <w:w w:val="90"/>
          <w:sz w:val="21"/>
        </w:rPr>
        <w:t> </w:t>
      </w:r>
      <w:r>
        <w:rPr>
          <w:i/>
          <w:color w:val="231F20"/>
          <w:w w:val="90"/>
          <w:sz w:val="21"/>
        </w:rPr>
        <w:t>y</w:t>
      </w:r>
      <w:r>
        <w:rPr>
          <w:i/>
          <w:color w:val="231F20"/>
          <w:spacing w:val="-14"/>
          <w:w w:val="90"/>
          <w:sz w:val="21"/>
        </w:rPr>
        <w:t> </w:t>
      </w:r>
      <w:r>
        <w:rPr>
          <w:i/>
          <w:color w:val="231F20"/>
          <w:w w:val="90"/>
          <w:sz w:val="21"/>
        </w:rPr>
        <w:t>desarrollo,15. </w:t>
      </w:r>
      <w:r>
        <w:rPr>
          <w:color w:val="231F20"/>
          <w:spacing w:val="3"/>
          <w:w w:val="111"/>
          <w:sz w:val="21"/>
        </w:rPr>
        <w:t>O</w:t>
      </w:r>
      <w:r>
        <w:rPr>
          <w:color w:val="231F20"/>
          <w:spacing w:val="2"/>
          <w:w w:val="104"/>
          <w:sz w:val="21"/>
        </w:rPr>
        <w:t>b</w:t>
      </w:r>
      <w:r>
        <w:rPr>
          <w:color w:val="231F20"/>
          <w:spacing w:val="1"/>
          <w:w w:val="107"/>
          <w:sz w:val="21"/>
        </w:rPr>
        <w:t>t</w:t>
      </w:r>
      <w:r>
        <w:rPr>
          <w:color w:val="231F20"/>
          <w:spacing w:val="1"/>
          <w:w w:val="96"/>
          <w:sz w:val="21"/>
        </w:rPr>
        <w:t>e</w:t>
      </w:r>
      <w:r>
        <w:rPr>
          <w:color w:val="231F20"/>
          <w:spacing w:val="2"/>
          <w:w w:val="104"/>
          <w:sz w:val="21"/>
        </w:rPr>
        <w:t>n</w:t>
      </w:r>
      <w:r>
        <w:rPr>
          <w:color w:val="231F20"/>
          <w:w w:val="84"/>
          <w:sz w:val="21"/>
        </w:rPr>
        <w:t>i</w:t>
      </w:r>
      <w:r>
        <w:rPr>
          <w:color w:val="231F20"/>
          <w:spacing w:val="2"/>
          <w:w w:val="102"/>
          <w:sz w:val="21"/>
        </w:rPr>
        <w:t>d</w:t>
      </w:r>
      <w:r>
        <w:rPr>
          <w:color w:val="231F20"/>
          <w:w w:val="104"/>
          <w:sz w:val="21"/>
        </w:rPr>
        <w:t>o</w:t>
      </w:r>
      <w:r>
        <w:rPr>
          <w:color w:val="231F20"/>
          <w:spacing w:val="4"/>
          <w:sz w:val="21"/>
        </w:rPr>
        <w:t> </w:t>
      </w:r>
      <w:r>
        <w:rPr>
          <w:color w:val="231F20"/>
          <w:spacing w:val="2"/>
          <w:w w:val="102"/>
          <w:sz w:val="21"/>
        </w:rPr>
        <w:t>d</w:t>
      </w:r>
      <w:r>
        <w:rPr>
          <w:color w:val="231F20"/>
          <w:w w:val="96"/>
          <w:sz w:val="21"/>
        </w:rPr>
        <w:t>e</w:t>
      </w:r>
      <w:r>
        <w:rPr>
          <w:color w:val="231F20"/>
          <w:spacing w:val="4"/>
          <w:sz w:val="21"/>
        </w:rPr>
        <w:t> </w:t>
      </w:r>
      <w:hyperlink r:id="rId236">
        <w:r>
          <w:rPr>
            <w:color w:val="231F20"/>
            <w:spacing w:val="2"/>
            <w:w w:val="104"/>
            <w:sz w:val="21"/>
            <w:u w:val="single" w:color="231F20"/>
          </w:rPr>
          <w:t>h</w:t>
        </w:r>
        <w:r>
          <w:rPr>
            <w:color w:val="231F20"/>
            <w:spacing w:val="1"/>
            <w:w w:val="106"/>
            <w:sz w:val="21"/>
            <w:u w:val="single" w:color="231F20"/>
          </w:rPr>
          <w:t>tt</w:t>
        </w:r>
        <w:r>
          <w:rPr>
            <w:color w:val="231F20"/>
            <w:spacing w:val="2"/>
            <w:w w:val="106"/>
            <w:sz w:val="21"/>
            <w:u w:val="single" w:color="231F20"/>
          </w:rPr>
          <w:t>p</w:t>
        </w:r>
        <w:r>
          <w:rPr>
            <w:color w:val="231F20"/>
            <w:w w:val="80"/>
            <w:sz w:val="21"/>
            <w:u w:val="single" w:color="231F20"/>
          </w:rPr>
          <w:t>:</w:t>
        </w:r>
        <w:r>
          <w:rPr>
            <w:color w:val="231F20"/>
            <w:spacing w:val="2"/>
            <w:w w:val="185"/>
            <w:sz w:val="21"/>
            <w:u w:val="single" w:color="231F20"/>
          </w:rPr>
          <w:t>//</w:t>
        </w:r>
        <w:r>
          <w:rPr>
            <w:color w:val="231F20"/>
            <w:spacing w:val="1"/>
            <w:w w:val="103"/>
            <w:sz w:val="21"/>
            <w:u w:val="single" w:color="231F20"/>
          </w:rPr>
          <w:t>r</w:t>
        </w:r>
        <w:r>
          <w:rPr>
            <w:color w:val="231F20"/>
            <w:spacing w:val="1"/>
            <w:w w:val="96"/>
            <w:sz w:val="21"/>
            <w:u w:val="single" w:color="231F20"/>
          </w:rPr>
          <w:t>e</w:t>
        </w:r>
        <w:r>
          <w:rPr>
            <w:color w:val="231F20"/>
            <w:spacing w:val="1"/>
            <w:w w:val="96"/>
            <w:sz w:val="21"/>
            <w:u w:val="single" w:color="231F20"/>
          </w:rPr>
          <w:t>v</w:t>
        </w:r>
        <w:r>
          <w:rPr>
            <w:color w:val="231F20"/>
            <w:w w:val="84"/>
            <w:sz w:val="21"/>
            <w:u w:val="single" w:color="231F20"/>
          </w:rPr>
          <w:t>i</w:t>
        </w:r>
        <w:r>
          <w:rPr>
            <w:color w:val="231F20"/>
            <w:spacing w:val="1"/>
            <w:w w:val="96"/>
            <w:sz w:val="21"/>
            <w:u w:val="single" w:color="231F20"/>
          </w:rPr>
          <w:t>s</w:t>
        </w:r>
        <w:r>
          <w:rPr>
            <w:color w:val="231F20"/>
            <w:spacing w:val="1"/>
            <w:w w:val="99"/>
            <w:sz w:val="21"/>
            <w:u w:val="single" w:color="231F20"/>
          </w:rPr>
          <w:t>ta</w:t>
        </w:r>
        <w:r>
          <w:rPr>
            <w:color w:val="231F20"/>
            <w:w w:val="96"/>
            <w:sz w:val="21"/>
            <w:u w:val="single" w:color="231F20"/>
          </w:rPr>
          <w:t>-</w:t>
        </w:r>
      </w:hyperlink>
      <w:r>
        <w:rPr>
          <w:color w:val="231F20"/>
          <w:w w:val="96"/>
          <w:sz w:val="21"/>
        </w:rPr>
        <w:t> </w:t>
      </w:r>
      <w:r>
        <w:rPr>
          <w:color w:val="231F20"/>
          <w:sz w:val="21"/>
          <w:u w:val="single" w:color="231F20"/>
        </w:rPr>
        <w:t>theomai.unq.edu.ar/NUMERO15/ArtTorres_15.pdf</w:t>
      </w:r>
    </w:p>
    <w:p>
      <w:pPr>
        <w:pStyle w:val="BodyText"/>
        <w:spacing w:line="247" w:lineRule="auto"/>
        <w:ind w:left="822" w:right="218" w:hanging="721"/>
      </w:pPr>
      <w:r>
        <w:rPr>
          <w:color w:val="231F20"/>
        </w:rPr>
        <w:t>Valadez-Figueroa, Isabel. (2008). Violencia escolar: Maltrato entre iguales en escuelas secundarias de la Zona Metropolitana de Guadalajara. </w:t>
      </w:r>
      <w:r>
        <w:rPr>
          <w:i/>
          <w:color w:val="231F20"/>
        </w:rPr>
        <w:t>Informe de estudio. </w:t>
      </w:r>
      <w:r>
        <w:rPr>
          <w:color w:val="231F20"/>
        </w:rPr>
        <w:t>Guadalajara, México: Universidad de Guadalajara.</w:t>
      </w:r>
    </w:p>
    <w:p>
      <w:pPr>
        <w:spacing w:line="242" w:lineRule="auto" w:before="1"/>
        <w:ind w:left="822" w:right="0" w:hanging="721"/>
        <w:jc w:val="left"/>
        <w:rPr>
          <w:sz w:val="21"/>
        </w:rPr>
      </w:pPr>
      <w:r>
        <w:rPr>
          <w:color w:val="231F20"/>
          <w:w w:val="95"/>
          <w:sz w:val="21"/>
        </w:rPr>
        <w:t>Ortega</w:t>
      </w:r>
      <w:r>
        <w:rPr>
          <w:color w:val="231F20"/>
          <w:spacing w:val="-18"/>
          <w:w w:val="95"/>
          <w:sz w:val="21"/>
        </w:rPr>
        <w:t> </w:t>
      </w:r>
      <w:r>
        <w:rPr>
          <w:color w:val="231F20"/>
          <w:w w:val="95"/>
          <w:sz w:val="21"/>
        </w:rPr>
        <w:t>Ruiz,</w:t>
      </w:r>
      <w:r>
        <w:rPr>
          <w:color w:val="231F20"/>
          <w:spacing w:val="-19"/>
          <w:w w:val="95"/>
          <w:sz w:val="21"/>
        </w:rPr>
        <w:t> </w:t>
      </w:r>
      <w:r>
        <w:rPr>
          <w:color w:val="231F20"/>
          <w:w w:val="95"/>
          <w:sz w:val="21"/>
        </w:rPr>
        <w:t>Rosario.</w:t>
      </w:r>
      <w:r>
        <w:rPr>
          <w:color w:val="231F20"/>
          <w:spacing w:val="-19"/>
          <w:w w:val="95"/>
          <w:sz w:val="21"/>
        </w:rPr>
        <w:t> </w:t>
      </w:r>
      <w:r>
        <w:rPr>
          <w:color w:val="231F20"/>
          <w:w w:val="95"/>
          <w:sz w:val="21"/>
        </w:rPr>
        <w:t>(2008).</w:t>
      </w:r>
      <w:r>
        <w:rPr>
          <w:color w:val="231F20"/>
          <w:spacing w:val="-19"/>
          <w:w w:val="95"/>
          <w:sz w:val="21"/>
        </w:rPr>
        <w:t> </w:t>
      </w:r>
      <w:r>
        <w:rPr>
          <w:i/>
          <w:color w:val="231F20"/>
          <w:w w:val="95"/>
          <w:sz w:val="21"/>
        </w:rPr>
        <w:t>Malos</w:t>
      </w:r>
      <w:r>
        <w:rPr>
          <w:i/>
          <w:color w:val="231F20"/>
          <w:spacing w:val="-19"/>
          <w:w w:val="95"/>
          <w:sz w:val="21"/>
        </w:rPr>
        <w:t> </w:t>
      </w:r>
      <w:r>
        <w:rPr>
          <w:i/>
          <w:color w:val="231F20"/>
          <w:w w:val="95"/>
          <w:sz w:val="21"/>
        </w:rPr>
        <w:t>tratos</w:t>
      </w:r>
      <w:r>
        <w:rPr>
          <w:i/>
          <w:color w:val="231F20"/>
          <w:spacing w:val="-19"/>
          <w:w w:val="95"/>
          <w:sz w:val="21"/>
        </w:rPr>
        <w:t> </w:t>
      </w:r>
      <w:r>
        <w:rPr>
          <w:i/>
          <w:color w:val="231F20"/>
          <w:w w:val="95"/>
          <w:sz w:val="21"/>
        </w:rPr>
        <w:t>entre</w:t>
      </w:r>
      <w:r>
        <w:rPr>
          <w:i/>
          <w:color w:val="231F20"/>
          <w:spacing w:val="-19"/>
          <w:w w:val="95"/>
          <w:sz w:val="21"/>
        </w:rPr>
        <w:t> </w:t>
      </w:r>
      <w:r>
        <w:rPr>
          <w:i/>
          <w:color w:val="231F20"/>
          <w:w w:val="95"/>
          <w:sz w:val="21"/>
        </w:rPr>
        <w:t>escolares.</w:t>
      </w:r>
      <w:r>
        <w:rPr>
          <w:i/>
          <w:color w:val="231F20"/>
          <w:spacing w:val="-20"/>
          <w:w w:val="95"/>
          <w:sz w:val="21"/>
        </w:rPr>
        <w:t> </w:t>
      </w:r>
      <w:r>
        <w:rPr>
          <w:color w:val="231F20"/>
          <w:w w:val="95"/>
          <w:sz w:val="21"/>
        </w:rPr>
        <w:t>España: </w:t>
      </w:r>
      <w:r>
        <w:rPr>
          <w:color w:val="231F20"/>
          <w:sz w:val="21"/>
        </w:rPr>
        <w:t>Ministerio de</w:t>
      </w:r>
      <w:r>
        <w:rPr>
          <w:color w:val="231F20"/>
          <w:spacing w:val="7"/>
          <w:sz w:val="21"/>
        </w:rPr>
        <w:t> </w:t>
      </w:r>
      <w:r>
        <w:rPr>
          <w:color w:val="231F20"/>
          <w:sz w:val="21"/>
        </w:rPr>
        <w:t>Educación.</w:t>
      </w:r>
    </w:p>
    <w:p>
      <w:pPr>
        <w:pStyle w:val="BodyText"/>
        <w:spacing w:line="244" w:lineRule="auto" w:before="6"/>
        <w:ind w:left="822" w:hanging="721"/>
      </w:pPr>
      <w:r>
        <w:rPr>
          <w:color w:val="231F20"/>
        </w:rPr>
        <w:t>Van Dijk, Teun y Mendizábal, Iván Rodrigo. (1999). Análisis del discurso social y político. Quito, Ecuador. Obtenido de </w:t>
      </w:r>
      <w:hyperlink r:id="rId237">
        <w:r>
          <w:rPr>
            <w:color w:val="231F20"/>
            <w:w w:val="104"/>
          </w:rPr>
          <w:t>h</w:t>
        </w:r>
        <w:r>
          <w:rPr>
            <w:color w:val="231F20"/>
            <w:w w:val="107"/>
          </w:rPr>
          <w:t>tt</w:t>
        </w:r>
        <w:r>
          <w:rPr>
            <w:color w:val="231F20"/>
            <w:w w:val="104"/>
          </w:rPr>
          <w:t>p</w:t>
        </w:r>
        <w:r>
          <w:rPr>
            <w:color w:val="231F20"/>
            <w:w w:val="80"/>
          </w:rPr>
          <w:t>:</w:t>
        </w:r>
        <w:r>
          <w:rPr>
            <w:color w:val="231F20"/>
            <w:w w:val="185"/>
          </w:rPr>
          <w:t>//</w:t>
        </w:r>
        <w:r>
          <w:rPr>
            <w:color w:val="231F20"/>
            <w:w w:val="103"/>
          </w:rPr>
          <w:t>r</w:t>
        </w:r>
        <w:r>
          <w:rPr>
            <w:color w:val="231F20"/>
            <w:w w:val="96"/>
          </w:rPr>
          <w:t>e</w:t>
        </w:r>
        <w:r>
          <w:rPr>
            <w:color w:val="231F20"/>
            <w:w w:val="104"/>
          </w:rPr>
          <w:t>po</w:t>
        </w:r>
        <w:r>
          <w:rPr>
            <w:color w:val="231F20"/>
            <w:w w:val="96"/>
          </w:rPr>
          <w:t>s</w:t>
        </w:r>
        <w:r>
          <w:rPr>
            <w:color w:val="231F20"/>
            <w:w w:val="84"/>
          </w:rPr>
          <w:t>i</w:t>
        </w:r>
        <w:r>
          <w:rPr>
            <w:color w:val="231F20"/>
            <w:w w:val="107"/>
          </w:rPr>
          <w:t>t</w:t>
        </w:r>
        <w:r>
          <w:rPr>
            <w:color w:val="231F20"/>
            <w:w w:val="104"/>
          </w:rPr>
          <w:t>o</w:t>
        </w:r>
        <w:r>
          <w:rPr>
            <w:color w:val="231F20"/>
            <w:w w:val="103"/>
          </w:rPr>
          <w:t>r</w:t>
        </w:r>
        <w:r>
          <w:rPr>
            <w:color w:val="231F20"/>
            <w:w w:val="85"/>
          </w:rPr>
          <w:t>y</w:t>
        </w:r>
        <w:r>
          <w:rPr>
            <w:color w:val="231F20"/>
            <w:w w:val="89"/>
          </w:rPr>
          <w:t>.</w:t>
        </w:r>
        <w:r>
          <w:rPr>
            <w:color w:val="231F20"/>
            <w:w w:val="102"/>
          </w:rPr>
          <w:t>un</w:t>
        </w:r>
        <w:r>
          <w:rPr>
            <w:color w:val="231F20"/>
            <w:w w:val="101"/>
          </w:rPr>
          <w:t>m</w:t>
        </w:r>
        <w:r>
          <w:rPr>
            <w:color w:val="231F20"/>
            <w:w w:val="89"/>
          </w:rPr>
          <w:t>.</w:t>
        </w:r>
        <w:r>
          <w:rPr>
            <w:color w:val="231F20"/>
            <w:w w:val="96"/>
          </w:rPr>
          <w:t>e</w:t>
        </w:r>
        <w:r>
          <w:rPr>
            <w:color w:val="231F20"/>
            <w:w w:val="102"/>
          </w:rPr>
          <w:t>d</w:t>
        </w:r>
        <w:r>
          <w:rPr>
            <w:color w:val="231F20"/>
            <w:w w:val="130"/>
          </w:rPr>
          <w:t>u/</w:t>
        </w:r>
        <w:r>
          <w:rPr>
            <w:color w:val="231F20"/>
            <w:w w:val="104"/>
          </w:rPr>
          <w:t>b</w:t>
        </w:r>
        <w:r>
          <w:rPr>
            <w:color w:val="231F20"/>
            <w:w w:val="84"/>
          </w:rPr>
          <w:t>i</w:t>
        </w:r>
        <w:r>
          <w:rPr>
            <w:color w:val="231F20"/>
            <w:w w:val="107"/>
          </w:rPr>
          <w:t>t</w:t>
        </w:r>
        <w:r>
          <w:rPr>
            <w:color w:val="231F20"/>
            <w:w w:val="96"/>
          </w:rPr>
          <w:t>s</w:t>
        </w:r>
        <w:r>
          <w:rPr>
            <w:color w:val="231F20"/>
            <w:w w:val="107"/>
          </w:rPr>
          <w:t>t</w:t>
        </w:r>
        <w:r>
          <w:rPr>
            <w:color w:val="231F20"/>
            <w:w w:val="103"/>
          </w:rPr>
          <w:t>r</w:t>
        </w:r>
        <w:r>
          <w:rPr>
            <w:color w:val="231F20"/>
            <w:w w:val="96"/>
          </w:rPr>
          <w:t>e</w:t>
        </w:r>
        <w:r>
          <w:rPr>
            <w:color w:val="231F20"/>
            <w:w w:val="94"/>
          </w:rPr>
          <w:t>a</w:t>
        </w:r>
        <w:r>
          <w:rPr>
            <w:color w:val="231F20"/>
            <w:w w:val="101"/>
          </w:rPr>
          <w:t>m</w:t>
        </w:r>
        <w:r>
          <w:rPr>
            <w:color w:val="231F20"/>
            <w:w w:val="185"/>
          </w:rPr>
          <w:t>/</w:t>
        </w:r>
        <w:r>
          <w:rPr>
            <w:color w:val="231F20"/>
            <w:w w:val="104"/>
          </w:rPr>
          <w:t>h</w:t>
        </w:r>
        <w:r>
          <w:rPr>
            <w:color w:val="231F20"/>
            <w:w w:val="94"/>
          </w:rPr>
          <w:t>a</w:t>
        </w:r>
        <w:r>
          <w:rPr>
            <w:color w:val="231F20"/>
            <w:w w:val="104"/>
          </w:rPr>
          <w:t>n</w:t>
        </w:r>
        <w:r>
          <w:rPr>
            <w:color w:val="231F20"/>
            <w:w w:val="102"/>
          </w:rPr>
          <w:t>d</w:t>
        </w:r>
        <w:r>
          <w:rPr>
            <w:color w:val="231F20"/>
            <w:w w:val="84"/>
          </w:rPr>
          <w:t>l</w:t>
        </w:r>
        <w:r>
          <w:rPr>
            <w:color w:val="231F20"/>
            <w:w w:val="96"/>
          </w:rPr>
          <w:t>e</w:t>
        </w:r>
        <w:r>
          <w:rPr>
            <w:color w:val="231F20"/>
            <w:w w:val="185"/>
          </w:rPr>
          <w:t>/</w:t>
        </w:r>
        <w:r>
          <w:rPr>
            <w:color w:val="231F20"/>
            <w:w w:val="107"/>
          </w:rPr>
          <w:t>1928/</w:t>
        </w:r>
        <w:r>
          <w:rPr>
            <w:color w:val="231F20"/>
            <w:w w:val="96"/>
          </w:rPr>
          <w:t>10551</w:t>
        </w:r>
      </w:hyperlink>
    </w:p>
    <w:p>
      <w:pPr>
        <w:spacing w:after="0" w:line="244" w:lineRule="auto"/>
        <w:sectPr>
          <w:headerReference w:type="default" r:id="rId234"/>
          <w:footerReference w:type="default" r:id="rId235"/>
          <w:pgSz w:w="7830" w:h="11910"/>
          <w:pgMar w:header="0" w:footer="424" w:top="500" w:bottom="620" w:left="920" w:right="920"/>
          <w:pgNumType w:start="108"/>
        </w:sectPr>
      </w:pPr>
    </w:p>
    <w:p>
      <w:pPr>
        <w:spacing w:before="46"/>
        <w:ind w:left="1463" w:right="63"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822" w:right="63"/>
      </w:pPr>
      <w:r>
        <w:rPr>
          <w:color w:val="231F20"/>
        </w:rPr>
        <w:t>/An%C3%A1lisis%20discurso%20social%20pol%C3ADti co.pdf?sequence=1</w:t>
      </w:r>
    </w:p>
    <w:p>
      <w:pPr>
        <w:spacing w:line="247" w:lineRule="auto" w:before="0"/>
        <w:ind w:left="822" w:right="63" w:hanging="720"/>
        <w:jc w:val="left"/>
        <w:rPr>
          <w:sz w:val="21"/>
        </w:rPr>
      </w:pPr>
      <w:r>
        <w:rPr>
          <w:color w:val="231F20"/>
          <w:w w:val="95"/>
          <w:sz w:val="21"/>
        </w:rPr>
        <w:t>Varela-Petito,</w:t>
      </w:r>
      <w:r>
        <w:rPr>
          <w:color w:val="231F20"/>
          <w:spacing w:val="-26"/>
          <w:w w:val="95"/>
          <w:sz w:val="21"/>
        </w:rPr>
        <w:t> </w:t>
      </w:r>
      <w:r>
        <w:rPr>
          <w:color w:val="231F20"/>
          <w:w w:val="95"/>
          <w:sz w:val="21"/>
        </w:rPr>
        <w:t>Gonzalo.</w:t>
      </w:r>
      <w:r>
        <w:rPr>
          <w:color w:val="231F20"/>
          <w:spacing w:val="-26"/>
          <w:w w:val="95"/>
          <w:sz w:val="21"/>
        </w:rPr>
        <w:t> </w:t>
      </w:r>
      <w:r>
        <w:rPr>
          <w:color w:val="231F20"/>
          <w:w w:val="95"/>
          <w:sz w:val="21"/>
        </w:rPr>
        <w:t>(1996).</w:t>
      </w:r>
      <w:r>
        <w:rPr>
          <w:color w:val="231F20"/>
          <w:spacing w:val="-26"/>
          <w:w w:val="95"/>
          <w:sz w:val="21"/>
        </w:rPr>
        <w:t> </w:t>
      </w:r>
      <w:r>
        <w:rPr>
          <w:i/>
          <w:color w:val="231F20"/>
          <w:w w:val="95"/>
          <w:sz w:val="21"/>
        </w:rPr>
        <w:t>Después</w:t>
      </w:r>
      <w:r>
        <w:rPr>
          <w:i/>
          <w:color w:val="231F20"/>
          <w:spacing w:val="-26"/>
          <w:w w:val="95"/>
          <w:sz w:val="21"/>
        </w:rPr>
        <w:t> </w:t>
      </w:r>
      <w:r>
        <w:rPr>
          <w:i/>
          <w:color w:val="231F20"/>
          <w:w w:val="95"/>
          <w:sz w:val="21"/>
        </w:rPr>
        <w:t>del</w:t>
      </w:r>
      <w:r>
        <w:rPr>
          <w:i/>
          <w:color w:val="231F20"/>
          <w:spacing w:val="-26"/>
          <w:w w:val="95"/>
          <w:sz w:val="21"/>
        </w:rPr>
        <w:t> </w:t>
      </w:r>
      <w:r>
        <w:rPr>
          <w:i/>
          <w:color w:val="231F20"/>
          <w:w w:val="95"/>
          <w:sz w:val="21"/>
        </w:rPr>
        <w:t>68:</w:t>
      </w:r>
      <w:r>
        <w:rPr>
          <w:i/>
          <w:color w:val="231F20"/>
          <w:spacing w:val="-26"/>
          <w:w w:val="95"/>
          <w:sz w:val="21"/>
        </w:rPr>
        <w:t> </w:t>
      </w:r>
      <w:r>
        <w:rPr>
          <w:i/>
          <w:color w:val="231F20"/>
          <w:w w:val="95"/>
          <w:sz w:val="21"/>
        </w:rPr>
        <w:t>respuesta</w:t>
      </w:r>
      <w:r>
        <w:rPr>
          <w:i/>
          <w:color w:val="231F20"/>
          <w:spacing w:val="-25"/>
          <w:w w:val="95"/>
          <w:sz w:val="21"/>
        </w:rPr>
        <w:t> </w:t>
      </w:r>
      <w:r>
        <w:rPr>
          <w:i/>
          <w:color w:val="231F20"/>
          <w:w w:val="95"/>
          <w:sz w:val="21"/>
        </w:rPr>
        <w:t>de</w:t>
      </w:r>
      <w:r>
        <w:rPr>
          <w:i/>
          <w:color w:val="231F20"/>
          <w:spacing w:val="-26"/>
          <w:w w:val="95"/>
          <w:sz w:val="21"/>
        </w:rPr>
        <w:t> </w:t>
      </w:r>
      <w:r>
        <w:rPr>
          <w:i/>
          <w:color w:val="231F20"/>
          <w:w w:val="95"/>
          <w:sz w:val="21"/>
        </w:rPr>
        <w:t>la</w:t>
      </w:r>
      <w:r>
        <w:rPr>
          <w:i/>
          <w:color w:val="231F20"/>
          <w:spacing w:val="-25"/>
          <w:w w:val="95"/>
          <w:sz w:val="21"/>
        </w:rPr>
        <w:t> </w:t>
      </w:r>
      <w:r>
        <w:rPr>
          <w:i/>
          <w:color w:val="231F20"/>
          <w:w w:val="95"/>
          <w:sz w:val="21"/>
        </w:rPr>
        <w:t>política </w:t>
      </w:r>
      <w:r>
        <w:rPr>
          <w:i/>
          <w:color w:val="231F20"/>
          <w:w w:val="90"/>
          <w:sz w:val="21"/>
        </w:rPr>
        <w:t>educativa</w:t>
      </w:r>
      <w:r>
        <w:rPr>
          <w:i/>
          <w:color w:val="231F20"/>
          <w:spacing w:val="-6"/>
          <w:w w:val="90"/>
          <w:sz w:val="21"/>
        </w:rPr>
        <w:t> </w:t>
      </w:r>
      <w:r>
        <w:rPr>
          <w:i/>
          <w:color w:val="231F20"/>
          <w:w w:val="90"/>
          <w:sz w:val="21"/>
        </w:rPr>
        <w:t>a</w:t>
      </w:r>
      <w:r>
        <w:rPr>
          <w:i/>
          <w:color w:val="231F20"/>
          <w:spacing w:val="-6"/>
          <w:w w:val="90"/>
          <w:sz w:val="21"/>
        </w:rPr>
        <w:t> </w:t>
      </w:r>
      <w:r>
        <w:rPr>
          <w:i/>
          <w:color w:val="231F20"/>
          <w:w w:val="90"/>
          <w:sz w:val="21"/>
        </w:rPr>
        <w:t>la</w:t>
      </w:r>
      <w:r>
        <w:rPr>
          <w:i/>
          <w:color w:val="231F20"/>
          <w:spacing w:val="-6"/>
          <w:w w:val="90"/>
          <w:sz w:val="21"/>
        </w:rPr>
        <w:t> </w:t>
      </w:r>
      <w:r>
        <w:rPr>
          <w:i/>
          <w:color w:val="231F20"/>
          <w:w w:val="90"/>
          <w:sz w:val="21"/>
        </w:rPr>
        <w:t>crisis</w:t>
      </w:r>
      <w:r>
        <w:rPr>
          <w:i/>
          <w:color w:val="231F20"/>
          <w:spacing w:val="-7"/>
          <w:w w:val="90"/>
          <w:sz w:val="21"/>
        </w:rPr>
        <w:t> </w:t>
      </w:r>
      <w:r>
        <w:rPr>
          <w:i/>
          <w:color w:val="231F20"/>
          <w:w w:val="90"/>
          <w:sz w:val="21"/>
        </w:rPr>
        <w:t>universitaria</w:t>
      </w:r>
      <w:r>
        <w:rPr>
          <w:i/>
          <w:color w:val="231F20"/>
          <w:spacing w:val="-6"/>
          <w:w w:val="90"/>
          <w:sz w:val="21"/>
        </w:rPr>
        <w:t> </w:t>
      </w:r>
      <w:r>
        <w:rPr>
          <w:i/>
          <w:color w:val="231F20"/>
          <w:w w:val="90"/>
          <w:sz w:val="21"/>
        </w:rPr>
        <w:t>.</w:t>
      </w:r>
      <w:r>
        <w:rPr>
          <w:i/>
          <w:color w:val="231F20"/>
          <w:spacing w:val="-7"/>
          <w:w w:val="90"/>
          <w:sz w:val="21"/>
        </w:rPr>
        <w:t> </w:t>
      </w:r>
      <w:r>
        <w:rPr>
          <w:color w:val="231F20"/>
          <w:w w:val="90"/>
          <w:sz w:val="21"/>
        </w:rPr>
        <w:t>México:</w:t>
      </w:r>
      <w:r>
        <w:rPr>
          <w:color w:val="231F20"/>
          <w:spacing w:val="-7"/>
          <w:w w:val="90"/>
          <w:sz w:val="21"/>
        </w:rPr>
        <w:t> </w:t>
      </w:r>
      <w:r>
        <w:rPr>
          <w:color w:val="231F20"/>
          <w:w w:val="90"/>
          <w:sz w:val="21"/>
        </w:rPr>
        <w:t>UNAM.</w:t>
      </w:r>
    </w:p>
    <w:p>
      <w:pPr>
        <w:spacing w:line="247" w:lineRule="auto" w:before="0"/>
        <w:ind w:left="822" w:right="63" w:hanging="720"/>
        <w:jc w:val="left"/>
        <w:rPr>
          <w:sz w:val="21"/>
        </w:rPr>
      </w:pPr>
      <w:r>
        <w:rPr>
          <w:color w:val="231F20"/>
          <w:w w:val="90"/>
          <w:sz w:val="21"/>
        </w:rPr>
        <w:t>Voors,</w:t>
      </w:r>
      <w:r>
        <w:rPr>
          <w:color w:val="231F20"/>
          <w:spacing w:val="-12"/>
          <w:w w:val="90"/>
          <w:sz w:val="21"/>
        </w:rPr>
        <w:t> </w:t>
      </w:r>
      <w:r>
        <w:rPr>
          <w:color w:val="231F20"/>
          <w:w w:val="90"/>
          <w:sz w:val="21"/>
        </w:rPr>
        <w:t>William.</w:t>
      </w:r>
      <w:r>
        <w:rPr>
          <w:color w:val="231F20"/>
          <w:spacing w:val="-12"/>
          <w:w w:val="90"/>
          <w:sz w:val="21"/>
        </w:rPr>
        <w:t> </w:t>
      </w:r>
      <w:r>
        <w:rPr>
          <w:color w:val="231F20"/>
          <w:w w:val="90"/>
          <w:sz w:val="21"/>
        </w:rPr>
        <w:t>(2005).</w:t>
      </w:r>
      <w:r>
        <w:rPr>
          <w:color w:val="231F20"/>
          <w:spacing w:val="-12"/>
          <w:w w:val="90"/>
          <w:sz w:val="21"/>
        </w:rPr>
        <w:t> </w:t>
      </w:r>
      <w:r>
        <w:rPr>
          <w:i/>
          <w:color w:val="231F20"/>
          <w:w w:val="90"/>
          <w:sz w:val="21"/>
        </w:rPr>
        <w:t>Bullying:</w:t>
      </w:r>
      <w:r>
        <w:rPr>
          <w:i/>
          <w:color w:val="231F20"/>
          <w:spacing w:val="-12"/>
          <w:w w:val="90"/>
          <w:sz w:val="21"/>
        </w:rPr>
        <w:t> </w:t>
      </w:r>
      <w:r>
        <w:rPr>
          <w:i/>
          <w:color w:val="231F20"/>
          <w:w w:val="90"/>
          <w:sz w:val="21"/>
        </w:rPr>
        <w:t>el</w:t>
      </w:r>
      <w:r>
        <w:rPr>
          <w:i/>
          <w:color w:val="231F20"/>
          <w:spacing w:val="-12"/>
          <w:w w:val="90"/>
          <w:sz w:val="21"/>
        </w:rPr>
        <w:t> </w:t>
      </w:r>
      <w:r>
        <w:rPr>
          <w:i/>
          <w:color w:val="231F20"/>
          <w:w w:val="90"/>
          <w:sz w:val="21"/>
        </w:rPr>
        <w:t>acoso</w:t>
      </w:r>
      <w:r>
        <w:rPr>
          <w:i/>
          <w:color w:val="231F20"/>
          <w:spacing w:val="-11"/>
          <w:w w:val="90"/>
          <w:sz w:val="21"/>
        </w:rPr>
        <w:t> </w:t>
      </w:r>
      <w:r>
        <w:rPr>
          <w:i/>
          <w:color w:val="231F20"/>
          <w:w w:val="90"/>
          <w:sz w:val="21"/>
        </w:rPr>
        <w:t>escolar.</w:t>
      </w:r>
      <w:r>
        <w:rPr>
          <w:i/>
          <w:color w:val="231F20"/>
          <w:spacing w:val="-12"/>
          <w:w w:val="90"/>
          <w:sz w:val="21"/>
        </w:rPr>
        <w:t> </w:t>
      </w:r>
      <w:r>
        <w:rPr>
          <w:i/>
          <w:color w:val="231F20"/>
          <w:w w:val="90"/>
          <w:sz w:val="21"/>
        </w:rPr>
        <w:t>El</w:t>
      </w:r>
      <w:r>
        <w:rPr>
          <w:i/>
          <w:color w:val="231F20"/>
          <w:spacing w:val="-12"/>
          <w:w w:val="90"/>
          <w:sz w:val="21"/>
        </w:rPr>
        <w:t> </w:t>
      </w:r>
      <w:r>
        <w:rPr>
          <w:i/>
          <w:color w:val="231F20"/>
          <w:w w:val="90"/>
          <w:sz w:val="21"/>
        </w:rPr>
        <w:t>libro</w:t>
      </w:r>
      <w:r>
        <w:rPr>
          <w:i/>
          <w:color w:val="231F20"/>
          <w:spacing w:val="-11"/>
          <w:w w:val="90"/>
          <w:sz w:val="21"/>
        </w:rPr>
        <w:t> </w:t>
      </w:r>
      <w:r>
        <w:rPr>
          <w:i/>
          <w:color w:val="231F20"/>
          <w:w w:val="90"/>
          <w:sz w:val="21"/>
        </w:rPr>
        <w:t>que</w:t>
      </w:r>
      <w:r>
        <w:rPr>
          <w:i/>
          <w:color w:val="231F20"/>
          <w:spacing w:val="-12"/>
          <w:w w:val="90"/>
          <w:sz w:val="21"/>
        </w:rPr>
        <w:t> </w:t>
      </w:r>
      <w:r>
        <w:rPr>
          <w:i/>
          <w:color w:val="231F20"/>
          <w:w w:val="90"/>
          <w:sz w:val="21"/>
        </w:rPr>
        <w:t>todos</w:t>
      </w:r>
      <w:r>
        <w:rPr>
          <w:i/>
          <w:color w:val="231F20"/>
          <w:spacing w:val="-12"/>
          <w:w w:val="90"/>
          <w:sz w:val="21"/>
        </w:rPr>
        <w:t> </w:t>
      </w:r>
      <w:r>
        <w:rPr>
          <w:i/>
          <w:color w:val="231F20"/>
          <w:w w:val="90"/>
          <w:sz w:val="21"/>
        </w:rPr>
        <w:t>los </w:t>
      </w:r>
      <w:r>
        <w:rPr>
          <w:i/>
          <w:color w:val="231F20"/>
          <w:w w:val="90"/>
          <w:sz w:val="21"/>
        </w:rPr>
        <w:t>padres</w:t>
      </w:r>
      <w:r>
        <w:rPr>
          <w:i/>
          <w:color w:val="231F20"/>
          <w:spacing w:val="-10"/>
          <w:w w:val="90"/>
          <w:sz w:val="21"/>
        </w:rPr>
        <w:t> </w:t>
      </w:r>
      <w:r>
        <w:rPr>
          <w:i/>
          <w:color w:val="231F20"/>
          <w:w w:val="90"/>
          <w:sz w:val="21"/>
        </w:rPr>
        <w:t>deben</w:t>
      </w:r>
      <w:r>
        <w:rPr>
          <w:i/>
          <w:color w:val="231F20"/>
          <w:spacing w:val="-10"/>
          <w:w w:val="90"/>
          <w:sz w:val="21"/>
        </w:rPr>
        <w:t> </w:t>
      </w:r>
      <w:r>
        <w:rPr>
          <w:i/>
          <w:color w:val="231F20"/>
          <w:w w:val="90"/>
          <w:sz w:val="21"/>
        </w:rPr>
        <w:t>conocer.</w:t>
      </w:r>
      <w:r>
        <w:rPr>
          <w:i/>
          <w:color w:val="231F20"/>
          <w:spacing w:val="-10"/>
          <w:w w:val="90"/>
          <w:sz w:val="21"/>
        </w:rPr>
        <w:t> </w:t>
      </w:r>
      <w:r>
        <w:rPr>
          <w:color w:val="231F20"/>
          <w:w w:val="90"/>
          <w:sz w:val="21"/>
        </w:rPr>
        <w:t>Barcelona:</w:t>
      </w:r>
      <w:r>
        <w:rPr>
          <w:color w:val="231F20"/>
          <w:spacing w:val="-10"/>
          <w:w w:val="90"/>
          <w:sz w:val="21"/>
        </w:rPr>
        <w:t> </w:t>
      </w:r>
      <w:r>
        <w:rPr>
          <w:color w:val="231F20"/>
          <w:w w:val="90"/>
          <w:sz w:val="21"/>
        </w:rPr>
        <w:t>Oniro.</w:t>
      </w:r>
    </w:p>
    <w:p>
      <w:pPr>
        <w:spacing w:line="242" w:lineRule="auto" w:before="1"/>
        <w:ind w:left="822" w:right="192" w:hanging="721"/>
        <w:jc w:val="left"/>
        <w:rPr>
          <w:sz w:val="21"/>
        </w:rPr>
      </w:pPr>
      <w:r>
        <w:rPr>
          <w:color w:val="231F20"/>
          <w:sz w:val="21"/>
        </w:rPr>
        <w:t>Weber,</w:t>
      </w:r>
      <w:r>
        <w:rPr>
          <w:color w:val="231F20"/>
          <w:spacing w:val="-34"/>
          <w:sz w:val="21"/>
        </w:rPr>
        <w:t> </w:t>
      </w:r>
      <w:r>
        <w:rPr>
          <w:color w:val="231F20"/>
          <w:sz w:val="21"/>
        </w:rPr>
        <w:t>Max.</w:t>
      </w:r>
      <w:r>
        <w:rPr>
          <w:color w:val="231F20"/>
          <w:spacing w:val="-34"/>
          <w:sz w:val="21"/>
        </w:rPr>
        <w:t> </w:t>
      </w:r>
      <w:r>
        <w:rPr>
          <w:color w:val="231F20"/>
          <w:sz w:val="21"/>
        </w:rPr>
        <w:t>(2008).</w:t>
      </w:r>
      <w:r>
        <w:rPr>
          <w:color w:val="231F20"/>
          <w:spacing w:val="-34"/>
          <w:sz w:val="21"/>
        </w:rPr>
        <w:t> </w:t>
      </w:r>
      <w:r>
        <w:rPr>
          <w:i/>
          <w:color w:val="231F20"/>
          <w:sz w:val="21"/>
        </w:rPr>
        <w:t>Economía</w:t>
      </w:r>
      <w:r>
        <w:rPr>
          <w:i/>
          <w:color w:val="231F20"/>
          <w:spacing w:val="-34"/>
          <w:sz w:val="21"/>
        </w:rPr>
        <w:t> </w:t>
      </w:r>
      <w:r>
        <w:rPr>
          <w:i/>
          <w:color w:val="231F20"/>
          <w:sz w:val="21"/>
        </w:rPr>
        <w:t>y</w:t>
      </w:r>
      <w:r>
        <w:rPr>
          <w:i/>
          <w:color w:val="231F20"/>
          <w:spacing w:val="-34"/>
          <w:sz w:val="21"/>
        </w:rPr>
        <w:t> </w:t>
      </w:r>
      <w:r>
        <w:rPr>
          <w:i/>
          <w:color w:val="231F20"/>
          <w:sz w:val="21"/>
        </w:rPr>
        <w:t>sociedad.</w:t>
      </w:r>
      <w:r>
        <w:rPr>
          <w:i/>
          <w:color w:val="231F20"/>
          <w:spacing w:val="-34"/>
          <w:sz w:val="21"/>
        </w:rPr>
        <w:t> </w:t>
      </w:r>
      <w:r>
        <w:rPr>
          <w:color w:val="231F20"/>
          <w:sz w:val="21"/>
        </w:rPr>
        <w:t>México:</w:t>
      </w:r>
      <w:r>
        <w:rPr>
          <w:color w:val="231F20"/>
          <w:spacing w:val="-34"/>
          <w:sz w:val="21"/>
        </w:rPr>
        <w:t> </w:t>
      </w:r>
      <w:r>
        <w:rPr>
          <w:color w:val="231F20"/>
          <w:sz w:val="21"/>
        </w:rPr>
        <w:t>Fondo</w:t>
      </w:r>
      <w:r>
        <w:rPr>
          <w:color w:val="231F20"/>
          <w:spacing w:val="-34"/>
          <w:sz w:val="21"/>
        </w:rPr>
        <w:t> </w:t>
      </w:r>
      <w:r>
        <w:rPr>
          <w:color w:val="231F20"/>
          <w:sz w:val="21"/>
        </w:rPr>
        <w:t>de</w:t>
      </w:r>
      <w:r>
        <w:rPr>
          <w:color w:val="231F20"/>
          <w:spacing w:val="-34"/>
          <w:sz w:val="21"/>
        </w:rPr>
        <w:t> </w:t>
      </w:r>
      <w:r>
        <w:rPr>
          <w:color w:val="231F20"/>
          <w:sz w:val="21"/>
        </w:rPr>
        <w:t>Cultura Económica.</w:t>
      </w:r>
    </w:p>
    <w:p>
      <w:pPr>
        <w:spacing w:after="0" w:line="242" w:lineRule="auto"/>
        <w:jc w:val="left"/>
        <w:rPr>
          <w:sz w:val="21"/>
        </w:rPr>
        <w:sectPr>
          <w:headerReference w:type="default" r:id="rId238"/>
          <w:footerReference w:type="default" r:id="rId239"/>
          <w:pgSz w:w="7830" w:h="11910"/>
          <w:pgMar w:header="0" w:footer="424" w:top="500" w:bottom="620" w:left="920" w:right="960"/>
          <w:pgNumType w:start="109"/>
        </w:sectPr>
      </w:pPr>
    </w:p>
    <w:p>
      <w:pPr>
        <w:pStyle w:val="BodyText"/>
        <w:rPr>
          <w:sz w:val="20"/>
        </w:rPr>
      </w:pPr>
      <w:r>
        <w:rPr/>
        <w:pict>
          <v:shape style="position:absolute;margin-left:0pt;margin-top:431.243011pt;width:245.4pt;height:27pt;mso-position-horizontal-relative:page;mso-position-vertical-relative:page;z-index:-483760" type="#_x0000_t202" filled="false" stroked="false">
            <v:textbox inset="0,0,0,0">
              <w:txbxContent>
                <w:p>
                  <w:pPr>
                    <w:pStyle w:val="BodyText"/>
                    <w:spacing w:before="1"/>
                    <w:rPr>
                      <w:sz w:val="15"/>
                    </w:rPr>
                  </w:pPr>
                </w:p>
                <w:p>
                  <w:pPr>
                    <w:spacing w:before="1"/>
                    <w:ind w:left="1888" w:right="2712" w:firstLine="0"/>
                    <w:jc w:val="center"/>
                    <w:rPr>
                      <w:sz w:val="17"/>
                    </w:rPr>
                  </w:pPr>
                  <w:r>
                    <w:rPr>
                      <w:color w:val="231F20"/>
                      <w:w w:val="105"/>
                      <w:sz w:val="17"/>
                    </w:rPr>
                    <w:t>110</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p>
    <w:p>
      <w:pPr>
        <w:pStyle w:val="BodyText"/>
        <w:rPr>
          <w:sz w:val="20"/>
        </w:rPr>
      </w:pPr>
      <w:r>
        <w:rPr>
          <w:sz w:val="20"/>
        </w:rPr>
        <w:pict>
          <v:group style="width:245.4pt;height:27pt;mso-position-horizontal-relative:char;mso-position-vertical-relative:line" coordorigin="0,0" coordsize="4908,540">
            <v:rect style="position:absolute;left:0;top:0;width:4907;height:540" filled="true" fillcolor="#ffffff" stroked="false">
              <v:fill type="solid"/>
            </v:rect>
          </v:group>
        </w:pict>
      </w:r>
      <w:r>
        <w:rPr>
          <w:sz w:val="20"/>
        </w:rPr>
      </w:r>
    </w:p>
    <w:p>
      <w:pPr>
        <w:spacing w:after="0"/>
        <w:rPr>
          <w:sz w:val="20"/>
        </w:rPr>
        <w:sectPr>
          <w:headerReference w:type="default" r:id="rId240"/>
          <w:footerReference w:type="default" r:id="rId241"/>
          <w:pgSz w:w="7830" w:h="11910"/>
          <w:pgMar w:header="0" w:footer="0" w:top="1100" w:bottom="280" w:left="0" w:right="1060"/>
        </w:sectPr>
      </w:pPr>
    </w:p>
    <w:p>
      <w:pPr>
        <w:pStyle w:val="BodyText"/>
        <w:ind w:left="1200"/>
        <w:rPr>
          <w:sz w:val="20"/>
        </w:rPr>
      </w:pPr>
      <w:r>
        <w:rPr>
          <w:sz w:val="20"/>
        </w:rPr>
        <w:pict>
          <v:group style="width:180pt;height:18pt;mso-position-horizontal-relative:char;mso-position-vertical-relative:line" coordorigin="0,0" coordsize="3600,360">
            <v:rect style="position:absolute;left:0;top:0;width:3600;height:360" filled="true" fillcolor="#ffffff" stroked="false">
              <v:fill type="solid"/>
            </v:rect>
          </v:group>
        </w:pict>
      </w:r>
      <w:r>
        <w:rPr>
          <w:sz w:val="20"/>
        </w:rPr>
      </w:r>
    </w:p>
    <w:p>
      <w:pPr>
        <w:pStyle w:val="BodyText"/>
        <w:spacing w:before="2"/>
        <w:rPr>
          <w:sz w:val="23"/>
        </w:rPr>
      </w:pPr>
    </w:p>
    <w:p>
      <w:pPr>
        <w:pStyle w:val="Heading2"/>
        <w:spacing w:line="319" w:lineRule="exact" w:before="50"/>
        <w:jc w:val="both"/>
        <w:rPr>
          <w:rFonts w:ascii="Georgia" w:hAnsi="Georgia"/>
        </w:rPr>
      </w:pPr>
      <w:r>
        <w:rPr/>
        <w:pict>
          <v:shape style="position:absolute;margin-left:105.041pt;margin-top:-32.324879pt;width:180pt;height:18pt;mso-position-horizontal-relative:page;mso-position-vertical-relative:paragraph;z-index:-483688" type="#_x0000_t202" filled="false" stroked="false">
            <v:textbox inset="0,0,0,0">
              <w:txbxContent>
                <w:p>
                  <w:pPr>
                    <w:spacing w:before="80"/>
                    <w:ind w:left="282" w:right="0" w:firstLine="0"/>
                    <w:jc w:val="left"/>
                    <w:rPr>
                      <w:sz w:val="13"/>
                    </w:rPr>
                  </w:pPr>
                  <w:r>
                    <w:rPr>
                      <w:color w:val="231F20"/>
                      <w:sz w:val="16"/>
                    </w:rPr>
                    <w:t>E</w:t>
                  </w:r>
                  <w:r>
                    <w:rPr>
                      <w:color w:val="231F20"/>
                      <w:sz w:val="13"/>
                    </w:rPr>
                    <w:t>STUDIOS SOBRE VIOLENCIA EN LA EDUCACIÓN</w:t>
                  </w:r>
                </w:p>
              </w:txbxContent>
            </v:textbox>
            <w10:wrap type="none"/>
          </v:shape>
        </w:pict>
      </w:r>
      <w:r>
        <w:rPr>
          <w:rFonts w:ascii="Arial" w:hAnsi="Arial"/>
          <w:color w:val="231F20"/>
          <w:w w:val="105"/>
          <w:sz w:val="28"/>
        </w:rPr>
        <w:t>D</w:t>
      </w:r>
      <w:r>
        <w:rPr>
          <w:color w:val="231F20"/>
          <w:w w:val="105"/>
        </w:rPr>
        <w:t>ESCONTENTO</w:t>
      </w:r>
      <w:r>
        <w:rPr>
          <w:rFonts w:ascii="Arial" w:hAnsi="Arial"/>
          <w:color w:val="231F20"/>
          <w:w w:val="105"/>
          <w:sz w:val="28"/>
        </w:rPr>
        <w:t>, </w:t>
      </w:r>
      <w:r>
        <w:rPr>
          <w:color w:val="231F20"/>
          <w:w w:val="105"/>
        </w:rPr>
        <w:t>INDISCIPLINA Y </w:t>
      </w:r>
      <w:r>
        <w:rPr>
          <w:rFonts w:ascii="Trebuchet MS" w:hAnsi="Trebuchet MS"/>
          <w:color w:val="231F20"/>
          <w:w w:val="105"/>
          <w:sz w:val="28"/>
        </w:rPr>
        <w:t>¿</w:t>
      </w:r>
      <w:r>
        <w:rPr>
          <w:rFonts w:ascii="Georgia" w:hAnsi="Georgia"/>
          <w:color w:val="231F20"/>
          <w:w w:val="105"/>
        </w:rPr>
        <w:t>VIOLENCIA</w:t>
      </w:r>
    </w:p>
    <w:p>
      <w:pPr>
        <w:spacing w:line="323" w:lineRule="exact" w:before="0"/>
        <w:ind w:left="122" w:right="0" w:firstLine="0"/>
        <w:jc w:val="both"/>
        <w:rPr>
          <w:b/>
          <w:sz w:val="21"/>
        </w:rPr>
      </w:pPr>
      <w:r>
        <w:rPr>
          <w:b/>
          <w:color w:val="231F20"/>
          <w:sz w:val="21"/>
        </w:rPr>
        <w:t>ESCOLAR</w:t>
      </w:r>
      <w:r>
        <w:rPr>
          <w:rFonts w:ascii="Calibri"/>
          <w:b/>
          <w:color w:val="231F20"/>
          <w:sz w:val="28"/>
        </w:rPr>
        <w:t>?: </w:t>
      </w:r>
      <w:r>
        <w:rPr>
          <w:rFonts w:ascii="Arial"/>
          <w:b/>
          <w:color w:val="231F20"/>
          <w:sz w:val="28"/>
        </w:rPr>
        <w:t>D</w:t>
      </w:r>
      <w:r>
        <w:rPr>
          <w:b/>
          <w:color w:val="231F20"/>
          <w:sz w:val="21"/>
        </w:rPr>
        <w:t>ISCURSOS Y MODOS  EDUCATIVOS</w:t>
      </w:r>
    </w:p>
    <w:p>
      <w:pPr>
        <w:spacing w:line="310" w:lineRule="exact" w:before="0"/>
        <w:ind w:left="122" w:right="0" w:firstLine="0"/>
        <w:jc w:val="both"/>
        <w:rPr>
          <w:b/>
          <w:sz w:val="21"/>
        </w:rPr>
      </w:pPr>
      <w:r>
        <w:rPr>
          <w:rFonts w:ascii="Georgia" w:hAnsi="Georgia"/>
          <w:b/>
          <w:color w:val="231F20"/>
          <w:sz w:val="21"/>
        </w:rPr>
        <w:t>EN EL </w:t>
      </w:r>
      <w:r>
        <w:rPr>
          <w:b/>
          <w:color w:val="231F20"/>
          <w:sz w:val="28"/>
        </w:rPr>
        <w:t>I</w:t>
      </w:r>
      <w:r>
        <w:rPr>
          <w:b/>
          <w:color w:val="231F20"/>
          <w:sz w:val="21"/>
        </w:rPr>
        <w:t>NSTITUTO </w:t>
      </w:r>
      <w:r>
        <w:rPr>
          <w:rFonts w:ascii="Arial" w:hAnsi="Arial"/>
          <w:b/>
          <w:color w:val="231F20"/>
          <w:sz w:val="28"/>
        </w:rPr>
        <w:t>C</w:t>
      </w:r>
      <w:r>
        <w:rPr>
          <w:rFonts w:ascii="Georgia" w:hAnsi="Georgia"/>
          <w:b/>
          <w:color w:val="231F20"/>
          <w:sz w:val="21"/>
        </w:rPr>
        <w:t>IENTÍFICO Y </w:t>
      </w:r>
      <w:r>
        <w:rPr>
          <w:b/>
          <w:color w:val="231F20"/>
          <w:sz w:val="28"/>
        </w:rPr>
        <w:t>L</w:t>
      </w:r>
      <w:r>
        <w:rPr>
          <w:b/>
          <w:color w:val="231F20"/>
          <w:sz w:val="21"/>
        </w:rPr>
        <w:t>ITERARIO   DEL</w:t>
      </w:r>
    </w:p>
    <w:p>
      <w:pPr>
        <w:spacing w:line="327" w:lineRule="exact" w:before="0"/>
        <w:ind w:left="122" w:right="0" w:firstLine="0"/>
        <w:jc w:val="both"/>
        <w:rPr>
          <w:b/>
          <w:sz w:val="21"/>
        </w:rPr>
      </w:pPr>
      <w:r>
        <w:rPr>
          <w:rFonts w:ascii="Georgia" w:hAnsi="Georgia"/>
          <w:b/>
          <w:color w:val="231F20"/>
          <w:w w:val="105"/>
          <w:sz w:val="28"/>
        </w:rPr>
        <w:t>E</w:t>
      </w:r>
      <w:r>
        <w:rPr>
          <w:b/>
          <w:color w:val="231F20"/>
          <w:w w:val="105"/>
          <w:sz w:val="21"/>
        </w:rPr>
        <w:t>STADO DE </w:t>
      </w:r>
      <w:r>
        <w:rPr>
          <w:rFonts w:ascii="Aharoni" w:hAnsi="Aharoni"/>
          <w:b/>
          <w:color w:val="231F20"/>
          <w:w w:val="105"/>
          <w:sz w:val="28"/>
        </w:rPr>
        <w:t>M</w:t>
      </w:r>
      <w:r>
        <w:rPr>
          <w:b/>
          <w:color w:val="231F20"/>
          <w:w w:val="105"/>
          <w:sz w:val="21"/>
        </w:rPr>
        <w:t>ÉXICO</w:t>
      </w:r>
    </w:p>
    <w:p>
      <w:pPr>
        <w:pStyle w:val="BodyText"/>
        <w:spacing w:before="10"/>
        <w:rPr>
          <w:b/>
          <w:sz w:val="26"/>
        </w:rPr>
      </w:pPr>
    </w:p>
    <w:p>
      <w:pPr>
        <w:pStyle w:val="BodyText"/>
        <w:spacing w:line="247" w:lineRule="auto"/>
        <w:ind w:left="122" w:right="3725"/>
        <w:rPr>
          <w:rFonts w:ascii="Symbol" w:hAnsi="Symbol"/>
          <w:sz w:val="17"/>
        </w:rPr>
      </w:pPr>
      <w:r>
        <w:rPr>
          <w:color w:val="231F20"/>
        </w:rPr>
        <w:t>Antonio Padilla-Arroyo</w:t>
      </w:r>
      <w:r>
        <w:rPr>
          <w:rFonts w:ascii="Symbol" w:hAnsi="Symbol"/>
          <w:color w:val="231F20"/>
          <w:sz w:val="17"/>
        </w:rPr>
        <w:t></w:t>
      </w:r>
      <w:r>
        <w:rPr>
          <w:color w:val="231F20"/>
          <w:sz w:val="17"/>
        </w:rPr>
        <w:t> </w:t>
      </w:r>
      <w:r>
        <w:rPr>
          <w:color w:val="231F20"/>
        </w:rPr>
        <w:t>Alcira Soler-Durán</w:t>
      </w:r>
      <w:r>
        <w:rPr>
          <w:rFonts w:ascii="Symbol" w:hAnsi="Symbol"/>
          <w:color w:val="231F20"/>
          <w:sz w:val="17"/>
        </w:rPr>
        <w:t></w:t>
      </w:r>
    </w:p>
    <w:p>
      <w:pPr>
        <w:pStyle w:val="BodyText"/>
        <w:rPr>
          <w:rFonts w:ascii="Symbol" w:hAnsi="Symbol"/>
          <w:sz w:val="22"/>
        </w:rPr>
      </w:pPr>
    </w:p>
    <w:p>
      <w:pPr>
        <w:pStyle w:val="BodyText"/>
        <w:rPr>
          <w:rFonts w:ascii="Symbol" w:hAnsi="Symbol"/>
          <w:sz w:val="22"/>
        </w:rPr>
      </w:pPr>
    </w:p>
    <w:p>
      <w:pPr>
        <w:pStyle w:val="BodyText"/>
        <w:spacing w:before="9"/>
        <w:rPr>
          <w:rFonts w:ascii="Symbol" w:hAnsi="Symbol"/>
          <w:sz w:val="18"/>
        </w:rPr>
      </w:pPr>
    </w:p>
    <w:p>
      <w:pPr>
        <w:pStyle w:val="BodyText"/>
        <w:ind w:left="122"/>
        <w:jc w:val="both"/>
      </w:pPr>
      <w:r>
        <w:rPr>
          <w:color w:val="231F20"/>
        </w:rPr>
        <w:t>Resumen</w:t>
      </w:r>
    </w:p>
    <w:p>
      <w:pPr>
        <w:pStyle w:val="BodyText"/>
        <w:spacing w:line="244" w:lineRule="auto" w:before="8"/>
        <w:ind w:left="122" w:right="116"/>
        <w:jc w:val="both"/>
      </w:pPr>
      <w:r>
        <w:rPr>
          <w:color w:val="231F20"/>
        </w:rPr>
        <w:t>Este texto tiene una idea central: la institución educativa en  un campo de conflicto. Esta idea hace hincapié en la violencia como   un componente esencial a partir del cual se organizó un sistema jerárquico de orden que legitima la violencia y que se distribuye en todo el sistema. De esta manera, la violencia no es arbitraria, sino controlada y aceptada por los actores y la</w:t>
      </w:r>
      <w:r>
        <w:rPr>
          <w:color w:val="231F20"/>
          <w:spacing w:val="13"/>
        </w:rPr>
        <w:t> </w:t>
      </w:r>
      <w:r>
        <w:rPr>
          <w:color w:val="231F20"/>
        </w:rPr>
        <w:t>institución.</w:t>
      </w:r>
    </w:p>
    <w:p>
      <w:pPr>
        <w:pStyle w:val="BodyText"/>
        <w:spacing w:before="6"/>
      </w:pPr>
    </w:p>
    <w:p>
      <w:pPr>
        <w:pStyle w:val="BodyText"/>
        <w:ind w:left="122"/>
        <w:jc w:val="both"/>
      </w:pPr>
      <w:r>
        <w:rPr>
          <w:color w:val="231F20"/>
        </w:rPr>
        <w:t>Palabras clave: violencia, conflicto, educación, institución.</w:t>
      </w:r>
    </w:p>
    <w:p>
      <w:pPr>
        <w:pStyle w:val="BodyText"/>
        <w:rPr>
          <w:sz w:val="22"/>
        </w:rPr>
      </w:pPr>
    </w:p>
    <w:p>
      <w:pPr>
        <w:pStyle w:val="BodyText"/>
        <w:spacing w:before="8"/>
      </w:pPr>
    </w:p>
    <w:p>
      <w:pPr>
        <w:pStyle w:val="BodyText"/>
        <w:spacing w:line="244" w:lineRule="auto"/>
        <w:ind w:left="122" w:right="115"/>
        <w:jc w:val="both"/>
      </w:pPr>
      <w:r>
        <w:rPr>
          <w:color w:val="231F20"/>
        </w:rPr>
        <w:t>Discontent, indisciplina and violence? school: speeches and educa- tional modes en the Literary and Scientific Institute of the State of Mexico.</w:t>
      </w:r>
    </w:p>
    <w:p>
      <w:pPr>
        <w:pStyle w:val="BodyText"/>
        <w:spacing w:before="6"/>
      </w:pPr>
    </w:p>
    <w:p>
      <w:pPr>
        <w:pStyle w:val="BodyText"/>
        <w:ind w:left="122"/>
        <w:jc w:val="both"/>
      </w:pPr>
      <w:r>
        <w:rPr>
          <w:color w:val="231F20"/>
        </w:rPr>
        <w:t>Abstract</w:t>
      </w:r>
    </w:p>
    <w:p>
      <w:pPr>
        <w:pStyle w:val="BodyText"/>
        <w:spacing w:line="244" w:lineRule="auto" w:before="8"/>
        <w:ind w:left="122" w:right="115"/>
        <w:jc w:val="both"/>
      </w:pPr>
      <w:r>
        <w:rPr>
          <w:color w:val="231F20"/>
        </w:rPr>
        <w:t>This text has a central idea: the educational institution in a field of conflict. This idea emphasizes violence as an essential component from which a hierarchical system of order that legitimizes   violence</w:t>
      </w:r>
    </w:p>
    <w:p>
      <w:pPr>
        <w:pStyle w:val="BodyText"/>
        <w:spacing w:before="5"/>
        <w:rPr>
          <w:sz w:val="11"/>
        </w:rPr>
      </w:pPr>
      <w:r>
        <w:rPr/>
        <w:pict>
          <v:line style="position:absolute;mso-position-horizontal-relative:page;mso-position-vertical-relative:paragraph;z-index:1552;mso-wrap-distance-left:0;mso-wrap-distance-right:0" from="51.110001pt,8.775798pt" to="195.110001pt,8.775798pt" stroked="true" strokeweight=".48pt" strokecolor="#231f20">
            <w10:wrap type="topAndBottom"/>
          </v:line>
        </w:pict>
      </w:r>
    </w:p>
    <w:p>
      <w:pPr>
        <w:spacing w:line="367" w:lineRule="auto" w:before="123"/>
        <w:ind w:left="122" w:right="116" w:hanging="1"/>
        <w:jc w:val="both"/>
        <w:rPr>
          <w:sz w:val="14"/>
        </w:rPr>
      </w:pPr>
      <w:r>
        <w:rPr>
          <w:rFonts w:ascii="Symbol" w:hAnsi="Symbol"/>
          <w:color w:val="231F20"/>
          <w:spacing w:val="1"/>
          <w:w w:val="111"/>
          <w:sz w:val="6"/>
        </w:rPr>
        <w:t></w:t>
      </w:r>
      <w:r>
        <w:rPr>
          <w:color w:val="231F20"/>
          <w:w w:val="93"/>
          <w:sz w:val="14"/>
        </w:rPr>
        <w:t>A</w:t>
      </w:r>
      <w:r>
        <w:rPr>
          <w:color w:val="231F20"/>
          <w:w w:val="102"/>
          <w:sz w:val="14"/>
        </w:rPr>
        <w:t>nt</w:t>
      </w:r>
      <w:r>
        <w:rPr>
          <w:color w:val="231F20"/>
          <w:w w:val="97"/>
          <w:sz w:val="14"/>
        </w:rPr>
        <w:t>oni</w:t>
      </w:r>
      <w:r>
        <w:rPr>
          <w:color w:val="231F20"/>
          <w:w w:val="101"/>
          <w:sz w:val="14"/>
        </w:rPr>
        <w:t>o</w:t>
      </w:r>
      <w:r>
        <w:rPr>
          <w:color w:val="231F20"/>
          <w:sz w:val="14"/>
        </w:rPr>
        <w:t> </w:t>
      </w:r>
      <w:r>
        <w:rPr>
          <w:color w:val="231F20"/>
          <w:spacing w:val="-8"/>
          <w:sz w:val="14"/>
        </w:rPr>
        <w:t> </w:t>
      </w:r>
      <w:r>
        <w:rPr>
          <w:color w:val="231F20"/>
          <w:w w:val="96"/>
          <w:sz w:val="14"/>
        </w:rPr>
        <w:t>Pa</w:t>
      </w:r>
      <w:r>
        <w:rPr>
          <w:color w:val="231F20"/>
          <w:w w:val="93"/>
          <w:sz w:val="14"/>
        </w:rPr>
        <w:t>di</w:t>
      </w:r>
      <w:r>
        <w:rPr>
          <w:color w:val="231F20"/>
          <w:w w:val="81"/>
          <w:sz w:val="14"/>
        </w:rPr>
        <w:t>ll</w:t>
      </w:r>
      <w:r>
        <w:rPr>
          <w:color w:val="231F20"/>
          <w:w w:val="91"/>
          <w:sz w:val="14"/>
        </w:rPr>
        <w:t>a</w:t>
      </w:r>
      <w:r>
        <w:rPr>
          <w:color w:val="231F20"/>
          <w:sz w:val="14"/>
        </w:rPr>
        <w:t> </w:t>
      </w:r>
      <w:r>
        <w:rPr>
          <w:color w:val="231F20"/>
          <w:spacing w:val="-9"/>
          <w:sz w:val="14"/>
        </w:rPr>
        <w:t> </w:t>
      </w:r>
      <w:r>
        <w:rPr>
          <w:color w:val="231F20"/>
          <w:w w:val="93"/>
          <w:sz w:val="14"/>
        </w:rPr>
        <w:t>e</w:t>
      </w:r>
      <w:r>
        <w:rPr>
          <w:color w:val="231F20"/>
          <w:w w:val="93"/>
          <w:sz w:val="14"/>
        </w:rPr>
        <w:t>s</w:t>
      </w:r>
      <w:r>
        <w:rPr>
          <w:color w:val="231F20"/>
          <w:sz w:val="14"/>
        </w:rPr>
        <w:t> </w:t>
      </w:r>
      <w:r>
        <w:rPr>
          <w:color w:val="231F20"/>
          <w:spacing w:val="-8"/>
          <w:sz w:val="14"/>
        </w:rPr>
        <w:t> </w:t>
      </w:r>
      <w:r>
        <w:rPr>
          <w:color w:val="231F20"/>
          <w:w w:val="100"/>
          <w:sz w:val="14"/>
        </w:rPr>
        <w:t>pr</w:t>
      </w:r>
      <w:r>
        <w:rPr>
          <w:color w:val="231F20"/>
          <w:w w:val="99"/>
          <w:sz w:val="14"/>
        </w:rPr>
        <w:t>of</w:t>
      </w:r>
      <w:r>
        <w:rPr>
          <w:color w:val="231F20"/>
          <w:w w:val="93"/>
          <w:sz w:val="14"/>
        </w:rPr>
        <w:t>e</w:t>
      </w:r>
      <w:r>
        <w:rPr>
          <w:color w:val="231F20"/>
          <w:w w:val="93"/>
          <w:sz w:val="14"/>
        </w:rPr>
        <w:t>s</w:t>
      </w:r>
      <w:r>
        <w:rPr>
          <w:color w:val="231F20"/>
          <w:w w:val="100"/>
          <w:sz w:val="14"/>
        </w:rPr>
        <w:t>or</w:t>
      </w:r>
      <w:r>
        <w:rPr>
          <w:color w:val="231F20"/>
          <w:w w:val="93"/>
          <w:sz w:val="14"/>
        </w:rPr>
        <w:t>-</w:t>
      </w:r>
      <w:r>
        <w:rPr>
          <w:color w:val="231F20"/>
          <w:w w:val="81"/>
          <w:sz w:val="14"/>
        </w:rPr>
        <w:t>i</w:t>
      </w:r>
      <w:r>
        <w:rPr>
          <w:color w:val="231F20"/>
          <w:w w:val="97"/>
          <w:sz w:val="14"/>
        </w:rPr>
        <w:t>nv</w:t>
      </w:r>
      <w:r>
        <w:rPr>
          <w:color w:val="231F20"/>
          <w:w w:val="93"/>
          <w:sz w:val="14"/>
        </w:rPr>
        <w:t>e</w:t>
      </w:r>
      <w:r>
        <w:rPr>
          <w:color w:val="231F20"/>
          <w:w w:val="93"/>
          <w:sz w:val="14"/>
        </w:rPr>
        <w:t>s</w:t>
      </w:r>
      <w:r>
        <w:rPr>
          <w:color w:val="231F20"/>
          <w:w w:val="104"/>
          <w:sz w:val="14"/>
        </w:rPr>
        <w:t>t</w:t>
      </w:r>
      <w:r>
        <w:rPr>
          <w:color w:val="231F20"/>
          <w:w w:val="81"/>
          <w:sz w:val="14"/>
        </w:rPr>
        <w:t>i</w:t>
      </w:r>
      <w:r>
        <w:rPr>
          <w:color w:val="231F20"/>
          <w:w w:val="89"/>
          <w:sz w:val="14"/>
        </w:rPr>
        <w:t>g</w:t>
      </w:r>
      <w:r>
        <w:rPr>
          <w:color w:val="231F20"/>
          <w:w w:val="91"/>
          <w:sz w:val="14"/>
        </w:rPr>
        <w:t>a</w:t>
      </w:r>
      <w:r>
        <w:rPr>
          <w:color w:val="231F20"/>
          <w:w w:val="100"/>
          <w:sz w:val="14"/>
        </w:rPr>
        <w:t>dor</w:t>
      </w:r>
      <w:r>
        <w:rPr>
          <w:color w:val="231F20"/>
          <w:sz w:val="14"/>
        </w:rPr>
        <w:t> </w:t>
      </w:r>
      <w:r>
        <w:rPr>
          <w:color w:val="231F20"/>
          <w:spacing w:val="-9"/>
          <w:sz w:val="14"/>
        </w:rPr>
        <w:t> </w:t>
      </w:r>
      <w:r>
        <w:rPr>
          <w:color w:val="231F20"/>
          <w:w w:val="104"/>
          <w:sz w:val="14"/>
        </w:rPr>
        <w:t>t</w:t>
      </w:r>
      <w:r>
        <w:rPr>
          <w:color w:val="231F20"/>
          <w:w w:val="81"/>
          <w:sz w:val="14"/>
        </w:rPr>
        <w:t>i</w:t>
      </w:r>
      <w:r>
        <w:rPr>
          <w:color w:val="231F20"/>
          <w:w w:val="104"/>
          <w:sz w:val="14"/>
        </w:rPr>
        <w:t>t</w:t>
      </w:r>
      <w:r>
        <w:rPr>
          <w:color w:val="231F20"/>
          <w:w w:val="97"/>
          <w:sz w:val="14"/>
        </w:rPr>
        <w:t>u</w:t>
      </w:r>
      <w:r>
        <w:rPr>
          <w:color w:val="231F20"/>
          <w:w w:val="81"/>
          <w:sz w:val="14"/>
        </w:rPr>
        <w:t>l</w:t>
      </w:r>
      <w:r>
        <w:rPr>
          <w:color w:val="231F20"/>
          <w:w w:val="91"/>
          <w:sz w:val="14"/>
        </w:rPr>
        <w:t>a</w:t>
      </w:r>
      <w:r>
        <w:rPr>
          <w:color w:val="231F20"/>
          <w:w w:val="99"/>
          <w:sz w:val="14"/>
        </w:rPr>
        <w:t>r</w:t>
      </w:r>
      <w:r>
        <w:rPr>
          <w:color w:val="231F20"/>
          <w:sz w:val="14"/>
        </w:rPr>
        <w:t> </w:t>
      </w:r>
      <w:r>
        <w:rPr>
          <w:color w:val="231F20"/>
          <w:spacing w:val="-9"/>
          <w:sz w:val="14"/>
        </w:rPr>
        <w:t> </w:t>
      </w:r>
      <w:r>
        <w:rPr>
          <w:color w:val="231F20"/>
          <w:w w:val="93"/>
          <w:sz w:val="14"/>
        </w:rPr>
        <w:t>e</w:t>
      </w:r>
      <w:r>
        <w:rPr>
          <w:color w:val="231F20"/>
          <w:w w:val="101"/>
          <w:sz w:val="14"/>
        </w:rPr>
        <w:t>n</w:t>
      </w:r>
      <w:r>
        <w:rPr>
          <w:color w:val="231F20"/>
          <w:sz w:val="14"/>
        </w:rPr>
        <w:t> </w:t>
      </w:r>
      <w:r>
        <w:rPr>
          <w:color w:val="231F20"/>
          <w:spacing w:val="-9"/>
          <w:sz w:val="14"/>
        </w:rPr>
        <w:t> </w:t>
      </w:r>
      <w:r>
        <w:rPr>
          <w:color w:val="231F20"/>
          <w:w w:val="81"/>
          <w:sz w:val="14"/>
        </w:rPr>
        <w:t>l</w:t>
      </w:r>
      <w:r>
        <w:rPr>
          <w:color w:val="231F20"/>
          <w:w w:val="91"/>
          <w:sz w:val="14"/>
        </w:rPr>
        <w:t>a</w:t>
      </w:r>
      <w:r>
        <w:rPr>
          <w:color w:val="231F20"/>
          <w:sz w:val="14"/>
        </w:rPr>
        <w:t> </w:t>
      </w:r>
      <w:r>
        <w:rPr>
          <w:color w:val="231F20"/>
          <w:spacing w:val="-9"/>
          <w:sz w:val="14"/>
        </w:rPr>
        <w:t> </w:t>
      </w:r>
      <w:r>
        <w:rPr>
          <w:color w:val="231F20"/>
          <w:w w:val="97"/>
          <w:sz w:val="14"/>
        </w:rPr>
        <w:t>U</w:t>
      </w:r>
      <w:r>
        <w:rPr>
          <w:color w:val="231F20"/>
          <w:w w:val="94"/>
          <w:sz w:val="14"/>
        </w:rPr>
        <w:t>ni</w:t>
      </w:r>
      <w:r>
        <w:rPr>
          <w:color w:val="231F20"/>
          <w:w w:val="93"/>
          <w:sz w:val="14"/>
        </w:rPr>
        <w:t>v</w:t>
      </w:r>
      <w:r>
        <w:rPr>
          <w:color w:val="231F20"/>
          <w:w w:val="93"/>
          <w:sz w:val="14"/>
        </w:rPr>
        <w:t>e</w:t>
      </w:r>
      <w:r>
        <w:rPr>
          <w:color w:val="231F20"/>
          <w:w w:val="99"/>
          <w:sz w:val="14"/>
        </w:rPr>
        <w:t>r</w:t>
      </w:r>
      <w:r>
        <w:rPr>
          <w:color w:val="231F20"/>
          <w:w w:val="93"/>
          <w:sz w:val="14"/>
        </w:rPr>
        <w:t>s</w:t>
      </w:r>
      <w:r>
        <w:rPr>
          <w:color w:val="231F20"/>
          <w:w w:val="81"/>
          <w:sz w:val="14"/>
        </w:rPr>
        <w:t>i</w:t>
      </w:r>
      <w:r>
        <w:rPr>
          <w:color w:val="231F20"/>
          <w:w w:val="95"/>
          <w:sz w:val="14"/>
        </w:rPr>
        <w:t>da</w:t>
      </w:r>
      <w:r>
        <w:rPr>
          <w:color w:val="231F20"/>
          <w:w w:val="99"/>
          <w:sz w:val="14"/>
        </w:rPr>
        <w:t>d</w:t>
      </w:r>
      <w:r>
        <w:rPr>
          <w:color w:val="231F20"/>
          <w:sz w:val="14"/>
        </w:rPr>
        <w:t> </w:t>
      </w:r>
      <w:r>
        <w:rPr>
          <w:color w:val="231F20"/>
          <w:spacing w:val="-9"/>
          <w:sz w:val="14"/>
        </w:rPr>
        <w:t> </w:t>
      </w:r>
      <w:r>
        <w:rPr>
          <w:color w:val="231F20"/>
          <w:w w:val="93"/>
          <w:sz w:val="14"/>
        </w:rPr>
        <w:t>A</w:t>
      </w:r>
      <w:r>
        <w:rPr>
          <w:color w:val="231F20"/>
          <w:w w:val="97"/>
          <w:sz w:val="14"/>
        </w:rPr>
        <w:t>u</w:t>
      </w:r>
      <w:r>
        <w:rPr>
          <w:color w:val="231F20"/>
          <w:w w:val="104"/>
          <w:sz w:val="14"/>
        </w:rPr>
        <w:t>t</w:t>
      </w:r>
      <w:r>
        <w:rPr>
          <w:color w:val="231F20"/>
          <w:w w:val="100"/>
          <w:sz w:val="14"/>
        </w:rPr>
        <w:t>ónom</w:t>
      </w:r>
      <w:r>
        <w:rPr>
          <w:color w:val="231F20"/>
          <w:w w:val="91"/>
          <w:sz w:val="14"/>
        </w:rPr>
        <w:t>a</w:t>
      </w:r>
      <w:r>
        <w:rPr>
          <w:color w:val="231F20"/>
          <w:sz w:val="14"/>
        </w:rPr>
        <w:t> </w:t>
      </w:r>
      <w:r>
        <w:rPr>
          <w:color w:val="231F20"/>
          <w:spacing w:val="-9"/>
          <w:sz w:val="14"/>
        </w:rPr>
        <w:t> </w:t>
      </w:r>
      <w:r>
        <w:rPr>
          <w:color w:val="231F20"/>
          <w:w w:val="96"/>
          <w:sz w:val="14"/>
        </w:rPr>
        <w:t>de</w:t>
      </w:r>
      <w:r>
        <w:rPr>
          <w:color w:val="231F20"/>
          <w:w w:val="81"/>
          <w:sz w:val="14"/>
        </w:rPr>
        <w:t>l</w:t>
      </w:r>
      <w:r>
        <w:rPr>
          <w:color w:val="231F20"/>
          <w:sz w:val="14"/>
        </w:rPr>
        <w:t> </w:t>
      </w:r>
      <w:r>
        <w:rPr>
          <w:color w:val="231F20"/>
          <w:spacing w:val="-9"/>
          <w:sz w:val="14"/>
        </w:rPr>
        <w:t> </w:t>
      </w:r>
      <w:r>
        <w:rPr>
          <w:color w:val="231F20"/>
          <w:w w:val="106"/>
          <w:sz w:val="14"/>
        </w:rPr>
        <w:t>E</w:t>
      </w:r>
      <w:r>
        <w:rPr>
          <w:color w:val="231F20"/>
          <w:w w:val="93"/>
          <w:sz w:val="14"/>
        </w:rPr>
        <w:t>s</w:t>
      </w:r>
      <w:r>
        <w:rPr>
          <w:color w:val="231F20"/>
          <w:w w:val="104"/>
          <w:sz w:val="14"/>
        </w:rPr>
        <w:t>t</w:t>
      </w:r>
      <w:r>
        <w:rPr>
          <w:color w:val="231F20"/>
          <w:w w:val="91"/>
          <w:sz w:val="14"/>
        </w:rPr>
        <w:t>a</w:t>
      </w:r>
      <w:r>
        <w:rPr>
          <w:color w:val="231F20"/>
          <w:w w:val="100"/>
          <w:sz w:val="14"/>
        </w:rPr>
        <w:t>do</w:t>
      </w:r>
      <w:r>
        <w:rPr>
          <w:color w:val="231F20"/>
          <w:sz w:val="14"/>
        </w:rPr>
        <w:t> </w:t>
      </w:r>
      <w:r>
        <w:rPr>
          <w:color w:val="231F20"/>
          <w:spacing w:val="-9"/>
          <w:sz w:val="14"/>
        </w:rPr>
        <w:t> </w:t>
      </w:r>
      <w:r>
        <w:rPr>
          <w:color w:val="231F20"/>
          <w:w w:val="96"/>
          <w:sz w:val="14"/>
        </w:rPr>
        <w:t>de</w:t>
      </w:r>
      <w:r>
        <w:rPr>
          <w:color w:val="231F20"/>
          <w:sz w:val="14"/>
        </w:rPr>
        <w:t> </w:t>
      </w:r>
      <w:r>
        <w:rPr>
          <w:color w:val="231F20"/>
          <w:spacing w:val="-9"/>
          <w:sz w:val="14"/>
        </w:rPr>
        <w:t> </w:t>
      </w:r>
      <w:r>
        <w:rPr>
          <w:color w:val="231F20"/>
          <w:w w:val="93"/>
          <w:sz w:val="14"/>
        </w:rPr>
        <w:t>M</w:t>
      </w:r>
      <w:r>
        <w:rPr>
          <w:color w:val="231F20"/>
          <w:w w:val="100"/>
          <w:sz w:val="14"/>
        </w:rPr>
        <w:t>or</w:t>
      </w:r>
      <w:r>
        <w:rPr>
          <w:color w:val="231F20"/>
          <w:w w:val="93"/>
          <w:sz w:val="14"/>
        </w:rPr>
        <w:t>e</w:t>
      </w:r>
      <w:r>
        <w:rPr>
          <w:color w:val="231F20"/>
          <w:w w:val="81"/>
          <w:sz w:val="14"/>
        </w:rPr>
        <w:t>l</w:t>
      </w:r>
      <w:r>
        <w:rPr>
          <w:color w:val="231F20"/>
          <w:w w:val="97"/>
          <w:sz w:val="14"/>
        </w:rPr>
        <w:t>os</w:t>
      </w:r>
      <w:r>
        <w:rPr>
          <w:color w:val="231F20"/>
          <w:w w:val="86"/>
          <w:sz w:val="14"/>
        </w:rPr>
        <w:t>. </w:t>
      </w:r>
      <w:r>
        <w:rPr>
          <w:color w:val="231F20"/>
          <w:sz w:val="14"/>
        </w:rPr>
        <w:t>Doctor</w:t>
      </w:r>
      <w:r>
        <w:rPr>
          <w:color w:val="231F20"/>
          <w:spacing w:val="-6"/>
          <w:sz w:val="14"/>
        </w:rPr>
        <w:t> </w:t>
      </w:r>
      <w:r>
        <w:rPr>
          <w:color w:val="231F20"/>
          <w:sz w:val="14"/>
        </w:rPr>
        <w:t>en</w:t>
      </w:r>
      <w:r>
        <w:rPr>
          <w:color w:val="231F20"/>
          <w:spacing w:val="-6"/>
          <w:sz w:val="14"/>
        </w:rPr>
        <w:t> </w:t>
      </w:r>
      <w:r>
        <w:rPr>
          <w:color w:val="231F20"/>
          <w:sz w:val="14"/>
        </w:rPr>
        <w:t>Historia.</w:t>
      </w:r>
      <w:r>
        <w:rPr>
          <w:color w:val="231F20"/>
          <w:spacing w:val="-6"/>
          <w:sz w:val="14"/>
        </w:rPr>
        <w:t> </w:t>
      </w:r>
      <w:r>
        <w:rPr>
          <w:color w:val="231F20"/>
          <w:sz w:val="14"/>
        </w:rPr>
        <w:t>Sus</w:t>
      </w:r>
      <w:r>
        <w:rPr>
          <w:color w:val="231F20"/>
          <w:spacing w:val="-6"/>
          <w:sz w:val="14"/>
        </w:rPr>
        <w:t> </w:t>
      </w:r>
      <w:r>
        <w:rPr>
          <w:color w:val="231F20"/>
          <w:sz w:val="14"/>
        </w:rPr>
        <w:t>líneas</w:t>
      </w:r>
      <w:r>
        <w:rPr>
          <w:color w:val="231F20"/>
          <w:spacing w:val="-6"/>
          <w:sz w:val="14"/>
        </w:rPr>
        <w:t> </w:t>
      </w:r>
      <w:r>
        <w:rPr>
          <w:color w:val="231F20"/>
          <w:sz w:val="14"/>
        </w:rPr>
        <w:t>de</w:t>
      </w:r>
      <w:r>
        <w:rPr>
          <w:color w:val="231F20"/>
          <w:spacing w:val="-6"/>
          <w:sz w:val="14"/>
        </w:rPr>
        <w:t> </w:t>
      </w:r>
      <w:r>
        <w:rPr>
          <w:color w:val="231F20"/>
          <w:sz w:val="14"/>
        </w:rPr>
        <w:t>investigación</w:t>
      </w:r>
      <w:r>
        <w:rPr>
          <w:color w:val="231F20"/>
          <w:spacing w:val="-6"/>
          <w:sz w:val="14"/>
        </w:rPr>
        <w:t> </w:t>
      </w:r>
      <w:r>
        <w:rPr>
          <w:color w:val="231F20"/>
          <w:sz w:val="14"/>
        </w:rPr>
        <w:t>actuales</w:t>
      </w:r>
      <w:r>
        <w:rPr>
          <w:color w:val="231F20"/>
          <w:spacing w:val="-6"/>
          <w:sz w:val="14"/>
        </w:rPr>
        <w:t> </w:t>
      </w:r>
      <w:r>
        <w:rPr>
          <w:color w:val="231F20"/>
          <w:sz w:val="14"/>
        </w:rPr>
        <w:t>versan</w:t>
      </w:r>
      <w:r>
        <w:rPr>
          <w:color w:val="231F20"/>
          <w:spacing w:val="-6"/>
          <w:sz w:val="14"/>
        </w:rPr>
        <w:t> </w:t>
      </w:r>
      <w:r>
        <w:rPr>
          <w:color w:val="231F20"/>
          <w:sz w:val="14"/>
        </w:rPr>
        <w:t>sobre</w:t>
      </w:r>
      <w:r>
        <w:rPr>
          <w:color w:val="231F20"/>
          <w:spacing w:val="-6"/>
          <w:sz w:val="14"/>
        </w:rPr>
        <w:t> </w:t>
      </w:r>
      <w:r>
        <w:rPr>
          <w:color w:val="231F20"/>
          <w:sz w:val="14"/>
        </w:rPr>
        <w:t>historia</w:t>
      </w:r>
      <w:r>
        <w:rPr>
          <w:color w:val="231F20"/>
          <w:spacing w:val="-6"/>
          <w:sz w:val="14"/>
        </w:rPr>
        <w:t> </w:t>
      </w:r>
      <w:r>
        <w:rPr>
          <w:color w:val="231F20"/>
          <w:sz w:val="14"/>
        </w:rPr>
        <w:t>social</w:t>
      </w:r>
      <w:r>
        <w:rPr>
          <w:color w:val="231F20"/>
          <w:spacing w:val="-6"/>
          <w:sz w:val="14"/>
        </w:rPr>
        <w:t> </w:t>
      </w:r>
      <w:r>
        <w:rPr>
          <w:color w:val="231F20"/>
          <w:sz w:val="14"/>
        </w:rPr>
        <w:t>e</w:t>
      </w:r>
      <w:r>
        <w:rPr>
          <w:color w:val="231F20"/>
          <w:spacing w:val="-6"/>
          <w:sz w:val="14"/>
        </w:rPr>
        <w:t> </w:t>
      </w:r>
      <w:r>
        <w:rPr>
          <w:color w:val="231F20"/>
          <w:sz w:val="14"/>
        </w:rPr>
        <w:t>historia</w:t>
      </w:r>
      <w:r>
        <w:rPr>
          <w:color w:val="231F20"/>
          <w:spacing w:val="-6"/>
          <w:sz w:val="14"/>
        </w:rPr>
        <w:t> </w:t>
      </w:r>
      <w:r>
        <w:rPr>
          <w:color w:val="231F20"/>
          <w:sz w:val="14"/>
        </w:rPr>
        <w:t>cultural</w:t>
      </w:r>
      <w:r>
        <w:rPr>
          <w:color w:val="231F20"/>
          <w:spacing w:val="-6"/>
          <w:sz w:val="14"/>
        </w:rPr>
        <w:t> </w:t>
      </w:r>
      <w:r>
        <w:rPr>
          <w:color w:val="231F20"/>
          <w:sz w:val="14"/>
        </w:rPr>
        <w:t>de los</w:t>
      </w:r>
      <w:r>
        <w:rPr>
          <w:color w:val="231F20"/>
          <w:spacing w:val="-21"/>
          <w:sz w:val="14"/>
        </w:rPr>
        <w:t> </w:t>
      </w:r>
      <w:r>
        <w:rPr>
          <w:color w:val="231F20"/>
          <w:sz w:val="14"/>
        </w:rPr>
        <w:t>siglos</w:t>
      </w:r>
      <w:r>
        <w:rPr>
          <w:color w:val="231F20"/>
          <w:spacing w:val="-21"/>
          <w:sz w:val="14"/>
        </w:rPr>
        <w:t> </w:t>
      </w:r>
      <w:r>
        <w:rPr>
          <w:color w:val="231F20"/>
          <w:sz w:val="14"/>
        </w:rPr>
        <w:t>xix</w:t>
      </w:r>
      <w:r>
        <w:rPr>
          <w:color w:val="231F20"/>
          <w:spacing w:val="-21"/>
          <w:sz w:val="14"/>
        </w:rPr>
        <w:t> </w:t>
      </w:r>
      <w:r>
        <w:rPr>
          <w:color w:val="231F20"/>
          <w:sz w:val="14"/>
        </w:rPr>
        <w:t>y</w:t>
      </w:r>
      <w:r>
        <w:rPr>
          <w:color w:val="231F20"/>
          <w:spacing w:val="-21"/>
          <w:sz w:val="14"/>
        </w:rPr>
        <w:t> </w:t>
      </w:r>
      <w:r>
        <w:rPr>
          <w:color w:val="231F20"/>
          <w:sz w:val="14"/>
        </w:rPr>
        <w:t>xx.</w:t>
      </w:r>
      <w:r>
        <w:rPr>
          <w:color w:val="231F20"/>
          <w:spacing w:val="-21"/>
          <w:sz w:val="14"/>
        </w:rPr>
        <w:t> </w:t>
      </w:r>
      <w:r>
        <w:rPr>
          <w:color w:val="231F20"/>
          <w:sz w:val="14"/>
        </w:rPr>
        <w:t>Desarrolla</w:t>
      </w:r>
      <w:r>
        <w:rPr>
          <w:color w:val="231F20"/>
          <w:spacing w:val="-21"/>
          <w:sz w:val="14"/>
        </w:rPr>
        <w:t> </w:t>
      </w:r>
      <w:r>
        <w:rPr>
          <w:color w:val="231F20"/>
          <w:sz w:val="14"/>
        </w:rPr>
        <w:t>proyectos</w:t>
      </w:r>
      <w:r>
        <w:rPr>
          <w:color w:val="231F20"/>
          <w:spacing w:val="-21"/>
          <w:sz w:val="14"/>
        </w:rPr>
        <w:t> </w:t>
      </w:r>
      <w:r>
        <w:rPr>
          <w:color w:val="231F20"/>
          <w:sz w:val="14"/>
        </w:rPr>
        <w:t>sobre</w:t>
      </w:r>
      <w:r>
        <w:rPr>
          <w:color w:val="231F20"/>
          <w:spacing w:val="-21"/>
          <w:sz w:val="14"/>
        </w:rPr>
        <w:t> </w:t>
      </w:r>
      <w:r>
        <w:rPr>
          <w:color w:val="231F20"/>
          <w:sz w:val="14"/>
        </w:rPr>
        <w:t>infancia,</w:t>
      </w:r>
      <w:r>
        <w:rPr>
          <w:color w:val="231F20"/>
          <w:spacing w:val="-21"/>
          <w:sz w:val="14"/>
        </w:rPr>
        <w:t> </w:t>
      </w:r>
      <w:r>
        <w:rPr>
          <w:color w:val="231F20"/>
          <w:sz w:val="14"/>
        </w:rPr>
        <w:t>educación</w:t>
      </w:r>
      <w:r>
        <w:rPr>
          <w:color w:val="231F20"/>
          <w:spacing w:val="-21"/>
          <w:sz w:val="14"/>
        </w:rPr>
        <w:t> </w:t>
      </w:r>
      <w:r>
        <w:rPr>
          <w:color w:val="231F20"/>
          <w:sz w:val="14"/>
        </w:rPr>
        <w:t>especial,</w:t>
      </w:r>
      <w:r>
        <w:rPr>
          <w:color w:val="231F20"/>
          <w:spacing w:val="-21"/>
          <w:sz w:val="14"/>
        </w:rPr>
        <w:t> </w:t>
      </w:r>
      <w:r>
        <w:rPr>
          <w:color w:val="231F20"/>
          <w:sz w:val="14"/>
        </w:rPr>
        <w:t>discapacidad,</w:t>
      </w:r>
      <w:r>
        <w:rPr>
          <w:color w:val="231F20"/>
          <w:spacing w:val="-21"/>
          <w:sz w:val="14"/>
        </w:rPr>
        <w:t> </w:t>
      </w:r>
      <w:r>
        <w:rPr>
          <w:color w:val="231F20"/>
          <w:sz w:val="14"/>
        </w:rPr>
        <w:t>violencia</w:t>
      </w:r>
      <w:r>
        <w:rPr>
          <w:color w:val="231F20"/>
          <w:spacing w:val="-21"/>
          <w:sz w:val="14"/>
        </w:rPr>
        <w:t> </w:t>
      </w:r>
      <w:r>
        <w:rPr>
          <w:color w:val="231F20"/>
          <w:sz w:val="14"/>
        </w:rPr>
        <w:t>escolar, entre</w:t>
      </w:r>
      <w:r>
        <w:rPr>
          <w:color w:val="231F20"/>
          <w:spacing w:val="-17"/>
          <w:sz w:val="14"/>
        </w:rPr>
        <w:t> </w:t>
      </w:r>
      <w:r>
        <w:rPr>
          <w:color w:val="231F20"/>
          <w:sz w:val="14"/>
        </w:rPr>
        <w:t>otros.</w:t>
      </w:r>
      <w:r>
        <w:rPr>
          <w:color w:val="231F20"/>
          <w:spacing w:val="-17"/>
          <w:sz w:val="14"/>
        </w:rPr>
        <w:t> </w:t>
      </w:r>
      <w:r>
        <w:rPr>
          <w:color w:val="231F20"/>
          <w:sz w:val="14"/>
        </w:rPr>
        <w:t>Es</w:t>
      </w:r>
      <w:r>
        <w:rPr>
          <w:color w:val="231F20"/>
          <w:spacing w:val="-17"/>
          <w:sz w:val="14"/>
        </w:rPr>
        <w:t> </w:t>
      </w:r>
      <w:r>
        <w:rPr>
          <w:color w:val="231F20"/>
          <w:sz w:val="14"/>
        </w:rPr>
        <w:t>miembro</w:t>
      </w:r>
      <w:r>
        <w:rPr>
          <w:color w:val="231F20"/>
          <w:spacing w:val="-17"/>
          <w:sz w:val="14"/>
        </w:rPr>
        <w:t> </w:t>
      </w:r>
      <w:r>
        <w:rPr>
          <w:color w:val="231F20"/>
          <w:sz w:val="14"/>
        </w:rPr>
        <w:t>del</w:t>
      </w:r>
      <w:r>
        <w:rPr>
          <w:color w:val="231F20"/>
          <w:spacing w:val="-17"/>
          <w:sz w:val="14"/>
        </w:rPr>
        <w:t> </w:t>
      </w:r>
      <w:r>
        <w:rPr>
          <w:color w:val="231F20"/>
          <w:sz w:val="14"/>
        </w:rPr>
        <w:t>Sistema</w:t>
      </w:r>
      <w:r>
        <w:rPr>
          <w:color w:val="231F20"/>
          <w:spacing w:val="-17"/>
          <w:sz w:val="14"/>
        </w:rPr>
        <w:t> </w:t>
      </w:r>
      <w:r>
        <w:rPr>
          <w:color w:val="231F20"/>
          <w:sz w:val="14"/>
        </w:rPr>
        <w:t>Nacional</w:t>
      </w:r>
      <w:r>
        <w:rPr>
          <w:color w:val="231F20"/>
          <w:spacing w:val="-17"/>
          <w:sz w:val="14"/>
        </w:rPr>
        <w:t> </w:t>
      </w:r>
      <w:r>
        <w:rPr>
          <w:color w:val="231F20"/>
          <w:sz w:val="14"/>
        </w:rPr>
        <w:t>de</w:t>
      </w:r>
      <w:r>
        <w:rPr>
          <w:color w:val="231F20"/>
          <w:spacing w:val="-17"/>
          <w:sz w:val="14"/>
        </w:rPr>
        <w:t> </w:t>
      </w:r>
      <w:r>
        <w:rPr>
          <w:color w:val="231F20"/>
          <w:sz w:val="14"/>
        </w:rPr>
        <w:t>Investigadores.</w:t>
      </w:r>
    </w:p>
    <w:p>
      <w:pPr>
        <w:spacing w:line="367" w:lineRule="auto" w:before="40"/>
        <w:ind w:left="122" w:right="116" w:firstLine="0"/>
        <w:jc w:val="both"/>
        <w:rPr>
          <w:sz w:val="14"/>
        </w:rPr>
      </w:pPr>
      <w:r>
        <w:rPr>
          <w:rFonts w:ascii="Symbol" w:hAnsi="Symbol"/>
          <w:color w:val="231F20"/>
          <w:spacing w:val="1"/>
          <w:w w:val="111"/>
          <w:sz w:val="6"/>
        </w:rPr>
        <w:t></w:t>
      </w:r>
      <w:r>
        <w:rPr>
          <w:color w:val="231F20"/>
          <w:w w:val="93"/>
          <w:sz w:val="14"/>
        </w:rPr>
        <w:t>A</w:t>
      </w:r>
      <w:r>
        <w:rPr>
          <w:color w:val="231F20"/>
          <w:w w:val="81"/>
          <w:sz w:val="14"/>
        </w:rPr>
        <w:t>l</w:t>
      </w:r>
      <w:r>
        <w:rPr>
          <w:color w:val="231F20"/>
          <w:w w:val="93"/>
          <w:sz w:val="14"/>
        </w:rPr>
        <w:t>c</w:t>
      </w:r>
      <w:r>
        <w:rPr>
          <w:color w:val="231F20"/>
          <w:w w:val="81"/>
          <w:sz w:val="14"/>
        </w:rPr>
        <w:t>i</w:t>
      </w:r>
      <w:r>
        <w:rPr>
          <w:color w:val="231F20"/>
          <w:w w:val="99"/>
          <w:sz w:val="14"/>
        </w:rPr>
        <w:t>r</w:t>
      </w:r>
      <w:r>
        <w:rPr>
          <w:color w:val="231F20"/>
          <w:w w:val="91"/>
          <w:sz w:val="14"/>
        </w:rPr>
        <w:t>a</w:t>
      </w:r>
      <w:r>
        <w:rPr>
          <w:color w:val="231F20"/>
          <w:spacing w:val="16"/>
          <w:sz w:val="14"/>
        </w:rPr>
        <w:t> </w:t>
      </w:r>
      <w:r>
        <w:rPr>
          <w:color w:val="231F20"/>
          <w:w w:val="90"/>
          <w:sz w:val="14"/>
        </w:rPr>
        <w:t>Sol</w:t>
      </w:r>
      <w:r>
        <w:rPr>
          <w:color w:val="231F20"/>
          <w:w w:val="93"/>
          <w:sz w:val="14"/>
        </w:rPr>
        <w:t>e</w:t>
      </w:r>
      <w:r>
        <w:rPr>
          <w:color w:val="231F20"/>
          <w:w w:val="99"/>
          <w:sz w:val="14"/>
        </w:rPr>
        <w:t>r</w:t>
      </w:r>
      <w:r>
        <w:rPr>
          <w:color w:val="231F20"/>
          <w:spacing w:val="16"/>
          <w:sz w:val="14"/>
        </w:rPr>
        <w:t> </w:t>
      </w:r>
      <w:r>
        <w:rPr>
          <w:color w:val="231F20"/>
          <w:w w:val="93"/>
          <w:sz w:val="14"/>
        </w:rPr>
        <w:t>e</w:t>
      </w:r>
      <w:r>
        <w:rPr>
          <w:color w:val="231F20"/>
          <w:w w:val="93"/>
          <w:sz w:val="14"/>
        </w:rPr>
        <w:t>s</w:t>
      </w:r>
      <w:r>
        <w:rPr>
          <w:color w:val="231F20"/>
          <w:spacing w:val="16"/>
          <w:sz w:val="14"/>
        </w:rPr>
        <w:t> </w:t>
      </w:r>
      <w:r>
        <w:rPr>
          <w:color w:val="231F20"/>
          <w:w w:val="100"/>
          <w:sz w:val="14"/>
        </w:rPr>
        <w:t>pr</w:t>
      </w:r>
      <w:r>
        <w:rPr>
          <w:color w:val="231F20"/>
          <w:w w:val="99"/>
          <w:sz w:val="14"/>
        </w:rPr>
        <w:t>of</w:t>
      </w:r>
      <w:r>
        <w:rPr>
          <w:color w:val="231F20"/>
          <w:w w:val="93"/>
          <w:sz w:val="14"/>
        </w:rPr>
        <w:t>e</w:t>
      </w:r>
      <w:r>
        <w:rPr>
          <w:color w:val="231F20"/>
          <w:w w:val="93"/>
          <w:sz w:val="14"/>
        </w:rPr>
        <w:t>s</w:t>
      </w:r>
      <w:r>
        <w:rPr>
          <w:color w:val="231F20"/>
          <w:w w:val="100"/>
          <w:sz w:val="14"/>
        </w:rPr>
        <w:t>or</w:t>
      </w:r>
      <w:r>
        <w:rPr>
          <w:color w:val="231F20"/>
          <w:w w:val="91"/>
          <w:sz w:val="14"/>
        </w:rPr>
        <w:t>a</w:t>
      </w:r>
      <w:r>
        <w:rPr>
          <w:color w:val="231F20"/>
          <w:w w:val="93"/>
          <w:sz w:val="14"/>
        </w:rPr>
        <w:t>-</w:t>
      </w:r>
      <w:r>
        <w:rPr>
          <w:color w:val="231F20"/>
          <w:w w:val="81"/>
          <w:sz w:val="14"/>
        </w:rPr>
        <w:t>i</w:t>
      </w:r>
      <w:r>
        <w:rPr>
          <w:color w:val="231F20"/>
          <w:w w:val="97"/>
          <w:sz w:val="14"/>
        </w:rPr>
        <w:t>nv</w:t>
      </w:r>
      <w:r>
        <w:rPr>
          <w:color w:val="231F20"/>
          <w:w w:val="93"/>
          <w:sz w:val="14"/>
        </w:rPr>
        <w:t>e</w:t>
      </w:r>
      <w:r>
        <w:rPr>
          <w:color w:val="231F20"/>
          <w:w w:val="93"/>
          <w:sz w:val="14"/>
        </w:rPr>
        <w:t>s</w:t>
      </w:r>
      <w:r>
        <w:rPr>
          <w:color w:val="231F20"/>
          <w:w w:val="104"/>
          <w:sz w:val="14"/>
        </w:rPr>
        <w:t>t</w:t>
      </w:r>
      <w:r>
        <w:rPr>
          <w:color w:val="231F20"/>
          <w:w w:val="81"/>
          <w:sz w:val="14"/>
        </w:rPr>
        <w:t>i</w:t>
      </w:r>
      <w:r>
        <w:rPr>
          <w:color w:val="231F20"/>
          <w:w w:val="89"/>
          <w:sz w:val="14"/>
        </w:rPr>
        <w:t>g</w:t>
      </w:r>
      <w:r>
        <w:rPr>
          <w:color w:val="231F20"/>
          <w:w w:val="91"/>
          <w:sz w:val="14"/>
        </w:rPr>
        <w:t>a</w:t>
      </w:r>
      <w:r>
        <w:rPr>
          <w:color w:val="231F20"/>
          <w:w w:val="100"/>
          <w:sz w:val="14"/>
        </w:rPr>
        <w:t>dor</w:t>
      </w:r>
      <w:r>
        <w:rPr>
          <w:color w:val="231F20"/>
          <w:w w:val="91"/>
          <w:sz w:val="14"/>
        </w:rPr>
        <w:t>a</w:t>
      </w:r>
      <w:r>
        <w:rPr>
          <w:color w:val="231F20"/>
          <w:spacing w:val="16"/>
          <w:sz w:val="14"/>
        </w:rPr>
        <w:t> </w:t>
      </w:r>
      <w:r>
        <w:rPr>
          <w:color w:val="231F20"/>
          <w:w w:val="104"/>
          <w:sz w:val="14"/>
        </w:rPr>
        <w:t>t</w:t>
      </w:r>
      <w:r>
        <w:rPr>
          <w:color w:val="231F20"/>
          <w:w w:val="81"/>
          <w:sz w:val="14"/>
        </w:rPr>
        <w:t>i</w:t>
      </w:r>
      <w:r>
        <w:rPr>
          <w:color w:val="231F20"/>
          <w:w w:val="104"/>
          <w:sz w:val="14"/>
        </w:rPr>
        <w:t>t</w:t>
      </w:r>
      <w:r>
        <w:rPr>
          <w:color w:val="231F20"/>
          <w:w w:val="97"/>
          <w:sz w:val="14"/>
        </w:rPr>
        <w:t>u</w:t>
      </w:r>
      <w:r>
        <w:rPr>
          <w:color w:val="231F20"/>
          <w:w w:val="81"/>
          <w:sz w:val="14"/>
        </w:rPr>
        <w:t>l</w:t>
      </w:r>
      <w:r>
        <w:rPr>
          <w:color w:val="231F20"/>
          <w:w w:val="91"/>
          <w:sz w:val="14"/>
        </w:rPr>
        <w:t>a</w:t>
      </w:r>
      <w:r>
        <w:rPr>
          <w:color w:val="231F20"/>
          <w:w w:val="99"/>
          <w:sz w:val="14"/>
        </w:rPr>
        <w:t>r</w:t>
      </w:r>
      <w:r>
        <w:rPr>
          <w:color w:val="231F20"/>
          <w:spacing w:val="16"/>
          <w:sz w:val="14"/>
        </w:rPr>
        <w:t> </w:t>
      </w:r>
      <w:r>
        <w:rPr>
          <w:color w:val="231F20"/>
          <w:w w:val="100"/>
          <w:sz w:val="14"/>
        </w:rPr>
        <w:t>“</w:t>
      </w:r>
      <w:r>
        <w:rPr>
          <w:color w:val="231F20"/>
          <w:w w:val="93"/>
          <w:sz w:val="14"/>
        </w:rPr>
        <w:t>A</w:t>
      </w:r>
      <w:r>
        <w:rPr>
          <w:color w:val="231F20"/>
          <w:w w:val="100"/>
          <w:sz w:val="14"/>
        </w:rPr>
        <w:t>”</w:t>
      </w:r>
      <w:r>
        <w:rPr>
          <w:color w:val="231F20"/>
          <w:spacing w:val="16"/>
          <w:sz w:val="14"/>
        </w:rPr>
        <w:t> </w:t>
      </w:r>
      <w:r>
        <w:rPr>
          <w:color w:val="231F20"/>
          <w:w w:val="96"/>
          <w:sz w:val="14"/>
        </w:rPr>
        <w:t>de</w:t>
      </w:r>
      <w:r>
        <w:rPr>
          <w:color w:val="231F20"/>
          <w:spacing w:val="16"/>
          <w:sz w:val="14"/>
        </w:rPr>
        <w:t> </w:t>
      </w:r>
      <w:r>
        <w:rPr>
          <w:color w:val="231F20"/>
          <w:w w:val="94"/>
          <w:sz w:val="14"/>
        </w:rPr>
        <w:t>Ti</w:t>
      </w:r>
      <w:r>
        <w:rPr>
          <w:color w:val="231F20"/>
          <w:w w:val="93"/>
          <w:sz w:val="14"/>
        </w:rPr>
        <w:t>e</w:t>
      </w:r>
      <w:r>
        <w:rPr>
          <w:color w:val="231F20"/>
          <w:w w:val="98"/>
          <w:sz w:val="14"/>
        </w:rPr>
        <w:t>m</w:t>
      </w:r>
      <w:r>
        <w:rPr>
          <w:color w:val="231F20"/>
          <w:w w:val="101"/>
          <w:sz w:val="14"/>
        </w:rPr>
        <w:t>po</w:t>
      </w:r>
      <w:r>
        <w:rPr>
          <w:color w:val="231F20"/>
          <w:spacing w:val="16"/>
          <w:sz w:val="14"/>
        </w:rPr>
        <w:t> </w:t>
      </w:r>
      <w:r>
        <w:rPr>
          <w:color w:val="231F20"/>
          <w:w w:val="94"/>
          <w:sz w:val="14"/>
        </w:rPr>
        <w:t>C</w:t>
      </w:r>
      <w:r>
        <w:rPr>
          <w:color w:val="231F20"/>
          <w:w w:val="99"/>
          <w:sz w:val="14"/>
        </w:rPr>
        <w:t>om</w:t>
      </w:r>
      <w:r>
        <w:rPr>
          <w:color w:val="231F20"/>
          <w:w w:val="94"/>
          <w:sz w:val="14"/>
        </w:rPr>
        <w:t>pl</w:t>
      </w:r>
      <w:r>
        <w:rPr>
          <w:color w:val="231F20"/>
          <w:w w:val="93"/>
          <w:sz w:val="14"/>
        </w:rPr>
        <w:t>e</w:t>
      </w:r>
      <w:r>
        <w:rPr>
          <w:color w:val="231F20"/>
          <w:w w:val="104"/>
          <w:sz w:val="14"/>
        </w:rPr>
        <w:t>t</w:t>
      </w:r>
      <w:r>
        <w:rPr>
          <w:color w:val="231F20"/>
          <w:w w:val="96"/>
          <w:sz w:val="14"/>
        </w:rPr>
        <w:t>o,</w:t>
      </w:r>
      <w:r>
        <w:rPr>
          <w:color w:val="231F20"/>
          <w:spacing w:val="16"/>
          <w:sz w:val="14"/>
        </w:rPr>
        <w:t> </w:t>
      </w:r>
      <w:r>
        <w:rPr>
          <w:color w:val="231F20"/>
          <w:w w:val="93"/>
          <w:sz w:val="14"/>
        </w:rPr>
        <w:t>e</w:t>
      </w:r>
      <w:r>
        <w:rPr>
          <w:color w:val="231F20"/>
          <w:w w:val="101"/>
          <w:sz w:val="14"/>
        </w:rPr>
        <w:t>n</w:t>
      </w:r>
      <w:r>
        <w:rPr>
          <w:color w:val="231F20"/>
          <w:spacing w:val="16"/>
          <w:sz w:val="14"/>
        </w:rPr>
        <w:t> </w:t>
      </w:r>
      <w:r>
        <w:rPr>
          <w:color w:val="231F20"/>
          <w:w w:val="81"/>
          <w:sz w:val="14"/>
        </w:rPr>
        <w:t>l</w:t>
      </w:r>
      <w:r>
        <w:rPr>
          <w:color w:val="231F20"/>
          <w:w w:val="91"/>
          <w:sz w:val="14"/>
        </w:rPr>
        <w:t>a</w:t>
      </w:r>
      <w:r>
        <w:rPr>
          <w:color w:val="231F20"/>
          <w:spacing w:val="16"/>
          <w:sz w:val="14"/>
        </w:rPr>
        <w:t> </w:t>
      </w:r>
      <w:r>
        <w:rPr>
          <w:color w:val="231F20"/>
          <w:w w:val="97"/>
          <w:sz w:val="14"/>
        </w:rPr>
        <w:t>U</w:t>
      </w:r>
      <w:r>
        <w:rPr>
          <w:color w:val="231F20"/>
          <w:w w:val="93"/>
          <w:sz w:val="14"/>
        </w:rPr>
        <w:t>A</w:t>
      </w:r>
      <w:r>
        <w:rPr>
          <w:color w:val="231F20"/>
          <w:w w:val="106"/>
          <w:sz w:val="14"/>
        </w:rPr>
        <w:t>E</w:t>
      </w:r>
      <w:r>
        <w:rPr>
          <w:color w:val="231F20"/>
          <w:w w:val="93"/>
          <w:sz w:val="14"/>
        </w:rPr>
        <w:t>M</w:t>
      </w:r>
      <w:r>
        <w:rPr>
          <w:color w:val="231F20"/>
          <w:w w:val="86"/>
          <w:sz w:val="14"/>
        </w:rPr>
        <w:t>,</w:t>
      </w:r>
      <w:r>
        <w:rPr>
          <w:color w:val="231F20"/>
          <w:spacing w:val="16"/>
          <w:sz w:val="14"/>
        </w:rPr>
        <w:t> </w:t>
      </w:r>
      <w:r>
        <w:rPr>
          <w:color w:val="231F20"/>
          <w:w w:val="93"/>
          <w:sz w:val="14"/>
        </w:rPr>
        <w:t>M</w:t>
      </w:r>
      <w:r>
        <w:rPr>
          <w:color w:val="231F20"/>
          <w:w w:val="100"/>
          <w:sz w:val="14"/>
        </w:rPr>
        <w:t>or</w:t>
      </w:r>
      <w:r>
        <w:rPr>
          <w:color w:val="231F20"/>
          <w:w w:val="93"/>
          <w:sz w:val="14"/>
        </w:rPr>
        <w:t>e</w:t>
      </w:r>
      <w:r>
        <w:rPr>
          <w:color w:val="231F20"/>
          <w:w w:val="81"/>
          <w:sz w:val="14"/>
        </w:rPr>
        <w:t>l</w:t>
      </w:r>
      <w:r>
        <w:rPr>
          <w:color w:val="231F20"/>
          <w:w w:val="97"/>
          <w:sz w:val="14"/>
        </w:rPr>
        <w:t>os</w:t>
      </w:r>
      <w:r>
        <w:rPr>
          <w:color w:val="231F20"/>
          <w:w w:val="86"/>
          <w:sz w:val="14"/>
        </w:rPr>
        <w:t>,</w:t>
      </w:r>
      <w:r>
        <w:rPr>
          <w:color w:val="231F20"/>
          <w:spacing w:val="16"/>
          <w:sz w:val="14"/>
        </w:rPr>
        <w:t> </w:t>
      </w:r>
      <w:r>
        <w:rPr>
          <w:color w:val="231F20"/>
          <w:w w:val="93"/>
          <w:sz w:val="14"/>
        </w:rPr>
        <w:t>e</w:t>
      </w:r>
      <w:r>
        <w:rPr>
          <w:color w:val="231F20"/>
          <w:w w:val="101"/>
          <w:sz w:val="14"/>
        </w:rPr>
        <w:t>n</w:t>
      </w:r>
      <w:r>
        <w:rPr>
          <w:color w:val="231F20"/>
          <w:spacing w:val="16"/>
          <w:sz w:val="14"/>
        </w:rPr>
        <w:t> </w:t>
      </w:r>
      <w:r>
        <w:rPr>
          <w:color w:val="231F20"/>
          <w:w w:val="93"/>
          <w:sz w:val="14"/>
        </w:rPr>
        <w:t>e</w:t>
      </w:r>
      <w:r>
        <w:rPr>
          <w:color w:val="231F20"/>
          <w:w w:val="81"/>
          <w:sz w:val="14"/>
        </w:rPr>
        <w:t>l </w:t>
      </w:r>
      <w:r>
        <w:rPr>
          <w:color w:val="231F20"/>
          <w:sz w:val="14"/>
        </w:rPr>
        <w:t>Instituto</w:t>
      </w:r>
      <w:r>
        <w:rPr>
          <w:color w:val="231F20"/>
          <w:spacing w:val="-12"/>
          <w:sz w:val="14"/>
        </w:rPr>
        <w:t> </w:t>
      </w:r>
      <w:r>
        <w:rPr>
          <w:color w:val="231F20"/>
          <w:sz w:val="14"/>
        </w:rPr>
        <w:t>de</w:t>
      </w:r>
      <w:r>
        <w:rPr>
          <w:color w:val="231F20"/>
          <w:spacing w:val="-12"/>
          <w:sz w:val="14"/>
        </w:rPr>
        <w:t> </w:t>
      </w:r>
      <w:r>
        <w:rPr>
          <w:color w:val="231F20"/>
          <w:sz w:val="14"/>
        </w:rPr>
        <w:t>Ciencias</w:t>
      </w:r>
      <w:r>
        <w:rPr>
          <w:color w:val="231F20"/>
          <w:spacing w:val="-12"/>
          <w:sz w:val="14"/>
        </w:rPr>
        <w:t> </w:t>
      </w:r>
      <w:r>
        <w:rPr>
          <w:color w:val="231F20"/>
          <w:sz w:val="14"/>
        </w:rPr>
        <w:t>de</w:t>
      </w:r>
      <w:r>
        <w:rPr>
          <w:color w:val="231F20"/>
          <w:spacing w:val="-12"/>
          <w:sz w:val="14"/>
        </w:rPr>
        <w:t> </w:t>
      </w:r>
      <w:r>
        <w:rPr>
          <w:color w:val="231F20"/>
          <w:sz w:val="14"/>
        </w:rPr>
        <w:t>la</w:t>
      </w:r>
      <w:r>
        <w:rPr>
          <w:color w:val="231F20"/>
          <w:spacing w:val="-12"/>
          <w:sz w:val="14"/>
        </w:rPr>
        <w:t> </w:t>
      </w:r>
      <w:r>
        <w:rPr>
          <w:color w:val="231F20"/>
          <w:sz w:val="14"/>
        </w:rPr>
        <w:t>Educación.</w:t>
      </w:r>
      <w:r>
        <w:rPr>
          <w:color w:val="231F20"/>
          <w:spacing w:val="-12"/>
          <w:sz w:val="14"/>
        </w:rPr>
        <w:t> </w:t>
      </w:r>
      <w:r>
        <w:rPr>
          <w:color w:val="231F20"/>
          <w:sz w:val="14"/>
        </w:rPr>
        <w:t>Es</w:t>
      </w:r>
      <w:r>
        <w:rPr>
          <w:color w:val="231F20"/>
          <w:spacing w:val="-12"/>
          <w:sz w:val="14"/>
        </w:rPr>
        <w:t> </w:t>
      </w:r>
      <w:r>
        <w:rPr>
          <w:color w:val="231F20"/>
          <w:sz w:val="14"/>
        </w:rPr>
        <w:t>doctora</w:t>
      </w:r>
      <w:r>
        <w:rPr>
          <w:color w:val="231F20"/>
          <w:spacing w:val="-12"/>
          <w:sz w:val="14"/>
        </w:rPr>
        <w:t> </w:t>
      </w:r>
      <w:r>
        <w:rPr>
          <w:color w:val="231F20"/>
          <w:sz w:val="14"/>
        </w:rPr>
        <w:t>en</w:t>
      </w:r>
      <w:r>
        <w:rPr>
          <w:color w:val="231F20"/>
          <w:spacing w:val="-12"/>
          <w:sz w:val="14"/>
        </w:rPr>
        <w:t> </w:t>
      </w:r>
      <w:r>
        <w:rPr>
          <w:color w:val="231F20"/>
          <w:sz w:val="14"/>
        </w:rPr>
        <w:t>Estudios</w:t>
      </w:r>
      <w:r>
        <w:rPr>
          <w:color w:val="231F20"/>
          <w:spacing w:val="-12"/>
          <w:sz w:val="14"/>
        </w:rPr>
        <w:t> </w:t>
      </w:r>
      <w:r>
        <w:rPr>
          <w:color w:val="231F20"/>
          <w:sz w:val="14"/>
        </w:rPr>
        <w:t>Latinoamericanos</w:t>
      </w:r>
      <w:r>
        <w:rPr>
          <w:color w:val="231F20"/>
          <w:spacing w:val="-12"/>
          <w:sz w:val="14"/>
        </w:rPr>
        <w:t> </w:t>
      </w:r>
      <w:r>
        <w:rPr>
          <w:color w:val="231F20"/>
          <w:sz w:val="14"/>
        </w:rPr>
        <w:t>por</w:t>
      </w:r>
      <w:r>
        <w:rPr>
          <w:color w:val="231F20"/>
          <w:spacing w:val="-12"/>
          <w:sz w:val="14"/>
        </w:rPr>
        <w:t> </w:t>
      </w:r>
      <w:r>
        <w:rPr>
          <w:color w:val="231F20"/>
          <w:sz w:val="14"/>
        </w:rPr>
        <w:t>la</w:t>
      </w:r>
      <w:r>
        <w:rPr>
          <w:color w:val="231F20"/>
          <w:spacing w:val="-12"/>
          <w:sz w:val="14"/>
        </w:rPr>
        <w:t> </w:t>
      </w:r>
      <w:r>
        <w:rPr>
          <w:color w:val="231F20"/>
          <w:sz w:val="14"/>
        </w:rPr>
        <w:t>UNAM</w:t>
      </w:r>
      <w:r>
        <w:rPr>
          <w:color w:val="231F20"/>
          <w:spacing w:val="-11"/>
          <w:sz w:val="14"/>
        </w:rPr>
        <w:t> </w:t>
      </w:r>
      <w:r>
        <w:rPr>
          <w:color w:val="231F20"/>
          <w:sz w:val="14"/>
        </w:rPr>
        <w:t>y</w:t>
      </w:r>
      <w:r>
        <w:rPr>
          <w:color w:val="231F20"/>
          <w:spacing w:val="-12"/>
          <w:sz w:val="14"/>
        </w:rPr>
        <w:t> </w:t>
      </w:r>
      <w:r>
        <w:rPr>
          <w:color w:val="231F20"/>
          <w:sz w:val="14"/>
        </w:rPr>
        <w:t>miembro del Cuerpo Académico Consolidado “Cultura y Educación. Devenir y actualidad”. Sus líneas de investigación:</w:t>
      </w:r>
      <w:r>
        <w:rPr>
          <w:color w:val="231F20"/>
          <w:spacing w:val="-20"/>
          <w:sz w:val="14"/>
        </w:rPr>
        <w:t> </w:t>
      </w:r>
      <w:r>
        <w:rPr>
          <w:color w:val="231F20"/>
          <w:sz w:val="14"/>
        </w:rPr>
        <w:t>Estudio</w:t>
      </w:r>
      <w:r>
        <w:rPr>
          <w:color w:val="231F20"/>
          <w:spacing w:val="-20"/>
          <w:sz w:val="14"/>
        </w:rPr>
        <w:t> </w:t>
      </w:r>
      <w:r>
        <w:rPr>
          <w:color w:val="231F20"/>
          <w:sz w:val="14"/>
        </w:rPr>
        <w:t>de</w:t>
      </w:r>
      <w:r>
        <w:rPr>
          <w:color w:val="231F20"/>
          <w:spacing w:val="-20"/>
          <w:sz w:val="14"/>
        </w:rPr>
        <w:t> </w:t>
      </w:r>
      <w:r>
        <w:rPr>
          <w:color w:val="231F20"/>
          <w:sz w:val="14"/>
        </w:rPr>
        <w:t>los</w:t>
      </w:r>
      <w:r>
        <w:rPr>
          <w:color w:val="231F20"/>
          <w:spacing w:val="-20"/>
          <w:sz w:val="14"/>
        </w:rPr>
        <w:t> </w:t>
      </w:r>
      <w:r>
        <w:rPr>
          <w:color w:val="231F20"/>
          <w:sz w:val="14"/>
        </w:rPr>
        <w:t>“Movimientos</w:t>
      </w:r>
      <w:r>
        <w:rPr>
          <w:color w:val="231F20"/>
          <w:spacing w:val="-20"/>
          <w:sz w:val="14"/>
        </w:rPr>
        <w:t> </w:t>
      </w:r>
      <w:r>
        <w:rPr>
          <w:color w:val="231F20"/>
          <w:sz w:val="14"/>
        </w:rPr>
        <w:t>estudiantiles</w:t>
      </w:r>
      <w:r>
        <w:rPr>
          <w:color w:val="231F20"/>
          <w:spacing w:val="-20"/>
          <w:sz w:val="14"/>
        </w:rPr>
        <w:t> </w:t>
      </w:r>
      <w:r>
        <w:rPr>
          <w:color w:val="231F20"/>
          <w:sz w:val="14"/>
        </w:rPr>
        <w:t>con</w:t>
      </w:r>
      <w:r>
        <w:rPr>
          <w:color w:val="231F20"/>
          <w:spacing w:val="-20"/>
          <w:sz w:val="14"/>
        </w:rPr>
        <w:t> </w:t>
      </w:r>
      <w:r>
        <w:rPr>
          <w:color w:val="231F20"/>
          <w:sz w:val="14"/>
        </w:rPr>
        <w:t>énfasis</w:t>
      </w:r>
      <w:r>
        <w:rPr>
          <w:color w:val="231F20"/>
          <w:spacing w:val="-20"/>
          <w:sz w:val="14"/>
        </w:rPr>
        <w:t> </w:t>
      </w:r>
      <w:r>
        <w:rPr>
          <w:color w:val="231F20"/>
          <w:sz w:val="14"/>
        </w:rPr>
        <w:t>en</w:t>
      </w:r>
      <w:r>
        <w:rPr>
          <w:color w:val="231F20"/>
          <w:spacing w:val="-20"/>
          <w:sz w:val="14"/>
        </w:rPr>
        <w:t> </w:t>
      </w:r>
      <w:r>
        <w:rPr>
          <w:color w:val="231F20"/>
          <w:sz w:val="14"/>
        </w:rPr>
        <w:t>el</w:t>
      </w:r>
      <w:r>
        <w:rPr>
          <w:color w:val="231F20"/>
          <w:spacing w:val="-20"/>
          <w:sz w:val="14"/>
        </w:rPr>
        <w:t> </w:t>
      </w:r>
      <w:r>
        <w:rPr>
          <w:color w:val="231F20"/>
          <w:sz w:val="14"/>
        </w:rPr>
        <w:t>68</w:t>
      </w:r>
      <w:r>
        <w:rPr>
          <w:color w:val="231F20"/>
          <w:spacing w:val="-20"/>
          <w:sz w:val="14"/>
        </w:rPr>
        <w:t> </w:t>
      </w:r>
      <w:r>
        <w:rPr>
          <w:color w:val="231F20"/>
          <w:sz w:val="14"/>
        </w:rPr>
        <w:t>en</w:t>
      </w:r>
      <w:r>
        <w:rPr>
          <w:color w:val="231F20"/>
          <w:spacing w:val="-20"/>
          <w:sz w:val="14"/>
        </w:rPr>
        <w:t> </w:t>
      </w:r>
      <w:r>
        <w:rPr>
          <w:color w:val="231F20"/>
          <w:sz w:val="14"/>
        </w:rPr>
        <w:t>México”.</w:t>
      </w:r>
    </w:p>
    <w:p>
      <w:pPr>
        <w:spacing w:after="0" w:line="367" w:lineRule="auto"/>
        <w:jc w:val="both"/>
        <w:rPr>
          <w:sz w:val="14"/>
        </w:rPr>
        <w:sectPr>
          <w:headerReference w:type="default" r:id="rId242"/>
          <w:footerReference w:type="default" r:id="rId243"/>
          <w:pgSz w:w="7830" w:h="11910"/>
          <w:pgMar w:header="0" w:footer="424" w:top="460" w:bottom="620" w:left="900" w:right="900"/>
          <w:pgNumType w:start="11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4" w:lineRule="auto"/>
        <w:ind w:left="102" w:right="116"/>
        <w:jc w:val="both"/>
      </w:pPr>
      <w:r>
        <w:rPr>
          <w:color w:val="231F20"/>
        </w:rPr>
        <w:t>throughout the distribution system and its functions are organized.  In this way, violence is not arbitrary, but controlled and accepted by the actors and the </w:t>
      </w:r>
      <w:r>
        <w:rPr>
          <w:color w:val="231F20"/>
          <w:spacing w:val="3"/>
        </w:rPr>
        <w:t> </w:t>
      </w:r>
      <w:r>
        <w:rPr>
          <w:color w:val="231F20"/>
        </w:rPr>
        <w:t>institution.</w:t>
      </w:r>
    </w:p>
    <w:p>
      <w:pPr>
        <w:pStyle w:val="BodyText"/>
        <w:spacing w:before="6"/>
      </w:pPr>
    </w:p>
    <w:p>
      <w:pPr>
        <w:pStyle w:val="BodyText"/>
        <w:ind w:left="102"/>
        <w:jc w:val="both"/>
      </w:pPr>
      <w:r>
        <w:rPr>
          <w:color w:val="231F20"/>
        </w:rPr>
        <w:t>Keywords: violence, education, conflict, institution.</w:t>
      </w:r>
    </w:p>
    <w:p>
      <w:pPr>
        <w:pStyle w:val="BodyText"/>
        <w:rPr>
          <w:sz w:val="22"/>
        </w:rPr>
      </w:pPr>
    </w:p>
    <w:p>
      <w:pPr>
        <w:pStyle w:val="BodyText"/>
        <w:spacing w:before="4"/>
        <w:rPr>
          <w:sz w:val="23"/>
        </w:rPr>
      </w:pPr>
    </w:p>
    <w:p>
      <w:pPr>
        <w:pStyle w:val="BodyText"/>
        <w:ind w:left="102"/>
        <w:jc w:val="both"/>
      </w:pPr>
      <w:r>
        <w:rPr>
          <w:color w:val="231F20"/>
          <w:w w:val="105"/>
        </w:rPr>
        <w:t>BREVÍSIMA RELACIÓN Y COMPENDIO</w:t>
      </w:r>
    </w:p>
    <w:p>
      <w:pPr>
        <w:pStyle w:val="BodyText"/>
        <w:spacing w:before="1"/>
      </w:pPr>
    </w:p>
    <w:p>
      <w:pPr>
        <w:pStyle w:val="BodyText"/>
        <w:spacing w:line="244" w:lineRule="auto" w:before="1"/>
        <w:ind w:left="101" w:right="113"/>
        <w:jc w:val="both"/>
      </w:pPr>
      <w:r>
        <w:rPr>
          <w:color w:val="231F20"/>
        </w:rPr>
        <w:t>El tema de la violencia en las instituciones educativas tanto privadas como públicas, en particular las de educación superior, se ha con- vertido en uno de los asuntos más importantes en la agenda de la investigación educativa. Esta afirmación puede constatarse con facilidad si depositamos nuestra mirada en la producción académica de la última década tanto a nivel nacional como internacional: </w:t>
      </w:r>
      <w:r>
        <w:rPr>
          <w:color w:val="231F20"/>
          <w:spacing w:val="2"/>
        </w:rPr>
        <w:t>Con  </w:t>
      </w:r>
      <w:r>
        <w:rPr>
          <w:color w:val="231F20"/>
        </w:rPr>
        <w:t>el propósito de ofrecer un dato de la importancia que ha adquirido    el estudio de la violencia escolar remitimos a los números 26, de julio-septiembre, y 27, octubre-diciembre, volumen X, ambos de 2005,</w:t>
      </w:r>
      <w:r>
        <w:rPr>
          <w:color w:val="231F20"/>
          <w:spacing w:val="-16"/>
        </w:rPr>
        <w:t> </w:t>
      </w:r>
      <w:r>
        <w:rPr>
          <w:color w:val="231F20"/>
        </w:rPr>
        <w:t>de</w:t>
      </w:r>
      <w:r>
        <w:rPr>
          <w:color w:val="231F20"/>
          <w:spacing w:val="-16"/>
        </w:rPr>
        <w:t> </w:t>
      </w:r>
      <w:r>
        <w:rPr>
          <w:color w:val="231F20"/>
        </w:rPr>
        <w:t>la</w:t>
      </w:r>
      <w:r>
        <w:rPr>
          <w:color w:val="231F20"/>
          <w:spacing w:val="-15"/>
        </w:rPr>
        <w:t> </w:t>
      </w:r>
      <w:r>
        <w:rPr>
          <w:i/>
          <w:color w:val="231F20"/>
        </w:rPr>
        <w:t>Revista</w:t>
      </w:r>
      <w:r>
        <w:rPr>
          <w:i/>
          <w:color w:val="231F20"/>
          <w:spacing w:val="-16"/>
        </w:rPr>
        <w:t> </w:t>
      </w:r>
      <w:r>
        <w:rPr>
          <w:i/>
          <w:color w:val="231F20"/>
        </w:rPr>
        <w:t>Mexicana</w:t>
      </w:r>
      <w:r>
        <w:rPr>
          <w:i/>
          <w:color w:val="231F20"/>
          <w:spacing w:val="-16"/>
        </w:rPr>
        <w:t> </w:t>
      </w:r>
      <w:r>
        <w:rPr>
          <w:i/>
          <w:color w:val="231F20"/>
        </w:rPr>
        <w:t>de</w:t>
      </w:r>
      <w:r>
        <w:rPr>
          <w:i/>
          <w:color w:val="231F20"/>
          <w:spacing w:val="-16"/>
        </w:rPr>
        <w:t> </w:t>
      </w:r>
      <w:r>
        <w:rPr>
          <w:i/>
          <w:color w:val="231F20"/>
        </w:rPr>
        <w:t>Investigación</w:t>
      </w:r>
      <w:r>
        <w:rPr>
          <w:i/>
          <w:color w:val="231F20"/>
          <w:spacing w:val="-15"/>
        </w:rPr>
        <w:t> </w:t>
      </w:r>
      <w:r>
        <w:rPr>
          <w:i/>
          <w:color w:val="231F20"/>
        </w:rPr>
        <w:t>Educativa</w:t>
      </w:r>
      <w:r>
        <w:rPr>
          <w:color w:val="231F20"/>
        </w:rPr>
        <w:t>,</w:t>
      </w:r>
      <w:r>
        <w:rPr>
          <w:color w:val="231F20"/>
          <w:spacing w:val="-16"/>
        </w:rPr>
        <w:t> </w:t>
      </w:r>
      <w:r>
        <w:rPr>
          <w:color w:val="231F20"/>
        </w:rPr>
        <w:t>del</w:t>
      </w:r>
      <w:r>
        <w:rPr>
          <w:color w:val="231F20"/>
          <w:spacing w:val="-16"/>
        </w:rPr>
        <w:t> </w:t>
      </w:r>
      <w:r>
        <w:rPr>
          <w:color w:val="231F20"/>
        </w:rPr>
        <w:t>Consejo Mexicano de Investigación Educativa. Los  textos  ahí  publicados son un ejemplo de la variedad de problemas, enfoques, conceptos, definiciones, ámbitos, actores, prácticas, regiones geográficas y niveles educativos que forman parte de la discusión teórica y meto- dológica, así como de los instrumentos de recolección empírica en   el campo de la violencia escolar. Resulta digno de destacar el interés y, sin duda, la preocupación por el tema por medio del número de visitas, 49416, que han tenido los trabajos en conjunto desde su publicación en línea, desde enero de 2007 hasta la fecha en </w:t>
      </w:r>
      <w:r>
        <w:rPr>
          <w:color w:val="231F20"/>
          <w:spacing w:val="2"/>
        </w:rPr>
        <w:t>que </w:t>
      </w:r>
      <w:r>
        <w:rPr>
          <w:color w:val="231F20"/>
        </w:rPr>
        <w:t>realicé la consulta, 7 de septiembre de 2011. A este respecto, cabe hacer dos observaciones: primera, que todos son trabajos contem- poráneos, lo cual me lleva a considerar la necesidad e importancia  de emprender de manera sistemática trabajos históricos que den cuenta de las rupturas y continuidades de la “violencia escolar” en sus múltiples dimensiones, incluidos los actores; y, segunda, que los textos comprenden casi todos los ciclos educativos, con excepción del nivel preescolar y superior. Llama la atención que especialmente de este último no hubiera un solo texto, lo que, desde luego, no quiere decir que no existan investigaciones, pero que, en esta oca- sión,</w:t>
      </w:r>
      <w:r>
        <w:rPr>
          <w:color w:val="231F20"/>
          <w:spacing w:val="23"/>
        </w:rPr>
        <w:t> </w:t>
      </w:r>
      <w:r>
        <w:rPr>
          <w:color w:val="231F20"/>
        </w:rPr>
        <w:t>no</w:t>
      </w:r>
      <w:r>
        <w:rPr>
          <w:color w:val="231F20"/>
          <w:spacing w:val="24"/>
        </w:rPr>
        <w:t> </w:t>
      </w:r>
      <w:r>
        <w:rPr>
          <w:color w:val="231F20"/>
        </w:rPr>
        <w:t>fueron</w:t>
      </w:r>
      <w:r>
        <w:rPr>
          <w:color w:val="231F20"/>
          <w:spacing w:val="24"/>
        </w:rPr>
        <w:t> </w:t>
      </w:r>
      <w:r>
        <w:rPr>
          <w:color w:val="231F20"/>
        </w:rPr>
        <w:t>dadas</w:t>
      </w:r>
      <w:r>
        <w:rPr>
          <w:color w:val="231F20"/>
          <w:spacing w:val="24"/>
        </w:rPr>
        <w:t> </w:t>
      </w:r>
      <w:r>
        <w:rPr>
          <w:color w:val="231F20"/>
        </w:rPr>
        <w:t>a</w:t>
      </w:r>
      <w:r>
        <w:rPr>
          <w:color w:val="231F20"/>
          <w:spacing w:val="24"/>
        </w:rPr>
        <w:t> </w:t>
      </w:r>
      <w:r>
        <w:rPr>
          <w:color w:val="231F20"/>
        </w:rPr>
        <w:t>conocer.</w:t>
      </w:r>
      <w:r>
        <w:rPr>
          <w:color w:val="231F20"/>
          <w:spacing w:val="23"/>
        </w:rPr>
        <w:t> </w:t>
      </w:r>
      <w:r>
        <w:rPr>
          <w:color w:val="231F20"/>
        </w:rPr>
        <w:t>De</w:t>
      </w:r>
      <w:r>
        <w:rPr>
          <w:color w:val="231F20"/>
          <w:spacing w:val="24"/>
        </w:rPr>
        <w:t> </w:t>
      </w:r>
      <w:r>
        <w:rPr>
          <w:color w:val="231F20"/>
        </w:rPr>
        <w:t>igual</w:t>
      </w:r>
      <w:r>
        <w:rPr>
          <w:color w:val="231F20"/>
          <w:spacing w:val="23"/>
        </w:rPr>
        <w:t> </w:t>
      </w:r>
      <w:r>
        <w:rPr>
          <w:color w:val="231F20"/>
        </w:rPr>
        <w:t>manera,</w:t>
      </w:r>
      <w:r>
        <w:rPr>
          <w:color w:val="231F20"/>
          <w:spacing w:val="23"/>
        </w:rPr>
        <w:t> </w:t>
      </w:r>
      <w:r>
        <w:rPr>
          <w:color w:val="231F20"/>
        </w:rPr>
        <w:t>en</w:t>
      </w:r>
      <w:r>
        <w:rPr>
          <w:color w:val="231F20"/>
          <w:spacing w:val="24"/>
        </w:rPr>
        <w:t> </w:t>
      </w:r>
      <w:r>
        <w:rPr>
          <w:color w:val="231F20"/>
        </w:rPr>
        <w:t>un</w:t>
      </w:r>
      <w:r>
        <w:rPr>
          <w:color w:val="231F20"/>
          <w:spacing w:val="24"/>
        </w:rPr>
        <w:t> </w:t>
      </w:r>
      <w:r>
        <w:rPr>
          <w:color w:val="231F20"/>
        </w:rPr>
        <w:t>ejercicio</w:t>
      </w:r>
    </w:p>
    <w:p>
      <w:pPr>
        <w:spacing w:after="0" w:line="244" w:lineRule="auto"/>
        <w:jc w:val="both"/>
        <w:sectPr>
          <w:headerReference w:type="default" r:id="rId244"/>
          <w:footerReference w:type="default" r:id="rId245"/>
          <w:pgSz w:w="7830" w:h="11910"/>
          <w:pgMar w:header="0" w:footer="424" w:top="500" w:bottom="620" w:left="920" w:right="900"/>
          <w:pgNumType w:start="11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21"/>
      </w:pPr>
      <w:r>
        <w:rPr>
          <w:color w:val="231F20"/>
        </w:rPr>
        <w:t>académico, el lector puede acceder a un número considerable de trabajos mediante el internet.</w:t>
      </w:r>
    </w:p>
    <w:p>
      <w:pPr>
        <w:pStyle w:val="BodyText"/>
        <w:spacing w:line="249" w:lineRule="auto" w:before="10"/>
        <w:ind w:left="101" w:right="115" w:firstLine="284"/>
        <w:jc w:val="both"/>
      </w:pPr>
      <w:r>
        <w:rPr>
          <w:color w:val="231F20"/>
          <w:spacing w:val="2"/>
        </w:rPr>
        <w:t>Derivado </w:t>
      </w:r>
      <w:r>
        <w:rPr>
          <w:color w:val="231F20"/>
        </w:rPr>
        <w:t>de las </w:t>
      </w:r>
      <w:r>
        <w:rPr>
          <w:color w:val="231F20"/>
          <w:spacing w:val="2"/>
        </w:rPr>
        <w:t>investigaciones </w:t>
      </w:r>
      <w:r>
        <w:rPr>
          <w:color w:val="231F20"/>
        </w:rPr>
        <w:t>en </w:t>
      </w:r>
      <w:r>
        <w:rPr>
          <w:color w:val="231F20"/>
          <w:spacing w:val="2"/>
        </w:rPr>
        <w:t>torno </w:t>
      </w:r>
      <w:r>
        <w:rPr>
          <w:color w:val="231F20"/>
        </w:rPr>
        <w:t>y de la </w:t>
      </w:r>
      <w:r>
        <w:rPr>
          <w:color w:val="231F20"/>
          <w:spacing w:val="2"/>
        </w:rPr>
        <w:t>violencia </w:t>
      </w:r>
      <w:r>
        <w:rPr>
          <w:color w:val="231F20"/>
          <w:spacing w:val="4"/>
        </w:rPr>
        <w:t>esco- </w:t>
      </w:r>
      <w:r>
        <w:rPr>
          <w:color w:val="231F20"/>
        </w:rPr>
        <w:t>lar, </w:t>
      </w:r>
      <w:r>
        <w:rPr>
          <w:color w:val="231F20"/>
          <w:spacing w:val="2"/>
        </w:rPr>
        <w:t>uno </w:t>
      </w:r>
      <w:r>
        <w:rPr>
          <w:color w:val="231F20"/>
        </w:rPr>
        <w:t>de </w:t>
      </w:r>
      <w:r>
        <w:rPr>
          <w:color w:val="231F20"/>
          <w:spacing w:val="2"/>
        </w:rPr>
        <w:t>los </w:t>
      </w:r>
      <w:r>
        <w:rPr>
          <w:color w:val="231F20"/>
          <w:spacing w:val="3"/>
        </w:rPr>
        <w:t>consensos </w:t>
      </w:r>
      <w:r>
        <w:rPr>
          <w:color w:val="231F20"/>
          <w:spacing w:val="2"/>
        </w:rPr>
        <w:t>entre </w:t>
      </w:r>
      <w:r>
        <w:rPr>
          <w:color w:val="231F20"/>
        </w:rPr>
        <w:t>los </w:t>
      </w:r>
      <w:r>
        <w:rPr>
          <w:color w:val="231F20"/>
          <w:spacing w:val="2"/>
        </w:rPr>
        <w:t>profesionales </w:t>
      </w:r>
      <w:r>
        <w:rPr>
          <w:color w:val="231F20"/>
        </w:rPr>
        <w:t>e </w:t>
      </w:r>
      <w:r>
        <w:rPr>
          <w:color w:val="231F20"/>
          <w:spacing w:val="3"/>
        </w:rPr>
        <w:t>investigadores</w:t>
      </w:r>
      <w:r>
        <w:rPr>
          <w:color w:val="231F20"/>
          <w:spacing w:val="58"/>
        </w:rPr>
        <w:t> </w:t>
      </w:r>
      <w:r>
        <w:rPr>
          <w:color w:val="231F20"/>
        </w:rPr>
        <w:t>de </w:t>
      </w:r>
      <w:r>
        <w:rPr>
          <w:color w:val="231F20"/>
          <w:spacing w:val="2"/>
        </w:rPr>
        <w:t>este </w:t>
      </w:r>
      <w:r>
        <w:rPr>
          <w:color w:val="231F20"/>
          <w:spacing w:val="3"/>
        </w:rPr>
        <w:t>campo </w:t>
      </w:r>
      <w:r>
        <w:rPr>
          <w:color w:val="231F20"/>
        </w:rPr>
        <w:t>es </w:t>
      </w:r>
      <w:r>
        <w:rPr>
          <w:color w:val="231F20"/>
          <w:spacing w:val="2"/>
        </w:rPr>
        <w:t>que esta tiene múltiples expresiones </w:t>
      </w:r>
      <w:r>
        <w:rPr>
          <w:color w:val="231F20"/>
        </w:rPr>
        <w:t>y que se </w:t>
      </w:r>
      <w:r>
        <w:rPr>
          <w:color w:val="231F20"/>
          <w:spacing w:val="2"/>
        </w:rPr>
        <w:t>disemina </w:t>
      </w:r>
      <w:r>
        <w:rPr>
          <w:color w:val="231F20"/>
        </w:rPr>
        <w:t>en </w:t>
      </w:r>
      <w:r>
        <w:rPr>
          <w:color w:val="231F20"/>
          <w:spacing w:val="3"/>
        </w:rPr>
        <w:t>todos </w:t>
      </w:r>
      <w:r>
        <w:rPr>
          <w:color w:val="231F20"/>
          <w:spacing w:val="2"/>
        </w:rPr>
        <w:t>los espacios del acontecer cotidiano </w:t>
      </w:r>
      <w:r>
        <w:rPr>
          <w:color w:val="231F20"/>
        </w:rPr>
        <w:t>de </w:t>
      </w:r>
      <w:r>
        <w:rPr>
          <w:color w:val="231F20"/>
          <w:spacing w:val="3"/>
        </w:rPr>
        <w:t>los </w:t>
      </w:r>
      <w:r>
        <w:rPr>
          <w:color w:val="231F20"/>
          <w:spacing w:val="2"/>
        </w:rPr>
        <w:t>dispositivos institucionales </w:t>
      </w:r>
      <w:r>
        <w:rPr>
          <w:color w:val="231F20"/>
        </w:rPr>
        <w:t>y </w:t>
      </w:r>
      <w:r>
        <w:rPr>
          <w:color w:val="231F20"/>
          <w:spacing w:val="2"/>
        </w:rPr>
        <w:t>por extensión </w:t>
      </w:r>
      <w:r>
        <w:rPr>
          <w:color w:val="231F20"/>
        </w:rPr>
        <w:t>en </w:t>
      </w:r>
      <w:r>
        <w:rPr>
          <w:color w:val="231F20"/>
          <w:spacing w:val="2"/>
        </w:rPr>
        <w:t>los </w:t>
      </w:r>
      <w:r>
        <w:rPr>
          <w:color w:val="231F20"/>
          <w:spacing w:val="3"/>
        </w:rPr>
        <w:t>ámbitos educa- </w:t>
      </w:r>
      <w:r>
        <w:rPr>
          <w:color w:val="231F20"/>
          <w:spacing w:val="2"/>
        </w:rPr>
        <w:t>tivos. Por </w:t>
      </w:r>
      <w:r>
        <w:rPr>
          <w:color w:val="231F20"/>
        </w:rPr>
        <w:t>lo </w:t>
      </w:r>
      <w:r>
        <w:rPr>
          <w:color w:val="231F20"/>
          <w:spacing w:val="2"/>
        </w:rPr>
        <w:t>tanto, </w:t>
      </w:r>
      <w:r>
        <w:rPr>
          <w:color w:val="231F20"/>
        </w:rPr>
        <w:t>si </w:t>
      </w:r>
      <w:r>
        <w:rPr>
          <w:color w:val="231F20"/>
          <w:spacing w:val="2"/>
        </w:rPr>
        <w:t>nos </w:t>
      </w:r>
      <w:r>
        <w:rPr>
          <w:color w:val="231F20"/>
          <w:spacing w:val="3"/>
        </w:rPr>
        <w:t>colocamos </w:t>
      </w:r>
      <w:r>
        <w:rPr>
          <w:color w:val="231F20"/>
        </w:rPr>
        <w:t>en la </w:t>
      </w:r>
      <w:r>
        <w:rPr>
          <w:color w:val="231F20"/>
          <w:spacing w:val="2"/>
        </w:rPr>
        <w:t>tesitura </w:t>
      </w:r>
      <w:r>
        <w:rPr>
          <w:color w:val="231F20"/>
        </w:rPr>
        <w:t>de </w:t>
      </w:r>
      <w:r>
        <w:rPr>
          <w:color w:val="231F20"/>
          <w:spacing w:val="2"/>
        </w:rPr>
        <w:t>admitir que hay cierta </w:t>
      </w:r>
      <w:r>
        <w:rPr>
          <w:color w:val="231F20"/>
          <w:spacing w:val="3"/>
        </w:rPr>
        <w:t>inmanencia </w:t>
      </w:r>
      <w:r>
        <w:rPr>
          <w:color w:val="231F20"/>
        </w:rPr>
        <w:t>e </w:t>
      </w:r>
      <w:r>
        <w:rPr>
          <w:color w:val="231F20"/>
          <w:spacing w:val="2"/>
        </w:rPr>
        <w:t>indudable dosis </w:t>
      </w:r>
      <w:r>
        <w:rPr>
          <w:color w:val="231F20"/>
        </w:rPr>
        <w:t>de </w:t>
      </w:r>
      <w:r>
        <w:rPr>
          <w:color w:val="231F20"/>
          <w:spacing w:val="2"/>
        </w:rPr>
        <w:t>coerción </w:t>
      </w:r>
      <w:r>
        <w:rPr>
          <w:color w:val="231F20"/>
        </w:rPr>
        <w:t>o de </w:t>
      </w:r>
      <w:r>
        <w:rPr>
          <w:color w:val="231F20"/>
          <w:spacing w:val="2"/>
        </w:rPr>
        <w:t>poder legítimo </w:t>
      </w:r>
      <w:r>
        <w:rPr>
          <w:color w:val="231F20"/>
        </w:rPr>
        <w:t>o </w:t>
      </w:r>
      <w:r>
        <w:rPr>
          <w:color w:val="231F20"/>
          <w:spacing w:val="2"/>
        </w:rPr>
        <w:t>legitimado que </w:t>
      </w:r>
      <w:r>
        <w:rPr>
          <w:color w:val="231F20"/>
        </w:rPr>
        <w:t>se </w:t>
      </w:r>
      <w:r>
        <w:rPr>
          <w:color w:val="231F20"/>
          <w:spacing w:val="2"/>
        </w:rPr>
        <w:t>despliega por medio </w:t>
      </w:r>
      <w:r>
        <w:rPr>
          <w:color w:val="231F20"/>
        </w:rPr>
        <w:t>de </w:t>
      </w:r>
      <w:r>
        <w:rPr>
          <w:color w:val="231F20"/>
          <w:spacing w:val="3"/>
        </w:rPr>
        <w:t>normas </w:t>
      </w:r>
      <w:r>
        <w:rPr>
          <w:color w:val="231F20"/>
        </w:rPr>
        <w:t>for- </w:t>
      </w:r>
      <w:r>
        <w:rPr>
          <w:color w:val="231F20"/>
          <w:spacing w:val="2"/>
        </w:rPr>
        <w:t>males </w:t>
      </w:r>
      <w:r>
        <w:rPr>
          <w:color w:val="231F20"/>
        </w:rPr>
        <w:t>e </w:t>
      </w:r>
      <w:r>
        <w:rPr>
          <w:color w:val="231F20"/>
          <w:spacing w:val="2"/>
        </w:rPr>
        <w:t>informales, </w:t>
      </w:r>
      <w:r>
        <w:rPr>
          <w:color w:val="231F20"/>
        </w:rPr>
        <w:t>de la </w:t>
      </w:r>
      <w:r>
        <w:rPr>
          <w:color w:val="231F20"/>
          <w:spacing w:val="3"/>
        </w:rPr>
        <w:t>misma </w:t>
      </w:r>
      <w:r>
        <w:rPr>
          <w:color w:val="231F20"/>
          <w:spacing w:val="2"/>
        </w:rPr>
        <w:t>manera habría que reconocer que una </w:t>
      </w:r>
      <w:r>
        <w:rPr>
          <w:color w:val="231F20"/>
        </w:rPr>
        <w:t>de las </w:t>
      </w:r>
      <w:r>
        <w:rPr>
          <w:color w:val="231F20"/>
          <w:spacing w:val="2"/>
        </w:rPr>
        <w:t>novedades </w:t>
      </w:r>
      <w:r>
        <w:rPr>
          <w:color w:val="231F20"/>
        </w:rPr>
        <w:t>de las </w:t>
      </w:r>
      <w:r>
        <w:rPr>
          <w:color w:val="231F20"/>
          <w:spacing w:val="2"/>
        </w:rPr>
        <w:t>sociedades </w:t>
      </w:r>
      <w:r>
        <w:rPr>
          <w:color w:val="231F20"/>
          <w:spacing w:val="3"/>
        </w:rPr>
        <w:t>contemporáneas </w:t>
      </w:r>
      <w:r>
        <w:rPr>
          <w:color w:val="231F20"/>
        </w:rPr>
        <w:t>es </w:t>
      </w:r>
      <w:r>
        <w:rPr>
          <w:color w:val="231F20"/>
          <w:spacing w:val="2"/>
        </w:rPr>
        <w:t>que asistimos tanto </w:t>
      </w:r>
      <w:r>
        <w:rPr>
          <w:color w:val="231F20"/>
        </w:rPr>
        <w:t>a la </w:t>
      </w:r>
      <w:r>
        <w:rPr>
          <w:color w:val="231F20"/>
          <w:spacing w:val="2"/>
        </w:rPr>
        <w:t>redefinición </w:t>
      </w:r>
      <w:r>
        <w:rPr>
          <w:color w:val="231F20"/>
        </w:rPr>
        <w:t>de </w:t>
      </w:r>
      <w:r>
        <w:rPr>
          <w:color w:val="231F20"/>
          <w:spacing w:val="2"/>
        </w:rPr>
        <w:t>prácticas culturales que, </w:t>
      </w:r>
      <w:r>
        <w:rPr>
          <w:color w:val="231F20"/>
        </w:rPr>
        <w:t>si </w:t>
      </w:r>
      <w:r>
        <w:rPr>
          <w:color w:val="231F20"/>
          <w:spacing w:val="2"/>
        </w:rPr>
        <w:t>bien han estado presentes </w:t>
      </w:r>
      <w:r>
        <w:rPr>
          <w:color w:val="231F20"/>
        </w:rPr>
        <w:t>en el </w:t>
      </w:r>
      <w:r>
        <w:rPr>
          <w:color w:val="231F20"/>
          <w:spacing w:val="2"/>
        </w:rPr>
        <w:t>quehacer escolar, </w:t>
      </w:r>
      <w:r>
        <w:rPr>
          <w:color w:val="231F20"/>
        </w:rPr>
        <w:t>en la </w:t>
      </w:r>
      <w:r>
        <w:rPr>
          <w:color w:val="231F20"/>
          <w:spacing w:val="2"/>
        </w:rPr>
        <w:t>actualidad </w:t>
      </w:r>
      <w:r>
        <w:rPr>
          <w:color w:val="231F20"/>
        </w:rPr>
        <w:t>se </w:t>
      </w:r>
      <w:r>
        <w:rPr>
          <w:color w:val="231F20"/>
          <w:spacing w:val="2"/>
        </w:rPr>
        <w:t>consideran agresivas, </w:t>
      </w:r>
      <w:r>
        <w:rPr>
          <w:color w:val="231F20"/>
        </w:rPr>
        <w:t>así </w:t>
      </w:r>
      <w:r>
        <w:rPr>
          <w:color w:val="231F20"/>
          <w:spacing w:val="3"/>
        </w:rPr>
        <w:t>como </w:t>
      </w:r>
      <w:r>
        <w:rPr>
          <w:color w:val="231F20"/>
          <w:spacing w:val="2"/>
        </w:rPr>
        <w:t>nuevos </w:t>
      </w:r>
      <w:r>
        <w:rPr>
          <w:color w:val="231F20"/>
          <w:spacing w:val="3"/>
        </w:rPr>
        <w:t>modos </w:t>
      </w:r>
      <w:r>
        <w:rPr>
          <w:color w:val="231F20"/>
        </w:rPr>
        <w:t>y </w:t>
      </w:r>
      <w:r>
        <w:rPr>
          <w:color w:val="231F20"/>
          <w:spacing w:val="2"/>
        </w:rPr>
        <w:t>rangos </w:t>
      </w:r>
      <w:r>
        <w:rPr>
          <w:color w:val="231F20"/>
        </w:rPr>
        <w:t>de </w:t>
      </w:r>
      <w:r>
        <w:rPr>
          <w:color w:val="231F20"/>
          <w:spacing w:val="3"/>
        </w:rPr>
        <w:t>violen- </w:t>
      </w:r>
      <w:r>
        <w:rPr>
          <w:color w:val="231F20"/>
        </w:rPr>
        <w:t>cia, </w:t>
      </w:r>
      <w:r>
        <w:rPr>
          <w:color w:val="231F20"/>
          <w:spacing w:val="2"/>
        </w:rPr>
        <w:t>con sus </w:t>
      </w:r>
      <w:r>
        <w:rPr>
          <w:color w:val="231F20"/>
          <w:spacing w:val="3"/>
        </w:rPr>
        <w:t>símbolos, </w:t>
      </w:r>
      <w:r>
        <w:rPr>
          <w:color w:val="231F20"/>
          <w:spacing w:val="2"/>
        </w:rPr>
        <w:t>signos </w:t>
      </w:r>
      <w:r>
        <w:rPr>
          <w:color w:val="231F20"/>
        </w:rPr>
        <w:t>y </w:t>
      </w:r>
      <w:r>
        <w:rPr>
          <w:color w:val="231F20"/>
          <w:spacing w:val="2"/>
        </w:rPr>
        <w:t>rituales. Esta circunstancia obliga </w:t>
      </w:r>
      <w:r>
        <w:rPr>
          <w:color w:val="231F20"/>
        </w:rPr>
        <w:t>a </w:t>
      </w:r>
      <w:r>
        <w:rPr>
          <w:color w:val="231F20"/>
          <w:spacing w:val="3"/>
        </w:rPr>
        <w:t>interrogarnos </w:t>
      </w:r>
      <w:r>
        <w:rPr>
          <w:color w:val="231F20"/>
        </w:rPr>
        <w:t>en </w:t>
      </w:r>
      <w:r>
        <w:rPr>
          <w:color w:val="231F20"/>
          <w:spacing w:val="2"/>
        </w:rPr>
        <w:t>torno </w:t>
      </w:r>
      <w:r>
        <w:rPr>
          <w:color w:val="231F20"/>
        </w:rPr>
        <w:t>a </w:t>
      </w:r>
      <w:r>
        <w:rPr>
          <w:color w:val="231F20"/>
          <w:spacing w:val="2"/>
        </w:rPr>
        <w:t>los alcances </w:t>
      </w:r>
      <w:r>
        <w:rPr>
          <w:color w:val="231F20"/>
        </w:rPr>
        <w:t>y a las </w:t>
      </w:r>
      <w:r>
        <w:rPr>
          <w:color w:val="231F20"/>
          <w:spacing w:val="3"/>
        </w:rPr>
        <w:t>dimensiones, </w:t>
      </w:r>
      <w:r>
        <w:rPr>
          <w:color w:val="231F20"/>
        </w:rPr>
        <w:t>al </w:t>
      </w:r>
      <w:r>
        <w:rPr>
          <w:color w:val="231F20"/>
          <w:spacing w:val="2"/>
        </w:rPr>
        <w:t>senti- </w:t>
      </w:r>
      <w:r>
        <w:rPr>
          <w:color w:val="231F20"/>
        </w:rPr>
        <w:t>do y </w:t>
      </w:r>
      <w:r>
        <w:rPr>
          <w:color w:val="231F20"/>
          <w:spacing w:val="2"/>
        </w:rPr>
        <w:t>significado </w:t>
      </w:r>
      <w:r>
        <w:rPr>
          <w:color w:val="231F20"/>
        </w:rPr>
        <w:t>de </w:t>
      </w:r>
      <w:r>
        <w:rPr>
          <w:color w:val="231F20"/>
          <w:spacing w:val="2"/>
        </w:rPr>
        <w:t>sus usos </w:t>
      </w:r>
      <w:r>
        <w:rPr>
          <w:color w:val="231F20"/>
        </w:rPr>
        <w:t>y a </w:t>
      </w:r>
      <w:r>
        <w:rPr>
          <w:color w:val="231F20"/>
          <w:spacing w:val="2"/>
        </w:rPr>
        <w:t>situar </w:t>
      </w:r>
      <w:r>
        <w:rPr>
          <w:color w:val="231F20"/>
        </w:rPr>
        <w:t>en el </w:t>
      </w:r>
      <w:r>
        <w:rPr>
          <w:color w:val="231F20"/>
          <w:spacing w:val="2"/>
        </w:rPr>
        <w:t>centro </w:t>
      </w:r>
      <w:r>
        <w:rPr>
          <w:color w:val="231F20"/>
        </w:rPr>
        <w:t>de la </w:t>
      </w:r>
      <w:r>
        <w:rPr>
          <w:color w:val="231F20"/>
          <w:spacing w:val="3"/>
        </w:rPr>
        <w:t>reflexión   </w:t>
      </w:r>
      <w:r>
        <w:rPr>
          <w:color w:val="231F20"/>
        </w:rPr>
        <w:t>la </w:t>
      </w:r>
      <w:r>
        <w:rPr>
          <w:color w:val="231F20"/>
          <w:spacing w:val="2"/>
        </w:rPr>
        <w:t>cuestión </w:t>
      </w:r>
      <w:r>
        <w:rPr>
          <w:color w:val="231F20"/>
        </w:rPr>
        <w:t>de si </w:t>
      </w:r>
      <w:r>
        <w:rPr>
          <w:color w:val="231F20"/>
          <w:spacing w:val="3"/>
        </w:rPr>
        <w:t>estamos, como </w:t>
      </w:r>
      <w:r>
        <w:rPr>
          <w:color w:val="231F20"/>
          <w:spacing w:val="2"/>
        </w:rPr>
        <w:t>testigos </w:t>
      </w:r>
      <w:r>
        <w:rPr>
          <w:color w:val="231F20"/>
        </w:rPr>
        <w:t>y </w:t>
      </w:r>
      <w:r>
        <w:rPr>
          <w:color w:val="231F20"/>
          <w:spacing w:val="2"/>
        </w:rPr>
        <w:t>protagonistas, ante una crisis estratégica </w:t>
      </w:r>
      <w:r>
        <w:rPr>
          <w:color w:val="231F20"/>
        </w:rPr>
        <w:t>de la </w:t>
      </w:r>
      <w:r>
        <w:rPr>
          <w:color w:val="231F20"/>
          <w:spacing w:val="2"/>
        </w:rPr>
        <w:t>educación </w:t>
      </w:r>
      <w:r>
        <w:rPr>
          <w:color w:val="231F20"/>
        </w:rPr>
        <w:t>y su </w:t>
      </w:r>
      <w:r>
        <w:rPr>
          <w:color w:val="231F20"/>
          <w:spacing w:val="3"/>
        </w:rPr>
        <w:t>soporte </w:t>
      </w:r>
      <w:r>
        <w:rPr>
          <w:color w:val="231F20"/>
          <w:spacing w:val="2"/>
        </w:rPr>
        <w:t>material, </w:t>
      </w:r>
      <w:r>
        <w:rPr>
          <w:color w:val="231F20"/>
        </w:rPr>
        <w:t>la </w:t>
      </w:r>
      <w:r>
        <w:rPr>
          <w:color w:val="231F20"/>
          <w:spacing w:val="2"/>
        </w:rPr>
        <w:t>institu- ción educativa, </w:t>
      </w:r>
      <w:r>
        <w:rPr>
          <w:color w:val="231F20"/>
        </w:rPr>
        <w:t>y, lo </w:t>
      </w:r>
      <w:r>
        <w:rPr>
          <w:color w:val="231F20"/>
          <w:spacing w:val="2"/>
        </w:rPr>
        <w:t>más </w:t>
      </w:r>
      <w:r>
        <w:rPr>
          <w:color w:val="231F20"/>
          <w:spacing w:val="3"/>
        </w:rPr>
        <w:t>importante, </w:t>
      </w:r>
      <w:r>
        <w:rPr>
          <w:color w:val="231F20"/>
        </w:rPr>
        <w:t>a </w:t>
      </w:r>
      <w:r>
        <w:rPr>
          <w:color w:val="231F20"/>
          <w:spacing w:val="3"/>
        </w:rPr>
        <w:t>preguntarnos </w:t>
      </w:r>
      <w:r>
        <w:rPr>
          <w:color w:val="231F20"/>
          <w:spacing w:val="2"/>
        </w:rPr>
        <w:t>acerca </w:t>
      </w:r>
      <w:r>
        <w:rPr>
          <w:color w:val="231F20"/>
        </w:rPr>
        <w:t>de a qué y a </w:t>
      </w:r>
      <w:r>
        <w:rPr>
          <w:color w:val="231F20"/>
          <w:spacing w:val="2"/>
        </w:rPr>
        <w:t>quiénes beneficia </w:t>
      </w:r>
      <w:r>
        <w:rPr>
          <w:color w:val="231F20"/>
        </w:rPr>
        <w:t>un </w:t>
      </w:r>
      <w:r>
        <w:rPr>
          <w:color w:val="231F20"/>
          <w:spacing w:val="2"/>
        </w:rPr>
        <w:t>clima escolar </w:t>
      </w:r>
      <w:r>
        <w:rPr>
          <w:color w:val="231F20"/>
        </w:rPr>
        <w:t>que </w:t>
      </w:r>
      <w:r>
        <w:rPr>
          <w:color w:val="231F20"/>
          <w:spacing w:val="2"/>
        </w:rPr>
        <w:t>hostiga, limita </w:t>
      </w:r>
      <w:r>
        <w:rPr>
          <w:color w:val="231F20"/>
        </w:rPr>
        <w:t>o </w:t>
      </w:r>
      <w:r>
        <w:rPr>
          <w:color w:val="231F20"/>
          <w:spacing w:val="2"/>
        </w:rPr>
        <w:t>excluye </w:t>
      </w:r>
      <w:r>
        <w:rPr>
          <w:color w:val="231F20"/>
        </w:rPr>
        <w:t>a </w:t>
      </w:r>
      <w:r>
        <w:rPr>
          <w:color w:val="231F20"/>
          <w:spacing w:val="2"/>
        </w:rPr>
        <w:t>diversos agentes educativos </w:t>
      </w:r>
      <w:r>
        <w:rPr>
          <w:color w:val="231F20"/>
        </w:rPr>
        <w:t>y que </w:t>
      </w:r>
      <w:r>
        <w:rPr>
          <w:color w:val="231F20"/>
          <w:spacing w:val="2"/>
        </w:rPr>
        <w:t>contiene </w:t>
      </w:r>
      <w:r>
        <w:rPr>
          <w:color w:val="231F20"/>
        </w:rPr>
        <w:t>la </w:t>
      </w:r>
      <w:r>
        <w:rPr>
          <w:color w:val="231F20"/>
          <w:spacing w:val="2"/>
        </w:rPr>
        <w:t>violencia </w:t>
      </w:r>
      <w:r>
        <w:rPr>
          <w:color w:val="231F20"/>
        </w:rPr>
        <w:t>de </w:t>
      </w:r>
      <w:r>
        <w:rPr>
          <w:color w:val="231F20"/>
          <w:spacing w:val="2"/>
        </w:rPr>
        <w:t>clase social, género </w:t>
      </w:r>
      <w:r>
        <w:rPr>
          <w:color w:val="231F20"/>
        </w:rPr>
        <w:t>y </w:t>
      </w:r>
      <w:r>
        <w:rPr>
          <w:color w:val="231F20"/>
          <w:spacing w:val="2"/>
        </w:rPr>
        <w:t>raza; cuando </w:t>
      </w:r>
      <w:r>
        <w:rPr>
          <w:color w:val="231F20"/>
        </w:rPr>
        <w:t>se </w:t>
      </w:r>
      <w:r>
        <w:rPr>
          <w:color w:val="231F20"/>
          <w:spacing w:val="2"/>
        </w:rPr>
        <w:t>hace referencia </w:t>
      </w:r>
      <w:r>
        <w:rPr>
          <w:color w:val="231F20"/>
        </w:rPr>
        <w:t>a la </w:t>
      </w:r>
      <w:r>
        <w:rPr>
          <w:color w:val="231F20"/>
          <w:spacing w:val="3"/>
        </w:rPr>
        <w:t>vio- </w:t>
      </w:r>
      <w:r>
        <w:rPr>
          <w:color w:val="231F20"/>
          <w:spacing w:val="2"/>
        </w:rPr>
        <w:t>lencia </w:t>
      </w:r>
      <w:r>
        <w:rPr>
          <w:color w:val="231F20"/>
        </w:rPr>
        <w:t>en el </w:t>
      </w:r>
      <w:r>
        <w:rPr>
          <w:color w:val="231F20"/>
          <w:spacing w:val="3"/>
        </w:rPr>
        <w:t>mundo </w:t>
      </w:r>
      <w:r>
        <w:rPr>
          <w:color w:val="231F20"/>
          <w:spacing w:val="2"/>
        </w:rPr>
        <w:t>escolar, esta suele asociarse </w:t>
      </w:r>
      <w:r>
        <w:rPr>
          <w:color w:val="231F20"/>
        </w:rPr>
        <w:t>a </w:t>
      </w:r>
      <w:r>
        <w:rPr>
          <w:color w:val="231F20"/>
          <w:spacing w:val="3"/>
        </w:rPr>
        <w:t>manifestaciones </w:t>
      </w:r>
      <w:r>
        <w:rPr>
          <w:color w:val="231F20"/>
          <w:spacing w:val="2"/>
        </w:rPr>
        <w:t>físicas tales </w:t>
      </w:r>
      <w:r>
        <w:rPr>
          <w:color w:val="231F20"/>
          <w:spacing w:val="3"/>
        </w:rPr>
        <w:t>como destrozos, </w:t>
      </w:r>
      <w:r>
        <w:rPr>
          <w:color w:val="231F20"/>
          <w:spacing w:val="2"/>
        </w:rPr>
        <w:t>peleas, </w:t>
      </w:r>
      <w:r>
        <w:rPr>
          <w:color w:val="231F20"/>
          <w:spacing w:val="3"/>
        </w:rPr>
        <w:t>robos, </w:t>
      </w:r>
      <w:r>
        <w:rPr>
          <w:color w:val="231F20"/>
          <w:spacing w:val="2"/>
        </w:rPr>
        <w:t>etcétera. No </w:t>
      </w:r>
      <w:r>
        <w:rPr>
          <w:color w:val="231F20"/>
          <w:spacing w:val="3"/>
        </w:rPr>
        <w:t>obstante, </w:t>
      </w:r>
      <w:r>
        <w:rPr>
          <w:color w:val="231F20"/>
          <w:spacing w:val="2"/>
        </w:rPr>
        <w:t>estas serían sus manifestaciones más extremas pues existen </w:t>
      </w:r>
      <w:r>
        <w:rPr>
          <w:color w:val="231F20"/>
          <w:spacing w:val="3"/>
        </w:rPr>
        <w:t>formas </w:t>
      </w:r>
      <w:r>
        <w:rPr>
          <w:color w:val="231F20"/>
          <w:spacing w:val="2"/>
        </w:rPr>
        <w:t>más sutiles </w:t>
      </w:r>
      <w:r>
        <w:rPr>
          <w:color w:val="231F20"/>
        </w:rPr>
        <w:t>e </w:t>
      </w:r>
      <w:r>
        <w:rPr>
          <w:color w:val="231F20"/>
          <w:spacing w:val="2"/>
        </w:rPr>
        <w:t>invisibles, como veremos más</w:t>
      </w:r>
      <w:r>
        <w:rPr>
          <w:color w:val="231F20"/>
          <w:spacing w:val="-30"/>
        </w:rPr>
        <w:t> </w:t>
      </w:r>
      <w:r>
        <w:rPr>
          <w:color w:val="231F20"/>
          <w:spacing w:val="3"/>
        </w:rPr>
        <w:t>adelante.</w:t>
      </w:r>
    </w:p>
    <w:p>
      <w:pPr>
        <w:pStyle w:val="BodyText"/>
        <w:spacing w:line="249" w:lineRule="auto"/>
        <w:ind w:left="101" w:right="115" w:firstLine="284"/>
        <w:jc w:val="both"/>
      </w:pPr>
      <w:r>
        <w:rPr>
          <w:color w:val="231F20"/>
        </w:rPr>
        <w:t>Al </w:t>
      </w:r>
      <w:r>
        <w:rPr>
          <w:color w:val="231F20"/>
          <w:spacing w:val="2"/>
        </w:rPr>
        <w:t>parecer, </w:t>
      </w:r>
      <w:r>
        <w:rPr>
          <w:color w:val="231F20"/>
        </w:rPr>
        <w:t>las </w:t>
      </w:r>
      <w:r>
        <w:rPr>
          <w:color w:val="231F20"/>
          <w:spacing w:val="2"/>
        </w:rPr>
        <w:t>“nuevas </w:t>
      </w:r>
      <w:r>
        <w:rPr>
          <w:color w:val="231F20"/>
        </w:rPr>
        <w:t>y </w:t>
      </w:r>
      <w:r>
        <w:rPr>
          <w:color w:val="231F20"/>
          <w:spacing w:val="2"/>
        </w:rPr>
        <w:t>viejas” </w:t>
      </w:r>
      <w:r>
        <w:rPr>
          <w:color w:val="231F20"/>
          <w:spacing w:val="3"/>
        </w:rPr>
        <w:t>maneras </w:t>
      </w:r>
      <w:r>
        <w:rPr>
          <w:color w:val="231F20"/>
        </w:rPr>
        <w:t>de </w:t>
      </w:r>
      <w:r>
        <w:rPr>
          <w:color w:val="231F20"/>
          <w:spacing w:val="2"/>
        </w:rPr>
        <w:t>ejercicio </w:t>
      </w:r>
      <w:r>
        <w:rPr>
          <w:color w:val="231F20"/>
        </w:rPr>
        <w:t>de la </w:t>
      </w:r>
      <w:r>
        <w:rPr>
          <w:color w:val="231F20"/>
          <w:spacing w:val="3"/>
        </w:rPr>
        <w:t>vio- </w:t>
      </w:r>
      <w:r>
        <w:rPr>
          <w:color w:val="231F20"/>
          <w:spacing w:val="2"/>
        </w:rPr>
        <w:t>lencia exteriorizan </w:t>
      </w:r>
      <w:r>
        <w:rPr>
          <w:color w:val="231F20"/>
        </w:rPr>
        <w:t>un </w:t>
      </w:r>
      <w:r>
        <w:rPr>
          <w:color w:val="231F20"/>
          <w:spacing w:val="3"/>
        </w:rPr>
        <w:t>profundo </w:t>
      </w:r>
      <w:r>
        <w:rPr>
          <w:color w:val="231F20"/>
          <w:spacing w:val="2"/>
        </w:rPr>
        <w:t>malestar </w:t>
      </w:r>
      <w:r>
        <w:rPr>
          <w:color w:val="231F20"/>
        </w:rPr>
        <w:t>en </w:t>
      </w:r>
      <w:r>
        <w:rPr>
          <w:color w:val="231F20"/>
          <w:spacing w:val="2"/>
        </w:rPr>
        <w:t>torno </w:t>
      </w:r>
      <w:r>
        <w:rPr>
          <w:color w:val="231F20"/>
        </w:rPr>
        <w:t>a y </w:t>
      </w:r>
      <w:r>
        <w:rPr>
          <w:color w:val="231F20"/>
          <w:spacing w:val="2"/>
        </w:rPr>
        <w:t>dentro </w:t>
      </w:r>
      <w:r>
        <w:rPr>
          <w:color w:val="231F20"/>
        </w:rPr>
        <w:t>de lo que se </w:t>
      </w:r>
      <w:r>
        <w:rPr>
          <w:color w:val="231F20"/>
          <w:spacing w:val="2"/>
        </w:rPr>
        <w:t>define </w:t>
      </w:r>
      <w:r>
        <w:rPr>
          <w:color w:val="231F20"/>
          <w:spacing w:val="3"/>
        </w:rPr>
        <w:t>como </w:t>
      </w:r>
      <w:r>
        <w:rPr>
          <w:color w:val="231F20"/>
          <w:spacing w:val="2"/>
        </w:rPr>
        <w:t>sistemas educativos </w:t>
      </w:r>
      <w:r>
        <w:rPr>
          <w:color w:val="231F20"/>
          <w:spacing w:val="3"/>
        </w:rPr>
        <w:t>modernos. </w:t>
      </w:r>
      <w:r>
        <w:rPr>
          <w:color w:val="231F20"/>
          <w:spacing w:val="2"/>
        </w:rPr>
        <w:t>¿Por </w:t>
      </w:r>
      <w:r>
        <w:rPr>
          <w:color w:val="231F20"/>
        </w:rPr>
        <w:t>qué la </w:t>
      </w:r>
      <w:r>
        <w:rPr>
          <w:color w:val="231F20"/>
          <w:spacing w:val="2"/>
        </w:rPr>
        <w:t>aparición </w:t>
      </w:r>
      <w:r>
        <w:rPr>
          <w:color w:val="231F20"/>
        </w:rPr>
        <w:t>y el </w:t>
      </w:r>
      <w:r>
        <w:rPr>
          <w:color w:val="231F20"/>
          <w:spacing w:val="2"/>
        </w:rPr>
        <w:t>recrudecimiento </w:t>
      </w:r>
      <w:r>
        <w:rPr>
          <w:color w:val="231F20"/>
        </w:rPr>
        <w:t>de la </w:t>
      </w:r>
      <w:r>
        <w:rPr>
          <w:color w:val="231F20"/>
          <w:spacing w:val="2"/>
        </w:rPr>
        <w:t>violencia simbólica </w:t>
      </w:r>
      <w:r>
        <w:rPr>
          <w:color w:val="231F20"/>
        </w:rPr>
        <w:t>y de </w:t>
      </w:r>
      <w:r>
        <w:rPr>
          <w:color w:val="231F20"/>
          <w:spacing w:val="3"/>
        </w:rPr>
        <w:t>mani- </w:t>
      </w:r>
      <w:r>
        <w:rPr>
          <w:color w:val="231F20"/>
          <w:spacing w:val="2"/>
        </w:rPr>
        <w:t>festaciones más agresivas </w:t>
      </w:r>
      <w:r>
        <w:rPr>
          <w:color w:val="231F20"/>
        </w:rPr>
        <w:t>de </w:t>
      </w:r>
      <w:r>
        <w:rPr>
          <w:color w:val="231F20"/>
          <w:spacing w:val="2"/>
        </w:rPr>
        <w:t>violencia física?, ¿por </w:t>
      </w:r>
      <w:r>
        <w:rPr>
          <w:color w:val="231F20"/>
        </w:rPr>
        <w:t>qué la </w:t>
      </w:r>
      <w:r>
        <w:rPr>
          <w:color w:val="231F20"/>
          <w:spacing w:val="3"/>
        </w:rPr>
        <w:t>denun- </w:t>
      </w:r>
      <w:r>
        <w:rPr>
          <w:color w:val="231F20"/>
        </w:rPr>
        <w:t>cia, el </w:t>
      </w:r>
      <w:r>
        <w:rPr>
          <w:color w:val="231F20"/>
          <w:spacing w:val="2"/>
        </w:rPr>
        <w:t>interés </w:t>
      </w:r>
      <w:r>
        <w:rPr>
          <w:color w:val="231F20"/>
        </w:rPr>
        <w:t>y la </w:t>
      </w:r>
      <w:r>
        <w:rPr>
          <w:color w:val="231F20"/>
          <w:spacing w:val="3"/>
        </w:rPr>
        <w:t>preocupación </w:t>
      </w:r>
      <w:r>
        <w:rPr>
          <w:color w:val="231F20"/>
        </w:rPr>
        <w:t>de </w:t>
      </w:r>
      <w:r>
        <w:rPr>
          <w:color w:val="231F20"/>
          <w:spacing w:val="3"/>
        </w:rPr>
        <w:t>docentes, </w:t>
      </w:r>
      <w:r>
        <w:rPr>
          <w:color w:val="231F20"/>
          <w:spacing w:val="2"/>
        </w:rPr>
        <w:t>intelectuales </w:t>
      </w:r>
      <w:r>
        <w:rPr>
          <w:color w:val="231F20"/>
        </w:rPr>
        <w:t>y </w:t>
      </w:r>
      <w:r>
        <w:rPr>
          <w:color w:val="231F20"/>
          <w:spacing w:val="3"/>
        </w:rPr>
        <w:t>auto- </w:t>
      </w:r>
      <w:r>
        <w:rPr>
          <w:color w:val="231F20"/>
          <w:spacing w:val="2"/>
        </w:rPr>
        <w:t>ridades? Las respuestas, </w:t>
      </w:r>
      <w:r>
        <w:rPr>
          <w:color w:val="231F20"/>
          <w:spacing w:val="3"/>
        </w:rPr>
        <w:t>como </w:t>
      </w:r>
      <w:r>
        <w:rPr>
          <w:color w:val="231F20"/>
        </w:rPr>
        <w:t>es </w:t>
      </w:r>
      <w:r>
        <w:rPr>
          <w:color w:val="231F20"/>
          <w:spacing w:val="2"/>
        </w:rPr>
        <w:t>obvio, son múltiples </w:t>
      </w:r>
      <w:r>
        <w:rPr>
          <w:color w:val="231F20"/>
        </w:rPr>
        <w:t>y </w:t>
      </w:r>
      <w:r>
        <w:rPr>
          <w:color w:val="231F20"/>
          <w:spacing w:val="2"/>
        </w:rPr>
        <w:t>con dife- rentes categorías según </w:t>
      </w:r>
      <w:r>
        <w:rPr>
          <w:color w:val="231F20"/>
        </w:rPr>
        <w:t>sus </w:t>
      </w:r>
      <w:r>
        <w:rPr>
          <w:color w:val="231F20"/>
          <w:spacing w:val="2"/>
        </w:rPr>
        <w:t>efectos. Una </w:t>
      </w:r>
      <w:r>
        <w:rPr>
          <w:color w:val="231F20"/>
        </w:rPr>
        <w:t>de </w:t>
      </w:r>
      <w:r>
        <w:rPr>
          <w:color w:val="231F20"/>
          <w:spacing w:val="2"/>
        </w:rPr>
        <w:t>ellas </w:t>
      </w:r>
      <w:r>
        <w:rPr>
          <w:color w:val="231F20"/>
        </w:rPr>
        <w:t>es que se ha visi- </w:t>
      </w:r>
      <w:r>
        <w:rPr>
          <w:color w:val="231F20"/>
          <w:spacing w:val="2"/>
        </w:rPr>
        <w:t>bilizado </w:t>
      </w:r>
      <w:r>
        <w:rPr>
          <w:color w:val="231F20"/>
        </w:rPr>
        <w:t>la </w:t>
      </w:r>
      <w:r>
        <w:rPr>
          <w:color w:val="231F20"/>
          <w:spacing w:val="2"/>
        </w:rPr>
        <w:t>violencia </w:t>
      </w:r>
      <w:r>
        <w:rPr>
          <w:color w:val="231F20"/>
        </w:rPr>
        <w:t>en la </w:t>
      </w:r>
      <w:r>
        <w:rPr>
          <w:color w:val="231F20"/>
          <w:spacing w:val="2"/>
        </w:rPr>
        <w:t>medida </w:t>
      </w:r>
      <w:r>
        <w:rPr>
          <w:color w:val="231F20"/>
        </w:rPr>
        <w:t>en que  </w:t>
      </w:r>
      <w:r>
        <w:rPr>
          <w:color w:val="231F20"/>
          <w:spacing w:val="2"/>
        </w:rPr>
        <w:t>los actores educativos  han sufrido </w:t>
      </w:r>
      <w:r>
        <w:rPr>
          <w:color w:val="231F20"/>
        </w:rPr>
        <w:t>las </w:t>
      </w:r>
      <w:r>
        <w:rPr>
          <w:color w:val="231F20"/>
          <w:spacing w:val="2"/>
        </w:rPr>
        <w:t>secuelas </w:t>
      </w:r>
      <w:r>
        <w:rPr>
          <w:color w:val="231F20"/>
        </w:rPr>
        <w:t>de la </w:t>
      </w:r>
      <w:r>
        <w:rPr>
          <w:color w:val="231F20"/>
          <w:spacing w:val="2"/>
        </w:rPr>
        <w:t>crisis </w:t>
      </w:r>
      <w:r>
        <w:rPr>
          <w:color w:val="231F20"/>
        </w:rPr>
        <w:t>del </w:t>
      </w:r>
      <w:r>
        <w:rPr>
          <w:color w:val="231F20"/>
          <w:spacing w:val="2"/>
        </w:rPr>
        <w:t>sistema </w:t>
      </w:r>
      <w:r>
        <w:rPr>
          <w:color w:val="231F20"/>
        </w:rPr>
        <w:t>de  </w:t>
      </w:r>
      <w:r>
        <w:rPr>
          <w:color w:val="231F20"/>
          <w:spacing w:val="3"/>
        </w:rPr>
        <w:t>enseñanza </w:t>
      </w:r>
      <w:r>
        <w:rPr>
          <w:color w:val="231F20"/>
        </w:rPr>
        <w:t>y  </w:t>
      </w:r>
      <w:r>
        <w:rPr>
          <w:color w:val="231F20"/>
          <w:spacing w:val="2"/>
        </w:rPr>
        <w:t>que,  ante  una  circunstancia  </w:t>
      </w:r>
      <w:r>
        <w:rPr>
          <w:color w:val="231F20"/>
          <w:spacing w:val="3"/>
        </w:rPr>
        <w:t>muchas  </w:t>
      </w:r>
      <w:r>
        <w:rPr>
          <w:color w:val="231F20"/>
          <w:spacing w:val="2"/>
        </w:rPr>
        <w:t>veces  inexplicable,  los </w:t>
      </w:r>
      <w:r>
        <w:rPr>
          <w:color w:val="231F20"/>
          <w:spacing w:val="26"/>
        </w:rPr>
        <w:t> </w:t>
      </w:r>
      <w:r>
        <w:rPr>
          <w:color w:val="231F20"/>
        </w:rPr>
        <w:t>ha</w:t>
      </w:r>
    </w:p>
    <w:p>
      <w:pPr>
        <w:spacing w:after="0" w:line="249" w:lineRule="auto"/>
        <w:jc w:val="both"/>
        <w:sectPr>
          <w:headerReference w:type="default" r:id="rId246"/>
          <w:footerReference w:type="default" r:id="rId247"/>
          <w:pgSz w:w="7830" w:h="11910"/>
          <w:pgMar w:header="0" w:footer="424" w:top="500" w:bottom="620" w:left="920" w:right="900"/>
          <w:pgNumType w:start="113"/>
        </w:sectPr>
      </w:pPr>
    </w:p>
    <w:p>
      <w:pPr>
        <w:spacing w:before="46"/>
        <w:ind w:left="102" w:right="116"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5"/>
        <w:jc w:val="both"/>
      </w:pPr>
      <w:r>
        <w:rPr>
          <w:color w:val="231F20"/>
        </w:rPr>
        <w:t>conducido a emplear, de manera paradójica, un discurso de desca- lificación y exclusión, así como a reforzar visiones de racismo intelectual, atribuyendo la frecuencia e intensidad de las acciones de violencia a factores biológicos, psicológicos, sociales y cultura- les que enfatizan los patrones de conducta como patologías indi- viduales o como acciones y costumbres de ciertos colecti- vos.Ángeles (2007) señala que una de las expresiones que mayor atención ha recibido es el llamado </w:t>
      </w:r>
      <w:r>
        <w:rPr>
          <w:i/>
          <w:color w:val="231F20"/>
        </w:rPr>
        <w:t>bullying </w:t>
      </w:r>
      <w:r>
        <w:rPr>
          <w:color w:val="231F20"/>
        </w:rPr>
        <w:t>en tanto que concentra todas estas conductas y resume las definiciones de violencia esco- lar. Las causas de la perpetración del </w:t>
      </w:r>
      <w:r>
        <w:rPr>
          <w:i/>
          <w:color w:val="231F20"/>
        </w:rPr>
        <w:t>bullying </w:t>
      </w:r>
      <w:r>
        <w:rPr>
          <w:color w:val="231F20"/>
        </w:rPr>
        <w:t>son muy complejas. Asimismo, distintos autores apuntan con mayor o menor grado a variables como: falta de autoestima por parte de la víctima, pro- blemas familiares, currículum inadecuado, sociedad competitiva, violencia del sistema, organización escolar excesivamente rígida, o por falta de concienciación de dicha problemática. Lo que resulta del consenso general es que las circunstancias  que  intervienen para que se den casos de </w:t>
      </w:r>
      <w:r>
        <w:rPr>
          <w:i/>
          <w:color w:val="231F20"/>
        </w:rPr>
        <w:t>bullying </w:t>
      </w:r>
      <w:r>
        <w:rPr>
          <w:color w:val="231F20"/>
        </w:rPr>
        <w:t>son multifactoriales. Desde esta perspectiva, se tiene que atender cada caso de manera individuali- zada, además se deben adoptar medidas claras y contundentes dentro del mundo escolar</w:t>
      </w:r>
    </w:p>
    <w:p>
      <w:pPr>
        <w:pStyle w:val="BodyText"/>
        <w:spacing w:line="226" w:lineRule="exact"/>
        <w:ind w:left="101"/>
        <w:jc w:val="both"/>
      </w:pPr>
      <w:r>
        <w:rPr>
          <w:color w:val="231F20"/>
        </w:rPr>
        <w:t>Otra  respuesta  preliminar  puede  ser  que  el  sistema  educativo ha</w:t>
      </w:r>
    </w:p>
    <w:p>
      <w:pPr>
        <w:pStyle w:val="BodyText"/>
        <w:spacing w:line="247" w:lineRule="auto" w:before="3"/>
        <w:ind w:left="101" w:right="116"/>
        <w:jc w:val="both"/>
      </w:pPr>
      <w:r>
        <w:rPr>
          <w:color w:val="231F20"/>
        </w:rPr>
        <w:t>enfrentado problemas relativamente nuevos  derivados  del  acceso sin precedentes de personas que pueden estar desprovistas, en su sentido más exacto, de las predisposiciones socialmente construidas que exige un ambiente educativo y, por lo tanto, que se presenta un desfase entre los sujetos a educar y el tipo de institución que los aloja. En este orden de ideas, tales preocupaciones derivan en la   idea de que estos sujetos devalúan los títulos escolares y los puestos de trabajo que van a ocupar gracias a tales títulos. Esto explica las reformas que han impulsado las actuales autoridades educativas, sobre todo federales, en todo el sistema educativo, pero que  involucra al subsistema de educación superior con la introducción  del modelo de administración gerencial que ha exacerbado los mecanismos de fragmentación de la vida académica y, por lo tanto, de individualización y de violencia simbólica. Una de sus manifestaciones</w:t>
      </w:r>
      <w:r>
        <w:rPr>
          <w:color w:val="231F20"/>
          <w:spacing w:val="-6"/>
        </w:rPr>
        <w:t> </w:t>
      </w:r>
      <w:r>
        <w:rPr>
          <w:color w:val="231F20"/>
        </w:rPr>
        <w:t>más</w:t>
      </w:r>
      <w:r>
        <w:rPr>
          <w:color w:val="231F20"/>
          <w:spacing w:val="-6"/>
        </w:rPr>
        <w:t> </w:t>
      </w:r>
      <w:r>
        <w:rPr>
          <w:color w:val="231F20"/>
        </w:rPr>
        <w:t>típicas</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reforma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legislación</w:t>
      </w:r>
      <w:r>
        <w:rPr>
          <w:color w:val="231F20"/>
          <w:spacing w:val="-6"/>
        </w:rPr>
        <w:t> </w:t>
      </w:r>
      <w:r>
        <w:rPr>
          <w:color w:val="231F20"/>
        </w:rPr>
        <w:t>escolar</w:t>
      </w:r>
      <w:r>
        <w:rPr>
          <w:color w:val="231F20"/>
          <w:spacing w:val="-6"/>
        </w:rPr>
        <w:t> </w:t>
      </w:r>
      <w:r>
        <w:rPr>
          <w:color w:val="231F20"/>
        </w:rPr>
        <w:t>que legitima estas prácticas de violencia institucional.Por lo que respecta al concepto de violencia, Galtung (1985) la define como “algo evitable que obstaculiza la autorrealización humana explicando </w:t>
      </w:r>
      <w:r>
        <w:rPr>
          <w:color w:val="231F20"/>
          <w:spacing w:val="28"/>
        </w:rPr>
        <w:t> </w:t>
      </w:r>
      <w:r>
        <w:rPr>
          <w:color w:val="231F20"/>
        </w:rPr>
        <w:t>que</w:t>
      </w:r>
    </w:p>
    <w:p>
      <w:pPr>
        <w:spacing w:after="0" w:line="247" w:lineRule="auto"/>
        <w:jc w:val="both"/>
        <w:sectPr>
          <w:headerReference w:type="default" r:id="rId248"/>
          <w:footerReference w:type="default" r:id="rId249"/>
          <w:pgSz w:w="7830" w:h="11910"/>
          <w:pgMar w:header="0" w:footer="424" w:top="500" w:bottom="620" w:left="920" w:right="900"/>
          <w:pgNumType w:start="114"/>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4"/>
        <w:jc w:val="both"/>
      </w:pPr>
      <w:r>
        <w:rPr>
          <w:color w:val="231F20"/>
        </w:rPr>
        <w:t>las personas sufran realizaciones afectivas, somáticas y mentales,  (...) por debajo de sus realizaciones potenciales”. Asimismo, Jordi Planella (1998) la considera como aquella situación o situaciones en que dos o más individuos se encuentran en una confrontación en la cual una o más de una de las personas afectadas sale perjudicada, siendo agredida física o psicológicamente. Ambos véanse en Lleó (2011).</w:t>
      </w:r>
    </w:p>
    <w:p>
      <w:pPr>
        <w:pStyle w:val="BodyText"/>
        <w:spacing w:line="249" w:lineRule="auto" w:before="10"/>
        <w:ind w:left="101" w:right="115" w:firstLine="284"/>
        <w:jc w:val="both"/>
      </w:pPr>
      <w:r>
        <w:rPr/>
        <w:drawing>
          <wp:anchor distT="0" distB="0" distL="0" distR="0" allowOverlap="1" layoutInCell="1" locked="0" behindDoc="1" simplePos="0" relativeHeight="267951791">
            <wp:simplePos x="0" y="0"/>
            <wp:positionH relativeFrom="page">
              <wp:posOffset>1268591</wp:posOffset>
            </wp:positionH>
            <wp:positionV relativeFrom="paragraph">
              <wp:posOffset>515457</wp:posOffset>
            </wp:positionV>
            <wp:extent cx="443988" cy="126191"/>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252" cstate="print"/>
                    <a:stretch>
                      <a:fillRect/>
                    </a:stretch>
                  </pic:blipFill>
                  <pic:spPr>
                    <a:xfrm>
                      <a:off x="0" y="0"/>
                      <a:ext cx="443988" cy="126191"/>
                    </a:xfrm>
                    <a:prstGeom prst="rect">
                      <a:avLst/>
                    </a:prstGeom>
                  </pic:spPr>
                </pic:pic>
              </a:graphicData>
            </a:graphic>
          </wp:anchor>
        </w:drawing>
      </w:r>
      <w:r>
        <w:rPr>
          <w:color w:val="231F20"/>
        </w:rPr>
        <w:t>De acuerdo con Ángeles (2011) es cada vez más patente la olla a presión que representa un centro escolar debido a que la violencia abarca muchos más actos, mensajes o situaciones violentas. Tal es   el</w:t>
      </w:r>
      <w:r>
        <w:rPr>
          <w:color w:val="231F20"/>
          <w:spacing w:val="-5"/>
        </w:rPr>
        <w:t> </w:t>
      </w:r>
      <w:r>
        <w:rPr>
          <w:color w:val="231F20"/>
        </w:rPr>
        <w:t>caso</w:t>
      </w:r>
      <w:r>
        <w:rPr>
          <w:color w:val="231F20"/>
          <w:spacing w:val="-3"/>
        </w:rPr>
        <w:t> </w:t>
      </w:r>
      <w:r>
        <w:rPr>
          <w:color w:val="231F20"/>
        </w:rPr>
        <w:t>del</w:t>
      </w:r>
      <w:r>
        <w:rPr>
          <w:color w:val="231F20"/>
          <w:spacing w:val="-4"/>
        </w:rPr>
        <w:t> </w:t>
      </w:r>
      <w:r>
        <w:rPr>
          <w:i/>
          <w:color w:val="231F20"/>
          <w:spacing w:val="15"/>
        </w:rPr>
        <w:t>bully</w:t>
      </w:r>
      <w:r>
        <w:rPr>
          <w:i/>
          <w:color w:val="231F20"/>
          <w:spacing w:val="-39"/>
        </w:rPr>
        <w:t> </w:t>
      </w:r>
      <w:r>
        <w:rPr>
          <w:i/>
          <w:color w:val="231F20"/>
        </w:rPr>
        <w:t>i</w:t>
      </w:r>
      <w:r>
        <w:rPr>
          <w:i/>
          <w:color w:val="231F20"/>
          <w:spacing w:val="-39"/>
        </w:rPr>
        <w:t> </w:t>
      </w:r>
      <w:r>
        <w:rPr>
          <w:i/>
          <w:color w:val="231F20"/>
          <w:spacing w:val="10"/>
        </w:rPr>
        <w:t>ng</w:t>
      </w:r>
      <w:r>
        <w:rPr>
          <w:i/>
          <w:color w:val="231F20"/>
          <w:spacing w:val="-39"/>
        </w:rPr>
        <w:t> </w:t>
      </w:r>
      <w:r>
        <w:rPr>
          <w:rFonts w:ascii="Arial" w:hAnsi="Arial"/>
          <w:b/>
          <w:color w:val="231F20"/>
        </w:rPr>
        <w:t>,</w:t>
      </w:r>
      <w:r>
        <w:rPr>
          <w:rFonts w:ascii="Arial" w:hAnsi="Arial"/>
          <w:b/>
          <w:color w:val="231F20"/>
          <w:spacing w:val="-10"/>
        </w:rPr>
        <w:t> </w:t>
      </w:r>
      <w:r>
        <w:rPr>
          <w:color w:val="231F20"/>
        </w:rPr>
        <w:t>de</w:t>
      </w:r>
      <w:r>
        <w:rPr>
          <w:color w:val="231F20"/>
          <w:spacing w:val="-4"/>
        </w:rPr>
        <w:t> </w:t>
      </w:r>
      <w:r>
        <w:rPr>
          <w:color w:val="231F20"/>
        </w:rPr>
        <w:t>difícil</w:t>
      </w:r>
      <w:r>
        <w:rPr>
          <w:color w:val="231F20"/>
          <w:spacing w:val="-5"/>
        </w:rPr>
        <w:t> </w:t>
      </w:r>
      <w:r>
        <w:rPr>
          <w:color w:val="231F20"/>
        </w:rPr>
        <w:t>traducción</w:t>
      </w:r>
      <w:r>
        <w:rPr>
          <w:color w:val="231F20"/>
          <w:spacing w:val="-4"/>
        </w:rPr>
        <w:t> </w:t>
      </w:r>
      <w:r>
        <w:rPr>
          <w:color w:val="231F20"/>
        </w:rPr>
        <w:t>al</w:t>
      </w:r>
      <w:r>
        <w:rPr>
          <w:color w:val="231F20"/>
          <w:spacing w:val="-5"/>
        </w:rPr>
        <w:t> </w:t>
      </w:r>
      <w:r>
        <w:rPr>
          <w:color w:val="231F20"/>
        </w:rPr>
        <w:t>castellano</w:t>
      </w:r>
      <w:r>
        <w:rPr>
          <w:color w:val="231F20"/>
          <w:spacing w:val="-3"/>
        </w:rPr>
        <w:t> </w:t>
      </w:r>
      <w:r>
        <w:rPr>
          <w:color w:val="231F20"/>
        </w:rPr>
        <w:t>o</w:t>
      </w:r>
      <w:r>
        <w:rPr>
          <w:color w:val="231F20"/>
          <w:spacing w:val="-4"/>
        </w:rPr>
        <w:t> </w:t>
      </w:r>
      <w:r>
        <w:rPr>
          <w:color w:val="231F20"/>
        </w:rPr>
        <w:t>a</w:t>
      </w:r>
      <w:r>
        <w:rPr>
          <w:color w:val="231F20"/>
          <w:spacing w:val="-4"/>
        </w:rPr>
        <w:t> </w:t>
      </w:r>
      <w:r>
        <w:rPr>
          <w:color w:val="231F20"/>
        </w:rPr>
        <w:t>cualquier lengua derivada del latín. La traducción aproximada, si forzamos un posible carácter literal, sería la de bravucón o matón, y como acción propia del </w:t>
      </w:r>
      <w:r>
        <w:rPr>
          <w:i/>
          <w:color w:val="231F20"/>
        </w:rPr>
        <w:t>bully </w:t>
      </w:r>
      <w:r>
        <w:rPr>
          <w:color w:val="231F20"/>
        </w:rPr>
        <w:t>o matón, en este concepto estarían los maltratos o amenazas de que intimidan, tiranizan o aíslan, y por ello convierten  a alguien en víctima. Los países nórdicos y germanos lo denominan </w:t>
      </w:r>
      <w:r>
        <w:rPr>
          <w:i/>
          <w:color w:val="231F20"/>
        </w:rPr>
        <w:t>mobbing</w:t>
      </w:r>
      <w:r>
        <w:rPr>
          <w:i/>
          <w:color w:val="231F20"/>
          <w:spacing w:val="-21"/>
        </w:rPr>
        <w:t> </w:t>
      </w:r>
      <w:r>
        <w:rPr>
          <w:color w:val="231F20"/>
        </w:rPr>
        <w:t>y</w:t>
      </w:r>
      <w:r>
        <w:rPr>
          <w:color w:val="231F20"/>
          <w:spacing w:val="-21"/>
        </w:rPr>
        <w:t> </w:t>
      </w:r>
      <w:r>
        <w:rPr>
          <w:color w:val="231F20"/>
        </w:rPr>
        <w:t>los</w:t>
      </w:r>
      <w:r>
        <w:rPr>
          <w:color w:val="231F20"/>
          <w:spacing w:val="-21"/>
        </w:rPr>
        <w:t> </w:t>
      </w:r>
      <w:r>
        <w:rPr>
          <w:color w:val="231F20"/>
        </w:rPr>
        <w:t>anglosajones</w:t>
      </w:r>
      <w:r>
        <w:rPr>
          <w:color w:val="231F20"/>
          <w:spacing w:val="-21"/>
        </w:rPr>
        <w:t> </w:t>
      </w:r>
      <w:r>
        <w:rPr>
          <w:i/>
          <w:color w:val="231F20"/>
        </w:rPr>
        <w:t>bullying</w:t>
      </w:r>
      <w:r>
        <w:rPr>
          <w:color w:val="231F20"/>
        </w:rPr>
        <w:t>.</w:t>
      </w:r>
      <w:r>
        <w:rPr>
          <w:color w:val="231F20"/>
          <w:spacing w:val="-21"/>
        </w:rPr>
        <w:t> </w:t>
      </w:r>
      <w:r>
        <w:rPr>
          <w:color w:val="231F20"/>
        </w:rPr>
        <w:t>El</w:t>
      </w:r>
      <w:r>
        <w:rPr>
          <w:color w:val="231F20"/>
          <w:spacing w:val="-21"/>
        </w:rPr>
        <w:t> </w:t>
      </w:r>
      <w:r>
        <w:rPr>
          <w:i/>
          <w:color w:val="231F20"/>
        </w:rPr>
        <w:t>bullying</w:t>
      </w:r>
      <w:r>
        <w:rPr>
          <w:i/>
          <w:color w:val="231F20"/>
          <w:spacing w:val="-21"/>
        </w:rPr>
        <w:t> </w:t>
      </w:r>
      <w:r>
        <w:rPr>
          <w:color w:val="231F20"/>
        </w:rPr>
        <w:t>puede</w:t>
      </w:r>
      <w:r>
        <w:rPr>
          <w:color w:val="231F20"/>
          <w:spacing w:val="-21"/>
        </w:rPr>
        <w:t> </w:t>
      </w:r>
      <w:r>
        <w:rPr>
          <w:color w:val="231F20"/>
        </w:rPr>
        <w:t>definirse</w:t>
      </w:r>
      <w:r>
        <w:rPr>
          <w:color w:val="231F20"/>
          <w:spacing w:val="-21"/>
        </w:rPr>
        <w:t> </w:t>
      </w:r>
      <w:r>
        <w:rPr>
          <w:color w:val="231F20"/>
        </w:rPr>
        <w:t>como “una violencia prolongada y que se repite, tanto mental como física, llevada a cabo por un individuo o grupo y dirigida contra un indivi- duo que no es capaz de defenderse ante dicha situación, convirtién- dose en víctima”. En este sentido, existen tres factores básicos que siempre</w:t>
      </w:r>
      <w:r>
        <w:rPr>
          <w:color w:val="231F20"/>
          <w:spacing w:val="-4"/>
        </w:rPr>
        <w:t> </w:t>
      </w:r>
      <w:r>
        <w:rPr>
          <w:color w:val="231F20"/>
        </w:rPr>
        <w:t>se</w:t>
      </w:r>
      <w:r>
        <w:rPr>
          <w:color w:val="231F20"/>
          <w:spacing w:val="-4"/>
        </w:rPr>
        <w:t> </w:t>
      </w:r>
      <w:r>
        <w:rPr>
          <w:color w:val="231F20"/>
        </w:rPr>
        <w:t>dan</w:t>
      </w:r>
      <w:r>
        <w:rPr>
          <w:color w:val="231F20"/>
          <w:spacing w:val="-3"/>
        </w:rPr>
        <w:t> </w:t>
      </w:r>
      <w:r>
        <w:rPr>
          <w:color w:val="231F20"/>
        </w:rPr>
        <w:t>para</w:t>
      </w:r>
      <w:r>
        <w:rPr>
          <w:color w:val="231F20"/>
          <w:spacing w:val="-4"/>
        </w:rPr>
        <w:t> </w:t>
      </w:r>
      <w:r>
        <w:rPr>
          <w:color w:val="231F20"/>
        </w:rPr>
        <w:t>que</w:t>
      </w:r>
      <w:r>
        <w:rPr>
          <w:color w:val="231F20"/>
          <w:spacing w:val="-4"/>
        </w:rPr>
        <w:t> </w:t>
      </w:r>
      <w:r>
        <w:rPr>
          <w:color w:val="231F20"/>
        </w:rPr>
        <w:t>un</w:t>
      </w:r>
      <w:r>
        <w:rPr>
          <w:color w:val="231F20"/>
          <w:spacing w:val="-3"/>
        </w:rPr>
        <w:t> </w:t>
      </w:r>
      <w:r>
        <w:rPr>
          <w:color w:val="231F20"/>
        </w:rPr>
        <w:t>hecho</w:t>
      </w:r>
      <w:r>
        <w:rPr>
          <w:color w:val="231F20"/>
          <w:spacing w:val="-3"/>
        </w:rPr>
        <w:t> </w:t>
      </w:r>
      <w:r>
        <w:rPr>
          <w:color w:val="231F20"/>
        </w:rPr>
        <w:t>se</w:t>
      </w:r>
      <w:r>
        <w:rPr>
          <w:color w:val="231F20"/>
          <w:spacing w:val="-4"/>
        </w:rPr>
        <w:t> </w:t>
      </w:r>
      <w:r>
        <w:rPr>
          <w:color w:val="231F20"/>
        </w:rPr>
        <w:t>considere</w:t>
      </w:r>
      <w:r>
        <w:rPr>
          <w:color w:val="231F20"/>
          <w:spacing w:val="-3"/>
        </w:rPr>
        <w:t> </w:t>
      </w:r>
      <w:r>
        <w:rPr>
          <w:i/>
          <w:color w:val="231F20"/>
        </w:rPr>
        <w:t>bullying</w:t>
      </w:r>
      <w:r>
        <w:rPr>
          <w:color w:val="231F20"/>
        </w:rPr>
        <w:t>:</w:t>
      </w:r>
      <w:r>
        <w:rPr>
          <w:color w:val="231F20"/>
          <w:spacing w:val="-5"/>
        </w:rPr>
        <w:t> </w:t>
      </w:r>
      <w:r>
        <w:rPr>
          <w:color w:val="231F20"/>
        </w:rPr>
        <w:t>ha</w:t>
      </w:r>
      <w:r>
        <w:rPr>
          <w:color w:val="231F20"/>
          <w:spacing w:val="-4"/>
        </w:rPr>
        <w:t> </w:t>
      </w:r>
      <w:r>
        <w:rPr>
          <w:color w:val="231F20"/>
        </w:rPr>
        <w:t>de</w:t>
      </w:r>
      <w:r>
        <w:rPr>
          <w:color w:val="231F20"/>
          <w:spacing w:val="-4"/>
        </w:rPr>
        <w:t> </w:t>
      </w:r>
      <w:r>
        <w:rPr>
          <w:color w:val="231F20"/>
        </w:rPr>
        <w:t>existir una víctima (indefensa) atacada por un abusón, o grupo de abuso- nes, es una relación de poder entre el más fuerte y el más débil;   debe suceder durante un período de tiempo prolongado (un mes,  etc.) y de forma repetida (más de dos o tres veces); la naturaleza de  la</w:t>
      </w:r>
      <w:r>
        <w:rPr>
          <w:color w:val="231F20"/>
          <w:spacing w:val="-8"/>
        </w:rPr>
        <w:t> </w:t>
      </w:r>
      <w:r>
        <w:rPr>
          <w:color w:val="231F20"/>
        </w:rPr>
        <w:t>agresión</w:t>
      </w:r>
      <w:r>
        <w:rPr>
          <w:color w:val="231F20"/>
          <w:spacing w:val="-8"/>
        </w:rPr>
        <w:t> </w:t>
      </w:r>
      <w:r>
        <w:rPr>
          <w:color w:val="231F20"/>
        </w:rPr>
        <w:t>puede</w:t>
      </w:r>
      <w:r>
        <w:rPr>
          <w:color w:val="231F20"/>
          <w:spacing w:val="-8"/>
        </w:rPr>
        <w:t> </w:t>
      </w:r>
      <w:r>
        <w:rPr>
          <w:color w:val="231F20"/>
        </w:rPr>
        <w:t>ser</w:t>
      </w:r>
      <w:r>
        <w:rPr>
          <w:color w:val="231F20"/>
          <w:spacing w:val="-8"/>
        </w:rPr>
        <w:t> </w:t>
      </w:r>
      <w:r>
        <w:rPr>
          <w:color w:val="231F20"/>
        </w:rPr>
        <w:t>física,</w:t>
      </w:r>
      <w:r>
        <w:rPr>
          <w:color w:val="231F20"/>
          <w:spacing w:val="-8"/>
        </w:rPr>
        <w:t> </w:t>
      </w:r>
      <w:r>
        <w:rPr>
          <w:color w:val="231F20"/>
        </w:rPr>
        <w:t>verbal</w:t>
      </w:r>
      <w:r>
        <w:rPr>
          <w:color w:val="231F20"/>
          <w:spacing w:val="-8"/>
        </w:rPr>
        <w:t> </w:t>
      </w:r>
      <w:r>
        <w:rPr>
          <w:color w:val="231F20"/>
        </w:rPr>
        <w:t>o</w:t>
      </w:r>
      <w:r>
        <w:rPr>
          <w:color w:val="231F20"/>
          <w:spacing w:val="-8"/>
        </w:rPr>
        <w:t> </w:t>
      </w:r>
      <w:r>
        <w:rPr>
          <w:color w:val="231F20"/>
        </w:rPr>
        <w:t>psicológica.</w:t>
      </w:r>
    </w:p>
    <w:p>
      <w:pPr>
        <w:pStyle w:val="BodyText"/>
        <w:spacing w:line="224" w:lineRule="exact"/>
        <w:ind w:left="102"/>
        <w:jc w:val="both"/>
      </w:pPr>
      <w:r>
        <w:rPr>
          <w:color w:val="231F20"/>
        </w:rPr>
        <w:t>En resumen la violencia escolar, desde la violencia simbólica hasta</w:t>
      </w:r>
    </w:p>
    <w:p>
      <w:pPr>
        <w:pStyle w:val="BodyText"/>
        <w:spacing w:line="247" w:lineRule="auto" w:before="3"/>
        <w:ind w:left="102" w:right="116"/>
        <w:jc w:val="both"/>
      </w:pPr>
      <w:r>
        <w:rPr>
          <w:color w:val="231F20"/>
        </w:rPr>
        <w:t>las </w:t>
      </w:r>
      <w:r>
        <w:rPr>
          <w:color w:val="231F20"/>
          <w:spacing w:val="3"/>
        </w:rPr>
        <w:t>formas </w:t>
      </w:r>
      <w:r>
        <w:rPr>
          <w:color w:val="231F20"/>
          <w:spacing w:val="2"/>
        </w:rPr>
        <w:t>más agresivas, </w:t>
      </w:r>
      <w:r>
        <w:rPr>
          <w:color w:val="231F20"/>
          <w:spacing w:val="3"/>
        </w:rPr>
        <w:t>como </w:t>
      </w:r>
      <w:r>
        <w:rPr>
          <w:color w:val="231F20"/>
        </w:rPr>
        <w:t>el </w:t>
      </w:r>
      <w:r>
        <w:rPr>
          <w:i/>
          <w:color w:val="231F20"/>
          <w:spacing w:val="2"/>
        </w:rPr>
        <w:t>mobbing </w:t>
      </w:r>
      <w:r>
        <w:rPr>
          <w:color w:val="231F20"/>
        </w:rPr>
        <w:t>y el </w:t>
      </w:r>
      <w:r>
        <w:rPr>
          <w:i/>
          <w:color w:val="231F20"/>
          <w:spacing w:val="2"/>
        </w:rPr>
        <w:t>bullying</w:t>
      </w:r>
      <w:r>
        <w:rPr>
          <w:color w:val="231F20"/>
          <w:spacing w:val="2"/>
        </w:rPr>
        <w:t>, </w:t>
      </w:r>
      <w:r>
        <w:rPr>
          <w:color w:val="231F20"/>
        </w:rPr>
        <w:t>no </w:t>
      </w:r>
      <w:r>
        <w:rPr>
          <w:color w:val="231F20"/>
          <w:spacing w:val="2"/>
        </w:rPr>
        <w:t>puede asumirse </w:t>
      </w:r>
      <w:r>
        <w:rPr>
          <w:color w:val="231F20"/>
          <w:spacing w:val="3"/>
        </w:rPr>
        <w:t>como </w:t>
      </w:r>
      <w:r>
        <w:rPr>
          <w:color w:val="231F20"/>
          <w:spacing w:val="2"/>
        </w:rPr>
        <w:t>realidades neutras </w:t>
      </w:r>
      <w:r>
        <w:rPr>
          <w:color w:val="231F20"/>
        </w:rPr>
        <w:t>o </w:t>
      </w:r>
      <w:r>
        <w:rPr>
          <w:color w:val="231F20"/>
          <w:spacing w:val="2"/>
        </w:rPr>
        <w:t>atribuibles </w:t>
      </w:r>
      <w:r>
        <w:rPr>
          <w:color w:val="231F20"/>
        </w:rPr>
        <w:t>a </w:t>
      </w:r>
      <w:r>
        <w:rPr>
          <w:color w:val="231F20"/>
          <w:spacing w:val="2"/>
        </w:rPr>
        <w:t>disposiciones subjetivas </w:t>
      </w:r>
      <w:r>
        <w:rPr>
          <w:color w:val="231F20"/>
        </w:rPr>
        <w:t>de </w:t>
      </w:r>
      <w:r>
        <w:rPr>
          <w:color w:val="231F20"/>
          <w:spacing w:val="2"/>
        </w:rPr>
        <w:t>individuos </w:t>
      </w:r>
      <w:r>
        <w:rPr>
          <w:color w:val="231F20"/>
        </w:rPr>
        <w:t>o de </w:t>
      </w:r>
      <w:r>
        <w:rPr>
          <w:color w:val="231F20"/>
          <w:spacing w:val="2"/>
        </w:rPr>
        <w:t>colectivos, </w:t>
      </w:r>
      <w:r>
        <w:rPr>
          <w:color w:val="231F20"/>
          <w:spacing w:val="3"/>
        </w:rPr>
        <w:t>como determinadas </w:t>
      </w:r>
      <w:r>
        <w:rPr>
          <w:color w:val="231F20"/>
          <w:spacing w:val="2"/>
        </w:rPr>
        <w:t>familias, sobre todo </w:t>
      </w:r>
      <w:r>
        <w:rPr>
          <w:color w:val="231F20"/>
        </w:rPr>
        <w:t>las </w:t>
      </w:r>
      <w:r>
        <w:rPr>
          <w:color w:val="231F20"/>
          <w:spacing w:val="2"/>
        </w:rPr>
        <w:t>más </w:t>
      </w:r>
      <w:r>
        <w:rPr>
          <w:color w:val="231F20"/>
          <w:spacing w:val="3"/>
        </w:rPr>
        <w:t>pobres, </w:t>
      </w:r>
      <w:r>
        <w:rPr>
          <w:color w:val="231F20"/>
          <w:spacing w:val="2"/>
        </w:rPr>
        <w:t>sino por </w:t>
      </w:r>
      <w:r>
        <w:rPr>
          <w:color w:val="231F20"/>
        </w:rPr>
        <w:t>el </w:t>
      </w:r>
      <w:r>
        <w:rPr>
          <w:color w:val="231F20"/>
          <w:spacing w:val="2"/>
        </w:rPr>
        <w:t>contrario, </w:t>
      </w:r>
      <w:r>
        <w:rPr>
          <w:color w:val="231F20"/>
          <w:spacing w:val="3"/>
        </w:rPr>
        <w:t>reconocer </w:t>
      </w:r>
      <w:r>
        <w:rPr>
          <w:color w:val="231F20"/>
        </w:rPr>
        <w:t>su </w:t>
      </w:r>
      <w:r>
        <w:rPr>
          <w:color w:val="231F20"/>
          <w:spacing w:val="3"/>
        </w:rPr>
        <w:t>historicidad </w:t>
      </w:r>
      <w:r>
        <w:rPr>
          <w:color w:val="231F20"/>
        </w:rPr>
        <w:t>y </w:t>
      </w:r>
      <w:r>
        <w:rPr>
          <w:color w:val="231F20"/>
          <w:spacing w:val="2"/>
        </w:rPr>
        <w:t>por </w:t>
      </w:r>
      <w:r>
        <w:rPr>
          <w:color w:val="231F20"/>
        </w:rPr>
        <w:t>lo </w:t>
      </w:r>
      <w:r>
        <w:rPr>
          <w:color w:val="231F20"/>
          <w:spacing w:val="2"/>
        </w:rPr>
        <w:t>tanto, </w:t>
      </w:r>
      <w:r>
        <w:rPr>
          <w:color w:val="231F20"/>
          <w:spacing w:val="3"/>
        </w:rPr>
        <w:t>demostrar </w:t>
      </w:r>
      <w:r>
        <w:rPr>
          <w:color w:val="231F20"/>
          <w:spacing w:val="2"/>
        </w:rPr>
        <w:t>que </w:t>
      </w:r>
      <w:r>
        <w:rPr>
          <w:color w:val="231F20"/>
          <w:spacing w:val="3"/>
        </w:rPr>
        <w:t>son </w:t>
      </w:r>
      <w:r>
        <w:rPr>
          <w:color w:val="231F20"/>
          <w:spacing w:val="2"/>
        </w:rPr>
        <w:t>producto </w:t>
      </w:r>
      <w:r>
        <w:rPr>
          <w:color w:val="231F20"/>
        </w:rPr>
        <w:t>de las </w:t>
      </w:r>
      <w:r>
        <w:rPr>
          <w:color w:val="231F20"/>
          <w:spacing w:val="2"/>
        </w:rPr>
        <w:t>diferencias </w:t>
      </w:r>
      <w:r>
        <w:rPr>
          <w:color w:val="231F20"/>
        </w:rPr>
        <w:t>y las </w:t>
      </w:r>
      <w:r>
        <w:rPr>
          <w:color w:val="231F20"/>
          <w:spacing w:val="2"/>
        </w:rPr>
        <w:t>desigualdades sociales. De ahí </w:t>
      </w:r>
      <w:r>
        <w:rPr>
          <w:color w:val="231F20"/>
        </w:rPr>
        <w:t>la </w:t>
      </w:r>
      <w:r>
        <w:rPr>
          <w:color w:val="231F20"/>
          <w:spacing w:val="3"/>
        </w:rPr>
        <w:t>importancia </w:t>
      </w:r>
      <w:r>
        <w:rPr>
          <w:color w:val="231F20"/>
        </w:rPr>
        <w:t>de no </w:t>
      </w:r>
      <w:r>
        <w:rPr>
          <w:color w:val="231F20"/>
          <w:spacing w:val="2"/>
        </w:rPr>
        <w:t>“naturalizarlas” </w:t>
      </w:r>
      <w:r>
        <w:rPr>
          <w:color w:val="231F20"/>
        </w:rPr>
        <w:t>y de </w:t>
      </w:r>
      <w:r>
        <w:rPr>
          <w:color w:val="231F20"/>
          <w:spacing w:val="3"/>
        </w:rPr>
        <w:t>poner </w:t>
      </w:r>
      <w:r>
        <w:rPr>
          <w:color w:val="231F20"/>
        </w:rPr>
        <w:t>en </w:t>
      </w:r>
      <w:r>
        <w:rPr>
          <w:color w:val="231F20"/>
          <w:spacing w:val="3"/>
        </w:rPr>
        <w:t>duda </w:t>
      </w:r>
      <w:r>
        <w:rPr>
          <w:color w:val="231F20"/>
        </w:rPr>
        <w:t>las </w:t>
      </w:r>
      <w:r>
        <w:rPr>
          <w:color w:val="231F20"/>
          <w:spacing w:val="2"/>
        </w:rPr>
        <w:t>narraciones cientificistas </w:t>
      </w:r>
      <w:r>
        <w:rPr>
          <w:color w:val="231F20"/>
        </w:rPr>
        <w:t>de la </w:t>
      </w:r>
      <w:r>
        <w:rPr>
          <w:color w:val="231F20"/>
          <w:spacing w:val="2"/>
        </w:rPr>
        <w:t>sociología, </w:t>
      </w:r>
      <w:r>
        <w:rPr>
          <w:color w:val="231F20"/>
        </w:rPr>
        <w:t>la </w:t>
      </w:r>
      <w:r>
        <w:rPr>
          <w:color w:val="231F20"/>
          <w:spacing w:val="2"/>
        </w:rPr>
        <w:t>política, </w:t>
      </w:r>
      <w:r>
        <w:rPr>
          <w:color w:val="231F20"/>
        </w:rPr>
        <w:t>la </w:t>
      </w:r>
      <w:r>
        <w:rPr>
          <w:color w:val="231F20"/>
          <w:spacing w:val="3"/>
        </w:rPr>
        <w:t>antropología,</w:t>
      </w:r>
      <w:r>
        <w:rPr>
          <w:color w:val="231F20"/>
          <w:spacing w:val="-5"/>
        </w:rPr>
        <w:t> </w:t>
      </w:r>
      <w:r>
        <w:rPr>
          <w:color w:val="231F20"/>
        </w:rPr>
        <w:t>la</w:t>
      </w:r>
      <w:r>
        <w:rPr>
          <w:color w:val="231F20"/>
          <w:spacing w:val="-4"/>
        </w:rPr>
        <w:t> </w:t>
      </w:r>
      <w:r>
        <w:rPr>
          <w:color w:val="231F20"/>
          <w:spacing w:val="2"/>
        </w:rPr>
        <w:t>psicología,</w:t>
      </w:r>
      <w:r>
        <w:rPr>
          <w:color w:val="231F20"/>
          <w:spacing w:val="-5"/>
        </w:rPr>
        <w:t> </w:t>
      </w:r>
      <w:r>
        <w:rPr>
          <w:color w:val="231F20"/>
        </w:rPr>
        <w:t>la</w:t>
      </w:r>
      <w:r>
        <w:rPr>
          <w:color w:val="231F20"/>
          <w:spacing w:val="-4"/>
        </w:rPr>
        <w:t> </w:t>
      </w:r>
      <w:r>
        <w:rPr>
          <w:color w:val="231F20"/>
          <w:spacing w:val="2"/>
        </w:rPr>
        <w:t>psiquiatría,</w:t>
      </w:r>
      <w:r>
        <w:rPr>
          <w:color w:val="231F20"/>
          <w:spacing w:val="-5"/>
        </w:rPr>
        <w:t> </w:t>
      </w:r>
      <w:r>
        <w:rPr>
          <w:color w:val="231F20"/>
        </w:rPr>
        <w:t>la</w:t>
      </w:r>
      <w:r>
        <w:rPr>
          <w:color w:val="231F20"/>
          <w:spacing w:val="-4"/>
        </w:rPr>
        <w:t> </w:t>
      </w:r>
      <w:r>
        <w:rPr>
          <w:color w:val="231F20"/>
          <w:spacing w:val="3"/>
        </w:rPr>
        <w:t>medicina,</w:t>
      </w:r>
      <w:r>
        <w:rPr>
          <w:color w:val="231F20"/>
          <w:spacing w:val="-5"/>
        </w:rPr>
        <w:t> </w:t>
      </w:r>
      <w:r>
        <w:rPr>
          <w:color w:val="231F20"/>
        </w:rPr>
        <w:t>la</w:t>
      </w:r>
      <w:r>
        <w:rPr>
          <w:color w:val="231F20"/>
          <w:spacing w:val="-4"/>
        </w:rPr>
        <w:t> </w:t>
      </w:r>
      <w:r>
        <w:rPr>
          <w:color w:val="231F20"/>
          <w:spacing w:val="2"/>
        </w:rPr>
        <w:t>biología</w:t>
      </w:r>
      <w:r>
        <w:rPr>
          <w:color w:val="231F20"/>
          <w:spacing w:val="-4"/>
        </w:rPr>
        <w:t> </w:t>
      </w:r>
      <w:r>
        <w:rPr>
          <w:color w:val="231F20"/>
        </w:rPr>
        <w:t>o la </w:t>
      </w:r>
      <w:r>
        <w:rPr>
          <w:color w:val="231F20"/>
          <w:spacing w:val="2"/>
        </w:rPr>
        <w:t>neurofisiología. Más aún </w:t>
      </w:r>
      <w:r>
        <w:rPr>
          <w:color w:val="231F20"/>
        </w:rPr>
        <w:t>no </w:t>
      </w:r>
      <w:r>
        <w:rPr>
          <w:color w:val="231F20"/>
          <w:spacing w:val="3"/>
        </w:rPr>
        <w:t>podemos </w:t>
      </w:r>
      <w:r>
        <w:rPr>
          <w:color w:val="231F20"/>
          <w:spacing w:val="2"/>
        </w:rPr>
        <w:t>consentir </w:t>
      </w:r>
      <w:r>
        <w:rPr>
          <w:color w:val="231F20"/>
        </w:rPr>
        <w:t>en </w:t>
      </w:r>
      <w:r>
        <w:rPr>
          <w:color w:val="231F20"/>
          <w:spacing w:val="2"/>
        </w:rPr>
        <w:t>que esas prácticas</w:t>
      </w:r>
      <w:r>
        <w:rPr>
          <w:color w:val="231F20"/>
          <w:spacing w:val="-5"/>
        </w:rPr>
        <w:t> </w:t>
      </w:r>
      <w:r>
        <w:rPr>
          <w:color w:val="231F20"/>
          <w:spacing w:val="2"/>
        </w:rPr>
        <w:t>naturalicen</w:t>
      </w:r>
      <w:r>
        <w:rPr>
          <w:color w:val="231F20"/>
          <w:spacing w:val="-5"/>
        </w:rPr>
        <w:t> </w:t>
      </w:r>
      <w:r>
        <w:rPr>
          <w:color w:val="231F20"/>
        </w:rPr>
        <w:t>las</w:t>
      </w:r>
      <w:r>
        <w:rPr>
          <w:color w:val="231F20"/>
          <w:spacing w:val="-5"/>
        </w:rPr>
        <w:t> </w:t>
      </w:r>
      <w:r>
        <w:rPr>
          <w:color w:val="231F20"/>
          <w:spacing w:val="2"/>
        </w:rPr>
        <w:t>desigualdades</w:t>
      </w:r>
      <w:r>
        <w:rPr>
          <w:color w:val="231F20"/>
          <w:spacing w:val="-5"/>
        </w:rPr>
        <w:t> </w:t>
      </w:r>
      <w:r>
        <w:rPr>
          <w:color w:val="231F20"/>
          <w:spacing w:val="2"/>
        </w:rPr>
        <w:t>sociales;</w:t>
      </w:r>
      <w:r>
        <w:rPr>
          <w:color w:val="231F20"/>
          <w:spacing w:val="-5"/>
        </w:rPr>
        <w:t> </w:t>
      </w:r>
      <w:r>
        <w:rPr>
          <w:color w:val="231F20"/>
        </w:rPr>
        <w:t>a</w:t>
      </w:r>
      <w:r>
        <w:rPr>
          <w:color w:val="231F20"/>
          <w:spacing w:val="-6"/>
        </w:rPr>
        <w:t> </w:t>
      </w:r>
      <w:r>
        <w:rPr>
          <w:color w:val="231F20"/>
        </w:rPr>
        <w:t>este</w:t>
      </w:r>
      <w:r>
        <w:rPr>
          <w:color w:val="231F20"/>
          <w:spacing w:val="-8"/>
        </w:rPr>
        <w:t> </w:t>
      </w:r>
      <w:r>
        <w:rPr>
          <w:color w:val="231F20"/>
        </w:rPr>
        <w:t>respecto,</w:t>
      </w:r>
      <w:r>
        <w:rPr>
          <w:color w:val="231F20"/>
          <w:spacing w:val="-9"/>
        </w:rPr>
        <w:t> </w:t>
      </w:r>
      <w:r>
        <w:rPr>
          <w:color w:val="231F20"/>
        </w:rPr>
        <w:t>una</w:t>
      </w:r>
    </w:p>
    <w:p>
      <w:pPr>
        <w:spacing w:after="0" w:line="247" w:lineRule="auto"/>
        <w:jc w:val="both"/>
        <w:sectPr>
          <w:headerReference w:type="default" r:id="rId250"/>
          <w:footerReference w:type="default" r:id="rId251"/>
          <w:pgSz w:w="7830" w:h="11910"/>
          <w:pgMar w:header="0" w:footer="424" w:top="500" w:bottom="620" w:left="920" w:right="900"/>
          <w:pgNumType w:start="115"/>
        </w:sectPr>
      </w:pPr>
    </w:p>
    <w:p>
      <w:pPr>
        <w:spacing w:before="46"/>
        <w:ind w:left="596" w:right="0" w:firstLine="0"/>
        <w:jc w:val="both"/>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13"/>
        <w:jc w:val="both"/>
      </w:pPr>
      <w:r>
        <w:rPr>
          <w:color w:val="231F20"/>
        </w:rPr>
        <w:t>rigurosa y estimulante explicación acerca de procesos, prácticas discursivas e instituciones sociales (incluidas las educativas), que se involucran en la objetivación y naturalización de hechos sociales  son los textos de Bourdieu (2009; 2010 respectivamente), que bien puede esclarecer lo que sucede en el mundo educativo, en especial con la problemática de la violencia</w:t>
      </w:r>
      <w:r>
        <w:rPr>
          <w:color w:val="231F20"/>
          <w:spacing w:val="-29"/>
        </w:rPr>
        <w:t> </w:t>
      </w:r>
      <w:r>
        <w:rPr>
          <w:color w:val="231F20"/>
        </w:rPr>
        <w:t>escolar.</w:t>
      </w:r>
    </w:p>
    <w:p>
      <w:pPr>
        <w:pStyle w:val="BodyText"/>
        <w:spacing w:line="244" w:lineRule="auto" w:before="1"/>
        <w:ind w:left="101" w:right="115"/>
        <w:jc w:val="both"/>
      </w:pPr>
      <w:r>
        <w:rPr>
          <w:color w:val="231F20"/>
        </w:rPr>
        <w:t>En </w:t>
      </w:r>
      <w:r>
        <w:rPr>
          <w:color w:val="231F20"/>
          <w:spacing w:val="2"/>
        </w:rPr>
        <w:t>todo caso, </w:t>
      </w:r>
      <w:r>
        <w:rPr>
          <w:color w:val="231F20"/>
          <w:spacing w:val="3"/>
        </w:rPr>
        <w:t>consideramos </w:t>
      </w:r>
      <w:r>
        <w:rPr>
          <w:color w:val="231F20"/>
        </w:rPr>
        <w:t>que </w:t>
      </w:r>
      <w:r>
        <w:rPr>
          <w:color w:val="231F20"/>
          <w:spacing w:val="2"/>
        </w:rPr>
        <w:t>una tarea </w:t>
      </w:r>
      <w:r>
        <w:rPr>
          <w:color w:val="231F20"/>
          <w:spacing w:val="3"/>
        </w:rPr>
        <w:t>primordial </w:t>
      </w:r>
      <w:r>
        <w:rPr>
          <w:color w:val="231F20"/>
        </w:rPr>
        <w:t>es el </w:t>
      </w:r>
      <w:r>
        <w:rPr>
          <w:color w:val="231F20"/>
          <w:spacing w:val="2"/>
        </w:rPr>
        <w:t>estudio </w:t>
      </w:r>
      <w:r>
        <w:rPr>
          <w:color w:val="231F20"/>
        </w:rPr>
        <w:t>de </w:t>
      </w:r>
      <w:r>
        <w:rPr>
          <w:color w:val="231F20"/>
          <w:spacing w:val="2"/>
        </w:rPr>
        <w:t>los vínculos entre educación </w:t>
      </w:r>
      <w:r>
        <w:rPr>
          <w:color w:val="231F20"/>
        </w:rPr>
        <w:t>y </w:t>
      </w:r>
      <w:r>
        <w:rPr>
          <w:color w:val="231F20"/>
          <w:spacing w:val="2"/>
        </w:rPr>
        <w:t>violencia </w:t>
      </w:r>
      <w:r>
        <w:rPr>
          <w:color w:val="231F20"/>
        </w:rPr>
        <w:t>o, </w:t>
      </w:r>
      <w:r>
        <w:rPr>
          <w:color w:val="231F20"/>
          <w:spacing w:val="2"/>
        </w:rPr>
        <w:t>para </w:t>
      </w:r>
      <w:r>
        <w:rPr>
          <w:color w:val="231F20"/>
        </w:rPr>
        <w:t>ser </w:t>
      </w:r>
      <w:r>
        <w:rPr>
          <w:color w:val="231F20"/>
          <w:spacing w:val="2"/>
        </w:rPr>
        <w:t>más exac- tos, </w:t>
      </w:r>
      <w:r>
        <w:rPr>
          <w:color w:val="231F20"/>
          <w:spacing w:val="3"/>
        </w:rPr>
        <w:t>reconocer </w:t>
      </w:r>
      <w:r>
        <w:rPr>
          <w:color w:val="231F20"/>
        </w:rPr>
        <w:t>lo </w:t>
      </w:r>
      <w:r>
        <w:rPr>
          <w:color w:val="231F20"/>
          <w:spacing w:val="2"/>
        </w:rPr>
        <w:t>que </w:t>
      </w:r>
      <w:r>
        <w:rPr>
          <w:color w:val="231F20"/>
        </w:rPr>
        <w:t>se </w:t>
      </w:r>
      <w:r>
        <w:rPr>
          <w:color w:val="231F20"/>
          <w:spacing w:val="2"/>
        </w:rPr>
        <w:t>nos </w:t>
      </w:r>
      <w:r>
        <w:rPr>
          <w:color w:val="231F20"/>
        </w:rPr>
        <w:t>ha  </w:t>
      </w:r>
      <w:r>
        <w:rPr>
          <w:color w:val="231F20"/>
          <w:spacing w:val="3"/>
        </w:rPr>
        <w:t>impuesto como </w:t>
      </w:r>
      <w:r>
        <w:rPr>
          <w:color w:val="231F20"/>
          <w:spacing w:val="2"/>
        </w:rPr>
        <w:t>una realidad </w:t>
      </w:r>
      <w:r>
        <w:rPr>
          <w:color w:val="231F20"/>
        </w:rPr>
        <w:t>y  </w:t>
      </w:r>
      <w:r>
        <w:rPr>
          <w:color w:val="231F20"/>
          <w:spacing w:val="2"/>
        </w:rPr>
        <w:t>cuyo resultado </w:t>
      </w:r>
      <w:r>
        <w:rPr>
          <w:color w:val="231F20"/>
        </w:rPr>
        <w:t>ha </w:t>
      </w:r>
      <w:r>
        <w:rPr>
          <w:color w:val="231F20"/>
          <w:spacing w:val="2"/>
        </w:rPr>
        <w:t>sido una redefinición </w:t>
      </w:r>
      <w:r>
        <w:rPr>
          <w:color w:val="231F20"/>
        </w:rPr>
        <w:t>de </w:t>
      </w:r>
      <w:r>
        <w:rPr>
          <w:color w:val="231F20"/>
          <w:spacing w:val="2"/>
        </w:rPr>
        <w:t>los nexos entre </w:t>
      </w:r>
      <w:r>
        <w:rPr>
          <w:color w:val="231F20"/>
          <w:spacing w:val="3"/>
        </w:rPr>
        <w:t>dichos términos, </w:t>
      </w:r>
      <w:r>
        <w:rPr>
          <w:color w:val="231F20"/>
        </w:rPr>
        <w:t>a </w:t>
      </w:r>
      <w:r>
        <w:rPr>
          <w:color w:val="231F20"/>
          <w:spacing w:val="2"/>
        </w:rPr>
        <w:t>saber, </w:t>
      </w:r>
      <w:r>
        <w:rPr>
          <w:color w:val="231F20"/>
        </w:rPr>
        <w:t>la </w:t>
      </w:r>
      <w:r>
        <w:rPr>
          <w:color w:val="231F20"/>
          <w:spacing w:val="2"/>
        </w:rPr>
        <w:t>violencia escolar </w:t>
      </w:r>
      <w:r>
        <w:rPr>
          <w:color w:val="231F20"/>
        </w:rPr>
        <w:t>o, de </w:t>
      </w:r>
      <w:r>
        <w:rPr>
          <w:color w:val="231F20"/>
          <w:spacing w:val="3"/>
        </w:rPr>
        <w:t>mayor </w:t>
      </w:r>
      <w:r>
        <w:rPr>
          <w:color w:val="231F20"/>
          <w:spacing w:val="2"/>
        </w:rPr>
        <w:t>amplitud </w:t>
      </w:r>
      <w:r>
        <w:rPr>
          <w:color w:val="231F20"/>
        </w:rPr>
        <w:t>y </w:t>
      </w:r>
      <w:r>
        <w:rPr>
          <w:color w:val="231F20"/>
          <w:spacing w:val="4"/>
        </w:rPr>
        <w:t>con- </w:t>
      </w:r>
      <w:r>
        <w:rPr>
          <w:color w:val="231F20"/>
          <w:spacing w:val="2"/>
        </w:rPr>
        <w:t>tenido, </w:t>
      </w:r>
      <w:r>
        <w:rPr>
          <w:color w:val="231F20"/>
        </w:rPr>
        <w:t>la </w:t>
      </w:r>
      <w:r>
        <w:rPr>
          <w:color w:val="231F20"/>
          <w:spacing w:val="2"/>
        </w:rPr>
        <w:t>violencia educativa. Así estaríamos </w:t>
      </w:r>
      <w:r>
        <w:rPr>
          <w:color w:val="231F20"/>
        </w:rPr>
        <w:t>en </w:t>
      </w:r>
      <w:r>
        <w:rPr>
          <w:color w:val="231F20"/>
          <w:spacing w:val="2"/>
        </w:rPr>
        <w:t>condiciones para develar </w:t>
      </w:r>
      <w:r>
        <w:rPr>
          <w:color w:val="231F20"/>
        </w:rPr>
        <w:t>las </w:t>
      </w:r>
      <w:r>
        <w:rPr>
          <w:color w:val="231F20"/>
          <w:spacing w:val="3"/>
        </w:rPr>
        <w:t>formas </w:t>
      </w:r>
      <w:r>
        <w:rPr>
          <w:color w:val="231F20"/>
        </w:rPr>
        <w:t>de </w:t>
      </w:r>
      <w:r>
        <w:rPr>
          <w:color w:val="231F20"/>
          <w:spacing w:val="2"/>
        </w:rPr>
        <w:t>legitimación </w:t>
      </w:r>
      <w:r>
        <w:rPr>
          <w:color w:val="231F20"/>
        </w:rPr>
        <w:t>de </w:t>
      </w:r>
      <w:r>
        <w:rPr>
          <w:color w:val="231F20"/>
          <w:spacing w:val="3"/>
        </w:rPr>
        <w:t>segundo orden, </w:t>
      </w:r>
      <w:r>
        <w:rPr>
          <w:color w:val="231F20"/>
        </w:rPr>
        <w:t>es </w:t>
      </w:r>
      <w:r>
        <w:rPr>
          <w:color w:val="231F20"/>
          <w:spacing w:val="2"/>
        </w:rPr>
        <w:t>decir, </w:t>
      </w:r>
      <w:r>
        <w:rPr>
          <w:color w:val="231F20"/>
          <w:spacing w:val="3"/>
        </w:rPr>
        <w:t>cómo </w:t>
      </w:r>
      <w:r>
        <w:rPr>
          <w:color w:val="231F20"/>
        </w:rPr>
        <w:t>se </w:t>
      </w:r>
      <w:r>
        <w:rPr>
          <w:color w:val="231F20"/>
          <w:spacing w:val="2"/>
        </w:rPr>
        <w:t>duplica </w:t>
      </w:r>
      <w:r>
        <w:rPr>
          <w:color w:val="231F20"/>
        </w:rPr>
        <w:t>la </w:t>
      </w:r>
      <w:r>
        <w:rPr>
          <w:color w:val="231F20"/>
          <w:spacing w:val="2"/>
        </w:rPr>
        <w:t>legitimación escolar </w:t>
      </w:r>
      <w:r>
        <w:rPr>
          <w:color w:val="231F20"/>
        </w:rPr>
        <w:t>en </w:t>
      </w:r>
      <w:r>
        <w:rPr>
          <w:color w:val="231F20"/>
          <w:spacing w:val="2"/>
        </w:rPr>
        <w:t>tanto discriminación legítima, </w:t>
      </w:r>
      <w:r>
        <w:rPr>
          <w:color w:val="231F20"/>
        </w:rPr>
        <w:t>que la </w:t>
      </w:r>
      <w:r>
        <w:rPr>
          <w:color w:val="231F20"/>
          <w:spacing w:val="2"/>
        </w:rPr>
        <w:t>mayoría </w:t>
      </w:r>
      <w:r>
        <w:rPr>
          <w:color w:val="231F20"/>
        </w:rPr>
        <w:t>de las </w:t>
      </w:r>
      <w:r>
        <w:rPr>
          <w:color w:val="231F20"/>
          <w:spacing w:val="2"/>
        </w:rPr>
        <w:t>veces </w:t>
      </w:r>
      <w:r>
        <w:rPr>
          <w:color w:val="231F20"/>
        </w:rPr>
        <w:t>se </w:t>
      </w:r>
      <w:r>
        <w:rPr>
          <w:color w:val="231F20"/>
          <w:spacing w:val="2"/>
        </w:rPr>
        <w:t>realiza mediante los </w:t>
      </w:r>
      <w:r>
        <w:rPr>
          <w:color w:val="231F20"/>
          <w:spacing w:val="3"/>
        </w:rPr>
        <w:t>dis- </w:t>
      </w:r>
      <w:r>
        <w:rPr>
          <w:color w:val="231F20"/>
          <w:spacing w:val="2"/>
        </w:rPr>
        <w:t>cursos </w:t>
      </w:r>
      <w:r>
        <w:rPr>
          <w:color w:val="231F20"/>
        </w:rPr>
        <w:t>de la </w:t>
      </w:r>
      <w:r>
        <w:rPr>
          <w:color w:val="231F20"/>
          <w:spacing w:val="2"/>
        </w:rPr>
        <w:t>ciencia, </w:t>
      </w:r>
      <w:r>
        <w:rPr>
          <w:color w:val="231F20"/>
        </w:rPr>
        <w:t>así </w:t>
      </w:r>
      <w:r>
        <w:rPr>
          <w:color w:val="231F20"/>
          <w:spacing w:val="3"/>
        </w:rPr>
        <w:t>como </w:t>
      </w:r>
      <w:r>
        <w:rPr>
          <w:color w:val="231F20"/>
        </w:rPr>
        <w:t>de </w:t>
      </w:r>
      <w:r>
        <w:rPr>
          <w:color w:val="231F20"/>
          <w:spacing w:val="2"/>
        </w:rPr>
        <w:t>nuestras </w:t>
      </w:r>
      <w:r>
        <w:rPr>
          <w:color w:val="231F20"/>
          <w:spacing w:val="3"/>
        </w:rPr>
        <w:t>afirmaciones </w:t>
      </w:r>
      <w:r>
        <w:rPr>
          <w:color w:val="231F20"/>
        </w:rPr>
        <w:t>que </w:t>
      </w:r>
      <w:r>
        <w:rPr>
          <w:color w:val="231F20"/>
          <w:spacing w:val="3"/>
        </w:rPr>
        <w:t>elabo- ramos </w:t>
      </w:r>
      <w:r>
        <w:rPr>
          <w:color w:val="231F20"/>
        </w:rPr>
        <w:t>y </w:t>
      </w:r>
      <w:r>
        <w:rPr>
          <w:color w:val="231F20"/>
          <w:spacing w:val="3"/>
        </w:rPr>
        <w:t>proponemos, haciéndolas </w:t>
      </w:r>
      <w:r>
        <w:rPr>
          <w:color w:val="231F20"/>
          <w:spacing w:val="2"/>
        </w:rPr>
        <w:t>aparecer </w:t>
      </w:r>
      <w:r>
        <w:rPr>
          <w:color w:val="231F20"/>
          <w:spacing w:val="3"/>
        </w:rPr>
        <w:t>como </w:t>
      </w:r>
      <w:r>
        <w:rPr>
          <w:color w:val="231F20"/>
          <w:spacing w:val="2"/>
        </w:rPr>
        <w:t>aceptables por </w:t>
      </w:r>
      <w:r>
        <w:rPr>
          <w:color w:val="231F20"/>
        </w:rPr>
        <w:t>y </w:t>
      </w:r>
      <w:r>
        <w:rPr>
          <w:color w:val="231F20"/>
          <w:spacing w:val="2"/>
        </w:rPr>
        <w:t>para todos.En </w:t>
      </w:r>
      <w:r>
        <w:rPr>
          <w:color w:val="231F20"/>
        </w:rPr>
        <w:t>este recuento, Osorio advierte la importancia de reconocer otras dimensiones que ayudan a esclarecer las circunstan- cias</w:t>
      </w:r>
      <w:r>
        <w:rPr>
          <w:color w:val="231F20"/>
          <w:spacing w:val="-11"/>
        </w:rPr>
        <w:t> </w:t>
      </w:r>
      <w:r>
        <w:rPr>
          <w:color w:val="231F20"/>
        </w:rPr>
        <w:t>que</w:t>
      </w:r>
      <w:r>
        <w:rPr>
          <w:color w:val="231F20"/>
          <w:spacing w:val="-10"/>
        </w:rPr>
        <w:t> </w:t>
      </w:r>
      <w:r>
        <w:rPr>
          <w:color w:val="231F20"/>
        </w:rPr>
        <w:t>propician</w:t>
      </w:r>
      <w:r>
        <w:rPr>
          <w:color w:val="231F20"/>
          <w:spacing w:val="-10"/>
        </w:rPr>
        <w:t> </w:t>
      </w:r>
      <w:r>
        <w:rPr>
          <w:color w:val="231F20"/>
        </w:rPr>
        <w:t>la</w:t>
      </w:r>
      <w:r>
        <w:rPr>
          <w:color w:val="231F20"/>
          <w:spacing w:val="-10"/>
        </w:rPr>
        <w:t> </w:t>
      </w:r>
      <w:r>
        <w:rPr>
          <w:color w:val="231F20"/>
        </w:rPr>
        <w:t>violencia</w:t>
      </w:r>
      <w:r>
        <w:rPr>
          <w:color w:val="231F20"/>
          <w:spacing w:val="-10"/>
        </w:rPr>
        <w:t> </w:t>
      </w:r>
      <w:r>
        <w:rPr>
          <w:color w:val="231F20"/>
        </w:rPr>
        <w:t>en</w:t>
      </w:r>
      <w:r>
        <w:rPr>
          <w:color w:val="231F20"/>
          <w:spacing w:val="-10"/>
        </w:rPr>
        <w:t> </w:t>
      </w:r>
      <w:r>
        <w:rPr>
          <w:color w:val="231F20"/>
        </w:rPr>
        <w:t>las</w:t>
      </w:r>
      <w:r>
        <w:rPr>
          <w:color w:val="231F20"/>
          <w:spacing w:val="-11"/>
        </w:rPr>
        <w:t> </w:t>
      </w:r>
      <w:r>
        <w:rPr>
          <w:color w:val="231F20"/>
        </w:rPr>
        <w:t>aulas:</w:t>
      </w:r>
    </w:p>
    <w:p>
      <w:pPr>
        <w:pStyle w:val="BodyText"/>
        <w:spacing w:before="5"/>
      </w:pPr>
    </w:p>
    <w:p>
      <w:pPr>
        <w:spacing w:line="247" w:lineRule="auto" w:before="0"/>
        <w:ind w:left="528" w:right="113" w:firstLine="0"/>
        <w:jc w:val="both"/>
        <w:rPr>
          <w:sz w:val="19"/>
        </w:rPr>
      </w:pPr>
      <w:r>
        <w:rPr>
          <w:color w:val="231F20"/>
          <w:sz w:val="19"/>
        </w:rPr>
        <w:t>También hay que considerar la declinación del orden democrático en las organizaciones educativas, tratando de rescatar, desde el punto de vista filosófico, el valor del concepto de “experiencia” como modo    de supervivencia institucional. ¿Por qué “la experiencia” de asistir a   la escuela es un valor que hay que rescatar? Porque esa “experiencia” es lo que va a fundar la posibilidad de que los jóvenes participen del proceso escolar. La “experiencia” quiere decir que cuando los niños    y jóvenes van a las escuelas deben sentir que ese lugar les pertenece, que ellos participan y que registran que su presencia y su palabra tie- nen valor, tanto como para modificar esa realidad. No es posible que ellos queden fuera del proceso educativo y perciban que nada de lo  que dicen puede llegar a modificar lo que ocurre en las aulas (Osorio, 2008:</w:t>
      </w:r>
      <w:r>
        <w:rPr>
          <w:color w:val="231F20"/>
          <w:spacing w:val="-28"/>
          <w:sz w:val="19"/>
        </w:rPr>
        <w:t> </w:t>
      </w:r>
      <w:r>
        <w:rPr>
          <w:color w:val="231F20"/>
          <w:sz w:val="19"/>
        </w:rPr>
        <w:t>22).</w:t>
      </w:r>
    </w:p>
    <w:p>
      <w:pPr>
        <w:pStyle w:val="BodyText"/>
        <w:rPr>
          <w:sz w:val="23"/>
        </w:rPr>
      </w:pPr>
    </w:p>
    <w:p>
      <w:pPr>
        <w:pStyle w:val="BodyText"/>
        <w:spacing w:line="249" w:lineRule="auto" w:before="1"/>
        <w:ind w:left="102" w:right="115" w:firstLine="284"/>
        <w:jc w:val="both"/>
      </w:pPr>
      <w:r>
        <w:rPr>
          <w:color w:val="231F20"/>
          <w:spacing w:val="2"/>
        </w:rPr>
        <w:t>Por </w:t>
      </w:r>
      <w:r>
        <w:rPr>
          <w:color w:val="231F20"/>
        </w:rPr>
        <w:t>lo </w:t>
      </w:r>
      <w:r>
        <w:rPr>
          <w:color w:val="231F20"/>
          <w:spacing w:val="2"/>
        </w:rPr>
        <w:t>demás, </w:t>
      </w:r>
      <w:r>
        <w:rPr>
          <w:color w:val="231F20"/>
        </w:rPr>
        <w:t>en </w:t>
      </w:r>
      <w:r>
        <w:rPr>
          <w:color w:val="231F20"/>
          <w:spacing w:val="2"/>
        </w:rPr>
        <w:t>los </w:t>
      </w:r>
      <w:r>
        <w:rPr>
          <w:color w:val="231F20"/>
          <w:spacing w:val="3"/>
        </w:rPr>
        <w:t>momentos </w:t>
      </w:r>
      <w:r>
        <w:rPr>
          <w:color w:val="231F20"/>
        </w:rPr>
        <w:t>en </w:t>
      </w:r>
      <w:r>
        <w:rPr>
          <w:color w:val="231F20"/>
          <w:spacing w:val="2"/>
        </w:rPr>
        <w:t>que </w:t>
      </w:r>
      <w:r>
        <w:rPr>
          <w:color w:val="231F20"/>
        </w:rPr>
        <w:t>se </w:t>
      </w:r>
      <w:r>
        <w:rPr>
          <w:color w:val="231F20"/>
          <w:spacing w:val="2"/>
        </w:rPr>
        <w:t>suceden </w:t>
      </w:r>
      <w:r>
        <w:rPr>
          <w:color w:val="231F20"/>
        </w:rPr>
        <w:t>los </w:t>
      </w:r>
      <w:r>
        <w:rPr>
          <w:color w:val="231F20"/>
          <w:spacing w:val="2"/>
        </w:rPr>
        <w:t>atrope- </w:t>
      </w:r>
      <w:r>
        <w:rPr>
          <w:color w:val="231F20"/>
        </w:rPr>
        <w:t>llos y las </w:t>
      </w:r>
      <w:r>
        <w:rPr>
          <w:color w:val="231F20"/>
          <w:spacing w:val="2"/>
        </w:rPr>
        <w:t>arbitrariedades, </w:t>
      </w:r>
      <w:r>
        <w:rPr>
          <w:color w:val="231F20"/>
        </w:rPr>
        <w:t>se </w:t>
      </w:r>
      <w:r>
        <w:rPr>
          <w:color w:val="231F20"/>
          <w:spacing w:val="3"/>
        </w:rPr>
        <w:t>profundizan </w:t>
      </w:r>
      <w:r>
        <w:rPr>
          <w:color w:val="231F20"/>
          <w:spacing w:val="2"/>
        </w:rPr>
        <w:t>los privilegios </w:t>
      </w:r>
      <w:r>
        <w:rPr>
          <w:color w:val="231F20"/>
        </w:rPr>
        <w:t>y se re- </w:t>
      </w:r>
      <w:r>
        <w:rPr>
          <w:color w:val="231F20"/>
          <w:spacing w:val="2"/>
        </w:rPr>
        <w:t>fuerzan </w:t>
      </w:r>
      <w:r>
        <w:rPr>
          <w:color w:val="231F20"/>
        </w:rPr>
        <w:t>las </w:t>
      </w:r>
      <w:r>
        <w:rPr>
          <w:color w:val="231F20"/>
          <w:spacing w:val="2"/>
        </w:rPr>
        <w:t>relaciones </w:t>
      </w:r>
      <w:r>
        <w:rPr>
          <w:color w:val="231F20"/>
        </w:rPr>
        <w:t>de </w:t>
      </w:r>
      <w:r>
        <w:rPr>
          <w:color w:val="231F20"/>
          <w:spacing w:val="3"/>
        </w:rPr>
        <w:t>dominación, </w:t>
      </w:r>
      <w:r>
        <w:rPr>
          <w:color w:val="231F20"/>
        </w:rPr>
        <w:t>se </w:t>
      </w:r>
      <w:r>
        <w:rPr>
          <w:color w:val="231F20"/>
          <w:spacing w:val="3"/>
        </w:rPr>
        <w:t>imponen </w:t>
      </w:r>
      <w:r>
        <w:rPr>
          <w:color w:val="231F20"/>
          <w:spacing w:val="2"/>
        </w:rPr>
        <w:t>con  </w:t>
      </w:r>
      <w:r>
        <w:rPr>
          <w:color w:val="231F20"/>
          <w:spacing w:val="3"/>
        </w:rPr>
        <w:t>mayor  </w:t>
      </w:r>
      <w:r>
        <w:rPr>
          <w:color w:val="231F20"/>
          <w:spacing w:val="2"/>
        </w:rPr>
        <w:t>vigor </w:t>
      </w:r>
      <w:r>
        <w:rPr>
          <w:color w:val="231F20"/>
        </w:rPr>
        <w:t>las </w:t>
      </w:r>
      <w:r>
        <w:rPr>
          <w:color w:val="231F20"/>
          <w:spacing w:val="2"/>
        </w:rPr>
        <w:t>obligaciones </w:t>
      </w:r>
      <w:r>
        <w:rPr>
          <w:color w:val="231F20"/>
        </w:rPr>
        <w:t>y las </w:t>
      </w:r>
      <w:r>
        <w:rPr>
          <w:color w:val="231F20"/>
          <w:spacing w:val="2"/>
        </w:rPr>
        <w:t>sanciones, </w:t>
      </w:r>
      <w:r>
        <w:rPr>
          <w:color w:val="231F20"/>
        </w:rPr>
        <w:t>se </w:t>
      </w:r>
      <w:r>
        <w:rPr>
          <w:color w:val="231F20"/>
          <w:spacing w:val="2"/>
        </w:rPr>
        <w:t>crea </w:t>
      </w:r>
      <w:r>
        <w:rPr>
          <w:color w:val="231F20"/>
        </w:rPr>
        <w:t>un </w:t>
      </w:r>
      <w:r>
        <w:rPr>
          <w:color w:val="231F20"/>
          <w:spacing w:val="2"/>
        </w:rPr>
        <w:t>clima, real </w:t>
      </w:r>
      <w:r>
        <w:rPr>
          <w:color w:val="231F20"/>
        </w:rPr>
        <w:t>o </w:t>
      </w:r>
      <w:r>
        <w:rPr>
          <w:color w:val="231F20"/>
          <w:spacing w:val="2"/>
        </w:rPr>
        <w:t>su- puesto,</w:t>
      </w:r>
      <w:r>
        <w:rPr>
          <w:color w:val="231F20"/>
          <w:spacing w:val="20"/>
        </w:rPr>
        <w:t> </w:t>
      </w:r>
      <w:r>
        <w:rPr>
          <w:color w:val="231F20"/>
        </w:rPr>
        <w:t>de</w:t>
      </w:r>
      <w:r>
        <w:rPr>
          <w:color w:val="231F20"/>
          <w:spacing w:val="20"/>
        </w:rPr>
        <w:t> </w:t>
      </w:r>
      <w:r>
        <w:rPr>
          <w:color w:val="231F20"/>
          <w:spacing w:val="2"/>
        </w:rPr>
        <w:t>inseguridad</w:t>
      </w:r>
      <w:r>
        <w:rPr>
          <w:color w:val="231F20"/>
          <w:spacing w:val="21"/>
        </w:rPr>
        <w:t> </w:t>
      </w:r>
      <w:r>
        <w:rPr>
          <w:color w:val="231F20"/>
        </w:rPr>
        <w:t>y</w:t>
      </w:r>
      <w:r>
        <w:rPr>
          <w:color w:val="231F20"/>
          <w:spacing w:val="20"/>
        </w:rPr>
        <w:t> </w:t>
      </w:r>
      <w:r>
        <w:rPr>
          <w:color w:val="231F20"/>
          <w:spacing w:val="2"/>
        </w:rPr>
        <w:t>miedo,</w:t>
      </w:r>
      <w:r>
        <w:rPr>
          <w:color w:val="231F20"/>
          <w:spacing w:val="20"/>
        </w:rPr>
        <w:t> </w:t>
      </w:r>
      <w:r>
        <w:rPr>
          <w:color w:val="231F20"/>
          <w:spacing w:val="2"/>
        </w:rPr>
        <w:t>todo</w:t>
      </w:r>
      <w:r>
        <w:rPr>
          <w:color w:val="231F20"/>
          <w:spacing w:val="21"/>
        </w:rPr>
        <w:t> </w:t>
      </w:r>
      <w:r>
        <w:rPr>
          <w:color w:val="231F20"/>
        </w:rPr>
        <w:t>lo</w:t>
      </w:r>
      <w:r>
        <w:rPr>
          <w:color w:val="231F20"/>
          <w:spacing w:val="21"/>
        </w:rPr>
        <w:t> </w:t>
      </w:r>
      <w:r>
        <w:rPr>
          <w:color w:val="231F20"/>
          <w:spacing w:val="2"/>
        </w:rPr>
        <w:t>cual</w:t>
      </w:r>
      <w:r>
        <w:rPr>
          <w:color w:val="231F20"/>
          <w:spacing w:val="20"/>
        </w:rPr>
        <w:t> </w:t>
      </w:r>
      <w:r>
        <w:rPr>
          <w:color w:val="231F20"/>
        </w:rPr>
        <w:t>se</w:t>
      </w:r>
      <w:r>
        <w:rPr>
          <w:color w:val="231F20"/>
          <w:spacing w:val="20"/>
        </w:rPr>
        <w:t> </w:t>
      </w:r>
      <w:r>
        <w:rPr>
          <w:color w:val="231F20"/>
          <w:spacing w:val="2"/>
        </w:rPr>
        <w:t>convierten</w:t>
      </w:r>
      <w:r>
        <w:rPr>
          <w:color w:val="231F20"/>
          <w:spacing w:val="21"/>
        </w:rPr>
        <w:t> </w:t>
      </w:r>
      <w:r>
        <w:rPr>
          <w:color w:val="231F20"/>
        </w:rPr>
        <w:t>en</w:t>
      </w:r>
      <w:r>
        <w:rPr>
          <w:color w:val="231F20"/>
          <w:spacing w:val="21"/>
        </w:rPr>
        <w:t> </w:t>
      </w:r>
      <w:r>
        <w:rPr>
          <w:color w:val="231F20"/>
          <w:spacing w:val="2"/>
        </w:rPr>
        <w:t>los</w:t>
      </w:r>
    </w:p>
    <w:p>
      <w:pPr>
        <w:spacing w:after="0" w:line="249" w:lineRule="auto"/>
        <w:jc w:val="both"/>
        <w:sectPr>
          <w:headerReference w:type="default" r:id="rId253"/>
          <w:footerReference w:type="default" r:id="rId254"/>
          <w:pgSz w:w="7830" w:h="11910"/>
          <w:pgMar w:header="0" w:footer="424" w:top="500" w:bottom="620" w:left="920" w:right="900"/>
          <w:pgNumType w:start="11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5"/>
        <w:jc w:val="both"/>
      </w:pPr>
      <w:r>
        <w:rPr>
          <w:color w:val="231F20"/>
          <w:spacing w:val="2"/>
        </w:rPr>
        <w:t>pilares discursivosde </w:t>
      </w:r>
      <w:r>
        <w:rPr>
          <w:color w:val="231F20"/>
        </w:rPr>
        <w:t>las </w:t>
      </w:r>
      <w:r>
        <w:rPr>
          <w:color w:val="231F20"/>
          <w:spacing w:val="2"/>
        </w:rPr>
        <w:t>autoridades políticas </w:t>
      </w:r>
      <w:r>
        <w:rPr>
          <w:color w:val="231F20"/>
        </w:rPr>
        <w:t>y </w:t>
      </w:r>
      <w:r>
        <w:rPr>
          <w:color w:val="231F20"/>
          <w:spacing w:val="2"/>
        </w:rPr>
        <w:t>educativas, </w:t>
      </w:r>
      <w:r>
        <w:rPr>
          <w:color w:val="231F20"/>
        </w:rPr>
        <w:t>así </w:t>
      </w:r>
      <w:r>
        <w:rPr>
          <w:color w:val="231F20"/>
          <w:spacing w:val="3"/>
        </w:rPr>
        <w:t>como </w:t>
      </w:r>
      <w:r>
        <w:rPr>
          <w:color w:val="231F20"/>
        </w:rPr>
        <w:t>de </w:t>
      </w:r>
      <w:r>
        <w:rPr>
          <w:color w:val="231F20"/>
          <w:spacing w:val="2"/>
        </w:rPr>
        <w:t>otros sectores, </w:t>
      </w:r>
      <w:r>
        <w:rPr>
          <w:color w:val="231F20"/>
        </w:rPr>
        <w:t>en </w:t>
      </w:r>
      <w:r>
        <w:rPr>
          <w:color w:val="231F20"/>
          <w:spacing w:val="2"/>
        </w:rPr>
        <w:t>especial </w:t>
      </w:r>
      <w:r>
        <w:rPr>
          <w:color w:val="231F20"/>
        </w:rPr>
        <w:t>de </w:t>
      </w:r>
      <w:r>
        <w:rPr>
          <w:color w:val="231F20"/>
          <w:spacing w:val="2"/>
        </w:rPr>
        <w:t>algunos sectores </w:t>
      </w:r>
      <w:r>
        <w:rPr>
          <w:color w:val="231F20"/>
        </w:rPr>
        <w:t>de la je- </w:t>
      </w:r>
      <w:r>
        <w:rPr>
          <w:color w:val="231F20"/>
          <w:spacing w:val="2"/>
        </w:rPr>
        <w:t>rarquía católica </w:t>
      </w:r>
      <w:r>
        <w:rPr>
          <w:color w:val="231F20"/>
        </w:rPr>
        <w:t>y de </w:t>
      </w:r>
      <w:r>
        <w:rPr>
          <w:color w:val="231F20"/>
          <w:spacing w:val="2"/>
        </w:rPr>
        <w:t>grupos </w:t>
      </w:r>
      <w:r>
        <w:rPr>
          <w:color w:val="231F20"/>
          <w:spacing w:val="3"/>
        </w:rPr>
        <w:t>empresariales </w:t>
      </w:r>
      <w:r>
        <w:rPr>
          <w:color w:val="231F20"/>
          <w:spacing w:val="2"/>
        </w:rPr>
        <w:t>ligados </w:t>
      </w:r>
      <w:r>
        <w:rPr>
          <w:color w:val="231F20"/>
        </w:rPr>
        <w:t>a </w:t>
      </w:r>
      <w:r>
        <w:rPr>
          <w:color w:val="231F20"/>
          <w:spacing w:val="2"/>
        </w:rPr>
        <w:t>los </w:t>
      </w:r>
      <w:r>
        <w:rPr>
          <w:color w:val="231F20"/>
          <w:spacing w:val="3"/>
        </w:rPr>
        <w:t>medios </w:t>
      </w:r>
      <w:r>
        <w:rPr>
          <w:color w:val="231F20"/>
        </w:rPr>
        <w:t>de </w:t>
      </w:r>
      <w:r>
        <w:rPr>
          <w:color w:val="231F20"/>
          <w:spacing w:val="3"/>
        </w:rPr>
        <w:t>comunicación, </w:t>
      </w:r>
      <w:r>
        <w:rPr>
          <w:color w:val="231F20"/>
        </w:rPr>
        <w:t>de </w:t>
      </w:r>
      <w:r>
        <w:rPr>
          <w:color w:val="231F20"/>
          <w:spacing w:val="3"/>
        </w:rPr>
        <w:t>manera </w:t>
      </w:r>
      <w:r>
        <w:rPr>
          <w:color w:val="231F20"/>
          <w:spacing w:val="2"/>
        </w:rPr>
        <w:t>destacada, algunos espacios noticiosos </w:t>
      </w:r>
      <w:r>
        <w:rPr>
          <w:color w:val="231F20"/>
        </w:rPr>
        <w:t>y de </w:t>
      </w:r>
      <w:r>
        <w:rPr>
          <w:color w:val="231F20"/>
          <w:spacing w:val="2"/>
        </w:rPr>
        <w:t>difusión </w:t>
      </w:r>
      <w:r>
        <w:rPr>
          <w:color w:val="231F20"/>
        </w:rPr>
        <w:t>de </w:t>
      </w:r>
      <w:r>
        <w:rPr>
          <w:color w:val="231F20"/>
          <w:spacing w:val="2"/>
        </w:rPr>
        <w:t>noticias; resulta </w:t>
      </w:r>
      <w:r>
        <w:rPr>
          <w:color w:val="231F20"/>
          <w:spacing w:val="3"/>
        </w:rPr>
        <w:t>paradójico </w:t>
      </w:r>
      <w:r>
        <w:rPr>
          <w:color w:val="231F20"/>
        </w:rPr>
        <w:t>que </w:t>
      </w:r>
      <w:r>
        <w:rPr>
          <w:color w:val="231F20"/>
          <w:spacing w:val="2"/>
        </w:rPr>
        <w:t>esos </w:t>
      </w:r>
      <w:r>
        <w:rPr>
          <w:color w:val="231F20"/>
          <w:spacing w:val="3"/>
        </w:rPr>
        <w:t>mismos agen- </w:t>
      </w:r>
      <w:r>
        <w:rPr>
          <w:color w:val="231F20"/>
        </w:rPr>
        <w:t>tes y </w:t>
      </w:r>
      <w:r>
        <w:rPr>
          <w:color w:val="231F20"/>
          <w:spacing w:val="2"/>
        </w:rPr>
        <w:t>agencias apelen tanto </w:t>
      </w:r>
      <w:r>
        <w:rPr>
          <w:color w:val="231F20"/>
        </w:rPr>
        <w:t>a la </w:t>
      </w:r>
      <w:r>
        <w:rPr>
          <w:color w:val="231F20"/>
          <w:spacing w:val="2"/>
        </w:rPr>
        <w:t>tolerancia, </w:t>
      </w:r>
      <w:r>
        <w:rPr>
          <w:color w:val="231F20"/>
        </w:rPr>
        <w:t>al </w:t>
      </w:r>
      <w:r>
        <w:rPr>
          <w:color w:val="231F20"/>
          <w:spacing w:val="2"/>
        </w:rPr>
        <w:t>respeto </w:t>
      </w:r>
      <w:r>
        <w:rPr>
          <w:color w:val="231F20"/>
        </w:rPr>
        <w:t>a la </w:t>
      </w:r>
      <w:r>
        <w:rPr>
          <w:color w:val="231F20"/>
          <w:spacing w:val="2"/>
        </w:rPr>
        <w:t>diversi- dad, </w:t>
      </w:r>
      <w:r>
        <w:rPr>
          <w:color w:val="231F20"/>
        </w:rPr>
        <w:t>al </w:t>
      </w:r>
      <w:r>
        <w:rPr>
          <w:color w:val="231F20"/>
          <w:spacing w:val="2"/>
        </w:rPr>
        <w:t>rescate </w:t>
      </w:r>
      <w:r>
        <w:rPr>
          <w:color w:val="231F20"/>
        </w:rPr>
        <w:t>de </w:t>
      </w:r>
      <w:r>
        <w:rPr>
          <w:color w:val="231F20"/>
          <w:spacing w:val="2"/>
        </w:rPr>
        <w:t>interculturalidad, </w:t>
      </w:r>
      <w:r>
        <w:rPr>
          <w:color w:val="231F20"/>
          <w:spacing w:val="3"/>
        </w:rPr>
        <w:t>como mecanismos </w:t>
      </w:r>
      <w:r>
        <w:rPr>
          <w:color w:val="231F20"/>
        </w:rPr>
        <w:t>de </w:t>
      </w:r>
      <w:r>
        <w:rPr>
          <w:color w:val="231F20"/>
          <w:spacing w:val="3"/>
        </w:rPr>
        <w:t>control   </w:t>
      </w:r>
      <w:r>
        <w:rPr>
          <w:color w:val="231F20"/>
        </w:rPr>
        <w:t>y</w:t>
      </w:r>
      <w:r>
        <w:rPr>
          <w:color w:val="231F20"/>
          <w:spacing w:val="-8"/>
        </w:rPr>
        <w:t> </w:t>
      </w:r>
      <w:r>
        <w:rPr>
          <w:color w:val="231F20"/>
        </w:rPr>
        <w:t>de</w:t>
      </w:r>
      <w:r>
        <w:rPr>
          <w:color w:val="231F20"/>
          <w:spacing w:val="-8"/>
        </w:rPr>
        <w:t> </w:t>
      </w:r>
      <w:r>
        <w:rPr>
          <w:color w:val="231F20"/>
          <w:spacing w:val="2"/>
        </w:rPr>
        <w:t>sujeción</w:t>
      </w:r>
      <w:r>
        <w:rPr>
          <w:color w:val="231F20"/>
          <w:spacing w:val="-8"/>
        </w:rPr>
        <w:t> </w:t>
      </w:r>
      <w:r>
        <w:rPr>
          <w:color w:val="231F20"/>
          <w:spacing w:val="2"/>
        </w:rPr>
        <w:t>social</w:t>
      </w:r>
      <w:r>
        <w:rPr>
          <w:color w:val="231F20"/>
          <w:spacing w:val="-9"/>
        </w:rPr>
        <w:t> </w:t>
      </w:r>
      <w:r>
        <w:rPr>
          <w:color w:val="231F20"/>
        </w:rPr>
        <w:t>y</w:t>
      </w:r>
      <w:r>
        <w:rPr>
          <w:color w:val="231F20"/>
          <w:spacing w:val="-8"/>
        </w:rPr>
        <w:t> </w:t>
      </w:r>
      <w:r>
        <w:rPr>
          <w:color w:val="231F20"/>
          <w:spacing w:val="2"/>
        </w:rPr>
        <w:t>política.</w:t>
      </w:r>
    </w:p>
    <w:p>
      <w:pPr>
        <w:pStyle w:val="BodyText"/>
        <w:spacing w:line="249" w:lineRule="auto"/>
        <w:ind w:left="102" w:right="116" w:firstLine="284"/>
        <w:jc w:val="both"/>
      </w:pPr>
      <w:r>
        <w:rPr>
          <w:color w:val="231F20"/>
        </w:rPr>
        <w:t>En </w:t>
      </w:r>
      <w:r>
        <w:rPr>
          <w:color w:val="231F20"/>
          <w:spacing w:val="2"/>
        </w:rPr>
        <w:t>este contexto, </w:t>
      </w:r>
      <w:r>
        <w:rPr>
          <w:color w:val="231F20"/>
        </w:rPr>
        <w:t>no </w:t>
      </w:r>
      <w:r>
        <w:rPr>
          <w:color w:val="231F20"/>
          <w:spacing w:val="2"/>
        </w:rPr>
        <w:t>deja </w:t>
      </w:r>
      <w:r>
        <w:rPr>
          <w:color w:val="231F20"/>
        </w:rPr>
        <w:t>de </w:t>
      </w:r>
      <w:r>
        <w:rPr>
          <w:color w:val="231F20"/>
          <w:spacing w:val="2"/>
        </w:rPr>
        <w:t>llamar </w:t>
      </w:r>
      <w:r>
        <w:rPr>
          <w:color w:val="231F20"/>
        </w:rPr>
        <w:t>la </w:t>
      </w:r>
      <w:r>
        <w:rPr>
          <w:color w:val="231F20"/>
          <w:spacing w:val="2"/>
        </w:rPr>
        <w:t>atención </w:t>
      </w:r>
      <w:r>
        <w:rPr>
          <w:color w:val="231F20"/>
        </w:rPr>
        <w:t>que se </w:t>
      </w:r>
      <w:r>
        <w:rPr>
          <w:color w:val="231F20"/>
          <w:spacing w:val="2"/>
        </w:rPr>
        <w:t>intente </w:t>
      </w:r>
      <w:r>
        <w:rPr>
          <w:color w:val="231F20"/>
        </w:rPr>
        <w:t>y se </w:t>
      </w:r>
      <w:r>
        <w:rPr>
          <w:color w:val="231F20"/>
          <w:spacing w:val="2"/>
        </w:rPr>
        <w:t>ensaye, con cada </w:t>
      </w:r>
      <w:r>
        <w:rPr>
          <w:color w:val="231F20"/>
        </w:rPr>
        <w:t>vez </w:t>
      </w:r>
      <w:r>
        <w:rPr>
          <w:color w:val="231F20"/>
          <w:spacing w:val="3"/>
        </w:rPr>
        <w:t>mayor </w:t>
      </w:r>
      <w:r>
        <w:rPr>
          <w:color w:val="231F20"/>
          <w:spacing w:val="2"/>
        </w:rPr>
        <w:t>éxito, cercar </w:t>
      </w:r>
      <w:r>
        <w:rPr>
          <w:color w:val="231F20"/>
        </w:rPr>
        <w:t>o </w:t>
      </w:r>
      <w:r>
        <w:rPr>
          <w:color w:val="231F20"/>
          <w:spacing w:val="2"/>
        </w:rPr>
        <w:t>encerrar </w:t>
      </w:r>
      <w:r>
        <w:rPr>
          <w:color w:val="231F20"/>
        </w:rPr>
        <w:t>a las </w:t>
      </w:r>
      <w:r>
        <w:rPr>
          <w:color w:val="231F20"/>
          <w:spacing w:val="2"/>
        </w:rPr>
        <w:t>insti- tuciones </w:t>
      </w:r>
      <w:r>
        <w:rPr>
          <w:color w:val="231F20"/>
        </w:rPr>
        <w:t>de </w:t>
      </w:r>
      <w:r>
        <w:rPr>
          <w:color w:val="231F20"/>
          <w:spacing w:val="2"/>
        </w:rPr>
        <w:t>educación superior </w:t>
      </w:r>
      <w:r>
        <w:rPr>
          <w:color w:val="231F20"/>
        </w:rPr>
        <w:t>en un </w:t>
      </w:r>
      <w:r>
        <w:rPr>
          <w:color w:val="231F20"/>
          <w:spacing w:val="2"/>
        </w:rPr>
        <w:t>sentido simbólico </w:t>
      </w:r>
      <w:r>
        <w:rPr>
          <w:color w:val="231F20"/>
        </w:rPr>
        <w:t>y </w:t>
      </w:r>
      <w:r>
        <w:rPr>
          <w:color w:val="231F20"/>
          <w:spacing w:val="3"/>
        </w:rPr>
        <w:t>físico, </w:t>
      </w:r>
      <w:r>
        <w:rPr>
          <w:color w:val="231F20"/>
          <w:spacing w:val="2"/>
        </w:rPr>
        <w:t>con </w:t>
      </w:r>
      <w:r>
        <w:rPr>
          <w:color w:val="231F20"/>
        </w:rPr>
        <w:t>la </w:t>
      </w:r>
      <w:r>
        <w:rPr>
          <w:color w:val="231F20"/>
          <w:spacing w:val="2"/>
        </w:rPr>
        <w:t>intención </w:t>
      </w:r>
      <w:r>
        <w:rPr>
          <w:color w:val="231F20"/>
        </w:rPr>
        <w:t>de </w:t>
      </w:r>
      <w:r>
        <w:rPr>
          <w:color w:val="231F20"/>
          <w:spacing w:val="2"/>
        </w:rPr>
        <w:t>legitimar </w:t>
      </w:r>
      <w:r>
        <w:rPr>
          <w:color w:val="231F20"/>
          <w:spacing w:val="3"/>
        </w:rPr>
        <w:t>nuevos mecanismos </w:t>
      </w:r>
      <w:r>
        <w:rPr>
          <w:color w:val="231F20"/>
        </w:rPr>
        <w:t>de </w:t>
      </w:r>
      <w:r>
        <w:rPr>
          <w:color w:val="231F20"/>
          <w:spacing w:val="3"/>
        </w:rPr>
        <w:t>intervención</w:t>
      </w:r>
      <w:r>
        <w:rPr>
          <w:color w:val="231F20"/>
          <w:spacing w:val="58"/>
        </w:rPr>
        <w:t> </w:t>
      </w:r>
      <w:r>
        <w:rPr>
          <w:color w:val="231F20"/>
        </w:rPr>
        <w:t>y </w:t>
      </w:r>
      <w:r>
        <w:rPr>
          <w:color w:val="231F20"/>
          <w:spacing w:val="2"/>
        </w:rPr>
        <w:t>vigilancia sobre los actores, según una lógica </w:t>
      </w:r>
      <w:r>
        <w:rPr>
          <w:color w:val="231F20"/>
        </w:rPr>
        <w:t>de </w:t>
      </w:r>
      <w:r>
        <w:rPr>
          <w:color w:val="231F20"/>
          <w:spacing w:val="2"/>
        </w:rPr>
        <w:t>distribución </w:t>
      </w:r>
      <w:r>
        <w:rPr>
          <w:color w:val="231F20"/>
        </w:rPr>
        <w:t>y </w:t>
      </w:r>
      <w:r>
        <w:rPr>
          <w:color w:val="231F20"/>
          <w:spacing w:val="2"/>
        </w:rPr>
        <w:t>organización </w:t>
      </w:r>
      <w:r>
        <w:rPr>
          <w:color w:val="231F20"/>
        </w:rPr>
        <w:t>de </w:t>
      </w:r>
      <w:r>
        <w:rPr>
          <w:color w:val="231F20"/>
          <w:spacing w:val="2"/>
        </w:rPr>
        <w:t>responsabilidades </w:t>
      </w:r>
      <w:r>
        <w:rPr>
          <w:color w:val="231F20"/>
        </w:rPr>
        <w:t>y </w:t>
      </w:r>
      <w:r>
        <w:rPr>
          <w:color w:val="231F20"/>
          <w:spacing w:val="2"/>
        </w:rPr>
        <w:t>obligaciones </w:t>
      </w:r>
      <w:r>
        <w:rPr>
          <w:color w:val="231F20"/>
        </w:rPr>
        <w:t>de </w:t>
      </w:r>
      <w:r>
        <w:rPr>
          <w:color w:val="231F20"/>
          <w:spacing w:val="2"/>
        </w:rPr>
        <w:t>los actores: funcionarios, investigadores, </w:t>
      </w:r>
      <w:r>
        <w:rPr>
          <w:color w:val="231F20"/>
          <w:spacing w:val="3"/>
        </w:rPr>
        <w:t>docentes, alumnos, </w:t>
      </w:r>
      <w:r>
        <w:rPr>
          <w:color w:val="231F20"/>
          <w:spacing w:val="2"/>
        </w:rPr>
        <w:t>estudiantes,  </w:t>
      </w:r>
      <w:r>
        <w:rPr>
          <w:color w:val="231F20"/>
        </w:rPr>
        <w:t>y  que se </w:t>
      </w:r>
      <w:r>
        <w:rPr>
          <w:color w:val="231F20"/>
          <w:spacing w:val="2"/>
        </w:rPr>
        <w:t>intente reestructurar los espacios </w:t>
      </w:r>
      <w:r>
        <w:rPr>
          <w:color w:val="231F20"/>
        </w:rPr>
        <w:t>con </w:t>
      </w:r>
      <w:r>
        <w:rPr>
          <w:color w:val="231F20"/>
          <w:spacing w:val="3"/>
        </w:rPr>
        <w:t>formas </w:t>
      </w:r>
      <w:r>
        <w:rPr>
          <w:color w:val="231F20"/>
          <w:spacing w:val="2"/>
        </w:rPr>
        <w:t>“suaves” </w:t>
      </w:r>
      <w:r>
        <w:rPr>
          <w:color w:val="231F20"/>
        </w:rPr>
        <w:t>de </w:t>
      </w:r>
      <w:r>
        <w:rPr>
          <w:color w:val="231F20"/>
          <w:spacing w:val="2"/>
        </w:rPr>
        <w:t>violencia, como </w:t>
      </w:r>
      <w:r>
        <w:rPr>
          <w:color w:val="231F20"/>
        </w:rPr>
        <w:t>las </w:t>
      </w:r>
      <w:r>
        <w:rPr>
          <w:color w:val="231F20"/>
          <w:spacing w:val="2"/>
        </w:rPr>
        <w:t>cámaras </w:t>
      </w:r>
      <w:r>
        <w:rPr>
          <w:color w:val="231F20"/>
        </w:rPr>
        <w:t>de </w:t>
      </w:r>
      <w:r>
        <w:rPr>
          <w:color w:val="231F20"/>
          <w:spacing w:val="2"/>
        </w:rPr>
        <w:t>video, regulación </w:t>
      </w:r>
      <w:r>
        <w:rPr>
          <w:color w:val="231F20"/>
        </w:rPr>
        <w:t>de </w:t>
      </w:r>
      <w:r>
        <w:rPr>
          <w:color w:val="231F20"/>
          <w:spacing w:val="2"/>
        </w:rPr>
        <w:t>los accesos, vigilancia privada, etc., </w:t>
      </w:r>
      <w:r>
        <w:rPr>
          <w:color w:val="231F20"/>
        </w:rPr>
        <w:t>es </w:t>
      </w:r>
      <w:r>
        <w:rPr>
          <w:color w:val="231F20"/>
          <w:spacing w:val="2"/>
        </w:rPr>
        <w:t>decir, bajo </w:t>
      </w:r>
      <w:r>
        <w:rPr>
          <w:color w:val="231F20"/>
        </w:rPr>
        <w:t>un </w:t>
      </w:r>
      <w:r>
        <w:rPr>
          <w:color w:val="231F20"/>
          <w:spacing w:val="2"/>
        </w:rPr>
        <w:t>nuevo panóptico </w:t>
      </w:r>
      <w:r>
        <w:rPr>
          <w:color w:val="231F20"/>
        </w:rPr>
        <w:t>y </w:t>
      </w:r>
      <w:r>
        <w:rPr>
          <w:color w:val="231F20"/>
          <w:spacing w:val="3"/>
        </w:rPr>
        <w:t>un </w:t>
      </w:r>
      <w:r>
        <w:rPr>
          <w:color w:val="231F20"/>
          <w:spacing w:val="2"/>
        </w:rPr>
        <w:t>nuevo poder</w:t>
      </w:r>
      <w:r>
        <w:rPr>
          <w:color w:val="231F20"/>
          <w:spacing w:val="8"/>
        </w:rPr>
        <w:t> </w:t>
      </w:r>
      <w:r>
        <w:rPr>
          <w:color w:val="231F20"/>
          <w:spacing w:val="2"/>
        </w:rPr>
        <w:t>disciplinario.</w:t>
      </w:r>
    </w:p>
    <w:p>
      <w:pPr>
        <w:pStyle w:val="BodyText"/>
        <w:spacing w:line="249" w:lineRule="auto"/>
        <w:ind w:left="102" w:right="113" w:firstLine="284"/>
        <w:jc w:val="both"/>
      </w:pPr>
      <w:r>
        <w:rPr>
          <w:color w:val="231F20"/>
        </w:rPr>
        <w:t>Es </w:t>
      </w:r>
      <w:r>
        <w:rPr>
          <w:color w:val="231F20"/>
          <w:spacing w:val="3"/>
        </w:rPr>
        <w:t>oportuno </w:t>
      </w:r>
      <w:r>
        <w:rPr>
          <w:color w:val="231F20"/>
          <w:spacing w:val="2"/>
        </w:rPr>
        <w:t>considerar </w:t>
      </w:r>
      <w:r>
        <w:rPr>
          <w:color w:val="231F20"/>
        </w:rPr>
        <w:t>que </w:t>
      </w:r>
      <w:r>
        <w:rPr>
          <w:color w:val="231F20"/>
          <w:spacing w:val="2"/>
        </w:rPr>
        <w:t>existen </w:t>
      </w:r>
      <w:r>
        <w:rPr>
          <w:color w:val="231F20"/>
          <w:spacing w:val="3"/>
        </w:rPr>
        <w:t>formas </w:t>
      </w:r>
      <w:r>
        <w:rPr>
          <w:color w:val="231F20"/>
        </w:rPr>
        <w:t>de </w:t>
      </w:r>
      <w:r>
        <w:rPr>
          <w:color w:val="231F20"/>
          <w:spacing w:val="2"/>
        </w:rPr>
        <w:t>violencia legí- timas </w:t>
      </w:r>
      <w:r>
        <w:rPr>
          <w:color w:val="231F20"/>
        </w:rPr>
        <w:t>y </w:t>
      </w:r>
      <w:r>
        <w:rPr>
          <w:color w:val="231F20"/>
          <w:spacing w:val="2"/>
        </w:rPr>
        <w:t>“naturales” </w:t>
      </w:r>
      <w:r>
        <w:rPr>
          <w:color w:val="231F20"/>
        </w:rPr>
        <w:t>en el </w:t>
      </w:r>
      <w:r>
        <w:rPr>
          <w:color w:val="231F20"/>
          <w:spacing w:val="3"/>
        </w:rPr>
        <w:t>funcionamiento </w:t>
      </w:r>
      <w:r>
        <w:rPr>
          <w:color w:val="231F20"/>
          <w:spacing w:val="2"/>
        </w:rPr>
        <w:t>regular </w:t>
      </w:r>
      <w:r>
        <w:rPr>
          <w:color w:val="231F20"/>
        </w:rPr>
        <w:t>de las </w:t>
      </w:r>
      <w:r>
        <w:rPr>
          <w:color w:val="231F20"/>
          <w:spacing w:val="2"/>
        </w:rPr>
        <w:t>escuelas,   </w:t>
      </w:r>
      <w:r>
        <w:rPr>
          <w:color w:val="231F20"/>
        </w:rPr>
        <w:t>de las </w:t>
      </w:r>
      <w:r>
        <w:rPr>
          <w:color w:val="231F20"/>
          <w:spacing w:val="3"/>
        </w:rPr>
        <w:t>organizaciones </w:t>
      </w:r>
      <w:r>
        <w:rPr>
          <w:color w:val="231F20"/>
        </w:rPr>
        <w:t>y </w:t>
      </w:r>
      <w:r>
        <w:rPr>
          <w:color w:val="231F20"/>
          <w:spacing w:val="2"/>
        </w:rPr>
        <w:t>los sistemas educativos. </w:t>
      </w:r>
      <w:r>
        <w:rPr>
          <w:color w:val="231F20"/>
          <w:spacing w:val="3"/>
        </w:rPr>
        <w:t>Desde </w:t>
      </w:r>
      <w:r>
        <w:rPr>
          <w:color w:val="231F20"/>
        </w:rPr>
        <w:t>ese </w:t>
      </w:r>
      <w:r>
        <w:rPr>
          <w:color w:val="231F20"/>
          <w:spacing w:val="3"/>
        </w:rPr>
        <w:t>supues- </w:t>
      </w:r>
      <w:r>
        <w:rPr>
          <w:color w:val="231F20"/>
          <w:spacing w:val="2"/>
        </w:rPr>
        <w:t>to, </w:t>
      </w:r>
      <w:r>
        <w:rPr>
          <w:color w:val="231F20"/>
        </w:rPr>
        <w:t>el </w:t>
      </w:r>
      <w:r>
        <w:rPr>
          <w:color w:val="231F20"/>
          <w:spacing w:val="2"/>
        </w:rPr>
        <w:t>examen </w:t>
      </w:r>
      <w:r>
        <w:rPr>
          <w:color w:val="231F20"/>
        </w:rPr>
        <w:t>de las </w:t>
      </w:r>
      <w:r>
        <w:rPr>
          <w:color w:val="231F20"/>
          <w:spacing w:val="2"/>
        </w:rPr>
        <w:t>instituciones educativas implica </w:t>
      </w:r>
      <w:r>
        <w:rPr>
          <w:color w:val="231F20"/>
          <w:spacing w:val="3"/>
        </w:rPr>
        <w:t>reconocer   </w:t>
      </w:r>
      <w:r>
        <w:rPr>
          <w:color w:val="231F20"/>
        </w:rPr>
        <w:t>que el </w:t>
      </w:r>
      <w:r>
        <w:rPr>
          <w:color w:val="231F20"/>
          <w:spacing w:val="2"/>
        </w:rPr>
        <w:t>ejercicio </w:t>
      </w:r>
      <w:r>
        <w:rPr>
          <w:color w:val="231F20"/>
        </w:rPr>
        <w:t>de la </w:t>
      </w:r>
      <w:r>
        <w:rPr>
          <w:color w:val="231F20"/>
          <w:spacing w:val="2"/>
        </w:rPr>
        <w:t>violencia tiene varios aspectos </w:t>
      </w:r>
      <w:r>
        <w:rPr>
          <w:color w:val="231F20"/>
        </w:rPr>
        <w:t>y </w:t>
      </w:r>
      <w:r>
        <w:rPr>
          <w:color w:val="231F20"/>
          <w:spacing w:val="2"/>
        </w:rPr>
        <w:t>diversos grados, los cuales podrían explicarse </w:t>
      </w:r>
      <w:r>
        <w:rPr>
          <w:color w:val="231F20"/>
        </w:rPr>
        <w:t>y </w:t>
      </w:r>
      <w:r>
        <w:rPr>
          <w:color w:val="231F20"/>
          <w:spacing w:val="2"/>
        </w:rPr>
        <w:t>justificarse </w:t>
      </w:r>
      <w:r>
        <w:rPr>
          <w:color w:val="231F20"/>
        </w:rPr>
        <w:t>en </w:t>
      </w:r>
      <w:r>
        <w:rPr>
          <w:color w:val="231F20"/>
          <w:spacing w:val="2"/>
        </w:rPr>
        <w:t>cuanto </w:t>
      </w:r>
      <w:r>
        <w:rPr>
          <w:color w:val="231F20"/>
        </w:rPr>
        <w:t>a </w:t>
      </w:r>
      <w:r>
        <w:rPr>
          <w:color w:val="231F20"/>
          <w:spacing w:val="2"/>
        </w:rPr>
        <w:t>que </w:t>
      </w:r>
      <w:r>
        <w:rPr>
          <w:color w:val="231F20"/>
        </w:rPr>
        <w:t>su </w:t>
      </w:r>
      <w:r>
        <w:rPr>
          <w:color w:val="231F20"/>
          <w:spacing w:val="2"/>
        </w:rPr>
        <w:t>labor conlleva </w:t>
      </w:r>
      <w:r>
        <w:rPr>
          <w:color w:val="231F20"/>
        </w:rPr>
        <w:t>la </w:t>
      </w:r>
      <w:r>
        <w:rPr>
          <w:color w:val="231F20"/>
          <w:spacing w:val="2"/>
        </w:rPr>
        <w:t>imposición </w:t>
      </w:r>
      <w:r>
        <w:rPr>
          <w:color w:val="231F20"/>
        </w:rPr>
        <w:t>de </w:t>
      </w:r>
      <w:r>
        <w:rPr>
          <w:color w:val="231F20"/>
          <w:spacing w:val="2"/>
        </w:rPr>
        <w:t>una disciplina </w:t>
      </w:r>
      <w:r>
        <w:rPr>
          <w:color w:val="231F20"/>
        </w:rPr>
        <w:t>que se </w:t>
      </w:r>
      <w:r>
        <w:rPr>
          <w:color w:val="231F20"/>
          <w:spacing w:val="3"/>
        </w:rPr>
        <w:t>despliega </w:t>
      </w:r>
      <w:r>
        <w:rPr>
          <w:color w:val="231F20"/>
          <w:spacing w:val="2"/>
        </w:rPr>
        <w:t>sobre </w:t>
      </w:r>
      <w:r>
        <w:rPr>
          <w:color w:val="231F20"/>
        </w:rPr>
        <w:t>el </w:t>
      </w:r>
      <w:r>
        <w:rPr>
          <w:color w:val="231F20"/>
          <w:spacing w:val="2"/>
        </w:rPr>
        <w:t>cuerpo </w:t>
      </w:r>
      <w:r>
        <w:rPr>
          <w:color w:val="231F20"/>
        </w:rPr>
        <w:t>y la </w:t>
      </w:r>
      <w:r>
        <w:rPr>
          <w:color w:val="231F20"/>
          <w:spacing w:val="3"/>
        </w:rPr>
        <w:t>mente </w:t>
      </w:r>
      <w:r>
        <w:rPr>
          <w:color w:val="231F20"/>
          <w:spacing w:val="2"/>
        </w:rPr>
        <w:t>por medio </w:t>
      </w:r>
      <w:r>
        <w:rPr>
          <w:color w:val="231F20"/>
        </w:rPr>
        <w:t>de </w:t>
      </w:r>
      <w:r>
        <w:rPr>
          <w:color w:val="231F20"/>
          <w:spacing w:val="3"/>
        </w:rPr>
        <w:t>mecanismos </w:t>
      </w:r>
      <w:r>
        <w:rPr>
          <w:color w:val="231F20"/>
          <w:spacing w:val="2"/>
        </w:rPr>
        <w:t>que asegu- </w:t>
      </w:r>
      <w:r>
        <w:rPr>
          <w:color w:val="231F20"/>
        </w:rPr>
        <w:t>ren </w:t>
      </w:r>
      <w:r>
        <w:rPr>
          <w:color w:val="231F20"/>
          <w:spacing w:val="2"/>
        </w:rPr>
        <w:t>encarnar </w:t>
      </w:r>
      <w:r>
        <w:rPr>
          <w:color w:val="231F20"/>
        </w:rPr>
        <w:t>u </w:t>
      </w:r>
      <w:r>
        <w:rPr>
          <w:color w:val="231F20"/>
          <w:spacing w:val="2"/>
        </w:rPr>
        <w:t>objetivar usos, </w:t>
      </w:r>
      <w:r>
        <w:rPr>
          <w:color w:val="231F20"/>
          <w:spacing w:val="3"/>
        </w:rPr>
        <w:t>costumbres, disposiciones </w:t>
      </w:r>
      <w:r>
        <w:rPr>
          <w:color w:val="231F20"/>
        </w:rPr>
        <w:t>e </w:t>
      </w:r>
      <w:r>
        <w:rPr>
          <w:color w:val="231F20"/>
          <w:spacing w:val="3"/>
        </w:rPr>
        <w:t>inclina- </w:t>
      </w:r>
      <w:r>
        <w:rPr>
          <w:color w:val="231F20"/>
          <w:spacing w:val="2"/>
        </w:rPr>
        <w:t>ciones, </w:t>
      </w:r>
      <w:r>
        <w:rPr>
          <w:color w:val="231F20"/>
        </w:rPr>
        <w:t>que </w:t>
      </w:r>
      <w:r>
        <w:rPr>
          <w:color w:val="231F20"/>
          <w:spacing w:val="2"/>
        </w:rPr>
        <w:t>regulan </w:t>
      </w:r>
      <w:r>
        <w:rPr>
          <w:color w:val="231F20"/>
        </w:rPr>
        <w:t>y </w:t>
      </w:r>
      <w:r>
        <w:rPr>
          <w:color w:val="231F20"/>
          <w:spacing w:val="2"/>
        </w:rPr>
        <w:t>organizan </w:t>
      </w:r>
      <w:r>
        <w:rPr>
          <w:color w:val="231F20"/>
        </w:rPr>
        <w:t>la </w:t>
      </w:r>
      <w:r>
        <w:rPr>
          <w:color w:val="231F20"/>
          <w:spacing w:val="3"/>
        </w:rPr>
        <w:t>enseñanza </w:t>
      </w:r>
      <w:r>
        <w:rPr>
          <w:color w:val="231F20"/>
        </w:rPr>
        <w:t>y el </w:t>
      </w:r>
      <w:r>
        <w:rPr>
          <w:color w:val="231F20"/>
          <w:spacing w:val="2"/>
        </w:rPr>
        <w:t>aprendizaje </w:t>
      </w:r>
      <w:r>
        <w:rPr>
          <w:color w:val="231F20"/>
        </w:rPr>
        <w:t>de  un </w:t>
      </w:r>
      <w:r>
        <w:rPr>
          <w:color w:val="231F20"/>
          <w:spacing w:val="2"/>
        </w:rPr>
        <w:t>lenguaje, </w:t>
      </w:r>
      <w:r>
        <w:rPr>
          <w:color w:val="231F20"/>
        </w:rPr>
        <w:t>de </w:t>
      </w:r>
      <w:r>
        <w:rPr>
          <w:color w:val="231F20"/>
          <w:spacing w:val="2"/>
        </w:rPr>
        <w:t>unas ideas, </w:t>
      </w:r>
      <w:r>
        <w:rPr>
          <w:color w:val="231F20"/>
        </w:rPr>
        <w:t>de </w:t>
      </w:r>
      <w:r>
        <w:rPr>
          <w:color w:val="231F20"/>
          <w:spacing w:val="2"/>
        </w:rPr>
        <w:t>unos valores, </w:t>
      </w:r>
      <w:r>
        <w:rPr>
          <w:color w:val="231F20"/>
        </w:rPr>
        <w:t>de </w:t>
      </w:r>
      <w:r>
        <w:rPr>
          <w:color w:val="231F20"/>
          <w:spacing w:val="2"/>
        </w:rPr>
        <w:t>unas creencias </w:t>
      </w:r>
      <w:r>
        <w:rPr>
          <w:color w:val="231F20"/>
        </w:rPr>
        <w:t>y de </w:t>
      </w:r>
      <w:r>
        <w:rPr>
          <w:color w:val="231F20"/>
          <w:spacing w:val="2"/>
        </w:rPr>
        <w:t>unas </w:t>
      </w:r>
      <w:r>
        <w:rPr>
          <w:color w:val="231F20"/>
          <w:spacing w:val="3"/>
        </w:rPr>
        <w:t>percepciones </w:t>
      </w:r>
      <w:r>
        <w:rPr>
          <w:color w:val="231F20"/>
        </w:rPr>
        <w:t>en </w:t>
      </w:r>
      <w:r>
        <w:rPr>
          <w:color w:val="231F20"/>
          <w:spacing w:val="2"/>
        </w:rPr>
        <w:t>los sujetos, </w:t>
      </w:r>
      <w:r>
        <w:rPr>
          <w:color w:val="231F20"/>
        </w:rPr>
        <w:t>en </w:t>
      </w:r>
      <w:r>
        <w:rPr>
          <w:color w:val="231F20"/>
          <w:spacing w:val="2"/>
        </w:rPr>
        <w:t>una palabra, </w:t>
      </w:r>
      <w:r>
        <w:rPr>
          <w:color w:val="231F20"/>
        </w:rPr>
        <w:t>de </w:t>
      </w:r>
      <w:r>
        <w:rPr>
          <w:color w:val="231F20"/>
          <w:spacing w:val="2"/>
        </w:rPr>
        <w:t>inculcar </w:t>
      </w:r>
      <w:r>
        <w:rPr>
          <w:color w:val="231F20"/>
        </w:rPr>
        <w:t>un </w:t>
      </w:r>
      <w:r>
        <w:rPr>
          <w:i/>
          <w:color w:val="231F20"/>
          <w:spacing w:val="2"/>
        </w:rPr>
        <w:t>habitus </w:t>
      </w:r>
      <w:r>
        <w:rPr>
          <w:color w:val="231F20"/>
          <w:spacing w:val="2"/>
        </w:rPr>
        <w:t>acorde con los fines educativos </w:t>
      </w:r>
      <w:r>
        <w:rPr>
          <w:color w:val="231F20"/>
        </w:rPr>
        <w:t>que </w:t>
      </w:r>
      <w:r>
        <w:rPr>
          <w:color w:val="231F20"/>
          <w:spacing w:val="2"/>
        </w:rPr>
        <w:t>los actores </w:t>
      </w:r>
      <w:r>
        <w:rPr>
          <w:color w:val="231F20"/>
        </w:rPr>
        <w:t>o que </w:t>
      </w:r>
      <w:r>
        <w:rPr>
          <w:color w:val="231F20"/>
          <w:spacing w:val="2"/>
        </w:rPr>
        <w:t>los </w:t>
      </w:r>
      <w:r>
        <w:rPr>
          <w:color w:val="231F20"/>
          <w:spacing w:val="3"/>
        </w:rPr>
        <w:t>grupos </w:t>
      </w:r>
      <w:r>
        <w:rPr>
          <w:color w:val="231F20"/>
          <w:spacing w:val="2"/>
        </w:rPr>
        <w:t>sociales confieren </w:t>
      </w:r>
      <w:r>
        <w:rPr>
          <w:color w:val="231F20"/>
        </w:rPr>
        <w:t>a la </w:t>
      </w:r>
      <w:r>
        <w:rPr>
          <w:color w:val="231F20"/>
          <w:spacing w:val="2"/>
        </w:rPr>
        <w:t>institución escolar </w:t>
      </w:r>
      <w:r>
        <w:rPr>
          <w:color w:val="231F20"/>
        </w:rPr>
        <w:t>y de ese </w:t>
      </w:r>
      <w:r>
        <w:rPr>
          <w:color w:val="231F20"/>
          <w:spacing w:val="3"/>
        </w:rPr>
        <w:t>modo </w:t>
      </w:r>
      <w:r>
        <w:rPr>
          <w:color w:val="231F20"/>
          <w:spacing w:val="2"/>
        </w:rPr>
        <w:t>cumplir con </w:t>
      </w:r>
      <w:r>
        <w:rPr>
          <w:color w:val="231F20"/>
        </w:rPr>
        <w:t>las </w:t>
      </w:r>
      <w:r>
        <w:rPr>
          <w:color w:val="231F20"/>
          <w:spacing w:val="2"/>
        </w:rPr>
        <w:t>expectativas sociales, </w:t>
      </w:r>
      <w:r>
        <w:rPr>
          <w:color w:val="231F20"/>
        </w:rPr>
        <w:t>ya se </w:t>
      </w:r>
      <w:r>
        <w:rPr>
          <w:color w:val="231F20"/>
          <w:spacing w:val="2"/>
        </w:rPr>
        <w:t>trate </w:t>
      </w:r>
      <w:r>
        <w:rPr>
          <w:color w:val="231F20"/>
        </w:rPr>
        <w:t>de </w:t>
      </w:r>
      <w:r>
        <w:rPr>
          <w:color w:val="231F20"/>
          <w:spacing w:val="2"/>
        </w:rPr>
        <w:t>una </w:t>
      </w:r>
      <w:r>
        <w:rPr>
          <w:color w:val="231F20"/>
          <w:spacing w:val="3"/>
        </w:rPr>
        <w:t>formación </w:t>
      </w:r>
      <w:r>
        <w:rPr>
          <w:color w:val="231F20"/>
          <w:spacing w:val="2"/>
        </w:rPr>
        <w:t>general, </w:t>
      </w:r>
      <w:r>
        <w:rPr>
          <w:color w:val="231F20"/>
        </w:rPr>
        <w:t>de </w:t>
      </w:r>
      <w:r>
        <w:rPr>
          <w:color w:val="231F20"/>
          <w:spacing w:val="2"/>
        </w:rPr>
        <w:t>una profesión (sobre todo </w:t>
      </w:r>
      <w:r>
        <w:rPr>
          <w:color w:val="231F20"/>
        </w:rPr>
        <w:t>en el </w:t>
      </w:r>
      <w:r>
        <w:rPr>
          <w:color w:val="231F20"/>
          <w:spacing w:val="2"/>
        </w:rPr>
        <w:t>caso </w:t>
      </w:r>
      <w:r>
        <w:rPr>
          <w:color w:val="231F20"/>
        </w:rPr>
        <w:t>de la </w:t>
      </w:r>
      <w:r>
        <w:rPr>
          <w:color w:val="231F20"/>
          <w:spacing w:val="2"/>
        </w:rPr>
        <w:t>educación superior), </w:t>
      </w:r>
      <w:r>
        <w:rPr>
          <w:color w:val="231F20"/>
        </w:rPr>
        <w:t>o del </w:t>
      </w:r>
      <w:r>
        <w:rPr>
          <w:color w:val="231F20"/>
          <w:spacing w:val="2"/>
        </w:rPr>
        <w:t>dominio </w:t>
      </w:r>
      <w:r>
        <w:rPr>
          <w:color w:val="231F20"/>
        </w:rPr>
        <w:t>de </w:t>
      </w:r>
      <w:r>
        <w:rPr>
          <w:color w:val="231F20"/>
          <w:spacing w:val="3"/>
        </w:rPr>
        <w:t>campos </w:t>
      </w:r>
      <w:r>
        <w:rPr>
          <w:color w:val="231F20"/>
        </w:rPr>
        <w:t>del </w:t>
      </w:r>
      <w:r>
        <w:rPr>
          <w:color w:val="231F20"/>
          <w:spacing w:val="2"/>
        </w:rPr>
        <w:t>saber específicos </w:t>
      </w:r>
      <w:r>
        <w:rPr>
          <w:color w:val="231F20"/>
        </w:rPr>
        <w:t>y, </w:t>
      </w:r>
      <w:r>
        <w:rPr>
          <w:color w:val="231F20"/>
          <w:spacing w:val="2"/>
        </w:rPr>
        <w:t>por</w:t>
      </w:r>
      <w:r>
        <w:rPr>
          <w:color w:val="231F20"/>
          <w:spacing w:val="56"/>
        </w:rPr>
        <w:t> </w:t>
      </w:r>
      <w:r>
        <w:rPr>
          <w:color w:val="231F20"/>
          <w:spacing w:val="2"/>
        </w:rPr>
        <w:t>supuesto, </w:t>
      </w:r>
      <w:r>
        <w:rPr>
          <w:color w:val="231F20"/>
        </w:rPr>
        <w:t>de la </w:t>
      </w:r>
      <w:r>
        <w:rPr>
          <w:color w:val="231F20"/>
          <w:spacing w:val="2"/>
        </w:rPr>
        <w:t>delicada tarea </w:t>
      </w:r>
      <w:r>
        <w:rPr>
          <w:color w:val="231F20"/>
        </w:rPr>
        <w:t>de </w:t>
      </w:r>
      <w:r>
        <w:rPr>
          <w:color w:val="231F20"/>
          <w:spacing w:val="3"/>
        </w:rPr>
        <w:t>formar </w:t>
      </w:r>
      <w:r>
        <w:rPr>
          <w:color w:val="231F20"/>
        </w:rPr>
        <w:t>al </w:t>
      </w:r>
      <w:r>
        <w:rPr>
          <w:color w:val="231F20"/>
          <w:spacing w:val="2"/>
        </w:rPr>
        <w:t>futuro</w:t>
      </w:r>
      <w:r>
        <w:rPr>
          <w:color w:val="231F20"/>
          <w:spacing w:val="35"/>
        </w:rPr>
        <w:t> </w:t>
      </w:r>
      <w:r>
        <w:rPr>
          <w:color w:val="231F20"/>
          <w:spacing w:val="3"/>
        </w:rPr>
        <w:t>ciudadano.</w:t>
      </w:r>
    </w:p>
    <w:p>
      <w:pPr>
        <w:pStyle w:val="BodyText"/>
        <w:spacing w:line="247" w:lineRule="auto"/>
        <w:ind w:left="102" w:right="115" w:firstLine="284"/>
        <w:jc w:val="both"/>
      </w:pPr>
      <w:r>
        <w:rPr>
          <w:color w:val="231F20"/>
        </w:rPr>
        <w:t>En este sentido, estimamos que no habría una objeción substan- cial en convenir que la escuela ha tenido entre sus obligaciones</w:t>
      </w:r>
    </w:p>
    <w:p>
      <w:pPr>
        <w:spacing w:after="0" w:line="247" w:lineRule="auto"/>
        <w:jc w:val="both"/>
        <w:sectPr>
          <w:headerReference w:type="default" r:id="rId255"/>
          <w:footerReference w:type="default" r:id="rId256"/>
          <w:pgSz w:w="7830" w:h="11910"/>
          <w:pgMar w:header="0" w:footer="424" w:top="500" w:bottom="620" w:left="920" w:right="900"/>
          <w:pgNumType w:start="11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5"/>
        <w:jc w:val="both"/>
      </w:pPr>
      <w:r>
        <w:rPr>
          <w:color w:val="231F20"/>
        </w:rPr>
        <w:t>primordiales la de contribuir a la integración de los individuos a la sociedad mediante su formación y desarrollo, la inculcación de valores,su función socializadora, así como la enseñanza y el apren- dizaje de conocimientos disciplinares formales e informales, explíci- tos e implícitos, según los distintos ciclos educativos, denominacio- nes y propósitos determinados. De esta manera la institución edu- cativa construye relaciones, signos y significados entre una concep- ción del mundo, la sociedad, los individuos para prefigurar y orien- tar su lugar en él. Desde esta perspectiva, la organización educativa, como dispositivo institucional burocrático, enfrentaría una severa crisis de capacidad para mantener el orden escolar y de regular los conflictos y las tensiones que involucran todas las esferas de su quehacer cotidiano y que atrapa a todos los actores, porque estos    no se reconocen ni se identifican con la institución que los contie- ne. De ahí que busquen y se esfuercen por expresarse en sus parti- cularidades ya como docentes, padres de familia, niños y niñas, lo que condensa en un clima escolar que se multiplica en acciones de fuga y, en los casos más extremos, de auténtica</w:t>
      </w:r>
      <w:r>
        <w:rPr>
          <w:color w:val="231F20"/>
          <w:spacing w:val="-2"/>
        </w:rPr>
        <w:t> </w:t>
      </w:r>
      <w:r>
        <w:rPr>
          <w:color w:val="231F20"/>
        </w:rPr>
        <w:t>rebelión.</w:t>
      </w:r>
    </w:p>
    <w:p>
      <w:pPr>
        <w:pStyle w:val="BodyText"/>
        <w:spacing w:line="249" w:lineRule="auto"/>
        <w:ind w:left="101" w:right="115" w:firstLine="284"/>
        <w:jc w:val="both"/>
      </w:pPr>
      <w:r>
        <w:rPr>
          <w:color w:val="231F20"/>
          <w:spacing w:val="2"/>
        </w:rPr>
        <w:t>Tal </w:t>
      </w:r>
      <w:r>
        <w:rPr>
          <w:color w:val="231F20"/>
        </w:rPr>
        <w:t>vez </w:t>
      </w:r>
      <w:r>
        <w:rPr>
          <w:color w:val="231F20"/>
          <w:spacing w:val="2"/>
        </w:rPr>
        <w:t>una variante </w:t>
      </w:r>
      <w:r>
        <w:rPr>
          <w:color w:val="231F20"/>
        </w:rPr>
        <w:t>de la </w:t>
      </w:r>
      <w:r>
        <w:rPr>
          <w:color w:val="231F20"/>
          <w:spacing w:val="2"/>
        </w:rPr>
        <w:t>descripción </w:t>
      </w:r>
      <w:r>
        <w:rPr>
          <w:color w:val="231F20"/>
        </w:rPr>
        <w:t>de las </w:t>
      </w:r>
      <w:r>
        <w:rPr>
          <w:color w:val="231F20"/>
          <w:spacing w:val="2"/>
        </w:rPr>
        <w:t>prácticas </w:t>
      </w:r>
      <w:r>
        <w:rPr>
          <w:color w:val="231F20"/>
        </w:rPr>
        <w:t>y del </w:t>
      </w:r>
      <w:r>
        <w:rPr>
          <w:color w:val="231F20"/>
          <w:spacing w:val="2"/>
        </w:rPr>
        <w:t>significado </w:t>
      </w:r>
      <w:r>
        <w:rPr>
          <w:color w:val="231F20"/>
        </w:rPr>
        <w:t>de la </w:t>
      </w:r>
      <w:r>
        <w:rPr>
          <w:color w:val="231F20"/>
          <w:spacing w:val="2"/>
        </w:rPr>
        <w:t>violencia </w:t>
      </w:r>
      <w:r>
        <w:rPr>
          <w:color w:val="231F20"/>
        </w:rPr>
        <w:t>sea </w:t>
      </w:r>
      <w:r>
        <w:rPr>
          <w:color w:val="231F20"/>
          <w:spacing w:val="2"/>
        </w:rPr>
        <w:t>introducir </w:t>
      </w:r>
      <w:r>
        <w:rPr>
          <w:color w:val="231F20"/>
          <w:spacing w:val="3"/>
        </w:rPr>
        <w:t>elementos </w:t>
      </w:r>
      <w:r>
        <w:rPr>
          <w:color w:val="231F20"/>
          <w:spacing w:val="2"/>
        </w:rPr>
        <w:t>para una </w:t>
      </w:r>
      <w:r>
        <w:rPr>
          <w:color w:val="231F20"/>
          <w:spacing w:val="3"/>
        </w:rPr>
        <w:t>con- </w:t>
      </w:r>
      <w:r>
        <w:rPr>
          <w:color w:val="231F20"/>
          <w:spacing w:val="2"/>
        </w:rPr>
        <w:t>notación más tolerante </w:t>
      </w:r>
      <w:r>
        <w:rPr>
          <w:color w:val="231F20"/>
        </w:rPr>
        <w:t>y </w:t>
      </w:r>
      <w:r>
        <w:rPr>
          <w:color w:val="231F20"/>
          <w:spacing w:val="2"/>
        </w:rPr>
        <w:t>positiva </w:t>
      </w:r>
      <w:r>
        <w:rPr>
          <w:color w:val="231F20"/>
        </w:rPr>
        <w:t>que </w:t>
      </w:r>
      <w:r>
        <w:rPr>
          <w:color w:val="231F20"/>
          <w:spacing w:val="2"/>
        </w:rPr>
        <w:t>nos </w:t>
      </w:r>
      <w:r>
        <w:rPr>
          <w:color w:val="231F20"/>
          <w:spacing w:val="3"/>
        </w:rPr>
        <w:t>ponga </w:t>
      </w:r>
      <w:r>
        <w:rPr>
          <w:color w:val="231F20"/>
        </w:rPr>
        <w:t>en  </w:t>
      </w:r>
      <w:r>
        <w:rPr>
          <w:color w:val="231F20"/>
          <w:spacing w:val="2"/>
        </w:rPr>
        <w:t>condiciones  </w:t>
      </w:r>
      <w:r>
        <w:rPr>
          <w:color w:val="231F20"/>
        </w:rPr>
        <w:t>de </w:t>
      </w:r>
      <w:r>
        <w:rPr>
          <w:color w:val="231F20"/>
          <w:spacing w:val="2"/>
        </w:rPr>
        <w:t>repensar </w:t>
      </w:r>
      <w:r>
        <w:rPr>
          <w:color w:val="231F20"/>
        </w:rPr>
        <w:t>la </w:t>
      </w:r>
      <w:r>
        <w:rPr>
          <w:color w:val="231F20"/>
          <w:spacing w:val="2"/>
        </w:rPr>
        <w:t>pertinencia </w:t>
      </w:r>
      <w:r>
        <w:rPr>
          <w:color w:val="231F20"/>
        </w:rPr>
        <w:t>de </w:t>
      </w:r>
      <w:r>
        <w:rPr>
          <w:color w:val="231F20"/>
          <w:spacing w:val="2"/>
        </w:rPr>
        <w:t>relacionarla con ciertos </w:t>
      </w:r>
      <w:r>
        <w:rPr>
          <w:color w:val="231F20"/>
          <w:spacing w:val="3"/>
        </w:rPr>
        <w:t>comporta- </w:t>
      </w:r>
      <w:r>
        <w:rPr>
          <w:color w:val="231F20"/>
          <w:spacing w:val="2"/>
        </w:rPr>
        <w:t>mientos </w:t>
      </w:r>
      <w:r>
        <w:rPr>
          <w:color w:val="231F20"/>
        </w:rPr>
        <w:t>y en una </w:t>
      </w:r>
      <w:r>
        <w:rPr>
          <w:color w:val="231F20"/>
          <w:spacing w:val="2"/>
        </w:rPr>
        <w:t>definición </w:t>
      </w:r>
      <w:r>
        <w:rPr>
          <w:color w:val="231F20"/>
        </w:rPr>
        <w:t>que </w:t>
      </w:r>
      <w:r>
        <w:rPr>
          <w:color w:val="231F20"/>
          <w:spacing w:val="2"/>
        </w:rPr>
        <w:t>involucre variados niveles </w:t>
      </w:r>
      <w:r>
        <w:rPr>
          <w:color w:val="231F20"/>
        </w:rPr>
        <w:t>de </w:t>
      </w:r>
      <w:r>
        <w:rPr>
          <w:color w:val="231F20"/>
          <w:spacing w:val="2"/>
        </w:rPr>
        <w:t>conflicto. Así, para Lleó (2011), </w:t>
      </w:r>
      <w:r>
        <w:rPr>
          <w:color w:val="231F20"/>
        </w:rPr>
        <w:t>el </w:t>
      </w:r>
      <w:r>
        <w:rPr>
          <w:color w:val="231F20"/>
          <w:spacing w:val="2"/>
        </w:rPr>
        <w:t>concepto </w:t>
      </w:r>
      <w:r>
        <w:rPr>
          <w:color w:val="231F20"/>
        </w:rPr>
        <w:t>de </w:t>
      </w:r>
      <w:r>
        <w:rPr>
          <w:color w:val="231F20"/>
          <w:spacing w:val="2"/>
        </w:rPr>
        <w:t>conflicto aparece </w:t>
      </w:r>
      <w:r>
        <w:rPr>
          <w:color w:val="231F20"/>
          <w:spacing w:val="3"/>
        </w:rPr>
        <w:t>generalmente </w:t>
      </w:r>
      <w:r>
        <w:rPr>
          <w:color w:val="231F20"/>
          <w:spacing w:val="2"/>
        </w:rPr>
        <w:t>cargado con una valoración negativa </w:t>
      </w:r>
      <w:r>
        <w:rPr>
          <w:color w:val="231F20"/>
        </w:rPr>
        <w:t>en  </w:t>
      </w:r>
      <w:r>
        <w:rPr>
          <w:color w:val="231F20"/>
          <w:spacing w:val="2"/>
        </w:rPr>
        <w:t>razón </w:t>
      </w:r>
      <w:r>
        <w:rPr>
          <w:color w:val="231F20"/>
        </w:rPr>
        <w:t>de  que se </w:t>
      </w:r>
      <w:r>
        <w:rPr>
          <w:color w:val="231F20"/>
          <w:spacing w:val="3"/>
        </w:rPr>
        <w:t>confunde </w:t>
      </w:r>
      <w:r>
        <w:rPr>
          <w:color w:val="231F20"/>
          <w:spacing w:val="2"/>
        </w:rPr>
        <w:t>conflicto con violencia, </w:t>
      </w:r>
      <w:r>
        <w:rPr>
          <w:color w:val="231F20"/>
        </w:rPr>
        <w:t>es </w:t>
      </w:r>
      <w:r>
        <w:rPr>
          <w:color w:val="231F20"/>
          <w:spacing w:val="2"/>
        </w:rPr>
        <w:t>decir, alude </w:t>
      </w:r>
      <w:r>
        <w:rPr>
          <w:color w:val="231F20"/>
        </w:rPr>
        <w:t>a </w:t>
      </w:r>
      <w:r>
        <w:rPr>
          <w:color w:val="231F20"/>
          <w:spacing w:val="2"/>
        </w:rPr>
        <w:t>una expresión extrema, </w:t>
      </w:r>
      <w:r>
        <w:rPr>
          <w:color w:val="231F20"/>
        </w:rPr>
        <w:t>a </w:t>
      </w:r>
      <w:r>
        <w:rPr>
          <w:color w:val="231F20"/>
          <w:spacing w:val="2"/>
        </w:rPr>
        <w:t>una patología. </w:t>
      </w:r>
      <w:r>
        <w:rPr>
          <w:color w:val="231F20"/>
          <w:spacing w:val="3"/>
        </w:rPr>
        <w:t>Desde </w:t>
      </w:r>
      <w:r>
        <w:rPr>
          <w:color w:val="231F20"/>
          <w:spacing w:val="2"/>
        </w:rPr>
        <w:t>esta perspectiva, </w:t>
      </w:r>
      <w:r>
        <w:rPr>
          <w:color w:val="231F20"/>
        </w:rPr>
        <w:t>un </w:t>
      </w:r>
      <w:r>
        <w:rPr>
          <w:color w:val="231F20"/>
          <w:spacing w:val="2"/>
        </w:rPr>
        <w:t>conflicto </w:t>
      </w:r>
      <w:r>
        <w:rPr>
          <w:color w:val="231F20"/>
        </w:rPr>
        <w:t>no </w:t>
      </w:r>
      <w:r>
        <w:rPr>
          <w:color w:val="231F20"/>
          <w:spacing w:val="2"/>
        </w:rPr>
        <w:t>implica obligadamente violencia, por </w:t>
      </w:r>
      <w:r>
        <w:rPr>
          <w:color w:val="231F20"/>
        </w:rPr>
        <w:t>el </w:t>
      </w:r>
      <w:r>
        <w:rPr>
          <w:color w:val="231F20"/>
          <w:spacing w:val="2"/>
        </w:rPr>
        <w:t>contrario, puede </w:t>
      </w:r>
      <w:r>
        <w:rPr>
          <w:color w:val="231F20"/>
        </w:rPr>
        <w:t>ser un </w:t>
      </w:r>
      <w:r>
        <w:rPr>
          <w:color w:val="231F20"/>
          <w:spacing w:val="2"/>
        </w:rPr>
        <w:t>dispositivo para resolver </w:t>
      </w:r>
      <w:r>
        <w:rPr>
          <w:color w:val="231F20"/>
        </w:rPr>
        <w:t>un </w:t>
      </w:r>
      <w:r>
        <w:rPr>
          <w:color w:val="231F20"/>
          <w:spacing w:val="2"/>
        </w:rPr>
        <w:t>estado </w:t>
      </w:r>
      <w:r>
        <w:rPr>
          <w:color w:val="231F20"/>
        </w:rPr>
        <w:t>de </w:t>
      </w:r>
      <w:r>
        <w:rPr>
          <w:color w:val="231F20"/>
          <w:spacing w:val="2"/>
        </w:rPr>
        <w:t>tensión </w:t>
      </w:r>
      <w:r>
        <w:rPr>
          <w:color w:val="231F20"/>
        </w:rPr>
        <w:t>de </w:t>
      </w:r>
      <w:r>
        <w:rPr>
          <w:color w:val="231F20"/>
          <w:spacing w:val="3"/>
        </w:rPr>
        <w:t>forma </w:t>
      </w:r>
      <w:r>
        <w:rPr>
          <w:color w:val="231F20"/>
          <w:spacing w:val="2"/>
        </w:rPr>
        <w:t>no-violenta. Lleó sostiene </w:t>
      </w:r>
      <w:r>
        <w:rPr>
          <w:color w:val="231F20"/>
        </w:rPr>
        <w:t>que la </w:t>
      </w:r>
      <w:r>
        <w:rPr>
          <w:color w:val="231F20"/>
          <w:spacing w:val="2"/>
        </w:rPr>
        <w:t>violencia </w:t>
      </w:r>
      <w:r>
        <w:rPr>
          <w:color w:val="231F20"/>
        </w:rPr>
        <w:t>no es </w:t>
      </w:r>
      <w:r>
        <w:rPr>
          <w:color w:val="231F20"/>
          <w:spacing w:val="2"/>
        </w:rPr>
        <w:t>innata </w:t>
      </w:r>
      <w:r>
        <w:rPr>
          <w:color w:val="231F20"/>
        </w:rPr>
        <w:t>en  </w:t>
      </w:r>
      <w:r>
        <w:rPr>
          <w:color w:val="231F20"/>
          <w:spacing w:val="2"/>
        </w:rPr>
        <w:t>los seres </w:t>
      </w:r>
      <w:r>
        <w:rPr>
          <w:color w:val="231F20"/>
          <w:spacing w:val="3"/>
        </w:rPr>
        <w:t>humanos </w:t>
      </w:r>
      <w:r>
        <w:rPr>
          <w:color w:val="231F20"/>
          <w:spacing w:val="2"/>
        </w:rPr>
        <w:t>sino que </w:t>
      </w:r>
      <w:r>
        <w:rPr>
          <w:color w:val="231F20"/>
        </w:rPr>
        <w:t>es un </w:t>
      </w:r>
      <w:r>
        <w:rPr>
          <w:color w:val="231F20"/>
          <w:spacing w:val="2"/>
        </w:rPr>
        <w:t>aprendizaje, </w:t>
      </w:r>
      <w:r>
        <w:rPr>
          <w:color w:val="231F20"/>
        </w:rPr>
        <w:t>es </w:t>
      </w:r>
      <w:r>
        <w:rPr>
          <w:color w:val="231F20"/>
          <w:spacing w:val="2"/>
        </w:rPr>
        <w:t>decir, </w:t>
      </w:r>
      <w:r>
        <w:rPr>
          <w:color w:val="231F20"/>
        </w:rPr>
        <w:t>es un </w:t>
      </w:r>
      <w:r>
        <w:rPr>
          <w:color w:val="231F20"/>
          <w:spacing w:val="3"/>
        </w:rPr>
        <w:t>pro- </w:t>
      </w:r>
      <w:r>
        <w:rPr>
          <w:color w:val="231F20"/>
          <w:spacing w:val="2"/>
        </w:rPr>
        <w:t>ducto cultural, mientras </w:t>
      </w:r>
      <w:r>
        <w:rPr>
          <w:color w:val="231F20"/>
        </w:rPr>
        <w:t>que el </w:t>
      </w:r>
      <w:r>
        <w:rPr>
          <w:color w:val="231F20"/>
          <w:spacing w:val="2"/>
        </w:rPr>
        <w:t>conflicto </w:t>
      </w:r>
      <w:r>
        <w:rPr>
          <w:color w:val="231F20"/>
        </w:rPr>
        <w:t>sí es </w:t>
      </w:r>
      <w:r>
        <w:rPr>
          <w:color w:val="231F20"/>
          <w:spacing w:val="3"/>
        </w:rPr>
        <w:t>consustancial </w:t>
      </w:r>
      <w:r>
        <w:rPr>
          <w:color w:val="231F20"/>
        </w:rPr>
        <w:t>a la </w:t>
      </w:r>
      <w:r>
        <w:rPr>
          <w:color w:val="231F20"/>
          <w:spacing w:val="2"/>
        </w:rPr>
        <w:t>vida </w:t>
      </w:r>
      <w:r>
        <w:rPr>
          <w:color w:val="231F20"/>
          <w:spacing w:val="3"/>
        </w:rPr>
        <w:t>humana, </w:t>
      </w:r>
      <w:r>
        <w:rPr>
          <w:color w:val="231F20"/>
        </w:rPr>
        <w:t>algo </w:t>
      </w:r>
      <w:r>
        <w:rPr>
          <w:color w:val="231F20"/>
          <w:spacing w:val="2"/>
        </w:rPr>
        <w:t>natural </w:t>
      </w:r>
      <w:r>
        <w:rPr>
          <w:color w:val="231F20"/>
        </w:rPr>
        <w:t>y </w:t>
      </w:r>
      <w:r>
        <w:rPr>
          <w:color w:val="231F20"/>
          <w:spacing w:val="2"/>
        </w:rPr>
        <w:t>por tanto inevitable. De esta </w:t>
      </w:r>
      <w:r>
        <w:rPr>
          <w:color w:val="231F20"/>
          <w:spacing w:val="3"/>
        </w:rPr>
        <w:t>manera, </w:t>
      </w:r>
      <w:r>
        <w:rPr>
          <w:color w:val="231F20"/>
          <w:spacing w:val="2"/>
        </w:rPr>
        <w:t>más que eliminar </w:t>
      </w:r>
      <w:r>
        <w:rPr>
          <w:color w:val="231F20"/>
        </w:rPr>
        <w:t>el </w:t>
      </w:r>
      <w:r>
        <w:rPr>
          <w:color w:val="231F20"/>
          <w:spacing w:val="2"/>
        </w:rPr>
        <w:t>conflicto, </w:t>
      </w:r>
      <w:r>
        <w:rPr>
          <w:color w:val="231F20"/>
        </w:rPr>
        <w:t>de lo </w:t>
      </w:r>
      <w:r>
        <w:rPr>
          <w:color w:val="231F20"/>
          <w:spacing w:val="2"/>
        </w:rPr>
        <w:t>que </w:t>
      </w:r>
      <w:r>
        <w:rPr>
          <w:color w:val="231F20"/>
        </w:rPr>
        <w:t>se </w:t>
      </w:r>
      <w:r>
        <w:rPr>
          <w:color w:val="231F20"/>
          <w:spacing w:val="2"/>
        </w:rPr>
        <w:t>trata </w:t>
      </w:r>
      <w:r>
        <w:rPr>
          <w:color w:val="231F20"/>
        </w:rPr>
        <w:t>es </w:t>
      </w:r>
      <w:r>
        <w:rPr>
          <w:color w:val="231F20"/>
          <w:spacing w:val="2"/>
        </w:rPr>
        <w:t>aprender </w:t>
      </w:r>
      <w:r>
        <w:rPr>
          <w:color w:val="231F20"/>
        </w:rPr>
        <w:t>a </w:t>
      </w:r>
      <w:r>
        <w:rPr>
          <w:color w:val="231F20"/>
          <w:spacing w:val="2"/>
        </w:rPr>
        <w:t>regularlo creativa </w:t>
      </w:r>
      <w:r>
        <w:rPr>
          <w:color w:val="231F20"/>
        </w:rPr>
        <w:t>y </w:t>
      </w:r>
      <w:r>
        <w:rPr>
          <w:color w:val="231F20"/>
          <w:spacing w:val="3"/>
        </w:rPr>
        <w:t>constructivamente </w:t>
      </w:r>
      <w:r>
        <w:rPr>
          <w:color w:val="231F20"/>
        </w:rPr>
        <w:t>de </w:t>
      </w:r>
      <w:r>
        <w:rPr>
          <w:color w:val="231F20"/>
          <w:spacing w:val="3"/>
        </w:rPr>
        <w:t>forma </w:t>
      </w:r>
      <w:r>
        <w:rPr>
          <w:color w:val="231F20"/>
          <w:spacing w:val="2"/>
        </w:rPr>
        <w:t>no-violenta,  </w:t>
      </w:r>
      <w:r>
        <w:rPr>
          <w:color w:val="231F20"/>
          <w:spacing w:val="3"/>
        </w:rPr>
        <w:t>ya </w:t>
      </w:r>
      <w:r>
        <w:rPr>
          <w:color w:val="231F20"/>
        </w:rPr>
        <w:t>que es </w:t>
      </w:r>
      <w:r>
        <w:rPr>
          <w:color w:val="231F20"/>
          <w:spacing w:val="2"/>
        </w:rPr>
        <w:t>una energía </w:t>
      </w:r>
      <w:r>
        <w:rPr>
          <w:color w:val="231F20"/>
        </w:rPr>
        <w:t>y </w:t>
      </w:r>
      <w:r>
        <w:rPr>
          <w:color w:val="231F20"/>
          <w:spacing w:val="2"/>
        </w:rPr>
        <w:t>una </w:t>
      </w:r>
      <w:r>
        <w:rPr>
          <w:color w:val="231F20"/>
          <w:spacing w:val="3"/>
        </w:rPr>
        <w:t>oportunidad </w:t>
      </w:r>
      <w:r>
        <w:rPr>
          <w:color w:val="231F20"/>
          <w:spacing w:val="2"/>
        </w:rPr>
        <w:t>para </w:t>
      </w:r>
      <w:r>
        <w:rPr>
          <w:color w:val="231F20"/>
        </w:rPr>
        <w:t>el </w:t>
      </w:r>
      <w:r>
        <w:rPr>
          <w:color w:val="231F20"/>
          <w:spacing w:val="3"/>
        </w:rPr>
        <w:t>cambio. </w:t>
      </w:r>
      <w:r>
        <w:rPr>
          <w:color w:val="231F20"/>
          <w:spacing w:val="2"/>
        </w:rPr>
        <w:t>De ahí que </w:t>
      </w:r>
      <w:r>
        <w:rPr>
          <w:color w:val="231F20"/>
          <w:spacing w:val="3"/>
        </w:rPr>
        <w:t>representaciones </w:t>
      </w:r>
      <w:r>
        <w:rPr>
          <w:color w:val="231F20"/>
        </w:rPr>
        <w:t>y </w:t>
      </w:r>
      <w:r>
        <w:rPr>
          <w:color w:val="231F20"/>
          <w:spacing w:val="2"/>
        </w:rPr>
        <w:t>usos </w:t>
      </w:r>
      <w:r>
        <w:rPr>
          <w:color w:val="231F20"/>
        </w:rPr>
        <w:t>que </w:t>
      </w:r>
      <w:r>
        <w:rPr>
          <w:color w:val="231F20"/>
          <w:spacing w:val="2"/>
        </w:rPr>
        <w:t>eran juzgados </w:t>
      </w:r>
      <w:r>
        <w:rPr>
          <w:color w:val="231F20"/>
          <w:spacing w:val="3"/>
        </w:rPr>
        <w:t>como </w:t>
      </w:r>
      <w:r>
        <w:rPr>
          <w:color w:val="231F20"/>
          <w:spacing w:val="2"/>
        </w:rPr>
        <w:t>tolerables </w:t>
      </w:r>
      <w:r>
        <w:rPr>
          <w:color w:val="231F20"/>
        </w:rPr>
        <w:t>en la </w:t>
      </w:r>
      <w:r>
        <w:rPr>
          <w:color w:val="231F20"/>
          <w:spacing w:val="2"/>
        </w:rPr>
        <w:t>medida </w:t>
      </w:r>
      <w:r>
        <w:rPr>
          <w:color w:val="231F20"/>
        </w:rPr>
        <w:t>en que </w:t>
      </w:r>
      <w:r>
        <w:rPr>
          <w:color w:val="231F20"/>
          <w:spacing w:val="2"/>
        </w:rPr>
        <w:t>cohesionaban </w:t>
      </w:r>
      <w:r>
        <w:rPr>
          <w:color w:val="231F20"/>
        </w:rPr>
        <w:t>y </w:t>
      </w:r>
      <w:r>
        <w:rPr>
          <w:color w:val="231F20"/>
          <w:spacing w:val="2"/>
        </w:rPr>
        <w:t>hacían posible </w:t>
      </w:r>
      <w:r>
        <w:rPr>
          <w:color w:val="231F20"/>
        </w:rPr>
        <w:t>el </w:t>
      </w:r>
      <w:r>
        <w:rPr>
          <w:color w:val="231F20"/>
          <w:spacing w:val="2"/>
        </w:rPr>
        <w:t>funcionamiento   </w:t>
      </w:r>
      <w:r>
        <w:rPr>
          <w:color w:val="231F20"/>
        </w:rPr>
        <w:t>de las </w:t>
      </w:r>
      <w:r>
        <w:rPr>
          <w:color w:val="231F20"/>
          <w:spacing w:val="2"/>
        </w:rPr>
        <w:t>instituciones educativas sean consideradas </w:t>
      </w:r>
      <w:r>
        <w:rPr>
          <w:color w:val="231F20"/>
          <w:spacing w:val="3"/>
        </w:rPr>
        <w:t>como</w:t>
      </w:r>
      <w:r>
        <w:rPr>
          <w:color w:val="231F20"/>
          <w:spacing w:val="-21"/>
        </w:rPr>
        <w:t> </w:t>
      </w:r>
      <w:r>
        <w:rPr>
          <w:color w:val="231F20"/>
          <w:spacing w:val="2"/>
        </w:rPr>
        <w:t>agresivas.</w:t>
      </w:r>
    </w:p>
    <w:p>
      <w:pPr>
        <w:spacing w:after="0" w:line="249" w:lineRule="auto"/>
        <w:jc w:val="both"/>
        <w:sectPr>
          <w:headerReference w:type="default" r:id="rId257"/>
          <w:footerReference w:type="default" r:id="rId258"/>
          <w:pgSz w:w="7830" w:h="11910"/>
          <w:pgMar w:header="0" w:footer="424" w:top="500" w:bottom="620" w:left="920" w:right="900"/>
          <w:pgNumType w:start="11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3" w:firstLine="284"/>
        <w:jc w:val="both"/>
      </w:pPr>
      <w:r>
        <w:rPr>
          <w:color w:val="231F20"/>
          <w:spacing w:val="3"/>
        </w:rPr>
        <w:t>Como </w:t>
      </w:r>
      <w:r>
        <w:rPr>
          <w:color w:val="231F20"/>
        </w:rPr>
        <w:t>ya se ha </w:t>
      </w:r>
      <w:r>
        <w:rPr>
          <w:color w:val="231F20"/>
          <w:spacing w:val="3"/>
        </w:rPr>
        <w:t>mencionado, </w:t>
      </w:r>
      <w:r>
        <w:rPr>
          <w:color w:val="231F20"/>
          <w:spacing w:val="2"/>
        </w:rPr>
        <w:t>los usos </w:t>
      </w:r>
      <w:r>
        <w:rPr>
          <w:color w:val="231F20"/>
        </w:rPr>
        <w:t>de la </w:t>
      </w:r>
      <w:r>
        <w:rPr>
          <w:color w:val="231F20"/>
          <w:spacing w:val="2"/>
        </w:rPr>
        <w:t>violencia </w:t>
      </w:r>
      <w:r>
        <w:rPr>
          <w:color w:val="231F20"/>
        </w:rPr>
        <w:t>se </w:t>
      </w:r>
      <w:r>
        <w:rPr>
          <w:color w:val="231F20"/>
          <w:spacing w:val="3"/>
        </w:rPr>
        <w:t>deposi- </w:t>
      </w:r>
      <w:r>
        <w:rPr>
          <w:color w:val="231F20"/>
        </w:rPr>
        <w:t>tan en la </w:t>
      </w:r>
      <w:r>
        <w:rPr>
          <w:color w:val="231F20"/>
          <w:spacing w:val="2"/>
        </w:rPr>
        <w:t>autoridad </w:t>
      </w:r>
      <w:r>
        <w:rPr>
          <w:color w:val="231F20"/>
        </w:rPr>
        <w:t>a la </w:t>
      </w:r>
      <w:r>
        <w:rPr>
          <w:color w:val="231F20"/>
          <w:spacing w:val="2"/>
        </w:rPr>
        <w:t>cual </w:t>
      </w:r>
      <w:r>
        <w:rPr>
          <w:color w:val="231F20"/>
        </w:rPr>
        <w:t>se le </w:t>
      </w:r>
      <w:r>
        <w:rPr>
          <w:color w:val="231F20"/>
          <w:spacing w:val="3"/>
        </w:rPr>
        <w:t>reconocen </w:t>
      </w:r>
      <w:r>
        <w:rPr>
          <w:color w:val="231F20"/>
        </w:rPr>
        <w:t>y </w:t>
      </w:r>
      <w:r>
        <w:rPr>
          <w:color w:val="231F20"/>
          <w:spacing w:val="2"/>
        </w:rPr>
        <w:t>delegan capacidades  </w:t>
      </w:r>
      <w:r>
        <w:rPr>
          <w:color w:val="231F20"/>
        </w:rPr>
        <w:t>y </w:t>
      </w:r>
      <w:r>
        <w:rPr>
          <w:color w:val="231F20"/>
          <w:spacing w:val="2"/>
        </w:rPr>
        <w:t>atribuciones </w:t>
      </w:r>
      <w:r>
        <w:rPr>
          <w:color w:val="231F20"/>
        </w:rPr>
        <w:t>de </w:t>
      </w:r>
      <w:r>
        <w:rPr>
          <w:color w:val="231F20"/>
          <w:spacing w:val="2"/>
        </w:rPr>
        <w:t>una organización del grupo </w:t>
      </w:r>
      <w:r>
        <w:rPr>
          <w:color w:val="231F20"/>
        </w:rPr>
        <w:t>y </w:t>
      </w:r>
      <w:r>
        <w:rPr>
          <w:color w:val="231F20"/>
          <w:spacing w:val="2"/>
        </w:rPr>
        <w:t>que implica </w:t>
      </w:r>
      <w:r>
        <w:rPr>
          <w:color w:val="231F20"/>
        </w:rPr>
        <w:t>un </w:t>
      </w:r>
      <w:r>
        <w:rPr>
          <w:color w:val="231F20"/>
          <w:spacing w:val="3"/>
        </w:rPr>
        <w:t>renunciamiento </w:t>
      </w:r>
      <w:r>
        <w:rPr>
          <w:color w:val="231F20"/>
        </w:rPr>
        <w:t>de </w:t>
      </w:r>
      <w:r>
        <w:rPr>
          <w:color w:val="231F20"/>
          <w:spacing w:val="2"/>
        </w:rPr>
        <w:t>los </w:t>
      </w:r>
      <w:r>
        <w:rPr>
          <w:color w:val="231F20"/>
          <w:spacing w:val="3"/>
        </w:rPr>
        <w:t>individuos </w:t>
      </w:r>
      <w:r>
        <w:rPr>
          <w:color w:val="231F20"/>
          <w:spacing w:val="2"/>
        </w:rPr>
        <w:t>con </w:t>
      </w:r>
      <w:r>
        <w:rPr>
          <w:color w:val="231F20"/>
        </w:rPr>
        <w:t>el fin de que la </w:t>
      </w:r>
      <w:r>
        <w:rPr>
          <w:color w:val="231F20"/>
          <w:spacing w:val="3"/>
        </w:rPr>
        <w:t>institución </w:t>
      </w:r>
      <w:r>
        <w:rPr>
          <w:color w:val="231F20"/>
          <w:spacing w:val="2"/>
        </w:rPr>
        <w:t>educativa realice sus objetivos. De este </w:t>
      </w:r>
      <w:r>
        <w:rPr>
          <w:color w:val="231F20"/>
          <w:spacing w:val="3"/>
        </w:rPr>
        <w:t>modo, </w:t>
      </w:r>
      <w:r>
        <w:rPr>
          <w:color w:val="231F20"/>
        </w:rPr>
        <w:t>se </w:t>
      </w:r>
      <w:r>
        <w:rPr>
          <w:color w:val="231F20"/>
          <w:spacing w:val="2"/>
        </w:rPr>
        <w:t>cede </w:t>
      </w:r>
      <w:r>
        <w:rPr>
          <w:color w:val="231F20"/>
        </w:rPr>
        <w:t>a ella el </w:t>
      </w:r>
      <w:r>
        <w:rPr>
          <w:color w:val="231F20"/>
          <w:spacing w:val="2"/>
        </w:rPr>
        <w:t>ejercicio </w:t>
      </w:r>
      <w:r>
        <w:rPr>
          <w:color w:val="231F20"/>
        </w:rPr>
        <w:t>de la </w:t>
      </w:r>
      <w:r>
        <w:rPr>
          <w:color w:val="231F20"/>
          <w:spacing w:val="2"/>
        </w:rPr>
        <w:t>fuerza, </w:t>
      </w:r>
      <w:r>
        <w:rPr>
          <w:color w:val="231F20"/>
        </w:rPr>
        <w:t>lo </w:t>
      </w:r>
      <w:r>
        <w:rPr>
          <w:color w:val="231F20"/>
          <w:spacing w:val="2"/>
        </w:rPr>
        <w:t>cual </w:t>
      </w:r>
      <w:r>
        <w:rPr>
          <w:color w:val="231F20"/>
          <w:spacing w:val="3"/>
        </w:rPr>
        <w:t>necesariamente supone </w:t>
      </w:r>
      <w:r>
        <w:rPr>
          <w:color w:val="231F20"/>
          <w:spacing w:val="2"/>
        </w:rPr>
        <w:t>una </w:t>
      </w:r>
      <w:r>
        <w:rPr>
          <w:color w:val="231F20"/>
          <w:spacing w:val="3"/>
        </w:rPr>
        <w:t>domina- </w:t>
      </w:r>
      <w:r>
        <w:rPr>
          <w:color w:val="231F20"/>
          <w:spacing w:val="2"/>
        </w:rPr>
        <w:t>ción que </w:t>
      </w:r>
      <w:r>
        <w:rPr>
          <w:color w:val="231F20"/>
        </w:rPr>
        <w:t>se </w:t>
      </w:r>
      <w:r>
        <w:rPr>
          <w:color w:val="231F20"/>
          <w:spacing w:val="2"/>
        </w:rPr>
        <w:t>proyecta </w:t>
      </w:r>
      <w:r>
        <w:rPr>
          <w:color w:val="231F20"/>
        </w:rPr>
        <w:t>en </w:t>
      </w:r>
      <w:r>
        <w:rPr>
          <w:color w:val="231F20"/>
          <w:spacing w:val="2"/>
        </w:rPr>
        <w:t>prácticas </w:t>
      </w:r>
      <w:r>
        <w:rPr>
          <w:color w:val="231F20"/>
        </w:rPr>
        <w:t>de </w:t>
      </w:r>
      <w:r>
        <w:rPr>
          <w:color w:val="231F20"/>
          <w:spacing w:val="2"/>
        </w:rPr>
        <w:t>control, vigilancia </w:t>
      </w:r>
      <w:r>
        <w:rPr>
          <w:color w:val="231F20"/>
        </w:rPr>
        <w:t>y </w:t>
      </w:r>
      <w:r>
        <w:rPr>
          <w:color w:val="231F20"/>
          <w:spacing w:val="2"/>
        </w:rPr>
        <w:t>coerción </w:t>
      </w:r>
      <w:r>
        <w:rPr>
          <w:color w:val="231F20"/>
        </w:rPr>
        <w:t>en </w:t>
      </w:r>
      <w:r>
        <w:rPr>
          <w:color w:val="231F20"/>
          <w:spacing w:val="2"/>
        </w:rPr>
        <w:t>tanto </w:t>
      </w:r>
      <w:r>
        <w:rPr>
          <w:color w:val="231F20"/>
          <w:spacing w:val="3"/>
        </w:rPr>
        <w:t>poder </w:t>
      </w:r>
      <w:r>
        <w:rPr>
          <w:color w:val="231F20"/>
          <w:spacing w:val="2"/>
        </w:rPr>
        <w:t>“legítimo” De ahí que </w:t>
      </w:r>
      <w:r>
        <w:rPr>
          <w:color w:val="231F20"/>
        </w:rPr>
        <w:t>sea </w:t>
      </w:r>
      <w:r>
        <w:rPr>
          <w:color w:val="231F20"/>
          <w:spacing w:val="2"/>
        </w:rPr>
        <w:t>útil reflexionar acerca </w:t>
      </w:r>
      <w:r>
        <w:rPr>
          <w:color w:val="231F20"/>
        </w:rPr>
        <w:t>de si la </w:t>
      </w:r>
      <w:r>
        <w:rPr>
          <w:color w:val="231F20"/>
          <w:spacing w:val="2"/>
        </w:rPr>
        <w:t>autoridad </w:t>
      </w:r>
      <w:r>
        <w:rPr>
          <w:color w:val="231F20"/>
        </w:rPr>
        <w:t>que se </w:t>
      </w:r>
      <w:r>
        <w:rPr>
          <w:color w:val="231F20"/>
          <w:spacing w:val="2"/>
        </w:rPr>
        <w:t>confía </w:t>
      </w:r>
      <w:r>
        <w:rPr>
          <w:color w:val="231F20"/>
        </w:rPr>
        <w:t>a la </w:t>
      </w:r>
      <w:r>
        <w:rPr>
          <w:color w:val="231F20"/>
          <w:spacing w:val="2"/>
        </w:rPr>
        <w:t>escuela </w:t>
      </w:r>
      <w:r>
        <w:rPr>
          <w:color w:val="231F20"/>
        </w:rPr>
        <w:t>no se ha </w:t>
      </w:r>
      <w:r>
        <w:rPr>
          <w:color w:val="231F20"/>
          <w:spacing w:val="2"/>
        </w:rPr>
        <w:t>perdido </w:t>
      </w:r>
      <w:r>
        <w:rPr>
          <w:color w:val="231F20"/>
        </w:rPr>
        <w:t>o </w:t>
      </w:r>
      <w:r>
        <w:rPr>
          <w:color w:val="231F20"/>
          <w:spacing w:val="2"/>
        </w:rPr>
        <w:t>debili- tado, </w:t>
      </w:r>
      <w:r>
        <w:rPr>
          <w:color w:val="231F20"/>
        </w:rPr>
        <w:t>y en </w:t>
      </w:r>
      <w:r>
        <w:rPr>
          <w:color w:val="231F20"/>
          <w:spacing w:val="3"/>
        </w:rPr>
        <w:t>consecuencia, </w:t>
      </w:r>
      <w:r>
        <w:rPr>
          <w:color w:val="231F20"/>
        </w:rPr>
        <w:t>es </w:t>
      </w:r>
      <w:r>
        <w:rPr>
          <w:color w:val="231F20"/>
          <w:spacing w:val="2"/>
        </w:rPr>
        <w:t>cada </w:t>
      </w:r>
      <w:r>
        <w:rPr>
          <w:color w:val="231F20"/>
        </w:rPr>
        <w:t>vez </w:t>
      </w:r>
      <w:r>
        <w:rPr>
          <w:color w:val="231F20"/>
          <w:spacing w:val="2"/>
        </w:rPr>
        <w:t>menor </w:t>
      </w:r>
      <w:r>
        <w:rPr>
          <w:color w:val="231F20"/>
        </w:rPr>
        <w:t>su </w:t>
      </w:r>
      <w:r>
        <w:rPr>
          <w:color w:val="231F20"/>
          <w:spacing w:val="2"/>
        </w:rPr>
        <w:t>capacidad para cumplir con </w:t>
      </w:r>
      <w:r>
        <w:rPr>
          <w:color w:val="231F20"/>
        </w:rPr>
        <w:t>las </w:t>
      </w:r>
      <w:r>
        <w:rPr>
          <w:color w:val="231F20"/>
          <w:spacing w:val="3"/>
        </w:rPr>
        <w:t>responsabilidades </w:t>
      </w:r>
      <w:r>
        <w:rPr>
          <w:color w:val="231F20"/>
          <w:spacing w:val="2"/>
        </w:rPr>
        <w:t>que </w:t>
      </w:r>
      <w:r>
        <w:rPr>
          <w:color w:val="231F20"/>
        </w:rPr>
        <w:t>se le </w:t>
      </w:r>
      <w:r>
        <w:rPr>
          <w:color w:val="231F20"/>
          <w:spacing w:val="3"/>
        </w:rPr>
        <w:t>confiaron, </w:t>
      </w:r>
      <w:r>
        <w:rPr>
          <w:color w:val="231F20"/>
        </w:rPr>
        <w:t>de tal </w:t>
      </w:r>
      <w:r>
        <w:rPr>
          <w:color w:val="231F20"/>
          <w:spacing w:val="3"/>
        </w:rPr>
        <w:t>modo </w:t>
      </w:r>
      <w:r>
        <w:rPr>
          <w:color w:val="231F20"/>
        </w:rPr>
        <w:t>que las </w:t>
      </w:r>
      <w:r>
        <w:rPr>
          <w:color w:val="231F20"/>
          <w:spacing w:val="2"/>
        </w:rPr>
        <w:t>expresiones </w:t>
      </w:r>
      <w:r>
        <w:rPr>
          <w:color w:val="231F20"/>
        </w:rPr>
        <w:t>de </w:t>
      </w:r>
      <w:r>
        <w:rPr>
          <w:color w:val="231F20"/>
          <w:spacing w:val="2"/>
        </w:rPr>
        <w:t>violencia serían evidencia </w:t>
      </w:r>
      <w:r>
        <w:rPr>
          <w:color w:val="231F20"/>
        </w:rPr>
        <w:t>de la </w:t>
      </w:r>
      <w:r>
        <w:rPr>
          <w:color w:val="231F20"/>
          <w:spacing w:val="3"/>
        </w:rPr>
        <w:t>pérdida  </w:t>
      </w:r>
      <w:r>
        <w:rPr>
          <w:color w:val="231F20"/>
          <w:spacing w:val="2"/>
        </w:rPr>
        <w:t>cada </w:t>
      </w:r>
      <w:r>
        <w:rPr>
          <w:color w:val="231F20"/>
        </w:rPr>
        <w:t>vez </w:t>
      </w:r>
      <w:r>
        <w:rPr>
          <w:color w:val="231F20"/>
          <w:spacing w:val="3"/>
        </w:rPr>
        <w:t>mayor </w:t>
      </w:r>
      <w:r>
        <w:rPr>
          <w:color w:val="231F20"/>
        </w:rPr>
        <w:t>de </w:t>
      </w:r>
      <w:r>
        <w:rPr>
          <w:color w:val="231F20"/>
          <w:spacing w:val="2"/>
        </w:rPr>
        <w:t>credibilidad </w:t>
      </w:r>
      <w:r>
        <w:rPr>
          <w:color w:val="231F20"/>
        </w:rPr>
        <w:t>y </w:t>
      </w:r>
      <w:r>
        <w:rPr>
          <w:color w:val="231F20"/>
          <w:spacing w:val="2"/>
        </w:rPr>
        <w:t>por ende </w:t>
      </w:r>
      <w:r>
        <w:rPr>
          <w:color w:val="231F20"/>
        </w:rPr>
        <w:t>de su </w:t>
      </w:r>
      <w:r>
        <w:rPr>
          <w:color w:val="231F20"/>
          <w:spacing w:val="3"/>
        </w:rPr>
        <w:t>poder legítimo. </w:t>
      </w:r>
      <w:r>
        <w:rPr>
          <w:color w:val="231F20"/>
          <w:spacing w:val="2"/>
        </w:rPr>
        <w:t>Esto explicaría, </w:t>
      </w:r>
      <w:r>
        <w:rPr>
          <w:color w:val="231F20"/>
        </w:rPr>
        <w:t>en </w:t>
      </w:r>
      <w:r>
        <w:rPr>
          <w:color w:val="231F20"/>
          <w:spacing w:val="2"/>
        </w:rPr>
        <w:t>gran </w:t>
      </w:r>
      <w:r>
        <w:rPr>
          <w:color w:val="231F20"/>
          <w:spacing w:val="3"/>
        </w:rPr>
        <w:t>medida, </w:t>
      </w:r>
      <w:r>
        <w:rPr>
          <w:color w:val="231F20"/>
        </w:rPr>
        <w:t>la </w:t>
      </w:r>
      <w:r>
        <w:rPr>
          <w:color w:val="231F20"/>
          <w:spacing w:val="2"/>
        </w:rPr>
        <w:t>multiplicación </w:t>
      </w:r>
      <w:r>
        <w:rPr>
          <w:color w:val="231F20"/>
        </w:rPr>
        <w:t>de las </w:t>
      </w:r>
      <w:r>
        <w:rPr>
          <w:color w:val="231F20"/>
          <w:spacing w:val="2"/>
        </w:rPr>
        <w:t>acciones </w:t>
      </w:r>
      <w:r>
        <w:rPr>
          <w:color w:val="231F20"/>
        </w:rPr>
        <w:t>de la </w:t>
      </w:r>
      <w:r>
        <w:rPr>
          <w:color w:val="231F20"/>
          <w:spacing w:val="2"/>
        </w:rPr>
        <w:t>llamada violencia escolar </w:t>
      </w:r>
      <w:r>
        <w:rPr>
          <w:color w:val="231F20"/>
        </w:rPr>
        <w:t>y </w:t>
      </w:r>
      <w:r>
        <w:rPr>
          <w:color w:val="231F20"/>
          <w:spacing w:val="2"/>
        </w:rPr>
        <w:t>que, cada </w:t>
      </w:r>
      <w:r>
        <w:rPr>
          <w:color w:val="231F20"/>
        </w:rPr>
        <w:t>vez </w:t>
      </w:r>
      <w:r>
        <w:rPr>
          <w:color w:val="231F20"/>
          <w:spacing w:val="2"/>
        </w:rPr>
        <w:t>más, </w:t>
      </w:r>
      <w:r>
        <w:rPr>
          <w:color w:val="231F20"/>
        </w:rPr>
        <w:t>ese </w:t>
      </w:r>
      <w:r>
        <w:rPr>
          <w:color w:val="231F20"/>
          <w:spacing w:val="3"/>
        </w:rPr>
        <w:t>mismo </w:t>
      </w:r>
      <w:r>
        <w:rPr>
          <w:color w:val="231F20"/>
          <w:spacing w:val="2"/>
        </w:rPr>
        <w:t>poder pretende </w:t>
      </w:r>
      <w:r>
        <w:rPr>
          <w:color w:val="231F20"/>
          <w:spacing w:val="3"/>
        </w:rPr>
        <w:t>desconocer, </w:t>
      </w:r>
      <w:r>
        <w:rPr>
          <w:color w:val="231F20"/>
          <w:spacing w:val="2"/>
        </w:rPr>
        <w:t>mitigar </w:t>
      </w:r>
      <w:r>
        <w:rPr>
          <w:color w:val="231F20"/>
        </w:rPr>
        <w:t>o</w:t>
      </w:r>
      <w:r>
        <w:rPr>
          <w:color w:val="231F20"/>
          <w:spacing w:val="45"/>
        </w:rPr>
        <w:t> </w:t>
      </w:r>
      <w:r>
        <w:rPr>
          <w:color w:val="231F20"/>
          <w:spacing w:val="2"/>
        </w:rPr>
        <w:t>suprimir.</w:t>
      </w:r>
    </w:p>
    <w:p>
      <w:pPr>
        <w:pStyle w:val="BodyText"/>
        <w:spacing w:line="249" w:lineRule="auto"/>
        <w:ind w:left="101" w:right="117" w:firstLine="284"/>
        <w:jc w:val="both"/>
      </w:pPr>
      <w:r>
        <w:rPr>
          <w:color w:val="231F20"/>
          <w:spacing w:val="2"/>
        </w:rPr>
        <w:t>Por eso, </w:t>
      </w:r>
      <w:r>
        <w:rPr>
          <w:color w:val="231F20"/>
        </w:rPr>
        <w:t>las </w:t>
      </w:r>
      <w:r>
        <w:rPr>
          <w:color w:val="231F20"/>
          <w:spacing w:val="2"/>
        </w:rPr>
        <w:t>definiciones </w:t>
      </w:r>
      <w:r>
        <w:rPr>
          <w:color w:val="231F20"/>
        </w:rPr>
        <w:t>de </w:t>
      </w:r>
      <w:r>
        <w:rPr>
          <w:color w:val="231F20"/>
          <w:spacing w:val="2"/>
        </w:rPr>
        <w:t>violencia escolar involucran </w:t>
      </w:r>
      <w:r>
        <w:rPr>
          <w:color w:val="231F20"/>
        </w:rPr>
        <w:t>a </w:t>
      </w:r>
      <w:r>
        <w:rPr>
          <w:color w:val="231F20"/>
          <w:spacing w:val="2"/>
        </w:rPr>
        <w:t>los actores del proceso educativo </w:t>
      </w:r>
      <w:r>
        <w:rPr>
          <w:color w:val="231F20"/>
        </w:rPr>
        <w:t>en </w:t>
      </w:r>
      <w:r>
        <w:rPr>
          <w:color w:val="231F20"/>
          <w:spacing w:val="2"/>
        </w:rPr>
        <w:t>cuanto que son factores esencia- </w:t>
      </w:r>
      <w:r>
        <w:rPr>
          <w:color w:val="231F20"/>
        </w:rPr>
        <w:t>les de la </w:t>
      </w:r>
      <w:r>
        <w:rPr>
          <w:color w:val="231F20"/>
          <w:spacing w:val="2"/>
        </w:rPr>
        <w:t>realidad educativa. De esta </w:t>
      </w:r>
      <w:r>
        <w:rPr>
          <w:color w:val="231F20"/>
          <w:spacing w:val="3"/>
        </w:rPr>
        <w:t>manera, </w:t>
      </w:r>
      <w:r>
        <w:rPr>
          <w:color w:val="231F20"/>
        </w:rPr>
        <w:t>la </w:t>
      </w:r>
      <w:r>
        <w:rPr>
          <w:color w:val="231F20"/>
          <w:spacing w:val="2"/>
        </w:rPr>
        <w:t>reflexión </w:t>
      </w:r>
      <w:r>
        <w:rPr>
          <w:color w:val="231F20"/>
        </w:rPr>
        <w:t>en </w:t>
      </w:r>
      <w:r>
        <w:rPr>
          <w:color w:val="231F20"/>
          <w:spacing w:val="2"/>
        </w:rPr>
        <w:t>torno   </w:t>
      </w:r>
      <w:r>
        <w:rPr>
          <w:color w:val="231F20"/>
        </w:rPr>
        <w:t>a las </w:t>
      </w:r>
      <w:r>
        <w:rPr>
          <w:color w:val="231F20"/>
          <w:spacing w:val="2"/>
        </w:rPr>
        <w:t>implicaciones </w:t>
      </w:r>
      <w:r>
        <w:rPr>
          <w:color w:val="231F20"/>
        </w:rPr>
        <w:t>de la </w:t>
      </w:r>
      <w:r>
        <w:rPr>
          <w:color w:val="231F20"/>
          <w:spacing w:val="2"/>
        </w:rPr>
        <w:t>violencia escolar debe </w:t>
      </w:r>
      <w:r>
        <w:rPr>
          <w:color w:val="231F20"/>
          <w:spacing w:val="3"/>
        </w:rPr>
        <w:t>reconocer </w:t>
      </w:r>
      <w:r>
        <w:rPr>
          <w:color w:val="231F20"/>
        </w:rPr>
        <w:t>el uni- </w:t>
      </w:r>
      <w:r>
        <w:rPr>
          <w:color w:val="231F20"/>
          <w:spacing w:val="2"/>
        </w:rPr>
        <w:t>verso </w:t>
      </w:r>
      <w:r>
        <w:rPr>
          <w:color w:val="231F20"/>
        </w:rPr>
        <w:t>que lo </w:t>
      </w:r>
      <w:r>
        <w:rPr>
          <w:color w:val="231F20"/>
          <w:spacing w:val="3"/>
        </w:rPr>
        <w:t>compone </w:t>
      </w:r>
      <w:r>
        <w:rPr>
          <w:color w:val="231F20"/>
        </w:rPr>
        <w:t>y </w:t>
      </w:r>
      <w:r>
        <w:rPr>
          <w:color w:val="231F20"/>
          <w:spacing w:val="2"/>
        </w:rPr>
        <w:t>desde ahí examinar, diseccionar, cada uno </w:t>
      </w:r>
      <w:r>
        <w:rPr>
          <w:color w:val="231F20"/>
        </w:rPr>
        <w:t>de </w:t>
      </w:r>
      <w:r>
        <w:rPr>
          <w:color w:val="231F20"/>
          <w:spacing w:val="2"/>
        </w:rPr>
        <w:t>los </w:t>
      </w:r>
      <w:r>
        <w:rPr>
          <w:color w:val="231F20"/>
          <w:spacing w:val="3"/>
        </w:rPr>
        <w:t>elementos </w:t>
      </w:r>
      <w:r>
        <w:rPr>
          <w:color w:val="231F20"/>
          <w:spacing w:val="2"/>
        </w:rPr>
        <w:t>que </w:t>
      </w:r>
      <w:r>
        <w:rPr>
          <w:color w:val="231F20"/>
        </w:rPr>
        <w:t>la </w:t>
      </w:r>
      <w:r>
        <w:rPr>
          <w:color w:val="231F20"/>
          <w:spacing w:val="3"/>
        </w:rPr>
        <w:t>constituyen, </w:t>
      </w:r>
      <w:r>
        <w:rPr>
          <w:color w:val="231F20"/>
          <w:spacing w:val="2"/>
        </w:rPr>
        <w:t>con </w:t>
      </w:r>
      <w:r>
        <w:rPr>
          <w:color w:val="231F20"/>
        </w:rPr>
        <w:t>el </w:t>
      </w:r>
      <w:r>
        <w:rPr>
          <w:color w:val="231F20"/>
          <w:spacing w:val="2"/>
        </w:rPr>
        <w:t>objetivo </w:t>
      </w:r>
      <w:r>
        <w:rPr>
          <w:color w:val="231F20"/>
        </w:rPr>
        <w:t>de </w:t>
      </w:r>
      <w:r>
        <w:rPr>
          <w:color w:val="231F20"/>
          <w:spacing w:val="2"/>
        </w:rPr>
        <w:t>precisar </w:t>
      </w:r>
      <w:r>
        <w:rPr>
          <w:color w:val="231F20"/>
        </w:rPr>
        <w:t>el </w:t>
      </w:r>
      <w:r>
        <w:rPr>
          <w:color w:val="231F20"/>
          <w:spacing w:val="2"/>
        </w:rPr>
        <w:t>sentido </w:t>
      </w:r>
      <w:r>
        <w:rPr>
          <w:color w:val="231F20"/>
        </w:rPr>
        <w:t>y el </w:t>
      </w:r>
      <w:r>
        <w:rPr>
          <w:color w:val="231F20"/>
          <w:spacing w:val="2"/>
        </w:rPr>
        <w:t>significado, </w:t>
      </w:r>
      <w:r>
        <w:rPr>
          <w:color w:val="231F20"/>
        </w:rPr>
        <w:t>las </w:t>
      </w:r>
      <w:r>
        <w:rPr>
          <w:color w:val="231F20"/>
          <w:spacing w:val="2"/>
        </w:rPr>
        <w:t>expresiones, </w:t>
      </w:r>
      <w:r>
        <w:rPr>
          <w:color w:val="231F20"/>
        </w:rPr>
        <w:t>y </w:t>
      </w:r>
      <w:r>
        <w:rPr>
          <w:color w:val="231F20"/>
          <w:spacing w:val="2"/>
        </w:rPr>
        <w:t>los alcances </w:t>
      </w:r>
      <w:r>
        <w:rPr>
          <w:color w:val="231F20"/>
        </w:rPr>
        <w:t>de la </w:t>
      </w:r>
      <w:r>
        <w:rPr>
          <w:color w:val="231F20"/>
          <w:spacing w:val="3"/>
        </w:rPr>
        <w:t>pro- </w:t>
      </w:r>
      <w:r>
        <w:rPr>
          <w:color w:val="231F20"/>
          <w:spacing w:val="2"/>
        </w:rPr>
        <w:t>blemática </w:t>
      </w:r>
      <w:r>
        <w:rPr>
          <w:color w:val="231F20"/>
        </w:rPr>
        <w:t>de </w:t>
      </w:r>
      <w:r>
        <w:rPr>
          <w:color w:val="231F20"/>
          <w:spacing w:val="2"/>
        </w:rPr>
        <w:t>esta. </w:t>
      </w:r>
      <w:r>
        <w:rPr>
          <w:color w:val="231F20"/>
          <w:spacing w:val="3"/>
        </w:rPr>
        <w:t>Como </w:t>
      </w:r>
      <w:r>
        <w:rPr>
          <w:color w:val="231F20"/>
        </w:rPr>
        <w:t>ya se ha </w:t>
      </w:r>
      <w:r>
        <w:rPr>
          <w:color w:val="231F20"/>
          <w:spacing w:val="3"/>
        </w:rPr>
        <w:t>anotado, </w:t>
      </w:r>
      <w:r>
        <w:rPr>
          <w:color w:val="231F20"/>
        </w:rPr>
        <w:t>la </w:t>
      </w:r>
      <w:r>
        <w:rPr>
          <w:color w:val="231F20"/>
          <w:spacing w:val="2"/>
        </w:rPr>
        <w:t>violencia escolar </w:t>
      </w:r>
      <w:r>
        <w:rPr>
          <w:color w:val="231F20"/>
        </w:rPr>
        <w:t>ha </w:t>
      </w:r>
      <w:r>
        <w:rPr>
          <w:color w:val="231F20"/>
          <w:spacing w:val="2"/>
        </w:rPr>
        <w:t>estado siempre presente pero </w:t>
      </w:r>
      <w:r>
        <w:rPr>
          <w:color w:val="231F20"/>
        </w:rPr>
        <w:t>ha </w:t>
      </w:r>
      <w:r>
        <w:rPr>
          <w:color w:val="231F20"/>
          <w:spacing w:val="2"/>
        </w:rPr>
        <w:t>sido ocultada </w:t>
      </w:r>
      <w:r>
        <w:rPr>
          <w:color w:val="231F20"/>
        </w:rPr>
        <w:t>y </w:t>
      </w:r>
      <w:r>
        <w:rPr>
          <w:color w:val="231F20"/>
          <w:spacing w:val="2"/>
        </w:rPr>
        <w:t>silenciada por razones históricas diversas, algunas </w:t>
      </w:r>
      <w:r>
        <w:rPr>
          <w:color w:val="231F20"/>
        </w:rPr>
        <w:t>de las </w:t>
      </w:r>
      <w:r>
        <w:rPr>
          <w:color w:val="231F20"/>
          <w:spacing w:val="2"/>
        </w:rPr>
        <w:t>cuales </w:t>
      </w:r>
      <w:r>
        <w:rPr>
          <w:color w:val="231F20"/>
          <w:spacing w:val="3"/>
        </w:rPr>
        <w:t>pretendemos </w:t>
      </w:r>
      <w:r>
        <w:rPr>
          <w:color w:val="231F20"/>
          <w:spacing w:val="2"/>
        </w:rPr>
        <w:t>explicar más adelante. </w:t>
      </w:r>
      <w:r>
        <w:rPr>
          <w:color w:val="231F20"/>
        </w:rPr>
        <w:t>En </w:t>
      </w:r>
      <w:r>
        <w:rPr>
          <w:color w:val="231F20"/>
          <w:spacing w:val="2"/>
        </w:rPr>
        <w:t>todo caso, </w:t>
      </w:r>
      <w:r>
        <w:rPr>
          <w:color w:val="231F20"/>
        </w:rPr>
        <w:t>lo </w:t>
      </w:r>
      <w:r>
        <w:rPr>
          <w:color w:val="231F20"/>
          <w:spacing w:val="3"/>
        </w:rPr>
        <w:t>novedoso </w:t>
      </w:r>
      <w:r>
        <w:rPr>
          <w:color w:val="231F20"/>
        </w:rPr>
        <w:t>es </w:t>
      </w:r>
      <w:r>
        <w:rPr>
          <w:color w:val="231F20"/>
          <w:spacing w:val="2"/>
        </w:rPr>
        <w:t>que emerge </w:t>
      </w:r>
      <w:r>
        <w:rPr>
          <w:color w:val="231F20"/>
        </w:rPr>
        <w:t>a  la </w:t>
      </w:r>
      <w:r>
        <w:rPr>
          <w:color w:val="231F20"/>
          <w:spacing w:val="2"/>
        </w:rPr>
        <w:t>superficie </w:t>
      </w:r>
      <w:r>
        <w:rPr>
          <w:color w:val="231F20"/>
        </w:rPr>
        <w:t>a </w:t>
      </w:r>
      <w:r>
        <w:rPr>
          <w:color w:val="231F20"/>
          <w:spacing w:val="2"/>
        </w:rPr>
        <w:t>través </w:t>
      </w:r>
      <w:r>
        <w:rPr>
          <w:color w:val="231F20"/>
        </w:rPr>
        <w:t>de </w:t>
      </w:r>
      <w:r>
        <w:rPr>
          <w:color w:val="231F20"/>
          <w:spacing w:val="3"/>
        </w:rPr>
        <w:t>comportamientos </w:t>
      </w:r>
      <w:r>
        <w:rPr>
          <w:color w:val="231F20"/>
          <w:spacing w:val="2"/>
        </w:rPr>
        <w:t>que </w:t>
      </w:r>
      <w:r>
        <w:rPr>
          <w:color w:val="231F20"/>
        </w:rPr>
        <w:t>se </w:t>
      </w:r>
      <w:r>
        <w:rPr>
          <w:color w:val="231F20"/>
          <w:spacing w:val="2"/>
        </w:rPr>
        <w:t>agravan día </w:t>
      </w:r>
      <w:r>
        <w:rPr>
          <w:color w:val="231F20"/>
        </w:rPr>
        <w:t>a </w:t>
      </w:r>
      <w:r>
        <w:rPr>
          <w:color w:val="231F20"/>
          <w:spacing w:val="2"/>
        </w:rPr>
        <w:t>día con características </w:t>
      </w:r>
      <w:r>
        <w:rPr>
          <w:color w:val="231F20"/>
        </w:rPr>
        <w:t>y </w:t>
      </w:r>
      <w:r>
        <w:rPr>
          <w:color w:val="231F20"/>
          <w:spacing w:val="2"/>
        </w:rPr>
        <w:t>con resultados distintivos. </w:t>
      </w:r>
      <w:r>
        <w:rPr>
          <w:color w:val="231F20"/>
        </w:rPr>
        <w:t>En </w:t>
      </w:r>
      <w:r>
        <w:rPr>
          <w:color w:val="231F20"/>
          <w:spacing w:val="3"/>
        </w:rPr>
        <w:t>términos con- </w:t>
      </w:r>
      <w:r>
        <w:rPr>
          <w:color w:val="231F20"/>
          <w:spacing w:val="2"/>
        </w:rPr>
        <w:t>ceptuales, </w:t>
      </w:r>
      <w:r>
        <w:rPr>
          <w:color w:val="231F20"/>
          <w:spacing w:val="3"/>
        </w:rPr>
        <w:t>Marchori </w:t>
      </w:r>
      <w:r>
        <w:rPr>
          <w:color w:val="231F20"/>
          <w:spacing w:val="2"/>
        </w:rPr>
        <w:t>(2011) sostiene que </w:t>
      </w:r>
      <w:r>
        <w:rPr>
          <w:color w:val="231F20"/>
        </w:rPr>
        <w:t>la </w:t>
      </w:r>
      <w:r>
        <w:rPr>
          <w:color w:val="231F20"/>
          <w:spacing w:val="2"/>
        </w:rPr>
        <w:t>violencia escolar </w:t>
      </w:r>
      <w:r>
        <w:rPr>
          <w:color w:val="231F20"/>
        </w:rPr>
        <w:t>es </w:t>
      </w:r>
      <w:r>
        <w:rPr>
          <w:color w:val="231F20"/>
          <w:spacing w:val="2"/>
        </w:rPr>
        <w:t>una violencia particular </w:t>
      </w:r>
      <w:r>
        <w:rPr>
          <w:color w:val="231F20"/>
        </w:rPr>
        <w:t>que se </w:t>
      </w:r>
      <w:r>
        <w:rPr>
          <w:color w:val="231F20"/>
          <w:spacing w:val="2"/>
        </w:rPr>
        <w:t>caracteriza por los siguientes </w:t>
      </w:r>
      <w:r>
        <w:rPr>
          <w:color w:val="231F20"/>
          <w:spacing w:val="3"/>
        </w:rPr>
        <w:t>elemen- </w:t>
      </w:r>
      <w:r>
        <w:rPr>
          <w:color w:val="231F20"/>
          <w:spacing w:val="2"/>
        </w:rPr>
        <w:t>tos: </w:t>
      </w:r>
      <w:r>
        <w:rPr>
          <w:color w:val="231F20"/>
        </w:rPr>
        <w:t>el </w:t>
      </w:r>
      <w:r>
        <w:rPr>
          <w:color w:val="231F20"/>
          <w:spacing w:val="2"/>
        </w:rPr>
        <w:t>espacio </w:t>
      </w:r>
      <w:r>
        <w:rPr>
          <w:color w:val="231F20"/>
        </w:rPr>
        <w:t>de </w:t>
      </w:r>
      <w:r>
        <w:rPr>
          <w:color w:val="231F20"/>
          <w:spacing w:val="2"/>
        </w:rPr>
        <w:t>victimización </w:t>
      </w:r>
      <w:r>
        <w:rPr>
          <w:color w:val="231F20"/>
        </w:rPr>
        <w:t>que es la </w:t>
      </w:r>
      <w:r>
        <w:rPr>
          <w:color w:val="231F20"/>
          <w:spacing w:val="2"/>
        </w:rPr>
        <w:t>propia escuela, </w:t>
      </w:r>
      <w:r>
        <w:rPr>
          <w:color w:val="231F20"/>
        </w:rPr>
        <w:t>el </w:t>
      </w:r>
      <w:r>
        <w:rPr>
          <w:color w:val="231F20"/>
          <w:spacing w:val="2"/>
        </w:rPr>
        <w:t>lugar </w:t>
      </w:r>
      <w:r>
        <w:rPr>
          <w:color w:val="231F20"/>
          <w:spacing w:val="3"/>
        </w:rPr>
        <w:t>donde </w:t>
      </w:r>
      <w:r>
        <w:rPr>
          <w:color w:val="231F20"/>
        </w:rPr>
        <w:t>se </w:t>
      </w:r>
      <w:r>
        <w:rPr>
          <w:color w:val="231F20"/>
          <w:spacing w:val="2"/>
        </w:rPr>
        <w:t>desarrolla </w:t>
      </w:r>
      <w:r>
        <w:rPr>
          <w:color w:val="231F20"/>
        </w:rPr>
        <w:t>el </w:t>
      </w:r>
      <w:r>
        <w:rPr>
          <w:color w:val="231F20"/>
          <w:spacing w:val="2"/>
        </w:rPr>
        <w:t>proceso educativo; los participantes </w:t>
      </w:r>
      <w:r>
        <w:rPr>
          <w:color w:val="231F20"/>
        </w:rPr>
        <w:t>de la </w:t>
      </w:r>
      <w:r>
        <w:rPr>
          <w:color w:val="231F20"/>
          <w:spacing w:val="2"/>
        </w:rPr>
        <w:t>violencia, </w:t>
      </w:r>
      <w:r>
        <w:rPr>
          <w:color w:val="231F20"/>
        </w:rPr>
        <w:t>en </w:t>
      </w:r>
      <w:r>
        <w:rPr>
          <w:color w:val="231F20"/>
          <w:spacing w:val="3"/>
        </w:rPr>
        <w:t>numerosos </w:t>
      </w:r>
      <w:r>
        <w:rPr>
          <w:color w:val="231F20"/>
          <w:spacing w:val="2"/>
        </w:rPr>
        <w:t>casos, son </w:t>
      </w:r>
      <w:r>
        <w:rPr>
          <w:color w:val="231F20"/>
          <w:spacing w:val="3"/>
        </w:rPr>
        <w:t>alumnos, personal </w:t>
      </w:r>
      <w:r>
        <w:rPr>
          <w:color w:val="231F20"/>
          <w:spacing w:val="2"/>
        </w:rPr>
        <w:t>docente, autoridades, </w:t>
      </w:r>
      <w:r>
        <w:rPr>
          <w:color w:val="231F20"/>
          <w:spacing w:val="3"/>
        </w:rPr>
        <w:t>preceptores </w:t>
      </w:r>
      <w:r>
        <w:rPr>
          <w:color w:val="231F20"/>
          <w:spacing w:val="2"/>
        </w:rPr>
        <w:t>escolares, </w:t>
      </w:r>
      <w:r>
        <w:rPr>
          <w:color w:val="231F20"/>
        </w:rPr>
        <w:t>que </w:t>
      </w:r>
      <w:r>
        <w:rPr>
          <w:color w:val="231F20"/>
          <w:spacing w:val="2"/>
        </w:rPr>
        <w:t>participanal </w:t>
      </w:r>
      <w:r>
        <w:rPr>
          <w:color w:val="231F20"/>
        </w:rPr>
        <w:t>no </w:t>
      </w:r>
      <w:r>
        <w:rPr>
          <w:color w:val="231F20"/>
          <w:spacing w:val="2"/>
        </w:rPr>
        <w:t>controlar, con </w:t>
      </w:r>
      <w:r>
        <w:rPr>
          <w:color w:val="231F20"/>
        </w:rPr>
        <w:t>su </w:t>
      </w:r>
      <w:r>
        <w:rPr>
          <w:color w:val="231F20"/>
          <w:spacing w:val="2"/>
        </w:rPr>
        <w:t>propia </w:t>
      </w:r>
      <w:r>
        <w:rPr>
          <w:color w:val="231F20"/>
          <w:spacing w:val="3"/>
        </w:rPr>
        <w:t>vulnerabilidad, </w:t>
      </w:r>
      <w:r>
        <w:rPr>
          <w:color w:val="231F20"/>
        </w:rPr>
        <w:t>la </w:t>
      </w:r>
      <w:r>
        <w:rPr>
          <w:color w:val="231F20"/>
          <w:spacing w:val="2"/>
        </w:rPr>
        <w:t>violenciapor diversos </w:t>
      </w:r>
      <w:r>
        <w:rPr>
          <w:color w:val="231F20"/>
          <w:spacing w:val="3"/>
        </w:rPr>
        <w:t>motivos; </w:t>
      </w:r>
      <w:r>
        <w:rPr>
          <w:color w:val="231F20"/>
        </w:rPr>
        <w:t>la </w:t>
      </w:r>
      <w:r>
        <w:rPr>
          <w:color w:val="231F20"/>
          <w:spacing w:val="2"/>
        </w:rPr>
        <w:t>institución favorece </w:t>
      </w:r>
      <w:r>
        <w:rPr>
          <w:color w:val="231F20"/>
        </w:rPr>
        <w:t>un </w:t>
      </w:r>
      <w:r>
        <w:rPr>
          <w:color w:val="231F20"/>
          <w:spacing w:val="3"/>
        </w:rPr>
        <w:t>mayor </w:t>
      </w:r>
      <w:r>
        <w:rPr>
          <w:color w:val="231F20"/>
          <w:spacing w:val="2"/>
        </w:rPr>
        <w:t>grado </w:t>
      </w:r>
      <w:r>
        <w:rPr>
          <w:color w:val="231F20"/>
        </w:rPr>
        <w:t>de </w:t>
      </w:r>
      <w:r>
        <w:rPr>
          <w:color w:val="231F20"/>
          <w:spacing w:val="2"/>
        </w:rPr>
        <w:t>permisibilidad </w:t>
      </w:r>
      <w:r>
        <w:rPr>
          <w:color w:val="231F20"/>
        </w:rPr>
        <w:t>y en esa </w:t>
      </w:r>
      <w:r>
        <w:rPr>
          <w:color w:val="231F20"/>
          <w:spacing w:val="2"/>
        </w:rPr>
        <w:t>medida </w:t>
      </w:r>
      <w:r>
        <w:rPr>
          <w:color w:val="231F20"/>
        </w:rPr>
        <w:t>se </w:t>
      </w:r>
      <w:r>
        <w:rPr>
          <w:color w:val="231F20"/>
          <w:spacing w:val="2"/>
        </w:rPr>
        <w:t>agravan </w:t>
      </w:r>
      <w:r>
        <w:rPr>
          <w:color w:val="231F20"/>
        </w:rPr>
        <w:t>los </w:t>
      </w:r>
      <w:r>
        <w:rPr>
          <w:color w:val="231F20"/>
          <w:spacing w:val="3"/>
        </w:rPr>
        <w:t>comportamientos </w:t>
      </w:r>
      <w:r>
        <w:rPr>
          <w:color w:val="231F20"/>
          <w:spacing w:val="2"/>
        </w:rPr>
        <w:t>violentos </w:t>
      </w:r>
      <w:r>
        <w:rPr>
          <w:color w:val="231F20"/>
        </w:rPr>
        <w:t>que </w:t>
      </w:r>
      <w:r>
        <w:rPr>
          <w:color w:val="231F20"/>
          <w:spacing w:val="2"/>
        </w:rPr>
        <w:t>desvalori- </w:t>
      </w:r>
      <w:r>
        <w:rPr>
          <w:color w:val="231F20"/>
        </w:rPr>
        <w:t>zan el </w:t>
      </w:r>
      <w:r>
        <w:rPr>
          <w:color w:val="231F20"/>
          <w:spacing w:val="2"/>
        </w:rPr>
        <w:t>papel </w:t>
      </w:r>
      <w:r>
        <w:rPr>
          <w:color w:val="231F20"/>
        </w:rPr>
        <w:t>y la </w:t>
      </w:r>
      <w:r>
        <w:rPr>
          <w:color w:val="231F20"/>
          <w:spacing w:val="2"/>
        </w:rPr>
        <w:t>función social del maestro, </w:t>
      </w:r>
      <w:r>
        <w:rPr>
          <w:color w:val="231F20"/>
        </w:rPr>
        <w:t>y </w:t>
      </w:r>
      <w:r>
        <w:rPr>
          <w:color w:val="231F20"/>
          <w:spacing w:val="2"/>
        </w:rPr>
        <w:t>deterioran </w:t>
      </w:r>
      <w:r>
        <w:rPr>
          <w:color w:val="231F20"/>
        </w:rPr>
        <w:t>la</w:t>
      </w:r>
      <w:r>
        <w:rPr>
          <w:color w:val="231F20"/>
          <w:spacing w:val="3"/>
        </w:rPr>
        <w:t> infraes-</w:t>
      </w:r>
    </w:p>
    <w:p>
      <w:pPr>
        <w:spacing w:after="0" w:line="249" w:lineRule="auto"/>
        <w:jc w:val="both"/>
        <w:sectPr>
          <w:headerReference w:type="default" r:id="rId259"/>
          <w:footerReference w:type="default" r:id="rId260"/>
          <w:pgSz w:w="7830" w:h="11910"/>
          <w:pgMar w:header="0" w:footer="424" w:top="500" w:bottom="620" w:left="920" w:right="900"/>
          <w:pgNumType w:start="11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5"/>
        <w:jc w:val="both"/>
      </w:pPr>
      <w:r>
        <w:rPr>
          <w:color w:val="231F20"/>
        </w:rPr>
        <w:t>tructura edilicia escolar, debido a la falta de mantenimiento, lo que se constituye en unos de los símbolos más visibles de la desorga- nización y violencia escolar: la existencia de una línea endeble entre autores de los hechos de violencia y las víctimas (2011).</w:t>
      </w:r>
    </w:p>
    <w:p>
      <w:pPr>
        <w:pStyle w:val="BodyText"/>
        <w:spacing w:line="249" w:lineRule="auto" w:before="1"/>
        <w:ind w:left="101" w:right="113" w:firstLine="284"/>
        <w:jc w:val="both"/>
      </w:pPr>
      <w:r>
        <w:rPr>
          <w:color w:val="231F20"/>
          <w:spacing w:val="2"/>
        </w:rPr>
        <w:t>Estas líneas son </w:t>
      </w:r>
      <w:r>
        <w:rPr>
          <w:color w:val="231F20"/>
          <w:spacing w:val="3"/>
        </w:rPr>
        <w:t>fundamentales </w:t>
      </w:r>
      <w:r>
        <w:rPr>
          <w:color w:val="231F20"/>
          <w:spacing w:val="2"/>
        </w:rPr>
        <w:t>porque permiten dilucidar </w:t>
      </w:r>
      <w:r>
        <w:rPr>
          <w:color w:val="231F20"/>
        </w:rPr>
        <w:t>y </w:t>
      </w:r>
      <w:r>
        <w:rPr>
          <w:color w:val="231F20"/>
          <w:spacing w:val="2"/>
        </w:rPr>
        <w:t>trazar una agenda </w:t>
      </w:r>
      <w:r>
        <w:rPr>
          <w:color w:val="231F20"/>
        </w:rPr>
        <w:t>de </w:t>
      </w:r>
      <w:r>
        <w:rPr>
          <w:color w:val="231F20"/>
          <w:spacing w:val="2"/>
        </w:rPr>
        <w:t>investigación </w:t>
      </w:r>
      <w:r>
        <w:rPr>
          <w:color w:val="231F20"/>
        </w:rPr>
        <w:t>en </w:t>
      </w:r>
      <w:r>
        <w:rPr>
          <w:color w:val="231F20"/>
          <w:spacing w:val="2"/>
        </w:rPr>
        <w:t>torno </w:t>
      </w:r>
      <w:r>
        <w:rPr>
          <w:color w:val="231F20"/>
        </w:rPr>
        <w:t>a </w:t>
      </w:r>
      <w:r>
        <w:rPr>
          <w:color w:val="231F20"/>
          <w:spacing w:val="2"/>
        </w:rPr>
        <w:t>qué </w:t>
      </w:r>
      <w:r>
        <w:rPr>
          <w:color w:val="231F20"/>
        </w:rPr>
        <w:t>es la </w:t>
      </w:r>
      <w:r>
        <w:rPr>
          <w:color w:val="231F20"/>
          <w:spacing w:val="3"/>
        </w:rPr>
        <w:t>violencia, </w:t>
      </w:r>
      <w:r>
        <w:rPr>
          <w:color w:val="231F20"/>
          <w:spacing w:val="2"/>
        </w:rPr>
        <w:t>cuál </w:t>
      </w:r>
      <w:r>
        <w:rPr>
          <w:color w:val="231F20"/>
        </w:rPr>
        <w:t>es su </w:t>
      </w:r>
      <w:r>
        <w:rPr>
          <w:color w:val="231F20"/>
          <w:spacing w:val="2"/>
        </w:rPr>
        <w:t>origen, los </w:t>
      </w:r>
      <w:r>
        <w:rPr>
          <w:color w:val="231F20"/>
          <w:spacing w:val="3"/>
        </w:rPr>
        <w:t>motivos </w:t>
      </w:r>
      <w:r>
        <w:rPr>
          <w:color w:val="231F20"/>
        </w:rPr>
        <w:t>que </w:t>
      </w:r>
      <w:r>
        <w:rPr>
          <w:color w:val="231F20"/>
          <w:spacing w:val="2"/>
        </w:rPr>
        <w:t>explican por qué </w:t>
      </w:r>
      <w:r>
        <w:rPr>
          <w:color w:val="231F20"/>
        </w:rPr>
        <w:t>la </w:t>
      </w:r>
      <w:r>
        <w:rPr>
          <w:color w:val="231F20"/>
          <w:spacing w:val="2"/>
        </w:rPr>
        <w:t>brecha entre los discursos, los lenguajes que </w:t>
      </w:r>
      <w:r>
        <w:rPr>
          <w:color w:val="231F20"/>
          <w:spacing w:val="3"/>
        </w:rPr>
        <w:t>moldean </w:t>
      </w:r>
      <w:r>
        <w:rPr>
          <w:color w:val="231F20"/>
        </w:rPr>
        <w:t>y </w:t>
      </w:r>
      <w:r>
        <w:rPr>
          <w:color w:val="231F20"/>
          <w:spacing w:val="2"/>
        </w:rPr>
        <w:t>los fines que justifican  </w:t>
      </w:r>
      <w:r>
        <w:rPr>
          <w:color w:val="231F20"/>
        </w:rPr>
        <w:t>la </w:t>
      </w:r>
      <w:r>
        <w:rPr>
          <w:color w:val="231F20"/>
          <w:spacing w:val="2"/>
        </w:rPr>
        <w:t>escuela </w:t>
      </w:r>
      <w:r>
        <w:rPr>
          <w:color w:val="231F20"/>
        </w:rPr>
        <w:t>y las </w:t>
      </w:r>
      <w:r>
        <w:rPr>
          <w:color w:val="231F20"/>
          <w:spacing w:val="2"/>
        </w:rPr>
        <w:t>prácticas, usos, actitudes </w:t>
      </w:r>
      <w:r>
        <w:rPr>
          <w:color w:val="231F20"/>
        </w:rPr>
        <w:t>y </w:t>
      </w:r>
      <w:r>
        <w:rPr>
          <w:color w:val="231F20"/>
          <w:spacing w:val="2"/>
        </w:rPr>
        <w:t>acciones que serían propias </w:t>
      </w:r>
      <w:r>
        <w:rPr>
          <w:color w:val="231F20"/>
        </w:rPr>
        <w:t>de la </w:t>
      </w:r>
      <w:r>
        <w:rPr>
          <w:color w:val="231F20"/>
          <w:spacing w:val="2"/>
        </w:rPr>
        <w:t>violencia </w:t>
      </w:r>
      <w:r>
        <w:rPr>
          <w:color w:val="231F20"/>
        </w:rPr>
        <w:t>se ha </w:t>
      </w:r>
      <w:r>
        <w:rPr>
          <w:color w:val="231F20"/>
          <w:spacing w:val="2"/>
        </w:rPr>
        <w:t>ido </w:t>
      </w:r>
      <w:r>
        <w:rPr>
          <w:color w:val="231F20"/>
          <w:spacing w:val="3"/>
        </w:rPr>
        <w:t>ensanchando. </w:t>
      </w:r>
      <w:r>
        <w:rPr>
          <w:color w:val="231F20"/>
        </w:rPr>
        <w:t>En </w:t>
      </w:r>
      <w:r>
        <w:rPr>
          <w:color w:val="231F20"/>
          <w:spacing w:val="2"/>
        </w:rPr>
        <w:t>esta </w:t>
      </w:r>
      <w:r>
        <w:rPr>
          <w:color w:val="231F20"/>
          <w:spacing w:val="3"/>
        </w:rPr>
        <w:t>dirección,</w:t>
      </w:r>
      <w:r>
        <w:rPr>
          <w:color w:val="231F20"/>
          <w:spacing w:val="58"/>
        </w:rPr>
        <w:t> </w:t>
      </w:r>
      <w:r>
        <w:rPr>
          <w:color w:val="231F20"/>
        </w:rPr>
        <w:t>de </w:t>
      </w:r>
      <w:r>
        <w:rPr>
          <w:color w:val="231F20"/>
          <w:spacing w:val="2"/>
        </w:rPr>
        <w:t>acuerdo con </w:t>
      </w:r>
      <w:r>
        <w:rPr>
          <w:color w:val="231F20"/>
          <w:spacing w:val="3"/>
        </w:rPr>
        <w:t>Camargo </w:t>
      </w:r>
      <w:r>
        <w:rPr>
          <w:color w:val="231F20"/>
          <w:spacing w:val="2"/>
        </w:rPr>
        <w:t>(2011), </w:t>
      </w:r>
      <w:r>
        <w:rPr>
          <w:color w:val="231F20"/>
        </w:rPr>
        <w:t>en la </w:t>
      </w:r>
      <w:r>
        <w:rPr>
          <w:color w:val="231F20"/>
          <w:spacing w:val="2"/>
        </w:rPr>
        <w:t>institución educativa </w:t>
      </w:r>
      <w:r>
        <w:rPr>
          <w:color w:val="231F20"/>
        </w:rPr>
        <w:t>se dan </w:t>
      </w:r>
      <w:r>
        <w:rPr>
          <w:color w:val="231F20"/>
          <w:spacing w:val="2"/>
        </w:rPr>
        <w:t>diferentes </w:t>
      </w:r>
      <w:r>
        <w:rPr>
          <w:color w:val="231F20"/>
          <w:spacing w:val="3"/>
        </w:rPr>
        <w:t>procesos </w:t>
      </w:r>
      <w:r>
        <w:rPr>
          <w:color w:val="231F20"/>
          <w:spacing w:val="2"/>
        </w:rPr>
        <w:t>interactivos, </w:t>
      </w:r>
      <w:r>
        <w:rPr>
          <w:color w:val="231F20"/>
        </w:rPr>
        <w:t>no </w:t>
      </w:r>
      <w:r>
        <w:rPr>
          <w:color w:val="231F20"/>
          <w:spacing w:val="2"/>
        </w:rPr>
        <w:t>solo interpersonales, </w:t>
      </w:r>
      <w:r>
        <w:rPr>
          <w:color w:val="231F20"/>
          <w:spacing w:val="3"/>
        </w:rPr>
        <w:t>sino </w:t>
      </w:r>
      <w:r>
        <w:rPr>
          <w:color w:val="231F20"/>
          <w:spacing w:val="2"/>
        </w:rPr>
        <w:t>también </w:t>
      </w:r>
      <w:r>
        <w:rPr>
          <w:color w:val="231F20"/>
        </w:rPr>
        <w:t>en </w:t>
      </w:r>
      <w:r>
        <w:rPr>
          <w:color w:val="231F20"/>
          <w:spacing w:val="2"/>
        </w:rPr>
        <w:t>relación con </w:t>
      </w:r>
      <w:r>
        <w:rPr>
          <w:color w:val="231F20"/>
        </w:rPr>
        <w:t>el </w:t>
      </w:r>
      <w:r>
        <w:rPr>
          <w:color w:val="231F20"/>
          <w:spacing w:val="3"/>
        </w:rPr>
        <w:t>conocimiento </w:t>
      </w:r>
      <w:r>
        <w:rPr>
          <w:color w:val="231F20"/>
        </w:rPr>
        <w:t>y </w:t>
      </w:r>
      <w:r>
        <w:rPr>
          <w:color w:val="231F20"/>
          <w:spacing w:val="2"/>
        </w:rPr>
        <w:t>con </w:t>
      </w:r>
      <w:r>
        <w:rPr>
          <w:color w:val="231F20"/>
        </w:rPr>
        <w:t>las </w:t>
      </w:r>
      <w:r>
        <w:rPr>
          <w:color w:val="231F20"/>
          <w:spacing w:val="3"/>
        </w:rPr>
        <w:t>normas, regla- </w:t>
      </w:r>
      <w:r>
        <w:rPr>
          <w:color w:val="231F20"/>
          <w:spacing w:val="2"/>
        </w:rPr>
        <w:t>mentos </w:t>
      </w:r>
      <w:r>
        <w:rPr>
          <w:color w:val="231F20"/>
        </w:rPr>
        <w:t>y </w:t>
      </w:r>
      <w:r>
        <w:rPr>
          <w:color w:val="231F20"/>
          <w:spacing w:val="2"/>
        </w:rPr>
        <w:t>componentes </w:t>
      </w:r>
      <w:r>
        <w:rPr>
          <w:color w:val="231F20"/>
        </w:rPr>
        <w:t>de la </w:t>
      </w:r>
      <w:r>
        <w:rPr>
          <w:color w:val="231F20"/>
          <w:spacing w:val="2"/>
        </w:rPr>
        <w:t>organización </w:t>
      </w:r>
      <w:r>
        <w:rPr>
          <w:color w:val="231F20"/>
        </w:rPr>
        <w:t>y </w:t>
      </w:r>
      <w:r>
        <w:rPr>
          <w:color w:val="231F20"/>
          <w:spacing w:val="2"/>
        </w:rPr>
        <w:t>administración </w:t>
      </w:r>
      <w:r>
        <w:rPr>
          <w:color w:val="231F20"/>
          <w:spacing w:val="4"/>
        </w:rPr>
        <w:t>esco-  </w:t>
      </w:r>
      <w:r>
        <w:rPr>
          <w:color w:val="231F20"/>
        </w:rPr>
        <w:t>lar que </w:t>
      </w:r>
      <w:r>
        <w:rPr>
          <w:color w:val="231F20"/>
          <w:spacing w:val="2"/>
        </w:rPr>
        <w:t>pueden constituirse </w:t>
      </w:r>
      <w:r>
        <w:rPr>
          <w:color w:val="231F20"/>
        </w:rPr>
        <w:t>en </w:t>
      </w:r>
      <w:r>
        <w:rPr>
          <w:color w:val="231F20"/>
          <w:spacing w:val="2"/>
        </w:rPr>
        <w:t>factores </w:t>
      </w:r>
      <w:r>
        <w:rPr>
          <w:color w:val="231F20"/>
        </w:rPr>
        <w:t>de </w:t>
      </w:r>
      <w:r>
        <w:rPr>
          <w:color w:val="231F20"/>
          <w:spacing w:val="2"/>
        </w:rPr>
        <w:t>agresión, tensión </w:t>
      </w:r>
      <w:r>
        <w:rPr>
          <w:color w:val="231F20"/>
        </w:rPr>
        <w:t>y, a </w:t>
      </w:r>
      <w:r>
        <w:rPr>
          <w:color w:val="231F20"/>
          <w:spacing w:val="2"/>
        </w:rPr>
        <w:t>veces, violencia entre </w:t>
      </w:r>
      <w:r>
        <w:rPr>
          <w:color w:val="231F20"/>
          <w:spacing w:val="3"/>
        </w:rPr>
        <w:t>todos </w:t>
      </w:r>
      <w:r>
        <w:rPr>
          <w:color w:val="231F20"/>
        </w:rPr>
        <w:t>sus </w:t>
      </w:r>
      <w:r>
        <w:rPr>
          <w:color w:val="231F20"/>
          <w:spacing w:val="3"/>
        </w:rPr>
        <w:t>miembros: </w:t>
      </w:r>
      <w:r>
        <w:rPr>
          <w:color w:val="231F20"/>
          <w:spacing w:val="2"/>
        </w:rPr>
        <w:t>del maestro hacia </w:t>
      </w:r>
      <w:r>
        <w:rPr>
          <w:color w:val="231F20"/>
          <w:spacing w:val="3"/>
        </w:rPr>
        <w:t>el </w:t>
      </w:r>
      <w:r>
        <w:rPr>
          <w:color w:val="231F20"/>
          <w:spacing w:val="2"/>
        </w:rPr>
        <w:t>alumno </w:t>
      </w:r>
      <w:r>
        <w:rPr>
          <w:color w:val="231F20"/>
        </w:rPr>
        <w:t>y de </w:t>
      </w:r>
      <w:r>
        <w:rPr>
          <w:color w:val="231F20"/>
          <w:spacing w:val="2"/>
        </w:rPr>
        <w:t>este hacia </w:t>
      </w:r>
      <w:r>
        <w:rPr>
          <w:color w:val="231F20"/>
        </w:rPr>
        <w:t>el </w:t>
      </w:r>
      <w:r>
        <w:rPr>
          <w:color w:val="231F20"/>
          <w:spacing w:val="3"/>
        </w:rPr>
        <w:t>maestro, </w:t>
      </w:r>
      <w:r>
        <w:rPr>
          <w:color w:val="231F20"/>
          <w:spacing w:val="2"/>
        </w:rPr>
        <w:t>entre </w:t>
      </w:r>
      <w:r>
        <w:rPr>
          <w:color w:val="231F20"/>
          <w:spacing w:val="3"/>
        </w:rPr>
        <w:t>alumnos, </w:t>
      </w:r>
      <w:r>
        <w:rPr>
          <w:color w:val="231F20"/>
        </w:rPr>
        <w:t>de la </w:t>
      </w:r>
      <w:r>
        <w:rPr>
          <w:color w:val="231F20"/>
          <w:spacing w:val="2"/>
        </w:rPr>
        <w:t>comuni- dad hacia </w:t>
      </w:r>
      <w:r>
        <w:rPr>
          <w:color w:val="231F20"/>
        </w:rPr>
        <w:t>el </w:t>
      </w:r>
      <w:r>
        <w:rPr>
          <w:color w:val="231F20"/>
          <w:spacing w:val="3"/>
        </w:rPr>
        <w:t>maestro, </w:t>
      </w:r>
      <w:r>
        <w:rPr>
          <w:color w:val="231F20"/>
        </w:rPr>
        <w:t>y </w:t>
      </w:r>
      <w:r>
        <w:rPr>
          <w:color w:val="231F20"/>
          <w:spacing w:val="2"/>
        </w:rPr>
        <w:t>entre </w:t>
      </w:r>
      <w:r>
        <w:rPr>
          <w:color w:val="231F20"/>
          <w:spacing w:val="3"/>
        </w:rPr>
        <w:t>maestros. Camargo introduce </w:t>
      </w:r>
      <w:r>
        <w:rPr>
          <w:color w:val="231F20"/>
        </w:rPr>
        <w:t>un </w:t>
      </w:r>
      <w:r>
        <w:rPr>
          <w:color w:val="231F20"/>
          <w:spacing w:val="3"/>
        </w:rPr>
        <w:t>concepto </w:t>
      </w:r>
      <w:r>
        <w:rPr>
          <w:color w:val="231F20"/>
        </w:rPr>
        <w:t>que </w:t>
      </w:r>
      <w:r>
        <w:rPr>
          <w:color w:val="231F20"/>
          <w:spacing w:val="2"/>
        </w:rPr>
        <w:t>puede </w:t>
      </w:r>
      <w:r>
        <w:rPr>
          <w:color w:val="231F20"/>
        </w:rPr>
        <w:t>ser útil </w:t>
      </w:r>
      <w:r>
        <w:rPr>
          <w:color w:val="231F20"/>
          <w:spacing w:val="2"/>
        </w:rPr>
        <w:t>para </w:t>
      </w:r>
      <w:r>
        <w:rPr>
          <w:color w:val="231F20"/>
          <w:spacing w:val="3"/>
        </w:rPr>
        <w:t>comprender </w:t>
      </w:r>
      <w:r>
        <w:rPr>
          <w:color w:val="231F20"/>
          <w:spacing w:val="2"/>
        </w:rPr>
        <w:t>algunas causas </w:t>
      </w:r>
      <w:r>
        <w:rPr>
          <w:color w:val="231F20"/>
        </w:rPr>
        <w:t>de </w:t>
      </w:r>
      <w:r>
        <w:rPr>
          <w:color w:val="231F20"/>
          <w:spacing w:val="2"/>
        </w:rPr>
        <w:t>estas interacciones que </w:t>
      </w:r>
      <w:r>
        <w:rPr>
          <w:color w:val="231F20"/>
          <w:spacing w:val="3"/>
        </w:rPr>
        <w:t>pueden </w:t>
      </w:r>
      <w:r>
        <w:rPr>
          <w:color w:val="231F20"/>
          <w:spacing w:val="2"/>
        </w:rPr>
        <w:t>convertirse </w:t>
      </w:r>
      <w:r>
        <w:rPr>
          <w:color w:val="231F20"/>
        </w:rPr>
        <w:t>y </w:t>
      </w:r>
      <w:r>
        <w:rPr>
          <w:color w:val="231F20"/>
          <w:spacing w:val="2"/>
        </w:rPr>
        <w:t>caracterizarse </w:t>
      </w:r>
      <w:r>
        <w:rPr>
          <w:color w:val="231F20"/>
          <w:spacing w:val="3"/>
        </w:rPr>
        <w:t>como </w:t>
      </w:r>
      <w:r>
        <w:rPr>
          <w:color w:val="231F20"/>
          <w:spacing w:val="2"/>
        </w:rPr>
        <w:t>modos </w:t>
      </w:r>
      <w:r>
        <w:rPr>
          <w:color w:val="231F20"/>
        </w:rPr>
        <w:t>de </w:t>
      </w:r>
      <w:r>
        <w:rPr>
          <w:color w:val="231F20"/>
          <w:spacing w:val="2"/>
        </w:rPr>
        <w:t>violencia: “semillas </w:t>
      </w:r>
      <w:r>
        <w:rPr>
          <w:color w:val="231F20"/>
        </w:rPr>
        <w:t>de </w:t>
      </w:r>
      <w:r>
        <w:rPr>
          <w:color w:val="231F20"/>
          <w:spacing w:val="2"/>
        </w:rPr>
        <w:t>violencia” </w:t>
      </w:r>
      <w:r>
        <w:rPr>
          <w:color w:val="231F20"/>
        </w:rPr>
        <w:t>que </w:t>
      </w:r>
      <w:r>
        <w:rPr>
          <w:color w:val="231F20"/>
          <w:spacing w:val="2"/>
        </w:rPr>
        <w:t>aparecen </w:t>
      </w:r>
      <w:r>
        <w:rPr>
          <w:color w:val="231F20"/>
          <w:spacing w:val="3"/>
        </w:rPr>
        <w:t>asocia- </w:t>
      </w:r>
      <w:r>
        <w:rPr>
          <w:color w:val="231F20"/>
          <w:spacing w:val="2"/>
        </w:rPr>
        <w:t>das </w:t>
      </w:r>
      <w:r>
        <w:rPr>
          <w:color w:val="231F20"/>
        </w:rPr>
        <w:t>a la </w:t>
      </w:r>
      <w:r>
        <w:rPr>
          <w:color w:val="231F20"/>
          <w:spacing w:val="2"/>
        </w:rPr>
        <w:t>gestión institucional </w:t>
      </w:r>
      <w:r>
        <w:rPr>
          <w:color w:val="231F20"/>
        </w:rPr>
        <w:t>a </w:t>
      </w:r>
      <w:r>
        <w:rPr>
          <w:color w:val="231F20"/>
          <w:spacing w:val="2"/>
        </w:rPr>
        <w:t>través </w:t>
      </w:r>
      <w:r>
        <w:rPr>
          <w:color w:val="231F20"/>
        </w:rPr>
        <w:t>de </w:t>
      </w:r>
      <w:r>
        <w:rPr>
          <w:color w:val="231F20"/>
          <w:spacing w:val="3"/>
        </w:rPr>
        <w:t>formas </w:t>
      </w:r>
      <w:r>
        <w:rPr>
          <w:color w:val="231F20"/>
          <w:spacing w:val="2"/>
        </w:rPr>
        <w:t>autoritarias </w:t>
      </w:r>
      <w:r>
        <w:rPr>
          <w:color w:val="231F20"/>
          <w:spacing w:val="3"/>
        </w:rPr>
        <w:t>del </w:t>
      </w:r>
      <w:r>
        <w:rPr>
          <w:color w:val="231F20"/>
          <w:spacing w:val="2"/>
        </w:rPr>
        <w:t>ejercicio del </w:t>
      </w:r>
      <w:r>
        <w:rPr>
          <w:color w:val="231F20"/>
          <w:spacing w:val="3"/>
        </w:rPr>
        <w:t>poder </w:t>
      </w:r>
      <w:r>
        <w:rPr>
          <w:color w:val="231F20"/>
        </w:rPr>
        <w:t>y la </w:t>
      </w:r>
      <w:r>
        <w:rPr>
          <w:color w:val="231F20"/>
          <w:spacing w:val="3"/>
        </w:rPr>
        <w:t>autoridad, </w:t>
      </w:r>
      <w:r>
        <w:rPr>
          <w:color w:val="231F20"/>
          <w:spacing w:val="2"/>
        </w:rPr>
        <w:t>del recorte </w:t>
      </w:r>
      <w:r>
        <w:rPr>
          <w:color w:val="231F20"/>
        </w:rPr>
        <w:t>de </w:t>
      </w:r>
      <w:r>
        <w:rPr>
          <w:color w:val="231F20"/>
          <w:spacing w:val="3"/>
        </w:rPr>
        <w:t>oportunidades </w:t>
      </w:r>
      <w:r>
        <w:rPr>
          <w:color w:val="231F20"/>
          <w:spacing w:val="4"/>
        </w:rPr>
        <w:t>de </w:t>
      </w:r>
      <w:r>
        <w:rPr>
          <w:color w:val="231F20"/>
          <w:spacing w:val="2"/>
        </w:rPr>
        <w:t>participación, </w:t>
      </w:r>
      <w:r>
        <w:rPr>
          <w:color w:val="231F20"/>
        </w:rPr>
        <w:t>a </w:t>
      </w:r>
      <w:r>
        <w:rPr>
          <w:color w:val="231F20"/>
          <w:spacing w:val="3"/>
        </w:rPr>
        <w:t>concepciones </w:t>
      </w:r>
      <w:r>
        <w:rPr>
          <w:color w:val="231F20"/>
        </w:rPr>
        <w:t>y </w:t>
      </w:r>
      <w:r>
        <w:rPr>
          <w:color w:val="231F20"/>
          <w:spacing w:val="2"/>
        </w:rPr>
        <w:t>prácticas antidemocráticas, </w:t>
      </w:r>
      <w:r>
        <w:rPr>
          <w:color w:val="231F20"/>
        </w:rPr>
        <w:t>a la </w:t>
      </w:r>
      <w:r>
        <w:rPr>
          <w:color w:val="231F20"/>
          <w:spacing w:val="2"/>
        </w:rPr>
        <w:t>ausencia </w:t>
      </w:r>
      <w:r>
        <w:rPr>
          <w:color w:val="231F20"/>
        </w:rPr>
        <w:t>de </w:t>
      </w:r>
      <w:r>
        <w:rPr>
          <w:color w:val="231F20"/>
          <w:spacing w:val="2"/>
        </w:rPr>
        <w:t>valores </w:t>
      </w:r>
      <w:r>
        <w:rPr>
          <w:color w:val="231F20"/>
          <w:spacing w:val="3"/>
        </w:rPr>
        <w:t>ciudadanos, </w:t>
      </w:r>
      <w:r>
        <w:rPr>
          <w:color w:val="231F20"/>
          <w:spacing w:val="2"/>
        </w:rPr>
        <w:t>tales </w:t>
      </w:r>
      <w:r>
        <w:rPr>
          <w:color w:val="231F20"/>
          <w:spacing w:val="3"/>
        </w:rPr>
        <w:t>como </w:t>
      </w:r>
      <w:r>
        <w:rPr>
          <w:color w:val="231F20"/>
          <w:spacing w:val="2"/>
        </w:rPr>
        <w:t>tolerancia, respeto </w:t>
      </w:r>
      <w:r>
        <w:rPr>
          <w:color w:val="231F20"/>
        </w:rPr>
        <w:t>a la </w:t>
      </w:r>
      <w:r>
        <w:rPr>
          <w:color w:val="231F20"/>
          <w:spacing w:val="2"/>
        </w:rPr>
        <w:t>diferencia </w:t>
      </w:r>
      <w:r>
        <w:rPr>
          <w:color w:val="231F20"/>
        </w:rPr>
        <w:t>y la </w:t>
      </w:r>
      <w:r>
        <w:rPr>
          <w:color w:val="231F20"/>
          <w:spacing w:val="2"/>
        </w:rPr>
        <w:t>justicia, inexistencia </w:t>
      </w:r>
      <w:r>
        <w:rPr>
          <w:color w:val="231F20"/>
        </w:rPr>
        <w:t>de </w:t>
      </w:r>
      <w:r>
        <w:rPr>
          <w:color w:val="231F20"/>
          <w:spacing w:val="2"/>
        </w:rPr>
        <w:t>diálogo </w:t>
      </w:r>
      <w:r>
        <w:rPr>
          <w:color w:val="231F20"/>
        </w:rPr>
        <w:t>y </w:t>
      </w:r>
      <w:r>
        <w:rPr>
          <w:color w:val="231F20"/>
          <w:spacing w:val="2"/>
        </w:rPr>
        <w:t>negociación </w:t>
      </w:r>
      <w:r>
        <w:rPr>
          <w:color w:val="231F20"/>
          <w:spacing w:val="3"/>
        </w:rPr>
        <w:t>como mecanismos </w:t>
      </w:r>
      <w:r>
        <w:rPr>
          <w:color w:val="231F20"/>
        </w:rPr>
        <w:t>de </w:t>
      </w:r>
      <w:r>
        <w:rPr>
          <w:color w:val="231F20"/>
          <w:spacing w:val="2"/>
        </w:rPr>
        <w:t>resolución </w:t>
      </w:r>
      <w:r>
        <w:rPr>
          <w:color w:val="231F20"/>
        </w:rPr>
        <w:t>de </w:t>
      </w:r>
      <w:r>
        <w:rPr>
          <w:color w:val="231F20"/>
          <w:spacing w:val="2"/>
        </w:rPr>
        <w:t>conflictos, desconocimiento </w:t>
      </w:r>
      <w:r>
        <w:rPr>
          <w:color w:val="231F20"/>
        </w:rPr>
        <w:t>e </w:t>
      </w:r>
      <w:r>
        <w:rPr>
          <w:color w:val="231F20"/>
          <w:spacing w:val="3"/>
        </w:rPr>
        <w:t>irres- </w:t>
      </w:r>
      <w:r>
        <w:rPr>
          <w:color w:val="231F20"/>
          <w:spacing w:val="2"/>
        </w:rPr>
        <w:t>peto </w:t>
      </w:r>
      <w:r>
        <w:rPr>
          <w:color w:val="231F20"/>
        </w:rPr>
        <w:t>de </w:t>
      </w:r>
      <w:r>
        <w:rPr>
          <w:color w:val="231F20"/>
          <w:spacing w:val="2"/>
        </w:rPr>
        <w:t>reglas </w:t>
      </w:r>
      <w:r>
        <w:rPr>
          <w:color w:val="231F20"/>
        </w:rPr>
        <w:t>de </w:t>
      </w:r>
      <w:r>
        <w:rPr>
          <w:color w:val="231F20"/>
          <w:spacing w:val="2"/>
        </w:rPr>
        <w:t>convivencia, disfuncionalidad </w:t>
      </w:r>
      <w:r>
        <w:rPr>
          <w:color w:val="231F20"/>
        </w:rPr>
        <w:t>de </w:t>
      </w:r>
      <w:r>
        <w:rPr>
          <w:color w:val="231F20"/>
          <w:spacing w:val="2"/>
        </w:rPr>
        <w:t>los </w:t>
      </w:r>
      <w:r>
        <w:rPr>
          <w:color w:val="231F20"/>
          <w:spacing w:val="3"/>
        </w:rPr>
        <w:t>mecanismos </w:t>
      </w:r>
      <w:r>
        <w:rPr>
          <w:color w:val="231F20"/>
        </w:rPr>
        <w:t>de </w:t>
      </w:r>
      <w:r>
        <w:rPr>
          <w:color w:val="231F20"/>
          <w:spacing w:val="2"/>
        </w:rPr>
        <w:t>justicia, </w:t>
      </w:r>
      <w:r>
        <w:rPr>
          <w:color w:val="231F20"/>
          <w:spacing w:val="3"/>
        </w:rPr>
        <w:t>concepciones </w:t>
      </w:r>
      <w:r>
        <w:rPr>
          <w:color w:val="231F20"/>
        </w:rPr>
        <w:t>de </w:t>
      </w:r>
      <w:r>
        <w:rPr>
          <w:color w:val="231F20"/>
          <w:spacing w:val="3"/>
        </w:rPr>
        <w:t>conocimiento dogmáticas </w:t>
      </w:r>
      <w:r>
        <w:rPr>
          <w:color w:val="231F20"/>
        </w:rPr>
        <w:t>y </w:t>
      </w:r>
      <w:r>
        <w:rPr>
          <w:color w:val="231F20"/>
          <w:spacing w:val="3"/>
        </w:rPr>
        <w:t>formas </w:t>
      </w:r>
      <w:r>
        <w:rPr>
          <w:color w:val="231F20"/>
        </w:rPr>
        <w:t>de </w:t>
      </w:r>
      <w:r>
        <w:rPr>
          <w:color w:val="231F20"/>
          <w:spacing w:val="2"/>
        </w:rPr>
        <w:t>transmisión</w:t>
      </w:r>
      <w:r>
        <w:rPr>
          <w:color w:val="231F20"/>
          <w:spacing w:val="1"/>
        </w:rPr>
        <w:t> </w:t>
      </w:r>
      <w:r>
        <w:rPr>
          <w:color w:val="231F20"/>
          <w:spacing w:val="2"/>
        </w:rPr>
        <w:t>autoritarias.</w:t>
      </w:r>
    </w:p>
    <w:p>
      <w:pPr>
        <w:pStyle w:val="BodyText"/>
        <w:spacing w:line="247" w:lineRule="auto"/>
        <w:ind w:left="101" w:right="119" w:firstLine="284"/>
        <w:jc w:val="both"/>
      </w:pPr>
      <w:r>
        <w:rPr>
          <w:color w:val="231F20"/>
        </w:rPr>
        <w:t>De hecho, hay autores que explican que las manifestaciones de la violencia escolar no se originan en la escuela y sus espacios, en particular en las aulas, sino en el medio social y que aquellas se “reflejan” en ellas por lo que prefieren definirla como violencia en </w:t>
      </w:r>
      <w:r>
        <w:rPr>
          <w:color w:val="231F20"/>
          <w:w w:val="95"/>
        </w:rPr>
        <w:t>las escuelas.</w:t>
      </w:r>
    </w:p>
    <w:p>
      <w:pPr>
        <w:pStyle w:val="BodyText"/>
        <w:spacing w:line="247" w:lineRule="auto"/>
        <w:ind w:left="101" w:right="118" w:firstLine="284"/>
        <w:jc w:val="both"/>
      </w:pPr>
      <w:r>
        <w:rPr>
          <w:color w:val="231F20"/>
        </w:rPr>
        <w:t>A este respecto no deja de ser sugerente la idea de Michel de Certeau (1999) acerca del valor, los significados y los significantes de las expresiones de violencia en las sociedades contemporáneas, sobre todo en las sociedades occidentales; esta podría ayudarnos a</w:t>
      </w:r>
    </w:p>
    <w:p>
      <w:pPr>
        <w:spacing w:after="0" w:line="247" w:lineRule="auto"/>
        <w:jc w:val="both"/>
        <w:sectPr>
          <w:headerReference w:type="default" r:id="rId261"/>
          <w:footerReference w:type="default" r:id="rId262"/>
          <w:pgSz w:w="7830" w:h="11910"/>
          <w:pgMar w:header="0" w:footer="424" w:top="500" w:bottom="620" w:left="920" w:right="900"/>
          <w:pgNumType w:start="12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4" w:lineRule="auto"/>
        <w:ind w:left="102" w:right="116"/>
        <w:jc w:val="both"/>
      </w:pPr>
      <w:r>
        <w:rPr>
          <w:color w:val="231F20"/>
        </w:rPr>
        <w:t>comprender la naturaleza y el significado de la violencia escolar o, en términos más genéricos, la violencia en las aulas. De Certeau anota lo siguiente:</w:t>
      </w:r>
    </w:p>
    <w:p>
      <w:pPr>
        <w:pStyle w:val="BodyText"/>
        <w:spacing w:before="6"/>
      </w:pPr>
    </w:p>
    <w:p>
      <w:pPr>
        <w:spacing w:line="247" w:lineRule="auto" w:before="0"/>
        <w:ind w:left="528" w:right="115" w:firstLine="0"/>
        <w:jc w:val="both"/>
        <w:rPr>
          <w:sz w:val="19"/>
        </w:rPr>
      </w:pPr>
      <w:r>
        <w:rPr>
          <w:color w:val="231F20"/>
          <w:sz w:val="19"/>
        </w:rPr>
        <w:t>Los actos de violencia son designados, justamente, como ‘manifestaciones‘’. Aspiran a quebrar y desenmascarar la economía alienante del medio y el totalitarismo de la identidad. Desde este  punto vista, el ultraje se convierte en ‘pasión moral’. Se hace gesto porque pesa un embargo sobre las palabras. [Estos actos] atraviesan como una protesta un universo saturado. La reconquista de lo  anónimo crea lo análogo de un ‘rumor’, donde la palabra tiene al comienzo la forma de una ruptura, de un impacto, de una blasfemia </w:t>
      </w:r>
      <w:r>
        <w:rPr>
          <w:color w:val="231F20"/>
          <w:w w:val="95"/>
          <w:sz w:val="19"/>
        </w:rPr>
        <w:t>(1999:</w:t>
      </w:r>
      <w:r>
        <w:rPr>
          <w:color w:val="231F20"/>
          <w:spacing w:val="8"/>
          <w:w w:val="95"/>
          <w:sz w:val="19"/>
        </w:rPr>
        <w:t> </w:t>
      </w:r>
      <w:r>
        <w:rPr>
          <w:color w:val="231F20"/>
          <w:w w:val="95"/>
          <w:sz w:val="19"/>
        </w:rPr>
        <w:t>77).</w:t>
      </w:r>
    </w:p>
    <w:p>
      <w:pPr>
        <w:pStyle w:val="BodyText"/>
        <w:spacing w:before="1"/>
        <w:rPr>
          <w:sz w:val="23"/>
        </w:rPr>
      </w:pPr>
    </w:p>
    <w:p>
      <w:pPr>
        <w:pStyle w:val="BodyText"/>
        <w:spacing w:line="249" w:lineRule="auto"/>
        <w:ind w:left="102" w:right="116" w:firstLine="341"/>
        <w:jc w:val="both"/>
      </w:pPr>
      <w:r>
        <w:rPr>
          <w:color w:val="231F20"/>
          <w:spacing w:val="2"/>
        </w:rPr>
        <w:t>Osorio sostiene una </w:t>
      </w:r>
      <w:r>
        <w:rPr>
          <w:color w:val="231F20"/>
        </w:rPr>
        <w:t>idea que </w:t>
      </w:r>
      <w:r>
        <w:rPr>
          <w:color w:val="231F20"/>
          <w:spacing w:val="2"/>
        </w:rPr>
        <w:t>considero sugerente </w:t>
      </w:r>
      <w:r>
        <w:rPr>
          <w:color w:val="231F20"/>
        </w:rPr>
        <w:t>y </w:t>
      </w:r>
      <w:r>
        <w:rPr>
          <w:color w:val="231F20"/>
          <w:spacing w:val="2"/>
        </w:rPr>
        <w:t>muy </w:t>
      </w:r>
      <w:r>
        <w:rPr>
          <w:color w:val="231F20"/>
        </w:rPr>
        <w:t>rica  en </w:t>
      </w:r>
      <w:r>
        <w:rPr>
          <w:color w:val="231F20"/>
          <w:spacing w:val="3"/>
        </w:rPr>
        <w:t>términos </w:t>
      </w:r>
      <w:r>
        <w:rPr>
          <w:color w:val="231F20"/>
          <w:spacing w:val="2"/>
        </w:rPr>
        <w:t>teóricos </w:t>
      </w:r>
      <w:r>
        <w:rPr>
          <w:color w:val="231F20"/>
        </w:rPr>
        <w:t>y </w:t>
      </w:r>
      <w:r>
        <w:rPr>
          <w:color w:val="231F20"/>
          <w:spacing w:val="3"/>
        </w:rPr>
        <w:t>metodológicos </w:t>
      </w:r>
      <w:r>
        <w:rPr>
          <w:color w:val="231F20"/>
          <w:spacing w:val="2"/>
        </w:rPr>
        <w:t>para </w:t>
      </w:r>
      <w:r>
        <w:rPr>
          <w:color w:val="231F20"/>
          <w:spacing w:val="3"/>
        </w:rPr>
        <w:t>comprender </w:t>
      </w:r>
      <w:r>
        <w:rPr>
          <w:color w:val="231F20"/>
        </w:rPr>
        <w:t>la </w:t>
      </w:r>
      <w:r>
        <w:rPr>
          <w:color w:val="231F20"/>
          <w:spacing w:val="3"/>
        </w:rPr>
        <w:t>cues- </w:t>
      </w:r>
      <w:r>
        <w:rPr>
          <w:color w:val="231F20"/>
          <w:spacing w:val="2"/>
        </w:rPr>
        <w:t>tión </w:t>
      </w:r>
      <w:r>
        <w:rPr>
          <w:color w:val="231F20"/>
        </w:rPr>
        <w:t>de la </w:t>
      </w:r>
      <w:r>
        <w:rPr>
          <w:color w:val="231F20"/>
          <w:spacing w:val="2"/>
        </w:rPr>
        <w:t>violencia</w:t>
      </w:r>
      <w:r>
        <w:rPr>
          <w:color w:val="231F20"/>
          <w:spacing w:val="-23"/>
        </w:rPr>
        <w:t> </w:t>
      </w:r>
      <w:r>
        <w:rPr>
          <w:color w:val="231F20"/>
          <w:spacing w:val="2"/>
        </w:rPr>
        <w:t>escolar:</w:t>
      </w:r>
    </w:p>
    <w:p>
      <w:pPr>
        <w:pStyle w:val="BodyText"/>
        <w:spacing w:before="2"/>
        <w:rPr>
          <w:sz w:val="23"/>
        </w:rPr>
      </w:pPr>
    </w:p>
    <w:p>
      <w:pPr>
        <w:spacing w:line="273" w:lineRule="auto" w:before="0"/>
        <w:ind w:left="810" w:right="163" w:firstLine="0"/>
        <w:jc w:val="both"/>
        <w:rPr>
          <w:sz w:val="19"/>
        </w:rPr>
      </w:pPr>
      <w:r>
        <w:rPr>
          <w:color w:val="231F20"/>
          <w:sz w:val="19"/>
        </w:rPr>
        <w:t>La noción de violencia escolar es una construcción social. Es un concepto construido desde el imaginario  colectivo  e  impuesto por la opinión pública a partir, claro está, de una realidad coti- diana violenta. Y esta construcción social es solidaria con la res- ponsabilidad que les cabe a las comunidades, que son las que construyen este tipo de nociones. El fenómeno de la violencia escolar se implanta como un discurso que permite construir una imagen sobre la realidad social. Esta imagen hace las veces de una envoltura formal de la problemática. Y entonces, esta reali- dad así planteada, paradójicamente, pacifica. ¿Por qué? Porque el “fenómeno” de la violencia escolar aparece, entonces, delimitado y ajustado a una idea más inteligible, más aprehensible. De este modo se puede ejercer vigilancia y control social sobre ella, con  el objetivo de dominar lo que se presenta como caos y descon-  trol (Osorio, 2008:</w:t>
      </w:r>
      <w:r>
        <w:rPr>
          <w:color w:val="231F20"/>
          <w:spacing w:val="-4"/>
          <w:sz w:val="19"/>
        </w:rPr>
        <w:t> </w:t>
      </w:r>
      <w:r>
        <w:rPr>
          <w:color w:val="231F20"/>
          <w:sz w:val="19"/>
        </w:rPr>
        <w:t>21-22).</w:t>
      </w:r>
    </w:p>
    <w:p>
      <w:pPr>
        <w:pStyle w:val="BodyText"/>
        <w:spacing w:before="3"/>
        <w:rPr>
          <w:sz w:val="22"/>
        </w:rPr>
      </w:pPr>
    </w:p>
    <w:p>
      <w:pPr>
        <w:pStyle w:val="BodyText"/>
        <w:ind w:left="102"/>
        <w:jc w:val="both"/>
      </w:pPr>
      <w:r>
        <w:rPr>
          <w:color w:val="231F20"/>
          <w:w w:val="105"/>
        </w:rPr>
        <w:t>LOS USOS DE LA “VIOLENCIA” EN LAS NARRATIVAS</w:t>
      </w:r>
    </w:p>
    <w:p>
      <w:pPr>
        <w:pStyle w:val="BodyText"/>
        <w:spacing w:before="6"/>
      </w:pPr>
    </w:p>
    <w:p>
      <w:pPr>
        <w:pStyle w:val="BodyText"/>
        <w:spacing w:line="244" w:lineRule="auto"/>
        <w:ind w:left="101" w:right="116"/>
        <w:jc w:val="both"/>
      </w:pPr>
      <w:r>
        <w:rPr>
          <w:color w:val="231F20"/>
        </w:rPr>
        <w:t>Acaso por la tarea que se le ha atribuido y desempeñado histórica- mente, con sus profundas transformaciones  pero  igualmente  con sus persistentes continuidades, no deja de ser incongruente que el discurso educativo siga sosteniendo que la institución educativa  sea</w:t>
      </w:r>
    </w:p>
    <w:p>
      <w:pPr>
        <w:spacing w:after="0" w:line="244" w:lineRule="auto"/>
        <w:jc w:val="both"/>
        <w:sectPr>
          <w:headerReference w:type="default" r:id="rId263"/>
          <w:footerReference w:type="default" r:id="rId264"/>
          <w:pgSz w:w="7830" w:h="11910"/>
          <w:pgMar w:header="0" w:footer="424" w:top="500" w:bottom="620" w:left="920" w:right="900"/>
          <w:pgNumType w:start="12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1" w:right="115"/>
        <w:jc w:val="both"/>
      </w:pPr>
      <w:r>
        <w:rPr>
          <w:color w:val="231F20"/>
        </w:rPr>
        <w:t>uno de los espacios, sino “el espacio”, con viejos y nuevos papeles, para la constitución de individuos en la democracia, la equidad, la participación, la tolerancia y el respeto a la diversidad, en otros términos, en la formación de ciudadanos y de  ciudadanía, sobre  todo cuando más debilitada se encuentra,pues la violencia escolar es motivo de preocupación creciente (Camargo-Abello: 2011). Así, las narrativas de la escuela como forjadora de sujetos democráticos, tolerantes, dispuestos a aceptar la diversidad y la equidad pierden su significado concreto ante la negación, en los hechos, de los grupos sociales portadores, o que demandan la puesta en práctica y la vi- gencia real de esos principios y actitudes. De ahí la pertinencia de evidenciar la contradicción entre discursos y prácticas culturales, o sea los usos, los comportamientos que deberían ser cotidianos del accionar institucional de la escuela, por lo que el espacio que se  abre, es ocupado por el lenguaje de la violencia como expresión de ese malestar acumulado entre los</w:t>
      </w:r>
      <w:r>
        <w:rPr>
          <w:color w:val="231F20"/>
          <w:spacing w:val="9"/>
        </w:rPr>
        <w:t> </w:t>
      </w:r>
      <w:r>
        <w:rPr>
          <w:color w:val="231F20"/>
        </w:rPr>
        <w:t>actores.</w:t>
      </w:r>
    </w:p>
    <w:p>
      <w:pPr>
        <w:pStyle w:val="BodyText"/>
        <w:spacing w:line="249" w:lineRule="auto" w:before="10"/>
        <w:ind w:left="101" w:right="114" w:firstLine="284"/>
        <w:jc w:val="both"/>
      </w:pPr>
      <w:r>
        <w:rPr>
          <w:color w:val="231F20"/>
          <w:spacing w:val="2"/>
        </w:rPr>
        <w:t>De Certeau (1999) plantea instrumentos teóricos </w:t>
      </w:r>
      <w:r>
        <w:rPr>
          <w:color w:val="231F20"/>
        </w:rPr>
        <w:t>y </w:t>
      </w:r>
      <w:r>
        <w:rPr>
          <w:color w:val="231F20"/>
          <w:spacing w:val="3"/>
        </w:rPr>
        <w:t>metodoló- </w:t>
      </w:r>
      <w:r>
        <w:rPr>
          <w:color w:val="231F20"/>
          <w:spacing w:val="2"/>
        </w:rPr>
        <w:t>gicos que posibilitan </w:t>
      </w:r>
      <w:r>
        <w:rPr>
          <w:color w:val="231F20"/>
          <w:spacing w:val="3"/>
        </w:rPr>
        <w:t>comprender </w:t>
      </w:r>
      <w:r>
        <w:rPr>
          <w:color w:val="231F20"/>
          <w:spacing w:val="2"/>
        </w:rPr>
        <w:t>qué </w:t>
      </w:r>
      <w:r>
        <w:rPr>
          <w:color w:val="231F20"/>
        </w:rPr>
        <w:t>es, </w:t>
      </w:r>
      <w:r>
        <w:rPr>
          <w:color w:val="231F20"/>
          <w:spacing w:val="3"/>
        </w:rPr>
        <w:t>cómo </w:t>
      </w:r>
      <w:r>
        <w:rPr>
          <w:color w:val="231F20"/>
          <w:spacing w:val="2"/>
        </w:rPr>
        <w:t>opera </w:t>
      </w:r>
      <w:r>
        <w:rPr>
          <w:color w:val="231F20"/>
        </w:rPr>
        <w:t>y </w:t>
      </w:r>
      <w:r>
        <w:rPr>
          <w:color w:val="231F20"/>
          <w:spacing w:val="2"/>
        </w:rPr>
        <w:t>cuál </w:t>
      </w:r>
      <w:r>
        <w:rPr>
          <w:color w:val="231F20"/>
        </w:rPr>
        <w:t>es ese </w:t>
      </w:r>
      <w:r>
        <w:rPr>
          <w:color w:val="231F20"/>
          <w:spacing w:val="2"/>
        </w:rPr>
        <w:t>lenguaje </w:t>
      </w:r>
      <w:r>
        <w:rPr>
          <w:color w:val="231F20"/>
        </w:rPr>
        <w:t>de la </w:t>
      </w:r>
      <w:r>
        <w:rPr>
          <w:color w:val="231F20"/>
          <w:spacing w:val="2"/>
        </w:rPr>
        <w:t>violencia </w:t>
      </w:r>
      <w:r>
        <w:rPr>
          <w:color w:val="231F20"/>
        </w:rPr>
        <w:t>en </w:t>
      </w:r>
      <w:r>
        <w:rPr>
          <w:color w:val="231F20"/>
          <w:spacing w:val="2"/>
        </w:rPr>
        <w:t>general </w:t>
      </w:r>
      <w:r>
        <w:rPr>
          <w:color w:val="231F20"/>
        </w:rPr>
        <w:t>y </w:t>
      </w:r>
      <w:r>
        <w:rPr>
          <w:color w:val="231F20"/>
          <w:spacing w:val="2"/>
        </w:rPr>
        <w:t>escolar. Para </w:t>
      </w:r>
      <w:r>
        <w:rPr>
          <w:color w:val="231F20"/>
        </w:rPr>
        <w:t>de </w:t>
      </w:r>
      <w:r>
        <w:rPr>
          <w:color w:val="231F20"/>
          <w:spacing w:val="2"/>
        </w:rPr>
        <w:t>Certeau, </w:t>
      </w:r>
      <w:r>
        <w:rPr>
          <w:color w:val="231F20"/>
        </w:rPr>
        <w:t>ese </w:t>
      </w:r>
      <w:r>
        <w:rPr>
          <w:color w:val="231F20"/>
          <w:spacing w:val="2"/>
        </w:rPr>
        <w:t>lenguaje </w:t>
      </w:r>
      <w:r>
        <w:rPr>
          <w:color w:val="231F20"/>
          <w:spacing w:val="3"/>
        </w:rPr>
        <w:t>puede </w:t>
      </w:r>
      <w:r>
        <w:rPr>
          <w:color w:val="231F20"/>
          <w:spacing w:val="2"/>
        </w:rPr>
        <w:t>representar </w:t>
      </w:r>
      <w:r>
        <w:rPr>
          <w:color w:val="231F20"/>
        </w:rPr>
        <w:t>un </w:t>
      </w:r>
      <w:r>
        <w:rPr>
          <w:color w:val="231F20"/>
          <w:spacing w:val="2"/>
        </w:rPr>
        <w:t>llamado </w:t>
      </w:r>
      <w:r>
        <w:rPr>
          <w:color w:val="231F20"/>
        </w:rPr>
        <w:t>a la </w:t>
      </w:r>
      <w:r>
        <w:rPr>
          <w:color w:val="231F20"/>
          <w:spacing w:val="2"/>
        </w:rPr>
        <w:t>instauración </w:t>
      </w:r>
      <w:r>
        <w:rPr>
          <w:color w:val="231F20"/>
        </w:rPr>
        <w:t>de </w:t>
      </w:r>
      <w:r>
        <w:rPr>
          <w:color w:val="231F20"/>
          <w:spacing w:val="4"/>
        </w:rPr>
        <w:t>un </w:t>
      </w:r>
      <w:r>
        <w:rPr>
          <w:color w:val="231F20"/>
          <w:spacing w:val="3"/>
        </w:rPr>
        <w:t>“nuevo” </w:t>
      </w:r>
      <w:r>
        <w:rPr>
          <w:color w:val="231F20"/>
          <w:spacing w:val="2"/>
        </w:rPr>
        <w:t>orden social, </w:t>
      </w:r>
      <w:r>
        <w:rPr>
          <w:color w:val="231F20"/>
        </w:rPr>
        <w:t>y </w:t>
      </w:r>
      <w:r>
        <w:rPr>
          <w:color w:val="231F20"/>
          <w:spacing w:val="2"/>
        </w:rPr>
        <w:t>por </w:t>
      </w:r>
      <w:r>
        <w:rPr>
          <w:color w:val="231F20"/>
        </w:rPr>
        <w:t>eso la </w:t>
      </w:r>
      <w:r>
        <w:rPr>
          <w:color w:val="231F20"/>
          <w:spacing w:val="3"/>
        </w:rPr>
        <w:t>importancia </w:t>
      </w:r>
      <w:r>
        <w:rPr>
          <w:color w:val="231F20"/>
          <w:spacing w:val="2"/>
        </w:rPr>
        <w:t>que reviste tanto para </w:t>
      </w:r>
      <w:r>
        <w:rPr>
          <w:color w:val="231F20"/>
        </w:rPr>
        <w:t>el </w:t>
      </w:r>
      <w:r>
        <w:rPr>
          <w:color w:val="231F20"/>
          <w:spacing w:val="2"/>
        </w:rPr>
        <w:t>aparato burocrático, </w:t>
      </w:r>
      <w:r>
        <w:rPr>
          <w:color w:val="231F20"/>
        </w:rPr>
        <w:t>el </w:t>
      </w:r>
      <w:r>
        <w:rPr>
          <w:color w:val="231F20"/>
          <w:spacing w:val="2"/>
        </w:rPr>
        <w:t>cual pretende </w:t>
      </w:r>
      <w:r>
        <w:rPr>
          <w:color w:val="231F20"/>
          <w:spacing w:val="3"/>
        </w:rPr>
        <w:t>mantenerla </w:t>
      </w:r>
      <w:r>
        <w:rPr>
          <w:color w:val="231F20"/>
          <w:spacing w:val="2"/>
        </w:rPr>
        <w:t>bajo </w:t>
      </w:r>
      <w:r>
        <w:rPr>
          <w:color w:val="231F20"/>
        </w:rPr>
        <w:t>su </w:t>
      </w:r>
      <w:r>
        <w:rPr>
          <w:color w:val="231F20"/>
          <w:spacing w:val="3"/>
        </w:rPr>
        <w:t>control </w:t>
      </w:r>
      <w:r>
        <w:rPr>
          <w:color w:val="231F20"/>
        </w:rPr>
        <w:t>no </w:t>
      </w:r>
      <w:r>
        <w:rPr>
          <w:color w:val="231F20"/>
          <w:spacing w:val="2"/>
        </w:rPr>
        <w:t>para </w:t>
      </w:r>
      <w:r>
        <w:rPr>
          <w:color w:val="231F20"/>
        </w:rPr>
        <w:t>no </w:t>
      </w:r>
      <w:r>
        <w:rPr>
          <w:color w:val="231F20"/>
          <w:spacing w:val="2"/>
        </w:rPr>
        <w:t>suprimirla sino para regularla </w:t>
      </w:r>
      <w:r>
        <w:rPr>
          <w:color w:val="231F20"/>
          <w:spacing w:val="3"/>
        </w:rPr>
        <w:t>como </w:t>
      </w:r>
      <w:r>
        <w:rPr>
          <w:color w:val="231F20"/>
          <w:spacing w:val="2"/>
        </w:rPr>
        <w:t>parte </w:t>
      </w:r>
      <w:r>
        <w:rPr>
          <w:color w:val="231F20"/>
        </w:rPr>
        <w:t>de su </w:t>
      </w:r>
      <w:r>
        <w:rPr>
          <w:color w:val="231F20"/>
          <w:spacing w:val="2"/>
        </w:rPr>
        <w:t>legitimidad, </w:t>
      </w:r>
      <w:r>
        <w:rPr>
          <w:color w:val="231F20"/>
          <w:spacing w:val="3"/>
        </w:rPr>
        <w:t>como </w:t>
      </w:r>
      <w:r>
        <w:rPr>
          <w:color w:val="231F20"/>
          <w:spacing w:val="2"/>
        </w:rPr>
        <w:t>para los actores que </w:t>
      </w:r>
      <w:r>
        <w:rPr>
          <w:color w:val="231F20"/>
        </w:rPr>
        <w:t>la </w:t>
      </w:r>
      <w:r>
        <w:rPr>
          <w:color w:val="231F20"/>
          <w:spacing w:val="2"/>
        </w:rPr>
        <w:t>ejercen, incluida </w:t>
      </w:r>
      <w:r>
        <w:rPr>
          <w:color w:val="231F20"/>
        </w:rPr>
        <w:t>la </w:t>
      </w:r>
      <w:r>
        <w:rPr>
          <w:color w:val="231F20"/>
          <w:spacing w:val="3"/>
        </w:rPr>
        <w:t>pro- </w:t>
      </w:r>
      <w:r>
        <w:rPr>
          <w:color w:val="231F20"/>
          <w:spacing w:val="2"/>
        </w:rPr>
        <w:t>pia autoridad, </w:t>
      </w:r>
      <w:r>
        <w:rPr>
          <w:color w:val="231F20"/>
        </w:rPr>
        <w:t>lo </w:t>
      </w:r>
      <w:r>
        <w:rPr>
          <w:color w:val="231F20"/>
          <w:spacing w:val="2"/>
        </w:rPr>
        <w:t>cual representa </w:t>
      </w:r>
      <w:r>
        <w:rPr>
          <w:color w:val="231F20"/>
        </w:rPr>
        <w:t>un </w:t>
      </w:r>
      <w:r>
        <w:rPr>
          <w:color w:val="231F20"/>
          <w:spacing w:val="2"/>
        </w:rPr>
        <w:t>desafío </w:t>
      </w:r>
      <w:r>
        <w:rPr>
          <w:color w:val="231F20"/>
        </w:rPr>
        <w:t>a un </w:t>
      </w:r>
      <w:r>
        <w:rPr>
          <w:color w:val="231F20"/>
          <w:spacing w:val="2"/>
        </w:rPr>
        <w:t>orden </w:t>
      </w:r>
      <w:r>
        <w:rPr>
          <w:color w:val="231F20"/>
        </w:rPr>
        <w:t>que ya no </w:t>
      </w:r>
      <w:r>
        <w:rPr>
          <w:color w:val="231F20"/>
          <w:spacing w:val="2"/>
        </w:rPr>
        <w:t>tiene </w:t>
      </w:r>
      <w:r>
        <w:rPr>
          <w:color w:val="231F20"/>
          <w:spacing w:val="3"/>
        </w:rPr>
        <w:t>correspondencia </w:t>
      </w:r>
      <w:r>
        <w:rPr>
          <w:color w:val="231F20"/>
          <w:spacing w:val="2"/>
        </w:rPr>
        <w:t>entre </w:t>
      </w:r>
      <w:r>
        <w:rPr>
          <w:color w:val="231F20"/>
        </w:rPr>
        <w:t>lo </w:t>
      </w:r>
      <w:r>
        <w:rPr>
          <w:color w:val="231F20"/>
          <w:spacing w:val="2"/>
        </w:rPr>
        <w:t>que </w:t>
      </w:r>
      <w:r>
        <w:rPr>
          <w:color w:val="231F20"/>
        </w:rPr>
        <w:t>dice y </w:t>
      </w:r>
      <w:r>
        <w:rPr>
          <w:color w:val="231F20"/>
          <w:spacing w:val="2"/>
        </w:rPr>
        <w:t>hace; </w:t>
      </w:r>
      <w:r>
        <w:rPr>
          <w:color w:val="231F20"/>
        </w:rPr>
        <w:t>de </w:t>
      </w:r>
      <w:r>
        <w:rPr>
          <w:color w:val="231F20"/>
          <w:spacing w:val="2"/>
        </w:rPr>
        <w:t>ahí </w:t>
      </w:r>
      <w:r>
        <w:rPr>
          <w:color w:val="231F20"/>
        </w:rPr>
        <w:t>su </w:t>
      </w:r>
      <w:r>
        <w:rPr>
          <w:color w:val="231F20"/>
          <w:spacing w:val="2"/>
        </w:rPr>
        <w:t>carácter  </w:t>
      </w:r>
      <w:r>
        <w:rPr>
          <w:color w:val="231F20"/>
        </w:rPr>
        <w:t>de </w:t>
      </w:r>
      <w:r>
        <w:rPr>
          <w:color w:val="231F20"/>
          <w:spacing w:val="2"/>
        </w:rPr>
        <w:t>desafío que, </w:t>
      </w:r>
      <w:r>
        <w:rPr>
          <w:color w:val="231F20"/>
        </w:rPr>
        <w:t>al </w:t>
      </w:r>
      <w:r>
        <w:rPr>
          <w:color w:val="231F20"/>
          <w:spacing w:val="2"/>
        </w:rPr>
        <w:t>contrario </w:t>
      </w:r>
      <w:r>
        <w:rPr>
          <w:color w:val="231F20"/>
        </w:rPr>
        <w:t>de  lo  </w:t>
      </w:r>
      <w:r>
        <w:rPr>
          <w:color w:val="231F20"/>
          <w:spacing w:val="2"/>
        </w:rPr>
        <w:t>que podría pensarse, </w:t>
      </w:r>
      <w:r>
        <w:rPr>
          <w:color w:val="231F20"/>
          <w:spacing w:val="3"/>
        </w:rPr>
        <w:t>demanda</w:t>
      </w:r>
      <w:r>
        <w:rPr>
          <w:color w:val="231F20"/>
          <w:spacing w:val="58"/>
        </w:rPr>
        <w:t> </w:t>
      </w:r>
      <w:r>
        <w:rPr>
          <w:color w:val="231F20"/>
        </w:rPr>
        <w:t>ser </w:t>
      </w:r>
      <w:r>
        <w:rPr>
          <w:color w:val="231F20"/>
          <w:spacing w:val="2"/>
        </w:rPr>
        <w:t>incluido </w:t>
      </w:r>
      <w:r>
        <w:rPr>
          <w:color w:val="231F20"/>
        </w:rPr>
        <w:t>en </w:t>
      </w:r>
      <w:r>
        <w:rPr>
          <w:color w:val="231F20"/>
          <w:spacing w:val="2"/>
        </w:rPr>
        <w:t>planos </w:t>
      </w:r>
      <w:r>
        <w:rPr>
          <w:color w:val="231F20"/>
        </w:rPr>
        <w:t>de </w:t>
      </w:r>
      <w:r>
        <w:rPr>
          <w:color w:val="231F20"/>
          <w:spacing w:val="2"/>
        </w:rPr>
        <w:t>igualdad. </w:t>
      </w:r>
      <w:r>
        <w:rPr>
          <w:color w:val="231F20"/>
        </w:rPr>
        <w:t>En </w:t>
      </w:r>
      <w:r>
        <w:rPr>
          <w:color w:val="231F20"/>
          <w:spacing w:val="2"/>
        </w:rPr>
        <w:t>este sentido, </w:t>
      </w:r>
      <w:r>
        <w:rPr>
          <w:color w:val="231F20"/>
        </w:rPr>
        <w:t>el </w:t>
      </w:r>
      <w:r>
        <w:rPr>
          <w:color w:val="231F20"/>
          <w:spacing w:val="2"/>
        </w:rPr>
        <w:t>lenguaje </w:t>
      </w:r>
      <w:r>
        <w:rPr>
          <w:color w:val="231F20"/>
        </w:rPr>
        <w:t>de  la </w:t>
      </w:r>
      <w:r>
        <w:rPr>
          <w:color w:val="231F20"/>
          <w:spacing w:val="2"/>
        </w:rPr>
        <w:t>violencia </w:t>
      </w:r>
      <w:r>
        <w:rPr>
          <w:color w:val="231F20"/>
        </w:rPr>
        <w:t>se </w:t>
      </w:r>
      <w:r>
        <w:rPr>
          <w:color w:val="231F20"/>
          <w:spacing w:val="2"/>
        </w:rPr>
        <w:t>expresa </w:t>
      </w:r>
      <w:r>
        <w:rPr>
          <w:color w:val="231F20"/>
        </w:rPr>
        <w:t>en </w:t>
      </w:r>
      <w:r>
        <w:rPr>
          <w:color w:val="231F20"/>
          <w:spacing w:val="2"/>
        </w:rPr>
        <w:t>gestos, actitudes, acciones; </w:t>
      </w:r>
      <w:r>
        <w:rPr>
          <w:color w:val="231F20"/>
        </w:rPr>
        <w:t>es </w:t>
      </w:r>
      <w:r>
        <w:rPr>
          <w:color w:val="231F20"/>
          <w:spacing w:val="2"/>
        </w:rPr>
        <w:t>decir, </w:t>
      </w:r>
      <w:r>
        <w:rPr>
          <w:color w:val="231F20"/>
          <w:spacing w:val="3"/>
        </w:rPr>
        <w:t>es </w:t>
      </w:r>
      <w:r>
        <w:rPr>
          <w:color w:val="231F20"/>
          <w:spacing w:val="2"/>
        </w:rPr>
        <w:t>más corporal </w:t>
      </w:r>
      <w:r>
        <w:rPr>
          <w:color w:val="231F20"/>
        </w:rPr>
        <w:t>que el </w:t>
      </w:r>
      <w:r>
        <w:rPr>
          <w:color w:val="231F20"/>
          <w:spacing w:val="2"/>
        </w:rPr>
        <w:t>lenguaje hablado porque este </w:t>
      </w:r>
      <w:r>
        <w:rPr>
          <w:color w:val="231F20"/>
        </w:rPr>
        <w:t>ha </w:t>
      </w:r>
      <w:r>
        <w:rPr>
          <w:color w:val="231F20"/>
          <w:spacing w:val="2"/>
        </w:rPr>
        <w:t>sido </w:t>
      </w:r>
      <w:r>
        <w:rPr>
          <w:color w:val="231F20"/>
          <w:spacing w:val="3"/>
        </w:rPr>
        <w:t>apro- </w:t>
      </w:r>
      <w:r>
        <w:rPr>
          <w:color w:val="231F20"/>
          <w:spacing w:val="2"/>
        </w:rPr>
        <w:t>piado por </w:t>
      </w:r>
      <w:r>
        <w:rPr>
          <w:color w:val="231F20"/>
        </w:rPr>
        <w:t>la </w:t>
      </w:r>
      <w:r>
        <w:rPr>
          <w:color w:val="231F20"/>
          <w:spacing w:val="2"/>
        </w:rPr>
        <w:t>autoridad </w:t>
      </w:r>
      <w:r>
        <w:rPr>
          <w:color w:val="231F20"/>
        </w:rPr>
        <w:t>y el </w:t>
      </w:r>
      <w:r>
        <w:rPr>
          <w:color w:val="231F20"/>
          <w:spacing w:val="2"/>
        </w:rPr>
        <w:t>aparato</w:t>
      </w:r>
      <w:r>
        <w:rPr>
          <w:color w:val="231F20"/>
          <w:spacing w:val="48"/>
        </w:rPr>
        <w:t> </w:t>
      </w:r>
      <w:r>
        <w:rPr>
          <w:color w:val="231F20"/>
          <w:spacing w:val="2"/>
        </w:rPr>
        <w:t>burocrático.</w:t>
      </w:r>
    </w:p>
    <w:p>
      <w:pPr>
        <w:pStyle w:val="BodyText"/>
        <w:spacing w:line="247" w:lineRule="auto"/>
        <w:ind w:left="101" w:right="121" w:firstLine="284"/>
        <w:jc w:val="both"/>
      </w:pPr>
      <w:r>
        <w:rPr>
          <w:color w:val="231F20"/>
        </w:rPr>
        <w:t>De Certeau (1999) lo apunta, con la lucidez que lo caracteriza, en los siguientes términos:</w:t>
      </w:r>
    </w:p>
    <w:p>
      <w:pPr>
        <w:pStyle w:val="BodyText"/>
        <w:spacing w:before="7"/>
        <w:rPr>
          <w:sz w:val="23"/>
        </w:rPr>
      </w:pPr>
    </w:p>
    <w:p>
      <w:pPr>
        <w:spacing w:line="273" w:lineRule="auto" w:before="1"/>
        <w:ind w:left="669" w:right="115" w:firstLine="284"/>
        <w:jc w:val="both"/>
        <w:rPr>
          <w:sz w:val="19"/>
        </w:rPr>
      </w:pPr>
      <w:r>
        <w:rPr>
          <w:color w:val="231F20"/>
          <w:spacing w:val="2"/>
          <w:sz w:val="19"/>
        </w:rPr>
        <w:t>Esta agresión </w:t>
      </w:r>
      <w:r>
        <w:rPr>
          <w:color w:val="231F20"/>
          <w:sz w:val="19"/>
        </w:rPr>
        <w:t>tiene por </w:t>
      </w:r>
      <w:r>
        <w:rPr>
          <w:color w:val="231F20"/>
          <w:spacing w:val="2"/>
          <w:sz w:val="19"/>
        </w:rPr>
        <w:t>característica </w:t>
      </w:r>
      <w:r>
        <w:rPr>
          <w:color w:val="231F20"/>
          <w:sz w:val="19"/>
        </w:rPr>
        <w:t>una </w:t>
      </w:r>
      <w:r>
        <w:rPr>
          <w:color w:val="231F20"/>
          <w:spacing w:val="2"/>
          <w:sz w:val="19"/>
        </w:rPr>
        <w:t>manera </w:t>
      </w:r>
      <w:r>
        <w:rPr>
          <w:color w:val="231F20"/>
          <w:sz w:val="19"/>
        </w:rPr>
        <w:t>de </w:t>
      </w:r>
      <w:r>
        <w:rPr>
          <w:color w:val="231F20"/>
          <w:spacing w:val="2"/>
          <w:sz w:val="19"/>
        </w:rPr>
        <w:t>tratar </w:t>
      </w:r>
      <w:r>
        <w:rPr>
          <w:color w:val="231F20"/>
          <w:sz w:val="19"/>
        </w:rPr>
        <w:t>el </w:t>
      </w:r>
      <w:r>
        <w:rPr>
          <w:color w:val="231F20"/>
          <w:spacing w:val="2"/>
          <w:sz w:val="19"/>
        </w:rPr>
        <w:t>lenguaje </w:t>
      </w:r>
      <w:r>
        <w:rPr>
          <w:color w:val="231F20"/>
          <w:sz w:val="19"/>
        </w:rPr>
        <w:t>y no la </w:t>
      </w:r>
      <w:r>
        <w:rPr>
          <w:color w:val="231F20"/>
          <w:spacing w:val="2"/>
          <w:sz w:val="19"/>
        </w:rPr>
        <w:t>adición </w:t>
      </w:r>
      <w:r>
        <w:rPr>
          <w:color w:val="231F20"/>
          <w:sz w:val="19"/>
        </w:rPr>
        <w:t>de </w:t>
      </w:r>
      <w:r>
        <w:rPr>
          <w:color w:val="231F20"/>
          <w:spacing w:val="2"/>
          <w:sz w:val="19"/>
        </w:rPr>
        <w:t>algunos giros, funciones </w:t>
      </w:r>
      <w:r>
        <w:rPr>
          <w:color w:val="231F20"/>
          <w:sz w:val="19"/>
        </w:rPr>
        <w:t>o </w:t>
      </w:r>
      <w:r>
        <w:rPr>
          <w:color w:val="231F20"/>
          <w:spacing w:val="2"/>
          <w:sz w:val="19"/>
        </w:rPr>
        <w:t>enunciados </w:t>
      </w:r>
      <w:r>
        <w:rPr>
          <w:color w:val="231F20"/>
          <w:sz w:val="19"/>
        </w:rPr>
        <w:t>de </w:t>
      </w:r>
      <w:r>
        <w:rPr>
          <w:color w:val="231F20"/>
          <w:spacing w:val="2"/>
          <w:sz w:val="19"/>
        </w:rPr>
        <w:t>más. Político, erótico </w:t>
      </w:r>
      <w:r>
        <w:rPr>
          <w:color w:val="231F20"/>
          <w:sz w:val="19"/>
        </w:rPr>
        <w:t>o </w:t>
      </w:r>
      <w:r>
        <w:rPr>
          <w:color w:val="231F20"/>
          <w:spacing w:val="2"/>
          <w:sz w:val="19"/>
        </w:rPr>
        <w:t>gratuito, </w:t>
      </w:r>
      <w:r>
        <w:rPr>
          <w:color w:val="231F20"/>
          <w:sz w:val="19"/>
        </w:rPr>
        <w:t>el </w:t>
      </w:r>
      <w:r>
        <w:rPr>
          <w:color w:val="231F20"/>
          <w:spacing w:val="2"/>
          <w:sz w:val="19"/>
        </w:rPr>
        <w:t>ultraje maltrata </w:t>
      </w:r>
      <w:r>
        <w:rPr>
          <w:color w:val="231F20"/>
          <w:sz w:val="19"/>
        </w:rPr>
        <w:t>la </w:t>
      </w:r>
      <w:r>
        <w:rPr>
          <w:color w:val="231F20"/>
          <w:spacing w:val="2"/>
          <w:sz w:val="19"/>
        </w:rPr>
        <w:t>lengua. </w:t>
      </w:r>
      <w:r>
        <w:rPr>
          <w:color w:val="231F20"/>
          <w:sz w:val="19"/>
        </w:rPr>
        <w:t>No </w:t>
      </w:r>
      <w:r>
        <w:rPr>
          <w:color w:val="231F20"/>
          <w:spacing w:val="2"/>
          <w:sz w:val="19"/>
        </w:rPr>
        <w:t>funda, golpea. </w:t>
      </w:r>
      <w:r>
        <w:rPr>
          <w:color w:val="231F20"/>
          <w:sz w:val="19"/>
        </w:rPr>
        <w:t>Es un </w:t>
      </w:r>
      <w:r>
        <w:rPr>
          <w:color w:val="231F20"/>
          <w:spacing w:val="2"/>
          <w:sz w:val="19"/>
        </w:rPr>
        <w:t>estilo, </w:t>
      </w:r>
      <w:r>
        <w:rPr>
          <w:color w:val="231F20"/>
          <w:sz w:val="19"/>
        </w:rPr>
        <w:t>una </w:t>
      </w:r>
      <w:r>
        <w:rPr>
          <w:color w:val="231F20"/>
          <w:spacing w:val="2"/>
          <w:sz w:val="19"/>
        </w:rPr>
        <w:t>manera </w:t>
      </w:r>
      <w:r>
        <w:rPr>
          <w:color w:val="231F20"/>
          <w:sz w:val="19"/>
        </w:rPr>
        <w:t>de </w:t>
      </w:r>
      <w:r>
        <w:rPr>
          <w:color w:val="231F20"/>
          <w:spacing w:val="2"/>
          <w:sz w:val="19"/>
        </w:rPr>
        <w:t>hablar. </w:t>
      </w:r>
      <w:r>
        <w:rPr>
          <w:color w:val="231F20"/>
          <w:sz w:val="19"/>
        </w:rPr>
        <w:t>Es la </w:t>
      </w:r>
      <w:r>
        <w:rPr>
          <w:color w:val="231F20"/>
          <w:spacing w:val="2"/>
          <w:sz w:val="19"/>
        </w:rPr>
        <w:t>fiesta efímera, surge como </w:t>
      </w:r>
      <w:r>
        <w:rPr>
          <w:color w:val="231F20"/>
          <w:sz w:val="19"/>
        </w:rPr>
        <w:t>el </w:t>
      </w:r>
      <w:r>
        <w:rPr>
          <w:color w:val="231F20"/>
          <w:spacing w:val="2"/>
          <w:sz w:val="19"/>
        </w:rPr>
        <w:t>absurdo. </w:t>
      </w:r>
      <w:r>
        <w:rPr>
          <w:color w:val="231F20"/>
          <w:sz w:val="19"/>
        </w:rPr>
        <w:t>Por eso </w:t>
      </w:r>
      <w:r>
        <w:rPr>
          <w:color w:val="231F20"/>
          <w:spacing w:val="2"/>
          <w:sz w:val="19"/>
        </w:rPr>
        <w:t>mismo, revela </w:t>
      </w:r>
      <w:r>
        <w:rPr>
          <w:color w:val="231F20"/>
          <w:sz w:val="19"/>
        </w:rPr>
        <w:t>la  </w:t>
      </w:r>
      <w:r>
        <w:rPr>
          <w:color w:val="231F20"/>
          <w:spacing w:val="47"/>
          <w:sz w:val="19"/>
        </w:rPr>
        <w:t> </w:t>
      </w:r>
      <w:r>
        <w:rPr>
          <w:color w:val="231F20"/>
          <w:spacing w:val="3"/>
          <w:sz w:val="19"/>
        </w:rPr>
        <w:t>violen-</w:t>
      </w:r>
    </w:p>
    <w:p>
      <w:pPr>
        <w:spacing w:after="0" w:line="273" w:lineRule="auto"/>
        <w:jc w:val="both"/>
        <w:rPr>
          <w:sz w:val="19"/>
        </w:rPr>
        <w:sectPr>
          <w:headerReference w:type="default" r:id="rId265"/>
          <w:footerReference w:type="default" r:id="rId266"/>
          <w:pgSz w:w="7830" w:h="11910"/>
          <w:pgMar w:header="0" w:footer="424" w:top="500" w:bottom="620" w:left="920" w:right="900"/>
          <w:pgNumType w:start="12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line="273" w:lineRule="auto" w:before="111"/>
        <w:ind w:left="669" w:right="115" w:firstLine="0"/>
        <w:jc w:val="both"/>
        <w:rPr>
          <w:sz w:val="19"/>
        </w:rPr>
      </w:pPr>
      <w:r>
        <w:rPr>
          <w:color w:val="231F20"/>
          <w:sz w:val="19"/>
        </w:rPr>
        <w:t>cia </w:t>
      </w:r>
      <w:r>
        <w:rPr>
          <w:color w:val="231F20"/>
          <w:spacing w:val="2"/>
          <w:sz w:val="19"/>
        </w:rPr>
        <w:t>encerrada </w:t>
      </w:r>
      <w:r>
        <w:rPr>
          <w:color w:val="231F20"/>
          <w:sz w:val="19"/>
        </w:rPr>
        <w:t>en una </w:t>
      </w:r>
      <w:r>
        <w:rPr>
          <w:color w:val="231F20"/>
          <w:spacing w:val="2"/>
          <w:sz w:val="19"/>
        </w:rPr>
        <w:t>orden. Desencadena </w:t>
      </w:r>
      <w:r>
        <w:rPr>
          <w:color w:val="231F20"/>
          <w:sz w:val="19"/>
        </w:rPr>
        <w:t>el </w:t>
      </w:r>
      <w:r>
        <w:rPr>
          <w:color w:val="231F20"/>
          <w:spacing w:val="2"/>
          <w:sz w:val="19"/>
        </w:rPr>
        <w:t>furor. Hace brotar </w:t>
      </w:r>
      <w:r>
        <w:rPr>
          <w:color w:val="231F20"/>
          <w:sz w:val="19"/>
        </w:rPr>
        <w:t>la </w:t>
      </w:r>
      <w:r>
        <w:rPr>
          <w:color w:val="231F20"/>
          <w:spacing w:val="2"/>
          <w:sz w:val="19"/>
        </w:rPr>
        <w:t>cólera entre </w:t>
      </w:r>
      <w:r>
        <w:rPr>
          <w:color w:val="231F20"/>
          <w:sz w:val="19"/>
        </w:rPr>
        <w:t>los que </w:t>
      </w:r>
      <w:r>
        <w:rPr>
          <w:color w:val="231F20"/>
          <w:spacing w:val="2"/>
          <w:sz w:val="19"/>
        </w:rPr>
        <w:t>habitan </w:t>
      </w:r>
      <w:r>
        <w:rPr>
          <w:color w:val="231F20"/>
          <w:sz w:val="19"/>
        </w:rPr>
        <w:t>en un </w:t>
      </w:r>
      <w:r>
        <w:rPr>
          <w:color w:val="231F20"/>
          <w:spacing w:val="2"/>
          <w:sz w:val="19"/>
        </w:rPr>
        <w:t>sistema </w:t>
      </w:r>
      <w:r>
        <w:rPr>
          <w:color w:val="231F20"/>
          <w:sz w:val="19"/>
        </w:rPr>
        <w:t>de  </w:t>
      </w:r>
      <w:r>
        <w:rPr>
          <w:color w:val="231F20"/>
          <w:spacing w:val="2"/>
          <w:sz w:val="19"/>
        </w:rPr>
        <w:t>producción. </w:t>
      </w:r>
      <w:r>
        <w:rPr>
          <w:color w:val="231F20"/>
          <w:spacing w:val="3"/>
          <w:sz w:val="19"/>
        </w:rPr>
        <w:t>Pero,  </w:t>
      </w:r>
      <w:r>
        <w:rPr>
          <w:color w:val="231F20"/>
          <w:sz w:val="19"/>
        </w:rPr>
        <w:t>una vez que este </w:t>
      </w:r>
      <w:r>
        <w:rPr>
          <w:color w:val="231F20"/>
          <w:spacing w:val="2"/>
          <w:sz w:val="19"/>
        </w:rPr>
        <w:t>juego </w:t>
      </w:r>
      <w:r>
        <w:rPr>
          <w:color w:val="231F20"/>
          <w:sz w:val="19"/>
        </w:rPr>
        <w:t>de la </w:t>
      </w:r>
      <w:r>
        <w:rPr>
          <w:color w:val="231F20"/>
          <w:spacing w:val="2"/>
          <w:sz w:val="19"/>
        </w:rPr>
        <w:t>verdad </w:t>
      </w:r>
      <w:r>
        <w:rPr>
          <w:color w:val="231F20"/>
          <w:sz w:val="19"/>
        </w:rPr>
        <w:t>ha </w:t>
      </w:r>
      <w:r>
        <w:rPr>
          <w:color w:val="231F20"/>
          <w:spacing w:val="2"/>
          <w:sz w:val="19"/>
        </w:rPr>
        <w:t>llevado </w:t>
      </w:r>
      <w:r>
        <w:rPr>
          <w:color w:val="231F20"/>
          <w:sz w:val="19"/>
        </w:rPr>
        <w:t>[a] la </w:t>
      </w:r>
      <w:r>
        <w:rPr>
          <w:color w:val="231F20"/>
          <w:spacing w:val="2"/>
          <w:sz w:val="19"/>
        </w:rPr>
        <w:t>violencia </w:t>
      </w:r>
      <w:r>
        <w:rPr>
          <w:color w:val="231F20"/>
          <w:sz w:val="19"/>
        </w:rPr>
        <w:t>a la </w:t>
      </w:r>
      <w:r>
        <w:rPr>
          <w:color w:val="231F20"/>
          <w:spacing w:val="2"/>
          <w:sz w:val="19"/>
        </w:rPr>
        <w:t>superficie </w:t>
      </w:r>
      <w:r>
        <w:rPr>
          <w:color w:val="231F20"/>
          <w:sz w:val="19"/>
        </w:rPr>
        <w:t>de un </w:t>
      </w:r>
      <w:r>
        <w:rPr>
          <w:color w:val="231F20"/>
          <w:spacing w:val="2"/>
          <w:sz w:val="19"/>
        </w:rPr>
        <w:t>orden, ¿qué puede pasar? […] Pese </w:t>
      </w:r>
      <w:r>
        <w:rPr>
          <w:color w:val="231F20"/>
          <w:sz w:val="19"/>
        </w:rPr>
        <w:t>a </w:t>
      </w:r>
      <w:r>
        <w:rPr>
          <w:color w:val="231F20"/>
          <w:spacing w:val="2"/>
          <w:sz w:val="19"/>
        </w:rPr>
        <w:t>todo, esta violencia queda </w:t>
      </w:r>
      <w:r>
        <w:rPr>
          <w:color w:val="231F20"/>
          <w:sz w:val="19"/>
        </w:rPr>
        <w:t>en la </w:t>
      </w:r>
      <w:r>
        <w:rPr>
          <w:i/>
          <w:color w:val="231F20"/>
          <w:spacing w:val="2"/>
          <w:sz w:val="19"/>
        </w:rPr>
        <w:t>expresividad. </w:t>
      </w:r>
      <w:r>
        <w:rPr>
          <w:color w:val="231F20"/>
          <w:spacing w:val="2"/>
          <w:sz w:val="19"/>
        </w:rPr>
        <w:t>Permanece como </w:t>
      </w:r>
      <w:r>
        <w:rPr>
          <w:color w:val="231F20"/>
          <w:sz w:val="19"/>
        </w:rPr>
        <w:t>un </w:t>
      </w:r>
      <w:r>
        <w:rPr>
          <w:color w:val="231F20"/>
          <w:spacing w:val="2"/>
          <w:sz w:val="19"/>
        </w:rPr>
        <w:t>discurso </w:t>
      </w:r>
      <w:r>
        <w:rPr>
          <w:color w:val="231F20"/>
          <w:sz w:val="19"/>
        </w:rPr>
        <w:t>de </w:t>
      </w:r>
      <w:r>
        <w:rPr>
          <w:color w:val="231F20"/>
          <w:spacing w:val="2"/>
          <w:sz w:val="19"/>
        </w:rPr>
        <w:t>protesta, </w:t>
      </w:r>
      <w:r>
        <w:rPr>
          <w:color w:val="231F20"/>
          <w:sz w:val="19"/>
        </w:rPr>
        <w:t>aun si es el </w:t>
      </w:r>
      <w:r>
        <w:rPr>
          <w:color w:val="231F20"/>
          <w:spacing w:val="2"/>
          <w:sz w:val="19"/>
        </w:rPr>
        <w:t>revés </w:t>
      </w:r>
      <w:r>
        <w:rPr>
          <w:color w:val="231F20"/>
          <w:sz w:val="19"/>
        </w:rPr>
        <w:t>y la </w:t>
      </w:r>
      <w:r>
        <w:rPr>
          <w:color w:val="231F20"/>
          <w:spacing w:val="2"/>
          <w:sz w:val="19"/>
        </w:rPr>
        <w:t>ruptura </w:t>
      </w:r>
      <w:r>
        <w:rPr>
          <w:color w:val="231F20"/>
          <w:sz w:val="19"/>
        </w:rPr>
        <w:t>de </w:t>
      </w:r>
      <w:r>
        <w:rPr>
          <w:color w:val="231F20"/>
          <w:spacing w:val="2"/>
          <w:sz w:val="19"/>
        </w:rPr>
        <w:t>discurso universal </w:t>
      </w:r>
      <w:r>
        <w:rPr>
          <w:color w:val="231F20"/>
          <w:sz w:val="19"/>
        </w:rPr>
        <w:t>de  la </w:t>
      </w:r>
      <w:r>
        <w:rPr>
          <w:color w:val="231F20"/>
          <w:spacing w:val="2"/>
          <w:sz w:val="19"/>
        </w:rPr>
        <w:t>mediación. </w:t>
      </w:r>
      <w:r>
        <w:rPr>
          <w:color w:val="231F20"/>
          <w:sz w:val="19"/>
        </w:rPr>
        <w:t>No </w:t>
      </w:r>
      <w:r>
        <w:rPr>
          <w:color w:val="231F20"/>
          <w:spacing w:val="2"/>
          <w:sz w:val="19"/>
        </w:rPr>
        <w:t>está desvinculada </w:t>
      </w:r>
      <w:r>
        <w:rPr>
          <w:color w:val="231F20"/>
          <w:sz w:val="19"/>
        </w:rPr>
        <w:t>de la </w:t>
      </w:r>
      <w:r>
        <w:rPr>
          <w:color w:val="231F20"/>
          <w:spacing w:val="2"/>
          <w:sz w:val="19"/>
        </w:rPr>
        <w:t>impotencia propia </w:t>
      </w:r>
      <w:r>
        <w:rPr>
          <w:color w:val="231F20"/>
          <w:sz w:val="19"/>
        </w:rPr>
        <w:t>de un </w:t>
      </w:r>
      <w:r>
        <w:rPr>
          <w:color w:val="231F20"/>
          <w:spacing w:val="2"/>
          <w:sz w:val="19"/>
        </w:rPr>
        <w:t>lenguaje desconectado </w:t>
      </w:r>
      <w:r>
        <w:rPr>
          <w:color w:val="231F20"/>
          <w:sz w:val="19"/>
        </w:rPr>
        <w:t>de la </w:t>
      </w:r>
      <w:r>
        <w:rPr>
          <w:color w:val="231F20"/>
          <w:spacing w:val="2"/>
          <w:sz w:val="19"/>
        </w:rPr>
        <w:t>violencia </w:t>
      </w:r>
      <w:r>
        <w:rPr>
          <w:color w:val="231F20"/>
          <w:sz w:val="19"/>
        </w:rPr>
        <w:t>que </w:t>
      </w:r>
      <w:r>
        <w:rPr>
          <w:color w:val="231F20"/>
          <w:spacing w:val="2"/>
          <w:sz w:val="19"/>
        </w:rPr>
        <w:t>niega. Dicho </w:t>
      </w:r>
      <w:r>
        <w:rPr>
          <w:color w:val="231F20"/>
          <w:sz w:val="19"/>
        </w:rPr>
        <w:t>de </w:t>
      </w:r>
      <w:r>
        <w:rPr>
          <w:color w:val="231F20"/>
          <w:spacing w:val="2"/>
          <w:sz w:val="19"/>
        </w:rPr>
        <w:t>otro modo, </w:t>
      </w:r>
      <w:r>
        <w:rPr>
          <w:color w:val="231F20"/>
          <w:sz w:val="19"/>
        </w:rPr>
        <w:t>no </w:t>
      </w:r>
      <w:r>
        <w:rPr>
          <w:color w:val="231F20"/>
          <w:spacing w:val="2"/>
          <w:sz w:val="19"/>
        </w:rPr>
        <w:t>articula </w:t>
      </w:r>
      <w:r>
        <w:rPr>
          <w:color w:val="231F20"/>
          <w:sz w:val="19"/>
        </w:rPr>
        <w:t>una </w:t>
      </w:r>
      <w:r>
        <w:rPr>
          <w:color w:val="231F20"/>
          <w:spacing w:val="2"/>
          <w:sz w:val="19"/>
        </w:rPr>
        <w:t>fuerza distinta </w:t>
      </w:r>
      <w:r>
        <w:rPr>
          <w:color w:val="231F20"/>
          <w:sz w:val="19"/>
        </w:rPr>
        <w:t>y </w:t>
      </w:r>
      <w:r>
        <w:rPr>
          <w:color w:val="231F20"/>
          <w:spacing w:val="2"/>
          <w:sz w:val="19"/>
        </w:rPr>
        <w:t>declarada entre </w:t>
      </w:r>
      <w:r>
        <w:rPr>
          <w:color w:val="231F20"/>
          <w:sz w:val="19"/>
        </w:rPr>
        <w:t>los otros. </w:t>
      </w:r>
      <w:r>
        <w:rPr>
          <w:color w:val="231F20"/>
          <w:spacing w:val="2"/>
          <w:sz w:val="19"/>
        </w:rPr>
        <w:t>[Es </w:t>
      </w:r>
      <w:r>
        <w:rPr>
          <w:color w:val="231F20"/>
          <w:sz w:val="19"/>
        </w:rPr>
        <w:t>un </w:t>
      </w:r>
      <w:r>
        <w:rPr>
          <w:color w:val="231F20"/>
          <w:spacing w:val="2"/>
          <w:sz w:val="19"/>
        </w:rPr>
        <w:t>signo]. Obra </w:t>
      </w:r>
      <w:r>
        <w:rPr>
          <w:color w:val="231F20"/>
          <w:sz w:val="19"/>
        </w:rPr>
        <w:t>los </w:t>
      </w:r>
      <w:r>
        <w:rPr>
          <w:color w:val="231F20"/>
          <w:spacing w:val="2"/>
          <w:sz w:val="19"/>
        </w:rPr>
        <w:t>posibles. </w:t>
      </w:r>
      <w:r>
        <w:rPr>
          <w:color w:val="231F20"/>
          <w:sz w:val="19"/>
        </w:rPr>
        <w:t>A este </w:t>
      </w:r>
      <w:r>
        <w:rPr>
          <w:color w:val="231F20"/>
          <w:spacing w:val="2"/>
          <w:sz w:val="19"/>
        </w:rPr>
        <w:t>propósito, </w:t>
      </w:r>
      <w:r>
        <w:rPr>
          <w:color w:val="231F20"/>
          <w:sz w:val="19"/>
        </w:rPr>
        <w:t>es </w:t>
      </w:r>
      <w:r>
        <w:rPr>
          <w:color w:val="231F20"/>
          <w:spacing w:val="2"/>
          <w:sz w:val="19"/>
        </w:rPr>
        <w:t>pertinente. Pero </w:t>
      </w:r>
      <w:r>
        <w:rPr>
          <w:color w:val="231F20"/>
          <w:sz w:val="19"/>
        </w:rPr>
        <w:t>no </w:t>
      </w:r>
      <w:r>
        <w:rPr>
          <w:color w:val="231F20"/>
          <w:spacing w:val="2"/>
          <w:sz w:val="19"/>
        </w:rPr>
        <w:t>crea. Disuelve, pero </w:t>
      </w:r>
      <w:r>
        <w:rPr>
          <w:color w:val="231F20"/>
          <w:sz w:val="19"/>
        </w:rPr>
        <w:t>no </w:t>
      </w:r>
      <w:r>
        <w:rPr>
          <w:color w:val="231F20"/>
          <w:spacing w:val="2"/>
          <w:sz w:val="19"/>
        </w:rPr>
        <w:t>instaura. </w:t>
      </w:r>
      <w:r>
        <w:rPr>
          <w:color w:val="231F20"/>
          <w:sz w:val="19"/>
        </w:rPr>
        <w:t>Lo </w:t>
      </w:r>
      <w:r>
        <w:rPr>
          <w:color w:val="231F20"/>
          <w:spacing w:val="2"/>
          <w:sz w:val="19"/>
        </w:rPr>
        <w:t>cierto </w:t>
      </w:r>
      <w:r>
        <w:rPr>
          <w:color w:val="231F20"/>
          <w:sz w:val="19"/>
        </w:rPr>
        <w:t>es que la </w:t>
      </w:r>
      <w:r>
        <w:rPr>
          <w:color w:val="231F20"/>
          <w:spacing w:val="2"/>
          <w:sz w:val="19"/>
        </w:rPr>
        <w:t>vio- lencia indica </w:t>
      </w:r>
      <w:r>
        <w:rPr>
          <w:color w:val="231F20"/>
          <w:sz w:val="19"/>
        </w:rPr>
        <w:t>un </w:t>
      </w:r>
      <w:r>
        <w:rPr>
          <w:color w:val="231F20"/>
          <w:spacing w:val="2"/>
          <w:sz w:val="19"/>
        </w:rPr>
        <w:t>cambio necesario. </w:t>
      </w:r>
      <w:r>
        <w:rPr>
          <w:color w:val="231F20"/>
          <w:sz w:val="19"/>
        </w:rPr>
        <w:t>Ni la </w:t>
      </w:r>
      <w:r>
        <w:rPr>
          <w:color w:val="231F20"/>
          <w:spacing w:val="2"/>
          <w:sz w:val="19"/>
        </w:rPr>
        <w:t>seguridad alienante </w:t>
      </w:r>
      <w:r>
        <w:rPr>
          <w:color w:val="231F20"/>
          <w:sz w:val="19"/>
        </w:rPr>
        <w:t>de un </w:t>
      </w:r>
      <w:r>
        <w:rPr>
          <w:color w:val="231F20"/>
          <w:spacing w:val="2"/>
          <w:sz w:val="19"/>
        </w:rPr>
        <w:t>orden anónimo, </w:t>
      </w:r>
      <w:r>
        <w:rPr>
          <w:color w:val="231F20"/>
          <w:sz w:val="19"/>
        </w:rPr>
        <w:t>ni el </w:t>
      </w:r>
      <w:r>
        <w:rPr>
          <w:color w:val="231F20"/>
          <w:spacing w:val="2"/>
          <w:sz w:val="19"/>
        </w:rPr>
        <w:t>desafío </w:t>
      </w:r>
      <w:r>
        <w:rPr>
          <w:color w:val="231F20"/>
          <w:sz w:val="19"/>
        </w:rPr>
        <w:t>de la </w:t>
      </w:r>
      <w:r>
        <w:rPr>
          <w:color w:val="231F20"/>
          <w:spacing w:val="2"/>
          <w:sz w:val="19"/>
        </w:rPr>
        <w:t>pura violencia pueden </w:t>
      </w:r>
      <w:r>
        <w:rPr>
          <w:color w:val="231F20"/>
          <w:spacing w:val="3"/>
          <w:sz w:val="19"/>
        </w:rPr>
        <w:t>respon- </w:t>
      </w:r>
      <w:r>
        <w:rPr>
          <w:color w:val="231F20"/>
          <w:sz w:val="19"/>
        </w:rPr>
        <w:t>der a la </w:t>
      </w:r>
      <w:r>
        <w:rPr>
          <w:color w:val="231F20"/>
          <w:spacing w:val="2"/>
          <w:sz w:val="19"/>
        </w:rPr>
        <w:t>tarea </w:t>
      </w:r>
      <w:r>
        <w:rPr>
          <w:color w:val="231F20"/>
          <w:sz w:val="19"/>
        </w:rPr>
        <w:t>que se </w:t>
      </w:r>
      <w:r>
        <w:rPr>
          <w:color w:val="231F20"/>
          <w:spacing w:val="2"/>
          <w:sz w:val="19"/>
        </w:rPr>
        <w:t>torna urgente, </w:t>
      </w:r>
      <w:r>
        <w:rPr>
          <w:color w:val="231F20"/>
          <w:sz w:val="19"/>
        </w:rPr>
        <w:t>la </w:t>
      </w:r>
      <w:r>
        <w:rPr>
          <w:color w:val="231F20"/>
          <w:spacing w:val="2"/>
          <w:sz w:val="19"/>
        </w:rPr>
        <w:t>tautología reinante </w:t>
      </w:r>
      <w:r>
        <w:rPr>
          <w:color w:val="231F20"/>
          <w:sz w:val="19"/>
        </w:rPr>
        <w:t>de los </w:t>
      </w:r>
      <w:r>
        <w:rPr>
          <w:color w:val="231F20"/>
          <w:spacing w:val="2"/>
          <w:sz w:val="19"/>
        </w:rPr>
        <w:t>objetos </w:t>
      </w:r>
      <w:r>
        <w:rPr>
          <w:color w:val="231F20"/>
          <w:sz w:val="19"/>
        </w:rPr>
        <w:t>a los </w:t>
      </w:r>
      <w:r>
        <w:rPr>
          <w:color w:val="231F20"/>
          <w:spacing w:val="2"/>
          <w:sz w:val="19"/>
        </w:rPr>
        <w:t>cuales parece haberse identificado </w:t>
      </w:r>
      <w:r>
        <w:rPr>
          <w:color w:val="231F20"/>
          <w:sz w:val="19"/>
        </w:rPr>
        <w:t>la </w:t>
      </w:r>
      <w:r>
        <w:rPr>
          <w:color w:val="231F20"/>
          <w:spacing w:val="2"/>
          <w:sz w:val="19"/>
        </w:rPr>
        <w:t>salvación </w:t>
      </w:r>
      <w:r>
        <w:rPr>
          <w:color w:val="231F20"/>
          <w:sz w:val="19"/>
        </w:rPr>
        <w:t>de los </w:t>
      </w:r>
      <w:r>
        <w:rPr>
          <w:color w:val="231F20"/>
          <w:spacing w:val="2"/>
          <w:sz w:val="19"/>
        </w:rPr>
        <w:t>nuevos siervos” </w:t>
      </w:r>
      <w:r>
        <w:rPr>
          <w:color w:val="231F20"/>
          <w:sz w:val="19"/>
        </w:rPr>
        <w:t>(de </w:t>
      </w:r>
      <w:r>
        <w:rPr>
          <w:color w:val="231F20"/>
          <w:spacing w:val="2"/>
          <w:sz w:val="19"/>
        </w:rPr>
        <w:t>Certeau, 1999:</w:t>
      </w:r>
      <w:r>
        <w:rPr>
          <w:color w:val="231F20"/>
          <w:spacing w:val="-5"/>
          <w:sz w:val="19"/>
        </w:rPr>
        <w:t> </w:t>
      </w:r>
      <w:r>
        <w:rPr>
          <w:color w:val="231F20"/>
          <w:spacing w:val="2"/>
          <w:sz w:val="19"/>
        </w:rPr>
        <w:t>77-79).</w:t>
      </w:r>
    </w:p>
    <w:p>
      <w:pPr>
        <w:pStyle w:val="BodyText"/>
        <w:spacing w:before="8"/>
        <w:rPr>
          <w:sz w:val="20"/>
        </w:rPr>
      </w:pPr>
    </w:p>
    <w:p>
      <w:pPr>
        <w:pStyle w:val="BodyText"/>
        <w:spacing w:line="247" w:lineRule="auto"/>
        <w:ind w:left="102" w:right="115" w:firstLine="284"/>
        <w:jc w:val="both"/>
      </w:pPr>
      <w:r>
        <w:rPr>
          <w:color w:val="231F20"/>
        </w:rPr>
        <w:t>Solo una lucha puede hacerse cargo de lo que la violencia se contenta con significar y lograr un trabajo articulado sobre sus fuerzas. La desmitificación del lenguaje por la violencia obra sobre un combate político, efectivo y no solo literario, que implica to- mar en serio los riesgos del compromiso con los reprimidos que defienden y promueven la diferencia.</w:t>
      </w:r>
    </w:p>
    <w:p>
      <w:pPr>
        <w:pStyle w:val="BodyText"/>
        <w:spacing w:line="249" w:lineRule="auto" w:before="1"/>
        <w:ind w:left="102" w:right="115" w:firstLine="283"/>
        <w:jc w:val="both"/>
      </w:pPr>
      <w:r>
        <w:rPr>
          <w:color w:val="231F20"/>
        </w:rPr>
        <w:t>En </w:t>
      </w:r>
      <w:r>
        <w:rPr>
          <w:color w:val="231F20"/>
          <w:spacing w:val="2"/>
        </w:rPr>
        <w:t>este texto </w:t>
      </w:r>
      <w:r>
        <w:rPr>
          <w:color w:val="231F20"/>
          <w:spacing w:val="3"/>
        </w:rPr>
        <w:t>partimos </w:t>
      </w:r>
      <w:r>
        <w:rPr>
          <w:color w:val="231F20"/>
        </w:rPr>
        <w:t>de </w:t>
      </w:r>
      <w:r>
        <w:rPr>
          <w:color w:val="231F20"/>
          <w:spacing w:val="2"/>
        </w:rPr>
        <w:t>una idea central: </w:t>
      </w:r>
      <w:r>
        <w:rPr>
          <w:color w:val="231F20"/>
        </w:rPr>
        <w:t>la </w:t>
      </w:r>
      <w:r>
        <w:rPr>
          <w:color w:val="231F20"/>
          <w:spacing w:val="2"/>
        </w:rPr>
        <w:t>institución edu- cativa </w:t>
      </w:r>
      <w:r>
        <w:rPr>
          <w:color w:val="231F20"/>
        </w:rPr>
        <w:t>es un </w:t>
      </w:r>
      <w:r>
        <w:rPr>
          <w:color w:val="231F20"/>
          <w:spacing w:val="3"/>
        </w:rPr>
        <w:t>campo </w:t>
      </w:r>
      <w:r>
        <w:rPr>
          <w:color w:val="231F20"/>
        </w:rPr>
        <w:t>de </w:t>
      </w:r>
      <w:r>
        <w:rPr>
          <w:color w:val="231F20"/>
          <w:spacing w:val="2"/>
        </w:rPr>
        <w:t>conflicto. Esta idea subraya </w:t>
      </w:r>
      <w:r>
        <w:rPr>
          <w:color w:val="231F20"/>
        </w:rPr>
        <w:t>la </w:t>
      </w:r>
      <w:r>
        <w:rPr>
          <w:color w:val="231F20"/>
          <w:spacing w:val="2"/>
        </w:rPr>
        <w:t>violencia </w:t>
      </w:r>
      <w:r>
        <w:rPr>
          <w:color w:val="231F20"/>
          <w:spacing w:val="3"/>
        </w:rPr>
        <w:t>como </w:t>
      </w:r>
      <w:r>
        <w:rPr>
          <w:color w:val="231F20"/>
        </w:rPr>
        <w:t>un </w:t>
      </w:r>
      <w:r>
        <w:rPr>
          <w:color w:val="231F20"/>
          <w:spacing w:val="3"/>
        </w:rPr>
        <w:t>componente </w:t>
      </w:r>
      <w:r>
        <w:rPr>
          <w:color w:val="231F20"/>
          <w:spacing w:val="2"/>
        </w:rPr>
        <w:t>esencial con base </w:t>
      </w:r>
      <w:r>
        <w:rPr>
          <w:color w:val="231F20"/>
        </w:rPr>
        <w:t>en el </w:t>
      </w:r>
      <w:r>
        <w:rPr>
          <w:color w:val="231F20"/>
          <w:spacing w:val="2"/>
        </w:rPr>
        <w:t>cual </w:t>
      </w:r>
      <w:r>
        <w:rPr>
          <w:color w:val="231F20"/>
        </w:rPr>
        <w:t>se </w:t>
      </w:r>
      <w:r>
        <w:rPr>
          <w:color w:val="231F20"/>
          <w:spacing w:val="2"/>
        </w:rPr>
        <w:t>organiza </w:t>
      </w:r>
      <w:r>
        <w:rPr>
          <w:color w:val="231F20"/>
        </w:rPr>
        <w:t>un </w:t>
      </w:r>
      <w:r>
        <w:rPr>
          <w:color w:val="231F20"/>
          <w:spacing w:val="2"/>
        </w:rPr>
        <w:t>sistema jerárquico </w:t>
      </w:r>
      <w:r>
        <w:rPr>
          <w:color w:val="231F20"/>
        </w:rPr>
        <w:t>de </w:t>
      </w:r>
      <w:r>
        <w:rPr>
          <w:color w:val="231F20"/>
          <w:spacing w:val="2"/>
        </w:rPr>
        <w:t>orden </w:t>
      </w:r>
      <w:r>
        <w:rPr>
          <w:color w:val="231F20"/>
        </w:rPr>
        <w:t>que </w:t>
      </w:r>
      <w:r>
        <w:rPr>
          <w:color w:val="231F20"/>
          <w:spacing w:val="2"/>
        </w:rPr>
        <w:t>legitima </w:t>
      </w:r>
      <w:r>
        <w:rPr>
          <w:color w:val="231F20"/>
        </w:rPr>
        <w:t>la </w:t>
      </w:r>
      <w:r>
        <w:rPr>
          <w:color w:val="231F20"/>
          <w:spacing w:val="2"/>
        </w:rPr>
        <w:t>violencia </w:t>
      </w:r>
      <w:r>
        <w:rPr>
          <w:color w:val="231F20"/>
        </w:rPr>
        <w:t>y su </w:t>
      </w:r>
      <w:r>
        <w:rPr>
          <w:color w:val="231F20"/>
          <w:spacing w:val="3"/>
        </w:rPr>
        <w:t>distribu- </w:t>
      </w:r>
      <w:r>
        <w:rPr>
          <w:color w:val="231F20"/>
          <w:spacing w:val="2"/>
        </w:rPr>
        <w:t>ción </w:t>
      </w:r>
      <w:r>
        <w:rPr>
          <w:color w:val="231F20"/>
        </w:rPr>
        <w:t>a lo </w:t>
      </w:r>
      <w:r>
        <w:rPr>
          <w:color w:val="231F20"/>
          <w:spacing w:val="2"/>
        </w:rPr>
        <w:t>largo del sistema </w:t>
      </w:r>
      <w:r>
        <w:rPr>
          <w:color w:val="231F20"/>
        </w:rPr>
        <w:t>y de </w:t>
      </w:r>
      <w:r>
        <w:rPr>
          <w:color w:val="231F20"/>
          <w:spacing w:val="2"/>
        </w:rPr>
        <w:t>sus </w:t>
      </w:r>
      <w:r>
        <w:rPr>
          <w:color w:val="231F20"/>
          <w:spacing w:val="3"/>
        </w:rPr>
        <w:t>elementos. </w:t>
      </w:r>
      <w:r>
        <w:rPr>
          <w:color w:val="231F20"/>
          <w:spacing w:val="2"/>
        </w:rPr>
        <w:t>Por </w:t>
      </w:r>
      <w:r>
        <w:rPr>
          <w:color w:val="231F20"/>
        </w:rPr>
        <w:t>lo </w:t>
      </w:r>
      <w:r>
        <w:rPr>
          <w:color w:val="231F20"/>
          <w:spacing w:val="2"/>
        </w:rPr>
        <w:t>tanto, </w:t>
      </w:r>
      <w:r>
        <w:rPr>
          <w:color w:val="231F20"/>
          <w:spacing w:val="3"/>
        </w:rPr>
        <w:t>esta </w:t>
      </w:r>
      <w:r>
        <w:rPr>
          <w:color w:val="231F20"/>
          <w:spacing w:val="58"/>
        </w:rPr>
        <w:t> </w:t>
      </w:r>
      <w:r>
        <w:rPr>
          <w:color w:val="231F20"/>
        </w:rPr>
        <w:t>no es </w:t>
      </w:r>
      <w:r>
        <w:rPr>
          <w:color w:val="231F20"/>
          <w:spacing w:val="2"/>
        </w:rPr>
        <w:t>arbitraria sino regulada </w:t>
      </w:r>
      <w:r>
        <w:rPr>
          <w:color w:val="231F20"/>
        </w:rPr>
        <w:t>y </w:t>
      </w:r>
      <w:r>
        <w:rPr>
          <w:color w:val="231F20"/>
          <w:spacing w:val="2"/>
        </w:rPr>
        <w:t>aceptada por los actores </w:t>
      </w:r>
      <w:r>
        <w:rPr>
          <w:color w:val="231F20"/>
        </w:rPr>
        <w:t>y la </w:t>
      </w:r>
      <w:r>
        <w:rPr>
          <w:color w:val="231F20"/>
          <w:spacing w:val="2"/>
        </w:rPr>
        <w:t>insti- tución. </w:t>
      </w:r>
      <w:r>
        <w:rPr>
          <w:color w:val="231F20"/>
        </w:rPr>
        <w:t>Se </w:t>
      </w:r>
      <w:r>
        <w:rPr>
          <w:color w:val="231F20"/>
          <w:spacing w:val="2"/>
        </w:rPr>
        <w:t>trata, </w:t>
      </w:r>
      <w:r>
        <w:rPr>
          <w:color w:val="231F20"/>
          <w:spacing w:val="3"/>
        </w:rPr>
        <w:t>asimismo, </w:t>
      </w:r>
      <w:r>
        <w:rPr>
          <w:color w:val="231F20"/>
        </w:rPr>
        <w:t>de </w:t>
      </w:r>
      <w:r>
        <w:rPr>
          <w:color w:val="231F20"/>
          <w:spacing w:val="2"/>
        </w:rPr>
        <w:t>una </w:t>
      </w:r>
      <w:r>
        <w:rPr>
          <w:color w:val="231F20"/>
          <w:spacing w:val="3"/>
        </w:rPr>
        <w:t>dominación </w:t>
      </w:r>
      <w:r>
        <w:rPr>
          <w:color w:val="231F20"/>
          <w:spacing w:val="2"/>
        </w:rPr>
        <w:t>que </w:t>
      </w:r>
      <w:r>
        <w:rPr>
          <w:color w:val="231F20"/>
        </w:rPr>
        <w:t>la </w:t>
      </w:r>
      <w:r>
        <w:rPr>
          <w:color w:val="231F20"/>
          <w:spacing w:val="3"/>
        </w:rPr>
        <w:t>institución </w:t>
      </w:r>
      <w:r>
        <w:rPr>
          <w:color w:val="231F20"/>
          <w:spacing w:val="2"/>
        </w:rPr>
        <w:t>educativa practica por medio </w:t>
      </w:r>
      <w:r>
        <w:rPr>
          <w:color w:val="231F20"/>
        </w:rPr>
        <w:t>de lo </w:t>
      </w:r>
      <w:r>
        <w:rPr>
          <w:color w:val="231F20"/>
          <w:spacing w:val="2"/>
        </w:rPr>
        <w:t>que  </w:t>
      </w:r>
      <w:r>
        <w:rPr>
          <w:color w:val="231F20"/>
          <w:spacing w:val="3"/>
        </w:rPr>
        <w:t>Bourdieu  </w:t>
      </w:r>
      <w:r>
        <w:rPr>
          <w:color w:val="231F20"/>
          <w:spacing w:val="2"/>
        </w:rPr>
        <w:t>define  </w:t>
      </w:r>
      <w:r>
        <w:rPr>
          <w:color w:val="231F20"/>
          <w:spacing w:val="3"/>
        </w:rPr>
        <w:t>como </w:t>
      </w:r>
      <w:r>
        <w:rPr>
          <w:color w:val="231F20"/>
          <w:spacing w:val="2"/>
        </w:rPr>
        <w:t>“una visión meritocrática” que </w:t>
      </w:r>
      <w:r>
        <w:rPr>
          <w:color w:val="231F20"/>
        </w:rPr>
        <w:t>se </w:t>
      </w:r>
      <w:r>
        <w:rPr>
          <w:color w:val="231F20"/>
          <w:spacing w:val="2"/>
        </w:rPr>
        <w:t>despliega</w:t>
      </w:r>
      <w:r>
        <w:rPr>
          <w:color w:val="231F20"/>
          <w:spacing w:val="-6"/>
        </w:rPr>
        <w:t> </w:t>
      </w:r>
      <w:r>
        <w:rPr>
          <w:color w:val="231F20"/>
          <w:spacing w:val="2"/>
        </w:rPr>
        <w:t>en:</w:t>
      </w:r>
    </w:p>
    <w:p>
      <w:pPr>
        <w:pStyle w:val="BodyText"/>
        <w:spacing w:before="1"/>
        <w:rPr>
          <w:sz w:val="23"/>
        </w:rPr>
      </w:pPr>
    </w:p>
    <w:p>
      <w:pPr>
        <w:spacing w:line="273" w:lineRule="auto" w:before="0"/>
        <w:ind w:left="810" w:right="164" w:firstLine="0"/>
        <w:jc w:val="both"/>
        <w:rPr>
          <w:sz w:val="19"/>
        </w:rPr>
      </w:pPr>
      <w:r>
        <w:rPr>
          <w:color w:val="231F20"/>
          <w:sz w:val="19"/>
        </w:rPr>
        <w:t>(…) la distribución de las posiciones jerárquicas, a través del ajuste de los títulos (escolares), cuyo papel es capital en la prepa- ración para la obrerización… La idea, inculcada por la Escuela, de que las personas tienen los puestos que se merecen en fun- ción de su instrucción y de sus </w:t>
      </w:r>
      <w:r>
        <w:rPr>
          <w:i/>
          <w:color w:val="231F20"/>
          <w:sz w:val="19"/>
        </w:rPr>
        <w:t>títulos</w:t>
      </w:r>
      <w:r>
        <w:rPr>
          <w:color w:val="231F20"/>
          <w:sz w:val="19"/>
        </w:rPr>
        <w:t>juega un papel determinante en la imposición de las jerarquías en el trabajo y fuera del  </w:t>
      </w:r>
      <w:r>
        <w:rPr>
          <w:color w:val="231F20"/>
          <w:spacing w:val="33"/>
          <w:sz w:val="19"/>
        </w:rPr>
        <w:t> </w:t>
      </w:r>
      <w:r>
        <w:rPr>
          <w:color w:val="231F20"/>
          <w:sz w:val="19"/>
        </w:rPr>
        <w:t>traba-</w:t>
      </w:r>
    </w:p>
    <w:p>
      <w:pPr>
        <w:spacing w:after="0" w:line="273" w:lineRule="auto"/>
        <w:jc w:val="both"/>
        <w:rPr>
          <w:sz w:val="19"/>
        </w:rPr>
        <w:sectPr>
          <w:headerReference w:type="default" r:id="rId267"/>
          <w:footerReference w:type="default" r:id="rId268"/>
          <w:pgSz w:w="7830" w:h="11910"/>
          <w:pgMar w:header="0" w:footer="424" w:top="500" w:bottom="620" w:left="920" w:right="900"/>
          <w:pgNumType w:start="12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3" w:lineRule="auto" w:before="111"/>
        <w:ind w:left="810" w:right="165" w:firstLine="0"/>
        <w:jc w:val="both"/>
        <w:rPr>
          <w:sz w:val="19"/>
        </w:rPr>
      </w:pPr>
      <w:r>
        <w:rPr>
          <w:color w:val="231F20"/>
          <w:sz w:val="19"/>
        </w:rPr>
        <w:t>jo: considerar el título escolar como el título nobiliario de nues- tra sociedad no es una analogía salvaje; tiene un papel capital en este proceso de inculcación de las buenas maneras en las rela- ciones</w:t>
      </w:r>
      <w:r>
        <w:rPr>
          <w:color w:val="231F20"/>
          <w:spacing w:val="-14"/>
          <w:sz w:val="19"/>
        </w:rPr>
        <w:t> </w:t>
      </w:r>
      <w:r>
        <w:rPr>
          <w:color w:val="231F20"/>
          <w:sz w:val="19"/>
        </w:rPr>
        <w:t>de</w:t>
      </w:r>
      <w:r>
        <w:rPr>
          <w:color w:val="231F20"/>
          <w:spacing w:val="-14"/>
          <w:sz w:val="19"/>
        </w:rPr>
        <w:t> </w:t>
      </w:r>
      <w:r>
        <w:rPr>
          <w:color w:val="231F20"/>
          <w:sz w:val="19"/>
        </w:rPr>
        <w:t>clase</w:t>
      </w:r>
      <w:r>
        <w:rPr>
          <w:color w:val="231F20"/>
          <w:spacing w:val="-14"/>
          <w:sz w:val="19"/>
        </w:rPr>
        <w:t> </w:t>
      </w:r>
      <w:r>
        <w:rPr>
          <w:color w:val="231F20"/>
          <w:sz w:val="19"/>
        </w:rPr>
        <w:t>(2003:53).</w:t>
      </w:r>
    </w:p>
    <w:p>
      <w:pPr>
        <w:pStyle w:val="BodyText"/>
        <w:spacing w:before="4"/>
        <w:rPr>
          <w:sz w:val="19"/>
        </w:rPr>
      </w:pPr>
    </w:p>
    <w:p>
      <w:pPr>
        <w:pStyle w:val="BodyText"/>
        <w:spacing w:line="244" w:lineRule="auto"/>
        <w:ind w:left="102" w:right="113" w:firstLine="284"/>
        <w:jc w:val="both"/>
      </w:pPr>
      <w:r>
        <w:rPr>
          <w:color w:val="231F20"/>
        </w:rPr>
        <w:t>Para fines analíticos, se retoman algunas definiciones que son de uso común del concepto disciplina a fin de precisar la diferencia entre este término y el de violencia escolar. Se conoce como disciplina a la capacidad que puede ser desarrollada por cualquier  ser humano y que implica, para toda circunstancia u ocasión, la puesta en práctica de una actuación ordenada y perseverante, para obtener un bien o fin determinado. Resulta indispensable tener o disponer de un orden personal que nos organice para alcanzarlo de un modo más concreto, prolijo y sin fisuras. La escuela por ser un actor social que integra individuos que provienen de diferentes  clases sociales y experiencias, necesita de un sistema organizado de disciplina que garantice el orden y el buen funcionamiento; esto en cuanto a los rasgos generales del concepto, en tanto, que  el  concepto de disciplina es un término ampliamente utilizado en el ámbito académico y que en este contexto, toma la denominación de disciplina escolar, se trata del código de conducta que deberán observar y cumplir tanto alumnos como maestros y que  se  encuentra dispuesto en cualquier reglamento escolar. En este no solamente se fijarán y estipularán, los horarios de entrada, salida, de finalización de las clases, de recreación, el uniforme  que  deben vestir los alumnos, sino también el modelo de comportamiento que se espera que los alumnos cumplan mientras estén en la institución escolar, por ejemplo, no decir malas palabras, no agredirse entre sí, respetar las órdenes y decisiones de los maestros, pedir permiso en caso de que deban abandonar la clase por alguna razón, entre otras cuestiones.</w:t>
      </w:r>
    </w:p>
    <w:p>
      <w:pPr>
        <w:pStyle w:val="BodyText"/>
        <w:spacing w:line="247" w:lineRule="auto"/>
        <w:ind w:left="101" w:right="117" w:firstLine="284"/>
        <w:jc w:val="both"/>
      </w:pPr>
      <w:r>
        <w:rPr>
          <w:color w:val="231F20"/>
        </w:rPr>
        <w:t>Además, en estos reglamentos se contendrán las sanciones de   las que pueden ser plausibles los alumnos que no cumplan con algunas de estas situaciones propuestas. También, el término disciplina suele ser usado para referirse a un campo de estudio determinado que es pensado o investigado en una escuela superior   o universidad, por ejemplo, la psicología, la sociología, la filosofía, </w:t>
      </w:r>
      <w:r>
        <w:rPr>
          <w:color w:val="231F20"/>
          <w:spacing w:val="1"/>
          <w:w w:val="96"/>
        </w:rPr>
        <w:t>e</w:t>
      </w:r>
      <w:r>
        <w:rPr>
          <w:color w:val="231F20"/>
          <w:spacing w:val="1"/>
          <w:w w:val="107"/>
        </w:rPr>
        <w:t>t</w:t>
      </w:r>
      <w:r>
        <w:rPr>
          <w:color w:val="231F20"/>
          <w:spacing w:val="1"/>
          <w:w w:val="96"/>
        </w:rPr>
        <w:t>cé</w:t>
      </w:r>
      <w:r>
        <w:rPr>
          <w:color w:val="231F20"/>
          <w:spacing w:val="1"/>
          <w:w w:val="107"/>
        </w:rPr>
        <w:t>t</w:t>
      </w:r>
      <w:r>
        <w:rPr>
          <w:color w:val="231F20"/>
          <w:spacing w:val="1"/>
          <w:w w:val="96"/>
        </w:rPr>
        <w:t>e</w:t>
      </w:r>
      <w:r>
        <w:rPr>
          <w:color w:val="231F20"/>
          <w:spacing w:val="1"/>
          <w:w w:val="103"/>
        </w:rPr>
        <w:t>r</w:t>
      </w:r>
      <w:r>
        <w:rPr>
          <w:color w:val="231F20"/>
          <w:spacing w:val="1"/>
          <w:w w:val="92"/>
        </w:rPr>
        <w:t>a</w:t>
      </w:r>
      <w:r>
        <w:rPr>
          <w:color w:val="231F20"/>
          <w:w w:val="92"/>
        </w:rPr>
        <w:t>.</w:t>
      </w:r>
      <w:r>
        <w:rPr>
          <w:color w:val="231F20"/>
        </w:rPr>
        <w:t>        </w:t>
      </w:r>
      <w:r>
        <w:rPr>
          <w:color w:val="231F20"/>
          <w:spacing w:val="-9"/>
        </w:rPr>
        <w:t> </w:t>
      </w:r>
      <w:r>
        <w:rPr>
          <w:color w:val="231F20"/>
          <w:spacing w:val="1"/>
          <w:w w:val="90"/>
        </w:rPr>
        <w:t>(</w:t>
      </w:r>
      <w:hyperlink r:id="rId271">
        <w:r>
          <w:rPr>
            <w:color w:val="231F20"/>
            <w:spacing w:val="2"/>
            <w:w w:val="104"/>
          </w:rPr>
          <w:t>h</w:t>
        </w:r>
        <w:r>
          <w:rPr>
            <w:color w:val="231F20"/>
            <w:spacing w:val="1"/>
            <w:w w:val="107"/>
          </w:rPr>
          <w:t>tt</w:t>
        </w:r>
        <w:r>
          <w:rPr>
            <w:color w:val="231F20"/>
            <w:spacing w:val="2"/>
            <w:w w:val="104"/>
          </w:rPr>
          <w:t>p</w:t>
        </w:r>
        <w:r>
          <w:rPr>
            <w:color w:val="231F20"/>
            <w:w w:val="133"/>
          </w:rPr>
          <w:t>:</w:t>
        </w:r>
        <w:r>
          <w:rPr>
            <w:color w:val="231F20"/>
            <w:spacing w:val="2"/>
            <w:w w:val="133"/>
          </w:rPr>
          <w:t>/</w:t>
        </w:r>
        <w:r>
          <w:rPr>
            <w:color w:val="231F20"/>
            <w:spacing w:val="2"/>
            <w:w w:val="185"/>
          </w:rPr>
          <w:t>/</w:t>
        </w:r>
        <w:r>
          <w:rPr>
            <w:color w:val="231F20"/>
            <w:spacing w:val="2"/>
            <w:w w:val="94"/>
          </w:rPr>
          <w:t>www</w:t>
        </w:r>
        <w:r>
          <w:rPr>
            <w:color w:val="231F20"/>
            <w:w w:val="98"/>
          </w:rPr>
          <w:t>.</w:t>
        </w:r>
        <w:r>
          <w:rPr>
            <w:color w:val="231F20"/>
            <w:spacing w:val="2"/>
            <w:w w:val="98"/>
          </w:rPr>
          <w:t>d</w:t>
        </w:r>
        <w:r>
          <w:rPr>
            <w:color w:val="231F20"/>
            <w:spacing w:val="1"/>
            <w:w w:val="96"/>
          </w:rPr>
          <w:t>e</w:t>
        </w:r>
        <w:r>
          <w:rPr>
            <w:color w:val="231F20"/>
            <w:spacing w:val="1"/>
            <w:w w:val="99"/>
          </w:rPr>
          <w:t>f</w:t>
        </w:r>
        <w:r>
          <w:rPr>
            <w:color w:val="231F20"/>
            <w:w w:val="97"/>
          </w:rPr>
          <w:t>i</w:t>
        </w:r>
        <w:r>
          <w:rPr>
            <w:color w:val="231F20"/>
            <w:spacing w:val="2"/>
            <w:w w:val="97"/>
          </w:rPr>
          <w:t>n</w:t>
        </w:r>
        <w:r>
          <w:rPr>
            <w:color w:val="231F20"/>
            <w:spacing w:val="1"/>
            <w:w w:val="96"/>
          </w:rPr>
          <w:t>c</w:t>
        </w:r>
        <w:r>
          <w:rPr>
            <w:color w:val="231F20"/>
            <w:w w:val="97"/>
          </w:rPr>
          <w:t>i</w:t>
        </w:r>
        <w:r>
          <w:rPr>
            <w:color w:val="231F20"/>
            <w:spacing w:val="2"/>
            <w:w w:val="97"/>
          </w:rPr>
          <w:t>ó</w:t>
        </w:r>
        <w:r>
          <w:rPr>
            <w:color w:val="231F20"/>
            <w:spacing w:val="2"/>
            <w:w w:val="104"/>
          </w:rPr>
          <w:t>n</w:t>
        </w:r>
        <w:r>
          <w:rPr>
            <w:color w:val="231F20"/>
            <w:spacing w:val="1"/>
            <w:w w:val="94"/>
          </w:rPr>
          <w:t>a</w:t>
        </w:r>
        <w:r>
          <w:rPr>
            <w:color w:val="231F20"/>
            <w:spacing w:val="2"/>
            <w:w w:val="104"/>
          </w:rPr>
          <w:t>b</w:t>
        </w:r>
        <w:r>
          <w:rPr>
            <w:color w:val="231F20"/>
            <w:spacing w:val="1"/>
            <w:w w:val="96"/>
          </w:rPr>
          <w:t>c</w:t>
        </w:r>
        <w:r>
          <w:rPr>
            <w:color w:val="231F20"/>
            <w:w w:val="94"/>
          </w:rPr>
          <w:t>.</w:t>
        </w:r>
        <w:r>
          <w:rPr>
            <w:color w:val="231F20"/>
            <w:spacing w:val="1"/>
            <w:w w:val="94"/>
          </w:rPr>
          <w:t>c</w:t>
        </w:r>
        <w:r>
          <w:rPr>
            <w:color w:val="231F20"/>
            <w:spacing w:val="2"/>
            <w:w w:val="104"/>
          </w:rPr>
          <w:t>o</w:t>
        </w:r>
        <w:r>
          <w:rPr>
            <w:color w:val="231F20"/>
            <w:spacing w:val="3"/>
            <w:w w:val="101"/>
          </w:rPr>
          <w:t>m</w:t>
        </w:r>
        <w:r>
          <w:rPr>
            <w:color w:val="231F20"/>
            <w:spacing w:val="2"/>
            <w:w w:val="185"/>
          </w:rPr>
          <w:t>/</w:t>
        </w:r>
        <w:r>
          <w:rPr>
            <w:color w:val="231F20"/>
            <w:spacing w:val="1"/>
            <w:w w:val="96"/>
          </w:rPr>
          <w:t>s</w:t>
        </w:r>
        <w:r>
          <w:rPr>
            <w:color w:val="231F20"/>
            <w:spacing w:val="2"/>
            <w:w w:val="104"/>
          </w:rPr>
          <w:t>o</w:t>
        </w:r>
        <w:r>
          <w:rPr>
            <w:color w:val="231F20"/>
            <w:spacing w:val="1"/>
            <w:w w:val="96"/>
          </w:rPr>
          <w:t>c</w:t>
        </w:r>
        <w:r>
          <w:rPr>
            <w:color w:val="231F20"/>
            <w:w w:val="90"/>
          </w:rPr>
          <w:t>i</w:t>
        </w:r>
        <w:r>
          <w:rPr>
            <w:color w:val="231F20"/>
            <w:spacing w:val="1"/>
            <w:w w:val="90"/>
          </w:rPr>
          <w:t>a</w:t>
        </w:r>
        <w:r>
          <w:rPr>
            <w:color w:val="231F20"/>
            <w:w w:val="134"/>
          </w:rPr>
          <w:t>l</w:t>
        </w:r>
        <w:r>
          <w:rPr>
            <w:color w:val="231F20"/>
            <w:spacing w:val="2"/>
            <w:w w:val="134"/>
          </w:rPr>
          <w:t>/</w:t>
        </w:r>
        <w:r>
          <w:rPr>
            <w:color w:val="231F20"/>
            <w:spacing w:val="2"/>
            <w:w w:val="102"/>
          </w:rPr>
          <w:t>d</w:t>
        </w:r>
        <w:r>
          <w:rPr>
            <w:color w:val="231F20"/>
            <w:w w:val="91"/>
          </w:rPr>
          <w:t>i</w:t>
        </w:r>
        <w:r>
          <w:rPr>
            <w:color w:val="231F20"/>
            <w:spacing w:val="1"/>
            <w:w w:val="91"/>
          </w:rPr>
          <w:t>s</w:t>
        </w:r>
        <w:r>
          <w:rPr>
            <w:color w:val="231F20"/>
            <w:spacing w:val="1"/>
            <w:w w:val="96"/>
          </w:rPr>
          <w:t>c</w:t>
        </w:r>
        <w:r>
          <w:rPr>
            <w:color w:val="231F20"/>
            <w:w w:val="97"/>
          </w:rPr>
          <w:t>i</w:t>
        </w:r>
        <w:r>
          <w:rPr>
            <w:color w:val="231F20"/>
            <w:spacing w:val="2"/>
            <w:w w:val="97"/>
          </w:rPr>
          <w:t>p</w:t>
        </w:r>
        <w:r>
          <w:rPr>
            <w:color w:val="231F20"/>
            <w:w w:val="94"/>
          </w:rPr>
          <w:t>li</w:t>
        </w:r>
        <w:r>
          <w:rPr>
            <w:color w:val="231F20"/>
            <w:spacing w:val="2"/>
            <w:w w:val="94"/>
          </w:rPr>
          <w:t>n</w:t>
        </w:r>
        <w:r>
          <w:rPr>
            <w:color w:val="231F20"/>
            <w:spacing w:val="1"/>
            <w:w w:val="94"/>
          </w:rPr>
          <w:t>a</w:t>
        </w:r>
        <w:r>
          <w:rPr>
            <w:color w:val="231F20"/>
            <w:w w:val="99"/>
          </w:rPr>
          <w:t>.</w:t>
        </w:r>
        <w:r>
          <w:rPr>
            <w:color w:val="231F20"/>
            <w:spacing w:val="2"/>
            <w:w w:val="99"/>
          </w:rPr>
          <w:t>p</w:t>
        </w:r>
        <w:r>
          <w:rPr>
            <w:color w:val="231F20"/>
            <w:spacing w:val="2"/>
            <w:w w:val="104"/>
          </w:rPr>
          <w:t>hp</w:t>
        </w:r>
        <w:r>
          <w:rPr>
            <w:color w:val="231F20"/>
            <w:w w:val="90"/>
          </w:rPr>
          <w:t>.</w:t>
        </w:r>
      </w:hyperlink>
      <w:r>
        <w:rPr>
          <w:color w:val="231F20"/>
          <w:w w:val="90"/>
        </w:rPr>
        <w:t> </w:t>
      </w:r>
      <w:r>
        <w:rPr>
          <w:color w:val="231F20"/>
        </w:rPr>
        <w:t>Consulta 26 de febrero de</w:t>
      </w:r>
      <w:r>
        <w:rPr>
          <w:color w:val="231F20"/>
          <w:spacing w:val="13"/>
        </w:rPr>
        <w:t> </w:t>
      </w:r>
      <w:r>
        <w:rPr>
          <w:color w:val="231F20"/>
        </w:rPr>
        <w:t>2011).</w:t>
      </w:r>
    </w:p>
    <w:p>
      <w:pPr>
        <w:spacing w:after="0" w:line="247" w:lineRule="auto"/>
        <w:jc w:val="both"/>
        <w:sectPr>
          <w:headerReference w:type="default" r:id="rId269"/>
          <w:footerReference w:type="default" r:id="rId270"/>
          <w:pgSz w:w="7830" w:h="11910"/>
          <w:pgMar w:header="0" w:footer="424" w:top="500" w:bottom="620" w:left="920" w:right="900"/>
          <w:pgNumType w:start="12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3" w:firstLine="283"/>
        <w:jc w:val="both"/>
      </w:pPr>
      <w:r>
        <w:rPr>
          <w:color w:val="231F20"/>
          <w:w w:val="95"/>
        </w:rPr>
        <w:t>Por</w:t>
      </w:r>
      <w:r>
        <w:rPr>
          <w:color w:val="231F20"/>
          <w:spacing w:val="-5"/>
          <w:w w:val="95"/>
        </w:rPr>
        <w:t> </w:t>
      </w:r>
      <w:r>
        <w:rPr>
          <w:color w:val="231F20"/>
          <w:w w:val="95"/>
        </w:rPr>
        <w:t>su</w:t>
      </w:r>
      <w:r>
        <w:rPr>
          <w:color w:val="231F20"/>
          <w:spacing w:val="-4"/>
          <w:w w:val="95"/>
        </w:rPr>
        <w:t> </w:t>
      </w:r>
      <w:r>
        <w:rPr>
          <w:color w:val="231F20"/>
          <w:w w:val="95"/>
        </w:rPr>
        <w:t>parte,</w:t>
      </w:r>
      <w:r>
        <w:rPr>
          <w:color w:val="231F20"/>
          <w:spacing w:val="-5"/>
          <w:w w:val="95"/>
        </w:rPr>
        <w:t> </w:t>
      </w:r>
      <w:r>
        <w:rPr>
          <w:color w:val="231F20"/>
          <w:w w:val="95"/>
        </w:rPr>
        <w:t>el</w:t>
      </w:r>
      <w:r>
        <w:rPr>
          <w:color w:val="231F20"/>
          <w:spacing w:val="-6"/>
          <w:w w:val="95"/>
        </w:rPr>
        <w:t> </w:t>
      </w:r>
      <w:r>
        <w:rPr>
          <w:i/>
          <w:color w:val="231F20"/>
          <w:w w:val="95"/>
        </w:rPr>
        <w:t>Diccionario</w:t>
      </w:r>
      <w:r>
        <w:rPr>
          <w:i/>
          <w:color w:val="231F20"/>
          <w:spacing w:val="-5"/>
          <w:w w:val="95"/>
        </w:rPr>
        <w:t> </w:t>
      </w:r>
      <w:r>
        <w:rPr>
          <w:i/>
          <w:color w:val="231F20"/>
          <w:w w:val="95"/>
        </w:rPr>
        <w:t>de</w:t>
      </w:r>
      <w:r>
        <w:rPr>
          <w:i/>
          <w:color w:val="231F20"/>
          <w:spacing w:val="-5"/>
          <w:w w:val="95"/>
        </w:rPr>
        <w:t> </w:t>
      </w:r>
      <w:r>
        <w:rPr>
          <w:i/>
          <w:color w:val="231F20"/>
          <w:w w:val="95"/>
        </w:rPr>
        <w:t>Psicología</w:t>
      </w:r>
      <w:r>
        <w:rPr>
          <w:i/>
          <w:color w:val="231F20"/>
          <w:spacing w:val="-4"/>
          <w:w w:val="95"/>
        </w:rPr>
        <w:t> </w:t>
      </w:r>
      <w:r>
        <w:rPr>
          <w:color w:val="231F20"/>
          <w:w w:val="95"/>
        </w:rPr>
        <w:t>de</w:t>
      </w:r>
      <w:r>
        <w:rPr>
          <w:color w:val="231F20"/>
          <w:spacing w:val="-5"/>
          <w:w w:val="95"/>
        </w:rPr>
        <w:t> </w:t>
      </w:r>
      <w:r>
        <w:rPr>
          <w:color w:val="231F20"/>
          <w:w w:val="95"/>
        </w:rPr>
        <w:t>Warren</w:t>
      </w:r>
      <w:r>
        <w:rPr>
          <w:color w:val="231F20"/>
          <w:spacing w:val="-4"/>
          <w:w w:val="95"/>
        </w:rPr>
        <w:t> </w:t>
      </w:r>
      <w:r>
        <w:rPr>
          <w:color w:val="231F20"/>
          <w:w w:val="95"/>
        </w:rPr>
        <w:t>(2007)</w:t>
      </w:r>
      <w:r>
        <w:rPr>
          <w:color w:val="231F20"/>
          <w:spacing w:val="-5"/>
          <w:w w:val="95"/>
        </w:rPr>
        <w:t> </w:t>
      </w:r>
      <w:r>
        <w:rPr>
          <w:color w:val="231F20"/>
          <w:w w:val="95"/>
        </w:rPr>
        <w:t>atribuye </w:t>
      </w:r>
      <w:r>
        <w:rPr>
          <w:color w:val="231F20"/>
        </w:rPr>
        <w:t>varios significados a la disciplina. 1. Entrenamiento mediante reglas y ejercicios especificados. 2. Vigilancia o control de la conducta de discípulos o subordinados. 3. Control de la conducta mediante recompensas y castigos. 4. Todo programa que tiende a adaptar al niño [o al individuo, agrego yo], a la vida social. 5. Una rama de la enseñanza dispuesta para el estudio sistemático. </w:t>
      </w:r>
      <w:r>
        <w:rPr>
          <w:i/>
          <w:color w:val="231F20"/>
        </w:rPr>
        <w:t>Disciplinar</w:t>
      </w:r>
      <w:r>
        <w:rPr>
          <w:color w:val="231F20"/>
        </w:rPr>
        <w:t>:</w:t>
      </w:r>
      <w:r>
        <w:rPr>
          <w:color w:val="231F20"/>
          <w:spacing w:val="-31"/>
        </w:rPr>
        <w:t> </w:t>
      </w:r>
      <w:r>
        <w:rPr>
          <w:color w:val="231F20"/>
        </w:rPr>
        <w:t>castigar o educar (Warren, 2007:</w:t>
      </w:r>
      <w:r>
        <w:rPr>
          <w:color w:val="231F20"/>
          <w:spacing w:val="-23"/>
        </w:rPr>
        <w:t> </w:t>
      </w:r>
      <w:r>
        <w:rPr>
          <w:color w:val="231F20"/>
        </w:rPr>
        <w:t>94).</w:t>
      </w:r>
    </w:p>
    <w:p>
      <w:pPr>
        <w:pStyle w:val="BodyText"/>
        <w:spacing w:line="244" w:lineRule="auto" w:before="1"/>
        <w:ind w:left="102" w:right="117" w:firstLine="284"/>
        <w:jc w:val="both"/>
      </w:pPr>
      <w:r>
        <w:rPr>
          <w:color w:val="231F20"/>
        </w:rPr>
        <w:t>De esta manera, la idea de Bourdieu (2003) de violencia simbólica tiene validez en tanto que en algunos significados está implícita la “amenaza” del uso de la violencia física o psicológica en caso de cuestionar el orden escolar que se legitima en el discurso de </w:t>
      </w:r>
      <w:r>
        <w:rPr>
          <w:color w:val="231F20"/>
          <w:w w:val="95"/>
        </w:rPr>
        <w:t>la disciplina.</w:t>
      </w:r>
    </w:p>
    <w:p>
      <w:pPr>
        <w:pStyle w:val="BodyText"/>
        <w:spacing w:line="249" w:lineRule="auto" w:before="12"/>
        <w:ind w:left="101" w:right="117" w:firstLine="284"/>
        <w:jc w:val="both"/>
      </w:pPr>
      <w:r>
        <w:rPr>
          <w:color w:val="231F20"/>
        </w:rPr>
        <w:t>En </w:t>
      </w:r>
      <w:r>
        <w:rPr>
          <w:color w:val="231F20"/>
          <w:spacing w:val="2"/>
        </w:rPr>
        <w:t>este sentido, </w:t>
      </w:r>
      <w:r>
        <w:rPr>
          <w:color w:val="231F20"/>
        </w:rPr>
        <w:t>el </w:t>
      </w:r>
      <w:r>
        <w:rPr>
          <w:color w:val="231F20"/>
          <w:spacing w:val="2"/>
        </w:rPr>
        <w:t>propio Bourdieu (2003) indica distintos planos </w:t>
      </w:r>
      <w:r>
        <w:rPr>
          <w:color w:val="231F20"/>
        </w:rPr>
        <w:t>de </w:t>
      </w:r>
      <w:r>
        <w:rPr>
          <w:color w:val="231F20"/>
          <w:spacing w:val="2"/>
        </w:rPr>
        <w:t>estudio para </w:t>
      </w:r>
      <w:r>
        <w:rPr>
          <w:color w:val="231F20"/>
          <w:spacing w:val="3"/>
        </w:rPr>
        <w:t>comprender </w:t>
      </w:r>
      <w:r>
        <w:rPr>
          <w:color w:val="231F20"/>
        </w:rPr>
        <w:t>y </w:t>
      </w:r>
      <w:r>
        <w:rPr>
          <w:color w:val="231F20"/>
          <w:spacing w:val="2"/>
        </w:rPr>
        <w:t>explicar quiénes, cuáles, </w:t>
      </w:r>
      <w:r>
        <w:rPr>
          <w:color w:val="231F20"/>
          <w:spacing w:val="3"/>
        </w:rPr>
        <w:t>cómo </w:t>
      </w:r>
      <w:r>
        <w:rPr>
          <w:color w:val="231F20"/>
        </w:rPr>
        <w:t>y </w:t>
      </w:r>
      <w:r>
        <w:rPr>
          <w:color w:val="231F20"/>
          <w:spacing w:val="3"/>
        </w:rPr>
        <w:t>porqué </w:t>
      </w:r>
      <w:r>
        <w:rPr>
          <w:color w:val="231F20"/>
          <w:spacing w:val="2"/>
        </w:rPr>
        <w:t>emplean </w:t>
      </w:r>
      <w:r>
        <w:rPr>
          <w:color w:val="231F20"/>
        </w:rPr>
        <w:t>la </w:t>
      </w:r>
      <w:r>
        <w:rPr>
          <w:color w:val="231F20"/>
          <w:spacing w:val="2"/>
        </w:rPr>
        <w:t>violencia </w:t>
      </w:r>
      <w:r>
        <w:rPr>
          <w:color w:val="231F20"/>
        </w:rPr>
        <w:t>en </w:t>
      </w:r>
      <w:r>
        <w:rPr>
          <w:color w:val="231F20"/>
          <w:spacing w:val="2"/>
        </w:rPr>
        <w:t>circunstancias </w:t>
      </w:r>
      <w:r>
        <w:rPr>
          <w:color w:val="231F20"/>
        </w:rPr>
        <w:t>de </w:t>
      </w:r>
      <w:r>
        <w:rPr>
          <w:color w:val="231F20"/>
          <w:spacing w:val="2"/>
        </w:rPr>
        <w:t>“extre- ma” tensión </w:t>
      </w:r>
      <w:r>
        <w:rPr>
          <w:color w:val="231F20"/>
        </w:rPr>
        <w:t>y </w:t>
      </w:r>
      <w:r>
        <w:rPr>
          <w:color w:val="231F20"/>
          <w:spacing w:val="2"/>
        </w:rPr>
        <w:t>conflictos, esto </w:t>
      </w:r>
      <w:r>
        <w:rPr>
          <w:color w:val="231F20"/>
        </w:rPr>
        <w:t>es un </w:t>
      </w:r>
      <w:r>
        <w:rPr>
          <w:color w:val="231F20"/>
          <w:spacing w:val="2"/>
        </w:rPr>
        <w:t>modelo teórico </w:t>
      </w:r>
      <w:r>
        <w:rPr>
          <w:color w:val="231F20"/>
        </w:rPr>
        <w:t>y </w:t>
      </w:r>
      <w:r>
        <w:rPr>
          <w:color w:val="231F20"/>
          <w:spacing w:val="2"/>
        </w:rPr>
        <w:t>metodológi- </w:t>
      </w:r>
      <w:r>
        <w:rPr>
          <w:color w:val="231F20"/>
        </w:rPr>
        <w:t>co </w:t>
      </w:r>
      <w:r>
        <w:rPr>
          <w:color w:val="231F20"/>
          <w:spacing w:val="2"/>
        </w:rPr>
        <w:t>para nuestra investigación: los recursos </w:t>
      </w:r>
      <w:r>
        <w:rPr>
          <w:color w:val="231F20"/>
        </w:rPr>
        <w:t>y </w:t>
      </w:r>
      <w:r>
        <w:rPr>
          <w:color w:val="231F20"/>
          <w:spacing w:val="2"/>
        </w:rPr>
        <w:t>límites </w:t>
      </w:r>
      <w:r>
        <w:rPr>
          <w:color w:val="231F20"/>
        </w:rPr>
        <w:t>de la </w:t>
      </w:r>
      <w:r>
        <w:rPr>
          <w:color w:val="231F20"/>
          <w:spacing w:val="2"/>
        </w:rPr>
        <w:t>lucha, </w:t>
      </w:r>
      <w:r>
        <w:rPr>
          <w:color w:val="231F20"/>
        </w:rPr>
        <w:t>la </w:t>
      </w:r>
      <w:r>
        <w:rPr>
          <w:color w:val="231F20"/>
          <w:spacing w:val="2"/>
        </w:rPr>
        <w:t>ilegitimidad </w:t>
      </w:r>
      <w:r>
        <w:rPr>
          <w:color w:val="231F20"/>
        </w:rPr>
        <w:t>de </w:t>
      </w:r>
      <w:r>
        <w:rPr>
          <w:color w:val="231F20"/>
          <w:spacing w:val="3"/>
        </w:rPr>
        <w:t>determinados medios </w:t>
      </w:r>
      <w:r>
        <w:rPr>
          <w:color w:val="231F20"/>
        </w:rPr>
        <w:t>y de </w:t>
      </w:r>
      <w:r>
        <w:rPr>
          <w:color w:val="231F20"/>
          <w:spacing w:val="2"/>
        </w:rPr>
        <w:t>los fines, </w:t>
      </w:r>
      <w:r>
        <w:rPr>
          <w:color w:val="231F20"/>
        </w:rPr>
        <w:t>la </w:t>
      </w:r>
      <w:r>
        <w:rPr>
          <w:color w:val="231F20"/>
          <w:spacing w:val="3"/>
        </w:rPr>
        <w:t>“estructura </w:t>
      </w:r>
      <w:r>
        <w:rPr>
          <w:color w:val="231F20"/>
        </w:rPr>
        <w:t>de las </w:t>
      </w:r>
      <w:r>
        <w:rPr>
          <w:color w:val="231F20"/>
          <w:spacing w:val="3"/>
        </w:rPr>
        <w:t>reivindicaciones”, </w:t>
      </w:r>
      <w:r>
        <w:rPr>
          <w:color w:val="231F20"/>
          <w:spacing w:val="2"/>
        </w:rPr>
        <w:t>los interlocutores válidos </w:t>
      </w:r>
      <w:r>
        <w:rPr>
          <w:color w:val="231F20"/>
        </w:rPr>
        <w:t>y </w:t>
      </w:r>
      <w:r>
        <w:rPr>
          <w:color w:val="231F20"/>
          <w:spacing w:val="2"/>
        </w:rPr>
        <w:t>sus </w:t>
      </w:r>
      <w:r>
        <w:rPr>
          <w:color w:val="231F20"/>
          <w:spacing w:val="3"/>
        </w:rPr>
        <w:t>modos </w:t>
      </w:r>
      <w:r>
        <w:rPr>
          <w:color w:val="231F20"/>
        </w:rPr>
        <w:t>de </w:t>
      </w:r>
      <w:r>
        <w:rPr>
          <w:color w:val="231F20"/>
          <w:spacing w:val="3"/>
        </w:rPr>
        <w:t>comunicación, </w:t>
      </w:r>
      <w:r>
        <w:rPr>
          <w:color w:val="231F20"/>
        </w:rPr>
        <w:t>“la </w:t>
      </w:r>
      <w:r>
        <w:rPr>
          <w:color w:val="231F20"/>
          <w:spacing w:val="2"/>
        </w:rPr>
        <w:t>estructura </w:t>
      </w:r>
      <w:r>
        <w:rPr>
          <w:color w:val="231F20"/>
        </w:rPr>
        <w:t>de </w:t>
      </w:r>
      <w:r>
        <w:rPr>
          <w:color w:val="231F20"/>
          <w:spacing w:val="2"/>
        </w:rPr>
        <w:t>los </w:t>
      </w:r>
      <w:r>
        <w:rPr>
          <w:color w:val="231F20"/>
          <w:spacing w:val="3"/>
        </w:rPr>
        <w:t>instrumentos </w:t>
      </w:r>
      <w:r>
        <w:rPr>
          <w:color w:val="231F20"/>
        </w:rPr>
        <w:t>de </w:t>
      </w:r>
      <w:r>
        <w:rPr>
          <w:color w:val="231F20"/>
          <w:spacing w:val="2"/>
        </w:rPr>
        <w:t>lucha”,lo que conlleva </w:t>
      </w:r>
      <w:r>
        <w:rPr>
          <w:color w:val="231F20"/>
        </w:rPr>
        <w:t>el </w:t>
      </w:r>
      <w:r>
        <w:rPr>
          <w:color w:val="231F20"/>
          <w:spacing w:val="2"/>
        </w:rPr>
        <w:t>análisis </w:t>
      </w:r>
      <w:r>
        <w:rPr>
          <w:color w:val="231F20"/>
        </w:rPr>
        <w:t>de </w:t>
      </w:r>
      <w:r>
        <w:rPr>
          <w:color w:val="231F20"/>
          <w:spacing w:val="2"/>
        </w:rPr>
        <w:t>los valores, </w:t>
      </w:r>
      <w:r>
        <w:rPr>
          <w:color w:val="231F20"/>
        </w:rPr>
        <w:t>la </w:t>
      </w:r>
      <w:r>
        <w:rPr>
          <w:color w:val="231F20"/>
          <w:spacing w:val="2"/>
        </w:rPr>
        <w:t>afirmación </w:t>
      </w:r>
      <w:r>
        <w:rPr>
          <w:color w:val="231F20"/>
        </w:rPr>
        <w:t>de la </w:t>
      </w:r>
      <w:r>
        <w:rPr>
          <w:color w:val="231F20"/>
          <w:spacing w:val="2"/>
        </w:rPr>
        <w:t>cohesión del </w:t>
      </w:r>
      <w:r>
        <w:rPr>
          <w:color w:val="231F20"/>
          <w:spacing w:val="3"/>
        </w:rPr>
        <w:t>grupo, </w:t>
      </w:r>
      <w:r>
        <w:rPr>
          <w:color w:val="231F20"/>
        </w:rPr>
        <w:t>la </w:t>
      </w:r>
      <w:r>
        <w:rPr>
          <w:color w:val="231F20"/>
          <w:spacing w:val="3"/>
        </w:rPr>
        <w:t>ruptura </w:t>
      </w:r>
      <w:r>
        <w:rPr>
          <w:color w:val="231F20"/>
          <w:spacing w:val="2"/>
        </w:rPr>
        <w:t>colectiva con </w:t>
      </w:r>
      <w:r>
        <w:rPr>
          <w:color w:val="231F20"/>
        </w:rPr>
        <w:t>el </w:t>
      </w:r>
      <w:r>
        <w:rPr>
          <w:color w:val="231F20"/>
          <w:spacing w:val="2"/>
        </w:rPr>
        <w:t>orden cotidiano que </w:t>
      </w:r>
      <w:r>
        <w:rPr>
          <w:color w:val="231F20"/>
          <w:spacing w:val="3"/>
        </w:rPr>
        <w:t>produce, </w:t>
      </w:r>
      <w:r>
        <w:rPr>
          <w:color w:val="231F20"/>
        </w:rPr>
        <w:t>y   el </w:t>
      </w:r>
      <w:r>
        <w:rPr>
          <w:color w:val="231F20"/>
          <w:spacing w:val="2"/>
        </w:rPr>
        <w:t>tipo </w:t>
      </w:r>
      <w:r>
        <w:rPr>
          <w:color w:val="231F20"/>
        </w:rPr>
        <w:t>de</w:t>
      </w:r>
      <w:r>
        <w:rPr>
          <w:color w:val="231F20"/>
          <w:spacing w:val="10"/>
        </w:rPr>
        <w:t> </w:t>
      </w:r>
      <w:r>
        <w:rPr>
          <w:color w:val="231F20"/>
          <w:spacing w:val="2"/>
        </w:rPr>
        <w:t>organización.</w:t>
      </w:r>
    </w:p>
    <w:p>
      <w:pPr>
        <w:pStyle w:val="BodyText"/>
        <w:spacing w:line="249" w:lineRule="auto"/>
        <w:ind w:left="101" w:right="114" w:firstLine="284"/>
        <w:jc w:val="both"/>
      </w:pPr>
      <w:r>
        <w:rPr>
          <w:color w:val="231F20"/>
          <w:spacing w:val="3"/>
        </w:rPr>
        <w:t>En este </w:t>
      </w:r>
      <w:r>
        <w:rPr>
          <w:color w:val="231F20"/>
          <w:spacing w:val="4"/>
        </w:rPr>
        <w:t>periodo </w:t>
      </w:r>
      <w:r>
        <w:rPr>
          <w:color w:val="231F20"/>
          <w:spacing w:val="3"/>
        </w:rPr>
        <w:t>de </w:t>
      </w:r>
      <w:r>
        <w:rPr>
          <w:color w:val="231F20"/>
          <w:spacing w:val="4"/>
        </w:rPr>
        <w:t>estudio </w:t>
      </w:r>
      <w:r>
        <w:rPr>
          <w:color w:val="231F20"/>
          <w:spacing w:val="3"/>
        </w:rPr>
        <w:t>una de las </w:t>
      </w:r>
      <w:r>
        <w:rPr>
          <w:color w:val="231F20"/>
          <w:spacing w:val="4"/>
        </w:rPr>
        <w:t>características más </w:t>
      </w:r>
      <w:r>
        <w:rPr>
          <w:color w:val="231F20"/>
          <w:spacing w:val="6"/>
        </w:rPr>
        <w:t>no- </w:t>
      </w:r>
      <w:r>
        <w:rPr>
          <w:color w:val="231F20"/>
          <w:spacing w:val="4"/>
        </w:rPr>
        <w:t>tables </w:t>
      </w:r>
      <w:r>
        <w:rPr>
          <w:color w:val="231F20"/>
          <w:spacing w:val="3"/>
        </w:rPr>
        <w:t>del </w:t>
      </w:r>
      <w:r>
        <w:rPr>
          <w:color w:val="231F20"/>
          <w:spacing w:val="4"/>
        </w:rPr>
        <w:t>Instituto Científico </w:t>
      </w:r>
      <w:r>
        <w:rPr>
          <w:color w:val="231F20"/>
        </w:rPr>
        <w:t>y </w:t>
      </w:r>
      <w:r>
        <w:rPr>
          <w:color w:val="231F20"/>
          <w:spacing w:val="4"/>
        </w:rPr>
        <w:t>Literario, antecedente directo </w:t>
      </w:r>
      <w:r>
        <w:rPr>
          <w:color w:val="231F20"/>
        </w:rPr>
        <w:t>y </w:t>
      </w:r>
      <w:r>
        <w:rPr>
          <w:color w:val="231F20"/>
          <w:spacing w:val="4"/>
        </w:rPr>
        <w:t>matriz </w:t>
      </w:r>
      <w:r>
        <w:rPr>
          <w:color w:val="231F20"/>
          <w:spacing w:val="3"/>
        </w:rPr>
        <w:t>de </w:t>
      </w:r>
      <w:r>
        <w:rPr>
          <w:color w:val="231F20"/>
        </w:rPr>
        <w:t>la </w:t>
      </w:r>
      <w:r>
        <w:rPr>
          <w:color w:val="231F20"/>
          <w:spacing w:val="4"/>
        </w:rPr>
        <w:t>Universidad </w:t>
      </w:r>
      <w:r>
        <w:rPr>
          <w:color w:val="231F20"/>
          <w:spacing w:val="5"/>
        </w:rPr>
        <w:t>Autónoma </w:t>
      </w:r>
      <w:r>
        <w:rPr>
          <w:color w:val="231F20"/>
          <w:spacing w:val="3"/>
        </w:rPr>
        <w:t>del </w:t>
      </w:r>
      <w:r>
        <w:rPr>
          <w:color w:val="231F20"/>
          <w:spacing w:val="4"/>
        </w:rPr>
        <w:t>Estado </w:t>
      </w:r>
      <w:r>
        <w:rPr>
          <w:color w:val="231F20"/>
          <w:spacing w:val="3"/>
        </w:rPr>
        <w:t>de </w:t>
      </w:r>
      <w:r>
        <w:rPr>
          <w:color w:val="231F20"/>
          <w:spacing w:val="4"/>
        </w:rPr>
        <w:t>México, como sucede </w:t>
      </w:r>
      <w:r>
        <w:rPr>
          <w:color w:val="231F20"/>
          <w:spacing w:val="3"/>
        </w:rPr>
        <w:t>con </w:t>
      </w:r>
      <w:r>
        <w:rPr>
          <w:color w:val="231F20"/>
          <w:spacing w:val="4"/>
        </w:rPr>
        <w:t>diversas </w:t>
      </w:r>
      <w:r>
        <w:rPr>
          <w:color w:val="231F20"/>
          <w:spacing w:val="3"/>
        </w:rPr>
        <w:t>de </w:t>
      </w:r>
      <w:r>
        <w:rPr>
          <w:color w:val="231F20"/>
          <w:spacing w:val="4"/>
        </w:rPr>
        <w:t>nuestras instituciones </w:t>
      </w:r>
      <w:r>
        <w:rPr>
          <w:color w:val="231F20"/>
          <w:spacing w:val="3"/>
        </w:rPr>
        <w:t>de </w:t>
      </w:r>
      <w:r>
        <w:rPr>
          <w:color w:val="231F20"/>
          <w:spacing w:val="4"/>
        </w:rPr>
        <w:t>educación </w:t>
      </w:r>
      <w:r>
        <w:rPr>
          <w:color w:val="231F20"/>
          <w:spacing w:val="5"/>
        </w:rPr>
        <w:t>supe- </w:t>
      </w:r>
      <w:r>
        <w:rPr>
          <w:color w:val="231F20"/>
          <w:spacing w:val="4"/>
        </w:rPr>
        <w:t>rior </w:t>
      </w:r>
      <w:r>
        <w:rPr>
          <w:color w:val="231F20"/>
          <w:spacing w:val="3"/>
        </w:rPr>
        <w:t>que </w:t>
      </w:r>
      <w:r>
        <w:rPr>
          <w:color w:val="231F20"/>
          <w:spacing w:val="4"/>
        </w:rPr>
        <w:t>tuvieron </w:t>
      </w:r>
      <w:r>
        <w:rPr>
          <w:color w:val="231F20"/>
          <w:spacing w:val="2"/>
        </w:rPr>
        <w:t>su </w:t>
      </w:r>
      <w:r>
        <w:rPr>
          <w:color w:val="231F20"/>
          <w:spacing w:val="4"/>
        </w:rPr>
        <w:t>origen </w:t>
      </w:r>
      <w:r>
        <w:rPr>
          <w:color w:val="231F20"/>
        </w:rPr>
        <w:t>y </w:t>
      </w:r>
      <w:r>
        <w:rPr>
          <w:color w:val="231F20"/>
          <w:spacing w:val="2"/>
        </w:rPr>
        <w:t>su </w:t>
      </w:r>
      <w:r>
        <w:rPr>
          <w:color w:val="231F20"/>
          <w:spacing w:val="4"/>
        </w:rPr>
        <w:t>simiente </w:t>
      </w:r>
      <w:r>
        <w:rPr>
          <w:color w:val="231F20"/>
          <w:spacing w:val="2"/>
        </w:rPr>
        <w:t>en </w:t>
      </w:r>
      <w:r>
        <w:rPr>
          <w:color w:val="231F20"/>
          <w:spacing w:val="3"/>
        </w:rPr>
        <w:t>sus </w:t>
      </w:r>
      <w:r>
        <w:rPr>
          <w:color w:val="231F20"/>
          <w:spacing w:val="4"/>
        </w:rPr>
        <w:t>pares </w:t>
      </w:r>
      <w:r>
        <w:rPr>
          <w:color w:val="231F20"/>
          <w:spacing w:val="2"/>
        </w:rPr>
        <w:t>en </w:t>
      </w:r>
      <w:r>
        <w:rPr>
          <w:color w:val="231F20"/>
          <w:spacing w:val="5"/>
        </w:rPr>
        <w:t>los </w:t>
      </w:r>
      <w:r>
        <w:rPr>
          <w:color w:val="231F20"/>
          <w:spacing w:val="4"/>
        </w:rPr>
        <w:t>estados, albergaba </w:t>
      </w:r>
      <w:r>
        <w:rPr>
          <w:color w:val="231F20"/>
          <w:spacing w:val="2"/>
        </w:rPr>
        <w:t>en </w:t>
      </w:r>
      <w:r>
        <w:rPr>
          <w:color w:val="231F20"/>
          <w:spacing w:val="3"/>
        </w:rPr>
        <w:t>sus </w:t>
      </w:r>
      <w:r>
        <w:rPr>
          <w:color w:val="231F20"/>
          <w:spacing w:val="4"/>
        </w:rPr>
        <w:t>centenarias instalaciones una </w:t>
      </w:r>
      <w:r>
        <w:rPr>
          <w:color w:val="231F20"/>
          <w:spacing w:val="5"/>
        </w:rPr>
        <w:t>abruma- </w:t>
      </w:r>
      <w:r>
        <w:rPr>
          <w:color w:val="231F20"/>
          <w:spacing w:val="4"/>
        </w:rPr>
        <w:t>dora mayoría </w:t>
      </w:r>
      <w:r>
        <w:rPr>
          <w:color w:val="231F20"/>
          <w:spacing w:val="3"/>
        </w:rPr>
        <w:t>de </w:t>
      </w:r>
      <w:r>
        <w:rPr>
          <w:color w:val="231F20"/>
          <w:spacing w:val="5"/>
        </w:rPr>
        <w:t>hombres, </w:t>
      </w:r>
      <w:r>
        <w:rPr>
          <w:color w:val="231F20"/>
          <w:spacing w:val="3"/>
        </w:rPr>
        <w:t>de </w:t>
      </w:r>
      <w:r>
        <w:rPr>
          <w:color w:val="231F20"/>
          <w:spacing w:val="4"/>
        </w:rPr>
        <w:t>futuros profesionistas </w:t>
      </w:r>
      <w:r>
        <w:rPr>
          <w:color w:val="231F20"/>
        </w:rPr>
        <w:t>y  </w:t>
      </w:r>
      <w:r>
        <w:rPr>
          <w:color w:val="231F20"/>
          <w:spacing w:val="4"/>
        </w:rPr>
        <w:t>por  </w:t>
      </w:r>
      <w:r>
        <w:rPr>
          <w:color w:val="231F20"/>
        </w:rPr>
        <w:t>lo </w:t>
      </w:r>
      <w:r>
        <w:rPr>
          <w:color w:val="231F20"/>
          <w:spacing w:val="4"/>
        </w:rPr>
        <w:t>tanto </w:t>
      </w:r>
      <w:r>
        <w:rPr>
          <w:color w:val="231F20"/>
          <w:spacing w:val="2"/>
        </w:rPr>
        <w:t>el </w:t>
      </w:r>
      <w:r>
        <w:rPr>
          <w:color w:val="231F20"/>
          <w:spacing w:val="4"/>
        </w:rPr>
        <w:t>acceso </w:t>
      </w:r>
      <w:r>
        <w:rPr>
          <w:color w:val="231F20"/>
          <w:spacing w:val="5"/>
        </w:rPr>
        <w:t>sumamente </w:t>
      </w:r>
      <w:r>
        <w:rPr>
          <w:color w:val="231F20"/>
          <w:spacing w:val="4"/>
        </w:rPr>
        <w:t>limitado </w:t>
      </w:r>
      <w:r>
        <w:rPr>
          <w:color w:val="231F20"/>
          <w:spacing w:val="2"/>
        </w:rPr>
        <w:t>de </w:t>
      </w:r>
      <w:r>
        <w:rPr>
          <w:color w:val="231F20"/>
          <w:spacing w:val="4"/>
        </w:rPr>
        <w:t>mujeres </w:t>
      </w:r>
      <w:r>
        <w:rPr>
          <w:color w:val="231F20"/>
        </w:rPr>
        <w:t>a </w:t>
      </w:r>
      <w:r>
        <w:rPr>
          <w:color w:val="231F20"/>
          <w:spacing w:val="3"/>
        </w:rPr>
        <w:t>los </w:t>
      </w:r>
      <w:r>
        <w:rPr>
          <w:color w:val="231F20"/>
          <w:spacing w:val="4"/>
        </w:rPr>
        <w:t>estudios superiores. Este hecho </w:t>
      </w:r>
      <w:r>
        <w:rPr>
          <w:color w:val="231F20"/>
          <w:spacing w:val="2"/>
        </w:rPr>
        <w:t>al </w:t>
      </w:r>
      <w:r>
        <w:rPr>
          <w:color w:val="231F20"/>
          <w:spacing w:val="4"/>
        </w:rPr>
        <w:t>mismo tiempo descubre </w:t>
      </w:r>
      <w:r>
        <w:rPr>
          <w:color w:val="231F20"/>
        </w:rPr>
        <w:t>y </w:t>
      </w:r>
      <w:r>
        <w:rPr>
          <w:color w:val="231F20"/>
          <w:spacing w:val="4"/>
        </w:rPr>
        <w:t>oculta </w:t>
      </w:r>
      <w:r>
        <w:rPr>
          <w:color w:val="231F20"/>
        </w:rPr>
        <w:t>la </w:t>
      </w:r>
      <w:r>
        <w:rPr>
          <w:color w:val="231F20"/>
          <w:spacing w:val="4"/>
        </w:rPr>
        <w:t>reproducción </w:t>
      </w:r>
      <w:r>
        <w:rPr>
          <w:color w:val="231F20"/>
          <w:spacing w:val="3"/>
        </w:rPr>
        <w:t>de una de las </w:t>
      </w:r>
      <w:r>
        <w:rPr>
          <w:color w:val="231F20"/>
          <w:spacing w:val="4"/>
        </w:rPr>
        <w:t>formas </w:t>
      </w:r>
      <w:r>
        <w:rPr>
          <w:color w:val="231F20"/>
          <w:spacing w:val="3"/>
        </w:rPr>
        <w:t>de </w:t>
      </w:r>
      <w:r>
        <w:rPr>
          <w:color w:val="231F20"/>
          <w:spacing w:val="4"/>
        </w:rPr>
        <w:t>violencia simbólica </w:t>
      </w:r>
      <w:r>
        <w:rPr>
          <w:color w:val="231F20"/>
        </w:rPr>
        <w:t>y </w:t>
      </w:r>
      <w:r>
        <w:rPr>
          <w:color w:val="231F20"/>
          <w:spacing w:val="3"/>
        </w:rPr>
        <w:t>de </w:t>
      </w:r>
      <w:r>
        <w:rPr>
          <w:color w:val="231F20"/>
          <w:spacing w:val="4"/>
        </w:rPr>
        <w:t>exclusión </w:t>
      </w:r>
      <w:r>
        <w:rPr>
          <w:color w:val="231F20"/>
          <w:spacing w:val="3"/>
        </w:rPr>
        <w:t>de </w:t>
      </w:r>
      <w:r>
        <w:rPr>
          <w:color w:val="231F20"/>
          <w:spacing w:val="4"/>
        </w:rPr>
        <w:t>género. </w:t>
      </w:r>
      <w:r>
        <w:rPr>
          <w:color w:val="231F20"/>
          <w:spacing w:val="3"/>
        </w:rPr>
        <w:t>Tal </w:t>
      </w:r>
      <w:r>
        <w:rPr>
          <w:color w:val="231F20"/>
          <w:spacing w:val="4"/>
        </w:rPr>
        <w:t>circunstancia </w:t>
      </w:r>
      <w:r>
        <w:rPr>
          <w:color w:val="231F20"/>
          <w:spacing w:val="3"/>
        </w:rPr>
        <w:t>no </w:t>
      </w:r>
      <w:r>
        <w:rPr>
          <w:color w:val="231F20"/>
          <w:spacing w:val="2"/>
        </w:rPr>
        <w:t>es </w:t>
      </w:r>
      <w:r>
        <w:rPr>
          <w:color w:val="231F20"/>
          <w:spacing w:val="4"/>
        </w:rPr>
        <w:t>menor pues </w:t>
      </w:r>
      <w:r>
        <w:rPr>
          <w:color w:val="231F20"/>
          <w:spacing w:val="2"/>
        </w:rPr>
        <w:t>al </w:t>
      </w:r>
      <w:r>
        <w:rPr>
          <w:color w:val="231F20"/>
          <w:spacing w:val="5"/>
        </w:rPr>
        <w:t>reco- </w:t>
      </w:r>
      <w:r>
        <w:rPr>
          <w:color w:val="231F20"/>
          <w:spacing w:val="3"/>
        </w:rPr>
        <w:t>rrer los </w:t>
      </w:r>
      <w:r>
        <w:rPr>
          <w:color w:val="231F20"/>
          <w:spacing w:val="4"/>
        </w:rPr>
        <w:t>espacios físicos </w:t>
      </w:r>
      <w:r>
        <w:rPr>
          <w:color w:val="231F20"/>
        </w:rPr>
        <w:t>y </w:t>
      </w:r>
      <w:r>
        <w:rPr>
          <w:color w:val="231F20"/>
          <w:spacing w:val="4"/>
        </w:rPr>
        <w:t>simbólicos, </w:t>
      </w:r>
      <w:r>
        <w:rPr>
          <w:color w:val="231F20"/>
          <w:spacing w:val="2"/>
        </w:rPr>
        <w:t>se </w:t>
      </w:r>
      <w:r>
        <w:rPr>
          <w:color w:val="231F20"/>
          <w:spacing w:val="4"/>
        </w:rPr>
        <w:t>aprecia </w:t>
      </w:r>
      <w:r>
        <w:rPr>
          <w:color w:val="231F20"/>
          <w:spacing w:val="3"/>
        </w:rPr>
        <w:t>que </w:t>
      </w:r>
      <w:r>
        <w:rPr>
          <w:color w:val="231F20"/>
        </w:rPr>
        <w:t>la </w:t>
      </w:r>
      <w:r>
        <w:rPr>
          <w:color w:val="231F20"/>
          <w:spacing w:val="4"/>
        </w:rPr>
        <w:t>distribu- </w:t>
      </w:r>
      <w:r>
        <w:rPr>
          <w:color w:val="231F20"/>
          <w:spacing w:val="3"/>
        </w:rPr>
        <w:t>ción de los </w:t>
      </w:r>
      <w:r>
        <w:rPr>
          <w:color w:val="231F20"/>
          <w:spacing w:val="4"/>
        </w:rPr>
        <w:t>lugares </w:t>
      </w:r>
      <w:r>
        <w:rPr>
          <w:color w:val="231F20"/>
        </w:rPr>
        <w:t>y </w:t>
      </w:r>
      <w:r>
        <w:rPr>
          <w:color w:val="231F20"/>
          <w:spacing w:val="3"/>
        </w:rPr>
        <w:t>los </w:t>
      </w:r>
      <w:r>
        <w:rPr>
          <w:color w:val="231F20"/>
          <w:spacing w:val="4"/>
        </w:rPr>
        <w:t>tiempos </w:t>
      </w:r>
      <w:r>
        <w:rPr>
          <w:color w:val="231F20"/>
          <w:spacing w:val="3"/>
        </w:rPr>
        <w:t>de </w:t>
      </w:r>
      <w:r>
        <w:rPr>
          <w:color w:val="231F20"/>
          <w:spacing w:val="4"/>
        </w:rPr>
        <w:t>trabajo, </w:t>
      </w:r>
      <w:r>
        <w:rPr>
          <w:color w:val="231F20"/>
          <w:spacing w:val="3"/>
        </w:rPr>
        <w:t>de </w:t>
      </w:r>
      <w:r>
        <w:rPr>
          <w:color w:val="231F20"/>
          <w:spacing w:val="4"/>
        </w:rPr>
        <w:t>recreo </w:t>
      </w:r>
      <w:r>
        <w:rPr>
          <w:color w:val="231F20"/>
        </w:rPr>
        <w:t>y </w:t>
      </w:r>
      <w:r>
        <w:rPr>
          <w:color w:val="231F20"/>
          <w:spacing w:val="3"/>
        </w:rPr>
        <w:t>de estu- </w:t>
      </w:r>
      <w:r>
        <w:rPr>
          <w:color w:val="231F20"/>
          <w:spacing w:val="4"/>
        </w:rPr>
        <w:t>dio, están </w:t>
      </w:r>
      <w:r>
        <w:rPr>
          <w:color w:val="231F20"/>
          <w:spacing w:val="2"/>
        </w:rPr>
        <w:t>en </w:t>
      </w:r>
      <w:r>
        <w:rPr>
          <w:color w:val="231F20"/>
          <w:spacing w:val="4"/>
        </w:rPr>
        <w:t>función </w:t>
      </w:r>
      <w:r>
        <w:rPr>
          <w:color w:val="231F20"/>
          <w:spacing w:val="3"/>
        </w:rPr>
        <w:t>de las </w:t>
      </w:r>
      <w:r>
        <w:rPr>
          <w:color w:val="231F20"/>
          <w:spacing w:val="4"/>
        </w:rPr>
        <w:t>necesidades materiales </w:t>
      </w:r>
      <w:r>
        <w:rPr>
          <w:color w:val="231F20"/>
        </w:rPr>
        <w:t>y </w:t>
      </w:r>
      <w:r>
        <w:rPr>
          <w:color w:val="231F20"/>
          <w:spacing w:val="4"/>
        </w:rPr>
        <w:t>espirituales </w:t>
      </w:r>
      <w:r>
        <w:rPr>
          <w:color w:val="231F20"/>
          <w:spacing w:val="3"/>
        </w:rPr>
        <w:t>de  </w:t>
      </w:r>
      <w:r>
        <w:rPr>
          <w:color w:val="231F20"/>
          <w:spacing w:val="2"/>
        </w:rPr>
        <w:t>un  </w:t>
      </w:r>
      <w:r>
        <w:rPr>
          <w:color w:val="231F20"/>
          <w:spacing w:val="4"/>
        </w:rPr>
        <w:t>establecimiento  educativo  dedicado  </w:t>
      </w:r>
      <w:r>
        <w:rPr>
          <w:color w:val="231F20"/>
        </w:rPr>
        <w:t>a  </w:t>
      </w:r>
      <w:r>
        <w:rPr>
          <w:color w:val="231F20"/>
          <w:spacing w:val="3"/>
        </w:rPr>
        <w:t>los  </w:t>
      </w:r>
      <w:r>
        <w:rPr>
          <w:color w:val="231F20"/>
          <w:spacing w:val="4"/>
        </w:rPr>
        <w:t>jóvenes.  </w:t>
      </w:r>
      <w:r>
        <w:rPr>
          <w:color w:val="231F20"/>
        </w:rPr>
        <w:t>Y</w:t>
      </w:r>
      <w:r>
        <w:rPr>
          <w:color w:val="231F20"/>
          <w:spacing w:val="-4"/>
        </w:rPr>
        <w:t> </w:t>
      </w:r>
      <w:r>
        <w:rPr>
          <w:color w:val="231F20"/>
          <w:spacing w:val="2"/>
        </w:rPr>
        <w:t>si</w:t>
      </w:r>
    </w:p>
    <w:p>
      <w:pPr>
        <w:spacing w:after="0" w:line="249" w:lineRule="auto"/>
        <w:jc w:val="both"/>
        <w:sectPr>
          <w:headerReference w:type="default" r:id="rId272"/>
          <w:footerReference w:type="default" r:id="rId273"/>
          <w:pgSz w:w="7830" w:h="11910"/>
          <w:pgMar w:header="0" w:footer="424" w:top="500" w:bottom="620" w:left="920" w:right="900"/>
          <w:pgNumType w:start="12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4"/>
        <w:jc w:val="both"/>
      </w:pPr>
      <w:r>
        <w:rPr>
          <w:color w:val="231F20"/>
          <w:spacing w:val="4"/>
        </w:rPr>
        <w:t>entramos </w:t>
      </w:r>
      <w:r>
        <w:rPr>
          <w:color w:val="231F20"/>
        </w:rPr>
        <w:t>a </w:t>
      </w:r>
      <w:r>
        <w:rPr>
          <w:color w:val="231F20"/>
          <w:spacing w:val="3"/>
        </w:rPr>
        <w:t>los </w:t>
      </w:r>
      <w:r>
        <w:rPr>
          <w:color w:val="231F20"/>
          <w:spacing w:val="4"/>
        </w:rPr>
        <w:t>detalles </w:t>
      </w:r>
      <w:r>
        <w:rPr>
          <w:color w:val="231F20"/>
          <w:spacing w:val="3"/>
        </w:rPr>
        <w:t>de </w:t>
      </w:r>
      <w:r>
        <w:rPr>
          <w:color w:val="231F20"/>
        </w:rPr>
        <w:t>la </w:t>
      </w:r>
      <w:r>
        <w:rPr>
          <w:color w:val="231F20"/>
          <w:spacing w:val="4"/>
        </w:rPr>
        <w:t>organización </w:t>
      </w:r>
      <w:r>
        <w:rPr>
          <w:color w:val="231F20"/>
          <w:spacing w:val="3"/>
        </w:rPr>
        <w:t>de los </w:t>
      </w:r>
      <w:r>
        <w:rPr>
          <w:color w:val="231F20"/>
          <w:spacing w:val="4"/>
        </w:rPr>
        <w:t>estudios, </w:t>
      </w:r>
      <w:r>
        <w:rPr>
          <w:color w:val="231F20"/>
          <w:spacing w:val="2"/>
        </w:rPr>
        <w:t>en </w:t>
      </w:r>
      <w:r>
        <w:rPr>
          <w:color w:val="231F20"/>
          <w:spacing w:val="4"/>
        </w:rPr>
        <w:t>especial </w:t>
      </w:r>
      <w:r>
        <w:rPr>
          <w:color w:val="231F20"/>
          <w:spacing w:val="3"/>
        </w:rPr>
        <w:t>de los </w:t>
      </w:r>
      <w:r>
        <w:rPr>
          <w:color w:val="231F20"/>
          <w:spacing w:val="4"/>
        </w:rPr>
        <w:t>planes </w:t>
      </w:r>
      <w:r>
        <w:rPr>
          <w:color w:val="231F20"/>
        </w:rPr>
        <w:t>y </w:t>
      </w:r>
      <w:r>
        <w:rPr>
          <w:color w:val="231F20"/>
          <w:spacing w:val="4"/>
        </w:rPr>
        <w:t>programas </w:t>
      </w:r>
      <w:r>
        <w:rPr>
          <w:color w:val="231F20"/>
          <w:spacing w:val="3"/>
        </w:rPr>
        <w:t>de </w:t>
      </w:r>
      <w:r>
        <w:rPr>
          <w:color w:val="231F20"/>
          <w:spacing w:val="4"/>
        </w:rPr>
        <w:t>estudio, </w:t>
      </w:r>
      <w:r>
        <w:rPr>
          <w:color w:val="231F20"/>
        </w:rPr>
        <w:t>la </w:t>
      </w:r>
      <w:r>
        <w:rPr>
          <w:color w:val="231F20"/>
          <w:spacing w:val="4"/>
        </w:rPr>
        <w:t>distribución </w:t>
      </w:r>
      <w:r>
        <w:rPr>
          <w:color w:val="231F20"/>
          <w:spacing w:val="6"/>
        </w:rPr>
        <w:t>de</w:t>
      </w:r>
      <w:r>
        <w:rPr>
          <w:color w:val="231F20"/>
          <w:spacing w:val="64"/>
        </w:rPr>
        <w:t> </w:t>
      </w:r>
      <w:r>
        <w:rPr>
          <w:color w:val="231F20"/>
          <w:spacing w:val="3"/>
        </w:rPr>
        <w:t>los </w:t>
      </w:r>
      <w:r>
        <w:rPr>
          <w:color w:val="231F20"/>
          <w:spacing w:val="4"/>
        </w:rPr>
        <w:t>tiempos escolares, </w:t>
      </w:r>
      <w:r>
        <w:rPr>
          <w:color w:val="231F20"/>
        </w:rPr>
        <w:t>la </w:t>
      </w:r>
      <w:r>
        <w:rPr>
          <w:color w:val="231F20"/>
          <w:spacing w:val="4"/>
        </w:rPr>
        <w:t>graduación </w:t>
      </w:r>
      <w:r>
        <w:rPr>
          <w:color w:val="231F20"/>
          <w:spacing w:val="3"/>
        </w:rPr>
        <w:t>del </w:t>
      </w:r>
      <w:r>
        <w:rPr>
          <w:color w:val="231F20"/>
          <w:spacing w:val="4"/>
        </w:rPr>
        <w:t>conocimiento </w:t>
      </w:r>
      <w:r>
        <w:rPr>
          <w:color w:val="231F20"/>
        </w:rPr>
        <w:t>y </w:t>
      </w:r>
      <w:r>
        <w:rPr>
          <w:color w:val="231F20"/>
          <w:spacing w:val="3"/>
        </w:rPr>
        <w:t>de </w:t>
      </w:r>
      <w:r>
        <w:rPr>
          <w:color w:val="231F20"/>
          <w:spacing w:val="4"/>
        </w:rPr>
        <w:t>la enseñanza </w:t>
      </w:r>
      <w:r>
        <w:rPr>
          <w:color w:val="231F20"/>
          <w:spacing w:val="3"/>
        </w:rPr>
        <w:t>de las </w:t>
      </w:r>
      <w:r>
        <w:rPr>
          <w:color w:val="231F20"/>
          <w:spacing w:val="4"/>
        </w:rPr>
        <w:t>disciplinas, </w:t>
      </w:r>
      <w:r>
        <w:rPr>
          <w:color w:val="231F20"/>
          <w:spacing w:val="3"/>
        </w:rPr>
        <w:t>los </w:t>
      </w:r>
      <w:r>
        <w:rPr>
          <w:color w:val="231F20"/>
          <w:spacing w:val="4"/>
        </w:rPr>
        <w:t>responsables </w:t>
      </w:r>
      <w:r>
        <w:rPr>
          <w:color w:val="231F20"/>
          <w:spacing w:val="3"/>
        </w:rPr>
        <w:t>de </w:t>
      </w:r>
      <w:r>
        <w:rPr>
          <w:color w:val="231F20"/>
          <w:spacing w:val="4"/>
        </w:rPr>
        <w:t>impartir </w:t>
      </w:r>
      <w:r>
        <w:rPr>
          <w:color w:val="231F20"/>
          <w:spacing w:val="3"/>
        </w:rPr>
        <w:t>las </w:t>
      </w:r>
      <w:r>
        <w:rPr>
          <w:color w:val="231F20"/>
          <w:spacing w:val="4"/>
        </w:rPr>
        <w:t>materias, </w:t>
      </w:r>
      <w:r>
        <w:rPr>
          <w:color w:val="231F20"/>
        </w:rPr>
        <w:t>la </w:t>
      </w:r>
      <w:r>
        <w:rPr>
          <w:color w:val="231F20"/>
          <w:spacing w:val="4"/>
        </w:rPr>
        <w:t>integración </w:t>
      </w:r>
      <w:r>
        <w:rPr>
          <w:color w:val="231F20"/>
          <w:spacing w:val="3"/>
        </w:rPr>
        <w:t>de los </w:t>
      </w:r>
      <w:r>
        <w:rPr>
          <w:color w:val="231F20"/>
          <w:spacing w:val="4"/>
        </w:rPr>
        <w:t>órganos </w:t>
      </w:r>
      <w:r>
        <w:rPr>
          <w:color w:val="231F20"/>
          <w:spacing w:val="3"/>
        </w:rPr>
        <w:t>de </w:t>
      </w:r>
      <w:r>
        <w:rPr>
          <w:color w:val="231F20"/>
          <w:spacing w:val="4"/>
        </w:rPr>
        <w:t>dirección </w:t>
      </w:r>
      <w:r>
        <w:rPr>
          <w:color w:val="231F20"/>
          <w:spacing w:val="3"/>
        </w:rPr>
        <w:t>del </w:t>
      </w:r>
      <w:r>
        <w:rPr>
          <w:color w:val="231F20"/>
          <w:spacing w:val="4"/>
        </w:rPr>
        <w:t>plantel,  </w:t>
      </w:r>
      <w:r>
        <w:rPr>
          <w:color w:val="231F20"/>
          <w:spacing w:val="2"/>
        </w:rPr>
        <w:t>se </w:t>
      </w:r>
      <w:r>
        <w:rPr>
          <w:color w:val="231F20"/>
          <w:spacing w:val="4"/>
        </w:rPr>
        <w:t>advierte </w:t>
      </w:r>
      <w:r>
        <w:rPr>
          <w:color w:val="231F20"/>
        </w:rPr>
        <w:t>la </w:t>
      </w:r>
      <w:r>
        <w:rPr>
          <w:color w:val="231F20"/>
          <w:spacing w:val="4"/>
        </w:rPr>
        <w:t>concepción </w:t>
      </w:r>
      <w:r>
        <w:rPr>
          <w:color w:val="231F20"/>
          <w:spacing w:val="3"/>
        </w:rPr>
        <w:t>del </w:t>
      </w:r>
      <w:r>
        <w:rPr>
          <w:color w:val="231F20"/>
          <w:spacing w:val="4"/>
        </w:rPr>
        <w:t>sujeto </w:t>
      </w:r>
      <w:r>
        <w:rPr>
          <w:color w:val="231F20"/>
        </w:rPr>
        <w:t>a </w:t>
      </w:r>
      <w:r>
        <w:rPr>
          <w:color w:val="231F20"/>
          <w:spacing w:val="4"/>
        </w:rPr>
        <w:t>formar, </w:t>
      </w:r>
      <w:r>
        <w:rPr>
          <w:color w:val="231F20"/>
          <w:spacing w:val="2"/>
        </w:rPr>
        <w:t>el </w:t>
      </w:r>
      <w:r>
        <w:rPr>
          <w:color w:val="231F20"/>
          <w:spacing w:val="6"/>
        </w:rPr>
        <w:t>hom- </w:t>
      </w:r>
      <w:r>
        <w:rPr>
          <w:color w:val="231F20"/>
          <w:spacing w:val="5"/>
        </w:rPr>
        <w:t>bre/profesionista. </w:t>
      </w:r>
      <w:r>
        <w:rPr>
          <w:color w:val="231F20"/>
          <w:spacing w:val="4"/>
        </w:rPr>
        <w:t>Además, </w:t>
      </w:r>
      <w:r>
        <w:rPr>
          <w:color w:val="231F20"/>
          <w:spacing w:val="3"/>
        </w:rPr>
        <w:t>los </w:t>
      </w:r>
      <w:r>
        <w:rPr>
          <w:color w:val="231F20"/>
          <w:spacing w:val="4"/>
        </w:rPr>
        <w:t>usos </w:t>
      </w:r>
      <w:r>
        <w:rPr>
          <w:color w:val="231F20"/>
          <w:spacing w:val="3"/>
        </w:rPr>
        <w:t>del </w:t>
      </w:r>
      <w:r>
        <w:rPr>
          <w:color w:val="231F20"/>
          <w:spacing w:val="4"/>
        </w:rPr>
        <w:t>lenguaje cotidiano </w:t>
      </w:r>
      <w:r>
        <w:rPr>
          <w:color w:val="231F20"/>
        </w:rPr>
        <w:t>y </w:t>
      </w:r>
      <w:r>
        <w:rPr>
          <w:color w:val="231F20"/>
          <w:spacing w:val="4"/>
        </w:rPr>
        <w:t>disciplinario, </w:t>
      </w:r>
      <w:r>
        <w:rPr>
          <w:color w:val="231F20"/>
          <w:spacing w:val="3"/>
        </w:rPr>
        <w:t>las </w:t>
      </w:r>
      <w:r>
        <w:rPr>
          <w:color w:val="231F20"/>
          <w:spacing w:val="4"/>
        </w:rPr>
        <w:t>normas internas, están diseñadas </w:t>
      </w:r>
      <w:r>
        <w:rPr>
          <w:color w:val="231F20"/>
          <w:spacing w:val="3"/>
        </w:rPr>
        <w:t>para </w:t>
      </w:r>
      <w:r>
        <w:rPr>
          <w:color w:val="231F20"/>
          <w:spacing w:val="4"/>
        </w:rPr>
        <w:t>referirse </w:t>
      </w:r>
      <w:r>
        <w:rPr>
          <w:color w:val="231F20"/>
        </w:rPr>
        <w:t>a lo</w:t>
      </w:r>
      <w:r>
        <w:rPr>
          <w:color w:val="231F20"/>
          <w:spacing w:val="-4"/>
        </w:rPr>
        <w:t> </w:t>
      </w:r>
      <w:r>
        <w:rPr>
          <w:color w:val="231F20"/>
          <w:spacing w:val="5"/>
        </w:rPr>
        <w:t>masculino.</w:t>
      </w:r>
    </w:p>
    <w:p>
      <w:pPr>
        <w:pStyle w:val="BodyText"/>
        <w:spacing w:before="7"/>
      </w:pPr>
    </w:p>
    <w:p>
      <w:pPr>
        <w:pStyle w:val="BodyText"/>
        <w:ind w:left="102"/>
        <w:jc w:val="both"/>
      </w:pPr>
      <w:r>
        <w:rPr>
          <w:color w:val="231F20"/>
          <w:w w:val="105"/>
        </w:rPr>
        <w:t>INDISCIPLINA, DESORDEN, REBELDÍA</w:t>
      </w:r>
    </w:p>
    <w:p>
      <w:pPr>
        <w:pStyle w:val="BodyText"/>
        <w:spacing w:before="1"/>
      </w:pPr>
    </w:p>
    <w:p>
      <w:pPr>
        <w:pStyle w:val="BodyText"/>
        <w:spacing w:line="247" w:lineRule="auto" w:before="1"/>
        <w:ind w:left="102" w:right="115"/>
        <w:jc w:val="both"/>
      </w:pPr>
      <w:r>
        <w:rPr>
          <w:color w:val="231F20"/>
        </w:rPr>
        <w:t>Entre las décadas de los años 20y los 40 del siglo </w:t>
      </w:r>
      <w:r>
        <w:rPr>
          <w:color w:val="231F20"/>
          <w:sz w:val="17"/>
        </w:rPr>
        <w:t>xx</w:t>
      </w:r>
      <w:r>
        <w:rPr>
          <w:color w:val="231F20"/>
        </w:rPr>
        <w:t>, los actores educativos vivieron y protagonizaron  momentos  fundamentales  que cuestionaron ideas, discursos y prácticas de disciplina y violen- cia institucional, así como los afanes por imprimir nuevos perfiles  de la vida escolar en el Instituto Científico Literario. Esos </w:t>
      </w:r>
      <w:r>
        <w:rPr>
          <w:color w:val="231F20"/>
          <w:spacing w:val="2"/>
        </w:rPr>
        <w:t>momen- </w:t>
      </w:r>
      <w:r>
        <w:rPr>
          <w:color w:val="231F20"/>
        </w:rPr>
        <w:t>tos se expresaron en el cuestionamiento profundo a diversas mani- festaciones de violencia tanto simbólicas como físicas que supusie- ron confrontaciones que culminaron en enfrentamientos físicos entre/contra actores internos y externos, en formas de protesta que fueron desde el rechazo a medidas correctivas, hasta la huelga estu- diantil, abriendo periodos de nuevas expresiones simbólicas, rituales y lenguajes que legitimaban tales formas de disciplina y violencia (Gutiérrez,</w:t>
      </w:r>
      <w:r>
        <w:rPr>
          <w:color w:val="231F20"/>
          <w:spacing w:val="-13"/>
        </w:rPr>
        <w:t> </w:t>
      </w:r>
      <w:r>
        <w:rPr>
          <w:color w:val="231F20"/>
        </w:rPr>
        <w:t>2010).</w:t>
      </w:r>
    </w:p>
    <w:p>
      <w:pPr>
        <w:pStyle w:val="BodyText"/>
        <w:spacing w:line="247" w:lineRule="auto"/>
        <w:ind w:left="102" w:right="114"/>
        <w:jc w:val="both"/>
      </w:pPr>
      <w:r>
        <w:rPr>
          <w:color w:val="231F20"/>
        </w:rPr>
        <w:t>En este marco de inestabilidad, por no decir de franca ruptura del orden escolar, se sitúa un informe de labores  deldirector  de unplantel en el que da cuenta del ambiente que privaba en el plantel que presuntamente dirigía. Destaca en el texto, su  reflexión  en  torno al valor, al significado y las prácticas de la disciplina; la violencia y la organización escolar que prevalecía en el instituto durante el periodo que comprendía su informe. Quizá uno de los aspectos más notables del mismo es que analiza el tema de la disciplina a partir de lo que juzga un clima social poco propicio y que influía directamente en  el  quehacer  institucional.Lleó Fernández (2011) establece la diferencia entre el problema de la victimización como una expresión de la violencia y las malas relaciones entre escolares, lo cual puede extenderse a todos los actores educativos que se involucran en la institución educativa,</w:t>
      </w:r>
      <w:r>
        <w:rPr>
          <w:color w:val="231F20"/>
          <w:spacing w:val="10"/>
        </w:rPr>
        <w:t> </w:t>
      </w:r>
      <w:r>
        <w:rPr>
          <w:color w:val="231F20"/>
        </w:rPr>
        <w:t>con</w:t>
      </w:r>
    </w:p>
    <w:p>
      <w:pPr>
        <w:spacing w:after="0" w:line="247" w:lineRule="auto"/>
        <w:jc w:val="both"/>
        <w:sectPr>
          <w:headerReference w:type="default" r:id="rId274"/>
          <w:footerReference w:type="default" r:id="rId275"/>
          <w:pgSz w:w="7830" w:h="11910"/>
          <w:pgMar w:header="0" w:footer="424" w:top="500" w:bottom="620" w:left="920" w:right="900"/>
          <w:pgNumType w:start="12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4"/>
        <w:jc w:val="both"/>
      </w:pPr>
      <w:r>
        <w:rPr>
          <w:color w:val="231F20"/>
        </w:rPr>
        <w:t>algunas características semejantes. Las malas relaciones son un problema más generalizado pero menos intenso. Cuestiones como    la indisciplina o el mal comportamiento, son fenómenos perturbadores que alteran la buena marcha de la vida escolar, pero que no deberíamos considerar verdaderos problemas de violencia.  En este sentido, hay que distinguir entre indisciplina y violencia escolar; la primera puede derivar en formas de protesta y de desafío al orden escolar “legítimo”; y la segunda, como mecanismo de intimidación, como práctica de control y</w:t>
      </w:r>
      <w:r>
        <w:rPr>
          <w:color w:val="231F20"/>
          <w:spacing w:val="-27"/>
        </w:rPr>
        <w:t> </w:t>
      </w:r>
      <w:r>
        <w:rPr>
          <w:color w:val="231F20"/>
        </w:rPr>
        <w:t>vigilancia.</w:t>
      </w:r>
    </w:p>
    <w:p>
      <w:pPr>
        <w:pStyle w:val="BodyText"/>
        <w:spacing w:before="7"/>
        <w:rPr>
          <w:sz w:val="22"/>
        </w:rPr>
      </w:pPr>
    </w:p>
    <w:p>
      <w:pPr>
        <w:pStyle w:val="BodyText"/>
        <w:ind w:left="386" w:right="121"/>
      </w:pPr>
      <w:r>
        <w:rPr>
          <w:color w:val="231F20"/>
        </w:rPr>
        <w:t>A este respecto, Gómez apuntaba lo siguiente:</w:t>
      </w:r>
    </w:p>
    <w:p>
      <w:pPr>
        <w:pStyle w:val="BodyText"/>
        <w:rPr>
          <w:sz w:val="24"/>
        </w:rPr>
      </w:pPr>
    </w:p>
    <w:p>
      <w:pPr>
        <w:spacing w:line="273" w:lineRule="auto" w:before="0"/>
        <w:ind w:left="810" w:right="160" w:firstLine="0"/>
        <w:jc w:val="both"/>
        <w:rPr>
          <w:sz w:val="19"/>
        </w:rPr>
      </w:pPr>
      <w:r>
        <w:rPr>
          <w:color w:val="231F20"/>
          <w:sz w:val="19"/>
        </w:rPr>
        <w:t>La</w:t>
      </w:r>
      <w:r>
        <w:rPr>
          <w:color w:val="231F20"/>
          <w:spacing w:val="-22"/>
          <w:sz w:val="19"/>
        </w:rPr>
        <w:t> </w:t>
      </w:r>
      <w:r>
        <w:rPr>
          <w:color w:val="231F20"/>
          <w:sz w:val="19"/>
        </w:rPr>
        <w:t>disciplina</w:t>
      </w:r>
      <w:r>
        <w:rPr>
          <w:color w:val="231F20"/>
          <w:spacing w:val="-22"/>
          <w:sz w:val="19"/>
        </w:rPr>
        <w:t> </w:t>
      </w:r>
      <w:r>
        <w:rPr>
          <w:color w:val="231F20"/>
          <w:sz w:val="19"/>
        </w:rPr>
        <w:t>en</w:t>
      </w:r>
      <w:r>
        <w:rPr>
          <w:color w:val="231F20"/>
          <w:spacing w:val="-22"/>
          <w:sz w:val="19"/>
        </w:rPr>
        <w:t> </w:t>
      </w:r>
      <w:r>
        <w:rPr>
          <w:color w:val="231F20"/>
          <w:sz w:val="19"/>
        </w:rPr>
        <w:t>el</w:t>
      </w:r>
      <w:r>
        <w:rPr>
          <w:color w:val="231F20"/>
          <w:spacing w:val="-22"/>
          <w:sz w:val="19"/>
        </w:rPr>
        <w:t> </w:t>
      </w:r>
      <w:r>
        <w:rPr>
          <w:color w:val="231F20"/>
          <w:sz w:val="19"/>
        </w:rPr>
        <w:t>plantel</w:t>
      </w:r>
      <w:r>
        <w:rPr>
          <w:color w:val="231F20"/>
          <w:spacing w:val="-22"/>
          <w:sz w:val="19"/>
        </w:rPr>
        <w:t> </w:t>
      </w:r>
      <w:r>
        <w:rPr>
          <w:color w:val="231F20"/>
          <w:sz w:val="19"/>
        </w:rPr>
        <w:t>deja</w:t>
      </w:r>
      <w:r>
        <w:rPr>
          <w:color w:val="231F20"/>
          <w:spacing w:val="-22"/>
          <w:sz w:val="19"/>
        </w:rPr>
        <w:t> </w:t>
      </w:r>
      <w:r>
        <w:rPr>
          <w:color w:val="231F20"/>
          <w:sz w:val="19"/>
        </w:rPr>
        <w:t>mucho</w:t>
      </w:r>
      <w:r>
        <w:rPr>
          <w:color w:val="231F20"/>
          <w:spacing w:val="-22"/>
          <w:sz w:val="19"/>
        </w:rPr>
        <w:t> </w:t>
      </w:r>
      <w:r>
        <w:rPr>
          <w:color w:val="231F20"/>
          <w:sz w:val="19"/>
        </w:rPr>
        <w:t>que</w:t>
      </w:r>
      <w:r>
        <w:rPr>
          <w:color w:val="231F20"/>
          <w:spacing w:val="-22"/>
          <w:sz w:val="19"/>
        </w:rPr>
        <w:t> </w:t>
      </w:r>
      <w:r>
        <w:rPr>
          <w:color w:val="231F20"/>
          <w:sz w:val="19"/>
        </w:rPr>
        <w:t>desear,</w:t>
      </w:r>
      <w:r>
        <w:rPr>
          <w:color w:val="231F20"/>
          <w:spacing w:val="-23"/>
          <w:sz w:val="19"/>
        </w:rPr>
        <w:t> </w:t>
      </w:r>
      <w:r>
        <w:rPr>
          <w:i/>
          <w:color w:val="231F20"/>
          <w:sz w:val="19"/>
        </w:rPr>
        <w:t>quizá</w:t>
      </w:r>
      <w:r>
        <w:rPr>
          <w:i/>
          <w:color w:val="231F20"/>
          <w:spacing w:val="-22"/>
          <w:sz w:val="19"/>
        </w:rPr>
        <w:t> </w:t>
      </w:r>
      <w:r>
        <w:rPr>
          <w:i/>
          <w:color w:val="231F20"/>
          <w:sz w:val="19"/>
        </w:rPr>
        <w:t>porque</w:t>
      </w:r>
      <w:r>
        <w:rPr>
          <w:i/>
          <w:color w:val="231F20"/>
          <w:spacing w:val="-22"/>
          <w:sz w:val="19"/>
        </w:rPr>
        <w:t> </w:t>
      </w:r>
      <w:r>
        <w:rPr>
          <w:i/>
          <w:color w:val="231F20"/>
          <w:sz w:val="19"/>
        </w:rPr>
        <w:t>esta- </w:t>
      </w:r>
      <w:r>
        <w:rPr>
          <w:i/>
          <w:color w:val="231F20"/>
          <w:w w:val="85"/>
          <w:sz w:val="19"/>
        </w:rPr>
        <w:t>mos</w:t>
      </w:r>
      <w:r>
        <w:rPr>
          <w:i/>
          <w:color w:val="231F20"/>
          <w:spacing w:val="-10"/>
          <w:w w:val="85"/>
          <w:sz w:val="19"/>
        </w:rPr>
        <w:t> </w:t>
      </w:r>
      <w:r>
        <w:rPr>
          <w:i/>
          <w:color w:val="231F20"/>
          <w:w w:val="85"/>
          <w:sz w:val="19"/>
        </w:rPr>
        <w:t>en</w:t>
      </w:r>
      <w:r>
        <w:rPr>
          <w:i/>
          <w:color w:val="231F20"/>
          <w:spacing w:val="-10"/>
          <w:w w:val="85"/>
          <w:sz w:val="19"/>
        </w:rPr>
        <w:t> </w:t>
      </w:r>
      <w:r>
        <w:rPr>
          <w:i/>
          <w:color w:val="231F20"/>
          <w:w w:val="85"/>
          <w:sz w:val="19"/>
        </w:rPr>
        <w:t>un</w:t>
      </w:r>
      <w:r>
        <w:rPr>
          <w:i/>
          <w:color w:val="231F20"/>
          <w:spacing w:val="-10"/>
          <w:w w:val="85"/>
          <w:sz w:val="19"/>
        </w:rPr>
        <w:t> </w:t>
      </w:r>
      <w:r>
        <w:rPr>
          <w:i/>
          <w:color w:val="231F20"/>
          <w:w w:val="85"/>
          <w:sz w:val="19"/>
        </w:rPr>
        <w:t>periodo</w:t>
      </w:r>
      <w:r>
        <w:rPr>
          <w:i/>
          <w:color w:val="231F20"/>
          <w:spacing w:val="-10"/>
          <w:w w:val="85"/>
          <w:sz w:val="19"/>
        </w:rPr>
        <w:t> </w:t>
      </w:r>
      <w:r>
        <w:rPr>
          <w:i/>
          <w:color w:val="231F20"/>
          <w:w w:val="85"/>
          <w:sz w:val="19"/>
        </w:rPr>
        <w:t>de</w:t>
      </w:r>
      <w:r>
        <w:rPr>
          <w:i/>
          <w:color w:val="231F20"/>
          <w:spacing w:val="-11"/>
          <w:w w:val="85"/>
          <w:sz w:val="19"/>
        </w:rPr>
        <w:t> </w:t>
      </w:r>
      <w:r>
        <w:rPr>
          <w:i/>
          <w:color w:val="231F20"/>
          <w:w w:val="85"/>
          <w:sz w:val="19"/>
        </w:rPr>
        <w:t>desintegración</w:t>
      </w:r>
      <w:r>
        <w:rPr>
          <w:i/>
          <w:color w:val="231F20"/>
          <w:spacing w:val="-10"/>
          <w:w w:val="85"/>
          <w:sz w:val="19"/>
        </w:rPr>
        <w:t> </w:t>
      </w:r>
      <w:r>
        <w:rPr>
          <w:i/>
          <w:color w:val="231F20"/>
          <w:w w:val="85"/>
          <w:sz w:val="19"/>
        </w:rPr>
        <w:t>social</w:t>
      </w:r>
      <w:r>
        <w:rPr>
          <w:i/>
          <w:color w:val="231F20"/>
          <w:spacing w:val="-10"/>
          <w:w w:val="85"/>
          <w:sz w:val="19"/>
        </w:rPr>
        <w:t> </w:t>
      </w:r>
      <w:r>
        <w:rPr>
          <w:i/>
          <w:color w:val="231F20"/>
          <w:w w:val="85"/>
          <w:sz w:val="19"/>
        </w:rPr>
        <w:t>en</w:t>
      </w:r>
      <w:r>
        <w:rPr>
          <w:i/>
          <w:color w:val="231F20"/>
          <w:spacing w:val="-10"/>
          <w:w w:val="85"/>
          <w:sz w:val="19"/>
        </w:rPr>
        <w:t> </w:t>
      </w:r>
      <w:r>
        <w:rPr>
          <w:i/>
          <w:color w:val="231F20"/>
          <w:w w:val="85"/>
          <w:sz w:val="19"/>
        </w:rPr>
        <w:t>todo</w:t>
      </w:r>
      <w:r>
        <w:rPr>
          <w:i/>
          <w:color w:val="231F20"/>
          <w:spacing w:val="-10"/>
          <w:w w:val="85"/>
          <w:sz w:val="19"/>
        </w:rPr>
        <w:t> </w:t>
      </w:r>
      <w:r>
        <w:rPr>
          <w:i/>
          <w:color w:val="231F20"/>
          <w:w w:val="85"/>
          <w:sz w:val="19"/>
        </w:rPr>
        <w:t>el</w:t>
      </w:r>
      <w:r>
        <w:rPr>
          <w:i/>
          <w:color w:val="231F20"/>
          <w:spacing w:val="-10"/>
          <w:w w:val="85"/>
          <w:sz w:val="19"/>
        </w:rPr>
        <w:t> </w:t>
      </w:r>
      <w:r>
        <w:rPr>
          <w:i/>
          <w:color w:val="231F20"/>
          <w:w w:val="85"/>
          <w:sz w:val="19"/>
        </w:rPr>
        <w:t>mundola</w:t>
      </w:r>
      <w:r>
        <w:rPr>
          <w:i/>
          <w:color w:val="231F20"/>
          <w:spacing w:val="-10"/>
          <w:w w:val="85"/>
          <w:sz w:val="19"/>
        </w:rPr>
        <w:t> </w:t>
      </w:r>
      <w:r>
        <w:rPr>
          <w:i/>
          <w:color w:val="231F20"/>
          <w:w w:val="85"/>
          <w:sz w:val="19"/>
        </w:rPr>
        <w:t>que</w:t>
      </w:r>
      <w:r>
        <w:rPr>
          <w:i/>
          <w:color w:val="231F20"/>
          <w:spacing w:val="-10"/>
          <w:w w:val="85"/>
          <w:sz w:val="19"/>
        </w:rPr>
        <w:t> </w:t>
      </w:r>
      <w:r>
        <w:rPr>
          <w:i/>
          <w:color w:val="231F20"/>
          <w:w w:val="85"/>
          <w:sz w:val="19"/>
        </w:rPr>
        <w:t>se</w:t>
      </w:r>
      <w:r>
        <w:rPr>
          <w:i/>
          <w:color w:val="231F20"/>
          <w:spacing w:val="-10"/>
          <w:w w:val="85"/>
          <w:sz w:val="19"/>
        </w:rPr>
        <w:t> </w:t>
      </w:r>
      <w:r>
        <w:rPr>
          <w:i/>
          <w:color w:val="231F20"/>
          <w:w w:val="85"/>
          <w:sz w:val="19"/>
        </w:rPr>
        <w:t>hace</w:t>
      </w:r>
      <w:r>
        <w:rPr>
          <w:i/>
          <w:color w:val="231F20"/>
          <w:spacing w:val="-10"/>
          <w:w w:val="85"/>
          <w:sz w:val="19"/>
        </w:rPr>
        <w:t> </w:t>
      </w:r>
      <w:r>
        <w:rPr>
          <w:i/>
          <w:color w:val="231F20"/>
          <w:w w:val="85"/>
          <w:sz w:val="19"/>
        </w:rPr>
        <w:t>no- tar</w:t>
      </w:r>
      <w:r>
        <w:rPr>
          <w:i/>
          <w:color w:val="231F20"/>
          <w:spacing w:val="-14"/>
          <w:w w:val="85"/>
          <w:sz w:val="19"/>
        </w:rPr>
        <w:t> </w:t>
      </w:r>
      <w:r>
        <w:rPr>
          <w:i/>
          <w:color w:val="231F20"/>
          <w:w w:val="85"/>
          <w:sz w:val="19"/>
        </w:rPr>
        <w:t>esencialmente</w:t>
      </w:r>
      <w:r>
        <w:rPr>
          <w:i/>
          <w:color w:val="231F20"/>
          <w:spacing w:val="-14"/>
          <w:w w:val="85"/>
          <w:sz w:val="19"/>
        </w:rPr>
        <w:t> </w:t>
      </w:r>
      <w:r>
        <w:rPr>
          <w:i/>
          <w:color w:val="231F20"/>
          <w:w w:val="85"/>
          <w:sz w:val="19"/>
        </w:rPr>
        <w:t>en</w:t>
      </w:r>
      <w:r>
        <w:rPr>
          <w:i/>
          <w:color w:val="231F20"/>
          <w:spacing w:val="-14"/>
          <w:w w:val="85"/>
          <w:sz w:val="19"/>
        </w:rPr>
        <w:t> </w:t>
      </w:r>
      <w:r>
        <w:rPr>
          <w:i/>
          <w:color w:val="231F20"/>
          <w:w w:val="85"/>
          <w:sz w:val="19"/>
        </w:rPr>
        <w:t>los</w:t>
      </w:r>
      <w:r>
        <w:rPr>
          <w:i/>
          <w:color w:val="231F20"/>
          <w:spacing w:val="-14"/>
          <w:w w:val="85"/>
          <w:sz w:val="19"/>
        </w:rPr>
        <w:t> </w:t>
      </w:r>
      <w:r>
        <w:rPr>
          <w:i/>
          <w:color w:val="231F20"/>
          <w:w w:val="85"/>
          <w:sz w:val="19"/>
        </w:rPr>
        <w:t>pueblos</w:t>
      </w:r>
      <w:r>
        <w:rPr>
          <w:i/>
          <w:color w:val="231F20"/>
          <w:spacing w:val="-14"/>
          <w:w w:val="85"/>
          <w:sz w:val="19"/>
        </w:rPr>
        <w:t> </w:t>
      </w:r>
      <w:r>
        <w:rPr>
          <w:i/>
          <w:color w:val="231F20"/>
          <w:w w:val="85"/>
          <w:sz w:val="19"/>
        </w:rPr>
        <w:t>que</w:t>
      </w:r>
      <w:r>
        <w:rPr>
          <w:i/>
          <w:color w:val="231F20"/>
          <w:spacing w:val="-14"/>
          <w:w w:val="85"/>
          <w:sz w:val="19"/>
        </w:rPr>
        <w:t> </w:t>
      </w:r>
      <w:r>
        <w:rPr>
          <w:i/>
          <w:color w:val="231F20"/>
          <w:w w:val="85"/>
          <w:sz w:val="19"/>
        </w:rPr>
        <w:t>apenas</w:t>
      </w:r>
      <w:r>
        <w:rPr>
          <w:i/>
          <w:color w:val="231F20"/>
          <w:spacing w:val="-14"/>
          <w:w w:val="85"/>
          <w:sz w:val="19"/>
        </w:rPr>
        <w:t> </w:t>
      </w:r>
      <w:r>
        <w:rPr>
          <w:i/>
          <w:color w:val="231F20"/>
          <w:w w:val="85"/>
          <w:sz w:val="19"/>
        </w:rPr>
        <w:t>[se]</w:t>
      </w:r>
      <w:r>
        <w:rPr>
          <w:i/>
          <w:color w:val="231F20"/>
          <w:spacing w:val="-14"/>
          <w:w w:val="85"/>
          <w:sz w:val="19"/>
        </w:rPr>
        <w:t> </w:t>
      </w:r>
      <w:r>
        <w:rPr>
          <w:i/>
          <w:color w:val="231F20"/>
          <w:w w:val="85"/>
          <w:sz w:val="19"/>
        </w:rPr>
        <w:t>están</w:t>
      </w:r>
      <w:r>
        <w:rPr>
          <w:i/>
          <w:color w:val="231F20"/>
          <w:spacing w:val="-14"/>
          <w:w w:val="85"/>
          <w:sz w:val="19"/>
        </w:rPr>
        <w:t> </w:t>
      </w:r>
      <w:r>
        <w:rPr>
          <w:i/>
          <w:color w:val="231F20"/>
          <w:w w:val="85"/>
          <w:sz w:val="19"/>
        </w:rPr>
        <w:t>formando</w:t>
      </w:r>
      <w:r>
        <w:rPr>
          <w:i/>
          <w:color w:val="231F20"/>
          <w:spacing w:val="-14"/>
          <w:w w:val="85"/>
          <w:sz w:val="19"/>
        </w:rPr>
        <w:t> </w:t>
      </w:r>
      <w:r>
        <w:rPr>
          <w:i/>
          <w:color w:val="231F20"/>
          <w:w w:val="85"/>
          <w:sz w:val="19"/>
        </w:rPr>
        <w:t>su</w:t>
      </w:r>
      <w:r>
        <w:rPr>
          <w:i/>
          <w:color w:val="231F20"/>
          <w:spacing w:val="-14"/>
          <w:w w:val="85"/>
          <w:sz w:val="19"/>
        </w:rPr>
        <w:t> </w:t>
      </w:r>
      <w:r>
        <w:rPr>
          <w:i/>
          <w:color w:val="231F20"/>
          <w:w w:val="85"/>
          <w:sz w:val="19"/>
        </w:rPr>
        <w:t>propia</w:t>
      </w:r>
      <w:r>
        <w:rPr>
          <w:i/>
          <w:color w:val="231F20"/>
          <w:spacing w:val="-14"/>
          <w:w w:val="85"/>
          <w:sz w:val="19"/>
        </w:rPr>
        <w:t> </w:t>
      </w:r>
      <w:r>
        <w:rPr>
          <w:i/>
          <w:color w:val="231F20"/>
          <w:w w:val="85"/>
          <w:sz w:val="19"/>
        </w:rPr>
        <w:t>cul- </w:t>
      </w:r>
      <w:r>
        <w:rPr>
          <w:i/>
          <w:color w:val="231F20"/>
          <w:sz w:val="19"/>
        </w:rPr>
        <w:t>tura</w:t>
      </w:r>
      <w:r>
        <w:rPr>
          <w:color w:val="231F20"/>
          <w:sz w:val="19"/>
        </w:rPr>
        <w:t>[cursivas mías]. Enseguida, el directivo del plantel educativo, aseguraba que sus esfuerzos por terminar con la indisciplina ha- bían tenido algunos logros, pues aseguraba “sin embargo, algo se consiguió por lo que se refiere a los alumnos, pues se organizó y llevó a término una excursión al Monte de las Cruces… y fue</w:t>
      </w:r>
      <w:r>
        <w:rPr>
          <w:color w:val="231F20"/>
          <w:spacing w:val="-33"/>
          <w:sz w:val="19"/>
        </w:rPr>
        <w:t> </w:t>
      </w:r>
      <w:r>
        <w:rPr>
          <w:color w:val="231F20"/>
          <w:sz w:val="19"/>
        </w:rPr>
        <w:t>para mí</w:t>
      </w:r>
      <w:r>
        <w:rPr>
          <w:color w:val="231F20"/>
          <w:spacing w:val="-7"/>
          <w:sz w:val="19"/>
        </w:rPr>
        <w:t> </w:t>
      </w:r>
      <w:r>
        <w:rPr>
          <w:color w:val="231F20"/>
          <w:sz w:val="19"/>
        </w:rPr>
        <w:t>altamente</w:t>
      </w:r>
      <w:r>
        <w:rPr>
          <w:color w:val="231F20"/>
          <w:spacing w:val="-6"/>
          <w:sz w:val="19"/>
        </w:rPr>
        <w:t> </w:t>
      </w:r>
      <w:r>
        <w:rPr>
          <w:color w:val="231F20"/>
          <w:sz w:val="19"/>
        </w:rPr>
        <w:t>satisfactorio</w:t>
      </w:r>
      <w:r>
        <w:rPr>
          <w:color w:val="231F20"/>
          <w:spacing w:val="-6"/>
          <w:sz w:val="19"/>
        </w:rPr>
        <w:t> </w:t>
      </w:r>
      <w:r>
        <w:rPr>
          <w:color w:val="231F20"/>
          <w:sz w:val="19"/>
        </w:rPr>
        <w:t>que</w:t>
      </w:r>
      <w:r>
        <w:rPr>
          <w:color w:val="231F20"/>
          <w:spacing w:val="-6"/>
          <w:sz w:val="19"/>
        </w:rPr>
        <w:t> </w:t>
      </w:r>
      <w:r>
        <w:rPr>
          <w:color w:val="231F20"/>
          <w:sz w:val="19"/>
        </w:rPr>
        <w:t>dentro</w:t>
      </w:r>
      <w:r>
        <w:rPr>
          <w:color w:val="231F20"/>
          <w:spacing w:val="-6"/>
          <w:sz w:val="19"/>
        </w:rPr>
        <w:t> </w:t>
      </w:r>
      <w:r>
        <w:rPr>
          <w:color w:val="231F20"/>
          <w:sz w:val="19"/>
        </w:rPr>
        <w:t>del</w:t>
      </w:r>
      <w:r>
        <w:rPr>
          <w:color w:val="231F20"/>
          <w:spacing w:val="-7"/>
          <w:sz w:val="19"/>
        </w:rPr>
        <w:t> </w:t>
      </w:r>
      <w:r>
        <w:rPr>
          <w:color w:val="231F20"/>
          <w:sz w:val="19"/>
        </w:rPr>
        <w:t>mayor</w:t>
      </w:r>
      <w:r>
        <w:rPr>
          <w:color w:val="231F20"/>
          <w:spacing w:val="-7"/>
          <w:sz w:val="19"/>
        </w:rPr>
        <w:t> </w:t>
      </w:r>
      <w:r>
        <w:rPr>
          <w:color w:val="231F20"/>
          <w:sz w:val="19"/>
        </w:rPr>
        <w:t>orden</w:t>
      </w:r>
      <w:r>
        <w:rPr>
          <w:color w:val="231F20"/>
          <w:spacing w:val="-6"/>
          <w:sz w:val="19"/>
        </w:rPr>
        <w:t> </w:t>
      </w:r>
      <w:r>
        <w:rPr>
          <w:color w:val="231F20"/>
          <w:sz w:val="19"/>
        </w:rPr>
        <w:t>se</w:t>
      </w:r>
      <w:r>
        <w:rPr>
          <w:color w:val="231F20"/>
          <w:spacing w:val="-6"/>
          <w:sz w:val="19"/>
        </w:rPr>
        <w:t> </w:t>
      </w:r>
      <w:r>
        <w:rPr>
          <w:color w:val="231F20"/>
          <w:sz w:val="19"/>
        </w:rPr>
        <w:t>haya</w:t>
      </w:r>
      <w:r>
        <w:rPr>
          <w:color w:val="231F20"/>
          <w:spacing w:val="-6"/>
          <w:sz w:val="19"/>
        </w:rPr>
        <w:t> </w:t>
      </w:r>
      <w:r>
        <w:rPr>
          <w:color w:val="231F20"/>
          <w:sz w:val="19"/>
        </w:rPr>
        <w:t>rea- lizado puntualmente el programa</w:t>
      </w:r>
      <w:r>
        <w:rPr>
          <w:color w:val="231F20"/>
          <w:spacing w:val="-30"/>
          <w:sz w:val="19"/>
        </w:rPr>
        <w:t> </w:t>
      </w:r>
      <w:r>
        <w:rPr>
          <w:color w:val="231F20"/>
          <w:sz w:val="19"/>
        </w:rPr>
        <w:t>preparado”.</w:t>
      </w:r>
    </w:p>
    <w:p>
      <w:pPr>
        <w:pStyle w:val="BodyText"/>
        <w:spacing w:before="3"/>
        <w:rPr>
          <w:sz w:val="20"/>
        </w:rPr>
      </w:pPr>
    </w:p>
    <w:p>
      <w:pPr>
        <w:spacing w:line="249" w:lineRule="auto" w:before="0"/>
        <w:ind w:left="101" w:right="114" w:firstLine="284"/>
        <w:jc w:val="both"/>
        <w:rPr>
          <w:sz w:val="21"/>
        </w:rPr>
      </w:pPr>
      <w:r>
        <w:rPr>
          <w:color w:val="231F20"/>
          <w:spacing w:val="2"/>
          <w:sz w:val="21"/>
        </w:rPr>
        <w:t>Así, una actividad académica </w:t>
      </w:r>
      <w:r>
        <w:rPr>
          <w:color w:val="231F20"/>
          <w:sz w:val="21"/>
        </w:rPr>
        <w:t>que en </w:t>
      </w:r>
      <w:r>
        <w:rPr>
          <w:color w:val="231F20"/>
          <w:spacing w:val="2"/>
          <w:sz w:val="21"/>
        </w:rPr>
        <w:t>condiciones </w:t>
      </w:r>
      <w:r>
        <w:rPr>
          <w:color w:val="231F20"/>
          <w:spacing w:val="3"/>
          <w:sz w:val="21"/>
        </w:rPr>
        <w:t>normales </w:t>
      </w:r>
      <w:r>
        <w:rPr>
          <w:color w:val="231F20"/>
          <w:sz w:val="21"/>
        </w:rPr>
        <w:t>y </w:t>
      </w:r>
      <w:r>
        <w:rPr>
          <w:color w:val="231F20"/>
          <w:spacing w:val="2"/>
          <w:sz w:val="21"/>
        </w:rPr>
        <w:t>rutinarias pasaría casi inadvertida, adquiriendo </w:t>
      </w:r>
      <w:r>
        <w:rPr>
          <w:color w:val="231F20"/>
          <w:sz w:val="21"/>
        </w:rPr>
        <w:t>un </w:t>
      </w:r>
      <w:r>
        <w:rPr>
          <w:color w:val="231F20"/>
          <w:spacing w:val="2"/>
          <w:sz w:val="21"/>
        </w:rPr>
        <w:t>valor simbólico </w:t>
      </w:r>
      <w:r>
        <w:rPr>
          <w:color w:val="231F20"/>
          <w:spacing w:val="3"/>
          <w:sz w:val="21"/>
        </w:rPr>
        <w:t>muy </w:t>
      </w:r>
      <w:r>
        <w:rPr>
          <w:color w:val="231F20"/>
          <w:spacing w:val="2"/>
          <w:sz w:val="21"/>
        </w:rPr>
        <w:t>significativo </w:t>
      </w:r>
      <w:r>
        <w:rPr>
          <w:color w:val="231F20"/>
          <w:sz w:val="21"/>
        </w:rPr>
        <w:t>al </w:t>
      </w:r>
      <w:r>
        <w:rPr>
          <w:color w:val="231F20"/>
          <w:spacing w:val="2"/>
          <w:sz w:val="21"/>
        </w:rPr>
        <w:t>grado </w:t>
      </w:r>
      <w:r>
        <w:rPr>
          <w:color w:val="231F20"/>
          <w:sz w:val="21"/>
        </w:rPr>
        <w:t>de </w:t>
      </w:r>
      <w:r>
        <w:rPr>
          <w:color w:val="231F20"/>
          <w:spacing w:val="2"/>
          <w:sz w:val="21"/>
        </w:rPr>
        <w:t>que mereció </w:t>
      </w:r>
      <w:r>
        <w:rPr>
          <w:color w:val="231F20"/>
          <w:sz w:val="21"/>
        </w:rPr>
        <w:t>ser </w:t>
      </w:r>
      <w:r>
        <w:rPr>
          <w:color w:val="231F20"/>
          <w:spacing w:val="2"/>
          <w:sz w:val="21"/>
        </w:rPr>
        <w:t>destacada </w:t>
      </w:r>
      <w:r>
        <w:rPr>
          <w:color w:val="231F20"/>
          <w:spacing w:val="3"/>
          <w:sz w:val="21"/>
        </w:rPr>
        <w:t>porque </w:t>
      </w:r>
      <w:r>
        <w:rPr>
          <w:color w:val="231F20"/>
          <w:spacing w:val="2"/>
          <w:sz w:val="21"/>
        </w:rPr>
        <w:t>devela </w:t>
      </w:r>
      <w:r>
        <w:rPr>
          <w:color w:val="231F20"/>
          <w:sz w:val="21"/>
        </w:rPr>
        <w:t>el </w:t>
      </w:r>
      <w:r>
        <w:rPr>
          <w:color w:val="231F20"/>
          <w:spacing w:val="2"/>
          <w:sz w:val="21"/>
        </w:rPr>
        <w:t>deterioro </w:t>
      </w:r>
      <w:r>
        <w:rPr>
          <w:color w:val="231F20"/>
          <w:sz w:val="21"/>
        </w:rPr>
        <w:t>de la </w:t>
      </w:r>
      <w:r>
        <w:rPr>
          <w:color w:val="231F20"/>
          <w:spacing w:val="2"/>
          <w:sz w:val="21"/>
        </w:rPr>
        <w:t>vida académica, </w:t>
      </w:r>
      <w:r>
        <w:rPr>
          <w:color w:val="231F20"/>
          <w:sz w:val="21"/>
        </w:rPr>
        <w:t>al </w:t>
      </w:r>
      <w:r>
        <w:rPr>
          <w:color w:val="231F20"/>
          <w:spacing w:val="3"/>
          <w:sz w:val="21"/>
        </w:rPr>
        <w:t>mismo </w:t>
      </w:r>
      <w:r>
        <w:rPr>
          <w:color w:val="231F20"/>
          <w:spacing w:val="2"/>
          <w:sz w:val="21"/>
        </w:rPr>
        <w:t>tiempo </w:t>
      </w:r>
      <w:r>
        <w:rPr>
          <w:color w:val="231F20"/>
          <w:spacing w:val="3"/>
          <w:sz w:val="21"/>
        </w:rPr>
        <w:t>fue comentada </w:t>
      </w:r>
      <w:r>
        <w:rPr>
          <w:color w:val="231F20"/>
          <w:spacing w:val="2"/>
          <w:sz w:val="21"/>
        </w:rPr>
        <w:t>con una pincelada </w:t>
      </w:r>
      <w:r>
        <w:rPr>
          <w:color w:val="231F20"/>
          <w:sz w:val="21"/>
        </w:rPr>
        <w:t>de </w:t>
      </w:r>
      <w:r>
        <w:rPr>
          <w:color w:val="231F20"/>
          <w:spacing w:val="3"/>
          <w:sz w:val="21"/>
        </w:rPr>
        <w:t>optimismo </w:t>
      </w:r>
      <w:r>
        <w:rPr>
          <w:color w:val="231F20"/>
          <w:spacing w:val="2"/>
          <w:sz w:val="21"/>
        </w:rPr>
        <w:t>con miras </w:t>
      </w:r>
      <w:r>
        <w:rPr>
          <w:color w:val="231F20"/>
          <w:sz w:val="21"/>
        </w:rPr>
        <w:t>a </w:t>
      </w:r>
      <w:r>
        <w:rPr>
          <w:color w:val="231F20"/>
          <w:spacing w:val="2"/>
          <w:sz w:val="21"/>
        </w:rPr>
        <w:t>recuperar </w:t>
      </w:r>
      <w:r>
        <w:rPr>
          <w:color w:val="231F20"/>
          <w:sz w:val="21"/>
        </w:rPr>
        <w:t>el </w:t>
      </w:r>
      <w:r>
        <w:rPr>
          <w:color w:val="231F20"/>
          <w:spacing w:val="2"/>
          <w:sz w:val="21"/>
        </w:rPr>
        <w:t>equilibrio institucional. Más adelante, </w:t>
      </w:r>
      <w:r>
        <w:rPr>
          <w:color w:val="231F20"/>
          <w:sz w:val="21"/>
        </w:rPr>
        <w:t>el </w:t>
      </w:r>
      <w:r>
        <w:rPr>
          <w:color w:val="231F20"/>
          <w:spacing w:val="2"/>
          <w:sz w:val="21"/>
        </w:rPr>
        <w:t>director del plantel </w:t>
      </w:r>
      <w:r>
        <w:rPr>
          <w:color w:val="231F20"/>
          <w:spacing w:val="3"/>
          <w:sz w:val="21"/>
        </w:rPr>
        <w:t>recordaba </w:t>
      </w:r>
      <w:r>
        <w:rPr>
          <w:color w:val="231F20"/>
          <w:sz w:val="21"/>
        </w:rPr>
        <w:t>el </w:t>
      </w:r>
      <w:r>
        <w:rPr>
          <w:color w:val="231F20"/>
          <w:spacing w:val="3"/>
          <w:sz w:val="21"/>
        </w:rPr>
        <w:t>motivo </w:t>
      </w:r>
      <w:r>
        <w:rPr>
          <w:color w:val="231F20"/>
          <w:spacing w:val="2"/>
          <w:sz w:val="21"/>
        </w:rPr>
        <w:t>central </w:t>
      </w:r>
      <w:r>
        <w:rPr>
          <w:color w:val="231F20"/>
          <w:sz w:val="21"/>
        </w:rPr>
        <w:t>que </w:t>
      </w:r>
      <w:r>
        <w:rPr>
          <w:color w:val="231F20"/>
          <w:spacing w:val="2"/>
          <w:sz w:val="21"/>
        </w:rPr>
        <w:t>explicaba </w:t>
      </w:r>
      <w:r>
        <w:rPr>
          <w:color w:val="231F20"/>
          <w:sz w:val="21"/>
        </w:rPr>
        <w:t>la </w:t>
      </w:r>
      <w:r>
        <w:rPr>
          <w:color w:val="231F20"/>
          <w:spacing w:val="2"/>
          <w:sz w:val="21"/>
        </w:rPr>
        <w:t>situación irregular, esto </w:t>
      </w:r>
      <w:r>
        <w:rPr>
          <w:color w:val="231F20"/>
          <w:sz w:val="21"/>
        </w:rPr>
        <w:t>es, el </w:t>
      </w:r>
      <w:r>
        <w:rPr>
          <w:color w:val="231F20"/>
          <w:spacing w:val="3"/>
          <w:sz w:val="21"/>
        </w:rPr>
        <w:t>movimiento </w:t>
      </w:r>
      <w:r>
        <w:rPr>
          <w:color w:val="231F20"/>
          <w:sz w:val="21"/>
        </w:rPr>
        <w:t>de </w:t>
      </w:r>
      <w:r>
        <w:rPr>
          <w:color w:val="231F20"/>
          <w:spacing w:val="2"/>
          <w:sz w:val="21"/>
        </w:rPr>
        <w:t>huelga que </w:t>
      </w:r>
      <w:r>
        <w:rPr>
          <w:color w:val="231F20"/>
          <w:sz w:val="21"/>
        </w:rPr>
        <w:t>se </w:t>
      </w:r>
      <w:r>
        <w:rPr>
          <w:color w:val="231F20"/>
          <w:spacing w:val="2"/>
          <w:sz w:val="21"/>
        </w:rPr>
        <w:t>había </w:t>
      </w:r>
      <w:r>
        <w:rPr>
          <w:color w:val="231F20"/>
          <w:spacing w:val="3"/>
          <w:sz w:val="21"/>
        </w:rPr>
        <w:t>prolongado </w:t>
      </w:r>
      <w:r>
        <w:rPr>
          <w:color w:val="231F20"/>
          <w:spacing w:val="4"/>
          <w:sz w:val="21"/>
        </w:rPr>
        <w:t>por  </w:t>
      </w:r>
      <w:r>
        <w:rPr>
          <w:color w:val="231F20"/>
          <w:spacing w:val="2"/>
          <w:sz w:val="21"/>
        </w:rPr>
        <w:t>cerca </w:t>
      </w:r>
      <w:r>
        <w:rPr>
          <w:color w:val="231F20"/>
          <w:sz w:val="21"/>
        </w:rPr>
        <w:t>de </w:t>
      </w:r>
      <w:r>
        <w:rPr>
          <w:color w:val="231F20"/>
          <w:spacing w:val="2"/>
          <w:sz w:val="21"/>
        </w:rPr>
        <w:t>tres </w:t>
      </w:r>
      <w:r>
        <w:rPr>
          <w:color w:val="231F20"/>
          <w:spacing w:val="3"/>
          <w:sz w:val="21"/>
        </w:rPr>
        <w:t>semanas </w:t>
      </w:r>
      <w:r>
        <w:rPr>
          <w:color w:val="231F20"/>
          <w:sz w:val="21"/>
        </w:rPr>
        <w:t>y </w:t>
      </w:r>
      <w:r>
        <w:rPr>
          <w:color w:val="231F20"/>
          <w:spacing w:val="2"/>
          <w:sz w:val="21"/>
        </w:rPr>
        <w:t>que había roto </w:t>
      </w:r>
      <w:r>
        <w:rPr>
          <w:color w:val="231F20"/>
          <w:sz w:val="21"/>
        </w:rPr>
        <w:t>la </w:t>
      </w:r>
      <w:r>
        <w:rPr>
          <w:color w:val="231F20"/>
          <w:spacing w:val="2"/>
          <w:sz w:val="21"/>
        </w:rPr>
        <w:t>estabilidad </w:t>
      </w:r>
      <w:r>
        <w:rPr>
          <w:color w:val="231F20"/>
          <w:spacing w:val="3"/>
          <w:sz w:val="21"/>
        </w:rPr>
        <w:t>educativa. Contra </w:t>
      </w:r>
      <w:r>
        <w:rPr>
          <w:color w:val="231F20"/>
          <w:sz w:val="21"/>
        </w:rPr>
        <w:t>lo </w:t>
      </w:r>
      <w:r>
        <w:rPr>
          <w:color w:val="231F20"/>
          <w:spacing w:val="2"/>
          <w:sz w:val="21"/>
        </w:rPr>
        <w:t>que pudiera pensarse, </w:t>
      </w:r>
      <w:r>
        <w:rPr>
          <w:color w:val="231F20"/>
          <w:sz w:val="21"/>
        </w:rPr>
        <w:t>el </w:t>
      </w:r>
      <w:r>
        <w:rPr>
          <w:color w:val="231F20"/>
          <w:spacing w:val="2"/>
          <w:sz w:val="21"/>
        </w:rPr>
        <w:t>directivo </w:t>
      </w:r>
      <w:r>
        <w:rPr>
          <w:color w:val="231F20"/>
          <w:spacing w:val="3"/>
          <w:sz w:val="21"/>
        </w:rPr>
        <w:t>afirmaba </w:t>
      </w:r>
      <w:r>
        <w:rPr>
          <w:color w:val="231F20"/>
          <w:sz w:val="21"/>
        </w:rPr>
        <w:t>que de </w:t>
      </w:r>
      <w:r>
        <w:rPr>
          <w:color w:val="231F20"/>
          <w:spacing w:val="3"/>
          <w:sz w:val="21"/>
        </w:rPr>
        <w:t>nin- </w:t>
      </w:r>
      <w:r>
        <w:rPr>
          <w:color w:val="231F20"/>
          <w:spacing w:val="2"/>
          <w:sz w:val="21"/>
        </w:rPr>
        <w:t>guna </w:t>
      </w:r>
      <w:r>
        <w:rPr>
          <w:color w:val="231F20"/>
          <w:spacing w:val="3"/>
          <w:sz w:val="21"/>
        </w:rPr>
        <w:t>manera </w:t>
      </w:r>
      <w:r>
        <w:rPr>
          <w:color w:val="231F20"/>
          <w:spacing w:val="2"/>
          <w:sz w:val="21"/>
        </w:rPr>
        <w:t>podía atribuirse </w:t>
      </w:r>
      <w:r>
        <w:rPr>
          <w:color w:val="231F20"/>
          <w:sz w:val="21"/>
        </w:rPr>
        <w:t>la </w:t>
      </w:r>
      <w:r>
        <w:rPr>
          <w:color w:val="231F20"/>
          <w:spacing w:val="2"/>
          <w:sz w:val="21"/>
        </w:rPr>
        <w:t>causa </w:t>
      </w:r>
      <w:r>
        <w:rPr>
          <w:color w:val="231F20"/>
          <w:sz w:val="21"/>
        </w:rPr>
        <w:t>al </w:t>
      </w:r>
      <w:r>
        <w:rPr>
          <w:color w:val="231F20"/>
          <w:spacing w:val="2"/>
          <w:sz w:val="21"/>
        </w:rPr>
        <w:t>estado </w:t>
      </w:r>
      <w:r>
        <w:rPr>
          <w:color w:val="231F20"/>
          <w:sz w:val="21"/>
        </w:rPr>
        <w:t>de </w:t>
      </w:r>
      <w:r>
        <w:rPr>
          <w:color w:val="231F20"/>
          <w:spacing w:val="2"/>
          <w:sz w:val="21"/>
        </w:rPr>
        <w:t>disciplina </w:t>
      </w:r>
      <w:r>
        <w:rPr>
          <w:color w:val="231F20"/>
          <w:sz w:val="21"/>
        </w:rPr>
        <w:t>a  </w:t>
      </w:r>
      <w:r>
        <w:rPr>
          <w:color w:val="231F20"/>
          <w:spacing w:val="2"/>
          <w:w w:val="95"/>
          <w:sz w:val="21"/>
        </w:rPr>
        <w:t>dicho</w:t>
      </w:r>
      <w:r>
        <w:rPr>
          <w:color w:val="231F20"/>
          <w:spacing w:val="-21"/>
          <w:w w:val="95"/>
          <w:sz w:val="21"/>
        </w:rPr>
        <w:t> </w:t>
      </w:r>
      <w:r>
        <w:rPr>
          <w:color w:val="231F20"/>
          <w:spacing w:val="3"/>
          <w:w w:val="95"/>
          <w:sz w:val="21"/>
        </w:rPr>
        <w:t>movimiento,“s</w:t>
      </w:r>
      <w:r>
        <w:rPr>
          <w:i/>
          <w:color w:val="231F20"/>
          <w:spacing w:val="3"/>
          <w:w w:val="95"/>
          <w:sz w:val="21"/>
        </w:rPr>
        <w:t>i</w:t>
      </w:r>
      <w:r>
        <w:rPr>
          <w:i/>
          <w:color w:val="231F20"/>
          <w:spacing w:val="-22"/>
          <w:w w:val="95"/>
          <w:sz w:val="21"/>
        </w:rPr>
        <w:t> </w:t>
      </w:r>
      <w:r>
        <w:rPr>
          <w:i/>
          <w:color w:val="231F20"/>
          <w:w w:val="95"/>
          <w:sz w:val="21"/>
        </w:rPr>
        <w:t>la</w:t>
      </w:r>
      <w:r>
        <w:rPr>
          <w:i/>
          <w:color w:val="231F20"/>
          <w:spacing w:val="-21"/>
          <w:w w:val="95"/>
          <w:sz w:val="21"/>
        </w:rPr>
        <w:t> </w:t>
      </w:r>
      <w:r>
        <w:rPr>
          <w:i/>
          <w:color w:val="231F20"/>
          <w:spacing w:val="2"/>
          <w:w w:val="95"/>
          <w:sz w:val="21"/>
        </w:rPr>
        <w:t>huelga</w:t>
      </w:r>
      <w:r>
        <w:rPr>
          <w:i/>
          <w:color w:val="231F20"/>
          <w:spacing w:val="-21"/>
          <w:w w:val="95"/>
          <w:sz w:val="21"/>
        </w:rPr>
        <w:t> </w:t>
      </w:r>
      <w:r>
        <w:rPr>
          <w:i/>
          <w:color w:val="231F20"/>
          <w:w w:val="95"/>
          <w:sz w:val="21"/>
        </w:rPr>
        <w:t>del</w:t>
      </w:r>
      <w:r>
        <w:rPr>
          <w:i/>
          <w:color w:val="231F20"/>
          <w:spacing w:val="-22"/>
          <w:w w:val="95"/>
          <w:sz w:val="21"/>
        </w:rPr>
        <w:t> </w:t>
      </w:r>
      <w:r>
        <w:rPr>
          <w:i/>
          <w:color w:val="231F20"/>
          <w:w w:val="95"/>
          <w:sz w:val="21"/>
        </w:rPr>
        <w:t>3</w:t>
      </w:r>
      <w:r>
        <w:rPr>
          <w:i/>
          <w:color w:val="231F20"/>
          <w:spacing w:val="-21"/>
          <w:w w:val="95"/>
          <w:sz w:val="21"/>
        </w:rPr>
        <w:t> </w:t>
      </w:r>
      <w:r>
        <w:rPr>
          <w:i/>
          <w:color w:val="231F20"/>
          <w:w w:val="95"/>
          <w:sz w:val="21"/>
        </w:rPr>
        <w:t>al</w:t>
      </w:r>
      <w:r>
        <w:rPr>
          <w:i/>
          <w:color w:val="231F20"/>
          <w:spacing w:val="-22"/>
          <w:w w:val="95"/>
          <w:sz w:val="21"/>
        </w:rPr>
        <w:t> </w:t>
      </w:r>
      <w:r>
        <w:rPr>
          <w:i/>
          <w:color w:val="231F20"/>
          <w:w w:val="95"/>
          <w:sz w:val="21"/>
        </w:rPr>
        <w:t>20</w:t>
      </w:r>
      <w:r>
        <w:rPr>
          <w:i/>
          <w:color w:val="231F20"/>
          <w:spacing w:val="-21"/>
          <w:w w:val="95"/>
          <w:sz w:val="21"/>
        </w:rPr>
        <w:t> </w:t>
      </w:r>
      <w:r>
        <w:rPr>
          <w:i/>
          <w:color w:val="231F20"/>
          <w:w w:val="95"/>
          <w:sz w:val="21"/>
        </w:rPr>
        <w:t>de</w:t>
      </w:r>
      <w:r>
        <w:rPr>
          <w:i/>
          <w:color w:val="231F20"/>
          <w:spacing w:val="-22"/>
          <w:w w:val="95"/>
          <w:sz w:val="21"/>
        </w:rPr>
        <w:t> </w:t>
      </w:r>
      <w:r>
        <w:rPr>
          <w:i/>
          <w:color w:val="231F20"/>
          <w:w w:val="95"/>
          <w:sz w:val="21"/>
        </w:rPr>
        <w:t>julio</w:t>
      </w:r>
      <w:r>
        <w:rPr>
          <w:i/>
          <w:color w:val="231F20"/>
          <w:spacing w:val="-22"/>
          <w:w w:val="95"/>
          <w:sz w:val="21"/>
        </w:rPr>
        <w:t> </w:t>
      </w:r>
      <w:r>
        <w:rPr>
          <w:i/>
          <w:color w:val="231F20"/>
          <w:spacing w:val="2"/>
          <w:w w:val="95"/>
          <w:sz w:val="21"/>
        </w:rPr>
        <w:t>pudiera</w:t>
      </w:r>
      <w:r>
        <w:rPr>
          <w:i/>
          <w:color w:val="231F20"/>
          <w:spacing w:val="-21"/>
          <w:w w:val="95"/>
          <w:sz w:val="21"/>
        </w:rPr>
        <w:t> </w:t>
      </w:r>
      <w:r>
        <w:rPr>
          <w:i/>
          <w:color w:val="231F20"/>
          <w:spacing w:val="2"/>
          <w:w w:val="95"/>
          <w:sz w:val="21"/>
        </w:rPr>
        <w:t>tomarse</w:t>
      </w:r>
      <w:r>
        <w:rPr>
          <w:i/>
          <w:color w:val="231F20"/>
          <w:spacing w:val="-22"/>
          <w:w w:val="95"/>
          <w:sz w:val="21"/>
        </w:rPr>
        <w:t> </w:t>
      </w:r>
      <w:r>
        <w:rPr>
          <w:i/>
          <w:color w:val="231F20"/>
          <w:spacing w:val="2"/>
          <w:w w:val="95"/>
          <w:sz w:val="21"/>
        </w:rPr>
        <w:t>como </w:t>
      </w:r>
      <w:r>
        <w:rPr>
          <w:i/>
          <w:color w:val="231F20"/>
          <w:spacing w:val="2"/>
          <w:w w:val="90"/>
          <w:sz w:val="21"/>
        </w:rPr>
        <w:t>indicio</w:t>
      </w:r>
      <w:r>
        <w:rPr>
          <w:i/>
          <w:color w:val="231F20"/>
          <w:spacing w:val="-16"/>
          <w:w w:val="90"/>
          <w:sz w:val="21"/>
        </w:rPr>
        <w:t> </w:t>
      </w:r>
      <w:r>
        <w:rPr>
          <w:i/>
          <w:color w:val="231F20"/>
          <w:w w:val="90"/>
          <w:sz w:val="21"/>
        </w:rPr>
        <w:t>de</w:t>
      </w:r>
      <w:r>
        <w:rPr>
          <w:i/>
          <w:color w:val="231F20"/>
          <w:spacing w:val="-16"/>
          <w:w w:val="90"/>
          <w:sz w:val="21"/>
        </w:rPr>
        <w:t> </w:t>
      </w:r>
      <w:r>
        <w:rPr>
          <w:i/>
          <w:color w:val="231F20"/>
          <w:w w:val="90"/>
          <w:sz w:val="21"/>
        </w:rPr>
        <w:t>falta</w:t>
      </w:r>
      <w:r>
        <w:rPr>
          <w:i/>
          <w:color w:val="231F20"/>
          <w:spacing w:val="-16"/>
          <w:w w:val="90"/>
          <w:sz w:val="21"/>
        </w:rPr>
        <w:t> </w:t>
      </w:r>
      <w:r>
        <w:rPr>
          <w:i/>
          <w:color w:val="231F20"/>
          <w:w w:val="90"/>
          <w:sz w:val="21"/>
        </w:rPr>
        <w:t>de</w:t>
      </w:r>
      <w:r>
        <w:rPr>
          <w:i/>
          <w:color w:val="231F20"/>
          <w:spacing w:val="-16"/>
          <w:w w:val="90"/>
          <w:sz w:val="21"/>
        </w:rPr>
        <w:t> </w:t>
      </w:r>
      <w:r>
        <w:rPr>
          <w:i/>
          <w:color w:val="231F20"/>
          <w:spacing w:val="2"/>
          <w:w w:val="90"/>
          <w:sz w:val="21"/>
        </w:rPr>
        <w:t>disciplina</w:t>
      </w:r>
      <w:r>
        <w:rPr>
          <w:i/>
          <w:color w:val="231F20"/>
          <w:spacing w:val="-16"/>
          <w:w w:val="90"/>
          <w:sz w:val="21"/>
        </w:rPr>
        <w:t> </w:t>
      </w:r>
      <w:r>
        <w:rPr>
          <w:i/>
          <w:color w:val="231F20"/>
          <w:spacing w:val="2"/>
          <w:w w:val="90"/>
          <w:sz w:val="21"/>
        </w:rPr>
        <w:t>entre</w:t>
      </w:r>
      <w:r>
        <w:rPr>
          <w:i/>
          <w:color w:val="231F20"/>
          <w:spacing w:val="-16"/>
          <w:w w:val="90"/>
          <w:sz w:val="21"/>
        </w:rPr>
        <w:t> </w:t>
      </w:r>
      <w:r>
        <w:rPr>
          <w:i/>
          <w:color w:val="231F20"/>
          <w:w w:val="90"/>
          <w:sz w:val="21"/>
        </w:rPr>
        <w:t>los</w:t>
      </w:r>
      <w:r>
        <w:rPr>
          <w:i/>
          <w:color w:val="231F20"/>
          <w:spacing w:val="-16"/>
          <w:w w:val="90"/>
          <w:sz w:val="21"/>
        </w:rPr>
        <w:t> </w:t>
      </w:r>
      <w:r>
        <w:rPr>
          <w:i/>
          <w:color w:val="231F20"/>
          <w:spacing w:val="2"/>
          <w:w w:val="90"/>
          <w:sz w:val="21"/>
        </w:rPr>
        <w:t>alumnos,</w:t>
      </w:r>
      <w:r>
        <w:rPr>
          <w:i/>
          <w:color w:val="231F20"/>
          <w:spacing w:val="-16"/>
          <w:w w:val="90"/>
          <w:sz w:val="21"/>
        </w:rPr>
        <w:t> </w:t>
      </w:r>
      <w:r>
        <w:rPr>
          <w:i/>
          <w:color w:val="231F20"/>
          <w:spacing w:val="2"/>
          <w:w w:val="90"/>
          <w:sz w:val="21"/>
        </w:rPr>
        <w:t>debo</w:t>
      </w:r>
      <w:r>
        <w:rPr>
          <w:i/>
          <w:color w:val="231F20"/>
          <w:spacing w:val="-16"/>
          <w:w w:val="90"/>
          <w:sz w:val="21"/>
        </w:rPr>
        <w:t> </w:t>
      </w:r>
      <w:r>
        <w:rPr>
          <w:i/>
          <w:color w:val="231F20"/>
          <w:spacing w:val="2"/>
          <w:w w:val="90"/>
          <w:sz w:val="21"/>
        </w:rPr>
        <w:t>afirmar</w:t>
      </w:r>
      <w:r>
        <w:rPr>
          <w:i/>
          <w:color w:val="231F20"/>
          <w:spacing w:val="-16"/>
          <w:w w:val="90"/>
          <w:sz w:val="21"/>
        </w:rPr>
        <w:t> </w:t>
      </w:r>
      <w:r>
        <w:rPr>
          <w:i/>
          <w:color w:val="231F20"/>
          <w:w w:val="90"/>
          <w:sz w:val="21"/>
        </w:rPr>
        <w:t>con</w:t>
      </w:r>
      <w:r>
        <w:rPr>
          <w:i/>
          <w:color w:val="231F20"/>
          <w:spacing w:val="-16"/>
          <w:w w:val="90"/>
          <w:sz w:val="21"/>
        </w:rPr>
        <w:t> </w:t>
      </w:r>
      <w:r>
        <w:rPr>
          <w:i/>
          <w:color w:val="231F20"/>
          <w:spacing w:val="2"/>
          <w:w w:val="90"/>
          <w:sz w:val="21"/>
        </w:rPr>
        <w:t>énfasis</w:t>
      </w:r>
      <w:r>
        <w:rPr>
          <w:i/>
          <w:color w:val="231F20"/>
          <w:spacing w:val="-16"/>
          <w:w w:val="90"/>
          <w:sz w:val="21"/>
        </w:rPr>
        <w:t> </w:t>
      </w:r>
      <w:r>
        <w:rPr>
          <w:i/>
          <w:color w:val="231F20"/>
          <w:spacing w:val="3"/>
          <w:w w:val="90"/>
          <w:sz w:val="21"/>
        </w:rPr>
        <w:t>que </w:t>
      </w:r>
      <w:r>
        <w:rPr>
          <w:i/>
          <w:color w:val="231F20"/>
          <w:w w:val="90"/>
          <w:sz w:val="21"/>
        </w:rPr>
        <w:t>no</w:t>
      </w:r>
      <w:r>
        <w:rPr>
          <w:i/>
          <w:color w:val="231F20"/>
          <w:spacing w:val="-11"/>
          <w:w w:val="90"/>
          <w:sz w:val="21"/>
        </w:rPr>
        <w:t> </w:t>
      </w:r>
      <w:r>
        <w:rPr>
          <w:i/>
          <w:color w:val="231F20"/>
          <w:w w:val="90"/>
          <w:sz w:val="21"/>
        </w:rPr>
        <w:t>es</w:t>
      </w:r>
      <w:r>
        <w:rPr>
          <w:i/>
          <w:color w:val="231F20"/>
          <w:spacing w:val="-11"/>
          <w:w w:val="90"/>
          <w:sz w:val="21"/>
        </w:rPr>
        <w:t> </w:t>
      </w:r>
      <w:r>
        <w:rPr>
          <w:i/>
          <w:color w:val="231F20"/>
          <w:w w:val="90"/>
          <w:sz w:val="21"/>
        </w:rPr>
        <w:t>así</w:t>
      </w:r>
      <w:r>
        <w:rPr>
          <w:i/>
          <w:color w:val="231F20"/>
          <w:spacing w:val="-11"/>
          <w:w w:val="90"/>
          <w:sz w:val="21"/>
        </w:rPr>
        <w:t> </w:t>
      </w:r>
      <w:r>
        <w:rPr>
          <w:i/>
          <w:color w:val="231F20"/>
          <w:spacing w:val="2"/>
          <w:w w:val="90"/>
          <w:sz w:val="21"/>
        </w:rPr>
        <w:t>porque</w:t>
      </w:r>
      <w:r>
        <w:rPr>
          <w:i/>
          <w:color w:val="231F20"/>
          <w:spacing w:val="-11"/>
          <w:w w:val="90"/>
          <w:sz w:val="21"/>
        </w:rPr>
        <w:t> </w:t>
      </w:r>
      <w:r>
        <w:rPr>
          <w:i/>
          <w:color w:val="231F20"/>
          <w:w w:val="90"/>
          <w:sz w:val="21"/>
        </w:rPr>
        <w:t>los</w:t>
      </w:r>
      <w:r>
        <w:rPr>
          <w:i/>
          <w:color w:val="231F20"/>
          <w:spacing w:val="-11"/>
          <w:w w:val="90"/>
          <w:sz w:val="21"/>
        </w:rPr>
        <w:t> </w:t>
      </w:r>
      <w:r>
        <w:rPr>
          <w:i/>
          <w:color w:val="231F20"/>
          <w:spacing w:val="2"/>
          <w:w w:val="90"/>
          <w:sz w:val="21"/>
        </w:rPr>
        <w:t>alumnos</w:t>
      </w:r>
      <w:r>
        <w:rPr>
          <w:i/>
          <w:color w:val="231F20"/>
          <w:spacing w:val="-11"/>
          <w:w w:val="90"/>
          <w:sz w:val="21"/>
        </w:rPr>
        <w:t> </w:t>
      </w:r>
      <w:r>
        <w:rPr>
          <w:i/>
          <w:color w:val="231F20"/>
          <w:spacing w:val="2"/>
          <w:w w:val="90"/>
          <w:sz w:val="21"/>
        </w:rPr>
        <w:t>estuvieron</w:t>
      </w:r>
      <w:r>
        <w:rPr>
          <w:i/>
          <w:color w:val="231F20"/>
          <w:spacing w:val="-11"/>
          <w:w w:val="90"/>
          <w:sz w:val="21"/>
        </w:rPr>
        <w:t> </w:t>
      </w:r>
      <w:r>
        <w:rPr>
          <w:i/>
          <w:color w:val="231F20"/>
          <w:spacing w:val="2"/>
          <w:w w:val="90"/>
          <w:sz w:val="21"/>
        </w:rPr>
        <w:t>absolutamente</w:t>
      </w:r>
      <w:r>
        <w:rPr>
          <w:i/>
          <w:color w:val="231F20"/>
          <w:spacing w:val="-11"/>
          <w:w w:val="90"/>
          <w:sz w:val="21"/>
        </w:rPr>
        <w:t> </w:t>
      </w:r>
      <w:r>
        <w:rPr>
          <w:i/>
          <w:color w:val="231F20"/>
          <w:spacing w:val="2"/>
          <w:w w:val="90"/>
          <w:sz w:val="21"/>
        </w:rPr>
        <w:t>correctos</w:t>
      </w:r>
      <w:r>
        <w:rPr>
          <w:i/>
          <w:color w:val="231F20"/>
          <w:spacing w:val="-11"/>
          <w:w w:val="90"/>
          <w:sz w:val="21"/>
        </w:rPr>
        <w:t> </w:t>
      </w:r>
      <w:r>
        <w:rPr>
          <w:i/>
          <w:color w:val="231F20"/>
          <w:w w:val="90"/>
          <w:sz w:val="21"/>
        </w:rPr>
        <w:t>en</w:t>
      </w:r>
      <w:r>
        <w:rPr>
          <w:i/>
          <w:color w:val="231F20"/>
          <w:spacing w:val="-11"/>
          <w:w w:val="90"/>
          <w:sz w:val="21"/>
        </w:rPr>
        <w:t> </w:t>
      </w:r>
      <w:r>
        <w:rPr>
          <w:i/>
          <w:color w:val="231F20"/>
          <w:w w:val="90"/>
          <w:sz w:val="21"/>
        </w:rPr>
        <w:t>la</w:t>
      </w:r>
      <w:r>
        <w:rPr>
          <w:i/>
          <w:color w:val="231F20"/>
          <w:spacing w:val="-11"/>
          <w:w w:val="90"/>
          <w:sz w:val="21"/>
        </w:rPr>
        <w:t> </w:t>
      </w:r>
      <w:r>
        <w:rPr>
          <w:i/>
          <w:color w:val="231F20"/>
          <w:w w:val="90"/>
          <w:sz w:val="21"/>
        </w:rPr>
        <w:t>junta </w:t>
      </w:r>
      <w:r>
        <w:rPr>
          <w:i/>
          <w:color w:val="231F20"/>
          <w:sz w:val="21"/>
        </w:rPr>
        <w:t>que</w:t>
      </w:r>
      <w:r>
        <w:rPr>
          <w:i/>
          <w:color w:val="231F20"/>
          <w:spacing w:val="-13"/>
          <w:sz w:val="21"/>
        </w:rPr>
        <w:t> </w:t>
      </w:r>
      <w:r>
        <w:rPr>
          <w:i/>
          <w:color w:val="231F20"/>
          <w:sz w:val="21"/>
        </w:rPr>
        <w:t>tuve</w:t>
      </w:r>
      <w:r>
        <w:rPr>
          <w:i/>
          <w:color w:val="231F20"/>
          <w:spacing w:val="-13"/>
          <w:sz w:val="21"/>
        </w:rPr>
        <w:t> </w:t>
      </w:r>
      <w:r>
        <w:rPr>
          <w:i/>
          <w:color w:val="231F20"/>
          <w:sz w:val="21"/>
        </w:rPr>
        <w:t>con</w:t>
      </w:r>
      <w:r>
        <w:rPr>
          <w:i/>
          <w:color w:val="231F20"/>
          <w:spacing w:val="-12"/>
          <w:sz w:val="21"/>
        </w:rPr>
        <w:t> </w:t>
      </w:r>
      <w:r>
        <w:rPr>
          <w:i/>
          <w:color w:val="231F20"/>
          <w:sz w:val="21"/>
        </w:rPr>
        <w:t>ellos</w:t>
      </w:r>
      <w:r>
        <w:rPr>
          <w:i/>
          <w:color w:val="231F20"/>
          <w:spacing w:val="-13"/>
          <w:sz w:val="21"/>
        </w:rPr>
        <w:t> </w:t>
      </w:r>
      <w:r>
        <w:rPr>
          <w:i/>
          <w:color w:val="231F20"/>
          <w:sz w:val="21"/>
        </w:rPr>
        <w:t>y</w:t>
      </w:r>
      <w:r>
        <w:rPr>
          <w:i/>
          <w:color w:val="231F20"/>
          <w:spacing w:val="-13"/>
          <w:sz w:val="21"/>
        </w:rPr>
        <w:t> </w:t>
      </w:r>
      <w:r>
        <w:rPr>
          <w:i/>
          <w:color w:val="231F20"/>
          <w:spacing w:val="2"/>
          <w:sz w:val="21"/>
        </w:rPr>
        <w:t>durante</w:t>
      </w:r>
      <w:r>
        <w:rPr>
          <w:i/>
          <w:color w:val="231F20"/>
          <w:spacing w:val="-13"/>
          <w:sz w:val="21"/>
        </w:rPr>
        <w:t> </w:t>
      </w:r>
      <w:r>
        <w:rPr>
          <w:i/>
          <w:color w:val="231F20"/>
          <w:sz w:val="21"/>
        </w:rPr>
        <w:t>la</w:t>
      </w:r>
      <w:r>
        <w:rPr>
          <w:i/>
          <w:color w:val="231F20"/>
          <w:spacing w:val="-12"/>
          <w:sz w:val="21"/>
        </w:rPr>
        <w:t> </w:t>
      </w:r>
      <w:r>
        <w:rPr>
          <w:i/>
          <w:color w:val="231F20"/>
          <w:spacing w:val="2"/>
          <w:sz w:val="21"/>
        </w:rPr>
        <w:t>huelga</w:t>
      </w:r>
      <w:r>
        <w:rPr>
          <w:i/>
          <w:color w:val="231F20"/>
          <w:spacing w:val="-12"/>
          <w:sz w:val="21"/>
        </w:rPr>
        <w:t> </w:t>
      </w:r>
      <w:r>
        <w:rPr>
          <w:color w:val="231F20"/>
          <w:spacing w:val="2"/>
          <w:sz w:val="21"/>
        </w:rPr>
        <w:t>[cursivas</w:t>
      </w:r>
      <w:r>
        <w:rPr>
          <w:color w:val="231F20"/>
          <w:spacing w:val="-12"/>
          <w:sz w:val="21"/>
        </w:rPr>
        <w:t> </w:t>
      </w:r>
      <w:r>
        <w:rPr>
          <w:color w:val="231F20"/>
          <w:spacing w:val="2"/>
          <w:sz w:val="21"/>
        </w:rPr>
        <w:t>mías]</w:t>
      </w:r>
      <w:r>
        <w:rPr>
          <w:i/>
          <w:color w:val="231F20"/>
          <w:spacing w:val="2"/>
          <w:sz w:val="21"/>
        </w:rPr>
        <w:t>.</w:t>
      </w:r>
      <w:r>
        <w:rPr>
          <w:i/>
          <w:color w:val="231F20"/>
          <w:spacing w:val="-13"/>
          <w:sz w:val="21"/>
        </w:rPr>
        <w:t> </w:t>
      </w:r>
      <w:r>
        <w:rPr>
          <w:color w:val="231F20"/>
          <w:spacing w:val="3"/>
          <w:sz w:val="21"/>
        </w:rPr>
        <w:t>Robustecen</w:t>
      </w:r>
      <w:r>
        <w:rPr>
          <w:color w:val="231F20"/>
          <w:spacing w:val="-12"/>
          <w:sz w:val="21"/>
        </w:rPr>
        <w:t> </w:t>
      </w:r>
      <w:r>
        <w:rPr>
          <w:color w:val="231F20"/>
          <w:sz w:val="21"/>
        </w:rPr>
        <w:t>la </w:t>
      </w:r>
      <w:r>
        <w:rPr>
          <w:color w:val="231F20"/>
          <w:spacing w:val="2"/>
          <w:sz w:val="21"/>
        </w:rPr>
        <w:t>afirmación </w:t>
      </w:r>
      <w:r>
        <w:rPr>
          <w:color w:val="231F20"/>
          <w:sz w:val="21"/>
        </w:rPr>
        <w:t>de un </w:t>
      </w:r>
      <w:r>
        <w:rPr>
          <w:color w:val="231F20"/>
          <w:spacing w:val="3"/>
          <w:sz w:val="21"/>
        </w:rPr>
        <w:t>mejoramiento </w:t>
      </w:r>
      <w:r>
        <w:rPr>
          <w:color w:val="231F20"/>
          <w:sz w:val="21"/>
        </w:rPr>
        <w:t>en la </w:t>
      </w:r>
      <w:r>
        <w:rPr>
          <w:color w:val="231F20"/>
          <w:spacing w:val="2"/>
          <w:sz w:val="21"/>
        </w:rPr>
        <w:t>disciplina estos </w:t>
      </w:r>
      <w:r>
        <w:rPr>
          <w:color w:val="231F20"/>
          <w:spacing w:val="3"/>
          <w:sz w:val="21"/>
        </w:rPr>
        <w:t>hechos:   </w:t>
      </w:r>
      <w:r>
        <w:rPr>
          <w:color w:val="231F20"/>
          <w:spacing w:val="15"/>
          <w:sz w:val="21"/>
        </w:rPr>
        <w:t> </w:t>
      </w:r>
      <w:r>
        <w:rPr>
          <w:color w:val="231F20"/>
          <w:spacing w:val="3"/>
          <w:sz w:val="21"/>
        </w:rPr>
        <w:t>ha-</w:t>
      </w:r>
    </w:p>
    <w:p>
      <w:pPr>
        <w:spacing w:after="0" w:line="249" w:lineRule="auto"/>
        <w:jc w:val="both"/>
        <w:rPr>
          <w:sz w:val="21"/>
        </w:rPr>
        <w:sectPr>
          <w:headerReference w:type="default" r:id="rId276"/>
          <w:footerReference w:type="default" r:id="rId277"/>
          <w:pgSz w:w="7830" w:h="11910"/>
          <w:pgMar w:header="0" w:footer="424" w:top="500" w:bottom="620" w:left="920" w:right="900"/>
          <w:pgNumType w:start="12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9"/>
        <w:jc w:val="both"/>
      </w:pPr>
      <w:r>
        <w:rPr>
          <w:color w:val="231F20"/>
        </w:rPr>
        <w:t>berse revocado la huelga y no haber secundado la huelga de las otras escuelas llevada a término (…)” (AHUAEM, caja 200, expe- diente 6938, 1936).</w:t>
      </w:r>
    </w:p>
    <w:p>
      <w:pPr>
        <w:pStyle w:val="BodyText"/>
        <w:spacing w:line="249" w:lineRule="auto" w:before="1"/>
        <w:ind w:left="102" w:right="114" w:firstLine="284"/>
        <w:jc w:val="both"/>
      </w:pPr>
      <w:r>
        <w:rPr>
          <w:color w:val="231F20"/>
          <w:spacing w:val="2"/>
        </w:rPr>
        <w:t>Esto puede constarse </w:t>
      </w:r>
      <w:r>
        <w:rPr>
          <w:color w:val="231F20"/>
        </w:rPr>
        <w:t>en la </w:t>
      </w:r>
      <w:r>
        <w:rPr>
          <w:color w:val="231F20"/>
          <w:spacing w:val="2"/>
        </w:rPr>
        <w:t>necesidad </w:t>
      </w:r>
      <w:r>
        <w:rPr>
          <w:color w:val="231F20"/>
        </w:rPr>
        <w:t>de </w:t>
      </w:r>
      <w:r>
        <w:rPr>
          <w:color w:val="231F20"/>
          <w:spacing w:val="2"/>
        </w:rPr>
        <w:t>concluir </w:t>
      </w:r>
      <w:r>
        <w:rPr>
          <w:color w:val="231F20"/>
        </w:rPr>
        <w:t>el </w:t>
      </w:r>
      <w:r>
        <w:rPr>
          <w:color w:val="231F20"/>
          <w:spacing w:val="2"/>
        </w:rPr>
        <w:t>conflicto  </w:t>
      </w:r>
      <w:r>
        <w:rPr>
          <w:color w:val="231F20"/>
        </w:rPr>
        <w:t>que se </w:t>
      </w:r>
      <w:r>
        <w:rPr>
          <w:color w:val="231F20"/>
          <w:spacing w:val="2"/>
        </w:rPr>
        <w:t>expresa </w:t>
      </w:r>
      <w:r>
        <w:rPr>
          <w:color w:val="231F20"/>
        </w:rPr>
        <w:t>en el </w:t>
      </w:r>
      <w:r>
        <w:rPr>
          <w:color w:val="231F20"/>
          <w:spacing w:val="2"/>
        </w:rPr>
        <w:t>acento conciliador </w:t>
      </w:r>
      <w:r>
        <w:rPr>
          <w:color w:val="231F20"/>
        </w:rPr>
        <w:t>de </w:t>
      </w:r>
      <w:r>
        <w:rPr>
          <w:color w:val="231F20"/>
          <w:spacing w:val="3"/>
        </w:rPr>
        <w:t>Gómez, </w:t>
      </w:r>
      <w:r>
        <w:rPr>
          <w:color w:val="231F20"/>
        </w:rPr>
        <w:t>a la </w:t>
      </w:r>
      <w:r>
        <w:rPr>
          <w:color w:val="231F20"/>
          <w:spacing w:val="2"/>
        </w:rPr>
        <w:t>sazón di- rector del Instituto para calificar </w:t>
      </w:r>
      <w:r>
        <w:rPr>
          <w:color w:val="231F20"/>
        </w:rPr>
        <w:t>el </w:t>
      </w:r>
      <w:r>
        <w:rPr>
          <w:color w:val="231F20"/>
          <w:spacing w:val="3"/>
        </w:rPr>
        <w:t>comportamiento </w:t>
      </w:r>
      <w:r>
        <w:rPr>
          <w:color w:val="231F20"/>
        </w:rPr>
        <w:t>de </w:t>
      </w:r>
      <w:r>
        <w:rPr>
          <w:color w:val="231F20"/>
          <w:spacing w:val="2"/>
        </w:rPr>
        <w:t>los estu- diantes paristas, este </w:t>
      </w:r>
      <w:r>
        <w:rPr>
          <w:color w:val="231F20"/>
          <w:spacing w:val="3"/>
        </w:rPr>
        <w:t>reconoció </w:t>
      </w:r>
      <w:r>
        <w:rPr>
          <w:color w:val="231F20"/>
        </w:rPr>
        <w:t>que era </w:t>
      </w:r>
      <w:r>
        <w:rPr>
          <w:color w:val="231F20"/>
          <w:spacing w:val="2"/>
        </w:rPr>
        <w:t>necesario readecuar parte del andamiaje institucional, </w:t>
      </w:r>
      <w:r>
        <w:rPr>
          <w:color w:val="231F20"/>
          <w:spacing w:val="3"/>
        </w:rPr>
        <w:t>empezando </w:t>
      </w:r>
      <w:r>
        <w:rPr>
          <w:color w:val="231F20"/>
          <w:spacing w:val="2"/>
        </w:rPr>
        <w:t>por </w:t>
      </w:r>
      <w:r>
        <w:rPr>
          <w:color w:val="231F20"/>
        </w:rPr>
        <w:t>un </w:t>
      </w:r>
      <w:r>
        <w:rPr>
          <w:color w:val="231F20"/>
          <w:spacing w:val="2"/>
        </w:rPr>
        <w:t>aspecto que resulta crucial para recuperar </w:t>
      </w:r>
      <w:r>
        <w:rPr>
          <w:color w:val="231F20"/>
        </w:rPr>
        <w:t>la </w:t>
      </w:r>
      <w:r>
        <w:rPr>
          <w:color w:val="231F20"/>
          <w:spacing w:val="2"/>
        </w:rPr>
        <w:t>legitimidad </w:t>
      </w:r>
      <w:r>
        <w:rPr>
          <w:color w:val="231F20"/>
        </w:rPr>
        <w:t>y la </w:t>
      </w:r>
      <w:r>
        <w:rPr>
          <w:color w:val="231F20"/>
          <w:spacing w:val="2"/>
        </w:rPr>
        <w:t>capacidad </w:t>
      </w:r>
      <w:r>
        <w:rPr>
          <w:color w:val="231F20"/>
        </w:rPr>
        <w:t>de </w:t>
      </w:r>
      <w:r>
        <w:rPr>
          <w:color w:val="231F20"/>
          <w:spacing w:val="3"/>
        </w:rPr>
        <w:t>interlocu- </w:t>
      </w:r>
      <w:r>
        <w:rPr>
          <w:color w:val="231F20"/>
          <w:spacing w:val="2"/>
        </w:rPr>
        <w:t>ción </w:t>
      </w:r>
      <w:r>
        <w:rPr>
          <w:color w:val="231F20"/>
        </w:rPr>
        <w:t>de la </w:t>
      </w:r>
      <w:r>
        <w:rPr>
          <w:color w:val="231F20"/>
          <w:spacing w:val="2"/>
        </w:rPr>
        <w:t>autoridad con respecto </w:t>
      </w:r>
      <w:r>
        <w:rPr>
          <w:color w:val="231F20"/>
        </w:rPr>
        <w:t>a </w:t>
      </w:r>
      <w:r>
        <w:rPr>
          <w:color w:val="231F20"/>
          <w:spacing w:val="2"/>
        </w:rPr>
        <w:t>los otros autores, </w:t>
      </w:r>
      <w:r>
        <w:rPr>
          <w:color w:val="231F20"/>
        </w:rPr>
        <w:t>el  </w:t>
      </w:r>
      <w:r>
        <w:rPr>
          <w:color w:val="231F20"/>
          <w:spacing w:val="2"/>
        </w:rPr>
        <w:t>marco  legal que fue </w:t>
      </w:r>
      <w:r>
        <w:rPr>
          <w:color w:val="231F20"/>
          <w:spacing w:val="3"/>
        </w:rPr>
        <w:t>modificado, </w:t>
      </w:r>
      <w:r>
        <w:rPr>
          <w:color w:val="231F20"/>
        </w:rPr>
        <w:t>es </w:t>
      </w:r>
      <w:r>
        <w:rPr>
          <w:color w:val="231F20"/>
          <w:spacing w:val="2"/>
        </w:rPr>
        <w:t>decir, </w:t>
      </w:r>
      <w:r>
        <w:rPr>
          <w:color w:val="231F20"/>
        </w:rPr>
        <w:t>la </w:t>
      </w:r>
      <w:r>
        <w:rPr>
          <w:color w:val="231F20"/>
          <w:spacing w:val="2"/>
        </w:rPr>
        <w:t>Ley Orgánica del Instituto Científico </w:t>
      </w:r>
      <w:r>
        <w:rPr>
          <w:color w:val="231F20"/>
        </w:rPr>
        <w:t>y </w:t>
      </w:r>
      <w:r>
        <w:rPr>
          <w:color w:val="231F20"/>
          <w:spacing w:val="2"/>
        </w:rPr>
        <w:t>Literario </w:t>
      </w:r>
      <w:r>
        <w:rPr>
          <w:color w:val="231F20"/>
        </w:rPr>
        <w:t>del </w:t>
      </w:r>
      <w:r>
        <w:rPr>
          <w:color w:val="231F20"/>
          <w:spacing w:val="2"/>
        </w:rPr>
        <w:t>Estado </w:t>
      </w:r>
      <w:r>
        <w:rPr>
          <w:color w:val="231F20"/>
        </w:rPr>
        <w:t>de </w:t>
      </w:r>
      <w:r>
        <w:rPr>
          <w:color w:val="231F20"/>
          <w:spacing w:val="2"/>
        </w:rPr>
        <w:t>México, entre </w:t>
      </w:r>
      <w:r>
        <w:rPr>
          <w:color w:val="231F20"/>
        </w:rPr>
        <w:t>las </w:t>
      </w:r>
      <w:r>
        <w:rPr>
          <w:color w:val="231F20"/>
          <w:spacing w:val="3"/>
        </w:rPr>
        <w:t>consecuen- </w:t>
      </w:r>
      <w:r>
        <w:rPr>
          <w:color w:val="231F20"/>
        </w:rPr>
        <w:t>cias</w:t>
      </w:r>
      <w:r>
        <w:rPr>
          <w:color w:val="231F20"/>
          <w:spacing w:val="-12"/>
        </w:rPr>
        <w:t> </w:t>
      </w:r>
      <w:r>
        <w:rPr>
          <w:color w:val="231F20"/>
          <w:spacing w:val="2"/>
        </w:rPr>
        <w:t>positivas</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spacing w:val="2"/>
        </w:rPr>
        <w:t>huelga</w:t>
      </w:r>
      <w:r>
        <w:rPr>
          <w:color w:val="231F20"/>
          <w:spacing w:val="-11"/>
        </w:rPr>
        <w:t> </w:t>
      </w:r>
      <w:r>
        <w:rPr>
          <w:color w:val="231F20"/>
          <w:spacing w:val="2"/>
        </w:rPr>
        <w:t>(Padilla,</w:t>
      </w:r>
      <w:r>
        <w:rPr>
          <w:color w:val="231F20"/>
          <w:spacing w:val="-12"/>
        </w:rPr>
        <w:t> </w:t>
      </w:r>
      <w:r>
        <w:rPr>
          <w:color w:val="231F20"/>
          <w:spacing w:val="2"/>
        </w:rPr>
        <w:t>2010).</w:t>
      </w:r>
    </w:p>
    <w:p>
      <w:pPr>
        <w:pStyle w:val="BodyText"/>
        <w:spacing w:line="249" w:lineRule="auto"/>
        <w:ind w:left="102" w:right="113" w:firstLine="284"/>
        <w:jc w:val="both"/>
      </w:pPr>
      <w:r>
        <w:rPr>
          <w:color w:val="231F20"/>
        </w:rPr>
        <w:t>Varios años después, en 1940, precisamente en el marco de la aplicación de la recién aprobada Ley Orgánica del Instituto Científi- co y Literario del Estado de México que, entre otras atribuciones, facultaba al principal órgano colegiado, el Consejo Directivo del plantel escolar, para nombrar a su director definitivo, se presentó una movilización estudiantil dirigida por la Sociedad de Alumnos, la cual decretó una huelga para demandar la inmediata destitución de   la persona en quien había caído dicho nombramiento, el profesor Enrique González Vargas. Según expresó el  Consejo  Directivo, ante la situación creada por la huelga, este tenía el deber de dirigirse a la “opinión pública” para informar sobre tal circunstancia y las determinaciones que habían adoptado para solucionarla. Desde luego, los miembros del Consejo se arrogaban la autoridad total de vigilar el orden y de tener la capacidad para aplicar las facultades y responsabilidades que la ley les confería. Así, al asumirse como órgano legítimo, censuraba el proceder de los estudiantes no solo porque la representación estudiantil se había negado a participar en  el Consejo, sino porque había expresado su “absoluta inconformi- dad” con el nombramiento de González y de inmediato habían advertido de las “LAS GRAVES CONSECUENCIAS QUE </w:t>
      </w:r>
      <w:r>
        <w:rPr>
          <w:color w:val="231F20"/>
          <w:spacing w:val="2"/>
        </w:rPr>
        <w:t>TAL </w:t>
      </w:r>
      <w:r>
        <w:rPr>
          <w:color w:val="231F20"/>
        </w:rPr>
        <w:t>DESIGNACIÓN   TRAERÍAN   </w:t>
      </w:r>
      <w:r>
        <w:rPr>
          <w:color w:val="231F20"/>
          <w:spacing w:val="2"/>
        </w:rPr>
        <w:t>CONSIGO”  </w:t>
      </w:r>
      <w:r>
        <w:rPr>
          <w:color w:val="231F20"/>
        </w:rPr>
        <w:t>(AHUAEM,   c.</w:t>
      </w:r>
      <w:r>
        <w:rPr>
          <w:color w:val="231F20"/>
          <w:spacing w:val="33"/>
        </w:rPr>
        <w:t> </w:t>
      </w:r>
      <w:r>
        <w:rPr>
          <w:color w:val="231F20"/>
        </w:rPr>
        <w:t>206,</w:t>
      </w:r>
    </w:p>
    <w:p>
      <w:pPr>
        <w:pStyle w:val="BodyText"/>
        <w:spacing w:line="240" w:lineRule="exact"/>
        <w:ind w:left="102"/>
        <w:jc w:val="both"/>
      </w:pPr>
      <w:r>
        <w:rPr>
          <w:color w:val="231F20"/>
        </w:rPr>
        <w:t>expediente. 7111, 1940).</w:t>
      </w:r>
    </w:p>
    <w:p>
      <w:pPr>
        <w:pStyle w:val="BodyText"/>
        <w:spacing w:line="247" w:lineRule="auto" w:before="8"/>
        <w:ind w:left="103" w:right="116" w:firstLine="283"/>
        <w:jc w:val="both"/>
      </w:pPr>
      <w:r>
        <w:rPr>
          <w:color w:val="231F20"/>
        </w:rPr>
        <w:t>Como puede observarse, colocar en el texto las letras mayúscu- las tenía el propósito de acentuar el tono de amenaza al orden escolar que significaba la posición de la representación estudiantil. En contraste, para poner en duda la legitimidad de la postura de</w:t>
      </w:r>
    </w:p>
    <w:p>
      <w:pPr>
        <w:spacing w:after="0" w:line="247" w:lineRule="auto"/>
        <w:jc w:val="both"/>
        <w:sectPr>
          <w:headerReference w:type="default" r:id="rId278"/>
          <w:footerReference w:type="default" r:id="rId279"/>
          <w:pgSz w:w="7830" w:h="11910"/>
          <w:pgMar w:header="0" w:footer="424" w:top="500" w:bottom="620" w:left="920" w:right="900"/>
          <w:pgNumType w:start="12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5"/>
        <w:jc w:val="both"/>
      </w:pPr>
      <w:r>
        <w:rPr>
          <w:color w:val="231F20"/>
          <w:spacing w:val="2"/>
        </w:rPr>
        <w:t>los estudiantes, </w:t>
      </w:r>
      <w:r>
        <w:rPr>
          <w:color w:val="231F20"/>
        </w:rPr>
        <w:t>se </w:t>
      </w:r>
      <w:r>
        <w:rPr>
          <w:color w:val="231F20"/>
          <w:spacing w:val="2"/>
        </w:rPr>
        <w:t>señalaba que antes </w:t>
      </w:r>
      <w:r>
        <w:rPr>
          <w:color w:val="231F20"/>
        </w:rPr>
        <w:t>de </w:t>
      </w:r>
      <w:r>
        <w:rPr>
          <w:color w:val="231F20"/>
          <w:spacing w:val="3"/>
        </w:rPr>
        <w:t>proceder </w:t>
      </w:r>
      <w:r>
        <w:rPr>
          <w:color w:val="231F20"/>
        </w:rPr>
        <w:t>a la </w:t>
      </w:r>
      <w:r>
        <w:rPr>
          <w:color w:val="231F20"/>
          <w:spacing w:val="2"/>
        </w:rPr>
        <w:t>votación </w:t>
      </w:r>
      <w:r>
        <w:rPr>
          <w:color w:val="231F20"/>
        </w:rPr>
        <w:t>se </w:t>
      </w:r>
      <w:r>
        <w:rPr>
          <w:color w:val="231F20"/>
          <w:spacing w:val="2"/>
        </w:rPr>
        <w:t>habían expuesto </w:t>
      </w:r>
      <w:r>
        <w:rPr>
          <w:color w:val="231F20"/>
        </w:rPr>
        <w:t>las </w:t>
      </w:r>
      <w:r>
        <w:rPr>
          <w:color w:val="231F20"/>
          <w:spacing w:val="2"/>
        </w:rPr>
        <w:t>razones </w:t>
      </w:r>
      <w:r>
        <w:rPr>
          <w:color w:val="231F20"/>
        </w:rPr>
        <w:t>a </w:t>
      </w:r>
      <w:r>
        <w:rPr>
          <w:color w:val="231F20"/>
          <w:spacing w:val="2"/>
        </w:rPr>
        <w:t>favor </w:t>
      </w:r>
      <w:r>
        <w:rPr>
          <w:color w:val="231F20"/>
        </w:rPr>
        <w:t>y en </w:t>
      </w:r>
      <w:r>
        <w:rPr>
          <w:color w:val="231F20"/>
          <w:spacing w:val="2"/>
        </w:rPr>
        <w:t>contra </w:t>
      </w:r>
      <w:r>
        <w:rPr>
          <w:color w:val="231F20"/>
        </w:rPr>
        <w:t>del </w:t>
      </w:r>
      <w:r>
        <w:rPr>
          <w:color w:val="231F20"/>
          <w:spacing w:val="3"/>
        </w:rPr>
        <w:t>nombramiento  </w:t>
      </w:r>
      <w:r>
        <w:rPr>
          <w:color w:val="231F20"/>
        </w:rPr>
        <w:t>y el </w:t>
      </w:r>
      <w:r>
        <w:rPr>
          <w:color w:val="231F20"/>
          <w:spacing w:val="2"/>
        </w:rPr>
        <w:t>“único </w:t>
      </w:r>
      <w:r>
        <w:rPr>
          <w:color w:val="231F20"/>
          <w:spacing w:val="3"/>
        </w:rPr>
        <w:t>argumento” </w:t>
      </w:r>
      <w:r>
        <w:rPr>
          <w:color w:val="231F20"/>
        </w:rPr>
        <w:t>que </w:t>
      </w:r>
      <w:r>
        <w:rPr>
          <w:color w:val="231F20"/>
          <w:spacing w:val="2"/>
        </w:rPr>
        <w:t>habían esgrimido los estudiantes </w:t>
      </w:r>
      <w:r>
        <w:rPr>
          <w:color w:val="231F20"/>
          <w:spacing w:val="3"/>
        </w:rPr>
        <w:t>du- </w:t>
      </w:r>
      <w:r>
        <w:rPr>
          <w:color w:val="231F20"/>
          <w:spacing w:val="2"/>
        </w:rPr>
        <w:t>rante </w:t>
      </w:r>
      <w:r>
        <w:rPr>
          <w:color w:val="231F20"/>
        </w:rPr>
        <w:t>la </w:t>
      </w:r>
      <w:r>
        <w:rPr>
          <w:color w:val="231F20"/>
          <w:spacing w:val="2"/>
        </w:rPr>
        <w:t>discusión, había </w:t>
      </w:r>
      <w:r>
        <w:rPr>
          <w:color w:val="231F20"/>
        </w:rPr>
        <w:t>sido </w:t>
      </w:r>
      <w:r>
        <w:rPr>
          <w:color w:val="231F20"/>
          <w:spacing w:val="2"/>
        </w:rPr>
        <w:t>“que </w:t>
      </w:r>
      <w:r>
        <w:rPr>
          <w:color w:val="231F20"/>
        </w:rPr>
        <w:t>el lic. </w:t>
      </w:r>
      <w:r>
        <w:rPr>
          <w:color w:val="231F20"/>
          <w:spacing w:val="2"/>
        </w:rPr>
        <w:t>gonzález </w:t>
      </w:r>
      <w:r>
        <w:rPr>
          <w:color w:val="231F20"/>
        </w:rPr>
        <w:t>no </w:t>
      </w:r>
      <w:r>
        <w:rPr>
          <w:color w:val="231F20"/>
          <w:spacing w:val="3"/>
        </w:rPr>
        <w:t>contaba con</w:t>
      </w:r>
      <w:r>
        <w:rPr>
          <w:color w:val="231F20"/>
          <w:spacing w:val="58"/>
        </w:rPr>
        <w:t> </w:t>
      </w:r>
      <w:r>
        <w:rPr>
          <w:color w:val="231F20"/>
        </w:rPr>
        <w:t>la </w:t>
      </w:r>
      <w:r>
        <w:rPr>
          <w:color w:val="231F20"/>
          <w:spacing w:val="2"/>
        </w:rPr>
        <w:t>simpatía </w:t>
      </w:r>
      <w:r>
        <w:rPr>
          <w:color w:val="231F20"/>
        </w:rPr>
        <w:t>de </w:t>
      </w:r>
      <w:r>
        <w:rPr>
          <w:color w:val="231F20"/>
          <w:spacing w:val="2"/>
        </w:rPr>
        <w:t>los estudiantes”. </w:t>
      </w:r>
      <w:r>
        <w:rPr>
          <w:color w:val="231F20"/>
        </w:rPr>
        <w:t>En </w:t>
      </w:r>
      <w:r>
        <w:rPr>
          <w:color w:val="231F20"/>
          <w:spacing w:val="2"/>
        </w:rPr>
        <w:t>este </w:t>
      </w:r>
      <w:r>
        <w:rPr>
          <w:color w:val="231F20"/>
          <w:spacing w:val="3"/>
        </w:rPr>
        <w:t>marco, aunque </w:t>
      </w:r>
      <w:r>
        <w:rPr>
          <w:color w:val="231F20"/>
        </w:rPr>
        <w:t>las </w:t>
      </w:r>
      <w:r>
        <w:rPr>
          <w:color w:val="231F20"/>
          <w:spacing w:val="2"/>
        </w:rPr>
        <w:t>autori- dades </w:t>
      </w:r>
      <w:r>
        <w:rPr>
          <w:color w:val="231F20"/>
        </w:rPr>
        <w:t>no </w:t>
      </w:r>
      <w:r>
        <w:rPr>
          <w:color w:val="231F20"/>
          <w:spacing w:val="2"/>
        </w:rPr>
        <w:t>explicaron </w:t>
      </w:r>
      <w:r>
        <w:rPr>
          <w:color w:val="231F20"/>
        </w:rPr>
        <w:t>a </w:t>
      </w:r>
      <w:r>
        <w:rPr>
          <w:color w:val="231F20"/>
          <w:spacing w:val="2"/>
        </w:rPr>
        <w:t>qué </w:t>
      </w:r>
      <w:r>
        <w:rPr>
          <w:color w:val="231F20"/>
        </w:rPr>
        <w:t>se </w:t>
      </w:r>
      <w:r>
        <w:rPr>
          <w:color w:val="231F20"/>
          <w:spacing w:val="2"/>
        </w:rPr>
        <w:t>referían con </w:t>
      </w:r>
      <w:r>
        <w:rPr>
          <w:color w:val="231F20"/>
        </w:rPr>
        <w:t>las </w:t>
      </w:r>
      <w:r>
        <w:rPr>
          <w:color w:val="231F20"/>
          <w:spacing w:val="2"/>
        </w:rPr>
        <w:t>anunciadas </w:t>
      </w:r>
      <w:r>
        <w:rPr>
          <w:color w:val="231F20"/>
          <w:spacing w:val="3"/>
        </w:rPr>
        <w:t>“graves consecuencias”, </w:t>
      </w:r>
      <w:r>
        <w:rPr>
          <w:color w:val="231F20"/>
        </w:rPr>
        <w:t>al </w:t>
      </w:r>
      <w:r>
        <w:rPr>
          <w:color w:val="231F20"/>
          <w:spacing w:val="2"/>
        </w:rPr>
        <w:t>día siguiente </w:t>
      </w:r>
      <w:r>
        <w:rPr>
          <w:color w:val="231F20"/>
        </w:rPr>
        <w:t>de la </w:t>
      </w:r>
      <w:r>
        <w:rPr>
          <w:color w:val="231F20"/>
          <w:spacing w:val="2"/>
        </w:rPr>
        <w:t>resolución del </w:t>
      </w:r>
      <w:r>
        <w:rPr>
          <w:color w:val="231F20"/>
          <w:spacing w:val="3"/>
        </w:rPr>
        <w:t>Consejo, </w:t>
      </w:r>
      <w:r>
        <w:rPr>
          <w:color w:val="231F20"/>
        </w:rPr>
        <w:t>se </w:t>
      </w:r>
      <w:r>
        <w:rPr>
          <w:color w:val="231F20"/>
          <w:spacing w:val="2"/>
        </w:rPr>
        <w:t>declaró </w:t>
      </w:r>
      <w:r>
        <w:rPr>
          <w:color w:val="231F20"/>
        </w:rPr>
        <w:t>la </w:t>
      </w:r>
      <w:r>
        <w:rPr>
          <w:color w:val="231F20"/>
          <w:spacing w:val="2"/>
        </w:rPr>
        <w:t>huelga estudiantil </w:t>
      </w:r>
      <w:r>
        <w:rPr>
          <w:color w:val="231F20"/>
        </w:rPr>
        <w:t>y se </w:t>
      </w:r>
      <w:r>
        <w:rPr>
          <w:color w:val="231F20"/>
          <w:spacing w:val="2"/>
        </w:rPr>
        <w:t>puso </w:t>
      </w:r>
      <w:r>
        <w:rPr>
          <w:color w:val="231F20"/>
        </w:rPr>
        <w:t>un </w:t>
      </w:r>
      <w:r>
        <w:rPr>
          <w:color w:val="231F20"/>
          <w:spacing w:val="2"/>
        </w:rPr>
        <w:t>plazo </w:t>
      </w:r>
      <w:r>
        <w:rPr>
          <w:color w:val="231F20"/>
        </w:rPr>
        <w:t>de 48 </w:t>
      </w:r>
      <w:r>
        <w:rPr>
          <w:color w:val="231F20"/>
          <w:spacing w:val="2"/>
        </w:rPr>
        <w:t>horas para </w:t>
      </w:r>
      <w:r>
        <w:rPr>
          <w:color w:val="231F20"/>
        </w:rPr>
        <w:t>que se </w:t>
      </w:r>
      <w:r>
        <w:rPr>
          <w:color w:val="231F20"/>
          <w:spacing w:val="2"/>
        </w:rPr>
        <w:t>removiera </w:t>
      </w:r>
      <w:r>
        <w:rPr>
          <w:color w:val="231F20"/>
        </w:rPr>
        <w:t>a </w:t>
      </w:r>
      <w:r>
        <w:rPr>
          <w:color w:val="231F20"/>
          <w:spacing w:val="3"/>
        </w:rPr>
        <w:t>González. </w:t>
      </w:r>
      <w:r>
        <w:rPr>
          <w:color w:val="231F20"/>
          <w:spacing w:val="2"/>
        </w:rPr>
        <w:t>Ante </w:t>
      </w:r>
      <w:r>
        <w:rPr>
          <w:color w:val="231F20"/>
        </w:rPr>
        <w:t>la </w:t>
      </w:r>
      <w:r>
        <w:rPr>
          <w:color w:val="231F20"/>
          <w:spacing w:val="2"/>
        </w:rPr>
        <w:t>situación, </w:t>
      </w:r>
      <w:r>
        <w:rPr>
          <w:color w:val="231F20"/>
        </w:rPr>
        <w:t>el </w:t>
      </w:r>
      <w:r>
        <w:rPr>
          <w:color w:val="231F20"/>
          <w:spacing w:val="2"/>
        </w:rPr>
        <w:t>Consejo </w:t>
      </w:r>
      <w:r>
        <w:rPr>
          <w:color w:val="231F20"/>
          <w:spacing w:val="4"/>
        </w:rPr>
        <w:t>con- </w:t>
      </w:r>
      <w:r>
        <w:rPr>
          <w:color w:val="231F20"/>
          <w:spacing w:val="2"/>
        </w:rPr>
        <w:t>vocó </w:t>
      </w:r>
      <w:r>
        <w:rPr>
          <w:color w:val="231F20"/>
        </w:rPr>
        <w:t>a </w:t>
      </w:r>
      <w:r>
        <w:rPr>
          <w:color w:val="231F20"/>
          <w:spacing w:val="2"/>
        </w:rPr>
        <w:t>una reunión para valorar </w:t>
      </w:r>
      <w:r>
        <w:rPr>
          <w:color w:val="231F20"/>
        </w:rPr>
        <w:t>la </w:t>
      </w:r>
      <w:r>
        <w:rPr>
          <w:color w:val="231F20"/>
          <w:spacing w:val="2"/>
        </w:rPr>
        <w:t>situación. </w:t>
      </w:r>
      <w:r>
        <w:rPr>
          <w:color w:val="231F20"/>
        </w:rPr>
        <w:t>El </w:t>
      </w:r>
      <w:r>
        <w:rPr>
          <w:color w:val="231F20"/>
          <w:spacing w:val="2"/>
        </w:rPr>
        <w:t>propio Consejo </w:t>
      </w:r>
      <w:r>
        <w:rPr>
          <w:color w:val="231F20"/>
          <w:spacing w:val="3"/>
        </w:rPr>
        <w:t>reconocióel requerimiento, </w:t>
      </w:r>
      <w:r>
        <w:rPr>
          <w:color w:val="231F20"/>
        </w:rPr>
        <w:t>lo </w:t>
      </w:r>
      <w:r>
        <w:rPr>
          <w:color w:val="231F20"/>
          <w:spacing w:val="2"/>
        </w:rPr>
        <w:t>que </w:t>
      </w:r>
      <w:r>
        <w:rPr>
          <w:color w:val="231F20"/>
        </w:rPr>
        <w:t>en la </w:t>
      </w:r>
      <w:r>
        <w:rPr>
          <w:color w:val="231F20"/>
          <w:spacing w:val="2"/>
        </w:rPr>
        <w:t>práctica ponía  </w:t>
      </w:r>
      <w:r>
        <w:rPr>
          <w:color w:val="231F20"/>
        </w:rPr>
        <w:t>tela  de </w:t>
      </w:r>
      <w:r>
        <w:rPr>
          <w:color w:val="231F20"/>
          <w:spacing w:val="2"/>
        </w:rPr>
        <w:t>juicio tanto </w:t>
      </w:r>
      <w:r>
        <w:rPr>
          <w:color w:val="231F20"/>
        </w:rPr>
        <w:t>la </w:t>
      </w:r>
      <w:r>
        <w:rPr>
          <w:color w:val="231F20"/>
          <w:spacing w:val="2"/>
        </w:rPr>
        <w:t>autoridad del director </w:t>
      </w:r>
      <w:r>
        <w:rPr>
          <w:color w:val="231F20"/>
          <w:spacing w:val="3"/>
        </w:rPr>
        <w:t>como </w:t>
      </w:r>
      <w:r>
        <w:rPr>
          <w:color w:val="231F20"/>
          <w:spacing w:val="2"/>
        </w:rPr>
        <w:t>del propio Consejo Directivo. Frente </w:t>
      </w:r>
      <w:r>
        <w:rPr>
          <w:color w:val="231F20"/>
        </w:rPr>
        <w:t>a tal </w:t>
      </w:r>
      <w:r>
        <w:rPr>
          <w:color w:val="231F20"/>
          <w:spacing w:val="2"/>
        </w:rPr>
        <w:t>postura </w:t>
      </w:r>
      <w:r>
        <w:rPr>
          <w:color w:val="231F20"/>
        </w:rPr>
        <w:t>de los </w:t>
      </w:r>
      <w:r>
        <w:rPr>
          <w:color w:val="231F20"/>
          <w:spacing w:val="2"/>
        </w:rPr>
        <w:t>estudiantes, </w:t>
      </w:r>
      <w:r>
        <w:rPr>
          <w:color w:val="231F20"/>
          <w:spacing w:val="3"/>
        </w:rPr>
        <w:t>ambas autorida- </w:t>
      </w:r>
      <w:r>
        <w:rPr>
          <w:color w:val="231F20"/>
          <w:spacing w:val="2"/>
        </w:rPr>
        <w:t>des habían decidido asumir sus facultades </w:t>
      </w:r>
      <w:r>
        <w:rPr>
          <w:color w:val="231F20"/>
        </w:rPr>
        <w:t>y </w:t>
      </w:r>
      <w:r>
        <w:rPr>
          <w:color w:val="231F20"/>
          <w:spacing w:val="2"/>
        </w:rPr>
        <w:t>deliberar acerca </w:t>
      </w:r>
      <w:r>
        <w:rPr>
          <w:color w:val="231F20"/>
        </w:rPr>
        <w:t>de </w:t>
      </w:r>
      <w:r>
        <w:rPr>
          <w:color w:val="231F20"/>
          <w:spacing w:val="2"/>
        </w:rPr>
        <w:t>las decisiones que habría que </w:t>
      </w:r>
      <w:r>
        <w:rPr>
          <w:color w:val="231F20"/>
          <w:spacing w:val="3"/>
        </w:rPr>
        <w:t>tomar. </w:t>
      </w:r>
      <w:r>
        <w:rPr>
          <w:color w:val="231F20"/>
          <w:spacing w:val="2"/>
        </w:rPr>
        <w:t>Esto explica </w:t>
      </w:r>
      <w:r>
        <w:rPr>
          <w:color w:val="231F20"/>
          <w:spacing w:val="3"/>
        </w:rPr>
        <w:t>porqué </w:t>
      </w:r>
      <w:r>
        <w:rPr>
          <w:color w:val="231F20"/>
        </w:rPr>
        <w:t>su </w:t>
      </w:r>
      <w:r>
        <w:rPr>
          <w:color w:val="231F20"/>
          <w:spacing w:val="2"/>
        </w:rPr>
        <w:t>acuerdo  </w:t>
      </w:r>
      <w:r>
        <w:rPr>
          <w:color w:val="231F20"/>
        </w:rPr>
        <w:t>de </w:t>
      </w:r>
      <w:r>
        <w:rPr>
          <w:color w:val="231F20"/>
          <w:spacing w:val="2"/>
        </w:rPr>
        <w:t>dirigirse </w:t>
      </w:r>
      <w:r>
        <w:rPr>
          <w:color w:val="231F20"/>
        </w:rPr>
        <w:t>no ya a </w:t>
      </w:r>
      <w:r>
        <w:rPr>
          <w:color w:val="231F20"/>
          <w:spacing w:val="2"/>
        </w:rPr>
        <w:t>los estudiantes que </w:t>
      </w:r>
      <w:r>
        <w:rPr>
          <w:color w:val="231F20"/>
        </w:rPr>
        <w:t>en la </w:t>
      </w:r>
      <w:r>
        <w:rPr>
          <w:color w:val="231F20"/>
          <w:spacing w:val="2"/>
        </w:rPr>
        <w:t>práctica </w:t>
      </w:r>
      <w:r>
        <w:rPr>
          <w:color w:val="231F20"/>
          <w:spacing w:val="3"/>
        </w:rPr>
        <w:t>desconocían   </w:t>
      </w:r>
      <w:r>
        <w:rPr>
          <w:color w:val="231F20"/>
        </w:rPr>
        <w:t>a </w:t>
      </w:r>
      <w:r>
        <w:rPr>
          <w:color w:val="231F20"/>
          <w:spacing w:val="2"/>
        </w:rPr>
        <w:t>estas instancias </w:t>
      </w:r>
      <w:r>
        <w:rPr>
          <w:color w:val="231F20"/>
        </w:rPr>
        <w:t>de </w:t>
      </w:r>
      <w:r>
        <w:rPr>
          <w:color w:val="231F20"/>
          <w:spacing w:val="2"/>
        </w:rPr>
        <w:t>gobierno escolar, sino </w:t>
      </w:r>
      <w:r>
        <w:rPr>
          <w:color w:val="231F20"/>
        </w:rPr>
        <w:t>de </w:t>
      </w:r>
      <w:r>
        <w:rPr>
          <w:color w:val="231F20"/>
          <w:spacing w:val="2"/>
        </w:rPr>
        <w:t>buscar </w:t>
      </w:r>
      <w:r>
        <w:rPr>
          <w:color w:val="231F20"/>
        </w:rPr>
        <w:t>en </w:t>
      </w:r>
      <w:r>
        <w:rPr>
          <w:color w:val="231F20"/>
          <w:spacing w:val="3"/>
        </w:rPr>
        <w:t>otras </w:t>
      </w:r>
      <w:r>
        <w:rPr>
          <w:color w:val="231F20"/>
          <w:spacing w:val="2"/>
        </w:rPr>
        <w:t>instancias </w:t>
      </w:r>
      <w:r>
        <w:rPr>
          <w:color w:val="231F20"/>
        </w:rPr>
        <w:t>la </w:t>
      </w:r>
      <w:r>
        <w:rPr>
          <w:color w:val="231F20"/>
          <w:spacing w:val="2"/>
        </w:rPr>
        <w:t>legitimidad, esto </w:t>
      </w:r>
      <w:r>
        <w:rPr>
          <w:color w:val="231F20"/>
        </w:rPr>
        <w:t>es, de </w:t>
      </w:r>
      <w:r>
        <w:rPr>
          <w:color w:val="231F20"/>
          <w:spacing w:val="2"/>
        </w:rPr>
        <w:t>recurrir </w:t>
      </w:r>
      <w:r>
        <w:rPr>
          <w:color w:val="231F20"/>
        </w:rPr>
        <w:t>a la </w:t>
      </w:r>
      <w:r>
        <w:rPr>
          <w:color w:val="231F20"/>
          <w:spacing w:val="2"/>
        </w:rPr>
        <w:t>“opinión pública” para </w:t>
      </w:r>
      <w:r>
        <w:rPr>
          <w:color w:val="231F20"/>
          <w:spacing w:val="3"/>
        </w:rPr>
        <w:t>exponer </w:t>
      </w:r>
      <w:r>
        <w:rPr>
          <w:color w:val="231F20"/>
        </w:rPr>
        <w:t>las </w:t>
      </w:r>
      <w:r>
        <w:rPr>
          <w:color w:val="231F20"/>
          <w:spacing w:val="2"/>
        </w:rPr>
        <w:t>razones </w:t>
      </w:r>
      <w:r>
        <w:rPr>
          <w:color w:val="231F20"/>
        </w:rPr>
        <w:t>que </w:t>
      </w:r>
      <w:r>
        <w:rPr>
          <w:color w:val="231F20"/>
          <w:spacing w:val="2"/>
        </w:rPr>
        <w:t>respaldaba </w:t>
      </w:r>
      <w:r>
        <w:rPr>
          <w:color w:val="231F20"/>
        </w:rPr>
        <w:t>la </w:t>
      </w:r>
      <w:r>
        <w:rPr>
          <w:color w:val="231F20"/>
          <w:spacing w:val="2"/>
        </w:rPr>
        <w:t>designación </w:t>
      </w:r>
      <w:r>
        <w:rPr>
          <w:color w:val="231F20"/>
        </w:rPr>
        <w:t>del </w:t>
      </w:r>
      <w:r>
        <w:rPr>
          <w:color w:val="231F20"/>
          <w:spacing w:val="2"/>
        </w:rPr>
        <w:t>direc- tor </w:t>
      </w:r>
      <w:r>
        <w:rPr>
          <w:color w:val="231F20"/>
          <w:spacing w:val="3"/>
        </w:rPr>
        <w:t>impugnado, </w:t>
      </w:r>
      <w:r>
        <w:rPr>
          <w:color w:val="231F20"/>
        </w:rPr>
        <w:t>al </w:t>
      </w:r>
      <w:r>
        <w:rPr>
          <w:color w:val="231F20"/>
          <w:spacing w:val="3"/>
        </w:rPr>
        <w:t>mismo </w:t>
      </w:r>
      <w:r>
        <w:rPr>
          <w:color w:val="231F20"/>
          <w:spacing w:val="2"/>
        </w:rPr>
        <w:t>tiempo que exhibir </w:t>
      </w:r>
      <w:r>
        <w:rPr>
          <w:color w:val="231F20"/>
        </w:rPr>
        <w:t>las </w:t>
      </w:r>
      <w:r>
        <w:rPr>
          <w:color w:val="231F20"/>
          <w:spacing w:val="2"/>
        </w:rPr>
        <w:t>sinrazones </w:t>
      </w:r>
      <w:r>
        <w:rPr>
          <w:color w:val="231F20"/>
        </w:rPr>
        <w:t>de </w:t>
      </w:r>
      <w:r>
        <w:rPr>
          <w:color w:val="231F20"/>
          <w:spacing w:val="3"/>
        </w:rPr>
        <w:t>los </w:t>
      </w:r>
      <w:r>
        <w:rPr>
          <w:color w:val="231F20"/>
          <w:spacing w:val="2"/>
        </w:rPr>
        <w:t>estudiantes </w:t>
      </w:r>
      <w:r>
        <w:rPr>
          <w:color w:val="231F20"/>
        </w:rPr>
        <w:t>en</w:t>
      </w:r>
      <w:r>
        <w:rPr>
          <w:color w:val="231F20"/>
          <w:spacing w:val="-5"/>
        </w:rPr>
        <w:t> </w:t>
      </w:r>
      <w:r>
        <w:rPr>
          <w:color w:val="231F20"/>
          <w:spacing w:val="3"/>
        </w:rPr>
        <w:t>huelga.</w:t>
      </w:r>
    </w:p>
    <w:p>
      <w:pPr>
        <w:pStyle w:val="BodyText"/>
        <w:spacing w:line="249" w:lineRule="auto"/>
        <w:ind w:left="101" w:right="115" w:firstLine="284"/>
        <w:jc w:val="both"/>
      </w:pPr>
      <w:r>
        <w:rPr>
          <w:color w:val="231F20"/>
        </w:rPr>
        <w:t>En su </w:t>
      </w:r>
      <w:r>
        <w:rPr>
          <w:color w:val="231F20"/>
          <w:spacing w:val="2"/>
        </w:rPr>
        <w:t>manifiesto </w:t>
      </w:r>
      <w:r>
        <w:rPr>
          <w:color w:val="231F20"/>
        </w:rPr>
        <w:t>el </w:t>
      </w:r>
      <w:r>
        <w:rPr>
          <w:color w:val="231F20"/>
          <w:spacing w:val="3"/>
        </w:rPr>
        <w:t>Consejo, </w:t>
      </w:r>
      <w:r>
        <w:rPr>
          <w:color w:val="231F20"/>
        </w:rPr>
        <w:t>así en </w:t>
      </w:r>
      <w:r>
        <w:rPr>
          <w:color w:val="231F20"/>
          <w:spacing w:val="2"/>
        </w:rPr>
        <w:t>abstracto </w:t>
      </w:r>
      <w:r>
        <w:rPr>
          <w:color w:val="231F20"/>
        </w:rPr>
        <w:t>sin </w:t>
      </w:r>
      <w:r>
        <w:rPr>
          <w:color w:val="231F20"/>
          <w:spacing w:val="2"/>
        </w:rPr>
        <w:t>referirse </w:t>
      </w:r>
      <w:r>
        <w:rPr>
          <w:color w:val="231F20"/>
        </w:rPr>
        <w:t>ni </w:t>
      </w:r>
      <w:r>
        <w:rPr>
          <w:color w:val="231F20"/>
          <w:spacing w:val="2"/>
        </w:rPr>
        <w:t>aclarar qué sectores estaban </w:t>
      </w:r>
      <w:r>
        <w:rPr>
          <w:color w:val="231F20"/>
          <w:spacing w:val="3"/>
        </w:rPr>
        <w:t>representados, </w:t>
      </w:r>
      <w:r>
        <w:rPr>
          <w:color w:val="231F20"/>
          <w:spacing w:val="2"/>
        </w:rPr>
        <w:t>aseguraba </w:t>
      </w:r>
      <w:r>
        <w:rPr>
          <w:color w:val="231F20"/>
        </w:rPr>
        <w:t>que </w:t>
      </w:r>
      <w:r>
        <w:rPr>
          <w:color w:val="231F20"/>
          <w:spacing w:val="2"/>
        </w:rPr>
        <w:t>había apreciado </w:t>
      </w:r>
      <w:r>
        <w:rPr>
          <w:color w:val="231F20"/>
        </w:rPr>
        <w:t>“en </w:t>
      </w:r>
      <w:r>
        <w:rPr>
          <w:color w:val="231F20"/>
          <w:spacing w:val="2"/>
        </w:rPr>
        <w:t>toda </w:t>
      </w:r>
      <w:r>
        <w:rPr>
          <w:color w:val="231F20"/>
        </w:rPr>
        <w:t>su </w:t>
      </w:r>
      <w:r>
        <w:rPr>
          <w:color w:val="231F20"/>
          <w:spacing w:val="2"/>
        </w:rPr>
        <w:t>significación </w:t>
      </w:r>
      <w:r>
        <w:rPr>
          <w:color w:val="231F20"/>
        </w:rPr>
        <w:t>el </w:t>
      </w:r>
      <w:r>
        <w:rPr>
          <w:color w:val="231F20"/>
          <w:spacing w:val="2"/>
        </w:rPr>
        <w:t>alcance ulterior </w:t>
      </w:r>
      <w:r>
        <w:rPr>
          <w:color w:val="231F20"/>
        </w:rPr>
        <w:t>que la </w:t>
      </w:r>
      <w:r>
        <w:rPr>
          <w:color w:val="231F20"/>
          <w:spacing w:val="2"/>
        </w:rPr>
        <w:t>acti- tud </w:t>
      </w:r>
      <w:r>
        <w:rPr>
          <w:color w:val="231F20"/>
        </w:rPr>
        <w:t>de </w:t>
      </w:r>
      <w:r>
        <w:rPr>
          <w:color w:val="231F20"/>
          <w:spacing w:val="2"/>
        </w:rPr>
        <w:t>los estudiantes pudiera tener”, para enseguida alegar </w:t>
      </w:r>
      <w:r>
        <w:rPr>
          <w:color w:val="231F20"/>
        </w:rPr>
        <w:t>lo </w:t>
      </w:r>
      <w:r>
        <w:rPr>
          <w:color w:val="231F20"/>
          <w:spacing w:val="2"/>
        </w:rPr>
        <w:t>que </w:t>
      </w:r>
      <w:r>
        <w:rPr>
          <w:color w:val="231F20"/>
        </w:rPr>
        <w:t>en </w:t>
      </w:r>
      <w:r>
        <w:rPr>
          <w:color w:val="231F20"/>
          <w:spacing w:val="2"/>
        </w:rPr>
        <w:t>verdad </w:t>
      </w:r>
      <w:r>
        <w:rPr>
          <w:color w:val="231F20"/>
        </w:rPr>
        <w:t>era la </w:t>
      </w:r>
      <w:r>
        <w:rPr>
          <w:color w:val="231F20"/>
          <w:spacing w:val="2"/>
        </w:rPr>
        <w:t>cuestión </w:t>
      </w:r>
      <w:r>
        <w:rPr>
          <w:color w:val="231F20"/>
        </w:rPr>
        <w:t>que </w:t>
      </w:r>
      <w:r>
        <w:rPr>
          <w:color w:val="231F20"/>
          <w:spacing w:val="2"/>
        </w:rPr>
        <w:t>más </w:t>
      </w:r>
      <w:r>
        <w:rPr>
          <w:color w:val="231F20"/>
        </w:rPr>
        <w:t>le </w:t>
      </w:r>
      <w:r>
        <w:rPr>
          <w:color w:val="231F20"/>
          <w:spacing w:val="3"/>
        </w:rPr>
        <w:t>preocupaba </w:t>
      </w:r>
      <w:r>
        <w:rPr>
          <w:color w:val="231F20"/>
        </w:rPr>
        <w:t>y que </w:t>
      </w:r>
      <w:r>
        <w:rPr>
          <w:color w:val="231F20"/>
          <w:spacing w:val="2"/>
        </w:rPr>
        <w:t>estaba </w:t>
      </w:r>
      <w:r>
        <w:rPr>
          <w:color w:val="231F20"/>
        </w:rPr>
        <w:t>en     el </w:t>
      </w:r>
      <w:r>
        <w:rPr>
          <w:color w:val="231F20"/>
          <w:spacing w:val="3"/>
        </w:rPr>
        <w:t>fondo </w:t>
      </w:r>
      <w:r>
        <w:rPr>
          <w:color w:val="231F20"/>
        </w:rPr>
        <w:t>de la </w:t>
      </w:r>
      <w:r>
        <w:rPr>
          <w:color w:val="231F20"/>
          <w:spacing w:val="2"/>
        </w:rPr>
        <w:t>posición </w:t>
      </w:r>
      <w:r>
        <w:rPr>
          <w:color w:val="231F20"/>
        </w:rPr>
        <w:t>de </w:t>
      </w:r>
      <w:r>
        <w:rPr>
          <w:color w:val="231F20"/>
          <w:spacing w:val="2"/>
        </w:rPr>
        <w:t>este, </w:t>
      </w:r>
      <w:r>
        <w:rPr>
          <w:color w:val="231F20"/>
        </w:rPr>
        <w:t>a </w:t>
      </w:r>
      <w:r>
        <w:rPr>
          <w:color w:val="231F20"/>
          <w:spacing w:val="2"/>
        </w:rPr>
        <w:t>saber, </w:t>
      </w:r>
      <w:r>
        <w:rPr>
          <w:color w:val="231F20"/>
        </w:rPr>
        <w:t>“la </w:t>
      </w:r>
      <w:r>
        <w:rPr>
          <w:color w:val="231F20"/>
          <w:spacing w:val="2"/>
        </w:rPr>
        <w:t>abierta rebeldía </w:t>
      </w:r>
      <w:r>
        <w:rPr>
          <w:color w:val="231F20"/>
        </w:rPr>
        <w:t>de </w:t>
      </w:r>
      <w:r>
        <w:rPr>
          <w:color w:val="231F20"/>
          <w:spacing w:val="2"/>
        </w:rPr>
        <w:t>los estudiantes</w:t>
      </w:r>
      <w:r>
        <w:rPr>
          <w:color w:val="231F20"/>
          <w:spacing w:val="-16"/>
        </w:rPr>
        <w:t> </w:t>
      </w:r>
      <w:r>
        <w:rPr>
          <w:i/>
          <w:color w:val="231F20"/>
        </w:rPr>
        <w:t>a</w:t>
      </w:r>
      <w:r>
        <w:rPr>
          <w:i/>
          <w:color w:val="231F20"/>
          <w:spacing w:val="-16"/>
        </w:rPr>
        <w:t> </w:t>
      </w:r>
      <w:r>
        <w:rPr>
          <w:i/>
          <w:color w:val="231F20"/>
        </w:rPr>
        <w:t>la</w:t>
      </w:r>
      <w:r>
        <w:rPr>
          <w:i/>
          <w:color w:val="231F20"/>
          <w:spacing w:val="-16"/>
        </w:rPr>
        <w:t> </w:t>
      </w:r>
      <w:r>
        <w:rPr>
          <w:i/>
          <w:color w:val="231F20"/>
          <w:spacing w:val="2"/>
        </w:rPr>
        <w:t>autoridad</w:t>
      </w:r>
      <w:r>
        <w:rPr>
          <w:i/>
          <w:color w:val="231F20"/>
          <w:spacing w:val="-16"/>
        </w:rPr>
        <w:t> </w:t>
      </w:r>
      <w:r>
        <w:rPr>
          <w:i/>
          <w:color w:val="231F20"/>
        </w:rPr>
        <w:t>del</w:t>
      </w:r>
      <w:r>
        <w:rPr>
          <w:i/>
          <w:color w:val="231F20"/>
          <w:spacing w:val="-16"/>
        </w:rPr>
        <w:t> </w:t>
      </w:r>
      <w:r>
        <w:rPr>
          <w:i/>
          <w:color w:val="231F20"/>
          <w:spacing w:val="2"/>
        </w:rPr>
        <w:t>Consejo”,</w:t>
      </w:r>
      <w:r>
        <w:rPr>
          <w:i/>
          <w:color w:val="231F20"/>
          <w:spacing w:val="-16"/>
        </w:rPr>
        <w:t> </w:t>
      </w:r>
      <w:r>
        <w:rPr>
          <w:color w:val="231F20"/>
          <w:spacing w:val="2"/>
        </w:rPr>
        <w:t>actitud</w:t>
      </w:r>
      <w:r>
        <w:rPr>
          <w:color w:val="231F20"/>
          <w:spacing w:val="-16"/>
        </w:rPr>
        <w:t> </w:t>
      </w:r>
      <w:r>
        <w:rPr>
          <w:color w:val="231F20"/>
          <w:spacing w:val="2"/>
        </w:rPr>
        <w:t>que,</w:t>
      </w:r>
      <w:r>
        <w:rPr>
          <w:color w:val="231F20"/>
          <w:spacing w:val="-16"/>
        </w:rPr>
        <w:t> </w:t>
      </w:r>
      <w:r>
        <w:rPr>
          <w:color w:val="231F20"/>
          <w:spacing w:val="2"/>
        </w:rPr>
        <w:t>según</w:t>
      </w:r>
      <w:r>
        <w:rPr>
          <w:color w:val="231F20"/>
          <w:spacing w:val="-16"/>
        </w:rPr>
        <w:t> </w:t>
      </w:r>
      <w:r>
        <w:rPr>
          <w:color w:val="231F20"/>
          <w:spacing w:val="2"/>
        </w:rPr>
        <w:t>este,</w:t>
      </w:r>
      <w:r>
        <w:rPr>
          <w:color w:val="231F20"/>
          <w:spacing w:val="-16"/>
        </w:rPr>
        <w:t> </w:t>
      </w:r>
      <w:r>
        <w:rPr>
          <w:color w:val="231F20"/>
          <w:spacing w:val="3"/>
        </w:rPr>
        <w:t>“ca- </w:t>
      </w:r>
      <w:r>
        <w:rPr>
          <w:color w:val="231F20"/>
          <w:spacing w:val="2"/>
        </w:rPr>
        <w:t>recía </w:t>
      </w:r>
      <w:r>
        <w:rPr>
          <w:color w:val="231F20"/>
        </w:rPr>
        <w:t>en </w:t>
      </w:r>
      <w:r>
        <w:rPr>
          <w:color w:val="231F20"/>
          <w:spacing w:val="2"/>
        </w:rPr>
        <w:t>absoluto </w:t>
      </w:r>
      <w:r>
        <w:rPr>
          <w:color w:val="231F20"/>
        </w:rPr>
        <w:t>de </w:t>
      </w:r>
      <w:r>
        <w:rPr>
          <w:color w:val="231F20"/>
          <w:spacing w:val="2"/>
        </w:rPr>
        <w:t>base legal” </w:t>
      </w:r>
      <w:r>
        <w:rPr>
          <w:color w:val="231F20"/>
          <w:spacing w:val="3"/>
        </w:rPr>
        <w:t>(AHUAEM, </w:t>
      </w:r>
      <w:r>
        <w:rPr>
          <w:color w:val="231F20"/>
        </w:rPr>
        <w:t>c. </w:t>
      </w:r>
      <w:r>
        <w:rPr>
          <w:color w:val="231F20"/>
          <w:spacing w:val="2"/>
        </w:rPr>
        <w:t>206, exp. </w:t>
      </w:r>
      <w:r>
        <w:rPr>
          <w:color w:val="231F20"/>
          <w:spacing w:val="3"/>
        </w:rPr>
        <w:t>7111, </w:t>
      </w:r>
      <w:r>
        <w:rPr>
          <w:color w:val="231F20"/>
          <w:spacing w:val="2"/>
        </w:rPr>
        <w:t>1940). Por tales razones, añadía, </w:t>
      </w:r>
      <w:r>
        <w:rPr>
          <w:color w:val="231F20"/>
        </w:rPr>
        <w:t>no </w:t>
      </w:r>
      <w:r>
        <w:rPr>
          <w:color w:val="231F20"/>
          <w:spacing w:val="2"/>
        </w:rPr>
        <w:t>podía permitir </w:t>
      </w:r>
      <w:r>
        <w:rPr>
          <w:color w:val="231F20"/>
        </w:rPr>
        <w:t>tal </w:t>
      </w:r>
      <w:r>
        <w:rPr>
          <w:color w:val="231F20"/>
          <w:spacing w:val="2"/>
        </w:rPr>
        <w:t>estado </w:t>
      </w:r>
      <w:r>
        <w:rPr>
          <w:color w:val="231F20"/>
        </w:rPr>
        <w:t>de </w:t>
      </w:r>
      <w:r>
        <w:rPr>
          <w:color w:val="231F20"/>
          <w:spacing w:val="2"/>
        </w:rPr>
        <w:t>cosas ante </w:t>
      </w:r>
      <w:r>
        <w:rPr>
          <w:color w:val="231F20"/>
        </w:rPr>
        <w:t>“la </w:t>
      </w:r>
      <w:r>
        <w:rPr>
          <w:color w:val="231F20"/>
          <w:spacing w:val="2"/>
        </w:rPr>
        <w:t>gravedad que entrañaría sentar </w:t>
      </w:r>
      <w:r>
        <w:rPr>
          <w:color w:val="231F20"/>
        </w:rPr>
        <w:t>un </w:t>
      </w:r>
      <w:r>
        <w:rPr>
          <w:color w:val="231F20"/>
          <w:spacing w:val="3"/>
        </w:rPr>
        <w:t>precedente </w:t>
      </w:r>
      <w:r>
        <w:rPr>
          <w:color w:val="231F20"/>
        </w:rPr>
        <w:t>de </w:t>
      </w:r>
      <w:r>
        <w:rPr>
          <w:color w:val="231F20"/>
          <w:spacing w:val="2"/>
        </w:rPr>
        <w:t>absurda tolerancia” sobre todo cuando por primera </w:t>
      </w:r>
      <w:r>
        <w:rPr>
          <w:color w:val="231F20"/>
        </w:rPr>
        <w:t>vez se </w:t>
      </w:r>
      <w:r>
        <w:rPr>
          <w:color w:val="231F20"/>
          <w:spacing w:val="2"/>
        </w:rPr>
        <w:t>aplica-  </w:t>
      </w:r>
      <w:r>
        <w:rPr>
          <w:color w:val="231F20"/>
        </w:rPr>
        <w:t>ba la </w:t>
      </w:r>
      <w:r>
        <w:rPr>
          <w:color w:val="231F20"/>
          <w:spacing w:val="2"/>
        </w:rPr>
        <w:t>Ley Orgánica vigente </w:t>
      </w:r>
      <w:r>
        <w:rPr>
          <w:color w:val="231F20"/>
        </w:rPr>
        <w:t>y, </w:t>
      </w:r>
      <w:r>
        <w:rPr>
          <w:color w:val="231F20"/>
          <w:spacing w:val="2"/>
        </w:rPr>
        <w:t>por </w:t>
      </w:r>
      <w:r>
        <w:rPr>
          <w:color w:val="231F20"/>
        </w:rPr>
        <w:t>lo </w:t>
      </w:r>
      <w:r>
        <w:rPr>
          <w:color w:val="231F20"/>
          <w:spacing w:val="2"/>
        </w:rPr>
        <w:t>tanto, </w:t>
      </w:r>
      <w:r>
        <w:rPr>
          <w:color w:val="231F20"/>
        </w:rPr>
        <w:t>la </w:t>
      </w:r>
      <w:r>
        <w:rPr>
          <w:color w:val="231F20"/>
          <w:spacing w:val="2"/>
        </w:rPr>
        <w:t>necesidad </w:t>
      </w:r>
      <w:r>
        <w:rPr>
          <w:color w:val="231F20"/>
        </w:rPr>
        <w:t>de </w:t>
      </w:r>
      <w:r>
        <w:rPr>
          <w:color w:val="231F20"/>
          <w:spacing w:val="2"/>
        </w:rPr>
        <w:t>proce- der </w:t>
      </w:r>
      <w:r>
        <w:rPr>
          <w:color w:val="231F20"/>
        </w:rPr>
        <w:t>de </w:t>
      </w:r>
      <w:r>
        <w:rPr>
          <w:color w:val="231F20"/>
          <w:spacing w:val="3"/>
        </w:rPr>
        <w:t>manera </w:t>
      </w:r>
      <w:r>
        <w:rPr>
          <w:color w:val="231F20"/>
          <w:spacing w:val="2"/>
        </w:rPr>
        <w:t>enérgica ante </w:t>
      </w:r>
      <w:r>
        <w:rPr>
          <w:color w:val="231F20"/>
        </w:rPr>
        <w:t>el </w:t>
      </w:r>
      <w:r>
        <w:rPr>
          <w:color w:val="231F20"/>
          <w:spacing w:val="2"/>
        </w:rPr>
        <w:t>“riesgo </w:t>
      </w:r>
      <w:r>
        <w:rPr>
          <w:color w:val="231F20"/>
        </w:rPr>
        <w:t>de </w:t>
      </w:r>
      <w:r>
        <w:rPr>
          <w:color w:val="231F20"/>
          <w:spacing w:val="2"/>
        </w:rPr>
        <w:t>fracaso que </w:t>
      </w:r>
      <w:r>
        <w:rPr>
          <w:color w:val="231F20"/>
          <w:spacing w:val="3"/>
        </w:rPr>
        <w:t>seguramente </w:t>
      </w:r>
      <w:r>
        <w:rPr>
          <w:color w:val="231F20"/>
          <w:spacing w:val="2"/>
        </w:rPr>
        <w:t>correría una sanción poco enérgica </w:t>
      </w:r>
      <w:r>
        <w:rPr>
          <w:color w:val="231F20"/>
        </w:rPr>
        <w:t>y en </w:t>
      </w:r>
      <w:r>
        <w:rPr>
          <w:color w:val="231F20"/>
          <w:spacing w:val="3"/>
        </w:rPr>
        <w:t>desproporción </w:t>
      </w:r>
      <w:r>
        <w:rPr>
          <w:color w:val="231F20"/>
          <w:spacing w:val="2"/>
        </w:rPr>
        <w:t>con </w:t>
      </w:r>
      <w:r>
        <w:rPr>
          <w:color w:val="231F20"/>
        </w:rPr>
        <w:t>la </w:t>
      </w:r>
      <w:r>
        <w:rPr>
          <w:color w:val="231F20"/>
          <w:spacing w:val="3"/>
        </w:rPr>
        <w:t>importancia </w:t>
      </w:r>
      <w:r>
        <w:rPr>
          <w:color w:val="231F20"/>
          <w:spacing w:val="2"/>
        </w:rPr>
        <w:t>del </w:t>
      </w:r>
      <w:r>
        <w:rPr>
          <w:color w:val="231F20"/>
          <w:spacing w:val="3"/>
        </w:rPr>
        <w:t>hecho”. </w:t>
      </w:r>
      <w:r>
        <w:rPr>
          <w:color w:val="231F20"/>
        </w:rPr>
        <w:t>En </w:t>
      </w:r>
      <w:r>
        <w:rPr>
          <w:color w:val="231F20"/>
          <w:spacing w:val="2"/>
        </w:rPr>
        <w:t>este </w:t>
      </w:r>
      <w:r>
        <w:rPr>
          <w:color w:val="231F20"/>
          <w:spacing w:val="3"/>
        </w:rPr>
        <w:t>contexto, </w:t>
      </w:r>
      <w:r>
        <w:rPr>
          <w:color w:val="231F20"/>
        </w:rPr>
        <w:t>es </w:t>
      </w:r>
      <w:r>
        <w:rPr>
          <w:color w:val="231F20"/>
          <w:spacing w:val="2"/>
        </w:rPr>
        <w:t>útil recuperar </w:t>
      </w:r>
      <w:r>
        <w:rPr>
          <w:color w:val="231F20"/>
        </w:rPr>
        <w:t>a </w:t>
      </w:r>
      <w:r>
        <w:rPr>
          <w:color w:val="231F20"/>
          <w:spacing w:val="2"/>
        </w:rPr>
        <w:t>Bourdieu (2003) para </w:t>
      </w:r>
      <w:r>
        <w:rPr>
          <w:color w:val="231F20"/>
        </w:rPr>
        <w:t>el </w:t>
      </w:r>
      <w:r>
        <w:rPr>
          <w:color w:val="231F20"/>
          <w:spacing w:val="2"/>
        </w:rPr>
        <w:t>análisis </w:t>
      </w:r>
      <w:r>
        <w:rPr>
          <w:color w:val="231F20"/>
        </w:rPr>
        <w:t>de la </w:t>
      </w:r>
      <w:r>
        <w:rPr>
          <w:color w:val="231F20"/>
          <w:spacing w:val="2"/>
        </w:rPr>
        <w:t>violencia simbólica </w:t>
      </w:r>
      <w:r>
        <w:rPr>
          <w:color w:val="231F20"/>
        </w:rPr>
        <w:t>la </w:t>
      </w:r>
      <w:r>
        <w:rPr>
          <w:color w:val="231F20"/>
          <w:spacing w:val="2"/>
        </w:rPr>
        <w:t>cual </w:t>
      </w:r>
      <w:r>
        <w:rPr>
          <w:color w:val="231F20"/>
        </w:rPr>
        <w:t>se </w:t>
      </w:r>
      <w:r>
        <w:rPr>
          <w:color w:val="231F20"/>
          <w:spacing w:val="3"/>
        </w:rPr>
        <w:t>enmascara </w:t>
      </w:r>
      <w:r>
        <w:rPr>
          <w:color w:val="231F20"/>
        </w:rPr>
        <w:t>y se </w:t>
      </w:r>
      <w:r>
        <w:rPr>
          <w:color w:val="231F20"/>
          <w:spacing w:val="2"/>
        </w:rPr>
        <w:t>legitima por medio </w:t>
      </w:r>
      <w:r>
        <w:rPr>
          <w:color w:val="231F20"/>
        </w:rPr>
        <w:t>de lo </w:t>
      </w:r>
      <w:r>
        <w:rPr>
          <w:color w:val="231F20"/>
          <w:spacing w:val="2"/>
        </w:rPr>
        <w:t>que define </w:t>
      </w:r>
      <w:r>
        <w:rPr>
          <w:color w:val="231F20"/>
          <w:spacing w:val="3"/>
        </w:rPr>
        <w:t>como </w:t>
      </w:r>
      <w:r>
        <w:rPr>
          <w:color w:val="231F20"/>
        </w:rPr>
        <w:t>“</w:t>
      </w:r>
      <w:r>
        <w:rPr>
          <w:i/>
          <w:color w:val="231F20"/>
        </w:rPr>
        <w:t>las </w:t>
      </w:r>
      <w:r>
        <w:rPr>
          <w:i/>
          <w:color w:val="231F20"/>
          <w:spacing w:val="2"/>
        </w:rPr>
        <w:t>conveniencias</w:t>
      </w:r>
      <w:r>
        <w:rPr>
          <w:i/>
          <w:color w:val="231F20"/>
          <w:spacing w:val="-7"/>
        </w:rPr>
        <w:t> </w:t>
      </w:r>
      <w:r>
        <w:rPr>
          <w:i/>
          <w:color w:val="231F20"/>
          <w:spacing w:val="2"/>
        </w:rPr>
        <w:t>colectivas</w:t>
      </w:r>
      <w:r>
        <w:rPr>
          <w:color w:val="231F20"/>
          <w:spacing w:val="2"/>
        </w:rPr>
        <w:t>,</w:t>
      </w:r>
      <w:r>
        <w:rPr>
          <w:color w:val="231F20"/>
          <w:spacing w:val="-7"/>
        </w:rPr>
        <w:t> </w:t>
      </w:r>
      <w:r>
        <w:rPr>
          <w:color w:val="231F20"/>
        </w:rPr>
        <w:t>es</w:t>
      </w:r>
      <w:r>
        <w:rPr>
          <w:color w:val="231F20"/>
          <w:spacing w:val="-6"/>
        </w:rPr>
        <w:t> </w:t>
      </w:r>
      <w:r>
        <w:rPr>
          <w:color w:val="231F20"/>
          <w:spacing w:val="2"/>
        </w:rPr>
        <w:t>decir,</w:t>
      </w:r>
      <w:r>
        <w:rPr>
          <w:color w:val="231F20"/>
          <w:spacing w:val="-7"/>
        </w:rPr>
        <w:t> </w:t>
      </w:r>
      <w:r>
        <w:rPr>
          <w:color w:val="231F20"/>
        </w:rPr>
        <w:t>el</w:t>
      </w:r>
      <w:r>
        <w:rPr>
          <w:color w:val="231F20"/>
          <w:spacing w:val="-7"/>
        </w:rPr>
        <w:t> </w:t>
      </w:r>
      <w:r>
        <w:rPr>
          <w:color w:val="231F20"/>
          <w:spacing w:val="2"/>
        </w:rPr>
        <w:t>conjunto</w:t>
      </w:r>
      <w:r>
        <w:rPr>
          <w:color w:val="231F20"/>
          <w:spacing w:val="-6"/>
        </w:rPr>
        <w:t> </w:t>
      </w:r>
      <w:r>
        <w:rPr>
          <w:color w:val="231F20"/>
        </w:rPr>
        <w:t>de</w:t>
      </w:r>
      <w:r>
        <w:rPr>
          <w:color w:val="231F20"/>
          <w:spacing w:val="-6"/>
        </w:rPr>
        <w:t> </w:t>
      </w:r>
      <w:r>
        <w:rPr>
          <w:color w:val="231F20"/>
          <w:spacing w:val="3"/>
        </w:rPr>
        <w:t>normas,</w:t>
      </w:r>
      <w:r>
        <w:rPr>
          <w:color w:val="231F20"/>
          <w:spacing w:val="-7"/>
        </w:rPr>
        <w:t> </w:t>
      </w:r>
      <w:r>
        <w:rPr>
          <w:color w:val="231F20"/>
          <w:spacing w:val="2"/>
        </w:rPr>
        <w:t>evidente-</w:t>
      </w:r>
    </w:p>
    <w:p>
      <w:pPr>
        <w:spacing w:after="0" w:line="249" w:lineRule="auto"/>
        <w:jc w:val="both"/>
        <w:sectPr>
          <w:headerReference w:type="default" r:id="rId280"/>
          <w:footerReference w:type="default" r:id="rId281"/>
          <w:pgSz w:w="7830" w:h="11910"/>
          <w:pgMar w:header="0" w:footer="424" w:top="500" w:bottom="620" w:left="920" w:right="900"/>
          <w:pgNumType w:start="12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jc w:val="both"/>
      </w:pPr>
      <w:r>
        <w:rPr>
          <w:color w:val="231F20"/>
          <w:spacing w:val="2"/>
        </w:rPr>
        <w:t>mente </w:t>
      </w:r>
      <w:r>
        <w:rPr>
          <w:color w:val="231F20"/>
          <w:spacing w:val="3"/>
        </w:rPr>
        <w:t>muy </w:t>
      </w:r>
      <w:r>
        <w:rPr>
          <w:color w:val="231F20"/>
          <w:spacing w:val="2"/>
        </w:rPr>
        <w:t>variables según </w:t>
      </w:r>
      <w:r>
        <w:rPr>
          <w:color w:val="231F20"/>
        </w:rPr>
        <w:t>las </w:t>
      </w:r>
      <w:r>
        <w:rPr>
          <w:color w:val="231F20"/>
          <w:spacing w:val="2"/>
        </w:rPr>
        <w:t>épocas </w:t>
      </w:r>
      <w:r>
        <w:rPr>
          <w:color w:val="231F20"/>
        </w:rPr>
        <w:t>y las </w:t>
      </w:r>
      <w:r>
        <w:rPr>
          <w:color w:val="231F20"/>
          <w:spacing w:val="2"/>
        </w:rPr>
        <w:t>sociedades, que </w:t>
      </w:r>
      <w:r>
        <w:rPr>
          <w:color w:val="231F20"/>
        </w:rPr>
        <w:t>se </w:t>
      </w:r>
      <w:r>
        <w:rPr>
          <w:color w:val="231F20"/>
          <w:spacing w:val="3"/>
        </w:rPr>
        <w:t>imponen </w:t>
      </w:r>
      <w:r>
        <w:rPr>
          <w:color w:val="231F20"/>
        </w:rPr>
        <w:t>a </w:t>
      </w:r>
      <w:r>
        <w:rPr>
          <w:color w:val="231F20"/>
          <w:spacing w:val="2"/>
        </w:rPr>
        <w:t>los </w:t>
      </w:r>
      <w:r>
        <w:rPr>
          <w:color w:val="231F20"/>
          <w:spacing w:val="3"/>
        </w:rPr>
        <w:t>dominados </w:t>
      </w:r>
      <w:r>
        <w:rPr>
          <w:color w:val="231F20"/>
        </w:rPr>
        <w:t>en un </w:t>
      </w:r>
      <w:r>
        <w:rPr>
          <w:color w:val="231F20"/>
          <w:spacing w:val="3"/>
        </w:rPr>
        <w:t>determinado momento </w:t>
      </w:r>
      <w:r>
        <w:rPr>
          <w:color w:val="231F20"/>
          <w:spacing w:val="2"/>
        </w:rPr>
        <w:t>del tiem- po” (Bourdieu, 2003) </w:t>
      </w:r>
      <w:r>
        <w:rPr>
          <w:color w:val="231F20"/>
        </w:rPr>
        <w:t>y </w:t>
      </w:r>
      <w:r>
        <w:rPr>
          <w:color w:val="231F20"/>
          <w:spacing w:val="2"/>
        </w:rPr>
        <w:t>que, para </w:t>
      </w:r>
      <w:r>
        <w:rPr>
          <w:color w:val="231F20"/>
        </w:rPr>
        <w:t>el </w:t>
      </w:r>
      <w:r>
        <w:rPr>
          <w:color w:val="231F20"/>
          <w:spacing w:val="2"/>
        </w:rPr>
        <w:t>caso </w:t>
      </w:r>
      <w:r>
        <w:rPr>
          <w:color w:val="231F20"/>
        </w:rPr>
        <w:t>de las </w:t>
      </w:r>
      <w:r>
        <w:rPr>
          <w:color w:val="231F20"/>
          <w:spacing w:val="2"/>
        </w:rPr>
        <w:t>instituciones </w:t>
      </w:r>
      <w:r>
        <w:rPr>
          <w:color w:val="231F20"/>
          <w:spacing w:val="3"/>
        </w:rPr>
        <w:t>edu- </w:t>
      </w:r>
      <w:r>
        <w:rPr>
          <w:color w:val="231F20"/>
          <w:spacing w:val="2"/>
        </w:rPr>
        <w:t>cativas, </w:t>
      </w:r>
      <w:r>
        <w:rPr>
          <w:color w:val="231F20"/>
          <w:spacing w:val="3"/>
        </w:rPr>
        <w:t>podríamos </w:t>
      </w:r>
      <w:r>
        <w:rPr>
          <w:color w:val="231F20"/>
          <w:spacing w:val="2"/>
        </w:rPr>
        <w:t>caracterizar </w:t>
      </w:r>
      <w:r>
        <w:rPr>
          <w:color w:val="231F20"/>
          <w:spacing w:val="3"/>
        </w:rPr>
        <w:t>como </w:t>
      </w:r>
      <w:r>
        <w:rPr>
          <w:color w:val="231F20"/>
          <w:spacing w:val="2"/>
        </w:rPr>
        <w:t>cultura escolar, </w:t>
      </w:r>
      <w:r>
        <w:rPr>
          <w:color w:val="231F20"/>
        </w:rPr>
        <w:t>a fin de re- </w:t>
      </w:r>
      <w:r>
        <w:rPr>
          <w:color w:val="231F20"/>
          <w:spacing w:val="2"/>
        </w:rPr>
        <w:t>gistrar cuáles fueron los límites que </w:t>
      </w:r>
      <w:r>
        <w:rPr>
          <w:color w:val="231F20"/>
        </w:rPr>
        <w:t>se </w:t>
      </w:r>
      <w:r>
        <w:rPr>
          <w:color w:val="231F20"/>
          <w:spacing w:val="3"/>
        </w:rPr>
        <w:t>impusieron </w:t>
      </w:r>
      <w:r>
        <w:rPr>
          <w:color w:val="231F20"/>
          <w:spacing w:val="2"/>
        </w:rPr>
        <w:t>los </w:t>
      </w:r>
      <w:r>
        <w:rPr>
          <w:color w:val="231F20"/>
          <w:spacing w:val="3"/>
        </w:rPr>
        <w:t>antagonistas </w:t>
      </w:r>
      <w:r>
        <w:rPr>
          <w:color w:val="231F20"/>
        </w:rPr>
        <w:t>y </w:t>
      </w:r>
      <w:r>
        <w:rPr>
          <w:color w:val="231F20"/>
          <w:spacing w:val="3"/>
        </w:rPr>
        <w:t>protagonistas </w:t>
      </w:r>
      <w:r>
        <w:rPr>
          <w:color w:val="231F20"/>
        </w:rPr>
        <w:t>de lo </w:t>
      </w:r>
      <w:r>
        <w:rPr>
          <w:color w:val="231F20"/>
          <w:spacing w:val="2"/>
        </w:rPr>
        <w:t>que </w:t>
      </w:r>
      <w:r>
        <w:rPr>
          <w:color w:val="231F20"/>
          <w:spacing w:val="3"/>
        </w:rPr>
        <w:t>consideraban </w:t>
      </w:r>
      <w:r>
        <w:rPr>
          <w:color w:val="231F20"/>
        </w:rPr>
        <w:t>la </w:t>
      </w:r>
      <w:r>
        <w:rPr>
          <w:color w:val="231F20"/>
          <w:spacing w:val="2"/>
        </w:rPr>
        <w:t>“lucha </w:t>
      </w:r>
      <w:r>
        <w:rPr>
          <w:color w:val="231F20"/>
          <w:spacing w:val="3"/>
        </w:rPr>
        <w:t>conveniente”, </w:t>
      </w:r>
      <w:r>
        <w:rPr>
          <w:color w:val="231F20"/>
        </w:rPr>
        <w:t>o en </w:t>
      </w:r>
      <w:r>
        <w:rPr>
          <w:color w:val="231F20"/>
          <w:spacing w:val="2"/>
        </w:rPr>
        <w:t>otras palabras, los límites </w:t>
      </w:r>
      <w:r>
        <w:rPr>
          <w:color w:val="231F20"/>
        </w:rPr>
        <w:t>de la </w:t>
      </w:r>
      <w:r>
        <w:rPr>
          <w:color w:val="231F20"/>
          <w:spacing w:val="2"/>
        </w:rPr>
        <w:t>violencia simbólica </w:t>
      </w:r>
      <w:r>
        <w:rPr>
          <w:color w:val="231F20"/>
        </w:rPr>
        <w:t>y la </w:t>
      </w:r>
      <w:r>
        <w:rPr>
          <w:color w:val="231F20"/>
          <w:spacing w:val="2"/>
        </w:rPr>
        <w:t>violen- </w:t>
      </w:r>
      <w:r>
        <w:rPr>
          <w:color w:val="231F20"/>
        </w:rPr>
        <w:t>cia </w:t>
      </w:r>
      <w:r>
        <w:rPr>
          <w:color w:val="231F20"/>
          <w:spacing w:val="2"/>
        </w:rPr>
        <w:t>física, </w:t>
      </w:r>
      <w:r>
        <w:rPr>
          <w:color w:val="231F20"/>
        </w:rPr>
        <w:t>el </w:t>
      </w:r>
      <w:r>
        <w:rPr>
          <w:color w:val="231F20"/>
          <w:spacing w:val="2"/>
        </w:rPr>
        <w:t>orden </w:t>
      </w:r>
      <w:r>
        <w:rPr>
          <w:color w:val="231F20"/>
        </w:rPr>
        <w:t>de las </w:t>
      </w:r>
      <w:r>
        <w:rPr>
          <w:color w:val="231F20"/>
          <w:spacing w:val="2"/>
        </w:rPr>
        <w:t>conveniencias </w:t>
      </w:r>
      <w:r>
        <w:rPr>
          <w:color w:val="231F20"/>
        </w:rPr>
        <w:t>y las </w:t>
      </w:r>
      <w:r>
        <w:rPr>
          <w:color w:val="231F20"/>
          <w:spacing w:val="2"/>
        </w:rPr>
        <w:t>censuras lingüísticas </w:t>
      </w:r>
      <w:r>
        <w:rPr>
          <w:color w:val="231F20"/>
        </w:rPr>
        <w:t>que se </w:t>
      </w:r>
      <w:r>
        <w:rPr>
          <w:color w:val="231F20"/>
          <w:spacing w:val="3"/>
        </w:rPr>
        <w:t>autoimpusieron, </w:t>
      </w:r>
      <w:r>
        <w:rPr>
          <w:color w:val="231F20"/>
        </w:rPr>
        <w:t>así </w:t>
      </w:r>
      <w:r>
        <w:rPr>
          <w:color w:val="231F20"/>
          <w:spacing w:val="2"/>
        </w:rPr>
        <w:t>como </w:t>
      </w:r>
      <w:r>
        <w:rPr>
          <w:color w:val="231F20"/>
        </w:rPr>
        <w:t>sus</w:t>
      </w:r>
      <w:r>
        <w:rPr>
          <w:color w:val="231F20"/>
          <w:spacing w:val="30"/>
        </w:rPr>
        <w:t> </w:t>
      </w:r>
      <w:r>
        <w:rPr>
          <w:color w:val="231F20"/>
          <w:spacing w:val="3"/>
        </w:rPr>
        <w:t>resultados.</w:t>
      </w:r>
    </w:p>
    <w:p>
      <w:pPr>
        <w:pStyle w:val="BodyText"/>
        <w:spacing w:line="249" w:lineRule="auto"/>
        <w:ind w:left="101" w:right="114" w:firstLine="284"/>
        <w:jc w:val="both"/>
      </w:pPr>
      <w:r>
        <w:rPr>
          <w:color w:val="231F20"/>
        </w:rPr>
        <w:t>El </w:t>
      </w:r>
      <w:r>
        <w:rPr>
          <w:color w:val="231F20"/>
          <w:spacing w:val="2"/>
        </w:rPr>
        <w:t>Consejo Directivo admitía </w:t>
      </w:r>
      <w:r>
        <w:rPr>
          <w:color w:val="231F20"/>
        </w:rPr>
        <w:t>que en el </w:t>
      </w:r>
      <w:r>
        <w:rPr>
          <w:color w:val="231F20"/>
          <w:spacing w:val="3"/>
        </w:rPr>
        <w:t>fondo </w:t>
      </w:r>
      <w:r>
        <w:rPr>
          <w:color w:val="231F20"/>
        </w:rPr>
        <w:t>de tal </w:t>
      </w:r>
      <w:r>
        <w:rPr>
          <w:color w:val="231F20"/>
          <w:spacing w:val="2"/>
        </w:rPr>
        <w:t>situación había </w:t>
      </w:r>
      <w:r>
        <w:rPr>
          <w:color w:val="231F20"/>
          <w:spacing w:val="3"/>
        </w:rPr>
        <w:t>motivos </w:t>
      </w:r>
      <w:r>
        <w:rPr>
          <w:color w:val="231F20"/>
          <w:spacing w:val="2"/>
        </w:rPr>
        <w:t>más estructurales </w:t>
      </w:r>
      <w:r>
        <w:rPr>
          <w:color w:val="231F20"/>
        </w:rPr>
        <w:t>y que </w:t>
      </w:r>
      <w:r>
        <w:rPr>
          <w:color w:val="231F20"/>
          <w:spacing w:val="2"/>
        </w:rPr>
        <w:t>alcanzaban </w:t>
      </w:r>
      <w:r>
        <w:rPr>
          <w:color w:val="231F20"/>
        </w:rPr>
        <w:t>un </w:t>
      </w:r>
      <w:r>
        <w:rPr>
          <w:color w:val="231F20"/>
          <w:spacing w:val="3"/>
        </w:rPr>
        <w:t>momento </w:t>
      </w:r>
      <w:r>
        <w:rPr>
          <w:color w:val="231F20"/>
          <w:spacing w:val="2"/>
        </w:rPr>
        <w:t>crítico, </w:t>
      </w:r>
      <w:r>
        <w:rPr>
          <w:color w:val="231F20"/>
        </w:rPr>
        <w:t>“la </w:t>
      </w:r>
      <w:r>
        <w:rPr>
          <w:color w:val="231F20"/>
          <w:spacing w:val="2"/>
        </w:rPr>
        <w:t>situación general </w:t>
      </w:r>
      <w:r>
        <w:rPr>
          <w:color w:val="231F20"/>
        </w:rPr>
        <w:t>de </w:t>
      </w:r>
      <w:r>
        <w:rPr>
          <w:color w:val="231F20"/>
          <w:spacing w:val="2"/>
        </w:rPr>
        <w:t>indisciplina que </w:t>
      </w:r>
      <w:r>
        <w:rPr>
          <w:color w:val="231F20"/>
        </w:rPr>
        <w:t>va </w:t>
      </w:r>
      <w:r>
        <w:rPr>
          <w:color w:val="231F20"/>
          <w:spacing w:val="3"/>
        </w:rPr>
        <w:t>minando, </w:t>
      </w:r>
      <w:r>
        <w:rPr>
          <w:color w:val="231F20"/>
        </w:rPr>
        <w:t>en </w:t>
      </w:r>
      <w:r>
        <w:rPr>
          <w:color w:val="231F20"/>
          <w:spacing w:val="3"/>
        </w:rPr>
        <w:t>forma </w:t>
      </w:r>
      <w:r>
        <w:rPr>
          <w:color w:val="231F20"/>
          <w:spacing w:val="2"/>
        </w:rPr>
        <w:t>alarmante </w:t>
      </w:r>
      <w:r>
        <w:rPr>
          <w:color w:val="231F20"/>
        </w:rPr>
        <w:t>ya, a </w:t>
      </w:r>
      <w:r>
        <w:rPr>
          <w:color w:val="231F20"/>
          <w:spacing w:val="2"/>
        </w:rPr>
        <w:t>los planteles educativos”. </w:t>
      </w:r>
      <w:r>
        <w:rPr>
          <w:color w:val="231F20"/>
        </w:rPr>
        <w:t>A </w:t>
      </w:r>
      <w:r>
        <w:rPr>
          <w:color w:val="231F20"/>
          <w:spacing w:val="2"/>
        </w:rPr>
        <w:t>estas alturas, </w:t>
      </w:r>
      <w:r>
        <w:rPr>
          <w:color w:val="231F20"/>
          <w:spacing w:val="3"/>
        </w:rPr>
        <w:t>en </w:t>
      </w:r>
      <w:r>
        <w:rPr>
          <w:color w:val="231F20"/>
          <w:spacing w:val="2"/>
        </w:rPr>
        <w:t>una aquilataban </w:t>
      </w:r>
      <w:r>
        <w:rPr>
          <w:color w:val="231F20"/>
        </w:rPr>
        <w:t>“la </w:t>
      </w:r>
      <w:r>
        <w:rPr>
          <w:color w:val="231F20"/>
          <w:spacing w:val="2"/>
        </w:rPr>
        <w:t>actitud altiva </w:t>
      </w:r>
      <w:r>
        <w:rPr>
          <w:color w:val="231F20"/>
        </w:rPr>
        <w:t>de </w:t>
      </w:r>
      <w:r>
        <w:rPr>
          <w:color w:val="231F20"/>
          <w:spacing w:val="2"/>
        </w:rPr>
        <w:t>los rebeldes, bella </w:t>
      </w:r>
      <w:r>
        <w:rPr>
          <w:color w:val="231F20"/>
        </w:rPr>
        <w:t>y </w:t>
      </w:r>
      <w:r>
        <w:rPr>
          <w:color w:val="231F20"/>
          <w:spacing w:val="2"/>
        </w:rPr>
        <w:t>plausi- ble”, siempre </w:t>
      </w:r>
      <w:r>
        <w:rPr>
          <w:color w:val="231F20"/>
        </w:rPr>
        <w:t>que </w:t>
      </w:r>
      <w:r>
        <w:rPr>
          <w:color w:val="231F20"/>
          <w:spacing w:val="2"/>
        </w:rPr>
        <w:t>respondiese </w:t>
      </w:r>
      <w:r>
        <w:rPr>
          <w:color w:val="231F20"/>
        </w:rPr>
        <w:t>“a </w:t>
      </w:r>
      <w:r>
        <w:rPr>
          <w:color w:val="231F20"/>
          <w:spacing w:val="3"/>
        </w:rPr>
        <w:t>motivos generosos, </w:t>
      </w:r>
      <w:r>
        <w:rPr>
          <w:color w:val="231F20"/>
          <w:spacing w:val="2"/>
        </w:rPr>
        <w:t>pero inusi- tada </w:t>
      </w:r>
      <w:r>
        <w:rPr>
          <w:color w:val="231F20"/>
        </w:rPr>
        <w:t>y </w:t>
      </w:r>
      <w:r>
        <w:rPr>
          <w:color w:val="231F20"/>
          <w:spacing w:val="2"/>
        </w:rPr>
        <w:t>censurable cuando obedece </w:t>
      </w:r>
      <w:r>
        <w:rPr>
          <w:color w:val="231F20"/>
        </w:rPr>
        <w:t>a </w:t>
      </w:r>
      <w:r>
        <w:rPr>
          <w:color w:val="231F20"/>
          <w:spacing w:val="2"/>
        </w:rPr>
        <w:t>móviles </w:t>
      </w:r>
      <w:r>
        <w:rPr>
          <w:color w:val="231F20"/>
        </w:rPr>
        <w:t>de </w:t>
      </w:r>
      <w:r>
        <w:rPr>
          <w:color w:val="231F20"/>
          <w:spacing w:val="2"/>
        </w:rPr>
        <w:t>simpatía </w:t>
      </w:r>
      <w:r>
        <w:rPr>
          <w:color w:val="231F20"/>
          <w:spacing w:val="3"/>
        </w:rPr>
        <w:t>perso- </w:t>
      </w:r>
      <w:r>
        <w:rPr>
          <w:color w:val="231F20"/>
          <w:spacing w:val="2"/>
        </w:rPr>
        <w:t>nal”, inflexión paternal </w:t>
      </w:r>
      <w:r>
        <w:rPr>
          <w:color w:val="231F20"/>
        </w:rPr>
        <w:t>y que </w:t>
      </w:r>
      <w:r>
        <w:rPr>
          <w:color w:val="231F20"/>
          <w:spacing w:val="2"/>
        </w:rPr>
        <w:t>pretendía </w:t>
      </w:r>
      <w:r>
        <w:rPr>
          <w:color w:val="231F20"/>
        </w:rPr>
        <w:t>ser </w:t>
      </w:r>
      <w:r>
        <w:rPr>
          <w:color w:val="231F20"/>
          <w:spacing w:val="3"/>
        </w:rPr>
        <w:t>comprensiva. </w:t>
      </w:r>
      <w:r>
        <w:rPr>
          <w:color w:val="231F20"/>
          <w:spacing w:val="2"/>
        </w:rPr>
        <w:t>No </w:t>
      </w:r>
      <w:r>
        <w:rPr>
          <w:color w:val="231F20"/>
          <w:spacing w:val="3"/>
        </w:rPr>
        <w:t>obs- </w:t>
      </w:r>
      <w:r>
        <w:rPr>
          <w:color w:val="231F20"/>
          <w:spacing w:val="2"/>
        </w:rPr>
        <w:t>tante </w:t>
      </w:r>
      <w:r>
        <w:rPr>
          <w:color w:val="231F20"/>
        </w:rPr>
        <w:t>el </w:t>
      </w:r>
      <w:r>
        <w:rPr>
          <w:color w:val="231F20"/>
          <w:spacing w:val="2"/>
        </w:rPr>
        <w:t>tono utilizado por </w:t>
      </w:r>
      <w:r>
        <w:rPr>
          <w:color w:val="231F20"/>
        </w:rPr>
        <w:t>ese </w:t>
      </w:r>
      <w:r>
        <w:rPr>
          <w:color w:val="231F20"/>
          <w:spacing w:val="3"/>
        </w:rPr>
        <w:t>órgano, </w:t>
      </w:r>
      <w:r>
        <w:rPr>
          <w:color w:val="231F20"/>
        </w:rPr>
        <w:t>no deja de </w:t>
      </w:r>
      <w:r>
        <w:rPr>
          <w:color w:val="231F20"/>
          <w:spacing w:val="3"/>
        </w:rPr>
        <w:t>sorprender con    </w:t>
      </w:r>
      <w:r>
        <w:rPr>
          <w:color w:val="231F20"/>
        </w:rPr>
        <w:t>la </w:t>
      </w:r>
      <w:r>
        <w:rPr>
          <w:color w:val="231F20"/>
          <w:spacing w:val="3"/>
        </w:rPr>
        <w:t>determinación </w:t>
      </w:r>
      <w:r>
        <w:rPr>
          <w:color w:val="231F20"/>
          <w:spacing w:val="2"/>
        </w:rPr>
        <w:t>que </w:t>
      </w:r>
      <w:r>
        <w:rPr>
          <w:color w:val="231F20"/>
        </w:rPr>
        <w:t>esa </w:t>
      </w:r>
      <w:r>
        <w:rPr>
          <w:color w:val="231F20"/>
          <w:spacing w:val="2"/>
        </w:rPr>
        <w:t>instancia </w:t>
      </w:r>
      <w:r>
        <w:rPr>
          <w:color w:val="231F20"/>
          <w:spacing w:val="3"/>
        </w:rPr>
        <w:t>acordó, </w:t>
      </w:r>
      <w:r>
        <w:rPr>
          <w:color w:val="231F20"/>
        </w:rPr>
        <w:t>“la </w:t>
      </w:r>
      <w:r>
        <w:rPr>
          <w:color w:val="231F20"/>
          <w:spacing w:val="2"/>
        </w:rPr>
        <w:t>cancelación </w:t>
      </w:r>
      <w:r>
        <w:rPr>
          <w:color w:val="231F20"/>
          <w:spacing w:val="3"/>
        </w:rPr>
        <w:t>general </w:t>
      </w:r>
      <w:r>
        <w:rPr>
          <w:color w:val="231F20"/>
        </w:rPr>
        <w:t>de </w:t>
      </w:r>
      <w:r>
        <w:rPr>
          <w:color w:val="231F20"/>
          <w:spacing w:val="2"/>
        </w:rPr>
        <w:t>inscripciones, </w:t>
      </w:r>
      <w:r>
        <w:rPr>
          <w:color w:val="231F20"/>
        </w:rPr>
        <w:t>a </w:t>
      </w:r>
      <w:r>
        <w:rPr>
          <w:color w:val="231F20"/>
          <w:spacing w:val="2"/>
        </w:rPr>
        <w:t>reserva </w:t>
      </w:r>
      <w:r>
        <w:rPr>
          <w:color w:val="231F20"/>
        </w:rPr>
        <w:t>de </w:t>
      </w:r>
      <w:r>
        <w:rPr>
          <w:color w:val="231F20"/>
          <w:spacing w:val="2"/>
        </w:rPr>
        <w:t>volverlas </w:t>
      </w:r>
      <w:r>
        <w:rPr>
          <w:color w:val="231F20"/>
        </w:rPr>
        <w:t>a </w:t>
      </w:r>
      <w:r>
        <w:rPr>
          <w:color w:val="231F20"/>
          <w:spacing w:val="2"/>
        </w:rPr>
        <w:t>abrir </w:t>
      </w:r>
      <w:r>
        <w:rPr>
          <w:color w:val="231F20"/>
          <w:spacing w:val="3"/>
        </w:rPr>
        <w:t>cuando </w:t>
      </w:r>
      <w:r>
        <w:rPr>
          <w:color w:val="231F20"/>
        </w:rPr>
        <w:t>lo </w:t>
      </w:r>
      <w:r>
        <w:rPr>
          <w:color w:val="231F20"/>
          <w:spacing w:val="2"/>
        </w:rPr>
        <w:t>juzgue pertinente </w:t>
      </w:r>
      <w:r>
        <w:rPr>
          <w:color w:val="231F20"/>
        </w:rPr>
        <w:t>el </w:t>
      </w:r>
      <w:r>
        <w:rPr>
          <w:color w:val="231F20"/>
          <w:spacing w:val="3"/>
        </w:rPr>
        <w:t>mismo </w:t>
      </w:r>
      <w:r>
        <w:rPr>
          <w:color w:val="231F20"/>
        </w:rPr>
        <w:t>ya </w:t>
      </w:r>
      <w:r>
        <w:rPr>
          <w:color w:val="231F20"/>
          <w:spacing w:val="2"/>
        </w:rPr>
        <w:t>citado </w:t>
      </w:r>
      <w:r>
        <w:rPr>
          <w:color w:val="231F20"/>
          <w:spacing w:val="3"/>
        </w:rPr>
        <w:t>consejo”, </w:t>
      </w:r>
      <w:r>
        <w:rPr>
          <w:color w:val="231F20"/>
          <w:spacing w:val="2"/>
        </w:rPr>
        <w:t>más aún cuando </w:t>
      </w:r>
      <w:r>
        <w:rPr>
          <w:color w:val="231F20"/>
          <w:spacing w:val="3"/>
        </w:rPr>
        <w:t>asegura- </w:t>
      </w:r>
      <w:r>
        <w:rPr>
          <w:color w:val="231F20"/>
        </w:rPr>
        <w:t>ba </w:t>
      </w:r>
      <w:r>
        <w:rPr>
          <w:color w:val="231F20"/>
          <w:spacing w:val="2"/>
        </w:rPr>
        <w:t>contar con </w:t>
      </w:r>
      <w:r>
        <w:rPr>
          <w:color w:val="231F20"/>
        </w:rPr>
        <w:t>“la </w:t>
      </w:r>
      <w:r>
        <w:rPr>
          <w:color w:val="231F20"/>
          <w:spacing w:val="2"/>
        </w:rPr>
        <w:t>adhesión declarada por </w:t>
      </w:r>
      <w:r>
        <w:rPr>
          <w:color w:val="231F20"/>
        </w:rPr>
        <w:t>125 </w:t>
      </w:r>
      <w:r>
        <w:rPr>
          <w:color w:val="231F20"/>
          <w:spacing w:val="3"/>
        </w:rPr>
        <w:t>alumnos </w:t>
      </w:r>
      <w:r>
        <w:rPr>
          <w:color w:val="231F20"/>
        </w:rPr>
        <w:t>a la </w:t>
      </w:r>
      <w:r>
        <w:rPr>
          <w:color w:val="231F20"/>
          <w:spacing w:val="3"/>
        </w:rPr>
        <w:t>resolu- </w:t>
      </w:r>
      <w:r>
        <w:rPr>
          <w:color w:val="231F20"/>
          <w:spacing w:val="2"/>
        </w:rPr>
        <w:t>ción del </w:t>
      </w:r>
      <w:r>
        <w:rPr>
          <w:color w:val="231F20"/>
          <w:spacing w:val="3"/>
        </w:rPr>
        <w:t>Consejo”. Tampoco </w:t>
      </w:r>
      <w:r>
        <w:rPr>
          <w:color w:val="231F20"/>
          <w:spacing w:val="2"/>
        </w:rPr>
        <w:t>deja </w:t>
      </w:r>
      <w:r>
        <w:rPr>
          <w:color w:val="231F20"/>
        </w:rPr>
        <w:t>de ser </w:t>
      </w:r>
      <w:r>
        <w:rPr>
          <w:color w:val="231F20"/>
          <w:spacing w:val="2"/>
        </w:rPr>
        <w:t>extraño que </w:t>
      </w:r>
      <w:r>
        <w:rPr>
          <w:color w:val="231F20"/>
        </w:rPr>
        <w:t>se </w:t>
      </w:r>
      <w:r>
        <w:rPr>
          <w:color w:val="231F20"/>
          <w:spacing w:val="2"/>
        </w:rPr>
        <w:t>hiciera referencia </w:t>
      </w:r>
      <w:r>
        <w:rPr>
          <w:color w:val="231F20"/>
        </w:rPr>
        <w:t>al </w:t>
      </w:r>
      <w:r>
        <w:rPr>
          <w:color w:val="231F20"/>
          <w:spacing w:val="2"/>
        </w:rPr>
        <w:t>hecho </w:t>
      </w:r>
      <w:r>
        <w:rPr>
          <w:color w:val="231F20"/>
        </w:rPr>
        <w:t>de que </w:t>
      </w:r>
      <w:r>
        <w:rPr>
          <w:color w:val="231F20"/>
          <w:spacing w:val="2"/>
        </w:rPr>
        <w:t>los estudiantes “rebeldes” </w:t>
      </w:r>
      <w:r>
        <w:rPr>
          <w:color w:val="231F20"/>
          <w:spacing w:val="3"/>
        </w:rPr>
        <w:t>habían nombrado </w:t>
      </w:r>
      <w:r>
        <w:rPr>
          <w:color w:val="231F20"/>
        </w:rPr>
        <w:t>a un </w:t>
      </w:r>
      <w:r>
        <w:rPr>
          <w:color w:val="231F20"/>
          <w:spacing w:val="2"/>
        </w:rPr>
        <w:t>director alterno </w:t>
      </w:r>
      <w:r>
        <w:rPr>
          <w:color w:val="231F20"/>
        </w:rPr>
        <w:t>en la </w:t>
      </w:r>
      <w:r>
        <w:rPr>
          <w:color w:val="231F20"/>
          <w:spacing w:val="2"/>
        </w:rPr>
        <w:t>figura del </w:t>
      </w:r>
      <w:r>
        <w:rPr>
          <w:color w:val="231F20"/>
          <w:spacing w:val="3"/>
        </w:rPr>
        <w:t>doctor </w:t>
      </w:r>
      <w:r>
        <w:rPr>
          <w:color w:val="231F20"/>
          <w:spacing w:val="2"/>
        </w:rPr>
        <w:t>Gustavo  Baz, quien </w:t>
      </w:r>
      <w:r>
        <w:rPr>
          <w:color w:val="231F20"/>
          <w:spacing w:val="3"/>
        </w:rPr>
        <w:t>ocupaba </w:t>
      </w:r>
      <w:r>
        <w:rPr>
          <w:color w:val="231F20"/>
        </w:rPr>
        <w:t>el </w:t>
      </w:r>
      <w:r>
        <w:rPr>
          <w:color w:val="231F20"/>
          <w:spacing w:val="2"/>
        </w:rPr>
        <w:t>cargo </w:t>
      </w:r>
      <w:r>
        <w:rPr>
          <w:color w:val="231F20"/>
        </w:rPr>
        <w:t>de </w:t>
      </w:r>
      <w:r>
        <w:rPr>
          <w:color w:val="231F20"/>
          <w:spacing w:val="2"/>
        </w:rPr>
        <w:t>Rector </w:t>
      </w:r>
      <w:r>
        <w:rPr>
          <w:color w:val="231F20"/>
        </w:rPr>
        <w:t>de la </w:t>
      </w:r>
      <w:r>
        <w:rPr>
          <w:color w:val="231F20"/>
          <w:spacing w:val="3"/>
        </w:rPr>
        <w:t>Universidad Nacional Autónoma </w:t>
      </w:r>
      <w:r>
        <w:rPr>
          <w:color w:val="231F20"/>
        </w:rPr>
        <w:t>de </w:t>
      </w:r>
      <w:r>
        <w:rPr>
          <w:color w:val="231F20"/>
          <w:spacing w:val="2"/>
        </w:rPr>
        <w:t>México. </w:t>
      </w:r>
      <w:r>
        <w:rPr>
          <w:color w:val="231F20"/>
        </w:rPr>
        <w:t>Al </w:t>
      </w:r>
      <w:r>
        <w:rPr>
          <w:color w:val="231F20"/>
          <w:spacing w:val="2"/>
        </w:rPr>
        <w:t>parecer, </w:t>
      </w:r>
      <w:r>
        <w:rPr>
          <w:color w:val="231F20"/>
        </w:rPr>
        <w:t>la </w:t>
      </w:r>
      <w:r>
        <w:rPr>
          <w:color w:val="231F20"/>
          <w:spacing w:val="2"/>
        </w:rPr>
        <w:t>causa </w:t>
      </w:r>
      <w:r>
        <w:rPr>
          <w:color w:val="231F20"/>
        </w:rPr>
        <w:t>de </w:t>
      </w:r>
      <w:r>
        <w:rPr>
          <w:color w:val="231F20"/>
          <w:spacing w:val="2"/>
        </w:rPr>
        <w:t>aludir </w:t>
      </w:r>
      <w:r>
        <w:rPr>
          <w:color w:val="231F20"/>
        </w:rPr>
        <w:t>a </w:t>
      </w:r>
      <w:r>
        <w:rPr>
          <w:color w:val="231F20"/>
          <w:spacing w:val="2"/>
        </w:rPr>
        <w:t>este hecho </w:t>
      </w:r>
      <w:r>
        <w:rPr>
          <w:color w:val="231F20"/>
        </w:rPr>
        <w:t>fue </w:t>
      </w:r>
      <w:r>
        <w:rPr>
          <w:color w:val="231F20"/>
          <w:spacing w:val="3"/>
        </w:rPr>
        <w:t>precisamente </w:t>
      </w:r>
      <w:r>
        <w:rPr>
          <w:color w:val="231F20"/>
          <w:spacing w:val="2"/>
        </w:rPr>
        <w:t>para descalificar </w:t>
      </w:r>
      <w:r>
        <w:rPr>
          <w:color w:val="231F20"/>
        </w:rPr>
        <w:t>el </w:t>
      </w:r>
      <w:r>
        <w:rPr>
          <w:color w:val="231F20"/>
          <w:spacing w:val="3"/>
        </w:rPr>
        <w:t>nombramiento, </w:t>
      </w:r>
      <w:r>
        <w:rPr>
          <w:color w:val="231F20"/>
          <w:spacing w:val="2"/>
        </w:rPr>
        <w:t>pues </w:t>
      </w:r>
      <w:r>
        <w:rPr>
          <w:color w:val="231F20"/>
        </w:rPr>
        <w:t>“el </w:t>
      </w:r>
      <w:r>
        <w:rPr>
          <w:color w:val="231F20"/>
          <w:spacing w:val="2"/>
        </w:rPr>
        <w:t>Consejo </w:t>
      </w:r>
      <w:r>
        <w:rPr>
          <w:color w:val="231F20"/>
        </w:rPr>
        <w:t>ni </w:t>
      </w:r>
      <w:r>
        <w:rPr>
          <w:color w:val="231F20"/>
          <w:spacing w:val="2"/>
        </w:rPr>
        <w:t>siquiera tomó </w:t>
      </w:r>
      <w:r>
        <w:rPr>
          <w:color w:val="231F20"/>
        </w:rPr>
        <w:t>en </w:t>
      </w:r>
      <w:r>
        <w:rPr>
          <w:color w:val="231F20"/>
          <w:spacing w:val="2"/>
        </w:rPr>
        <w:t>cuenta dicha designación” </w:t>
      </w:r>
      <w:r>
        <w:rPr>
          <w:color w:val="231F20"/>
          <w:spacing w:val="3"/>
        </w:rPr>
        <w:t>porque </w:t>
      </w:r>
      <w:r>
        <w:rPr>
          <w:color w:val="231F20"/>
        </w:rPr>
        <w:t>la </w:t>
      </w:r>
      <w:r>
        <w:rPr>
          <w:color w:val="231F20"/>
          <w:spacing w:val="2"/>
        </w:rPr>
        <w:t>votación había favorecido </w:t>
      </w:r>
      <w:r>
        <w:rPr>
          <w:color w:val="231F20"/>
        </w:rPr>
        <w:t>a </w:t>
      </w:r>
      <w:r>
        <w:rPr>
          <w:color w:val="231F20"/>
          <w:spacing w:val="3"/>
        </w:rPr>
        <w:t>González </w:t>
      </w:r>
      <w:r>
        <w:rPr>
          <w:color w:val="231F20"/>
        </w:rPr>
        <w:t>y </w:t>
      </w:r>
      <w:r>
        <w:rPr>
          <w:color w:val="231F20"/>
          <w:spacing w:val="2"/>
        </w:rPr>
        <w:t>para exhibir </w:t>
      </w:r>
      <w:r>
        <w:rPr>
          <w:color w:val="231F20"/>
        </w:rPr>
        <w:t>“la </w:t>
      </w:r>
      <w:r>
        <w:rPr>
          <w:color w:val="231F20"/>
          <w:spacing w:val="2"/>
        </w:rPr>
        <w:t>falta </w:t>
      </w:r>
      <w:r>
        <w:rPr>
          <w:color w:val="231F20"/>
        </w:rPr>
        <w:t>de </w:t>
      </w:r>
      <w:r>
        <w:rPr>
          <w:color w:val="231F20"/>
          <w:spacing w:val="3"/>
        </w:rPr>
        <w:t>conocimiento </w:t>
      </w:r>
      <w:r>
        <w:rPr>
          <w:color w:val="231F20"/>
        </w:rPr>
        <w:t>de la </w:t>
      </w:r>
      <w:r>
        <w:rPr>
          <w:color w:val="231F20"/>
          <w:spacing w:val="2"/>
        </w:rPr>
        <w:t>Ley Orgánica por parte </w:t>
      </w:r>
      <w:r>
        <w:rPr>
          <w:color w:val="231F20"/>
        </w:rPr>
        <w:t>de </w:t>
      </w:r>
      <w:r>
        <w:rPr>
          <w:color w:val="231F20"/>
          <w:spacing w:val="2"/>
        </w:rPr>
        <w:t>los </w:t>
      </w:r>
      <w:r>
        <w:rPr>
          <w:color w:val="231F20"/>
          <w:spacing w:val="6"/>
        </w:rPr>
        <w:t> </w:t>
      </w:r>
      <w:r>
        <w:rPr>
          <w:color w:val="231F20"/>
          <w:spacing w:val="3"/>
        </w:rPr>
        <w:t>inconformes”.</w:t>
      </w:r>
    </w:p>
    <w:p>
      <w:pPr>
        <w:pStyle w:val="BodyText"/>
        <w:spacing w:line="247" w:lineRule="auto"/>
        <w:ind w:left="101" w:right="116" w:firstLine="284"/>
        <w:jc w:val="both"/>
      </w:pPr>
      <w:r>
        <w:rPr>
          <w:color w:val="231F20"/>
        </w:rPr>
        <w:t>Lo paradójico es que al intentar mostrar el aparente o real des- conocimiento, en realidad se manifestaba el temor de las autori- dades ante su presunta ilegitimidad al hacer notar el poco cuidado legal de los “inconformes” en el nombramiento de Baz y dejaba una sombra de duda sobre la calidad de este al señalar que queda- ba fuera de toda duda, “su buena opinión y fama”. ¿Era indispen- sable esta aclaración? (AHUAEM, c. 206, exp. 7111, 1940).</w:t>
      </w:r>
    </w:p>
    <w:p>
      <w:pPr>
        <w:spacing w:after="0" w:line="247" w:lineRule="auto"/>
        <w:jc w:val="both"/>
        <w:sectPr>
          <w:headerReference w:type="default" r:id="rId282"/>
          <w:footerReference w:type="default" r:id="rId283"/>
          <w:pgSz w:w="7830" w:h="11910"/>
          <w:pgMar w:header="0" w:footer="424" w:top="500" w:bottom="620" w:left="920" w:right="900"/>
          <w:pgNumType w:start="13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4" w:firstLine="284"/>
        <w:jc w:val="both"/>
      </w:pPr>
      <w:r>
        <w:rPr>
          <w:color w:val="231F20"/>
        </w:rPr>
        <w:t>Por su lado, los estudiantes paristas tampoco habían dejado du- das sobre su posición y así se lo habían informado a quien se osten- taba como director, aunque se cuidaron de reconocerle tal carácter. En un escrito dirigido al “Señor Licenciado Enrique González V.”,  la Sociedad de Alumnos del Instituto le comunicaba que la mayoría de alumnos le señalaba “un plazo para presentar su renuncia” y le informaba que en sesión general de la representación estudiantil se había nombrado al doctor Gustavo Baz como director del plantel y   le daba un lapso de 48 horas para que presentara su renuncia a par- tir de la fecha en que había sido ratificado por el Consejo Directivo. En otras palabras, fijaban los límites de ruptura entre la Sociedad de Alumnos y el Consejo que se asumía como la autoridad máxima del establecimiento educativo: la primera anunció la suspensión de labores durante el tiempo que le había establecido a González para que presentara su dimisión y, todavía más, aclaraban que de no proceder en ese sentido, se aplicarían “medidas más drásticas”. Como ya se ha señalado, un par de días después de este anuncio, el Consejo Directivo acordó aplicar medidas severas “que el caso requiere”. Así, para contrarrestar el efecto del acuerdo tomado por   la Sociedad de Alumnos, el propio Consejo declaró la suspensión “indefinida de las labores” hasta que lo estimara conveniente el propio Consejo y señalaba que sus disposiciones habían sido acor- dadas</w:t>
      </w:r>
      <w:r>
        <w:rPr>
          <w:color w:val="231F20"/>
          <w:spacing w:val="20"/>
        </w:rPr>
        <w:t> </w:t>
      </w:r>
      <w:r>
        <w:rPr>
          <w:color w:val="231F20"/>
        </w:rPr>
        <w:t>por</w:t>
      </w:r>
      <w:r>
        <w:rPr>
          <w:color w:val="231F20"/>
          <w:spacing w:val="20"/>
        </w:rPr>
        <w:t> </w:t>
      </w:r>
      <w:r>
        <w:rPr>
          <w:color w:val="231F20"/>
        </w:rPr>
        <w:t>unanimidad</w:t>
      </w:r>
      <w:r>
        <w:rPr>
          <w:color w:val="231F20"/>
          <w:spacing w:val="21"/>
        </w:rPr>
        <w:t> </w:t>
      </w:r>
      <w:r>
        <w:rPr>
          <w:color w:val="231F20"/>
        </w:rPr>
        <w:t>de</w:t>
      </w:r>
      <w:r>
        <w:rPr>
          <w:color w:val="231F20"/>
          <w:spacing w:val="20"/>
        </w:rPr>
        <w:t> </w:t>
      </w:r>
      <w:r>
        <w:rPr>
          <w:color w:val="231F20"/>
        </w:rPr>
        <w:t>los</w:t>
      </w:r>
      <w:r>
        <w:rPr>
          <w:color w:val="231F20"/>
          <w:spacing w:val="20"/>
        </w:rPr>
        <w:t> </w:t>
      </w:r>
      <w:r>
        <w:rPr>
          <w:color w:val="231F20"/>
        </w:rPr>
        <w:t>representantes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profesores</w:t>
      </w:r>
      <w:r>
        <w:rPr>
          <w:color w:val="231F20"/>
          <w:spacing w:val="20"/>
        </w:rPr>
        <w:t> </w:t>
      </w:r>
      <w:r>
        <w:rPr>
          <w:color w:val="231F20"/>
        </w:rPr>
        <w:t>y</w:t>
      </w:r>
      <w:r>
        <w:rPr>
          <w:color w:val="231F20"/>
          <w:spacing w:val="20"/>
        </w:rPr>
        <w:t> </w:t>
      </w:r>
      <w:r>
        <w:rPr>
          <w:color w:val="231F20"/>
        </w:rPr>
        <w:t>de</w:t>
      </w:r>
    </w:p>
    <w:p>
      <w:pPr>
        <w:pStyle w:val="BodyText"/>
        <w:spacing w:line="218" w:lineRule="auto" w:before="16"/>
        <w:ind w:left="102" w:right="121"/>
        <w:rPr>
          <w:rFonts w:ascii="Segoe UI" w:hAnsi="Segoe UI"/>
          <w:i/>
        </w:rPr>
      </w:pPr>
      <w:r>
        <w:rPr>
          <w:color w:val="231F20"/>
        </w:rPr>
        <w:t>los empleados administrativos, es decir, por la mayoría, lo que le daba un carácter legal (AHUAEM, c. 206, exp. 7111, 1940)</w:t>
      </w:r>
      <w:r>
        <w:rPr>
          <w:rFonts w:ascii="Segoe UI" w:hAnsi="Segoe UI"/>
          <w:i/>
          <w:color w:val="231F20"/>
        </w:rPr>
        <w:t>.</w:t>
      </w:r>
    </w:p>
    <w:p>
      <w:pPr>
        <w:pStyle w:val="BodyText"/>
        <w:spacing w:line="249" w:lineRule="auto" w:before="5"/>
        <w:ind w:left="102" w:right="115" w:firstLine="284"/>
        <w:jc w:val="both"/>
      </w:pPr>
      <w:r>
        <w:rPr>
          <w:color w:val="231F20"/>
          <w:spacing w:val="3"/>
        </w:rPr>
        <w:t>Conviene </w:t>
      </w:r>
      <w:r>
        <w:rPr>
          <w:color w:val="231F20"/>
          <w:spacing w:val="2"/>
        </w:rPr>
        <w:t>reflexionar acerca </w:t>
      </w:r>
      <w:r>
        <w:rPr>
          <w:color w:val="231F20"/>
        </w:rPr>
        <w:t>de </w:t>
      </w:r>
      <w:r>
        <w:rPr>
          <w:color w:val="231F20"/>
          <w:spacing w:val="2"/>
        </w:rPr>
        <w:t>una </w:t>
      </w:r>
      <w:r>
        <w:rPr>
          <w:color w:val="231F20"/>
        </w:rPr>
        <w:t>de las </w:t>
      </w:r>
      <w:r>
        <w:rPr>
          <w:color w:val="231F20"/>
          <w:spacing w:val="2"/>
        </w:rPr>
        <w:t>cuestiones más </w:t>
      </w:r>
      <w:r>
        <w:rPr>
          <w:color w:val="231F20"/>
          <w:spacing w:val="3"/>
        </w:rPr>
        <w:t>sen- </w:t>
      </w:r>
      <w:r>
        <w:rPr>
          <w:color w:val="231F20"/>
          <w:spacing w:val="2"/>
        </w:rPr>
        <w:t>sibles del orden escolar: </w:t>
      </w:r>
      <w:r>
        <w:rPr>
          <w:color w:val="231F20"/>
        </w:rPr>
        <w:t>su </w:t>
      </w:r>
      <w:r>
        <w:rPr>
          <w:color w:val="231F20"/>
          <w:spacing w:val="3"/>
        </w:rPr>
        <w:t>funcionamiento normal, </w:t>
      </w:r>
      <w:r>
        <w:rPr>
          <w:color w:val="231F20"/>
        </w:rPr>
        <w:t>la </w:t>
      </w:r>
      <w:r>
        <w:rPr>
          <w:color w:val="231F20"/>
          <w:spacing w:val="2"/>
        </w:rPr>
        <w:t>legitimidad </w:t>
      </w:r>
      <w:r>
        <w:rPr>
          <w:color w:val="231F20"/>
        </w:rPr>
        <w:t>de </w:t>
      </w:r>
      <w:r>
        <w:rPr>
          <w:color w:val="231F20"/>
          <w:spacing w:val="2"/>
        </w:rPr>
        <w:t>los </w:t>
      </w:r>
      <w:r>
        <w:rPr>
          <w:color w:val="231F20"/>
          <w:spacing w:val="3"/>
        </w:rPr>
        <w:t>órganos </w:t>
      </w:r>
      <w:r>
        <w:rPr>
          <w:color w:val="231F20"/>
          <w:spacing w:val="2"/>
        </w:rPr>
        <w:t>que </w:t>
      </w:r>
      <w:r>
        <w:rPr>
          <w:color w:val="231F20"/>
        </w:rPr>
        <w:t>lo </w:t>
      </w:r>
      <w:r>
        <w:rPr>
          <w:color w:val="231F20"/>
          <w:spacing w:val="3"/>
        </w:rPr>
        <w:t>administran, </w:t>
      </w:r>
      <w:r>
        <w:rPr>
          <w:color w:val="231F20"/>
        </w:rPr>
        <w:t>así </w:t>
      </w:r>
      <w:r>
        <w:rPr>
          <w:color w:val="231F20"/>
          <w:spacing w:val="3"/>
        </w:rPr>
        <w:t>como </w:t>
      </w:r>
      <w:r>
        <w:rPr>
          <w:color w:val="231F20"/>
        </w:rPr>
        <w:t>de las </w:t>
      </w:r>
      <w:r>
        <w:rPr>
          <w:color w:val="231F20"/>
          <w:spacing w:val="2"/>
        </w:rPr>
        <w:t>relaciones </w:t>
      </w:r>
      <w:r>
        <w:rPr>
          <w:color w:val="231F20"/>
          <w:spacing w:val="3"/>
        </w:rPr>
        <w:t>in- </w:t>
      </w:r>
      <w:r>
        <w:rPr>
          <w:color w:val="231F20"/>
          <w:spacing w:val="2"/>
        </w:rPr>
        <w:t>ternas entre sus integrantes. </w:t>
      </w:r>
      <w:r>
        <w:rPr>
          <w:color w:val="231F20"/>
        </w:rPr>
        <w:t>La </w:t>
      </w:r>
      <w:r>
        <w:rPr>
          <w:color w:val="231F20"/>
          <w:spacing w:val="2"/>
        </w:rPr>
        <w:t>respuesta estudiantil frente </w:t>
      </w:r>
      <w:r>
        <w:rPr>
          <w:color w:val="231F20"/>
        </w:rPr>
        <w:t>a la </w:t>
      </w:r>
      <w:r>
        <w:rPr>
          <w:color w:val="231F20"/>
          <w:spacing w:val="3"/>
        </w:rPr>
        <w:t>determinación </w:t>
      </w:r>
      <w:r>
        <w:rPr>
          <w:color w:val="231F20"/>
        </w:rPr>
        <w:t>del </w:t>
      </w:r>
      <w:r>
        <w:rPr>
          <w:color w:val="231F20"/>
          <w:spacing w:val="2"/>
        </w:rPr>
        <w:t>Consejo Directivo </w:t>
      </w:r>
      <w:r>
        <w:rPr>
          <w:color w:val="231F20"/>
        </w:rPr>
        <w:t>al </w:t>
      </w:r>
      <w:r>
        <w:rPr>
          <w:color w:val="231F20"/>
          <w:spacing w:val="2"/>
        </w:rPr>
        <w:t>designar </w:t>
      </w:r>
      <w:r>
        <w:rPr>
          <w:color w:val="231F20"/>
        </w:rPr>
        <w:t>al </w:t>
      </w:r>
      <w:r>
        <w:rPr>
          <w:color w:val="231F20"/>
          <w:spacing w:val="2"/>
        </w:rPr>
        <w:t>director del plantel </w:t>
      </w:r>
      <w:r>
        <w:rPr>
          <w:color w:val="231F20"/>
        </w:rPr>
        <w:t>que </w:t>
      </w:r>
      <w:r>
        <w:rPr>
          <w:color w:val="231F20"/>
          <w:spacing w:val="2"/>
        </w:rPr>
        <w:t>había </w:t>
      </w:r>
      <w:r>
        <w:rPr>
          <w:color w:val="231F20"/>
          <w:spacing w:val="3"/>
        </w:rPr>
        <w:t>propuesto </w:t>
      </w:r>
      <w:r>
        <w:rPr>
          <w:color w:val="231F20"/>
        </w:rPr>
        <w:t>el </w:t>
      </w:r>
      <w:r>
        <w:rPr>
          <w:color w:val="231F20"/>
          <w:spacing w:val="3"/>
        </w:rPr>
        <w:t>gobernador </w:t>
      </w:r>
      <w:r>
        <w:rPr>
          <w:color w:val="231F20"/>
        </w:rPr>
        <w:t>de la </w:t>
      </w:r>
      <w:r>
        <w:rPr>
          <w:color w:val="231F20"/>
          <w:spacing w:val="2"/>
        </w:rPr>
        <w:t>entidad, reveló </w:t>
      </w:r>
      <w:r>
        <w:rPr>
          <w:color w:val="231F20"/>
        </w:rPr>
        <w:t>un </w:t>
      </w:r>
      <w:r>
        <w:rPr>
          <w:color w:val="231F20"/>
          <w:spacing w:val="3"/>
        </w:rPr>
        <w:t>problema </w:t>
      </w:r>
      <w:r>
        <w:rPr>
          <w:color w:val="231F20"/>
          <w:spacing w:val="2"/>
        </w:rPr>
        <w:t>fundamental, esto </w:t>
      </w:r>
      <w:r>
        <w:rPr>
          <w:color w:val="231F20"/>
        </w:rPr>
        <w:t>es, </w:t>
      </w:r>
      <w:r>
        <w:rPr>
          <w:color w:val="231F20"/>
          <w:spacing w:val="2"/>
        </w:rPr>
        <w:t>objetar </w:t>
      </w:r>
      <w:r>
        <w:rPr>
          <w:color w:val="231F20"/>
        </w:rPr>
        <w:t>el </w:t>
      </w:r>
      <w:r>
        <w:rPr>
          <w:color w:val="231F20"/>
          <w:spacing w:val="2"/>
        </w:rPr>
        <w:t>ejercicio </w:t>
      </w:r>
      <w:r>
        <w:rPr>
          <w:color w:val="231F20"/>
        </w:rPr>
        <w:t>de la </w:t>
      </w:r>
      <w:r>
        <w:rPr>
          <w:color w:val="231F20"/>
          <w:spacing w:val="2"/>
        </w:rPr>
        <w:t>autoridad  </w:t>
      </w:r>
      <w:r>
        <w:rPr>
          <w:color w:val="231F20"/>
        </w:rPr>
        <w:t>y </w:t>
      </w:r>
      <w:r>
        <w:rPr>
          <w:color w:val="231F20"/>
          <w:spacing w:val="2"/>
        </w:rPr>
        <w:t>por </w:t>
      </w:r>
      <w:r>
        <w:rPr>
          <w:color w:val="231F20"/>
        </w:rPr>
        <w:t>lo </w:t>
      </w:r>
      <w:r>
        <w:rPr>
          <w:color w:val="231F20"/>
          <w:spacing w:val="2"/>
        </w:rPr>
        <w:t>tanto </w:t>
      </w:r>
      <w:r>
        <w:rPr>
          <w:color w:val="231F20"/>
        </w:rPr>
        <w:t>la </w:t>
      </w:r>
      <w:r>
        <w:rPr>
          <w:color w:val="231F20"/>
          <w:spacing w:val="2"/>
        </w:rPr>
        <w:t>legitimidad que </w:t>
      </w:r>
      <w:r>
        <w:rPr>
          <w:color w:val="231F20"/>
        </w:rPr>
        <w:t>se </w:t>
      </w:r>
      <w:r>
        <w:rPr>
          <w:color w:val="231F20"/>
          <w:spacing w:val="2"/>
        </w:rPr>
        <w:t>confería </w:t>
      </w:r>
      <w:r>
        <w:rPr>
          <w:color w:val="231F20"/>
          <w:spacing w:val="3"/>
        </w:rPr>
        <w:t>como representante </w:t>
      </w:r>
      <w:r>
        <w:rPr>
          <w:color w:val="231F20"/>
          <w:spacing w:val="2"/>
        </w:rPr>
        <w:t>institucional. Esta situación </w:t>
      </w:r>
      <w:r>
        <w:rPr>
          <w:color w:val="231F20"/>
        </w:rPr>
        <w:t>se </w:t>
      </w:r>
      <w:r>
        <w:rPr>
          <w:color w:val="231F20"/>
          <w:spacing w:val="2"/>
        </w:rPr>
        <w:t>hizo más evidente </w:t>
      </w:r>
      <w:r>
        <w:rPr>
          <w:color w:val="231F20"/>
        </w:rPr>
        <w:t>en  la  </w:t>
      </w:r>
      <w:r>
        <w:rPr>
          <w:color w:val="231F20"/>
          <w:spacing w:val="3"/>
        </w:rPr>
        <w:t>postura  </w:t>
      </w:r>
      <w:r>
        <w:rPr>
          <w:color w:val="231F20"/>
        </w:rPr>
        <w:t>que </w:t>
      </w:r>
      <w:r>
        <w:rPr>
          <w:color w:val="231F20"/>
          <w:spacing w:val="3"/>
        </w:rPr>
        <w:t>expresaron </w:t>
      </w:r>
      <w:r>
        <w:rPr>
          <w:color w:val="231F20"/>
        </w:rPr>
        <w:t>un </w:t>
      </w:r>
      <w:r>
        <w:rPr>
          <w:color w:val="231F20"/>
          <w:spacing w:val="2"/>
        </w:rPr>
        <w:t>par </w:t>
      </w:r>
      <w:r>
        <w:rPr>
          <w:color w:val="231F20"/>
        </w:rPr>
        <w:t>de </w:t>
      </w:r>
      <w:r>
        <w:rPr>
          <w:color w:val="231F20"/>
          <w:spacing w:val="3"/>
        </w:rPr>
        <w:t>profesores </w:t>
      </w:r>
      <w:r>
        <w:rPr>
          <w:color w:val="231F20"/>
        </w:rPr>
        <w:t>del </w:t>
      </w:r>
      <w:r>
        <w:rPr>
          <w:color w:val="231F20"/>
          <w:spacing w:val="2"/>
        </w:rPr>
        <w:t>Instituto </w:t>
      </w:r>
      <w:r>
        <w:rPr>
          <w:color w:val="231F20"/>
        </w:rPr>
        <w:t>al </w:t>
      </w:r>
      <w:r>
        <w:rPr>
          <w:color w:val="231F20"/>
          <w:spacing w:val="2"/>
        </w:rPr>
        <w:t>dirigirse </w:t>
      </w:r>
      <w:r>
        <w:rPr>
          <w:color w:val="231F20"/>
        </w:rPr>
        <w:t>al </w:t>
      </w:r>
      <w:r>
        <w:rPr>
          <w:color w:val="231F20"/>
          <w:spacing w:val="2"/>
        </w:rPr>
        <w:t>director, </w:t>
      </w:r>
      <w:r>
        <w:rPr>
          <w:color w:val="231F20"/>
        </w:rPr>
        <w:t>sin </w:t>
      </w:r>
      <w:r>
        <w:rPr>
          <w:color w:val="231F20"/>
          <w:spacing w:val="3"/>
        </w:rPr>
        <w:t>mencionar </w:t>
      </w:r>
      <w:r>
        <w:rPr>
          <w:color w:val="231F20"/>
        </w:rPr>
        <w:t>el </w:t>
      </w:r>
      <w:r>
        <w:rPr>
          <w:color w:val="231F20"/>
          <w:spacing w:val="3"/>
        </w:rPr>
        <w:t>nombre </w:t>
      </w:r>
      <w:r>
        <w:rPr>
          <w:color w:val="231F20"/>
        </w:rPr>
        <w:t>de </w:t>
      </w:r>
      <w:r>
        <w:rPr>
          <w:color w:val="231F20"/>
          <w:spacing w:val="2"/>
        </w:rPr>
        <w:t>este, para </w:t>
      </w:r>
      <w:r>
        <w:rPr>
          <w:color w:val="231F20"/>
          <w:spacing w:val="3"/>
        </w:rPr>
        <w:t>informarle </w:t>
      </w:r>
      <w:r>
        <w:rPr>
          <w:color w:val="231F20"/>
        </w:rPr>
        <w:t>que </w:t>
      </w:r>
      <w:r>
        <w:rPr>
          <w:color w:val="231F20"/>
          <w:spacing w:val="2"/>
        </w:rPr>
        <w:t>habían recibido una circular </w:t>
      </w:r>
      <w:r>
        <w:rPr>
          <w:color w:val="231F20"/>
        </w:rPr>
        <w:t>del </w:t>
      </w:r>
      <w:r>
        <w:rPr>
          <w:color w:val="231F20"/>
          <w:spacing w:val="2"/>
        </w:rPr>
        <w:t>Consejo Directivo </w:t>
      </w:r>
      <w:r>
        <w:rPr>
          <w:color w:val="231F20"/>
        </w:rPr>
        <w:t>en la que les </w:t>
      </w:r>
      <w:r>
        <w:rPr>
          <w:color w:val="231F20"/>
          <w:spacing w:val="3"/>
        </w:rPr>
        <w:t>consultaba </w:t>
      </w:r>
      <w:r>
        <w:rPr>
          <w:color w:val="231F20"/>
        </w:rPr>
        <w:t>“su </w:t>
      </w:r>
      <w:r>
        <w:rPr>
          <w:color w:val="231F20"/>
          <w:spacing w:val="2"/>
        </w:rPr>
        <w:t>opinión sobre </w:t>
      </w:r>
      <w:r>
        <w:rPr>
          <w:color w:val="231F20"/>
        </w:rPr>
        <w:t>la </w:t>
      </w:r>
      <w:r>
        <w:rPr>
          <w:color w:val="231F20"/>
          <w:spacing w:val="2"/>
        </w:rPr>
        <w:t>legalidad del H. Consejo Directi- vo”</w:t>
      </w:r>
      <w:r>
        <w:rPr>
          <w:color w:val="231F20"/>
          <w:spacing w:val="21"/>
        </w:rPr>
        <w:t> </w:t>
      </w:r>
      <w:r>
        <w:rPr>
          <w:color w:val="231F20"/>
        </w:rPr>
        <w:t>y,</w:t>
      </w:r>
      <w:r>
        <w:rPr>
          <w:color w:val="231F20"/>
          <w:spacing w:val="20"/>
        </w:rPr>
        <w:t> </w:t>
      </w:r>
      <w:r>
        <w:rPr>
          <w:color w:val="231F20"/>
          <w:spacing w:val="2"/>
        </w:rPr>
        <w:t>por</w:t>
      </w:r>
      <w:r>
        <w:rPr>
          <w:color w:val="231F20"/>
          <w:spacing w:val="20"/>
        </w:rPr>
        <w:t> </w:t>
      </w:r>
      <w:r>
        <w:rPr>
          <w:color w:val="231F20"/>
        </w:rPr>
        <w:t>lo</w:t>
      </w:r>
      <w:r>
        <w:rPr>
          <w:color w:val="231F20"/>
          <w:spacing w:val="21"/>
        </w:rPr>
        <w:t> </w:t>
      </w:r>
      <w:r>
        <w:rPr>
          <w:color w:val="231F20"/>
        </w:rPr>
        <w:t>que</w:t>
      </w:r>
      <w:r>
        <w:rPr>
          <w:color w:val="231F20"/>
          <w:spacing w:val="21"/>
        </w:rPr>
        <w:t> </w:t>
      </w:r>
      <w:r>
        <w:rPr>
          <w:color w:val="231F20"/>
          <w:spacing w:val="2"/>
        </w:rPr>
        <w:t>puede</w:t>
      </w:r>
      <w:r>
        <w:rPr>
          <w:color w:val="231F20"/>
          <w:spacing w:val="21"/>
        </w:rPr>
        <w:t> </w:t>
      </w:r>
      <w:r>
        <w:rPr>
          <w:color w:val="231F20"/>
          <w:spacing w:val="2"/>
        </w:rPr>
        <w:t>inferirse</w:t>
      </w:r>
      <w:r>
        <w:rPr>
          <w:color w:val="231F20"/>
          <w:spacing w:val="21"/>
        </w:rPr>
        <w:t> </w:t>
      </w:r>
      <w:r>
        <w:rPr>
          <w:color w:val="231F20"/>
        </w:rPr>
        <w:t>de</w:t>
      </w:r>
      <w:r>
        <w:rPr>
          <w:color w:val="231F20"/>
          <w:spacing w:val="21"/>
        </w:rPr>
        <w:t> </w:t>
      </w:r>
      <w:r>
        <w:rPr>
          <w:color w:val="231F20"/>
        </w:rPr>
        <w:t>sus</w:t>
      </w:r>
      <w:r>
        <w:rPr>
          <w:color w:val="231F20"/>
          <w:spacing w:val="20"/>
        </w:rPr>
        <w:t> </w:t>
      </w:r>
      <w:r>
        <w:rPr>
          <w:color w:val="231F20"/>
          <w:spacing w:val="2"/>
        </w:rPr>
        <w:t>respuestas,</w:t>
      </w:r>
      <w:r>
        <w:rPr>
          <w:color w:val="231F20"/>
          <w:spacing w:val="18"/>
        </w:rPr>
        <w:t> </w:t>
      </w:r>
      <w:r>
        <w:rPr>
          <w:color w:val="231F20"/>
        </w:rPr>
        <w:t>su</w:t>
      </w:r>
      <w:r>
        <w:rPr>
          <w:color w:val="231F20"/>
          <w:spacing w:val="21"/>
        </w:rPr>
        <w:t> </w:t>
      </w:r>
      <w:r>
        <w:rPr>
          <w:color w:val="231F20"/>
          <w:spacing w:val="2"/>
        </w:rPr>
        <w:t>opinión</w:t>
      </w:r>
      <w:r>
        <w:rPr>
          <w:color w:val="231F20"/>
          <w:spacing w:val="21"/>
        </w:rPr>
        <w:t> </w:t>
      </w:r>
      <w:r>
        <w:rPr>
          <w:color w:val="231F20"/>
        </w:rPr>
        <w:t>se</w:t>
      </w:r>
    </w:p>
    <w:p>
      <w:pPr>
        <w:spacing w:after="0" w:line="249" w:lineRule="auto"/>
        <w:jc w:val="both"/>
        <w:sectPr>
          <w:headerReference w:type="default" r:id="rId284"/>
          <w:footerReference w:type="default" r:id="rId285"/>
          <w:pgSz w:w="7830" w:h="11910"/>
          <w:pgMar w:header="0" w:footer="424" w:top="500" w:bottom="620" w:left="920" w:right="900"/>
          <w:pgNumType w:start="13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6"/>
        <w:jc w:val="both"/>
      </w:pPr>
      <w:r>
        <w:rPr>
          <w:color w:val="231F20"/>
          <w:spacing w:val="2"/>
        </w:rPr>
        <w:t>dividía </w:t>
      </w:r>
      <w:r>
        <w:rPr>
          <w:color w:val="231F20"/>
        </w:rPr>
        <w:t>en </w:t>
      </w:r>
      <w:r>
        <w:rPr>
          <w:color w:val="231F20"/>
          <w:spacing w:val="2"/>
        </w:rPr>
        <w:t>varios aspectos. Así, con respecto </w:t>
      </w:r>
      <w:r>
        <w:rPr>
          <w:color w:val="231F20"/>
        </w:rPr>
        <w:t>a si </w:t>
      </w:r>
      <w:r>
        <w:rPr>
          <w:color w:val="231F20"/>
          <w:spacing w:val="3"/>
        </w:rPr>
        <w:t>consideraban</w:t>
      </w:r>
      <w:r>
        <w:rPr>
          <w:color w:val="231F20"/>
          <w:spacing w:val="58"/>
        </w:rPr>
        <w:t> </w:t>
      </w:r>
      <w:r>
        <w:rPr>
          <w:color w:val="231F20"/>
          <w:spacing w:val="2"/>
        </w:rPr>
        <w:t>legal </w:t>
      </w:r>
      <w:r>
        <w:rPr>
          <w:color w:val="231F20"/>
        </w:rPr>
        <w:t>la </w:t>
      </w:r>
      <w:r>
        <w:rPr>
          <w:color w:val="231F20"/>
          <w:spacing w:val="2"/>
        </w:rPr>
        <w:t>representación del </w:t>
      </w:r>
      <w:r>
        <w:rPr>
          <w:color w:val="231F20"/>
          <w:spacing w:val="3"/>
        </w:rPr>
        <w:t>profesorado </w:t>
      </w:r>
      <w:r>
        <w:rPr>
          <w:color w:val="231F20"/>
        </w:rPr>
        <w:t>en la </w:t>
      </w:r>
      <w:r>
        <w:rPr>
          <w:color w:val="231F20"/>
          <w:spacing w:val="2"/>
        </w:rPr>
        <w:t>integración ante </w:t>
      </w:r>
      <w:r>
        <w:rPr>
          <w:color w:val="231F20"/>
        </w:rPr>
        <w:t>el </w:t>
      </w:r>
      <w:r>
        <w:rPr>
          <w:color w:val="231F20"/>
          <w:spacing w:val="3"/>
        </w:rPr>
        <w:t>Consejo, respondieron </w:t>
      </w:r>
      <w:r>
        <w:rPr>
          <w:color w:val="231F20"/>
          <w:spacing w:val="2"/>
        </w:rPr>
        <w:t>que </w:t>
      </w:r>
      <w:r>
        <w:rPr>
          <w:color w:val="231F20"/>
        </w:rPr>
        <w:t>sí, </w:t>
      </w:r>
      <w:r>
        <w:rPr>
          <w:color w:val="231F20"/>
          <w:spacing w:val="2"/>
        </w:rPr>
        <w:t>pero, </w:t>
      </w:r>
      <w:r>
        <w:rPr>
          <w:color w:val="231F20"/>
        </w:rPr>
        <w:t>a la </w:t>
      </w:r>
      <w:r>
        <w:rPr>
          <w:color w:val="231F20"/>
          <w:spacing w:val="2"/>
        </w:rPr>
        <w:t>siguiente interrogante que </w:t>
      </w:r>
      <w:r>
        <w:rPr>
          <w:color w:val="231F20"/>
        </w:rPr>
        <w:t>al </w:t>
      </w:r>
      <w:r>
        <w:rPr>
          <w:color w:val="231F20"/>
          <w:spacing w:val="2"/>
        </w:rPr>
        <w:t>parecer </w:t>
      </w:r>
      <w:r>
        <w:rPr>
          <w:color w:val="231F20"/>
        </w:rPr>
        <w:t>se </w:t>
      </w:r>
      <w:r>
        <w:rPr>
          <w:color w:val="231F20"/>
          <w:spacing w:val="2"/>
        </w:rPr>
        <w:t>refería </w:t>
      </w:r>
      <w:r>
        <w:rPr>
          <w:color w:val="231F20"/>
        </w:rPr>
        <w:t>a si ese </w:t>
      </w:r>
      <w:r>
        <w:rPr>
          <w:color w:val="231F20"/>
          <w:spacing w:val="2"/>
        </w:rPr>
        <w:t>órgano </w:t>
      </w:r>
      <w:r>
        <w:rPr>
          <w:color w:val="231F20"/>
          <w:spacing w:val="3"/>
        </w:rPr>
        <w:t>funcionaba </w:t>
      </w:r>
      <w:r>
        <w:rPr>
          <w:color w:val="231F20"/>
          <w:spacing w:val="2"/>
        </w:rPr>
        <w:t>“ilegalmente”, </w:t>
      </w:r>
      <w:r>
        <w:rPr>
          <w:color w:val="231F20"/>
        </w:rPr>
        <w:t>cito </w:t>
      </w:r>
      <w:r>
        <w:rPr>
          <w:color w:val="231F20"/>
          <w:spacing w:val="2"/>
        </w:rPr>
        <w:t>textualmente, </w:t>
      </w:r>
      <w:r>
        <w:rPr>
          <w:color w:val="231F20"/>
          <w:spacing w:val="3"/>
        </w:rPr>
        <w:t>respondieron </w:t>
      </w:r>
      <w:r>
        <w:rPr>
          <w:color w:val="231F20"/>
        </w:rPr>
        <w:t>que sí que era </w:t>
      </w:r>
      <w:r>
        <w:rPr>
          <w:color w:val="231F20"/>
          <w:spacing w:val="2"/>
        </w:rPr>
        <w:t>ilegal debido </w:t>
      </w:r>
      <w:r>
        <w:rPr>
          <w:color w:val="231F20"/>
        </w:rPr>
        <w:t>a que </w:t>
      </w:r>
      <w:r>
        <w:rPr>
          <w:color w:val="231F20"/>
          <w:spacing w:val="2"/>
        </w:rPr>
        <w:t>“no </w:t>
      </w:r>
      <w:r>
        <w:rPr>
          <w:color w:val="231F20"/>
          <w:spacing w:val="2"/>
          <w:w w:val="95"/>
        </w:rPr>
        <w:t>está</w:t>
      </w:r>
      <w:r>
        <w:rPr>
          <w:color w:val="231F20"/>
          <w:spacing w:val="-17"/>
          <w:w w:val="95"/>
        </w:rPr>
        <w:t> </w:t>
      </w:r>
      <w:r>
        <w:rPr>
          <w:color w:val="231F20"/>
          <w:spacing w:val="2"/>
          <w:w w:val="95"/>
        </w:rPr>
        <w:t>integrado</w:t>
      </w:r>
      <w:r>
        <w:rPr>
          <w:color w:val="231F20"/>
          <w:spacing w:val="-17"/>
          <w:w w:val="95"/>
        </w:rPr>
        <w:t> </w:t>
      </w:r>
      <w:r>
        <w:rPr>
          <w:color w:val="231F20"/>
          <w:spacing w:val="2"/>
          <w:w w:val="95"/>
        </w:rPr>
        <w:t>por</w:t>
      </w:r>
      <w:r>
        <w:rPr>
          <w:color w:val="231F20"/>
          <w:spacing w:val="-17"/>
          <w:w w:val="95"/>
        </w:rPr>
        <w:t> </w:t>
      </w:r>
      <w:r>
        <w:rPr>
          <w:color w:val="231F20"/>
          <w:w w:val="95"/>
        </w:rPr>
        <w:t>la</w:t>
      </w:r>
      <w:r>
        <w:rPr>
          <w:color w:val="231F20"/>
          <w:spacing w:val="-17"/>
          <w:w w:val="95"/>
        </w:rPr>
        <w:t> </w:t>
      </w:r>
      <w:r>
        <w:rPr>
          <w:i/>
          <w:color w:val="231F20"/>
          <w:spacing w:val="2"/>
          <w:w w:val="95"/>
        </w:rPr>
        <w:t>totalidad</w:t>
      </w:r>
      <w:r>
        <w:rPr>
          <w:i/>
          <w:color w:val="231F20"/>
          <w:spacing w:val="-17"/>
          <w:w w:val="95"/>
        </w:rPr>
        <w:t> </w:t>
      </w:r>
      <w:r>
        <w:rPr>
          <w:i/>
          <w:color w:val="231F20"/>
          <w:w w:val="95"/>
        </w:rPr>
        <w:t>de</w:t>
      </w:r>
      <w:r>
        <w:rPr>
          <w:i/>
          <w:color w:val="231F20"/>
          <w:spacing w:val="-17"/>
          <w:w w:val="95"/>
        </w:rPr>
        <w:t> </w:t>
      </w:r>
      <w:r>
        <w:rPr>
          <w:i/>
          <w:color w:val="231F20"/>
          <w:w w:val="95"/>
        </w:rPr>
        <w:t>las</w:t>
      </w:r>
      <w:r>
        <w:rPr>
          <w:i/>
          <w:color w:val="231F20"/>
          <w:spacing w:val="-17"/>
          <w:w w:val="95"/>
        </w:rPr>
        <w:t> </w:t>
      </w:r>
      <w:r>
        <w:rPr>
          <w:i/>
          <w:color w:val="231F20"/>
          <w:spacing w:val="2"/>
          <w:w w:val="95"/>
        </w:rPr>
        <w:t>representaciones</w:t>
      </w:r>
      <w:r>
        <w:rPr>
          <w:i/>
          <w:color w:val="231F20"/>
          <w:spacing w:val="-17"/>
          <w:w w:val="95"/>
        </w:rPr>
        <w:t> </w:t>
      </w:r>
      <w:r>
        <w:rPr>
          <w:i/>
          <w:color w:val="231F20"/>
          <w:w w:val="95"/>
        </w:rPr>
        <w:t>que</w:t>
      </w:r>
      <w:r>
        <w:rPr>
          <w:i/>
          <w:color w:val="231F20"/>
          <w:spacing w:val="-17"/>
          <w:w w:val="95"/>
        </w:rPr>
        <w:t> </w:t>
      </w:r>
      <w:r>
        <w:rPr>
          <w:i/>
          <w:color w:val="231F20"/>
          <w:w w:val="95"/>
        </w:rPr>
        <w:t>lo</w:t>
      </w:r>
      <w:r>
        <w:rPr>
          <w:i/>
          <w:color w:val="231F20"/>
          <w:spacing w:val="-17"/>
          <w:w w:val="95"/>
        </w:rPr>
        <w:t> </w:t>
      </w:r>
      <w:r>
        <w:rPr>
          <w:i/>
          <w:color w:val="231F20"/>
          <w:spacing w:val="3"/>
          <w:w w:val="95"/>
        </w:rPr>
        <w:t>constituyen </w:t>
      </w:r>
      <w:r>
        <w:rPr>
          <w:color w:val="231F20"/>
          <w:spacing w:val="2"/>
        </w:rPr>
        <w:t>[cursivas mías]”, quizá ante </w:t>
      </w:r>
      <w:r>
        <w:rPr>
          <w:color w:val="231F20"/>
        </w:rPr>
        <w:t>la </w:t>
      </w:r>
      <w:r>
        <w:rPr>
          <w:color w:val="231F20"/>
          <w:spacing w:val="2"/>
        </w:rPr>
        <w:t>sorpresa </w:t>
      </w:r>
      <w:r>
        <w:rPr>
          <w:color w:val="231F20"/>
        </w:rPr>
        <w:t>del </w:t>
      </w:r>
      <w:r>
        <w:rPr>
          <w:color w:val="231F20"/>
          <w:spacing w:val="2"/>
        </w:rPr>
        <w:t>director, </w:t>
      </w:r>
      <w:r>
        <w:rPr>
          <w:color w:val="231F20"/>
        </w:rPr>
        <w:t>y lo </w:t>
      </w:r>
      <w:r>
        <w:rPr>
          <w:color w:val="231F20"/>
          <w:spacing w:val="2"/>
        </w:rPr>
        <w:t>que resul- </w:t>
      </w:r>
      <w:r>
        <w:rPr>
          <w:color w:val="231F20"/>
        </w:rPr>
        <w:t>ta </w:t>
      </w:r>
      <w:r>
        <w:rPr>
          <w:color w:val="231F20"/>
          <w:spacing w:val="2"/>
        </w:rPr>
        <w:t>aún más repentino </w:t>
      </w:r>
      <w:r>
        <w:rPr>
          <w:color w:val="231F20"/>
        </w:rPr>
        <w:t>era su </w:t>
      </w:r>
      <w:r>
        <w:rPr>
          <w:color w:val="231F20"/>
          <w:spacing w:val="2"/>
        </w:rPr>
        <w:t>abierta “protesta respetuosa pero </w:t>
      </w:r>
      <w:r>
        <w:rPr>
          <w:color w:val="231F20"/>
          <w:spacing w:val="3"/>
        </w:rPr>
        <w:t>enérgicamente como </w:t>
      </w:r>
      <w:r>
        <w:rPr>
          <w:color w:val="231F20"/>
          <w:spacing w:val="2"/>
        </w:rPr>
        <w:t>Institutenses [</w:t>
      </w:r>
      <w:r>
        <w:rPr>
          <w:i/>
          <w:color w:val="231F20"/>
          <w:spacing w:val="2"/>
        </w:rPr>
        <w:t>sic</w:t>
      </w:r>
      <w:r>
        <w:rPr>
          <w:color w:val="231F20"/>
          <w:spacing w:val="2"/>
        </w:rPr>
        <w:t>] por tratar </w:t>
      </w:r>
      <w:r>
        <w:rPr>
          <w:color w:val="231F20"/>
        </w:rPr>
        <w:t>de </w:t>
      </w:r>
      <w:r>
        <w:rPr>
          <w:color w:val="231F20"/>
          <w:spacing w:val="2"/>
        </w:rPr>
        <w:t>obligarlos </w:t>
      </w:r>
      <w:r>
        <w:rPr>
          <w:color w:val="231F20"/>
        </w:rPr>
        <w:t>a </w:t>
      </w:r>
      <w:r>
        <w:rPr>
          <w:color w:val="231F20"/>
          <w:spacing w:val="2"/>
        </w:rPr>
        <w:t>impartir sus cátedras </w:t>
      </w:r>
      <w:r>
        <w:rPr>
          <w:color w:val="231F20"/>
        </w:rPr>
        <w:t>en un </w:t>
      </w:r>
      <w:r>
        <w:rPr>
          <w:color w:val="231F20"/>
          <w:spacing w:val="2"/>
        </w:rPr>
        <w:t>local </w:t>
      </w:r>
      <w:r>
        <w:rPr>
          <w:color w:val="231F20"/>
          <w:spacing w:val="3"/>
        </w:rPr>
        <w:t>totalmente </w:t>
      </w:r>
      <w:r>
        <w:rPr>
          <w:color w:val="231F20"/>
          <w:spacing w:val="2"/>
        </w:rPr>
        <w:t>extraño </w:t>
      </w:r>
      <w:r>
        <w:rPr>
          <w:color w:val="231F20"/>
        </w:rPr>
        <w:t>y sin </w:t>
      </w:r>
      <w:r>
        <w:rPr>
          <w:color w:val="231F20"/>
          <w:spacing w:val="2"/>
        </w:rPr>
        <w:t>ningún historial </w:t>
      </w:r>
      <w:r>
        <w:rPr>
          <w:color w:val="231F20"/>
        </w:rPr>
        <w:t>a su </w:t>
      </w:r>
      <w:r>
        <w:rPr>
          <w:color w:val="231F20"/>
          <w:spacing w:val="2"/>
        </w:rPr>
        <w:t>casa </w:t>
      </w:r>
      <w:r>
        <w:rPr>
          <w:color w:val="231F20"/>
        </w:rPr>
        <w:t>de </w:t>
      </w:r>
      <w:r>
        <w:rPr>
          <w:color w:val="231F20"/>
          <w:spacing w:val="2"/>
        </w:rPr>
        <w:t>estudios”, calificando </w:t>
      </w:r>
      <w:r>
        <w:rPr>
          <w:color w:val="231F20"/>
        </w:rPr>
        <w:t>esa </w:t>
      </w:r>
      <w:r>
        <w:rPr>
          <w:color w:val="231F20"/>
          <w:spacing w:val="2"/>
        </w:rPr>
        <w:t>decisión </w:t>
      </w:r>
      <w:r>
        <w:rPr>
          <w:color w:val="231F20"/>
          <w:spacing w:val="3"/>
        </w:rPr>
        <w:t>como </w:t>
      </w:r>
      <w:r>
        <w:rPr>
          <w:color w:val="231F20"/>
        </w:rPr>
        <w:t>un </w:t>
      </w:r>
      <w:r>
        <w:rPr>
          <w:color w:val="231F20"/>
          <w:spacing w:val="2"/>
        </w:rPr>
        <w:t>acto </w:t>
      </w:r>
      <w:r>
        <w:rPr>
          <w:color w:val="231F20"/>
        </w:rPr>
        <w:t>que se </w:t>
      </w:r>
      <w:r>
        <w:rPr>
          <w:color w:val="231F20"/>
          <w:spacing w:val="2"/>
        </w:rPr>
        <w:t>separaba </w:t>
      </w:r>
      <w:r>
        <w:rPr>
          <w:color w:val="231F20"/>
        </w:rPr>
        <w:t>de </w:t>
      </w:r>
      <w:r>
        <w:rPr>
          <w:color w:val="231F20"/>
          <w:spacing w:val="2"/>
        </w:rPr>
        <w:t>toda </w:t>
      </w:r>
      <w:r>
        <w:rPr>
          <w:color w:val="231F20"/>
          <w:spacing w:val="3"/>
        </w:rPr>
        <w:t>norma </w:t>
      </w:r>
      <w:r>
        <w:rPr>
          <w:color w:val="231F20"/>
          <w:spacing w:val="2"/>
        </w:rPr>
        <w:t>legal, </w:t>
      </w:r>
      <w:r>
        <w:rPr>
          <w:color w:val="231F20"/>
        </w:rPr>
        <w:t>lo que </w:t>
      </w:r>
      <w:r>
        <w:rPr>
          <w:color w:val="231F20"/>
          <w:spacing w:val="2"/>
        </w:rPr>
        <w:t>despejaba cual- quier duda sobre </w:t>
      </w:r>
      <w:r>
        <w:rPr>
          <w:color w:val="231F20"/>
        </w:rPr>
        <w:t>su </w:t>
      </w:r>
      <w:r>
        <w:rPr>
          <w:color w:val="231F20"/>
          <w:spacing w:val="3"/>
        </w:rPr>
        <w:t>postura(AHUAEM, </w:t>
      </w:r>
      <w:r>
        <w:rPr>
          <w:color w:val="231F20"/>
        </w:rPr>
        <w:t>c. </w:t>
      </w:r>
      <w:r>
        <w:rPr>
          <w:color w:val="231F20"/>
          <w:spacing w:val="2"/>
        </w:rPr>
        <w:t>206, exp. 7111,</w:t>
      </w:r>
      <w:r>
        <w:rPr>
          <w:color w:val="231F20"/>
        </w:rPr>
        <w:t> </w:t>
      </w:r>
      <w:r>
        <w:rPr>
          <w:color w:val="231F20"/>
          <w:spacing w:val="2"/>
        </w:rPr>
        <w:t>1940).</w:t>
      </w:r>
    </w:p>
    <w:p>
      <w:pPr>
        <w:pStyle w:val="BodyText"/>
        <w:spacing w:line="249" w:lineRule="auto"/>
        <w:ind w:left="102" w:right="115" w:firstLine="284"/>
        <w:jc w:val="both"/>
      </w:pPr>
      <w:r>
        <w:rPr>
          <w:color w:val="231F20"/>
        </w:rPr>
        <w:t>Es decir, esos profesores reivindicaban dos elementos fundamen- tales del orden escolar legítimo: primero, la representación legal que otorgaban en su condición de catedráticos depositada en una instan- cia académica, el Consejo Directivo, pero que al no estar integrada por otras representaciones igualmente reconocidas, en este caso de los estudiantes, no podía considerarse como plenamente constituido, y,</w:t>
      </w:r>
      <w:r>
        <w:rPr>
          <w:color w:val="231F20"/>
          <w:spacing w:val="-15"/>
        </w:rPr>
        <w:t> </w:t>
      </w:r>
      <w:r>
        <w:rPr>
          <w:color w:val="231F20"/>
        </w:rPr>
        <w:t>segundo,</w:t>
      </w:r>
      <w:r>
        <w:rPr>
          <w:color w:val="231F20"/>
          <w:spacing w:val="-15"/>
        </w:rPr>
        <w:t> </w:t>
      </w:r>
      <w:r>
        <w:rPr>
          <w:color w:val="231F20"/>
        </w:rPr>
        <w:t>la</w:t>
      </w:r>
      <w:r>
        <w:rPr>
          <w:color w:val="231F20"/>
          <w:spacing w:val="-15"/>
        </w:rPr>
        <w:t> </w:t>
      </w:r>
      <w:r>
        <w:rPr>
          <w:color w:val="231F20"/>
        </w:rPr>
        <w:t>identidad</w:t>
      </w:r>
      <w:r>
        <w:rPr>
          <w:color w:val="231F20"/>
          <w:spacing w:val="-14"/>
        </w:rPr>
        <w:t> </w:t>
      </w:r>
      <w:r>
        <w:rPr>
          <w:color w:val="231F20"/>
        </w:rPr>
        <w:t>material</w:t>
      </w:r>
      <w:r>
        <w:rPr>
          <w:color w:val="231F20"/>
          <w:spacing w:val="-15"/>
        </w:rPr>
        <w:t> </w:t>
      </w:r>
      <w:r>
        <w:rPr>
          <w:color w:val="231F20"/>
        </w:rPr>
        <w:t>y</w:t>
      </w:r>
      <w:r>
        <w:rPr>
          <w:color w:val="231F20"/>
          <w:spacing w:val="-14"/>
        </w:rPr>
        <w:t> </w:t>
      </w:r>
      <w:r>
        <w:rPr>
          <w:color w:val="231F20"/>
        </w:rPr>
        <w:t>simbólica</w:t>
      </w:r>
      <w:r>
        <w:rPr>
          <w:color w:val="231F20"/>
          <w:spacing w:val="-15"/>
        </w:rPr>
        <w:t> </w:t>
      </w:r>
      <w:r>
        <w:rPr>
          <w:color w:val="231F20"/>
        </w:rPr>
        <w:t>que</w:t>
      </w:r>
      <w:r>
        <w:rPr>
          <w:color w:val="231F20"/>
          <w:spacing w:val="-14"/>
        </w:rPr>
        <w:t> </w:t>
      </w:r>
      <w:r>
        <w:rPr>
          <w:color w:val="231F20"/>
        </w:rPr>
        <w:t>simbolizaba</w:t>
      </w:r>
      <w:r>
        <w:rPr>
          <w:color w:val="231F20"/>
          <w:spacing w:val="-15"/>
        </w:rPr>
        <w:t> </w:t>
      </w:r>
      <w:r>
        <w:rPr>
          <w:color w:val="231F20"/>
        </w:rPr>
        <w:t>el</w:t>
      </w:r>
      <w:r>
        <w:rPr>
          <w:color w:val="231F20"/>
          <w:spacing w:val="-15"/>
        </w:rPr>
        <w:t> </w:t>
      </w:r>
      <w:r>
        <w:rPr>
          <w:color w:val="231F20"/>
        </w:rPr>
        <w:t>edifi- cio</w:t>
      </w:r>
      <w:r>
        <w:rPr>
          <w:color w:val="231F20"/>
          <w:spacing w:val="-6"/>
        </w:rPr>
        <w:t> </w:t>
      </w:r>
      <w:r>
        <w:rPr>
          <w:color w:val="231F20"/>
        </w:rPr>
        <w:t>escolar</w:t>
      </w:r>
      <w:r>
        <w:rPr>
          <w:color w:val="231F20"/>
          <w:spacing w:val="-7"/>
        </w:rPr>
        <w:t> </w:t>
      </w:r>
      <w:r>
        <w:rPr>
          <w:color w:val="231F20"/>
        </w:rPr>
        <w:t>como</w:t>
      </w:r>
      <w:r>
        <w:rPr>
          <w:color w:val="231F20"/>
          <w:spacing w:val="-6"/>
        </w:rPr>
        <w:t> </w:t>
      </w:r>
      <w:r>
        <w:rPr>
          <w:color w:val="231F20"/>
        </w:rPr>
        <w:t>lugar</w:t>
      </w:r>
      <w:r>
        <w:rPr>
          <w:color w:val="231F20"/>
          <w:spacing w:val="-7"/>
        </w:rPr>
        <w:t> </w:t>
      </w:r>
      <w:r>
        <w:rPr>
          <w:color w:val="231F20"/>
        </w:rPr>
        <w:t>de</w:t>
      </w:r>
      <w:r>
        <w:rPr>
          <w:color w:val="231F20"/>
          <w:spacing w:val="-6"/>
        </w:rPr>
        <w:t> </w:t>
      </w:r>
      <w:r>
        <w:rPr>
          <w:color w:val="231F20"/>
        </w:rPr>
        <w:t>trabajo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tradición</w:t>
      </w:r>
      <w:r>
        <w:rPr>
          <w:color w:val="231F20"/>
          <w:spacing w:val="-6"/>
        </w:rPr>
        <w:t> </w:t>
      </w:r>
      <w:r>
        <w:rPr>
          <w:color w:val="231F20"/>
        </w:rPr>
        <w:t>pedagógica.</w:t>
      </w:r>
      <w:r>
        <w:rPr>
          <w:color w:val="231F20"/>
          <w:spacing w:val="-7"/>
        </w:rPr>
        <w:t> </w:t>
      </w:r>
      <w:r>
        <w:rPr>
          <w:color w:val="231F20"/>
        </w:rPr>
        <w:t>En</w:t>
      </w:r>
      <w:r>
        <w:rPr>
          <w:color w:val="231F20"/>
          <w:spacing w:val="-6"/>
        </w:rPr>
        <w:t> </w:t>
      </w:r>
      <w:r>
        <w:rPr>
          <w:color w:val="231F20"/>
        </w:rPr>
        <w:t>efec- to, al fijar su protesta contra la decisión de trasladarse a otras instala- ciones para realizar sus actividades, expresaban un rechazo a la vio- lencia o, al menos, a la arbitrariedad con que la autoridad trataba de imponer y, que por añadidura, desconocía los actos de la misma po- niéndola en entredicho. Es cierto que se trató de una ruptura transi- toria</w:t>
      </w:r>
      <w:r>
        <w:rPr>
          <w:color w:val="231F20"/>
          <w:spacing w:val="-5"/>
        </w:rPr>
        <w:t> </w:t>
      </w:r>
      <w:r>
        <w:rPr>
          <w:color w:val="231F20"/>
        </w:rPr>
        <w:t>del</w:t>
      </w:r>
      <w:r>
        <w:rPr>
          <w:color w:val="231F20"/>
          <w:spacing w:val="-6"/>
        </w:rPr>
        <w:t> </w:t>
      </w:r>
      <w:r>
        <w:rPr>
          <w:color w:val="231F20"/>
        </w:rPr>
        <w:t>orden</w:t>
      </w:r>
      <w:r>
        <w:rPr>
          <w:color w:val="231F20"/>
          <w:spacing w:val="-5"/>
        </w:rPr>
        <w:t> </w:t>
      </w:r>
      <w:r>
        <w:rPr>
          <w:color w:val="231F20"/>
        </w:rPr>
        <w:t>legal</w:t>
      </w:r>
      <w:r>
        <w:rPr>
          <w:color w:val="231F20"/>
          <w:spacing w:val="-6"/>
        </w:rPr>
        <w:t> </w:t>
      </w:r>
      <w:r>
        <w:rPr>
          <w:color w:val="231F20"/>
        </w:rPr>
        <w:t>y</w:t>
      </w:r>
      <w:r>
        <w:rPr>
          <w:color w:val="231F20"/>
          <w:spacing w:val="-5"/>
        </w:rPr>
        <w:t> </w:t>
      </w:r>
      <w:r>
        <w:rPr>
          <w:color w:val="231F20"/>
        </w:rPr>
        <w:t>legítimo</w:t>
      </w:r>
      <w:r>
        <w:rPr>
          <w:color w:val="231F20"/>
          <w:spacing w:val="-5"/>
        </w:rPr>
        <w:t> </w:t>
      </w:r>
      <w:r>
        <w:rPr>
          <w:color w:val="231F20"/>
        </w:rPr>
        <w:t>que</w:t>
      </w:r>
      <w:r>
        <w:rPr>
          <w:color w:val="231F20"/>
          <w:spacing w:val="-5"/>
        </w:rPr>
        <w:t> </w:t>
      </w:r>
      <w:r>
        <w:rPr>
          <w:color w:val="231F20"/>
        </w:rPr>
        <w:t>tendría</w:t>
      </w:r>
      <w:r>
        <w:rPr>
          <w:color w:val="231F20"/>
          <w:spacing w:val="-5"/>
        </w:rPr>
        <w:t> </w:t>
      </w:r>
      <w:r>
        <w:rPr>
          <w:color w:val="231F20"/>
        </w:rPr>
        <w:t>que</w:t>
      </w:r>
      <w:r>
        <w:rPr>
          <w:color w:val="231F20"/>
          <w:spacing w:val="-5"/>
        </w:rPr>
        <w:t> </w:t>
      </w:r>
      <w:r>
        <w:rPr>
          <w:color w:val="231F20"/>
        </w:rPr>
        <w:t>resolverse</w:t>
      </w:r>
      <w:r>
        <w:rPr>
          <w:color w:val="231F20"/>
          <w:spacing w:val="-5"/>
        </w:rPr>
        <w:t> </w:t>
      </w:r>
      <w:r>
        <w:rPr>
          <w:color w:val="231F20"/>
        </w:rPr>
        <w:t>a</w:t>
      </w:r>
      <w:r>
        <w:rPr>
          <w:color w:val="231F20"/>
          <w:spacing w:val="-5"/>
        </w:rPr>
        <w:t> </w:t>
      </w:r>
      <w:r>
        <w:rPr>
          <w:color w:val="231F20"/>
        </w:rPr>
        <w:t>riesgo</w:t>
      </w:r>
      <w:r>
        <w:rPr>
          <w:color w:val="231F20"/>
          <w:spacing w:val="-5"/>
        </w:rPr>
        <w:t> </w:t>
      </w:r>
      <w:r>
        <w:rPr>
          <w:color w:val="231F20"/>
        </w:rPr>
        <w:t>de poner en peligro la continuidad de la institución educativa. De ahí que, para restablecer el orden académico fuera necesario la renuncia del director González Vargas, tal y como ocurrió a los pocos días, el 30 de abril. En una reunión de los profesoresy catedráticos del Insti- tuto, se informó que el gobernador del estado había conocido de la renuncia de González y que en uso de sus atribuciones había pro- puesto al Consejo Directivo que fuera nombrado a cargo un antiguo estudiante</w:t>
      </w:r>
      <w:r>
        <w:rPr>
          <w:color w:val="231F20"/>
          <w:spacing w:val="-10"/>
        </w:rPr>
        <w:t> </w:t>
      </w:r>
      <w:r>
        <w:rPr>
          <w:color w:val="231F20"/>
        </w:rPr>
        <w:t>y</w:t>
      </w:r>
      <w:r>
        <w:rPr>
          <w:color w:val="231F20"/>
          <w:spacing w:val="-10"/>
        </w:rPr>
        <w:t> </w:t>
      </w:r>
      <w:r>
        <w:rPr>
          <w:color w:val="231F20"/>
        </w:rPr>
        <w:t>profesor</w:t>
      </w:r>
      <w:r>
        <w:rPr>
          <w:color w:val="231F20"/>
          <w:spacing w:val="-11"/>
        </w:rPr>
        <w:t> </w:t>
      </w:r>
      <w:r>
        <w:rPr>
          <w:color w:val="231F20"/>
        </w:rPr>
        <w:t>del</w:t>
      </w:r>
      <w:r>
        <w:rPr>
          <w:color w:val="231F20"/>
          <w:spacing w:val="-11"/>
        </w:rPr>
        <w:t> </w:t>
      </w:r>
      <w:r>
        <w:rPr>
          <w:color w:val="231F20"/>
        </w:rPr>
        <w:t>Instituto,</w:t>
      </w:r>
      <w:r>
        <w:rPr>
          <w:color w:val="231F20"/>
          <w:spacing w:val="-11"/>
        </w:rPr>
        <w:t> </w:t>
      </w:r>
      <w:r>
        <w:rPr>
          <w:color w:val="231F20"/>
        </w:rPr>
        <w:t>el</w:t>
      </w:r>
      <w:r>
        <w:rPr>
          <w:color w:val="231F20"/>
          <w:spacing w:val="-11"/>
        </w:rPr>
        <w:t> </w:t>
      </w:r>
      <w:r>
        <w:rPr>
          <w:color w:val="231F20"/>
        </w:rPr>
        <w:t>Lic.</w:t>
      </w:r>
      <w:r>
        <w:rPr>
          <w:color w:val="231F20"/>
          <w:spacing w:val="-11"/>
        </w:rPr>
        <w:t> </w:t>
      </w:r>
      <w:r>
        <w:rPr>
          <w:color w:val="231F20"/>
        </w:rPr>
        <w:t>Alfonso</w:t>
      </w:r>
      <w:r>
        <w:rPr>
          <w:color w:val="231F20"/>
          <w:spacing w:val="-10"/>
        </w:rPr>
        <w:t> </w:t>
      </w:r>
      <w:r>
        <w:rPr>
          <w:color w:val="231F20"/>
        </w:rPr>
        <w:t>Ortega.</w:t>
      </w:r>
    </w:p>
    <w:p>
      <w:pPr>
        <w:pStyle w:val="BodyText"/>
        <w:spacing w:line="247" w:lineRule="auto"/>
        <w:ind w:left="102" w:right="115" w:firstLine="284"/>
        <w:jc w:val="both"/>
      </w:pPr>
      <w:r>
        <w:rPr>
          <w:color w:val="231F20"/>
        </w:rPr>
        <w:t>Una vez aprobada la propuesta, Ortega reconoció de inmediato que el plantel escolar enfrentaba dificultades que tenían que ser re- sueltas mediante la creación de instancias debidamente reconocidas por las normas legales y que garantizaran la vuelta a la  </w:t>
      </w:r>
      <w:r>
        <w:rPr>
          <w:color w:val="231F20"/>
          <w:spacing w:val="51"/>
        </w:rPr>
        <w:t> </w:t>
      </w:r>
      <w:r>
        <w:rPr>
          <w:color w:val="231F20"/>
        </w:rPr>
        <w:t>normalidad</w:t>
      </w:r>
    </w:p>
    <w:p>
      <w:pPr>
        <w:spacing w:after="0" w:line="247" w:lineRule="auto"/>
        <w:jc w:val="both"/>
        <w:sectPr>
          <w:headerReference w:type="default" r:id="rId286"/>
          <w:footerReference w:type="default" r:id="rId287"/>
          <w:pgSz w:w="7830" w:h="11910"/>
          <w:pgMar w:header="0" w:footer="424" w:top="500" w:bottom="620" w:left="920" w:right="900"/>
          <w:pgNumType w:start="13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5"/>
        <w:jc w:val="both"/>
      </w:pPr>
      <w:r>
        <w:rPr>
          <w:color w:val="231F20"/>
        </w:rPr>
        <w:t>escolar. Ortega anunció que había planteado la creación de una ins- tancia que se avocara en atender y solucionar un tema que había sido de especial preocupación para las autoridades desde hacía ya varios años, el problema de la disciplina, “tarea de hacer frente a (esta) si- tuación de todos conocida”, en realidad era un eufemismo para no decir</w:t>
      </w:r>
      <w:r>
        <w:rPr>
          <w:color w:val="231F20"/>
          <w:spacing w:val="-10"/>
        </w:rPr>
        <w:t> </w:t>
      </w:r>
      <w:r>
        <w:rPr>
          <w:color w:val="231F20"/>
        </w:rPr>
        <w:t>de</w:t>
      </w:r>
      <w:r>
        <w:rPr>
          <w:color w:val="231F20"/>
          <w:spacing w:val="-10"/>
        </w:rPr>
        <w:t> </w:t>
      </w:r>
      <w:r>
        <w:rPr>
          <w:color w:val="231F20"/>
        </w:rPr>
        <w:t>indisciplina</w:t>
      </w:r>
      <w:r>
        <w:rPr>
          <w:color w:val="231F20"/>
          <w:spacing w:val="-10"/>
        </w:rPr>
        <w:t> </w:t>
      </w:r>
      <w:r>
        <w:rPr>
          <w:color w:val="231F20"/>
        </w:rPr>
        <w:t>y</w:t>
      </w:r>
      <w:r>
        <w:rPr>
          <w:color w:val="231F20"/>
          <w:spacing w:val="-10"/>
        </w:rPr>
        <w:t> </w:t>
      </w:r>
      <w:r>
        <w:rPr>
          <w:color w:val="231F20"/>
        </w:rPr>
        <w:t>desorden.</w:t>
      </w:r>
      <w:r>
        <w:rPr>
          <w:color w:val="231F20"/>
          <w:spacing w:val="-10"/>
        </w:rPr>
        <w:t> </w:t>
      </w:r>
      <w:r>
        <w:rPr>
          <w:color w:val="231F20"/>
        </w:rPr>
        <w:t>En</w:t>
      </w:r>
      <w:r>
        <w:rPr>
          <w:color w:val="231F20"/>
          <w:spacing w:val="-10"/>
        </w:rPr>
        <w:t> </w:t>
      </w:r>
      <w:r>
        <w:rPr>
          <w:color w:val="231F20"/>
        </w:rPr>
        <w:t>todo</w:t>
      </w:r>
      <w:r>
        <w:rPr>
          <w:color w:val="231F20"/>
          <w:spacing w:val="-10"/>
        </w:rPr>
        <w:t> </w:t>
      </w:r>
      <w:r>
        <w:rPr>
          <w:color w:val="231F20"/>
        </w:rPr>
        <w:t>caso,</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flamante</w:t>
      </w:r>
      <w:r>
        <w:rPr>
          <w:color w:val="231F20"/>
          <w:spacing w:val="-10"/>
        </w:rPr>
        <w:t> </w:t>
      </w:r>
      <w:r>
        <w:rPr>
          <w:color w:val="231F20"/>
        </w:rPr>
        <w:t>direc- tor Ortega, el meollo del asunto que demandaba el mayor escrúpulo posible, cual significaba por lo pronto recuperar la imagen del direc- tor.</w:t>
      </w:r>
      <w:r>
        <w:rPr>
          <w:color w:val="231F20"/>
          <w:spacing w:val="-9"/>
        </w:rPr>
        <w:t> </w:t>
      </w:r>
      <w:r>
        <w:rPr>
          <w:color w:val="231F20"/>
        </w:rPr>
        <w:t>En</w:t>
      </w:r>
      <w:r>
        <w:rPr>
          <w:color w:val="231F20"/>
          <w:spacing w:val="-8"/>
        </w:rPr>
        <w:t> </w:t>
      </w:r>
      <w:r>
        <w:rPr>
          <w:color w:val="231F20"/>
        </w:rPr>
        <w:t>primer</w:t>
      </w:r>
      <w:r>
        <w:rPr>
          <w:color w:val="231F20"/>
          <w:spacing w:val="-9"/>
        </w:rPr>
        <w:t> </w:t>
      </w:r>
      <w:r>
        <w:rPr>
          <w:color w:val="231F20"/>
        </w:rPr>
        <w:t>lugar,</w:t>
      </w:r>
      <w:r>
        <w:rPr>
          <w:color w:val="231F20"/>
          <w:spacing w:val="-9"/>
        </w:rPr>
        <w:t> </w:t>
      </w:r>
      <w:r>
        <w:rPr>
          <w:color w:val="231F20"/>
        </w:rPr>
        <w:t>había</w:t>
      </w:r>
      <w:r>
        <w:rPr>
          <w:color w:val="231F20"/>
          <w:spacing w:val="-9"/>
        </w:rPr>
        <w:t> </w:t>
      </w:r>
      <w:r>
        <w:rPr>
          <w:color w:val="231F20"/>
        </w:rPr>
        <w:t>que</w:t>
      </w:r>
      <w:r>
        <w:rPr>
          <w:color w:val="231F20"/>
          <w:spacing w:val="-8"/>
        </w:rPr>
        <w:t> </w:t>
      </w:r>
      <w:r>
        <w:rPr>
          <w:color w:val="231F20"/>
        </w:rPr>
        <w:t>restablecer</w:t>
      </w:r>
      <w:r>
        <w:rPr>
          <w:color w:val="231F20"/>
          <w:spacing w:val="-9"/>
        </w:rPr>
        <w:t> </w:t>
      </w:r>
      <w:r>
        <w:rPr>
          <w:color w:val="231F20"/>
        </w:rPr>
        <w:t>lo</w:t>
      </w:r>
      <w:r>
        <w:rPr>
          <w:color w:val="231F20"/>
          <w:spacing w:val="-8"/>
        </w:rPr>
        <w:t> </w:t>
      </w:r>
      <w:r>
        <w:rPr>
          <w:color w:val="231F20"/>
        </w:rPr>
        <w:t>que</w:t>
      </w:r>
      <w:r>
        <w:rPr>
          <w:color w:val="231F20"/>
          <w:spacing w:val="-8"/>
        </w:rPr>
        <w:t> </w:t>
      </w:r>
      <w:r>
        <w:rPr>
          <w:color w:val="231F20"/>
        </w:rPr>
        <w:t>Bourdieu</w:t>
      </w:r>
      <w:r>
        <w:rPr>
          <w:color w:val="231F20"/>
          <w:spacing w:val="-8"/>
        </w:rPr>
        <w:t> </w:t>
      </w:r>
      <w:r>
        <w:rPr>
          <w:color w:val="231F20"/>
        </w:rPr>
        <w:t>denomina las conveniencias colectivas y las censuras lingüísticas. En la sesión con los profesores reivindicó en primer lugar su “cariño por el Insti- tuto”, el cual lo comprometía a “desarrollar una labor de disciplina y de</w:t>
      </w:r>
      <w:r>
        <w:rPr>
          <w:color w:val="231F20"/>
          <w:spacing w:val="-5"/>
        </w:rPr>
        <w:t> </w:t>
      </w:r>
      <w:r>
        <w:rPr>
          <w:color w:val="231F20"/>
        </w:rPr>
        <w:t>amor</w:t>
      </w:r>
      <w:r>
        <w:rPr>
          <w:color w:val="231F20"/>
          <w:spacing w:val="-5"/>
        </w:rPr>
        <w:t> </w:t>
      </w:r>
      <w:r>
        <w:rPr>
          <w:color w:val="231F20"/>
        </w:rPr>
        <w:t>al</w:t>
      </w:r>
      <w:r>
        <w:rPr>
          <w:color w:val="231F20"/>
          <w:spacing w:val="-5"/>
        </w:rPr>
        <w:t> </w:t>
      </w:r>
      <w:r>
        <w:rPr>
          <w:color w:val="231F20"/>
        </w:rPr>
        <w:t>trabajo”,</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modificó</w:t>
      </w:r>
      <w:r>
        <w:rPr>
          <w:color w:val="231F20"/>
          <w:spacing w:val="-5"/>
        </w:rPr>
        <w:t> </w:t>
      </w:r>
      <w:r>
        <w:rPr>
          <w:color w:val="231F20"/>
        </w:rPr>
        <w:t>el</w:t>
      </w:r>
      <w:r>
        <w:rPr>
          <w:color w:val="231F20"/>
          <w:spacing w:val="-5"/>
        </w:rPr>
        <w:t> </w:t>
      </w:r>
      <w:r>
        <w:rPr>
          <w:color w:val="231F20"/>
        </w:rPr>
        <w:t>lenguaje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violencia</w:t>
      </w:r>
      <w:r>
        <w:rPr>
          <w:color w:val="231F20"/>
          <w:spacing w:val="-5"/>
        </w:rPr>
        <w:t> </w:t>
      </w:r>
      <w:r>
        <w:rPr>
          <w:color w:val="231F20"/>
        </w:rPr>
        <w:t>por el</w:t>
      </w:r>
      <w:r>
        <w:rPr>
          <w:color w:val="231F20"/>
          <w:spacing w:val="-13"/>
        </w:rPr>
        <w:t> </w:t>
      </w:r>
      <w:r>
        <w:rPr>
          <w:color w:val="231F20"/>
        </w:rPr>
        <w:t>lenguaje</w:t>
      </w:r>
      <w:r>
        <w:rPr>
          <w:color w:val="231F20"/>
          <w:spacing w:val="-13"/>
        </w:rPr>
        <w:t> </w:t>
      </w:r>
      <w:r>
        <w:rPr>
          <w:color w:val="231F20"/>
        </w:rPr>
        <w:t>del</w:t>
      </w:r>
      <w:r>
        <w:rPr>
          <w:color w:val="231F20"/>
          <w:spacing w:val="-13"/>
        </w:rPr>
        <w:t> </w:t>
      </w:r>
      <w:r>
        <w:rPr>
          <w:color w:val="231F20"/>
        </w:rPr>
        <w:t>trabajo</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conciliación.</w:t>
      </w:r>
      <w:r>
        <w:rPr>
          <w:color w:val="231F20"/>
          <w:spacing w:val="-13"/>
        </w:rPr>
        <w:t> </w:t>
      </w:r>
      <w:r>
        <w:rPr>
          <w:color w:val="231F20"/>
        </w:rPr>
        <w:t>En</w:t>
      </w:r>
      <w:r>
        <w:rPr>
          <w:color w:val="231F20"/>
          <w:spacing w:val="-13"/>
        </w:rPr>
        <w:t> </w:t>
      </w:r>
      <w:r>
        <w:rPr>
          <w:color w:val="231F20"/>
        </w:rPr>
        <w:t>esa</w:t>
      </w:r>
      <w:r>
        <w:rPr>
          <w:color w:val="231F20"/>
          <w:spacing w:val="-13"/>
        </w:rPr>
        <w:t> </w:t>
      </w:r>
      <w:r>
        <w:rPr>
          <w:color w:val="231F20"/>
        </w:rPr>
        <w:t>dirección,</w:t>
      </w:r>
      <w:r>
        <w:rPr>
          <w:color w:val="231F20"/>
          <w:spacing w:val="-13"/>
        </w:rPr>
        <w:t> </w:t>
      </w:r>
      <w:r>
        <w:rPr>
          <w:color w:val="231F20"/>
        </w:rPr>
        <w:t>recordó</w:t>
      </w:r>
      <w:r>
        <w:rPr>
          <w:color w:val="231F20"/>
          <w:spacing w:val="-13"/>
        </w:rPr>
        <w:t> </w:t>
      </w:r>
      <w:r>
        <w:rPr>
          <w:color w:val="231F20"/>
        </w:rPr>
        <w:t>que ya había ocupado el cargo, pero “ahora obraría con más serenidad pues</w:t>
      </w:r>
      <w:r>
        <w:rPr>
          <w:color w:val="231F20"/>
          <w:spacing w:val="-10"/>
        </w:rPr>
        <w:t> </w:t>
      </w:r>
      <w:r>
        <w:rPr>
          <w:color w:val="231F20"/>
        </w:rPr>
        <w:t>ya</w:t>
      </w:r>
      <w:r>
        <w:rPr>
          <w:color w:val="231F20"/>
          <w:spacing w:val="-10"/>
        </w:rPr>
        <w:t> </w:t>
      </w:r>
      <w:r>
        <w:rPr>
          <w:color w:val="231F20"/>
        </w:rPr>
        <w:t>que</w:t>
      </w:r>
      <w:r>
        <w:rPr>
          <w:color w:val="231F20"/>
          <w:spacing w:val="-10"/>
        </w:rPr>
        <w:t> </w:t>
      </w:r>
      <w:r>
        <w:rPr>
          <w:color w:val="231F20"/>
        </w:rPr>
        <w:t>tenía</w:t>
      </w:r>
      <w:r>
        <w:rPr>
          <w:color w:val="231F20"/>
          <w:spacing w:val="-10"/>
        </w:rPr>
        <w:t> </w:t>
      </w:r>
      <w:r>
        <w:rPr>
          <w:color w:val="231F20"/>
        </w:rPr>
        <w:t>muchas</w:t>
      </w:r>
      <w:r>
        <w:rPr>
          <w:color w:val="231F20"/>
          <w:spacing w:val="-10"/>
        </w:rPr>
        <w:t> </w:t>
      </w:r>
      <w:r>
        <w:rPr>
          <w:color w:val="231F20"/>
        </w:rPr>
        <w:t>experiencias”</w:t>
      </w:r>
      <w:r>
        <w:rPr>
          <w:color w:val="231F20"/>
          <w:spacing w:val="-9"/>
        </w:rPr>
        <w:t> </w:t>
      </w:r>
      <w:r>
        <w:rPr>
          <w:color w:val="231F20"/>
        </w:rPr>
        <w:t>para,</w:t>
      </w:r>
      <w:r>
        <w:rPr>
          <w:color w:val="231F20"/>
          <w:spacing w:val="-11"/>
        </w:rPr>
        <w:t> </w:t>
      </w:r>
      <w:r>
        <w:rPr>
          <w:color w:val="231F20"/>
        </w:rPr>
        <w:t>a</w:t>
      </w:r>
      <w:r>
        <w:rPr>
          <w:color w:val="231F20"/>
          <w:spacing w:val="-10"/>
        </w:rPr>
        <w:t> </w:t>
      </w:r>
      <w:r>
        <w:rPr>
          <w:color w:val="231F20"/>
        </w:rPr>
        <w:t>continuación,</w:t>
      </w:r>
      <w:r>
        <w:rPr>
          <w:color w:val="231F20"/>
          <w:spacing w:val="-11"/>
        </w:rPr>
        <w:t> </w:t>
      </w:r>
      <w:r>
        <w:rPr>
          <w:color w:val="231F20"/>
        </w:rPr>
        <w:t>advertir que estaba dispuesto a mantener la disciplina” y para ello no dudaría en</w:t>
      </w:r>
      <w:r>
        <w:rPr>
          <w:color w:val="231F20"/>
          <w:spacing w:val="-4"/>
        </w:rPr>
        <w:t> </w:t>
      </w:r>
      <w:r>
        <w:rPr>
          <w:color w:val="231F20"/>
        </w:rPr>
        <w:t>apoyar</w:t>
      </w:r>
      <w:r>
        <w:rPr>
          <w:color w:val="231F20"/>
          <w:spacing w:val="-5"/>
        </w:rPr>
        <w:t> </w:t>
      </w:r>
      <w:r>
        <w:rPr>
          <w:color w:val="231F20"/>
        </w:rPr>
        <w:t>a</w:t>
      </w:r>
      <w:r>
        <w:rPr>
          <w:color w:val="231F20"/>
          <w:spacing w:val="-4"/>
        </w:rPr>
        <w:t> </w:t>
      </w:r>
      <w:r>
        <w:rPr>
          <w:color w:val="231F20"/>
        </w:rPr>
        <w:t>“</w:t>
      </w:r>
      <w:r>
        <w:rPr>
          <w:i/>
          <w:color w:val="231F20"/>
        </w:rPr>
        <w:t>todos</w:t>
      </w:r>
      <w:r>
        <w:rPr>
          <w:i/>
          <w:color w:val="231F20"/>
          <w:spacing w:val="-5"/>
        </w:rPr>
        <w:t> </w:t>
      </w:r>
      <w:r>
        <w:rPr>
          <w:i/>
          <w:color w:val="231F20"/>
        </w:rPr>
        <w:t>los</w:t>
      </w:r>
      <w:r>
        <w:rPr>
          <w:i/>
          <w:color w:val="231F20"/>
          <w:spacing w:val="-5"/>
        </w:rPr>
        <w:t> </w:t>
      </w:r>
      <w:r>
        <w:rPr>
          <w:i/>
          <w:color w:val="231F20"/>
        </w:rPr>
        <w:t>catedráticos</w:t>
      </w:r>
      <w:r>
        <w:rPr>
          <w:i/>
          <w:color w:val="231F20"/>
          <w:spacing w:val="-4"/>
        </w:rPr>
        <w:t> </w:t>
      </w:r>
      <w:r>
        <w:rPr>
          <w:color w:val="231F20"/>
        </w:rPr>
        <w:t>pidiendo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le</w:t>
      </w:r>
      <w:r>
        <w:rPr>
          <w:color w:val="231F20"/>
          <w:spacing w:val="-4"/>
        </w:rPr>
        <w:t> </w:t>
      </w:r>
      <w:r>
        <w:rPr>
          <w:color w:val="231F20"/>
        </w:rPr>
        <w:t>considerara</w:t>
      </w:r>
      <w:r>
        <w:rPr>
          <w:color w:val="231F20"/>
          <w:spacing w:val="-4"/>
        </w:rPr>
        <w:t> </w:t>
      </w:r>
      <w:r>
        <w:rPr>
          <w:color w:val="231F20"/>
        </w:rPr>
        <w:t>no </w:t>
      </w:r>
      <w:r>
        <w:rPr>
          <w:color w:val="231F20"/>
          <w:w w:val="90"/>
        </w:rPr>
        <w:t>como</w:t>
      </w:r>
      <w:r>
        <w:rPr>
          <w:color w:val="231F20"/>
          <w:spacing w:val="-6"/>
          <w:w w:val="90"/>
        </w:rPr>
        <w:t> </w:t>
      </w:r>
      <w:r>
        <w:rPr>
          <w:color w:val="231F20"/>
          <w:w w:val="90"/>
        </w:rPr>
        <w:t>una</w:t>
      </w:r>
      <w:r>
        <w:rPr>
          <w:color w:val="231F20"/>
          <w:spacing w:val="-6"/>
          <w:w w:val="90"/>
        </w:rPr>
        <w:t> </w:t>
      </w:r>
      <w:r>
        <w:rPr>
          <w:i/>
          <w:color w:val="231F20"/>
          <w:w w:val="90"/>
        </w:rPr>
        <w:t>autoridad</w:t>
      </w:r>
      <w:r>
        <w:rPr>
          <w:i/>
          <w:color w:val="231F20"/>
          <w:spacing w:val="-6"/>
          <w:w w:val="90"/>
        </w:rPr>
        <w:t> </w:t>
      </w:r>
      <w:r>
        <w:rPr>
          <w:i/>
          <w:color w:val="231F20"/>
          <w:w w:val="90"/>
        </w:rPr>
        <w:t>sino</w:t>
      </w:r>
      <w:r>
        <w:rPr>
          <w:i/>
          <w:color w:val="231F20"/>
          <w:spacing w:val="-6"/>
          <w:w w:val="90"/>
        </w:rPr>
        <w:t> </w:t>
      </w:r>
      <w:r>
        <w:rPr>
          <w:i/>
          <w:color w:val="231F20"/>
          <w:w w:val="90"/>
        </w:rPr>
        <w:t>como</w:t>
      </w:r>
      <w:r>
        <w:rPr>
          <w:i/>
          <w:color w:val="231F20"/>
          <w:spacing w:val="-6"/>
          <w:w w:val="90"/>
        </w:rPr>
        <w:t> </w:t>
      </w:r>
      <w:r>
        <w:rPr>
          <w:i/>
          <w:color w:val="231F20"/>
          <w:w w:val="90"/>
        </w:rPr>
        <w:t>un</w:t>
      </w:r>
      <w:r>
        <w:rPr>
          <w:i/>
          <w:color w:val="231F20"/>
          <w:spacing w:val="-6"/>
          <w:w w:val="90"/>
        </w:rPr>
        <w:t> </w:t>
      </w:r>
      <w:r>
        <w:rPr>
          <w:i/>
          <w:color w:val="231F20"/>
          <w:w w:val="90"/>
        </w:rPr>
        <w:t>amigo</w:t>
      </w:r>
      <w:r>
        <w:rPr>
          <w:i/>
          <w:color w:val="231F20"/>
          <w:spacing w:val="-5"/>
          <w:w w:val="90"/>
        </w:rPr>
        <w:t> </w:t>
      </w:r>
      <w:r>
        <w:rPr>
          <w:color w:val="231F20"/>
          <w:w w:val="90"/>
        </w:rPr>
        <w:t>[cursivas</w:t>
      </w:r>
      <w:r>
        <w:rPr>
          <w:color w:val="231F20"/>
          <w:spacing w:val="-6"/>
          <w:w w:val="90"/>
        </w:rPr>
        <w:t> </w:t>
      </w:r>
      <w:r>
        <w:rPr>
          <w:color w:val="231F20"/>
          <w:w w:val="90"/>
        </w:rPr>
        <w:t>mías]”.</w:t>
      </w:r>
    </w:p>
    <w:p>
      <w:pPr>
        <w:pStyle w:val="BodyText"/>
        <w:spacing w:line="249" w:lineRule="auto"/>
        <w:ind w:left="101" w:right="114" w:firstLine="284"/>
        <w:jc w:val="both"/>
      </w:pPr>
      <w:r>
        <w:rPr>
          <w:color w:val="231F20"/>
          <w:spacing w:val="2"/>
        </w:rPr>
        <w:t>Siguiendo </w:t>
      </w:r>
      <w:r>
        <w:rPr>
          <w:color w:val="231F20"/>
        </w:rPr>
        <w:t>el hilo de su </w:t>
      </w:r>
      <w:r>
        <w:rPr>
          <w:color w:val="231F20"/>
          <w:spacing w:val="2"/>
        </w:rPr>
        <w:t>narración, por primera </w:t>
      </w:r>
      <w:r>
        <w:rPr>
          <w:color w:val="231F20"/>
        </w:rPr>
        <w:t>vez </w:t>
      </w:r>
      <w:r>
        <w:rPr>
          <w:color w:val="231F20"/>
          <w:spacing w:val="2"/>
        </w:rPr>
        <w:t>Ortega </w:t>
      </w:r>
      <w:r>
        <w:rPr>
          <w:color w:val="231F20"/>
        </w:rPr>
        <w:t>se </w:t>
      </w:r>
      <w:r>
        <w:rPr>
          <w:color w:val="231F20"/>
          <w:spacing w:val="2"/>
        </w:rPr>
        <w:t>refirió </w:t>
      </w:r>
      <w:r>
        <w:rPr>
          <w:color w:val="231F20"/>
        </w:rPr>
        <w:t>“a </w:t>
      </w:r>
      <w:r>
        <w:rPr>
          <w:color w:val="231F20"/>
          <w:spacing w:val="2"/>
        </w:rPr>
        <w:t>los casos </w:t>
      </w:r>
      <w:r>
        <w:rPr>
          <w:color w:val="231F20"/>
        </w:rPr>
        <w:t>de </w:t>
      </w:r>
      <w:r>
        <w:rPr>
          <w:color w:val="231F20"/>
          <w:spacing w:val="3"/>
        </w:rPr>
        <w:t>indisciplina” </w:t>
      </w:r>
      <w:r>
        <w:rPr>
          <w:color w:val="231F20"/>
        </w:rPr>
        <w:t>y a las </w:t>
      </w:r>
      <w:r>
        <w:rPr>
          <w:color w:val="231F20"/>
          <w:spacing w:val="3"/>
        </w:rPr>
        <w:t>sanciones </w:t>
      </w:r>
      <w:r>
        <w:rPr>
          <w:color w:val="231F20"/>
        </w:rPr>
        <w:t>que </w:t>
      </w:r>
      <w:r>
        <w:rPr>
          <w:color w:val="231F20"/>
          <w:spacing w:val="3"/>
        </w:rPr>
        <w:t>debían imponerse, </w:t>
      </w:r>
      <w:r>
        <w:rPr>
          <w:color w:val="231F20"/>
        </w:rPr>
        <w:t>las </w:t>
      </w:r>
      <w:r>
        <w:rPr>
          <w:color w:val="231F20"/>
          <w:spacing w:val="2"/>
        </w:rPr>
        <w:t>cuales deberían </w:t>
      </w:r>
      <w:r>
        <w:rPr>
          <w:color w:val="231F20"/>
        </w:rPr>
        <w:t>ser </w:t>
      </w:r>
      <w:r>
        <w:rPr>
          <w:color w:val="231F20"/>
          <w:spacing w:val="2"/>
        </w:rPr>
        <w:t>fijadas por </w:t>
      </w:r>
      <w:r>
        <w:rPr>
          <w:color w:val="231F20"/>
        </w:rPr>
        <w:t>un </w:t>
      </w:r>
      <w:r>
        <w:rPr>
          <w:color w:val="231F20"/>
          <w:spacing w:val="2"/>
        </w:rPr>
        <w:t>órgano compe- tente que, según </w:t>
      </w:r>
      <w:r>
        <w:rPr>
          <w:color w:val="231F20"/>
          <w:spacing w:val="3"/>
        </w:rPr>
        <w:t>propuso, </w:t>
      </w:r>
      <w:r>
        <w:rPr>
          <w:color w:val="231F20"/>
          <w:spacing w:val="2"/>
        </w:rPr>
        <w:t>sería </w:t>
      </w:r>
      <w:r>
        <w:rPr>
          <w:color w:val="231F20"/>
        </w:rPr>
        <w:t>el </w:t>
      </w:r>
      <w:r>
        <w:rPr>
          <w:color w:val="231F20"/>
          <w:spacing w:val="2"/>
        </w:rPr>
        <w:t>Tribunal </w:t>
      </w:r>
      <w:r>
        <w:rPr>
          <w:color w:val="231F20"/>
        </w:rPr>
        <w:t>de </w:t>
      </w:r>
      <w:r>
        <w:rPr>
          <w:color w:val="231F20"/>
          <w:spacing w:val="3"/>
        </w:rPr>
        <w:t>Honor </w:t>
      </w:r>
      <w:r>
        <w:rPr>
          <w:color w:val="231F20"/>
        </w:rPr>
        <w:t>que se </w:t>
      </w:r>
      <w:r>
        <w:rPr>
          <w:color w:val="231F20"/>
          <w:spacing w:val="3"/>
        </w:rPr>
        <w:t>en- </w:t>
      </w:r>
      <w:r>
        <w:rPr>
          <w:color w:val="231F20"/>
          <w:spacing w:val="2"/>
        </w:rPr>
        <w:t>cargaría </w:t>
      </w:r>
      <w:r>
        <w:rPr>
          <w:color w:val="231F20"/>
        </w:rPr>
        <w:t>de </w:t>
      </w:r>
      <w:r>
        <w:rPr>
          <w:color w:val="231F20"/>
          <w:spacing w:val="2"/>
        </w:rPr>
        <w:t>“juzgar los casos </w:t>
      </w:r>
      <w:r>
        <w:rPr>
          <w:color w:val="231F20"/>
        </w:rPr>
        <w:t>de </w:t>
      </w:r>
      <w:r>
        <w:rPr>
          <w:color w:val="231F20"/>
          <w:spacing w:val="2"/>
        </w:rPr>
        <w:t>indisciplina del </w:t>
      </w:r>
      <w:r>
        <w:rPr>
          <w:color w:val="231F20"/>
          <w:spacing w:val="3"/>
        </w:rPr>
        <w:t>personal docente, preparadores, </w:t>
      </w:r>
      <w:r>
        <w:rPr>
          <w:color w:val="231F20"/>
          <w:spacing w:val="2"/>
        </w:rPr>
        <w:t>ayudantes, </w:t>
      </w:r>
      <w:r>
        <w:rPr>
          <w:color w:val="231F20"/>
          <w:spacing w:val="3"/>
        </w:rPr>
        <w:t>alumnos </w:t>
      </w:r>
      <w:r>
        <w:rPr>
          <w:color w:val="231F20"/>
        </w:rPr>
        <w:t>y </w:t>
      </w:r>
      <w:r>
        <w:rPr>
          <w:color w:val="231F20"/>
          <w:spacing w:val="3"/>
        </w:rPr>
        <w:t>personal </w:t>
      </w:r>
      <w:r>
        <w:rPr>
          <w:color w:val="231F20"/>
          <w:spacing w:val="2"/>
        </w:rPr>
        <w:t>administrativo” </w:t>
      </w:r>
      <w:r>
        <w:rPr>
          <w:color w:val="231F20"/>
        </w:rPr>
        <w:t>y </w:t>
      </w:r>
      <w:r>
        <w:rPr>
          <w:color w:val="231F20"/>
          <w:spacing w:val="2"/>
        </w:rPr>
        <w:t>evitó </w:t>
      </w:r>
      <w:r>
        <w:rPr>
          <w:color w:val="231F20"/>
        </w:rPr>
        <w:t>el </w:t>
      </w:r>
      <w:r>
        <w:rPr>
          <w:color w:val="231F20"/>
          <w:spacing w:val="2"/>
        </w:rPr>
        <w:t>tema </w:t>
      </w:r>
      <w:r>
        <w:rPr>
          <w:color w:val="231F20"/>
        </w:rPr>
        <w:t>de la </w:t>
      </w:r>
      <w:r>
        <w:rPr>
          <w:color w:val="231F20"/>
          <w:spacing w:val="2"/>
        </w:rPr>
        <w:t>inestabilidad generalizada que existía </w:t>
      </w:r>
      <w:r>
        <w:rPr>
          <w:color w:val="231F20"/>
        </w:rPr>
        <w:t>en el </w:t>
      </w:r>
      <w:r>
        <w:rPr>
          <w:color w:val="231F20"/>
          <w:spacing w:val="3"/>
        </w:rPr>
        <w:t>plan- </w:t>
      </w:r>
      <w:r>
        <w:rPr>
          <w:color w:val="231F20"/>
        </w:rPr>
        <w:t>tel. </w:t>
      </w:r>
      <w:r>
        <w:rPr>
          <w:color w:val="231F20"/>
          <w:spacing w:val="3"/>
        </w:rPr>
        <w:t>Una </w:t>
      </w:r>
      <w:r>
        <w:rPr>
          <w:color w:val="231F20"/>
        </w:rPr>
        <w:t>de las </w:t>
      </w:r>
      <w:r>
        <w:rPr>
          <w:color w:val="231F20"/>
          <w:spacing w:val="2"/>
        </w:rPr>
        <w:t>novedades </w:t>
      </w:r>
      <w:r>
        <w:rPr>
          <w:color w:val="231F20"/>
        </w:rPr>
        <w:t>de ese </w:t>
      </w:r>
      <w:r>
        <w:rPr>
          <w:color w:val="231F20"/>
          <w:spacing w:val="2"/>
        </w:rPr>
        <w:t>Tribunal, cuya </w:t>
      </w:r>
      <w:r>
        <w:rPr>
          <w:color w:val="231F20"/>
          <w:spacing w:val="3"/>
        </w:rPr>
        <w:t>composición </w:t>
      </w:r>
      <w:r>
        <w:rPr>
          <w:color w:val="231F20"/>
          <w:spacing w:val="4"/>
        </w:rPr>
        <w:t>ma- </w:t>
      </w:r>
      <w:r>
        <w:rPr>
          <w:color w:val="231F20"/>
          <w:spacing w:val="2"/>
        </w:rPr>
        <w:t>yoritaria </w:t>
      </w:r>
      <w:r>
        <w:rPr>
          <w:color w:val="231F20"/>
        </w:rPr>
        <w:t>era de </w:t>
      </w:r>
      <w:r>
        <w:rPr>
          <w:color w:val="231F20"/>
          <w:spacing w:val="3"/>
        </w:rPr>
        <w:t>alumnos </w:t>
      </w:r>
      <w:r>
        <w:rPr>
          <w:color w:val="231F20"/>
        </w:rPr>
        <w:t>y </w:t>
      </w:r>
      <w:r>
        <w:rPr>
          <w:color w:val="231F20"/>
          <w:spacing w:val="3"/>
        </w:rPr>
        <w:t>profesores, incorporaba </w:t>
      </w:r>
      <w:r>
        <w:rPr>
          <w:color w:val="231F20"/>
        </w:rPr>
        <w:t>al </w:t>
      </w:r>
      <w:r>
        <w:rPr>
          <w:color w:val="231F20"/>
          <w:spacing w:val="3"/>
        </w:rPr>
        <w:t>personal </w:t>
      </w:r>
      <w:r>
        <w:rPr>
          <w:color w:val="231F20"/>
          <w:spacing w:val="2"/>
        </w:rPr>
        <w:t>administrativo </w:t>
      </w:r>
      <w:r>
        <w:rPr>
          <w:color w:val="231F20"/>
        </w:rPr>
        <w:t>y lo </w:t>
      </w:r>
      <w:r>
        <w:rPr>
          <w:color w:val="231F20"/>
          <w:spacing w:val="2"/>
        </w:rPr>
        <w:t>más </w:t>
      </w:r>
      <w:r>
        <w:rPr>
          <w:color w:val="231F20"/>
          <w:spacing w:val="3"/>
        </w:rPr>
        <w:t>novedoso </w:t>
      </w:r>
      <w:r>
        <w:rPr>
          <w:color w:val="231F20"/>
        </w:rPr>
        <w:t>la </w:t>
      </w:r>
      <w:r>
        <w:rPr>
          <w:color w:val="231F20"/>
          <w:spacing w:val="2"/>
        </w:rPr>
        <w:t>representación </w:t>
      </w:r>
      <w:r>
        <w:rPr>
          <w:color w:val="231F20"/>
        </w:rPr>
        <w:t>de </w:t>
      </w:r>
      <w:r>
        <w:rPr>
          <w:color w:val="231F20"/>
          <w:spacing w:val="2"/>
        </w:rPr>
        <w:t>los padres  </w:t>
      </w:r>
      <w:r>
        <w:rPr>
          <w:color w:val="231F20"/>
        </w:rPr>
        <w:t>de </w:t>
      </w:r>
      <w:r>
        <w:rPr>
          <w:color w:val="231F20"/>
          <w:spacing w:val="2"/>
        </w:rPr>
        <w:t>familia, </w:t>
      </w:r>
      <w:r>
        <w:rPr>
          <w:color w:val="231F20"/>
          <w:spacing w:val="3"/>
        </w:rPr>
        <w:t>aunque </w:t>
      </w:r>
      <w:r>
        <w:rPr>
          <w:color w:val="231F20"/>
          <w:spacing w:val="2"/>
        </w:rPr>
        <w:t>esta última tendría derecho </w:t>
      </w:r>
      <w:r>
        <w:rPr>
          <w:color w:val="231F20"/>
        </w:rPr>
        <w:t>a </w:t>
      </w:r>
      <w:r>
        <w:rPr>
          <w:color w:val="231F20"/>
          <w:spacing w:val="2"/>
        </w:rPr>
        <w:t>voz pero </w:t>
      </w:r>
      <w:r>
        <w:rPr>
          <w:color w:val="231F20"/>
        </w:rPr>
        <w:t>no a   </w:t>
      </w:r>
      <w:r>
        <w:rPr>
          <w:color w:val="231F20"/>
          <w:spacing w:val="2"/>
        </w:rPr>
        <w:t>voto </w:t>
      </w:r>
      <w:r>
        <w:rPr>
          <w:color w:val="231F20"/>
          <w:spacing w:val="3"/>
        </w:rPr>
        <w:t>(AHUAEM, </w:t>
      </w:r>
      <w:r>
        <w:rPr>
          <w:color w:val="231F20"/>
        </w:rPr>
        <w:t>c. </w:t>
      </w:r>
      <w:r>
        <w:rPr>
          <w:color w:val="231F20"/>
          <w:spacing w:val="2"/>
        </w:rPr>
        <w:t>206, exp. 7111, 1940). </w:t>
      </w:r>
      <w:r>
        <w:rPr>
          <w:color w:val="231F20"/>
          <w:spacing w:val="3"/>
        </w:rPr>
        <w:t>Ahora </w:t>
      </w:r>
      <w:r>
        <w:rPr>
          <w:color w:val="231F20"/>
          <w:spacing w:val="2"/>
        </w:rPr>
        <w:t>bien, </w:t>
      </w:r>
      <w:r>
        <w:rPr>
          <w:color w:val="231F20"/>
          <w:spacing w:val="3"/>
        </w:rPr>
        <w:t>Ortega </w:t>
      </w:r>
      <w:r>
        <w:rPr>
          <w:color w:val="231F20"/>
          <w:spacing w:val="2"/>
        </w:rPr>
        <w:t>centraba </w:t>
      </w:r>
      <w:r>
        <w:rPr>
          <w:color w:val="231F20"/>
        </w:rPr>
        <w:t>su </w:t>
      </w:r>
      <w:r>
        <w:rPr>
          <w:color w:val="231F20"/>
          <w:spacing w:val="2"/>
        </w:rPr>
        <w:t>atención </w:t>
      </w:r>
      <w:r>
        <w:rPr>
          <w:color w:val="231F20"/>
        </w:rPr>
        <w:t>en </w:t>
      </w:r>
      <w:r>
        <w:rPr>
          <w:color w:val="231F20"/>
          <w:spacing w:val="2"/>
        </w:rPr>
        <w:t>los “casos </w:t>
      </w:r>
      <w:r>
        <w:rPr>
          <w:color w:val="231F20"/>
        </w:rPr>
        <w:t>de </w:t>
      </w:r>
      <w:r>
        <w:rPr>
          <w:color w:val="231F20"/>
          <w:spacing w:val="2"/>
        </w:rPr>
        <w:t>indisciplina” </w:t>
      </w:r>
      <w:r>
        <w:rPr>
          <w:color w:val="231F20"/>
        </w:rPr>
        <w:t>y </w:t>
      </w:r>
      <w:r>
        <w:rPr>
          <w:color w:val="231F20"/>
          <w:spacing w:val="2"/>
        </w:rPr>
        <w:t>dejaba </w:t>
      </w:r>
      <w:r>
        <w:rPr>
          <w:color w:val="231F20"/>
        </w:rPr>
        <w:t>de  </w:t>
      </w:r>
      <w:r>
        <w:rPr>
          <w:color w:val="231F20"/>
          <w:spacing w:val="2"/>
        </w:rPr>
        <w:t>lado </w:t>
      </w:r>
      <w:r>
        <w:rPr>
          <w:color w:val="231F20"/>
        </w:rPr>
        <w:t>el </w:t>
      </w:r>
      <w:r>
        <w:rPr>
          <w:color w:val="231F20"/>
          <w:spacing w:val="2"/>
        </w:rPr>
        <w:t>escenario </w:t>
      </w:r>
      <w:r>
        <w:rPr>
          <w:color w:val="231F20"/>
        </w:rPr>
        <w:t>en la </w:t>
      </w:r>
      <w:r>
        <w:rPr>
          <w:color w:val="231F20"/>
          <w:spacing w:val="2"/>
        </w:rPr>
        <w:t>que estos </w:t>
      </w:r>
      <w:r>
        <w:rPr>
          <w:color w:val="231F20"/>
        </w:rPr>
        <w:t>se </w:t>
      </w:r>
      <w:r>
        <w:rPr>
          <w:color w:val="231F20"/>
          <w:spacing w:val="2"/>
        </w:rPr>
        <w:t>producían, esto </w:t>
      </w:r>
      <w:r>
        <w:rPr>
          <w:color w:val="231F20"/>
        </w:rPr>
        <w:t>no </w:t>
      </w:r>
      <w:r>
        <w:rPr>
          <w:color w:val="231F20"/>
          <w:spacing w:val="2"/>
        </w:rPr>
        <w:t>quiere decir </w:t>
      </w:r>
      <w:r>
        <w:rPr>
          <w:color w:val="231F20"/>
        </w:rPr>
        <w:t>que lo </w:t>
      </w:r>
      <w:r>
        <w:rPr>
          <w:color w:val="231F20"/>
          <w:spacing w:val="2"/>
        </w:rPr>
        <w:t>desconociera. De </w:t>
      </w:r>
      <w:r>
        <w:rPr>
          <w:color w:val="231F20"/>
          <w:spacing w:val="3"/>
        </w:rPr>
        <w:t>hecho, </w:t>
      </w:r>
      <w:r>
        <w:rPr>
          <w:color w:val="231F20"/>
          <w:spacing w:val="2"/>
        </w:rPr>
        <w:t>estaba consciente </w:t>
      </w:r>
      <w:r>
        <w:rPr>
          <w:color w:val="231F20"/>
        </w:rPr>
        <w:t>de la </w:t>
      </w:r>
      <w:r>
        <w:rPr>
          <w:color w:val="231F20"/>
          <w:spacing w:val="3"/>
        </w:rPr>
        <w:t>importan- </w:t>
      </w:r>
      <w:r>
        <w:rPr>
          <w:color w:val="231F20"/>
        </w:rPr>
        <w:t>cia de </w:t>
      </w:r>
      <w:r>
        <w:rPr>
          <w:color w:val="231F20"/>
          <w:spacing w:val="2"/>
        </w:rPr>
        <w:t>restablecer </w:t>
      </w:r>
      <w:r>
        <w:rPr>
          <w:color w:val="231F20"/>
        </w:rPr>
        <w:t>la </w:t>
      </w:r>
      <w:r>
        <w:rPr>
          <w:color w:val="231F20"/>
          <w:spacing w:val="2"/>
        </w:rPr>
        <w:t>gobernabilidad del Instituto </w:t>
      </w:r>
      <w:r>
        <w:rPr>
          <w:color w:val="231F20"/>
        </w:rPr>
        <w:t>y, </w:t>
      </w:r>
      <w:r>
        <w:rPr>
          <w:color w:val="231F20"/>
          <w:spacing w:val="3"/>
        </w:rPr>
        <w:t>después </w:t>
      </w:r>
      <w:r>
        <w:rPr>
          <w:color w:val="231F20"/>
        </w:rPr>
        <w:t>de </w:t>
      </w:r>
      <w:r>
        <w:rPr>
          <w:color w:val="231F20"/>
          <w:spacing w:val="2"/>
        </w:rPr>
        <w:t>subrayar </w:t>
      </w:r>
      <w:r>
        <w:rPr>
          <w:color w:val="231F20"/>
        </w:rPr>
        <w:t>su </w:t>
      </w:r>
      <w:r>
        <w:rPr>
          <w:color w:val="231F20"/>
          <w:spacing w:val="2"/>
        </w:rPr>
        <w:t>voluntad </w:t>
      </w:r>
      <w:r>
        <w:rPr>
          <w:color w:val="231F20"/>
        </w:rPr>
        <w:t>de </w:t>
      </w:r>
      <w:r>
        <w:rPr>
          <w:color w:val="231F20"/>
          <w:spacing w:val="2"/>
        </w:rPr>
        <w:t>conciliación, pasó </w:t>
      </w:r>
      <w:r>
        <w:rPr>
          <w:color w:val="231F20"/>
        </w:rPr>
        <w:t>a </w:t>
      </w:r>
      <w:r>
        <w:rPr>
          <w:color w:val="231F20"/>
          <w:spacing w:val="2"/>
        </w:rPr>
        <w:t>puntualizar </w:t>
      </w:r>
      <w:r>
        <w:rPr>
          <w:color w:val="231F20"/>
        </w:rPr>
        <w:t>las </w:t>
      </w:r>
      <w:r>
        <w:rPr>
          <w:color w:val="231F20"/>
          <w:spacing w:val="3"/>
        </w:rPr>
        <w:t>prin- </w:t>
      </w:r>
      <w:r>
        <w:rPr>
          <w:color w:val="231F20"/>
          <w:spacing w:val="2"/>
        </w:rPr>
        <w:t>cipales líneas discursivas </w:t>
      </w:r>
      <w:r>
        <w:rPr>
          <w:color w:val="231F20"/>
        </w:rPr>
        <w:t>y de </w:t>
      </w:r>
      <w:r>
        <w:rPr>
          <w:color w:val="231F20"/>
          <w:spacing w:val="2"/>
        </w:rPr>
        <w:t>acción que caracterizarían </w:t>
      </w:r>
      <w:r>
        <w:rPr>
          <w:color w:val="231F20"/>
        </w:rPr>
        <w:t>su </w:t>
      </w:r>
      <w:r>
        <w:rPr>
          <w:color w:val="231F20"/>
          <w:spacing w:val="2"/>
        </w:rPr>
        <w:t>admi- nistración académica. </w:t>
      </w:r>
      <w:r>
        <w:rPr>
          <w:color w:val="231F20"/>
        </w:rPr>
        <w:t>En un </w:t>
      </w:r>
      <w:r>
        <w:rPr>
          <w:color w:val="231F20"/>
          <w:spacing w:val="2"/>
        </w:rPr>
        <w:t>“aviso” </w:t>
      </w:r>
      <w:r>
        <w:rPr>
          <w:color w:val="231F20"/>
        </w:rPr>
        <w:t>que </w:t>
      </w:r>
      <w:r>
        <w:rPr>
          <w:color w:val="231F20"/>
          <w:spacing w:val="2"/>
        </w:rPr>
        <w:t>dirigió </w:t>
      </w:r>
      <w:r>
        <w:rPr>
          <w:color w:val="231F20"/>
        </w:rPr>
        <w:t>a </w:t>
      </w:r>
      <w:r>
        <w:rPr>
          <w:color w:val="231F20"/>
          <w:spacing w:val="3"/>
        </w:rPr>
        <w:t>alumnos, padres </w:t>
      </w:r>
      <w:r>
        <w:rPr>
          <w:color w:val="231F20"/>
        </w:rPr>
        <w:t>de </w:t>
      </w:r>
      <w:r>
        <w:rPr>
          <w:color w:val="231F20"/>
          <w:spacing w:val="2"/>
        </w:rPr>
        <w:t>familia </w:t>
      </w:r>
      <w:r>
        <w:rPr>
          <w:color w:val="231F20"/>
        </w:rPr>
        <w:t>y </w:t>
      </w:r>
      <w:r>
        <w:rPr>
          <w:color w:val="231F20"/>
          <w:spacing w:val="2"/>
        </w:rPr>
        <w:t>tutores, </w:t>
      </w:r>
      <w:r>
        <w:rPr>
          <w:color w:val="231F20"/>
        </w:rPr>
        <w:t>así </w:t>
      </w:r>
      <w:r>
        <w:rPr>
          <w:color w:val="231F20"/>
          <w:spacing w:val="3"/>
        </w:rPr>
        <w:t>como </w:t>
      </w:r>
      <w:r>
        <w:rPr>
          <w:color w:val="231F20"/>
        </w:rPr>
        <w:t>al </w:t>
      </w:r>
      <w:r>
        <w:rPr>
          <w:color w:val="231F20"/>
          <w:spacing w:val="3"/>
        </w:rPr>
        <w:t>personal docente </w:t>
      </w:r>
      <w:r>
        <w:rPr>
          <w:color w:val="231F20"/>
        </w:rPr>
        <w:t>y</w:t>
      </w:r>
      <w:r>
        <w:rPr>
          <w:color w:val="231F20"/>
          <w:spacing w:val="46"/>
        </w:rPr>
        <w:t> </w:t>
      </w:r>
      <w:r>
        <w:rPr>
          <w:color w:val="231F20"/>
          <w:spacing w:val="2"/>
        </w:rPr>
        <w:t>administrativo</w:t>
      </w:r>
    </w:p>
    <w:p>
      <w:pPr>
        <w:spacing w:after="0" w:line="249" w:lineRule="auto"/>
        <w:jc w:val="both"/>
        <w:sectPr>
          <w:headerReference w:type="default" r:id="rId288"/>
          <w:footerReference w:type="default" r:id="rId289"/>
          <w:pgSz w:w="7830" w:h="11910"/>
          <w:pgMar w:header="0" w:footer="424" w:top="500" w:bottom="620" w:left="920" w:right="900"/>
          <w:pgNumType w:start="13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3"/>
        <w:jc w:val="both"/>
      </w:pPr>
      <w:r>
        <w:rPr>
          <w:color w:val="231F20"/>
          <w:spacing w:val="2"/>
        </w:rPr>
        <w:t>reiteró </w:t>
      </w:r>
      <w:r>
        <w:rPr>
          <w:color w:val="231F20"/>
        </w:rPr>
        <w:t>su </w:t>
      </w:r>
      <w:r>
        <w:rPr>
          <w:color w:val="231F20"/>
          <w:spacing w:val="3"/>
        </w:rPr>
        <w:t>compromiso, </w:t>
      </w:r>
      <w:r>
        <w:rPr>
          <w:color w:val="231F20"/>
          <w:spacing w:val="2"/>
        </w:rPr>
        <w:t>“más </w:t>
      </w:r>
      <w:r>
        <w:rPr>
          <w:color w:val="231F20"/>
        </w:rPr>
        <w:t>que </w:t>
      </w:r>
      <w:r>
        <w:rPr>
          <w:color w:val="231F20"/>
          <w:spacing w:val="2"/>
        </w:rPr>
        <w:t>una </w:t>
      </w:r>
      <w:r>
        <w:rPr>
          <w:color w:val="231F20"/>
          <w:spacing w:val="3"/>
        </w:rPr>
        <w:t>promesa </w:t>
      </w:r>
      <w:r>
        <w:rPr>
          <w:color w:val="231F20"/>
          <w:spacing w:val="2"/>
        </w:rPr>
        <w:t>verbalista”, </w:t>
      </w:r>
      <w:r>
        <w:rPr>
          <w:color w:val="231F20"/>
        </w:rPr>
        <w:t>de </w:t>
      </w:r>
      <w:r>
        <w:rPr>
          <w:color w:val="231F20"/>
          <w:spacing w:val="2"/>
        </w:rPr>
        <w:t>impulsar </w:t>
      </w:r>
      <w:r>
        <w:rPr>
          <w:color w:val="231F20"/>
        </w:rPr>
        <w:t>la </w:t>
      </w:r>
      <w:r>
        <w:rPr>
          <w:color w:val="231F20"/>
          <w:spacing w:val="2"/>
        </w:rPr>
        <w:t>reorganización del Instituto “sobre bases legales </w:t>
      </w:r>
      <w:r>
        <w:rPr>
          <w:color w:val="231F20"/>
        </w:rPr>
        <w:t>de </w:t>
      </w:r>
      <w:r>
        <w:rPr>
          <w:color w:val="231F20"/>
          <w:spacing w:val="2"/>
        </w:rPr>
        <w:t>trabajo, </w:t>
      </w:r>
      <w:r>
        <w:rPr>
          <w:color w:val="231F20"/>
          <w:spacing w:val="3"/>
        </w:rPr>
        <w:t>moral </w:t>
      </w:r>
      <w:r>
        <w:rPr>
          <w:color w:val="231F20"/>
        </w:rPr>
        <w:t>y </w:t>
      </w:r>
      <w:r>
        <w:rPr>
          <w:color w:val="231F20"/>
          <w:spacing w:val="2"/>
        </w:rPr>
        <w:t>disciplina”, principios </w:t>
      </w:r>
      <w:r>
        <w:rPr>
          <w:color w:val="231F20"/>
        </w:rPr>
        <w:t>y </w:t>
      </w:r>
      <w:r>
        <w:rPr>
          <w:color w:val="231F20"/>
          <w:spacing w:val="2"/>
        </w:rPr>
        <w:t>actitudes que </w:t>
      </w:r>
      <w:r>
        <w:rPr>
          <w:color w:val="231F20"/>
        </w:rPr>
        <w:t>en </w:t>
      </w:r>
      <w:r>
        <w:rPr>
          <w:color w:val="231F20"/>
          <w:spacing w:val="2"/>
        </w:rPr>
        <w:t>realidad </w:t>
      </w:r>
      <w:r>
        <w:rPr>
          <w:color w:val="231F20"/>
        </w:rPr>
        <w:t>era un </w:t>
      </w:r>
      <w:r>
        <w:rPr>
          <w:color w:val="231F20"/>
          <w:spacing w:val="3"/>
        </w:rPr>
        <w:t>reconocimiento </w:t>
      </w:r>
      <w:r>
        <w:rPr>
          <w:color w:val="231F20"/>
          <w:spacing w:val="2"/>
        </w:rPr>
        <w:t>implícito del estado </w:t>
      </w:r>
      <w:r>
        <w:rPr>
          <w:color w:val="231F20"/>
        </w:rPr>
        <w:t>de </w:t>
      </w:r>
      <w:r>
        <w:rPr>
          <w:color w:val="231F20"/>
          <w:spacing w:val="2"/>
        </w:rPr>
        <w:t>cosas, por </w:t>
      </w:r>
      <w:r>
        <w:rPr>
          <w:color w:val="231F20"/>
        </w:rPr>
        <w:t>lo </w:t>
      </w:r>
      <w:r>
        <w:rPr>
          <w:color w:val="231F20"/>
          <w:spacing w:val="2"/>
        </w:rPr>
        <w:t>que</w:t>
      </w:r>
      <w:r>
        <w:rPr>
          <w:color w:val="231F20"/>
          <w:spacing w:val="56"/>
        </w:rPr>
        <w:t> </w:t>
      </w:r>
      <w:r>
        <w:rPr>
          <w:color w:val="231F20"/>
          <w:spacing w:val="2"/>
        </w:rPr>
        <w:t>estaba dispuesto </w:t>
      </w:r>
      <w:r>
        <w:rPr>
          <w:color w:val="231F20"/>
        </w:rPr>
        <w:t>a </w:t>
      </w:r>
      <w:r>
        <w:rPr>
          <w:color w:val="231F20"/>
          <w:spacing w:val="2"/>
        </w:rPr>
        <w:t>atender cada una </w:t>
      </w:r>
      <w:r>
        <w:rPr>
          <w:color w:val="231F20"/>
        </w:rPr>
        <w:t>de las </w:t>
      </w:r>
      <w:r>
        <w:rPr>
          <w:color w:val="231F20"/>
          <w:spacing w:val="2"/>
        </w:rPr>
        <w:t>peticiones que </w:t>
      </w:r>
      <w:r>
        <w:rPr>
          <w:color w:val="231F20"/>
        </w:rPr>
        <w:t>se le </w:t>
      </w:r>
      <w:r>
        <w:rPr>
          <w:color w:val="231F20"/>
          <w:spacing w:val="2"/>
        </w:rPr>
        <w:t>formularan “siempre </w:t>
      </w:r>
      <w:r>
        <w:rPr>
          <w:color w:val="231F20"/>
        </w:rPr>
        <w:t>que </w:t>
      </w:r>
      <w:r>
        <w:rPr>
          <w:color w:val="231F20"/>
          <w:spacing w:val="2"/>
        </w:rPr>
        <w:t>fueran respetuosas </w:t>
      </w:r>
      <w:r>
        <w:rPr>
          <w:color w:val="231F20"/>
        </w:rPr>
        <w:t>y </w:t>
      </w:r>
      <w:r>
        <w:rPr>
          <w:color w:val="231F20"/>
          <w:spacing w:val="2"/>
        </w:rPr>
        <w:t>decentes” </w:t>
      </w:r>
      <w:r>
        <w:rPr>
          <w:color w:val="231F20"/>
        </w:rPr>
        <w:t>y </w:t>
      </w:r>
      <w:r>
        <w:rPr>
          <w:color w:val="231F20"/>
          <w:spacing w:val="3"/>
        </w:rPr>
        <w:t>que </w:t>
      </w:r>
      <w:r>
        <w:rPr>
          <w:color w:val="231F20"/>
          <w:spacing w:val="2"/>
        </w:rPr>
        <w:t>tuvieran </w:t>
      </w:r>
      <w:r>
        <w:rPr>
          <w:color w:val="231F20"/>
          <w:spacing w:val="3"/>
        </w:rPr>
        <w:t>como </w:t>
      </w:r>
      <w:r>
        <w:rPr>
          <w:color w:val="231F20"/>
          <w:spacing w:val="2"/>
        </w:rPr>
        <w:t>finalidad </w:t>
      </w:r>
      <w:r>
        <w:rPr>
          <w:color w:val="231F20"/>
          <w:spacing w:val="3"/>
        </w:rPr>
        <w:t>mantener </w:t>
      </w:r>
      <w:r>
        <w:rPr>
          <w:color w:val="231F20"/>
        </w:rPr>
        <w:t>el </w:t>
      </w:r>
      <w:r>
        <w:rPr>
          <w:color w:val="231F20"/>
          <w:spacing w:val="2"/>
        </w:rPr>
        <w:t>prestigio </w:t>
      </w:r>
      <w:r>
        <w:rPr>
          <w:color w:val="231F20"/>
        </w:rPr>
        <w:t>y las </w:t>
      </w:r>
      <w:r>
        <w:rPr>
          <w:color w:val="231F20"/>
          <w:spacing w:val="2"/>
        </w:rPr>
        <w:t>labores </w:t>
      </w:r>
      <w:r>
        <w:rPr>
          <w:color w:val="231F20"/>
          <w:spacing w:val="3"/>
        </w:rPr>
        <w:t>escola- </w:t>
      </w:r>
      <w:r>
        <w:rPr>
          <w:color w:val="231F20"/>
        </w:rPr>
        <w:t>res </w:t>
      </w:r>
      <w:r>
        <w:rPr>
          <w:color w:val="231F20"/>
          <w:spacing w:val="2"/>
        </w:rPr>
        <w:t>para luego advertir </w:t>
      </w:r>
      <w:r>
        <w:rPr>
          <w:color w:val="231F20"/>
        </w:rPr>
        <w:t>que en </w:t>
      </w:r>
      <w:r>
        <w:rPr>
          <w:color w:val="231F20"/>
          <w:spacing w:val="2"/>
        </w:rPr>
        <w:t>caso contrario </w:t>
      </w:r>
      <w:r>
        <w:rPr>
          <w:color w:val="231F20"/>
        </w:rPr>
        <w:t>no </w:t>
      </w:r>
      <w:r>
        <w:rPr>
          <w:color w:val="231F20"/>
          <w:spacing w:val="2"/>
        </w:rPr>
        <w:t>dudaría </w:t>
      </w:r>
      <w:r>
        <w:rPr>
          <w:color w:val="231F20"/>
        </w:rPr>
        <w:t>en </w:t>
      </w:r>
      <w:r>
        <w:rPr>
          <w:color w:val="231F20"/>
          <w:spacing w:val="3"/>
        </w:rPr>
        <w:t>aplicar </w:t>
      </w:r>
      <w:r>
        <w:rPr>
          <w:color w:val="231F20"/>
          <w:spacing w:val="2"/>
        </w:rPr>
        <w:t>los “correctivos, </w:t>
      </w:r>
      <w:r>
        <w:rPr>
          <w:color w:val="231F20"/>
        </w:rPr>
        <w:t>a </w:t>
      </w:r>
      <w:r>
        <w:rPr>
          <w:color w:val="231F20"/>
          <w:spacing w:val="2"/>
        </w:rPr>
        <w:t>quienes </w:t>
      </w:r>
      <w:r>
        <w:rPr>
          <w:color w:val="231F20"/>
          <w:spacing w:val="3"/>
        </w:rPr>
        <w:t>demuestren </w:t>
      </w:r>
      <w:r>
        <w:rPr>
          <w:color w:val="231F20"/>
          <w:spacing w:val="2"/>
        </w:rPr>
        <w:t>con sus actos que </w:t>
      </w:r>
      <w:r>
        <w:rPr>
          <w:color w:val="231F20"/>
        </w:rPr>
        <w:t>no </w:t>
      </w:r>
      <w:r>
        <w:rPr>
          <w:color w:val="231F20"/>
          <w:spacing w:val="3"/>
        </w:rPr>
        <w:t>son </w:t>
      </w:r>
      <w:r>
        <w:rPr>
          <w:color w:val="231F20"/>
          <w:spacing w:val="2"/>
        </w:rPr>
        <w:t>indignos [</w:t>
      </w:r>
      <w:r>
        <w:rPr>
          <w:i/>
          <w:color w:val="231F20"/>
          <w:spacing w:val="2"/>
        </w:rPr>
        <w:t>sic</w:t>
      </w:r>
      <w:r>
        <w:rPr>
          <w:color w:val="231F20"/>
          <w:spacing w:val="2"/>
        </w:rPr>
        <w:t>]de </w:t>
      </w:r>
      <w:r>
        <w:rPr>
          <w:color w:val="231F20"/>
        </w:rPr>
        <w:t>vivir en un </w:t>
      </w:r>
      <w:r>
        <w:rPr>
          <w:color w:val="231F20"/>
          <w:spacing w:val="2"/>
        </w:rPr>
        <w:t>establecimiento educativo”. </w:t>
      </w:r>
      <w:r>
        <w:rPr>
          <w:color w:val="231F20"/>
        </w:rPr>
        <w:t>Al fijar su </w:t>
      </w:r>
      <w:r>
        <w:rPr>
          <w:color w:val="231F20"/>
          <w:spacing w:val="2"/>
        </w:rPr>
        <w:t>postura </w:t>
      </w:r>
      <w:r>
        <w:rPr>
          <w:color w:val="231F20"/>
        </w:rPr>
        <w:t>de </w:t>
      </w:r>
      <w:r>
        <w:rPr>
          <w:color w:val="231F20"/>
          <w:spacing w:val="2"/>
        </w:rPr>
        <w:t>autoridad, Ortega </w:t>
      </w:r>
      <w:r>
        <w:rPr>
          <w:color w:val="231F20"/>
          <w:spacing w:val="3"/>
        </w:rPr>
        <w:t>informaba </w:t>
      </w:r>
      <w:r>
        <w:rPr>
          <w:color w:val="231F20"/>
        </w:rPr>
        <w:t>que se </w:t>
      </w:r>
      <w:r>
        <w:rPr>
          <w:color w:val="231F20"/>
          <w:spacing w:val="2"/>
        </w:rPr>
        <w:t>había negado </w:t>
      </w:r>
      <w:r>
        <w:rPr>
          <w:color w:val="231F20"/>
        </w:rPr>
        <w:t>a </w:t>
      </w:r>
      <w:r>
        <w:rPr>
          <w:color w:val="231F20"/>
          <w:spacing w:val="2"/>
        </w:rPr>
        <w:t>presentarse </w:t>
      </w:r>
      <w:r>
        <w:rPr>
          <w:color w:val="231F20"/>
          <w:spacing w:val="3"/>
        </w:rPr>
        <w:t>públicamente </w:t>
      </w:r>
      <w:r>
        <w:rPr>
          <w:color w:val="231F20"/>
          <w:spacing w:val="2"/>
        </w:rPr>
        <w:t>porque para </w:t>
      </w:r>
      <w:r>
        <w:rPr>
          <w:color w:val="231F20"/>
        </w:rPr>
        <w:t>él </w:t>
      </w:r>
      <w:r>
        <w:rPr>
          <w:color w:val="231F20"/>
          <w:spacing w:val="2"/>
        </w:rPr>
        <w:t>los actos </w:t>
      </w:r>
      <w:r>
        <w:rPr>
          <w:color w:val="231F20"/>
        </w:rPr>
        <w:t>de esa </w:t>
      </w:r>
      <w:r>
        <w:rPr>
          <w:color w:val="231F20"/>
          <w:spacing w:val="2"/>
        </w:rPr>
        <w:t>naturale- </w:t>
      </w:r>
      <w:r>
        <w:rPr>
          <w:color w:val="231F20"/>
        </w:rPr>
        <w:t>za </w:t>
      </w:r>
      <w:r>
        <w:rPr>
          <w:color w:val="231F20"/>
          <w:spacing w:val="2"/>
        </w:rPr>
        <w:t>deberían destinarse </w:t>
      </w:r>
      <w:r>
        <w:rPr>
          <w:color w:val="231F20"/>
          <w:spacing w:val="3"/>
        </w:rPr>
        <w:t>únicamente </w:t>
      </w:r>
      <w:r>
        <w:rPr>
          <w:color w:val="231F20"/>
          <w:spacing w:val="2"/>
        </w:rPr>
        <w:t>para actos </w:t>
      </w:r>
      <w:r>
        <w:rPr>
          <w:color w:val="231F20"/>
        </w:rPr>
        <w:t>de </w:t>
      </w:r>
      <w:r>
        <w:rPr>
          <w:color w:val="231F20"/>
          <w:spacing w:val="2"/>
        </w:rPr>
        <w:t>solemnidad  </w:t>
      </w:r>
      <w:r>
        <w:rPr>
          <w:color w:val="231F20"/>
        </w:rPr>
        <w:t>o </w:t>
      </w:r>
      <w:r>
        <w:rPr>
          <w:color w:val="231F20"/>
          <w:spacing w:val="2"/>
        </w:rPr>
        <w:t>“bien para laborar </w:t>
      </w:r>
      <w:r>
        <w:rPr>
          <w:color w:val="231F20"/>
          <w:spacing w:val="3"/>
        </w:rPr>
        <w:t>ordenadamente”, </w:t>
      </w:r>
      <w:r>
        <w:rPr>
          <w:color w:val="231F20"/>
        </w:rPr>
        <w:t>es </w:t>
      </w:r>
      <w:r>
        <w:rPr>
          <w:color w:val="231F20"/>
          <w:spacing w:val="2"/>
        </w:rPr>
        <w:t>decir, intentaba limitar las </w:t>
      </w:r>
      <w:r>
        <w:rPr>
          <w:color w:val="231F20"/>
          <w:spacing w:val="3"/>
        </w:rPr>
        <w:t>reuniones </w:t>
      </w:r>
      <w:r>
        <w:rPr>
          <w:color w:val="231F20"/>
        </w:rPr>
        <w:t>que </w:t>
      </w:r>
      <w:r>
        <w:rPr>
          <w:color w:val="231F20"/>
          <w:spacing w:val="2"/>
        </w:rPr>
        <w:t>tuvieran </w:t>
      </w:r>
      <w:r>
        <w:rPr>
          <w:color w:val="231F20"/>
          <w:spacing w:val="3"/>
        </w:rPr>
        <w:t>como propósito </w:t>
      </w:r>
      <w:r>
        <w:rPr>
          <w:color w:val="231F20"/>
          <w:spacing w:val="2"/>
        </w:rPr>
        <w:t>debatir asuntos </w:t>
      </w:r>
      <w:r>
        <w:rPr>
          <w:color w:val="231F20"/>
        </w:rPr>
        <w:t>que </w:t>
      </w:r>
      <w:r>
        <w:rPr>
          <w:color w:val="231F20"/>
          <w:spacing w:val="4"/>
        </w:rPr>
        <w:t>po-  </w:t>
      </w:r>
      <w:r>
        <w:rPr>
          <w:color w:val="231F20"/>
          <w:spacing w:val="2"/>
        </w:rPr>
        <w:t>dían derivar </w:t>
      </w:r>
      <w:r>
        <w:rPr>
          <w:color w:val="231F20"/>
        </w:rPr>
        <w:t>en </w:t>
      </w:r>
      <w:r>
        <w:rPr>
          <w:color w:val="231F20"/>
          <w:spacing w:val="2"/>
        </w:rPr>
        <w:t>expresiones colectivas </w:t>
      </w:r>
      <w:r>
        <w:rPr>
          <w:color w:val="231F20"/>
        </w:rPr>
        <w:t>de </w:t>
      </w:r>
      <w:r>
        <w:rPr>
          <w:color w:val="231F20"/>
          <w:spacing w:val="3"/>
        </w:rPr>
        <w:t>inconformidad. </w:t>
      </w:r>
      <w:r>
        <w:rPr>
          <w:color w:val="231F20"/>
          <w:spacing w:val="2"/>
        </w:rPr>
        <w:t>Para despejar cualquier </w:t>
      </w:r>
      <w:r>
        <w:rPr>
          <w:color w:val="231F20"/>
          <w:spacing w:val="3"/>
        </w:rPr>
        <w:t>duda </w:t>
      </w:r>
      <w:r>
        <w:rPr>
          <w:color w:val="231F20"/>
          <w:spacing w:val="2"/>
        </w:rPr>
        <w:t>acerca </w:t>
      </w:r>
      <w:r>
        <w:rPr>
          <w:color w:val="231F20"/>
        </w:rPr>
        <w:t>de la </w:t>
      </w:r>
      <w:r>
        <w:rPr>
          <w:color w:val="231F20"/>
          <w:spacing w:val="3"/>
        </w:rPr>
        <w:t>conducta </w:t>
      </w:r>
      <w:r>
        <w:rPr>
          <w:color w:val="231F20"/>
          <w:spacing w:val="2"/>
        </w:rPr>
        <w:t>que habría </w:t>
      </w:r>
      <w:r>
        <w:rPr>
          <w:color w:val="231F20"/>
        </w:rPr>
        <w:t>de </w:t>
      </w:r>
      <w:r>
        <w:rPr>
          <w:color w:val="231F20"/>
          <w:spacing w:val="2"/>
        </w:rPr>
        <w:t>seguir sostuvo </w:t>
      </w:r>
      <w:r>
        <w:rPr>
          <w:color w:val="231F20"/>
        </w:rPr>
        <w:t>que su </w:t>
      </w:r>
      <w:r>
        <w:rPr>
          <w:color w:val="231F20"/>
          <w:spacing w:val="2"/>
        </w:rPr>
        <w:t>idea </w:t>
      </w:r>
      <w:r>
        <w:rPr>
          <w:color w:val="231F20"/>
        </w:rPr>
        <w:t>era </w:t>
      </w:r>
      <w:r>
        <w:rPr>
          <w:color w:val="231F20"/>
          <w:spacing w:val="2"/>
        </w:rPr>
        <w:t>“no hacer política, </w:t>
      </w:r>
      <w:r>
        <w:rPr>
          <w:color w:val="231F20"/>
        </w:rPr>
        <w:t>ni </w:t>
      </w:r>
      <w:r>
        <w:rPr>
          <w:color w:val="231F20"/>
          <w:spacing w:val="2"/>
        </w:rPr>
        <w:t>permitirla entre </w:t>
      </w:r>
      <w:r>
        <w:rPr>
          <w:color w:val="231F20"/>
          <w:spacing w:val="3"/>
        </w:rPr>
        <w:t>per- </w:t>
      </w:r>
      <w:r>
        <w:rPr>
          <w:color w:val="231F20"/>
          <w:spacing w:val="2"/>
        </w:rPr>
        <w:t>sonas </w:t>
      </w:r>
      <w:r>
        <w:rPr>
          <w:color w:val="231F20"/>
        </w:rPr>
        <w:t>o </w:t>
      </w:r>
      <w:r>
        <w:rPr>
          <w:color w:val="231F20"/>
          <w:spacing w:val="2"/>
        </w:rPr>
        <w:t>grupos del establecimiento”, </w:t>
      </w:r>
      <w:r>
        <w:rPr>
          <w:color w:val="231F20"/>
        </w:rPr>
        <w:t>así </w:t>
      </w:r>
      <w:r>
        <w:rPr>
          <w:color w:val="231F20"/>
          <w:spacing w:val="3"/>
        </w:rPr>
        <w:t>como  tomar  medidas </w:t>
      </w:r>
      <w:r>
        <w:rPr>
          <w:color w:val="231F20"/>
          <w:spacing w:val="2"/>
        </w:rPr>
        <w:t>para </w:t>
      </w:r>
      <w:r>
        <w:rPr>
          <w:color w:val="231F20"/>
        </w:rPr>
        <w:t>que </w:t>
      </w:r>
      <w:r>
        <w:rPr>
          <w:color w:val="231F20"/>
          <w:spacing w:val="2"/>
        </w:rPr>
        <w:t>“todos calmen </w:t>
      </w:r>
      <w:r>
        <w:rPr>
          <w:color w:val="231F20"/>
        </w:rPr>
        <w:t>sus </w:t>
      </w:r>
      <w:r>
        <w:rPr>
          <w:color w:val="231F20"/>
          <w:spacing w:val="2"/>
        </w:rPr>
        <w:t>excitaciones”, desterraran “pasiones insanas </w:t>
      </w:r>
      <w:r>
        <w:rPr>
          <w:color w:val="231F20"/>
        </w:rPr>
        <w:t>y </w:t>
      </w:r>
      <w:r>
        <w:rPr>
          <w:color w:val="231F20"/>
          <w:spacing w:val="2"/>
        </w:rPr>
        <w:t>consejos perversos” </w:t>
      </w:r>
      <w:r>
        <w:rPr>
          <w:color w:val="231F20"/>
        </w:rPr>
        <w:t>y </w:t>
      </w:r>
      <w:r>
        <w:rPr>
          <w:color w:val="231F20"/>
          <w:spacing w:val="2"/>
        </w:rPr>
        <w:t>sustituirlas por </w:t>
      </w:r>
      <w:r>
        <w:rPr>
          <w:color w:val="231F20"/>
        </w:rPr>
        <w:t>el </w:t>
      </w:r>
      <w:r>
        <w:rPr>
          <w:color w:val="231F20"/>
          <w:spacing w:val="2"/>
        </w:rPr>
        <w:t>trabajo, </w:t>
      </w:r>
      <w:r>
        <w:rPr>
          <w:color w:val="231F20"/>
        </w:rPr>
        <w:t>el </w:t>
      </w:r>
      <w:r>
        <w:rPr>
          <w:color w:val="231F20"/>
          <w:spacing w:val="3"/>
        </w:rPr>
        <w:t>amor  </w:t>
      </w:r>
      <w:r>
        <w:rPr>
          <w:color w:val="231F20"/>
        </w:rPr>
        <w:t>y la </w:t>
      </w:r>
      <w:r>
        <w:rPr>
          <w:color w:val="231F20"/>
          <w:spacing w:val="2"/>
        </w:rPr>
        <w:t>disciplina. </w:t>
      </w:r>
      <w:r>
        <w:rPr>
          <w:color w:val="231F20"/>
          <w:spacing w:val="3"/>
        </w:rPr>
        <w:t>También </w:t>
      </w:r>
      <w:r>
        <w:rPr>
          <w:color w:val="231F20"/>
          <w:spacing w:val="2"/>
        </w:rPr>
        <w:t>sostenía </w:t>
      </w:r>
      <w:r>
        <w:rPr>
          <w:color w:val="231F20"/>
        </w:rPr>
        <w:t>su </w:t>
      </w:r>
      <w:r>
        <w:rPr>
          <w:color w:val="231F20"/>
          <w:spacing w:val="2"/>
        </w:rPr>
        <w:t>disposición </w:t>
      </w:r>
      <w:r>
        <w:rPr>
          <w:color w:val="231F20"/>
        </w:rPr>
        <w:t>a </w:t>
      </w:r>
      <w:r>
        <w:rPr>
          <w:color w:val="231F20"/>
          <w:spacing w:val="3"/>
        </w:rPr>
        <w:t>mantener </w:t>
      </w:r>
      <w:r>
        <w:rPr>
          <w:color w:val="231F20"/>
          <w:spacing w:val="4"/>
        </w:rPr>
        <w:t>una </w:t>
      </w:r>
      <w:r>
        <w:rPr>
          <w:color w:val="231F20"/>
          <w:spacing w:val="2"/>
        </w:rPr>
        <w:t>actitud </w:t>
      </w:r>
      <w:r>
        <w:rPr>
          <w:color w:val="231F20"/>
          <w:spacing w:val="3"/>
        </w:rPr>
        <w:t>comprensiva </w:t>
      </w:r>
      <w:r>
        <w:rPr>
          <w:color w:val="231F20"/>
          <w:spacing w:val="2"/>
        </w:rPr>
        <w:t>hacia los estudiantes, pues </w:t>
      </w:r>
      <w:r>
        <w:rPr>
          <w:color w:val="231F20"/>
        </w:rPr>
        <w:t>el </w:t>
      </w:r>
      <w:r>
        <w:rPr>
          <w:color w:val="231F20"/>
          <w:spacing w:val="2"/>
        </w:rPr>
        <w:t>futuro </w:t>
      </w:r>
      <w:r>
        <w:rPr>
          <w:color w:val="231F20"/>
        </w:rPr>
        <w:t>de </w:t>
      </w:r>
      <w:r>
        <w:rPr>
          <w:color w:val="231F20"/>
          <w:spacing w:val="2"/>
        </w:rPr>
        <w:t>los </w:t>
      </w:r>
      <w:r>
        <w:rPr>
          <w:color w:val="231F20"/>
          <w:spacing w:val="3"/>
        </w:rPr>
        <w:t>alumnos dependía </w:t>
      </w:r>
      <w:r>
        <w:rPr>
          <w:color w:val="231F20"/>
        </w:rPr>
        <w:t>de </w:t>
      </w:r>
      <w:r>
        <w:rPr>
          <w:color w:val="231F20"/>
          <w:spacing w:val="2"/>
        </w:rPr>
        <w:t>una “sana </w:t>
      </w:r>
      <w:r>
        <w:rPr>
          <w:color w:val="231F20"/>
          <w:spacing w:val="3"/>
        </w:rPr>
        <w:t>comprensión </w:t>
      </w:r>
      <w:r>
        <w:rPr>
          <w:color w:val="231F20"/>
        </w:rPr>
        <w:t>de sus </w:t>
      </w:r>
      <w:r>
        <w:rPr>
          <w:color w:val="231F20"/>
          <w:spacing w:val="3"/>
        </w:rPr>
        <w:t>problemas </w:t>
      </w:r>
      <w:r>
        <w:rPr>
          <w:color w:val="231F20"/>
        </w:rPr>
        <w:t>y de su </w:t>
      </w:r>
      <w:r>
        <w:rPr>
          <w:color w:val="231F20"/>
          <w:spacing w:val="2"/>
        </w:rPr>
        <w:t>posición frente </w:t>
      </w:r>
      <w:r>
        <w:rPr>
          <w:color w:val="231F20"/>
        </w:rPr>
        <w:t>a la </w:t>
      </w:r>
      <w:r>
        <w:rPr>
          <w:color w:val="231F20"/>
          <w:spacing w:val="2"/>
        </w:rPr>
        <w:t>escuela, </w:t>
      </w:r>
      <w:r>
        <w:rPr>
          <w:color w:val="231F20"/>
        </w:rPr>
        <w:t>la </w:t>
      </w:r>
      <w:r>
        <w:rPr>
          <w:color w:val="231F20"/>
          <w:spacing w:val="2"/>
        </w:rPr>
        <w:t>familia </w:t>
      </w:r>
      <w:r>
        <w:rPr>
          <w:color w:val="231F20"/>
        </w:rPr>
        <w:t>y la </w:t>
      </w:r>
      <w:r>
        <w:rPr>
          <w:color w:val="231F20"/>
          <w:spacing w:val="3"/>
        </w:rPr>
        <w:t>patria” (AHUAEM,</w:t>
      </w:r>
      <w:r>
        <w:rPr>
          <w:color w:val="231F20"/>
          <w:spacing w:val="-8"/>
        </w:rPr>
        <w:t> </w:t>
      </w:r>
      <w:r>
        <w:rPr>
          <w:color w:val="231F20"/>
        </w:rPr>
        <w:t>c.</w:t>
      </w:r>
      <w:r>
        <w:rPr>
          <w:color w:val="231F20"/>
          <w:spacing w:val="-8"/>
        </w:rPr>
        <w:t> </w:t>
      </w:r>
      <w:r>
        <w:rPr>
          <w:color w:val="231F20"/>
          <w:spacing w:val="2"/>
        </w:rPr>
        <w:t>206,</w:t>
      </w:r>
      <w:r>
        <w:rPr>
          <w:color w:val="231F20"/>
          <w:spacing w:val="-8"/>
        </w:rPr>
        <w:t> </w:t>
      </w:r>
      <w:r>
        <w:rPr>
          <w:color w:val="231F20"/>
          <w:spacing w:val="2"/>
        </w:rPr>
        <w:t>exp.</w:t>
      </w:r>
      <w:r>
        <w:rPr>
          <w:color w:val="231F20"/>
          <w:spacing w:val="-8"/>
        </w:rPr>
        <w:t> </w:t>
      </w:r>
      <w:r>
        <w:rPr>
          <w:color w:val="231F20"/>
          <w:spacing w:val="2"/>
        </w:rPr>
        <w:t>7114,</w:t>
      </w:r>
      <w:r>
        <w:rPr>
          <w:color w:val="231F20"/>
          <w:spacing w:val="-8"/>
        </w:rPr>
        <w:t> </w:t>
      </w:r>
      <w:r>
        <w:rPr>
          <w:color w:val="231F20"/>
          <w:spacing w:val="2"/>
        </w:rPr>
        <w:t>1940).</w:t>
      </w:r>
    </w:p>
    <w:p>
      <w:pPr>
        <w:pStyle w:val="BodyText"/>
        <w:spacing w:line="249" w:lineRule="auto"/>
        <w:ind w:left="101" w:right="114" w:firstLine="284"/>
        <w:jc w:val="both"/>
      </w:pPr>
      <w:r>
        <w:rPr>
          <w:color w:val="231F20"/>
        </w:rPr>
        <w:t>Pocos días después de fijar su posición y pese al tono moderado que Ortega había empleado para dirigirse a los diversos sectores  que integraban el Instituto, el Consejo Directivo anunció la expul- sión definitiva de 35 alumnos, decisión que según el propio texto contaba con el respaldo del Ejecutivo del Estado. La medida se decretó cuando ya se había aprobado la creación del Tribunal del Honor, el cual tenía esta facultad, y se habían nombrado los repre- sentantes estudiantiles ante este </w:t>
      </w:r>
      <w:r>
        <w:rPr>
          <w:color w:val="231F20"/>
          <w:spacing w:val="3"/>
        </w:rPr>
        <w:t>(AHUAEM, </w:t>
      </w:r>
      <w:r>
        <w:rPr>
          <w:color w:val="231F20"/>
        </w:rPr>
        <w:t>c. </w:t>
      </w:r>
      <w:r>
        <w:rPr>
          <w:color w:val="231F20"/>
          <w:spacing w:val="2"/>
        </w:rPr>
        <w:t>206, exp. </w:t>
      </w:r>
      <w:r>
        <w:rPr>
          <w:color w:val="231F20"/>
          <w:spacing w:val="3"/>
        </w:rPr>
        <w:t>7114, </w:t>
      </w:r>
      <w:r>
        <w:rPr>
          <w:color w:val="231F20"/>
          <w:spacing w:val="2"/>
        </w:rPr>
        <w:t>1940). </w:t>
      </w:r>
      <w:r>
        <w:rPr>
          <w:color w:val="231F20"/>
        </w:rPr>
        <w:t>Desde luego, esas resoluciones no fueron aceptadas de in- mediato por lo que fueron impugnadas, pero en un nuevo ambiente institucional lo que develaba un cambio sustancial de las relaciones internas. Al parecer existía un consenso mínimo para que funciona- ran las autoridades con un margen aceptable de legitimidad. Esto </w:t>
      </w:r>
      <w:r>
        <w:rPr>
          <w:color w:val="231F20"/>
          <w:spacing w:val="13"/>
        </w:rPr>
        <w:t> </w:t>
      </w:r>
      <w:r>
        <w:rPr>
          <w:color w:val="231F20"/>
        </w:rPr>
        <w:t>se</w:t>
      </w:r>
    </w:p>
    <w:p>
      <w:pPr>
        <w:spacing w:after="0" w:line="249" w:lineRule="auto"/>
        <w:jc w:val="both"/>
        <w:sectPr>
          <w:headerReference w:type="default" r:id="rId290"/>
          <w:footerReference w:type="default" r:id="rId291"/>
          <w:pgSz w:w="7830" w:h="11910"/>
          <w:pgMar w:header="0" w:footer="424" w:top="500" w:bottom="620" w:left="920" w:right="900"/>
          <w:pgNumType w:start="13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7"/>
        <w:jc w:val="both"/>
      </w:pPr>
      <w:r>
        <w:rPr>
          <w:color w:val="231F20"/>
        </w:rPr>
        <w:t>puso de manifiesto en las objeciones a esas medidas que se dirimie- ron en los órganos académicos al inicio del conflicto, habían sido calificadas de “ilegales” o al menos cuestionadas en su integración y en sus decisiones.</w:t>
      </w:r>
    </w:p>
    <w:p>
      <w:pPr>
        <w:pStyle w:val="BodyText"/>
        <w:spacing w:line="249" w:lineRule="auto" w:before="1"/>
        <w:ind w:left="102" w:right="114" w:firstLine="284"/>
        <w:jc w:val="both"/>
      </w:pPr>
      <w:r>
        <w:rPr>
          <w:color w:val="231F20"/>
          <w:spacing w:val="4"/>
        </w:rPr>
        <w:t>En una </w:t>
      </w:r>
      <w:r>
        <w:rPr>
          <w:color w:val="231F20"/>
          <w:spacing w:val="5"/>
        </w:rPr>
        <w:t>sesión del </w:t>
      </w:r>
      <w:r>
        <w:rPr>
          <w:color w:val="231F20"/>
          <w:spacing w:val="6"/>
        </w:rPr>
        <w:t>Consejo Directivo, máxima autoridad </w:t>
      </w:r>
      <w:r>
        <w:rPr>
          <w:color w:val="231F20"/>
          <w:spacing w:val="5"/>
        </w:rPr>
        <w:t>del </w:t>
      </w:r>
      <w:r>
        <w:rPr>
          <w:color w:val="231F20"/>
          <w:spacing w:val="6"/>
        </w:rPr>
        <w:t>Instituto, </w:t>
      </w:r>
      <w:r>
        <w:rPr>
          <w:color w:val="231F20"/>
          <w:spacing w:val="3"/>
        </w:rPr>
        <w:t>se </w:t>
      </w:r>
      <w:r>
        <w:rPr>
          <w:color w:val="231F20"/>
          <w:spacing w:val="6"/>
        </w:rPr>
        <w:t>procedió </w:t>
      </w:r>
      <w:r>
        <w:rPr>
          <w:color w:val="231F20"/>
        </w:rPr>
        <w:t>a </w:t>
      </w:r>
      <w:r>
        <w:rPr>
          <w:color w:val="231F20"/>
          <w:spacing w:val="5"/>
        </w:rPr>
        <w:t>revisar </w:t>
      </w:r>
      <w:r>
        <w:rPr>
          <w:color w:val="231F20"/>
          <w:spacing w:val="4"/>
        </w:rPr>
        <w:t>las </w:t>
      </w:r>
      <w:r>
        <w:rPr>
          <w:color w:val="231F20"/>
          <w:spacing w:val="6"/>
        </w:rPr>
        <w:t>peticiones </w:t>
      </w:r>
      <w:r>
        <w:rPr>
          <w:color w:val="231F20"/>
          <w:spacing w:val="5"/>
        </w:rPr>
        <w:t>para </w:t>
      </w:r>
      <w:r>
        <w:rPr>
          <w:color w:val="231F20"/>
          <w:spacing w:val="6"/>
        </w:rPr>
        <w:t>reconsiderar</w:t>
      </w:r>
      <w:r>
        <w:rPr>
          <w:color w:val="231F20"/>
          <w:spacing w:val="64"/>
        </w:rPr>
        <w:t> </w:t>
      </w:r>
      <w:r>
        <w:rPr>
          <w:color w:val="231F20"/>
          <w:spacing w:val="3"/>
        </w:rPr>
        <w:t>la </w:t>
      </w:r>
      <w:r>
        <w:rPr>
          <w:color w:val="231F20"/>
          <w:spacing w:val="6"/>
        </w:rPr>
        <w:t>expulsión </w:t>
      </w:r>
      <w:r>
        <w:rPr>
          <w:color w:val="231F20"/>
          <w:spacing w:val="4"/>
        </w:rPr>
        <w:t>de </w:t>
      </w:r>
      <w:r>
        <w:rPr>
          <w:color w:val="231F20"/>
          <w:spacing w:val="5"/>
        </w:rPr>
        <w:t>cada uno </w:t>
      </w:r>
      <w:r>
        <w:rPr>
          <w:color w:val="231F20"/>
          <w:spacing w:val="4"/>
        </w:rPr>
        <w:t>los </w:t>
      </w:r>
      <w:r>
        <w:rPr>
          <w:color w:val="231F20"/>
          <w:spacing w:val="6"/>
        </w:rPr>
        <w:t>estudiantes cesados. Conviene destacar </w:t>
      </w:r>
      <w:r>
        <w:rPr>
          <w:color w:val="231F20"/>
          <w:spacing w:val="5"/>
        </w:rPr>
        <w:t>que </w:t>
      </w:r>
      <w:r>
        <w:rPr>
          <w:color w:val="231F20"/>
          <w:spacing w:val="3"/>
        </w:rPr>
        <w:t>el </w:t>
      </w:r>
      <w:r>
        <w:rPr>
          <w:color w:val="231F20"/>
          <w:spacing w:val="6"/>
        </w:rPr>
        <w:t>documento donde </w:t>
      </w:r>
      <w:r>
        <w:rPr>
          <w:color w:val="231F20"/>
          <w:spacing w:val="3"/>
        </w:rPr>
        <w:t>se </w:t>
      </w:r>
      <w:r>
        <w:rPr>
          <w:color w:val="231F20"/>
          <w:spacing w:val="6"/>
        </w:rPr>
        <w:t>detallan </w:t>
      </w:r>
      <w:r>
        <w:rPr>
          <w:color w:val="231F20"/>
        </w:rPr>
        <w:t>y </w:t>
      </w:r>
      <w:r>
        <w:rPr>
          <w:color w:val="231F20"/>
          <w:spacing w:val="6"/>
        </w:rPr>
        <w:t>desglosan las</w:t>
      </w:r>
      <w:r>
        <w:rPr>
          <w:color w:val="231F20"/>
          <w:spacing w:val="64"/>
        </w:rPr>
        <w:t> </w:t>
      </w:r>
      <w:r>
        <w:rPr>
          <w:color w:val="231F20"/>
          <w:spacing w:val="6"/>
        </w:rPr>
        <w:t>deliberaciones </w:t>
      </w:r>
      <w:r>
        <w:rPr>
          <w:color w:val="231F20"/>
        </w:rPr>
        <w:t>y </w:t>
      </w:r>
      <w:r>
        <w:rPr>
          <w:color w:val="231F20"/>
          <w:spacing w:val="3"/>
        </w:rPr>
        <w:t>el </w:t>
      </w:r>
      <w:r>
        <w:rPr>
          <w:color w:val="231F20"/>
          <w:spacing w:val="6"/>
        </w:rPr>
        <w:t>dictamen </w:t>
      </w:r>
      <w:r>
        <w:rPr>
          <w:color w:val="231F20"/>
          <w:spacing w:val="3"/>
        </w:rPr>
        <w:t>es </w:t>
      </w:r>
      <w:r>
        <w:rPr>
          <w:color w:val="231F20"/>
          <w:spacing w:val="6"/>
        </w:rPr>
        <w:t>sumamente interesante porque </w:t>
      </w:r>
      <w:r>
        <w:rPr>
          <w:color w:val="231F20"/>
          <w:spacing w:val="5"/>
        </w:rPr>
        <w:t>dan </w:t>
      </w:r>
      <w:r>
        <w:rPr>
          <w:color w:val="231F20"/>
          <w:spacing w:val="6"/>
        </w:rPr>
        <w:t>cuenta </w:t>
      </w:r>
      <w:r>
        <w:rPr>
          <w:color w:val="231F20"/>
          <w:spacing w:val="4"/>
        </w:rPr>
        <w:t>de los </w:t>
      </w:r>
      <w:r>
        <w:rPr>
          <w:color w:val="231F20"/>
          <w:spacing w:val="5"/>
        </w:rPr>
        <w:t>niveles </w:t>
      </w:r>
      <w:r>
        <w:rPr>
          <w:color w:val="231F20"/>
          <w:spacing w:val="3"/>
        </w:rPr>
        <w:t>en  </w:t>
      </w:r>
      <w:r>
        <w:rPr>
          <w:color w:val="231F20"/>
          <w:spacing w:val="4"/>
        </w:rPr>
        <w:t>los </w:t>
      </w:r>
      <w:r>
        <w:rPr>
          <w:color w:val="231F20"/>
          <w:spacing w:val="5"/>
        </w:rPr>
        <w:t>que </w:t>
      </w:r>
      <w:r>
        <w:rPr>
          <w:color w:val="231F20"/>
          <w:spacing w:val="3"/>
        </w:rPr>
        <w:t>se  </w:t>
      </w:r>
      <w:r>
        <w:rPr>
          <w:color w:val="231F20"/>
          <w:spacing w:val="6"/>
        </w:rPr>
        <w:t>plantean </w:t>
      </w:r>
      <w:r>
        <w:rPr>
          <w:color w:val="231F20"/>
          <w:spacing w:val="4"/>
        </w:rPr>
        <w:t>los </w:t>
      </w:r>
      <w:r>
        <w:rPr>
          <w:color w:val="231F20"/>
          <w:spacing w:val="6"/>
        </w:rPr>
        <w:t>ejercicios</w:t>
      </w:r>
      <w:r>
        <w:rPr>
          <w:color w:val="231F20"/>
          <w:spacing w:val="64"/>
        </w:rPr>
        <w:t> </w:t>
      </w:r>
      <w:r>
        <w:rPr>
          <w:color w:val="231F20"/>
          <w:spacing w:val="4"/>
        </w:rPr>
        <w:t>de </w:t>
      </w:r>
      <w:r>
        <w:rPr>
          <w:color w:val="231F20"/>
          <w:spacing w:val="3"/>
        </w:rPr>
        <w:t>la </w:t>
      </w:r>
      <w:r>
        <w:rPr>
          <w:color w:val="231F20"/>
          <w:spacing w:val="6"/>
        </w:rPr>
        <w:t>violencia </w:t>
      </w:r>
      <w:r>
        <w:rPr>
          <w:color w:val="231F20"/>
        </w:rPr>
        <w:t>y </w:t>
      </w:r>
      <w:r>
        <w:rPr>
          <w:color w:val="231F20"/>
          <w:spacing w:val="4"/>
        </w:rPr>
        <w:t>las </w:t>
      </w:r>
      <w:r>
        <w:rPr>
          <w:color w:val="231F20"/>
          <w:spacing w:val="6"/>
        </w:rPr>
        <w:t>razones </w:t>
      </w:r>
      <w:r>
        <w:rPr>
          <w:color w:val="231F20"/>
          <w:spacing w:val="5"/>
        </w:rPr>
        <w:t>que </w:t>
      </w:r>
      <w:r>
        <w:rPr>
          <w:color w:val="231F20"/>
          <w:spacing w:val="4"/>
        </w:rPr>
        <w:t>los </w:t>
      </w:r>
      <w:r>
        <w:rPr>
          <w:color w:val="231F20"/>
          <w:spacing w:val="6"/>
        </w:rPr>
        <w:t>justifican. Aparecen </w:t>
      </w:r>
      <w:r>
        <w:rPr>
          <w:color w:val="231F20"/>
          <w:spacing w:val="5"/>
        </w:rPr>
        <w:t>ideas, </w:t>
      </w:r>
      <w:r>
        <w:rPr>
          <w:color w:val="231F20"/>
          <w:spacing w:val="6"/>
        </w:rPr>
        <w:t>valores, gestos, actitudes </w:t>
      </w:r>
      <w:r>
        <w:rPr>
          <w:color w:val="231F20"/>
          <w:spacing w:val="5"/>
        </w:rPr>
        <w:t>del lenguaje </w:t>
      </w:r>
      <w:r>
        <w:rPr>
          <w:color w:val="231F20"/>
          <w:spacing w:val="4"/>
        </w:rPr>
        <w:t>de </w:t>
      </w:r>
      <w:r>
        <w:rPr>
          <w:color w:val="231F20"/>
          <w:spacing w:val="3"/>
        </w:rPr>
        <w:t>la </w:t>
      </w:r>
      <w:r>
        <w:rPr>
          <w:color w:val="231F20"/>
          <w:spacing w:val="5"/>
        </w:rPr>
        <w:t>violencia tanto </w:t>
      </w:r>
      <w:r>
        <w:rPr>
          <w:color w:val="231F20"/>
          <w:spacing w:val="4"/>
        </w:rPr>
        <w:t>de </w:t>
      </w:r>
      <w:r>
        <w:rPr>
          <w:color w:val="231F20"/>
          <w:spacing w:val="3"/>
        </w:rPr>
        <w:t>la </w:t>
      </w:r>
      <w:r>
        <w:rPr>
          <w:color w:val="231F20"/>
          <w:spacing w:val="6"/>
        </w:rPr>
        <w:t>autoridad </w:t>
      </w:r>
      <w:r>
        <w:rPr>
          <w:color w:val="231F20"/>
          <w:spacing w:val="5"/>
        </w:rPr>
        <w:t>que </w:t>
      </w:r>
      <w:r>
        <w:rPr>
          <w:color w:val="231F20"/>
          <w:spacing w:val="3"/>
        </w:rPr>
        <w:t>lo </w:t>
      </w:r>
      <w:r>
        <w:rPr>
          <w:color w:val="231F20"/>
          <w:spacing w:val="5"/>
        </w:rPr>
        <w:t>utiliza para, </w:t>
      </w:r>
      <w:r>
        <w:rPr>
          <w:color w:val="231F20"/>
          <w:spacing w:val="6"/>
        </w:rPr>
        <w:t>paradójicamente, legitimarse </w:t>
      </w:r>
      <w:r>
        <w:rPr>
          <w:color w:val="231F20"/>
          <w:spacing w:val="7"/>
        </w:rPr>
        <w:t>co- </w:t>
      </w:r>
      <w:r>
        <w:rPr>
          <w:color w:val="231F20"/>
          <w:spacing w:val="4"/>
        </w:rPr>
        <w:t>mo de </w:t>
      </w:r>
      <w:r>
        <w:rPr>
          <w:color w:val="231F20"/>
          <w:spacing w:val="5"/>
        </w:rPr>
        <w:t>otros </w:t>
      </w:r>
      <w:r>
        <w:rPr>
          <w:color w:val="231F20"/>
          <w:spacing w:val="6"/>
        </w:rPr>
        <w:t>actores </w:t>
      </w:r>
      <w:r>
        <w:rPr>
          <w:color w:val="231F20"/>
          <w:spacing w:val="4"/>
        </w:rPr>
        <w:t>que </w:t>
      </w:r>
      <w:r>
        <w:rPr>
          <w:color w:val="231F20"/>
          <w:spacing w:val="5"/>
        </w:rPr>
        <w:t>habían </w:t>
      </w:r>
      <w:r>
        <w:rPr>
          <w:color w:val="231F20"/>
          <w:spacing w:val="6"/>
        </w:rPr>
        <w:t>permanecido ocultos. </w:t>
      </w:r>
      <w:r>
        <w:rPr>
          <w:color w:val="231F20"/>
          <w:spacing w:val="5"/>
        </w:rPr>
        <w:t>Esto </w:t>
      </w:r>
      <w:r>
        <w:rPr>
          <w:color w:val="231F20"/>
          <w:spacing w:val="3"/>
        </w:rPr>
        <w:t>se </w:t>
      </w:r>
      <w:r>
        <w:rPr>
          <w:color w:val="231F20"/>
          <w:spacing w:val="5"/>
        </w:rPr>
        <w:t>puso </w:t>
      </w:r>
      <w:r>
        <w:rPr>
          <w:color w:val="231F20"/>
          <w:spacing w:val="3"/>
        </w:rPr>
        <w:t>en </w:t>
      </w:r>
      <w:r>
        <w:rPr>
          <w:color w:val="231F20"/>
          <w:spacing w:val="5"/>
        </w:rPr>
        <w:t>claro </w:t>
      </w:r>
      <w:r>
        <w:rPr>
          <w:color w:val="231F20"/>
          <w:spacing w:val="6"/>
        </w:rPr>
        <w:t>cuando </w:t>
      </w:r>
      <w:r>
        <w:rPr>
          <w:color w:val="231F20"/>
          <w:spacing w:val="3"/>
        </w:rPr>
        <w:t>el </w:t>
      </w:r>
      <w:r>
        <w:rPr>
          <w:color w:val="231F20"/>
          <w:spacing w:val="6"/>
        </w:rPr>
        <w:t>Consejo Directivo rechazó </w:t>
      </w:r>
      <w:r>
        <w:rPr>
          <w:color w:val="231F20"/>
          <w:spacing w:val="3"/>
        </w:rPr>
        <w:t>la </w:t>
      </w:r>
      <w:r>
        <w:rPr>
          <w:color w:val="231F20"/>
          <w:spacing w:val="6"/>
        </w:rPr>
        <w:t>mayoría</w:t>
      </w:r>
      <w:r>
        <w:rPr>
          <w:color w:val="231F20"/>
          <w:spacing w:val="64"/>
        </w:rPr>
        <w:t> </w:t>
      </w:r>
      <w:r>
        <w:rPr>
          <w:color w:val="231F20"/>
          <w:spacing w:val="4"/>
        </w:rPr>
        <w:t>de las </w:t>
      </w:r>
      <w:r>
        <w:rPr>
          <w:color w:val="231F20"/>
          <w:spacing w:val="6"/>
        </w:rPr>
        <w:t>solicitudes </w:t>
      </w:r>
      <w:r>
        <w:rPr>
          <w:color w:val="231F20"/>
          <w:spacing w:val="3"/>
        </w:rPr>
        <w:t>y, </w:t>
      </w:r>
      <w:r>
        <w:rPr>
          <w:color w:val="231F20"/>
          <w:spacing w:val="5"/>
        </w:rPr>
        <w:t>para </w:t>
      </w:r>
      <w:r>
        <w:rPr>
          <w:color w:val="231F20"/>
          <w:spacing w:val="6"/>
        </w:rPr>
        <w:t>justificar </w:t>
      </w:r>
      <w:r>
        <w:rPr>
          <w:color w:val="231F20"/>
          <w:spacing w:val="3"/>
        </w:rPr>
        <w:t>su </w:t>
      </w:r>
      <w:r>
        <w:rPr>
          <w:color w:val="231F20"/>
          <w:spacing w:val="6"/>
        </w:rPr>
        <w:t>posición, recurría </w:t>
      </w:r>
      <w:r>
        <w:rPr>
          <w:color w:val="231F20"/>
        </w:rPr>
        <w:t>a </w:t>
      </w:r>
      <w:r>
        <w:rPr>
          <w:color w:val="231F20"/>
          <w:spacing w:val="8"/>
        </w:rPr>
        <w:t>un </w:t>
      </w:r>
      <w:r>
        <w:rPr>
          <w:color w:val="231F20"/>
          <w:spacing w:val="6"/>
        </w:rPr>
        <w:t>discurso mordaz </w:t>
      </w:r>
      <w:r>
        <w:rPr>
          <w:color w:val="231F20"/>
          <w:spacing w:val="5"/>
        </w:rPr>
        <w:t>que </w:t>
      </w:r>
      <w:r>
        <w:rPr>
          <w:color w:val="231F20"/>
          <w:spacing w:val="6"/>
        </w:rPr>
        <w:t>descalificaba </w:t>
      </w:r>
      <w:r>
        <w:rPr>
          <w:color w:val="231F20"/>
          <w:spacing w:val="4"/>
        </w:rPr>
        <w:t>las </w:t>
      </w:r>
      <w:r>
        <w:rPr>
          <w:color w:val="231F20"/>
          <w:spacing w:val="6"/>
        </w:rPr>
        <w:t>acciones estudiantiles </w:t>
      </w:r>
      <w:r>
        <w:rPr>
          <w:color w:val="231F20"/>
        </w:rPr>
        <w:t>y </w:t>
      </w:r>
      <w:r>
        <w:rPr>
          <w:color w:val="231F20"/>
          <w:spacing w:val="3"/>
        </w:rPr>
        <w:t>la </w:t>
      </w:r>
      <w:r>
        <w:rPr>
          <w:color w:val="231F20"/>
          <w:spacing w:val="6"/>
        </w:rPr>
        <w:t>conducta </w:t>
      </w:r>
      <w:r>
        <w:rPr>
          <w:color w:val="231F20"/>
          <w:spacing w:val="4"/>
        </w:rPr>
        <w:t>de los </w:t>
      </w:r>
      <w:r>
        <w:rPr>
          <w:color w:val="231F20"/>
          <w:spacing w:val="6"/>
        </w:rPr>
        <w:t>alumnos. </w:t>
      </w:r>
      <w:r>
        <w:rPr>
          <w:color w:val="231F20"/>
          <w:spacing w:val="4"/>
        </w:rPr>
        <w:t>En </w:t>
      </w:r>
      <w:r>
        <w:rPr>
          <w:color w:val="231F20"/>
          <w:spacing w:val="6"/>
        </w:rPr>
        <w:t>primer </w:t>
      </w:r>
      <w:r>
        <w:rPr>
          <w:color w:val="231F20"/>
          <w:spacing w:val="5"/>
        </w:rPr>
        <w:t>lugar, </w:t>
      </w:r>
      <w:r>
        <w:rPr>
          <w:color w:val="231F20"/>
          <w:spacing w:val="6"/>
        </w:rPr>
        <w:t>describe </w:t>
      </w:r>
      <w:r>
        <w:rPr>
          <w:color w:val="231F20"/>
        </w:rPr>
        <w:t>a </w:t>
      </w:r>
      <w:r>
        <w:rPr>
          <w:color w:val="231F20"/>
          <w:spacing w:val="4"/>
        </w:rPr>
        <w:t>un </w:t>
      </w:r>
      <w:r>
        <w:rPr>
          <w:color w:val="231F20"/>
          <w:spacing w:val="6"/>
        </w:rPr>
        <w:t>grupo</w:t>
      </w:r>
      <w:r>
        <w:rPr>
          <w:color w:val="231F20"/>
          <w:spacing w:val="64"/>
        </w:rPr>
        <w:t> </w:t>
      </w:r>
      <w:r>
        <w:rPr>
          <w:color w:val="231F20"/>
          <w:spacing w:val="4"/>
        </w:rPr>
        <w:t>de </w:t>
      </w:r>
      <w:r>
        <w:rPr>
          <w:color w:val="231F20"/>
          <w:spacing w:val="6"/>
        </w:rPr>
        <w:t>personajes </w:t>
      </w:r>
      <w:r>
        <w:rPr>
          <w:color w:val="231F20"/>
          <w:spacing w:val="5"/>
        </w:rPr>
        <w:t>que, según </w:t>
      </w:r>
      <w:r>
        <w:rPr>
          <w:color w:val="231F20"/>
          <w:spacing w:val="3"/>
        </w:rPr>
        <w:t>se  </w:t>
      </w:r>
      <w:r>
        <w:rPr>
          <w:color w:val="231F20"/>
          <w:spacing w:val="6"/>
        </w:rPr>
        <w:t>aseguraba, </w:t>
      </w:r>
      <w:r>
        <w:rPr>
          <w:color w:val="231F20"/>
          <w:spacing w:val="5"/>
        </w:rPr>
        <w:t>tenían </w:t>
      </w:r>
      <w:r>
        <w:rPr>
          <w:color w:val="231F20"/>
          <w:spacing w:val="3"/>
        </w:rPr>
        <w:t>el  </w:t>
      </w:r>
      <w:r>
        <w:rPr>
          <w:color w:val="231F20"/>
          <w:spacing w:val="6"/>
        </w:rPr>
        <w:t>mayor </w:t>
      </w:r>
      <w:r>
        <w:rPr>
          <w:color w:val="231F20"/>
          <w:spacing w:val="5"/>
        </w:rPr>
        <w:t>grado  </w:t>
      </w:r>
      <w:r>
        <w:rPr>
          <w:color w:val="231F20"/>
          <w:spacing w:val="4"/>
        </w:rPr>
        <w:t>de</w:t>
      </w:r>
      <w:r>
        <w:rPr>
          <w:color w:val="231F20"/>
          <w:spacing w:val="-2"/>
        </w:rPr>
        <w:t> </w:t>
      </w:r>
      <w:r>
        <w:rPr>
          <w:color w:val="231F20"/>
          <w:spacing w:val="6"/>
        </w:rPr>
        <w:t>responsabilidad:</w:t>
      </w:r>
    </w:p>
    <w:p>
      <w:pPr>
        <w:pStyle w:val="BodyText"/>
        <w:rPr>
          <w:sz w:val="23"/>
        </w:rPr>
      </w:pPr>
    </w:p>
    <w:p>
      <w:pPr>
        <w:spacing w:line="273" w:lineRule="auto" w:before="1"/>
        <w:ind w:left="810" w:right="164" w:firstLine="0"/>
        <w:jc w:val="both"/>
        <w:rPr>
          <w:sz w:val="19"/>
        </w:rPr>
      </w:pPr>
      <w:r>
        <w:rPr>
          <w:color w:val="231F20"/>
          <w:sz w:val="19"/>
        </w:rPr>
        <w:t>Resulta de incontrovertible veracidad, por ser hechos públicos y notorios, que en todo género de reuniones estudiantiles, con motivo y en ocasión de la huelga fueron cabezas sobresalientes por su incorrección y propósitos de escándalo […] Los mismos alumnos eran líderes que arrastraban a sus compañeros a todo género de excesos, con la intervención de connotados elementos de desorden, como lo es el señor Manuel Estrada Ocampo, ad- mitido por el señor Lic. Eduardo Perera Castillo, condicional- mente y en propósitos regenerativos(AHUAEM, c. 206, exp.  7114, 1940).</w:t>
      </w:r>
    </w:p>
    <w:p>
      <w:pPr>
        <w:pStyle w:val="BodyText"/>
        <w:rPr>
          <w:sz w:val="19"/>
        </w:rPr>
      </w:pPr>
    </w:p>
    <w:p>
      <w:pPr>
        <w:pStyle w:val="BodyText"/>
        <w:ind w:left="386" w:right="121"/>
      </w:pPr>
      <w:r>
        <w:rPr>
          <w:color w:val="231F20"/>
        </w:rPr>
        <w:t>En ese mismo documento también puede leerse:</w:t>
      </w:r>
    </w:p>
    <w:p>
      <w:pPr>
        <w:pStyle w:val="BodyText"/>
        <w:spacing w:before="2"/>
        <w:rPr>
          <w:sz w:val="18"/>
        </w:rPr>
      </w:pPr>
    </w:p>
    <w:p>
      <w:pPr>
        <w:pStyle w:val="ListParagraph"/>
        <w:numPr>
          <w:ilvl w:val="1"/>
          <w:numId w:val="2"/>
        </w:numPr>
        <w:tabs>
          <w:tab w:pos="1061" w:val="left" w:leader="none"/>
        </w:tabs>
        <w:spacing w:line="247" w:lineRule="auto" w:before="0" w:after="0"/>
        <w:ind w:left="811" w:right="114" w:firstLine="0"/>
        <w:jc w:val="both"/>
        <w:rPr>
          <w:color w:val="231F20"/>
          <w:sz w:val="19"/>
        </w:rPr>
      </w:pPr>
      <w:r>
        <w:rPr>
          <w:color w:val="231F20"/>
          <w:sz w:val="19"/>
        </w:rPr>
        <w:t>Consejo Directivo: “La Comisión que subscribe ha hecho una investigación que descansa en los informes de los prefectos, de   los catedráticos y de los estudiantes para determinar el grado de responsabilidad de los alumnos expulsados…; Circular. El Consejo Directivo del Instituto, Patria, Ciencia y Trabajo. Toluca, Méx., 30 de mayo de 1940. El director, Lic. Alfonso</w:t>
      </w:r>
      <w:r>
        <w:rPr>
          <w:color w:val="231F20"/>
          <w:spacing w:val="23"/>
          <w:sz w:val="19"/>
        </w:rPr>
        <w:t> </w:t>
      </w:r>
      <w:r>
        <w:rPr>
          <w:color w:val="231F20"/>
          <w:sz w:val="19"/>
        </w:rPr>
        <w:t>Ortega”.</w:t>
      </w:r>
    </w:p>
    <w:p>
      <w:pPr>
        <w:spacing w:after="0" w:line="247" w:lineRule="auto"/>
        <w:jc w:val="both"/>
        <w:rPr>
          <w:sz w:val="19"/>
        </w:rPr>
        <w:sectPr>
          <w:headerReference w:type="default" r:id="rId292"/>
          <w:footerReference w:type="default" r:id="rId293"/>
          <w:pgSz w:w="7830" w:h="11910"/>
          <w:pgMar w:header="0" w:footer="424" w:top="500" w:bottom="620" w:left="920" w:right="900"/>
          <w:pgNumType w:start="13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rPr>
          <w:sz w:val="16"/>
        </w:rPr>
      </w:pPr>
    </w:p>
    <w:p>
      <w:pPr>
        <w:pStyle w:val="BodyText"/>
        <w:spacing w:before="8"/>
        <w:rPr>
          <w:sz w:val="13"/>
        </w:rPr>
      </w:pPr>
    </w:p>
    <w:p>
      <w:pPr>
        <w:pStyle w:val="BodyText"/>
        <w:spacing w:line="249" w:lineRule="auto"/>
        <w:ind w:left="102" w:right="115" w:firstLine="284"/>
        <w:jc w:val="both"/>
      </w:pPr>
      <w:r>
        <w:rPr>
          <w:color w:val="231F20"/>
        </w:rPr>
        <w:t>Asimismo, se alegaba que esos mismos estudiantes habían enca- bezado el “movimiento de indisciplina” en contra de la clase del profesor Uribe Ruiz, a quien se le había agredido físicamente en un acto público. De esta manera, la narrativa del texto introdujo nuevos elementos anteriores a la huelga, causa directa del enjuiciamiento contra los expulsados, para justificar la ratificación de la severa pena pues algunos de ellos habían tolerado y “cooperado con su presencia a dar impunidad”. A ello se añadían las acusaciones por agresiones físicas que habían sufrido otros profesores, quienes habían sido gol- peados, raptados o injuriados, “llegando en alboroto censurable”. Así,</w:t>
      </w:r>
      <w:r>
        <w:rPr>
          <w:color w:val="231F20"/>
          <w:spacing w:val="-11"/>
        </w:rPr>
        <w:t> </w:t>
      </w:r>
      <w:r>
        <w:rPr>
          <w:color w:val="231F20"/>
        </w:rPr>
        <w:t>por</w:t>
      </w:r>
      <w:r>
        <w:rPr>
          <w:color w:val="231F20"/>
          <w:spacing w:val="-11"/>
        </w:rPr>
        <w:t> </w:t>
      </w:r>
      <w:r>
        <w:rPr>
          <w:color w:val="231F20"/>
        </w:rPr>
        <w:t>haber</w:t>
      </w:r>
      <w:r>
        <w:rPr>
          <w:color w:val="231F20"/>
          <w:spacing w:val="-11"/>
        </w:rPr>
        <w:t> </w:t>
      </w:r>
      <w:r>
        <w:rPr>
          <w:color w:val="231F20"/>
        </w:rPr>
        <w:t>participado</w:t>
      </w:r>
      <w:r>
        <w:rPr>
          <w:color w:val="231F20"/>
          <w:spacing w:val="-10"/>
        </w:rPr>
        <w:t> </w:t>
      </w:r>
      <w:r>
        <w:rPr>
          <w:color w:val="231F20"/>
        </w:rPr>
        <w:t>en</w:t>
      </w:r>
      <w:r>
        <w:rPr>
          <w:color w:val="231F20"/>
          <w:spacing w:val="-10"/>
        </w:rPr>
        <w:t> </w:t>
      </w:r>
      <w:r>
        <w:rPr>
          <w:color w:val="231F20"/>
        </w:rPr>
        <w:t>la</w:t>
      </w:r>
      <w:r>
        <w:rPr>
          <w:color w:val="231F20"/>
          <w:spacing w:val="-11"/>
        </w:rPr>
        <w:t> </w:t>
      </w:r>
      <w:r>
        <w:rPr>
          <w:color w:val="231F20"/>
        </w:rPr>
        <w:t>convocatoria</w:t>
      </w:r>
      <w:r>
        <w:rPr>
          <w:color w:val="231F20"/>
          <w:spacing w:val="-11"/>
        </w:rPr>
        <w:t> </w:t>
      </w:r>
      <w:r>
        <w:rPr>
          <w:color w:val="231F20"/>
        </w:rPr>
        <w:t>y</w:t>
      </w:r>
      <w:r>
        <w:rPr>
          <w:color w:val="231F20"/>
          <w:spacing w:val="-11"/>
        </w:rPr>
        <w:t> </w:t>
      </w:r>
      <w:r>
        <w:rPr>
          <w:color w:val="231F20"/>
        </w:rPr>
        <w:t>en</w:t>
      </w:r>
      <w:r>
        <w:rPr>
          <w:color w:val="231F20"/>
          <w:spacing w:val="-10"/>
        </w:rPr>
        <w:t> </w:t>
      </w:r>
      <w:r>
        <w:rPr>
          <w:color w:val="231F20"/>
        </w:rPr>
        <w:t>la</w:t>
      </w:r>
      <w:r>
        <w:rPr>
          <w:color w:val="231F20"/>
          <w:spacing w:val="-11"/>
        </w:rPr>
        <w:t> </w:t>
      </w:r>
      <w:r>
        <w:rPr>
          <w:color w:val="231F20"/>
        </w:rPr>
        <w:t>declaración</w:t>
      </w:r>
      <w:r>
        <w:rPr>
          <w:color w:val="231F20"/>
          <w:spacing w:val="-10"/>
        </w:rPr>
        <w:t> </w:t>
      </w:r>
      <w:r>
        <w:rPr>
          <w:color w:val="231F20"/>
        </w:rPr>
        <w:t>de</w:t>
      </w:r>
      <w:r>
        <w:rPr>
          <w:color w:val="231F20"/>
          <w:spacing w:val="-11"/>
        </w:rPr>
        <w:t> </w:t>
      </w:r>
      <w:r>
        <w:rPr>
          <w:color w:val="231F20"/>
        </w:rPr>
        <w:t>la huelga, así como en los actos violentos que se describían, se juzgaba que los sancionados compartían una responsabilidad colectiva en tanto que “figuran como directores de la huelga”, promoviendo “la ruptura de la disciplina escolar”, “continuarán el estado de huelga”, “la</w:t>
      </w:r>
      <w:r>
        <w:rPr>
          <w:color w:val="231F20"/>
          <w:spacing w:val="-6"/>
        </w:rPr>
        <w:t> </w:t>
      </w:r>
      <w:r>
        <w:rPr>
          <w:color w:val="231F20"/>
        </w:rPr>
        <w:t>necesidad</w:t>
      </w:r>
      <w:r>
        <w:rPr>
          <w:color w:val="231F20"/>
          <w:spacing w:val="-5"/>
        </w:rPr>
        <w:t> </w:t>
      </w:r>
      <w:r>
        <w:rPr>
          <w:color w:val="231F20"/>
        </w:rPr>
        <w:t>represiva</w:t>
      </w:r>
      <w:r>
        <w:rPr>
          <w:color w:val="231F20"/>
          <w:spacing w:val="-6"/>
        </w:rPr>
        <w:t> </w:t>
      </w:r>
      <w:r>
        <w:rPr>
          <w:color w:val="231F20"/>
        </w:rPr>
        <w:t>decretada</w:t>
      </w:r>
      <w:r>
        <w:rPr>
          <w:color w:val="231F20"/>
          <w:spacing w:val="-6"/>
        </w:rPr>
        <w:t> </w:t>
      </w:r>
      <w:r>
        <w:rPr>
          <w:color w:val="231F20"/>
        </w:rPr>
        <w:t>por</w:t>
      </w:r>
      <w:r>
        <w:rPr>
          <w:color w:val="231F20"/>
          <w:spacing w:val="-6"/>
        </w:rPr>
        <w:t> </w:t>
      </w:r>
      <w:r>
        <w:rPr>
          <w:color w:val="231F20"/>
        </w:rPr>
        <w:t>este</w:t>
      </w:r>
      <w:r>
        <w:rPr>
          <w:color w:val="231F20"/>
          <w:spacing w:val="-6"/>
        </w:rPr>
        <w:t> </w:t>
      </w:r>
      <w:r>
        <w:rPr>
          <w:color w:val="231F20"/>
        </w:rPr>
        <w:t>organismo</w:t>
      </w:r>
      <w:r>
        <w:rPr>
          <w:color w:val="231F20"/>
          <w:spacing w:val="-5"/>
        </w:rPr>
        <w:t> </w:t>
      </w:r>
      <w:r>
        <w:rPr>
          <w:color w:val="231F20"/>
        </w:rPr>
        <w:t>director”.</w:t>
      </w:r>
      <w:r>
        <w:rPr>
          <w:color w:val="231F20"/>
          <w:spacing w:val="-7"/>
        </w:rPr>
        <w:t> </w:t>
      </w:r>
      <w:r>
        <w:rPr>
          <w:color w:val="231F20"/>
        </w:rPr>
        <w:t>Estas consideraciones, en realidad tenían su origen más inquietante, lo que el notario y catedrático del Instituto Protasio I. Gómez había califi- cado de “clima de desintegración social”. El Consejo Directivo iden- tificó y exhibió a los actores que, según él, habían tenido relaciones estrechas con los estudiantes huelguistas porque eran “quienes con- servan íntimo contacto con los excatedráticos cesados y con los fac- tores políticos que han estado agitando la indisciplina [</w:t>
      </w:r>
      <w:r>
        <w:rPr>
          <w:i/>
          <w:color w:val="231F20"/>
        </w:rPr>
        <w:t>sic</w:t>
      </w:r>
      <w:r>
        <w:rPr>
          <w:color w:val="231F20"/>
        </w:rPr>
        <w:t>]” </w:t>
      </w:r>
      <w:r>
        <w:rPr>
          <w:color w:val="231F20"/>
          <w:spacing w:val="3"/>
        </w:rPr>
        <w:t>(AHUAEM, </w:t>
      </w:r>
      <w:r>
        <w:rPr>
          <w:color w:val="231F20"/>
        </w:rPr>
        <w:t>c. </w:t>
      </w:r>
      <w:r>
        <w:rPr>
          <w:color w:val="231F20"/>
          <w:spacing w:val="2"/>
        </w:rPr>
        <w:t>206, exp. 7114,</w:t>
      </w:r>
      <w:r>
        <w:rPr>
          <w:color w:val="231F20"/>
          <w:spacing w:val="-37"/>
        </w:rPr>
        <w:t> </w:t>
      </w:r>
      <w:r>
        <w:rPr>
          <w:color w:val="231F20"/>
        </w:rPr>
        <w:t>1940).</w:t>
      </w:r>
    </w:p>
    <w:p>
      <w:pPr>
        <w:pStyle w:val="BodyText"/>
        <w:spacing w:line="249" w:lineRule="auto"/>
        <w:ind w:left="103" w:right="114" w:firstLine="284"/>
        <w:jc w:val="both"/>
      </w:pPr>
      <w:r>
        <w:rPr>
          <w:color w:val="231F20"/>
        </w:rPr>
        <w:t>Ahora bien, un aspecto revelador de los usos de la violencia es la presión que recibieron los estudiantes que gozaban de una beca otorgada por el gobierno estatal para obligarlos a desistirse de su apoyo a la huelga y a recibir clases fuera de las instalaciones del Instituto. Dichas becas se les dispensaban en razón de su buen desempeño académico y por su condición de pobreza. Ante la ne- gativa de estos, el Consejo había decidido su expulsión definitiva, pero en consideración de la solicitud de los padres o tutores, de las pesquisas ordenadas por el mismo, se había concluido que su parti- cipación había sido mínima y por sus antecedentes de conducta y aprovechamiento se les autorizaba una “admisión condicional con apercibimiento de que si se mezclan en desórdenes futuros, dejando incumplida su promesa de buena conducta, será ratificada su expul- sión definitiva”. Enseguida aparecía un grupo de participantes   que,</w:t>
      </w:r>
    </w:p>
    <w:p>
      <w:pPr>
        <w:spacing w:after="0" w:line="249" w:lineRule="auto"/>
        <w:jc w:val="both"/>
        <w:sectPr>
          <w:headerReference w:type="default" r:id="rId294"/>
          <w:footerReference w:type="default" r:id="rId295"/>
          <w:pgSz w:w="7830" w:h="11910"/>
          <w:pgMar w:header="0" w:footer="424" w:top="500" w:bottom="620" w:left="920" w:right="900"/>
          <w:pgNumType w:start="13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6"/>
        <w:jc w:val="both"/>
      </w:pPr>
      <w:r>
        <w:rPr>
          <w:color w:val="231F20"/>
        </w:rPr>
        <w:t>por su propia invisibilidad, se les presentaba en una condición pre- caria y desvalorizada en la lógica institucional. Este grupo se inte- graba por mujeresestudiantes que recibieron la gracia de una san- ción menor, “exclusión de expulsión a favor de…”, por lo que únicamente se les imponía un amonestación o bien la “expulsión de un mes” sin dar mayores detalles de los motivos para reconsiderar</w:t>
      </w:r>
    </w:p>
    <w:p>
      <w:pPr>
        <w:pStyle w:val="BodyText"/>
        <w:spacing w:line="248" w:lineRule="exact"/>
        <w:ind w:left="102"/>
        <w:jc w:val="both"/>
        <w:rPr>
          <w:rFonts w:ascii="Segoe UI"/>
          <w:i/>
        </w:rPr>
      </w:pPr>
      <w:r>
        <w:rPr>
          <w:color w:val="231F20"/>
        </w:rPr>
        <w:t>sus casos y sus sentencias (AHUAEM, c. 206, exp. 7114, 1940)</w:t>
      </w:r>
      <w:r>
        <w:rPr>
          <w:rFonts w:ascii="Segoe UI"/>
          <w:i/>
          <w:color w:val="231F20"/>
        </w:rPr>
        <w:t>.</w:t>
      </w:r>
    </w:p>
    <w:p>
      <w:pPr>
        <w:pStyle w:val="BodyText"/>
        <w:spacing w:line="249" w:lineRule="auto" w:before="1"/>
        <w:ind w:left="101" w:right="115" w:firstLine="284"/>
        <w:jc w:val="both"/>
      </w:pPr>
      <w:r>
        <w:rPr>
          <w:color w:val="231F20"/>
        </w:rPr>
        <w:t>A </w:t>
      </w:r>
      <w:r>
        <w:rPr>
          <w:color w:val="231F20"/>
          <w:spacing w:val="2"/>
        </w:rPr>
        <w:t>este respecto, cabe apuntar </w:t>
      </w:r>
      <w:r>
        <w:rPr>
          <w:color w:val="231F20"/>
        </w:rPr>
        <w:t>que </w:t>
      </w:r>
      <w:r>
        <w:rPr>
          <w:color w:val="231F20"/>
          <w:spacing w:val="2"/>
        </w:rPr>
        <w:t>puede </w:t>
      </w:r>
      <w:r>
        <w:rPr>
          <w:color w:val="231F20"/>
          <w:spacing w:val="3"/>
        </w:rPr>
        <w:t>reconocerse </w:t>
      </w:r>
      <w:r>
        <w:rPr>
          <w:color w:val="231F20"/>
        </w:rPr>
        <w:t>que </w:t>
      </w:r>
      <w:r>
        <w:rPr>
          <w:color w:val="231F20"/>
          <w:spacing w:val="3"/>
        </w:rPr>
        <w:t>hay </w:t>
      </w:r>
      <w:r>
        <w:rPr>
          <w:color w:val="231F20"/>
          <w:spacing w:val="2"/>
        </w:rPr>
        <w:t>factores </w:t>
      </w:r>
      <w:r>
        <w:rPr>
          <w:color w:val="231F20"/>
        </w:rPr>
        <w:t>que </w:t>
      </w:r>
      <w:r>
        <w:rPr>
          <w:color w:val="231F20"/>
          <w:spacing w:val="2"/>
        </w:rPr>
        <w:t>pueden </w:t>
      </w:r>
      <w:r>
        <w:rPr>
          <w:color w:val="231F20"/>
        </w:rPr>
        <w:t>ser </w:t>
      </w:r>
      <w:r>
        <w:rPr>
          <w:color w:val="231F20"/>
          <w:spacing w:val="2"/>
        </w:rPr>
        <w:t>fuentes </w:t>
      </w:r>
      <w:r>
        <w:rPr>
          <w:color w:val="231F20"/>
        </w:rPr>
        <w:t>de </w:t>
      </w:r>
      <w:r>
        <w:rPr>
          <w:color w:val="231F20"/>
          <w:spacing w:val="2"/>
        </w:rPr>
        <w:t>conflicto </w:t>
      </w:r>
      <w:r>
        <w:rPr>
          <w:color w:val="231F20"/>
        </w:rPr>
        <w:t>y </w:t>
      </w:r>
      <w:r>
        <w:rPr>
          <w:color w:val="231F20"/>
          <w:spacing w:val="2"/>
        </w:rPr>
        <w:t>tensiones, </w:t>
      </w:r>
      <w:r>
        <w:rPr>
          <w:color w:val="231F20"/>
        </w:rPr>
        <w:t>de </w:t>
      </w:r>
      <w:r>
        <w:rPr>
          <w:color w:val="231F20"/>
          <w:spacing w:val="3"/>
        </w:rPr>
        <w:t>indis- </w:t>
      </w:r>
      <w:r>
        <w:rPr>
          <w:color w:val="231F20"/>
          <w:spacing w:val="2"/>
        </w:rPr>
        <w:t>ciplina </w:t>
      </w:r>
      <w:r>
        <w:rPr>
          <w:color w:val="231F20"/>
        </w:rPr>
        <w:t>y de </w:t>
      </w:r>
      <w:r>
        <w:rPr>
          <w:color w:val="231F20"/>
          <w:spacing w:val="3"/>
        </w:rPr>
        <w:t>desorden </w:t>
      </w:r>
      <w:r>
        <w:rPr>
          <w:color w:val="231F20"/>
          <w:spacing w:val="2"/>
        </w:rPr>
        <w:t>escolar; pero estos tienen </w:t>
      </w:r>
      <w:r>
        <w:rPr>
          <w:color w:val="231F20"/>
        </w:rPr>
        <w:t>un </w:t>
      </w:r>
      <w:r>
        <w:rPr>
          <w:color w:val="231F20"/>
          <w:spacing w:val="2"/>
        </w:rPr>
        <w:t>límite </w:t>
      </w:r>
      <w:r>
        <w:rPr>
          <w:color w:val="231F20"/>
        </w:rPr>
        <w:t>y </w:t>
      </w:r>
      <w:r>
        <w:rPr>
          <w:color w:val="231F20"/>
          <w:spacing w:val="2"/>
        </w:rPr>
        <w:t>pueden </w:t>
      </w:r>
      <w:r>
        <w:rPr>
          <w:color w:val="231F20"/>
        </w:rPr>
        <w:t>ser </w:t>
      </w:r>
      <w:r>
        <w:rPr>
          <w:color w:val="231F20"/>
          <w:spacing w:val="3"/>
        </w:rPr>
        <w:t>acotados. </w:t>
      </w:r>
      <w:r>
        <w:rPr>
          <w:color w:val="231F20"/>
        </w:rPr>
        <w:t>En </w:t>
      </w:r>
      <w:r>
        <w:rPr>
          <w:color w:val="231F20"/>
          <w:spacing w:val="2"/>
        </w:rPr>
        <w:t>general, </w:t>
      </w:r>
      <w:r>
        <w:rPr>
          <w:color w:val="231F20"/>
        </w:rPr>
        <w:t>lo que no es </w:t>
      </w:r>
      <w:r>
        <w:rPr>
          <w:color w:val="231F20"/>
          <w:spacing w:val="2"/>
        </w:rPr>
        <w:t>permisible </w:t>
      </w:r>
      <w:r>
        <w:rPr>
          <w:color w:val="231F20"/>
        </w:rPr>
        <w:t>es que </w:t>
      </w:r>
      <w:r>
        <w:rPr>
          <w:color w:val="231F20"/>
          <w:spacing w:val="3"/>
        </w:rPr>
        <w:t>puedan conducir </w:t>
      </w:r>
      <w:r>
        <w:rPr>
          <w:color w:val="231F20"/>
        </w:rPr>
        <w:t>a </w:t>
      </w:r>
      <w:r>
        <w:rPr>
          <w:color w:val="231F20"/>
          <w:spacing w:val="2"/>
        </w:rPr>
        <w:t>una </w:t>
      </w:r>
      <w:r>
        <w:rPr>
          <w:color w:val="231F20"/>
          <w:spacing w:val="3"/>
        </w:rPr>
        <w:t>ruptura </w:t>
      </w:r>
      <w:r>
        <w:rPr>
          <w:color w:val="231F20"/>
          <w:spacing w:val="2"/>
        </w:rPr>
        <w:t>del orden interno, </w:t>
      </w:r>
      <w:r>
        <w:rPr>
          <w:color w:val="231F20"/>
        </w:rPr>
        <w:t>y </w:t>
      </w:r>
      <w:r>
        <w:rPr>
          <w:color w:val="231F20"/>
          <w:spacing w:val="3"/>
        </w:rPr>
        <w:t>menos, </w:t>
      </w:r>
      <w:r>
        <w:rPr>
          <w:color w:val="231F20"/>
        </w:rPr>
        <w:t>que </w:t>
      </w:r>
      <w:r>
        <w:rPr>
          <w:color w:val="231F20"/>
          <w:spacing w:val="2"/>
        </w:rPr>
        <w:t>esta </w:t>
      </w:r>
      <w:r>
        <w:rPr>
          <w:color w:val="231F20"/>
        </w:rPr>
        <w:t>sea </w:t>
      </w:r>
      <w:r>
        <w:rPr>
          <w:color w:val="231F20"/>
          <w:spacing w:val="2"/>
        </w:rPr>
        <w:t>atribuible </w:t>
      </w:r>
      <w:r>
        <w:rPr>
          <w:color w:val="231F20"/>
        </w:rPr>
        <w:t>a la </w:t>
      </w:r>
      <w:r>
        <w:rPr>
          <w:color w:val="231F20"/>
          <w:spacing w:val="2"/>
        </w:rPr>
        <w:t>pérdida </w:t>
      </w:r>
      <w:r>
        <w:rPr>
          <w:color w:val="231F20"/>
        </w:rPr>
        <w:t>de </w:t>
      </w:r>
      <w:r>
        <w:rPr>
          <w:color w:val="231F20"/>
          <w:spacing w:val="2"/>
        </w:rPr>
        <w:t>autoridad, </w:t>
      </w:r>
      <w:r>
        <w:rPr>
          <w:color w:val="231F20"/>
        </w:rPr>
        <w:t>que en su </w:t>
      </w:r>
      <w:r>
        <w:rPr>
          <w:color w:val="231F20"/>
          <w:spacing w:val="2"/>
        </w:rPr>
        <w:t>ejercicio, entraña, </w:t>
      </w:r>
      <w:r>
        <w:rPr>
          <w:color w:val="231F20"/>
        </w:rPr>
        <w:t>y </w:t>
      </w:r>
      <w:r>
        <w:rPr>
          <w:color w:val="231F20"/>
          <w:spacing w:val="2"/>
        </w:rPr>
        <w:t>por </w:t>
      </w:r>
      <w:r>
        <w:rPr>
          <w:color w:val="231F20"/>
        </w:rPr>
        <w:t>eso </w:t>
      </w:r>
      <w:r>
        <w:rPr>
          <w:color w:val="231F20"/>
          <w:spacing w:val="3"/>
        </w:rPr>
        <w:t>misma </w:t>
      </w:r>
      <w:r>
        <w:rPr>
          <w:color w:val="231F20"/>
          <w:spacing w:val="2"/>
        </w:rPr>
        <w:t>propicia </w:t>
      </w:r>
      <w:r>
        <w:rPr>
          <w:color w:val="231F20"/>
        </w:rPr>
        <w:t>el </w:t>
      </w:r>
      <w:r>
        <w:rPr>
          <w:color w:val="231F20"/>
          <w:spacing w:val="2"/>
        </w:rPr>
        <w:t>malestar </w:t>
      </w:r>
      <w:r>
        <w:rPr>
          <w:color w:val="231F20"/>
        </w:rPr>
        <w:t>y las </w:t>
      </w:r>
      <w:r>
        <w:rPr>
          <w:color w:val="231F20"/>
          <w:spacing w:val="2"/>
        </w:rPr>
        <w:t>acciones </w:t>
      </w:r>
      <w:r>
        <w:rPr>
          <w:color w:val="231F20"/>
        </w:rPr>
        <w:t>que </w:t>
      </w:r>
      <w:r>
        <w:rPr>
          <w:color w:val="231F20"/>
          <w:spacing w:val="2"/>
        </w:rPr>
        <w:t>conducen </w:t>
      </w:r>
      <w:r>
        <w:rPr>
          <w:color w:val="231F20"/>
        </w:rPr>
        <w:t>a </w:t>
      </w:r>
      <w:r>
        <w:rPr>
          <w:color w:val="231F20"/>
          <w:spacing w:val="2"/>
        </w:rPr>
        <w:t>disentir </w:t>
      </w:r>
      <w:r>
        <w:rPr>
          <w:color w:val="231F20"/>
        </w:rPr>
        <w:t>de la </w:t>
      </w:r>
      <w:r>
        <w:rPr>
          <w:color w:val="231F20"/>
          <w:spacing w:val="2"/>
        </w:rPr>
        <w:t>base </w:t>
      </w:r>
      <w:r>
        <w:rPr>
          <w:color w:val="231F20"/>
        </w:rPr>
        <w:t>o de </w:t>
      </w:r>
      <w:r>
        <w:rPr>
          <w:color w:val="231F20"/>
          <w:spacing w:val="2"/>
        </w:rPr>
        <w:t>algunos principios </w:t>
      </w:r>
      <w:r>
        <w:rPr>
          <w:color w:val="231F20"/>
        </w:rPr>
        <w:t>de la </w:t>
      </w:r>
      <w:r>
        <w:rPr>
          <w:color w:val="231F20"/>
          <w:spacing w:val="2"/>
        </w:rPr>
        <w:t>autoridad </w:t>
      </w:r>
      <w:r>
        <w:rPr>
          <w:color w:val="231F20"/>
        </w:rPr>
        <w:t>y de su </w:t>
      </w:r>
      <w:r>
        <w:rPr>
          <w:color w:val="231F20"/>
          <w:spacing w:val="2"/>
        </w:rPr>
        <w:t>legitimidad. Por eso, </w:t>
      </w:r>
      <w:r>
        <w:rPr>
          <w:color w:val="231F20"/>
          <w:spacing w:val="3"/>
        </w:rPr>
        <w:t>cuando </w:t>
      </w:r>
      <w:r>
        <w:rPr>
          <w:color w:val="231F20"/>
        </w:rPr>
        <w:t>la </w:t>
      </w:r>
      <w:r>
        <w:rPr>
          <w:color w:val="231F20"/>
          <w:spacing w:val="2"/>
        </w:rPr>
        <w:t>autoridad </w:t>
      </w:r>
      <w:r>
        <w:rPr>
          <w:color w:val="231F20"/>
        </w:rPr>
        <w:t>y el </w:t>
      </w:r>
      <w:r>
        <w:rPr>
          <w:color w:val="231F20"/>
          <w:spacing w:val="3"/>
        </w:rPr>
        <w:t>funcionamiento </w:t>
      </w:r>
      <w:r>
        <w:rPr>
          <w:color w:val="231F20"/>
          <w:spacing w:val="2"/>
        </w:rPr>
        <w:t>del orden escolar </w:t>
      </w:r>
      <w:r>
        <w:rPr>
          <w:color w:val="231F20"/>
        </w:rPr>
        <w:t>se </w:t>
      </w:r>
      <w:r>
        <w:rPr>
          <w:color w:val="231F20"/>
          <w:spacing w:val="2"/>
        </w:rPr>
        <w:t>discuten </w:t>
      </w:r>
      <w:r>
        <w:rPr>
          <w:color w:val="231F20"/>
        </w:rPr>
        <w:t>y se </w:t>
      </w:r>
      <w:r>
        <w:rPr>
          <w:color w:val="231F20"/>
          <w:spacing w:val="2"/>
        </w:rPr>
        <w:t>debilitan, </w:t>
      </w:r>
      <w:r>
        <w:rPr>
          <w:color w:val="231F20"/>
        </w:rPr>
        <w:t>la </w:t>
      </w:r>
      <w:r>
        <w:rPr>
          <w:color w:val="231F20"/>
          <w:spacing w:val="2"/>
        </w:rPr>
        <w:t>autoridad organiza una narrativa </w:t>
      </w:r>
      <w:r>
        <w:rPr>
          <w:color w:val="231F20"/>
        </w:rPr>
        <w:t>que </w:t>
      </w:r>
      <w:r>
        <w:rPr>
          <w:color w:val="231F20"/>
          <w:spacing w:val="2"/>
        </w:rPr>
        <w:t>inculpa </w:t>
      </w:r>
      <w:r>
        <w:rPr>
          <w:color w:val="231F20"/>
        </w:rPr>
        <w:t>a </w:t>
      </w:r>
      <w:r>
        <w:rPr>
          <w:color w:val="231F20"/>
          <w:spacing w:val="2"/>
        </w:rPr>
        <w:t>los “otros” </w:t>
      </w:r>
      <w:r>
        <w:rPr>
          <w:color w:val="231F20"/>
          <w:spacing w:val="3"/>
        </w:rPr>
        <w:t>como </w:t>
      </w:r>
      <w:r>
        <w:rPr>
          <w:color w:val="231F20"/>
          <w:spacing w:val="2"/>
        </w:rPr>
        <w:t>influencias negativas,  con </w:t>
      </w:r>
      <w:r>
        <w:rPr>
          <w:color w:val="231F20"/>
        </w:rPr>
        <w:t>el </w:t>
      </w:r>
      <w:r>
        <w:rPr>
          <w:color w:val="231F20"/>
          <w:spacing w:val="3"/>
        </w:rPr>
        <w:t>propósito </w:t>
      </w:r>
      <w:r>
        <w:rPr>
          <w:color w:val="231F20"/>
        </w:rPr>
        <w:t>de </w:t>
      </w:r>
      <w:r>
        <w:rPr>
          <w:color w:val="231F20"/>
          <w:spacing w:val="2"/>
        </w:rPr>
        <w:t>desacreditar ciertas prácticas </w:t>
      </w:r>
      <w:r>
        <w:rPr>
          <w:color w:val="231F20"/>
        </w:rPr>
        <w:t>al </w:t>
      </w:r>
      <w:r>
        <w:rPr>
          <w:color w:val="231F20"/>
          <w:spacing w:val="2"/>
        </w:rPr>
        <w:t>juzgarlas agre- sivas </w:t>
      </w:r>
      <w:r>
        <w:rPr>
          <w:color w:val="231F20"/>
        </w:rPr>
        <w:t>e </w:t>
      </w:r>
      <w:r>
        <w:rPr>
          <w:color w:val="231F20"/>
          <w:spacing w:val="2"/>
        </w:rPr>
        <w:t>ilegítimas, </w:t>
      </w:r>
      <w:r>
        <w:rPr>
          <w:color w:val="231F20"/>
        </w:rPr>
        <w:t>y de ese </w:t>
      </w:r>
      <w:r>
        <w:rPr>
          <w:color w:val="231F20"/>
          <w:spacing w:val="3"/>
        </w:rPr>
        <w:t>modo </w:t>
      </w:r>
      <w:r>
        <w:rPr>
          <w:color w:val="231F20"/>
          <w:spacing w:val="2"/>
        </w:rPr>
        <w:t>desautorizarlas, erigiéndose </w:t>
      </w:r>
      <w:r>
        <w:rPr>
          <w:color w:val="231F20"/>
        </w:rPr>
        <w:t>en la </w:t>
      </w:r>
      <w:r>
        <w:rPr>
          <w:color w:val="231F20"/>
          <w:spacing w:val="2"/>
        </w:rPr>
        <w:t>única </w:t>
      </w:r>
      <w:r>
        <w:rPr>
          <w:color w:val="231F20"/>
        </w:rPr>
        <w:t>y </w:t>
      </w:r>
      <w:r>
        <w:rPr>
          <w:color w:val="231F20"/>
          <w:spacing w:val="2"/>
        </w:rPr>
        <w:t>exclusiva </w:t>
      </w:r>
      <w:r>
        <w:rPr>
          <w:color w:val="231F20"/>
          <w:spacing w:val="3"/>
        </w:rPr>
        <w:t>representante </w:t>
      </w:r>
      <w:r>
        <w:rPr>
          <w:color w:val="231F20"/>
        </w:rPr>
        <w:t>de la </w:t>
      </w:r>
      <w:r>
        <w:rPr>
          <w:color w:val="231F20"/>
          <w:spacing w:val="2"/>
        </w:rPr>
        <w:t>institución. Así, </w:t>
      </w:r>
      <w:r>
        <w:rPr>
          <w:color w:val="231F20"/>
        </w:rPr>
        <w:t>el </w:t>
      </w:r>
      <w:r>
        <w:rPr>
          <w:color w:val="231F20"/>
          <w:spacing w:val="3"/>
        </w:rPr>
        <w:t>Consejo </w:t>
      </w:r>
      <w:r>
        <w:rPr>
          <w:color w:val="231F20"/>
          <w:spacing w:val="2"/>
        </w:rPr>
        <w:t>ordenó </w:t>
      </w:r>
      <w:r>
        <w:rPr>
          <w:color w:val="231F20"/>
        </w:rPr>
        <w:t>que </w:t>
      </w:r>
      <w:r>
        <w:rPr>
          <w:color w:val="231F20"/>
          <w:spacing w:val="2"/>
        </w:rPr>
        <w:t>“no penetren </w:t>
      </w:r>
      <w:r>
        <w:rPr>
          <w:color w:val="231F20"/>
        </w:rPr>
        <w:t>al </w:t>
      </w:r>
      <w:r>
        <w:rPr>
          <w:color w:val="231F20"/>
          <w:spacing w:val="2"/>
        </w:rPr>
        <w:t>establecimiento </w:t>
      </w:r>
      <w:r>
        <w:rPr>
          <w:color w:val="231F20"/>
          <w:spacing w:val="3"/>
        </w:rPr>
        <w:t>personas </w:t>
      </w:r>
      <w:r>
        <w:rPr>
          <w:color w:val="231F20"/>
          <w:spacing w:val="2"/>
        </w:rPr>
        <w:t>ajenas </w:t>
      </w:r>
      <w:r>
        <w:rPr>
          <w:color w:val="231F20"/>
          <w:spacing w:val="3"/>
        </w:rPr>
        <w:t>al mismo; </w:t>
      </w:r>
      <w:r>
        <w:rPr>
          <w:color w:val="231F20"/>
          <w:spacing w:val="2"/>
        </w:rPr>
        <w:t>esencialmente que </w:t>
      </w:r>
      <w:r>
        <w:rPr>
          <w:color w:val="231F20"/>
        </w:rPr>
        <w:t>los </w:t>
      </w:r>
      <w:r>
        <w:rPr>
          <w:color w:val="231F20"/>
          <w:spacing w:val="2"/>
        </w:rPr>
        <w:t>prefectos hagan salir </w:t>
      </w:r>
      <w:r>
        <w:rPr>
          <w:color w:val="231F20"/>
        </w:rPr>
        <w:t>de él a </w:t>
      </w:r>
      <w:r>
        <w:rPr>
          <w:color w:val="231F20"/>
          <w:spacing w:val="2"/>
        </w:rPr>
        <w:t>toda </w:t>
      </w:r>
      <w:r>
        <w:rPr>
          <w:color w:val="231F20"/>
          <w:spacing w:val="3"/>
        </w:rPr>
        <w:t>persona </w:t>
      </w:r>
      <w:r>
        <w:rPr>
          <w:color w:val="231F20"/>
        </w:rPr>
        <w:t>que no </w:t>
      </w:r>
      <w:r>
        <w:rPr>
          <w:color w:val="231F20"/>
          <w:spacing w:val="2"/>
        </w:rPr>
        <w:t>guarde </w:t>
      </w:r>
      <w:r>
        <w:rPr>
          <w:color w:val="231F20"/>
        </w:rPr>
        <w:t>el </w:t>
      </w:r>
      <w:r>
        <w:rPr>
          <w:color w:val="231F20"/>
          <w:spacing w:val="2"/>
        </w:rPr>
        <w:t>respeto </w:t>
      </w:r>
      <w:r>
        <w:rPr>
          <w:color w:val="231F20"/>
        </w:rPr>
        <w:t>y las </w:t>
      </w:r>
      <w:r>
        <w:rPr>
          <w:color w:val="231F20"/>
          <w:spacing w:val="3"/>
        </w:rPr>
        <w:t>composturas  debidas”, como </w:t>
      </w:r>
      <w:r>
        <w:rPr>
          <w:color w:val="231F20"/>
        </w:rPr>
        <w:t>si </w:t>
      </w:r>
      <w:r>
        <w:rPr>
          <w:color w:val="231F20"/>
          <w:spacing w:val="2"/>
        </w:rPr>
        <w:t>estas fueran </w:t>
      </w:r>
      <w:r>
        <w:rPr>
          <w:color w:val="231F20"/>
          <w:spacing w:val="3"/>
        </w:rPr>
        <w:t>conocidas </w:t>
      </w:r>
      <w:r>
        <w:rPr>
          <w:color w:val="231F20"/>
          <w:spacing w:val="2"/>
        </w:rPr>
        <w:t>por </w:t>
      </w:r>
      <w:r>
        <w:rPr>
          <w:color w:val="231F20"/>
          <w:spacing w:val="3"/>
        </w:rPr>
        <w:t>todos </w:t>
      </w:r>
      <w:r>
        <w:rPr>
          <w:color w:val="231F20"/>
        </w:rPr>
        <w:t>y </w:t>
      </w:r>
      <w:r>
        <w:rPr>
          <w:color w:val="231F20"/>
          <w:spacing w:val="2"/>
        </w:rPr>
        <w:t>consustanciales </w:t>
      </w:r>
      <w:r>
        <w:rPr>
          <w:color w:val="231F20"/>
        </w:rPr>
        <w:t>a </w:t>
      </w:r>
      <w:r>
        <w:rPr>
          <w:color w:val="231F20"/>
          <w:spacing w:val="2"/>
        </w:rPr>
        <w:t>los individuos </w:t>
      </w:r>
      <w:r>
        <w:rPr>
          <w:color w:val="231F20"/>
        </w:rPr>
        <w:t>y a </w:t>
      </w:r>
      <w:r>
        <w:rPr>
          <w:color w:val="231F20"/>
          <w:spacing w:val="2"/>
        </w:rPr>
        <w:t>los </w:t>
      </w:r>
      <w:r>
        <w:rPr>
          <w:color w:val="231F20"/>
          <w:spacing w:val="3"/>
        </w:rPr>
        <w:t>alumnos </w:t>
      </w:r>
      <w:r>
        <w:rPr>
          <w:color w:val="231F20"/>
        </w:rPr>
        <w:t>en </w:t>
      </w:r>
      <w:r>
        <w:rPr>
          <w:color w:val="231F20"/>
          <w:spacing w:val="2"/>
        </w:rPr>
        <w:t>particular </w:t>
      </w:r>
      <w:r>
        <w:rPr>
          <w:color w:val="231F20"/>
          <w:spacing w:val="3"/>
        </w:rPr>
        <w:t>(AHUAEM, </w:t>
      </w:r>
      <w:r>
        <w:rPr>
          <w:color w:val="231F20"/>
        </w:rPr>
        <w:t>c. </w:t>
      </w:r>
      <w:r>
        <w:rPr>
          <w:color w:val="231F20"/>
          <w:spacing w:val="2"/>
        </w:rPr>
        <w:t>206, exp. 7114, 1940). Así, </w:t>
      </w:r>
      <w:r>
        <w:rPr>
          <w:color w:val="231F20"/>
        </w:rPr>
        <w:t>en el </w:t>
      </w:r>
      <w:r>
        <w:rPr>
          <w:color w:val="231F20"/>
          <w:spacing w:val="2"/>
        </w:rPr>
        <w:t>recuento </w:t>
      </w:r>
      <w:r>
        <w:rPr>
          <w:color w:val="231F20"/>
        </w:rPr>
        <w:t>de </w:t>
      </w:r>
      <w:r>
        <w:rPr>
          <w:color w:val="231F20"/>
          <w:spacing w:val="3"/>
        </w:rPr>
        <w:t>hechos </w:t>
      </w:r>
      <w:r>
        <w:rPr>
          <w:color w:val="231F20"/>
          <w:spacing w:val="2"/>
        </w:rPr>
        <w:t>realizado por </w:t>
      </w:r>
      <w:r>
        <w:rPr>
          <w:color w:val="231F20"/>
        </w:rPr>
        <w:t>el </w:t>
      </w:r>
      <w:r>
        <w:rPr>
          <w:color w:val="231F20"/>
          <w:spacing w:val="3"/>
        </w:rPr>
        <w:t>Conse- </w:t>
      </w:r>
      <w:r>
        <w:rPr>
          <w:color w:val="231F20"/>
        </w:rPr>
        <w:t>jo </w:t>
      </w:r>
      <w:r>
        <w:rPr>
          <w:color w:val="231F20"/>
          <w:spacing w:val="2"/>
        </w:rPr>
        <w:t>Directivo </w:t>
      </w:r>
      <w:r>
        <w:rPr>
          <w:color w:val="231F20"/>
        </w:rPr>
        <w:t>se </w:t>
      </w:r>
      <w:r>
        <w:rPr>
          <w:color w:val="231F20"/>
          <w:spacing w:val="2"/>
        </w:rPr>
        <w:t>consideró </w:t>
      </w:r>
      <w:r>
        <w:rPr>
          <w:color w:val="231F20"/>
        </w:rPr>
        <w:t>que </w:t>
      </w:r>
      <w:r>
        <w:rPr>
          <w:color w:val="231F20"/>
          <w:spacing w:val="2"/>
        </w:rPr>
        <w:t>los estudiantes </w:t>
      </w:r>
      <w:r>
        <w:rPr>
          <w:color w:val="231F20"/>
        </w:rPr>
        <w:t>que </w:t>
      </w:r>
      <w:r>
        <w:rPr>
          <w:color w:val="231F20"/>
          <w:spacing w:val="2"/>
        </w:rPr>
        <w:t>habían “roto </w:t>
      </w:r>
      <w:r>
        <w:rPr>
          <w:color w:val="231F20"/>
        </w:rPr>
        <w:t>el </w:t>
      </w:r>
      <w:r>
        <w:rPr>
          <w:color w:val="231F20"/>
          <w:spacing w:val="3"/>
        </w:rPr>
        <w:t>compromiso </w:t>
      </w:r>
      <w:r>
        <w:rPr>
          <w:color w:val="231F20"/>
        </w:rPr>
        <w:t>de </w:t>
      </w:r>
      <w:r>
        <w:rPr>
          <w:color w:val="231F20"/>
          <w:spacing w:val="3"/>
        </w:rPr>
        <w:t>honor”, </w:t>
      </w:r>
      <w:r>
        <w:rPr>
          <w:color w:val="231F20"/>
        </w:rPr>
        <w:t>que </w:t>
      </w:r>
      <w:r>
        <w:rPr>
          <w:color w:val="231F20"/>
          <w:spacing w:val="2"/>
        </w:rPr>
        <w:t>habían </w:t>
      </w:r>
      <w:r>
        <w:rPr>
          <w:color w:val="231F20"/>
          <w:spacing w:val="3"/>
        </w:rPr>
        <w:t>cometido </w:t>
      </w:r>
      <w:r>
        <w:rPr>
          <w:color w:val="231F20"/>
          <w:spacing w:val="2"/>
        </w:rPr>
        <w:t>“actos delictuosos”, </w:t>
      </w:r>
      <w:r>
        <w:rPr>
          <w:color w:val="231F20"/>
        </w:rPr>
        <w:t>que </w:t>
      </w:r>
      <w:r>
        <w:rPr>
          <w:color w:val="231F20"/>
          <w:spacing w:val="2"/>
        </w:rPr>
        <w:t>habían proferido “injurias </w:t>
      </w:r>
      <w:r>
        <w:rPr>
          <w:color w:val="231F20"/>
        </w:rPr>
        <w:t>y </w:t>
      </w:r>
      <w:r>
        <w:rPr>
          <w:color w:val="231F20"/>
          <w:spacing w:val="3"/>
        </w:rPr>
        <w:t>amenazas”, </w:t>
      </w:r>
      <w:r>
        <w:rPr>
          <w:color w:val="231F20"/>
        </w:rPr>
        <w:t>que </w:t>
      </w:r>
      <w:r>
        <w:rPr>
          <w:color w:val="231F20"/>
          <w:spacing w:val="2"/>
        </w:rPr>
        <w:t>habían </w:t>
      </w:r>
      <w:r>
        <w:rPr>
          <w:color w:val="231F20"/>
          <w:spacing w:val="3"/>
        </w:rPr>
        <w:t>mostrado </w:t>
      </w:r>
      <w:r>
        <w:rPr>
          <w:color w:val="231F20"/>
          <w:spacing w:val="2"/>
        </w:rPr>
        <w:t>poca voluntad “no acatando </w:t>
      </w:r>
      <w:r>
        <w:rPr>
          <w:color w:val="231F20"/>
        </w:rPr>
        <w:t>las </w:t>
      </w:r>
      <w:r>
        <w:rPr>
          <w:color w:val="231F20"/>
          <w:spacing w:val="2"/>
        </w:rPr>
        <w:t>medidas disciplinarias </w:t>
      </w:r>
      <w:r>
        <w:rPr>
          <w:color w:val="231F20"/>
        </w:rPr>
        <w:t>y de </w:t>
      </w:r>
      <w:r>
        <w:rPr>
          <w:color w:val="231F20"/>
          <w:spacing w:val="3"/>
        </w:rPr>
        <w:t>conci- </w:t>
      </w:r>
      <w:r>
        <w:rPr>
          <w:color w:val="231F20"/>
          <w:spacing w:val="2"/>
        </w:rPr>
        <w:t>liación” </w:t>
      </w:r>
      <w:r>
        <w:rPr>
          <w:color w:val="231F20"/>
        </w:rPr>
        <w:t>y, </w:t>
      </w:r>
      <w:r>
        <w:rPr>
          <w:color w:val="231F20"/>
          <w:spacing w:val="2"/>
        </w:rPr>
        <w:t>una nueva relación </w:t>
      </w:r>
      <w:r>
        <w:rPr>
          <w:color w:val="231F20"/>
        </w:rPr>
        <w:t>de </w:t>
      </w:r>
      <w:r>
        <w:rPr>
          <w:color w:val="231F20"/>
          <w:spacing w:val="2"/>
        </w:rPr>
        <w:t>actos que </w:t>
      </w:r>
      <w:r>
        <w:rPr>
          <w:color w:val="231F20"/>
        </w:rPr>
        <w:t>no </w:t>
      </w:r>
      <w:r>
        <w:rPr>
          <w:color w:val="231F20"/>
          <w:spacing w:val="2"/>
        </w:rPr>
        <w:t>habían sido </w:t>
      </w:r>
      <w:r>
        <w:rPr>
          <w:color w:val="231F20"/>
          <w:spacing w:val="3"/>
        </w:rPr>
        <w:t>men- cionados”, </w:t>
      </w:r>
      <w:r>
        <w:rPr>
          <w:color w:val="231F20"/>
        </w:rPr>
        <w:t>el </w:t>
      </w:r>
      <w:r>
        <w:rPr>
          <w:color w:val="231F20"/>
          <w:spacing w:val="2"/>
        </w:rPr>
        <w:t>hecho </w:t>
      </w:r>
      <w:r>
        <w:rPr>
          <w:color w:val="231F20"/>
        </w:rPr>
        <w:t>de </w:t>
      </w:r>
      <w:r>
        <w:rPr>
          <w:color w:val="231F20"/>
          <w:spacing w:val="2"/>
        </w:rPr>
        <w:t>escribir </w:t>
      </w:r>
      <w:r>
        <w:rPr>
          <w:color w:val="231F20"/>
        </w:rPr>
        <w:t>en </w:t>
      </w:r>
      <w:r>
        <w:rPr>
          <w:color w:val="231F20"/>
          <w:spacing w:val="2"/>
        </w:rPr>
        <w:t>los libros </w:t>
      </w:r>
      <w:r>
        <w:rPr>
          <w:color w:val="231F20"/>
        </w:rPr>
        <w:t>de </w:t>
      </w:r>
      <w:r>
        <w:rPr>
          <w:color w:val="231F20"/>
          <w:spacing w:val="2"/>
        </w:rPr>
        <w:t>registro </w:t>
      </w:r>
      <w:r>
        <w:rPr>
          <w:color w:val="231F20"/>
        </w:rPr>
        <w:t>de </w:t>
      </w:r>
      <w:r>
        <w:rPr>
          <w:color w:val="231F20"/>
          <w:spacing w:val="2"/>
        </w:rPr>
        <w:t>profe- sores “no solo frases ofensivas para algunos </w:t>
      </w:r>
      <w:r>
        <w:rPr>
          <w:color w:val="231F20"/>
        </w:rPr>
        <w:t>de  </w:t>
      </w:r>
      <w:r>
        <w:rPr>
          <w:color w:val="231F20"/>
          <w:spacing w:val="2"/>
        </w:rPr>
        <w:t>los catedráticos  </w:t>
      </w:r>
      <w:r>
        <w:rPr>
          <w:color w:val="231F20"/>
        </w:rPr>
        <w:t>que </w:t>
      </w:r>
      <w:r>
        <w:rPr>
          <w:color w:val="231F20"/>
          <w:spacing w:val="2"/>
        </w:rPr>
        <w:t>denigran </w:t>
      </w:r>
      <w:r>
        <w:rPr>
          <w:color w:val="231F20"/>
        </w:rPr>
        <w:t>al </w:t>
      </w:r>
      <w:r>
        <w:rPr>
          <w:color w:val="231F20"/>
          <w:spacing w:val="2"/>
        </w:rPr>
        <w:t>estudiantado </w:t>
      </w:r>
      <w:r>
        <w:rPr>
          <w:color w:val="231F20"/>
        </w:rPr>
        <w:t>y al </w:t>
      </w:r>
      <w:r>
        <w:rPr>
          <w:color w:val="231F20"/>
          <w:spacing w:val="3"/>
        </w:rPr>
        <w:t>mismo profesorado”, </w:t>
      </w:r>
      <w:r>
        <w:rPr>
          <w:color w:val="231F20"/>
          <w:spacing w:val="2"/>
        </w:rPr>
        <w:t>sino </w:t>
      </w:r>
      <w:r>
        <w:rPr>
          <w:color w:val="231F20"/>
          <w:spacing w:val="4"/>
        </w:rPr>
        <w:t>por </w:t>
      </w:r>
      <w:r>
        <w:rPr>
          <w:color w:val="231F20"/>
          <w:spacing w:val="2"/>
        </w:rPr>
        <w:t>haber lanzado cohetes </w:t>
      </w:r>
      <w:r>
        <w:rPr>
          <w:color w:val="231F20"/>
        </w:rPr>
        <w:t>que </w:t>
      </w:r>
      <w:r>
        <w:rPr>
          <w:color w:val="231F20"/>
          <w:spacing w:val="2"/>
        </w:rPr>
        <w:t>impedían impartir </w:t>
      </w:r>
      <w:r>
        <w:rPr>
          <w:color w:val="231F20"/>
        </w:rPr>
        <w:t>a </w:t>
      </w:r>
      <w:r>
        <w:rPr>
          <w:color w:val="231F20"/>
          <w:spacing w:val="2"/>
        </w:rPr>
        <w:t>los </w:t>
      </w:r>
      <w:r>
        <w:rPr>
          <w:color w:val="231F20"/>
          <w:spacing w:val="3"/>
        </w:rPr>
        <w:t>profesores </w:t>
      </w:r>
      <w:r>
        <w:rPr>
          <w:color w:val="231F20"/>
        </w:rPr>
        <w:t>sus </w:t>
      </w:r>
      <w:r>
        <w:rPr>
          <w:color w:val="231F20"/>
          <w:spacing w:val="2"/>
        </w:rPr>
        <w:t>cátedras </w:t>
      </w:r>
      <w:r>
        <w:rPr>
          <w:color w:val="231F20"/>
        </w:rPr>
        <w:t>de </w:t>
      </w:r>
      <w:r>
        <w:rPr>
          <w:color w:val="231F20"/>
          <w:spacing w:val="3"/>
        </w:rPr>
        <w:t>manera normal. </w:t>
      </w:r>
      <w:r>
        <w:rPr>
          <w:color w:val="231F20"/>
          <w:spacing w:val="2"/>
        </w:rPr>
        <w:t>Para dar una prueba palmaria </w:t>
      </w:r>
      <w:r>
        <w:rPr>
          <w:color w:val="231F20"/>
        </w:rPr>
        <w:t>de la </w:t>
      </w:r>
      <w:r>
        <w:rPr>
          <w:color w:val="231F20"/>
          <w:spacing w:val="2"/>
        </w:rPr>
        <w:t>legitimidad </w:t>
      </w:r>
      <w:r>
        <w:rPr>
          <w:color w:val="231F20"/>
        </w:rPr>
        <w:t>y </w:t>
      </w:r>
      <w:r>
        <w:rPr>
          <w:color w:val="231F20"/>
          <w:spacing w:val="2"/>
        </w:rPr>
        <w:t>legalidad </w:t>
      </w:r>
      <w:r>
        <w:rPr>
          <w:color w:val="231F20"/>
        </w:rPr>
        <w:t>de </w:t>
      </w:r>
      <w:r>
        <w:rPr>
          <w:color w:val="231F20"/>
          <w:spacing w:val="2"/>
        </w:rPr>
        <w:t>sus decisiones, </w:t>
      </w:r>
      <w:r>
        <w:rPr>
          <w:color w:val="231F20"/>
        </w:rPr>
        <w:t>el </w:t>
      </w:r>
      <w:r>
        <w:rPr>
          <w:color w:val="231F20"/>
          <w:spacing w:val="2"/>
        </w:rPr>
        <w:t>Consejo destacó que parte </w:t>
      </w:r>
      <w:r>
        <w:rPr>
          <w:color w:val="231F20"/>
        </w:rPr>
        <w:t>de la lista de </w:t>
      </w:r>
      <w:r>
        <w:rPr>
          <w:color w:val="231F20"/>
          <w:spacing w:val="2"/>
        </w:rPr>
        <w:t>los estudiantes involucrados </w:t>
      </w:r>
      <w:r>
        <w:rPr>
          <w:color w:val="231F20"/>
        </w:rPr>
        <w:t>en </w:t>
      </w:r>
      <w:r>
        <w:rPr>
          <w:color w:val="231F20"/>
          <w:spacing w:val="2"/>
        </w:rPr>
        <w:t>esas acciones </w:t>
      </w:r>
      <w:r>
        <w:rPr>
          <w:color w:val="231F20"/>
          <w:spacing w:val="16"/>
        </w:rPr>
        <w:t> </w:t>
      </w:r>
      <w:r>
        <w:rPr>
          <w:color w:val="231F20"/>
        </w:rPr>
        <w:t>la</w:t>
      </w:r>
    </w:p>
    <w:p>
      <w:pPr>
        <w:spacing w:after="0" w:line="249" w:lineRule="auto"/>
        <w:jc w:val="both"/>
        <w:sectPr>
          <w:headerReference w:type="default" r:id="rId296"/>
          <w:footerReference w:type="default" r:id="rId297"/>
          <w:pgSz w:w="7830" w:h="11910"/>
          <w:pgMar w:header="0" w:footer="424" w:top="500" w:bottom="620" w:left="920" w:right="900"/>
          <w:pgNumType w:start="13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8"/>
        <w:rPr>
          <w:sz w:val="23"/>
        </w:rPr>
      </w:pPr>
    </w:p>
    <w:p>
      <w:pPr>
        <w:pStyle w:val="BodyText"/>
        <w:spacing w:line="250" w:lineRule="exact"/>
        <w:ind w:left="101" w:right="115"/>
        <w:jc w:val="both"/>
        <w:rPr>
          <w:rFonts w:ascii="Segoe UI" w:hAnsi="Segoe UI"/>
          <w:i/>
        </w:rPr>
      </w:pPr>
      <w:r>
        <w:rPr>
          <w:color w:val="231F20"/>
        </w:rPr>
        <w:t>había proporcionado la Sociedad de Alumnos “legalmente reco- nocida” y más aún que esta había hecho “la petición oficial de su expulsión a este Consejo” (AHUAEM, c. 206, exp. 7114, 1940)</w:t>
      </w:r>
      <w:r>
        <w:rPr>
          <w:rFonts w:ascii="Segoe UI" w:hAnsi="Segoe UI"/>
          <w:i/>
          <w:color w:val="231F20"/>
        </w:rPr>
        <w:t>.</w:t>
      </w:r>
    </w:p>
    <w:p>
      <w:pPr>
        <w:pStyle w:val="BodyText"/>
        <w:spacing w:line="249" w:lineRule="auto" w:before="3"/>
        <w:ind w:left="101" w:right="115" w:firstLine="284"/>
        <w:jc w:val="both"/>
      </w:pPr>
      <w:r>
        <w:rPr>
          <w:color w:val="231F20"/>
        </w:rPr>
        <w:t>De esta manera, la narrativa de la violencia tuvo como pilar po- ner en entredicho la huelga como recurso de protesta e inconfor- midad pues, según se infiere del razonamiento del Consejo Directi- vo, esta había sido ilegal e ilegítima, aunque se hubiera logrado el nombrar a un nuevo director, o crear el Tribunal de Honor, o me- jorar las condiciones materiales del plantel,porque no se otorgaron nuevas facultades que se orientaran a obtener la autonomía del Instituto. En suma, desde la perspectiva del Consejo, el conjunto de acciones de los estudiantes no tenían ninguna razón legítima que los justificara; ya no había espacio para ser comprensivos, tal y como había prometido Ortega que sería el principio de esta al anunciar su designación como director del plantel.</w:t>
      </w:r>
    </w:p>
    <w:p>
      <w:pPr>
        <w:pStyle w:val="BodyText"/>
        <w:spacing w:line="249" w:lineRule="auto"/>
        <w:ind w:left="101" w:right="114" w:firstLine="284"/>
        <w:jc w:val="both"/>
      </w:pPr>
      <w:r>
        <w:rPr>
          <w:color w:val="231F20"/>
        </w:rPr>
        <w:t>En </w:t>
      </w:r>
      <w:r>
        <w:rPr>
          <w:color w:val="231F20"/>
          <w:spacing w:val="2"/>
        </w:rPr>
        <w:t>esta nueva situación, </w:t>
      </w:r>
      <w:r>
        <w:rPr>
          <w:color w:val="231F20"/>
        </w:rPr>
        <w:t>al </w:t>
      </w:r>
      <w:r>
        <w:rPr>
          <w:color w:val="231F20"/>
          <w:spacing w:val="2"/>
        </w:rPr>
        <w:t>parecer los principales </w:t>
      </w:r>
      <w:r>
        <w:rPr>
          <w:color w:val="231F20"/>
          <w:spacing w:val="3"/>
        </w:rPr>
        <w:t>protagonis- </w:t>
      </w:r>
      <w:r>
        <w:rPr>
          <w:color w:val="231F20"/>
        </w:rPr>
        <w:t>tas de </w:t>
      </w:r>
      <w:r>
        <w:rPr>
          <w:color w:val="231F20"/>
          <w:spacing w:val="2"/>
        </w:rPr>
        <w:t>los </w:t>
      </w:r>
      <w:r>
        <w:rPr>
          <w:color w:val="231F20"/>
          <w:spacing w:val="3"/>
        </w:rPr>
        <w:t>acontecimientos reconocieron </w:t>
      </w:r>
      <w:r>
        <w:rPr>
          <w:color w:val="231F20"/>
          <w:spacing w:val="2"/>
        </w:rPr>
        <w:t>que </w:t>
      </w:r>
      <w:r>
        <w:rPr>
          <w:color w:val="231F20"/>
        </w:rPr>
        <w:t>no </w:t>
      </w:r>
      <w:r>
        <w:rPr>
          <w:color w:val="231F20"/>
          <w:spacing w:val="2"/>
        </w:rPr>
        <w:t>existían </w:t>
      </w:r>
      <w:r>
        <w:rPr>
          <w:color w:val="231F20"/>
        </w:rPr>
        <w:t>las </w:t>
      </w:r>
      <w:r>
        <w:rPr>
          <w:color w:val="231F20"/>
          <w:spacing w:val="2"/>
        </w:rPr>
        <w:t>condi- ciones para escalar </w:t>
      </w:r>
      <w:r>
        <w:rPr>
          <w:color w:val="231F20"/>
        </w:rPr>
        <w:t>la </w:t>
      </w:r>
      <w:r>
        <w:rPr>
          <w:color w:val="231F20"/>
          <w:spacing w:val="3"/>
        </w:rPr>
        <w:t>confrontación </w:t>
      </w:r>
      <w:r>
        <w:rPr>
          <w:color w:val="231F20"/>
        </w:rPr>
        <w:t>y </w:t>
      </w:r>
      <w:r>
        <w:rPr>
          <w:color w:val="231F20"/>
          <w:spacing w:val="2"/>
        </w:rPr>
        <w:t>aceptaron </w:t>
      </w:r>
      <w:r>
        <w:rPr>
          <w:color w:val="231F20"/>
        </w:rPr>
        <w:t>las </w:t>
      </w:r>
      <w:r>
        <w:rPr>
          <w:color w:val="231F20"/>
          <w:spacing w:val="2"/>
        </w:rPr>
        <w:t>resoluciones </w:t>
      </w:r>
      <w:r>
        <w:rPr>
          <w:color w:val="231F20"/>
        </w:rPr>
        <w:t>y </w:t>
      </w:r>
      <w:r>
        <w:rPr>
          <w:color w:val="231F20"/>
          <w:spacing w:val="2"/>
        </w:rPr>
        <w:t>los </w:t>
      </w:r>
      <w:r>
        <w:rPr>
          <w:color w:val="231F20"/>
          <w:spacing w:val="3"/>
        </w:rPr>
        <w:t>acuerdos adoptados, </w:t>
      </w:r>
      <w:r>
        <w:rPr>
          <w:color w:val="231F20"/>
          <w:spacing w:val="2"/>
        </w:rPr>
        <w:t>pues </w:t>
      </w:r>
      <w:r>
        <w:rPr>
          <w:color w:val="231F20"/>
        </w:rPr>
        <w:t>ya no </w:t>
      </w:r>
      <w:r>
        <w:rPr>
          <w:color w:val="231F20"/>
          <w:spacing w:val="2"/>
        </w:rPr>
        <w:t>hubo </w:t>
      </w:r>
      <w:r>
        <w:rPr>
          <w:color w:val="231F20"/>
          <w:spacing w:val="3"/>
        </w:rPr>
        <w:t>mayores impugnaciones </w:t>
      </w:r>
      <w:r>
        <w:rPr>
          <w:color w:val="231F20"/>
        </w:rPr>
        <w:t>de </w:t>
      </w:r>
      <w:r>
        <w:rPr>
          <w:color w:val="231F20"/>
          <w:spacing w:val="2"/>
        </w:rPr>
        <w:t>los afectados, </w:t>
      </w:r>
      <w:r>
        <w:rPr>
          <w:color w:val="231F20"/>
        </w:rPr>
        <w:t>ya de </w:t>
      </w:r>
      <w:r>
        <w:rPr>
          <w:color w:val="231F20"/>
          <w:spacing w:val="2"/>
        </w:rPr>
        <w:t>los padres, </w:t>
      </w:r>
      <w:r>
        <w:rPr>
          <w:color w:val="231F20"/>
        </w:rPr>
        <w:t>de </w:t>
      </w:r>
      <w:r>
        <w:rPr>
          <w:color w:val="231F20"/>
          <w:spacing w:val="2"/>
        </w:rPr>
        <w:t>los tutores </w:t>
      </w:r>
      <w:r>
        <w:rPr>
          <w:color w:val="231F20"/>
        </w:rPr>
        <w:t>o de </w:t>
      </w:r>
      <w:r>
        <w:rPr>
          <w:color w:val="231F20"/>
          <w:spacing w:val="2"/>
        </w:rPr>
        <w:t>los </w:t>
      </w:r>
      <w:r>
        <w:rPr>
          <w:color w:val="231F20"/>
          <w:spacing w:val="3"/>
        </w:rPr>
        <w:t>alumnos. </w:t>
      </w:r>
      <w:r>
        <w:rPr>
          <w:color w:val="231F20"/>
          <w:spacing w:val="2"/>
        </w:rPr>
        <w:t>Con </w:t>
      </w:r>
      <w:r>
        <w:rPr>
          <w:color w:val="231F20"/>
        </w:rPr>
        <w:t>ello se </w:t>
      </w:r>
      <w:r>
        <w:rPr>
          <w:color w:val="231F20"/>
          <w:spacing w:val="2"/>
        </w:rPr>
        <w:t>restablecía </w:t>
      </w:r>
      <w:r>
        <w:rPr>
          <w:color w:val="231F20"/>
          <w:spacing w:val="3"/>
        </w:rPr>
        <w:t>plenamente </w:t>
      </w:r>
      <w:r>
        <w:rPr>
          <w:color w:val="231F20"/>
        </w:rPr>
        <w:t>la </w:t>
      </w:r>
      <w:r>
        <w:rPr>
          <w:color w:val="231F20"/>
          <w:spacing w:val="2"/>
        </w:rPr>
        <w:t>autoridad académica </w:t>
      </w:r>
      <w:r>
        <w:rPr>
          <w:color w:val="231F20"/>
        </w:rPr>
        <w:t>de </w:t>
      </w:r>
      <w:r>
        <w:rPr>
          <w:color w:val="231F20"/>
          <w:spacing w:val="2"/>
        </w:rPr>
        <w:t>las diversas instancias que </w:t>
      </w:r>
      <w:r>
        <w:rPr>
          <w:color w:val="231F20"/>
        </w:rPr>
        <w:t>la </w:t>
      </w:r>
      <w:r>
        <w:rPr>
          <w:color w:val="231F20"/>
          <w:spacing w:val="3"/>
        </w:rPr>
        <w:t>configuraban, empezando </w:t>
      </w:r>
      <w:r>
        <w:rPr>
          <w:color w:val="231F20"/>
          <w:spacing w:val="2"/>
        </w:rPr>
        <w:t>por </w:t>
      </w:r>
      <w:r>
        <w:rPr>
          <w:color w:val="231F20"/>
        </w:rPr>
        <w:t>el </w:t>
      </w:r>
      <w:r>
        <w:rPr>
          <w:color w:val="231F20"/>
          <w:spacing w:val="3"/>
        </w:rPr>
        <w:t>Conse- </w:t>
      </w:r>
      <w:r>
        <w:rPr>
          <w:color w:val="231F20"/>
        </w:rPr>
        <w:t>jo </w:t>
      </w:r>
      <w:r>
        <w:rPr>
          <w:color w:val="231F20"/>
          <w:spacing w:val="2"/>
        </w:rPr>
        <w:t>Directivo </w:t>
      </w:r>
      <w:r>
        <w:rPr>
          <w:color w:val="231F20"/>
        </w:rPr>
        <w:t>y el </w:t>
      </w:r>
      <w:r>
        <w:rPr>
          <w:color w:val="231F20"/>
          <w:spacing w:val="2"/>
        </w:rPr>
        <w:t>director; </w:t>
      </w:r>
      <w:r>
        <w:rPr>
          <w:color w:val="231F20"/>
        </w:rPr>
        <w:t>es </w:t>
      </w:r>
      <w:r>
        <w:rPr>
          <w:color w:val="231F20"/>
          <w:spacing w:val="2"/>
        </w:rPr>
        <w:t>decir, </w:t>
      </w:r>
      <w:r>
        <w:rPr>
          <w:color w:val="231F20"/>
        </w:rPr>
        <w:t>el </w:t>
      </w:r>
      <w:r>
        <w:rPr>
          <w:color w:val="231F20"/>
          <w:spacing w:val="3"/>
        </w:rPr>
        <w:t>monopolio </w:t>
      </w:r>
      <w:r>
        <w:rPr>
          <w:color w:val="231F20"/>
        </w:rPr>
        <w:t>de la </w:t>
      </w:r>
      <w:r>
        <w:rPr>
          <w:color w:val="231F20"/>
          <w:spacing w:val="2"/>
        </w:rPr>
        <w:t>violencia legítima </w:t>
      </w:r>
      <w:r>
        <w:rPr>
          <w:color w:val="231F20"/>
        </w:rPr>
        <w:t>se </w:t>
      </w:r>
      <w:r>
        <w:rPr>
          <w:color w:val="231F20"/>
          <w:spacing w:val="2"/>
        </w:rPr>
        <w:t>depositaba </w:t>
      </w:r>
      <w:r>
        <w:rPr>
          <w:color w:val="231F20"/>
        </w:rPr>
        <w:t>en </w:t>
      </w:r>
      <w:r>
        <w:rPr>
          <w:color w:val="231F20"/>
          <w:spacing w:val="3"/>
        </w:rPr>
        <w:t>autoridades  debidamente  reconocidas </w:t>
      </w:r>
      <w:r>
        <w:rPr>
          <w:color w:val="231F20"/>
          <w:spacing w:val="2"/>
        </w:rPr>
        <w:t>por todos los actores. Las </w:t>
      </w:r>
      <w:r>
        <w:rPr>
          <w:color w:val="231F20"/>
          <w:spacing w:val="3"/>
        </w:rPr>
        <w:t>determinaciones </w:t>
      </w:r>
      <w:r>
        <w:rPr>
          <w:color w:val="231F20"/>
        </w:rPr>
        <w:t>que se </w:t>
      </w:r>
      <w:r>
        <w:rPr>
          <w:color w:val="231F20"/>
          <w:spacing w:val="3"/>
        </w:rPr>
        <w:t>aprobaron </w:t>
      </w:r>
      <w:r>
        <w:rPr>
          <w:color w:val="231F20"/>
        </w:rPr>
        <w:t>y </w:t>
      </w:r>
      <w:r>
        <w:rPr>
          <w:color w:val="231F20"/>
          <w:spacing w:val="2"/>
        </w:rPr>
        <w:t>las narrativas </w:t>
      </w:r>
      <w:r>
        <w:rPr>
          <w:color w:val="231F20"/>
        </w:rPr>
        <w:t>que se </w:t>
      </w:r>
      <w:r>
        <w:rPr>
          <w:color w:val="231F20"/>
          <w:spacing w:val="2"/>
        </w:rPr>
        <w:t>desplegaron para </w:t>
      </w:r>
      <w:r>
        <w:rPr>
          <w:color w:val="231F20"/>
          <w:spacing w:val="3"/>
        </w:rPr>
        <w:t>poner </w:t>
      </w:r>
      <w:r>
        <w:rPr>
          <w:color w:val="231F20"/>
        </w:rPr>
        <w:t>fin al </w:t>
      </w:r>
      <w:r>
        <w:rPr>
          <w:color w:val="231F20"/>
          <w:spacing w:val="2"/>
        </w:rPr>
        <w:t>conflicto pueden considerarse extremas, </w:t>
      </w:r>
      <w:r>
        <w:rPr>
          <w:color w:val="231F20"/>
        </w:rPr>
        <w:t>la </w:t>
      </w:r>
      <w:r>
        <w:rPr>
          <w:color w:val="231F20"/>
          <w:spacing w:val="2"/>
        </w:rPr>
        <w:t>expulsión definitiva por </w:t>
      </w:r>
      <w:r>
        <w:rPr>
          <w:color w:val="231F20"/>
        </w:rPr>
        <w:t>sí </w:t>
      </w:r>
      <w:r>
        <w:rPr>
          <w:color w:val="231F20"/>
          <w:spacing w:val="3"/>
        </w:rPr>
        <w:t>misma </w:t>
      </w:r>
      <w:r>
        <w:rPr>
          <w:color w:val="231F20"/>
        </w:rPr>
        <w:t>es </w:t>
      </w:r>
      <w:r>
        <w:rPr>
          <w:color w:val="231F20"/>
          <w:spacing w:val="2"/>
        </w:rPr>
        <w:t>una </w:t>
      </w:r>
      <w:r>
        <w:rPr>
          <w:color w:val="231F20"/>
          <w:spacing w:val="3"/>
        </w:rPr>
        <w:t>forma </w:t>
      </w:r>
      <w:r>
        <w:rPr>
          <w:color w:val="231F20"/>
        </w:rPr>
        <w:t>de </w:t>
      </w:r>
      <w:r>
        <w:rPr>
          <w:color w:val="231F20"/>
          <w:spacing w:val="2"/>
        </w:rPr>
        <w:t>estigma </w:t>
      </w:r>
      <w:r>
        <w:rPr>
          <w:color w:val="231F20"/>
        </w:rPr>
        <w:t>y </w:t>
      </w:r>
      <w:r>
        <w:rPr>
          <w:color w:val="231F20"/>
          <w:spacing w:val="2"/>
        </w:rPr>
        <w:t>exclusión cultural </w:t>
      </w:r>
      <w:r>
        <w:rPr>
          <w:color w:val="231F20"/>
        </w:rPr>
        <w:t>y </w:t>
      </w:r>
      <w:r>
        <w:rPr>
          <w:color w:val="231F20"/>
          <w:spacing w:val="2"/>
        </w:rPr>
        <w:t>social; </w:t>
      </w:r>
      <w:r>
        <w:rPr>
          <w:color w:val="231F20"/>
        </w:rPr>
        <w:t>al </w:t>
      </w:r>
      <w:r>
        <w:rPr>
          <w:color w:val="231F20"/>
          <w:spacing w:val="3"/>
        </w:rPr>
        <w:t>mismo tiempo, como </w:t>
      </w:r>
      <w:r>
        <w:rPr>
          <w:color w:val="231F20"/>
          <w:spacing w:val="2"/>
        </w:rPr>
        <w:t>parte del nuevo arreglo institucional, diversas piezas del dispositivo educativo tuvieron que replantearse </w:t>
      </w:r>
      <w:r>
        <w:rPr>
          <w:color w:val="231F20"/>
        </w:rPr>
        <w:t>a raíz de su </w:t>
      </w:r>
      <w:r>
        <w:rPr>
          <w:color w:val="231F20"/>
          <w:spacing w:val="3"/>
        </w:rPr>
        <w:t>ago- </w:t>
      </w:r>
      <w:r>
        <w:rPr>
          <w:color w:val="231F20"/>
          <w:spacing w:val="2"/>
        </w:rPr>
        <w:t>tamiento </w:t>
      </w:r>
      <w:r>
        <w:rPr>
          <w:color w:val="231F20"/>
        </w:rPr>
        <w:t>e </w:t>
      </w:r>
      <w:r>
        <w:rPr>
          <w:color w:val="231F20"/>
          <w:spacing w:val="2"/>
        </w:rPr>
        <w:t>incapacidad para regular </w:t>
      </w:r>
      <w:r>
        <w:rPr>
          <w:color w:val="231F20"/>
        </w:rPr>
        <w:t>la </w:t>
      </w:r>
      <w:r>
        <w:rPr>
          <w:color w:val="231F20"/>
          <w:spacing w:val="2"/>
        </w:rPr>
        <w:t>vida interna.Su pérdida </w:t>
      </w:r>
      <w:r>
        <w:rPr>
          <w:color w:val="231F20"/>
          <w:spacing w:val="3"/>
        </w:rPr>
        <w:t>de </w:t>
      </w:r>
      <w:r>
        <w:rPr>
          <w:color w:val="231F20"/>
          <w:spacing w:val="2"/>
        </w:rPr>
        <w:t>legitimidad </w:t>
      </w:r>
      <w:r>
        <w:rPr>
          <w:color w:val="231F20"/>
          <w:spacing w:val="3"/>
        </w:rPr>
        <w:t>como </w:t>
      </w:r>
      <w:r>
        <w:rPr>
          <w:color w:val="231F20"/>
          <w:spacing w:val="2"/>
        </w:rPr>
        <w:t>autoridad </w:t>
      </w:r>
      <w:r>
        <w:rPr>
          <w:color w:val="231F20"/>
        </w:rPr>
        <w:t>es un </w:t>
      </w:r>
      <w:r>
        <w:rPr>
          <w:color w:val="231F20"/>
          <w:spacing w:val="2"/>
        </w:rPr>
        <w:t>ejemplo del ejercicio </w:t>
      </w:r>
      <w:r>
        <w:rPr>
          <w:color w:val="231F20"/>
        </w:rPr>
        <w:t>de la </w:t>
      </w:r>
      <w:r>
        <w:rPr>
          <w:color w:val="231F20"/>
          <w:spacing w:val="3"/>
        </w:rPr>
        <w:t>vio- </w:t>
      </w:r>
      <w:r>
        <w:rPr>
          <w:color w:val="231F20"/>
          <w:spacing w:val="2"/>
        </w:rPr>
        <w:t>lencia simbólica </w:t>
      </w:r>
      <w:r>
        <w:rPr>
          <w:color w:val="231F20"/>
        </w:rPr>
        <w:t>y </w:t>
      </w:r>
      <w:r>
        <w:rPr>
          <w:color w:val="231F20"/>
          <w:spacing w:val="2"/>
        </w:rPr>
        <w:t>física legítimas, pero esta </w:t>
      </w:r>
      <w:r>
        <w:rPr>
          <w:color w:val="231F20"/>
        </w:rPr>
        <w:t>no </w:t>
      </w:r>
      <w:r>
        <w:rPr>
          <w:color w:val="231F20"/>
          <w:spacing w:val="3"/>
        </w:rPr>
        <w:t>puede </w:t>
      </w:r>
      <w:r>
        <w:rPr>
          <w:color w:val="231F20"/>
          <w:spacing w:val="2"/>
        </w:rPr>
        <w:t>considerarse </w:t>
      </w:r>
      <w:r>
        <w:rPr>
          <w:color w:val="231F20"/>
          <w:spacing w:val="3"/>
        </w:rPr>
        <w:t>como </w:t>
      </w:r>
      <w:r>
        <w:rPr>
          <w:color w:val="231F20"/>
          <w:spacing w:val="2"/>
        </w:rPr>
        <w:t>definitiva pues </w:t>
      </w:r>
      <w:r>
        <w:rPr>
          <w:color w:val="231F20"/>
        </w:rPr>
        <w:t>la </w:t>
      </w:r>
      <w:r>
        <w:rPr>
          <w:color w:val="231F20"/>
          <w:spacing w:val="2"/>
        </w:rPr>
        <w:t>estabilidad </w:t>
      </w:r>
      <w:r>
        <w:rPr>
          <w:color w:val="231F20"/>
        </w:rPr>
        <w:t>del </w:t>
      </w:r>
      <w:r>
        <w:rPr>
          <w:color w:val="231F20"/>
          <w:spacing w:val="2"/>
        </w:rPr>
        <w:t>orden escolar </w:t>
      </w:r>
      <w:r>
        <w:rPr>
          <w:color w:val="231F20"/>
          <w:spacing w:val="3"/>
        </w:rPr>
        <w:t>demanda </w:t>
      </w:r>
      <w:r>
        <w:rPr>
          <w:color w:val="231F20"/>
          <w:spacing w:val="2"/>
        </w:rPr>
        <w:t>redefinir </w:t>
      </w:r>
      <w:r>
        <w:rPr>
          <w:color w:val="231F20"/>
          <w:spacing w:val="3"/>
        </w:rPr>
        <w:t>permanentemente </w:t>
      </w:r>
      <w:r>
        <w:rPr>
          <w:color w:val="231F20"/>
        </w:rPr>
        <w:t>sus </w:t>
      </w:r>
      <w:r>
        <w:rPr>
          <w:color w:val="231F20"/>
          <w:spacing w:val="2"/>
        </w:rPr>
        <w:t>equilibrios </w:t>
      </w:r>
      <w:r>
        <w:rPr>
          <w:color w:val="231F20"/>
        </w:rPr>
        <w:t>que se </w:t>
      </w:r>
      <w:r>
        <w:rPr>
          <w:color w:val="231F20"/>
          <w:spacing w:val="2"/>
        </w:rPr>
        <w:t>expresan </w:t>
      </w:r>
      <w:r>
        <w:rPr>
          <w:color w:val="231F20"/>
        </w:rPr>
        <w:t>en </w:t>
      </w:r>
      <w:r>
        <w:rPr>
          <w:color w:val="231F20"/>
          <w:spacing w:val="3"/>
        </w:rPr>
        <w:t>las normas </w:t>
      </w:r>
      <w:r>
        <w:rPr>
          <w:color w:val="231F20"/>
          <w:spacing w:val="2"/>
        </w:rPr>
        <w:t>institucionales,pues </w:t>
      </w:r>
      <w:r>
        <w:rPr>
          <w:color w:val="231F20"/>
        </w:rPr>
        <w:t>fijan las </w:t>
      </w:r>
      <w:r>
        <w:rPr>
          <w:color w:val="231F20"/>
          <w:spacing w:val="2"/>
        </w:rPr>
        <w:t>relaciones </w:t>
      </w:r>
      <w:r>
        <w:rPr>
          <w:color w:val="231F20"/>
        </w:rPr>
        <w:t>y </w:t>
      </w:r>
      <w:r>
        <w:rPr>
          <w:color w:val="231F20"/>
          <w:spacing w:val="2"/>
        </w:rPr>
        <w:t>los espacios </w:t>
      </w:r>
      <w:r>
        <w:rPr>
          <w:color w:val="231F20"/>
        </w:rPr>
        <w:t>en  </w:t>
      </w:r>
      <w:r>
        <w:rPr>
          <w:color w:val="231F20"/>
          <w:spacing w:val="2"/>
        </w:rPr>
        <w:t>los que </w:t>
      </w:r>
      <w:r>
        <w:rPr>
          <w:color w:val="231F20"/>
        </w:rPr>
        <w:t>se </w:t>
      </w:r>
      <w:r>
        <w:rPr>
          <w:color w:val="231F20"/>
          <w:spacing w:val="2"/>
        </w:rPr>
        <w:t>desenvuelven </w:t>
      </w:r>
      <w:r>
        <w:rPr>
          <w:color w:val="231F20"/>
        </w:rPr>
        <w:t>y </w:t>
      </w:r>
      <w:r>
        <w:rPr>
          <w:color w:val="231F20"/>
          <w:spacing w:val="2"/>
        </w:rPr>
        <w:t>conviven los</w:t>
      </w:r>
      <w:r>
        <w:rPr>
          <w:color w:val="231F20"/>
          <w:spacing w:val="3"/>
        </w:rPr>
        <w:t> </w:t>
      </w:r>
      <w:r>
        <w:rPr>
          <w:color w:val="231F20"/>
          <w:spacing w:val="2"/>
        </w:rPr>
        <w:t>actores.</w:t>
      </w:r>
    </w:p>
    <w:p>
      <w:pPr>
        <w:spacing w:after="0" w:line="249" w:lineRule="auto"/>
        <w:jc w:val="both"/>
        <w:sectPr>
          <w:headerReference w:type="default" r:id="rId298"/>
          <w:footerReference w:type="default" r:id="rId299"/>
          <w:pgSz w:w="7830" w:h="11910"/>
          <w:pgMar w:header="0" w:footer="424" w:top="500" w:bottom="620" w:left="920" w:right="900"/>
          <w:pgNumType w:start="13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20"/>
        <w:jc w:val="both"/>
      </w:pPr>
      <w:r>
        <w:rPr>
          <w:color w:val="231F20"/>
        </w:rPr>
        <w:t>LA DIFÍCIL MISIÓN: EDUCAR EN EL SABER Y PARA LA DISCIPLINA</w:t>
      </w:r>
    </w:p>
    <w:p>
      <w:pPr>
        <w:pStyle w:val="BodyText"/>
        <w:spacing w:before="6"/>
        <w:rPr>
          <w:sz w:val="20"/>
        </w:rPr>
      </w:pPr>
    </w:p>
    <w:p>
      <w:pPr>
        <w:pStyle w:val="BodyText"/>
        <w:spacing w:line="247" w:lineRule="auto"/>
        <w:ind w:left="102" w:right="114"/>
        <w:jc w:val="both"/>
      </w:pPr>
      <w:r>
        <w:rPr>
          <w:color w:val="231F20"/>
        </w:rPr>
        <w:t>Uno de los rasgos más sobresalientes que definen y caracterizan a la institución escolar es la legitimidad de los saberes que inculca. Otro de los rasgos más sobresalientes del Instituto Científico y Literario se</w:t>
      </w:r>
      <w:r>
        <w:rPr>
          <w:color w:val="231F20"/>
          <w:spacing w:val="-24"/>
        </w:rPr>
        <w:t> </w:t>
      </w:r>
      <w:r>
        <w:rPr>
          <w:color w:val="231F20"/>
        </w:rPr>
        <w:t>exacerbó</w:t>
      </w:r>
      <w:r>
        <w:rPr>
          <w:color w:val="231F20"/>
          <w:spacing w:val="-23"/>
        </w:rPr>
        <w:t> </w:t>
      </w:r>
      <w:r>
        <w:rPr>
          <w:color w:val="231F20"/>
        </w:rPr>
        <w:t>en</w:t>
      </w:r>
      <w:r>
        <w:rPr>
          <w:color w:val="231F20"/>
          <w:spacing w:val="-23"/>
        </w:rPr>
        <w:t> </w:t>
      </w:r>
      <w:r>
        <w:rPr>
          <w:color w:val="231F20"/>
        </w:rPr>
        <w:t>este</w:t>
      </w:r>
      <w:r>
        <w:rPr>
          <w:color w:val="231F20"/>
          <w:spacing w:val="-24"/>
        </w:rPr>
        <w:t> </w:t>
      </w:r>
      <w:r>
        <w:rPr>
          <w:color w:val="231F20"/>
        </w:rPr>
        <w:t>lapso</w:t>
      </w:r>
      <w:r>
        <w:rPr>
          <w:color w:val="231F20"/>
          <w:spacing w:val="-23"/>
        </w:rPr>
        <w:t> </w:t>
      </w:r>
      <w:r>
        <w:rPr>
          <w:color w:val="231F20"/>
        </w:rPr>
        <w:t>de</w:t>
      </w:r>
      <w:r>
        <w:rPr>
          <w:color w:val="231F20"/>
          <w:spacing w:val="-24"/>
        </w:rPr>
        <w:t> </w:t>
      </w:r>
      <w:r>
        <w:rPr>
          <w:color w:val="231F20"/>
        </w:rPr>
        <w:t>tiempo:</w:t>
      </w:r>
      <w:r>
        <w:rPr>
          <w:color w:val="231F20"/>
          <w:spacing w:val="-24"/>
        </w:rPr>
        <w:t> </w:t>
      </w:r>
      <w:r>
        <w:rPr>
          <w:color w:val="231F20"/>
        </w:rPr>
        <w:t>el</w:t>
      </w:r>
      <w:r>
        <w:rPr>
          <w:color w:val="231F20"/>
          <w:spacing w:val="-24"/>
        </w:rPr>
        <w:t> </w:t>
      </w:r>
      <w:r>
        <w:rPr>
          <w:i/>
          <w:color w:val="231F20"/>
        </w:rPr>
        <w:t>racismo</w:t>
      </w:r>
      <w:r>
        <w:rPr>
          <w:i/>
          <w:color w:val="231F20"/>
          <w:spacing w:val="-24"/>
        </w:rPr>
        <w:t> </w:t>
      </w:r>
      <w:r>
        <w:rPr>
          <w:i/>
          <w:color w:val="231F20"/>
        </w:rPr>
        <w:t>de</w:t>
      </w:r>
      <w:r>
        <w:rPr>
          <w:i/>
          <w:color w:val="231F20"/>
          <w:spacing w:val="-24"/>
        </w:rPr>
        <w:t> </w:t>
      </w:r>
      <w:r>
        <w:rPr>
          <w:i/>
          <w:color w:val="231F20"/>
        </w:rPr>
        <w:t>la</w:t>
      </w:r>
      <w:r>
        <w:rPr>
          <w:i/>
          <w:color w:val="231F20"/>
          <w:spacing w:val="-24"/>
        </w:rPr>
        <w:t> </w:t>
      </w:r>
      <w:r>
        <w:rPr>
          <w:i/>
          <w:color w:val="231F20"/>
        </w:rPr>
        <w:t>inteligencia</w:t>
      </w:r>
      <w:r>
        <w:rPr>
          <w:i/>
          <w:color w:val="231F20"/>
          <w:spacing w:val="-24"/>
        </w:rPr>
        <w:t> </w:t>
      </w:r>
      <w:r>
        <w:rPr>
          <w:color w:val="231F20"/>
        </w:rPr>
        <w:t>“cuyo poder se base en parte en la posesión de títulos que, como los esco- lares, se consideran garantía de inteligencia” que se manifiesta en usos de la violencia que pretende censurar, en último término su- primir, los modos de expresión burdos o populares. Así, en este periodo se presentaron, por parte de las autoridades educativas, contenidos disciplinares orientados a inculcar una concepción del mundo legítimo mediante la aprobación científica de distintos dis- cursos: se introducen y fortalecen autores, individuos y disciplinas tanto científicas, como sociales y humanísticas que pretenden legi- timar el orden del conocimiento, de la sociedad y la naturaleza, para así excluir a otros autores y otras disciplinas en apariencia poco consistentes con los procedimientos específicos de lo que se define como ciencia. Asimismo, se emplea para justificar exclusiones esco- lares mediante la expulsión de profesores, alumnos y, aun autorida- des, con el pretexto de su bajo rendimiento escolar, medido por su falta de capacidad para demostrar el dominio de conocimientos o    su “carencia” de voluntad para aceptar las sanciones</w:t>
      </w:r>
      <w:r>
        <w:rPr>
          <w:color w:val="231F20"/>
          <w:spacing w:val="-11"/>
        </w:rPr>
        <w:t> </w:t>
      </w:r>
      <w:r>
        <w:rPr>
          <w:color w:val="231F20"/>
        </w:rPr>
        <w:t>escolares.</w:t>
      </w:r>
    </w:p>
    <w:p>
      <w:pPr>
        <w:pStyle w:val="BodyText"/>
        <w:spacing w:line="249" w:lineRule="auto" w:before="10"/>
        <w:ind w:left="103" w:right="114" w:firstLine="284"/>
        <w:jc w:val="both"/>
      </w:pPr>
      <w:r>
        <w:rPr>
          <w:color w:val="231F20"/>
          <w:spacing w:val="2"/>
        </w:rPr>
        <w:t>Tal </w:t>
      </w:r>
      <w:r>
        <w:rPr>
          <w:color w:val="231F20"/>
        </w:rPr>
        <w:t>vez </w:t>
      </w:r>
      <w:r>
        <w:rPr>
          <w:color w:val="231F20"/>
          <w:spacing w:val="2"/>
        </w:rPr>
        <w:t>uno </w:t>
      </w:r>
      <w:r>
        <w:rPr>
          <w:color w:val="231F20"/>
        </w:rPr>
        <w:t>de </w:t>
      </w:r>
      <w:r>
        <w:rPr>
          <w:color w:val="231F20"/>
          <w:spacing w:val="2"/>
        </w:rPr>
        <w:t>los </w:t>
      </w:r>
      <w:r>
        <w:rPr>
          <w:color w:val="231F20"/>
          <w:spacing w:val="3"/>
        </w:rPr>
        <w:t>instrumentos </w:t>
      </w:r>
      <w:r>
        <w:rPr>
          <w:color w:val="231F20"/>
        </w:rPr>
        <w:t>del </w:t>
      </w:r>
      <w:r>
        <w:rPr>
          <w:color w:val="231F20"/>
          <w:spacing w:val="2"/>
        </w:rPr>
        <w:t>dispositivo institucional que, </w:t>
      </w:r>
      <w:r>
        <w:rPr>
          <w:color w:val="231F20"/>
        </w:rPr>
        <w:t>en </w:t>
      </w:r>
      <w:r>
        <w:rPr>
          <w:color w:val="231F20"/>
          <w:spacing w:val="2"/>
        </w:rPr>
        <w:t>apariencia </w:t>
      </w:r>
      <w:r>
        <w:rPr>
          <w:color w:val="231F20"/>
        </w:rPr>
        <w:t>es el </w:t>
      </w:r>
      <w:r>
        <w:rPr>
          <w:color w:val="231F20"/>
          <w:spacing w:val="2"/>
        </w:rPr>
        <w:t>más aséptico </w:t>
      </w:r>
      <w:r>
        <w:rPr>
          <w:color w:val="231F20"/>
        </w:rPr>
        <w:t>y </w:t>
      </w:r>
      <w:r>
        <w:rPr>
          <w:color w:val="231F20"/>
          <w:spacing w:val="2"/>
        </w:rPr>
        <w:t>objetivo, </w:t>
      </w:r>
      <w:r>
        <w:rPr>
          <w:color w:val="231F20"/>
        </w:rPr>
        <w:t>el </w:t>
      </w:r>
      <w:r>
        <w:rPr>
          <w:color w:val="231F20"/>
          <w:spacing w:val="2"/>
        </w:rPr>
        <w:t>que </w:t>
      </w:r>
      <w:r>
        <w:rPr>
          <w:color w:val="231F20"/>
          <w:spacing w:val="3"/>
        </w:rPr>
        <w:t>menos </w:t>
      </w:r>
      <w:r>
        <w:rPr>
          <w:color w:val="231F20"/>
          <w:spacing w:val="2"/>
        </w:rPr>
        <w:t>violencia simbólica encierra </w:t>
      </w:r>
      <w:r>
        <w:rPr>
          <w:color w:val="231F20"/>
        </w:rPr>
        <w:t>y </w:t>
      </w:r>
      <w:r>
        <w:rPr>
          <w:color w:val="231F20"/>
          <w:spacing w:val="2"/>
        </w:rPr>
        <w:t>ejerce, </w:t>
      </w:r>
      <w:r>
        <w:rPr>
          <w:color w:val="231F20"/>
        </w:rPr>
        <w:t>el </w:t>
      </w:r>
      <w:r>
        <w:rPr>
          <w:color w:val="231F20"/>
          <w:spacing w:val="2"/>
        </w:rPr>
        <w:t>más acabado </w:t>
      </w:r>
      <w:r>
        <w:rPr>
          <w:color w:val="231F20"/>
        </w:rPr>
        <w:t>y </w:t>
      </w:r>
      <w:r>
        <w:rPr>
          <w:color w:val="231F20"/>
          <w:spacing w:val="2"/>
        </w:rPr>
        <w:t>perfecto  por </w:t>
      </w:r>
      <w:r>
        <w:rPr>
          <w:color w:val="231F20"/>
        </w:rPr>
        <w:t>su alto </w:t>
      </w:r>
      <w:r>
        <w:rPr>
          <w:color w:val="231F20"/>
          <w:spacing w:val="2"/>
        </w:rPr>
        <w:t>nivel </w:t>
      </w:r>
      <w:r>
        <w:rPr>
          <w:color w:val="231F20"/>
        </w:rPr>
        <w:t>de </w:t>
      </w:r>
      <w:r>
        <w:rPr>
          <w:color w:val="231F20"/>
          <w:spacing w:val="2"/>
        </w:rPr>
        <w:t>elaboración, </w:t>
      </w:r>
      <w:r>
        <w:rPr>
          <w:color w:val="231F20"/>
        </w:rPr>
        <w:t>su </w:t>
      </w:r>
      <w:r>
        <w:rPr>
          <w:color w:val="231F20"/>
          <w:spacing w:val="2"/>
        </w:rPr>
        <w:t>sentido simbólico, </w:t>
      </w:r>
      <w:r>
        <w:rPr>
          <w:color w:val="231F20"/>
        </w:rPr>
        <w:t>su </w:t>
      </w:r>
      <w:r>
        <w:rPr>
          <w:color w:val="231F20"/>
          <w:spacing w:val="3"/>
        </w:rPr>
        <w:t>sistema- </w:t>
      </w:r>
      <w:r>
        <w:rPr>
          <w:color w:val="231F20"/>
          <w:spacing w:val="2"/>
        </w:rPr>
        <w:t>ticidad </w:t>
      </w:r>
      <w:r>
        <w:rPr>
          <w:color w:val="231F20"/>
        </w:rPr>
        <w:t>y la </w:t>
      </w:r>
      <w:r>
        <w:rPr>
          <w:color w:val="231F20"/>
          <w:spacing w:val="2"/>
        </w:rPr>
        <w:t>graduación </w:t>
      </w:r>
      <w:r>
        <w:rPr>
          <w:color w:val="231F20"/>
        </w:rPr>
        <w:t>de </w:t>
      </w:r>
      <w:r>
        <w:rPr>
          <w:color w:val="231F20"/>
          <w:spacing w:val="2"/>
        </w:rPr>
        <w:t>sus </w:t>
      </w:r>
      <w:r>
        <w:rPr>
          <w:color w:val="231F20"/>
          <w:spacing w:val="3"/>
        </w:rPr>
        <w:t>contenidos, </w:t>
      </w:r>
      <w:r>
        <w:rPr>
          <w:color w:val="231F20"/>
          <w:spacing w:val="2"/>
        </w:rPr>
        <w:t>sean los planes </w:t>
      </w:r>
      <w:r>
        <w:rPr>
          <w:color w:val="231F20"/>
        </w:rPr>
        <w:t>y </w:t>
      </w:r>
      <w:r>
        <w:rPr>
          <w:color w:val="231F20"/>
          <w:spacing w:val="3"/>
        </w:rPr>
        <w:t>pro- </w:t>
      </w:r>
      <w:r>
        <w:rPr>
          <w:color w:val="231F20"/>
          <w:spacing w:val="2"/>
        </w:rPr>
        <w:t>gramas </w:t>
      </w:r>
      <w:r>
        <w:rPr>
          <w:color w:val="231F20"/>
        </w:rPr>
        <w:t>de </w:t>
      </w:r>
      <w:r>
        <w:rPr>
          <w:color w:val="231F20"/>
          <w:spacing w:val="2"/>
        </w:rPr>
        <w:t>estudio que </w:t>
      </w:r>
      <w:r>
        <w:rPr>
          <w:color w:val="231F20"/>
        </w:rPr>
        <w:t>las </w:t>
      </w:r>
      <w:r>
        <w:rPr>
          <w:color w:val="231F20"/>
          <w:spacing w:val="3"/>
        </w:rPr>
        <w:t>autoridades </w:t>
      </w:r>
      <w:r>
        <w:rPr>
          <w:color w:val="231F20"/>
          <w:spacing w:val="2"/>
        </w:rPr>
        <w:t>académicas </w:t>
      </w:r>
      <w:r>
        <w:rPr>
          <w:color w:val="231F20"/>
          <w:spacing w:val="3"/>
        </w:rPr>
        <w:t>reconocen co- </w:t>
      </w:r>
      <w:r>
        <w:rPr>
          <w:color w:val="231F20"/>
          <w:spacing w:val="2"/>
        </w:rPr>
        <w:t>mo una </w:t>
      </w:r>
      <w:r>
        <w:rPr>
          <w:color w:val="231F20"/>
        </w:rPr>
        <w:t>de las </w:t>
      </w:r>
      <w:r>
        <w:rPr>
          <w:color w:val="231F20"/>
          <w:spacing w:val="2"/>
        </w:rPr>
        <w:t>fuentes </w:t>
      </w:r>
      <w:r>
        <w:rPr>
          <w:color w:val="231F20"/>
        </w:rPr>
        <w:t>de </w:t>
      </w:r>
      <w:r>
        <w:rPr>
          <w:color w:val="231F20"/>
          <w:spacing w:val="2"/>
        </w:rPr>
        <w:t>legitimidad académica. </w:t>
      </w:r>
      <w:r>
        <w:rPr>
          <w:color w:val="231F20"/>
        </w:rPr>
        <w:t>En ellos se </w:t>
      </w:r>
      <w:r>
        <w:rPr>
          <w:color w:val="231F20"/>
          <w:spacing w:val="3"/>
        </w:rPr>
        <w:t>esta- </w:t>
      </w:r>
      <w:r>
        <w:rPr>
          <w:color w:val="231F20"/>
          <w:spacing w:val="2"/>
        </w:rPr>
        <w:t>blecen </w:t>
      </w:r>
      <w:r>
        <w:rPr>
          <w:color w:val="231F20"/>
        </w:rPr>
        <w:t>las </w:t>
      </w:r>
      <w:r>
        <w:rPr>
          <w:color w:val="231F20"/>
          <w:spacing w:val="2"/>
        </w:rPr>
        <w:t>disciplinas </w:t>
      </w:r>
      <w:r>
        <w:rPr>
          <w:color w:val="231F20"/>
        </w:rPr>
        <w:t>a </w:t>
      </w:r>
      <w:r>
        <w:rPr>
          <w:color w:val="231F20"/>
          <w:spacing w:val="2"/>
        </w:rPr>
        <w:t>examinar, </w:t>
      </w:r>
      <w:r>
        <w:rPr>
          <w:color w:val="231F20"/>
        </w:rPr>
        <w:t>el </w:t>
      </w:r>
      <w:r>
        <w:rPr>
          <w:color w:val="231F20"/>
          <w:spacing w:val="2"/>
        </w:rPr>
        <w:t>proceso </w:t>
      </w:r>
      <w:r>
        <w:rPr>
          <w:color w:val="231F20"/>
        </w:rPr>
        <w:t>de </w:t>
      </w:r>
      <w:r>
        <w:rPr>
          <w:color w:val="231F20"/>
          <w:spacing w:val="3"/>
        </w:rPr>
        <w:t>enseñanza </w:t>
      </w:r>
      <w:r>
        <w:rPr>
          <w:color w:val="231F20"/>
        </w:rPr>
        <w:t>y </w:t>
      </w:r>
      <w:r>
        <w:rPr>
          <w:color w:val="231F20"/>
          <w:spacing w:val="2"/>
        </w:rPr>
        <w:t>aprendizaje, </w:t>
      </w:r>
      <w:r>
        <w:rPr>
          <w:color w:val="231F20"/>
        </w:rPr>
        <w:t>las </w:t>
      </w:r>
      <w:r>
        <w:rPr>
          <w:color w:val="231F20"/>
          <w:spacing w:val="2"/>
        </w:rPr>
        <w:t>habilidades materiales </w:t>
      </w:r>
      <w:r>
        <w:rPr>
          <w:color w:val="231F20"/>
        </w:rPr>
        <w:t>e </w:t>
      </w:r>
      <w:r>
        <w:rPr>
          <w:color w:val="231F20"/>
          <w:spacing w:val="2"/>
        </w:rPr>
        <w:t>intelectuales </w:t>
      </w:r>
      <w:r>
        <w:rPr>
          <w:color w:val="231F20"/>
        </w:rPr>
        <w:t>que se </w:t>
      </w:r>
      <w:r>
        <w:rPr>
          <w:color w:val="231F20"/>
          <w:spacing w:val="2"/>
        </w:rPr>
        <w:t>deben inculcar </w:t>
      </w:r>
      <w:r>
        <w:rPr>
          <w:color w:val="231F20"/>
        </w:rPr>
        <w:t>y </w:t>
      </w:r>
      <w:r>
        <w:rPr>
          <w:color w:val="231F20"/>
          <w:spacing w:val="2"/>
        </w:rPr>
        <w:t>que los estudiantes tienen que </w:t>
      </w:r>
      <w:r>
        <w:rPr>
          <w:color w:val="231F20"/>
          <w:spacing w:val="3"/>
        </w:rPr>
        <w:t>dominar, </w:t>
      </w:r>
      <w:r>
        <w:rPr>
          <w:color w:val="231F20"/>
        </w:rPr>
        <w:t>la </w:t>
      </w:r>
      <w:r>
        <w:rPr>
          <w:color w:val="231F20"/>
          <w:spacing w:val="2"/>
        </w:rPr>
        <w:t>distribución del tiempo </w:t>
      </w:r>
      <w:r>
        <w:rPr>
          <w:color w:val="231F20"/>
        </w:rPr>
        <w:t>y </w:t>
      </w:r>
      <w:r>
        <w:rPr>
          <w:color w:val="231F20"/>
          <w:spacing w:val="2"/>
        </w:rPr>
        <w:t>los lugares </w:t>
      </w:r>
      <w:r>
        <w:rPr>
          <w:color w:val="231F20"/>
        </w:rPr>
        <w:t>en las </w:t>
      </w:r>
      <w:r>
        <w:rPr>
          <w:color w:val="231F20"/>
          <w:spacing w:val="2"/>
        </w:rPr>
        <w:t>que deben impartirse, </w:t>
      </w:r>
      <w:r>
        <w:rPr>
          <w:color w:val="231F20"/>
        </w:rPr>
        <w:t>el </w:t>
      </w:r>
      <w:r>
        <w:rPr>
          <w:color w:val="231F20"/>
          <w:spacing w:val="3"/>
        </w:rPr>
        <w:t>número </w:t>
      </w:r>
      <w:r>
        <w:rPr>
          <w:color w:val="231F20"/>
        </w:rPr>
        <w:t>de </w:t>
      </w:r>
      <w:r>
        <w:rPr>
          <w:color w:val="231F20"/>
          <w:spacing w:val="2"/>
        </w:rPr>
        <w:t>horas destinadas </w:t>
      </w:r>
      <w:r>
        <w:rPr>
          <w:color w:val="231F20"/>
        </w:rPr>
        <w:t>a ellas a fin de </w:t>
      </w:r>
      <w:r>
        <w:rPr>
          <w:color w:val="231F20"/>
          <w:spacing w:val="2"/>
        </w:rPr>
        <w:t>garantizar </w:t>
      </w:r>
      <w:r>
        <w:rPr>
          <w:color w:val="231F20"/>
        </w:rPr>
        <w:t>su </w:t>
      </w:r>
      <w:r>
        <w:rPr>
          <w:color w:val="231F20"/>
          <w:spacing w:val="2"/>
        </w:rPr>
        <w:t>dominio conceptual, distribuidas </w:t>
      </w:r>
      <w:r>
        <w:rPr>
          <w:color w:val="231F20"/>
          <w:spacing w:val="3"/>
        </w:rPr>
        <w:t>regularmente </w:t>
      </w:r>
      <w:r>
        <w:rPr>
          <w:color w:val="231F20"/>
          <w:spacing w:val="2"/>
        </w:rPr>
        <w:t>por </w:t>
      </w:r>
      <w:r>
        <w:rPr>
          <w:color w:val="231F20"/>
          <w:spacing w:val="3"/>
        </w:rPr>
        <w:t>semana </w:t>
      </w:r>
      <w:r>
        <w:rPr>
          <w:color w:val="231F20"/>
        </w:rPr>
        <w:t>y la </w:t>
      </w:r>
      <w:r>
        <w:rPr>
          <w:color w:val="231F20"/>
          <w:spacing w:val="2"/>
        </w:rPr>
        <w:t>cantidad </w:t>
      </w:r>
      <w:r>
        <w:rPr>
          <w:color w:val="231F20"/>
        </w:rPr>
        <w:t>de las </w:t>
      </w:r>
      <w:r>
        <w:rPr>
          <w:color w:val="231F20"/>
          <w:spacing w:val="2"/>
        </w:rPr>
        <w:t>clases </w:t>
      </w:r>
      <w:r>
        <w:rPr>
          <w:color w:val="231F20"/>
        </w:rPr>
        <w:t>a lo </w:t>
      </w:r>
      <w:r>
        <w:rPr>
          <w:color w:val="231F20"/>
          <w:spacing w:val="2"/>
        </w:rPr>
        <w:t>largo del </w:t>
      </w:r>
      <w:r>
        <w:rPr>
          <w:color w:val="231F20"/>
        </w:rPr>
        <w:t>ciclo o </w:t>
      </w:r>
      <w:r>
        <w:rPr>
          <w:color w:val="231F20"/>
          <w:spacing w:val="2"/>
        </w:rPr>
        <w:t>año escolar, los </w:t>
      </w:r>
      <w:r>
        <w:rPr>
          <w:color w:val="231F20"/>
          <w:spacing w:val="3"/>
        </w:rPr>
        <w:t>periodos, </w:t>
      </w:r>
      <w:r>
        <w:rPr>
          <w:color w:val="231F20"/>
        </w:rPr>
        <w:t>la </w:t>
      </w:r>
      <w:r>
        <w:rPr>
          <w:color w:val="231F20"/>
          <w:spacing w:val="2"/>
        </w:rPr>
        <w:t>intensidad, </w:t>
      </w:r>
      <w:r>
        <w:rPr>
          <w:color w:val="231F20"/>
        </w:rPr>
        <w:t>el </w:t>
      </w:r>
      <w:r>
        <w:rPr>
          <w:color w:val="231F20"/>
          <w:spacing w:val="3"/>
        </w:rPr>
        <w:t>tipo </w:t>
      </w:r>
      <w:r>
        <w:rPr>
          <w:color w:val="231F20"/>
        </w:rPr>
        <w:t>de</w:t>
      </w:r>
      <w:r>
        <w:rPr>
          <w:color w:val="231F20"/>
          <w:spacing w:val="16"/>
        </w:rPr>
        <w:t> </w:t>
      </w:r>
      <w:r>
        <w:rPr>
          <w:color w:val="231F20"/>
          <w:spacing w:val="3"/>
        </w:rPr>
        <w:t>pruebas</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spacing w:val="2"/>
        </w:rPr>
        <w:t>finalidades</w:t>
      </w:r>
      <w:r>
        <w:rPr>
          <w:color w:val="231F20"/>
          <w:spacing w:val="16"/>
        </w:rPr>
        <w:t> </w:t>
      </w:r>
      <w:r>
        <w:rPr>
          <w:color w:val="231F20"/>
        </w:rPr>
        <w:t>de</w:t>
      </w:r>
      <w:r>
        <w:rPr>
          <w:color w:val="231F20"/>
          <w:spacing w:val="16"/>
        </w:rPr>
        <w:t> </w:t>
      </w:r>
      <w:r>
        <w:rPr>
          <w:color w:val="231F20"/>
        </w:rPr>
        <w:t>ellas</w:t>
      </w:r>
      <w:r>
        <w:rPr>
          <w:color w:val="231F20"/>
          <w:spacing w:val="16"/>
        </w:rPr>
        <w:t> </w:t>
      </w:r>
      <w:r>
        <w:rPr>
          <w:color w:val="231F20"/>
          <w:spacing w:val="2"/>
        </w:rPr>
        <w:t>según</w:t>
      </w:r>
      <w:r>
        <w:rPr>
          <w:color w:val="231F20"/>
          <w:spacing w:val="16"/>
        </w:rPr>
        <w:t> </w:t>
      </w:r>
      <w:r>
        <w:rPr>
          <w:color w:val="231F20"/>
        </w:rPr>
        <w:t>se</w:t>
      </w:r>
      <w:r>
        <w:rPr>
          <w:color w:val="231F20"/>
          <w:spacing w:val="16"/>
        </w:rPr>
        <w:t> </w:t>
      </w:r>
      <w:r>
        <w:rPr>
          <w:color w:val="231F20"/>
          <w:spacing w:val="2"/>
        </w:rPr>
        <w:t>trate</w:t>
      </w:r>
      <w:r>
        <w:rPr>
          <w:color w:val="231F20"/>
          <w:spacing w:val="16"/>
        </w:rPr>
        <w:t> </w:t>
      </w:r>
      <w:r>
        <w:rPr>
          <w:color w:val="231F20"/>
        </w:rPr>
        <w:t>de</w:t>
      </w:r>
      <w:r>
        <w:rPr>
          <w:color w:val="231F20"/>
          <w:spacing w:val="16"/>
        </w:rPr>
        <w:t> </w:t>
      </w:r>
      <w:r>
        <w:rPr>
          <w:color w:val="231F20"/>
          <w:spacing w:val="3"/>
        </w:rPr>
        <w:t>pruebas</w:t>
      </w:r>
      <w:r>
        <w:rPr>
          <w:color w:val="231F20"/>
          <w:spacing w:val="16"/>
        </w:rPr>
        <w:t> </w:t>
      </w:r>
      <w:r>
        <w:rPr>
          <w:color w:val="231F20"/>
          <w:spacing w:val="3"/>
        </w:rPr>
        <w:t>ora-</w:t>
      </w:r>
    </w:p>
    <w:p>
      <w:pPr>
        <w:spacing w:after="0" w:line="249" w:lineRule="auto"/>
        <w:jc w:val="both"/>
        <w:sectPr>
          <w:headerReference w:type="default" r:id="rId300"/>
          <w:footerReference w:type="default" r:id="rId301"/>
          <w:pgSz w:w="7830" w:h="11910"/>
          <w:pgMar w:header="0" w:footer="424" w:top="500" w:bottom="620" w:left="920" w:right="900"/>
          <w:pgNumType w:start="139"/>
        </w:sectPr>
      </w:pPr>
    </w:p>
    <w:p>
      <w:pPr>
        <w:spacing w:before="48"/>
        <w:ind w:left="596" w:right="121" w:firstLine="0"/>
        <w:jc w:val="left"/>
        <w:rPr>
          <w:rFonts w:ascii="Georgia" w:hAnsi="Georgia"/>
          <w:sz w:val="13"/>
        </w:rPr>
      </w:pPr>
      <w:r>
        <w:rPr>
          <w:rFonts w:ascii="Georgia" w:hAnsi="Georgia"/>
          <w:color w:val="231F20"/>
          <w:sz w:val="16"/>
        </w:rPr>
        <w:t>I</w:t>
      </w:r>
      <w:r>
        <w:rPr>
          <w:rFonts w:ascii="Georgia" w:hAnsi="Georgia"/>
          <w:color w:val="231F20"/>
          <w:sz w:val="13"/>
        </w:rPr>
        <w:t>RMA </w:t>
      </w:r>
      <w:r>
        <w:rPr>
          <w:rFonts w:ascii="Georgia" w:hAnsi="Georgia"/>
          <w:color w:val="231F20"/>
          <w:sz w:val="16"/>
        </w:rPr>
        <w:t>G</w:t>
      </w:r>
      <w:r>
        <w:rPr>
          <w:rFonts w:ascii="Georgia" w:hAnsi="Georgia"/>
          <w:color w:val="231F20"/>
          <w:sz w:val="13"/>
        </w:rPr>
        <w:t>UADALUPE </w:t>
      </w:r>
      <w:r>
        <w:rPr>
          <w:rFonts w:ascii="Georgia" w:hAnsi="Georgia"/>
          <w:color w:val="231F20"/>
          <w:sz w:val="16"/>
        </w:rPr>
        <w:t>G</w:t>
      </w:r>
      <w:r>
        <w:rPr>
          <w:rFonts w:ascii="Georgia" w:hAnsi="Georgia"/>
          <w:color w:val="231F20"/>
          <w:sz w:val="13"/>
        </w:rPr>
        <w:t>ONZÁLEZ </w:t>
      </w:r>
      <w:r>
        <w:rPr>
          <w:rFonts w:ascii="Georgia" w:hAnsi="Georgia"/>
          <w:color w:val="231F20"/>
          <w:sz w:val="16"/>
        </w:rPr>
        <w:t>C</w:t>
      </w:r>
      <w:r>
        <w:rPr>
          <w:rFonts w:ascii="Georgia" w:hAnsi="Georgia"/>
          <w:color w:val="231F20"/>
          <w:sz w:val="13"/>
        </w:rPr>
        <w:t>ORZO Y </w:t>
      </w:r>
      <w:r>
        <w:rPr>
          <w:rFonts w:ascii="Georgia" w:hAnsi="Georgia"/>
          <w:color w:val="231F20"/>
          <w:sz w:val="16"/>
        </w:rPr>
        <w:t>R</w:t>
      </w:r>
      <w:r>
        <w:rPr>
          <w:rFonts w:ascii="Georgia" w:hAnsi="Georgia"/>
          <w:color w:val="231F20"/>
          <w:sz w:val="13"/>
        </w:rPr>
        <w:t>OSA </w:t>
      </w:r>
      <w:r>
        <w:rPr>
          <w:rFonts w:ascii="Georgia" w:hAnsi="Georgia"/>
          <w:color w:val="231F20"/>
          <w:sz w:val="16"/>
        </w:rPr>
        <w:t>M</w:t>
      </w:r>
      <w:r>
        <w:rPr>
          <w:rFonts w:ascii="Georgia" w:hAnsi="Georgia"/>
          <w:color w:val="231F20"/>
          <w:sz w:val="13"/>
        </w:rPr>
        <w:t>ARÍA </w:t>
      </w:r>
      <w:r>
        <w:rPr>
          <w:rFonts w:ascii="Georgia" w:hAnsi="Georgia"/>
          <w:color w:val="231F20"/>
          <w:sz w:val="16"/>
        </w:rPr>
        <w:t>R</w:t>
      </w:r>
      <w:r>
        <w:rPr>
          <w:rFonts w:ascii="Georgia" w:hAnsi="Georgia"/>
          <w:color w:val="231F20"/>
          <w:sz w:val="13"/>
        </w:rPr>
        <w:t>AMÍREZ </w:t>
      </w:r>
      <w:r>
        <w:rPr>
          <w:rFonts w:ascii="Georgia" w:hAnsi="Georgia"/>
          <w:color w:val="231F20"/>
          <w:sz w:val="16"/>
        </w:rPr>
        <w:t>M</w:t>
      </w:r>
      <w:r>
        <w:rPr>
          <w:rFonts w:ascii="Georgia" w:hAnsi="Georgia"/>
          <w:color w:val="231F20"/>
          <w:sz w:val="13"/>
        </w:rPr>
        <w:t>ARTÍNEZ</w:t>
      </w:r>
    </w:p>
    <w:p>
      <w:pPr>
        <w:pStyle w:val="BodyText"/>
        <w:rPr>
          <w:rFonts w:ascii="Georgia"/>
          <w:sz w:val="16"/>
        </w:rPr>
      </w:pPr>
    </w:p>
    <w:p>
      <w:pPr>
        <w:pStyle w:val="BodyText"/>
        <w:rPr>
          <w:rFonts w:ascii="Georgia"/>
          <w:sz w:val="16"/>
        </w:rPr>
      </w:pPr>
    </w:p>
    <w:p>
      <w:pPr>
        <w:pStyle w:val="BodyText"/>
        <w:spacing w:line="252" w:lineRule="auto" w:before="100"/>
        <w:ind w:left="101" w:right="114"/>
        <w:jc w:val="both"/>
        <w:rPr>
          <w:rFonts w:ascii="Georgia" w:hAnsi="Georgia"/>
        </w:rPr>
      </w:pPr>
      <w:r>
        <w:rPr>
          <w:rFonts w:ascii="Georgia" w:hAnsi="Georgia"/>
          <w:color w:val="231F20"/>
        </w:rPr>
        <w:t>les,</w:t>
      </w:r>
      <w:r>
        <w:rPr>
          <w:rFonts w:ascii="Georgia" w:hAnsi="Georgia"/>
          <w:color w:val="231F20"/>
          <w:spacing w:val="-19"/>
        </w:rPr>
        <w:t> </w:t>
      </w:r>
      <w:r>
        <w:rPr>
          <w:rFonts w:ascii="Georgia" w:hAnsi="Georgia"/>
          <w:color w:val="231F20"/>
          <w:spacing w:val="2"/>
        </w:rPr>
        <w:t>escritas</w:t>
      </w:r>
      <w:r>
        <w:rPr>
          <w:rFonts w:ascii="Georgia" w:hAnsi="Georgia"/>
          <w:color w:val="231F20"/>
          <w:spacing w:val="-18"/>
        </w:rPr>
        <w:t> </w:t>
      </w:r>
      <w:r>
        <w:rPr>
          <w:rFonts w:ascii="Georgia" w:hAnsi="Georgia"/>
          <w:color w:val="231F20"/>
        </w:rPr>
        <w:t>y</w:t>
      </w:r>
      <w:r>
        <w:rPr>
          <w:rFonts w:ascii="Georgia" w:hAnsi="Georgia"/>
          <w:color w:val="231F20"/>
          <w:spacing w:val="-18"/>
        </w:rPr>
        <w:t> </w:t>
      </w:r>
      <w:r>
        <w:rPr>
          <w:rFonts w:ascii="Georgia" w:hAnsi="Georgia"/>
          <w:color w:val="231F20"/>
          <w:spacing w:val="2"/>
        </w:rPr>
        <w:t>prácticas,</w:t>
      </w:r>
      <w:r>
        <w:rPr>
          <w:rFonts w:ascii="Georgia" w:hAnsi="Georgia"/>
          <w:color w:val="231F20"/>
          <w:spacing w:val="-19"/>
        </w:rPr>
        <w:t> </w:t>
      </w:r>
      <w:r>
        <w:rPr>
          <w:rFonts w:ascii="Georgia" w:hAnsi="Georgia"/>
          <w:color w:val="231F20"/>
        </w:rPr>
        <w:t>las</w:t>
      </w:r>
      <w:r>
        <w:rPr>
          <w:rFonts w:ascii="Georgia" w:hAnsi="Georgia"/>
          <w:color w:val="231F20"/>
          <w:spacing w:val="-18"/>
        </w:rPr>
        <w:t> </w:t>
      </w:r>
      <w:r>
        <w:rPr>
          <w:rFonts w:ascii="Georgia" w:hAnsi="Georgia"/>
          <w:color w:val="231F20"/>
          <w:spacing w:val="2"/>
        </w:rPr>
        <w:t>tareas</w:t>
      </w:r>
      <w:r>
        <w:rPr>
          <w:rFonts w:ascii="Georgia" w:hAnsi="Georgia"/>
          <w:color w:val="231F20"/>
          <w:spacing w:val="-18"/>
        </w:rPr>
        <w:t> </w:t>
      </w:r>
      <w:r>
        <w:rPr>
          <w:rFonts w:ascii="Georgia" w:hAnsi="Georgia"/>
          <w:color w:val="231F20"/>
          <w:spacing w:val="2"/>
        </w:rPr>
        <w:t>diarias,</w:t>
      </w:r>
      <w:r>
        <w:rPr>
          <w:rFonts w:ascii="Georgia" w:hAnsi="Georgia"/>
          <w:color w:val="231F20"/>
          <w:spacing w:val="-19"/>
        </w:rPr>
        <w:t> </w:t>
      </w:r>
      <w:r>
        <w:rPr>
          <w:rFonts w:ascii="Georgia" w:hAnsi="Georgia"/>
          <w:color w:val="231F20"/>
          <w:spacing w:val="2"/>
        </w:rPr>
        <w:t>para</w:t>
      </w:r>
      <w:r>
        <w:rPr>
          <w:rFonts w:ascii="Georgia" w:hAnsi="Georgia"/>
          <w:color w:val="231F20"/>
          <w:spacing w:val="-18"/>
        </w:rPr>
        <w:t> </w:t>
      </w:r>
      <w:r>
        <w:rPr>
          <w:rFonts w:ascii="Georgia" w:hAnsi="Georgia"/>
          <w:color w:val="231F20"/>
          <w:spacing w:val="2"/>
        </w:rPr>
        <w:t>medir</w:t>
      </w:r>
      <w:r>
        <w:rPr>
          <w:rFonts w:ascii="Georgia" w:hAnsi="Georgia"/>
          <w:color w:val="231F20"/>
          <w:spacing w:val="-18"/>
        </w:rPr>
        <w:t> </w:t>
      </w:r>
      <w:r>
        <w:rPr>
          <w:rFonts w:ascii="Georgia" w:hAnsi="Georgia"/>
          <w:color w:val="231F20"/>
        </w:rPr>
        <w:t>el</w:t>
      </w:r>
      <w:r>
        <w:rPr>
          <w:rFonts w:ascii="Georgia" w:hAnsi="Georgia"/>
          <w:color w:val="231F20"/>
          <w:spacing w:val="-19"/>
        </w:rPr>
        <w:t> </w:t>
      </w:r>
      <w:r>
        <w:rPr>
          <w:rFonts w:ascii="Georgia" w:hAnsi="Georgia"/>
          <w:color w:val="231F20"/>
          <w:spacing w:val="2"/>
        </w:rPr>
        <w:t>aprove- </w:t>
      </w:r>
      <w:r>
        <w:rPr>
          <w:rFonts w:ascii="Georgia" w:hAnsi="Georgia"/>
          <w:color w:val="231F20"/>
          <w:spacing w:val="3"/>
          <w:w w:val="95"/>
        </w:rPr>
        <w:t>chamiento </w:t>
      </w:r>
      <w:r>
        <w:rPr>
          <w:rFonts w:ascii="Georgia" w:hAnsi="Georgia"/>
          <w:color w:val="231F20"/>
          <w:spacing w:val="2"/>
          <w:w w:val="95"/>
        </w:rPr>
        <w:t>escolar individual </w:t>
      </w:r>
      <w:r>
        <w:rPr>
          <w:rFonts w:ascii="Georgia" w:hAnsi="Georgia"/>
          <w:color w:val="231F20"/>
          <w:w w:val="95"/>
        </w:rPr>
        <w:t>y </w:t>
      </w:r>
      <w:r>
        <w:rPr>
          <w:rFonts w:ascii="Georgia" w:hAnsi="Georgia"/>
          <w:color w:val="231F20"/>
          <w:spacing w:val="2"/>
          <w:w w:val="95"/>
        </w:rPr>
        <w:t>colectivo, </w:t>
      </w:r>
      <w:r>
        <w:rPr>
          <w:rFonts w:ascii="Georgia" w:hAnsi="Georgia"/>
          <w:color w:val="231F20"/>
          <w:w w:val="95"/>
        </w:rPr>
        <w:t>las </w:t>
      </w:r>
      <w:r>
        <w:rPr>
          <w:rFonts w:ascii="Georgia" w:hAnsi="Georgia"/>
          <w:color w:val="231F20"/>
          <w:spacing w:val="2"/>
          <w:w w:val="95"/>
        </w:rPr>
        <w:t>actividades </w:t>
      </w:r>
      <w:r>
        <w:rPr>
          <w:rFonts w:ascii="Georgia" w:hAnsi="Georgia"/>
          <w:color w:val="231F20"/>
          <w:spacing w:val="3"/>
          <w:w w:val="95"/>
        </w:rPr>
        <w:t>cotidia- </w:t>
      </w:r>
      <w:r>
        <w:rPr>
          <w:rFonts w:ascii="Georgia" w:hAnsi="Georgia"/>
          <w:color w:val="231F20"/>
          <w:spacing w:val="2"/>
          <w:w w:val="95"/>
        </w:rPr>
        <w:t>nas,</w:t>
      </w:r>
      <w:r>
        <w:rPr>
          <w:rFonts w:ascii="Georgia" w:hAnsi="Georgia"/>
          <w:color w:val="231F20"/>
          <w:spacing w:val="-22"/>
          <w:w w:val="95"/>
        </w:rPr>
        <w:t> </w:t>
      </w:r>
      <w:r>
        <w:rPr>
          <w:rFonts w:ascii="Georgia" w:hAnsi="Georgia"/>
          <w:color w:val="231F20"/>
          <w:w w:val="95"/>
        </w:rPr>
        <w:t>el</w:t>
      </w:r>
      <w:r>
        <w:rPr>
          <w:rFonts w:ascii="Georgia" w:hAnsi="Georgia"/>
          <w:color w:val="231F20"/>
          <w:spacing w:val="-22"/>
          <w:w w:val="95"/>
        </w:rPr>
        <w:t> </w:t>
      </w:r>
      <w:r>
        <w:rPr>
          <w:rFonts w:ascii="Georgia" w:hAnsi="Georgia"/>
          <w:color w:val="231F20"/>
          <w:spacing w:val="3"/>
          <w:w w:val="95"/>
        </w:rPr>
        <w:t>número</w:t>
      </w:r>
      <w:r>
        <w:rPr>
          <w:rFonts w:ascii="Georgia" w:hAnsi="Georgia"/>
          <w:color w:val="231F20"/>
          <w:spacing w:val="-22"/>
          <w:w w:val="95"/>
        </w:rPr>
        <w:t> </w:t>
      </w:r>
      <w:r>
        <w:rPr>
          <w:rFonts w:ascii="Georgia" w:hAnsi="Georgia"/>
          <w:color w:val="231F20"/>
          <w:w w:val="95"/>
        </w:rPr>
        <w:t>de</w:t>
      </w:r>
      <w:r>
        <w:rPr>
          <w:rFonts w:ascii="Georgia" w:hAnsi="Georgia"/>
          <w:color w:val="231F20"/>
          <w:spacing w:val="-22"/>
          <w:w w:val="95"/>
        </w:rPr>
        <w:t> </w:t>
      </w:r>
      <w:r>
        <w:rPr>
          <w:rFonts w:ascii="Georgia" w:hAnsi="Georgia"/>
          <w:color w:val="231F20"/>
          <w:spacing w:val="3"/>
          <w:w w:val="95"/>
        </w:rPr>
        <w:t>alumnos</w:t>
      </w:r>
      <w:r>
        <w:rPr>
          <w:rFonts w:ascii="Georgia" w:hAnsi="Georgia"/>
          <w:color w:val="231F20"/>
          <w:spacing w:val="-22"/>
          <w:w w:val="95"/>
        </w:rPr>
        <w:t> </w:t>
      </w:r>
      <w:r>
        <w:rPr>
          <w:rFonts w:ascii="Georgia" w:hAnsi="Georgia"/>
          <w:color w:val="231F20"/>
          <w:spacing w:val="2"/>
          <w:w w:val="95"/>
        </w:rPr>
        <w:t>para</w:t>
      </w:r>
      <w:r>
        <w:rPr>
          <w:rFonts w:ascii="Georgia" w:hAnsi="Georgia"/>
          <w:color w:val="231F20"/>
          <w:spacing w:val="-22"/>
          <w:w w:val="95"/>
        </w:rPr>
        <w:t> </w:t>
      </w:r>
      <w:r>
        <w:rPr>
          <w:rFonts w:ascii="Georgia" w:hAnsi="Georgia"/>
          <w:color w:val="231F20"/>
          <w:spacing w:val="2"/>
          <w:w w:val="95"/>
        </w:rPr>
        <w:t>garantizar</w:t>
      </w:r>
      <w:r>
        <w:rPr>
          <w:rFonts w:ascii="Georgia" w:hAnsi="Georgia"/>
          <w:color w:val="231F20"/>
          <w:spacing w:val="-22"/>
          <w:w w:val="95"/>
        </w:rPr>
        <w:t> </w:t>
      </w:r>
      <w:r>
        <w:rPr>
          <w:rFonts w:ascii="Georgia" w:hAnsi="Georgia"/>
          <w:color w:val="231F20"/>
          <w:w w:val="95"/>
        </w:rPr>
        <w:t>un</w:t>
      </w:r>
      <w:r>
        <w:rPr>
          <w:rFonts w:ascii="Georgia" w:hAnsi="Georgia"/>
          <w:color w:val="231F20"/>
          <w:spacing w:val="-22"/>
          <w:w w:val="95"/>
        </w:rPr>
        <w:t> </w:t>
      </w:r>
      <w:r>
        <w:rPr>
          <w:rFonts w:ascii="Georgia" w:hAnsi="Georgia"/>
          <w:color w:val="231F20"/>
          <w:spacing w:val="2"/>
          <w:w w:val="95"/>
        </w:rPr>
        <w:t>rendimiento</w:t>
      </w:r>
      <w:r>
        <w:rPr>
          <w:rFonts w:ascii="Georgia" w:hAnsi="Georgia"/>
          <w:color w:val="231F20"/>
          <w:spacing w:val="-22"/>
          <w:w w:val="95"/>
        </w:rPr>
        <w:t> </w:t>
      </w:r>
      <w:r>
        <w:rPr>
          <w:rFonts w:ascii="Georgia" w:hAnsi="Georgia"/>
          <w:color w:val="231F20"/>
          <w:spacing w:val="3"/>
          <w:w w:val="95"/>
        </w:rPr>
        <w:t>escolar </w:t>
      </w:r>
      <w:r>
        <w:rPr>
          <w:rFonts w:ascii="Georgia" w:hAnsi="Georgia"/>
          <w:color w:val="231F20"/>
          <w:spacing w:val="2"/>
          <w:w w:val="95"/>
        </w:rPr>
        <w:t>adecuado </w:t>
      </w:r>
      <w:r>
        <w:rPr>
          <w:rFonts w:ascii="Georgia" w:hAnsi="Georgia"/>
          <w:color w:val="231F20"/>
          <w:w w:val="95"/>
        </w:rPr>
        <w:t>y </w:t>
      </w:r>
      <w:r>
        <w:rPr>
          <w:rFonts w:ascii="Georgia" w:hAnsi="Georgia"/>
          <w:color w:val="231F20"/>
          <w:spacing w:val="3"/>
          <w:w w:val="95"/>
        </w:rPr>
        <w:t>uniforme, </w:t>
      </w:r>
      <w:r>
        <w:rPr>
          <w:rFonts w:ascii="Georgia" w:hAnsi="Georgia"/>
          <w:color w:val="231F20"/>
          <w:spacing w:val="2"/>
          <w:w w:val="95"/>
        </w:rPr>
        <w:t>incluidos los </w:t>
      </w:r>
      <w:r>
        <w:rPr>
          <w:rFonts w:ascii="Georgia" w:hAnsi="Georgia"/>
          <w:color w:val="231F20"/>
          <w:spacing w:val="3"/>
          <w:w w:val="95"/>
        </w:rPr>
        <w:t>periodos </w:t>
      </w:r>
      <w:r>
        <w:rPr>
          <w:rFonts w:ascii="Georgia" w:hAnsi="Georgia"/>
          <w:color w:val="231F20"/>
          <w:spacing w:val="2"/>
          <w:w w:val="95"/>
        </w:rPr>
        <w:t>para </w:t>
      </w:r>
      <w:r>
        <w:rPr>
          <w:rFonts w:ascii="Georgia" w:hAnsi="Georgia"/>
          <w:color w:val="231F20"/>
          <w:w w:val="95"/>
        </w:rPr>
        <w:t>la </w:t>
      </w:r>
      <w:r>
        <w:rPr>
          <w:rFonts w:ascii="Georgia" w:hAnsi="Georgia"/>
          <w:color w:val="231F20"/>
          <w:spacing w:val="3"/>
          <w:w w:val="95"/>
        </w:rPr>
        <w:t>preparación </w:t>
      </w:r>
      <w:r>
        <w:rPr>
          <w:rFonts w:ascii="Georgia" w:hAnsi="Georgia"/>
          <w:color w:val="231F20"/>
          <w:w w:val="95"/>
        </w:rPr>
        <w:t>de </w:t>
      </w:r>
      <w:r>
        <w:rPr>
          <w:rFonts w:ascii="Georgia" w:hAnsi="Georgia"/>
          <w:color w:val="231F20"/>
          <w:spacing w:val="2"/>
          <w:w w:val="95"/>
        </w:rPr>
        <w:t>los </w:t>
      </w:r>
      <w:r>
        <w:rPr>
          <w:rFonts w:ascii="Georgia" w:hAnsi="Georgia"/>
          <w:color w:val="231F20"/>
          <w:spacing w:val="3"/>
          <w:w w:val="95"/>
        </w:rPr>
        <w:t>exámenes </w:t>
      </w:r>
      <w:r>
        <w:rPr>
          <w:rFonts w:ascii="Georgia" w:hAnsi="Georgia"/>
          <w:color w:val="231F20"/>
          <w:w w:val="95"/>
        </w:rPr>
        <w:t>y </w:t>
      </w:r>
      <w:r>
        <w:rPr>
          <w:rFonts w:ascii="Georgia" w:hAnsi="Georgia"/>
          <w:color w:val="231F20"/>
          <w:spacing w:val="2"/>
          <w:w w:val="95"/>
        </w:rPr>
        <w:t>los plazos </w:t>
      </w:r>
      <w:r>
        <w:rPr>
          <w:rFonts w:ascii="Georgia" w:hAnsi="Georgia"/>
          <w:color w:val="231F20"/>
          <w:w w:val="95"/>
        </w:rPr>
        <w:t>de las </w:t>
      </w:r>
      <w:r>
        <w:rPr>
          <w:rFonts w:ascii="Georgia" w:hAnsi="Georgia"/>
          <w:color w:val="231F20"/>
          <w:spacing w:val="2"/>
          <w:w w:val="95"/>
        </w:rPr>
        <w:t>vacaciones; todos ellos</w:t>
      </w:r>
      <w:r>
        <w:rPr>
          <w:rFonts w:ascii="Georgia" w:hAnsi="Georgia"/>
          <w:color w:val="231F20"/>
          <w:spacing w:val="-31"/>
          <w:w w:val="95"/>
        </w:rPr>
        <w:t> </w:t>
      </w:r>
      <w:r>
        <w:rPr>
          <w:rFonts w:ascii="Georgia" w:hAnsi="Georgia"/>
          <w:color w:val="231F20"/>
          <w:spacing w:val="2"/>
          <w:w w:val="95"/>
        </w:rPr>
        <w:t>aspec- </w:t>
      </w:r>
      <w:r>
        <w:rPr>
          <w:rFonts w:ascii="Georgia" w:hAnsi="Georgia"/>
          <w:color w:val="231F20"/>
          <w:spacing w:val="2"/>
        </w:rPr>
        <w:t>tos</w:t>
      </w:r>
      <w:r>
        <w:rPr>
          <w:rFonts w:ascii="Georgia" w:hAnsi="Georgia"/>
          <w:color w:val="231F20"/>
          <w:spacing w:val="-5"/>
        </w:rPr>
        <w:t> </w:t>
      </w:r>
      <w:r>
        <w:rPr>
          <w:rFonts w:ascii="Georgia" w:hAnsi="Georgia"/>
          <w:color w:val="231F20"/>
          <w:spacing w:val="2"/>
        </w:rPr>
        <w:t>centrales,</w:t>
      </w:r>
      <w:r>
        <w:rPr>
          <w:rFonts w:ascii="Georgia" w:hAnsi="Georgia"/>
          <w:color w:val="231F20"/>
          <w:spacing w:val="-6"/>
        </w:rPr>
        <w:t> </w:t>
      </w:r>
      <w:r>
        <w:rPr>
          <w:rFonts w:ascii="Georgia" w:hAnsi="Georgia"/>
          <w:color w:val="231F20"/>
          <w:spacing w:val="3"/>
        </w:rPr>
        <w:t>aunque</w:t>
      </w:r>
      <w:r>
        <w:rPr>
          <w:rFonts w:ascii="Georgia" w:hAnsi="Georgia"/>
          <w:color w:val="231F20"/>
          <w:spacing w:val="-5"/>
        </w:rPr>
        <w:t> </w:t>
      </w:r>
      <w:r>
        <w:rPr>
          <w:rFonts w:ascii="Georgia" w:hAnsi="Georgia"/>
          <w:color w:val="231F20"/>
        </w:rPr>
        <w:t>no</w:t>
      </w:r>
      <w:r>
        <w:rPr>
          <w:rFonts w:ascii="Georgia" w:hAnsi="Georgia"/>
          <w:color w:val="231F20"/>
          <w:spacing w:val="-5"/>
        </w:rPr>
        <w:t> </w:t>
      </w:r>
      <w:r>
        <w:rPr>
          <w:rFonts w:ascii="Georgia" w:hAnsi="Georgia"/>
          <w:color w:val="231F20"/>
          <w:spacing w:val="2"/>
        </w:rPr>
        <w:t>los</w:t>
      </w:r>
      <w:r>
        <w:rPr>
          <w:rFonts w:ascii="Georgia" w:hAnsi="Georgia"/>
          <w:color w:val="231F20"/>
          <w:spacing w:val="-5"/>
        </w:rPr>
        <w:t> </w:t>
      </w:r>
      <w:r>
        <w:rPr>
          <w:rFonts w:ascii="Georgia" w:hAnsi="Georgia"/>
          <w:color w:val="231F20"/>
          <w:spacing w:val="2"/>
        </w:rPr>
        <w:t>únicos.</w:t>
      </w:r>
      <w:r>
        <w:rPr>
          <w:rFonts w:ascii="Georgia" w:hAnsi="Georgia"/>
          <w:color w:val="231F20"/>
          <w:spacing w:val="-6"/>
        </w:rPr>
        <w:t> </w:t>
      </w:r>
      <w:r>
        <w:rPr>
          <w:rFonts w:ascii="Georgia" w:hAnsi="Georgia"/>
          <w:color w:val="231F20"/>
          <w:spacing w:val="2"/>
        </w:rPr>
        <w:t>De</w:t>
      </w:r>
      <w:r>
        <w:rPr>
          <w:rFonts w:ascii="Georgia" w:hAnsi="Georgia"/>
          <w:color w:val="231F20"/>
          <w:spacing w:val="-5"/>
        </w:rPr>
        <w:t> </w:t>
      </w:r>
      <w:r>
        <w:rPr>
          <w:rFonts w:ascii="Georgia" w:hAnsi="Georgia"/>
          <w:color w:val="231F20"/>
          <w:spacing w:val="2"/>
        </w:rPr>
        <w:t>ahí</w:t>
      </w:r>
      <w:r>
        <w:rPr>
          <w:rFonts w:ascii="Georgia" w:hAnsi="Georgia"/>
          <w:color w:val="231F20"/>
          <w:spacing w:val="-6"/>
        </w:rPr>
        <w:t> </w:t>
      </w:r>
      <w:r>
        <w:rPr>
          <w:rFonts w:ascii="Georgia" w:hAnsi="Georgia"/>
          <w:color w:val="231F20"/>
        </w:rPr>
        <w:t>la</w:t>
      </w:r>
      <w:r>
        <w:rPr>
          <w:rFonts w:ascii="Georgia" w:hAnsi="Georgia"/>
          <w:color w:val="231F20"/>
          <w:spacing w:val="-5"/>
        </w:rPr>
        <w:t> </w:t>
      </w:r>
      <w:r>
        <w:rPr>
          <w:rFonts w:ascii="Georgia" w:hAnsi="Georgia"/>
          <w:color w:val="231F20"/>
          <w:spacing w:val="3"/>
        </w:rPr>
        <w:t>importancia</w:t>
      </w:r>
      <w:r>
        <w:rPr>
          <w:rFonts w:ascii="Georgia" w:hAnsi="Georgia"/>
          <w:color w:val="231F20"/>
          <w:spacing w:val="-5"/>
        </w:rPr>
        <w:t> </w:t>
      </w:r>
      <w:r>
        <w:rPr>
          <w:rFonts w:ascii="Georgia" w:hAnsi="Georgia"/>
          <w:color w:val="231F20"/>
          <w:spacing w:val="3"/>
        </w:rPr>
        <w:t>que </w:t>
      </w:r>
      <w:r>
        <w:rPr>
          <w:rFonts w:ascii="Georgia" w:hAnsi="Georgia"/>
          <w:color w:val="231F20"/>
          <w:spacing w:val="2"/>
          <w:w w:val="95"/>
        </w:rPr>
        <w:t>reviste</w:t>
      </w:r>
      <w:r>
        <w:rPr>
          <w:rFonts w:ascii="Georgia" w:hAnsi="Georgia"/>
          <w:color w:val="231F20"/>
          <w:spacing w:val="-12"/>
          <w:w w:val="95"/>
        </w:rPr>
        <w:t> </w:t>
      </w:r>
      <w:r>
        <w:rPr>
          <w:rFonts w:ascii="Georgia" w:hAnsi="Georgia"/>
          <w:color w:val="231F20"/>
          <w:w w:val="95"/>
        </w:rPr>
        <w:t>su</w:t>
      </w:r>
      <w:r>
        <w:rPr>
          <w:rFonts w:ascii="Georgia" w:hAnsi="Georgia"/>
          <w:color w:val="231F20"/>
          <w:spacing w:val="-12"/>
          <w:w w:val="95"/>
        </w:rPr>
        <w:t> </w:t>
      </w:r>
      <w:r>
        <w:rPr>
          <w:rFonts w:ascii="Georgia" w:hAnsi="Georgia"/>
          <w:color w:val="231F20"/>
          <w:spacing w:val="2"/>
          <w:w w:val="95"/>
        </w:rPr>
        <w:t>supervisión</w:t>
      </w:r>
      <w:r>
        <w:rPr>
          <w:rFonts w:ascii="Georgia" w:hAnsi="Georgia"/>
          <w:color w:val="231F20"/>
          <w:spacing w:val="-12"/>
          <w:w w:val="95"/>
        </w:rPr>
        <w:t> </w:t>
      </w:r>
      <w:r>
        <w:rPr>
          <w:rFonts w:ascii="Georgia" w:hAnsi="Georgia"/>
          <w:color w:val="231F20"/>
          <w:w w:val="95"/>
        </w:rPr>
        <w:t>y</w:t>
      </w:r>
      <w:r>
        <w:rPr>
          <w:rFonts w:ascii="Georgia" w:hAnsi="Georgia"/>
          <w:color w:val="231F20"/>
          <w:spacing w:val="-12"/>
          <w:w w:val="95"/>
        </w:rPr>
        <w:t> </w:t>
      </w:r>
      <w:r>
        <w:rPr>
          <w:rFonts w:ascii="Georgia" w:hAnsi="Georgia"/>
          <w:color w:val="231F20"/>
          <w:spacing w:val="3"/>
          <w:w w:val="95"/>
        </w:rPr>
        <w:t>observación</w:t>
      </w:r>
      <w:r>
        <w:rPr>
          <w:rFonts w:ascii="Georgia" w:hAnsi="Georgia"/>
          <w:color w:val="231F20"/>
          <w:spacing w:val="-12"/>
          <w:w w:val="95"/>
        </w:rPr>
        <w:t> </w:t>
      </w:r>
      <w:r>
        <w:rPr>
          <w:rFonts w:ascii="Georgia" w:hAnsi="Georgia"/>
          <w:color w:val="231F20"/>
          <w:w w:val="95"/>
        </w:rPr>
        <w:t>en</w:t>
      </w:r>
      <w:r>
        <w:rPr>
          <w:rFonts w:ascii="Georgia" w:hAnsi="Georgia"/>
          <w:color w:val="231F20"/>
          <w:spacing w:val="-12"/>
          <w:w w:val="95"/>
        </w:rPr>
        <w:t> </w:t>
      </w:r>
      <w:r>
        <w:rPr>
          <w:rFonts w:ascii="Georgia" w:hAnsi="Georgia"/>
          <w:color w:val="231F20"/>
          <w:spacing w:val="2"/>
          <w:w w:val="95"/>
        </w:rPr>
        <w:t>tanto</w:t>
      </w:r>
      <w:r>
        <w:rPr>
          <w:rFonts w:ascii="Georgia" w:hAnsi="Georgia"/>
          <w:color w:val="231F20"/>
          <w:spacing w:val="-12"/>
          <w:w w:val="95"/>
        </w:rPr>
        <w:t> </w:t>
      </w:r>
      <w:r>
        <w:rPr>
          <w:rFonts w:ascii="Georgia" w:hAnsi="Georgia"/>
          <w:color w:val="231F20"/>
          <w:w w:val="95"/>
        </w:rPr>
        <w:t>que</w:t>
      </w:r>
      <w:r>
        <w:rPr>
          <w:rFonts w:ascii="Georgia" w:hAnsi="Georgia"/>
          <w:color w:val="231F20"/>
          <w:spacing w:val="-12"/>
          <w:w w:val="95"/>
        </w:rPr>
        <w:t> </w:t>
      </w:r>
      <w:r>
        <w:rPr>
          <w:rFonts w:ascii="Georgia" w:hAnsi="Georgia"/>
          <w:color w:val="231F20"/>
          <w:spacing w:val="2"/>
          <w:w w:val="95"/>
        </w:rPr>
        <w:t>este</w:t>
      </w:r>
      <w:r>
        <w:rPr>
          <w:rFonts w:ascii="Georgia" w:hAnsi="Georgia"/>
          <w:color w:val="231F20"/>
          <w:spacing w:val="-12"/>
          <w:w w:val="95"/>
        </w:rPr>
        <w:t> </w:t>
      </w:r>
      <w:r>
        <w:rPr>
          <w:rFonts w:ascii="Georgia" w:hAnsi="Georgia"/>
          <w:color w:val="231F20"/>
          <w:spacing w:val="2"/>
          <w:w w:val="95"/>
        </w:rPr>
        <w:t>organiza</w:t>
      </w:r>
      <w:r>
        <w:rPr>
          <w:rFonts w:ascii="Georgia" w:hAnsi="Georgia"/>
          <w:color w:val="231F20"/>
          <w:spacing w:val="-12"/>
          <w:w w:val="95"/>
        </w:rPr>
        <w:t> </w:t>
      </w:r>
      <w:r>
        <w:rPr>
          <w:rFonts w:ascii="Georgia" w:hAnsi="Georgia"/>
          <w:color w:val="231F20"/>
          <w:w w:val="95"/>
        </w:rPr>
        <w:t>un </w:t>
      </w:r>
      <w:r>
        <w:rPr>
          <w:rFonts w:ascii="Georgia" w:hAnsi="Georgia"/>
          <w:color w:val="231F20"/>
          <w:spacing w:val="3"/>
          <w:w w:val="95"/>
        </w:rPr>
        <w:t>conjunto</w:t>
      </w:r>
      <w:r>
        <w:rPr>
          <w:rFonts w:ascii="Georgia" w:hAnsi="Georgia"/>
          <w:color w:val="231F20"/>
          <w:spacing w:val="-3"/>
          <w:w w:val="95"/>
        </w:rPr>
        <w:t> </w:t>
      </w:r>
      <w:r>
        <w:rPr>
          <w:rFonts w:ascii="Georgia" w:hAnsi="Georgia"/>
          <w:color w:val="231F20"/>
          <w:w w:val="95"/>
        </w:rPr>
        <w:t>de</w:t>
      </w:r>
      <w:r>
        <w:rPr>
          <w:rFonts w:ascii="Georgia" w:hAnsi="Georgia"/>
          <w:color w:val="231F20"/>
          <w:spacing w:val="-3"/>
          <w:w w:val="95"/>
        </w:rPr>
        <w:t> </w:t>
      </w:r>
      <w:r>
        <w:rPr>
          <w:rFonts w:ascii="Georgia" w:hAnsi="Georgia"/>
          <w:color w:val="231F20"/>
          <w:spacing w:val="2"/>
          <w:w w:val="95"/>
        </w:rPr>
        <w:t>jerarquías</w:t>
      </w:r>
      <w:r>
        <w:rPr>
          <w:rFonts w:ascii="Georgia" w:hAnsi="Georgia"/>
          <w:color w:val="231F20"/>
          <w:spacing w:val="-3"/>
          <w:w w:val="95"/>
        </w:rPr>
        <w:t> </w:t>
      </w:r>
      <w:r>
        <w:rPr>
          <w:rFonts w:ascii="Georgia" w:hAnsi="Georgia"/>
          <w:color w:val="231F20"/>
          <w:spacing w:val="2"/>
          <w:w w:val="95"/>
        </w:rPr>
        <w:t>académicas</w:t>
      </w:r>
      <w:r>
        <w:rPr>
          <w:rFonts w:ascii="Georgia" w:hAnsi="Georgia"/>
          <w:color w:val="231F20"/>
          <w:spacing w:val="-3"/>
          <w:w w:val="95"/>
        </w:rPr>
        <w:t> </w:t>
      </w:r>
      <w:r>
        <w:rPr>
          <w:rFonts w:ascii="Georgia" w:hAnsi="Georgia"/>
          <w:color w:val="231F20"/>
          <w:spacing w:val="2"/>
          <w:w w:val="95"/>
        </w:rPr>
        <w:t>que</w:t>
      </w:r>
      <w:r>
        <w:rPr>
          <w:rFonts w:ascii="Georgia" w:hAnsi="Georgia"/>
          <w:color w:val="231F20"/>
          <w:spacing w:val="-3"/>
          <w:w w:val="95"/>
        </w:rPr>
        <w:t> </w:t>
      </w:r>
      <w:r>
        <w:rPr>
          <w:rFonts w:ascii="Georgia" w:hAnsi="Georgia"/>
          <w:color w:val="231F20"/>
          <w:spacing w:val="2"/>
          <w:w w:val="95"/>
        </w:rPr>
        <w:t>están</w:t>
      </w:r>
      <w:r>
        <w:rPr>
          <w:rFonts w:ascii="Georgia" w:hAnsi="Georgia"/>
          <w:color w:val="231F20"/>
          <w:spacing w:val="-3"/>
          <w:w w:val="95"/>
        </w:rPr>
        <w:t> </w:t>
      </w:r>
      <w:r>
        <w:rPr>
          <w:rFonts w:ascii="Georgia" w:hAnsi="Georgia"/>
          <w:color w:val="231F20"/>
          <w:spacing w:val="3"/>
          <w:w w:val="95"/>
        </w:rPr>
        <w:t>reconocidas</w:t>
      </w:r>
      <w:r>
        <w:rPr>
          <w:rFonts w:ascii="Georgia" w:hAnsi="Georgia"/>
          <w:color w:val="231F20"/>
          <w:spacing w:val="-3"/>
          <w:w w:val="95"/>
        </w:rPr>
        <w:t> </w:t>
      </w:r>
      <w:r>
        <w:rPr>
          <w:rFonts w:ascii="Georgia" w:hAnsi="Georgia"/>
          <w:color w:val="231F20"/>
          <w:spacing w:val="2"/>
          <w:w w:val="95"/>
        </w:rPr>
        <w:t>por</w:t>
      </w:r>
      <w:r>
        <w:rPr>
          <w:rFonts w:ascii="Georgia" w:hAnsi="Georgia"/>
          <w:color w:val="231F20"/>
          <w:spacing w:val="-4"/>
          <w:w w:val="95"/>
        </w:rPr>
        <w:t> </w:t>
      </w:r>
      <w:r>
        <w:rPr>
          <w:rFonts w:ascii="Georgia" w:hAnsi="Georgia"/>
          <w:color w:val="231F20"/>
          <w:spacing w:val="2"/>
          <w:w w:val="95"/>
        </w:rPr>
        <w:t>las </w:t>
      </w:r>
      <w:r>
        <w:rPr>
          <w:rFonts w:ascii="Georgia" w:hAnsi="Georgia"/>
          <w:color w:val="231F20"/>
          <w:spacing w:val="3"/>
          <w:w w:val="95"/>
        </w:rPr>
        <w:t>normas</w:t>
      </w:r>
      <w:r>
        <w:rPr>
          <w:rFonts w:ascii="Georgia" w:hAnsi="Georgia"/>
          <w:color w:val="231F20"/>
          <w:spacing w:val="-9"/>
          <w:w w:val="95"/>
        </w:rPr>
        <w:t> </w:t>
      </w:r>
      <w:r>
        <w:rPr>
          <w:rFonts w:ascii="Georgia" w:hAnsi="Georgia"/>
          <w:color w:val="231F20"/>
          <w:w w:val="95"/>
        </w:rPr>
        <w:t>y</w:t>
      </w:r>
      <w:r>
        <w:rPr>
          <w:rFonts w:ascii="Georgia" w:hAnsi="Georgia"/>
          <w:color w:val="231F20"/>
          <w:spacing w:val="-9"/>
          <w:w w:val="95"/>
        </w:rPr>
        <w:t> </w:t>
      </w:r>
      <w:r>
        <w:rPr>
          <w:rFonts w:ascii="Georgia" w:hAnsi="Georgia"/>
          <w:color w:val="231F20"/>
          <w:spacing w:val="2"/>
          <w:w w:val="95"/>
        </w:rPr>
        <w:t>los</w:t>
      </w:r>
      <w:r>
        <w:rPr>
          <w:rFonts w:ascii="Georgia" w:hAnsi="Georgia"/>
          <w:color w:val="231F20"/>
          <w:spacing w:val="-9"/>
          <w:w w:val="95"/>
        </w:rPr>
        <w:t> </w:t>
      </w:r>
      <w:r>
        <w:rPr>
          <w:rFonts w:ascii="Georgia" w:hAnsi="Georgia"/>
          <w:color w:val="231F20"/>
          <w:spacing w:val="3"/>
          <w:w w:val="95"/>
        </w:rPr>
        <w:t>reglamentos</w:t>
      </w:r>
      <w:r>
        <w:rPr>
          <w:rFonts w:ascii="Georgia" w:hAnsi="Georgia"/>
          <w:color w:val="231F20"/>
          <w:spacing w:val="-9"/>
          <w:w w:val="95"/>
        </w:rPr>
        <w:t> </w:t>
      </w:r>
      <w:r>
        <w:rPr>
          <w:rFonts w:ascii="Georgia" w:hAnsi="Georgia"/>
          <w:color w:val="231F20"/>
          <w:w w:val="95"/>
        </w:rPr>
        <w:t>que</w:t>
      </w:r>
      <w:r>
        <w:rPr>
          <w:rFonts w:ascii="Georgia" w:hAnsi="Georgia"/>
          <w:color w:val="231F20"/>
          <w:spacing w:val="-9"/>
          <w:w w:val="95"/>
        </w:rPr>
        <w:t> </w:t>
      </w:r>
      <w:r>
        <w:rPr>
          <w:rFonts w:ascii="Georgia" w:hAnsi="Georgia"/>
          <w:color w:val="231F20"/>
          <w:spacing w:val="2"/>
          <w:w w:val="95"/>
        </w:rPr>
        <w:t>regulan</w:t>
      </w:r>
      <w:r>
        <w:rPr>
          <w:rFonts w:ascii="Georgia" w:hAnsi="Georgia"/>
          <w:color w:val="231F20"/>
          <w:spacing w:val="-9"/>
          <w:w w:val="95"/>
        </w:rPr>
        <w:t> </w:t>
      </w:r>
      <w:r>
        <w:rPr>
          <w:rFonts w:ascii="Georgia" w:hAnsi="Georgia"/>
          <w:color w:val="231F20"/>
          <w:w w:val="95"/>
        </w:rPr>
        <w:t>la</w:t>
      </w:r>
      <w:r>
        <w:rPr>
          <w:rFonts w:ascii="Georgia" w:hAnsi="Georgia"/>
          <w:color w:val="231F20"/>
          <w:spacing w:val="-9"/>
          <w:w w:val="95"/>
        </w:rPr>
        <w:t> </w:t>
      </w:r>
      <w:r>
        <w:rPr>
          <w:rFonts w:ascii="Georgia" w:hAnsi="Georgia"/>
          <w:color w:val="231F20"/>
          <w:w w:val="95"/>
        </w:rPr>
        <w:t>vida</w:t>
      </w:r>
      <w:r>
        <w:rPr>
          <w:rFonts w:ascii="Georgia" w:hAnsi="Georgia"/>
          <w:color w:val="231F20"/>
          <w:spacing w:val="-9"/>
          <w:w w:val="95"/>
        </w:rPr>
        <w:t> </w:t>
      </w:r>
      <w:r>
        <w:rPr>
          <w:rFonts w:ascii="Georgia" w:hAnsi="Georgia"/>
          <w:color w:val="231F20"/>
          <w:spacing w:val="2"/>
          <w:w w:val="95"/>
        </w:rPr>
        <w:t>académica.</w:t>
      </w:r>
      <w:r>
        <w:rPr>
          <w:rFonts w:ascii="Georgia" w:hAnsi="Georgia"/>
          <w:color w:val="231F20"/>
          <w:spacing w:val="-9"/>
          <w:w w:val="95"/>
        </w:rPr>
        <w:t> </w:t>
      </w:r>
      <w:r>
        <w:rPr>
          <w:rFonts w:ascii="Georgia" w:hAnsi="Georgia"/>
          <w:color w:val="231F20"/>
          <w:spacing w:val="2"/>
          <w:w w:val="95"/>
        </w:rPr>
        <w:t>Los</w:t>
      </w:r>
      <w:r>
        <w:rPr>
          <w:rFonts w:ascii="Georgia" w:hAnsi="Georgia"/>
          <w:color w:val="231F20"/>
          <w:spacing w:val="-9"/>
          <w:w w:val="95"/>
        </w:rPr>
        <w:t> </w:t>
      </w:r>
      <w:r>
        <w:rPr>
          <w:rFonts w:ascii="Georgia" w:hAnsi="Georgia"/>
          <w:color w:val="231F20"/>
          <w:spacing w:val="3"/>
          <w:w w:val="95"/>
        </w:rPr>
        <w:t>ins- trumentos</w:t>
      </w:r>
      <w:r>
        <w:rPr>
          <w:rFonts w:ascii="Georgia" w:hAnsi="Georgia"/>
          <w:color w:val="231F20"/>
          <w:spacing w:val="-13"/>
          <w:w w:val="95"/>
        </w:rPr>
        <w:t> </w:t>
      </w:r>
      <w:r>
        <w:rPr>
          <w:rFonts w:ascii="Georgia" w:hAnsi="Georgia"/>
          <w:color w:val="231F20"/>
          <w:w w:val="95"/>
        </w:rPr>
        <w:t>en</w:t>
      </w:r>
      <w:r>
        <w:rPr>
          <w:rFonts w:ascii="Georgia" w:hAnsi="Georgia"/>
          <w:color w:val="231F20"/>
          <w:spacing w:val="-13"/>
          <w:w w:val="95"/>
        </w:rPr>
        <w:t> </w:t>
      </w:r>
      <w:r>
        <w:rPr>
          <w:rFonts w:ascii="Georgia" w:hAnsi="Georgia"/>
          <w:color w:val="231F20"/>
          <w:spacing w:val="2"/>
          <w:w w:val="95"/>
        </w:rPr>
        <w:t>los</w:t>
      </w:r>
      <w:r>
        <w:rPr>
          <w:rFonts w:ascii="Georgia" w:hAnsi="Georgia"/>
          <w:color w:val="231F20"/>
          <w:spacing w:val="-13"/>
          <w:w w:val="95"/>
        </w:rPr>
        <w:t> </w:t>
      </w:r>
      <w:r>
        <w:rPr>
          <w:rFonts w:ascii="Georgia" w:hAnsi="Georgia"/>
          <w:color w:val="231F20"/>
          <w:spacing w:val="2"/>
          <w:w w:val="95"/>
        </w:rPr>
        <w:t>que</w:t>
      </w:r>
      <w:r>
        <w:rPr>
          <w:rFonts w:ascii="Georgia" w:hAnsi="Georgia"/>
          <w:color w:val="231F20"/>
          <w:spacing w:val="-13"/>
          <w:w w:val="95"/>
        </w:rPr>
        <w:t> </w:t>
      </w:r>
      <w:r>
        <w:rPr>
          <w:rFonts w:ascii="Georgia" w:hAnsi="Georgia"/>
          <w:color w:val="231F20"/>
          <w:w w:val="95"/>
        </w:rPr>
        <w:t>se</w:t>
      </w:r>
      <w:r>
        <w:rPr>
          <w:rFonts w:ascii="Georgia" w:hAnsi="Georgia"/>
          <w:color w:val="231F20"/>
          <w:spacing w:val="-13"/>
          <w:w w:val="95"/>
        </w:rPr>
        <w:t> </w:t>
      </w:r>
      <w:r>
        <w:rPr>
          <w:rFonts w:ascii="Georgia" w:hAnsi="Georgia"/>
          <w:color w:val="231F20"/>
          <w:spacing w:val="3"/>
          <w:w w:val="95"/>
        </w:rPr>
        <w:t>condensan</w:t>
      </w:r>
      <w:r>
        <w:rPr>
          <w:rFonts w:ascii="Georgia" w:hAnsi="Georgia"/>
          <w:color w:val="231F20"/>
          <w:spacing w:val="-13"/>
          <w:w w:val="95"/>
        </w:rPr>
        <w:t> </w:t>
      </w:r>
      <w:r>
        <w:rPr>
          <w:rFonts w:ascii="Georgia" w:hAnsi="Georgia"/>
          <w:color w:val="231F20"/>
          <w:spacing w:val="2"/>
          <w:w w:val="95"/>
        </w:rPr>
        <w:t>estos</w:t>
      </w:r>
      <w:r>
        <w:rPr>
          <w:rFonts w:ascii="Georgia" w:hAnsi="Georgia"/>
          <w:color w:val="231F20"/>
          <w:spacing w:val="-13"/>
          <w:w w:val="95"/>
        </w:rPr>
        <w:t> </w:t>
      </w:r>
      <w:r>
        <w:rPr>
          <w:rFonts w:ascii="Georgia" w:hAnsi="Georgia"/>
          <w:color w:val="231F20"/>
          <w:spacing w:val="2"/>
          <w:w w:val="95"/>
        </w:rPr>
        <w:t>aspectos</w:t>
      </w:r>
      <w:r>
        <w:rPr>
          <w:rFonts w:ascii="Georgia" w:hAnsi="Georgia"/>
          <w:color w:val="231F20"/>
          <w:spacing w:val="-13"/>
          <w:w w:val="95"/>
        </w:rPr>
        <w:t> </w:t>
      </w:r>
      <w:r>
        <w:rPr>
          <w:rFonts w:ascii="Georgia" w:hAnsi="Georgia"/>
          <w:color w:val="231F20"/>
          <w:spacing w:val="2"/>
          <w:w w:val="95"/>
        </w:rPr>
        <w:t>son</w:t>
      </w:r>
      <w:r>
        <w:rPr>
          <w:rFonts w:ascii="Georgia" w:hAnsi="Georgia"/>
          <w:color w:val="231F20"/>
          <w:spacing w:val="-13"/>
          <w:w w:val="95"/>
        </w:rPr>
        <w:t> </w:t>
      </w:r>
      <w:r>
        <w:rPr>
          <w:rFonts w:ascii="Georgia" w:hAnsi="Georgia"/>
          <w:color w:val="231F20"/>
          <w:spacing w:val="2"/>
          <w:w w:val="95"/>
        </w:rPr>
        <w:t>los</w:t>
      </w:r>
      <w:r>
        <w:rPr>
          <w:rFonts w:ascii="Georgia" w:hAnsi="Georgia"/>
          <w:color w:val="231F20"/>
          <w:spacing w:val="-14"/>
          <w:w w:val="95"/>
        </w:rPr>
        <w:t> </w:t>
      </w:r>
      <w:r>
        <w:rPr>
          <w:rFonts w:ascii="Georgia" w:hAnsi="Georgia"/>
          <w:color w:val="231F20"/>
          <w:spacing w:val="2"/>
          <w:w w:val="95"/>
        </w:rPr>
        <w:t>planes</w:t>
      </w:r>
      <w:r>
        <w:rPr>
          <w:rFonts w:ascii="Georgia" w:hAnsi="Georgia"/>
          <w:color w:val="231F20"/>
          <w:spacing w:val="-13"/>
          <w:w w:val="95"/>
        </w:rPr>
        <w:t> </w:t>
      </w:r>
      <w:r>
        <w:rPr>
          <w:rFonts w:ascii="Georgia" w:hAnsi="Georgia"/>
          <w:color w:val="231F20"/>
          <w:w w:val="95"/>
        </w:rPr>
        <w:t>y </w:t>
      </w:r>
      <w:r>
        <w:rPr>
          <w:rFonts w:ascii="Georgia" w:hAnsi="Georgia"/>
          <w:color w:val="231F20"/>
          <w:spacing w:val="3"/>
        </w:rPr>
        <w:t>programas</w:t>
      </w:r>
      <w:r>
        <w:rPr>
          <w:rFonts w:ascii="Georgia" w:hAnsi="Georgia"/>
          <w:color w:val="231F20"/>
          <w:spacing w:val="-25"/>
        </w:rPr>
        <w:t> </w:t>
      </w:r>
      <w:r>
        <w:rPr>
          <w:rFonts w:ascii="Georgia" w:hAnsi="Georgia"/>
          <w:color w:val="231F20"/>
          <w:spacing w:val="2"/>
        </w:rPr>
        <w:t>por</w:t>
      </w:r>
      <w:r>
        <w:rPr>
          <w:rFonts w:ascii="Georgia" w:hAnsi="Georgia"/>
          <w:color w:val="231F20"/>
          <w:spacing w:val="-25"/>
        </w:rPr>
        <w:t> </w:t>
      </w:r>
      <w:r>
        <w:rPr>
          <w:rFonts w:ascii="Georgia" w:hAnsi="Georgia"/>
          <w:color w:val="231F20"/>
        </w:rPr>
        <w:t>lo</w:t>
      </w:r>
      <w:r>
        <w:rPr>
          <w:rFonts w:ascii="Georgia" w:hAnsi="Georgia"/>
          <w:color w:val="231F20"/>
          <w:spacing w:val="-25"/>
        </w:rPr>
        <w:t> </w:t>
      </w:r>
      <w:r>
        <w:rPr>
          <w:rFonts w:ascii="Georgia" w:hAnsi="Georgia"/>
          <w:color w:val="231F20"/>
        </w:rPr>
        <w:t>que</w:t>
      </w:r>
      <w:r>
        <w:rPr>
          <w:rFonts w:ascii="Georgia" w:hAnsi="Georgia"/>
          <w:color w:val="231F20"/>
          <w:spacing w:val="-25"/>
        </w:rPr>
        <w:t> </w:t>
      </w:r>
      <w:r>
        <w:rPr>
          <w:rFonts w:ascii="Georgia" w:hAnsi="Georgia"/>
          <w:color w:val="231F20"/>
        </w:rPr>
        <w:t>se</w:t>
      </w:r>
      <w:r>
        <w:rPr>
          <w:rFonts w:ascii="Georgia" w:hAnsi="Georgia"/>
          <w:color w:val="231F20"/>
          <w:spacing w:val="-25"/>
        </w:rPr>
        <w:t> </w:t>
      </w:r>
      <w:r>
        <w:rPr>
          <w:rFonts w:ascii="Georgia" w:hAnsi="Georgia"/>
          <w:color w:val="231F20"/>
          <w:spacing w:val="2"/>
        </w:rPr>
        <w:t>constituye</w:t>
      </w:r>
      <w:r>
        <w:rPr>
          <w:rFonts w:ascii="Georgia" w:hAnsi="Georgia"/>
          <w:color w:val="231F20"/>
          <w:spacing w:val="-25"/>
        </w:rPr>
        <w:t> </w:t>
      </w:r>
      <w:r>
        <w:rPr>
          <w:rFonts w:ascii="Georgia" w:hAnsi="Georgia"/>
          <w:color w:val="231F20"/>
        </w:rPr>
        <w:t>el</w:t>
      </w:r>
      <w:r>
        <w:rPr>
          <w:rFonts w:ascii="Georgia" w:hAnsi="Georgia"/>
          <w:color w:val="231F20"/>
          <w:spacing w:val="-25"/>
        </w:rPr>
        <w:t> </w:t>
      </w:r>
      <w:r>
        <w:rPr>
          <w:rFonts w:ascii="Georgia" w:hAnsi="Georgia"/>
          <w:color w:val="231F20"/>
        </w:rPr>
        <w:t>eje</w:t>
      </w:r>
      <w:r>
        <w:rPr>
          <w:rFonts w:ascii="Georgia" w:hAnsi="Georgia"/>
          <w:color w:val="231F20"/>
          <w:spacing w:val="-25"/>
        </w:rPr>
        <w:t> </w:t>
      </w:r>
      <w:r>
        <w:rPr>
          <w:rFonts w:ascii="Georgia" w:hAnsi="Georgia"/>
          <w:color w:val="231F20"/>
        </w:rPr>
        <w:t>del</w:t>
      </w:r>
      <w:r>
        <w:rPr>
          <w:rFonts w:ascii="Georgia" w:hAnsi="Georgia"/>
          <w:color w:val="231F20"/>
          <w:spacing w:val="-25"/>
        </w:rPr>
        <w:t> </w:t>
      </w:r>
      <w:r>
        <w:rPr>
          <w:rFonts w:ascii="Georgia" w:hAnsi="Georgia"/>
          <w:color w:val="231F20"/>
          <w:spacing w:val="2"/>
        </w:rPr>
        <w:t>proceso</w:t>
      </w:r>
      <w:r>
        <w:rPr>
          <w:rFonts w:ascii="Georgia" w:hAnsi="Georgia"/>
          <w:color w:val="231F20"/>
          <w:spacing w:val="-25"/>
        </w:rPr>
        <w:t> </w:t>
      </w:r>
      <w:r>
        <w:rPr>
          <w:rFonts w:ascii="Georgia" w:hAnsi="Georgia"/>
          <w:color w:val="231F20"/>
          <w:spacing w:val="2"/>
        </w:rPr>
        <w:t>educativo</w:t>
      </w:r>
      <w:r>
        <w:rPr>
          <w:rFonts w:ascii="Georgia" w:hAnsi="Georgia"/>
          <w:color w:val="231F20"/>
          <w:spacing w:val="-25"/>
        </w:rPr>
        <w:t> </w:t>
      </w:r>
      <w:r>
        <w:rPr>
          <w:rFonts w:ascii="Georgia" w:hAnsi="Georgia"/>
          <w:color w:val="231F20"/>
        </w:rPr>
        <w:t>y </w:t>
      </w:r>
      <w:r>
        <w:rPr>
          <w:rFonts w:ascii="Georgia" w:hAnsi="Georgia"/>
          <w:color w:val="231F20"/>
          <w:w w:val="95"/>
        </w:rPr>
        <w:t>el</w:t>
      </w:r>
      <w:r>
        <w:rPr>
          <w:rFonts w:ascii="Georgia" w:hAnsi="Georgia"/>
          <w:color w:val="231F20"/>
          <w:spacing w:val="-23"/>
          <w:w w:val="95"/>
        </w:rPr>
        <w:t> </w:t>
      </w:r>
      <w:r>
        <w:rPr>
          <w:rFonts w:ascii="Georgia" w:hAnsi="Georgia"/>
          <w:color w:val="231F20"/>
          <w:spacing w:val="2"/>
          <w:w w:val="95"/>
        </w:rPr>
        <w:t>discurso</w:t>
      </w:r>
      <w:r>
        <w:rPr>
          <w:rFonts w:ascii="Georgia" w:hAnsi="Georgia"/>
          <w:color w:val="231F20"/>
          <w:spacing w:val="-22"/>
          <w:w w:val="95"/>
        </w:rPr>
        <w:t> </w:t>
      </w:r>
      <w:r>
        <w:rPr>
          <w:rFonts w:ascii="Georgia" w:hAnsi="Georgia"/>
          <w:color w:val="231F20"/>
          <w:w w:val="95"/>
        </w:rPr>
        <w:t>de</w:t>
      </w:r>
      <w:r>
        <w:rPr>
          <w:rFonts w:ascii="Georgia" w:hAnsi="Georgia"/>
          <w:color w:val="231F20"/>
          <w:spacing w:val="-23"/>
          <w:w w:val="95"/>
        </w:rPr>
        <w:t> </w:t>
      </w:r>
      <w:r>
        <w:rPr>
          <w:rFonts w:ascii="Georgia" w:hAnsi="Georgia"/>
          <w:color w:val="231F20"/>
          <w:w w:val="95"/>
        </w:rPr>
        <w:t>la</w:t>
      </w:r>
      <w:r>
        <w:rPr>
          <w:rFonts w:ascii="Georgia" w:hAnsi="Georgia"/>
          <w:color w:val="231F20"/>
          <w:spacing w:val="-23"/>
          <w:w w:val="95"/>
        </w:rPr>
        <w:t> </w:t>
      </w:r>
      <w:r>
        <w:rPr>
          <w:rFonts w:ascii="Georgia" w:hAnsi="Georgia"/>
          <w:color w:val="231F20"/>
          <w:spacing w:val="2"/>
          <w:w w:val="95"/>
        </w:rPr>
        <w:t>violencia</w:t>
      </w:r>
      <w:r>
        <w:rPr>
          <w:rFonts w:ascii="Georgia" w:hAnsi="Georgia"/>
          <w:color w:val="231F20"/>
          <w:spacing w:val="-23"/>
          <w:w w:val="95"/>
        </w:rPr>
        <w:t> </w:t>
      </w:r>
      <w:r>
        <w:rPr>
          <w:rFonts w:ascii="Georgia" w:hAnsi="Georgia"/>
          <w:color w:val="231F20"/>
          <w:spacing w:val="2"/>
          <w:w w:val="95"/>
        </w:rPr>
        <w:t>simbólica</w:t>
      </w:r>
      <w:r>
        <w:rPr>
          <w:rFonts w:ascii="Georgia" w:hAnsi="Georgia"/>
          <w:color w:val="231F20"/>
          <w:spacing w:val="-23"/>
          <w:w w:val="95"/>
        </w:rPr>
        <w:t> </w:t>
      </w:r>
      <w:r>
        <w:rPr>
          <w:rFonts w:ascii="Georgia" w:hAnsi="Georgia"/>
          <w:color w:val="231F20"/>
          <w:spacing w:val="2"/>
          <w:w w:val="95"/>
        </w:rPr>
        <w:t>por</w:t>
      </w:r>
      <w:r>
        <w:rPr>
          <w:rFonts w:ascii="Georgia" w:hAnsi="Georgia"/>
          <w:color w:val="231F20"/>
          <w:spacing w:val="-23"/>
          <w:w w:val="95"/>
        </w:rPr>
        <w:t> </w:t>
      </w:r>
      <w:r>
        <w:rPr>
          <w:rFonts w:ascii="Georgia" w:hAnsi="Georgia"/>
          <w:color w:val="231F20"/>
          <w:spacing w:val="2"/>
          <w:w w:val="95"/>
        </w:rPr>
        <w:t>excelencia.</w:t>
      </w:r>
    </w:p>
    <w:p>
      <w:pPr>
        <w:pStyle w:val="BodyText"/>
        <w:spacing w:line="252" w:lineRule="auto"/>
        <w:ind w:left="101" w:right="115" w:firstLine="284"/>
        <w:jc w:val="both"/>
        <w:rPr>
          <w:rFonts w:ascii="Georgia" w:hAnsi="Georgia"/>
        </w:rPr>
      </w:pPr>
      <w:r>
        <w:rPr>
          <w:rFonts w:ascii="Georgia" w:hAnsi="Georgia"/>
          <w:color w:val="231F20"/>
          <w:spacing w:val="3"/>
          <w:w w:val="95"/>
        </w:rPr>
        <w:t>Ejemplo</w:t>
      </w:r>
      <w:r>
        <w:rPr>
          <w:rFonts w:ascii="Georgia" w:hAnsi="Georgia"/>
          <w:color w:val="231F20"/>
          <w:spacing w:val="-14"/>
          <w:w w:val="95"/>
        </w:rPr>
        <w:t> </w:t>
      </w:r>
      <w:r>
        <w:rPr>
          <w:rFonts w:ascii="Georgia" w:hAnsi="Georgia"/>
          <w:color w:val="231F20"/>
          <w:w w:val="95"/>
        </w:rPr>
        <w:t>de</w:t>
      </w:r>
      <w:r>
        <w:rPr>
          <w:rFonts w:ascii="Georgia" w:hAnsi="Georgia"/>
          <w:color w:val="231F20"/>
          <w:spacing w:val="-14"/>
          <w:w w:val="95"/>
        </w:rPr>
        <w:t> </w:t>
      </w:r>
      <w:r>
        <w:rPr>
          <w:rFonts w:ascii="Georgia" w:hAnsi="Georgia"/>
          <w:color w:val="231F20"/>
          <w:w w:val="95"/>
        </w:rPr>
        <w:t>la</w:t>
      </w:r>
      <w:r>
        <w:rPr>
          <w:rFonts w:ascii="Georgia" w:hAnsi="Georgia"/>
          <w:color w:val="231F20"/>
          <w:spacing w:val="-14"/>
          <w:w w:val="95"/>
        </w:rPr>
        <w:t> </w:t>
      </w:r>
      <w:r>
        <w:rPr>
          <w:rFonts w:ascii="Georgia" w:hAnsi="Georgia"/>
          <w:color w:val="231F20"/>
          <w:spacing w:val="2"/>
          <w:w w:val="95"/>
        </w:rPr>
        <w:t>naturaleza</w:t>
      </w:r>
      <w:r>
        <w:rPr>
          <w:rFonts w:ascii="Georgia" w:hAnsi="Georgia"/>
          <w:color w:val="231F20"/>
          <w:spacing w:val="-14"/>
          <w:w w:val="95"/>
        </w:rPr>
        <w:t> </w:t>
      </w:r>
      <w:r>
        <w:rPr>
          <w:rFonts w:ascii="Georgia" w:hAnsi="Georgia"/>
          <w:color w:val="231F20"/>
          <w:w w:val="95"/>
        </w:rPr>
        <w:t>de</w:t>
      </w:r>
      <w:r>
        <w:rPr>
          <w:rFonts w:ascii="Georgia" w:hAnsi="Georgia"/>
          <w:color w:val="231F20"/>
          <w:spacing w:val="-14"/>
          <w:w w:val="95"/>
        </w:rPr>
        <w:t> </w:t>
      </w:r>
      <w:r>
        <w:rPr>
          <w:rFonts w:ascii="Georgia" w:hAnsi="Georgia"/>
          <w:color w:val="231F20"/>
          <w:spacing w:val="2"/>
          <w:w w:val="95"/>
        </w:rPr>
        <w:t>este</w:t>
      </w:r>
      <w:r>
        <w:rPr>
          <w:rFonts w:ascii="Georgia" w:hAnsi="Georgia"/>
          <w:color w:val="231F20"/>
          <w:spacing w:val="-14"/>
          <w:w w:val="95"/>
        </w:rPr>
        <w:t> </w:t>
      </w:r>
      <w:r>
        <w:rPr>
          <w:rFonts w:ascii="Georgia" w:hAnsi="Georgia"/>
          <w:color w:val="231F20"/>
          <w:spacing w:val="3"/>
          <w:w w:val="95"/>
        </w:rPr>
        <w:t>dispositivo</w:t>
      </w:r>
      <w:r>
        <w:rPr>
          <w:rFonts w:ascii="Georgia" w:hAnsi="Georgia"/>
          <w:color w:val="231F20"/>
          <w:spacing w:val="-14"/>
          <w:w w:val="95"/>
        </w:rPr>
        <w:t> </w:t>
      </w:r>
      <w:r>
        <w:rPr>
          <w:rFonts w:ascii="Georgia" w:hAnsi="Georgia"/>
          <w:color w:val="231F20"/>
          <w:w w:val="95"/>
        </w:rPr>
        <w:t>así</w:t>
      </w:r>
      <w:r>
        <w:rPr>
          <w:rFonts w:ascii="Georgia" w:hAnsi="Georgia"/>
          <w:color w:val="231F20"/>
          <w:spacing w:val="-15"/>
          <w:w w:val="95"/>
        </w:rPr>
        <w:t> </w:t>
      </w:r>
      <w:r>
        <w:rPr>
          <w:rFonts w:ascii="Georgia" w:hAnsi="Georgia"/>
          <w:color w:val="231F20"/>
          <w:spacing w:val="3"/>
          <w:w w:val="95"/>
        </w:rPr>
        <w:t>como</w:t>
      </w:r>
      <w:r>
        <w:rPr>
          <w:rFonts w:ascii="Georgia" w:hAnsi="Georgia"/>
          <w:color w:val="231F20"/>
          <w:spacing w:val="-14"/>
          <w:w w:val="95"/>
        </w:rPr>
        <w:t> </w:t>
      </w:r>
      <w:r>
        <w:rPr>
          <w:rFonts w:ascii="Georgia" w:hAnsi="Georgia"/>
          <w:color w:val="231F20"/>
          <w:spacing w:val="2"/>
          <w:w w:val="95"/>
        </w:rPr>
        <w:t>del</w:t>
      </w:r>
      <w:r>
        <w:rPr>
          <w:rFonts w:ascii="Georgia" w:hAnsi="Georgia"/>
          <w:color w:val="231F20"/>
          <w:spacing w:val="-15"/>
          <w:w w:val="95"/>
        </w:rPr>
        <w:t> </w:t>
      </w:r>
      <w:r>
        <w:rPr>
          <w:rFonts w:ascii="Georgia" w:hAnsi="Georgia"/>
          <w:color w:val="231F20"/>
          <w:w w:val="95"/>
        </w:rPr>
        <w:t>signi- </w:t>
      </w:r>
      <w:r>
        <w:rPr>
          <w:rFonts w:ascii="Georgia" w:hAnsi="Georgia"/>
          <w:color w:val="231F20"/>
          <w:spacing w:val="2"/>
          <w:w w:val="95"/>
        </w:rPr>
        <w:t>ficado</w:t>
      </w:r>
      <w:r>
        <w:rPr>
          <w:rFonts w:ascii="Georgia" w:hAnsi="Georgia"/>
          <w:color w:val="231F20"/>
          <w:spacing w:val="-12"/>
          <w:w w:val="95"/>
        </w:rPr>
        <w:t> </w:t>
      </w:r>
      <w:r>
        <w:rPr>
          <w:rFonts w:ascii="Georgia" w:hAnsi="Georgia"/>
          <w:color w:val="231F20"/>
          <w:w w:val="95"/>
        </w:rPr>
        <w:t>y</w:t>
      </w:r>
      <w:r>
        <w:rPr>
          <w:rFonts w:ascii="Georgia" w:hAnsi="Georgia"/>
          <w:color w:val="231F20"/>
          <w:spacing w:val="-12"/>
          <w:w w:val="95"/>
        </w:rPr>
        <w:t> </w:t>
      </w:r>
      <w:r>
        <w:rPr>
          <w:rFonts w:ascii="Georgia" w:hAnsi="Georgia"/>
          <w:color w:val="231F20"/>
          <w:w w:val="95"/>
        </w:rPr>
        <w:t>de</w:t>
      </w:r>
      <w:r>
        <w:rPr>
          <w:rFonts w:ascii="Georgia" w:hAnsi="Georgia"/>
          <w:color w:val="231F20"/>
          <w:spacing w:val="-12"/>
          <w:w w:val="95"/>
        </w:rPr>
        <w:t> </w:t>
      </w:r>
      <w:r>
        <w:rPr>
          <w:rFonts w:ascii="Georgia" w:hAnsi="Georgia"/>
          <w:color w:val="231F20"/>
          <w:w w:val="95"/>
        </w:rPr>
        <w:t>la</w:t>
      </w:r>
      <w:r>
        <w:rPr>
          <w:rFonts w:ascii="Georgia" w:hAnsi="Georgia"/>
          <w:color w:val="231F20"/>
          <w:spacing w:val="-12"/>
          <w:w w:val="95"/>
        </w:rPr>
        <w:t> </w:t>
      </w:r>
      <w:r>
        <w:rPr>
          <w:rFonts w:ascii="Georgia" w:hAnsi="Georgia"/>
          <w:color w:val="231F20"/>
          <w:spacing w:val="3"/>
          <w:w w:val="95"/>
        </w:rPr>
        <w:t>importancia</w:t>
      </w:r>
      <w:r>
        <w:rPr>
          <w:rFonts w:ascii="Georgia" w:hAnsi="Georgia"/>
          <w:color w:val="231F20"/>
          <w:spacing w:val="-12"/>
          <w:w w:val="95"/>
        </w:rPr>
        <w:t> </w:t>
      </w:r>
      <w:r>
        <w:rPr>
          <w:rFonts w:ascii="Georgia" w:hAnsi="Georgia"/>
          <w:color w:val="231F20"/>
          <w:w w:val="95"/>
        </w:rPr>
        <w:t>que</w:t>
      </w:r>
      <w:r>
        <w:rPr>
          <w:rFonts w:ascii="Georgia" w:hAnsi="Georgia"/>
          <w:color w:val="231F20"/>
          <w:spacing w:val="-12"/>
          <w:w w:val="95"/>
        </w:rPr>
        <w:t> </w:t>
      </w:r>
      <w:r>
        <w:rPr>
          <w:rFonts w:ascii="Georgia" w:hAnsi="Georgia"/>
          <w:color w:val="231F20"/>
          <w:w w:val="95"/>
        </w:rPr>
        <w:t>se</w:t>
      </w:r>
      <w:r>
        <w:rPr>
          <w:rFonts w:ascii="Georgia" w:hAnsi="Georgia"/>
          <w:color w:val="231F20"/>
          <w:spacing w:val="-12"/>
          <w:w w:val="95"/>
        </w:rPr>
        <w:t> </w:t>
      </w:r>
      <w:r>
        <w:rPr>
          <w:rFonts w:ascii="Georgia" w:hAnsi="Georgia"/>
          <w:color w:val="231F20"/>
          <w:w w:val="95"/>
        </w:rPr>
        <w:t>le</w:t>
      </w:r>
      <w:r>
        <w:rPr>
          <w:rFonts w:ascii="Georgia" w:hAnsi="Georgia"/>
          <w:color w:val="231F20"/>
          <w:spacing w:val="-12"/>
          <w:w w:val="95"/>
        </w:rPr>
        <w:t> </w:t>
      </w:r>
      <w:r>
        <w:rPr>
          <w:rFonts w:ascii="Georgia" w:hAnsi="Georgia"/>
          <w:color w:val="231F20"/>
          <w:spacing w:val="2"/>
          <w:w w:val="95"/>
        </w:rPr>
        <w:t>atribuye</w:t>
      </w:r>
      <w:r>
        <w:rPr>
          <w:rFonts w:ascii="Georgia" w:hAnsi="Georgia"/>
          <w:color w:val="231F20"/>
          <w:spacing w:val="-12"/>
          <w:w w:val="95"/>
        </w:rPr>
        <w:t> </w:t>
      </w:r>
      <w:r>
        <w:rPr>
          <w:rFonts w:ascii="Georgia" w:hAnsi="Georgia"/>
          <w:color w:val="231F20"/>
          <w:w w:val="95"/>
        </w:rPr>
        <w:t>al</w:t>
      </w:r>
      <w:r>
        <w:rPr>
          <w:rFonts w:ascii="Georgia" w:hAnsi="Georgia"/>
          <w:color w:val="231F20"/>
          <w:spacing w:val="-13"/>
          <w:w w:val="95"/>
        </w:rPr>
        <w:t> </w:t>
      </w:r>
      <w:r>
        <w:rPr>
          <w:rFonts w:ascii="Georgia" w:hAnsi="Georgia"/>
          <w:color w:val="231F20"/>
          <w:spacing w:val="3"/>
          <w:w w:val="95"/>
        </w:rPr>
        <w:t>programa</w:t>
      </w:r>
      <w:r>
        <w:rPr>
          <w:rFonts w:ascii="Georgia" w:hAnsi="Georgia"/>
          <w:color w:val="231F20"/>
          <w:spacing w:val="-12"/>
          <w:w w:val="95"/>
        </w:rPr>
        <w:t> </w:t>
      </w:r>
      <w:r>
        <w:rPr>
          <w:rFonts w:ascii="Georgia" w:hAnsi="Georgia"/>
          <w:color w:val="231F20"/>
          <w:spacing w:val="2"/>
          <w:w w:val="95"/>
        </w:rPr>
        <w:t>del</w:t>
      </w:r>
      <w:r>
        <w:rPr>
          <w:rFonts w:ascii="Georgia" w:hAnsi="Georgia"/>
          <w:color w:val="231F20"/>
          <w:spacing w:val="-13"/>
          <w:w w:val="95"/>
        </w:rPr>
        <w:t> </w:t>
      </w:r>
      <w:r>
        <w:rPr>
          <w:rFonts w:ascii="Georgia" w:hAnsi="Georgia"/>
          <w:color w:val="231F20"/>
          <w:spacing w:val="2"/>
          <w:w w:val="95"/>
        </w:rPr>
        <w:t>curso </w:t>
      </w:r>
      <w:r>
        <w:rPr>
          <w:rFonts w:ascii="Georgia" w:hAnsi="Georgia"/>
          <w:color w:val="231F20"/>
          <w:spacing w:val="3"/>
        </w:rPr>
        <w:t>como</w:t>
      </w:r>
      <w:r>
        <w:rPr>
          <w:rFonts w:ascii="Georgia" w:hAnsi="Georgia"/>
          <w:color w:val="231F20"/>
          <w:spacing w:val="-14"/>
        </w:rPr>
        <w:t> </w:t>
      </w:r>
      <w:r>
        <w:rPr>
          <w:rFonts w:ascii="Georgia" w:hAnsi="Georgia"/>
          <w:color w:val="231F20"/>
          <w:spacing w:val="2"/>
        </w:rPr>
        <w:t>espacio</w:t>
      </w:r>
      <w:r>
        <w:rPr>
          <w:rFonts w:ascii="Georgia" w:hAnsi="Georgia"/>
          <w:color w:val="231F20"/>
          <w:spacing w:val="-14"/>
        </w:rPr>
        <w:t> </w:t>
      </w:r>
      <w:r>
        <w:rPr>
          <w:rFonts w:ascii="Georgia" w:hAnsi="Georgia"/>
          <w:color w:val="231F20"/>
          <w:spacing w:val="2"/>
        </w:rPr>
        <w:t>disciplinario</w:t>
      </w:r>
      <w:r>
        <w:rPr>
          <w:rFonts w:ascii="Georgia" w:hAnsi="Georgia"/>
          <w:color w:val="231F20"/>
          <w:spacing w:val="-14"/>
        </w:rPr>
        <w:t> </w:t>
      </w:r>
      <w:r>
        <w:rPr>
          <w:rFonts w:ascii="Georgia" w:hAnsi="Georgia"/>
          <w:color w:val="231F20"/>
        </w:rPr>
        <w:t>de</w:t>
      </w:r>
      <w:r>
        <w:rPr>
          <w:rFonts w:ascii="Georgia" w:hAnsi="Georgia"/>
          <w:color w:val="231F20"/>
          <w:spacing w:val="-15"/>
        </w:rPr>
        <w:t> </w:t>
      </w:r>
      <w:r>
        <w:rPr>
          <w:rFonts w:ascii="Georgia" w:hAnsi="Georgia"/>
          <w:color w:val="231F20"/>
        </w:rPr>
        <w:t>la</w:t>
      </w:r>
      <w:r>
        <w:rPr>
          <w:rFonts w:ascii="Georgia" w:hAnsi="Georgia"/>
          <w:color w:val="231F20"/>
          <w:spacing w:val="-15"/>
        </w:rPr>
        <w:t> </w:t>
      </w:r>
      <w:r>
        <w:rPr>
          <w:rFonts w:ascii="Georgia" w:hAnsi="Georgia"/>
          <w:color w:val="231F20"/>
          <w:spacing w:val="3"/>
        </w:rPr>
        <w:t>mente</w:t>
      </w:r>
      <w:r>
        <w:rPr>
          <w:rFonts w:ascii="Georgia" w:hAnsi="Georgia"/>
          <w:color w:val="231F20"/>
          <w:spacing w:val="-15"/>
        </w:rPr>
        <w:t> </w:t>
      </w:r>
      <w:r>
        <w:rPr>
          <w:rFonts w:ascii="Georgia" w:hAnsi="Georgia"/>
          <w:color w:val="231F20"/>
        </w:rPr>
        <w:t>y</w:t>
      </w:r>
      <w:r>
        <w:rPr>
          <w:rFonts w:ascii="Georgia" w:hAnsi="Georgia"/>
          <w:color w:val="231F20"/>
          <w:spacing w:val="-15"/>
        </w:rPr>
        <w:t> </w:t>
      </w:r>
      <w:r>
        <w:rPr>
          <w:rFonts w:ascii="Georgia" w:hAnsi="Georgia"/>
          <w:color w:val="231F20"/>
          <w:spacing w:val="2"/>
        </w:rPr>
        <w:t>del</w:t>
      </w:r>
      <w:r>
        <w:rPr>
          <w:rFonts w:ascii="Georgia" w:hAnsi="Georgia"/>
          <w:color w:val="231F20"/>
          <w:spacing w:val="-15"/>
        </w:rPr>
        <w:t> </w:t>
      </w:r>
      <w:r>
        <w:rPr>
          <w:rFonts w:ascii="Georgia" w:hAnsi="Georgia"/>
          <w:color w:val="231F20"/>
          <w:spacing w:val="2"/>
        </w:rPr>
        <w:t>cuerpo,</w:t>
      </w:r>
      <w:r>
        <w:rPr>
          <w:rFonts w:ascii="Georgia" w:hAnsi="Georgia"/>
          <w:color w:val="231F20"/>
          <w:spacing w:val="-15"/>
        </w:rPr>
        <w:t> </w:t>
      </w:r>
      <w:r>
        <w:rPr>
          <w:rFonts w:ascii="Georgia" w:hAnsi="Georgia"/>
          <w:color w:val="231F20"/>
        </w:rPr>
        <w:t>es</w:t>
      </w:r>
      <w:r>
        <w:rPr>
          <w:rFonts w:ascii="Georgia" w:hAnsi="Georgia"/>
          <w:color w:val="231F20"/>
          <w:spacing w:val="-15"/>
        </w:rPr>
        <w:t> </w:t>
      </w:r>
      <w:r>
        <w:rPr>
          <w:rFonts w:ascii="Georgia" w:hAnsi="Georgia"/>
          <w:color w:val="231F20"/>
        </w:rPr>
        <w:t>el</w:t>
      </w:r>
      <w:r>
        <w:rPr>
          <w:rFonts w:ascii="Georgia" w:hAnsi="Georgia"/>
          <w:color w:val="231F20"/>
          <w:spacing w:val="-15"/>
        </w:rPr>
        <w:t> </w:t>
      </w:r>
      <w:r>
        <w:rPr>
          <w:rFonts w:ascii="Georgia" w:hAnsi="Georgia"/>
          <w:color w:val="231F20"/>
          <w:spacing w:val="2"/>
        </w:rPr>
        <w:t>oficio </w:t>
      </w:r>
      <w:r>
        <w:rPr>
          <w:rFonts w:ascii="Georgia" w:hAnsi="Georgia"/>
          <w:color w:val="231F20"/>
          <w:w w:val="95"/>
        </w:rPr>
        <w:t>que</w:t>
      </w:r>
      <w:r>
        <w:rPr>
          <w:rFonts w:ascii="Georgia" w:hAnsi="Georgia"/>
          <w:color w:val="231F20"/>
          <w:spacing w:val="-5"/>
          <w:w w:val="95"/>
        </w:rPr>
        <w:t> </w:t>
      </w:r>
      <w:r>
        <w:rPr>
          <w:rFonts w:ascii="Georgia" w:hAnsi="Georgia"/>
          <w:color w:val="231F20"/>
          <w:spacing w:val="2"/>
          <w:w w:val="95"/>
        </w:rPr>
        <w:t>dirigió</w:t>
      </w:r>
      <w:r>
        <w:rPr>
          <w:rFonts w:ascii="Georgia" w:hAnsi="Georgia"/>
          <w:color w:val="231F20"/>
          <w:spacing w:val="-4"/>
          <w:w w:val="95"/>
        </w:rPr>
        <w:t> </w:t>
      </w:r>
      <w:r>
        <w:rPr>
          <w:rFonts w:ascii="Georgia" w:hAnsi="Georgia"/>
          <w:color w:val="231F20"/>
          <w:w w:val="95"/>
        </w:rPr>
        <w:t>el</w:t>
      </w:r>
      <w:r>
        <w:rPr>
          <w:rFonts w:ascii="Georgia" w:hAnsi="Georgia"/>
          <w:color w:val="231F20"/>
          <w:spacing w:val="-5"/>
          <w:w w:val="95"/>
        </w:rPr>
        <w:t> </w:t>
      </w:r>
      <w:r>
        <w:rPr>
          <w:rFonts w:ascii="Georgia" w:hAnsi="Georgia"/>
          <w:color w:val="231F20"/>
          <w:spacing w:val="3"/>
          <w:w w:val="95"/>
        </w:rPr>
        <w:t>profesor</w:t>
      </w:r>
      <w:r>
        <w:rPr>
          <w:rFonts w:ascii="Georgia" w:hAnsi="Georgia"/>
          <w:color w:val="231F20"/>
          <w:spacing w:val="-5"/>
          <w:w w:val="95"/>
        </w:rPr>
        <w:t> </w:t>
      </w:r>
      <w:r>
        <w:rPr>
          <w:rFonts w:ascii="Georgia" w:hAnsi="Georgia"/>
          <w:color w:val="231F20"/>
          <w:spacing w:val="2"/>
          <w:w w:val="95"/>
        </w:rPr>
        <w:t>Nicolás</w:t>
      </w:r>
      <w:r>
        <w:rPr>
          <w:rFonts w:ascii="Georgia" w:hAnsi="Georgia"/>
          <w:color w:val="231F20"/>
          <w:spacing w:val="-5"/>
          <w:w w:val="95"/>
        </w:rPr>
        <w:t> </w:t>
      </w:r>
      <w:r>
        <w:rPr>
          <w:rFonts w:ascii="Georgia" w:hAnsi="Georgia"/>
          <w:color w:val="231F20"/>
          <w:spacing w:val="2"/>
          <w:w w:val="95"/>
        </w:rPr>
        <w:t>Reyes,</w:t>
      </w:r>
      <w:r>
        <w:rPr>
          <w:rFonts w:ascii="Georgia" w:hAnsi="Georgia"/>
          <w:color w:val="231F20"/>
          <w:spacing w:val="-5"/>
          <w:w w:val="95"/>
        </w:rPr>
        <w:t> </w:t>
      </w:r>
      <w:r>
        <w:rPr>
          <w:rFonts w:ascii="Georgia" w:hAnsi="Georgia"/>
          <w:color w:val="231F20"/>
          <w:spacing w:val="2"/>
          <w:w w:val="95"/>
        </w:rPr>
        <w:t>dirigido</w:t>
      </w:r>
      <w:r>
        <w:rPr>
          <w:rFonts w:ascii="Georgia" w:hAnsi="Georgia"/>
          <w:color w:val="231F20"/>
          <w:spacing w:val="-4"/>
          <w:w w:val="95"/>
        </w:rPr>
        <w:t> </w:t>
      </w:r>
      <w:r>
        <w:rPr>
          <w:rFonts w:ascii="Georgia" w:hAnsi="Georgia"/>
          <w:color w:val="231F20"/>
          <w:w w:val="95"/>
        </w:rPr>
        <w:t>al</w:t>
      </w:r>
      <w:r>
        <w:rPr>
          <w:rFonts w:ascii="Georgia" w:hAnsi="Georgia"/>
          <w:color w:val="231F20"/>
          <w:spacing w:val="-5"/>
          <w:w w:val="95"/>
        </w:rPr>
        <w:t> </w:t>
      </w:r>
      <w:r>
        <w:rPr>
          <w:rFonts w:ascii="Georgia" w:hAnsi="Georgia"/>
          <w:color w:val="231F20"/>
          <w:spacing w:val="2"/>
          <w:w w:val="95"/>
        </w:rPr>
        <w:t>director</w:t>
      </w:r>
      <w:r>
        <w:rPr>
          <w:rFonts w:ascii="Georgia" w:hAnsi="Georgia"/>
          <w:color w:val="231F20"/>
          <w:spacing w:val="-5"/>
          <w:w w:val="95"/>
        </w:rPr>
        <w:t> </w:t>
      </w:r>
      <w:r>
        <w:rPr>
          <w:rFonts w:ascii="Georgia" w:hAnsi="Georgia"/>
          <w:color w:val="231F20"/>
          <w:w w:val="95"/>
        </w:rPr>
        <w:t>de</w:t>
      </w:r>
      <w:r>
        <w:rPr>
          <w:rFonts w:ascii="Georgia" w:hAnsi="Georgia"/>
          <w:color w:val="231F20"/>
          <w:spacing w:val="-5"/>
          <w:w w:val="95"/>
        </w:rPr>
        <w:t> </w:t>
      </w:r>
      <w:r>
        <w:rPr>
          <w:rFonts w:ascii="Georgia" w:hAnsi="Georgia"/>
          <w:color w:val="231F20"/>
          <w:spacing w:val="3"/>
          <w:w w:val="95"/>
        </w:rPr>
        <w:t>Edu- </w:t>
      </w:r>
      <w:r>
        <w:rPr>
          <w:rFonts w:ascii="Georgia" w:hAnsi="Georgia"/>
          <w:color w:val="231F20"/>
          <w:spacing w:val="2"/>
        </w:rPr>
        <w:t>cación</w:t>
      </w:r>
      <w:r>
        <w:rPr>
          <w:rFonts w:ascii="Georgia" w:hAnsi="Georgia"/>
          <w:color w:val="231F20"/>
          <w:spacing w:val="-13"/>
        </w:rPr>
        <w:t> </w:t>
      </w:r>
      <w:r>
        <w:rPr>
          <w:rFonts w:ascii="Georgia" w:hAnsi="Georgia"/>
          <w:color w:val="231F20"/>
          <w:spacing w:val="2"/>
        </w:rPr>
        <w:t>Pública</w:t>
      </w:r>
      <w:r>
        <w:rPr>
          <w:rFonts w:ascii="Georgia" w:hAnsi="Georgia"/>
          <w:color w:val="231F20"/>
          <w:spacing w:val="-13"/>
        </w:rPr>
        <w:t> </w:t>
      </w:r>
      <w:r>
        <w:rPr>
          <w:rFonts w:ascii="Georgia" w:hAnsi="Georgia"/>
          <w:color w:val="231F20"/>
          <w:spacing w:val="2"/>
        </w:rPr>
        <w:t>del</w:t>
      </w:r>
      <w:r>
        <w:rPr>
          <w:rFonts w:ascii="Georgia" w:hAnsi="Georgia"/>
          <w:color w:val="231F20"/>
          <w:spacing w:val="-13"/>
        </w:rPr>
        <w:t> </w:t>
      </w:r>
      <w:r>
        <w:rPr>
          <w:rFonts w:ascii="Georgia" w:hAnsi="Georgia"/>
          <w:color w:val="231F20"/>
          <w:spacing w:val="2"/>
        </w:rPr>
        <w:t>Estado</w:t>
      </w:r>
      <w:r>
        <w:rPr>
          <w:rFonts w:ascii="Georgia" w:hAnsi="Georgia"/>
          <w:color w:val="231F20"/>
          <w:spacing w:val="-13"/>
        </w:rPr>
        <w:t> </w:t>
      </w:r>
      <w:r>
        <w:rPr>
          <w:rFonts w:ascii="Georgia" w:hAnsi="Georgia"/>
          <w:color w:val="231F20"/>
        </w:rPr>
        <w:t>de</w:t>
      </w:r>
      <w:r>
        <w:rPr>
          <w:rFonts w:ascii="Georgia" w:hAnsi="Georgia"/>
          <w:color w:val="231F20"/>
          <w:spacing w:val="-13"/>
        </w:rPr>
        <w:t> </w:t>
      </w:r>
      <w:r>
        <w:rPr>
          <w:rFonts w:ascii="Georgia" w:hAnsi="Georgia"/>
          <w:color w:val="231F20"/>
          <w:spacing w:val="2"/>
        </w:rPr>
        <w:t>México</w:t>
      </w:r>
      <w:r>
        <w:rPr>
          <w:rFonts w:ascii="Georgia" w:hAnsi="Georgia"/>
          <w:color w:val="231F20"/>
          <w:spacing w:val="-13"/>
        </w:rPr>
        <w:t> </w:t>
      </w:r>
      <w:r>
        <w:rPr>
          <w:rFonts w:ascii="Georgia" w:hAnsi="Georgia"/>
          <w:color w:val="231F20"/>
          <w:spacing w:val="3"/>
        </w:rPr>
        <w:t>porque</w:t>
      </w:r>
      <w:r>
        <w:rPr>
          <w:rFonts w:ascii="Georgia" w:hAnsi="Georgia"/>
          <w:color w:val="231F20"/>
          <w:spacing w:val="-13"/>
        </w:rPr>
        <w:t> </w:t>
      </w:r>
      <w:r>
        <w:rPr>
          <w:rFonts w:ascii="Georgia" w:hAnsi="Georgia"/>
          <w:color w:val="231F20"/>
          <w:spacing w:val="2"/>
        </w:rPr>
        <w:t>ilustra</w:t>
      </w:r>
      <w:r>
        <w:rPr>
          <w:rFonts w:ascii="Georgia" w:hAnsi="Georgia"/>
          <w:color w:val="231F20"/>
          <w:spacing w:val="-13"/>
        </w:rPr>
        <w:t> </w:t>
      </w:r>
      <w:r>
        <w:rPr>
          <w:rFonts w:ascii="Georgia" w:hAnsi="Georgia"/>
          <w:color w:val="231F20"/>
          <w:spacing w:val="2"/>
        </w:rPr>
        <w:t>con</w:t>
      </w:r>
      <w:r>
        <w:rPr>
          <w:rFonts w:ascii="Georgia" w:hAnsi="Georgia"/>
          <w:color w:val="231F20"/>
          <w:spacing w:val="-13"/>
        </w:rPr>
        <w:t> </w:t>
      </w:r>
      <w:r>
        <w:rPr>
          <w:rFonts w:ascii="Georgia" w:hAnsi="Georgia"/>
          <w:color w:val="231F20"/>
          <w:spacing w:val="2"/>
        </w:rPr>
        <w:t>nitidez </w:t>
      </w:r>
      <w:r>
        <w:rPr>
          <w:rFonts w:ascii="Georgia" w:hAnsi="Georgia"/>
          <w:color w:val="231F20"/>
          <w:spacing w:val="2"/>
          <w:w w:val="95"/>
        </w:rPr>
        <w:t>varios</w:t>
      </w:r>
      <w:r>
        <w:rPr>
          <w:rFonts w:ascii="Georgia" w:hAnsi="Georgia"/>
          <w:color w:val="231F20"/>
          <w:spacing w:val="-5"/>
          <w:w w:val="95"/>
        </w:rPr>
        <w:t> </w:t>
      </w:r>
      <w:r>
        <w:rPr>
          <w:rFonts w:ascii="Georgia" w:hAnsi="Georgia"/>
          <w:color w:val="231F20"/>
          <w:spacing w:val="2"/>
          <w:w w:val="95"/>
        </w:rPr>
        <w:t>aspectos</w:t>
      </w:r>
      <w:r>
        <w:rPr>
          <w:rFonts w:ascii="Georgia" w:hAnsi="Georgia"/>
          <w:color w:val="231F20"/>
          <w:spacing w:val="-5"/>
          <w:w w:val="95"/>
        </w:rPr>
        <w:t> </w:t>
      </w:r>
      <w:r>
        <w:rPr>
          <w:rFonts w:ascii="Georgia" w:hAnsi="Georgia"/>
          <w:color w:val="231F20"/>
          <w:w w:val="95"/>
        </w:rPr>
        <w:t>de</w:t>
      </w:r>
      <w:r>
        <w:rPr>
          <w:rFonts w:ascii="Georgia" w:hAnsi="Georgia"/>
          <w:color w:val="231F20"/>
          <w:spacing w:val="-4"/>
          <w:w w:val="95"/>
        </w:rPr>
        <w:t> </w:t>
      </w:r>
      <w:r>
        <w:rPr>
          <w:rFonts w:ascii="Georgia" w:hAnsi="Georgia"/>
          <w:color w:val="231F20"/>
          <w:w w:val="95"/>
        </w:rPr>
        <w:t>la</w:t>
      </w:r>
      <w:r>
        <w:rPr>
          <w:rFonts w:ascii="Georgia" w:hAnsi="Georgia"/>
          <w:color w:val="231F20"/>
          <w:spacing w:val="-4"/>
          <w:w w:val="95"/>
        </w:rPr>
        <w:t> </w:t>
      </w:r>
      <w:r>
        <w:rPr>
          <w:rFonts w:ascii="Georgia" w:hAnsi="Georgia"/>
          <w:color w:val="231F20"/>
          <w:spacing w:val="2"/>
          <w:w w:val="95"/>
        </w:rPr>
        <w:t>concepción</w:t>
      </w:r>
      <w:r>
        <w:rPr>
          <w:rFonts w:ascii="Georgia" w:hAnsi="Georgia"/>
          <w:color w:val="231F20"/>
          <w:spacing w:val="-4"/>
          <w:w w:val="95"/>
        </w:rPr>
        <w:t> </w:t>
      </w:r>
      <w:r>
        <w:rPr>
          <w:rFonts w:ascii="Georgia" w:hAnsi="Georgia"/>
          <w:color w:val="231F20"/>
          <w:w w:val="95"/>
        </w:rPr>
        <w:t>y</w:t>
      </w:r>
      <w:r>
        <w:rPr>
          <w:rFonts w:ascii="Georgia" w:hAnsi="Georgia"/>
          <w:color w:val="231F20"/>
          <w:spacing w:val="-4"/>
          <w:w w:val="95"/>
        </w:rPr>
        <w:t> </w:t>
      </w:r>
      <w:r>
        <w:rPr>
          <w:rFonts w:ascii="Georgia" w:hAnsi="Georgia"/>
          <w:color w:val="231F20"/>
          <w:w w:val="95"/>
        </w:rPr>
        <w:t>de</w:t>
      </w:r>
      <w:r>
        <w:rPr>
          <w:rFonts w:ascii="Georgia" w:hAnsi="Georgia"/>
          <w:color w:val="231F20"/>
          <w:spacing w:val="-4"/>
          <w:w w:val="95"/>
        </w:rPr>
        <w:t> </w:t>
      </w:r>
      <w:r>
        <w:rPr>
          <w:rFonts w:ascii="Georgia" w:hAnsi="Georgia"/>
          <w:color w:val="231F20"/>
          <w:w w:val="95"/>
        </w:rPr>
        <w:t>las</w:t>
      </w:r>
      <w:r>
        <w:rPr>
          <w:rFonts w:ascii="Georgia" w:hAnsi="Georgia"/>
          <w:color w:val="231F20"/>
          <w:spacing w:val="-5"/>
          <w:w w:val="95"/>
        </w:rPr>
        <w:t> </w:t>
      </w:r>
      <w:r>
        <w:rPr>
          <w:rFonts w:ascii="Georgia" w:hAnsi="Georgia"/>
          <w:color w:val="231F20"/>
          <w:spacing w:val="2"/>
          <w:w w:val="95"/>
        </w:rPr>
        <w:t>prácticas</w:t>
      </w:r>
      <w:r>
        <w:rPr>
          <w:rFonts w:ascii="Georgia" w:hAnsi="Georgia"/>
          <w:color w:val="231F20"/>
          <w:spacing w:val="-6"/>
          <w:w w:val="95"/>
        </w:rPr>
        <w:t> </w:t>
      </w:r>
      <w:r>
        <w:rPr>
          <w:rFonts w:ascii="Georgia" w:hAnsi="Georgia"/>
          <w:color w:val="231F20"/>
          <w:spacing w:val="2"/>
          <w:w w:val="95"/>
        </w:rPr>
        <w:t>institucionales que,</w:t>
      </w:r>
      <w:r>
        <w:rPr>
          <w:rFonts w:ascii="Georgia" w:hAnsi="Georgia"/>
          <w:color w:val="231F20"/>
          <w:spacing w:val="-9"/>
          <w:w w:val="95"/>
        </w:rPr>
        <w:t> </w:t>
      </w:r>
      <w:r>
        <w:rPr>
          <w:rFonts w:ascii="Georgia" w:hAnsi="Georgia"/>
          <w:color w:val="231F20"/>
          <w:w w:val="95"/>
        </w:rPr>
        <w:t>en</w:t>
      </w:r>
      <w:r>
        <w:rPr>
          <w:rFonts w:ascii="Georgia" w:hAnsi="Georgia"/>
          <w:color w:val="231F20"/>
          <w:spacing w:val="-8"/>
          <w:w w:val="95"/>
        </w:rPr>
        <w:t> </w:t>
      </w:r>
      <w:r>
        <w:rPr>
          <w:rFonts w:ascii="Georgia" w:hAnsi="Georgia"/>
          <w:color w:val="231F20"/>
          <w:w w:val="95"/>
        </w:rPr>
        <w:t>su</w:t>
      </w:r>
      <w:r>
        <w:rPr>
          <w:rFonts w:ascii="Georgia" w:hAnsi="Georgia"/>
          <w:color w:val="231F20"/>
          <w:spacing w:val="-8"/>
          <w:w w:val="95"/>
        </w:rPr>
        <w:t> </w:t>
      </w:r>
      <w:r>
        <w:rPr>
          <w:rFonts w:ascii="Georgia" w:hAnsi="Georgia"/>
          <w:color w:val="231F20"/>
          <w:spacing w:val="2"/>
          <w:w w:val="95"/>
        </w:rPr>
        <w:t>caso,</w:t>
      </w:r>
      <w:r>
        <w:rPr>
          <w:rFonts w:ascii="Georgia" w:hAnsi="Georgia"/>
          <w:color w:val="231F20"/>
          <w:spacing w:val="-9"/>
          <w:w w:val="95"/>
        </w:rPr>
        <w:t> </w:t>
      </w:r>
      <w:r>
        <w:rPr>
          <w:rFonts w:ascii="Georgia" w:hAnsi="Georgia"/>
          <w:color w:val="231F20"/>
          <w:spacing w:val="2"/>
          <w:w w:val="95"/>
        </w:rPr>
        <w:t>hacía</w:t>
      </w:r>
      <w:r>
        <w:rPr>
          <w:rFonts w:ascii="Georgia" w:hAnsi="Georgia"/>
          <w:color w:val="231F20"/>
          <w:spacing w:val="-8"/>
          <w:w w:val="95"/>
        </w:rPr>
        <w:t> </w:t>
      </w:r>
      <w:r>
        <w:rPr>
          <w:rFonts w:ascii="Georgia" w:hAnsi="Georgia"/>
          <w:color w:val="231F20"/>
          <w:spacing w:val="2"/>
          <w:w w:val="95"/>
        </w:rPr>
        <w:t>suyas</w:t>
      </w:r>
      <w:r>
        <w:rPr>
          <w:rFonts w:ascii="Georgia" w:hAnsi="Georgia"/>
          <w:color w:val="231F20"/>
          <w:spacing w:val="-8"/>
          <w:w w:val="95"/>
        </w:rPr>
        <w:t> </w:t>
      </w:r>
      <w:r>
        <w:rPr>
          <w:rFonts w:ascii="Georgia" w:hAnsi="Georgia"/>
          <w:color w:val="231F20"/>
          <w:w w:val="95"/>
        </w:rPr>
        <w:t>y</w:t>
      </w:r>
      <w:r>
        <w:rPr>
          <w:rFonts w:ascii="Georgia" w:hAnsi="Georgia"/>
          <w:color w:val="231F20"/>
          <w:spacing w:val="-8"/>
          <w:w w:val="95"/>
        </w:rPr>
        <w:t> </w:t>
      </w:r>
      <w:r>
        <w:rPr>
          <w:rFonts w:ascii="Georgia" w:hAnsi="Georgia"/>
          <w:color w:val="231F20"/>
          <w:w w:val="95"/>
        </w:rPr>
        <w:t>que</w:t>
      </w:r>
      <w:r>
        <w:rPr>
          <w:rFonts w:ascii="Georgia" w:hAnsi="Georgia"/>
          <w:color w:val="231F20"/>
          <w:spacing w:val="-8"/>
          <w:w w:val="95"/>
        </w:rPr>
        <w:t> </w:t>
      </w:r>
      <w:r>
        <w:rPr>
          <w:rFonts w:ascii="Georgia" w:hAnsi="Georgia"/>
          <w:color w:val="231F20"/>
          <w:spacing w:val="3"/>
          <w:w w:val="95"/>
        </w:rPr>
        <w:t>compartía</w:t>
      </w:r>
      <w:r>
        <w:rPr>
          <w:rFonts w:ascii="Georgia" w:hAnsi="Georgia"/>
          <w:color w:val="231F20"/>
          <w:spacing w:val="-8"/>
          <w:w w:val="95"/>
        </w:rPr>
        <w:t> </w:t>
      </w:r>
      <w:r>
        <w:rPr>
          <w:rFonts w:ascii="Georgia" w:hAnsi="Georgia"/>
          <w:color w:val="231F20"/>
          <w:spacing w:val="3"/>
          <w:w w:val="95"/>
        </w:rPr>
        <w:t>plenamente,</w:t>
      </w:r>
      <w:r>
        <w:rPr>
          <w:rFonts w:ascii="Georgia" w:hAnsi="Georgia"/>
          <w:color w:val="231F20"/>
          <w:spacing w:val="-8"/>
          <w:w w:val="95"/>
        </w:rPr>
        <w:t> </w:t>
      </w:r>
      <w:r>
        <w:rPr>
          <w:rFonts w:ascii="Georgia" w:hAnsi="Georgia"/>
          <w:color w:val="231F20"/>
          <w:spacing w:val="3"/>
          <w:w w:val="95"/>
        </w:rPr>
        <w:t>promo- </w:t>
      </w:r>
      <w:r>
        <w:rPr>
          <w:rFonts w:ascii="Georgia" w:hAnsi="Georgia"/>
          <w:color w:val="231F20"/>
          <w:spacing w:val="2"/>
        </w:rPr>
        <w:t>viendo</w:t>
      </w:r>
      <w:r>
        <w:rPr>
          <w:rFonts w:ascii="Georgia" w:hAnsi="Georgia"/>
          <w:color w:val="231F20"/>
          <w:spacing w:val="-20"/>
        </w:rPr>
        <w:t> </w:t>
      </w:r>
      <w:r>
        <w:rPr>
          <w:rFonts w:ascii="Georgia" w:hAnsi="Georgia"/>
          <w:color w:val="231F20"/>
        </w:rPr>
        <w:t>la</w:t>
      </w:r>
      <w:r>
        <w:rPr>
          <w:rFonts w:ascii="Georgia" w:hAnsi="Georgia"/>
          <w:color w:val="231F20"/>
          <w:spacing w:val="-20"/>
        </w:rPr>
        <w:t> </w:t>
      </w:r>
      <w:r>
        <w:rPr>
          <w:rFonts w:ascii="Georgia" w:hAnsi="Georgia"/>
          <w:color w:val="231F20"/>
          <w:spacing w:val="2"/>
        </w:rPr>
        <w:t>disciplina</w:t>
      </w:r>
      <w:r>
        <w:rPr>
          <w:rFonts w:ascii="Georgia" w:hAnsi="Georgia"/>
          <w:color w:val="231F20"/>
          <w:spacing w:val="-20"/>
        </w:rPr>
        <w:t> </w:t>
      </w:r>
      <w:r>
        <w:rPr>
          <w:rFonts w:ascii="Georgia" w:hAnsi="Georgia"/>
          <w:color w:val="231F20"/>
          <w:spacing w:val="2"/>
        </w:rPr>
        <w:t>escolar</w:t>
      </w:r>
      <w:r>
        <w:rPr>
          <w:rFonts w:ascii="Georgia" w:hAnsi="Georgia"/>
          <w:color w:val="231F20"/>
          <w:spacing w:val="-21"/>
        </w:rPr>
        <w:t> </w:t>
      </w:r>
      <w:r>
        <w:rPr>
          <w:rFonts w:ascii="Georgia" w:hAnsi="Georgia"/>
          <w:color w:val="231F20"/>
        </w:rPr>
        <w:t>en</w:t>
      </w:r>
      <w:r>
        <w:rPr>
          <w:rFonts w:ascii="Georgia" w:hAnsi="Georgia"/>
          <w:color w:val="231F20"/>
          <w:spacing w:val="-20"/>
        </w:rPr>
        <w:t> </w:t>
      </w:r>
      <w:r>
        <w:rPr>
          <w:rFonts w:ascii="Georgia" w:hAnsi="Georgia"/>
          <w:color w:val="231F20"/>
        </w:rPr>
        <w:t>su</w:t>
      </w:r>
      <w:r>
        <w:rPr>
          <w:rFonts w:ascii="Georgia" w:hAnsi="Georgia"/>
          <w:color w:val="231F20"/>
          <w:spacing w:val="-20"/>
        </w:rPr>
        <w:t> </w:t>
      </w:r>
      <w:r>
        <w:rPr>
          <w:rFonts w:ascii="Georgia" w:hAnsi="Georgia"/>
          <w:color w:val="231F20"/>
          <w:spacing w:val="2"/>
        </w:rPr>
        <w:t>doble</w:t>
      </w:r>
      <w:r>
        <w:rPr>
          <w:rFonts w:ascii="Georgia" w:hAnsi="Georgia"/>
          <w:color w:val="231F20"/>
          <w:spacing w:val="-20"/>
        </w:rPr>
        <w:t> </w:t>
      </w:r>
      <w:r>
        <w:rPr>
          <w:rFonts w:ascii="Georgia" w:hAnsi="Georgia"/>
          <w:color w:val="231F20"/>
          <w:spacing w:val="2"/>
        </w:rPr>
        <w:t>significado</w:t>
      </w:r>
      <w:r>
        <w:rPr>
          <w:rFonts w:ascii="Georgia" w:hAnsi="Georgia"/>
          <w:color w:val="231F20"/>
          <w:spacing w:val="-20"/>
        </w:rPr>
        <w:t> </w:t>
      </w:r>
      <w:r>
        <w:rPr>
          <w:rFonts w:ascii="Georgia" w:hAnsi="Georgia"/>
          <w:color w:val="231F20"/>
          <w:spacing w:val="2"/>
        </w:rPr>
        <w:t>que</w:t>
      </w:r>
      <w:r>
        <w:rPr>
          <w:rFonts w:ascii="Georgia" w:hAnsi="Georgia"/>
          <w:color w:val="231F20"/>
          <w:spacing w:val="-20"/>
        </w:rPr>
        <w:t> </w:t>
      </w:r>
      <w:r>
        <w:rPr>
          <w:rFonts w:ascii="Georgia" w:hAnsi="Georgia"/>
          <w:color w:val="231F20"/>
          <w:spacing w:val="3"/>
        </w:rPr>
        <w:t>buscaba </w:t>
      </w:r>
      <w:r>
        <w:rPr>
          <w:rFonts w:ascii="Georgia" w:hAnsi="Georgia"/>
          <w:color w:val="231F20"/>
          <w:spacing w:val="3"/>
          <w:w w:val="95"/>
        </w:rPr>
        <w:t>imponer</w:t>
      </w:r>
      <w:r>
        <w:rPr>
          <w:rFonts w:ascii="Georgia" w:hAnsi="Georgia"/>
          <w:color w:val="231F20"/>
          <w:spacing w:val="-6"/>
          <w:w w:val="95"/>
        </w:rPr>
        <w:t> </w:t>
      </w:r>
      <w:r>
        <w:rPr>
          <w:rFonts w:ascii="Georgia" w:hAnsi="Georgia"/>
          <w:color w:val="231F20"/>
          <w:spacing w:val="2"/>
          <w:w w:val="95"/>
        </w:rPr>
        <w:t>entre</w:t>
      </w:r>
      <w:r>
        <w:rPr>
          <w:rFonts w:ascii="Georgia" w:hAnsi="Georgia"/>
          <w:color w:val="231F20"/>
          <w:spacing w:val="-6"/>
          <w:w w:val="95"/>
        </w:rPr>
        <w:t> </w:t>
      </w:r>
      <w:r>
        <w:rPr>
          <w:rFonts w:ascii="Georgia" w:hAnsi="Georgia"/>
          <w:color w:val="231F20"/>
          <w:spacing w:val="2"/>
          <w:w w:val="95"/>
        </w:rPr>
        <w:t>los</w:t>
      </w:r>
      <w:r>
        <w:rPr>
          <w:rFonts w:ascii="Georgia" w:hAnsi="Georgia"/>
          <w:color w:val="231F20"/>
          <w:spacing w:val="-6"/>
          <w:w w:val="95"/>
        </w:rPr>
        <w:t> </w:t>
      </w:r>
      <w:r>
        <w:rPr>
          <w:rFonts w:ascii="Georgia" w:hAnsi="Georgia"/>
          <w:color w:val="231F20"/>
          <w:spacing w:val="2"/>
          <w:w w:val="95"/>
        </w:rPr>
        <w:t>estudiantes.</w:t>
      </w:r>
      <w:r>
        <w:rPr>
          <w:rFonts w:ascii="Georgia" w:hAnsi="Georgia"/>
          <w:color w:val="231F20"/>
          <w:spacing w:val="-6"/>
          <w:w w:val="95"/>
        </w:rPr>
        <w:t> </w:t>
      </w:r>
      <w:r>
        <w:rPr>
          <w:rFonts w:ascii="Georgia" w:hAnsi="Georgia"/>
          <w:color w:val="231F20"/>
          <w:w w:val="95"/>
        </w:rPr>
        <w:t>Un</w:t>
      </w:r>
      <w:r>
        <w:rPr>
          <w:rFonts w:ascii="Georgia" w:hAnsi="Georgia"/>
          <w:color w:val="231F20"/>
          <w:spacing w:val="-6"/>
          <w:w w:val="95"/>
        </w:rPr>
        <w:t> </w:t>
      </w:r>
      <w:r>
        <w:rPr>
          <w:rFonts w:ascii="Georgia" w:hAnsi="Georgia"/>
          <w:color w:val="231F20"/>
          <w:spacing w:val="2"/>
          <w:w w:val="95"/>
        </w:rPr>
        <w:t>primer</w:t>
      </w:r>
      <w:r>
        <w:rPr>
          <w:rFonts w:ascii="Georgia" w:hAnsi="Georgia"/>
          <w:color w:val="231F20"/>
          <w:spacing w:val="-6"/>
          <w:w w:val="95"/>
        </w:rPr>
        <w:t> </w:t>
      </w:r>
      <w:r>
        <w:rPr>
          <w:rFonts w:ascii="Georgia" w:hAnsi="Georgia"/>
          <w:color w:val="231F20"/>
          <w:spacing w:val="2"/>
          <w:w w:val="95"/>
        </w:rPr>
        <w:t>aspecto</w:t>
      </w:r>
      <w:r>
        <w:rPr>
          <w:rFonts w:ascii="Georgia" w:hAnsi="Georgia"/>
          <w:color w:val="231F20"/>
          <w:spacing w:val="-6"/>
          <w:w w:val="95"/>
        </w:rPr>
        <w:t> </w:t>
      </w:r>
      <w:r>
        <w:rPr>
          <w:rFonts w:ascii="Georgia" w:hAnsi="Georgia"/>
          <w:color w:val="231F20"/>
          <w:w w:val="95"/>
        </w:rPr>
        <w:t>a</w:t>
      </w:r>
      <w:r>
        <w:rPr>
          <w:rFonts w:ascii="Georgia" w:hAnsi="Georgia"/>
          <w:color w:val="231F20"/>
          <w:spacing w:val="-6"/>
          <w:w w:val="95"/>
        </w:rPr>
        <w:t> </w:t>
      </w:r>
      <w:r>
        <w:rPr>
          <w:rFonts w:ascii="Georgia" w:hAnsi="Georgia"/>
          <w:color w:val="231F20"/>
          <w:spacing w:val="2"/>
          <w:w w:val="95"/>
        </w:rPr>
        <w:t>destacar</w:t>
      </w:r>
      <w:r>
        <w:rPr>
          <w:rFonts w:ascii="Georgia" w:hAnsi="Georgia"/>
          <w:color w:val="231F20"/>
          <w:spacing w:val="-6"/>
          <w:w w:val="95"/>
        </w:rPr>
        <w:t> </w:t>
      </w:r>
      <w:r>
        <w:rPr>
          <w:rFonts w:ascii="Georgia" w:hAnsi="Georgia"/>
          <w:color w:val="231F20"/>
          <w:w w:val="95"/>
        </w:rPr>
        <w:t>es</w:t>
      </w:r>
      <w:r>
        <w:rPr>
          <w:rFonts w:ascii="Georgia" w:hAnsi="Georgia"/>
          <w:color w:val="231F20"/>
          <w:spacing w:val="-6"/>
          <w:w w:val="95"/>
        </w:rPr>
        <w:t> </w:t>
      </w:r>
      <w:r>
        <w:rPr>
          <w:rFonts w:ascii="Georgia" w:hAnsi="Georgia"/>
          <w:color w:val="231F20"/>
          <w:w w:val="95"/>
        </w:rPr>
        <w:t>el </w:t>
      </w:r>
      <w:r>
        <w:rPr>
          <w:rFonts w:ascii="Georgia" w:hAnsi="Georgia"/>
          <w:color w:val="231F20"/>
          <w:spacing w:val="2"/>
        </w:rPr>
        <w:t>tono </w:t>
      </w:r>
      <w:r>
        <w:rPr>
          <w:rFonts w:ascii="Georgia" w:hAnsi="Georgia"/>
          <w:color w:val="231F20"/>
        </w:rPr>
        <w:t>de </w:t>
      </w:r>
      <w:r>
        <w:rPr>
          <w:rFonts w:ascii="Georgia" w:hAnsi="Georgia"/>
          <w:color w:val="231F20"/>
          <w:spacing w:val="3"/>
        </w:rPr>
        <w:t>conformidad </w:t>
      </w:r>
      <w:r>
        <w:rPr>
          <w:rFonts w:ascii="Georgia" w:hAnsi="Georgia"/>
          <w:color w:val="231F20"/>
          <w:spacing w:val="2"/>
        </w:rPr>
        <w:t>que emplea Reyes para </w:t>
      </w:r>
      <w:r>
        <w:rPr>
          <w:rFonts w:ascii="Georgia" w:hAnsi="Georgia"/>
          <w:color w:val="231F20"/>
          <w:spacing w:val="3"/>
        </w:rPr>
        <w:t>poner </w:t>
      </w:r>
      <w:r>
        <w:rPr>
          <w:rFonts w:ascii="Georgia" w:hAnsi="Georgia"/>
          <w:color w:val="231F20"/>
        </w:rPr>
        <w:t>a </w:t>
      </w:r>
      <w:r>
        <w:rPr>
          <w:rFonts w:ascii="Georgia" w:hAnsi="Georgia"/>
          <w:color w:val="231F20"/>
          <w:spacing w:val="2"/>
        </w:rPr>
        <w:t>salvo </w:t>
      </w:r>
      <w:r>
        <w:rPr>
          <w:rFonts w:ascii="Georgia" w:hAnsi="Georgia"/>
          <w:color w:val="231F20"/>
          <w:spacing w:val="3"/>
        </w:rPr>
        <w:t>su </w:t>
      </w:r>
      <w:r>
        <w:rPr>
          <w:rFonts w:ascii="Georgia" w:hAnsi="Georgia"/>
          <w:color w:val="231F20"/>
          <w:spacing w:val="2"/>
          <w:w w:val="95"/>
        </w:rPr>
        <w:t>buen </w:t>
      </w:r>
      <w:r>
        <w:rPr>
          <w:rFonts w:ascii="Georgia" w:hAnsi="Georgia"/>
          <w:color w:val="231F20"/>
          <w:spacing w:val="3"/>
          <w:w w:val="95"/>
        </w:rPr>
        <w:t>nombre </w:t>
      </w:r>
      <w:r>
        <w:rPr>
          <w:rFonts w:ascii="Georgia" w:hAnsi="Georgia"/>
          <w:color w:val="231F20"/>
          <w:w w:val="95"/>
        </w:rPr>
        <w:t>y </w:t>
      </w:r>
      <w:r>
        <w:rPr>
          <w:rFonts w:ascii="Georgia" w:hAnsi="Georgia"/>
          <w:color w:val="231F20"/>
          <w:spacing w:val="2"/>
          <w:w w:val="95"/>
        </w:rPr>
        <w:t>despejar cualquier </w:t>
      </w:r>
      <w:r>
        <w:rPr>
          <w:rFonts w:ascii="Georgia" w:hAnsi="Georgia"/>
          <w:color w:val="231F20"/>
          <w:spacing w:val="3"/>
          <w:w w:val="95"/>
        </w:rPr>
        <w:t>sospecha </w:t>
      </w:r>
      <w:r>
        <w:rPr>
          <w:rFonts w:ascii="Georgia" w:hAnsi="Georgia"/>
          <w:color w:val="231F20"/>
          <w:spacing w:val="2"/>
          <w:w w:val="95"/>
        </w:rPr>
        <w:t>acerca </w:t>
      </w:r>
      <w:r>
        <w:rPr>
          <w:rFonts w:ascii="Georgia" w:hAnsi="Georgia"/>
          <w:color w:val="231F20"/>
          <w:w w:val="95"/>
        </w:rPr>
        <w:t>de su </w:t>
      </w:r>
      <w:r>
        <w:rPr>
          <w:rFonts w:ascii="Georgia" w:hAnsi="Georgia"/>
          <w:color w:val="231F20"/>
          <w:spacing w:val="2"/>
          <w:w w:val="95"/>
        </w:rPr>
        <w:t>capaci- dad</w:t>
      </w:r>
      <w:r>
        <w:rPr>
          <w:rFonts w:ascii="Georgia" w:hAnsi="Georgia"/>
          <w:color w:val="231F20"/>
          <w:spacing w:val="-16"/>
          <w:w w:val="95"/>
        </w:rPr>
        <w:t> </w:t>
      </w:r>
      <w:r>
        <w:rPr>
          <w:rFonts w:ascii="Georgia" w:hAnsi="Georgia"/>
          <w:color w:val="231F20"/>
          <w:spacing w:val="2"/>
          <w:w w:val="95"/>
        </w:rPr>
        <w:t>académica</w:t>
      </w:r>
      <w:r>
        <w:rPr>
          <w:rFonts w:ascii="Georgia" w:hAnsi="Georgia"/>
          <w:color w:val="231F20"/>
          <w:spacing w:val="-16"/>
          <w:w w:val="95"/>
        </w:rPr>
        <w:t> </w:t>
      </w:r>
      <w:r>
        <w:rPr>
          <w:rFonts w:ascii="Georgia" w:hAnsi="Georgia"/>
          <w:color w:val="231F20"/>
          <w:w w:val="95"/>
        </w:rPr>
        <w:t>y</w:t>
      </w:r>
      <w:r>
        <w:rPr>
          <w:rFonts w:ascii="Georgia" w:hAnsi="Georgia"/>
          <w:color w:val="231F20"/>
          <w:spacing w:val="-16"/>
          <w:w w:val="95"/>
        </w:rPr>
        <w:t> </w:t>
      </w:r>
      <w:r>
        <w:rPr>
          <w:rFonts w:ascii="Georgia" w:hAnsi="Georgia"/>
          <w:color w:val="231F20"/>
          <w:spacing w:val="3"/>
          <w:w w:val="95"/>
        </w:rPr>
        <w:t>personal</w:t>
      </w:r>
      <w:r>
        <w:rPr>
          <w:rFonts w:ascii="Georgia" w:hAnsi="Georgia"/>
          <w:color w:val="231F20"/>
          <w:spacing w:val="-16"/>
          <w:w w:val="95"/>
        </w:rPr>
        <w:t> </w:t>
      </w:r>
      <w:r>
        <w:rPr>
          <w:rFonts w:ascii="Georgia" w:hAnsi="Georgia"/>
          <w:color w:val="231F20"/>
          <w:spacing w:val="2"/>
          <w:w w:val="95"/>
        </w:rPr>
        <w:t>para</w:t>
      </w:r>
      <w:r>
        <w:rPr>
          <w:rFonts w:ascii="Georgia" w:hAnsi="Georgia"/>
          <w:color w:val="231F20"/>
          <w:spacing w:val="-16"/>
          <w:w w:val="95"/>
        </w:rPr>
        <w:t> </w:t>
      </w:r>
      <w:r>
        <w:rPr>
          <w:rFonts w:ascii="Georgia" w:hAnsi="Georgia"/>
          <w:color w:val="231F20"/>
          <w:spacing w:val="3"/>
          <w:w w:val="95"/>
        </w:rPr>
        <w:t>imponer</w:t>
      </w:r>
      <w:r>
        <w:rPr>
          <w:rFonts w:ascii="Georgia" w:hAnsi="Georgia"/>
          <w:color w:val="231F20"/>
          <w:spacing w:val="-16"/>
          <w:w w:val="95"/>
        </w:rPr>
        <w:t> </w:t>
      </w:r>
      <w:r>
        <w:rPr>
          <w:rFonts w:ascii="Georgia" w:hAnsi="Georgia"/>
          <w:color w:val="231F20"/>
          <w:w w:val="95"/>
        </w:rPr>
        <w:t>y</w:t>
      </w:r>
      <w:r>
        <w:rPr>
          <w:rFonts w:ascii="Georgia" w:hAnsi="Georgia"/>
          <w:color w:val="231F20"/>
          <w:spacing w:val="-16"/>
          <w:w w:val="95"/>
        </w:rPr>
        <w:t> </w:t>
      </w:r>
      <w:r>
        <w:rPr>
          <w:rFonts w:ascii="Georgia" w:hAnsi="Georgia"/>
          <w:color w:val="231F20"/>
          <w:spacing w:val="3"/>
          <w:w w:val="95"/>
        </w:rPr>
        <w:t>mantener</w:t>
      </w:r>
      <w:r>
        <w:rPr>
          <w:rFonts w:ascii="Georgia" w:hAnsi="Georgia"/>
          <w:color w:val="231F20"/>
          <w:spacing w:val="-16"/>
          <w:w w:val="95"/>
        </w:rPr>
        <w:t> </w:t>
      </w:r>
      <w:r>
        <w:rPr>
          <w:rFonts w:ascii="Georgia" w:hAnsi="Georgia"/>
          <w:color w:val="231F20"/>
          <w:w w:val="95"/>
        </w:rPr>
        <w:t>el</w:t>
      </w:r>
      <w:r>
        <w:rPr>
          <w:rFonts w:ascii="Georgia" w:hAnsi="Georgia"/>
          <w:color w:val="231F20"/>
          <w:spacing w:val="-16"/>
          <w:w w:val="95"/>
        </w:rPr>
        <w:t> </w:t>
      </w:r>
      <w:r>
        <w:rPr>
          <w:rFonts w:ascii="Georgia" w:hAnsi="Georgia"/>
          <w:color w:val="231F20"/>
          <w:spacing w:val="2"/>
          <w:w w:val="95"/>
        </w:rPr>
        <w:t>orden</w:t>
      </w:r>
      <w:r>
        <w:rPr>
          <w:rFonts w:ascii="Georgia" w:hAnsi="Georgia"/>
          <w:color w:val="231F20"/>
          <w:spacing w:val="-16"/>
          <w:w w:val="95"/>
        </w:rPr>
        <w:t> </w:t>
      </w:r>
      <w:r>
        <w:rPr>
          <w:rFonts w:ascii="Georgia" w:hAnsi="Georgia"/>
          <w:color w:val="231F20"/>
          <w:w w:val="95"/>
        </w:rPr>
        <w:t>en</w:t>
      </w:r>
      <w:r>
        <w:rPr>
          <w:rFonts w:ascii="Georgia" w:hAnsi="Georgia"/>
          <w:color w:val="231F20"/>
          <w:spacing w:val="-16"/>
          <w:w w:val="95"/>
        </w:rPr>
        <w:t> </w:t>
      </w:r>
      <w:r>
        <w:rPr>
          <w:rFonts w:ascii="Georgia" w:hAnsi="Georgia"/>
          <w:color w:val="231F20"/>
          <w:w w:val="95"/>
        </w:rPr>
        <w:t>su </w:t>
      </w:r>
      <w:r>
        <w:rPr>
          <w:rFonts w:ascii="Georgia" w:hAnsi="Georgia"/>
          <w:color w:val="231F20"/>
          <w:spacing w:val="2"/>
          <w:w w:val="95"/>
        </w:rPr>
        <w:t>clase </w:t>
      </w:r>
      <w:r>
        <w:rPr>
          <w:rFonts w:ascii="Georgia" w:hAnsi="Georgia"/>
          <w:color w:val="231F20"/>
          <w:spacing w:val="3"/>
          <w:w w:val="95"/>
        </w:rPr>
        <w:t>(AHEM, Fondo Educación, </w:t>
      </w:r>
      <w:r>
        <w:rPr>
          <w:rFonts w:ascii="Georgia" w:hAnsi="Georgia"/>
          <w:color w:val="231F20"/>
          <w:spacing w:val="2"/>
          <w:w w:val="95"/>
        </w:rPr>
        <w:t>Sección </w:t>
      </w:r>
      <w:r>
        <w:rPr>
          <w:rFonts w:ascii="Georgia" w:hAnsi="Georgia"/>
          <w:color w:val="231F20"/>
          <w:spacing w:val="3"/>
          <w:w w:val="95"/>
        </w:rPr>
        <w:t>Educación, </w:t>
      </w:r>
      <w:r>
        <w:rPr>
          <w:rFonts w:ascii="Georgia" w:hAnsi="Georgia"/>
          <w:color w:val="231F20"/>
          <w:spacing w:val="2"/>
          <w:w w:val="95"/>
        </w:rPr>
        <w:t>fechas ex- tremas </w:t>
      </w:r>
      <w:r>
        <w:rPr>
          <w:rFonts w:ascii="Georgia" w:hAnsi="Georgia"/>
          <w:color w:val="231F20"/>
          <w:spacing w:val="3"/>
          <w:w w:val="95"/>
        </w:rPr>
        <w:t>1937-1938, </w:t>
      </w:r>
      <w:r>
        <w:rPr>
          <w:rFonts w:ascii="Georgia" w:hAnsi="Georgia"/>
          <w:color w:val="231F20"/>
          <w:spacing w:val="2"/>
          <w:w w:val="95"/>
        </w:rPr>
        <w:t>Instituto Científico </w:t>
      </w:r>
      <w:r>
        <w:rPr>
          <w:rFonts w:ascii="Georgia" w:hAnsi="Georgia"/>
          <w:color w:val="231F20"/>
          <w:w w:val="95"/>
        </w:rPr>
        <w:t>y </w:t>
      </w:r>
      <w:r>
        <w:rPr>
          <w:rFonts w:ascii="Georgia" w:hAnsi="Georgia"/>
          <w:color w:val="231F20"/>
          <w:spacing w:val="3"/>
          <w:w w:val="95"/>
        </w:rPr>
        <w:t>Literario/Relativo </w:t>
      </w:r>
      <w:r>
        <w:rPr>
          <w:rFonts w:ascii="Georgia" w:hAnsi="Georgia"/>
          <w:color w:val="231F20"/>
          <w:w w:val="95"/>
        </w:rPr>
        <w:t>a la </w:t>
      </w:r>
      <w:r>
        <w:rPr>
          <w:rFonts w:ascii="Georgia" w:hAnsi="Georgia"/>
          <w:color w:val="231F20"/>
          <w:spacing w:val="2"/>
        </w:rPr>
        <w:t>huelga</w:t>
      </w:r>
      <w:r>
        <w:rPr>
          <w:rFonts w:ascii="Georgia" w:hAnsi="Georgia"/>
          <w:color w:val="231F20"/>
          <w:spacing w:val="-23"/>
        </w:rPr>
        <w:t> </w:t>
      </w:r>
      <w:r>
        <w:rPr>
          <w:rFonts w:ascii="Georgia" w:hAnsi="Georgia"/>
          <w:color w:val="231F20"/>
        </w:rPr>
        <w:t>de</w:t>
      </w:r>
      <w:r>
        <w:rPr>
          <w:rFonts w:ascii="Georgia" w:hAnsi="Georgia"/>
          <w:color w:val="231F20"/>
          <w:spacing w:val="-23"/>
        </w:rPr>
        <w:t> </w:t>
      </w:r>
      <w:r>
        <w:rPr>
          <w:rFonts w:ascii="Georgia" w:hAnsi="Georgia"/>
          <w:color w:val="231F20"/>
          <w:spacing w:val="3"/>
        </w:rPr>
        <w:t>alumnos</w:t>
      </w:r>
      <w:r>
        <w:rPr>
          <w:rFonts w:ascii="Georgia" w:hAnsi="Georgia"/>
          <w:color w:val="231F20"/>
          <w:spacing w:val="-23"/>
        </w:rPr>
        <w:t> </w:t>
      </w:r>
      <w:r>
        <w:rPr>
          <w:rFonts w:ascii="Georgia" w:hAnsi="Georgia"/>
          <w:color w:val="231F20"/>
        </w:rPr>
        <w:t>del</w:t>
      </w:r>
      <w:r>
        <w:rPr>
          <w:rFonts w:ascii="Georgia" w:hAnsi="Georgia"/>
          <w:color w:val="231F20"/>
          <w:spacing w:val="-24"/>
        </w:rPr>
        <w:t> </w:t>
      </w:r>
      <w:r>
        <w:rPr>
          <w:rFonts w:ascii="Georgia" w:hAnsi="Georgia"/>
          <w:color w:val="231F20"/>
          <w:spacing w:val="2"/>
        </w:rPr>
        <w:t>Plantel,</w:t>
      </w:r>
      <w:r>
        <w:rPr>
          <w:rFonts w:ascii="Georgia" w:hAnsi="Georgia"/>
          <w:color w:val="231F20"/>
          <w:spacing w:val="-23"/>
        </w:rPr>
        <w:t> </w:t>
      </w:r>
      <w:r>
        <w:rPr>
          <w:rFonts w:ascii="Georgia" w:hAnsi="Georgia"/>
          <w:color w:val="231F20"/>
          <w:spacing w:val="2"/>
        </w:rPr>
        <w:t>Toluca,</w:t>
      </w:r>
      <w:r>
        <w:rPr>
          <w:rFonts w:ascii="Georgia" w:hAnsi="Georgia"/>
          <w:color w:val="231F20"/>
          <w:spacing w:val="-23"/>
        </w:rPr>
        <w:t> </w:t>
      </w:r>
      <w:r>
        <w:rPr>
          <w:rFonts w:ascii="Georgia" w:hAnsi="Georgia"/>
          <w:color w:val="231F20"/>
        </w:rPr>
        <w:t>de</w:t>
      </w:r>
      <w:r>
        <w:rPr>
          <w:rFonts w:ascii="Georgia" w:hAnsi="Georgia"/>
          <w:color w:val="231F20"/>
          <w:spacing w:val="-23"/>
        </w:rPr>
        <w:t> </w:t>
      </w:r>
      <w:r>
        <w:rPr>
          <w:rFonts w:ascii="Georgia" w:hAnsi="Georgia"/>
          <w:color w:val="231F20"/>
        </w:rPr>
        <w:t>julio</w:t>
      </w:r>
      <w:r>
        <w:rPr>
          <w:rFonts w:ascii="Georgia" w:hAnsi="Georgia"/>
          <w:color w:val="231F20"/>
          <w:spacing w:val="-23"/>
        </w:rPr>
        <w:t> </w:t>
      </w:r>
      <w:r>
        <w:rPr>
          <w:rFonts w:ascii="Georgia" w:hAnsi="Georgia"/>
          <w:color w:val="231F20"/>
        </w:rPr>
        <w:t>de</w:t>
      </w:r>
      <w:r>
        <w:rPr>
          <w:rFonts w:ascii="Georgia" w:hAnsi="Georgia"/>
          <w:color w:val="231F20"/>
          <w:spacing w:val="-23"/>
        </w:rPr>
        <w:t> </w:t>
      </w:r>
      <w:r>
        <w:rPr>
          <w:rFonts w:ascii="Georgia" w:hAnsi="Georgia"/>
          <w:color w:val="231F20"/>
          <w:spacing w:val="2"/>
        </w:rPr>
        <w:t>1938).</w:t>
      </w:r>
      <w:r>
        <w:rPr>
          <w:rFonts w:ascii="Georgia" w:hAnsi="Georgia"/>
          <w:color w:val="231F20"/>
          <w:spacing w:val="-23"/>
        </w:rPr>
        <w:t> </w:t>
      </w:r>
      <w:r>
        <w:rPr>
          <w:rFonts w:ascii="Georgia" w:hAnsi="Georgia"/>
          <w:color w:val="231F20"/>
        </w:rPr>
        <w:t>En</w:t>
      </w:r>
      <w:r>
        <w:rPr>
          <w:rFonts w:ascii="Georgia" w:hAnsi="Georgia"/>
          <w:color w:val="231F20"/>
          <w:spacing w:val="-23"/>
        </w:rPr>
        <w:t> </w:t>
      </w:r>
      <w:r>
        <w:rPr>
          <w:rFonts w:ascii="Georgia" w:hAnsi="Georgia"/>
          <w:color w:val="231F20"/>
          <w:spacing w:val="2"/>
        </w:rPr>
        <w:t>este </w:t>
      </w:r>
      <w:r>
        <w:rPr>
          <w:rFonts w:ascii="Georgia" w:hAnsi="Georgia"/>
          <w:color w:val="231F20"/>
          <w:spacing w:val="2"/>
          <w:w w:val="95"/>
        </w:rPr>
        <w:t>sentido,</w:t>
      </w:r>
      <w:r>
        <w:rPr>
          <w:rFonts w:ascii="Georgia" w:hAnsi="Georgia"/>
          <w:color w:val="231F20"/>
          <w:spacing w:val="-13"/>
          <w:w w:val="95"/>
        </w:rPr>
        <w:t> </w:t>
      </w:r>
      <w:r>
        <w:rPr>
          <w:rFonts w:ascii="Georgia" w:hAnsi="Georgia"/>
          <w:color w:val="231F20"/>
          <w:spacing w:val="2"/>
          <w:w w:val="95"/>
        </w:rPr>
        <w:t>destaca</w:t>
      </w:r>
      <w:r>
        <w:rPr>
          <w:rFonts w:ascii="Georgia" w:hAnsi="Georgia"/>
          <w:color w:val="231F20"/>
          <w:spacing w:val="-12"/>
          <w:w w:val="95"/>
        </w:rPr>
        <w:t> </w:t>
      </w:r>
      <w:r>
        <w:rPr>
          <w:rFonts w:ascii="Georgia" w:hAnsi="Georgia"/>
          <w:color w:val="231F20"/>
          <w:w w:val="95"/>
        </w:rPr>
        <w:t>la</w:t>
      </w:r>
      <w:r>
        <w:rPr>
          <w:rFonts w:ascii="Georgia" w:hAnsi="Georgia"/>
          <w:color w:val="231F20"/>
          <w:spacing w:val="-12"/>
          <w:w w:val="95"/>
        </w:rPr>
        <w:t> </w:t>
      </w:r>
      <w:r>
        <w:rPr>
          <w:rFonts w:ascii="Georgia" w:hAnsi="Georgia"/>
          <w:color w:val="231F20"/>
          <w:spacing w:val="2"/>
          <w:w w:val="95"/>
        </w:rPr>
        <w:t>autoridad</w:t>
      </w:r>
      <w:r>
        <w:rPr>
          <w:rFonts w:ascii="Georgia" w:hAnsi="Georgia"/>
          <w:color w:val="231F20"/>
          <w:spacing w:val="-12"/>
          <w:w w:val="95"/>
        </w:rPr>
        <w:t> </w:t>
      </w:r>
      <w:r>
        <w:rPr>
          <w:rFonts w:ascii="Georgia" w:hAnsi="Georgia"/>
          <w:color w:val="231F20"/>
          <w:w w:val="95"/>
        </w:rPr>
        <w:t>a</w:t>
      </w:r>
      <w:r>
        <w:rPr>
          <w:rFonts w:ascii="Georgia" w:hAnsi="Georgia"/>
          <w:color w:val="231F20"/>
          <w:spacing w:val="-12"/>
          <w:w w:val="95"/>
        </w:rPr>
        <w:t> </w:t>
      </w:r>
      <w:r>
        <w:rPr>
          <w:rFonts w:ascii="Georgia" w:hAnsi="Georgia"/>
          <w:color w:val="231F20"/>
          <w:w w:val="95"/>
        </w:rPr>
        <w:t>la</w:t>
      </w:r>
      <w:r>
        <w:rPr>
          <w:rFonts w:ascii="Georgia" w:hAnsi="Georgia"/>
          <w:color w:val="231F20"/>
          <w:spacing w:val="-12"/>
          <w:w w:val="95"/>
        </w:rPr>
        <w:t> </w:t>
      </w:r>
      <w:r>
        <w:rPr>
          <w:rFonts w:ascii="Georgia" w:hAnsi="Georgia"/>
          <w:color w:val="231F20"/>
          <w:w w:val="95"/>
        </w:rPr>
        <w:t>que</w:t>
      </w:r>
      <w:r>
        <w:rPr>
          <w:rFonts w:ascii="Georgia" w:hAnsi="Georgia"/>
          <w:color w:val="231F20"/>
          <w:spacing w:val="-13"/>
          <w:w w:val="95"/>
        </w:rPr>
        <w:t> </w:t>
      </w:r>
      <w:r>
        <w:rPr>
          <w:rFonts w:ascii="Georgia" w:hAnsi="Georgia"/>
          <w:color w:val="231F20"/>
          <w:w w:val="95"/>
        </w:rPr>
        <w:t>se</w:t>
      </w:r>
      <w:r>
        <w:rPr>
          <w:rFonts w:ascii="Georgia" w:hAnsi="Georgia"/>
          <w:color w:val="231F20"/>
          <w:spacing w:val="-12"/>
          <w:w w:val="95"/>
        </w:rPr>
        <w:t> </w:t>
      </w:r>
      <w:r>
        <w:rPr>
          <w:rFonts w:ascii="Georgia" w:hAnsi="Georgia"/>
          <w:color w:val="231F20"/>
          <w:spacing w:val="2"/>
          <w:w w:val="95"/>
        </w:rPr>
        <w:t>dirigía,</w:t>
      </w:r>
      <w:r>
        <w:rPr>
          <w:rFonts w:ascii="Georgia" w:hAnsi="Georgia"/>
          <w:color w:val="231F20"/>
          <w:spacing w:val="-13"/>
          <w:w w:val="95"/>
        </w:rPr>
        <w:t> </w:t>
      </w:r>
      <w:r>
        <w:rPr>
          <w:rFonts w:ascii="Georgia" w:hAnsi="Georgia"/>
          <w:color w:val="231F20"/>
          <w:w w:val="95"/>
        </w:rPr>
        <w:t>y</w:t>
      </w:r>
      <w:r>
        <w:rPr>
          <w:rFonts w:ascii="Georgia" w:hAnsi="Georgia"/>
          <w:color w:val="231F20"/>
          <w:spacing w:val="-12"/>
          <w:w w:val="95"/>
        </w:rPr>
        <w:t> </w:t>
      </w:r>
      <w:r>
        <w:rPr>
          <w:rFonts w:ascii="Georgia" w:hAnsi="Georgia"/>
          <w:color w:val="231F20"/>
          <w:spacing w:val="2"/>
          <w:w w:val="95"/>
        </w:rPr>
        <w:t>los</w:t>
      </w:r>
      <w:r>
        <w:rPr>
          <w:rFonts w:ascii="Georgia" w:hAnsi="Georgia"/>
          <w:color w:val="231F20"/>
          <w:spacing w:val="-12"/>
          <w:w w:val="95"/>
        </w:rPr>
        <w:t> </w:t>
      </w:r>
      <w:r>
        <w:rPr>
          <w:rFonts w:ascii="Georgia" w:hAnsi="Georgia"/>
          <w:color w:val="231F20"/>
          <w:spacing w:val="3"/>
          <w:w w:val="95"/>
        </w:rPr>
        <w:t>términos</w:t>
      </w:r>
      <w:r>
        <w:rPr>
          <w:rFonts w:ascii="Georgia" w:hAnsi="Georgia"/>
          <w:color w:val="231F20"/>
          <w:spacing w:val="-12"/>
          <w:w w:val="95"/>
        </w:rPr>
        <w:t> </w:t>
      </w:r>
      <w:r>
        <w:rPr>
          <w:rFonts w:ascii="Georgia" w:hAnsi="Georgia"/>
          <w:color w:val="231F20"/>
          <w:spacing w:val="2"/>
          <w:w w:val="95"/>
        </w:rPr>
        <w:t>que utiliza</w:t>
      </w:r>
      <w:r>
        <w:rPr>
          <w:rFonts w:ascii="Georgia" w:hAnsi="Georgia"/>
          <w:color w:val="231F20"/>
          <w:spacing w:val="-14"/>
          <w:w w:val="95"/>
        </w:rPr>
        <w:t> </w:t>
      </w:r>
      <w:r>
        <w:rPr>
          <w:rFonts w:ascii="Georgia" w:hAnsi="Georgia"/>
          <w:color w:val="231F20"/>
          <w:spacing w:val="2"/>
          <w:w w:val="95"/>
        </w:rPr>
        <w:t>para</w:t>
      </w:r>
      <w:r>
        <w:rPr>
          <w:rFonts w:ascii="Georgia" w:hAnsi="Georgia"/>
          <w:color w:val="231F20"/>
          <w:spacing w:val="-14"/>
          <w:w w:val="95"/>
        </w:rPr>
        <w:t> </w:t>
      </w:r>
      <w:r>
        <w:rPr>
          <w:rFonts w:ascii="Georgia" w:hAnsi="Georgia"/>
          <w:color w:val="231F20"/>
          <w:spacing w:val="2"/>
          <w:w w:val="95"/>
        </w:rPr>
        <w:t>esclarecer</w:t>
      </w:r>
      <w:r>
        <w:rPr>
          <w:rFonts w:ascii="Georgia" w:hAnsi="Georgia"/>
          <w:color w:val="231F20"/>
          <w:spacing w:val="-14"/>
          <w:w w:val="95"/>
        </w:rPr>
        <w:t> </w:t>
      </w:r>
      <w:r>
        <w:rPr>
          <w:rFonts w:ascii="Georgia" w:hAnsi="Georgia"/>
          <w:color w:val="231F20"/>
          <w:w w:val="95"/>
        </w:rPr>
        <w:t>lo</w:t>
      </w:r>
      <w:r>
        <w:rPr>
          <w:rFonts w:ascii="Georgia" w:hAnsi="Georgia"/>
          <w:color w:val="231F20"/>
          <w:spacing w:val="-14"/>
          <w:w w:val="95"/>
        </w:rPr>
        <w:t> </w:t>
      </w:r>
      <w:r>
        <w:rPr>
          <w:rFonts w:ascii="Georgia" w:hAnsi="Georgia"/>
          <w:color w:val="231F20"/>
          <w:w w:val="95"/>
        </w:rPr>
        <w:t>que</w:t>
      </w:r>
      <w:r>
        <w:rPr>
          <w:rFonts w:ascii="Georgia" w:hAnsi="Georgia"/>
          <w:color w:val="231F20"/>
          <w:spacing w:val="-14"/>
          <w:w w:val="95"/>
        </w:rPr>
        <w:t> </w:t>
      </w:r>
      <w:r>
        <w:rPr>
          <w:rFonts w:ascii="Georgia" w:hAnsi="Georgia"/>
          <w:color w:val="231F20"/>
          <w:spacing w:val="2"/>
          <w:w w:val="95"/>
        </w:rPr>
        <w:t>consideraba</w:t>
      </w:r>
      <w:r>
        <w:rPr>
          <w:rFonts w:ascii="Georgia" w:hAnsi="Georgia"/>
          <w:color w:val="231F20"/>
          <w:spacing w:val="-14"/>
          <w:w w:val="95"/>
        </w:rPr>
        <w:t> </w:t>
      </w:r>
      <w:r>
        <w:rPr>
          <w:rFonts w:ascii="Georgia" w:hAnsi="Georgia"/>
          <w:color w:val="231F20"/>
          <w:spacing w:val="2"/>
          <w:w w:val="95"/>
        </w:rPr>
        <w:t>acusaciones</w:t>
      </w:r>
      <w:r>
        <w:rPr>
          <w:rFonts w:ascii="Georgia" w:hAnsi="Georgia"/>
          <w:color w:val="231F20"/>
          <w:spacing w:val="-14"/>
          <w:w w:val="95"/>
        </w:rPr>
        <w:t> </w:t>
      </w:r>
      <w:r>
        <w:rPr>
          <w:rFonts w:ascii="Georgia" w:hAnsi="Georgia"/>
          <w:color w:val="231F20"/>
          <w:spacing w:val="3"/>
          <w:w w:val="95"/>
        </w:rPr>
        <w:t>infundadas </w:t>
      </w:r>
      <w:r>
        <w:rPr>
          <w:rFonts w:ascii="Georgia" w:hAnsi="Georgia"/>
          <w:color w:val="231F20"/>
          <w:spacing w:val="2"/>
          <w:w w:val="95"/>
        </w:rPr>
        <w:t>sobre </w:t>
      </w:r>
      <w:r>
        <w:rPr>
          <w:rFonts w:ascii="Georgia" w:hAnsi="Georgia"/>
          <w:color w:val="231F20"/>
          <w:w w:val="95"/>
        </w:rPr>
        <w:t>su </w:t>
      </w:r>
      <w:r>
        <w:rPr>
          <w:rFonts w:ascii="Georgia" w:hAnsi="Georgia"/>
          <w:color w:val="231F20"/>
          <w:spacing w:val="2"/>
          <w:w w:val="95"/>
        </w:rPr>
        <w:t>talento </w:t>
      </w:r>
      <w:r>
        <w:rPr>
          <w:rFonts w:ascii="Georgia" w:hAnsi="Georgia"/>
          <w:color w:val="231F20"/>
          <w:w w:val="95"/>
        </w:rPr>
        <w:t>y sus </w:t>
      </w:r>
      <w:r>
        <w:rPr>
          <w:rFonts w:ascii="Georgia" w:hAnsi="Georgia"/>
          <w:color w:val="231F20"/>
          <w:spacing w:val="2"/>
          <w:w w:val="95"/>
        </w:rPr>
        <w:t>cualidades académicas, </w:t>
      </w:r>
      <w:r>
        <w:rPr>
          <w:rFonts w:ascii="Georgia" w:hAnsi="Georgia"/>
          <w:color w:val="231F20"/>
          <w:w w:val="95"/>
        </w:rPr>
        <w:t>el </w:t>
      </w:r>
      <w:r>
        <w:rPr>
          <w:rFonts w:ascii="Georgia" w:hAnsi="Georgia"/>
          <w:color w:val="231F20"/>
          <w:spacing w:val="2"/>
          <w:w w:val="95"/>
        </w:rPr>
        <w:t>director </w:t>
      </w:r>
      <w:r>
        <w:rPr>
          <w:rFonts w:ascii="Georgia" w:hAnsi="Georgia"/>
          <w:color w:val="231F20"/>
          <w:w w:val="95"/>
        </w:rPr>
        <w:t>de </w:t>
      </w:r>
      <w:r>
        <w:rPr>
          <w:rFonts w:ascii="Georgia" w:hAnsi="Georgia"/>
          <w:color w:val="231F20"/>
          <w:spacing w:val="3"/>
          <w:w w:val="95"/>
        </w:rPr>
        <w:t>Edu- </w:t>
      </w:r>
      <w:r>
        <w:rPr>
          <w:rFonts w:ascii="Georgia" w:hAnsi="Georgia"/>
          <w:color w:val="231F20"/>
          <w:spacing w:val="2"/>
        </w:rPr>
        <w:t>cación</w:t>
      </w:r>
      <w:r>
        <w:rPr>
          <w:rFonts w:ascii="Georgia" w:hAnsi="Georgia"/>
          <w:color w:val="231F20"/>
          <w:spacing w:val="-8"/>
        </w:rPr>
        <w:t> </w:t>
      </w:r>
      <w:r>
        <w:rPr>
          <w:rFonts w:ascii="Georgia" w:hAnsi="Georgia"/>
          <w:color w:val="231F20"/>
          <w:spacing w:val="2"/>
        </w:rPr>
        <w:t>Pública</w:t>
      </w:r>
      <w:r>
        <w:rPr>
          <w:rFonts w:ascii="Georgia" w:hAnsi="Georgia"/>
          <w:color w:val="231F20"/>
          <w:spacing w:val="-9"/>
        </w:rPr>
        <w:t> </w:t>
      </w:r>
      <w:r>
        <w:rPr>
          <w:rFonts w:ascii="Georgia" w:hAnsi="Georgia"/>
          <w:color w:val="231F20"/>
        </w:rPr>
        <w:t>en</w:t>
      </w:r>
      <w:r>
        <w:rPr>
          <w:rFonts w:ascii="Georgia" w:hAnsi="Georgia"/>
          <w:color w:val="231F20"/>
          <w:spacing w:val="-8"/>
        </w:rPr>
        <w:t> </w:t>
      </w:r>
      <w:r>
        <w:rPr>
          <w:rFonts w:ascii="Georgia" w:hAnsi="Georgia"/>
          <w:color w:val="231F20"/>
        </w:rPr>
        <w:t>el</w:t>
      </w:r>
      <w:r>
        <w:rPr>
          <w:rFonts w:ascii="Georgia" w:hAnsi="Georgia"/>
          <w:color w:val="231F20"/>
          <w:spacing w:val="-9"/>
        </w:rPr>
        <w:t> </w:t>
      </w:r>
      <w:r>
        <w:rPr>
          <w:rFonts w:ascii="Georgia" w:hAnsi="Georgia"/>
          <w:color w:val="231F20"/>
          <w:spacing w:val="2"/>
        </w:rPr>
        <w:t>Estado</w:t>
      </w:r>
      <w:r>
        <w:rPr>
          <w:rFonts w:ascii="Georgia" w:hAnsi="Georgia"/>
          <w:color w:val="231F20"/>
          <w:spacing w:val="-8"/>
        </w:rPr>
        <w:t> </w:t>
      </w:r>
      <w:r>
        <w:rPr>
          <w:rFonts w:ascii="Georgia" w:hAnsi="Georgia"/>
          <w:color w:val="231F20"/>
        </w:rPr>
        <w:t>de</w:t>
      </w:r>
      <w:r>
        <w:rPr>
          <w:rFonts w:ascii="Georgia" w:hAnsi="Georgia"/>
          <w:color w:val="231F20"/>
          <w:spacing w:val="-9"/>
        </w:rPr>
        <w:t> </w:t>
      </w:r>
      <w:r>
        <w:rPr>
          <w:rFonts w:ascii="Georgia" w:hAnsi="Georgia"/>
          <w:color w:val="231F20"/>
          <w:spacing w:val="2"/>
        </w:rPr>
        <w:t>México,</w:t>
      </w:r>
      <w:r>
        <w:rPr>
          <w:rFonts w:ascii="Georgia" w:hAnsi="Georgia"/>
          <w:color w:val="231F20"/>
          <w:spacing w:val="-9"/>
        </w:rPr>
        <w:t> </w:t>
      </w:r>
      <w:r>
        <w:rPr>
          <w:rFonts w:ascii="Georgia" w:hAnsi="Georgia"/>
          <w:color w:val="231F20"/>
        </w:rPr>
        <w:t>sin</w:t>
      </w:r>
      <w:r>
        <w:rPr>
          <w:rFonts w:ascii="Georgia" w:hAnsi="Georgia"/>
          <w:color w:val="231F20"/>
          <w:spacing w:val="-8"/>
        </w:rPr>
        <w:t> </w:t>
      </w:r>
      <w:r>
        <w:rPr>
          <w:rFonts w:ascii="Georgia" w:hAnsi="Georgia"/>
          <w:color w:val="231F20"/>
          <w:spacing w:val="3"/>
        </w:rPr>
        <w:t>duda,</w:t>
      </w:r>
      <w:r>
        <w:rPr>
          <w:rFonts w:ascii="Georgia" w:hAnsi="Georgia"/>
          <w:color w:val="231F20"/>
          <w:spacing w:val="-9"/>
        </w:rPr>
        <w:t> </w:t>
      </w:r>
      <w:r>
        <w:rPr>
          <w:rFonts w:ascii="Georgia" w:hAnsi="Georgia"/>
          <w:color w:val="231F20"/>
        </w:rPr>
        <w:t>no</w:t>
      </w:r>
      <w:r>
        <w:rPr>
          <w:rFonts w:ascii="Georgia" w:hAnsi="Georgia"/>
          <w:color w:val="231F20"/>
          <w:spacing w:val="-8"/>
        </w:rPr>
        <w:t> </w:t>
      </w:r>
      <w:r>
        <w:rPr>
          <w:rFonts w:ascii="Georgia" w:hAnsi="Georgia"/>
          <w:color w:val="231F20"/>
          <w:spacing w:val="2"/>
        </w:rPr>
        <w:t>tenía</w:t>
      </w:r>
      <w:r>
        <w:rPr>
          <w:rFonts w:ascii="Georgia" w:hAnsi="Georgia"/>
          <w:color w:val="231F20"/>
          <w:spacing w:val="-9"/>
        </w:rPr>
        <w:t> </w:t>
      </w:r>
      <w:r>
        <w:rPr>
          <w:rFonts w:ascii="Georgia" w:hAnsi="Georgia"/>
          <w:color w:val="231F20"/>
          <w:spacing w:val="2"/>
        </w:rPr>
        <w:t>nada fuera</w:t>
      </w:r>
      <w:r>
        <w:rPr>
          <w:rFonts w:ascii="Georgia" w:hAnsi="Georgia"/>
          <w:color w:val="231F20"/>
          <w:spacing w:val="-21"/>
        </w:rPr>
        <w:t> </w:t>
      </w:r>
      <w:r>
        <w:rPr>
          <w:rFonts w:ascii="Georgia" w:hAnsi="Georgia"/>
          <w:color w:val="231F20"/>
        </w:rPr>
        <w:t>de</w:t>
      </w:r>
      <w:r>
        <w:rPr>
          <w:rFonts w:ascii="Georgia" w:hAnsi="Georgia"/>
          <w:color w:val="231F20"/>
          <w:spacing w:val="-21"/>
        </w:rPr>
        <w:t> </w:t>
      </w:r>
      <w:r>
        <w:rPr>
          <w:rFonts w:ascii="Georgia" w:hAnsi="Georgia"/>
          <w:color w:val="231F20"/>
        </w:rPr>
        <w:t>lo</w:t>
      </w:r>
      <w:r>
        <w:rPr>
          <w:rFonts w:ascii="Georgia" w:hAnsi="Georgia"/>
          <w:color w:val="231F20"/>
          <w:spacing w:val="-21"/>
        </w:rPr>
        <w:t> </w:t>
      </w:r>
      <w:r>
        <w:rPr>
          <w:rFonts w:ascii="Georgia" w:hAnsi="Georgia"/>
          <w:color w:val="231F20"/>
          <w:spacing w:val="3"/>
        </w:rPr>
        <w:t>común.</w:t>
      </w:r>
      <w:r>
        <w:rPr>
          <w:rFonts w:ascii="Georgia" w:hAnsi="Georgia"/>
          <w:color w:val="231F20"/>
          <w:spacing w:val="-21"/>
        </w:rPr>
        <w:t> </w:t>
      </w:r>
      <w:r>
        <w:rPr>
          <w:rFonts w:ascii="Georgia" w:hAnsi="Georgia"/>
          <w:color w:val="231F20"/>
        </w:rPr>
        <w:t>Lo</w:t>
      </w:r>
      <w:r>
        <w:rPr>
          <w:rFonts w:ascii="Georgia" w:hAnsi="Georgia"/>
          <w:color w:val="231F20"/>
          <w:spacing w:val="-21"/>
        </w:rPr>
        <w:t> </w:t>
      </w:r>
      <w:r>
        <w:rPr>
          <w:rFonts w:ascii="Georgia" w:hAnsi="Georgia"/>
          <w:color w:val="231F20"/>
        </w:rPr>
        <w:t>que</w:t>
      </w:r>
      <w:r>
        <w:rPr>
          <w:rFonts w:ascii="Georgia" w:hAnsi="Georgia"/>
          <w:color w:val="231F20"/>
          <w:spacing w:val="-21"/>
        </w:rPr>
        <w:t> </w:t>
      </w:r>
      <w:r>
        <w:rPr>
          <w:rFonts w:ascii="Georgia" w:hAnsi="Georgia"/>
          <w:color w:val="231F20"/>
        </w:rPr>
        <w:t>sí</w:t>
      </w:r>
      <w:r>
        <w:rPr>
          <w:rFonts w:ascii="Georgia" w:hAnsi="Georgia"/>
          <w:color w:val="231F20"/>
          <w:spacing w:val="-21"/>
        </w:rPr>
        <w:t> </w:t>
      </w:r>
      <w:r>
        <w:rPr>
          <w:rFonts w:ascii="Georgia" w:hAnsi="Georgia"/>
          <w:color w:val="231F20"/>
        </w:rPr>
        <w:t>lo</w:t>
      </w:r>
      <w:r>
        <w:rPr>
          <w:rFonts w:ascii="Georgia" w:hAnsi="Georgia"/>
          <w:color w:val="231F20"/>
          <w:spacing w:val="-21"/>
        </w:rPr>
        <w:t> </w:t>
      </w:r>
      <w:r>
        <w:rPr>
          <w:rFonts w:ascii="Georgia" w:hAnsi="Georgia"/>
          <w:color w:val="231F20"/>
        </w:rPr>
        <w:t>era</w:t>
      </w:r>
      <w:r>
        <w:rPr>
          <w:rFonts w:ascii="Georgia" w:hAnsi="Georgia"/>
          <w:color w:val="231F20"/>
          <w:spacing w:val="-21"/>
        </w:rPr>
        <w:t> </w:t>
      </w:r>
      <w:r>
        <w:rPr>
          <w:rFonts w:ascii="Georgia" w:hAnsi="Georgia"/>
          <w:color w:val="231F20"/>
        </w:rPr>
        <w:t>es</w:t>
      </w:r>
      <w:r>
        <w:rPr>
          <w:rFonts w:ascii="Georgia" w:hAnsi="Georgia"/>
          <w:color w:val="231F20"/>
          <w:spacing w:val="-21"/>
        </w:rPr>
        <w:t> </w:t>
      </w:r>
      <w:r>
        <w:rPr>
          <w:rFonts w:ascii="Georgia" w:hAnsi="Georgia"/>
          <w:color w:val="231F20"/>
        </w:rPr>
        <w:t>que</w:t>
      </w:r>
      <w:r>
        <w:rPr>
          <w:rFonts w:ascii="Georgia" w:hAnsi="Georgia"/>
          <w:color w:val="231F20"/>
          <w:spacing w:val="-21"/>
        </w:rPr>
        <w:t> </w:t>
      </w:r>
      <w:r>
        <w:rPr>
          <w:rFonts w:ascii="Georgia" w:hAnsi="Georgia"/>
          <w:color w:val="231F20"/>
          <w:spacing w:val="2"/>
        </w:rPr>
        <w:t>señalara</w:t>
      </w:r>
      <w:r>
        <w:rPr>
          <w:rFonts w:ascii="Georgia" w:hAnsi="Georgia"/>
          <w:color w:val="231F20"/>
          <w:spacing w:val="-21"/>
        </w:rPr>
        <w:t> </w:t>
      </w:r>
      <w:r>
        <w:rPr>
          <w:rFonts w:ascii="Georgia" w:hAnsi="Georgia"/>
          <w:color w:val="231F20"/>
        </w:rPr>
        <w:t>que</w:t>
      </w:r>
      <w:r>
        <w:rPr>
          <w:rFonts w:ascii="Georgia" w:hAnsi="Georgia"/>
          <w:color w:val="231F20"/>
          <w:spacing w:val="-21"/>
        </w:rPr>
        <w:t> </w:t>
      </w:r>
      <w:r>
        <w:rPr>
          <w:rFonts w:ascii="Georgia" w:hAnsi="Georgia"/>
          <w:color w:val="231F20"/>
        </w:rPr>
        <w:t>un</w:t>
      </w:r>
      <w:r>
        <w:rPr>
          <w:rFonts w:ascii="Georgia" w:hAnsi="Georgia"/>
          <w:color w:val="231F20"/>
          <w:spacing w:val="-21"/>
        </w:rPr>
        <w:t> </w:t>
      </w:r>
      <w:r>
        <w:rPr>
          <w:rFonts w:ascii="Georgia" w:hAnsi="Georgia"/>
          <w:color w:val="231F20"/>
          <w:spacing w:val="2"/>
        </w:rPr>
        <w:t>escrito </w:t>
      </w:r>
      <w:r>
        <w:rPr>
          <w:rFonts w:ascii="Georgia" w:hAnsi="Georgia"/>
          <w:color w:val="231F20"/>
          <w:w w:val="95"/>
        </w:rPr>
        <w:t>afín</w:t>
      </w:r>
      <w:r>
        <w:rPr>
          <w:rFonts w:ascii="Georgia" w:hAnsi="Georgia"/>
          <w:color w:val="231F20"/>
          <w:spacing w:val="-10"/>
          <w:w w:val="95"/>
        </w:rPr>
        <w:t> </w:t>
      </w:r>
      <w:r>
        <w:rPr>
          <w:rFonts w:ascii="Georgia" w:hAnsi="Georgia"/>
          <w:color w:val="231F20"/>
          <w:spacing w:val="2"/>
          <w:w w:val="95"/>
        </w:rPr>
        <w:t>análogo</w:t>
      </w:r>
      <w:r>
        <w:rPr>
          <w:rFonts w:ascii="Georgia" w:hAnsi="Georgia"/>
          <w:color w:val="231F20"/>
          <w:spacing w:val="-10"/>
          <w:w w:val="95"/>
        </w:rPr>
        <w:t> </w:t>
      </w:r>
      <w:r>
        <w:rPr>
          <w:rFonts w:ascii="Georgia" w:hAnsi="Georgia"/>
          <w:color w:val="231F20"/>
          <w:spacing w:val="2"/>
          <w:w w:val="95"/>
        </w:rPr>
        <w:t>hubiese</w:t>
      </w:r>
      <w:r>
        <w:rPr>
          <w:rFonts w:ascii="Georgia" w:hAnsi="Georgia"/>
          <w:color w:val="231F20"/>
          <w:spacing w:val="-11"/>
          <w:w w:val="95"/>
        </w:rPr>
        <w:t> </w:t>
      </w:r>
      <w:r>
        <w:rPr>
          <w:rFonts w:ascii="Georgia" w:hAnsi="Georgia"/>
          <w:color w:val="231F20"/>
          <w:spacing w:val="2"/>
          <w:w w:val="95"/>
        </w:rPr>
        <w:t>sido</w:t>
      </w:r>
      <w:r>
        <w:rPr>
          <w:rFonts w:ascii="Georgia" w:hAnsi="Georgia"/>
          <w:color w:val="231F20"/>
          <w:spacing w:val="-10"/>
          <w:w w:val="95"/>
        </w:rPr>
        <w:t> </w:t>
      </w:r>
      <w:r>
        <w:rPr>
          <w:rFonts w:ascii="Georgia" w:hAnsi="Georgia"/>
          <w:color w:val="231F20"/>
          <w:spacing w:val="2"/>
          <w:w w:val="95"/>
        </w:rPr>
        <w:t>entregado</w:t>
      </w:r>
      <w:r>
        <w:rPr>
          <w:rFonts w:ascii="Georgia" w:hAnsi="Georgia"/>
          <w:color w:val="231F20"/>
          <w:spacing w:val="-10"/>
          <w:w w:val="95"/>
        </w:rPr>
        <w:t> </w:t>
      </w:r>
      <w:r>
        <w:rPr>
          <w:rFonts w:ascii="Georgia" w:hAnsi="Georgia"/>
          <w:color w:val="231F20"/>
          <w:w w:val="95"/>
        </w:rPr>
        <w:t>a</w:t>
      </w:r>
      <w:r>
        <w:rPr>
          <w:rFonts w:ascii="Georgia" w:hAnsi="Georgia"/>
          <w:color w:val="231F20"/>
          <w:spacing w:val="-11"/>
          <w:w w:val="95"/>
        </w:rPr>
        <w:t> </w:t>
      </w:r>
      <w:r>
        <w:rPr>
          <w:rFonts w:ascii="Georgia" w:hAnsi="Georgia"/>
          <w:color w:val="231F20"/>
          <w:w w:val="95"/>
        </w:rPr>
        <w:t>la</w:t>
      </w:r>
      <w:r>
        <w:rPr>
          <w:rFonts w:ascii="Georgia" w:hAnsi="Georgia"/>
          <w:color w:val="231F20"/>
          <w:spacing w:val="-11"/>
          <w:w w:val="95"/>
        </w:rPr>
        <w:t> </w:t>
      </w:r>
      <w:r>
        <w:rPr>
          <w:rFonts w:ascii="Georgia" w:hAnsi="Georgia"/>
          <w:color w:val="231F20"/>
          <w:spacing w:val="2"/>
          <w:w w:val="95"/>
        </w:rPr>
        <w:t>Sociedad</w:t>
      </w:r>
      <w:r>
        <w:rPr>
          <w:rFonts w:ascii="Georgia" w:hAnsi="Georgia"/>
          <w:color w:val="231F20"/>
          <w:spacing w:val="-10"/>
          <w:w w:val="95"/>
        </w:rPr>
        <w:t> </w:t>
      </w:r>
      <w:r>
        <w:rPr>
          <w:rFonts w:ascii="Georgia" w:hAnsi="Georgia"/>
          <w:color w:val="231F20"/>
          <w:w w:val="95"/>
        </w:rPr>
        <w:t>de</w:t>
      </w:r>
      <w:r>
        <w:rPr>
          <w:rFonts w:ascii="Georgia" w:hAnsi="Georgia"/>
          <w:color w:val="231F20"/>
          <w:spacing w:val="-11"/>
          <w:w w:val="95"/>
        </w:rPr>
        <w:t> </w:t>
      </w:r>
      <w:r>
        <w:rPr>
          <w:rFonts w:ascii="Georgia" w:hAnsi="Georgia"/>
          <w:color w:val="231F20"/>
          <w:spacing w:val="3"/>
          <w:w w:val="95"/>
        </w:rPr>
        <w:t>Alumnos</w:t>
      </w:r>
      <w:r>
        <w:rPr>
          <w:rFonts w:ascii="Georgia" w:hAnsi="Georgia"/>
          <w:color w:val="231F20"/>
          <w:spacing w:val="-11"/>
          <w:w w:val="95"/>
        </w:rPr>
        <w:t> </w:t>
      </w:r>
      <w:r>
        <w:rPr>
          <w:rFonts w:ascii="Georgia" w:hAnsi="Georgia"/>
          <w:color w:val="231F20"/>
          <w:spacing w:val="2"/>
          <w:w w:val="95"/>
        </w:rPr>
        <w:t>del </w:t>
      </w:r>
      <w:r>
        <w:rPr>
          <w:rFonts w:ascii="Georgia" w:hAnsi="Georgia"/>
          <w:color w:val="231F20"/>
          <w:spacing w:val="2"/>
        </w:rPr>
        <w:t>Instituto</w:t>
      </w:r>
      <w:r>
        <w:rPr>
          <w:rFonts w:ascii="Georgia" w:hAnsi="Georgia"/>
          <w:color w:val="231F20"/>
          <w:spacing w:val="-16"/>
        </w:rPr>
        <w:t> </w:t>
      </w:r>
      <w:r>
        <w:rPr>
          <w:rFonts w:ascii="Georgia" w:hAnsi="Georgia"/>
          <w:color w:val="231F20"/>
        </w:rPr>
        <w:t>en</w:t>
      </w:r>
      <w:r>
        <w:rPr>
          <w:rFonts w:ascii="Georgia" w:hAnsi="Georgia"/>
          <w:color w:val="231F20"/>
          <w:spacing w:val="-16"/>
        </w:rPr>
        <w:t> </w:t>
      </w:r>
      <w:r>
        <w:rPr>
          <w:rFonts w:ascii="Georgia" w:hAnsi="Georgia"/>
          <w:color w:val="231F20"/>
        </w:rPr>
        <w:t>el</w:t>
      </w:r>
      <w:r>
        <w:rPr>
          <w:rFonts w:ascii="Georgia" w:hAnsi="Georgia"/>
          <w:color w:val="231F20"/>
          <w:spacing w:val="-16"/>
        </w:rPr>
        <w:t> </w:t>
      </w:r>
      <w:r>
        <w:rPr>
          <w:rFonts w:ascii="Georgia" w:hAnsi="Georgia"/>
          <w:color w:val="231F20"/>
        </w:rPr>
        <w:t>que</w:t>
      </w:r>
      <w:r>
        <w:rPr>
          <w:rFonts w:ascii="Georgia" w:hAnsi="Georgia"/>
          <w:color w:val="231F20"/>
          <w:spacing w:val="-16"/>
        </w:rPr>
        <w:t> </w:t>
      </w:r>
      <w:r>
        <w:rPr>
          <w:rFonts w:ascii="Georgia" w:hAnsi="Georgia"/>
          <w:color w:val="231F20"/>
          <w:spacing w:val="2"/>
        </w:rPr>
        <w:t>asentaba</w:t>
      </w:r>
      <w:r>
        <w:rPr>
          <w:rFonts w:ascii="Georgia" w:hAnsi="Georgia"/>
          <w:color w:val="231F20"/>
          <w:spacing w:val="-16"/>
        </w:rPr>
        <w:t> </w:t>
      </w:r>
      <w:r>
        <w:rPr>
          <w:rFonts w:ascii="Georgia" w:hAnsi="Georgia"/>
          <w:color w:val="231F20"/>
        </w:rPr>
        <w:t>que</w:t>
      </w:r>
      <w:r>
        <w:rPr>
          <w:rFonts w:ascii="Georgia" w:hAnsi="Georgia"/>
          <w:color w:val="231F20"/>
          <w:spacing w:val="-16"/>
        </w:rPr>
        <w:t> </w:t>
      </w:r>
      <w:r>
        <w:rPr>
          <w:rFonts w:ascii="Georgia" w:hAnsi="Georgia"/>
          <w:color w:val="231F20"/>
        </w:rPr>
        <w:t>se</w:t>
      </w:r>
      <w:r>
        <w:rPr>
          <w:rFonts w:ascii="Georgia" w:hAnsi="Georgia"/>
          <w:color w:val="231F20"/>
          <w:spacing w:val="-16"/>
        </w:rPr>
        <w:t> </w:t>
      </w:r>
      <w:r>
        <w:rPr>
          <w:rFonts w:ascii="Georgia" w:hAnsi="Georgia"/>
          <w:color w:val="231F20"/>
          <w:spacing w:val="2"/>
        </w:rPr>
        <w:t>había</w:t>
      </w:r>
      <w:r>
        <w:rPr>
          <w:rFonts w:ascii="Georgia" w:hAnsi="Georgia"/>
          <w:color w:val="231F20"/>
          <w:spacing w:val="-16"/>
        </w:rPr>
        <w:t> </w:t>
      </w:r>
      <w:r>
        <w:rPr>
          <w:rFonts w:ascii="Georgia" w:hAnsi="Georgia"/>
          <w:color w:val="231F20"/>
        </w:rPr>
        <w:t>visto</w:t>
      </w:r>
      <w:r>
        <w:rPr>
          <w:rFonts w:ascii="Georgia" w:hAnsi="Georgia"/>
          <w:color w:val="231F20"/>
          <w:spacing w:val="-16"/>
        </w:rPr>
        <w:t> </w:t>
      </w:r>
      <w:r>
        <w:rPr>
          <w:rFonts w:ascii="Georgia" w:hAnsi="Georgia"/>
          <w:color w:val="231F20"/>
          <w:spacing w:val="2"/>
        </w:rPr>
        <w:t>obligado</w:t>
      </w:r>
      <w:r>
        <w:rPr>
          <w:rFonts w:ascii="Georgia" w:hAnsi="Georgia"/>
          <w:color w:val="231F20"/>
          <w:spacing w:val="-16"/>
        </w:rPr>
        <w:t> </w:t>
      </w:r>
      <w:r>
        <w:rPr>
          <w:rFonts w:ascii="Georgia" w:hAnsi="Georgia"/>
          <w:color w:val="231F20"/>
        </w:rPr>
        <w:t>a</w:t>
      </w:r>
      <w:r>
        <w:rPr>
          <w:rFonts w:ascii="Georgia" w:hAnsi="Georgia"/>
          <w:color w:val="231F20"/>
          <w:spacing w:val="-16"/>
        </w:rPr>
        <w:t> </w:t>
      </w:r>
      <w:r>
        <w:rPr>
          <w:rFonts w:ascii="Georgia" w:hAnsi="Georgia"/>
          <w:color w:val="231F20"/>
          <w:spacing w:val="3"/>
        </w:rPr>
        <w:t>tomar </w:t>
      </w:r>
      <w:r>
        <w:rPr>
          <w:rFonts w:ascii="Georgia" w:hAnsi="Georgia"/>
          <w:color w:val="231F20"/>
          <w:spacing w:val="3"/>
          <w:w w:val="95"/>
        </w:rPr>
        <w:t>medidas </w:t>
      </w:r>
      <w:r>
        <w:rPr>
          <w:rFonts w:ascii="Georgia" w:hAnsi="Georgia"/>
          <w:color w:val="231F20"/>
          <w:spacing w:val="2"/>
          <w:w w:val="95"/>
        </w:rPr>
        <w:t>rigurosas para “seguir conservando </w:t>
      </w:r>
      <w:r>
        <w:rPr>
          <w:rFonts w:ascii="Georgia" w:hAnsi="Georgia"/>
          <w:color w:val="231F20"/>
          <w:w w:val="95"/>
        </w:rPr>
        <w:t>la </w:t>
      </w:r>
      <w:r>
        <w:rPr>
          <w:rFonts w:ascii="Georgia" w:hAnsi="Georgia"/>
          <w:color w:val="231F20"/>
          <w:spacing w:val="2"/>
          <w:w w:val="95"/>
        </w:rPr>
        <w:t>disciplina </w:t>
      </w:r>
      <w:r>
        <w:rPr>
          <w:rFonts w:ascii="Georgia" w:hAnsi="Georgia"/>
          <w:color w:val="231F20"/>
          <w:w w:val="95"/>
        </w:rPr>
        <w:t>de </w:t>
      </w:r>
      <w:r>
        <w:rPr>
          <w:rFonts w:ascii="Georgia" w:hAnsi="Georgia"/>
          <w:color w:val="231F20"/>
          <w:spacing w:val="2"/>
          <w:w w:val="95"/>
        </w:rPr>
        <w:t>los cursos</w:t>
      </w:r>
      <w:r>
        <w:rPr>
          <w:rFonts w:ascii="Georgia" w:hAnsi="Georgia"/>
          <w:color w:val="231F20"/>
          <w:spacing w:val="-8"/>
          <w:w w:val="95"/>
        </w:rPr>
        <w:t> </w:t>
      </w:r>
      <w:r>
        <w:rPr>
          <w:rFonts w:ascii="Georgia" w:hAnsi="Georgia"/>
          <w:color w:val="231F20"/>
          <w:w w:val="95"/>
        </w:rPr>
        <w:t>de</w:t>
      </w:r>
      <w:r>
        <w:rPr>
          <w:rFonts w:ascii="Georgia" w:hAnsi="Georgia"/>
          <w:color w:val="231F20"/>
          <w:spacing w:val="-7"/>
          <w:w w:val="95"/>
        </w:rPr>
        <w:t> </w:t>
      </w:r>
      <w:r>
        <w:rPr>
          <w:rFonts w:ascii="Georgia" w:hAnsi="Georgia"/>
          <w:color w:val="231F20"/>
          <w:spacing w:val="2"/>
          <w:w w:val="95"/>
        </w:rPr>
        <w:t>Geografía,</w:t>
      </w:r>
      <w:r>
        <w:rPr>
          <w:rFonts w:ascii="Georgia" w:hAnsi="Georgia"/>
          <w:color w:val="231F20"/>
          <w:spacing w:val="-8"/>
          <w:w w:val="95"/>
        </w:rPr>
        <w:t> </w:t>
      </w:r>
      <w:r>
        <w:rPr>
          <w:rFonts w:ascii="Georgia" w:hAnsi="Georgia"/>
          <w:color w:val="231F20"/>
          <w:w w:val="95"/>
        </w:rPr>
        <w:t>que</w:t>
      </w:r>
      <w:r>
        <w:rPr>
          <w:rFonts w:ascii="Georgia" w:hAnsi="Georgia"/>
          <w:color w:val="231F20"/>
          <w:spacing w:val="-8"/>
          <w:w w:val="95"/>
        </w:rPr>
        <w:t> </w:t>
      </w:r>
      <w:r>
        <w:rPr>
          <w:rFonts w:ascii="Georgia" w:hAnsi="Georgia"/>
          <w:color w:val="231F20"/>
          <w:spacing w:val="2"/>
          <w:w w:val="95"/>
        </w:rPr>
        <w:t>son</w:t>
      </w:r>
      <w:r>
        <w:rPr>
          <w:rFonts w:ascii="Georgia" w:hAnsi="Georgia"/>
          <w:color w:val="231F20"/>
          <w:spacing w:val="-7"/>
          <w:w w:val="95"/>
        </w:rPr>
        <w:t> </w:t>
      </w:r>
      <w:r>
        <w:rPr>
          <w:rFonts w:ascii="Georgia" w:hAnsi="Georgia"/>
          <w:color w:val="231F20"/>
          <w:w w:val="95"/>
        </w:rPr>
        <w:t>a</w:t>
      </w:r>
      <w:r>
        <w:rPr>
          <w:rFonts w:ascii="Georgia" w:hAnsi="Georgia"/>
          <w:color w:val="231F20"/>
          <w:spacing w:val="-7"/>
          <w:w w:val="95"/>
        </w:rPr>
        <w:t> </w:t>
      </w:r>
      <w:r>
        <w:rPr>
          <w:rFonts w:ascii="Georgia" w:hAnsi="Georgia"/>
          <w:color w:val="231F20"/>
          <w:spacing w:val="2"/>
          <w:w w:val="95"/>
        </w:rPr>
        <w:t>mi</w:t>
      </w:r>
      <w:r>
        <w:rPr>
          <w:rFonts w:ascii="Georgia" w:hAnsi="Georgia"/>
          <w:color w:val="231F20"/>
          <w:spacing w:val="-8"/>
          <w:w w:val="95"/>
        </w:rPr>
        <w:t> </w:t>
      </w:r>
      <w:r>
        <w:rPr>
          <w:rFonts w:ascii="Georgia" w:hAnsi="Georgia"/>
          <w:color w:val="231F20"/>
          <w:spacing w:val="3"/>
          <w:w w:val="95"/>
        </w:rPr>
        <w:t>cargo”.</w:t>
      </w:r>
    </w:p>
    <w:p>
      <w:pPr>
        <w:pStyle w:val="BodyText"/>
        <w:spacing w:line="252" w:lineRule="auto"/>
        <w:ind w:left="101" w:right="115" w:firstLine="284"/>
        <w:jc w:val="both"/>
        <w:rPr>
          <w:rFonts w:ascii="Georgia" w:hAnsi="Georgia"/>
        </w:rPr>
      </w:pPr>
      <w:r>
        <w:rPr>
          <w:rFonts w:ascii="Georgia" w:hAnsi="Georgia"/>
          <w:color w:val="231F20"/>
        </w:rPr>
        <w:t>Y,</w:t>
      </w:r>
      <w:r>
        <w:rPr>
          <w:rFonts w:ascii="Georgia" w:hAnsi="Georgia"/>
          <w:color w:val="231F20"/>
          <w:spacing w:val="-17"/>
        </w:rPr>
        <w:t> </w:t>
      </w:r>
      <w:r>
        <w:rPr>
          <w:rFonts w:ascii="Georgia" w:hAnsi="Georgia"/>
          <w:color w:val="231F20"/>
        </w:rPr>
        <w:t>todavía</w:t>
      </w:r>
      <w:r>
        <w:rPr>
          <w:rFonts w:ascii="Georgia" w:hAnsi="Georgia"/>
          <w:color w:val="231F20"/>
          <w:spacing w:val="-17"/>
        </w:rPr>
        <w:t> </w:t>
      </w:r>
      <w:r>
        <w:rPr>
          <w:rFonts w:ascii="Georgia" w:hAnsi="Georgia"/>
          <w:color w:val="231F20"/>
        </w:rPr>
        <w:t>más,</w:t>
      </w:r>
      <w:r>
        <w:rPr>
          <w:rFonts w:ascii="Georgia" w:hAnsi="Georgia"/>
          <w:color w:val="231F20"/>
          <w:spacing w:val="-17"/>
        </w:rPr>
        <w:t> </w:t>
      </w:r>
      <w:r>
        <w:rPr>
          <w:rFonts w:ascii="Georgia" w:hAnsi="Georgia"/>
          <w:color w:val="231F20"/>
        </w:rPr>
        <w:t>que</w:t>
      </w:r>
      <w:r>
        <w:rPr>
          <w:rFonts w:ascii="Georgia" w:hAnsi="Georgia"/>
          <w:color w:val="231F20"/>
          <w:spacing w:val="-17"/>
        </w:rPr>
        <w:t> </w:t>
      </w:r>
      <w:r>
        <w:rPr>
          <w:rFonts w:ascii="Georgia" w:hAnsi="Georgia"/>
          <w:color w:val="231F20"/>
        </w:rPr>
        <w:t>Reyes</w:t>
      </w:r>
      <w:r>
        <w:rPr>
          <w:rFonts w:ascii="Georgia" w:hAnsi="Georgia"/>
          <w:color w:val="231F20"/>
          <w:spacing w:val="-17"/>
        </w:rPr>
        <w:t> </w:t>
      </w:r>
      <w:r>
        <w:rPr>
          <w:rFonts w:ascii="Georgia" w:hAnsi="Georgia"/>
          <w:color w:val="231F20"/>
        </w:rPr>
        <w:t>expuso</w:t>
      </w:r>
      <w:r>
        <w:rPr>
          <w:rFonts w:ascii="Georgia" w:hAnsi="Georgia"/>
          <w:color w:val="231F20"/>
          <w:spacing w:val="-17"/>
        </w:rPr>
        <w:t> </w:t>
      </w:r>
      <w:r>
        <w:rPr>
          <w:rFonts w:ascii="Georgia" w:hAnsi="Georgia"/>
          <w:color w:val="231F20"/>
        </w:rPr>
        <w:t>que</w:t>
      </w:r>
      <w:r>
        <w:rPr>
          <w:rFonts w:ascii="Georgia" w:hAnsi="Georgia"/>
          <w:color w:val="231F20"/>
          <w:spacing w:val="-17"/>
        </w:rPr>
        <w:t> </w:t>
      </w:r>
      <w:r>
        <w:rPr>
          <w:rFonts w:ascii="Georgia" w:hAnsi="Georgia"/>
          <w:color w:val="231F20"/>
        </w:rPr>
        <w:t>tales</w:t>
      </w:r>
      <w:r>
        <w:rPr>
          <w:rFonts w:ascii="Georgia" w:hAnsi="Georgia"/>
          <w:color w:val="231F20"/>
          <w:spacing w:val="-17"/>
        </w:rPr>
        <w:t> </w:t>
      </w:r>
      <w:r>
        <w:rPr>
          <w:rFonts w:ascii="Georgia" w:hAnsi="Georgia"/>
          <w:color w:val="231F20"/>
        </w:rPr>
        <w:t>medidas</w:t>
      </w:r>
      <w:r>
        <w:rPr>
          <w:rFonts w:ascii="Georgia" w:hAnsi="Georgia"/>
          <w:color w:val="231F20"/>
          <w:spacing w:val="-17"/>
        </w:rPr>
        <w:t> </w:t>
      </w:r>
      <w:r>
        <w:rPr>
          <w:rFonts w:ascii="Georgia" w:hAnsi="Georgia"/>
          <w:color w:val="231F20"/>
        </w:rPr>
        <w:t>tenían</w:t>
      </w:r>
      <w:r>
        <w:rPr>
          <w:rFonts w:ascii="Georgia" w:hAnsi="Georgia"/>
          <w:color w:val="231F20"/>
          <w:spacing w:val="-17"/>
        </w:rPr>
        <w:t> </w:t>
      </w:r>
      <w:r>
        <w:rPr>
          <w:rFonts w:ascii="Georgia" w:hAnsi="Georgia"/>
          <w:color w:val="231F20"/>
        </w:rPr>
        <w:t>el </w:t>
      </w:r>
      <w:r>
        <w:rPr>
          <w:rFonts w:ascii="Georgia" w:hAnsi="Georgia"/>
          <w:color w:val="231F20"/>
          <w:w w:val="95"/>
        </w:rPr>
        <w:t>objetivo</w:t>
      </w:r>
      <w:r>
        <w:rPr>
          <w:rFonts w:ascii="Georgia" w:hAnsi="Georgia"/>
          <w:color w:val="231F20"/>
          <w:spacing w:val="-6"/>
          <w:w w:val="95"/>
        </w:rPr>
        <w:t> </w:t>
      </w:r>
      <w:r>
        <w:rPr>
          <w:rFonts w:ascii="Georgia" w:hAnsi="Georgia"/>
          <w:color w:val="231F20"/>
          <w:w w:val="95"/>
        </w:rPr>
        <w:t>de</w:t>
      </w:r>
      <w:r>
        <w:rPr>
          <w:rFonts w:ascii="Georgia" w:hAnsi="Georgia"/>
          <w:color w:val="231F20"/>
          <w:spacing w:val="-7"/>
          <w:w w:val="95"/>
        </w:rPr>
        <w:t> </w:t>
      </w:r>
      <w:r>
        <w:rPr>
          <w:rFonts w:ascii="Georgia" w:hAnsi="Georgia"/>
          <w:color w:val="231F20"/>
          <w:w w:val="95"/>
        </w:rPr>
        <w:t>defender</w:t>
      </w:r>
      <w:r>
        <w:rPr>
          <w:rFonts w:ascii="Georgia" w:hAnsi="Georgia"/>
          <w:color w:val="231F20"/>
          <w:spacing w:val="-7"/>
          <w:w w:val="95"/>
        </w:rPr>
        <w:t> </w:t>
      </w:r>
      <w:r>
        <w:rPr>
          <w:rFonts w:ascii="Georgia" w:hAnsi="Georgia"/>
          <w:color w:val="231F20"/>
          <w:w w:val="95"/>
        </w:rPr>
        <w:t>“los</w:t>
      </w:r>
      <w:r>
        <w:rPr>
          <w:rFonts w:ascii="Georgia" w:hAnsi="Georgia"/>
          <w:color w:val="231F20"/>
          <w:spacing w:val="-7"/>
          <w:w w:val="95"/>
        </w:rPr>
        <w:t> </w:t>
      </w:r>
      <w:r>
        <w:rPr>
          <w:rFonts w:ascii="Georgia" w:hAnsi="Georgia"/>
          <w:color w:val="231F20"/>
          <w:w w:val="95"/>
        </w:rPr>
        <w:t>intereses</w:t>
      </w:r>
      <w:r>
        <w:rPr>
          <w:rFonts w:ascii="Georgia" w:hAnsi="Georgia"/>
          <w:color w:val="231F20"/>
          <w:spacing w:val="-7"/>
          <w:w w:val="95"/>
        </w:rPr>
        <w:t> </w:t>
      </w:r>
      <w:r>
        <w:rPr>
          <w:rFonts w:ascii="Georgia" w:hAnsi="Georgia"/>
          <w:color w:val="231F20"/>
          <w:w w:val="95"/>
        </w:rPr>
        <w:t>de</w:t>
      </w:r>
      <w:r>
        <w:rPr>
          <w:rFonts w:ascii="Georgia" w:hAnsi="Georgia"/>
          <w:color w:val="231F20"/>
          <w:spacing w:val="-7"/>
          <w:w w:val="95"/>
        </w:rPr>
        <w:t> </w:t>
      </w:r>
      <w:r>
        <w:rPr>
          <w:rFonts w:ascii="Georgia" w:hAnsi="Georgia"/>
          <w:color w:val="231F20"/>
          <w:w w:val="95"/>
        </w:rPr>
        <w:t>los</w:t>
      </w:r>
      <w:r>
        <w:rPr>
          <w:rFonts w:ascii="Georgia" w:hAnsi="Georgia"/>
          <w:color w:val="231F20"/>
          <w:spacing w:val="-7"/>
          <w:w w:val="95"/>
        </w:rPr>
        <w:t> </w:t>
      </w:r>
      <w:r>
        <w:rPr>
          <w:rFonts w:ascii="Georgia" w:hAnsi="Georgia"/>
          <w:color w:val="231F20"/>
          <w:w w:val="95"/>
        </w:rPr>
        <w:t>alumnos”,</w:t>
      </w:r>
      <w:r>
        <w:rPr>
          <w:rFonts w:ascii="Georgia" w:hAnsi="Georgia"/>
          <w:color w:val="231F20"/>
          <w:spacing w:val="-7"/>
          <w:w w:val="95"/>
        </w:rPr>
        <w:t> </w:t>
      </w:r>
      <w:r>
        <w:rPr>
          <w:rFonts w:ascii="Georgia" w:hAnsi="Georgia"/>
          <w:color w:val="231F20"/>
          <w:w w:val="95"/>
        </w:rPr>
        <w:t>lo</w:t>
      </w:r>
      <w:r>
        <w:rPr>
          <w:rFonts w:ascii="Georgia" w:hAnsi="Georgia"/>
          <w:color w:val="231F20"/>
          <w:spacing w:val="-6"/>
          <w:w w:val="95"/>
        </w:rPr>
        <w:t> </w:t>
      </w:r>
      <w:r>
        <w:rPr>
          <w:rFonts w:ascii="Georgia" w:hAnsi="Georgia"/>
          <w:color w:val="231F20"/>
          <w:w w:val="95"/>
        </w:rPr>
        <w:t>que</w:t>
      </w:r>
      <w:r>
        <w:rPr>
          <w:rFonts w:ascii="Georgia" w:hAnsi="Georgia"/>
          <w:color w:val="231F20"/>
          <w:spacing w:val="-7"/>
          <w:w w:val="95"/>
        </w:rPr>
        <w:t> </w:t>
      </w:r>
      <w:r>
        <w:rPr>
          <w:rFonts w:ascii="Georgia" w:hAnsi="Georgia"/>
          <w:color w:val="231F20"/>
          <w:w w:val="95"/>
        </w:rPr>
        <w:t>resulta- ba</w:t>
      </w:r>
      <w:r>
        <w:rPr>
          <w:rFonts w:ascii="Georgia" w:hAnsi="Georgia"/>
          <w:color w:val="231F20"/>
          <w:spacing w:val="-23"/>
          <w:w w:val="95"/>
        </w:rPr>
        <w:t> </w:t>
      </w:r>
      <w:r>
        <w:rPr>
          <w:rFonts w:ascii="Georgia" w:hAnsi="Georgia"/>
          <w:color w:val="231F20"/>
          <w:w w:val="95"/>
        </w:rPr>
        <w:t>natural</w:t>
      </w:r>
      <w:r>
        <w:rPr>
          <w:rFonts w:ascii="Georgia" w:hAnsi="Georgia"/>
          <w:color w:val="231F20"/>
          <w:spacing w:val="-23"/>
          <w:w w:val="95"/>
        </w:rPr>
        <w:t> </w:t>
      </w:r>
      <w:r>
        <w:rPr>
          <w:rFonts w:ascii="Georgia" w:hAnsi="Georgia"/>
          <w:color w:val="231F20"/>
          <w:w w:val="95"/>
        </w:rPr>
        <w:t>si</w:t>
      </w:r>
      <w:r>
        <w:rPr>
          <w:rFonts w:ascii="Georgia" w:hAnsi="Georgia"/>
          <w:color w:val="231F20"/>
          <w:spacing w:val="-23"/>
          <w:w w:val="95"/>
        </w:rPr>
        <w:t> </w:t>
      </w:r>
      <w:r>
        <w:rPr>
          <w:rFonts w:ascii="Georgia" w:hAnsi="Georgia"/>
          <w:color w:val="231F20"/>
          <w:w w:val="95"/>
        </w:rPr>
        <w:t>se</w:t>
      </w:r>
      <w:r>
        <w:rPr>
          <w:rFonts w:ascii="Georgia" w:hAnsi="Georgia"/>
          <w:color w:val="231F20"/>
          <w:spacing w:val="-23"/>
          <w:w w:val="95"/>
        </w:rPr>
        <w:t> </w:t>
      </w:r>
      <w:r>
        <w:rPr>
          <w:rFonts w:ascii="Georgia" w:hAnsi="Georgia"/>
          <w:color w:val="231F20"/>
          <w:w w:val="95"/>
        </w:rPr>
        <w:t>entendía</w:t>
      </w:r>
      <w:r>
        <w:rPr>
          <w:rFonts w:ascii="Georgia" w:hAnsi="Georgia"/>
          <w:color w:val="231F20"/>
          <w:spacing w:val="-23"/>
          <w:w w:val="95"/>
        </w:rPr>
        <w:t> </w:t>
      </w:r>
      <w:r>
        <w:rPr>
          <w:rFonts w:ascii="Georgia" w:hAnsi="Georgia"/>
          <w:color w:val="231F20"/>
          <w:w w:val="95"/>
        </w:rPr>
        <w:t>por</w:t>
      </w:r>
      <w:r>
        <w:rPr>
          <w:rFonts w:ascii="Georgia" w:hAnsi="Georgia"/>
          <w:color w:val="231F20"/>
          <w:spacing w:val="-23"/>
          <w:w w:val="95"/>
        </w:rPr>
        <w:t> </w:t>
      </w:r>
      <w:r>
        <w:rPr>
          <w:rFonts w:ascii="Georgia" w:hAnsi="Georgia"/>
          <w:color w:val="231F20"/>
          <w:w w:val="95"/>
        </w:rPr>
        <w:t>estos,</w:t>
      </w:r>
      <w:r>
        <w:rPr>
          <w:rFonts w:ascii="Georgia" w:hAnsi="Georgia"/>
          <w:color w:val="231F20"/>
          <w:spacing w:val="-23"/>
          <w:w w:val="95"/>
        </w:rPr>
        <w:t> </w:t>
      </w:r>
      <w:r>
        <w:rPr>
          <w:rFonts w:ascii="Georgia" w:hAnsi="Georgia"/>
          <w:color w:val="231F20"/>
          <w:w w:val="95"/>
        </w:rPr>
        <w:t>la</w:t>
      </w:r>
      <w:r>
        <w:rPr>
          <w:rFonts w:ascii="Georgia" w:hAnsi="Georgia"/>
          <w:color w:val="231F20"/>
          <w:spacing w:val="-23"/>
          <w:w w:val="95"/>
        </w:rPr>
        <w:t> </w:t>
      </w:r>
      <w:r>
        <w:rPr>
          <w:rFonts w:ascii="Georgia" w:hAnsi="Georgia"/>
          <w:color w:val="231F20"/>
          <w:w w:val="95"/>
        </w:rPr>
        <w:t>calidad,</w:t>
      </w:r>
      <w:r>
        <w:rPr>
          <w:rFonts w:ascii="Georgia" w:hAnsi="Georgia"/>
          <w:color w:val="231F20"/>
          <w:spacing w:val="-23"/>
          <w:w w:val="95"/>
        </w:rPr>
        <w:t> </w:t>
      </w:r>
      <w:r>
        <w:rPr>
          <w:rFonts w:ascii="Georgia" w:hAnsi="Georgia"/>
          <w:color w:val="231F20"/>
          <w:w w:val="95"/>
        </w:rPr>
        <w:t>la</w:t>
      </w:r>
      <w:r>
        <w:rPr>
          <w:rFonts w:ascii="Georgia" w:hAnsi="Georgia"/>
          <w:color w:val="231F20"/>
          <w:spacing w:val="-23"/>
          <w:w w:val="95"/>
        </w:rPr>
        <w:t> </w:t>
      </w:r>
      <w:r>
        <w:rPr>
          <w:rFonts w:ascii="Georgia" w:hAnsi="Georgia"/>
          <w:color w:val="231F20"/>
          <w:w w:val="95"/>
        </w:rPr>
        <w:t>libertad,</w:t>
      </w:r>
      <w:r>
        <w:rPr>
          <w:rFonts w:ascii="Georgia" w:hAnsi="Georgia"/>
          <w:color w:val="231F20"/>
          <w:spacing w:val="-23"/>
          <w:w w:val="95"/>
        </w:rPr>
        <w:t> </w:t>
      </w:r>
      <w:r>
        <w:rPr>
          <w:rFonts w:ascii="Georgia" w:hAnsi="Georgia"/>
          <w:color w:val="231F20"/>
          <w:w w:val="95"/>
        </w:rPr>
        <w:t>,</w:t>
      </w:r>
      <w:r>
        <w:rPr>
          <w:rFonts w:ascii="Georgia" w:hAnsi="Georgia"/>
          <w:color w:val="231F20"/>
          <w:spacing w:val="-23"/>
          <w:w w:val="95"/>
        </w:rPr>
        <w:t> </w:t>
      </w:r>
      <w:r>
        <w:rPr>
          <w:rFonts w:ascii="Georgia" w:hAnsi="Georgia"/>
          <w:color w:val="231F20"/>
          <w:w w:val="95"/>
        </w:rPr>
        <w:t>el</w:t>
      </w:r>
      <w:r>
        <w:rPr>
          <w:rFonts w:ascii="Georgia" w:hAnsi="Georgia"/>
          <w:color w:val="231F20"/>
          <w:spacing w:val="-23"/>
          <w:w w:val="95"/>
        </w:rPr>
        <w:t> </w:t>
      </w:r>
      <w:r>
        <w:rPr>
          <w:rFonts w:ascii="Georgia" w:hAnsi="Georgia"/>
          <w:color w:val="231F20"/>
          <w:w w:val="95"/>
        </w:rPr>
        <w:t>respeto;</w:t>
      </w:r>
    </w:p>
    <w:p>
      <w:pPr>
        <w:spacing w:after="0" w:line="252" w:lineRule="auto"/>
        <w:jc w:val="both"/>
        <w:rPr>
          <w:rFonts w:ascii="Georgia" w:hAnsi="Georgia"/>
        </w:rPr>
        <w:sectPr>
          <w:headerReference w:type="default" r:id="rId302"/>
          <w:footerReference w:type="default" r:id="rId303"/>
          <w:pgSz w:w="7830" w:h="11910"/>
          <w:pgMar w:header="0" w:footer="424" w:top="500" w:bottom="620" w:left="920" w:right="900"/>
          <w:pgNumType w:start="140"/>
        </w:sectPr>
      </w:pPr>
    </w:p>
    <w:p>
      <w:pPr>
        <w:spacing w:before="48"/>
        <w:ind w:left="102" w:right="116" w:firstLine="0"/>
        <w:jc w:val="center"/>
        <w:rPr>
          <w:rFonts w:ascii="Georgia" w:hAnsi="Georgia"/>
          <w:sz w:val="13"/>
        </w:rPr>
      </w:pPr>
      <w:r>
        <w:rPr>
          <w:rFonts w:ascii="Georgia" w:hAnsi="Georgia"/>
          <w:color w:val="231F20"/>
          <w:sz w:val="16"/>
        </w:rPr>
        <w:t>E</w:t>
      </w:r>
      <w:r>
        <w:rPr>
          <w:rFonts w:ascii="Georgia" w:hAnsi="Georgia"/>
          <w:color w:val="231F20"/>
          <w:sz w:val="13"/>
        </w:rPr>
        <w:t>STUDIOS SOBRE VIOLENCIA EN LA EDUCACIÓN</w:t>
      </w:r>
    </w:p>
    <w:p>
      <w:pPr>
        <w:pStyle w:val="BodyText"/>
        <w:rPr>
          <w:rFonts w:ascii="Georgia"/>
          <w:sz w:val="16"/>
        </w:rPr>
      </w:pPr>
    </w:p>
    <w:p>
      <w:pPr>
        <w:pStyle w:val="BodyText"/>
        <w:rPr>
          <w:rFonts w:ascii="Georgia"/>
          <w:sz w:val="16"/>
        </w:rPr>
      </w:pPr>
    </w:p>
    <w:p>
      <w:pPr>
        <w:pStyle w:val="BodyText"/>
        <w:spacing w:line="252" w:lineRule="auto" w:before="100"/>
        <w:ind w:left="102" w:right="115"/>
        <w:jc w:val="both"/>
        <w:rPr>
          <w:rFonts w:ascii="Georgia" w:hAnsi="Georgia"/>
        </w:rPr>
      </w:pPr>
      <w:r>
        <w:rPr>
          <w:rFonts w:ascii="Georgia" w:hAnsi="Georgia"/>
          <w:color w:val="231F20"/>
        </w:rPr>
        <w:t>no obstante, lo más enigmático fue que Reyes sostuviera que</w:t>
      </w:r>
      <w:r>
        <w:rPr>
          <w:rFonts w:ascii="Georgia" w:hAnsi="Georgia"/>
          <w:color w:val="231F20"/>
          <w:spacing w:val="-29"/>
        </w:rPr>
        <w:t> </w:t>
      </w:r>
      <w:r>
        <w:rPr>
          <w:rFonts w:ascii="Georgia" w:hAnsi="Georgia"/>
          <w:color w:val="231F20"/>
        </w:rPr>
        <w:t>el único deseo que guiaba su conducta fuera “que todos mis</w:t>
      </w:r>
      <w:r>
        <w:rPr>
          <w:rFonts w:ascii="Georgia" w:hAnsi="Georgia"/>
          <w:color w:val="231F20"/>
          <w:spacing w:val="-27"/>
        </w:rPr>
        <w:t> </w:t>
      </w:r>
      <w:r>
        <w:rPr>
          <w:rFonts w:ascii="Georgia" w:hAnsi="Georgia"/>
          <w:color w:val="231F20"/>
        </w:rPr>
        <w:t>actos </w:t>
      </w:r>
      <w:r>
        <w:rPr>
          <w:rFonts w:ascii="Georgia" w:hAnsi="Georgia"/>
          <w:color w:val="231F20"/>
          <w:w w:val="95"/>
        </w:rPr>
        <w:t>sean</w:t>
      </w:r>
      <w:r>
        <w:rPr>
          <w:rFonts w:ascii="Georgia" w:hAnsi="Georgia"/>
          <w:color w:val="231F20"/>
          <w:spacing w:val="-7"/>
          <w:w w:val="95"/>
        </w:rPr>
        <w:t> </w:t>
      </w:r>
      <w:r>
        <w:rPr>
          <w:rFonts w:ascii="Georgia" w:hAnsi="Georgia"/>
          <w:color w:val="231F20"/>
          <w:w w:val="95"/>
        </w:rPr>
        <w:t>justificados</w:t>
      </w:r>
      <w:r>
        <w:rPr>
          <w:rFonts w:ascii="Georgia" w:hAnsi="Georgia"/>
          <w:color w:val="231F20"/>
          <w:spacing w:val="-7"/>
          <w:w w:val="95"/>
        </w:rPr>
        <w:t> </w:t>
      </w:r>
      <w:r>
        <w:rPr>
          <w:rFonts w:ascii="Georgia" w:hAnsi="Georgia"/>
          <w:color w:val="231F20"/>
          <w:w w:val="95"/>
        </w:rPr>
        <w:t>dentro</w:t>
      </w:r>
      <w:r>
        <w:rPr>
          <w:rFonts w:ascii="Georgia" w:hAnsi="Georgia"/>
          <w:color w:val="231F20"/>
          <w:spacing w:val="-7"/>
          <w:w w:val="95"/>
        </w:rPr>
        <w:t> </w:t>
      </w:r>
      <w:r>
        <w:rPr>
          <w:rFonts w:ascii="Georgia" w:hAnsi="Georgia"/>
          <w:color w:val="231F20"/>
          <w:w w:val="95"/>
        </w:rPr>
        <w:t>de</w:t>
      </w:r>
      <w:r>
        <w:rPr>
          <w:rFonts w:ascii="Georgia" w:hAnsi="Georgia"/>
          <w:color w:val="231F20"/>
          <w:spacing w:val="-7"/>
          <w:w w:val="95"/>
        </w:rPr>
        <w:t> </w:t>
      </w:r>
      <w:r>
        <w:rPr>
          <w:rFonts w:ascii="Georgia" w:hAnsi="Georgia"/>
          <w:color w:val="231F20"/>
          <w:w w:val="95"/>
        </w:rPr>
        <w:t>una</w:t>
      </w:r>
      <w:r>
        <w:rPr>
          <w:rFonts w:ascii="Georgia" w:hAnsi="Georgia"/>
          <w:color w:val="231F20"/>
          <w:spacing w:val="-7"/>
          <w:w w:val="95"/>
        </w:rPr>
        <w:t> </w:t>
      </w:r>
      <w:r>
        <w:rPr>
          <w:rFonts w:ascii="Georgia" w:hAnsi="Georgia"/>
          <w:color w:val="231F20"/>
          <w:w w:val="95"/>
        </w:rPr>
        <w:t>línea</w:t>
      </w:r>
      <w:r>
        <w:rPr>
          <w:rFonts w:ascii="Georgia" w:hAnsi="Georgia"/>
          <w:color w:val="231F20"/>
          <w:spacing w:val="-7"/>
          <w:w w:val="95"/>
        </w:rPr>
        <w:t> </w:t>
      </w:r>
      <w:r>
        <w:rPr>
          <w:rFonts w:ascii="Georgia" w:hAnsi="Georgia"/>
          <w:color w:val="231F20"/>
          <w:w w:val="95"/>
        </w:rPr>
        <w:t>de</w:t>
      </w:r>
      <w:r>
        <w:rPr>
          <w:rFonts w:ascii="Georgia" w:hAnsi="Georgia"/>
          <w:color w:val="231F20"/>
          <w:spacing w:val="-7"/>
          <w:w w:val="95"/>
        </w:rPr>
        <w:t> </w:t>
      </w:r>
      <w:r>
        <w:rPr>
          <w:rFonts w:ascii="Georgia" w:hAnsi="Georgia"/>
          <w:color w:val="231F20"/>
          <w:w w:val="95"/>
        </w:rPr>
        <w:t>justicia”</w:t>
      </w:r>
      <w:r>
        <w:rPr>
          <w:rFonts w:ascii="Georgia" w:hAnsi="Georgia"/>
          <w:color w:val="231F20"/>
          <w:spacing w:val="-7"/>
          <w:w w:val="95"/>
        </w:rPr>
        <w:t> </w:t>
      </w:r>
      <w:r>
        <w:rPr>
          <w:rFonts w:ascii="Georgia" w:hAnsi="Georgia"/>
          <w:color w:val="231F20"/>
          <w:w w:val="95"/>
        </w:rPr>
        <w:t>y,</w:t>
      </w:r>
      <w:r>
        <w:rPr>
          <w:rFonts w:ascii="Georgia" w:hAnsi="Georgia"/>
          <w:color w:val="231F20"/>
          <w:spacing w:val="-8"/>
          <w:w w:val="95"/>
        </w:rPr>
        <w:t> </w:t>
      </w:r>
      <w:r>
        <w:rPr>
          <w:rFonts w:ascii="Georgia" w:hAnsi="Georgia"/>
          <w:color w:val="231F20"/>
          <w:w w:val="95"/>
        </w:rPr>
        <w:t>sobre</w:t>
      </w:r>
      <w:r>
        <w:rPr>
          <w:rFonts w:ascii="Georgia" w:hAnsi="Georgia"/>
          <w:color w:val="231F20"/>
          <w:spacing w:val="-7"/>
          <w:w w:val="95"/>
        </w:rPr>
        <w:t> </w:t>
      </w:r>
      <w:r>
        <w:rPr>
          <w:rFonts w:ascii="Georgia" w:hAnsi="Georgia"/>
          <w:color w:val="231F20"/>
          <w:w w:val="95"/>
        </w:rPr>
        <w:t>todo,</w:t>
      </w:r>
      <w:r>
        <w:rPr>
          <w:rFonts w:ascii="Georgia" w:hAnsi="Georgia"/>
          <w:color w:val="231F20"/>
          <w:spacing w:val="-7"/>
          <w:w w:val="95"/>
        </w:rPr>
        <w:t> </w:t>
      </w:r>
      <w:r>
        <w:rPr>
          <w:rFonts w:ascii="Georgia" w:hAnsi="Georgia"/>
          <w:color w:val="231F20"/>
          <w:w w:val="95"/>
        </w:rPr>
        <w:t>que solicitara ante los “miembros de la mesa directiva (que) se sirvan </w:t>
      </w:r>
      <w:r>
        <w:rPr>
          <w:rFonts w:ascii="Georgia" w:hAnsi="Georgia"/>
          <w:color w:val="231F20"/>
        </w:rPr>
        <w:t>nombrarme personal que estimen conveniente a efecto de </w:t>
      </w:r>
      <w:r>
        <w:rPr>
          <w:rFonts w:ascii="Georgia" w:hAnsi="Georgia"/>
          <w:color w:val="231F20"/>
          <w:spacing w:val="2"/>
        </w:rPr>
        <w:t>que </w:t>
      </w:r>
      <w:r>
        <w:rPr>
          <w:rFonts w:ascii="Georgia" w:hAnsi="Georgia"/>
          <w:color w:val="231F20"/>
        </w:rPr>
        <w:t>cuando</w:t>
      </w:r>
      <w:r>
        <w:rPr>
          <w:rFonts w:ascii="Georgia" w:hAnsi="Georgia"/>
          <w:color w:val="231F20"/>
          <w:spacing w:val="-19"/>
        </w:rPr>
        <w:t> </w:t>
      </w:r>
      <w:r>
        <w:rPr>
          <w:rFonts w:ascii="Georgia" w:hAnsi="Georgia"/>
          <w:color w:val="231F20"/>
        </w:rPr>
        <w:t>me</w:t>
      </w:r>
      <w:r>
        <w:rPr>
          <w:rFonts w:ascii="Georgia" w:hAnsi="Georgia"/>
          <w:color w:val="231F20"/>
          <w:spacing w:val="-20"/>
        </w:rPr>
        <w:t> </w:t>
      </w:r>
      <w:r>
        <w:rPr>
          <w:rFonts w:ascii="Georgia" w:hAnsi="Georgia"/>
          <w:color w:val="231F20"/>
        </w:rPr>
        <w:t>vea</w:t>
      </w:r>
      <w:r>
        <w:rPr>
          <w:rFonts w:ascii="Georgia" w:hAnsi="Georgia"/>
          <w:color w:val="231F20"/>
          <w:spacing w:val="-20"/>
        </w:rPr>
        <w:t> </w:t>
      </w:r>
      <w:r>
        <w:rPr>
          <w:rFonts w:ascii="Georgia" w:hAnsi="Georgia"/>
          <w:color w:val="231F20"/>
        </w:rPr>
        <w:t>obligado</w:t>
      </w:r>
      <w:r>
        <w:rPr>
          <w:rFonts w:ascii="Georgia" w:hAnsi="Georgia"/>
          <w:color w:val="231F20"/>
          <w:spacing w:val="-19"/>
        </w:rPr>
        <w:t> </w:t>
      </w:r>
      <w:r>
        <w:rPr>
          <w:rFonts w:ascii="Georgia" w:hAnsi="Georgia"/>
          <w:color w:val="231F20"/>
        </w:rPr>
        <w:t>a</w:t>
      </w:r>
      <w:r>
        <w:rPr>
          <w:rFonts w:ascii="Georgia" w:hAnsi="Georgia"/>
          <w:color w:val="231F20"/>
          <w:spacing w:val="-20"/>
        </w:rPr>
        <w:t> </w:t>
      </w:r>
      <w:r>
        <w:rPr>
          <w:rFonts w:ascii="Georgia" w:hAnsi="Georgia"/>
          <w:color w:val="231F20"/>
        </w:rPr>
        <w:t>retirar</w:t>
      </w:r>
      <w:r>
        <w:rPr>
          <w:rFonts w:ascii="Georgia" w:hAnsi="Georgia"/>
          <w:color w:val="231F20"/>
          <w:spacing w:val="-20"/>
        </w:rPr>
        <w:t> </w:t>
      </w:r>
      <w:r>
        <w:rPr>
          <w:rFonts w:ascii="Georgia" w:hAnsi="Georgia"/>
          <w:color w:val="231F20"/>
        </w:rPr>
        <w:t>de</w:t>
      </w:r>
      <w:r>
        <w:rPr>
          <w:rFonts w:ascii="Georgia" w:hAnsi="Georgia"/>
          <w:color w:val="231F20"/>
          <w:spacing w:val="-20"/>
        </w:rPr>
        <w:t> </w:t>
      </w:r>
      <w:r>
        <w:rPr>
          <w:rFonts w:ascii="Georgia" w:hAnsi="Georgia"/>
          <w:color w:val="231F20"/>
        </w:rPr>
        <w:t>la</w:t>
      </w:r>
      <w:r>
        <w:rPr>
          <w:rFonts w:ascii="Georgia" w:hAnsi="Georgia"/>
          <w:color w:val="231F20"/>
          <w:spacing w:val="-20"/>
        </w:rPr>
        <w:t> </w:t>
      </w:r>
      <w:r>
        <w:rPr>
          <w:rFonts w:ascii="Georgia" w:hAnsi="Georgia"/>
          <w:color w:val="231F20"/>
        </w:rPr>
        <w:t>clase</w:t>
      </w:r>
      <w:r>
        <w:rPr>
          <w:rFonts w:ascii="Georgia" w:hAnsi="Georgia"/>
          <w:color w:val="231F20"/>
          <w:spacing w:val="-20"/>
        </w:rPr>
        <w:t> </w:t>
      </w:r>
      <w:r>
        <w:rPr>
          <w:rFonts w:ascii="Georgia" w:hAnsi="Georgia"/>
          <w:color w:val="231F20"/>
        </w:rPr>
        <w:t>a</w:t>
      </w:r>
      <w:r>
        <w:rPr>
          <w:rFonts w:ascii="Georgia" w:hAnsi="Georgia"/>
          <w:color w:val="231F20"/>
          <w:spacing w:val="-20"/>
        </w:rPr>
        <w:t> </w:t>
      </w:r>
      <w:r>
        <w:rPr>
          <w:rFonts w:ascii="Georgia" w:hAnsi="Georgia"/>
          <w:color w:val="231F20"/>
        </w:rPr>
        <w:t>los</w:t>
      </w:r>
      <w:r>
        <w:rPr>
          <w:rFonts w:ascii="Georgia" w:hAnsi="Georgia"/>
          <w:color w:val="231F20"/>
          <w:spacing w:val="-20"/>
        </w:rPr>
        <w:t> </w:t>
      </w:r>
      <w:r>
        <w:rPr>
          <w:rFonts w:ascii="Georgia" w:hAnsi="Georgia"/>
          <w:color w:val="231F20"/>
        </w:rPr>
        <w:t>alumnos</w:t>
      </w:r>
      <w:r>
        <w:rPr>
          <w:rFonts w:ascii="Georgia" w:hAnsi="Georgia"/>
          <w:color w:val="231F20"/>
          <w:spacing w:val="-20"/>
        </w:rPr>
        <w:t> </w:t>
      </w:r>
      <w:r>
        <w:rPr>
          <w:rFonts w:ascii="Georgia" w:hAnsi="Georgia"/>
          <w:color w:val="231F20"/>
        </w:rPr>
        <w:t>que</w:t>
      </w:r>
      <w:r>
        <w:rPr>
          <w:rFonts w:ascii="Georgia" w:hAnsi="Georgia"/>
          <w:color w:val="231F20"/>
          <w:spacing w:val="-20"/>
        </w:rPr>
        <w:t> </w:t>
      </w:r>
      <w:r>
        <w:rPr>
          <w:rFonts w:ascii="Georgia" w:hAnsi="Georgia"/>
          <w:color w:val="231F20"/>
        </w:rPr>
        <w:t>no </w:t>
      </w:r>
      <w:r>
        <w:rPr>
          <w:rFonts w:ascii="Georgia" w:hAnsi="Georgia"/>
          <w:color w:val="231F20"/>
          <w:w w:val="95"/>
        </w:rPr>
        <w:t>vayan</w:t>
      </w:r>
      <w:r>
        <w:rPr>
          <w:rFonts w:ascii="Georgia" w:hAnsi="Georgia"/>
          <w:color w:val="231F20"/>
          <w:spacing w:val="-8"/>
          <w:w w:val="95"/>
        </w:rPr>
        <w:t> </w:t>
      </w:r>
      <w:r>
        <w:rPr>
          <w:rFonts w:ascii="Georgia" w:hAnsi="Georgia"/>
          <w:color w:val="231F20"/>
          <w:w w:val="95"/>
        </w:rPr>
        <w:t>dispuestos</w:t>
      </w:r>
      <w:r>
        <w:rPr>
          <w:rFonts w:ascii="Georgia" w:hAnsi="Georgia"/>
          <w:color w:val="231F20"/>
          <w:spacing w:val="-8"/>
          <w:w w:val="95"/>
        </w:rPr>
        <w:t> </w:t>
      </w:r>
      <w:r>
        <w:rPr>
          <w:rFonts w:ascii="Georgia" w:hAnsi="Georgia"/>
          <w:color w:val="231F20"/>
          <w:w w:val="95"/>
        </w:rPr>
        <w:t>a</w:t>
      </w:r>
      <w:r>
        <w:rPr>
          <w:rFonts w:ascii="Georgia" w:hAnsi="Georgia"/>
          <w:color w:val="231F20"/>
          <w:spacing w:val="-8"/>
          <w:w w:val="95"/>
        </w:rPr>
        <w:t> </w:t>
      </w:r>
      <w:r>
        <w:rPr>
          <w:rFonts w:ascii="Georgia" w:hAnsi="Georgia"/>
          <w:color w:val="231F20"/>
          <w:w w:val="95"/>
        </w:rPr>
        <w:t>trabajar,</w:t>
      </w:r>
      <w:r>
        <w:rPr>
          <w:rFonts w:ascii="Georgia" w:hAnsi="Georgia"/>
          <w:color w:val="231F20"/>
          <w:spacing w:val="-8"/>
          <w:w w:val="95"/>
        </w:rPr>
        <w:t> </w:t>
      </w:r>
      <w:r>
        <w:rPr>
          <w:rFonts w:ascii="Georgia" w:hAnsi="Georgia"/>
          <w:color w:val="231F20"/>
          <w:w w:val="95"/>
        </w:rPr>
        <w:t>sean</w:t>
      </w:r>
      <w:r>
        <w:rPr>
          <w:rFonts w:ascii="Georgia" w:hAnsi="Georgia"/>
          <w:color w:val="231F20"/>
          <w:spacing w:val="-8"/>
          <w:w w:val="95"/>
        </w:rPr>
        <w:t> </w:t>
      </w:r>
      <w:r>
        <w:rPr>
          <w:rFonts w:ascii="Georgia" w:hAnsi="Georgia"/>
          <w:color w:val="231F20"/>
          <w:w w:val="95"/>
        </w:rPr>
        <w:t>esos</w:t>
      </w:r>
      <w:r>
        <w:rPr>
          <w:rFonts w:ascii="Georgia" w:hAnsi="Georgia"/>
          <w:color w:val="231F20"/>
          <w:spacing w:val="-8"/>
          <w:w w:val="95"/>
        </w:rPr>
        <w:t> </w:t>
      </w:r>
      <w:r>
        <w:rPr>
          <w:rFonts w:ascii="Georgia" w:hAnsi="Georgia"/>
          <w:color w:val="231F20"/>
          <w:w w:val="95"/>
        </w:rPr>
        <w:t>representantes</w:t>
      </w:r>
      <w:r>
        <w:rPr>
          <w:rFonts w:ascii="Georgia" w:hAnsi="Georgia"/>
          <w:color w:val="231F20"/>
          <w:spacing w:val="-8"/>
          <w:w w:val="95"/>
        </w:rPr>
        <w:t> </w:t>
      </w:r>
      <w:r>
        <w:rPr>
          <w:rFonts w:ascii="Georgia" w:hAnsi="Georgia"/>
          <w:color w:val="231F20"/>
          <w:w w:val="95"/>
        </w:rPr>
        <w:t>los</w:t>
      </w:r>
      <w:r>
        <w:rPr>
          <w:rFonts w:ascii="Georgia" w:hAnsi="Georgia"/>
          <w:color w:val="231F20"/>
          <w:spacing w:val="-8"/>
          <w:w w:val="95"/>
        </w:rPr>
        <w:t> </w:t>
      </w:r>
      <w:r>
        <w:rPr>
          <w:rFonts w:ascii="Georgia" w:hAnsi="Georgia"/>
          <w:color w:val="231F20"/>
          <w:w w:val="95"/>
        </w:rPr>
        <w:t>que,</w:t>
      </w:r>
      <w:r>
        <w:rPr>
          <w:rFonts w:ascii="Georgia" w:hAnsi="Georgia"/>
          <w:color w:val="231F20"/>
          <w:spacing w:val="-8"/>
          <w:w w:val="95"/>
        </w:rPr>
        <w:t> </w:t>
      </w:r>
      <w:r>
        <w:rPr>
          <w:rFonts w:ascii="Georgia" w:hAnsi="Georgia"/>
          <w:color w:val="231F20"/>
          <w:w w:val="95"/>
        </w:rPr>
        <w:t>ante </w:t>
      </w:r>
      <w:r>
        <w:rPr>
          <w:rFonts w:ascii="Georgia" w:hAnsi="Georgia"/>
          <w:color w:val="231F20"/>
        </w:rPr>
        <w:t>ustedes,</w:t>
      </w:r>
      <w:r>
        <w:rPr>
          <w:rFonts w:ascii="Georgia" w:hAnsi="Georgia"/>
          <w:color w:val="231F20"/>
          <w:spacing w:val="-15"/>
        </w:rPr>
        <w:t> </w:t>
      </w:r>
      <w:r>
        <w:rPr>
          <w:rFonts w:ascii="Georgia" w:hAnsi="Georgia"/>
          <w:color w:val="231F20"/>
        </w:rPr>
        <w:t>justifiquen</w:t>
      </w:r>
      <w:r>
        <w:rPr>
          <w:rFonts w:ascii="Georgia" w:hAnsi="Georgia"/>
          <w:color w:val="231F20"/>
          <w:spacing w:val="-14"/>
        </w:rPr>
        <w:t> </w:t>
      </w:r>
      <w:r>
        <w:rPr>
          <w:rFonts w:ascii="Georgia" w:hAnsi="Georgia"/>
          <w:color w:val="231F20"/>
        </w:rPr>
        <w:t>mis</w:t>
      </w:r>
      <w:r>
        <w:rPr>
          <w:rFonts w:ascii="Georgia" w:hAnsi="Georgia"/>
          <w:color w:val="231F20"/>
          <w:spacing w:val="-15"/>
        </w:rPr>
        <w:t> </w:t>
      </w:r>
      <w:r>
        <w:rPr>
          <w:rFonts w:ascii="Georgia" w:hAnsi="Georgia"/>
          <w:color w:val="231F20"/>
        </w:rPr>
        <w:t>actos”</w:t>
      </w:r>
      <w:r>
        <w:rPr>
          <w:rFonts w:ascii="Georgia" w:hAnsi="Georgia"/>
          <w:color w:val="231F20"/>
          <w:spacing w:val="-14"/>
        </w:rPr>
        <w:t> </w:t>
      </w:r>
      <w:r>
        <w:rPr>
          <w:rFonts w:ascii="Georgia" w:hAnsi="Georgia"/>
          <w:color w:val="231F20"/>
          <w:spacing w:val="3"/>
        </w:rPr>
        <w:t>(AHEM,</w:t>
      </w:r>
      <w:r>
        <w:rPr>
          <w:rFonts w:ascii="Georgia" w:hAnsi="Georgia"/>
          <w:color w:val="231F20"/>
          <w:spacing w:val="-13"/>
        </w:rPr>
        <w:t> </w:t>
      </w:r>
      <w:r>
        <w:rPr>
          <w:rFonts w:ascii="Georgia" w:hAnsi="Georgia"/>
          <w:color w:val="231F20"/>
          <w:spacing w:val="3"/>
        </w:rPr>
        <w:t>Fondo</w:t>
      </w:r>
      <w:r>
        <w:rPr>
          <w:rFonts w:ascii="Georgia" w:hAnsi="Georgia"/>
          <w:color w:val="231F20"/>
          <w:spacing w:val="-13"/>
        </w:rPr>
        <w:t> </w:t>
      </w:r>
      <w:r>
        <w:rPr>
          <w:rFonts w:ascii="Georgia" w:hAnsi="Georgia"/>
          <w:color w:val="231F20"/>
          <w:spacing w:val="2"/>
        </w:rPr>
        <w:t>Educación,</w:t>
      </w:r>
      <w:r>
        <w:rPr>
          <w:rFonts w:ascii="Georgia" w:hAnsi="Georgia"/>
          <w:color w:val="231F20"/>
          <w:spacing w:val="-13"/>
        </w:rPr>
        <w:t> </w:t>
      </w:r>
      <w:r>
        <w:rPr>
          <w:rFonts w:ascii="Georgia" w:hAnsi="Georgia"/>
          <w:color w:val="231F20"/>
          <w:spacing w:val="2"/>
        </w:rPr>
        <w:t>Sec- </w:t>
      </w:r>
      <w:r>
        <w:rPr>
          <w:rFonts w:ascii="Georgia" w:hAnsi="Georgia"/>
          <w:color w:val="231F20"/>
          <w:spacing w:val="2"/>
          <w:w w:val="95"/>
        </w:rPr>
        <w:t>ción</w:t>
      </w:r>
      <w:r>
        <w:rPr>
          <w:rFonts w:ascii="Georgia" w:hAnsi="Georgia"/>
          <w:color w:val="231F20"/>
          <w:spacing w:val="-12"/>
          <w:w w:val="95"/>
        </w:rPr>
        <w:t> </w:t>
      </w:r>
      <w:r>
        <w:rPr>
          <w:rFonts w:ascii="Georgia" w:hAnsi="Georgia"/>
          <w:color w:val="231F20"/>
          <w:spacing w:val="3"/>
          <w:w w:val="95"/>
        </w:rPr>
        <w:t>Educación,</w:t>
      </w:r>
      <w:r>
        <w:rPr>
          <w:rFonts w:ascii="Georgia" w:hAnsi="Georgia"/>
          <w:color w:val="231F20"/>
          <w:spacing w:val="-13"/>
          <w:w w:val="95"/>
        </w:rPr>
        <w:t> </w:t>
      </w:r>
      <w:r>
        <w:rPr>
          <w:rFonts w:ascii="Georgia" w:hAnsi="Georgia"/>
          <w:color w:val="231F20"/>
          <w:spacing w:val="2"/>
          <w:w w:val="95"/>
        </w:rPr>
        <w:t>fechas</w:t>
      </w:r>
      <w:r>
        <w:rPr>
          <w:rFonts w:ascii="Georgia" w:hAnsi="Georgia"/>
          <w:color w:val="231F20"/>
          <w:spacing w:val="-13"/>
          <w:w w:val="95"/>
        </w:rPr>
        <w:t> </w:t>
      </w:r>
      <w:r>
        <w:rPr>
          <w:rFonts w:ascii="Georgia" w:hAnsi="Georgia"/>
          <w:color w:val="231F20"/>
          <w:spacing w:val="2"/>
          <w:w w:val="95"/>
        </w:rPr>
        <w:t>extremas</w:t>
      </w:r>
      <w:r>
        <w:rPr>
          <w:rFonts w:ascii="Georgia" w:hAnsi="Georgia"/>
          <w:color w:val="231F20"/>
          <w:spacing w:val="-13"/>
          <w:w w:val="95"/>
        </w:rPr>
        <w:t> </w:t>
      </w:r>
      <w:r>
        <w:rPr>
          <w:rFonts w:ascii="Georgia" w:hAnsi="Georgia"/>
          <w:color w:val="231F20"/>
          <w:spacing w:val="2"/>
          <w:w w:val="95"/>
        </w:rPr>
        <w:t>1937-1938,</w:t>
      </w:r>
      <w:r>
        <w:rPr>
          <w:rFonts w:ascii="Georgia" w:hAnsi="Georgia"/>
          <w:color w:val="231F20"/>
          <w:spacing w:val="-13"/>
          <w:w w:val="95"/>
        </w:rPr>
        <w:t> </w:t>
      </w:r>
      <w:r>
        <w:rPr>
          <w:rFonts w:ascii="Georgia" w:hAnsi="Georgia"/>
          <w:color w:val="231F20"/>
          <w:spacing w:val="2"/>
          <w:w w:val="95"/>
        </w:rPr>
        <w:t>Instituto</w:t>
      </w:r>
      <w:r>
        <w:rPr>
          <w:rFonts w:ascii="Georgia" w:hAnsi="Georgia"/>
          <w:color w:val="231F20"/>
          <w:spacing w:val="-12"/>
          <w:w w:val="95"/>
        </w:rPr>
        <w:t> </w:t>
      </w:r>
      <w:r>
        <w:rPr>
          <w:rFonts w:ascii="Georgia" w:hAnsi="Georgia"/>
          <w:color w:val="231F20"/>
          <w:spacing w:val="2"/>
          <w:w w:val="95"/>
        </w:rPr>
        <w:t>Científico</w:t>
      </w:r>
      <w:r>
        <w:rPr>
          <w:rFonts w:ascii="Georgia" w:hAnsi="Georgia"/>
          <w:color w:val="231F20"/>
          <w:spacing w:val="-12"/>
          <w:w w:val="95"/>
        </w:rPr>
        <w:t> </w:t>
      </w:r>
      <w:r>
        <w:rPr>
          <w:rFonts w:ascii="Georgia" w:hAnsi="Georgia"/>
          <w:color w:val="231F20"/>
          <w:w w:val="95"/>
        </w:rPr>
        <w:t>y </w:t>
      </w:r>
      <w:r>
        <w:rPr>
          <w:rFonts w:ascii="Georgia" w:hAnsi="Georgia"/>
          <w:color w:val="231F20"/>
          <w:spacing w:val="2"/>
          <w:w w:val="95"/>
        </w:rPr>
        <w:t>Literario/Relativo </w:t>
      </w:r>
      <w:r>
        <w:rPr>
          <w:rFonts w:ascii="Georgia" w:hAnsi="Georgia"/>
          <w:color w:val="231F20"/>
          <w:w w:val="95"/>
        </w:rPr>
        <w:t>a la </w:t>
      </w:r>
      <w:r>
        <w:rPr>
          <w:rFonts w:ascii="Georgia" w:hAnsi="Georgia"/>
          <w:color w:val="231F20"/>
          <w:spacing w:val="2"/>
          <w:w w:val="95"/>
        </w:rPr>
        <w:t>huelga </w:t>
      </w:r>
      <w:r>
        <w:rPr>
          <w:rFonts w:ascii="Georgia" w:hAnsi="Georgia"/>
          <w:color w:val="231F20"/>
          <w:w w:val="95"/>
        </w:rPr>
        <w:t>de </w:t>
      </w:r>
      <w:r>
        <w:rPr>
          <w:rFonts w:ascii="Georgia" w:hAnsi="Georgia"/>
          <w:color w:val="231F20"/>
          <w:spacing w:val="2"/>
          <w:w w:val="95"/>
        </w:rPr>
        <w:t>alumnos del Plantel, Toluca,</w:t>
      </w:r>
      <w:r>
        <w:rPr>
          <w:rFonts w:ascii="Georgia" w:hAnsi="Georgia"/>
          <w:color w:val="231F20"/>
          <w:spacing w:val="-7"/>
          <w:w w:val="95"/>
        </w:rPr>
        <w:t> </w:t>
      </w:r>
      <w:r>
        <w:rPr>
          <w:rFonts w:ascii="Georgia" w:hAnsi="Georgia"/>
          <w:color w:val="231F20"/>
          <w:w w:val="95"/>
        </w:rPr>
        <w:t>de</w:t>
      </w:r>
    </w:p>
    <w:p>
      <w:pPr>
        <w:pStyle w:val="BodyText"/>
        <w:spacing w:line="244" w:lineRule="exact"/>
        <w:ind w:left="102"/>
        <w:jc w:val="both"/>
        <w:rPr>
          <w:rFonts w:ascii="Georgia"/>
        </w:rPr>
      </w:pPr>
      <w:r>
        <w:rPr>
          <w:rFonts w:ascii="Georgia"/>
          <w:color w:val="231F20"/>
          <w:w w:val="95"/>
        </w:rPr>
        <w:t>julio de 1938)</w:t>
      </w:r>
      <w:r>
        <w:rPr>
          <w:rFonts w:ascii="Segoe UI"/>
          <w:i/>
          <w:color w:val="231F20"/>
          <w:w w:val="95"/>
        </w:rPr>
        <w:t>. </w:t>
      </w:r>
      <w:r>
        <w:rPr>
          <w:rFonts w:ascii="Georgia"/>
          <w:color w:val="231F20"/>
          <w:w w:val="95"/>
        </w:rPr>
        <w:t>De las palabras y actos de Reyes, es posible identifi-</w:t>
      </w:r>
    </w:p>
    <w:p>
      <w:pPr>
        <w:pStyle w:val="BodyText"/>
        <w:spacing w:line="252" w:lineRule="auto" w:before="4"/>
        <w:ind w:left="102" w:right="114"/>
        <w:jc w:val="both"/>
        <w:rPr>
          <w:rFonts w:ascii="Georgia" w:hAnsi="Georgia"/>
        </w:rPr>
      </w:pPr>
      <w:r>
        <w:rPr/>
        <w:pict>
          <v:line style="position:absolute;mso-position-horizontal-relative:page;mso-position-vertical-relative:paragraph;z-index:-483640" from="269.031006pt,173.578201pt" to="272.150006pt,173.578201pt" stroked="true" strokeweight=".239pt" strokecolor="#231f20">
            <w10:wrap type="none"/>
          </v:line>
        </w:pict>
      </w:r>
      <w:r>
        <w:rPr>
          <w:rFonts w:ascii="Georgia" w:hAnsi="Georgia"/>
          <w:color w:val="231F20"/>
          <w:w w:val="95"/>
        </w:rPr>
        <w:t>car</w:t>
      </w:r>
      <w:r>
        <w:rPr>
          <w:rFonts w:ascii="Georgia" w:hAnsi="Georgia"/>
          <w:color w:val="231F20"/>
          <w:spacing w:val="-17"/>
          <w:w w:val="95"/>
        </w:rPr>
        <w:t> </w:t>
      </w:r>
      <w:r>
        <w:rPr>
          <w:rFonts w:ascii="Georgia" w:hAnsi="Georgia"/>
          <w:color w:val="231F20"/>
          <w:w w:val="95"/>
        </w:rPr>
        <w:t>varios</w:t>
      </w:r>
      <w:r>
        <w:rPr>
          <w:rFonts w:ascii="Georgia" w:hAnsi="Georgia"/>
          <w:color w:val="231F20"/>
          <w:spacing w:val="-17"/>
          <w:w w:val="95"/>
        </w:rPr>
        <w:t> </w:t>
      </w:r>
      <w:r>
        <w:rPr>
          <w:rFonts w:ascii="Georgia" w:hAnsi="Georgia"/>
          <w:color w:val="231F20"/>
          <w:w w:val="95"/>
        </w:rPr>
        <w:t>niveles</w:t>
      </w:r>
      <w:r>
        <w:rPr>
          <w:rFonts w:ascii="Georgia" w:hAnsi="Georgia"/>
          <w:color w:val="231F20"/>
          <w:spacing w:val="-17"/>
          <w:w w:val="95"/>
        </w:rPr>
        <w:t> </w:t>
      </w:r>
      <w:r>
        <w:rPr>
          <w:rFonts w:ascii="Georgia" w:hAnsi="Georgia"/>
          <w:color w:val="231F20"/>
          <w:w w:val="95"/>
        </w:rPr>
        <w:t>de</w:t>
      </w:r>
      <w:r>
        <w:rPr>
          <w:rFonts w:ascii="Georgia" w:hAnsi="Georgia"/>
          <w:color w:val="231F20"/>
          <w:spacing w:val="-17"/>
          <w:w w:val="95"/>
        </w:rPr>
        <w:t> </w:t>
      </w:r>
      <w:r>
        <w:rPr>
          <w:rFonts w:ascii="Georgia" w:hAnsi="Georgia"/>
          <w:color w:val="231F20"/>
          <w:w w:val="95"/>
        </w:rPr>
        <w:t>acciones</w:t>
      </w:r>
      <w:r>
        <w:rPr>
          <w:rFonts w:ascii="Georgia" w:hAnsi="Georgia"/>
          <w:color w:val="231F20"/>
          <w:spacing w:val="-17"/>
          <w:w w:val="95"/>
        </w:rPr>
        <w:t> </w:t>
      </w:r>
      <w:r>
        <w:rPr>
          <w:rFonts w:ascii="Georgia" w:hAnsi="Georgia"/>
          <w:color w:val="231F20"/>
          <w:w w:val="95"/>
        </w:rPr>
        <w:t>o</w:t>
      </w:r>
      <w:r>
        <w:rPr>
          <w:rFonts w:ascii="Georgia" w:hAnsi="Georgia"/>
          <w:color w:val="231F20"/>
          <w:spacing w:val="-16"/>
          <w:w w:val="95"/>
        </w:rPr>
        <w:t> </w:t>
      </w:r>
      <w:r>
        <w:rPr>
          <w:rFonts w:ascii="Georgia" w:hAnsi="Georgia"/>
          <w:color w:val="231F20"/>
          <w:w w:val="95"/>
        </w:rPr>
        <w:t>ejercicios</w:t>
      </w:r>
      <w:r>
        <w:rPr>
          <w:rFonts w:ascii="Georgia" w:hAnsi="Georgia"/>
          <w:color w:val="231F20"/>
          <w:spacing w:val="-17"/>
          <w:w w:val="95"/>
        </w:rPr>
        <w:t> </w:t>
      </w:r>
      <w:r>
        <w:rPr>
          <w:rFonts w:ascii="Georgia" w:hAnsi="Georgia"/>
          <w:color w:val="231F20"/>
          <w:w w:val="95"/>
        </w:rPr>
        <w:t>de</w:t>
      </w:r>
      <w:r>
        <w:rPr>
          <w:rFonts w:ascii="Georgia" w:hAnsi="Georgia"/>
          <w:color w:val="231F20"/>
          <w:spacing w:val="-17"/>
          <w:w w:val="95"/>
        </w:rPr>
        <w:t> </w:t>
      </w:r>
      <w:r>
        <w:rPr>
          <w:rFonts w:ascii="Georgia" w:hAnsi="Georgia"/>
          <w:color w:val="231F20"/>
          <w:w w:val="95"/>
        </w:rPr>
        <w:t>violencia</w:t>
      </w:r>
      <w:r>
        <w:rPr>
          <w:rFonts w:ascii="Georgia" w:hAnsi="Georgia"/>
          <w:color w:val="231F20"/>
          <w:spacing w:val="-17"/>
          <w:w w:val="95"/>
        </w:rPr>
        <w:t> </w:t>
      </w:r>
      <w:r>
        <w:rPr>
          <w:rFonts w:ascii="Georgia" w:hAnsi="Georgia"/>
          <w:color w:val="231F20"/>
          <w:w w:val="95"/>
        </w:rPr>
        <w:t>simbólica,</w:t>
      </w:r>
      <w:r>
        <w:rPr>
          <w:rFonts w:ascii="Georgia" w:hAnsi="Georgia"/>
          <w:color w:val="231F20"/>
          <w:spacing w:val="-17"/>
          <w:w w:val="95"/>
        </w:rPr>
        <w:t> </w:t>
      </w:r>
      <w:r>
        <w:rPr>
          <w:rFonts w:ascii="Georgia" w:hAnsi="Georgia"/>
          <w:color w:val="231F20"/>
          <w:w w:val="95"/>
        </w:rPr>
        <w:t>así como</w:t>
      </w:r>
      <w:r>
        <w:rPr>
          <w:rFonts w:ascii="Georgia" w:hAnsi="Georgia"/>
          <w:color w:val="231F20"/>
          <w:spacing w:val="-9"/>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rechazo/aceptación,</w:t>
      </w:r>
      <w:r>
        <w:rPr>
          <w:rFonts w:ascii="Georgia" w:hAnsi="Georgia"/>
          <w:color w:val="231F20"/>
          <w:spacing w:val="-11"/>
          <w:w w:val="95"/>
        </w:rPr>
        <w:t> </w:t>
      </w:r>
      <w:r>
        <w:rPr>
          <w:rFonts w:ascii="Georgia" w:hAnsi="Georgia"/>
          <w:color w:val="231F20"/>
          <w:w w:val="95"/>
        </w:rPr>
        <w:t>que</w:t>
      </w:r>
      <w:r>
        <w:rPr>
          <w:rFonts w:ascii="Georgia" w:hAnsi="Georgia"/>
          <w:color w:val="231F20"/>
          <w:spacing w:val="-10"/>
          <w:w w:val="95"/>
        </w:rPr>
        <w:t> </w:t>
      </w:r>
      <w:r>
        <w:rPr>
          <w:rFonts w:ascii="Georgia" w:hAnsi="Georgia"/>
          <w:color w:val="231F20"/>
          <w:w w:val="95"/>
        </w:rPr>
        <w:t>ponen</w:t>
      </w:r>
      <w:r>
        <w:rPr>
          <w:rFonts w:ascii="Georgia" w:hAnsi="Georgia"/>
          <w:color w:val="231F20"/>
          <w:spacing w:val="-9"/>
          <w:w w:val="95"/>
        </w:rPr>
        <w:t> </w:t>
      </w:r>
      <w:r>
        <w:rPr>
          <w:rFonts w:ascii="Georgia" w:hAnsi="Georgia"/>
          <w:color w:val="231F20"/>
          <w:w w:val="95"/>
        </w:rPr>
        <w:t>en</w:t>
      </w:r>
      <w:r>
        <w:rPr>
          <w:rFonts w:ascii="Georgia" w:hAnsi="Georgia"/>
          <w:color w:val="231F20"/>
          <w:spacing w:val="-9"/>
          <w:w w:val="95"/>
        </w:rPr>
        <w:t> </w:t>
      </w:r>
      <w:r>
        <w:rPr>
          <w:rFonts w:ascii="Georgia" w:hAnsi="Georgia"/>
          <w:color w:val="231F20"/>
          <w:w w:val="95"/>
        </w:rPr>
        <w:t>marcha</w:t>
      </w:r>
      <w:r>
        <w:rPr>
          <w:rFonts w:ascii="Georgia" w:hAnsi="Georgia"/>
          <w:color w:val="231F20"/>
          <w:spacing w:val="-10"/>
          <w:w w:val="95"/>
        </w:rPr>
        <w:t> </w:t>
      </w:r>
      <w:r>
        <w:rPr>
          <w:rFonts w:ascii="Georgia" w:hAnsi="Georgia"/>
          <w:color w:val="231F20"/>
          <w:w w:val="95"/>
        </w:rPr>
        <w:t>los</w:t>
      </w:r>
      <w:r>
        <w:rPr>
          <w:rFonts w:ascii="Georgia" w:hAnsi="Georgia"/>
          <w:color w:val="231F20"/>
          <w:spacing w:val="-10"/>
          <w:w w:val="95"/>
        </w:rPr>
        <w:t> </w:t>
      </w:r>
      <w:r>
        <w:rPr>
          <w:rFonts w:ascii="Georgia" w:hAnsi="Georgia"/>
          <w:color w:val="231F20"/>
          <w:w w:val="95"/>
        </w:rPr>
        <w:t>instrumen- tos</w:t>
      </w:r>
      <w:r>
        <w:rPr>
          <w:rFonts w:ascii="Georgia" w:hAnsi="Georgia"/>
          <w:color w:val="231F20"/>
          <w:spacing w:val="-16"/>
          <w:w w:val="95"/>
        </w:rPr>
        <w:t> </w:t>
      </w:r>
      <w:r>
        <w:rPr>
          <w:rFonts w:ascii="Georgia" w:hAnsi="Georgia"/>
          <w:color w:val="231F20"/>
          <w:w w:val="95"/>
        </w:rPr>
        <w:t>para</w:t>
      </w:r>
      <w:r>
        <w:rPr>
          <w:rFonts w:ascii="Georgia" w:hAnsi="Georgia"/>
          <w:color w:val="231F20"/>
          <w:spacing w:val="-16"/>
          <w:w w:val="95"/>
        </w:rPr>
        <w:t> </w:t>
      </w:r>
      <w:r>
        <w:rPr>
          <w:rFonts w:ascii="Georgia" w:hAnsi="Georgia"/>
          <w:color w:val="231F20"/>
          <w:w w:val="95"/>
        </w:rPr>
        <w:t>asegurar</w:t>
      </w:r>
      <w:r>
        <w:rPr>
          <w:rFonts w:ascii="Georgia" w:hAnsi="Georgia"/>
          <w:color w:val="231F20"/>
          <w:spacing w:val="-16"/>
          <w:w w:val="95"/>
        </w:rPr>
        <w:t> </w:t>
      </w:r>
      <w:r>
        <w:rPr>
          <w:rFonts w:ascii="Georgia" w:hAnsi="Georgia"/>
          <w:color w:val="231F20"/>
          <w:w w:val="95"/>
        </w:rPr>
        <w:t>la</w:t>
      </w:r>
      <w:r>
        <w:rPr>
          <w:rFonts w:ascii="Georgia" w:hAnsi="Georgia"/>
          <w:color w:val="231F20"/>
          <w:spacing w:val="-16"/>
          <w:w w:val="95"/>
        </w:rPr>
        <w:t> </w:t>
      </w:r>
      <w:r>
        <w:rPr>
          <w:rFonts w:ascii="Georgia" w:hAnsi="Georgia"/>
          <w:color w:val="231F20"/>
          <w:w w:val="95"/>
        </w:rPr>
        <w:t>legalidad</w:t>
      </w:r>
      <w:r>
        <w:rPr>
          <w:rFonts w:ascii="Georgia" w:hAnsi="Georgia"/>
          <w:color w:val="231F20"/>
          <w:spacing w:val="-16"/>
          <w:w w:val="95"/>
        </w:rPr>
        <w:t> </w:t>
      </w:r>
      <w:r>
        <w:rPr>
          <w:rFonts w:ascii="Georgia" w:hAnsi="Georgia"/>
          <w:color w:val="231F20"/>
          <w:w w:val="95"/>
        </w:rPr>
        <w:t>y</w:t>
      </w:r>
      <w:r>
        <w:rPr>
          <w:rFonts w:ascii="Georgia" w:hAnsi="Georgia"/>
          <w:color w:val="231F20"/>
          <w:spacing w:val="-16"/>
          <w:w w:val="95"/>
        </w:rPr>
        <w:t> </w:t>
      </w:r>
      <w:r>
        <w:rPr>
          <w:rFonts w:ascii="Georgia" w:hAnsi="Georgia"/>
          <w:color w:val="231F20"/>
          <w:w w:val="95"/>
        </w:rPr>
        <w:t>legitimidad</w:t>
      </w:r>
      <w:r>
        <w:rPr>
          <w:rFonts w:ascii="Georgia" w:hAnsi="Georgia"/>
          <w:color w:val="231F20"/>
          <w:spacing w:val="-16"/>
          <w:w w:val="95"/>
        </w:rPr>
        <w:t> </w:t>
      </w:r>
      <w:r>
        <w:rPr>
          <w:rFonts w:ascii="Georgia" w:hAnsi="Georgia"/>
          <w:color w:val="231F20"/>
          <w:w w:val="95"/>
        </w:rPr>
        <w:t>de</w:t>
      </w:r>
      <w:r>
        <w:rPr>
          <w:rFonts w:ascii="Georgia" w:hAnsi="Georgia"/>
          <w:color w:val="231F20"/>
          <w:spacing w:val="-16"/>
          <w:w w:val="95"/>
        </w:rPr>
        <w:t> </w:t>
      </w:r>
      <w:r>
        <w:rPr>
          <w:rFonts w:ascii="Georgia" w:hAnsi="Georgia"/>
          <w:color w:val="231F20"/>
          <w:w w:val="95"/>
        </w:rPr>
        <w:t>los</w:t>
      </w:r>
      <w:r>
        <w:rPr>
          <w:rFonts w:ascii="Georgia" w:hAnsi="Georgia"/>
          <w:color w:val="231F20"/>
          <w:spacing w:val="-16"/>
          <w:w w:val="95"/>
        </w:rPr>
        <w:t> </w:t>
      </w:r>
      <w:r>
        <w:rPr>
          <w:rFonts w:ascii="Georgia" w:hAnsi="Georgia"/>
          <w:color w:val="231F20"/>
          <w:w w:val="95"/>
        </w:rPr>
        <w:t>actos</w:t>
      </w:r>
      <w:r>
        <w:rPr>
          <w:rFonts w:ascii="Georgia" w:hAnsi="Georgia"/>
          <w:color w:val="231F20"/>
          <w:spacing w:val="-16"/>
          <w:w w:val="95"/>
        </w:rPr>
        <w:t> </w:t>
      </w:r>
      <w:r>
        <w:rPr>
          <w:rFonts w:ascii="Georgia" w:hAnsi="Georgia"/>
          <w:color w:val="231F20"/>
          <w:w w:val="95"/>
        </w:rPr>
        <w:t>de</w:t>
      </w:r>
      <w:r>
        <w:rPr>
          <w:rFonts w:ascii="Georgia" w:hAnsi="Georgia"/>
          <w:color w:val="231F20"/>
          <w:spacing w:val="-16"/>
          <w:w w:val="95"/>
        </w:rPr>
        <w:t> </w:t>
      </w:r>
      <w:r>
        <w:rPr>
          <w:rFonts w:ascii="Georgia" w:hAnsi="Georgia"/>
          <w:color w:val="231F20"/>
          <w:w w:val="95"/>
        </w:rPr>
        <w:t>la</w:t>
      </w:r>
      <w:r>
        <w:rPr>
          <w:rFonts w:ascii="Georgia" w:hAnsi="Georgia"/>
          <w:color w:val="231F20"/>
          <w:spacing w:val="-16"/>
          <w:w w:val="95"/>
        </w:rPr>
        <w:t> </w:t>
      </w:r>
      <w:r>
        <w:rPr>
          <w:rFonts w:ascii="Georgia" w:hAnsi="Georgia"/>
          <w:color w:val="231F20"/>
          <w:w w:val="95"/>
        </w:rPr>
        <w:t>autori- </w:t>
      </w:r>
      <w:r>
        <w:rPr>
          <w:rFonts w:ascii="Georgia" w:hAnsi="Georgia"/>
          <w:color w:val="231F20"/>
        </w:rPr>
        <w:t>dad, de la violencia misma, entre los actores educativos. Puede inferirse,</w:t>
      </w:r>
      <w:r>
        <w:rPr>
          <w:rFonts w:ascii="Georgia" w:hAnsi="Georgia"/>
          <w:color w:val="231F20"/>
          <w:spacing w:val="-17"/>
        </w:rPr>
        <w:t> </w:t>
      </w:r>
      <w:r>
        <w:rPr>
          <w:rFonts w:ascii="Georgia" w:hAnsi="Georgia"/>
          <w:color w:val="231F20"/>
        </w:rPr>
        <w:t>que</w:t>
      </w:r>
      <w:r>
        <w:rPr>
          <w:rFonts w:ascii="Georgia" w:hAnsi="Georgia"/>
          <w:color w:val="231F20"/>
          <w:spacing w:val="-16"/>
        </w:rPr>
        <w:t> </w:t>
      </w:r>
      <w:r>
        <w:rPr>
          <w:rFonts w:ascii="Georgia" w:hAnsi="Georgia"/>
          <w:color w:val="231F20"/>
        </w:rPr>
        <w:t>la</w:t>
      </w:r>
      <w:r>
        <w:rPr>
          <w:rFonts w:ascii="Georgia" w:hAnsi="Georgia"/>
          <w:color w:val="231F20"/>
          <w:spacing w:val="-16"/>
        </w:rPr>
        <w:t> </w:t>
      </w:r>
      <w:r>
        <w:rPr>
          <w:rFonts w:ascii="Georgia" w:hAnsi="Georgia"/>
          <w:color w:val="231F20"/>
        </w:rPr>
        <w:t>posición</w:t>
      </w:r>
      <w:r>
        <w:rPr>
          <w:rFonts w:ascii="Georgia" w:hAnsi="Georgia"/>
          <w:color w:val="231F20"/>
          <w:spacing w:val="-16"/>
        </w:rPr>
        <w:t> </w:t>
      </w:r>
      <w:r>
        <w:rPr>
          <w:rFonts w:ascii="Georgia" w:hAnsi="Georgia"/>
          <w:color w:val="231F20"/>
        </w:rPr>
        <w:t>de</w:t>
      </w:r>
      <w:r>
        <w:rPr>
          <w:rFonts w:ascii="Georgia" w:hAnsi="Georgia"/>
          <w:color w:val="231F20"/>
          <w:spacing w:val="-16"/>
        </w:rPr>
        <w:t> </w:t>
      </w:r>
      <w:r>
        <w:rPr>
          <w:rFonts w:ascii="Georgia" w:hAnsi="Georgia"/>
          <w:color w:val="231F20"/>
        </w:rPr>
        <w:t>debilidad</w:t>
      </w:r>
      <w:r>
        <w:rPr>
          <w:rFonts w:ascii="Georgia" w:hAnsi="Georgia"/>
          <w:color w:val="231F20"/>
          <w:spacing w:val="-16"/>
        </w:rPr>
        <w:t> </w:t>
      </w:r>
      <w:r>
        <w:rPr>
          <w:rFonts w:ascii="Georgia" w:hAnsi="Georgia"/>
          <w:color w:val="231F20"/>
        </w:rPr>
        <w:t>es</w:t>
      </w:r>
      <w:r>
        <w:rPr>
          <w:rFonts w:ascii="Georgia" w:hAnsi="Georgia"/>
          <w:color w:val="231F20"/>
          <w:spacing w:val="-17"/>
        </w:rPr>
        <w:t> </w:t>
      </w:r>
      <w:r>
        <w:rPr>
          <w:rFonts w:ascii="Georgia" w:hAnsi="Georgia"/>
          <w:color w:val="231F20"/>
        </w:rPr>
        <w:t>manifiesta</w:t>
      </w:r>
      <w:r>
        <w:rPr>
          <w:rFonts w:ascii="Georgia" w:hAnsi="Georgia"/>
          <w:color w:val="231F20"/>
          <w:spacing w:val="-16"/>
        </w:rPr>
        <w:t> </w:t>
      </w:r>
      <w:r>
        <w:rPr>
          <w:rFonts w:ascii="Georgia" w:hAnsi="Georgia"/>
          <w:color w:val="231F20"/>
        </w:rPr>
        <w:t>al</w:t>
      </w:r>
      <w:r>
        <w:rPr>
          <w:rFonts w:ascii="Georgia" w:hAnsi="Georgia"/>
          <w:color w:val="231F20"/>
          <w:spacing w:val="-17"/>
        </w:rPr>
        <w:t> </w:t>
      </w:r>
      <w:r>
        <w:rPr>
          <w:rFonts w:ascii="Georgia" w:hAnsi="Georgia"/>
          <w:color w:val="231F20"/>
        </w:rPr>
        <w:t>dirigirse</w:t>
      </w:r>
      <w:r>
        <w:rPr>
          <w:rFonts w:ascii="Georgia" w:hAnsi="Georgia"/>
          <w:color w:val="231F20"/>
          <w:spacing w:val="-16"/>
        </w:rPr>
        <w:t> </w:t>
      </w:r>
      <w:r>
        <w:rPr>
          <w:rFonts w:ascii="Georgia" w:hAnsi="Georgia"/>
          <w:color w:val="231F20"/>
        </w:rPr>
        <w:t>a </w:t>
      </w:r>
      <w:r>
        <w:rPr>
          <w:rFonts w:ascii="Georgia" w:hAnsi="Georgia"/>
          <w:color w:val="231F20"/>
          <w:w w:val="95"/>
        </w:rPr>
        <w:t>instancias</w:t>
      </w:r>
      <w:r>
        <w:rPr>
          <w:rFonts w:ascii="Georgia" w:hAnsi="Georgia"/>
          <w:color w:val="231F20"/>
          <w:spacing w:val="-27"/>
          <w:w w:val="95"/>
        </w:rPr>
        <w:t> </w:t>
      </w:r>
      <w:r>
        <w:rPr>
          <w:rFonts w:ascii="Georgia" w:hAnsi="Georgia"/>
          <w:color w:val="231F20"/>
          <w:w w:val="95"/>
        </w:rPr>
        <w:t>que,</w:t>
      </w:r>
      <w:r>
        <w:rPr>
          <w:rFonts w:ascii="Georgia" w:hAnsi="Georgia"/>
          <w:color w:val="231F20"/>
          <w:spacing w:val="-27"/>
          <w:w w:val="95"/>
        </w:rPr>
        <w:t> </w:t>
      </w:r>
      <w:r>
        <w:rPr>
          <w:rFonts w:ascii="Georgia" w:hAnsi="Georgia"/>
          <w:color w:val="231F20"/>
          <w:w w:val="95"/>
        </w:rPr>
        <w:t>al</w:t>
      </w:r>
      <w:r>
        <w:rPr>
          <w:rFonts w:ascii="Georgia" w:hAnsi="Georgia"/>
          <w:color w:val="231F20"/>
          <w:spacing w:val="-27"/>
          <w:w w:val="95"/>
        </w:rPr>
        <w:t> </w:t>
      </w:r>
      <w:r>
        <w:rPr>
          <w:rFonts w:ascii="Georgia" w:hAnsi="Georgia"/>
          <w:color w:val="231F20"/>
          <w:w w:val="95"/>
        </w:rPr>
        <w:t>final</w:t>
      </w:r>
      <w:r>
        <w:rPr>
          <w:rFonts w:ascii="Georgia" w:hAnsi="Georgia"/>
          <w:color w:val="231F20"/>
          <w:spacing w:val="-27"/>
          <w:w w:val="95"/>
        </w:rPr>
        <w:t> </w:t>
      </w:r>
      <w:r>
        <w:rPr>
          <w:rFonts w:ascii="Georgia" w:hAnsi="Georgia"/>
          <w:color w:val="231F20"/>
          <w:w w:val="95"/>
        </w:rPr>
        <w:t>de</w:t>
      </w:r>
      <w:r>
        <w:rPr>
          <w:rFonts w:ascii="Georgia" w:hAnsi="Georgia"/>
          <w:color w:val="231F20"/>
          <w:spacing w:val="-27"/>
          <w:w w:val="95"/>
        </w:rPr>
        <w:t> </w:t>
      </w:r>
      <w:r>
        <w:rPr>
          <w:rFonts w:ascii="Georgia" w:hAnsi="Georgia"/>
          <w:color w:val="231F20"/>
          <w:w w:val="95"/>
        </w:rPr>
        <w:t>cuentas,</w:t>
      </w:r>
      <w:r>
        <w:rPr>
          <w:rFonts w:ascii="Georgia" w:hAnsi="Georgia"/>
          <w:color w:val="231F20"/>
          <w:spacing w:val="-27"/>
          <w:w w:val="95"/>
        </w:rPr>
        <w:t> </w:t>
      </w:r>
      <w:r>
        <w:rPr>
          <w:rFonts w:ascii="Georgia" w:hAnsi="Georgia"/>
          <w:color w:val="231F20"/>
          <w:w w:val="95"/>
        </w:rPr>
        <w:t>atestiguan</w:t>
      </w:r>
      <w:r>
        <w:rPr>
          <w:rFonts w:ascii="Georgia" w:hAnsi="Georgia"/>
          <w:color w:val="231F20"/>
          <w:spacing w:val="-26"/>
          <w:w w:val="95"/>
        </w:rPr>
        <w:t> </w:t>
      </w:r>
      <w:r>
        <w:rPr>
          <w:rFonts w:ascii="Georgia" w:hAnsi="Georgia"/>
          <w:color w:val="231F20"/>
          <w:w w:val="95"/>
        </w:rPr>
        <w:t>su</w:t>
      </w:r>
      <w:r>
        <w:rPr>
          <w:rFonts w:ascii="Georgia" w:hAnsi="Georgia"/>
          <w:color w:val="231F20"/>
          <w:spacing w:val="-27"/>
          <w:w w:val="95"/>
        </w:rPr>
        <w:t> </w:t>
      </w:r>
      <w:r>
        <w:rPr>
          <w:rFonts w:ascii="Georgia" w:hAnsi="Georgia"/>
          <w:color w:val="231F20"/>
          <w:w w:val="95"/>
        </w:rPr>
        <w:t>proceder,</w:t>
      </w:r>
      <w:r>
        <w:rPr>
          <w:rFonts w:ascii="Georgia" w:hAnsi="Georgia"/>
          <w:color w:val="231F20"/>
          <w:spacing w:val="-27"/>
          <w:w w:val="95"/>
        </w:rPr>
        <w:t> </w:t>
      </w:r>
      <w:r>
        <w:rPr>
          <w:rFonts w:ascii="Georgia" w:hAnsi="Georgia"/>
          <w:color w:val="231F20"/>
          <w:w w:val="95"/>
        </w:rPr>
        <w:t>pero,</w:t>
      </w:r>
      <w:r>
        <w:rPr>
          <w:rFonts w:ascii="Georgia" w:hAnsi="Georgia"/>
          <w:color w:val="231F20"/>
          <w:spacing w:val="-27"/>
          <w:w w:val="95"/>
        </w:rPr>
        <w:t> </w:t>
      </w:r>
      <w:r>
        <w:rPr>
          <w:rFonts w:ascii="Georgia" w:hAnsi="Georgia"/>
          <w:color w:val="231F20"/>
          <w:w w:val="95"/>
        </w:rPr>
        <w:t>para justificarla,</w:t>
      </w:r>
      <w:r>
        <w:rPr>
          <w:rFonts w:ascii="Georgia" w:hAnsi="Georgia"/>
          <w:color w:val="231F20"/>
          <w:spacing w:val="-21"/>
          <w:w w:val="95"/>
        </w:rPr>
        <w:t> </w:t>
      </w:r>
      <w:r>
        <w:rPr>
          <w:rFonts w:ascii="Georgia" w:hAnsi="Georgia"/>
          <w:color w:val="231F20"/>
          <w:w w:val="95"/>
        </w:rPr>
        <w:t>apela</w:t>
      </w:r>
      <w:r>
        <w:rPr>
          <w:rFonts w:ascii="Georgia" w:hAnsi="Georgia"/>
          <w:color w:val="231F20"/>
          <w:spacing w:val="-21"/>
          <w:w w:val="95"/>
        </w:rPr>
        <w:t> </w:t>
      </w:r>
      <w:r>
        <w:rPr>
          <w:rFonts w:ascii="Georgia" w:hAnsi="Georgia"/>
          <w:color w:val="231F20"/>
          <w:w w:val="95"/>
        </w:rPr>
        <w:t>a</w:t>
      </w:r>
      <w:r>
        <w:rPr>
          <w:rFonts w:ascii="Georgia" w:hAnsi="Georgia"/>
          <w:color w:val="231F20"/>
          <w:spacing w:val="-21"/>
          <w:w w:val="95"/>
        </w:rPr>
        <w:t> </w:t>
      </w:r>
      <w:r>
        <w:rPr>
          <w:rFonts w:ascii="Georgia" w:hAnsi="Georgia"/>
          <w:color w:val="231F20"/>
          <w:w w:val="95"/>
        </w:rPr>
        <w:t>su</w:t>
      </w:r>
      <w:r>
        <w:rPr>
          <w:rFonts w:ascii="Georgia" w:hAnsi="Georgia"/>
          <w:color w:val="231F20"/>
          <w:spacing w:val="-21"/>
          <w:w w:val="95"/>
        </w:rPr>
        <w:t> </w:t>
      </w:r>
      <w:r>
        <w:rPr>
          <w:rFonts w:ascii="Georgia" w:hAnsi="Georgia"/>
          <w:color w:val="231F20"/>
          <w:w w:val="95"/>
        </w:rPr>
        <w:t>calidad</w:t>
      </w:r>
      <w:r>
        <w:rPr>
          <w:rFonts w:ascii="Georgia" w:hAnsi="Georgia"/>
          <w:color w:val="231F20"/>
          <w:spacing w:val="-21"/>
          <w:w w:val="95"/>
        </w:rPr>
        <w:t> </w:t>
      </w:r>
      <w:r>
        <w:rPr>
          <w:rFonts w:ascii="Georgia" w:hAnsi="Georgia"/>
          <w:color w:val="231F20"/>
          <w:w w:val="95"/>
        </w:rPr>
        <w:t>académica,</w:t>
      </w:r>
      <w:r>
        <w:rPr>
          <w:rFonts w:ascii="Georgia" w:hAnsi="Georgia"/>
          <w:color w:val="231F20"/>
          <w:spacing w:val="-22"/>
          <w:w w:val="95"/>
        </w:rPr>
        <w:t> </w:t>
      </w:r>
      <w:r>
        <w:rPr>
          <w:rFonts w:ascii="Georgia" w:hAnsi="Georgia"/>
          <w:color w:val="231F20"/>
          <w:w w:val="95"/>
        </w:rPr>
        <w:t>esto</w:t>
      </w:r>
      <w:r>
        <w:rPr>
          <w:rFonts w:ascii="Georgia" w:hAnsi="Georgia"/>
          <w:color w:val="231F20"/>
          <w:spacing w:val="-21"/>
          <w:w w:val="95"/>
        </w:rPr>
        <w:t> </w:t>
      </w:r>
      <w:r>
        <w:rPr>
          <w:rFonts w:ascii="Georgia" w:hAnsi="Georgia"/>
          <w:color w:val="231F20"/>
          <w:w w:val="95"/>
        </w:rPr>
        <w:t>es,</w:t>
      </w:r>
      <w:r>
        <w:rPr>
          <w:rFonts w:ascii="Georgia" w:hAnsi="Georgia"/>
          <w:color w:val="231F20"/>
          <w:spacing w:val="-21"/>
          <w:w w:val="95"/>
        </w:rPr>
        <w:t> </w:t>
      </w:r>
      <w:r>
        <w:rPr>
          <w:rFonts w:ascii="Georgia" w:hAnsi="Georgia"/>
          <w:color w:val="231F20"/>
          <w:w w:val="95"/>
        </w:rPr>
        <w:t>a</w:t>
      </w:r>
      <w:r>
        <w:rPr>
          <w:rFonts w:ascii="Georgia" w:hAnsi="Georgia"/>
          <w:color w:val="231F20"/>
          <w:spacing w:val="-21"/>
          <w:w w:val="95"/>
        </w:rPr>
        <w:t> </w:t>
      </w:r>
      <w:r>
        <w:rPr>
          <w:rFonts w:ascii="Georgia" w:hAnsi="Georgia"/>
          <w:color w:val="231F20"/>
          <w:w w:val="95"/>
        </w:rPr>
        <w:t>su</w:t>
      </w:r>
      <w:r>
        <w:rPr>
          <w:rFonts w:ascii="Georgia" w:hAnsi="Georgia"/>
          <w:color w:val="231F20"/>
          <w:spacing w:val="-21"/>
          <w:w w:val="95"/>
        </w:rPr>
        <w:t> </w:t>
      </w:r>
      <w:r>
        <w:rPr>
          <w:rFonts w:ascii="Georgia" w:hAnsi="Georgia"/>
          <w:color w:val="231F20"/>
          <w:w w:val="95"/>
        </w:rPr>
        <w:t>saber</w:t>
      </w:r>
      <w:r>
        <w:rPr>
          <w:rFonts w:ascii="Georgia" w:hAnsi="Georgia"/>
          <w:color w:val="231F20"/>
          <w:spacing w:val="-21"/>
          <w:w w:val="95"/>
        </w:rPr>
        <w:t> </w:t>
      </w:r>
      <w:r>
        <w:rPr>
          <w:rFonts w:ascii="Georgia" w:hAnsi="Georgia"/>
          <w:color w:val="231F20"/>
          <w:w w:val="95"/>
        </w:rPr>
        <w:t>discipli- </w:t>
      </w:r>
      <w:r>
        <w:rPr>
          <w:rFonts w:ascii="Georgia" w:hAnsi="Georgia"/>
          <w:color w:val="231F20"/>
        </w:rPr>
        <w:t>nario</w:t>
      </w:r>
      <w:r>
        <w:rPr>
          <w:rFonts w:ascii="Georgia" w:hAnsi="Georgia"/>
          <w:color w:val="231F20"/>
          <w:spacing w:val="-6"/>
        </w:rPr>
        <w:t> </w:t>
      </w:r>
      <w:r>
        <w:rPr>
          <w:rFonts w:ascii="Georgia" w:hAnsi="Georgia"/>
          <w:color w:val="231F20"/>
        </w:rPr>
        <w:t>y</w:t>
      </w:r>
      <w:r>
        <w:rPr>
          <w:rFonts w:ascii="Georgia" w:hAnsi="Georgia"/>
          <w:color w:val="231F20"/>
          <w:spacing w:val="-6"/>
        </w:rPr>
        <w:t> </w:t>
      </w:r>
      <w:r>
        <w:rPr>
          <w:rFonts w:ascii="Georgia" w:hAnsi="Georgia"/>
          <w:color w:val="231F20"/>
        </w:rPr>
        <w:t>al</w:t>
      </w:r>
      <w:r>
        <w:rPr>
          <w:rFonts w:ascii="Georgia" w:hAnsi="Georgia"/>
          <w:color w:val="231F20"/>
          <w:spacing w:val="-6"/>
        </w:rPr>
        <w:t> </w:t>
      </w:r>
      <w:r>
        <w:rPr>
          <w:rFonts w:ascii="Georgia" w:hAnsi="Georgia"/>
          <w:color w:val="231F20"/>
        </w:rPr>
        <w:t>conocimiento</w:t>
      </w:r>
      <w:r>
        <w:rPr>
          <w:rFonts w:ascii="Georgia" w:hAnsi="Georgia"/>
          <w:color w:val="231F20"/>
          <w:spacing w:val="-6"/>
        </w:rPr>
        <w:t> </w:t>
      </w:r>
      <w:r>
        <w:rPr>
          <w:rFonts w:ascii="Georgia" w:hAnsi="Georgia"/>
          <w:color w:val="231F20"/>
        </w:rPr>
        <w:t>de</w:t>
      </w:r>
      <w:r>
        <w:rPr>
          <w:rFonts w:ascii="Georgia" w:hAnsi="Georgia"/>
          <w:color w:val="231F20"/>
          <w:spacing w:val="-6"/>
        </w:rPr>
        <w:t> </w:t>
      </w:r>
      <w:r>
        <w:rPr>
          <w:rFonts w:ascii="Georgia" w:hAnsi="Georgia"/>
          <w:color w:val="231F20"/>
        </w:rPr>
        <w:t>la</w:t>
      </w:r>
      <w:r>
        <w:rPr>
          <w:rFonts w:ascii="Georgia" w:hAnsi="Georgia"/>
          <w:color w:val="231F20"/>
          <w:spacing w:val="-6"/>
        </w:rPr>
        <w:t> </w:t>
      </w:r>
      <w:r>
        <w:rPr>
          <w:rFonts w:ascii="Georgia" w:hAnsi="Georgia"/>
          <w:color w:val="231F20"/>
        </w:rPr>
        <w:t>naturaleza</w:t>
      </w:r>
      <w:r>
        <w:rPr>
          <w:rFonts w:ascii="Georgia" w:hAnsi="Georgia"/>
          <w:color w:val="231F20"/>
          <w:spacing w:val="-6"/>
        </w:rPr>
        <w:t> </w:t>
      </w:r>
      <w:r>
        <w:rPr>
          <w:rFonts w:ascii="Georgia" w:hAnsi="Georgia"/>
          <w:color w:val="231F20"/>
        </w:rPr>
        <w:t>de</w:t>
      </w:r>
      <w:r>
        <w:rPr>
          <w:rFonts w:ascii="Georgia" w:hAnsi="Georgia"/>
          <w:color w:val="231F20"/>
          <w:spacing w:val="-6"/>
        </w:rPr>
        <w:t> </w:t>
      </w:r>
      <w:r>
        <w:rPr>
          <w:rFonts w:ascii="Georgia" w:hAnsi="Georgia"/>
          <w:color w:val="231F20"/>
        </w:rPr>
        <w:t>los</w:t>
      </w:r>
      <w:r>
        <w:rPr>
          <w:rFonts w:ascii="Georgia" w:hAnsi="Georgia"/>
          <w:color w:val="231F20"/>
          <w:spacing w:val="-6"/>
        </w:rPr>
        <w:t> </w:t>
      </w:r>
      <w:r>
        <w:rPr>
          <w:rFonts w:ascii="Georgia" w:hAnsi="Georgia"/>
          <w:color w:val="231F20"/>
        </w:rPr>
        <w:t>sujetos</w:t>
      </w:r>
      <w:r>
        <w:rPr>
          <w:rFonts w:ascii="Georgia" w:hAnsi="Georgia"/>
          <w:color w:val="231F20"/>
          <w:spacing w:val="-6"/>
        </w:rPr>
        <w:t> </w:t>
      </w:r>
      <w:r>
        <w:rPr>
          <w:rFonts w:ascii="Georgia" w:hAnsi="Georgia"/>
          <w:color w:val="231F20"/>
        </w:rPr>
        <w:t>a</w:t>
      </w:r>
      <w:r>
        <w:rPr>
          <w:rFonts w:ascii="Georgia" w:hAnsi="Georgia"/>
          <w:color w:val="231F20"/>
          <w:spacing w:val="-6"/>
        </w:rPr>
        <w:t> </w:t>
      </w:r>
      <w:r>
        <w:rPr>
          <w:rFonts w:ascii="Georgia" w:hAnsi="Georgia"/>
          <w:color w:val="231F20"/>
        </w:rPr>
        <w:t>los</w:t>
      </w:r>
      <w:r>
        <w:rPr>
          <w:rFonts w:ascii="Georgia" w:hAnsi="Georgia"/>
          <w:color w:val="231F20"/>
          <w:spacing w:val="-6"/>
        </w:rPr>
        <w:t> </w:t>
      </w:r>
      <w:r>
        <w:rPr>
          <w:rFonts w:ascii="Georgia" w:hAnsi="Georgia"/>
          <w:color w:val="231F20"/>
        </w:rPr>
        <w:t>que </w:t>
      </w:r>
      <w:r>
        <w:rPr>
          <w:rFonts w:ascii="Georgia" w:hAnsi="Georgia"/>
          <w:color w:val="231F20"/>
          <w:w w:val="95"/>
        </w:rPr>
        <w:t>debe</w:t>
      </w:r>
      <w:r>
        <w:rPr>
          <w:rFonts w:ascii="Georgia" w:hAnsi="Georgia"/>
          <w:color w:val="231F20"/>
          <w:spacing w:val="-22"/>
          <w:w w:val="95"/>
        </w:rPr>
        <w:t> </w:t>
      </w:r>
      <w:r>
        <w:rPr>
          <w:rFonts w:ascii="Georgia" w:hAnsi="Georgia"/>
          <w:color w:val="231F20"/>
          <w:w w:val="95"/>
        </w:rPr>
        <w:t>inculcar</w:t>
      </w:r>
      <w:r>
        <w:rPr>
          <w:rFonts w:ascii="Georgia" w:hAnsi="Georgia"/>
          <w:color w:val="231F20"/>
          <w:spacing w:val="-22"/>
          <w:w w:val="95"/>
        </w:rPr>
        <w:t> </w:t>
      </w:r>
      <w:r>
        <w:rPr>
          <w:rFonts w:ascii="Georgia" w:hAnsi="Georgia"/>
          <w:color w:val="231F20"/>
          <w:w w:val="95"/>
        </w:rPr>
        <w:t>este</w:t>
      </w:r>
      <w:r>
        <w:rPr>
          <w:rFonts w:ascii="Georgia" w:hAnsi="Georgia"/>
          <w:color w:val="231F20"/>
          <w:spacing w:val="-22"/>
          <w:w w:val="95"/>
        </w:rPr>
        <w:t> </w:t>
      </w:r>
      <w:r>
        <w:rPr>
          <w:rFonts w:ascii="Georgia" w:hAnsi="Georgia"/>
          <w:color w:val="231F20"/>
          <w:w w:val="95"/>
        </w:rPr>
        <w:t>saber.</w:t>
      </w:r>
      <w:r>
        <w:rPr>
          <w:rFonts w:ascii="Georgia" w:hAnsi="Georgia"/>
          <w:color w:val="231F20"/>
          <w:spacing w:val="-22"/>
          <w:w w:val="95"/>
        </w:rPr>
        <w:t> </w:t>
      </w:r>
      <w:r>
        <w:rPr>
          <w:rFonts w:ascii="Georgia" w:hAnsi="Georgia"/>
          <w:color w:val="231F20"/>
          <w:w w:val="95"/>
        </w:rPr>
        <w:t>Reyes</w:t>
      </w:r>
      <w:r>
        <w:rPr>
          <w:rFonts w:ascii="Georgia" w:hAnsi="Georgia"/>
          <w:color w:val="231F20"/>
          <w:spacing w:val="-22"/>
          <w:w w:val="95"/>
        </w:rPr>
        <w:t> </w:t>
      </w:r>
      <w:r>
        <w:rPr>
          <w:rFonts w:ascii="Georgia" w:hAnsi="Georgia"/>
          <w:color w:val="231F20"/>
          <w:w w:val="95"/>
        </w:rPr>
        <w:t>argumenta</w:t>
      </w:r>
      <w:r>
        <w:rPr>
          <w:rFonts w:ascii="Georgia" w:hAnsi="Georgia"/>
          <w:color w:val="231F20"/>
          <w:spacing w:val="-21"/>
          <w:w w:val="95"/>
        </w:rPr>
        <w:t> </w:t>
      </w:r>
      <w:r>
        <w:rPr>
          <w:rFonts w:ascii="Georgia" w:hAnsi="Georgia"/>
          <w:color w:val="231F20"/>
          <w:w w:val="95"/>
        </w:rPr>
        <w:t>la</w:t>
      </w:r>
      <w:r>
        <w:rPr>
          <w:rFonts w:ascii="Georgia" w:hAnsi="Georgia"/>
          <w:color w:val="231F20"/>
          <w:spacing w:val="-22"/>
          <w:w w:val="95"/>
        </w:rPr>
        <w:t> </w:t>
      </w:r>
      <w:r>
        <w:rPr>
          <w:rFonts w:ascii="Georgia" w:hAnsi="Georgia"/>
          <w:color w:val="231F20"/>
          <w:w w:val="95"/>
        </w:rPr>
        <w:t>razón</w:t>
      </w:r>
      <w:r>
        <w:rPr>
          <w:rFonts w:ascii="Georgia" w:hAnsi="Georgia"/>
          <w:color w:val="231F20"/>
          <w:spacing w:val="-22"/>
          <w:w w:val="95"/>
        </w:rPr>
        <w:t> </w:t>
      </w:r>
      <w:r>
        <w:rPr>
          <w:rFonts w:ascii="Georgia" w:hAnsi="Georgia"/>
          <w:color w:val="231F20"/>
          <w:w w:val="95"/>
        </w:rPr>
        <w:t>desu</w:t>
      </w:r>
      <w:r>
        <w:rPr>
          <w:rFonts w:ascii="Georgia" w:hAnsi="Georgia"/>
          <w:color w:val="231F20"/>
          <w:spacing w:val="-22"/>
          <w:w w:val="95"/>
        </w:rPr>
        <w:t> </w:t>
      </w:r>
      <w:r>
        <w:rPr>
          <w:rFonts w:ascii="Georgia" w:hAnsi="Georgia"/>
          <w:color w:val="231F20"/>
          <w:w w:val="95"/>
        </w:rPr>
        <w:t>determina- </w:t>
      </w:r>
      <w:r>
        <w:rPr>
          <w:rFonts w:ascii="Georgia" w:hAnsi="Georgia"/>
          <w:color w:val="231F20"/>
        </w:rPr>
        <w:t>ción</w:t>
      </w:r>
      <w:r>
        <w:rPr>
          <w:rFonts w:ascii="Georgia" w:hAnsi="Georgia"/>
          <w:color w:val="231F20"/>
          <w:spacing w:val="-13"/>
        </w:rPr>
        <w:t> </w:t>
      </w:r>
      <w:r>
        <w:rPr>
          <w:rFonts w:ascii="Georgia" w:hAnsi="Georgia"/>
          <w:color w:val="231F20"/>
        </w:rPr>
        <w:t>adoptada</w:t>
      </w:r>
      <w:r>
        <w:rPr>
          <w:rFonts w:ascii="Georgia" w:hAnsi="Georgia"/>
          <w:color w:val="231F20"/>
          <w:spacing w:val="-13"/>
        </w:rPr>
        <w:t> </w:t>
      </w:r>
      <w:r>
        <w:rPr>
          <w:rFonts w:ascii="Georgia" w:hAnsi="Georgia"/>
          <w:color w:val="231F20"/>
        </w:rPr>
        <w:t>y</w:t>
      </w:r>
      <w:r>
        <w:rPr>
          <w:rFonts w:ascii="Georgia" w:hAnsi="Georgia"/>
          <w:color w:val="231F20"/>
          <w:spacing w:val="-13"/>
        </w:rPr>
        <w:t> </w:t>
      </w:r>
      <w:r>
        <w:rPr>
          <w:rFonts w:ascii="Georgia" w:hAnsi="Georgia"/>
          <w:color w:val="231F20"/>
        </w:rPr>
        <w:t>su</w:t>
      </w:r>
      <w:r>
        <w:rPr>
          <w:rFonts w:ascii="Georgia" w:hAnsi="Georgia"/>
          <w:color w:val="231F20"/>
          <w:spacing w:val="-13"/>
        </w:rPr>
        <w:t> </w:t>
      </w:r>
      <w:r>
        <w:rPr>
          <w:rFonts w:ascii="Georgia" w:hAnsi="Georgia"/>
          <w:color w:val="231F20"/>
        </w:rPr>
        <w:t>eficacia:</w:t>
      </w:r>
      <w:r>
        <w:rPr>
          <w:rFonts w:ascii="Georgia" w:hAnsi="Georgia"/>
          <w:color w:val="231F20"/>
          <w:spacing w:val="-14"/>
        </w:rPr>
        <w:t> </w:t>
      </w:r>
      <w:r>
        <w:rPr>
          <w:rFonts w:ascii="Georgia" w:hAnsi="Georgia"/>
          <w:color w:val="231F20"/>
        </w:rPr>
        <w:t>“Debo</w:t>
      </w:r>
      <w:r>
        <w:rPr>
          <w:rFonts w:ascii="Georgia" w:hAnsi="Georgia"/>
          <w:color w:val="231F20"/>
          <w:spacing w:val="-13"/>
        </w:rPr>
        <w:t> </w:t>
      </w:r>
      <w:r>
        <w:rPr>
          <w:rFonts w:ascii="Georgia" w:hAnsi="Georgia"/>
          <w:color w:val="231F20"/>
        </w:rPr>
        <w:t>además</w:t>
      </w:r>
      <w:r>
        <w:rPr>
          <w:rFonts w:ascii="Georgia" w:hAnsi="Georgia"/>
          <w:color w:val="231F20"/>
          <w:spacing w:val="-13"/>
        </w:rPr>
        <w:t> </w:t>
      </w:r>
      <w:r>
        <w:rPr>
          <w:rFonts w:ascii="Georgia" w:hAnsi="Georgia"/>
          <w:color w:val="231F20"/>
        </w:rPr>
        <w:t>manifestarles</w:t>
      </w:r>
      <w:r>
        <w:rPr>
          <w:rFonts w:ascii="Georgia" w:hAnsi="Georgia"/>
          <w:color w:val="231F20"/>
          <w:spacing w:val="-13"/>
        </w:rPr>
        <w:t> </w:t>
      </w:r>
      <w:r>
        <w:rPr>
          <w:rFonts w:ascii="Georgia" w:hAnsi="Georgia"/>
          <w:color w:val="231F20"/>
        </w:rPr>
        <w:t>que</w:t>
      </w:r>
      <w:r>
        <w:rPr>
          <w:rFonts w:ascii="Georgia" w:hAnsi="Georgia"/>
          <w:color w:val="231F20"/>
          <w:spacing w:val="-13"/>
        </w:rPr>
        <w:t> </w:t>
      </w:r>
      <w:r>
        <w:rPr>
          <w:rFonts w:ascii="Georgia" w:hAnsi="Georgia"/>
          <w:color w:val="231F20"/>
        </w:rPr>
        <w:t>en </w:t>
      </w:r>
      <w:r>
        <w:rPr>
          <w:rFonts w:ascii="Georgia" w:hAnsi="Georgia"/>
          <w:color w:val="231F20"/>
          <w:w w:val="95"/>
        </w:rPr>
        <w:t>ninguna</w:t>
      </w:r>
      <w:r>
        <w:rPr>
          <w:rFonts w:ascii="Georgia" w:hAnsi="Georgia"/>
          <w:color w:val="231F20"/>
          <w:spacing w:val="-11"/>
          <w:w w:val="95"/>
        </w:rPr>
        <w:t> </w:t>
      </w:r>
      <w:r>
        <w:rPr>
          <w:rFonts w:ascii="Georgia" w:hAnsi="Georgia"/>
          <w:color w:val="231F20"/>
          <w:w w:val="95"/>
        </w:rPr>
        <w:t>época</w:t>
      </w:r>
      <w:r>
        <w:rPr>
          <w:rFonts w:ascii="Georgia" w:hAnsi="Georgia"/>
          <w:color w:val="231F20"/>
          <w:spacing w:val="-11"/>
          <w:w w:val="95"/>
        </w:rPr>
        <w:t> </w:t>
      </w:r>
      <w:r>
        <w:rPr>
          <w:rFonts w:ascii="Georgia" w:hAnsi="Georgia"/>
          <w:color w:val="231F20"/>
          <w:w w:val="95"/>
        </w:rPr>
        <w:t>he</w:t>
      </w:r>
      <w:r>
        <w:rPr>
          <w:rFonts w:ascii="Georgia" w:hAnsi="Georgia"/>
          <w:color w:val="231F20"/>
          <w:spacing w:val="-11"/>
          <w:w w:val="95"/>
        </w:rPr>
        <w:t> </w:t>
      </w:r>
      <w:r>
        <w:rPr>
          <w:rFonts w:ascii="Georgia" w:hAnsi="Georgia"/>
          <w:color w:val="231F20"/>
          <w:w w:val="95"/>
        </w:rPr>
        <w:t>suspendido</w:t>
      </w:r>
      <w:r>
        <w:rPr>
          <w:rFonts w:ascii="Georgia" w:hAnsi="Georgia"/>
          <w:color w:val="231F20"/>
          <w:spacing w:val="-11"/>
          <w:w w:val="95"/>
        </w:rPr>
        <w:t> </w:t>
      </w:r>
      <w:r>
        <w:rPr>
          <w:rFonts w:ascii="Georgia" w:hAnsi="Georgia"/>
          <w:color w:val="231F20"/>
          <w:w w:val="95"/>
        </w:rPr>
        <w:t>mis</w:t>
      </w:r>
      <w:r>
        <w:rPr>
          <w:rFonts w:ascii="Georgia" w:hAnsi="Georgia"/>
          <w:color w:val="231F20"/>
          <w:spacing w:val="-11"/>
          <w:w w:val="95"/>
        </w:rPr>
        <w:t> </w:t>
      </w:r>
      <w:r>
        <w:rPr>
          <w:rFonts w:ascii="Georgia" w:hAnsi="Georgia"/>
          <w:color w:val="231F20"/>
          <w:w w:val="95"/>
        </w:rPr>
        <w:t>clases</w:t>
      </w:r>
      <w:r>
        <w:rPr>
          <w:rFonts w:ascii="Georgia" w:hAnsi="Georgia"/>
          <w:color w:val="231F20"/>
          <w:spacing w:val="-11"/>
          <w:w w:val="95"/>
        </w:rPr>
        <w:t> </w:t>
      </w:r>
      <w:r>
        <w:rPr>
          <w:rFonts w:ascii="Georgia" w:hAnsi="Georgia"/>
          <w:color w:val="231F20"/>
          <w:w w:val="95"/>
        </w:rPr>
        <w:t>por</w:t>
      </w:r>
      <w:r>
        <w:rPr>
          <w:rFonts w:ascii="Georgia" w:hAnsi="Georgia"/>
          <w:color w:val="231F20"/>
          <w:spacing w:val="-11"/>
          <w:w w:val="95"/>
        </w:rPr>
        <w:t> </w:t>
      </w:r>
      <w:r>
        <w:rPr>
          <w:rFonts w:ascii="Georgia" w:hAnsi="Georgia"/>
          <w:color w:val="231F20"/>
          <w:w w:val="95"/>
        </w:rPr>
        <w:t>indisciplina;</w:t>
      </w:r>
      <w:r>
        <w:rPr>
          <w:rFonts w:ascii="Georgia" w:hAnsi="Georgia"/>
          <w:color w:val="231F20"/>
          <w:spacing w:val="-12"/>
          <w:w w:val="95"/>
        </w:rPr>
        <w:t> </w:t>
      </w:r>
      <w:r>
        <w:rPr>
          <w:rFonts w:ascii="Georgia" w:hAnsi="Georgia"/>
          <w:color w:val="231F20"/>
          <w:w w:val="95"/>
        </w:rPr>
        <w:t>pues</w:t>
      </w:r>
      <w:r>
        <w:rPr>
          <w:rFonts w:ascii="Georgia" w:hAnsi="Georgia"/>
          <w:color w:val="231F20"/>
          <w:spacing w:val="-11"/>
          <w:w w:val="95"/>
        </w:rPr>
        <w:t> </w:t>
      </w:r>
      <w:r>
        <w:rPr>
          <w:rFonts w:ascii="Georgia" w:hAnsi="Georgia"/>
          <w:color w:val="231F20"/>
          <w:w w:val="95"/>
        </w:rPr>
        <w:t>una </w:t>
      </w:r>
      <w:r>
        <w:rPr>
          <w:rFonts w:ascii="Georgia" w:hAnsi="Georgia"/>
          <w:color w:val="231F20"/>
        </w:rPr>
        <w:t>vez</w:t>
      </w:r>
      <w:r>
        <w:rPr>
          <w:rFonts w:ascii="Georgia" w:hAnsi="Georgia"/>
          <w:color w:val="231F20"/>
          <w:spacing w:val="-18"/>
        </w:rPr>
        <w:t> </w:t>
      </w:r>
      <w:r>
        <w:rPr>
          <w:rFonts w:ascii="Georgia" w:hAnsi="Georgia"/>
          <w:color w:val="231F20"/>
        </w:rPr>
        <w:t>alejados</w:t>
      </w:r>
      <w:r>
        <w:rPr>
          <w:rFonts w:ascii="Georgia" w:hAnsi="Georgia"/>
          <w:color w:val="231F20"/>
          <w:spacing w:val="-18"/>
        </w:rPr>
        <w:t> </w:t>
      </w:r>
      <w:r>
        <w:rPr>
          <w:rFonts w:ascii="Georgia" w:hAnsi="Georgia"/>
          <w:color w:val="231F20"/>
        </w:rPr>
        <w:t>los</w:t>
      </w:r>
      <w:r>
        <w:rPr>
          <w:rFonts w:ascii="Georgia" w:hAnsi="Georgia"/>
          <w:color w:val="231F20"/>
          <w:spacing w:val="-18"/>
        </w:rPr>
        <w:t> </w:t>
      </w:r>
      <w:r>
        <w:rPr>
          <w:rFonts w:ascii="Georgia" w:hAnsi="Georgia"/>
          <w:color w:val="231F20"/>
        </w:rPr>
        <w:t>elementos</w:t>
      </w:r>
      <w:r>
        <w:rPr>
          <w:rFonts w:ascii="Georgia" w:hAnsi="Georgia"/>
          <w:color w:val="231F20"/>
          <w:spacing w:val="-18"/>
        </w:rPr>
        <w:t> </w:t>
      </w:r>
      <w:r>
        <w:rPr>
          <w:rFonts w:ascii="Georgia" w:hAnsi="Georgia"/>
          <w:color w:val="231F20"/>
        </w:rPr>
        <w:t>que</w:t>
      </w:r>
      <w:r>
        <w:rPr>
          <w:rFonts w:ascii="Georgia" w:hAnsi="Georgia"/>
          <w:color w:val="231F20"/>
          <w:spacing w:val="-18"/>
        </w:rPr>
        <w:t> </w:t>
      </w:r>
      <w:r>
        <w:rPr>
          <w:rFonts w:ascii="Georgia" w:hAnsi="Georgia"/>
          <w:color w:val="231F20"/>
        </w:rPr>
        <w:t>tratan</w:t>
      </w:r>
      <w:r>
        <w:rPr>
          <w:rFonts w:ascii="Georgia" w:hAnsi="Georgia"/>
          <w:color w:val="231F20"/>
          <w:spacing w:val="-18"/>
        </w:rPr>
        <w:t> </w:t>
      </w:r>
      <w:r>
        <w:rPr>
          <w:rFonts w:ascii="Georgia" w:hAnsi="Georgia"/>
          <w:color w:val="231F20"/>
        </w:rPr>
        <w:t>de</w:t>
      </w:r>
      <w:r>
        <w:rPr>
          <w:rFonts w:ascii="Georgia" w:hAnsi="Georgia"/>
          <w:color w:val="231F20"/>
          <w:spacing w:val="-18"/>
        </w:rPr>
        <w:t> </w:t>
      </w:r>
      <w:r>
        <w:rPr>
          <w:rFonts w:ascii="Georgia" w:hAnsi="Georgia"/>
          <w:color w:val="231F20"/>
        </w:rPr>
        <w:t>alterar</w:t>
      </w:r>
      <w:r>
        <w:rPr>
          <w:rFonts w:ascii="Georgia" w:hAnsi="Georgia"/>
          <w:color w:val="231F20"/>
          <w:spacing w:val="-18"/>
        </w:rPr>
        <w:t> </w:t>
      </w:r>
      <w:r>
        <w:rPr>
          <w:rFonts w:ascii="Georgia" w:hAnsi="Georgia"/>
          <w:color w:val="231F20"/>
        </w:rPr>
        <w:t>el</w:t>
      </w:r>
      <w:r>
        <w:rPr>
          <w:rFonts w:ascii="Georgia" w:hAnsi="Georgia"/>
          <w:color w:val="231F20"/>
          <w:spacing w:val="-18"/>
        </w:rPr>
        <w:t> </w:t>
      </w:r>
      <w:r>
        <w:rPr>
          <w:rFonts w:ascii="Georgia" w:hAnsi="Georgia"/>
          <w:color w:val="231F20"/>
        </w:rPr>
        <w:t>orden,</w:t>
      </w:r>
      <w:r>
        <w:rPr>
          <w:rFonts w:ascii="Georgia" w:hAnsi="Georgia"/>
          <w:color w:val="231F20"/>
          <w:spacing w:val="-18"/>
        </w:rPr>
        <w:t> </w:t>
      </w:r>
      <w:r>
        <w:rPr>
          <w:rFonts w:ascii="Georgia" w:hAnsi="Georgia"/>
          <w:color w:val="231F20"/>
        </w:rPr>
        <w:t>trabajo con</w:t>
      </w:r>
      <w:r>
        <w:rPr>
          <w:rFonts w:ascii="Georgia" w:hAnsi="Georgia"/>
          <w:color w:val="231F20"/>
          <w:spacing w:val="-13"/>
        </w:rPr>
        <w:t> </w:t>
      </w:r>
      <w:r>
        <w:rPr>
          <w:rFonts w:ascii="Georgia" w:hAnsi="Georgia"/>
          <w:color w:val="231F20"/>
        </w:rPr>
        <w:t>el</w:t>
      </w:r>
      <w:r>
        <w:rPr>
          <w:rFonts w:ascii="Georgia" w:hAnsi="Georgia"/>
          <w:color w:val="231F20"/>
          <w:spacing w:val="-14"/>
        </w:rPr>
        <w:t> </w:t>
      </w:r>
      <w:r>
        <w:rPr>
          <w:rFonts w:ascii="Georgia" w:hAnsi="Georgia"/>
          <w:color w:val="231F20"/>
        </w:rPr>
        <w:t>mayor</w:t>
      </w:r>
      <w:r>
        <w:rPr>
          <w:rFonts w:ascii="Georgia" w:hAnsi="Georgia"/>
          <w:color w:val="231F20"/>
          <w:spacing w:val="-14"/>
        </w:rPr>
        <w:t> </w:t>
      </w:r>
      <w:r>
        <w:rPr>
          <w:rFonts w:ascii="Georgia" w:hAnsi="Georgia"/>
          <w:color w:val="231F20"/>
        </w:rPr>
        <w:t>número</w:t>
      </w:r>
      <w:r>
        <w:rPr>
          <w:rFonts w:ascii="Georgia" w:hAnsi="Georgia"/>
          <w:color w:val="231F20"/>
          <w:spacing w:val="-13"/>
        </w:rPr>
        <w:t> </w:t>
      </w:r>
      <w:r>
        <w:rPr>
          <w:rFonts w:ascii="Georgia" w:hAnsi="Georgia"/>
          <w:color w:val="231F20"/>
        </w:rPr>
        <w:t>dispuesto</w:t>
      </w:r>
      <w:r>
        <w:rPr>
          <w:rFonts w:ascii="Georgia" w:hAnsi="Georgia"/>
          <w:color w:val="231F20"/>
          <w:spacing w:val="-13"/>
        </w:rPr>
        <w:t> </w:t>
      </w:r>
      <w:r>
        <w:rPr>
          <w:rFonts w:ascii="Georgia" w:hAnsi="Georgia"/>
          <w:color w:val="231F20"/>
        </w:rPr>
        <w:t>a</w:t>
      </w:r>
      <w:r>
        <w:rPr>
          <w:rFonts w:ascii="Georgia" w:hAnsi="Georgia"/>
          <w:color w:val="231F20"/>
          <w:spacing w:val="-13"/>
        </w:rPr>
        <w:t> </w:t>
      </w:r>
      <w:r>
        <w:rPr>
          <w:rFonts w:ascii="Georgia" w:hAnsi="Georgia"/>
          <w:color w:val="231F20"/>
        </w:rPr>
        <w:t>aprovechar</w:t>
      </w:r>
      <w:r>
        <w:rPr>
          <w:rFonts w:ascii="Georgia" w:hAnsi="Georgia"/>
          <w:color w:val="231F20"/>
          <w:spacing w:val="-14"/>
        </w:rPr>
        <w:t> </w:t>
      </w:r>
      <w:r>
        <w:rPr>
          <w:rFonts w:ascii="Georgia" w:hAnsi="Georgia"/>
          <w:color w:val="231F20"/>
        </w:rPr>
        <w:t>el</w:t>
      </w:r>
      <w:r>
        <w:rPr>
          <w:rFonts w:ascii="Georgia" w:hAnsi="Georgia"/>
          <w:color w:val="231F20"/>
          <w:spacing w:val="-14"/>
        </w:rPr>
        <w:t> </w:t>
      </w:r>
      <w:r>
        <w:rPr>
          <w:rFonts w:ascii="Georgia" w:hAnsi="Georgia"/>
          <w:color w:val="231F20"/>
        </w:rPr>
        <w:t>tiempo</w:t>
      </w:r>
      <w:r>
        <w:rPr>
          <w:rFonts w:ascii="Georgia" w:hAnsi="Georgia"/>
          <w:color w:val="231F20"/>
          <w:spacing w:val="-13"/>
        </w:rPr>
        <w:t> </w:t>
      </w:r>
      <w:r>
        <w:rPr>
          <w:rFonts w:ascii="Georgia" w:hAnsi="Georgia"/>
          <w:color w:val="231F20"/>
        </w:rPr>
        <w:t>y</w:t>
      </w:r>
      <w:r>
        <w:rPr>
          <w:rFonts w:ascii="Georgia" w:hAnsi="Georgia"/>
          <w:color w:val="231F20"/>
          <w:spacing w:val="-13"/>
        </w:rPr>
        <w:t> </w:t>
      </w:r>
      <w:r>
        <w:rPr>
          <w:rFonts w:ascii="Georgia" w:hAnsi="Georgia"/>
          <w:color w:val="231F20"/>
        </w:rPr>
        <w:t>de</w:t>
      </w:r>
      <w:r>
        <w:rPr>
          <w:rFonts w:ascii="Georgia" w:hAnsi="Georgia"/>
          <w:color w:val="231F20"/>
          <w:spacing w:val="-13"/>
        </w:rPr>
        <w:t> </w:t>
      </w:r>
      <w:r>
        <w:rPr>
          <w:rFonts w:ascii="Georgia" w:hAnsi="Georgia"/>
          <w:color w:val="231F20"/>
        </w:rPr>
        <w:t>este modo</w:t>
      </w:r>
      <w:r>
        <w:rPr>
          <w:rFonts w:ascii="Georgia" w:hAnsi="Georgia"/>
          <w:color w:val="231F20"/>
          <w:spacing w:val="-16"/>
        </w:rPr>
        <w:t> </w:t>
      </w:r>
      <w:r>
        <w:rPr>
          <w:rFonts w:ascii="Georgia" w:hAnsi="Georgia"/>
          <w:color w:val="231F20"/>
        </w:rPr>
        <w:t>lleno</w:t>
      </w:r>
      <w:r>
        <w:rPr>
          <w:rFonts w:ascii="Georgia" w:hAnsi="Georgia"/>
          <w:color w:val="231F20"/>
          <w:spacing w:val="-16"/>
        </w:rPr>
        <w:t> </w:t>
      </w:r>
      <w:r>
        <w:rPr>
          <w:rFonts w:ascii="Georgia" w:hAnsi="Georgia"/>
          <w:color w:val="231F20"/>
        </w:rPr>
        <w:t>todos</w:t>
      </w:r>
      <w:r>
        <w:rPr>
          <w:rFonts w:ascii="Georgia" w:hAnsi="Georgia"/>
          <w:color w:val="231F20"/>
          <w:spacing w:val="-16"/>
        </w:rPr>
        <w:t> </w:t>
      </w:r>
      <w:r>
        <w:rPr>
          <w:rFonts w:ascii="Georgia" w:hAnsi="Georgia"/>
          <w:color w:val="231F20"/>
        </w:rPr>
        <w:t>los</w:t>
      </w:r>
      <w:r>
        <w:rPr>
          <w:rFonts w:ascii="Georgia" w:hAnsi="Georgia"/>
          <w:color w:val="231F20"/>
          <w:spacing w:val="-16"/>
        </w:rPr>
        <w:t> </w:t>
      </w:r>
      <w:r>
        <w:rPr>
          <w:rFonts w:ascii="Georgia" w:hAnsi="Georgia"/>
          <w:color w:val="231F20"/>
        </w:rPr>
        <w:t>puntos</w:t>
      </w:r>
      <w:r>
        <w:rPr>
          <w:rFonts w:ascii="Georgia" w:hAnsi="Georgia"/>
          <w:color w:val="231F20"/>
          <w:spacing w:val="-16"/>
        </w:rPr>
        <w:t> </w:t>
      </w:r>
      <w:r>
        <w:rPr>
          <w:rFonts w:ascii="Georgia" w:hAnsi="Georgia"/>
          <w:color w:val="231F20"/>
        </w:rPr>
        <w:t>de</w:t>
      </w:r>
      <w:r>
        <w:rPr>
          <w:rFonts w:ascii="Georgia" w:hAnsi="Georgia"/>
          <w:color w:val="231F20"/>
          <w:spacing w:val="-16"/>
        </w:rPr>
        <w:t> </w:t>
      </w:r>
      <w:r>
        <w:rPr>
          <w:rFonts w:ascii="Georgia" w:hAnsi="Georgia"/>
          <w:color w:val="231F20"/>
        </w:rPr>
        <w:t>mis</w:t>
      </w:r>
      <w:r>
        <w:rPr>
          <w:rFonts w:ascii="Georgia" w:hAnsi="Georgia"/>
          <w:color w:val="231F20"/>
          <w:spacing w:val="-16"/>
        </w:rPr>
        <w:t> </w:t>
      </w:r>
      <w:r>
        <w:rPr>
          <w:rFonts w:ascii="Georgia" w:hAnsi="Georgia"/>
          <w:color w:val="231F20"/>
        </w:rPr>
        <w:t>programas”</w:t>
      </w:r>
      <w:r>
        <w:rPr>
          <w:rFonts w:ascii="Georgia" w:hAnsi="Georgia"/>
          <w:color w:val="231F20"/>
          <w:spacing w:val="-15"/>
        </w:rPr>
        <w:t> </w:t>
      </w:r>
      <w:r>
        <w:rPr>
          <w:rFonts w:ascii="Georgia" w:hAnsi="Georgia"/>
          <w:color w:val="231F20"/>
          <w:spacing w:val="3"/>
        </w:rPr>
        <w:t>(AHEM,</w:t>
      </w:r>
      <w:r>
        <w:rPr>
          <w:rFonts w:ascii="Georgia" w:hAnsi="Georgia"/>
          <w:color w:val="231F20"/>
          <w:spacing w:val="-15"/>
        </w:rPr>
        <w:t> </w:t>
      </w:r>
      <w:r>
        <w:rPr>
          <w:rFonts w:ascii="Georgia" w:hAnsi="Georgia"/>
          <w:color w:val="231F20"/>
          <w:spacing w:val="3"/>
        </w:rPr>
        <w:t>Fondo </w:t>
      </w:r>
      <w:r>
        <w:rPr>
          <w:rFonts w:ascii="Georgia" w:hAnsi="Georgia"/>
          <w:color w:val="231F20"/>
          <w:spacing w:val="2"/>
          <w:w w:val="95"/>
        </w:rPr>
        <w:t>Educación,</w:t>
      </w:r>
      <w:r>
        <w:rPr>
          <w:rFonts w:ascii="Georgia" w:hAnsi="Georgia"/>
          <w:color w:val="231F20"/>
          <w:spacing w:val="-15"/>
          <w:w w:val="95"/>
        </w:rPr>
        <w:t> </w:t>
      </w:r>
      <w:r>
        <w:rPr>
          <w:rFonts w:ascii="Georgia" w:hAnsi="Georgia"/>
          <w:color w:val="231F20"/>
          <w:spacing w:val="2"/>
          <w:w w:val="95"/>
        </w:rPr>
        <w:t>Sección</w:t>
      </w:r>
      <w:r>
        <w:rPr>
          <w:rFonts w:ascii="Georgia" w:hAnsi="Georgia"/>
          <w:color w:val="231F20"/>
          <w:spacing w:val="-14"/>
          <w:w w:val="95"/>
        </w:rPr>
        <w:t> </w:t>
      </w:r>
      <w:r>
        <w:rPr>
          <w:rFonts w:ascii="Georgia" w:hAnsi="Georgia"/>
          <w:color w:val="231F20"/>
          <w:spacing w:val="3"/>
          <w:w w:val="95"/>
        </w:rPr>
        <w:t>Educación,</w:t>
      </w:r>
      <w:r>
        <w:rPr>
          <w:rFonts w:ascii="Georgia" w:hAnsi="Georgia"/>
          <w:color w:val="231F20"/>
          <w:spacing w:val="-15"/>
          <w:w w:val="95"/>
        </w:rPr>
        <w:t> </w:t>
      </w:r>
      <w:r>
        <w:rPr>
          <w:rFonts w:ascii="Georgia" w:hAnsi="Georgia"/>
          <w:color w:val="231F20"/>
          <w:spacing w:val="2"/>
          <w:w w:val="95"/>
        </w:rPr>
        <w:t>fechas</w:t>
      </w:r>
      <w:r>
        <w:rPr>
          <w:rFonts w:ascii="Georgia" w:hAnsi="Georgia"/>
          <w:color w:val="231F20"/>
          <w:spacing w:val="-14"/>
          <w:w w:val="95"/>
        </w:rPr>
        <w:t> </w:t>
      </w:r>
      <w:r>
        <w:rPr>
          <w:rFonts w:ascii="Georgia" w:hAnsi="Georgia"/>
          <w:color w:val="231F20"/>
          <w:spacing w:val="2"/>
          <w:w w:val="95"/>
        </w:rPr>
        <w:t>extremas</w:t>
      </w:r>
      <w:r>
        <w:rPr>
          <w:rFonts w:ascii="Georgia" w:hAnsi="Georgia"/>
          <w:color w:val="231F20"/>
          <w:spacing w:val="-14"/>
          <w:w w:val="95"/>
        </w:rPr>
        <w:t> </w:t>
      </w:r>
      <w:r>
        <w:rPr>
          <w:rFonts w:ascii="Georgia" w:hAnsi="Georgia"/>
          <w:color w:val="231F20"/>
          <w:spacing w:val="2"/>
          <w:w w:val="95"/>
        </w:rPr>
        <w:t>1937-1938,</w:t>
      </w:r>
      <w:r>
        <w:rPr>
          <w:rFonts w:ascii="Georgia" w:hAnsi="Georgia"/>
          <w:color w:val="231F20"/>
          <w:spacing w:val="-15"/>
          <w:w w:val="95"/>
        </w:rPr>
        <w:t> </w:t>
      </w:r>
      <w:r>
        <w:rPr>
          <w:rFonts w:ascii="Georgia" w:hAnsi="Georgia"/>
          <w:color w:val="231F20"/>
          <w:spacing w:val="2"/>
          <w:w w:val="95"/>
        </w:rPr>
        <w:t>Insti- </w:t>
      </w:r>
      <w:r>
        <w:rPr>
          <w:rFonts w:ascii="Georgia" w:hAnsi="Georgia"/>
          <w:color w:val="231F20"/>
          <w:spacing w:val="2"/>
        </w:rPr>
        <w:t>tuto</w:t>
      </w:r>
      <w:r>
        <w:rPr>
          <w:rFonts w:ascii="Georgia" w:hAnsi="Georgia"/>
          <w:color w:val="231F20"/>
          <w:spacing w:val="-6"/>
        </w:rPr>
        <w:t> </w:t>
      </w:r>
      <w:r>
        <w:rPr>
          <w:rFonts w:ascii="Georgia" w:hAnsi="Georgia"/>
          <w:color w:val="231F20"/>
          <w:spacing w:val="2"/>
        </w:rPr>
        <w:t>Científico</w:t>
      </w:r>
      <w:r>
        <w:rPr>
          <w:rFonts w:ascii="Georgia" w:hAnsi="Georgia"/>
          <w:color w:val="231F20"/>
          <w:spacing w:val="-6"/>
        </w:rPr>
        <w:t> </w:t>
      </w:r>
      <w:r>
        <w:rPr>
          <w:rFonts w:ascii="Georgia" w:hAnsi="Georgia"/>
          <w:color w:val="231F20"/>
        </w:rPr>
        <w:t>y</w:t>
      </w:r>
      <w:r>
        <w:rPr>
          <w:rFonts w:ascii="Georgia" w:hAnsi="Georgia"/>
          <w:color w:val="231F20"/>
          <w:spacing w:val="-6"/>
        </w:rPr>
        <w:t> </w:t>
      </w:r>
      <w:r>
        <w:rPr>
          <w:rFonts w:ascii="Georgia" w:hAnsi="Georgia"/>
          <w:color w:val="231F20"/>
          <w:spacing w:val="2"/>
        </w:rPr>
        <w:t>Literario/Relativo</w:t>
      </w:r>
      <w:r>
        <w:rPr>
          <w:rFonts w:ascii="Georgia" w:hAnsi="Georgia"/>
          <w:color w:val="231F20"/>
          <w:spacing w:val="-6"/>
        </w:rPr>
        <w:t> </w:t>
      </w:r>
      <w:r>
        <w:rPr>
          <w:rFonts w:ascii="Georgia" w:hAnsi="Georgia"/>
          <w:color w:val="231F20"/>
        </w:rPr>
        <w:t>a</w:t>
      </w:r>
      <w:r>
        <w:rPr>
          <w:rFonts w:ascii="Georgia" w:hAnsi="Georgia"/>
          <w:color w:val="231F20"/>
          <w:spacing w:val="-6"/>
        </w:rPr>
        <w:t> </w:t>
      </w:r>
      <w:r>
        <w:rPr>
          <w:rFonts w:ascii="Georgia" w:hAnsi="Georgia"/>
          <w:color w:val="231F20"/>
        </w:rPr>
        <w:t>la</w:t>
      </w:r>
      <w:r>
        <w:rPr>
          <w:rFonts w:ascii="Georgia" w:hAnsi="Georgia"/>
          <w:color w:val="231F20"/>
          <w:spacing w:val="-6"/>
        </w:rPr>
        <w:t> </w:t>
      </w:r>
      <w:r>
        <w:rPr>
          <w:rFonts w:ascii="Georgia" w:hAnsi="Georgia"/>
          <w:color w:val="231F20"/>
          <w:spacing w:val="2"/>
        </w:rPr>
        <w:t>huelga</w:t>
      </w:r>
      <w:r>
        <w:rPr>
          <w:rFonts w:ascii="Georgia" w:hAnsi="Georgia"/>
          <w:color w:val="231F20"/>
          <w:spacing w:val="-6"/>
        </w:rPr>
        <w:t> </w:t>
      </w:r>
      <w:r>
        <w:rPr>
          <w:rFonts w:ascii="Georgia" w:hAnsi="Georgia"/>
          <w:color w:val="231F20"/>
        </w:rPr>
        <w:t>de</w:t>
      </w:r>
      <w:r>
        <w:rPr>
          <w:rFonts w:ascii="Georgia" w:hAnsi="Georgia"/>
          <w:color w:val="231F20"/>
          <w:spacing w:val="-6"/>
        </w:rPr>
        <w:t> </w:t>
      </w:r>
      <w:r>
        <w:rPr>
          <w:rFonts w:ascii="Georgia" w:hAnsi="Georgia"/>
          <w:color w:val="231F20"/>
          <w:spacing w:val="3"/>
        </w:rPr>
        <w:t>alumnos</w:t>
      </w:r>
      <w:r>
        <w:rPr>
          <w:rFonts w:ascii="Georgia" w:hAnsi="Georgia"/>
          <w:color w:val="231F20"/>
          <w:spacing w:val="-6"/>
        </w:rPr>
        <w:t> </w:t>
      </w:r>
      <w:r>
        <w:rPr>
          <w:rFonts w:ascii="Georgia" w:hAnsi="Georgia"/>
          <w:color w:val="231F20"/>
        </w:rPr>
        <w:t>del</w:t>
      </w:r>
    </w:p>
    <w:p>
      <w:pPr>
        <w:pStyle w:val="BodyText"/>
        <w:spacing w:line="244" w:lineRule="exact"/>
        <w:ind w:left="102"/>
        <w:jc w:val="both"/>
        <w:rPr>
          <w:rFonts w:ascii="Segoe UI"/>
          <w:i/>
        </w:rPr>
      </w:pPr>
      <w:r>
        <w:rPr>
          <w:rFonts w:ascii="Georgia"/>
          <w:color w:val="231F20"/>
          <w:w w:val="95"/>
        </w:rPr>
        <w:t>Plantel, Toluca, de julio de 1938)</w:t>
      </w:r>
      <w:r>
        <w:rPr>
          <w:rFonts w:ascii="Segoe UI"/>
          <w:i/>
          <w:color w:val="231F20"/>
          <w:w w:val="95"/>
        </w:rPr>
        <w:t>.</w:t>
      </w:r>
    </w:p>
    <w:p>
      <w:pPr>
        <w:pStyle w:val="BodyText"/>
        <w:spacing w:line="252" w:lineRule="auto" w:before="4"/>
        <w:ind w:left="102" w:right="116" w:firstLine="284"/>
        <w:jc w:val="both"/>
        <w:rPr>
          <w:rFonts w:ascii="Georgia" w:hAnsi="Georgia"/>
        </w:rPr>
      </w:pPr>
      <w:r>
        <w:rPr>
          <w:rFonts w:ascii="Georgia" w:hAnsi="Georgia"/>
          <w:color w:val="231F20"/>
          <w:w w:val="95"/>
        </w:rPr>
        <w:t>No obstante, reconocía el estado de indisciplina que imperaba en</w:t>
      </w:r>
      <w:r>
        <w:rPr>
          <w:rFonts w:ascii="Georgia" w:hAnsi="Georgia"/>
          <w:color w:val="231F20"/>
          <w:spacing w:val="-7"/>
          <w:w w:val="95"/>
        </w:rPr>
        <w:t> </w:t>
      </w:r>
      <w:r>
        <w:rPr>
          <w:rFonts w:ascii="Georgia" w:hAnsi="Georgia"/>
          <w:color w:val="231F20"/>
          <w:w w:val="95"/>
        </w:rPr>
        <w:t>su</w:t>
      </w:r>
      <w:r>
        <w:rPr>
          <w:rFonts w:ascii="Georgia" w:hAnsi="Georgia"/>
          <w:color w:val="231F20"/>
          <w:spacing w:val="-7"/>
          <w:w w:val="95"/>
        </w:rPr>
        <w:t> </w:t>
      </w:r>
      <w:r>
        <w:rPr>
          <w:rFonts w:ascii="Georgia" w:hAnsi="Georgia"/>
          <w:color w:val="231F20"/>
          <w:w w:val="95"/>
        </w:rPr>
        <w:t>clase</w:t>
      </w:r>
      <w:r>
        <w:rPr>
          <w:rFonts w:ascii="Georgia" w:hAnsi="Georgia"/>
          <w:color w:val="231F20"/>
          <w:spacing w:val="-7"/>
          <w:w w:val="95"/>
        </w:rPr>
        <w:t> </w:t>
      </w:r>
      <w:r>
        <w:rPr>
          <w:rFonts w:ascii="Georgia" w:hAnsi="Georgia"/>
          <w:color w:val="231F20"/>
          <w:w w:val="95"/>
        </w:rPr>
        <w:t>e</w:t>
      </w:r>
      <w:r>
        <w:rPr>
          <w:rFonts w:ascii="Georgia" w:hAnsi="Georgia"/>
          <w:color w:val="231F20"/>
          <w:spacing w:val="-7"/>
          <w:w w:val="95"/>
        </w:rPr>
        <w:t> </w:t>
      </w:r>
      <w:r>
        <w:rPr>
          <w:rFonts w:ascii="Georgia" w:hAnsi="Georgia"/>
          <w:color w:val="231F20"/>
          <w:w w:val="95"/>
        </w:rPr>
        <w:t>intentaba</w:t>
      </w:r>
      <w:r>
        <w:rPr>
          <w:rFonts w:ascii="Georgia" w:hAnsi="Georgia"/>
          <w:color w:val="231F20"/>
          <w:spacing w:val="-7"/>
          <w:w w:val="95"/>
        </w:rPr>
        <w:t> </w:t>
      </w:r>
      <w:r>
        <w:rPr>
          <w:rFonts w:ascii="Georgia" w:hAnsi="Georgia"/>
          <w:color w:val="231F20"/>
          <w:w w:val="95"/>
        </w:rPr>
        <w:t>caracterizar</w:t>
      </w:r>
      <w:r>
        <w:rPr>
          <w:rFonts w:ascii="Georgia" w:hAnsi="Georgia"/>
          <w:color w:val="231F20"/>
          <w:spacing w:val="-8"/>
          <w:w w:val="95"/>
        </w:rPr>
        <w:t> </w:t>
      </w:r>
      <w:r>
        <w:rPr>
          <w:rFonts w:ascii="Georgia" w:hAnsi="Georgia"/>
          <w:color w:val="231F20"/>
          <w:w w:val="95"/>
        </w:rPr>
        <w:t>tanto</w:t>
      </w:r>
      <w:r>
        <w:rPr>
          <w:rFonts w:ascii="Georgia" w:hAnsi="Georgia"/>
          <w:color w:val="231F20"/>
          <w:spacing w:val="-7"/>
          <w:w w:val="95"/>
        </w:rPr>
        <w:t> </w:t>
      </w:r>
      <w:r>
        <w:rPr>
          <w:rFonts w:ascii="Georgia" w:hAnsi="Georgia"/>
          <w:color w:val="231F20"/>
          <w:w w:val="95"/>
        </w:rPr>
        <w:t>el</w:t>
      </w:r>
      <w:r>
        <w:rPr>
          <w:rFonts w:ascii="Georgia" w:hAnsi="Georgia"/>
          <w:color w:val="231F20"/>
          <w:spacing w:val="-8"/>
          <w:w w:val="95"/>
        </w:rPr>
        <w:t> </w:t>
      </w:r>
      <w:r>
        <w:rPr>
          <w:rFonts w:ascii="Georgia" w:hAnsi="Georgia"/>
          <w:color w:val="231F20"/>
          <w:w w:val="95"/>
        </w:rPr>
        <w:t>origen</w:t>
      </w:r>
      <w:r>
        <w:rPr>
          <w:rFonts w:ascii="Georgia" w:hAnsi="Georgia"/>
          <w:color w:val="231F20"/>
          <w:spacing w:val="-7"/>
          <w:w w:val="95"/>
        </w:rPr>
        <w:t> </w:t>
      </w:r>
      <w:r>
        <w:rPr>
          <w:rFonts w:ascii="Georgia" w:hAnsi="Georgia"/>
          <w:color w:val="231F20"/>
          <w:w w:val="95"/>
        </w:rPr>
        <w:t>como</w:t>
      </w:r>
      <w:r>
        <w:rPr>
          <w:rFonts w:ascii="Georgia" w:hAnsi="Georgia"/>
          <w:color w:val="231F20"/>
          <w:spacing w:val="-7"/>
          <w:w w:val="95"/>
        </w:rPr>
        <w:t> </w:t>
      </w:r>
      <w:r>
        <w:rPr>
          <w:rFonts w:ascii="Georgia" w:hAnsi="Georgia"/>
          <w:color w:val="231F20"/>
          <w:w w:val="95"/>
        </w:rPr>
        <w:t>las</w:t>
      </w:r>
      <w:r>
        <w:rPr>
          <w:rFonts w:ascii="Georgia" w:hAnsi="Georgia"/>
          <w:color w:val="231F20"/>
          <w:spacing w:val="-8"/>
          <w:w w:val="95"/>
        </w:rPr>
        <w:t> </w:t>
      </w:r>
      <w:r>
        <w:rPr>
          <w:rFonts w:ascii="Georgia" w:hAnsi="Georgia"/>
          <w:color w:val="231F20"/>
          <w:w w:val="95"/>
        </w:rPr>
        <w:t>prácti- </w:t>
      </w:r>
      <w:r>
        <w:rPr>
          <w:rFonts w:ascii="Georgia" w:hAnsi="Georgia"/>
          <w:color w:val="231F20"/>
        </w:rPr>
        <w:t>cas</w:t>
      </w:r>
      <w:r>
        <w:rPr>
          <w:rFonts w:ascii="Georgia" w:hAnsi="Georgia"/>
          <w:color w:val="231F20"/>
          <w:spacing w:val="-23"/>
        </w:rPr>
        <w:t> </w:t>
      </w:r>
      <w:r>
        <w:rPr>
          <w:rFonts w:ascii="Georgia" w:hAnsi="Georgia"/>
          <w:color w:val="231F20"/>
        </w:rPr>
        <w:t>en</w:t>
      </w:r>
      <w:r>
        <w:rPr>
          <w:rFonts w:ascii="Georgia" w:hAnsi="Georgia"/>
          <w:color w:val="231F20"/>
          <w:spacing w:val="-22"/>
        </w:rPr>
        <w:t> </w:t>
      </w:r>
      <w:r>
        <w:rPr>
          <w:rFonts w:ascii="Georgia" w:hAnsi="Georgia"/>
          <w:color w:val="231F20"/>
        </w:rPr>
        <w:t>las</w:t>
      </w:r>
      <w:r>
        <w:rPr>
          <w:rFonts w:ascii="Georgia" w:hAnsi="Georgia"/>
          <w:color w:val="231F20"/>
          <w:spacing w:val="-23"/>
        </w:rPr>
        <w:t> </w:t>
      </w:r>
      <w:r>
        <w:rPr>
          <w:rFonts w:ascii="Georgia" w:hAnsi="Georgia"/>
          <w:color w:val="231F20"/>
        </w:rPr>
        <w:t>que</w:t>
      </w:r>
      <w:r>
        <w:rPr>
          <w:rFonts w:ascii="Georgia" w:hAnsi="Georgia"/>
          <w:color w:val="231F20"/>
          <w:spacing w:val="-22"/>
        </w:rPr>
        <w:t> </w:t>
      </w:r>
      <w:r>
        <w:rPr>
          <w:rFonts w:ascii="Georgia" w:hAnsi="Georgia"/>
          <w:color w:val="231F20"/>
        </w:rPr>
        <w:t>se</w:t>
      </w:r>
      <w:r>
        <w:rPr>
          <w:rFonts w:ascii="Georgia" w:hAnsi="Georgia"/>
          <w:color w:val="231F20"/>
          <w:spacing w:val="-22"/>
        </w:rPr>
        <w:t> </w:t>
      </w:r>
      <w:r>
        <w:rPr>
          <w:rFonts w:ascii="Georgia" w:hAnsi="Georgia"/>
          <w:color w:val="231F20"/>
        </w:rPr>
        <w:t>materializa,</w:t>
      </w:r>
      <w:r>
        <w:rPr>
          <w:rFonts w:ascii="Georgia" w:hAnsi="Georgia"/>
          <w:color w:val="231F20"/>
          <w:spacing w:val="-23"/>
        </w:rPr>
        <w:t> </w:t>
      </w:r>
      <w:r>
        <w:rPr>
          <w:rFonts w:ascii="Georgia" w:hAnsi="Georgia"/>
          <w:color w:val="231F20"/>
        </w:rPr>
        <w:t>o</w:t>
      </w:r>
      <w:r>
        <w:rPr>
          <w:rFonts w:ascii="Georgia" w:hAnsi="Georgia"/>
          <w:color w:val="231F20"/>
          <w:spacing w:val="-22"/>
        </w:rPr>
        <w:t> </w:t>
      </w:r>
      <w:r>
        <w:rPr>
          <w:rFonts w:ascii="Georgia" w:hAnsi="Georgia"/>
          <w:color w:val="231F20"/>
        </w:rPr>
        <w:t>más</w:t>
      </w:r>
      <w:r>
        <w:rPr>
          <w:rFonts w:ascii="Georgia" w:hAnsi="Georgia"/>
          <w:color w:val="231F20"/>
          <w:spacing w:val="-22"/>
        </w:rPr>
        <w:t> </w:t>
      </w:r>
      <w:r>
        <w:rPr>
          <w:rFonts w:ascii="Georgia" w:hAnsi="Georgia"/>
          <w:color w:val="231F20"/>
        </w:rPr>
        <w:t>aún,</w:t>
      </w:r>
      <w:r>
        <w:rPr>
          <w:rFonts w:ascii="Georgia" w:hAnsi="Georgia"/>
          <w:color w:val="231F20"/>
          <w:spacing w:val="-23"/>
        </w:rPr>
        <w:t> </w:t>
      </w:r>
      <w:r>
        <w:rPr>
          <w:rFonts w:ascii="Georgia" w:hAnsi="Georgia"/>
          <w:color w:val="231F20"/>
        </w:rPr>
        <w:t>la</w:t>
      </w:r>
      <w:r>
        <w:rPr>
          <w:rFonts w:ascii="Georgia" w:hAnsi="Georgia"/>
          <w:color w:val="231F20"/>
          <w:spacing w:val="-22"/>
        </w:rPr>
        <w:t> </w:t>
      </w:r>
      <w:r>
        <w:rPr>
          <w:rFonts w:ascii="Georgia" w:hAnsi="Georgia"/>
          <w:color w:val="231F20"/>
        </w:rPr>
        <w:t>forma</w:t>
      </w:r>
      <w:r>
        <w:rPr>
          <w:rFonts w:ascii="Georgia" w:hAnsi="Georgia"/>
          <w:color w:val="231F20"/>
          <w:spacing w:val="-22"/>
        </w:rPr>
        <w:t> </w:t>
      </w:r>
      <w:r>
        <w:rPr>
          <w:rFonts w:ascii="Georgia" w:hAnsi="Georgia"/>
          <w:color w:val="231F20"/>
        </w:rPr>
        <w:t>en</w:t>
      </w:r>
      <w:r>
        <w:rPr>
          <w:rFonts w:ascii="Georgia" w:hAnsi="Georgia"/>
          <w:color w:val="231F20"/>
          <w:spacing w:val="-22"/>
        </w:rPr>
        <w:t> </w:t>
      </w:r>
      <w:r>
        <w:rPr>
          <w:rFonts w:ascii="Georgia" w:hAnsi="Georgia"/>
          <w:color w:val="231F20"/>
        </w:rPr>
        <w:t>que</w:t>
      </w:r>
      <w:r>
        <w:rPr>
          <w:rFonts w:ascii="Georgia" w:hAnsi="Georgia"/>
          <w:color w:val="231F20"/>
          <w:spacing w:val="-22"/>
        </w:rPr>
        <w:t> </w:t>
      </w:r>
      <w:r>
        <w:rPr>
          <w:rFonts w:ascii="Georgia" w:hAnsi="Georgia"/>
          <w:color w:val="231F20"/>
        </w:rPr>
        <w:t>se</w:t>
      </w:r>
      <w:r>
        <w:rPr>
          <w:rFonts w:ascii="Georgia" w:hAnsi="Georgia"/>
          <w:color w:val="231F20"/>
          <w:spacing w:val="-23"/>
        </w:rPr>
        <w:t> </w:t>
      </w:r>
      <w:r>
        <w:rPr>
          <w:rFonts w:ascii="Georgia" w:hAnsi="Georgia"/>
          <w:color w:val="231F20"/>
        </w:rPr>
        <w:t>encar- naban</w:t>
      </w:r>
      <w:r>
        <w:rPr>
          <w:rFonts w:ascii="Georgia" w:hAnsi="Georgia"/>
          <w:color w:val="231F20"/>
          <w:spacing w:val="-5"/>
        </w:rPr>
        <w:t> </w:t>
      </w:r>
      <w:r>
        <w:rPr>
          <w:rFonts w:ascii="Georgia" w:hAnsi="Georgia"/>
          <w:color w:val="231F20"/>
        </w:rPr>
        <w:t>en</w:t>
      </w:r>
      <w:r>
        <w:rPr>
          <w:rFonts w:ascii="Georgia" w:hAnsi="Georgia"/>
          <w:color w:val="231F20"/>
          <w:spacing w:val="-5"/>
        </w:rPr>
        <w:t> </w:t>
      </w:r>
      <w:r>
        <w:rPr>
          <w:rFonts w:ascii="Georgia" w:hAnsi="Georgia"/>
          <w:color w:val="231F20"/>
        </w:rPr>
        <w:t>el</w:t>
      </w:r>
      <w:r>
        <w:rPr>
          <w:rFonts w:ascii="Georgia" w:hAnsi="Georgia"/>
          <w:color w:val="231F20"/>
          <w:spacing w:val="-5"/>
        </w:rPr>
        <w:t> </w:t>
      </w:r>
      <w:r>
        <w:rPr>
          <w:rFonts w:ascii="Georgia" w:hAnsi="Georgia"/>
          <w:color w:val="231F20"/>
        </w:rPr>
        <w:t>sentido</w:t>
      </w:r>
      <w:r>
        <w:rPr>
          <w:rFonts w:ascii="Georgia" w:hAnsi="Georgia"/>
          <w:color w:val="231F20"/>
          <w:spacing w:val="-5"/>
        </w:rPr>
        <w:t> </w:t>
      </w:r>
      <w:r>
        <w:rPr>
          <w:rFonts w:ascii="Georgia" w:hAnsi="Georgia"/>
          <w:color w:val="231F20"/>
        </w:rPr>
        <w:t>físico</w:t>
      </w:r>
      <w:r>
        <w:rPr>
          <w:rFonts w:ascii="Georgia" w:hAnsi="Georgia"/>
          <w:color w:val="231F20"/>
          <w:spacing w:val="-5"/>
        </w:rPr>
        <w:t> </w:t>
      </w:r>
      <w:r>
        <w:rPr>
          <w:rFonts w:ascii="Georgia" w:hAnsi="Georgia"/>
          <w:color w:val="231F20"/>
        </w:rPr>
        <w:t>y</w:t>
      </w:r>
      <w:r>
        <w:rPr>
          <w:rFonts w:ascii="Georgia" w:hAnsi="Georgia"/>
          <w:color w:val="231F20"/>
          <w:spacing w:val="-5"/>
        </w:rPr>
        <w:t> </w:t>
      </w:r>
      <w:r>
        <w:rPr>
          <w:rFonts w:ascii="Georgia" w:hAnsi="Georgia"/>
          <w:color w:val="231F20"/>
        </w:rPr>
        <w:t>material</w:t>
      </w:r>
      <w:r>
        <w:rPr>
          <w:rFonts w:ascii="Georgia" w:hAnsi="Georgia"/>
          <w:color w:val="231F20"/>
          <w:spacing w:val="-5"/>
        </w:rPr>
        <w:t> </w:t>
      </w:r>
      <w:r>
        <w:rPr>
          <w:rFonts w:ascii="Georgia" w:hAnsi="Georgia"/>
          <w:color w:val="231F20"/>
        </w:rPr>
        <w:t>de</w:t>
      </w:r>
      <w:r>
        <w:rPr>
          <w:rFonts w:ascii="Georgia" w:hAnsi="Georgia"/>
          <w:color w:val="231F20"/>
          <w:spacing w:val="-5"/>
        </w:rPr>
        <w:t> </w:t>
      </w:r>
      <w:r>
        <w:rPr>
          <w:rFonts w:ascii="Georgia" w:hAnsi="Georgia"/>
          <w:color w:val="231F20"/>
        </w:rPr>
        <w:t>la</w:t>
      </w:r>
      <w:r>
        <w:rPr>
          <w:rFonts w:ascii="Georgia" w:hAnsi="Georgia"/>
          <w:color w:val="231F20"/>
          <w:spacing w:val="-5"/>
        </w:rPr>
        <w:t> </w:t>
      </w:r>
      <w:r>
        <w:rPr>
          <w:rFonts w:ascii="Georgia" w:hAnsi="Georgia"/>
          <w:color w:val="231F20"/>
        </w:rPr>
        <w:t>expresión.</w:t>
      </w:r>
      <w:r>
        <w:rPr>
          <w:rFonts w:ascii="Georgia" w:hAnsi="Georgia"/>
          <w:color w:val="231F20"/>
          <w:spacing w:val="-5"/>
        </w:rPr>
        <w:t> </w:t>
      </w:r>
      <w:r>
        <w:rPr>
          <w:rFonts w:ascii="Georgia" w:hAnsi="Georgia"/>
          <w:color w:val="231F20"/>
        </w:rPr>
        <w:t>Por</w:t>
      </w:r>
      <w:r>
        <w:rPr>
          <w:rFonts w:ascii="Georgia" w:hAnsi="Georgia"/>
          <w:color w:val="231F20"/>
          <w:spacing w:val="-5"/>
        </w:rPr>
        <w:t> </w:t>
      </w:r>
      <w:r>
        <w:rPr>
          <w:rFonts w:ascii="Georgia" w:hAnsi="Georgia"/>
          <w:color w:val="231F20"/>
        </w:rPr>
        <w:t>ser</w:t>
      </w:r>
      <w:r>
        <w:rPr>
          <w:rFonts w:ascii="Georgia" w:hAnsi="Georgia"/>
          <w:color w:val="231F20"/>
          <w:spacing w:val="-5"/>
        </w:rPr>
        <w:t> </w:t>
      </w:r>
      <w:r>
        <w:rPr>
          <w:rFonts w:ascii="Georgia" w:hAnsi="Georgia"/>
          <w:color w:val="231F20"/>
        </w:rPr>
        <w:t>un </w:t>
      </w:r>
      <w:r>
        <w:rPr>
          <w:rFonts w:ascii="Georgia" w:hAnsi="Georgia"/>
          <w:color w:val="231F20"/>
          <w:w w:val="95"/>
        </w:rPr>
        <w:t>documento</w:t>
      </w:r>
      <w:r>
        <w:rPr>
          <w:rFonts w:ascii="Georgia" w:hAnsi="Georgia"/>
          <w:color w:val="231F20"/>
          <w:spacing w:val="-12"/>
          <w:w w:val="95"/>
        </w:rPr>
        <w:t> </w:t>
      </w:r>
      <w:r>
        <w:rPr>
          <w:rFonts w:ascii="Georgia" w:hAnsi="Georgia"/>
          <w:color w:val="231F20"/>
          <w:w w:val="95"/>
        </w:rPr>
        <w:t>paradigmático</w:t>
      </w:r>
      <w:r>
        <w:rPr>
          <w:rFonts w:ascii="Georgia" w:hAnsi="Georgia"/>
          <w:color w:val="231F20"/>
          <w:spacing w:val="-12"/>
          <w:w w:val="95"/>
        </w:rPr>
        <w:t> </w:t>
      </w:r>
      <w:r>
        <w:rPr>
          <w:rFonts w:ascii="Georgia" w:hAnsi="Georgia"/>
          <w:color w:val="231F20"/>
          <w:w w:val="95"/>
        </w:rPr>
        <w:t>de</w:t>
      </w:r>
      <w:r>
        <w:rPr>
          <w:rFonts w:ascii="Georgia" w:hAnsi="Georgia"/>
          <w:color w:val="231F20"/>
          <w:spacing w:val="-12"/>
          <w:w w:val="95"/>
        </w:rPr>
        <w:t> </w:t>
      </w:r>
      <w:r>
        <w:rPr>
          <w:rFonts w:ascii="Georgia" w:hAnsi="Georgia"/>
          <w:color w:val="231F20"/>
          <w:w w:val="95"/>
        </w:rPr>
        <w:t>violencia</w:t>
      </w:r>
      <w:r>
        <w:rPr>
          <w:rFonts w:ascii="Georgia" w:hAnsi="Georgia"/>
          <w:color w:val="231F20"/>
          <w:spacing w:val="-12"/>
          <w:w w:val="95"/>
        </w:rPr>
        <w:t> </w:t>
      </w:r>
      <w:r>
        <w:rPr>
          <w:rFonts w:ascii="Georgia" w:hAnsi="Georgia"/>
          <w:color w:val="231F20"/>
          <w:w w:val="95"/>
        </w:rPr>
        <w:t>escolar,</w:t>
      </w:r>
      <w:r>
        <w:rPr>
          <w:rFonts w:ascii="Georgia" w:hAnsi="Georgia"/>
          <w:color w:val="231F20"/>
          <w:spacing w:val="-12"/>
          <w:w w:val="95"/>
        </w:rPr>
        <w:t> </w:t>
      </w:r>
      <w:r>
        <w:rPr>
          <w:rFonts w:ascii="Georgia" w:hAnsi="Georgia"/>
          <w:color w:val="231F20"/>
          <w:w w:val="95"/>
        </w:rPr>
        <w:t>de</w:t>
      </w:r>
      <w:r>
        <w:rPr>
          <w:rFonts w:ascii="Georgia" w:hAnsi="Georgia"/>
          <w:color w:val="231F20"/>
          <w:spacing w:val="-12"/>
          <w:w w:val="95"/>
        </w:rPr>
        <w:t> </w:t>
      </w:r>
      <w:r>
        <w:rPr>
          <w:rFonts w:ascii="Georgia" w:hAnsi="Georgia"/>
          <w:color w:val="231F20"/>
          <w:w w:val="95"/>
        </w:rPr>
        <w:t>soportes</w:t>
      </w:r>
      <w:r>
        <w:rPr>
          <w:rFonts w:ascii="Georgia" w:hAnsi="Georgia"/>
          <w:color w:val="231F20"/>
          <w:spacing w:val="-12"/>
          <w:w w:val="95"/>
        </w:rPr>
        <w:t> </w:t>
      </w:r>
      <w:r>
        <w:rPr>
          <w:rFonts w:ascii="Georgia" w:hAnsi="Georgia"/>
          <w:color w:val="231F20"/>
          <w:w w:val="95"/>
        </w:rPr>
        <w:t>simbó- </w:t>
      </w:r>
      <w:r>
        <w:rPr>
          <w:rFonts w:ascii="Georgia" w:hAnsi="Georgia"/>
          <w:color w:val="231F20"/>
        </w:rPr>
        <w:t>licos,</w:t>
      </w:r>
      <w:r>
        <w:rPr>
          <w:rFonts w:ascii="Georgia" w:hAnsi="Georgia"/>
          <w:color w:val="231F20"/>
          <w:spacing w:val="-13"/>
        </w:rPr>
        <w:t> </w:t>
      </w:r>
      <w:r>
        <w:rPr>
          <w:rFonts w:ascii="Georgia" w:hAnsi="Georgia"/>
          <w:color w:val="231F20"/>
        </w:rPr>
        <w:t>de</w:t>
      </w:r>
      <w:r>
        <w:rPr>
          <w:rFonts w:ascii="Georgia" w:hAnsi="Georgia"/>
          <w:color w:val="231F20"/>
          <w:spacing w:val="-13"/>
        </w:rPr>
        <w:t> </w:t>
      </w:r>
      <w:r>
        <w:rPr>
          <w:rFonts w:ascii="Georgia" w:hAnsi="Georgia"/>
          <w:color w:val="231F20"/>
        </w:rPr>
        <w:t>sus</w:t>
      </w:r>
      <w:r>
        <w:rPr>
          <w:rFonts w:ascii="Georgia" w:hAnsi="Georgia"/>
          <w:color w:val="231F20"/>
          <w:spacing w:val="-13"/>
        </w:rPr>
        <w:t> </w:t>
      </w:r>
      <w:r>
        <w:rPr>
          <w:rFonts w:ascii="Georgia" w:hAnsi="Georgia"/>
          <w:color w:val="231F20"/>
        </w:rPr>
        <w:t>modalidades,</w:t>
      </w:r>
      <w:r>
        <w:rPr>
          <w:rFonts w:ascii="Georgia" w:hAnsi="Georgia"/>
          <w:color w:val="231F20"/>
          <w:spacing w:val="-13"/>
        </w:rPr>
        <w:t> </w:t>
      </w:r>
      <w:r>
        <w:rPr>
          <w:rFonts w:ascii="Georgia" w:hAnsi="Georgia"/>
          <w:color w:val="231F20"/>
        </w:rPr>
        <w:t>y</w:t>
      </w:r>
      <w:r>
        <w:rPr>
          <w:rFonts w:ascii="Georgia" w:hAnsi="Georgia"/>
          <w:color w:val="231F20"/>
          <w:spacing w:val="-13"/>
        </w:rPr>
        <w:t> </w:t>
      </w:r>
      <w:r>
        <w:rPr>
          <w:rFonts w:ascii="Georgia" w:hAnsi="Georgia"/>
          <w:color w:val="231F20"/>
        </w:rPr>
        <w:t>de</w:t>
      </w:r>
      <w:r>
        <w:rPr>
          <w:rFonts w:ascii="Georgia" w:hAnsi="Georgia"/>
          <w:color w:val="231F20"/>
          <w:spacing w:val="-13"/>
        </w:rPr>
        <w:t> </w:t>
      </w:r>
      <w:r>
        <w:rPr>
          <w:rFonts w:ascii="Georgia" w:hAnsi="Georgia"/>
          <w:color w:val="231F20"/>
        </w:rPr>
        <w:t>los</w:t>
      </w:r>
      <w:r>
        <w:rPr>
          <w:rFonts w:ascii="Georgia" w:hAnsi="Georgia"/>
          <w:color w:val="231F20"/>
          <w:spacing w:val="-13"/>
        </w:rPr>
        <w:t> </w:t>
      </w:r>
      <w:r>
        <w:rPr>
          <w:rFonts w:ascii="Georgia" w:hAnsi="Georgia"/>
          <w:color w:val="231F20"/>
        </w:rPr>
        <w:t>sujetos</w:t>
      </w:r>
      <w:r>
        <w:rPr>
          <w:rFonts w:ascii="Georgia" w:hAnsi="Georgia"/>
          <w:color w:val="231F20"/>
          <w:spacing w:val="-13"/>
        </w:rPr>
        <w:t> </w:t>
      </w:r>
      <w:r>
        <w:rPr>
          <w:rFonts w:ascii="Georgia" w:hAnsi="Georgia"/>
          <w:color w:val="231F20"/>
        </w:rPr>
        <w:t>que</w:t>
      </w:r>
      <w:r>
        <w:rPr>
          <w:rFonts w:ascii="Georgia" w:hAnsi="Georgia"/>
          <w:color w:val="231F20"/>
          <w:spacing w:val="-13"/>
        </w:rPr>
        <w:t> </w:t>
      </w:r>
      <w:r>
        <w:rPr>
          <w:rFonts w:ascii="Georgia" w:hAnsi="Georgia"/>
          <w:color w:val="231F20"/>
        </w:rPr>
        <w:t>la</w:t>
      </w:r>
      <w:r>
        <w:rPr>
          <w:rFonts w:ascii="Georgia" w:hAnsi="Georgia"/>
          <w:color w:val="231F20"/>
          <w:spacing w:val="-13"/>
        </w:rPr>
        <w:t> </w:t>
      </w:r>
      <w:r>
        <w:rPr>
          <w:rFonts w:ascii="Georgia" w:hAnsi="Georgia"/>
          <w:color w:val="231F20"/>
        </w:rPr>
        <w:t>ejercían,</w:t>
      </w:r>
      <w:r>
        <w:rPr>
          <w:rFonts w:ascii="Georgia" w:hAnsi="Georgia"/>
          <w:color w:val="231F20"/>
          <w:spacing w:val="-13"/>
        </w:rPr>
        <w:t> </w:t>
      </w:r>
      <w:r>
        <w:rPr>
          <w:rFonts w:ascii="Georgia" w:hAnsi="Georgia"/>
          <w:color w:val="231F20"/>
        </w:rPr>
        <w:t>vale</w:t>
      </w:r>
      <w:r>
        <w:rPr>
          <w:rFonts w:ascii="Georgia" w:hAnsi="Georgia"/>
          <w:color w:val="231F20"/>
          <w:spacing w:val="-13"/>
        </w:rPr>
        <w:t> </w:t>
      </w:r>
      <w:r>
        <w:rPr>
          <w:rFonts w:ascii="Georgia" w:hAnsi="Georgia"/>
          <w:color w:val="231F20"/>
        </w:rPr>
        <w:t>la </w:t>
      </w:r>
      <w:r>
        <w:rPr>
          <w:rFonts w:ascii="Georgia" w:hAnsi="Georgia"/>
          <w:color w:val="231F20"/>
          <w:w w:val="95"/>
        </w:rPr>
        <w:t>pena</w:t>
      </w:r>
      <w:r>
        <w:rPr>
          <w:rFonts w:ascii="Georgia" w:hAnsi="Georgia"/>
          <w:color w:val="231F20"/>
          <w:spacing w:val="-21"/>
          <w:w w:val="95"/>
        </w:rPr>
        <w:t> </w:t>
      </w:r>
      <w:r>
        <w:rPr>
          <w:rFonts w:ascii="Georgia" w:hAnsi="Georgia"/>
          <w:color w:val="231F20"/>
          <w:w w:val="95"/>
        </w:rPr>
        <w:t>citar</w:t>
      </w:r>
      <w:r>
        <w:rPr>
          <w:rFonts w:ascii="Georgia" w:hAnsi="Georgia"/>
          <w:color w:val="231F20"/>
          <w:spacing w:val="-22"/>
          <w:w w:val="95"/>
        </w:rPr>
        <w:t> </w:t>
      </w:r>
      <w:r>
        <w:rPr>
          <w:rFonts w:ascii="Georgia" w:hAnsi="Georgia"/>
          <w:color w:val="231F20"/>
          <w:w w:val="95"/>
        </w:rPr>
        <w:t>en</w:t>
      </w:r>
      <w:r>
        <w:rPr>
          <w:rFonts w:ascii="Georgia" w:hAnsi="Georgia"/>
          <w:color w:val="231F20"/>
          <w:spacing w:val="-21"/>
          <w:w w:val="95"/>
        </w:rPr>
        <w:t> </w:t>
      </w:r>
      <w:r>
        <w:rPr>
          <w:rFonts w:ascii="Georgia" w:hAnsi="Georgia"/>
          <w:color w:val="231F20"/>
          <w:w w:val="95"/>
        </w:rPr>
        <w:t>extenso,</w:t>
      </w:r>
      <w:r>
        <w:rPr>
          <w:rFonts w:ascii="Georgia" w:hAnsi="Georgia"/>
          <w:color w:val="231F20"/>
          <w:spacing w:val="-22"/>
          <w:w w:val="95"/>
        </w:rPr>
        <w:t> </w:t>
      </w:r>
      <w:r>
        <w:rPr>
          <w:rFonts w:ascii="Georgia" w:hAnsi="Georgia"/>
          <w:color w:val="231F20"/>
          <w:w w:val="95"/>
        </w:rPr>
        <w:t>la</w:t>
      </w:r>
      <w:r>
        <w:rPr>
          <w:rFonts w:ascii="Georgia" w:hAnsi="Georgia"/>
          <w:color w:val="231F20"/>
          <w:spacing w:val="-21"/>
          <w:w w:val="95"/>
        </w:rPr>
        <w:t> </w:t>
      </w:r>
      <w:r>
        <w:rPr>
          <w:rFonts w:ascii="Georgia" w:hAnsi="Georgia"/>
          <w:color w:val="231F20"/>
          <w:w w:val="95"/>
        </w:rPr>
        <w:t>parte</w:t>
      </w:r>
      <w:r>
        <w:rPr>
          <w:rFonts w:ascii="Georgia" w:hAnsi="Georgia"/>
          <w:color w:val="231F20"/>
          <w:spacing w:val="-21"/>
          <w:w w:val="95"/>
        </w:rPr>
        <w:t> </w:t>
      </w:r>
      <w:r>
        <w:rPr>
          <w:rFonts w:ascii="Georgia" w:hAnsi="Georgia"/>
          <w:color w:val="231F20"/>
          <w:w w:val="95"/>
        </w:rPr>
        <w:t>respectiva</w:t>
      </w:r>
      <w:r>
        <w:rPr>
          <w:rFonts w:ascii="Georgia" w:hAnsi="Georgia"/>
          <w:color w:val="231F20"/>
          <w:spacing w:val="-21"/>
          <w:w w:val="95"/>
        </w:rPr>
        <w:t> </w:t>
      </w:r>
      <w:r>
        <w:rPr>
          <w:rFonts w:ascii="Georgia" w:hAnsi="Georgia"/>
          <w:color w:val="231F20"/>
          <w:w w:val="95"/>
        </w:rPr>
        <w:t>del</w:t>
      </w:r>
      <w:r>
        <w:rPr>
          <w:rFonts w:ascii="Georgia" w:hAnsi="Georgia"/>
          <w:color w:val="231F20"/>
          <w:spacing w:val="-22"/>
          <w:w w:val="95"/>
        </w:rPr>
        <w:t> </w:t>
      </w:r>
      <w:r>
        <w:rPr>
          <w:rFonts w:ascii="Georgia" w:hAnsi="Georgia"/>
          <w:color w:val="231F20"/>
          <w:w w:val="95"/>
        </w:rPr>
        <w:t>texto</w:t>
      </w:r>
      <w:r>
        <w:rPr>
          <w:rFonts w:ascii="Georgia" w:hAnsi="Georgia"/>
          <w:color w:val="231F20"/>
          <w:spacing w:val="-21"/>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Reyes:</w:t>
      </w:r>
    </w:p>
    <w:p>
      <w:pPr>
        <w:pStyle w:val="BodyText"/>
        <w:spacing w:before="4"/>
        <w:rPr>
          <w:rFonts w:ascii="Georgia"/>
          <w:sz w:val="23"/>
        </w:rPr>
      </w:pPr>
    </w:p>
    <w:p>
      <w:pPr>
        <w:spacing w:before="1"/>
        <w:ind w:left="810" w:right="121" w:firstLine="0"/>
        <w:jc w:val="left"/>
        <w:rPr>
          <w:rFonts w:ascii="Georgia"/>
          <w:sz w:val="19"/>
        </w:rPr>
      </w:pPr>
      <w:r>
        <w:rPr>
          <w:rFonts w:ascii="Georgia"/>
          <w:color w:val="231F20"/>
          <w:w w:val="95"/>
          <w:sz w:val="19"/>
        </w:rPr>
        <w:t>A mi modo de ver entiendo que la indisciplina consiste:</w:t>
      </w:r>
    </w:p>
    <w:p>
      <w:pPr>
        <w:spacing w:line="278" w:lineRule="auto" w:before="33"/>
        <w:ind w:left="810" w:right="102" w:firstLine="0"/>
        <w:jc w:val="left"/>
        <w:rPr>
          <w:rFonts w:ascii="Georgia"/>
          <w:sz w:val="19"/>
        </w:rPr>
      </w:pPr>
      <w:r>
        <w:rPr>
          <w:rFonts w:ascii="Georgia"/>
          <w:color w:val="231F20"/>
          <w:w w:val="95"/>
          <w:sz w:val="19"/>
        </w:rPr>
        <w:t>Primero: En que alumnos perezosos y turbulentos desorganicen el orden.</w:t>
      </w:r>
    </w:p>
    <w:p>
      <w:pPr>
        <w:spacing w:after="0" w:line="278" w:lineRule="auto"/>
        <w:jc w:val="left"/>
        <w:rPr>
          <w:rFonts w:ascii="Georgia"/>
          <w:sz w:val="19"/>
        </w:rPr>
        <w:sectPr>
          <w:headerReference w:type="default" r:id="rId304"/>
          <w:footerReference w:type="default" r:id="rId305"/>
          <w:pgSz w:w="7830" w:h="11910"/>
          <w:pgMar w:header="0" w:footer="424" w:top="500" w:bottom="620" w:left="920" w:right="900"/>
          <w:pgNumType w:start="141"/>
        </w:sectPr>
      </w:pPr>
    </w:p>
    <w:p>
      <w:pPr>
        <w:spacing w:before="48"/>
        <w:ind w:left="596" w:right="121" w:firstLine="0"/>
        <w:jc w:val="left"/>
        <w:rPr>
          <w:rFonts w:ascii="Georgia" w:hAnsi="Georgia"/>
          <w:sz w:val="13"/>
        </w:rPr>
      </w:pPr>
      <w:r>
        <w:rPr>
          <w:rFonts w:ascii="Georgia" w:hAnsi="Georgia"/>
          <w:color w:val="231F20"/>
          <w:sz w:val="16"/>
        </w:rPr>
        <w:t>I</w:t>
      </w:r>
      <w:r>
        <w:rPr>
          <w:rFonts w:ascii="Georgia" w:hAnsi="Georgia"/>
          <w:color w:val="231F20"/>
          <w:sz w:val="13"/>
        </w:rPr>
        <w:t>RMA </w:t>
      </w:r>
      <w:r>
        <w:rPr>
          <w:rFonts w:ascii="Georgia" w:hAnsi="Georgia"/>
          <w:color w:val="231F20"/>
          <w:sz w:val="16"/>
        </w:rPr>
        <w:t>G</w:t>
      </w:r>
      <w:r>
        <w:rPr>
          <w:rFonts w:ascii="Georgia" w:hAnsi="Georgia"/>
          <w:color w:val="231F20"/>
          <w:sz w:val="13"/>
        </w:rPr>
        <w:t>UADALUPE </w:t>
      </w:r>
      <w:r>
        <w:rPr>
          <w:rFonts w:ascii="Georgia" w:hAnsi="Georgia"/>
          <w:color w:val="231F20"/>
          <w:sz w:val="16"/>
        </w:rPr>
        <w:t>G</w:t>
      </w:r>
      <w:r>
        <w:rPr>
          <w:rFonts w:ascii="Georgia" w:hAnsi="Georgia"/>
          <w:color w:val="231F20"/>
          <w:sz w:val="13"/>
        </w:rPr>
        <w:t>ONZÁLEZ </w:t>
      </w:r>
      <w:r>
        <w:rPr>
          <w:rFonts w:ascii="Georgia" w:hAnsi="Georgia"/>
          <w:color w:val="231F20"/>
          <w:sz w:val="16"/>
        </w:rPr>
        <w:t>C</w:t>
      </w:r>
      <w:r>
        <w:rPr>
          <w:rFonts w:ascii="Georgia" w:hAnsi="Georgia"/>
          <w:color w:val="231F20"/>
          <w:sz w:val="13"/>
        </w:rPr>
        <w:t>ORZO Y </w:t>
      </w:r>
      <w:r>
        <w:rPr>
          <w:rFonts w:ascii="Georgia" w:hAnsi="Georgia"/>
          <w:color w:val="231F20"/>
          <w:sz w:val="16"/>
        </w:rPr>
        <w:t>R</w:t>
      </w:r>
      <w:r>
        <w:rPr>
          <w:rFonts w:ascii="Georgia" w:hAnsi="Georgia"/>
          <w:color w:val="231F20"/>
          <w:sz w:val="13"/>
        </w:rPr>
        <w:t>OSA </w:t>
      </w:r>
      <w:r>
        <w:rPr>
          <w:rFonts w:ascii="Georgia" w:hAnsi="Georgia"/>
          <w:color w:val="231F20"/>
          <w:sz w:val="16"/>
        </w:rPr>
        <w:t>M</w:t>
      </w:r>
      <w:r>
        <w:rPr>
          <w:rFonts w:ascii="Georgia" w:hAnsi="Georgia"/>
          <w:color w:val="231F20"/>
          <w:sz w:val="13"/>
        </w:rPr>
        <w:t>ARÍA </w:t>
      </w:r>
      <w:r>
        <w:rPr>
          <w:rFonts w:ascii="Georgia" w:hAnsi="Georgia"/>
          <w:color w:val="231F20"/>
          <w:sz w:val="16"/>
        </w:rPr>
        <w:t>R</w:t>
      </w:r>
      <w:r>
        <w:rPr>
          <w:rFonts w:ascii="Georgia" w:hAnsi="Georgia"/>
          <w:color w:val="231F20"/>
          <w:sz w:val="13"/>
        </w:rPr>
        <w:t>AMÍREZ </w:t>
      </w:r>
      <w:r>
        <w:rPr>
          <w:rFonts w:ascii="Georgia" w:hAnsi="Georgia"/>
          <w:color w:val="231F20"/>
          <w:sz w:val="16"/>
        </w:rPr>
        <w:t>M</w:t>
      </w:r>
      <w:r>
        <w:rPr>
          <w:rFonts w:ascii="Georgia" w:hAnsi="Georgia"/>
          <w:color w:val="231F20"/>
          <w:sz w:val="13"/>
        </w:rPr>
        <w:t>ARTÍNEZ</w:t>
      </w:r>
    </w:p>
    <w:p>
      <w:pPr>
        <w:pStyle w:val="BodyText"/>
        <w:rPr>
          <w:rFonts w:ascii="Georgia"/>
          <w:sz w:val="16"/>
        </w:rPr>
      </w:pPr>
    </w:p>
    <w:p>
      <w:pPr>
        <w:pStyle w:val="BodyText"/>
        <w:rPr>
          <w:rFonts w:ascii="Georgia"/>
          <w:sz w:val="16"/>
        </w:rPr>
      </w:pPr>
    </w:p>
    <w:p>
      <w:pPr>
        <w:spacing w:line="278" w:lineRule="auto" w:before="118"/>
        <w:ind w:left="810" w:right="168" w:firstLine="0"/>
        <w:jc w:val="both"/>
        <w:rPr>
          <w:rFonts w:ascii="Georgia"/>
          <w:sz w:val="19"/>
        </w:rPr>
      </w:pPr>
      <w:r>
        <w:rPr>
          <w:rFonts w:ascii="Georgia"/>
          <w:color w:val="231F20"/>
          <w:sz w:val="19"/>
        </w:rPr>
        <w:t>Segundo: Que el maestro deje hacer lo que los alumnos les plazca.</w:t>
      </w:r>
    </w:p>
    <w:p>
      <w:pPr>
        <w:spacing w:line="276" w:lineRule="auto" w:before="0"/>
        <w:ind w:left="810" w:right="166" w:firstLine="0"/>
        <w:jc w:val="both"/>
        <w:rPr>
          <w:rFonts w:ascii="Georgia"/>
          <w:sz w:val="19"/>
        </w:rPr>
      </w:pPr>
      <w:r>
        <w:rPr>
          <w:rFonts w:ascii="Georgia"/>
          <w:color w:val="231F20"/>
          <w:w w:val="95"/>
          <w:sz w:val="19"/>
        </w:rPr>
        <w:t>Tercero: Que los mismos alumnos comprendan que el profesor se discimula [</w:t>
      </w:r>
      <w:r>
        <w:rPr>
          <w:i/>
          <w:color w:val="231F20"/>
          <w:w w:val="95"/>
          <w:sz w:val="19"/>
        </w:rPr>
        <w:t>sic</w:t>
      </w:r>
      <w:r>
        <w:rPr>
          <w:rFonts w:ascii="Georgia"/>
          <w:color w:val="231F20"/>
          <w:w w:val="95"/>
          <w:sz w:val="19"/>
        </w:rPr>
        <w:t>] y no toma ninguna medida para evitarlo y en- tonces el maestro es un juguete de los alumnos.</w:t>
      </w:r>
    </w:p>
    <w:p>
      <w:pPr>
        <w:spacing w:line="276" w:lineRule="auto" w:before="6"/>
        <w:ind w:left="810" w:right="121" w:firstLine="0"/>
        <w:jc w:val="left"/>
        <w:rPr>
          <w:rFonts w:ascii="Georgia" w:hAnsi="Georgia"/>
          <w:sz w:val="19"/>
        </w:rPr>
      </w:pPr>
      <w:r>
        <w:rPr>
          <w:rFonts w:ascii="Georgia" w:hAnsi="Georgia"/>
          <w:color w:val="231F20"/>
          <w:w w:val="95"/>
          <w:sz w:val="19"/>
        </w:rPr>
        <w:t>Cuarto: Que los sres. prefectos les conste que el profesor, a pe- sar</w:t>
      </w:r>
      <w:r>
        <w:rPr>
          <w:rFonts w:ascii="Georgia" w:hAnsi="Georgia"/>
          <w:color w:val="231F20"/>
          <w:spacing w:val="-18"/>
          <w:w w:val="95"/>
          <w:sz w:val="19"/>
        </w:rPr>
        <w:t> </w:t>
      </w:r>
      <w:r>
        <w:rPr>
          <w:rFonts w:ascii="Georgia" w:hAnsi="Georgia"/>
          <w:color w:val="231F20"/>
          <w:w w:val="95"/>
          <w:sz w:val="19"/>
        </w:rPr>
        <w:t>de</w:t>
      </w:r>
      <w:r>
        <w:rPr>
          <w:rFonts w:ascii="Georgia" w:hAnsi="Georgia"/>
          <w:color w:val="231F20"/>
          <w:spacing w:val="-18"/>
          <w:w w:val="95"/>
          <w:sz w:val="19"/>
        </w:rPr>
        <w:t> </w:t>
      </w:r>
      <w:r>
        <w:rPr>
          <w:rFonts w:ascii="Georgia" w:hAnsi="Georgia"/>
          <w:color w:val="231F20"/>
          <w:w w:val="95"/>
          <w:sz w:val="19"/>
        </w:rPr>
        <w:t>un</w:t>
      </w:r>
      <w:r>
        <w:rPr>
          <w:rFonts w:ascii="Georgia" w:hAnsi="Georgia"/>
          <w:color w:val="231F20"/>
          <w:spacing w:val="-18"/>
          <w:w w:val="95"/>
          <w:sz w:val="19"/>
        </w:rPr>
        <w:t> </w:t>
      </w:r>
      <w:r>
        <w:rPr>
          <w:rFonts w:ascii="Georgia" w:hAnsi="Georgia"/>
          <w:color w:val="231F20"/>
          <w:w w:val="95"/>
          <w:sz w:val="19"/>
        </w:rPr>
        <w:t>desorden,</w:t>
      </w:r>
      <w:r>
        <w:rPr>
          <w:rFonts w:ascii="Georgia" w:hAnsi="Georgia"/>
          <w:color w:val="231F20"/>
          <w:spacing w:val="-18"/>
          <w:w w:val="95"/>
          <w:sz w:val="19"/>
        </w:rPr>
        <w:t> </w:t>
      </w:r>
      <w:r>
        <w:rPr>
          <w:rFonts w:ascii="Georgia" w:hAnsi="Georgia"/>
          <w:color w:val="231F20"/>
          <w:w w:val="95"/>
          <w:sz w:val="19"/>
        </w:rPr>
        <w:t>núnca</w:t>
      </w:r>
      <w:r>
        <w:rPr>
          <w:rFonts w:ascii="Georgia" w:hAnsi="Georgia"/>
          <w:color w:val="231F20"/>
          <w:spacing w:val="-18"/>
          <w:w w:val="95"/>
          <w:sz w:val="19"/>
        </w:rPr>
        <w:t> </w:t>
      </w:r>
      <w:r>
        <w:rPr>
          <w:rFonts w:ascii="Georgia" w:hAnsi="Georgia"/>
          <w:color w:val="231F20"/>
          <w:w w:val="95"/>
          <w:sz w:val="19"/>
        </w:rPr>
        <w:t>[</w:t>
      </w:r>
      <w:r>
        <w:rPr>
          <w:i/>
          <w:color w:val="231F20"/>
          <w:w w:val="95"/>
          <w:sz w:val="19"/>
        </w:rPr>
        <w:t>sic</w:t>
      </w:r>
      <w:r>
        <w:rPr>
          <w:rFonts w:ascii="Georgia" w:hAnsi="Georgia"/>
          <w:color w:val="231F20"/>
          <w:w w:val="95"/>
          <w:sz w:val="19"/>
        </w:rPr>
        <w:t>]</w:t>
      </w:r>
      <w:r>
        <w:rPr>
          <w:rFonts w:ascii="Georgia" w:hAnsi="Georgia"/>
          <w:color w:val="231F20"/>
          <w:spacing w:val="-18"/>
          <w:w w:val="95"/>
          <w:sz w:val="19"/>
        </w:rPr>
        <w:t> </w:t>
      </w:r>
      <w:r>
        <w:rPr>
          <w:rFonts w:ascii="Georgia" w:hAnsi="Georgia"/>
          <w:color w:val="231F20"/>
          <w:w w:val="95"/>
          <w:sz w:val="19"/>
        </w:rPr>
        <w:t>pide</w:t>
      </w:r>
      <w:r>
        <w:rPr>
          <w:rFonts w:ascii="Georgia" w:hAnsi="Georgia"/>
          <w:color w:val="231F20"/>
          <w:spacing w:val="-18"/>
          <w:w w:val="95"/>
          <w:sz w:val="19"/>
        </w:rPr>
        <w:t> </w:t>
      </w:r>
      <w:r>
        <w:rPr>
          <w:rFonts w:ascii="Georgia" w:hAnsi="Georgia"/>
          <w:color w:val="231F20"/>
          <w:w w:val="95"/>
          <w:sz w:val="19"/>
        </w:rPr>
        <w:t>un</w:t>
      </w:r>
      <w:r>
        <w:rPr>
          <w:rFonts w:ascii="Georgia" w:hAnsi="Georgia"/>
          <w:color w:val="231F20"/>
          <w:spacing w:val="-18"/>
          <w:w w:val="95"/>
          <w:sz w:val="19"/>
        </w:rPr>
        <w:t> </w:t>
      </w:r>
      <w:r>
        <w:rPr>
          <w:rFonts w:ascii="Georgia" w:hAnsi="Georgia"/>
          <w:color w:val="231F20"/>
          <w:w w:val="95"/>
          <w:sz w:val="19"/>
        </w:rPr>
        <w:t>castigo</w:t>
      </w:r>
      <w:r>
        <w:rPr>
          <w:rFonts w:ascii="Georgia" w:hAnsi="Georgia"/>
          <w:color w:val="231F20"/>
          <w:spacing w:val="-18"/>
          <w:w w:val="95"/>
          <w:sz w:val="19"/>
        </w:rPr>
        <w:t> </w:t>
      </w:r>
      <w:r>
        <w:rPr>
          <w:rFonts w:ascii="Georgia" w:hAnsi="Georgia"/>
          <w:color w:val="231F20"/>
          <w:w w:val="95"/>
          <w:sz w:val="19"/>
        </w:rPr>
        <w:t>para</w:t>
      </w:r>
      <w:r>
        <w:rPr>
          <w:rFonts w:ascii="Georgia" w:hAnsi="Georgia"/>
          <w:color w:val="231F20"/>
          <w:spacing w:val="-18"/>
          <w:w w:val="95"/>
          <w:sz w:val="19"/>
        </w:rPr>
        <w:t> </w:t>
      </w:r>
      <w:r>
        <w:rPr>
          <w:rFonts w:ascii="Georgia" w:hAnsi="Georgia"/>
          <w:color w:val="231F20"/>
          <w:w w:val="95"/>
          <w:sz w:val="19"/>
        </w:rPr>
        <w:t>los</w:t>
      </w:r>
      <w:r>
        <w:rPr>
          <w:rFonts w:ascii="Georgia" w:hAnsi="Georgia"/>
          <w:color w:val="231F20"/>
          <w:spacing w:val="-18"/>
          <w:w w:val="95"/>
          <w:sz w:val="19"/>
        </w:rPr>
        <w:t> </w:t>
      </w:r>
      <w:r>
        <w:rPr>
          <w:rFonts w:ascii="Georgia" w:hAnsi="Georgia"/>
          <w:color w:val="231F20"/>
          <w:w w:val="95"/>
          <w:sz w:val="19"/>
        </w:rPr>
        <w:t>alumnos. Quinto: Que el mismo profesor, dentro del tiempo de clase, se ocupe</w:t>
      </w:r>
      <w:r>
        <w:rPr>
          <w:rFonts w:ascii="Georgia" w:hAnsi="Georgia"/>
          <w:color w:val="231F20"/>
          <w:spacing w:val="-11"/>
          <w:w w:val="95"/>
          <w:sz w:val="19"/>
        </w:rPr>
        <w:t> </w:t>
      </w:r>
      <w:r>
        <w:rPr>
          <w:rFonts w:ascii="Georgia" w:hAnsi="Georgia"/>
          <w:color w:val="231F20"/>
          <w:w w:val="95"/>
          <w:sz w:val="19"/>
        </w:rPr>
        <w:t>de</w:t>
      </w:r>
      <w:r>
        <w:rPr>
          <w:rFonts w:ascii="Georgia" w:hAnsi="Georgia"/>
          <w:color w:val="231F20"/>
          <w:spacing w:val="-11"/>
          <w:w w:val="95"/>
          <w:sz w:val="19"/>
        </w:rPr>
        <w:t> </w:t>
      </w:r>
      <w:r>
        <w:rPr>
          <w:rFonts w:ascii="Georgia" w:hAnsi="Georgia"/>
          <w:color w:val="231F20"/>
          <w:w w:val="95"/>
          <w:sz w:val="19"/>
        </w:rPr>
        <w:t>otras</w:t>
      </w:r>
      <w:r>
        <w:rPr>
          <w:rFonts w:ascii="Georgia" w:hAnsi="Georgia"/>
          <w:color w:val="231F20"/>
          <w:spacing w:val="-11"/>
          <w:w w:val="95"/>
          <w:sz w:val="19"/>
        </w:rPr>
        <w:t> </w:t>
      </w:r>
      <w:r>
        <w:rPr>
          <w:rFonts w:ascii="Georgia" w:hAnsi="Georgia"/>
          <w:color w:val="231F20"/>
          <w:w w:val="95"/>
          <w:sz w:val="19"/>
        </w:rPr>
        <w:t>cuestiones</w:t>
      </w:r>
      <w:r>
        <w:rPr>
          <w:rFonts w:ascii="Georgia" w:hAnsi="Georgia"/>
          <w:color w:val="231F20"/>
          <w:spacing w:val="-11"/>
          <w:w w:val="95"/>
          <w:sz w:val="19"/>
        </w:rPr>
        <w:t> </w:t>
      </w:r>
      <w:r>
        <w:rPr>
          <w:rFonts w:ascii="Georgia" w:hAnsi="Georgia"/>
          <w:color w:val="231F20"/>
          <w:w w:val="95"/>
          <w:sz w:val="19"/>
        </w:rPr>
        <w:t>que</w:t>
      </w:r>
      <w:r>
        <w:rPr>
          <w:rFonts w:ascii="Georgia" w:hAnsi="Georgia"/>
          <w:color w:val="231F20"/>
          <w:spacing w:val="-11"/>
          <w:w w:val="95"/>
          <w:sz w:val="19"/>
        </w:rPr>
        <w:t> </w:t>
      </w:r>
      <w:r>
        <w:rPr>
          <w:rFonts w:ascii="Georgia" w:hAnsi="Georgia"/>
          <w:color w:val="231F20"/>
          <w:w w:val="95"/>
          <w:sz w:val="19"/>
        </w:rPr>
        <w:t>nada</w:t>
      </w:r>
      <w:r>
        <w:rPr>
          <w:rFonts w:ascii="Georgia" w:hAnsi="Georgia"/>
          <w:color w:val="231F20"/>
          <w:spacing w:val="-11"/>
          <w:w w:val="95"/>
          <w:sz w:val="19"/>
        </w:rPr>
        <w:t> </w:t>
      </w:r>
      <w:r>
        <w:rPr>
          <w:rFonts w:ascii="Georgia" w:hAnsi="Georgia"/>
          <w:color w:val="231F20"/>
          <w:w w:val="95"/>
          <w:sz w:val="19"/>
        </w:rPr>
        <w:t>tengan</w:t>
      </w:r>
      <w:r>
        <w:rPr>
          <w:rFonts w:ascii="Georgia" w:hAnsi="Georgia"/>
          <w:color w:val="231F20"/>
          <w:spacing w:val="-11"/>
          <w:w w:val="95"/>
          <w:sz w:val="19"/>
        </w:rPr>
        <w:t> </w:t>
      </w:r>
      <w:r>
        <w:rPr>
          <w:rFonts w:ascii="Georgia" w:hAnsi="Georgia"/>
          <w:color w:val="231F20"/>
          <w:w w:val="95"/>
          <w:sz w:val="19"/>
        </w:rPr>
        <w:t>que</w:t>
      </w:r>
      <w:r>
        <w:rPr>
          <w:rFonts w:ascii="Georgia" w:hAnsi="Georgia"/>
          <w:color w:val="231F20"/>
          <w:spacing w:val="-11"/>
          <w:w w:val="95"/>
          <w:sz w:val="19"/>
        </w:rPr>
        <w:t> </w:t>
      </w:r>
      <w:r>
        <w:rPr>
          <w:rFonts w:ascii="Georgia" w:hAnsi="Georgia"/>
          <w:color w:val="231F20"/>
          <w:w w:val="95"/>
          <w:sz w:val="19"/>
        </w:rPr>
        <w:t>ver</w:t>
      </w:r>
      <w:r>
        <w:rPr>
          <w:rFonts w:ascii="Georgia" w:hAnsi="Georgia"/>
          <w:color w:val="231F20"/>
          <w:spacing w:val="-11"/>
          <w:w w:val="95"/>
          <w:sz w:val="19"/>
        </w:rPr>
        <w:t> </w:t>
      </w:r>
      <w:r>
        <w:rPr>
          <w:rFonts w:ascii="Georgia" w:hAnsi="Georgia"/>
          <w:color w:val="231F20"/>
          <w:w w:val="95"/>
          <w:sz w:val="19"/>
        </w:rPr>
        <w:t>con</w:t>
      </w:r>
      <w:r>
        <w:rPr>
          <w:rFonts w:ascii="Georgia" w:hAnsi="Georgia"/>
          <w:color w:val="231F20"/>
          <w:spacing w:val="-11"/>
          <w:w w:val="95"/>
          <w:sz w:val="19"/>
        </w:rPr>
        <w:t> </w:t>
      </w:r>
      <w:r>
        <w:rPr>
          <w:rFonts w:ascii="Georgia" w:hAnsi="Georgia"/>
          <w:color w:val="231F20"/>
          <w:w w:val="95"/>
          <w:sz w:val="19"/>
        </w:rPr>
        <w:t>las</w:t>
      </w:r>
      <w:r>
        <w:rPr>
          <w:rFonts w:ascii="Georgia" w:hAnsi="Georgia"/>
          <w:color w:val="231F20"/>
          <w:spacing w:val="-11"/>
          <w:w w:val="95"/>
          <w:sz w:val="19"/>
        </w:rPr>
        <w:t> </w:t>
      </w:r>
      <w:r>
        <w:rPr>
          <w:rFonts w:ascii="Georgia" w:hAnsi="Georgia"/>
          <w:color w:val="231F20"/>
          <w:w w:val="95"/>
          <w:sz w:val="19"/>
        </w:rPr>
        <w:t>mate- rias a su cargo. A todo esto yo le llamo indisciplina. En mi caso no</w:t>
      </w:r>
      <w:r>
        <w:rPr>
          <w:rFonts w:ascii="Georgia" w:hAnsi="Georgia"/>
          <w:color w:val="231F20"/>
          <w:spacing w:val="-14"/>
          <w:w w:val="95"/>
          <w:sz w:val="19"/>
        </w:rPr>
        <w:t> </w:t>
      </w:r>
      <w:r>
        <w:rPr>
          <w:rFonts w:ascii="Georgia" w:hAnsi="Georgia"/>
          <w:color w:val="231F20"/>
          <w:w w:val="95"/>
          <w:sz w:val="19"/>
        </w:rPr>
        <w:t>he</w:t>
      </w:r>
      <w:r>
        <w:rPr>
          <w:rFonts w:ascii="Georgia" w:hAnsi="Georgia"/>
          <w:color w:val="231F20"/>
          <w:spacing w:val="-14"/>
          <w:w w:val="95"/>
          <w:sz w:val="19"/>
        </w:rPr>
        <w:t> </w:t>
      </w:r>
      <w:r>
        <w:rPr>
          <w:rFonts w:ascii="Georgia" w:hAnsi="Georgia"/>
          <w:color w:val="231F20"/>
          <w:w w:val="95"/>
          <w:sz w:val="19"/>
        </w:rPr>
        <w:t>permitido</w:t>
      </w:r>
      <w:r>
        <w:rPr>
          <w:rFonts w:ascii="Georgia" w:hAnsi="Georgia"/>
          <w:color w:val="231F20"/>
          <w:spacing w:val="-14"/>
          <w:w w:val="95"/>
          <w:sz w:val="19"/>
        </w:rPr>
        <w:t> </w:t>
      </w:r>
      <w:r>
        <w:rPr>
          <w:rFonts w:ascii="Georgia" w:hAnsi="Georgia"/>
          <w:color w:val="231F20"/>
          <w:w w:val="95"/>
          <w:sz w:val="19"/>
        </w:rPr>
        <w:t>nada</w:t>
      </w:r>
      <w:r>
        <w:rPr>
          <w:rFonts w:ascii="Georgia" w:hAnsi="Georgia"/>
          <w:color w:val="231F20"/>
          <w:spacing w:val="-14"/>
          <w:w w:val="95"/>
          <w:sz w:val="19"/>
        </w:rPr>
        <w:t> </w:t>
      </w:r>
      <w:r>
        <w:rPr>
          <w:rFonts w:ascii="Georgia" w:hAnsi="Georgia"/>
          <w:color w:val="231F20"/>
          <w:w w:val="95"/>
          <w:sz w:val="19"/>
        </w:rPr>
        <w:t>de</w:t>
      </w:r>
      <w:r>
        <w:rPr>
          <w:rFonts w:ascii="Georgia" w:hAnsi="Georgia"/>
          <w:color w:val="231F20"/>
          <w:spacing w:val="-14"/>
          <w:w w:val="95"/>
          <w:sz w:val="19"/>
        </w:rPr>
        <w:t> </w:t>
      </w:r>
      <w:r>
        <w:rPr>
          <w:rFonts w:ascii="Georgia" w:hAnsi="Georgia"/>
          <w:color w:val="231F20"/>
          <w:w w:val="95"/>
          <w:sz w:val="19"/>
        </w:rPr>
        <w:t>esto.</w:t>
      </w:r>
    </w:p>
    <w:p>
      <w:pPr>
        <w:pStyle w:val="BodyText"/>
        <w:spacing w:before="5"/>
        <w:rPr>
          <w:rFonts w:ascii="Georgia"/>
          <w:sz w:val="20"/>
        </w:rPr>
      </w:pPr>
    </w:p>
    <w:p>
      <w:pPr>
        <w:pStyle w:val="BodyText"/>
        <w:spacing w:line="252" w:lineRule="auto" w:before="1"/>
        <w:ind w:left="102" w:right="116" w:firstLine="284"/>
        <w:jc w:val="both"/>
        <w:rPr>
          <w:rFonts w:ascii="Georgia" w:hAnsi="Georgia"/>
        </w:rPr>
      </w:pPr>
      <w:r>
        <w:rPr>
          <w:rFonts w:ascii="Georgia" w:hAnsi="Georgia"/>
          <w:color w:val="231F20"/>
          <w:w w:val="95"/>
        </w:rPr>
        <w:t>Reyes</w:t>
      </w:r>
      <w:r>
        <w:rPr>
          <w:rFonts w:ascii="Georgia" w:hAnsi="Georgia"/>
          <w:color w:val="231F20"/>
          <w:spacing w:val="-7"/>
          <w:w w:val="95"/>
        </w:rPr>
        <w:t> </w:t>
      </w:r>
      <w:r>
        <w:rPr>
          <w:rFonts w:ascii="Georgia" w:hAnsi="Georgia"/>
          <w:color w:val="231F20"/>
          <w:w w:val="95"/>
        </w:rPr>
        <w:t>continuaba</w:t>
      </w:r>
      <w:r>
        <w:rPr>
          <w:rFonts w:ascii="Georgia" w:hAnsi="Georgia"/>
          <w:color w:val="231F20"/>
          <w:spacing w:val="-7"/>
          <w:w w:val="95"/>
        </w:rPr>
        <w:t> </w:t>
      </w:r>
      <w:r>
        <w:rPr>
          <w:rFonts w:ascii="Georgia" w:hAnsi="Georgia"/>
          <w:color w:val="231F20"/>
          <w:w w:val="95"/>
        </w:rPr>
        <w:t>con</w:t>
      </w:r>
      <w:r>
        <w:rPr>
          <w:rFonts w:ascii="Georgia" w:hAnsi="Georgia"/>
          <w:color w:val="231F20"/>
          <w:spacing w:val="-6"/>
          <w:w w:val="95"/>
        </w:rPr>
        <w:t> </w:t>
      </w:r>
      <w:r>
        <w:rPr>
          <w:rFonts w:ascii="Georgia" w:hAnsi="Georgia"/>
          <w:color w:val="231F20"/>
          <w:w w:val="95"/>
        </w:rPr>
        <w:t>el</w:t>
      </w:r>
      <w:r>
        <w:rPr>
          <w:rFonts w:ascii="Georgia" w:hAnsi="Georgia"/>
          <w:color w:val="231F20"/>
          <w:spacing w:val="-7"/>
          <w:w w:val="95"/>
        </w:rPr>
        <w:t> </w:t>
      </w:r>
      <w:r>
        <w:rPr>
          <w:rFonts w:ascii="Georgia" w:hAnsi="Georgia"/>
          <w:color w:val="231F20"/>
          <w:w w:val="95"/>
        </w:rPr>
        <w:t>repaso</w:t>
      </w:r>
      <w:r>
        <w:rPr>
          <w:rFonts w:ascii="Georgia" w:hAnsi="Georgia"/>
          <w:color w:val="231F20"/>
          <w:spacing w:val="-6"/>
          <w:w w:val="95"/>
        </w:rPr>
        <w:t> </w:t>
      </w:r>
      <w:r>
        <w:rPr>
          <w:rFonts w:ascii="Georgia" w:hAnsi="Georgia"/>
          <w:color w:val="231F20"/>
          <w:w w:val="95"/>
        </w:rPr>
        <w:t>de</w:t>
      </w:r>
      <w:r>
        <w:rPr>
          <w:rFonts w:ascii="Georgia" w:hAnsi="Georgia"/>
          <w:color w:val="231F20"/>
          <w:spacing w:val="-7"/>
          <w:w w:val="95"/>
        </w:rPr>
        <w:t> </w:t>
      </w:r>
      <w:r>
        <w:rPr>
          <w:rFonts w:ascii="Georgia" w:hAnsi="Georgia"/>
          <w:color w:val="231F20"/>
          <w:w w:val="95"/>
        </w:rPr>
        <w:t>comportamientos,</w:t>
      </w:r>
      <w:r>
        <w:rPr>
          <w:rFonts w:ascii="Georgia" w:hAnsi="Georgia"/>
          <w:color w:val="231F20"/>
          <w:spacing w:val="-7"/>
          <w:w w:val="95"/>
        </w:rPr>
        <w:t> </w:t>
      </w:r>
      <w:r>
        <w:rPr>
          <w:rFonts w:ascii="Georgia" w:hAnsi="Georgia"/>
          <w:color w:val="231F20"/>
          <w:w w:val="95"/>
        </w:rPr>
        <w:t>correctos e</w:t>
      </w:r>
      <w:r>
        <w:rPr>
          <w:rFonts w:ascii="Georgia" w:hAnsi="Georgia"/>
          <w:color w:val="231F20"/>
          <w:spacing w:val="-13"/>
          <w:w w:val="95"/>
        </w:rPr>
        <w:t> </w:t>
      </w:r>
      <w:r>
        <w:rPr>
          <w:rFonts w:ascii="Georgia" w:hAnsi="Georgia"/>
          <w:color w:val="231F20"/>
          <w:w w:val="95"/>
        </w:rPr>
        <w:t>incorrectos</w:t>
      </w:r>
      <w:r>
        <w:rPr>
          <w:rFonts w:ascii="Georgia" w:hAnsi="Georgia"/>
          <w:color w:val="231F20"/>
          <w:spacing w:val="-13"/>
          <w:w w:val="95"/>
        </w:rPr>
        <w:t> </w:t>
      </w:r>
      <w:r>
        <w:rPr>
          <w:rFonts w:ascii="Georgia" w:hAnsi="Georgia"/>
          <w:color w:val="231F20"/>
          <w:w w:val="95"/>
        </w:rPr>
        <w:t>y,</w:t>
      </w:r>
      <w:r>
        <w:rPr>
          <w:rFonts w:ascii="Georgia" w:hAnsi="Georgia"/>
          <w:color w:val="231F20"/>
          <w:spacing w:val="-13"/>
          <w:w w:val="95"/>
        </w:rPr>
        <w:t> </w:t>
      </w:r>
      <w:r>
        <w:rPr>
          <w:rFonts w:ascii="Georgia" w:hAnsi="Georgia"/>
          <w:color w:val="231F20"/>
          <w:w w:val="95"/>
        </w:rPr>
        <w:t>si</w:t>
      </w:r>
      <w:r>
        <w:rPr>
          <w:rFonts w:ascii="Georgia" w:hAnsi="Georgia"/>
          <w:color w:val="231F20"/>
          <w:spacing w:val="-13"/>
          <w:w w:val="95"/>
        </w:rPr>
        <w:t> </w:t>
      </w:r>
      <w:r>
        <w:rPr>
          <w:rFonts w:ascii="Georgia" w:hAnsi="Georgia"/>
          <w:color w:val="231F20"/>
          <w:w w:val="95"/>
        </w:rPr>
        <w:t>bien</w:t>
      </w:r>
      <w:r>
        <w:rPr>
          <w:rFonts w:ascii="Georgia" w:hAnsi="Georgia"/>
          <w:color w:val="231F20"/>
          <w:spacing w:val="-12"/>
          <w:w w:val="95"/>
        </w:rPr>
        <w:t> </w:t>
      </w:r>
      <w:r>
        <w:rPr>
          <w:rFonts w:ascii="Georgia" w:hAnsi="Georgia"/>
          <w:color w:val="231F20"/>
          <w:w w:val="95"/>
        </w:rPr>
        <w:t>se</w:t>
      </w:r>
      <w:r>
        <w:rPr>
          <w:rFonts w:ascii="Georgia" w:hAnsi="Georgia"/>
          <w:color w:val="231F20"/>
          <w:spacing w:val="-13"/>
          <w:w w:val="95"/>
        </w:rPr>
        <w:t> </w:t>
      </w:r>
      <w:r>
        <w:rPr>
          <w:rFonts w:ascii="Georgia" w:hAnsi="Georgia"/>
          <w:color w:val="231F20"/>
          <w:w w:val="95"/>
        </w:rPr>
        <w:t>cuidaba</w:t>
      </w:r>
      <w:r>
        <w:rPr>
          <w:rFonts w:ascii="Georgia" w:hAnsi="Georgia"/>
          <w:color w:val="231F20"/>
          <w:spacing w:val="-13"/>
          <w:w w:val="95"/>
        </w:rPr>
        <w:t> </w:t>
      </w:r>
      <w:r>
        <w:rPr>
          <w:rFonts w:ascii="Georgia" w:hAnsi="Georgia"/>
          <w:color w:val="231F20"/>
          <w:w w:val="95"/>
        </w:rPr>
        <w:t>de</w:t>
      </w:r>
      <w:r>
        <w:rPr>
          <w:rFonts w:ascii="Georgia" w:hAnsi="Georgia"/>
          <w:color w:val="231F20"/>
          <w:spacing w:val="-13"/>
          <w:w w:val="95"/>
        </w:rPr>
        <w:t> </w:t>
      </w:r>
      <w:r>
        <w:rPr>
          <w:rFonts w:ascii="Georgia" w:hAnsi="Georgia"/>
          <w:color w:val="231F20"/>
          <w:w w:val="95"/>
        </w:rPr>
        <w:t>señalar</w:t>
      </w:r>
      <w:r>
        <w:rPr>
          <w:rFonts w:ascii="Georgia" w:hAnsi="Georgia"/>
          <w:color w:val="231F20"/>
          <w:spacing w:val="-13"/>
          <w:w w:val="95"/>
        </w:rPr>
        <w:t> </w:t>
      </w:r>
      <w:r>
        <w:rPr>
          <w:rFonts w:ascii="Georgia" w:hAnsi="Georgia"/>
          <w:color w:val="231F20"/>
          <w:w w:val="95"/>
        </w:rPr>
        <w:t>que</w:t>
      </w:r>
      <w:r>
        <w:rPr>
          <w:rFonts w:ascii="Georgia" w:hAnsi="Georgia"/>
          <w:color w:val="231F20"/>
          <w:spacing w:val="-13"/>
          <w:w w:val="95"/>
        </w:rPr>
        <w:t> </w:t>
      </w:r>
      <w:r>
        <w:rPr>
          <w:rFonts w:ascii="Georgia" w:hAnsi="Georgia"/>
          <w:color w:val="231F20"/>
          <w:w w:val="95"/>
        </w:rPr>
        <w:t>del</w:t>
      </w:r>
      <w:r>
        <w:rPr>
          <w:rFonts w:ascii="Georgia" w:hAnsi="Georgia"/>
          <w:color w:val="231F20"/>
          <w:spacing w:val="-13"/>
          <w:w w:val="95"/>
        </w:rPr>
        <w:t> </w:t>
      </w:r>
      <w:r>
        <w:rPr>
          <w:rFonts w:ascii="Georgia" w:hAnsi="Georgia"/>
          <w:color w:val="231F20"/>
          <w:w w:val="95"/>
        </w:rPr>
        <w:t>mayor</w:t>
      </w:r>
      <w:r>
        <w:rPr>
          <w:rFonts w:ascii="Georgia" w:hAnsi="Georgia"/>
          <w:color w:val="231F20"/>
          <w:spacing w:val="-13"/>
          <w:w w:val="95"/>
        </w:rPr>
        <w:t> </w:t>
      </w:r>
      <w:r>
        <w:rPr>
          <w:rFonts w:ascii="Georgia" w:hAnsi="Georgia"/>
          <w:color w:val="231F20"/>
          <w:w w:val="95"/>
        </w:rPr>
        <w:t>número de alumnos había recibido “estimación y respeto, que siempre les </w:t>
      </w:r>
      <w:r>
        <w:rPr>
          <w:rFonts w:ascii="Georgia" w:hAnsi="Georgia"/>
          <w:color w:val="231F20"/>
        </w:rPr>
        <w:t>he agradecido”, indicaba que eran pocos y bien conocidos los </w:t>
      </w:r>
      <w:r>
        <w:rPr>
          <w:rFonts w:ascii="Georgia" w:hAnsi="Georgia"/>
          <w:color w:val="231F20"/>
          <w:w w:val="95"/>
        </w:rPr>
        <w:t>alumnos</w:t>
      </w:r>
      <w:r>
        <w:rPr>
          <w:rFonts w:ascii="Georgia" w:hAnsi="Georgia"/>
          <w:color w:val="231F20"/>
          <w:spacing w:val="-5"/>
          <w:w w:val="95"/>
        </w:rPr>
        <w:t> </w:t>
      </w:r>
      <w:r>
        <w:rPr>
          <w:rFonts w:ascii="Georgia" w:hAnsi="Georgia"/>
          <w:color w:val="231F20"/>
          <w:w w:val="95"/>
        </w:rPr>
        <w:t>que</w:t>
      </w:r>
      <w:r>
        <w:rPr>
          <w:rFonts w:ascii="Georgia" w:hAnsi="Georgia"/>
          <w:color w:val="231F20"/>
          <w:spacing w:val="-5"/>
          <w:w w:val="95"/>
        </w:rPr>
        <w:t> </w:t>
      </w:r>
      <w:r>
        <w:rPr>
          <w:rFonts w:ascii="Georgia" w:hAnsi="Georgia"/>
          <w:color w:val="231F20"/>
          <w:w w:val="95"/>
        </w:rPr>
        <w:t>se</w:t>
      </w:r>
      <w:r>
        <w:rPr>
          <w:rFonts w:ascii="Georgia" w:hAnsi="Georgia"/>
          <w:color w:val="231F20"/>
          <w:spacing w:val="-5"/>
          <w:w w:val="95"/>
        </w:rPr>
        <w:t> </w:t>
      </w:r>
      <w:r>
        <w:rPr>
          <w:rFonts w:ascii="Georgia" w:hAnsi="Georgia"/>
          <w:color w:val="231F20"/>
          <w:w w:val="95"/>
        </w:rPr>
        <w:t>distinguían</w:t>
      </w:r>
      <w:r>
        <w:rPr>
          <w:rFonts w:ascii="Georgia" w:hAnsi="Georgia"/>
          <w:color w:val="231F20"/>
          <w:spacing w:val="-4"/>
          <w:w w:val="95"/>
        </w:rPr>
        <w:t> </w:t>
      </w:r>
      <w:r>
        <w:rPr>
          <w:rFonts w:ascii="Georgia" w:hAnsi="Georgia"/>
          <w:color w:val="231F20"/>
          <w:w w:val="95"/>
        </w:rPr>
        <w:t>por</w:t>
      </w:r>
      <w:r>
        <w:rPr>
          <w:rFonts w:ascii="Georgia" w:hAnsi="Georgia"/>
          <w:color w:val="231F20"/>
          <w:spacing w:val="-5"/>
          <w:w w:val="95"/>
        </w:rPr>
        <w:t> </w:t>
      </w:r>
      <w:r>
        <w:rPr>
          <w:rFonts w:ascii="Georgia" w:hAnsi="Georgia"/>
          <w:color w:val="231F20"/>
          <w:w w:val="95"/>
        </w:rPr>
        <w:t>su</w:t>
      </w:r>
      <w:r>
        <w:rPr>
          <w:rFonts w:ascii="Georgia" w:hAnsi="Georgia"/>
          <w:color w:val="231F20"/>
          <w:spacing w:val="-4"/>
          <w:w w:val="95"/>
        </w:rPr>
        <w:t> </w:t>
      </w:r>
      <w:r>
        <w:rPr>
          <w:rFonts w:ascii="Georgia" w:hAnsi="Georgia"/>
          <w:color w:val="231F20"/>
          <w:w w:val="95"/>
        </w:rPr>
        <w:t>indisciplina</w:t>
      </w:r>
      <w:r>
        <w:rPr>
          <w:rFonts w:ascii="Georgia" w:hAnsi="Georgia"/>
          <w:color w:val="231F20"/>
          <w:spacing w:val="-5"/>
          <w:w w:val="95"/>
        </w:rPr>
        <w:t> </w:t>
      </w:r>
      <w:r>
        <w:rPr>
          <w:rFonts w:ascii="Georgia" w:hAnsi="Georgia"/>
          <w:color w:val="231F20"/>
          <w:w w:val="95"/>
        </w:rPr>
        <w:t>por</w:t>
      </w:r>
      <w:r>
        <w:rPr>
          <w:rFonts w:ascii="Georgia" w:hAnsi="Georgia"/>
          <w:color w:val="231F20"/>
          <w:spacing w:val="-5"/>
          <w:w w:val="95"/>
        </w:rPr>
        <w:t> </w:t>
      </w:r>
      <w:r>
        <w:rPr>
          <w:rFonts w:ascii="Georgia" w:hAnsi="Georgia"/>
          <w:color w:val="231F20"/>
          <w:w w:val="95"/>
        </w:rPr>
        <w:t>lo</w:t>
      </w:r>
      <w:r>
        <w:rPr>
          <w:rFonts w:ascii="Georgia" w:hAnsi="Georgia"/>
          <w:color w:val="231F20"/>
          <w:spacing w:val="-4"/>
          <w:w w:val="95"/>
        </w:rPr>
        <w:t> </w:t>
      </w:r>
      <w:r>
        <w:rPr>
          <w:rFonts w:ascii="Georgia" w:hAnsi="Georgia"/>
          <w:color w:val="231F20"/>
          <w:w w:val="95"/>
        </w:rPr>
        <w:t>que</w:t>
      </w:r>
      <w:r>
        <w:rPr>
          <w:rFonts w:ascii="Georgia" w:hAnsi="Georgia"/>
          <w:color w:val="231F20"/>
          <w:spacing w:val="-5"/>
          <w:w w:val="95"/>
        </w:rPr>
        <w:t> </w:t>
      </w:r>
      <w:r>
        <w:rPr>
          <w:rFonts w:ascii="Georgia" w:hAnsi="Georgia"/>
          <w:color w:val="231F20"/>
          <w:w w:val="95"/>
        </w:rPr>
        <w:t>concluía con</w:t>
      </w:r>
      <w:r>
        <w:rPr>
          <w:rFonts w:ascii="Georgia" w:hAnsi="Georgia"/>
          <w:color w:val="231F20"/>
          <w:spacing w:val="-15"/>
          <w:w w:val="95"/>
        </w:rPr>
        <w:t> </w:t>
      </w:r>
      <w:r>
        <w:rPr>
          <w:rFonts w:ascii="Georgia" w:hAnsi="Georgia"/>
          <w:color w:val="231F20"/>
          <w:w w:val="95"/>
        </w:rPr>
        <w:t>“de</w:t>
      </w:r>
      <w:r>
        <w:rPr>
          <w:rFonts w:ascii="Georgia" w:hAnsi="Georgia"/>
          <w:color w:val="231F20"/>
          <w:spacing w:val="-15"/>
          <w:w w:val="95"/>
        </w:rPr>
        <w:t> </w:t>
      </w:r>
      <w:r>
        <w:rPr>
          <w:rFonts w:ascii="Georgia" w:hAnsi="Georgia"/>
          <w:color w:val="231F20"/>
          <w:w w:val="95"/>
        </w:rPr>
        <w:t>nada</w:t>
      </w:r>
      <w:r>
        <w:rPr>
          <w:rFonts w:ascii="Georgia" w:hAnsi="Georgia"/>
          <w:color w:val="231F20"/>
          <w:spacing w:val="-15"/>
          <w:w w:val="95"/>
        </w:rPr>
        <w:t> </w:t>
      </w:r>
      <w:r>
        <w:rPr>
          <w:rFonts w:ascii="Georgia" w:hAnsi="Georgia"/>
          <w:color w:val="231F20"/>
          <w:w w:val="95"/>
        </w:rPr>
        <w:t>tengo</w:t>
      </w:r>
      <w:r>
        <w:rPr>
          <w:rFonts w:ascii="Georgia" w:hAnsi="Georgia"/>
          <w:color w:val="231F20"/>
          <w:spacing w:val="-15"/>
          <w:w w:val="95"/>
        </w:rPr>
        <w:t> </w:t>
      </w:r>
      <w:r>
        <w:rPr>
          <w:rFonts w:ascii="Georgia" w:hAnsi="Georgia"/>
          <w:color w:val="231F20"/>
          <w:w w:val="95"/>
        </w:rPr>
        <w:t>que</w:t>
      </w:r>
      <w:r>
        <w:rPr>
          <w:rFonts w:ascii="Georgia" w:hAnsi="Georgia"/>
          <w:color w:val="231F20"/>
          <w:spacing w:val="-15"/>
          <w:w w:val="95"/>
        </w:rPr>
        <w:t> </w:t>
      </w:r>
      <w:r>
        <w:rPr>
          <w:rFonts w:ascii="Georgia" w:hAnsi="Georgia"/>
          <w:color w:val="231F20"/>
          <w:w w:val="95"/>
        </w:rPr>
        <w:t>quejarme”.</w:t>
      </w:r>
      <w:r>
        <w:rPr>
          <w:rFonts w:ascii="Georgia" w:hAnsi="Georgia"/>
          <w:color w:val="231F20"/>
          <w:spacing w:val="-16"/>
          <w:w w:val="95"/>
        </w:rPr>
        <w:t> </w:t>
      </w:r>
      <w:r>
        <w:rPr>
          <w:rFonts w:ascii="Georgia" w:hAnsi="Georgia"/>
          <w:color w:val="231F20"/>
          <w:w w:val="95"/>
        </w:rPr>
        <w:t>Y</w:t>
      </w:r>
      <w:r>
        <w:rPr>
          <w:rFonts w:ascii="Georgia" w:hAnsi="Georgia"/>
          <w:color w:val="231F20"/>
          <w:spacing w:val="-15"/>
          <w:w w:val="95"/>
        </w:rPr>
        <w:t> </w:t>
      </w:r>
      <w:r>
        <w:rPr>
          <w:rFonts w:ascii="Georgia" w:hAnsi="Georgia"/>
          <w:color w:val="231F20"/>
          <w:w w:val="95"/>
        </w:rPr>
        <w:t>al</w:t>
      </w:r>
      <w:r>
        <w:rPr>
          <w:rFonts w:ascii="Georgia" w:hAnsi="Georgia"/>
          <w:color w:val="231F20"/>
          <w:spacing w:val="-16"/>
          <w:w w:val="95"/>
        </w:rPr>
        <w:t> </w:t>
      </w:r>
      <w:r>
        <w:rPr>
          <w:rFonts w:ascii="Georgia" w:hAnsi="Georgia"/>
          <w:color w:val="231F20"/>
          <w:w w:val="95"/>
        </w:rPr>
        <w:t>respecto</w:t>
      </w:r>
      <w:r>
        <w:rPr>
          <w:rFonts w:ascii="Georgia" w:hAnsi="Georgia"/>
          <w:color w:val="231F20"/>
          <w:spacing w:val="-15"/>
          <w:w w:val="95"/>
        </w:rPr>
        <w:t> </w:t>
      </w:r>
      <w:r>
        <w:rPr>
          <w:rFonts w:ascii="Georgia" w:hAnsi="Georgia"/>
          <w:color w:val="231F20"/>
          <w:w w:val="95"/>
        </w:rPr>
        <w:t>sostenía:</w:t>
      </w:r>
    </w:p>
    <w:p>
      <w:pPr>
        <w:pStyle w:val="BodyText"/>
        <w:spacing w:before="5"/>
        <w:rPr>
          <w:rFonts w:ascii="Georgia"/>
          <w:sz w:val="23"/>
        </w:rPr>
      </w:pPr>
    </w:p>
    <w:p>
      <w:pPr>
        <w:spacing w:line="276" w:lineRule="auto" w:before="0"/>
        <w:ind w:left="810" w:right="164" w:firstLine="0"/>
        <w:jc w:val="both"/>
        <w:rPr>
          <w:rFonts w:ascii="Georgia" w:hAnsi="Georgia"/>
          <w:sz w:val="19"/>
        </w:rPr>
      </w:pPr>
      <w:r>
        <w:rPr>
          <w:rFonts w:ascii="Georgia" w:hAnsi="Georgia"/>
          <w:color w:val="231F20"/>
          <w:w w:val="95"/>
          <w:sz w:val="19"/>
        </w:rPr>
        <w:t>Conozco</w:t>
      </w:r>
      <w:r>
        <w:rPr>
          <w:rFonts w:ascii="Georgia" w:hAnsi="Georgia"/>
          <w:color w:val="231F20"/>
          <w:spacing w:val="-5"/>
          <w:w w:val="95"/>
          <w:sz w:val="19"/>
        </w:rPr>
        <w:t> </w:t>
      </w:r>
      <w:r>
        <w:rPr>
          <w:rFonts w:ascii="Georgia" w:hAnsi="Georgia"/>
          <w:color w:val="231F20"/>
          <w:w w:val="95"/>
          <w:sz w:val="19"/>
        </w:rPr>
        <w:t>la</w:t>
      </w:r>
      <w:r>
        <w:rPr>
          <w:rFonts w:ascii="Georgia" w:hAnsi="Georgia"/>
          <w:color w:val="231F20"/>
          <w:spacing w:val="-5"/>
          <w:w w:val="95"/>
          <w:sz w:val="19"/>
        </w:rPr>
        <w:t> </w:t>
      </w:r>
      <w:r>
        <w:rPr>
          <w:rFonts w:ascii="Georgia" w:hAnsi="Georgia"/>
          <w:color w:val="231F20"/>
          <w:w w:val="95"/>
          <w:sz w:val="19"/>
        </w:rPr>
        <w:t>psicología</w:t>
      </w:r>
      <w:r>
        <w:rPr>
          <w:rFonts w:ascii="Georgia" w:hAnsi="Georgia"/>
          <w:color w:val="231F20"/>
          <w:spacing w:val="-5"/>
          <w:w w:val="95"/>
          <w:sz w:val="19"/>
        </w:rPr>
        <w:t> </w:t>
      </w:r>
      <w:r>
        <w:rPr>
          <w:rFonts w:ascii="Georgia" w:hAnsi="Georgia"/>
          <w:color w:val="231F20"/>
          <w:w w:val="95"/>
          <w:sz w:val="19"/>
        </w:rPr>
        <w:t>de</w:t>
      </w:r>
      <w:r>
        <w:rPr>
          <w:rFonts w:ascii="Georgia" w:hAnsi="Georgia"/>
          <w:color w:val="231F20"/>
          <w:spacing w:val="-5"/>
          <w:w w:val="95"/>
          <w:sz w:val="19"/>
        </w:rPr>
        <w:t> </w:t>
      </w:r>
      <w:r>
        <w:rPr>
          <w:rFonts w:ascii="Georgia" w:hAnsi="Georgia"/>
          <w:color w:val="231F20"/>
          <w:w w:val="95"/>
          <w:sz w:val="19"/>
        </w:rPr>
        <w:t>los</w:t>
      </w:r>
      <w:r>
        <w:rPr>
          <w:rFonts w:ascii="Georgia" w:hAnsi="Georgia"/>
          <w:color w:val="231F20"/>
          <w:spacing w:val="-5"/>
          <w:w w:val="95"/>
          <w:sz w:val="19"/>
        </w:rPr>
        <w:t> </w:t>
      </w:r>
      <w:r>
        <w:rPr>
          <w:rFonts w:ascii="Georgia" w:hAnsi="Georgia"/>
          <w:color w:val="231F20"/>
          <w:w w:val="95"/>
          <w:sz w:val="19"/>
        </w:rPr>
        <w:t>alumnos</w:t>
      </w:r>
      <w:r>
        <w:rPr>
          <w:rFonts w:ascii="Georgia" w:hAnsi="Georgia"/>
          <w:color w:val="231F20"/>
          <w:spacing w:val="-5"/>
          <w:w w:val="95"/>
          <w:sz w:val="19"/>
        </w:rPr>
        <w:t> </w:t>
      </w:r>
      <w:r>
        <w:rPr>
          <w:rFonts w:ascii="Georgia" w:hAnsi="Georgia"/>
          <w:color w:val="231F20"/>
          <w:w w:val="95"/>
          <w:sz w:val="19"/>
        </w:rPr>
        <w:t>porque</w:t>
      </w:r>
      <w:r>
        <w:rPr>
          <w:rFonts w:ascii="Georgia" w:hAnsi="Georgia"/>
          <w:color w:val="231F20"/>
          <w:spacing w:val="-5"/>
          <w:w w:val="95"/>
          <w:sz w:val="19"/>
        </w:rPr>
        <w:t> </w:t>
      </w:r>
      <w:r>
        <w:rPr>
          <w:rFonts w:ascii="Georgia" w:hAnsi="Georgia"/>
          <w:color w:val="231F20"/>
          <w:w w:val="95"/>
          <w:sz w:val="19"/>
        </w:rPr>
        <w:t>he</w:t>
      </w:r>
      <w:r>
        <w:rPr>
          <w:rFonts w:ascii="Georgia" w:hAnsi="Georgia"/>
          <w:color w:val="231F20"/>
          <w:spacing w:val="-5"/>
          <w:w w:val="95"/>
          <w:sz w:val="19"/>
        </w:rPr>
        <w:t> </w:t>
      </w:r>
      <w:r>
        <w:rPr>
          <w:rFonts w:ascii="Georgia" w:hAnsi="Georgia"/>
          <w:color w:val="231F20"/>
          <w:w w:val="95"/>
          <w:sz w:val="19"/>
        </w:rPr>
        <w:t>vivido</w:t>
      </w:r>
      <w:r>
        <w:rPr>
          <w:rFonts w:ascii="Georgia" w:hAnsi="Georgia"/>
          <w:color w:val="231F20"/>
          <w:spacing w:val="-5"/>
          <w:w w:val="95"/>
          <w:sz w:val="19"/>
        </w:rPr>
        <w:t> </w:t>
      </w:r>
      <w:r>
        <w:rPr>
          <w:rFonts w:ascii="Georgia" w:hAnsi="Georgia"/>
          <w:color w:val="231F20"/>
          <w:w w:val="95"/>
          <w:sz w:val="19"/>
        </w:rPr>
        <w:t>con</w:t>
      </w:r>
      <w:r>
        <w:rPr>
          <w:rFonts w:ascii="Georgia" w:hAnsi="Georgia"/>
          <w:color w:val="231F20"/>
          <w:spacing w:val="-5"/>
          <w:w w:val="95"/>
          <w:sz w:val="19"/>
        </w:rPr>
        <w:t> </w:t>
      </w:r>
      <w:r>
        <w:rPr>
          <w:rFonts w:ascii="Georgia" w:hAnsi="Georgia"/>
          <w:color w:val="231F20"/>
          <w:w w:val="95"/>
          <w:sz w:val="19"/>
        </w:rPr>
        <w:t>ellos </w:t>
      </w:r>
      <w:r>
        <w:rPr>
          <w:rFonts w:ascii="Georgia" w:hAnsi="Georgia"/>
          <w:color w:val="231F20"/>
          <w:sz w:val="19"/>
        </w:rPr>
        <w:t>durante VEINTIUN AÑOS [</w:t>
      </w:r>
      <w:r>
        <w:rPr>
          <w:i/>
          <w:color w:val="231F20"/>
          <w:sz w:val="19"/>
        </w:rPr>
        <w:t>sic</w:t>
      </w:r>
      <w:r>
        <w:rPr>
          <w:rFonts w:ascii="Georgia" w:hAnsi="Georgia"/>
          <w:color w:val="231F20"/>
          <w:sz w:val="19"/>
        </w:rPr>
        <w:t>]sin INTERRUPCION [</w:t>
      </w:r>
      <w:r>
        <w:rPr>
          <w:i/>
          <w:color w:val="231F20"/>
          <w:sz w:val="19"/>
        </w:rPr>
        <w:t>sic</w:t>
      </w:r>
      <w:r>
        <w:rPr>
          <w:rFonts w:ascii="Georgia" w:hAnsi="Georgia"/>
          <w:color w:val="231F20"/>
          <w:sz w:val="19"/>
        </w:rPr>
        <w:t>] y porque</w:t>
      </w:r>
      <w:r>
        <w:rPr>
          <w:rFonts w:ascii="Georgia" w:hAnsi="Georgia"/>
          <w:color w:val="231F20"/>
          <w:spacing w:val="-16"/>
          <w:sz w:val="19"/>
        </w:rPr>
        <w:t> </w:t>
      </w:r>
      <w:r>
        <w:rPr>
          <w:rFonts w:ascii="Georgia" w:hAnsi="Georgia"/>
          <w:color w:val="231F20"/>
          <w:sz w:val="19"/>
        </w:rPr>
        <w:t>fui</w:t>
      </w:r>
      <w:r>
        <w:rPr>
          <w:rFonts w:ascii="Georgia" w:hAnsi="Georgia"/>
          <w:color w:val="231F20"/>
          <w:spacing w:val="-16"/>
          <w:sz w:val="19"/>
        </w:rPr>
        <w:t> </w:t>
      </w:r>
      <w:r>
        <w:rPr>
          <w:rFonts w:ascii="Georgia" w:hAnsi="Georgia"/>
          <w:color w:val="231F20"/>
          <w:sz w:val="19"/>
        </w:rPr>
        <w:t>estudiante.</w:t>
      </w:r>
      <w:r>
        <w:rPr>
          <w:rFonts w:ascii="Georgia" w:hAnsi="Georgia"/>
          <w:color w:val="231F20"/>
          <w:spacing w:val="-16"/>
          <w:sz w:val="19"/>
        </w:rPr>
        <w:t> </w:t>
      </w:r>
      <w:r>
        <w:rPr>
          <w:rFonts w:ascii="Georgia" w:hAnsi="Georgia"/>
          <w:color w:val="231F20"/>
          <w:sz w:val="19"/>
        </w:rPr>
        <w:t>Todo</w:t>
      </w:r>
      <w:r>
        <w:rPr>
          <w:rFonts w:ascii="Georgia" w:hAnsi="Georgia"/>
          <w:color w:val="231F20"/>
          <w:spacing w:val="-16"/>
          <w:sz w:val="19"/>
        </w:rPr>
        <w:t> </w:t>
      </w:r>
      <w:r>
        <w:rPr>
          <w:rFonts w:ascii="Georgia" w:hAnsi="Georgia"/>
          <w:color w:val="231F20"/>
          <w:sz w:val="19"/>
        </w:rPr>
        <w:t>ese</w:t>
      </w:r>
      <w:r>
        <w:rPr>
          <w:rFonts w:ascii="Georgia" w:hAnsi="Georgia"/>
          <w:color w:val="231F20"/>
          <w:spacing w:val="-16"/>
          <w:sz w:val="19"/>
        </w:rPr>
        <w:t> </w:t>
      </w:r>
      <w:r>
        <w:rPr>
          <w:rFonts w:ascii="Georgia" w:hAnsi="Georgia"/>
          <w:color w:val="231F20"/>
          <w:sz w:val="19"/>
        </w:rPr>
        <w:t>tiempo</w:t>
      </w:r>
      <w:r>
        <w:rPr>
          <w:rFonts w:ascii="Georgia" w:hAnsi="Georgia"/>
          <w:color w:val="231F20"/>
          <w:spacing w:val="-16"/>
          <w:sz w:val="19"/>
        </w:rPr>
        <w:t> </w:t>
      </w:r>
      <w:r>
        <w:rPr>
          <w:rFonts w:ascii="Georgia" w:hAnsi="Georgia"/>
          <w:color w:val="231F20"/>
          <w:sz w:val="19"/>
        </w:rPr>
        <w:t>sin</w:t>
      </w:r>
      <w:r>
        <w:rPr>
          <w:rFonts w:ascii="Georgia" w:hAnsi="Georgia"/>
          <w:color w:val="231F20"/>
          <w:spacing w:val="-16"/>
          <w:sz w:val="19"/>
        </w:rPr>
        <w:t> </w:t>
      </w:r>
      <w:r>
        <w:rPr>
          <w:rFonts w:ascii="Georgia" w:hAnsi="Georgia"/>
          <w:color w:val="231F20"/>
          <w:sz w:val="19"/>
        </w:rPr>
        <w:t>interrupción,</w:t>
      </w:r>
      <w:r>
        <w:rPr>
          <w:rFonts w:ascii="Georgia" w:hAnsi="Georgia"/>
          <w:color w:val="231F20"/>
          <w:spacing w:val="-16"/>
          <w:sz w:val="19"/>
        </w:rPr>
        <w:t> </w:t>
      </w:r>
      <w:r>
        <w:rPr>
          <w:rFonts w:ascii="Georgia" w:hAnsi="Georgia"/>
          <w:color w:val="231F20"/>
          <w:sz w:val="19"/>
        </w:rPr>
        <w:t>en</w:t>
      </w:r>
      <w:r>
        <w:rPr>
          <w:rFonts w:ascii="Georgia" w:hAnsi="Georgia"/>
          <w:color w:val="231F20"/>
          <w:spacing w:val="-16"/>
          <w:sz w:val="19"/>
        </w:rPr>
        <w:t> </w:t>
      </w:r>
      <w:r>
        <w:rPr>
          <w:rFonts w:ascii="Georgia" w:hAnsi="Georgia"/>
          <w:color w:val="231F20"/>
          <w:sz w:val="19"/>
        </w:rPr>
        <w:t>el Instituto como maestro en la preparatoria y en la Escuela de Comercio. Luego no soy un profesor novicio que se sienta </w:t>
      </w:r>
      <w:r>
        <w:rPr>
          <w:rFonts w:ascii="Georgia" w:hAnsi="Georgia"/>
          <w:color w:val="231F20"/>
          <w:w w:val="95"/>
          <w:sz w:val="19"/>
        </w:rPr>
        <w:t>desorientado por las ACTIVIDADES [</w:t>
      </w:r>
      <w:r>
        <w:rPr>
          <w:i/>
          <w:color w:val="231F20"/>
          <w:w w:val="95"/>
          <w:sz w:val="19"/>
        </w:rPr>
        <w:t>sic</w:t>
      </w:r>
      <w:r>
        <w:rPr>
          <w:rFonts w:ascii="Georgia" w:hAnsi="Georgia"/>
          <w:color w:val="231F20"/>
          <w:w w:val="95"/>
          <w:sz w:val="19"/>
        </w:rPr>
        <w:t>]que le corresponden </w:t>
      </w:r>
      <w:r>
        <w:rPr>
          <w:rFonts w:ascii="Georgia" w:hAnsi="Georgia"/>
          <w:color w:val="231F20"/>
          <w:sz w:val="19"/>
        </w:rPr>
        <w:t>desempeñar, después de veintiún años de luchas constantes </w:t>
      </w:r>
      <w:r>
        <w:rPr>
          <w:rFonts w:ascii="Georgia" w:hAnsi="Georgia"/>
          <w:color w:val="231F20"/>
          <w:w w:val="95"/>
          <w:sz w:val="19"/>
        </w:rPr>
        <w:t>(AHEM,</w:t>
      </w:r>
      <w:r>
        <w:rPr>
          <w:rFonts w:ascii="Georgia" w:hAnsi="Georgia"/>
          <w:color w:val="231F20"/>
          <w:spacing w:val="-8"/>
          <w:w w:val="95"/>
          <w:sz w:val="19"/>
        </w:rPr>
        <w:t> </w:t>
      </w:r>
      <w:r>
        <w:rPr>
          <w:rFonts w:ascii="Georgia" w:hAnsi="Georgia"/>
          <w:color w:val="231F20"/>
          <w:w w:val="95"/>
          <w:sz w:val="19"/>
        </w:rPr>
        <w:t>Fondo</w:t>
      </w:r>
      <w:r>
        <w:rPr>
          <w:rFonts w:ascii="Georgia" w:hAnsi="Georgia"/>
          <w:color w:val="231F20"/>
          <w:spacing w:val="-8"/>
          <w:w w:val="95"/>
          <w:sz w:val="19"/>
        </w:rPr>
        <w:t> </w:t>
      </w:r>
      <w:r>
        <w:rPr>
          <w:rFonts w:ascii="Georgia" w:hAnsi="Georgia"/>
          <w:color w:val="231F20"/>
          <w:w w:val="95"/>
          <w:sz w:val="19"/>
        </w:rPr>
        <w:t>Educación,</w:t>
      </w:r>
      <w:r>
        <w:rPr>
          <w:rFonts w:ascii="Georgia" w:hAnsi="Georgia"/>
          <w:color w:val="231F20"/>
          <w:spacing w:val="-8"/>
          <w:w w:val="95"/>
          <w:sz w:val="19"/>
        </w:rPr>
        <w:t> </w:t>
      </w:r>
      <w:r>
        <w:rPr>
          <w:rFonts w:ascii="Georgia" w:hAnsi="Georgia"/>
          <w:color w:val="231F20"/>
          <w:w w:val="95"/>
          <w:sz w:val="19"/>
        </w:rPr>
        <w:t>Sección</w:t>
      </w:r>
      <w:r>
        <w:rPr>
          <w:rFonts w:ascii="Georgia" w:hAnsi="Georgia"/>
          <w:color w:val="231F20"/>
          <w:spacing w:val="-8"/>
          <w:w w:val="95"/>
          <w:sz w:val="19"/>
        </w:rPr>
        <w:t> </w:t>
      </w:r>
      <w:r>
        <w:rPr>
          <w:rFonts w:ascii="Georgia" w:hAnsi="Georgia"/>
          <w:color w:val="231F20"/>
          <w:w w:val="95"/>
          <w:sz w:val="19"/>
        </w:rPr>
        <w:t>Educación,</w:t>
      </w:r>
      <w:r>
        <w:rPr>
          <w:rFonts w:ascii="Georgia" w:hAnsi="Georgia"/>
          <w:color w:val="231F20"/>
          <w:spacing w:val="-8"/>
          <w:w w:val="95"/>
          <w:sz w:val="19"/>
        </w:rPr>
        <w:t> </w:t>
      </w:r>
      <w:r>
        <w:rPr>
          <w:rFonts w:ascii="Georgia" w:hAnsi="Georgia"/>
          <w:color w:val="231F20"/>
          <w:w w:val="95"/>
          <w:sz w:val="19"/>
        </w:rPr>
        <w:t>fechas</w:t>
      </w:r>
      <w:r>
        <w:rPr>
          <w:rFonts w:ascii="Georgia" w:hAnsi="Georgia"/>
          <w:color w:val="231F20"/>
          <w:spacing w:val="-7"/>
          <w:w w:val="95"/>
          <w:sz w:val="19"/>
        </w:rPr>
        <w:t> </w:t>
      </w:r>
      <w:r>
        <w:rPr>
          <w:rFonts w:ascii="Georgia" w:hAnsi="Georgia"/>
          <w:color w:val="231F20"/>
          <w:w w:val="95"/>
          <w:sz w:val="19"/>
        </w:rPr>
        <w:t>extremas 1937-1938, Instituto Científico y Literario/Relativo a la huelga de</w:t>
      </w:r>
      <w:r>
        <w:rPr>
          <w:rFonts w:ascii="Georgia" w:hAnsi="Georgia"/>
          <w:color w:val="231F20"/>
          <w:spacing w:val="-17"/>
          <w:w w:val="95"/>
          <w:sz w:val="19"/>
        </w:rPr>
        <w:t> </w:t>
      </w:r>
      <w:r>
        <w:rPr>
          <w:rFonts w:ascii="Georgia" w:hAnsi="Georgia"/>
          <w:color w:val="231F20"/>
          <w:w w:val="95"/>
          <w:sz w:val="19"/>
        </w:rPr>
        <w:t>alumnos</w:t>
      </w:r>
      <w:r>
        <w:rPr>
          <w:rFonts w:ascii="Georgia" w:hAnsi="Georgia"/>
          <w:color w:val="231F20"/>
          <w:spacing w:val="-17"/>
          <w:w w:val="95"/>
          <w:sz w:val="19"/>
        </w:rPr>
        <w:t> </w:t>
      </w:r>
      <w:r>
        <w:rPr>
          <w:rFonts w:ascii="Georgia" w:hAnsi="Georgia"/>
          <w:color w:val="231F20"/>
          <w:w w:val="95"/>
          <w:sz w:val="19"/>
        </w:rPr>
        <w:t>del</w:t>
      </w:r>
      <w:r>
        <w:rPr>
          <w:rFonts w:ascii="Georgia" w:hAnsi="Georgia"/>
          <w:color w:val="231F20"/>
          <w:spacing w:val="-18"/>
          <w:w w:val="95"/>
          <w:sz w:val="19"/>
        </w:rPr>
        <w:t> </w:t>
      </w:r>
      <w:r>
        <w:rPr>
          <w:rFonts w:ascii="Georgia" w:hAnsi="Georgia"/>
          <w:color w:val="231F20"/>
          <w:w w:val="95"/>
          <w:sz w:val="19"/>
        </w:rPr>
        <w:t>Plantel,</w:t>
      </w:r>
      <w:r>
        <w:rPr>
          <w:rFonts w:ascii="Georgia" w:hAnsi="Georgia"/>
          <w:color w:val="231F20"/>
          <w:spacing w:val="-18"/>
          <w:w w:val="95"/>
          <w:sz w:val="19"/>
        </w:rPr>
        <w:t> </w:t>
      </w:r>
      <w:r>
        <w:rPr>
          <w:rFonts w:ascii="Georgia" w:hAnsi="Georgia"/>
          <w:color w:val="231F20"/>
          <w:w w:val="95"/>
          <w:sz w:val="19"/>
        </w:rPr>
        <w:t>Toluca,</w:t>
      </w:r>
      <w:r>
        <w:rPr>
          <w:rFonts w:ascii="Georgia" w:hAnsi="Georgia"/>
          <w:color w:val="231F20"/>
          <w:spacing w:val="-18"/>
          <w:w w:val="95"/>
          <w:sz w:val="19"/>
        </w:rPr>
        <w:t> </w:t>
      </w:r>
      <w:r>
        <w:rPr>
          <w:rFonts w:ascii="Georgia" w:hAnsi="Georgia"/>
          <w:color w:val="231F20"/>
          <w:w w:val="95"/>
          <w:sz w:val="19"/>
        </w:rPr>
        <w:t>de</w:t>
      </w:r>
      <w:r>
        <w:rPr>
          <w:rFonts w:ascii="Georgia" w:hAnsi="Georgia"/>
          <w:color w:val="231F20"/>
          <w:spacing w:val="-17"/>
          <w:w w:val="95"/>
          <w:sz w:val="19"/>
        </w:rPr>
        <w:t> </w:t>
      </w:r>
      <w:r>
        <w:rPr>
          <w:rFonts w:ascii="Georgia" w:hAnsi="Georgia"/>
          <w:color w:val="231F20"/>
          <w:w w:val="95"/>
          <w:sz w:val="19"/>
        </w:rPr>
        <w:t>julio</w:t>
      </w:r>
      <w:r>
        <w:rPr>
          <w:rFonts w:ascii="Georgia" w:hAnsi="Georgia"/>
          <w:color w:val="231F20"/>
          <w:spacing w:val="-17"/>
          <w:w w:val="95"/>
          <w:sz w:val="19"/>
        </w:rPr>
        <w:t> </w:t>
      </w:r>
      <w:r>
        <w:rPr>
          <w:rFonts w:ascii="Georgia" w:hAnsi="Georgia"/>
          <w:color w:val="231F20"/>
          <w:w w:val="95"/>
          <w:sz w:val="19"/>
        </w:rPr>
        <w:t>de</w:t>
      </w:r>
      <w:r>
        <w:rPr>
          <w:rFonts w:ascii="Georgia" w:hAnsi="Georgia"/>
          <w:color w:val="231F20"/>
          <w:spacing w:val="-17"/>
          <w:w w:val="95"/>
          <w:sz w:val="19"/>
        </w:rPr>
        <w:t> </w:t>
      </w:r>
      <w:r>
        <w:rPr>
          <w:rFonts w:ascii="Georgia" w:hAnsi="Georgia"/>
          <w:color w:val="231F20"/>
          <w:w w:val="95"/>
          <w:sz w:val="19"/>
        </w:rPr>
        <w:t>1938).</w:t>
      </w:r>
    </w:p>
    <w:p>
      <w:pPr>
        <w:pStyle w:val="BodyText"/>
        <w:spacing w:before="10"/>
        <w:rPr>
          <w:rFonts w:ascii="Georgia"/>
          <w:sz w:val="20"/>
        </w:rPr>
      </w:pPr>
    </w:p>
    <w:p>
      <w:pPr>
        <w:pStyle w:val="BodyText"/>
        <w:spacing w:line="252" w:lineRule="auto"/>
        <w:ind w:left="102" w:right="113" w:firstLine="284"/>
        <w:jc w:val="both"/>
        <w:rPr>
          <w:rFonts w:ascii="Georgia" w:hAnsi="Georgia"/>
        </w:rPr>
      </w:pPr>
      <w:r>
        <w:rPr>
          <w:rFonts w:ascii="Georgia" w:hAnsi="Georgia"/>
          <w:color w:val="231F20"/>
          <w:spacing w:val="2"/>
          <w:w w:val="95"/>
        </w:rPr>
        <w:t>Así</w:t>
      </w:r>
      <w:r>
        <w:rPr>
          <w:rFonts w:ascii="Georgia" w:hAnsi="Georgia"/>
          <w:color w:val="231F20"/>
          <w:spacing w:val="-14"/>
          <w:w w:val="95"/>
        </w:rPr>
        <w:t> </w:t>
      </w:r>
      <w:r>
        <w:rPr>
          <w:rFonts w:ascii="Georgia" w:hAnsi="Georgia"/>
          <w:color w:val="231F20"/>
          <w:spacing w:val="2"/>
          <w:w w:val="95"/>
        </w:rPr>
        <w:t>una</w:t>
      </w:r>
      <w:r>
        <w:rPr>
          <w:rFonts w:ascii="Georgia" w:hAnsi="Georgia"/>
          <w:color w:val="231F20"/>
          <w:spacing w:val="-13"/>
          <w:w w:val="95"/>
        </w:rPr>
        <w:t> </w:t>
      </w:r>
      <w:r>
        <w:rPr>
          <w:rFonts w:ascii="Georgia" w:hAnsi="Georgia"/>
          <w:color w:val="231F20"/>
          <w:w w:val="95"/>
        </w:rPr>
        <w:t>vez</w:t>
      </w:r>
      <w:r>
        <w:rPr>
          <w:rFonts w:ascii="Georgia" w:hAnsi="Georgia"/>
          <w:color w:val="231F20"/>
          <w:spacing w:val="-13"/>
          <w:w w:val="95"/>
        </w:rPr>
        <w:t> </w:t>
      </w:r>
      <w:r>
        <w:rPr>
          <w:rFonts w:ascii="Georgia" w:hAnsi="Georgia"/>
          <w:color w:val="231F20"/>
          <w:spacing w:val="2"/>
          <w:w w:val="95"/>
        </w:rPr>
        <w:t>aclarado</w:t>
      </w:r>
      <w:r>
        <w:rPr>
          <w:rFonts w:ascii="Georgia" w:hAnsi="Georgia"/>
          <w:color w:val="231F20"/>
          <w:spacing w:val="-13"/>
          <w:w w:val="95"/>
        </w:rPr>
        <w:t> </w:t>
      </w:r>
      <w:r>
        <w:rPr>
          <w:rFonts w:ascii="Georgia" w:hAnsi="Georgia"/>
          <w:color w:val="231F20"/>
          <w:spacing w:val="2"/>
          <w:w w:val="95"/>
        </w:rPr>
        <w:t>este</w:t>
      </w:r>
      <w:r>
        <w:rPr>
          <w:rFonts w:ascii="Georgia" w:hAnsi="Georgia"/>
          <w:color w:val="231F20"/>
          <w:spacing w:val="-13"/>
          <w:w w:val="95"/>
        </w:rPr>
        <w:t> </w:t>
      </w:r>
      <w:r>
        <w:rPr>
          <w:rFonts w:ascii="Georgia" w:hAnsi="Georgia"/>
          <w:color w:val="231F20"/>
          <w:spacing w:val="3"/>
          <w:w w:val="95"/>
        </w:rPr>
        <w:t>punto,</w:t>
      </w:r>
      <w:r>
        <w:rPr>
          <w:rFonts w:ascii="Georgia" w:hAnsi="Georgia"/>
          <w:color w:val="231F20"/>
          <w:spacing w:val="-14"/>
          <w:w w:val="95"/>
        </w:rPr>
        <w:t> </w:t>
      </w:r>
      <w:r>
        <w:rPr>
          <w:rFonts w:ascii="Georgia" w:hAnsi="Georgia"/>
          <w:color w:val="231F20"/>
          <w:w w:val="95"/>
        </w:rPr>
        <w:t>el</w:t>
      </w:r>
      <w:r>
        <w:rPr>
          <w:rFonts w:ascii="Georgia" w:hAnsi="Georgia"/>
          <w:color w:val="231F20"/>
          <w:spacing w:val="-14"/>
          <w:w w:val="95"/>
        </w:rPr>
        <w:t> </w:t>
      </w:r>
      <w:r>
        <w:rPr>
          <w:rFonts w:ascii="Georgia" w:hAnsi="Georgia"/>
          <w:color w:val="231F20"/>
          <w:spacing w:val="3"/>
          <w:w w:val="95"/>
        </w:rPr>
        <w:t>profesor</w:t>
      </w:r>
      <w:r>
        <w:rPr>
          <w:rFonts w:ascii="Georgia" w:hAnsi="Georgia"/>
          <w:color w:val="231F20"/>
          <w:spacing w:val="-13"/>
          <w:w w:val="95"/>
        </w:rPr>
        <w:t> </w:t>
      </w:r>
      <w:r>
        <w:rPr>
          <w:rFonts w:ascii="Georgia" w:hAnsi="Georgia"/>
          <w:color w:val="231F20"/>
          <w:spacing w:val="2"/>
          <w:w w:val="95"/>
        </w:rPr>
        <w:t>pasó</w:t>
      </w:r>
      <w:r>
        <w:rPr>
          <w:rFonts w:ascii="Georgia" w:hAnsi="Georgia"/>
          <w:color w:val="231F20"/>
          <w:spacing w:val="-13"/>
          <w:w w:val="95"/>
        </w:rPr>
        <w:t> </w:t>
      </w:r>
      <w:r>
        <w:rPr>
          <w:rFonts w:ascii="Georgia" w:hAnsi="Georgia"/>
          <w:color w:val="231F20"/>
          <w:w w:val="95"/>
        </w:rPr>
        <w:t>a</w:t>
      </w:r>
      <w:r>
        <w:rPr>
          <w:rFonts w:ascii="Georgia" w:hAnsi="Georgia"/>
          <w:color w:val="231F20"/>
          <w:spacing w:val="-13"/>
          <w:w w:val="95"/>
        </w:rPr>
        <w:t> </w:t>
      </w:r>
      <w:r>
        <w:rPr>
          <w:rFonts w:ascii="Georgia" w:hAnsi="Georgia"/>
          <w:color w:val="231F20"/>
          <w:spacing w:val="3"/>
          <w:w w:val="95"/>
        </w:rPr>
        <w:t>autoevaluar </w:t>
      </w:r>
      <w:r>
        <w:rPr>
          <w:rFonts w:ascii="Georgia" w:hAnsi="Georgia"/>
          <w:color w:val="231F20"/>
        </w:rPr>
        <w:t>su</w:t>
      </w:r>
      <w:r>
        <w:rPr>
          <w:rFonts w:ascii="Georgia" w:hAnsi="Georgia"/>
          <w:color w:val="231F20"/>
          <w:spacing w:val="-22"/>
        </w:rPr>
        <w:t> </w:t>
      </w:r>
      <w:r>
        <w:rPr>
          <w:rFonts w:ascii="Georgia" w:hAnsi="Georgia"/>
          <w:color w:val="231F20"/>
          <w:spacing w:val="2"/>
        </w:rPr>
        <w:t>habilidad</w:t>
      </w:r>
      <w:r>
        <w:rPr>
          <w:rFonts w:ascii="Georgia" w:hAnsi="Georgia"/>
          <w:color w:val="231F20"/>
          <w:spacing w:val="-22"/>
        </w:rPr>
        <w:t> </w:t>
      </w:r>
      <w:r>
        <w:rPr>
          <w:rFonts w:ascii="Georgia" w:hAnsi="Georgia"/>
          <w:color w:val="231F20"/>
          <w:spacing w:val="2"/>
        </w:rPr>
        <w:t>para</w:t>
      </w:r>
      <w:r>
        <w:rPr>
          <w:rFonts w:ascii="Georgia" w:hAnsi="Georgia"/>
          <w:color w:val="231F20"/>
          <w:spacing w:val="-22"/>
        </w:rPr>
        <w:t> </w:t>
      </w:r>
      <w:r>
        <w:rPr>
          <w:rFonts w:ascii="Georgia" w:hAnsi="Georgia"/>
          <w:color w:val="231F20"/>
        </w:rPr>
        <w:t>la</w:t>
      </w:r>
      <w:r>
        <w:rPr>
          <w:rFonts w:ascii="Georgia" w:hAnsi="Georgia"/>
          <w:color w:val="231F20"/>
          <w:spacing w:val="-22"/>
        </w:rPr>
        <w:t> </w:t>
      </w:r>
      <w:r>
        <w:rPr>
          <w:rFonts w:ascii="Georgia" w:hAnsi="Georgia"/>
          <w:color w:val="231F20"/>
          <w:spacing w:val="3"/>
        </w:rPr>
        <w:t>enseñanza</w:t>
      </w:r>
      <w:r>
        <w:rPr>
          <w:rFonts w:ascii="Georgia" w:hAnsi="Georgia"/>
          <w:color w:val="231F20"/>
          <w:spacing w:val="-22"/>
        </w:rPr>
        <w:t> </w:t>
      </w:r>
      <w:r>
        <w:rPr>
          <w:rFonts w:ascii="Georgia" w:hAnsi="Georgia"/>
          <w:color w:val="231F20"/>
        </w:rPr>
        <w:t>de</w:t>
      </w:r>
      <w:r>
        <w:rPr>
          <w:rFonts w:ascii="Georgia" w:hAnsi="Georgia"/>
          <w:color w:val="231F20"/>
          <w:spacing w:val="-22"/>
        </w:rPr>
        <w:t> </w:t>
      </w:r>
      <w:r>
        <w:rPr>
          <w:rFonts w:ascii="Georgia" w:hAnsi="Georgia"/>
          <w:color w:val="231F20"/>
        </w:rPr>
        <w:t>su</w:t>
      </w:r>
      <w:r>
        <w:rPr>
          <w:rFonts w:ascii="Georgia" w:hAnsi="Georgia"/>
          <w:color w:val="231F20"/>
          <w:spacing w:val="-22"/>
        </w:rPr>
        <w:t> </w:t>
      </w:r>
      <w:r>
        <w:rPr>
          <w:rFonts w:ascii="Georgia" w:hAnsi="Georgia"/>
          <w:color w:val="231F20"/>
          <w:spacing w:val="2"/>
        </w:rPr>
        <w:t>materia</w:t>
      </w:r>
      <w:r>
        <w:rPr>
          <w:rFonts w:ascii="Georgia" w:hAnsi="Georgia"/>
          <w:color w:val="231F20"/>
          <w:spacing w:val="-22"/>
        </w:rPr>
        <w:t> </w:t>
      </w:r>
      <w:r>
        <w:rPr>
          <w:rFonts w:ascii="Georgia" w:hAnsi="Georgia"/>
          <w:color w:val="231F20"/>
        </w:rPr>
        <w:t>y</w:t>
      </w:r>
      <w:r>
        <w:rPr>
          <w:rFonts w:ascii="Georgia" w:hAnsi="Georgia"/>
          <w:color w:val="231F20"/>
          <w:spacing w:val="-22"/>
        </w:rPr>
        <w:t> </w:t>
      </w:r>
      <w:r>
        <w:rPr>
          <w:rFonts w:ascii="Georgia" w:hAnsi="Georgia"/>
          <w:color w:val="231F20"/>
        </w:rPr>
        <w:t>de</w:t>
      </w:r>
      <w:r>
        <w:rPr>
          <w:rFonts w:ascii="Georgia" w:hAnsi="Georgia"/>
          <w:color w:val="231F20"/>
          <w:spacing w:val="-22"/>
        </w:rPr>
        <w:t> </w:t>
      </w:r>
      <w:r>
        <w:rPr>
          <w:rFonts w:ascii="Georgia" w:hAnsi="Georgia"/>
          <w:color w:val="231F20"/>
        </w:rPr>
        <w:t>la</w:t>
      </w:r>
      <w:r>
        <w:rPr>
          <w:rFonts w:ascii="Georgia" w:hAnsi="Georgia"/>
          <w:color w:val="231F20"/>
          <w:spacing w:val="-22"/>
        </w:rPr>
        <w:t> </w:t>
      </w:r>
      <w:r>
        <w:rPr>
          <w:rFonts w:ascii="Georgia" w:hAnsi="Georgia"/>
          <w:color w:val="231F20"/>
          <w:spacing w:val="3"/>
        </w:rPr>
        <w:t>rigurosidad </w:t>
      </w:r>
      <w:r>
        <w:rPr>
          <w:rFonts w:ascii="Georgia" w:hAnsi="Georgia"/>
          <w:color w:val="231F20"/>
          <w:spacing w:val="2"/>
          <w:w w:val="95"/>
        </w:rPr>
        <w:t>con</w:t>
      </w:r>
      <w:r>
        <w:rPr>
          <w:rFonts w:ascii="Georgia" w:hAnsi="Georgia"/>
          <w:color w:val="231F20"/>
          <w:spacing w:val="-6"/>
          <w:w w:val="95"/>
        </w:rPr>
        <w:t> </w:t>
      </w:r>
      <w:r>
        <w:rPr>
          <w:rFonts w:ascii="Georgia" w:hAnsi="Georgia"/>
          <w:color w:val="231F20"/>
          <w:w w:val="95"/>
        </w:rPr>
        <w:t>la</w:t>
      </w:r>
      <w:r>
        <w:rPr>
          <w:rFonts w:ascii="Georgia" w:hAnsi="Georgia"/>
          <w:color w:val="231F20"/>
          <w:spacing w:val="-7"/>
          <w:w w:val="95"/>
        </w:rPr>
        <w:t> </w:t>
      </w:r>
      <w:r>
        <w:rPr>
          <w:rFonts w:ascii="Georgia" w:hAnsi="Georgia"/>
          <w:color w:val="231F20"/>
          <w:spacing w:val="2"/>
          <w:w w:val="95"/>
        </w:rPr>
        <w:t>que</w:t>
      </w:r>
      <w:r>
        <w:rPr>
          <w:rFonts w:ascii="Georgia" w:hAnsi="Georgia"/>
          <w:color w:val="231F20"/>
          <w:spacing w:val="-7"/>
          <w:w w:val="95"/>
        </w:rPr>
        <w:t> </w:t>
      </w:r>
      <w:r>
        <w:rPr>
          <w:rFonts w:ascii="Georgia" w:hAnsi="Georgia"/>
          <w:color w:val="231F20"/>
          <w:spacing w:val="2"/>
          <w:w w:val="95"/>
        </w:rPr>
        <w:t>procedía</w:t>
      </w:r>
      <w:r>
        <w:rPr>
          <w:rFonts w:ascii="Georgia" w:hAnsi="Georgia"/>
          <w:color w:val="231F20"/>
          <w:spacing w:val="-7"/>
          <w:w w:val="95"/>
        </w:rPr>
        <w:t> </w:t>
      </w:r>
      <w:r>
        <w:rPr>
          <w:rFonts w:ascii="Georgia" w:hAnsi="Georgia"/>
          <w:color w:val="231F20"/>
          <w:spacing w:val="2"/>
          <w:w w:val="95"/>
        </w:rPr>
        <w:t>para</w:t>
      </w:r>
      <w:r>
        <w:rPr>
          <w:rFonts w:ascii="Georgia" w:hAnsi="Georgia"/>
          <w:color w:val="231F20"/>
          <w:spacing w:val="-7"/>
          <w:w w:val="95"/>
        </w:rPr>
        <w:t> </w:t>
      </w:r>
      <w:r>
        <w:rPr>
          <w:rFonts w:ascii="Georgia" w:hAnsi="Georgia"/>
          <w:color w:val="231F20"/>
          <w:spacing w:val="2"/>
          <w:w w:val="95"/>
        </w:rPr>
        <w:t>refrendar</w:t>
      </w:r>
      <w:r>
        <w:rPr>
          <w:rFonts w:ascii="Georgia" w:hAnsi="Georgia"/>
          <w:color w:val="231F20"/>
          <w:spacing w:val="-7"/>
          <w:w w:val="95"/>
        </w:rPr>
        <w:t> </w:t>
      </w:r>
      <w:r>
        <w:rPr>
          <w:rFonts w:ascii="Georgia" w:hAnsi="Georgia"/>
          <w:color w:val="231F20"/>
          <w:w w:val="95"/>
        </w:rPr>
        <w:t>su</w:t>
      </w:r>
      <w:r>
        <w:rPr>
          <w:rFonts w:ascii="Georgia" w:hAnsi="Georgia"/>
          <w:color w:val="231F20"/>
          <w:spacing w:val="-6"/>
          <w:w w:val="95"/>
        </w:rPr>
        <w:t> </w:t>
      </w:r>
      <w:r>
        <w:rPr>
          <w:rFonts w:ascii="Georgia" w:hAnsi="Georgia"/>
          <w:color w:val="231F20"/>
          <w:spacing w:val="2"/>
          <w:w w:val="95"/>
        </w:rPr>
        <w:t>calidad</w:t>
      </w:r>
      <w:r>
        <w:rPr>
          <w:rFonts w:ascii="Georgia" w:hAnsi="Georgia"/>
          <w:color w:val="231F20"/>
          <w:spacing w:val="-7"/>
          <w:w w:val="95"/>
        </w:rPr>
        <w:t> </w:t>
      </w:r>
      <w:r>
        <w:rPr>
          <w:rFonts w:ascii="Georgia" w:hAnsi="Georgia"/>
          <w:color w:val="231F20"/>
          <w:w w:val="95"/>
        </w:rPr>
        <w:t>de</w:t>
      </w:r>
      <w:r>
        <w:rPr>
          <w:rFonts w:ascii="Georgia" w:hAnsi="Georgia"/>
          <w:color w:val="231F20"/>
          <w:spacing w:val="-7"/>
          <w:w w:val="95"/>
        </w:rPr>
        <w:t> </w:t>
      </w:r>
      <w:r>
        <w:rPr>
          <w:rFonts w:ascii="Georgia" w:hAnsi="Georgia"/>
          <w:color w:val="231F20"/>
          <w:spacing w:val="3"/>
          <w:w w:val="95"/>
        </w:rPr>
        <w:t>maestro.</w:t>
      </w:r>
      <w:r>
        <w:rPr>
          <w:rFonts w:ascii="Georgia" w:hAnsi="Georgia"/>
          <w:color w:val="231F20"/>
          <w:spacing w:val="-7"/>
          <w:w w:val="95"/>
        </w:rPr>
        <w:t> </w:t>
      </w:r>
      <w:r>
        <w:rPr>
          <w:rFonts w:ascii="Georgia" w:hAnsi="Georgia"/>
          <w:color w:val="231F20"/>
          <w:spacing w:val="2"/>
          <w:w w:val="95"/>
        </w:rPr>
        <w:t>De</w:t>
      </w:r>
      <w:r>
        <w:rPr>
          <w:rFonts w:ascii="Georgia" w:hAnsi="Georgia"/>
          <w:color w:val="231F20"/>
          <w:spacing w:val="-7"/>
          <w:w w:val="95"/>
        </w:rPr>
        <w:t> </w:t>
      </w:r>
      <w:r>
        <w:rPr>
          <w:rFonts w:ascii="Georgia" w:hAnsi="Georgia"/>
          <w:color w:val="231F20"/>
          <w:spacing w:val="2"/>
          <w:w w:val="95"/>
        </w:rPr>
        <w:t>este modo</w:t>
      </w:r>
      <w:r>
        <w:rPr>
          <w:rFonts w:ascii="Georgia" w:hAnsi="Georgia"/>
          <w:color w:val="231F20"/>
          <w:spacing w:val="-9"/>
          <w:w w:val="95"/>
        </w:rPr>
        <w:t> </w:t>
      </w:r>
      <w:r>
        <w:rPr>
          <w:rFonts w:ascii="Georgia" w:hAnsi="Georgia"/>
          <w:color w:val="231F20"/>
          <w:w w:val="95"/>
        </w:rPr>
        <w:t>sus</w:t>
      </w:r>
      <w:r>
        <w:rPr>
          <w:rFonts w:ascii="Georgia" w:hAnsi="Georgia"/>
          <w:color w:val="231F20"/>
          <w:spacing w:val="-9"/>
          <w:w w:val="95"/>
        </w:rPr>
        <w:t> </w:t>
      </w:r>
      <w:r>
        <w:rPr>
          <w:rFonts w:ascii="Georgia" w:hAnsi="Georgia"/>
          <w:color w:val="231F20"/>
          <w:spacing w:val="2"/>
          <w:w w:val="95"/>
        </w:rPr>
        <w:t>actividades</w:t>
      </w:r>
      <w:r>
        <w:rPr>
          <w:rFonts w:ascii="Georgia" w:hAnsi="Georgia"/>
          <w:color w:val="231F20"/>
          <w:spacing w:val="-9"/>
          <w:w w:val="95"/>
        </w:rPr>
        <w:t> </w:t>
      </w:r>
      <w:r>
        <w:rPr>
          <w:rFonts w:ascii="Georgia" w:hAnsi="Georgia"/>
          <w:color w:val="231F20"/>
          <w:spacing w:val="2"/>
          <w:w w:val="95"/>
        </w:rPr>
        <w:t>comenzaban</w:t>
      </w:r>
      <w:r>
        <w:rPr>
          <w:rFonts w:ascii="Georgia" w:hAnsi="Georgia"/>
          <w:color w:val="231F20"/>
          <w:spacing w:val="-9"/>
          <w:w w:val="95"/>
        </w:rPr>
        <w:t> </w:t>
      </w:r>
      <w:r>
        <w:rPr>
          <w:rFonts w:ascii="Georgia" w:hAnsi="Georgia"/>
          <w:color w:val="231F20"/>
          <w:w w:val="95"/>
        </w:rPr>
        <w:t>con</w:t>
      </w:r>
      <w:r>
        <w:rPr>
          <w:rFonts w:ascii="Georgia" w:hAnsi="Georgia"/>
          <w:color w:val="231F20"/>
          <w:spacing w:val="-9"/>
          <w:w w:val="95"/>
        </w:rPr>
        <w:t> </w:t>
      </w:r>
      <w:r>
        <w:rPr>
          <w:rFonts w:ascii="Georgia" w:hAnsi="Georgia"/>
          <w:color w:val="231F20"/>
          <w:w w:val="95"/>
        </w:rPr>
        <w:t>algo</w:t>
      </w:r>
      <w:r>
        <w:rPr>
          <w:rFonts w:ascii="Georgia" w:hAnsi="Georgia"/>
          <w:color w:val="231F20"/>
          <w:spacing w:val="-9"/>
          <w:w w:val="95"/>
        </w:rPr>
        <w:t> </w:t>
      </w:r>
      <w:r>
        <w:rPr>
          <w:rFonts w:ascii="Georgia" w:hAnsi="Georgia"/>
          <w:color w:val="231F20"/>
          <w:spacing w:val="2"/>
          <w:w w:val="95"/>
        </w:rPr>
        <w:t>elemental:</w:t>
      </w:r>
      <w:r>
        <w:rPr>
          <w:rFonts w:ascii="Georgia" w:hAnsi="Georgia"/>
          <w:color w:val="231F20"/>
          <w:spacing w:val="-9"/>
          <w:w w:val="95"/>
        </w:rPr>
        <w:t> </w:t>
      </w:r>
      <w:r>
        <w:rPr>
          <w:rFonts w:ascii="Georgia" w:hAnsi="Georgia"/>
          <w:color w:val="231F20"/>
          <w:w w:val="95"/>
        </w:rPr>
        <w:t>la</w:t>
      </w:r>
      <w:r>
        <w:rPr>
          <w:rFonts w:ascii="Georgia" w:hAnsi="Georgia"/>
          <w:color w:val="231F20"/>
          <w:spacing w:val="-9"/>
          <w:w w:val="95"/>
        </w:rPr>
        <w:t> </w:t>
      </w:r>
      <w:r>
        <w:rPr>
          <w:rFonts w:ascii="Georgia" w:hAnsi="Georgia"/>
          <w:color w:val="231F20"/>
          <w:spacing w:val="3"/>
          <w:w w:val="95"/>
        </w:rPr>
        <w:t>puntua- </w:t>
      </w:r>
      <w:r>
        <w:rPr>
          <w:rFonts w:ascii="Georgia" w:hAnsi="Georgia"/>
          <w:color w:val="231F20"/>
          <w:spacing w:val="2"/>
          <w:w w:val="95"/>
        </w:rPr>
        <w:t>lidad</w:t>
      </w:r>
      <w:r>
        <w:rPr>
          <w:rFonts w:ascii="Georgia" w:hAnsi="Georgia"/>
          <w:color w:val="231F20"/>
          <w:spacing w:val="-8"/>
          <w:w w:val="95"/>
        </w:rPr>
        <w:t> </w:t>
      </w:r>
      <w:r>
        <w:rPr>
          <w:rFonts w:ascii="Georgia" w:hAnsi="Georgia"/>
          <w:color w:val="231F20"/>
          <w:w w:val="95"/>
        </w:rPr>
        <w:t>en</w:t>
      </w:r>
      <w:r>
        <w:rPr>
          <w:rFonts w:ascii="Georgia" w:hAnsi="Georgia"/>
          <w:color w:val="231F20"/>
          <w:spacing w:val="-8"/>
          <w:w w:val="95"/>
        </w:rPr>
        <w:t> </w:t>
      </w:r>
      <w:r>
        <w:rPr>
          <w:rFonts w:ascii="Georgia" w:hAnsi="Georgia"/>
          <w:color w:val="231F20"/>
          <w:w w:val="95"/>
        </w:rPr>
        <w:t>el</w:t>
      </w:r>
      <w:r>
        <w:rPr>
          <w:rFonts w:ascii="Georgia" w:hAnsi="Georgia"/>
          <w:color w:val="231F20"/>
          <w:spacing w:val="-9"/>
          <w:w w:val="95"/>
        </w:rPr>
        <w:t> </w:t>
      </w:r>
      <w:r>
        <w:rPr>
          <w:rFonts w:ascii="Georgia" w:hAnsi="Georgia"/>
          <w:color w:val="231F20"/>
          <w:spacing w:val="3"/>
          <w:w w:val="95"/>
        </w:rPr>
        <w:t>comienzo</w:t>
      </w:r>
      <w:r>
        <w:rPr>
          <w:rFonts w:ascii="Georgia" w:hAnsi="Georgia"/>
          <w:color w:val="231F20"/>
          <w:spacing w:val="-8"/>
          <w:w w:val="95"/>
        </w:rPr>
        <w:t> </w:t>
      </w:r>
      <w:r>
        <w:rPr>
          <w:rFonts w:ascii="Georgia" w:hAnsi="Georgia"/>
          <w:color w:val="231F20"/>
          <w:w w:val="95"/>
        </w:rPr>
        <w:t>y</w:t>
      </w:r>
      <w:r>
        <w:rPr>
          <w:rFonts w:ascii="Georgia" w:hAnsi="Georgia"/>
          <w:color w:val="231F20"/>
          <w:spacing w:val="-8"/>
          <w:w w:val="95"/>
        </w:rPr>
        <w:t> </w:t>
      </w:r>
      <w:r>
        <w:rPr>
          <w:rFonts w:ascii="Georgia" w:hAnsi="Georgia"/>
          <w:color w:val="231F20"/>
          <w:w w:val="95"/>
        </w:rPr>
        <w:t>la</w:t>
      </w:r>
      <w:r>
        <w:rPr>
          <w:rFonts w:ascii="Georgia" w:hAnsi="Georgia"/>
          <w:color w:val="231F20"/>
          <w:spacing w:val="-8"/>
          <w:w w:val="95"/>
        </w:rPr>
        <w:t> </w:t>
      </w:r>
      <w:r>
        <w:rPr>
          <w:rFonts w:ascii="Georgia" w:hAnsi="Georgia"/>
          <w:color w:val="231F20"/>
          <w:spacing w:val="2"/>
          <w:w w:val="95"/>
        </w:rPr>
        <w:t>terminación</w:t>
      </w:r>
      <w:r>
        <w:rPr>
          <w:rFonts w:ascii="Georgia" w:hAnsi="Georgia"/>
          <w:color w:val="231F20"/>
          <w:spacing w:val="-8"/>
          <w:w w:val="95"/>
        </w:rPr>
        <w:t> </w:t>
      </w:r>
      <w:r>
        <w:rPr>
          <w:rFonts w:ascii="Georgia" w:hAnsi="Georgia"/>
          <w:color w:val="231F20"/>
          <w:w w:val="95"/>
        </w:rPr>
        <w:t>de</w:t>
      </w:r>
      <w:r>
        <w:rPr>
          <w:rFonts w:ascii="Georgia" w:hAnsi="Georgia"/>
          <w:color w:val="231F20"/>
          <w:spacing w:val="-8"/>
          <w:w w:val="95"/>
        </w:rPr>
        <w:t> </w:t>
      </w:r>
      <w:r>
        <w:rPr>
          <w:rFonts w:ascii="Georgia" w:hAnsi="Georgia"/>
          <w:color w:val="231F20"/>
          <w:w w:val="95"/>
        </w:rPr>
        <w:t>su</w:t>
      </w:r>
      <w:r>
        <w:rPr>
          <w:rFonts w:ascii="Georgia" w:hAnsi="Georgia"/>
          <w:color w:val="231F20"/>
          <w:spacing w:val="-8"/>
          <w:w w:val="95"/>
        </w:rPr>
        <w:t> </w:t>
      </w:r>
      <w:r>
        <w:rPr>
          <w:rFonts w:ascii="Georgia" w:hAnsi="Georgia"/>
          <w:color w:val="231F20"/>
          <w:spacing w:val="2"/>
          <w:w w:val="95"/>
        </w:rPr>
        <w:t>materia,</w:t>
      </w:r>
      <w:r>
        <w:rPr>
          <w:rFonts w:ascii="Georgia" w:hAnsi="Georgia"/>
          <w:color w:val="231F20"/>
          <w:spacing w:val="-9"/>
          <w:w w:val="95"/>
        </w:rPr>
        <w:t> </w:t>
      </w:r>
      <w:r>
        <w:rPr>
          <w:rFonts w:ascii="Georgia" w:hAnsi="Georgia"/>
          <w:color w:val="231F20"/>
          <w:w w:val="95"/>
        </w:rPr>
        <w:t>y,</w:t>
      </w:r>
      <w:r>
        <w:rPr>
          <w:rFonts w:ascii="Georgia" w:hAnsi="Georgia"/>
          <w:color w:val="231F20"/>
          <w:spacing w:val="-9"/>
          <w:w w:val="95"/>
        </w:rPr>
        <w:t> </w:t>
      </w:r>
      <w:r>
        <w:rPr>
          <w:rFonts w:ascii="Georgia" w:hAnsi="Georgia"/>
          <w:color w:val="231F20"/>
          <w:spacing w:val="3"/>
          <w:w w:val="95"/>
        </w:rPr>
        <w:t>enseguida, </w:t>
      </w:r>
      <w:r>
        <w:rPr>
          <w:rFonts w:ascii="Georgia" w:hAnsi="Georgia"/>
          <w:color w:val="231F20"/>
          <w:spacing w:val="2"/>
          <w:w w:val="95"/>
        </w:rPr>
        <w:t>quizá </w:t>
      </w:r>
      <w:r>
        <w:rPr>
          <w:rFonts w:ascii="Georgia" w:hAnsi="Georgia"/>
          <w:color w:val="231F20"/>
          <w:w w:val="95"/>
        </w:rPr>
        <w:t>el </w:t>
      </w:r>
      <w:r>
        <w:rPr>
          <w:rFonts w:ascii="Georgia" w:hAnsi="Georgia"/>
          <w:color w:val="231F20"/>
          <w:spacing w:val="3"/>
          <w:w w:val="95"/>
        </w:rPr>
        <w:t>comportamiento simbólico; </w:t>
      </w:r>
      <w:r>
        <w:rPr>
          <w:rFonts w:ascii="Georgia" w:hAnsi="Georgia"/>
          <w:color w:val="231F20"/>
          <w:spacing w:val="2"/>
          <w:w w:val="95"/>
        </w:rPr>
        <w:t>nunca </w:t>
      </w:r>
      <w:r>
        <w:rPr>
          <w:rFonts w:ascii="Georgia" w:hAnsi="Georgia"/>
          <w:color w:val="231F20"/>
          <w:w w:val="95"/>
        </w:rPr>
        <w:t>llegó a su </w:t>
      </w:r>
      <w:r>
        <w:rPr>
          <w:rFonts w:ascii="Georgia" w:hAnsi="Georgia"/>
          <w:color w:val="231F20"/>
          <w:spacing w:val="2"/>
          <w:w w:val="95"/>
        </w:rPr>
        <w:t>materia </w:t>
      </w:r>
      <w:r>
        <w:rPr>
          <w:rFonts w:ascii="Georgia" w:hAnsi="Georgia"/>
          <w:color w:val="231F20"/>
          <w:w w:val="95"/>
        </w:rPr>
        <w:t>sin </w:t>
      </w:r>
      <w:r>
        <w:rPr>
          <w:rFonts w:ascii="Georgia" w:hAnsi="Georgia"/>
          <w:color w:val="231F20"/>
          <w:spacing w:val="2"/>
          <w:w w:val="95"/>
        </w:rPr>
        <w:t>antes</w:t>
      </w:r>
      <w:r>
        <w:rPr>
          <w:rFonts w:ascii="Georgia" w:hAnsi="Georgia"/>
          <w:color w:val="231F20"/>
          <w:spacing w:val="-8"/>
          <w:w w:val="95"/>
        </w:rPr>
        <w:t> </w:t>
      </w:r>
      <w:r>
        <w:rPr>
          <w:rFonts w:ascii="Georgia" w:hAnsi="Georgia"/>
          <w:color w:val="231F20"/>
          <w:spacing w:val="2"/>
          <w:w w:val="95"/>
        </w:rPr>
        <w:t>haber</w:t>
      </w:r>
      <w:r>
        <w:rPr>
          <w:rFonts w:ascii="Georgia" w:hAnsi="Georgia"/>
          <w:color w:val="231F20"/>
          <w:spacing w:val="-8"/>
          <w:w w:val="95"/>
        </w:rPr>
        <w:t> </w:t>
      </w:r>
      <w:r>
        <w:rPr>
          <w:rFonts w:ascii="Georgia" w:hAnsi="Georgia"/>
          <w:color w:val="231F20"/>
          <w:spacing w:val="3"/>
          <w:w w:val="95"/>
        </w:rPr>
        <w:t>preparado</w:t>
      </w:r>
      <w:r>
        <w:rPr>
          <w:rFonts w:ascii="Georgia" w:hAnsi="Georgia"/>
          <w:color w:val="231F20"/>
          <w:spacing w:val="-8"/>
          <w:w w:val="95"/>
        </w:rPr>
        <w:t> </w:t>
      </w:r>
      <w:r>
        <w:rPr>
          <w:rFonts w:ascii="Georgia" w:hAnsi="Georgia"/>
          <w:color w:val="231F20"/>
          <w:spacing w:val="2"/>
          <w:w w:val="95"/>
        </w:rPr>
        <w:t>los</w:t>
      </w:r>
      <w:r>
        <w:rPr>
          <w:rFonts w:ascii="Georgia" w:hAnsi="Georgia"/>
          <w:color w:val="231F20"/>
          <w:spacing w:val="-8"/>
          <w:w w:val="95"/>
        </w:rPr>
        <w:t> </w:t>
      </w:r>
      <w:r>
        <w:rPr>
          <w:rFonts w:ascii="Georgia" w:hAnsi="Georgia"/>
          <w:color w:val="231F20"/>
          <w:spacing w:val="3"/>
          <w:w w:val="95"/>
        </w:rPr>
        <w:t>puntos</w:t>
      </w:r>
      <w:r>
        <w:rPr>
          <w:rFonts w:ascii="Georgia" w:hAnsi="Georgia"/>
          <w:color w:val="231F20"/>
          <w:spacing w:val="-8"/>
          <w:w w:val="95"/>
        </w:rPr>
        <w:t> </w:t>
      </w:r>
      <w:r>
        <w:rPr>
          <w:rFonts w:ascii="Georgia" w:hAnsi="Georgia"/>
          <w:color w:val="231F20"/>
          <w:w w:val="95"/>
        </w:rPr>
        <w:t>a</w:t>
      </w:r>
      <w:r>
        <w:rPr>
          <w:rFonts w:ascii="Georgia" w:hAnsi="Georgia"/>
          <w:color w:val="231F20"/>
          <w:spacing w:val="-8"/>
          <w:w w:val="95"/>
        </w:rPr>
        <w:t> </w:t>
      </w:r>
      <w:r>
        <w:rPr>
          <w:rFonts w:ascii="Georgia" w:hAnsi="Georgia"/>
          <w:color w:val="231F20"/>
          <w:spacing w:val="2"/>
          <w:w w:val="95"/>
        </w:rPr>
        <w:t>tratar,</w:t>
      </w:r>
      <w:r>
        <w:rPr>
          <w:rFonts w:ascii="Georgia" w:hAnsi="Georgia"/>
          <w:color w:val="231F20"/>
          <w:spacing w:val="-9"/>
          <w:w w:val="95"/>
        </w:rPr>
        <w:t> </w:t>
      </w:r>
      <w:r>
        <w:rPr>
          <w:rFonts w:ascii="Georgia" w:hAnsi="Georgia"/>
          <w:color w:val="231F20"/>
          <w:w w:val="95"/>
        </w:rPr>
        <w:t>tal</w:t>
      </w:r>
      <w:r>
        <w:rPr>
          <w:rFonts w:ascii="Georgia" w:hAnsi="Georgia"/>
          <w:color w:val="231F20"/>
          <w:spacing w:val="-9"/>
          <w:w w:val="95"/>
        </w:rPr>
        <w:t> </w:t>
      </w:r>
      <w:r>
        <w:rPr>
          <w:rFonts w:ascii="Georgia" w:hAnsi="Georgia"/>
          <w:color w:val="231F20"/>
          <w:w w:val="95"/>
        </w:rPr>
        <w:t>y</w:t>
      </w:r>
      <w:r>
        <w:rPr>
          <w:rFonts w:ascii="Georgia" w:hAnsi="Georgia"/>
          <w:color w:val="231F20"/>
          <w:spacing w:val="-8"/>
          <w:w w:val="95"/>
        </w:rPr>
        <w:t> </w:t>
      </w:r>
      <w:r>
        <w:rPr>
          <w:rFonts w:ascii="Georgia" w:hAnsi="Georgia"/>
          <w:color w:val="231F20"/>
          <w:spacing w:val="3"/>
          <w:w w:val="95"/>
        </w:rPr>
        <w:t>como</w:t>
      </w:r>
      <w:r>
        <w:rPr>
          <w:rFonts w:ascii="Georgia" w:hAnsi="Georgia"/>
          <w:color w:val="231F20"/>
          <w:spacing w:val="-8"/>
          <w:w w:val="95"/>
        </w:rPr>
        <w:t> </w:t>
      </w:r>
      <w:r>
        <w:rPr>
          <w:rFonts w:ascii="Georgia" w:hAnsi="Georgia"/>
          <w:color w:val="231F20"/>
          <w:spacing w:val="2"/>
          <w:w w:val="95"/>
        </w:rPr>
        <w:t>podían</w:t>
      </w:r>
      <w:r>
        <w:rPr>
          <w:rFonts w:ascii="Georgia" w:hAnsi="Georgia"/>
          <w:color w:val="231F20"/>
          <w:spacing w:val="-8"/>
          <w:w w:val="95"/>
        </w:rPr>
        <w:t> </w:t>
      </w:r>
      <w:r>
        <w:rPr>
          <w:rFonts w:ascii="Georgia" w:hAnsi="Georgia"/>
          <w:color w:val="231F20"/>
          <w:spacing w:val="3"/>
          <w:w w:val="95"/>
        </w:rPr>
        <w:t>con- </w:t>
      </w:r>
      <w:r>
        <w:rPr>
          <w:rFonts w:ascii="Georgia" w:hAnsi="Georgia"/>
          <w:color w:val="231F20"/>
          <w:spacing w:val="2"/>
          <w:w w:val="95"/>
        </w:rPr>
        <w:t>firmarlo los </w:t>
      </w:r>
      <w:r>
        <w:rPr>
          <w:rFonts w:ascii="Georgia" w:hAnsi="Georgia"/>
          <w:color w:val="231F20"/>
          <w:spacing w:val="3"/>
          <w:w w:val="95"/>
        </w:rPr>
        <w:t>mismos </w:t>
      </w:r>
      <w:r>
        <w:rPr>
          <w:rFonts w:ascii="Georgia" w:hAnsi="Georgia"/>
          <w:color w:val="231F20"/>
          <w:spacing w:val="2"/>
          <w:w w:val="95"/>
        </w:rPr>
        <w:t>estudiantes. Para Reyes, estas actitudes </w:t>
      </w:r>
      <w:r>
        <w:rPr>
          <w:rFonts w:ascii="Georgia" w:hAnsi="Georgia"/>
          <w:color w:val="231F20"/>
          <w:w w:val="95"/>
        </w:rPr>
        <w:t>lo </w:t>
      </w:r>
      <w:r>
        <w:rPr>
          <w:rFonts w:ascii="Georgia" w:hAnsi="Georgia"/>
          <w:color w:val="231F20"/>
          <w:spacing w:val="3"/>
          <w:w w:val="95"/>
        </w:rPr>
        <w:t>dotaban</w:t>
      </w:r>
      <w:r>
        <w:rPr>
          <w:rFonts w:ascii="Georgia" w:hAnsi="Georgia"/>
          <w:color w:val="231F20"/>
          <w:spacing w:val="-3"/>
          <w:w w:val="95"/>
        </w:rPr>
        <w:t> </w:t>
      </w:r>
      <w:r>
        <w:rPr>
          <w:rFonts w:ascii="Georgia" w:hAnsi="Georgia"/>
          <w:color w:val="231F20"/>
          <w:w w:val="95"/>
        </w:rPr>
        <w:t>de</w:t>
      </w:r>
      <w:r>
        <w:rPr>
          <w:rFonts w:ascii="Georgia" w:hAnsi="Georgia"/>
          <w:color w:val="231F20"/>
          <w:spacing w:val="-3"/>
          <w:w w:val="95"/>
        </w:rPr>
        <w:t> </w:t>
      </w:r>
      <w:r>
        <w:rPr>
          <w:rFonts w:ascii="Georgia" w:hAnsi="Georgia"/>
          <w:color w:val="231F20"/>
          <w:spacing w:val="2"/>
          <w:w w:val="95"/>
        </w:rPr>
        <w:t>una</w:t>
      </w:r>
      <w:r>
        <w:rPr>
          <w:rFonts w:ascii="Georgia" w:hAnsi="Georgia"/>
          <w:color w:val="231F20"/>
          <w:spacing w:val="-3"/>
          <w:w w:val="95"/>
        </w:rPr>
        <w:t> </w:t>
      </w:r>
      <w:r>
        <w:rPr>
          <w:rFonts w:ascii="Georgia" w:hAnsi="Georgia"/>
          <w:color w:val="231F20"/>
          <w:spacing w:val="2"/>
          <w:w w:val="95"/>
        </w:rPr>
        <w:t>autoridad</w:t>
      </w:r>
      <w:r>
        <w:rPr>
          <w:rFonts w:ascii="Georgia" w:hAnsi="Georgia"/>
          <w:color w:val="231F20"/>
          <w:spacing w:val="-3"/>
          <w:w w:val="95"/>
        </w:rPr>
        <w:t> </w:t>
      </w:r>
      <w:r>
        <w:rPr>
          <w:rFonts w:ascii="Georgia" w:hAnsi="Georgia"/>
          <w:color w:val="231F20"/>
          <w:spacing w:val="3"/>
          <w:w w:val="95"/>
        </w:rPr>
        <w:t>moral</w:t>
      </w:r>
      <w:r>
        <w:rPr>
          <w:rFonts w:ascii="Georgia" w:hAnsi="Georgia"/>
          <w:color w:val="231F20"/>
          <w:spacing w:val="-4"/>
          <w:w w:val="95"/>
        </w:rPr>
        <w:t> </w:t>
      </w:r>
      <w:r>
        <w:rPr>
          <w:rFonts w:ascii="Georgia" w:hAnsi="Georgia"/>
          <w:color w:val="231F20"/>
          <w:w w:val="95"/>
        </w:rPr>
        <w:t>y</w:t>
      </w:r>
      <w:r>
        <w:rPr>
          <w:rFonts w:ascii="Georgia" w:hAnsi="Georgia"/>
          <w:color w:val="231F20"/>
          <w:spacing w:val="-3"/>
          <w:w w:val="95"/>
        </w:rPr>
        <w:t> </w:t>
      </w:r>
      <w:r>
        <w:rPr>
          <w:rFonts w:ascii="Georgia" w:hAnsi="Georgia"/>
          <w:color w:val="231F20"/>
          <w:spacing w:val="2"/>
          <w:w w:val="95"/>
        </w:rPr>
        <w:t>académica</w:t>
      </w:r>
      <w:r>
        <w:rPr>
          <w:rFonts w:ascii="Georgia" w:hAnsi="Georgia"/>
          <w:color w:val="231F20"/>
          <w:spacing w:val="-3"/>
          <w:w w:val="95"/>
        </w:rPr>
        <w:t> </w:t>
      </w:r>
      <w:r>
        <w:rPr>
          <w:rFonts w:ascii="Georgia" w:hAnsi="Georgia"/>
          <w:color w:val="231F20"/>
          <w:spacing w:val="2"/>
          <w:w w:val="95"/>
        </w:rPr>
        <w:t>indispensable</w:t>
      </w:r>
      <w:r>
        <w:rPr>
          <w:rFonts w:ascii="Georgia" w:hAnsi="Georgia"/>
          <w:color w:val="231F20"/>
          <w:spacing w:val="-3"/>
          <w:w w:val="95"/>
        </w:rPr>
        <w:t> </w:t>
      </w:r>
      <w:r>
        <w:rPr>
          <w:rFonts w:ascii="Georgia" w:hAnsi="Georgia"/>
          <w:color w:val="231F20"/>
          <w:spacing w:val="2"/>
          <w:w w:val="95"/>
        </w:rPr>
        <w:t>para</w:t>
      </w:r>
    </w:p>
    <w:p>
      <w:pPr>
        <w:spacing w:after="0" w:line="252" w:lineRule="auto"/>
        <w:jc w:val="both"/>
        <w:rPr>
          <w:rFonts w:ascii="Georgia" w:hAnsi="Georgia"/>
        </w:rPr>
        <w:sectPr>
          <w:headerReference w:type="default" r:id="rId306"/>
          <w:footerReference w:type="default" r:id="rId307"/>
          <w:pgSz w:w="7830" w:h="11910"/>
          <w:pgMar w:header="0" w:footer="424" w:top="500" w:bottom="620" w:left="920" w:right="900"/>
          <w:pgNumType w:start="142"/>
        </w:sectPr>
      </w:pPr>
    </w:p>
    <w:p>
      <w:pPr>
        <w:spacing w:before="48"/>
        <w:ind w:left="1463" w:right="121" w:firstLine="0"/>
        <w:jc w:val="left"/>
        <w:rPr>
          <w:rFonts w:ascii="Georgia" w:hAnsi="Georgia"/>
          <w:sz w:val="13"/>
        </w:rPr>
      </w:pPr>
      <w:r>
        <w:rPr>
          <w:rFonts w:ascii="Georgia" w:hAnsi="Georgia"/>
          <w:color w:val="231F20"/>
          <w:sz w:val="16"/>
        </w:rPr>
        <w:t>E</w:t>
      </w:r>
      <w:r>
        <w:rPr>
          <w:rFonts w:ascii="Georgia" w:hAnsi="Georgia"/>
          <w:color w:val="231F20"/>
          <w:sz w:val="13"/>
        </w:rPr>
        <w:t>STUDIOS SOBRE VIOLENCIA EN LA EDUCACIÓN</w:t>
      </w:r>
    </w:p>
    <w:p>
      <w:pPr>
        <w:pStyle w:val="BodyText"/>
        <w:rPr>
          <w:rFonts w:ascii="Georgia"/>
          <w:sz w:val="16"/>
        </w:rPr>
      </w:pPr>
    </w:p>
    <w:p>
      <w:pPr>
        <w:pStyle w:val="BodyText"/>
        <w:rPr>
          <w:rFonts w:ascii="Georgia"/>
          <w:sz w:val="16"/>
        </w:rPr>
      </w:pPr>
    </w:p>
    <w:p>
      <w:pPr>
        <w:pStyle w:val="BodyText"/>
        <w:spacing w:line="252" w:lineRule="auto" w:before="100"/>
        <w:ind w:left="101" w:right="116"/>
        <w:jc w:val="both"/>
        <w:rPr>
          <w:rFonts w:ascii="Georgia" w:hAnsi="Georgia"/>
        </w:rPr>
      </w:pPr>
      <w:r>
        <w:rPr>
          <w:rFonts w:ascii="Georgia" w:hAnsi="Georgia"/>
          <w:color w:val="231F20"/>
          <w:spacing w:val="3"/>
          <w:w w:val="95"/>
        </w:rPr>
        <w:t>imponer</w:t>
      </w:r>
      <w:r>
        <w:rPr>
          <w:rFonts w:ascii="Georgia" w:hAnsi="Georgia"/>
          <w:color w:val="231F20"/>
          <w:spacing w:val="-14"/>
          <w:w w:val="95"/>
        </w:rPr>
        <w:t> </w:t>
      </w:r>
      <w:r>
        <w:rPr>
          <w:rFonts w:ascii="Georgia" w:hAnsi="Georgia"/>
          <w:color w:val="231F20"/>
          <w:spacing w:val="2"/>
          <w:w w:val="95"/>
        </w:rPr>
        <w:t>los</w:t>
      </w:r>
      <w:r>
        <w:rPr>
          <w:rFonts w:ascii="Georgia" w:hAnsi="Georgia"/>
          <w:color w:val="231F20"/>
          <w:spacing w:val="-14"/>
          <w:w w:val="95"/>
        </w:rPr>
        <w:t> </w:t>
      </w:r>
      <w:r>
        <w:rPr>
          <w:rFonts w:ascii="Georgia" w:hAnsi="Georgia"/>
          <w:color w:val="231F20"/>
          <w:spacing w:val="2"/>
          <w:w w:val="95"/>
        </w:rPr>
        <w:t>castigos</w:t>
      </w:r>
      <w:r>
        <w:rPr>
          <w:rFonts w:ascii="Georgia" w:hAnsi="Georgia"/>
          <w:color w:val="231F20"/>
          <w:spacing w:val="-14"/>
          <w:w w:val="95"/>
        </w:rPr>
        <w:t> </w:t>
      </w:r>
      <w:r>
        <w:rPr>
          <w:rFonts w:ascii="Georgia" w:hAnsi="Georgia"/>
          <w:color w:val="231F20"/>
          <w:spacing w:val="2"/>
          <w:w w:val="95"/>
        </w:rPr>
        <w:t>que</w:t>
      </w:r>
      <w:r>
        <w:rPr>
          <w:rFonts w:ascii="Georgia" w:hAnsi="Georgia"/>
          <w:color w:val="231F20"/>
          <w:spacing w:val="-14"/>
          <w:w w:val="95"/>
        </w:rPr>
        <w:t> </w:t>
      </w:r>
      <w:r>
        <w:rPr>
          <w:rFonts w:ascii="Georgia" w:hAnsi="Georgia"/>
          <w:color w:val="231F20"/>
          <w:w w:val="95"/>
        </w:rPr>
        <w:t>a</w:t>
      </w:r>
      <w:r>
        <w:rPr>
          <w:rFonts w:ascii="Georgia" w:hAnsi="Georgia"/>
          <w:color w:val="231F20"/>
          <w:spacing w:val="-14"/>
          <w:w w:val="95"/>
        </w:rPr>
        <w:t> </w:t>
      </w:r>
      <w:r>
        <w:rPr>
          <w:rFonts w:ascii="Georgia" w:hAnsi="Georgia"/>
          <w:color w:val="231F20"/>
          <w:w w:val="95"/>
        </w:rPr>
        <w:t>su</w:t>
      </w:r>
      <w:r>
        <w:rPr>
          <w:rFonts w:ascii="Georgia" w:hAnsi="Georgia"/>
          <w:color w:val="231F20"/>
          <w:spacing w:val="-14"/>
          <w:w w:val="95"/>
        </w:rPr>
        <w:t> </w:t>
      </w:r>
      <w:r>
        <w:rPr>
          <w:rFonts w:ascii="Georgia" w:hAnsi="Georgia"/>
          <w:color w:val="231F20"/>
          <w:spacing w:val="2"/>
          <w:w w:val="95"/>
        </w:rPr>
        <w:t>juicio</w:t>
      </w:r>
      <w:r>
        <w:rPr>
          <w:rFonts w:ascii="Georgia" w:hAnsi="Georgia"/>
          <w:color w:val="231F20"/>
          <w:spacing w:val="-14"/>
          <w:w w:val="95"/>
        </w:rPr>
        <w:t> </w:t>
      </w:r>
      <w:r>
        <w:rPr>
          <w:rFonts w:ascii="Georgia" w:hAnsi="Georgia"/>
          <w:color w:val="231F20"/>
          <w:spacing w:val="2"/>
          <w:w w:val="95"/>
        </w:rPr>
        <w:t>merecían</w:t>
      </w:r>
      <w:r>
        <w:rPr>
          <w:rFonts w:ascii="Georgia" w:hAnsi="Georgia"/>
          <w:color w:val="231F20"/>
          <w:spacing w:val="-14"/>
          <w:w w:val="95"/>
        </w:rPr>
        <w:t> </w:t>
      </w:r>
      <w:r>
        <w:rPr>
          <w:rFonts w:ascii="Georgia" w:hAnsi="Georgia"/>
          <w:color w:val="231F20"/>
          <w:spacing w:val="2"/>
          <w:w w:val="95"/>
        </w:rPr>
        <w:t>quienes</w:t>
      </w:r>
      <w:r>
        <w:rPr>
          <w:rFonts w:ascii="Georgia" w:hAnsi="Georgia"/>
          <w:color w:val="231F20"/>
          <w:spacing w:val="-14"/>
          <w:w w:val="95"/>
        </w:rPr>
        <w:t> </w:t>
      </w:r>
      <w:r>
        <w:rPr>
          <w:rFonts w:ascii="Georgia" w:hAnsi="Georgia"/>
          <w:color w:val="231F20"/>
          <w:w w:val="95"/>
        </w:rPr>
        <w:t>no</w:t>
      </w:r>
      <w:r>
        <w:rPr>
          <w:rFonts w:ascii="Georgia" w:hAnsi="Georgia"/>
          <w:color w:val="231F20"/>
          <w:spacing w:val="-14"/>
          <w:w w:val="95"/>
        </w:rPr>
        <w:t> </w:t>
      </w:r>
      <w:r>
        <w:rPr>
          <w:rFonts w:ascii="Georgia" w:hAnsi="Georgia"/>
          <w:color w:val="231F20"/>
          <w:spacing w:val="2"/>
          <w:w w:val="95"/>
        </w:rPr>
        <w:t>cumplie- </w:t>
      </w:r>
      <w:r>
        <w:rPr>
          <w:rFonts w:ascii="Georgia" w:hAnsi="Georgia"/>
          <w:color w:val="231F20"/>
        </w:rPr>
        <w:t>ran</w:t>
      </w:r>
      <w:r>
        <w:rPr>
          <w:rFonts w:ascii="Georgia" w:hAnsi="Georgia"/>
          <w:color w:val="231F20"/>
          <w:spacing w:val="-18"/>
        </w:rPr>
        <w:t> </w:t>
      </w:r>
      <w:r>
        <w:rPr>
          <w:rFonts w:ascii="Georgia" w:hAnsi="Georgia"/>
          <w:color w:val="231F20"/>
          <w:spacing w:val="2"/>
        </w:rPr>
        <w:t>con</w:t>
      </w:r>
      <w:r>
        <w:rPr>
          <w:rFonts w:ascii="Georgia" w:hAnsi="Georgia"/>
          <w:color w:val="231F20"/>
          <w:spacing w:val="-18"/>
        </w:rPr>
        <w:t> </w:t>
      </w:r>
      <w:r>
        <w:rPr>
          <w:rFonts w:ascii="Georgia" w:hAnsi="Georgia"/>
          <w:color w:val="231F20"/>
        </w:rPr>
        <w:t>sus</w:t>
      </w:r>
      <w:r>
        <w:rPr>
          <w:rFonts w:ascii="Georgia" w:hAnsi="Georgia"/>
          <w:color w:val="231F20"/>
          <w:spacing w:val="-18"/>
        </w:rPr>
        <w:t> </w:t>
      </w:r>
      <w:r>
        <w:rPr>
          <w:rFonts w:ascii="Georgia" w:hAnsi="Georgia"/>
          <w:color w:val="231F20"/>
          <w:spacing w:val="2"/>
        </w:rPr>
        <w:t>instrucciones.</w:t>
      </w:r>
      <w:r>
        <w:rPr>
          <w:rFonts w:ascii="Georgia" w:hAnsi="Georgia"/>
          <w:color w:val="231F20"/>
          <w:spacing w:val="-18"/>
        </w:rPr>
        <w:t> </w:t>
      </w:r>
      <w:r>
        <w:rPr>
          <w:rFonts w:ascii="Georgia" w:hAnsi="Georgia"/>
          <w:color w:val="231F20"/>
        </w:rPr>
        <w:t>Es</w:t>
      </w:r>
      <w:r>
        <w:rPr>
          <w:rFonts w:ascii="Georgia" w:hAnsi="Georgia"/>
          <w:color w:val="231F20"/>
          <w:spacing w:val="-18"/>
        </w:rPr>
        <w:t> </w:t>
      </w:r>
      <w:r>
        <w:rPr>
          <w:rFonts w:ascii="Georgia" w:hAnsi="Georgia"/>
          <w:color w:val="231F20"/>
          <w:spacing w:val="2"/>
        </w:rPr>
        <w:t>cierto</w:t>
      </w:r>
      <w:r>
        <w:rPr>
          <w:rFonts w:ascii="Georgia" w:hAnsi="Georgia"/>
          <w:color w:val="231F20"/>
          <w:spacing w:val="-18"/>
        </w:rPr>
        <w:t> </w:t>
      </w:r>
      <w:r>
        <w:rPr>
          <w:rFonts w:ascii="Georgia" w:hAnsi="Georgia"/>
          <w:color w:val="231F20"/>
          <w:spacing w:val="2"/>
        </w:rPr>
        <w:t>que,</w:t>
      </w:r>
      <w:r>
        <w:rPr>
          <w:rFonts w:ascii="Georgia" w:hAnsi="Georgia"/>
          <w:color w:val="231F20"/>
          <w:spacing w:val="-18"/>
        </w:rPr>
        <w:t> </w:t>
      </w:r>
      <w:r>
        <w:rPr>
          <w:rFonts w:ascii="Georgia" w:hAnsi="Georgia"/>
          <w:color w:val="231F20"/>
          <w:spacing w:val="2"/>
        </w:rPr>
        <w:t>aclaraba</w:t>
      </w:r>
      <w:r>
        <w:rPr>
          <w:rFonts w:ascii="Georgia" w:hAnsi="Georgia"/>
          <w:color w:val="231F20"/>
          <w:spacing w:val="-18"/>
        </w:rPr>
        <w:t> </w:t>
      </w:r>
      <w:r>
        <w:rPr>
          <w:rFonts w:ascii="Georgia" w:hAnsi="Georgia"/>
          <w:color w:val="231F20"/>
          <w:spacing w:val="2"/>
        </w:rPr>
        <w:t>con</w:t>
      </w:r>
      <w:r>
        <w:rPr>
          <w:rFonts w:ascii="Georgia" w:hAnsi="Georgia"/>
          <w:color w:val="231F20"/>
          <w:spacing w:val="-18"/>
        </w:rPr>
        <w:t> </w:t>
      </w:r>
      <w:r>
        <w:rPr>
          <w:rFonts w:ascii="Georgia" w:hAnsi="Georgia"/>
          <w:color w:val="231F20"/>
          <w:spacing w:val="2"/>
        </w:rPr>
        <w:t>cierta</w:t>
      </w:r>
      <w:r>
        <w:rPr>
          <w:rFonts w:ascii="Georgia" w:hAnsi="Georgia"/>
          <w:color w:val="231F20"/>
          <w:spacing w:val="-18"/>
        </w:rPr>
        <w:t> </w:t>
      </w:r>
      <w:r>
        <w:rPr>
          <w:rFonts w:ascii="Georgia" w:hAnsi="Georgia"/>
          <w:color w:val="231F20"/>
        </w:rPr>
        <w:t>cir- </w:t>
      </w:r>
      <w:r>
        <w:rPr>
          <w:rFonts w:ascii="Georgia" w:hAnsi="Georgia"/>
          <w:color w:val="231F20"/>
          <w:spacing w:val="3"/>
          <w:w w:val="95"/>
        </w:rPr>
        <w:t>cunspección, </w:t>
      </w:r>
      <w:r>
        <w:rPr>
          <w:rFonts w:ascii="Georgia" w:hAnsi="Georgia"/>
          <w:color w:val="231F20"/>
          <w:w w:val="95"/>
        </w:rPr>
        <w:t>que no </w:t>
      </w:r>
      <w:r>
        <w:rPr>
          <w:rFonts w:ascii="Georgia" w:hAnsi="Georgia"/>
          <w:color w:val="231F20"/>
          <w:spacing w:val="2"/>
          <w:w w:val="95"/>
        </w:rPr>
        <w:t>dependía </w:t>
      </w:r>
      <w:r>
        <w:rPr>
          <w:rFonts w:ascii="Georgia" w:hAnsi="Georgia"/>
          <w:color w:val="231F20"/>
          <w:w w:val="95"/>
        </w:rPr>
        <w:t>de él que se </w:t>
      </w:r>
      <w:r>
        <w:rPr>
          <w:rFonts w:ascii="Georgia" w:hAnsi="Georgia"/>
          <w:color w:val="231F20"/>
          <w:spacing w:val="2"/>
          <w:w w:val="95"/>
        </w:rPr>
        <w:t>ejecutaranestos por </w:t>
      </w:r>
      <w:r>
        <w:rPr>
          <w:rFonts w:ascii="Georgia" w:hAnsi="Georgia"/>
          <w:color w:val="231F20"/>
          <w:w w:val="95"/>
        </w:rPr>
        <w:t>lo que se </w:t>
      </w:r>
      <w:r>
        <w:rPr>
          <w:rFonts w:ascii="Georgia" w:hAnsi="Georgia"/>
          <w:color w:val="231F20"/>
          <w:spacing w:val="2"/>
          <w:w w:val="95"/>
        </w:rPr>
        <w:t>deslindaba </w:t>
      </w:r>
      <w:r>
        <w:rPr>
          <w:rFonts w:ascii="Georgia" w:hAnsi="Georgia"/>
          <w:color w:val="231F20"/>
          <w:w w:val="95"/>
        </w:rPr>
        <w:t>de </w:t>
      </w:r>
      <w:r>
        <w:rPr>
          <w:rFonts w:ascii="Georgia" w:hAnsi="Georgia"/>
          <w:color w:val="231F20"/>
          <w:spacing w:val="2"/>
          <w:w w:val="95"/>
        </w:rPr>
        <w:t>toda responsabilidad, aunque </w:t>
      </w:r>
      <w:r>
        <w:rPr>
          <w:rFonts w:ascii="Georgia" w:hAnsi="Georgia"/>
          <w:color w:val="231F20"/>
          <w:w w:val="95"/>
        </w:rPr>
        <w:t>no </w:t>
      </w:r>
      <w:r>
        <w:rPr>
          <w:rFonts w:ascii="Georgia" w:hAnsi="Georgia"/>
          <w:color w:val="231F20"/>
          <w:spacing w:val="2"/>
          <w:w w:val="95"/>
        </w:rPr>
        <w:t>dejaba </w:t>
      </w:r>
      <w:r>
        <w:rPr>
          <w:rFonts w:ascii="Georgia" w:hAnsi="Georgia"/>
          <w:color w:val="231F20"/>
          <w:w w:val="95"/>
        </w:rPr>
        <w:t>de </w:t>
      </w:r>
      <w:r>
        <w:rPr>
          <w:rFonts w:ascii="Georgia" w:hAnsi="Georgia"/>
          <w:color w:val="231F20"/>
          <w:spacing w:val="2"/>
        </w:rPr>
        <w:t>lamentarse </w:t>
      </w:r>
      <w:r>
        <w:rPr>
          <w:rFonts w:ascii="Georgia" w:hAnsi="Georgia"/>
          <w:color w:val="231F20"/>
        </w:rPr>
        <w:t>de que </w:t>
      </w:r>
      <w:r>
        <w:rPr>
          <w:rFonts w:ascii="Georgia" w:hAnsi="Georgia"/>
          <w:color w:val="231F20"/>
          <w:spacing w:val="2"/>
        </w:rPr>
        <w:t>“casi </w:t>
      </w:r>
      <w:r>
        <w:rPr>
          <w:rFonts w:ascii="Georgia" w:hAnsi="Georgia"/>
          <w:color w:val="231F20"/>
        </w:rPr>
        <w:t>la </w:t>
      </w:r>
      <w:r>
        <w:rPr>
          <w:rFonts w:ascii="Georgia" w:hAnsi="Georgia"/>
          <w:color w:val="231F20"/>
          <w:spacing w:val="3"/>
        </w:rPr>
        <w:t>mayor </w:t>
      </w:r>
      <w:r>
        <w:rPr>
          <w:rFonts w:ascii="Georgia" w:hAnsi="Georgia"/>
          <w:color w:val="231F20"/>
          <w:spacing w:val="2"/>
        </w:rPr>
        <w:t>parte </w:t>
      </w:r>
      <w:r>
        <w:rPr>
          <w:rFonts w:ascii="Georgia" w:hAnsi="Georgia"/>
          <w:color w:val="231F20"/>
        </w:rPr>
        <w:t>de </w:t>
      </w:r>
      <w:r>
        <w:rPr>
          <w:rFonts w:ascii="Georgia" w:hAnsi="Georgia"/>
          <w:color w:val="231F20"/>
          <w:spacing w:val="2"/>
        </w:rPr>
        <w:t>los </w:t>
      </w:r>
      <w:r>
        <w:rPr>
          <w:rFonts w:ascii="Georgia" w:hAnsi="Georgia"/>
          <w:color w:val="231F20"/>
          <w:spacing w:val="3"/>
        </w:rPr>
        <w:t>alumnos” </w:t>
      </w:r>
      <w:r>
        <w:rPr>
          <w:rFonts w:ascii="Georgia" w:hAnsi="Georgia"/>
          <w:color w:val="231F20"/>
        </w:rPr>
        <w:t>no</w:t>
      </w:r>
      <w:r>
        <w:rPr>
          <w:rFonts w:ascii="Georgia" w:hAnsi="Georgia"/>
          <w:color w:val="231F20"/>
          <w:spacing w:val="-33"/>
        </w:rPr>
        <w:t> </w:t>
      </w:r>
      <w:r>
        <w:rPr>
          <w:rFonts w:ascii="Georgia" w:hAnsi="Georgia"/>
          <w:color w:val="231F20"/>
          <w:spacing w:val="2"/>
        </w:rPr>
        <w:t>las </w:t>
      </w:r>
      <w:r>
        <w:rPr>
          <w:rFonts w:ascii="Georgia" w:hAnsi="Georgia"/>
          <w:color w:val="231F20"/>
          <w:spacing w:val="2"/>
          <w:w w:val="95"/>
        </w:rPr>
        <w:t>cumplían</w:t>
      </w:r>
      <w:r>
        <w:rPr>
          <w:rFonts w:ascii="Georgia" w:hAnsi="Georgia"/>
          <w:color w:val="231F20"/>
          <w:spacing w:val="-16"/>
          <w:w w:val="95"/>
        </w:rPr>
        <w:t> </w:t>
      </w:r>
      <w:r>
        <w:rPr>
          <w:rFonts w:ascii="Georgia" w:hAnsi="Georgia"/>
          <w:color w:val="231F20"/>
          <w:spacing w:val="2"/>
          <w:w w:val="95"/>
        </w:rPr>
        <w:t>debido</w:t>
      </w:r>
      <w:r>
        <w:rPr>
          <w:rFonts w:ascii="Georgia" w:hAnsi="Georgia"/>
          <w:color w:val="231F20"/>
          <w:spacing w:val="-16"/>
          <w:w w:val="95"/>
        </w:rPr>
        <w:t> </w:t>
      </w:r>
      <w:r>
        <w:rPr>
          <w:rFonts w:ascii="Georgia" w:hAnsi="Georgia"/>
          <w:color w:val="231F20"/>
          <w:w w:val="95"/>
        </w:rPr>
        <w:t>a</w:t>
      </w:r>
      <w:r>
        <w:rPr>
          <w:rFonts w:ascii="Georgia" w:hAnsi="Georgia"/>
          <w:color w:val="231F20"/>
          <w:spacing w:val="-17"/>
          <w:w w:val="95"/>
        </w:rPr>
        <w:t> </w:t>
      </w:r>
      <w:r>
        <w:rPr>
          <w:rFonts w:ascii="Georgia" w:hAnsi="Georgia"/>
          <w:color w:val="231F20"/>
          <w:spacing w:val="2"/>
          <w:w w:val="95"/>
        </w:rPr>
        <w:t>que</w:t>
      </w:r>
      <w:r>
        <w:rPr>
          <w:rFonts w:ascii="Georgia" w:hAnsi="Georgia"/>
          <w:color w:val="231F20"/>
          <w:spacing w:val="-17"/>
          <w:w w:val="95"/>
        </w:rPr>
        <w:t> </w:t>
      </w:r>
      <w:r>
        <w:rPr>
          <w:rFonts w:ascii="Georgia" w:hAnsi="Georgia"/>
          <w:color w:val="231F20"/>
          <w:w w:val="95"/>
        </w:rPr>
        <w:t>las</w:t>
      </w:r>
      <w:r>
        <w:rPr>
          <w:rFonts w:ascii="Georgia" w:hAnsi="Georgia"/>
          <w:color w:val="231F20"/>
          <w:spacing w:val="-17"/>
          <w:w w:val="95"/>
        </w:rPr>
        <w:t> </w:t>
      </w:r>
      <w:r>
        <w:rPr>
          <w:rFonts w:ascii="Georgia" w:hAnsi="Georgia"/>
          <w:color w:val="231F20"/>
          <w:spacing w:val="3"/>
          <w:w w:val="95"/>
        </w:rPr>
        <w:t>personas</w:t>
      </w:r>
      <w:r>
        <w:rPr>
          <w:rFonts w:ascii="Georgia" w:hAnsi="Georgia"/>
          <w:color w:val="231F20"/>
          <w:spacing w:val="-17"/>
          <w:w w:val="95"/>
        </w:rPr>
        <w:t> </w:t>
      </w:r>
      <w:r>
        <w:rPr>
          <w:rFonts w:ascii="Georgia" w:hAnsi="Georgia"/>
          <w:color w:val="231F20"/>
          <w:spacing w:val="2"/>
          <w:w w:val="95"/>
        </w:rPr>
        <w:t>encargadas</w:t>
      </w:r>
      <w:r>
        <w:rPr>
          <w:rFonts w:ascii="Georgia" w:hAnsi="Georgia"/>
          <w:color w:val="231F20"/>
          <w:spacing w:val="-17"/>
          <w:w w:val="95"/>
        </w:rPr>
        <w:t> </w:t>
      </w:r>
      <w:r>
        <w:rPr>
          <w:rFonts w:ascii="Georgia" w:hAnsi="Georgia"/>
          <w:color w:val="231F20"/>
          <w:w w:val="95"/>
        </w:rPr>
        <w:t>de</w:t>
      </w:r>
      <w:r>
        <w:rPr>
          <w:rFonts w:ascii="Georgia" w:hAnsi="Georgia"/>
          <w:color w:val="231F20"/>
          <w:spacing w:val="-17"/>
          <w:w w:val="95"/>
        </w:rPr>
        <w:t> </w:t>
      </w:r>
      <w:r>
        <w:rPr>
          <w:rFonts w:ascii="Georgia" w:hAnsi="Georgia"/>
          <w:color w:val="231F20"/>
          <w:spacing w:val="2"/>
          <w:w w:val="95"/>
        </w:rPr>
        <w:t>hacerlos</w:t>
      </w:r>
      <w:r>
        <w:rPr>
          <w:rFonts w:ascii="Georgia" w:hAnsi="Georgia"/>
          <w:color w:val="231F20"/>
          <w:spacing w:val="-17"/>
          <w:w w:val="95"/>
        </w:rPr>
        <w:t> </w:t>
      </w:r>
      <w:r>
        <w:rPr>
          <w:rFonts w:ascii="Georgia" w:hAnsi="Georgia"/>
          <w:color w:val="231F20"/>
          <w:spacing w:val="2"/>
          <w:w w:val="95"/>
        </w:rPr>
        <w:t>efecti- </w:t>
      </w:r>
      <w:r>
        <w:rPr>
          <w:rFonts w:ascii="Georgia" w:hAnsi="Georgia"/>
          <w:color w:val="231F20"/>
          <w:spacing w:val="2"/>
        </w:rPr>
        <w:t>vos</w:t>
      </w:r>
      <w:r>
        <w:rPr>
          <w:rFonts w:ascii="Georgia" w:hAnsi="Georgia"/>
          <w:color w:val="231F20"/>
          <w:spacing w:val="-15"/>
        </w:rPr>
        <w:t> </w:t>
      </w:r>
      <w:r>
        <w:rPr>
          <w:rFonts w:ascii="Georgia" w:hAnsi="Georgia"/>
          <w:color w:val="231F20"/>
        </w:rPr>
        <w:t>no</w:t>
      </w:r>
      <w:r>
        <w:rPr>
          <w:rFonts w:ascii="Georgia" w:hAnsi="Georgia"/>
          <w:color w:val="231F20"/>
          <w:spacing w:val="-15"/>
        </w:rPr>
        <w:t> </w:t>
      </w:r>
      <w:r>
        <w:rPr>
          <w:rFonts w:ascii="Georgia" w:hAnsi="Georgia"/>
          <w:color w:val="231F20"/>
        </w:rPr>
        <w:t>lo</w:t>
      </w:r>
      <w:r>
        <w:rPr>
          <w:rFonts w:ascii="Georgia" w:hAnsi="Georgia"/>
          <w:color w:val="231F20"/>
          <w:spacing w:val="-15"/>
        </w:rPr>
        <w:t> </w:t>
      </w:r>
      <w:r>
        <w:rPr>
          <w:rFonts w:ascii="Georgia" w:hAnsi="Georgia"/>
          <w:color w:val="231F20"/>
          <w:spacing w:val="2"/>
        </w:rPr>
        <w:t>hacían,</w:t>
      </w:r>
      <w:r>
        <w:rPr>
          <w:rFonts w:ascii="Georgia" w:hAnsi="Georgia"/>
          <w:color w:val="231F20"/>
          <w:spacing w:val="-16"/>
        </w:rPr>
        <w:t> </w:t>
      </w:r>
      <w:r>
        <w:rPr>
          <w:rFonts w:ascii="Georgia" w:hAnsi="Georgia"/>
          <w:color w:val="231F20"/>
          <w:spacing w:val="2"/>
        </w:rPr>
        <w:t>por</w:t>
      </w:r>
      <w:r>
        <w:rPr>
          <w:rFonts w:ascii="Georgia" w:hAnsi="Georgia"/>
          <w:color w:val="231F20"/>
          <w:spacing w:val="-15"/>
        </w:rPr>
        <w:t> </w:t>
      </w:r>
      <w:r>
        <w:rPr>
          <w:rFonts w:ascii="Georgia" w:hAnsi="Georgia"/>
          <w:color w:val="231F20"/>
          <w:spacing w:val="2"/>
        </w:rPr>
        <w:t>“causas</w:t>
      </w:r>
      <w:r>
        <w:rPr>
          <w:rFonts w:ascii="Georgia" w:hAnsi="Georgia"/>
          <w:color w:val="231F20"/>
          <w:spacing w:val="-15"/>
        </w:rPr>
        <w:t> </w:t>
      </w:r>
      <w:r>
        <w:rPr>
          <w:rFonts w:ascii="Georgia" w:hAnsi="Georgia"/>
          <w:color w:val="231F20"/>
        </w:rPr>
        <w:t>que</w:t>
      </w:r>
      <w:r>
        <w:rPr>
          <w:rFonts w:ascii="Georgia" w:hAnsi="Georgia"/>
          <w:color w:val="231F20"/>
          <w:spacing w:val="-15"/>
        </w:rPr>
        <w:t> </w:t>
      </w:r>
      <w:r>
        <w:rPr>
          <w:rFonts w:ascii="Georgia" w:hAnsi="Georgia"/>
          <w:color w:val="231F20"/>
          <w:spacing w:val="2"/>
        </w:rPr>
        <w:t>solo</w:t>
      </w:r>
      <w:r>
        <w:rPr>
          <w:rFonts w:ascii="Georgia" w:hAnsi="Georgia"/>
          <w:color w:val="231F20"/>
          <w:spacing w:val="-15"/>
        </w:rPr>
        <w:t> </w:t>
      </w:r>
      <w:r>
        <w:rPr>
          <w:rFonts w:ascii="Georgia" w:hAnsi="Georgia"/>
          <w:color w:val="231F20"/>
          <w:spacing w:val="2"/>
        </w:rPr>
        <w:t>ellos</w:t>
      </w:r>
      <w:r>
        <w:rPr>
          <w:rFonts w:ascii="Georgia" w:hAnsi="Georgia"/>
          <w:color w:val="231F20"/>
          <w:spacing w:val="-15"/>
        </w:rPr>
        <w:t> </w:t>
      </w:r>
      <w:r>
        <w:rPr>
          <w:rFonts w:ascii="Georgia" w:hAnsi="Georgia"/>
          <w:color w:val="231F20"/>
          <w:spacing w:val="3"/>
        </w:rPr>
        <w:t>conocen</w:t>
      </w:r>
      <w:r>
        <w:rPr>
          <w:rFonts w:ascii="Georgia" w:hAnsi="Georgia"/>
          <w:color w:val="231F20"/>
          <w:spacing w:val="-15"/>
        </w:rPr>
        <w:t> </w:t>
      </w:r>
      <w:r>
        <w:rPr>
          <w:rFonts w:ascii="Georgia" w:hAnsi="Georgia"/>
          <w:color w:val="231F20"/>
        </w:rPr>
        <w:t>y</w:t>
      </w:r>
      <w:r>
        <w:rPr>
          <w:rFonts w:ascii="Georgia" w:hAnsi="Georgia"/>
          <w:color w:val="231F20"/>
          <w:spacing w:val="-15"/>
        </w:rPr>
        <w:t> </w:t>
      </w:r>
      <w:r>
        <w:rPr>
          <w:rFonts w:ascii="Georgia" w:hAnsi="Georgia"/>
          <w:color w:val="231F20"/>
        </w:rPr>
        <w:t>las</w:t>
      </w:r>
      <w:r>
        <w:rPr>
          <w:rFonts w:ascii="Georgia" w:hAnsi="Georgia"/>
          <w:color w:val="231F20"/>
          <w:spacing w:val="-15"/>
        </w:rPr>
        <w:t> </w:t>
      </w:r>
      <w:r>
        <w:rPr>
          <w:rFonts w:ascii="Georgia" w:hAnsi="Georgia"/>
          <w:color w:val="231F20"/>
          <w:spacing w:val="2"/>
        </w:rPr>
        <w:t>cuales </w:t>
      </w:r>
      <w:r>
        <w:rPr>
          <w:rFonts w:ascii="Georgia" w:hAnsi="Georgia"/>
          <w:color w:val="231F20"/>
          <w:spacing w:val="2"/>
          <w:w w:val="90"/>
        </w:rPr>
        <w:t>están fuera </w:t>
      </w:r>
      <w:r>
        <w:rPr>
          <w:rFonts w:ascii="Georgia" w:hAnsi="Georgia"/>
          <w:color w:val="231F20"/>
          <w:w w:val="90"/>
        </w:rPr>
        <w:t>de </w:t>
      </w:r>
      <w:r>
        <w:rPr>
          <w:rFonts w:ascii="Georgia" w:hAnsi="Georgia"/>
          <w:color w:val="231F20"/>
          <w:spacing w:val="2"/>
          <w:w w:val="90"/>
        </w:rPr>
        <w:t>mis</w:t>
      </w:r>
      <w:r>
        <w:rPr>
          <w:rFonts w:ascii="Georgia" w:hAnsi="Georgia"/>
          <w:color w:val="231F20"/>
          <w:spacing w:val="27"/>
          <w:w w:val="90"/>
        </w:rPr>
        <w:t> </w:t>
      </w:r>
      <w:r>
        <w:rPr>
          <w:rFonts w:ascii="Georgia" w:hAnsi="Georgia"/>
          <w:color w:val="231F20"/>
          <w:spacing w:val="3"/>
          <w:w w:val="90"/>
        </w:rPr>
        <w:t>atribuciones”.</w:t>
      </w:r>
    </w:p>
    <w:p>
      <w:pPr>
        <w:pStyle w:val="BodyText"/>
        <w:spacing w:line="252" w:lineRule="auto"/>
        <w:ind w:left="101" w:right="113" w:firstLine="284"/>
        <w:jc w:val="both"/>
        <w:rPr>
          <w:rFonts w:ascii="Georgia" w:hAnsi="Georgia"/>
        </w:rPr>
      </w:pPr>
      <w:r>
        <w:rPr>
          <w:rFonts w:ascii="Georgia" w:hAnsi="Georgia"/>
          <w:color w:val="231F20"/>
          <w:spacing w:val="3"/>
          <w:w w:val="95"/>
        </w:rPr>
        <w:t>Con</w:t>
      </w:r>
      <w:r>
        <w:rPr>
          <w:rFonts w:ascii="Georgia" w:hAnsi="Georgia"/>
          <w:color w:val="231F20"/>
          <w:spacing w:val="-15"/>
          <w:w w:val="95"/>
        </w:rPr>
        <w:t> </w:t>
      </w:r>
      <w:r>
        <w:rPr>
          <w:rFonts w:ascii="Georgia" w:hAnsi="Georgia"/>
          <w:color w:val="231F20"/>
          <w:spacing w:val="3"/>
          <w:w w:val="95"/>
        </w:rPr>
        <w:t>un</w:t>
      </w:r>
      <w:r>
        <w:rPr>
          <w:rFonts w:ascii="Georgia" w:hAnsi="Georgia"/>
          <w:color w:val="231F20"/>
          <w:spacing w:val="-15"/>
          <w:w w:val="95"/>
        </w:rPr>
        <w:t> </w:t>
      </w:r>
      <w:r>
        <w:rPr>
          <w:rFonts w:ascii="Georgia" w:hAnsi="Georgia"/>
          <w:color w:val="231F20"/>
          <w:spacing w:val="3"/>
          <w:w w:val="95"/>
        </w:rPr>
        <w:t>dejo</w:t>
      </w:r>
      <w:r>
        <w:rPr>
          <w:rFonts w:ascii="Georgia" w:hAnsi="Georgia"/>
          <w:color w:val="231F20"/>
          <w:spacing w:val="-15"/>
          <w:w w:val="95"/>
        </w:rPr>
        <w:t> </w:t>
      </w:r>
      <w:r>
        <w:rPr>
          <w:rFonts w:ascii="Georgia" w:hAnsi="Georgia"/>
          <w:color w:val="231F20"/>
          <w:spacing w:val="2"/>
          <w:w w:val="95"/>
        </w:rPr>
        <w:t>de</w:t>
      </w:r>
      <w:r>
        <w:rPr>
          <w:rFonts w:ascii="Georgia" w:hAnsi="Georgia"/>
          <w:color w:val="231F20"/>
          <w:spacing w:val="-16"/>
          <w:w w:val="95"/>
        </w:rPr>
        <w:t> </w:t>
      </w:r>
      <w:r>
        <w:rPr>
          <w:rFonts w:ascii="Georgia" w:hAnsi="Georgia"/>
          <w:color w:val="231F20"/>
          <w:spacing w:val="4"/>
          <w:w w:val="95"/>
        </w:rPr>
        <w:t>ingenuidad</w:t>
      </w:r>
      <w:r>
        <w:rPr>
          <w:rFonts w:ascii="Georgia" w:hAnsi="Georgia"/>
          <w:color w:val="231F20"/>
          <w:spacing w:val="-16"/>
          <w:w w:val="95"/>
        </w:rPr>
        <w:t> </w:t>
      </w:r>
      <w:r>
        <w:rPr>
          <w:rFonts w:ascii="Georgia" w:hAnsi="Georgia"/>
          <w:color w:val="231F20"/>
          <w:spacing w:val="2"/>
          <w:w w:val="95"/>
        </w:rPr>
        <w:t>se</w:t>
      </w:r>
      <w:r>
        <w:rPr>
          <w:rFonts w:ascii="Georgia" w:hAnsi="Georgia"/>
          <w:color w:val="231F20"/>
          <w:spacing w:val="-16"/>
          <w:w w:val="95"/>
        </w:rPr>
        <w:t> </w:t>
      </w:r>
      <w:r>
        <w:rPr>
          <w:rFonts w:ascii="Georgia" w:hAnsi="Georgia"/>
          <w:color w:val="231F20"/>
          <w:spacing w:val="4"/>
          <w:w w:val="95"/>
        </w:rPr>
        <w:t>preguntaba:</w:t>
      </w:r>
      <w:r>
        <w:rPr>
          <w:rFonts w:ascii="Georgia" w:hAnsi="Georgia"/>
          <w:color w:val="231F20"/>
          <w:spacing w:val="-16"/>
          <w:w w:val="95"/>
        </w:rPr>
        <w:t> </w:t>
      </w:r>
      <w:r>
        <w:rPr>
          <w:rFonts w:ascii="Georgia" w:hAnsi="Georgia"/>
          <w:color w:val="231F20"/>
          <w:spacing w:val="4"/>
          <w:w w:val="95"/>
        </w:rPr>
        <w:t>“¿Pueden</w:t>
      </w:r>
      <w:r>
        <w:rPr>
          <w:rFonts w:ascii="Georgia" w:hAnsi="Georgia"/>
          <w:color w:val="231F20"/>
          <w:spacing w:val="-15"/>
          <w:w w:val="95"/>
        </w:rPr>
        <w:t> </w:t>
      </w:r>
      <w:r>
        <w:rPr>
          <w:rFonts w:ascii="Georgia" w:hAnsi="Georgia"/>
          <w:color w:val="231F20"/>
          <w:spacing w:val="5"/>
          <w:w w:val="95"/>
        </w:rPr>
        <w:t>corregir- </w:t>
      </w:r>
      <w:r>
        <w:rPr>
          <w:rFonts w:ascii="Georgia" w:hAnsi="Georgia"/>
          <w:color w:val="231F20"/>
          <w:spacing w:val="2"/>
          <w:w w:val="95"/>
        </w:rPr>
        <w:t>se</w:t>
      </w:r>
      <w:r>
        <w:rPr>
          <w:rFonts w:ascii="Georgia" w:hAnsi="Georgia"/>
          <w:color w:val="231F20"/>
          <w:spacing w:val="-7"/>
          <w:w w:val="95"/>
        </w:rPr>
        <w:t> </w:t>
      </w:r>
      <w:r>
        <w:rPr>
          <w:rFonts w:ascii="Georgia" w:hAnsi="Georgia"/>
          <w:color w:val="231F20"/>
          <w:spacing w:val="3"/>
          <w:w w:val="95"/>
        </w:rPr>
        <w:t>de</w:t>
      </w:r>
      <w:r>
        <w:rPr>
          <w:rFonts w:ascii="Georgia" w:hAnsi="Georgia"/>
          <w:color w:val="231F20"/>
          <w:spacing w:val="-7"/>
          <w:w w:val="95"/>
        </w:rPr>
        <w:t> </w:t>
      </w:r>
      <w:r>
        <w:rPr>
          <w:rFonts w:ascii="Georgia" w:hAnsi="Georgia"/>
          <w:color w:val="231F20"/>
          <w:spacing w:val="3"/>
          <w:w w:val="95"/>
        </w:rPr>
        <w:t>ese</w:t>
      </w:r>
      <w:r>
        <w:rPr>
          <w:rFonts w:ascii="Georgia" w:hAnsi="Georgia"/>
          <w:color w:val="231F20"/>
          <w:spacing w:val="-7"/>
          <w:w w:val="95"/>
        </w:rPr>
        <w:t> </w:t>
      </w:r>
      <w:r>
        <w:rPr>
          <w:rFonts w:ascii="Georgia" w:hAnsi="Georgia"/>
          <w:color w:val="231F20"/>
          <w:spacing w:val="4"/>
          <w:w w:val="95"/>
        </w:rPr>
        <w:t>modo</w:t>
      </w:r>
      <w:r>
        <w:rPr>
          <w:rFonts w:ascii="Georgia" w:hAnsi="Georgia"/>
          <w:color w:val="231F20"/>
          <w:spacing w:val="-7"/>
          <w:w w:val="95"/>
        </w:rPr>
        <w:t> </w:t>
      </w:r>
      <w:r>
        <w:rPr>
          <w:rFonts w:ascii="Georgia" w:hAnsi="Georgia"/>
          <w:color w:val="231F20"/>
          <w:spacing w:val="3"/>
          <w:w w:val="95"/>
        </w:rPr>
        <w:t>los</w:t>
      </w:r>
      <w:r>
        <w:rPr>
          <w:rFonts w:ascii="Georgia" w:hAnsi="Georgia"/>
          <w:color w:val="231F20"/>
          <w:spacing w:val="-7"/>
          <w:w w:val="95"/>
        </w:rPr>
        <w:t> </w:t>
      </w:r>
      <w:r>
        <w:rPr>
          <w:rFonts w:ascii="Georgia" w:hAnsi="Georgia"/>
          <w:color w:val="231F20"/>
          <w:spacing w:val="4"/>
          <w:w w:val="95"/>
        </w:rPr>
        <w:t>alumnos</w:t>
      </w:r>
      <w:r>
        <w:rPr>
          <w:rFonts w:ascii="Georgia" w:hAnsi="Georgia"/>
          <w:color w:val="231F20"/>
          <w:spacing w:val="-7"/>
          <w:w w:val="95"/>
        </w:rPr>
        <w:t> </w:t>
      </w:r>
      <w:r>
        <w:rPr>
          <w:rFonts w:ascii="Georgia" w:hAnsi="Georgia"/>
          <w:color w:val="231F20"/>
          <w:spacing w:val="4"/>
          <w:w w:val="95"/>
        </w:rPr>
        <w:t>inquietos?”</w:t>
      </w:r>
      <w:r>
        <w:rPr>
          <w:rFonts w:ascii="Georgia" w:hAnsi="Georgia"/>
          <w:color w:val="231F20"/>
          <w:spacing w:val="-7"/>
          <w:w w:val="95"/>
        </w:rPr>
        <w:t> </w:t>
      </w:r>
      <w:r>
        <w:rPr>
          <w:rFonts w:ascii="Georgia" w:hAnsi="Georgia"/>
          <w:color w:val="231F20"/>
          <w:w w:val="95"/>
        </w:rPr>
        <w:t>y</w:t>
      </w:r>
      <w:r>
        <w:rPr>
          <w:rFonts w:ascii="Georgia" w:hAnsi="Georgia"/>
          <w:color w:val="231F20"/>
          <w:spacing w:val="-7"/>
          <w:w w:val="95"/>
        </w:rPr>
        <w:t> </w:t>
      </w:r>
      <w:r>
        <w:rPr>
          <w:rFonts w:ascii="Georgia" w:hAnsi="Georgia"/>
          <w:color w:val="231F20"/>
          <w:spacing w:val="4"/>
          <w:w w:val="95"/>
        </w:rPr>
        <w:t>luego</w:t>
      </w:r>
      <w:r>
        <w:rPr>
          <w:rFonts w:ascii="Georgia" w:hAnsi="Georgia"/>
          <w:color w:val="231F20"/>
          <w:spacing w:val="-7"/>
          <w:w w:val="95"/>
        </w:rPr>
        <w:t> </w:t>
      </w:r>
      <w:r>
        <w:rPr>
          <w:rFonts w:ascii="Georgia" w:hAnsi="Georgia"/>
          <w:color w:val="231F20"/>
          <w:spacing w:val="4"/>
          <w:w w:val="95"/>
        </w:rPr>
        <w:t>explicaba</w:t>
      </w:r>
      <w:r>
        <w:rPr>
          <w:rFonts w:ascii="Georgia" w:hAnsi="Georgia"/>
          <w:color w:val="231F20"/>
          <w:spacing w:val="-7"/>
          <w:w w:val="95"/>
        </w:rPr>
        <w:t> </w:t>
      </w:r>
      <w:r>
        <w:rPr>
          <w:rFonts w:ascii="Georgia" w:hAnsi="Georgia"/>
          <w:color w:val="231F20"/>
          <w:spacing w:val="2"/>
          <w:w w:val="95"/>
        </w:rPr>
        <w:t>en</w:t>
      </w:r>
      <w:r>
        <w:rPr>
          <w:rFonts w:ascii="Georgia" w:hAnsi="Georgia"/>
          <w:color w:val="231F20"/>
          <w:spacing w:val="-7"/>
          <w:w w:val="95"/>
        </w:rPr>
        <w:t> </w:t>
      </w:r>
      <w:r>
        <w:rPr>
          <w:rFonts w:ascii="Georgia" w:hAnsi="Georgia"/>
          <w:color w:val="231F20"/>
          <w:spacing w:val="6"/>
          <w:w w:val="95"/>
        </w:rPr>
        <w:t>qué </w:t>
      </w:r>
      <w:r>
        <w:rPr>
          <w:rFonts w:ascii="Georgia" w:hAnsi="Georgia"/>
          <w:color w:val="231F20"/>
          <w:spacing w:val="4"/>
          <w:w w:val="95"/>
        </w:rPr>
        <w:t>consistían </w:t>
      </w:r>
      <w:r>
        <w:rPr>
          <w:rFonts w:ascii="Georgia" w:hAnsi="Georgia"/>
          <w:color w:val="231F20"/>
          <w:spacing w:val="3"/>
          <w:w w:val="95"/>
        </w:rPr>
        <w:t>sus </w:t>
      </w:r>
      <w:r>
        <w:rPr>
          <w:rFonts w:ascii="Georgia" w:hAnsi="Georgia"/>
          <w:color w:val="231F20"/>
          <w:spacing w:val="4"/>
          <w:w w:val="95"/>
        </w:rPr>
        <w:t>correctivos: retiraba </w:t>
      </w:r>
      <w:r>
        <w:rPr>
          <w:rFonts w:ascii="Georgia" w:hAnsi="Georgia"/>
          <w:color w:val="231F20"/>
          <w:spacing w:val="3"/>
          <w:w w:val="95"/>
        </w:rPr>
        <w:t>de </w:t>
      </w:r>
      <w:r>
        <w:rPr>
          <w:rFonts w:ascii="Georgia" w:hAnsi="Georgia"/>
          <w:color w:val="231F20"/>
          <w:w w:val="95"/>
        </w:rPr>
        <w:t>la </w:t>
      </w:r>
      <w:r>
        <w:rPr>
          <w:rFonts w:ascii="Georgia" w:hAnsi="Georgia"/>
          <w:color w:val="231F20"/>
          <w:spacing w:val="3"/>
          <w:w w:val="95"/>
        </w:rPr>
        <w:t>clase </w:t>
      </w:r>
      <w:r>
        <w:rPr>
          <w:rFonts w:ascii="Georgia" w:hAnsi="Georgia"/>
          <w:color w:val="231F20"/>
          <w:w w:val="95"/>
        </w:rPr>
        <w:t>a </w:t>
      </w:r>
      <w:r>
        <w:rPr>
          <w:rFonts w:ascii="Georgia" w:hAnsi="Georgia"/>
          <w:color w:val="231F20"/>
          <w:spacing w:val="3"/>
          <w:w w:val="95"/>
        </w:rPr>
        <w:t>los </w:t>
      </w:r>
      <w:r>
        <w:rPr>
          <w:rFonts w:ascii="Georgia" w:hAnsi="Georgia"/>
          <w:color w:val="231F20"/>
          <w:spacing w:val="4"/>
          <w:w w:val="95"/>
        </w:rPr>
        <w:t>alumnos </w:t>
      </w:r>
      <w:r>
        <w:rPr>
          <w:rFonts w:ascii="Georgia" w:hAnsi="Georgia"/>
          <w:color w:val="231F20"/>
          <w:spacing w:val="5"/>
          <w:w w:val="95"/>
        </w:rPr>
        <w:t>in- </w:t>
      </w:r>
      <w:r>
        <w:rPr>
          <w:rFonts w:ascii="Georgia" w:hAnsi="Georgia"/>
          <w:color w:val="231F20"/>
          <w:spacing w:val="4"/>
        </w:rPr>
        <w:t>quietos</w:t>
      </w:r>
      <w:r>
        <w:rPr>
          <w:rFonts w:ascii="Georgia" w:hAnsi="Georgia"/>
          <w:color w:val="231F20"/>
          <w:spacing w:val="-16"/>
        </w:rPr>
        <w:t> </w:t>
      </w:r>
      <w:r>
        <w:rPr>
          <w:rFonts w:ascii="Georgia" w:hAnsi="Georgia"/>
          <w:color w:val="231F20"/>
        </w:rPr>
        <w:t>y</w:t>
      </w:r>
      <w:r>
        <w:rPr>
          <w:rFonts w:ascii="Georgia" w:hAnsi="Georgia"/>
          <w:color w:val="231F20"/>
          <w:spacing w:val="-16"/>
        </w:rPr>
        <w:t> </w:t>
      </w:r>
      <w:r>
        <w:rPr>
          <w:rFonts w:ascii="Georgia" w:hAnsi="Georgia"/>
          <w:color w:val="231F20"/>
          <w:spacing w:val="3"/>
        </w:rPr>
        <w:t>les</w:t>
      </w:r>
      <w:r>
        <w:rPr>
          <w:rFonts w:ascii="Georgia" w:hAnsi="Georgia"/>
          <w:color w:val="231F20"/>
          <w:spacing w:val="-16"/>
        </w:rPr>
        <w:t> </w:t>
      </w:r>
      <w:r>
        <w:rPr>
          <w:rFonts w:ascii="Georgia" w:hAnsi="Georgia"/>
          <w:color w:val="231F20"/>
          <w:spacing w:val="4"/>
        </w:rPr>
        <w:t>imponía</w:t>
      </w:r>
      <w:r>
        <w:rPr>
          <w:rFonts w:ascii="Georgia" w:hAnsi="Georgia"/>
          <w:color w:val="231F20"/>
          <w:spacing w:val="-16"/>
        </w:rPr>
        <w:t> </w:t>
      </w:r>
      <w:r>
        <w:rPr>
          <w:rFonts w:ascii="Georgia" w:hAnsi="Georgia"/>
          <w:color w:val="231F20"/>
          <w:spacing w:val="2"/>
        </w:rPr>
        <w:t>un</w:t>
      </w:r>
      <w:r>
        <w:rPr>
          <w:rFonts w:ascii="Georgia" w:hAnsi="Georgia"/>
          <w:color w:val="231F20"/>
          <w:spacing w:val="-16"/>
        </w:rPr>
        <w:t> </w:t>
      </w:r>
      <w:r>
        <w:rPr>
          <w:rFonts w:ascii="Georgia" w:hAnsi="Georgia"/>
          <w:color w:val="231F20"/>
          <w:spacing w:val="4"/>
        </w:rPr>
        <w:t>castigo</w:t>
      </w:r>
      <w:r>
        <w:rPr>
          <w:rFonts w:ascii="Georgia" w:hAnsi="Georgia"/>
          <w:color w:val="231F20"/>
          <w:spacing w:val="-16"/>
        </w:rPr>
        <w:t> </w:t>
      </w:r>
      <w:r>
        <w:rPr>
          <w:rFonts w:ascii="Georgia" w:hAnsi="Georgia"/>
          <w:color w:val="231F20"/>
          <w:spacing w:val="3"/>
        </w:rPr>
        <w:t>de</w:t>
      </w:r>
      <w:r>
        <w:rPr>
          <w:rFonts w:ascii="Georgia" w:hAnsi="Georgia"/>
          <w:color w:val="231F20"/>
          <w:spacing w:val="-16"/>
        </w:rPr>
        <w:t> </w:t>
      </w:r>
      <w:r>
        <w:rPr>
          <w:rFonts w:ascii="Georgia" w:hAnsi="Georgia"/>
          <w:color w:val="231F20"/>
          <w:spacing w:val="4"/>
        </w:rPr>
        <w:t>retención,</w:t>
      </w:r>
      <w:r>
        <w:rPr>
          <w:rFonts w:ascii="Georgia" w:hAnsi="Georgia"/>
          <w:color w:val="231F20"/>
          <w:spacing w:val="-16"/>
        </w:rPr>
        <w:t> </w:t>
      </w:r>
      <w:r>
        <w:rPr>
          <w:rFonts w:ascii="Georgia" w:hAnsi="Georgia"/>
          <w:color w:val="231F20"/>
          <w:spacing w:val="3"/>
        </w:rPr>
        <w:t>que</w:t>
      </w:r>
      <w:r>
        <w:rPr>
          <w:rFonts w:ascii="Georgia" w:hAnsi="Georgia"/>
          <w:color w:val="231F20"/>
          <w:spacing w:val="-16"/>
        </w:rPr>
        <w:t> </w:t>
      </w:r>
      <w:r>
        <w:rPr>
          <w:rFonts w:ascii="Georgia" w:hAnsi="Georgia"/>
          <w:color w:val="231F20"/>
          <w:spacing w:val="4"/>
        </w:rPr>
        <w:t>consistía</w:t>
      </w:r>
      <w:r>
        <w:rPr>
          <w:rFonts w:ascii="Georgia" w:hAnsi="Georgia"/>
          <w:color w:val="231F20"/>
          <w:spacing w:val="-16"/>
        </w:rPr>
        <w:t> </w:t>
      </w:r>
      <w:r>
        <w:rPr>
          <w:rFonts w:ascii="Georgia" w:hAnsi="Georgia"/>
          <w:color w:val="231F20"/>
          <w:spacing w:val="2"/>
        </w:rPr>
        <w:t>en </w:t>
      </w:r>
      <w:r>
        <w:rPr>
          <w:rFonts w:ascii="Georgia" w:hAnsi="Georgia"/>
          <w:color w:val="231F20"/>
          <w:spacing w:val="4"/>
        </w:rPr>
        <w:t>alargar</w:t>
      </w:r>
      <w:r>
        <w:rPr>
          <w:rFonts w:ascii="Georgia" w:hAnsi="Georgia"/>
          <w:color w:val="231F20"/>
          <w:spacing w:val="-12"/>
        </w:rPr>
        <w:t> </w:t>
      </w:r>
      <w:r>
        <w:rPr>
          <w:rFonts w:ascii="Georgia" w:hAnsi="Georgia"/>
          <w:color w:val="231F20"/>
          <w:spacing w:val="2"/>
        </w:rPr>
        <w:t>su</w:t>
      </w:r>
      <w:r>
        <w:rPr>
          <w:rFonts w:ascii="Georgia" w:hAnsi="Georgia"/>
          <w:color w:val="231F20"/>
          <w:spacing w:val="-12"/>
        </w:rPr>
        <w:t> </w:t>
      </w:r>
      <w:r>
        <w:rPr>
          <w:rFonts w:ascii="Georgia" w:hAnsi="Georgia"/>
          <w:color w:val="231F20"/>
          <w:spacing w:val="4"/>
        </w:rPr>
        <w:t>presencia</w:t>
      </w:r>
      <w:r>
        <w:rPr>
          <w:rFonts w:ascii="Georgia" w:hAnsi="Georgia"/>
          <w:color w:val="231F20"/>
          <w:spacing w:val="-12"/>
        </w:rPr>
        <w:t> </w:t>
      </w:r>
      <w:r>
        <w:rPr>
          <w:rFonts w:ascii="Georgia" w:hAnsi="Georgia"/>
          <w:color w:val="231F20"/>
          <w:spacing w:val="2"/>
        </w:rPr>
        <w:t>en</w:t>
      </w:r>
      <w:r>
        <w:rPr>
          <w:rFonts w:ascii="Georgia" w:hAnsi="Georgia"/>
          <w:color w:val="231F20"/>
          <w:spacing w:val="-12"/>
        </w:rPr>
        <w:t> </w:t>
      </w:r>
      <w:r>
        <w:rPr>
          <w:rFonts w:ascii="Georgia" w:hAnsi="Georgia"/>
          <w:color w:val="231F20"/>
          <w:spacing w:val="2"/>
        </w:rPr>
        <w:t>el</w:t>
      </w:r>
      <w:r>
        <w:rPr>
          <w:rFonts w:ascii="Georgia" w:hAnsi="Georgia"/>
          <w:color w:val="231F20"/>
          <w:spacing w:val="-12"/>
        </w:rPr>
        <w:t> </w:t>
      </w:r>
      <w:r>
        <w:rPr>
          <w:rFonts w:ascii="Georgia" w:hAnsi="Georgia"/>
          <w:color w:val="231F20"/>
          <w:spacing w:val="4"/>
        </w:rPr>
        <w:t>establecimiento</w:t>
      </w:r>
      <w:r>
        <w:rPr>
          <w:rFonts w:ascii="Georgia" w:hAnsi="Georgia"/>
          <w:color w:val="231F20"/>
          <w:spacing w:val="-12"/>
        </w:rPr>
        <w:t> </w:t>
      </w:r>
      <w:r>
        <w:rPr>
          <w:rFonts w:ascii="Georgia" w:hAnsi="Georgia"/>
          <w:color w:val="231F20"/>
          <w:spacing w:val="4"/>
        </w:rPr>
        <w:t>educativo,</w:t>
      </w:r>
      <w:r>
        <w:rPr>
          <w:rFonts w:ascii="Georgia" w:hAnsi="Georgia"/>
          <w:color w:val="231F20"/>
          <w:spacing w:val="-12"/>
        </w:rPr>
        <w:t> </w:t>
      </w:r>
      <w:r>
        <w:rPr>
          <w:rFonts w:ascii="Georgia" w:hAnsi="Georgia"/>
          <w:color w:val="231F20"/>
          <w:spacing w:val="4"/>
        </w:rPr>
        <w:t>según</w:t>
      </w:r>
      <w:r>
        <w:rPr>
          <w:rFonts w:ascii="Georgia" w:hAnsi="Georgia"/>
          <w:color w:val="231F20"/>
          <w:spacing w:val="-12"/>
        </w:rPr>
        <w:t> </w:t>
      </w:r>
      <w:r>
        <w:rPr>
          <w:rFonts w:ascii="Georgia" w:hAnsi="Georgia"/>
          <w:color w:val="231F20"/>
        </w:rPr>
        <w:t>la </w:t>
      </w:r>
      <w:r>
        <w:rPr>
          <w:rFonts w:ascii="Georgia" w:hAnsi="Georgia"/>
          <w:color w:val="231F20"/>
          <w:spacing w:val="4"/>
        </w:rPr>
        <w:t>gravedad</w:t>
      </w:r>
      <w:r>
        <w:rPr>
          <w:rFonts w:ascii="Georgia" w:hAnsi="Georgia"/>
          <w:color w:val="231F20"/>
          <w:spacing w:val="-11"/>
        </w:rPr>
        <w:t> </w:t>
      </w:r>
      <w:r>
        <w:rPr>
          <w:rFonts w:ascii="Georgia" w:hAnsi="Georgia"/>
          <w:color w:val="231F20"/>
        </w:rPr>
        <w:t>y</w:t>
      </w:r>
      <w:r>
        <w:rPr>
          <w:rFonts w:ascii="Georgia" w:hAnsi="Georgia"/>
          <w:color w:val="231F20"/>
          <w:spacing w:val="-11"/>
        </w:rPr>
        <w:t> </w:t>
      </w:r>
      <w:r>
        <w:rPr>
          <w:rFonts w:ascii="Georgia" w:hAnsi="Georgia"/>
          <w:color w:val="231F20"/>
          <w:spacing w:val="3"/>
        </w:rPr>
        <w:t>falta</w:t>
      </w:r>
      <w:r>
        <w:rPr>
          <w:rFonts w:ascii="Georgia" w:hAnsi="Georgia"/>
          <w:color w:val="231F20"/>
          <w:spacing w:val="-11"/>
        </w:rPr>
        <w:t> </w:t>
      </w:r>
      <w:r>
        <w:rPr>
          <w:rFonts w:ascii="Georgia" w:hAnsi="Georgia"/>
          <w:color w:val="231F20"/>
          <w:spacing w:val="4"/>
        </w:rPr>
        <w:t>cometida.</w:t>
      </w:r>
      <w:r>
        <w:rPr>
          <w:rFonts w:ascii="Georgia" w:hAnsi="Georgia"/>
          <w:color w:val="231F20"/>
          <w:spacing w:val="-11"/>
        </w:rPr>
        <w:t> </w:t>
      </w:r>
      <w:r>
        <w:rPr>
          <w:rFonts w:ascii="Georgia" w:hAnsi="Georgia"/>
          <w:color w:val="231F20"/>
          <w:spacing w:val="3"/>
        </w:rPr>
        <w:t>Así</w:t>
      </w:r>
      <w:r>
        <w:rPr>
          <w:rFonts w:ascii="Georgia" w:hAnsi="Georgia"/>
          <w:color w:val="231F20"/>
          <w:spacing w:val="-11"/>
        </w:rPr>
        <w:t> </w:t>
      </w:r>
      <w:r>
        <w:rPr>
          <w:rFonts w:ascii="Georgia" w:hAnsi="Georgia"/>
          <w:color w:val="231F20"/>
          <w:spacing w:val="4"/>
        </w:rPr>
        <w:t>frente</w:t>
      </w:r>
      <w:r>
        <w:rPr>
          <w:rFonts w:ascii="Georgia" w:hAnsi="Georgia"/>
          <w:color w:val="231F20"/>
          <w:spacing w:val="-11"/>
        </w:rPr>
        <w:t> </w:t>
      </w:r>
      <w:r>
        <w:rPr>
          <w:rFonts w:ascii="Georgia" w:hAnsi="Georgia"/>
          <w:color w:val="231F20"/>
        </w:rPr>
        <w:t>a</w:t>
      </w:r>
      <w:r>
        <w:rPr>
          <w:rFonts w:ascii="Georgia" w:hAnsi="Georgia"/>
          <w:color w:val="231F20"/>
          <w:spacing w:val="-11"/>
        </w:rPr>
        <w:t> </w:t>
      </w:r>
      <w:r>
        <w:rPr>
          <w:rFonts w:ascii="Georgia" w:hAnsi="Georgia"/>
          <w:color w:val="231F20"/>
        </w:rPr>
        <w:t>la</w:t>
      </w:r>
      <w:r>
        <w:rPr>
          <w:rFonts w:ascii="Georgia" w:hAnsi="Georgia"/>
          <w:color w:val="231F20"/>
          <w:spacing w:val="-11"/>
        </w:rPr>
        <w:t> </w:t>
      </w:r>
      <w:r>
        <w:rPr>
          <w:rFonts w:ascii="Georgia" w:hAnsi="Georgia"/>
          <w:color w:val="231F20"/>
          <w:spacing w:val="4"/>
        </w:rPr>
        <w:t>acusación</w:t>
      </w:r>
      <w:r>
        <w:rPr>
          <w:rFonts w:ascii="Georgia" w:hAnsi="Georgia"/>
          <w:color w:val="231F20"/>
          <w:spacing w:val="-11"/>
        </w:rPr>
        <w:t> </w:t>
      </w:r>
      <w:r>
        <w:rPr>
          <w:rFonts w:ascii="Georgia" w:hAnsi="Georgia"/>
          <w:color w:val="231F20"/>
          <w:spacing w:val="3"/>
        </w:rPr>
        <w:t>de</w:t>
      </w:r>
      <w:r>
        <w:rPr>
          <w:rFonts w:ascii="Georgia" w:hAnsi="Georgia"/>
          <w:color w:val="231F20"/>
          <w:spacing w:val="-11"/>
        </w:rPr>
        <w:t> </w:t>
      </w:r>
      <w:r>
        <w:rPr>
          <w:rFonts w:ascii="Georgia" w:hAnsi="Georgia"/>
          <w:color w:val="231F20"/>
          <w:spacing w:val="3"/>
        </w:rPr>
        <w:t>que</w:t>
      </w:r>
      <w:r>
        <w:rPr>
          <w:rFonts w:ascii="Georgia" w:hAnsi="Georgia"/>
          <w:color w:val="231F20"/>
          <w:spacing w:val="-11"/>
        </w:rPr>
        <w:t> </w:t>
      </w:r>
      <w:r>
        <w:rPr>
          <w:rFonts w:ascii="Georgia" w:hAnsi="Georgia"/>
          <w:color w:val="231F20"/>
          <w:spacing w:val="5"/>
        </w:rPr>
        <w:t>ac- </w:t>
      </w:r>
      <w:r>
        <w:rPr>
          <w:rFonts w:ascii="Georgia" w:hAnsi="Georgia"/>
          <w:color w:val="231F20"/>
          <w:spacing w:val="4"/>
          <w:w w:val="95"/>
        </w:rPr>
        <w:t>tuaba</w:t>
      </w:r>
      <w:r>
        <w:rPr>
          <w:rFonts w:ascii="Georgia" w:hAnsi="Georgia"/>
          <w:color w:val="231F20"/>
          <w:spacing w:val="-9"/>
          <w:w w:val="95"/>
        </w:rPr>
        <w:t> </w:t>
      </w:r>
      <w:r>
        <w:rPr>
          <w:rFonts w:ascii="Georgia" w:hAnsi="Georgia"/>
          <w:color w:val="231F20"/>
          <w:spacing w:val="3"/>
          <w:w w:val="95"/>
        </w:rPr>
        <w:t>con</w:t>
      </w:r>
      <w:r>
        <w:rPr>
          <w:rFonts w:ascii="Georgia" w:hAnsi="Georgia"/>
          <w:color w:val="231F20"/>
          <w:spacing w:val="-9"/>
          <w:w w:val="95"/>
        </w:rPr>
        <w:t> </w:t>
      </w:r>
      <w:r>
        <w:rPr>
          <w:rFonts w:ascii="Georgia" w:hAnsi="Georgia"/>
          <w:color w:val="231F20"/>
          <w:spacing w:val="4"/>
          <w:w w:val="95"/>
        </w:rPr>
        <w:t>debilidad</w:t>
      </w:r>
      <w:r>
        <w:rPr>
          <w:rFonts w:ascii="Georgia" w:hAnsi="Georgia"/>
          <w:color w:val="231F20"/>
          <w:spacing w:val="-9"/>
          <w:w w:val="95"/>
        </w:rPr>
        <w:t> </w:t>
      </w:r>
      <w:r>
        <w:rPr>
          <w:rFonts w:ascii="Georgia" w:hAnsi="Georgia"/>
          <w:color w:val="231F20"/>
          <w:spacing w:val="3"/>
          <w:w w:val="95"/>
        </w:rPr>
        <w:t>exigía</w:t>
      </w:r>
      <w:r>
        <w:rPr>
          <w:rFonts w:ascii="Georgia" w:hAnsi="Georgia"/>
          <w:color w:val="231F20"/>
          <w:spacing w:val="-9"/>
          <w:w w:val="95"/>
        </w:rPr>
        <w:t> </w:t>
      </w:r>
      <w:r>
        <w:rPr>
          <w:rFonts w:ascii="Georgia" w:hAnsi="Georgia"/>
          <w:color w:val="231F20"/>
          <w:spacing w:val="3"/>
          <w:w w:val="95"/>
        </w:rPr>
        <w:t>que</w:t>
      </w:r>
      <w:r>
        <w:rPr>
          <w:rFonts w:ascii="Georgia" w:hAnsi="Georgia"/>
          <w:color w:val="231F20"/>
          <w:spacing w:val="-9"/>
          <w:w w:val="95"/>
        </w:rPr>
        <w:t> </w:t>
      </w:r>
      <w:r>
        <w:rPr>
          <w:rFonts w:ascii="Georgia" w:hAnsi="Georgia"/>
          <w:color w:val="231F20"/>
          <w:spacing w:val="2"/>
          <w:w w:val="95"/>
        </w:rPr>
        <w:t>se</w:t>
      </w:r>
      <w:r>
        <w:rPr>
          <w:rFonts w:ascii="Georgia" w:hAnsi="Georgia"/>
          <w:color w:val="231F20"/>
          <w:spacing w:val="-9"/>
          <w:w w:val="95"/>
        </w:rPr>
        <w:t> </w:t>
      </w:r>
      <w:r>
        <w:rPr>
          <w:rFonts w:ascii="Georgia" w:hAnsi="Georgia"/>
          <w:color w:val="231F20"/>
          <w:w w:val="95"/>
        </w:rPr>
        <w:t>le</w:t>
      </w:r>
      <w:r>
        <w:rPr>
          <w:rFonts w:ascii="Georgia" w:hAnsi="Georgia"/>
          <w:color w:val="231F20"/>
          <w:spacing w:val="-9"/>
          <w:w w:val="95"/>
        </w:rPr>
        <w:t> </w:t>
      </w:r>
      <w:r>
        <w:rPr>
          <w:rFonts w:ascii="Georgia" w:hAnsi="Georgia"/>
          <w:color w:val="231F20"/>
          <w:spacing w:val="4"/>
          <w:w w:val="95"/>
        </w:rPr>
        <w:t>hiciera</w:t>
      </w:r>
      <w:r>
        <w:rPr>
          <w:rFonts w:ascii="Georgia" w:hAnsi="Georgia"/>
          <w:color w:val="231F20"/>
          <w:spacing w:val="-9"/>
          <w:w w:val="95"/>
        </w:rPr>
        <w:t> </w:t>
      </w:r>
      <w:r>
        <w:rPr>
          <w:rFonts w:ascii="Georgia" w:hAnsi="Georgia"/>
          <w:color w:val="231F20"/>
          <w:spacing w:val="4"/>
          <w:w w:val="95"/>
        </w:rPr>
        <w:t>saber</w:t>
      </w:r>
      <w:r>
        <w:rPr>
          <w:rFonts w:ascii="Georgia" w:hAnsi="Georgia"/>
          <w:color w:val="231F20"/>
          <w:spacing w:val="-9"/>
          <w:w w:val="95"/>
        </w:rPr>
        <w:t> </w:t>
      </w:r>
      <w:r>
        <w:rPr>
          <w:rFonts w:ascii="Georgia" w:hAnsi="Georgia"/>
          <w:color w:val="231F20"/>
          <w:spacing w:val="4"/>
          <w:w w:val="95"/>
        </w:rPr>
        <w:t>qué</w:t>
      </w:r>
      <w:r>
        <w:rPr>
          <w:rFonts w:ascii="Georgia" w:hAnsi="Georgia"/>
          <w:color w:val="231F20"/>
          <w:spacing w:val="-9"/>
          <w:w w:val="95"/>
        </w:rPr>
        <w:t> </w:t>
      </w:r>
      <w:r>
        <w:rPr>
          <w:rFonts w:ascii="Georgia" w:hAnsi="Georgia"/>
          <w:color w:val="231F20"/>
          <w:spacing w:val="4"/>
          <w:w w:val="95"/>
        </w:rPr>
        <w:t>“¿otra</w:t>
      </w:r>
      <w:r>
        <w:rPr>
          <w:rFonts w:ascii="Georgia" w:hAnsi="Georgia"/>
          <w:color w:val="231F20"/>
          <w:spacing w:val="-9"/>
          <w:w w:val="95"/>
        </w:rPr>
        <w:t> </w:t>
      </w:r>
      <w:r>
        <w:rPr>
          <w:rFonts w:ascii="Georgia" w:hAnsi="Georgia"/>
          <w:color w:val="231F20"/>
          <w:spacing w:val="5"/>
          <w:w w:val="95"/>
        </w:rPr>
        <w:t>cosa </w:t>
      </w:r>
      <w:r>
        <w:rPr>
          <w:rFonts w:ascii="Georgia" w:hAnsi="Georgia"/>
          <w:color w:val="231F20"/>
          <w:spacing w:val="4"/>
          <w:w w:val="95"/>
        </w:rPr>
        <w:t>(pudiera</w:t>
      </w:r>
      <w:r>
        <w:rPr>
          <w:rFonts w:ascii="Georgia" w:hAnsi="Georgia"/>
          <w:color w:val="231F20"/>
          <w:spacing w:val="-7"/>
          <w:w w:val="95"/>
        </w:rPr>
        <w:t> </w:t>
      </w:r>
      <w:r>
        <w:rPr>
          <w:rFonts w:ascii="Georgia" w:hAnsi="Georgia"/>
          <w:color w:val="231F20"/>
          <w:spacing w:val="4"/>
          <w:w w:val="95"/>
        </w:rPr>
        <w:t>adoptar)</w:t>
      </w:r>
      <w:r>
        <w:rPr>
          <w:rFonts w:ascii="Georgia" w:hAnsi="Georgia"/>
          <w:color w:val="231F20"/>
          <w:spacing w:val="-7"/>
          <w:w w:val="95"/>
        </w:rPr>
        <w:t> </w:t>
      </w:r>
      <w:r>
        <w:rPr>
          <w:rFonts w:ascii="Georgia" w:hAnsi="Georgia"/>
          <w:color w:val="231F20"/>
          <w:spacing w:val="4"/>
          <w:w w:val="95"/>
        </w:rPr>
        <w:t>para</w:t>
      </w:r>
      <w:r>
        <w:rPr>
          <w:rFonts w:ascii="Georgia" w:hAnsi="Georgia"/>
          <w:color w:val="231F20"/>
          <w:spacing w:val="-7"/>
          <w:w w:val="95"/>
        </w:rPr>
        <w:t> </w:t>
      </w:r>
      <w:r>
        <w:rPr>
          <w:rFonts w:ascii="Georgia" w:hAnsi="Georgia"/>
          <w:color w:val="231F20"/>
          <w:w w:val="95"/>
        </w:rPr>
        <w:t>la</w:t>
      </w:r>
      <w:r>
        <w:rPr>
          <w:rFonts w:ascii="Georgia" w:hAnsi="Georgia"/>
          <w:color w:val="231F20"/>
          <w:spacing w:val="-7"/>
          <w:w w:val="95"/>
        </w:rPr>
        <w:t> </w:t>
      </w:r>
      <w:r>
        <w:rPr>
          <w:rFonts w:ascii="Georgia" w:hAnsi="Georgia"/>
          <w:color w:val="231F20"/>
          <w:spacing w:val="4"/>
          <w:w w:val="95"/>
        </w:rPr>
        <w:t>disciplina?”,</w:t>
      </w:r>
      <w:r>
        <w:rPr>
          <w:rFonts w:ascii="Georgia" w:hAnsi="Georgia"/>
          <w:color w:val="231F20"/>
          <w:spacing w:val="-7"/>
          <w:w w:val="95"/>
        </w:rPr>
        <w:t> </w:t>
      </w:r>
      <w:r>
        <w:rPr>
          <w:rFonts w:ascii="Georgia" w:hAnsi="Georgia"/>
          <w:color w:val="231F20"/>
          <w:spacing w:val="2"/>
          <w:w w:val="95"/>
        </w:rPr>
        <w:t>y,</w:t>
      </w:r>
      <w:r>
        <w:rPr>
          <w:rFonts w:ascii="Georgia" w:hAnsi="Georgia"/>
          <w:color w:val="231F20"/>
          <w:spacing w:val="-7"/>
          <w:w w:val="95"/>
        </w:rPr>
        <w:t> </w:t>
      </w:r>
      <w:r>
        <w:rPr>
          <w:rFonts w:ascii="Georgia" w:hAnsi="Georgia"/>
          <w:color w:val="231F20"/>
          <w:spacing w:val="3"/>
          <w:w w:val="95"/>
        </w:rPr>
        <w:t>con</w:t>
      </w:r>
      <w:r>
        <w:rPr>
          <w:rFonts w:ascii="Georgia" w:hAnsi="Georgia"/>
          <w:color w:val="231F20"/>
          <w:spacing w:val="-7"/>
          <w:w w:val="95"/>
        </w:rPr>
        <w:t> </w:t>
      </w:r>
      <w:r>
        <w:rPr>
          <w:rFonts w:ascii="Georgia" w:hAnsi="Georgia"/>
          <w:color w:val="231F20"/>
          <w:spacing w:val="3"/>
          <w:w w:val="95"/>
        </w:rPr>
        <w:t>un</w:t>
      </w:r>
      <w:r>
        <w:rPr>
          <w:rFonts w:ascii="Georgia" w:hAnsi="Georgia"/>
          <w:color w:val="231F20"/>
          <w:spacing w:val="-7"/>
          <w:w w:val="95"/>
        </w:rPr>
        <w:t> </w:t>
      </w:r>
      <w:r>
        <w:rPr>
          <w:rFonts w:ascii="Georgia" w:hAnsi="Georgia"/>
          <w:color w:val="231F20"/>
          <w:spacing w:val="4"/>
          <w:w w:val="95"/>
        </w:rPr>
        <w:t>toque</w:t>
      </w:r>
      <w:r>
        <w:rPr>
          <w:rFonts w:ascii="Georgia" w:hAnsi="Georgia"/>
          <w:color w:val="231F20"/>
          <w:spacing w:val="-7"/>
          <w:w w:val="95"/>
        </w:rPr>
        <w:t> </w:t>
      </w:r>
      <w:r>
        <w:rPr>
          <w:rFonts w:ascii="Georgia" w:hAnsi="Georgia"/>
          <w:color w:val="231F20"/>
          <w:spacing w:val="3"/>
          <w:w w:val="95"/>
        </w:rPr>
        <w:t>de</w:t>
      </w:r>
      <w:r>
        <w:rPr>
          <w:rFonts w:ascii="Georgia" w:hAnsi="Georgia"/>
          <w:color w:val="231F20"/>
          <w:spacing w:val="-7"/>
          <w:w w:val="95"/>
        </w:rPr>
        <w:t> </w:t>
      </w:r>
      <w:r>
        <w:rPr>
          <w:rFonts w:ascii="Georgia" w:hAnsi="Georgia"/>
          <w:color w:val="231F20"/>
          <w:spacing w:val="4"/>
          <w:w w:val="95"/>
        </w:rPr>
        <w:t>ironía, concluía: “Les agradeceré </w:t>
      </w:r>
      <w:r>
        <w:rPr>
          <w:rFonts w:ascii="Georgia" w:hAnsi="Georgia"/>
          <w:color w:val="231F20"/>
          <w:spacing w:val="3"/>
          <w:w w:val="95"/>
        </w:rPr>
        <w:t>me </w:t>
      </w:r>
      <w:r>
        <w:rPr>
          <w:rFonts w:ascii="Georgia" w:hAnsi="Georgia"/>
          <w:color w:val="231F20"/>
          <w:spacing w:val="4"/>
          <w:w w:val="95"/>
        </w:rPr>
        <w:t>inspiren otras medidas”. </w:t>
      </w:r>
      <w:r>
        <w:rPr>
          <w:rFonts w:ascii="Georgia" w:hAnsi="Georgia"/>
          <w:color w:val="231F20"/>
          <w:spacing w:val="3"/>
          <w:w w:val="95"/>
        </w:rPr>
        <w:t>No </w:t>
      </w:r>
      <w:r>
        <w:rPr>
          <w:rFonts w:ascii="Georgia" w:hAnsi="Georgia"/>
          <w:color w:val="231F20"/>
          <w:spacing w:val="4"/>
          <w:w w:val="95"/>
        </w:rPr>
        <w:t>obs- </w:t>
      </w:r>
      <w:r>
        <w:rPr>
          <w:rFonts w:ascii="Georgia" w:hAnsi="Georgia"/>
          <w:color w:val="231F20"/>
          <w:spacing w:val="4"/>
        </w:rPr>
        <w:t>tante,</w:t>
      </w:r>
      <w:r>
        <w:rPr>
          <w:rFonts w:ascii="Georgia" w:hAnsi="Georgia"/>
          <w:color w:val="231F20"/>
          <w:spacing w:val="-21"/>
        </w:rPr>
        <w:t> </w:t>
      </w:r>
      <w:r>
        <w:rPr>
          <w:rFonts w:ascii="Georgia" w:hAnsi="Georgia"/>
          <w:color w:val="231F20"/>
          <w:spacing w:val="3"/>
        </w:rPr>
        <w:t>quizá</w:t>
      </w:r>
      <w:r>
        <w:rPr>
          <w:rFonts w:ascii="Georgia" w:hAnsi="Georgia"/>
          <w:color w:val="231F20"/>
          <w:spacing w:val="-21"/>
        </w:rPr>
        <w:t> </w:t>
      </w:r>
      <w:r>
        <w:rPr>
          <w:rFonts w:ascii="Georgia" w:hAnsi="Georgia"/>
          <w:color w:val="231F20"/>
          <w:spacing w:val="2"/>
        </w:rPr>
        <w:t>en</w:t>
      </w:r>
      <w:r>
        <w:rPr>
          <w:rFonts w:ascii="Georgia" w:hAnsi="Georgia"/>
          <w:color w:val="231F20"/>
          <w:spacing w:val="-21"/>
        </w:rPr>
        <w:t> </w:t>
      </w:r>
      <w:r>
        <w:rPr>
          <w:rFonts w:ascii="Georgia" w:hAnsi="Georgia"/>
          <w:color w:val="231F20"/>
          <w:spacing w:val="4"/>
        </w:rPr>
        <w:t>una</w:t>
      </w:r>
      <w:r>
        <w:rPr>
          <w:rFonts w:ascii="Georgia" w:hAnsi="Georgia"/>
          <w:color w:val="231F20"/>
          <w:spacing w:val="-21"/>
        </w:rPr>
        <w:t> </w:t>
      </w:r>
      <w:r>
        <w:rPr>
          <w:rFonts w:ascii="Georgia" w:hAnsi="Georgia"/>
          <w:color w:val="231F20"/>
          <w:spacing w:val="4"/>
        </w:rPr>
        <w:t>actitud</w:t>
      </w:r>
      <w:r>
        <w:rPr>
          <w:rFonts w:ascii="Georgia" w:hAnsi="Georgia"/>
          <w:color w:val="231F20"/>
          <w:spacing w:val="-21"/>
        </w:rPr>
        <w:t> </w:t>
      </w:r>
      <w:r>
        <w:rPr>
          <w:rFonts w:ascii="Georgia" w:hAnsi="Georgia"/>
          <w:color w:val="231F20"/>
          <w:spacing w:val="2"/>
        </w:rPr>
        <w:t>de</w:t>
      </w:r>
      <w:r>
        <w:rPr>
          <w:rFonts w:ascii="Georgia" w:hAnsi="Georgia"/>
          <w:color w:val="231F20"/>
          <w:spacing w:val="-21"/>
        </w:rPr>
        <w:t> </w:t>
      </w:r>
      <w:r>
        <w:rPr>
          <w:rFonts w:ascii="Georgia" w:hAnsi="Georgia"/>
          <w:color w:val="231F20"/>
          <w:spacing w:val="4"/>
        </w:rPr>
        <w:t>abierto</w:t>
      </w:r>
      <w:r>
        <w:rPr>
          <w:rFonts w:ascii="Georgia" w:hAnsi="Georgia"/>
          <w:color w:val="231F20"/>
          <w:spacing w:val="-21"/>
        </w:rPr>
        <w:t> </w:t>
      </w:r>
      <w:r>
        <w:rPr>
          <w:rFonts w:ascii="Georgia" w:hAnsi="Georgia"/>
          <w:color w:val="231F20"/>
          <w:spacing w:val="4"/>
        </w:rPr>
        <w:t>desafío</w:t>
      </w:r>
      <w:r>
        <w:rPr>
          <w:rFonts w:ascii="Georgia" w:hAnsi="Georgia"/>
          <w:color w:val="231F20"/>
          <w:spacing w:val="-21"/>
        </w:rPr>
        <w:t> </w:t>
      </w:r>
      <w:r>
        <w:rPr>
          <w:rFonts w:ascii="Georgia" w:hAnsi="Georgia"/>
          <w:color w:val="231F20"/>
        </w:rPr>
        <w:t>o</w:t>
      </w:r>
      <w:r>
        <w:rPr>
          <w:rFonts w:ascii="Georgia" w:hAnsi="Georgia"/>
          <w:color w:val="231F20"/>
          <w:spacing w:val="-21"/>
        </w:rPr>
        <w:t> </w:t>
      </w:r>
      <w:r>
        <w:rPr>
          <w:rFonts w:ascii="Georgia" w:hAnsi="Georgia"/>
          <w:color w:val="231F20"/>
          <w:spacing w:val="2"/>
        </w:rPr>
        <w:t>de</w:t>
      </w:r>
      <w:r>
        <w:rPr>
          <w:rFonts w:ascii="Georgia" w:hAnsi="Georgia"/>
          <w:color w:val="231F20"/>
          <w:spacing w:val="-21"/>
        </w:rPr>
        <w:t> </w:t>
      </w:r>
      <w:r>
        <w:rPr>
          <w:rFonts w:ascii="Georgia" w:hAnsi="Georgia"/>
          <w:color w:val="231F20"/>
          <w:spacing w:val="4"/>
        </w:rPr>
        <w:t>franca</w:t>
      </w:r>
      <w:r>
        <w:rPr>
          <w:rFonts w:ascii="Georgia" w:hAnsi="Georgia"/>
          <w:color w:val="231F20"/>
          <w:spacing w:val="-21"/>
        </w:rPr>
        <w:t> </w:t>
      </w:r>
      <w:r>
        <w:rPr>
          <w:rFonts w:ascii="Georgia" w:hAnsi="Georgia"/>
          <w:color w:val="231F20"/>
          <w:spacing w:val="5"/>
        </w:rPr>
        <w:t>resig- </w:t>
      </w:r>
      <w:r>
        <w:rPr>
          <w:rFonts w:ascii="Georgia" w:hAnsi="Georgia"/>
          <w:color w:val="231F20"/>
          <w:spacing w:val="4"/>
          <w:w w:val="95"/>
        </w:rPr>
        <w:t>nación, señalaba </w:t>
      </w:r>
      <w:r>
        <w:rPr>
          <w:rFonts w:ascii="Georgia" w:hAnsi="Georgia"/>
          <w:color w:val="231F20"/>
          <w:spacing w:val="3"/>
          <w:w w:val="95"/>
        </w:rPr>
        <w:t>que </w:t>
      </w:r>
      <w:r>
        <w:rPr>
          <w:rFonts w:ascii="Georgia" w:hAnsi="Georgia"/>
          <w:color w:val="231F20"/>
          <w:spacing w:val="4"/>
          <w:w w:val="95"/>
        </w:rPr>
        <w:t>había decidido retirar </w:t>
      </w:r>
      <w:r>
        <w:rPr>
          <w:rFonts w:ascii="Georgia" w:hAnsi="Georgia"/>
          <w:color w:val="231F20"/>
          <w:w w:val="95"/>
        </w:rPr>
        <w:t>a </w:t>
      </w:r>
      <w:r>
        <w:rPr>
          <w:rFonts w:ascii="Georgia" w:hAnsi="Georgia"/>
          <w:color w:val="231F20"/>
          <w:spacing w:val="3"/>
          <w:w w:val="95"/>
        </w:rPr>
        <w:t>los jefes de </w:t>
      </w:r>
      <w:r>
        <w:rPr>
          <w:rFonts w:ascii="Georgia" w:hAnsi="Georgia"/>
          <w:color w:val="231F20"/>
          <w:spacing w:val="5"/>
          <w:w w:val="95"/>
        </w:rPr>
        <w:t>grupo </w:t>
      </w:r>
      <w:r>
        <w:rPr>
          <w:rFonts w:ascii="Georgia" w:hAnsi="Georgia"/>
          <w:color w:val="231F20"/>
          <w:spacing w:val="3"/>
        </w:rPr>
        <w:t>que</w:t>
      </w:r>
      <w:r>
        <w:rPr>
          <w:rFonts w:ascii="Georgia" w:hAnsi="Georgia"/>
          <w:color w:val="231F20"/>
          <w:spacing w:val="-3"/>
        </w:rPr>
        <w:t> </w:t>
      </w:r>
      <w:r>
        <w:rPr>
          <w:rFonts w:ascii="Georgia" w:hAnsi="Georgia"/>
          <w:color w:val="231F20"/>
          <w:spacing w:val="4"/>
        </w:rPr>
        <w:t>había</w:t>
      </w:r>
      <w:r>
        <w:rPr>
          <w:rFonts w:ascii="Georgia" w:hAnsi="Georgia"/>
          <w:color w:val="231F20"/>
          <w:spacing w:val="-3"/>
        </w:rPr>
        <w:t> </w:t>
      </w:r>
      <w:r>
        <w:rPr>
          <w:rFonts w:ascii="Georgia" w:hAnsi="Georgia"/>
          <w:color w:val="231F20"/>
          <w:spacing w:val="5"/>
        </w:rPr>
        <w:t>nombrado</w:t>
      </w:r>
      <w:r>
        <w:rPr>
          <w:rFonts w:ascii="Georgia" w:hAnsi="Georgia"/>
          <w:color w:val="231F20"/>
          <w:spacing w:val="-3"/>
        </w:rPr>
        <w:t> </w:t>
      </w:r>
      <w:r>
        <w:rPr>
          <w:rFonts w:ascii="Georgia" w:hAnsi="Georgia"/>
          <w:color w:val="231F20"/>
        </w:rPr>
        <w:t>la</w:t>
      </w:r>
      <w:r>
        <w:rPr>
          <w:rFonts w:ascii="Georgia" w:hAnsi="Georgia"/>
          <w:color w:val="231F20"/>
          <w:spacing w:val="-3"/>
        </w:rPr>
        <w:t> </w:t>
      </w:r>
      <w:r>
        <w:rPr>
          <w:rFonts w:ascii="Georgia" w:hAnsi="Georgia"/>
          <w:color w:val="231F20"/>
          <w:spacing w:val="4"/>
        </w:rPr>
        <w:t>Dirección</w:t>
      </w:r>
      <w:r>
        <w:rPr>
          <w:rFonts w:ascii="Georgia" w:hAnsi="Georgia"/>
          <w:color w:val="231F20"/>
          <w:spacing w:val="-3"/>
        </w:rPr>
        <w:t> </w:t>
      </w:r>
      <w:r>
        <w:rPr>
          <w:rFonts w:ascii="Georgia" w:hAnsi="Georgia"/>
          <w:color w:val="231F20"/>
          <w:spacing w:val="3"/>
        </w:rPr>
        <w:t>del</w:t>
      </w:r>
      <w:r>
        <w:rPr>
          <w:rFonts w:ascii="Georgia" w:hAnsi="Georgia"/>
          <w:color w:val="231F20"/>
          <w:spacing w:val="-4"/>
        </w:rPr>
        <w:t> </w:t>
      </w:r>
      <w:r>
        <w:rPr>
          <w:rFonts w:ascii="Georgia" w:hAnsi="Georgia"/>
          <w:color w:val="231F20"/>
          <w:spacing w:val="4"/>
        </w:rPr>
        <w:t>Plantel</w:t>
      </w:r>
      <w:r>
        <w:rPr>
          <w:rFonts w:ascii="Georgia" w:hAnsi="Georgia"/>
          <w:color w:val="231F20"/>
          <w:spacing w:val="-4"/>
        </w:rPr>
        <w:t> </w:t>
      </w:r>
      <w:r>
        <w:rPr>
          <w:rFonts w:ascii="Georgia" w:hAnsi="Georgia"/>
          <w:color w:val="231F20"/>
          <w:spacing w:val="3"/>
        </w:rPr>
        <w:t>con</w:t>
      </w:r>
      <w:r>
        <w:rPr>
          <w:rFonts w:ascii="Georgia" w:hAnsi="Georgia"/>
          <w:color w:val="231F20"/>
          <w:spacing w:val="-3"/>
        </w:rPr>
        <w:t> </w:t>
      </w:r>
      <w:r>
        <w:rPr>
          <w:rFonts w:ascii="Georgia" w:hAnsi="Georgia"/>
          <w:color w:val="231F20"/>
          <w:spacing w:val="2"/>
        </w:rPr>
        <w:t>el</w:t>
      </w:r>
      <w:r>
        <w:rPr>
          <w:rFonts w:ascii="Georgia" w:hAnsi="Georgia"/>
          <w:color w:val="231F20"/>
          <w:spacing w:val="-4"/>
        </w:rPr>
        <w:t> </w:t>
      </w:r>
      <w:r>
        <w:rPr>
          <w:rFonts w:ascii="Georgia" w:hAnsi="Georgia"/>
          <w:color w:val="231F20"/>
          <w:spacing w:val="4"/>
        </w:rPr>
        <w:t>objeto</w:t>
      </w:r>
      <w:r>
        <w:rPr>
          <w:rFonts w:ascii="Georgia" w:hAnsi="Georgia"/>
          <w:color w:val="231F20"/>
          <w:spacing w:val="-3"/>
        </w:rPr>
        <w:t> </w:t>
      </w:r>
      <w:r>
        <w:rPr>
          <w:rFonts w:ascii="Georgia" w:hAnsi="Georgia"/>
          <w:color w:val="231F20"/>
          <w:spacing w:val="6"/>
        </w:rPr>
        <w:t>de </w:t>
      </w:r>
      <w:r>
        <w:rPr>
          <w:rFonts w:ascii="Georgia" w:hAnsi="Georgia"/>
          <w:color w:val="231F20"/>
          <w:spacing w:val="3"/>
          <w:w w:val="95"/>
        </w:rPr>
        <w:t>que</w:t>
      </w:r>
      <w:r>
        <w:rPr>
          <w:rFonts w:ascii="Georgia" w:hAnsi="Georgia"/>
          <w:color w:val="231F20"/>
          <w:spacing w:val="-5"/>
          <w:w w:val="95"/>
        </w:rPr>
        <w:t> </w:t>
      </w:r>
      <w:r>
        <w:rPr>
          <w:rFonts w:ascii="Georgia" w:hAnsi="Georgia"/>
          <w:color w:val="231F20"/>
          <w:w w:val="95"/>
        </w:rPr>
        <w:t>la</w:t>
      </w:r>
      <w:r>
        <w:rPr>
          <w:rFonts w:ascii="Georgia" w:hAnsi="Georgia"/>
          <w:color w:val="231F20"/>
          <w:spacing w:val="-5"/>
          <w:w w:val="95"/>
        </w:rPr>
        <w:t> </w:t>
      </w:r>
      <w:r>
        <w:rPr>
          <w:rFonts w:ascii="Georgia" w:hAnsi="Georgia"/>
          <w:color w:val="231F20"/>
          <w:spacing w:val="4"/>
          <w:w w:val="95"/>
        </w:rPr>
        <w:t>Sociedad</w:t>
      </w:r>
      <w:r>
        <w:rPr>
          <w:rFonts w:ascii="Georgia" w:hAnsi="Georgia"/>
          <w:color w:val="231F20"/>
          <w:spacing w:val="-4"/>
          <w:w w:val="95"/>
        </w:rPr>
        <w:t> </w:t>
      </w:r>
      <w:r>
        <w:rPr>
          <w:rFonts w:ascii="Georgia" w:hAnsi="Georgia"/>
          <w:color w:val="231F20"/>
          <w:spacing w:val="3"/>
          <w:w w:val="95"/>
        </w:rPr>
        <w:t>de</w:t>
      </w:r>
      <w:r>
        <w:rPr>
          <w:rFonts w:ascii="Georgia" w:hAnsi="Georgia"/>
          <w:color w:val="231F20"/>
          <w:spacing w:val="-5"/>
          <w:w w:val="95"/>
        </w:rPr>
        <w:t> </w:t>
      </w:r>
      <w:r>
        <w:rPr>
          <w:rFonts w:ascii="Georgia" w:hAnsi="Georgia"/>
          <w:color w:val="231F20"/>
          <w:spacing w:val="4"/>
          <w:w w:val="95"/>
        </w:rPr>
        <w:t>Alumnos</w:t>
      </w:r>
      <w:r>
        <w:rPr>
          <w:rFonts w:ascii="Georgia" w:hAnsi="Georgia"/>
          <w:color w:val="231F20"/>
          <w:spacing w:val="-5"/>
          <w:w w:val="95"/>
        </w:rPr>
        <w:t> </w:t>
      </w:r>
      <w:r>
        <w:rPr>
          <w:rFonts w:ascii="Georgia" w:hAnsi="Georgia"/>
          <w:color w:val="231F20"/>
          <w:spacing w:val="4"/>
          <w:w w:val="95"/>
        </w:rPr>
        <w:t>designara</w:t>
      </w:r>
      <w:r>
        <w:rPr>
          <w:rFonts w:ascii="Georgia" w:hAnsi="Georgia"/>
          <w:color w:val="231F20"/>
          <w:spacing w:val="-5"/>
          <w:w w:val="95"/>
        </w:rPr>
        <w:t> </w:t>
      </w:r>
      <w:r>
        <w:rPr>
          <w:rFonts w:ascii="Georgia" w:hAnsi="Georgia"/>
          <w:color w:val="231F20"/>
          <w:spacing w:val="4"/>
          <w:w w:val="95"/>
        </w:rPr>
        <w:t>“aquellos</w:t>
      </w:r>
      <w:r>
        <w:rPr>
          <w:rFonts w:ascii="Georgia" w:hAnsi="Georgia"/>
          <w:color w:val="231F20"/>
          <w:spacing w:val="-5"/>
          <w:w w:val="95"/>
        </w:rPr>
        <w:t> </w:t>
      </w:r>
      <w:r>
        <w:rPr>
          <w:rFonts w:ascii="Georgia" w:hAnsi="Georgia"/>
          <w:color w:val="231F20"/>
          <w:spacing w:val="4"/>
          <w:w w:val="95"/>
        </w:rPr>
        <w:t>representantes </w:t>
      </w:r>
      <w:r>
        <w:rPr>
          <w:rFonts w:ascii="Georgia" w:hAnsi="Georgia"/>
          <w:color w:val="231F20"/>
        </w:rPr>
        <w:t>a</w:t>
      </w:r>
      <w:r>
        <w:rPr>
          <w:rFonts w:ascii="Georgia" w:hAnsi="Georgia"/>
          <w:color w:val="231F20"/>
          <w:spacing w:val="-11"/>
        </w:rPr>
        <w:t> </w:t>
      </w:r>
      <w:r>
        <w:rPr>
          <w:rFonts w:ascii="Georgia" w:hAnsi="Georgia"/>
          <w:color w:val="231F20"/>
          <w:spacing w:val="4"/>
        </w:rPr>
        <w:t>quienes</w:t>
      </w:r>
      <w:r>
        <w:rPr>
          <w:rFonts w:ascii="Georgia" w:hAnsi="Georgia"/>
          <w:color w:val="231F20"/>
          <w:spacing w:val="-11"/>
        </w:rPr>
        <w:t> </w:t>
      </w:r>
      <w:r>
        <w:rPr>
          <w:rFonts w:ascii="Georgia" w:hAnsi="Georgia"/>
          <w:color w:val="231F20"/>
          <w:spacing w:val="4"/>
        </w:rPr>
        <w:t>consten</w:t>
      </w:r>
      <w:r>
        <w:rPr>
          <w:rFonts w:ascii="Georgia" w:hAnsi="Georgia"/>
          <w:color w:val="231F20"/>
          <w:spacing w:val="-11"/>
        </w:rPr>
        <w:t> </w:t>
      </w:r>
      <w:r>
        <w:rPr>
          <w:rFonts w:ascii="Georgia" w:hAnsi="Georgia"/>
          <w:color w:val="231F20"/>
          <w:spacing w:val="3"/>
        </w:rPr>
        <w:t>las</w:t>
      </w:r>
      <w:r>
        <w:rPr>
          <w:rFonts w:ascii="Georgia" w:hAnsi="Georgia"/>
          <w:color w:val="231F20"/>
          <w:spacing w:val="-11"/>
        </w:rPr>
        <w:t> </w:t>
      </w:r>
      <w:r>
        <w:rPr>
          <w:rFonts w:ascii="Georgia" w:hAnsi="Georgia"/>
          <w:color w:val="231F20"/>
          <w:spacing w:val="4"/>
        </w:rPr>
        <w:t>causas</w:t>
      </w:r>
      <w:r>
        <w:rPr>
          <w:rFonts w:ascii="Georgia" w:hAnsi="Georgia"/>
          <w:color w:val="231F20"/>
          <w:spacing w:val="-11"/>
        </w:rPr>
        <w:t> </w:t>
      </w:r>
      <w:r>
        <w:rPr>
          <w:rFonts w:ascii="Georgia" w:hAnsi="Georgia"/>
          <w:color w:val="231F20"/>
          <w:spacing w:val="4"/>
        </w:rPr>
        <w:t>por</w:t>
      </w:r>
      <w:r>
        <w:rPr>
          <w:rFonts w:ascii="Georgia" w:hAnsi="Georgia"/>
          <w:color w:val="231F20"/>
          <w:spacing w:val="-11"/>
        </w:rPr>
        <w:t> </w:t>
      </w:r>
      <w:r>
        <w:rPr>
          <w:rFonts w:ascii="Georgia" w:hAnsi="Georgia"/>
          <w:color w:val="231F20"/>
          <w:spacing w:val="3"/>
        </w:rPr>
        <w:t>las</w:t>
      </w:r>
      <w:r>
        <w:rPr>
          <w:rFonts w:ascii="Georgia" w:hAnsi="Georgia"/>
          <w:color w:val="231F20"/>
          <w:spacing w:val="-11"/>
        </w:rPr>
        <w:t> </w:t>
      </w:r>
      <w:r>
        <w:rPr>
          <w:rFonts w:ascii="Georgia" w:hAnsi="Georgia"/>
          <w:color w:val="231F20"/>
          <w:spacing w:val="4"/>
        </w:rPr>
        <w:t>que</w:t>
      </w:r>
      <w:r>
        <w:rPr>
          <w:rFonts w:ascii="Georgia" w:hAnsi="Georgia"/>
          <w:color w:val="231F20"/>
          <w:spacing w:val="-11"/>
        </w:rPr>
        <w:t> </w:t>
      </w:r>
      <w:r>
        <w:rPr>
          <w:rFonts w:ascii="Georgia" w:hAnsi="Georgia"/>
          <w:color w:val="231F20"/>
          <w:spacing w:val="4"/>
        </w:rPr>
        <w:t>impongo</w:t>
      </w:r>
      <w:r>
        <w:rPr>
          <w:rFonts w:ascii="Georgia" w:hAnsi="Georgia"/>
          <w:color w:val="231F20"/>
          <w:spacing w:val="-11"/>
        </w:rPr>
        <w:t> </w:t>
      </w:r>
      <w:r>
        <w:rPr>
          <w:rFonts w:ascii="Georgia" w:hAnsi="Georgia"/>
          <w:color w:val="231F20"/>
          <w:spacing w:val="3"/>
        </w:rPr>
        <w:t>un</w:t>
      </w:r>
      <w:r>
        <w:rPr>
          <w:rFonts w:ascii="Georgia" w:hAnsi="Georgia"/>
          <w:color w:val="231F20"/>
          <w:spacing w:val="-11"/>
        </w:rPr>
        <w:t> </w:t>
      </w:r>
      <w:r>
        <w:rPr>
          <w:rFonts w:ascii="Georgia" w:hAnsi="Georgia"/>
          <w:color w:val="231F20"/>
          <w:spacing w:val="4"/>
        </w:rPr>
        <w:t>castigo”. </w:t>
      </w:r>
      <w:r>
        <w:rPr>
          <w:rFonts w:ascii="Georgia" w:hAnsi="Georgia"/>
          <w:color w:val="231F20"/>
          <w:spacing w:val="3"/>
          <w:w w:val="95"/>
        </w:rPr>
        <w:t>Sin</w:t>
      </w:r>
      <w:r>
        <w:rPr>
          <w:rFonts w:ascii="Georgia" w:hAnsi="Georgia"/>
          <w:color w:val="231F20"/>
          <w:spacing w:val="-11"/>
          <w:w w:val="95"/>
        </w:rPr>
        <w:t> </w:t>
      </w:r>
      <w:r>
        <w:rPr>
          <w:rFonts w:ascii="Georgia" w:hAnsi="Georgia"/>
          <w:color w:val="231F20"/>
          <w:spacing w:val="4"/>
          <w:w w:val="95"/>
        </w:rPr>
        <w:t>embargo,</w:t>
      </w:r>
      <w:r>
        <w:rPr>
          <w:rFonts w:ascii="Georgia" w:hAnsi="Georgia"/>
          <w:color w:val="231F20"/>
          <w:spacing w:val="-11"/>
          <w:w w:val="95"/>
        </w:rPr>
        <w:t> </w:t>
      </w:r>
      <w:r>
        <w:rPr>
          <w:rFonts w:ascii="Georgia" w:hAnsi="Georgia"/>
          <w:color w:val="231F20"/>
          <w:spacing w:val="3"/>
          <w:w w:val="95"/>
        </w:rPr>
        <w:t>tuvo</w:t>
      </w:r>
      <w:r>
        <w:rPr>
          <w:rFonts w:ascii="Georgia" w:hAnsi="Georgia"/>
          <w:color w:val="231F20"/>
          <w:spacing w:val="-11"/>
          <w:w w:val="95"/>
        </w:rPr>
        <w:t> </w:t>
      </w:r>
      <w:r>
        <w:rPr>
          <w:rFonts w:ascii="Georgia" w:hAnsi="Georgia"/>
          <w:color w:val="231F20"/>
          <w:spacing w:val="3"/>
          <w:w w:val="95"/>
        </w:rPr>
        <w:t>que</w:t>
      </w:r>
      <w:r>
        <w:rPr>
          <w:rFonts w:ascii="Georgia" w:hAnsi="Georgia"/>
          <w:color w:val="231F20"/>
          <w:spacing w:val="-11"/>
          <w:w w:val="95"/>
        </w:rPr>
        <w:t> </w:t>
      </w:r>
      <w:r>
        <w:rPr>
          <w:rFonts w:ascii="Georgia" w:hAnsi="Georgia"/>
          <w:color w:val="231F20"/>
          <w:spacing w:val="4"/>
          <w:w w:val="95"/>
        </w:rPr>
        <w:t>admitir</w:t>
      </w:r>
      <w:r>
        <w:rPr>
          <w:rFonts w:ascii="Georgia" w:hAnsi="Georgia"/>
          <w:color w:val="231F20"/>
          <w:spacing w:val="-11"/>
          <w:w w:val="95"/>
        </w:rPr>
        <w:t> </w:t>
      </w:r>
      <w:r>
        <w:rPr>
          <w:rFonts w:ascii="Georgia" w:hAnsi="Georgia"/>
          <w:color w:val="231F20"/>
          <w:spacing w:val="3"/>
          <w:w w:val="95"/>
        </w:rPr>
        <w:t>que</w:t>
      </w:r>
      <w:r>
        <w:rPr>
          <w:rFonts w:ascii="Georgia" w:hAnsi="Georgia"/>
          <w:color w:val="231F20"/>
          <w:spacing w:val="-11"/>
          <w:w w:val="95"/>
        </w:rPr>
        <w:t> </w:t>
      </w:r>
      <w:r>
        <w:rPr>
          <w:rFonts w:ascii="Georgia" w:hAnsi="Georgia"/>
          <w:color w:val="231F20"/>
          <w:spacing w:val="3"/>
          <w:w w:val="95"/>
        </w:rPr>
        <w:t>esa</w:t>
      </w:r>
      <w:r>
        <w:rPr>
          <w:rFonts w:ascii="Georgia" w:hAnsi="Georgia"/>
          <w:color w:val="231F20"/>
          <w:spacing w:val="-11"/>
          <w:w w:val="95"/>
        </w:rPr>
        <w:t> </w:t>
      </w:r>
      <w:r>
        <w:rPr>
          <w:rFonts w:ascii="Georgia" w:hAnsi="Georgia"/>
          <w:color w:val="231F20"/>
          <w:spacing w:val="4"/>
          <w:w w:val="95"/>
        </w:rPr>
        <w:t>decisión</w:t>
      </w:r>
      <w:r>
        <w:rPr>
          <w:rFonts w:ascii="Georgia" w:hAnsi="Georgia"/>
          <w:color w:val="231F20"/>
          <w:spacing w:val="-11"/>
          <w:w w:val="95"/>
        </w:rPr>
        <w:t> </w:t>
      </w:r>
      <w:r>
        <w:rPr>
          <w:rFonts w:ascii="Georgia" w:hAnsi="Georgia"/>
          <w:color w:val="231F20"/>
          <w:spacing w:val="4"/>
          <w:w w:val="95"/>
        </w:rPr>
        <w:t>había</w:t>
      </w:r>
      <w:r>
        <w:rPr>
          <w:rFonts w:ascii="Georgia" w:hAnsi="Georgia"/>
          <w:color w:val="231F20"/>
          <w:spacing w:val="-11"/>
          <w:w w:val="95"/>
        </w:rPr>
        <w:t> </w:t>
      </w:r>
      <w:r>
        <w:rPr>
          <w:rFonts w:ascii="Georgia" w:hAnsi="Georgia"/>
          <w:color w:val="231F20"/>
          <w:spacing w:val="4"/>
          <w:w w:val="95"/>
        </w:rPr>
        <w:t>provocado </w:t>
      </w:r>
      <w:r>
        <w:rPr>
          <w:rFonts w:ascii="Georgia" w:hAnsi="Georgia"/>
          <w:color w:val="231F20"/>
          <w:spacing w:val="3"/>
          <w:w w:val="95"/>
        </w:rPr>
        <w:t>“un</w:t>
      </w:r>
      <w:r>
        <w:rPr>
          <w:rFonts w:ascii="Georgia" w:hAnsi="Georgia"/>
          <w:color w:val="231F20"/>
          <w:spacing w:val="-2"/>
          <w:w w:val="95"/>
        </w:rPr>
        <w:t> </w:t>
      </w:r>
      <w:r>
        <w:rPr>
          <w:rFonts w:ascii="Georgia" w:hAnsi="Georgia"/>
          <w:color w:val="231F20"/>
          <w:spacing w:val="4"/>
          <w:w w:val="95"/>
        </w:rPr>
        <w:t>desorden</w:t>
      </w:r>
      <w:r>
        <w:rPr>
          <w:rFonts w:ascii="Georgia" w:hAnsi="Georgia"/>
          <w:color w:val="231F20"/>
          <w:spacing w:val="-2"/>
          <w:w w:val="95"/>
        </w:rPr>
        <w:t> </w:t>
      </w:r>
      <w:r>
        <w:rPr>
          <w:rFonts w:ascii="Georgia" w:hAnsi="Georgia"/>
          <w:color w:val="231F20"/>
          <w:spacing w:val="2"/>
          <w:w w:val="95"/>
        </w:rPr>
        <w:t>en</w:t>
      </w:r>
      <w:r>
        <w:rPr>
          <w:rFonts w:ascii="Georgia" w:hAnsi="Georgia"/>
          <w:color w:val="231F20"/>
          <w:spacing w:val="-2"/>
          <w:w w:val="95"/>
        </w:rPr>
        <w:t> </w:t>
      </w:r>
      <w:r>
        <w:rPr>
          <w:rFonts w:ascii="Georgia" w:hAnsi="Georgia"/>
          <w:color w:val="231F20"/>
          <w:spacing w:val="4"/>
          <w:w w:val="95"/>
        </w:rPr>
        <w:t>que</w:t>
      </w:r>
      <w:r>
        <w:rPr>
          <w:rFonts w:ascii="Georgia" w:hAnsi="Georgia"/>
          <w:color w:val="231F20"/>
          <w:spacing w:val="-2"/>
          <w:w w:val="95"/>
        </w:rPr>
        <w:t> </w:t>
      </w:r>
      <w:r>
        <w:rPr>
          <w:rFonts w:ascii="Georgia" w:hAnsi="Georgia"/>
          <w:color w:val="231F20"/>
          <w:spacing w:val="4"/>
          <w:w w:val="95"/>
        </w:rPr>
        <w:t>tuve</w:t>
      </w:r>
      <w:r>
        <w:rPr>
          <w:rFonts w:ascii="Georgia" w:hAnsi="Georgia"/>
          <w:color w:val="231F20"/>
          <w:spacing w:val="-2"/>
          <w:w w:val="95"/>
        </w:rPr>
        <w:t> </w:t>
      </w:r>
      <w:r>
        <w:rPr>
          <w:rFonts w:ascii="Georgia" w:hAnsi="Georgia"/>
          <w:color w:val="231F20"/>
          <w:spacing w:val="4"/>
          <w:w w:val="95"/>
        </w:rPr>
        <w:t>que</w:t>
      </w:r>
      <w:r>
        <w:rPr>
          <w:rFonts w:ascii="Georgia" w:hAnsi="Georgia"/>
          <w:color w:val="231F20"/>
          <w:spacing w:val="-2"/>
          <w:w w:val="95"/>
        </w:rPr>
        <w:t> </w:t>
      </w:r>
      <w:r>
        <w:rPr>
          <w:rFonts w:ascii="Georgia" w:hAnsi="Georgia"/>
          <w:color w:val="231F20"/>
          <w:spacing w:val="4"/>
          <w:w w:val="95"/>
        </w:rPr>
        <w:t>llamar</w:t>
      </w:r>
      <w:r>
        <w:rPr>
          <w:rFonts w:ascii="Georgia" w:hAnsi="Georgia"/>
          <w:color w:val="231F20"/>
          <w:spacing w:val="-2"/>
          <w:w w:val="95"/>
        </w:rPr>
        <w:t> </w:t>
      </w:r>
      <w:r>
        <w:rPr>
          <w:rFonts w:ascii="Georgia" w:hAnsi="Georgia"/>
          <w:color w:val="231F20"/>
          <w:w w:val="95"/>
        </w:rPr>
        <w:t>la</w:t>
      </w:r>
      <w:r>
        <w:rPr>
          <w:rFonts w:ascii="Georgia" w:hAnsi="Georgia"/>
          <w:color w:val="231F20"/>
          <w:spacing w:val="-2"/>
          <w:w w:val="95"/>
        </w:rPr>
        <w:t> </w:t>
      </w:r>
      <w:r>
        <w:rPr>
          <w:rFonts w:ascii="Georgia" w:hAnsi="Georgia"/>
          <w:color w:val="231F20"/>
          <w:spacing w:val="4"/>
          <w:w w:val="95"/>
        </w:rPr>
        <w:t>atención</w:t>
      </w:r>
      <w:r>
        <w:rPr>
          <w:rFonts w:ascii="Georgia" w:hAnsi="Georgia"/>
          <w:color w:val="231F20"/>
          <w:spacing w:val="-2"/>
          <w:w w:val="95"/>
        </w:rPr>
        <w:t> </w:t>
      </w:r>
      <w:r>
        <w:rPr>
          <w:rFonts w:ascii="Georgia" w:hAnsi="Georgia"/>
          <w:color w:val="231F20"/>
          <w:spacing w:val="3"/>
          <w:w w:val="95"/>
        </w:rPr>
        <w:t>de</w:t>
      </w:r>
      <w:r>
        <w:rPr>
          <w:rFonts w:ascii="Georgia" w:hAnsi="Georgia"/>
          <w:color w:val="231F20"/>
          <w:spacing w:val="-2"/>
          <w:w w:val="95"/>
        </w:rPr>
        <w:t> </w:t>
      </w:r>
      <w:r>
        <w:rPr>
          <w:rFonts w:ascii="Georgia" w:hAnsi="Georgia"/>
          <w:color w:val="231F20"/>
          <w:spacing w:val="3"/>
          <w:w w:val="95"/>
        </w:rPr>
        <w:t>los</w:t>
      </w:r>
      <w:r>
        <w:rPr>
          <w:rFonts w:ascii="Georgia" w:hAnsi="Georgia"/>
          <w:color w:val="231F20"/>
          <w:spacing w:val="-2"/>
          <w:w w:val="95"/>
        </w:rPr>
        <w:t> </w:t>
      </w:r>
      <w:r>
        <w:rPr>
          <w:rFonts w:ascii="Georgia" w:hAnsi="Georgia"/>
          <w:color w:val="231F20"/>
          <w:spacing w:val="4"/>
          <w:w w:val="95"/>
        </w:rPr>
        <w:t>alumnos </w:t>
      </w:r>
      <w:r>
        <w:rPr>
          <w:rFonts w:ascii="Georgia" w:hAnsi="Georgia"/>
          <w:color w:val="231F20"/>
          <w:spacing w:val="3"/>
          <w:w w:val="95"/>
        </w:rPr>
        <w:t>que</w:t>
      </w:r>
      <w:r>
        <w:rPr>
          <w:rFonts w:ascii="Georgia" w:hAnsi="Georgia"/>
          <w:color w:val="231F20"/>
          <w:spacing w:val="-11"/>
          <w:w w:val="95"/>
        </w:rPr>
        <w:t> </w:t>
      </w:r>
      <w:r>
        <w:rPr>
          <w:rFonts w:ascii="Georgia" w:hAnsi="Georgia"/>
          <w:color w:val="231F20"/>
          <w:spacing w:val="3"/>
          <w:w w:val="95"/>
        </w:rPr>
        <w:t>no</w:t>
      </w:r>
      <w:r>
        <w:rPr>
          <w:rFonts w:ascii="Georgia" w:hAnsi="Georgia"/>
          <w:color w:val="231F20"/>
          <w:spacing w:val="-11"/>
          <w:w w:val="95"/>
        </w:rPr>
        <w:t> </w:t>
      </w:r>
      <w:r>
        <w:rPr>
          <w:rFonts w:ascii="Georgia" w:hAnsi="Georgia"/>
          <w:color w:val="231F20"/>
          <w:spacing w:val="4"/>
          <w:w w:val="95"/>
        </w:rPr>
        <w:t>guardaron</w:t>
      </w:r>
      <w:r>
        <w:rPr>
          <w:rFonts w:ascii="Georgia" w:hAnsi="Georgia"/>
          <w:color w:val="231F20"/>
          <w:spacing w:val="-11"/>
          <w:w w:val="95"/>
        </w:rPr>
        <w:t> </w:t>
      </w:r>
      <w:r>
        <w:rPr>
          <w:rFonts w:ascii="Georgia" w:hAnsi="Georgia"/>
          <w:color w:val="231F20"/>
          <w:spacing w:val="4"/>
          <w:w w:val="95"/>
        </w:rPr>
        <w:t>respeto</w:t>
      </w:r>
      <w:r>
        <w:rPr>
          <w:rFonts w:ascii="Georgia" w:hAnsi="Georgia"/>
          <w:color w:val="231F20"/>
          <w:spacing w:val="-11"/>
          <w:w w:val="95"/>
        </w:rPr>
        <w:t> </w:t>
      </w:r>
      <w:r>
        <w:rPr>
          <w:rFonts w:ascii="Georgia" w:hAnsi="Georgia"/>
          <w:color w:val="231F20"/>
          <w:spacing w:val="3"/>
          <w:w w:val="95"/>
        </w:rPr>
        <w:t>ni</w:t>
      </w:r>
      <w:r>
        <w:rPr>
          <w:rFonts w:ascii="Georgia" w:hAnsi="Georgia"/>
          <w:color w:val="231F20"/>
          <w:spacing w:val="-11"/>
          <w:w w:val="95"/>
        </w:rPr>
        <w:t> </w:t>
      </w:r>
      <w:r>
        <w:rPr>
          <w:rFonts w:ascii="Georgia" w:hAnsi="Georgia"/>
          <w:color w:val="231F20"/>
          <w:spacing w:val="4"/>
          <w:w w:val="95"/>
        </w:rPr>
        <w:t>para</w:t>
      </w:r>
      <w:r>
        <w:rPr>
          <w:rFonts w:ascii="Georgia" w:hAnsi="Georgia"/>
          <w:color w:val="231F20"/>
          <w:spacing w:val="-11"/>
          <w:w w:val="95"/>
        </w:rPr>
        <w:t> </w:t>
      </w:r>
      <w:r>
        <w:rPr>
          <w:rFonts w:ascii="Georgia" w:hAnsi="Georgia"/>
          <w:color w:val="231F20"/>
          <w:spacing w:val="4"/>
          <w:w w:val="95"/>
        </w:rPr>
        <w:t>Uds.</w:t>
      </w:r>
      <w:r>
        <w:rPr>
          <w:rFonts w:ascii="Georgia" w:hAnsi="Georgia"/>
          <w:color w:val="231F20"/>
          <w:spacing w:val="-11"/>
          <w:w w:val="95"/>
        </w:rPr>
        <w:t> </w:t>
      </w:r>
      <w:r>
        <w:rPr>
          <w:rFonts w:ascii="Georgia" w:hAnsi="Georgia"/>
          <w:color w:val="231F20"/>
          <w:spacing w:val="4"/>
          <w:w w:val="95"/>
        </w:rPr>
        <w:t>Mismos”,</w:t>
      </w:r>
      <w:r>
        <w:rPr>
          <w:rFonts w:ascii="Georgia" w:hAnsi="Georgia"/>
          <w:color w:val="231F20"/>
          <w:spacing w:val="-11"/>
          <w:w w:val="95"/>
        </w:rPr>
        <w:t> </w:t>
      </w:r>
      <w:r>
        <w:rPr>
          <w:rFonts w:ascii="Georgia" w:hAnsi="Georgia"/>
          <w:color w:val="231F20"/>
          <w:spacing w:val="2"/>
          <w:w w:val="95"/>
        </w:rPr>
        <w:t>es</w:t>
      </w:r>
      <w:r>
        <w:rPr>
          <w:rFonts w:ascii="Georgia" w:hAnsi="Georgia"/>
          <w:color w:val="231F20"/>
          <w:spacing w:val="-11"/>
          <w:w w:val="95"/>
        </w:rPr>
        <w:t> </w:t>
      </w:r>
      <w:r>
        <w:rPr>
          <w:rFonts w:ascii="Georgia" w:hAnsi="Georgia"/>
          <w:color w:val="231F20"/>
          <w:spacing w:val="4"/>
          <w:w w:val="95"/>
        </w:rPr>
        <w:t>decir,</w:t>
      </w:r>
      <w:r>
        <w:rPr>
          <w:rFonts w:ascii="Georgia" w:hAnsi="Georgia"/>
          <w:color w:val="231F20"/>
          <w:spacing w:val="-11"/>
          <w:w w:val="95"/>
        </w:rPr>
        <w:t> </w:t>
      </w:r>
      <w:r>
        <w:rPr>
          <w:rFonts w:ascii="Georgia" w:hAnsi="Georgia"/>
          <w:color w:val="231F20"/>
          <w:spacing w:val="4"/>
          <w:w w:val="95"/>
        </w:rPr>
        <w:t>para</w:t>
      </w:r>
      <w:r>
        <w:rPr>
          <w:rFonts w:ascii="Georgia" w:hAnsi="Georgia"/>
          <w:color w:val="231F20"/>
          <w:spacing w:val="-11"/>
          <w:w w:val="95"/>
        </w:rPr>
        <w:t> </w:t>
      </w:r>
      <w:r>
        <w:rPr>
          <w:rFonts w:ascii="Georgia" w:hAnsi="Georgia"/>
          <w:color w:val="231F20"/>
          <w:w w:val="95"/>
        </w:rPr>
        <w:t>la </w:t>
      </w:r>
      <w:r>
        <w:rPr>
          <w:rFonts w:ascii="Georgia" w:hAnsi="Georgia"/>
          <w:color w:val="231F20"/>
          <w:spacing w:val="4"/>
          <w:w w:val="95"/>
        </w:rPr>
        <w:t>Sociedad </w:t>
      </w:r>
      <w:r>
        <w:rPr>
          <w:rFonts w:ascii="Georgia" w:hAnsi="Georgia"/>
          <w:color w:val="231F20"/>
          <w:spacing w:val="3"/>
          <w:w w:val="95"/>
        </w:rPr>
        <w:t>de </w:t>
      </w:r>
      <w:r>
        <w:rPr>
          <w:rFonts w:ascii="Georgia" w:hAnsi="Georgia"/>
          <w:color w:val="231F20"/>
          <w:spacing w:val="4"/>
          <w:w w:val="95"/>
        </w:rPr>
        <w:t>Alumnos, </w:t>
      </w:r>
      <w:r>
        <w:rPr>
          <w:rFonts w:ascii="Georgia" w:hAnsi="Georgia"/>
          <w:color w:val="231F20"/>
          <w:w w:val="95"/>
        </w:rPr>
        <w:t>y </w:t>
      </w:r>
      <w:r>
        <w:rPr>
          <w:rFonts w:ascii="Georgia" w:hAnsi="Georgia"/>
          <w:color w:val="231F20"/>
          <w:spacing w:val="4"/>
          <w:w w:val="95"/>
        </w:rPr>
        <w:t>reprochaba que “estaba segurísimo </w:t>
      </w:r>
      <w:r>
        <w:rPr>
          <w:rFonts w:ascii="Georgia" w:hAnsi="Georgia"/>
          <w:color w:val="231F20"/>
          <w:spacing w:val="3"/>
          <w:w w:val="95"/>
        </w:rPr>
        <w:t>de </w:t>
      </w:r>
      <w:r>
        <w:rPr>
          <w:rFonts w:ascii="Georgia" w:hAnsi="Georgia"/>
          <w:color w:val="231F20"/>
          <w:spacing w:val="3"/>
        </w:rPr>
        <w:t>que</w:t>
      </w:r>
      <w:r>
        <w:rPr>
          <w:rFonts w:ascii="Georgia" w:hAnsi="Georgia"/>
          <w:color w:val="231F20"/>
          <w:spacing w:val="-13"/>
        </w:rPr>
        <w:t> </w:t>
      </w:r>
      <w:r>
        <w:rPr>
          <w:rFonts w:ascii="Georgia" w:hAnsi="Georgia"/>
          <w:color w:val="231F20"/>
          <w:spacing w:val="4"/>
        </w:rPr>
        <w:t>saliendo</w:t>
      </w:r>
      <w:r>
        <w:rPr>
          <w:rFonts w:ascii="Georgia" w:hAnsi="Georgia"/>
          <w:color w:val="231F20"/>
          <w:spacing w:val="-12"/>
        </w:rPr>
        <w:t> </w:t>
      </w:r>
      <w:r>
        <w:rPr>
          <w:rFonts w:ascii="Georgia" w:hAnsi="Georgia"/>
          <w:color w:val="231F20"/>
          <w:spacing w:val="4"/>
        </w:rPr>
        <w:t>Uds.</w:t>
      </w:r>
      <w:r>
        <w:rPr>
          <w:rFonts w:ascii="Georgia" w:hAnsi="Georgia"/>
          <w:color w:val="231F20"/>
          <w:spacing w:val="-13"/>
        </w:rPr>
        <w:t> </w:t>
      </w:r>
      <w:r>
        <w:rPr>
          <w:rFonts w:ascii="Georgia" w:hAnsi="Georgia"/>
          <w:color w:val="231F20"/>
          <w:spacing w:val="4"/>
        </w:rPr>
        <w:t>imponía</w:t>
      </w:r>
      <w:r>
        <w:rPr>
          <w:rFonts w:ascii="Georgia" w:hAnsi="Georgia"/>
          <w:color w:val="231F20"/>
          <w:spacing w:val="-13"/>
        </w:rPr>
        <w:t> </w:t>
      </w:r>
      <w:r>
        <w:rPr>
          <w:rFonts w:ascii="Georgia" w:hAnsi="Georgia"/>
          <w:color w:val="231F20"/>
          <w:spacing w:val="2"/>
        </w:rPr>
        <w:t>el</w:t>
      </w:r>
      <w:r>
        <w:rPr>
          <w:rFonts w:ascii="Georgia" w:hAnsi="Georgia"/>
          <w:color w:val="231F20"/>
          <w:spacing w:val="-13"/>
        </w:rPr>
        <w:t> </w:t>
      </w:r>
      <w:r>
        <w:rPr>
          <w:rFonts w:ascii="Georgia" w:hAnsi="Georgia"/>
          <w:color w:val="231F20"/>
          <w:spacing w:val="4"/>
        </w:rPr>
        <w:t>orden,</w:t>
      </w:r>
      <w:r>
        <w:rPr>
          <w:rFonts w:ascii="Georgia" w:hAnsi="Georgia"/>
          <w:color w:val="231F20"/>
          <w:spacing w:val="-13"/>
        </w:rPr>
        <w:t> </w:t>
      </w:r>
      <w:r>
        <w:rPr>
          <w:rFonts w:ascii="Georgia" w:hAnsi="Georgia"/>
          <w:color w:val="231F20"/>
          <w:spacing w:val="4"/>
        </w:rPr>
        <w:t>como</w:t>
      </w:r>
      <w:r>
        <w:rPr>
          <w:rFonts w:ascii="Georgia" w:hAnsi="Georgia"/>
          <w:color w:val="231F20"/>
          <w:spacing w:val="-12"/>
        </w:rPr>
        <w:t> </w:t>
      </w:r>
      <w:r>
        <w:rPr>
          <w:rFonts w:ascii="Georgia" w:hAnsi="Georgia"/>
          <w:color w:val="231F20"/>
        </w:rPr>
        <w:t>lo</w:t>
      </w:r>
      <w:r>
        <w:rPr>
          <w:rFonts w:ascii="Georgia" w:hAnsi="Georgia"/>
          <w:color w:val="231F20"/>
          <w:spacing w:val="-12"/>
        </w:rPr>
        <w:t> </w:t>
      </w:r>
      <w:r>
        <w:rPr>
          <w:rFonts w:ascii="Georgia" w:hAnsi="Georgia"/>
          <w:color w:val="231F20"/>
          <w:spacing w:val="4"/>
        </w:rPr>
        <w:t>hice,</w:t>
      </w:r>
      <w:r>
        <w:rPr>
          <w:rFonts w:ascii="Georgia" w:hAnsi="Georgia"/>
          <w:color w:val="231F20"/>
          <w:spacing w:val="-13"/>
        </w:rPr>
        <w:t> </w:t>
      </w:r>
      <w:r>
        <w:rPr>
          <w:rFonts w:ascii="Georgia" w:hAnsi="Georgia"/>
          <w:color w:val="231F20"/>
        </w:rPr>
        <w:t>la</w:t>
      </w:r>
      <w:r>
        <w:rPr>
          <w:rFonts w:ascii="Georgia" w:hAnsi="Georgia"/>
          <w:color w:val="231F20"/>
          <w:spacing w:val="-13"/>
        </w:rPr>
        <w:t> </w:t>
      </w:r>
      <w:r>
        <w:rPr>
          <w:rFonts w:ascii="Georgia" w:hAnsi="Georgia"/>
          <w:color w:val="231F20"/>
          <w:spacing w:val="4"/>
        </w:rPr>
        <w:t>prueba</w:t>
      </w:r>
      <w:r>
        <w:rPr>
          <w:rFonts w:ascii="Georgia" w:hAnsi="Georgia"/>
          <w:color w:val="231F20"/>
          <w:spacing w:val="-13"/>
        </w:rPr>
        <w:t> </w:t>
      </w:r>
      <w:r>
        <w:rPr>
          <w:rFonts w:ascii="Georgia" w:hAnsi="Georgia"/>
          <w:color w:val="231F20"/>
        </w:rPr>
        <w:t>la </w:t>
      </w:r>
      <w:r>
        <w:rPr>
          <w:rFonts w:ascii="Georgia" w:hAnsi="Georgia"/>
          <w:color w:val="231F20"/>
          <w:spacing w:val="4"/>
        </w:rPr>
        <w:t>tengo </w:t>
      </w:r>
      <w:r>
        <w:rPr>
          <w:rFonts w:ascii="Georgia" w:hAnsi="Georgia"/>
          <w:color w:val="231F20"/>
          <w:spacing w:val="2"/>
        </w:rPr>
        <w:t>en </w:t>
      </w:r>
      <w:r>
        <w:rPr>
          <w:rFonts w:ascii="Georgia" w:hAnsi="Georgia"/>
          <w:color w:val="231F20"/>
          <w:spacing w:val="3"/>
        </w:rPr>
        <w:t>que </w:t>
      </w:r>
      <w:r>
        <w:rPr>
          <w:rFonts w:ascii="Georgia" w:hAnsi="Georgia"/>
          <w:color w:val="231F20"/>
          <w:spacing w:val="2"/>
        </w:rPr>
        <w:t>no </w:t>
      </w:r>
      <w:r>
        <w:rPr>
          <w:rFonts w:ascii="Georgia" w:hAnsi="Georgia"/>
          <w:color w:val="231F20"/>
          <w:spacing w:val="4"/>
        </w:rPr>
        <w:t>hubo después </w:t>
      </w:r>
      <w:r>
        <w:rPr>
          <w:rFonts w:ascii="Georgia" w:hAnsi="Georgia"/>
          <w:color w:val="231F20"/>
          <w:spacing w:val="2"/>
        </w:rPr>
        <w:t>un </w:t>
      </w:r>
      <w:r>
        <w:rPr>
          <w:rFonts w:ascii="Georgia" w:hAnsi="Georgia"/>
          <w:color w:val="231F20"/>
          <w:spacing w:val="4"/>
        </w:rPr>
        <w:t>castigado” </w:t>
      </w:r>
      <w:r>
        <w:rPr>
          <w:rFonts w:ascii="Georgia" w:hAnsi="Georgia"/>
          <w:color w:val="231F20"/>
          <w:spacing w:val="5"/>
        </w:rPr>
        <w:t>(AHEM, </w:t>
      </w:r>
      <w:r>
        <w:rPr>
          <w:rFonts w:ascii="Georgia" w:hAnsi="Georgia"/>
          <w:color w:val="231F20"/>
          <w:spacing w:val="4"/>
        </w:rPr>
        <w:t>Fondo Educación, Sección Educación, fechas extremas </w:t>
      </w:r>
      <w:r>
        <w:rPr>
          <w:rFonts w:ascii="Georgia" w:hAnsi="Georgia"/>
          <w:color w:val="231F20"/>
          <w:spacing w:val="5"/>
        </w:rPr>
        <w:t>1937-1938, </w:t>
      </w:r>
      <w:r>
        <w:rPr>
          <w:rFonts w:ascii="Georgia" w:hAnsi="Georgia"/>
          <w:color w:val="231F20"/>
          <w:spacing w:val="4"/>
          <w:w w:val="95"/>
        </w:rPr>
        <w:t>Instituto Científico </w:t>
      </w:r>
      <w:r>
        <w:rPr>
          <w:rFonts w:ascii="Georgia" w:hAnsi="Georgia"/>
          <w:color w:val="231F20"/>
          <w:w w:val="95"/>
        </w:rPr>
        <w:t>y </w:t>
      </w:r>
      <w:r>
        <w:rPr>
          <w:rFonts w:ascii="Georgia" w:hAnsi="Georgia"/>
          <w:color w:val="231F20"/>
          <w:spacing w:val="4"/>
          <w:w w:val="95"/>
        </w:rPr>
        <w:t>Literario/Relativo </w:t>
      </w:r>
      <w:r>
        <w:rPr>
          <w:rFonts w:ascii="Georgia" w:hAnsi="Georgia"/>
          <w:color w:val="231F20"/>
          <w:w w:val="95"/>
        </w:rPr>
        <w:t>a la </w:t>
      </w:r>
      <w:r>
        <w:rPr>
          <w:rFonts w:ascii="Georgia" w:hAnsi="Georgia"/>
          <w:color w:val="231F20"/>
          <w:spacing w:val="4"/>
          <w:w w:val="95"/>
        </w:rPr>
        <w:t>huelga </w:t>
      </w:r>
      <w:r>
        <w:rPr>
          <w:rFonts w:ascii="Georgia" w:hAnsi="Georgia"/>
          <w:color w:val="231F20"/>
          <w:spacing w:val="3"/>
          <w:w w:val="95"/>
        </w:rPr>
        <w:t>de </w:t>
      </w:r>
      <w:r>
        <w:rPr>
          <w:rFonts w:ascii="Georgia" w:hAnsi="Georgia"/>
          <w:color w:val="231F20"/>
          <w:spacing w:val="4"/>
          <w:w w:val="95"/>
        </w:rPr>
        <w:t>alumnos </w:t>
      </w:r>
      <w:r>
        <w:rPr>
          <w:rFonts w:ascii="Georgia" w:hAnsi="Georgia"/>
          <w:color w:val="231F20"/>
          <w:spacing w:val="3"/>
          <w:w w:val="95"/>
        </w:rPr>
        <w:t>del</w:t>
      </w:r>
      <w:r>
        <w:rPr>
          <w:rFonts w:ascii="Georgia" w:hAnsi="Georgia"/>
          <w:color w:val="231F20"/>
          <w:spacing w:val="-16"/>
          <w:w w:val="95"/>
        </w:rPr>
        <w:t> </w:t>
      </w:r>
      <w:r>
        <w:rPr>
          <w:rFonts w:ascii="Georgia" w:hAnsi="Georgia"/>
          <w:color w:val="231F20"/>
          <w:spacing w:val="4"/>
          <w:w w:val="95"/>
        </w:rPr>
        <w:t>Plantel,</w:t>
      </w:r>
      <w:r>
        <w:rPr>
          <w:rFonts w:ascii="Georgia" w:hAnsi="Georgia"/>
          <w:color w:val="231F20"/>
          <w:spacing w:val="-16"/>
          <w:w w:val="95"/>
        </w:rPr>
        <w:t> </w:t>
      </w:r>
      <w:r>
        <w:rPr>
          <w:rFonts w:ascii="Georgia" w:hAnsi="Georgia"/>
          <w:color w:val="231F20"/>
          <w:spacing w:val="4"/>
          <w:w w:val="95"/>
        </w:rPr>
        <w:t>Toluca,</w:t>
      </w:r>
      <w:r>
        <w:rPr>
          <w:rFonts w:ascii="Georgia" w:hAnsi="Georgia"/>
          <w:color w:val="231F20"/>
          <w:spacing w:val="-16"/>
          <w:w w:val="95"/>
        </w:rPr>
        <w:t> </w:t>
      </w:r>
      <w:r>
        <w:rPr>
          <w:rFonts w:ascii="Georgia" w:hAnsi="Georgia"/>
          <w:color w:val="231F20"/>
          <w:spacing w:val="3"/>
          <w:w w:val="95"/>
        </w:rPr>
        <w:t>de</w:t>
      </w:r>
      <w:r>
        <w:rPr>
          <w:rFonts w:ascii="Georgia" w:hAnsi="Georgia"/>
          <w:color w:val="231F20"/>
          <w:spacing w:val="-16"/>
          <w:w w:val="95"/>
        </w:rPr>
        <w:t> </w:t>
      </w:r>
      <w:r>
        <w:rPr>
          <w:rFonts w:ascii="Georgia" w:hAnsi="Georgia"/>
          <w:color w:val="231F20"/>
          <w:spacing w:val="3"/>
          <w:w w:val="95"/>
        </w:rPr>
        <w:t>julio</w:t>
      </w:r>
      <w:r>
        <w:rPr>
          <w:rFonts w:ascii="Georgia" w:hAnsi="Georgia"/>
          <w:color w:val="231F20"/>
          <w:spacing w:val="-16"/>
          <w:w w:val="95"/>
        </w:rPr>
        <w:t> </w:t>
      </w:r>
      <w:r>
        <w:rPr>
          <w:rFonts w:ascii="Georgia" w:hAnsi="Georgia"/>
          <w:color w:val="231F20"/>
          <w:spacing w:val="3"/>
          <w:w w:val="95"/>
        </w:rPr>
        <w:t>de</w:t>
      </w:r>
      <w:r>
        <w:rPr>
          <w:rFonts w:ascii="Georgia" w:hAnsi="Georgia"/>
          <w:color w:val="231F20"/>
          <w:spacing w:val="-16"/>
          <w:w w:val="95"/>
        </w:rPr>
        <w:t> </w:t>
      </w:r>
      <w:r>
        <w:rPr>
          <w:rFonts w:ascii="Georgia" w:hAnsi="Georgia"/>
          <w:color w:val="231F20"/>
          <w:spacing w:val="4"/>
          <w:w w:val="95"/>
        </w:rPr>
        <w:t>1938).</w:t>
      </w:r>
    </w:p>
    <w:p>
      <w:pPr>
        <w:pStyle w:val="BodyText"/>
        <w:rPr>
          <w:rFonts w:ascii="Georgia"/>
          <w:sz w:val="22"/>
        </w:rPr>
      </w:pPr>
    </w:p>
    <w:p>
      <w:pPr>
        <w:pStyle w:val="BodyText"/>
        <w:spacing w:before="9"/>
        <w:rPr>
          <w:rFonts w:ascii="Georgia"/>
        </w:rPr>
      </w:pPr>
    </w:p>
    <w:p>
      <w:pPr>
        <w:pStyle w:val="BodyText"/>
        <w:spacing w:before="1"/>
        <w:ind w:left="101"/>
        <w:jc w:val="both"/>
        <w:rPr>
          <w:rFonts w:ascii="Georgia"/>
        </w:rPr>
      </w:pPr>
      <w:r>
        <w:rPr>
          <w:rFonts w:ascii="Georgia"/>
          <w:color w:val="231F20"/>
        </w:rPr>
        <w:t>REFLEXIONES FINALES</w:t>
      </w:r>
    </w:p>
    <w:p>
      <w:pPr>
        <w:pStyle w:val="BodyText"/>
        <w:spacing w:before="7"/>
        <w:rPr>
          <w:rFonts w:ascii="Georgia"/>
        </w:rPr>
      </w:pPr>
    </w:p>
    <w:p>
      <w:pPr>
        <w:pStyle w:val="BodyText"/>
        <w:spacing w:line="249" w:lineRule="auto"/>
        <w:ind w:left="101" w:right="115"/>
        <w:jc w:val="both"/>
        <w:rPr>
          <w:rFonts w:ascii="Georgia" w:hAnsi="Georgia"/>
        </w:rPr>
      </w:pPr>
      <w:r>
        <w:rPr>
          <w:rFonts w:ascii="Georgia" w:hAnsi="Georgia"/>
          <w:color w:val="231F20"/>
          <w:w w:val="95"/>
        </w:rPr>
        <w:t>En</w:t>
      </w:r>
      <w:r>
        <w:rPr>
          <w:rFonts w:ascii="Georgia" w:hAnsi="Georgia"/>
          <w:color w:val="231F20"/>
          <w:spacing w:val="-6"/>
          <w:w w:val="95"/>
        </w:rPr>
        <w:t> </w:t>
      </w:r>
      <w:r>
        <w:rPr>
          <w:rFonts w:ascii="Georgia" w:hAnsi="Georgia"/>
          <w:color w:val="231F20"/>
          <w:w w:val="95"/>
        </w:rPr>
        <w:t>este</w:t>
      </w:r>
      <w:r>
        <w:rPr>
          <w:rFonts w:ascii="Georgia" w:hAnsi="Georgia"/>
          <w:color w:val="231F20"/>
          <w:spacing w:val="-6"/>
          <w:w w:val="95"/>
        </w:rPr>
        <w:t> </w:t>
      </w:r>
      <w:r>
        <w:rPr>
          <w:rFonts w:ascii="Georgia" w:hAnsi="Georgia"/>
          <w:color w:val="231F20"/>
          <w:w w:val="95"/>
        </w:rPr>
        <w:t>texto</w:t>
      </w:r>
      <w:r>
        <w:rPr>
          <w:rFonts w:ascii="Georgia" w:hAnsi="Georgia"/>
          <w:color w:val="231F20"/>
          <w:spacing w:val="-6"/>
          <w:w w:val="95"/>
        </w:rPr>
        <w:t> </w:t>
      </w:r>
      <w:r>
        <w:rPr>
          <w:rFonts w:ascii="Georgia" w:hAnsi="Georgia"/>
          <w:color w:val="231F20"/>
          <w:w w:val="95"/>
        </w:rPr>
        <w:t>se</w:t>
      </w:r>
      <w:r>
        <w:rPr>
          <w:rFonts w:ascii="Georgia" w:hAnsi="Georgia"/>
          <w:color w:val="231F20"/>
          <w:spacing w:val="-6"/>
          <w:w w:val="95"/>
        </w:rPr>
        <w:t> </w:t>
      </w:r>
      <w:r>
        <w:rPr>
          <w:rFonts w:ascii="Georgia" w:hAnsi="Georgia"/>
          <w:color w:val="231F20"/>
          <w:w w:val="95"/>
        </w:rPr>
        <w:t>examinaron</w:t>
      </w:r>
      <w:r>
        <w:rPr>
          <w:rFonts w:ascii="Georgia" w:hAnsi="Georgia"/>
          <w:color w:val="231F20"/>
          <w:spacing w:val="-6"/>
          <w:w w:val="95"/>
        </w:rPr>
        <w:t> </w:t>
      </w:r>
      <w:r>
        <w:rPr>
          <w:rFonts w:ascii="Georgia" w:hAnsi="Georgia"/>
          <w:color w:val="231F20"/>
          <w:w w:val="95"/>
        </w:rPr>
        <w:t>algunas</w:t>
      </w:r>
      <w:r>
        <w:rPr>
          <w:rFonts w:ascii="Georgia" w:hAnsi="Georgia"/>
          <w:color w:val="231F20"/>
          <w:spacing w:val="-6"/>
          <w:w w:val="95"/>
        </w:rPr>
        <w:t> </w:t>
      </w:r>
      <w:r>
        <w:rPr>
          <w:rFonts w:ascii="Georgia" w:hAnsi="Georgia"/>
          <w:color w:val="231F20"/>
          <w:w w:val="95"/>
        </w:rPr>
        <w:t>facetas</w:t>
      </w:r>
      <w:r>
        <w:rPr>
          <w:rFonts w:ascii="Georgia" w:hAnsi="Georgia"/>
          <w:color w:val="231F20"/>
          <w:spacing w:val="-6"/>
          <w:w w:val="95"/>
        </w:rPr>
        <w:t> </w:t>
      </w:r>
      <w:r>
        <w:rPr>
          <w:rFonts w:ascii="Georgia" w:hAnsi="Georgia"/>
          <w:color w:val="231F20"/>
          <w:w w:val="95"/>
        </w:rPr>
        <w:t>que</w:t>
      </w:r>
      <w:r>
        <w:rPr>
          <w:rFonts w:ascii="Georgia" w:hAnsi="Georgia"/>
          <w:color w:val="231F20"/>
          <w:spacing w:val="-6"/>
          <w:w w:val="95"/>
        </w:rPr>
        <w:t> </w:t>
      </w:r>
      <w:r>
        <w:rPr>
          <w:rFonts w:ascii="Georgia" w:hAnsi="Georgia"/>
          <w:color w:val="231F20"/>
          <w:w w:val="95"/>
        </w:rPr>
        <w:t>pueden</w:t>
      </w:r>
      <w:r>
        <w:rPr>
          <w:rFonts w:ascii="Georgia" w:hAnsi="Georgia"/>
          <w:color w:val="231F20"/>
          <w:spacing w:val="-6"/>
          <w:w w:val="95"/>
        </w:rPr>
        <w:t> </w:t>
      </w:r>
      <w:r>
        <w:rPr>
          <w:rFonts w:ascii="Georgia" w:hAnsi="Georgia"/>
          <w:color w:val="231F20"/>
          <w:w w:val="95"/>
        </w:rPr>
        <w:t>caracteri- zarse</w:t>
      </w:r>
      <w:r>
        <w:rPr>
          <w:rFonts w:ascii="Georgia" w:hAnsi="Georgia"/>
          <w:color w:val="231F20"/>
          <w:spacing w:val="-9"/>
          <w:w w:val="95"/>
        </w:rPr>
        <w:t> </w:t>
      </w:r>
      <w:r>
        <w:rPr>
          <w:rFonts w:ascii="Georgia" w:hAnsi="Georgia"/>
          <w:color w:val="231F20"/>
          <w:w w:val="95"/>
        </w:rPr>
        <w:t>como</w:t>
      </w:r>
      <w:r>
        <w:rPr>
          <w:rFonts w:ascii="Georgia" w:hAnsi="Georgia"/>
          <w:color w:val="231F20"/>
          <w:spacing w:val="-9"/>
          <w:w w:val="95"/>
        </w:rPr>
        <w:t> </w:t>
      </w:r>
      <w:r>
        <w:rPr>
          <w:rFonts w:ascii="Georgia" w:hAnsi="Georgia"/>
          <w:color w:val="231F20"/>
          <w:w w:val="95"/>
        </w:rPr>
        <w:t>modos</w:t>
      </w:r>
      <w:r>
        <w:rPr>
          <w:rFonts w:ascii="Georgia" w:hAnsi="Georgia"/>
          <w:color w:val="231F20"/>
          <w:spacing w:val="-10"/>
          <w:w w:val="95"/>
        </w:rPr>
        <w:t> </w:t>
      </w:r>
      <w:r>
        <w:rPr>
          <w:rFonts w:ascii="Georgia" w:hAnsi="Georgia"/>
          <w:color w:val="231F20"/>
          <w:w w:val="95"/>
        </w:rPr>
        <w:t>de</w:t>
      </w:r>
      <w:r>
        <w:rPr>
          <w:rFonts w:ascii="Georgia" w:hAnsi="Georgia"/>
          <w:color w:val="231F20"/>
          <w:spacing w:val="-9"/>
          <w:w w:val="95"/>
        </w:rPr>
        <w:t> </w:t>
      </w:r>
      <w:r>
        <w:rPr>
          <w:rFonts w:ascii="Georgia" w:hAnsi="Georgia"/>
          <w:color w:val="231F20"/>
          <w:w w:val="95"/>
        </w:rPr>
        <w:t>violencia</w:t>
      </w:r>
      <w:r>
        <w:rPr>
          <w:rFonts w:ascii="Georgia" w:hAnsi="Georgia"/>
          <w:color w:val="231F20"/>
          <w:spacing w:val="-9"/>
          <w:w w:val="95"/>
        </w:rPr>
        <w:t> </w:t>
      </w:r>
      <w:r>
        <w:rPr>
          <w:rFonts w:ascii="Georgia" w:hAnsi="Georgia"/>
          <w:color w:val="231F20"/>
          <w:w w:val="95"/>
        </w:rPr>
        <w:t>escolar.</w:t>
      </w:r>
      <w:r>
        <w:rPr>
          <w:rFonts w:ascii="Georgia" w:hAnsi="Georgia"/>
          <w:color w:val="231F20"/>
          <w:spacing w:val="-10"/>
          <w:w w:val="95"/>
        </w:rPr>
        <w:t> </w:t>
      </w:r>
      <w:r>
        <w:rPr>
          <w:rFonts w:ascii="Georgia" w:hAnsi="Georgia"/>
          <w:color w:val="231F20"/>
          <w:w w:val="95"/>
        </w:rPr>
        <w:t>Para</w:t>
      </w:r>
      <w:r>
        <w:rPr>
          <w:rFonts w:ascii="Georgia" w:hAnsi="Georgia"/>
          <w:color w:val="231F20"/>
          <w:spacing w:val="-9"/>
          <w:w w:val="95"/>
        </w:rPr>
        <w:t> </w:t>
      </w:r>
      <w:r>
        <w:rPr>
          <w:rFonts w:ascii="Georgia" w:hAnsi="Georgia"/>
          <w:color w:val="231F20"/>
          <w:w w:val="95"/>
        </w:rPr>
        <w:t>ello</w:t>
      </w:r>
      <w:r>
        <w:rPr>
          <w:rFonts w:ascii="Georgia" w:hAnsi="Georgia"/>
          <w:color w:val="231F20"/>
          <w:spacing w:val="-9"/>
          <w:w w:val="95"/>
        </w:rPr>
        <w:t> </w:t>
      </w:r>
      <w:r>
        <w:rPr>
          <w:rFonts w:ascii="Georgia" w:hAnsi="Georgia"/>
          <w:color w:val="231F20"/>
          <w:w w:val="95"/>
        </w:rPr>
        <w:t>se</w:t>
      </w:r>
      <w:r>
        <w:rPr>
          <w:rFonts w:ascii="Georgia" w:hAnsi="Georgia"/>
          <w:color w:val="231F20"/>
          <w:spacing w:val="-9"/>
          <w:w w:val="95"/>
        </w:rPr>
        <w:t> </w:t>
      </w:r>
      <w:r>
        <w:rPr>
          <w:rFonts w:ascii="Georgia" w:hAnsi="Georgia"/>
          <w:color w:val="231F20"/>
          <w:w w:val="95"/>
        </w:rPr>
        <w:t>revisaron</w:t>
      </w:r>
      <w:r>
        <w:rPr>
          <w:rFonts w:ascii="Georgia" w:hAnsi="Georgia"/>
          <w:color w:val="231F20"/>
          <w:spacing w:val="-9"/>
          <w:w w:val="95"/>
        </w:rPr>
        <w:t> </w:t>
      </w:r>
      <w:r>
        <w:rPr>
          <w:rFonts w:ascii="Georgia" w:hAnsi="Georgia"/>
          <w:color w:val="231F20"/>
          <w:w w:val="95"/>
        </w:rPr>
        <w:t>algu- nas</w:t>
      </w:r>
      <w:r>
        <w:rPr>
          <w:rFonts w:ascii="Georgia" w:hAnsi="Georgia"/>
          <w:color w:val="231F20"/>
          <w:spacing w:val="-13"/>
          <w:w w:val="95"/>
        </w:rPr>
        <w:t> </w:t>
      </w:r>
      <w:r>
        <w:rPr>
          <w:rFonts w:ascii="Georgia" w:hAnsi="Georgia"/>
          <w:color w:val="231F20"/>
          <w:w w:val="95"/>
        </w:rPr>
        <w:t>definiciones</w:t>
      </w:r>
      <w:r>
        <w:rPr>
          <w:rFonts w:ascii="Georgia" w:hAnsi="Georgia"/>
          <w:color w:val="231F20"/>
          <w:spacing w:val="-13"/>
          <w:w w:val="95"/>
        </w:rPr>
        <w:t> </w:t>
      </w:r>
      <w:r>
        <w:rPr>
          <w:rFonts w:ascii="Georgia" w:hAnsi="Georgia"/>
          <w:color w:val="231F20"/>
          <w:w w:val="95"/>
        </w:rPr>
        <w:t>de</w:t>
      </w:r>
      <w:r>
        <w:rPr>
          <w:rFonts w:ascii="Georgia" w:hAnsi="Georgia"/>
          <w:color w:val="231F20"/>
          <w:spacing w:val="-13"/>
          <w:w w:val="95"/>
        </w:rPr>
        <w:t> </w:t>
      </w:r>
      <w:r>
        <w:rPr>
          <w:rFonts w:ascii="Georgia" w:hAnsi="Georgia"/>
          <w:color w:val="231F20"/>
          <w:w w:val="95"/>
        </w:rPr>
        <w:t>esta,</w:t>
      </w:r>
      <w:r>
        <w:rPr>
          <w:rFonts w:ascii="Georgia" w:hAnsi="Georgia"/>
          <w:color w:val="231F20"/>
          <w:spacing w:val="-13"/>
          <w:w w:val="95"/>
        </w:rPr>
        <w:t> </w:t>
      </w:r>
      <w:r>
        <w:rPr>
          <w:rFonts w:ascii="Georgia" w:hAnsi="Georgia"/>
          <w:color w:val="231F20"/>
          <w:w w:val="95"/>
        </w:rPr>
        <w:t>las</w:t>
      </w:r>
      <w:r>
        <w:rPr>
          <w:rFonts w:ascii="Georgia" w:hAnsi="Georgia"/>
          <w:color w:val="231F20"/>
          <w:spacing w:val="-13"/>
          <w:w w:val="95"/>
        </w:rPr>
        <w:t> </w:t>
      </w:r>
      <w:r>
        <w:rPr>
          <w:rFonts w:ascii="Georgia" w:hAnsi="Georgia"/>
          <w:color w:val="231F20"/>
          <w:w w:val="95"/>
        </w:rPr>
        <w:t>cuales</w:t>
      </w:r>
      <w:r>
        <w:rPr>
          <w:rFonts w:ascii="Georgia" w:hAnsi="Georgia"/>
          <w:color w:val="231F20"/>
          <w:spacing w:val="-13"/>
          <w:w w:val="95"/>
        </w:rPr>
        <w:t> </w:t>
      </w:r>
      <w:r>
        <w:rPr>
          <w:rFonts w:ascii="Georgia" w:hAnsi="Georgia"/>
          <w:color w:val="231F20"/>
          <w:w w:val="95"/>
        </w:rPr>
        <w:t>permiten</w:t>
      </w:r>
      <w:r>
        <w:rPr>
          <w:rFonts w:ascii="Georgia" w:hAnsi="Georgia"/>
          <w:color w:val="231F20"/>
          <w:spacing w:val="-13"/>
          <w:w w:val="95"/>
        </w:rPr>
        <w:t> </w:t>
      </w:r>
      <w:r>
        <w:rPr>
          <w:rFonts w:ascii="Georgia" w:hAnsi="Georgia"/>
          <w:color w:val="231F20"/>
          <w:w w:val="95"/>
        </w:rPr>
        <w:t>visibilizar</w:t>
      </w:r>
      <w:r>
        <w:rPr>
          <w:rFonts w:ascii="Georgia" w:hAnsi="Georgia"/>
          <w:color w:val="231F20"/>
          <w:spacing w:val="-13"/>
          <w:w w:val="95"/>
        </w:rPr>
        <w:t> </w:t>
      </w:r>
      <w:r>
        <w:rPr>
          <w:rFonts w:ascii="Georgia" w:hAnsi="Georgia"/>
          <w:color w:val="231F20"/>
          <w:w w:val="95"/>
        </w:rPr>
        <w:t>e</w:t>
      </w:r>
      <w:r>
        <w:rPr>
          <w:rFonts w:ascii="Georgia" w:hAnsi="Georgia"/>
          <w:color w:val="231F20"/>
          <w:spacing w:val="-13"/>
          <w:w w:val="95"/>
        </w:rPr>
        <w:t> </w:t>
      </w:r>
      <w:r>
        <w:rPr>
          <w:rFonts w:ascii="Georgia" w:hAnsi="Georgia"/>
          <w:color w:val="231F20"/>
          <w:w w:val="95"/>
        </w:rPr>
        <w:t>identificar diversos</w:t>
      </w:r>
      <w:r>
        <w:rPr>
          <w:rFonts w:ascii="Georgia" w:hAnsi="Georgia"/>
          <w:color w:val="231F20"/>
          <w:spacing w:val="-16"/>
          <w:w w:val="95"/>
        </w:rPr>
        <w:t> </w:t>
      </w:r>
      <w:r>
        <w:rPr>
          <w:rFonts w:ascii="Georgia" w:hAnsi="Georgia"/>
          <w:color w:val="231F20"/>
          <w:w w:val="95"/>
        </w:rPr>
        <w:t>niveles</w:t>
      </w:r>
      <w:r>
        <w:rPr>
          <w:rFonts w:ascii="Georgia" w:hAnsi="Georgia"/>
          <w:color w:val="231F20"/>
          <w:spacing w:val="-16"/>
          <w:w w:val="95"/>
        </w:rPr>
        <w:t> </w:t>
      </w:r>
      <w:r>
        <w:rPr>
          <w:rFonts w:ascii="Georgia" w:hAnsi="Georgia"/>
          <w:color w:val="231F20"/>
          <w:w w:val="95"/>
        </w:rPr>
        <w:t>teóricos</w:t>
      </w:r>
      <w:r>
        <w:rPr>
          <w:rFonts w:ascii="Georgia" w:hAnsi="Georgia"/>
          <w:color w:val="231F20"/>
          <w:spacing w:val="-16"/>
          <w:w w:val="95"/>
        </w:rPr>
        <w:t> </w:t>
      </w:r>
      <w:r>
        <w:rPr>
          <w:rFonts w:ascii="Georgia" w:hAnsi="Georgia"/>
          <w:color w:val="231F20"/>
          <w:w w:val="95"/>
        </w:rPr>
        <w:t>y</w:t>
      </w:r>
      <w:r>
        <w:rPr>
          <w:rFonts w:ascii="Georgia" w:hAnsi="Georgia"/>
          <w:color w:val="231F20"/>
          <w:spacing w:val="-16"/>
          <w:w w:val="95"/>
        </w:rPr>
        <w:t> </w:t>
      </w:r>
      <w:r>
        <w:rPr>
          <w:rFonts w:ascii="Georgia" w:hAnsi="Georgia"/>
          <w:color w:val="231F20"/>
          <w:w w:val="95"/>
        </w:rPr>
        <w:t>metodológicos,</w:t>
      </w:r>
      <w:r>
        <w:rPr>
          <w:rFonts w:ascii="Georgia" w:hAnsi="Georgia"/>
          <w:color w:val="231F20"/>
          <w:spacing w:val="-17"/>
          <w:w w:val="95"/>
        </w:rPr>
        <w:t> </w:t>
      </w:r>
      <w:r>
        <w:rPr>
          <w:rFonts w:ascii="Georgia" w:hAnsi="Georgia"/>
          <w:color w:val="231F20"/>
          <w:w w:val="95"/>
        </w:rPr>
        <w:t>así</w:t>
      </w:r>
      <w:r>
        <w:rPr>
          <w:rFonts w:ascii="Georgia" w:hAnsi="Georgia"/>
          <w:color w:val="231F20"/>
          <w:spacing w:val="-16"/>
          <w:w w:val="95"/>
        </w:rPr>
        <w:t> </w:t>
      </w:r>
      <w:r>
        <w:rPr>
          <w:rFonts w:ascii="Georgia" w:hAnsi="Georgia"/>
          <w:color w:val="231F20"/>
          <w:w w:val="95"/>
        </w:rPr>
        <w:t>como</w:t>
      </w:r>
      <w:r>
        <w:rPr>
          <w:rFonts w:ascii="Georgia" w:hAnsi="Georgia"/>
          <w:color w:val="231F20"/>
          <w:spacing w:val="-16"/>
          <w:w w:val="95"/>
        </w:rPr>
        <w:t> </w:t>
      </w:r>
      <w:r>
        <w:rPr>
          <w:rFonts w:ascii="Georgia" w:hAnsi="Georgia"/>
          <w:color w:val="231F20"/>
          <w:w w:val="95"/>
        </w:rPr>
        <w:t>distintas</w:t>
      </w:r>
      <w:r>
        <w:rPr>
          <w:rFonts w:ascii="Georgia" w:hAnsi="Georgia"/>
          <w:color w:val="231F20"/>
          <w:spacing w:val="-16"/>
          <w:w w:val="95"/>
        </w:rPr>
        <w:t> </w:t>
      </w:r>
      <w:r>
        <w:rPr>
          <w:rFonts w:ascii="Georgia" w:hAnsi="Georgia"/>
          <w:color w:val="231F20"/>
          <w:w w:val="95"/>
        </w:rPr>
        <w:t>mani-</w:t>
      </w:r>
    </w:p>
    <w:p>
      <w:pPr>
        <w:spacing w:after="0" w:line="249" w:lineRule="auto"/>
        <w:jc w:val="both"/>
        <w:rPr>
          <w:rFonts w:ascii="Georgia" w:hAnsi="Georgia"/>
        </w:rPr>
        <w:sectPr>
          <w:headerReference w:type="default" r:id="rId308"/>
          <w:footerReference w:type="default" r:id="rId309"/>
          <w:pgSz w:w="7830" w:h="11910"/>
          <w:pgMar w:header="0" w:footer="424" w:top="500" w:bottom="620" w:left="920" w:right="900"/>
          <w:pgNumType w:start="14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1" w:right="114"/>
        <w:jc w:val="both"/>
      </w:pPr>
      <w:r>
        <w:rPr>
          <w:color w:val="231F20"/>
        </w:rPr>
        <w:t>festaciones y problemas que se involucran en su estudio. En gene- ral, existe un consenso en torno a que la violencia escolar debe enmarcarse en su propia historicidad, esto es, en su connotación según sus tiempos y espacios específicos. De este modo, se consi- dera que la violencia en general es una construcción cultural en la medida en que ideas y actitudes, valores y comportamientos que se consideran inherentes en los procesos enseñanza y aprendizaje y de convivencia social, inherentes en ciertas circunstancias; en otras son estimadas como formas de agresión que rebasan el ámbito de lo permisible, porque atentan contra la institución educativa y sus actores, por ejemplo. A este respecto, cabe aclarar que los concep- tos y descripciones de la violencia escolar, como modelos de com- prensión y explicación de la realidad educativa, contribuyen a escla- recer procesos, estructuras y actores en tanto prácticas discursivas y prácticas sociales. De ahí su utilidad. Por su parte, la indagación histórica permite enriquecerlos al relativizar sus hallazgos, sus tesis  y conceptos; también porque los hace inteligibles en su conforma- ción. En otras palabras, en este trabajo se recuperan ideas, concep- tos y niveles analíticos que, desde mi punto de vista, son pertinentes para comprender e interpretar el pasado educativo,  en  particular para el análisis de representaciones, usos, ejercicios y espacios en  los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despliega</w:t>
      </w:r>
      <w:r>
        <w:rPr>
          <w:color w:val="231F20"/>
          <w:spacing w:val="-11"/>
        </w:rPr>
        <w:t> </w:t>
      </w:r>
      <w:r>
        <w:rPr>
          <w:color w:val="231F20"/>
        </w:rPr>
        <w:t>la</w:t>
      </w:r>
      <w:r>
        <w:rPr>
          <w:color w:val="231F20"/>
          <w:spacing w:val="-11"/>
        </w:rPr>
        <w:t> </w:t>
      </w:r>
      <w:r>
        <w:rPr>
          <w:color w:val="231F20"/>
        </w:rPr>
        <w:t>violencia</w:t>
      </w:r>
      <w:r>
        <w:rPr>
          <w:color w:val="231F20"/>
          <w:spacing w:val="-11"/>
        </w:rPr>
        <w:t> </w:t>
      </w:r>
      <w:r>
        <w:rPr>
          <w:color w:val="231F20"/>
        </w:rPr>
        <w:t>escolar.</w:t>
      </w:r>
    </w:p>
    <w:p>
      <w:pPr>
        <w:pStyle w:val="BodyText"/>
        <w:spacing w:line="244" w:lineRule="auto" w:before="15"/>
        <w:ind w:left="101" w:right="114" w:firstLine="284"/>
        <w:jc w:val="both"/>
      </w:pPr>
      <w:r>
        <w:rPr>
          <w:color w:val="231F20"/>
          <w:spacing w:val="4"/>
        </w:rPr>
        <w:t>Aquí </w:t>
      </w:r>
      <w:r>
        <w:rPr>
          <w:color w:val="231F20"/>
          <w:spacing w:val="2"/>
        </w:rPr>
        <w:t>se </w:t>
      </w:r>
      <w:r>
        <w:rPr>
          <w:color w:val="231F20"/>
          <w:spacing w:val="4"/>
        </w:rPr>
        <w:t>presentaron distintos casos </w:t>
      </w:r>
      <w:r>
        <w:rPr>
          <w:color w:val="231F20"/>
          <w:spacing w:val="2"/>
        </w:rPr>
        <w:t>en </w:t>
      </w:r>
      <w:r>
        <w:rPr>
          <w:color w:val="231F20"/>
          <w:spacing w:val="3"/>
        </w:rPr>
        <w:t>los que </w:t>
      </w:r>
      <w:r>
        <w:rPr>
          <w:color w:val="231F20"/>
          <w:spacing w:val="2"/>
        </w:rPr>
        <w:t>se </w:t>
      </w:r>
      <w:r>
        <w:rPr>
          <w:color w:val="231F20"/>
          <w:spacing w:val="5"/>
        </w:rPr>
        <w:t>muestran </w:t>
      </w:r>
      <w:r>
        <w:rPr>
          <w:color w:val="231F20"/>
          <w:spacing w:val="4"/>
        </w:rPr>
        <w:t>modalidades </w:t>
      </w:r>
      <w:r>
        <w:rPr>
          <w:color w:val="231F20"/>
          <w:spacing w:val="3"/>
        </w:rPr>
        <w:t>de </w:t>
      </w:r>
      <w:r>
        <w:rPr>
          <w:color w:val="231F20"/>
          <w:spacing w:val="4"/>
        </w:rPr>
        <w:t>violencia, simbólicas </w:t>
      </w:r>
      <w:r>
        <w:rPr>
          <w:color w:val="231F20"/>
        </w:rPr>
        <w:t>y </w:t>
      </w:r>
      <w:r>
        <w:rPr>
          <w:color w:val="231F20"/>
          <w:spacing w:val="4"/>
        </w:rPr>
        <w:t>físicas, tanto legítimas como ilegítimas, entre </w:t>
      </w:r>
      <w:r>
        <w:rPr>
          <w:color w:val="231F20"/>
          <w:spacing w:val="3"/>
        </w:rPr>
        <w:t>ellas, </w:t>
      </w:r>
      <w:r>
        <w:rPr>
          <w:color w:val="231F20"/>
          <w:spacing w:val="4"/>
        </w:rPr>
        <w:t>indisciplina personal </w:t>
      </w:r>
      <w:r>
        <w:rPr>
          <w:color w:val="231F20"/>
        </w:rPr>
        <w:t>y </w:t>
      </w:r>
      <w:r>
        <w:rPr>
          <w:color w:val="231F20"/>
          <w:spacing w:val="4"/>
        </w:rPr>
        <w:t>colectiva, agresiones verbales </w:t>
      </w:r>
      <w:r>
        <w:rPr>
          <w:color w:val="231F20"/>
        </w:rPr>
        <w:t>y </w:t>
      </w:r>
      <w:r>
        <w:rPr>
          <w:color w:val="231F20"/>
          <w:spacing w:val="4"/>
        </w:rPr>
        <w:t>físicas, hasta </w:t>
      </w:r>
      <w:r>
        <w:rPr>
          <w:color w:val="231F20"/>
          <w:spacing w:val="2"/>
        </w:rPr>
        <w:t>la </w:t>
      </w:r>
      <w:r>
        <w:rPr>
          <w:color w:val="231F20"/>
          <w:spacing w:val="4"/>
        </w:rPr>
        <w:t>protesta, </w:t>
      </w:r>
      <w:r>
        <w:rPr>
          <w:color w:val="231F20"/>
          <w:spacing w:val="2"/>
        </w:rPr>
        <w:t>la </w:t>
      </w:r>
      <w:r>
        <w:rPr>
          <w:color w:val="231F20"/>
          <w:spacing w:val="4"/>
        </w:rPr>
        <w:t>rebeldía </w:t>
      </w:r>
      <w:r>
        <w:rPr>
          <w:color w:val="231F20"/>
        </w:rPr>
        <w:t>y </w:t>
      </w:r>
      <w:r>
        <w:rPr>
          <w:color w:val="231F20"/>
          <w:spacing w:val="2"/>
        </w:rPr>
        <w:t>la </w:t>
      </w:r>
      <w:r>
        <w:rPr>
          <w:color w:val="231F20"/>
          <w:spacing w:val="4"/>
        </w:rPr>
        <w:t>huelga, </w:t>
      </w:r>
      <w:r>
        <w:rPr>
          <w:color w:val="231F20"/>
          <w:spacing w:val="3"/>
        </w:rPr>
        <w:t>así </w:t>
      </w:r>
      <w:r>
        <w:rPr>
          <w:color w:val="231F20"/>
          <w:spacing w:val="4"/>
        </w:rPr>
        <w:t>como </w:t>
      </w:r>
      <w:r>
        <w:rPr>
          <w:color w:val="231F20"/>
          <w:spacing w:val="2"/>
        </w:rPr>
        <w:t>el </w:t>
      </w:r>
      <w:r>
        <w:rPr>
          <w:color w:val="231F20"/>
          <w:spacing w:val="4"/>
        </w:rPr>
        <w:t>recurso retórico </w:t>
      </w:r>
      <w:r>
        <w:rPr>
          <w:color w:val="231F20"/>
          <w:spacing w:val="3"/>
        </w:rPr>
        <w:t>del </w:t>
      </w:r>
      <w:r>
        <w:rPr>
          <w:color w:val="231F20"/>
          <w:spacing w:val="4"/>
        </w:rPr>
        <w:t>lenguaje </w:t>
      </w:r>
      <w:r>
        <w:rPr>
          <w:color w:val="231F20"/>
          <w:spacing w:val="3"/>
        </w:rPr>
        <w:t>de </w:t>
      </w:r>
      <w:r>
        <w:rPr>
          <w:color w:val="231F20"/>
        </w:rPr>
        <w:t>la </w:t>
      </w:r>
      <w:r>
        <w:rPr>
          <w:color w:val="231F20"/>
          <w:spacing w:val="4"/>
        </w:rPr>
        <w:t>violencia, por igual oral </w:t>
      </w:r>
      <w:r>
        <w:rPr>
          <w:color w:val="231F20"/>
        </w:rPr>
        <w:t>y </w:t>
      </w:r>
      <w:r>
        <w:rPr>
          <w:color w:val="231F20"/>
          <w:spacing w:val="4"/>
        </w:rPr>
        <w:t>corporal, </w:t>
      </w:r>
      <w:r>
        <w:rPr>
          <w:color w:val="231F20"/>
          <w:spacing w:val="3"/>
        </w:rPr>
        <w:t>que </w:t>
      </w:r>
      <w:r>
        <w:rPr>
          <w:color w:val="231F20"/>
          <w:spacing w:val="4"/>
        </w:rPr>
        <w:t>pusieron </w:t>
      </w:r>
      <w:r>
        <w:rPr>
          <w:color w:val="231F20"/>
          <w:spacing w:val="2"/>
        </w:rPr>
        <w:t>en </w:t>
      </w:r>
      <w:r>
        <w:rPr>
          <w:color w:val="231F20"/>
          <w:spacing w:val="4"/>
        </w:rPr>
        <w:t>entredicho </w:t>
      </w:r>
      <w:r>
        <w:rPr>
          <w:color w:val="231F20"/>
          <w:spacing w:val="2"/>
        </w:rPr>
        <w:t>la </w:t>
      </w:r>
      <w:r>
        <w:rPr>
          <w:color w:val="231F20"/>
          <w:spacing w:val="5"/>
        </w:rPr>
        <w:t>autori- </w:t>
      </w:r>
      <w:r>
        <w:rPr>
          <w:color w:val="231F20"/>
          <w:spacing w:val="4"/>
        </w:rPr>
        <w:t>dad, </w:t>
      </w:r>
      <w:r>
        <w:rPr>
          <w:color w:val="231F20"/>
          <w:spacing w:val="2"/>
        </w:rPr>
        <w:t>el </w:t>
      </w:r>
      <w:r>
        <w:rPr>
          <w:color w:val="231F20"/>
          <w:spacing w:val="5"/>
        </w:rPr>
        <w:t>monopolio, </w:t>
      </w:r>
      <w:r>
        <w:rPr>
          <w:color w:val="231F20"/>
        </w:rPr>
        <w:t>y la </w:t>
      </w:r>
      <w:r>
        <w:rPr>
          <w:color w:val="231F20"/>
          <w:spacing w:val="4"/>
        </w:rPr>
        <w:t>capacidad </w:t>
      </w:r>
      <w:r>
        <w:rPr>
          <w:color w:val="231F20"/>
          <w:spacing w:val="3"/>
        </w:rPr>
        <w:t>de </w:t>
      </w:r>
      <w:r>
        <w:rPr>
          <w:color w:val="231F20"/>
          <w:spacing w:val="2"/>
        </w:rPr>
        <w:t>su </w:t>
      </w:r>
      <w:r>
        <w:rPr>
          <w:color w:val="231F20"/>
          <w:spacing w:val="4"/>
        </w:rPr>
        <w:t>utilización tanto </w:t>
      </w:r>
      <w:r>
        <w:rPr>
          <w:color w:val="231F20"/>
          <w:spacing w:val="6"/>
        </w:rPr>
        <w:t>de </w:t>
      </w:r>
      <w:r>
        <w:rPr>
          <w:color w:val="231F20"/>
          <w:spacing w:val="4"/>
        </w:rPr>
        <w:t>agentes </w:t>
      </w:r>
      <w:r>
        <w:rPr>
          <w:color w:val="231F20"/>
          <w:spacing w:val="3"/>
        </w:rPr>
        <w:t>que </w:t>
      </w:r>
      <w:r>
        <w:rPr>
          <w:color w:val="231F20"/>
        </w:rPr>
        <w:t>la </w:t>
      </w:r>
      <w:r>
        <w:rPr>
          <w:color w:val="231F20"/>
          <w:spacing w:val="4"/>
        </w:rPr>
        <w:t>personifican como </w:t>
      </w:r>
      <w:r>
        <w:rPr>
          <w:color w:val="231F20"/>
          <w:spacing w:val="3"/>
        </w:rPr>
        <w:t>de </w:t>
      </w:r>
      <w:r>
        <w:rPr>
          <w:color w:val="231F20"/>
          <w:spacing w:val="5"/>
        </w:rPr>
        <w:t>normas </w:t>
      </w:r>
      <w:r>
        <w:rPr>
          <w:color w:val="231F20"/>
        </w:rPr>
        <w:t>y </w:t>
      </w:r>
      <w:r>
        <w:rPr>
          <w:color w:val="231F20"/>
          <w:spacing w:val="4"/>
        </w:rPr>
        <w:t>prácticas </w:t>
      </w:r>
      <w:r>
        <w:rPr>
          <w:color w:val="231F20"/>
          <w:spacing w:val="3"/>
        </w:rPr>
        <w:t>que </w:t>
      </w:r>
      <w:r>
        <w:rPr>
          <w:color w:val="231F20"/>
        </w:rPr>
        <w:t>la </w:t>
      </w:r>
      <w:r>
        <w:rPr>
          <w:color w:val="231F20"/>
          <w:spacing w:val="4"/>
        </w:rPr>
        <w:t>organizan </w:t>
      </w:r>
      <w:r>
        <w:rPr>
          <w:color w:val="231F20"/>
        </w:rPr>
        <w:t>y </w:t>
      </w:r>
      <w:r>
        <w:rPr>
          <w:color w:val="231F20"/>
          <w:spacing w:val="2"/>
        </w:rPr>
        <w:t>la </w:t>
      </w:r>
      <w:r>
        <w:rPr>
          <w:color w:val="231F20"/>
          <w:spacing w:val="4"/>
        </w:rPr>
        <w:t>regulan. </w:t>
      </w:r>
      <w:r>
        <w:rPr>
          <w:color w:val="231F20"/>
          <w:spacing w:val="2"/>
        </w:rPr>
        <w:t>Se </w:t>
      </w:r>
      <w:r>
        <w:rPr>
          <w:color w:val="231F20"/>
          <w:spacing w:val="4"/>
        </w:rPr>
        <w:t>puso especial énfasis </w:t>
      </w:r>
      <w:r>
        <w:rPr>
          <w:color w:val="231F20"/>
          <w:spacing w:val="2"/>
        </w:rPr>
        <w:t>en la </w:t>
      </w:r>
      <w:r>
        <w:rPr>
          <w:color w:val="231F20"/>
          <w:spacing w:val="4"/>
        </w:rPr>
        <w:t>descripción </w:t>
      </w:r>
      <w:r>
        <w:rPr>
          <w:color w:val="231F20"/>
        </w:rPr>
        <w:t>y </w:t>
      </w:r>
      <w:r>
        <w:rPr>
          <w:color w:val="231F20"/>
          <w:spacing w:val="2"/>
        </w:rPr>
        <w:t>el </w:t>
      </w:r>
      <w:r>
        <w:rPr>
          <w:color w:val="231F20"/>
          <w:spacing w:val="4"/>
        </w:rPr>
        <w:t>examen </w:t>
      </w:r>
      <w:r>
        <w:rPr>
          <w:color w:val="231F20"/>
          <w:spacing w:val="3"/>
        </w:rPr>
        <w:t>de </w:t>
      </w:r>
      <w:r>
        <w:rPr>
          <w:color w:val="231F20"/>
        </w:rPr>
        <w:t>la </w:t>
      </w:r>
      <w:r>
        <w:rPr>
          <w:color w:val="231F20"/>
          <w:spacing w:val="4"/>
        </w:rPr>
        <w:t>lógica discursiva por medio </w:t>
      </w:r>
      <w:r>
        <w:rPr>
          <w:color w:val="231F20"/>
          <w:spacing w:val="3"/>
        </w:rPr>
        <w:t>de </w:t>
      </w:r>
      <w:r>
        <w:rPr>
          <w:color w:val="231F20"/>
          <w:spacing w:val="4"/>
        </w:rPr>
        <w:t>narrativas </w:t>
      </w:r>
      <w:r>
        <w:rPr>
          <w:color w:val="231F20"/>
          <w:spacing w:val="6"/>
        </w:rPr>
        <w:t>que </w:t>
      </w:r>
      <w:r>
        <w:rPr>
          <w:color w:val="231F20"/>
          <w:spacing w:val="4"/>
        </w:rPr>
        <w:t>puntualizaban sujetos, actos </w:t>
      </w:r>
      <w:r>
        <w:rPr>
          <w:color w:val="231F20"/>
        </w:rPr>
        <w:t>y </w:t>
      </w:r>
      <w:r>
        <w:rPr>
          <w:color w:val="231F20"/>
          <w:spacing w:val="4"/>
        </w:rPr>
        <w:t>acciones </w:t>
      </w:r>
      <w:r>
        <w:rPr>
          <w:color w:val="231F20"/>
          <w:spacing w:val="3"/>
        </w:rPr>
        <w:t>que, </w:t>
      </w:r>
      <w:r>
        <w:rPr>
          <w:color w:val="231F20"/>
          <w:spacing w:val="4"/>
        </w:rPr>
        <w:t>desde </w:t>
      </w:r>
      <w:r>
        <w:rPr>
          <w:color w:val="231F20"/>
          <w:spacing w:val="2"/>
        </w:rPr>
        <w:t>la </w:t>
      </w:r>
      <w:r>
        <w:rPr>
          <w:color w:val="231F20"/>
          <w:spacing w:val="4"/>
        </w:rPr>
        <w:t>perspectiva </w:t>
      </w:r>
      <w:r>
        <w:rPr>
          <w:color w:val="231F20"/>
          <w:spacing w:val="3"/>
        </w:rPr>
        <w:t>de </w:t>
      </w:r>
      <w:r>
        <w:rPr>
          <w:color w:val="231F20"/>
        </w:rPr>
        <w:t>la </w:t>
      </w:r>
      <w:r>
        <w:rPr>
          <w:rFonts w:ascii="Palatino Linotype" w:hAnsi="Palatino Linotype"/>
          <w:i/>
          <w:color w:val="231F20"/>
          <w:spacing w:val="4"/>
        </w:rPr>
        <w:t>autoridad, </w:t>
      </w:r>
      <w:r>
        <w:rPr>
          <w:color w:val="231F20"/>
          <w:spacing w:val="4"/>
        </w:rPr>
        <w:t>fueron juzgadas como lesivas </w:t>
      </w:r>
      <w:r>
        <w:rPr>
          <w:color w:val="231F20"/>
        </w:rPr>
        <w:t>y </w:t>
      </w:r>
      <w:r>
        <w:rPr>
          <w:color w:val="231F20"/>
          <w:spacing w:val="4"/>
        </w:rPr>
        <w:t>altamente agresi- </w:t>
      </w:r>
      <w:r>
        <w:rPr>
          <w:color w:val="231F20"/>
          <w:spacing w:val="3"/>
        </w:rPr>
        <w:t>vas para </w:t>
      </w:r>
      <w:r>
        <w:rPr>
          <w:color w:val="231F20"/>
        </w:rPr>
        <w:t>la </w:t>
      </w:r>
      <w:r>
        <w:rPr>
          <w:color w:val="231F20"/>
          <w:spacing w:val="4"/>
        </w:rPr>
        <w:t>conservación </w:t>
      </w:r>
      <w:r>
        <w:rPr>
          <w:color w:val="231F20"/>
        </w:rPr>
        <w:t>y </w:t>
      </w:r>
      <w:r>
        <w:rPr>
          <w:color w:val="231F20"/>
          <w:spacing w:val="2"/>
        </w:rPr>
        <w:t>el </w:t>
      </w:r>
      <w:r>
        <w:rPr>
          <w:color w:val="231F20"/>
          <w:spacing w:val="4"/>
        </w:rPr>
        <w:t>orden escolar. </w:t>
      </w:r>
      <w:r>
        <w:rPr>
          <w:color w:val="231F20"/>
          <w:spacing w:val="3"/>
        </w:rPr>
        <w:t>De ahí los </w:t>
      </w:r>
      <w:r>
        <w:rPr>
          <w:color w:val="231F20"/>
          <w:spacing w:val="6"/>
        </w:rPr>
        <w:t>momen-</w:t>
      </w:r>
      <w:r>
        <w:rPr>
          <w:color w:val="231F20"/>
          <w:spacing w:val="64"/>
        </w:rPr>
        <w:t> </w:t>
      </w:r>
      <w:r>
        <w:rPr>
          <w:color w:val="231F20"/>
          <w:spacing w:val="3"/>
        </w:rPr>
        <w:t>tos </w:t>
      </w:r>
      <w:r>
        <w:rPr>
          <w:color w:val="231F20"/>
        </w:rPr>
        <w:t>y </w:t>
      </w:r>
      <w:r>
        <w:rPr>
          <w:color w:val="231F20"/>
          <w:spacing w:val="3"/>
        </w:rPr>
        <w:t>los </w:t>
      </w:r>
      <w:r>
        <w:rPr>
          <w:color w:val="231F20"/>
          <w:spacing w:val="4"/>
        </w:rPr>
        <w:t>ámbitos </w:t>
      </w:r>
      <w:r>
        <w:rPr>
          <w:color w:val="231F20"/>
          <w:spacing w:val="2"/>
        </w:rPr>
        <w:t>en </w:t>
      </w:r>
      <w:r>
        <w:rPr>
          <w:color w:val="231F20"/>
          <w:spacing w:val="3"/>
        </w:rPr>
        <w:t>los que </w:t>
      </w:r>
      <w:r>
        <w:rPr>
          <w:color w:val="231F20"/>
          <w:spacing w:val="4"/>
        </w:rPr>
        <w:t>fluctuó </w:t>
      </w:r>
      <w:r>
        <w:rPr>
          <w:color w:val="231F20"/>
          <w:spacing w:val="2"/>
        </w:rPr>
        <w:t>el </w:t>
      </w:r>
      <w:r>
        <w:rPr>
          <w:color w:val="231F20"/>
          <w:spacing w:val="4"/>
        </w:rPr>
        <w:t>lenguaje </w:t>
      </w:r>
      <w:r>
        <w:rPr>
          <w:color w:val="231F20"/>
          <w:spacing w:val="2"/>
        </w:rPr>
        <w:t>de </w:t>
      </w:r>
      <w:r>
        <w:rPr>
          <w:color w:val="231F20"/>
        </w:rPr>
        <w:t>la </w:t>
      </w:r>
      <w:r>
        <w:rPr>
          <w:color w:val="231F20"/>
          <w:spacing w:val="4"/>
        </w:rPr>
        <w:t>estridencia    </w:t>
      </w:r>
      <w:r>
        <w:rPr>
          <w:color w:val="231F20"/>
        </w:rPr>
        <w:t>y </w:t>
      </w:r>
      <w:r>
        <w:rPr>
          <w:color w:val="231F20"/>
          <w:spacing w:val="2"/>
        </w:rPr>
        <w:t>el </w:t>
      </w:r>
      <w:r>
        <w:rPr>
          <w:color w:val="231F20"/>
          <w:spacing w:val="4"/>
        </w:rPr>
        <w:t>lenguaje </w:t>
      </w:r>
      <w:r>
        <w:rPr>
          <w:color w:val="231F20"/>
          <w:spacing w:val="3"/>
        </w:rPr>
        <w:t>de </w:t>
      </w:r>
      <w:r>
        <w:rPr>
          <w:color w:val="231F20"/>
        </w:rPr>
        <w:t>la </w:t>
      </w:r>
      <w:r>
        <w:rPr>
          <w:color w:val="231F20"/>
          <w:spacing w:val="4"/>
        </w:rPr>
        <w:t>mesura, </w:t>
      </w:r>
      <w:r>
        <w:rPr>
          <w:color w:val="231F20"/>
          <w:spacing w:val="3"/>
        </w:rPr>
        <w:t>del </w:t>
      </w:r>
      <w:r>
        <w:rPr>
          <w:color w:val="231F20"/>
          <w:spacing w:val="4"/>
        </w:rPr>
        <w:t>conflicto </w:t>
      </w:r>
      <w:r>
        <w:rPr>
          <w:color w:val="231F20"/>
        </w:rPr>
        <w:t>a la </w:t>
      </w:r>
      <w:r>
        <w:rPr>
          <w:color w:val="231F20"/>
          <w:spacing w:val="4"/>
        </w:rPr>
        <w:t>conciliación, </w:t>
      </w:r>
      <w:r>
        <w:rPr>
          <w:color w:val="231F20"/>
          <w:spacing w:val="3"/>
        </w:rPr>
        <w:t>del </w:t>
      </w:r>
      <w:r>
        <w:rPr>
          <w:color w:val="231F20"/>
          <w:spacing w:val="4"/>
        </w:rPr>
        <w:t>cuestionamiento </w:t>
      </w:r>
      <w:r>
        <w:rPr>
          <w:color w:val="231F20"/>
          <w:spacing w:val="3"/>
        </w:rPr>
        <w:t>de </w:t>
      </w:r>
      <w:r>
        <w:rPr>
          <w:color w:val="231F20"/>
        </w:rPr>
        <w:t>la </w:t>
      </w:r>
      <w:r>
        <w:rPr>
          <w:color w:val="231F20"/>
          <w:spacing w:val="4"/>
        </w:rPr>
        <w:t>institución educativa </w:t>
      </w:r>
      <w:r>
        <w:rPr>
          <w:color w:val="231F20"/>
        </w:rPr>
        <w:t>a </w:t>
      </w:r>
      <w:r>
        <w:rPr>
          <w:color w:val="231F20"/>
          <w:spacing w:val="2"/>
        </w:rPr>
        <w:t>la </w:t>
      </w:r>
      <w:r>
        <w:rPr>
          <w:color w:val="231F20"/>
          <w:spacing w:val="4"/>
        </w:rPr>
        <w:t>reforma </w:t>
      </w:r>
      <w:r>
        <w:rPr>
          <w:color w:val="231F20"/>
          <w:spacing w:val="3"/>
        </w:rPr>
        <w:t>del </w:t>
      </w:r>
      <w:r>
        <w:rPr>
          <w:color w:val="231F20"/>
          <w:spacing w:val="5"/>
        </w:rPr>
        <w:t>dis- </w:t>
      </w:r>
      <w:r>
        <w:rPr>
          <w:color w:val="231F20"/>
          <w:spacing w:val="4"/>
        </w:rPr>
        <w:t>positivo institucional, </w:t>
      </w:r>
      <w:r>
        <w:rPr>
          <w:color w:val="231F20"/>
          <w:spacing w:val="3"/>
        </w:rPr>
        <w:t>de las </w:t>
      </w:r>
      <w:r>
        <w:rPr>
          <w:color w:val="231F20"/>
          <w:spacing w:val="4"/>
        </w:rPr>
        <w:t>sanciones </w:t>
      </w:r>
      <w:r>
        <w:rPr>
          <w:color w:val="231F20"/>
        </w:rPr>
        <w:t>a </w:t>
      </w:r>
      <w:r>
        <w:rPr>
          <w:color w:val="231F20"/>
          <w:spacing w:val="3"/>
        </w:rPr>
        <w:t>los </w:t>
      </w:r>
      <w:r>
        <w:rPr>
          <w:color w:val="231F20"/>
          <w:spacing w:val="4"/>
        </w:rPr>
        <w:t>arreglos </w:t>
      </w:r>
      <w:r>
        <w:rPr>
          <w:color w:val="231F20"/>
        </w:rPr>
        <w:t>y </w:t>
      </w:r>
      <w:r>
        <w:rPr>
          <w:color w:val="231F20"/>
          <w:spacing w:val="3"/>
        </w:rPr>
        <w:t>ala</w:t>
      </w:r>
      <w:r>
        <w:rPr>
          <w:color w:val="231F20"/>
          <w:spacing w:val="8"/>
        </w:rPr>
        <w:t> </w:t>
      </w:r>
      <w:r>
        <w:rPr>
          <w:color w:val="231F20"/>
          <w:spacing w:val="4"/>
        </w:rPr>
        <w:t>delimi-</w:t>
      </w:r>
    </w:p>
    <w:p>
      <w:pPr>
        <w:spacing w:after="0" w:line="244" w:lineRule="auto"/>
        <w:jc w:val="both"/>
        <w:sectPr>
          <w:headerReference w:type="default" r:id="rId310"/>
          <w:footerReference w:type="default" r:id="rId311"/>
          <w:pgSz w:w="7830" w:h="11910"/>
          <w:pgMar w:header="0" w:footer="424" w:top="500" w:bottom="620" w:left="920" w:right="900"/>
          <w:pgNumType w:start="144"/>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5"/>
        <w:jc w:val="both"/>
      </w:pPr>
      <w:r>
        <w:rPr>
          <w:color w:val="231F20"/>
        </w:rPr>
        <w:t>tación y a lafunción de las prácticas de la violencia, de su signifi- cado, como un producto del conflicto y aún de la violencia esco- lar. En suma, las narrativas aquí ofrecidas revelan un fragmento del mundo escolar que se asocia a esta.</w:t>
      </w:r>
    </w:p>
    <w:p>
      <w:pPr>
        <w:pStyle w:val="BodyText"/>
        <w:rPr>
          <w:sz w:val="22"/>
        </w:rPr>
      </w:pPr>
    </w:p>
    <w:p>
      <w:pPr>
        <w:pStyle w:val="BodyText"/>
        <w:spacing w:before="7"/>
        <w:rPr>
          <w:sz w:val="20"/>
        </w:rPr>
      </w:pPr>
    </w:p>
    <w:p>
      <w:pPr>
        <w:spacing w:before="1"/>
        <w:ind w:left="102" w:right="121" w:firstLine="0"/>
        <w:jc w:val="left"/>
        <w:rPr>
          <w:sz w:val="17"/>
        </w:rPr>
      </w:pPr>
      <w:r>
        <w:rPr>
          <w:color w:val="231F20"/>
          <w:w w:val="105"/>
          <w:sz w:val="21"/>
        </w:rPr>
        <w:t>R</w:t>
      </w:r>
      <w:r>
        <w:rPr>
          <w:color w:val="231F20"/>
          <w:w w:val="105"/>
          <w:sz w:val="17"/>
        </w:rPr>
        <w:t>EFERENCIAS</w:t>
      </w:r>
    </w:p>
    <w:p>
      <w:pPr>
        <w:pStyle w:val="BodyText"/>
        <w:spacing w:line="247" w:lineRule="auto" w:before="127"/>
        <w:ind w:left="811" w:right="121" w:hanging="710"/>
      </w:pPr>
      <w:r>
        <w:rPr>
          <w:color w:val="231F20"/>
        </w:rPr>
        <w:t>Ángeles Palacios, Martha Beatriz (2011). “Violencia escolar y bullying”. Obtenido de </w:t>
      </w:r>
      <w:r>
        <w:rPr>
          <w:color w:val="231F20"/>
          <w:w w:val="104"/>
        </w:rPr>
        <w:t>h</w:t>
      </w:r>
      <w:r>
        <w:rPr>
          <w:color w:val="231F20"/>
          <w:w w:val="107"/>
        </w:rPr>
        <w:t>tt</w:t>
      </w:r>
      <w:r>
        <w:rPr>
          <w:color w:val="231F20"/>
          <w:w w:val="104"/>
        </w:rPr>
        <w:t>p</w:t>
      </w:r>
      <w:r>
        <w:rPr>
          <w:color w:val="231F20"/>
          <w:w w:val="80"/>
        </w:rPr>
        <w:t>:</w:t>
      </w:r>
      <w:r>
        <w:rPr>
          <w:color w:val="231F20"/>
          <w:w w:val="104"/>
        </w:rPr>
        <w:t>p</w:t>
      </w:r>
      <w:r>
        <w:rPr>
          <w:color w:val="231F20"/>
          <w:w w:val="94"/>
        </w:rPr>
        <w:t>a</w:t>
      </w:r>
      <w:r>
        <w:rPr>
          <w:color w:val="231F20"/>
          <w:w w:val="84"/>
        </w:rPr>
        <w:t>i</w:t>
      </w:r>
      <w:r>
        <w:rPr>
          <w:color w:val="231F20"/>
          <w:w w:val="102"/>
        </w:rPr>
        <w:t>d</w:t>
      </w:r>
      <w:r>
        <w:rPr>
          <w:color w:val="231F20"/>
          <w:w w:val="96"/>
        </w:rPr>
        <w:t>e</w:t>
      </w:r>
      <w:r>
        <w:rPr>
          <w:color w:val="231F20"/>
          <w:w w:val="84"/>
        </w:rPr>
        <w:t>i</w:t>
      </w:r>
      <w:r>
        <w:rPr>
          <w:color w:val="231F20"/>
          <w:w w:val="94"/>
        </w:rPr>
        <w:t>a</w:t>
      </w:r>
      <w:r>
        <w:rPr>
          <w:color w:val="231F20"/>
          <w:w w:val="90"/>
        </w:rPr>
        <w:t>.</w:t>
      </w:r>
      <w:r>
        <w:rPr>
          <w:color w:val="231F20"/>
          <w:w w:val="96"/>
        </w:rPr>
        <w:t>s</w:t>
      </w:r>
      <w:r>
        <w:rPr>
          <w:color w:val="231F20"/>
          <w:w w:val="85"/>
        </w:rPr>
        <w:t>y</w:t>
      </w:r>
      <w:r>
        <w:rPr>
          <w:color w:val="231F20"/>
          <w:w w:val="104"/>
        </w:rPr>
        <w:t>n</w:t>
      </w:r>
      <w:r>
        <w:rPr>
          <w:color w:val="231F20"/>
          <w:w w:val="94"/>
        </w:rPr>
        <w:t>a</w:t>
      </w:r>
      <w:r>
        <w:rPr>
          <w:color w:val="231F20"/>
          <w:w w:val="104"/>
        </w:rPr>
        <w:t>p</w:t>
      </w:r>
      <w:r>
        <w:rPr>
          <w:color w:val="231F20"/>
          <w:w w:val="107"/>
        </w:rPr>
        <w:t>t</w:t>
      </w:r>
      <w:r>
        <w:rPr>
          <w:color w:val="231F20"/>
          <w:w w:val="84"/>
        </w:rPr>
        <w:t>i</w:t>
      </w:r>
      <w:r>
        <w:rPr>
          <w:color w:val="231F20"/>
          <w:w w:val="101"/>
        </w:rPr>
        <w:t>um</w:t>
      </w:r>
      <w:r>
        <w:rPr>
          <w:color w:val="231F20"/>
          <w:w w:val="90"/>
        </w:rPr>
        <w:t>.</w:t>
      </w:r>
      <w:r>
        <w:rPr>
          <w:color w:val="231F20"/>
          <w:w w:val="104"/>
        </w:rPr>
        <w:t>n</w:t>
      </w:r>
      <w:r>
        <w:rPr>
          <w:color w:val="231F20"/>
          <w:w w:val="96"/>
        </w:rPr>
        <w:t>e</w:t>
      </w:r>
      <w:r>
        <w:rPr>
          <w:color w:val="231F20"/>
          <w:w w:val="107"/>
        </w:rPr>
        <w:t>t</w:t>
      </w:r>
      <w:r>
        <w:rPr>
          <w:color w:val="231F20"/>
          <w:w w:val="185"/>
        </w:rPr>
        <w:t>/</w:t>
      </w:r>
      <w:r>
        <w:rPr>
          <w:color w:val="231F20"/>
          <w:w w:val="104"/>
        </w:rPr>
        <w:t>p</w:t>
      </w:r>
      <w:r>
        <w:rPr>
          <w:color w:val="231F20"/>
          <w:w w:val="102"/>
        </w:rPr>
        <w:t>ub</w:t>
      </w:r>
      <w:r>
        <w:rPr>
          <w:color w:val="231F20"/>
          <w:w w:val="185"/>
        </w:rPr>
        <w:t>/</w:t>
      </w:r>
      <w:r>
        <w:rPr>
          <w:color w:val="231F20"/>
          <w:w w:val="104"/>
        </w:rPr>
        <w:t>p</w:t>
      </w:r>
      <w:r>
        <w:rPr>
          <w:color w:val="231F20"/>
          <w:w w:val="96"/>
        </w:rPr>
        <w:t>e</w:t>
      </w:r>
      <w:r>
        <w:rPr>
          <w:color w:val="231F20"/>
          <w:w w:val="96"/>
        </w:rPr>
        <w:t>s</w:t>
      </w:r>
      <w:r>
        <w:rPr>
          <w:color w:val="231F20"/>
          <w:w w:val="96"/>
        </w:rPr>
        <w:t>e</w:t>
      </w:r>
      <w:r>
        <w:rPr>
          <w:color w:val="231F20"/>
          <w:w w:val="92"/>
        </w:rPr>
        <w:t>g</w:t>
      </w:r>
      <w:r>
        <w:rPr>
          <w:color w:val="231F20"/>
          <w:w w:val="104"/>
        </w:rPr>
        <w:t>p</w:t>
      </w:r>
      <w:r>
        <w:rPr>
          <w:color w:val="231F20"/>
          <w:w w:val="94"/>
        </w:rPr>
        <w:t>a</w:t>
      </w:r>
      <w:r>
        <w:rPr>
          <w:color w:val="231F20"/>
          <w:w w:val="107"/>
        </w:rPr>
        <w:t>tt</w:t>
      </w:r>
      <w:r>
        <w:rPr>
          <w:color w:val="231F20"/>
          <w:w w:val="128"/>
        </w:rPr>
        <w:t>2/</w:t>
      </w:r>
      <w:r>
        <w:rPr>
          <w:color w:val="231F20"/>
          <w:w w:val="92"/>
        </w:rPr>
        <w:t>vi</w:t>
      </w:r>
      <w:r>
        <w:rPr>
          <w:color w:val="231F20"/>
          <w:w w:val="104"/>
        </w:rPr>
        <w:t>o</w:t>
      </w:r>
      <w:r>
        <w:rPr>
          <w:color w:val="231F20"/>
          <w:w w:val="84"/>
        </w:rPr>
        <w:t>l</w:t>
      </w:r>
      <w:r>
        <w:rPr>
          <w:color w:val="231F20"/>
          <w:w w:val="96"/>
        </w:rPr>
        <w:t>e</w:t>
      </w:r>
      <w:r>
        <w:rPr>
          <w:color w:val="231F20"/>
          <w:w w:val="96"/>
        </w:rPr>
        <w:t>s</w:t>
      </w:r>
      <w:r>
        <w:rPr>
          <w:color w:val="231F20"/>
          <w:w w:val="96"/>
        </w:rPr>
        <w:t>c</w:t>
      </w:r>
      <w:r>
        <w:rPr>
          <w:color w:val="231F20"/>
          <w:w w:val="104"/>
        </w:rPr>
        <w:t>o</w:t>
      </w:r>
      <w:r>
        <w:rPr>
          <w:color w:val="231F20"/>
          <w:w w:val="84"/>
        </w:rPr>
        <w:t>l</w:t>
      </w:r>
      <w:r>
        <w:rPr>
          <w:color w:val="231F20"/>
          <w:w w:val="94"/>
        </w:rPr>
        <w:t>a</w:t>
      </w:r>
      <w:r>
        <w:rPr>
          <w:color w:val="231F20"/>
          <w:w w:val="103"/>
        </w:rPr>
        <w:t>r</w:t>
      </w:r>
      <w:r>
        <w:rPr>
          <w:color w:val="231F20"/>
          <w:w w:val="185"/>
        </w:rPr>
        <w:t>/</w:t>
      </w:r>
      <w:r>
        <w:rPr>
          <w:color w:val="231F20"/>
          <w:w w:val="84"/>
        </w:rPr>
        <w:t>i</w:t>
      </w:r>
      <w:r>
        <w:rPr>
          <w:color w:val="231F20"/>
          <w:w w:val="104"/>
        </w:rPr>
        <w:t>n </w:t>
      </w:r>
      <w:r>
        <w:rPr>
          <w:color w:val="231F20"/>
        </w:rPr>
        <w:t>dex.htm. Recuperado 6 de junio de 2016.</w:t>
      </w:r>
    </w:p>
    <w:p>
      <w:pPr>
        <w:spacing w:line="247" w:lineRule="auto" w:before="0"/>
        <w:ind w:left="822" w:right="121" w:hanging="720"/>
        <w:jc w:val="left"/>
        <w:rPr>
          <w:sz w:val="21"/>
        </w:rPr>
      </w:pPr>
      <w:r>
        <w:rPr>
          <w:color w:val="231F20"/>
          <w:w w:val="95"/>
          <w:sz w:val="21"/>
        </w:rPr>
        <w:t>Bourdieu,</w:t>
      </w:r>
      <w:r>
        <w:rPr>
          <w:color w:val="231F20"/>
          <w:spacing w:val="-19"/>
          <w:w w:val="95"/>
          <w:sz w:val="21"/>
        </w:rPr>
        <w:t> </w:t>
      </w:r>
      <w:r>
        <w:rPr>
          <w:color w:val="231F20"/>
          <w:w w:val="95"/>
          <w:sz w:val="21"/>
        </w:rPr>
        <w:t>Pierre.</w:t>
      </w:r>
      <w:r>
        <w:rPr>
          <w:color w:val="231F20"/>
          <w:spacing w:val="-19"/>
          <w:w w:val="95"/>
          <w:sz w:val="21"/>
        </w:rPr>
        <w:t> </w:t>
      </w:r>
      <w:r>
        <w:rPr>
          <w:color w:val="231F20"/>
          <w:w w:val="95"/>
          <w:sz w:val="21"/>
        </w:rPr>
        <w:t>(2003).</w:t>
      </w:r>
      <w:r>
        <w:rPr>
          <w:color w:val="231F20"/>
          <w:spacing w:val="-20"/>
          <w:w w:val="95"/>
          <w:sz w:val="21"/>
        </w:rPr>
        <w:t> </w:t>
      </w:r>
      <w:r>
        <w:rPr>
          <w:i/>
          <w:color w:val="231F20"/>
          <w:w w:val="95"/>
          <w:sz w:val="21"/>
        </w:rPr>
        <w:t>Cuestiones</w:t>
      </w:r>
      <w:r>
        <w:rPr>
          <w:i/>
          <w:color w:val="231F20"/>
          <w:spacing w:val="-19"/>
          <w:w w:val="95"/>
          <w:sz w:val="21"/>
        </w:rPr>
        <w:t> </w:t>
      </w:r>
      <w:r>
        <w:rPr>
          <w:i/>
          <w:color w:val="231F20"/>
          <w:w w:val="95"/>
          <w:sz w:val="21"/>
        </w:rPr>
        <w:t>de</w:t>
      </w:r>
      <w:r>
        <w:rPr>
          <w:i/>
          <w:color w:val="231F20"/>
          <w:spacing w:val="-19"/>
          <w:w w:val="95"/>
          <w:sz w:val="21"/>
        </w:rPr>
        <w:t> </w:t>
      </w:r>
      <w:r>
        <w:rPr>
          <w:i/>
          <w:color w:val="231F20"/>
          <w:w w:val="95"/>
          <w:sz w:val="21"/>
        </w:rPr>
        <w:t>sociología.</w:t>
      </w:r>
      <w:r>
        <w:rPr>
          <w:i/>
          <w:color w:val="231F20"/>
          <w:spacing w:val="-20"/>
          <w:w w:val="95"/>
          <w:sz w:val="21"/>
        </w:rPr>
        <w:t> </w:t>
      </w:r>
      <w:r>
        <w:rPr>
          <w:color w:val="231F20"/>
          <w:w w:val="95"/>
          <w:sz w:val="21"/>
        </w:rPr>
        <w:t>Madrid:</w:t>
      </w:r>
      <w:r>
        <w:rPr>
          <w:color w:val="231F20"/>
          <w:spacing w:val="-19"/>
          <w:w w:val="95"/>
          <w:sz w:val="21"/>
        </w:rPr>
        <w:t> </w:t>
      </w:r>
      <w:r>
        <w:rPr>
          <w:color w:val="231F20"/>
          <w:w w:val="95"/>
          <w:sz w:val="21"/>
        </w:rPr>
        <w:t>Ediciones </w:t>
      </w:r>
      <w:r>
        <w:rPr>
          <w:color w:val="231F20"/>
          <w:sz w:val="21"/>
        </w:rPr>
        <w:t>Istmo.</w:t>
      </w:r>
    </w:p>
    <w:p>
      <w:pPr>
        <w:spacing w:line="247" w:lineRule="auto" w:before="0"/>
        <w:ind w:left="102" w:right="121" w:firstLine="0"/>
        <w:jc w:val="left"/>
        <w:rPr>
          <w:sz w:val="21"/>
        </w:rPr>
      </w:pPr>
      <w:r>
        <w:rPr>
          <w:color w:val="231F20"/>
          <w:w w:val="95"/>
          <w:sz w:val="21"/>
        </w:rPr>
        <w:t>Bourdieu, Pierre. (2009). </w:t>
      </w:r>
      <w:r>
        <w:rPr>
          <w:i/>
          <w:color w:val="231F20"/>
          <w:w w:val="95"/>
          <w:sz w:val="21"/>
        </w:rPr>
        <w:t>El sentido práctico. </w:t>
      </w:r>
      <w:r>
        <w:rPr>
          <w:color w:val="231F20"/>
          <w:w w:val="95"/>
          <w:sz w:val="21"/>
        </w:rPr>
        <w:t>México: Siglo XXI. Bourdieu, Pierre. (2010). </w:t>
      </w:r>
      <w:r>
        <w:rPr>
          <w:i/>
          <w:color w:val="231F20"/>
          <w:w w:val="95"/>
          <w:sz w:val="21"/>
        </w:rPr>
        <w:t>La dominación masculina. </w:t>
      </w:r>
      <w:r>
        <w:rPr>
          <w:color w:val="231F20"/>
          <w:w w:val="95"/>
          <w:sz w:val="21"/>
        </w:rPr>
        <w:t>Barcelona:</w:t>
      </w:r>
    </w:p>
    <w:p>
      <w:pPr>
        <w:pStyle w:val="BodyText"/>
        <w:spacing w:line="238" w:lineRule="exact"/>
        <w:ind w:left="822" w:right="121"/>
      </w:pPr>
      <w:r>
        <w:rPr>
          <w:color w:val="231F20"/>
        </w:rPr>
        <w:t>Anagrama.</w:t>
      </w:r>
    </w:p>
    <w:p>
      <w:pPr>
        <w:pStyle w:val="BodyText"/>
        <w:spacing w:line="244" w:lineRule="auto" w:before="8"/>
        <w:ind w:left="822" w:right="121" w:hanging="720"/>
      </w:pPr>
      <w:r>
        <w:rPr>
          <w:color w:val="231F20"/>
        </w:rPr>
        <w:t>Camargo-Abello, Marina. (7 de septiembre de 2011). Violencia escolar y violencia social. Obtenido de: </w:t>
      </w:r>
      <w:r>
        <w:rPr>
          <w:color w:val="231F20"/>
          <w:w w:val="104"/>
        </w:rPr>
        <w:t>h</w:t>
      </w:r>
      <w:r>
        <w:rPr>
          <w:color w:val="231F20"/>
          <w:w w:val="107"/>
        </w:rPr>
        <w:t>tt</w:t>
      </w:r>
      <w:r>
        <w:rPr>
          <w:color w:val="231F20"/>
          <w:w w:val="104"/>
        </w:rPr>
        <w:t>p</w:t>
      </w:r>
      <w:r>
        <w:rPr>
          <w:color w:val="231F20"/>
          <w:w w:val="80"/>
        </w:rPr>
        <w:t>:</w:t>
      </w:r>
      <w:r>
        <w:rPr>
          <w:color w:val="231F20"/>
          <w:w w:val="185"/>
        </w:rPr>
        <w:t>/</w:t>
      </w:r>
      <w:hyperlink r:id="rId314">
        <w:r>
          <w:rPr>
            <w:color w:val="231F20"/>
            <w:w w:val="94"/>
          </w:rPr>
          <w:t>www</w:t>
        </w:r>
        <w:r>
          <w:rPr>
            <w:color w:val="231F20"/>
            <w:w w:val="90"/>
          </w:rPr>
          <w:t>.</w:t>
        </w:r>
        <w:r>
          <w:rPr>
            <w:color w:val="231F20"/>
            <w:w w:val="94"/>
          </w:rPr>
          <w:t>a</w:t>
        </w:r>
        <w:r>
          <w:rPr>
            <w:color w:val="231F20"/>
            <w:w w:val="96"/>
          </w:rPr>
          <w:t>c</w:t>
        </w:r>
        <w:r>
          <w:rPr>
            <w:color w:val="231F20"/>
            <w:w w:val="104"/>
          </w:rPr>
          <w:t>o</w:t>
        </w:r>
        <w:r>
          <w:rPr>
            <w:color w:val="231F20"/>
            <w:w w:val="96"/>
          </w:rPr>
          <w:t>s</w:t>
        </w:r>
        <w:r>
          <w:rPr>
            <w:color w:val="231F20"/>
            <w:w w:val="104"/>
          </w:rPr>
          <w:t>o</w:t>
        </w:r>
        <w:r>
          <w:rPr>
            <w:color w:val="231F20"/>
            <w:w w:val="101"/>
          </w:rPr>
          <w:t>m</w:t>
        </w:r>
        <w:r>
          <w:rPr>
            <w:color w:val="231F20"/>
            <w:w w:val="104"/>
          </w:rPr>
          <w:t>o</w:t>
        </w:r>
        <w:r>
          <w:rPr>
            <w:color w:val="231F20"/>
            <w:w w:val="103"/>
          </w:rPr>
          <w:t>r</w:t>
        </w:r>
        <w:r>
          <w:rPr>
            <w:color w:val="231F20"/>
            <w:w w:val="94"/>
          </w:rPr>
          <w:t>a</w:t>
        </w:r>
        <w:r>
          <w:rPr>
            <w:color w:val="231F20"/>
            <w:w w:val="84"/>
          </w:rPr>
          <w:t>l</w:t>
        </w:r>
        <w:r>
          <w:rPr>
            <w:color w:val="231F20"/>
            <w:w w:val="90"/>
          </w:rPr>
          <w:t>.</w:t>
        </w:r>
        <w:r>
          <w:rPr>
            <w:color w:val="231F20"/>
            <w:w w:val="104"/>
          </w:rPr>
          <w:t>o</w:t>
        </w:r>
        <w:r>
          <w:rPr>
            <w:color w:val="231F20"/>
            <w:w w:val="103"/>
          </w:rPr>
          <w:t>r</w:t>
        </w:r>
        <w:r>
          <w:rPr>
            <w:color w:val="231F20"/>
            <w:w w:val="92"/>
          </w:rPr>
          <w:t>g</w:t>
        </w:r>
        <w:r>
          <w:rPr>
            <w:color w:val="231F20"/>
            <w:w w:val="185"/>
          </w:rPr>
          <w:t>/</w:t>
        </w:r>
        <w:r>
          <w:rPr>
            <w:color w:val="231F20"/>
            <w:w w:val="104"/>
          </w:rPr>
          <w:t>p</w:t>
        </w:r>
        <w:r>
          <w:rPr>
            <w:color w:val="231F20"/>
            <w:w w:val="102"/>
          </w:rPr>
          <w:t>d</w:t>
        </w:r>
        <w:r>
          <w:rPr>
            <w:color w:val="231F20"/>
            <w:w w:val="99"/>
          </w:rPr>
          <w:t>f</w:t>
        </w:r>
        <w:r>
          <w:rPr>
            <w:color w:val="231F20"/>
            <w:w w:val="185"/>
          </w:rPr>
          <w:t>/</w:t>
        </w:r>
        <w:r>
          <w:rPr>
            <w:color w:val="231F20"/>
            <w:w w:val="103"/>
          </w:rPr>
          <w:t>r</w:t>
        </w:r>
        <w:r>
          <w:rPr>
            <w:color w:val="231F20"/>
            <w:w w:val="96"/>
          </w:rPr>
          <w:t>ce</w:t>
        </w:r>
        <w:r>
          <w:rPr>
            <w:color w:val="231F20"/>
            <w:w w:val="98"/>
          </w:rPr>
          <w:t>34_</w:t>
        </w:r>
        <w:r>
          <w:rPr>
            <w:color w:val="231F20"/>
            <w:w w:val="96"/>
          </w:rPr>
          <w:t>03e</w:t>
        </w:r>
        <w:r>
          <w:rPr>
            <w:color w:val="231F20"/>
            <w:w w:val="104"/>
          </w:rPr>
          <w:t>n</w:t>
        </w:r>
        <w:r>
          <w:rPr>
            <w:color w:val="231F20"/>
            <w:w w:val="96"/>
          </w:rPr>
          <w:t>s</w:t>
        </w:r>
        <w:r>
          <w:rPr>
            <w:color w:val="231F20"/>
            <w:w w:val="94"/>
          </w:rPr>
          <w:t>a</w:t>
        </w:r>
        <w:r>
          <w:rPr>
            <w:color w:val="231F20"/>
            <w:w w:val="90"/>
          </w:rPr>
          <w:t>.</w:t>
        </w:r>
        <w:r>
          <w:rPr>
            <w:color w:val="231F20"/>
            <w:w w:val="104"/>
          </w:rPr>
          <w:t>p</w:t>
        </w:r>
        <w:r>
          <w:rPr>
            <w:color w:val="231F20"/>
            <w:w w:val="102"/>
          </w:rPr>
          <w:t>d</w:t>
        </w:r>
        <w:r>
          <w:rPr>
            <w:color w:val="231F20"/>
            <w:w w:val="99"/>
          </w:rPr>
          <w:t>f</w:t>
        </w:r>
      </w:hyperlink>
    </w:p>
    <w:p>
      <w:pPr>
        <w:spacing w:line="242" w:lineRule="auto" w:before="3"/>
        <w:ind w:left="822" w:right="659" w:hanging="720"/>
        <w:jc w:val="left"/>
        <w:rPr>
          <w:sz w:val="21"/>
        </w:rPr>
      </w:pPr>
      <w:r>
        <w:rPr>
          <w:color w:val="231F20"/>
          <w:sz w:val="21"/>
        </w:rPr>
        <w:t>De</w:t>
      </w:r>
      <w:r>
        <w:rPr>
          <w:color w:val="231F20"/>
          <w:spacing w:val="-27"/>
          <w:sz w:val="21"/>
        </w:rPr>
        <w:t> </w:t>
      </w:r>
      <w:r>
        <w:rPr>
          <w:color w:val="231F20"/>
          <w:sz w:val="21"/>
        </w:rPr>
        <w:t>Certeau,</w:t>
      </w:r>
      <w:r>
        <w:rPr>
          <w:color w:val="231F20"/>
          <w:spacing w:val="-28"/>
          <w:sz w:val="21"/>
        </w:rPr>
        <w:t> </w:t>
      </w:r>
      <w:r>
        <w:rPr>
          <w:color w:val="231F20"/>
          <w:sz w:val="21"/>
        </w:rPr>
        <w:t>Michell.</w:t>
      </w:r>
      <w:r>
        <w:rPr>
          <w:color w:val="231F20"/>
          <w:spacing w:val="-28"/>
          <w:sz w:val="21"/>
        </w:rPr>
        <w:t> </w:t>
      </w:r>
      <w:r>
        <w:rPr>
          <w:color w:val="231F20"/>
          <w:sz w:val="21"/>
        </w:rPr>
        <w:t>(1999).</w:t>
      </w:r>
      <w:r>
        <w:rPr>
          <w:color w:val="231F20"/>
          <w:spacing w:val="-28"/>
          <w:sz w:val="21"/>
        </w:rPr>
        <w:t> </w:t>
      </w:r>
      <w:r>
        <w:rPr>
          <w:i/>
          <w:color w:val="231F20"/>
          <w:sz w:val="21"/>
        </w:rPr>
        <w:t>La</w:t>
      </w:r>
      <w:r>
        <w:rPr>
          <w:i/>
          <w:color w:val="231F20"/>
          <w:spacing w:val="-27"/>
          <w:sz w:val="21"/>
        </w:rPr>
        <w:t> </w:t>
      </w:r>
      <w:r>
        <w:rPr>
          <w:i/>
          <w:color w:val="231F20"/>
          <w:sz w:val="21"/>
        </w:rPr>
        <w:t>cultura</w:t>
      </w:r>
      <w:r>
        <w:rPr>
          <w:i/>
          <w:color w:val="231F20"/>
          <w:spacing w:val="-27"/>
          <w:sz w:val="21"/>
        </w:rPr>
        <w:t> </w:t>
      </w:r>
      <w:r>
        <w:rPr>
          <w:i/>
          <w:color w:val="231F20"/>
          <w:sz w:val="21"/>
        </w:rPr>
        <w:t>en</w:t>
      </w:r>
      <w:r>
        <w:rPr>
          <w:i/>
          <w:color w:val="231F20"/>
          <w:spacing w:val="-27"/>
          <w:sz w:val="21"/>
        </w:rPr>
        <w:t> </w:t>
      </w:r>
      <w:r>
        <w:rPr>
          <w:i/>
          <w:color w:val="231F20"/>
          <w:sz w:val="21"/>
        </w:rPr>
        <w:t>plural.</w:t>
      </w:r>
      <w:r>
        <w:rPr>
          <w:i/>
          <w:color w:val="231F20"/>
          <w:spacing w:val="-28"/>
          <w:sz w:val="21"/>
        </w:rPr>
        <w:t> </w:t>
      </w:r>
      <w:r>
        <w:rPr>
          <w:color w:val="231F20"/>
          <w:sz w:val="21"/>
        </w:rPr>
        <w:t>Buenos</w:t>
      </w:r>
      <w:r>
        <w:rPr>
          <w:color w:val="231F20"/>
          <w:spacing w:val="-28"/>
          <w:sz w:val="21"/>
        </w:rPr>
        <w:t> </w:t>
      </w:r>
      <w:r>
        <w:rPr>
          <w:color w:val="231F20"/>
          <w:sz w:val="21"/>
        </w:rPr>
        <w:t>Aires: Nueva</w:t>
      </w:r>
      <w:r>
        <w:rPr>
          <w:color w:val="231F20"/>
          <w:spacing w:val="-3"/>
          <w:sz w:val="21"/>
        </w:rPr>
        <w:t> </w:t>
      </w:r>
      <w:r>
        <w:rPr>
          <w:color w:val="231F20"/>
          <w:sz w:val="21"/>
        </w:rPr>
        <w:t>Visión.</w:t>
      </w:r>
    </w:p>
    <w:p>
      <w:pPr>
        <w:pStyle w:val="BodyText"/>
        <w:spacing w:before="6"/>
        <w:ind w:left="102" w:right="121"/>
      </w:pPr>
      <w:r>
        <w:rPr>
          <w:color w:val="231F20"/>
        </w:rPr>
        <w:t>Gutiérrez-Garduño, María del Carmen. (2010). Rebelión estudiantil.</w:t>
      </w:r>
    </w:p>
    <w:p>
      <w:pPr>
        <w:spacing w:line="247" w:lineRule="auto" w:before="3"/>
        <w:ind w:left="822" w:right="304" w:firstLine="0"/>
        <w:jc w:val="left"/>
        <w:rPr>
          <w:sz w:val="21"/>
        </w:rPr>
      </w:pPr>
      <w:r>
        <w:rPr>
          <w:color w:val="231F20"/>
          <w:sz w:val="21"/>
        </w:rPr>
        <w:t>En Antonio Padilla-Arroyo y Alcira Soler-Durán. </w:t>
      </w:r>
      <w:r>
        <w:rPr>
          <w:i/>
          <w:color w:val="231F20"/>
          <w:sz w:val="21"/>
        </w:rPr>
        <w:t>Voces y </w:t>
      </w:r>
      <w:r>
        <w:rPr>
          <w:i/>
          <w:color w:val="231F20"/>
          <w:w w:val="85"/>
          <w:sz w:val="21"/>
        </w:rPr>
        <w:t>disidencias juveniles: rebeldía, movilización y cultura en América </w:t>
      </w:r>
      <w:r>
        <w:rPr>
          <w:i/>
          <w:color w:val="231F20"/>
          <w:sz w:val="21"/>
        </w:rPr>
        <w:t>latina. </w:t>
      </w:r>
      <w:r>
        <w:rPr>
          <w:color w:val="231F20"/>
          <w:sz w:val="21"/>
        </w:rPr>
        <w:t>México: Universidad del Estado de Morelos/Juan Pablos Editor.</w:t>
      </w:r>
    </w:p>
    <w:p>
      <w:pPr>
        <w:spacing w:line="244" w:lineRule="auto" w:before="1"/>
        <w:ind w:left="822" w:right="121" w:hanging="721"/>
        <w:jc w:val="left"/>
        <w:rPr>
          <w:sz w:val="21"/>
        </w:rPr>
      </w:pPr>
      <w:r>
        <w:rPr>
          <w:color w:val="231F20"/>
          <w:sz w:val="21"/>
        </w:rPr>
        <w:t>Gutiérrez-Garduño,</w:t>
      </w:r>
      <w:r>
        <w:rPr>
          <w:color w:val="231F20"/>
          <w:spacing w:val="-24"/>
          <w:sz w:val="21"/>
        </w:rPr>
        <w:t> </w:t>
      </w:r>
      <w:r>
        <w:rPr>
          <w:color w:val="231F20"/>
          <w:sz w:val="21"/>
        </w:rPr>
        <w:t>María</w:t>
      </w:r>
      <w:r>
        <w:rPr>
          <w:color w:val="231F20"/>
          <w:spacing w:val="-24"/>
          <w:sz w:val="21"/>
        </w:rPr>
        <w:t> </w:t>
      </w:r>
      <w:r>
        <w:rPr>
          <w:color w:val="231F20"/>
          <w:sz w:val="21"/>
        </w:rPr>
        <w:t>del</w:t>
      </w:r>
      <w:r>
        <w:rPr>
          <w:color w:val="231F20"/>
          <w:spacing w:val="-24"/>
          <w:sz w:val="21"/>
        </w:rPr>
        <w:t> </w:t>
      </w:r>
      <w:r>
        <w:rPr>
          <w:color w:val="231F20"/>
          <w:sz w:val="21"/>
        </w:rPr>
        <w:t>Carmen.</w:t>
      </w:r>
      <w:r>
        <w:rPr>
          <w:color w:val="231F20"/>
          <w:spacing w:val="-24"/>
          <w:sz w:val="21"/>
        </w:rPr>
        <w:t> </w:t>
      </w:r>
      <w:r>
        <w:rPr>
          <w:color w:val="231F20"/>
          <w:sz w:val="21"/>
        </w:rPr>
        <w:t>(2011).</w:t>
      </w:r>
      <w:r>
        <w:rPr>
          <w:color w:val="231F20"/>
          <w:spacing w:val="-24"/>
          <w:sz w:val="21"/>
        </w:rPr>
        <w:t> </w:t>
      </w:r>
      <w:r>
        <w:rPr>
          <w:i/>
          <w:color w:val="231F20"/>
          <w:sz w:val="21"/>
        </w:rPr>
        <w:t>Abriendo</w:t>
      </w:r>
      <w:r>
        <w:rPr>
          <w:i/>
          <w:color w:val="231F20"/>
          <w:spacing w:val="-24"/>
          <w:sz w:val="21"/>
        </w:rPr>
        <w:t> </w:t>
      </w:r>
      <w:r>
        <w:rPr>
          <w:i/>
          <w:color w:val="231F20"/>
          <w:sz w:val="21"/>
        </w:rPr>
        <w:t>brecha.</w:t>
      </w:r>
      <w:r>
        <w:rPr>
          <w:i/>
          <w:color w:val="231F20"/>
          <w:spacing w:val="-24"/>
          <w:sz w:val="21"/>
        </w:rPr>
        <w:t> </w:t>
      </w:r>
      <w:r>
        <w:rPr>
          <w:i/>
          <w:color w:val="231F20"/>
          <w:sz w:val="21"/>
        </w:rPr>
        <w:t>Las </w:t>
      </w:r>
      <w:r>
        <w:rPr>
          <w:i/>
          <w:color w:val="231F20"/>
          <w:w w:val="85"/>
          <w:sz w:val="21"/>
        </w:rPr>
        <w:t>mujeres en las escuelas profesionales del Estado de México. </w:t>
      </w:r>
      <w:r>
        <w:rPr>
          <w:color w:val="231F20"/>
          <w:w w:val="85"/>
          <w:sz w:val="21"/>
        </w:rPr>
        <w:t>México: </w:t>
      </w:r>
      <w:r>
        <w:rPr>
          <w:color w:val="231F20"/>
          <w:sz w:val="21"/>
        </w:rPr>
        <w:t>ISCEEM.</w:t>
      </w:r>
    </w:p>
    <w:p>
      <w:pPr>
        <w:pStyle w:val="BodyText"/>
        <w:spacing w:line="247" w:lineRule="auto"/>
        <w:ind w:left="823" w:right="151" w:hanging="721"/>
      </w:pPr>
      <w:r>
        <w:rPr>
          <w:color w:val="231F20"/>
        </w:rPr>
        <w:t>Lleó-Fernández, Rocío. (14 de noviembre de 2011). La violenia en los colegios. Una revisión bibliográfica. Obtenido de: </w:t>
      </w:r>
      <w:hyperlink r:id="rId315">
        <w:r>
          <w:rPr>
            <w:color w:val="231F20"/>
            <w:w w:val="104"/>
          </w:rPr>
          <w:t>h</w:t>
        </w:r>
        <w:r>
          <w:rPr>
            <w:color w:val="231F20"/>
            <w:w w:val="107"/>
          </w:rPr>
          <w:t>tt</w:t>
        </w:r>
        <w:r>
          <w:rPr>
            <w:color w:val="231F20"/>
            <w:w w:val="104"/>
          </w:rPr>
          <w:t>p</w:t>
        </w:r>
        <w:r>
          <w:rPr>
            <w:color w:val="231F20"/>
            <w:w w:val="80"/>
          </w:rPr>
          <w:t>:</w:t>
        </w:r>
        <w:r>
          <w:rPr>
            <w:color w:val="231F20"/>
            <w:w w:val="185"/>
          </w:rPr>
          <w:t>//</w:t>
        </w:r>
        <w:r>
          <w:rPr>
            <w:color w:val="231F20"/>
            <w:w w:val="94"/>
          </w:rPr>
          <w:t>www</w:t>
        </w:r>
        <w:r>
          <w:rPr>
            <w:color w:val="231F20"/>
            <w:w w:val="90"/>
          </w:rPr>
          <w:t>.</w:t>
        </w:r>
        <w:r>
          <w:rPr>
            <w:color w:val="231F20"/>
            <w:w w:val="84"/>
          </w:rPr>
          <w:t>j</w:t>
        </w:r>
        <w:r>
          <w:rPr>
            <w:color w:val="231F20"/>
            <w:w w:val="104"/>
          </w:rPr>
          <w:t>o</w:t>
        </w:r>
        <w:r>
          <w:rPr>
            <w:color w:val="231F20"/>
            <w:w w:val="103"/>
          </w:rPr>
          <w:t>r</w:t>
        </w:r>
        <w:r>
          <w:rPr>
            <w:color w:val="231F20"/>
            <w:w w:val="104"/>
          </w:rPr>
          <w:t>n</w:t>
        </w:r>
        <w:r>
          <w:rPr>
            <w:color w:val="231F20"/>
            <w:w w:val="94"/>
          </w:rPr>
          <w:t>a</w:t>
        </w:r>
        <w:r>
          <w:rPr>
            <w:color w:val="231F20"/>
            <w:w w:val="102"/>
          </w:rPr>
          <w:t>d</w:t>
        </w:r>
        <w:r>
          <w:rPr>
            <w:color w:val="231F20"/>
            <w:w w:val="94"/>
          </w:rPr>
          <w:t>a</w:t>
        </w:r>
        <w:r>
          <w:rPr>
            <w:color w:val="231F20"/>
            <w:w w:val="96"/>
          </w:rPr>
          <w:t>s</w:t>
        </w:r>
        <w:r>
          <w:rPr>
            <w:color w:val="231F20"/>
            <w:w w:val="96"/>
          </w:rPr>
          <w:t>c</w:t>
        </w:r>
        <w:r>
          <w:rPr>
            <w:color w:val="231F20"/>
            <w:w w:val="104"/>
          </w:rPr>
          <w:t>on</w:t>
        </w:r>
        <w:r>
          <w:rPr>
            <w:color w:val="231F20"/>
            <w:w w:val="92"/>
          </w:rPr>
          <w:t>vi</w:t>
        </w:r>
        <w:r>
          <w:rPr>
            <w:color w:val="231F20"/>
            <w:w w:val="96"/>
          </w:rPr>
          <w:t>ve</w:t>
        </w:r>
        <w:r>
          <w:rPr>
            <w:color w:val="231F20"/>
            <w:w w:val="104"/>
          </w:rPr>
          <w:t>n</w:t>
        </w:r>
        <w:r>
          <w:rPr>
            <w:color w:val="231F20"/>
            <w:w w:val="96"/>
          </w:rPr>
          <w:t>c</w:t>
        </w:r>
        <w:r>
          <w:rPr>
            <w:color w:val="231F20"/>
            <w:w w:val="84"/>
          </w:rPr>
          <w:t>i</w:t>
        </w:r>
        <w:r>
          <w:rPr>
            <w:color w:val="231F20"/>
            <w:w w:val="94"/>
          </w:rPr>
          <w:t>a</w:t>
        </w:r>
        <w:r>
          <w:rPr>
            <w:color w:val="231F20"/>
            <w:w w:val="101"/>
          </w:rPr>
          <w:t>m</w:t>
        </w:r>
        <w:r>
          <w:rPr>
            <w:color w:val="231F20"/>
            <w:w w:val="101"/>
          </w:rPr>
          <w:t>ur</w:t>
        </w:r>
        <w:r>
          <w:rPr>
            <w:color w:val="231F20"/>
            <w:w w:val="96"/>
          </w:rPr>
          <w:t>c</w:t>
        </w:r>
        <w:r>
          <w:rPr>
            <w:color w:val="231F20"/>
            <w:w w:val="84"/>
          </w:rPr>
          <w:t>i</w:t>
        </w:r>
        <w:r>
          <w:rPr>
            <w:color w:val="231F20"/>
            <w:w w:val="94"/>
          </w:rPr>
          <w:t>a</w:t>
        </w:r>
        <w:r>
          <w:rPr>
            <w:color w:val="231F20"/>
            <w:w w:val="90"/>
          </w:rPr>
          <w:t>.</w:t>
        </w:r>
        <w:r>
          <w:rPr>
            <w:color w:val="231F20"/>
            <w:w w:val="96"/>
          </w:rPr>
          <w:t>c</w:t>
        </w:r>
        <w:r>
          <w:rPr>
            <w:color w:val="231F20"/>
            <w:w w:val="104"/>
          </w:rPr>
          <w:t>o</w:t>
        </w:r>
        <w:r>
          <w:rPr>
            <w:color w:val="231F20"/>
            <w:w w:val="101"/>
          </w:rPr>
          <w:t>m</w:t>
        </w:r>
        <w:r>
          <w:rPr>
            <w:color w:val="231F20"/>
            <w:w w:val="185"/>
          </w:rPr>
          <w:t>/</w:t>
        </w:r>
        <w:r>
          <w:rPr>
            <w:color w:val="231F20"/>
            <w:w w:val="102"/>
          </w:rPr>
          <w:t>d</w:t>
        </w:r>
        <w:r>
          <w:rPr>
            <w:color w:val="231F20"/>
            <w:w w:val="104"/>
          </w:rPr>
          <w:t>o</w:t>
        </w:r>
        <w:r>
          <w:rPr>
            <w:color w:val="231F20"/>
            <w:w w:val="96"/>
          </w:rPr>
          <w:t>c</w:t>
        </w:r>
        <w:r>
          <w:rPr>
            <w:color w:val="231F20"/>
            <w:w w:val="185"/>
          </w:rPr>
          <w:t>/</w:t>
        </w:r>
        <w:r>
          <w:rPr>
            <w:color w:val="231F20"/>
            <w:w w:val="84"/>
          </w:rPr>
          <w:t>l</w:t>
        </w:r>
        <w:r>
          <w:rPr>
            <w:color w:val="231F20"/>
            <w:w w:val="94"/>
          </w:rPr>
          <w:t>a</w:t>
        </w:r>
        <w:r>
          <w:rPr>
            <w:color w:val="231F20"/>
            <w:w w:val="102"/>
          </w:rPr>
          <w:t>_</w:t>
        </w:r>
        <w:r>
          <w:rPr>
            <w:color w:val="231F20"/>
            <w:w w:val="92"/>
          </w:rPr>
          <w:t>vi</w:t>
        </w:r>
        <w:r>
          <w:rPr>
            <w:color w:val="231F20"/>
            <w:w w:val="104"/>
          </w:rPr>
          <w:t>o</w:t>
        </w:r>
        <w:r>
          <w:rPr>
            <w:color w:val="231F20"/>
            <w:w w:val="84"/>
          </w:rPr>
          <w:t>l</w:t>
        </w:r>
        <w:r>
          <w:rPr>
            <w:color w:val="231F20"/>
            <w:w w:val="96"/>
          </w:rPr>
          <w:t>e</w:t>
        </w:r>
      </w:hyperlink>
      <w:r>
        <w:rPr>
          <w:color w:val="231F20"/>
          <w:w w:val="96"/>
        </w:rPr>
        <w:t> </w:t>
      </w:r>
      <w:r>
        <w:rPr>
          <w:color w:val="231F20"/>
        </w:rPr>
        <w:t>ncia_en_los_colegios_revision_bibliografica-rocio_lleo.pdf</w:t>
      </w:r>
    </w:p>
    <w:p>
      <w:pPr>
        <w:pStyle w:val="BodyText"/>
        <w:spacing w:line="244" w:lineRule="auto" w:before="1"/>
        <w:ind w:left="823" w:right="291" w:hanging="720"/>
      </w:pPr>
      <w:r>
        <w:rPr>
          <w:color w:val="231F20"/>
        </w:rPr>
        <w:t>Marchiori, Hilda. (16 de agosto de 2011). Criminología: Violencia escolar, necesidad de mediación. Obtenido de: </w:t>
      </w:r>
      <w:hyperlink r:id="rId316">
        <w:r>
          <w:rPr>
            <w:color w:val="231F20"/>
            <w:w w:val="104"/>
          </w:rPr>
          <w:t>h</w:t>
        </w:r>
        <w:r>
          <w:rPr>
            <w:color w:val="231F20"/>
            <w:w w:val="107"/>
          </w:rPr>
          <w:t>tt</w:t>
        </w:r>
        <w:r>
          <w:rPr>
            <w:color w:val="231F20"/>
            <w:w w:val="104"/>
          </w:rPr>
          <w:t>p</w:t>
        </w:r>
        <w:r>
          <w:rPr>
            <w:color w:val="231F20"/>
            <w:w w:val="80"/>
          </w:rPr>
          <w:t>:</w:t>
        </w:r>
        <w:r>
          <w:rPr>
            <w:color w:val="231F20"/>
            <w:w w:val="185"/>
          </w:rPr>
          <w:t>//</w:t>
        </w:r>
        <w:r>
          <w:rPr>
            <w:color w:val="231F20"/>
            <w:w w:val="94"/>
          </w:rPr>
          <w:t>www</w:t>
        </w:r>
        <w:r>
          <w:rPr>
            <w:color w:val="231F20"/>
            <w:w w:val="94"/>
          </w:rPr>
          <w:t>2.</w:t>
        </w:r>
        <w:r>
          <w:rPr>
            <w:color w:val="231F20"/>
            <w:w w:val="96"/>
          </w:rPr>
          <w:t>c</w:t>
        </w:r>
        <w:r>
          <w:rPr>
            <w:color w:val="231F20"/>
            <w:w w:val="104"/>
          </w:rPr>
          <w:t>on</w:t>
        </w:r>
        <w:r>
          <w:rPr>
            <w:color w:val="231F20"/>
            <w:w w:val="92"/>
          </w:rPr>
          <w:t>vi</w:t>
        </w:r>
        <w:r>
          <w:rPr>
            <w:color w:val="231F20"/>
            <w:w w:val="96"/>
          </w:rPr>
          <w:t>ve</w:t>
        </w:r>
        <w:r>
          <w:rPr>
            <w:color w:val="231F20"/>
            <w:w w:val="104"/>
          </w:rPr>
          <w:t>n</w:t>
        </w:r>
        <w:r>
          <w:rPr>
            <w:color w:val="231F20"/>
            <w:w w:val="96"/>
          </w:rPr>
          <w:t>c</w:t>
        </w:r>
        <w:r>
          <w:rPr>
            <w:color w:val="231F20"/>
            <w:w w:val="84"/>
          </w:rPr>
          <w:t>i</w:t>
        </w:r>
        <w:r>
          <w:rPr>
            <w:color w:val="231F20"/>
            <w:w w:val="94"/>
          </w:rPr>
          <w:t>a</w:t>
        </w:r>
        <w:r>
          <w:rPr>
            <w:color w:val="231F20"/>
            <w:w w:val="89"/>
          </w:rPr>
          <w:t>.</w:t>
        </w:r>
        <w:r>
          <w:rPr>
            <w:color w:val="231F20"/>
            <w:w w:val="96"/>
          </w:rPr>
          <w:t>e</w:t>
        </w:r>
        <w:r>
          <w:rPr>
            <w:color w:val="231F20"/>
            <w:w w:val="102"/>
          </w:rPr>
          <w:t>d</w:t>
        </w:r>
        <w:r>
          <w:rPr>
            <w:color w:val="231F20"/>
            <w:w w:val="97"/>
          </w:rPr>
          <w:t>u.</w:t>
        </w:r>
        <w:r>
          <w:rPr>
            <w:color w:val="231F20"/>
            <w:w w:val="93"/>
          </w:rPr>
          <w:t>uy</w:t>
        </w:r>
        <w:r>
          <w:rPr>
            <w:color w:val="231F20"/>
            <w:w w:val="185"/>
          </w:rPr>
          <w:t>/</w:t>
        </w:r>
        <w:r>
          <w:rPr>
            <w:color w:val="231F20"/>
            <w:w w:val="94"/>
          </w:rPr>
          <w:t>w</w:t>
        </w:r>
        <w:r>
          <w:rPr>
            <w:color w:val="231F20"/>
            <w:w w:val="96"/>
          </w:rPr>
          <w:t>e</w:t>
        </w:r>
        <w:r>
          <w:rPr>
            <w:color w:val="231F20"/>
            <w:w w:val="104"/>
          </w:rPr>
          <w:t>b</w:t>
        </w:r>
        <w:r>
          <w:rPr>
            <w:color w:val="231F20"/>
            <w:w w:val="185"/>
          </w:rPr>
          <w:t>/</w:t>
        </w:r>
        <w:r>
          <w:rPr>
            <w:color w:val="231F20"/>
            <w:w w:val="94"/>
          </w:rPr>
          <w:t>w</w:t>
        </w:r>
        <w:r>
          <w:rPr>
            <w:color w:val="231F20"/>
            <w:w w:val="104"/>
          </w:rPr>
          <w:t>p</w:t>
        </w:r>
        <w:r>
          <w:rPr>
            <w:color w:val="231F20"/>
            <w:w w:val="96"/>
          </w:rPr>
          <w:t>-</w:t>
        </w:r>
      </w:hyperlink>
      <w:r>
        <w:rPr>
          <w:color w:val="231F20"/>
          <w:w w:val="96"/>
        </w:rPr>
        <w:t> c</w:t>
      </w:r>
      <w:r>
        <w:rPr>
          <w:color w:val="231F20"/>
          <w:w w:val="105"/>
        </w:rPr>
        <w:t>ont</w:t>
      </w:r>
      <w:r>
        <w:rPr>
          <w:color w:val="231F20"/>
          <w:w w:val="96"/>
        </w:rPr>
        <w:t>e</w:t>
      </w:r>
      <w:r>
        <w:rPr>
          <w:color w:val="231F20"/>
          <w:w w:val="106"/>
        </w:rPr>
        <w:t>nt</w:t>
      </w:r>
      <w:r>
        <w:rPr>
          <w:color w:val="231F20"/>
          <w:w w:val="185"/>
        </w:rPr>
        <w:t>/</w:t>
      </w:r>
      <w:r>
        <w:rPr>
          <w:color w:val="231F20"/>
          <w:w w:val="100"/>
        </w:rPr>
        <w:t>u</w:t>
      </w:r>
      <w:r>
        <w:rPr>
          <w:color w:val="231F20"/>
          <w:w w:val="97"/>
        </w:rPr>
        <w:t>pl</w:t>
      </w:r>
      <w:r>
        <w:rPr>
          <w:color w:val="231F20"/>
          <w:w w:val="99"/>
        </w:rPr>
        <w:t>oa</w:t>
      </w:r>
      <w:r>
        <w:rPr>
          <w:color w:val="231F20"/>
          <w:w w:val="102"/>
        </w:rPr>
        <w:t>d</w:t>
      </w:r>
      <w:r>
        <w:rPr>
          <w:color w:val="231F20"/>
          <w:w w:val="96"/>
        </w:rPr>
        <w:t>s</w:t>
      </w:r>
      <w:r>
        <w:rPr>
          <w:color w:val="231F20"/>
          <w:w w:val="185"/>
        </w:rPr>
        <w:t>/</w:t>
      </w:r>
      <w:r>
        <w:rPr>
          <w:color w:val="231F20"/>
          <w:w w:val="96"/>
        </w:rPr>
        <w:t>2013</w:t>
      </w:r>
      <w:r>
        <w:rPr>
          <w:color w:val="231F20"/>
          <w:w w:val="185"/>
        </w:rPr>
        <w:t>/</w:t>
      </w:r>
      <w:r>
        <w:rPr>
          <w:color w:val="231F20"/>
          <w:w w:val="96"/>
        </w:rPr>
        <w:t>12</w:t>
      </w:r>
      <w:r>
        <w:rPr>
          <w:color w:val="231F20"/>
          <w:w w:val="185"/>
        </w:rPr>
        <w:t>/</w:t>
      </w:r>
      <w:r>
        <w:rPr>
          <w:color w:val="231F20"/>
          <w:w w:val="97"/>
        </w:rPr>
        <w:t>C</w:t>
      </w:r>
      <w:r>
        <w:rPr>
          <w:color w:val="231F20"/>
          <w:w w:val="103"/>
        </w:rPr>
        <w:t>r</w:t>
      </w:r>
      <w:r>
        <w:rPr>
          <w:color w:val="231F20"/>
          <w:w w:val="84"/>
        </w:rPr>
        <w:t>i</w:t>
      </w:r>
      <w:r>
        <w:rPr>
          <w:color w:val="231F20"/>
          <w:w w:val="101"/>
        </w:rPr>
        <w:t>m</w:t>
      </w:r>
      <w:r>
        <w:rPr>
          <w:color w:val="231F20"/>
          <w:w w:val="84"/>
        </w:rPr>
        <w:t>i</w:t>
      </w:r>
      <w:r>
        <w:rPr>
          <w:color w:val="231F20"/>
          <w:w w:val="100"/>
        </w:rPr>
        <w:t>nol</w:t>
      </w:r>
      <w:r>
        <w:rPr>
          <w:color w:val="231F20"/>
          <w:w w:val="98"/>
        </w:rPr>
        <w:t>og</w:t>
      </w:r>
      <w:r>
        <w:rPr>
          <w:color w:val="231F20"/>
          <w:w w:val="101"/>
        </w:rPr>
        <w:t>%</w:t>
      </w:r>
      <w:r>
        <w:rPr>
          <w:color w:val="231F20"/>
          <w:w w:val="97"/>
        </w:rPr>
        <w:t>C</w:t>
      </w:r>
      <w:r>
        <w:rPr>
          <w:color w:val="231F20"/>
          <w:w w:val="96"/>
        </w:rPr>
        <w:t>3</w:t>
      </w:r>
      <w:r>
        <w:rPr>
          <w:color w:val="231F20"/>
          <w:w w:val="101"/>
        </w:rPr>
        <w:t>%</w:t>
      </w:r>
      <w:r>
        <w:rPr>
          <w:color w:val="231F20"/>
          <w:w w:val="96"/>
        </w:rPr>
        <w:t>A</w:t>
      </w:r>
      <w:r>
        <w:rPr>
          <w:color w:val="231F20"/>
          <w:w w:val="109"/>
        </w:rPr>
        <w:t>D</w:t>
      </w:r>
      <w:r>
        <w:rPr>
          <w:color w:val="231F20"/>
          <w:w w:val="94"/>
        </w:rPr>
        <w:t>a</w:t>
      </w:r>
      <w:r>
        <w:rPr>
          <w:color w:val="231F20"/>
          <w:w w:val="96"/>
        </w:rPr>
        <w:t>- </w:t>
      </w:r>
      <w:r>
        <w:rPr>
          <w:color w:val="231F20"/>
        </w:rPr>
        <w:t>Violencia-Escolar.pdf)</w:t>
      </w:r>
    </w:p>
    <w:p>
      <w:pPr>
        <w:spacing w:after="0" w:line="244" w:lineRule="auto"/>
        <w:sectPr>
          <w:headerReference w:type="default" r:id="rId312"/>
          <w:footerReference w:type="default" r:id="rId313"/>
          <w:pgSz w:w="7830" w:h="11910"/>
          <w:pgMar w:header="0" w:footer="424" w:top="500" w:bottom="620" w:left="920" w:right="900"/>
          <w:pgNumType w:start="145"/>
        </w:sectPr>
      </w:pPr>
    </w:p>
    <w:p>
      <w:pPr>
        <w:spacing w:before="46"/>
        <w:ind w:left="596" w:right="66"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spacing w:line="247" w:lineRule="auto" w:before="0"/>
        <w:ind w:left="822" w:right="66" w:hanging="721"/>
        <w:jc w:val="left"/>
        <w:rPr>
          <w:sz w:val="21"/>
        </w:rPr>
      </w:pPr>
      <w:r>
        <w:rPr>
          <w:color w:val="231F20"/>
          <w:w w:val="111"/>
          <w:sz w:val="21"/>
        </w:rPr>
        <w:t>O</w:t>
      </w:r>
      <w:r>
        <w:rPr>
          <w:color w:val="231F20"/>
          <w:w w:val="96"/>
          <w:sz w:val="21"/>
        </w:rPr>
        <w:t>s</w:t>
      </w:r>
      <w:r>
        <w:rPr>
          <w:color w:val="231F20"/>
          <w:w w:val="104"/>
          <w:sz w:val="21"/>
        </w:rPr>
        <w:t>o</w:t>
      </w:r>
      <w:r>
        <w:rPr>
          <w:color w:val="231F20"/>
          <w:w w:val="103"/>
          <w:sz w:val="21"/>
        </w:rPr>
        <w:t>r</w:t>
      </w:r>
      <w:r>
        <w:rPr>
          <w:color w:val="231F20"/>
          <w:w w:val="84"/>
          <w:sz w:val="21"/>
        </w:rPr>
        <w:t>i</w:t>
      </w:r>
      <w:r>
        <w:rPr>
          <w:color w:val="231F20"/>
          <w:w w:val="104"/>
          <w:sz w:val="21"/>
        </w:rPr>
        <w:t>o</w:t>
      </w:r>
      <w:r>
        <w:rPr>
          <w:color w:val="231F20"/>
          <w:w w:val="89"/>
          <w:sz w:val="21"/>
        </w:rPr>
        <w:t>,</w:t>
      </w:r>
      <w:r>
        <w:rPr>
          <w:color w:val="231F20"/>
          <w:sz w:val="21"/>
        </w:rPr>
        <w:t> </w:t>
      </w:r>
      <w:r>
        <w:rPr>
          <w:color w:val="231F20"/>
          <w:w w:val="104"/>
          <w:sz w:val="21"/>
        </w:rPr>
        <w:t>F</w:t>
      </w:r>
      <w:r>
        <w:rPr>
          <w:color w:val="231F20"/>
          <w:w w:val="96"/>
          <w:sz w:val="21"/>
        </w:rPr>
        <w:t>e</w:t>
      </w:r>
      <w:r>
        <w:rPr>
          <w:color w:val="231F20"/>
          <w:w w:val="103"/>
          <w:sz w:val="21"/>
        </w:rPr>
        <w:t>r</w:t>
      </w:r>
      <w:r>
        <w:rPr>
          <w:color w:val="231F20"/>
          <w:w w:val="104"/>
          <w:sz w:val="21"/>
        </w:rPr>
        <w:t>n</w:t>
      </w:r>
      <w:r>
        <w:rPr>
          <w:color w:val="231F20"/>
          <w:w w:val="94"/>
          <w:sz w:val="21"/>
        </w:rPr>
        <w:t>a</w:t>
      </w:r>
      <w:r>
        <w:rPr>
          <w:color w:val="231F20"/>
          <w:w w:val="104"/>
          <w:sz w:val="21"/>
        </w:rPr>
        <w:t>n</w:t>
      </w:r>
      <w:r>
        <w:rPr>
          <w:color w:val="231F20"/>
          <w:w w:val="102"/>
          <w:sz w:val="21"/>
        </w:rPr>
        <w:t>d</w:t>
      </w:r>
      <w:r>
        <w:rPr>
          <w:color w:val="231F20"/>
          <w:w w:val="104"/>
          <w:sz w:val="21"/>
        </w:rPr>
        <w:t>o</w:t>
      </w:r>
      <w:r>
        <w:rPr>
          <w:color w:val="231F20"/>
          <w:w w:val="89"/>
          <w:sz w:val="21"/>
        </w:rPr>
        <w:t>.</w:t>
      </w:r>
      <w:r>
        <w:rPr>
          <w:color w:val="231F20"/>
          <w:sz w:val="21"/>
        </w:rPr>
        <w:t> </w:t>
      </w:r>
      <w:r>
        <w:rPr>
          <w:color w:val="231F20"/>
          <w:w w:val="90"/>
          <w:sz w:val="21"/>
        </w:rPr>
        <w:t>(</w:t>
      </w:r>
      <w:r>
        <w:rPr>
          <w:color w:val="231F20"/>
          <w:w w:val="95"/>
          <w:sz w:val="21"/>
        </w:rPr>
        <w:t>2008)</w:t>
      </w:r>
      <w:r>
        <w:rPr>
          <w:color w:val="231F20"/>
          <w:w w:val="89"/>
          <w:sz w:val="21"/>
        </w:rPr>
        <w:t>.</w:t>
      </w:r>
      <w:r>
        <w:rPr>
          <w:color w:val="231F20"/>
          <w:sz w:val="21"/>
        </w:rPr>
        <w:t> </w:t>
      </w:r>
      <w:r>
        <w:rPr>
          <w:i/>
          <w:color w:val="231F20"/>
          <w:w w:val="135"/>
          <w:sz w:val="21"/>
        </w:rPr>
        <w:t>V</w:t>
      </w:r>
      <w:r>
        <w:rPr>
          <w:i/>
          <w:color w:val="231F20"/>
          <w:w w:val="84"/>
          <w:sz w:val="21"/>
        </w:rPr>
        <w:t>i</w:t>
      </w:r>
      <w:r>
        <w:rPr>
          <w:i/>
          <w:color w:val="231F20"/>
          <w:w w:val="75"/>
          <w:sz w:val="21"/>
        </w:rPr>
        <w:t>ol</w:t>
      </w:r>
      <w:r>
        <w:rPr>
          <w:i/>
          <w:color w:val="231F20"/>
          <w:w w:val="67"/>
          <w:sz w:val="21"/>
        </w:rPr>
        <w:t>e</w:t>
      </w:r>
      <w:r>
        <w:rPr>
          <w:i/>
          <w:color w:val="231F20"/>
          <w:w w:val="87"/>
          <w:sz w:val="21"/>
        </w:rPr>
        <w:t>n</w:t>
      </w:r>
      <w:r>
        <w:rPr>
          <w:i/>
          <w:color w:val="231F20"/>
          <w:w w:val="62"/>
          <w:sz w:val="21"/>
        </w:rPr>
        <w:t>c</w:t>
      </w:r>
      <w:r>
        <w:rPr>
          <w:i/>
          <w:color w:val="231F20"/>
          <w:w w:val="84"/>
          <w:sz w:val="21"/>
        </w:rPr>
        <w:t>i</w:t>
      </w:r>
      <w:r>
        <w:rPr>
          <w:i/>
          <w:color w:val="231F20"/>
          <w:w w:val="83"/>
          <w:sz w:val="21"/>
        </w:rPr>
        <w:t>a</w:t>
      </w:r>
      <w:r>
        <w:rPr>
          <w:i/>
          <w:color w:val="231F20"/>
          <w:sz w:val="21"/>
        </w:rPr>
        <w:t> </w:t>
      </w:r>
      <w:r>
        <w:rPr>
          <w:i/>
          <w:color w:val="231F20"/>
          <w:w w:val="67"/>
          <w:sz w:val="21"/>
        </w:rPr>
        <w:t>e</w:t>
      </w:r>
      <w:r>
        <w:rPr>
          <w:i/>
          <w:color w:val="231F20"/>
          <w:w w:val="87"/>
          <w:sz w:val="21"/>
        </w:rPr>
        <w:t>n</w:t>
      </w:r>
      <w:r>
        <w:rPr>
          <w:i/>
          <w:color w:val="231F20"/>
          <w:sz w:val="21"/>
        </w:rPr>
        <w:t> </w:t>
      </w:r>
      <w:r>
        <w:rPr>
          <w:i/>
          <w:color w:val="231F20"/>
          <w:w w:val="80"/>
          <w:sz w:val="21"/>
        </w:rPr>
        <w:t>l</w:t>
      </w:r>
      <w:r>
        <w:rPr>
          <w:i/>
          <w:color w:val="231F20"/>
          <w:w w:val="83"/>
          <w:sz w:val="21"/>
        </w:rPr>
        <w:t>a</w:t>
      </w:r>
      <w:r>
        <w:rPr>
          <w:i/>
          <w:color w:val="231F20"/>
          <w:w w:val="77"/>
          <w:sz w:val="21"/>
        </w:rPr>
        <w:t>s</w:t>
      </w:r>
      <w:r>
        <w:rPr>
          <w:i/>
          <w:color w:val="231F20"/>
          <w:sz w:val="21"/>
        </w:rPr>
        <w:t> </w:t>
      </w:r>
      <w:r>
        <w:rPr>
          <w:i/>
          <w:color w:val="231F20"/>
          <w:w w:val="67"/>
          <w:sz w:val="21"/>
        </w:rPr>
        <w:t>e</w:t>
      </w:r>
      <w:r>
        <w:rPr>
          <w:i/>
          <w:color w:val="231F20"/>
          <w:w w:val="77"/>
          <w:sz w:val="21"/>
        </w:rPr>
        <w:t>s</w:t>
      </w:r>
      <w:r>
        <w:rPr>
          <w:i/>
          <w:color w:val="231F20"/>
          <w:w w:val="62"/>
          <w:sz w:val="21"/>
        </w:rPr>
        <w:t>c</w:t>
      </w:r>
      <w:r>
        <w:rPr>
          <w:i/>
          <w:color w:val="231F20"/>
          <w:w w:val="87"/>
          <w:sz w:val="21"/>
        </w:rPr>
        <w:t>u</w:t>
      </w:r>
      <w:r>
        <w:rPr>
          <w:i/>
          <w:color w:val="231F20"/>
          <w:w w:val="67"/>
          <w:sz w:val="21"/>
        </w:rPr>
        <w:t>e</w:t>
      </w:r>
      <w:r>
        <w:rPr>
          <w:i/>
          <w:color w:val="231F20"/>
          <w:w w:val="80"/>
          <w:sz w:val="21"/>
        </w:rPr>
        <w:t>l</w:t>
      </w:r>
      <w:r>
        <w:rPr>
          <w:i/>
          <w:color w:val="231F20"/>
          <w:w w:val="83"/>
          <w:sz w:val="21"/>
        </w:rPr>
        <w:t>a</w:t>
      </w:r>
      <w:r>
        <w:rPr>
          <w:i/>
          <w:color w:val="231F20"/>
          <w:w w:val="77"/>
          <w:sz w:val="21"/>
        </w:rPr>
        <w:t>s</w:t>
      </w:r>
      <w:r>
        <w:rPr>
          <w:i/>
          <w:color w:val="231F20"/>
          <w:w w:val="89"/>
          <w:sz w:val="21"/>
        </w:rPr>
        <w:t>.</w:t>
      </w:r>
      <w:r>
        <w:rPr>
          <w:i/>
          <w:color w:val="231F20"/>
          <w:sz w:val="21"/>
        </w:rPr>
        <w:t> </w:t>
      </w:r>
      <w:r>
        <w:rPr>
          <w:i/>
          <w:color w:val="231F20"/>
          <w:w w:val="102"/>
          <w:sz w:val="21"/>
        </w:rPr>
        <w:t>U</w:t>
      </w:r>
      <w:r>
        <w:rPr>
          <w:i/>
          <w:color w:val="231F20"/>
          <w:w w:val="87"/>
          <w:sz w:val="21"/>
        </w:rPr>
        <w:t>n</w:t>
      </w:r>
      <w:r>
        <w:rPr>
          <w:i/>
          <w:color w:val="231F20"/>
          <w:sz w:val="21"/>
        </w:rPr>
        <w:t> </w:t>
      </w:r>
      <w:r>
        <w:rPr>
          <w:i/>
          <w:color w:val="231F20"/>
          <w:w w:val="83"/>
          <w:sz w:val="21"/>
        </w:rPr>
        <w:t>a</w:t>
      </w:r>
      <w:r>
        <w:rPr>
          <w:i/>
          <w:color w:val="231F20"/>
          <w:w w:val="87"/>
          <w:sz w:val="21"/>
        </w:rPr>
        <w:t>n</w:t>
      </w:r>
      <w:r>
        <w:rPr>
          <w:i/>
          <w:color w:val="231F20"/>
          <w:w w:val="83"/>
          <w:sz w:val="21"/>
        </w:rPr>
        <w:t>á</w:t>
      </w:r>
      <w:r>
        <w:rPr>
          <w:i/>
          <w:color w:val="231F20"/>
          <w:w w:val="80"/>
          <w:sz w:val="21"/>
        </w:rPr>
        <w:t>l</w:t>
      </w:r>
      <w:r>
        <w:rPr>
          <w:i/>
          <w:color w:val="231F20"/>
          <w:w w:val="84"/>
          <w:sz w:val="21"/>
        </w:rPr>
        <w:t>i</w:t>
      </w:r>
      <w:r>
        <w:rPr>
          <w:i/>
          <w:color w:val="231F20"/>
          <w:w w:val="77"/>
          <w:sz w:val="21"/>
        </w:rPr>
        <w:t>s</w:t>
      </w:r>
      <w:r>
        <w:rPr>
          <w:i/>
          <w:color w:val="231F20"/>
          <w:w w:val="84"/>
          <w:sz w:val="21"/>
        </w:rPr>
        <w:t>i</w:t>
      </w:r>
      <w:r>
        <w:rPr>
          <w:i/>
          <w:color w:val="231F20"/>
          <w:w w:val="77"/>
          <w:sz w:val="21"/>
        </w:rPr>
        <w:t>s</w:t>
      </w:r>
      <w:r>
        <w:rPr>
          <w:i/>
          <w:color w:val="231F20"/>
          <w:sz w:val="21"/>
        </w:rPr>
        <w:t> </w:t>
      </w:r>
      <w:r>
        <w:rPr>
          <w:i/>
          <w:color w:val="231F20"/>
          <w:w w:val="83"/>
          <w:sz w:val="21"/>
        </w:rPr>
        <w:t>d</w:t>
      </w:r>
      <w:r>
        <w:rPr>
          <w:i/>
          <w:color w:val="231F20"/>
          <w:w w:val="67"/>
          <w:sz w:val="21"/>
        </w:rPr>
        <w:t>e</w:t>
      </w:r>
      <w:r>
        <w:rPr>
          <w:i/>
          <w:color w:val="231F20"/>
          <w:w w:val="77"/>
          <w:sz w:val="21"/>
        </w:rPr>
        <w:t>s</w:t>
      </w:r>
      <w:r>
        <w:rPr>
          <w:i/>
          <w:color w:val="231F20"/>
          <w:w w:val="83"/>
          <w:sz w:val="21"/>
        </w:rPr>
        <w:t>d</w:t>
      </w:r>
      <w:r>
        <w:rPr>
          <w:i/>
          <w:color w:val="231F20"/>
          <w:w w:val="67"/>
          <w:sz w:val="21"/>
        </w:rPr>
        <w:t>e</w:t>
      </w:r>
      <w:r>
        <w:rPr>
          <w:i/>
          <w:color w:val="231F20"/>
          <w:sz w:val="21"/>
        </w:rPr>
        <w:t> </w:t>
      </w:r>
      <w:r>
        <w:rPr>
          <w:i/>
          <w:color w:val="231F20"/>
          <w:w w:val="80"/>
          <w:sz w:val="21"/>
        </w:rPr>
        <w:t>l</w:t>
      </w:r>
      <w:r>
        <w:rPr>
          <w:i/>
          <w:color w:val="231F20"/>
          <w:w w:val="83"/>
          <w:sz w:val="21"/>
        </w:rPr>
        <w:t>a</w:t>
      </w:r>
      <w:r>
        <w:rPr>
          <w:i/>
          <w:color w:val="231F20"/>
          <w:w w:val="83"/>
          <w:sz w:val="21"/>
        </w:rPr>
        <w:t> </w:t>
      </w:r>
      <w:r>
        <w:rPr>
          <w:i/>
          <w:color w:val="231F20"/>
          <w:w w:val="95"/>
          <w:sz w:val="21"/>
        </w:rPr>
        <w:t>subjetividad. </w:t>
      </w:r>
      <w:r>
        <w:rPr>
          <w:color w:val="231F20"/>
          <w:w w:val="95"/>
          <w:sz w:val="21"/>
        </w:rPr>
        <w:t>Buenos Aires: Noveduc.</w:t>
      </w:r>
    </w:p>
    <w:p>
      <w:pPr>
        <w:spacing w:line="247" w:lineRule="auto" w:before="0"/>
        <w:ind w:left="822" w:right="66" w:hanging="720"/>
        <w:jc w:val="left"/>
        <w:rPr>
          <w:sz w:val="21"/>
        </w:rPr>
      </w:pPr>
      <w:r>
        <w:rPr>
          <w:color w:val="231F20"/>
          <w:sz w:val="21"/>
        </w:rPr>
        <w:t>Padilla-Arroyo, Antonio y Soler-Durán, Alcira. (2010). Disidencias, combates y lucha por la autonomía universitaria. En Antonio Padilla-Arroyo y Alcira Soler-Durán. </w:t>
      </w:r>
      <w:r>
        <w:rPr>
          <w:i/>
          <w:color w:val="231F20"/>
          <w:sz w:val="21"/>
        </w:rPr>
        <w:t>Voces y </w:t>
      </w:r>
      <w:r>
        <w:rPr>
          <w:i/>
          <w:color w:val="231F20"/>
          <w:w w:val="90"/>
          <w:sz w:val="21"/>
        </w:rPr>
        <w:t>disidencias juveniles: rebeldía, movilización y cultura en América </w:t>
      </w:r>
      <w:r>
        <w:rPr>
          <w:i/>
          <w:color w:val="231F20"/>
          <w:sz w:val="21"/>
        </w:rPr>
        <w:t>Latina . </w:t>
      </w:r>
      <w:r>
        <w:rPr>
          <w:color w:val="231F20"/>
          <w:sz w:val="21"/>
        </w:rPr>
        <w:t>México: Universidad Autónoma del Estado de </w:t>
      </w:r>
      <w:r>
        <w:rPr>
          <w:color w:val="231F20"/>
          <w:w w:val="96"/>
          <w:sz w:val="21"/>
        </w:rPr>
        <w:t>M</w:t>
      </w:r>
      <w:r>
        <w:rPr>
          <w:color w:val="231F20"/>
          <w:w w:val="104"/>
          <w:sz w:val="21"/>
        </w:rPr>
        <w:t>or</w:t>
      </w:r>
      <w:r>
        <w:rPr>
          <w:color w:val="231F20"/>
          <w:w w:val="96"/>
          <w:sz w:val="21"/>
        </w:rPr>
        <w:t>e</w:t>
      </w:r>
      <w:r>
        <w:rPr>
          <w:color w:val="231F20"/>
          <w:w w:val="84"/>
          <w:sz w:val="21"/>
        </w:rPr>
        <w:t>l</w:t>
      </w:r>
      <w:r>
        <w:rPr>
          <w:color w:val="231F20"/>
          <w:w w:val="101"/>
          <w:sz w:val="21"/>
        </w:rPr>
        <w:t>os</w:t>
      </w:r>
      <w:r>
        <w:rPr>
          <w:color w:val="231F20"/>
          <w:w w:val="185"/>
          <w:sz w:val="21"/>
        </w:rPr>
        <w:t>/</w:t>
      </w:r>
      <w:r>
        <w:rPr>
          <w:color w:val="231F20"/>
          <w:w w:val="88"/>
          <w:sz w:val="21"/>
        </w:rPr>
        <w:t>J</w:t>
      </w:r>
      <w:r>
        <w:rPr>
          <w:color w:val="231F20"/>
          <w:w w:val="100"/>
          <w:sz w:val="21"/>
        </w:rPr>
        <w:t>u</w:t>
      </w:r>
      <w:r>
        <w:rPr>
          <w:color w:val="231F20"/>
          <w:w w:val="94"/>
          <w:sz w:val="21"/>
        </w:rPr>
        <w:t>a</w:t>
      </w:r>
      <w:r>
        <w:rPr>
          <w:color w:val="231F20"/>
          <w:w w:val="104"/>
          <w:sz w:val="21"/>
        </w:rPr>
        <w:t>n</w:t>
      </w:r>
      <w:r>
        <w:rPr>
          <w:color w:val="231F20"/>
          <w:sz w:val="21"/>
        </w:rPr>
        <w:t> </w:t>
      </w:r>
      <w:r>
        <w:rPr>
          <w:color w:val="231F20"/>
          <w:w w:val="99"/>
          <w:sz w:val="21"/>
        </w:rPr>
        <w:t>Pa</w:t>
      </w:r>
      <w:r>
        <w:rPr>
          <w:color w:val="231F20"/>
          <w:w w:val="97"/>
          <w:sz w:val="21"/>
        </w:rPr>
        <w:t>bl</w:t>
      </w:r>
      <w:r>
        <w:rPr>
          <w:color w:val="231F20"/>
          <w:w w:val="101"/>
          <w:sz w:val="21"/>
        </w:rPr>
        <w:t>os</w:t>
      </w:r>
      <w:r>
        <w:rPr>
          <w:color w:val="231F20"/>
          <w:sz w:val="21"/>
        </w:rPr>
        <w:t> </w:t>
      </w:r>
      <w:r>
        <w:rPr>
          <w:color w:val="231F20"/>
          <w:w w:val="110"/>
          <w:sz w:val="21"/>
        </w:rPr>
        <w:t>E</w:t>
      </w:r>
      <w:r>
        <w:rPr>
          <w:color w:val="231F20"/>
          <w:w w:val="102"/>
          <w:sz w:val="21"/>
        </w:rPr>
        <w:t>d</w:t>
      </w:r>
      <w:r>
        <w:rPr>
          <w:color w:val="231F20"/>
          <w:w w:val="84"/>
          <w:sz w:val="21"/>
        </w:rPr>
        <w:t>i</w:t>
      </w:r>
      <w:r>
        <w:rPr>
          <w:color w:val="231F20"/>
          <w:w w:val="107"/>
          <w:sz w:val="21"/>
        </w:rPr>
        <w:t>t</w:t>
      </w:r>
      <w:r>
        <w:rPr>
          <w:color w:val="231F20"/>
          <w:w w:val="104"/>
          <w:sz w:val="21"/>
        </w:rPr>
        <w:t>or</w:t>
      </w:r>
      <w:r>
        <w:rPr>
          <w:color w:val="231F20"/>
          <w:w w:val="90"/>
          <w:sz w:val="21"/>
        </w:rPr>
        <w:t>.</w:t>
      </w:r>
    </w:p>
    <w:p>
      <w:pPr>
        <w:pStyle w:val="BodyText"/>
        <w:spacing w:line="244" w:lineRule="auto" w:before="1"/>
        <w:ind w:left="822" w:right="107" w:hanging="721"/>
      </w:pPr>
      <w:r>
        <w:rPr>
          <w:color w:val="231F20"/>
        </w:rPr>
        <w:t>Torres Meza, Jorge (1984). "Datos y reflexiones sobre la Autono- mía del Instituto Científico y Literario del Estado de Méxi- co", En Pichardo Cruz, Juan Josafat, et al., Testimonios sobre la autonomía institutense. Edición conmemorativa del XL aniversario de la autonomía institutense y universi- taria, Toluca, México: Universidad Autónoma del Estado de</w:t>
      </w:r>
      <w:r>
        <w:rPr>
          <w:color w:val="231F20"/>
          <w:spacing w:val="-12"/>
        </w:rPr>
        <w:t> </w:t>
      </w:r>
      <w:r>
        <w:rPr>
          <w:color w:val="231F20"/>
        </w:rPr>
        <w:t>México</w:t>
      </w:r>
    </w:p>
    <w:p>
      <w:pPr>
        <w:spacing w:line="249" w:lineRule="auto" w:before="3"/>
        <w:ind w:left="822" w:right="66" w:hanging="721"/>
        <w:jc w:val="left"/>
        <w:rPr>
          <w:sz w:val="24"/>
        </w:rPr>
      </w:pPr>
      <w:r>
        <w:rPr>
          <w:color w:val="231F20"/>
          <w:w w:val="95"/>
          <w:sz w:val="21"/>
        </w:rPr>
        <w:t>Warren,</w:t>
      </w:r>
      <w:r>
        <w:rPr>
          <w:color w:val="231F20"/>
          <w:spacing w:val="-21"/>
          <w:w w:val="95"/>
          <w:sz w:val="21"/>
        </w:rPr>
        <w:t> </w:t>
      </w:r>
      <w:r>
        <w:rPr>
          <w:color w:val="231F20"/>
          <w:w w:val="95"/>
          <w:sz w:val="21"/>
        </w:rPr>
        <w:t>Howard</w:t>
      </w:r>
      <w:r>
        <w:rPr>
          <w:color w:val="231F20"/>
          <w:spacing w:val="-21"/>
          <w:w w:val="95"/>
          <w:sz w:val="21"/>
        </w:rPr>
        <w:t> </w:t>
      </w:r>
      <w:r>
        <w:rPr>
          <w:color w:val="231F20"/>
          <w:w w:val="95"/>
          <w:sz w:val="21"/>
        </w:rPr>
        <w:t>Crosby.</w:t>
      </w:r>
      <w:r>
        <w:rPr>
          <w:color w:val="231F20"/>
          <w:spacing w:val="-21"/>
          <w:w w:val="95"/>
          <w:sz w:val="21"/>
        </w:rPr>
        <w:t> </w:t>
      </w:r>
      <w:r>
        <w:rPr>
          <w:color w:val="231F20"/>
          <w:w w:val="95"/>
          <w:sz w:val="21"/>
        </w:rPr>
        <w:t>(2007).</w:t>
      </w:r>
      <w:r>
        <w:rPr>
          <w:color w:val="231F20"/>
          <w:spacing w:val="-21"/>
          <w:w w:val="95"/>
          <w:sz w:val="21"/>
        </w:rPr>
        <w:t> </w:t>
      </w:r>
      <w:r>
        <w:rPr>
          <w:i/>
          <w:color w:val="231F20"/>
          <w:w w:val="95"/>
          <w:sz w:val="21"/>
        </w:rPr>
        <w:t>Diccionario</w:t>
      </w:r>
      <w:r>
        <w:rPr>
          <w:i/>
          <w:color w:val="231F20"/>
          <w:spacing w:val="-21"/>
          <w:w w:val="95"/>
          <w:sz w:val="21"/>
        </w:rPr>
        <w:t> </w:t>
      </w:r>
      <w:r>
        <w:rPr>
          <w:i/>
          <w:color w:val="231F20"/>
          <w:w w:val="95"/>
          <w:sz w:val="21"/>
        </w:rPr>
        <w:t>de</w:t>
      </w:r>
      <w:r>
        <w:rPr>
          <w:i/>
          <w:color w:val="231F20"/>
          <w:spacing w:val="-21"/>
          <w:w w:val="95"/>
          <w:sz w:val="21"/>
        </w:rPr>
        <w:t> </w:t>
      </w:r>
      <w:r>
        <w:rPr>
          <w:i/>
          <w:color w:val="231F20"/>
          <w:w w:val="95"/>
          <w:sz w:val="21"/>
        </w:rPr>
        <w:t>Psicología.</w:t>
      </w:r>
      <w:r>
        <w:rPr>
          <w:i/>
          <w:color w:val="231F20"/>
          <w:spacing w:val="-21"/>
          <w:w w:val="95"/>
          <w:sz w:val="21"/>
        </w:rPr>
        <w:t> </w:t>
      </w:r>
      <w:r>
        <w:rPr>
          <w:color w:val="231F20"/>
          <w:w w:val="95"/>
          <w:sz w:val="21"/>
        </w:rPr>
        <w:t>México: </w:t>
      </w:r>
      <w:r>
        <w:rPr>
          <w:color w:val="231F20"/>
          <w:sz w:val="21"/>
        </w:rPr>
        <w:t>Fondo de Cultura </w:t>
      </w:r>
      <w:r>
        <w:rPr>
          <w:color w:val="231F20"/>
          <w:spacing w:val="13"/>
          <w:sz w:val="21"/>
        </w:rPr>
        <w:t> </w:t>
      </w:r>
      <w:r>
        <w:rPr>
          <w:color w:val="231F20"/>
          <w:sz w:val="21"/>
        </w:rPr>
        <w:t>Económica</w:t>
      </w:r>
      <w:r>
        <w:rPr>
          <w:color w:val="231F20"/>
          <w:sz w:val="24"/>
        </w:rPr>
        <w:t>.</w:t>
      </w:r>
    </w:p>
    <w:p>
      <w:pPr>
        <w:spacing w:after="0" w:line="249" w:lineRule="auto"/>
        <w:jc w:val="left"/>
        <w:rPr>
          <w:sz w:val="24"/>
        </w:rPr>
        <w:sectPr>
          <w:headerReference w:type="default" r:id="rId317"/>
          <w:footerReference w:type="default" r:id="rId318"/>
          <w:pgSz w:w="7830" w:h="11910"/>
          <w:pgMar w:header="0" w:footer="424" w:top="500" w:bottom="620" w:left="920" w:right="980"/>
          <w:pgNumType w:start="146"/>
        </w:sectPr>
      </w:pPr>
    </w:p>
    <w:p>
      <w:pPr>
        <w:pStyle w:val="BodyText"/>
        <w:ind w:left="660"/>
        <w:rPr>
          <w:sz w:val="20"/>
        </w:rPr>
      </w:pPr>
      <w:r>
        <w:rPr>
          <w:sz w:val="20"/>
        </w:rPr>
        <w:pict>
          <v:group style="width:252pt;height:27pt;mso-position-horizontal-relative:char;mso-position-vertical-relative:line" coordorigin="0,0" coordsize="5040,540">
            <v:rect style="position:absolute;left:0;top:0;width:5040;height:540" filled="true" fillcolor="#ffffff" stroked="false">
              <v:fill type="solid"/>
            </v:rect>
          </v:group>
        </w:pict>
      </w:r>
      <w:r>
        <w:rPr>
          <w:sz w:val="20"/>
        </w:rPr>
      </w:r>
    </w:p>
    <w:p>
      <w:pPr>
        <w:pStyle w:val="Heading2"/>
        <w:spacing w:line="320" w:lineRule="exact"/>
        <w:jc w:val="both"/>
      </w:pPr>
      <w:r>
        <w:rPr/>
        <w:pict>
          <v:shape style="position:absolute;margin-left:78.041pt;margin-top:-29.576887pt;width:252pt;height:28.35pt;mso-position-horizontal-relative:page;mso-position-vertical-relative:paragraph;z-index:-483568" type="#_x0000_t202" filled="false" stroked="false">
            <v:textbox inset="0,0,0,0">
              <w:txbxContent>
                <w:p>
                  <w:pPr>
                    <w:spacing w:line="156" w:lineRule="exact" w:before="0"/>
                    <w:ind w:left="822" w:right="0" w:firstLine="0"/>
                    <w:jc w:val="left"/>
                    <w:rPr>
                      <w:sz w:val="13"/>
                    </w:rPr>
                  </w:pPr>
                  <w:r>
                    <w:rPr>
                      <w:color w:val="231F20"/>
                      <w:sz w:val="16"/>
                    </w:rPr>
                    <w:t>E</w:t>
                  </w:r>
                  <w:r>
                    <w:rPr>
                      <w:color w:val="231F20"/>
                      <w:sz w:val="13"/>
                    </w:rPr>
                    <w:t>STUDIOS SOBRE VIOLENCIA EN LA EDUCACIÓN</w:t>
                  </w:r>
                </w:p>
              </w:txbxContent>
            </v:textbox>
            <w10:wrap type="none"/>
          </v:shape>
        </w:pict>
      </w:r>
      <w:bookmarkStart w:name="_TOC_250000" w:id="2"/>
      <w:r>
        <w:rPr>
          <w:color w:val="231F20"/>
          <w:w w:val="105"/>
          <w:sz w:val="28"/>
        </w:rPr>
        <w:t>V</w:t>
      </w:r>
      <w:bookmarkEnd w:id="2"/>
      <w:r>
        <w:rPr>
          <w:color w:val="231F20"/>
          <w:w w:val="105"/>
        </w:rPr>
        <w:t>IOLENCIA E INVESTIGACIÓN</w:t>
      </w:r>
    </w:p>
    <w:p>
      <w:pPr>
        <w:pStyle w:val="BodyText"/>
        <w:spacing w:line="500" w:lineRule="atLeast" w:before="61"/>
        <w:ind w:left="122" w:right="2865"/>
      </w:pPr>
      <w:r>
        <w:rPr>
          <w:color w:val="231F20"/>
        </w:rPr>
        <w:t>Luis Rodolfo Ibarra-Rivas</w:t>
      </w:r>
      <w:r>
        <w:rPr>
          <w:rFonts w:ascii="Symbol" w:hAnsi="Symbol"/>
          <w:color w:val="231F20"/>
          <w:sz w:val="17"/>
        </w:rPr>
        <w:t></w:t>
      </w:r>
      <w:r>
        <w:rPr>
          <w:color w:val="231F20"/>
          <w:sz w:val="17"/>
        </w:rPr>
        <w:t> </w:t>
      </w:r>
      <w:r>
        <w:rPr>
          <w:color w:val="231F20"/>
        </w:rPr>
        <w:t>Resumen</w:t>
      </w:r>
    </w:p>
    <w:p>
      <w:pPr>
        <w:pStyle w:val="BodyText"/>
        <w:spacing w:line="247" w:lineRule="auto" w:before="3"/>
        <w:ind w:left="122" w:right="106"/>
        <w:jc w:val="both"/>
      </w:pPr>
      <w:r>
        <w:rPr>
          <w:color w:val="231F20"/>
        </w:rPr>
        <w:t>Este trabajo parte del supuesto de que estudiantes defienden sus representaciones sociales sobre ciencia, científico y producción científica; cuando les demandan algo distinto a su formas de valorar; entonces, transmitir el oficio científico se dificulta. En ese momento emerge una forma de violencia: bajo ciertas condiciones educativas, la imposición de un arbitrario cultural distinto al que tienen los es- tudiantes, se hace necesario. Educar no siempre debe ser ajeno a cierta violencia. Los resultados muestran la reticencia a la labor del científico, aunque a él lo valoran necesario: no se identifican con esa función social ni con quien la ejecuta. A la ciencia la estiman riguro- sa y la caracterizan por el llamado método científico. Modificar representaciones sociales estudiantiles no siempre es ajeno a cierta violencia.</w:t>
      </w:r>
    </w:p>
    <w:p>
      <w:pPr>
        <w:pStyle w:val="BodyText"/>
        <w:spacing w:before="4"/>
      </w:pPr>
    </w:p>
    <w:p>
      <w:pPr>
        <w:pStyle w:val="BodyText"/>
        <w:spacing w:line="247" w:lineRule="auto"/>
        <w:ind w:left="121" w:right="107"/>
        <w:jc w:val="both"/>
      </w:pPr>
      <w:r>
        <w:rPr>
          <w:color w:val="231F20"/>
        </w:rPr>
        <w:t>Palabras clave: educación, ciencia-científico, representaciones socia- </w:t>
      </w:r>
      <w:r>
        <w:rPr>
          <w:color w:val="231F20"/>
          <w:w w:val="95"/>
        </w:rPr>
        <w:t>les, violencia.</w:t>
      </w:r>
    </w:p>
    <w:p>
      <w:pPr>
        <w:pStyle w:val="BodyText"/>
        <w:spacing w:before="4"/>
      </w:pPr>
    </w:p>
    <w:p>
      <w:pPr>
        <w:pStyle w:val="BodyText"/>
        <w:ind w:left="121"/>
        <w:jc w:val="both"/>
      </w:pPr>
      <w:r>
        <w:rPr>
          <w:color w:val="231F20"/>
        </w:rPr>
        <w:t>Abstract</w:t>
      </w:r>
    </w:p>
    <w:p>
      <w:pPr>
        <w:pStyle w:val="BodyText"/>
        <w:spacing w:line="247" w:lineRule="auto" w:before="3"/>
        <w:ind w:left="121" w:right="106"/>
        <w:jc w:val="both"/>
      </w:pPr>
      <w:r>
        <w:rPr>
          <w:color w:val="231F20"/>
        </w:rPr>
        <w:t>This work assumes that students defend their social representations about science, scientist and scientific production. When they are demanded something that differs from what they value, harder to transmit it becomes the trade of the scientist. At that point, a form   of violence emerges: under certain educative conditions, it becomes necessary to impose a cultural standard different from the one held by the students. Education should not always be distant from cer- tain types of violence. The results show that students are reticent to the work of a scientist, while simultaneously deeming it necessary: they do not identify themselves with that social function or, with   the person who fulfills it. Science is thought as rigurous and </w:t>
      </w:r>
      <w:r>
        <w:rPr>
          <w:color w:val="231F20"/>
          <w:spacing w:val="19"/>
        </w:rPr>
        <w:t> </w:t>
      </w:r>
      <w:r>
        <w:rPr>
          <w:color w:val="231F20"/>
        </w:rPr>
        <w:t>charac-</w:t>
      </w:r>
    </w:p>
    <w:p>
      <w:pPr>
        <w:pStyle w:val="BodyText"/>
        <w:rPr>
          <w:sz w:val="20"/>
        </w:rPr>
      </w:pPr>
    </w:p>
    <w:p>
      <w:pPr>
        <w:pStyle w:val="BodyText"/>
        <w:spacing w:before="7"/>
        <w:rPr>
          <w:sz w:val="16"/>
        </w:rPr>
      </w:pPr>
      <w:r>
        <w:rPr/>
        <w:pict>
          <v:line style="position:absolute;mso-position-horizontal-relative:page;mso-position-vertical-relative:paragraph;z-index:1672;mso-wrap-distance-left:0;mso-wrap-distance-right:0" from="51.110001pt,11.770502pt" to="195.110001pt,11.770502pt" stroked="true" strokeweight=".48pt" strokecolor="#231f20">
            <w10:wrap type="topAndBottom"/>
          </v:line>
        </w:pict>
      </w:r>
    </w:p>
    <w:p>
      <w:pPr>
        <w:spacing w:line="271" w:lineRule="auto" w:before="89"/>
        <w:ind w:left="122" w:right="116" w:firstLine="0"/>
        <w:jc w:val="left"/>
        <w:rPr>
          <w:sz w:val="14"/>
        </w:rPr>
      </w:pPr>
      <w:r>
        <w:rPr>
          <w:rFonts w:ascii="Symbol" w:hAnsi="Symbol"/>
          <w:color w:val="231F20"/>
          <w:position w:val="-4"/>
          <w:sz w:val="17"/>
        </w:rPr>
        <w:t></w:t>
      </w:r>
      <w:r>
        <w:rPr>
          <w:color w:val="231F20"/>
          <w:sz w:val="14"/>
        </w:rPr>
        <w:t>Profesor-investigador</w:t>
      </w:r>
      <w:r>
        <w:rPr>
          <w:color w:val="231F20"/>
          <w:spacing w:val="-13"/>
          <w:sz w:val="14"/>
        </w:rPr>
        <w:t> </w:t>
      </w:r>
      <w:r>
        <w:rPr>
          <w:color w:val="231F20"/>
          <w:sz w:val="14"/>
        </w:rPr>
        <w:t>de</w:t>
      </w:r>
      <w:r>
        <w:rPr>
          <w:color w:val="231F20"/>
          <w:spacing w:val="-13"/>
          <w:sz w:val="14"/>
        </w:rPr>
        <w:t> </w:t>
      </w:r>
      <w:r>
        <w:rPr>
          <w:color w:val="231F20"/>
          <w:sz w:val="14"/>
        </w:rPr>
        <w:t>la</w:t>
      </w:r>
      <w:r>
        <w:rPr>
          <w:color w:val="231F20"/>
          <w:spacing w:val="-13"/>
          <w:sz w:val="14"/>
        </w:rPr>
        <w:t> </w:t>
      </w:r>
      <w:r>
        <w:rPr>
          <w:color w:val="231F20"/>
          <w:sz w:val="14"/>
        </w:rPr>
        <w:t>Universidad</w:t>
      </w:r>
      <w:r>
        <w:rPr>
          <w:color w:val="231F20"/>
          <w:spacing w:val="-13"/>
          <w:sz w:val="14"/>
        </w:rPr>
        <w:t> </w:t>
      </w:r>
      <w:r>
        <w:rPr>
          <w:color w:val="231F20"/>
          <w:sz w:val="14"/>
        </w:rPr>
        <w:t>Autónoma</w:t>
      </w:r>
      <w:r>
        <w:rPr>
          <w:color w:val="231F20"/>
          <w:spacing w:val="-13"/>
          <w:sz w:val="14"/>
        </w:rPr>
        <w:t> </w:t>
      </w:r>
      <w:r>
        <w:rPr>
          <w:color w:val="231F20"/>
          <w:sz w:val="14"/>
        </w:rPr>
        <w:t>de</w:t>
      </w:r>
      <w:r>
        <w:rPr>
          <w:color w:val="231F20"/>
          <w:spacing w:val="-13"/>
          <w:sz w:val="14"/>
        </w:rPr>
        <w:t> </w:t>
      </w:r>
      <w:r>
        <w:rPr>
          <w:color w:val="231F20"/>
          <w:sz w:val="14"/>
        </w:rPr>
        <w:t>Querétaro.</w:t>
      </w:r>
      <w:r>
        <w:rPr>
          <w:color w:val="231F20"/>
          <w:spacing w:val="-13"/>
          <w:sz w:val="14"/>
        </w:rPr>
        <w:t> </w:t>
      </w:r>
      <w:r>
        <w:rPr>
          <w:color w:val="231F20"/>
          <w:sz w:val="14"/>
        </w:rPr>
        <w:t>Indaga</w:t>
      </w:r>
      <w:r>
        <w:rPr>
          <w:color w:val="231F20"/>
          <w:spacing w:val="-13"/>
          <w:sz w:val="14"/>
        </w:rPr>
        <w:t> </w:t>
      </w:r>
      <w:r>
        <w:rPr>
          <w:color w:val="231F20"/>
          <w:sz w:val="14"/>
        </w:rPr>
        <w:t>prácticas</w:t>
      </w:r>
      <w:r>
        <w:rPr>
          <w:color w:val="231F20"/>
          <w:spacing w:val="-13"/>
          <w:sz w:val="14"/>
        </w:rPr>
        <w:t> </w:t>
      </w:r>
      <w:r>
        <w:rPr>
          <w:color w:val="231F20"/>
          <w:sz w:val="14"/>
        </w:rPr>
        <w:t>socio-educativas</w:t>
      </w:r>
      <w:r>
        <w:rPr>
          <w:color w:val="231F20"/>
          <w:spacing w:val="-13"/>
          <w:sz w:val="14"/>
        </w:rPr>
        <w:t> </w:t>
      </w:r>
      <w:r>
        <w:rPr>
          <w:color w:val="231F20"/>
          <w:sz w:val="14"/>
        </w:rPr>
        <w:t>con apoyo</w:t>
      </w:r>
      <w:r>
        <w:rPr>
          <w:color w:val="231F20"/>
          <w:spacing w:val="-16"/>
          <w:sz w:val="14"/>
        </w:rPr>
        <w:t> </w:t>
      </w:r>
      <w:r>
        <w:rPr>
          <w:color w:val="231F20"/>
          <w:sz w:val="14"/>
        </w:rPr>
        <w:t>de</w:t>
      </w:r>
      <w:r>
        <w:rPr>
          <w:color w:val="231F20"/>
          <w:spacing w:val="-13"/>
          <w:sz w:val="14"/>
        </w:rPr>
        <w:t> </w:t>
      </w:r>
      <w:r>
        <w:rPr>
          <w:color w:val="231F20"/>
          <w:sz w:val="14"/>
        </w:rPr>
        <w:t>teorías</w:t>
      </w:r>
      <w:r>
        <w:rPr>
          <w:color w:val="231F20"/>
          <w:spacing w:val="-13"/>
          <w:sz w:val="14"/>
        </w:rPr>
        <w:t> </w:t>
      </w:r>
      <w:r>
        <w:rPr>
          <w:color w:val="231F20"/>
          <w:sz w:val="14"/>
        </w:rPr>
        <w:t>sociológicas</w:t>
      </w:r>
      <w:r>
        <w:rPr>
          <w:color w:val="231F20"/>
          <w:spacing w:val="-13"/>
          <w:sz w:val="14"/>
        </w:rPr>
        <w:t> </w:t>
      </w:r>
      <w:r>
        <w:rPr>
          <w:color w:val="231F20"/>
          <w:sz w:val="14"/>
        </w:rPr>
        <w:t>y</w:t>
      </w:r>
      <w:r>
        <w:rPr>
          <w:color w:val="231F20"/>
          <w:spacing w:val="-13"/>
          <w:sz w:val="14"/>
        </w:rPr>
        <w:t> </w:t>
      </w:r>
      <w:r>
        <w:rPr>
          <w:color w:val="231F20"/>
          <w:sz w:val="14"/>
        </w:rPr>
        <w:t>pedagógicas.</w:t>
      </w:r>
      <w:r>
        <w:rPr>
          <w:color w:val="231F20"/>
          <w:spacing w:val="-14"/>
          <w:sz w:val="14"/>
        </w:rPr>
        <w:t> </w:t>
      </w:r>
      <w:r>
        <w:rPr>
          <w:color w:val="231F20"/>
          <w:sz w:val="14"/>
        </w:rPr>
        <w:t>Es</w:t>
      </w:r>
      <w:r>
        <w:rPr>
          <w:color w:val="231F20"/>
          <w:spacing w:val="-13"/>
          <w:sz w:val="14"/>
        </w:rPr>
        <w:t> </w:t>
      </w:r>
      <w:r>
        <w:rPr>
          <w:color w:val="231F20"/>
          <w:sz w:val="14"/>
        </w:rPr>
        <w:t>investigador</w:t>
      </w:r>
      <w:r>
        <w:rPr>
          <w:color w:val="231F20"/>
          <w:spacing w:val="-14"/>
          <w:sz w:val="14"/>
        </w:rPr>
        <w:t> </w:t>
      </w:r>
      <w:r>
        <w:rPr>
          <w:color w:val="231F20"/>
          <w:sz w:val="14"/>
        </w:rPr>
        <w:t>reconocido</w:t>
      </w:r>
      <w:r>
        <w:rPr>
          <w:color w:val="231F20"/>
          <w:spacing w:val="-13"/>
          <w:sz w:val="14"/>
        </w:rPr>
        <w:t> </w:t>
      </w:r>
      <w:r>
        <w:rPr>
          <w:color w:val="231F20"/>
          <w:sz w:val="14"/>
        </w:rPr>
        <w:t>por</w:t>
      </w:r>
      <w:r>
        <w:rPr>
          <w:color w:val="231F20"/>
          <w:spacing w:val="-14"/>
          <w:sz w:val="14"/>
        </w:rPr>
        <w:t> </w:t>
      </w:r>
      <w:r>
        <w:rPr>
          <w:color w:val="231F20"/>
          <w:sz w:val="14"/>
        </w:rPr>
        <w:t>el</w:t>
      </w:r>
      <w:r>
        <w:rPr>
          <w:color w:val="231F20"/>
          <w:spacing w:val="-14"/>
          <w:sz w:val="14"/>
        </w:rPr>
        <w:t> </w:t>
      </w:r>
      <w:r>
        <w:rPr>
          <w:color w:val="231F20"/>
          <w:sz w:val="14"/>
        </w:rPr>
        <w:t>SNI.</w:t>
      </w:r>
      <w:r>
        <w:rPr>
          <w:color w:val="231F20"/>
          <w:spacing w:val="-14"/>
          <w:sz w:val="14"/>
        </w:rPr>
        <w:t> </w:t>
      </w:r>
      <w:r>
        <w:rPr>
          <w:color w:val="231F20"/>
          <w:sz w:val="14"/>
        </w:rPr>
        <w:t>Ejerce</w:t>
      </w:r>
      <w:r>
        <w:rPr>
          <w:color w:val="231F20"/>
          <w:spacing w:val="-14"/>
          <w:sz w:val="14"/>
        </w:rPr>
        <w:t> </w:t>
      </w:r>
      <w:r>
        <w:rPr>
          <w:color w:val="231F20"/>
          <w:sz w:val="14"/>
        </w:rPr>
        <w:t>la</w:t>
      </w:r>
      <w:r>
        <w:rPr>
          <w:color w:val="231F20"/>
          <w:spacing w:val="-13"/>
          <w:sz w:val="14"/>
        </w:rPr>
        <w:t> </w:t>
      </w:r>
      <w:r>
        <w:rPr>
          <w:color w:val="231F20"/>
          <w:sz w:val="14"/>
        </w:rPr>
        <w:t>docencia</w:t>
      </w:r>
      <w:r>
        <w:rPr>
          <w:color w:val="231F20"/>
          <w:spacing w:val="-13"/>
          <w:sz w:val="14"/>
        </w:rPr>
        <w:t> </w:t>
      </w:r>
      <w:r>
        <w:rPr>
          <w:color w:val="231F20"/>
          <w:sz w:val="14"/>
        </w:rPr>
        <w:t>en</w:t>
      </w:r>
    </w:p>
    <w:p>
      <w:pPr>
        <w:spacing w:before="68"/>
        <w:ind w:left="122" w:right="116" w:firstLine="0"/>
        <w:jc w:val="left"/>
        <w:rPr>
          <w:sz w:val="14"/>
        </w:rPr>
      </w:pPr>
      <w:r>
        <w:rPr>
          <w:color w:val="231F20"/>
          <w:sz w:val="14"/>
        </w:rPr>
        <w:t>la maestría en Ciencias de la Educación y en la licenciatura en Innovación y Gestión Educativa.</w:t>
      </w:r>
    </w:p>
    <w:p>
      <w:pPr>
        <w:spacing w:after="0"/>
        <w:jc w:val="left"/>
        <w:rPr>
          <w:sz w:val="14"/>
        </w:rPr>
        <w:sectPr>
          <w:headerReference w:type="default" r:id="rId319"/>
          <w:footerReference w:type="default" r:id="rId320"/>
          <w:pgSz w:w="7830" w:h="11910"/>
          <w:pgMar w:header="0" w:footer="424" w:top="600" w:bottom="620" w:left="900" w:right="880"/>
          <w:pgNumType w:start="147"/>
        </w:sectPr>
      </w:pPr>
    </w:p>
    <w:p>
      <w:pPr>
        <w:spacing w:before="46"/>
        <w:ind w:left="596"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06"/>
        <w:jc w:val="both"/>
      </w:pPr>
      <w:r>
        <w:rPr>
          <w:color w:val="231F20"/>
        </w:rPr>
        <w:t>terized by the so-called scientific method. The modification of stu- dent’s social representations is not always without some violence.</w:t>
      </w:r>
    </w:p>
    <w:p>
      <w:pPr>
        <w:pStyle w:val="BodyText"/>
        <w:spacing w:before="10"/>
        <w:rPr>
          <w:sz w:val="23"/>
        </w:rPr>
      </w:pPr>
    </w:p>
    <w:p>
      <w:pPr>
        <w:pStyle w:val="BodyText"/>
        <w:spacing w:line="242" w:lineRule="auto"/>
        <w:ind w:left="102" w:right="135"/>
        <w:jc w:val="both"/>
      </w:pPr>
      <w:r>
        <w:rPr>
          <w:color w:val="231F20"/>
        </w:rPr>
        <w:t>Keywords: education, science, scientist, social representation, violence.</w:t>
      </w:r>
    </w:p>
    <w:p>
      <w:pPr>
        <w:pStyle w:val="BodyText"/>
        <w:rPr>
          <w:sz w:val="22"/>
        </w:rPr>
      </w:pPr>
    </w:p>
    <w:p>
      <w:pPr>
        <w:pStyle w:val="BodyText"/>
        <w:spacing w:before="8"/>
        <w:rPr>
          <w:sz w:val="27"/>
        </w:rPr>
      </w:pPr>
    </w:p>
    <w:p>
      <w:pPr>
        <w:pStyle w:val="ListParagraph"/>
        <w:numPr>
          <w:ilvl w:val="0"/>
          <w:numId w:val="6"/>
        </w:numPr>
        <w:tabs>
          <w:tab w:pos="309" w:val="left" w:leader="none"/>
        </w:tabs>
        <w:spacing w:line="240" w:lineRule="auto" w:before="1" w:after="0"/>
        <w:ind w:left="308" w:right="0" w:hanging="206"/>
        <w:jc w:val="both"/>
        <w:rPr>
          <w:color w:val="231F20"/>
          <w:sz w:val="21"/>
        </w:rPr>
      </w:pPr>
      <w:r>
        <w:rPr>
          <w:color w:val="231F20"/>
          <w:w w:val="105"/>
          <w:sz w:val="21"/>
        </w:rPr>
        <w:t>DESCRIPCIÓN DEL</w:t>
      </w:r>
      <w:r>
        <w:rPr>
          <w:color w:val="231F20"/>
          <w:spacing w:val="-18"/>
          <w:w w:val="105"/>
          <w:sz w:val="21"/>
        </w:rPr>
        <w:t> </w:t>
      </w:r>
      <w:r>
        <w:rPr>
          <w:color w:val="231F20"/>
          <w:w w:val="105"/>
          <w:sz w:val="21"/>
        </w:rPr>
        <w:t>PROBLEMA</w:t>
      </w:r>
    </w:p>
    <w:p>
      <w:pPr>
        <w:pStyle w:val="BodyText"/>
        <w:spacing w:before="1"/>
      </w:pPr>
    </w:p>
    <w:p>
      <w:pPr>
        <w:pStyle w:val="BodyText"/>
        <w:spacing w:line="247" w:lineRule="auto" w:before="1"/>
        <w:ind w:left="101" w:right="134"/>
        <w:jc w:val="both"/>
      </w:pPr>
      <w:r>
        <w:rPr>
          <w:color w:val="231F20"/>
        </w:rPr>
        <w:t>La universidad pública tiene tres funciones primordiales:  (1) docencia y formación de estudiantes en sus diversos grados y modalidades, (2) producción de conocimiento y (3) difusión de su producción. Si la universidad tiene tales propósitos, es conveniente investigar cómo sucede el desarrollo de dos de ellas: investigación y formación dentro de ese campo. Es necesario porque  existen  fuerzas sociales o estructuras que favorecen el desarrollo de esas funciones y otras que lo impiden, y, además, porque quizá no se conozcan suficientemente. Un sociólogo francés señaló que en la transmisión del oficio de investigar existen formas duraderas de ser  y de valorar que se reproducen en los campos educativos sin tener plena conciencia de ello (Bourdieu, 1995: 162-163). No existe en la Universidad Autónoma de Querétaro  (UAQ)  suficiente  información empírica y teórica sobre estos procesos; aun cuando sí se avanzó en ello (Franco, 2005 y González, 2004; 2008),según algunos trabajos que muestran los resultados de indagar los  procesos de transmitir el oficio de</w:t>
      </w:r>
      <w:r>
        <w:rPr>
          <w:color w:val="231F20"/>
          <w:spacing w:val="4"/>
        </w:rPr>
        <w:t> </w:t>
      </w:r>
      <w:r>
        <w:rPr>
          <w:color w:val="231F20"/>
        </w:rPr>
        <w:t>investigar.</w:t>
      </w:r>
    </w:p>
    <w:p>
      <w:pPr>
        <w:pStyle w:val="BodyText"/>
        <w:spacing w:line="249" w:lineRule="auto" w:before="15"/>
        <w:ind w:left="102" w:right="133" w:firstLine="284"/>
        <w:jc w:val="both"/>
      </w:pPr>
      <w:r>
        <w:rPr>
          <w:color w:val="231F20"/>
        </w:rPr>
        <w:t>La </w:t>
      </w:r>
      <w:r>
        <w:rPr>
          <w:color w:val="231F20"/>
          <w:spacing w:val="2"/>
        </w:rPr>
        <w:t>experiencia como profesor universitario me  permite  advertir </w:t>
      </w:r>
      <w:r>
        <w:rPr>
          <w:color w:val="231F20"/>
          <w:spacing w:val="3"/>
        </w:rPr>
        <w:t>problemas </w:t>
      </w:r>
      <w:r>
        <w:rPr>
          <w:color w:val="231F20"/>
          <w:spacing w:val="2"/>
        </w:rPr>
        <w:t>relacionados con prácticas socio-educativas </w:t>
      </w:r>
      <w:r>
        <w:rPr>
          <w:color w:val="231F20"/>
        </w:rPr>
        <w:t>de </w:t>
      </w:r>
      <w:r>
        <w:rPr>
          <w:color w:val="231F20"/>
          <w:spacing w:val="2"/>
        </w:rPr>
        <w:t>enseñar </w:t>
      </w:r>
      <w:r>
        <w:rPr>
          <w:color w:val="231F20"/>
        </w:rPr>
        <w:t>o </w:t>
      </w:r>
      <w:r>
        <w:rPr>
          <w:color w:val="231F20"/>
          <w:spacing w:val="2"/>
        </w:rPr>
        <w:t>propiciar </w:t>
      </w:r>
      <w:r>
        <w:rPr>
          <w:color w:val="231F20"/>
        </w:rPr>
        <w:t>el </w:t>
      </w:r>
      <w:r>
        <w:rPr>
          <w:color w:val="231F20"/>
          <w:spacing w:val="2"/>
        </w:rPr>
        <w:t>trabajo </w:t>
      </w:r>
      <w:r>
        <w:rPr>
          <w:color w:val="231F20"/>
          <w:spacing w:val="3"/>
        </w:rPr>
        <w:t>humano </w:t>
      </w:r>
      <w:r>
        <w:rPr>
          <w:color w:val="231F20"/>
          <w:spacing w:val="2"/>
        </w:rPr>
        <w:t>del oficio </w:t>
      </w:r>
      <w:r>
        <w:rPr>
          <w:color w:val="231F20"/>
        </w:rPr>
        <w:t>de </w:t>
      </w:r>
      <w:r>
        <w:rPr>
          <w:color w:val="231F20"/>
          <w:spacing w:val="2"/>
        </w:rPr>
        <w:t>investigar. De manera informal, </w:t>
      </w:r>
      <w:r>
        <w:rPr>
          <w:color w:val="231F20"/>
        </w:rPr>
        <w:t>en </w:t>
      </w:r>
      <w:r>
        <w:rPr>
          <w:color w:val="231F20"/>
          <w:spacing w:val="2"/>
        </w:rPr>
        <w:t>conversaciones </w:t>
      </w:r>
      <w:r>
        <w:rPr>
          <w:color w:val="231F20"/>
        </w:rPr>
        <w:t>con </w:t>
      </w:r>
      <w:r>
        <w:rPr>
          <w:color w:val="231F20"/>
          <w:spacing w:val="2"/>
        </w:rPr>
        <w:t>colegas académicos, </w:t>
      </w:r>
      <w:r>
        <w:rPr>
          <w:color w:val="231F20"/>
          <w:spacing w:val="3"/>
        </w:rPr>
        <w:t>expresamos </w:t>
      </w:r>
      <w:r>
        <w:rPr>
          <w:color w:val="231F20"/>
          <w:spacing w:val="2"/>
        </w:rPr>
        <w:t>una </w:t>
      </w:r>
      <w:r>
        <w:rPr>
          <w:color w:val="231F20"/>
          <w:spacing w:val="3"/>
        </w:rPr>
        <w:t>preocupación común: </w:t>
      </w:r>
      <w:r>
        <w:rPr>
          <w:color w:val="231F20"/>
          <w:spacing w:val="2"/>
        </w:rPr>
        <w:t>enfrentar estudiantes poco participativos, muy callados con respecto </w:t>
      </w:r>
      <w:r>
        <w:rPr>
          <w:color w:val="231F20"/>
        </w:rPr>
        <w:t>a lo que se </w:t>
      </w:r>
      <w:r>
        <w:rPr>
          <w:color w:val="231F20"/>
          <w:spacing w:val="2"/>
        </w:rPr>
        <w:t>enseña, pero muy parlanchines entre </w:t>
      </w:r>
      <w:r>
        <w:rPr>
          <w:color w:val="231F20"/>
        </w:rPr>
        <w:t>ellos </w:t>
      </w:r>
      <w:r>
        <w:rPr>
          <w:color w:val="231F20"/>
          <w:spacing w:val="2"/>
        </w:rPr>
        <w:t>sobre </w:t>
      </w:r>
      <w:r>
        <w:rPr>
          <w:color w:val="231F20"/>
        </w:rPr>
        <w:t>sus </w:t>
      </w:r>
      <w:r>
        <w:rPr>
          <w:color w:val="231F20"/>
          <w:spacing w:val="2"/>
        </w:rPr>
        <w:t>propios asuntos; los </w:t>
      </w:r>
      <w:r>
        <w:rPr>
          <w:color w:val="231F20"/>
          <w:spacing w:val="3"/>
        </w:rPr>
        <w:t>alumnos </w:t>
      </w:r>
      <w:r>
        <w:rPr>
          <w:color w:val="231F20"/>
          <w:spacing w:val="2"/>
        </w:rPr>
        <w:t>muestran poco interés por </w:t>
      </w:r>
      <w:r>
        <w:rPr>
          <w:color w:val="231F20"/>
        </w:rPr>
        <w:t>lo que el </w:t>
      </w:r>
      <w:r>
        <w:rPr>
          <w:color w:val="231F20"/>
          <w:spacing w:val="3"/>
        </w:rPr>
        <w:t>profesor </w:t>
      </w:r>
      <w:r>
        <w:rPr>
          <w:color w:val="231F20"/>
          <w:spacing w:val="2"/>
        </w:rPr>
        <w:t>dice </w:t>
      </w:r>
      <w:r>
        <w:rPr>
          <w:color w:val="231F20"/>
        </w:rPr>
        <w:t>o </w:t>
      </w:r>
      <w:r>
        <w:rPr>
          <w:color w:val="231F20"/>
          <w:spacing w:val="2"/>
        </w:rPr>
        <w:t>hace  </w:t>
      </w:r>
      <w:r>
        <w:rPr>
          <w:color w:val="231F20"/>
        </w:rPr>
        <w:t>en las </w:t>
      </w:r>
      <w:r>
        <w:rPr>
          <w:color w:val="231F20"/>
          <w:spacing w:val="2"/>
        </w:rPr>
        <w:t>aulas </w:t>
      </w:r>
      <w:r>
        <w:rPr>
          <w:color w:val="231F20"/>
        </w:rPr>
        <w:t>y </w:t>
      </w:r>
      <w:r>
        <w:rPr>
          <w:color w:val="231F20"/>
          <w:spacing w:val="2"/>
        </w:rPr>
        <w:t>poca repuesta </w:t>
      </w:r>
      <w:r>
        <w:rPr>
          <w:color w:val="231F20"/>
        </w:rPr>
        <w:t>a las </w:t>
      </w:r>
      <w:r>
        <w:rPr>
          <w:color w:val="231F20"/>
          <w:spacing w:val="2"/>
        </w:rPr>
        <w:t>tareas que </w:t>
      </w:r>
      <w:r>
        <w:rPr>
          <w:color w:val="231F20"/>
        </w:rPr>
        <w:t>se les </w:t>
      </w:r>
      <w:r>
        <w:rPr>
          <w:color w:val="231F20"/>
          <w:spacing w:val="2"/>
        </w:rPr>
        <w:t>asignan. </w:t>
      </w:r>
      <w:r>
        <w:rPr>
          <w:color w:val="231F20"/>
        </w:rPr>
        <w:t>Es un </w:t>
      </w:r>
      <w:r>
        <w:rPr>
          <w:color w:val="231F20"/>
          <w:spacing w:val="2"/>
        </w:rPr>
        <w:t>lugar </w:t>
      </w:r>
      <w:r>
        <w:rPr>
          <w:color w:val="231F20"/>
          <w:spacing w:val="3"/>
        </w:rPr>
        <w:t>común </w:t>
      </w:r>
      <w:r>
        <w:rPr>
          <w:color w:val="231F20"/>
          <w:spacing w:val="2"/>
        </w:rPr>
        <w:t>escuchar: “…los </w:t>
      </w:r>
      <w:r>
        <w:rPr>
          <w:color w:val="231F20"/>
          <w:spacing w:val="3"/>
        </w:rPr>
        <w:t>muchachos </w:t>
      </w:r>
      <w:r>
        <w:rPr>
          <w:color w:val="231F20"/>
        </w:rPr>
        <w:t>no </w:t>
      </w:r>
      <w:r>
        <w:rPr>
          <w:color w:val="231F20"/>
          <w:spacing w:val="2"/>
        </w:rPr>
        <w:t>buscan </w:t>
      </w:r>
      <w:r>
        <w:rPr>
          <w:color w:val="231F20"/>
          <w:spacing w:val="3"/>
        </w:rPr>
        <w:t>información, </w:t>
      </w:r>
      <w:r>
        <w:rPr>
          <w:color w:val="231F20"/>
        </w:rPr>
        <w:t>se </w:t>
      </w:r>
      <w:r>
        <w:rPr>
          <w:color w:val="231F20"/>
          <w:spacing w:val="3"/>
        </w:rPr>
        <w:t>conforman </w:t>
      </w:r>
      <w:r>
        <w:rPr>
          <w:color w:val="231F20"/>
          <w:spacing w:val="2"/>
        </w:rPr>
        <w:t>con </w:t>
      </w:r>
      <w:r>
        <w:rPr>
          <w:color w:val="231F20"/>
        </w:rPr>
        <w:t>lo </w:t>
      </w:r>
      <w:r>
        <w:rPr>
          <w:color w:val="231F20"/>
          <w:spacing w:val="2"/>
        </w:rPr>
        <w:t>dado </w:t>
      </w:r>
      <w:r>
        <w:rPr>
          <w:color w:val="231F20"/>
        </w:rPr>
        <w:t>en </w:t>
      </w:r>
      <w:r>
        <w:rPr>
          <w:color w:val="231F20"/>
          <w:spacing w:val="2"/>
        </w:rPr>
        <w:t>clase, </w:t>
      </w:r>
      <w:r>
        <w:rPr>
          <w:color w:val="231F20"/>
        </w:rPr>
        <w:t>no </w:t>
      </w:r>
      <w:r>
        <w:rPr>
          <w:color w:val="231F20"/>
          <w:spacing w:val="2"/>
        </w:rPr>
        <w:t>cuestionan, </w:t>
      </w:r>
      <w:r>
        <w:rPr>
          <w:color w:val="231F20"/>
          <w:spacing w:val="3"/>
        </w:rPr>
        <w:t>aprenden </w:t>
      </w:r>
      <w:r>
        <w:rPr>
          <w:color w:val="231F20"/>
          <w:spacing w:val="4"/>
        </w:rPr>
        <w:t>de </w:t>
      </w:r>
      <w:r>
        <w:rPr>
          <w:color w:val="231F20"/>
          <w:spacing w:val="3"/>
        </w:rPr>
        <w:t>memoria”. </w:t>
      </w:r>
      <w:r>
        <w:rPr>
          <w:color w:val="231F20"/>
          <w:spacing w:val="2"/>
        </w:rPr>
        <w:t>Profesores </w:t>
      </w:r>
      <w:r>
        <w:rPr>
          <w:color w:val="231F20"/>
        </w:rPr>
        <w:t>de </w:t>
      </w:r>
      <w:r>
        <w:rPr>
          <w:color w:val="231F20"/>
          <w:spacing w:val="2"/>
        </w:rPr>
        <w:t>seminarios </w:t>
      </w:r>
      <w:r>
        <w:rPr>
          <w:color w:val="231F20"/>
        </w:rPr>
        <w:t>de </w:t>
      </w:r>
      <w:r>
        <w:rPr>
          <w:color w:val="231F20"/>
          <w:spacing w:val="2"/>
        </w:rPr>
        <w:t>investigación acaso </w:t>
      </w:r>
      <w:r>
        <w:rPr>
          <w:color w:val="231F20"/>
          <w:spacing w:val="3"/>
        </w:rPr>
        <w:t>no comprendan </w:t>
      </w:r>
      <w:r>
        <w:rPr>
          <w:color w:val="231F20"/>
          <w:spacing w:val="2"/>
        </w:rPr>
        <w:t>que  sus </w:t>
      </w:r>
      <w:r>
        <w:rPr>
          <w:color w:val="231F20"/>
          <w:spacing w:val="3"/>
        </w:rPr>
        <w:t>alumnos </w:t>
      </w:r>
      <w:r>
        <w:rPr>
          <w:color w:val="231F20"/>
        </w:rPr>
        <w:t>no  </w:t>
      </w:r>
      <w:r>
        <w:rPr>
          <w:color w:val="231F20"/>
          <w:spacing w:val="3"/>
        </w:rPr>
        <w:t>comprenden </w:t>
      </w:r>
      <w:r>
        <w:rPr>
          <w:color w:val="231F20"/>
          <w:spacing w:val="2"/>
        </w:rPr>
        <w:t>(Bachelard,  </w:t>
      </w:r>
      <w:r>
        <w:rPr>
          <w:color w:val="231F20"/>
          <w:spacing w:val="13"/>
        </w:rPr>
        <w:t> </w:t>
      </w:r>
      <w:r>
        <w:rPr>
          <w:color w:val="231F20"/>
          <w:spacing w:val="3"/>
        </w:rPr>
        <w:t>1981:</w:t>
      </w:r>
    </w:p>
    <w:p>
      <w:pPr>
        <w:spacing w:after="0" w:line="249" w:lineRule="auto"/>
        <w:jc w:val="both"/>
        <w:sectPr>
          <w:headerReference w:type="default" r:id="rId321"/>
          <w:footerReference w:type="default" r:id="rId322"/>
          <w:pgSz w:w="7830" w:h="11910"/>
          <w:pgMar w:header="0" w:footer="424" w:top="500" w:bottom="620" w:left="920" w:right="880"/>
          <w:pgNumType w:start="14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7"/>
        <w:jc w:val="both"/>
      </w:pPr>
      <w:r>
        <w:rPr>
          <w:color w:val="231F20"/>
        </w:rPr>
        <w:t>20); quizá una limitante seria es la representación social de infalibilidad al explicar: todos comprenden lo que enseño. Tal vez, como señaló Bachelard, no tengan idea de sus fracasos y se las atribuyan a sus estudiantes.</w:t>
      </w:r>
    </w:p>
    <w:p>
      <w:pPr>
        <w:pStyle w:val="BodyText"/>
        <w:spacing w:line="249" w:lineRule="auto" w:before="1"/>
        <w:ind w:left="102" w:right="114" w:firstLine="284"/>
        <w:jc w:val="both"/>
      </w:pPr>
      <w:r>
        <w:rPr>
          <w:color w:val="231F20"/>
          <w:spacing w:val="2"/>
        </w:rPr>
        <w:t>Los estudiantes, </w:t>
      </w:r>
      <w:r>
        <w:rPr>
          <w:color w:val="231F20"/>
        </w:rPr>
        <w:t>en </w:t>
      </w:r>
      <w:r>
        <w:rPr>
          <w:color w:val="231F20"/>
          <w:spacing w:val="2"/>
        </w:rPr>
        <w:t>general, </w:t>
      </w:r>
      <w:r>
        <w:rPr>
          <w:color w:val="231F20"/>
        </w:rPr>
        <w:t>se </w:t>
      </w:r>
      <w:r>
        <w:rPr>
          <w:color w:val="231F20"/>
          <w:spacing w:val="2"/>
        </w:rPr>
        <w:t>quejan </w:t>
      </w:r>
      <w:r>
        <w:rPr>
          <w:color w:val="231F20"/>
        </w:rPr>
        <w:t>de </w:t>
      </w:r>
      <w:r>
        <w:rPr>
          <w:color w:val="231F20"/>
          <w:spacing w:val="2"/>
        </w:rPr>
        <w:t>poca integración </w:t>
      </w:r>
      <w:r>
        <w:rPr>
          <w:color w:val="231F20"/>
        </w:rPr>
        <w:t>en  </w:t>
      </w:r>
      <w:r>
        <w:rPr>
          <w:color w:val="231F20"/>
          <w:spacing w:val="2"/>
        </w:rPr>
        <w:t>los </w:t>
      </w:r>
      <w:r>
        <w:rPr>
          <w:color w:val="231F20"/>
          <w:spacing w:val="3"/>
        </w:rPr>
        <w:t>conocimientos, </w:t>
      </w:r>
      <w:r>
        <w:rPr>
          <w:color w:val="231F20"/>
        </w:rPr>
        <w:t>de </w:t>
      </w:r>
      <w:r>
        <w:rPr>
          <w:color w:val="231F20"/>
          <w:spacing w:val="2"/>
        </w:rPr>
        <w:t>clases </w:t>
      </w:r>
      <w:r>
        <w:rPr>
          <w:color w:val="231F20"/>
          <w:spacing w:val="3"/>
        </w:rPr>
        <w:t>muy </w:t>
      </w:r>
      <w:r>
        <w:rPr>
          <w:color w:val="231F20"/>
          <w:spacing w:val="2"/>
        </w:rPr>
        <w:t>teóricas </w:t>
      </w:r>
      <w:r>
        <w:rPr>
          <w:color w:val="231F20"/>
        </w:rPr>
        <w:t>y </w:t>
      </w:r>
      <w:r>
        <w:rPr>
          <w:color w:val="231F20"/>
          <w:spacing w:val="2"/>
        </w:rPr>
        <w:t>con escasa relación con </w:t>
      </w:r>
      <w:r>
        <w:rPr>
          <w:color w:val="231F20"/>
        </w:rPr>
        <w:t>la </w:t>
      </w:r>
      <w:r>
        <w:rPr>
          <w:color w:val="231F20"/>
          <w:spacing w:val="2"/>
        </w:rPr>
        <w:t>práctica investigativa, incluso </w:t>
      </w:r>
      <w:r>
        <w:rPr>
          <w:color w:val="231F20"/>
        </w:rPr>
        <w:t>se </w:t>
      </w:r>
      <w:r>
        <w:rPr>
          <w:color w:val="231F20"/>
          <w:spacing w:val="2"/>
        </w:rPr>
        <w:t>quejan </w:t>
      </w:r>
      <w:r>
        <w:rPr>
          <w:color w:val="231F20"/>
        </w:rPr>
        <w:t>de </w:t>
      </w:r>
      <w:r>
        <w:rPr>
          <w:color w:val="231F20"/>
          <w:spacing w:val="2"/>
        </w:rPr>
        <w:t>clases aburridas, </w:t>
      </w:r>
      <w:r>
        <w:rPr>
          <w:color w:val="231F20"/>
          <w:spacing w:val="3"/>
        </w:rPr>
        <w:t>muy </w:t>
      </w:r>
      <w:r>
        <w:rPr>
          <w:color w:val="231F20"/>
          <w:spacing w:val="2"/>
        </w:rPr>
        <w:t>pesadas, difíciles, </w:t>
      </w:r>
      <w:r>
        <w:rPr>
          <w:color w:val="231F20"/>
        </w:rPr>
        <w:t>o </w:t>
      </w:r>
      <w:r>
        <w:rPr>
          <w:color w:val="231F20"/>
          <w:spacing w:val="2"/>
        </w:rPr>
        <w:t>que juzgan </w:t>
      </w:r>
      <w:r>
        <w:rPr>
          <w:color w:val="231F20"/>
        </w:rPr>
        <w:t>sin </w:t>
      </w:r>
      <w:r>
        <w:rPr>
          <w:color w:val="231F20"/>
          <w:spacing w:val="2"/>
        </w:rPr>
        <w:t>relación </w:t>
      </w:r>
      <w:r>
        <w:rPr>
          <w:color w:val="231F20"/>
        </w:rPr>
        <w:t>con el </w:t>
      </w:r>
      <w:r>
        <w:rPr>
          <w:color w:val="231F20"/>
          <w:spacing w:val="2"/>
        </w:rPr>
        <w:t>ejercicio </w:t>
      </w:r>
      <w:r>
        <w:rPr>
          <w:color w:val="231F20"/>
        </w:rPr>
        <w:t>de </w:t>
      </w:r>
      <w:r>
        <w:rPr>
          <w:color w:val="231F20"/>
          <w:spacing w:val="2"/>
        </w:rPr>
        <w:t>profesional. No </w:t>
      </w:r>
      <w:r>
        <w:rPr>
          <w:color w:val="231F20"/>
        </w:rPr>
        <w:t>es </w:t>
      </w:r>
      <w:r>
        <w:rPr>
          <w:color w:val="231F20"/>
          <w:spacing w:val="3"/>
        </w:rPr>
        <w:t>común </w:t>
      </w:r>
      <w:r>
        <w:rPr>
          <w:color w:val="231F20"/>
        </w:rPr>
        <w:t>que </w:t>
      </w:r>
      <w:r>
        <w:rPr>
          <w:color w:val="231F20"/>
          <w:spacing w:val="2"/>
        </w:rPr>
        <w:t>relacionen </w:t>
      </w:r>
      <w:r>
        <w:rPr>
          <w:color w:val="231F20"/>
        </w:rPr>
        <w:t>la </w:t>
      </w:r>
      <w:r>
        <w:rPr>
          <w:color w:val="231F20"/>
          <w:spacing w:val="2"/>
        </w:rPr>
        <w:t>investigación con </w:t>
      </w:r>
      <w:r>
        <w:rPr>
          <w:color w:val="231F20"/>
        </w:rPr>
        <w:t>su </w:t>
      </w:r>
      <w:r>
        <w:rPr>
          <w:color w:val="231F20"/>
          <w:spacing w:val="2"/>
        </w:rPr>
        <w:t>ejercicio profesional. Quizá </w:t>
      </w:r>
      <w:r>
        <w:rPr>
          <w:color w:val="231F20"/>
        </w:rPr>
        <w:t>ni </w:t>
      </w:r>
      <w:r>
        <w:rPr>
          <w:color w:val="231F20"/>
          <w:spacing w:val="2"/>
        </w:rPr>
        <w:t>sus </w:t>
      </w:r>
      <w:r>
        <w:rPr>
          <w:color w:val="231F20"/>
          <w:spacing w:val="3"/>
        </w:rPr>
        <w:t>profesores </w:t>
      </w:r>
      <w:r>
        <w:rPr>
          <w:color w:val="231F20"/>
        </w:rPr>
        <w:t>la </w:t>
      </w:r>
      <w:r>
        <w:rPr>
          <w:color w:val="231F20"/>
          <w:spacing w:val="3"/>
        </w:rPr>
        <w:t>encuentren </w:t>
      </w:r>
      <w:r>
        <w:rPr>
          <w:color w:val="231F20"/>
        </w:rPr>
        <w:t>o, </w:t>
      </w:r>
      <w:r>
        <w:rPr>
          <w:color w:val="231F20"/>
          <w:spacing w:val="3"/>
        </w:rPr>
        <w:t>al </w:t>
      </w:r>
      <w:r>
        <w:rPr>
          <w:color w:val="231F20"/>
          <w:spacing w:val="2"/>
        </w:rPr>
        <w:t>menos, </w:t>
      </w:r>
      <w:r>
        <w:rPr>
          <w:color w:val="231F20"/>
        </w:rPr>
        <w:t>no se la  </w:t>
      </w:r>
      <w:r>
        <w:rPr>
          <w:color w:val="231F20"/>
          <w:spacing w:val="2"/>
        </w:rPr>
        <w:t>hicieron ver. Los estudiantes acaso </w:t>
      </w:r>
      <w:r>
        <w:rPr>
          <w:color w:val="231F20"/>
        </w:rPr>
        <w:t>no  </w:t>
      </w:r>
      <w:r>
        <w:rPr>
          <w:color w:val="231F20"/>
          <w:spacing w:val="2"/>
        </w:rPr>
        <w:t>valoren  </w:t>
      </w:r>
      <w:r>
        <w:rPr>
          <w:color w:val="231F20"/>
        </w:rPr>
        <w:t>que su </w:t>
      </w:r>
      <w:r>
        <w:rPr>
          <w:color w:val="231F20"/>
          <w:spacing w:val="2"/>
        </w:rPr>
        <w:t>ignorancia </w:t>
      </w:r>
      <w:r>
        <w:rPr>
          <w:color w:val="231F20"/>
        </w:rPr>
        <w:t>o </w:t>
      </w:r>
      <w:r>
        <w:rPr>
          <w:color w:val="231F20"/>
          <w:spacing w:val="2"/>
        </w:rPr>
        <w:t>algún tipo </w:t>
      </w:r>
      <w:r>
        <w:rPr>
          <w:color w:val="231F20"/>
        </w:rPr>
        <w:t>de </w:t>
      </w:r>
      <w:r>
        <w:rPr>
          <w:color w:val="231F20"/>
          <w:spacing w:val="3"/>
        </w:rPr>
        <w:t>sentimientos </w:t>
      </w:r>
      <w:r>
        <w:rPr>
          <w:color w:val="231F20"/>
          <w:spacing w:val="2"/>
        </w:rPr>
        <w:t>los llevan </w:t>
      </w:r>
      <w:r>
        <w:rPr>
          <w:color w:val="231F20"/>
        </w:rPr>
        <w:t>a </w:t>
      </w:r>
      <w:r>
        <w:rPr>
          <w:color w:val="231F20"/>
          <w:spacing w:val="2"/>
        </w:rPr>
        <w:t>despreciar </w:t>
      </w:r>
      <w:r>
        <w:rPr>
          <w:color w:val="231F20"/>
        </w:rPr>
        <w:t>la </w:t>
      </w:r>
      <w:r>
        <w:rPr>
          <w:color w:val="231F20"/>
          <w:spacing w:val="2"/>
        </w:rPr>
        <w:t>oferta </w:t>
      </w:r>
      <w:r>
        <w:rPr>
          <w:color w:val="231F20"/>
        </w:rPr>
        <w:t>de </w:t>
      </w:r>
      <w:r>
        <w:rPr>
          <w:color w:val="231F20"/>
          <w:spacing w:val="2"/>
        </w:rPr>
        <w:t>prácticas socio-educativas dirigidas </w:t>
      </w:r>
      <w:r>
        <w:rPr>
          <w:color w:val="231F20"/>
        </w:rPr>
        <w:t>a la </w:t>
      </w:r>
      <w:r>
        <w:rPr>
          <w:color w:val="231F20"/>
          <w:spacing w:val="2"/>
        </w:rPr>
        <w:t>investigación, </w:t>
      </w:r>
      <w:r>
        <w:rPr>
          <w:color w:val="231F20"/>
        </w:rPr>
        <w:t>ni su </w:t>
      </w:r>
      <w:r>
        <w:rPr>
          <w:color w:val="231F20"/>
          <w:spacing w:val="2"/>
        </w:rPr>
        <w:t>disposicionalidad </w:t>
      </w:r>
      <w:r>
        <w:rPr>
          <w:color w:val="231F20"/>
          <w:spacing w:val="3"/>
        </w:rPr>
        <w:t>predeterminada </w:t>
      </w:r>
      <w:r>
        <w:rPr>
          <w:color w:val="231F20"/>
          <w:spacing w:val="2"/>
        </w:rPr>
        <w:t>(Vattimo 2002: 36-38). </w:t>
      </w:r>
      <w:r>
        <w:rPr>
          <w:color w:val="231F20"/>
        </w:rPr>
        <w:t>El </w:t>
      </w:r>
      <w:r>
        <w:rPr>
          <w:color w:val="231F20"/>
          <w:spacing w:val="2"/>
        </w:rPr>
        <w:t>tedio </w:t>
      </w:r>
      <w:r>
        <w:rPr>
          <w:color w:val="231F20"/>
        </w:rPr>
        <w:t>y el </w:t>
      </w:r>
      <w:r>
        <w:rPr>
          <w:color w:val="231F20"/>
          <w:spacing w:val="2"/>
        </w:rPr>
        <w:t>aburrimiento </w:t>
      </w:r>
      <w:r>
        <w:rPr>
          <w:color w:val="231F20"/>
        </w:rPr>
        <w:t>no se </w:t>
      </w:r>
      <w:r>
        <w:rPr>
          <w:color w:val="231F20"/>
          <w:spacing w:val="2"/>
        </w:rPr>
        <w:t>explican por </w:t>
      </w:r>
      <w:r>
        <w:rPr>
          <w:color w:val="231F20"/>
          <w:spacing w:val="3"/>
        </w:rPr>
        <w:t>sí mismos, </w:t>
      </w:r>
      <w:r>
        <w:rPr>
          <w:color w:val="231F20"/>
          <w:spacing w:val="2"/>
        </w:rPr>
        <w:t>alguna responsabilidad tiene </w:t>
      </w:r>
      <w:r>
        <w:rPr>
          <w:color w:val="231F20"/>
        </w:rPr>
        <w:t>el </w:t>
      </w:r>
      <w:r>
        <w:rPr>
          <w:color w:val="231F20"/>
          <w:spacing w:val="3"/>
        </w:rPr>
        <w:t>maestro, </w:t>
      </w:r>
      <w:r>
        <w:rPr>
          <w:color w:val="231F20"/>
          <w:spacing w:val="2"/>
        </w:rPr>
        <w:t>los </w:t>
      </w:r>
      <w:r>
        <w:rPr>
          <w:color w:val="231F20"/>
          <w:spacing w:val="3"/>
        </w:rPr>
        <w:t>contenidos,   </w:t>
      </w:r>
      <w:r>
        <w:rPr>
          <w:color w:val="231F20"/>
        </w:rPr>
        <w:t>el </w:t>
      </w:r>
      <w:r>
        <w:rPr>
          <w:color w:val="231F20"/>
          <w:spacing w:val="3"/>
        </w:rPr>
        <w:t>grupo, </w:t>
      </w:r>
      <w:r>
        <w:rPr>
          <w:color w:val="231F20"/>
        </w:rPr>
        <w:t>y </w:t>
      </w:r>
      <w:r>
        <w:rPr>
          <w:color w:val="231F20"/>
          <w:spacing w:val="2"/>
        </w:rPr>
        <w:t>otra más, </w:t>
      </w:r>
      <w:r>
        <w:rPr>
          <w:color w:val="231F20"/>
        </w:rPr>
        <w:t>la </w:t>
      </w:r>
      <w:r>
        <w:rPr>
          <w:color w:val="231F20"/>
          <w:spacing w:val="2"/>
        </w:rPr>
        <w:t>disposición </w:t>
      </w:r>
      <w:r>
        <w:rPr>
          <w:color w:val="231F20"/>
        </w:rPr>
        <w:t>de </w:t>
      </w:r>
      <w:r>
        <w:rPr>
          <w:color w:val="231F20"/>
          <w:spacing w:val="2"/>
        </w:rPr>
        <w:t>los estudiantes </w:t>
      </w:r>
      <w:r>
        <w:rPr>
          <w:color w:val="231F20"/>
        </w:rPr>
        <w:t>a</w:t>
      </w:r>
      <w:r>
        <w:rPr>
          <w:color w:val="231F20"/>
          <w:spacing w:val="-4"/>
        </w:rPr>
        <w:t> </w:t>
      </w:r>
      <w:r>
        <w:rPr>
          <w:color w:val="231F20"/>
          <w:spacing w:val="2"/>
        </w:rPr>
        <w:t>investigar.</w:t>
      </w:r>
    </w:p>
    <w:p>
      <w:pPr>
        <w:pStyle w:val="BodyText"/>
        <w:spacing w:line="249" w:lineRule="auto" w:before="3"/>
        <w:ind w:left="102" w:right="115" w:firstLine="284"/>
        <w:jc w:val="both"/>
      </w:pPr>
      <w:r>
        <w:rPr>
          <w:color w:val="231F20"/>
          <w:spacing w:val="3"/>
        </w:rPr>
        <w:t>Formar </w:t>
      </w:r>
      <w:r>
        <w:rPr>
          <w:color w:val="231F20"/>
          <w:spacing w:val="2"/>
        </w:rPr>
        <w:t>profesionales </w:t>
      </w:r>
      <w:r>
        <w:rPr>
          <w:color w:val="231F20"/>
        </w:rPr>
        <w:t>en un </w:t>
      </w:r>
      <w:r>
        <w:rPr>
          <w:color w:val="231F20"/>
          <w:spacing w:val="2"/>
        </w:rPr>
        <w:t>área científica </w:t>
      </w:r>
      <w:r>
        <w:rPr>
          <w:color w:val="231F20"/>
          <w:spacing w:val="3"/>
        </w:rPr>
        <w:t>imperiosamente </w:t>
      </w:r>
      <w:r>
        <w:rPr>
          <w:color w:val="231F20"/>
          <w:spacing w:val="2"/>
        </w:rPr>
        <w:t>debiera abrazar </w:t>
      </w:r>
      <w:r>
        <w:rPr>
          <w:i/>
          <w:color w:val="231F20"/>
        </w:rPr>
        <w:t>el </w:t>
      </w:r>
      <w:r>
        <w:rPr>
          <w:i/>
          <w:color w:val="231F20"/>
          <w:spacing w:val="2"/>
        </w:rPr>
        <w:t>trabajo humano </w:t>
      </w:r>
      <w:r>
        <w:rPr>
          <w:color w:val="231F20"/>
          <w:spacing w:val="2"/>
        </w:rPr>
        <w:t>sobre investigar (Ibarra,2010). Debiera </w:t>
      </w:r>
      <w:r>
        <w:rPr>
          <w:color w:val="231F20"/>
        </w:rPr>
        <w:t>ser </w:t>
      </w:r>
      <w:r>
        <w:rPr>
          <w:color w:val="231F20"/>
          <w:spacing w:val="2"/>
        </w:rPr>
        <w:t>irrecusable generar </w:t>
      </w:r>
      <w:r>
        <w:rPr>
          <w:color w:val="231F20"/>
        </w:rPr>
        <w:t>en los </w:t>
      </w:r>
      <w:r>
        <w:rPr>
          <w:color w:val="231F20"/>
          <w:spacing w:val="2"/>
        </w:rPr>
        <w:t>jóvenes </w:t>
      </w:r>
      <w:r>
        <w:rPr>
          <w:color w:val="231F20"/>
        </w:rPr>
        <w:t>en </w:t>
      </w:r>
      <w:r>
        <w:rPr>
          <w:color w:val="231F20"/>
          <w:spacing w:val="2"/>
        </w:rPr>
        <w:t>formación, </w:t>
      </w:r>
      <w:r>
        <w:rPr>
          <w:color w:val="231F20"/>
          <w:spacing w:val="3"/>
        </w:rPr>
        <w:t>representaciones </w:t>
      </w:r>
      <w:r>
        <w:rPr>
          <w:color w:val="231F20"/>
          <w:spacing w:val="2"/>
        </w:rPr>
        <w:t>sociales </w:t>
      </w:r>
      <w:r>
        <w:rPr>
          <w:color w:val="231F20"/>
        </w:rPr>
        <w:t>que </w:t>
      </w:r>
      <w:r>
        <w:rPr>
          <w:color w:val="231F20"/>
          <w:spacing w:val="2"/>
        </w:rPr>
        <w:t>los </w:t>
      </w:r>
      <w:r>
        <w:rPr>
          <w:color w:val="231F20"/>
          <w:spacing w:val="3"/>
        </w:rPr>
        <w:t>conduzcan </w:t>
      </w:r>
      <w:r>
        <w:rPr>
          <w:color w:val="231F20"/>
        </w:rPr>
        <w:t>a </w:t>
      </w:r>
      <w:r>
        <w:rPr>
          <w:color w:val="231F20"/>
          <w:spacing w:val="2"/>
        </w:rPr>
        <w:t>valorar </w:t>
      </w:r>
      <w:r>
        <w:rPr>
          <w:color w:val="231F20"/>
          <w:spacing w:val="3"/>
        </w:rPr>
        <w:t>las </w:t>
      </w:r>
      <w:r>
        <w:rPr>
          <w:color w:val="231F20"/>
          <w:spacing w:val="2"/>
        </w:rPr>
        <w:t>actividades </w:t>
      </w:r>
      <w:r>
        <w:rPr>
          <w:color w:val="231F20"/>
          <w:spacing w:val="3"/>
        </w:rPr>
        <w:t>humanas </w:t>
      </w:r>
      <w:r>
        <w:rPr>
          <w:color w:val="231F20"/>
        </w:rPr>
        <w:t>que </w:t>
      </w:r>
      <w:r>
        <w:rPr>
          <w:color w:val="231F20"/>
          <w:spacing w:val="3"/>
        </w:rPr>
        <w:t>forman </w:t>
      </w:r>
      <w:r>
        <w:rPr>
          <w:color w:val="231F20"/>
        </w:rPr>
        <w:t>al ser </w:t>
      </w:r>
      <w:r>
        <w:rPr>
          <w:color w:val="231F20"/>
          <w:spacing w:val="3"/>
        </w:rPr>
        <w:t>humano: </w:t>
      </w:r>
      <w:r>
        <w:rPr>
          <w:color w:val="231F20"/>
        </w:rPr>
        <w:t>(1) </w:t>
      </w:r>
      <w:r>
        <w:rPr>
          <w:color w:val="231F20"/>
          <w:spacing w:val="3"/>
        </w:rPr>
        <w:t>aprender: </w:t>
      </w:r>
      <w:r>
        <w:rPr>
          <w:color w:val="231F20"/>
          <w:spacing w:val="2"/>
        </w:rPr>
        <w:t>actividad explicada por diversas teorías </w:t>
      </w:r>
      <w:r>
        <w:rPr>
          <w:color w:val="231F20"/>
        </w:rPr>
        <w:t>de la </w:t>
      </w:r>
      <w:r>
        <w:rPr>
          <w:color w:val="231F20"/>
          <w:spacing w:val="2"/>
        </w:rPr>
        <w:t>psicología </w:t>
      </w:r>
      <w:r>
        <w:rPr>
          <w:color w:val="231F20"/>
        </w:rPr>
        <w:t>de la </w:t>
      </w:r>
      <w:r>
        <w:rPr>
          <w:color w:val="231F20"/>
          <w:spacing w:val="3"/>
        </w:rPr>
        <w:t>educación; </w:t>
      </w:r>
      <w:r>
        <w:rPr>
          <w:color w:val="231F20"/>
        </w:rPr>
        <w:t>(2) </w:t>
      </w:r>
      <w:r>
        <w:rPr>
          <w:color w:val="231F20"/>
          <w:spacing w:val="3"/>
        </w:rPr>
        <w:t>conocer: </w:t>
      </w:r>
      <w:r>
        <w:rPr>
          <w:color w:val="231F20"/>
          <w:spacing w:val="2"/>
        </w:rPr>
        <w:t>tarea que </w:t>
      </w:r>
      <w:r>
        <w:rPr>
          <w:color w:val="231F20"/>
        </w:rPr>
        <w:t>la </w:t>
      </w:r>
      <w:r>
        <w:rPr>
          <w:color w:val="231F20"/>
          <w:spacing w:val="2"/>
        </w:rPr>
        <w:t>epistemología explica </w:t>
      </w:r>
      <w:r>
        <w:rPr>
          <w:color w:val="231F20"/>
        </w:rPr>
        <w:t>de </w:t>
      </w:r>
      <w:r>
        <w:rPr>
          <w:color w:val="231F20"/>
          <w:spacing w:val="2"/>
        </w:rPr>
        <w:t>distintas </w:t>
      </w:r>
      <w:r>
        <w:rPr>
          <w:color w:val="231F20"/>
          <w:spacing w:val="3"/>
        </w:rPr>
        <w:t>maneras; </w:t>
      </w:r>
      <w:r>
        <w:rPr>
          <w:color w:val="231F20"/>
        </w:rPr>
        <w:t>(3) </w:t>
      </w:r>
      <w:r>
        <w:rPr>
          <w:color w:val="231F20"/>
          <w:spacing w:val="2"/>
        </w:rPr>
        <w:t>pensar: labor </w:t>
      </w:r>
      <w:r>
        <w:rPr>
          <w:color w:val="231F20"/>
        </w:rPr>
        <w:t>que  </w:t>
      </w:r>
      <w:r>
        <w:rPr>
          <w:color w:val="231F20"/>
          <w:spacing w:val="2"/>
        </w:rPr>
        <w:t>distintos  </w:t>
      </w:r>
      <w:r>
        <w:rPr>
          <w:color w:val="231F20"/>
          <w:spacing w:val="3"/>
        </w:rPr>
        <w:t>filósofos </w:t>
      </w:r>
      <w:r>
        <w:rPr>
          <w:color w:val="231F20"/>
          <w:spacing w:val="2"/>
        </w:rPr>
        <w:t>estudian </w:t>
      </w:r>
      <w:r>
        <w:rPr>
          <w:color w:val="231F20"/>
        </w:rPr>
        <w:t>y </w:t>
      </w:r>
      <w:r>
        <w:rPr>
          <w:color w:val="231F20"/>
          <w:spacing w:val="2"/>
        </w:rPr>
        <w:t>materializan con </w:t>
      </w:r>
      <w:r>
        <w:rPr>
          <w:color w:val="231F20"/>
        </w:rPr>
        <w:t>la </w:t>
      </w:r>
      <w:r>
        <w:rPr>
          <w:color w:val="231F20"/>
          <w:spacing w:val="3"/>
        </w:rPr>
        <w:t>producción </w:t>
      </w:r>
      <w:r>
        <w:rPr>
          <w:color w:val="231F20"/>
        </w:rPr>
        <w:t>de </w:t>
      </w:r>
      <w:r>
        <w:rPr>
          <w:color w:val="231F20"/>
          <w:spacing w:val="3"/>
        </w:rPr>
        <w:t>conceptos, </w:t>
      </w:r>
      <w:r>
        <w:rPr>
          <w:color w:val="231F20"/>
          <w:spacing w:val="2"/>
        </w:rPr>
        <w:t>teorías </w:t>
      </w:r>
      <w:r>
        <w:rPr>
          <w:color w:val="231F20"/>
        </w:rPr>
        <w:t>o </w:t>
      </w:r>
      <w:r>
        <w:rPr>
          <w:color w:val="231F20"/>
          <w:spacing w:val="2"/>
        </w:rPr>
        <w:t>modelos; </w:t>
      </w:r>
      <w:r>
        <w:rPr>
          <w:color w:val="231F20"/>
        </w:rPr>
        <w:t>(4) </w:t>
      </w:r>
      <w:r>
        <w:rPr>
          <w:color w:val="231F20"/>
          <w:spacing w:val="2"/>
        </w:rPr>
        <w:t>reflexionar: actividad </w:t>
      </w:r>
      <w:r>
        <w:rPr>
          <w:color w:val="231F20"/>
        </w:rPr>
        <w:t>que </w:t>
      </w:r>
      <w:r>
        <w:rPr>
          <w:color w:val="231F20"/>
          <w:spacing w:val="2"/>
        </w:rPr>
        <w:t>conduce </w:t>
      </w:r>
      <w:r>
        <w:rPr>
          <w:color w:val="231F20"/>
        </w:rPr>
        <w:t>a </w:t>
      </w:r>
      <w:r>
        <w:rPr>
          <w:color w:val="231F20"/>
          <w:spacing w:val="2"/>
        </w:rPr>
        <w:t>tomar </w:t>
      </w:r>
      <w:r>
        <w:rPr>
          <w:color w:val="231F20"/>
          <w:spacing w:val="3"/>
        </w:rPr>
        <w:t>una </w:t>
      </w:r>
      <w:r>
        <w:rPr>
          <w:color w:val="231F20"/>
          <w:spacing w:val="2"/>
        </w:rPr>
        <w:t>postura política, ética, estética </w:t>
      </w:r>
      <w:r>
        <w:rPr>
          <w:color w:val="231F20"/>
        </w:rPr>
        <w:t>o, en </w:t>
      </w:r>
      <w:r>
        <w:rPr>
          <w:color w:val="231F20"/>
          <w:spacing w:val="2"/>
        </w:rPr>
        <w:t>general, </w:t>
      </w:r>
      <w:r>
        <w:rPr>
          <w:color w:val="231F20"/>
        </w:rPr>
        <w:t>en el </w:t>
      </w:r>
      <w:r>
        <w:rPr>
          <w:color w:val="231F20"/>
          <w:spacing w:val="2"/>
        </w:rPr>
        <w:t>desarrollo </w:t>
      </w:r>
      <w:r>
        <w:rPr>
          <w:color w:val="231F20"/>
          <w:spacing w:val="3"/>
        </w:rPr>
        <w:t>humano; </w:t>
      </w:r>
      <w:r>
        <w:rPr>
          <w:color w:val="231F20"/>
          <w:spacing w:val="2"/>
        </w:rPr>
        <w:t>reflexionar </w:t>
      </w:r>
      <w:r>
        <w:rPr>
          <w:color w:val="231F20"/>
        </w:rPr>
        <w:t>o </w:t>
      </w:r>
      <w:r>
        <w:rPr>
          <w:color w:val="231F20"/>
          <w:spacing w:val="2"/>
        </w:rPr>
        <w:t>formular juicios </w:t>
      </w:r>
      <w:r>
        <w:rPr>
          <w:color w:val="231F20"/>
        </w:rPr>
        <w:t>se </w:t>
      </w:r>
      <w:r>
        <w:rPr>
          <w:color w:val="231F20"/>
          <w:spacing w:val="2"/>
        </w:rPr>
        <w:t>facilita </w:t>
      </w:r>
      <w:r>
        <w:rPr>
          <w:color w:val="231F20"/>
        </w:rPr>
        <w:t>si se </w:t>
      </w:r>
      <w:r>
        <w:rPr>
          <w:color w:val="231F20"/>
          <w:spacing w:val="3"/>
        </w:rPr>
        <w:t>conocen </w:t>
      </w:r>
      <w:r>
        <w:rPr>
          <w:color w:val="231F20"/>
          <w:spacing w:val="2"/>
        </w:rPr>
        <w:t>teorías </w:t>
      </w:r>
      <w:r>
        <w:rPr>
          <w:color w:val="231F20"/>
        </w:rPr>
        <w:t>de </w:t>
      </w:r>
      <w:r>
        <w:rPr>
          <w:color w:val="231F20"/>
          <w:spacing w:val="2"/>
        </w:rPr>
        <w:t>esos </w:t>
      </w:r>
      <w:r>
        <w:rPr>
          <w:color w:val="231F20"/>
          <w:spacing w:val="3"/>
        </w:rPr>
        <w:t>ámbitos; </w:t>
      </w:r>
      <w:r>
        <w:rPr>
          <w:color w:val="231F20"/>
        </w:rPr>
        <w:t>y </w:t>
      </w:r>
      <w:r>
        <w:rPr>
          <w:color w:val="231F20"/>
          <w:spacing w:val="2"/>
        </w:rPr>
        <w:t>(5) </w:t>
      </w:r>
      <w:r>
        <w:rPr>
          <w:color w:val="231F20"/>
        </w:rPr>
        <w:t>la </w:t>
      </w:r>
      <w:r>
        <w:rPr>
          <w:color w:val="231F20"/>
          <w:spacing w:val="2"/>
        </w:rPr>
        <w:t>acción inteligente </w:t>
      </w:r>
      <w:r>
        <w:rPr>
          <w:color w:val="231F20"/>
        </w:rPr>
        <w:t>o </w:t>
      </w:r>
      <w:r>
        <w:rPr>
          <w:color w:val="231F20"/>
          <w:spacing w:val="2"/>
        </w:rPr>
        <w:t>praxis: también </w:t>
      </w:r>
      <w:r>
        <w:rPr>
          <w:color w:val="231F20"/>
        </w:rPr>
        <w:t>es </w:t>
      </w:r>
      <w:r>
        <w:rPr>
          <w:color w:val="231F20"/>
          <w:spacing w:val="3"/>
        </w:rPr>
        <w:t>mostrada </w:t>
      </w:r>
      <w:r>
        <w:rPr>
          <w:color w:val="231F20"/>
          <w:spacing w:val="2"/>
        </w:rPr>
        <w:t>por filósofos cuando </w:t>
      </w:r>
      <w:r>
        <w:rPr>
          <w:color w:val="231F20"/>
          <w:spacing w:val="3"/>
        </w:rPr>
        <w:t>comentan </w:t>
      </w:r>
      <w:r>
        <w:rPr>
          <w:color w:val="231F20"/>
          <w:spacing w:val="2"/>
        </w:rPr>
        <w:t>nexos entre teorías </w:t>
      </w:r>
      <w:r>
        <w:rPr>
          <w:color w:val="231F20"/>
        </w:rPr>
        <w:t>y </w:t>
      </w:r>
      <w:r>
        <w:rPr>
          <w:color w:val="231F20"/>
          <w:spacing w:val="2"/>
        </w:rPr>
        <w:t>acciones </w:t>
      </w:r>
      <w:r>
        <w:rPr>
          <w:color w:val="231F20"/>
          <w:spacing w:val="3"/>
        </w:rPr>
        <w:t>humanas. </w:t>
      </w:r>
      <w:r>
        <w:rPr>
          <w:color w:val="231F20"/>
          <w:spacing w:val="2"/>
        </w:rPr>
        <w:t>Estas cinco actividades </w:t>
      </w:r>
      <w:r>
        <w:rPr>
          <w:color w:val="231F20"/>
          <w:spacing w:val="3"/>
        </w:rPr>
        <w:t>conforman </w:t>
      </w:r>
      <w:r>
        <w:rPr>
          <w:color w:val="231F20"/>
        </w:rPr>
        <w:t>el </w:t>
      </w:r>
      <w:r>
        <w:rPr>
          <w:color w:val="231F20"/>
          <w:spacing w:val="2"/>
        </w:rPr>
        <w:t>“trabajo</w:t>
      </w:r>
      <w:r>
        <w:rPr>
          <w:color w:val="231F20"/>
          <w:spacing w:val="29"/>
        </w:rPr>
        <w:t> </w:t>
      </w:r>
      <w:r>
        <w:rPr>
          <w:color w:val="231F20"/>
          <w:spacing w:val="3"/>
        </w:rPr>
        <w:t>humano”.</w:t>
      </w:r>
    </w:p>
    <w:p>
      <w:pPr>
        <w:pStyle w:val="BodyText"/>
        <w:spacing w:line="247" w:lineRule="auto"/>
        <w:ind w:left="102" w:right="115" w:firstLine="284"/>
        <w:jc w:val="both"/>
      </w:pPr>
      <w:r>
        <w:rPr>
          <w:color w:val="231F20"/>
        </w:rPr>
        <w:t>Es necesario el “trabajo humano” en las prácticas socio- educativas que contribuyen a apropiarse del oficio de investigar. Lo que el sentido común docente llama “proceso enseñanza- aprendizaje” esconde bajo ese rubro las cinco actividades antes enunciadas. Es ocultado porque con dos verbos, “aprender”y“enseñar”,  se  dejan  de  lado  por  otras  acciones    que</w:t>
      </w:r>
    </w:p>
    <w:p>
      <w:pPr>
        <w:spacing w:after="0" w:line="247" w:lineRule="auto"/>
        <w:jc w:val="both"/>
        <w:sectPr>
          <w:headerReference w:type="default" r:id="rId323"/>
          <w:footerReference w:type="default" r:id="rId324"/>
          <w:pgSz w:w="7830" w:h="11910"/>
          <w:pgMar w:header="0" w:footer="424" w:top="500" w:bottom="620" w:left="920" w:right="900"/>
          <w:pgNumType w:start="14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jc w:val="both"/>
      </w:pPr>
      <w:r>
        <w:rPr>
          <w:color w:val="231F20"/>
        </w:rPr>
        <w:t>realizan las personas al formarse. Por ejemplo, es usual que algún profesor, ante un conflicto ético o político, pretenda llevar a sus alumnos a que tomen una postura de manera  consciente  o deliberada; una forma es “enseñando”: en la mayoría de los casos propinan un sermón; aunque también existen otras prácticas socio- educativas en las que profesores colocan en situaciones dilemáticas  a sus estudiantes para que, mediante el diálogo y la reflexión, se generen algunos acuerdos y, en consecuencia, algunas posturas compartidas.</w:t>
      </w:r>
    </w:p>
    <w:p>
      <w:pPr>
        <w:pStyle w:val="BodyText"/>
        <w:spacing w:line="247" w:lineRule="auto"/>
        <w:ind w:left="101" w:right="119" w:firstLine="284"/>
        <w:jc w:val="both"/>
      </w:pPr>
      <w:r>
        <w:rPr>
          <w:color w:val="231F20"/>
          <w:spacing w:val="2"/>
        </w:rPr>
        <w:t>Otro caso, </w:t>
      </w:r>
      <w:r>
        <w:rPr>
          <w:color w:val="231F20"/>
        </w:rPr>
        <w:t>lo </w:t>
      </w:r>
      <w:r>
        <w:rPr>
          <w:color w:val="231F20"/>
          <w:spacing w:val="2"/>
        </w:rPr>
        <w:t>“poco participativo”, queja </w:t>
      </w:r>
      <w:r>
        <w:rPr>
          <w:color w:val="231F20"/>
        </w:rPr>
        <w:t>de </w:t>
      </w:r>
      <w:r>
        <w:rPr>
          <w:color w:val="231F20"/>
          <w:spacing w:val="2"/>
        </w:rPr>
        <w:t>maestros sobre </w:t>
      </w:r>
      <w:r>
        <w:rPr>
          <w:color w:val="231F20"/>
          <w:spacing w:val="3"/>
        </w:rPr>
        <w:t>alumnos, </w:t>
      </w:r>
      <w:r>
        <w:rPr>
          <w:color w:val="231F20"/>
          <w:spacing w:val="2"/>
        </w:rPr>
        <w:t>está relacionado con </w:t>
      </w:r>
      <w:r>
        <w:rPr>
          <w:color w:val="231F20"/>
        </w:rPr>
        <w:t>un </w:t>
      </w:r>
      <w:r>
        <w:rPr>
          <w:color w:val="231F20"/>
          <w:spacing w:val="2"/>
        </w:rPr>
        <w:t>reclamo </w:t>
      </w:r>
      <w:r>
        <w:rPr>
          <w:color w:val="231F20"/>
        </w:rPr>
        <w:t>de </w:t>
      </w:r>
      <w:r>
        <w:rPr>
          <w:color w:val="231F20"/>
          <w:spacing w:val="2"/>
        </w:rPr>
        <w:t>una  </w:t>
      </w:r>
      <w:r>
        <w:rPr>
          <w:color w:val="231F20"/>
          <w:spacing w:val="3"/>
        </w:rPr>
        <w:t>toma  </w:t>
      </w:r>
      <w:r>
        <w:rPr>
          <w:color w:val="231F20"/>
        </w:rPr>
        <w:t>de  </w:t>
      </w:r>
      <w:r>
        <w:rPr>
          <w:color w:val="231F20"/>
          <w:spacing w:val="2"/>
        </w:rPr>
        <w:t>posición distinta ante </w:t>
      </w:r>
      <w:r>
        <w:rPr>
          <w:color w:val="231F20"/>
        </w:rPr>
        <w:t>la </w:t>
      </w:r>
      <w:r>
        <w:rPr>
          <w:color w:val="231F20"/>
          <w:spacing w:val="2"/>
        </w:rPr>
        <w:t>ciencia: dejar </w:t>
      </w:r>
      <w:r>
        <w:rPr>
          <w:color w:val="231F20"/>
        </w:rPr>
        <w:t>de ser </w:t>
      </w:r>
      <w:r>
        <w:rPr>
          <w:color w:val="231F20"/>
          <w:spacing w:val="2"/>
        </w:rPr>
        <w:t>espectador </w:t>
      </w:r>
      <w:r>
        <w:rPr>
          <w:color w:val="231F20"/>
        </w:rPr>
        <w:t>y en su </w:t>
      </w:r>
      <w:r>
        <w:rPr>
          <w:color w:val="231F20"/>
          <w:spacing w:val="2"/>
        </w:rPr>
        <w:t>lugar contribuir </w:t>
      </w:r>
      <w:r>
        <w:rPr>
          <w:color w:val="231F20"/>
        </w:rPr>
        <w:t>a </w:t>
      </w:r>
      <w:r>
        <w:rPr>
          <w:color w:val="231F20"/>
          <w:spacing w:val="2"/>
        </w:rPr>
        <w:t>recrearla, tanto </w:t>
      </w:r>
      <w:r>
        <w:rPr>
          <w:color w:val="231F20"/>
        </w:rPr>
        <w:t>en  el </w:t>
      </w:r>
      <w:r>
        <w:rPr>
          <w:color w:val="231F20"/>
          <w:spacing w:val="2"/>
        </w:rPr>
        <w:t>proceso educativo </w:t>
      </w:r>
      <w:r>
        <w:rPr>
          <w:color w:val="231F20"/>
          <w:spacing w:val="3"/>
        </w:rPr>
        <w:t>como</w:t>
      </w:r>
      <w:r>
        <w:rPr>
          <w:color w:val="231F20"/>
          <w:spacing w:val="58"/>
        </w:rPr>
        <w:t> </w:t>
      </w:r>
      <w:r>
        <w:rPr>
          <w:color w:val="231F20"/>
        </w:rPr>
        <w:t>en </w:t>
      </w:r>
      <w:r>
        <w:rPr>
          <w:color w:val="231F20"/>
          <w:spacing w:val="2"/>
        </w:rPr>
        <w:t>sus </w:t>
      </w:r>
      <w:r>
        <w:rPr>
          <w:color w:val="231F20"/>
          <w:spacing w:val="3"/>
        </w:rPr>
        <w:t>productos. </w:t>
      </w:r>
      <w:r>
        <w:rPr>
          <w:color w:val="231F20"/>
          <w:spacing w:val="2"/>
        </w:rPr>
        <w:t>Ni qué decir </w:t>
      </w:r>
      <w:r>
        <w:rPr>
          <w:color w:val="231F20"/>
        </w:rPr>
        <w:t>de </w:t>
      </w:r>
      <w:r>
        <w:rPr>
          <w:color w:val="231F20"/>
          <w:spacing w:val="2"/>
        </w:rPr>
        <w:t>que, esos dos verbos (enseñar- </w:t>
      </w:r>
      <w:r>
        <w:rPr>
          <w:color w:val="231F20"/>
          <w:spacing w:val="3"/>
        </w:rPr>
        <w:t>aprender) </w:t>
      </w:r>
      <w:r>
        <w:rPr>
          <w:color w:val="231F20"/>
          <w:spacing w:val="2"/>
        </w:rPr>
        <w:t>también encubren otras extraordinarias capacidades </w:t>
      </w:r>
      <w:r>
        <w:rPr>
          <w:color w:val="231F20"/>
          <w:spacing w:val="3"/>
        </w:rPr>
        <w:t>humanas: conocer </w:t>
      </w:r>
      <w:r>
        <w:rPr>
          <w:color w:val="231F20"/>
        </w:rPr>
        <w:t>de </w:t>
      </w:r>
      <w:r>
        <w:rPr>
          <w:color w:val="231F20"/>
          <w:spacing w:val="2"/>
        </w:rPr>
        <w:t>manera </w:t>
      </w:r>
      <w:r>
        <w:rPr>
          <w:color w:val="231F20"/>
          <w:spacing w:val="3"/>
        </w:rPr>
        <w:t>autónoma </w:t>
      </w:r>
      <w:r>
        <w:rPr>
          <w:color w:val="231F20"/>
        </w:rPr>
        <w:t>y </w:t>
      </w:r>
      <w:r>
        <w:rPr>
          <w:color w:val="231F20"/>
          <w:spacing w:val="2"/>
        </w:rPr>
        <w:t>transformar </w:t>
      </w:r>
      <w:r>
        <w:rPr>
          <w:color w:val="231F20"/>
        </w:rPr>
        <w:t>la </w:t>
      </w:r>
      <w:r>
        <w:rPr>
          <w:color w:val="231F20"/>
          <w:spacing w:val="2"/>
        </w:rPr>
        <w:t>realidad   </w:t>
      </w:r>
      <w:r>
        <w:rPr>
          <w:color w:val="231F20"/>
        </w:rPr>
        <w:t>o</w:t>
      </w:r>
      <w:r>
        <w:rPr>
          <w:color w:val="231F20"/>
          <w:spacing w:val="-7"/>
        </w:rPr>
        <w:t> </w:t>
      </w:r>
      <w:r>
        <w:rPr>
          <w:i/>
          <w:color w:val="231F20"/>
          <w:spacing w:val="2"/>
        </w:rPr>
        <w:t>praxis,</w:t>
      </w:r>
      <w:r>
        <w:rPr>
          <w:i/>
          <w:color w:val="231F20"/>
          <w:spacing w:val="-8"/>
        </w:rPr>
        <w:t> </w:t>
      </w:r>
      <w:r>
        <w:rPr>
          <w:color w:val="231F20"/>
        </w:rPr>
        <w:t>en</w:t>
      </w:r>
      <w:r>
        <w:rPr>
          <w:color w:val="231F20"/>
          <w:spacing w:val="-7"/>
        </w:rPr>
        <w:t> </w:t>
      </w:r>
      <w:r>
        <w:rPr>
          <w:color w:val="231F20"/>
          <w:spacing w:val="3"/>
        </w:rPr>
        <w:t>condiciones</w:t>
      </w:r>
      <w:r>
        <w:rPr>
          <w:color w:val="231F20"/>
          <w:spacing w:val="-8"/>
        </w:rPr>
        <w:t> </w:t>
      </w:r>
      <w:r>
        <w:rPr>
          <w:color w:val="231F20"/>
          <w:spacing w:val="2"/>
        </w:rPr>
        <w:t>socio-históricas</w:t>
      </w:r>
      <w:r>
        <w:rPr>
          <w:color w:val="231F20"/>
          <w:spacing w:val="-7"/>
        </w:rPr>
        <w:t> </w:t>
      </w:r>
      <w:r>
        <w:rPr>
          <w:color w:val="231F20"/>
          <w:spacing w:val="2"/>
        </w:rPr>
        <w:t>determinadas.</w:t>
      </w:r>
    </w:p>
    <w:p>
      <w:pPr>
        <w:pStyle w:val="BodyText"/>
        <w:spacing w:line="249" w:lineRule="auto" w:before="6"/>
        <w:ind w:left="101" w:right="116" w:firstLine="284"/>
        <w:jc w:val="both"/>
      </w:pPr>
      <w:r>
        <w:rPr>
          <w:color w:val="231F20"/>
          <w:spacing w:val="3"/>
        </w:rPr>
        <w:t>En </w:t>
      </w:r>
      <w:r>
        <w:rPr>
          <w:color w:val="231F20"/>
          <w:spacing w:val="2"/>
        </w:rPr>
        <w:t>el </w:t>
      </w:r>
      <w:r>
        <w:rPr>
          <w:color w:val="231F20"/>
          <w:spacing w:val="3"/>
        </w:rPr>
        <w:t>aula, </w:t>
      </w:r>
      <w:r>
        <w:rPr>
          <w:color w:val="231F20"/>
        </w:rPr>
        <w:t>y </w:t>
      </w:r>
      <w:r>
        <w:rPr>
          <w:color w:val="231F20"/>
          <w:spacing w:val="4"/>
        </w:rPr>
        <w:t>fuera </w:t>
      </w:r>
      <w:r>
        <w:rPr>
          <w:color w:val="231F20"/>
          <w:spacing w:val="3"/>
        </w:rPr>
        <w:t>de ella, </w:t>
      </w:r>
      <w:r>
        <w:rPr>
          <w:color w:val="231F20"/>
          <w:spacing w:val="4"/>
        </w:rPr>
        <w:t>ocurren prácticas educativas, también </w:t>
      </w:r>
      <w:r>
        <w:rPr>
          <w:color w:val="231F20"/>
          <w:spacing w:val="3"/>
        </w:rPr>
        <w:t>hay </w:t>
      </w:r>
      <w:r>
        <w:rPr>
          <w:color w:val="231F20"/>
          <w:spacing w:val="4"/>
        </w:rPr>
        <w:t>otras prácticas </w:t>
      </w:r>
      <w:r>
        <w:rPr>
          <w:color w:val="231F20"/>
          <w:spacing w:val="2"/>
        </w:rPr>
        <w:t>de </w:t>
      </w:r>
      <w:r>
        <w:rPr>
          <w:color w:val="231F20"/>
          <w:spacing w:val="4"/>
        </w:rPr>
        <w:t>naturaleza lúdica, </w:t>
      </w:r>
      <w:r>
        <w:rPr>
          <w:color w:val="231F20"/>
          <w:spacing w:val="2"/>
        </w:rPr>
        <w:t>de  </w:t>
      </w:r>
      <w:r>
        <w:rPr>
          <w:color w:val="231F20"/>
          <w:spacing w:val="4"/>
        </w:rPr>
        <w:t>relación social </w:t>
      </w:r>
      <w:r>
        <w:rPr>
          <w:color w:val="231F20"/>
          <w:spacing w:val="2"/>
        </w:rPr>
        <w:t>e, </w:t>
      </w:r>
      <w:r>
        <w:rPr>
          <w:color w:val="231F20"/>
          <w:spacing w:val="4"/>
        </w:rPr>
        <w:t>incluso, otras amorosas. </w:t>
      </w:r>
      <w:r>
        <w:rPr>
          <w:color w:val="231F20"/>
          <w:spacing w:val="3"/>
        </w:rPr>
        <w:t>En </w:t>
      </w:r>
      <w:r>
        <w:rPr>
          <w:color w:val="231F20"/>
          <w:spacing w:val="5"/>
        </w:rPr>
        <w:t>momentos </w:t>
      </w:r>
      <w:r>
        <w:rPr>
          <w:color w:val="231F20"/>
          <w:spacing w:val="2"/>
        </w:rPr>
        <w:t>el </w:t>
      </w:r>
      <w:r>
        <w:rPr>
          <w:color w:val="231F20"/>
          <w:spacing w:val="4"/>
        </w:rPr>
        <w:t>juego </w:t>
      </w:r>
      <w:r>
        <w:rPr>
          <w:color w:val="231F20"/>
        </w:rPr>
        <w:t>y </w:t>
      </w:r>
      <w:r>
        <w:rPr>
          <w:color w:val="231F20"/>
          <w:spacing w:val="2"/>
        </w:rPr>
        <w:t>la </w:t>
      </w:r>
      <w:r>
        <w:rPr>
          <w:color w:val="231F20"/>
          <w:spacing w:val="4"/>
        </w:rPr>
        <w:t>conversación, ajenos </w:t>
      </w:r>
      <w:r>
        <w:rPr>
          <w:color w:val="231F20"/>
        </w:rPr>
        <w:t>a lo </w:t>
      </w:r>
      <w:r>
        <w:rPr>
          <w:color w:val="231F20"/>
          <w:spacing w:val="4"/>
        </w:rPr>
        <w:t>educativo, dinamizan </w:t>
      </w:r>
      <w:r>
        <w:rPr>
          <w:color w:val="231F20"/>
        </w:rPr>
        <w:t>a </w:t>
      </w:r>
      <w:r>
        <w:rPr>
          <w:color w:val="231F20"/>
          <w:spacing w:val="4"/>
        </w:rPr>
        <w:t>profesores </w:t>
      </w:r>
      <w:r>
        <w:rPr>
          <w:color w:val="231F20"/>
        </w:rPr>
        <w:t>y </w:t>
      </w:r>
      <w:r>
        <w:rPr>
          <w:color w:val="231F20"/>
          <w:spacing w:val="4"/>
        </w:rPr>
        <w:t>estudiantes; cuando </w:t>
      </w:r>
      <w:r>
        <w:rPr>
          <w:color w:val="231F20"/>
          <w:spacing w:val="3"/>
        </w:rPr>
        <w:t>así </w:t>
      </w:r>
      <w:r>
        <w:rPr>
          <w:color w:val="231F20"/>
          <w:spacing w:val="2"/>
        </w:rPr>
        <w:t>se </w:t>
      </w:r>
      <w:r>
        <w:rPr>
          <w:color w:val="231F20"/>
          <w:spacing w:val="3"/>
        </w:rPr>
        <w:t>viven esas </w:t>
      </w:r>
      <w:r>
        <w:rPr>
          <w:color w:val="231F20"/>
          <w:spacing w:val="4"/>
        </w:rPr>
        <w:t>relaciones, para algunos </w:t>
      </w:r>
      <w:r>
        <w:rPr>
          <w:color w:val="231F20"/>
          <w:spacing w:val="2"/>
        </w:rPr>
        <w:t>es un </w:t>
      </w:r>
      <w:r>
        <w:rPr>
          <w:color w:val="231F20"/>
          <w:spacing w:val="4"/>
        </w:rPr>
        <w:t>desorden. Este, </w:t>
      </w:r>
      <w:r>
        <w:rPr>
          <w:color w:val="231F20"/>
          <w:spacing w:val="2"/>
        </w:rPr>
        <w:t>el </w:t>
      </w:r>
      <w:r>
        <w:rPr>
          <w:color w:val="231F20"/>
          <w:spacing w:val="4"/>
        </w:rPr>
        <w:t>supuesto desorden, luego puede </w:t>
      </w:r>
      <w:r>
        <w:rPr>
          <w:color w:val="231F20"/>
          <w:spacing w:val="3"/>
        </w:rPr>
        <w:t>dar lugar </w:t>
      </w:r>
      <w:r>
        <w:rPr>
          <w:color w:val="231F20"/>
        </w:rPr>
        <w:t>a </w:t>
      </w:r>
      <w:r>
        <w:rPr>
          <w:color w:val="231F20"/>
          <w:spacing w:val="4"/>
        </w:rPr>
        <w:t>otro orden superior </w:t>
      </w:r>
      <w:r>
        <w:rPr>
          <w:color w:val="231F20"/>
          <w:spacing w:val="2"/>
        </w:rPr>
        <w:t>en el </w:t>
      </w:r>
      <w:r>
        <w:rPr>
          <w:color w:val="231F20"/>
          <w:spacing w:val="4"/>
        </w:rPr>
        <w:t>terreno educativo. </w:t>
      </w:r>
      <w:r>
        <w:rPr>
          <w:color w:val="231F20"/>
          <w:spacing w:val="3"/>
        </w:rPr>
        <w:t>En </w:t>
      </w:r>
      <w:r>
        <w:rPr>
          <w:color w:val="231F20"/>
          <w:spacing w:val="4"/>
        </w:rPr>
        <w:t>aulas, facultades   </w:t>
      </w:r>
      <w:r>
        <w:rPr>
          <w:color w:val="231F20"/>
        </w:rPr>
        <w:t>y </w:t>
      </w:r>
      <w:r>
        <w:rPr>
          <w:color w:val="231F20"/>
          <w:spacing w:val="4"/>
        </w:rPr>
        <w:t>fuera </w:t>
      </w:r>
      <w:r>
        <w:rPr>
          <w:color w:val="231F20"/>
          <w:spacing w:val="3"/>
        </w:rPr>
        <w:t>de </w:t>
      </w:r>
      <w:r>
        <w:rPr>
          <w:color w:val="231F20"/>
          <w:spacing w:val="2"/>
        </w:rPr>
        <w:t>la </w:t>
      </w:r>
      <w:r>
        <w:rPr>
          <w:color w:val="231F20"/>
          <w:spacing w:val="4"/>
        </w:rPr>
        <w:t>UAQ existen prácticas </w:t>
      </w:r>
      <w:r>
        <w:rPr>
          <w:color w:val="231F20"/>
          <w:spacing w:val="5"/>
        </w:rPr>
        <w:t>humanas </w:t>
      </w:r>
      <w:r>
        <w:rPr>
          <w:color w:val="231F20"/>
          <w:spacing w:val="3"/>
        </w:rPr>
        <w:t>con </w:t>
      </w:r>
      <w:r>
        <w:rPr>
          <w:color w:val="231F20"/>
          <w:spacing w:val="4"/>
        </w:rPr>
        <w:t>fines distintos   </w:t>
      </w:r>
      <w:r>
        <w:rPr>
          <w:color w:val="231F20"/>
        </w:rPr>
        <w:t>a  </w:t>
      </w:r>
      <w:r>
        <w:rPr>
          <w:color w:val="231F20"/>
          <w:spacing w:val="3"/>
        </w:rPr>
        <w:t>los </w:t>
      </w:r>
      <w:r>
        <w:rPr>
          <w:color w:val="231F20"/>
          <w:spacing w:val="4"/>
        </w:rPr>
        <w:t>educativos. </w:t>
      </w:r>
      <w:r>
        <w:rPr>
          <w:color w:val="231F20"/>
          <w:spacing w:val="3"/>
        </w:rPr>
        <w:t>En </w:t>
      </w:r>
      <w:r>
        <w:rPr>
          <w:color w:val="231F20"/>
          <w:spacing w:val="4"/>
        </w:rPr>
        <w:t>ocasiones </w:t>
      </w:r>
      <w:r>
        <w:rPr>
          <w:color w:val="231F20"/>
          <w:spacing w:val="3"/>
        </w:rPr>
        <w:t>las </w:t>
      </w:r>
      <w:r>
        <w:rPr>
          <w:color w:val="231F20"/>
          <w:spacing w:val="4"/>
        </w:rPr>
        <w:t>prácticas sociales favorecen  </w:t>
      </w:r>
      <w:r>
        <w:rPr>
          <w:color w:val="231F20"/>
          <w:spacing w:val="3"/>
        </w:rPr>
        <w:t>las </w:t>
      </w:r>
      <w:r>
        <w:rPr>
          <w:color w:val="231F20"/>
          <w:spacing w:val="4"/>
        </w:rPr>
        <w:t>prácticas educativas. </w:t>
      </w:r>
      <w:r>
        <w:rPr>
          <w:color w:val="231F20"/>
          <w:spacing w:val="3"/>
        </w:rPr>
        <w:t>En </w:t>
      </w:r>
      <w:r>
        <w:rPr>
          <w:color w:val="231F20"/>
          <w:spacing w:val="4"/>
        </w:rPr>
        <w:t>otras </w:t>
      </w:r>
      <w:r>
        <w:rPr>
          <w:color w:val="231F20"/>
          <w:spacing w:val="3"/>
        </w:rPr>
        <w:t>las </w:t>
      </w:r>
      <w:r>
        <w:rPr>
          <w:color w:val="231F20"/>
          <w:spacing w:val="4"/>
        </w:rPr>
        <w:t>dificultan, aunque luego puedan reorientarse </w:t>
      </w:r>
      <w:r>
        <w:rPr>
          <w:color w:val="231F20"/>
          <w:spacing w:val="3"/>
        </w:rPr>
        <w:t>con </w:t>
      </w:r>
      <w:r>
        <w:rPr>
          <w:color w:val="231F20"/>
          <w:spacing w:val="4"/>
        </w:rPr>
        <w:t>trabajo humano </w:t>
      </w:r>
      <w:r>
        <w:rPr>
          <w:color w:val="231F20"/>
          <w:spacing w:val="3"/>
        </w:rPr>
        <w:t>de </w:t>
      </w:r>
      <w:r>
        <w:rPr>
          <w:color w:val="231F20"/>
          <w:spacing w:val="4"/>
        </w:rPr>
        <w:t>maestros </w:t>
      </w:r>
      <w:r>
        <w:rPr>
          <w:color w:val="231F20"/>
        </w:rPr>
        <w:t>y </w:t>
      </w:r>
      <w:r>
        <w:rPr>
          <w:color w:val="231F20"/>
          <w:spacing w:val="4"/>
        </w:rPr>
        <w:t>alumnos. Dicho </w:t>
      </w:r>
      <w:r>
        <w:rPr>
          <w:color w:val="231F20"/>
          <w:spacing w:val="3"/>
        </w:rPr>
        <w:t>con </w:t>
      </w:r>
      <w:r>
        <w:rPr>
          <w:color w:val="231F20"/>
          <w:spacing w:val="2"/>
        </w:rPr>
        <w:t>un </w:t>
      </w:r>
      <w:r>
        <w:rPr>
          <w:color w:val="231F20"/>
          <w:spacing w:val="4"/>
        </w:rPr>
        <w:t>adagio, </w:t>
      </w:r>
      <w:r>
        <w:rPr>
          <w:color w:val="231F20"/>
          <w:spacing w:val="3"/>
        </w:rPr>
        <w:t>“el </w:t>
      </w:r>
      <w:r>
        <w:rPr>
          <w:color w:val="231F20"/>
          <w:spacing w:val="5"/>
        </w:rPr>
        <w:t>hombre </w:t>
      </w:r>
      <w:r>
        <w:rPr>
          <w:color w:val="231F20"/>
          <w:spacing w:val="2"/>
        </w:rPr>
        <w:t>no </w:t>
      </w:r>
      <w:r>
        <w:rPr>
          <w:color w:val="231F20"/>
          <w:spacing w:val="4"/>
        </w:rPr>
        <w:t>solo </w:t>
      </w:r>
      <w:r>
        <w:rPr>
          <w:color w:val="231F20"/>
          <w:spacing w:val="3"/>
        </w:rPr>
        <w:t>vive de </w:t>
      </w:r>
      <w:r>
        <w:rPr>
          <w:color w:val="231F20"/>
          <w:spacing w:val="4"/>
        </w:rPr>
        <w:t>pan”, </w:t>
      </w:r>
      <w:r>
        <w:rPr>
          <w:color w:val="231F20"/>
        </w:rPr>
        <w:t>la  </w:t>
      </w:r>
      <w:r>
        <w:rPr>
          <w:color w:val="231F20"/>
          <w:spacing w:val="4"/>
        </w:rPr>
        <w:t>similitud </w:t>
      </w:r>
      <w:r>
        <w:rPr>
          <w:color w:val="231F20"/>
          <w:spacing w:val="2"/>
        </w:rPr>
        <w:t>es </w:t>
      </w:r>
      <w:r>
        <w:rPr>
          <w:color w:val="231F20"/>
          <w:spacing w:val="4"/>
        </w:rPr>
        <w:t>“maestros </w:t>
      </w:r>
      <w:r>
        <w:rPr>
          <w:color w:val="231F20"/>
        </w:rPr>
        <w:t>y </w:t>
      </w:r>
      <w:r>
        <w:rPr>
          <w:color w:val="231F20"/>
          <w:spacing w:val="4"/>
        </w:rPr>
        <w:t>estudiantes </w:t>
      </w:r>
      <w:r>
        <w:rPr>
          <w:color w:val="231F20"/>
          <w:spacing w:val="3"/>
        </w:rPr>
        <w:t>no solo viven con </w:t>
      </w:r>
      <w:r>
        <w:rPr>
          <w:color w:val="231F20"/>
          <w:spacing w:val="4"/>
        </w:rPr>
        <w:t>miras </w:t>
      </w:r>
      <w:r>
        <w:rPr>
          <w:color w:val="231F20"/>
          <w:spacing w:val="6"/>
        </w:rPr>
        <w:t>de </w:t>
      </w:r>
      <w:r>
        <w:rPr>
          <w:color w:val="231F20"/>
          <w:spacing w:val="4"/>
        </w:rPr>
        <w:t>educar”. Existen prácticas sociales </w:t>
      </w:r>
      <w:r>
        <w:rPr>
          <w:color w:val="231F20"/>
          <w:spacing w:val="3"/>
        </w:rPr>
        <w:t>no</w:t>
      </w:r>
      <w:r>
        <w:rPr>
          <w:color w:val="231F20"/>
          <w:spacing w:val="58"/>
        </w:rPr>
        <w:t> </w:t>
      </w:r>
      <w:r>
        <w:rPr>
          <w:color w:val="231F20"/>
          <w:spacing w:val="4"/>
        </w:rPr>
        <w:t>suficientemente  conocidas. Aquí </w:t>
      </w:r>
      <w:r>
        <w:rPr>
          <w:color w:val="231F20"/>
          <w:spacing w:val="2"/>
        </w:rPr>
        <w:t>se </w:t>
      </w:r>
      <w:r>
        <w:rPr>
          <w:color w:val="231F20"/>
          <w:spacing w:val="4"/>
        </w:rPr>
        <w:t>adelanta que </w:t>
      </w:r>
      <w:r>
        <w:rPr>
          <w:color w:val="231F20"/>
        </w:rPr>
        <w:t>la </w:t>
      </w:r>
      <w:r>
        <w:rPr>
          <w:color w:val="231F20"/>
          <w:spacing w:val="4"/>
        </w:rPr>
        <w:t>conversación </w:t>
      </w:r>
      <w:r>
        <w:rPr>
          <w:color w:val="231F20"/>
          <w:spacing w:val="3"/>
        </w:rPr>
        <w:t>con </w:t>
      </w:r>
      <w:r>
        <w:rPr>
          <w:color w:val="231F20"/>
          <w:spacing w:val="4"/>
        </w:rPr>
        <w:t>fines ajenos  </w:t>
      </w:r>
      <w:r>
        <w:rPr>
          <w:color w:val="231F20"/>
        </w:rPr>
        <w:t>a </w:t>
      </w:r>
      <w:r>
        <w:rPr>
          <w:color w:val="231F20"/>
          <w:spacing w:val="3"/>
        </w:rPr>
        <w:t>los </w:t>
      </w:r>
      <w:r>
        <w:rPr>
          <w:color w:val="231F20"/>
          <w:spacing w:val="4"/>
        </w:rPr>
        <w:t>contenidos educativos, también forma parte </w:t>
      </w:r>
      <w:r>
        <w:rPr>
          <w:color w:val="231F20"/>
          <w:spacing w:val="3"/>
        </w:rPr>
        <w:t>de </w:t>
      </w:r>
      <w:r>
        <w:rPr>
          <w:color w:val="231F20"/>
          <w:spacing w:val="2"/>
        </w:rPr>
        <w:t>la </w:t>
      </w:r>
      <w:r>
        <w:rPr>
          <w:color w:val="231F20"/>
          <w:spacing w:val="4"/>
        </w:rPr>
        <w:t>transmisión </w:t>
      </w:r>
      <w:r>
        <w:rPr>
          <w:color w:val="231F20"/>
          <w:spacing w:val="3"/>
        </w:rPr>
        <w:t>del </w:t>
      </w:r>
      <w:r>
        <w:rPr>
          <w:color w:val="231F20"/>
          <w:spacing w:val="4"/>
        </w:rPr>
        <w:t>oficio </w:t>
      </w:r>
      <w:r>
        <w:rPr>
          <w:color w:val="231F20"/>
          <w:spacing w:val="2"/>
        </w:rPr>
        <w:t>de</w:t>
      </w:r>
      <w:r>
        <w:rPr>
          <w:color w:val="231F20"/>
          <w:spacing w:val="-8"/>
        </w:rPr>
        <w:t> </w:t>
      </w:r>
      <w:r>
        <w:rPr>
          <w:color w:val="231F20"/>
          <w:spacing w:val="4"/>
        </w:rPr>
        <w:t>investigar.</w:t>
      </w:r>
    </w:p>
    <w:p>
      <w:pPr>
        <w:pStyle w:val="BodyText"/>
        <w:spacing w:line="247" w:lineRule="auto"/>
        <w:ind w:left="100" w:right="116" w:firstLine="285"/>
        <w:jc w:val="both"/>
      </w:pPr>
      <w:r>
        <w:rPr>
          <w:color w:val="231F20"/>
        </w:rPr>
        <w:t>Se decidió investigar “prácticas socio-educativas” vinculadas con la “transmisión del oficio de investigar”. Admitimos, pues, “trabajo humano”, “juego”, “conversación” y “prácticas socio- educativas” y no “práctica docente” ni “proceso enseñanza- aprendizaje”. Se asumieron esos conceptos y las teorías que le  dan</w:t>
      </w:r>
    </w:p>
    <w:p>
      <w:pPr>
        <w:spacing w:after="0" w:line="247" w:lineRule="auto"/>
        <w:jc w:val="both"/>
        <w:sectPr>
          <w:headerReference w:type="default" r:id="rId325"/>
          <w:footerReference w:type="default" r:id="rId326"/>
          <w:pgSz w:w="7830" w:h="11910"/>
          <w:pgMar w:header="0" w:footer="424" w:top="500" w:bottom="620" w:left="920" w:right="900"/>
          <w:pgNumType w:start="15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5"/>
        <w:jc w:val="both"/>
      </w:pPr>
      <w:r>
        <w:rPr>
          <w:color w:val="231F20"/>
          <w:spacing w:val="2"/>
        </w:rPr>
        <w:t>sentido porque tienen </w:t>
      </w:r>
      <w:r>
        <w:rPr>
          <w:color w:val="231F20"/>
          <w:spacing w:val="3"/>
        </w:rPr>
        <w:t>mayor </w:t>
      </w:r>
      <w:r>
        <w:rPr>
          <w:color w:val="231F20"/>
          <w:spacing w:val="2"/>
        </w:rPr>
        <w:t>capacidad heurística. De </w:t>
      </w:r>
      <w:r>
        <w:rPr>
          <w:color w:val="231F20"/>
          <w:spacing w:val="3"/>
        </w:rPr>
        <w:t>manera </w:t>
      </w:r>
      <w:r>
        <w:rPr>
          <w:color w:val="231F20"/>
          <w:spacing w:val="2"/>
        </w:rPr>
        <w:t>similar, </w:t>
      </w:r>
      <w:r>
        <w:rPr>
          <w:color w:val="231F20"/>
        </w:rPr>
        <w:t>se </w:t>
      </w:r>
      <w:r>
        <w:rPr>
          <w:color w:val="231F20"/>
          <w:spacing w:val="3"/>
        </w:rPr>
        <w:t>denominó </w:t>
      </w:r>
      <w:r>
        <w:rPr>
          <w:color w:val="231F20"/>
        </w:rPr>
        <w:t>“el </w:t>
      </w:r>
      <w:r>
        <w:rPr>
          <w:color w:val="231F20"/>
          <w:spacing w:val="2"/>
        </w:rPr>
        <w:t>oficio </w:t>
      </w:r>
      <w:r>
        <w:rPr>
          <w:color w:val="231F20"/>
        </w:rPr>
        <w:t>de </w:t>
      </w:r>
      <w:r>
        <w:rPr>
          <w:color w:val="231F20"/>
          <w:spacing w:val="2"/>
        </w:rPr>
        <w:t>investigar” porque </w:t>
      </w:r>
      <w:r>
        <w:rPr>
          <w:color w:val="231F20"/>
        </w:rPr>
        <w:t>es </w:t>
      </w:r>
      <w:r>
        <w:rPr>
          <w:color w:val="231F20"/>
          <w:spacing w:val="2"/>
        </w:rPr>
        <w:t>una actividad </w:t>
      </w:r>
      <w:r>
        <w:rPr>
          <w:color w:val="231F20"/>
          <w:spacing w:val="3"/>
        </w:rPr>
        <w:t>humana </w:t>
      </w:r>
      <w:r>
        <w:rPr>
          <w:color w:val="231F20"/>
        </w:rPr>
        <w:t>que </w:t>
      </w:r>
      <w:r>
        <w:rPr>
          <w:color w:val="231F20"/>
          <w:spacing w:val="2"/>
        </w:rPr>
        <w:t>tiene </w:t>
      </w:r>
      <w:r>
        <w:rPr>
          <w:color w:val="231F20"/>
          <w:spacing w:val="3"/>
        </w:rPr>
        <w:t>mucho </w:t>
      </w:r>
      <w:r>
        <w:rPr>
          <w:color w:val="231F20"/>
        </w:rPr>
        <w:t>de un </w:t>
      </w:r>
      <w:r>
        <w:rPr>
          <w:color w:val="231F20"/>
          <w:spacing w:val="2"/>
        </w:rPr>
        <w:t>arte: está relacionado  con teorías, pero </w:t>
      </w:r>
      <w:r>
        <w:rPr>
          <w:color w:val="231F20"/>
        </w:rPr>
        <w:t>no se </w:t>
      </w:r>
      <w:r>
        <w:rPr>
          <w:color w:val="231F20"/>
          <w:spacing w:val="2"/>
        </w:rPr>
        <w:t>limita </w:t>
      </w:r>
      <w:r>
        <w:rPr>
          <w:color w:val="231F20"/>
        </w:rPr>
        <w:t>a </w:t>
      </w:r>
      <w:r>
        <w:rPr>
          <w:color w:val="231F20"/>
          <w:spacing w:val="2"/>
        </w:rPr>
        <w:t>ellas. Requiere </w:t>
      </w:r>
      <w:r>
        <w:rPr>
          <w:color w:val="231F20"/>
        </w:rPr>
        <w:t>de </w:t>
      </w:r>
      <w:r>
        <w:rPr>
          <w:color w:val="231F20"/>
          <w:spacing w:val="2"/>
        </w:rPr>
        <w:t>acciones específicas para realizarlo; por ejemplo, leer, extractar </w:t>
      </w:r>
      <w:r>
        <w:rPr>
          <w:color w:val="231F20"/>
        </w:rPr>
        <w:t>o </w:t>
      </w:r>
      <w:r>
        <w:rPr>
          <w:color w:val="231F20"/>
          <w:spacing w:val="2"/>
        </w:rPr>
        <w:t>criticar investigaciones </w:t>
      </w:r>
      <w:r>
        <w:rPr>
          <w:color w:val="231F20"/>
        </w:rPr>
        <w:t>o </w:t>
      </w:r>
      <w:r>
        <w:rPr>
          <w:color w:val="231F20"/>
          <w:spacing w:val="2"/>
        </w:rPr>
        <w:t>teorías, también </w:t>
      </w:r>
      <w:r>
        <w:rPr>
          <w:color w:val="231F20"/>
          <w:spacing w:val="3"/>
        </w:rPr>
        <w:t>conocida </w:t>
      </w:r>
      <w:r>
        <w:rPr>
          <w:color w:val="231F20"/>
          <w:spacing w:val="2"/>
        </w:rPr>
        <w:t>esta práctica </w:t>
      </w:r>
      <w:r>
        <w:rPr>
          <w:color w:val="231F20"/>
          <w:spacing w:val="3"/>
        </w:rPr>
        <w:t>como </w:t>
      </w:r>
      <w:r>
        <w:rPr>
          <w:color w:val="231F20"/>
          <w:spacing w:val="2"/>
        </w:rPr>
        <w:t>“fichar” </w:t>
      </w:r>
      <w:r>
        <w:rPr>
          <w:color w:val="231F20"/>
        </w:rPr>
        <w:t>o, </w:t>
      </w:r>
      <w:r>
        <w:rPr>
          <w:color w:val="231F20"/>
          <w:spacing w:val="2"/>
        </w:rPr>
        <w:t>bien, utilizar equipo </w:t>
      </w:r>
      <w:r>
        <w:rPr>
          <w:color w:val="231F20"/>
        </w:rPr>
        <w:t>y </w:t>
      </w:r>
      <w:r>
        <w:rPr>
          <w:color w:val="231F20"/>
          <w:spacing w:val="2"/>
        </w:rPr>
        <w:t>materiales específicos </w:t>
      </w:r>
      <w:r>
        <w:rPr>
          <w:color w:val="231F20"/>
        </w:rPr>
        <w:t>de </w:t>
      </w:r>
      <w:r>
        <w:rPr>
          <w:color w:val="231F20"/>
          <w:spacing w:val="2"/>
        </w:rPr>
        <w:t>laboratorio. Las prácticas, por caso, “fichar” </w:t>
      </w:r>
      <w:r>
        <w:rPr>
          <w:color w:val="231F20"/>
        </w:rPr>
        <w:t>o </w:t>
      </w:r>
      <w:r>
        <w:rPr>
          <w:color w:val="231F20"/>
          <w:spacing w:val="2"/>
        </w:rPr>
        <w:t>pesar con </w:t>
      </w:r>
      <w:r>
        <w:rPr>
          <w:color w:val="231F20"/>
          <w:spacing w:val="3"/>
        </w:rPr>
        <w:t>una </w:t>
      </w:r>
      <w:r>
        <w:rPr>
          <w:color w:val="231F20"/>
          <w:spacing w:val="2"/>
        </w:rPr>
        <w:t>balanza analítica, también son necesarias pero insuficientes para </w:t>
      </w:r>
      <w:r>
        <w:rPr>
          <w:color w:val="231F20"/>
        </w:rPr>
        <w:t>el </w:t>
      </w:r>
      <w:r>
        <w:rPr>
          <w:color w:val="231F20"/>
          <w:spacing w:val="2"/>
        </w:rPr>
        <w:t>oficio </w:t>
      </w:r>
      <w:r>
        <w:rPr>
          <w:color w:val="231F20"/>
        </w:rPr>
        <w:t>de</w:t>
      </w:r>
      <w:r>
        <w:rPr>
          <w:color w:val="231F20"/>
          <w:spacing w:val="-16"/>
        </w:rPr>
        <w:t> </w:t>
      </w:r>
      <w:r>
        <w:rPr>
          <w:color w:val="231F20"/>
          <w:spacing w:val="2"/>
        </w:rPr>
        <w:t>inve</w:t>
      </w:r>
      <w:r>
        <w:rPr>
          <w:color w:val="231F20"/>
          <w:spacing w:val="2"/>
          <w:sz w:val="19"/>
        </w:rPr>
        <w:t>stigar</w:t>
      </w:r>
      <w:r>
        <w:rPr>
          <w:color w:val="231F20"/>
          <w:spacing w:val="2"/>
        </w:rPr>
        <w:t>.</w:t>
      </w:r>
    </w:p>
    <w:p>
      <w:pPr>
        <w:pStyle w:val="BodyText"/>
        <w:spacing w:line="249" w:lineRule="auto"/>
        <w:ind w:left="102" w:right="115" w:firstLine="283"/>
        <w:jc w:val="both"/>
      </w:pPr>
      <w:r>
        <w:rPr>
          <w:color w:val="231F20"/>
          <w:spacing w:val="2"/>
        </w:rPr>
        <w:t>Sobre </w:t>
      </w:r>
      <w:r>
        <w:rPr>
          <w:color w:val="231F20"/>
        </w:rPr>
        <w:t>la </w:t>
      </w:r>
      <w:r>
        <w:rPr>
          <w:color w:val="231F20"/>
          <w:spacing w:val="2"/>
        </w:rPr>
        <w:t>base aportada por Durkheim (1993), acerca </w:t>
      </w:r>
      <w:r>
        <w:rPr>
          <w:color w:val="231F20"/>
        </w:rPr>
        <w:t>de </w:t>
      </w:r>
      <w:r>
        <w:rPr>
          <w:color w:val="231F20"/>
          <w:spacing w:val="2"/>
        </w:rPr>
        <w:t>qué </w:t>
      </w:r>
      <w:r>
        <w:rPr>
          <w:color w:val="231F20"/>
        </w:rPr>
        <w:t>es  la </w:t>
      </w:r>
      <w:r>
        <w:rPr>
          <w:color w:val="231F20"/>
          <w:spacing w:val="2"/>
        </w:rPr>
        <w:t>pedagogía </w:t>
      </w:r>
      <w:r>
        <w:rPr>
          <w:color w:val="231F20"/>
        </w:rPr>
        <w:t>y la </w:t>
      </w:r>
      <w:r>
        <w:rPr>
          <w:color w:val="231F20"/>
          <w:spacing w:val="3"/>
        </w:rPr>
        <w:t>educación, </w:t>
      </w:r>
      <w:r>
        <w:rPr>
          <w:color w:val="231F20"/>
        </w:rPr>
        <w:t>se </w:t>
      </w:r>
      <w:r>
        <w:rPr>
          <w:color w:val="231F20"/>
          <w:spacing w:val="3"/>
        </w:rPr>
        <w:t>encuentra </w:t>
      </w:r>
      <w:r>
        <w:rPr>
          <w:color w:val="231F20"/>
          <w:spacing w:val="2"/>
        </w:rPr>
        <w:t>que </w:t>
      </w:r>
      <w:r>
        <w:rPr>
          <w:color w:val="231F20"/>
        </w:rPr>
        <w:t>el </w:t>
      </w:r>
      <w:r>
        <w:rPr>
          <w:color w:val="231F20"/>
          <w:spacing w:val="2"/>
        </w:rPr>
        <w:t>oficio </w:t>
      </w:r>
      <w:r>
        <w:rPr>
          <w:color w:val="231F20"/>
        </w:rPr>
        <w:t>de  </w:t>
      </w:r>
      <w:r>
        <w:rPr>
          <w:color w:val="231F20"/>
          <w:spacing w:val="2"/>
        </w:rPr>
        <w:t>investigar requiere de: </w:t>
      </w:r>
      <w:r>
        <w:rPr>
          <w:color w:val="231F20"/>
        </w:rPr>
        <w:t>(1) </w:t>
      </w:r>
      <w:r>
        <w:rPr>
          <w:color w:val="231F20"/>
          <w:spacing w:val="2"/>
        </w:rPr>
        <w:t>teorías </w:t>
      </w:r>
      <w:r>
        <w:rPr>
          <w:color w:val="231F20"/>
        </w:rPr>
        <w:t>o </w:t>
      </w:r>
      <w:r>
        <w:rPr>
          <w:color w:val="231F20"/>
          <w:spacing w:val="2"/>
        </w:rPr>
        <w:t>ideas </w:t>
      </w:r>
      <w:r>
        <w:rPr>
          <w:color w:val="231F20"/>
        </w:rPr>
        <w:t>de </w:t>
      </w:r>
      <w:r>
        <w:rPr>
          <w:color w:val="231F20"/>
          <w:spacing w:val="3"/>
        </w:rPr>
        <w:t>apoyo, </w:t>
      </w:r>
      <w:r>
        <w:rPr>
          <w:color w:val="231F20"/>
          <w:spacing w:val="2"/>
        </w:rPr>
        <w:t>por ejemplo, sobre </w:t>
      </w:r>
      <w:r>
        <w:rPr>
          <w:color w:val="231F20"/>
        </w:rPr>
        <w:t>las </w:t>
      </w:r>
      <w:r>
        <w:rPr>
          <w:color w:val="231F20"/>
          <w:spacing w:val="2"/>
        </w:rPr>
        <w:t>cinco actividades del trabajo </w:t>
      </w:r>
      <w:r>
        <w:rPr>
          <w:color w:val="231F20"/>
          <w:spacing w:val="3"/>
        </w:rPr>
        <w:t>humano </w:t>
      </w:r>
      <w:r>
        <w:rPr>
          <w:color w:val="231F20"/>
        </w:rPr>
        <w:t>o de </w:t>
      </w:r>
      <w:r>
        <w:rPr>
          <w:color w:val="231F20"/>
          <w:spacing w:val="2"/>
        </w:rPr>
        <w:t>una </w:t>
      </w:r>
      <w:r>
        <w:rPr>
          <w:color w:val="231F20"/>
          <w:spacing w:val="3"/>
        </w:rPr>
        <w:t>disciplina </w:t>
      </w:r>
      <w:r>
        <w:rPr>
          <w:color w:val="231F20"/>
          <w:spacing w:val="2"/>
        </w:rPr>
        <w:t>específica </w:t>
      </w:r>
      <w:r>
        <w:rPr>
          <w:color w:val="231F20"/>
          <w:spacing w:val="3"/>
        </w:rPr>
        <w:t>como </w:t>
      </w:r>
      <w:r>
        <w:rPr>
          <w:color w:val="231F20"/>
        </w:rPr>
        <w:t>la </w:t>
      </w:r>
      <w:r>
        <w:rPr>
          <w:color w:val="231F20"/>
          <w:spacing w:val="2"/>
        </w:rPr>
        <w:t>psicología </w:t>
      </w:r>
      <w:r>
        <w:rPr>
          <w:color w:val="231F20"/>
        </w:rPr>
        <w:t>o la </w:t>
      </w:r>
      <w:r>
        <w:rPr>
          <w:color w:val="231F20"/>
          <w:spacing w:val="2"/>
        </w:rPr>
        <w:t>química inorgánica; </w:t>
      </w:r>
      <w:r>
        <w:rPr>
          <w:color w:val="231F20"/>
        </w:rPr>
        <w:t>(2) </w:t>
      </w:r>
      <w:r>
        <w:rPr>
          <w:color w:val="231F20"/>
          <w:spacing w:val="3"/>
        </w:rPr>
        <w:t>prácticas </w:t>
      </w:r>
      <w:r>
        <w:rPr>
          <w:color w:val="231F20"/>
        </w:rPr>
        <w:t>o </w:t>
      </w:r>
      <w:r>
        <w:rPr>
          <w:color w:val="231F20"/>
          <w:spacing w:val="3"/>
        </w:rPr>
        <w:t>modos </w:t>
      </w:r>
      <w:r>
        <w:rPr>
          <w:color w:val="231F20"/>
        </w:rPr>
        <w:t>de </w:t>
      </w:r>
      <w:r>
        <w:rPr>
          <w:color w:val="231F20"/>
          <w:spacing w:val="2"/>
        </w:rPr>
        <w:t>proceder </w:t>
      </w:r>
      <w:r>
        <w:rPr>
          <w:color w:val="231F20"/>
        </w:rPr>
        <w:t>al </w:t>
      </w:r>
      <w:r>
        <w:rPr>
          <w:color w:val="231F20"/>
          <w:spacing w:val="2"/>
        </w:rPr>
        <w:t>investigar; (3) </w:t>
      </w:r>
      <w:r>
        <w:rPr>
          <w:color w:val="231F20"/>
          <w:spacing w:val="3"/>
        </w:rPr>
        <w:t>posturas </w:t>
      </w:r>
      <w:r>
        <w:rPr>
          <w:color w:val="231F20"/>
          <w:spacing w:val="2"/>
        </w:rPr>
        <w:t>ante </w:t>
      </w:r>
      <w:r>
        <w:rPr>
          <w:color w:val="231F20"/>
        </w:rPr>
        <w:t>la </w:t>
      </w:r>
      <w:r>
        <w:rPr>
          <w:color w:val="231F20"/>
          <w:spacing w:val="2"/>
        </w:rPr>
        <w:t>realidad, </w:t>
      </w:r>
      <w:r>
        <w:rPr>
          <w:color w:val="231F20"/>
        </w:rPr>
        <w:t>es </w:t>
      </w:r>
      <w:r>
        <w:rPr>
          <w:color w:val="231F20"/>
          <w:spacing w:val="2"/>
        </w:rPr>
        <w:t>decir, </w:t>
      </w:r>
      <w:r>
        <w:rPr>
          <w:color w:val="231F20"/>
        </w:rPr>
        <w:t>un </w:t>
      </w:r>
      <w:r>
        <w:rPr>
          <w:color w:val="231F20"/>
          <w:spacing w:val="2"/>
        </w:rPr>
        <w:t>cierto tipo </w:t>
      </w:r>
      <w:r>
        <w:rPr>
          <w:color w:val="231F20"/>
        </w:rPr>
        <w:t>de </w:t>
      </w:r>
      <w:r>
        <w:rPr>
          <w:color w:val="231F20"/>
          <w:spacing w:val="3"/>
        </w:rPr>
        <w:t>sentimientos </w:t>
      </w:r>
      <w:r>
        <w:rPr>
          <w:color w:val="231F20"/>
          <w:spacing w:val="2"/>
        </w:rPr>
        <w:t>que contienen </w:t>
      </w:r>
      <w:r>
        <w:rPr>
          <w:color w:val="231F20"/>
        </w:rPr>
        <w:t>e </w:t>
      </w:r>
      <w:r>
        <w:rPr>
          <w:color w:val="231F20"/>
          <w:spacing w:val="2"/>
        </w:rPr>
        <w:t>impulsan </w:t>
      </w:r>
      <w:r>
        <w:rPr>
          <w:color w:val="231F20"/>
        </w:rPr>
        <w:t>al </w:t>
      </w:r>
      <w:r>
        <w:rPr>
          <w:color w:val="231F20"/>
          <w:spacing w:val="2"/>
        </w:rPr>
        <w:t>investigador: vergüenza </w:t>
      </w:r>
      <w:r>
        <w:rPr>
          <w:color w:val="231F20"/>
        </w:rPr>
        <w:t>de </w:t>
      </w:r>
      <w:r>
        <w:rPr>
          <w:color w:val="231F20"/>
          <w:spacing w:val="2"/>
        </w:rPr>
        <w:t>ofrecer resultados </w:t>
      </w:r>
      <w:r>
        <w:rPr>
          <w:color w:val="231F20"/>
        </w:rPr>
        <w:t>sin </w:t>
      </w:r>
      <w:r>
        <w:rPr>
          <w:color w:val="231F20"/>
          <w:spacing w:val="3"/>
        </w:rPr>
        <w:t>soporte  </w:t>
      </w:r>
      <w:r>
        <w:rPr>
          <w:color w:val="231F20"/>
        </w:rPr>
        <w:t>o </w:t>
      </w:r>
      <w:r>
        <w:rPr>
          <w:color w:val="231F20"/>
          <w:spacing w:val="2"/>
        </w:rPr>
        <w:t>producir ciencia </w:t>
      </w:r>
      <w:r>
        <w:rPr>
          <w:color w:val="231F20"/>
        </w:rPr>
        <w:t>que </w:t>
      </w:r>
      <w:r>
        <w:rPr>
          <w:color w:val="231F20"/>
          <w:spacing w:val="2"/>
        </w:rPr>
        <w:t>vaya </w:t>
      </w:r>
      <w:r>
        <w:rPr>
          <w:color w:val="231F20"/>
        </w:rPr>
        <w:t>en </w:t>
      </w:r>
      <w:r>
        <w:rPr>
          <w:color w:val="231F20"/>
          <w:spacing w:val="3"/>
        </w:rPr>
        <w:t>detrimento </w:t>
      </w:r>
      <w:r>
        <w:rPr>
          <w:color w:val="231F20"/>
        </w:rPr>
        <w:t>de </w:t>
      </w:r>
      <w:r>
        <w:rPr>
          <w:color w:val="231F20"/>
          <w:spacing w:val="2"/>
        </w:rPr>
        <w:t>sectores </w:t>
      </w:r>
      <w:r>
        <w:rPr>
          <w:color w:val="231F20"/>
        </w:rPr>
        <w:t>de la  </w:t>
      </w:r>
      <w:r>
        <w:rPr>
          <w:color w:val="231F20"/>
          <w:spacing w:val="2"/>
        </w:rPr>
        <w:t>población </w:t>
      </w:r>
      <w:r>
        <w:rPr>
          <w:color w:val="231F20"/>
        </w:rPr>
        <w:t>o, en </w:t>
      </w:r>
      <w:r>
        <w:rPr>
          <w:color w:val="231F20"/>
          <w:spacing w:val="2"/>
        </w:rPr>
        <w:t>otros casos, </w:t>
      </w:r>
      <w:r>
        <w:rPr>
          <w:color w:val="231F20"/>
        </w:rPr>
        <w:t>el </w:t>
      </w:r>
      <w:r>
        <w:rPr>
          <w:color w:val="231F20"/>
          <w:spacing w:val="2"/>
        </w:rPr>
        <w:t>gusto </w:t>
      </w:r>
      <w:r>
        <w:rPr>
          <w:color w:val="231F20"/>
        </w:rPr>
        <w:t>o la </w:t>
      </w:r>
      <w:r>
        <w:rPr>
          <w:color w:val="231F20"/>
          <w:spacing w:val="2"/>
        </w:rPr>
        <w:t>alegría </w:t>
      </w:r>
      <w:r>
        <w:rPr>
          <w:color w:val="231F20"/>
        </w:rPr>
        <w:t>de </w:t>
      </w:r>
      <w:r>
        <w:rPr>
          <w:color w:val="231F20"/>
          <w:spacing w:val="2"/>
        </w:rPr>
        <w:t>traer </w:t>
      </w:r>
      <w:r>
        <w:rPr>
          <w:color w:val="231F20"/>
        </w:rPr>
        <w:t>el </w:t>
      </w:r>
      <w:r>
        <w:rPr>
          <w:color w:val="231F20"/>
          <w:spacing w:val="3"/>
        </w:rPr>
        <w:t>mundo </w:t>
      </w:r>
      <w:r>
        <w:rPr>
          <w:color w:val="231F20"/>
        </w:rPr>
        <w:t>al </w:t>
      </w:r>
      <w:r>
        <w:rPr>
          <w:color w:val="231F20"/>
          <w:spacing w:val="3"/>
        </w:rPr>
        <w:t>mundo; </w:t>
      </w:r>
      <w:r>
        <w:rPr>
          <w:color w:val="231F20"/>
        </w:rPr>
        <w:t>y </w:t>
      </w:r>
      <w:r>
        <w:rPr>
          <w:color w:val="231F20"/>
          <w:spacing w:val="2"/>
        </w:rPr>
        <w:t>aquí </w:t>
      </w:r>
      <w:r>
        <w:rPr>
          <w:color w:val="231F20"/>
        </w:rPr>
        <w:t>se </w:t>
      </w:r>
      <w:r>
        <w:rPr>
          <w:color w:val="231F20"/>
          <w:spacing w:val="2"/>
        </w:rPr>
        <w:t>agrega, </w:t>
      </w:r>
      <w:r>
        <w:rPr>
          <w:color w:val="231F20"/>
        </w:rPr>
        <w:t>(4) </w:t>
      </w:r>
      <w:r>
        <w:rPr>
          <w:color w:val="231F20"/>
          <w:spacing w:val="2"/>
        </w:rPr>
        <w:t>relaciones sociales </w:t>
      </w:r>
      <w:r>
        <w:rPr>
          <w:color w:val="231F20"/>
        </w:rPr>
        <w:t>en las que se da el </w:t>
      </w:r>
      <w:r>
        <w:rPr>
          <w:color w:val="231F20"/>
          <w:spacing w:val="2"/>
        </w:rPr>
        <w:t>juego </w:t>
      </w:r>
      <w:r>
        <w:rPr>
          <w:color w:val="231F20"/>
        </w:rPr>
        <w:t>y la </w:t>
      </w:r>
      <w:r>
        <w:rPr>
          <w:color w:val="231F20"/>
          <w:spacing w:val="2"/>
        </w:rPr>
        <w:t>conversación fuera </w:t>
      </w:r>
      <w:r>
        <w:rPr>
          <w:color w:val="231F20"/>
        </w:rPr>
        <w:t>de </w:t>
      </w:r>
      <w:r>
        <w:rPr>
          <w:color w:val="231F20"/>
          <w:spacing w:val="2"/>
        </w:rPr>
        <w:t>fines educativos, </w:t>
      </w:r>
      <w:r>
        <w:rPr>
          <w:color w:val="231F20"/>
          <w:spacing w:val="3"/>
        </w:rPr>
        <w:t>aunque </w:t>
      </w:r>
      <w:r>
        <w:rPr>
          <w:color w:val="231F20"/>
          <w:spacing w:val="2"/>
        </w:rPr>
        <w:t>con alguna relación con</w:t>
      </w:r>
      <w:r>
        <w:rPr>
          <w:color w:val="231F20"/>
          <w:spacing w:val="-27"/>
        </w:rPr>
        <w:t> </w:t>
      </w:r>
      <w:r>
        <w:rPr>
          <w:color w:val="231F20"/>
          <w:spacing w:val="2"/>
        </w:rPr>
        <w:t>ellos.</w:t>
      </w:r>
    </w:p>
    <w:p>
      <w:pPr>
        <w:pStyle w:val="BodyText"/>
        <w:spacing w:line="249" w:lineRule="auto"/>
        <w:ind w:left="102" w:right="115" w:firstLine="283"/>
        <w:jc w:val="both"/>
      </w:pPr>
      <w:r>
        <w:rPr>
          <w:color w:val="231F20"/>
          <w:spacing w:val="2"/>
        </w:rPr>
        <w:t>Resultados </w:t>
      </w:r>
      <w:r>
        <w:rPr>
          <w:color w:val="231F20"/>
        </w:rPr>
        <w:t>de </w:t>
      </w:r>
      <w:r>
        <w:rPr>
          <w:color w:val="231F20"/>
          <w:spacing w:val="3"/>
        </w:rPr>
        <w:t>indagaciones </w:t>
      </w:r>
      <w:r>
        <w:rPr>
          <w:color w:val="231F20"/>
          <w:spacing w:val="2"/>
        </w:rPr>
        <w:t>recientes (Díaz-Mejía, </w:t>
      </w:r>
      <w:r>
        <w:rPr>
          <w:color w:val="231F20"/>
          <w:spacing w:val="3"/>
        </w:rPr>
        <w:t>2010) </w:t>
      </w:r>
      <w:r>
        <w:rPr>
          <w:color w:val="231F20"/>
          <w:spacing w:val="2"/>
        </w:rPr>
        <w:t>mostraron </w:t>
      </w:r>
      <w:r>
        <w:rPr>
          <w:color w:val="231F20"/>
        </w:rPr>
        <w:t>que en la </w:t>
      </w:r>
      <w:r>
        <w:rPr>
          <w:color w:val="231F20"/>
          <w:spacing w:val="3"/>
        </w:rPr>
        <w:t>UAQ, </w:t>
      </w:r>
      <w:r>
        <w:rPr>
          <w:color w:val="231F20"/>
        </w:rPr>
        <w:t>la </w:t>
      </w:r>
      <w:r>
        <w:rPr>
          <w:color w:val="231F20"/>
          <w:spacing w:val="2"/>
        </w:rPr>
        <w:t>docencia </w:t>
      </w:r>
      <w:r>
        <w:rPr>
          <w:color w:val="231F20"/>
        </w:rPr>
        <w:t>se </w:t>
      </w:r>
      <w:r>
        <w:rPr>
          <w:color w:val="231F20"/>
          <w:spacing w:val="2"/>
        </w:rPr>
        <w:t>ejerce </w:t>
      </w:r>
      <w:r>
        <w:rPr>
          <w:color w:val="231F20"/>
        </w:rPr>
        <w:t>por </w:t>
      </w:r>
      <w:r>
        <w:rPr>
          <w:color w:val="231F20"/>
          <w:spacing w:val="2"/>
        </w:rPr>
        <w:t>intuición </w:t>
      </w:r>
      <w:r>
        <w:rPr>
          <w:color w:val="231F20"/>
        </w:rPr>
        <w:t>o </w:t>
      </w:r>
      <w:r>
        <w:rPr>
          <w:color w:val="231F20"/>
          <w:spacing w:val="2"/>
        </w:rPr>
        <w:t>imitación, </w:t>
      </w:r>
      <w:r>
        <w:rPr>
          <w:color w:val="231F20"/>
        </w:rPr>
        <w:t>se </w:t>
      </w:r>
      <w:r>
        <w:rPr>
          <w:color w:val="231F20"/>
          <w:spacing w:val="2"/>
        </w:rPr>
        <w:t>ejerce pues con </w:t>
      </w:r>
      <w:r>
        <w:rPr>
          <w:color w:val="231F20"/>
        </w:rPr>
        <w:t>el </w:t>
      </w:r>
      <w:r>
        <w:rPr>
          <w:color w:val="231F20"/>
          <w:spacing w:val="3"/>
        </w:rPr>
        <w:t>soporte </w:t>
      </w:r>
      <w:r>
        <w:rPr>
          <w:color w:val="231F20"/>
          <w:spacing w:val="2"/>
        </w:rPr>
        <w:t>del sentido  </w:t>
      </w:r>
      <w:r>
        <w:rPr>
          <w:color w:val="231F20"/>
          <w:spacing w:val="3"/>
        </w:rPr>
        <w:t>común</w:t>
      </w:r>
      <w:r>
        <w:rPr>
          <w:color w:val="231F20"/>
          <w:spacing w:val="58"/>
        </w:rPr>
        <w:t> </w:t>
      </w:r>
      <w:r>
        <w:rPr>
          <w:color w:val="231F20"/>
          <w:spacing w:val="3"/>
        </w:rPr>
        <w:t>docente </w:t>
      </w:r>
      <w:r>
        <w:rPr>
          <w:color w:val="231F20"/>
        </w:rPr>
        <w:t>de </w:t>
      </w:r>
      <w:r>
        <w:rPr>
          <w:color w:val="231F20"/>
          <w:spacing w:val="2"/>
        </w:rPr>
        <w:t>cada facultad. </w:t>
      </w:r>
      <w:r>
        <w:rPr>
          <w:color w:val="231F20"/>
        </w:rPr>
        <w:t>El </w:t>
      </w:r>
      <w:r>
        <w:rPr>
          <w:color w:val="231F20"/>
          <w:spacing w:val="2"/>
        </w:rPr>
        <w:t>estudio </w:t>
      </w:r>
      <w:r>
        <w:rPr>
          <w:color w:val="231F20"/>
        </w:rPr>
        <w:t>de  </w:t>
      </w:r>
      <w:r>
        <w:rPr>
          <w:color w:val="231F20"/>
          <w:spacing w:val="2"/>
        </w:rPr>
        <w:t>Díaz-Mejía </w:t>
      </w:r>
      <w:r>
        <w:rPr>
          <w:color w:val="231F20"/>
          <w:spacing w:val="3"/>
        </w:rPr>
        <w:t>muestra </w:t>
      </w:r>
      <w:r>
        <w:rPr>
          <w:color w:val="231F20"/>
          <w:spacing w:val="2"/>
        </w:rPr>
        <w:t>que  los </w:t>
      </w:r>
      <w:r>
        <w:rPr>
          <w:color w:val="231F20"/>
          <w:spacing w:val="3"/>
        </w:rPr>
        <w:t>maestros </w:t>
      </w:r>
      <w:r>
        <w:rPr>
          <w:color w:val="231F20"/>
          <w:spacing w:val="2"/>
        </w:rPr>
        <w:t>expresaron que llegaron </w:t>
      </w:r>
      <w:r>
        <w:rPr>
          <w:color w:val="231F20"/>
        </w:rPr>
        <w:t>al </w:t>
      </w:r>
      <w:r>
        <w:rPr>
          <w:color w:val="231F20"/>
          <w:spacing w:val="3"/>
        </w:rPr>
        <w:t>campo </w:t>
      </w:r>
      <w:r>
        <w:rPr>
          <w:color w:val="231F20"/>
          <w:spacing w:val="2"/>
        </w:rPr>
        <w:t>docente </w:t>
      </w:r>
      <w:r>
        <w:rPr>
          <w:color w:val="231F20"/>
        </w:rPr>
        <w:t>sin </w:t>
      </w:r>
      <w:r>
        <w:rPr>
          <w:color w:val="231F20"/>
          <w:spacing w:val="3"/>
        </w:rPr>
        <w:t>formación </w:t>
      </w:r>
      <w:r>
        <w:rPr>
          <w:color w:val="231F20"/>
          <w:spacing w:val="2"/>
        </w:rPr>
        <w:t>didáctica pedagógica. </w:t>
      </w:r>
      <w:r>
        <w:rPr>
          <w:color w:val="231F20"/>
        </w:rPr>
        <w:t>La </w:t>
      </w:r>
      <w:r>
        <w:rPr>
          <w:color w:val="231F20"/>
          <w:spacing w:val="2"/>
        </w:rPr>
        <w:t>mayoría supuso </w:t>
      </w:r>
      <w:r>
        <w:rPr>
          <w:color w:val="231F20"/>
        </w:rPr>
        <w:t>que </w:t>
      </w:r>
      <w:r>
        <w:rPr>
          <w:color w:val="231F20"/>
          <w:spacing w:val="2"/>
        </w:rPr>
        <w:t>son </w:t>
      </w:r>
      <w:r>
        <w:rPr>
          <w:color w:val="231F20"/>
          <w:spacing w:val="3"/>
        </w:rPr>
        <w:t>condiciones </w:t>
      </w:r>
      <w:r>
        <w:rPr>
          <w:color w:val="231F20"/>
          <w:spacing w:val="2"/>
        </w:rPr>
        <w:t>indispensables para enseñar: </w:t>
      </w:r>
      <w:r>
        <w:rPr>
          <w:color w:val="231F20"/>
          <w:spacing w:val="3"/>
        </w:rPr>
        <w:t>dominio </w:t>
      </w:r>
      <w:r>
        <w:rPr>
          <w:color w:val="231F20"/>
        </w:rPr>
        <w:t>de </w:t>
      </w:r>
      <w:r>
        <w:rPr>
          <w:color w:val="231F20"/>
          <w:spacing w:val="3"/>
        </w:rPr>
        <w:t>contenidos, </w:t>
      </w:r>
      <w:r>
        <w:rPr>
          <w:color w:val="231F20"/>
          <w:spacing w:val="2"/>
        </w:rPr>
        <w:t>gusto por </w:t>
      </w:r>
      <w:r>
        <w:rPr>
          <w:color w:val="231F20"/>
        </w:rPr>
        <w:t>la </w:t>
      </w:r>
      <w:r>
        <w:rPr>
          <w:color w:val="231F20"/>
          <w:spacing w:val="2"/>
        </w:rPr>
        <w:t>docencia </w:t>
      </w:r>
      <w:r>
        <w:rPr>
          <w:color w:val="231F20"/>
        </w:rPr>
        <w:t>y </w:t>
      </w:r>
      <w:r>
        <w:rPr>
          <w:color w:val="231F20"/>
          <w:spacing w:val="2"/>
        </w:rPr>
        <w:t>vocación. Las </w:t>
      </w:r>
      <w:r>
        <w:rPr>
          <w:color w:val="231F20"/>
          <w:spacing w:val="3"/>
        </w:rPr>
        <w:t>representaciones </w:t>
      </w:r>
      <w:r>
        <w:rPr>
          <w:color w:val="231F20"/>
          <w:spacing w:val="2"/>
        </w:rPr>
        <w:t>sociales </w:t>
      </w:r>
      <w:r>
        <w:rPr>
          <w:color w:val="231F20"/>
          <w:spacing w:val="3"/>
        </w:rPr>
        <w:t>docentes, </w:t>
      </w:r>
      <w:r>
        <w:rPr>
          <w:color w:val="231F20"/>
        </w:rPr>
        <w:t>a </w:t>
      </w:r>
      <w:r>
        <w:rPr>
          <w:color w:val="231F20"/>
          <w:spacing w:val="3"/>
        </w:rPr>
        <w:t>propósito </w:t>
      </w:r>
      <w:r>
        <w:rPr>
          <w:color w:val="231F20"/>
        </w:rPr>
        <w:t>de </w:t>
      </w:r>
      <w:r>
        <w:rPr>
          <w:color w:val="231F20"/>
          <w:spacing w:val="3"/>
        </w:rPr>
        <w:t>transmitir </w:t>
      </w:r>
      <w:r>
        <w:rPr>
          <w:color w:val="231F20"/>
        </w:rPr>
        <w:t>el </w:t>
      </w:r>
      <w:r>
        <w:rPr>
          <w:color w:val="231F20"/>
          <w:spacing w:val="2"/>
        </w:rPr>
        <w:t>oficio </w:t>
      </w:r>
      <w:r>
        <w:rPr>
          <w:color w:val="231F20"/>
        </w:rPr>
        <w:t>de </w:t>
      </w:r>
      <w:r>
        <w:rPr>
          <w:color w:val="231F20"/>
          <w:spacing w:val="2"/>
        </w:rPr>
        <w:t>investigar, acaso lleven </w:t>
      </w:r>
      <w:r>
        <w:rPr>
          <w:color w:val="231F20"/>
        </w:rPr>
        <w:t>a </w:t>
      </w:r>
      <w:r>
        <w:rPr>
          <w:color w:val="231F20"/>
          <w:spacing w:val="2"/>
        </w:rPr>
        <w:t>pensar que </w:t>
      </w:r>
      <w:r>
        <w:rPr>
          <w:color w:val="231F20"/>
        </w:rPr>
        <w:t>es </w:t>
      </w:r>
      <w:r>
        <w:rPr>
          <w:color w:val="231F20"/>
          <w:spacing w:val="2"/>
        </w:rPr>
        <w:t>factible trasmitir </w:t>
      </w:r>
      <w:r>
        <w:rPr>
          <w:color w:val="231F20"/>
        </w:rPr>
        <w:t>la </w:t>
      </w:r>
      <w:r>
        <w:rPr>
          <w:color w:val="231F20"/>
          <w:spacing w:val="2"/>
        </w:rPr>
        <w:t>práctica </w:t>
      </w:r>
      <w:r>
        <w:rPr>
          <w:color w:val="231F20"/>
        </w:rPr>
        <w:t>de la </w:t>
      </w:r>
      <w:r>
        <w:rPr>
          <w:color w:val="231F20"/>
          <w:spacing w:val="2"/>
        </w:rPr>
        <w:t>investigación </w:t>
      </w:r>
      <w:r>
        <w:rPr>
          <w:color w:val="231F20"/>
        </w:rPr>
        <w:t>sin ser el </w:t>
      </w:r>
      <w:r>
        <w:rPr>
          <w:color w:val="231F20"/>
          <w:spacing w:val="2"/>
        </w:rPr>
        <w:t>propio maestro </w:t>
      </w:r>
      <w:r>
        <w:rPr>
          <w:color w:val="231F20"/>
        </w:rPr>
        <w:t>o </w:t>
      </w:r>
      <w:r>
        <w:rPr>
          <w:color w:val="231F20"/>
          <w:spacing w:val="3"/>
        </w:rPr>
        <w:t>profesora</w:t>
      </w:r>
      <w:r>
        <w:rPr>
          <w:color w:val="231F20"/>
          <w:spacing w:val="58"/>
        </w:rPr>
        <w:t> </w:t>
      </w:r>
      <w:r>
        <w:rPr>
          <w:color w:val="231F20"/>
        </w:rPr>
        <w:t>un  </w:t>
      </w:r>
      <w:r>
        <w:rPr>
          <w:color w:val="231F20"/>
          <w:spacing w:val="2"/>
        </w:rPr>
        <w:t>investigador. Quizá </w:t>
      </w:r>
      <w:r>
        <w:rPr>
          <w:color w:val="231F20"/>
        </w:rPr>
        <w:t>sea </w:t>
      </w:r>
      <w:r>
        <w:rPr>
          <w:color w:val="231F20"/>
          <w:spacing w:val="3"/>
        </w:rPr>
        <w:t>común </w:t>
      </w:r>
      <w:r>
        <w:rPr>
          <w:color w:val="231F20"/>
          <w:spacing w:val="2"/>
        </w:rPr>
        <w:t>que </w:t>
      </w:r>
      <w:r>
        <w:rPr>
          <w:color w:val="231F20"/>
        </w:rPr>
        <w:t>las </w:t>
      </w:r>
      <w:r>
        <w:rPr>
          <w:color w:val="231F20"/>
          <w:spacing w:val="2"/>
        </w:rPr>
        <w:t>materias </w:t>
      </w:r>
      <w:r>
        <w:rPr>
          <w:color w:val="231F20"/>
        </w:rPr>
        <w:t>de </w:t>
      </w:r>
      <w:r>
        <w:rPr>
          <w:color w:val="231F20"/>
          <w:spacing w:val="3"/>
        </w:rPr>
        <w:t>métodos </w:t>
      </w:r>
      <w:r>
        <w:rPr>
          <w:color w:val="231F20"/>
        </w:rPr>
        <w:t>de </w:t>
      </w:r>
      <w:r>
        <w:rPr>
          <w:color w:val="231F20"/>
          <w:spacing w:val="2"/>
        </w:rPr>
        <w:t>investigación </w:t>
      </w:r>
      <w:r>
        <w:rPr>
          <w:color w:val="231F20"/>
        </w:rPr>
        <w:t>o </w:t>
      </w:r>
      <w:r>
        <w:rPr>
          <w:color w:val="231F20"/>
          <w:spacing w:val="2"/>
        </w:rPr>
        <w:t>epistemología </w:t>
      </w:r>
      <w:r>
        <w:rPr>
          <w:color w:val="231F20"/>
        </w:rPr>
        <w:t>no las </w:t>
      </w:r>
      <w:r>
        <w:rPr>
          <w:color w:val="231F20"/>
          <w:spacing w:val="2"/>
        </w:rPr>
        <w:t>ofrezcan </w:t>
      </w:r>
      <w:r>
        <w:rPr>
          <w:color w:val="231F20"/>
          <w:spacing w:val="3"/>
        </w:rPr>
        <w:t>académicos </w:t>
      </w:r>
      <w:r>
        <w:rPr>
          <w:color w:val="231F20"/>
          <w:spacing w:val="2"/>
        </w:rPr>
        <w:t>con </w:t>
      </w:r>
      <w:r>
        <w:rPr>
          <w:color w:val="231F20"/>
          <w:spacing w:val="2"/>
          <w:w w:val="95"/>
        </w:rPr>
        <w:t>experiencia </w:t>
      </w:r>
      <w:r>
        <w:rPr>
          <w:color w:val="231F20"/>
          <w:spacing w:val="3"/>
          <w:w w:val="95"/>
        </w:rPr>
        <w:t> </w:t>
      </w:r>
      <w:r>
        <w:rPr>
          <w:color w:val="231F20"/>
          <w:spacing w:val="2"/>
          <w:w w:val="95"/>
        </w:rPr>
        <w:t>investigativa.</w:t>
      </w:r>
    </w:p>
    <w:p>
      <w:pPr>
        <w:pStyle w:val="BodyText"/>
        <w:spacing w:line="247" w:lineRule="auto"/>
        <w:ind w:left="102" w:right="120" w:firstLine="284"/>
        <w:jc w:val="both"/>
      </w:pPr>
      <w:r>
        <w:rPr>
          <w:color w:val="231F20"/>
        </w:rPr>
        <w:t>Se </w:t>
      </w:r>
      <w:r>
        <w:rPr>
          <w:color w:val="231F20"/>
          <w:spacing w:val="2"/>
        </w:rPr>
        <w:t>desconocía </w:t>
      </w:r>
      <w:r>
        <w:rPr>
          <w:color w:val="231F20"/>
        </w:rPr>
        <w:t>si </w:t>
      </w:r>
      <w:r>
        <w:rPr>
          <w:color w:val="231F20"/>
          <w:spacing w:val="2"/>
        </w:rPr>
        <w:t>los </w:t>
      </w:r>
      <w:r>
        <w:rPr>
          <w:color w:val="231F20"/>
          <w:spacing w:val="3"/>
        </w:rPr>
        <w:t>maestros responsables </w:t>
      </w:r>
      <w:r>
        <w:rPr>
          <w:color w:val="231F20"/>
        </w:rPr>
        <w:t>de </w:t>
      </w:r>
      <w:r>
        <w:rPr>
          <w:color w:val="231F20"/>
          <w:spacing w:val="2"/>
        </w:rPr>
        <w:t>trabajar </w:t>
      </w:r>
      <w:r>
        <w:rPr>
          <w:color w:val="231F20"/>
        </w:rPr>
        <w:t>en el  </w:t>
      </w:r>
      <w:r>
        <w:rPr>
          <w:color w:val="231F20"/>
          <w:spacing w:val="2"/>
        </w:rPr>
        <w:t>área    </w:t>
      </w:r>
      <w:r>
        <w:rPr>
          <w:color w:val="231F20"/>
        </w:rPr>
        <w:t>de    </w:t>
      </w:r>
      <w:r>
        <w:rPr>
          <w:color w:val="231F20"/>
          <w:spacing w:val="2"/>
        </w:rPr>
        <w:t>investigación    </w:t>
      </w:r>
      <w:r>
        <w:rPr>
          <w:color w:val="231F20"/>
        </w:rPr>
        <w:t>en    la    </w:t>
      </w:r>
      <w:r>
        <w:rPr>
          <w:color w:val="231F20"/>
          <w:spacing w:val="2"/>
        </w:rPr>
        <w:t>Facultad    </w:t>
      </w:r>
      <w:r>
        <w:rPr>
          <w:color w:val="231F20"/>
        </w:rPr>
        <w:t>de    </w:t>
      </w:r>
      <w:r>
        <w:rPr>
          <w:color w:val="231F20"/>
          <w:spacing w:val="2"/>
        </w:rPr>
        <w:t>Psicología</w:t>
      </w:r>
      <w:r>
        <w:rPr>
          <w:color w:val="231F20"/>
          <w:spacing w:val="29"/>
        </w:rPr>
        <w:t> </w:t>
      </w:r>
      <w:r>
        <w:rPr>
          <w:color w:val="231F20"/>
          <w:spacing w:val="2"/>
        </w:rPr>
        <w:t>son</w:t>
      </w:r>
    </w:p>
    <w:p>
      <w:pPr>
        <w:spacing w:after="0" w:line="247" w:lineRule="auto"/>
        <w:jc w:val="both"/>
        <w:sectPr>
          <w:headerReference w:type="default" r:id="rId327"/>
          <w:footerReference w:type="default" r:id="rId328"/>
          <w:pgSz w:w="7830" w:h="11910"/>
          <w:pgMar w:header="0" w:footer="424" w:top="500" w:bottom="620" w:left="920" w:right="900"/>
          <w:pgNumType w:start="15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8"/>
        <w:jc w:val="both"/>
      </w:pPr>
      <w:r>
        <w:rPr>
          <w:color w:val="231F20"/>
          <w:spacing w:val="2"/>
        </w:rPr>
        <w:t>investigadores con </w:t>
      </w:r>
      <w:r>
        <w:rPr>
          <w:color w:val="231F20"/>
          <w:spacing w:val="3"/>
        </w:rPr>
        <w:t>producción </w:t>
      </w:r>
      <w:r>
        <w:rPr>
          <w:color w:val="231F20"/>
          <w:spacing w:val="2"/>
        </w:rPr>
        <w:t>fehaciente: libros, artículos, </w:t>
      </w:r>
      <w:r>
        <w:rPr>
          <w:color w:val="231F20"/>
          <w:spacing w:val="3"/>
        </w:rPr>
        <w:t>ponencias </w:t>
      </w:r>
      <w:r>
        <w:rPr>
          <w:color w:val="231F20"/>
        </w:rPr>
        <w:t>o </w:t>
      </w:r>
      <w:r>
        <w:rPr>
          <w:color w:val="231F20"/>
          <w:spacing w:val="2"/>
        </w:rPr>
        <w:t>conferencias. </w:t>
      </w:r>
      <w:r>
        <w:rPr>
          <w:color w:val="231F20"/>
        </w:rPr>
        <w:t>Se </w:t>
      </w:r>
      <w:r>
        <w:rPr>
          <w:color w:val="231F20"/>
          <w:spacing w:val="3"/>
        </w:rPr>
        <w:t>ignoraba </w:t>
      </w:r>
      <w:r>
        <w:rPr>
          <w:color w:val="231F20"/>
          <w:spacing w:val="2"/>
        </w:rPr>
        <w:t>también cuáles eran </w:t>
      </w:r>
      <w:r>
        <w:rPr>
          <w:color w:val="231F20"/>
        </w:rPr>
        <w:t>sus </w:t>
      </w:r>
      <w:r>
        <w:rPr>
          <w:color w:val="231F20"/>
          <w:spacing w:val="2"/>
        </w:rPr>
        <w:t>principales </w:t>
      </w:r>
      <w:r>
        <w:rPr>
          <w:color w:val="231F20"/>
          <w:spacing w:val="3"/>
        </w:rPr>
        <w:t>preocupaciones </w:t>
      </w:r>
      <w:r>
        <w:rPr>
          <w:color w:val="231F20"/>
        </w:rPr>
        <w:t>o </w:t>
      </w:r>
      <w:r>
        <w:rPr>
          <w:color w:val="231F20"/>
          <w:spacing w:val="2"/>
        </w:rPr>
        <w:t>intereses  teórico-investigativos. Estas fueron algunas </w:t>
      </w:r>
      <w:r>
        <w:rPr>
          <w:color w:val="231F20"/>
        </w:rPr>
        <w:t>de las </w:t>
      </w:r>
      <w:r>
        <w:rPr>
          <w:color w:val="231F20"/>
          <w:spacing w:val="2"/>
        </w:rPr>
        <w:t>aristas </w:t>
      </w:r>
      <w:r>
        <w:rPr>
          <w:color w:val="231F20"/>
        </w:rPr>
        <w:t>a </w:t>
      </w:r>
      <w:r>
        <w:rPr>
          <w:color w:val="231F20"/>
          <w:spacing w:val="2"/>
        </w:rPr>
        <w:t>indagar: </w:t>
      </w:r>
      <w:r>
        <w:rPr>
          <w:color w:val="231F20"/>
        </w:rPr>
        <w:t>¿el </w:t>
      </w:r>
      <w:r>
        <w:rPr>
          <w:color w:val="231F20"/>
          <w:spacing w:val="2"/>
        </w:rPr>
        <w:t>maestro que enseña </w:t>
      </w:r>
      <w:r>
        <w:rPr>
          <w:color w:val="231F20"/>
        </w:rPr>
        <w:t>a </w:t>
      </w:r>
      <w:r>
        <w:rPr>
          <w:color w:val="231F20"/>
          <w:spacing w:val="2"/>
        </w:rPr>
        <w:t>investigar qué </w:t>
      </w:r>
      <w:r>
        <w:rPr>
          <w:color w:val="231F20"/>
          <w:spacing w:val="3"/>
        </w:rPr>
        <w:t>formación </w:t>
      </w:r>
      <w:r>
        <w:rPr>
          <w:color w:val="231F20"/>
          <w:spacing w:val="2"/>
        </w:rPr>
        <w:t>teórico-práctica tiene,  tanto para investigar, </w:t>
      </w:r>
      <w:r>
        <w:rPr>
          <w:color w:val="231F20"/>
          <w:spacing w:val="3"/>
        </w:rPr>
        <w:t>como </w:t>
      </w:r>
      <w:r>
        <w:rPr>
          <w:color w:val="231F20"/>
          <w:spacing w:val="2"/>
        </w:rPr>
        <w:t>para enseñar </w:t>
      </w:r>
      <w:r>
        <w:rPr>
          <w:color w:val="231F20"/>
        </w:rPr>
        <w:t>a  </w:t>
      </w:r>
      <w:r>
        <w:rPr>
          <w:color w:val="231F20"/>
          <w:spacing w:val="2"/>
        </w:rPr>
        <w:t>indagar? </w:t>
      </w:r>
      <w:r>
        <w:rPr>
          <w:color w:val="231F20"/>
        </w:rPr>
        <w:t>En  </w:t>
      </w:r>
      <w:r>
        <w:rPr>
          <w:color w:val="231F20"/>
          <w:spacing w:val="2"/>
        </w:rPr>
        <w:t>otras  </w:t>
      </w:r>
      <w:r>
        <w:rPr>
          <w:color w:val="231F20"/>
          <w:spacing w:val="28"/>
        </w:rPr>
        <w:t> </w:t>
      </w:r>
      <w:r>
        <w:rPr>
          <w:color w:val="231F20"/>
          <w:spacing w:val="2"/>
        </w:rPr>
        <w:t>palabras,</w:t>
      </w:r>
    </w:p>
    <w:p>
      <w:pPr>
        <w:pStyle w:val="BodyText"/>
        <w:spacing w:line="247" w:lineRule="auto"/>
        <w:ind w:left="102" w:right="120"/>
        <w:jc w:val="both"/>
      </w:pPr>
      <w:r>
        <w:rPr>
          <w:color w:val="231F20"/>
          <w:spacing w:val="2"/>
        </w:rPr>
        <w:t>¿cuáles son </w:t>
      </w:r>
      <w:r>
        <w:rPr>
          <w:color w:val="231F20"/>
        </w:rPr>
        <w:t>sus </w:t>
      </w:r>
      <w:r>
        <w:rPr>
          <w:color w:val="231F20"/>
          <w:spacing w:val="2"/>
        </w:rPr>
        <w:t>formas duraderas </w:t>
      </w:r>
      <w:r>
        <w:rPr>
          <w:color w:val="231F20"/>
        </w:rPr>
        <w:t>de ser y de </w:t>
      </w:r>
      <w:r>
        <w:rPr>
          <w:color w:val="231F20"/>
          <w:spacing w:val="2"/>
        </w:rPr>
        <w:t>valorar </w:t>
      </w:r>
      <w:r>
        <w:rPr>
          <w:color w:val="231F20"/>
        </w:rPr>
        <w:t>en el </w:t>
      </w:r>
      <w:r>
        <w:rPr>
          <w:color w:val="231F20"/>
          <w:spacing w:val="2"/>
        </w:rPr>
        <w:t>ámbito  </w:t>
      </w:r>
      <w:r>
        <w:rPr>
          <w:color w:val="231F20"/>
        </w:rPr>
        <w:t>de</w:t>
      </w:r>
      <w:r>
        <w:rPr>
          <w:color w:val="231F20"/>
          <w:spacing w:val="-5"/>
        </w:rPr>
        <w:t> </w:t>
      </w:r>
      <w:r>
        <w:rPr>
          <w:color w:val="231F20"/>
        </w:rPr>
        <w:t>la</w:t>
      </w:r>
      <w:r>
        <w:rPr>
          <w:color w:val="231F20"/>
          <w:spacing w:val="-5"/>
        </w:rPr>
        <w:t> </w:t>
      </w:r>
      <w:r>
        <w:rPr>
          <w:color w:val="231F20"/>
          <w:spacing w:val="2"/>
        </w:rPr>
        <w:t>investigación?,</w:t>
      </w:r>
      <w:r>
        <w:rPr>
          <w:color w:val="231F20"/>
          <w:spacing w:val="-5"/>
        </w:rPr>
        <w:t> </w:t>
      </w:r>
      <w:r>
        <w:rPr>
          <w:color w:val="231F20"/>
          <w:spacing w:val="2"/>
        </w:rPr>
        <w:t>¿cuáles</w:t>
      </w:r>
      <w:r>
        <w:rPr>
          <w:color w:val="231F20"/>
          <w:spacing w:val="-5"/>
        </w:rPr>
        <w:t> </w:t>
      </w:r>
      <w:r>
        <w:rPr>
          <w:color w:val="231F20"/>
          <w:spacing w:val="2"/>
        </w:rPr>
        <w:t>son</w:t>
      </w:r>
      <w:r>
        <w:rPr>
          <w:color w:val="231F20"/>
          <w:spacing w:val="-4"/>
        </w:rPr>
        <w:t> </w:t>
      </w:r>
      <w:r>
        <w:rPr>
          <w:color w:val="231F20"/>
        </w:rPr>
        <w:t>sus</w:t>
      </w:r>
      <w:r>
        <w:rPr>
          <w:color w:val="231F20"/>
          <w:spacing w:val="-5"/>
        </w:rPr>
        <w:t> </w:t>
      </w:r>
      <w:r>
        <w:rPr>
          <w:color w:val="231F20"/>
          <w:spacing w:val="3"/>
        </w:rPr>
        <w:t>representaciones</w:t>
      </w:r>
      <w:r>
        <w:rPr>
          <w:color w:val="231F20"/>
          <w:spacing w:val="-5"/>
        </w:rPr>
        <w:t> </w:t>
      </w:r>
      <w:r>
        <w:rPr>
          <w:color w:val="231F20"/>
          <w:spacing w:val="2"/>
        </w:rPr>
        <w:t>sociales</w:t>
      </w:r>
      <w:r>
        <w:rPr>
          <w:color w:val="231F20"/>
          <w:spacing w:val="-5"/>
        </w:rPr>
        <w:t> </w:t>
      </w:r>
      <w:r>
        <w:rPr>
          <w:color w:val="231F20"/>
        </w:rPr>
        <w:t>de</w:t>
      </w:r>
      <w:r>
        <w:rPr>
          <w:color w:val="231F20"/>
          <w:spacing w:val="-5"/>
        </w:rPr>
        <w:t> </w:t>
      </w:r>
      <w:r>
        <w:rPr>
          <w:color w:val="231F20"/>
        </w:rPr>
        <w:t>la </w:t>
      </w:r>
      <w:r>
        <w:rPr>
          <w:color w:val="231F20"/>
          <w:spacing w:val="3"/>
        </w:rPr>
        <w:t>forma </w:t>
      </w:r>
      <w:r>
        <w:rPr>
          <w:color w:val="231F20"/>
        </w:rPr>
        <w:t>de </w:t>
      </w:r>
      <w:r>
        <w:rPr>
          <w:color w:val="231F20"/>
          <w:spacing w:val="2"/>
        </w:rPr>
        <w:t>transmitir </w:t>
      </w:r>
      <w:r>
        <w:rPr>
          <w:color w:val="231F20"/>
        </w:rPr>
        <w:t>el </w:t>
      </w:r>
      <w:r>
        <w:rPr>
          <w:color w:val="231F20"/>
          <w:spacing w:val="2"/>
        </w:rPr>
        <w:t>oficio </w:t>
      </w:r>
      <w:r>
        <w:rPr>
          <w:color w:val="231F20"/>
        </w:rPr>
        <w:t>de</w:t>
      </w:r>
      <w:r>
        <w:rPr>
          <w:color w:val="231F20"/>
          <w:spacing w:val="12"/>
        </w:rPr>
        <w:t> </w:t>
      </w:r>
      <w:r>
        <w:rPr>
          <w:color w:val="231F20"/>
          <w:spacing w:val="2"/>
        </w:rPr>
        <w:t>investigador?</w:t>
      </w:r>
    </w:p>
    <w:p>
      <w:pPr>
        <w:pStyle w:val="BodyText"/>
        <w:spacing w:line="249" w:lineRule="auto" w:before="1"/>
        <w:ind w:left="102" w:right="118" w:firstLine="284"/>
        <w:jc w:val="both"/>
      </w:pPr>
      <w:r>
        <w:rPr>
          <w:color w:val="231F20"/>
        </w:rPr>
        <w:t>En un </w:t>
      </w:r>
      <w:r>
        <w:rPr>
          <w:color w:val="231F20"/>
          <w:spacing w:val="2"/>
        </w:rPr>
        <w:t>trabajo reciente (Ibarra, 2007) </w:t>
      </w:r>
      <w:r>
        <w:rPr>
          <w:color w:val="231F20"/>
        </w:rPr>
        <w:t>se </w:t>
      </w:r>
      <w:r>
        <w:rPr>
          <w:color w:val="231F20"/>
          <w:spacing w:val="2"/>
        </w:rPr>
        <w:t>muestran </w:t>
      </w:r>
      <w:r>
        <w:rPr>
          <w:color w:val="231F20"/>
        </w:rPr>
        <w:t>las  </w:t>
      </w:r>
      <w:r>
        <w:rPr>
          <w:color w:val="231F20"/>
          <w:spacing w:val="2"/>
        </w:rPr>
        <w:t>dificultades inherentes </w:t>
      </w:r>
      <w:r>
        <w:rPr>
          <w:color w:val="231F20"/>
        </w:rPr>
        <w:t>a </w:t>
      </w:r>
      <w:r>
        <w:rPr>
          <w:color w:val="231F20"/>
          <w:spacing w:val="2"/>
        </w:rPr>
        <w:t>prácticas educativas </w:t>
      </w:r>
      <w:r>
        <w:rPr>
          <w:color w:val="231F20"/>
        </w:rPr>
        <w:t>de un </w:t>
      </w:r>
      <w:r>
        <w:rPr>
          <w:color w:val="231F20"/>
          <w:spacing w:val="2"/>
        </w:rPr>
        <w:t>maestro </w:t>
      </w:r>
      <w:r>
        <w:rPr>
          <w:color w:val="231F20"/>
        </w:rPr>
        <w:t>y </w:t>
      </w:r>
      <w:r>
        <w:rPr>
          <w:color w:val="231F20"/>
          <w:spacing w:val="2"/>
        </w:rPr>
        <w:t>sus </w:t>
      </w:r>
      <w:r>
        <w:rPr>
          <w:color w:val="231F20"/>
          <w:spacing w:val="3"/>
        </w:rPr>
        <w:t>alumnos </w:t>
      </w:r>
      <w:r>
        <w:rPr>
          <w:color w:val="231F20"/>
        </w:rPr>
        <w:t>al </w:t>
      </w:r>
      <w:r>
        <w:rPr>
          <w:color w:val="231F20"/>
          <w:spacing w:val="2"/>
        </w:rPr>
        <w:t>transmitir </w:t>
      </w:r>
      <w:r>
        <w:rPr>
          <w:color w:val="231F20"/>
        </w:rPr>
        <w:t>el </w:t>
      </w:r>
      <w:r>
        <w:rPr>
          <w:color w:val="231F20"/>
          <w:spacing w:val="2"/>
        </w:rPr>
        <w:t>oficio </w:t>
      </w:r>
      <w:r>
        <w:rPr>
          <w:color w:val="231F20"/>
        </w:rPr>
        <w:t>de </w:t>
      </w:r>
      <w:r>
        <w:rPr>
          <w:color w:val="231F20"/>
          <w:spacing w:val="2"/>
        </w:rPr>
        <w:t>investigar. </w:t>
      </w:r>
      <w:r>
        <w:rPr>
          <w:color w:val="231F20"/>
        </w:rPr>
        <w:t>En ese </w:t>
      </w:r>
      <w:r>
        <w:rPr>
          <w:color w:val="231F20"/>
          <w:spacing w:val="2"/>
        </w:rPr>
        <w:t>trabajo </w:t>
      </w:r>
      <w:r>
        <w:rPr>
          <w:color w:val="231F20"/>
        </w:rPr>
        <w:t>se </w:t>
      </w:r>
      <w:r>
        <w:rPr>
          <w:color w:val="231F20"/>
          <w:spacing w:val="2"/>
        </w:rPr>
        <w:t>ilustran </w:t>
      </w:r>
      <w:r>
        <w:rPr>
          <w:color w:val="231F20"/>
          <w:spacing w:val="3"/>
        </w:rPr>
        <w:t>formas </w:t>
      </w:r>
      <w:r>
        <w:rPr>
          <w:color w:val="231F20"/>
        </w:rPr>
        <w:t>de </w:t>
      </w:r>
      <w:r>
        <w:rPr>
          <w:color w:val="231F20"/>
          <w:spacing w:val="2"/>
        </w:rPr>
        <w:t>reacción estudiantil ante </w:t>
      </w:r>
      <w:r>
        <w:rPr>
          <w:color w:val="231F20"/>
        </w:rPr>
        <w:t>la </w:t>
      </w:r>
      <w:r>
        <w:rPr>
          <w:color w:val="231F20"/>
          <w:spacing w:val="3"/>
        </w:rPr>
        <w:t>enseñanza </w:t>
      </w:r>
      <w:r>
        <w:rPr>
          <w:color w:val="231F20"/>
        </w:rPr>
        <w:t>de la </w:t>
      </w:r>
      <w:r>
        <w:rPr>
          <w:color w:val="231F20"/>
          <w:spacing w:val="2"/>
        </w:rPr>
        <w:t>investigación. Las más </w:t>
      </w:r>
      <w:r>
        <w:rPr>
          <w:color w:val="231F20"/>
        </w:rPr>
        <w:t>de ellas no </w:t>
      </w:r>
      <w:r>
        <w:rPr>
          <w:color w:val="231F20"/>
          <w:spacing w:val="2"/>
        </w:rPr>
        <w:t>favorecen </w:t>
      </w:r>
      <w:r>
        <w:rPr>
          <w:color w:val="231F20"/>
        </w:rPr>
        <w:t>ni se </w:t>
      </w:r>
      <w:r>
        <w:rPr>
          <w:color w:val="231F20"/>
          <w:spacing w:val="2"/>
        </w:rPr>
        <w:t>interesan por indagar. Las respuestas </w:t>
      </w:r>
      <w:r>
        <w:rPr>
          <w:color w:val="231F20"/>
        </w:rPr>
        <w:t>de la </w:t>
      </w:r>
      <w:r>
        <w:rPr>
          <w:color w:val="231F20"/>
          <w:spacing w:val="2"/>
        </w:rPr>
        <w:t>mayoría </w:t>
      </w:r>
      <w:r>
        <w:rPr>
          <w:color w:val="231F20"/>
        </w:rPr>
        <w:t>de  </w:t>
      </w:r>
      <w:r>
        <w:rPr>
          <w:color w:val="231F20"/>
          <w:spacing w:val="2"/>
        </w:rPr>
        <w:t>estudiantes, motivo </w:t>
      </w:r>
      <w:r>
        <w:rPr>
          <w:color w:val="231F20"/>
        </w:rPr>
        <w:t>de  esa </w:t>
      </w:r>
      <w:r>
        <w:rPr>
          <w:color w:val="231F20"/>
          <w:spacing w:val="2"/>
        </w:rPr>
        <w:t>investigación, dejan </w:t>
      </w:r>
      <w:r>
        <w:rPr>
          <w:color w:val="231F20"/>
        </w:rPr>
        <w:t>ver </w:t>
      </w:r>
      <w:r>
        <w:rPr>
          <w:color w:val="231F20"/>
          <w:spacing w:val="2"/>
        </w:rPr>
        <w:t>que los jóvenes ignoran que ignoran </w:t>
      </w:r>
      <w:r>
        <w:rPr>
          <w:color w:val="231F20"/>
        </w:rPr>
        <w:t>y, </w:t>
      </w:r>
      <w:r>
        <w:rPr>
          <w:color w:val="231F20"/>
          <w:spacing w:val="3"/>
        </w:rPr>
        <w:t>además, ponen </w:t>
      </w:r>
      <w:r>
        <w:rPr>
          <w:color w:val="231F20"/>
        </w:rPr>
        <w:t>en </w:t>
      </w:r>
      <w:r>
        <w:rPr>
          <w:color w:val="231F20"/>
          <w:spacing w:val="2"/>
        </w:rPr>
        <w:t>práctica estratagemas para </w:t>
      </w:r>
      <w:r>
        <w:rPr>
          <w:color w:val="231F20"/>
        </w:rPr>
        <w:t>no </w:t>
      </w:r>
      <w:r>
        <w:rPr>
          <w:color w:val="231F20"/>
          <w:spacing w:val="2"/>
        </w:rPr>
        <w:t>investigar, para </w:t>
      </w:r>
      <w:r>
        <w:rPr>
          <w:color w:val="231F20"/>
        </w:rPr>
        <w:t>salir de su </w:t>
      </w:r>
      <w:r>
        <w:rPr>
          <w:color w:val="231F20"/>
          <w:spacing w:val="3"/>
        </w:rPr>
        <w:t>desconocimiento; </w:t>
      </w:r>
      <w:r>
        <w:rPr>
          <w:color w:val="231F20"/>
          <w:spacing w:val="2"/>
        </w:rPr>
        <w:t>por ejemplo, discuten </w:t>
      </w:r>
      <w:r>
        <w:rPr>
          <w:color w:val="231F20"/>
        </w:rPr>
        <w:t>y  </w:t>
      </w:r>
      <w:r>
        <w:rPr>
          <w:color w:val="231F20"/>
          <w:spacing w:val="2"/>
        </w:rPr>
        <w:t>culpan  </w:t>
      </w:r>
      <w:r>
        <w:rPr>
          <w:color w:val="231F20"/>
        </w:rPr>
        <w:t>a </w:t>
      </w:r>
      <w:r>
        <w:rPr>
          <w:color w:val="231F20"/>
          <w:spacing w:val="2"/>
        </w:rPr>
        <w:t>otros </w:t>
      </w:r>
      <w:r>
        <w:rPr>
          <w:color w:val="231F20"/>
        </w:rPr>
        <w:t>de su </w:t>
      </w:r>
      <w:r>
        <w:rPr>
          <w:color w:val="231F20"/>
          <w:spacing w:val="2"/>
        </w:rPr>
        <w:t>condición </w:t>
      </w:r>
      <w:r>
        <w:rPr>
          <w:color w:val="231F20"/>
        </w:rPr>
        <w:t>de </w:t>
      </w:r>
      <w:r>
        <w:rPr>
          <w:color w:val="231F20"/>
          <w:spacing w:val="2"/>
        </w:rPr>
        <w:t>ignorancia </w:t>
      </w:r>
      <w:r>
        <w:rPr>
          <w:color w:val="231F20"/>
        </w:rPr>
        <w:t>o, </w:t>
      </w:r>
      <w:r>
        <w:rPr>
          <w:color w:val="231F20"/>
          <w:spacing w:val="2"/>
        </w:rPr>
        <w:t>bien, </w:t>
      </w:r>
      <w:r>
        <w:rPr>
          <w:color w:val="231F20"/>
        </w:rPr>
        <w:t>les da </w:t>
      </w:r>
      <w:r>
        <w:rPr>
          <w:color w:val="231F20"/>
          <w:spacing w:val="2"/>
        </w:rPr>
        <w:t>flojera </w:t>
      </w:r>
      <w:r>
        <w:rPr>
          <w:color w:val="231F20"/>
          <w:spacing w:val="3"/>
        </w:rPr>
        <w:t>indagar   </w:t>
      </w:r>
      <w:r>
        <w:rPr>
          <w:color w:val="231F20"/>
        </w:rPr>
        <w:t>o </w:t>
      </w:r>
      <w:r>
        <w:rPr>
          <w:color w:val="231F20"/>
          <w:spacing w:val="2"/>
        </w:rPr>
        <w:t>aducen </w:t>
      </w:r>
      <w:r>
        <w:rPr>
          <w:color w:val="231F20"/>
        </w:rPr>
        <w:t>que su </w:t>
      </w:r>
      <w:r>
        <w:rPr>
          <w:color w:val="231F20"/>
          <w:spacing w:val="2"/>
        </w:rPr>
        <w:t>empleo </w:t>
      </w:r>
      <w:r>
        <w:rPr>
          <w:color w:val="231F20"/>
        </w:rPr>
        <w:t>no se </w:t>
      </w:r>
      <w:r>
        <w:rPr>
          <w:color w:val="231F20"/>
          <w:spacing w:val="2"/>
        </w:rPr>
        <w:t>los permite </w:t>
      </w:r>
      <w:r>
        <w:rPr>
          <w:color w:val="231F20"/>
        </w:rPr>
        <w:t>y, en </w:t>
      </w:r>
      <w:r>
        <w:rPr>
          <w:color w:val="231F20"/>
          <w:spacing w:val="2"/>
        </w:rPr>
        <w:t>lugar </w:t>
      </w:r>
      <w:r>
        <w:rPr>
          <w:color w:val="231F20"/>
        </w:rPr>
        <w:t>de </w:t>
      </w:r>
      <w:r>
        <w:rPr>
          <w:color w:val="231F20"/>
          <w:spacing w:val="2"/>
        </w:rPr>
        <w:t>vencer </w:t>
      </w:r>
      <w:r>
        <w:rPr>
          <w:color w:val="231F20"/>
        </w:rPr>
        <w:t>su </w:t>
      </w:r>
      <w:r>
        <w:rPr>
          <w:color w:val="231F20"/>
          <w:spacing w:val="2"/>
        </w:rPr>
        <w:t>ignorancia, </w:t>
      </w:r>
      <w:r>
        <w:rPr>
          <w:color w:val="231F20"/>
          <w:spacing w:val="3"/>
        </w:rPr>
        <w:t>simplemente, opinan. Desconocen, </w:t>
      </w:r>
      <w:r>
        <w:rPr>
          <w:color w:val="231F20"/>
          <w:spacing w:val="2"/>
        </w:rPr>
        <w:t>por ejemplo, </w:t>
      </w:r>
      <w:r>
        <w:rPr>
          <w:color w:val="231F20"/>
        </w:rPr>
        <w:t>al </w:t>
      </w:r>
      <w:r>
        <w:rPr>
          <w:color w:val="231F20"/>
          <w:spacing w:val="2"/>
        </w:rPr>
        <w:t>investigar, diferencias entre aprender, </w:t>
      </w:r>
      <w:r>
        <w:rPr>
          <w:color w:val="231F20"/>
          <w:spacing w:val="3"/>
        </w:rPr>
        <w:t>conocer, </w:t>
      </w:r>
      <w:r>
        <w:rPr>
          <w:color w:val="231F20"/>
          <w:spacing w:val="2"/>
        </w:rPr>
        <w:t>pensar reflexionar, </w:t>
      </w:r>
      <w:r>
        <w:rPr>
          <w:color w:val="231F20"/>
        </w:rPr>
        <w:t>o </w:t>
      </w:r>
      <w:r>
        <w:rPr>
          <w:color w:val="231F20"/>
          <w:spacing w:val="2"/>
        </w:rPr>
        <w:t>actuar con inteligencia (Ibarra, 2010). </w:t>
      </w:r>
      <w:r>
        <w:rPr>
          <w:color w:val="231F20"/>
          <w:spacing w:val="3"/>
        </w:rPr>
        <w:t>Otros pocos </w:t>
      </w:r>
      <w:r>
        <w:rPr>
          <w:color w:val="231F20"/>
          <w:spacing w:val="2"/>
        </w:rPr>
        <w:t>estudiantes </w:t>
      </w:r>
      <w:r>
        <w:rPr>
          <w:color w:val="231F20"/>
        </w:rPr>
        <w:t>sí se </w:t>
      </w:r>
      <w:r>
        <w:rPr>
          <w:color w:val="231F20"/>
          <w:spacing w:val="2"/>
        </w:rPr>
        <w:t>percataron </w:t>
      </w:r>
      <w:r>
        <w:rPr>
          <w:color w:val="231F20"/>
        </w:rPr>
        <w:t>de su </w:t>
      </w:r>
      <w:r>
        <w:rPr>
          <w:color w:val="231F20"/>
          <w:spacing w:val="2"/>
        </w:rPr>
        <w:t>ignorancia: luego </w:t>
      </w:r>
      <w:r>
        <w:rPr>
          <w:color w:val="231F20"/>
        </w:rPr>
        <w:t>de </w:t>
      </w:r>
      <w:r>
        <w:rPr>
          <w:color w:val="231F20"/>
          <w:spacing w:val="2"/>
        </w:rPr>
        <w:t>vencer </w:t>
      </w:r>
      <w:r>
        <w:rPr>
          <w:color w:val="231F20"/>
          <w:spacing w:val="3"/>
        </w:rPr>
        <w:t>obstáculos epistemológicos, construyeron </w:t>
      </w:r>
      <w:r>
        <w:rPr>
          <w:color w:val="231F20"/>
        </w:rPr>
        <w:t>un </w:t>
      </w:r>
      <w:r>
        <w:rPr>
          <w:color w:val="231F20"/>
          <w:spacing w:val="2"/>
        </w:rPr>
        <w:t>objeto </w:t>
      </w:r>
      <w:r>
        <w:rPr>
          <w:color w:val="231F20"/>
        </w:rPr>
        <w:t>de </w:t>
      </w:r>
      <w:r>
        <w:rPr>
          <w:color w:val="231F20"/>
          <w:spacing w:val="2"/>
        </w:rPr>
        <w:t>estudio. Gracias </w:t>
      </w:r>
      <w:r>
        <w:rPr>
          <w:color w:val="231F20"/>
        </w:rPr>
        <w:t>a </w:t>
      </w:r>
      <w:r>
        <w:rPr>
          <w:color w:val="231F20"/>
          <w:spacing w:val="3"/>
        </w:rPr>
        <w:t>formas </w:t>
      </w:r>
      <w:r>
        <w:rPr>
          <w:color w:val="231F20"/>
          <w:spacing w:val="2"/>
        </w:rPr>
        <w:t>pertinentes </w:t>
      </w:r>
      <w:r>
        <w:rPr>
          <w:color w:val="231F20"/>
        </w:rPr>
        <w:t>y </w:t>
      </w:r>
      <w:r>
        <w:rPr>
          <w:color w:val="231F20"/>
          <w:spacing w:val="2"/>
        </w:rPr>
        <w:t>plausibles </w:t>
      </w:r>
      <w:r>
        <w:rPr>
          <w:color w:val="231F20"/>
        </w:rPr>
        <w:t>de </w:t>
      </w:r>
      <w:r>
        <w:rPr>
          <w:color w:val="231F20"/>
          <w:spacing w:val="2"/>
        </w:rPr>
        <w:t>relación social,  investigaron para encarar </w:t>
      </w:r>
      <w:r>
        <w:rPr>
          <w:color w:val="231F20"/>
        </w:rPr>
        <w:t>su</w:t>
      </w:r>
      <w:r>
        <w:rPr>
          <w:color w:val="231F20"/>
          <w:spacing w:val="14"/>
        </w:rPr>
        <w:t> </w:t>
      </w:r>
      <w:r>
        <w:rPr>
          <w:color w:val="231F20"/>
          <w:spacing w:val="3"/>
        </w:rPr>
        <w:t>desconocimiento.</w:t>
      </w:r>
    </w:p>
    <w:p>
      <w:pPr>
        <w:pStyle w:val="BodyText"/>
        <w:spacing w:line="249" w:lineRule="auto"/>
        <w:ind w:left="102" w:right="114" w:firstLine="284"/>
        <w:jc w:val="both"/>
      </w:pPr>
      <w:r>
        <w:rPr>
          <w:color w:val="231F20"/>
        </w:rPr>
        <w:t>En ese trabajo (Ibarra, 2010), el énfasis de la investigación  estuvo en las respuestas de los estudiantes ante la exigencia de indagar, así como en las dificultades que sorteaba el maestro al transmitir el oficio de investigar. Solo ahora, se valoró que esas respuestas “obedecen aun algo que no es del todo conocido”: representaciones sociales que estudiantes y profesor  hicieron propias, así como otras que se viven en cada facultad. Esa investigación (Ibarra, 2007) buscó efectos o síntomas, no  condiciones del campo ni representaciones sociales que estudiantes   y profesor pusieron en juego, al cursar una asignatura de investigación. En esta ocasión indagaremos cómo y cuáles son las representaciones</w:t>
      </w:r>
      <w:r>
        <w:rPr>
          <w:color w:val="231F20"/>
          <w:spacing w:val="38"/>
        </w:rPr>
        <w:t> </w:t>
      </w:r>
      <w:r>
        <w:rPr>
          <w:color w:val="231F20"/>
        </w:rPr>
        <w:t>sociales</w:t>
      </w:r>
      <w:r>
        <w:rPr>
          <w:color w:val="231F20"/>
          <w:spacing w:val="38"/>
        </w:rPr>
        <w:t> </w:t>
      </w:r>
      <w:r>
        <w:rPr>
          <w:color w:val="231F20"/>
        </w:rPr>
        <w:t>que</w:t>
      </w:r>
      <w:r>
        <w:rPr>
          <w:color w:val="231F20"/>
          <w:spacing w:val="37"/>
        </w:rPr>
        <w:t> </w:t>
      </w:r>
      <w:r>
        <w:rPr>
          <w:color w:val="231F20"/>
        </w:rPr>
        <w:t>ponen</w:t>
      </w:r>
      <w:r>
        <w:rPr>
          <w:color w:val="231F20"/>
          <w:spacing w:val="39"/>
        </w:rPr>
        <w:t> </w:t>
      </w:r>
      <w:r>
        <w:rPr>
          <w:color w:val="231F20"/>
        </w:rPr>
        <w:t>en</w:t>
      </w:r>
      <w:r>
        <w:rPr>
          <w:color w:val="231F20"/>
          <w:spacing w:val="39"/>
        </w:rPr>
        <w:t> </w:t>
      </w:r>
      <w:r>
        <w:rPr>
          <w:color w:val="231F20"/>
        </w:rPr>
        <w:t>práctica</w:t>
      </w:r>
      <w:r>
        <w:rPr>
          <w:color w:val="231F20"/>
          <w:spacing w:val="39"/>
        </w:rPr>
        <w:t> </w:t>
      </w:r>
      <w:r>
        <w:rPr>
          <w:color w:val="231F20"/>
        </w:rPr>
        <w:t>los</w:t>
      </w:r>
      <w:r>
        <w:rPr>
          <w:color w:val="231F20"/>
          <w:spacing w:val="38"/>
        </w:rPr>
        <w:t> </w:t>
      </w:r>
      <w:r>
        <w:rPr>
          <w:color w:val="231F20"/>
        </w:rPr>
        <w:t>estudiantes</w:t>
      </w:r>
      <w:r>
        <w:rPr>
          <w:color w:val="231F20"/>
          <w:spacing w:val="38"/>
        </w:rPr>
        <w:t> </w:t>
      </w:r>
      <w:r>
        <w:rPr>
          <w:color w:val="231F20"/>
        </w:rPr>
        <w:t>y</w:t>
      </w:r>
    </w:p>
    <w:p>
      <w:pPr>
        <w:spacing w:after="0" w:line="249" w:lineRule="auto"/>
        <w:jc w:val="both"/>
        <w:sectPr>
          <w:headerReference w:type="default" r:id="rId329"/>
          <w:footerReference w:type="default" r:id="rId330"/>
          <w:pgSz w:w="7830" w:h="11910"/>
          <w:pgMar w:header="0" w:footer="424" w:top="500" w:bottom="620" w:left="920" w:right="900"/>
          <w:pgNumType w:start="15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7"/>
        <w:jc w:val="both"/>
      </w:pPr>
      <w:r>
        <w:rPr>
          <w:color w:val="231F20"/>
        </w:rPr>
        <w:t>maestros, al coincidir en actividades propias de asignaturas de investigación. Asimismo, se investigaron las estructuras que soportan y movilizan la investigación en la Facultad de Psicología para, así, saber cuál es el ambiente, atmósfera o tendencia más generalizada</w:t>
      </w:r>
      <w:r>
        <w:rPr>
          <w:color w:val="231F20"/>
          <w:spacing w:val="-17"/>
        </w:rPr>
        <w:t> </w:t>
      </w:r>
      <w:r>
        <w:rPr>
          <w:color w:val="231F20"/>
        </w:rPr>
        <w:t>acerca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investigación.</w:t>
      </w:r>
    </w:p>
    <w:p>
      <w:pPr>
        <w:pStyle w:val="BodyText"/>
        <w:spacing w:line="247" w:lineRule="auto" w:before="6"/>
        <w:ind w:left="102" w:right="116" w:firstLine="284"/>
        <w:jc w:val="both"/>
      </w:pPr>
      <w:r>
        <w:rPr>
          <w:color w:val="231F20"/>
          <w:spacing w:val="2"/>
        </w:rPr>
        <w:t>Hallazgos previos propiciaron </w:t>
      </w:r>
      <w:r>
        <w:rPr>
          <w:color w:val="231F20"/>
        </w:rPr>
        <w:t>una </w:t>
      </w:r>
      <w:r>
        <w:rPr>
          <w:color w:val="231F20"/>
          <w:spacing w:val="2"/>
        </w:rPr>
        <w:t>nueva inquietud: averiguar cuáles son </w:t>
      </w:r>
      <w:r>
        <w:rPr>
          <w:color w:val="231F20"/>
        </w:rPr>
        <w:t>y </w:t>
      </w:r>
      <w:r>
        <w:rPr>
          <w:color w:val="231F20"/>
          <w:spacing w:val="3"/>
        </w:rPr>
        <w:t>cómo </w:t>
      </w:r>
      <w:r>
        <w:rPr>
          <w:color w:val="231F20"/>
          <w:spacing w:val="2"/>
        </w:rPr>
        <w:t>son </w:t>
      </w:r>
      <w:r>
        <w:rPr>
          <w:color w:val="231F20"/>
        </w:rPr>
        <w:t>las </w:t>
      </w:r>
      <w:r>
        <w:rPr>
          <w:color w:val="231F20"/>
          <w:spacing w:val="3"/>
        </w:rPr>
        <w:t>representaciones </w:t>
      </w:r>
      <w:r>
        <w:rPr>
          <w:color w:val="231F20"/>
          <w:spacing w:val="2"/>
        </w:rPr>
        <w:t>sociales desplegadas </w:t>
      </w:r>
      <w:r>
        <w:rPr>
          <w:color w:val="231F20"/>
        </w:rPr>
        <w:t>en </w:t>
      </w:r>
      <w:r>
        <w:rPr>
          <w:color w:val="231F20"/>
          <w:spacing w:val="2"/>
        </w:rPr>
        <w:t>prácticas socio-educativas por jóvenes </w:t>
      </w:r>
      <w:r>
        <w:rPr>
          <w:color w:val="231F20"/>
        </w:rPr>
        <w:t>en </w:t>
      </w:r>
      <w:r>
        <w:rPr>
          <w:color w:val="231F20"/>
          <w:spacing w:val="2"/>
        </w:rPr>
        <w:t>formación </w:t>
      </w:r>
      <w:r>
        <w:rPr>
          <w:color w:val="231F20"/>
        </w:rPr>
        <w:t>y </w:t>
      </w:r>
      <w:r>
        <w:rPr>
          <w:color w:val="231F20"/>
          <w:spacing w:val="2"/>
        </w:rPr>
        <w:t>por </w:t>
      </w:r>
      <w:r>
        <w:rPr>
          <w:color w:val="231F20"/>
        </w:rPr>
        <w:t>sus </w:t>
      </w:r>
      <w:r>
        <w:rPr>
          <w:color w:val="231F20"/>
          <w:spacing w:val="3"/>
        </w:rPr>
        <w:t>profesores, </w:t>
      </w:r>
      <w:r>
        <w:rPr>
          <w:color w:val="231F20"/>
        </w:rPr>
        <w:t>al </w:t>
      </w:r>
      <w:r>
        <w:rPr>
          <w:color w:val="231F20"/>
          <w:spacing w:val="2"/>
        </w:rPr>
        <w:t>realizar trabajo </w:t>
      </w:r>
      <w:r>
        <w:rPr>
          <w:color w:val="231F20"/>
          <w:spacing w:val="3"/>
        </w:rPr>
        <w:t>humano </w:t>
      </w:r>
      <w:r>
        <w:rPr>
          <w:color w:val="231F20"/>
        </w:rPr>
        <w:t>y </w:t>
      </w:r>
      <w:r>
        <w:rPr>
          <w:color w:val="231F20"/>
          <w:spacing w:val="2"/>
        </w:rPr>
        <w:t>prácticas sociales, </w:t>
      </w:r>
      <w:r>
        <w:rPr>
          <w:color w:val="231F20"/>
          <w:spacing w:val="3"/>
        </w:rPr>
        <w:t>al </w:t>
      </w:r>
      <w:r>
        <w:rPr>
          <w:color w:val="231F20"/>
          <w:spacing w:val="2"/>
        </w:rPr>
        <w:t>transmitir </w:t>
      </w:r>
      <w:r>
        <w:rPr>
          <w:color w:val="231F20"/>
        </w:rPr>
        <w:t>el </w:t>
      </w:r>
      <w:r>
        <w:rPr>
          <w:color w:val="231F20"/>
          <w:spacing w:val="2"/>
        </w:rPr>
        <w:t>oficio </w:t>
      </w:r>
      <w:r>
        <w:rPr>
          <w:color w:val="231F20"/>
        </w:rPr>
        <w:t>de </w:t>
      </w:r>
      <w:r>
        <w:rPr>
          <w:color w:val="231F20"/>
          <w:spacing w:val="2"/>
        </w:rPr>
        <w:t>investigar </w:t>
      </w:r>
      <w:r>
        <w:rPr>
          <w:color w:val="231F20"/>
        </w:rPr>
        <w:t>en la </w:t>
      </w:r>
      <w:r>
        <w:rPr>
          <w:color w:val="231F20"/>
          <w:spacing w:val="2"/>
        </w:rPr>
        <w:t>Facultad </w:t>
      </w:r>
      <w:r>
        <w:rPr>
          <w:color w:val="231F20"/>
        </w:rPr>
        <w:t>de</w:t>
      </w:r>
      <w:r>
        <w:rPr>
          <w:color w:val="231F20"/>
          <w:spacing w:val="-19"/>
        </w:rPr>
        <w:t> </w:t>
      </w:r>
      <w:r>
        <w:rPr>
          <w:color w:val="231F20"/>
          <w:spacing w:val="3"/>
        </w:rPr>
        <w:t>Psicología.</w:t>
      </w:r>
    </w:p>
    <w:p>
      <w:pPr>
        <w:pStyle w:val="BodyText"/>
        <w:spacing w:before="9"/>
      </w:pPr>
    </w:p>
    <w:p>
      <w:pPr>
        <w:pStyle w:val="ListParagraph"/>
        <w:numPr>
          <w:ilvl w:val="1"/>
          <w:numId w:val="6"/>
        </w:numPr>
        <w:tabs>
          <w:tab w:pos="460" w:val="left" w:leader="none"/>
        </w:tabs>
        <w:spacing w:line="240" w:lineRule="auto" w:before="0" w:after="0"/>
        <w:ind w:left="459" w:right="0" w:hanging="357"/>
        <w:jc w:val="both"/>
        <w:rPr>
          <w:i/>
          <w:sz w:val="21"/>
        </w:rPr>
      </w:pPr>
      <w:r>
        <w:rPr>
          <w:i/>
          <w:color w:val="231F20"/>
          <w:spacing w:val="3"/>
          <w:w w:val="128"/>
          <w:sz w:val="21"/>
        </w:rPr>
        <w:t>A</w:t>
      </w:r>
      <w:r>
        <w:rPr>
          <w:i/>
          <w:color w:val="231F20"/>
          <w:spacing w:val="1"/>
          <w:w w:val="87"/>
          <w:sz w:val="21"/>
        </w:rPr>
        <w:t>n</w:t>
      </w:r>
      <w:r>
        <w:rPr>
          <w:i/>
          <w:color w:val="231F20"/>
          <w:w w:val="77"/>
          <w:sz w:val="21"/>
        </w:rPr>
        <w:t>t</w:t>
      </w:r>
      <w:r>
        <w:rPr>
          <w:i/>
          <w:color w:val="231F20"/>
          <w:spacing w:val="1"/>
          <w:w w:val="77"/>
          <w:sz w:val="21"/>
        </w:rPr>
        <w:t>e</w:t>
      </w:r>
      <w:r>
        <w:rPr>
          <w:i/>
          <w:color w:val="231F20"/>
          <w:spacing w:val="1"/>
          <w:w w:val="62"/>
          <w:sz w:val="21"/>
        </w:rPr>
        <w:t>c</w:t>
      </w:r>
      <w:r>
        <w:rPr>
          <w:i/>
          <w:color w:val="231F20"/>
          <w:spacing w:val="1"/>
          <w:w w:val="67"/>
          <w:sz w:val="21"/>
        </w:rPr>
        <w:t>e</w:t>
      </w:r>
      <w:r>
        <w:rPr>
          <w:i/>
          <w:color w:val="231F20"/>
          <w:spacing w:val="1"/>
          <w:w w:val="83"/>
          <w:sz w:val="21"/>
        </w:rPr>
        <w:t>d</w:t>
      </w:r>
      <w:r>
        <w:rPr>
          <w:i/>
          <w:color w:val="231F20"/>
          <w:spacing w:val="1"/>
          <w:w w:val="67"/>
          <w:sz w:val="21"/>
        </w:rPr>
        <w:t>e</w:t>
      </w:r>
      <w:r>
        <w:rPr>
          <w:i/>
          <w:color w:val="231F20"/>
          <w:spacing w:val="1"/>
          <w:w w:val="87"/>
          <w:sz w:val="21"/>
        </w:rPr>
        <w:t>n</w:t>
      </w:r>
      <w:r>
        <w:rPr>
          <w:i/>
          <w:color w:val="231F20"/>
          <w:w w:val="77"/>
          <w:sz w:val="21"/>
        </w:rPr>
        <w:t>t</w:t>
      </w:r>
      <w:r>
        <w:rPr>
          <w:i/>
          <w:color w:val="231F20"/>
          <w:spacing w:val="1"/>
          <w:w w:val="77"/>
          <w:sz w:val="21"/>
        </w:rPr>
        <w:t>e</w:t>
      </w:r>
      <w:r>
        <w:rPr>
          <w:i/>
          <w:color w:val="231F20"/>
          <w:w w:val="77"/>
          <w:sz w:val="21"/>
        </w:rPr>
        <w:t>s</w:t>
      </w:r>
      <w:r>
        <w:rPr>
          <w:i/>
          <w:color w:val="231F20"/>
          <w:spacing w:val="3"/>
          <w:sz w:val="21"/>
        </w:rPr>
        <w:t> </w:t>
      </w:r>
      <w:r>
        <w:rPr>
          <w:i/>
          <w:color w:val="231F20"/>
          <w:w w:val="77"/>
          <w:sz w:val="21"/>
        </w:rPr>
        <w:t>y</w:t>
      </w:r>
      <w:r>
        <w:rPr>
          <w:i/>
          <w:color w:val="231F20"/>
          <w:spacing w:val="3"/>
          <w:sz w:val="21"/>
        </w:rPr>
        <w:t> </w:t>
      </w:r>
      <w:r>
        <w:rPr>
          <w:i/>
          <w:color w:val="231F20"/>
          <w:w w:val="84"/>
          <w:sz w:val="21"/>
        </w:rPr>
        <w:t>j</w:t>
      </w:r>
      <w:r>
        <w:rPr>
          <w:i/>
          <w:color w:val="231F20"/>
          <w:spacing w:val="1"/>
          <w:w w:val="84"/>
          <w:sz w:val="21"/>
        </w:rPr>
        <w:t>u</w:t>
      </w:r>
      <w:r>
        <w:rPr>
          <w:i/>
          <w:color w:val="231F20"/>
          <w:spacing w:val="1"/>
          <w:w w:val="77"/>
          <w:sz w:val="21"/>
        </w:rPr>
        <w:t>s</w:t>
      </w:r>
      <w:r>
        <w:rPr>
          <w:i/>
          <w:color w:val="231F20"/>
          <w:w w:val="86"/>
          <w:sz w:val="21"/>
        </w:rPr>
        <w:t>tif</w:t>
      </w:r>
      <w:r>
        <w:rPr>
          <w:i/>
          <w:color w:val="231F20"/>
          <w:w w:val="71"/>
          <w:sz w:val="21"/>
        </w:rPr>
        <w:t>i</w:t>
      </w:r>
      <w:r>
        <w:rPr>
          <w:i/>
          <w:color w:val="231F20"/>
          <w:spacing w:val="1"/>
          <w:w w:val="71"/>
          <w:sz w:val="21"/>
        </w:rPr>
        <w:t>c</w:t>
      </w:r>
      <w:r>
        <w:rPr>
          <w:i/>
          <w:color w:val="231F20"/>
          <w:spacing w:val="1"/>
          <w:w w:val="83"/>
          <w:sz w:val="21"/>
        </w:rPr>
        <w:t>a</w:t>
      </w:r>
      <w:r>
        <w:rPr>
          <w:i/>
          <w:color w:val="231F20"/>
          <w:spacing w:val="1"/>
          <w:w w:val="62"/>
          <w:sz w:val="21"/>
        </w:rPr>
        <w:t>c</w:t>
      </w:r>
      <w:r>
        <w:rPr>
          <w:i/>
          <w:color w:val="231F20"/>
          <w:w w:val="77"/>
          <w:sz w:val="21"/>
        </w:rPr>
        <w:t>i</w:t>
      </w:r>
      <w:r>
        <w:rPr>
          <w:i/>
          <w:color w:val="231F20"/>
          <w:spacing w:val="1"/>
          <w:w w:val="77"/>
          <w:sz w:val="21"/>
        </w:rPr>
        <w:t>ó</w:t>
      </w:r>
      <w:r>
        <w:rPr>
          <w:i/>
          <w:color w:val="231F20"/>
          <w:w w:val="87"/>
          <w:sz w:val="21"/>
        </w:rPr>
        <w:t>n</w:t>
      </w:r>
    </w:p>
    <w:p>
      <w:pPr>
        <w:pStyle w:val="BodyText"/>
        <w:spacing w:before="1"/>
        <w:rPr>
          <w:i/>
        </w:rPr>
      </w:pPr>
    </w:p>
    <w:p>
      <w:pPr>
        <w:pStyle w:val="BodyText"/>
        <w:spacing w:line="247" w:lineRule="auto" w:before="1"/>
        <w:ind w:left="101" w:right="114"/>
        <w:jc w:val="both"/>
      </w:pPr>
      <w:r>
        <w:rPr>
          <w:color w:val="231F20"/>
        </w:rPr>
        <w:t>Covarrubias (2009) mostró representaciones sociales de estudiantes de psicología, de la FES Iztacala de la UNAM, sobre la ciencia y su producción. Destaca la que muestra mayor difusión y apropiamiento de los estudiantes investigados: una representación social denominada positivista. Es singular el trabajo porque deja ver contradicciones entre representaciones sociales de los estudiantes; por</w:t>
      </w:r>
      <w:r>
        <w:rPr>
          <w:color w:val="231F20"/>
          <w:spacing w:val="-12"/>
        </w:rPr>
        <w:t> </w:t>
      </w:r>
      <w:r>
        <w:rPr>
          <w:color w:val="231F20"/>
        </w:rPr>
        <w:t>caso,</w:t>
      </w:r>
      <w:r>
        <w:rPr>
          <w:color w:val="231F20"/>
          <w:spacing w:val="-12"/>
        </w:rPr>
        <w:t> </w:t>
      </w:r>
      <w:r>
        <w:rPr>
          <w:color w:val="231F20"/>
        </w:rPr>
        <w:t>la</w:t>
      </w:r>
      <w:r>
        <w:rPr>
          <w:color w:val="231F20"/>
          <w:spacing w:val="-11"/>
        </w:rPr>
        <w:t> </w:t>
      </w:r>
      <w:r>
        <w:rPr>
          <w:color w:val="231F20"/>
        </w:rPr>
        <w:t>mayoría</w:t>
      </w:r>
      <w:r>
        <w:rPr>
          <w:color w:val="231F20"/>
          <w:spacing w:val="-11"/>
        </w:rPr>
        <w:t> </w:t>
      </w:r>
      <w:r>
        <w:rPr>
          <w:color w:val="231F20"/>
        </w:rPr>
        <w:t>dijo</w:t>
      </w:r>
      <w:r>
        <w:rPr>
          <w:color w:val="231F20"/>
          <w:spacing w:val="-11"/>
        </w:rPr>
        <w:t> </w:t>
      </w:r>
      <w:r>
        <w:rPr>
          <w:color w:val="231F20"/>
        </w:rPr>
        <w:t>inclinarse</w:t>
      </w:r>
      <w:r>
        <w:rPr>
          <w:color w:val="231F20"/>
          <w:spacing w:val="-11"/>
        </w:rPr>
        <w:t> </w:t>
      </w:r>
      <w:r>
        <w:rPr>
          <w:color w:val="231F20"/>
        </w:rPr>
        <w:t>ante</w:t>
      </w:r>
      <w:r>
        <w:rPr>
          <w:color w:val="231F20"/>
          <w:spacing w:val="-11"/>
        </w:rPr>
        <w:t> </w:t>
      </w:r>
      <w:r>
        <w:rPr>
          <w:color w:val="231F20"/>
        </w:rPr>
        <w:t>el</w:t>
      </w:r>
      <w:r>
        <w:rPr>
          <w:color w:val="231F20"/>
          <w:spacing w:val="-12"/>
        </w:rPr>
        <w:t> </w:t>
      </w:r>
      <w:r>
        <w:rPr>
          <w:color w:val="231F20"/>
        </w:rPr>
        <w:t>llamado</w:t>
      </w:r>
      <w:r>
        <w:rPr>
          <w:color w:val="231F20"/>
          <w:spacing w:val="-11"/>
        </w:rPr>
        <w:t> </w:t>
      </w:r>
      <w:r>
        <w:rPr>
          <w:color w:val="231F20"/>
        </w:rPr>
        <w:t>método</w:t>
      </w:r>
      <w:r>
        <w:rPr>
          <w:color w:val="231F20"/>
          <w:spacing w:val="-11"/>
        </w:rPr>
        <w:t> </w:t>
      </w:r>
      <w:r>
        <w:rPr>
          <w:color w:val="231F20"/>
        </w:rPr>
        <w:t>científico, mientras que otros pocos se abrieron a la posibilidad de admitir la ciencia como una construcción que no necesariamente sigue ese método. Otro resultado interesante es la forma de entender al producto de investigar, a la ciencia. Varios estudiantes se apropiaron de una representación social de tipo tecnológico: la que está más dirigida</w:t>
      </w:r>
      <w:r>
        <w:rPr>
          <w:color w:val="231F20"/>
          <w:spacing w:val="-7"/>
        </w:rPr>
        <w:t> </w:t>
      </w:r>
      <w:r>
        <w:rPr>
          <w:color w:val="231F20"/>
        </w:rPr>
        <w:t>a</w:t>
      </w:r>
      <w:r>
        <w:rPr>
          <w:color w:val="231F20"/>
          <w:spacing w:val="-7"/>
        </w:rPr>
        <w:t> </w:t>
      </w:r>
      <w:r>
        <w:rPr>
          <w:color w:val="231F20"/>
        </w:rPr>
        <w:t>responder</w:t>
      </w:r>
      <w:r>
        <w:rPr>
          <w:color w:val="231F20"/>
          <w:spacing w:val="-7"/>
        </w:rPr>
        <w:t> </w:t>
      </w:r>
      <w:r>
        <w:rPr>
          <w:color w:val="231F20"/>
        </w:rPr>
        <w:t>preguntas</w:t>
      </w:r>
      <w:r>
        <w:rPr>
          <w:color w:val="231F20"/>
          <w:spacing w:val="-7"/>
        </w:rPr>
        <w:t> </w:t>
      </w:r>
      <w:r>
        <w:rPr>
          <w:color w:val="231F20"/>
        </w:rPr>
        <w:t>sobre</w:t>
      </w:r>
      <w:r>
        <w:rPr>
          <w:color w:val="231F20"/>
          <w:spacing w:val="-6"/>
        </w:rPr>
        <w:t> </w:t>
      </w:r>
      <w:r>
        <w:rPr>
          <w:color w:val="231F20"/>
        </w:rPr>
        <w:t>cómo</w:t>
      </w:r>
      <w:r>
        <w:rPr>
          <w:color w:val="231F20"/>
          <w:spacing w:val="-6"/>
        </w:rPr>
        <w:t> </w:t>
      </w:r>
      <w:r>
        <w:rPr>
          <w:color w:val="231F20"/>
        </w:rPr>
        <w:t>actuar,</w:t>
      </w:r>
      <w:r>
        <w:rPr>
          <w:color w:val="231F20"/>
          <w:spacing w:val="-7"/>
        </w:rPr>
        <w:t> </w:t>
      </w:r>
      <w:r>
        <w:rPr>
          <w:color w:val="231F20"/>
        </w:rPr>
        <w:t>cómo</w:t>
      </w:r>
      <w:r>
        <w:rPr>
          <w:color w:val="231F20"/>
          <w:spacing w:val="-6"/>
        </w:rPr>
        <w:t> </w:t>
      </w:r>
      <w:r>
        <w:rPr>
          <w:color w:val="231F20"/>
        </w:rPr>
        <w:t>realizar</w:t>
      </w:r>
      <w:r>
        <w:rPr>
          <w:color w:val="231F20"/>
          <w:spacing w:val="-7"/>
        </w:rPr>
        <w:t> </w:t>
      </w:r>
      <w:r>
        <w:rPr>
          <w:color w:val="231F20"/>
        </w:rPr>
        <w:t>tal</w:t>
      </w:r>
      <w:r>
        <w:rPr>
          <w:color w:val="231F20"/>
          <w:spacing w:val="-7"/>
        </w:rPr>
        <w:t> </w:t>
      </w:r>
      <w:r>
        <w:rPr>
          <w:color w:val="231F20"/>
        </w:rPr>
        <w:t>o cual práctica; mientras que otras pocas representaciones sociales estuvieron</w:t>
      </w:r>
      <w:r>
        <w:rPr>
          <w:color w:val="231F20"/>
          <w:spacing w:val="-17"/>
        </w:rPr>
        <w:t> </w:t>
      </w:r>
      <w:r>
        <w:rPr>
          <w:color w:val="231F20"/>
        </w:rPr>
        <w:t>dirigidas</w:t>
      </w:r>
      <w:r>
        <w:rPr>
          <w:color w:val="231F20"/>
          <w:spacing w:val="-18"/>
        </w:rPr>
        <w:t> </w:t>
      </w:r>
      <w:r>
        <w:rPr>
          <w:color w:val="231F20"/>
        </w:rPr>
        <w:t>al</w:t>
      </w:r>
      <w:r>
        <w:rPr>
          <w:color w:val="231F20"/>
          <w:spacing w:val="-18"/>
        </w:rPr>
        <w:t> </w:t>
      </w:r>
      <w:r>
        <w:rPr>
          <w:color w:val="231F20"/>
        </w:rPr>
        <w:t>por</w:t>
      </w:r>
      <w:r>
        <w:rPr>
          <w:color w:val="231F20"/>
          <w:spacing w:val="-18"/>
        </w:rPr>
        <w:t> </w:t>
      </w:r>
      <w:r>
        <w:rPr>
          <w:color w:val="231F20"/>
        </w:rPr>
        <w:t>qué,</w:t>
      </w:r>
      <w:r>
        <w:rPr>
          <w:color w:val="231F20"/>
          <w:spacing w:val="-18"/>
        </w:rPr>
        <w:t> </w:t>
      </w:r>
      <w:r>
        <w:rPr>
          <w:color w:val="231F20"/>
        </w:rPr>
        <w:t>a</w:t>
      </w:r>
      <w:r>
        <w:rPr>
          <w:color w:val="231F20"/>
          <w:spacing w:val="-18"/>
        </w:rPr>
        <w:t> </w:t>
      </w:r>
      <w:r>
        <w:rPr>
          <w:color w:val="231F20"/>
        </w:rPr>
        <w:t>explicar</w:t>
      </w:r>
      <w:r>
        <w:rPr>
          <w:color w:val="231F20"/>
          <w:spacing w:val="-18"/>
        </w:rPr>
        <w:t> </w:t>
      </w:r>
      <w:r>
        <w:rPr>
          <w:color w:val="231F20"/>
        </w:rPr>
        <w:t>e</w:t>
      </w:r>
      <w:r>
        <w:rPr>
          <w:color w:val="231F20"/>
          <w:spacing w:val="-17"/>
        </w:rPr>
        <w:t> </w:t>
      </w:r>
      <w:r>
        <w:rPr>
          <w:color w:val="231F20"/>
        </w:rPr>
        <w:t>interpretar.</w:t>
      </w:r>
    </w:p>
    <w:p>
      <w:pPr>
        <w:pStyle w:val="BodyText"/>
        <w:spacing w:line="247" w:lineRule="auto" w:before="15"/>
        <w:ind w:left="101" w:right="116" w:firstLine="284"/>
        <w:jc w:val="both"/>
      </w:pPr>
      <w:r>
        <w:rPr>
          <w:color w:val="231F20"/>
        </w:rPr>
        <w:t>El </w:t>
      </w:r>
      <w:r>
        <w:rPr>
          <w:color w:val="231F20"/>
          <w:spacing w:val="2"/>
        </w:rPr>
        <w:t>trabajo </w:t>
      </w:r>
      <w:r>
        <w:rPr>
          <w:color w:val="231F20"/>
        </w:rPr>
        <w:t>de </w:t>
      </w:r>
      <w:r>
        <w:rPr>
          <w:color w:val="231F20"/>
          <w:spacing w:val="2"/>
        </w:rPr>
        <w:t>Covarrubias señala límites </w:t>
      </w:r>
      <w:r>
        <w:rPr>
          <w:color w:val="231F20"/>
        </w:rPr>
        <w:t>en la </w:t>
      </w:r>
      <w:r>
        <w:rPr>
          <w:color w:val="231F20"/>
          <w:spacing w:val="3"/>
        </w:rPr>
        <w:t>formación </w:t>
      </w:r>
      <w:r>
        <w:rPr>
          <w:color w:val="231F20"/>
          <w:spacing w:val="2"/>
        </w:rPr>
        <w:t>científica </w:t>
      </w:r>
      <w:r>
        <w:rPr>
          <w:color w:val="231F20"/>
        </w:rPr>
        <w:t>de </w:t>
      </w:r>
      <w:r>
        <w:rPr>
          <w:color w:val="231F20"/>
          <w:spacing w:val="2"/>
        </w:rPr>
        <w:t>estudiantes. Explica que, </w:t>
      </w:r>
      <w:r>
        <w:rPr>
          <w:color w:val="231F20"/>
        </w:rPr>
        <w:t>en </w:t>
      </w:r>
      <w:r>
        <w:rPr>
          <w:color w:val="231F20"/>
          <w:spacing w:val="2"/>
        </w:rPr>
        <w:t>buena </w:t>
      </w:r>
      <w:r>
        <w:rPr>
          <w:color w:val="231F20"/>
          <w:spacing w:val="3"/>
        </w:rPr>
        <w:t>medida,  </w:t>
      </w:r>
      <w:r>
        <w:rPr>
          <w:color w:val="231F20"/>
        </w:rPr>
        <w:t>se  </w:t>
      </w:r>
      <w:r>
        <w:rPr>
          <w:color w:val="231F20"/>
          <w:spacing w:val="2"/>
        </w:rPr>
        <w:t>reducen </w:t>
      </w:r>
      <w:r>
        <w:rPr>
          <w:color w:val="231F20"/>
        </w:rPr>
        <w:t>a </w:t>
      </w:r>
      <w:r>
        <w:rPr>
          <w:color w:val="231F20"/>
          <w:spacing w:val="3"/>
        </w:rPr>
        <w:t>representaciones </w:t>
      </w:r>
      <w:r>
        <w:rPr>
          <w:color w:val="231F20"/>
          <w:spacing w:val="2"/>
        </w:rPr>
        <w:t>sociales </w:t>
      </w:r>
      <w:r>
        <w:rPr>
          <w:color w:val="231F20"/>
        </w:rPr>
        <w:t>que se </w:t>
      </w:r>
      <w:r>
        <w:rPr>
          <w:color w:val="231F20"/>
          <w:spacing w:val="2"/>
        </w:rPr>
        <w:t>viven </w:t>
      </w:r>
      <w:r>
        <w:rPr>
          <w:color w:val="231F20"/>
        </w:rPr>
        <w:t>en la </w:t>
      </w:r>
      <w:r>
        <w:rPr>
          <w:color w:val="231F20"/>
          <w:spacing w:val="2"/>
        </w:rPr>
        <w:t>FES  Iztacala: </w:t>
      </w:r>
      <w:r>
        <w:rPr>
          <w:color w:val="231F20"/>
          <w:spacing w:val="3"/>
        </w:rPr>
        <w:t>propias </w:t>
      </w:r>
      <w:r>
        <w:rPr>
          <w:color w:val="231F20"/>
        </w:rPr>
        <w:t>de la </w:t>
      </w:r>
      <w:r>
        <w:rPr>
          <w:color w:val="231F20"/>
          <w:spacing w:val="2"/>
        </w:rPr>
        <w:t>psicología conductista.  Por  ejemplo, algunos jóvenes afirmaron </w:t>
      </w:r>
      <w:r>
        <w:rPr>
          <w:color w:val="231F20"/>
        </w:rPr>
        <w:t>que </w:t>
      </w:r>
      <w:r>
        <w:rPr>
          <w:color w:val="231F20"/>
          <w:spacing w:val="2"/>
        </w:rPr>
        <w:t>desearían </w:t>
      </w:r>
      <w:r>
        <w:rPr>
          <w:color w:val="231F20"/>
        </w:rPr>
        <w:t>que la </w:t>
      </w:r>
      <w:r>
        <w:rPr>
          <w:color w:val="231F20"/>
          <w:spacing w:val="2"/>
        </w:rPr>
        <w:t>psicología fuese una ciencia, debido </w:t>
      </w:r>
      <w:r>
        <w:rPr>
          <w:color w:val="231F20"/>
        </w:rPr>
        <w:t>a </w:t>
      </w:r>
      <w:r>
        <w:rPr>
          <w:color w:val="231F20"/>
          <w:spacing w:val="2"/>
        </w:rPr>
        <w:t>que, </w:t>
      </w:r>
      <w:r>
        <w:rPr>
          <w:color w:val="231F20"/>
          <w:spacing w:val="3"/>
        </w:rPr>
        <w:t>como </w:t>
      </w:r>
      <w:r>
        <w:rPr>
          <w:color w:val="231F20"/>
        </w:rPr>
        <w:t>es </w:t>
      </w:r>
      <w:r>
        <w:rPr>
          <w:color w:val="231F20"/>
          <w:spacing w:val="2"/>
        </w:rPr>
        <w:t>ahora, según </w:t>
      </w:r>
      <w:r>
        <w:rPr>
          <w:color w:val="231F20"/>
        </w:rPr>
        <w:t>su </w:t>
      </w:r>
      <w:r>
        <w:rPr>
          <w:color w:val="231F20"/>
          <w:spacing w:val="3"/>
        </w:rPr>
        <w:t>forma </w:t>
      </w:r>
      <w:r>
        <w:rPr>
          <w:color w:val="231F20"/>
        </w:rPr>
        <w:t>de </w:t>
      </w:r>
      <w:r>
        <w:rPr>
          <w:color w:val="231F20"/>
          <w:spacing w:val="3"/>
        </w:rPr>
        <w:t>comprender </w:t>
      </w:r>
      <w:r>
        <w:rPr>
          <w:color w:val="231F20"/>
        </w:rPr>
        <w:t>la </w:t>
      </w:r>
      <w:r>
        <w:rPr>
          <w:color w:val="231F20"/>
          <w:spacing w:val="2"/>
        </w:rPr>
        <w:t>ciencia </w:t>
      </w:r>
      <w:r>
        <w:rPr>
          <w:color w:val="231F20"/>
        </w:rPr>
        <w:t>y la </w:t>
      </w:r>
      <w:r>
        <w:rPr>
          <w:color w:val="231F20"/>
          <w:spacing w:val="2"/>
        </w:rPr>
        <w:t>psicología, </w:t>
      </w:r>
      <w:r>
        <w:rPr>
          <w:color w:val="231F20"/>
        </w:rPr>
        <w:t>no </w:t>
      </w:r>
      <w:r>
        <w:rPr>
          <w:color w:val="231F20"/>
          <w:spacing w:val="2"/>
        </w:rPr>
        <w:t>tiene </w:t>
      </w:r>
      <w:r>
        <w:rPr>
          <w:color w:val="231F20"/>
        </w:rPr>
        <w:t>ese </w:t>
      </w:r>
      <w:r>
        <w:rPr>
          <w:color w:val="231F20"/>
          <w:spacing w:val="2"/>
        </w:rPr>
        <w:t>estatuto. </w:t>
      </w:r>
      <w:r>
        <w:rPr>
          <w:color w:val="231F20"/>
        </w:rPr>
        <w:t>La </w:t>
      </w:r>
      <w:r>
        <w:rPr>
          <w:color w:val="231F20"/>
          <w:spacing w:val="2"/>
        </w:rPr>
        <w:t>complejidad del </w:t>
      </w:r>
      <w:r>
        <w:rPr>
          <w:color w:val="231F20"/>
          <w:spacing w:val="3"/>
        </w:rPr>
        <w:t>campo muestra, </w:t>
      </w:r>
      <w:r>
        <w:rPr>
          <w:color w:val="231F20"/>
        </w:rPr>
        <w:t>al </w:t>
      </w:r>
      <w:r>
        <w:rPr>
          <w:color w:val="231F20"/>
          <w:spacing w:val="2"/>
        </w:rPr>
        <w:t>ilustrar otro tipo </w:t>
      </w:r>
      <w:r>
        <w:rPr>
          <w:color w:val="231F20"/>
          <w:spacing w:val="4"/>
        </w:rPr>
        <w:t>de </w:t>
      </w:r>
      <w:r>
        <w:rPr>
          <w:color w:val="231F20"/>
          <w:spacing w:val="3"/>
        </w:rPr>
        <w:t>representaciones </w:t>
      </w:r>
      <w:r>
        <w:rPr>
          <w:color w:val="231F20"/>
          <w:spacing w:val="2"/>
        </w:rPr>
        <w:t>sociales, </w:t>
      </w:r>
      <w:r>
        <w:rPr>
          <w:color w:val="231F20"/>
        </w:rPr>
        <w:t>que no </w:t>
      </w:r>
      <w:r>
        <w:rPr>
          <w:color w:val="231F20"/>
          <w:spacing w:val="2"/>
        </w:rPr>
        <w:t>obedecen </w:t>
      </w:r>
      <w:r>
        <w:rPr>
          <w:color w:val="231F20"/>
        </w:rPr>
        <w:t>a esa </w:t>
      </w:r>
      <w:r>
        <w:rPr>
          <w:color w:val="231F20"/>
          <w:spacing w:val="2"/>
        </w:rPr>
        <w:t>tendencia científica; por caso, algún estudiante señaló que </w:t>
      </w:r>
      <w:r>
        <w:rPr>
          <w:color w:val="231F20"/>
        </w:rPr>
        <w:t>la </w:t>
      </w:r>
      <w:r>
        <w:rPr>
          <w:color w:val="231F20"/>
          <w:spacing w:val="2"/>
        </w:rPr>
        <w:t>psicología </w:t>
      </w:r>
      <w:r>
        <w:rPr>
          <w:color w:val="231F20"/>
        </w:rPr>
        <w:t>es </w:t>
      </w:r>
      <w:r>
        <w:rPr>
          <w:color w:val="231F20"/>
          <w:spacing w:val="2"/>
        </w:rPr>
        <w:t>ciencia solo desde </w:t>
      </w:r>
      <w:r>
        <w:rPr>
          <w:color w:val="231F20"/>
        </w:rPr>
        <w:t>las</w:t>
      </w:r>
      <w:r>
        <w:rPr>
          <w:color w:val="231F20"/>
          <w:spacing w:val="-20"/>
        </w:rPr>
        <w:t> </w:t>
      </w:r>
      <w:r>
        <w:rPr>
          <w:color w:val="231F20"/>
          <w:spacing w:val="3"/>
        </w:rPr>
        <w:t>humanidades.</w:t>
      </w:r>
    </w:p>
    <w:p>
      <w:pPr>
        <w:spacing w:after="0" w:line="247" w:lineRule="auto"/>
        <w:jc w:val="both"/>
        <w:sectPr>
          <w:headerReference w:type="default" r:id="rId331"/>
          <w:footerReference w:type="default" r:id="rId332"/>
          <w:pgSz w:w="7830" w:h="11910"/>
          <w:pgMar w:header="0" w:footer="424" w:top="500" w:bottom="620" w:left="920" w:right="900"/>
          <w:pgNumType w:start="15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firstLine="284"/>
        <w:jc w:val="both"/>
      </w:pPr>
      <w:r>
        <w:rPr>
          <w:color w:val="231F20"/>
        </w:rPr>
        <w:t>Es </w:t>
      </w:r>
      <w:r>
        <w:rPr>
          <w:color w:val="231F20"/>
          <w:spacing w:val="2"/>
        </w:rPr>
        <w:t>valioso este </w:t>
      </w:r>
      <w:r>
        <w:rPr>
          <w:color w:val="231F20"/>
          <w:spacing w:val="3"/>
        </w:rPr>
        <w:t>antecedente </w:t>
      </w:r>
      <w:r>
        <w:rPr>
          <w:color w:val="231F20"/>
          <w:spacing w:val="2"/>
        </w:rPr>
        <w:t>porque reporta </w:t>
      </w:r>
      <w:r>
        <w:rPr>
          <w:color w:val="231F20"/>
          <w:spacing w:val="3"/>
        </w:rPr>
        <w:t>representaciones </w:t>
      </w:r>
      <w:r>
        <w:rPr>
          <w:color w:val="231F20"/>
          <w:spacing w:val="2"/>
        </w:rPr>
        <w:t>sociales </w:t>
      </w:r>
      <w:r>
        <w:rPr>
          <w:color w:val="231F20"/>
        </w:rPr>
        <w:t>de </w:t>
      </w:r>
      <w:r>
        <w:rPr>
          <w:color w:val="231F20"/>
          <w:spacing w:val="2"/>
        </w:rPr>
        <w:t>una institución específica, porque complejiza </w:t>
      </w:r>
      <w:r>
        <w:rPr>
          <w:color w:val="231F20"/>
        </w:rPr>
        <w:t>su </w:t>
      </w:r>
      <w:r>
        <w:rPr>
          <w:color w:val="231F20"/>
          <w:spacing w:val="2"/>
        </w:rPr>
        <w:t>objeto </w:t>
      </w:r>
      <w:r>
        <w:rPr>
          <w:color w:val="231F20"/>
        </w:rPr>
        <w:t>de </w:t>
      </w:r>
      <w:r>
        <w:rPr>
          <w:color w:val="231F20"/>
          <w:spacing w:val="2"/>
        </w:rPr>
        <w:t>estudio </w:t>
      </w:r>
      <w:r>
        <w:rPr>
          <w:color w:val="231F20"/>
        </w:rPr>
        <w:t>al </w:t>
      </w:r>
      <w:r>
        <w:rPr>
          <w:color w:val="231F20"/>
          <w:spacing w:val="3"/>
        </w:rPr>
        <w:t>mostrar </w:t>
      </w:r>
      <w:r>
        <w:rPr>
          <w:color w:val="231F20"/>
          <w:spacing w:val="2"/>
        </w:rPr>
        <w:t>aristas tales </w:t>
      </w:r>
      <w:r>
        <w:rPr>
          <w:color w:val="231F20"/>
          <w:spacing w:val="3"/>
        </w:rPr>
        <w:t>como </w:t>
      </w:r>
      <w:r>
        <w:rPr>
          <w:color w:val="231F20"/>
          <w:spacing w:val="2"/>
        </w:rPr>
        <w:t>ciencia </w:t>
      </w:r>
      <w:r>
        <w:rPr>
          <w:color w:val="231F20"/>
          <w:spacing w:val="3"/>
        </w:rPr>
        <w:t>(producto) </w:t>
      </w:r>
      <w:r>
        <w:rPr>
          <w:color w:val="231F20"/>
        </w:rPr>
        <w:t>y </w:t>
      </w:r>
      <w:r>
        <w:rPr>
          <w:color w:val="231F20"/>
          <w:spacing w:val="2"/>
        </w:rPr>
        <w:t>producción científica </w:t>
      </w:r>
      <w:r>
        <w:rPr>
          <w:color w:val="231F20"/>
          <w:spacing w:val="3"/>
        </w:rPr>
        <w:t>(proceso). </w:t>
      </w:r>
      <w:r>
        <w:rPr>
          <w:color w:val="231F20"/>
        </w:rPr>
        <w:t>A </w:t>
      </w:r>
      <w:r>
        <w:rPr>
          <w:color w:val="231F20"/>
          <w:spacing w:val="2"/>
        </w:rPr>
        <w:t>otros </w:t>
      </w:r>
      <w:r>
        <w:rPr>
          <w:color w:val="231F20"/>
        </w:rPr>
        <w:t>dejó la </w:t>
      </w:r>
      <w:r>
        <w:rPr>
          <w:color w:val="231F20"/>
          <w:spacing w:val="2"/>
        </w:rPr>
        <w:t>tarea </w:t>
      </w:r>
      <w:r>
        <w:rPr>
          <w:color w:val="231F20"/>
        </w:rPr>
        <w:t>de </w:t>
      </w:r>
      <w:r>
        <w:rPr>
          <w:color w:val="231F20"/>
          <w:spacing w:val="2"/>
        </w:rPr>
        <w:t>investigar cuáles son </w:t>
      </w:r>
      <w:r>
        <w:rPr>
          <w:color w:val="231F20"/>
        </w:rPr>
        <w:t>las </w:t>
      </w:r>
      <w:r>
        <w:rPr>
          <w:color w:val="231F20"/>
          <w:spacing w:val="3"/>
        </w:rPr>
        <w:t>representaciones </w:t>
      </w:r>
      <w:r>
        <w:rPr>
          <w:color w:val="231F20"/>
          <w:spacing w:val="2"/>
        </w:rPr>
        <w:t>sociales que </w:t>
      </w:r>
      <w:r>
        <w:rPr>
          <w:color w:val="231F20"/>
        </w:rPr>
        <w:t>se </w:t>
      </w:r>
      <w:r>
        <w:rPr>
          <w:color w:val="231F20"/>
          <w:spacing w:val="2"/>
        </w:rPr>
        <w:t>tengan sobre </w:t>
      </w:r>
      <w:r>
        <w:rPr>
          <w:color w:val="231F20"/>
        </w:rPr>
        <w:t>el </w:t>
      </w:r>
      <w:r>
        <w:rPr>
          <w:color w:val="231F20"/>
          <w:spacing w:val="2"/>
        </w:rPr>
        <w:t>investigador. </w:t>
      </w:r>
      <w:r>
        <w:rPr>
          <w:color w:val="231F20"/>
          <w:spacing w:val="3"/>
        </w:rPr>
        <w:t>Asimismo, </w:t>
      </w:r>
      <w:r>
        <w:rPr>
          <w:color w:val="231F20"/>
          <w:spacing w:val="2"/>
        </w:rPr>
        <w:t>abrió </w:t>
      </w:r>
      <w:r>
        <w:rPr>
          <w:color w:val="231F20"/>
        </w:rPr>
        <w:t>la </w:t>
      </w:r>
      <w:r>
        <w:rPr>
          <w:color w:val="231F20"/>
          <w:spacing w:val="2"/>
        </w:rPr>
        <w:t>veta </w:t>
      </w:r>
      <w:r>
        <w:rPr>
          <w:color w:val="231F20"/>
        </w:rPr>
        <w:t>de </w:t>
      </w:r>
      <w:r>
        <w:rPr>
          <w:color w:val="231F20"/>
          <w:spacing w:val="2"/>
        </w:rPr>
        <w:t>indagar </w:t>
      </w:r>
      <w:r>
        <w:rPr>
          <w:color w:val="231F20"/>
        </w:rPr>
        <w:t>a </w:t>
      </w:r>
      <w:r>
        <w:rPr>
          <w:color w:val="231F20"/>
          <w:spacing w:val="3"/>
        </w:rPr>
        <w:t>quién </w:t>
      </w:r>
      <w:r>
        <w:rPr>
          <w:color w:val="231F20"/>
          <w:spacing w:val="2"/>
        </w:rPr>
        <w:t>transmite, </w:t>
      </w:r>
      <w:r>
        <w:rPr>
          <w:color w:val="231F20"/>
          <w:spacing w:val="3"/>
        </w:rPr>
        <w:t>comparte </w:t>
      </w:r>
      <w:r>
        <w:rPr>
          <w:color w:val="231F20"/>
        </w:rPr>
        <w:t>o </w:t>
      </w:r>
      <w:r>
        <w:rPr>
          <w:color w:val="231F20"/>
          <w:spacing w:val="2"/>
        </w:rPr>
        <w:t>facilita </w:t>
      </w:r>
      <w:r>
        <w:rPr>
          <w:color w:val="231F20"/>
        </w:rPr>
        <w:t>las </w:t>
      </w:r>
      <w:r>
        <w:rPr>
          <w:color w:val="231F20"/>
          <w:spacing w:val="3"/>
        </w:rPr>
        <w:t>representaciones </w:t>
      </w:r>
      <w:r>
        <w:rPr>
          <w:color w:val="231F20"/>
          <w:spacing w:val="2"/>
        </w:rPr>
        <w:t>sociales  sobre investigación </w:t>
      </w:r>
      <w:r>
        <w:rPr>
          <w:color w:val="231F20"/>
        </w:rPr>
        <w:t>y </w:t>
      </w:r>
      <w:r>
        <w:rPr>
          <w:color w:val="231F20"/>
          <w:spacing w:val="2"/>
        </w:rPr>
        <w:t>quiénes </w:t>
      </w:r>
      <w:r>
        <w:rPr>
          <w:color w:val="231F20"/>
        </w:rPr>
        <w:t>se </w:t>
      </w:r>
      <w:r>
        <w:rPr>
          <w:color w:val="231F20"/>
          <w:spacing w:val="2"/>
        </w:rPr>
        <w:t>apropian </w:t>
      </w:r>
      <w:r>
        <w:rPr>
          <w:color w:val="231F20"/>
        </w:rPr>
        <w:t>de </w:t>
      </w:r>
      <w:r>
        <w:rPr>
          <w:color w:val="231F20"/>
          <w:spacing w:val="2"/>
        </w:rPr>
        <w:t>ellas: </w:t>
      </w:r>
      <w:r>
        <w:rPr>
          <w:color w:val="231F20"/>
        </w:rPr>
        <w:t>el </w:t>
      </w:r>
      <w:r>
        <w:rPr>
          <w:color w:val="231F20"/>
          <w:spacing w:val="2"/>
        </w:rPr>
        <w:t>maestro </w:t>
      </w:r>
      <w:r>
        <w:rPr>
          <w:color w:val="231F20"/>
        </w:rPr>
        <w:t>de </w:t>
      </w:r>
      <w:r>
        <w:rPr>
          <w:color w:val="231F20"/>
          <w:spacing w:val="2"/>
        </w:rPr>
        <w:t>investigación </w:t>
      </w:r>
      <w:r>
        <w:rPr>
          <w:color w:val="231F20"/>
        </w:rPr>
        <w:t>y </w:t>
      </w:r>
      <w:r>
        <w:rPr>
          <w:color w:val="231F20"/>
          <w:spacing w:val="2"/>
        </w:rPr>
        <w:t>sus estudiantes; asimismo, </w:t>
      </w:r>
      <w:r>
        <w:rPr>
          <w:color w:val="231F20"/>
        </w:rPr>
        <w:t>legó la </w:t>
      </w:r>
      <w:r>
        <w:rPr>
          <w:color w:val="231F20"/>
          <w:spacing w:val="2"/>
        </w:rPr>
        <w:t>preocupación  por estudiar </w:t>
      </w:r>
      <w:r>
        <w:rPr>
          <w:color w:val="231F20"/>
        </w:rPr>
        <w:t>sus </w:t>
      </w:r>
      <w:r>
        <w:rPr>
          <w:color w:val="231F20"/>
          <w:spacing w:val="2"/>
        </w:rPr>
        <w:t>prácticas socio-educativas.</w:t>
      </w:r>
    </w:p>
    <w:p>
      <w:pPr>
        <w:pStyle w:val="BodyText"/>
        <w:spacing w:line="249" w:lineRule="auto"/>
        <w:ind w:left="102" w:right="113" w:firstLine="284"/>
        <w:jc w:val="both"/>
      </w:pPr>
      <w:r>
        <w:rPr>
          <w:color w:val="231F20"/>
          <w:spacing w:val="2"/>
        </w:rPr>
        <w:t>Otra investigación (Rojas, 2009) arrojó resultados </w:t>
      </w:r>
      <w:r>
        <w:rPr>
          <w:color w:val="231F20"/>
          <w:spacing w:val="3"/>
        </w:rPr>
        <w:t>que </w:t>
      </w:r>
      <w:r>
        <w:rPr>
          <w:color w:val="231F20"/>
          <w:spacing w:val="2"/>
        </w:rPr>
        <w:t>recuperan </w:t>
      </w:r>
      <w:r>
        <w:rPr>
          <w:color w:val="231F20"/>
        </w:rPr>
        <w:t>las </w:t>
      </w:r>
      <w:r>
        <w:rPr>
          <w:color w:val="231F20"/>
          <w:spacing w:val="3"/>
        </w:rPr>
        <w:t>opiniones, condiciones </w:t>
      </w:r>
      <w:r>
        <w:rPr>
          <w:color w:val="231F20"/>
        </w:rPr>
        <w:t>y  </w:t>
      </w:r>
      <w:r>
        <w:rPr>
          <w:color w:val="231F20"/>
          <w:spacing w:val="3"/>
        </w:rPr>
        <w:t>percepciones</w:t>
      </w:r>
      <w:r>
        <w:rPr>
          <w:color w:val="231F20"/>
          <w:spacing w:val="58"/>
        </w:rPr>
        <w:t> </w:t>
      </w:r>
      <w:r>
        <w:rPr>
          <w:color w:val="231F20"/>
          <w:spacing w:val="4"/>
        </w:rPr>
        <w:t>de </w:t>
      </w:r>
      <w:r>
        <w:rPr>
          <w:color w:val="231F20"/>
          <w:spacing w:val="2"/>
        </w:rPr>
        <w:t>estudiantes acerca </w:t>
      </w:r>
      <w:r>
        <w:rPr>
          <w:color w:val="231F20"/>
        </w:rPr>
        <w:t>de la </w:t>
      </w:r>
      <w:r>
        <w:rPr>
          <w:color w:val="231F20"/>
          <w:spacing w:val="2"/>
        </w:rPr>
        <w:t>investigación </w:t>
      </w:r>
      <w:r>
        <w:rPr>
          <w:color w:val="231F20"/>
        </w:rPr>
        <w:t>en </w:t>
      </w:r>
      <w:r>
        <w:rPr>
          <w:color w:val="231F20"/>
          <w:spacing w:val="2"/>
        </w:rPr>
        <w:t>una institución </w:t>
      </w:r>
      <w:r>
        <w:rPr>
          <w:color w:val="231F20"/>
        </w:rPr>
        <w:t>de </w:t>
      </w:r>
      <w:r>
        <w:rPr>
          <w:color w:val="231F20"/>
          <w:spacing w:val="2"/>
        </w:rPr>
        <w:t>educación superior </w:t>
      </w:r>
      <w:r>
        <w:rPr>
          <w:color w:val="231F20"/>
        </w:rPr>
        <w:t>de </w:t>
      </w:r>
      <w:r>
        <w:rPr>
          <w:color w:val="231F20"/>
          <w:spacing w:val="2"/>
        </w:rPr>
        <w:t>Tolima, </w:t>
      </w:r>
      <w:r>
        <w:rPr>
          <w:color w:val="231F20"/>
          <w:spacing w:val="3"/>
        </w:rPr>
        <w:t>Colombia. </w:t>
      </w:r>
      <w:r>
        <w:rPr>
          <w:color w:val="231F20"/>
          <w:spacing w:val="2"/>
        </w:rPr>
        <w:t>Uno </w:t>
      </w:r>
      <w:r>
        <w:rPr>
          <w:color w:val="231F20"/>
        </w:rPr>
        <w:t>de </w:t>
      </w:r>
      <w:r>
        <w:rPr>
          <w:color w:val="231F20"/>
          <w:spacing w:val="2"/>
        </w:rPr>
        <w:t>sus énfasis </w:t>
      </w:r>
      <w:r>
        <w:rPr>
          <w:color w:val="231F20"/>
        </w:rPr>
        <w:t>es </w:t>
      </w:r>
      <w:r>
        <w:rPr>
          <w:color w:val="231F20"/>
          <w:spacing w:val="2"/>
        </w:rPr>
        <w:t>mostrar </w:t>
      </w:r>
      <w:r>
        <w:rPr>
          <w:color w:val="231F20"/>
        </w:rPr>
        <w:t>la falla en lo </w:t>
      </w:r>
      <w:r>
        <w:rPr>
          <w:color w:val="231F20"/>
          <w:spacing w:val="2"/>
        </w:rPr>
        <w:t>que llama “intencionalidad” </w:t>
      </w:r>
      <w:r>
        <w:rPr>
          <w:color w:val="231F20"/>
        </w:rPr>
        <w:t>de </w:t>
      </w:r>
      <w:r>
        <w:rPr>
          <w:color w:val="231F20"/>
          <w:spacing w:val="3"/>
        </w:rPr>
        <w:t>formar </w:t>
      </w:r>
      <w:r>
        <w:rPr>
          <w:color w:val="231F20"/>
        </w:rPr>
        <w:t>en </w:t>
      </w:r>
      <w:r>
        <w:rPr>
          <w:color w:val="231F20"/>
          <w:spacing w:val="2"/>
        </w:rPr>
        <w:t>investigación </w:t>
      </w:r>
      <w:r>
        <w:rPr>
          <w:color w:val="231F20"/>
        </w:rPr>
        <w:t>y en la </w:t>
      </w:r>
      <w:r>
        <w:rPr>
          <w:color w:val="231F20"/>
          <w:spacing w:val="3"/>
        </w:rPr>
        <w:t>“comunicación” </w:t>
      </w:r>
      <w:r>
        <w:rPr>
          <w:color w:val="231F20"/>
        </w:rPr>
        <w:t>de  la  </w:t>
      </w:r>
      <w:r>
        <w:rPr>
          <w:color w:val="231F20"/>
          <w:spacing w:val="2"/>
        </w:rPr>
        <w:t>actividad científica </w:t>
      </w:r>
      <w:r>
        <w:rPr>
          <w:color w:val="231F20"/>
        </w:rPr>
        <w:t>a </w:t>
      </w:r>
      <w:r>
        <w:rPr>
          <w:color w:val="231F20"/>
          <w:spacing w:val="2"/>
        </w:rPr>
        <w:t>los jóvenes </w:t>
      </w:r>
      <w:r>
        <w:rPr>
          <w:color w:val="231F20"/>
        </w:rPr>
        <w:t>en </w:t>
      </w:r>
      <w:r>
        <w:rPr>
          <w:color w:val="231F20"/>
          <w:spacing w:val="3"/>
        </w:rPr>
        <w:t>formación. </w:t>
      </w:r>
      <w:r>
        <w:rPr>
          <w:color w:val="231F20"/>
          <w:spacing w:val="2"/>
        </w:rPr>
        <w:t>Tal falla, </w:t>
      </w:r>
      <w:r>
        <w:rPr>
          <w:color w:val="231F20"/>
        </w:rPr>
        <w:t>de </w:t>
      </w:r>
      <w:r>
        <w:rPr>
          <w:color w:val="231F20"/>
          <w:spacing w:val="2"/>
        </w:rPr>
        <w:t>acuerdo </w:t>
      </w:r>
      <w:r>
        <w:rPr>
          <w:color w:val="231F20"/>
        </w:rPr>
        <w:t>al </w:t>
      </w:r>
      <w:r>
        <w:rPr>
          <w:color w:val="231F20"/>
          <w:spacing w:val="2"/>
        </w:rPr>
        <w:t>estudio, </w:t>
      </w:r>
      <w:r>
        <w:rPr>
          <w:color w:val="231F20"/>
          <w:spacing w:val="3"/>
        </w:rPr>
        <w:t>conduce </w:t>
      </w:r>
      <w:r>
        <w:rPr>
          <w:color w:val="231F20"/>
        </w:rPr>
        <w:t>a </w:t>
      </w:r>
      <w:r>
        <w:rPr>
          <w:color w:val="231F20"/>
          <w:spacing w:val="2"/>
        </w:rPr>
        <w:t>disminuir </w:t>
      </w:r>
      <w:r>
        <w:rPr>
          <w:color w:val="231F20"/>
        </w:rPr>
        <w:t>en </w:t>
      </w:r>
      <w:r>
        <w:rPr>
          <w:color w:val="231F20"/>
          <w:spacing w:val="2"/>
        </w:rPr>
        <w:t>los estudiantes </w:t>
      </w:r>
      <w:r>
        <w:rPr>
          <w:color w:val="231F20"/>
        </w:rPr>
        <w:t>su </w:t>
      </w:r>
      <w:r>
        <w:rPr>
          <w:color w:val="231F20"/>
          <w:spacing w:val="2"/>
        </w:rPr>
        <w:t>predisposición </w:t>
      </w:r>
      <w:r>
        <w:rPr>
          <w:color w:val="231F20"/>
        </w:rPr>
        <w:t>y </w:t>
      </w:r>
      <w:r>
        <w:rPr>
          <w:color w:val="231F20"/>
          <w:spacing w:val="2"/>
        </w:rPr>
        <w:t>participación </w:t>
      </w:r>
      <w:r>
        <w:rPr>
          <w:color w:val="231F20"/>
        </w:rPr>
        <w:t>en la </w:t>
      </w:r>
      <w:r>
        <w:rPr>
          <w:color w:val="231F20"/>
          <w:spacing w:val="2"/>
        </w:rPr>
        <w:t>investigación </w:t>
      </w:r>
      <w:r>
        <w:rPr>
          <w:color w:val="231F20"/>
          <w:spacing w:val="3"/>
        </w:rPr>
        <w:t>durante </w:t>
      </w:r>
      <w:r>
        <w:rPr>
          <w:color w:val="231F20"/>
        </w:rPr>
        <w:t>el ciclo de </w:t>
      </w:r>
      <w:r>
        <w:rPr>
          <w:color w:val="231F20"/>
          <w:spacing w:val="3"/>
        </w:rPr>
        <w:t>formación </w:t>
      </w:r>
      <w:r>
        <w:rPr>
          <w:color w:val="231F20"/>
          <w:spacing w:val="2"/>
        </w:rPr>
        <w:t>profesional. </w:t>
      </w:r>
      <w:r>
        <w:rPr>
          <w:color w:val="231F20"/>
        </w:rPr>
        <w:t>El </w:t>
      </w:r>
      <w:r>
        <w:rPr>
          <w:color w:val="231F20"/>
          <w:spacing w:val="2"/>
        </w:rPr>
        <w:t>estudio también tiene </w:t>
      </w:r>
      <w:r>
        <w:rPr>
          <w:color w:val="231F20"/>
        </w:rPr>
        <w:t>el </w:t>
      </w:r>
      <w:r>
        <w:rPr>
          <w:color w:val="231F20"/>
          <w:spacing w:val="2"/>
        </w:rPr>
        <w:t>acierto </w:t>
      </w:r>
      <w:r>
        <w:rPr>
          <w:color w:val="231F20"/>
        </w:rPr>
        <w:t>de </w:t>
      </w:r>
      <w:r>
        <w:rPr>
          <w:color w:val="231F20"/>
          <w:spacing w:val="2"/>
        </w:rPr>
        <w:t>vincular </w:t>
      </w:r>
      <w:r>
        <w:rPr>
          <w:color w:val="231F20"/>
        </w:rPr>
        <w:t>la </w:t>
      </w:r>
      <w:r>
        <w:rPr>
          <w:color w:val="231F20"/>
          <w:spacing w:val="3"/>
        </w:rPr>
        <w:t>formación </w:t>
      </w:r>
      <w:r>
        <w:rPr>
          <w:color w:val="231F20"/>
        </w:rPr>
        <w:t>de </w:t>
      </w:r>
      <w:r>
        <w:rPr>
          <w:color w:val="231F20"/>
          <w:spacing w:val="2"/>
        </w:rPr>
        <w:t>investigadores con </w:t>
      </w:r>
      <w:r>
        <w:rPr>
          <w:color w:val="231F20"/>
        </w:rPr>
        <w:t>un </w:t>
      </w:r>
      <w:r>
        <w:rPr>
          <w:color w:val="231F20"/>
          <w:spacing w:val="2"/>
        </w:rPr>
        <w:t>sentido social </w:t>
      </w:r>
      <w:r>
        <w:rPr>
          <w:color w:val="231F20"/>
        </w:rPr>
        <w:t>de </w:t>
      </w:r>
      <w:r>
        <w:rPr>
          <w:color w:val="231F20"/>
          <w:spacing w:val="3"/>
        </w:rPr>
        <w:t>compromiso </w:t>
      </w:r>
      <w:r>
        <w:rPr>
          <w:color w:val="231F20"/>
          <w:spacing w:val="2"/>
        </w:rPr>
        <w:t>con </w:t>
      </w:r>
      <w:r>
        <w:rPr>
          <w:color w:val="231F20"/>
        </w:rPr>
        <w:t>su  </w:t>
      </w:r>
      <w:r>
        <w:rPr>
          <w:color w:val="231F20"/>
          <w:spacing w:val="3"/>
        </w:rPr>
        <w:t>entorno </w:t>
      </w:r>
      <w:r>
        <w:rPr>
          <w:color w:val="231F20"/>
        </w:rPr>
        <w:t>y </w:t>
      </w:r>
      <w:r>
        <w:rPr>
          <w:color w:val="231F20"/>
          <w:spacing w:val="2"/>
        </w:rPr>
        <w:t>sus</w:t>
      </w:r>
      <w:r>
        <w:rPr>
          <w:color w:val="231F20"/>
          <w:spacing w:val="8"/>
        </w:rPr>
        <w:t> </w:t>
      </w:r>
      <w:r>
        <w:rPr>
          <w:color w:val="231F20"/>
          <w:spacing w:val="2"/>
        </w:rPr>
        <w:t>necesidades.</w:t>
      </w:r>
    </w:p>
    <w:p>
      <w:pPr>
        <w:pStyle w:val="BodyText"/>
        <w:spacing w:line="249" w:lineRule="auto"/>
        <w:ind w:left="102" w:right="114" w:firstLine="284"/>
        <w:jc w:val="both"/>
      </w:pPr>
      <w:r>
        <w:rPr>
          <w:color w:val="231F20"/>
          <w:spacing w:val="2"/>
        </w:rPr>
        <w:t>Rojas (2009) </w:t>
      </w:r>
      <w:r>
        <w:rPr>
          <w:color w:val="231F20"/>
          <w:spacing w:val="3"/>
        </w:rPr>
        <w:t>encontró </w:t>
      </w:r>
      <w:r>
        <w:rPr>
          <w:color w:val="231F20"/>
          <w:spacing w:val="2"/>
        </w:rPr>
        <w:t>dificultades para </w:t>
      </w:r>
      <w:r>
        <w:rPr>
          <w:color w:val="231F20"/>
          <w:spacing w:val="3"/>
        </w:rPr>
        <w:t>transmitir </w:t>
      </w:r>
      <w:r>
        <w:rPr>
          <w:color w:val="231F20"/>
        </w:rPr>
        <w:t>el </w:t>
      </w:r>
      <w:r>
        <w:rPr>
          <w:color w:val="231F20"/>
          <w:spacing w:val="2"/>
        </w:rPr>
        <w:t>oficio </w:t>
      </w:r>
      <w:r>
        <w:rPr>
          <w:color w:val="231F20"/>
        </w:rPr>
        <w:t>de </w:t>
      </w:r>
      <w:r>
        <w:rPr>
          <w:color w:val="231F20"/>
          <w:spacing w:val="2"/>
        </w:rPr>
        <w:t>investigador. </w:t>
      </w:r>
      <w:r>
        <w:rPr>
          <w:color w:val="231F20"/>
          <w:spacing w:val="3"/>
        </w:rPr>
        <w:t>Dentro </w:t>
      </w:r>
      <w:r>
        <w:rPr>
          <w:color w:val="231F20"/>
        </w:rPr>
        <w:t>de ellas </w:t>
      </w:r>
      <w:r>
        <w:rPr>
          <w:color w:val="231F20"/>
          <w:spacing w:val="2"/>
        </w:rPr>
        <w:t>destaca </w:t>
      </w:r>
      <w:r>
        <w:rPr>
          <w:color w:val="231F20"/>
        </w:rPr>
        <w:t>la </w:t>
      </w:r>
      <w:r>
        <w:rPr>
          <w:color w:val="231F20"/>
          <w:spacing w:val="2"/>
        </w:rPr>
        <w:t>separación </w:t>
      </w:r>
      <w:r>
        <w:rPr>
          <w:color w:val="231F20"/>
        </w:rPr>
        <w:t>de la </w:t>
      </w:r>
      <w:r>
        <w:rPr>
          <w:color w:val="231F20"/>
          <w:spacing w:val="2"/>
        </w:rPr>
        <w:t>investigación </w:t>
      </w:r>
      <w:r>
        <w:rPr>
          <w:color w:val="231F20"/>
        </w:rPr>
        <w:t>y lo </w:t>
      </w:r>
      <w:r>
        <w:rPr>
          <w:color w:val="231F20"/>
          <w:spacing w:val="2"/>
        </w:rPr>
        <w:t>que </w:t>
      </w:r>
      <w:r>
        <w:rPr>
          <w:color w:val="231F20"/>
        </w:rPr>
        <w:t>él </w:t>
      </w:r>
      <w:r>
        <w:rPr>
          <w:color w:val="231F20"/>
          <w:spacing w:val="2"/>
        </w:rPr>
        <w:t>llamó prácticas </w:t>
      </w:r>
      <w:r>
        <w:rPr>
          <w:color w:val="231F20"/>
          <w:spacing w:val="3"/>
        </w:rPr>
        <w:t>docentes, </w:t>
      </w:r>
      <w:r>
        <w:rPr>
          <w:color w:val="231F20"/>
        </w:rPr>
        <w:t>que no </w:t>
      </w:r>
      <w:r>
        <w:rPr>
          <w:color w:val="231F20"/>
          <w:spacing w:val="3"/>
        </w:rPr>
        <w:t>forman </w:t>
      </w:r>
      <w:r>
        <w:rPr>
          <w:color w:val="231F20"/>
        </w:rPr>
        <w:t>un </w:t>
      </w:r>
      <w:r>
        <w:rPr>
          <w:color w:val="231F20"/>
          <w:spacing w:val="3"/>
        </w:rPr>
        <w:t>movimiento </w:t>
      </w:r>
      <w:r>
        <w:rPr>
          <w:color w:val="231F20"/>
          <w:spacing w:val="2"/>
        </w:rPr>
        <w:t>cotidiano conjunto </w:t>
      </w:r>
      <w:r>
        <w:rPr>
          <w:color w:val="231F20"/>
        </w:rPr>
        <w:t>o </w:t>
      </w:r>
      <w:r>
        <w:rPr>
          <w:color w:val="231F20"/>
          <w:spacing w:val="3"/>
        </w:rPr>
        <w:t>armonioso, </w:t>
      </w:r>
      <w:r>
        <w:rPr>
          <w:color w:val="231F20"/>
        </w:rPr>
        <w:t>aun </w:t>
      </w:r>
      <w:r>
        <w:rPr>
          <w:color w:val="231F20"/>
          <w:spacing w:val="2"/>
        </w:rPr>
        <w:t>cuando </w:t>
      </w:r>
      <w:r>
        <w:rPr>
          <w:color w:val="231F20"/>
        </w:rPr>
        <w:t>el </w:t>
      </w:r>
      <w:r>
        <w:rPr>
          <w:color w:val="231F20"/>
          <w:spacing w:val="2"/>
        </w:rPr>
        <w:t>sistema educativo señale </w:t>
      </w:r>
      <w:r>
        <w:rPr>
          <w:color w:val="231F20"/>
        </w:rPr>
        <w:t>la </w:t>
      </w:r>
      <w:r>
        <w:rPr>
          <w:color w:val="231F20"/>
          <w:spacing w:val="2"/>
        </w:rPr>
        <w:t>pertinencia operativa </w:t>
      </w:r>
      <w:r>
        <w:rPr>
          <w:color w:val="231F20"/>
        </w:rPr>
        <w:t>de que </w:t>
      </w:r>
      <w:r>
        <w:rPr>
          <w:color w:val="231F20"/>
          <w:spacing w:val="3"/>
        </w:rPr>
        <w:t>ambas </w:t>
      </w:r>
      <w:r>
        <w:rPr>
          <w:color w:val="231F20"/>
          <w:spacing w:val="2"/>
        </w:rPr>
        <w:t>labores </w:t>
      </w:r>
      <w:r>
        <w:rPr>
          <w:color w:val="231F20"/>
        </w:rPr>
        <w:t>se </w:t>
      </w:r>
      <w:r>
        <w:rPr>
          <w:color w:val="231F20"/>
          <w:spacing w:val="3"/>
        </w:rPr>
        <w:t>amalgamen </w:t>
      </w:r>
      <w:r>
        <w:rPr>
          <w:color w:val="231F20"/>
        </w:rPr>
        <w:t>en un </w:t>
      </w:r>
      <w:r>
        <w:rPr>
          <w:color w:val="231F20"/>
          <w:spacing w:val="2"/>
        </w:rPr>
        <w:t>proceso </w:t>
      </w:r>
      <w:r>
        <w:rPr>
          <w:color w:val="231F20"/>
          <w:spacing w:val="3"/>
        </w:rPr>
        <w:t>pedagógico; </w:t>
      </w:r>
      <w:r>
        <w:rPr>
          <w:color w:val="231F20"/>
          <w:spacing w:val="2"/>
        </w:rPr>
        <w:t>tales actividades (investigación </w:t>
      </w:r>
      <w:r>
        <w:rPr>
          <w:color w:val="231F20"/>
        </w:rPr>
        <w:t>y </w:t>
      </w:r>
      <w:r>
        <w:rPr>
          <w:color w:val="231F20"/>
          <w:spacing w:val="2"/>
        </w:rPr>
        <w:t>prácticas </w:t>
      </w:r>
      <w:r>
        <w:rPr>
          <w:color w:val="231F20"/>
          <w:spacing w:val="3"/>
        </w:rPr>
        <w:t>docentes) </w:t>
      </w:r>
      <w:r>
        <w:rPr>
          <w:color w:val="231F20"/>
          <w:spacing w:val="2"/>
        </w:rPr>
        <w:t>debieran estar orientadas </w:t>
      </w:r>
      <w:r>
        <w:rPr>
          <w:color w:val="231F20"/>
        </w:rPr>
        <w:t>a un </w:t>
      </w:r>
      <w:r>
        <w:rPr>
          <w:color w:val="231F20"/>
          <w:spacing w:val="2"/>
        </w:rPr>
        <w:t>destino </w:t>
      </w:r>
      <w:r>
        <w:rPr>
          <w:color w:val="231F20"/>
          <w:spacing w:val="3"/>
        </w:rPr>
        <w:t>común </w:t>
      </w:r>
      <w:r>
        <w:rPr>
          <w:color w:val="231F20"/>
        </w:rPr>
        <w:t>de </w:t>
      </w:r>
      <w:r>
        <w:rPr>
          <w:color w:val="231F20"/>
          <w:spacing w:val="2"/>
        </w:rPr>
        <w:t>desarrollo, avance </w:t>
      </w:r>
      <w:r>
        <w:rPr>
          <w:color w:val="231F20"/>
        </w:rPr>
        <w:t>y </w:t>
      </w:r>
      <w:r>
        <w:rPr>
          <w:color w:val="231F20"/>
          <w:spacing w:val="3"/>
        </w:rPr>
        <w:t>formación. </w:t>
      </w:r>
      <w:r>
        <w:rPr>
          <w:color w:val="231F20"/>
          <w:spacing w:val="2"/>
        </w:rPr>
        <w:t>Por estar separadas, expresó Rojas, </w:t>
      </w:r>
      <w:r>
        <w:rPr>
          <w:color w:val="231F20"/>
          <w:spacing w:val="3"/>
        </w:rPr>
        <w:t>provocan </w:t>
      </w:r>
      <w:r>
        <w:rPr>
          <w:color w:val="231F20"/>
        </w:rPr>
        <w:t>la </w:t>
      </w:r>
      <w:r>
        <w:rPr>
          <w:color w:val="231F20"/>
          <w:spacing w:val="2"/>
        </w:rPr>
        <w:t>grave dificultad </w:t>
      </w:r>
      <w:r>
        <w:rPr>
          <w:color w:val="231F20"/>
        </w:rPr>
        <w:t>de </w:t>
      </w:r>
      <w:r>
        <w:rPr>
          <w:color w:val="231F20"/>
          <w:spacing w:val="3"/>
        </w:rPr>
        <w:t>anteponer </w:t>
      </w:r>
      <w:r>
        <w:rPr>
          <w:color w:val="231F20"/>
          <w:spacing w:val="2"/>
        </w:rPr>
        <w:t>reglas formales sobre </w:t>
      </w:r>
      <w:r>
        <w:rPr>
          <w:color w:val="231F20"/>
          <w:spacing w:val="3"/>
        </w:rPr>
        <w:t>cómo </w:t>
      </w:r>
      <w:r>
        <w:rPr>
          <w:color w:val="231F20"/>
        </w:rPr>
        <w:t>se </w:t>
      </w:r>
      <w:r>
        <w:rPr>
          <w:color w:val="231F20"/>
          <w:spacing w:val="2"/>
        </w:rPr>
        <w:t>realiza </w:t>
      </w:r>
      <w:r>
        <w:rPr>
          <w:color w:val="231F20"/>
        </w:rPr>
        <w:t>la </w:t>
      </w:r>
      <w:r>
        <w:rPr>
          <w:color w:val="231F20"/>
          <w:spacing w:val="2"/>
        </w:rPr>
        <w:t>investigación científica; </w:t>
      </w:r>
      <w:r>
        <w:rPr>
          <w:color w:val="231F20"/>
          <w:spacing w:val="3"/>
        </w:rPr>
        <w:t>además </w:t>
      </w:r>
      <w:r>
        <w:rPr>
          <w:color w:val="231F20"/>
          <w:spacing w:val="2"/>
        </w:rPr>
        <w:t>causan </w:t>
      </w:r>
      <w:r>
        <w:rPr>
          <w:color w:val="231F20"/>
          <w:spacing w:val="3"/>
        </w:rPr>
        <w:t>problemas </w:t>
      </w:r>
      <w:r>
        <w:rPr>
          <w:color w:val="231F20"/>
        </w:rPr>
        <w:t>de </w:t>
      </w:r>
      <w:r>
        <w:rPr>
          <w:color w:val="231F20"/>
          <w:spacing w:val="3"/>
        </w:rPr>
        <w:t>entendimiento </w:t>
      </w:r>
      <w:r>
        <w:rPr>
          <w:color w:val="231F20"/>
        </w:rPr>
        <w:t>y </w:t>
      </w:r>
      <w:r>
        <w:rPr>
          <w:color w:val="231F20"/>
          <w:spacing w:val="2"/>
        </w:rPr>
        <w:t>realización, </w:t>
      </w:r>
      <w:r>
        <w:rPr>
          <w:color w:val="231F20"/>
        </w:rPr>
        <w:t>ya que no </w:t>
      </w:r>
      <w:r>
        <w:rPr>
          <w:color w:val="231F20"/>
          <w:spacing w:val="2"/>
        </w:rPr>
        <w:t>tienen </w:t>
      </w:r>
      <w:r>
        <w:rPr>
          <w:color w:val="231F20"/>
        </w:rPr>
        <w:t>la </w:t>
      </w:r>
      <w:r>
        <w:rPr>
          <w:color w:val="231F20"/>
          <w:spacing w:val="3"/>
        </w:rPr>
        <w:t>coherencia </w:t>
      </w:r>
      <w:r>
        <w:rPr>
          <w:color w:val="231F20"/>
          <w:spacing w:val="2"/>
        </w:rPr>
        <w:t>necesaria para </w:t>
      </w:r>
      <w:r>
        <w:rPr>
          <w:color w:val="231F20"/>
          <w:spacing w:val="3"/>
        </w:rPr>
        <w:t>comprender </w:t>
      </w:r>
      <w:r>
        <w:rPr>
          <w:color w:val="231F20"/>
        </w:rPr>
        <w:t>las </w:t>
      </w:r>
      <w:r>
        <w:rPr>
          <w:color w:val="231F20"/>
          <w:spacing w:val="2"/>
        </w:rPr>
        <w:t>prácticas </w:t>
      </w:r>
      <w:r>
        <w:rPr>
          <w:color w:val="231F20"/>
          <w:spacing w:val="3"/>
        </w:rPr>
        <w:t>docentes </w:t>
      </w:r>
      <w:r>
        <w:rPr>
          <w:color w:val="231F20"/>
        </w:rPr>
        <w:t>e </w:t>
      </w:r>
      <w:r>
        <w:rPr>
          <w:color w:val="231F20"/>
          <w:spacing w:val="2"/>
        </w:rPr>
        <w:t>investigativas </w:t>
      </w:r>
      <w:r>
        <w:rPr>
          <w:color w:val="231F20"/>
        </w:rPr>
        <w:t>en un </w:t>
      </w:r>
      <w:r>
        <w:rPr>
          <w:color w:val="231F20"/>
          <w:spacing w:val="2"/>
        </w:rPr>
        <w:t>marco </w:t>
      </w:r>
      <w:r>
        <w:rPr>
          <w:color w:val="231F20"/>
        </w:rPr>
        <w:t>de </w:t>
      </w:r>
      <w:r>
        <w:rPr>
          <w:color w:val="231F20"/>
          <w:spacing w:val="2"/>
        </w:rPr>
        <w:t>interrelación. </w:t>
      </w:r>
      <w:r>
        <w:rPr>
          <w:color w:val="231F20"/>
          <w:spacing w:val="3"/>
        </w:rPr>
        <w:t>Además, </w:t>
      </w:r>
      <w:r>
        <w:rPr>
          <w:color w:val="231F20"/>
        </w:rPr>
        <w:t>se </w:t>
      </w:r>
      <w:r>
        <w:rPr>
          <w:color w:val="231F20"/>
          <w:spacing w:val="3"/>
        </w:rPr>
        <w:t>provoca </w:t>
      </w:r>
      <w:r>
        <w:rPr>
          <w:color w:val="231F20"/>
        </w:rPr>
        <w:t>un </w:t>
      </w:r>
      <w:r>
        <w:rPr>
          <w:color w:val="231F20"/>
          <w:spacing w:val="2"/>
        </w:rPr>
        <w:t>gran desinterés </w:t>
      </w:r>
      <w:r>
        <w:rPr>
          <w:color w:val="231F20"/>
        </w:rPr>
        <w:t>y </w:t>
      </w:r>
      <w:r>
        <w:rPr>
          <w:color w:val="231F20"/>
          <w:spacing w:val="2"/>
        </w:rPr>
        <w:t>miedo </w:t>
      </w:r>
      <w:r>
        <w:rPr>
          <w:color w:val="231F20"/>
        </w:rPr>
        <w:t>en </w:t>
      </w:r>
      <w:r>
        <w:rPr>
          <w:color w:val="231F20"/>
          <w:spacing w:val="2"/>
        </w:rPr>
        <w:t>los jóvenes, </w:t>
      </w:r>
      <w:r>
        <w:rPr>
          <w:color w:val="231F20"/>
        </w:rPr>
        <w:t>al </w:t>
      </w:r>
      <w:r>
        <w:rPr>
          <w:color w:val="231F20"/>
          <w:spacing w:val="3"/>
        </w:rPr>
        <w:t>promover </w:t>
      </w:r>
      <w:r>
        <w:rPr>
          <w:color w:val="231F20"/>
        </w:rPr>
        <w:t>la </w:t>
      </w:r>
      <w:r>
        <w:rPr>
          <w:color w:val="231F20"/>
          <w:spacing w:val="2"/>
        </w:rPr>
        <w:t>investigación </w:t>
      </w:r>
      <w:r>
        <w:rPr>
          <w:color w:val="231F20"/>
          <w:spacing w:val="3"/>
        </w:rPr>
        <w:t>mediante </w:t>
      </w:r>
      <w:r>
        <w:rPr>
          <w:color w:val="231F20"/>
        </w:rPr>
        <w:t>el </w:t>
      </w:r>
      <w:r>
        <w:rPr>
          <w:color w:val="231F20"/>
          <w:spacing w:val="2"/>
        </w:rPr>
        <w:t>seguimiento </w:t>
      </w:r>
      <w:r>
        <w:rPr>
          <w:color w:val="231F20"/>
        </w:rPr>
        <w:t>de </w:t>
      </w:r>
      <w:r>
        <w:rPr>
          <w:color w:val="231F20"/>
          <w:spacing w:val="2"/>
        </w:rPr>
        <w:t>reglas formales </w:t>
      </w:r>
      <w:r>
        <w:rPr>
          <w:color w:val="231F20"/>
        </w:rPr>
        <w:t>y al </w:t>
      </w:r>
      <w:r>
        <w:rPr>
          <w:color w:val="231F20"/>
          <w:spacing w:val="2"/>
        </w:rPr>
        <w:t>usar </w:t>
      </w:r>
      <w:r>
        <w:rPr>
          <w:color w:val="231F20"/>
        </w:rPr>
        <w:t>un </w:t>
      </w:r>
      <w:r>
        <w:rPr>
          <w:color w:val="231F20"/>
          <w:spacing w:val="2"/>
        </w:rPr>
        <w:t>lenguaje desarticulado </w:t>
      </w:r>
      <w:r>
        <w:rPr>
          <w:color w:val="231F20"/>
        </w:rPr>
        <w:t>de </w:t>
      </w:r>
      <w:r>
        <w:rPr>
          <w:color w:val="231F20"/>
          <w:spacing w:val="2"/>
        </w:rPr>
        <w:t>las prácticas educativas</w:t>
      </w:r>
      <w:r>
        <w:rPr>
          <w:color w:val="231F20"/>
          <w:spacing w:val="-40"/>
        </w:rPr>
        <w:t> </w:t>
      </w:r>
      <w:r>
        <w:rPr>
          <w:color w:val="231F20"/>
          <w:spacing w:val="2"/>
        </w:rPr>
        <w:t>usuales.</w:t>
      </w:r>
    </w:p>
    <w:p>
      <w:pPr>
        <w:spacing w:after="0" w:line="249" w:lineRule="auto"/>
        <w:jc w:val="both"/>
        <w:sectPr>
          <w:headerReference w:type="default" r:id="rId333"/>
          <w:footerReference w:type="default" r:id="rId334"/>
          <w:pgSz w:w="7830" w:h="11910"/>
          <w:pgMar w:header="0" w:footer="424" w:top="500" w:bottom="620" w:left="920" w:right="900"/>
          <w:pgNumType w:start="15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8" w:firstLine="284"/>
        <w:jc w:val="both"/>
      </w:pPr>
      <w:r>
        <w:rPr>
          <w:color w:val="231F20"/>
        </w:rPr>
        <w:t>La formación en investigación se dificulta porque, siguiendo a Rojas (2009), se pretende formar investigadores partiendo de la buena voluntad, de reglas o del  seguimiento  de  un  método, porque al hacerlo se hace más en el terreno formal que en el desarrollo de prácticas investigativas; algunos dirían que esa forma de proceder enseña a investigar sin investigar, casi solo aprendiendo de memoria métodos. Aunada a  esa  limitante práctica, Rojas señaló con tino otra de carácter teórico: la formación de jóvenes en investigación es una realidad con pobre desarrollo argumentativo y explicativo, es decir, sin soporte teórico. No descansa en teorías aun cuando tenga un amplio uso discursivo de gran legitimidad: “formar jóvenes creativos, críticos, emprendedores y propositivos”, discurso prolijamente esgrimido.</w:t>
      </w:r>
    </w:p>
    <w:p>
      <w:pPr>
        <w:pStyle w:val="BodyText"/>
        <w:spacing w:line="249" w:lineRule="auto"/>
        <w:ind w:left="101" w:right="113" w:firstLine="284"/>
        <w:jc w:val="both"/>
      </w:pPr>
      <w:r>
        <w:rPr>
          <w:color w:val="231F20"/>
        </w:rPr>
        <w:t>Del trabajo de Rojas (2009) es factible retomar dificultades que orientaron más nítidamente esta investigación: es necesario indagar la intencionalidad institucional, de maestros involucrados en la formación de jóvenes y de los mismos estudiantes. Aquí se ofrecen respuestas para comprender las intencionalidades arriba enunciadas. El trabajo de Rojas impulsa a estudiar un elemento clave en las representaciones sociales: sentimientos favorables o desfavorables para investigar (especialmente referidos a un posible compromiso social). Vale agregar que, al mismo tiempo, se necesitó mostrar qué prácticas e ideas específicas fueron recreadas en prácticas socio- educativas con las que se pretendía educar para la investigación. Rojas también contribuyó con esta investigación al señalar la importancia de las formas de comunicación, a enseñar a investigar; en otros trabajos se ilustra tal exigencia. (Ibarra, 2009).</w:t>
      </w:r>
    </w:p>
    <w:p>
      <w:pPr>
        <w:pStyle w:val="BodyText"/>
        <w:spacing w:line="249" w:lineRule="auto"/>
        <w:ind w:left="102" w:right="119" w:firstLine="284"/>
        <w:jc w:val="both"/>
      </w:pPr>
      <w:r>
        <w:rPr>
          <w:color w:val="231F20"/>
          <w:spacing w:val="2"/>
        </w:rPr>
        <w:t>Otra investigación (Alvarado, 2010) muestra </w:t>
      </w:r>
      <w:r>
        <w:rPr>
          <w:color w:val="231F20"/>
          <w:spacing w:val="3"/>
        </w:rPr>
        <w:t>concepciones </w:t>
      </w:r>
      <w:r>
        <w:rPr>
          <w:color w:val="231F20"/>
        </w:rPr>
        <w:t>de </w:t>
      </w:r>
      <w:r>
        <w:rPr>
          <w:color w:val="231F20"/>
          <w:spacing w:val="2"/>
        </w:rPr>
        <w:t>investigadores </w:t>
      </w:r>
      <w:r>
        <w:rPr>
          <w:color w:val="231F20"/>
        </w:rPr>
        <w:t>de </w:t>
      </w:r>
      <w:r>
        <w:rPr>
          <w:color w:val="231F20"/>
          <w:spacing w:val="2"/>
        </w:rPr>
        <w:t>diversas áreas científicas, </w:t>
      </w:r>
      <w:r>
        <w:rPr>
          <w:color w:val="231F20"/>
        </w:rPr>
        <w:t>a </w:t>
      </w:r>
      <w:r>
        <w:rPr>
          <w:color w:val="231F20"/>
          <w:spacing w:val="3"/>
        </w:rPr>
        <w:t>propósito </w:t>
      </w:r>
      <w:r>
        <w:rPr>
          <w:color w:val="231F20"/>
        </w:rPr>
        <w:t>de la </w:t>
      </w:r>
      <w:r>
        <w:rPr>
          <w:color w:val="231F20"/>
          <w:spacing w:val="3"/>
        </w:rPr>
        <w:t>enseñanza </w:t>
      </w:r>
      <w:r>
        <w:rPr>
          <w:color w:val="231F20"/>
        </w:rPr>
        <w:t>de la </w:t>
      </w:r>
      <w:r>
        <w:rPr>
          <w:color w:val="231F20"/>
          <w:spacing w:val="2"/>
        </w:rPr>
        <w:t>ciencia </w:t>
      </w:r>
      <w:r>
        <w:rPr>
          <w:color w:val="231F20"/>
        </w:rPr>
        <w:t>en el </w:t>
      </w:r>
      <w:r>
        <w:rPr>
          <w:color w:val="231F20"/>
          <w:spacing w:val="2"/>
        </w:rPr>
        <w:t>marco universitario. </w:t>
      </w:r>
      <w:r>
        <w:rPr>
          <w:color w:val="231F20"/>
        </w:rPr>
        <w:t>El </w:t>
      </w:r>
      <w:r>
        <w:rPr>
          <w:color w:val="231F20"/>
          <w:spacing w:val="2"/>
        </w:rPr>
        <w:t>trabajo ilustra </w:t>
      </w:r>
      <w:r>
        <w:rPr>
          <w:color w:val="231F20"/>
        </w:rPr>
        <w:t>lo </w:t>
      </w:r>
      <w:r>
        <w:rPr>
          <w:color w:val="231F20"/>
          <w:spacing w:val="2"/>
        </w:rPr>
        <w:t>que llama </w:t>
      </w:r>
      <w:r>
        <w:rPr>
          <w:color w:val="231F20"/>
          <w:spacing w:val="3"/>
        </w:rPr>
        <w:t>“concepciones </w:t>
      </w:r>
      <w:r>
        <w:rPr>
          <w:color w:val="231F20"/>
          <w:spacing w:val="2"/>
        </w:rPr>
        <w:t>ingenuas </w:t>
      </w:r>
      <w:r>
        <w:rPr>
          <w:color w:val="231F20"/>
        </w:rPr>
        <w:t>de </w:t>
      </w:r>
      <w:r>
        <w:rPr>
          <w:color w:val="231F20"/>
          <w:spacing w:val="3"/>
        </w:rPr>
        <w:t>profesores</w:t>
      </w:r>
      <w:r>
        <w:rPr>
          <w:color w:val="231F20"/>
          <w:spacing w:val="58"/>
        </w:rPr>
        <w:t> </w:t>
      </w:r>
      <w:r>
        <w:rPr>
          <w:color w:val="231F20"/>
          <w:spacing w:val="2"/>
        </w:rPr>
        <w:t>sobre  </w:t>
      </w:r>
      <w:r>
        <w:rPr>
          <w:color w:val="231F20"/>
          <w:spacing w:val="3"/>
        </w:rPr>
        <w:t>procesos </w:t>
      </w:r>
      <w:r>
        <w:rPr>
          <w:color w:val="231F20"/>
        </w:rPr>
        <w:t>de </w:t>
      </w:r>
      <w:r>
        <w:rPr>
          <w:color w:val="231F20"/>
          <w:spacing w:val="3"/>
        </w:rPr>
        <w:t>enseñanza </w:t>
      </w:r>
      <w:r>
        <w:rPr>
          <w:color w:val="231F20"/>
        </w:rPr>
        <w:t>y </w:t>
      </w:r>
      <w:r>
        <w:rPr>
          <w:color w:val="231F20"/>
          <w:spacing w:val="2"/>
        </w:rPr>
        <w:t>aprendizaje”, </w:t>
      </w:r>
      <w:r>
        <w:rPr>
          <w:color w:val="231F20"/>
        </w:rPr>
        <w:t>así </w:t>
      </w:r>
      <w:r>
        <w:rPr>
          <w:color w:val="231F20"/>
          <w:spacing w:val="3"/>
        </w:rPr>
        <w:t>como problemas </w:t>
      </w:r>
      <w:r>
        <w:rPr>
          <w:color w:val="231F20"/>
        </w:rPr>
        <w:t>que </w:t>
      </w:r>
      <w:r>
        <w:rPr>
          <w:color w:val="231F20"/>
          <w:spacing w:val="2"/>
        </w:rPr>
        <w:t>subyacen </w:t>
      </w:r>
      <w:r>
        <w:rPr>
          <w:color w:val="231F20"/>
        </w:rPr>
        <w:t>a </w:t>
      </w:r>
      <w:r>
        <w:rPr>
          <w:color w:val="231F20"/>
          <w:spacing w:val="2"/>
        </w:rPr>
        <w:t>dificultades </w:t>
      </w:r>
      <w:r>
        <w:rPr>
          <w:color w:val="231F20"/>
        </w:rPr>
        <w:t>de la </w:t>
      </w:r>
      <w:r>
        <w:rPr>
          <w:color w:val="231F20"/>
          <w:spacing w:val="2"/>
        </w:rPr>
        <w:t>relación docencia </w:t>
      </w:r>
      <w:r>
        <w:rPr>
          <w:color w:val="231F20"/>
        </w:rPr>
        <w:t>de la </w:t>
      </w:r>
      <w:r>
        <w:rPr>
          <w:color w:val="231F20"/>
          <w:spacing w:val="2"/>
        </w:rPr>
        <w:t>ciencia, metodología científica </w:t>
      </w:r>
      <w:r>
        <w:rPr>
          <w:color w:val="231F20"/>
        </w:rPr>
        <w:t>y </w:t>
      </w:r>
      <w:r>
        <w:rPr>
          <w:color w:val="231F20"/>
          <w:spacing w:val="2"/>
        </w:rPr>
        <w:t>formación </w:t>
      </w:r>
      <w:r>
        <w:rPr>
          <w:color w:val="231F20"/>
        </w:rPr>
        <w:t>de </w:t>
      </w:r>
      <w:r>
        <w:rPr>
          <w:color w:val="231F20"/>
          <w:spacing w:val="2"/>
        </w:rPr>
        <w:t>jóvenes. Dentro </w:t>
      </w:r>
      <w:r>
        <w:rPr>
          <w:color w:val="231F20"/>
        </w:rPr>
        <w:t>de las </w:t>
      </w:r>
      <w:r>
        <w:rPr>
          <w:color w:val="231F20"/>
          <w:spacing w:val="2"/>
        </w:rPr>
        <w:t>dificultades que señala está </w:t>
      </w:r>
      <w:r>
        <w:rPr>
          <w:color w:val="231F20"/>
        </w:rPr>
        <w:t>la </w:t>
      </w:r>
      <w:r>
        <w:rPr>
          <w:color w:val="231F20"/>
          <w:spacing w:val="3"/>
        </w:rPr>
        <w:t>formación docente </w:t>
      </w:r>
      <w:r>
        <w:rPr>
          <w:color w:val="231F20"/>
          <w:spacing w:val="2"/>
        </w:rPr>
        <w:t>para esta </w:t>
      </w:r>
      <w:r>
        <w:rPr>
          <w:color w:val="231F20"/>
          <w:spacing w:val="3"/>
        </w:rPr>
        <w:t>área </w:t>
      </w:r>
      <w:r>
        <w:rPr>
          <w:color w:val="231F20"/>
          <w:spacing w:val="2"/>
        </w:rPr>
        <w:t>específica </w:t>
      </w:r>
      <w:r>
        <w:rPr>
          <w:color w:val="231F20"/>
        </w:rPr>
        <w:t>de </w:t>
      </w:r>
      <w:r>
        <w:rPr>
          <w:color w:val="231F20"/>
          <w:spacing w:val="3"/>
        </w:rPr>
        <w:t>enseñanza </w:t>
      </w:r>
      <w:r>
        <w:rPr>
          <w:color w:val="231F20"/>
        </w:rPr>
        <w:t>de la </w:t>
      </w:r>
      <w:r>
        <w:rPr>
          <w:color w:val="231F20"/>
          <w:spacing w:val="2"/>
        </w:rPr>
        <w:t>investigación; </w:t>
      </w:r>
      <w:r>
        <w:rPr>
          <w:color w:val="231F20"/>
        </w:rPr>
        <w:t>la </w:t>
      </w:r>
      <w:r>
        <w:rPr>
          <w:color w:val="231F20"/>
          <w:spacing w:val="2"/>
        </w:rPr>
        <w:t>vinculación </w:t>
      </w:r>
      <w:r>
        <w:rPr>
          <w:color w:val="231F20"/>
        </w:rPr>
        <w:t>o </w:t>
      </w:r>
      <w:r>
        <w:rPr>
          <w:color w:val="231F20"/>
          <w:spacing w:val="2"/>
        </w:rPr>
        <w:t>desvinculación docencia-investigación </w:t>
      </w:r>
      <w:r>
        <w:rPr>
          <w:color w:val="231F20"/>
        </w:rPr>
        <w:t>y el </w:t>
      </w:r>
      <w:r>
        <w:rPr>
          <w:color w:val="231F20"/>
          <w:spacing w:val="2"/>
        </w:rPr>
        <w:t>tipo </w:t>
      </w:r>
      <w:r>
        <w:rPr>
          <w:color w:val="231F20"/>
        </w:rPr>
        <w:t>de </w:t>
      </w:r>
      <w:r>
        <w:rPr>
          <w:color w:val="231F20"/>
          <w:spacing w:val="2"/>
        </w:rPr>
        <w:t>infraestructura del que </w:t>
      </w:r>
      <w:r>
        <w:rPr>
          <w:color w:val="231F20"/>
        </w:rPr>
        <w:t>se</w:t>
      </w:r>
      <w:r>
        <w:rPr>
          <w:color w:val="231F20"/>
          <w:spacing w:val="6"/>
        </w:rPr>
        <w:t> </w:t>
      </w:r>
      <w:r>
        <w:rPr>
          <w:color w:val="231F20"/>
          <w:spacing w:val="3"/>
        </w:rPr>
        <w:t>dispone.</w:t>
      </w:r>
    </w:p>
    <w:p>
      <w:pPr>
        <w:spacing w:after="0" w:line="249" w:lineRule="auto"/>
        <w:jc w:val="both"/>
        <w:sectPr>
          <w:headerReference w:type="default" r:id="rId335"/>
          <w:footerReference w:type="default" r:id="rId336"/>
          <w:pgSz w:w="7830" w:h="11910"/>
          <w:pgMar w:header="0" w:footer="424" w:top="500" w:bottom="620" w:left="920" w:right="900"/>
          <w:pgNumType w:start="15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firstLine="284"/>
        <w:jc w:val="both"/>
      </w:pPr>
      <w:r>
        <w:rPr>
          <w:color w:val="231F20"/>
          <w:spacing w:val="2"/>
        </w:rPr>
        <w:t>Algunos resultados expuestos por Alvarado (2010) dejan </w:t>
      </w:r>
      <w:r>
        <w:rPr>
          <w:color w:val="231F20"/>
        </w:rPr>
        <w:t>ver que </w:t>
      </w:r>
      <w:r>
        <w:rPr>
          <w:color w:val="231F20"/>
          <w:spacing w:val="2"/>
        </w:rPr>
        <w:t>prevalece </w:t>
      </w:r>
      <w:r>
        <w:rPr>
          <w:color w:val="231F20"/>
        </w:rPr>
        <w:t>el </w:t>
      </w:r>
      <w:r>
        <w:rPr>
          <w:color w:val="231F20"/>
          <w:spacing w:val="2"/>
        </w:rPr>
        <w:t>sentido </w:t>
      </w:r>
      <w:r>
        <w:rPr>
          <w:color w:val="231F20"/>
          <w:spacing w:val="3"/>
        </w:rPr>
        <w:t>común </w:t>
      </w:r>
      <w:r>
        <w:rPr>
          <w:color w:val="231F20"/>
          <w:spacing w:val="2"/>
        </w:rPr>
        <w:t>docente para guiar </w:t>
      </w:r>
      <w:r>
        <w:rPr>
          <w:color w:val="231F20"/>
        </w:rPr>
        <w:t>la </w:t>
      </w:r>
      <w:r>
        <w:rPr>
          <w:color w:val="231F20"/>
          <w:spacing w:val="3"/>
        </w:rPr>
        <w:t>enseñanza   </w:t>
      </w:r>
      <w:r>
        <w:rPr>
          <w:color w:val="231F20"/>
        </w:rPr>
        <w:t>de la </w:t>
      </w:r>
      <w:r>
        <w:rPr>
          <w:color w:val="231F20"/>
          <w:spacing w:val="2"/>
        </w:rPr>
        <w:t>investigación: </w:t>
      </w:r>
      <w:r>
        <w:rPr>
          <w:color w:val="231F20"/>
        </w:rPr>
        <w:t>es </w:t>
      </w:r>
      <w:r>
        <w:rPr>
          <w:color w:val="231F20"/>
          <w:spacing w:val="2"/>
        </w:rPr>
        <w:t>suficiente con investigar (estar </w:t>
      </w:r>
      <w:r>
        <w:rPr>
          <w:color w:val="231F20"/>
          <w:spacing w:val="3"/>
        </w:rPr>
        <w:t>preparado, dominar </w:t>
      </w:r>
      <w:r>
        <w:rPr>
          <w:color w:val="231F20"/>
        </w:rPr>
        <w:t>un </w:t>
      </w:r>
      <w:r>
        <w:rPr>
          <w:color w:val="231F20"/>
          <w:spacing w:val="3"/>
        </w:rPr>
        <w:t>campo </w:t>
      </w:r>
      <w:r>
        <w:rPr>
          <w:color w:val="231F20"/>
        </w:rPr>
        <w:t>y </w:t>
      </w:r>
      <w:r>
        <w:rPr>
          <w:color w:val="231F20"/>
          <w:spacing w:val="2"/>
        </w:rPr>
        <w:t>publicar resultados </w:t>
      </w:r>
      <w:r>
        <w:rPr>
          <w:color w:val="231F20"/>
        </w:rPr>
        <w:t>de </w:t>
      </w:r>
      <w:r>
        <w:rPr>
          <w:color w:val="231F20"/>
          <w:spacing w:val="2"/>
        </w:rPr>
        <w:t>investigaciones), para estar </w:t>
      </w:r>
      <w:r>
        <w:rPr>
          <w:color w:val="231F20"/>
        </w:rPr>
        <w:t>en </w:t>
      </w:r>
      <w:r>
        <w:rPr>
          <w:color w:val="231F20"/>
          <w:spacing w:val="3"/>
        </w:rPr>
        <w:t>condiciones </w:t>
      </w:r>
      <w:r>
        <w:rPr>
          <w:color w:val="231F20"/>
        </w:rPr>
        <w:t>de </w:t>
      </w:r>
      <w:r>
        <w:rPr>
          <w:color w:val="231F20"/>
          <w:spacing w:val="2"/>
        </w:rPr>
        <w:t>enseñar </w:t>
      </w:r>
      <w:r>
        <w:rPr>
          <w:color w:val="231F20"/>
        </w:rPr>
        <w:t>y </w:t>
      </w:r>
      <w:r>
        <w:rPr>
          <w:color w:val="231F20"/>
          <w:spacing w:val="2"/>
        </w:rPr>
        <w:t>hacerlo. Los </w:t>
      </w:r>
      <w:r>
        <w:rPr>
          <w:color w:val="231F20"/>
          <w:spacing w:val="3"/>
        </w:rPr>
        <w:t>profesores </w:t>
      </w:r>
      <w:r>
        <w:rPr>
          <w:color w:val="231F20"/>
          <w:spacing w:val="2"/>
        </w:rPr>
        <w:t>investigados también refirieron que </w:t>
      </w:r>
      <w:r>
        <w:rPr>
          <w:color w:val="231F20"/>
        </w:rPr>
        <w:t>su </w:t>
      </w:r>
      <w:r>
        <w:rPr>
          <w:color w:val="231F20"/>
          <w:spacing w:val="2"/>
        </w:rPr>
        <w:t>trabajo </w:t>
      </w:r>
      <w:r>
        <w:rPr>
          <w:color w:val="231F20"/>
        </w:rPr>
        <w:t>se </w:t>
      </w:r>
      <w:r>
        <w:rPr>
          <w:color w:val="231F20"/>
          <w:spacing w:val="2"/>
        </w:rPr>
        <w:t>dificulta por </w:t>
      </w:r>
      <w:r>
        <w:rPr>
          <w:color w:val="231F20"/>
        </w:rPr>
        <w:t>las </w:t>
      </w:r>
      <w:r>
        <w:rPr>
          <w:color w:val="231F20"/>
          <w:spacing w:val="2"/>
        </w:rPr>
        <w:t>bases </w:t>
      </w:r>
      <w:r>
        <w:rPr>
          <w:color w:val="231F20"/>
        </w:rPr>
        <w:t>de sus </w:t>
      </w:r>
      <w:r>
        <w:rPr>
          <w:color w:val="231F20"/>
          <w:spacing w:val="2"/>
        </w:rPr>
        <w:t>estudiantes </w:t>
      </w:r>
      <w:r>
        <w:rPr>
          <w:color w:val="231F20"/>
        </w:rPr>
        <w:t>y </w:t>
      </w:r>
      <w:r>
        <w:rPr>
          <w:color w:val="231F20"/>
          <w:spacing w:val="2"/>
        </w:rPr>
        <w:t>por </w:t>
      </w:r>
      <w:r>
        <w:rPr>
          <w:color w:val="231F20"/>
        </w:rPr>
        <w:t>sus </w:t>
      </w:r>
      <w:r>
        <w:rPr>
          <w:color w:val="231F20"/>
          <w:spacing w:val="3"/>
        </w:rPr>
        <w:t>formas </w:t>
      </w:r>
      <w:r>
        <w:rPr>
          <w:color w:val="231F20"/>
        </w:rPr>
        <w:t>de </w:t>
      </w:r>
      <w:r>
        <w:rPr>
          <w:color w:val="231F20"/>
          <w:spacing w:val="2"/>
        </w:rPr>
        <w:t>personalidad. Las </w:t>
      </w:r>
      <w:r>
        <w:rPr>
          <w:color w:val="231F20"/>
          <w:spacing w:val="3"/>
        </w:rPr>
        <w:t>conclusiones </w:t>
      </w:r>
      <w:r>
        <w:rPr>
          <w:color w:val="231F20"/>
        </w:rPr>
        <w:t>a </w:t>
      </w:r>
      <w:r>
        <w:rPr>
          <w:color w:val="231F20"/>
          <w:spacing w:val="2"/>
        </w:rPr>
        <w:t>que </w:t>
      </w:r>
      <w:r>
        <w:rPr>
          <w:color w:val="231F20"/>
        </w:rPr>
        <w:t>llegó el </w:t>
      </w:r>
      <w:r>
        <w:rPr>
          <w:color w:val="231F20"/>
          <w:spacing w:val="2"/>
        </w:rPr>
        <w:t>estudio manifiestan ausencia </w:t>
      </w:r>
      <w:r>
        <w:rPr>
          <w:color w:val="231F20"/>
        </w:rPr>
        <w:t>de </w:t>
      </w:r>
      <w:r>
        <w:rPr>
          <w:color w:val="231F20"/>
          <w:spacing w:val="2"/>
        </w:rPr>
        <w:t>reflexión sobre investigación </w:t>
      </w:r>
      <w:r>
        <w:rPr>
          <w:color w:val="231F20"/>
        </w:rPr>
        <w:t>y </w:t>
      </w:r>
      <w:r>
        <w:rPr>
          <w:color w:val="231F20"/>
          <w:spacing w:val="3"/>
        </w:rPr>
        <w:t>docencia </w:t>
      </w:r>
      <w:r>
        <w:rPr>
          <w:color w:val="231F20"/>
        </w:rPr>
        <w:t>de la </w:t>
      </w:r>
      <w:r>
        <w:rPr>
          <w:color w:val="231F20"/>
          <w:spacing w:val="2"/>
        </w:rPr>
        <w:t>investigación; carencia </w:t>
      </w:r>
      <w:r>
        <w:rPr>
          <w:color w:val="231F20"/>
        </w:rPr>
        <w:t>de </w:t>
      </w:r>
      <w:r>
        <w:rPr>
          <w:color w:val="231F20"/>
          <w:spacing w:val="2"/>
        </w:rPr>
        <w:t>una </w:t>
      </w:r>
      <w:r>
        <w:rPr>
          <w:color w:val="231F20"/>
          <w:spacing w:val="3"/>
        </w:rPr>
        <w:t>formación </w:t>
      </w:r>
      <w:r>
        <w:rPr>
          <w:color w:val="231F20"/>
          <w:spacing w:val="2"/>
        </w:rPr>
        <w:t>pedagógica </w:t>
      </w:r>
      <w:r>
        <w:rPr>
          <w:color w:val="231F20"/>
        </w:rPr>
        <w:t>y </w:t>
      </w:r>
      <w:r>
        <w:rPr>
          <w:color w:val="231F20"/>
          <w:spacing w:val="2"/>
        </w:rPr>
        <w:t>disciplinaria </w:t>
      </w:r>
      <w:r>
        <w:rPr>
          <w:color w:val="231F20"/>
        </w:rPr>
        <w:t>de </w:t>
      </w:r>
      <w:r>
        <w:rPr>
          <w:color w:val="231F20"/>
          <w:spacing w:val="3"/>
        </w:rPr>
        <w:t>profesores; </w:t>
      </w:r>
      <w:r>
        <w:rPr>
          <w:color w:val="231F20"/>
        </w:rPr>
        <w:t>no </w:t>
      </w:r>
      <w:r>
        <w:rPr>
          <w:color w:val="231F20"/>
          <w:spacing w:val="2"/>
        </w:rPr>
        <w:t>estimar necesaria </w:t>
      </w:r>
      <w:r>
        <w:rPr>
          <w:color w:val="231F20"/>
        </w:rPr>
        <w:t>la </w:t>
      </w:r>
      <w:r>
        <w:rPr>
          <w:color w:val="231F20"/>
          <w:spacing w:val="2"/>
        </w:rPr>
        <w:t>actualización curricular </w:t>
      </w:r>
      <w:r>
        <w:rPr>
          <w:color w:val="231F20"/>
        </w:rPr>
        <w:t>ni </w:t>
      </w:r>
      <w:r>
        <w:rPr>
          <w:color w:val="231F20"/>
          <w:spacing w:val="2"/>
        </w:rPr>
        <w:t>pedagógica, </w:t>
      </w:r>
      <w:r>
        <w:rPr>
          <w:color w:val="231F20"/>
          <w:spacing w:val="3"/>
        </w:rPr>
        <w:t>como tampoco </w:t>
      </w:r>
      <w:r>
        <w:rPr>
          <w:color w:val="231F20"/>
          <w:spacing w:val="2"/>
        </w:rPr>
        <w:t>valorar </w:t>
      </w:r>
      <w:r>
        <w:rPr>
          <w:color w:val="231F20"/>
        </w:rPr>
        <w:t>la </w:t>
      </w:r>
      <w:r>
        <w:rPr>
          <w:color w:val="231F20"/>
          <w:spacing w:val="2"/>
        </w:rPr>
        <w:t>necesidad </w:t>
      </w:r>
      <w:r>
        <w:rPr>
          <w:color w:val="231F20"/>
        </w:rPr>
        <w:t>de un </w:t>
      </w:r>
      <w:r>
        <w:rPr>
          <w:color w:val="231F20"/>
          <w:spacing w:val="2"/>
        </w:rPr>
        <w:t>análisis </w:t>
      </w:r>
      <w:r>
        <w:rPr>
          <w:color w:val="231F20"/>
        </w:rPr>
        <w:t>del </w:t>
      </w:r>
      <w:r>
        <w:rPr>
          <w:color w:val="231F20"/>
          <w:spacing w:val="2"/>
        </w:rPr>
        <w:t>desarrollo histórico </w:t>
      </w:r>
      <w:r>
        <w:rPr>
          <w:color w:val="231F20"/>
        </w:rPr>
        <w:t>de la</w:t>
      </w:r>
      <w:r>
        <w:rPr>
          <w:color w:val="231F20"/>
          <w:spacing w:val="-12"/>
        </w:rPr>
        <w:t> </w:t>
      </w:r>
      <w:r>
        <w:rPr>
          <w:color w:val="231F20"/>
          <w:spacing w:val="2"/>
        </w:rPr>
        <w:t>ciencia.</w:t>
      </w:r>
    </w:p>
    <w:p>
      <w:pPr>
        <w:pStyle w:val="BodyText"/>
        <w:spacing w:line="249" w:lineRule="auto"/>
        <w:ind w:left="102" w:right="117" w:firstLine="284"/>
        <w:jc w:val="both"/>
      </w:pPr>
      <w:r>
        <w:rPr>
          <w:color w:val="231F20"/>
          <w:spacing w:val="2"/>
        </w:rPr>
        <w:t>De este trabajo (Alvarado, 2010) </w:t>
      </w:r>
      <w:r>
        <w:rPr>
          <w:color w:val="231F20"/>
        </w:rPr>
        <w:t>es </w:t>
      </w:r>
      <w:r>
        <w:rPr>
          <w:color w:val="231F20"/>
          <w:spacing w:val="2"/>
        </w:rPr>
        <w:t>recuperable </w:t>
      </w:r>
      <w:r>
        <w:rPr>
          <w:color w:val="231F20"/>
        </w:rPr>
        <w:t>la </w:t>
      </w:r>
      <w:r>
        <w:rPr>
          <w:color w:val="231F20"/>
          <w:spacing w:val="2"/>
        </w:rPr>
        <w:t>exigencia </w:t>
      </w:r>
      <w:r>
        <w:rPr>
          <w:color w:val="231F20"/>
        </w:rPr>
        <w:t>de </w:t>
      </w:r>
      <w:r>
        <w:rPr>
          <w:color w:val="231F20"/>
          <w:spacing w:val="3"/>
        </w:rPr>
        <w:t>comprender </w:t>
      </w:r>
      <w:r>
        <w:rPr>
          <w:color w:val="231F20"/>
        </w:rPr>
        <w:t>las </w:t>
      </w:r>
      <w:r>
        <w:rPr>
          <w:color w:val="231F20"/>
          <w:spacing w:val="3"/>
        </w:rPr>
        <w:t>representaciones </w:t>
      </w:r>
      <w:r>
        <w:rPr>
          <w:color w:val="231F20"/>
          <w:spacing w:val="2"/>
        </w:rPr>
        <w:t>sociales </w:t>
      </w:r>
      <w:r>
        <w:rPr>
          <w:color w:val="231F20"/>
        </w:rPr>
        <w:t>de </w:t>
      </w:r>
      <w:r>
        <w:rPr>
          <w:color w:val="231F20"/>
          <w:spacing w:val="3"/>
        </w:rPr>
        <w:t>maestros </w:t>
      </w:r>
      <w:r>
        <w:rPr>
          <w:color w:val="231F20"/>
          <w:spacing w:val="2"/>
        </w:rPr>
        <w:t>dedicados </w:t>
      </w:r>
      <w:r>
        <w:rPr>
          <w:color w:val="231F20"/>
        </w:rPr>
        <w:t>a la </w:t>
      </w:r>
      <w:r>
        <w:rPr>
          <w:color w:val="231F20"/>
          <w:spacing w:val="2"/>
        </w:rPr>
        <w:t>transmisión del oficio </w:t>
      </w:r>
      <w:r>
        <w:rPr>
          <w:color w:val="231F20"/>
        </w:rPr>
        <w:t>de </w:t>
      </w:r>
      <w:r>
        <w:rPr>
          <w:color w:val="231F20"/>
          <w:spacing w:val="2"/>
        </w:rPr>
        <w:t>investigar, acerca </w:t>
      </w:r>
      <w:r>
        <w:rPr>
          <w:color w:val="231F20"/>
        </w:rPr>
        <w:t>de qué es, </w:t>
      </w:r>
      <w:r>
        <w:rPr>
          <w:color w:val="231F20"/>
          <w:spacing w:val="3"/>
        </w:rPr>
        <w:t>cómo </w:t>
      </w:r>
      <w:r>
        <w:rPr>
          <w:color w:val="231F20"/>
        </w:rPr>
        <w:t>es y </w:t>
      </w:r>
      <w:r>
        <w:rPr>
          <w:color w:val="231F20"/>
          <w:spacing w:val="2"/>
        </w:rPr>
        <w:t>para </w:t>
      </w:r>
      <w:r>
        <w:rPr>
          <w:color w:val="231F20"/>
        </w:rPr>
        <w:t>qué es el </w:t>
      </w:r>
      <w:r>
        <w:rPr>
          <w:color w:val="231F20"/>
          <w:spacing w:val="2"/>
        </w:rPr>
        <w:t>proceso educativo, </w:t>
      </w:r>
      <w:r>
        <w:rPr>
          <w:color w:val="231F20"/>
        </w:rPr>
        <w:t>así </w:t>
      </w:r>
      <w:r>
        <w:rPr>
          <w:color w:val="231F20"/>
          <w:spacing w:val="3"/>
        </w:rPr>
        <w:t>como </w:t>
      </w:r>
      <w:r>
        <w:rPr>
          <w:color w:val="231F20"/>
          <w:spacing w:val="2"/>
        </w:rPr>
        <w:t>acerca </w:t>
      </w:r>
      <w:r>
        <w:rPr>
          <w:color w:val="231F20"/>
        </w:rPr>
        <w:t>de la </w:t>
      </w:r>
      <w:r>
        <w:rPr>
          <w:color w:val="231F20"/>
          <w:spacing w:val="2"/>
        </w:rPr>
        <w:t>ciencia. Igual </w:t>
      </w:r>
      <w:r>
        <w:rPr>
          <w:color w:val="231F20"/>
        </w:rPr>
        <w:t>de </w:t>
      </w:r>
      <w:r>
        <w:rPr>
          <w:color w:val="231F20"/>
          <w:spacing w:val="3"/>
        </w:rPr>
        <w:t>importante </w:t>
      </w:r>
      <w:r>
        <w:rPr>
          <w:color w:val="231F20"/>
        </w:rPr>
        <w:t>es </w:t>
      </w:r>
      <w:r>
        <w:rPr>
          <w:color w:val="231F20"/>
          <w:spacing w:val="3"/>
        </w:rPr>
        <w:t>conocer </w:t>
      </w:r>
      <w:r>
        <w:rPr>
          <w:color w:val="231F20"/>
        </w:rPr>
        <w:t>las </w:t>
      </w:r>
      <w:r>
        <w:rPr>
          <w:color w:val="231F20"/>
          <w:spacing w:val="2"/>
        </w:rPr>
        <w:t>prácticas socio-educativas que privan </w:t>
      </w:r>
      <w:r>
        <w:rPr>
          <w:color w:val="231F20"/>
        </w:rPr>
        <w:t>al </w:t>
      </w:r>
      <w:r>
        <w:rPr>
          <w:color w:val="231F20"/>
          <w:spacing w:val="2"/>
        </w:rPr>
        <w:t>transmitir </w:t>
      </w:r>
      <w:r>
        <w:rPr>
          <w:color w:val="231F20"/>
        </w:rPr>
        <w:t>el </w:t>
      </w:r>
      <w:r>
        <w:rPr>
          <w:color w:val="231F20"/>
          <w:spacing w:val="2"/>
        </w:rPr>
        <w:t>oficio </w:t>
      </w:r>
      <w:r>
        <w:rPr>
          <w:color w:val="231F20"/>
        </w:rPr>
        <w:t>de </w:t>
      </w:r>
      <w:r>
        <w:rPr>
          <w:color w:val="231F20"/>
          <w:spacing w:val="2"/>
        </w:rPr>
        <w:t>investigar. Alvarado </w:t>
      </w:r>
      <w:r>
        <w:rPr>
          <w:color w:val="231F20"/>
        </w:rPr>
        <w:t>y sus </w:t>
      </w:r>
      <w:r>
        <w:rPr>
          <w:color w:val="231F20"/>
          <w:spacing w:val="3"/>
        </w:rPr>
        <w:t>colaboradores </w:t>
      </w:r>
      <w:r>
        <w:rPr>
          <w:color w:val="231F20"/>
          <w:spacing w:val="2"/>
        </w:rPr>
        <w:t>sugirieron </w:t>
      </w:r>
      <w:r>
        <w:rPr>
          <w:color w:val="231F20"/>
        </w:rPr>
        <w:t>la </w:t>
      </w:r>
      <w:r>
        <w:rPr>
          <w:color w:val="231F20"/>
          <w:spacing w:val="2"/>
        </w:rPr>
        <w:t>necesidad </w:t>
      </w:r>
      <w:r>
        <w:rPr>
          <w:color w:val="231F20"/>
        </w:rPr>
        <w:t>de </w:t>
      </w:r>
      <w:r>
        <w:rPr>
          <w:color w:val="231F20"/>
          <w:spacing w:val="2"/>
        </w:rPr>
        <w:t>indagar </w:t>
      </w:r>
      <w:r>
        <w:rPr>
          <w:color w:val="231F20"/>
          <w:spacing w:val="3"/>
        </w:rPr>
        <w:t>procesos </w:t>
      </w:r>
      <w:r>
        <w:rPr>
          <w:color w:val="231F20"/>
          <w:spacing w:val="2"/>
        </w:rPr>
        <w:t>socio- educativos </w:t>
      </w:r>
      <w:r>
        <w:rPr>
          <w:color w:val="231F20"/>
        </w:rPr>
        <w:t>en </w:t>
      </w:r>
      <w:r>
        <w:rPr>
          <w:color w:val="231F20"/>
          <w:spacing w:val="2"/>
        </w:rPr>
        <w:t>los que </w:t>
      </w:r>
      <w:r>
        <w:rPr>
          <w:color w:val="231F20"/>
          <w:spacing w:val="3"/>
        </w:rPr>
        <w:t>maestros </w:t>
      </w:r>
      <w:r>
        <w:rPr>
          <w:color w:val="231F20"/>
          <w:spacing w:val="2"/>
        </w:rPr>
        <w:t>fueron </w:t>
      </w:r>
      <w:r>
        <w:rPr>
          <w:color w:val="231F20"/>
          <w:spacing w:val="3"/>
        </w:rPr>
        <w:t>formados como profesores</w:t>
      </w:r>
      <w:r>
        <w:rPr>
          <w:color w:val="231F20"/>
          <w:spacing w:val="58"/>
        </w:rPr>
        <w:t> </w:t>
      </w:r>
      <w:r>
        <w:rPr>
          <w:color w:val="231F20"/>
        </w:rPr>
        <w:t>y </w:t>
      </w:r>
      <w:r>
        <w:rPr>
          <w:color w:val="231F20"/>
          <w:spacing w:val="3"/>
        </w:rPr>
        <w:t>como</w:t>
      </w:r>
      <w:r>
        <w:rPr>
          <w:color w:val="231F20"/>
          <w:spacing w:val="-9"/>
        </w:rPr>
        <w:t> </w:t>
      </w:r>
      <w:r>
        <w:rPr>
          <w:color w:val="231F20"/>
          <w:spacing w:val="2"/>
        </w:rPr>
        <w:t>investigadores.</w:t>
      </w:r>
    </w:p>
    <w:p>
      <w:pPr>
        <w:pStyle w:val="BodyText"/>
        <w:spacing w:line="247" w:lineRule="auto"/>
        <w:ind w:left="102" w:right="120" w:firstLine="284"/>
        <w:jc w:val="both"/>
      </w:pPr>
      <w:r>
        <w:rPr>
          <w:color w:val="231F20"/>
        </w:rPr>
        <w:t>Los trabajos arriba comentados de Covarrubias, Rojas y Alvarado tienen el mérito adicional de ofrecer una extensa bibliografía, sobre esta temática de la formación en investigación.</w:t>
      </w:r>
    </w:p>
    <w:p>
      <w:pPr>
        <w:pStyle w:val="BodyText"/>
        <w:spacing w:line="249" w:lineRule="auto" w:before="1"/>
        <w:ind w:left="101" w:right="114" w:firstLine="284"/>
        <w:jc w:val="both"/>
      </w:pPr>
      <w:r>
        <w:rPr>
          <w:color w:val="231F20"/>
          <w:spacing w:val="2"/>
        </w:rPr>
        <w:t>Esta investigación </w:t>
      </w:r>
      <w:r>
        <w:rPr>
          <w:color w:val="231F20"/>
        </w:rPr>
        <w:t>“se </w:t>
      </w:r>
      <w:r>
        <w:rPr>
          <w:color w:val="231F20"/>
          <w:spacing w:val="2"/>
        </w:rPr>
        <w:t>justifica” porque este </w:t>
      </w:r>
      <w:r>
        <w:rPr>
          <w:color w:val="231F20"/>
          <w:spacing w:val="3"/>
        </w:rPr>
        <w:t>campo </w:t>
      </w:r>
      <w:r>
        <w:rPr>
          <w:color w:val="231F20"/>
        </w:rPr>
        <w:t>ha sido </w:t>
      </w:r>
      <w:r>
        <w:rPr>
          <w:color w:val="231F20"/>
          <w:spacing w:val="2"/>
        </w:rPr>
        <w:t>materia </w:t>
      </w:r>
      <w:r>
        <w:rPr>
          <w:color w:val="231F20"/>
        </w:rPr>
        <w:t>de </w:t>
      </w:r>
      <w:r>
        <w:rPr>
          <w:color w:val="231F20"/>
          <w:spacing w:val="2"/>
        </w:rPr>
        <w:t>estudio, tiene </w:t>
      </w:r>
      <w:r>
        <w:rPr>
          <w:color w:val="231F20"/>
        </w:rPr>
        <w:t>ya </w:t>
      </w:r>
      <w:r>
        <w:rPr>
          <w:color w:val="231F20"/>
          <w:spacing w:val="2"/>
        </w:rPr>
        <w:t>producción escrita, </w:t>
      </w:r>
      <w:r>
        <w:rPr>
          <w:color w:val="231F20"/>
        </w:rPr>
        <w:t>no es </w:t>
      </w:r>
      <w:r>
        <w:rPr>
          <w:color w:val="231F20"/>
          <w:spacing w:val="2"/>
        </w:rPr>
        <w:t>una  ocurrencia repentina. </w:t>
      </w:r>
      <w:r>
        <w:rPr>
          <w:color w:val="231F20"/>
          <w:spacing w:val="3"/>
        </w:rPr>
        <w:t>También </w:t>
      </w:r>
      <w:r>
        <w:rPr>
          <w:color w:val="231F20"/>
          <w:spacing w:val="2"/>
        </w:rPr>
        <w:t>encuentra razón </w:t>
      </w:r>
      <w:r>
        <w:rPr>
          <w:color w:val="231F20"/>
        </w:rPr>
        <w:t>de ser </w:t>
      </w:r>
      <w:r>
        <w:rPr>
          <w:color w:val="231F20"/>
          <w:spacing w:val="2"/>
        </w:rPr>
        <w:t>porque los resultados </w:t>
      </w:r>
      <w:r>
        <w:rPr>
          <w:color w:val="231F20"/>
        </w:rPr>
        <w:t>que </w:t>
      </w:r>
      <w:r>
        <w:rPr>
          <w:color w:val="231F20"/>
          <w:spacing w:val="2"/>
        </w:rPr>
        <w:t>ofrece permiten </w:t>
      </w:r>
      <w:r>
        <w:rPr>
          <w:color w:val="231F20"/>
          <w:spacing w:val="3"/>
        </w:rPr>
        <w:t>comprender </w:t>
      </w:r>
      <w:r>
        <w:rPr>
          <w:color w:val="231F20"/>
          <w:spacing w:val="2"/>
        </w:rPr>
        <w:t>mejor </w:t>
      </w:r>
      <w:r>
        <w:rPr>
          <w:color w:val="231F20"/>
          <w:spacing w:val="3"/>
        </w:rPr>
        <w:t>cómo </w:t>
      </w:r>
      <w:r>
        <w:rPr>
          <w:color w:val="231F20"/>
          <w:spacing w:val="2"/>
        </w:rPr>
        <w:t>son </w:t>
      </w:r>
      <w:r>
        <w:rPr>
          <w:color w:val="231F20"/>
        </w:rPr>
        <w:t>las </w:t>
      </w:r>
      <w:r>
        <w:rPr>
          <w:color w:val="231F20"/>
          <w:spacing w:val="3"/>
        </w:rPr>
        <w:t>representaciones </w:t>
      </w:r>
      <w:r>
        <w:rPr>
          <w:color w:val="231F20"/>
          <w:spacing w:val="2"/>
        </w:rPr>
        <w:t>sociales </w:t>
      </w:r>
      <w:r>
        <w:rPr>
          <w:color w:val="231F20"/>
        </w:rPr>
        <w:t>de la </w:t>
      </w:r>
      <w:r>
        <w:rPr>
          <w:color w:val="231F20"/>
          <w:spacing w:val="2"/>
        </w:rPr>
        <w:t>Facultad </w:t>
      </w:r>
      <w:r>
        <w:rPr>
          <w:color w:val="231F20"/>
        </w:rPr>
        <w:t>de </w:t>
      </w:r>
      <w:r>
        <w:rPr>
          <w:color w:val="231F20"/>
          <w:spacing w:val="3"/>
        </w:rPr>
        <w:t>Psicología, </w:t>
      </w:r>
      <w:r>
        <w:rPr>
          <w:color w:val="231F20"/>
        </w:rPr>
        <w:t>de </w:t>
      </w:r>
      <w:r>
        <w:rPr>
          <w:color w:val="231F20"/>
          <w:spacing w:val="2"/>
        </w:rPr>
        <w:t>algunos </w:t>
      </w:r>
      <w:r>
        <w:rPr>
          <w:color w:val="231F20"/>
        </w:rPr>
        <w:t>de </w:t>
      </w:r>
      <w:r>
        <w:rPr>
          <w:color w:val="231F20"/>
          <w:spacing w:val="2"/>
        </w:rPr>
        <w:t>sus </w:t>
      </w:r>
      <w:r>
        <w:rPr>
          <w:color w:val="231F20"/>
          <w:spacing w:val="3"/>
        </w:rPr>
        <w:t>maestros </w:t>
      </w:r>
      <w:r>
        <w:rPr>
          <w:color w:val="231F20"/>
        </w:rPr>
        <w:t>y </w:t>
      </w:r>
      <w:r>
        <w:rPr>
          <w:color w:val="231F20"/>
          <w:spacing w:val="2"/>
        </w:rPr>
        <w:t>estudiantes sobre ciencia </w:t>
      </w:r>
      <w:r>
        <w:rPr>
          <w:color w:val="231F20"/>
        </w:rPr>
        <w:t>e </w:t>
      </w:r>
      <w:r>
        <w:rPr>
          <w:color w:val="231F20"/>
          <w:spacing w:val="2"/>
        </w:rPr>
        <w:t>investigación. </w:t>
      </w:r>
      <w:r>
        <w:rPr>
          <w:color w:val="231F20"/>
          <w:spacing w:val="3"/>
        </w:rPr>
        <w:t>También </w:t>
      </w:r>
      <w:r>
        <w:rPr>
          <w:color w:val="231F20"/>
        </w:rPr>
        <w:t>“se </w:t>
      </w:r>
      <w:r>
        <w:rPr>
          <w:color w:val="231F20"/>
          <w:spacing w:val="2"/>
        </w:rPr>
        <w:t>justifica” porque sistematizó prácticas socio- educativas con </w:t>
      </w:r>
      <w:r>
        <w:rPr>
          <w:color w:val="231F20"/>
        </w:rPr>
        <w:t>las </w:t>
      </w:r>
      <w:r>
        <w:rPr>
          <w:color w:val="231F20"/>
          <w:spacing w:val="2"/>
        </w:rPr>
        <w:t>que </w:t>
      </w:r>
      <w:r>
        <w:rPr>
          <w:color w:val="231F20"/>
        </w:rPr>
        <w:t>se </w:t>
      </w:r>
      <w:r>
        <w:rPr>
          <w:color w:val="231F20"/>
          <w:spacing w:val="2"/>
        </w:rPr>
        <w:t>transmite </w:t>
      </w:r>
      <w:r>
        <w:rPr>
          <w:color w:val="231F20"/>
        </w:rPr>
        <w:t>el </w:t>
      </w:r>
      <w:r>
        <w:rPr>
          <w:color w:val="231F20"/>
          <w:spacing w:val="2"/>
        </w:rPr>
        <w:t>oficio </w:t>
      </w:r>
      <w:r>
        <w:rPr>
          <w:color w:val="231F20"/>
        </w:rPr>
        <w:t>de </w:t>
      </w:r>
      <w:r>
        <w:rPr>
          <w:color w:val="231F20"/>
          <w:spacing w:val="2"/>
        </w:rPr>
        <w:t>investigar. Tales resultados respaldan </w:t>
      </w:r>
      <w:r>
        <w:rPr>
          <w:color w:val="231F20"/>
        </w:rPr>
        <w:t>la </w:t>
      </w:r>
      <w:r>
        <w:rPr>
          <w:color w:val="231F20"/>
          <w:spacing w:val="2"/>
        </w:rPr>
        <w:t>presente investigación </w:t>
      </w:r>
      <w:r>
        <w:rPr>
          <w:color w:val="231F20"/>
          <w:spacing w:val="3"/>
        </w:rPr>
        <w:t>porque, seguramente, contribuyen </w:t>
      </w:r>
      <w:r>
        <w:rPr>
          <w:color w:val="231F20"/>
        </w:rPr>
        <w:t>a </w:t>
      </w:r>
      <w:r>
        <w:rPr>
          <w:color w:val="231F20"/>
          <w:spacing w:val="2"/>
        </w:rPr>
        <w:t>modificar </w:t>
      </w:r>
      <w:r>
        <w:rPr>
          <w:color w:val="231F20"/>
        </w:rPr>
        <w:t>o </w:t>
      </w:r>
      <w:r>
        <w:rPr>
          <w:color w:val="231F20"/>
          <w:spacing w:val="2"/>
        </w:rPr>
        <w:t>incidir sobre </w:t>
      </w:r>
      <w:r>
        <w:rPr>
          <w:color w:val="231F20"/>
          <w:spacing w:val="3"/>
        </w:rPr>
        <w:t>algunas representaciones </w:t>
      </w:r>
      <w:r>
        <w:rPr>
          <w:color w:val="231F20"/>
          <w:spacing w:val="2"/>
        </w:rPr>
        <w:t>sociales </w:t>
      </w:r>
      <w:r>
        <w:rPr>
          <w:color w:val="231F20"/>
        </w:rPr>
        <w:t>que </w:t>
      </w:r>
      <w:r>
        <w:rPr>
          <w:color w:val="231F20"/>
          <w:spacing w:val="3"/>
        </w:rPr>
        <w:t>impiden </w:t>
      </w:r>
      <w:r>
        <w:rPr>
          <w:color w:val="231F20"/>
        </w:rPr>
        <w:t>el </w:t>
      </w:r>
      <w:r>
        <w:rPr>
          <w:color w:val="231F20"/>
          <w:spacing w:val="2"/>
        </w:rPr>
        <w:t>trabajo </w:t>
      </w:r>
      <w:r>
        <w:rPr>
          <w:color w:val="231F20"/>
          <w:spacing w:val="3"/>
        </w:rPr>
        <w:t>humano </w:t>
      </w:r>
      <w:r>
        <w:rPr>
          <w:color w:val="231F20"/>
        </w:rPr>
        <w:t>o las </w:t>
      </w:r>
      <w:r>
        <w:rPr>
          <w:color w:val="231F20"/>
          <w:spacing w:val="2"/>
        </w:rPr>
        <w:t>prácticas sociales </w:t>
      </w:r>
      <w:r>
        <w:rPr>
          <w:color w:val="231F20"/>
        </w:rPr>
        <w:t>de </w:t>
      </w:r>
      <w:r>
        <w:rPr>
          <w:color w:val="231F20"/>
          <w:spacing w:val="2"/>
        </w:rPr>
        <w:t>universitarios, </w:t>
      </w:r>
      <w:r>
        <w:rPr>
          <w:color w:val="231F20"/>
        </w:rPr>
        <w:t>a </w:t>
      </w:r>
      <w:r>
        <w:rPr>
          <w:color w:val="231F20"/>
          <w:spacing w:val="3"/>
        </w:rPr>
        <w:t>propósito </w:t>
      </w:r>
      <w:r>
        <w:rPr>
          <w:color w:val="231F20"/>
        </w:rPr>
        <w:t>de</w:t>
      </w:r>
      <w:r>
        <w:rPr>
          <w:color w:val="231F20"/>
          <w:spacing w:val="-17"/>
        </w:rPr>
        <w:t> </w:t>
      </w:r>
      <w:r>
        <w:rPr>
          <w:color w:val="231F20"/>
          <w:spacing w:val="2"/>
        </w:rPr>
        <w:t>investigar.</w:t>
      </w:r>
    </w:p>
    <w:p>
      <w:pPr>
        <w:pStyle w:val="BodyText"/>
        <w:spacing w:line="247" w:lineRule="auto"/>
        <w:ind w:left="101" w:right="119" w:firstLine="284"/>
        <w:jc w:val="both"/>
      </w:pPr>
      <w:r>
        <w:rPr>
          <w:color w:val="231F20"/>
        </w:rPr>
        <w:t>Asimismo, los hallazgos de esta investigación la “justifican” porque son útiles para encontrar mejores bases que  potencian     el</w:t>
      </w:r>
    </w:p>
    <w:p>
      <w:pPr>
        <w:spacing w:after="0" w:line="247" w:lineRule="auto"/>
        <w:jc w:val="both"/>
        <w:sectPr>
          <w:headerReference w:type="default" r:id="rId337"/>
          <w:footerReference w:type="default" r:id="rId338"/>
          <w:pgSz w:w="7830" w:h="11910"/>
          <w:pgMar w:header="0" w:footer="424" w:top="500" w:bottom="620" w:left="920" w:right="900"/>
          <w:pgNumType w:start="15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5"/>
        <w:jc w:val="both"/>
      </w:pPr>
      <w:r>
        <w:rPr>
          <w:color w:val="231F20"/>
        </w:rPr>
        <w:t>oficio de investigar, esas bases serán la producción histórico- psico-social que la UAQ, la Facultad de Psicología y algunos maestros y estudiantes encarnan como representaciones sociales, y que permiten recrear la ciencia, el oficio de investigar, la forma de ser científico y las prácticas socio-educativas que favorecen y dificultan la anterior labor.</w:t>
      </w:r>
    </w:p>
    <w:p>
      <w:pPr>
        <w:pStyle w:val="BodyText"/>
        <w:spacing w:line="247" w:lineRule="auto"/>
        <w:ind w:left="101" w:right="117" w:firstLine="284"/>
        <w:jc w:val="both"/>
      </w:pPr>
      <w:r>
        <w:rPr>
          <w:color w:val="231F20"/>
          <w:spacing w:val="2"/>
        </w:rPr>
        <w:t>Esta investigación </w:t>
      </w:r>
      <w:r>
        <w:rPr>
          <w:color w:val="231F20"/>
        </w:rPr>
        <w:t>“se </w:t>
      </w:r>
      <w:r>
        <w:rPr>
          <w:color w:val="231F20"/>
          <w:spacing w:val="2"/>
        </w:rPr>
        <w:t>justifica” porque, </w:t>
      </w:r>
      <w:r>
        <w:rPr>
          <w:color w:val="231F20"/>
        </w:rPr>
        <w:t>en el </w:t>
      </w:r>
      <w:r>
        <w:rPr>
          <w:color w:val="231F20"/>
          <w:spacing w:val="2"/>
        </w:rPr>
        <w:t>terreno teórico, ofrece </w:t>
      </w:r>
      <w:r>
        <w:rPr>
          <w:color w:val="231F20"/>
          <w:spacing w:val="3"/>
        </w:rPr>
        <w:t>argumentos </w:t>
      </w:r>
      <w:r>
        <w:rPr>
          <w:color w:val="231F20"/>
          <w:spacing w:val="2"/>
        </w:rPr>
        <w:t>para </w:t>
      </w:r>
      <w:r>
        <w:rPr>
          <w:color w:val="231F20"/>
          <w:spacing w:val="3"/>
        </w:rPr>
        <w:t>comprender </w:t>
      </w:r>
      <w:r>
        <w:rPr>
          <w:color w:val="231F20"/>
          <w:spacing w:val="2"/>
        </w:rPr>
        <w:t>mejor </w:t>
      </w:r>
      <w:r>
        <w:rPr>
          <w:color w:val="231F20"/>
        </w:rPr>
        <w:t>las </w:t>
      </w:r>
      <w:r>
        <w:rPr>
          <w:color w:val="231F20"/>
          <w:spacing w:val="2"/>
        </w:rPr>
        <w:t>funciones sustantivas </w:t>
      </w:r>
      <w:r>
        <w:rPr>
          <w:color w:val="231F20"/>
        </w:rPr>
        <w:t>de </w:t>
      </w:r>
      <w:r>
        <w:rPr>
          <w:color w:val="231F20"/>
          <w:spacing w:val="2"/>
        </w:rPr>
        <w:t>docencia </w:t>
      </w:r>
      <w:r>
        <w:rPr>
          <w:color w:val="231F20"/>
        </w:rPr>
        <w:t>e </w:t>
      </w:r>
      <w:r>
        <w:rPr>
          <w:color w:val="231F20"/>
          <w:spacing w:val="2"/>
        </w:rPr>
        <w:t>investigación </w:t>
      </w:r>
      <w:r>
        <w:rPr>
          <w:color w:val="231F20"/>
        </w:rPr>
        <w:t>de la </w:t>
      </w:r>
      <w:r>
        <w:rPr>
          <w:color w:val="231F20"/>
          <w:spacing w:val="2"/>
        </w:rPr>
        <w:t>universidad </w:t>
      </w:r>
      <w:r>
        <w:rPr>
          <w:color w:val="231F20"/>
        </w:rPr>
        <w:t>y, en el </w:t>
      </w:r>
      <w:r>
        <w:rPr>
          <w:color w:val="231F20"/>
          <w:spacing w:val="2"/>
        </w:rPr>
        <w:t>ámbito práctico, porque aporta </w:t>
      </w:r>
      <w:r>
        <w:rPr>
          <w:color w:val="231F20"/>
          <w:spacing w:val="3"/>
        </w:rPr>
        <w:t>elementos </w:t>
      </w:r>
      <w:r>
        <w:rPr>
          <w:color w:val="231F20"/>
          <w:spacing w:val="2"/>
        </w:rPr>
        <w:t>para intervenir sobre </w:t>
      </w:r>
      <w:r>
        <w:rPr>
          <w:color w:val="231F20"/>
        </w:rPr>
        <w:t>lo que </w:t>
      </w:r>
      <w:r>
        <w:rPr>
          <w:color w:val="231F20"/>
          <w:spacing w:val="2"/>
        </w:rPr>
        <w:t>ahora </w:t>
      </w:r>
      <w:r>
        <w:rPr>
          <w:color w:val="231F20"/>
        </w:rPr>
        <w:t>se </w:t>
      </w:r>
      <w:r>
        <w:rPr>
          <w:color w:val="231F20"/>
          <w:spacing w:val="2"/>
        </w:rPr>
        <w:t>vive, </w:t>
      </w:r>
      <w:r>
        <w:rPr>
          <w:color w:val="231F20"/>
        </w:rPr>
        <w:t>sin </w:t>
      </w:r>
      <w:r>
        <w:rPr>
          <w:color w:val="231F20"/>
          <w:spacing w:val="2"/>
        </w:rPr>
        <w:t>tener cabal conciencia </w:t>
      </w:r>
      <w:r>
        <w:rPr>
          <w:color w:val="231F20"/>
        </w:rPr>
        <w:t>de </w:t>
      </w:r>
      <w:r>
        <w:rPr>
          <w:color w:val="231F20"/>
          <w:spacing w:val="2"/>
        </w:rPr>
        <w:t>ello, </w:t>
      </w:r>
      <w:r>
        <w:rPr>
          <w:color w:val="231F20"/>
        </w:rPr>
        <w:t>en </w:t>
      </w:r>
      <w:r>
        <w:rPr>
          <w:color w:val="231F20"/>
          <w:spacing w:val="2"/>
        </w:rPr>
        <w:t>esas dos esferas </w:t>
      </w:r>
      <w:r>
        <w:rPr>
          <w:color w:val="231F20"/>
        </w:rPr>
        <w:t>de la </w:t>
      </w:r>
      <w:r>
        <w:rPr>
          <w:color w:val="231F20"/>
          <w:spacing w:val="2"/>
        </w:rPr>
        <w:t>vida</w:t>
      </w:r>
      <w:r>
        <w:rPr>
          <w:color w:val="231F20"/>
          <w:spacing w:val="-34"/>
        </w:rPr>
        <w:t> </w:t>
      </w:r>
      <w:r>
        <w:rPr>
          <w:color w:val="231F20"/>
          <w:spacing w:val="2"/>
        </w:rPr>
        <w:t>universitaria.</w:t>
      </w:r>
    </w:p>
    <w:p>
      <w:pPr>
        <w:pStyle w:val="BodyText"/>
        <w:spacing w:before="9"/>
      </w:pPr>
    </w:p>
    <w:p>
      <w:pPr>
        <w:pStyle w:val="ListParagraph"/>
        <w:numPr>
          <w:ilvl w:val="0"/>
          <w:numId w:val="6"/>
        </w:numPr>
        <w:tabs>
          <w:tab w:pos="308" w:val="left" w:leader="none"/>
        </w:tabs>
        <w:spacing w:line="240" w:lineRule="auto" w:before="0" w:after="0"/>
        <w:ind w:left="308" w:right="0" w:hanging="206"/>
        <w:jc w:val="both"/>
        <w:rPr>
          <w:color w:val="231F20"/>
          <w:sz w:val="21"/>
        </w:rPr>
      </w:pPr>
      <w:r>
        <w:rPr>
          <w:color w:val="231F20"/>
          <w:spacing w:val="2"/>
          <w:w w:val="105"/>
          <w:sz w:val="21"/>
        </w:rPr>
        <w:t>FUNDAMENTACIÓN</w:t>
      </w:r>
      <w:r>
        <w:rPr>
          <w:color w:val="231F20"/>
          <w:spacing w:val="-14"/>
          <w:w w:val="105"/>
          <w:sz w:val="21"/>
        </w:rPr>
        <w:t> </w:t>
      </w:r>
      <w:r>
        <w:rPr>
          <w:color w:val="231F20"/>
          <w:w w:val="105"/>
          <w:sz w:val="21"/>
        </w:rPr>
        <w:t>TEÓRICA</w:t>
      </w:r>
    </w:p>
    <w:p>
      <w:pPr>
        <w:pStyle w:val="BodyText"/>
        <w:spacing w:before="6"/>
        <w:rPr>
          <w:sz w:val="23"/>
        </w:rPr>
      </w:pPr>
    </w:p>
    <w:p>
      <w:pPr>
        <w:pStyle w:val="BodyText"/>
        <w:spacing w:line="244" w:lineRule="auto"/>
        <w:ind w:left="102" w:right="115"/>
        <w:jc w:val="both"/>
      </w:pPr>
      <w:r>
        <w:rPr>
          <w:color w:val="231F20"/>
        </w:rPr>
        <w:t>En este apartado son presentados  argumentos  para  comprender  qué entender por violencia. Igualmente, del resultado de ejercer la violencia: “representaciones sociales” </w:t>
      </w:r>
      <w:r>
        <w:rPr>
          <w:i/>
          <w:color w:val="231F20"/>
        </w:rPr>
        <w:t>(</w:t>
      </w:r>
      <w:r>
        <w:rPr>
          <w:color w:val="231F20"/>
        </w:rPr>
        <w:t>RsSsa futuro). Para tal fin, primero se analizaron autores que aluden al tema de una manera un tanto inédita: Engels, Marx, Benjamin y Bourdieu. El calificativo inédito obedece a la visión generalizada de ponderar la violencia como indeseable, como necesaria de eliminar. En otro apartado se   ve cómo Durkheim relacionó las RsSsy las diferenció de otro concepto que él formuló: la conciencia colectiva. Más adelante se muestran tesis para entender a la ideología –este concepto también  se diferencia de las RsSs y, al mismo tiempo, guarda algunos</w:t>
      </w:r>
      <w:r>
        <w:rPr>
          <w:color w:val="231F20"/>
          <w:spacing w:val="-24"/>
        </w:rPr>
        <w:t> </w:t>
      </w:r>
      <w:r>
        <w:rPr>
          <w:color w:val="231F20"/>
        </w:rPr>
        <w:t>nexos–</w:t>
      </w:r>
    </w:p>
    <w:p>
      <w:pPr>
        <w:pStyle w:val="BodyText"/>
        <w:spacing w:line="247" w:lineRule="auto" w:before="3"/>
        <w:ind w:left="101" w:right="117"/>
        <w:jc w:val="both"/>
      </w:pPr>
      <w:r>
        <w:rPr>
          <w:color w:val="231F20"/>
        </w:rPr>
        <w:t>. Después, la teoría marxista se ilustra con otra que se vincula con  las RsSs: </w:t>
      </w:r>
      <w:r>
        <w:rPr>
          <w:i/>
          <w:color w:val="231F20"/>
        </w:rPr>
        <w:t>habitus, illusio </w:t>
      </w:r>
      <w:r>
        <w:rPr>
          <w:color w:val="231F20"/>
        </w:rPr>
        <w:t>y campo, el “estructuralismo genético” de Pierre Bourdieu. Más tarde, son retomadas nociones  de  un psicólogo social mexicano, Martín Mora, para explicar a las RsSs. Finalmente, las anteriores teorías se amalgaman para servir de soporte a esta</w:t>
      </w:r>
      <w:r>
        <w:rPr>
          <w:color w:val="231F20"/>
          <w:spacing w:val="-3"/>
        </w:rPr>
        <w:t> </w:t>
      </w:r>
      <w:r>
        <w:rPr>
          <w:color w:val="231F20"/>
        </w:rPr>
        <w:t>investigación.</w:t>
      </w:r>
    </w:p>
    <w:p>
      <w:pPr>
        <w:pStyle w:val="BodyText"/>
        <w:spacing w:before="7"/>
        <w:rPr>
          <w:sz w:val="22"/>
        </w:rPr>
      </w:pPr>
    </w:p>
    <w:p>
      <w:pPr>
        <w:pStyle w:val="ListParagraph"/>
        <w:numPr>
          <w:ilvl w:val="1"/>
          <w:numId w:val="6"/>
        </w:numPr>
        <w:tabs>
          <w:tab w:pos="460" w:val="left" w:leader="none"/>
        </w:tabs>
        <w:spacing w:line="240" w:lineRule="auto" w:before="0" w:after="0"/>
        <w:ind w:left="459" w:right="0" w:hanging="357"/>
        <w:jc w:val="both"/>
        <w:rPr>
          <w:i/>
          <w:sz w:val="21"/>
        </w:rPr>
      </w:pPr>
      <w:r>
        <w:rPr>
          <w:i/>
          <w:color w:val="231F20"/>
          <w:spacing w:val="3"/>
          <w:w w:val="135"/>
          <w:sz w:val="21"/>
        </w:rPr>
        <w:t>V</w:t>
      </w:r>
      <w:r>
        <w:rPr>
          <w:i/>
          <w:color w:val="231F20"/>
          <w:w w:val="77"/>
          <w:sz w:val="21"/>
        </w:rPr>
        <w:t>i</w:t>
      </w:r>
      <w:r>
        <w:rPr>
          <w:i/>
          <w:color w:val="231F20"/>
          <w:spacing w:val="1"/>
          <w:w w:val="77"/>
          <w:sz w:val="21"/>
        </w:rPr>
        <w:t>o</w:t>
      </w:r>
      <w:r>
        <w:rPr>
          <w:i/>
          <w:color w:val="231F20"/>
          <w:w w:val="80"/>
          <w:sz w:val="21"/>
        </w:rPr>
        <w:t>l</w:t>
      </w:r>
      <w:r>
        <w:rPr>
          <w:i/>
          <w:color w:val="231F20"/>
          <w:spacing w:val="1"/>
          <w:w w:val="67"/>
          <w:sz w:val="21"/>
        </w:rPr>
        <w:t>e</w:t>
      </w:r>
      <w:r>
        <w:rPr>
          <w:i/>
          <w:color w:val="231F20"/>
          <w:spacing w:val="1"/>
          <w:w w:val="87"/>
          <w:sz w:val="21"/>
        </w:rPr>
        <w:t>n</w:t>
      </w:r>
      <w:r>
        <w:rPr>
          <w:i/>
          <w:color w:val="231F20"/>
          <w:spacing w:val="1"/>
          <w:w w:val="62"/>
          <w:sz w:val="21"/>
        </w:rPr>
        <w:t>c</w:t>
      </w:r>
      <w:r>
        <w:rPr>
          <w:i/>
          <w:color w:val="231F20"/>
          <w:w w:val="84"/>
          <w:sz w:val="21"/>
        </w:rPr>
        <w:t>ia</w:t>
      </w:r>
    </w:p>
    <w:p>
      <w:pPr>
        <w:pStyle w:val="BodyText"/>
        <w:spacing w:before="7"/>
        <w:rPr>
          <w:i/>
          <w:sz w:val="23"/>
        </w:rPr>
      </w:pPr>
    </w:p>
    <w:p>
      <w:pPr>
        <w:pStyle w:val="BodyText"/>
        <w:spacing w:line="247" w:lineRule="auto"/>
        <w:ind w:left="102" w:right="114"/>
        <w:jc w:val="both"/>
      </w:pPr>
      <w:r>
        <w:rPr>
          <w:color w:val="231F20"/>
        </w:rPr>
        <w:t>Es un lugar común, una opinión generalizada, admitir que la violencia debe salir del aula, que no debe estar presente en las instituciones educativas o en cualquier otra. Sin duda esa forma de valorarla es adecuada. Es atinada porque una forma de violencia   es</w:t>
      </w:r>
    </w:p>
    <w:p>
      <w:pPr>
        <w:spacing w:after="0" w:line="247" w:lineRule="auto"/>
        <w:jc w:val="both"/>
        <w:sectPr>
          <w:headerReference w:type="default" r:id="rId339"/>
          <w:footerReference w:type="default" r:id="rId340"/>
          <w:pgSz w:w="7830" w:h="11910"/>
          <w:pgMar w:header="0" w:footer="424" w:top="500" w:bottom="620" w:left="920" w:right="900"/>
          <w:pgNumType w:start="15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16"/>
        <w:jc w:val="both"/>
      </w:pPr>
      <w:r>
        <w:rPr>
          <w:color w:val="231F20"/>
        </w:rPr>
        <w:t>indeseable: la represión física o, incluso, alguna forma de violencia simbólica sin cometidos pedagógicos legítimos. Esta forma de entender a la violencia es propia de la ideología dominante o la conciencia colectiva (más adelante diré qué entender por tales conceptos): presenta a la violencia innecesaria o molesta. La afirmación tajante de ser propia de la ideología dominante, se fundamenta en que quienes así opinan la consideran, ilusoriamente, como accidental y posible de extirpar de las acciones humanas.</w:t>
      </w:r>
    </w:p>
    <w:p>
      <w:pPr>
        <w:pStyle w:val="BodyText"/>
        <w:spacing w:line="247" w:lineRule="auto" w:before="15"/>
        <w:ind w:left="102" w:right="114" w:firstLine="284"/>
        <w:jc w:val="both"/>
      </w:pPr>
      <w:r>
        <w:rPr>
          <w:color w:val="231F20"/>
        </w:rPr>
        <w:t>Para fines de este trabajo, es indispensable mostrar que la violencia es una relación de fuerza necesaria para la organización humana, para conformar el Estado. Una crítica de la violencia se basa en la exposición de su relación con el derecho y con  la justicia; porque una causa eficiente se convierte en violencia, en el sentido exacto de la palabra, únicamente cuando incide sobre relaciones morales, la esfera de esas relaciones es definida por los conceptos de derecho y justicia (Benjamin, 1999: 109). En tal virtud, para hablar de la violencia es ineludible analizar al derecho, la justicia y la moral, es decir, es forzoso estudiar al Estado.</w:t>
      </w:r>
    </w:p>
    <w:p>
      <w:pPr>
        <w:pStyle w:val="BodyText"/>
        <w:spacing w:line="249" w:lineRule="auto" w:before="1"/>
        <w:ind w:left="101" w:right="115" w:firstLine="284"/>
        <w:jc w:val="both"/>
      </w:pPr>
      <w:r>
        <w:rPr>
          <w:color w:val="231F20"/>
          <w:spacing w:val="2"/>
        </w:rPr>
        <w:t>Engels</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libro</w:t>
      </w:r>
      <w:r>
        <w:rPr>
          <w:color w:val="231F20"/>
          <w:spacing w:val="-22"/>
        </w:rPr>
        <w:t> </w:t>
      </w:r>
      <w:r>
        <w:rPr>
          <w:i/>
          <w:color w:val="231F20"/>
        </w:rPr>
        <w:t>El</w:t>
      </w:r>
      <w:r>
        <w:rPr>
          <w:i/>
          <w:color w:val="231F20"/>
          <w:spacing w:val="-23"/>
        </w:rPr>
        <w:t> </w:t>
      </w:r>
      <w:r>
        <w:rPr>
          <w:i/>
          <w:color w:val="231F20"/>
          <w:spacing w:val="2"/>
        </w:rPr>
        <w:t>origen</w:t>
      </w:r>
      <w:r>
        <w:rPr>
          <w:i/>
          <w:color w:val="231F20"/>
          <w:spacing w:val="-22"/>
        </w:rPr>
        <w:t> </w:t>
      </w:r>
      <w:r>
        <w:rPr>
          <w:i/>
          <w:color w:val="231F20"/>
        </w:rPr>
        <w:t>de</w:t>
      </w:r>
      <w:r>
        <w:rPr>
          <w:i/>
          <w:color w:val="231F20"/>
          <w:spacing w:val="-23"/>
        </w:rPr>
        <w:t> </w:t>
      </w:r>
      <w:r>
        <w:rPr>
          <w:i/>
          <w:color w:val="231F20"/>
        </w:rPr>
        <w:t>la</w:t>
      </w:r>
      <w:r>
        <w:rPr>
          <w:i/>
          <w:color w:val="231F20"/>
          <w:spacing w:val="-22"/>
        </w:rPr>
        <w:t> </w:t>
      </w:r>
      <w:r>
        <w:rPr>
          <w:i/>
          <w:color w:val="231F20"/>
          <w:spacing w:val="2"/>
        </w:rPr>
        <w:t>familia,</w:t>
      </w:r>
      <w:r>
        <w:rPr>
          <w:i/>
          <w:color w:val="231F20"/>
          <w:spacing w:val="-23"/>
        </w:rPr>
        <w:t> </w:t>
      </w:r>
      <w:r>
        <w:rPr>
          <w:i/>
          <w:color w:val="231F20"/>
        </w:rPr>
        <w:t>la</w:t>
      </w:r>
      <w:r>
        <w:rPr>
          <w:i/>
          <w:color w:val="231F20"/>
          <w:spacing w:val="-22"/>
        </w:rPr>
        <w:t> </w:t>
      </w:r>
      <w:r>
        <w:rPr>
          <w:i/>
          <w:color w:val="231F20"/>
          <w:spacing w:val="2"/>
        </w:rPr>
        <w:t>propiedad</w:t>
      </w:r>
      <w:r>
        <w:rPr>
          <w:i/>
          <w:color w:val="231F20"/>
          <w:spacing w:val="-22"/>
        </w:rPr>
        <w:t> </w:t>
      </w:r>
      <w:r>
        <w:rPr>
          <w:i/>
          <w:color w:val="231F20"/>
          <w:spacing w:val="2"/>
        </w:rPr>
        <w:t>privada</w:t>
      </w:r>
      <w:r>
        <w:rPr>
          <w:i/>
          <w:color w:val="231F20"/>
          <w:spacing w:val="-22"/>
        </w:rPr>
        <w:t> </w:t>
      </w:r>
      <w:r>
        <w:rPr>
          <w:i/>
          <w:color w:val="231F20"/>
        </w:rPr>
        <w:t>y</w:t>
      </w:r>
      <w:r>
        <w:rPr>
          <w:i/>
          <w:color w:val="231F20"/>
          <w:spacing w:val="-23"/>
        </w:rPr>
        <w:t> </w:t>
      </w:r>
      <w:r>
        <w:rPr>
          <w:i/>
          <w:color w:val="231F20"/>
        </w:rPr>
        <w:t>el </w:t>
      </w:r>
      <w:r>
        <w:rPr>
          <w:i/>
          <w:color w:val="231F20"/>
          <w:spacing w:val="2"/>
        </w:rPr>
        <w:t>Estado </w:t>
      </w:r>
      <w:r>
        <w:rPr>
          <w:color w:val="231F20"/>
          <w:spacing w:val="3"/>
        </w:rPr>
        <w:t>(1979) mostró </w:t>
      </w:r>
      <w:r>
        <w:rPr>
          <w:color w:val="231F20"/>
        </w:rPr>
        <w:t>el </w:t>
      </w:r>
      <w:r>
        <w:rPr>
          <w:color w:val="231F20"/>
          <w:spacing w:val="2"/>
        </w:rPr>
        <w:t>tránsito </w:t>
      </w:r>
      <w:r>
        <w:rPr>
          <w:color w:val="231F20"/>
        </w:rPr>
        <w:t>de </w:t>
      </w:r>
      <w:r>
        <w:rPr>
          <w:color w:val="231F20"/>
          <w:spacing w:val="2"/>
        </w:rPr>
        <w:t>distintas </w:t>
      </w:r>
      <w:r>
        <w:rPr>
          <w:color w:val="231F20"/>
          <w:spacing w:val="3"/>
        </w:rPr>
        <w:t>formas </w:t>
      </w:r>
      <w:r>
        <w:rPr>
          <w:color w:val="231F20"/>
        </w:rPr>
        <w:t>de </w:t>
      </w:r>
      <w:r>
        <w:rPr>
          <w:color w:val="231F20"/>
          <w:spacing w:val="2"/>
        </w:rPr>
        <w:t>asociación entre </w:t>
      </w:r>
      <w:r>
        <w:rPr>
          <w:color w:val="231F20"/>
          <w:spacing w:val="3"/>
        </w:rPr>
        <w:t>hombres </w:t>
      </w:r>
      <w:r>
        <w:rPr>
          <w:color w:val="231F20"/>
        </w:rPr>
        <w:t>y </w:t>
      </w:r>
      <w:r>
        <w:rPr>
          <w:color w:val="231F20"/>
          <w:spacing w:val="2"/>
        </w:rPr>
        <w:t>mujeres, hasta decantarse </w:t>
      </w:r>
      <w:r>
        <w:rPr>
          <w:color w:val="231F20"/>
        </w:rPr>
        <w:t>en la </w:t>
      </w:r>
      <w:r>
        <w:rPr>
          <w:color w:val="231F20"/>
          <w:spacing w:val="2"/>
        </w:rPr>
        <w:t>familia </w:t>
      </w:r>
      <w:r>
        <w:rPr>
          <w:color w:val="231F20"/>
          <w:spacing w:val="3"/>
        </w:rPr>
        <w:t>monogámica</w:t>
      </w:r>
      <w:r>
        <w:rPr>
          <w:i/>
          <w:color w:val="231F20"/>
          <w:spacing w:val="3"/>
        </w:rPr>
        <w:t>. </w:t>
      </w:r>
      <w:r>
        <w:rPr>
          <w:color w:val="231F20"/>
          <w:spacing w:val="2"/>
        </w:rPr>
        <w:t>De acuerdo con Engels, </w:t>
      </w:r>
      <w:r>
        <w:rPr>
          <w:color w:val="231F20"/>
        </w:rPr>
        <w:t>el </w:t>
      </w:r>
      <w:r>
        <w:rPr>
          <w:color w:val="231F20"/>
          <w:spacing w:val="2"/>
        </w:rPr>
        <w:t>primer </w:t>
      </w:r>
      <w:r>
        <w:rPr>
          <w:color w:val="231F20"/>
          <w:spacing w:val="3"/>
        </w:rPr>
        <w:t>antagonismo </w:t>
      </w:r>
      <w:r>
        <w:rPr>
          <w:color w:val="231F20"/>
        </w:rPr>
        <w:t>de </w:t>
      </w:r>
      <w:r>
        <w:rPr>
          <w:color w:val="231F20"/>
          <w:spacing w:val="2"/>
        </w:rPr>
        <w:t>clases que apareció </w:t>
      </w:r>
      <w:r>
        <w:rPr>
          <w:color w:val="231F20"/>
        </w:rPr>
        <w:t>en la </w:t>
      </w:r>
      <w:r>
        <w:rPr>
          <w:color w:val="231F20"/>
          <w:spacing w:val="2"/>
        </w:rPr>
        <w:t>historia coincidió con </w:t>
      </w:r>
      <w:r>
        <w:rPr>
          <w:color w:val="231F20"/>
        </w:rPr>
        <w:t>el </w:t>
      </w:r>
      <w:r>
        <w:rPr>
          <w:color w:val="231F20"/>
          <w:spacing w:val="3"/>
        </w:rPr>
        <w:t>antagonismo </w:t>
      </w:r>
      <w:r>
        <w:rPr>
          <w:color w:val="231F20"/>
          <w:spacing w:val="2"/>
        </w:rPr>
        <w:t>entre </w:t>
      </w:r>
      <w:r>
        <w:rPr>
          <w:color w:val="231F20"/>
        </w:rPr>
        <w:t>el </w:t>
      </w:r>
      <w:r>
        <w:rPr>
          <w:color w:val="231F20"/>
          <w:spacing w:val="3"/>
        </w:rPr>
        <w:t>hombre </w:t>
      </w:r>
      <w:r>
        <w:rPr>
          <w:color w:val="231F20"/>
        </w:rPr>
        <w:t>y la </w:t>
      </w:r>
      <w:r>
        <w:rPr>
          <w:color w:val="231F20"/>
          <w:spacing w:val="2"/>
        </w:rPr>
        <w:t>mujer: </w:t>
      </w:r>
      <w:r>
        <w:rPr>
          <w:color w:val="231F20"/>
        </w:rPr>
        <w:t>la </w:t>
      </w:r>
      <w:r>
        <w:rPr>
          <w:color w:val="231F20"/>
          <w:spacing w:val="3"/>
        </w:rPr>
        <w:t>monogamia, </w:t>
      </w:r>
      <w:r>
        <w:rPr>
          <w:color w:val="231F20"/>
        </w:rPr>
        <w:t>la </w:t>
      </w:r>
      <w:r>
        <w:rPr>
          <w:color w:val="231F20"/>
          <w:spacing w:val="2"/>
        </w:rPr>
        <w:t>opresión del sexo </w:t>
      </w:r>
      <w:r>
        <w:rPr>
          <w:color w:val="231F20"/>
          <w:spacing w:val="3"/>
        </w:rPr>
        <w:t>femenino </w:t>
      </w:r>
      <w:r>
        <w:rPr>
          <w:color w:val="231F20"/>
          <w:spacing w:val="2"/>
        </w:rPr>
        <w:t>por </w:t>
      </w:r>
      <w:r>
        <w:rPr>
          <w:color w:val="231F20"/>
        </w:rPr>
        <w:t>el </w:t>
      </w:r>
      <w:r>
        <w:rPr>
          <w:color w:val="231F20"/>
          <w:spacing w:val="2"/>
        </w:rPr>
        <w:t>masculino. Aparejado </w:t>
      </w:r>
      <w:r>
        <w:rPr>
          <w:color w:val="231F20"/>
        </w:rPr>
        <w:t>a </w:t>
      </w:r>
      <w:r>
        <w:rPr>
          <w:color w:val="231F20"/>
          <w:spacing w:val="2"/>
        </w:rPr>
        <w:t>esta </w:t>
      </w:r>
      <w:r>
        <w:rPr>
          <w:color w:val="231F20"/>
          <w:spacing w:val="3"/>
        </w:rPr>
        <w:t>forma </w:t>
      </w:r>
      <w:r>
        <w:rPr>
          <w:color w:val="231F20"/>
        </w:rPr>
        <w:t>de </w:t>
      </w:r>
      <w:r>
        <w:rPr>
          <w:color w:val="231F20"/>
          <w:spacing w:val="2"/>
        </w:rPr>
        <w:t>relación </w:t>
      </w:r>
      <w:r>
        <w:rPr>
          <w:color w:val="231F20"/>
        </w:rPr>
        <w:t>y, en </w:t>
      </w:r>
      <w:r>
        <w:rPr>
          <w:color w:val="231F20"/>
          <w:spacing w:val="2"/>
        </w:rPr>
        <w:t>gran </w:t>
      </w:r>
      <w:r>
        <w:rPr>
          <w:color w:val="231F20"/>
          <w:spacing w:val="3"/>
        </w:rPr>
        <w:t>medida producto </w:t>
      </w:r>
      <w:r>
        <w:rPr>
          <w:color w:val="231F20"/>
        </w:rPr>
        <w:t>de ella, </w:t>
      </w:r>
      <w:r>
        <w:rPr>
          <w:color w:val="231F20"/>
          <w:spacing w:val="2"/>
        </w:rPr>
        <w:t>aconteció </w:t>
      </w:r>
      <w:r>
        <w:rPr>
          <w:color w:val="231F20"/>
        </w:rPr>
        <w:t>la </w:t>
      </w:r>
      <w:r>
        <w:rPr>
          <w:color w:val="231F20"/>
          <w:spacing w:val="2"/>
        </w:rPr>
        <w:t>generación </w:t>
      </w:r>
      <w:r>
        <w:rPr>
          <w:color w:val="231F20"/>
        </w:rPr>
        <w:t>de </w:t>
      </w:r>
      <w:r>
        <w:rPr>
          <w:color w:val="231F20"/>
          <w:spacing w:val="2"/>
        </w:rPr>
        <w:t>excedentes del trabajo, </w:t>
      </w:r>
      <w:r>
        <w:rPr>
          <w:color w:val="231F20"/>
        </w:rPr>
        <w:t>al </w:t>
      </w:r>
      <w:r>
        <w:rPr>
          <w:color w:val="231F20"/>
          <w:spacing w:val="2"/>
        </w:rPr>
        <w:t>inventarse </w:t>
      </w:r>
      <w:r>
        <w:rPr>
          <w:color w:val="231F20"/>
        </w:rPr>
        <w:t>la </w:t>
      </w:r>
      <w:r>
        <w:rPr>
          <w:color w:val="231F20"/>
          <w:spacing w:val="2"/>
        </w:rPr>
        <w:t>agricultura </w:t>
      </w:r>
      <w:r>
        <w:rPr>
          <w:color w:val="231F20"/>
        </w:rPr>
        <w:t>y la </w:t>
      </w:r>
      <w:r>
        <w:rPr>
          <w:color w:val="231F20"/>
          <w:spacing w:val="3"/>
        </w:rPr>
        <w:t>ganadería. </w:t>
      </w:r>
      <w:r>
        <w:rPr>
          <w:color w:val="231F20"/>
        </w:rPr>
        <w:t>La </w:t>
      </w:r>
      <w:r>
        <w:rPr>
          <w:color w:val="231F20"/>
          <w:spacing w:val="3"/>
        </w:rPr>
        <w:t>monogamia </w:t>
      </w:r>
      <w:r>
        <w:rPr>
          <w:color w:val="231F20"/>
          <w:spacing w:val="2"/>
        </w:rPr>
        <w:t>nació </w:t>
      </w:r>
      <w:r>
        <w:rPr>
          <w:color w:val="231F20"/>
        </w:rPr>
        <w:t>de la </w:t>
      </w:r>
      <w:r>
        <w:rPr>
          <w:color w:val="231F20"/>
          <w:spacing w:val="2"/>
        </w:rPr>
        <w:t>concentración </w:t>
      </w:r>
      <w:r>
        <w:rPr>
          <w:color w:val="231F20"/>
        </w:rPr>
        <w:t>de la </w:t>
      </w:r>
      <w:r>
        <w:rPr>
          <w:color w:val="231F20"/>
          <w:spacing w:val="2"/>
        </w:rPr>
        <w:t>riqueza </w:t>
      </w:r>
      <w:r>
        <w:rPr>
          <w:color w:val="231F20"/>
        </w:rPr>
        <w:t>en las </w:t>
      </w:r>
      <w:r>
        <w:rPr>
          <w:color w:val="231F20"/>
          <w:spacing w:val="3"/>
        </w:rPr>
        <w:t>mismas </w:t>
      </w:r>
      <w:r>
        <w:rPr>
          <w:color w:val="231F20"/>
          <w:spacing w:val="2"/>
        </w:rPr>
        <w:t>manos, </w:t>
      </w:r>
      <w:r>
        <w:rPr>
          <w:color w:val="231F20"/>
        </w:rPr>
        <w:t>las de un </w:t>
      </w:r>
      <w:r>
        <w:rPr>
          <w:color w:val="231F20"/>
          <w:spacing w:val="3"/>
        </w:rPr>
        <w:t>hombre, </w:t>
      </w:r>
      <w:r>
        <w:rPr>
          <w:color w:val="231F20"/>
        </w:rPr>
        <w:t>y </w:t>
      </w:r>
      <w:r>
        <w:rPr>
          <w:color w:val="231F20"/>
          <w:spacing w:val="2"/>
        </w:rPr>
        <w:t>del deseo </w:t>
      </w:r>
      <w:r>
        <w:rPr>
          <w:color w:val="231F20"/>
        </w:rPr>
        <w:t>de </w:t>
      </w:r>
      <w:r>
        <w:rPr>
          <w:color w:val="231F20"/>
          <w:spacing w:val="2"/>
        </w:rPr>
        <w:t>transmitir </w:t>
      </w:r>
      <w:r>
        <w:rPr>
          <w:color w:val="231F20"/>
          <w:spacing w:val="3"/>
        </w:rPr>
        <w:t>esas </w:t>
      </w:r>
      <w:r>
        <w:rPr>
          <w:color w:val="231F20"/>
          <w:spacing w:val="2"/>
        </w:rPr>
        <w:t>riquezas por herencia </w:t>
      </w:r>
      <w:r>
        <w:rPr>
          <w:color w:val="231F20"/>
        </w:rPr>
        <w:t>a </w:t>
      </w:r>
      <w:r>
        <w:rPr>
          <w:color w:val="231F20"/>
          <w:spacing w:val="2"/>
        </w:rPr>
        <w:t>los hijos </w:t>
      </w:r>
      <w:r>
        <w:rPr>
          <w:color w:val="231F20"/>
        </w:rPr>
        <w:t>de </w:t>
      </w:r>
      <w:r>
        <w:rPr>
          <w:color w:val="231F20"/>
          <w:spacing w:val="2"/>
        </w:rPr>
        <w:t>este </w:t>
      </w:r>
      <w:r>
        <w:rPr>
          <w:color w:val="231F20"/>
          <w:spacing w:val="3"/>
        </w:rPr>
        <w:t>hombre; </w:t>
      </w:r>
      <w:r>
        <w:rPr>
          <w:color w:val="231F20"/>
          <w:spacing w:val="2"/>
        </w:rPr>
        <w:t>para </w:t>
      </w:r>
      <w:r>
        <w:rPr>
          <w:color w:val="231F20"/>
        </w:rPr>
        <w:t>tal fin era </w:t>
      </w:r>
      <w:r>
        <w:rPr>
          <w:color w:val="231F20"/>
          <w:spacing w:val="2"/>
        </w:rPr>
        <w:t>necesaria </w:t>
      </w:r>
      <w:r>
        <w:rPr>
          <w:color w:val="231F20"/>
        </w:rPr>
        <w:t>la </w:t>
      </w:r>
      <w:r>
        <w:rPr>
          <w:color w:val="231F20"/>
          <w:spacing w:val="3"/>
        </w:rPr>
        <w:t>monogamia </w:t>
      </w:r>
      <w:r>
        <w:rPr>
          <w:color w:val="231F20"/>
        </w:rPr>
        <w:t>de la </w:t>
      </w:r>
      <w:r>
        <w:rPr>
          <w:color w:val="231F20"/>
          <w:spacing w:val="2"/>
        </w:rPr>
        <w:t>mujer, </w:t>
      </w:r>
      <w:r>
        <w:rPr>
          <w:color w:val="231F20"/>
        </w:rPr>
        <w:t>no la </w:t>
      </w:r>
      <w:r>
        <w:rPr>
          <w:color w:val="231F20"/>
          <w:spacing w:val="2"/>
        </w:rPr>
        <w:t>del </w:t>
      </w:r>
      <w:r>
        <w:rPr>
          <w:color w:val="231F20"/>
          <w:spacing w:val="3"/>
        </w:rPr>
        <w:t>hombre </w:t>
      </w:r>
      <w:r>
        <w:rPr>
          <w:color w:val="231F20"/>
          <w:spacing w:val="2"/>
        </w:rPr>
        <w:t>(Engels, </w:t>
      </w:r>
      <w:r>
        <w:rPr>
          <w:color w:val="231F20"/>
          <w:spacing w:val="2"/>
          <w:w w:val="95"/>
        </w:rPr>
        <w:t>1979:</w:t>
      </w:r>
      <w:r>
        <w:rPr>
          <w:color w:val="231F20"/>
          <w:spacing w:val="14"/>
          <w:w w:val="95"/>
        </w:rPr>
        <w:t> </w:t>
      </w:r>
      <w:r>
        <w:rPr>
          <w:color w:val="231F20"/>
          <w:spacing w:val="2"/>
          <w:w w:val="95"/>
        </w:rPr>
        <w:t>74-77).</w:t>
      </w:r>
    </w:p>
    <w:p>
      <w:pPr>
        <w:pStyle w:val="BodyText"/>
        <w:spacing w:line="247" w:lineRule="auto"/>
        <w:ind w:left="101" w:right="116" w:firstLine="284"/>
        <w:jc w:val="both"/>
      </w:pPr>
      <w:r>
        <w:rPr>
          <w:color w:val="231F20"/>
        </w:rPr>
        <w:t>Simultánea a la creación de la familia monogámica y la acumulación de riquezas en manos de hombres, solo faltaba una cosa por crear: una institución que no solo asegurase las nuevas riquezas en manos de pocos individuos contra las tradiciones comunistas de compartir el producto del trabajo de la previa organización humana, </w:t>
      </w:r>
      <w:r>
        <w:rPr>
          <w:i/>
          <w:color w:val="231F20"/>
        </w:rPr>
        <w:t>gens</w:t>
      </w:r>
      <w:r>
        <w:rPr>
          <w:color w:val="231F20"/>
        </w:rPr>
        <w:t>, sino que además legitimase, en nombre de la sociedad en general, las nuevas formas de propiedad y de</w:t>
      </w:r>
    </w:p>
    <w:p>
      <w:pPr>
        <w:spacing w:after="0" w:line="247" w:lineRule="auto"/>
        <w:jc w:val="both"/>
        <w:sectPr>
          <w:headerReference w:type="default" r:id="rId341"/>
          <w:footerReference w:type="default" r:id="rId342"/>
          <w:pgSz w:w="7830" w:h="11910"/>
          <w:pgMar w:header="0" w:footer="424" w:top="500" w:bottom="620" w:left="920" w:right="900"/>
          <w:pgNumType w:start="15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6"/>
        <w:jc w:val="both"/>
      </w:pPr>
      <w:r>
        <w:rPr>
          <w:color w:val="231F20"/>
          <w:spacing w:val="2"/>
        </w:rPr>
        <w:t>relaciones sociales: </w:t>
      </w:r>
      <w:r>
        <w:rPr>
          <w:color w:val="231F20"/>
        </w:rPr>
        <w:t>el </w:t>
      </w:r>
      <w:r>
        <w:rPr>
          <w:color w:val="231F20"/>
          <w:spacing w:val="2"/>
        </w:rPr>
        <w:t>derecho </w:t>
      </w:r>
      <w:r>
        <w:rPr>
          <w:color w:val="231F20"/>
        </w:rPr>
        <w:t>de la </w:t>
      </w:r>
      <w:r>
        <w:rPr>
          <w:color w:val="231F20"/>
          <w:spacing w:val="2"/>
        </w:rPr>
        <w:t>clase </w:t>
      </w:r>
      <w:r>
        <w:rPr>
          <w:color w:val="231F20"/>
          <w:spacing w:val="3"/>
        </w:rPr>
        <w:t>poseedora </w:t>
      </w:r>
      <w:r>
        <w:rPr>
          <w:color w:val="231F20"/>
        </w:rPr>
        <w:t>de </w:t>
      </w:r>
      <w:r>
        <w:rPr>
          <w:color w:val="231F20"/>
          <w:spacing w:val="2"/>
        </w:rPr>
        <w:t>explotar </w:t>
      </w:r>
      <w:r>
        <w:rPr>
          <w:color w:val="231F20"/>
        </w:rPr>
        <w:t>a  la </w:t>
      </w:r>
      <w:r>
        <w:rPr>
          <w:color w:val="231F20"/>
          <w:spacing w:val="2"/>
        </w:rPr>
        <w:t>que </w:t>
      </w:r>
      <w:r>
        <w:rPr>
          <w:color w:val="231F20"/>
        </w:rPr>
        <w:t>no </w:t>
      </w:r>
      <w:r>
        <w:rPr>
          <w:color w:val="231F20"/>
          <w:spacing w:val="2"/>
        </w:rPr>
        <w:t>poseyese nada </w:t>
      </w:r>
      <w:r>
        <w:rPr>
          <w:color w:val="231F20"/>
        </w:rPr>
        <w:t>y la </w:t>
      </w:r>
      <w:r>
        <w:rPr>
          <w:color w:val="231F20"/>
          <w:spacing w:val="3"/>
        </w:rPr>
        <w:t>preponderancia </w:t>
      </w:r>
      <w:r>
        <w:rPr>
          <w:color w:val="231F20"/>
        </w:rPr>
        <w:t>de la </w:t>
      </w:r>
      <w:r>
        <w:rPr>
          <w:color w:val="231F20"/>
          <w:spacing w:val="2"/>
        </w:rPr>
        <w:t>primera sobre </w:t>
      </w:r>
      <w:r>
        <w:rPr>
          <w:color w:val="231F20"/>
        </w:rPr>
        <w:t>la </w:t>
      </w:r>
      <w:r>
        <w:rPr>
          <w:color w:val="231F20"/>
          <w:spacing w:val="2"/>
        </w:rPr>
        <w:t>segunda; </w:t>
      </w:r>
      <w:r>
        <w:rPr>
          <w:color w:val="231F20"/>
        </w:rPr>
        <w:t>se </w:t>
      </w:r>
      <w:r>
        <w:rPr>
          <w:color w:val="231F20"/>
          <w:spacing w:val="2"/>
        </w:rPr>
        <w:t>inventó </w:t>
      </w:r>
      <w:r>
        <w:rPr>
          <w:color w:val="231F20"/>
        </w:rPr>
        <w:t>el </w:t>
      </w:r>
      <w:r>
        <w:rPr>
          <w:color w:val="231F20"/>
          <w:spacing w:val="2"/>
        </w:rPr>
        <w:t>Estado (Engels, 1979: 130-131). Porque </w:t>
      </w:r>
      <w:r>
        <w:rPr>
          <w:color w:val="231F20"/>
        </w:rPr>
        <w:t>la </w:t>
      </w:r>
      <w:r>
        <w:rPr>
          <w:color w:val="231F20"/>
          <w:spacing w:val="2"/>
        </w:rPr>
        <w:t>familia </w:t>
      </w:r>
      <w:r>
        <w:rPr>
          <w:color w:val="231F20"/>
        </w:rPr>
        <w:t>no se </w:t>
      </w:r>
      <w:r>
        <w:rPr>
          <w:color w:val="231F20"/>
          <w:spacing w:val="2"/>
        </w:rPr>
        <w:t>multiplicaba con tanta rapidez </w:t>
      </w:r>
      <w:r>
        <w:rPr>
          <w:color w:val="231F20"/>
          <w:spacing w:val="3"/>
        </w:rPr>
        <w:t>como </w:t>
      </w:r>
      <w:r>
        <w:rPr>
          <w:color w:val="231F20"/>
        </w:rPr>
        <w:t>el </w:t>
      </w:r>
      <w:r>
        <w:rPr>
          <w:color w:val="231F20"/>
          <w:spacing w:val="3"/>
        </w:rPr>
        <w:t>ganado; </w:t>
      </w:r>
      <w:r>
        <w:rPr>
          <w:color w:val="231F20"/>
        </w:rPr>
        <w:t>se </w:t>
      </w:r>
      <w:r>
        <w:rPr>
          <w:color w:val="231F20"/>
          <w:spacing w:val="2"/>
        </w:rPr>
        <w:t>necesitaron más </w:t>
      </w:r>
      <w:r>
        <w:rPr>
          <w:color w:val="231F20"/>
          <w:spacing w:val="3"/>
        </w:rPr>
        <w:t>personas </w:t>
      </w:r>
      <w:r>
        <w:rPr>
          <w:color w:val="231F20"/>
          <w:spacing w:val="2"/>
        </w:rPr>
        <w:t>para </w:t>
      </w:r>
      <w:r>
        <w:rPr>
          <w:color w:val="231F20"/>
        </w:rPr>
        <w:t>la </w:t>
      </w:r>
      <w:r>
        <w:rPr>
          <w:color w:val="231F20"/>
          <w:spacing w:val="2"/>
        </w:rPr>
        <w:t>custodia </w:t>
      </w:r>
      <w:r>
        <w:rPr>
          <w:color w:val="231F20"/>
        </w:rPr>
        <w:t>de </w:t>
      </w:r>
      <w:r>
        <w:rPr>
          <w:color w:val="231F20"/>
          <w:spacing w:val="2"/>
        </w:rPr>
        <w:t>este: </w:t>
      </w:r>
      <w:r>
        <w:rPr>
          <w:color w:val="231F20"/>
        </w:rPr>
        <w:t>se </w:t>
      </w:r>
      <w:r>
        <w:rPr>
          <w:color w:val="231F20"/>
          <w:spacing w:val="2"/>
        </w:rPr>
        <w:t>utilizó </w:t>
      </w:r>
      <w:r>
        <w:rPr>
          <w:color w:val="231F20"/>
        </w:rPr>
        <w:t>al </w:t>
      </w:r>
      <w:r>
        <w:rPr>
          <w:color w:val="231F20"/>
          <w:spacing w:val="2"/>
        </w:rPr>
        <w:t>prisionero </w:t>
      </w:r>
      <w:r>
        <w:rPr>
          <w:color w:val="231F20"/>
        </w:rPr>
        <w:t>de </w:t>
      </w:r>
      <w:r>
        <w:rPr>
          <w:color w:val="231F20"/>
          <w:spacing w:val="2"/>
        </w:rPr>
        <w:t>guerra que, además, </w:t>
      </w:r>
      <w:r>
        <w:rPr>
          <w:color w:val="231F20"/>
        </w:rPr>
        <w:t>se </w:t>
      </w:r>
      <w:r>
        <w:rPr>
          <w:color w:val="231F20"/>
          <w:spacing w:val="2"/>
        </w:rPr>
        <w:t>prestaba para producir una raza, </w:t>
      </w:r>
      <w:r>
        <w:rPr>
          <w:color w:val="231F20"/>
        </w:rPr>
        <w:t>lo </w:t>
      </w:r>
      <w:r>
        <w:rPr>
          <w:color w:val="231F20"/>
          <w:spacing w:val="3"/>
        </w:rPr>
        <w:t>mismo </w:t>
      </w:r>
      <w:r>
        <w:rPr>
          <w:color w:val="231F20"/>
        </w:rPr>
        <w:t>que el </w:t>
      </w:r>
      <w:r>
        <w:rPr>
          <w:color w:val="231F20"/>
          <w:spacing w:val="2"/>
        </w:rPr>
        <w:t>ganado: </w:t>
      </w:r>
      <w:r>
        <w:rPr>
          <w:color w:val="231F20"/>
        </w:rPr>
        <w:t>el </w:t>
      </w:r>
      <w:r>
        <w:rPr>
          <w:color w:val="231F20"/>
          <w:spacing w:val="2"/>
        </w:rPr>
        <w:t>esclavo. Porque </w:t>
      </w:r>
      <w:r>
        <w:rPr>
          <w:color w:val="231F20"/>
          <w:spacing w:val="3"/>
        </w:rPr>
        <w:t>condiciones </w:t>
      </w:r>
      <w:r>
        <w:rPr>
          <w:color w:val="231F20"/>
        </w:rPr>
        <w:t>de </w:t>
      </w:r>
      <w:r>
        <w:rPr>
          <w:color w:val="231F20"/>
          <w:spacing w:val="2"/>
        </w:rPr>
        <w:t>explotación </w:t>
      </w:r>
      <w:r>
        <w:rPr>
          <w:color w:val="231F20"/>
        </w:rPr>
        <w:t>no se </w:t>
      </w:r>
      <w:r>
        <w:rPr>
          <w:color w:val="231F20"/>
          <w:spacing w:val="3"/>
        </w:rPr>
        <w:t>mantienen </w:t>
      </w:r>
      <w:r>
        <w:rPr>
          <w:color w:val="231F20"/>
          <w:spacing w:val="2"/>
        </w:rPr>
        <w:t>por </w:t>
      </w:r>
      <w:r>
        <w:rPr>
          <w:color w:val="231F20"/>
        </w:rPr>
        <w:t>sí </w:t>
      </w:r>
      <w:r>
        <w:rPr>
          <w:color w:val="231F20"/>
          <w:spacing w:val="3"/>
        </w:rPr>
        <w:t>mismas, </w:t>
      </w:r>
      <w:r>
        <w:rPr>
          <w:color w:val="231F20"/>
        </w:rPr>
        <w:t>el </w:t>
      </w:r>
      <w:r>
        <w:rPr>
          <w:color w:val="231F20"/>
          <w:spacing w:val="2"/>
        </w:rPr>
        <w:t>Estado  fue necesario</w:t>
      </w:r>
      <w:r>
        <w:rPr>
          <w:color w:val="231F20"/>
          <w:spacing w:val="-14"/>
        </w:rPr>
        <w:t> </w:t>
      </w:r>
      <w:r>
        <w:rPr>
          <w:color w:val="231F20"/>
          <w:spacing w:val="2"/>
        </w:rPr>
        <w:t>(Engels,</w:t>
      </w:r>
      <w:r>
        <w:rPr>
          <w:color w:val="231F20"/>
          <w:spacing w:val="-14"/>
        </w:rPr>
        <w:t> </w:t>
      </w:r>
      <w:r>
        <w:rPr>
          <w:color w:val="231F20"/>
          <w:spacing w:val="2"/>
        </w:rPr>
        <w:t>1979:</w:t>
      </w:r>
      <w:r>
        <w:rPr>
          <w:color w:val="231F20"/>
          <w:spacing w:val="-14"/>
        </w:rPr>
        <w:t> </w:t>
      </w:r>
      <w:r>
        <w:rPr>
          <w:color w:val="231F20"/>
          <w:spacing w:val="2"/>
        </w:rPr>
        <w:t>65).</w:t>
      </w:r>
    </w:p>
    <w:p>
      <w:pPr>
        <w:pStyle w:val="BodyText"/>
        <w:spacing w:line="249" w:lineRule="auto"/>
        <w:ind w:left="101" w:right="118" w:firstLine="284"/>
        <w:jc w:val="both"/>
      </w:pPr>
      <w:r>
        <w:rPr>
          <w:color w:val="231F20"/>
          <w:spacing w:val="2"/>
        </w:rPr>
        <w:t>De </w:t>
      </w:r>
      <w:r>
        <w:rPr>
          <w:color w:val="231F20"/>
        </w:rPr>
        <w:t>tal </w:t>
      </w:r>
      <w:r>
        <w:rPr>
          <w:color w:val="231F20"/>
          <w:spacing w:val="2"/>
        </w:rPr>
        <w:t>suerte, </w:t>
      </w:r>
      <w:r>
        <w:rPr>
          <w:color w:val="231F20"/>
        </w:rPr>
        <w:t>un haz de </w:t>
      </w:r>
      <w:r>
        <w:rPr>
          <w:color w:val="231F20"/>
          <w:spacing w:val="3"/>
        </w:rPr>
        <w:t>procesos </w:t>
      </w:r>
      <w:r>
        <w:rPr>
          <w:color w:val="231F20"/>
          <w:spacing w:val="2"/>
        </w:rPr>
        <w:t>tecnológicos, </w:t>
      </w:r>
      <w:r>
        <w:rPr>
          <w:color w:val="231F20"/>
          <w:spacing w:val="3"/>
        </w:rPr>
        <w:t>económicos, </w:t>
      </w:r>
      <w:r>
        <w:rPr>
          <w:color w:val="231F20"/>
          <w:spacing w:val="2"/>
        </w:rPr>
        <w:t>históricos, políticos </w:t>
      </w:r>
      <w:r>
        <w:rPr>
          <w:color w:val="231F20"/>
        </w:rPr>
        <w:t>y </w:t>
      </w:r>
      <w:r>
        <w:rPr>
          <w:color w:val="231F20"/>
          <w:spacing w:val="2"/>
        </w:rPr>
        <w:t>culturales coincidieron </w:t>
      </w:r>
      <w:r>
        <w:rPr>
          <w:color w:val="231F20"/>
        </w:rPr>
        <w:t>y se </w:t>
      </w:r>
      <w:r>
        <w:rPr>
          <w:color w:val="231F20"/>
          <w:spacing w:val="3"/>
        </w:rPr>
        <w:t>apoyaron </w:t>
      </w:r>
      <w:r>
        <w:rPr>
          <w:color w:val="231F20"/>
          <w:spacing w:val="2"/>
        </w:rPr>
        <w:t>mutua  </w:t>
      </w:r>
      <w:r>
        <w:rPr>
          <w:color w:val="231F20"/>
        </w:rPr>
        <w:t>e </w:t>
      </w:r>
      <w:r>
        <w:rPr>
          <w:color w:val="231F20"/>
          <w:spacing w:val="3"/>
        </w:rPr>
        <w:t>intrínsecamente: </w:t>
      </w:r>
      <w:r>
        <w:rPr>
          <w:color w:val="231F20"/>
          <w:spacing w:val="2"/>
        </w:rPr>
        <w:t>excedentes </w:t>
      </w:r>
      <w:r>
        <w:rPr>
          <w:color w:val="231F20"/>
        </w:rPr>
        <w:t>de </w:t>
      </w:r>
      <w:r>
        <w:rPr>
          <w:color w:val="231F20"/>
          <w:spacing w:val="3"/>
        </w:rPr>
        <w:t>producción, </w:t>
      </w:r>
      <w:r>
        <w:rPr>
          <w:color w:val="231F20"/>
          <w:spacing w:val="2"/>
        </w:rPr>
        <w:t>“familia” </w:t>
      </w:r>
      <w:r>
        <w:rPr>
          <w:color w:val="231F20"/>
          <w:spacing w:val="3"/>
        </w:rPr>
        <w:t>monogámica, </w:t>
      </w:r>
      <w:r>
        <w:rPr>
          <w:color w:val="231F20"/>
          <w:spacing w:val="2"/>
        </w:rPr>
        <w:t>“propiedad privada” </w:t>
      </w:r>
      <w:r>
        <w:rPr>
          <w:color w:val="231F20"/>
        </w:rPr>
        <w:t>(de la </w:t>
      </w:r>
      <w:r>
        <w:rPr>
          <w:color w:val="231F20"/>
          <w:spacing w:val="2"/>
        </w:rPr>
        <w:t>mujer por </w:t>
      </w:r>
      <w:r>
        <w:rPr>
          <w:color w:val="231F20"/>
        </w:rPr>
        <w:t>el </w:t>
      </w:r>
      <w:r>
        <w:rPr>
          <w:color w:val="231F20"/>
          <w:spacing w:val="3"/>
        </w:rPr>
        <w:t>hombre, </w:t>
      </w:r>
      <w:r>
        <w:rPr>
          <w:color w:val="231F20"/>
        </w:rPr>
        <w:t>del </w:t>
      </w:r>
      <w:r>
        <w:rPr>
          <w:color w:val="231F20"/>
          <w:spacing w:val="2"/>
        </w:rPr>
        <w:t>producto </w:t>
      </w:r>
      <w:r>
        <w:rPr>
          <w:color w:val="231F20"/>
        </w:rPr>
        <w:t>del </w:t>
      </w:r>
      <w:r>
        <w:rPr>
          <w:color w:val="231F20"/>
          <w:spacing w:val="2"/>
        </w:rPr>
        <w:t>trabajo social </w:t>
      </w:r>
      <w:r>
        <w:rPr>
          <w:color w:val="231F20"/>
        </w:rPr>
        <w:t>y de </w:t>
      </w:r>
      <w:r>
        <w:rPr>
          <w:color w:val="231F20"/>
          <w:spacing w:val="3"/>
        </w:rPr>
        <w:t>hombres </w:t>
      </w:r>
      <w:r>
        <w:rPr>
          <w:color w:val="231F20"/>
        </w:rPr>
        <w:t>y </w:t>
      </w:r>
      <w:r>
        <w:rPr>
          <w:color w:val="231F20"/>
          <w:spacing w:val="2"/>
        </w:rPr>
        <w:t>mujeres esclavos </w:t>
      </w:r>
      <w:r>
        <w:rPr>
          <w:color w:val="231F20"/>
        </w:rPr>
        <w:t>en </w:t>
      </w:r>
      <w:r>
        <w:rPr>
          <w:color w:val="231F20"/>
          <w:spacing w:val="2"/>
        </w:rPr>
        <w:t>manos </w:t>
      </w:r>
      <w:r>
        <w:rPr>
          <w:color w:val="231F20"/>
        </w:rPr>
        <w:t>de </w:t>
      </w:r>
      <w:r>
        <w:rPr>
          <w:color w:val="231F20"/>
          <w:spacing w:val="2"/>
        </w:rPr>
        <w:t>hombres poseedores </w:t>
      </w:r>
      <w:r>
        <w:rPr>
          <w:color w:val="231F20"/>
        </w:rPr>
        <w:t>de </w:t>
      </w:r>
      <w:r>
        <w:rPr>
          <w:color w:val="231F20"/>
          <w:spacing w:val="2"/>
        </w:rPr>
        <w:t>esclavos) </w:t>
      </w:r>
      <w:r>
        <w:rPr>
          <w:color w:val="231F20"/>
        </w:rPr>
        <w:t>y el </w:t>
      </w:r>
      <w:r>
        <w:rPr>
          <w:color w:val="231F20"/>
          <w:spacing w:val="3"/>
        </w:rPr>
        <w:t>“Estado”. </w:t>
      </w:r>
      <w:r>
        <w:rPr>
          <w:color w:val="231F20"/>
        </w:rPr>
        <w:t>La </w:t>
      </w:r>
      <w:r>
        <w:rPr>
          <w:color w:val="231F20"/>
          <w:spacing w:val="2"/>
        </w:rPr>
        <w:t>violencia para </w:t>
      </w:r>
      <w:r>
        <w:rPr>
          <w:color w:val="231F20"/>
        </w:rPr>
        <w:t>el </w:t>
      </w:r>
      <w:r>
        <w:rPr>
          <w:color w:val="231F20"/>
          <w:spacing w:val="2"/>
        </w:rPr>
        <w:t>tránsito </w:t>
      </w:r>
      <w:r>
        <w:rPr>
          <w:color w:val="231F20"/>
        </w:rPr>
        <w:t>de </w:t>
      </w:r>
      <w:r>
        <w:rPr>
          <w:color w:val="231F20"/>
          <w:spacing w:val="2"/>
        </w:rPr>
        <w:t>una </w:t>
      </w:r>
      <w:r>
        <w:rPr>
          <w:color w:val="231F20"/>
          <w:spacing w:val="3"/>
        </w:rPr>
        <w:t>forma </w:t>
      </w:r>
      <w:r>
        <w:rPr>
          <w:color w:val="231F20"/>
        </w:rPr>
        <w:t>de </w:t>
      </w:r>
      <w:r>
        <w:rPr>
          <w:color w:val="231F20"/>
          <w:spacing w:val="2"/>
        </w:rPr>
        <w:t>organización social, </w:t>
      </w:r>
      <w:r>
        <w:rPr>
          <w:color w:val="231F20"/>
          <w:spacing w:val="3"/>
        </w:rPr>
        <w:t>comunismo </w:t>
      </w:r>
      <w:r>
        <w:rPr>
          <w:color w:val="231F20"/>
          <w:spacing w:val="2"/>
        </w:rPr>
        <w:t>primitivo, </w:t>
      </w:r>
      <w:r>
        <w:rPr>
          <w:color w:val="231F20"/>
        </w:rPr>
        <w:t>a </w:t>
      </w:r>
      <w:r>
        <w:rPr>
          <w:color w:val="231F20"/>
          <w:spacing w:val="2"/>
        </w:rPr>
        <w:t>otro </w:t>
      </w:r>
      <w:r>
        <w:rPr>
          <w:color w:val="231F20"/>
        </w:rPr>
        <w:t>en </w:t>
      </w:r>
      <w:r>
        <w:rPr>
          <w:color w:val="231F20"/>
          <w:spacing w:val="2"/>
        </w:rPr>
        <w:t>que privó  </w:t>
      </w:r>
      <w:r>
        <w:rPr>
          <w:color w:val="231F20"/>
        </w:rPr>
        <w:t>la  </w:t>
      </w:r>
      <w:r>
        <w:rPr>
          <w:color w:val="231F20"/>
          <w:spacing w:val="3"/>
        </w:rPr>
        <w:t>propiedad </w:t>
      </w:r>
      <w:r>
        <w:rPr>
          <w:color w:val="231F20"/>
          <w:spacing w:val="2"/>
        </w:rPr>
        <w:t>privada </w:t>
      </w:r>
      <w:r>
        <w:rPr>
          <w:color w:val="231F20"/>
        </w:rPr>
        <w:t>fue </w:t>
      </w:r>
      <w:r>
        <w:rPr>
          <w:color w:val="231F20"/>
          <w:spacing w:val="2"/>
        </w:rPr>
        <w:t>necesaria, </w:t>
      </w:r>
      <w:r>
        <w:rPr>
          <w:color w:val="231F20"/>
        </w:rPr>
        <w:t>no </w:t>
      </w:r>
      <w:r>
        <w:rPr>
          <w:color w:val="231F20"/>
          <w:spacing w:val="2"/>
        </w:rPr>
        <w:t>accidental. </w:t>
      </w:r>
      <w:r>
        <w:rPr>
          <w:color w:val="231F20"/>
        </w:rPr>
        <w:t>La </w:t>
      </w:r>
      <w:r>
        <w:rPr>
          <w:color w:val="231F20"/>
          <w:spacing w:val="2"/>
        </w:rPr>
        <w:t>violencia </w:t>
      </w:r>
      <w:r>
        <w:rPr>
          <w:color w:val="231F20"/>
          <w:spacing w:val="3"/>
        </w:rPr>
        <w:t>acompañó </w:t>
      </w:r>
      <w:r>
        <w:rPr>
          <w:color w:val="231F20"/>
        </w:rPr>
        <w:t>al </w:t>
      </w:r>
      <w:r>
        <w:rPr>
          <w:color w:val="231F20"/>
          <w:spacing w:val="2"/>
        </w:rPr>
        <w:t>origen </w:t>
      </w:r>
      <w:r>
        <w:rPr>
          <w:color w:val="231F20"/>
        </w:rPr>
        <w:t>de </w:t>
      </w:r>
      <w:r>
        <w:rPr>
          <w:color w:val="231F20"/>
          <w:spacing w:val="2"/>
        </w:rPr>
        <w:t>instituciones, por </w:t>
      </w:r>
      <w:r>
        <w:rPr>
          <w:color w:val="231F20"/>
          <w:spacing w:val="3"/>
        </w:rPr>
        <w:t>muchos consideradas </w:t>
      </w:r>
      <w:r>
        <w:rPr>
          <w:color w:val="231F20"/>
          <w:spacing w:val="2"/>
        </w:rPr>
        <w:t>sagradas, </w:t>
      </w:r>
      <w:r>
        <w:rPr>
          <w:color w:val="231F20"/>
        </w:rPr>
        <w:t>el </w:t>
      </w:r>
      <w:r>
        <w:rPr>
          <w:color w:val="231F20"/>
          <w:spacing w:val="3"/>
        </w:rPr>
        <w:t>Estado, </w:t>
      </w:r>
      <w:r>
        <w:rPr>
          <w:color w:val="231F20"/>
        </w:rPr>
        <w:t>la </w:t>
      </w:r>
      <w:r>
        <w:rPr>
          <w:color w:val="231F20"/>
          <w:spacing w:val="2"/>
        </w:rPr>
        <w:t>familia </w:t>
      </w:r>
      <w:r>
        <w:rPr>
          <w:color w:val="231F20"/>
        </w:rPr>
        <w:t>y la</w:t>
      </w:r>
      <w:r>
        <w:rPr>
          <w:color w:val="231F20"/>
          <w:spacing w:val="-36"/>
        </w:rPr>
        <w:t> </w:t>
      </w:r>
      <w:r>
        <w:rPr>
          <w:color w:val="231F20"/>
          <w:spacing w:val="3"/>
        </w:rPr>
        <w:t>propiedad.</w:t>
      </w:r>
    </w:p>
    <w:p>
      <w:pPr>
        <w:pStyle w:val="BodyText"/>
        <w:spacing w:line="249" w:lineRule="auto"/>
        <w:ind w:left="101" w:right="114" w:firstLine="284"/>
        <w:jc w:val="both"/>
      </w:pPr>
      <w:r>
        <w:rPr>
          <w:color w:val="231F20"/>
        </w:rPr>
        <w:t>De acuerdo a Marx el Estado tiene varias formas de comprenderse: una forma propia e independiente, separada de los reales intereses particulares y colectivos y, al mismo tiempo, como una comunidad ilusoria, pero siempre sobre la base real de los vínculos</w:t>
      </w:r>
      <w:r>
        <w:rPr>
          <w:color w:val="231F20"/>
          <w:spacing w:val="-6"/>
        </w:rPr>
        <w:t> </w:t>
      </w:r>
      <w:r>
        <w:rPr>
          <w:color w:val="231F20"/>
        </w:rPr>
        <w:t>existentes,</w:t>
      </w:r>
      <w:r>
        <w:rPr>
          <w:color w:val="231F20"/>
          <w:spacing w:val="-6"/>
        </w:rPr>
        <w:t> </w:t>
      </w:r>
      <w:r>
        <w:rPr>
          <w:color w:val="231F20"/>
        </w:rPr>
        <w:t>específicamente</w:t>
      </w:r>
      <w:r>
        <w:rPr>
          <w:color w:val="231F20"/>
          <w:spacing w:val="-6"/>
        </w:rPr>
        <w:t> </w:t>
      </w:r>
      <w:r>
        <w:rPr>
          <w:color w:val="231F20"/>
        </w:rPr>
        <w:t>sobre</w:t>
      </w:r>
      <w:r>
        <w:rPr>
          <w:color w:val="231F20"/>
          <w:spacing w:val="-6"/>
        </w:rPr>
        <w:t> </w:t>
      </w:r>
      <w:r>
        <w:rPr>
          <w:color w:val="231F20"/>
        </w:rPr>
        <w:t>los</w:t>
      </w:r>
      <w:r>
        <w:rPr>
          <w:color w:val="231F20"/>
          <w:spacing w:val="-6"/>
        </w:rPr>
        <w:t> </w:t>
      </w:r>
      <w:r>
        <w:rPr>
          <w:color w:val="231F20"/>
        </w:rPr>
        <w:t>nexos</w:t>
      </w:r>
      <w:r>
        <w:rPr>
          <w:color w:val="231F20"/>
          <w:spacing w:val="-6"/>
        </w:rPr>
        <w:t> </w:t>
      </w:r>
      <w:r>
        <w:rPr>
          <w:color w:val="231F20"/>
        </w:rPr>
        <w:t>entre</w:t>
      </w:r>
      <w:r>
        <w:rPr>
          <w:color w:val="231F20"/>
          <w:spacing w:val="-6"/>
        </w:rPr>
        <w:t> </w:t>
      </w:r>
      <w:r>
        <w:rPr>
          <w:color w:val="231F20"/>
        </w:rPr>
        <w:t>la</w:t>
      </w:r>
      <w:r>
        <w:rPr>
          <w:color w:val="231F20"/>
          <w:spacing w:val="-6"/>
        </w:rPr>
        <w:t> </w:t>
      </w:r>
      <w:r>
        <w:rPr>
          <w:color w:val="231F20"/>
        </w:rPr>
        <w:t>división del trabajo y la forma de propiedad privada (Marx, 1979: 35). El Estado</w:t>
      </w:r>
      <w:r>
        <w:rPr>
          <w:color w:val="231F20"/>
          <w:spacing w:val="-8"/>
        </w:rPr>
        <w:t> </w:t>
      </w:r>
      <w:r>
        <w:rPr>
          <w:color w:val="231F20"/>
        </w:rPr>
        <w:t>es</w:t>
      </w:r>
      <w:r>
        <w:rPr>
          <w:color w:val="231F20"/>
          <w:spacing w:val="-9"/>
        </w:rPr>
        <w:t> </w:t>
      </w:r>
      <w:r>
        <w:rPr>
          <w:color w:val="231F20"/>
        </w:rPr>
        <w:t>independiente</w:t>
      </w:r>
      <w:r>
        <w:rPr>
          <w:color w:val="231F20"/>
          <w:spacing w:val="-8"/>
        </w:rPr>
        <w:t> </w:t>
      </w:r>
      <w:r>
        <w:rPr>
          <w:color w:val="231F20"/>
        </w:rPr>
        <w:t>porque</w:t>
      </w:r>
      <w:r>
        <w:rPr>
          <w:color w:val="231F20"/>
          <w:spacing w:val="-8"/>
        </w:rPr>
        <w:t> </w:t>
      </w:r>
      <w:r>
        <w:rPr>
          <w:color w:val="231F20"/>
        </w:rPr>
        <w:t>tiene</w:t>
      </w:r>
      <w:r>
        <w:rPr>
          <w:color w:val="231F20"/>
          <w:spacing w:val="-8"/>
        </w:rPr>
        <w:t> </w:t>
      </w:r>
      <w:r>
        <w:rPr>
          <w:color w:val="231F20"/>
        </w:rPr>
        <w:t>cierta</w:t>
      </w:r>
      <w:r>
        <w:rPr>
          <w:color w:val="231F20"/>
          <w:spacing w:val="-8"/>
        </w:rPr>
        <w:t> </w:t>
      </w:r>
      <w:r>
        <w:rPr>
          <w:color w:val="231F20"/>
        </w:rPr>
        <w:t>autonomía</w:t>
      </w:r>
      <w:r>
        <w:rPr>
          <w:color w:val="231F20"/>
          <w:spacing w:val="-8"/>
        </w:rPr>
        <w:t> </w:t>
      </w:r>
      <w:r>
        <w:rPr>
          <w:color w:val="231F20"/>
        </w:rPr>
        <w:t>ante</w:t>
      </w:r>
      <w:r>
        <w:rPr>
          <w:color w:val="231F20"/>
          <w:spacing w:val="-8"/>
        </w:rPr>
        <w:t> </w:t>
      </w:r>
      <w:r>
        <w:rPr>
          <w:color w:val="231F20"/>
        </w:rPr>
        <w:t>las</w:t>
      </w:r>
      <w:r>
        <w:rPr>
          <w:color w:val="231F20"/>
          <w:spacing w:val="-9"/>
        </w:rPr>
        <w:t> </w:t>
      </w:r>
      <w:r>
        <w:rPr>
          <w:color w:val="231F20"/>
        </w:rPr>
        <w:t>clases en pugna. Es ilusoria la comunidad porque oculta la lucha entre las clases sociales, deja entender a la sociedad dividida en clases como una comunidad que trabaja para el beneficio de igualdad. El Estado es la forma bajo la que los individuos de una clase dominante hacen valer sus intereses comunes, es el comité administrador de los asuntos</w:t>
      </w:r>
      <w:r>
        <w:rPr>
          <w:color w:val="231F20"/>
          <w:spacing w:val="-20"/>
        </w:rPr>
        <w:t> </w:t>
      </w:r>
      <w:r>
        <w:rPr>
          <w:color w:val="231F20"/>
        </w:rPr>
        <w:t>de</w:t>
      </w:r>
      <w:r>
        <w:rPr>
          <w:color w:val="231F20"/>
          <w:spacing w:val="-19"/>
        </w:rPr>
        <w:t> </w:t>
      </w:r>
      <w:r>
        <w:rPr>
          <w:color w:val="231F20"/>
        </w:rPr>
        <w:t>la</w:t>
      </w:r>
      <w:r>
        <w:rPr>
          <w:color w:val="231F20"/>
          <w:spacing w:val="-20"/>
        </w:rPr>
        <w:t> </w:t>
      </w:r>
      <w:r>
        <w:rPr>
          <w:color w:val="231F20"/>
        </w:rPr>
        <w:t>clase</w:t>
      </w:r>
      <w:r>
        <w:rPr>
          <w:color w:val="231F20"/>
          <w:spacing w:val="-19"/>
        </w:rPr>
        <w:t> </w:t>
      </w:r>
      <w:r>
        <w:rPr>
          <w:color w:val="231F20"/>
        </w:rPr>
        <w:t>dominante.</w:t>
      </w:r>
      <w:r>
        <w:rPr>
          <w:color w:val="231F20"/>
          <w:spacing w:val="-20"/>
        </w:rPr>
        <w:t> </w:t>
      </w:r>
      <w:r>
        <w:rPr>
          <w:color w:val="231F20"/>
        </w:rPr>
        <w:t>(Marx</w:t>
      </w:r>
      <w:r>
        <w:rPr>
          <w:color w:val="231F20"/>
          <w:spacing w:val="-19"/>
        </w:rPr>
        <w:t> </w:t>
      </w:r>
      <w:r>
        <w:rPr>
          <w:color w:val="231F20"/>
        </w:rPr>
        <w:t>1979:</w:t>
      </w:r>
      <w:r>
        <w:rPr>
          <w:color w:val="231F20"/>
          <w:spacing w:val="-20"/>
        </w:rPr>
        <w:t> </w:t>
      </w:r>
      <w:r>
        <w:rPr>
          <w:color w:val="231F20"/>
        </w:rPr>
        <w:t>72-73)</w:t>
      </w:r>
    </w:p>
    <w:p>
      <w:pPr>
        <w:pStyle w:val="BodyText"/>
        <w:spacing w:line="247" w:lineRule="auto"/>
        <w:ind w:left="101" w:right="118" w:firstLine="284"/>
        <w:jc w:val="both"/>
      </w:pPr>
      <w:r>
        <w:rPr>
          <w:color w:val="231F20"/>
        </w:rPr>
        <w:t>El </w:t>
      </w:r>
      <w:r>
        <w:rPr>
          <w:color w:val="231F20"/>
          <w:spacing w:val="2"/>
        </w:rPr>
        <w:t>Estado hace valer unos intereses sobre otros, sobre </w:t>
      </w:r>
      <w:r>
        <w:rPr>
          <w:color w:val="231F20"/>
        </w:rPr>
        <w:t>la </w:t>
      </w:r>
      <w:r>
        <w:rPr>
          <w:color w:val="231F20"/>
          <w:spacing w:val="2"/>
        </w:rPr>
        <w:t>base  </w:t>
      </w:r>
      <w:r>
        <w:rPr>
          <w:color w:val="231F20"/>
        </w:rPr>
        <w:t>de la </w:t>
      </w:r>
      <w:r>
        <w:rPr>
          <w:color w:val="231F20"/>
          <w:spacing w:val="2"/>
        </w:rPr>
        <w:t>ilusión </w:t>
      </w:r>
      <w:r>
        <w:rPr>
          <w:color w:val="231F20"/>
        </w:rPr>
        <w:t>de </w:t>
      </w:r>
      <w:r>
        <w:rPr>
          <w:color w:val="231F20"/>
          <w:spacing w:val="3"/>
        </w:rPr>
        <w:t>comunidad </w:t>
      </w:r>
      <w:r>
        <w:rPr>
          <w:color w:val="231F20"/>
        </w:rPr>
        <w:t>y el </w:t>
      </w:r>
      <w:r>
        <w:rPr>
          <w:color w:val="231F20"/>
          <w:spacing w:val="2"/>
        </w:rPr>
        <w:t>bien </w:t>
      </w:r>
      <w:r>
        <w:rPr>
          <w:color w:val="231F20"/>
          <w:spacing w:val="3"/>
        </w:rPr>
        <w:t>común (consenso). Además </w:t>
      </w:r>
      <w:r>
        <w:rPr>
          <w:color w:val="231F20"/>
          <w:spacing w:val="2"/>
        </w:rPr>
        <w:t>sobre otra </w:t>
      </w:r>
      <w:r>
        <w:rPr>
          <w:color w:val="231F20"/>
          <w:spacing w:val="3"/>
        </w:rPr>
        <w:t>poderosa </w:t>
      </w:r>
      <w:r>
        <w:rPr>
          <w:color w:val="231F20"/>
          <w:spacing w:val="2"/>
        </w:rPr>
        <w:t>base: </w:t>
      </w:r>
      <w:r>
        <w:rPr>
          <w:color w:val="231F20"/>
        </w:rPr>
        <w:t>el </w:t>
      </w:r>
      <w:r>
        <w:rPr>
          <w:color w:val="231F20"/>
          <w:spacing w:val="3"/>
        </w:rPr>
        <w:t>monopolio </w:t>
      </w:r>
      <w:r>
        <w:rPr>
          <w:color w:val="231F20"/>
          <w:spacing w:val="2"/>
        </w:rPr>
        <w:t>legítimo del </w:t>
      </w:r>
      <w:r>
        <w:rPr>
          <w:color w:val="231F20"/>
        </w:rPr>
        <w:t>uso de la </w:t>
      </w:r>
      <w:r>
        <w:rPr>
          <w:color w:val="231F20"/>
          <w:spacing w:val="2"/>
        </w:rPr>
        <w:t>fuerza. </w:t>
      </w:r>
      <w:r>
        <w:rPr>
          <w:color w:val="231F20"/>
        </w:rPr>
        <w:t>Es </w:t>
      </w:r>
      <w:r>
        <w:rPr>
          <w:color w:val="231F20"/>
          <w:spacing w:val="2"/>
        </w:rPr>
        <w:t>legítimo </w:t>
      </w:r>
      <w:r>
        <w:rPr>
          <w:color w:val="231F20"/>
        </w:rPr>
        <w:t>el </w:t>
      </w:r>
      <w:r>
        <w:rPr>
          <w:color w:val="231F20"/>
          <w:spacing w:val="2"/>
        </w:rPr>
        <w:t>recurso </w:t>
      </w:r>
      <w:r>
        <w:rPr>
          <w:color w:val="231F20"/>
        </w:rPr>
        <w:t>de la </w:t>
      </w:r>
      <w:r>
        <w:rPr>
          <w:color w:val="231F20"/>
          <w:spacing w:val="2"/>
        </w:rPr>
        <w:t>violencia </w:t>
      </w:r>
      <w:r>
        <w:rPr>
          <w:color w:val="231F20"/>
          <w:spacing w:val="3"/>
        </w:rPr>
        <w:t>porque </w:t>
      </w:r>
      <w:r>
        <w:rPr>
          <w:color w:val="231F20"/>
        </w:rPr>
        <w:t>el </w:t>
      </w:r>
      <w:r>
        <w:rPr>
          <w:color w:val="231F20"/>
          <w:spacing w:val="2"/>
        </w:rPr>
        <w:t>Estado también posee </w:t>
      </w:r>
      <w:r>
        <w:rPr>
          <w:color w:val="231F20"/>
        </w:rPr>
        <w:t>el </w:t>
      </w:r>
      <w:r>
        <w:rPr>
          <w:color w:val="231F20"/>
          <w:spacing w:val="3"/>
        </w:rPr>
        <w:t>monopolio </w:t>
      </w:r>
      <w:r>
        <w:rPr>
          <w:color w:val="231F20"/>
        </w:rPr>
        <w:t>de la </w:t>
      </w:r>
      <w:r>
        <w:rPr>
          <w:color w:val="231F20"/>
          <w:spacing w:val="2"/>
        </w:rPr>
        <w:t>dirección </w:t>
      </w:r>
      <w:r>
        <w:rPr>
          <w:color w:val="231F20"/>
        </w:rPr>
        <w:t>de  </w:t>
      </w:r>
      <w:r>
        <w:rPr>
          <w:color w:val="231F20"/>
          <w:spacing w:val="2"/>
        </w:rPr>
        <w:t>los  </w:t>
      </w:r>
      <w:r>
        <w:rPr>
          <w:color w:val="231F20"/>
          <w:spacing w:val="3"/>
        </w:rPr>
        <w:t>conflictos  </w:t>
      </w:r>
      <w:r>
        <w:rPr>
          <w:color w:val="231F20"/>
          <w:spacing w:val="2"/>
        </w:rPr>
        <w:t>entre</w:t>
      </w:r>
      <w:r>
        <w:rPr>
          <w:color w:val="231F20"/>
          <w:spacing w:val="31"/>
        </w:rPr>
        <w:t> </w:t>
      </w:r>
      <w:r>
        <w:rPr>
          <w:color w:val="231F20"/>
          <w:spacing w:val="2"/>
        </w:rPr>
        <w:t>clases,</w:t>
      </w:r>
      <w:r>
        <w:rPr>
          <w:color w:val="231F20"/>
          <w:spacing w:val="30"/>
        </w:rPr>
        <w:t> </w:t>
      </w:r>
      <w:r>
        <w:rPr>
          <w:color w:val="231F20"/>
          <w:spacing w:val="2"/>
        </w:rPr>
        <w:t>entre</w:t>
      </w:r>
      <w:r>
        <w:rPr>
          <w:color w:val="231F20"/>
          <w:spacing w:val="31"/>
        </w:rPr>
        <w:t> </w:t>
      </w:r>
      <w:r>
        <w:rPr>
          <w:color w:val="231F20"/>
          <w:spacing w:val="2"/>
        </w:rPr>
        <w:t>individuos</w:t>
      </w:r>
      <w:r>
        <w:rPr>
          <w:color w:val="231F20"/>
          <w:spacing w:val="30"/>
        </w:rPr>
        <w:t> </w:t>
      </w:r>
      <w:r>
        <w:rPr>
          <w:color w:val="231F20"/>
        </w:rPr>
        <w:t>y</w:t>
      </w:r>
      <w:r>
        <w:rPr>
          <w:color w:val="231F20"/>
          <w:spacing w:val="31"/>
        </w:rPr>
        <w:t> </w:t>
      </w:r>
      <w:r>
        <w:rPr>
          <w:color w:val="231F20"/>
          <w:spacing w:val="3"/>
        </w:rPr>
        <w:t>grupos:</w:t>
      </w:r>
      <w:r>
        <w:rPr>
          <w:color w:val="231F20"/>
          <w:spacing w:val="30"/>
        </w:rPr>
        <w:t> </w:t>
      </w:r>
      <w:r>
        <w:rPr>
          <w:color w:val="231F20"/>
        </w:rPr>
        <w:t>el</w:t>
      </w:r>
      <w:r>
        <w:rPr>
          <w:color w:val="231F20"/>
          <w:spacing w:val="30"/>
        </w:rPr>
        <w:t> </w:t>
      </w:r>
      <w:r>
        <w:rPr>
          <w:color w:val="231F20"/>
          <w:spacing w:val="3"/>
        </w:rPr>
        <w:t>derecho.</w:t>
      </w:r>
      <w:r>
        <w:rPr>
          <w:color w:val="231F20"/>
          <w:spacing w:val="30"/>
        </w:rPr>
        <w:t> </w:t>
      </w:r>
      <w:r>
        <w:rPr>
          <w:color w:val="231F20"/>
        </w:rPr>
        <w:t>El</w:t>
      </w:r>
      <w:r>
        <w:rPr>
          <w:color w:val="231F20"/>
          <w:spacing w:val="30"/>
        </w:rPr>
        <w:t> </w:t>
      </w:r>
      <w:r>
        <w:rPr>
          <w:color w:val="231F20"/>
          <w:spacing w:val="3"/>
        </w:rPr>
        <w:t>poder</w:t>
      </w:r>
      <w:r>
        <w:rPr>
          <w:color w:val="231F20"/>
          <w:spacing w:val="30"/>
        </w:rPr>
        <w:t> </w:t>
      </w:r>
      <w:r>
        <w:rPr>
          <w:color w:val="231F20"/>
          <w:spacing w:val="2"/>
        </w:rPr>
        <w:t>del</w:t>
      </w:r>
    </w:p>
    <w:p>
      <w:pPr>
        <w:spacing w:after="0" w:line="247" w:lineRule="auto"/>
        <w:jc w:val="both"/>
        <w:sectPr>
          <w:headerReference w:type="default" r:id="rId343"/>
          <w:footerReference w:type="default" r:id="rId344"/>
          <w:pgSz w:w="7830" w:h="11910"/>
          <w:pgMar w:header="0" w:footer="424" w:top="500" w:bottom="620" w:left="920" w:right="900"/>
          <w:pgNumType w:start="15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8"/>
        <w:jc w:val="both"/>
      </w:pPr>
      <w:r>
        <w:rPr>
          <w:color w:val="231F20"/>
        </w:rPr>
        <w:t>Estado es racional, de acuerdo a Weber, al apoyarse en la </w:t>
      </w:r>
      <w:r>
        <w:rPr>
          <w:i/>
          <w:color w:val="231F20"/>
        </w:rPr>
        <w:t>creencia </w:t>
      </w:r>
      <w:r>
        <w:rPr>
          <w:color w:val="231F20"/>
        </w:rPr>
        <w:t>de la legalidad de los ordenamientos establecidos o del derecho de aquellos que han sido llamados a ejercer el poder (Weber en Bobbio, 1991: 543). La violencia está en el seno mismo de la legalidad: se impone como una </w:t>
      </w:r>
      <w:r>
        <w:rPr>
          <w:i/>
          <w:color w:val="231F20"/>
        </w:rPr>
        <w:t>creencia</w:t>
      </w:r>
      <w:r>
        <w:rPr>
          <w:color w:val="231F20"/>
        </w:rPr>
        <w:t>, como algo benéfico para todos los integrantes de una sociedad.</w:t>
      </w:r>
    </w:p>
    <w:p>
      <w:pPr>
        <w:pStyle w:val="BodyText"/>
        <w:spacing w:line="247" w:lineRule="auto"/>
        <w:ind w:left="102" w:right="119" w:firstLine="284"/>
        <w:jc w:val="both"/>
      </w:pPr>
      <w:r>
        <w:rPr>
          <w:color w:val="231F20"/>
        </w:rPr>
        <w:t>La violencia también está inmersa en la moral porque domina las conciencias a través de creencias acerca de qué es lo bueno y lo indeseable y reprochable. Es necesario comprender a la moral de una época como parte del proyecto que una clase social difunde para dirigir a todas las clases en el terreno moral, como en el intelectual y, en general, cultural.</w:t>
      </w:r>
    </w:p>
    <w:p>
      <w:pPr>
        <w:pStyle w:val="BodyText"/>
        <w:spacing w:line="249" w:lineRule="auto" w:before="1"/>
        <w:ind w:left="102" w:right="113" w:firstLine="284"/>
        <w:jc w:val="both"/>
      </w:pPr>
      <w:r>
        <w:rPr>
          <w:color w:val="231F20"/>
        </w:rPr>
        <w:t>La </w:t>
      </w:r>
      <w:r>
        <w:rPr>
          <w:color w:val="231F20"/>
          <w:spacing w:val="2"/>
        </w:rPr>
        <w:t>moral </w:t>
      </w:r>
      <w:r>
        <w:rPr>
          <w:color w:val="231F20"/>
        </w:rPr>
        <w:t>de un </w:t>
      </w:r>
      <w:r>
        <w:rPr>
          <w:color w:val="231F20"/>
          <w:spacing w:val="2"/>
        </w:rPr>
        <w:t>lugar </w:t>
      </w:r>
      <w:r>
        <w:rPr>
          <w:color w:val="231F20"/>
        </w:rPr>
        <w:t>y </w:t>
      </w:r>
      <w:r>
        <w:rPr>
          <w:color w:val="231F20"/>
          <w:spacing w:val="3"/>
        </w:rPr>
        <w:t>momento, </w:t>
      </w:r>
      <w:r>
        <w:rPr>
          <w:color w:val="231F20"/>
        </w:rPr>
        <w:t>por </w:t>
      </w:r>
      <w:r>
        <w:rPr>
          <w:color w:val="231F20"/>
          <w:spacing w:val="2"/>
        </w:rPr>
        <w:t>ejemplo, </w:t>
      </w:r>
      <w:r>
        <w:rPr>
          <w:color w:val="231F20"/>
        </w:rPr>
        <w:t>la de </w:t>
      </w:r>
      <w:r>
        <w:rPr>
          <w:color w:val="231F20"/>
          <w:spacing w:val="2"/>
        </w:rPr>
        <w:t>Inglaterra llamada </w:t>
      </w:r>
      <w:r>
        <w:rPr>
          <w:color w:val="231F20"/>
          <w:spacing w:val="3"/>
        </w:rPr>
        <w:t>moral </w:t>
      </w:r>
      <w:r>
        <w:rPr>
          <w:color w:val="231F20"/>
          <w:spacing w:val="2"/>
        </w:rPr>
        <w:t>victoriana. Esta está </w:t>
      </w:r>
      <w:r>
        <w:rPr>
          <w:color w:val="231F20"/>
          <w:spacing w:val="3"/>
        </w:rPr>
        <w:t>correlacionada </w:t>
      </w:r>
      <w:r>
        <w:rPr>
          <w:color w:val="231F20"/>
          <w:spacing w:val="2"/>
        </w:rPr>
        <w:t>con  </w:t>
      </w:r>
      <w:r>
        <w:rPr>
          <w:color w:val="231F20"/>
        </w:rPr>
        <w:t>la  </w:t>
      </w:r>
      <w:r>
        <w:rPr>
          <w:color w:val="231F20"/>
          <w:spacing w:val="3"/>
        </w:rPr>
        <w:t>forma </w:t>
      </w:r>
      <w:r>
        <w:rPr>
          <w:color w:val="231F20"/>
          <w:spacing w:val="2"/>
        </w:rPr>
        <w:t>del proyecto </w:t>
      </w:r>
      <w:r>
        <w:rPr>
          <w:color w:val="231F20"/>
          <w:spacing w:val="3"/>
        </w:rPr>
        <w:t>hegemónico </w:t>
      </w:r>
      <w:r>
        <w:rPr>
          <w:color w:val="231F20"/>
        </w:rPr>
        <w:t>del </w:t>
      </w:r>
      <w:r>
        <w:rPr>
          <w:color w:val="231F20"/>
          <w:spacing w:val="2"/>
        </w:rPr>
        <w:t>período </w:t>
      </w:r>
      <w:r>
        <w:rPr>
          <w:color w:val="231F20"/>
        </w:rPr>
        <w:t>de </w:t>
      </w:r>
      <w:r>
        <w:rPr>
          <w:color w:val="231F20"/>
          <w:spacing w:val="2"/>
        </w:rPr>
        <w:t>prosperidad material </w:t>
      </w:r>
      <w:r>
        <w:rPr>
          <w:color w:val="231F20"/>
        </w:rPr>
        <w:t>de    la </w:t>
      </w:r>
      <w:r>
        <w:rPr>
          <w:color w:val="231F20"/>
          <w:spacing w:val="2"/>
        </w:rPr>
        <w:t>burguesía </w:t>
      </w:r>
      <w:r>
        <w:rPr>
          <w:color w:val="231F20"/>
          <w:spacing w:val="3"/>
        </w:rPr>
        <w:t>encabezada </w:t>
      </w:r>
      <w:r>
        <w:rPr>
          <w:color w:val="231F20"/>
          <w:spacing w:val="2"/>
        </w:rPr>
        <w:t>por </w:t>
      </w:r>
      <w:r>
        <w:rPr>
          <w:color w:val="231F20"/>
        </w:rPr>
        <w:t>la </w:t>
      </w:r>
      <w:r>
        <w:rPr>
          <w:color w:val="231F20"/>
          <w:spacing w:val="2"/>
        </w:rPr>
        <w:t>reina Victoria (1819-1901). </w:t>
      </w:r>
      <w:r>
        <w:rPr>
          <w:color w:val="231F20"/>
        </w:rPr>
        <w:t>Ella </w:t>
      </w:r>
      <w:r>
        <w:rPr>
          <w:color w:val="231F20"/>
          <w:spacing w:val="2"/>
        </w:rPr>
        <w:t>reinó durante </w:t>
      </w:r>
      <w:r>
        <w:rPr>
          <w:color w:val="231F20"/>
        </w:rPr>
        <w:t>63 </w:t>
      </w:r>
      <w:r>
        <w:rPr>
          <w:color w:val="231F20"/>
          <w:spacing w:val="2"/>
        </w:rPr>
        <w:t>años, durante </w:t>
      </w:r>
      <w:r>
        <w:rPr>
          <w:color w:val="231F20"/>
        </w:rPr>
        <w:t>el </w:t>
      </w:r>
      <w:r>
        <w:rPr>
          <w:color w:val="231F20"/>
          <w:spacing w:val="3"/>
        </w:rPr>
        <w:t>surgimiento </w:t>
      </w:r>
      <w:r>
        <w:rPr>
          <w:color w:val="231F20"/>
        </w:rPr>
        <w:t>y </w:t>
      </w:r>
      <w:r>
        <w:rPr>
          <w:color w:val="231F20"/>
          <w:spacing w:val="3"/>
        </w:rPr>
        <w:t>consolidación </w:t>
      </w:r>
      <w:r>
        <w:rPr>
          <w:color w:val="231F20"/>
          <w:spacing w:val="4"/>
        </w:rPr>
        <w:t>de   </w:t>
      </w:r>
      <w:r>
        <w:rPr>
          <w:color w:val="231F20"/>
        </w:rPr>
        <w:t>la </w:t>
      </w:r>
      <w:r>
        <w:rPr>
          <w:color w:val="231F20"/>
          <w:spacing w:val="2"/>
        </w:rPr>
        <w:t>Revolución Industrial </w:t>
      </w:r>
      <w:r>
        <w:rPr>
          <w:color w:val="231F20"/>
        </w:rPr>
        <w:t>y </w:t>
      </w:r>
      <w:r>
        <w:rPr>
          <w:color w:val="231F20"/>
          <w:spacing w:val="2"/>
        </w:rPr>
        <w:t>del Imperio Británico. </w:t>
      </w:r>
      <w:r>
        <w:rPr>
          <w:color w:val="231F20"/>
          <w:spacing w:val="3"/>
        </w:rPr>
        <w:t>Como </w:t>
      </w:r>
      <w:r>
        <w:rPr>
          <w:color w:val="231F20"/>
          <w:spacing w:val="4"/>
        </w:rPr>
        <w:t>una </w:t>
      </w:r>
      <w:r>
        <w:rPr>
          <w:color w:val="231F20"/>
          <w:spacing w:val="3"/>
        </w:rPr>
        <w:t>muestra </w:t>
      </w:r>
      <w:r>
        <w:rPr>
          <w:color w:val="231F20"/>
        </w:rPr>
        <w:t>de lo </w:t>
      </w:r>
      <w:r>
        <w:rPr>
          <w:color w:val="231F20"/>
          <w:spacing w:val="2"/>
        </w:rPr>
        <w:t>ilusorio </w:t>
      </w:r>
      <w:r>
        <w:rPr>
          <w:color w:val="231F20"/>
        </w:rPr>
        <w:t>de la </w:t>
      </w:r>
      <w:r>
        <w:rPr>
          <w:color w:val="231F20"/>
          <w:spacing w:val="2"/>
        </w:rPr>
        <w:t>moral, </w:t>
      </w:r>
      <w:r>
        <w:rPr>
          <w:color w:val="231F20"/>
          <w:spacing w:val="3"/>
        </w:rPr>
        <w:t>como </w:t>
      </w:r>
      <w:r>
        <w:rPr>
          <w:color w:val="231F20"/>
        </w:rPr>
        <w:t>del </w:t>
      </w:r>
      <w:r>
        <w:rPr>
          <w:color w:val="231F20"/>
          <w:spacing w:val="2"/>
        </w:rPr>
        <w:t>Estado </w:t>
      </w:r>
      <w:r>
        <w:rPr>
          <w:color w:val="231F20"/>
        </w:rPr>
        <w:t>en  su  </w:t>
      </w:r>
      <w:r>
        <w:rPr>
          <w:color w:val="231F20"/>
          <w:spacing w:val="3"/>
        </w:rPr>
        <w:t>conjunto, </w:t>
      </w:r>
      <w:r>
        <w:rPr>
          <w:color w:val="231F20"/>
          <w:spacing w:val="2"/>
        </w:rPr>
        <w:t>baste recordar que </w:t>
      </w:r>
      <w:r>
        <w:rPr>
          <w:color w:val="231F20"/>
        </w:rPr>
        <w:t>la </w:t>
      </w:r>
      <w:r>
        <w:rPr>
          <w:color w:val="231F20"/>
          <w:spacing w:val="2"/>
        </w:rPr>
        <w:t>estricta </w:t>
      </w:r>
      <w:r>
        <w:rPr>
          <w:color w:val="231F20"/>
          <w:spacing w:val="3"/>
        </w:rPr>
        <w:t>moral </w:t>
      </w:r>
      <w:r>
        <w:rPr>
          <w:color w:val="231F20"/>
          <w:spacing w:val="2"/>
        </w:rPr>
        <w:t>victoriana </w:t>
      </w:r>
      <w:r>
        <w:rPr>
          <w:color w:val="231F20"/>
        </w:rPr>
        <w:t>en el </w:t>
      </w:r>
      <w:r>
        <w:rPr>
          <w:color w:val="231F20"/>
          <w:spacing w:val="2"/>
        </w:rPr>
        <w:t>terreno sexual, fue </w:t>
      </w:r>
      <w:r>
        <w:rPr>
          <w:color w:val="231F20"/>
        </w:rPr>
        <w:t>de la </w:t>
      </w:r>
      <w:r>
        <w:rPr>
          <w:color w:val="231F20"/>
          <w:spacing w:val="3"/>
        </w:rPr>
        <w:t>mano </w:t>
      </w:r>
      <w:r>
        <w:rPr>
          <w:color w:val="231F20"/>
          <w:spacing w:val="2"/>
        </w:rPr>
        <w:t>con </w:t>
      </w:r>
      <w:r>
        <w:rPr>
          <w:color w:val="231F20"/>
        </w:rPr>
        <w:t>el </w:t>
      </w:r>
      <w:r>
        <w:rPr>
          <w:color w:val="231F20"/>
          <w:spacing w:val="2"/>
        </w:rPr>
        <w:t>adulterio </w:t>
      </w:r>
      <w:r>
        <w:rPr>
          <w:color w:val="231F20"/>
        </w:rPr>
        <w:t>y la </w:t>
      </w:r>
      <w:r>
        <w:rPr>
          <w:color w:val="231F20"/>
          <w:spacing w:val="3"/>
        </w:rPr>
        <w:t>prostitución, </w:t>
      </w:r>
      <w:r>
        <w:rPr>
          <w:color w:val="231F20"/>
          <w:spacing w:val="2"/>
        </w:rPr>
        <w:t>por ejemplo. </w:t>
      </w:r>
      <w:r>
        <w:rPr>
          <w:color w:val="231F20"/>
        </w:rPr>
        <w:t>A ese </w:t>
      </w:r>
      <w:r>
        <w:rPr>
          <w:color w:val="231F20"/>
          <w:spacing w:val="2"/>
        </w:rPr>
        <w:t>período </w:t>
      </w:r>
      <w:r>
        <w:rPr>
          <w:color w:val="231F20"/>
        </w:rPr>
        <w:t>se le </w:t>
      </w:r>
      <w:r>
        <w:rPr>
          <w:color w:val="231F20"/>
          <w:spacing w:val="2"/>
        </w:rPr>
        <w:t>llama también </w:t>
      </w:r>
      <w:r>
        <w:rPr>
          <w:color w:val="231F20"/>
        </w:rPr>
        <w:t>de la </w:t>
      </w:r>
      <w:r>
        <w:rPr>
          <w:color w:val="231F20"/>
          <w:spacing w:val="2"/>
        </w:rPr>
        <w:t>doble moral. </w:t>
      </w:r>
      <w:r>
        <w:rPr>
          <w:color w:val="231F20"/>
        </w:rPr>
        <w:t>La </w:t>
      </w:r>
      <w:r>
        <w:rPr>
          <w:color w:val="231F20"/>
          <w:spacing w:val="2"/>
        </w:rPr>
        <w:t>moral, </w:t>
      </w:r>
      <w:r>
        <w:rPr>
          <w:color w:val="231F20"/>
        </w:rPr>
        <w:t>en </w:t>
      </w:r>
      <w:r>
        <w:rPr>
          <w:color w:val="231F20"/>
          <w:spacing w:val="2"/>
        </w:rPr>
        <w:t>otro sentido, </w:t>
      </w:r>
      <w:r>
        <w:rPr>
          <w:color w:val="231F20"/>
        </w:rPr>
        <w:t>no es </w:t>
      </w:r>
      <w:r>
        <w:rPr>
          <w:color w:val="231F20"/>
          <w:spacing w:val="2"/>
        </w:rPr>
        <w:t>ilusoria: </w:t>
      </w:r>
      <w:r>
        <w:rPr>
          <w:color w:val="231F20"/>
          <w:spacing w:val="3"/>
        </w:rPr>
        <w:t>impone </w:t>
      </w:r>
      <w:r>
        <w:rPr>
          <w:color w:val="231F20"/>
        </w:rPr>
        <w:t>el </w:t>
      </w:r>
      <w:r>
        <w:rPr>
          <w:color w:val="231F20"/>
          <w:spacing w:val="2"/>
        </w:rPr>
        <w:t>rechazo social   </w:t>
      </w:r>
      <w:r>
        <w:rPr>
          <w:color w:val="231F20"/>
        </w:rPr>
        <w:t>y la </w:t>
      </w:r>
      <w:r>
        <w:rPr>
          <w:color w:val="231F20"/>
          <w:spacing w:val="3"/>
        </w:rPr>
        <w:t>condena </w:t>
      </w:r>
      <w:r>
        <w:rPr>
          <w:color w:val="231F20"/>
        </w:rPr>
        <w:t>a </w:t>
      </w:r>
      <w:r>
        <w:rPr>
          <w:color w:val="231F20"/>
          <w:spacing w:val="2"/>
        </w:rPr>
        <w:t>quien </w:t>
      </w:r>
      <w:r>
        <w:rPr>
          <w:color w:val="231F20"/>
        </w:rPr>
        <w:t>no </w:t>
      </w:r>
      <w:r>
        <w:rPr>
          <w:color w:val="231F20"/>
          <w:spacing w:val="2"/>
        </w:rPr>
        <w:t>sigue sus</w:t>
      </w:r>
      <w:r>
        <w:rPr>
          <w:color w:val="231F20"/>
          <w:spacing w:val="15"/>
        </w:rPr>
        <w:t> </w:t>
      </w:r>
      <w:r>
        <w:rPr>
          <w:color w:val="231F20"/>
          <w:spacing w:val="2"/>
        </w:rPr>
        <w:t>dictados.</w:t>
      </w:r>
    </w:p>
    <w:p>
      <w:pPr>
        <w:pStyle w:val="BodyText"/>
        <w:spacing w:line="249" w:lineRule="auto"/>
        <w:ind w:left="102" w:right="113" w:firstLine="284"/>
        <w:jc w:val="both"/>
      </w:pPr>
      <w:r>
        <w:rPr>
          <w:color w:val="231F20"/>
        </w:rPr>
        <w:t>El </w:t>
      </w:r>
      <w:r>
        <w:rPr>
          <w:color w:val="231F20"/>
          <w:spacing w:val="2"/>
        </w:rPr>
        <w:t>individuo, grupo </w:t>
      </w:r>
      <w:r>
        <w:rPr>
          <w:color w:val="231F20"/>
        </w:rPr>
        <w:t>o </w:t>
      </w:r>
      <w:r>
        <w:rPr>
          <w:color w:val="231F20"/>
          <w:spacing w:val="2"/>
        </w:rPr>
        <w:t>clase social </w:t>
      </w:r>
      <w:r>
        <w:rPr>
          <w:color w:val="231F20"/>
        </w:rPr>
        <w:t>que </w:t>
      </w:r>
      <w:r>
        <w:rPr>
          <w:color w:val="231F20"/>
          <w:spacing w:val="2"/>
        </w:rPr>
        <w:t>recurre </w:t>
      </w:r>
      <w:r>
        <w:rPr>
          <w:color w:val="231F20"/>
        </w:rPr>
        <w:t>a la </w:t>
      </w:r>
      <w:r>
        <w:rPr>
          <w:color w:val="231F20"/>
          <w:spacing w:val="2"/>
        </w:rPr>
        <w:t>violencia, </w:t>
      </w:r>
      <w:r>
        <w:rPr>
          <w:color w:val="231F20"/>
        </w:rPr>
        <w:t>a </w:t>
      </w:r>
      <w:r>
        <w:rPr>
          <w:color w:val="231F20"/>
          <w:spacing w:val="2"/>
        </w:rPr>
        <w:t>actos violentos, </w:t>
      </w:r>
      <w:r>
        <w:rPr>
          <w:color w:val="231F20"/>
        </w:rPr>
        <w:t>lo </w:t>
      </w:r>
      <w:r>
        <w:rPr>
          <w:color w:val="231F20"/>
          <w:spacing w:val="2"/>
        </w:rPr>
        <w:t>hace para </w:t>
      </w:r>
      <w:r>
        <w:rPr>
          <w:color w:val="231F20"/>
          <w:spacing w:val="3"/>
        </w:rPr>
        <w:t>formar </w:t>
      </w:r>
      <w:r>
        <w:rPr>
          <w:color w:val="231F20"/>
        </w:rPr>
        <w:t>la </w:t>
      </w:r>
      <w:r>
        <w:rPr>
          <w:color w:val="231F20"/>
          <w:spacing w:val="2"/>
        </w:rPr>
        <w:t>conciencia individual, grupal </w:t>
      </w:r>
      <w:r>
        <w:rPr>
          <w:color w:val="231F20"/>
        </w:rPr>
        <w:t>o de </w:t>
      </w:r>
      <w:r>
        <w:rPr>
          <w:color w:val="231F20"/>
          <w:spacing w:val="2"/>
        </w:rPr>
        <w:t>clase dentro </w:t>
      </w:r>
      <w:r>
        <w:rPr>
          <w:color w:val="231F20"/>
        </w:rPr>
        <w:t>de </w:t>
      </w:r>
      <w:r>
        <w:rPr>
          <w:color w:val="231F20"/>
          <w:spacing w:val="2"/>
        </w:rPr>
        <w:t>ciertos límites </w:t>
      </w:r>
      <w:r>
        <w:rPr>
          <w:color w:val="231F20"/>
        </w:rPr>
        <w:t>y </w:t>
      </w:r>
      <w:r>
        <w:rPr>
          <w:color w:val="231F20"/>
          <w:spacing w:val="2"/>
        </w:rPr>
        <w:t>características, </w:t>
      </w:r>
      <w:r>
        <w:rPr>
          <w:color w:val="231F20"/>
        </w:rPr>
        <w:t>lo </w:t>
      </w:r>
      <w:r>
        <w:rPr>
          <w:color w:val="231F20"/>
          <w:spacing w:val="3"/>
        </w:rPr>
        <w:t>hace </w:t>
      </w:r>
      <w:r>
        <w:rPr>
          <w:color w:val="231F20"/>
          <w:spacing w:val="2"/>
        </w:rPr>
        <w:t>para establecer </w:t>
      </w:r>
      <w:r>
        <w:rPr>
          <w:color w:val="231F20"/>
        </w:rPr>
        <w:t>la </w:t>
      </w:r>
      <w:r>
        <w:rPr>
          <w:color w:val="231F20"/>
          <w:spacing w:val="2"/>
        </w:rPr>
        <w:t>identidad: </w:t>
      </w:r>
      <w:r>
        <w:rPr>
          <w:color w:val="231F20"/>
        </w:rPr>
        <w:t>lo </w:t>
      </w:r>
      <w:r>
        <w:rPr>
          <w:color w:val="231F20"/>
          <w:spacing w:val="2"/>
        </w:rPr>
        <w:t>deseable </w:t>
      </w:r>
      <w:r>
        <w:rPr>
          <w:color w:val="231F20"/>
        </w:rPr>
        <w:t>y lo </w:t>
      </w:r>
      <w:r>
        <w:rPr>
          <w:color w:val="231F20"/>
          <w:spacing w:val="2"/>
        </w:rPr>
        <w:t>reprensible. </w:t>
      </w:r>
      <w:r>
        <w:rPr>
          <w:color w:val="231F20"/>
        </w:rPr>
        <w:t>Si </w:t>
      </w:r>
      <w:r>
        <w:rPr>
          <w:color w:val="231F20"/>
          <w:spacing w:val="2"/>
        </w:rPr>
        <w:t>antes  </w:t>
      </w:r>
      <w:r>
        <w:rPr>
          <w:color w:val="231F20"/>
        </w:rPr>
        <w:t>se </w:t>
      </w:r>
      <w:r>
        <w:rPr>
          <w:color w:val="231F20"/>
          <w:spacing w:val="2"/>
        </w:rPr>
        <w:t>afirmó </w:t>
      </w:r>
      <w:r>
        <w:rPr>
          <w:color w:val="231F20"/>
        </w:rPr>
        <w:t>que la </w:t>
      </w:r>
      <w:r>
        <w:rPr>
          <w:color w:val="231F20"/>
          <w:spacing w:val="2"/>
        </w:rPr>
        <w:t>violencia </w:t>
      </w:r>
      <w:r>
        <w:rPr>
          <w:color w:val="231F20"/>
        </w:rPr>
        <w:t>no es algo </w:t>
      </w:r>
      <w:r>
        <w:rPr>
          <w:color w:val="231F20"/>
          <w:spacing w:val="2"/>
        </w:rPr>
        <w:t>accidental, sino </w:t>
      </w:r>
      <w:r>
        <w:rPr>
          <w:color w:val="231F20"/>
        </w:rPr>
        <w:t>que el </w:t>
      </w:r>
      <w:r>
        <w:rPr>
          <w:color w:val="231F20"/>
          <w:spacing w:val="3"/>
        </w:rPr>
        <w:t>poder </w:t>
      </w:r>
      <w:r>
        <w:rPr>
          <w:color w:val="231F20"/>
          <w:spacing w:val="2"/>
        </w:rPr>
        <w:t>político, </w:t>
      </w:r>
      <w:r>
        <w:rPr>
          <w:color w:val="231F20"/>
        </w:rPr>
        <w:t>el </w:t>
      </w:r>
      <w:r>
        <w:rPr>
          <w:color w:val="231F20"/>
          <w:spacing w:val="2"/>
        </w:rPr>
        <w:t>Estado, siempre </w:t>
      </w:r>
      <w:r>
        <w:rPr>
          <w:color w:val="231F20"/>
        </w:rPr>
        <w:t>se </w:t>
      </w:r>
      <w:r>
        <w:rPr>
          <w:color w:val="231F20"/>
          <w:spacing w:val="2"/>
        </w:rPr>
        <w:t>basa </w:t>
      </w:r>
      <w:r>
        <w:rPr>
          <w:color w:val="231F20"/>
        </w:rPr>
        <w:t>en </w:t>
      </w:r>
      <w:r>
        <w:rPr>
          <w:color w:val="231F20"/>
          <w:spacing w:val="2"/>
        </w:rPr>
        <w:t>parte </w:t>
      </w:r>
      <w:r>
        <w:rPr>
          <w:color w:val="231F20"/>
        </w:rPr>
        <w:t>en la </w:t>
      </w:r>
      <w:r>
        <w:rPr>
          <w:color w:val="231F20"/>
          <w:spacing w:val="2"/>
        </w:rPr>
        <w:t>violencia </w:t>
      </w:r>
      <w:r>
        <w:rPr>
          <w:color w:val="231F20"/>
        </w:rPr>
        <w:t>y en </w:t>
      </w:r>
      <w:r>
        <w:rPr>
          <w:color w:val="231F20"/>
          <w:spacing w:val="2"/>
        </w:rPr>
        <w:t>parte </w:t>
      </w:r>
      <w:r>
        <w:rPr>
          <w:color w:val="231F20"/>
        </w:rPr>
        <w:t>en el </w:t>
      </w:r>
      <w:r>
        <w:rPr>
          <w:color w:val="231F20"/>
          <w:spacing w:val="3"/>
        </w:rPr>
        <w:t>consenso, </w:t>
      </w:r>
      <w:r>
        <w:rPr>
          <w:color w:val="231F20"/>
          <w:spacing w:val="2"/>
        </w:rPr>
        <w:t>ahora </w:t>
      </w:r>
      <w:r>
        <w:rPr>
          <w:color w:val="231F20"/>
        </w:rPr>
        <w:t>es </w:t>
      </w:r>
      <w:r>
        <w:rPr>
          <w:color w:val="231F20"/>
          <w:spacing w:val="2"/>
        </w:rPr>
        <w:t>necesario hacer </w:t>
      </w:r>
      <w:r>
        <w:rPr>
          <w:color w:val="231F20"/>
        </w:rPr>
        <w:t>a un lado la </w:t>
      </w:r>
      <w:r>
        <w:rPr>
          <w:color w:val="231F20"/>
          <w:spacing w:val="3"/>
        </w:rPr>
        <w:t>sobre- </w:t>
      </w:r>
      <w:r>
        <w:rPr>
          <w:color w:val="231F20"/>
          <w:spacing w:val="2"/>
        </w:rPr>
        <w:t>exaltación </w:t>
      </w:r>
      <w:r>
        <w:rPr>
          <w:color w:val="231F20"/>
        </w:rPr>
        <w:t>de la </w:t>
      </w:r>
      <w:r>
        <w:rPr>
          <w:color w:val="231F20"/>
          <w:spacing w:val="2"/>
        </w:rPr>
        <w:t>violencia: constituye </w:t>
      </w:r>
      <w:r>
        <w:rPr>
          <w:color w:val="231F20"/>
        </w:rPr>
        <w:t>un </w:t>
      </w:r>
      <w:r>
        <w:rPr>
          <w:color w:val="231F20"/>
          <w:spacing w:val="2"/>
        </w:rPr>
        <w:t>acto creativo, que tiene por </w:t>
      </w:r>
      <w:r>
        <w:rPr>
          <w:color w:val="231F20"/>
        </w:rPr>
        <w:t>sí </w:t>
      </w:r>
      <w:r>
        <w:rPr>
          <w:color w:val="231F20"/>
          <w:spacing w:val="3"/>
        </w:rPr>
        <w:t>misma </w:t>
      </w:r>
      <w:r>
        <w:rPr>
          <w:color w:val="231F20"/>
        </w:rPr>
        <w:t>la </w:t>
      </w:r>
      <w:r>
        <w:rPr>
          <w:color w:val="231F20"/>
          <w:spacing w:val="2"/>
        </w:rPr>
        <w:t>capacidad </w:t>
      </w:r>
      <w:r>
        <w:rPr>
          <w:color w:val="231F20"/>
        </w:rPr>
        <w:t>de </w:t>
      </w:r>
      <w:r>
        <w:rPr>
          <w:color w:val="231F20"/>
          <w:spacing w:val="2"/>
        </w:rPr>
        <w:t>renovar </w:t>
      </w:r>
      <w:r>
        <w:rPr>
          <w:color w:val="231F20"/>
        </w:rPr>
        <w:t>la </w:t>
      </w:r>
      <w:r>
        <w:rPr>
          <w:color w:val="231F20"/>
          <w:spacing w:val="2"/>
        </w:rPr>
        <w:t>sociedad </w:t>
      </w:r>
      <w:r>
        <w:rPr>
          <w:color w:val="231F20"/>
          <w:spacing w:val="3"/>
        </w:rPr>
        <w:t>(Bobbio, </w:t>
      </w:r>
      <w:r>
        <w:rPr>
          <w:color w:val="231F20"/>
          <w:spacing w:val="2"/>
        </w:rPr>
        <w:t>1991: 1631). No debe exaltarse </w:t>
      </w:r>
      <w:r>
        <w:rPr>
          <w:color w:val="231F20"/>
        </w:rPr>
        <w:t>en </w:t>
      </w:r>
      <w:r>
        <w:rPr>
          <w:color w:val="231F20"/>
          <w:spacing w:val="2"/>
        </w:rPr>
        <w:t>demasía </w:t>
      </w:r>
      <w:r>
        <w:rPr>
          <w:color w:val="231F20"/>
        </w:rPr>
        <w:t>la </w:t>
      </w:r>
      <w:r>
        <w:rPr>
          <w:color w:val="231F20"/>
          <w:spacing w:val="2"/>
        </w:rPr>
        <w:t>violencia porque </w:t>
      </w:r>
      <w:r>
        <w:rPr>
          <w:color w:val="231F20"/>
        </w:rPr>
        <w:t>ella, </w:t>
      </w:r>
      <w:r>
        <w:rPr>
          <w:color w:val="231F20"/>
          <w:spacing w:val="2"/>
        </w:rPr>
        <w:t>por  </w:t>
      </w:r>
      <w:r>
        <w:rPr>
          <w:color w:val="231F20"/>
        </w:rPr>
        <w:t>sí </w:t>
      </w:r>
      <w:r>
        <w:rPr>
          <w:color w:val="231F20"/>
          <w:spacing w:val="3"/>
        </w:rPr>
        <w:t>misma </w:t>
      </w:r>
      <w:r>
        <w:rPr>
          <w:color w:val="231F20"/>
        </w:rPr>
        <w:t>y </w:t>
      </w:r>
      <w:r>
        <w:rPr>
          <w:color w:val="231F20"/>
          <w:spacing w:val="2"/>
        </w:rPr>
        <w:t>con </w:t>
      </w:r>
      <w:r>
        <w:rPr>
          <w:color w:val="231F20"/>
        </w:rPr>
        <w:t>su </w:t>
      </w:r>
      <w:r>
        <w:rPr>
          <w:color w:val="231F20"/>
          <w:spacing w:val="2"/>
        </w:rPr>
        <w:t>única acción </w:t>
      </w:r>
      <w:r>
        <w:rPr>
          <w:color w:val="231F20"/>
        </w:rPr>
        <w:t>no </w:t>
      </w:r>
      <w:r>
        <w:rPr>
          <w:color w:val="231F20"/>
          <w:spacing w:val="2"/>
        </w:rPr>
        <w:t>constituye </w:t>
      </w:r>
      <w:r>
        <w:rPr>
          <w:color w:val="231F20"/>
        </w:rPr>
        <w:t>el </w:t>
      </w:r>
      <w:r>
        <w:rPr>
          <w:color w:val="231F20"/>
          <w:spacing w:val="3"/>
        </w:rPr>
        <w:t>motor </w:t>
      </w:r>
      <w:r>
        <w:rPr>
          <w:color w:val="231F20"/>
        </w:rPr>
        <w:t>de </w:t>
      </w:r>
      <w:r>
        <w:rPr>
          <w:color w:val="231F20"/>
          <w:spacing w:val="2"/>
        </w:rPr>
        <w:t>todo </w:t>
      </w:r>
      <w:r>
        <w:rPr>
          <w:color w:val="231F20"/>
          <w:spacing w:val="3"/>
        </w:rPr>
        <w:t>cambio. </w:t>
      </w:r>
      <w:r>
        <w:rPr>
          <w:color w:val="231F20"/>
        </w:rPr>
        <w:t>Se </w:t>
      </w:r>
      <w:r>
        <w:rPr>
          <w:color w:val="231F20"/>
          <w:spacing w:val="2"/>
        </w:rPr>
        <w:t>requiere, </w:t>
      </w:r>
      <w:r>
        <w:rPr>
          <w:color w:val="231F20"/>
          <w:spacing w:val="3"/>
        </w:rPr>
        <w:t>también, </w:t>
      </w:r>
      <w:r>
        <w:rPr>
          <w:color w:val="231F20"/>
          <w:spacing w:val="2"/>
        </w:rPr>
        <w:t>del</w:t>
      </w:r>
      <w:r>
        <w:rPr>
          <w:color w:val="231F20"/>
          <w:spacing w:val="-10"/>
        </w:rPr>
        <w:t> </w:t>
      </w:r>
      <w:r>
        <w:rPr>
          <w:color w:val="231F20"/>
          <w:spacing w:val="3"/>
        </w:rPr>
        <w:t>consenso.</w:t>
      </w:r>
    </w:p>
    <w:p>
      <w:pPr>
        <w:pStyle w:val="BodyText"/>
        <w:spacing w:line="247" w:lineRule="auto"/>
        <w:ind w:left="102" w:right="119" w:firstLine="284"/>
        <w:jc w:val="both"/>
      </w:pPr>
      <w:r>
        <w:rPr>
          <w:color w:val="231F20"/>
        </w:rPr>
        <w:t>Benjamin (1999: 119-123) se preguntó, ¿es en general posible una regulación no violenta de los conflictos?,su respuesta fue contundente: sin  duda. Argumentó su  respuesta mostrando  cómo</w:t>
      </w:r>
    </w:p>
    <w:p>
      <w:pPr>
        <w:spacing w:after="0" w:line="247" w:lineRule="auto"/>
        <w:jc w:val="both"/>
        <w:sectPr>
          <w:headerReference w:type="default" r:id="rId345"/>
          <w:footerReference w:type="default" r:id="rId346"/>
          <w:pgSz w:w="7830" w:h="11910"/>
          <w:pgMar w:header="0" w:footer="424" w:top="500" w:bottom="620" w:left="920" w:right="900"/>
          <w:pgNumType w:start="16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5"/>
        <w:jc w:val="both"/>
      </w:pPr>
      <w:r>
        <w:rPr>
          <w:color w:val="231F20"/>
        </w:rPr>
        <w:t>el </w:t>
      </w:r>
      <w:r>
        <w:rPr>
          <w:color w:val="231F20"/>
          <w:spacing w:val="2"/>
        </w:rPr>
        <w:t>acuerdo </w:t>
      </w:r>
      <w:r>
        <w:rPr>
          <w:color w:val="231F20"/>
        </w:rPr>
        <w:t>no </w:t>
      </w:r>
      <w:r>
        <w:rPr>
          <w:color w:val="231F20"/>
          <w:spacing w:val="2"/>
        </w:rPr>
        <w:t>violento surge </w:t>
      </w:r>
      <w:r>
        <w:rPr>
          <w:color w:val="231F20"/>
          <w:spacing w:val="3"/>
        </w:rPr>
        <w:t>donde </w:t>
      </w:r>
      <w:r>
        <w:rPr>
          <w:color w:val="231F20"/>
          <w:spacing w:val="2"/>
        </w:rPr>
        <w:t>quiera que cierta cultura </w:t>
      </w:r>
      <w:r>
        <w:rPr>
          <w:color w:val="231F20"/>
        </w:rPr>
        <w:t>de </w:t>
      </w:r>
      <w:r>
        <w:rPr>
          <w:color w:val="231F20"/>
          <w:spacing w:val="2"/>
        </w:rPr>
        <w:t>los </w:t>
      </w:r>
      <w:r>
        <w:rPr>
          <w:color w:val="231F20"/>
          <w:spacing w:val="3"/>
        </w:rPr>
        <w:t>sentimientos ponga </w:t>
      </w:r>
      <w:r>
        <w:rPr>
          <w:color w:val="231F20"/>
        </w:rPr>
        <w:t>a </w:t>
      </w:r>
      <w:r>
        <w:rPr>
          <w:color w:val="231F20"/>
          <w:spacing w:val="2"/>
        </w:rPr>
        <w:t>disposición </w:t>
      </w:r>
      <w:r>
        <w:rPr>
          <w:color w:val="231F20"/>
        </w:rPr>
        <w:t>de </w:t>
      </w:r>
      <w:r>
        <w:rPr>
          <w:color w:val="231F20"/>
          <w:spacing w:val="2"/>
        </w:rPr>
        <w:t>los </w:t>
      </w:r>
      <w:r>
        <w:rPr>
          <w:color w:val="231F20"/>
          <w:spacing w:val="3"/>
        </w:rPr>
        <w:t>hombres medios </w:t>
      </w:r>
      <w:r>
        <w:rPr>
          <w:color w:val="231F20"/>
          <w:spacing w:val="2"/>
        </w:rPr>
        <w:t>puros </w:t>
      </w:r>
      <w:r>
        <w:rPr>
          <w:color w:val="231F20"/>
          <w:spacing w:val="4"/>
        </w:rPr>
        <w:t>de </w:t>
      </w:r>
      <w:r>
        <w:rPr>
          <w:color w:val="231F20"/>
          <w:spacing w:val="3"/>
        </w:rPr>
        <w:t>entendimiento, </w:t>
      </w:r>
      <w:r>
        <w:rPr>
          <w:color w:val="231F20"/>
          <w:spacing w:val="2"/>
        </w:rPr>
        <w:t>los </w:t>
      </w:r>
      <w:r>
        <w:rPr>
          <w:color w:val="231F20"/>
          <w:spacing w:val="3"/>
        </w:rPr>
        <w:t>medios </w:t>
      </w:r>
      <w:r>
        <w:rPr>
          <w:color w:val="231F20"/>
          <w:spacing w:val="2"/>
        </w:rPr>
        <w:t>legales </w:t>
      </w:r>
      <w:r>
        <w:rPr>
          <w:color w:val="231F20"/>
        </w:rPr>
        <w:t>e </w:t>
      </w:r>
      <w:r>
        <w:rPr>
          <w:color w:val="231F20"/>
          <w:spacing w:val="2"/>
        </w:rPr>
        <w:t>ilegales que son siempre violentos, señaló </w:t>
      </w:r>
      <w:r>
        <w:rPr>
          <w:color w:val="231F20"/>
          <w:spacing w:val="3"/>
        </w:rPr>
        <w:t>Benjamin. </w:t>
      </w:r>
      <w:r>
        <w:rPr>
          <w:color w:val="231F20"/>
        </w:rPr>
        <w:t>Es lícito </w:t>
      </w:r>
      <w:r>
        <w:rPr>
          <w:color w:val="231F20"/>
          <w:spacing w:val="3"/>
        </w:rPr>
        <w:t>oponer </w:t>
      </w:r>
      <w:r>
        <w:rPr>
          <w:color w:val="231F20"/>
          <w:spacing w:val="2"/>
        </w:rPr>
        <w:t>medios </w:t>
      </w:r>
      <w:r>
        <w:rPr>
          <w:color w:val="231F20"/>
        </w:rPr>
        <w:t>no </w:t>
      </w:r>
      <w:r>
        <w:rPr>
          <w:color w:val="231F20"/>
          <w:spacing w:val="2"/>
        </w:rPr>
        <w:t>violentos: delicadeza, simpatía, </w:t>
      </w:r>
      <w:r>
        <w:rPr>
          <w:color w:val="231F20"/>
          <w:spacing w:val="3"/>
        </w:rPr>
        <w:t>amor </w:t>
      </w:r>
      <w:r>
        <w:rPr>
          <w:color w:val="231F20"/>
        </w:rPr>
        <w:t>a la </w:t>
      </w:r>
      <w:r>
        <w:rPr>
          <w:color w:val="231F20"/>
          <w:spacing w:val="2"/>
        </w:rPr>
        <w:t>paz, confianza </w:t>
      </w:r>
      <w:r>
        <w:rPr>
          <w:color w:val="231F20"/>
        </w:rPr>
        <w:t>y </w:t>
      </w:r>
      <w:r>
        <w:rPr>
          <w:color w:val="231F20"/>
          <w:spacing w:val="2"/>
        </w:rPr>
        <w:t>aquello que </w:t>
      </w:r>
      <w:r>
        <w:rPr>
          <w:color w:val="231F20"/>
        </w:rPr>
        <w:t>se </w:t>
      </w:r>
      <w:r>
        <w:rPr>
          <w:color w:val="231F20"/>
          <w:spacing w:val="2"/>
        </w:rPr>
        <w:t>añadiría </w:t>
      </w:r>
      <w:r>
        <w:rPr>
          <w:color w:val="231F20"/>
        </w:rPr>
        <w:t>a </w:t>
      </w:r>
      <w:r>
        <w:rPr>
          <w:color w:val="231F20"/>
          <w:spacing w:val="2"/>
        </w:rPr>
        <w:t>esta naturaleza altruista; estos </w:t>
      </w:r>
      <w:r>
        <w:rPr>
          <w:color w:val="231F20"/>
          <w:spacing w:val="3"/>
        </w:rPr>
        <w:t>sentimientos </w:t>
      </w:r>
      <w:r>
        <w:rPr>
          <w:color w:val="231F20"/>
          <w:spacing w:val="2"/>
        </w:rPr>
        <w:t>constituyen </w:t>
      </w:r>
      <w:r>
        <w:rPr>
          <w:color w:val="231F20"/>
        </w:rPr>
        <w:t>su </w:t>
      </w:r>
      <w:r>
        <w:rPr>
          <w:color w:val="231F20"/>
          <w:spacing w:val="3"/>
        </w:rPr>
        <w:t>fundamento </w:t>
      </w:r>
      <w:r>
        <w:rPr>
          <w:color w:val="231F20"/>
          <w:spacing w:val="2"/>
        </w:rPr>
        <w:t>subjetivo, </w:t>
      </w:r>
      <w:r>
        <w:rPr>
          <w:color w:val="231F20"/>
        </w:rPr>
        <w:t>su </w:t>
      </w:r>
      <w:r>
        <w:rPr>
          <w:color w:val="231F20"/>
          <w:spacing w:val="2"/>
        </w:rPr>
        <w:t>manifestación objetiva está </w:t>
      </w:r>
      <w:r>
        <w:rPr>
          <w:color w:val="231F20"/>
          <w:spacing w:val="3"/>
        </w:rPr>
        <w:t>determinada </w:t>
      </w:r>
      <w:r>
        <w:rPr>
          <w:color w:val="231F20"/>
          <w:spacing w:val="2"/>
        </w:rPr>
        <w:t>por </w:t>
      </w:r>
      <w:r>
        <w:rPr>
          <w:color w:val="231F20"/>
        </w:rPr>
        <w:t>la ley </w:t>
      </w:r>
      <w:r>
        <w:rPr>
          <w:color w:val="231F20"/>
          <w:spacing w:val="3"/>
        </w:rPr>
        <w:t>(Benjamin, </w:t>
      </w:r>
      <w:r>
        <w:rPr>
          <w:color w:val="231F20"/>
          <w:spacing w:val="2"/>
        </w:rPr>
        <w:t>1999: 119-123). Una fuente </w:t>
      </w:r>
      <w:r>
        <w:rPr>
          <w:color w:val="231F20"/>
        </w:rPr>
        <w:t>de ella, </w:t>
      </w:r>
      <w:r>
        <w:rPr>
          <w:color w:val="231F20"/>
          <w:spacing w:val="2"/>
        </w:rPr>
        <w:t>añadió </w:t>
      </w:r>
      <w:r>
        <w:rPr>
          <w:color w:val="231F20"/>
          <w:spacing w:val="3"/>
        </w:rPr>
        <w:t>Benjamin, </w:t>
      </w:r>
      <w:r>
        <w:rPr>
          <w:color w:val="231F20"/>
        </w:rPr>
        <w:t>es el </w:t>
      </w:r>
      <w:r>
        <w:rPr>
          <w:color w:val="231F20"/>
          <w:spacing w:val="3"/>
        </w:rPr>
        <w:t>temor </w:t>
      </w:r>
      <w:r>
        <w:rPr>
          <w:color w:val="231F20"/>
        </w:rPr>
        <w:t>a ella y la </w:t>
      </w:r>
      <w:r>
        <w:rPr>
          <w:color w:val="231F20"/>
          <w:spacing w:val="2"/>
        </w:rPr>
        <w:t>falta </w:t>
      </w:r>
      <w:r>
        <w:rPr>
          <w:color w:val="231F20"/>
        </w:rPr>
        <w:t>de </w:t>
      </w:r>
      <w:r>
        <w:rPr>
          <w:color w:val="231F20"/>
          <w:spacing w:val="2"/>
        </w:rPr>
        <w:t>confianza </w:t>
      </w:r>
      <w:r>
        <w:rPr>
          <w:color w:val="231F20"/>
        </w:rPr>
        <w:t>en  sí </w:t>
      </w:r>
      <w:r>
        <w:rPr>
          <w:color w:val="231F20"/>
          <w:spacing w:val="3"/>
        </w:rPr>
        <w:t>mismo. Otros sentimientos </w:t>
      </w:r>
      <w:r>
        <w:rPr>
          <w:color w:val="231F20"/>
          <w:spacing w:val="2"/>
        </w:rPr>
        <w:t>que, usualmente, </w:t>
      </w:r>
      <w:r>
        <w:rPr>
          <w:color w:val="231F20"/>
          <w:spacing w:val="3"/>
        </w:rPr>
        <w:t>engendran </w:t>
      </w:r>
      <w:r>
        <w:rPr>
          <w:color w:val="231F20"/>
        </w:rPr>
        <w:t>la </w:t>
      </w:r>
      <w:r>
        <w:rPr>
          <w:color w:val="231F20"/>
          <w:spacing w:val="2"/>
        </w:rPr>
        <w:t>violencia </w:t>
      </w:r>
      <w:r>
        <w:rPr>
          <w:color w:val="231F20"/>
        </w:rPr>
        <w:t>son </w:t>
      </w:r>
      <w:r>
        <w:rPr>
          <w:color w:val="231F20"/>
          <w:spacing w:val="3"/>
        </w:rPr>
        <w:t>egoísmo, </w:t>
      </w:r>
      <w:r>
        <w:rPr>
          <w:color w:val="231F20"/>
          <w:spacing w:val="2"/>
        </w:rPr>
        <w:t>vanidad, deseo </w:t>
      </w:r>
      <w:r>
        <w:rPr>
          <w:color w:val="231F20"/>
        </w:rPr>
        <w:t>de </w:t>
      </w:r>
      <w:r>
        <w:rPr>
          <w:color w:val="231F20"/>
          <w:spacing w:val="2"/>
        </w:rPr>
        <w:t>gloria, vileza </w:t>
      </w:r>
      <w:r>
        <w:rPr>
          <w:color w:val="231F20"/>
        </w:rPr>
        <w:t>y </w:t>
      </w:r>
      <w:r>
        <w:rPr>
          <w:color w:val="231F20"/>
          <w:spacing w:val="2"/>
        </w:rPr>
        <w:t>envidia </w:t>
      </w:r>
      <w:r>
        <w:rPr>
          <w:color w:val="231F20"/>
          <w:spacing w:val="3"/>
        </w:rPr>
        <w:t>(Hobbes, 1987). </w:t>
      </w:r>
      <w:r>
        <w:rPr>
          <w:color w:val="231F20"/>
          <w:spacing w:val="2"/>
        </w:rPr>
        <w:t>Esa fuente genera </w:t>
      </w:r>
      <w:r>
        <w:rPr>
          <w:color w:val="231F20"/>
        </w:rPr>
        <w:t>al </w:t>
      </w:r>
      <w:r>
        <w:rPr>
          <w:color w:val="231F20"/>
          <w:spacing w:val="2"/>
        </w:rPr>
        <w:t>derecho. No propicia </w:t>
      </w:r>
      <w:r>
        <w:rPr>
          <w:color w:val="231F20"/>
        </w:rPr>
        <w:t>la </w:t>
      </w:r>
      <w:r>
        <w:rPr>
          <w:color w:val="231F20"/>
          <w:spacing w:val="2"/>
        </w:rPr>
        <w:t>violencia develar </w:t>
      </w:r>
      <w:r>
        <w:rPr>
          <w:color w:val="231F20"/>
        </w:rPr>
        <w:t>la </w:t>
      </w:r>
      <w:r>
        <w:rPr>
          <w:color w:val="231F20"/>
          <w:spacing w:val="2"/>
        </w:rPr>
        <w:t>génesis </w:t>
      </w:r>
      <w:r>
        <w:rPr>
          <w:color w:val="231F20"/>
        </w:rPr>
        <w:t>de su </w:t>
      </w:r>
      <w:r>
        <w:rPr>
          <w:color w:val="231F20"/>
          <w:spacing w:val="2"/>
        </w:rPr>
        <w:t>aparición: </w:t>
      </w:r>
      <w:r>
        <w:rPr>
          <w:color w:val="231F20"/>
          <w:spacing w:val="3"/>
        </w:rPr>
        <w:t>temor </w:t>
      </w:r>
      <w:r>
        <w:rPr>
          <w:color w:val="231F20"/>
          <w:spacing w:val="2"/>
        </w:rPr>
        <w:t>del otro, </w:t>
      </w:r>
      <w:r>
        <w:rPr>
          <w:color w:val="231F20"/>
          <w:spacing w:val="3"/>
        </w:rPr>
        <w:t>temor </w:t>
      </w:r>
      <w:r>
        <w:rPr>
          <w:color w:val="231F20"/>
        </w:rPr>
        <w:t>de sí </w:t>
      </w:r>
      <w:r>
        <w:rPr>
          <w:color w:val="231F20"/>
          <w:spacing w:val="3"/>
        </w:rPr>
        <w:t>mismo </w:t>
      </w:r>
      <w:r>
        <w:rPr>
          <w:color w:val="231F20"/>
        </w:rPr>
        <w:t>e </w:t>
      </w:r>
      <w:r>
        <w:rPr>
          <w:color w:val="231F20"/>
          <w:spacing w:val="2"/>
        </w:rPr>
        <w:t>innobles </w:t>
      </w:r>
      <w:r>
        <w:rPr>
          <w:color w:val="231F20"/>
          <w:spacing w:val="3"/>
        </w:rPr>
        <w:t>sentimientos. </w:t>
      </w:r>
      <w:r>
        <w:rPr>
          <w:color w:val="231F20"/>
          <w:spacing w:val="2"/>
        </w:rPr>
        <w:t>Sobre </w:t>
      </w:r>
      <w:r>
        <w:rPr>
          <w:color w:val="231F20"/>
        </w:rPr>
        <w:t>el </w:t>
      </w:r>
      <w:r>
        <w:rPr>
          <w:color w:val="231F20"/>
          <w:spacing w:val="2"/>
        </w:rPr>
        <w:t>derecho solo cabe agregar </w:t>
      </w:r>
      <w:r>
        <w:rPr>
          <w:color w:val="231F20"/>
        </w:rPr>
        <w:t>que lo </w:t>
      </w:r>
      <w:r>
        <w:rPr>
          <w:color w:val="231F20"/>
          <w:spacing w:val="3"/>
        </w:rPr>
        <w:t>considerado </w:t>
      </w:r>
      <w:r>
        <w:rPr>
          <w:color w:val="231F20"/>
          <w:spacing w:val="2"/>
        </w:rPr>
        <w:t>justo –legitimidad </w:t>
      </w:r>
      <w:r>
        <w:rPr>
          <w:color w:val="231F20"/>
        </w:rPr>
        <w:t>en el </w:t>
      </w:r>
      <w:r>
        <w:rPr>
          <w:color w:val="231F20"/>
          <w:spacing w:val="2"/>
        </w:rPr>
        <w:t>uso </w:t>
      </w:r>
      <w:r>
        <w:rPr>
          <w:color w:val="231F20"/>
        </w:rPr>
        <w:t>de </w:t>
      </w:r>
      <w:r>
        <w:rPr>
          <w:color w:val="231F20"/>
          <w:spacing w:val="3"/>
        </w:rPr>
        <w:t>medios  </w:t>
      </w:r>
      <w:r>
        <w:rPr>
          <w:color w:val="231F20"/>
        </w:rPr>
        <w:t>y la </w:t>
      </w:r>
      <w:r>
        <w:rPr>
          <w:color w:val="231F20"/>
          <w:spacing w:val="2"/>
        </w:rPr>
        <w:t>justicia </w:t>
      </w:r>
      <w:r>
        <w:rPr>
          <w:color w:val="231F20"/>
        </w:rPr>
        <w:t>de </w:t>
      </w:r>
      <w:r>
        <w:rPr>
          <w:color w:val="231F20"/>
          <w:spacing w:val="2"/>
        </w:rPr>
        <w:t>los fines– </w:t>
      </w:r>
      <w:r>
        <w:rPr>
          <w:color w:val="231F20"/>
        </w:rPr>
        <w:t>no lo </w:t>
      </w:r>
      <w:r>
        <w:rPr>
          <w:color w:val="231F20"/>
          <w:spacing w:val="2"/>
        </w:rPr>
        <w:t>decide </w:t>
      </w:r>
      <w:r>
        <w:rPr>
          <w:color w:val="231F20"/>
        </w:rPr>
        <w:t>la </w:t>
      </w:r>
      <w:r>
        <w:rPr>
          <w:color w:val="231F20"/>
          <w:spacing w:val="2"/>
        </w:rPr>
        <w:t>razón, sino </w:t>
      </w:r>
      <w:r>
        <w:rPr>
          <w:color w:val="231F20"/>
        </w:rPr>
        <w:t>la </w:t>
      </w:r>
      <w:r>
        <w:rPr>
          <w:color w:val="231F20"/>
          <w:spacing w:val="2"/>
        </w:rPr>
        <w:t>violencia </w:t>
      </w:r>
      <w:r>
        <w:rPr>
          <w:color w:val="231F20"/>
        </w:rPr>
        <w:t>y su </w:t>
      </w:r>
      <w:r>
        <w:rPr>
          <w:color w:val="231F20"/>
          <w:spacing w:val="3"/>
        </w:rPr>
        <w:t>monopolio. </w:t>
      </w:r>
      <w:r>
        <w:rPr>
          <w:color w:val="231F20"/>
        </w:rPr>
        <w:t>El </w:t>
      </w:r>
      <w:r>
        <w:rPr>
          <w:color w:val="231F20"/>
          <w:spacing w:val="3"/>
        </w:rPr>
        <w:t>poder </w:t>
      </w:r>
      <w:r>
        <w:rPr>
          <w:color w:val="231F20"/>
          <w:spacing w:val="2"/>
        </w:rPr>
        <w:t>del Estado, </w:t>
      </w:r>
      <w:r>
        <w:rPr>
          <w:color w:val="231F20"/>
        </w:rPr>
        <w:t>o </w:t>
      </w:r>
      <w:r>
        <w:rPr>
          <w:color w:val="231F20"/>
          <w:spacing w:val="2"/>
        </w:rPr>
        <w:t>cualquier otro </w:t>
      </w:r>
      <w:r>
        <w:rPr>
          <w:color w:val="231F20"/>
          <w:spacing w:val="3"/>
        </w:rPr>
        <w:t>poder, es </w:t>
      </w:r>
      <w:r>
        <w:rPr>
          <w:color w:val="231F20"/>
          <w:spacing w:val="2"/>
        </w:rPr>
        <w:t>arbitrario, está </w:t>
      </w:r>
      <w:r>
        <w:rPr>
          <w:color w:val="231F20"/>
          <w:spacing w:val="3"/>
        </w:rPr>
        <w:t>fundado </w:t>
      </w:r>
      <w:r>
        <w:rPr>
          <w:color w:val="231F20"/>
        </w:rPr>
        <w:t>en el </w:t>
      </w:r>
      <w:r>
        <w:rPr>
          <w:color w:val="231F20"/>
          <w:spacing w:val="2"/>
        </w:rPr>
        <w:t>ejercicio </w:t>
      </w:r>
      <w:r>
        <w:rPr>
          <w:color w:val="231F20"/>
        </w:rPr>
        <w:t>de la</w:t>
      </w:r>
      <w:r>
        <w:rPr>
          <w:color w:val="231F20"/>
          <w:spacing w:val="-17"/>
        </w:rPr>
        <w:t> </w:t>
      </w:r>
      <w:r>
        <w:rPr>
          <w:color w:val="231F20"/>
          <w:spacing w:val="2"/>
        </w:rPr>
        <w:t>violencia.</w:t>
      </w:r>
    </w:p>
    <w:p>
      <w:pPr>
        <w:pStyle w:val="BodyText"/>
        <w:spacing w:before="7"/>
      </w:pPr>
    </w:p>
    <w:p>
      <w:pPr>
        <w:pStyle w:val="ListParagraph"/>
        <w:numPr>
          <w:ilvl w:val="2"/>
          <w:numId w:val="6"/>
        </w:numPr>
        <w:tabs>
          <w:tab w:pos="611" w:val="left" w:leader="none"/>
        </w:tabs>
        <w:spacing w:line="240" w:lineRule="auto" w:before="0" w:after="0"/>
        <w:ind w:left="610" w:right="0" w:hanging="508"/>
        <w:jc w:val="both"/>
        <w:rPr>
          <w:i/>
          <w:sz w:val="21"/>
        </w:rPr>
      </w:pPr>
      <w:r>
        <w:rPr>
          <w:i/>
          <w:color w:val="231F20"/>
          <w:w w:val="85"/>
          <w:sz w:val="21"/>
        </w:rPr>
        <w:t>Educación</w:t>
      </w:r>
      <w:r>
        <w:rPr>
          <w:i/>
          <w:color w:val="231F20"/>
          <w:spacing w:val="-20"/>
          <w:w w:val="85"/>
          <w:sz w:val="21"/>
        </w:rPr>
        <w:t> </w:t>
      </w:r>
      <w:r>
        <w:rPr>
          <w:i/>
          <w:color w:val="231F20"/>
          <w:w w:val="85"/>
          <w:sz w:val="21"/>
        </w:rPr>
        <w:t>y</w:t>
      </w:r>
      <w:r>
        <w:rPr>
          <w:i/>
          <w:color w:val="231F20"/>
          <w:spacing w:val="-20"/>
          <w:w w:val="85"/>
          <w:sz w:val="21"/>
        </w:rPr>
        <w:t> </w:t>
      </w:r>
      <w:r>
        <w:rPr>
          <w:i/>
          <w:color w:val="231F20"/>
          <w:w w:val="85"/>
          <w:sz w:val="21"/>
        </w:rPr>
        <w:t>violencia</w:t>
      </w:r>
      <w:r>
        <w:rPr>
          <w:i/>
          <w:color w:val="231F20"/>
          <w:spacing w:val="-20"/>
          <w:w w:val="85"/>
          <w:sz w:val="21"/>
        </w:rPr>
        <w:t> </w:t>
      </w:r>
      <w:r>
        <w:rPr>
          <w:i/>
          <w:color w:val="231F20"/>
          <w:w w:val="85"/>
          <w:sz w:val="21"/>
        </w:rPr>
        <w:t>simbólica</w:t>
      </w:r>
    </w:p>
    <w:p>
      <w:pPr>
        <w:pStyle w:val="BodyText"/>
        <w:spacing w:before="1"/>
        <w:rPr>
          <w:i/>
        </w:rPr>
      </w:pPr>
    </w:p>
    <w:p>
      <w:pPr>
        <w:pStyle w:val="BodyText"/>
        <w:spacing w:line="247" w:lineRule="auto" w:before="1"/>
        <w:ind w:left="102" w:right="116"/>
        <w:jc w:val="both"/>
      </w:pPr>
      <w:r>
        <w:rPr>
          <w:color w:val="231F20"/>
        </w:rPr>
        <w:t>Bourdieu (1981) señaló que toda acción pedagógica es una violencia simbólica en forma doble: en tanto imposición por un poder arbitrario e imposición de una arbitrariedad cultural. Es más comprensible esta tajante afirmación si se analiza que todo poder de violencia simbólica es un poder que logra imponer significaciones e imponerlas como legítimas. Consigue imponerlas al disimular las relaciones de fuerza en que se funda su propia fuerza y al añadir su fuerza propiamente simbólica a esas relaciones de fuerza.</w:t>
      </w:r>
    </w:p>
    <w:p>
      <w:pPr>
        <w:pStyle w:val="BodyText"/>
        <w:spacing w:line="249" w:lineRule="auto" w:before="10"/>
        <w:ind w:left="102" w:right="115" w:firstLine="284"/>
        <w:jc w:val="both"/>
      </w:pPr>
      <w:r>
        <w:rPr>
          <w:color w:val="231F20"/>
        </w:rPr>
        <w:t>El poder simbólico de la acción pedagógica no  es  una imposición por la fuerza, se ejerce en una relación  de  comunicación. Esta relación de comunicación logra su efecto de imposición simbólica solo dentro de relaciones de fuerzas que propician la imposición. La acción pedagógica es una violencia simbólica en tanto impone ciertos significados y excluye otros. En   la selección de significados estriba la arbitrariedad cultural de un grupo. El poder elegir a unos significados sobre otros, se vincula a las relaciones de fuerza en que está inmerso ese grupo. Esas relaciones de fuerza entre grupos y sus resultantes no son  </w:t>
      </w:r>
      <w:r>
        <w:rPr>
          <w:color w:val="231F20"/>
          <w:spacing w:val="41"/>
        </w:rPr>
        <w:t> </w:t>
      </w:r>
      <w:r>
        <w:rPr>
          <w:color w:val="231F20"/>
        </w:rPr>
        <w:t>producto</w:t>
      </w:r>
    </w:p>
    <w:p>
      <w:pPr>
        <w:spacing w:after="0" w:line="249" w:lineRule="auto"/>
        <w:jc w:val="both"/>
        <w:sectPr>
          <w:headerReference w:type="default" r:id="rId347"/>
          <w:footerReference w:type="default" r:id="rId348"/>
          <w:pgSz w:w="7830" w:h="11910"/>
          <w:pgMar w:header="0" w:footer="424" w:top="500" w:bottom="620" w:left="920" w:right="900"/>
          <w:pgNumType w:start="16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1" w:right="112"/>
        <w:jc w:val="both"/>
      </w:pPr>
      <w:r>
        <w:rPr>
          <w:color w:val="231F20"/>
        </w:rPr>
        <w:t>de leyes absolutas, de ahí su arbitrariedad como poder. La doble arbitrariedad (cultural y de poder) contribuye a reproducir las relaciones de fuerza de la que es producto. La reproducción no es total ni ajena a conflictos ni a la emergencia de nuevos poderes, ni </w:t>
      </w:r>
      <w:r>
        <w:rPr>
          <w:color w:val="231F20"/>
          <w:w w:val="95"/>
        </w:rPr>
        <w:t>nuevas  significaciones.</w:t>
      </w:r>
    </w:p>
    <w:p>
      <w:pPr>
        <w:pStyle w:val="BodyText"/>
        <w:spacing w:line="249" w:lineRule="auto" w:before="6"/>
        <w:ind w:left="102" w:right="117" w:firstLine="284"/>
        <w:jc w:val="both"/>
      </w:pPr>
      <w:r>
        <w:rPr>
          <w:color w:val="231F20"/>
          <w:spacing w:val="2"/>
        </w:rPr>
        <w:t>Estas </w:t>
      </w:r>
      <w:r>
        <w:rPr>
          <w:color w:val="231F20"/>
          <w:spacing w:val="3"/>
        </w:rPr>
        <w:t>máximas </w:t>
      </w:r>
      <w:r>
        <w:rPr>
          <w:color w:val="231F20"/>
        </w:rPr>
        <w:t>de </w:t>
      </w:r>
      <w:r>
        <w:rPr>
          <w:color w:val="231F20"/>
          <w:spacing w:val="2"/>
        </w:rPr>
        <w:t>Bourdieu son indispensables para </w:t>
      </w:r>
      <w:r>
        <w:rPr>
          <w:color w:val="231F20"/>
          <w:spacing w:val="3"/>
        </w:rPr>
        <w:t>comprender </w:t>
      </w:r>
      <w:r>
        <w:rPr>
          <w:color w:val="231F20"/>
        </w:rPr>
        <w:t>la </w:t>
      </w:r>
      <w:r>
        <w:rPr>
          <w:color w:val="231F20"/>
          <w:spacing w:val="2"/>
        </w:rPr>
        <w:t>transmisión del oficio </w:t>
      </w:r>
      <w:r>
        <w:rPr>
          <w:color w:val="231F20"/>
        </w:rPr>
        <w:t>de </w:t>
      </w:r>
      <w:r>
        <w:rPr>
          <w:color w:val="231F20"/>
          <w:spacing w:val="2"/>
        </w:rPr>
        <w:t>científico, </w:t>
      </w:r>
      <w:r>
        <w:rPr>
          <w:color w:val="231F20"/>
        </w:rPr>
        <w:t>en </w:t>
      </w:r>
      <w:r>
        <w:rPr>
          <w:color w:val="231F20"/>
          <w:spacing w:val="2"/>
        </w:rPr>
        <w:t>tanto  develan que </w:t>
      </w:r>
      <w:r>
        <w:rPr>
          <w:color w:val="231F20"/>
        </w:rPr>
        <w:t>la </w:t>
      </w:r>
      <w:r>
        <w:rPr>
          <w:color w:val="231F20"/>
          <w:spacing w:val="2"/>
        </w:rPr>
        <w:t>educabilidad </w:t>
      </w:r>
      <w:r>
        <w:rPr>
          <w:color w:val="231F20"/>
        </w:rPr>
        <w:t>no se </w:t>
      </w:r>
      <w:r>
        <w:rPr>
          <w:color w:val="231F20"/>
          <w:spacing w:val="2"/>
        </w:rPr>
        <w:t>constriñe </w:t>
      </w:r>
      <w:r>
        <w:rPr>
          <w:color w:val="231F20"/>
        </w:rPr>
        <w:t>a la </w:t>
      </w:r>
      <w:r>
        <w:rPr>
          <w:color w:val="231F20"/>
          <w:spacing w:val="3"/>
        </w:rPr>
        <w:t>relación educando-educador. </w:t>
      </w:r>
      <w:r>
        <w:rPr>
          <w:color w:val="231F20"/>
        </w:rPr>
        <w:t>La </w:t>
      </w:r>
      <w:r>
        <w:rPr>
          <w:color w:val="231F20"/>
          <w:spacing w:val="2"/>
        </w:rPr>
        <w:t>relación educativa existe </w:t>
      </w:r>
      <w:r>
        <w:rPr>
          <w:color w:val="231F20"/>
        </w:rPr>
        <w:t>en la </w:t>
      </w:r>
      <w:r>
        <w:rPr>
          <w:color w:val="231F20"/>
          <w:spacing w:val="3"/>
        </w:rPr>
        <w:t>medida </w:t>
      </w:r>
      <w:r>
        <w:rPr>
          <w:color w:val="231F20"/>
        </w:rPr>
        <w:t>en que </w:t>
      </w:r>
      <w:r>
        <w:rPr>
          <w:color w:val="231F20"/>
          <w:spacing w:val="2"/>
        </w:rPr>
        <w:t>está inmersa </w:t>
      </w:r>
      <w:r>
        <w:rPr>
          <w:color w:val="231F20"/>
        </w:rPr>
        <w:t>en </w:t>
      </w:r>
      <w:r>
        <w:rPr>
          <w:color w:val="231F20"/>
          <w:spacing w:val="2"/>
        </w:rPr>
        <w:t>relaciones </w:t>
      </w:r>
      <w:r>
        <w:rPr>
          <w:color w:val="231F20"/>
        </w:rPr>
        <w:t>de </w:t>
      </w:r>
      <w:r>
        <w:rPr>
          <w:color w:val="231F20"/>
          <w:spacing w:val="2"/>
        </w:rPr>
        <w:t>fuerza, </w:t>
      </w:r>
      <w:r>
        <w:rPr>
          <w:color w:val="231F20"/>
        </w:rPr>
        <w:t>en </w:t>
      </w:r>
      <w:r>
        <w:rPr>
          <w:color w:val="231F20"/>
          <w:spacing w:val="2"/>
        </w:rPr>
        <w:t>tanto hay  algo  legítimo que </w:t>
      </w:r>
      <w:r>
        <w:rPr>
          <w:color w:val="231F20"/>
        </w:rPr>
        <w:t>se </w:t>
      </w:r>
      <w:r>
        <w:rPr>
          <w:color w:val="231F20"/>
          <w:spacing w:val="3"/>
        </w:rPr>
        <w:t>impone mediante </w:t>
      </w:r>
      <w:r>
        <w:rPr>
          <w:color w:val="231F20"/>
        </w:rPr>
        <w:t>un </w:t>
      </w:r>
      <w:r>
        <w:rPr>
          <w:color w:val="231F20"/>
          <w:spacing w:val="3"/>
        </w:rPr>
        <w:t>poder, mediante </w:t>
      </w:r>
      <w:r>
        <w:rPr>
          <w:color w:val="231F20"/>
        </w:rPr>
        <w:t>la </w:t>
      </w:r>
      <w:r>
        <w:rPr>
          <w:color w:val="231F20"/>
          <w:spacing w:val="2"/>
        </w:rPr>
        <w:t>violencia simbólica </w:t>
      </w:r>
      <w:r>
        <w:rPr>
          <w:color w:val="231F20"/>
        </w:rPr>
        <w:t>en </w:t>
      </w:r>
      <w:r>
        <w:rPr>
          <w:color w:val="231F20"/>
          <w:spacing w:val="2"/>
        </w:rPr>
        <w:t>una relación </w:t>
      </w:r>
      <w:r>
        <w:rPr>
          <w:color w:val="231F20"/>
        </w:rPr>
        <w:t>de </w:t>
      </w:r>
      <w:r>
        <w:rPr>
          <w:color w:val="231F20"/>
          <w:spacing w:val="3"/>
        </w:rPr>
        <w:t>comunicación. </w:t>
      </w:r>
      <w:r>
        <w:rPr>
          <w:color w:val="231F20"/>
        </w:rPr>
        <w:t>La </w:t>
      </w:r>
      <w:r>
        <w:rPr>
          <w:color w:val="231F20"/>
          <w:spacing w:val="2"/>
        </w:rPr>
        <w:t>imposición </w:t>
      </w:r>
      <w:r>
        <w:rPr>
          <w:color w:val="231F20"/>
        </w:rPr>
        <w:t>es de </w:t>
      </w:r>
      <w:r>
        <w:rPr>
          <w:color w:val="231F20"/>
          <w:spacing w:val="2"/>
        </w:rPr>
        <w:t>una significación, </w:t>
      </w:r>
      <w:r>
        <w:rPr>
          <w:color w:val="231F20"/>
        </w:rPr>
        <w:t>de un </w:t>
      </w:r>
      <w:r>
        <w:rPr>
          <w:color w:val="231F20"/>
          <w:spacing w:val="2"/>
        </w:rPr>
        <w:t>arbitrario cultural. </w:t>
      </w:r>
      <w:r>
        <w:rPr>
          <w:color w:val="231F20"/>
        </w:rPr>
        <w:t>La </w:t>
      </w:r>
      <w:r>
        <w:rPr>
          <w:color w:val="231F20"/>
          <w:spacing w:val="2"/>
        </w:rPr>
        <w:t>imposición </w:t>
      </w:r>
      <w:r>
        <w:rPr>
          <w:color w:val="231F20"/>
        </w:rPr>
        <w:t>se </w:t>
      </w:r>
      <w:r>
        <w:rPr>
          <w:color w:val="231F20"/>
          <w:spacing w:val="2"/>
        </w:rPr>
        <w:t>logra por </w:t>
      </w:r>
      <w:r>
        <w:rPr>
          <w:color w:val="231F20"/>
        </w:rPr>
        <w:t>la </w:t>
      </w:r>
      <w:r>
        <w:rPr>
          <w:color w:val="231F20"/>
          <w:spacing w:val="2"/>
        </w:rPr>
        <w:t>autoridad pedagógica, </w:t>
      </w:r>
      <w:r>
        <w:rPr>
          <w:color w:val="231F20"/>
        </w:rPr>
        <w:t>la </w:t>
      </w:r>
      <w:r>
        <w:rPr>
          <w:color w:val="231F20"/>
          <w:spacing w:val="2"/>
        </w:rPr>
        <w:t>realiza </w:t>
      </w:r>
      <w:r>
        <w:rPr>
          <w:color w:val="231F20"/>
        </w:rPr>
        <w:t>un </w:t>
      </w:r>
      <w:r>
        <w:rPr>
          <w:color w:val="231F20"/>
          <w:spacing w:val="2"/>
        </w:rPr>
        <w:t>agente específico, </w:t>
      </w:r>
      <w:r>
        <w:rPr>
          <w:color w:val="231F20"/>
        </w:rPr>
        <w:t>es </w:t>
      </w:r>
      <w:r>
        <w:rPr>
          <w:color w:val="231F20"/>
          <w:spacing w:val="2"/>
        </w:rPr>
        <w:t>alguien </w:t>
      </w:r>
      <w:r>
        <w:rPr>
          <w:color w:val="231F20"/>
          <w:spacing w:val="3"/>
        </w:rPr>
        <w:t>reconocido objetivamente como </w:t>
      </w:r>
      <w:r>
        <w:rPr>
          <w:color w:val="231F20"/>
          <w:spacing w:val="2"/>
        </w:rPr>
        <w:t>autoridad legítima. Autoridad </w:t>
      </w:r>
      <w:r>
        <w:rPr>
          <w:color w:val="231F20"/>
        </w:rPr>
        <w:t>que </w:t>
      </w:r>
      <w:r>
        <w:rPr>
          <w:color w:val="231F20"/>
          <w:spacing w:val="2"/>
        </w:rPr>
        <w:t>funda </w:t>
      </w:r>
      <w:r>
        <w:rPr>
          <w:color w:val="231F20"/>
        </w:rPr>
        <w:t>su </w:t>
      </w:r>
      <w:r>
        <w:rPr>
          <w:color w:val="231F20"/>
          <w:spacing w:val="2"/>
        </w:rPr>
        <w:t>derecho </w:t>
      </w:r>
      <w:r>
        <w:rPr>
          <w:color w:val="231F20"/>
        </w:rPr>
        <w:t>de </w:t>
      </w:r>
      <w:r>
        <w:rPr>
          <w:color w:val="231F20"/>
          <w:spacing w:val="2"/>
        </w:rPr>
        <w:t>imposición legítima </w:t>
      </w:r>
      <w:r>
        <w:rPr>
          <w:color w:val="231F20"/>
          <w:spacing w:val="3"/>
        </w:rPr>
        <w:t>al  </w:t>
      </w:r>
      <w:r>
        <w:rPr>
          <w:color w:val="231F20"/>
          <w:spacing w:val="2"/>
        </w:rPr>
        <w:t>disimular </w:t>
      </w:r>
      <w:r>
        <w:rPr>
          <w:color w:val="231F20"/>
        </w:rPr>
        <w:t>el </w:t>
      </w:r>
      <w:r>
        <w:rPr>
          <w:color w:val="231F20"/>
          <w:spacing w:val="3"/>
        </w:rPr>
        <w:t>poder </w:t>
      </w:r>
      <w:r>
        <w:rPr>
          <w:color w:val="231F20"/>
          <w:spacing w:val="2"/>
        </w:rPr>
        <w:t>arbitrario que </w:t>
      </w:r>
      <w:r>
        <w:rPr>
          <w:color w:val="231F20"/>
        </w:rPr>
        <w:t>lo </w:t>
      </w:r>
      <w:r>
        <w:rPr>
          <w:color w:val="231F20"/>
          <w:spacing w:val="2"/>
        </w:rPr>
        <w:t>sostiene. </w:t>
      </w:r>
      <w:r>
        <w:rPr>
          <w:color w:val="231F20"/>
          <w:spacing w:val="3"/>
        </w:rPr>
        <w:t>Dentro </w:t>
      </w:r>
      <w:r>
        <w:rPr>
          <w:color w:val="231F20"/>
        </w:rPr>
        <w:t>de las </w:t>
      </w:r>
      <w:r>
        <w:rPr>
          <w:color w:val="231F20"/>
          <w:spacing w:val="2"/>
        </w:rPr>
        <w:t>relaciones </w:t>
      </w:r>
      <w:r>
        <w:rPr>
          <w:color w:val="231F20"/>
        </w:rPr>
        <w:t>de </w:t>
      </w:r>
      <w:r>
        <w:rPr>
          <w:color w:val="231F20"/>
          <w:spacing w:val="2"/>
        </w:rPr>
        <w:t>fuerza </w:t>
      </w:r>
      <w:r>
        <w:rPr>
          <w:color w:val="231F20"/>
        </w:rPr>
        <w:t>y las </w:t>
      </w:r>
      <w:r>
        <w:rPr>
          <w:color w:val="231F20"/>
          <w:spacing w:val="2"/>
        </w:rPr>
        <w:t>relaciones </w:t>
      </w:r>
      <w:r>
        <w:rPr>
          <w:color w:val="231F20"/>
          <w:spacing w:val="3"/>
        </w:rPr>
        <w:t>simbólicas </w:t>
      </w:r>
      <w:r>
        <w:rPr>
          <w:color w:val="231F20"/>
          <w:spacing w:val="2"/>
        </w:rPr>
        <w:t>existen instancias</w:t>
      </w:r>
      <w:r>
        <w:rPr>
          <w:color w:val="231F20"/>
          <w:spacing w:val="-26"/>
        </w:rPr>
        <w:t> </w:t>
      </w:r>
      <w:r>
        <w:rPr>
          <w:color w:val="231F20"/>
        </w:rPr>
        <w:t>y </w:t>
      </w:r>
      <w:r>
        <w:rPr>
          <w:color w:val="231F20"/>
          <w:spacing w:val="2"/>
        </w:rPr>
        <w:t>agentes </w:t>
      </w:r>
      <w:r>
        <w:rPr>
          <w:color w:val="231F20"/>
        </w:rPr>
        <w:t>que </w:t>
      </w:r>
      <w:r>
        <w:rPr>
          <w:color w:val="231F20"/>
          <w:spacing w:val="2"/>
        </w:rPr>
        <w:t>aspiran </w:t>
      </w:r>
      <w:r>
        <w:rPr>
          <w:color w:val="231F20"/>
        </w:rPr>
        <w:t>a </w:t>
      </w:r>
      <w:r>
        <w:rPr>
          <w:color w:val="231F20"/>
          <w:spacing w:val="2"/>
        </w:rPr>
        <w:t>tener </w:t>
      </w:r>
      <w:r>
        <w:rPr>
          <w:color w:val="231F20"/>
        </w:rPr>
        <w:t>el </w:t>
      </w:r>
      <w:r>
        <w:rPr>
          <w:color w:val="231F20"/>
          <w:spacing w:val="3"/>
        </w:rPr>
        <w:t>monopolio </w:t>
      </w:r>
      <w:r>
        <w:rPr>
          <w:color w:val="231F20"/>
        </w:rPr>
        <w:t>de la </w:t>
      </w:r>
      <w:r>
        <w:rPr>
          <w:color w:val="231F20"/>
          <w:spacing w:val="2"/>
        </w:rPr>
        <w:t>legitimidad. </w:t>
      </w:r>
      <w:r>
        <w:rPr>
          <w:color w:val="231F20"/>
        </w:rPr>
        <w:t>La </w:t>
      </w:r>
      <w:r>
        <w:rPr>
          <w:color w:val="231F20"/>
          <w:spacing w:val="2"/>
        </w:rPr>
        <w:t>autoridad pedagógica, quien tiene </w:t>
      </w:r>
      <w:r>
        <w:rPr>
          <w:color w:val="231F20"/>
        </w:rPr>
        <w:t>la </w:t>
      </w:r>
      <w:r>
        <w:rPr>
          <w:color w:val="231F20"/>
          <w:spacing w:val="2"/>
        </w:rPr>
        <w:t>legitimidad </w:t>
      </w:r>
      <w:r>
        <w:rPr>
          <w:color w:val="231F20"/>
        </w:rPr>
        <w:t>de </w:t>
      </w:r>
      <w:r>
        <w:rPr>
          <w:color w:val="231F20"/>
          <w:spacing w:val="2"/>
        </w:rPr>
        <w:t>ejercer </w:t>
      </w:r>
      <w:r>
        <w:rPr>
          <w:color w:val="231F20"/>
        </w:rPr>
        <w:t>la </w:t>
      </w:r>
      <w:r>
        <w:rPr>
          <w:color w:val="231F20"/>
          <w:spacing w:val="2"/>
        </w:rPr>
        <w:t>acción pedagógica, </w:t>
      </w:r>
      <w:r>
        <w:rPr>
          <w:color w:val="231F20"/>
        </w:rPr>
        <w:t>de </w:t>
      </w:r>
      <w:r>
        <w:rPr>
          <w:color w:val="231F20"/>
          <w:spacing w:val="2"/>
        </w:rPr>
        <w:t>ejercer </w:t>
      </w:r>
      <w:r>
        <w:rPr>
          <w:color w:val="231F20"/>
        </w:rPr>
        <w:t>el </w:t>
      </w:r>
      <w:r>
        <w:rPr>
          <w:color w:val="231F20"/>
          <w:spacing w:val="3"/>
        </w:rPr>
        <w:t>poder </w:t>
      </w:r>
      <w:r>
        <w:rPr>
          <w:color w:val="231F20"/>
          <w:spacing w:val="2"/>
        </w:rPr>
        <w:t>arbitrario </w:t>
      </w:r>
      <w:r>
        <w:rPr>
          <w:color w:val="231F20"/>
        </w:rPr>
        <w:t>que  </w:t>
      </w:r>
      <w:r>
        <w:rPr>
          <w:color w:val="231F20"/>
          <w:spacing w:val="3"/>
        </w:rPr>
        <w:t>impone</w:t>
      </w:r>
      <w:r>
        <w:rPr>
          <w:color w:val="231F20"/>
          <w:spacing w:val="58"/>
        </w:rPr>
        <w:t> </w:t>
      </w:r>
      <w:r>
        <w:rPr>
          <w:color w:val="231F20"/>
          <w:spacing w:val="3"/>
        </w:rPr>
        <w:t>como </w:t>
      </w:r>
      <w:r>
        <w:rPr>
          <w:color w:val="231F20"/>
          <w:spacing w:val="2"/>
        </w:rPr>
        <w:t>legítimo </w:t>
      </w:r>
      <w:r>
        <w:rPr>
          <w:color w:val="231F20"/>
        </w:rPr>
        <w:t>un </w:t>
      </w:r>
      <w:r>
        <w:rPr>
          <w:color w:val="231F20"/>
          <w:spacing w:val="2"/>
        </w:rPr>
        <w:t>arbitrario cultural, aparece </w:t>
      </w:r>
      <w:r>
        <w:rPr>
          <w:color w:val="231F20"/>
          <w:spacing w:val="3"/>
        </w:rPr>
        <w:t>automáticamente como </w:t>
      </w:r>
      <w:r>
        <w:rPr>
          <w:color w:val="231F20"/>
          <w:spacing w:val="2"/>
        </w:rPr>
        <w:t>digno </w:t>
      </w:r>
      <w:r>
        <w:rPr>
          <w:color w:val="231F20"/>
        </w:rPr>
        <w:t>de </w:t>
      </w:r>
      <w:r>
        <w:rPr>
          <w:color w:val="231F20"/>
          <w:spacing w:val="2"/>
        </w:rPr>
        <w:t>transmitir </w:t>
      </w:r>
      <w:r>
        <w:rPr>
          <w:color w:val="231F20"/>
        </w:rPr>
        <w:t>lo </w:t>
      </w:r>
      <w:r>
        <w:rPr>
          <w:color w:val="231F20"/>
          <w:spacing w:val="2"/>
        </w:rPr>
        <w:t>que transmite </w:t>
      </w:r>
      <w:r>
        <w:rPr>
          <w:color w:val="231F20"/>
        </w:rPr>
        <w:t>y </w:t>
      </w:r>
      <w:r>
        <w:rPr>
          <w:color w:val="231F20"/>
          <w:spacing w:val="2"/>
        </w:rPr>
        <w:t>autorizado para </w:t>
      </w:r>
      <w:r>
        <w:rPr>
          <w:color w:val="231F20"/>
          <w:spacing w:val="3"/>
        </w:rPr>
        <w:t>imponer </w:t>
      </w:r>
      <w:r>
        <w:rPr>
          <w:color w:val="231F20"/>
        </w:rPr>
        <w:t>su </w:t>
      </w:r>
      <w:r>
        <w:rPr>
          <w:color w:val="231F20"/>
          <w:spacing w:val="2"/>
        </w:rPr>
        <w:t>recepción, </w:t>
      </w:r>
      <w:r>
        <w:rPr>
          <w:color w:val="231F20"/>
        </w:rPr>
        <w:t>y </w:t>
      </w:r>
      <w:r>
        <w:rPr>
          <w:color w:val="231F20"/>
          <w:spacing w:val="2"/>
        </w:rPr>
        <w:t>para controlar </w:t>
      </w:r>
      <w:r>
        <w:rPr>
          <w:color w:val="231F20"/>
        </w:rPr>
        <w:t>su </w:t>
      </w:r>
      <w:r>
        <w:rPr>
          <w:color w:val="231F20"/>
          <w:spacing w:val="2"/>
        </w:rPr>
        <w:t>recepción </w:t>
      </w:r>
      <w:r>
        <w:rPr>
          <w:color w:val="231F20"/>
        </w:rPr>
        <w:t>e </w:t>
      </w:r>
      <w:r>
        <w:rPr>
          <w:color w:val="231F20"/>
          <w:spacing w:val="2"/>
        </w:rPr>
        <w:t>inculcación mediante sanciones socialmente</w:t>
      </w:r>
      <w:r>
        <w:rPr>
          <w:color w:val="231F20"/>
          <w:spacing w:val="7"/>
        </w:rPr>
        <w:t> </w:t>
      </w:r>
      <w:r>
        <w:rPr>
          <w:color w:val="231F20"/>
          <w:spacing w:val="2"/>
        </w:rPr>
        <w:t>aprobadas.</w:t>
      </w:r>
    </w:p>
    <w:p>
      <w:pPr>
        <w:pStyle w:val="BodyText"/>
        <w:spacing w:line="249" w:lineRule="auto"/>
        <w:ind w:left="102" w:right="115" w:firstLine="284"/>
        <w:jc w:val="both"/>
      </w:pPr>
      <w:r>
        <w:rPr>
          <w:color w:val="231F20"/>
        </w:rPr>
        <w:t>La autoridad pedagógica, el agente que impone mediante la violencia simbólica un arbitrario cultural (maestro), está en relaciones de fuerza con los receptores de la acción pedagógica (estudiantes en este caso). Los receptores están dispuestos, de entrada, a reconocer la legitimidad de la información transmitida y la autoridad pedagógica de los emisores pedagógicos. El éxito de toda acción pedagógica está en función del grado en el que los receptores reconocen la autoridad pedagógica y del grado en que dominan el código cultural de la comunicación pedagógica.</w:t>
      </w:r>
    </w:p>
    <w:p>
      <w:pPr>
        <w:pStyle w:val="BodyText"/>
        <w:spacing w:line="247" w:lineRule="auto"/>
        <w:ind w:left="102" w:right="118" w:firstLine="284"/>
        <w:jc w:val="both"/>
      </w:pPr>
      <w:r>
        <w:rPr>
          <w:color w:val="231F20"/>
        </w:rPr>
        <w:t>El </w:t>
      </w:r>
      <w:r>
        <w:rPr>
          <w:color w:val="231F20"/>
          <w:spacing w:val="2"/>
        </w:rPr>
        <w:t>trabajo pedagógico </w:t>
      </w:r>
      <w:r>
        <w:rPr>
          <w:color w:val="231F20"/>
        </w:rPr>
        <w:t>de la </w:t>
      </w:r>
      <w:r>
        <w:rPr>
          <w:color w:val="231F20"/>
          <w:spacing w:val="2"/>
        </w:rPr>
        <w:t>autoridad pedagógica, </w:t>
      </w:r>
      <w:r>
        <w:rPr>
          <w:color w:val="231F20"/>
        </w:rPr>
        <w:t>es un </w:t>
      </w:r>
      <w:r>
        <w:rPr>
          <w:color w:val="231F20"/>
          <w:spacing w:val="2"/>
        </w:rPr>
        <w:t>trabajo </w:t>
      </w:r>
      <w:r>
        <w:rPr>
          <w:color w:val="231F20"/>
        </w:rPr>
        <w:t>de </w:t>
      </w:r>
      <w:r>
        <w:rPr>
          <w:color w:val="231F20"/>
          <w:spacing w:val="2"/>
        </w:rPr>
        <w:t>inculcación </w:t>
      </w:r>
      <w:r>
        <w:rPr>
          <w:color w:val="231F20"/>
        </w:rPr>
        <w:t>de </w:t>
      </w:r>
      <w:r>
        <w:rPr>
          <w:color w:val="231F20"/>
          <w:spacing w:val="2"/>
        </w:rPr>
        <w:t>una </w:t>
      </w:r>
      <w:r>
        <w:rPr>
          <w:color w:val="231F20"/>
          <w:spacing w:val="3"/>
        </w:rPr>
        <w:t>forma </w:t>
      </w:r>
      <w:r>
        <w:rPr>
          <w:color w:val="231F20"/>
        </w:rPr>
        <w:t>de ser y de </w:t>
      </w:r>
      <w:r>
        <w:rPr>
          <w:color w:val="231F20"/>
          <w:spacing w:val="2"/>
        </w:rPr>
        <w:t>valorar, </w:t>
      </w:r>
      <w:r>
        <w:rPr>
          <w:i/>
          <w:color w:val="231F20"/>
          <w:spacing w:val="2"/>
        </w:rPr>
        <w:t>habitus</w:t>
      </w:r>
      <w:r>
        <w:rPr>
          <w:color w:val="231F20"/>
          <w:spacing w:val="2"/>
        </w:rPr>
        <w:t>; </w:t>
      </w:r>
      <w:r>
        <w:rPr>
          <w:color w:val="231F20"/>
        </w:rPr>
        <w:t>es la </w:t>
      </w:r>
      <w:r>
        <w:rPr>
          <w:color w:val="231F20"/>
          <w:spacing w:val="2"/>
        </w:rPr>
        <w:t>interiorización </w:t>
      </w:r>
      <w:r>
        <w:rPr>
          <w:color w:val="231F20"/>
        </w:rPr>
        <w:t>de </w:t>
      </w:r>
      <w:r>
        <w:rPr>
          <w:color w:val="231F20"/>
          <w:spacing w:val="2"/>
        </w:rPr>
        <w:t>los principios </w:t>
      </w:r>
      <w:r>
        <w:rPr>
          <w:color w:val="231F20"/>
        </w:rPr>
        <w:t>de </w:t>
      </w:r>
      <w:r>
        <w:rPr>
          <w:color w:val="231F20"/>
          <w:spacing w:val="2"/>
        </w:rPr>
        <w:t>una arbitrariedad  cultural  capaz </w:t>
      </w:r>
      <w:r>
        <w:rPr>
          <w:color w:val="231F20"/>
        </w:rPr>
        <w:t>de </w:t>
      </w:r>
      <w:r>
        <w:rPr>
          <w:color w:val="231F20"/>
          <w:spacing w:val="3"/>
        </w:rPr>
        <w:t>perpetuarse, </w:t>
      </w:r>
      <w:r>
        <w:rPr>
          <w:color w:val="231F20"/>
        </w:rPr>
        <w:t>al </w:t>
      </w:r>
      <w:r>
        <w:rPr>
          <w:color w:val="231F20"/>
          <w:spacing w:val="2"/>
        </w:rPr>
        <w:t>acabar </w:t>
      </w:r>
      <w:r>
        <w:rPr>
          <w:color w:val="231F20"/>
        </w:rPr>
        <w:t>la </w:t>
      </w:r>
      <w:r>
        <w:rPr>
          <w:color w:val="231F20"/>
          <w:spacing w:val="2"/>
        </w:rPr>
        <w:t>actividad pedagógica. </w:t>
      </w:r>
      <w:r>
        <w:rPr>
          <w:color w:val="231F20"/>
        </w:rPr>
        <w:t>El </w:t>
      </w:r>
      <w:r>
        <w:rPr>
          <w:color w:val="231F20"/>
          <w:spacing w:val="2"/>
        </w:rPr>
        <w:t>trabajo pedagógico  </w:t>
      </w:r>
      <w:r>
        <w:rPr>
          <w:color w:val="231F20"/>
        </w:rPr>
        <w:t>es   </w:t>
      </w:r>
      <w:r>
        <w:rPr>
          <w:color w:val="231F20"/>
          <w:spacing w:val="2"/>
        </w:rPr>
        <w:t>una  acción  con  una  duración  suficiente     </w:t>
      </w:r>
      <w:r>
        <w:rPr>
          <w:color w:val="231F20"/>
          <w:spacing w:val="9"/>
        </w:rPr>
        <w:t> </w:t>
      </w:r>
      <w:r>
        <w:rPr>
          <w:color w:val="231F20"/>
          <w:spacing w:val="2"/>
        </w:rPr>
        <w:t>para</w:t>
      </w:r>
    </w:p>
    <w:p>
      <w:pPr>
        <w:spacing w:after="0" w:line="247" w:lineRule="auto"/>
        <w:jc w:val="both"/>
        <w:sectPr>
          <w:headerReference w:type="default" r:id="rId349"/>
          <w:footerReference w:type="default" r:id="rId350"/>
          <w:pgSz w:w="7830" w:h="11910"/>
          <w:pgMar w:header="0" w:footer="424" w:top="500" w:bottom="620" w:left="920" w:right="900"/>
          <w:pgNumType w:start="16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before="92"/>
        <w:ind w:left="102" w:right="114"/>
        <w:jc w:val="both"/>
      </w:pPr>
      <w:r>
        <w:rPr>
          <w:color w:val="231F20"/>
          <w:spacing w:val="2"/>
        </w:rPr>
        <w:t>producir </w:t>
      </w:r>
      <w:r>
        <w:rPr>
          <w:color w:val="231F20"/>
        </w:rPr>
        <w:t>esa </w:t>
      </w:r>
      <w:r>
        <w:rPr>
          <w:color w:val="231F20"/>
          <w:spacing w:val="2"/>
        </w:rPr>
        <w:t>interiorización. </w:t>
      </w:r>
      <w:r>
        <w:rPr>
          <w:color w:val="231F20"/>
        </w:rPr>
        <w:t>La </w:t>
      </w:r>
      <w:r>
        <w:rPr>
          <w:color w:val="231F20"/>
          <w:spacing w:val="2"/>
        </w:rPr>
        <w:t>productividad </w:t>
      </w:r>
      <w:r>
        <w:rPr>
          <w:color w:val="231F20"/>
        </w:rPr>
        <w:t>del </w:t>
      </w:r>
      <w:r>
        <w:rPr>
          <w:color w:val="231F20"/>
          <w:spacing w:val="2"/>
        </w:rPr>
        <w:t>trabajo pedagógico </w:t>
      </w:r>
      <w:r>
        <w:rPr>
          <w:color w:val="231F20"/>
        </w:rPr>
        <w:t>se </w:t>
      </w:r>
      <w:r>
        <w:rPr>
          <w:color w:val="231F20"/>
          <w:spacing w:val="2"/>
        </w:rPr>
        <w:t>valora por </w:t>
      </w:r>
      <w:r>
        <w:rPr>
          <w:color w:val="231F20"/>
        </w:rPr>
        <w:t>el </w:t>
      </w:r>
      <w:r>
        <w:rPr>
          <w:color w:val="231F20"/>
          <w:spacing w:val="2"/>
        </w:rPr>
        <w:t>grado </w:t>
      </w:r>
      <w:r>
        <w:rPr>
          <w:color w:val="231F20"/>
        </w:rPr>
        <w:t>en que </w:t>
      </w:r>
      <w:r>
        <w:rPr>
          <w:color w:val="231F20"/>
          <w:spacing w:val="2"/>
        </w:rPr>
        <w:t>logra </w:t>
      </w:r>
      <w:r>
        <w:rPr>
          <w:color w:val="231F20"/>
        </w:rPr>
        <w:t>su </w:t>
      </w:r>
      <w:r>
        <w:rPr>
          <w:color w:val="231F20"/>
          <w:spacing w:val="2"/>
        </w:rPr>
        <w:t>efecto </w:t>
      </w:r>
      <w:r>
        <w:rPr>
          <w:color w:val="231F20"/>
        </w:rPr>
        <w:t>de </w:t>
      </w:r>
      <w:r>
        <w:rPr>
          <w:color w:val="231F20"/>
          <w:spacing w:val="2"/>
        </w:rPr>
        <w:t>inculcación: </w:t>
      </w:r>
      <w:r>
        <w:rPr>
          <w:color w:val="231F20"/>
          <w:spacing w:val="3"/>
        </w:rPr>
        <w:t>reproducir </w:t>
      </w:r>
      <w:r>
        <w:rPr>
          <w:color w:val="231F20"/>
        </w:rPr>
        <w:t>en </w:t>
      </w:r>
      <w:r>
        <w:rPr>
          <w:color w:val="231F20"/>
          <w:spacing w:val="2"/>
        </w:rPr>
        <w:t>los destinatarios legítimos </w:t>
      </w:r>
      <w:r>
        <w:rPr>
          <w:color w:val="231F20"/>
        </w:rPr>
        <w:t>el </w:t>
      </w:r>
      <w:r>
        <w:rPr>
          <w:color w:val="231F20"/>
          <w:spacing w:val="2"/>
        </w:rPr>
        <w:t>arbitrario cultural que tiene </w:t>
      </w:r>
      <w:r>
        <w:rPr>
          <w:color w:val="231F20"/>
        </w:rPr>
        <w:t>la </w:t>
      </w:r>
      <w:r>
        <w:rPr>
          <w:color w:val="231F20"/>
          <w:spacing w:val="2"/>
        </w:rPr>
        <w:t>misión </w:t>
      </w:r>
      <w:r>
        <w:rPr>
          <w:color w:val="231F20"/>
        </w:rPr>
        <w:t>de </w:t>
      </w:r>
      <w:r>
        <w:rPr>
          <w:color w:val="231F20"/>
          <w:spacing w:val="3"/>
        </w:rPr>
        <w:t>reproducir. </w:t>
      </w:r>
      <w:r>
        <w:rPr>
          <w:color w:val="231F20"/>
        </w:rPr>
        <w:t>La </w:t>
      </w:r>
      <w:r>
        <w:rPr>
          <w:color w:val="231F20"/>
          <w:spacing w:val="2"/>
        </w:rPr>
        <w:t>efectividad </w:t>
      </w:r>
      <w:r>
        <w:rPr>
          <w:color w:val="231F20"/>
          <w:spacing w:val="3"/>
        </w:rPr>
        <w:t>del </w:t>
      </w:r>
      <w:r>
        <w:rPr>
          <w:color w:val="231F20"/>
          <w:spacing w:val="2"/>
        </w:rPr>
        <w:t>trabajo pedagógico </w:t>
      </w:r>
      <w:r>
        <w:rPr>
          <w:color w:val="231F20"/>
        </w:rPr>
        <w:t>se </w:t>
      </w:r>
      <w:r>
        <w:rPr>
          <w:color w:val="231F20"/>
          <w:spacing w:val="2"/>
        </w:rPr>
        <w:t>valora por </w:t>
      </w:r>
      <w:r>
        <w:rPr>
          <w:color w:val="231F20"/>
        </w:rPr>
        <w:t>su </w:t>
      </w:r>
      <w:r>
        <w:rPr>
          <w:color w:val="231F20"/>
          <w:spacing w:val="2"/>
        </w:rPr>
        <w:t>capacidad </w:t>
      </w:r>
      <w:r>
        <w:rPr>
          <w:color w:val="231F20"/>
        </w:rPr>
        <w:t>de </w:t>
      </w:r>
      <w:r>
        <w:rPr>
          <w:color w:val="231F20"/>
          <w:spacing w:val="3"/>
        </w:rPr>
        <w:t>engendrar </w:t>
      </w:r>
      <w:r>
        <w:rPr>
          <w:color w:val="231F20"/>
        </w:rPr>
        <w:t>el </w:t>
      </w:r>
      <w:r>
        <w:rPr>
          <w:rFonts w:ascii="Palatino Linotype" w:hAnsi="Palatino Linotype"/>
          <w:i/>
          <w:color w:val="231F20"/>
          <w:spacing w:val="2"/>
        </w:rPr>
        <w:t>habitus</w:t>
      </w:r>
      <w:r>
        <w:rPr>
          <w:color w:val="231F20"/>
          <w:spacing w:val="2"/>
        </w:rPr>
        <w:t>: por </w:t>
      </w:r>
      <w:r>
        <w:rPr>
          <w:color w:val="231F20"/>
        </w:rPr>
        <w:t>su </w:t>
      </w:r>
      <w:r>
        <w:rPr>
          <w:color w:val="231F20"/>
          <w:spacing w:val="2"/>
        </w:rPr>
        <w:t>capacidad </w:t>
      </w:r>
      <w:r>
        <w:rPr>
          <w:color w:val="231F20"/>
        </w:rPr>
        <w:t>de </w:t>
      </w:r>
      <w:r>
        <w:rPr>
          <w:color w:val="231F20"/>
          <w:spacing w:val="2"/>
        </w:rPr>
        <w:t>engendrar, </w:t>
      </w:r>
      <w:r>
        <w:rPr>
          <w:color w:val="231F20"/>
        </w:rPr>
        <w:t>de </w:t>
      </w:r>
      <w:r>
        <w:rPr>
          <w:color w:val="231F20"/>
          <w:spacing w:val="3"/>
        </w:rPr>
        <w:t>modo </w:t>
      </w:r>
      <w:r>
        <w:rPr>
          <w:color w:val="231F20"/>
          <w:spacing w:val="2"/>
        </w:rPr>
        <w:t>duradero, una </w:t>
      </w:r>
      <w:r>
        <w:rPr>
          <w:color w:val="231F20"/>
          <w:spacing w:val="3"/>
        </w:rPr>
        <w:t>forma </w:t>
      </w:r>
      <w:r>
        <w:rPr>
          <w:color w:val="231F20"/>
        </w:rPr>
        <w:t>de ser y de </w:t>
      </w:r>
      <w:r>
        <w:rPr>
          <w:color w:val="231F20"/>
          <w:spacing w:val="2"/>
        </w:rPr>
        <w:t>valorar, unas prácticas  </w:t>
      </w:r>
      <w:r>
        <w:rPr>
          <w:color w:val="231F20"/>
          <w:spacing w:val="3"/>
        </w:rPr>
        <w:t>conformes  </w:t>
      </w:r>
      <w:r>
        <w:rPr>
          <w:color w:val="231F20"/>
        </w:rPr>
        <w:t>a  </w:t>
      </w:r>
      <w:r>
        <w:rPr>
          <w:color w:val="231F20"/>
          <w:spacing w:val="2"/>
        </w:rPr>
        <w:t>los principios </w:t>
      </w:r>
      <w:r>
        <w:rPr>
          <w:color w:val="231F20"/>
        </w:rPr>
        <w:t>de la </w:t>
      </w:r>
      <w:r>
        <w:rPr>
          <w:color w:val="231F20"/>
          <w:spacing w:val="2"/>
        </w:rPr>
        <w:t>arbitrariedad inculcada. </w:t>
      </w:r>
      <w:r>
        <w:rPr>
          <w:color w:val="231F20"/>
          <w:spacing w:val="3"/>
        </w:rPr>
        <w:t>También </w:t>
      </w:r>
      <w:r>
        <w:rPr>
          <w:color w:val="231F20"/>
        </w:rPr>
        <w:t>se </w:t>
      </w:r>
      <w:r>
        <w:rPr>
          <w:color w:val="231F20"/>
          <w:spacing w:val="2"/>
        </w:rPr>
        <w:t>valora por </w:t>
      </w:r>
      <w:r>
        <w:rPr>
          <w:color w:val="231F20"/>
        </w:rPr>
        <w:t>la </w:t>
      </w:r>
      <w:r>
        <w:rPr>
          <w:color w:val="231F20"/>
          <w:spacing w:val="2"/>
        </w:rPr>
        <w:t>capacidad </w:t>
      </w:r>
      <w:r>
        <w:rPr>
          <w:color w:val="231F20"/>
        </w:rPr>
        <w:t>de </w:t>
      </w:r>
      <w:r>
        <w:rPr>
          <w:color w:val="231F20"/>
          <w:spacing w:val="2"/>
        </w:rPr>
        <w:t>que </w:t>
      </w:r>
      <w:r>
        <w:rPr>
          <w:color w:val="231F20"/>
        </w:rPr>
        <w:t>el </w:t>
      </w:r>
      <w:r>
        <w:rPr>
          <w:rFonts w:ascii="Palatino Linotype" w:hAnsi="Palatino Linotype"/>
          <w:i/>
          <w:color w:val="231F20"/>
          <w:spacing w:val="2"/>
        </w:rPr>
        <w:t>habitus </w:t>
      </w:r>
      <w:r>
        <w:rPr>
          <w:color w:val="231F20"/>
          <w:spacing w:val="2"/>
        </w:rPr>
        <w:t>–arbitrariedad inculcada– </w:t>
      </w:r>
      <w:r>
        <w:rPr>
          <w:color w:val="231F20"/>
        </w:rPr>
        <w:t>sea </w:t>
      </w:r>
      <w:r>
        <w:rPr>
          <w:color w:val="231F20"/>
          <w:spacing w:val="2"/>
        </w:rPr>
        <w:t>capaz </w:t>
      </w:r>
      <w:r>
        <w:rPr>
          <w:color w:val="231F20"/>
        </w:rPr>
        <w:t>de ser </w:t>
      </w:r>
      <w:r>
        <w:rPr>
          <w:color w:val="231F20"/>
          <w:spacing w:val="2"/>
        </w:rPr>
        <w:t>transferible </w:t>
      </w:r>
      <w:r>
        <w:rPr>
          <w:color w:val="231F20"/>
        </w:rPr>
        <w:t>a </w:t>
      </w:r>
      <w:r>
        <w:rPr>
          <w:color w:val="231F20"/>
          <w:spacing w:val="2"/>
        </w:rPr>
        <w:t>otros </w:t>
      </w:r>
      <w:r>
        <w:rPr>
          <w:color w:val="231F20"/>
        </w:rPr>
        <w:t>y a </w:t>
      </w:r>
      <w:r>
        <w:rPr>
          <w:color w:val="231F20"/>
          <w:spacing w:val="2"/>
        </w:rPr>
        <w:t>prácticas </w:t>
      </w:r>
      <w:r>
        <w:rPr>
          <w:color w:val="231F20"/>
        </w:rPr>
        <w:t>en el </w:t>
      </w:r>
      <w:r>
        <w:rPr>
          <w:color w:val="231F20"/>
          <w:spacing w:val="3"/>
        </w:rPr>
        <w:t>mayor número </w:t>
      </w:r>
      <w:r>
        <w:rPr>
          <w:color w:val="231F20"/>
        </w:rPr>
        <w:t>de  </w:t>
      </w:r>
      <w:r>
        <w:rPr>
          <w:color w:val="231F20"/>
          <w:spacing w:val="2"/>
        </w:rPr>
        <w:t>distintos </w:t>
      </w:r>
      <w:r>
        <w:rPr>
          <w:color w:val="231F20"/>
          <w:spacing w:val="3"/>
        </w:rPr>
        <w:t>campos. También </w:t>
      </w:r>
      <w:r>
        <w:rPr>
          <w:color w:val="231F20"/>
        </w:rPr>
        <w:t>se </w:t>
      </w:r>
      <w:r>
        <w:rPr>
          <w:color w:val="231F20"/>
          <w:spacing w:val="2"/>
        </w:rPr>
        <w:t>juzga </w:t>
      </w:r>
      <w:r>
        <w:rPr>
          <w:color w:val="231F20"/>
        </w:rPr>
        <w:t>la </w:t>
      </w:r>
      <w:r>
        <w:rPr>
          <w:color w:val="231F20"/>
          <w:spacing w:val="3"/>
        </w:rPr>
        <w:t>productividad </w:t>
      </w:r>
      <w:r>
        <w:rPr>
          <w:color w:val="231F20"/>
          <w:spacing w:val="2"/>
        </w:rPr>
        <w:t>del trabajo pedagógico por </w:t>
      </w:r>
      <w:r>
        <w:rPr>
          <w:color w:val="231F20"/>
        </w:rPr>
        <w:t>el </w:t>
      </w:r>
      <w:r>
        <w:rPr>
          <w:color w:val="231F20"/>
          <w:spacing w:val="2"/>
        </w:rPr>
        <w:t>grado </w:t>
      </w:r>
      <w:r>
        <w:rPr>
          <w:color w:val="231F20"/>
        </w:rPr>
        <w:t>en el que el </w:t>
      </w:r>
      <w:r>
        <w:rPr>
          <w:rFonts w:ascii="Palatino Linotype" w:hAnsi="Palatino Linotype"/>
          <w:i/>
          <w:color w:val="231F20"/>
          <w:spacing w:val="2"/>
        </w:rPr>
        <w:t>habitus </w:t>
      </w:r>
      <w:r>
        <w:rPr>
          <w:color w:val="231F20"/>
        </w:rPr>
        <w:t>que </w:t>
      </w:r>
      <w:r>
        <w:rPr>
          <w:color w:val="231F20"/>
          <w:spacing w:val="2"/>
        </w:rPr>
        <w:t>produce </w:t>
      </w:r>
      <w:r>
        <w:rPr>
          <w:color w:val="231F20"/>
        </w:rPr>
        <w:t>es </w:t>
      </w:r>
      <w:r>
        <w:rPr>
          <w:color w:val="231F20"/>
          <w:spacing w:val="2"/>
        </w:rPr>
        <w:t>exhaustivo: </w:t>
      </w:r>
      <w:r>
        <w:rPr>
          <w:color w:val="231F20"/>
        </w:rPr>
        <w:t>que se </w:t>
      </w:r>
      <w:r>
        <w:rPr>
          <w:color w:val="231F20"/>
          <w:spacing w:val="3"/>
        </w:rPr>
        <w:t>reproduce </w:t>
      </w:r>
      <w:r>
        <w:rPr>
          <w:color w:val="231F20"/>
          <w:spacing w:val="2"/>
        </w:rPr>
        <w:t>más </w:t>
      </w:r>
      <w:r>
        <w:rPr>
          <w:color w:val="231F20"/>
          <w:spacing w:val="3"/>
        </w:rPr>
        <w:t>completamente </w:t>
      </w:r>
      <w:r>
        <w:rPr>
          <w:color w:val="231F20"/>
        </w:rPr>
        <w:t>en las </w:t>
      </w:r>
      <w:r>
        <w:rPr>
          <w:color w:val="231F20"/>
          <w:spacing w:val="2"/>
        </w:rPr>
        <w:t>prácticas </w:t>
      </w:r>
      <w:r>
        <w:rPr>
          <w:color w:val="231F20"/>
        </w:rPr>
        <w:t>que </w:t>
      </w:r>
      <w:r>
        <w:rPr>
          <w:color w:val="231F20"/>
          <w:spacing w:val="2"/>
        </w:rPr>
        <w:t>engendran los principios </w:t>
      </w:r>
      <w:r>
        <w:rPr>
          <w:color w:val="231F20"/>
        </w:rPr>
        <w:t>de la </w:t>
      </w:r>
      <w:r>
        <w:rPr>
          <w:color w:val="231F20"/>
          <w:spacing w:val="2"/>
        </w:rPr>
        <w:t>arbitrariedad cultural </w:t>
      </w:r>
      <w:r>
        <w:rPr>
          <w:color w:val="231F20"/>
        </w:rPr>
        <w:t>de  un </w:t>
      </w:r>
      <w:r>
        <w:rPr>
          <w:color w:val="231F20"/>
          <w:spacing w:val="2"/>
        </w:rPr>
        <w:t>grupo </w:t>
      </w:r>
      <w:r>
        <w:rPr>
          <w:color w:val="231F20"/>
        </w:rPr>
        <w:t>o </w:t>
      </w:r>
      <w:r>
        <w:rPr>
          <w:color w:val="231F20"/>
          <w:spacing w:val="2"/>
        </w:rPr>
        <w:t>clase</w:t>
      </w:r>
      <w:r>
        <w:rPr>
          <w:color w:val="231F20"/>
          <w:spacing w:val="-14"/>
        </w:rPr>
        <w:t> </w:t>
      </w:r>
      <w:r>
        <w:rPr>
          <w:color w:val="231F20"/>
          <w:spacing w:val="2"/>
        </w:rPr>
        <w:t>social.</w:t>
      </w:r>
    </w:p>
    <w:p>
      <w:pPr>
        <w:pStyle w:val="BodyText"/>
        <w:spacing w:line="242" w:lineRule="auto" w:before="8"/>
        <w:ind w:left="102" w:right="116" w:firstLine="284"/>
        <w:jc w:val="both"/>
      </w:pPr>
      <w:r>
        <w:rPr>
          <w:color w:val="231F20"/>
        </w:rPr>
        <w:t>El trabajo pedagógico se delimita a inculcar la definición  legítima del modo de inculcar el contenido y el tiempo legítimo necesario para la formación. El trabajo pedagógico presupone </w:t>
      </w:r>
      <w:r>
        <w:rPr>
          <w:color w:val="231F20"/>
          <w:spacing w:val="2"/>
        </w:rPr>
        <w:t>que </w:t>
      </w:r>
      <w:r>
        <w:rPr>
          <w:color w:val="231F20"/>
        </w:rPr>
        <w:t>los destinatarios están dotados del </w:t>
      </w:r>
      <w:r>
        <w:rPr>
          <w:rFonts w:ascii="Palatino Linotype" w:hAnsi="Palatino Linotype"/>
          <w:i/>
          <w:color w:val="231F20"/>
        </w:rPr>
        <w:t>habitus </w:t>
      </w:r>
      <w:r>
        <w:rPr>
          <w:color w:val="231F20"/>
        </w:rPr>
        <w:t>adecuado (del </w:t>
      </w:r>
      <w:r>
        <w:rPr>
          <w:rFonts w:ascii="Palatino Linotype" w:hAnsi="Palatino Linotype"/>
          <w:i/>
          <w:color w:val="231F20"/>
        </w:rPr>
        <w:t>ethos </w:t>
      </w:r>
      <w:r>
        <w:rPr>
          <w:color w:val="231F20"/>
        </w:rPr>
        <w:t>pedagógico y del capital cultural propio de los grupos </w:t>
      </w:r>
      <w:r>
        <w:rPr>
          <w:color w:val="231F20"/>
          <w:spacing w:val="2"/>
        </w:rPr>
        <w:t>que </w:t>
      </w:r>
      <w:r>
        <w:rPr>
          <w:color w:val="231F20"/>
        </w:rPr>
        <w:t>reproducen la arbitrariedad cultural). El éxito del trabajo  pedagógico, de la imposición simbólica de un arbitrario cultural,  está en función del grado en que logra explicitar y sistematizar los principios que el grupo al que se dirige posee ya en estado</w:t>
      </w:r>
      <w:r>
        <w:rPr>
          <w:color w:val="231F20"/>
          <w:spacing w:val="4"/>
        </w:rPr>
        <w:t> </w:t>
      </w:r>
      <w:r>
        <w:rPr>
          <w:color w:val="231F20"/>
        </w:rPr>
        <w:t>práctico.</w:t>
      </w:r>
    </w:p>
    <w:p>
      <w:pPr>
        <w:pStyle w:val="BodyText"/>
        <w:spacing w:line="244" w:lineRule="auto" w:before="6"/>
        <w:ind w:left="102" w:right="115" w:firstLine="283"/>
        <w:jc w:val="both"/>
      </w:pPr>
      <w:r>
        <w:rPr>
          <w:color w:val="231F20"/>
          <w:spacing w:val="2"/>
        </w:rPr>
        <w:t>Bourdieu señaló </w:t>
      </w:r>
      <w:r>
        <w:rPr>
          <w:color w:val="231F20"/>
        </w:rPr>
        <w:t>que </w:t>
      </w:r>
      <w:r>
        <w:rPr>
          <w:color w:val="231F20"/>
          <w:spacing w:val="2"/>
        </w:rPr>
        <w:t>existe </w:t>
      </w:r>
      <w:r>
        <w:rPr>
          <w:color w:val="231F20"/>
        </w:rPr>
        <w:t>un </w:t>
      </w:r>
      <w:r>
        <w:rPr>
          <w:color w:val="231F20"/>
          <w:spacing w:val="2"/>
        </w:rPr>
        <w:t>trabajo pedagógico primario característico </w:t>
      </w:r>
      <w:r>
        <w:rPr>
          <w:color w:val="231F20"/>
        </w:rPr>
        <w:t>de un </w:t>
      </w:r>
      <w:r>
        <w:rPr>
          <w:color w:val="231F20"/>
          <w:spacing w:val="3"/>
        </w:rPr>
        <w:t>grupo, </w:t>
      </w:r>
      <w:r>
        <w:rPr>
          <w:color w:val="231F20"/>
          <w:spacing w:val="2"/>
        </w:rPr>
        <w:t>que está </w:t>
      </w:r>
      <w:r>
        <w:rPr>
          <w:color w:val="231F20"/>
        </w:rPr>
        <w:t>en el </w:t>
      </w:r>
      <w:r>
        <w:rPr>
          <w:color w:val="231F20"/>
          <w:spacing w:val="2"/>
        </w:rPr>
        <w:t>origen </w:t>
      </w:r>
      <w:r>
        <w:rPr>
          <w:color w:val="231F20"/>
        </w:rPr>
        <w:t>de la </w:t>
      </w:r>
      <w:r>
        <w:rPr>
          <w:color w:val="231F20"/>
          <w:spacing w:val="3"/>
        </w:rPr>
        <w:t>constitución </w:t>
      </w:r>
      <w:r>
        <w:rPr>
          <w:color w:val="231F20"/>
          <w:spacing w:val="2"/>
        </w:rPr>
        <w:t>ulterior </w:t>
      </w:r>
      <w:r>
        <w:rPr>
          <w:color w:val="231F20"/>
        </w:rPr>
        <w:t>de </w:t>
      </w:r>
      <w:r>
        <w:rPr>
          <w:color w:val="231F20"/>
          <w:spacing w:val="2"/>
        </w:rPr>
        <w:t>cualquier otro </w:t>
      </w:r>
      <w:r>
        <w:rPr>
          <w:rFonts w:ascii="Palatino Linotype" w:hAnsi="Palatino Linotype"/>
          <w:i/>
          <w:color w:val="231F20"/>
          <w:spacing w:val="2"/>
        </w:rPr>
        <w:t>habitus</w:t>
      </w:r>
      <w:r>
        <w:rPr>
          <w:color w:val="231F20"/>
          <w:spacing w:val="2"/>
        </w:rPr>
        <w:t>. </w:t>
      </w:r>
      <w:r>
        <w:rPr>
          <w:color w:val="231F20"/>
        </w:rPr>
        <w:t>El </w:t>
      </w:r>
      <w:r>
        <w:rPr>
          <w:color w:val="231F20"/>
          <w:spacing w:val="2"/>
        </w:rPr>
        <w:t>trabajo pedagógico </w:t>
      </w:r>
      <w:r>
        <w:rPr>
          <w:color w:val="231F20"/>
        </w:rPr>
        <w:t>es un </w:t>
      </w:r>
      <w:r>
        <w:rPr>
          <w:color w:val="231F20"/>
          <w:spacing w:val="2"/>
        </w:rPr>
        <w:t>proceso irreversible </w:t>
      </w:r>
      <w:r>
        <w:rPr>
          <w:color w:val="231F20"/>
        </w:rPr>
        <w:t>que </w:t>
      </w:r>
      <w:r>
        <w:rPr>
          <w:color w:val="231F20"/>
          <w:spacing w:val="2"/>
        </w:rPr>
        <w:t>produce una disposición irreversible, </w:t>
      </w:r>
      <w:r>
        <w:rPr>
          <w:color w:val="231F20"/>
          <w:spacing w:val="3"/>
        </w:rPr>
        <w:t>es </w:t>
      </w:r>
      <w:r>
        <w:rPr>
          <w:color w:val="231F20"/>
          <w:spacing w:val="2"/>
        </w:rPr>
        <w:t>decir, una disposición que solo puede </w:t>
      </w:r>
      <w:r>
        <w:rPr>
          <w:color w:val="231F20"/>
        </w:rPr>
        <w:t>ser </w:t>
      </w:r>
      <w:r>
        <w:rPr>
          <w:color w:val="231F20"/>
          <w:spacing w:val="2"/>
        </w:rPr>
        <w:t>reprimida  </w:t>
      </w:r>
      <w:r>
        <w:rPr>
          <w:color w:val="231F20"/>
        </w:rPr>
        <w:t>o  </w:t>
      </w:r>
      <w:r>
        <w:rPr>
          <w:color w:val="231F20"/>
          <w:spacing w:val="3"/>
        </w:rPr>
        <w:t>transformada </w:t>
      </w:r>
      <w:r>
        <w:rPr>
          <w:color w:val="231F20"/>
          <w:spacing w:val="2"/>
        </w:rPr>
        <w:t>por </w:t>
      </w:r>
      <w:r>
        <w:rPr>
          <w:color w:val="231F20"/>
        </w:rPr>
        <w:t>un </w:t>
      </w:r>
      <w:r>
        <w:rPr>
          <w:color w:val="231F20"/>
          <w:spacing w:val="2"/>
        </w:rPr>
        <w:t>proceso </w:t>
      </w:r>
      <w:r>
        <w:rPr>
          <w:color w:val="231F20"/>
        </w:rPr>
        <w:t>que no </w:t>
      </w:r>
      <w:r>
        <w:rPr>
          <w:color w:val="231F20"/>
          <w:spacing w:val="2"/>
        </w:rPr>
        <w:t>puede volverse </w:t>
      </w:r>
      <w:r>
        <w:rPr>
          <w:color w:val="231F20"/>
        </w:rPr>
        <w:t>a lo </w:t>
      </w:r>
      <w:r>
        <w:rPr>
          <w:color w:val="231F20"/>
          <w:spacing w:val="2"/>
        </w:rPr>
        <w:t>anterior.  </w:t>
      </w:r>
      <w:r>
        <w:rPr>
          <w:color w:val="231F20"/>
        </w:rPr>
        <w:t>El </w:t>
      </w:r>
      <w:r>
        <w:rPr>
          <w:color w:val="231F20"/>
          <w:spacing w:val="2"/>
        </w:rPr>
        <w:t>grado </w:t>
      </w:r>
      <w:r>
        <w:rPr>
          <w:color w:val="231F20"/>
        </w:rPr>
        <w:t>de </w:t>
      </w:r>
      <w:r>
        <w:rPr>
          <w:color w:val="231F20"/>
          <w:spacing w:val="2"/>
        </w:rPr>
        <w:t>productividad específica </w:t>
      </w:r>
      <w:r>
        <w:rPr>
          <w:color w:val="231F20"/>
        </w:rPr>
        <w:t>de </w:t>
      </w:r>
      <w:r>
        <w:rPr>
          <w:color w:val="231F20"/>
          <w:spacing w:val="2"/>
        </w:rPr>
        <w:t>cualquier trabajo pedagógico, distinto </w:t>
      </w:r>
      <w:r>
        <w:rPr>
          <w:color w:val="231F20"/>
        </w:rPr>
        <w:t>del </w:t>
      </w:r>
      <w:r>
        <w:rPr>
          <w:color w:val="231F20"/>
          <w:spacing w:val="2"/>
        </w:rPr>
        <w:t>primario, </w:t>
      </w:r>
      <w:r>
        <w:rPr>
          <w:color w:val="231F20"/>
        </w:rPr>
        <w:t>o sea un </w:t>
      </w:r>
      <w:r>
        <w:rPr>
          <w:color w:val="231F20"/>
          <w:spacing w:val="2"/>
        </w:rPr>
        <w:t>trabajo secundario </w:t>
      </w:r>
      <w:r>
        <w:rPr>
          <w:color w:val="231F20"/>
        </w:rPr>
        <w:t>o </w:t>
      </w:r>
      <w:r>
        <w:rPr>
          <w:color w:val="231F20"/>
          <w:spacing w:val="2"/>
        </w:rPr>
        <w:t>posterior </w:t>
      </w:r>
      <w:r>
        <w:rPr>
          <w:color w:val="231F20"/>
        </w:rPr>
        <w:t>en el </w:t>
      </w:r>
      <w:r>
        <w:rPr>
          <w:color w:val="231F20"/>
          <w:spacing w:val="3"/>
        </w:rPr>
        <w:t>tiempo, </w:t>
      </w:r>
      <w:r>
        <w:rPr>
          <w:color w:val="231F20"/>
          <w:spacing w:val="2"/>
        </w:rPr>
        <w:t>está </w:t>
      </w:r>
      <w:r>
        <w:rPr>
          <w:color w:val="231F20"/>
        </w:rPr>
        <w:t>en </w:t>
      </w:r>
      <w:r>
        <w:rPr>
          <w:color w:val="231F20"/>
          <w:spacing w:val="2"/>
        </w:rPr>
        <w:t>función </w:t>
      </w:r>
      <w:r>
        <w:rPr>
          <w:color w:val="231F20"/>
        </w:rPr>
        <w:t>de la </w:t>
      </w:r>
      <w:r>
        <w:rPr>
          <w:color w:val="231F20"/>
          <w:spacing w:val="2"/>
        </w:rPr>
        <w:t>distancia </w:t>
      </w:r>
      <w:r>
        <w:rPr>
          <w:color w:val="231F20"/>
        </w:rPr>
        <w:t>que </w:t>
      </w:r>
      <w:r>
        <w:rPr>
          <w:color w:val="231F20"/>
          <w:spacing w:val="2"/>
        </w:rPr>
        <w:t>separa    </w:t>
      </w:r>
      <w:r>
        <w:rPr>
          <w:color w:val="231F20"/>
        </w:rPr>
        <w:t>la </w:t>
      </w:r>
      <w:r>
        <w:rPr>
          <w:color w:val="231F20"/>
          <w:spacing w:val="2"/>
        </w:rPr>
        <w:t>arbitrariedad </w:t>
      </w:r>
      <w:r>
        <w:rPr>
          <w:color w:val="231F20"/>
          <w:spacing w:val="3"/>
        </w:rPr>
        <w:t>impuesta </w:t>
      </w:r>
      <w:r>
        <w:rPr>
          <w:color w:val="231F20"/>
        </w:rPr>
        <w:t>de </w:t>
      </w:r>
      <w:r>
        <w:rPr>
          <w:color w:val="231F20"/>
          <w:spacing w:val="2"/>
        </w:rPr>
        <w:t>aquella </w:t>
      </w:r>
      <w:r>
        <w:rPr>
          <w:color w:val="231F20"/>
        </w:rPr>
        <w:t>a </w:t>
      </w:r>
      <w:r>
        <w:rPr>
          <w:color w:val="231F20"/>
          <w:spacing w:val="2"/>
        </w:rPr>
        <w:t>inculcar. </w:t>
      </w:r>
      <w:r>
        <w:rPr>
          <w:color w:val="231F20"/>
        </w:rPr>
        <w:t>El </w:t>
      </w:r>
      <w:r>
        <w:rPr>
          <w:color w:val="231F20"/>
          <w:spacing w:val="2"/>
        </w:rPr>
        <w:t>trabajo pedagógico, </w:t>
      </w:r>
      <w:r>
        <w:rPr>
          <w:color w:val="231F20"/>
        </w:rPr>
        <w:t>en </w:t>
      </w:r>
      <w:r>
        <w:rPr>
          <w:color w:val="231F20"/>
          <w:spacing w:val="2"/>
        </w:rPr>
        <w:t>educación universitaria, difícilmente inicia </w:t>
      </w:r>
      <w:r>
        <w:rPr>
          <w:color w:val="231F20"/>
        </w:rPr>
        <w:t>sin </w:t>
      </w:r>
      <w:r>
        <w:rPr>
          <w:color w:val="231F20"/>
          <w:spacing w:val="2"/>
        </w:rPr>
        <w:t>una arbitrariedad impuesta </w:t>
      </w:r>
      <w:r>
        <w:rPr>
          <w:color w:val="231F20"/>
          <w:spacing w:val="3"/>
        </w:rPr>
        <w:t>previamente. </w:t>
      </w:r>
      <w:r>
        <w:rPr>
          <w:color w:val="231F20"/>
        </w:rPr>
        <w:t>El </w:t>
      </w:r>
      <w:r>
        <w:rPr>
          <w:color w:val="231F20"/>
          <w:spacing w:val="3"/>
        </w:rPr>
        <w:t>modo </w:t>
      </w:r>
      <w:r>
        <w:rPr>
          <w:color w:val="231F20"/>
        </w:rPr>
        <w:t>de </w:t>
      </w:r>
      <w:r>
        <w:rPr>
          <w:color w:val="231F20"/>
          <w:spacing w:val="2"/>
        </w:rPr>
        <w:t>inculcación </w:t>
      </w:r>
      <w:r>
        <w:rPr>
          <w:color w:val="231F20"/>
        </w:rPr>
        <w:t>es </w:t>
      </w:r>
      <w:r>
        <w:rPr>
          <w:color w:val="231F20"/>
          <w:spacing w:val="2"/>
        </w:rPr>
        <w:t>toral </w:t>
      </w:r>
      <w:r>
        <w:rPr>
          <w:color w:val="231F20"/>
        </w:rPr>
        <w:t>en un </w:t>
      </w:r>
      <w:r>
        <w:rPr>
          <w:color w:val="231F20"/>
          <w:spacing w:val="2"/>
        </w:rPr>
        <w:t>trabajo pedagógico secundario: organizar las </w:t>
      </w:r>
      <w:r>
        <w:rPr>
          <w:color w:val="231F20"/>
          <w:spacing w:val="3"/>
        </w:rPr>
        <w:t>condiciones </w:t>
      </w:r>
      <w:r>
        <w:rPr>
          <w:color w:val="231F20"/>
          <w:spacing w:val="2"/>
        </w:rPr>
        <w:t>sociales </w:t>
      </w:r>
      <w:r>
        <w:rPr>
          <w:color w:val="231F20"/>
        </w:rPr>
        <w:t>de su </w:t>
      </w:r>
      <w:r>
        <w:rPr>
          <w:color w:val="231F20"/>
          <w:spacing w:val="2"/>
        </w:rPr>
        <w:t>ejercicio </w:t>
      </w:r>
      <w:r>
        <w:rPr>
          <w:color w:val="231F20"/>
        </w:rPr>
        <w:t>de </w:t>
      </w:r>
      <w:r>
        <w:rPr>
          <w:color w:val="231F20"/>
          <w:spacing w:val="3"/>
        </w:rPr>
        <w:t>modo apropiado </w:t>
      </w:r>
      <w:r>
        <w:rPr>
          <w:color w:val="231F20"/>
          <w:spacing w:val="2"/>
        </w:rPr>
        <w:t>para liquidar</w:t>
      </w:r>
      <w:r>
        <w:rPr>
          <w:color w:val="231F20"/>
          <w:spacing w:val="-19"/>
        </w:rPr>
        <w:t> </w:t>
      </w:r>
      <w:r>
        <w:rPr>
          <w:color w:val="231F20"/>
        </w:rPr>
        <w:t>al</w:t>
      </w:r>
      <w:r>
        <w:rPr>
          <w:color w:val="231F20"/>
          <w:spacing w:val="-19"/>
        </w:rPr>
        <w:t> </w:t>
      </w:r>
      <w:r>
        <w:rPr>
          <w:color w:val="231F20"/>
          <w:spacing w:val="3"/>
        </w:rPr>
        <w:t>«hombre</w:t>
      </w:r>
      <w:r>
        <w:rPr>
          <w:color w:val="231F20"/>
          <w:spacing w:val="-19"/>
        </w:rPr>
        <w:t> </w:t>
      </w:r>
      <w:r>
        <w:rPr>
          <w:color w:val="231F20"/>
          <w:spacing w:val="2"/>
        </w:rPr>
        <w:t>viejo»</w:t>
      </w:r>
      <w:r>
        <w:rPr>
          <w:color w:val="231F20"/>
          <w:spacing w:val="-19"/>
        </w:rPr>
        <w:t> </w:t>
      </w:r>
      <w:r>
        <w:rPr>
          <w:color w:val="231F20"/>
        </w:rPr>
        <w:t>y</w:t>
      </w:r>
      <w:r>
        <w:rPr>
          <w:color w:val="231F20"/>
          <w:spacing w:val="-19"/>
        </w:rPr>
        <w:t> </w:t>
      </w:r>
      <w:r>
        <w:rPr>
          <w:color w:val="231F20"/>
          <w:spacing w:val="3"/>
        </w:rPr>
        <w:t>engendrar</w:t>
      </w:r>
      <w:r>
        <w:rPr>
          <w:color w:val="231F20"/>
          <w:spacing w:val="-19"/>
        </w:rPr>
        <w:t> </w:t>
      </w:r>
      <w:r>
        <w:rPr>
          <w:rFonts w:ascii="Palatino Linotype" w:hAnsi="Palatino Linotype"/>
          <w:i/>
          <w:color w:val="231F20"/>
        </w:rPr>
        <w:t>ex</w:t>
      </w:r>
      <w:r>
        <w:rPr>
          <w:rFonts w:ascii="Palatino Linotype" w:hAnsi="Palatino Linotype"/>
          <w:i/>
          <w:color w:val="231F20"/>
          <w:spacing w:val="-19"/>
        </w:rPr>
        <w:t> </w:t>
      </w:r>
      <w:r>
        <w:rPr>
          <w:rFonts w:ascii="Palatino Linotype" w:hAnsi="Palatino Linotype"/>
          <w:i/>
          <w:color w:val="231F20"/>
          <w:spacing w:val="2"/>
        </w:rPr>
        <w:t>nihilo,</w:t>
      </w:r>
      <w:r>
        <w:rPr>
          <w:color w:val="231F20"/>
          <w:spacing w:val="2"/>
        </w:rPr>
        <w:t>en</w:t>
      </w:r>
      <w:r>
        <w:rPr>
          <w:color w:val="231F20"/>
          <w:spacing w:val="-19"/>
        </w:rPr>
        <w:t> </w:t>
      </w:r>
      <w:r>
        <w:rPr>
          <w:color w:val="231F20"/>
        </w:rPr>
        <w:t>el</w:t>
      </w:r>
      <w:r>
        <w:rPr>
          <w:color w:val="231F20"/>
          <w:spacing w:val="-19"/>
        </w:rPr>
        <w:t> </w:t>
      </w:r>
      <w:r>
        <w:rPr>
          <w:color w:val="231F20"/>
          <w:spacing w:val="2"/>
        </w:rPr>
        <w:t>nuevo</w:t>
      </w:r>
      <w:r>
        <w:rPr>
          <w:color w:val="231F20"/>
          <w:spacing w:val="-19"/>
        </w:rPr>
        <w:t> </w:t>
      </w:r>
      <w:r>
        <w:rPr>
          <w:rFonts w:ascii="Palatino Linotype" w:hAnsi="Palatino Linotype"/>
          <w:i/>
          <w:color w:val="231F20"/>
          <w:spacing w:val="2"/>
        </w:rPr>
        <w:t>habitus</w:t>
      </w:r>
      <w:r>
        <w:rPr>
          <w:color w:val="231F20"/>
          <w:spacing w:val="2"/>
        </w:rPr>
        <w:t>.</w:t>
      </w:r>
    </w:p>
    <w:p>
      <w:pPr>
        <w:spacing w:after="0" w:line="244" w:lineRule="auto"/>
        <w:jc w:val="both"/>
        <w:sectPr>
          <w:headerReference w:type="default" r:id="rId351"/>
          <w:footerReference w:type="default" r:id="rId352"/>
          <w:pgSz w:w="7830" w:h="11910"/>
          <w:pgMar w:header="0" w:footer="424" w:top="500" w:bottom="620" w:left="920" w:right="900"/>
          <w:pgNumType w:start="16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20"/>
        <w:jc w:val="both"/>
      </w:pPr>
      <w:r>
        <w:rPr>
          <w:color w:val="231F20"/>
          <w:spacing w:val="2"/>
        </w:rPr>
        <w:t>Todo trabajo pedagógico secundario tiene </w:t>
      </w:r>
      <w:r>
        <w:rPr>
          <w:color w:val="231F20"/>
          <w:spacing w:val="3"/>
        </w:rPr>
        <w:t>como </w:t>
      </w:r>
      <w:r>
        <w:rPr>
          <w:color w:val="231F20"/>
          <w:spacing w:val="2"/>
        </w:rPr>
        <w:t>efecto propio producir prácticas irreductibles </w:t>
      </w:r>
      <w:r>
        <w:rPr>
          <w:color w:val="231F20"/>
        </w:rPr>
        <w:t>a las </w:t>
      </w:r>
      <w:r>
        <w:rPr>
          <w:color w:val="231F20"/>
          <w:spacing w:val="2"/>
        </w:rPr>
        <w:t>prácticas </w:t>
      </w:r>
      <w:r>
        <w:rPr>
          <w:color w:val="231F20"/>
        </w:rPr>
        <w:t>de las  que </w:t>
      </w:r>
      <w:r>
        <w:rPr>
          <w:color w:val="231F20"/>
          <w:spacing w:val="2"/>
        </w:rPr>
        <w:t>procura   </w:t>
      </w:r>
      <w:r>
        <w:rPr>
          <w:color w:val="231F20"/>
        </w:rPr>
        <w:t>el </w:t>
      </w:r>
      <w:r>
        <w:rPr>
          <w:color w:val="231F20"/>
          <w:spacing w:val="3"/>
        </w:rPr>
        <w:t>dominio</w:t>
      </w:r>
      <w:r>
        <w:rPr>
          <w:color w:val="231F20"/>
          <w:spacing w:val="-7"/>
        </w:rPr>
        <w:t> </w:t>
      </w:r>
      <w:r>
        <w:rPr>
          <w:color w:val="231F20"/>
          <w:spacing w:val="3"/>
        </w:rPr>
        <w:t>simbólico.</w:t>
      </w:r>
    </w:p>
    <w:p>
      <w:pPr>
        <w:pStyle w:val="BodyText"/>
        <w:spacing w:line="249" w:lineRule="auto" w:before="1"/>
        <w:ind w:left="102" w:right="115" w:firstLine="284"/>
        <w:jc w:val="both"/>
      </w:pPr>
      <w:r>
        <w:rPr>
          <w:color w:val="231F20"/>
          <w:spacing w:val="2"/>
        </w:rPr>
        <w:t>Todo sistema </w:t>
      </w:r>
      <w:r>
        <w:rPr>
          <w:color w:val="231F20"/>
        </w:rPr>
        <w:t>de </w:t>
      </w:r>
      <w:r>
        <w:rPr>
          <w:color w:val="231F20"/>
          <w:spacing w:val="3"/>
        </w:rPr>
        <w:t>enseñanza </w:t>
      </w:r>
      <w:r>
        <w:rPr>
          <w:color w:val="231F20"/>
          <w:spacing w:val="2"/>
        </w:rPr>
        <w:t>institucionalizado requiere </w:t>
      </w:r>
      <w:r>
        <w:rPr>
          <w:color w:val="231F20"/>
          <w:spacing w:val="3"/>
        </w:rPr>
        <w:t>autoreproducirse </w:t>
      </w:r>
      <w:r>
        <w:rPr>
          <w:color w:val="231F20"/>
        </w:rPr>
        <w:t>y </w:t>
      </w:r>
      <w:r>
        <w:rPr>
          <w:color w:val="231F20"/>
          <w:spacing w:val="3"/>
        </w:rPr>
        <w:t>producirse </w:t>
      </w:r>
      <w:r>
        <w:rPr>
          <w:color w:val="231F20"/>
          <w:spacing w:val="2"/>
        </w:rPr>
        <w:t>con </w:t>
      </w:r>
      <w:r>
        <w:rPr>
          <w:color w:val="231F20"/>
        </w:rPr>
        <w:t>sus </w:t>
      </w:r>
      <w:r>
        <w:rPr>
          <w:color w:val="231F20"/>
          <w:spacing w:val="3"/>
        </w:rPr>
        <w:t>propios medios. </w:t>
      </w:r>
      <w:r>
        <w:rPr>
          <w:color w:val="231F20"/>
          <w:spacing w:val="2"/>
        </w:rPr>
        <w:t>Ese par </w:t>
      </w:r>
      <w:r>
        <w:rPr>
          <w:color w:val="231F20"/>
          <w:spacing w:val="4"/>
        </w:rPr>
        <w:t>de </w:t>
      </w:r>
      <w:r>
        <w:rPr>
          <w:color w:val="231F20"/>
          <w:spacing w:val="3"/>
        </w:rPr>
        <w:t>hechos </w:t>
      </w:r>
      <w:r>
        <w:rPr>
          <w:color w:val="231F20"/>
          <w:spacing w:val="2"/>
        </w:rPr>
        <w:t>caracterizan </w:t>
      </w:r>
      <w:r>
        <w:rPr>
          <w:color w:val="231F20"/>
        </w:rPr>
        <w:t>las </w:t>
      </w:r>
      <w:r>
        <w:rPr>
          <w:color w:val="231F20"/>
          <w:spacing w:val="3"/>
        </w:rPr>
        <w:t>condiciones </w:t>
      </w:r>
      <w:r>
        <w:rPr>
          <w:color w:val="231F20"/>
          <w:spacing w:val="2"/>
        </w:rPr>
        <w:t>institucionales. </w:t>
      </w:r>
      <w:r>
        <w:rPr>
          <w:color w:val="231F20"/>
          <w:spacing w:val="3"/>
        </w:rPr>
        <w:t>Condiciones </w:t>
      </w:r>
      <w:r>
        <w:rPr>
          <w:color w:val="231F20"/>
          <w:spacing w:val="2"/>
        </w:rPr>
        <w:t>cuya existencia </w:t>
      </w:r>
      <w:r>
        <w:rPr>
          <w:color w:val="231F20"/>
        </w:rPr>
        <w:t>y </w:t>
      </w:r>
      <w:r>
        <w:rPr>
          <w:color w:val="231F20"/>
          <w:spacing w:val="2"/>
        </w:rPr>
        <w:t>persistencia son necesarias para </w:t>
      </w:r>
      <w:r>
        <w:rPr>
          <w:color w:val="231F20"/>
        </w:rPr>
        <w:t>el </w:t>
      </w:r>
      <w:r>
        <w:rPr>
          <w:color w:val="231F20"/>
          <w:spacing w:val="2"/>
        </w:rPr>
        <w:t>ejercicio </w:t>
      </w:r>
      <w:r>
        <w:rPr>
          <w:color w:val="231F20"/>
        </w:rPr>
        <w:t>de su </w:t>
      </w:r>
      <w:r>
        <w:rPr>
          <w:color w:val="231F20"/>
          <w:spacing w:val="2"/>
        </w:rPr>
        <w:t>función </w:t>
      </w:r>
      <w:r>
        <w:rPr>
          <w:color w:val="231F20"/>
        </w:rPr>
        <w:t>de </w:t>
      </w:r>
      <w:r>
        <w:rPr>
          <w:color w:val="231F20"/>
          <w:spacing w:val="2"/>
        </w:rPr>
        <w:t>inculcación </w:t>
      </w:r>
      <w:r>
        <w:rPr>
          <w:color w:val="231F20"/>
        </w:rPr>
        <w:t>de </w:t>
      </w:r>
      <w:r>
        <w:rPr>
          <w:color w:val="231F20"/>
          <w:spacing w:val="2"/>
        </w:rPr>
        <w:t>una arbitrariedad cultural. Esa arbitrariedad cultural </w:t>
      </w:r>
      <w:r>
        <w:rPr>
          <w:color w:val="231F20"/>
        </w:rPr>
        <w:t>no es </w:t>
      </w:r>
      <w:r>
        <w:rPr>
          <w:color w:val="231F20"/>
          <w:spacing w:val="3"/>
        </w:rPr>
        <w:t>producto </w:t>
      </w:r>
      <w:r>
        <w:rPr>
          <w:color w:val="231F20"/>
        </w:rPr>
        <w:t>de la </w:t>
      </w:r>
      <w:r>
        <w:rPr>
          <w:color w:val="231F20"/>
          <w:spacing w:val="2"/>
        </w:rPr>
        <w:t>institución. Solo </w:t>
      </w:r>
      <w:r>
        <w:rPr>
          <w:color w:val="231F20"/>
        </w:rPr>
        <w:t>la </w:t>
      </w:r>
      <w:r>
        <w:rPr>
          <w:color w:val="231F20"/>
          <w:spacing w:val="3"/>
        </w:rPr>
        <w:t>reproduce. </w:t>
      </w:r>
      <w:r>
        <w:rPr>
          <w:color w:val="231F20"/>
        </w:rPr>
        <w:t>Al </w:t>
      </w:r>
      <w:r>
        <w:rPr>
          <w:color w:val="231F20"/>
          <w:spacing w:val="2"/>
        </w:rPr>
        <w:t>hacerlo </w:t>
      </w:r>
      <w:r>
        <w:rPr>
          <w:color w:val="231F20"/>
          <w:spacing w:val="3"/>
        </w:rPr>
        <w:t>contribuye </w:t>
      </w:r>
      <w:r>
        <w:rPr>
          <w:color w:val="231F20"/>
        </w:rPr>
        <w:t>a la </w:t>
      </w:r>
      <w:r>
        <w:rPr>
          <w:color w:val="231F20"/>
          <w:spacing w:val="3"/>
        </w:rPr>
        <w:t>reproducción </w:t>
      </w:r>
      <w:r>
        <w:rPr>
          <w:color w:val="231F20"/>
        </w:rPr>
        <w:t>de las </w:t>
      </w:r>
      <w:r>
        <w:rPr>
          <w:color w:val="231F20"/>
          <w:spacing w:val="2"/>
        </w:rPr>
        <w:t>relaciones entre los grupos sociales. </w:t>
      </w:r>
      <w:r>
        <w:rPr>
          <w:color w:val="231F20"/>
        </w:rPr>
        <w:t>El </w:t>
      </w:r>
      <w:r>
        <w:rPr>
          <w:color w:val="231F20"/>
          <w:spacing w:val="2"/>
        </w:rPr>
        <w:t>sistema educativo debe</w:t>
      </w:r>
      <w:r>
        <w:rPr>
          <w:color w:val="231F20"/>
          <w:spacing w:val="56"/>
        </w:rPr>
        <w:t> </w:t>
      </w:r>
      <w:r>
        <w:rPr>
          <w:color w:val="231F20"/>
          <w:spacing w:val="2"/>
        </w:rPr>
        <w:t>producir </w:t>
      </w:r>
      <w:r>
        <w:rPr>
          <w:color w:val="231F20"/>
        </w:rPr>
        <w:t>las </w:t>
      </w:r>
      <w:r>
        <w:rPr>
          <w:color w:val="231F20"/>
          <w:spacing w:val="2"/>
        </w:rPr>
        <w:t>condiciones institucionales </w:t>
      </w:r>
      <w:r>
        <w:rPr>
          <w:color w:val="231F20"/>
        </w:rPr>
        <w:t>que </w:t>
      </w:r>
      <w:r>
        <w:rPr>
          <w:color w:val="231F20"/>
          <w:spacing w:val="3"/>
        </w:rPr>
        <w:t>permitan,  </w:t>
      </w:r>
      <w:r>
        <w:rPr>
          <w:color w:val="231F20"/>
        </w:rPr>
        <w:t>a  </w:t>
      </w:r>
      <w:r>
        <w:rPr>
          <w:color w:val="231F20"/>
          <w:spacing w:val="2"/>
        </w:rPr>
        <w:t>los agentes intercambiables, ejercer </w:t>
      </w:r>
      <w:r>
        <w:rPr>
          <w:color w:val="231F20"/>
          <w:spacing w:val="3"/>
        </w:rPr>
        <w:t>continuamente </w:t>
      </w:r>
      <w:r>
        <w:rPr>
          <w:color w:val="231F20"/>
        </w:rPr>
        <w:t>un </w:t>
      </w:r>
      <w:r>
        <w:rPr>
          <w:color w:val="231F20"/>
          <w:spacing w:val="2"/>
        </w:rPr>
        <w:t>trabajo </w:t>
      </w:r>
      <w:r>
        <w:rPr>
          <w:color w:val="231F20"/>
          <w:spacing w:val="3"/>
        </w:rPr>
        <w:t>escolar </w:t>
      </w:r>
      <w:r>
        <w:rPr>
          <w:color w:val="231F20"/>
        </w:rPr>
        <w:t>que </w:t>
      </w:r>
      <w:r>
        <w:rPr>
          <w:color w:val="231F20"/>
          <w:spacing w:val="2"/>
        </w:rPr>
        <w:t>reproduzca </w:t>
      </w:r>
      <w:r>
        <w:rPr>
          <w:color w:val="231F20"/>
        </w:rPr>
        <w:t>la </w:t>
      </w:r>
      <w:r>
        <w:rPr>
          <w:color w:val="231F20"/>
          <w:spacing w:val="2"/>
        </w:rPr>
        <w:t>arbitrariedad cultural </w:t>
      </w:r>
      <w:r>
        <w:rPr>
          <w:color w:val="231F20"/>
        </w:rPr>
        <w:t>que </w:t>
      </w:r>
      <w:r>
        <w:rPr>
          <w:color w:val="231F20"/>
          <w:spacing w:val="2"/>
        </w:rPr>
        <w:t>está encargada </w:t>
      </w:r>
      <w:r>
        <w:rPr>
          <w:color w:val="231F20"/>
        </w:rPr>
        <w:t>de </w:t>
      </w:r>
      <w:r>
        <w:rPr>
          <w:color w:val="231F20"/>
          <w:spacing w:val="3"/>
        </w:rPr>
        <w:t>reproducir. </w:t>
      </w:r>
      <w:r>
        <w:rPr>
          <w:color w:val="231F20"/>
        </w:rPr>
        <w:t>El </w:t>
      </w:r>
      <w:r>
        <w:rPr>
          <w:color w:val="231F20"/>
          <w:spacing w:val="2"/>
        </w:rPr>
        <w:t>sistema educativo tiende </w:t>
      </w:r>
      <w:r>
        <w:rPr>
          <w:color w:val="231F20"/>
        </w:rPr>
        <w:t>a </w:t>
      </w:r>
      <w:r>
        <w:rPr>
          <w:color w:val="231F20"/>
          <w:spacing w:val="2"/>
        </w:rPr>
        <w:t>garantizar –al cuerpo </w:t>
      </w:r>
      <w:r>
        <w:rPr>
          <w:color w:val="231F20"/>
        </w:rPr>
        <w:t>de </w:t>
      </w:r>
      <w:r>
        <w:rPr>
          <w:color w:val="231F20"/>
          <w:spacing w:val="2"/>
        </w:rPr>
        <w:t>agentes, reclutados </w:t>
      </w:r>
      <w:r>
        <w:rPr>
          <w:color w:val="231F20"/>
        </w:rPr>
        <w:t>y </w:t>
      </w:r>
      <w:r>
        <w:rPr>
          <w:color w:val="231F20"/>
          <w:spacing w:val="3"/>
        </w:rPr>
        <w:t>formados </w:t>
      </w:r>
      <w:r>
        <w:rPr>
          <w:color w:val="231F20"/>
          <w:spacing w:val="2"/>
        </w:rPr>
        <w:t>para asegurar </w:t>
      </w:r>
      <w:r>
        <w:rPr>
          <w:color w:val="231F20"/>
        </w:rPr>
        <w:t>la </w:t>
      </w:r>
      <w:r>
        <w:rPr>
          <w:color w:val="231F20"/>
          <w:spacing w:val="2"/>
        </w:rPr>
        <w:t>inculcación– </w:t>
      </w:r>
      <w:r>
        <w:rPr>
          <w:color w:val="231F20"/>
          <w:spacing w:val="3"/>
        </w:rPr>
        <w:t>condiciones </w:t>
      </w:r>
      <w:r>
        <w:rPr>
          <w:color w:val="231F20"/>
          <w:spacing w:val="2"/>
        </w:rPr>
        <w:t>institucionales propicias. </w:t>
      </w:r>
      <w:r>
        <w:rPr>
          <w:color w:val="231F20"/>
        </w:rPr>
        <w:t>A la </w:t>
      </w:r>
      <w:r>
        <w:rPr>
          <w:color w:val="231F20"/>
          <w:spacing w:val="2"/>
        </w:rPr>
        <w:t>vez, debe evitarles </w:t>
      </w:r>
      <w:r>
        <w:rPr>
          <w:color w:val="231F20"/>
        </w:rPr>
        <w:t>e </w:t>
      </w:r>
      <w:r>
        <w:rPr>
          <w:color w:val="231F20"/>
          <w:spacing w:val="2"/>
        </w:rPr>
        <w:t>impedirles </w:t>
      </w:r>
      <w:r>
        <w:rPr>
          <w:color w:val="231F20"/>
        </w:rPr>
        <w:t>el </w:t>
      </w:r>
      <w:r>
        <w:rPr>
          <w:color w:val="231F20"/>
          <w:spacing w:val="2"/>
        </w:rPr>
        <w:t>ejercicio del trabajo escolar </w:t>
      </w:r>
      <w:r>
        <w:rPr>
          <w:color w:val="231F20"/>
          <w:spacing w:val="3"/>
        </w:rPr>
        <w:t>heterogéneo </w:t>
      </w:r>
      <w:r>
        <w:rPr>
          <w:color w:val="231F20"/>
        </w:rPr>
        <w:t>y </w:t>
      </w:r>
      <w:r>
        <w:rPr>
          <w:color w:val="231F20"/>
          <w:spacing w:val="3"/>
        </w:rPr>
        <w:t>heterodoxo: </w:t>
      </w:r>
      <w:r>
        <w:rPr>
          <w:color w:val="231F20"/>
          <w:spacing w:val="2"/>
        </w:rPr>
        <w:t>debe producir </w:t>
      </w:r>
      <w:r>
        <w:rPr>
          <w:color w:val="231F20"/>
        </w:rPr>
        <w:t>las </w:t>
      </w:r>
      <w:r>
        <w:rPr>
          <w:color w:val="231F20"/>
          <w:spacing w:val="3"/>
        </w:rPr>
        <w:t>mejores condiciones </w:t>
      </w:r>
      <w:r>
        <w:rPr>
          <w:color w:val="231F20"/>
          <w:spacing w:val="2"/>
        </w:rPr>
        <w:t>para  excluir, </w:t>
      </w:r>
      <w:r>
        <w:rPr>
          <w:color w:val="231F20"/>
        </w:rPr>
        <w:t>sin </w:t>
      </w:r>
      <w:r>
        <w:rPr>
          <w:color w:val="231F20"/>
          <w:spacing w:val="2"/>
        </w:rPr>
        <w:t>prohibición explícita, toda práctica </w:t>
      </w:r>
      <w:r>
        <w:rPr>
          <w:color w:val="231F20"/>
          <w:spacing w:val="3"/>
        </w:rPr>
        <w:t>incompatible </w:t>
      </w:r>
      <w:r>
        <w:rPr>
          <w:color w:val="231F20"/>
          <w:spacing w:val="2"/>
        </w:rPr>
        <w:t>con </w:t>
      </w:r>
      <w:r>
        <w:rPr>
          <w:color w:val="231F20"/>
        </w:rPr>
        <w:t>su  </w:t>
      </w:r>
      <w:r>
        <w:rPr>
          <w:color w:val="231F20"/>
          <w:spacing w:val="2"/>
        </w:rPr>
        <w:t>función </w:t>
      </w:r>
      <w:r>
        <w:rPr>
          <w:color w:val="231F20"/>
        </w:rPr>
        <w:t>de </w:t>
      </w:r>
      <w:r>
        <w:rPr>
          <w:color w:val="231F20"/>
          <w:spacing w:val="3"/>
        </w:rPr>
        <w:t>reproducción </w:t>
      </w:r>
      <w:r>
        <w:rPr>
          <w:color w:val="231F20"/>
        </w:rPr>
        <w:t>de la </w:t>
      </w:r>
      <w:r>
        <w:rPr>
          <w:color w:val="231F20"/>
          <w:spacing w:val="2"/>
        </w:rPr>
        <w:t>integración intelectual </w:t>
      </w:r>
      <w:r>
        <w:rPr>
          <w:color w:val="231F20"/>
        </w:rPr>
        <w:t>y </w:t>
      </w:r>
      <w:r>
        <w:rPr>
          <w:color w:val="231F20"/>
          <w:spacing w:val="3"/>
        </w:rPr>
        <w:t>moral </w:t>
      </w:r>
      <w:r>
        <w:rPr>
          <w:color w:val="231F20"/>
        </w:rPr>
        <w:t>de  </w:t>
      </w:r>
      <w:r>
        <w:rPr>
          <w:color w:val="231F20"/>
          <w:spacing w:val="2"/>
        </w:rPr>
        <w:t>los destinatarios legítimos. </w:t>
      </w:r>
      <w:r>
        <w:rPr>
          <w:color w:val="231F20"/>
        </w:rPr>
        <w:t>En </w:t>
      </w:r>
      <w:r>
        <w:rPr>
          <w:color w:val="231F20"/>
          <w:spacing w:val="2"/>
        </w:rPr>
        <w:t>otras palabras, debe garantizar las </w:t>
      </w:r>
      <w:r>
        <w:rPr>
          <w:color w:val="231F20"/>
          <w:spacing w:val="3"/>
        </w:rPr>
        <w:t>condiciones </w:t>
      </w:r>
      <w:r>
        <w:rPr>
          <w:color w:val="231F20"/>
          <w:spacing w:val="2"/>
        </w:rPr>
        <w:t>institucionales </w:t>
      </w:r>
      <w:r>
        <w:rPr>
          <w:color w:val="231F20"/>
        </w:rPr>
        <w:t>de la </w:t>
      </w:r>
      <w:r>
        <w:rPr>
          <w:color w:val="231F20"/>
          <w:spacing w:val="3"/>
        </w:rPr>
        <w:t>homogeneidad </w:t>
      </w:r>
      <w:r>
        <w:rPr>
          <w:color w:val="231F20"/>
        </w:rPr>
        <w:t>y de la </w:t>
      </w:r>
      <w:r>
        <w:rPr>
          <w:color w:val="231F20"/>
          <w:spacing w:val="2"/>
        </w:rPr>
        <w:t>ortodoxia del trabajo</w:t>
      </w:r>
      <w:r>
        <w:rPr>
          <w:color w:val="231F20"/>
          <w:spacing w:val="-8"/>
        </w:rPr>
        <w:t> </w:t>
      </w:r>
      <w:r>
        <w:rPr>
          <w:color w:val="231F20"/>
          <w:spacing w:val="3"/>
        </w:rPr>
        <w:t>educativo.</w:t>
      </w:r>
    </w:p>
    <w:p>
      <w:pPr>
        <w:pStyle w:val="BodyText"/>
        <w:spacing w:line="249" w:lineRule="auto"/>
        <w:ind w:left="102" w:right="114" w:firstLine="284"/>
        <w:jc w:val="both"/>
      </w:pPr>
      <w:r>
        <w:rPr>
          <w:color w:val="231F20"/>
          <w:spacing w:val="2"/>
        </w:rPr>
        <w:t>Las condenas </w:t>
      </w:r>
      <w:r>
        <w:rPr>
          <w:color w:val="231F20"/>
        </w:rPr>
        <w:t>de </w:t>
      </w:r>
      <w:r>
        <w:rPr>
          <w:color w:val="231F20"/>
          <w:spacing w:val="2"/>
        </w:rPr>
        <w:t>creadores </w:t>
      </w:r>
      <w:r>
        <w:rPr>
          <w:color w:val="231F20"/>
        </w:rPr>
        <w:t>o  </w:t>
      </w:r>
      <w:r>
        <w:rPr>
          <w:color w:val="231F20"/>
          <w:spacing w:val="2"/>
        </w:rPr>
        <w:t>heterodoxos dirigidas </w:t>
      </w:r>
      <w:r>
        <w:rPr>
          <w:color w:val="231F20"/>
        </w:rPr>
        <w:t>en  </w:t>
      </w:r>
      <w:r>
        <w:rPr>
          <w:color w:val="231F20"/>
          <w:spacing w:val="2"/>
        </w:rPr>
        <w:t>contra  </w:t>
      </w:r>
      <w:r>
        <w:rPr>
          <w:color w:val="231F20"/>
        </w:rPr>
        <w:t>de la </w:t>
      </w:r>
      <w:r>
        <w:rPr>
          <w:color w:val="231F20"/>
          <w:spacing w:val="2"/>
        </w:rPr>
        <w:t>ritualización </w:t>
      </w:r>
      <w:r>
        <w:rPr>
          <w:color w:val="231F20"/>
          <w:spacing w:val="3"/>
        </w:rPr>
        <w:t>profesoral </w:t>
      </w:r>
      <w:r>
        <w:rPr>
          <w:color w:val="231F20"/>
        </w:rPr>
        <w:t>se </w:t>
      </w:r>
      <w:r>
        <w:rPr>
          <w:color w:val="231F20"/>
          <w:spacing w:val="2"/>
        </w:rPr>
        <w:t>inspiran </w:t>
      </w:r>
      <w:r>
        <w:rPr>
          <w:color w:val="231F20"/>
        </w:rPr>
        <w:t>en la </w:t>
      </w:r>
      <w:r>
        <w:rPr>
          <w:color w:val="231F20"/>
          <w:spacing w:val="2"/>
        </w:rPr>
        <w:t>ilusión </w:t>
      </w:r>
      <w:r>
        <w:rPr>
          <w:color w:val="231F20"/>
        </w:rPr>
        <w:t>de </w:t>
      </w:r>
      <w:r>
        <w:rPr>
          <w:color w:val="231F20"/>
          <w:spacing w:val="2"/>
        </w:rPr>
        <w:t>que </w:t>
      </w:r>
      <w:r>
        <w:rPr>
          <w:color w:val="231F20"/>
        </w:rPr>
        <w:t>un </w:t>
      </w:r>
      <w:r>
        <w:rPr>
          <w:color w:val="231F20"/>
          <w:spacing w:val="2"/>
        </w:rPr>
        <w:t>trabajo educativo podría </w:t>
      </w:r>
      <w:r>
        <w:rPr>
          <w:color w:val="231F20"/>
        </w:rPr>
        <w:t>no </w:t>
      </w:r>
      <w:r>
        <w:rPr>
          <w:color w:val="231F20"/>
          <w:spacing w:val="2"/>
        </w:rPr>
        <w:t>estar marcado por sus condiciones institucionales </w:t>
      </w:r>
      <w:r>
        <w:rPr>
          <w:color w:val="231F20"/>
        </w:rPr>
        <w:t>de </w:t>
      </w:r>
      <w:r>
        <w:rPr>
          <w:color w:val="231F20"/>
          <w:spacing w:val="2"/>
        </w:rPr>
        <w:t>ejercicio: toda cultura escolar  está </w:t>
      </w:r>
      <w:r>
        <w:rPr>
          <w:color w:val="231F20"/>
          <w:spacing w:val="3"/>
        </w:rPr>
        <w:t>necesariamente homogeneizada </w:t>
      </w:r>
      <w:r>
        <w:rPr>
          <w:color w:val="231F20"/>
        </w:rPr>
        <w:t>y </w:t>
      </w:r>
      <w:r>
        <w:rPr>
          <w:color w:val="231F20"/>
          <w:spacing w:val="2"/>
        </w:rPr>
        <w:t>ritualizada: por </w:t>
      </w:r>
      <w:r>
        <w:rPr>
          <w:color w:val="231F20"/>
        </w:rPr>
        <w:t>y </w:t>
      </w:r>
      <w:r>
        <w:rPr>
          <w:color w:val="231F20"/>
          <w:spacing w:val="2"/>
        </w:rPr>
        <w:t>para </w:t>
      </w:r>
      <w:r>
        <w:rPr>
          <w:color w:val="231F20"/>
        </w:rPr>
        <w:t>la </w:t>
      </w:r>
      <w:r>
        <w:rPr>
          <w:color w:val="231F20"/>
          <w:spacing w:val="2"/>
        </w:rPr>
        <w:t>rutina del trabajo educativo, por </w:t>
      </w:r>
      <w:r>
        <w:rPr>
          <w:color w:val="231F20"/>
        </w:rPr>
        <w:t>y </w:t>
      </w:r>
      <w:r>
        <w:rPr>
          <w:color w:val="231F20"/>
          <w:spacing w:val="2"/>
        </w:rPr>
        <w:t>para ejercicios </w:t>
      </w:r>
      <w:r>
        <w:rPr>
          <w:color w:val="231F20"/>
        </w:rPr>
        <w:t>de </w:t>
      </w:r>
      <w:r>
        <w:rPr>
          <w:color w:val="231F20"/>
          <w:spacing w:val="2"/>
        </w:rPr>
        <w:t>repetición </w:t>
      </w:r>
      <w:r>
        <w:rPr>
          <w:color w:val="231F20"/>
        </w:rPr>
        <w:t>y </w:t>
      </w:r>
      <w:r>
        <w:rPr>
          <w:color w:val="231F20"/>
          <w:spacing w:val="2"/>
        </w:rPr>
        <w:t>restitución. Estos trabajos deben </w:t>
      </w:r>
      <w:r>
        <w:rPr>
          <w:color w:val="231F20"/>
        </w:rPr>
        <w:t>ser </w:t>
      </w:r>
      <w:r>
        <w:rPr>
          <w:color w:val="231F20"/>
          <w:spacing w:val="3"/>
        </w:rPr>
        <w:t>losuficientemente estereotipados como </w:t>
      </w:r>
      <w:r>
        <w:rPr>
          <w:color w:val="231F20"/>
          <w:spacing w:val="2"/>
        </w:rPr>
        <w:t>para que repetidores </w:t>
      </w:r>
      <w:r>
        <w:rPr>
          <w:color w:val="231F20"/>
        </w:rPr>
        <w:t>tan  </w:t>
      </w:r>
      <w:r>
        <w:rPr>
          <w:color w:val="231F20"/>
          <w:spacing w:val="2"/>
        </w:rPr>
        <w:t>sustituibles  </w:t>
      </w:r>
      <w:r>
        <w:rPr>
          <w:color w:val="231F20"/>
          <w:spacing w:val="3"/>
        </w:rPr>
        <w:t>como </w:t>
      </w:r>
      <w:r>
        <w:rPr>
          <w:color w:val="231F20"/>
        </w:rPr>
        <w:t>sea </w:t>
      </w:r>
      <w:r>
        <w:rPr>
          <w:color w:val="231F20"/>
          <w:spacing w:val="2"/>
        </w:rPr>
        <w:t>posible, puedan hacerlos repetir </w:t>
      </w:r>
      <w:r>
        <w:rPr>
          <w:color w:val="231F20"/>
          <w:spacing w:val="3"/>
        </w:rPr>
        <w:t>indefinidamente, </w:t>
      </w:r>
      <w:r>
        <w:rPr>
          <w:color w:val="231F20"/>
        </w:rPr>
        <w:t>ya sea </w:t>
      </w:r>
      <w:r>
        <w:rPr>
          <w:color w:val="231F20"/>
          <w:spacing w:val="2"/>
        </w:rPr>
        <w:t>para   </w:t>
      </w:r>
      <w:r>
        <w:rPr>
          <w:color w:val="231F20"/>
        </w:rPr>
        <w:t>la</w:t>
      </w:r>
      <w:r>
        <w:rPr>
          <w:color w:val="231F20"/>
          <w:spacing w:val="-7"/>
        </w:rPr>
        <w:t> </w:t>
      </w:r>
      <w:r>
        <w:rPr>
          <w:color w:val="231F20"/>
          <w:spacing w:val="3"/>
        </w:rPr>
        <w:t>formación</w:t>
      </w:r>
      <w:r>
        <w:rPr>
          <w:color w:val="231F20"/>
          <w:spacing w:val="-7"/>
        </w:rPr>
        <w:t> </w:t>
      </w:r>
      <w:r>
        <w:rPr>
          <w:color w:val="231F20"/>
        </w:rPr>
        <w:t>de</w:t>
      </w:r>
      <w:r>
        <w:rPr>
          <w:color w:val="231F20"/>
          <w:spacing w:val="-7"/>
        </w:rPr>
        <w:t> </w:t>
      </w:r>
      <w:r>
        <w:rPr>
          <w:color w:val="231F20"/>
        </w:rPr>
        <w:t>un</w:t>
      </w:r>
      <w:r>
        <w:rPr>
          <w:color w:val="231F20"/>
          <w:spacing w:val="-7"/>
        </w:rPr>
        <w:t> </w:t>
      </w:r>
      <w:r>
        <w:rPr>
          <w:i/>
          <w:color w:val="231F20"/>
          <w:spacing w:val="2"/>
        </w:rPr>
        <w:t>habitus</w:t>
      </w:r>
      <w:r>
        <w:rPr>
          <w:i/>
          <w:color w:val="231F20"/>
          <w:spacing w:val="-7"/>
        </w:rPr>
        <w:t> </w:t>
      </w:r>
      <w:r>
        <w:rPr>
          <w:color w:val="231F20"/>
          <w:spacing w:val="3"/>
        </w:rPr>
        <w:t>revolucionario</w:t>
      </w:r>
      <w:r>
        <w:rPr>
          <w:color w:val="231F20"/>
          <w:spacing w:val="-7"/>
        </w:rPr>
        <w:t> </w:t>
      </w:r>
      <w:r>
        <w:rPr>
          <w:color w:val="231F20"/>
        </w:rPr>
        <w:t>o</w:t>
      </w:r>
      <w:r>
        <w:rPr>
          <w:color w:val="231F20"/>
          <w:spacing w:val="-7"/>
        </w:rPr>
        <w:t> </w:t>
      </w:r>
      <w:r>
        <w:rPr>
          <w:color w:val="231F20"/>
          <w:spacing w:val="3"/>
        </w:rPr>
        <w:t>conservador.</w:t>
      </w:r>
    </w:p>
    <w:p>
      <w:pPr>
        <w:pStyle w:val="BodyText"/>
        <w:spacing w:line="247" w:lineRule="auto"/>
        <w:ind w:left="103" w:right="116" w:firstLine="284"/>
        <w:jc w:val="both"/>
      </w:pPr>
      <w:r>
        <w:rPr>
          <w:color w:val="231F20"/>
        </w:rPr>
        <w:t>Todo sistema de enseñanza institucionalizada debe producir y reproducir, por sus propios medios, las condiciones institucionales del desconocimiento de la violencia simbólica, de su legitimidad como institución. La eficiencia de su cometido de inculcación depende   del   ocultamiento   del   proceso   de   inculcación   de</w:t>
      </w:r>
      <w:r>
        <w:rPr>
          <w:color w:val="231F20"/>
          <w:spacing w:val="52"/>
        </w:rPr>
        <w:t> </w:t>
      </w:r>
      <w:r>
        <w:rPr>
          <w:color w:val="231F20"/>
        </w:rPr>
        <w:t>un</w:t>
      </w:r>
    </w:p>
    <w:p>
      <w:pPr>
        <w:spacing w:after="0" w:line="247" w:lineRule="auto"/>
        <w:jc w:val="both"/>
        <w:sectPr>
          <w:headerReference w:type="default" r:id="rId353"/>
          <w:footerReference w:type="default" r:id="rId354"/>
          <w:pgSz w:w="7830" w:h="11910"/>
          <w:pgMar w:header="0" w:footer="424" w:top="500" w:bottom="620" w:left="920" w:right="900"/>
          <w:pgNumType w:start="16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4"/>
        <w:jc w:val="both"/>
      </w:pPr>
      <w:r>
        <w:rPr>
          <w:color w:val="231F20"/>
        </w:rPr>
        <w:t>arbitrario cultural, por parte de un poder institucional arbitrario: inculcan no solo el arbitrario, sino que también el sistema  de  fuerzas en las que descansa. Las representaciones ideológicas de la independencia del trabajo pedagógico –respecto a las relaciones de fuerza que constituyen la formación social en la que se ejerce la autoridad pedagógica– se originan en la ilusión de que la violencia simbólica ejercida por un sistema de enseñanza institucionalizado, no mantiene ninguna relación con las relaciones de fuerza entre los grupos y clases sociales. Es decir, suponen una autonomía absoluta del sistema de enseñanza institucionalizado: desconocen que el trabajo educativo contribuye a reproducir las relaciones de fuerza  que soportan al mismo</w:t>
      </w:r>
      <w:r>
        <w:rPr>
          <w:color w:val="231F20"/>
          <w:spacing w:val="24"/>
        </w:rPr>
        <w:t> </w:t>
      </w:r>
      <w:r>
        <w:rPr>
          <w:color w:val="231F20"/>
        </w:rPr>
        <w:t>sistema.</w:t>
      </w:r>
    </w:p>
    <w:p>
      <w:pPr>
        <w:pStyle w:val="BodyText"/>
        <w:spacing w:line="249" w:lineRule="auto"/>
        <w:ind w:left="102" w:right="114" w:firstLine="284"/>
        <w:jc w:val="both"/>
      </w:pPr>
      <w:r>
        <w:rPr>
          <w:color w:val="231F20"/>
        </w:rPr>
        <w:t>El </w:t>
      </w:r>
      <w:r>
        <w:rPr>
          <w:color w:val="231F20"/>
          <w:spacing w:val="2"/>
        </w:rPr>
        <w:t>sistema </w:t>
      </w:r>
      <w:r>
        <w:rPr>
          <w:color w:val="231F20"/>
        </w:rPr>
        <w:t>de </w:t>
      </w:r>
      <w:r>
        <w:rPr>
          <w:color w:val="231F20"/>
          <w:spacing w:val="3"/>
        </w:rPr>
        <w:t>enseñanza </w:t>
      </w:r>
      <w:r>
        <w:rPr>
          <w:color w:val="231F20"/>
          <w:spacing w:val="2"/>
        </w:rPr>
        <w:t>institucionalizado </w:t>
      </w:r>
      <w:r>
        <w:rPr>
          <w:color w:val="231F20"/>
        </w:rPr>
        <w:t>es </w:t>
      </w:r>
      <w:r>
        <w:rPr>
          <w:color w:val="231F20"/>
          <w:spacing w:val="2"/>
        </w:rPr>
        <w:t>relativamente </w:t>
      </w:r>
      <w:r>
        <w:rPr>
          <w:color w:val="231F20"/>
          <w:spacing w:val="3"/>
        </w:rPr>
        <w:t>autónomo. Detenta </w:t>
      </w:r>
      <w:r>
        <w:rPr>
          <w:color w:val="231F20"/>
        </w:rPr>
        <w:t>el </w:t>
      </w:r>
      <w:r>
        <w:rPr>
          <w:color w:val="231F20"/>
          <w:spacing w:val="3"/>
        </w:rPr>
        <w:t>monopolio </w:t>
      </w:r>
      <w:r>
        <w:rPr>
          <w:color w:val="231F20"/>
          <w:spacing w:val="2"/>
        </w:rPr>
        <w:t>del ejercicio legítimo </w:t>
      </w:r>
      <w:r>
        <w:rPr>
          <w:color w:val="231F20"/>
        </w:rPr>
        <w:t>de la </w:t>
      </w:r>
      <w:r>
        <w:rPr>
          <w:color w:val="231F20"/>
          <w:spacing w:val="2"/>
        </w:rPr>
        <w:t>violencia </w:t>
      </w:r>
      <w:r>
        <w:rPr>
          <w:color w:val="231F20"/>
          <w:spacing w:val="3"/>
        </w:rPr>
        <w:t>simbólica. </w:t>
      </w:r>
      <w:r>
        <w:rPr>
          <w:color w:val="231F20"/>
        </w:rPr>
        <w:t>El </w:t>
      </w:r>
      <w:r>
        <w:rPr>
          <w:color w:val="231F20"/>
          <w:spacing w:val="2"/>
        </w:rPr>
        <w:t>sistema </w:t>
      </w:r>
      <w:r>
        <w:rPr>
          <w:color w:val="231F20"/>
        </w:rPr>
        <w:t>de </w:t>
      </w:r>
      <w:r>
        <w:rPr>
          <w:color w:val="231F20"/>
          <w:spacing w:val="3"/>
        </w:rPr>
        <w:t>enseñanza institucionalizado, </w:t>
      </w:r>
      <w:r>
        <w:rPr>
          <w:color w:val="231F20"/>
          <w:spacing w:val="2"/>
        </w:rPr>
        <w:t>por </w:t>
      </w:r>
      <w:r>
        <w:rPr>
          <w:color w:val="231F20"/>
        </w:rPr>
        <w:t>el </w:t>
      </w:r>
      <w:r>
        <w:rPr>
          <w:color w:val="231F20"/>
          <w:spacing w:val="2"/>
        </w:rPr>
        <w:t>solo hecho </w:t>
      </w:r>
      <w:r>
        <w:rPr>
          <w:color w:val="231F20"/>
        </w:rPr>
        <w:t>de que </w:t>
      </w:r>
      <w:r>
        <w:rPr>
          <w:color w:val="231F20"/>
          <w:spacing w:val="2"/>
        </w:rPr>
        <w:t>existe </w:t>
      </w:r>
      <w:r>
        <w:rPr>
          <w:color w:val="231F20"/>
        </w:rPr>
        <w:t>y </w:t>
      </w:r>
      <w:r>
        <w:rPr>
          <w:color w:val="231F20"/>
          <w:spacing w:val="2"/>
        </w:rPr>
        <w:t>subsiste, implica </w:t>
      </w:r>
      <w:r>
        <w:rPr>
          <w:color w:val="231F20"/>
        </w:rPr>
        <w:t>el </w:t>
      </w:r>
      <w:r>
        <w:rPr>
          <w:color w:val="231F20"/>
          <w:spacing w:val="3"/>
        </w:rPr>
        <w:t>desconocimiento </w:t>
      </w:r>
      <w:r>
        <w:rPr>
          <w:color w:val="231F20"/>
        </w:rPr>
        <w:t>de las </w:t>
      </w:r>
      <w:r>
        <w:rPr>
          <w:color w:val="231F20"/>
          <w:spacing w:val="3"/>
        </w:rPr>
        <w:t>condiciones </w:t>
      </w:r>
      <w:r>
        <w:rPr>
          <w:color w:val="231F20"/>
          <w:spacing w:val="2"/>
        </w:rPr>
        <w:t>institucionales </w:t>
      </w:r>
      <w:r>
        <w:rPr>
          <w:color w:val="231F20"/>
        </w:rPr>
        <w:t>de la </w:t>
      </w:r>
      <w:r>
        <w:rPr>
          <w:color w:val="231F20"/>
          <w:spacing w:val="2"/>
        </w:rPr>
        <w:t>violencia simbólica </w:t>
      </w:r>
      <w:r>
        <w:rPr>
          <w:color w:val="231F20"/>
        </w:rPr>
        <w:t>que </w:t>
      </w:r>
      <w:r>
        <w:rPr>
          <w:color w:val="231F20"/>
          <w:spacing w:val="2"/>
        </w:rPr>
        <w:t>ejerce. Los </w:t>
      </w:r>
      <w:r>
        <w:rPr>
          <w:color w:val="231F20"/>
          <w:spacing w:val="3"/>
        </w:rPr>
        <w:t>medios </w:t>
      </w:r>
      <w:r>
        <w:rPr>
          <w:color w:val="231F20"/>
          <w:spacing w:val="2"/>
        </w:rPr>
        <w:t>institucionales </w:t>
      </w:r>
      <w:r>
        <w:rPr>
          <w:color w:val="231F20"/>
        </w:rPr>
        <w:t>de </w:t>
      </w:r>
      <w:r>
        <w:rPr>
          <w:color w:val="231F20"/>
          <w:spacing w:val="2"/>
        </w:rPr>
        <w:t>los </w:t>
      </w:r>
      <w:r>
        <w:rPr>
          <w:color w:val="231F20"/>
        </w:rPr>
        <w:t>que  </w:t>
      </w:r>
      <w:r>
        <w:rPr>
          <w:color w:val="231F20"/>
          <w:spacing w:val="3"/>
        </w:rPr>
        <w:t>dispone –como </w:t>
      </w:r>
      <w:r>
        <w:rPr>
          <w:color w:val="231F20"/>
          <w:spacing w:val="2"/>
        </w:rPr>
        <w:t>institución relativamente </w:t>
      </w:r>
      <w:r>
        <w:rPr>
          <w:color w:val="231F20"/>
          <w:spacing w:val="3"/>
        </w:rPr>
        <w:t>autónoma– están </w:t>
      </w:r>
      <w:r>
        <w:rPr>
          <w:color w:val="231F20"/>
          <w:spacing w:val="2"/>
        </w:rPr>
        <w:t>predispuestos bajo </w:t>
      </w:r>
      <w:r>
        <w:rPr>
          <w:color w:val="231F20"/>
        </w:rPr>
        <w:t>la </w:t>
      </w:r>
      <w:r>
        <w:rPr>
          <w:color w:val="231F20"/>
          <w:spacing w:val="2"/>
        </w:rPr>
        <w:t>apariencia </w:t>
      </w:r>
      <w:r>
        <w:rPr>
          <w:color w:val="231F20"/>
        </w:rPr>
        <w:t>de </w:t>
      </w:r>
      <w:r>
        <w:rPr>
          <w:color w:val="231F20"/>
          <w:spacing w:val="2"/>
        </w:rPr>
        <w:t>neutralidad ante los </w:t>
      </w:r>
      <w:r>
        <w:rPr>
          <w:color w:val="231F20"/>
          <w:spacing w:val="3"/>
        </w:rPr>
        <w:t>grupos </w:t>
      </w:r>
      <w:r>
        <w:rPr>
          <w:color w:val="231F20"/>
        </w:rPr>
        <w:t>y </w:t>
      </w:r>
      <w:r>
        <w:rPr>
          <w:color w:val="231F20"/>
          <w:spacing w:val="2"/>
        </w:rPr>
        <w:t>clases sociales </w:t>
      </w:r>
      <w:r>
        <w:rPr>
          <w:color w:val="231F20"/>
        </w:rPr>
        <w:t>de </w:t>
      </w:r>
      <w:r>
        <w:rPr>
          <w:color w:val="231F20"/>
          <w:spacing w:val="2"/>
        </w:rPr>
        <w:t>los que </w:t>
      </w:r>
      <w:r>
        <w:rPr>
          <w:color w:val="231F20"/>
          <w:spacing w:val="3"/>
        </w:rPr>
        <w:t>reproduce </w:t>
      </w:r>
      <w:r>
        <w:rPr>
          <w:color w:val="231F20"/>
        </w:rPr>
        <w:t>la </w:t>
      </w:r>
      <w:r>
        <w:rPr>
          <w:color w:val="231F20"/>
          <w:spacing w:val="2"/>
        </w:rPr>
        <w:t>arbitrariedad </w:t>
      </w:r>
      <w:r>
        <w:rPr>
          <w:color w:val="231F20"/>
          <w:spacing w:val="3"/>
        </w:rPr>
        <w:t>cultural </w:t>
      </w:r>
      <w:r>
        <w:rPr>
          <w:color w:val="231F20"/>
          <w:spacing w:val="2"/>
        </w:rPr>
        <w:t>(dependencia </w:t>
      </w:r>
      <w:r>
        <w:rPr>
          <w:color w:val="231F20"/>
        </w:rPr>
        <w:t>de la</w:t>
      </w:r>
      <w:r>
        <w:rPr>
          <w:color w:val="231F20"/>
          <w:spacing w:val="2"/>
        </w:rPr>
        <w:t> independencia).</w:t>
      </w:r>
    </w:p>
    <w:p>
      <w:pPr>
        <w:pStyle w:val="BodyText"/>
        <w:spacing w:before="7"/>
      </w:pPr>
    </w:p>
    <w:p>
      <w:pPr>
        <w:pStyle w:val="ListParagraph"/>
        <w:numPr>
          <w:ilvl w:val="1"/>
          <w:numId w:val="6"/>
        </w:numPr>
        <w:tabs>
          <w:tab w:pos="460" w:val="left" w:leader="none"/>
        </w:tabs>
        <w:spacing w:line="240" w:lineRule="auto" w:before="0" w:after="0"/>
        <w:ind w:left="459" w:right="0" w:hanging="357"/>
        <w:jc w:val="both"/>
        <w:rPr>
          <w:i/>
          <w:sz w:val="21"/>
        </w:rPr>
      </w:pPr>
      <w:r>
        <w:rPr>
          <w:i/>
          <w:color w:val="231F20"/>
          <w:w w:val="85"/>
          <w:sz w:val="21"/>
        </w:rPr>
        <w:t>Conciencia</w:t>
      </w:r>
      <w:r>
        <w:rPr>
          <w:i/>
          <w:color w:val="231F20"/>
          <w:spacing w:val="-17"/>
          <w:w w:val="85"/>
          <w:sz w:val="21"/>
        </w:rPr>
        <w:t> </w:t>
      </w:r>
      <w:r>
        <w:rPr>
          <w:i/>
          <w:color w:val="231F20"/>
          <w:w w:val="85"/>
          <w:sz w:val="21"/>
        </w:rPr>
        <w:t>colectiva</w:t>
      </w:r>
      <w:r>
        <w:rPr>
          <w:i/>
          <w:color w:val="231F20"/>
          <w:spacing w:val="-17"/>
          <w:w w:val="85"/>
          <w:sz w:val="21"/>
        </w:rPr>
        <w:t> </w:t>
      </w:r>
      <w:r>
        <w:rPr>
          <w:i/>
          <w:color w:val="231F20"/>
          <w:w w:val="85"/>
          <w:sz w:val="21"/>
        </w:rPr>
        <w:t>y</w:t>
      </w:r>
      <w:r>
        <w:rPr>
          <w:i/>
          <w:color w:val="231F20"/>
          <w:spacing w:val="-17"/>
          <w:w w:val="85"/>
          <w:sz w:val="21"/>
        </w:rPr>
        <w:t> </w:t>
      </w:r>
      <w:r>
        <w:rPr>
          <w:i/>
          <w:color w:val="231F20"/>
          <w:w w:val="85"/>
          <w:sz w:val="21"/>
        </w:rPr>
        <w:t>RsSs</w:t>
      </w:r>
    </w:p>
    <w:p>
      <w:pPr>
        <w:pStyle w:val="BodyText"/>
        <w:spacing w:before="1"/>
        <w:rPr>
          <w:i/>
        </w:rPr>
      </w:pPr>
    </w:p>
    <w:p>
      <w:pPr>
        <w:pStyle w:val="BodyText"/>
        <w:spacing w:line="244" w:lineRule="auto" w:before="1"/>
        <w:ind w:left="102" w:right="117"/>
        <w:jc w:val="both"/>
      </w:pPr>
      <w:r>
        <w:rPr>
          <w:color w:val="231F20"/>
        </w:rPr>
        <w:t>Las RsSsson una oferta teórica que se remonta a un  aporte  de Emilio Durkheim, aun cuando no la desarrolló plenamente. LasRsSstienen un antecedente en un concepto de mayor  envergadura, “la conciencia colectiva”</w:t>
      </w:r>
      <w:r>
        <w:rPr>
          <w:i/>
          <w:color w:val="231F20"/>
        </w:rPr>
        <w:t>; </w:t>
      </w:r>
      <w:r>
        <w:rPr>
          <w:color w:val="231F20"/>
        </w:rPr>
        <w:t>para comprender a unas y a otra, valga esta larga cita:</w:t>
      </w:r>
    </w:p>
    <w:p>
      <w:pPr>
        <w:pStyle w:val="BodyText"/>
        <w:spacing w:before="7"/>
        <w:rPr>
          <w:sz w:val="24"/>
        </w:rPr>
      </w:pPr>
    </w:p>
    <w:p>
      <w:pPr>
        <w:spacing w:line="273" w:lineRule="auto" w:before="1"/>
        <w:ind w:left="810" w:right="163" w:firstLine="0"/>
        <w:jc w:val="both"/>
        <w:rPr>
          <w:sz w:val="19"/>
        </w:rPr>
      </w:pPr>
      <w:r>
        <w:rPr>
          <w:color w:val="231F20"/>
          <w:sz w:val="19"/>
        </w:rPr>
        <w:t>“(…)es el conjunto de creencias y sentimientos comunes al término medio de los miembros de una sociedad, constituye un sistema determinado que tiene su vida  propia…  es  independiente de las condiciones particulares en que los individuos se encuentren colocados, ellos pasan y  ella  permanece. Es la misma en el Norte y en el Mediodía, en las grandes ciudades y en las pequeñas, en las diferentes profesiones…,</w:t>
      </w:r>
      <w:r>
        <w:rPr>
          <w:color w:val="231F20"/>
          <w:spacing w:val="25"/>
          <w:sz w:val="19"/>
        </w:rPr>
        <w:t> </w:t>
      </w:r>
      <w:r>
        <w:rPr>
          <w:color w:val="231F20"/>
          <w:sz w:val="19"/>
        </w:rPr>
        <w:t>no</w:t>
      </w:r>
      <w:r>
        <w:rPr>
          <w:color w:val="231F20"/>
          <w:spacing w:val="26"/>
          <w:sz w:val="19"/>
        </w:rPr>
        <w:t> </w:t>
      </w:r>
      <w:r>
        <w:rPr>
          <w:color w:val="231F20"/>
          <w:sz w:val="19"/>
        </w:rPr>
        <w:t>cambia</w:t>
      </w:r>
      <w:r>
        <w:rPr>
          <w:color w:val="231F20"/>
          <w:spacing w:val="26"/>
          <w:sz w:val="19"/>
        </w:rPr>
        <w:t> </w:t>
      </w:r>
      <w:r>
        <w:rPr>
          <w:color w:val="231F20"/>
          <w:sz w:val="19"/>
        </w:rPr>
        <w:t>con</w:t>
      </w:r>
      <w:r>
        <w:rPr>
          <w:color w:val="231F20"/>
          <w:spacing w:val="26"/>
          <w:sz w:val="19"/>
        </w:rPr>
        <w:t> </w:t>
      </w:r>
      <w:r>
        <w:rPr>
          <w:color w:val="231F20"/>
          <w:sz w:val="19"/>
        </w:rPr>
        <w:t>cada</w:t>
      </w:r>
      <w:r>
        <w:rPr>
          <w:color w:val="231F20"/>
          <w:spacing w:val="26"/>
          <w:sz w:val="19"/>
        </w:rPr>
        <w:t> </w:t>
      </w:r>
      <w:r>
        <w:rPr>
          <w:color w:val="231F20"/>
          <w:sz w:val="19"/>
        </w:rPr>
        <w:t>generación,</w:t>
      </w:r>
      <w:r>
        <w:rPr>
          <w:color w:val="231F20"/>
          <w:spacing w:val="25"/>
          <w:sz w:val="19"/>
        </w:rPr>
        <w:t> </w:t>
      </w:r>
      <w:r>
        <w:rPr>
          <w:color w:val="231F20"/>
          <w:sz w:val="19"/>
        </w:rPr>
        <w:t>sino</w:t>
      </w:r>
      <w:r>
        <w:rPr>
          <w:color w:val="231F20"/>
          <w:spacing w:val="26"/>
          <w:sz w:val="19"/>
        </w:rPr>
        <w:t> </w:t>
      </w:r>
      <w:r>
        <w:rPr>
          <w:color w:val="231F20"/>
          <w:sz w:val="19"/>
        </w:rPr>
        <w:t>que</w:t>
      </w:r>
      <w:r>
        <w:rPr>
          <w:color w:val="231F20"/>
          <w:spacing w:val="26"/>
          <w:sz w:val="19"/>
        </w:rPr>
        <w:t> </w:t>
      </w:r>
      <w:r>
        <w:rPr>
          <w:color w:val="231F20"/>
          <w:sz w:val="19"/>
        </w:rPr>
        <w:t>por</w:t>
      </w:r>
      <w:r>
        <w:rPr>
          <w:color w:val="231F20"/>
          <w:spacing w:val="25"/>
          <w:sz w:val="19"/>
        </w:rPr>
        <w:t> </w:t>
      </w:r>
      <w:r>
        <w:rPr>
          <w:color w:val="231F20"/>
          <w:sz w:val="19"/>
        </w:rPr>
        <w:t>el</w:t>
      </w:r>
    </w:p>
    <w:p>
      <w:pPr>
        <w:spacing w:after="0" w:line="273" w:lineRule="auto"/>
        <w:jc w:val="both"/>
        <w:rPr>
          <w:sz w:val="19"/>
        </w:rPr>
        <w:sectPr>
          <w:headerReference w:type="default" r:id="rId355"/>
          <w:footerReference w:type="default" r:id="rId356"/>
          <w:pgSz w:w="7830" w:h="11910"/>
          <w:pgMar w:header="0" w:footer="424" w:top="500" w:bottom="620" w:left="920" w:right="900"/>
          <w:pgNumType w:start="165"/>
        </w:sectPr>
      </w:pPr>
    </w:p>
    <w:p>
      <w:pPr>
        <w:spacing w:before="48"/>
        <w:ind w:left="596" w:right="121" w:firstLine="0"/>
        <w:jc w:val="left"/>
        <w:rPr>
          <w:rFonts w:ascii="Georgia" w:hAnsi="Georgia"/>
          <w:sz w:val="13"/>
        </w:rPr>
      </w:pPr>
      <w:r>
        <w:rPr>
          <w:rFonts w:ascii="Georgia" w:hAnsi="Georgia"/>
          <w:color w:val="231F20"/>
          <w:sz w:val="16"/>
        </w:rPr>
        <w:t>I</w:t>
      </w:r>
      <w:r>
        <w:rPr>
          <w:rFonts w:ascii="Georgia" w:hAnsi="Georgia"/>
          <w:color w:val="231F20"/>
          <w:sz w:val="13"/>
        </w:rPr>
        <w:t>RMA </w:t>
      </w:r>
      <w:r>
        <w:rPr>
          <w:rFonts w:ascii="Georgia" w:hAnsi="Georgia"/>
          <w:color w:val="231F20"/>
          <w:sz w:val="16"/>
        </w:rPr>
        <w:t>G</w:t>
      </w:r>
      <w:r>
        <w:rPr>
          <w:rFonts w:ascii="Georgia" w:hAnsi="Georgia"/>
          <w:color w:val="231F20"/>
          <w:sz w:val="13"/>
        </w:rPr>
        <w:t>UADALUPE </w:t>
      </w:r>
      <w:r>
        <w:rPr>
          <w:rFonts w:ascii="Georgia" w:hAnsi="Georgia"/>
          <w:color w:val="231F20"/>
          <w:sz w:val="16"/>
        </w:rPr>
        <w:t>G</w:t>
      </w:r>
      <w:r>
        <w:rPr>
          <w:rFonts w:ascii="Georgia" w:hAnsi="Georgia"/>
          <w:color w:val="231F20"/>
          <w:sz w:val="13"/>
        </w:rPr>
        <w:t>ONZÁLEZ </w:t>
      </w:r>
      <w:r>
        <w:rPr>
          <w:rFonts w:ascii="Georgia" w:hAnsi="Georgia"/>
          <w:color w:val="231F20"/>
          <w:sz w:val="16"/>
        </w:rPr>
        <w:t>C</w:t>
      </w:r>
      <w:r>
        <w:rPr>
          <w:rFonts w:ascii="Georgia" w:hAnsi="Georgia"/>
          <w:color w:val="231F20"/>
          <w:sz w:val="13"/>
        </w:rPr>
        <w:t>ORZO Y </w:t>
      </w:r>
      <w:r>
        <w:rPr>
          <w:rFonts w:ascii="Georgia" w:hAnsi="Georgia"/>
          <w:color w:val="231F20"/>
          <w:sz w:val="16"/>
        </w:rPr>
        <w:t>R</w:t>
      </w:r>
      <w:r>
        <w:rPr>
          <w:rFonts w:ascii="Georgia" w:hAnsi="Georgia"/>
          <w:color w:val="231F20"/>
          <w:sz w:val="13"/>
        </w:rPr>
        <w:t>OSA </w:t>
      </w:r>
      <w:r>
        <w:rPr>
          <w:rFonts w:ascii="Georgia" w:hAnsi="Georgia"/>
          <w:color w:val="231F20"/>
          <w:sz w:val="16"/>
        </w:rPr>
        <w:t>M</w:t>
      </w:r>
      <w:r>
        <w:rPr>
          <w:rFonts w:ascii="Georgia" w:hAnsi="Georgia"/>
          <w:color w:val="231F20"/>
          <w:sz w:val="13"/>
        </w:rPr>
        <w:t>ARÍA </w:t>
      </w:r>
      <w:r>
        <w:rPr>
          <w:rFonts w:ascii="Georgia" w:hAnsi="Georgia"/>
          <w:color w:val="231F20"/>
          <w:sz w:val="16"/>
        </w:rPr>
        <w:t>R</w:t>
      </w:r>
      <w:r>
        <w:rPr>
          <w:rFonts w:ascii="Georgia" w:hAnsi="Georgia"/>
          <w:color w:val="231F20"/>
          <w:sz w:val="13"/>
        </w:rPr>
        <w:t>AMÍREZ </w:t>
      </w:r>
      <w:r>
        <w:rPr>
          <w:rFonts w:ascii="Georgia" w:hAnsi="Georgia"/>
          <w:color w:val="231F20"/>
          <w:sz w:val="16"/>
        </w:rPr>
        <w:t>M</w:t>
      </w:r>
      <w:r>
        <w:rPr>
          <w:rFonts w:ascii="Georgia" w:hAnsi="Georgia"/>
          <w:color w:val="231F20"/>
          <w:sz w:val="13"/>
        </w:rPr>
        <w:t>ARTÍNEZ</w:t>
      </w:r>
    </w:p>
    <w:p>
      <w:pPr>
        <w:pStyle w:val="BodyText"/>
        <w:rPr>
          <w:rFonts w:ascii="Georgia"/>
          <w:sz w:val="16"/>
        </w:rPr>
      </w:pPr>
    </w:p>
    <w:p>
      <w:pPr>
        <w:pStyle w:val="BodyText"/>
        <w:rPr>
          <w:rFonts w:ascii="Georgia"/>
          <w:sz w:val="16"/>
        </w:rPr>
      </w:pPr>
    </w:p>
    <w:p>
      <w:pPr>
        <w:spacing w:line="278" w:lineRule="auto" w:before="118"/>
        <w:ind w:left="810" w:right="163" w:firstLine="0"/>
        <w:jc w:val="both"/>
        <w:rPr>
          <w:rFonts w:ascii="Georgia" w:hAnsi="Georgia"/>
          <w:sz w:val="19"/>
        </w:rPr>
      </w:pPr>
      <w:r>
        <w:rPr>
          <w:rFonts w:ascii="Georgia" w:hAnsi="Georgia"/>
          <w:color w:val="231F20"/>
          <w:sz w:val="19"/>
        </w:rPr>
        <w:t>contrario,</w:t>
      </w:r>
      <w:r>
        <w:rPr>
          <w:rFonts w:ascii="Georgia" w:hAnsi="Georgia"/>
          <w:color w:val="231F20"/>
          <w:spacing w:val="-11"/>
          <w:sz w:val="19"/>
        </w:rPr>
        <w:t> </w:t>
      </w:r>
      <w:r>
        <w:rPr>
          <w:rFonts w:ascii="Georgia" w:hAnsi="Georgia"/>
          <w:color w:val="231F20"/>
          <w:sz w:val="19"/>
        </w:rPr>
        <w:t>liga</w:t>
      </w:r>
      <w:r>
        <w:rPr>
          <w:rFonts w:ascii="Georgia" w:hAnsi="Georgia"/>
          <w:color w:val="231F20"/>
          <w:spacing w:val="-11"/>
          <w:sz w:val="19"/>
        </w:rPr>
        <w:t> </w:t>
      </w:r>
      <w:r>
        <w:rPr>
          <w:rFonts w:ascii="Georgia" w:hAnsi="Georgia"/>
          <w:color w:val="231F20"/>
          <w:sz w:val="19"/>
        </w:rPr>
        <w:t>a</w:t>
      </w:r>
      <w:r>
        <w:rPr>
          <w:rFonts w:ascii="Georgia" w:hAnsi="Georgia"/>
          <w:color w:val="231F20"/>
          <w:spacing w:val="-11"/>
          <w:sz w:val="19"/>
        </w:rPr>
        <w:t> </w:t>
      </w:r>
      <w:r>
        <w:rPr>
          <w:rFonts w:ascii="Georgia" w:hAnsi="Georgia"/>
          <w:color w:val="231F20"/>
          <w:sz w:val="19"/>
        </w:rPr>
        <w:t>unas</w:t>
      </w:r>
      <w:r>
        <w:rPr>
          <w:rFonts w:ascii="Georgia" w:hAnsi="Georgia"/>
          <w:color w:val="231F20"/>
          <w:spacing w:val="-11"/>
          <w:sz w:val="19"/>
        </w:rPr>
        <w:t> </w:t>
      </w:r>
      <w:r>
        <w:rPr>
          <w:rFonts w:ascii="Georgia" w:hAnsi="Georgia"/>
          <w:color w:val="231F20"/>
          <w:sz w:val="19"/>
        </w:rPr>
        <w:t>con</w:t>
      </w:r>
      <w:r>
        <w:rPr>
          <w:rFonts w:ascii="Georgia" w:hAnsi="Georgia"/>
          <w:color w:val="231F20"/>
          <w:spacing w:val="-11"/>
          <w:sz w:val="19"/>
        </w:rPr>
        <w:t> </w:t>
      </w:r>
      <w:r>
        <w:rPr>
          <w:rFonts w:ascii="Georgia" w:hAnsi="Georgia"/>
          <w:color w:val="231F20"/>
          <w:sz w:val="19"/>
        </w:rPr>
        <w:t>otras</w:t>
      </w:r>
      <w:r>
        <w:rPr>
          <w:rFonts w:ascii="Georgia" w:hAnsi="Georgia"/>
          <w:color w:val="231F20"/>
          <w:spacing w:val="-11"/>
          <w:sz w:val="19"/>
        </w:rPr>
        <w:t> </w:t>
      </w:r>
      <w:r>
        <w:rPr>
          <w:rFonts w:ascii="Georgia" w:hAnsi="Georgia"/>
          <w:color w:val="231F20"/>
          <w:sz w:val="19"/>
        </w:rPr>
        <w:t>las</w:t>
      </w:r>
      <w:r>
        <w:rPr>
          <w:rFonts w:ascii="Georgia" w:hAnsi="Georgia"/>
          <w:color w:val="231F20"/>
          <w:spacing w:val="-11"/>
          <w:sz w:val="19"/>
        </w:rPr>
        <w:t> </w:t>
      </w:r>
      <w:r>
        <w:rPr>
          <w:rFonts w:ascii="Georgia" w:hAnsi="Georgia"/>
          <w:color w:val="231F20"/>
          <w:sz w:val="19"/>
        </w:rPr>
        <w:t>generaciones</w:t>
      </w:r>
      <w:r>
        <w:rPr>
          <w:rFonts w:ascii="Georgia" w:hAnsi="Georgia"/>
          <w:color w:val="231F20"/>
          <w:spacing w:val="-11"/>
          <w:sz w:val="19"/>
        </w:rPr>
        <w:t> </w:t>
      </w:r>
      <w:r>
        <w:rPr>
          <w:rFonts w:ascii="Georgia" w:hAnsi="Georgia"/>
          <w:color w:val="231F20"/>
          <w:sz w:val="19"/>
        </w:rPr>
        <w:t>sucesivas.</w:t>
      </w:r>
      <w:r>
        <w:rPr>
          <w:rFonts w:ascii="Georgia" w:hAnsi="Georgia"/>
          <w:color w:val="231F20"/>
          <w:spacing w:val="-11"/>
          <w:sz w:val="19"/>
        </w:rPr>
        <w:t> </w:t>
      </w:r>
      <w:r>
        <w:rPr>
          <w:rFonts w:ascii="Georgia" w:hAnsi="Georgia"/>
          <w:color w:val="231F20"/>
          <w:sz w:val="19"/>
        </w:rPr>
        <w:t>Se </w:t>
      </w:r>
      <w:r>
        <w:rPr>
          <w:rFonts w:ascii="Georgia" w:hAnsi="Georgia"/>
          <w:color w:val="231F20"/>
          <w:w w:val="95"/>
          <w:sz w:val="19"/>
        </w:rPr>
        <w:t>trata,</w:t>
      </w:r>
      <w:r>
        <w:rPr>
          <w:rFonts w:ascii="Georgia" w:hAnsi="Georgia"/>
          <w:color w:val="231F20"/>
          <w:spacing w:val="-8"/>
          <w:w w:val="95"/>
          <w:sz w:val="19"/>
        </w:rPr>
        <w:t> </w:t>
      </w:r>
      <w:r>
        <w:rPr>
          <w:rFonts w:ascii="Georgia" w:hAnsi="Georgia"/>
          <w:color w:val="231F20"/>
          <w:w w:val="95"/>
          <w:sz w:val="19"/>
        </w:rPr>
        <w:t>pues,</w:t>
      </w:r>
      <w:r>
        <w:rPr>
          <w:rFonts w:ascii="Georgia" w:hAnsi="Georgia"/>
          <w:color w:val="231F20"/>
          <w:spacing w:val="-8"/>
          <w:w w:val="95"/>
          <w:sz w:val="19"/>
        </w:rPr>
        <w:t> </w:t>
      </w:r>
      <w:r>
        <w:rPr>
          <w:rFonts w:ascii="Georgia" w:hAnsi="Georgia"/>
          <w:color w:val="231F20"/>
          <w:w w:val="95"/>
          <w:sz w:val="19"/>
        </w:rPr>
        <w:t>de</w:t>
      </w:r>
      <w:r>
        <w:rPr>
          <w:rFonts w:ascii="Georgia" w:hAnsi="Georgia"/>
          <w:color w:val="231F20"/>
          <w:spacing w:val="-8"/>
          <w:w w:val="95"/>
          <w:sz w:val="19"/>
        </w:rPr>
        <w:t> </w:t>
      </w:r>
      <w:r>
        <w:rPr>
          <w:rFonts w:ascii="Georgia" w:hAnsi="Georgia"/>
          <w:color w:val="231F20"/>
          <w:w w:val="95"/>
          <w:sz w:val="19"/>
        </w:rPr>
        <w:t>cosa</w:t>
      </w:r>
      <w:r>
        <w:rPr>
          <w:rFonts w:ascii="Georgia" w:hAnsi="Georgia"/>
          <w:color w:val="231F20"/>
          <w:spacing w:val="-8"/>
          <w:w w:val="95"/>
          <w:sz w:val="19"/>
        </w:rPr>
        <w:t> </w:t>
      </w:r>
      <w:r>
        <w:rPr>
          <w:rFonts w:ascii="Georgia" w:hAnsi="Georgia"/>
          <w:color w:val="231F20"/>
          <w:w w:val="95"/>
          <w:sz w:val="19"/>
        </w:rPr>
        <w:t>muy</w:t>
      </w:r>
      <w:r>
        <w:rPr>
          <w:rFonts w:ascii="Georgia" w:hAnsi="Georgia"/>
          <w:color w:val="231F20"/>
          <w:spacing w:val="-8"/>
          <w:w w:val="95"/>
          <w:sz w:val="19"/>
        </w:rPr>
        <w:t> </w:t>
      </w:r>
      <w:r>
        <w:rPr>
          <w:rFonts w:ascii="Georgia" w:hAnsi="Georgia"/>
          <w:color w:val="231F20"/>
          <w:w w:val="95"/>
          <w:sz w:val="19"/>
        </w:rPr>
        <w:t>diferente</w:t>
      </w:r>
      <w:r>
        <w:rPr>
          <w:rFonts w:ascii="Georgia" w:hAnsi="Georgia"/>
          <w:color w:val="231F20"/>
          <w:spacing w:val="-8"/>
          <w:w w:val="95"/>
          <w:sz w:val="19"/>
        </w:rPr>
        <w:t> </w:t>
      </w:r>
      <w:r>
        <w:rPr>
          <w:rFonts w:ascii="Georgia" w:hAnsi="Georgia"/>
          <w:color w:val="231F20"/>
          <w:w w:val="95"/>
          <w:sz w:val="19"/>
        </w:rPr>
        <w:t>a</w:t>
      </w:r>
      <w:r>
        <w:rPr>
          <w:rFonts w:ascii="Georgia" w:hAnsi="Georgia"/>
          <w:color w:val="231F20"/>
          <w:spacing w:val="-8"/>
          <w:w w:val="95"/>
          <w:sz w:val="19"/>
        </w:rPr>
        <w:t> </w:t>
      </w:r>
      <w:r>
        <w:rPr>
          <w:rFonts w:ascii="Georgia" w:hAnsi="Georgia"/>
          <w:color w:val="231F20"/>
          <w:w w:val="95"/>
          <w:sz w:val="19"/>
        </w:rPr>
        <w:t>las</w:t>
      </w:r>
      <w:r>
        <w:rPr>
          <w:rFonts w:ascii="Georgia" w:hAnsi="Georgia"/>
          <w:color w:val="231F20"/>
          <w:spacing w:val="-8"/>
          <w:w w:val="95"/>
          <w:sz w:val="19"/>
        </w:rPr>
        <w:t> </w:t>
      </w:r>
      <w:r>
        <w:rPr>
          <w:rFonts w:ascii="Georgia" w:hAnsi="Georgia"/>
          <w:color w:val="231F20"/>
          <w:w w:val="95"/>
          <w:sz w:val="19"/>
        </w:rPr>
        <w:t>conciencias</w:t>
      </w:r>
      <w:r>
        <w:rPr>
          <w:rFonts w:ascii="Georgia" w:hAnsi="Georgia"/>
          <w:color w:val="231F20"/>
          <w:spacing w:val="-8"/>
          <w:w w:val="95"/>
          <w:sz w:val="19"/>
        </w:rPr>
        <w:t> </w:t>
      </w:r>
      <w:r>
        <w:rPr>
          <w:rFonts w:ascii="Georgia" w:hAnsi="Georgia"/>
          <w:color w:val="231F20"/>
          <w:w w:val="95"/>
          <w:sz w:val="19"/>
        </w:rPr>
        <w:t>particulares, </w:t>
      </w:r>
      <w:r>
        <w:rPr>
          <w:rFonts w:ascii="Georgia" w:hAnsi="Georgia"/>
          <w:color w:val="231F20"/>
          <w:sz w:val="19"/>
        </w:rPr>
        <w:t>aun</w:t>
      </w:r>
      <w:r>
        <w:rPr>
          <w:rFonts w:ascii="Georgia" w:hAnsi="Georgia"/>
          <w:color w:val="231F20"/>
          <w:spacing w:val="-28"/>
          <w:sz w:val="19"/>
        </w:rPr>
        <w:t> </w:t>
      </w:r>
      <w:r>
        <w:rPr>
          <w:rFonts w:ascii="Georgia" w:hAnsi="Georgia"/>
          <w:color w:val="231F20"/>
          <w:sz w:val="19"/>
        </w:rPr>
        <w:t>cuando</w:t>
      </w:r>
      <w:r>
        <w:rPr>
          <w:rFonts w:ascii="Georgia" w:hAnsi="Georgia"/>
          <w:color w:val="231F20"/>
          <w:spacing w:val="-28"/>
          <w:sz w:val="19"/>
        </w:rPr>
        <w:t> </w:t>
      </w:r>
      <w:r>
        <w:rPr>
          <w:rFonts w:ascii="Georgia" w:hAnsi="Georgia"/>
          <w:color w:val="231F20"/>
          <w:sz w:val="19"/>
        </w:rPr>
        <w:t>no</w:t>
      </w:r>
      <w:r>
        <w:rPr>
          <w:rFonts w:ascii="Georgia" w:hAnsi="Georgia"/>
          <w:color w:val="231F20"/>
          <w:spacing w:val="-28"/>
          <w:sz w:val="19"/>
        </w:rPr>
        <w:t> </w:t>
      </w:r>
      <w:r>
        <w:rPr>
          <w:rFonts w:ascii="Georgia" w:hAnsi="Georgia"/>
          <w:color w:val="231F20"/>
          <w:sz w:val="19"/>
        </w:rPr>
        <w:t>se</w:t>
      </w:r>
      <w:r>
        <w:rPr>
          <w:rFonts w:ascii="Georgia" w:hAnsi="Georgia"/>
          <w:color w:val="231F20"/>
          <w:spacing w:val="-29"/>
          <w:sz w:val="19"/>
        </w:rPr>
        <w:t> </w:t>
      </w:r>
      <w:r>
        <w:rPr>
          <w:rFonts w:ascii="Georgia" w:hAnsi="Georgia"/>
          <w:color w:val="231F20"/>
          <w:sz w:val="19"/>
        </w:rPr>
        <w:t>produzca</w:t>
      </w:r>
      <w:r>
        <w:rPr>
          <w:rFonts w:ascii="Georgia" w:hAnsi="Georgia"/>
          <w:color w:val="231F20"/>
          <w:spacing w:val="-29"/>
          <w:sz w:val="19"/>
        </w:rPr>
        <w:t> </w:t>
      </w:r>
      <w:r>
        <w:rPr>
          <w:rFonts w:ascii="Georgia" w:hAnsi="Georgia"/>
          <w:color w:val="231F20"/>
          <w:sz w:val="19"/>
        </w:rPr>
        <w:t>más</w:t>
      </w:r>
      <w:r>
        <w:rPr>
          <w:rFonts w:ascii="Georgia" w:hAnsi="Georgia"/>
          <w:color w:val="231F20"/>
          <w:spacing w:val="-29"/>
          <w:sz w:val="19"/>
        </w:rPr>
        <w:t> </w:t>
      </w:r>
      <w:r>
        <w:rPr>
          <w:rFonts w:ascii="Georgia" w:hAnsi="Georgia"/>
          <w:color w:val="231F20"/>
          <w:sz w:val="19"/>
        </w:rPr>
        <w:t>que</w:t>
      </w:r>
      <w:r>
        <w:rPr>
          <w:rFonts w:ascii="Georgia" w:hAnsi="Georgia"/>
          <w:color w:val="231F20"/>
          <w:spacing w:val="-29"/>
          <w:sz w:val="19"/>
        </w:rPr>
        <w:t> </w:t>
      </w:r>
      <w:r>
        <w:rPr>
          <w:rFonts w:ascii="Georgia" w:hAnsi="Georgia"/>
          <w:color w:val="231F20"/>
          <w:sz w:val="19"/>
        </w:rPr>
        <w:t>en</w:t>
      </w:r>
      <w:r>
        <w:rPr>
          <w:rFonts w:ascii="Georgia" w:hAnsi="Georgia"/>
          <w:color w:val="231F20"/>
          <w:spacing w:val="-28"/>
          <w:sz w:val="19"/>
        </w:rPr>
        <w:t> </w:t>
      </w:r>
      <w:r>
        <w:rPr>
          <w:rFonts w:ascii="Georgia" w:hAnsi="Georgia"/>
          <w:color w:val="231F20"/>
          <w:sz w:val="19"/>
        </w:rPr>
        <w:t>los</w:t>
      </w:r>
      <w:r>
        <w:rPr>
          <w:rFonts w:ascii="Georgia" w:hAnsi="Georgia"/>
          <w:color w:val="231F20"/>
          <w:spacing w:val="-29"/>
          <w:sz w:val="19"/>
        </w:rPr>
        <w:t> </w:t>
      </w:r>
      <w:r>
        <w:rPr>
          <w:rFonts w:ascii="Georgia" w:hAnsi="Georgia"/>
          <w:color w:val="231F20"/>
          <w:sz w:val="19"/>
        </w:rPr>
        <w:t>individuos.</w:t>
      </w:r>
      <w:r>
        <w:rPr>
          <w:rFonts w:ascii="Georgia" w:hAnsi="Georgia"/>
          <w:color w:val="231F20"/>
          <w:spacing w:val="-29"/>
          <w:sz w:val="19"/>
        </w:rPr>
        <w:t> </w:t>
      </w:r>
      <w:r>
        <w:rPr>
          <w:rFonts w:ascii="Georgia" w:hAnsi="Georgia"/>
          <w:color w:val="231F20"/>
          <w:sz w:val="19"/>
        </w:rPr>
        <w:t>Es</w:t>
      </w:r>
      <w:r>
        <w:rPr>
          <w:rFonts w:ascii="Georgia" w:hAnsi="Georgia"/>
          <w:color w:val="231F20"/>
          <w:spacing w:val="-29"/>
          <w:sz w:val="19"/>
        </w:rPr>
        <w:t> </w:t>
      </w:r>
      <w:r>
        <w:rPr>
          <w:rFonts w:ascii="Georgia" w:hAnsi="Georgia"/>
          <w:color w:val="231F20"/>
          <w:sz w:val="19"/>
        </w:rPr>
        <w:t>el</w:t>
      </w:r>
      <w:r>
        <w:rPr>
          <w:rFonts w:ascii="Georgia" w:hAnsi="Georgia"/>
          <w:color w:val="231F20"/>
          <w:spacing w:val="-29"/>
          <w:sz w:val="19"/>
        </w:rPr>
        <w:t> </w:t>
      </w:r>
      <w:r>
        <w:rPr>
          <w:rFonts w:ascii="Georgia" w:hAnsi="Georgia"/>
          <w:color w:val="231F20"/>
          <w:sz w:val="19"/>
        </w:rPr>
        <w:t>tipo psíquico de la sociedad, tipo que tiene sus propiedades, sus </w:t>
      </w:r>
      <w:r>
        <w:rPr>
          <w:rFonts w:ascii="Georgia" w:hAnsi="Georgia"/>
          <w:color w:val="231F20"/>
          <w:w w:val="95"/>
          <w:sz w:val="19"/>
        </w:rPr>
        <w:t>condiciones de existencia, su manera de desenvolverse… Como </w:t>
      </w:r>
      <w:r>
        <w:rPr>
          <w:rFonts w:ascii="Georgia" w:hAnsi="Georgia"/>
          <w:color w:val="231F20"/>
          <w:sz w:val="19"/>
        </w:rPr>
        <w:t>los</w:t>
      </w:r>
      <w:r>
        <w:rPr>
          <w:rFonts w:ascii="Georgia" w:hAnsi="Georgia"/>
          <w:color w:val="231F20"/>
          <w:spacing w:val="-4"/>
          <w:sz w:val="19"/>
        </w:rPr>
        <w:t> </w:t>
      </w:r>
      <w:r>
        <w:rPr>
          <w:rFonts w:ascii="Georgia" w:hAnsi="Georgia"/>
          <w:color w:val="231F20"/>
          <w:sz w:val="19"/>
        </w:rPr>
        <w:t>términos</w:t>
      </w:r>
      <w:r>
        <w:rPr>
          <w:rFonts w:ascii="Georgia" w:hAnsi="Georgia"/>
          <w:color w:val="231F20"/>
          <w:spacing w:val="-4"/>
          <w:sz w:val="19"/>
        </w:rPr>
        <w:t> </w:t>
      </w:r>
      <w:r>
        <w:rPr>
          <w:rFonts w:ascii="Georgia" w:hAnsi="Georgia"/>
          <w:color w:val="231F20"/>
          <w:sz w:val="19"/>
        </w:rPr>
        <w:t>de</w:t>
      </w:r>
      <w:r>
        <w:rPr>
          <w:rFonts w:ascii="Georgia" w:hAnsi="Georgia"/>
          <w:color w:val="231F20"/>
          <w:spacing w:val="-4"/>
          <w:sz w:val="19"/>
        </w:rPr>
        <w:t> </w:t>
      </w:r>
      <w:r>
        <w:rPr>
          <w:rFonts w:ascii="Georgia" w:hAnsi="Georgia"/>
          <w:color w:val="231F20"/>
          <w:sz w:val="19"/>
        </w:rPr>
        <w:t>colectivo</w:t>
      </w:r>
      <w:r>
        <w:rPr>
          <w:rFonts w:ascii="Georgia" w:hAnsi="Georgia"/>
          <w:color w:val="231F20"/>
          <w:spacing w:val="-4"/>
          <w:sz w:val="19"/>
        </w:rPr>
        <w:t> </w:t>
      </w:r>
      <w:r>
        <w:rPr>
          <w:rFonts w:ascii="Georgia" w:hAnsi="Georgia"/>
          <w:color w:val="231F20"/>
          <w:sz w:val="19"/>
        </w:rPr>
        <w:t>y</w:t>
      </w:r>
      <w:r>
        <w:rPr>
          <w:rFonts w:ascii="Georgia" w:hAnsi="Georgia"/>
          <w:color w:val="231F20"/>
          <w:spacing w:val="-4"/>
          <w:sz w:val="19"/>
        </w:rPr>
        <w:t> </w:t>
      </w:r>
      <w:r>
        <w:rPr>
          <w:rFonts w:ascii="Georgia" w:hAnsi="Georgia"/>
          <w:color w:val="231F20"/>
          <w:sz w:val="19"/>
        </w:rPr>
        <w:t>de</w:t>
      </w:r>
      <w:r>
        <w:rPr>
          <w:rFonts w:ascii="Georgia" w:hAnsi="Georgia"/>
          <w:color w:val="231F20"/>
          <w:spacing w:val="-4"/>
          <w:sz w:val="19"/>
        </w:rPr>
        <w:t> </w:t>
      </w:r>
      <w:r>
        <w:rPr>
          <w:rFonts w:ascii="Georgia" w:hAnsi="Georgia"/>
          <w:color w:val="231F20"/>
          <w:sz w:val="19"/>
        </w:rPr>
        <w:t>social</w:t>
      </w:r>
      <w:r>
        <w:rPr>
          <w:rFonts w:ascii="Georgia" w:hAnsi="Georgia"/>
          <w:color w:val="231F20"/>
          <w:spacing w:val="-4"/>
          <w:sz w:val="19"/>
        </w:rPr>
        <w:t> </w:t>
      </w:r>
      <w:r>
        <w:rPr>
          <w:rFonts w:ascii="Georgia" w:hAnsi="Georgia"/>
          <w:color w:val="231F20"/>
          <w:sz w:val="19"/>
        </w:rPr>
        <w:t>con</w:t>
      </w:r>
      <w:r>
        <w:rPr>
          <w:rFonts w:ascii="Georgia" w:hAnsi="Georgia"/>
          <w:color w:val="231F20"/>
          <w:spacing w:val="-4"/>
          <w:sz w:val="19"/>
        </w:rPr>
        <w:t> </w:t>
      </w:r>
      <w:r>
        <w:rPr>
          <w:rFonts w:ascii="Georgia" w:hAnsi="Georgia"/>
          <w:color w:val="231F20"/>
          <w:sz w:val="19"/>
        </w:rPr>
        <w:t>frecuencia</w:t>
      </w:r>
      <w:r>
        <w:rPr>
          <w:rFonts w:ascii="Georgia" w:hAnsi="Georgia"/>
          <w:color w:val="231F20"/>
          <w:spacing w:val="-4"/>
          <w:sz w:val="19"/>
        </w:rPr>
        <w:t> </w:t>
      </w:r>
      <w:r>
        <w:rPr>
          <w:rFonts w:ascii="Georgia" w:hAnsi="Georgia"/>
          <w:color w:val="231F20"/>
          <w:sz w:val="19"/>
        </w:rPr>
        <w:t>se</w:t>
      </w:r>
      <w:r>
        <w:rPr>
          <w:rFonts w:ascii="Georgia" w:hAnsi="Georgia"/>
          <w:color w:val="231F20"/>
          <w:spacing w:val="-4"/>
          <w:sz w:val="19"/>
        </w:rPr>
        <w:t> </w:t>
      </w:r>
      <w:r>
        <w:rPr>
          <w:rFonts w:ascii="Georgia" w:hAnsi="Georgia"/>
          <w:color w:val="231F20"/>
          <w:sz w:val="19"/>
        </w:rPr>
        <w:t>toman uno por otro, está uno inclinado a creer que la conciencia colectiva</w:t>
      </w:r>
      <w:r>
        <w:rPr>
          <w:rFonts w:ascii="Georgia" w:hAnsi="Georgia"/>
          <w:color w:val="231F20"/>
          <w:spacing w:val="-13"/>
          <w:sz w:val="19"/>
        </w:rPr>
        <w:t> </w:t>
      </w:r>
      <w:r>
        <w:rPr>
          <w:rFonts w:ascii="Georgia" w:hAnsi="Georgia"/>
          <w:color w:val="231F20"/>
          <w:sz w:val="19"/>
        </w:rPr>
        <w:t>es</w:t>
      </w:r>
      <w:r>
        <w:rPr>
          <w:rFonts w:ascii="Georgia" w:hAnsi="Georgia"/>
          <w:color w:val="231F20"/>
          <w:spacing w:val="-13"/>
          <w:sz w:val="19"/>
        </w:rPr>
        <w:t> </w:t>
      </w:r>
      <w:r>
        <w:rPr>
          <w:rFonts w:ascii="Georgia" w:hAnsi="Georgia"/>
          <w:color w:val="231F20"/>
          <w:sz w:val="19"/>
        </w:rPr>
        <w:t>toda</w:t>
      </w:r>
      <w:r>
        <w:rPr>
          <w:rFonts w:ascii="Georgia" w:hAnsi="Georgia"/>
          <w:color w:val="231F20"/>
          <w:spacing w:val="-12"/>
          <w:sz w:val="19"/>
        </w:rPr>
        <w:t> </w:t>
      </w:r>
      <w:r>
        <w:rPr>
          <w:rFonts w:ascii="Georgia" w:hAnsi="Georgia"/>
          <w:color w:val="231F20"/>
          <w:sz w:val="19"/>
        </w:rPr>
        <w:t>la</w:t>
      </w:r>
      <w:r>
        <w:rPr>
          <w:rFonts w:ascii="Georgia" w:hAnsi="Georgia"/>
          <w:color w:val="231F20"/>
          <w:spacing w:val="-12"/>
          <w:sz w:val="19"/>
        </w:rPr>
        <w:t> </w:t>
      </w:r>
      <w:r>
        <w:rPr>
          <w:rFonts w:ascii="Georgia" w:hAnsi="Georgia"/>
          <w:color w:val="231F20"/>
          <w:sz w:val="19"/>
        </w:rPr>
        <w:t>conciencia</w:t>
      </w:r>
      <w:r>
        <w:rPr>
          <w:rFonts w:ascii="Georgia" w:hAnsi="Georgia"/>
          <w:color w:val="231F20"/>
          <w:spacing w:val="-12"/>
          <w:sz w:val="19"/>
        </w:rPr>
        <w:t> </w:t>
      </w:r>
      <w:r>
        <w:rPr>
          <w:rFonts w:ascii="Georgia" w:hAnsi="Georgia"/>
          <w:color w:val="231F20"/>
          <w:sz w:val="19"/>
        </w:rPr>
        <w:t>social,</w:t>
      </w:r>
      <w:r>
        <w:rPr>
          <w:rFonts w:ascii="Georgia" w:hAnsi="Georgia"/>
          <w:color w:val="231F20"/>
          <w:spacing w:val="-13"/>
          <w:sz w:val="19"/>
        </w:rPr>
        <w:t> </w:t>
      </w:r>
      <w:r>
        <w:rPr>
          <w:rFonts w:ascii="Georgia" w:hAnsi="Georgia"/>
          <w:color w:val="231F20"/>
          <w:sz w:val="19"/>
        </w:rPr>
        <w:t>es</w:t>
      </w:r>
      <w:r>
        <w:rPr>
          <w:rFonts w:ascii="Georgia" w:hAnsi="Georgia"/>
          <w:color w:val="231F20"/>
          <w:spacing w:val="-13"/>
          <w:sz w:val="19"/>
        </w:rPr>
        <w:t> </w:t>
      </w:r>
      <w:r>
        <w:rPr>
          <w:rFonts w:ascii="Georgia" w:hAnsi="Georgia"/>
          <w:color w:val="231F20"/>
          <w:sz w:val="19"/>
        </w:rPr>
        <w:t>decir,</w:t>
      </w:r>
      <w:r>
        <w:rPr>
          <w:rFonts w:ascii="Georgia" w:hAnsi="Georgia"/>
          <w:color w:val="231F20"/>
          <w:spacing w:val="-13"/>
          <w:sz w:val="19"/>
        </w:rPr>
        <w:t> </w:t>
      </w:r>
      <w:r>
        <w:rPr>
          <w:rFonts w:ascii="Georgia" w:hAnsi="Georgia"/>
          <w:color w:val="231F20"/>
          <w:sz w:val="19"/>
        </w:rPr>
        <w:t>que</w:t>
      </w:r>
      <w:r>
        <w:rPr>
          <w:rFonts w:ascii="Georgia" w:hAnsi="Georgia"/>
          <w:color w:val="231F20"/>
          <w:spacing w:val="-12"/>
          <w:sz w:val="19"/>
        </w:rPr>
        <w:t> </w:t>
      </w:r>
      <w:r>
        <w:rPr>
          <w:rFonts w:ascii="Georgia" w:hAnsi="Georgia"/>
          <w:color w:val="231F20"/>
          <w:sz w:val="19"/>
        </w:rPr>
        <w:t>se</w:t>
      </w:r>
      <w:r>
        <w:rPr>
          <w:rFonts w:ascii="Georgia" w:hAnsi="Georgia"/>
          <w:color w:val="231F20"/>
          <w:spacing w:val="-12"/>
          <w:sz w:val="19"/>
        </w:rPr>
        <w:t> </w:t>
      </w:r>
      <w:r>
        <w:rPr>
          <w:rFonts w:ascii="Georgia" w:hAnsi="Georgia"/>
          <w:color w:val="231F20"/>
          <w:sz w:val="19"/>
        </w:rPr>
        <w:t>extiende </w:t>
      </w:r>
      <w:r>
        <w:rPr>
          <w:rFonts w:ascii="Georgia" w:hAnsi="Georgia"/>
          <w:color w:val="231F20"/>
          <w:w w:val="95"/>
          <w:sz w:val="19"/>
        </w:rPr>
        <w:t>tanto</w:t>
      </w:r>
      <w:r>
        <w:rPr>
          <w:rFonts w:ascii="Georgia" w:hAnsi="Georgia"/>
          <w:color w:val="231F20"/>
          <w:spacing w:val="-11"/>
          <w:w w:val="95"/>
          <w:sz w:val="19"/>
        </w:rPr>
        <w:t> </w:t>
      </w:r>
      <w:r>
        <w:rPr>
          <w:rFonts w:ascii="Georgia" w:hAnsi="Georgia"/>
          <w:color w:val="231F20"/>
          <w:w w:val="95"/>
          <w:sz w:val="19"/>
        </w:rPr>
        <w:t>a</w:t>
      </w:r>
      <w:r>
        <w:rPr>
          <w:rFonts w:ascii="Georgia" w:hAnsi="Georgia"/>
          <w:color w:val="231F20"/>
          <w:spacing w:val="-12"/>
          <w:w w:val="95"/>
          <w:sz w:val="19"/>
        </w:rPr>
        <w:t> </w:t>
      </w:r>
      <w:r>
        <w:rPr>
          <w:rFonts w:ascii="Georgia" w:hAnsi="Georgia"/>
          <w:color w:val="231F20"/>
          <w:w w:val="95"/>
          <w:sz w:val="19"/>
        </w:rPr>
        <w:t>la</w:t>
      </w:r>
      <w:r>
        <w:rPr>
          <w:rFonts w:ascii="Georgia" w:hAnsi="Georgia"/>
          <w:color w:val="231F20"/>
          <w:spacing w:val="-12"/>
          <w:w w:val="95"/>
          <w:sz w:val="19"/>
        </w:rPr>
        <w:t> </w:t>
      </w:r>
      <w:r>
        <w:rPr>
          <w:rFonts w:ascii="Georgia" w:hAnsi="Georgia"/>
          <w:color w:val="231F20"/>
          <w:w w:val="95"/>
          <w:sz w:val="19"/>
        </w:rPr>
        <w:t>vida</w:t>
      </w:r>
      <w:r>
        <w:rPr>
          <w:rFonts w:ascii="Georgia" w:hAnsi="Georgia"/>
          <w:color w:val="231F20"/>
          <w:spacing w:val="-12"/>
          <w:w w:val="95"/>
          <w:sz w:val="19"/>
        </w:rPr>
        <w:t> </w:t>
      </w:r>
      <w:r>
        <w:rPr>
          <w:rFonts w:ascii="Georgia" w:hAnsi="Georgia"/>
          <w:color w:val="231F20"/>
          <w:w w:val="95"/>
          <w:sz w:val="19"/>
        </w:rPr>
        <w:t>psíquica</w:t>
      </w:r>
      <w:r>
        <w:rPr>
          <w:rFonts w:ascii="Georgia" w:hAnsi="Georgia"/>
          <w:color w:val="231F20"/>
          <w:spacing w:val="-12"/>
          <w:w w:val="95"/>
          <w:sz w:val="19"/>
        </w:rPr>
        <w:t> </w:t>
      </w:r>
      <w:r>
        <w:rPr>
          <w:rFonts w:ascii="Georgia" w:hAnsi="Georgia"/>
          <w:color w:val="231F20"/>
          <w:w w:val="95"/>
          <w:sz w:val="19"/>
        </w:rPr>
        <w:t>de</w:t>
      </w:r>
      <w:r>
        <w:rPr>
          <w:rFonts w:ascii="Georgia" w:hAnsi="Georgia"/>
          <w:color w:val="231F20"/>
          <w:spacing w:val="-12"/>
          <w:w w:val="95"/>
          <w:sz w:val="19"/>
        </w:rPr>
        <w:t> </w:t>
      </w:r>
      <w:r>
        <w:rPr>
          <w:rFonts w:ascii="Georgia" w:hAnsi="Georgia"/>
          <w:color w:val="231F20"/>
          <w:w w:val="95"/>
          <w:sz w:val="19"/>
        </w:rPr>
        <w:t>la</w:t>
      </w:r>
      <w:r>
        <w:rPr>
          <w:rFonts w:ascii="Georgia" w:hAnsi="Georgia"/>
          <w:color w:val="231F20"/>
          <w:spacing w:val="-12"/>
          <w:w w:val="95"/>
          <w:sz w:val="19"/>
        </w:rPr>
        <w:t> </w:t>
      </w:r>
      <w:r>
        <w:rPr>
          <w:rFonts w:ascii="Georgia" w:hAnsi="Georgia"/>
          <w:color w:val="231F20"/>
          <w:w w:val="95"/>
          <w:sz w:val="19"/>
        </w:rPr>
        <w:t>sociedad,</w:t>
      </w:r>
      <w:r>
        <w:rPr>
          <w:rFonts w:ascii="Georgia" w:hAnsi="Georgia"/>
          <w:color w:val="231F20"/>
          <w:spacing w:val="-12"/>
          <w:w w:val="95"/>
          <w:sz w:val="19"/>
        </w:rPr>
        <w:t> </w:t>
      </w:r>
      <w:r>
        <w:rPr>
          <w:rFonts w:ascii="Georgia" w:hAnsi="Georgia"/>
          <w:color w:val="231F20"/>
          <w:w w:val="95"/>
          <w:sz w:val="19"/>
        </w:rPr>
        <w:t>cuando,</w:t>
      </w:r>
      <w:r>
        <w:rPr>
          <w:rFonts w:ascii="Georgia" w:hAnsi="Georgia"/>
          <w:color w:val="231F20"/>
          <w:spacing w:val="-12"/>
          <w:w w:val="95"/>
          <w:sz w:val="19"/>
        </w:rPr>
        <w:t> </w:t>
      </w:r>
      <w:r>
        <w:rPr>
          <w:rFonts w:ascii="Georgia" w:hAnsi="Georgia"/>
          <w:color w:val="231F20"/>
          <w:w w:val="95"/>
          <w:sz w:val="19"/>
        </w:rPr>
        <w:t>sobre</w:t>
      </w:r>
      <w:r>
        <w:rPr>
          <w:rFonts w:ascii="Georgia" w:hAnsi="Georgia"/>
          <w:color w:val="231F20"/>
          <w:spacing w:val="-12"/>
          <w:w w:val="95"/>
          <w:sz w:val="19"/>
        </w:rPr>
        <w:t> </w:t>
      </w:r>
      <w:r>
        <w:rPr>
          <w:rFonts w:ascii="Georgia" w:hAnsi="Georgia"/>
          <w:color w:val="231F20"/>
          <w:w w:val="95"/>
          <w:sz w:val="19"/>
        </w:rPr>
        <w:t>todo,</w:t>
      </w:r>
      <w:r>
        <w:rPr>
          <w:rFonts w:ascii="Georgia" w:hAnsi="Georgia"/>
          <w:color w:val="231F20"/>
          <w:spacing w:val="-12"/>
          <w:w w:val="95"/>
          <w:sz w:val="19"/>
        </w:rPr>
        <w:t> </w:t>
      </w:r>
      <w:r>
        <w:rPr>
          <w:rFonts w:ascii="Georgia" w:hAnsi="Georgia"/>
          <w:color w:val="231F20"/>
          <w:w w:val="95"/>
          <w:sz w:val="19"/>
        </w:rPr>
        <w:t>en</w:t>
      </w:r>
      <w:r>
        <w:rPr>
          <w:rFonts w:ascii="Georgia" w:hAnsi="Georgia"/>
          <w:color w:val="231F20"/>
          <w:spacing w:val="-11"/>
          <w:w w:val="95"/>
          <w:sz w:val="19"/>
        </w:rPr>
        <w:t> </w:t>
      </w:r>
      <w:r>
        <w:rPr>
          <w:rFonts w:ascii="Georgia" w:hAnsi="Georgia"/>
          <w:color w:val="231F20"/>
          <w:w w:val="95"/>
          <w:sz w:val="19"/>
        </w:rPr>
        <w:t>las sociedades</w:t>
      </w:r>
      <w:r>
        <w:rPr>
          <w:rFonts w:ascii="Georgia" w:hAnsi="Georgia"/>
          <w:color w:val="231F20"/>
          <w:spacing w:val="-7"/>
          <w:w w:val="95"/>
          <w:sz w:val="19"/>
        </w:rPr>
        <w:t> </w:t>
      </w:r>
      <w:r>
        <w:rPr>
          <w:rFonts w:ascii="Georgia" w:hAnsi="Georgia"/>
          <w:color w:val="231F20"/>
          <w:w w:val="95"/>
          <w:sz w:val="19"/>
        </w:rPr>
        <w:t>superiores,</w:t>
      </w:r>
      <w:r>
        <w:rPr>
          <w:rFonts w:ascii="Georgia" w:hAnsi="Georgia"/>
          <w:color w:val="231F20"/>
          <w:spacing w:val="-8"/>
          <w:w w:val="95"/>
          <w:sz w:val="19"/>
        </w:rPr>
        <w:t> </w:t>
      </w:r>
      <w:r>
        <w:rPr>
          <w:rFonts w:ascii="Georgia" w:hAnsi="Georgia"/>
          <w:color w:val="231F20"/>
          <w:w w:val="95"/>
          <w:sz w:val="19"/>
        </w:rPr>
        <w:t>no</w:t>
      </w:r>
      <w:r>
        <w:rPr>
          <w:rFonts w:ascii="Georgia" w:hAnsi="Georgia"/>
          <w:color w:val="231F20"/>
          <w:spacing w:val="-7"/>
          <w:w w:val="95"/>
          <w:sz w:val="19"/>
        </w:rPr>
        <w:t> </w:t>
      </w:r>
      <w:r>
        <w:rPr>
          <w:rFonts w:ascii="Georgia" w:hAnsi="Georgia"/>
          <w:color w:val="231F20"/>
          <w:w w:val="95"/>
          <w:sz w:val="19"/>
        </w:rPr>
        <w:t>constituye</w:t>
      </w:r>
      <w:r>
        <w:rPr>
          <w:rFonts w:ascii="Georgia" w:hAnsi="Georgia"/>
          <w:color w:val="231F20"/>
          <w:spacing w:val="-7"/>
          <w:w w:val="95"/>
          <w:sz w:val="19"/>
        </w:rPr>
        <w:t> </w:t>
      </w:r>
      <w:r>
        <w:rPr>
          <w:rFonts w:ascii="Georgia" w:hAnsi="Georgia"/>
          <w:color w:val="231F20"/>
          <w:w w:val="95"/>
          <w:sz w:val="19"/>
        </w:rPr>
        <w:t>una</w:t>
      </w:r>
      <w:r>
        <w:rPr>
          <w:rFonts w:ascii="Georgia" w:hAnsi="Georgia"/>
          <w:color w:val="231F20"/>
          <w:spacing w:val="-7"/>
          <w:w w:val="95"/>
          <w:sz w:val="19"/>
        </w:rPr>
        <w:t> </w:t>
      </w:r>
      <w:r>
        <w:rPr>
          <w:rFonts w:ascii="Georgia" w:hAnsi="Georgia"/>
          <w:color w:val="231F20"/>
          <w:w w:val="95"/>
          <w:sz w:val="19"/>
        </w:rPr>
        <w:t>parte</w:t>
      </w:r>
      <w:r>
        <w:rPr>
          <w:rFonts w:ascii="Georgia" w:hAnsi="Georgia"/>
          <w:color w:val="231F20"/>
          <w:spacing w:val="-7"/>
          <w:w w:val="95"/>
          <w:sz w:val="19"/>
        </w:rPr>
        <w:t> </w:t>
      </w:r>
      <w:r>
        <w:rPr>
          <w:rFonts w:ascii="Georgia" w:hAnsi="Georgia"/>
          <w:color w:val="231F20"/>
          <w:w w:val="95"/>
          <w:sz w:val="19"/>
        </w:rPr>
        <w:t>muy</w:t>
      </w:r>
      <w:r>
        <w:rPr>
          <w:rFonts w:ascii="Georgia" w:hAnsi="Georgia"/>
          <w:color w:val="231F20"/>
          <w:spacing w:val="-7"/>
          <w:w w:val="95"/>
          <w:sz w:val="19"/>
        </w:rPr>
        <w:t> </w:t>
      </w:r>
      <w:r>
        <w:rPr>
          <w:rFonts w:ascii="Georgia" w:hAnsi="Georgia"/>
          <w:color w:val="231F20"/>
          <w:w w:val="95"/>
          <w:sz w:val="19"/>
        </w:rPr>
        <w:t>restringida. </w:t>
      </w:r>
      <w:r>
        <w:rPr>
          <w:rFonts w:ascii="Georgia" w:hAnsi="Georgia"/>
          <w:color w:val="231F20"/>
          <w:sz w:val="19"/>
        </w:rPr>
        <w:t>Las funciones judiciales, gubernamentales, científicas, </w:t>
      </w:r>
      <w:r>
        <w:rPr>
          <w:rFonts w:ascii="Georgia" w:hAnsi="Georgia"/>
          <w:color w:val="231F20"/>
          <w:w w:val="95"/>
          <w:sz w:val="19"/>
        </w:rPr>
        <w:t>industriales,</w:t>
      </w:r>
      <w:r>
        <w:rPr>
          <w:rFonts w:ascii="Georgia" w:hAnsi="Georgia"/>
          <w:color w:val="231F20"/>
          <w:spacing w:val="-24"/>
          <w:w w:val="95"/>
          <w:sz w:val="19"/>
        </w:rPr>
        <w:t> </w:t>
      </w:r>
      <w:r>
        <w:rPr>
          <w:rFonts w:ascii="Georgia" w:hAnsi="Georgia"/>
          <w:color w:val="231F20"/>
          <w:w w:val="95"/>
          <w:sz w:val="19"/>
        </w:rPr>
        <w:t>en</w:t>
      </w:r>
      <w:r>
        <w:rPr>
          <w:rFonts w:ascii="Georgia" w:hAnsi="Georgia"/>
          <w:color w:val="231F20"/>
          <w:spacing w:val="-23"/>
          <w:w w:val="95"/>
          <w:sz w:val="19"/>
        </w:rPr>
        <w:t> </w:t>
      </w:r>
      <w:r>
        <w:rPr>
          <w:rFonts w:ascii="Georgia" w:hAnsi="Georgia"/>
          <w:color w:val="231F20"/>
          <w:w w:val="95"/>
          <w:sz w:val="19"/>
        </w:rPr>
        <w:t>una</w:t>
      </w:r>
      <w:r>
        <w:rPr>
          <w:rFonts w:ascii="Georgia" w:hAnsi="Georgia"/>
          <w:color w:val="231F20"/>
          <w:spacing w:val="-23"/>
          <w:w w:val="95"/>
          <w:sz w:val="19"/>
        </w:rPr>
        <w:t> </w:t>
      </w:r>
      <w:r>
        <w:rPr>
          <w:rFonts w:ascii="Georgia" w:hAnsi="Georgia"/>
          <w:color w:val="231F20"/>
          <w:w w:val="95"/>
          <w:sz w:val="19"/>
        </w:rPr>
        <w:t>palabra,</w:t>
      </w:r>
      <w:r>
        <w:rPr>
          <w:rFonts w:ascii="Georgia" w:hAnsi="Georgia"/>
          <w:color w:val="231F20"/>
          <w:spacing w:val="-24"/>
          <w:w w:val="95"/>
          <w:sz w:val="19"/>
        </w:rPr>
        <w:t> </w:t>
      </w:r>
      <w:r>
        <w:rPr>
          <w:rFonts w:ascii="Georgia" w:hAnsi="Georgia"/>
          <w:color w:val="231F20"/>
          <w:w w:val="95"/>
          <w:sz w:val="19"/>
        </w:rPr>
        <w:t>todas</w:t>
      </w:r>
      <w:r>
        <w:rPr>
          <w:rFonts w:ascii="Georgia" w:hAnsi="Georgia"/>
          <w:color w:val="231F20"/>
          <w:spacing w:val="-23"/>
          <w:w w:val="95"/>
          <w:sz w:val="19"/>
        </w:rPr>
        <w:t> </w:t>
      </w:r>
      <w:r>
        <w:rPr>
          <w:rFonts w:ascii="Georgia" w:hAnsi="Georgia"/>
          <w:color w:val="231F20"/>
          <w:w w:val="95"/>
          <w:sz w:val="19"/>
        </w:rPr>
        <w:t>las</w:t>
      </w:r>
      <w:r>
        <w:rPr>
          <w:rFonts w:ascii="Georgia" w:hAnsi="Georgia"/>
          <w:color w:val="231F20"/>
          <w:spacing w:val="-23"/>
          <w:w w:val="95"/>
          <w:sz w:val="19"/>
        </w:rPr>
        <w:t> </w:t>
      </w:r>
      <w:r>
        <w:rPr>
          <w:rFonts w:ascii="Georgia" w:hAnsi="Georgia"/>
          <w:color w:val="231F20"/>
          <w:w w:val="95"/>
          <w:sz w:val="19"/>
        </w:rPr>
        <w:t>funciones</w:t>
      </w:r>
      <w:r>
        <w:rPr>
          <w:rFonts w:ascii="Georgia" w:hAnsi="Georgia"/>
          <w:color w:val="231F20"/>
          <w:spacing w:val="-23"/>
          <w:w w:val="95"/>
          <w:sz w:val="19"/>
        </w:rPr>
        <w:t> </w:t>
      </w:r>
      <w:r>
        <w:rPr>
          <w:rFonts w:ascii="Georgia" w:hAnsi="Georgia"/>
          <w:color w:val="231F20"/>
          <w:w w:val="95"/>
          <w:sz w:val="19"/>
        </w:rPr>
        <w:t>especiales</w:t>
      </w:r>
      <w:r>
        <w:rPr>
          <w:rFonts w:ascii="Georgia" w:hAnsi="Georgia"/>
          <w:color w:val="231F20"/>
          <w:spacing w:val="-23"/>
          <w:w w:val="95"/>
          <w:sz w:val="19"/>
        </w:rPr>
        <w:t> </w:t>
      </w:r>
      <w:r>
        <w:rPr>
          <w:rFonts w:ascii="Georgia" w:hAnsi="Georgia"/>
          <w:color w:val="231F20"/>
          <w:w w:val="95"/>
          <w:sz w:val="19"/>
        </w:rPr>
        <w:t>son</w:t>
      </w:r>
      <w:r>
        <w:rPr>
          <w:rFonts w:ascii="Georgia" w:hAnsi="Georgia"/>
          <w:color w:val="231F20"/>
          <w:spacing w:val="-23"/>
          <w:w w:val="95"/>
          <w:sz w:val="19"/>
        </w:rPr>
        <w:t> </w:t>
      </w:r>
      <w:r>
        <w:rPr>
          <w:rFonts w:ascii="Georgia" w:hAnsi="Georgia"/>
          <w:color w:val="231F20"/>
          <w:w w:val="95"/>
          <w:sz w:val="19"/>
        </w:rPr>
        <w:t>de </w:t>
      </w:r>
      <w:r>
        <w:rPr>
          <w:rFonts w:ascii="Georgia" w:hAnsi="Georgia"/>
          <w:color w:val="231F20"/>
          <w:sz w:val="19"/>
        </w:rPr>
        <w:t>orden psíquico, puesto que consisten en sistemas de representación y de acción; sin embargo, están fuera de la </w:t>
      </w:r>
      <w:r>
        <w:rPr>
          <w:rFonts w:ascii="Georgia" w:hAnsi="Georgia"/>
          <w:color w:val="231F20"/>
          <w:w w:val="95"/>
          <w:sz w:val="19"/>
        </w:rPr>
        <w:t>conciencia</w:t>
      </w:r>
      <w:r>
        <w:rPr>
          <w:rFonts w:ascii="Georgia" w:hAnsi="Georgia"/>
          <w:color w:val="231F20"/>
          <w:spacing w:val="-14"/>
          <w:w w:val="95"/>
          <w:sz w:val="19"/>
        </w:rPr>
        <w:t> </w:t>
      </w:r>
      <w:r>
        <w:rPr>
          <w:rFonts w:ascii="Georgia" w:hAnsi="Georgia"/>
          <w:color w:val="231F20"/>
          <w:w w:val="95"/>
          <w:sz w:val="19"/>
        </w:rPr>
        <w:t>común”</w:t>
      </w:r>
      <w:r>
        <w:rPr>
          <w:rFonts w:ascii="Georgia" w:hAnsi="Georgia"/>
          <w:color w:val="231F20"/>
          <w:spacing w:val="-14"/>
          <w:w w:val="95"/>
          <w:sz w:val="19"/>
        </w:rPr>
        <w:t> </w:t>
      </w:r>
      <w:r>
        <w:rPr>
          <w:rFonts w:ascii="Georgia" w:hAnsi="Georgia"/>
          <w:color w:val="231F20"/>
          <w:w w:val="95"/>
          <w:sz w:val="19"/>
        </w:rPr>
        <w:t>(Durkheim,</w:t>
      </w:r>
      <w:r>
        <w:rPr>
          <w:rFonts w:ascii="Georgia" w:hAnsi="Georgia"/>
          <w:color w:val="231F20"/>
          <w:spacing w:val="-15"/>
          <w:w w:val="95"/>
          <w:sz w:val="19"/>
        </w:rPr>
        <w:t> </w:t>
      </w:r>
      <w:r>
        <w:rPr>
          <w:rFonts w:ascii="Georgia" w:hAnsi="Georgia"/>
          <w:color w:val="231F20"/>
          <w:w w:val="95"/>
          <w:sz w:val="19"/>
        </w:rPr>
        <w:t>s/f,</w:t>
      </w:r>
      <w:r>
        <w:rPr>
          <w:rFonts w:ascii="Georgia" w:hAnsi="Georgia"/>
          <w:color w:val="231F20"/>
          <w:spacing w:val="-15"/>
          <w:w w:val="95"/>
          <w:sz w:val="19"/>
        </w:rPr>
        <w:t> </w:t>
      </w:r>
      <w:r>
        <w:rPr>
          <w:rFonts w:ascii="Georgia" w:hAnsi="Georgia"/>
          <w:color w:val="231F20"/>
          <w:w w:val="95"/>
          <w:sz w:val="19"/>
        </w:rPr>
        <w:t>p.</w:t>
      </w:r>
      <w:r>
        <w:rPr>
          <w:rFonts w:ascii="Georgia" w:hAnsi="Georgia"/>
          <w:color w:val="231F20"/>
          <w:spacing w:val="-15"/>
          <w:w w:val="95"/>
          <w:sz w:val="19"/>
        </w:rPr>
        <w:t> </w:t>
      </w:r>
      <w:r>
        <w:rPr>
          <w:rFonts w:ascii="Georgia" w:hAnsi="Georgia"/>
          <w:color w:val="231F20"/>
          <w:w w:val="95"/>
          <w:sz w:val="19"/>
        </w:rPr>
        <w:t>89).</w:t>
      </w:r>
    </w:p>
    <w:p>
      <w:pPr>
        <w:pStyle w:val="BodyText"/>
        <w:spacing w:before="3"/>
        <w:rPr>
          <w:rFonts w:ascii="Georgia"/>
          <w:sz w:val="20"/>
        </w:rPr>
      </w:pPr>
    </w:p>
    <w:p>
      <w:pPr>
        <w:pStyle w:val="BodyText"/>
        <w:spacing w:line="256" w:lineRule="auto" w:before="1"/>
        <w:ind w:left="102" w:right="121" w:firstLine="284"/>
        <w:rPr>
          <w:rFonts w:ascii="Georgia" w:hAnsi="Georgia"/>
        </w:rPr>
      </w:pPr>
      <w:r>
        <w:rPr>
          <w:rFonts w:ascii="Georgia" w:hAnsi="Georgia"/>
          <w:color w:val="231F20"/>
        </w:rPr>
        <w:t>Gracias a esta amplia cita se comprenden dos conceptos </w:t>
      </w:r>
      <w:r>
        <w:rPr>
          <w:rFonts w:ascii="Georgia" w:hAnsi="Georgia"/>
          <w:color w:val="231F20"/>
          <w:w w:val="90"/>
        </w:rPr>
        <w:t>fundamentales para esta investigación:</w:t>
      </w:r>
    </w:p>
    <w:p>
      <w:pPr>
        <w:pStyle w:val="BodyText"/>
        <w:spacing w:before="2"/>
        <w:rPr>
          <w:rFonts w:ascii="Georgia"/>
        </w:rPr>
      </w:pPr>
    </w:p>
    <w:p>
      <w:pPr>
        <w:pStyle w:val="ListParagraph"/>
        <w:numPr>
          <w:ilvl w:val="2"/>
          <w:numId w:val="6"/>
        </w:numPr>
        <w:tabs>
          <w:tab w:pos="611" w:val="left" w:leader="none"/>
        </w:tabs>
        <w:spacing w:line="240" w:lineRule="auto" w:before="0" w:after="0"/>
        <w:ind w:left="610" w:right="0" w:hanging="508"/>
        <w:jc w:val="both"/>
        <w:rPr>
          <w:i/>
          <w:sz w:val="21"/>
        </w:rPr>
      </w:pPr>
      <w:r>
        <w:rPr>
          <w:i/>
          <w:color w:val="231F20"/>
          <w:w w:val="80"/>
          <w:sz w:val="21"/>
        </w:rPr>
        <w:t>Conciencia</w:t>
      </w:r>
      <w:r>
        <w:rPr>
          <w:i/>
          <w:color w:val="231F20"/>
          <w:spacing w:val="-13"/>
          <w:w w:val="80"/>
          <w:sz w:val="21"/>
        </w:rPr>
        <w:t> </w:t>
      </w:r>
      <w:r>
        <w:rPr>
          <w:i/>
          <w:color w:val="231F20"/>
          <w:w w:val="80"/>
          <w:sz w:val="21"/>
        </w:rPr>
        <w:t>colectiva</w:t>
      </w:r>
    </w:p>
    <w:p>
      <w:pPr>
        <w:pStyle w:val="BodyText"/>
        <w:spacing w:before="5"/>
        <w:rPr>
          <w:i/>
        </w:rPr>
      </w:pPr>
    </w:p>
    <w:p>
      <w:pPr>
        <w:pStyle w:val="BodyText"/>
        <w:spacing w:line="249" w:lineRule="auto"/>
        <w:ind w:left="102" w:right="116"/>
        <w:jc w:val="both"/>
        <w:rPr>
          <w:rFonts w:ascii="Georgia" w:hAnsi="Georgia"/>
        </w:rPr>
      </w:pPr>
      <w:r>
        <w:rPr>
          <w:rFonts w:ascii="Georgia" w:hAnsi="Georgia"/>
          <w:color w:val="231F20"/>
          <w:w w:val="95"/>
        </w:rPr>
        <w:t>Es la argamasa o magma que vincula a los seres humanos pertenecientes a una sociedad específica, tanto en un mismo momento histórico, como en la sucesión de generaciones. Es el conjunto</w:t>
      </w:r>
      <w:r>
        <w:rPr>
          <w:rFonts w:ascii="Georgia" w:hAnsi="Georgia"/>
          <w:color w:val="231F20"/>
          <w:spacing w:val="-20"/>
          <w:w w:val="95"/>
        </w:rPr>
        <w:t> </w:t>
      </w:r>
      <w:r>
        <w:rPr>
          <w:rFonts w:ascii="Georgia" w:hAnsi="Georgia"/>
          <w:color w:val="231F20"/>
          <w:w w:val="95"/>
        </w:rPr>
        <w:t>de</w:t>
      </w:r>
      <w:r>
        <w:rPr>
          <w:rFonts w:ascii="Georgia" w:hAnsi="Georgia"/>
          <w:color w:val="231F20"/>
          <w:spacing w:val="-20"/>
          <w:w w:val="95"/>
        </w:rPr>
        <w:t> </w:t>
      </w:r>
      <w:r>
        <w:rPr>
          <w:rFonts w:ascii="Georgia" w:hAnsi="Georgia"/>
          <w:color w:val="231F20"/>
          <w:w w:val="95"/>
        </w:rPr>
        <w:t>creencias,</w:t>
      </w:r>
      <w:r>
        <w:rPr>
          <w:rFonts w:ascii="Georgia" w:hAnsi="Georgia"/>
          <w:color w:val="231F20"/>
          <w:spacing w:val="-20"/>
          <w:w w:val="95"/>
        </w:rPr>
        <w:t> </w:t>
      </w:r>
      <w:r>
        <w:rPr>
          <w:rFonts w:ascii="Georgia" w:hAnsi="Georgia"/>
          <w:color w:val="231F20"/>
          <w:w w:val="95"/>
        </w:rPr>
        <w:t>prácticas</w:t>
      </w:r>
      <w:r>
        <w:rPr>
          <w:rFonts w:ascii="Georgia" w:hAnsi="Georgia"/>
          <w:color w:val="231F20"/>
          <w:spacing w:val="-20"/>
          <w:w w:val="95"/>
        </w:rPr>
        <w:t> </w:t>
      </w:r>
      <w:r>
        <w:rPr>
          <w:rFonts w:ascii="Georgia" w:hAnsi="Georgia"/>
          <w:color w:val="231F20"/>
          <w:w w:val="95"/>
        </w:rPr>
        <w:t>y</w:t>
      </w:r>
      <w:r>
        <w:rPr>
          <w:rFonts w:ascii="Georgia" w:hAnsi="Georgia"/>
          <w:color w:val="231F20"/>
          <w:spacing w:val="-20"/>
          <w:w w:val="95"/>
        </w:rPr>
        <w:t> </w:t>
      </w:r>
      <w:r>
        <w:rPr>
          <w:rFonts w:ascii="Georgia" w:hAnsi="Georgia"/>
          <w:color w:val="231F20"/>
          <w:w w:val="95"/>
        </w:rPr>
        <w:t>sentimientos</w:t>
      </w:r>
      <w:r>
        <w:rPr>
          <w:rFonts w:ascii="Georgia" w:hAnsi="Georgia"/>
          <w:color w:val="231F20"/>
          <w:spacing w:val="-20"/>
          <w:w w:val="95"/>
        </w:rPr>
        <w:t> </w:t>
      </w:r>
      <w:r>
        <w:rPr>
          <w:rFonts w:ascii="Georgia" w:hAnsi="Georgia"/>
          <w:color w:val="231F20"/>
          <w:w w:val="95"/>
        </w:rPr>
        <w:t>comunes</w:t>
      </w:r>
      <w:r>
        <w:rPr>
          <w:rFonts w:ascii="Georgia" w:hAnsi="Georgia"/>
          <w:color w:val="231F20"/>
          <w:spacing w:val="-20"/>
          <w:w w:val="95"/>
        </w:rPr>
        <w:t> </w:t>
      </w:r>
      <w:r>
        <w:rPr>
          <w:rFonts w:ascii="Georgia" w:hAnsi="Georgia"/>
          <w:color w:val="231F20"/>
          <w:w w:val="95"/>
        </w:rPr>
        <w:t>al</w:t>
      </w:r>
      <w:r>
        <w:rPr>
          <w:rFonts w:ascii="Georgia" w:hAnsi="Georgia"/>
          <w:color w:val="231F20"/>
          <w:spacing w:val="-20"/>
          <w:w w:val="95"/>
        </w:rPr>
        <w:t> </w:t>
      </w:r>
      <w:r>
        <w:rPr>
          <w:rFonts w:ascii="Georgia" w:hAnsi="Georgia"/>
          <w:color w:val="231F20"/>
          <w:w w:val="95"/>
        </w:rPr>
        <w:t>término medio de los miembros de una sociedad. En Francia la conciencia colectiva tiene unas características, mientras que en México son distintas a las de ese país. Estas son propias tanto de sociedades industrializadas,</w:t>
      </w:r>
      <w:r>
        <w:rPr>
          <w:rFonts w:ascii="Georgia" w:hAnsi="Georgia"/>
          <w:color w:val="231F20"/>
          <w:spacing w:val="-8"/>
          <w:w w:val="95"/>
        </w:rPr>
        <w:t> </w:t>
      </w:r>
      <w:r>
        <w:rPr>
          <w:rFonts w:ascii="Georgia" w:hAnsi="Georgia"/>
          <w:color w:val="231F20"/>
          <w:w w:val="95"/>
        </w:rPr>
        <w:t>como</w:t>
      </w:r>
      <w:r>
        <w:rPr>
          <w:rFonts w:ascii="Georgia" w:hAnsi="Georgia"/>
          <w:color w:val="231F20"/>
          <w:spacing w:val="-8"/>
          <w:w w:val="95"/>
        </w:rPr>
        <w:t> </w:t>
      </w:r>
      <w:r>
        <w:rPr>
          <w:rFonts w:ascii="Georgia" w:hAnsi="Georgia"/>
          <w:color w:val="231F20"/>
          <w:w w:val="95"/>
        </w:rPr>
        <w:t>de</w:t>
      </w:r>
      <w:r>
        <w:rPr>
          <w:rFonts w:ascii="Georgia" w:hAnsi="Georgia"/>
          <w:color w:val="231F20"/>
          <w:spacing w:val="-8"/>
          <w:w w:val="95"/>
        </w:rPr>
        <w:t> </w:t>
      </w:r>
      <w:r>
        <w:rPr>
          <w:rFonts w:ascii="Georgia" w:hAnsi="Georgia"/>
          <w:color w:val="231F20"/>
          <w:w w:val="95"/>
        </w:rPr>
        <w:t>aquellas</w:t>
      </w:r>
      <w:r>
        <w:rPr>
          <w:rFonts w:ascii="Georgia" w:hAnsi="Georgia"/>
          <w:color w:val="231F20"/>
          <w:spacing w:val="-8"/>
          <w:w w:val="95"/>
        </w:rPr>
        <w:t> </w:t>
      </w:r>
      <w:r>
        <w:rPr>
          <w:rFonts w:ascii="Georgia" w:hAnsi="Georgia"/>
          <w:color w:val="231F20"/>
          <w:w w:val="95"/>
        </w:rPr>
        <w:t>en</w:t>
      </w:r>
      <w:r>
        <w:rPr>
          <w:rFonts w:ascii="Georgia" w:hAnsi="Georgia"/>
          <w:color w:val="231F20"/>
          <w:spacing w:val="-8"/>
          <w:w w:val="95"/>
        </w:rPr>
        <w:t> </w:t>
      </w:r>
      <w:r>
        <w:rPr>
          <w:rFonts w:ascii="Georgia" w:hAnsi="Georgia"/>
          <w:color w:val="231F20"/>
          <w:w w:val="95"/>
        </w:rPr>
        <w:t>proceso</w:t>
      </w:r>
      <w:r>
        <w:rPr>
          <w:rFonts w:ascii="Georgia" w:hAnsi="Georgia"/>
          <w:color w:val="231F20"/>
          <w:spacing w:val="-8"/>
          <w:w w:val="95"/>
        </w:rPr>
        <w:t> </w:t>
      </w:r>
      <w:r>
        <w:rPr>
          <w:rFonts w:ascii="Georgia" w:hAnsi="Georgia"/>
          <w:color w:val="231F20"/>
          <w:w w:val="95"/>
        </w:rPr>
        <w:t>de</w:t>
      </w:r>
      <w:r>
        <w:rPr>
          <w:rFonts w:ascii="Georgia" w:hAnsi="Georgia"/>
          <w:color w:val="231F20"/>
          <w:spacing w:val="-8"/>
          <w:w w:val="95"/>
        </w:rPr>
        <w:t> </w:t>
      </w:r>
      <w:r>
        <w:rPr>
          <w:rFonts w:ascii="Georgia" w:hAnsi="Georgia"/>
          <w:color w:val="231F20"/>
          <w:w w:val="95"/>
        </w:rPr>
        <w:t>transformarse</w:t>
      </w:r>
      <w:r>
        <w:rPr>
          <w:rFonts w:ascii="Georgia" w:hAnsi="Georgia"/>
          <w:color w:val="231F20"/>
          <w:spacing w:val="-8"/>
          <w:w w:val="95"/>
        </w:rPr>
        <w:t> </w:t>
      </w:r>
      <w:r>
        <w:rPr>
          <w:rFonts w:ascii="Georgia" w:hAnsi="Georgia"/>
          <w:color w:val="231F20"/>
          <w:w w:val="95"/>
        </w:rPr>
        <w:t>de agrícolas a mercantiles o en industriales. Aun cuando en las primeras</w:t>
      </w:r>
      <w:r>
        <w:rPr>
          <w:rFonts w:ascii="Georgia" w:hAnsi="Georgia"/>
          <w:color w:val="231F20"/>
          <w:spacing w:val="-18"/>
          <w:w w:val="95"/>
        </w:rPr>
        <w:t> </w:t>
      </w:r>
      <w:r>
        <w:rPr>
          <w:rFonts w:ascii="Georgia" w:hAnsi="Georgia"/>
          <w:color w:val="231F20"/>
          <w:w w:val="95"/>
        </w:rPr>
        <w:t>es</w:t>
      </w:r>
      <w:r>
        <w:rPr>
          <w:rFonts w:ascii="Georgia" w:hAnsi="Georgia"/>
          <w:color w:val="231F20"/>
          <w:spacing w:val="-18"/>
          <w:w w:val="95"/>
        </w:rPr>
        <w:t> </w:t>
      </w:r>
      <w:r>
        <w:rPr>
          <w:rFonts w:ascii="Georgia" w:hAnsi="Georgia"/>
          <w:color w:val="231F20"/>
          <w:w w:val="95"/>
        </w:rPr>
        <w:t>más</w:t>
      </w:r>
      <w:r>
        <w:rPr>
          <w:rFonts w:ascii="Georgia" w:hAnsi="Georgia"/>
          <w:color w:val="231F20"/>
          <w:spacing w:val="-18"/>
          <w:w w:val="95"/>
        </w:rPr>
        <w:t> </w:t>
      </w:r>
      <w:r>
        <w:rPr>
          <w:rFonts w:ascii="Georgia" w:hAnsi="Georgia"/>
          <w:color w:val="231F20"/>
          <w:w w:val="95"/>
        </w:rPr>
        <w:t>débil;</w:t>
      </w:r>
      <w:r>
        <w:rPr>
          <w:rFonts w:ascii="Georgia" w:hAnsi="Georgia"/>
          <w:color w:val="231F20"/>
          <w:spacing w:val="-18"/>
          <w:w w:val="95"/>
        </w:rPr>
        <w:t> </w:t>
      </w:r>
      <w:r>
        <w:rPr>
          <w:rFonts w:ascii="Georgia" w:hAnsi="Georgia"/>
          <w:color w:val="231F20"/>
          <w:w w:val="95"/>
        </w:rPr>
        <w:t>en</w:t>
      </w:r>
      <w:r>
        <w:rPr>
          <w:rFonts w:ascii="Georgia" w:hAnsi="Georgia"/>
          <w:color w:val="231F20"/>
          <w:spacing w:val="-17"/>
          <w:w w:val="95"/>
        </w:rPr>
        <w:t> </w:t>
      </w:r>
      <w:r>
        <w:rPr>
          <w:rFonts w:ascii="Georgia" w:hAnsi="Georgia"/>
          <w:color w:val="231F20"/>
          <w:w w:val="95"/>
        </w:rPr>
        <w:t>las</w:t>
      </w:r>
      <w:r>
        <w:rPr>
          <w:rFonts w:ascii="Georgia" w:hAnsi="Georgia"/>
          <w:color w:val="231F20"/>
          <w:spacing w:val="-18"/>
          <w:w w:val="95"/>
        </w:rPr>
        <w:t> </w:t>
      </w:r>
      <w:r>
        <w:rPr>
          <w:rFonts w:ascii="Georgia" w:hAnsi="Georgia"/>
          <w:color w:val="231F20"/>
          <w:w w:val="95"/>
        </w:rPr>
        <w:t>segundas,</w:t>
      </w:r>
      <w:r>
        <w:rPr>
          <w:rFonts w:ascii="Georgia" w:hAnsi="Georgia"/>
          <w:color w:val="231F20"/>
          <w:spacing w:val="-18"/>
          <w:w w:val="95"/>
        </w:rPr>
        <w:t> </w:t>
      </w:r>
      <w:r>
        <w:rPr>
          <w:rFonts w:ascii="Georgia" w:hAnsi="Georgia"/>
          <w:color w:val="231F20"/>
          <w:w w:val="95"/>
        </w:rPr>
        <w:t>la</w:t>
      </w:r>
      <w:r>
        <w:rPr>
          <w:rFonts w:ascii="Georgia" w:hAnsi="Georgia"/>
          <w:color w:val="231F20"/>
          <w:spacing w:val="-18"/>
          <w:w w:val="95"/>
        </w:rPr>
        <w:t> </w:t>
      </w:r>
      <w:r>
        <w:rPr>
          <w:rFonts w:ascii="Georgia" w:hAnsi="Georgia"/>
          <w:color w:val="231F20"/>
          <w:w w:val="95"/>
        </w:rPr>
        <w:t>conciencia</w:t>
      </w:r>
      <w:r>
        <w:rPr>
          <w:rFonts w:ascii="Georgia" w:hAnsi="Georgia"/>
          <w:color w:val="231F20"/>
          <w:spacing w:val="-18"/>
          <w:w w:val="95"/>
        </w:rPr>
        <w:t> </w:t>
      </w:r>
      <w:r>
        <w:rPr>
          <w:rFonts w:ascii="Georgia" w:hAnsi="Georgia"/>
          <w:color w:val="231F20"/>
          <w:w w:val="95"/>
        </w:rPr>
        <w:t>colectiva</w:t>
      </w:r>
      <w:r>
        <w:rPr>
          <w:rFonts w:ascii="Georgia" w:hAnsi="Georgia"/>
          <w:color w:val="231F20"/>
          <w:spacing w:val="-18"/>
          <w:w w:val="95"/>
        </w:rPr>
        <w:t> </w:t>
      </w:r>
      <w:r>
        <w:rPr>
          <w:rFonts w:ascii="Georgia" w:hAnsi="Georgia"/>
          <w:color w:val="231F20"/>
          <w:w w:val="95"/>
        </w:rPr>
        <w:t>tiene mayor poderío para agrupar a sus miembros. En las denominadas sociedades desarrolladas, Durkheim señaló que descansan más</w:t>
      </w:r>
      <w:r>
        <w:rPr>
          <w:rFonts w:ascii="Georgia" w:hAnsi="Georgia"/>
          <w:color w:val="231F20"/>
          <w:spacing w:val="-29"/>
          <w:w w:val="95"/>
        </w:rPr>
        <w:t> </w:t>
      </w:r>
      <w:r>
        <w:rPr>
          <w:rFonts w:ascii="Georgia" w:hAnsi="Georgia"/>
          <w:color w:val="231F20"/>
          <w:w w:val="95"/>
        </w:rPr>
        <w:t>en las</w:t>
      </w:r>
      <w:r>
        <w:rPr>
          <w:rFonts w:ascii="Georgia" w:hAnsi="Georgia"/>
          <w:color w:val="231F20"/>
          <w:spacing w:val="-6"/>
          <w:w w:val="95"/>
        </w:rPr>
        <w:t> </w:t>
      </w:r>
      <w:r>
        <w:rPr>
          <w:rFonts w:ascii="Georgia" w:hAnsi="Georgia"/>
          <w:color w:val="231F20"/>
          <w:w w:val="95"/>
        </w:rPr>
        <w:t>RsSs</w:t>
      </w:r>
      <w:r>
        <w:rPr>
          <w:rFonts w:ascii="Georgia" w:hAnsi="Georgia"/>
          <w:color w:val="231F20"/>
          <w:spacing w:val="-6"/>
          <w:w w:val="95"/>
        </w:rPr>
        <w:t> </w:t>
      </w:r>
      <w:r>
        <w:rPr>
          <w:rFonts w:ascii="Georgia" w:hAnsi="Georgia"/>
          <w:color w:val="231F20"/>
          <w:w w:val="95"/>
        </w:rPr>
        <w:t>de</w:t>
      </w:r>
      <w:r>
        <w:rPr>
          <w:rFonts w:ascii="Georgia" w:hAnsi="Georgia"/>
          <w:color w:val="231F20"/>
          <w:spacing w:val="-6"/>
          <w:w w:val="95"/>
        </w:rPr>
        <w:t> </w:t>
      </w:r>
      <w:r>
        <w:rPr>
          <w:rFonts w:ascii="Georgia" w:hAnsi="Georgia"/>
          <w:color w:val="231F20"/>
          <w:w w:val="95"/>
        </w:rPr>
        <w:t>grupos</w:t>
      </w:r>
      <w:r>
        <w:rPr>
          <w:rFonts w:ascii="Georgia" w:hAnsi="Georgia"/>
          <w:color w:val="231F20"/>
          <w:spacing w:val="-6"/>
          <w:w w:val="95"/>
        </w:rPr>
        <w:t> </w:t>
      </w:r>
      <w:r>
        <w:rPr>
          <w:rFonts w:ascii="Georgia" w:hAnsi="Georgia"/>
          <w:color w:val="231F20"/>
          <w:w w:val="95"/>
        </w:rPr>
        <w:t>sociales</w:t>
      </w:r>
      <w:r>
        <w:rPr>
          <w:rFonts w:ascii="Georgia" w:hAnsi="Georgia"/>
          <w:color w:val="231F20"/>
          <w:spacing w:val="-6"/>
          <w:w w:val="95"/>
        </w:rPr>
        <w:t> </w:t>
      </w:r>
      <w:r>
        <w:rPr>
          <w:rFonts w:ascii="Georgia" w:hAnsi="Georgia"/>
          <w:color w:val="231F20"/>
          <w:w w:val="95"/>
        </w:rPr>
        <w:t>que</w:t>
      </w:r>
      <w:r>
        <w:rPr>
          <w:rFonts w:ascii="Georgia" w:hAnsi="Georgia"/>
          <w:color w:val="231F20"/>
          <w:spacing w:val="-6"/>
          <w:w w:val="95"/>
        </w:rPr>
        <w:t> </w:t>
      </w:r>
      <w:r>
        <w:rPr>
          <w:rFonts w:ascii="Georgia" w:hAnsi="Georgia"/>
          <w:color w:val="231F20"/>
          <w:w w:val="95"/>
        </w:rPr>
        <w:t>se</w:t>
      </w:r>
      <w:r>
        <w:rPr>
          <w:rFonts w:ascii="Georgia" w:hAnsi="Georgia"/>
          <w:color w:val="231F20"/>
          <w:spacing w:val="-6"/>
          <w:w w:val="95"/>
        </w:rPr>
        <w:t> </w:t>
      </w:r>
      <w:r>
        <w:rPr>
          <w:rFonts w:ascii="Georgia" w:hAnsi="Georgia"/>
          <w:color w:val="231F20"/>
          <w:w w:val="95"/>
        </w:rPr>
        <w:t>encargan</w:t>
      </w:r>
      <w:r>
        <w:rPr>
          <w:rFonts w:ascii="Georgia" w:hAnsi="Georgia"/>
          <w:color w:val="231F20"/>
          <w:spacing w:val="-6"/>
          <w:w w:val="95"/>
        </w:rPr>
        <w:t> </w:t>
      </w:r>
      <w:r>
        <w:rPr>
          <w:rFonts w:ascii="Georgia" w:hAnsi="Georgia"/>
          <w:color w:val="231F20"/>
          <w:w w:val="95"/>
        </w:rPr>
        <w:t>de</w:t>
      </w:r>
      <w:r>
        <w:rPr>
          <w:rFonts w:ascii="Georgia" w:hAnsi="Georgia"/>
          <w:color w:val="231F20"/>
          <w:spacing w:val="-6"/>
          <w:w w:val="95"/>
        </w:rPr>
        <w:t> </w:t>
      </w:r>
      <w:r>
        <w:rPr>
          <w:rFonts w:ascii="Georgia" w:hAnsi="Georgia"/>
          <w:color w:val="231F20"/>
          <w:w w:val="95"/>
        </w:rPr>
        <w:t>soportar</w:t>
      </w:r>
      <w:r>
        <w:rPr>
          <w:rFonts w:ascii="Georgia" w:hAnsi="Georgia"/>
          <w:color w:val="231F20"/>
          <w:spacing w:val="-7"/>
          <w:w w:val="95"/>
        </w:rPr>
        <w:t> </w:t>
      </w:r>
      <w:r>
        <w:rPr>
          <w:rFonts w:ascii="Georgia" w:hAnsi="Georgia"/>
          <w:color w:val="231F20"/>
          <w:w w:val="95"/>
        </w:rPr>
        <w:t>la</w:t>
      </w:r>
      <w:r>
        <w:rPr>
          <w:rFonts w:ascii="Georgia" w:hAnsi="Georgia"/>
          <w:color w:val="231F20"/>
          <w:spacing w:val="-6"/>
          <w:w w:val="95"/>
        </w:rPr>
        <w:t> </w:t>
      </w:r>
      <w:r>
        <w:rPr>
          <w:rFonts w:ascii="Georgia" w:hAnsi="Georgia"/>
          <w:color w:val="231F20"/>
          <w:w w:val="95"/>
        </w:rPr>
        <w:t>división social</w:t>
      </w:r>
      <w:r>
        <w:rPr>
          <w:rFonts w:ascii="Georgia" w:hAnsi="Georgia"/>
          <w:color w:val="231F20"/>
          <w:spacing w:val="-25"/>
          <w:w w:val="95"/>
        </w:rPr>
        <w:t> </w:t>
      </w:r>
      <w:r>
        <w:rPr>
          <w:rFonts w:ascii="Georgia" w:hAnsi="Georgia"/>
          <w:color w:val="231F20"/>
          <w:w w:val="95"/>
        </w:rPr>
        <w:t>del</w:t>
      </w:r>
      <w:r>
        <w:rPr>
          <w:rFonts w:ascii="Georgia" w:hAnsi="Georgia"/>
          <w:color w:val="231F20"/>
          <w:spacing w:val="-25"/>
          <w:w w:val="95"/>
        </w:rPr>
        <w:t> </w:t>
      </w:r>
      <w:r>
        <w:rPr>
          <w:rFonts w:ascii="Georgia" w:hAnsi="Georgia"/>
          <w:color w:val="231F20"/>
          <w:w w:val="95"/>
        </w:rPr>
        <w:t>trabajo.</w:t>
      </w:r>
      <w:r>
        <w:rPr>
          <w:rFonts w:ascii="Georgia" w:hAnsi="Georgia"/>
          <w:color w:val="231F20"/>
          <w:spacing w:val="-25"/>
          <w:w w:val="95"/>
        </w:rPr>
        <w:t> </w:t>
      </w:r>
      <w:r>
        <w:rPr>
          <w:rFonts w:ascii="Georgia" w:hAnsi="Georgia"/>
          <w:color w:val="231F20"/>
          <w:w w:val="95"/>
        </w:rPr>
        <w:t>Más</w:t>
      </w:r>
      <w:r>
        <w:rPr>
          <w:rFonts w:ascii="Georgia" w:hAnsi="Georgia"/>
          <w:color w:val="231F20"/>
          <w:spacing w:val="-25"/>
          <w:w w:val="95"/>
        </w:rPr>
        <w:t> </w:t>
      </w:r>
      <w:r>
        <w:rPr>
          <w:rFonts w:ascii="Georgia" w:hAnsi="Georgia"/>
          <w:color w:val="231F20"/>
          <w:w w:val="95"/>
        </w:rPr>
        <w:t>en</w:t>
      </w:r>
      <w:r>
        <w:rPr>
          <w:rFonts w:ascii="Georgia" w:hAnsi="Georgia"/>
          <w:color w:val="231F20"/>
          <w:spacing w:val="-24"/>
          <w:w w:val="95"/>
        </w:rPr>
        <w:t> </w:t>
      </w:r>
      <w:r>
        <w:rPr>
          <w:rFonts w:ascii="Georgia" w:hAnsi="Georgia"/>
          <w:color w:val="231F20"/>
          <w:w w:val="95"/>
        </w:rPr>
        <w:t>relación</w:t>
      </w:r>
      <w:r>
        <w:rPr>
          <w:rFonts w:ascii="Georgia" w:hAnsi="Georgia"/>
          <w:color w:val="231F20"/>
          <w:spacing w:val="-24"/>
          <w:w w:val="95"/>
        </w:rPr>
        <w:t> </w:t>
      </w:r>
      <w:r>
        <w:rPr>
          <w:rFonts w:ascii="Georgia" w:hAnsi="Georgia"/>
          <w:color w:val="231F20"/>
          <w:w w:val="95"/>
        </w:rPr>
        <w:t>a</w:t>
      </w:r>
      <w:r>
        <w:rPr>
          <w:rFonts w:ascii="Georgia" w:hAnsi="Georgia"/>
          <w:color w:val="231F20"/>
          <w:spacing w:val="-25"/>
          <w:w w:val="95"/>
        </w:rPr>
        <w:t> </w:t>
      </w:r>
      <w:r>
        <w:rPr>
          <w:rFonts w:ascii="Georgia" w:hAnsi="Georgia"/>
          <w:color w:val="231F20"/>
          <w:w w:val="95"/>
        </w:rPr>
        <w:t>la</w:t>
      </w:r>
      <w:r>
        <w:rPr>
          <w:rFonts w:ascii="Georgia" w:hAnsi="Georgia"/>
          <w:color w:val="231F20"/>
          <w:spacing w:val="-25"/>
          <w:w w:val="95"/>
        </w:rPr>
        <w:t> </w:t>
      </w:r>
      <w:r>
        <w:rPr>
          <w:rFonts w:ascii="Georgia" w:hAnsi="Georgia"/>
          <w:color w:val="231F20"/>
          <w:w w:val="95"/>
        </w:rPr>
        <w:t>conciencia</w:t>
      </w:r>
      <w:r>
        <w:rPr>
          <w:rFonts w:ascii="Georgia" w:hAnsi="Georgia"/>
          <w:color w:val="231F20"/>
          <w:spacing w:val="-25"/>
          <w:w w:val="95"/>
        </w:rPr>
        <w:t> </w:t>
      </w:r>
      <w:r>
        <w:rPr>
          <w:rFonts w:ascii="Georgia" w:hAnsi="Georgia"/>
          <w:color w:val="231F20"/>
          <w:w w:val="95"/>
        </w:rPr>
        <w:t>colectiva.</w:t>
      </w:r>
    </w:p>
    <w:p>
      <w:pPr>
        <w:spacing w:after="0" w:line="249" w:lineRule="auto"/>
        <w:jc w:val="both"/>
        <w:rPr>
          <w:rFonts w:ascii="Georgia" w:hAnsi="Georgia"/>
        </w:rPr>
        <w:sectPr>
          <w:headerReference w:type="default" r:id="rId357"/>
          <w:footerReference w:type="default" r:id="rId358"/>
          <w:pgSz w:w="7830" w:h="11910"/>
          <w:pgMar w:header="0" w:footer="424" w:top="500" w:bottom="620" w:left="920" w:right="900"/>
          <w:pgNumType w:start="166"/>
        </w:sectPr>
      </w:pPr>
    </w:p>
    <w:p>
      <w:pPr>
        <w:spacing w:before="43"/>
        <w:ind w:left="1463" w:right="121" w:firstLine="0"/>
        <w:jc w:val="left"/>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spacing w:before="2"/>
        <w:rPr>
          <w:rFonts w:ascii="Cambria"/>
          <w:sz w:val="23"/>
        </w:rPr>
      </w:pPr>
    </w:p>
    <w:p>
      <w:pPr>
        <w:pStyle w:val="ListParagraph"/>
        <w:numPr>
          <w:ilvl w:val="2"/>
          <w:numId w:val="6"/>
        </w:numPr>
        <w:tabs>
          <w:tab w:pos="611" w:val="left" w:leader="none"/>
        </w:tabs>
        <w:spacing w:line="240" w:lineRule="auto" w:before="0" w:after="0"/>
        <w:ind w:left="610" w:right="0" w:hanging="508"/>
        <w:jc w:val="both"/>
        <w:rPr>
          <w:i/>
          <w:sz w:val="21"/>
        </w:rPr>
      </w:pPr>
      <w:r>
        <w:rPr>
          <w:i/>
          <w:color w:val="231F20"/>
          <w:w w:val="85"/>
          <w:sz w:val="21"/>
        </w:rPr>
        <w:t>RsSs y grupo</w:t>
      </w:r>
      <w:r>
        <w:rPr>
          <w:i/>
          <w:color w:val="231F20"/>
          <w:spacing w:val="-9"/>
          <w:w w:val="85"/>
          <w:sz w:val="21"/>
        </w:rPr>
        <w:t> </w:t>
      </w:r>
      <w:r>
        <w:rPr>
          <w:i/>
          <w:color w:val="231F20"/>
          <w:w w:val="85"/>
          <w:sz w:val="21"/>
        </w:rPr>
        <w:t>social</w:t>
      </w:r>
    </w:p>
    <w:p>
      <w:pPr>
        <w:pStyle w:val="BodyText"/>
        <w:spacing w:before="4"/>
        <w:rPr>
          <w:i/>
          <w:sz w:val="23"/>
        </w:rPr>
      </w:pPr>
    </w:p>
    <w:p>
      <w:pPr>
        <w:pStyle w:val="BodyText"/>
        <w:spacing w:line="242" w:lineRule="auto"/>
        <w:ind w:left="102" w:right="115"/>
        <w:jc w:val="both"/>
        <w:rPr>
          <w:rFonts w:ascii="Cambria" w:hAnsi="Cambria"/>
        </w:rPr>
      </w:pPr>
      <w:r>
        <w:rPr>
          <w:rFonts w:ascii="Cambria" w:hAnsi="Cambria"/>
          <w:color w:val="231F20"/>
        </w:rPr>
        <w:t>Las</w:t>
      </w:r>
      <w:r>
        <w:rPr>
          <w:rFonts w:ascii="Cambria" w:hAnsi="Cambria"/>
          <w:color w:val="231F20"/>
          <w:spacing w:val="-16"/>
        </w:rPr>
        <w:t> </w:t>
      </w:r>
      <w:r>
        <w:rPr>
          <w:rFonts w:ascii="Cambria" w:hAnsi="Cambria"/>
          <w:color w:val="231F20"/>
        </w:rPr>
        <w:t>RsSs</w:t>
      </w:r>
      <w:r>
        <w:rPr>
          <w:rFonts w:ascii="Cambria" w:hAnsi="Cambria"/>
          <w:color w:val="231F20"/>
          <w:spacing w:val="-16"/>
        </w:rPr>
        <w:t> </w:t>
      </w:r>
      <w:r>
        <w:rPr>
          <w:rFonts w:ascii="Cambria" w:hAnsi="Cambria"/>
          <w:color w:val="231F20"/>
        </w:rPr>
        <w:t>son</w:t>
      </w:r>
      <w:r>
        <w:rPr>
          <w:rFonts w:ascii="Cambria" w:hAnsi="Cambria"/>
          <w:color w:val="231F20"/>
          <w:spacing w:val="-16"/>
        </w:rPr>
        <w:t> </w:t>
      </w:r>
      <w:r>
        <w:rPr>
          <w:rFonts w:ascii="Cambria" w:hAnsi="Cambria"/>
          <w:color w:val="231F20"/>
        </w:rPr>
        <w:t>propias</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grupos</w:t>
      </w:r>
      <w:r>
        <w:rPr>
          <w:rFonts w:ascii="Cambria" w:hAnsi="Cambria"/>
          <w:color w:val="231F20"/>
          <w:spacing w:val="-16"/>
        </w:rPr>
        <w:t> </w:t>
      </w:r>
      <w:r>
        <w:rPr>
          <w:rFonts w:ascii="Cambria" w:hAnsi="Cambria"/>
          <w:color w:val="231F20"/>
        </w:rPr>
        <w:t>sociales</w:t>
      </w:r>
      <w:r>
        <w:rPr>
          <w:rFonts w:ascii="Cambria" w:hAnsi="Cambria"/>
          <w:color w:val="231F20"/>
          <w:spacing w:val="-16"/>
        </w:rPr>
        <w:t> </w:t>
      </w:r>
      <w:r>
        <w:rPr>
          <w:rFonts w:ascii="Cambria" w:hAnsi="Cambria"/>
          <w:color w:val="231F20"/>
        </w:rPr>
        <w:t>que</w:t>
      </w:r>
      <w:r>
        <w:rPr>
          <w:rFonts w:ascii="Cambria" w:hAnsi="Cambria"/>
          <w:color w:val="231F20"/>
          <w:spacing w:val="-16"/>
        </w:rPr>
        <w:t> </w:t>
      </w:r>
      <w:r>
        <w:rPr>
          <w:rFonts w:ascii="Cambria" w:hAnsi="Cambria"/>
          <w:color w:val="231F20"/>
        </w:rPr>
        <w:t>se</w:t>
      </w:r>
      <w:r>
        <w:rPr>
          <w:rFonts w:ascii="Cambria" w:hAnsi="Cambria"/>
          <w:color w:val="231F20"/>
          <w:spacing w:val="-16"/>
        </w:rPr>
        <w:t> </w:t>
      </w:r>
      <w:r>
        <w:rPr>
          <w:rFonts w:ascii="Cambria" w:hAnsi="Cambria"/>
          <w:color w:val="231F20"/>
        </w:rPr>
        <w:t>distinguen</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otros por</w:t>
      </w:r>
      <w:r>
        <w:rPr>
          <w:rFonts w:ascii="Cambria" w:hAnsi="Cambria"/>
          <w:color w:val="231F20"/>
          <w:spacing w:val="-20"/>
        </w:rPr>
        <w:t> </w:t>
      </w:r>
      <w:r>
        <w:rPr>
          <w:rFonts w:ascii="Cambria" w:hAnsi="Cambria"/>
          <w:color w:val="231F20"/>
        </w:rPr>
        <w:t>desarrollar</w:t>
      </w:r>
      <w:r>
        <w:rPr>
          <w:rFonts w:ascii="Cambria" w:hAnsi="Cambria"/>
          <w:color w:val="231F20"/>
          <w:spacing w:val="-20"/>
        </w:rPr>
        <w:t> </w:t>
      </w:r>
      <w:r>
        <w:rPr>
          <w:rFonts w:ascii="Cambria" w:hAnsi="Cambria"/>
          <w:color w:val="231F20"/>
        </w:rPr>
        <w:t>una</w:t>
      </w:r>
      <w:r>
        <w:rPr>
          <w:rFonts w:ascii="Cambria" w:hAnsi="Cambria"/>
          <w:color w:val="231F20"/>
          <w:spacing w:val="-20"/>
        </w:rPr>
        <w:t> </w:t>
      </w:r>
      <w:r>
        <w:rPr>
          <w:rFonts w:ascii="Cambria" w:hAnsi="Cambria"/>
          <w:color w:val="231F20"/>
        </w:rPr>
        <w:t>función</w:t>
      </w:r>
      <w:r>
        <w:rPr>
          <w:rFonts w:ascii="Cambria" w:hAnsi="Cambria"/>
          <w:color w:val="231F20"/>
          <w:spacing w:val="-20"/>
        </w:rPr>
        <w:t> </w:t>
      </w:r>
      <w:r>
        <w:rPr>
          <w:rFonts w:ascii="Cambria" w:hAnsi="Cambria"/>
          <w:color w:val="231F20"/>
        </w:rPr>
        <w:t>dentro</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división</w:t>
      </w:r>
      <w:r>
        <w:rPr>
          <w:rFonts w:ascii="Cambria" w:hAnsi="Cambria"/>
          <w:color w:val="231F20"/>
          <w:spacing w:val="-20"/>
        </w:rPr>
        <w:t> </w:t>
      </w:r>
      <w:r>
        <w:rPr>
          <w:rFonts w:ascii="Cambria" w:hAnsi="Cambria"/>
          <w:color w:val="231F20"/>
        </w:rPr>
        <w:t>social</w:t>
      </w:r>
      <w:r>
        <w:rPr>
          <w:rFonts w:ascii="Cambria" w:hAnsi="Cambria"/>
          <w:color w:val="231F20"/>
          <w:spacing w:val="-20"/>
        </w:rPr>
        <w:t> </w:t>
      </w:r>
      <w:r>
        <w:rPr>
          <w:rFonts w:ascii="Cambria" w:hAnsi="Cambria"/>
          <w:color w:val="231F20"/>
        </w:rPr>
        <w:t>del</w:t>
      </w:r>
      <w:r>
        <w:rPr>
          <w:rFonts w:ascii="Cambria" w:hAnsi="Cambria"/>
          <w:color w:val="231F20"/>
          <w:spacing w:val="-20"/>
        </w:rPr>
        <w:t> </w:t>
      </w:r>
      <w:r>
        <w:rPr>
          <w:rFonts w:ascii="Cambria" w:hAnsi="Cambria"/>
          <w:color w:val="231F20"/>
        </w:rPr>
        <w:t>trabajo; los</w:t>
      </w:r>
      <w:r>
        <w:rPr>
          <w:rFonts w:ascii="Cambria" w:hAnsi="Cambria"/>
          <w:color w:val="231F20"/>
          <w:spacing w:val="-14"/>
        </w:rPr>
        <w:t> </w:t>
      </w:r>
      <w:r>
        <w:rPr>
          <w:rFonts w:ascii="Cambria" w:hAnsi="Cambria"/>
          <w:color w:val="231F20"/>
        </w:rPr>
        <w:t>grupos</w:t>
      </w:r>
      <w:r>
        <w:rPr>
          <w:rFonts w:ascii="Cambria" w:hAnsi="Cambria"/>
          <w:color w:val="231F20"/>
          <w:spacing w:val="-14"/>
        </w:rPr>
        <w:t> </w:t>
      </w:r>
      <w:r>
        <w:rPr>
          <w:rFonts w:ascii="Cambria" w:hAnsi="Cambria"/>
          <w:color w:val="231F20"/>
        </w:rPr>
        <w:t>sociales</w:t>
      </w:r>
      <w:r>
        <w:rPr>
          <w:rFonts w:ascii="Cambria" w:hAnsi="Cambria"/>
          <w:color w:val="231F20"/>
          <w:spacing w:val="-14"/>
        </w:rPr>
        <w:t> </w:t>
      </w:r>
      <w:r>
        <w:rPr>
          <w:rFonts w:ascii="Cambria" w:hAnsi="Cambria"/>
          <w:color w:val="231F20"/>
        </w:rPr>
        <w:t>están</w:t>
      </w:r>
      <w:r>
        <w:rPr>
          <w:rFonts w:ascii="Cambria" w:hAnsi="Cambria"/>
          <w:color w:val="231F20"/>
          <w:spacing w:val="-13"/>
        </w:rPr>
        <w:t> </w:t>
      </w:r>
      <w:r>
        <w:rPr>
          <w:rFonts w:ascii="Cambria" w:hAnsi="Cambria"/>
          <w:color w:val="231F20"/>
        </w:rPr>
        <w:t>dentro</w:t>
      </w:r>
      <w:r>
        <w:rPr>
          <w:rFonts w:ascii="Cambria" w:hAnsi="Cambria"/>
          <w:color w:val="231F20"/>
          <w:spacing w:val="-13"/>
        </w:rPr>
        <w:t> </w:t>
      </w:r>
      <w:r>
        <w:rPr>
          <w:rFonts w:ascii="Cambria" w:hAnsi="Cambria"/>
          <w:color w:val="231F20"/>
        </w:rPr>
        <w:t>de</w:t>
      </w:r>
      <w:r>
        <w:rPr>
          <w:rFonts w:ascii="Cambria" w:hAnsi="Cambria"/>
          <w:color w:val="231F20"/>
          <w:spacing w:val="-13"/>
        </w:rPr>
        <w:t> </w:t>
      </w:r>
      <w:r>
        <w:rPr>
          <w:rFonts w:ascii="Cambria" w:hAnsi="Cambria"/>
          <w:color w:val="231F20"/>
        </w:rPr>
        <w:t>una</w:t>
      </w:r>
      <w:r>
        <w:rPr>
          <w:rFonts w:ascii="Cambria" w:hAnsi="Cambria"/>
          <w:color w:val="231F20"/>
          <w:spacing w:val="-13"/>
        </w:rPr>
        <w:t> </w:t>
      </w:r>
      <w:r>
        <w:rPr>
          <w:rFonts w:ascii="Cambria" w:hAnsi="Cambria"/>
          <w:color w:val="231F20"/>
        </w:rPr>
        <w:t>colectividad.</w:t>
      </w:r>
      <w:r>
        <w:rPr>
          <w:rFonts w:ascii="Cambria" w:hAnsi="Cambria"/>
          <w:color w:val="231F20"/>
          <w:spacing w:val="-14"/>
        </w:rPr>
        <w:t> </w:t>
      </w:r>
      <w:r>
        <w:rPr>
          <w:rFonts w:ascii="Cambria" w:hAnsi="Cambria"/>
          <w:color w:val="231F20"/>
        </w:rPr>
        <w:t>A</w:t>
      </w:r>
      <w:r>
        <w:rPr>
          <w:rFonts w:ascii="Cambria" w:hAnsi="Cambria"/>
          <w:color w:val="231F20"/>
          <w:spacing w:val="-13"/>
        </w:rPr>
        <w:t> </w:t>
      </w:r>
      <w:r>
        <w:rPr>
          <w:rFonts w:ascii="Cambria" w:hAnsi="Cambria"/>
          <w:color w:val="231F20"/>
        </w:rPr>
        <w:t>cada</w:t>
      </w:r>
      <w:r>
        <w:rPr>
          <w:rFonts w:ascii="Cambria" w:hAnsi="Cambria"/>
          <w:color w:val="231F20"/>
          <w:spacing w:val="-13"/>
        </w:rPr>
        <w:t> </w:t>
      </w:r>
      <w:r>
        <w:rPr>
          <w:rFonts w:ascii="Cambria" w:hAnsi="Cambria"/>
          <w:color w:val="231F20"/>
        </w:rPr>
        <w:t>grupo lo fusionan determinadas RsSs</w:t>
      </w:r>
      <w:r>
        <w:rPr>
          <w:i/>
          <w:color w:val="231F20"/>
        </w:rPr>
        <w:t>.</w:t>
      </w:r>
      <w:r>
        <w:rPr>
          <w:rFonts w:ascii="Cambria" w:hAnsi="Cambria"/>
          <w:color w:val="231F20"/>
        </w:rPr>
        <w:t>Estas tienen cierto grado de homogeneidad entre los miembros del grupo. La conciencia colectiva es un sistema incluyente, las RsSs están en ese sistema mayor.</w:t>
      </w:r>
      <w:r>
        <w:rPr>
          <w:rFonts w:ascii="Cambria" w:hAnsi="Cambria"/>
          <w:color w:val="231F20"/>
          <w:spacing w:val="-24"/>
        </w:rPr>
        <w:t> </w:t>
      </w:r>
      <w:r>
        <w:rPr>
          <w:rFonts w:ascii="Cambria" w:hAnsi="Cambria"/>
          <w:color w:val="231F20"/>
        </w:rPr>
        <w:t>LasRsSs</w:t>
      </w:r>
      <w:r>
        <w:rPr>
          <w:rFonts w:ascii="Cambria" w:hAnsi="Cambria"/>
          <w:color w:val="231F20"/>
          <w:spacing w:val="-24"/>
        </w:rPr>
        <w:t> </w:t>
      </w:r>
      <w:r>
        <w:rPr>
          <w:rFonts w:ascii="Cambria" w:hAnsi="Cambria"/>
          <w:color w:val="231F20"/>
        </w:rPr>
        <w:t>derivan</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la</w:t>
      </w:r>
      <w:r>
        <w:rPr>
          <w:rFonts w:ascii="Cambria" w:hAnsi="Cambria"/>
          <w:color w:val="231F20"/>
          <w:spacing w:val="-24"/>
        </w:rPr>
        <w:t> </w:t>
      </w:r>
      <w:r>
        <w:rPr>
          <w:rFonts w:ascii="Cambria" w:hAnsi="Cambria"/>
          <w:color w:val="231F20"/>
        </w:rPr>
        <w:t>división</w:t>
      </w:r>
      <w:r>
        <w:rPr>
          <w:rFonts w:ascii="Cambria" w:hAnsi="Cambria"/>
          <w:color w:val="231F20"/>
          <w:spacing w:val="-24"/>
        </w:rPr>
        <w:t> </w:t>
      </w:r>
      <w:r>
        <w:rPr>
          <w:rFonts w:ascii="Cambria" w:hAnsi="Cambria"/>
          <w:color w:val="231F20"/>
        </w:rPr>
        <w:t>del</w:t>
      </w:r>
      <w:r>
        <w:rPr>
          <w:rFonts w:ascii="Cambria" w:hAnsi="Cambria"/>
          <w:color w:val="231F20"/>
          <w:spacing w:val="-24"/>
        </w:rPr>
        <w:t> </w:t>
      </w:r>
      <w:r>
        <w:rPr>
          <w:rFonts w:ascii="Cambria" w:hAnsi="Cambria"/>
          <w:color w:val="231F20"/>
        </w:rPr>
        <w:t>trabajo</w:t>
      </w:r>
      <w:r>
        <w:rPr>
          <w:rFonts w:ascii="Cambria" w:hAnsi="Cambria"/>
          <w:color w:val="231F20"/>
          <w:spacing w:val="-24"/>
        </w:rPr>
        <w:t> </w:t>
      </w:r>
      <w:r>
        <w:rPr>
          <w:rFonts w:ascii="Cambria" w:hAnsi="Cambria"/>
          <w:color w:val="231F20"/>
        </w:rPr>
        <w:t>social.</w:t>
      </w:r>
      <w:r>
        <w:rPr>
          <w:rFonts w:ascii="Cambria" w:hAnsi="Cambria"/>
          <w:color w:val="231F20"/>
          <w:spacing w:val="-24"/>
        </w:rPr>
        <w:t> </w:t>
      </w:r>
      <w:r>
        <w:rPr>
          <w:rFonts w:ascii="Cambria" w:hAnsi="Cambria"/>
          <w:color w:val="231F20"/>
        </w:rPr>
        <w:t>Los</w:t>
      </w:r>
      <w:r>
        <w:rPr>
          <w:rFonts w:ascii="Cambria" w:hAnsi="Cambria"/>
          <w:color w:val="231F20"/>
          <w:spacing w:val="-24"/>
        </w:rPr>
        <w:t> </w:t>
      </w:r>
      <w:r>
        <w:rPr>
          <w:rFonts w:ascii="Cambria" w:hAnsi="Cambria"/>
          <w:color w:val="231F20"/>
        </w:rPr>
        <w:t>grupos </w:t>
      </w:r>
      <w:r>
        <w:rPr>
          <w:rFonts w:ascii="Cambria" w:hAnsi="Cambria"/>
          <w:color w:val="231F20"/>
          <w:w w:val="95"/>
        </w:rPr>
        <w:t>para ser tales requieren –de modo similar a la conciencia colectiva– </w:t>
      </w:r>
      <w:r>
        <w:rPr>
          <w:rFonts w:ascii="Cambria" w:hAnsi="Cambria"/>
          <w:color w:val="231F20"/>
        </w:rPr>
        <w:t>un</w:t>
      </w:r>
      <w:r>
        <w:rPr>
          <w:rFonts w:ascii="Cambria" w:hAnsi="Cambria"/>
          <w:color w:val="231F20"/>
          <w:spacing w:val="-16"/>
        </w:rPr>
        <w:t> </w:t>
      </w:r>
      <w:r>
        <w:rPr>
          <w:rFonts w:ascii="Cambria" w:hAnsi="Cambria"/>
          <w:color w:val="231F20"/>
        </w:rPr>
        <w:t>conjunto</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creencias,</w:t>
      </w:r>
      <w:r>
        <w:rPr>
          <w:rFonts w:ascii="Cambria" w:hAnsi="Cambria"/>
          <w:color w:val="231F20"/>
          <w:spacing w:val="-16"/>
        </w:rPr>
        <w:t> </w:t>
      </w:r>
      <w:r>
        <w:rPr>
          <w:rFonts w:ascii="Cambria" w:hAnsi="Cambria"/>
          <w:color w:val="231F20"/>
        </w:rPr>
        <w:t>sentimientos,</w:t>
      </w:r>
      <w:r>
        <w:rPr>
          <w:rFonts w:ascii="Cambria" w:hAnsi="Cambria"/>
          <w:color w:val="231F20"/>
          <w:spacing w:val="-16"/>
        </w:rPr>
        <w:t> </w:t>
      </w:r>
      <w:r>
        <w:rPr>
          <w:rFonts w:ascii="Cambria" w:hAnsi="Cambria"/>
          <w:color w:val="231F20"/>
        </w:rPr>
        <w:t>ideas</w:t>
      </w:r>
      <w:r>
        <w:rPr>
          <w:rFonts w:ascii="Cambria" w:hAnsi="Cambria"/>
          <w:color w:val="231F20"/>
          <w:spacing w:val="-16"/>
        </w:rPr>
        <w:t> </w:t>
      </w:r>
      <w:r>
        <w:rPr>
          <w:rFonts w:ascii="Cambria" w:hAnsi="Cambria"/>
          <w:color w:val="231F20"/>
        </w:rPr>
        <w:t>y</w:t>
      </w:r>
      <w:r>
        <w:rPr>
          <w:rFonts w:ascii="Cambria" w:hAnsi="Cambria"/>
          <w:color w:val="231F20"/>
          <w:spacing w:val="-16"/>
        </w:rPr>
        <w:t> </w:t>
      </w:r>
      <w:r>
        <w:rPr>
          <w:rFonts w:ascii="Cambria" w:hAnsi="Cambria"/>
          <w:color w:val="231F20"/>
        </w:rPr>
        <w:t>prácticas</w:t>
      </w:r>
      <w:r>
        <w:rPr>
          <w:rFonts w:ascii="Cambria" w:hAnsi="Cambria"/>
          <w:color w:val="231F20"/>
          <w:spacing w:val="-16"/>
        </w:rPr>
        <w:t> </w:t>
      </w:r>
      <w:r>
        <w:rPr>
          <w:rFonts w:ascii="Cambria" w:hAnsi="Cambria"/>
          <w:color w:val="231F20"/>
        </w:rPr>
        <w:t>comunes </w:t>
      </w:r>
      <w:r>
        <w:rPr>
          <w:rFonts w:ascii="Cambria" w:hAnsi="Cambria"/>
          <w:color w:val="231F20"/>
          <w:w w:val="95"/>
        </w:rPr>
        <w:t>al término medio de sus</w:t>
      </w:r>
      <w:r>
        <w:rPr>
          <w:rFonts w:ascii="Cambria" w:hAnsi="Cambria"/>
          <w:color w:val="231F20"/>
          <w:spacing w:val="-3"/>
          <w:w w:val="95"/>
        </w:rPr>
        <w:t> </w:t>
      </w:r>
      <w:r>
        <w:rPr>
          <w:rFonts w:ascii="Cambria" w:hAnsi="Cambria"/>
          <w:color w:val="231F20"/>
          <w:w w:val="95"/>
        </w:rPr>
        <w:t>miembros.</w:t>
      </w:r>
    </w:p>
    <w:p>
      <w:pPr>
        <w:pStyle w:val="BodyText"/>
        <w:spacing w:line="244" w:lineRule="auto" w:before="10"/>
        <w:ind w:left="102" w:right="116" w:firstLine="283"/>
        <w:jc w:val="both"/>
        <w:rPr>
          <w:rFonts w:ascii="Cambria" w:hAnsi="Cambria"/>
        </w:rPr>
      </w:pPr>
      <w:r>
        <w:rPr>
          <w:rFonts w:ascii="Cambria" w:hAnsi="Cambria"/>
          <w:color w:val="231F20"/>
        </w:rPr>
        <w:t>Las</w:t>
      </w:r>
      <w:r>
        <w:rPr>
          <w:rFonts w:ascii="Cambria" w:hAnsi="Cambria"/>
          <w:color w:val="231F20"/>
          <w:spacing w:val="-11"/>
        </w:rPr>
        <w:t> </w:t>
      </w:r>
      <w:r>
        <w:rPr>
          <w:rFonts w:ascii="Cambria" w:hAnsi="Cambria"/>
          <w:color w:val="231F20"/>
        </w:rPr>
        <w:t>RsSs</w:t>
      </w:r>
      <w:r>
        <w:rPr>
          <w:rFonts w:ascii="Cambria" w:hAnsi="Cambria"/>
          <w:color w:val="231F20"/>
          <w:spacing w:val="-11"/>
        </w:rPr>
        <w:t> </w:t>
      </w:r>
      <w:r>
        <w:rPr>
          <w:rFonts w:ascii="Cambria" w:hAnsi="Cambria"/>
          <w:color w:val="231F20"/>
        </w:rPr>
        <w:t>solo</w:t>
      </w:r>
      <w:r>
        <w:rPr>
          <w:rFonts w:ascii="Cambria" w:hAnsi="Cambria"/>
          <w:color w:val="231F20"/>
          <w:spacing w:val="-11"/>
        </w:rPr>
        <w:t> </w:t>
      </w:r>
      <w:r>
        <w:rPr>
          <w:rFonts w:ascii="Cambria" w:hAnsi="Cambria"/>
          <w:color w:val="231F20"/>
        </w:rPr>
        <w:t>viven</w:t>
      </w:r>
      <w:r>
        <w:rPr>
          <w:rFonts w:ascii="Cambria" w:hAnsi="Cambria"/>
          <w:color w:val="231F20"/>
          <w:spacing w:val="-11"/>
        </w:rPr>
        <w:t> </w:t>
      </w:r>
      <w:r>
        <w:rPr>
          <w:rFonts w:ascii="Cambria" w:hAnsi="Cambria"/>
          <w:color w:val="231F20"/>
        </w:rPr>
        <w:t>en</w:t>
      </w:r>
      <w:r>
        <w:rPr>
          <w:rFonts w:ascii="Cambria" w:hAnsi="Cambria"/>
          <w:color w:val="231F20"/>
          <w:spacing w:val="-11"/>
        </w:rPr>
        <w:t> </w:t>
      </w:r>
      <w:r>
        <w:rPr>
          <w:rFonts w:ascii="Cambria" w:hAnsi="Cambria"/>
          <w:color w:val="231F20"/>
        </w:rPr>
        <w:t>los</w:t>
      </w:r>
      <w:r>
        <w:rPr>
          <w:rFonts w:ascii="Cambria" w:hAnsi="Cambria"/>
          <w:color w:val="231F20"/>
          <w:spacing w:val="-11"/>
        </w:rPr>
        <w:t> </w:t>
      </w:r>
      <w:r>
        <w:rPr>
          <w:rFonts w:ascii="Cambria" w:hAnsi="Cambria"/>
          <w:color w:val="231F20"/>
        </w:rPr>
        <w:t>individuos,</w:t>
      </w:r>
      <w:r>
        <w:rPr>
          <w:rFonts w:ascii="Cambria" w:hAnsi="Cambria"/>
          <w:color w:val="231F20"/>
          <w:spacing w:val="-11"/>
        </w:rPr>
        <w:t> </w:t>
      </w:r>
      <w:r>
        <w:rPr>
          <w:rFonts w:ascii="Cambria" w:hAnsi="Cambria"/>
          <w:color w:val="231F20"/>
        </w:rPr>
        <w:t>pero</w:t>
      </w:r>
      <w:r>
        <w:rPr>
          <w:rFonts w:ascii="Cambria" w:hAnsi="Cambria"/>
          <w:color w:val="231F20"/>
          <w:spacing w:val="-11"/>
        </w:rPr>
        <w:t> </w:t>
      </w:r>
      <w:r>
        <w:rPr>
          <w:rFonts w:ascii="Cambria" w:hAnsi="Cambria"/>
          <w:color w:val="231F20"/>
        </w:rPr>
        <w:t>su</w:t>
      </w:r>
      <w:r>
        <w:rPr>
          <w:rFonts w:ascii="Cambria" w:hAnsi="Cambria"/>
          <w:color w:val="231F20"/>
          <w:spacing w:val="-11"/>
        </w:rPr>
        <w:t> </w:t>
      </w:r>
      <w:r>
        <w:rPr>
          <w:rFonts w:ascii="Cambria" w:hAnsi="Cambria"/>
          <w:color w:val="231F20"/>
        </w:rPr>
        <w:t>generación</w:t>
      </w:r>
      <w:r>
        <w:rPr>
          <w:rFonts w:ascii="Cambria" w:hAnsi="Cambria"/>
          <w:color w:val="231F20"/>
          <w:spacing w:val="-11"/>
        </w:rPr>
        <w:t> </w:t>
      </w:r>
      <w:r>
        <w:rPr>
          <w:rFonts w:ascii="Cambria" w:hAnsi="Cambria"/>
          <w:color w:val="231F20"/>
        </w:rPr>
        <w:t>es</w:t>
      </w:r>
      <w:r>
        <w:rPr>
          <w:rFonts w:ascii="Cambria" w:hAnsi="Cambria"/>
          <w:color w:val="231F20"/>
          <w:spacing w:val="-11"/>
        </w:rPr>
        <w:t> </w:t>
      </w:r>
      <w:r>
        <w:rPr>
          <w:rFonts w:ascii="Cambria" w:hAnsi="Cambria"/>
          <w:color w:val="231F20"/>
        </w:rPr>
        <w:t>un producto</w:t>
      </w:r>
      <w:r>
        <w:rPr>
          <w:rFonts w:ascii="Cambria" w:hAnsi="Cambria"/>
          <w:color w:val="231F20"/>
          <w:spacing w:val="-21"/>
        </w:rPr>
        <w:t> </w:t>
      </w:r>
      <w:r>
        <w:rPr>
          <w:rFonts w:ascii="Cambria" w:hAnsi="Cambria"/>
          <w:color w:val="231F20"/>
        </w:rPr>
        <w:t>social</w:t>
      </w:r>
      <w:r>
        <w:rPr>
          <w:rFonts w:ascii="Cambria" w:hAnsi="Cambria"/>
          <w:color w:val="231F20"/>
          <w:spacing w:val="-21"/>
        </w:rPr>
        <w:t> </w:t>
      </w:r>
      <w:r>
        <w:rPr>
          <w:rFonts w:ascii="Cambria" w:hAnsi="Cambria"/>
          <w:color w:val="231F20"/>
        </w:rPr>
        <w:t>e</w:t>
      </w:r>
      <w:r>
        <w:rPr>
          <w:rFonts w:ascii="Cambria" w:hAnsi="Cambria"/>
          <w:color w:val="231F20"/>
          <w:spacing w:val="-21"/>
        </w:rPr>
        <w:t> </w:t>
      </w:r>
      <w:r>
        <w:rPr>
          <w:rFonts w:ascii="Cambria" w:hAnsi="Cambria"/>
          <w:color w:val="231F20"/>
        </w:rPr>
        <w:t>histórico.</w:t>
      </w:r>
      <w:r>
        <w:rPr>
          <w:rFonts w:ascii="Cambria" w:hAnsi="Cambria"/>
          <w:color w:val="231F20"/>
          <w:spacing w:val="-21"/>
        </w:rPr>
        <w:t> </w:t>
      </w:r>
      <w:r>
        <w:rPr>
          <w:rFonts w:ascii="Cambria" w:hAnsi="Cambria"/>
          <w:color w:val="231F20"/>
        </w:rPr>
        <w:t>Las</w:t>
      </w:r>
      <w:r>
        <w:rPr>
          <w:rFonts w:ascii="Cambria" w:hAnsi="Cambria"/>
          <w:color w:val="231F20"/>
          <w:spacing w:val="-21"/>
        </w:rPr>
        <w:t> </w:t>
      </w:r>
      <w:r>
        <w:rPr>
          <w:rFonts w:ascii="Cambria" w:hAnsi="Cambria"/>
          <w:color w:val="231F20"/>
        </w:rPr>
        <w:t>RsSs</w:t>
      </w:r>
      <w:r>
        <w:rPr>
          <w:rFonts w:ascii="Cambria" w:hAnsi="Cambria"/>
          <w:color w:val="231F20"/>
          <w:spacing w:val="-21"/>
        </w:rPr>
        <w:t> </w:t>
      </w:r>
      <w:r>
        <w:rPr>
          <w:rFonts w:ascii="Cambria" w:hAnsi="Cambria"/>
          <w:color w:val="231F20"/>
        </w:rPr>
        <w:t>vinculan</w:t>
      </w:r>
      <w:r>
        <w:rPr>
          <w:rFonts w:ascii="Cambria" w:hAnsi="Cambria"/>
          <w:color w:val="231F20"/>
          <w:spacing w:val="-21"/>
        </w:rPr>
        <w:t> </w:t>
      </w:r>
      <w:r>
        <w:rPr>
          <w:rFonts w:ascii="Cambria" w:hAnsi="Cambria"/>
          <w:color w:val="231F20"/>
        </w:rPr>
        <w:t>a</w:t>
      </w:r>
      <w:r>
        <w:rPr>
          <w:rFonts w:ascii="Cambria" w:hAnsi="Cambria"/>
          <w:color w:val="231F20"/>
          <w:spacing w:val="-21"/>
        </w:rPr>
        <w:t> </w:t>
      </w:r>
      <w:r>
        <w:rPr>
          <w:rFonts w:ascii="Cambria" w:hAnsi="Cambria"/>
          <w:color w:val="231F20"/>
        </w:rPr>
        <w:t>los</w:t>
      </w:r>
      <w:r>
        <w:rPr>
          <w:rFonts w:ascii="Cambria" w:hAnsi="Cambria"/>
          <w:color w:val="231F20"/>
          <w:spacing w:val="-21"/>
        </w:rPr>
        <w:t> </w:t>
      </w:r>
      <w:r>
        <w:rPr>
          <w:rFonts w:ascii="Cambria" w:hAnsi="Cambria"/>
          <w:color w:val="231F20"/>
        </w:rPr>
        <w:t>miembros</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un </w:t>
      </w:r>
      <w:r>
        <w:rPr>
          <w:rFonts w:ascii="Cambria" w:hAnsi="Cambria"/>
          <w:color w:val="231F20"/>
          <w:w w:val="95"/>
        </w:rPr>
        <w:t>grupo social y los distinguen de otros grupos, precisamente, por sus </w:t>
      </w:r>
      <w:r>
        <w:rPr>
          <w:rFonts w:ascii="Cambria" w:hAnsi="Cambria"/>
          <w:color w:val="231F20"/>
        </w:rPr>
        <w:t>ideas, prácticas, creencias y sentimientos. Un grupo social es una autoridad</w:t>
      </w:r>
      <w:r>
        <w:rPr>
          <w:rFonts w:ascii="Cambria" w:hAnsi="Cambria"/>
          <w:color w:val="231F20"/>
          <w:spacing w:val="-11"/>
        </w:rPr>
        <w:t> </w:t>
      </w:r>
      <w:r>
        <w:rPr>
          <w:rFonts w:ascii="Cambria" w:hAnsi="Cambria"/>
          <w:color w:val="231F20"/>
        </w:rPr>
        <w:t>moral</w:t>
      </w:r>
      <w:r>
        <w:rPr>
          <w:rFonts w:ascii="Cambria" w:hAnsi="Cambria"/>
          <w:color w:val="231F20"/>
          <w:spacing w:val="-12"/>
        </w:rPr>
        <w:t> </w:t>
      </w:r>
      <w:r>
        <w:rPr>
          <w:rFonts w:ascii="Cambria" w:hAnsi="Cambria"/>
          <w:color w:val="231F20"/>
        </w:rPr>
        <w:t>que</w:t>
      </w:r>
      <w:r>
        <w:rPr>
          <w:rFonts w:ascii="Cambria" w:hAnsi="Cambria"/>
          <w:color w:val="231F20"/>
          <w:spacing w:val="-12"/>
        </w:rPr>
        <w:t> </w:t>
      </w:r>
      <w:r>
        <w:rPr>
          <w:rFonts w:ascii="Cambria" w:hAnsi="Cambria"/>
          <w:color w:val="231F20"/>
        </w:rPr>
        <w:t>dirige</w:t>
      </w:r>
      <w:r>
        <w:rPr>
          <w:rFonts w:ascii="Cambria" w:hAnsi="Cambria"/>
          <w:color w:val="231F20"/>
          <w:spacing w:val="-12"/>
        </w:rPr>
        <w:t> </w:t>
      </w:r>
      <w:r>
        <w:rPr>
          <w:rFonts w:ascii="Cambria" w:hAnsi="Cambria"/>
          <w:color w:val="231F20"/>
        </w:rPr>
        <w:t>la</w:t>
      </w:r>
      <w:r>
        <w:rPr>
          <w:rFonts w:ascii="Cambria" w:hAnsi="Cambria"/>
          <w:color w:val="231F20"/>
          <w:spacing w:val="-12"/>
        </w:rPr>
        <w:t> </w:t>
      </w:r>
      <w:r>
        <w:rPr>
          <w:rFonts w:ascii="Cambria" w:hAnsi="Cambria"/>
          <w:color w:val="231F20"/>
        </w:rPr>
        <w:t>vida</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sus</w:t>
      </w:r>
      <w:r>
        <w:rPr>
          <w:rFonts w:ascii="Cambria" w:hAnsi="Cambria"/>
          <w:color w:val="231F20"/>
          <w:spacing w:val="-12"/>
        </w:rPr>
        <w:t> </w:t>
      </w:r>
      <w:r>
        <w:rPr>
          <w:rFonts w:ascii="Cambria" w:hAnsi="Cambria"/>
          <w:color w:val="231F20"/>
        </w:rPr>
        <w:t>miembros,</w:t>
      </w:r>
      <w:r>
        <w:rPr>
          <w:rFonts w:ascii="Cambria" w:hAnsi="Cambria"/>
          <w:color w:val="231F20"/>
          <w:spacing w:val="-12"/>
        </w:rPr>
        <w:t> </w:t>
      </w:r>
      <w:r>
        <w:rPr>
          <w:rFonts w:ascii="Cambria" w:hAnsi="Cambria"/>
          <w:color w:val="231F20"/>
        </w:rPr>
        <w:t>es</w:t>
      </w:r>
      <w:r>
        <w:rPr>
          <w:rFonts w:ascii="Cambria" w:hAnsi="Cambria"/>
          <w:color w:val="231F20"/>
          <w:spacing w:val="-12"/>
        </w:rPr>
        <w:t> </w:t>
      </w:r>
      <w:r>
        <w:rPr>
          <w:rFonts w:ascii="Cambria" w:hAnsi="Cambria"/>
          <w:color w:val="231F20"/>
        </w:rPr>
        <w:t>una</w:t>
      </w:r>
      <w:r>
        <w:rPr>
          <w:rFonts w:ascii="Cambria" w:hAnsi="Cambria"/>
          <w:color w:val="231F20"/>
          <w:spacing w:val="-12"/>
        </w:rPr>
        <w:t> </w:t>
      </w:r>
      <w:r>
        <w:rPr>
          <w:rFonts w:ascii="Cambria" w:hAnsi="Cambria"/>
          <w:color w:val="231F20"/>
        </w:rPr>
        <w:t>fuente </w:t>
      </w:r>
      <w:r>
        <w:rPr>
          <w:rFonts w:ascii="Cambria" w:hAnsi="Cambria"/>
          <w:color w:val="231F20"/>
          <w:w w:val="95"/>
        </w:rPr>
        <w:t>de</w:t>
      </w:r>
      <w:r>
        <w:rPr>
          <w:rFonts w:ascii="Cambria" w:hAnsi="Cambria"/>
          <w:color w:val="231F20"/>
          <w:spacing w:val="-11"/>
          <w:w w:val="95"/>
        </w:rPr>
        <w:t> </w:t>
      </w:r>
      <w:r>
        <w:rPr>
          <w:rFonts w:ascii="Cambria" w:hAnsi="Cambria"/>
          <w:color w:val="231F20"/>
          <w:w w:val="95"/>
        </w:rPr>
        <w:t>vida</w:t>
      </w:r>
      <w:r>
        <w:rPr>
          <w:rFonts w:ascii="Cambria" w:hAnsi="Cambria"/>
          <w:color w:val="231F20"/>
          <w:spacing w:val="-11"/>
          <w:w w:val="95"/>
        </w:rPr>
        <w:t> </w:t>
      </w:r>
      <w:r>
        <w:rPr>
          <w:i/>
          <w:color w:val="231F20"/>
          <w:w w:val="95"/>
        </w:rPr>
        <w:t>sui</w:t>
      </w:r>
      <w:r>
        <w:rPr>
          <w:i/>
          <w:color w:val="231F20"/>
          <w:spacing w:val="-18"/>
          <w:w w:val="95"/>
        </w:rPr>
        <w:t> </w:t>
      </w:r>
      <w:r>
        <w:rPr>
          <w:i/>
          <w:color w:val="231F20"/>
          <w:w w:val="95"/>
        </w:rPr>
        <w:t>generis</w:t>
      </w:r>
      <w:r>
        <w:rPr>
          <w:rFonts w:ascii="Cambria" w:hAnsi="Cambria"/>
          <w:color w:val="231F20"/>
          <w:w w:val="95"/>
        </w:rPr>
        <w:t>.</w:t>
      </w:r>
      <w:r>
        <w:rPr>
          <w:rFonts w:ascii="Cambria" w:hAnsi="Cambria"/>
          <w:color w:val="231F20"/>
          <w:spacing w:val="-11"/>
          <w:w w:val="95"/>
        </w:rPr>
        <w:t> </w:t>
      </w:r>
      <w:r>
        <w:rPr>
          <w:rFonts w:ascii="Cambria" w:hAnsi="Cambria"/>
          <w:color w:val="231F20"/>
          <w:w w:val="95"/>
        </w:rPr>
        <w:t>Se</w:t>
      </w:r>
      <w:r>
        <w:rPr>
          <w:rFonts w:ascii="Cambria" w:hAnsi="Cambria"/>
          <w:color w:val="231F20"/>
          <w:spacing w:val="-11"/>
          <w:w w:val="95"/>
        </w:rPr>
        <w:t> </w:t>
      </w:r>
      <w:r>
        <w:rPr>
          <w:rFonts w:ascii="Cambria" w:hAnsi="Cambria"/>
          <w:color w:val="231F20"/>
          <w:w w:val="95"/>
        </w:rPr>
        <w:t>desprende</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él</w:t>
      </w:r>
      <w:r>
        <w:rPr>
          <w:rFonts w:ascii="Cambria" w:hAnsi="Cambria"/>
          <w:color w:val="231F20"/>
          <w:spacing w:val="-11"/>
          <w:w w:val="95"/>
        </w:rPr>
        <w:t> </w:t>
      </w:r>
      <w:r>
        <w:rPr>
          <w:rFonts w:ascii="Cambria" w:hAnsi="Cambria"/>
          <w:color w:val="231F20"/>
          <w:w w:val="95"/>
        </w:rPr>
        <w:t>un</w:t>
      </w:r>
      <w:r>
        <w:rPr>
          <w:rFonts w:ascii="Cambria" w:hAnsi="Cambria"/>
          <w:color w:val="231F20"/>
          <w:spacing w:val="-11"/>
          <w:w w:val="95"/>
        </w:rPr>
        <w:t> </w:t>
      </w:r>
      <w:r>
        <w:rPr>
          <w:rFonts w:ascii="Cambria" w:hAnsi="Cambria"/>
          <w:color w:val="231F20"/>
          <w:w w:val="95"/>
        </w:rPr>
        <w:t>calor</w:t>
      </w:r>
      <w:r>
        <w:rPr>
          <w:rFonts w:ascii="Cambria" w:hAnsi="Cambria"/>
          <w:color w:val="231F20"/>
          <w:spacing w:val="-11"/>
          <w:w w:val="95"/>
        </w:rPr>
        <w:t> </w:t>
      </w:r>
      <w:r>
        <w:rPr>
          <w:rFonts w:ascii="Cambria" w:hAnsi="Cambria"/>
          <w:color w:val="231F20"/>
          <w:w w:val="95"/>
        </w:rPr>
        <w:t>que</w:t>
      </w:r>
      <w:r>
        <w:rPr>
          <w:rFonts w:ascii="Cambria" w:hAnsi="Cambria"/>
          <w:color w:val="231F20"/>
          <w:spacing w:val="-11"/>
          <w:w w:val="95"/>
        </w:rPr>
        <w:t> </w:t>
      </w:r>
      <w:r>
        <w:rPr>
          <w:rFonts w:ascii="Cambria" w:hAnsi="Cambria"/>
          <w:color w:val="231F20"/>
          <w:w w:val="95"/>
        </w:rPr>
        <w:t>calienta</w:t>
      </w:r>
      <w:r>
        <w:rPr>
          <w:rFonts w:ascii="Cambria" w:hAnsi="Cambria"/>
          <w:color w:val="231F20"/>
          <w:spacing w:val="-11"/>
          <w:w w:val="95"/>
        </w:rPr>
        <w:t> </w:t>
      </w:r>
      <w:r>
        <w:rPr>
          <w:rFonts w:ascii="Cambria" w:hAnsi="Cambria"/>
          <w:color w:val="231F20"/>
          <w:w w:val="95"/>
        </w:rPr>
        <w:t>y</w:t>
      </w:r>
      <w:r>
        <w:rPr>
          <w:rFonts w:ascii="Cambria" w:hAnsi="Cambria"/>
          <w:color w:val="231F20"/>
          <w:spacing w:val="-11"/>
          <w:w w:val="95"/>
        </w:rPr>
        <w:t> </w:t>
      </w:r>
      <w:r>
        <w:rPr>
          <w:rFonts w:ascii="Cambria" w:hAnsi="Cambria"/>
          <w:color w:val="231F20"/>
          <w:w w:val="95"/>
        </w:rPr>
        <w:t>reanima </w:t>
      </w:r>
      <w:r>
        <w:rPr>
          <w:rFonts w:ascii="Cambria" w:hAnsi="Cambria"/>
          <w:color w:val="231F20"/>
        </w:rPr>
        <w:t>los</w:t>
      </w:r>
      <w:r>
        <w:rPr>
          <w:rFonts w:ascii="Cambria" w:hAnsi="Cambria"/>
          <w:color w:val="231F20"/>
          <w:spacing w:val="-23"/>
        </w:rPr>
        <w:t> </w:t>
      </w:r>
      <w:r>
        <w:rPr>
          <w:rFonts w:ascii="Cambria" w:hAnsi="Cambria"/>
          <w:color w:val="231F20"/>
        </w:rPr>
        <w:t>corazones,</w:t>
      </w:r>
      <w:r>
        <w:rPr>
          <w:rFonts w:ascii="Cambria" w:hAnsi="Cambria"/>
          <w:color w:val="231F20"/>
          <w:spacing w:val="-23"/>
        </w:rPr>
        <w:t> </w:t>
      </w:r>
      <w:r>
        <w:rPr>
          <w:rFonts w:ascii="Cambria" w:hAnsi="Cambria"/>
          <w:color w:val="231F20"/>
        </w:rPr>
        <w:t>que</w:t>
      </w:r>
      <w:r>
        <w:rPr>
          <w:rFonts w:ascii="Cambria" w:hAnsi="Cambria"/>
          <w:color w:val="231F20"/>
          <w:spacing w:val="-23"/>
        </w:rPr>
        <w:t> </w:t>
      </w:r>
      <w:r>
        <w:rPr>
          <w:rFonts w:ascii="Cambria" w:hAnsi="Cambria"/>
          <w:color w:val="231F20"/>
        </w:rPr>
        <w:t>les</w:t>
      </w:r>
      <w:r>
        <w:rPr>
          <w:rFonts w:ascii="Cambria" w:hAnsi="Cambria"/>
          <w:color w:val="231F20"/>
          <w:spacing w:val="-23"/>
        </w:rPr>
        <w:t> </w:t>
      </w:r>
      <w:r>
        <w:rPr>
          <w:rFonts w:ascii="Cambria" w:hAnsi="Cambria"/>
          <w:color w:val="231F20"/>
        </w:rPr>
        <w:t>abre</w:t>
      </w:r>
      <w:r>
        <w:rPr>
          <w:rFonts w:ascii="Cambria" w:hAnsi="Cambria"/>
          <w:color w:val="231F20"/>
          <w:spacing w:val="-23"/>
        </w:rPr>
        <w:t> </w:t>
      </w:r>
      <w:r>
        <w:rPr>
          <w:rFonts w:ascii="Cambria" w:hAnsi="Cambria"/>
          <w:color w:val="231F20"/>
        </w:rPr>
        <w:t>la</w:t>
      </w:r>
      <w:r>
        <w:rPr>
          <w:rFonts w:ascii="Cambria" w:hAnsi="Cambria"/>
          <w:color w:val="231F20"/>
          <w:spacing w:val="-23"/>
        </w:rPr>
        <w:t> </w:t>
      </w:r>
      <w:r>
        <w:rPr>
          <w:rFonts w:ascii="Cambria" w:hAnsi="Cambria"/>
          <w:color w:val="231F20"/>
        </w:rPr>
        <w:t>simpatía</w:t>
      </w:r>
      <w:r>
        <w:rPr>
          <w:rFonts w:ascii="Cambria" w:hAnsi="Cambria"/>
          <w:color w:val="231F20"/>
          <w:spacing w:val="-23"/>
        </w:rPr>
        <w:t> </w:t>
      </w:r>
      <w:r>
        <w:rPr>
          <w:rFonts w:ascii="Cambria" w:hAnsi="Cambria"/>
          <w:color w:val="231F20"/>
        </w:rPr>
        <w:t>y</w:t>
      </w:r>
      <w:r>
        <w:rPr>
          <w:rFonts w:ascii="Cambria" w:hAnsi="Cambria"/>
          <w:color w:val="231F20"/>
          <w:spacing w:val="-23"/>
        </w:rPr>
        <w:t> </w:t>
      </w:r>
      <w:r>
        <w:rPr>
          <w:rFonts w:ascii="Cambria" w:hAnsi="Cambria"/>
          <w:color w:val="231F20"/>
        </w:rPr>
        <w:t>que</w:t>
      </w:r>
      <w:r>
        <w:rPr>
          <w:rFonts w:ascii="Cambria" w:hAnsi="Cambria"/>
          <w:color w:val="231F20"/>
          <w:spacing w:val="-23"/>
        </w:rPr>
        <w:t> </w:t>
      </w:r>
      <w:r>
        <w:rPr>
          <w:rFonts w:ascii="Cambria" w:hAnsi="Cambria"/>
          <w:color w:val="231F20"/>
        </w:rPr>
        <w:t>les</w:t>
      </w:r>
      <w:r>
        <w:rPr>
          <w:rFonts w:ascii="Cambria" w:hAnsi="Cambria"/>
          <w:color w:val="231F20"/>
          <w:spacing w:val="-23"/>
        </w:rPr>
        <w:t> </w:t>
      </w:r>
      <w:r>
        <w:rPr>
          <w:rFonts w:ascii="Cambria" w:hAnsi="Cambria"/>
          <w:color w:val="231F20"/>
        </w:rPr>
        <w:t>hunde</w:t>
      </w:r>
      <w:r>
        <w:rPr>
          <w:rFonts w:ascii="Cambria" w:hAnsi="Cambria"/>
          <w:color w:val="231F20"/>
          <w:spacing w:val="-23"/>
        </w:rPr>
        <w:t> </w:t>
      </w:r>
      <w:r>
        <w:rPr>
          <w:rFonts w:ascii="Cambria" w:hAnsi="Cambria"/>
          <w:color w:val="231F20"/>
        </w:rPr>
        <w:t>los</w:t>
      </w:r>
      <w:r>
        <w:rPr>
          <w:rFonts w:ascii="Cambria" w:hAnsi="Cambria"/>
          <w:color w:val="231F20"/>
          <w:spacing w:val="-23"/>
        </w:rPr>
        <w:t> </w:t>
      </w:r>
      <w:r>
        <w:rPr>
          <w:rFonts w:ascii="Cambria" w:hAnsi="Cambria"/>
          <w:color w:val="231F20"/>
        </w:rPr>
        <w:t>egoísmos (Durkheim,</w:t>
      </w:r>
      <w:r>
        <w:rPr>
          <w:rFonts w:ascii="Cambria" w:hAnsi="Cambria"/>
          <w:color w:val="231F20"/>
          <w:spacing w:val="-22"/>
        </w:rPr>
        <w:t> </w:t>
      </w:r>
      <w:r>
        <w:rPr>
          <w:rFonts w:ascii="Cambria" w:hAnsi="Cambria"/>
          <w:color w:val="231F20"/>
        </w:rPr>
        <w:t>s/f,</w:t>
      </w:r>
      <w:r>
        <w:rPr>
          <w:rFonts w:ascii="Cambria" w:hAnsi="Cambria"/>
          <w:color w:val="231F20"/>
          <w:spacing w:val="-22"/>
        </w:rPr>
        <w:t> </w:t>
      </w:r>
      <w:r>
        <w:rPr>
          <w:rFonts w:ascii="Cambria" w:hAnsi="Cambria"/>
          <w:color w:val="231F20"/>
        </w:rPr>
        <w:t>pp.</w:t>
      </w:r>
      <w:r>
        <w:rPr>
          <w:rFonts w:ascii="Cambria" w:hAnsi="Cambria"/>
          <w:color w:val="231F20"/>
          <w:spacing w:val="-22"/>
        </w:rPr>
        <w:t> </w:t>
      </w:r>
      <w:r>
        <w:rPr>
          <w:rFonts w:ascii="Cambria" w:hAnsi="Cambria"/>
          <w:color w:val="231F20"/>
        </w:rPr>
        <w:t>34-35).</w:t>
      </w:r>
      <w:r>
        <w:rPr>
          <w:rFonts w:ascii="Cambria" w:hAnsi="Cambria"/>
          <w:color w:val="231F20"/>
          <w:spacing w:val="-22"/>
        </w:rPr>
        <w:t> </w:t>
      </w:r>
      <w:r>
        <w:rPr>
          <w:rFonts w:ascii="Cambria" w:hAnsi="Cambria"/>
          <w:color w:val="231F20"/>
        </w:rPr>
        <w:t>Un</w:t>
      </w:r>
      <w:r>
        <w:rPr>
          <w:rFonts w:ascii="Cambria" w:hAnsi="Cambria"/>
          <w:color w:val="231F20"/>
          <w:spacing w:val="-22"/>
        </w:rPr>
        <w:t> </w:t>
      </w:r>
      <w:r>
        <w:rPr>
          <w:rFonts w:ascii="Cambria" w:hAnsi="Cambria"/>
          <w:color w:val="231F20"/>
        </w:rPr>
        <w:t>grupo</w:t>
      </w:r>
      <w:r>
        <w:rPr>
          <w:rFonts w:ascii="Cambria" w:hAnsi="Cambria"/>
          <w:color w:val="231F20"/>
          <w:spacing w:val="-22"/>
        </w:rPr>
        <w:t> </w:t>
      </w:r>
      <w:r>
        <w:rPr>
          <w:rFonts w:ascii="Cambria" w:hAnsi="Cambria"/>
          <w:color w:val="231F20"/>
        </w:rPr>
        <w:t>social</w:t>
      </w:r>
      <w:r>
        <w:rPr>
          <w:rFonts w:ascii="Cambria" w:hAnsi="Cambria"/>
          <w:color w:val="231F20"/>
          <w:spacing w:val="-22"/>
        </w:rPr>
        <w:t> </w:t>
      </w:r>
      <w:r>
        <w:rPr>
          <w:rFonts w:ascii="Cambria" w:hAnsi="Cambria"/>
          <w:color w:val="231F20"/>
        </w:rPr>
        <w:t>para</w:t>
      </w:r>
      <w:r>
        <w:rPr>
          <w:rFonts w:ascii="Cambria" w:hAnsi="Cambria"/>
          <w:color w:val="231F20"/>
          <w:spacing w:val="-22"/>
        </w:rPr>
        <w:t> </w:t>
      </w:r>
      <w:r>
        <w:rPr>
          <w:rFonts w:ascii="Cambria" w:hAnsi="Cambria"/>
          <w:color w:val="231F20"/>
        </w:rPr>
        <w:t>existir</w:t>
      </w:r>
      <w:r>
        <w:rPr>
          <w:rFonts w:ascii="Cambria" w:hAnsi="Cambria"/>
          <w:color w:val="231F20"/>
          <w:spacing w:val="-22"/>
        </w:rPr>
        <w:t> </w:t>
      </w:r>
      <w:r>
        <w:rPr>
          <w:rFonts w:ascii="Cambria" w:hAnsi="Cambria"/>
          <w:color w:val="231F20"/>
        </w:rPr>
        <w:t>requiere</w:t>
      </w:r>
      <w:r>
        <w:rPr>
          <w:rFonts w:ascii="Cambria" w:hAnsi="Cambria"/>
          <w:color w:val="231F20"/>
          <w:spacing w:val="-22"/>
        </w:rPr>
        <w:t> </w:t>
      </w:r>
      <w:r>
        <w:rPr>
          <w:rFonts w:ascii="Cambria" w:hAnsi="Cambria"/>
          <w:color w:val="231F20"/>
        </w:rPr>
        <w:t>de RsSsque</w:t>
      </w:r>
      <w:r>
        <w:rPr>
          <w:rFonts w:ascii="Cambria" w:hAnsi="Cambria"/>
          <w:color w:val="231F20"/>
          <w:spacing w:val="-10"/>
        </w:rPr>
        <w:t> </w:t>
      </w:r>
      <w:r>
        <w:rPr>
          <w:rFonts w:ascii="Cambria" w:hAnsi="Cambria"/>
          <w:color w:val="231F20"/>
        </w:rPr>
        <w:t>dirijan</w:t>
      </w:r>
      <w:r>
        <w:rPr>
          <w:rFonts w:ascii="Cambria" w:hAnsi="Cambria"/>
          <w:color w:val="231F20"/>
          <w:spacing w:val="-9"/>
        </w:rPr>
        <w:t> </w:t>
      </w:r>
      <w:r>
        <w:rPr>
          <w:rFonts w:ascii="Cambria" w:hAnsi="Cambria"/>
          <w:color w:val="231F20"/>
        </w:rPr>
        <w:t>a</w:t>
      </w:r>
      <w:r>
        <w:rPr>
          <w:rFonts w:ascii="Cambria" w:hAnsi="Cambria"/>
          <w:color w:val="231F20"/>
          <w:spacing w:val="-10"/>
        </w:rPr>
        <w:t> </w:t>
      </w:r>
      <w:r>
        <w:rPr>
          <w:rFonts w:ascii="Cambria" w:hAnsi="Cambria"/>
          <w:color w:val="231F20"/>
        </w:rPr>
        <w:t>sus</w:t>
      </w:r>
      <w:r>
        <w:rPr>
          <w:rFonts w:ascii="Cambria" w:hAnsi="Cambria"/>
          <w:color w:val="231F20"/>
          <w:spacing w:val="-9"/>
        </w:rPr>
        <w:t> </w:t>
      </w:r>
      <w:r>
        <w:rPr>
          <w:rFonts w:ascii="Cambria" w:hAnsi="Cambria"/>
          <w:color w:val="231F20"/>
        </w:rPr>
        <w:t>miembros</w:t>
      </w:r>
      <w:r>
        <w:rPr>
          <w:rFonts w:ascii="Cambria" w:hAnsi="Cambria"/>
          <w:color w:val="231F20"/>
          <w:spacing w:val="-9"/>
        </w:rPr>
        <w:t> </w:t>
      </w:r>
      <w:r>
        <w:rPr>
          <w:rFonts w:ascii="Cambria" w:hAnsi="Cambria"/>
          <w:color w:val="231F20"/>
        </w:rPr>
        <w:t>y</w:t>
      </w:r>
      <w:r>
        <w:rPr>
          <w:rFonts w:ascii="Cambria" w:hAnsi="Cambria"/>
          <w:color w:val="231F20"/>
          <w:spacing w:val="-10"/>
        </w:rPr>
        <w:t> </w:t>
      </w:r>
      <w:r>
        <w:rPr>
          <w:rFonts w:ascii="Cambria" w:hAnsi="Cambria"/>
          <w:color w:val="231F20"/>
        </w:rPr>
        <w:t>al</w:t>
      </w:r>
      <w:r>
        <w:rPr>
          <w:rFonts w:ascii="Cambria" w:hAnsi="Cambria"/>
          <w:color w:val="231F20"/>
          <w:spacing w:val="-10"/>
        </w:rPr>
        <w:t> </w:t>
      </w:r>
      <w:r>
        <w:rPr>
          <w:rFonts w:ascii="Cambria" w:hAnsi="Cambria"/>
          <w:color w:val="231F20"/>
        </w:rPr>
        <w:t>grupo</w:t>
      </w:r>
      <w:r>
        <w:rPr>
          <w:rFonts w:ascii="Cambria" w:hAnsi="Cambria"/>
          <w:color w:val="231F20"/>
          <w:spacing w:val="-9"/>
        </w:rPr>
        <w:t> </w:t>
      </w:r>
      <w:r>
        <w:rPr>
          <w:rFonts w:ascii="Cambria" w:hAnsi="Cambria"/>
          <w:color w:val="231F20"/>
        </w:rPr>
        <w:t>mismo.</w:t>
      </w:r>
      <w:r>
        <w:rPr>
          <w:rFonts w:ascii="Cambria" w:hAnsi="Cambria"/>
          <w:color w:val="231F20"/>
          <w:spacing w:val="-11"/>
        </w:rPr>
        <w:t> </w:t>
      </w:r>
      <w:r>
        <w:rPr>
          <w:rFonts w:ascii="Cambria" w:hAnsi="Cambria"/>
          <w:color w:val="231F20"/>
        </w:rPr>
        <w:t>Las</w:t>
      </w:r>
      <w:r>
        <w:rPr>
          <w:rFonts w:ascii="Cambria" w:hAnsi="Cambria"/>
          <w:color w:val="231F20"/>
          <w:spacing w:val="-9"/>
        </w:rPr>
        <w:t> </w:t>
      </w:r>
      <w:r>
        <w:rPr>
          <w:rFonts w:ascii="Cambria" w:hAnsi="Cambria"/>
          <w:color w:val="231F20"/>
        </w:rPr>
        <w:t>RsSs,</w:t>
      </w:r>
      <w:r>
        <w:rPr>
          <w:rFonts w:ascii="Cambria" w:hAnsi="Cambria"/>
          <w:color w:val="231F20"/>
          <w:spacing w:val="-10"/>
        </w:rPr>
        <w:t> </w:t>
      </w:r>
      <w:r>
        <w:rPr>
          <w:rFonts w:ascii="Cambria" w:hAnsi="Cambria"/>
          <w:color w:val="231F20"/>
        </w:rPr>
        <w:t>luego </w:t>
      </w:r>
      <w:r>
        <w:rPr>
          <w:rFonts w:ascii="Cambria" w:hAnsi="Cambria"/>
          <w:color w:val="231F20"/>
          <w:w w:val="95"/>
        </w:rPr>
        <w:t>del planteamiento inicial de Durkheim, fueron desarrolladas como más adelante se muestra por autores como</w:t>
      </w:r>
      <w:r>
        <w:rPr>
          <w:rFonts w:ascii="Cambria" w:hAnsi="Cambria"/>
          <w:color w:val="231F20"/>
          <w:spacing w:val="-11"/>
          <w:w w:val="95"/>
        </w:rPr>
        <w:t> </w:t>
      </w:r>
      <w:r>
        <w:rPr>
          <w:rFonts w:ascii="Cambria" w:hAnsi="Cambria"/>
          <w:color w:val="231F20"/>
          <w:w w:val="95"/>
        </w:rPr>
        <w:t>Moscovici.</w:t>
      </w:r>
    </w:p>
    <w:p>
      <w:pPr>
        <w:pStyle w:val="BodyText"/>
        <w:spacing w:line="244" w:lineRule="auto"/>
        <w:ind w:left="102" w:right="117" w:firstLine="284"/>
        <w:jc w:val="both"/>
        <w:rPr>
          <w:rFonts w:ascii="Cambria" w:hAnsi="Cambria"/>
        </w:rPr>
      </w:pPr>
      <w:r>
        <w:rPr>
          <w:rFonts w:ascii="Cambria" w:hAnsi="Cambria"/>
          <w:color w:val="231F20"/>
        </w:rPr>
        <w:t>Si bien existen científicos sociales que consideran valiosas las enseñanzas de Durkheim, hay otros que las objetan: no admiten </w:t>
      </w:r>
      <w:r>
        <w:rPr>
          <w:rFonts w:ascii="Cambria" w:hAnsi="Cambria"/>
          <w:color w:val="231F20"/>
          <w:w w:val="95"/>
        </w:rPr>
        <w:t>sus postulados. Especialmente quienes se autonombran marxistas. </w:t>
      </w:r>
      <w:r>
        <w:rPr>
          <w:rFonts w:ascii="Cambria" w:hAnsi="Cambria"/>
          <w:color w:val="231F20"/>
        </w:rPr>
        <w:t>Con la idea de unir lo disperso y disgregado (Morín 1998), abajo se ofrecen conceptos y teorías de fenómenos similares a </w:t>
      </w:r>
      <w:r>
        <w:rPr>
          <w:rFonts w:ascii="Cambria" w:hAnsi="Cambria"/>
          <w:color w:val="231F20"/>
          <w:w w:val="95"/>
        </w:rPr>
        <w:t>conciencia colectiva y RsSs: ideología y </w:t>
      </w:r>
      <w:r>
        <w:rPr>
          <w:i/>
          <w:color w:val="231F20"/>
          <w:w w:val="95"/>
        </w:rPr>
        <w:t>habitus</w:t>
      </w:r>
      <w:r>
        <w:rPr>
          <w:rFonts w:ascii="Cambria" w:hAnsi="Cambria"/>
          <w:color w:val="231F20"/>
          <w:w w:val="95"/>
        </w:rPr>
        <w:t>.</w:t>
      </w:r>
    </w:p>
    <w:p>
      <w:pPr>
        <w:pStyle w:val="BodyText"/>
        <w:spacing w:before="5"/>
        <w:rPr>
          <w:rFonts w:ascii="Cambria"/>
        </w:rPr>
      </w:pPr>
    </w:p>
    <w:p>
      <w:pPr>
        <w:pStyle w:val="ListParagraph"/>
        <w:numPr>
          <w:ilvl w:val="2"/>
          <w:numId w:val="6"/>
        </w:numPr>
        <w:tabs>
          <w:tab w:pos="611" w:val="left" w:leader="none"/>
        </w:tabs>
        <w:spacing w:line="240" w:lineRule="auto" w:before="0" w:after="0"/>
        <w:ind w:left="610" w:right="0" w:hanging="508"/>
        <w:jc w:val="both"/>
        <w:rPr>
          <w:i/>
          <w:sz w:val="21"/>
        </w:rPr>
      </w:pPr>
      <w:r>
        <w:rPr>
          <w:i/>
          <w:color w:val="231F20"/>
          <w:w w:val="80"/>
          <w:sz w:val="21"/>
        </w:rPr>
        <w:t>Representaciones sociales. Otros</w:t>
      </w:r>
      <w:r>
        <w:rPr>
          <w:i/>
          <w:color w:val="231F20"/>
          <w:spacing w:val="37"/>
          <w:w w:val="80"/>
          <w:sz w:val="21"/>
        </w:rPr>
        <w:t> </w:t>
      </w:r>
      <w:r>
        <w:rPr>
          <w:i/>
          <w:color w:val="231F20"/>
          <w:w w:val="80"/>
          <w:sz w:val="21"/>
        </w:rPr>
        <w:t>antecedentes</w:t>
      </w:r>
    </w:p>
    <w:p>
      <w:pPr>
        <w:pStyle w:val="BodyText"/>
        <w:spacing w:before="9"/>
        <w:rPr>
          <w:i/>
          <w:sz w:val="20"/>
        </w:rPr>
      </w:pPr>
    </w:p>
    <w:p>
      <w:pPr>
        <w:pStyle w:val="BodyText"/>
        <w:spacing w:line="242" w:lineRule="auto" w:before="1"/>
        <w:ind w:left="102" w:right="115"/>
        <w:jc w:val="both"/>
        <w:rPr>
          <w:rFonts w:ascii="Cambria" w:hAnsi="Cambria"/>
        </w:rPr>
      </w:pPr>
      <w:r>
        <w:rPr>
          <w:rFonts w:ascii="Cambria" w:hAnsi="Cambria"/>
          <w:color w:val="231F20"/>
        </w:rPr>
        <w:t>Las representaciones sociales que bosquejó Emilio Durkheim, Serge</w:t>
      </w:r>
      <w:r>
        <w:rPr>
          <w:rFonts w:ascii="Cambria" w:hAnsi="Cambria"/>
          <w:color w:val="231F20"/>
          <w:spacing w:val="-10"/>
        </w:rPr>
        <w:t> </w:t>
      </w:r>
      <w:r>
        <w:rPr>
          <w:rFonts w:ascii="Cambria" w:hAnsi="Cambria"/>
          <w:color w:val="231F20"/>
        </w:rPr>
        <w:t>Moscovici</w:t>
      </w:r>
      <w:r>
        <w:rPr>
          <w:rFonts w:ascii="Cambria" w:hAnsi="Cambria"/>
          <w:color w:val="231F20"/>
          <w:spacing w:val="-11"/>
        </w:rPr>
        <w:t> </w:t>
      </w:r>
      <w:r>
        <w:rPr>
          <w:rFonts w:ascii="Cambria" w:hAnsi="Cambria"/>
          <w:color w:val="231F20"/>
        </w:rPr>
        <w:t>las</w:t>
      </w:r>
      <w:r>
        <w:rPr>
          <w:rFonts w:ascii="Cambria" w:hAnsi="Cambria"/>
          <w:color w:val="231F20"/>
          <w:spacing w:val="-10"/>
        </w:rPr>
        <w:t> </w:t>
      </w:r>
      <w:r>
        <w:rPr>
          <w:rFonts w:ascii="Cambria" w:hAnsi="Cambria"/>
          <w:color w:val="231F20"/>
        </w:rPr>
        <w:t>retomó</w:t>
      </w:r>
      <w:r>
        <w:rPr>
          <w:rFonts w:ascii="Cambria" w:hAnsi="Cambria"/>
          <w:color w:val="231F20"/>
          <w:spacing w:val="-10"/>
        </w:rPr>
        <w:t> </w:t>
      </w:r>
      <w:r>
        <w:rPr>
          <w:rFonts w:ascii="Cambria" w:hAnsi="Cambria"/>
          <w:color w:val="231F20"/>
        </w:rPr>
        <w:t>y</w:t>
      </w:r>
      <w:r>
        <w:rPr>
          <w:rFonts w:ascii="Cambria" w:hAnsi="Cambria"/>
          <w:color w:val="231F20"/>
          <w:spacing w:val="-10"/>
        </w:rPr>
        <w:t> </w:t>
      </w:r>
      <w:r>
        <w:rPr>
          <w:rFonts w:ascii="Cambria" w:hAnsi="Cambria"/>
          <w:color w:val="231F20"/>
        </w:rPr>
        <w:t>desarrolló;</w:t>
      </w:r>
      <w:r>
        <w:rPr>
          <w:rFonts w:ascii="Cambria" w:hAnsi="Cambria"/>
          <w:color w:val="231F20"/>
          <w:spacing w:val="-11"/>
        </w:rPr>
        <w:t> </w:t>
      </w:r>
      <w:r>
        <w:rPr>
          <w:rFonts w:ascii="Cambria" w:hAnsi="Cambria"/>
          <w:color w:val="231F20"/>
        </w:rPr>
        <w:t>este</w:t>
      </w:r>
      <w:r>
        <w:rPr>
          <w:rFonts w:ascii="Cambria" w:hAnsi="Cambria"/>
          <w:color w:val="231F20"/>
          <w:spacing w:val="-10"/>
        </w:rPr>
        <w:t> </w:t>
      </w:r>
      <w:r>
        <w:rPr>
          <w:rFonts w:ascii="Cambria" w:hAnsi="Cambria"/>
          <w:color w:val="231F20"/>
        </w:rPr>
        <w:t>último</w:t>
      </w:r>
      <w:r>
        <w:rPr>
          <w:rFonts w:ascii="Cambria" w:hAnsi="Cambria"/>
          <w:color w:val="231F20"/>
          <w:spacing w:val="-10"/>
        </w:rPr>
        <w:t> </w:t>
      </w:r>
      <w:r>
        <w:rPr>
          <w:rFonts w:ascii="Cambria" w:hAnsi="Cambria"/>
          <w:color w:val="231F20"/>
        </w:rPr>
        <w:t>experimentó también influencias de la etnopsicología de Wundt y el interaccionismo</w:t>
      </w:r>
      <w:r>
        <w:rPr>
          <w:rFonts w:ascii="Cambria" w:hAnsi="Cambria"/>
          <w:color w:val="231F20"/>
          <w:spacing w:val="-13"/>
        </w:rPr>
        <w:t> </w:t>
      </w:r>
      <w:r>
        <w:rPr>
          <w:rFonts w:ascii="Cambria" w:hAnsi="Cambria"/>
          <w:color w:val="231F20"/>
        </w:rPr>
        <w:t>simbólico</w:t>
      </w:r>
      <w:r>
        <w:rPr>
          <w:rFonts w:ascii="Cambria" w:hAnsi="Cambria"/>
          <w:color w:val="231F20"/>
          <w:spacing w:val="-13"/>
        </w:rPr>
        <w:t> </w:t>
      </w:r>
      <w:r>
        <w:rPr>
          <w:rFonts w:ascii="Cambria" w:hAnsi="Cambria"/>
          <w:color w:val="231F20"/>
        </w:rPr>
        <w:t>de</w:t>
      </w:r>
      <w:r>
        <w:rPr>
          <w:rFonts w:ascii="Cambria" w:hAnsi="Cambria"/>
          <w:color w:val="231F20"/>
          <w:spacing w:val="-14"/>
        </w:rPr>
        <w:t> </w:t>
      </w:r>
      <w:r>
        <w:rPr>
          <w:rFonts w:ascii="Cambria" w:hAnsi="Cambria"/>
          <w:color w:val="231F20"/>
        </w:rPr>
        <w:t>Mead</w:t>
      </w:r>
      <w:r>
        <w:rPr>
          <w:rFonts w:ascii="Cambria" w:hAnsi="Cambria"/>
          <w:color w:val="231F20"/>
          <w:spacing w:val="-13"/>
        </w:rPr>
        <w:t> </w:t>
      </w:r>
      <w:r>
        <w:rPr>
          <w:rFonts w:ascii="Cambria" w:hAnsi="Cambria"/>
          <w:color w:val="231F20"/>
        </w:rPr>
        <w:t>(Mora,</w:t>
      </w:r>
      <w:r>
        <w:rPr>
          <w:rFonts w:ascii="Cambria" w:hAnsi="Cambria"/>
          <w:color w:val="231F20"/>
          <w:spacing w:val="-14"/>
        </w:rPr>
        <w:t> </w:t>
      </w:r>
      <w:r>
        <w:rPr>
          <w:rFonts w:ascii="Cambria" w:hAnsi="Cambria"/>
          <w:color w:val="231F20"/>
        </w:rPr>
        <w:t>2002,</w:t>
      </w:r>
      <w:r>
        <w:rPr>
          <w:rFonts w:ascii="Cambria" w:hAnsi="Cambria"/>
          <w:color w:val="231F20"/>
          <w:spacing w:val="-14"/>
        </w:rPr>
        <w:t> </w:t>
      </w:r>
      <w:r>
        <w:rPr>
          <w:rFonts w:ascii="Cambria" w:hAnsi="Cambria"/>
          <w:color w:val="231F20"/>
        </w:rPr>
        <w:t>pp.</w:t>
      </w:r>
      <w:r>
        <w:rPr>
          <w:rFonts w:ascii="Cambria" w:hAnsi="Cambria"/>
          <w:color w:val="231F20"/>
          <w:spacing w:val="-14"/>
        </w:rPr>
        <w:t> </w:t>
      </w:r>
      <w:r>
        <w:rPr>
          <w:rFonts w:ascii="Cambria" w:hAnsi="Cambria"/>
          <w:color w:val="231F20"/>
        </w:rPr>
        <w:t>1-25,</w:t>
      </w:r>
      <w:r>
        <w:rPr>
          <w:rFonts w:ascii="Cambria" w:hAnsi="Cambria"/>
          <w:color w:val="231F20"/>
          <w:spacing w:val="-14"/>
        </w:rPr>
        <w:t> </w:t>
      </w:r>
      <w:r>
        <w:rPr>
          <w:rFonts w:ascii="Cambria" w:hAnsi="Cambria"/>
          <w:color w:val="231F20"/>
        </w:rPr>
        <w:t>a</w:t>
      </w:r>
      <w:r>
        <w:rPr>
          <w:rFonts w:ascii="Cambria" w:hAnsi="Cambria"/>
          <w:color w:val="231F20"/>
          <w:spacing w:val="-13"/>
        </w:rPr>
        <w:t> </w:t>
      </w:r>
      <w:r>
        <w:rPr>
          <w:rFonts w:ascii="Cambria" w:hAnsi="Cambria"/>
          <w:color w:val="231F20"/>
        </w:rPr>
        <w:t>quien en lo futuro no se citará, aun cuando de su artículo proviene la información  abajo  mostrada).  Moscovici  retomó  de  Wundt </w:t>
      </w:r>
      <w:r>
        <w:rPr>
          <w:rFonts w:ascii="Cambria" w:hAnsi="Cambria"/>
          <w:color w:val="231F20"/>
          <w:spacing w:val="11"/>
        </w:rPr>
        <w:t> </w:t>
      </w:r>
      <w:r>
        <w:rPr>
          <w:rFonts w:ascii="Cambria" w:hAnsi="Cambria"/>
          <w:color w:val="231F20"/>
        </w:rPr>
        <w:t>la</w:t>
      </w:r>
    </w:p>
    <w:p>
      <w:pPr>
        <w:spacing w:after="0" w:line="242" w:lineRule="auto"/>
        <w:jc w:val="both"/>
        <w:rPr>
          <w:rFonts w:ascii="Cambria" w:hAnsi="Cambria"/>
        </w:rPr>
        <w:sectPr>
          <w:headerReference w:type="default" r:id="rId359"/>
          <w:footerReference w:type="default" r:id="rId360"/>
          <w:pgSz w:w="7830" w:h="11910"/>
          <w:pgMar w:header="0" w:footer="424" w:top="500" w:bottom="620" w:left="920" w:right="900"/>
          <w:pgNumType w:start="167"/>
        </w:sectPr>
      </w:pPr>
    </w:p>
    <w:p>
      <w:pPr>
        <w:spacing w:before="46"/>
        <w:ind w:left="102" w:right="116"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21"/>
      </w:pPr>
      <w:r>
        <w:rPr>
          <w:color w:val="231F20"/>
        </w:rPr>
        <w:t>evolución de la mente humana y la importancia del lenguaje en ese proceso y en su relación con el pensamiento y sus producciones.</w:t>
      </w:r>
    </w:p>
    <w:p>
      <w:pPr>
        <w:pStyle w:val="BodyText"/>
        <w:spacing w:line="249" w:lineRule="auto" w:before="10"/>
        <w:ind w:left="102" w:right="115" w:firstLine="284"/>
        <w:jc w:val="both"/>
      </w:pPr>
      <w:r>
        <w:rPr>
          <w:color w:val="231F20"/>
        </w:rPr>
        <w:t>El </w:t>
      </w:r>
      <w:r>
        <w:rPr>
          <w:color w:val="231F20"/>
          <w:spacing w:val="2"/>
        </w:rPr>
        <w:t>análisis </w:t>
      </w:r>
      <w:r>
        <w:rPr>
          <w:color w:val="231F20"/>
        </w:rPr>
        <w:t>de </w:t>
      </w:r>
      <w:r>
        <w:rPr>
          <w:color w:val="231F20"/>
          <w:spacing w:val="3"/>
        </w:rPr>
        <w:t>Wundt </w:t>
      </w:r>
      <w:r>
        <w:rPr>
          <w:color w:val="231F20"/>
          <w:spacing w:val="2"/>
        </w:rPr>
        <w:t>partió </w:t>
      </w:r>
      <w:r>
        <w:rPr>
          <w:color w:val="231F20"/>
        </w:rPr>
        <w:t>de la  </w:t>
      </w:r>
      <w:r>
        <w:rPr>
          <w:color w:val="231F20"/>
          <w:spacing w:val="2"/>
        </w:rPr>
        <w:t>acción </w:t>
      </w:r>
      <w:r>
        <w:rPr>
          <w:color w:val="231F20"/>
          <w:spacing w:val="3"/>
        </w:rPr>
        <w:t>humana, </w:t>
      </w:r>
      <w:r>
        <w:rPr>
          <w:color w:val="231F20"/>
          <w:spacing w:val="2"/>
        </w:rPr>
        <w:t>consideró  </w:t>
      </w:r>
      <w:r>
        <w:rPr>
          <w:color w:val="231F20"/>
        </w:rPr>
        <w:t>que </w:t>
      </w:r>
      <w:r>
        <w:rPr>
          <w:color w:val="231F20"/>
          <w:spacing w:val="2"/>
        </w:rPr>
        <w:t>debajo </w:t>
      </w:r>
      <w:r>
        <w:rPr>
          <w:color w:val="231F20"/>
        </w:rPr>
        <w:t>de ese </w:t>
      </w:r>
      <w:r>
        <w:rPr>
          <w:color w:val="231F20"/>
          <w:spacing w:val="2"/>
        </w:rPr>
        <w:t>nivel </w:t>
      </w:r>
      <w:r>
        <w:rPr>
          <w:color w:val="231F20"/>
        </w:rPr>
        <w:t>de </w:t>
      </w:r>
      <w:r>
        <w:rPr>
          <w:color w:val="231F20"/>
          <w:spacing w:val="2"/>
        </w:rPr>
        <w:t>acción deliberada </w:t>
      </w:r>
      <w:r>
        <w:rPr>
          <w:color w:val="231F20"/>
        </w:rPr>
        <w:t>y </w:t>
      </w:r>
      <w:r>
        <w:rPr>
          <w:color w:val="231F20"/>
          <w:spacing w:val="2"/>
        </w:rPr>
        <w:t>voluntaria existe </w:t>
      </w:r>
      <w:r>
        <w:rPr>
          <w:color w:val="231F20"/>
        </w:rPr>
        <w:t>un </w:t>
      </w:r>
      <w:r>
        <w:rPr>
          <w:color w:val="231F20"/>
          <w:spacing w:val="2"/>
        </w:rPr>
        <w:t>primitivo </w:t>
      </w:r>
      <w:r>
        <w:rPr>
          <w:color w:val="231F20"/>
          <w:spacing w:val="3"/>
        </w:rPr>
        <w:t>movimiento </w:t>
      </w:r>
      <w:r>
        <w:rPr>
          <w:color w:val="231F20"/>
        </w:rPr>
        <w:t>de </w:t>
      </w:r>
      <w:r>
        <w:rPr>
          <w:color w:val="231F20"/>
          <w:spacing w:val="2"/>
        </w:rPr>
        <w:t>impulso </w:t>
      </w:r>
      <w:r>
        <w:rPr>
          <w:color w:val="231F20"/>
        </w:rPr>
        <w:t>que </w:t>
      </w:r>
      <w:r>
        <w:rPr>
          <w:color w:val="231F20"/>
          <w:spacing w:val="2"/>
        </w:rPr>
        <w:t>implica expresiones  afectivas </w:t>
      </w:r>
      <w:r>
        <w:rPr>
          <w:color w:val="231F20"/>
          <w:spacing w:val="3"/>
        </w:rPr>
        <w:t>espontáneas </w:t>
      </w:r>
      <w:r>
        <w:rPr>
          <w:color w:val="231F20"/>
        </w:rPr>
        <w:t>y que </w:t>
      </w:r>
      <w:r>
        <w:rPr>
          <w:color w:val="231F20"/>
          <w:spacing w:val="2"/>
        </w:rPr>
        <w:t>generan respuestas </w:t>
      </w:r>
      <w:r>
        <w:rPr>
          <w:color w:val="231F20"/>
        </w:rPr>
        <w:t>de  </w:t>
      </w:r>
      <w:r>
        <w:rPr>
          <w:color w:val="231F20"/>
          <w:spacing w:val="2"/>
        </w:rPr>
        <w:t>otros  individuos. Acorde </w:t>
      </w:r>
      <w:r>
        <w:rPr>
          <w:color w:val="231F20"/>
        </w:rPr>
        <w:t>a lo </w:t>
      </w:r>
      <w:r>
        <w:rPr>
          <w:color w:val="231F20"/>
          <w:spacing w:val="2"/>
        </w:rPr>
        <w:t>expuesto por </w:t>
      </w:r>
      <w:r>
        <w:rPr>
          <w:color w:val="231F20"/>
          <w:spacing w:val="3"/>
        </w:rPr>
        <w:t>Wundt </w:t>
      </w:r>
      <w:r>
        <w:rPr>
          <w:color w:val="231F20"/>
          <w:spacing w:val="2"/>
        </w:rPr>
        <w:t>este </w:t>
      </w:r>
      <w:r>
        <w:rPr>
          <w:color w:val="231F20"/>
          <w:spacing w:val="3"/>
        </w:rPr>
        <w:t>mecanismo </w:t>
      </w:r>
      <w:r>
        <w:rPr>
          <w:color w:val="231F20"/>
        </w:rPr>
        <w:t>de </w:t>
      </w:r>
      <w:r>
        <w:rPr>
          <w:color w:val="231F20"/>
          <w:spacing w:val="3"/>
        </w:rPr>
        <w:t>comunicación </w:t>
      </w:r>
      <w:r>
        <w:rPr>
          <w:color w:val="231F20"/>
        </w:rPr>
        <w:t>de </w:t>
      </w:r>
      <w:r>
        <w:rPr>
          <w:color w:val="231F20"/>
          <w:spacing w:val="2"/>
        </w:rPr>
        <w:t>gestos provee </w:t>
      </w:r>
      <w:r>
        <w:rPr>
          <w:color w:val="231F20"/>
        </w:rPr>
        <w:t>las </w:t>
      </w:r>
      <w:r>
        <w:rPr>
          <w:color w:val="231F20"/>
          <w:spacing w:val="2"/>
        </w:rPr>
        <w:t>bases indispensables </w:t>
      </w:r>
      <w:r>
        <w:rPr>
          <w:color w:val="231F20"/>
        </w:rPr>
        <w:t>de la </w:t>
      </w:r>
      <w:r>
        <w:rPr>
          <w:color w:val="231F20"/>
          <w:spacing w:val="2"/>
        </w:rPr>
        <w:t>vida social, </w:t>
      </w:r>
      <w:r>
        <w:rPr>
          <w:color w:val="231F20"/>
        </w:rPr>
        <w:t>sin la </w:t>
      </w:r>
      <w:r>
        <w:rPr>
          <w:color w:val="231F20"/>
          <w:spacing w:val="2"/>
        </w:rPr>
        <w:t>cual los </w:t>
      </w:r>
      <w:r>
        <w:rPr>
          <w:color w:val="231F20"/>
          <w:spacing w:val="3"/>
        </w:rPr>
        <w:t>humanos </w:t>
      </w:r>
      <w:r>
        <w:rPr>
          <w:color w:val="231F20"/>
        </w:rPr>
        <w:t>no se </w:t>
      </w:r>
      <w:r>
        <w:rPr>
          <w:color w:val="231F20"/>
          <w:spacing w:val="3"/>
        </w:rPr>
        <w:t>entenderían.</w:t>
      </w:r>
      <w:r>
        <w:rPr>
          <w:color w:val="231F20"/>
          <w:spacing w:val="58"/>
        </w:rPr>
        <w:t> </w:t>
      </w:r>
      <w:r>
        <w:rPr>
          <w:color w:val="231F20"/>
        </w:rPr>
        <w:t>La  </w:t>
      </w:r>
      <w:r>
        <w:rPr>
          <w:color w:val="231F20"/>
          <w:spacing w:val="3"/>
        </w:rPr>
        <w:t>comunicación </w:t>
      </w:r>
      <w:r>
        <w:rPr>
          <w:color w:val="231F20"/>
        </w:rPr>
        <w:t>de </w:t>
      </w:r>
      <w:r>
        <w:rPr>
          <w:color w:val="231F20"/>
          <w:spacing w:val="2"/>
        </w:rPr>
        <w:t>los gestos origina </w:t>
      </w:r>
      <w:r>
        <w:rPr>
          <w:color w:val="231F20"/>
          <w:spacing w:val="3"/>
        </w:rPr>
        <w:t>productos </w:t>
      </w:r>
      <w:r>
        <w:rPr>
          <w:color w:val="231F20"/>
          <w:spacing w:val="2"/>
        </w:rPr>
        <w:t>culturales </w:t>
      </w:r>
      <w:r>
        <w:rPr>
          <w:color w:val="231F20"/>
          <w:spacing w:val="3"/>
        </w:rPr>
        <w:t>con </w:t>
      </w:r>
      <w:r>
        <w:rPr>
          <w:color w:val="231F20"/>
          <w:spacing w:val="2"/>
        </w:rPr>
        <w:t>existencia concreta </w:t>
      </w:r>
      <w:r>
        <w:rPr>
          <w:color w:val="231F20"/>
          <w:spacing w:val="3"/>
        </w:rPr>
        <w:t>como </w:t>
      </w:r>
      <w:r>
        <w:rPr>
          <w:color w:val="231F20"/>
        </w:rPr>
        <w:t>el </w:t>
      </w:r>
      <w:r>
        <w:rPr>
          <w:color w:val="231F20"/>
          <w:spacing w:val="2"/>
        </w:rPr>
        <w:t>lenguaje,este genera </w:t>
      </w:r>
      <w:r>
        <w:rPr>
          <w:color w:val="231F20"/>
        </w:rPr>
        <w:t>un </w:t>
      </w:r>
      <w:r>
        <w:rPr>
          <w:color w:val="231F20"/>
          <w:spacing w:val="2"/>
        </w:rPr>
        <w:t>medio para </w:t>
      </w:r>
      <w:r>
        <w:rPr>
          <w:color w:val="231F20"/>
        </w:rPr>
        <w:t>la </w:t>
      </w:r>
      <w:r>
        <w:rPr>
          <w:color w:val="231F20"/>
          <w:spacing w:val="2"/>
        </w:rPr>
        <w:t>actividad cognoscitiva superior. De </w:t>
      </w:r>
      <w:r>
        <w:rPr>
          <w:color w:val="231F20"/>
        </w:rPr>
        <w:t>esa </w:t>
      </w:r>
      <w:r>
        <w:rPr>
          <w:color w:val="231F20"/>
          <w:spacing w:val="2"/>
        </w:rPr>
        <w:t>base surgen los mitos </w:t>
      </w:r>
      <w:r>
        <w:rPr>
          <w:color w:val="231F20"/>
        </w:rPr>
        <w:t>(la </w:t>
      </w:r>
      <w:r>
        <w:rPr>
          <w:color w:val="231F20"/>
          <w:spacing w:val="2"/>
        </w:rPr>
        <w:t>capacidad </w:t>
      </w:r>
      <w:r>
        <w:rPr>
          <w:color w:val="231F20"/>
        </w:rPr>
        <w:t>de </w:t>
      </w:r>
      <w:r>
        <w:rPr>
          <w:color w:val="231F20"/>
          <w:spacing w:val="2"/>
        </w:rPr>
        <w:t>imaginar) </w:t>
      </w:r>
      <w:r>
        <w:rPr>
          <w:color w:val="231F20"/>
        </w:rPr>
        <w:t>y las </w:t>
      </w:r>
      <w:r>
        <w:rPr>
          <w:color w:val="231F20"/>
          <w:spacing w:val="3"/>
        </w:rPr>
        <w:t>costumbres </w:t>
      </w:r>
      <w:r>
        <w:rPr>
          <w:color w:val="231F20"/>
          <w:spacing w:val="2"/>
        </w:rPr>
        <w:t>(son </w:t>
      </w:r>
      <w:r>
        <w:rPr>
          <w:color w:val="231F20"/>
        </w:rPr>
        <w:t>la </w:t>
      </w:r>
      <w:r>
        <w:rPr>
          <w:color w:val="231F20"/>
          <w:spacing w:val="2"/>
        </w:rPr>
        <w:t>referencia </w:t>
      </w:r>
      <w:r>
        <w:rPr>
          <w:color w:val="231F20"/>
        </w:rPr>
        <w:t>en la que </w:t>
      </w:r>
      <w:r>
        <w:rPr>
          <w:color w:val="231F20"/>
          <w:spacing w:val="2"/>
        </w:rPr>
        <w:t>operan </w:t>
      </w:r>
      <w:r>
        <w:rPr>
          <w:color w:val="231F20"/>
        </w:rPr>
        <w:t>las </w:t>
      </w:r>
      <w:r>
        <w:rPr>
          <w:color w:val="231F20"/>
          <w:spacing w:val="3"/>
        </w:rPr>
        <w:t>opciones </w:t>
      </w:r>
      <w:r>
        <w:rPr>
          <w:color w:val="231F20"/>
          <w:spacing w:val="2"/>
        </w:rPr>
        <w:t>individuales </w:t>
      </w:r>
      <w:r>
        <w:rPr>
          <w:color w:val="231F20"/>
        </w:rPr>
        <w:t>y la </w:t>
      </w:r>
      <w:r>
        <w:rPr>
          <w:color w:val="231F20"/>
          <w:spacing w:val="2"/>
        </w:rPr>
        <w:t>voluntad). </w:t>
      </w:r>
      <w:r>
        <w:rPr>
          <w:color w:val="231F20"/>
          <w:spacing w:val="4"/>
        </w:rPr>
        <w:t>Ambos </w:t>
      </w:r>
      <w:r>
        <w:rPr>
          <w:color w:val="231F20"/>
          <w:spacing w:val="2"/>
        </w:rPr>
        <w:t>cambian </w:t>
      </w:r>
      <w:r>
        <w:rPr>
          <w:color w:val="231F20"/>
          <w:spacing w:val="3"/>
        </w:rPr>
        <w:t>lentamente </w:t>
      </w:r>
      <w:r>
        <w:rPr>
          <w:color w:val="231F20"/>
        </w:rPr>
        <w:t>y son un </w:t>
      </w:r>
      <w:r>
        <w:rPr>
          <w:color w:val="231F20"/>
          <w:spacing w:val="2"/>
        </w:rPr>
        <w:t>referente para observar </w:t>
      </w:r>
      <w:r>
        <w:rPr>
          <w:color w:val="231F20"/>
          <w:spacing w:val="3"/>
        </w:rPr>
        <w:t>procesos humanos </w:t>
      </w:r>
      <w:r>
        <w:rPr>
          <w:color w:val="231F20"/>
        </w:rPr>
        <w:t>y </w:t>
      </w:r>
      <w:r>
        <w:rPr>
          <w:color w:val="231F20"/>
          <w:spacing w:val="2"/>
        </w:rPr>
        <w:t>para hacer inferencias </w:t>
      </w:r>
      <w:r>
        <w:rPr>
          <w:color w:val="231F20"/>
        </w:rPr>
        <w:t>de lo </w:t>
      </w:r>
      <w:r>
        <w:rPr>
          <w:color w:val="231F20"/>
          <w:spacing w:val="2"/>
        </w:rPr>
        <w:t>subyacente </w:t>
      </w:r>
      <w:r>
        <w:rPr>
          <w:color w:val="231F20"/>
        </w:rPr>
        <w:t>en la </w:t>
      </w:r>
      <w:r>
        <w:rPr>
          <w:color w:val="231F20"/>
          <w:spacing w:val="2"/>
        </w:rPr>
        <w:t>psicología </w:t>
      </w:r>
      <w:r>
        <w:rPr>
          <w:color w:val="231F20"/>
        </w:rPr>
        <w:t>de </w:t>
      </w:r>
      <w:r>
        <w:rPr>
          <w:color w:val="231F20"/>
          <w:spacing w:val="2"/>
        </w:rPr>
        <w:t>los</w:t>
      </w:r>
      <w:r>
        <w:rPr>
          <w:color w:val="231F20"/>
        </w:rPr>
        <w:t> </w:t>
      </w:r>
      <w:r>
        <w:rPr>
          <w:color w:val="231F20"/>
          <w:spacing w:val="2"/>
        </w:rPr>
        <w:t>individuos.</w:t>
      </w:r>
    </w:p>
    <w:p>
      <w:pPr>
        <w:pStyle w:val="BodyText"/>
        <w:spacing w:line="247" w:lineRule="auto" w:before="3"/>
        <w:ind w:left="102" w:right="118" w:firstLine="284"/>
        <w:jc w:val="both"/>
      </w:pPr>
      <w:r>
        <w:rPr>
          <w:color w:val="231F20"/>
          <w:spacing w:val="2"/>
        </w:rPr>
        <w:t>De George </w:t>
      </w:r>
      <w:r>
        <w:rPr>
          <w:color w:val="231F20"/>
          <w:spacing w:val="3"/>
        </w:rPr>
        <w:t>Mead, </w:t>
      </w:r>
      <w:r>
        <w:rPr>
          <w:color w:val="231F20"/>
        </w:rPr>
        <w:t>y </w:t>
      </w:r>
      <w:r>
        <w:rPr>
          <w:color w:val="231F20"/>
          <w:spacing w:val="2"/>
        </w:rPr>
        <w:t>para fines </w:t>
      </w:r>
      <w:r>
        <w:rPr>
          <w:color w:val="231F20"/>
        </w:rPr>
        <w:t>de </w:t>
      </w:r>
      <w:r>
        <w:rPr>
          <w:color w:val="231F20"/>
          <w:spacing w:val="2"/>
        </w:rPr>
        <w:t>este trabajo, Moscovici </w:t>
      </w:r>
      <w:r>
        <w:rPr>
          <w:color w:val="231F20"/>
          <w:spacing w:val="3"/>
        </w:rPr>
        <w:t>retomó </w:t>
      </w:r>
      <w:r>
        <w:rPr>
          <w:color w:val="231F20"/>
        </w:rPr>
        <w:t>la </w:t>
      </w:r>
      <w:r>
        <w:rPr>
          <w:color w:val="231F20"/>
          <w:spacing w:val="2"/>
        </w:rPr>
        <w:t>interacción </w:t>
      </w:r>
      <w:r>
        <w:rPr>
          <w:color w:val="231F20"/>
        </w:rPr>
        <w:t>a </w:t>
      </w:r>
      <w:r>
        <w:rPr>
          <w:color w:val="231F20"/>
          <w:spacing w:val="2"/>
        </w:rPr>
        <w:t>través </w:t>
      </w:r>
      <w:r>
        <w:rPr>
          <w:color w:val="231F20"/>
        </w:rPr>
        <w:t>de la </w:t>
      </w:r>
      <w:r>
        <w:rPr>
          <w:color w:val="231F20"/>
          <w:spacing w:val="3"/>
        </w:rPr>
        <w:t>comunicación. </w:t>
      </w:r>
      <w:r>
        <w:rPr>
          <w:color w:val="231F20"/>
          <w:spacing w:val="2"/>
        </w:rPr>
        <w:t>Mead rechazó analizar </w:t>
      </w:r>
      <w:r>
        <w:rPr>
          <w:color w:val="231F20"/>
        </w:rPr>
        <w:t>el </w:t>
      </w:r>
      <w:r>
        <w:rPr>
          <w:color w:val="231F20"/>
          <w:spacing w:val="2"/>
        </w:rPr>
        <w:t>espacio interior </w:t>
      </w:r>
      <w:r>
        <w:rPr>
          <w:color w:val="231F20"/>
        </w:rPr>
        <w:t>de </w:t>
      </w:r>
      <w:r>
        <w:rPr>
          <w:color w:val="231F20"/>
          <w:spacing w:val="2"/>
        </w:rPr>
        <w:t>los individuos, </w:t>
      </w:r>
      <w:r>
        <w:rPr>
          <w:color w:val="231F20"/>
        </w:rPr>
        <w:t>en su </w:t>
      </w:r>
      <w:r>
        <w:rPr>
          <w:color w:val="231F20"/>
          <w:spacing w:val="2"/>
        </w:rPr>
        <w:t>lugar planteó  </w:t>
      </w:r>
      <w:r>
        <w:rPr>
          <w:color w:val="231F20"/>
        </w:rPr>
        <w:t>un </w:t>
      </w:r>
      <w:r>
        <w:rPr>
          <w:color w:val="231F20"/>
          <w:spacing w:val="2"/>
        </w:rPr>
        <w:t>espacio </w:t>
      </w:r>
      <w:r>
        <w:rPr>
          <w:color w:val="231F20"/>
        </w:rPr>
        <w:t>de </w:t>
      </w:r>
      <w:r>
        <w:rPr>
          <w:color w:val="231F20"/>
          <w:spacing w:val="2"/>
        </w:rPr>
        <w:t>realidad </w:t>
      </w:r>
      <w:r>
        <w:rPr>
          <w:color w:val="231F20"/>
        </w:rPr>
        <w:t>en las </w:t>
      </w:r>
      <w:r>
        <w:rPr>
          <w:color w:val="231F20"/>
          <w:spacing w:val="2"/>
        </w:rPr>
        <w:t>mediaciones, </w:t>
      </w:r>
      <w:r>
        <w:rPr>
          <w:color w:val="231F20"/>
        </w:rPr>
        <w:t>un </w:t>
      </w:r>
      <w:r>
        <w:rPr>
          <w:color w:val="231F20"/>
          <w:spacing w:val="2"/>
        </w:rPr>
        <w:t>espacio </w:t>
      </w:r>
      <w:r>
        <w:rPr>
          <w:color w:val="231F20"/>
        </w:rPr>
        <w:t>no </w:t>
      </w:r>
      <w:r>
        <w:rPr>
          <w:color w:val="231F20"/>
          <w:spacing w:val="2"/>
        </w:rPr>
        <w:t>biológico sino social </w:t>
      </w:r>
      <w:r>
        <w:rPr>
          <w:color w:val="231F20"/>
        </w:rPr>
        <w:t>que es </w:t>
      </w:r>
      <w:r>
        <w:rPr>
          <w:color w:val="231F20"/>
          <w:spacing w:val="2"/>
        </w:rPr>
        <w:t>percibido </w:t>
      </w:r>
      <w:r>
        <w:rPr>
          <w:color w:val="231F20"/>
          <w:spacing w:val="3"/>
        </w:rPr>
        <w:t>como </w:t>
      </w:r>
      <w:r>
        <w:rPr>
          <w:color w:val="231F20"/>
          <w:spacing w:val="2"/>
        </w:rPr>
        <w:t>significaciones, </w:t>
      </w:r>
      <w:r>
        <w:rPr>
          <w:color w:val="231F20"/>
        </w:rPr>
        <w:t>ya que su  </w:t>
      </w:r>
      <w:r>
        <w:rPr>
          <w:color w:val="231F20"/>
          <w:spacing w:val="2"/>
        </w:rPr>
        <w:t>materia </w:t>
      </w:r>
      <w:r>
        <w:rPr>
          <w:color w:val="231F20"/>
        </w:rPr>
        <w:t>es el </w:t>
      </w:r>
      <w:r>
        <w:rPr>
          <w:color w:val="231F20"/>
          <w:spacing w:val="2"/>
        </w:rPr>
        <w:t>símbolo. Mead tomó </w:t>
      </w:r>
      <w:r>
        <w:rPr>
          <w:color w:val="231F20"/>
        </w:rPr>
        <w:t>al </w:t>
      </w:r>
      <w:r>
        <w:rPr>
          <w:color w:val="231F20"/>
          <w:spacing w:val="2"/>
        </w:rPr>
        <w:t>acto social como unidad </w:t>
      </w:r>
      <w:r>
        <w:rPr>
          <w:color w:val="231F20"/>
        </w:rPr>
        <w:t>de </w:t>
      </w:r>
      <w:r>
        <w:rPr>
          <w:color w:val="231F20"/>
          <w:spacing w:val="2"/>
        </w:rPr>
        <w:t>análisis; </w:t>
      </w:r>
      <w:r>
        <w:rPr>
          <w:color w:val="231F20"/>
        </w:rPr>
        <w:t>en él, el </w:t>
      </w:r>
      <w:r>
        <w:rPr>
          <w:color w:val="231F20"/>
          <w:spacing w:val="2"/>
        </w:rPr>
        <w:t>símbolo </w:t>
      </w:r>
      <w:r>
        <w:rPr>
          <w:color w:val="231F20"/>
        </w:rPr>
        <w:t>y su </w:t>
      </w:r>
      <w:r>
        <w:rPr>
          <w:color w:val="231F20"/>
          <w:spacing w:val="2"/>
        </w:rPr>
        <w:t>significado son </w:t>
      </w:r>
      <w:r>
        <w:rPr>
          <w:color w:val="231F20"/>
          <w:spacing w:val="3"/>
        </w:rPr>
        <w:t>propiedad </w:t>
      </w:r>
      <w:r>
        <w:rPr>
          <w:color w:val="231F20"/>
        </w:rPr>
        <w:t>de la </w:t>
      </w:r>
      <w:r>
        <w:rPr>
          <w:color w:val="231F20"/>
          <w:spacing w:val="2"/>
        </w:rPr>
        <w:t>situación interactiva, </w:t>
      </w:r>
      <w:r>
        <w:rPr>
          <w:color w:val="231F20"/>
        </w:rPr>
        <w:t>no </w:t>
      </w:r>
      <w:r>
        <w:rPr>
          <w:color w:val="231F20"/>
          <w:spacing w:val="2"/>
        </w:rPr>
        <w:t>son ajenos </w:t>
      </w:r>
      <w:r>
        <w:rPr>
          <w:color w:val="231F20"/>
        </w:rPr>
        <w:t>a ella, </w:t>
      </w:r>
      <w:r>
        <w:rPr>
          <w:color w:val="231F20"/>
          <w:spacing w:val="2"/>
        </w:rPr>
        <w:t>más bien, provienen </w:t>
      </w:r>
      <w:r>
        <w:rPr>
          <w:color w:val="231F20"/>
        </w:rPr>
        <w:t>de un </w:t>
      </w:r>
      <w:r>
        <w:rPr>
          <w:color w:val="231F20"/>
          <w:spacing w:val="3"/>
        </w:rPr>
        <w:t>campo </w:t>
      </w:r>
      <w:r>
        <w:rPr>
          <w:color w:val="231F20"/>
        </w:rPr>
        <w:t>y</w:t>
      </w:r>
      <w:r>
        <w:rPr>
          <w:color w:val="231F20"/>
          <w:spacing w:val="8"/>
        </w:rPr>
        <w:t> </w:t>
      </w:r>
      <w:r>
        <w:rPr>
          <w:color w:val="231F20"/>
          <w:spacing w:val="2"/>
        </w:rPr>
        <w:t>situación.</w:t>
      </w:r>
    </w:p>
    <w:p>
      <w:pPr>
        <w:pStyle w:val="BodyText"/>
        <w:spacing w:line="249" w:lineRule="auto" w:before="1"/>
        <w:ind w:left="102" w:right="118" w:firstLine="284"/>
        <w:jc w:val="both"/>
      </w:pPr>
      <w:r>
        <w:rPr>
          <w:color w:val="231F20"/>
        </w:rPr>
        <w:t>Cuando se alude al“habla significante”, se quiere decir que el individuo que escucha una palabra emplea esa misma palabra con referencia a sí mismo. El proceso de dirigirse a otra persona es un proceso de dirigirse también a uno mismo, y de provocar en sí la reacción que provoca en el otro. El sí mismo supone asumir un punto de vista colectivo con respecto a uno mismo y el otro generalizado es la colectividad con la que uno se relaciona y que tiende a ser interiorizada: la colectividad crea a los individuos.</w:t>
      </w:r>
    </w:p>
    <w:p>
      <w:pPr>
        <w:pStyle w:val="BodyText"/>
        <w:spacing w:before="7"/>
      </w:pPr>
    </w:p>
    <w:p>
      <w:pPr>
        <w:pStyle w:val="ListParagraph"/>
        <w:numPr>
          <w:ilvl w:val="2"/>
          <w:numId w:val="6"/>
        </w:numPr>
        <w:tabs>
          <w:tab w:pos="611" w:val="left" w:leader="none"/>
        </w:tabs>
        <w:spacing w:line="240" w:lineRule="auto" w:before="0" w:after="0"/>
        <w:ind w:left="610" w:right="0" w:hanging="508"/>
        <w:jc w:val="left"/>
        <w:rPr>
          <w:i/>
          <w:sz w:val="21"/>
        </w:rPr>
      </w:pPr>
      <w:r>
        <w:rPr>
          <w:i/>
          <w:color w:val="231F20"/>
          <w:w w:val="80"/>
          <w:sz w:val="21"/>
        </w:rPr>
        <w:t>Representaciones sociales: Moscovici</w:t>
      </w:r>
    </w:p>
    <w:p>
      <w:pPr>
        <w:pStyle w:val="BodyText"/>
        <w:spacing w:before="1"/>
        <w:rPr>
          <w:i/>
        </w:rPr>
      </w:pPr>
    </w:p>
    <w:p>
      <w:pPr>
        <w:pStyle w:val="BodyText"/>
        <w:spacing w:line="247" w:lineRule="auto" w:before="1"/>
        <w:ind w:left="102" w:right="56"/>
      </w:pPr>
      <w:r>
        <w:rPr>
          <w:color w:val="231F20"/>
        </w:rPr>
        <w:t>Moscovici, siguiendo siempre a Mora (2002), definió las RsSs como una forma de conocimiento que tiene como función la    elaboración</w:t>
      </w:r>
    </w:p>
    <w:p>
      <w:pPr>
        <w:spacing w:after="0" w:line="247" w:lineRule="auto"/>
        <w:sectPr>
          <w:headerReference w:type="default" r:id="rId361"/>
          <w:footerReference w:type="default" r:id="rId362"/>
          <w:pgSz w:w="7830" w:h="11910"/>
          <w:pgMar w:header="0" w:footer="424" w:top="500" w:bottom="620" w:left="920" w:right="900"/>
          <w:pgNumType w:start="168"/>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1" w:right="114"/>
        <w:jc w:val="both"/>
      </w:pPr>
      <w:r>
        <w:rPr>
          <w:color w:val="231F20"/>
        </w:rPr>
        <w:t>de los comportamientos y la comunicación entre los individuos. Es  el conocimiento de sentido común que tiene como objetivos comunicar, estar y sentirse dentro de un ambiente social. Se origina en el intercambio comunicativo de un grupo social. Otra característica singular, para este estudio, radica en que las RsSs también tienen la función de hacer que lo extraño resulte familiar y lo invisible perceptible. Las RsSs son sistemas cognitivos con una lógica y lenguaje propios; no son simples opiniones acerca de imágenes de…, o actitudes hacia…, son teorías o ramas del conocimiento que descubren y organizan la realidad. Son sistemas de sentimientos, ideas y prácticas con dos funciones: ordenan un mundo y orientan a los individuos que conforman un grupo dentro  de él; además, posibilitan la comunicación a los miembros de un grupo al proporcionarles un código para el intercambio social y un código para nominar y clasificar sin ambigüedades los aspectos de  su mundo y de su historia personal. Además de posibilitar la comunicación dentro de un grupo, las RsSs también regulan los comportamientos intra e</w:t>
      </w:r>
      <w:r>
        <w:rPr>
          <w:color w:val="231F20"/>
          <w:spacing w:val="39"/>
        </w:rPr>
        <w:t> </w:t>
      </w:r>
      <w:r>
        <w:rPr>
          <w:color w:val="231F20"/>
        </w:rPr>
        <w:t>intergrupales.</w:t>
      </w:r>
    </w:p>
    <w:p>
      <w:pPr>
        <w:pStyle w:val="BodyText"/>
        <w:spacing w:before="7"/>
        <w:rPr>
          <w:sz w:val="22"/>
        </w:rPr>
      </w:pPr>
    </w:p>
    <w:p>
      <w:pPr>
        <w:pStyle w:val="ListParagraph"/>
        <w:numPr>
          <w:ilvl w:val="3"/>
          <w:numId w:val="6"/>
        </w:numPr>
        <w:tabs>
          <w:tab w:pos="762" w:val="left" w:leader="none"/>
        </w:tabs>
        <w:spacing w:line="240" w:lineRule="auto" w:before="0" w:after="0"/>
        <w:ind w:left="761" w:right="0" w:hanging="659"/>
        <w:jc w:val="both"/>
        <w:rPr>
          <w:i/>
          <w:sz w:val="21"/>
        </w:rPr>
      </w:pPr>
      <w:r>
        <w:rPr>
          <w:i/>
          <w:color w:val="231F20"/>
          <w:w w:val="90"/>
          <w:sz w:val="21"/>
        </w:rPr>
        <w:t>Otras</w:t>
      </w:r>
      <w:r>
        <w:rPr>
          <w:i/>
          <w:color w:val="231F20"/>
          <w:spacing w:val="-24"/>
          <w:w w:val="90"/>
          <w:sz w:val="21"/>
        </w:rPr>
        <w:t> </w:t>
      </w:r>
      <w:r>
        <w:rPr>
          <w:i/>
          <w:color w:val="231F20"/>
          <w:w w:val="90"/>
          <w:sz w:val="21"/>
        </w:rPr>
        <w:t>funciones</w:t>
      </w:r>
      <w:r>
        <w:rPr>
          <w:i/>
          <w:color w:val="231F20"/>
          <w:spacing w:val="-24"/>
          <w:w w:val="90"/>
          <w:sz w:val="21"/>
        </w:rPr>
        <w:t> </w:t>
      </w:r>
      <w:r>
        <w:rPr>
          <w:i/>
          <w:color w:val="231F20"/>
          <w:w w:val="90"/>
          <w:sz w:val="21"/>
        </w:rPr>
        <w:t>de</w:t>
      </w:r>
      <w:r>
        <w:rPr>
          <w:i/>
          <w:color w:val="231F20"/>
          <w:spacing w:val="-24"/>
          <w:w w:val="90"/>
          <w:sz w:val="21"/>
        </w:rPr>
        <w:t> </w:t>
      </w:r>
      <w:r>
        <w:rPr>
          <w:i/>
          <w:color w:val="231F20"/>
          <w:w w:val="90"/>
          <w:sz w:val="21"/>
        </w:rPr>
        <w:t>las</w:t>
      </w:r>
      <w:r>
        <w:rPr>
          <w:i/>
          <w:color w:val="231F20"/>
          <w:spacing w:val="-24"/>
          <w:w w:val="90"/>
          <w:sz w:val="21"/>
        </w:rPr>
        <w:t> </w:t>
      </w:r>
      <w:r>
        <w:rPr>
          <w:i/>
          <w:color w:val="231F20"/>
          <w:w w:val="90"/>
          <w:sz w:val="21"/>
        </w:rPr>
        <w:t>RsSs</w:t>
      </w:r>
    </w:p>
    <w:p>
      <w:pPr>
        <w:pStyle w:val="BodyText"/>
        <w:spacing w:before="6"/>
        <w:rPr>
          <w:i/>
        </w:rPr>
      </w:pPr>
    </w:p>
    <w:p>
      <w:pPr>
        <w:pStyle w:val="BodyText"/>
        <w:spacing w:line="244" w:lineRule="auto"/>
        <w:ind w:left="102" w:right="116"/>
        <w:jc w:val="both"/>
      </w:pPr>
      <w:r>
        <w:rPr>
          <w:color w:val="231F20"/>
        </w:rPr>
        <w:t>(1) Privilegian y seleccionan algunos hechos relevantes del discurso concernientes a la relación sujeto en interacción, es decir, “descontextualizan algunos rasgos”. (2) Descomponen el conjunto  de rasgos en categorías simples, naturalizando y objetivando los conceptos del discurso referente al sujeto en un grupo. (3) Construyen un minimodelo o teoría implícita explicativa y  evaluativa del entorno a partir del discurso que impregna al   </w:t>
      </w:r>
      <w:r>
        <w:rPr>
          <w:color w:val="231F20"/>
          <w:spacing w:val="7"/>
        </w:rPr>
        <w:t> </w:t>
      </w:r>
      <w:r>
        <w:rPr>
          <w:color w:val="231F20"/>
        </w:rPr>
        <w:t>sujeto.</w:t>
      </w:r>
    </w:p>
    <w:p>
      <w:pPr>
        <w:pStyle w:val="BodyText"/>
        <w:spacing w:line="247" w:lineRule="auto"/>
        <w:ind w:left="102" w:right="114"/>
        <w:jc w:val="both"/>
      </w:pPr>
      <w:r>
        <w:rPr>
          <w:color w:val="231F20"/>
        </w:rPr>
        <w:t>(4) Este proceso reconstruye y reproduce la realidad otorgándole un sentido y procura una guía para la vida social, para la resolución de conflictos. Estos conflictos constituyen acontecimientos complejos   y dolorosos o, bien, la guía y el sentido justifican acciones contra otros grupos; por ejemplo, para diferenciarse de ellos al momento  en que se desvanece tal</w:t>
      </w:r>
      <w:r>
        <w:rPr>
          <w:color w:val="231F20"/>
          <w:spacing w:val="-1"/>
        </w:rPr>
        <w:t> </w:t>
      </w:r>
      <w:r>
        <w:rPr>
          <w:color w:val="231F20"/>
        </w:rPr>
        <w:t>distinción.</w:t>
      </w:r>
    </w:p>
    <w:p>
      <w:pPr>
        <w:pStyle w:val="BodyText"/>
        <w:rPr>
          <w:sz w:val="23"/>
        </w:rPr>
      </w:pPr>
    </w:p>
    <w:p>
      <w:pPr>
        <w:pStyle w:val="ListParagraph"/>
        <w:numPr>
          <w:ilvl w:val="3"/>
          <w:numId w:val="6"/>
        </w:numPr>
        <w:tabs>
          <w:tab w:pos="762" w:val="left" w:leader="none"/>
        </w:tabs>
        <w:spacing w:line="240" w:lineRule="auto" w:before="0" w:after="0"/>
        <w:ind w:left="761" w:right="0" w:hanging="659"/>
        <w:jc w:val="both"/>
        <w:rPr>
          <w:i/>
          <w:sz w:val="21"/>
        </w:rPr>
      </w:pPr>
      <w:r>
        <w:rPr>
          <w:i/>
          <w:color w:val="231F20"/>
          <w:w w:val="85"/>
          <w:sz w:val="21"/>
        </w:rPr>
        <w:t>Condiciones</w:t>
      </w:r>
      <w:r>
        <w:rPr>
          <w:i/>
          <w:color w:val="231F20"/>
          <w:spacing w:val="-9"/>
          <w:w w:val="85"/>
          <w:sz w:val="21"/>
        </w:rPr>
        <w:t> </w:t>
      </w:r>
      <w:r>
        <w:rPr>
          <w:i/>
          <w:color w:val="231F20"/>
          <w:w w:val="85"/>
          <w:sz w:val="21"/>
        </w:rPr>
        <w:t>para</w:t>
      </w:r>
      <w:r>
        <w:rPr>
          <w:i/>
          <w:color w:val="231F20"/>
          <w:spacing w:val="-9"/>
          <w:w w:val="85"/>
          <w:sz w:val="21"/>
        </w:rPr>
        <w:t> </w:t>
      </w:r>
      <w:r>
        <w:rPr>
          <w:i/>
          <w:color w:val="231F20"/>
          <w:w w:val="85"/>
          <w:sz w:val="21"/>
        </w:rPr>
        <w:t>la</w:t>
      </w:r>
      <w:r>
        <w:rPr>
          <w:i/>
          <w:color w:val="231F20"/>
          <w:spacing w:val="-9"/>
          <w:w w:val="85"/>
          <w:sz w:val="21"/>
        </w:rPr>
        <w:t> </w:t>
      </w:r>
      <w:r>
        <w:rPr>
          <w:i/>
          <w:color w:val="231F20"/>
          <w:w w:val="85"/>
          <w:sz w:val="21"/>
        </w:rPr>
        <w:t>emergencia</w:t>
      </w:r>
      <w:r>
        <w:rPr>
          <w:i/>
          <w:color w:val="231F20"/>
          <w:spacing w:val="-9"/>
          <w:w w:val="85"/>
          <w:sz w:val="21"/>
        </w:rPr>
        <w:t> </w:t>
      </w:r>
      <w:r>
        <w:rPr>
          <w:i/>
          <w:color w:val="231F20"/>
          <w:w w:val="85"/>
          <w:sz w:val="21"/>
        </w:rPr>
        <w:t>de</w:t>
      </w:r>
      <w:r>
        <w:rPr>
          <w:i/>
          <w:color w:val="231F20"/>
          <w:spacing w:val="-9"/>
          <w:w w:val="85"/>
          <w:sz w:val="21"/>
        </w:rPr>
        <w:t> </w:t>
      </w:r>
      <w:r>
        <w:rPr>
          <w:i/>
          <w:color w:val="231F20"/>
          <w:w w:val="85"/>
          <w:sz w:val="21"/>
        </w:rPr>
        <w:t>las</w:t>
      </w:r>
      <w:r>
        <w:rPr>
          <w:i/>
          <w:color w:val="231F20"/>
          <w:spacing w:val="-9"/>
          <w:w w:val="85"/>
          <w:sz w:val="21"/>
        </w:rPr>
        <w:t> </w:t>
      </w:r>
      <w:r>
        <w:rPr>
          <w:i/>
          <w:color w:val="231F20"/>
          <w:w w:val="85"/>
          <w:sz w:val="21"/>
        </w:rPr>
        <w:t>RsSs</w:t>
      </w:r>
    </w:p>
    <w:p>
      <w:pPr>
        <w:pStyle w:val="BodyText"/>
        <w:spacing w:before="1"/>
        <w:rPr>
          <w:i/>
        </w:rPr>
      </w:pPr>
    </w:p>
    <w:p>
      <w:pPr>
        <w:pStyle w:val="BodyText"/>
        <w:spacing w:line="247" w:lineRule="auto" w:before="1"/>
        <w:ind w:left="102" w:right="116"/>
        <w:jc w:val="both"/>
      </w:pPr>
      <w:r>
        <w:rPr>
          <w:color w:val="231F20"/>
        </w:rPr>
        <w:t>Moscovici, siguiendo a Mora (2002), propuso tres circunstancias que generan las RsSs. La primera es “la dispersión”, “abundancia”</w:t>
      </w:r>
      <w:r>
        <w:rPr>
          <w:color w:val="231F20"/>
          <w:spacing w:val="13"/>
        </w:rPr>
        <w:t> </w:t>
      </w:r>
      <w:r>
        <w:rPr>
          <w:color w:val="231F20"/>
        </w:rPr>
        <w:t>e</w:t>
      </w:r>
    </w:p>
    <w:p>
      <w:pPr>
        <w:spacing w:after="0" w:line="247" w:lineRule="auto"/>
        <w:jc w:val="both"/>
        <w:sectPr>
          <w:headerReference w:type="default" r:id="rId363"/>
          <w:footerReference w:type="default" r:id="rId364"/>
          <w:pgSz w:w="7830" w:h="11910"/>
          <w:pgMar w:header="0" w:footer="424" w:top="500" w:bottom="620" w:left="920" w:right="900"/>
          <w:pgNumType w:start="16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4" w:lineRule="auto"/>
        <w:ind w:left="102" w:right="116"/>
        <w:jc w:val="both"/>
      </w:pPr>
      <w:r>
        <w:rPr>
          <w:color w:val="231F20"/>
        </w:rPr>
        <w:t>“insuficiencia de información”; en otras palabras, la multiplicidad y desigualdad de información sobre un objeto, vuelven precarios los juicios. Una más es lo que Moscovici llamó “focalización”: un individuo o un grupo se focalizan porque están implicados en la interacción social, debido a los intereses que se mueven dentro del grupo y sus miembros, focalizar será de forma diversa, aunque predomina la exclusión. Otra condición del surgimiento de una representación social es la “presión a la inferencia”: socialmente se da una presión que reclama opiniones, posturas y acciones acerca   de hechos focalizados por el interés del grupo o de la colectividad: se exige al individuo o al grupo social que responda, debido a la presión</w:t>
      </w:r>
      <w:r>
        <w:rPr>
          <w:color w:val="231F20"/>
          <w:spacing w:val="-19"/>
        </w:rPr>
        <w:t> </w:t>
      </w:r>
      <w:r>
        <w:rPr>
          <w:color w:val="231F20"/>
        </w:rPr>
        <w:t>social-grupal.</w:t>
      </w:r>
    </w:p>
    <w:p>
      <w:pPr>
        <w:pStyle w:val="BodyText"/>
        <w:rPr>
          <w:sz w:val="22"/>
        </w:rPr>
      </w:pPr>
    </w:p>
    <w:p>
      <w:pPr>
        <w:pStyle w:val="BodyText"/>
        <w:spacing w:before="11"/>
        <w:rPr>
          <w:sz w:val="22"/>
        </w:rPr>
      </w:pPr>
    </w:p>
    <w:p>
      <w:pPr>
        <w:pStyle w:val="ListParagraph"/>
        <w:numPr>
          <w:ilvl w:val="3"/>
          <w:numId w:val="6"/>
        </w:numPr>
        <w:tabs>
          <w:tab w:pos="762" w:val="left" w:leader="none"/>
        </w:tabs>
        <w:spacing w:line="240" w:lineRule="auto" w:before="0" w:after="0"/>
        <w:ind w:left="761" w:right="0" w:hanging="659"/>
        <w:jc w:val="both"/>
        <w:rPr>
          <w:i/>
          <w:sz w:val="21"/>
        </w:rPr>
      </w:pPr>
      <w:r>
        <w:rPr>
          <w:i/>
          <w:color w:val="231F20"/>
          <w:w w:val="90"/>
          <w:sz w:val="21"/>
        </w:rPr>
        <w:t>Dimensiones</w:t>
      </w:r>
      <w:r>
        <w:rPr>
          <w:i/>
          <w:color w:val="231F20"/>
          <w:spacing w:val="-23"/>
          <w:w w:val="90"/>
          <w:sz w:val="21"/>
        </w:rPr>
        <w:t> </w:t>
      </w:r>
      <w:r>
        <w:rPr>
          <w:i/>
          <w:color w:val="231F20"/>
          <w:w w:val="90"/>
          <w:sz w:val="21"/>
        </w:rPr>
        <w:t>de</w:t>
      </w:r>
      <w:r>
        <w:rPr>
          <w:i/>
          <w:color w:val="231F20"/>
          <w:spacing w:val="-23"/>
          <w:w w:val="90"/>
          <w:sz w:val="21"/>
        </w:rPr>
        <w:t> </w:t>
      </w:r>
      <w:r>
        <w:rPr>
          <w:i/>
          <w:color w:val="231F20"/>
          <w:w w:val="90"/>
          <w:sz w:val="21"/>
        </w:rPr>
        <w:t>las</w:t>
      </w:r>
      <w:r>
        <w:rPr>
          <w:i/>
          <w:color w:val="231F20"/>
          <w:spacing w:val="-23"/>
          <w:w w:val="90"/>
          <w:sz w:val="21"/>
        </w:rPr>
        <w:t> </w:t>
      </w:r>
      <w:r>
        <w:rPr>
          <w:i/>
          <w:color w:val="231F20"/>
          <w:w w:val="90"/>
          <w:sz w:val="21"/>
        </w:rPr>
        <w:t>RsSs</w:t>
      </w:r>
    </w:p>
    <w:p>
      <w:pPr>
        <w:pStyle w:val="BodyText"/>
        <w:spacing w:before="1"/>
        <w:rPr>
          <w:i/>
        </w:rPr>
      </w:pPr>
    </w:p>
    <w:p>
      <w:pPr>
        <w:pStyle w:val="BodyText"/>
        <w:spacing w:line="244" w:lineRule="auto" w:before="1"/>
        <w:ind w:left="102" w:right="116"/>
        <w:jc w:val="both"/>
      </w:pPr>
      <w:r>
        <w:rPr>
          <w:color w:val="231F20"/>
        </w:rPr>
        <w:t>Mora también apuntó que las RsSs se comprenden mejor con la ayuda de tres dimensiones: (1)“Información”: organización o suma de conocimientos que posee un grupo o un individuo a propósito    de un objeto. (2) “Campo de  representación”:expresa  la organización del contenido de la representación en forma jerarquizada, varía de grupo a grupo e, incluso, de individuo a individuo. (3) “Actitud”: orientación favorable o no ante un objeto  de la representación social; es el componente que más se advierte porque representa una toma de posición, porque las RsSs se dan únicamente luego de tomar postura y en función de la postura tomada.</w:t>
      </w:r>
    </w:p>
    <w:p>
      <w:pPr>
        <w:pStyle w:val="BodyText"/>
        <w:spacing w:before="3"/>
        <w:rPr>
          <w:sz w:val="23"/>
        </w:rPr>
      </w:pPr>
    </w:p>
    <w:p>
      <w:pPr>
        <w:pStyle w:val="ListParagraph"/>
        <w:numPr>
          <w:ilvl w:val="3"/>
          <w:numId w:val="6"/>
        </w:numPr>
        <w:tabs>
          <w:tab w:pos="762" w:val="left" w:leader="none"/>
        </w:tabs>
        <w:spacing w:line="240" w:lineRule="auto" w:before="0" w:after="0"/>
        <w:ind w:left="761" w:right="0" w:hanging="659"/>
        <w:jc w:val="both"/>
        <w:rPr>
          <w:i/>
          <w:sz w:val="21"/>
        </w:rPr>
      </w:pPr>
      <w:r>
        <w:rPr>
          <w:i/>
          <w:color w:val="231F20"/>
          <w:w w:val="90"/>
          <w:sz w:val="21"/>
        </w:rPr>
        <w:t>Dinámica de las</w:t>
      </w:r>
      <w:r>
        <w:rPr>
          <w:i/>
          <w:color w:val="231F20"/>
          <w:spacing w:val="-28"/>
          <w:w w:val="90"/>
          <w:sz w:val="21"/>
        </w:rPr>
        <w:t> </w:t>
      </w:r>
      <w:r>
        <w:rPr>
          <w:i/>
          <w:color w:val="231F20"/>
          <w:w w:val="90"/>
          <w:sz w:val="21"/>
        </w:rPr>
        <w:t>RsSs</w:t>
      </w:r>
    </w:p>
    <w:p>
      <w:pPr>
        <w:pStyle w:val="BodyText"/>
        <w:spacing w:before="1"/>
        <w:rPr>
          <w:i/>
        </w:rPr>
      </w:pPr>
    </w:p>
    <w:p>
      <w:pPr>
        <w:pStyle w:val="BodyText"/>
        <w:spacing w:line="247" w:lineRule="auto" w:before="1"/>
        <w:ind w:left="102" w:right="116"/>
        <w:jc w:val="both"/>
      </w:pPr>
      <w:r>
        <w:rPr>
          <w:color w:val="231F20"/>
        </w:rPr>
        <w:t>Mora también mostró que lasRsSs son comprensibles al advertir   dos procesos principales que experimentan: (1) “Objetivación”</w:t>
      </w:r>
      <w:r>
        <w:rPr>
          <w:i/>
          <w:color w:val="231F20"/>
        </w:rPr>
        <w:t>: </w:t>
      </w:r>
      <w:r>
        <w:rPr>
          <w:i/>
          <w:color w:val="231F20"/>
          <w:w w:val="90"/>
        </w:rPr>
        <w:t>“selección y descontextualización de los elementos, formación del núcleo </w:t>
      </w:r>
      <w:r>
        <w:rPr>
          <w:i/>
          <w:color w:val="231F20"/>
        </w:rPr>
        <w:t>figurativo y naturalización”</w:t>
      </w:r>
      <w:r>
        <w:rPr>
          <w:color w:val="231F20"/>
        </w:rPr>
        <w:t>; el modelo o esquema resultante media entre la teoría científica inicial y su representación social; cambia lo que la teoría tiene de abstracto a una traducción funcional útil al individuo; el modelo asocia diversos elementos en un foco explicativo con una dinámica propia y permite a la representación social convertirse en un marco cognoscitivo estable que orienta  </w:t>
      </w:r>
      <w:r>
        <w:rPr>
          <w:color w:val="231F20"/>
          <w:spacing w:val="31"/>
        </w:rPr>
        <w:t> </w:t>
      </w:r>
      <w:r>
        <w:rPr>
          <w:color w:val="231F20"/>
        </w:rPr>
        <w:t>las</w:t>
      </w:r>
    </w:p>
    <w:p>
      <w:pPr>
        <w:spacing w:after="0" w:line="247" w:lineRule="auto"/>
        <w:jc w:val="both"/>
        <w:sectPr>
          <w:headerReference w:type="default" r:id="rId365"/>
          <w:footerReference w:type="default" r:id="rId366"/>
          <w:pgSz w:w="7830" w:h="11910"/>
          <w:pgMar w:header="0" w:footer="424" w:top="500" w:bottom="620" w:left="920" w:right="900"/>
          <w:pgNumType w:start="17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5"/>
        <w:jc w:val="both"/>
      </w:pPr>
      <w:r>
        <w:rPr>
          <w:color w:val="231F20"/>
        </w:rPr>
        <w:t>percepciones, los juicios y los comportamientos. (2) “Anclaje”: permite que lasRsSs se vinculen con el marco de referencia del grupo y es un instrumento útil para interpretar la realidad y para actuar sobre ella; a través del anclaje, el grupo social cambia al objeto de la representación por una herramienta disponible para actuar y valorar, así el objeto se coloca en una escala de preferencia en</w:t>
      </w:r>
      <w:r>
        <w:rPr>
          <w:color w:val="231F20"/>
          <w:spacing w:val="-8"/>
        </w:rPr>
        <w:t> </w:t>
      </w:r>
      <w:r>
        <w:rPr>
          <w:color w:val="231F20"/>
        </w:rPr>
        <w:t>la</w:t>
      </w:r>
      <w:r>
        <w:rPr>
          <w:color w:val="231F20"/>
          <w:spacing w:val="-8"/>
        </w:rPr>
        <w:t> </w:t>
      </w:r>
      <w:r>
        <w:rPr>
          <w:color w:val="231F20"/>
        </w:rPr>
        <w:t>escala</w:t>
      </w:r>
      <w:r>
        <w:rPr>
          <w:color w:val="231F20"/>
          <w:spacing w:val="-8"/>
        </w:rPr>
        <w:t> </w:t>
      </w:r>
      <w:r>
        <w:rPr>
          <w:color w:val="231F20"/>
        </w:rPr>
        <w:t>de</w:t>
      </w:r>
      <w:r>
        <w:rPr>
          <w:color w:val="231F20"/>
          <w:spacing w:val="-8"/>
        </w:rPr>
        <w:t> </w:t>
      </w:r>
      <w:r>
        <w:rPr>
          <w:color w:val="231F20"/>
        </w:rPr>
        <w:t>preferencias</w:t>
      </w:r>
      <w:r>
        <w:rPr>
          <w:color w:val="231F20"/>
          <w:spacing w:val="-9"/>
        </w:rPr>
        <w:t> </w:t>
      </w:r>
      <w:r>
        <w:rPr>
          <w:color w:val="231F20"/>
        </w:rPr>
        <w:t>en</w:t>
      </w:r>
      <w:r>
        <w:rPr>
          <w:color w:val="231F20"/>
          <w:spacing w:val="-8"/>
        </w:rPr>
        <w:t> </w:t>
      </w:r>
      <w:r>
        <w:rPr>
          <w:color w:val="231F20"/>
        </w:rPr>
        <w:t>las</w:t>
      </w:r>
      <w:r>
        <w:rPr>
          <w:color w:val="231F20"/>
          <w:spacing w:val="-9"/>
        </w:rPr>
        <w:t> </w:t>
      </w:r>
      <w:r>
        <w:rPr>
          <w:color w:val="231F20"/>
        </w:rPr>
        <w:t>relaciones</w:t>
      </w:r>
      <w:r>
        <w:rPr>
          <w:color w:val="231F20"/>
          <w:spacing w:val="-9"/>
        </w:rPr>
        <w:t> </w:t>
      </w:r>
      <w:r>
        <w:rPr>
          <w:color w:val="231F20"/>
        </w:rPr>
        <w:t>sociales</w:t>
      </w:r>
      <w:r>
        <w:rPr>
          <w:color w:val="231F20"/>
          <w:spacing w:val="-9"/>
        </w:rPr>
        <w:t> </w:t>
      </w:r>
      <w:r>
        <w:rPr>
          <w:color w:val="231F20"/>
        </w:rPr>
        <w:t>existentes.</w:t>
      </w:r>
    </w:p>
    <w:p>
      <w:pPr>
        <w:pStyle w:val="BodyText"/>
        <w:spacing w:before="7"/>
        <w:rPr>
          <w:sz w:val="22"/>
        </w:rPr>
      </w:pPr>
    </w:p>
    <w:p>
      <w:pPr>
        <w:pStyle w:val="ListParagraph"/>
        <w:numPr>
          <w:ilvl w:val="1"/>
          <w:numId w:val="7"/>
        </w:numPr>
        <w:tabs>
          <w:tab w:pos="460" w:val="left" w:leader="none"/>
        </w:tabs>
        <w:spacing w:line="240" w:lineRule="auto" w:before="0" w:after="0"/>
        <w:ind w:left="459" w:right="0" w:hanging="357"/>
        <w:jc w:val="both"/>
        <w:rPr>
          <w:i/>
          <w:sz w:val="21"/>
        </w:rPr>
      </w:pPr>
      <w:r>
        <w:rPr>
          <w:i/>
          <w:color w:val="231F20"/>
          <w:w w:val="90"/>
          <w:sz w:val="21"/>
        </w:rPr>
        <w:t>Ideología</w:t>
      </w:r>
    </w:p>
    <w:p>
      <w:pPr>
        <w:pStyle w:val="BodyText"/>
        <w:spacing w:before="1"/>
        <w:rPr>
          <w:i/>
        </w:rPr>
      </w:pPr>
    </w:p>
    <w:p>
      <w:pPr>
        <w:pStyle w:val="BodyText"/>
        <w:spacing w:line="247" w:lineRule="auto" w:before="1"/>
        <w:ind w:left="101" w:right="115"/>
        <w:jc w:val="both"/>
      </w:pPr>
      <w:r>
        <w:rPr>
          <w:color w:val="231F20"/>
        </w:rPr>
        <w:t>Adolfo Sánchez Vázquez (1979, pp. 63-73)  –quien  lamentablemente falleció hace poco tiempo y a quien con  esta  breve nota, se le brinda un homenaje– postuló seis  tesis  para  ilustrar qué entender por ideología. Se apoyó en su brillante lectura de Louis Althusser. Abajo se enunciarán las tesis. No se desarrollarán ampliamente porque no se considera pertinente para esta investigación; no obstante, de él se retomó  la  información abajo</w:t>
      </w:r>
      <w:r>
        <w:rPr>
          <w:color w:val="231F20"/>
          <w:spacing w:val="6"/>
        </w:rPr>
        <w:t> </w:t>
      </w:r>
      <w:r>
        <w:rPr>
          <w:color w:val="231F20"/>
        </w:rPr>
        <w:t>presentada.</w:t>
      </w:r>
    </w:p>
    <w:p>
      <w:pPr>
        <w:pStyle w:val="BodyText"/>
        <w:spacing w:line="247" w:lineRule="auto" w:before="1"/>
        <w:ind w:left="102" w:right="118"/>
        <w:jc w:val="both"/>
      </w:pPr>
      <w:r>
        <w:rPr>
          <w:color w:val="231F20"/>
        </w:rPr>
        <w:t>1ª “La ideología expresa una relación imaginaria de los individuos con sus condiciones reales de existencia”. La ideología es la expresión de la relación de los hombres con su ‘mundo’, con una parte de toda la realidad: expresa no una relación real, sino el modo imaginario de esa relación. Su función práctica-social es más importante que la teórica.</w:t>
      </w:r>
    </w:p>
    <w:p>
      <w:pPr>
        <w:pStyle w:val="BodyText"/>
        <w:spacing w:line="244" w:lineRule="auto"/>
        <w:ind w:left="102" w:right="114"/>
        <w:jc w:val="both"/>
      </w:pPr>
      <w:r>
        <w:rPr>
          <w:color w:val="231F20"/>
        </w:rPr>
        <w:t>2ª“La ideología es necesariamente una representación deformante   de la realidad”. La ideología es una representación de la naturaleza y de la sociedad necesariamente “deformada” debido a que, determinada por la “estructura” de la sociedad, “forma al mismo tiempo parte de la</w:t>
      </w:r>
      <w:r>
        <w:rPr>
          <w:color w:val="231F20"/>
          <w:spacing w:val="33"/>
        </w:rPr>
        <w:t> </w:t>
      </w:r>
      <w:r>
        <w:rPr>
          <w:color w:val="231F20"/>
        </w:rPr>
        <w:t>estructura”.</w:t>
      </w:r>
    </w:p>
    <w:p>
      <w:pPr>
        <w:pStyle w:val="BodyText"/>
        <w:spacing w:line="244" w:lineRule="auto" w:before="3"/>
        <w:ind w:left="102" w:right="115"/>
        <w:jc w:val="both"/>
      </w:pPr>
      <w:r>
        <w:rPr>
          <w:color w:val="231F20"/>
        </w:rPr>
        <w:t>3ª “En toda sociedad, la ideología cumple una función social: asegurar la cohesión de sus miembros”. La función social de la ideología es asegurar el lazo que une a los hombres entre sí, así como la relación de los individuos con sus tareas fijadas por la estructura</w:t>
      </w:r>
      <w:r>
        <w:rPr>
          <w:color w:val="231F20"/>
          <w:spacing w:val="-10"/>
        </w:rPr>
        <w:t> </w:t>
      </w:r>
      <w:r>
        <w:rPr>
          <w:color w:val="231F20"/>
        </w:rPr>
        <w:t>social.</w:t>
      </w:r>
    </w:p>
    <w:p>
      <w:pPr>
        <w:pStyle w:val="BodyText"/>
        <w:spacing w:line="247" w:lineRule="auto" w:before="3"/>
        <w:ind w:left="102" w:right="114"/>
        <w:jc w:val="both"/>
      </w:pPr>
      <w:r>
        <w:rPr>
          <w:color w:val="231F20"/>
        </w:rPr>
        <w:t>4ª “En las sociedades de clases, la función social de la ideología, como factor de cohesión social está al servicio de la clase dominante”. En una sociedad dividida en clases antagónicas, la ideología asegura la cohesión de explotadores y explotados; hace</w:t>
      </w:r>
    </w:p>
    <w:p>
      <w:pPr>
        <w:spacing w:after="0" w:line="247" w:lineRule="auto"/>
        <w:jc w:val="both"/>
        <w:sectPr>
          <w:headerReference w:type="default" r:id="rId367"/>
          <w:footerReference w:type="default" r:id="rId368"/>
          <w:pgSz w:w="7830" w:h="11910"/>
          <w:pgMar w:header="0" w:footer="424" w:top="500" w:bottom="620" w:left="920" w:right="900"/>
          <w:pgNumType w:start="17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19"/>
        <w:jc w:val="both"/>
      </w:pPr>
      <w:r>
        <w:rPr>
          <w:color w:val="231F20"/>
        </w:rPr>
        <w:t>que los explotados se conformen con  su  condición  de explotación y, así, sirve a la clase dominante.</w:t>
      </w:r>
    </w:p>
    <w:p>
      <w:pPr>
        <w:pStyle w:val="BodyText"/>
        <w:spacing w:line="247" w:lineRule="auto"/>
        <w:ind w:left="102" w:right="116"/>
        <w:jc w:val="both"/>
      </w:pPr>
      <w:r>
        <w:rPr>
          <w:color w:val="231F20"/>
        </w:rPr>
        <w:t>5ª “En la sociedad de clases, la ideología de las clases dominadas se halla sujeta a la ideología de la clase dominante”. El carácter deformante de la ideología y su función de cohesión social, determinan que la liberación de las clases dominadas deba pasar, forzosamente, por su liberación ideológica.</w:t>
      </w:r>
    </w:p>
    <w:p>
      <w:pPr>
        <w:pStyle w:val="BodyText"/>
        <w:spacing w:line="244" w:lineRule="auto"/>
        <w:ind w:left="102" w:right="116" w:hanging="1"/>
        <w:jc w:val="both"/>
      </w:pPr>
      <w:r>
        <w:rPr>
          <w:color w:val="231F20"/>
        </w:rPr>
        <w:t>6ª “La ideología de la clase obrera solo puede liberarse del dominio de la ideología burguesa con ayuda de la ciencia y con su transformación por la ciencia misma”. La liberación de la ideología burguesa y, por tanto, la creación de una nueva ideología de la clase obrera depende de un acontecimiento teórico: importar la teoría científica producida por los intelectuales en el movimiento obrero,   al</w:t>
      </w:r>
      <w:r>
        <w:rPr>
          <w:color w:val="231F20"/>
          <w:spacing w:val="-9"/>
        </w:rPr>
        <w:t> </w:t>
      </w:r>
      <w:r>
        <w:rPr>
          <w:color w:val="231F20"/>
        </w:rPr>
        <w:t>seno</w:t>
      </w:r>
      <w:r>
        <w:rPr>
          <w:color w:val="231F20"/>
          <w:spacing w:val="-8"/>
        </w:rPr>
        <w:t> </w:t>
      </w:r>
      <w:r>
        <w:rPr>
          <w:color w:val="231F20"/>
        </w:rPr>
        <w:t>de</w:t>
      </w:r>
      <w:r>
        <w:rPr>
          <w:color w:val="231F20"/>
          <w:spacing w:val="-8"/>
        </w:rPr>
        <w:t> </w:t>
      </w:r>
      <w:r>
        <w:rPr>
          <w:color w:val="231F20"/>
        </w:rPr>
        <w:t>esa</w:t>
      </w:r>
      <w:r>
        <w:rPr>
          <w:color w:val="231F20"/>
          <w:spacing w:val="-8"/>
        </w:rPr>
        <w:t> </w:t>
      </w:r>
      <w:r>
        <w:rPr>
          <w:color w:val="231F20"/>
        </w:rPr>
        <w:t>clase</w:t>
      </w:r>
      <w:r>
        <w:rPr>
          <w:color w:val="231F20"/>
          <w:spacing w:val="-8"/>
        </w:rPr>
        <w:t> </w:t>
      </w:r>
      <w:r>
        <w:rPr>
          <w:color w:val="231F20"/>
        </w:rPr>
        <w:t>social.</w:t>
      </w:r>
    </w:p>
    <w:p>
      <w:pPr>
        <w:pStyle w:val="BodyText"/>
        <w:spacing w:line="249" w:lineRule="auto" w:before="18"/>
        <w:ind w:left="102" w:right="113" w:firstLine="284"/>
        <w:jc w:val="both"/>
      </w:pPr>
      <w:r>
        <w:rPr>
          <w:color w:val="231F20"/>
          <w:spacing w:val="2"/>
        </w:rPr>
        <w:t>Adicional </w:t>
      </w:r>
      <w:r>
        <w:rPr>
          <w:color w:val="231F20"/>
        </w:rPr>
        <w:t>a las </w:t>
      </w:r>
      <w:r>
        <w:rPr>
          <w:color w:val="231F20"/>
          <w:spacing w:val="2"/>
        </w:rPr>
        <w:t>tesis formuladas por Adolfo Sánchez Vázquez sobre ideología, </w:t>
      </w:r>
      <w:r>
        <w:rPr>
          <w:color w:val="231F20"/>
        </w:rPr>
        <w:t>es </w:t>
      </w:r>
      <w:r>
        <w:rPr>
          <w:color w:val="231F20"/>
          <w:spacing w:val="3"/>
        </w:rPr>
        <w:t>conveniente complementarlas </w:t>
      </w:r>
      <w:r>
        <w:rPr>
          <w:color w:val="231F20"/>
          <w:spacing w:val="2"/>
        </w:rPr>
        <w:t>con </w:t>
      </w:r>
      <w:r>
        <w:rPr>
          <w:color w:val="231F20"/>
        </w:rPr>
        <w:t>la </w:t>
      </w:r>
      <w:r>
        <w:rPr>
          <w:color w:val="231F20"/>
          <w:spacing w:val="2"/>
        </w:rPr>
        <w:t>visión </w:t>
      </w:r>
      <w:r>
        <w:rPr>
          <w:color w:val="231F20"/>
          <w:spacing w:val="3"/>
        </w:rPr>
        <w:t>del </w:t>
      </w:r>
      <w:r>
        <w:rPr>
          <w:color w:val="231F20"/>
          <w:spacing w:val="2"/>
        </w:rPr>
        <w:t>marxista Antonio </w:t>
      </w:r>
      <w:r>
        <w:rPr>
          <w:color w:val="231F20"/>
          <w:spacing w:val="3"/>
        </w:rPr>
        <w:t>Gramsci. </w:t>
      </w:r>
      <w:r>
        <w:rPr>
          <w:color w:val="231F20"/>
        </w:rPr>
        <w:t>Él </w:t>
      </w:r>
      <w:r>
        <w:rPr>
          <w:color w:val="231F20"/>
          <w:spacing w:val="2"/>
        </w:rPr>
        <w:t>señaló que </w:t>
      </w:r>
      <w:r>
        <w:rPr>
          <w:color w:val="231F20"/>
        </w:rPr>
        <w:t>la </w:t>
      </w:r>
      <w:r>
        <w:rPr>
          <w:color w:val="231F20"/>
          <w:spacing w:val="2"/>
        </w:rPr>
        <w:t>ideología </w:t>
      </w:r>
      <w:r>
        <w:rPr>
          <w:color w:val="231F20"/>
        </w:rPr>
        <w:t>es el </w:t>
      </w:r>
      <w:r>
        <w:rPr>
          <w:color w:val="231F20"/>
          <w:spacing w:val="2"/>
        </w:rPr>
        <w:t>proyecto político </w:t>
      </w:r>
      <w:r>
        <w:rPr>
          <w:color w:val="231F20"/>
        </w:rPr>
        <w:t>que </w:t>
      </w:r>
      <w:r>
        <w:rPr>
          <w:color w:val="231F20"/>
          <w:spacing w:val="2"/>
        </w:rPr>
        <w:t>genera </w:t>
      </w:r>
      <w:r>
        <w:rPr>
          <w:color w:val="231F20"/>
        </w:rPr>
        <w:t>la </w:t>
      </w:r>
      <w:r>
        <w:rPr>
          <w:color w:val="231F20"/>
          <w:spacing w:val="3"/>
        </w:rPr>
        <w:t>hegemonía </w:t>
      </w:r>
      <w:r>
        <w:rPr>
          <w:color w:val="231F20"/>
        </w:rPr>
        <w:t>–o </w:t>
      </w:r>
      <w:r>
        <w:rPr>
          <w:color w:val="231F20"/>
          <w:spacing w:val="2"/>
        </w:rPr>
        <w:t>dirección </w:t>
      </w:r>
      <w:r>
        <w:rPr>
          <w:color w:val="231F20"/>
          <w:spacing w:val="3"/>
        </w:rPr>
        <w:t>moral, </w:t>
      </w:r>
      <w:r>
        <w:rPr>
          <w:color w:val="231F20"/>
          <w:spacing w:val="2"/>
        </w:rPr>
        <w:t>intelectual </w:t>
      </w:r>
      <w:r>
        <w:rPr>
          <w:color w:val="231F20"/>
        </w:rPr>
        <w:t>e </w:t>
      </w:r>
      <w:r>
        <w:rPr>
          <w:color w:val="231F20"/>
          <w:spacing w:val="2"/>
        </w:rPr>
        <w:t>ideológica– </w:t>
      </w:r>
      <w:r>
        <w:rPr>
          <w:color w:val="231F20"/>
        </w:rPr>
        <w:t>de la </w:t>
      </w:r>
      <w:r>
        <w:rPr>
          <w:color w:val="231F20"/>
          <w:spacing w:val="2"/>
        </w:rPr>
        <w:t>clase, </w:t>
      </w:r>
      <w:r>
        <w:rPr>
          <w:color w:val="231F20"/>
        </w:rPr>
        <w:t>o </w:t>
      </w:r>
      <w:r>
        <w:rPr>
          <w:color w:val="231F20"/>
          <w:spacing w:val="2"/>
        </w:rPr>
        <w:t>fracción </w:t>
      </w:r>
      <w:r>
        <w:rPr>
          <w:color w:val="231F20"/>
        </w:rPr>
        <w:t>de </w:t>
      </w:r>
      <w:r>
        <w:rPr>
          <w:color w:val="231F20"/>
          <w:spacing w:val="2"/>
        </w:rPr>
        <w:t>clase, que </w:t>
      </w:r>
      <w:r>
        <w:rPr>
          <w:color w:val="231F20"/>
          <w:spacing w:val="3"/>
        </w:rPr>
        <w:t>domina </w:t>
      </w:r>
      <w:r>
        <w:rPr>
          <w:color w:val="231F20"/>
        </w:rPr>
        <w:t>en el </w:t>
      </w:r>
      <w:r>
        <w:rPr>
          <w:color w:val="231F20"/>
          <w:spacing w:val="2"/>
        </w:rPr>
        <w:t>terreno </w:t>
      </w:r>
      <w:r>
        <w:rPr>
          <w:color w:val="231F20"/>
          <w:spacing w:val="3"/>
        </w:rPr>
        <w:t>económico-material, </w:t>
      </w:r>
      <w:r>
        <w:rPr>
          <w:color w:val="231F20"/>
          <w:spacing w:val="2"/>
        </w:rPr>
        <w:t>sobre aquellas que carecen del poderío material </w:t>
      </w:r>
      <w:r>
        <w:rPr>
          <w:color w:val="231F20"/>
          <w:spacing w:val="3"/>
        </w:rPr>
        <w:t>(Geneyro, </w:t>
      </w:r>
      <w:r>
        <w:rPr>
          <w:color w:val="231F20"/>
          <w:spacing w:val="2"/>
        </w:rPr>
        <w:t>1979, </w:t>
      </w:r>
      <w:r>
        <w:rPr>
          <w:color w:val="231F20"/>
        </w:rPr>
        <w:t>p. </w:t>
      </w:r>
      <w:r>
        <w:rPr>
          <w:color w:val="231F20"/>
          <w:spacing w:val="2"/>
        </w:rPr>
        <w:t>188-191). Este proyecto </w:t>
      </w:r>
      <w:r>
        <w:rPr>
          <w:color w:val="231F20"/>
          <w:spacing w:val="3"/>
        </w:rPr>
        <w:t>hegemónico, </w:t>
      </w:r>
      <w:r>
        <w:rPr>
          <w:color w:val="231F20"/>
        </w:rPr>
        <w:t>de </w:t>
      </w:r>
      <w:r>
        <w:rPr>
          <w:color w:val="231F20"/>
          <w:spacing w:val="2"/>
        </w:rPr>
        <w:t>dirección, necesita recuperar </w:t>
      </w:r>
      <w:r>
        <w:rPr>
          <w:color w:val="231F20"/>
          <w:spacing w:val="3"/>
        </w:rPr>
        <w:t>algunas demandas </w:t>
      </w:r>
      <w:r>
        <w:rPr>
          <w:color w:val="231F20"/>
        </w:rPr>
        <w:t>y </w:t>
      </w:r>
      <w:r>
        <w:rPr>
          <w:color w:val="231F20"/>
          <w:spacing w:val="2"/>
        </w:rPr>
        <w:t>visiones </w:t>
      </w:r>
      <w:r>
        <w:rPr>
          <w:color w:val="231F20"/>
        </w:rPr>
        <w:t>de las </w:t>
      </w:r>
      <w:r>
        <w:rPr>
          <w:color w:val="231F20"/>
          <w:spacing w:val="2"/>
        </w:rPr>
        <w:t>clases subalternas para que </w:t>
      </w:r>
      <w:r>
        <w:rPr>
          <w:color w:val="231F20"/>
        </w:rPr>
        <w:t>se </w:t>
      </w:r>
      <w:r>
        <w:rPr>
          <w:color w:val="231F20"/>
          <w:spacing w:val="3"/>
        </w:rPr>
        <w:t>sientan representadas </w:t>
      </w:r>
      <w:r>
        <w:rPr>
          <w:color w:val="231F20"/>
        </w:rPr>
        <w:t>o </w:t>
      </w:r>
      <w:r>
        <w:rPr>
          <w:color w:val="231F20"/>
          <w:spacing w:val="3"/>
        </w:rPr>
        <w:t>incorporadas </w:t>
      </w:r>
      <w:r>
        <w:rPr>
          <w:color w:val="231F20"/>
        </w:rPr>
        <w:t>en él; </w:t>
      </w:r>
      <w:r>
        <w:rPr>
          <w:color w:val="231F20"/>
          <w:spacing w:val="2"/>
        </w:rPr>
        <w:t>asimismo, </w:t>
      </w:r>
      <w:r>
        <w:rPr>
          <w:color w:val="231F20"/>
        </w:rPr>
        <w:t>la </w:t>
      </w:r>
      <w:r>
        <w:rPr>
          <w:color w:val="231F20"/>
          <w:spacing w:val="2"/>
        </w:rPr>
        <w:t>hegemonía </w:t>
      </w:r>
      <w:r>
        <w:rPr>
          <w:color w:val="231F20"/>
          <w:spacing w:val="3"/>
        </w:rPr>
        <w:t>no </w:t>
      </w:r>
      <w:r>
        <w:rPr>
          <w:color w:val="231F20"/>
          <w:spacing w:val="2"/>
        </w:rPr>
        <w:t>implica una acción </w:t>
      </w:r>
      <w:r>
        <w:rPr>
          <w:color w:val="231F20"/>
          <w:spacing w:val="3"/>
        </w:rPr>
        <w:t>uniforme, </w:t>
      </w:r>
      <w:r>
        <w:rPr>
          <w:color w:val="231F20"/>
          <w:spacing w:val="2"/>
        </w:rPr>
        <w:t>única </w:t>
      </w:r>
      <w:r>
        <w:rPr>
          <w:color w:val="231F20"/>
        </w:rPr>
        <w:t>y </w:t>
      </w:r>
      <w:r>
        <w:rPr>
          <w:color w:val="231F20"/>
          <w:spacing w:val="2"/>
        </w:rPr>
        <w:t>definitiva </w:t>
      </w:r>
      <w:r>
        <w:rPr>
          <w:color w:val="231F20"/>
        </w:rPr>
        <w:t>en el </w:t>
      </w:r>
      <w:r>
        <w:rPr>
          <w:color w:val="231F20"/>
          <w:spacing w:val="2"/>
        </w:rPr>
        <w:t>espacio superestructural, por </w:t>
      </w:r>
      <w:r>
        <w:rPr>
          <w:color w:val="231F20"/>
        </w:rPr>
        <w:t>el </w:t>
      </w:r>
      <w:r>
        <w:rPr>
          <w:color w:val="231F20"/>
          <w:spacing w:val="2"/>
        </w:rPr>
        <w:t>contrario, </w:t>
      </w:r>
      <w:r>
        <w:rPr>
          <w:color w:val="231F20"/>
        </w:rPr>
        <w:t>en él se </w:t>
      </w:r>
      <w:r>
        <w:rPr>
          <w:color w:val="231F20"/>
          <w:spacing w:val="2"/>
        </w:rPr>
        <w:t>manifiestan las </w:t>
      </w:r>
      <w:r>
        <w:rPr>
          <w:color w:val="231F20"/>
          <w:spacing w:val="3"/>
        </w:rPr>
        <w:t>contradicciones </w:t>
      </w:r>
      <w:r>
        <w:rPr>
          <w:color w:val="231F20"/>
        </w:rPr>
        <w:t>y </w:t>
      </w:r>
      <w:r>
        <w:rPr>
          <w:color w:val="231F20"/>
          <w:spacing w:val="2"/>
        </w:rPr>
        <w:t>luchas generadas </w:t>
      </w:r>
      <w:r>
        <w:rPr>
          <w:color w:val="231F20"/>
        </w:rPr>
        <w:t>en las </w:t>
      </w:r>
      <w:r>
        <w:rPr>
          <w:color w:val="231F20"/>
          <w:spacing w:val="2"/>
        </w:rPr>
        <w:t>relaciones </w:t>
      </w:r>
      <w:r>
        <w:rPr>
          <w:color w:val="231F20"/>
          <w:spacing w:val="3"/>
        </w:rPr>
        <w:t>antagónicas </w:t>
      </w:r>
      <w:r>
        <w:rPr>
          <w:color w:val="231F20"/>
          <w:spacing w:val="2"/>
        </w:rPr>
        <w:t>del proceso </w:t>
      </w:r>
      <w:r>
        <w:rPr>
          <w:color w:val="231F20"/>
        </w:rPr>
        <w:t>de</w:t>
      </w:r>
      <w:r>
        <w:rPr>
          <w:color w:val="231F20"/>
          <w:spacing w:val="40"/>
        </w:rPr>
        <w:t> </w:t>
      </w:r>
      <w:r>
        <w:rPr>
          <w:color w:val="231F20"/>
          <w:spacing w:val="3"/>
        </w:rPr>
        <w:t>producción.</w:t>
      </w:r>
    </w:p>
    <w:p>
      <w:pPr>
        <w:pStyle w:val="BodyText"/>
        <w:spacing w:line="249" w:lineRule="auto"/>
        <w:ind w:left="103" w:right="113" w:firstLine="284"/>
        <w:jc w:val="both"/>
      </w:pPr>
      <w:r>
        <w:rPr>
          <w:color w:val="231F20"/>
        </w:rPr>
        <w:t>La </w:t>
      </w:r>
      <w:r>
        <w:rPr>
          <w:color w:val="231F20"/>
          <w:spacing w:val="2"/>
        </w:rPr>
        <w:t>ideología, para </w:t>
      </w:r>
      <w:r>
        <w:rPr>
          <w:color w:val="231F20"/>
          <w:spacing w:val="3"/>
        </w:rPr>
        <w:t>Gramsci, </w:t>
      </w:r>
      <w:r>
        <w:rPr>
          <w:color w:val="231F20"/>
        </w:rPr>
        <w:t>no </w:t>
      </w:r>
      <w:r>
        <w:rPr>
          <w:color w:val="231F20"/>
          <w:spacing w:val="2"/>
        </w:rPr>
        <w:t>solo </w:t>
      </w:r>
      <w:r>
        <w:rPr>
          <w:color w:val="231F20"/>
        </w:rPr>
        <w:t>es </w:t>
      </w:r>
      <w:r>
        <w:rPr>
          <w:color w:val="231F20"/>
          <w:spacing w:val="2"/>
        </w:rPr>
        <w:t>falsa </w:t>
      </w:r>
      <w:r>
        <w:rPr>
          <w:color w:val="231F20"/>
          <w:spacing w:val="3"/>
        </w:rPr>
        <w:t>conciencia, </w:t>
      </w:r>
      <w:r>
        <w:rPr>
          <w:color w:val="231F20"/>
          <w:spacing w:val="2"/>
        </w:rPr>
        <w:t>también </w:t>
      </w:r>
      <w:r>
        <w:rPr>
          <w:color w:val="231F20"/>
        </w:rPr>
        <w:t>es un </w:t>
      </w:r>
      <w:r>
        <w:rPr>
          <w:color w:val="231F20"/>
          <w:spacing w:val="2"/>
        </w:rPr>
        <w:t>proyecto político </w:t>
      </w:r>
      <w:r>
        <w:rPr>
          <w:color w:val="231F20"/>
        </w:rPr>
        <w:t>y </w:t>
      </w:r>
      <w:r>
        <w:rPr>
          <w:color w:val="231F20"/>
          <w:spacing w:val="2"/>
        </w:rPr>
        <w:t>dirección </w:t>
      </w:r>
      <w:r>
        <w:rPr>
          <w:color w:val="231F20"/>
        </w:rPr>
        <w:t>de </w:t>
      </w:r>
      <w:r>
        <w:rPr>
          <w:color w:val="231F20"/>
          <w:spacing w:val="2"/>
        </w:rPr>
        <w:t>una  clase  </w:t>
      </w:r>
      <w:r>
        <w:rPr>
          <w:color w:val="231F20"/>
        </w:rPr>
        <w:t>o </w:t>
      </w:r>
      <w:r>
        <w:rPr>
          <w:color w:val="231F20"/>
          <w:spacing w:val="2"/>
        </w:rPr>
        <w:t>fracción </w:t>
      </w:r>
      <w:r>
        <w:rPr>
          <w:color w:val="231F20"/>
        </w:rPr>
        <w:t>de </w:t>
      </w:r>
      <w:r>
        <w:rPr>
          <w:color w:val="231F20"/>
          <w:spacing w:val="2"/>
        </w:rPr>
        <w:t>clase sobre </w:t>
      </w:r>
      <w:r>
        <w:rPr>
          <w:color w:val="231F20"/>
        </w:rPr>
        <w:t>el </w:t>
      </w:r>
      <w:r>
        <w:rPr>
          <w:color w:val="231F20"/>
          <w:spacing w:val="2"/>
        </w:rPr>
        <w:t>resto </w:t>
      </w:r>
      <w:r>
        <w:rPr>
          <w:color w:val="231F20"/>
        </w:rPr>
        <w:t>de las </w:t>
      </w:r>
      <w:r>
        <w:rPr>
          <w:color w:val="231F20"/>
          <w:spacing w:val="2"/>
        </w:rPr>
        <w:t>clases sociales: </w:t>
      </w:r>
      <w:r>
        <w:rPr>
          <w:color w:val="231F20"/>
        </w:rPr>
        <w:t>la </w:t>
      </w:r>
      <w:r>
        <w:rPr>
          <w:color w:val="231F20"/>
          <w:spacing w:val="2"/>
        </w:rPr>
        <w:t>ideología  </w:t>
      </w:r>
      <w:r>
        <w:rPr>
          <w:color w:val="231F20"/>
        </w:rPr>
        <w:t>se </w:t>
      </w:r>
      <w:r>
        <w:rPr>
          <w:color w:val="231F20"/>
          <w:spacing w:val="2"/>
        </w:rPr>
        <w:t>decanta </w:t>
      </w:r>
      <w:r>
        <w:rPr>
          <w:color w:val="231F20"/>
        </w:rPr>
        <w:t>en </w:t>
      </w:r>
      <w:r>
        <w:rPr>
          <w:color w:val="231F20"/>
          <w:spacing w:val="2"/>
        </w:rPr>
        <w:t>acciones prácticas, </w:t>
      </w:r>
      <w:r>
        <w:rPr>
          <w:color w:val="231F20"/>
        </w:rPr>
        <w:t>en </w:t>
      </w:r>
      <w:r>
        <w:rPr>
          <w:color w:val="231F20"/>
          <w:spacing w:val="3"/>
        </w:rPr>
        <w:t>modos </w:t>
      </w:r>
      <w:r>
        <w:rPr>
          <w:color w:val="231F20"/>
        </w:rPr>
        <w:t>de </w:t>
      </w:r>
      <w:r>
        <w:rPr>
          <w:color w:val="231F20"/>
          <w:spacing w:val="2"/>
        </w:rPr>
        <w:t>actuar </w:t>
      </w:r>
      <w:r>
        <w:rPr>
          <w:color w:val="231F20"/>
        </w:rPr>
        <w:t>y de </w:t>
      </w:r>
      <w:r>
        <w:rPr>
          <w:color w:val="231F20"/>
          <w:spacing w:val="2"/>
        </w:rPr>
        <w:t>valorar. </w:t>
      </w:r>
      <w:r>
        <w:rPr>
          <w:color w:val="231F20"/>
        </w:rPr>
        <w:t>La </w:t>
      </w:r>
      <w:r>
        <w:rPr>
          <w:color w:val="231F20"/>
          <w:spacing w:val="2"/>
        </w:rPr>
        <w:t>conciencia colectiva, </w:t>
      </w:r>
      <w:r>
        <w:rPr>
          <w:color w:val="231F20"/>
        </w:rPr>
        <w:t>de </w:t>
      </w:r>
      <w:r>
        <w:rPr>
          <w:color w:val="231F20"/>
          <w:spacing w:val="2"/>
        </w:rPr>
        <w:t>manera similar </w:t>
      </w:r>
      <w:r>
        <w:rPr>
          <w:color w:val="231F20"/>
        </w:rPr>
        <w:t>a la </w:t>
      </w:r>
      <w:r>
        <w:rPr>
          <w:color w:val="231F20"/>
          <w:spacing w:val="2"/>
        </w:rPr>
        <w:t>ideología, también está más apegada </w:t>
      </w:r>
      <w:r>
        <w:rPr>
          <w:color w:val="231F20"/>
        </w:rPr>
        <w:t>a un </w:t>
      </w:r>
      <w:r>
        <w:rPr>
          <w:color w:val="231F20"/>
          <w:spacing w:val="2"/>
        </w:rPr>
        <w:t>grupo social que </w:t>
      </w:r>
      <w:r>
        <w:rPr>
          <w:color w:val="231F20"/>
          <w:spacing w:val="3"/>
        </w:rPr>
        <w:t>desempeña </w:t>
      </w:r>
      <w:r>
        <w:rPr>
          <w:color w:val="231F20"/>
          <w:spacing w:val="2"/>
        </w:rPr>
        <w:t>una </w:t>
      </w:r>
      <w:r>
        <w:rPr>
          <w:color w:val="231F20"/>
          <w:spacing w:val="3"/>
        </w:rPr>
        <w:t>función </w:t>
      </w:r>
      <w:r>
        <w:rPr>
          <w:color w:val="231F20"/>
          <w:spacing w:val="2"/>
        </w:rPr>
        <w:t>social </w:t>
      </w:r>
      <w:r>
        <w:rPr>
          <w:color w:val="231F20"/>
          <w:spacing w:val="3"/>
        </w:rPr>
        <w:t>fundamental </w:t>
      </w:r>
      <w:r>
        <w:rPr>
          <w:color w:val="231F20"/>
          <w:spacing w:val="2"/>
        </w:rPr>
        <w:t>para </w:t>
      </w:r>
      <w:r>
        <w:rPr>
          <w:color w:val="231F20"/>
        </w:rPr>
        <w:t>esa </w:t>
      </w:r>
      <w:r>
        <w:rPr>
          <w:color w:val="231F20"/>
          <w:spacing w:val="2"/>
        </w:rPr>
        <w:t>colectividad </w:t>
      </w:r>
      <w:r>
        <w:rPr>
          <w:color w:val="231F20"/>
        </w:rPr>
        <w:t>y </w:t>
      </w:r>
      <w:r>
        <w:rPr>
          <w:color w:val="231F20"/>
          <w:spacing w:val="3"/>
        </w:rPr>
        <w:t>momento, </w:t>
      </w:r>
      <w:r>
        <w:rPr>
          <w:color w:val="231F20"/>
          <w:spacing w:val="2"/>
        </w:rPr>
        <w:t>por ejemplo, </w:t>
      </w:r>
      <w:r>
        <w:rPr>
          <w:color w:val="231F20"/>
        </w:rPr>
        <w:t>en </w:t>
      </w:r>
      <w:r>
        <w:rPr>
          <w:color w:val="231F20"/>
          <w:spacing w:val="2"/>
        </w:rPr>
        <w:t>algún tiempo-lugar, los sacerdotes: conciencia colectiva del pecado </w:t>
      </w:r>
      <w:r>
        <w:rPr>
          <w:color w:val="231F20"/>
        </w:rPr>
        <w:t>y la </w:t>
      </w:r>
      <w:r>
        <w:rPr>
          <w:color w:val="231F20"/>
          <w:spacing w:val="2"/>
        </w:rPr>
        <w:t>resurrección </w:t>
      </w:r>
      <w:r>
        <w:rPr>
          <w:color w:val="231F20"/>
        </w:rPr>
        <w:t>del </w:t>
      </w:r>
      <w:r>
        <w:rPr>
          <w:color w:val="231F20"/>
          <w:spacing w:val="3"/>
        </w:rPr>
        <w:t>medioevo. </w:t>
      </w:r>
      <w:r>
        <w:rPr>
          <w:color w:val="231F20"/>
          <w:spacing w:val="2"/>
        </w:rPr>
        <w:t>Ideología </w:t>
      </w:r>
      <w:r>
        <w:rPr>
          <w:color w:val="231F20"/>
        </w:rPr>
        <w:t>o </w:t>
      </w:r>
      <w:r>
        <w:rPr>
          <w:color w:val="231F20"/>
          <w:spacing w:val="2"/>
        </w:rPr>
        <w:t>conciencia colectiva</w:t>
      </w:r>
      <w:r>
        <w:rPr>
          <w:color w:val="231F20"/>
          <w:spacing w:val="22"/>
        </w:rPr>
        <w:t> </w:t>
      </w:r>
      <w:r>
        <w:rPr>
          <w:color w:val="231F20"/>
        </w:rPr>
        <w:t>no</w:t>
      </w:r>
      <w:r>
        <w:rPr>
          <w:color w:val="231F20"/>
          <w:spacing w:val="22"/>
        </w:rPr>
        <w:t> </w:t>
      </w:r>
      <w:r>
        <w:rPr>
          <w:color w:val="231F20"/>
          <w:spacing w:val="2"/>
        </w:rPr>
        <w:t>son</w:t>
      </w:r>
      <w:r>
        <w:rPr>
          <w:color w:val="231F20"/>
          <w:spacing w:val="22"/>
        </w:rPr>
        <w:t> </w:t>
      </w:r>
      <w:r>
        <w:rPr>
          <w:color w:val="231F20"/>
          <w:spacing w:val="2"/>
        </w:rPr>
        <w:t>ajenas</w:t>
      </w:r>
      <w:r>
        <w:rPr>
          <w:color w:val="231F20"/>
          <w:spacing w:val="22"/>
        </w:rPr>
        <w:t> </w:t>
      </w:r>
      <w:r>
        <w:rPr>
          <w:color w:val="231F20"/>
        </w:rPr>
        <w:t>a</w:t>
      </w:r>
      <w:r>
        <w:rPr>
          <w:color w:val="231F20"/>
          <w:spacing w:val="22"/>
        </w:rPr>
        <w:t> </w:t>
      </w:r>
      <w:r>
        <w:rPr>
          <w:color w:val="231F20"/>
          <w:spacing w:val="2"/>
        </w:rPr>
        <w:t>intereses,</w:t>
      </w:r>
      <w:r>
        <w:rPr>
          <w:color w:val="231F20"/>
          <w:spacing w:val="21"/>
        </w:rPr>
        <w:t> </w:t>
      </w:r>
      <w:r>
        <w:rPr>
          <w:color w:val="231F20"/>
          <w:spacing w:val="2"/>
        </w:rPr>
        <w:t>aun</w:t>
      </w:r>
      <w:r>
        <w:rPr>
          <w:color w:val="231F20"/>
          <w:spacing w:val="22"/>
        </w:rPr>
        <w:t> </w:t>
      </w:r>
      <w:r>
        <w:rPr>
          <w:color w:val="231F20"/>
          <w:spacing w:val="3"/>
        </w:rPr>
        <w:t>cuando</w:t>
      </w:r>
      <w:r>
        <w:rPr>
          <w:color w:val="231F20"/>
          <w:spacing w:val="21"/>
        </w:rPr>
        <w:t> </w:t>
      </w:r>
      <w:r>
        <w:rPr>
          <w:color w:val="231F20"/>
          <w:spacing w:val="2"/>
        </w:rPr>
        <w:t>estos</w:t>
      </w:r>
      <w:r>
        <w:rPr>
          <w:color w:val="231F20"/>
          <w:spacing w:val="21"/>
        </w:rPr>
        <w:t> </w:t>
      </w:r>
      <w:r>
        <w:rPr>
          <w:color w:val="231F20"/>
        </w:rPr>
        <w:t>no</w:t>
      </w:r>
      <w:r>
        <w:rPr>
          <w:color w:val="231F20"/>
          <w:spacing w:val="22"/>
        </w:rPr>
        <w:t> </w:t>
      </w:r>
      <w:r>
        <w:rPr>
          <w:color w:val="231F20"/>
          <w:spacing w:val="2"/>
        </w:rPr>
        <w:t>sean</w:t>
      </w:r>
      <w:r>
        <w:rPr>
          <w:color w:val="231F20"/>
          <w:spacing w:val="22"/>
        </w:rPr>
        <w:t> </w:t>
      </w:r>
      <w:r>
        <w:rPr>
          <w:color w:val="231F20"/>
          <w:spacing w:val="2"/>
        </w:rPr>
        <w:t>del</w:t>
      </w:r>
    </w:p>
    <w:p>
      <w:pPr>
        <w:spacing w:after="0" w:line="249" w:lineRule="auto"/>
        <w:jc w:val="both"/>
        <w:sectPr>
          <w:headerReference w:type="default" r:id="rId369"/>
          <w:footerReference w:type="default" r:id="rId370"/>
          <w:pgSz w:w="7830" w:h="11910"/>
          <w:pgMar w:header="0" w:footer="424" w:top="500" w:bottom="620" w:left="920" w:right="900"/>
          <w:pgNumType w:start="17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20"/>
        <w:jc w:val="both"/>
      </w:pPr>
      <w:r>
        <w:rPr>
          <w:color w:val="231F20"/>
        </w:rPr>
        <w:t>todo nítidos para la mayoría de los miembros de la sociedad: permanecen ocultos.</w:t>
      </w:r>
    </w:p>
    <w:p>
      <w:pPr>
        <w:pStyle w:val="BodyText"/>
        <w:spacing w:line="249" w:lineRule="auto" w:before="1"/>
        <w:ind w:left="101" w:right="118" w:firstLine="284"/>
        <w:jc w:val="both"/>
      </w:pPr>
      <w:r>
        <w:rPr>
          <w:color w:val="231F20"/>
        </w:rPr>
        <w:t>La ideología, de manera similar a la conciencia colectiva, tiene la función social de cohesionar y de mover a la acción a los individuos, a las clases y a los grupos sociales. Los individuos, grupos o clases sociales, no tienen pleno conocimiento de la ideología o conciencia colectiva que encarnan, darían la vida por ella, ignorando cuál es su origen y su función social: beneficiar a unas clases-grupos sociales sobre otros. Ideología o conciencia colectiva deforman la realidad, son falsas representaciones de la realidad natural o social.</w:t>
      </w:r>
    </w:p>
    <w:p>
      <w:pPr>
        <w:pStyle w:val="BodyText"/>
        <w:spacing w:line="249" w:lineRule="auto"/>
        <w:ind w:left="101" w:right="119" w:firstLine="284"/>
        <w:jc w:val="both"/>
      </w:pPr>
      <w:r>
        <w:rPr>
          <w:color w:val="231F20"/>
        </w:rPr>
        <w:t>La </w:t>
      </w:r>
      <w:r>
        <w:rPr>
          <w:color w:val="231F20"/>
          <w:spacing w:val="2"/>
        </w:rPr>
        <w:t>ideología, </w:t>
      </w:r>
      <w:r>
        <w:rPr>
          <w:color w:val="231F20"/>
        </w:rPr>
        <w:t>al </w:t>
      </w:r>
      <w:r>
        <w:rPr>
          <w:color w:val="231F20"/>
          <w:spacing w:val="2"/>
        </w:rPr>
        <w:t>igual </w:t>
      </w:r>
      <w:r>
        <w:rPr>
          <w:color w:val="231F20"/>
        </w:rPr>
        <w:t>que la </w:t>
      </w:r>
      <w:r>
        <w:rPr>
          <w:color w:val="231F20"/>
          <w:spacing w:val="2"/>
        </w:rPr>
        <w:t>conciencia colectiva, </w:t>
      </w:r>
      <w:r>
        <w:rPr>
          <w:color w:val="231F20"/>
        </w:rPr>
        <w:t>no </w:t>
      </w:r>
      <w:r>
        <w:rPr>
          <w:color w:val="231F20"/>
          <w:spacing w:val="2"/>
        </w:rPr>
        <w:t>depende  </w:t>
      </w:r>
      <w:r>
        <w:rPr>
          <w:color w:val="231F20"/>
        </w:rPr>
        <w:t>de </w:t>
      </w:r>
      <w:r>
        <w:rPr>
          <w:color w:val="231F20"/>
          <w:spacing w:val="2"/>
        </w:rPr>
        <w:t>individuos, más bien, está </w:t>
      </w:r>
      <w:r>
        <w:rPr>
          <w:color w:val="231F20"/>
          <w:spacing w:val="3"/>
        </w:rPr>
        <w:t>determinada </w:t>
      </w:r>
      <w:r>
        <w:rPr>
          <w:color w:val="231F20"/>
          <w:spacing w:val="2"/>
        </w:rPr>
        <w:t>por </w:t>
      </w:r>
      <w:r>
        <w:rPr>
          <w:color w:val="231F20"/>
        </w:rPr>
        <w:t>las </w:t>
      </w:r>
      <w:r>
        <w:rPr>
          <w:color w:val="231F20"/>
          <w:spacing w:val="3"/>
        </w:rPr>
        <w:t>condiciones </w:t>
      </w:r>
      <w:r>
        <w:rPr>
          <w:color w:val="231F20"/>
        </w:rPr>
        <w:t>de   la </w:t>
      </w:r>
      <w:r>
        <w:rPr>
          <w:color w:val="231F20"/>
          <w:spacing w:val="2"/>
        </w:rPr>
        <w:t>existencia </w:t>
      </w:r>
      <w:r>
        <w:rPr>
          <w:color w:val="231F20"/>
          <w:spacing w:val="3"/>
        </w:rPr>
        <w:t>humana (Durkheim) </w:t>
      </w:r>
      <w:r>
        <w:rPr>
          <w:color w:val="231F20"/>
        </w:rPr>
        <w:t>o </w:t>
      </w:r>
      <w:r>
        <w:rPr>
          <w:color w:val="231F20"/>
          <w:spacing w:val="2"/>
        </w:rPr>
        <w:t>por </w:t>
      </w:r>
      <w:r>
        <w:rPr>
          <w:color w:val="231F20"/>
        </w:rPr>
        <w:t>la </w:t>
      </w:r>
      <w:r>
        <w:rPr>
          <w:color w:val="231F20"/>
          <w:spacing w:val="2"/>
        </w:rPr>
        <w:t>estructura </w:t>
      </w:r>
      <w:r>
        <w:rPr>
          <w:color w:val="231F20"/>
          <w:spacing w:val="3"/>
        </w:rPr>
        <w:t>económica </w:t>
      </w:r>
      <w:r>
        <w:rPr>
          <w:color w:val="231F20"/>
          <w:spacing w:val="2"/>
        </w:rPr>
        <w:t>(Marx); </w:t>
      </w:r>
      <w:r>
        <w:rPr>
          <w:color w:val="231F20"/>
        </w:rPr>
        <w:t>en </w:t>
      </w:r>
      <w:r>
        <w:rPr>
          <w:color w:val="231F20"/>
          <w:spacing w:val="3"/>
        </w:rPr>
        <w:t>ambos </w:t>
      </w:r>
      <w:r>
        <w:rPr>
          <w:color w:val="231F20"/>
          <w:spacing w:val="2"/>
        </w:rPr>
        <w:t>casos, ideología </w:t>
      </w:r>
      <w:r>
        <w:rPr>
          <w:color w:val="231F20"/>
        </w:rPr>
        <w:t>o </w:t>
      </w:r>
      <w:r>
        <w:rPr>
          <w:color w:val="231F20"/>
          <w:spacing w:val="2"/>
        </w:rPr>
        <w:t>conciencia colectiva, tienen vida propia </w:t>
      </w:r>
      <w:r>
        <w:rPr>
          <w:color w:val="231F20"/>
        </w:rPr>
        <w:t>y </w:t>
      </w:r>
      <w:r>
        <w:rPr>
          <w:color w:val="231F20"/>
          <w:spacing w:val="2"/>
        </w:rPr>
        <w:t>vinculan </w:t>
      </w:r>
      <w:r>
        <w:rPr>
          <w:color w:val="231F20"/>
        </w:rPr>
        <w:t>a las </w:t>
      </w:r>
      <w:r>
        <w:rPr>
          <w:color w:val="231F20"/>
          <w:spacing w:val="2"/>
        </w:rPr>
        <w:t>generaciones </w:t>
      </w:r>
      <w:r>
        <w:rPr>
          <w:color w:val="231F20"/>
        </w:rPr>
        <w:t>de </w:t>
      </w:r>
      <w:r>
        <w:rPr>
          <w:color w:val="231F20"/>
          <w:spacing w:val="2"/>
        </w:rPr>
        <w:t>una sociedad </w:t>
      </w:r>
      <w:r>
        <w:rPr>
          <w:color w:val="231F20"/>
        </w:rPr>
        <w:t>o </w:t>
      </w:r>
      <w:r>
        <w:rPr>
          <w:color w:val="231F20"/>
          <w:spacing w:val="3"/>
        </w:rPr>
        <w:t>formación </w:t>
      </w:r>
      <w:r>
        <w:rPr>
          <w:color w:val="231F20"/>
          <w:spacing w:val="2"/>
        </w:rPr>
        <w:t>social. Conciencia colectiva </w:t>
      </w:r>
      <w:r>
        <w:rPr>
          <w:color w:val="231F20"/>
        </w:rPr>
        <w:t>o </w:t>
      </w:r>
      <w:r>
        <w:rPr>
          <w:color w:val="231F20"/>
          <w:spacing w:val="2"/>
        </w:rPr>
        <w:t>ideología son históricas, </w:t>
      </w:r>
      <w:r>
        <w:rPr>
          <w:color w:val="231F20"/>
        </w:rPr>
        <w:t>no </w:t>
      </w:r>
      <w:r>
        <w:rPr>
          <w:color w:val="231F20"/>
          <w:spacing w:val="2"/>
        </w:rPr>
        <w:t>son</w:t>
      </w:r>
      <w:r>
        <w:rPr>
          <w:color w:val="231F20"/>
          <w:spacing w:val="21"/>
        </w:rPr>
        <w:t> </w:t>
      </w:r>
      <w:r>
        <w:rPr>
          <w:color w:val="231F20"/>
          <w:spacing w:val="2"/>
        </w:rPr>
        <w:t>inamovibles.</w:t>
      </w:r>
    </w:p>
    <w:p>
      <w:pPr>
        <w:pStyle w:val="BodyText"/>
        <w:spacing w:line="240" w:lineRule="exact"/>
        <w:ind w:left="385" w:right="56"/>
      </w:pPr>
      <w:r>
        <w:rPr>
          <w:color w:val="231F20"/>
        </w:rPr>
        <w:t>Lo </w:t>
      </w:r>
      <w:r>
        <w:rPr>
          <w:color w:val="231F20"/>
          <w:spacing w:val="2"/>
        </w:rPr>
        <w:t>colectivo </w:t>
      </w:r>
      <w:r>
        <w:rPr>
          <w:color w:val="231F20"/>
        </w:rPr>
        <w:t>es </w:t>
      </w:r>
      <w:r>
        <w:rPr>
          <w:color w:val="231F20"/>
          <w:spacing w:val="2"/>
        </w:rPr>
        <w:t>diferente </w:t>
      </w:r>
      <w:r>
        <w:rPr>
          <w:color w:val="231F20"/>
        </w:rPr>
        <w:t>de lo </w:t>
      </w:r>
      <w:r>
        <w:rPr>
          <w:color w:val="231F20"/>
          <w:spacing w:val="2"/>
        </w:rPr>
        <w:t>social </w:t>
      </w:r>
      <w:r>
        <w:rPr>
          <w:color w:val="231F20"/>
          <w:spacing w:val="3"/>
        </w:rPr>
        <w:t>(Durkheim). </w:t>
      </w:r>
      <w:r>
        <w:rPr>
          <w:color w:val="231F20"/>
        </w:rPr>
        <w:t>La </w:t>
      </w:r>
      <w:r>
        <w:rPr>
          <w:color w:val="231F20"/>
          <w:spacing w:val="50"/>
        </w:rPr>
        <w:t> </w:t>
      </w:r>
      <w:r>
        <w:rPr>
          <w:color w:val="231F20"/>
          <w:spacing w:val="3"/>
        </w:rPr>
        <w:t>sociedad</w:t>
      </w:r>
    </w:p>
    <w:p>
      <w:pPr>
        <w:pStyle w:val="BodyText"/>
        <w:spacing w:line="247" w:lineRule="auto" w:before="8"/>
        <w:ind w:left="102" w:right="115" w:hanging="1"/>
        <w:jc w:val="both"/>
      </w:pPr>
      <w:r>
        <w:rPr>
          <w:color w:val="231F20"/>
          <w:spacing w:val="3"/>
        </w:rPr>
        <w:t>–formación económico-social– </w:t>
      </w:r>
      <w:r>
        <w:rPr>
          <w:color w:val="231F20"/>
        </w:rPr>
        <w:t>es un </w:t>
      </w:r>
      <w:r>
        <w:rPr>
          <w:color w:val="231F20"/>
          <w:spacing w:val="2"/>
        </w:rPr>
        <w:t>sistema que </w:t>
      </w:r>
      <w:r>
        <w:rPr>
          <w:color w:val="231F20"/>
          <w:spacing w:val="3"/>
        </w:rPr>
        <w:t>subsume </w:t>
      </w:r>
      <w:r>
        <w:rPr>
          <w:color w:val="231F20"/>
        </w:rPr>
        <w:t>a las </w:t>
      </w:r>
      <w:r>
        <w:rPr>
          <w:color w:val="231F20"/>
          <w:spacing w:val="2"/>
        </w:rPr>
        <w:t>clases sociales. Marx </w:t>
      </w:r>
      <w:r>
        <w:rPr>
          <w:color w:val="231F20"/>
        </w:rPr>
        <w:t>y </w:t>
      </w:r>
      <w:r>
        <w:rPr>
          <w:color w:val="231F20"/>
          <w:spacing w:val="3"/>
        </w:rPr>
        <w:t>Durkheim </w:t>
      </w:r>
      <w:r>
        <w:rPr>
          <w:color w:val="231F20"/>
          <w:spacing w:val="2"/>
        </w:rPr>
        <w:t>insinuaron una visión </w:t>
      </w:r>
      <w:r>
        <w:rPr>
          <w:color w:val="231F20"/>
          <w:spacing w:val="3"/>
        </w:rPr>
        <w:t>sistémica: </w:t>
      </w:r>
      <w:r>
        <w:rPr>
          <w:color w:val="231F20"/>
        </w:rPr>
        <w:t>un </w:t>
      </w:r>
      <w:r>
        <w:rPr>
          <w:color w:val="231F20"/>
          <w:spacing w:val="2"/>
        </w:rPr>
        <w:t>sistema </w:t>
      </w:r>
      <w:r>
        <w:rPr>
          <w:color w:val="231F20"/>
          <w:spacing w:val="3"/>
        </w:rPr>
        <w:t>mayor </w:t>
      </w:r>
      <w:r>
        <w:rPr>
          <w:color w:val="231F20"/>
        </w:rPr>
        <w:t>(lo </w:t>
      </w:r>
      <w:r>
        <w:rPr>
          <w:color w:val="231F20"/>
          <w:spacing w:val="2"/>
        </w:rPr>
        <w:t>colectivo </w:t>
      </w:r>
      <w:r>
        <w:rPr>
          <w:color w:val="231F20"/>
        </w:rPr>
        <w:t>o la </w:t>
      </w:r>
      <w:r>
        <w:rPr>
          <w:color w:val="231F20"/>
          <w:spacing w:val="3"/>
        </w:rPr>
        <w:t>formación económico-social),  </w:t>
      </w:r>
      <w:r>
        <w:rPr>
          <w:color w:val="231F20"/>
        </w:rPr>
        <w:t>y </w:t>
      </w:r>
      <w:r>
        <w:rPr>
          <w:color w:val="231F20"/>
          <w:spacing w:val="2"/>
        </w:rPr>
        <w:t>otro </w:t>
      </w:r>
      <w:r>
        <w:rPr>
          <w:color w:val="231F20"/>
          <w:spacing w:val="3"/>
        </w:rPr>
        <w:t>menor </w:t>
      </w:r>
      <w:r>
        <w:rPr>
          <w:color w:val="231F20"/>
          <w:spacing w:val="2"/>
        </w:rPr>
        <w:t>(grupo </w:t>
      </w:r>
      <w:r>
        <w:rPr>
          <w:color w:val="231F20"/>
        </w:rPr>
        <w:t>o </w:t>
      </w:r>
      <w:r>
        <w:rPr>
          <w:color w:val="231F20"/>
          <w:spacing w:val="2"/>
        </w:rPr>
        <w:t>clase</w:t>
      </w:r>
      <w:r>
        <w:rPr>
          <w:color w:val="231F20"/>
          <w:spacing w:val="10"/>
        </w:rPr>
        <w:t> </w:t>
      </w:r>
      <w:r>
        <w:rPr>
          <w:color w:val="231F20"/>
          <w:spacing w:val="2"/>
        </w:rPr>
        <w:t>social).</w:t>
      </w:r>
    </w:p>
    <w:p>
      <w:pPr>
        <w:pStyle w:val="BodyText"/>
        <w:spacing w:line="247" w:lineRule="auto" w:before="1"/>
        <w:ind w:left="102" w:right="117" w:firstLine="284"/>
        <w:jc w:val="both"/>
      </w:pPr>
      <w:r>
        <w:rPr>
          <w:color w:val="231F20"/>
        </w:rPr>
        <w:t>Conciencia colectiva o ideología no son conceptos ajenos a contradicciones y a conformarse por otros subsistemas que, en momentos los apoyan o, bien, son reacios a sus representaciones. Ambas cohesionan y experimentan conflictos  con representaciones de grupos o clases sociales.</w:t>
      </w:r>
    </w:p>
    <w:p>
      <w:pPr>
        <w:pStyle w:val="BodyText"/>
        <w:spacing w:line="249" w:lineRule="auto" w:before="1"/>
        <w:ind w:left="102" w:right="116"/>
        <w:jc w:val="both"/>
      </w:pPr>
      <w:r>
        <w:rPr>
          <w:color w:val="231F20"/>
          <w:spacing w:val="2"/>
        </w:rPr>
        <w:t>Ideología </w:t>
      </w:r>
      <w:r>
        <w:rPr>
          <w:color w:val="231F20"/>
          <w:spacing w:val="3"/>
        </w:rPr>
        <w:t>dominante </w:t>
      </w:r>
      <w:r>
        <w:rPr>
          <w:color w:val="231F20"/>
        </w:rPr>
        <w:t>o </w:t>
      </w:r>
      <w:r>
        <w:rPr>
          <w:color w:val="231F20"/>
          <w:spacing w:val="2"/>
        </w:rPr>
        <w:t>conciencia colectiva </w:t>
      </w:r>
      <w:r>
        <w:rPr>
          <w:color w:val="231F20"/>
        </w:rPr>
        <w:t>no </w:t>
      </w:r>
      <w:r>
        <w:rPr>
          <w:color w:val="231F20"/>
          <w:spacing w:val="2"/>
        </w:rPr>
        <w:t>son toda </w:t>
      </w:r>
      <w:r>
        <w:rPr>
          <w:color w:val="231F20"/>
        </w:rPr>
        <w:t>la </w:t>
      </w:r>
      <w:r>
        <w:rPr>
          <w:color w:val="231F20"/>
          <w:spacing w:val="2"/>
        </w:rPr>
        <w:t>conciencia social; </w:t>
      </w:r>
      <w:r>
        <w:rPr>
          <w:color w:val="231F20"/>
        </w:rPr>
        <w:t>en </w:t>
      </w:r>
      <w:r>
        <w:rPr>
          <w:color w:val="231F20"/>
          <w:spacing w:val="2"/>
        </w:rPr>
        <w:t>algunos casos constituyen una parte restringida </w:t>
      </w:r>
      <w:r>
        <w:rPr>
          <w:color w:val="231F20"/>
        </w:rPr>
        <w:t>de </w:t>
      </w:r>
      <w:r>
        <w:rPr>
          <w:color w:val="231F20"/>
          <w:spacing w:val="2"/>
        </w:rPr>
        <w:t>esta, </w:t>
      </w:r>
      <w:r>
        <w:rPr>
          <w:color w:val="231F20"/>
        </w:rPr>
        <w:t>ya sea </w:t>
      </w:r>
      <w:r>
        <w:rPr>
          <w:color w:val="231F20"/>
          <w:spacing w:val="3"/>
        </w:rPr>
        <w:t>–como </w:t>
      </w:r>
      <w:r>
        <w:rPr>
          <w:color w:val="231F20"/>
          <w:spacing w:val="2"/>
        </w:rPr>
        <w:t>señaló </w:t>
      </w:r>
      <w:r>
        <w:rPr>
          <w:color w:val="231F20"/>
          <w:spacing w:val="3"/>
        </w:rPr>
        <w:t>Durkheim–  porque </w:t>
      </w:r>
      <w:r>
        <w:rPr>
          <w:color w:val="231F20"/>
          <w:spacing w:val="2"/>
        </w:rPr>
        <w:t>existen sistemas </w:t>
      </w:r>
      <w:r>
        <w:rPr>
          <w:color w:val="231F20"/>
        </w:rPr>
        <w:t>de </w:t>
      </w:r>
      <w:r>
        <w:rPr>
          <w:color w:val="231F20"/>
          <w:spacing w:val="2"/>
        </w:rPr>
        <w:t>representación </w:t>
      </w:r>
      <w:r>
        <w:rPr>
          <w:color w:val="231F20"/>
        </w:rPr>
        <w:t>de </w:t>
      </w:r>
      <w:r>
        <w:rPr>
          <w:color w:val="231F20"/>
          <w:spacing w:val="3"/>
        </w:rPr>
        <w:t>grupos </w:t>
      </w:r>
      <w:r>
        <w:rPr>
          <w:color w:val="231F20"/>
          <w:spacing w:val="2"/>
        </w:rPr>
        <w:t>sociales que realizan </w:t>
      </w:r>
      <w:r>
        <w:rPr>
          <w:color w:val="231F20"/>
          <w:spacing w:val="3"/>
        </w:rPr>
        <w:t>determinadas funciones </w:t>
      </w:r>
      <w:r>
        <w:rPr>
          <w:color w:val="231F20"/>
          <w:spacing w:val="2"/>
        </w:rPr>
        <w:t>sociales </w:t>
      </w:r>
      <w:r>
        <w:rPr>
          <w:color w:val="231F20"/>
          <w:spacing w:val="3"/>
        </w:rPr>
        <w:t>(médicos </w:t>
      </w:r>
      <w:r>
        <w:rPr>
          <w:color w:val="231F20"/>
        </w:rPr>
        <w:t>o </w:t>
      </w:r>
      <w:r>
        <w:rPr>
          <w:color w:val="231F20"/>
          <w:spacing w:val="3"/>
        </w:rPr>
        <w:t>abogados, </w:t>
      </w:r>
      <w:r>
        <w:rPr>
          <w:color w:val="231F20"/>
          <w:spacing w:val="2"/>
        </w:rPr>
        <w:t>por caso),  </w:t>
      </w:r>
      <w:r>
        <w:rPr>
          <w:color w:val="231F20"/>
        </w:rPr>
        <w:t>o </w:t>
      </w:r>
      <w:r>
        <w:rPr>
          <w:color w:val="231F20"/>
          <w:spacing w:val="2"/>
        </w:rPr>
        <w:t>bien porque existen </w:t>
      </w:r>
      <w:r>
        <w:rPr>
          <w:color w:val="231F20"/>
          <w:spacing w:val="3"/>
        </w:rPr>
        <w:t>representaciones </w:t>
      </w:r>
      <w:r>
        <w:rPr>
          <w:color w:val="231F20"/>
          <w:spacing w:val="2"/>
        </w:rPr>
        <w:t>sociales </w:t>
      </w:r>
      <w:r>
        <w:rPr>
          <w:color w:val="231F20"/>
        </w:rPr>
        <w:t>de </w:t>
      </w:r>
      <w:r>
        <w:rPr>
          <w:color w:val="231F20"/>
          <w:spacing w:val="2"/>
        </w:rPr>
        <w:t>fracciones </w:t>
      </w:r>
      <w:r>
        <w:rPr>
          <w:color w:val="231F20"/>
        </w:rPr>
        <w:t>de </w:t>
      </w:r>
      <w:r>
        <w:rPr>
          <w:color w:val="231F20"/>
          <w:spacing w:val="2"/>
        </w:rPr>
        <w:t>clase </w:t>
      </w:r>
      <w:r>
        <w:rPr>
          <w:color w:val="231F20"/>
        </w:rPr>
        <w:t>o </w:t>
      </w:r>
      <w:r>
        <w:rPr>
          <w:color w:val="231F20"/>
          <w:spacing w:val="2"/>
        </w:rPr>
        <w:t>clases que son distintos </w:t>
      </w:r>
      <w:r>
        <w:rPr>
          <w:color w:val="231F20"/>
        </w:rPr>
        <w:t>al </w:t>
      </w:r>
      <w:r>
        <w:rPr>
          <w:color w:val="231F20"/>
          <w:spacing w:val="3"/>
        </w:rPr>
        <w:t>conjunto mayor </w:t>
      </w:r>
      <w:r>
        <w:rPr>
          <w:color w:val="231F20"/>
          <w:spacing w:val="2"/>
        </w:rPr>
        <w:t>(conciencia</w:t>
      </w:r>
      <w:r>
        <w:rPr>
          <w:color w:val="231F20"/>
          <w:spacing w:val="56"/>
        </w:rPr>
        <w:t> </w:t>
      </w:r>
      <w:r>
        <w:rPr>
          <w:color w:val="231F20"/>
          <w:spacing w:val="2"/>
        </w:rPr>
        <w:t>colectiva </w:t>
      </w:r>
      <w:r>
        <w:rPr>
          <w:color w:val="231F20"/>
        </w:rPr>
        <w:t>o </w:t>
      </w:r>
      <w:r>
        <w:rPr>
          <w:color w:val="231F20"/>
          <w:spacing w:val="2"/>
        </w:rPr>
        <w:t>ideología). </w:t>
      </w:r>
      <w:r>
        <w:rPr>
          <w:color w:val="231F20"/>
          <w:spacing w:val="3"/>
        </w:rPr>
        <w:t>Grupos </w:t>
      </w:r>
      <w:r>
        <w:rPr>
          <w:color w:val="231F20"/>
        </w:rPr>
        <w:t>o </w:t>
      </w:r>
      <w:r>
        <w:rPr>
          <w:color w:val="231F20"/>
          <w:spacing w:val="2"/>
        </w:rPr>
        <w:t>clases sociales generan </w:t>
      </w:r>
      <w:r>
        <w:rPr>
          <w:color w:val="231F20"/>
          <w:spacing w:val="3"/>
        </w:rPr>
        <w:t>sistemas</w:t>
      </w:r>
      <w:r>
        <w:rPr>
          <w:color w:val="231F20"/>
          <w:spacing w:val="58"/>
        </w:rPr>
        <w:t> </w:t>
      </w:r>
      <w:r>
        <w:rPr>
          <w:color w:val="231F20"/>
        </w:rPr>
        <w:t>de </w:t>
      </w:r>
      <w:r>
        <w:rPr>
          <w:color w:val="231F20"/>
          <w:spacing w:val="3"/>
        </w:rPr>
        <w:t>representaciones </w:t>
      </w:r>
      <w:r>
        <w:rPr>
          <w:color w:val="231F20"/>
          <w:spacing w:val="2"/>
        </w:rPr>
        <w:t>sociales, estos </w:t>
      </w:r>
      <w:r>
        <w:rPr>
          <w:color w:val="231F20"/>
        </w:rPr>
        <w:t>no </w:t>
      </w:r>
      <w:r>
        <w:rPr>
          <w:color w:val="231F20"/>
          <w:spacing w:val="2"/>
        </w:rPr>
        <w:t>siempre coinciden con </w:t>
      </w:r>
      <w:r>
        <w:rPr>
          <w:color w:val="231F20"/>
        </w:rPr>
        <w:t>la </w:t>
      </w:r>
      <w:r>
        <w:rPr>
          <w:color w:val="231F20"/>
          <w:spacing w:val="2"/>
        </w:rPr>
        <w:t>conciencia colectiva </w:t>
      </w:r>
      <w:r>
        <w:rPr>
          <w:color w:val="231F20"/>
        </w:rPr>
        <w:t>o de la </w:t>
      </w:r>
      <w:r>
        <w:rPr>
          <w:color w:val="231F20"/>
          <w:spacing w:val="2"/>
        </w:rPr>
        <w:t>ideología</w:t>
      </w:r>
      <w:r>
        <w:rPr>
          <w:color w:val="231F20"/>
          <w:spacing w:val="-14"/>
        </w:rPr>
        <w:t> </w:t>
      </w:r>
      <w:r>
        <w:rPr>
          <w:color w:val="231F20"/>
          <w:spacing w:val="3"/>
        </w:rPr>
        <w:t>dominante.</w:t>
      </w:r>
    </w:p>
    <w:p>
      <w:pPr>
        <w:spacing w:after="0" w:line="249" w:lineRule="auto"/>
        <w:jc w:val="both"/>
        <w:sectPr>
          <w:headerReference w:type="default" r:id="rId371"/>
          <w:footerReference w:type="default" r:id="rId372"/>
          <w:pgSz w:w="7830" w:h="11910"/>
          <w:pgMar w:header="0" w:footer="424" w:top="500" w:bottom="620" w:left="920" w:right="900"/>
          <w:pgNumType w:start="17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ListParagraph"/>
        <w:numPr>
          <w:ilvl w:val="2"/>
          <w:numId w:val="7"/>
        </w:numPr>
        <w:tabs>
          <w:tab w:pos="611" w:val="left" w:leader="none"/>
        </w:tabs>
        <w:spacing w:line="240" w:lineRule="auto" w:before="92" w:after="0"/>
        <w:ind w:left="610" w:right="0" w:hanging="508"/>
        <w:jc w:val="both"/>
        <w:rPr>
          <w:sz w:val="21"/>
        </w:rPr>
      </w:pPr>
      <w:r>
        <w:rPr>
          <w:i/>
          <w:color w:val="231F20"/>
          <w:w w:val="90"/>
          <w:sz w:val="21"/>
        </w:rPr>
        <w:t>Teoría</w:t>
      </w:r>
      <w:r>
        <w:rPr>
          <w:i/>
          <w:color w:val="231F20"/>
          <w:spacing w:val="-18"/>
          <w:w w:val="90"/>
          <w:sz w:val="21"/>
        </w:rPr>
        <w:t> </w:t>
      </w:r>
      <w:r>
        <w:rPr>
          <w:i/>
          <w:color w:val="231F20"/>
          <w:w w:val="90"/>
          <w:sz w:val="21"/>
        </w:rPr>
        <w:t>estructural</w:t>
      </w:r>
      <w:r>
        <w:rPr>
          <w:i/>
          <w:color w:val="231F20"/>
          <w:spacing w:val="-18"/>
          <w:w w:val="90"/>
          <w:sz w:val="21"/>
        </w:rPr>
        <w:t> </w:t>
      </w:r>
      <w:r>
        <w:rPr>
          <w:i/>
          <w:color w:val="231F20"/>
          <w:w w:val="90"/>
          <w:sz w:val="21"/>
        </w:rPr>
        <w:t>genética.</w:t>
      </w:r>
      <w:r>
        <w:rPr>
          <w:i/>
          <w:color w:val="231F20"/>
          <w:spacing w:val="-18"/>
          <w:w w:val="90"/>
          <w:sz w:val="21"/>
        </w:rPr>
        <w:t> </w:t>
      </w:r>
      <w:r>
        <w:rPr>
          <w:i/>
          <w:color w:val="231F20"/>
          <w:w w:val="90"/>
          <w:sz w:val="21"/>
        </w:rPr>
        <w:t>Campo,</w:t>
      </w:r>
      <w:r>
        <w:rPr>
          <w:i/>
          <w:color w:val="231F20"/>
          <w:spacing w:val="-17"/>
          <w:w w:val="90"/>
          <w:sz w:val="21"/>
        </w:rPr>
        <w:t> </w:t>
      </w:r>
      <w:r>
        <w:rPr>
          <w:color w:val="231F20"/>
          <w:w w:val="90"/>
          <w:sz w:val="21"/>
        </w:rPr>
        <w:t>habitus</w:t>
      </w:r>
      <w:r>
        <w:rPr>
          <w:color w:val="231F20"/>
          <w:spacing w:val="-17"/>
          <w:w w:val="90"/>
          <w:sz w:val="21"/>
        </w:rPr>
        <w:t> </w:t>
      </w:r>
      <w:r>
        <w:rPr>
          <w:i/>
          <w:color w:val="231F20"/>
          <w:w w:val="90"/>
          <w:sz w:val="21"/>
        </w:rPr>
        <w:t>e</w:t>
      </w:r>
      <w:r>
        <w:rPr>
          <w:i/>
          <w:color w:val="231F20"/>
          <w:spacing w:val="-18"/>
          <w:w w:val="90"/>
          <w:sz w:val="21"/>
        </w:rPr>
        <w:t> </w:t>
      </w:r>
      <w:r>
        <w:rPr>
          <w:color w:val="231F20"/>
          <w:w w:val="90"/>
          <w:sz w:val="21"/>
        </w:rPr>
        <w:t>illusio</w:t>
      </w:r>
    </w:p>
    <w:p>
      <w:pPr>
        <w:pStyle w:val="BodyText"/>
        <w:spacing w:before="1"/>
      </w:pPr>
    </w:p>
    <w:p>
      <w:pPr>
        <w:pStyle w:val="BodyText"/>
        <w:spacing w:line="247" w:lineRule="auto" w:before="1"/>
        <w:ind w:left="102" w:right="116"/>
        <w:jc w:val="both"/>
      </w:pPr>
      <w:r>
        <w:rPr>
          <w:color w:val="231F20"/>
        </w:rPr>
        <w:t>Las formas de ser y de valorar humanas, los </w:t>
      </w:r>
      <w:r>
        <w:rPr>
          <w:i/>
          <w:color w:val="231F20"/>
        </w:rPr>
        <w:t>habitus </w:t>
      </w:r>
      <w:r>
        <w:rPr>
          <w:color w:val="231F20"/>
        </w:rPr>
        <w:t>(concepto acuñado por Bourdieu 1990, 1991), son producciones histórico- sociales, que el individuo encarna y vive como propias al actuar en un campo. Son estructuras generadas en campos específicos, son historia vivida por otros, pero encarnada como propia por agentes sociales. El desplegar formas de ser y de valorar contribuye a  recrear lo que otros legaron, y a incorporar a quienes se incorporan  al campo. Los </w:t>
      </w:r>
      <w:r>
        <w:rPr>
          <w:i/>
          <w:color w:val="231F20"/>
        </w:rPr>
        <w:t>habitus, </w:t>
      </w:r>
      <w:r>
        <w:rPr>
          <w:color w:val="231F20"/>
        </w:rPr>
        <w:t>como la ideología, la conciencia colectiva o las representaciones sociales, tienen vida propia y son generadas en un campo: preexisten a la entrada de nuevos jugadores, y a su salida sobreviven, experimentan modificaciones, son históricas,orientan acciones y formas de valorar sin necesidad de grandes reflexiones,son como un resorte que impulsa a realizar y a valorar lo que debe ser hecho o apreciado, o a evitar lo inadmisible y prohibido.</w:t>
      </w:r>
    </w:p>
    <w:p>
      <w:pPr>
        <w:pStyle w:val="BodyText"/>
        <w:spacing w:line="247" w:lineRule="auto" w:before="15"/>
        <w:ind w:left="102" w:right="116" w:firstLine="284"/>
        <w:jc w:val="both"/>
      </w:pPr>
      <w:r>
        <w:rPr>
          <w:color w:val="231F20"/>
        </w:rPr>
        <w:t>El </w:t>
      </w:r>
      <w:r>
        <w:rPr>
          <w:color w:val="231F20"/>
          <w:spacing w:val="2"/>
        </w:rPr>
        <w:t>campo estructura </w:t>
      </w:r>
      <w:r>
        <w:rPr>
          <w:color w:val="231F20"/>
        </w:rPr>
        <w:t>a sus </w:t>
      </w:r>
      <w:r>
        <w:rPr>
          <w:color w:val="231F20"/>
          <w:spacing w:val="2"/>
        </w:rPr>
        <w:t>participantes para </w:t>
      </w:r>
      <w:r>
        <w:rPr>
          <w:color w:val="231F20"/>
        </w:rPr>
        <w:t>que </w:t>
      </w:r>
      <w:r>
        <w:rPr>
          <w:color w:val="231F20"/>
          <w:spacing w:val="2"/>
        </w:rPr>
        <w:t>sepan </w:t>
      </w:r>
      <w:r>
        <w:rPr>
          <w:color w:val="231F20"/>
        </w:rPr>
        <w:t>qué </w:t>
      </w:r>
      <w:r>
        <w:rPr>
          <w:color w:val="231F20"/>
          <w:spacing w:val="4"/>
        </w:rPr>
        <w:t>no </w:t>
      </w:r>
      <w:r>
        <w:rPr>
          <w:color w:val="231F20"/>
          <w:spacing w:val="2"/>
        </w:rPr>
        <w:t>pueden hacer </w:t>
      </w:r>
      <w:r>
        <w:rPr>
          <w:color w:val="231F20"/>
          <w:spacing w:val="3"/>
        </w:rPr>
        <w:t>impunemente. </w:t>
      </w:r>
      <w:r>
        <w:rPr>
          <w:color w:val="231F20"/>
          <w:spacing w:val="2"/>
        </w:rPr>
        <w:t>Las estructuras </w:t>
      </w:r>
      <w:r>
        <w:rPr>
          <w:color w:val="231F20"/>
        </w:rPr>
        <w:t>o </w:t>
      </w:r>
      <w:r>
        <w:rPr>
          <w:color w:val="231F20"/>
          <w:spacing w:val="2"/>
        </w:rPr>
        <w:t>reglas del juego permiten </w:t>
      </w:r>
      <w:r>
        <w:rPr>
          <w:color w:val="231F20"/>
          <w:spacing w:val="3"/>
        </w:rPr>
        <w:t>competir </w:t>
      </w:r>
      <w:r>
        <w:rPr>
          <w:color w:val="231F20"/>
          <w:spacing w:val="2"/>
        </w:rPr>
        <w:t>por </w:t>
      </w:r>
      <w:r>
        <w:rPr>
          <w:color w:val="231F20"/>
        </w:rPr>
        <w:t>la </w:t>
      </w:r>
      <w:r>
        <w:rPr>
          <w:color w:val="231F20"/>
          <w:spacing w:val="2"/>
        </w:rPr>
        <w:t>distinción </w:t>
      </w:r>
      <w:r>
        <w:rPr>
          <w:color w:val="231F20"/>
        </w:rPr>
        <w:t>de </w:t>
      </w:r>
      <w:r>
        <w:rPr>
          <w:color w:val="231F20"/>
          <w:spacing w:val="3"/>
        </w:rPr>
        <w:t>obtener </w:t>
      </w:r>
      <w:r>
        <w:rPr>
          <w:color w:val="231F20"/>
          <w:spacing w:val="2"/>
        </w:rPr>
        <w:t>bienes simbólicos: limitan </w:t>
      </w:r>
      <w:r>
        <w:rPr>
          <w:color w:val="231F20"/>
        </w:rPr>
        <w:t>y </w:t>
      </w:r>
      <w:r>
        <w:rPr>
          <w:color w:val="231F20"/>
          <w:spacing w:val="2"/>
        </w:rPr>
        <w:t>potencian acciones. Cada </w:t>
      </w:r>
      <w:r>
        <w:rPr>
          <w:color w:val="231F20"/>
          <w:spacing w:val="3"/>
        </w:rPr>
        <w:t>campo, </w:t>
      </w:r>
      <w:r>
        <w:rPr>
          <w:color w:val="231F20"/>
          <w:spacing w:val="2"/>
        </w:rPr>
        <w:t>para tener identidad, coherencia interna, </w:t>
      </w:r>
      <w:r>
        <w:rPr>
          <w:color w:val="231F20"/>
          <w:spacing w:val="3"/>
        </w:rPr>
        <w:t>determina </w:t>
      </w:r>
      <w:r>
        <w:rPr>
          <w:color w:val="231F20"/>
          <w:spacing w:val="2"/>
        </w:rPr>
        <w:t>acciones permisibles </w:t>
      </w:r>
      <w:r>
        <w:rPr>
          <w:color w:val="231F20"/>
        </w:rPr>
        <w:t>y </w:t>
      </w:r>
      <w:r>
        <w:rPr>
          <w:color w:val="231F20"/>
          <w:spacing w:val="2"/>
        </w:rPr>
        <w:t>detestables, </w:t>
      </w:r>
      <w:r>
        <w:rPr>
          <w:color w:val="231F20"/>
        </w:rPr>
        <w:t>lo </w:t>
      </w:r>
      <w:r>
        <w:rPr>
          <w:color w:val="231F20"/>
          <w:spacing w:val="2"/>
        </w:rPr>
        <w:t>que </w:t>
      </w:r>
      <w:r>
        <w:rPr>
          <w:color w:val="231F20"/>
        </w:rPr>
        <w:t>da </w:t>
      </w:r>
      <w:r>
        <w:rPr>
          <w:color w:val="231F20"/>
          <w:spacing w:val="2"/>
        </w:rPr>
        <w:t>fama </w:t>
      </w:r>
      <w:r>
        <w:rPr>
          <w:color w:val="231F20"/>
        </w:rPr>
        <w:t>y lo </w:t>
      </w:r>
      <w:r>
        <w:rPr>
          <w:color w:val="231F20"/>
          <w:spacing w:val="2"/>
        </w:rPr>
        <w:t>reprochable. </w:t>
      </w:r>
      <w:r>
        <w:rPr>
          <w:color w:val="231F20"/>
        </w:rPr>
        <w:t>El </w:t>
      </w:r>
      <w:r>
        <w:rPr>
          <w:color w:val="231F20"/>
          <w:spacing w:val="3"/>
        </w:rPr>
        <w:t>campo  </w:t>
      </w:r>
      <w:r>
        <w:rPr>
          <w:color w:val="231F20"/>
          <w:spacing w:val="2"/>
        </w:rPr>
        <w:t>ofrece  bienes simbólicos </w:t>
      </w:r>
      <w:r>
        <w:rPr>
          <w:color w:val="231F20"/>
        </w:rPr>
        <w:t>que sus </w:t>
      </w:r>
      <w:r>
        <w:rPr>
          <w:color w:val="231F20"/>
          <w:spacing w:val="2"/>
        </w:rPr>
        <w:t>agentes persiguen con </w:t>
      </w:r>
      <w:r>
        <w:rPr>
          <w:color w:val="231F20"/>
        </w:rPr>
        <w:t>la </w:t>
      </w:r>
      <w:r>
        <w:rPr>
          <w:i/>
          <w:color w:val="231F20"/>
        </w:rPr>
        <w:t>illusio </w:t>
      </w:r>
      <w:r>
        <w:rPr>
          <w:color w:val="231F20"/>
        </w:rPr>
        <w:t>de </w:t>
      </w:r>
      <w:r>
        <w:rPr>
          <w:color w:val="231F20"/>
          <w:spacing w:val="2"/>
        </w:rPr>
        <w:t>distinguirse  </w:t>
      </w:r>
      <w:r>
        <w:rPr>
          <w:color w:val="231F20"/>
        </w:rPr>
        <w:t>al </w:t>
      </w:r>
      <w:r>
        <w:rPr>
          <w:color w:val="231F20"/>
          <w:spacing w:val="3"/>
        </w:rPr>
        <w:t>obtenerlos. </w:t>
      </w:r>
      <w:r>
        <w:rPr>
          <w:color w:val="231F20"/>
        </w:rPr>
        <w:t>En un </w:t>
      </w:r>
      <w:r>
        <w:rPr>
          <w:color w:val="231F20"/>
          <w:spacing w:val="3"/>
        </w:rPr>
        <w:t>campo, </w:t>
      </w:r>
      <w:r>
        <w:rPr>
          <w:color w:val="231F20"/>
          <w:spacing w:val="2"/>
        </w:rPr>
        <w:t>para </w:t>
      </w:r>
      <w:r>
        <w:rPr>
          <w:color w:val="231F20"/>
        </w:rPr>
        <w:t>que </w:t>
      </w:r>
      <w:r>
        <w:rPr>
          <w:color w:val="231F20"/>
          <w:spacing w:val="2"/>
        </w:rPr>
        <w:t>suceda </w:t>
      </w:r>
      <w:r>
        <w:rPr>
          <w:color w:val="231F20"/>
        </w:rPr>
        <w:t>algo  en  </w:t>
      </w:r>
      <w:r>
        <w:rPr>
          <w:color w:val="231F20"/>
          <w:spacing w:val="2"/>
        </w:rPr>
        <w:t>lugar </w:t>
      </w:r>
      <w:r>
        <w:rPr>
          <w:color w:val="231F20"/>
        </w:rPr>
        <w:t>de  </w:t>
      </w:r>
      <w:r>
        <w:rPr>
          <w:color w:val="231F20"/>
          <w:spacing w:val="2"/>
        </w:rPr>
        <w:t>nada, existen bienes considerados valiosos, por los </w:t>
      </w:r>
      <w:r>
        <w:rPr>
          <w:color w:val="231F20"/>
        </w:rPr>
        <w:t>que vale  la  </w:t>
      </w:r>
      <w:r>
        <w:rPr>
          <w:color w:val="231F20"/>
          <w:spacing w:val="2"/>
        </w:rPr>
        <w:t>pena incluso </w:t>
      </w:r>
      <w:r>
        <w:rPr>
          <w:color w:val="231F20"/>
          <w:spacing w:val="3"/>
        </w:rPr>
        <w:t>exponer </w:t>
      </w:r>
      <w:r>
        <w:rPr>
          <w:color w:val="231F20"/>
        </w:rPr>
        <w:t>la vida </w:t>
      </w:r>
      <w:r>
        <w:rPr>
          <w:color w:val="231F20"/>
          <w:spacing w:val="2"/>
        </w:rPr>
        <w:t>para</w:t>
      </w:r>
      <w:r>
        <w:rPr>
          <w:color w:val="231F20"/>
          <w:spacing w:val="22"/>
        </w:rPr>
        <w:t> </w:t>
      </w:r>
      <w:r>
        <w:rPr>
          <w:color w:val="231F20"/>
          <w:spacing w:val="3"/>
        </w:rPr>
        <w:t>obtenerlos.</w:t>
      </w:r>
    </w:p>
    <w:p>
      <w:pPr>
        <w:pStyle w:val="BodyText"/>
        <w:spacing w:line="247" w:lineRule="auto" w:before="6"/>
        <w:ind w:left="102" w:right="114" w:firstLine="284"/>
        <w:jc w:val="both"/>
      </w:pPr>
      <w:r>
        <w:rPr>
          <w:color w:val="231F20"/>
        </w:rPr>
        <w:t>La </w:t>
      </w:r>
      <w:r>
        <w:rPr>
          <w:i/>
          <w:color w:val="231F20"/>
          <w:spacing w:val="2"/>
        </w:rPr>
        <w:t>illusio</w:t>
      </w:r>
      <w:r>
        <w:rPr>
          <w:color w:val="231F20"/>
          <w:spacing w:val="2"/>
        </w:rPr>
        <w:t>, </w:t>
      </w:r>
      <w:r>
        <w:rPr>
          <w:color w:val="231F20"/>
        </w:rPr>
        <w:t>la </w:t>
      </w:r>
      <w:r>
        <w:rPr>
          <w:color w:val="231F20"/>
          <w:spacing w:val="2"/>
        </w:rPr>
        <w:t>inversión </w:t>
      </w:r>
      <w:r>
        <w:rPr>
          <w:color w:val="231F20"/>
        </w:rPr>
        <w:t>de </w:t>
      </w:r>
      <w:r>
        <w:rPr>
          <w:color w:val="231F20"/>
          <w:spacing w:val="2"/>
        </w:rPr>
        <w:t>energía realizada por cada agente social </w:t>
      </w:r>
      <w:r>
        <w:rPr>
          <w:color w:val="231F20"/>
        </w:rPr>
        <w:t>es </w:t>
      </w:r>
      <w:r>
        <w:rPr>
          <w:color w:val="231F20"/>
          <w:spacing w:val="2"/>
        </w:rPr>
        <w:t>interés </w:t>
      </w:r>
      <w:r>
        <w:rPr>
          <w:color w:val="231F20"/>
        </w:rPr>
        <w:t>en el </w:t>
      </w:r>
      <w:r>
        <w:rPr>
          <w:color w:val="231F20"/>
          <w:spacing w:val="2"/>
        </w:rPr>
        <w:t>juego, </w:t>
      </w:r>
      <w:r>
        <w:rPr>
          <w:color w:val="231F20"/>
        </w:rPr>
        <w:t>es la </w:t>
      </w:r>
      <w:r>
        <w:rPr>
          <w:color w:val="231F20"/>
          <w:spacing w:val="2"/>
        </w:rPr>
        <w:t>creencia </w:t>
      </w:r>
      <w:r>
        <w:rPr>
          <w:color w:val="231F20"/>
        </w:rPr>
        <w:t>en el </w:t>
      </w:r>
      <w:r>
        <w:rPr>
          <w:color w:val="231F20"/>
          <w:spacing w:val="2"/>
        </w:rPr>
        <w:t>valor del </w:t>
      </w:r>
      <w:r>
        <w:rPr>
          <w:color w:val="231F20"/>
          <w:spacing w:val="3"/>
        </w:rPr>
        <w:t>bien </w:t>
      </w:r>
      <w:r>
        <w:rPr>
          <w:color w:val="231F20"/>
          <w:spacing w:val="2"/>
        </w:rPr>
        <w:t>simbólico </w:t>
      </w:r>
      <w:r>
        <w:rPr>
          <w:color w:val="231F20"/>
        </w:rPr>
        <w:t>y la </w:t>
      </w:r>
      <w:r>
        <w:rPr>
          <w:color w:val="231F20"/>
          <w:spacing w:val="2"/>
        </w:rPr>
        <w:t>necesidad </w:t>
      </w:r>
      <w:r>
        <w:rPr>
          <w:color w:val="231F20"/>
        </w:rPr>
        <w:t>de </w:t>
      </w:r>
      <w:r>
        <w:rPr>
          <w:color w:val="231F20"/>
          <w:spacing w:val="2"/>
        </w:rPr>
        <w:t>actuar para </w:t>
      </w:r>
      <w:r>
        <w:rPr>
          <w:color w:val="231F20"/>
          <w:spacing w:val="3"/>
        </w:rPr>
        <w:t>obtenerlo. </w:t>
      </w:r>
      <w:r>
        <w:rPr>
          <w:color w:val="231F20"/>
        </w:rPr>
        <w:t>La </w:t>
      </w:r>
      <w:r>
        <w:rPr>
          <w:i/>
          <w:color w:val="231F20"/>
        </w:rPr>
        <w:t>illusio </w:t>
      </w:r>
      <w:r>
        <w:rPr>
          <w:color w:val="231F20"/>
        </w:rPr>
        <w:t>da la </w:t>
      </w:r>
      <w:r>
        <w:rPr>
          <w:color w:val="231F20"/>
          <w:spacing w:val="3"/>
        </w:rPr>
        <w:t>oportunidad </w:t>
      </w:r>
      <w:r>
        <w:rPr>
          <w:color w:val="231F20"/>
        </w:rPr>
        <w:t>de que la vida </w:t>
      </w:r>
      <w:r>
        <w:rPr>
          <w:color w:val="231F20"/>
          <w:spacing w:val="2"/>
        </w:rPr>
        <w:t>tenga sentido: cumplir una </w:t>
      </w:r>
      <w:r>
        <w:rPr>
          <w:color w:val="231F20"/>
          <w:spacing w:val="3"/>
        </w:rPr>
        <w:t>función </w:t>
      </w:r>
      <w:r>
        <w:rPr>
          <w:color w:val="231F20"/>
          <w:spacing w:val="2"/>
        </w:rPr>
        <w:t>social, actuar </w:t>
      </w:r>
      <w:r>
        <w:rPr>
          <w:color w:val="231F20"/>
        </w:rPr>
        <w:t>y </w:t>
      </w:r>
      <w:r>
        <w:rPr>
          <w:color w:val="231F20"/>
          <w:spacing w:val="2"/>
        </w:rPr>
        <w:t>conseguir bienes simbólicos; </w:t>
      </w:r>
      <w:r>
        <w:rPr>
          <w:color w:val="231F20"/>
          <w:spacing w:val="3"/>
        </w:rPr>
        <w:t>demanda </w:t>
      </w:r>
      <w:r>
        <w:rPr>
          <w:color w:val="231F20"/>
          <w:spacing w:val="2"/>
        </w:rPr>
        <w:t>cumplir con exigencias del </w:t>
      </w:r>
      <w:r>
        <w:rPr>
          <w:color w:val="231F20"/>
          <w:spacing w:val="3"/>
        </w:rPr>
        <w:t>campo </w:t>
      </w:r>
      <w:r>
        <w:rPr>
          <w:color w:val="231F20"/>
        </w:rPr>
        <w:t>y de la </w:t>
      </w:r>
      <w:r>
        <w:rPr>
          <w:color w:val="231F20"/>
          <w:spacing w:val="3"/>
        </w:rPr>
        <w:t>función. </w:t>
      </w:r>
      <w:r>
        <w:rPr>
          <w:color w:val="231F20"/>
        </w:rPr>
        <w:t>Es </w:t>
      </w:r>
      <w:r>
        <w:rPr>
          <w:color w:val="231F20"/>
          <w:spacing w:val="2"/>
        </w:rPr>
        <w:t>imposible pasar del </w:t>
      </w:r>
      <w:r>
        <w:rPr>
          <w:color w:val="231F20"/>
          <w:spacing w:val="3"/>
        </w:rPr>
        <w:t>anonimato </w:t>
      </w:r>
      <w:r>
        <w:rPr>
          <w:color w:val="231F20"/>
        </w:rPr>
        <w:t>a ser </w:t>
      </w:r>
      <w:r>
        <w:rPr>
          <w:color w:val="231F20"/>
          <w:spacing w:val="2"/>
        </w:rPr>
        <w:t>alguien, </w:t>
      </w:r>
      <w:r>
        <w:rPr>
          <w:color w:val="231F20"/>
        </w:rPr>
        <w:t>si no es </w:t>
      </w:r>
      <w:r>
        <w:rPr>
          <w:color w:val="231F20"/>
          <w:spacing w:val="2"/>
        </w:rPr>
        <w:t>invirtiendo energía  para  conseguir bienes simbólicos </w:t>
      </w:r>
      <w:r>
        <w:rPr>
          <w:color w:val="231F20"/>
        </w:rPr>
        <w:t>en el </w:t>
      </w:r>
      <w:r>
        <w:rPr>
          <w:color w:val="231F20"/>
          <w:spacing w:val="2"/>
        </w:rPr>
        <w:t>juego. </w:t>
      </w:r>
      <w:r>
        <w:rPr>
          <w:color w:val="231F20"/>
        </w:rPr>
        <w:t>La </w:t>
      </w:r>
      <w:r>
        <w:rPr>
          <w:i/>
          <w:color w:val="231F20"/>
        </w:rPr>
        <w:t>illusio </w:t>
      </w:r>
      <w:r>
        <w:rPr>
          <w:color w:val="231F20"/>
        </w:rPr>
        <w:t>no es </w:t>
      </w:r>
      <w:r>
        <w:rPr>
          <w:color w:val="231F20"/>
          <w:spacing w:val="3"/>
        </w:rPr>
        <w:t>simple </w:t>
      </w:r>
      <w:r>
        <w:rPr>
          <w:color w:val="231F20"/>
          <w:spacing w:val="2"/>
        </w:rPr>
        <w:t>ilusión. Es, </w:t>
      </w:r>
      <w:r>
        <w:rPr>
          <w:color w:val="231F20"/>
          <w:spacing w:val="3"/>
        </w:rPr>
        <w:t>además, </w:t>
      </w:r>
      <w:r>
        <w:rPr>
          <w:color w:val="231F20"/>
        </w:rPr>
        <w:t>el </w:t>
      </w:r>
      <w:r>
        <w:rPr>
          <w:color w:val="231F20"/>
          <w:spacing w:val="2"/>
        </w:rPr>
        <w:t>despliegue del </w:t>
      </w:r>
      <w:r>
        <w:rPr>
          <w:i/>
          <w:color w:val="231F20"/>
          <w:spacing w:val="2"/>
        </w:rPr>
        <w:t>habitus </w:t>
      </w:r>
      <w:r>
        <w:rPr>
          <w:color w:val="231F20"/>
          <w:spacing w:val="2"/>
        </w:rPr>
        <w:t>para objetivar </w:t>
      </w:r>
      <w:r>
        <w:rPr>
          <w:color w:val="231F20"/>
        </w:rPr>
        <w:t>ese </w:t>
      </w:r>
      <w:r>
        <w:rPr>
          <w:color w:val="231F20"/>
          <w:spacing w:val="2"/>
        </w:rPr>
        <w:t>deseo; </w:t>
      </w:r>
      <w:r>
        <w:rPr>
          <w:color w:val="231F20"/>
        </w:rPr>
        <w:t>es </w:t>
      </w:r>
      <w:r>
        <w:rPr>
          <w:color w:val="231F20"/>
          <w:spacing w:val="2"/>
        </w:rPr>
        <w:t>inversión </w:t>
      </w:r>
      <w:r>
        <w:rPr>
          <w:color w:val="231F20"/>
        </w:rPr>
        <w:t>de </w:t>
      </w:r>
      <w:r>
        <w:rPr>
          <w:color w:val="231F20"/>
          <w:spacing w:val="2"/>
        </w:rPr>
        <w:t>energía. </w:t>
      </w:r>
      <w:r>
        <w:rPr>
          <w:color w:val="231F20"/>
        </w:rPr>
        <w:t>Es </w:t>
      </w:r>
      <w:r>
        <w:rPr>
          <w:color w:val="231F20"/>
          <w:spacing w:val="2"/>
        </w:rPr>
        <w:t>igualmente histórica </w:t>
      </w:r>
      <w:r>
        <w:rPr>
          <w:color w:val="231F20"/>
        </w:rPr>
        <w:t>y </w:t>
      </w:r>
      <w:r>
        <w:rPr>
          <w:color w:val="231F20"/>
          <w:spacing w:val="3"/>
        </w:rPr>
        <w:t>determinada </w:t>
      </w:r>
      <w:r>
        <w:rPr>
          <w:color w:val="231F20"/>
          <w:spacing w:val="2"/>
        </w:rPr>
        <w:t>por </w:t>
      </w:r>
      <w:r>
        <w:rPr>
          <w:color w:val="231F20"/>
          <w:spacing w:val="3"/>
        </w:rPr>
        <w:t>campos </w:t>
      </w:r>
      <w:r>
        <w:rPr>
          <w:color w:val="231F20"/>
          <w:spacing w:val="2"/>
        </w:rPr>
        <w:t>que </w:t>
      </w:r>
      <w:r>
        <w:rPr>
          <w:color w:val="231F20"/>
        </w:rPr>
        <w:t>la </w:t>
      </w:r>
      <w:r>
        <w:rPr>
          <w:color w:val="231F20"/>
          <w:spacing w:val="2"/>
        </w:rPr>
        <w:t>generan </w:t>
      </w:r>
      <w:r>
        <w:rPr>
          <w:color w:val="231F20"/>
        </w:rPr>
        <w:t>y</w:t>
      </w:r>
      <w:r>
        <w:rPr>
          <w:color w:val="231F20"/>
          <w:spacing w:val="28"/>
        </w:rPr>
        <w:t> </w:t>
      </w:r>
      <w:r>
        <w:rPr>
          <w:color w:val="231F20"/>
          <w:spacing w:val="3"/>
        </w:rPr>
        <w:t>difunden.</w:t>
      </w:r>
    </w:p>
    <w:p>
      <w:pPr>
        <w:spacing w:after="0" w:line="247" w:lineRule="auto"/>
        <w:jc w:val="both"/>
        <w:sectPr>
          <w:headerReference w:type="default" r:id="rId373"/>
          <w:footerReference w:type="default" r:id="rId374"/>
          <w:pgSz w:w="7830" w:h="11910"/>
          <w:pgMar w:header="0" w:footer="424" w:top="500" w:bottom="620" w:left="920" w:right="900"/>
          <w:pgNumType w:start="17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8"/>
        <w:jc w:val="both"/>
      </w:pPr>
      <w:r>
        <w:rPr>
          <w:color w:val="231F20"/>
          <w:spacing w:val="3"/>
        </w:rPr>
        <w:t>Campo, </w:t>
      </w:r>
      <w:r>
        <w:rPr>
          <w:color w:val="231F20"/>
          <w:spacing w:val="2"/>
        </w:rPr>
        <w:t>habitus, illusio </w:t>
      </w:r>
      <w:r>
        <w:rPr>
          <w:color w:val="231F20"/>
        </w:rPr>
        <w:t>y </w:t>
      </w:r>
      <w:r>
        <w:rPr>
          <w:color w:val="231F20"/>
          <w:spacing w:val="2"/>
        </w:rPr>
        <w:t>bienes simbólicos, son </w:t>
      </w:r>
      <w:r>
        <w:rPr>
          <w:color w:val="231F20"/>
          <w:spacing w:val="3"/>
        </w:rPr>
        <w:t>conceptos </w:t>
      </w:r>
      <w:r>
        <w:rPr>
          <w:color w:val="231F20"/>
          <w:spacing w:val="2"/>
        </w:rPr>
        <w:t>que explican acciones sociales </w:t>
      </w:r>
      <w:r>
        <w:rPr>
          <w:color w:val="231F20"/>
        </w:rPr>
        <w:t>a </w:t>
      </w:r>
      <w:r>
        <w:rPr>
          <w:color w:val="231F20"/>
          <w:spacing w:val="2"/>
        </w:rPr>
        <w:t>partir </w:t>
      </w:r>
      <w:r>
        <w:rPr>
          <w:color w:val="231F20"/>
        </w:rPr>
        <w:t>de </w:t>
      </w:r>
      <w:r>
        <w:rPr>
          <w:color w:val="231F20"/>
          <w:spacing w:val="2"/>
        </w:rPr>
        <w:t>estructuras </w:t>
      </w:r>
      <w:r>
        <w:rPr>
          <w:color w:val="231F20"/>
        </w:rPr>
        <w:t>y de su </w:t>
      </w:r>
      <w:r>
        <w:rPr>
          <w:color w:val="231F20"/>
          <w:spacing w:val="2"/>
        </w:rPr>
        <w:t>génesis, </w:t>
      </w:r>
      <w:r>
        <w:rPr>
          <w:color w:val="231F20"/>
        </w:rPr>
        <w:t>de lo </w:t>
      </w:r>
      <w:r>
        <w:rPr>
          <w:color w:val="231F20"/>
          <w:spacing w:val="2"/>
        </w:rPr>
        <w:t>que </w:t>
      </w:r>
      <w:r>
        <w:rPr>
          <w:color w:val="231F20"/>
          <w:spacing w:val="3"/>
        </w:rPr>
        <w:t>permanece </w:t>
      </w:r>
      <w:r>
        <w:rPr>
          <w:color w:val="231F20"/>
        </w:rPr>
        <w:t>y se </w:t>
      </w:r>
      <w:r>
        <w:rPr>
          <w:color w:val="231F20"/>
          <w:spacing w:val="2"/>
        </w:rPr>
        <w:t>modifica. Están intrínseca </w:t>
      </w:r>
      <w:r>
        <w:rPr>
          <w:color w:val="231F20"/>
        </w:rPr>
        <w:t>y </w:t>
      </w:r>
      <w:r>
        <w:rPr>
          <w:color w:val="231F20"/>
          <w:spacing w:val="3"/>
        </w:rPr>
        <w:t>orgánicamente </w:t>
      </w:r>
      <w:r>
        <w:rPr>
          <w:color w:val="231F20"/>
          <w:spacing w:val="2"/>
        </w:rPr>
        <w:t>vinculados. Son diferentes facetas </w:t>
      </w:r>
      <w:r>
        <w:rPr>
          <w:color w:val="231F20"/>
        </w:rPr>
        <w:t>de </w:t>
      </w:r>
      <w:r>
        <w:rPr>
          <w:color w:val="231F20"/>
          <w:spacing w:val="2"/>
        </w:rPr>
        <w:t>una </w:t>
      </w:r>
      <w:r>
        <w:rPr>
          <w:color w:val="231F20"/>
          <w:spacing w:val="3"/>
        </w:rPr>
        <w:t>misma </w:t>
      </w:r>
      <w:r>
        <w:rPr>
          <w:color w:val="231F20"/>
          <w:spacing w:val="2"/>
        </w:rPr>
        <w:t>realidad: </w:t>
      </w:r>
      <w:r>
        <w:rPr>
          <w:color w:val="231F20"/>
        </w:rPr>
        <w:t>la </w:t>
      </w:r>
      <w:r>
        <w:rPr>
          <w:color w:val="231F20"/>
          <w:spacing w:val="2"/>
        </w:rPr>
        <w:t>acción </w:t>
      </w:r>
      <w:r>
        <w:rPr>
          <w:color w:val="231F20"/>
          <w:spacing w:val="3"/>
        </w:rPr>
        <w:t>humana. </w:t>
      </w:r>
      <w:r>
        <w:rPr>
          <w:color w:val="231F20"/>
          <w:spacing w:val="2"/>
        </w:rPr>
        <w:t>Estas </w:t>
      </w:r>
      <w:r>
        <w:rPr>
          <w:color w:val="231F20"/>
        </w:rPr>
        <w:t>se </w:t>
      </w:r>
      <w:r>
        <w:rPr>
          <w:color w:val="231F20"/>
          <w:spacing w:val="2"/>
        </w:rPr>
        <w:t>vinculan con </w:t>
      </w:r>
      <w:r>
        <w:rPr>
          <w:color w:val="231F20"/>
        </w:rPr>
        <w:t>“la </w:t>
      </w:r>
      <w:r>
        <w:rPr>
          <w:color w:val="231F20"/>
          <w:spacing w:val="2"/>
        </w:rPr>
        <w:t>violencia</w:t>
      </w:r>
      <w:r>
        <w:rPr>
          <w:color w:val="231F20"/>
          <w:spacing w:val="56"/>
        </w:rPr>
        <w:t> </w:t>
      </w:r>
      <w:r>
        <w:rPr>
          <w:color w:val="231F20"/>
          <w:spacing w:val="3"/>
        </w:rPr>
        <w:t>simbólica”.</w:t>
      </w:r>
      <w:r>
        <w:rPr>
          <w:color w:val="231F20"/>
          <w:spacing w:val="-32"/>
        </w:rPr>
        <w:t> </w:t>
      </w:r>
      <w:r>
        <w:rPr>
          <w:color w:val="231F20"/>
          <w:spacing w:val="3"/>
        </w:rPr>
        <w:t>Veamos.</w:t>
      </w:r>
    </w:p>
    <w:p>
      <w:pPr>
        <w:pStyle w:val="BodyText"/>
        <w:spacing w:before="7"/>
      </w:pPr>
    </w:p>
    <w:p>
      <w:pPr>
        <w:spacing w:before="0"/>
        <w:ind w:left="101" w:right="0" w:firstLine="0"/>
        <w:jc w:val="both"/>
        <w:rPr>
          <w:i/>
          <w:sz w:val="21"/>
        </w:rPr>
      </w:pPr>
      <w:r>
        <w:rPr>
          <w:i/>
          <w:color w:val="231F20"/>
          <w:w w:val="90"/>
          <w:sz w:val="21"/>
        </w:rPr>
        <w:t>2.4. Educabilidad</w:t>
      </w:r>
    </w:p>
    <w:p>
      <w:pPr>
        <w:pStyle w:val="BodyText"/>
        <w:spacing w:before="1"/>
        <w:rPr>
          <w:i/>
        </w:rPr>
      </w:pPr>
    </w:p>
    <w:p>
      <w:pPr>
        <w:pStyle w:val="BodyText"/>
        <w:spacing w:line="244" w:lineRule="auto" w:before="1"/>
        <w:ind w:left="101" w:right="115"/>
        <w:jc w:val="both"/>
      </w:pPr>
      <w:r>
        <w:rPr>
          <w:color w:val="231F20"/>
          <w:w w:val="95"/>
        </w:rPr>
        <w:t>El</w:t>
      </w:r>
      <w:r>
        <w:rPr>
          <w:color w:val="231F20"/>
          <w:spacing w:val="-12"/>
          <w:w w:val="95"/>
        </w:rPr>
        <w:t> </w:t>
      </w:r>
      <w:r>
        <w:rPr>
          <w:color w:val="231F20"/>
          <w:w w:val="95"/>
        </w:rPr>
        <w:t>trabajo</w:t>
      </w:r>
      <w:r>
        <w:rPr>
          <w:color w:val="231F20"/>
          <w:spacing w:val="-11"/>
          <w:w w:val="95"/>
        </w:rPr>
        <w:t> </w:t>
      </w:r>
      <w:r>
        <w:rPr>
          <w:color w:val="231F20"/>
          <w:w w:val="95"/>
        </w:rPr>
        <w:t>de</w:t>
      </w:r>
      <w:r>
        <w:rPr>
          <w:color w:val="231F20"/>
          <w:spacing w:val="-11"/>
          <w:w w:val="95"/>
        </w:rPr>
        <w:t> </w:t>
      </w:r>
      <w:r>
        <w:rPr>
          <w:color w:val="231F20"/>
          <w:w w:val="95"/>
        </w:rPr>
        <w:t>Herbart,</w:t>
      </w:r>
      <w:r>
        <w:rPr>
          <w:color w:val="231F20"/>
          <w:spacing w:val="-11"/>
          <w:w w:val="95"/>
        </w:rPr>
        <w:t> </w:t>
      </w:r>
      <w:r>
        <w:rPr>
          <w:i/>
          <w:color w:val="231F20"/>
          <w:w w:val="95"/>
        </w:rPr>
        <w:t>Bosquejo</w:t>
      </w:r>
      <w:r>
        <w:rPr>
          <w:i/>
          <w:color w:val="231F20"/>
          <w:spacing w:val="-11"/>
          <w:w w:val="95"/>
        </w:rPr>
        <w:t> </w:t>
      </w:r>
      <w:r>
        <w:rPr>
          <w:i/>
          <w:color w:val="231F20"/>
          <w:w w:val="95"/>
        </w:rPr>
        <w:t>para</w:t>
      </w:r>
      <w:r>
        <w:rPr>
          <w:i/>
          <w:color w:val="231F20"/>
          <w:spacing w:val="-11"/>
          <w:w w:val="95"/>
        </w:rPr>
        <w:t> </w:t>
      </w:r>
      <w:r>
        <w:rPr>
          <w:i/>
          <w:color w:val="231F20"/>
          <w:w w:val="95"/>
        </w:rPr>
        <w:t>un</w:t>
      </w:r>
      <w:r>
        <w:rPr>
          <w:i/>
          <w:color w:val="231F20"/>
          <w:spacing w:val="-11"/>
          <w:w w:val="95"/>
        </w:rPr>
        <w:t> </w:t>
      </w:r>
      <w:r>
        <w:rPr>
          <w:i/>
          <w:color w:val="231F20"/>
          <w:w w:val="95"/>
        </w:rPr>
        <w:t>curso</w:t>
      </w:r>
      <w:r>
        <w:rPr>
          <w:i/>
          <w:color w:val="231F20"/>
          <w:spacing w:val="-11"/>
          <w:w w:val="95"/>
        </w:rPr>
        <w:t> </w:t>
      </w:r>
      <w:r>
        <w:rPr>
          <w:i/>
          <w:color w:val="231F20"/>
          <w:w w:val="95"/>
        </w:rPr>
        <w:t>de</w:t>
      </w:r>
      <w:r>
        <w:rPr>
          <w:i/>
          <w:color w:val="231F20"/>
          <w:spacing w:val="-12"/>
          <w:w w:val="95"/>
        </w:rPr>
        <w:t> </w:t>
      </w:r>
      <w:r>
        <w:rPr>
          <w:i/>
          <w:color w:val="231F20"/>
          <w:w w:val="95"/>
        </w:rPr>
        <w:t>pedagogía</w:t>
      </w:r>
      <w:r>
        <w:rPr>
          <w:color w:val="231F20"/>
          <w:w w:val="95"/>
        </w:rPr>
        <w:t>,</w:t>
      </w:r>
      <w:r>
        <w:rPr>
          <w:color w:val="231F20"/>
          <w:spacing w:val="-12"/>
          <w:w w:val="95"/>
        </w:rPr>
        <w:t> </w:t>
      </w:r>
      <w:r>
        <w:rPr>
          <w:color w:val="231F20"/>
          <w:w w:val="95"/>
        </w:rPr>
        <w:t>muestra</w:t>
      </w:r>
      <w:r>
        <w:rPr>
          <w:color w:val="231F20"/>
          <w:spacing w:val="-11"/>
          <w:w w:val="95"/>
        </w:rPr>
        <w:t> </w:t>
      </w:r>
      <w:r>
        <w:rPr>
          <w:color w:val="231F20"/>
          <w:w w:val="95"/>
        </w:rPr>
        <w:t>que </w:t>
      </w:r>
      <w:r>
        <w:rPr>
          <w:color w:val="231F20"/>
        </w:rPr>
        <w:t>uno de los conceptos fundamentales de la pedagogía es la “educabilidad”. Él la asoció con ductilidad o plasticidad, con la posibilidad de modificar las representaciones y las masas de representaciones que un individuo se forma a propósito de un tema  u objeto; asimismo, la plasticidad o ductilidad la asoció a la posibilidad de vincular representaciones o masas de representaciones. Es necesario reiterar que las representaciones antiguas que posea un individuo, requieren de gran ductilidad para que otras las suplan o modifiquen; también necesitan plasticidad para que establezcan relaciones con otras representaciones o masas de representaciones aparentemente ajenas. Así la educabilidad no depende, siguiendo a Herbart, de una relación  entre  varias facultades del alma originariamente diferentes, sino de una relación de las masas de representaciones ya adquiridas, y las que aparezcan posteriormente (Herbart, 1935:</w:t>
      </w:r>
      <w:r>
        <w:rPr>
          <w:color w:val="231F20"/>
          <w:spacing w:val="20"/>
        </w:rPr>
        <w:t> </w:t>
      </w:r>
      <w:r>
        <w:rPr>
          <w:color w:val="231F20"/>
        </w:rPr>
        <w:t>26).</w:t>
      </w:r>
    </w:p>
    <w:p>
      <w:pPr>
        <w:pStyle w:val="BodyText"/>
        <w:spacing w:line="249" w:lineRule="auto" w:before="18"/>
        <w:ind w:left="102" w:right="115" w:firstLine="284"/>
        <w:jc w:val="both"/>
      </w:pPr>
      <w:r>
        <w:rPr>
          <w:color w:val="231F20"/>
        </w:rPr>
        <w:t>Herbart también señaló (1935: 23-25) que las representaciones se aseguran</w:t>
      </w:r>
      <w:r>
        <w:rPr>
          <w:color w:val="231F20"/>
          <w:spacing w:val="-8"/>
        </w:rPr>
        <w:t> </w:t>
      </w:r>
      <w:r>
        <w:rPr>
          <w:color w:val="231F20"/>
        </w:rPr>
        <w:t>y</w:t>
      </w:r>
      <w:r>
        <w:rPr>
          <w:color w:val="231F20"/>
          <w:spacing w:val="-9"/>
        </w:rPr>
        <w:t> </w:t>
      </w:r>
      <w:r>
        <w:rPr>
          <w:color w:val="231F20"/>
        </w:rPr>
        <w:t>se</w:t>
      </w:r>
      <w:r>
        <w:rPr>
          <w:color w:val="231F20"/>
          <w:spacing w:val="-9"/>
        </w:rPr>
        <w:t> </w:t>
      </w:r>
      <w:r>
        <w:rPr>
          <w:color w:val="231F20"/>
        </w:rPr>
        <w:t>determinan</w:t>
      </w:r>
      <w:r>
        <w:rPr>
          <w:color w:val="231F20"/>
          <w:spacing w:val="-8"/>
        </w:rPr>
        <w:t> </w:t>
      </w:r>
      <w:r>
        <w:rPr>
          <w:color w:val="231F20"/>
        </w:rPr>
        <w:t>unas</w:t>
      </w:r>
      <w:r>
        <w:rPr>
          <w:color w:val="231F20"/>
          <w:spacing w:val="-9"/>
        </w:rPr>
        <w:t> </w:t>
      </w:r>
      <w:r>
        <w:rPr>
          <w:color w:val="231F20"/>
        </w:rPr>
        <w:t>con</w:t>
      </w:r>
      <w:r>
        <w:rPr>
          <w:color w:val="231F20"/>
          <w:spacing w:val="-8"/>
        </w:rPr>
        <w:t> </w:t>
      </w:r>
      <w:r>
        <w:rPr>
          <w:color w:val="231F20"/>
        </w:rPr>
        <w:t>otras,</w:t>
      </w:r>
      <w:r>
        <w:rPr>
          <w:color w:val="231F20"/>
          <w:spacing w:val="-10"/>
        </w:rPr>
        <w:t> </w:t>
      </w:r>
      <w:r>
        <w:rPr>
          <w:color w:val="231F20"/>
        </w:rPr>
        <w:t>pero</w:t>
      </w:r>
      <w:r>
        <w:rPr>
          <w:color w:val="231F20"/>
          <w:spacing w:val="-8"/>
        </w:rPr>
        <w:t> </w:t>
      </w:r>
      <w:r>
        <w:rPr>
          <w:color w:val="231F20"/>
        </w:rPr>
        <w:t>están</w:t>
      </w:r>
      <w:r>
        <w:rPr>
          <w:color w:val="231F20"/>
          <w:spacing w:val="-8"/>
        </w:rPr>
        <w:t> </w:t>
      </w:r>
      <w:r>
        <w:rPr>
          <w:color w:val="231F20"/>
        </w:rPr>
        <w:t>lejos</w:t>
      </w:r>
      <w:r>
        <w:rPr>
          <w:color w:val="231F20"/>
          <w:spacing w:val="-9"/>
        </w:rPr>
        <w:t> </w:t>
      </w:r>
      <w:r>
        <w:rPr>
          <w:color w:val="231F20"/>
        </w:rPr>
        <w:t>de</w:t>
      </w:r>
      <w:r>
        <w:rPr>
          <w:color w:val="231F20"/>
          <w:spacing w:val="-9"/>
        </w:rPr>
        <w:t> </w:t>
      </w:r>
      <w:r>
        <w:rPr>
          <w:color w:val="231F20"/>
        </w:rPr>
        <w:t>coincidir plenamente</w:t>
      </w:r>
      <w:r>
        <w:rPr>
          <w:color w:val="231F20"/>
          <w:spacing w:val="-7"/>
        </w:rPr>
        <w:t> </w:t>
      </w:r>
      <w:r>
        <w:rPr>
          <w:color w:val="231F20"/>
        </w:rPr>
        <w:t>entre</w:t>
      </w:r>
      <w:r>
        <w:rPr>
          <w:color w:val="231F20"/>
          <w:spacing w:val="-7"/>
        </w:rPr>
        <w:t> </w:t>
      </w:r>
      <w:r>
        <w:rPr>
          <w:color w:val="231F20"/>
        </w:rPr>
        <w:t>sí.</w:t>
      </w:r>
      <w:r>
        <w:rPr>
          <w:color w:val="231F20"/>
          <w:spacing w:val="-8"/>
        </w:rPr>
        <w:t> </w:t>
      </w:r>
      <w:r>
        <w:rPr>
          <w:color w:val="231F20"/>
        </w:rPr>
        <w:t>Existen</w:t>
      </w:r>
      <w:r>
        <w:rPr>
          <w:color w:val="231F20"/>
          <w:spacing w:val="-7"/>
        </w:rPr>
        <w:t> </w:t>
      </w:r>
      <w:r>
        <w:rPr>
          <w:color w:val="231F20"/>
        </w:rPr>
        <w:t>masas</w:t>
      </w:r>
      <w:r>
        <w:rPr>
          <w:color w:val="231F20"/>
          <w:spacing w:val="-8"/>
        </w:rPr>
        <w:t> </w:t>
      </w:r>
      <w:r>
        <w:rPr>
          <w:color w:val="231F20"/>
        </w:rPr>
        <w:t>de</w:t>
      </w:r>
      <w:r>
        <w:rPr>
          <w:color w:val="231F20"/>
          <w:spacing w:val="-7"/>
        </w:rPr>
        <w:t> </w:t>
      </w:r>
      <w:r>
        <w:rPr>
          <w:color w:val="231F20"/>
        </w:rPr>
        <w:t>representaciones</w:t>
      </w:r>
      <w:r>
        <w:rPr>
          <w:color w:val="231F20"/>
          <w:spacing w:val="-8"/>
        </w:rPr>
        <w:t> </w:t>
      </w:r>
      <w:r>
        <w:rPr>
          <w:color w:val="231F20"/>
        </w:rPr>
        <w:t>para</w:t>
      </w:r>
      <w:r>
        <w:rPr>
          <w:color w:val="231F20"/>
          <w:spacing w:val="-8"/>
        </w:rPr>
        <w:t> </w:t>
      </w:r>
      <w:r>
        <w:rPr>
          <w:color w:val="231F20"/>
        </w:rPr>
        <w:t>distintos campos (escuela, familia, amigos, iglesia, etc.). Toda masa de representaciones está compuesta por “complexiones”, o unidades orgánicas, que se constituyen en un todo complejo y que forma un entramado</w:t>
      </w:r>
      <w:r>
        <w:rPr>
          <w:color w:val="231F20"/>
          <w:spacing w:val="-14"/>
        </w:rPr>
        <w:t> </w:t>
      </w:r>
      <w:r>
        <w:rPr>
          <w:color w:val="231F20"/>
        </w:rPr>
        <w:t>indiviso</w:t>
      </w:r>
      <w:r>
        <w:rPr>
          <w:color w:val="231F20"/>
          <w:spacing w:val="-14"/>
        </w:rPr>
        <w:t> </w:t>
      </w:r>
      <w:r>
        <w:rPr>
          <w:color w:val="231F20"/>
        </w:rPr>
        <w:t>que</w:t>
      </w:r>
      <w:r>
        <w:rPr>
          <w:color w:val="231F20"/>
          <w:spacing w:val="-14"/>
        </w:rPr>
        <w:t> </w:t>
      </w:r>
      <w:r>
        <w:rPr>
          <w:color w:val="231F20"/>
        </w:rPr>
        <w:t>va</w:t>
      </w:r>
      <w:r>
        <w:rPr>
          <w:color w:val="231F20"/>
          <w:spacing w:val="-14"/>
        </w:rPr>
        <w:t> </w:t>
      </w:r>
      <w:r>
        <w:rPr>
          <w:color w:val="231F20"/>
        </w:rPr>
        <w:t>y</w:t>
      </w:r>
      <w:r>
        <w:rPr>
          <w:color w:val="231F20"/>
          <w:spacing w:val="-14"/>
        </w:rPr>
        <w:t> </w:t>
      </w:r>
      <w:r>
        <w:rPr>
          <w:color w:val="231F20"/>
        </w:rPr>
        <w:t>viene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conciencia.</w:t>
      </w:r>
      <w:r>
        <w:rPr>
          <w:color w:val="231F20"/>
          <w:spacing w:val="-15"/>
        </w:rPr>
        <w:t> </w:t>
      </w:r>
      <w:r>
        <w:rPr>
          <w:color w:val="231F20"/>
        </w:rPr>
        <w:t>La</w:t>
      </w:r>
      <w:r>
        <w:rPr>
          <w:color w:val="231F20"/>
          <w:spacing w:val="-14"/>
        </w:rPr>
        <w:t> </w:t>
      </w:r>
      <w:r>
        <w:rPr>
          <w:color w:val="231F20"/>
        </w:rPr>
        <w:t>representación de las cosas, para Herbart, son “complexiones” de sus cualidades; otras</w:t>
      </w:r>
      <w:r>
        <w:rPr>
          <w:color w:val="231F20"/>
          <w:spacing w:val="-12"/>
        </w:rPr>
        <w:t> </w:t>
      </w:r>
      <w:r>
        <w:rPr>
          <w:color w:val="231F20"/>
        </w:rPr>
        <w:t>“complexiones”</w:t>
      </w:r>
      <w:r>
        <w:rPr>
          <w:color w:val="231F20"/>
          <w:spacing w:val="-12"/>
        </w:rPr>
        <w:t> </w:t>
      </w:r>
      <w:r>
        <w:rPr>
          <w:color w:val="231F20"/>
        </w:rPr>
        <w:t>son</w:t>
      </w:r>
      <w:r>
        <w:rPr>
          <w:color w:val="231F20"/>
          <w:spacing w:val="-12"/>
        </w:rPr>
        <w:t> </w:t>
      </w:r>
      <w:r>
        <w:rPr>
          <w:color w:val="231F20"/>
        </w:rPr>
        <w:t>los</w:t>
      </w:r>
      <w:r>
        <w:rPr>
          <w:color w:val="231F20"/>
          <w:spacing w:val="-13"/>
        </w:rPr>
        <w:t> </w:t>
      </w:r>
      <w:r>
        <w:rPr>
          <w:color w:val="231F20"/>
        </w:rPr>
        <w:t>conceptos</w:t>
      </w:r>
      <w:r>
        <w:rPr>
          <w:color w:val="231F20"/>
          <w:spacing w:val="-13"/>
        </w:rPr>
        <w:t> </w:t>
      </w:r>
      <w:r>
        <w:rPr>
          <w:color w:val="231F20"/>
        </w:rPr>
        <w:t>y</w:t>
      </w:r>
      <w:r>
        <w:rPr>
          <w:color w:val="231F20"/>
          <w:spacing w:val="-12"/>
        </w:rPr>
        <w:t> </w:t>
      </w:r>
      <w:r>
        <w:rPr>
          <w:color w:val="231F20"/>
        </w:rPr>
        <w:t>las</w:t>
      </w:r>
      <w:r>
        <w:rPr>
          <w:color w:val="231F20"/>
          <w:spacing w:val="-13"/>
        </w:rPr>
        <w:t> </w:t>
      </w:r>
      <w:r>
        <w:rPr>
          <w:color w:val="231F20"/>
        </w:rPr>
        <w:t>palabras.</w:t>
      </w:r>
    </w:p>
    <w:p>
      <w:pPr>
        <w:pStyle w:val="BodyText"/>
        <w:spacing w:line="247" w:lineRule="auto"/>
        <w:ind w:left="101" w:right="116" w:firstLine="284"/>
        <w:jc w:val="both"/>
      </w:pPr>
      <w:r>
        <w:rPr>
          <w:color w:val="231F20"/>
        </w:rPr>
        <w:t>La masa de representaciones también está formada de </w:t>
      </w:r>
      <w:r>
        <w:rPr>
          <w:i/>
          <w:color w:val="231F20"/>
        </w:rPr>
        <w:t>series </w:t>
      </w:r>
      <w:r>
        <w:rPr>
          <w:color w:val="231F20"/>
        </w:rPr>
        <w:t>de representaciones con sus asociaciones. Las “series” se distinguen de las “complexiones” en que las primeras no forman una red o entramado, sino precisamente una sucesión o encadenamiento. Cuanto más firmes sean las asociaciones entre “complexiones” y las</w:t>
      </w:r>
    </w:p>
    <w:p>
      <w:pPr>
        <w:spacing w:after="0" w:line="247" w:lineRule="auto"/>
        <w:jc w:val="both"/>
        <w:sectPr>
          <w:headerReference w:type="default" r:id="rId375"/>
          <w:footerReference w:type="default" r:id="rId376"/>
          <w:pgSz w:w="7830" w:h="11910"/>
          <w:pgMar w:header="0" w:footer="424" w:top="500" w:bottom="620" w:left="920" w:right="900"/>
          <w:pgNumType w:start="17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7"/>
        <w:jc w:val="both"/>
      </w:pPr>
      <w:r>
        <w:rPr>
          <w:color w:val="231F20"/>
        </w:rPr>
        <w:t>series de representaciones, entre masas de representaciones, tanta más resistencia oponen a lo que se les opone en su movimiento de asociar. Herbart señaló que estas asociaciones entre “series” y “complexiones” permiten comprender la dificultad de instruir, de introducirse en ellas. No obstante, también señaló que es factible  que admitan adiciones, consientan nuevas uniones y, así se modifiquen esencialmente en transcurso del</w:t>
      </w:r>
      <w:r>
        <w:rPr>
          <w:color w:val="231F20"/>
          <w:spacing w:val="32"/>
        </w:rPr>
        <w:t> </w:t>
      </w:r>
      <w:r>
        <w:rPr>
          <w:color w:val="231F20"/>
        </w:rPr>
        <w:t>tiempo.</w:t>
      </w:r>
    </w:p>
    <w:p>
      <w:pPr>
        <w:pStyle w:val="BodyText"/>
        <w:spacing w:line="249" w:lineRule="auto"/>
        <w:ind w:left="101" w:right="112" w:firstLine="284"/>
        <w:jc w:val="right"/>
      </w:pPr>
      <w:r>
        <w:rPr>
          <w:color w:val="231F20"/>
        </w:rPr>
        <w:t>La </w:t>
      </w:r>
      <w:r>
        <w:rPr>
          <w:color w:val="231F20"/>
          <w:spacing w:val="2"/>
        </w:rPr>
        <w:t>educabilidad depende </w:t>
      </w:r>
      <w:r>
        <w:rPr>
          <w:color w:val="231F20"/>
        </w:rPr>
        <w:t>–o </w:t>
      </w:r>
      <w:r>
        <w:rPr>
          <w:color w:val="231F20"/>
          <w:spacing w:val="2"/>
        </w:rPr>
        <w:t>está asociada– </w:t>
      </w:r>
      <w:r>
        <w:rPr>
          <w:color w:val="231F20"/>
        </w:rPr>
        <w:t>de la</w:t>
      </w:r>
      <w:r>
        <w:rPr>
          <w:color w:val="231F20"/>
          <w:spacing w:val="1"/>
        </w:rPr>
        <w:t> </w:t>
      </w:r>
      <w:r>
        <w:rPr>
          <w:color w:val="231F20"/>
          <w:spacing w:val="2"/>
        </w:rPr>
        <w:t>posibilidad</w:t>
      </w:r>
      <w:r>
        <w:rPr>
          <w:color w:val="231F20"/>
          <w:spacing w:val="8"/>
        </w:rPr>
        <w:t> </w:t>
      </w:r>
      <w:r>
        <w:rPr>
          <w:color w:val="231F20"/>
        </w:rPr>
        <w:t>de</w:t>
      </w:r>
      <w:r>
        <w:rPr>
          <w:color w:val="231F20"/>
          <w:w w:val="96"/>
        </w:rPr>
        <w:t> </w:t>
      </w:r>
      <w:r>
        <w:rPr>
          <w:color w:val="231F20"/>
          <w:spacing w:val="2"/>
        </w:rPr>
        <w:t>añadir </w:t>
      </w:r>
      <w:r>
        <w:rPr>
          <w:color w:val="231F20"/>
        </w:rPr>
        <w:t>y </w:t>
      </w:r>
      <w:r>
        <w:rPr>
          <w:color w:val="231F20"/>
          <w:spacing w:val="2"/>
        </w:rPr>
        <w:t>modificar </w:t>
      </w:r>
      <w:r>
        <w:rPr>
          <w:color w:val="231F20"/>
          <w:spacing w:val="3"/>
        </w:rPr>
        <w:t>representaciones. </w:t>
      </w:r>
      <w:r>
        <w:rPr>
          <w:color w:val="231F20"/>
        </w:rPr>
        <w:t>Es </w:t>
      </w:r>
      <w:r>
        <w:rPr>
          <w:color w:val="231F20"/>
          <w:spacing w:val="2"/>
        </w:rPr>
        <w:t>necesario</w:t>
      </w:r>
      <w:r>
        <w:rPr>
          <w:color w:val="231F20"/>
          <w:spacing w:val="48"/>
        </w:rPr>
        <w:t> </w:t>
      </w:r>
      <w:r>
        <w:rPr>
          <w:color w:val="231F20"/>
          <w:spacing w:val="2"/>
        </w:rPr>
        <w:t>considerar</w:t>
      </w:r>
      <w:r>
        <w:rPr>
          <w:color w:val="231F20"/>
          <w:spacing w:val="26"/>
        </w:rPr>
        <w:t> </w:t>
      </w:r>
      <w:r>
        <w:rPr>
          <w:color w:val="231F20"/>
        </w:rPr>
        <w:t>que</w:t>
      </w:r>
      <w:r>
        <w:rPr>
          <w:color w:val="231F20"/>
          <w:w w:val="96"/>
        </w:rPr>
        <w:t> </w:t>
      </w:r>
      <w:r>
        <w:rPr>
          <w:color w:val="231F20"/>
        </w:rPr>
        <w:t>las </w:t>
      </w:r>
      <w:r>
        <w:rPr>
          <w:color w:val="231F20"/>
          <w:spacing w:val="2"/>
        </w:rPr>
        <w:t>masas </w:t>
      </w:r>
      <w:r>
        <w:rPr>
          <w:color w:val="231F20"/>
        </w:rPr>
        <w:t>de </w:t>
      </w:r>
      <w:r>
        <w:rPr>
          <w:color w:val="231F20"/>
          <w:spacing w:val="3"/>
        </w:rPr>
        <w:t>representaciones </w:t>
      </w:r>
      <w:r>
        <w:rPr>
          <w:color w:val="231F20"/>
        </w:rPr>
        <w:t>no </w:t>
      </w:r>
      <w:r>
        <w:rPr>
          <w:color w:val="231F20"/>
          <w:spacing w:val="2"/>
        </w:rPr>
        <w:t>están solo asociadas </w:t>
      </w:r>
      <w:r>
        <w:rPr>
          <w:color w:val="231F20"/>
        </w:rPr>
        <w:t>a </w:t>
      </w:r>
      <w:r>
        <w:rPr>
          <w:color w:val="231F20"/>
          <w:spacing w:val="19"/>
        </w:rPr>
        <w:t> </w:t>
      </w:r>
      <w:r>
        <w:rPr>
          <w:color w:val="231F20"/>
        </w:rPr>
        <w:t>las</w:t>
      </w:r>
      <w:r>
        <w:rPr>
          <w:color w:val="231F20"/>
          <w:spacing w:val="15"/>
        </w:rPr>
        <w:t> </w:t>
      </w:r>
      <w:r>
        <w:rPr>
          <w:color w:val="231F20"/>
          <w:spacing w:val="2"/>
        </w:rPr>
        <w:t>cosas,</w:t>
      </w:r>
      <w:r>
        <w:rPr>
          <w:color w:val="231F20"/>
          <w:w w:val="90"/>
        </w:rPr>
        <w:t> </w:t>
      </w:r>
      <w:r>
        <w:rPr>
          <w:color w:val="231F20"/>
        </w:rPr>
        <w:t>a lo </w:t>
      </w:r>
      <w:r>
        <w:rPr>
          <w:color w:val="231F20"/>
          <w:spacing w:val="3"/>
        </w:rPr>
        <w:t>representado. También </w:t>
      </w:r>
      <w:r>
        <w:rPr>
          <w:color w:val="231F20"/>
        </w:rPr>
        <w:t>es </w:t>
      </w:r>
      <w:r>
        <w:rPr>
          <w:color w:val="231F20"/>
          <w:spacing w:val="2"/>
        </w:rPr>
        <w:t>necesario pensar </w:t>
      </w:r>
      <w:r>
        <w:rPr>
          <w:color w:val="231F20"/>
        </w:rPr>
        <w:t>en </w:t>
      </w:r>
      <w:r>
        <w:rPr>
          <w:color w:val="231F20"/>
          <w:spacing w:val="2"/>
        </w:rPr>
        <w:t>los</w:t>
      </w:r>
      <w:r>
        <w:rPr>
          <w:color w:val="231F20"/>
          <w:spacing w:val="17"/>
        </w:rPr>
        <w:t> </w:t>
      </w:r>
      <w:r>
        <w:rPr>
          <w:color w:val="231F20"/>
          <w:spacing w:val="2"/>
        </w:rPr>
        <w:t>estados</w:t>
      </w:r>
      <w:r>
        <w:rPr>
          <w:color w:val="231F20"/>
          <w:spacing w:val="14"/>
        </w:rPr>
        <w:t> </w:t>
      </w:r>
      <w:r>
        <w:rPr>
          <w:color w:val="231F20"/>
          <w:spacing w:val="2"/>
        </w:rPr>
        <w:t>del</w:t>
      </w:r>
      <w:r>
        <w:rPr>
          <w:color w:val="231F20"/>
          <w:w w:val="84"/>
        </w:rPr>
        <w:t> </w:t>
      </w:r>
      <w:r>
        <w:rPr>
          <w:color w:val="231F20"/>
          <w:spacing w:val="2"/>
        </w:rPr>
        <w:t>espíritu que </w:t>
      </w:r>
      <w:r>
        <w:rPr>
          <w:color w:val="231F20"/>
        </w:rPr>
        <w:t>las </w:t>
      </w:r>
      <w:r>
        <w:rPr>
          <w:color w:val="231F20"/>
          <w:spacing w:val="2"/>
        </w:rPr>
        <w:t>significan; estos </w:t>
      </w:r>
      <w:r>
        <w:rPr>
          <w:color w:val="231F20"/>
        </w:rPr>
        <w:t>se </w:t>
      </w:r>
      <w:r>
        <w:rPr>
          <w:color w:val="231F20"/>
          <w:spacing w:val="2"/>
        </w:rPr>
        <w:t>manifiestan </w:t>
      </w:r>
      <w:r>
        <w:rPr>
          <w:color w:val="231F20"/>
        </w:rPr>
        <w:t>en</w:t>
      </w:r>
      <w:r>
        <w:rPr>
          <w:color w:val="231F20"/>
          <w:spacing w:val="46"/>
        </w:rPr>
        <w:t> </w:t>
      </w:r>
      <w:r>
        <w:rPr>
          <w:color w:val="231F20"/>
        </w:rPr>
        <w:t>la</w:t>
      </w:r>
      <w:r>
        <w:rPr>
          <w:color w:val="231F20"/>
          <w:spacing w:val="26"/>
        </w:rPr>
        <w:t> </w:t>
      </w:r>
      <w:r>
        <w:rPr>
          <w:color w:val="231F20"/>
          <w:spacing w:val="3"/>
        </w:rPr>
        <w:t>disposición</w:t>
      </w:r>
      <w:r>
        <w:rPr>
          <w:color w:val="231F20"/>
          <w:spacing w:val="4"/>
          <w:w w:val="104"/>
        </w:rPr>
        <w:t> </w:t>
      </w:r>
      <w:r>
        <w:rPr>
          <w:color w:val="231F20"/>
          <w:spacing w:val="3"/>
        </w:rPr>
        <w:t>corporal </w:t>
      </w:r>
      <w:r>
        <w:rPr>
          <w:color w:val="231F20"/>
        </w:rPr>
        <w:t>y en </w:t>
      </w:r>
      <w:r>
        <w:rPr>
          <w:color w:val="231F20"/>
          <w:spacing w:val="2"/>
        </w:rPr>
        <w:t>los afectos suscitados </w:t>
      </w:r>
      <w:r>
        <w:rPr>
          <w:color w:val="231F20"/>
        </w:rPr>
        <w:t>al </w:t>
      </w:r>
      <w:r>
        <w:rPr>
          <w:color w:val="231F20"/>
          <w:spacing w:val="3"/>
        </w:rPr>
        <w:t>pretender</w:t>
      </w:r>
      <w:r>
        <w:rPr>
          <w:color w:val="231F20"/>
          <w:spacing w:val="5"/>
        </w:rPr>
        <w:t> </w:t>
      </w:r>
      <w:r>
        <w:rPr>
          <w:color w:val="231F20"/>
          <w:spacing w:val="2"/>
        </w:rPr>
        <w:t>movilizarlas.</w:t>
      </w:r>
      <w:r>
        <w:rPr>
          <w:color w:val="231F20"/>
          <w:spacing w:val="22"/>
        </w:rPr>
        <w:t> </w:t>
      </w:r>
      <w:r>
        <w:rPr>
          <w:color w:val="231F20"/>
        </w:rPr>
        <w:t>La</w:t>
      </w:r>
      <w:r>
        <w:rPr>
          <w:color w:val="231F20"/>
          <w:w w:val="94"/>
        </w:rPr>
        <w:t> </w:t>
      </w:r>
      <w:r>
        <w:rPr>
          <w:color w:val="231F20"/>
          <w:spacing w:val="2"/>
        </w:rPr>
        <w:t>educabilidad </w:t>
      </w:r>
      <w:r>
        <w:rPr>
          <w:color w:val="231F20"/>
        </w:rPr>
        <w:t>es </w:t>
      </w:r>
      <w:r>
        <w:rPr>
          <w:color w:val="231F20"/>
          <w:spacing w:val="3"/>
        </w:rPr>
        <w:t>conseguida </w:t>
      </w:r>
      <w:r>
        <w:rPr>
          <w:color w:val="231F20"/>
        </w:rPr>
        <w:t>al </w:t>
      </w:r>
      <w:r>
        <w:rPr>
          <w:color w:val="231F20"/>
          <w:spacing w:val="2"/>
        </w:rPr>
        <w:t>intervenir tanto </w:t>
      </w:r>
      <w:r>
        <w:rPr>
          <w:color w:val="231F20"/>
        </w:rPr>
        <w:t>en lo</w:t>
      </w:r>
      <w:r>
        <w:rPr>
          <w:color w:val="231F20"/>
          <w:spacing w:val="26"/>
        </w:rPr>
        <w:t> </w:t>
      </w:r>
      <w:r>
        <w:rPr>
          <w:color w:val="231F20"/>
          <w:spacing w:val="3"/>
        </w:rPr>
        <w:t>representado</w:t>
      </w:r>
      <w:r>
        <w:rPr>
          <w:color w:val="231F20"/>
          <w:spacing w:val="4"/>
        </w:rPr>
        <w:t> </w:t>
      </w:r>
      <w:r>
        <w:rPr>
          <w:color w:val="231F20"/>
        </w:rPr>
        <w:t>y</w:t>
      </w:r>
      <w:r>
        <w:rPr>
          <w:color w:val="231F20"/>
          <w:w w:val="85"/>
        </w:rPr>
        <w:t> </w:t>
      </w:r>
      <w:r>
        <w:rPr>
          <w:color w:val="231F20"/>
        </w:rPr>
        <w:t>en las </w:t>
      </w:r>
      <w:r>
        <w:rPr>
          <w:color w:val="231F20"/>
          <w:spacing w:val="2"/>
        </w:rPr>
        <w:t>asociaciones que tiene </w:t>
      </w:r>
      <w:r>
        <w:rPr>
          <w:color w:val="231F20"/>
        </w:rPr>
        <w:t>el </w:t>
      </w:r>
      <w:r>
        <w:rPr>
          <w:color w:val="231F20"/>
          <w:spacing w:val="2"/>
        </w:rPr>
        <w:t>individuo </w:t>
      </w:r>
      <w:r>
        <w:rPr>
          <w:color w:val="231F20"/>
        </w:rPr>
        <w:t>en su</w:t>
      </w:r>
      <w:r>
        <w:rPr>
          <w:color w:val="231F20"/>
          <w:spacing w:val="18"/>
        </w:rPr>
        <w:t> </w:t>
      </w:r>
      <w:r>
        <w:rPr>
          <w:color w:val="231F20"/>
          <w:spacing w:val="3"/>
        </w:rPr>
        <w:t>representación,</w:t>
      </w:r>
      <w:r>
        <w:rPr>
          <w:color w:val="231F20"/>
          <w:spacing w:val="2"/>
        </w:rPr>
        <w:t> sus</w:t>
      </w:r>
      <w:r>
        <w:rPr>
          <w:color w:val="231F20"/>
          <w:w w:val="96"/>
        </w:rPr>
        <w:t> </w:t>
      </w:r>
      <w:r>
        <w:rPr>
          <w:color w:val="231F20"/>
          <w:spacing w:val="2"/>
        </w:rPr>
        <w:t>“series”, </w:t>
      </w:r>
      <w:r>
        <w:rPr>
          <w:color w:val="231F20"/>
        </w:rPr>
        <w:t>sus </w:t>
      </w:r>
      <w:r>
        <w:rPr>
          <w:color w:val="231F20"/>
          <w:spacing w:val="3"/>
        </w:rPr>
        <w:t>“complexiones”, como </w:t>
      </w:r>
      <w:r>
        <w:rPr>
          <w:color w:val="231F20"/>
        </w:rPr>
        <w:t>en </w:t>
      </w:r>
      <w:r>
        <w:rPr>
          <w:color w:val="231F20"/>
          <w:spacing w:val="2"/>
        </w:rPr>
        <w:t>los afectos </w:t>
      </w:r>
      <w:r>
        <w:rPr>
          <w:color w:val="231F20"/>
        </w:rPr>
        <w:t>que</w:t>
      </w:r>
      <w:r>
        <w:rPr>
          <w:color w:val="231F20"/>
          <w:spacing w:val="32"/>
        </w:rPr>
        <w:t> </w:t>
      </w:r>
      <w:r>
        <w:rPr>
          <w:color w:val="231F20"/>
        </w:rPr>
        <w:t>se</w:t>
      </w:r>
      <w:r>
        <w:rPr>
          <w:color w:val="231F20"/>
          <w:spacing w:val="5"/>
        </w:rPr>
        <w:t> </w:t>
      </w:r>
      <w:r>
        <w:rPr>
          <w:color w:val="231F20"/>
          <w:spacing w:val="3"/>
        </w:rPr>
        <w:t>mueven.</w:t>
      </w:r>
      <w:r>
        <w:rPr>
          <w:color w:val="231F20"/>
          <w:w w:val="89"/>
        </w:rPr>
        <w:t> </w:t>
      </w:r>
      <w:r>
        <w:rPr>
          <w:color w:val="231F20"/>
          <w:spacing w:val="3"/>
        </w:rPr>
        <w:t>Menuda </w:t>
      </w:r>
      <w:r>
        <w:rPr>
          <w:color w:val="231F20"/>
          <w:spacing w:val="2"/>
        </w:rPr>
        <w:t>tarea </w:t>
      </w:r>
      <w:r>
        <w:rPr>
          <w:color w:val="231F20"/>
        </w:rPr>
        <w:t>la del </w:t>
      </w:r>
      <w:r>
        <w:rPr>
          <w:color w:val="231F20"/>
          <w:spacing w:val="2"/>
        </w:rPr>
        <w:t>educador: tener</w:t>
      </w:r>
      <w:r>
        <w:rPr>
          <w:color w:val="231F20"/>
          <w:spacing w:val="5"/>
        </w:rPr>
        <w:t> </w:t>
      </w:r>
      <w:r>
        <w:rPr>
          <w:color w:val="231F20"/>
        </w:rPr>
        <w:t>idea</w:t>
      </w:r>
      <w:r>
        <w:rPr>
          <w:color w:val="231F20"/>
          <w:spacing w:val="22"/>
        </w:rPr>
        <w:t> </w:t>
      </w:r>
      <w:r>
        <w:rPr>
          <w:color w:val="231F20"/>
          <w:spacing w:val="3"/>
        </w:rPr>
        <w:t>–representación,</w:t>
      </w:r>
      <w:r>
        <w:rPr>
          <w:color w:val="231F20"/>
          <w:w w:val="89"/>
        </w:rPr>
        <w:t> </w:t>
      </w:r>
      <w:r>
        <w:rPr>
          <w:color w:val="231F20"/>
          <w:spacing w:val="2"/>
        </w:rPr>
        <w:t>masas </w:t>
      </w:r>
      <w:r>
        <w:rPr>
          <w:color w:val="231F20"/>
        </w:rPr>
        <w:t>de </w:t>
      </w:r>
      <w:r>
        <w:rPr>
          <w:color w:val="231F20"/>
          <w:spacing w:val="3"/>
        </w:rPr>
        <w:t>representaciones </w:t>
      </w:r>
      <w:r>
        <w:rPr>
          <w:color w:val="231F20"/>
        </w:rPr>
        <w:t>en </w:t>
      </w:r>
      <w:r>
        <w:rPr>
          <w:color w:val="231F20"/>
          <w:spacing w:val="3"/>
        </w:rPr>
        <w:t>forma </w:t>
      </w:r>
      <w:r>
        <w:rPr>
          <w:color w:val="231F20"/>
        </w:rPr>
        <w:t>de </w:t>
      </w:r>
      <w:r>
        <w:rPr>
          <w:color w:val="231F20"/>
          <w:spacing w:val="3"/>
        </w:rPr>
        <w:t>“complexiones”</w:t>
      </w:r>
      <w:r>
        <w:rPr>
          <w:color w:val="231F20"/>
          <w:spacing w:val="47"/>
        </w:rPr>
        <w:t> </w:t>
      </w:r>
      <w:r>
        <w:rPr>
          <w:color w:val="231F20"/>
        </w:rPr>
        <w:t>y</w:t>
      </w:r>
      <w:r>
        <w:rPr>
          <w:color w:val="231F20"/>
          <w:spacing w:val="17"/>
        </w:rPr>
        <w:t> </w:t>
      </w:r>
      <w:r>
        <w:rPr>
          <w:color w:val="231F20"/>
        </w:rPr>
        <w:t>de</w:t>
      </w:r>
      <w:r>
        <w:rPr>
          <w:color w:val="231F20"/>
          <w:w w:val="96"/>
        </w:rPr>
        <w:t> </w:t>
      </w:r>
      <w:r>
        <w:rPr>
          <w:color w:val="231F20"/>
          <w:spacing w:val="2"/>
        </w:rPr>
        <w:t>“series”; </w:t>
      </w:r>
      <w:r>
        <w:rPr>
          <w:color w:val="231F20"/>
        </w:rPr>
        <w:t>así </w:t>
      </w:r>
      <w:r>
        <w:rPr>
          <w:color w:val="231F20"/>
          <w:spacing w:val="3"/>
        </w:rPr>
        <w:t>como sentimientos </w:t>
      </w:r>
      <w:r>
        <w:rPr>
          <w:color w:val="231F20"/>
          <w:spacing w:val="2"/>
        </w:rPr>
        <w:t>plausibles– </w:t>
      </w:r>
      <w:r>
        <w:rPr>
          <w:color w:val="231F20"/>
        </w:rPr>
        <w:t>de </w:t>
      </w:r>
      <w:r>
        <w:rPr>
          <w:color w:val="231F20"/>
          <w:spacing w:val="2"/>
        </w:rPr>
        <w:t>que</w:t>
      </w:r>
      <w:r>
        <w:rPr>
          <w:color w:val="231F20"/>
          <w:spacing w:val="32"/>
        </w:rPr>
        <w:t> </w:t>
      </w:r>
      <w:r>
        <w:rPr>
          <w:color w:val="231F20"/>
        </w:rPr>
        <w:t>las</w:t>
      </w:r>
      <w:r>
        <w:rPr>
          <w:color w:val="231F20"/>
          <w:spacing w:val="44"/>
        </w:rPr>
        <w:t> </w:t>
      </w:r>
      <w:r>
        <w:rPr>
          <w:color w:val="231F20"/>
          <w:spacing w:val="3"/>
        </w:rPr>
        <w:t>palabras</w:t>
      </w:r>
      <w:r>
        <w:rPr>
          <w:color w:val="231F20"/>
          <w:spacing w:val="3"/>
          <w:w w:val="95"/>
        </w:rPr>
        <w:t> </w:t>
      </w:r>
      <w:r>
        <w:rPr>
          <w:color w:val="231F20"/>
        </w:rPr>
        <w:t>que dice su </w:t>
      </w:r>
      <w:r>
        <w:rPr>
          <w:color w:val="231F20"/>
          <w:spacing w:val="2"/>
        </w:rPr>
        <w:t>estudiante </w:t>
      </w:r>
      <w:r>
        <w:rPr>
          <w:color w:val="231F20"/>
        </w:rPr>
        <w:t>o </w:t>
      </w:r>
      <w:r>
        <w:rPr>
          <w:color w:val="231F20"/>
          <w:spacing w:val="2"/>
        </w:rPr>
        <w:t>las acciones </w:t>
      </w:r>
      <w:r>
        <w:rPr>
          <w:color w:val="231F20"/>
        </w:rPr>
        <w:t>o </w:t>
      </w:r>
      <w:r>
        <w:rPr>
          <w:color w:val="231F20"/>
          <w:spacing w:val="2"/>
        </w:rPr>
        <w:t>gestos </w:t>
      </w:r>
      <w:r>
        <w:rPr>
          <w:color w:val="231F20"/>
        </w:rPr>
        <w:t>que </w:t>
      </w:r>
      <w:r>
        <w:rPr>
          <w:color w:val="231F20"/>
          <w:spacing w:val="2"/>
        </w:rPr>
        <w:t>realiza</w:t>
      </w:r>
      <w:r>
        <w:rPr>
          <w:color w:val="231F20"/>
          <w:spacing w:val="28"/>
        </w:rPr>
        <w:t> </w:t>
      </w:r>
      <w:r>
        <w:rPr>
          <w:color w:val="231F20"/>
        </w:rPr>
        <w:t>solo</w:t>
      </w:r>
      <w:r>
        <w:rPr>
          <w:color w:val="231F20"/>
          <w:spacing w:val="13"/>
        </w:rPr>
        <w:t> </w:t>
      </w:r>
      <w:r>
        <w:rPr>
          <w:color w:val="231F20"/>
          <w:spacing w:val="3"/>
        </w:rPr>
        <w:t>son</w:t>
      </w:r>
      <w:r>
        <w:rPr>
          <w:color w:val="231F20"/>
          <w:spacing w:val="4"/>
          <w:w w:val="104"/>
        </w:rPr>
        <w:t> </w:t>
      </w:r>
      <w:r>
        <w:rPr>
          <w:color w:val="231F20"/>
          <w:spacing w:val="2"/>
        </w:rPr>
        <w:t>parte </w:t>
      </w:r>
      <w:r>
        <w:rPr>
          <w:color w:val="231F20"/>
        </w:rPr>
        <w:t>de </w:t>
      </w:r>
      <w:r>
        <w:rPr>
          <w:color w:val="231F20"/>
          <w:spacing w:val="2"/>
        </w:rPr>
        <w:t>asociaciones más complejas. Una ayuda</w:t>
      </w:r>
      <w:r>
        <w:rPr>
          <w:color w:val="231F20"/>
          <w:spacing w:val="18"/>
        </w:rPr>
        <w:t> </w:t>
      </w:r>
      <w:r>
        <w:rPr>
          <w:color w:val="231F20"/>
          <w:spacing w:val="2"/>
        </w:rPr>
        <w:t>invaluable</w:t>
      </w:r>
      <w:r>
        <w:rPr>
          <w:color w:val="231F20"/>
          <w:spacing w:val="27"/>
        </w:rPr>
        <w:t> </w:t>
      </w:r>
      <w:r>
        <w:rPr>
          <w:color w:val="231F20"/>
          <w:spacing w:val="2"/>
        </w:rPr>
        <w:t>para</w:t>
      </w:r>
      <w:r>
        <w:rPr>
          <w:color w:val="231F20"/>
          <w:w w:val="94"/>
        </w:rPr>
        <w:t> </w:t>
      </w:r>
      <w:r>
        <w:rPr>
          <w:color w:val="231F20"/>
          <w:spacing w:val="2"/>
        </w:rPr>
        <w:t>lograr </w:t>
      </w:r>
      <w:r>
        <w:rPr>
          <w:color w:val="231F20"/>
        </w:rPr>
        <w:t>la </w:t>
      </w:r>
      <w:r>
        <w:rPr>
          <w:color w:val="231F20"/>
          <w:spacing w:val="2"/>
        </w:rPr>
        <w:t>educabilidad </w:t>
      </w:r>
      <w:r>
        <w:rPr>
          <w:color w:val="231F20"/>
        </w:rPr>
        <w:t>es el </w:t>
      </w:r>
      <w:r>
        <w:rPr>
          <w:color w:val="231F20"/>
          <w:spacing w:val="2"/>
        </w:rPr>
        <w:t>juicio estético que </w:t>
      </w:r>
      <w:r>
        <w:rPr>
          <w:color w:val="231F20"/>
        </w:rPr>
        <w:t>el</w:t>
      </w:r>
      <w:r>
        <w:rPr>
          <w:color w:val="231F20"/>
          <w:spacing w:val="-8"/>
        </w:rPr>
        <w:t> </w:t>
      </w:r>
      <w:r>
        <w:rPr>
          <w:color w:val="231F20"/>
          <w:spacing w:val="2"/>
        </w:rPr>
        <w:t>joven</w:t>
      </w:r>
      <w:r>
        <w:rPr>
          <w:color w:val="231F20"/>
          <w:spacing w:val="48"/>
        </w:rPr>
        <w:t> </w:t>
      </w:r>
      <w:r>
        <w:rPr>
          <w:color w:val="231F20"/>
          <w:spacing w:val="2"/>
        </w:rPr>
        <w:t>realiza</w:t>
      </w:r>
      <w:r>
        <w:rPr>
          <w:color w:val="231F20"/>
          <w:spacing w:val="3"/>
          <w:w w:val="96"/>
        </w:rPr>
        <w:t> </w:t>
      </w:r>
      <w:r>
        <w:rPr>
          <w:color w:val="231F20"/>
          <w:spacing w:val="3"/>
        </w:rPr>
        <w:t>cuando </w:t>
      </w:r>
      <w:r>
        <w:rPr>
          <w:color w:val="231F20"/>
        </w:rPr>
        <w:t>se </w:t>
      </w:r>
      <w:r>
        <w:rPr>
          <w:color w:val="231F20"/>
          <w:spacing w:val="2"/>
        </w:rPr>
        <w:t>movilizan sus afectos </w:t>
      </w:r>
      <w:r>
        <w:rPr>
          <w:color w:val="231F20"/>
        </w:rPr>
        <w:t>y </w:t>
      </w:r>
      <w:r>
        <w:rPr>
          <w:color w:val="231F20"/>
          <w:spacing w:val="3"/>
        </w:rPr>
        <w:t>representaciones:</w:t>
      </w:r>
      <w:r>
        <w:rPr>
          <w:color w:val="231F20"/>
          <w:spacing w:val="42"/>
        </w:rPr>
        <w:t> </w:t>
      </w:r>
      <w:r>
        <w:rPr>
          <w:color w:val="231F20"/>
          <w:spacing w:val="2"/>
        </w:rPr>
        <w:t>ante</w:t>
      </w:r>
      <w:r>
        <w:rPr>
          <w:color w:val="231F20"/>
          <w:spacing w:val="29"/>
        </w:rPr>
        <w:t> </w:t>
      </w:r>
      <w:r>
        <w:rPr>
          <w:color w:val="231F20"/>
        </w:rPr>
        <w:t>la</w:t>
      </w:r>
      <w:r>
        <w:rPr>
          <w:color w:val="231F20"/>
          <w:w w:val="94"/>
        </w:rPr>
        <w:t> </w:t>
      </w:r>
      <w:r>
        <w:rPr>
          <w:color w:val="231F20"/>
          <w:spacing w:val="2"/>
        </w:rPr>
        <w:t>rigidez-dureza-cristalización </w:t>
      </w:r>
      <w:r>
        <w:rPr>
          <w:color w:val="231F20"/>
        </w:rPr>
        <w:t>o </w:t>
      </w:r>
      <w:r>
        <w:rPr>
          <w:color w:val="231F20"/>
          <w:spacing w:val="2"/>
        </w:rPr>
        <w:t>excesiva modificación</w:t>
      </w:r>
      <w:r>
        <w:rPr>
          <w:color w:val="231F20"/>
          <w:spacing w:val="28"/>
        </w:rPr>
        <w:t> </w:t>
      </w:r>
      <w:r>
        <w:rPr>
          <w:color w:val="231F20"/>
        </w:rPr>
        <w:t>de</w:t>
      </w:r>
      <w:r>
        <w:rPr>
          <w:color w:val="231F20"/>
          <w:spacing w:val="11"/>
        </w:rPr>
        <w:t> </w:t>
      </w:r>
      <w:r>
        <w:rPr>
          <w:color w:val="231F20"/>
          <w:spacing w:val="2"/>
        </w:rPr>
        <w:t>sus</w:t>
      </w:r>
      <w:r>
        <w:rPr>
          <w:color w:val="231F20"/>
          <w:w w:val="96"/>
        </w:rPr>
        <w:t> </w:t>
      </w:r>
      <w:r>
        <w:rPr>
          <w:color w:val="231F20"/>
          <w:spacing w:val="3"/>
        </w:rPr>
        <w:t>representaciones </w:t>
      </w:r>
      <w:r>
        <w:rPr>
          <w:color w:val="231F20"/>
        </w:rPr>
        <w:t>–y lo </w:t>
      </w:r>
      <w:r>
        <w:rPr>
          <w:color w:val="231F20"/>
          <w:spacing w:val="2"/>
        </w:rPr>
        <w:t>que </w:t>
      </w:r>
      <w:r>
        <w:rPr>
          <w:color w:val="231F20"/>
        </w:rPr>
        <w:t>las </w:t>
      </w:r>
      <w:r>
        <w:rPr>
          <w:color w:val="231F20"/>
          <w:spacing w:val="2"/>
        </w:rPr>
        <w:t>vincula– requiere</w:t>
      </w:r>
      <w:r>
        <w:rPr>
          <w:color w:val="231F20"/>
          <w:spacing w:val="39"/>
        </w:rPr>
        <w:t> </w:t>
      </w:r>
      <w:r>
        <w:rPr>
          <w:color w:val="231F20"/>
          <w:spacing w:val="2"/>
        </w:rPr>
        <w:t>cobrar</w:t>
      </w:r>
      <w:r>
        <w:rPr>
          <w:color w:val="231F20"/>
          <w:spacing w:val="6"/>
        </w:rPr>
        <w:t> </w:t>
      </w:r>
      <w:r>
        <w:rPr>
          <w:color w:val="231F20"/>
          <w:spacing w:val="3"/>
        </w:rPr>
        <w:t>conciencia</w:t>
      </w:r>
      <w:r>
        <w:rPr>
          <w:color w:val="231F20"/>
          <w:w w:val="94"/>
        </w:rPr>
        <w:t> </w:t>
      </w:r>
      <w:r>
        <w:rPr>
          <w:color w:val="231F20"/>
        </w:rPr>
        <w:t>de su </w:t>
      </w:r>
      <w:r>
        <w:rPr>
          <w:color w:val="231F20"/>
          <w:spacing w:val="2"/>
        </w:rPr>
        <w:t>condición gracias </w:t>
      </w:r>
      <w:r>
        <w:rPr>
          <w:color w:val="231F20"/>
        </w:rPr>
        <w:t>a un </w:t>
      </w:r>
      <w:r>
        <w:rPr>
          <w:color w:val="231F20"/>
          <w:spacing w:val="2"/>
        </w:rPr>
        <w:t>juicio </w:t>
      </w:r>
      <w:r>
        <w:rPr>
          <w:color w:val="231F20"/>
        </w:rPr>
        <w:t>en el </w:t>
      </w:r>
      <w:r>
        <w:rPr>
          <w:color w:val="231F20"/>
          <w:spacing w:val="2"/>
        </w:rPr>
        <w:t>que esté </w:t>
      </w:r>
      <w:r>
        <w:rPr>
          <w:color w:val="231F20"/>
        </w:rPr>
        <w:t>en </w:t>
      </w:r>
      <w:r>
        <w:rPr>
          <w:color w:val="231F20"/>
          <w:spacing w:val="2"/>
        </w:rPr>
        <w:t>juego</w:t>
      </w:r>
      <w:r>
        <w:rPr>
          <w:color w:val="231F20"/>
          <w:spacing w:val="55"/>
        </w:rPr>
        <w:t> </w:t>
      </w:r>
      <w:r>
        <w:rPr>
          <w:color w:val="231F20"/>
        </w:rPr>
        <w:t>lo</w:t>
      </w:r>
      <w:r>
        <w:rPr>
          <w:color w:val="231F20"/>
          <w:spacing w:val="5"/>
        </w:rPr>
        <w:t> </w:t>
      </w:r>
      <w:r>
        <w:rPr>
          <w:color w:val="231F20"/>
          <w:spacing w:val="3"/>
        </w:rPr>
        <w:t>bello,</w:t>
      </w:r>
      <w:r>
        <w:rPr>
          <w:color w:val="231F20"/>
          <w:spacing w:val="4"/>
          <w:w w:val="99"/>
        </w:rPr>
        <w:t> </w:t>
      </w:r>
      <w:r>
        <w:rPr>
          <w:color w:val="231F20"/>
          <w:spacing w:val="3"/>
        </w:rPr>
        <w:t>armonioso, </w:t>
      </w:r>
      <w:r>
        <w:rPr>
          <w:color w:val="231F20"/>
          <w:spacing w:val="2"/>
        </w:rPr>
        <w:t>trágico, </w:t>
      </w:r>
      <w:r>
        <w:rPr>
          <w:color w:val="231F20"/>
          <w:spacing w:val="3"/>
        </w:rPr>
        <w:t>cómico, </w:t>
      </w:r>
      <w:r>
        <w:rPr>
          <w:color w:val="231F20"/>
          <w:spacing w:val="2"/>
        </w:rPr>
        <w:t>grotesco, </w:t>
      </w:r>
      <w:r>
        <w:rPr>
          <w:color w:val="231F20"/>
          <w:spacing w:val="3"/>
        </w:rPr>
        <w:t>horroroso </w:t>
      </w:r>
      <w:r>
        <w:rPr>
          <w:color w:val="231F20"/>
        </w:rPr>
        <w:t>o</w:t>
      </w:r>
      <w:r>
        <w:rPr>
          <w:color w:val="231F20"/>
          <w:spacing w:val="25"/>
        </w:rPr>
        <w:t> </w:t>
      </w:r>
      <w:r>
        <w:rPr>
          <w:color w:val="231F20"/>
          <w:spacing w:val="2"/>
        </w:rPr>
        <w:t>sublime.</w:t>
      </w:r>
      <w:r>
        <w:rPr>
          <w:color w:val="231F20"/>
          <w:spacing w:val="6"/>
        </w:rPr>
        <w:t> </w:t>
      </w:r>
      <w:r>
        <w:rPr>
          <w:color w:val="231F20"/>
        </w:rPr>
        <w:t>El</w:t>
      </w:r>
      <w:r>
        <w:rPr>
          <w:color w:val="231F20"/>
          <w:w w:val="84"/>
        </w:rPr>
        <w:t> </w:t>
      </w:r>
      <w:r>
        <w:rPr>
          <w:color w:val="231F20"/>
          <w:spacing w:val="2"/>
        </w:rPr>
        <w:t>juicio estético </w:t>
      </w:r>
      <w:r>
        <w:rPr>
          <w:color w:val="231F20"/>
        </w:rPr>
        <w:t>no se </w:t>
      </w:r>
      <w:r>
        <w:rPr>
          <w:color w:val="231F20"/>
          <w:spacing w:val="2"/>
        </w:rPr>
        <w:t>restringe </w:t>
      </w:r>
      <w:r>
        <w:rPr>
          <w:color w:val="231F20"/>
          <w:spacing w:val="3"/>
        </w:rPr>
        <w:t>necesariamente, </w:t>
      </w:r>
      <w:r>
        <w:rPr>
          <w:color w:val="231F20"/>
        </w:rPr>
        <w:t>a la</w:t>
      </w:r>
      <w:r>
        <w:rPr>
          <w:color w:val="231F20"/>
          <w:spacing w:val="30"/>
        </w:rPr>
        <w:t> </w:t>
      </w:r>
      <w:r>
        <w:rPr>
          <w:color w:val="231F20"/>
          <w:spacing w:val="2"/>
        </w:rPr>
        <w:t>simpleza</w:t>
      </w:r>
      <w:r>
        <w:rPr>
          <w:color w:val="231F20"/>
          <w:spacing w:val="4"/>
        </w:rPr>
        <w:t> </w:t>
      </w:r>
      <w:r>
        <w:rPr>
          <w:color w:val="231F20"/>
          <w:spacing w:val="2"/>
        </w:rPr>
        <w:t>bonito</w:t>
      </w:r>
      <w:r>
        <w:rPr>
          <w:color w:val="231F20"/>
          <w:w w:val="104"/>
        </w:rPr>
        <w:t> </w:t>
      </w:r>
      <w:r>
        <w:rPr>
          <w:i/>
          <w:color w:val="231F20"/>
          <w:spacing w:val="2"/>
        </w:rPr>
        <w:t>versus</w:t>
      </w:r>
      <w:r>
        <w:rPr>
          <w:i/>
          <w:color w:val="231F20"/>
          <w:spacing w:val="20"/>
        </w:rPr>
        <w:t> </w:t>
      </w:r>
      <w:r>
        <w:rPr>
          <w:color w:val="231F20"/>
          <w:spacing w:val="2"/>
        </w:rPr>
        <w:t>feo.</w:t>
      </w:r>
      <w:r>
        <w:rPr>
          <w:color w:val="231F20"/>
          <w:spacing w:val="20"/>
        </w:rPr>
        <w:t> </w:t>
      </w:r>
      <w:r>
        <w:rPr>
          <w:color w:val="231F20"/>
          <w:spacing w:val="2"/>
        </w:rPr>
        <w:t>Son</w:t>
      </w:r>
      <w:r>
        <w:rPr>
          <w:color w:val="231F20"/>
          <w:spacing w:val="21"/>
        </w:rPr>
        <w:t> </w:t>
      </w:r>
      <w:r>
        <w:rPr>
          <w:color w:val="231F20"/>
          <w:spacing w:val="2"/>
        </w:rPr>
        <w:t>estados</w:t>
      </w:r>
      <w:r>
        <w:rPr>
          <w:color w:val="231F20"/>
          <w:spacing w:val="20"/>
        </w:rPr>
        <w:t> </w:t>
      </w:r>
      <w:r>
        <w:rPr>
          <w:color w:val="231F20"/>
        </w:rPr>
        <w:t>de</w:t>
      </w:r>
      <w:r>
        <w:rPr>
          <w:color w:val="231F20"/>
          <w:spacing w:val="21"/>
        </w:rPr>
        <w:t> </w:t>
      </w:r>
      <w:r>
        <w:rPr>
          <w:color w:val="231F20"/>
          <w:spacing w:val="2"/>
        </w:rPr>
        <w:t>ánimo</w:t>
      </w:r>
      <w:r>
        <w:rPr>
          <w:color w:val="231F20"/>
          <w:spacing w:val="21"/>
        </w:rPr>
        <w:t> </w:t>
      </w:r>
      <w:r>
        <w:rPr>
          <w:color w:val="231F20"/>
        </w:rPr>
        <w:t>o</w:t>
      </w:r>
      <w:r>
        <w:rPr>
          <w:color w:val="231F20"/>
          <w:spacing w:val="21"/>
        </w:rPr>
        <w:t> </w:t>
      </w:r>
      <w:r>
        <w:rPr>
          <w:color w:val="231F20"/>
          <w:spacing w:val="2"/>
        </w:rPr>
        <w:t>afectos</w:t>
      </w:r>
      <w:r>
        <w:rPr>
          <w:color w:val="231F20"/>
          <w:spacing w:val="20"/>
        </w:rPr>
        <w:t> </w:t>
      </w:r>
      <w:r>
        <w:rPr>
          <w:color w:val="231F20"/>
          <w:spacing w:val="3"/>
        </w:rPr>
        <w:t>movidos</w:t>
      </w:r>
      <w:r>
        <w:rPr>
          <w:color w:val="231F20"/>
          <w:spacing w:val="20"/>
        </w:rPr>
        <w:t> </w:t>
      </w:r>
      <w:r>
        <w:rPr>
          <w:color w:val="231F20"/>
          <w:spacing w:val="2"/>
        </w:rPr>
        <w:t>por</w:t>
      </w:r>
      <w:r>
        <w:rPr>
          <w:color w:val="231F20"/>
          <w:spacing w:val="20"/>
        </w:rPr>
        <w:t> </w:t>
      </w:r>
      <w:r>
        <w:rPr>
          <w:color w:val="231F20"/>
        </w:rPr>
        <w:t>el</w:t>
      </w:r>
      <w:r>
        <w:rPr>
          <w:color w:val="231F20"/>
          <w:spacing w:val="20"/>
        </w:rPr>
        <w:t> </w:t>
      </w:r>
      <w:r>
        <w:rPr>
          <w:color w:val="231F20"/>
          <w:spacing w:val="2"/>
        </w:rPr>
        <w:t>juego</w:t>
      </w:r>
      <w:r>
        <w:rPr>
          <w:color w:val="231F20"/>
          <w:w w:val="104"/>
        </w:rPr>
        <w:t> </w:t>
      </w:r>
      <w:r>
        <w:rPr>
          <w:color w:val="231F20"/>
        </w:rPr>
        <w:t>de  las  </w:t>
      </w:r>
      <w:r>
        <w:rPr>
          <w:color w:val="231F20"/>
          <w:spacing w:val="3"/>
        </w:rPr>
        <w:t>representaciones. </w:t>
      </w:r>
      <w:r>
        <w:rPr>
          <w:color w:val="231F20"/>
          <w:spacing w:val="2"/>
        </w:rPr>
        <w:t>Aún  </w:t>
      </w:r>
      <w:r>
        <w:rPr>
          <w:color w:val="231F20"/>
        </w:rPr>
        <w:t>no  es  un  </w:t>
      </w:r>
      <w:r>
        <w:rPr>
          <w:color w:val="231F20"/>
          <w:spacing w:val="2"/>
        </w:rPr>
        <w:t>juicio  epistemológico,</w:t>
      </w:r>
      <w:r>
        <w:rPr>
          <w:color w:val="231F20"/>
          <w:spacing w:val="-12"/>
        </w:rPr>
        <w:t> </w:t>
      </w:r>
      <w:r>
        <w:rPr>
          <w:color w:val="231F20"/>
        </w:rPr>
        <w:t>ni</w:t>
      </w:r>
    </w:p>
    <w:p>
      <w:pPr>
        <w:pStyle w:val="BodyText"/>
        <w:spacing w:line="240" w:lineRule="exact"/>
        <w:ind w:left="101"/>
        <w:jc w:val="both"/>
      </w:pPr>
      <w:r>
        <w:rPr>
          <w:color w:val="231F20"/>
        </w:rPr>
        <w:t>estético, ni político.</w:t>
      </w:r>
    </w:p>
    <w:p>
      <w:pPr>
        <w:pStyle w:val="BodyText"/>
        <w:spacing w:before="4"/>
        <w:rPr>
          <w:sz w:val="22"/>
        </w:rPr>
      </w:pPr>
    </w:p>
    <w:p>
      <w:pPr>
        <w:pStyle w:val="ListParagraph"/>
        <w:numPr>
          <w:ilvl w:val="0"/>
          <w:numId w:val="6"/>
        </w:numPr>
        <w:tabs>
          <w:tab w:pos="285" w:val="left" w:leader="none"/>
        </w:tabs>
        <w:spacing w:line="240" w:lineRule="auto" w:before="1" w:after="0"/>
        <w:ind w:left="284" w:right="0" w:hanging="182"/>
        <w:jc w:val="both"/>
        <w:rPr>
          <w:color w:val="231F20"/>
          <w:sz w:val="21"/>
        </w:rPr>
      </w:pPr>
      <w:r>
        <w:rPr>
          <w:color w:val="231F20"/>
          <w:spacing w:val="-6"/>
          <w:w w:val="105"/>
          <w:sz w:val="21"/>
        </w:rPr>
        <w:t>METODOLOGÍA, </w:t>
      </w:r>
      <w:r>
        <w:rPr>
          <w:color w:val="231F20"/>
          <w:spacing w:val="-5"/>
          <w:w w:val="105"/>
          <w:sz w:val="21"/>
        </w:rPr>
        <w:t>MÉTODO, </w:t>
      </w:r>
      <w:r>
        <w:rPr>
          <w:color w:val="231F20"/>
          <w:spacing w:val="-6"/>
          <w:w w:val="105"/>
          <w:sz w:val="21"/>
        </w:rPr>
        <w:t>TÉCNICA </w:t>
      </w:r>
      <w:r>
        <w:rPr>
          <w:color w:val="231F20"/>
          <w:w w:val="105"/>
          <w:sz w:val="21"/>
        </w:rPr>
        <w:t>Y</w:t>
      </w:r>
      <w:r>
        <w:rPr>
          <w:color w:val="231F20"/>
          <w:spacing w:val="-26"/>
          <w:w w:val="105"/>
          <w:sz w:val="21"/>
        </w:rPr>
        <w:t> </w:t>
      </w:r>
      <w:r>
        <w:rPr>
          <w:color w:val="231F20"/>
          <w:spacing w:val="-6"/>
          <w:w w:val="105"/>
          <w:sz w:val="21"/>
        </w:rPr>
        <w:t>PROCEDIMIENTO</w:t>
      </w:r>
    </w:p>
    <w:p>
      <w:pPr>
        <w:pStyle w:val="BodyText"/>
        <w:spacing w:before="1"/>
      </w:pPr>
    </w:p>
    <w:p>
      <w:pPr>
        <w:pStyle w:val="BodyText"/>
        <w:spacing w:line="247" w:lineRule="auto" w:before="1"/>
        <w:ind w:left="101" w:right="117"/>
        <w:jc w:val="both"/>
      </w:pPr>
      <w:r>
        <w:rPr>
          <w:color w:val="231F20"/>
        </w:rPr>
        <w:t>Una cuestión fundamental en una investigación es su grado de cientificidad derivado de la metodología, del método, las técnicas y el procedimiento para preguntarse, buscar y obtener la información  y,  luego,  procesarla.  Usualmente  estos  son  confundidos  entre sí:</w:t>
      </w:r>
    </w:p>
    <w:p>
      <w:pPr>
        <w:spacing w:after="0" w:line="247" w:lineRule="auto"/>
        <w:jc w:val="both"/>
        <w:sectPr>
          <w:headerReference w:type="default" r:id="rId377"/>
          <w:footerReference w:type="default" r:id="rId378"/>
          <w:pgSz w:w="7830" w:h="11910"/>
          <w:pgMar w:header="0" w:footer="424" w:top="500" w:bottom="620" w:left="920" w:right="900"/>
          <w:pgNumType w:start="17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21"/>
      </w:pPr>
      <w:r>
        <w:rPr>
          <w:color w:val="231F20"/>
        </w:rPr>
        <w:t>metodología, método, técnica y procedimiento se admiten como si fueran similares. Es necesario distinguirlos.</w:t>
      </w:r>
    </w:p>
    <w:p>
      <w:pPr>
        <w:pStyle w:val="BodyText"/>
        <w:spacing w:line="249" w:lineRule="auto" w:before="10"/>
        <w:ind w:left="101" w:right="115" w:firstLine="284"/>
        <w:jc w:val="both"/>
      </w:pPr>
      <w:r>
        <w:rPr>
          <w:color w:val="231F20"/>
        </w:rPr>
        <w:t>La </w:t>
      </w:r>
      <w:r>
        <w:rPr>
          <w:color w:val="231F20"/>
          <w:spacing w:val="2"/>
        </w:rPr>
        <w:t>metodología </w:t>
      </w:r>
      <w:r>
        <w:rPr>
          <w:color w:val="231F20"/>
        </w:rPr>
        <w:t>es un </w:t>
      </w:r>
      <w:r>
        <w:rPr>
          <w:color w:val="231F20"/>
          <w:spacing w:val="2"/>
        </w:rPr>
        <w:t>horizonte teórico-práctico </w:t>
      </w:r>
      <w:r>
        <w:rPr>
          <w:color w:val="231F20"/>
        </w:rPr>
        <w:t>que </w:t>
      </w:r>
      <w:r>
        <w:rPr>
          <w:color w:val="231F20"/>
          <w:spacing w:val="2"/>
        </w:rPr>
        <w:t>posiciona  </w:t>
      </w:r>
      <w:r>
        <w:rPr>
          <w:color w:val="231F20"/>
        </w:rPr>
        <w:t>al </w:t>
      </w:r>
      <w:r>
        <w:rPr>
          <w:color w:val="231F20"/>
          <w:spacing w:val="2"/>
        </w:rPr>
        <w:t>investigador frente </w:t>
      </w:r>
      <w:r>
        <w:rPr>
          <w:color w:val="231F20"/>
        </w:rPr>
        <w:t>a la </w:t>
      </w:r>
      <w:r>
        <w:rPr>
          <w:color w:val="231F20"/>
          <w:spacing w:val="2"/>
        </w:rPr>
        <w:t>realidad, </w:t>
      </w:r>
      <w:r>
        <w:rPr>
          <w:color w:val="231F20"/>
        </w:rPr>
        <w:t>es </w:t>
      </w:r>
      <w:r>
        <w:rPr>
          <w:color w:val="231F20"/>
          <w:spacing w:val="2"/>
        </w:rPr>
        <w:t>decir, </w:t>
      </w:r>
      <w:r>
        <w:rPr>
          <w:color w:val="231F20"/>
        </w:rPr>
        <w:t>es </w:t>
      </w:r>
      <w:r>
        <w:rPr>
          <w:color w:val="231F20"/>
          <w:spacing w:val="2"/>
        </w:rPr>
        <w:t>una metateoría </w:t>
      </w:r>
      <w:r>
        <w:rPr>
          <w:color w:val="231F20"/>
          <w:spacing w:val="3"/>
        </w:rPr>
        <w:t>que </w:t>
      </w:r>
      <w:r>
        <w:rPr>
          <w:color w:val="231F20"/>
        </w:rPr>
        <w:t>no </w:t>
      </w:r>
      <w:r>
        <w:rPr>
          <w:color w:val="231F20"/>
          <w:spacing w:val="2"/>
        </w:rPr>
        <w:t>siempre </w:t>
      </w:r>
      <w:r>
        <w:rPr>
          <w:color w:val="231F20"/>
        </w:rPr>
        <w:t>se vive de </w:t>
      </w:r>
      <w:r>
        <w:rPr>
          <w:color w:val="231F20"/>
          <w:spacing w:val="3"/>
        </w:rPr>
        <w:t>manera </w:t>
      </w:r>
      <w:r>
        <w:rPr>
          <w:color w:val="231F20"/>
          <w:spacing w:val="2"/>
        </w:rPr>
        <w:t>consciente. </w:t>
      </w:r>
      <w:r>
        <w:rPr>
          <w:color w:val="231F20"/>
        </w:rPr>
        <w:t>La </w:t>
      </w:r>
      <w:r>
        <w:rPr>
          <w:color w:val="231F20"/>
          <w:spacing w:val="2"/>
        </w:rPr>
        <w:t>metateoría </w:t>
      </w:r>
      <w:r>
        <w:rPr>
          <w:color w:val="231F20"/>
        </w:rPr>
        <w:t>o </w:t>
      </w:r>
      <w:r>
        <w:rPr>
          <w:color w:val="231F20"/>
          <w:spacing w:val="2"/>
        </w:rPr>
        <w:t>metodología </w:t>
      </w:r>
      <w:r>
        <w:rPr>
          <w:color w:val="231F20"/>
        </w:rPr>
        <w:t>es un </w:t>
      </w:r>
      <w:r>
        <w:rPr>
          <w:color w:val="231F20"/>
          <w:spacing w:val="2"/>
        </w:rPr>
        <w:t>horizonte porque dirige </w:t>
      </w:r>
      <w:r>
        <w:rPr>
          <w:color w:val="231F20"/>
        </w:rPr>
        <w:t>la </w:t>
      </w:r>
      <w:r>
        <w:rPr>
          <w:color w:val="231F20"/>
          <w:spacing w:val="2"/>
        </w:rPr>
        <w:t>investigación </w:t>
      </w:r>
      <w:r>
        <w:rPr>
          <w:color w:val="231F20"/>
        </w:rPr>
        <w:t>a </w:t>
      </w:r>
      <w:r>
        <w:rPr>
          <w:color w:val="231F20"/>
          <w:spacing w:val="2"/>
        </w:rPr>
        <w:t>decisiones </w:t>
      </w:r>
      <w:r>
        <w:rPr>
          <w:color w:val="231F20"/>
          <w:spacing w:val="3"/>
        </w:rPr>
        <w:t>impensadas; </w:t>
      </w:r>
      <w:r>
        <w:rPr>
          <w:color w:val="231F20"/>
          <w:spacing w:val="2"/>
        </w:rPr>
        <w:t>por caso, </w:t>
      </w:r>
      <w:r>
        <w:rPr>
          <w:color w:val="231F20"/>
          <w:spacing w:val="3"/>
        </w:rPr>
        <w:t>preguntarse </w:t>
      </w:r>
      <w:r>
        <w:rPr>
          <w:color w:val="231F20"/>
        </w:rPr>
        <w:t>tal o </w:t>
      </w:r>
      <w:r>
        <w:rPr>
          <w:color w:val="231F20"/>
          <w:spacing w:val="2"/>
        </w:rPr>
        <w:t>cual cosa, </w:t>
      </w:r>
      <w:r>
        <w:rPr>
          <w:color w:val="231F20"/>
        </w:rPr>
        <w:t>o </w:t>
      </w:r>
      <w:r>
        <w:rPr>
          <w:color w:val="231F20"/>
          <w:spacing w:val="2"/>
        </w:rPr>
        <w:t>justificar </w:t>
      </w:r>
      <w:r>
        <w:rPr>
          <w:color w:val="231F20"/>
        </w:rPr>
        <w:t>o </w:t>
      </w:r>
      <w:r>
        <w:rPr>
          <w:color w:val="231F20"/>
          <w:spacing w:val="2"/>
        </w:rPr>
        <w:t>criticar </w:t>
      </w:r>
      <w:r>
        <w:rPr>
          <w:color w:val="231F20"/>
        </w:rPr>
        <w:t>el </w:t>
      </w:r>
      <w:r>
        <w:rPr>
          <w:color w:val="231F20"/>
          <w:spacing w:val="2"/>
        </w:rPr>
        <w:t>estado </w:t>
      </w:r>
      <w:r>
        <w:rPr>
          <w:color w:val="231F20"/>
        </w:rPr>
        <w:t>de </w:t>
      </w:r>
      <w:r>
        <w:rPr>
          <w:color w:val="231F20"/>
          <w:spacing w:val="2"/>
        </w:rPr>
        <w:t>cosas vigente. </w:t>
      </w:r>
      <w:r>
        <w:rPr>
          <w:color w:val="231F20"/>
          <w:spacing w:val="3"/>
        </w:rPr>
        <w:t>Reduciendo </w:t>
      </w:r>
      <w:r>
        <w:rPr>
          <w:color w:val="231F20"/>
          <w:spacing w:val="2"/>
        </w:rPr>
        <w:t>con </w:t>
      </w:r>
      <w:r>
        <w:rPr>
          <w:color w:val="231F20"/>
          <w:spacing w:val="3"/>
        </w:rPr>
        <w:t>mucho </w:t>
      </w:r>
      <w:r>
        <w:rPr>
          <w:color w:val="231F20"/>
        </w:rPr>
        <w:t>la </w:t>
      </w:r>
      <w:r>
        <w:rPr>
          <w:color w:val="231F20"/>
          <w:spacing w:val="2"/>
        </w:rPr>
        <w:t>metateoría, </w:t>
      </w:r>
      <w:r>
        <w:rPr>
          <w:color w:val="231F20"/>
        </w:rPr>
        <w:t>es </w:t>
      </w:r>
      <w:r>
        <w:rPr>
          <w:color w:val="231F20"/>
          <w:spacing w:val="2"/>
        </w:rPr>
        <w:t>usual verla  como  emancipadora  (marxista)</w:t>
      </w:r>
      <w:r>
        <w:rPr>
          <w:color w:val="231F20"/>
          <w:spacing w:val="-7"/>
        </w:rPr>
        <w:t> </w:t>
      </w:r>
      <w:r>
        <w:rPr>
          <w:i/>
          <w:color w:val="231F20"/>
          <w:spacing w:val="2"/>
        </w:rPr>
        <w:t>versus</w:t>
      </w:r>
      <w:r>
        <w:rPr>
          <w:i/>
          <w:color w:val="231F20"/>
          <w:spacing w:val="-8"/>
        </w:rPr>
        <w:t> </w:t>
      </w:r>
      <w:r>
        <w:rPr>
          <w:color w:val="231F20"/>
          <w:spacing w:val="3"/>
        </w:rPr>
        <w:t>conservadora</w:t>
      </w:r>
      <w:r>
        <w:rPr>
          <w:color w:val="231F20"/>
          <w:spacing w:val="-7"/>
        </w:rPr>
        <w:t> </w:t>
      </w:r>
      <w:r>
        <w:rPr>
          <w:color w:val="231F20"/>
          <w:spacing w:val="2"/>
        </w:rPr>
        <w:t>(funcionalista).</w:t>
      </w:r>
      <w:r>
        <w:rPr>
          <w:color w:val="231F20"/>
          <w:spacing w:val="-8"/>
        </w:rPr>
        <w:t> </w:t>
      </w:r>
      <w:r>
        <w:rPr>
          <w:color w:val="231F20"/>
          <w:spacing w:val="2"/>
        </w:rPr>
        <w:t>Frente</w:t>
      </w:r>
      <w:r>
        <w:rPr>
          <w:color w:val="231F20"/>
          <w:spacing w:val="-7"/>
        </w:rPr>
        <w:t> </w:t>
      </w:r>
      <w:r>
        <w:rPr>
          <w:color w:val="231F20"/>
        </w:rPr>
        <w:t>a</w:t>
      </w:r>
      <w:r>
        <w:rPr>
          <w:color w:val="231F20"/>
          <w:spacing w:val="-7"/>
        </w:rPr>
        <w:t> </w:t>
      </w:r>
      <w:r>
        <w:rPr>
          <w:color w:val="231F20"/>
        </w:rPr>
        <w:t>esa</w:t>
      </w:r>
      <w:r>
        <w:rPr>
          <w:color w:val="231F20"/>
          <w:spacing w:val="-7"/>
        </w:rPr>
        <w:t> </w:t>
      </w:r>
      <w:r>
        <w:rPr>
          <w:color w:val="231F20"/>
          <w:spacing w:val="3"/>
        </w:rPr>
        <w:t>postura maniquea, </w:t>
      </w:r>
      <w:r>
        <w:rPr>
          <w:color w:val="231F20"/>
          <w:spacing w:val="2"/>
        </w:rPr>
        <w:t>esta investigación fue guiada </w:t>
      </w:r>
      <w:r>
        <w:rPr>
          <w:color w:val="231F20"/>
        </w:rPr>
        <w:t>con el </w:t>
      </w:r>
      <w:r>
        <w:rPr>
          <w:color w:val="231F20"/>
          <w:spacing w:val="2"/>
        </w:rPr>
        <w:t>recurso del </w:t>
      </w:r>
      <w:r>
        <w:rPr>
          <w:color w:val="231F20"/>
          <w:spacing w:val="3"/>
        </w:rPr>
        <w:t>“pensamiento complejo”. </w:t>
      </w:r>
      <w:r>
        <w:rPr>
          <w:color w:val="231F20"/>
          <w:spacing w:val="2"/>
        </w:rPr>
        <w:t>Este contiene,  entre  otros  </w:t>
      </w:r>
      <w:r>
        <w:rPr>
          <w:color w:val="231F20"/>
          <w:spacing w:val="3"/>
        </w:rPr>
        <w:t>elementos, </w:t>
      </w:r>
      <w:r>
        <w:rPr>
          <w:color w:val="231F20"/>
        </w:rPr>
        <w:t>“el </w:t>
      </w:r>
      <w:r>
        <w:rPr>
          <w:color w:val="231F20"/>
          <w:spacing w:val="2"/>
        </w:rPr>
        <w:t>principio </w:t>
      </w:r>
      <w:r>
        <w:rPr>
          <w:color w:val="231F20"/>
        </w:rPr>
        <w:t>de </w:t>
      </w:r>
      <w:r>
        <w:rPr>
          <w:color w:val="231F20"/>
          <w:spacing w:val="2"/>
        </w:rPr>
        <w:t>identidad”: </w:t>
      </w:r>
      <w:r>
        <w:rPr>
          <w:color w:val="231F20"/>
        </w:rPr>
        <w:t>la </w:t>
      </w:r>
      <w:r>
        <w:rPr>
          <w:color w:val="231F20"/>
          <w:spacing w:val="2"/>
        </w:rPr>
        <w:t>cosa </w:t>
      </w:r>
      <w:r>
        <w:rPr>
          <w:color w:val="231F20"/>
        </w:rPr>
        <w:t>es lo que es; no es </w:t>
      </w:r>
      <w:r>
        <w:rPr>
          <w:color w:val="231F20"/>
          <w:spacing w:val="2"/>
        </w:rPr>
        <w:t>admisible </w:t>
      </w:r>
      <w:r>
        <w:rPr>
          <w:color w:val="231F20"/>
        </w:rPr>
        <w:t>la </w:t>
      </w:r>
      <w:r>
        <w:rPr>
          <w:color w:val="231F20"/>
          <w:spacing w:val="3"/>
        </w:rPr>
        <w:t>ambigüedad </w:t>
      </w:r>
      <w:r>
        <w:rPr>
          <w:color w:val="231F20"/>
        </w:rPr>
        <w:t>ni la </w:t>
      </w:r>
      <w:r>
        <w:rPr>
          <w:color w:val="231F20"/>
          <w:spacing w:val="2"/>
        </w:rPr>
        <w:t>confusión </w:t>
      </w:r>
      <w:r>
        <w:rPr>
          <w:color w:val="231F20"/>
        </w:rPr>
        <w:t>ni la </w:t>
      </w:r>
      <w:r>
        <w:rPr>
          <w:color w:val="231F20"/>
          <w:spacing w:val="3"/>
        </w:rPr>
        <w:t>contradicción. También </w:t>
      </w:r>
      <w:r>
        <w:rPr>
          <w:color w:val="231F20"/>
        </w:rPr>
        <w:t>se guió </w:t>
      </w:r>
      <w:r>
        <w:rPr>
          <w:color w:val="231F20"/>
          <w:spacing w:val="2"/>
        </w:rPr>
        <w:t>por </w:t>
      </w:r>
      <w:r>
        <w:rPr>
          <w:color w:val="231F20"/>
        </w:rPr>
        <w:t>el </w:t>
      </w:r>
      <w:r>
        <w:rPr>
          <w:color w:val="231F20"/>
          <w:spacing w:val="2"/>
        </w:rPr>
        <w:t>principio dialéctico, </w:t>
      </w:r>
      <w:r>
        <w:rPr>
          <w:color w:val="231F20"/>
        </w:rPr>
        <w:t>ya sea en su </w:t>
      </w:r>
      <w:r>
        <w:rPr>
          <w:color w:val="231F20"/>
          <w:spacing w:val="3"/>
        </w:rPr>
        <w:t>forma </w:t>
      </w:r>
      <w:r>
        <w:rPr>
          <w:color w:val="231F20"/>
        </w:rPr>
        <w:t>de </w:t>
      </w:r>
      <w:r>
        <w:rPr>
          <w:color w:val="231F20"/>
          <w:spacing w:val="2"/>
        </w:rPr>
        <w:t>lucha </w:t>
      </w:r>
      <w:r>
        <w:rPr>
          <w:color w:val="231F20"/>
        </w:rPr>
        <w:t>de </w:t>
      </w:r>
      <w:r>
        <w:rPr>
          <w:color w:val="231F20"/>
          <w:spacing w:val="2"/>
        </w:rPr>
        <w:t>contrarios para dar lugar </w:t>
      </w:r>
      <w:r>
        <w:rPr>
          <w:color w:val="231F20"/>
        </w:rPr>
        <w:t>a un </w:t>
      </w:r>
      <w:r>
        <w:rPr>
          <w:color w:val="231F20"/>
          <w:spacing w:val="2"/>
        </w:rPr>
        <w:t>tercero, </w:t>
      </w:r>
      <w:r>
        <w:rPr>
          <w:color w:val="231F20"/>
        </w:rPr>
        <w:t>o </w:t>
      </w:r>
      <w:r>
        <w:rPr>
          <w:color w:val="231F20"/>
          <w:spacing w:val="2"/>
        </w:rPr>
        <w:t>bien </w:t>
      </w:r>
      <w:r>
        <w:rPr>
          <w:color w:val="231F20"/>
          <w:spacing w:val="3"/>
        </w:rPr>
        <w:t>como </w:t>
      </w:r>
      <w:r>
        <w:rPr>
          <w:color w:val="231F20"/>
          <w:spacing w:val="2"/>
        </w:rPr>
        <w:t>logos: existen entre </w:t>
      </w:r>
      <w:r>
        <w:rPr>
          <w:color w:val="231F20"/>
        </w:rPr>
        <w:t>las </w:t>
      </w:r>
      <w:r>
        <w:rPr>
          <w:color w:val="231F20"/>
          <w:spacing w:val="3"/>
        </w:rPr>
        <w:t>opuestas </w:t>
      </w:r>
      <w:r>
        <w:rPr>
          <w:color w:val="231F20"/>
          <w:spacing w:val="2"/>
        </w:rPr>
        <w:t>totalidades </w:t>
      </w:r>
      <w:r>
        <w:rPr>
          <w:color w:val="231F20"/>
        </w:rPr>
        <w:t>o </w:t>
      </w:r>
      <w:r>
        <w:rPr>
          <w:color w:val="231F20"/>
          <w:spacing w:val="3"/>
        </w:rPr>
        <w:t>subsistemas </w:t>
      </w:r>
      <w:r>
        <w:rPr>
          <w:color w:val="231F20"/>
          <w:spacing w:val="2"/>
        </w:rPr>
        <w:t>intermedios. Otro elemento adicional </w:t>
      </w:r>
      <w:r>
        <w:rPr>
          <w:color w:val="231F20"/>
        </w:rPr>
        <w:t>es el </w:t>
      </w:r>
      <w:r>
        <w:rPr>
          <w:color w:val="231F20"/>
          <w:spacing w:val="2"/>
        </w:rPr>
        <w:t>dialógico: </w:t>
      </w:r>
      <w:r>
        <w:rPr>
          <w:color w:val="231F20"/>
        </w:rPr>
        <w:t>un  </w:t>
      </w:r>
      <w:r>
        <w:rPr>
          <w:color w:val="231F20"/>
          <w:spacing w:val="2"/>
        </w:rPr>
        <w:t>sistema para existir </w:t>
      </w:r>
      <w:r>
        <w:rPr>
          <w:color w:val="231F20"/>
          <w:spacing w:val="3"/>
        </w:rPr>
        <w:t>como</w:t>
      </w:r>
      <w:r>
        <w:rPr>
          <w:color w:val="231F20"/>
          <w:spacing w:val="58"/>
        </w:rPr>
        <w:t> </w:t>
      </w:r>
      <w:r>
        <w:rPr>
          <w:color w:val="231F20"/>
        </w:rPr>
        <w:t>tal, </w:t>
      </w:r>
      <w:r>
        <w:rPr>
          <w:color w:val="231F20"/>
          <w:spacing w:val="3"/>
        </w:rPr>
        <w:t>necesariamente </w:t>
      </w:r>
      <w:r>
        <w:rPr>
          <w:color w:val="231F20"/>
        </w:rPr>
        <w:t>se </w:t>
      </w:r>
      <w:r>
        <w:rPr>
          <w:color w:val="231F20"/>
          <w:spacing w:val="3"/>
        </w:rPr>
        <w:t>conforma </w:t>
      </w:r>
      <w:r>
        <w:rPr>
          <w:color w:val="231F20"/>
          <w:spacing w:val="2"/>
        </w:rPr>
        <w:t>por pares </w:t>
      </w:r>
      <w:r>
        <w:rPr>
          <w:color w:val="231F20"/>
          <w:spacing w:val="3"/>
        </w:rPr>
        <w:t>antagónicos, </w:t>
      </w:r>
      <w:r>
        <w:rPr>
          <w:color w:val="231F20"/>
          <w:spacing w:val="2"/>
        </w:rPr>
        <w:t>por caso, vida </w:t>
      </w:r>
      <w:r>
        <w:rPr>
          <w:color w:val="231F20"/>
        </w:rPr>
        <w:t>y </w:t>
      </w:r>
      <w:r>
        <w:rPr>
          <w:color w:val="231F20"/>
          <w:spacing w:val="2"/>
        </w:rPr>
        <w:t>muerte. Uno más </w:t>
      </w:r>
      <w:r>
        <w:rPr>
          <w:color w:val="231F20"/>
        </w:rPr>
        <w:t>es el de </w:t>
      </w:r>
      <w:r>
        <w:rPr>
          <w:color w:val="231F20"/>
          <w:spacing w:val="3"/>
        </w:rPr>
        <w:t>incertidumbre, </w:t>
      </w:r>
      <w:r>
        <w:rPr>
          <w:color w:val="231F20"/>
          <w:spacing w:val="2"/>
        </w:rPr>
        <w:t>por más </w:t>
      </w:r>
      <w:r>
        <w:rPr>
          <w:color w:val="231F20"/>
        </w:rPr>
        <w:t>que se </w:t>
      </w:r>
      <w:r>
        <w:rPr>
          <w:color w:val="231F20"/>
          <w:spacing w:val="2"/>
        </w:rPr>
        <w:t>afane </w:t>
      </w:r>
      <w:r>
        <w:rPr>
          <w:color w:val="231F20"/>
        </w:rPr>
        <w:t>el </w:t>
      </w:r>
      <w:r>
        <w:rPr>
          <w:color w:val="231F20"/>
          <w:spacing w:val="2"/>
        </w:rPr>
        <w:t>investigador, </w:t>
      </w:r>
      <w:r>
        <w:rPr>
          <w:color w:val="231F20"/>
        </w:rPr>
        <w:t>no </w:t>
      </w:r>
      <w:r>
        <w:rPr>
          <w:color w:val="231F20"/>
          <w:spacing w:val="2"/>
        </w:rPr>
        <w:t>existe </w:t>
      </w:r>
      <w:r>
        <w:rPr>
          <w:color w:val="231F20"/>
        </w:rPr>
        <w:t>la </w:t>
      </w:r>
      <w:r>
        <w:rPr>
          <w:color w:val="231F20"/>
          <w:spacing w:val="3"/>
        </w:rPr>
        <w:t>posibilidad </w:t>
      </w:r>
      <w:r>
        <w:rPr>
          <w:color w:val="231F20"/>
        </w:rPr>
        <w:t>de que </w:t>
      </w:r>
      <w:r>
        <w:rPr>
          <w:color w:val="231F20"/>
          <w:spacing w:val="3"/>
        </w:rPr>
        <w:t>formule una </w:t>
      </w:r>
      <w:r>
        <w:rPr>
          <w:color w:val="231F20"/>
          <w:spacing w:val="2"/>
        </w:rPr>
        <w:t>teoría “acabada” </w:t>
      </w:r>
      <w:r>
        <w:rPr>
          <w:color w:val="231F20"/>
        </w:rPr>
        <w:t>o </w:t>
      </w:r>
      <w:r>
        <w:rPr>
          <w:color w:val="231F20"/>
          <w:spacing w:val="2"/>
        </w:rPr>
        <w:t>“total”: cada </w:t>
      </w:r>
      <w:r>
        <w:rPr>
          <w:color w:val="231F20"/>
          <w:spacing w:val="3"/>
        </w:rPr>
        <w:t>conocer </w:t>
      </w:r>
      <w:r>
        <w:rPr>
          <w:color w:val="231F20"/>
          <w:spacing w:val="2"/>
        </w:rPr>
        <w:t>implica cierta </w:t>
      </w:r>
      <w:r>
        <w:rPr>
          <w:color w:val="231F20"/>
          <w:spacing w:val="3"/>
        </w:rPr>
        <w:t>ignorancia; </w:t>
      </w:r>
      <w:r>
        <w:rPr>
          <w:color w:val="231F20"/>
        </w:rPr>
        <w:t>al </w:t>
      </w:r>
      <w:r>
        <w:rPr>
          <w:color w:val="231F20"/>
          <w:spacing w:val="3"/>
        </w:rPr>
        <w:t>mismo tiempo, </w:t>
      </w:r>
      <w:r>
        <w:rPr>
          <w:color w:val="231F20"/>
          <w:spacing w:val="2"/>
        </w:rPr>
        <w:t>existe </w:t>
      </w:r>
      <w:r>
        <w:rPr>
          <w:color w:val="231F20"/>
          <w:spacing w:val="3"/>
        </w:rPr>
        <w:t>incertidumbre </w:t>
      </w:r>
      <w:r>
        <w:rPr>
          <w:color w:val="231F20"/>
          <w:spacing w:val="2"/>
        </w:rPr>
        <w:t>porque </w:t>
      </w:r>
      <w:r>
        <w:rPr>
          <w:color w:val="231F20"/>
        </w:rPr>
        <w:t>en la </w:t>
      </w:r>
      <w:r>
        <w:rPr>
          <w:color w:val="231F20"/>
          <w:spacing w:val="2"/>
        </w:rPr>
        <w:t>realidad existe </w:t>
      </w:r>
      <w:r>
        <w:rPr>
          <w:color w:val="231F20"/>
        </w:rPr>
        <w:t>la </w:t>
      </w:r>
      <w:r>
        <w:rPr>
          <w:color w:val="231F20"/>
          <w:spacing w:val="3"/>
        </w:rPr>
        <w:t>indeterminación, </w:t>
      </w:r>
      <w:r>
        <w:rPr>
          <w:color w:val="231F20"/>
        </w:rPr>
        <w:t>el </w:t>
      </w:r>
      <w:r>
        <w:rPr>
          <w:color w:val="231F20"/>
          <w:spacing w:val="2"/>
        </w:rPr>
        <w:t>azar </w:t>
      </w:r>
      <w:r>
        <w:rPr>
          <w:color w:val="231F20"/>
        </w:rPr>
        <w:t>o lo </w:t>
      </w:r>
      <w:r>
        <w:rPr>
          <w:color w:val="231F20"/>
          <w:spacing w:val="2"/>
        </w:rPr>
        <w:t>fortuito </w:t>
      </w:r>
      <w:r>
        <w:rPr>
          <w:color w:val="231F20"/>
        </w:rPr>
        <w:t>e </w:t>
      </w:r>
      <w:r>
        <w:rPr>
          <w:color w:val="231F20"/>
          <w:spacing w:val="2"/>
        </w:rPr>
        <w:t>inesperado, </w:t>
      </w:r>
      <w:r>
        <w:rPr>
          <w:color w:val="231F20"/>
        </w:rPr>
        <w:t>es lo </w:t>
      </w:r>
      <w:r>
        <w:rPr>
          <w:color w:val="231F20"/>
          <w:spacing w:val="2"/>
        </w:rPr>
        <w:t>que </w:t>
      </w:r>
      <w:r>
        <w:rPr>
          <w:color w:val="231F20"/>
          <w:spacing w:val="3"/>
        </w:rPr>
        <w:t>acontece. </w:t>
      </w:r>
      <w:r>
        <w:rPr>
          <w:color w:val="231F20"/>
          <w:spacing w:val="2"/>
        </w:rPr>
        <w:t>Otro principio </w:t>
      </w:r>
      <w:r>
        <w:rPr>
          <w:color w:val="231F20"/>
        </w:rPr>
        <w:t>de la </w:t>
      </w:r>
      <w:r>
        <w:rPr>
          <w:color w:val="231F20"/>
          <w:spacing w:val="3"/>
        </w:rPr>
        <w:t>metodología </w:t>
      </w:r>
      <w:r>
        <w:rPr>
          <w:color w:val="231F20"/>
          <w:spacing w:val="2"/>
        </w:rPr>
        <w:t>provino </w:t>
      </w:r>
      <w:r>
        <w:rPr>
          <w:color w:val="231F20"/>
        </w:rPr>
        <w:t>de la </w:t>
      </w:r>
      <w:r>
        <w:rPr>
          <w:color w:val="231F20"/>
          <w:spacing w:val="3"/>
        </w:rPr>
        <w:t>termodinámica: </w:t>
      </w:r>
      <w:r>
        <w:rPr>
          <w:color w:val="231F20"/>
          <w:spacing w:val="2"/>
        </w:rPr>
        <w:t>todo sistema está </w:t>
      </w:r>
      <w:r>
        <w:rPr>
          <w:color w:val="231F20"/>
          <w:spacing w:val="3"/>
        </w:rPr>
        <w:t>condenado </w:t>
      </w:r>
      <w:r>
        <w:rPr>
          <w:color w:val="231F20"/>
        </w:rPr>
        <w:t>a la </w:t>
      </w:r>
      <w:r>
        <w:rPr>
          <w:color w:val="231F20"/>
          <w:spacing w:val="2"/>
        </w:rPr>
        <w:t>entropía, </w:t>
      </w:r>
      <w:r>
        <w:rPr>
          <w:color w:val="231F20"/>
          <w:spacing w:val="3"/>
        </w:rPr>
        <w:t>al desorden, </w:t>
      </w:r>
      <w:r>
        <w:rPr>
          <w:color w:val="231F20"/>
          <w:spacing w:val="2"/>
        </w:rPr>
        <w:t>caos </w:t>
      </w:r>
      <w:r>
        <w:rPr>
          <w:color w:val="231F20"/>
        </w:rPr>
        <w:t>y al </w:t>
      </w:r>
      <w:r>
        <w:rPr>
          <w:color w:val="231F20"/>
          <w:spacing w:val="2"/>
        </w:rPr>
        <w:t>dar origen </w:t>
      </w:r>
      <w:r>
        <w:rPr>
          <w:color w:val="231F20"/>
        </w:rPr>
        <w:t>a </w:t>
      </w:r>
      <w:r>
        <w:rPr>
          <w:color w:val="231F20"/>
          <w:spacing w:val="2"/>
        </w:rPr>
        <w:t>otros sistemas </w:t>
      </w:r>
      <w:r>
        <w:rPr>
          <w:color w:val="231F20"/>
        </w:rPr>
        <w:t>o </w:t>
      </w:r>
      <w:r>
        <w:rPr>
          <w:color w:val="231F20"/>
          <w:spacing w:val="3"/>
        </w:rPr>
        <w:t>formas  </w:t>
      </w:r>
      <w:r>
        <w:rPr>
          <w:color w:val="231F20"/>
        </w:rPr>
        <w:t>de  </w:t>
      </w:r>
      <w:r>
        <w:rPr>
          <w:color w:val="231F20"/>
          <w:spacing w:val="2"/>
        </w:rPr>
        <w:t>energía. Uno más fue </w:t>
      </w:r>
      <w:r>
        <w:rPr>
          <w:color w:val="231F20"/>
        </w:rPr>
        <w:t>el de la </w:t>
      </w:r>
      <w:r>
        <w:rPr>
          <w:color w:val="231F20"/>
          <w:spacing w:val="2"/>
        </w:rPr>
        <w:t>relatividad: los </w:t>
      </w:r>
      <w:r>
        <w:rPr>
          <w:color w:val="231F20"/>
          <w:spacing w:val="3"/>
        </w:rPr>
        <w:t>procesos, </w:t>
      </w:r>
      <w:r>
        <w:rPr>
          <w:color w:val="231F20"/>
          <w:spacing w:val="2"/>
        </w:rPr>
        <w:t>las </w:t>
      </w:r>
      <w:r>
        <w:rPr>
          <w:color w:val="231F20"/>
          <w:spacing w:val="3"/>
        </w:rPr>
        <w:t>representaciones </w:t>
      </w:r>
      <w:r>
        <w:rPr>
          <w:color w:val="231F20"/>
          <w:spacing w:val="2"/>
        </w:rPr>
        <w:t>sociales, además </w:t>
      </w:r>
      <w:r>
        <w:rPr>
          <w:color w:val="231F20"/>
        </w:rPr>
        <w:t>de ser </w:t>
      </w:r>
      <w:r>
        <w:rPr>
          <w:color w:val="231F20"/>
          <w:spacing w:val="2"/>
        </w:rPr>
        <w:t>históricas, son </w:t>
      </w:r>
      <w:r>
        <w:rPr>
          <w:color w:val="231F20"/>
          <w:spacing w:val="3"/>
        </w:rPr>
        <w:t>situacionales. </w:t>
      </w:r>
      <w:r>
        <w:rPr>
          <w:color w:val="231F20"/>
          <w:spacing w:val="2"/>
        </w:rPr>
        <w:t>Las teorías </w:t>
      </w:r>
      <w:r>
        <w:rPr>
          <w:color w:val="231F20"/>
        </w:rPr>
        <w:t>de la </w:t>
      </w:r>
      <w:r>
        <w:rPr>
          <w:color w:val="231F20"/>
          <w:spacing w:val="3"/>
        </w:rPr>
        <w:t>comunicación (información </w:t>
      </w:r>
      <w:r>
        <w:rPr>
          <w:color w:val="231F20"/>
        </w:rPr>
        <w:t>o </w:t>
      </w:r>
      <w:r>
        <w:rPr>
          <w:i/>
          <w:color w:val="231F20"/>
          <w:spacing w:val="2"/>
        </w:rPr>
        <w:t>bite</w:t>
      </w:r>
      <w:r>
        <w:rPr>
          <w:color w:val="231F20"/>
          <w:spacing w:val="2"/>
        </w:rPr>
        <w:t>, </w:t>
      </w:r>
      <w:r>
        <w:rPr>
          <w:color w:val="231F20"/>
          <w:spacing w:val="3"/>
        </w:rPr>
        <w:t>memoria </w:t>
      </w:r>
      <w:r>
        <w:rPr>
          <w:color w:val="231F20"/>
        </w:rPr>
        <w:t>y </w:t>
      </w:r>
      <w:r>
        <w:rPr>
          <w:color w:val="231F20"/>
          <w:spacing w:val="2"/>
        </w:rPr>
        <w:t>programa) </w:t>
      </w:r>
      <w:r>
        <w:rPr>
          <w:color w:val="231F20"/>
        </w:rPr>
        <w:t>y de </w:t>
      </w:r>
      <w:r>
        <w:rPr>
          <w:color w:val="231F20"/>
          <w:spacing w:val="2"/>
        </w:rPr>
        <w:t>sistemas, también fueron </w:t>
      </w:r>
      <w:r>
        <w:rPr>
          <w:color w:val="231F20"/>
          <w:spacing w:val="4"/>
        </w:rPr>
        <w:t>una  </w:t>
      </w:r>
      <w:r>
        <w:rPr>
          <w:color w:val="231F20"/>
          <w:spacing w:val="2"/>
        </w:rPr>
        <w:t>metateoría para dirigir acciones </w:t>
      </w:r>
      <w:r>
        <w:rPr>
          <w:color w:val="231F20"/>
        </w:rPr>
        <w:t>y </w:t>
      </w:r>
      <w:r>
        <w:rPr>
          <w:color w:val="231F20"/>
          <w:spacing w:val="3"/>
        </w:rPr>
        <w:t>modos </w:t>
      </w:r>
      <w:r>
        <w:rPr>
          <w:color w:val="231F20"/>
        </w:rPr>
        <w:t>de </w:t>
      </w:r>
      <w:r>
        <w:rPr>
          <w:color w:val="231F20"/>
          <w:spacing w:val="2"/>
        </w:rPr>
        <w:t>pensar </w:t>
      </w:r>
      <w:r>
        <w:rPr>
          <w:color w:val="231F20"/>
        </w:rPr>
        <w:t>a </w:t>
      </w:r>
      <w:r>
        <w:rPr>
          <w:color w:val="231F20"/>
          <w:spacing w:val="2"/>
        </w:rPr>
        <w:t>las </w:t>
      </w:r>
      <w:r>
        <w:rPr>
          <w:color w:val="231F20"/>
          <w:spacing w:val="3"/>
        </w:rPr>
        <w:t>representaciones </w:t>
      </w:r>
      <w:r>
        <w:rPr>
          <w:color w:val="231F20"/>
          <w:spacing w:val="2"/>
        </w:rPr>
        <w:t>sociales. </w:t>
      </w:r>
      <w:r>
        <w:rPr>
          <w:color w:val="231F20"/>
        </w:rPr>
        <w:t>A </w:t>
      </w:r>
      <w:r>
        <w:rPr>
          <w:color w:val="231F20"/>
          <w:spacing w:val="2"/>
        </w:rPr>
        <w:t>diferencia </w:t>
      </w:r>
      <w:r>
        <w:rPr>
          <w:color w:val="231F20"/>
        </w:rPr>
        <w:t>de </w:t>
      </w:r>
      <w:r>
        <w:rPr>
          <w:color w:val="231F20"/>
          <w:spacing w:val="2"/>
        </w:rPr>
        <w:t>Edgar </w:t>
      </w:r>
      <w:r>
        <w:rPr>
          <w:color w:val="231F20"/>
          <w:spacing w:val="3"/>
        </w:rPr>
        <w:t>Morín, </w:t>
      </w:r>
      <w:r>
        <w:rPr>
          <w:color w:val="231F20"/>
          <w:spacing w:val="2"/>
        </w:rPr>
        <w:t>autor </w:t>
      </w:r>
      <w:r>
        <w:rPr>
          <w:color w:val="231F20"/>
        </w:rPr>
        <w:t>del </w:t>
      </w:r>
      <w:r>
        <w:rPr>
          <w:color w:val="231F20"/>
          <w:spacing w:val="3"/>
        </w:rPr>
        <w:t>pensamiento complejo, </w:t>
      </w:r>
      <w:r>
        <w:rPr>
          <w:color w:val="231F20"/>
          <w:spacing w:val="2"/>
        </w:rPr>
        <w:t>esta investigación </w:t>
      </w:r>
      <w:r>
        <w:rPr>
          <w:color w:val="231F20"/>
        </w:rPr>
        <w:t>y </w:t>
      </w:r>
      <w:r>
        <w:rPr>
          <w:color w:val="231F20"/>
          <w:spacing w:val="2"/>
        </w:rPr>
        <w:t>quienes </w:t>
      </w:r>
      <w:r>
        <w:rPr>
          <w:color w:val="231F20"/>
        </w:rPr>
        <w:t>la </w:t>
      </w:r>
      <w:r>
        <w:rPr>
          <w:color w:val="231F20"/>
          <w:spacing w:val="2"/>
        </w:rPr>
        <w:t>realizaron, fueron guiadas por </w:t>
      </w:r>
      <w:r>
        <w:rPr>
          <w:color w:val="231F20"/>
        </w:rPr>
        <w:t>la </w:t>
      </w:r>
      <w:r>
        <w:rPr>
          <w:color w:val="231F20"/>
          <w:spacing w:val="2"/>
        </w:rPr>
        <w:t>tensión entre una visión </w:t>
      </w:r>
      <w:r>
        <w:rPr>
          <w:color w:val="231F20"/>
        </w:rPr>
        <w:t>de </w:t>
      </w:r>
      <w:r>
        <w:rPr>
          <w:color w:val="231F20"/>
          <w:spacing w:val="2"/>
        </w:rPr>
        <w:t>clase (Marx), </w:t>
      </w:r>
      <w:r>
        <w:rPr>
          <w:color w:val="231F20"/>
        </w:rPr>
        <w:t>de </w:t>
      </w:r>
      <w:r>
        <w:rPr>
          <w:color w:val="231F20"/>
          <w:spacing w:val="2"/>
        </w:rPr>
        <w:t>sociedad </w:t>
      </w:r>
      <w:r>
        <w:rPr>
          <w:color w:val="231F20"/>
          <w:spacing w:val="3"/>
        </w:rPr>
        <w:t>(Durkheim) </w:t>
      </w:r>
      <w:r>
        <w:rPr>
          <w:color w:val="231F20"/>
        </w:rPr>
        <w:t>y de </w:t>
      </w:r>
      <w:r>
        <w:rPr>
          <w:color w:val="231F20"/>
          <w:spacing w:val="2"/>
        </w:rPr>
        <w:t>acción social </w:t>
      </w:r>
      <w:r>
        <w:rPr>
          <w:color w:val="231F20"/>
          <w:spacing w:val="3"/>
        </w:rPr>
        <w:t>(Weber </w:t>
      </w:r>
      <w:r>
        <w:rPr>
          <w:color w:val="231F20"/>
        </w:rPr>
        <w:t>o </w:t>
      </w:r>
      <w:r>
        <w:rPr>
          <w:color w:val="231F20"/>
          <w:spacing w:val="2"/>
        </w:rPr>
        <w:t>Moscovici). </w:t>
      </w:r>
      <w:r>
        <w:rPr>
          <w:color w:val="231F20"/>
        </w:rPr>
        <w:t>Sin </w:t>
      </w:r>
      <w:r>
        <w:rPr>
          <w:color w:val="231F20"/>
          <w:spacing w:val="3"/>
        </w:rPr>
        <w:t>duda, </w:t>
      </w:r>
      <w:r>
        <w:rPr>
          <w:color w:val="231F20"/>
          <w:spacing w:val="2"/>
        </w:rPr>
        <w:t>los </w:t>
      </w:r>
      <w:r>
        <w:rPr>
          <w:color w:val="231F20"/>
          <w:spacing w:val="3"/>
        </w:rPr>
        <w:t>responsables </w:t>
      </w:r>
      <w:r>
        <w:rPr>
          <w:color w:val="231F20"/>
        </w:rPr>
        <w:t>de </w:t>
      </w:r>
      <w:r>
        <w:rPr>
          <w:color w:val="231F20"/>
          <w:spacing w:val="2"/>
        </w:rPr>
        <w:t>indagar </w:t>
      </w:r>
      <w:r>
        <w:rPr>
          <w:color w:val="231F20"/>
        </w:rPr>
        <w:t>se </w:t>
      </w:r>
      <w:r>
        <w:rPr>
          <w:color w:val="231F20"/>
          <w:spacing w:val="2"/>
        </w:rPr>
        <w:t>acogieron </w:t>
      </w:r>
      <w:r>
        <w:rPr>
          <w:color w:val="231F20"/>
        </w:rPr>
        <w:t>a la </w:t>
      </w:r>
      <w:r>
        <w:rPr>
          <w:color w:val="231F20"/>
          <w:spacing w:val="3"/>
        </w:rPr>
        <w:t>confusión </w:t>
      </w:r>
      <w:r>
        <w:rPr>
          <w:color w:val="231F20"/>
        </w:rPr>
        <w:t>y </w:t>
      </w:r>
      <w:r>
        <w:rPr>
          <w:color w:val="231F20"/>
          <w:spacing w:val="3"/>
        </w:rPr>
        <w:t>ambigüedad </w:t>
      </w:r>
      <w:r>
        <w:rPr>
          <w:color w:val="231F20"/>
          <w:spacing w:val="2"/>
        </w:rPr>
        <w:t>inherente </w:t>
      </w:r>
      <w:r>
        <w:rPr>
          <w:color w:val="231F20"/>
        </w:rPr>
        <w:t>de la </w:t>
      </w:r>
      <w:r>
        <w:rPr>
          <w:color w:val="231F20"/>
          <w:spacing w:val="2"/>
        </w:rPr>
        <w:t>realidad </w:t>
      </w:r>
      <w:r>
        <w:rPr>
          <w:color w:val="231F20"/>
          <w:spacing w:val="3"/>
        </w:rPr>
        <w:t>misma. </w:t>
      </w:r>
      <w:r>
        <w:rPr>
          <w:color w:val="231F20"/>
        </w:rPr>
        <w:t>En </w:t>
      </w:r>
      <w:r>
        <w:rPr>
          <w:color w:val="231F20"/>
          <w:spacing w:val="3"/>
        </w:rPr>
        <w:t>suma, </w:t>
      </w:r>
      <w:r>
        <w:rPr>
          <w:color w:val="231F20"/>
        </w:rPr>
        <w:t>el </w:t>
      </w:r>
      <w:r>
        <w:rPr>
          <w:color w:val="231F20"/>
          <w:spacing w:val="3"/>
        </w:rPr>
        <w:t>horizonte </w:t>
      </w:r>
      <w:r>
        <w:rPr>
          <w:color w:val="231F20"/>
          <w:spacing w:val="2"/>
        </w:rPr>
        <w:t>desde  </w:t>
      </w:r>
      <w:r>
        <w:rPr>
          <w:color w:val="231F20"/>
        </w:rPr>
        <w:t>el  </w:t>
      </w:r>
      <w:r>
        <w:rPr>
          <w:color w:val="231F20"/>
          <w:spacing w:val="2"/>
        </w:rPr>
        <w:t>que  </w:t>
      </w:r>
      <w:r>
        <w:rPr>
          <w:color w:val="231F20"/>
        </w:rPr>
        <w:t>se  </w:t>
      </w:r>
      <w:r>
        <w:rPr>
          <w:color w:val="231F20"/>
          <w:spacing w:val="3"/>
        </w:rPr>
        <w:t>posicionaron  </w:t>
      </w:r>
      <w:r>
        <w:rPr>
          <w:color w:val="231F20"/>
          <w:spacing w:val="2"/>
        </w:rPr>
        <w:t>quienes  investigaron  fue  </w:t>
      </w:r>
      <w:r>
        <w:rPr>
          <w:color w:val="231F20"/>
        </w:rPr>
        <w:t>el   </w:t>
      </w:r>
      <w:r>
        <w:rPr>
          <w:color w:val="231F20"/>
          <w:spacing w:val="30"/>
        </w:rPr>
        <w:t> </w:t>
      </w:r>
      <w:r>
        <w:rPr>
          <w:color w:val="231F20"/>
          <w:spacing w:val="2"/>
        </w:rPr>
        <w:t>del</w:t>
      </w:r>
    </w:p>
    <w:p>
      <w:pPr>
        <w:spacing w:after="0" w:line="249" w:lineRule="auto"/>
        <w:jc w:val="both"/>
        <w:sectPr>
          <w:headerReference w:type="default" r:id="rId379"/>
          <w:footerReference w:type="default" r:id="rId380"/>
          <w:pgSz w:w="7830" w:h="11910"/>
          <w:pgMar w:header="0" w:footer="424" w:top="500" w:bottom="620" w:left="920" w:right="900"/>
          <w:pgNumType w:start="17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21"/>
      </w:pPr>
      <w:r>
        <w:rPr>
          <w:color w:val="231F20"/>
        </w:rPr>
        <w:t>pensamiento complejo, complejizándolo al explicitar intereses de clase, grupos o individuos.</w:t>
      </w:r>
    </w:p>
    <w:p>
      <w:pPr>
        <w:pStyle w:val="BodyText"/>
        <w:spacing w:line="249" w:lineRule="auto" w:before="1"/>
        <w:ind w:left="102" w:right="119" w:firstLine="284"/>
        <w:jc w:val="both"/>
      </w:pPr>
      <w:r>
        <w:rPr>
          <w:color w:val="231F20"/>
        </w:rPr>
        <w:t>Por otra parte, y en otro nivel de análisis, esta investigación partió de admitir el método, no como secuencia de pasos, sino como postura ética-política ante el proceso de investigar, como un hábito reflexivo con base en referentes teóricos y empíricos, que guiaron el proceder en el transcurso de la investigación.</w:t>
      </w:r>
    </w:p>
    <w:p>
      <w:pPr>
        <w:pStyle w:val="BodyText"/>
        <w:spacing w:line="247" w:lineRule="auto"/>
        <w:ind w:left="102" w:right="119" w:firstLine="284"/>
        <w:jc w:val="both"/>
      </w:pPr>
      <w:r>
        <w:rPr>
          <w:color w:val="231F20"/>
        </w:rPr>
        <w:t>Las ciencias sociales comparten con las ciencias naturales la conciencia del método para estructurar, con una perspectiva  teórica, la realidad. La elección, que el investigador haga del método, deviene del interés conceptual de la investigación.</w:t>
      </w:r>
    </w:p>
    <w:p>
      <w:pPr>
        <w:pStyle w:val="BodyText"/>
        <w:spacing w:line="249" w:lineRule="auto" w:before="1"/>
        <w:ind w:left="102" w:right="115" w:firstLine="284"/>
        <w:jc w:val="both"/>
      </w:pPr>
      <w:r>
        <w:rPr>
          <w:color w:val="231F20"/>
          <w:spacing w:val="2"/>
        </w:rPr>
        <w:t>Las ciencias empírico analíticas coinciden </w:t>
      </w:r>
      <w:r>
        <w:rPr>
          <w:color w:val="231F20"/>
        </w:rPr>
        <w:t>en el </w:t>
      </w:r>
      <w:r>
        <w:rPr>
          <w:color w:val="231F20"/>
          <w:spacing w:val="2"/>
        </w:rPr>
        <w:t>propósito </w:t>
      </w:r>
      <w:r>
        <w:rPr>
          <w:color w:val="231F20"/>
        </w:rPr>
        <w:t>de </w:t>
      </w:r>
      <w:r>
        <w:rPr>
          <w:color w:val="231F20"/>
          <w:spacing w:val="2"/>
        </w:rPr>
        <w:t>describir </w:t>
      </w:r>
      <w:r>
        <w:rPr>
          <w:color w:val="231F20"/>
          <w:spacing w:val="3"/>
        </w:rPr>
        <w:t>teóricamente </w:t>
      </w:r>
      <w:r>
        <w:rPr>
          <w:color w:val="231F20"/>
        </w:rPr>
        <w:t>el </w:t>
      </w:r>
      <w:r>
        <w:rPr>
          <w:color w:val="231F20"/>
          <w:spacing w:val="2"/>
        </w:rPr>
        <w:t>universo </w:t>
      </w:r>
      <w:r>
        <w:rPr>
          <w:color w:val="231F20"/>
        </w:rPr>
        <w:t>en su </w:t>
      </w:r>
      <w:r>
        <w:rPr>
          <w:color w:val="231F20"/>
          <w:spacing w:val="3"/>
        </w:rPr>
        <w:t>ordenación conforme </w:t>
      </w:r>
      <w:r>
        <w:rPr>
          <w:color w:val="231F20"/>
        </w:rPr>
        <w:t>a </w:t>
      </w:r>
      <w:r>
        <w:rPr>
          <w:color w:val="231F20"/>
          <w:spacing w:val="2"/>
        </w:rPr>
        <w:t>leyes, </w:t>
      </w:r>
      <w:r>
        <w:rPr>
          <w:color w:val="231F20"/>
        </w:rPr>
        <w:t>tal y </w:t>
      </w:r>
      <w:r>
        <w:rPr>
          <w:color w:val="231F20"/>
          <w:spacing w:val="3"/>
        </w:rPr>
        <w:t>como </w:t>
      </w:r>
      <w:r>
        <w:rPr>
          <w:color w:val="231F20"/>
        </w:rPr>
        <w:t>es, y las </w:t>
      </w:r>
      <w:r>
        <w:rPr>
          <w:color w:val="231F20"/>
          <w:spacing w:val="2"/>
        </w:rPr>
        <w:t>orienta </w:t>
      </w:r>
      <w:r>
        <w:rPr>
          <w:color w:val="231F20"/>
        </w:rPr>
        <w:t>un </w:t>
      </w:r>
      <w:r>
        <w:rPr>
          <w:color w:val="231F20"/>
          <w:spacing w:val="2"/>
        </w:rPr>
        <w:t>interés técnico que </w:t>
      </w:r>
      <w:r>
        <w:rPr>
          <w:color w:val="231F20"/>
        </w:rPr>
        <w:t>las </w:t>
      </w:r>
      <w:r>
        <w:rPr>
          <w:color w:val="231F20"/>
          <w:spacing w:val="2"/>
        </w:rPr>
        <w:t>dirige </w:t>
      </w:r>
      <w:r>
        <w:rPr>
          <w:color w:val="231F20"/>
        </w:rPr>
        <w:t>a la </w:t>
      </w:r>
      <w:r>
        <w:rPr>
          <w:color w:val="231F20"/>
          <w:spacing w:val="2"/>
        </w:rPr>
        <w:t>solución </w:t>
      </w:r>
      <w:r>
        <w:rPr>
          <w:color w:val="231F20"/>
        </w:rPr>
        <w:t>de </w:t>
      </w:r>
      <w:r>
        <w:rPr>
          <w:color w:val="231F20"/>
          <w:spacing w:val="3"/>
        </w:rPr>
        <w:t>problemas. </w:t>
      </w:r>
      <w:r>
        <w:rPr>
          <w:color w:val="231F20"/>
          <w:spacing w:val="2"/>
        </w:rPr>
        <w:t>Las ciencias </w:t>
      </w:r>
      <w:r>
        <w:rPr>
          <w:color w:val="231F20"/>
          <w:spacing w:val="3"/>
        </w:rPr>
        <w:t>histórico-hermenéuticas, </w:t>
      </w:r>
      <w:r>
        <w:rPr>
          <w:color w:val="231F20"/>
          <w:spacing w:val="2"/>
        </w:rPr>
        <w:t>cuyo ámbito </w:t>
      </w:r>
      <w:r>
        <w:rPr>
          <w:color w:val="231F20"/>
        </w:rPr>
        <w:t>es la </w:t>
      </w:r>
      <w:r>
        <w:rPr>
          <w:color w:val="231F20"/>
          <w:spacing w:val="2"/>
        </w:rPr>
        <w:t>esfera </w:t>
      </w:r>
      <w:r>
        <w:rPr>
          <w:color w:val="231F20"/>
        </w:rPr>
        <w:t>de lo </w:t>
      </w:r>
      <w:r>
        <w:rPr>
          <w:color w:val="231F20"/>
          <w:spacing w:val="3"/>
        </w:rPr>
        <w:t>perecedero, </w:t>
      </w:r>
      <w:r>
        <w:rPr>
          <w:color w:val="231F20"/>
          <w:spacing w:val="2"/>
        </w:rPr>
        <w:t>describen, </w:t>
      </w:r>
      <w:r>
        <w:rPr>
          <w:color w:val="231F20"/>
          <w:spacing w:val="3"/>
        </w:rPr>
        <w:t>comprenden  </w:t>
      </w:r>
      <w:r>
        <w:rPr>
          <w:color w:val="231F20"/>
        </w:rPr>
        <w:t>y </w:t>
      </w:r>
      <w:r>
        <w:rPr>
          <w:color w:val="231F20"/>
          <w:spacing w:val="2"/>
        </w:rPr>
        <w:t>crean significados; contribuyen </w:t>
      </w:r>
      <w:r>
        <w:rPr>
          <w:color w:val="231F20"/>
        </w:rPr>
        <w:t>a </w:t>
      </w:r>
      <w:r>
        <w:rPr>
          <w:color w:val="231F20"/>
          <w:spacing w:val="2"/>
        </w:rPr>
        <w:t>nuestro </w:t>
      </w:r>
      <w:r>
        <w:rPr>
          <w:color w:val="231F20"/>
          <w:spacing w:val="3"/>
        </w:rPr>
        <w:t>autoconocimiento </w:t>
      </w:r>
      <w:r>
        <w:rPr>
          <w:color w:val="231F20"/>
          <w:spacing w:val="2"/>
        </w:rPr>
        <w:t>porque consignan </w:t>
      </w:r>
      <w:r>
        <w:rPr>
          <w:color w:val="231F20"/>
          <w:spacing w:val="3"/>
        </w:rPr>
        <w:t>problemas, </w:t>
      </w:r>
      <w:r>
        <w:rPr>
          <w:color w:val="231F20"/>
          <w:spacing w:val="2"/>
        </w:rPr>
        <w:t>los dilucidan, los sitúan </w:t>
      </w:r>
      <w:r>
        <w:rPr>
          <w:color w:val="231F20"/>
        </w:rPr>
        <w:t>en  </w:t>
      </w:r>
      <w:r>
        <w:rPr>
          <w:color w:val="231F20"/>
          <w:spacing w:val="2"/>
        </w:rPr>
        <w:t>uno  </w:t>
      </w:r>
      <w:r>
        <w:rPr>
          <w:color w:val="231F20"/>
        </w:rPr>
        <w:t>u </w:t>
      </w:r>
      <w:r>
        <w:rPr>
          <w:color w:val="231F20"/>
          <w:spacing w:val="2"/>
        </w:rPr>
        <w:t>otro </w:t>
      </w:r>
      <w:r>
        <w:rPr>
          <w:color w:val="231F20"/>
          <w:spacing w:val="3"/>
        </w:rPr>
        <w:t>contexto, </w:t>
      </w:r>
      <w:r>
        <w:rPr>
          <w:color w:val="231F20"/>
        </w:rPr>
        <w:t>y </w:t>
      </w:r>
      <w:r>
        <w:rPr>
          <w:color w:val="231F20"/>
          <w:spacing w:val="2"/>
        </w:rPr>
        <w:t>por </w:t>
      </w:r>
      <w:r>
        <w:rPr>
          <w:color w:val="231F20"/>
        </w:rPr>
        <w:t>eso </w:t>
      </w:r>
      <w:r>
        <w:rPr>
          <w:color w:val="231F20"/>
          <w:spacing w:val="3"/>
        </w:rPr>
        <w:t>también, </w:t>
      </w:r>
      <w:r>
        <w:rPr>
          <w:color w:val="231F20"/>
          <w:spacing w:val="2"/>
        </w:rPr>
        <w:t>los resuelven </w:t>
      </w:r>
      <w:r>
        <w:rPr>
          <w:color w:val="231F20"/>
          <w:spacing w:val="3"/>
        </w:rPr>
        <w:t>(Habermas, 1993; </w:t>
      </w:r>
      <w:r>
        <w:rPr>
          <w:color w:val="231F20"/>
          <w:spacing w:val="2"/>
        </w:rPr>
        <w:t>Heller,</w:t>
      </w:r>
      <w:r>
        <w:rPr>
          <w:color w:val="231F20"/>
          <w:spacing w:val="-28"/>
        </w:rPr>
        <w:t> </w:t>
      </w:r>
      <w:r>
        <w:rPr>
          <w:color w:val="231F20"/>
          <w:spacing w:val="2"/>
        </w:rPr>
        <w:t>1991).</w:t>
      </w:r>
    </w:p>
    <w:p>
      <w:pPr>
        <w:pStyle w:val="BodyText"/>
        <w:spacing w:line="247" w:lineRule="auto"/>
        <w:ind w:left="102" w:right="115" w:firstLine="284"/>
        <w:jc w:val="both"/>
      </w:pPr>
      <w:r>
        <w:rPr>
          <w:color w:val="231F20"/>
        </w:rPr>
        <w:t>En el </w:t>
      </w:r>
      <w:r>
        <w:rPr>
          <w:color w:val="231F20"/>
          <w:spacing w:val="2"/>
        </w:rPr>
        <w:t>marco </w:t>
      </w:r>
      <w:r>
        <w:rPr>
          <w:color w:val="231F20"/>
          <w:spacing w:val="3"/>
        </w:rPr>
        <w:t>metodológico </w:t>
      </w:r>
      <w:r>
        <w:rPr>
          <w:color w:val="231F20"/>
        </w:rPr>
        <w:t>de las </w:t>
      </w:r>
      <w:r>
        <w:rPr>
          <w:color w:val="231F20"/>
          <w:spacing w:val="2"/>
        </w:rPr>
        <w:t>ciencias histórico- </w:t>
      </w:r>
      <w:r>
        <w:rPr>
          <w:color w:val="231F20"/>
          <w:spacing w:val="3"/>
        </w:rPr>
        <w:t>hermenéuticas, </w:t>
      </w:r>
      <w:r>
        <w:rPr>
          <w:color w:val="231F20"/>
          <w:spacing w:val="2"/>
        </w:rPr>
        <w:t>los </w:t>
      </w:r>
      <w:r>
        <w:rPr>
          <w:color w:val="231F20"/>
          <w:spacing w:val="3"/>
        </w:rPr>
        <w:t>enunciados </w:t>
      </w:r>
      <w:r>
        <w:rPr>
          <w:color w:val="231F20"/>
        </w:rPr>
        <w:t>no se </w:t>
      </w:r>
      <w:r>
        <w:rPr>
          <w:color w:val="231F20"/>
          <w:spacing w:val="2"/>
        </w:rPr>
        <w:t>validan </w:t>
      </w:r>
      <w:r>
        <w:rPr>
          <w:color w:val="231F20"/>
        </w:rPr>
        <w:t>en el </w:t>
      </w:r>
      <w:r>
        <w:rPr>
          <w:color w:val="231F20"/>
          <w:spacing w:val="2"/>
        </w:rPr>
        <w:t>sistema </w:t>
      </w:r>
      <w:r>
        <w:rPr>
          <w:color w:val="231F20"/>
        </w:rPr>
        <w:t>de </w:t>
      </w:r>
      <w:r>
        <w:rPr>
          <w:color w:val="231F20"/>
          <w:spacing w:val="2"/>
        </w:rPr>
        <w:t>refe- rencias del </w:t>
      </w:r>
      <w:r>
        <w:rPr>
          <w:color w:val="231F20"/>
          <w:spacing w:val="3"/>
        </w:rPr>
        <w:t>control </w:t>
      </w:r>
      <w:r>
        <w:rPr>
          <w:color w:val="231F20"/>
        </w:rPr>
        <w:t>de </w:t>
      </w:r>
      <w:r>
        <w:rPr>
          <w:color w:val="231F20"/>
          <w:spacing w:val="2"/>
        </w:rPr>
        <w:t>disposiciones técnicas; sus teorías </w:t>
      </w:r>
      <w:r>
        <w:rPr>
          <w:color w:val="231F20"/>
        </w:rPr>
        <w:t>no </w:t>
      </w:r>
      <w:r>
        <w:rPr>
          <w:color w:val="231F20"/>
          <w:spacing w:val="2"/>
        </w:rPr>
        <w:t>están </w:t>
      </w:r>
      <w:r>
        <w:rPr>
          <w:color w:val="231F20"/>
          <w:spacing w:val="3"/>
        </w:rPr>
        <w:t>construidas deductivamente, </w:t>
      </w:r>
      <w:r>
        <w:rPr>
          <w:color w:val="231F20"/>
        </w:rPr>
        <w:t>ni sus </w:t>
      </w:r>
      <w:r>
        <w:rPr>
          <w:color w:val="231F20"/>
          <w:spacing w:val="2"/>
        </w:rPr>
        <w:t>experiencias organizadas </w:t>
      </w:r>
      <w:r>
        <w:rPr>
          <w:color w:val="231F20"/>
          <w:spacing w:val="3"/>
        </w:rPr>
        <w:t>aten- </w:t>
      </w:r>
      <w:r>
        <w:rPr>
          <w:color w:val="231F20"/>
          <w:spacing w:val="2"/>
        </w:rPr>
        <w:t>diendo </w:t>
      </w:r>
      <w:r>
        <w:rPr>
          <w:color w:val="231F20"/>
        </w:rPr>
        <w:t>al </w:t>
      </w:r>
      <w:r>
        <w:rPr>
          <w:color w:val="231F20"/>
          <w:spacing w:val="2"/>
        </w:rPr>
        <w:t>resultado </w:t>
      </w:r>
      <w:r>
        <w:rPr>
          <w:color w:val="231F20"/>
        </w:rPr>
        <w:t>de las </w:t>
      </w:r>
      <w:r>
        <w:rPr>
          <w:color w:val="231F20"/>
          <w:spacing w:val="3"/>
        </w:rPr>
        <w:t>operaciones. </w:t>
      </w:r>
      <w:r>
        <w:rPr>
          <w:color w:val="231F20"/>
        </w:rPr>
        <w:t>En la </w:t>
      </w:r>
      <w:r>
        <w:rPr>
          <w:color w:val="231F20"/>
          <w:spacing w:val="3"/>
        </w:rPr>
        <w:t>hermenéutica </w:t>
      </w:r>
      <w:r>
        <w:rPr>
          <w:color w:val="231F20"/>
        </w:rPr>
        <w:t>la </w:t>
      </w:r>
      <w:r>
        <w:rPr>
          <w:color w:val="231F20"/>
          <w:spacing w:val="3"/>
        </w:rPr>
        <w:t>comprensión </w:t>
      </w:r>
      <w:r>
        <w:rPr>
          <w:color w:val="231F20"/>
        </w:rPr>
        <w:t>de </w:t>
      </w:r>
      <w:r>
        <w:rPr>
          <w:color w:val="231F20"/>
          <w:spacing w:val="2"/>
        </w:rPr>
        <w:t>sentido, </w:t>
      </w:r>
      <w:r>
        <w:rPr>
          <w:color w:val="231F20"/>
          <w:spacing w:val="3"/>
        </w:rPr>
        <w:t>además </w:t>
      </w:r>
      <w:r>
        <w:rPr>
          <w:color w:val="231F20"/>
        </w:rPr>
        <w:t>de la </w:t>
      </w:r>
      <w:r>
        <w:rPr>
          <w:color w:val="231F20"/>
          <w:spacing w:val="3"/>
        </w:rPr>
        <w:t>observación, </w:t>
      </w:r>
      <w:r>
        <w:rPr>
          <w:color w:val="231F20"/>
          <w:spacing w:val="2"/>
        </w:rPr>
        <w:t>abre  </w:t>
      </w:r>
      <w:r>
        <w:rPr>
          <w:color w:val="231F20"/>
        </w:rPr>
        <w:t>la  </w:t>
      </w:r>
      <w:r>
        <w:rPr>
          <w:color w:val="231F20"/>
          <w:spacing w:val="2"/>
        </w:rPr>
        <w:t>realidad </w:t>
      </w:r>
      <w:r>
        <w:rPr>
          <w:color w:val="231F20"/>
        </w:rPr>
        <w:t>a la </w:t>
      </w:r>
      <w:r>
        <w:rPr>
          <w:color w:val="231F20"/>
          <w:spacing w:val="3"/>
        </w:rPr>
        <w:t>interpretación. (Habermas,</w:t>
      </w:r>
      <w:r>
        <w:rPr>
          <w:color w:val="231F20"/>
          <w:spacing w:val="-35"/>
        </w:rPr>
        <w:t> </w:t>
      </w:r>
      <w:r>
        <w:rPr>
          <w:color w:val="231F20"/>
          <w:spacing w:val="3"/>
        </w:rPr>
        <w:t>1993)</w:t>
      </w:r>
    </w:p>
    <w:p>
      <w:pPr>
        <w:pStyle w:val="BodyText"/>
        <w:spacing w:line="249" w:lineRule="auto" w:before="1"/>
        <w:ind w:left="102" w:right="114" w:firstLine="283"/>
        <w:jc w:val="both"/>
      </w:pPr>
      <w:r>
        <w:rPr>
          <w:color w:val="231F20"/>
        </w:rPr>
        <w:t>La</w:t>
      </w:r>
      <w:r>
        <w:rPr>
          <w:color w:val="231F20"/>
          <w:spacing w:val="-8"/>
        </w:rPr>
        <w:t> </w:t>
      </w:r>
      <w:r>
        <w:rPr>
          <w:color w:val="231F20"/>
        </w:rPr>
        <w:t>ciencias</w:t>
      </w:r>
      <w:r>
        <w:rPr>
          <w:color w:val="231F20"/>
          <w:spacing w:val="-8"/>
        </w:rPr>
        <w:t> </w:t>
      </w:r>
      <w:r>
        <w:rPr>
          <w:color w:val="231F20"/>
        </w:rPr>
        <w:t>sociales,</w:t>
      </w:r>
      <w:r>
        <w:rPr>
          <w:color w:val="231F20"/>
          <w:spacing w:val="-9"/>
        </w:rPr>
        <w:t> </w:t>
      </w:r>
      <w:r>
        <w:rPr>
          <w:color w:val="231F20"/>
        </w:rPr>
        <w:t>como</w:t>
      </w:r>
      <w:r>
        <w:rPr>
          <w:color w:val="231F20"/>
          <w:spacing w:val="-8"/>
        </w:rPr>
        <w:t> </w:t>
      </w:r>
      <w:r>
        <w:rPr>
          <w:color w:val="231F20"/>
        </w:rPr>
        <w:t>ciencias</w:t>
      </w:r>
      <w:r>
        <w:rPr>
          <w:color w:val="231F20"/>
          <w:spacing w:val="-8"/>
        </w:rPr>
        <w:t> </w:t>
      </w:r>
      <w:r>
        <w:rPr>
          <w:color w:val="231F20"/>
        </w:rPr>
        <w:t>hermenéuticas</w:t>
      </w:r>
      <w:r>
        <w:rPr>
          <w:color w:val="231F20"/>
          <w:spacing w:val="-8"/>
        </w:rPr>
        <w:t> </w:t>
      </w:r>
      <w:r>
        <w:rPr>
          <w:color w:val="231F20"/>
        </w:rPr>
        <w:t>(Heller,</w:t>
      </w:r>
      <w:r>
        <w:rPr>
          <w:color w:val="231F20"/>
          <w:spacing w:val="-9"/>
        </w:rPr>
        <w:t> </w:t>
      </w:r>
      <w:r>
        <w:rPr>
          <w:color w:val="231F20"/>
        </w:rPr>
        <w:t>1991), crean su propia esfera, al divorciarse de las ciencias naturales, renunciando a pretensiones de predictibilidad y exactitud, lo que no pueden hacer, es renunciar a la búsqueda del “conocimiento verdadero”; dicho de otro modo, deben observar criterios de verosimilitud</w:t>
      </w:r>
      <w:r>
        <w:rPr>
          <w:color w:val="231F20"/>
          <w:spacing w:val="-14"/>
        </w:rPr>
        <w:t> </w:t>
      </w:r>
      <w:r>
        <w:rPr>
          <w:color w:val="231F20"/>
        </w:rPr>
        <w:t>y</w:t>
      </w:r>
      <w:r>
        <w:rPr>
          <w:color w:val="231F20"/>
          <w:spacing w:val="-14"/>
        </w:rPr>
        <w:t> </w:t>
      </w:r>
      <w:r>
        <w:rPr>
          <w:color w:val="231F20"/>
        </w:rPr>
        <w:t>objetividad;</w:t>
      </w:r>
      <w:r>
        <w:rPr>
          <w:color w:val="231F20"/>
          <w:spacing w:val="-14"/>
        </w:rPr>
        <w:t> </w:t>
      </w:r>
      <w:r>
        <w:rPr>
          <w:color w:val="231F20"/>
        </w:rPr>
        <w:t>sin</w:t>
      </w:r>
      <w:r>
        <w:rPr>
          <w:color w:val="231F20"/>
          <w:spacing w:val="-14"/>
        </w:rPr>
        <w:t> </w:t>
      </w:r>
      <w:r>
        <w:rPr>
          <w:color w:val="231F20"/>
        </w:rPr>
        <w:t>ellos</w:t>
      </w:r>
      <w:r>
        <w:rPr>
          <w:color w:val="231F20"/>
          <w:spacing w:val="-15"/>
        </w:rPr>
        <w:t> </w:t>
      </w:r>
      <w:r>
        <w:rPr>
          <w:color w:val="231F20"/>
        </w:rPr>
        <w:t>la</w:t>
      </w:r>
      <w:r>
        <w:rPr>
          <w:color w:val="231F20"/>
          <w:spacing w:val="-14"/>
        </w:rPr>
        <w:t> </w:t>
      </w:r>
      <w:r>
        <w:rPr>
          <w:color w:val="231F20"/>
        </w:rPr>
        <w:t>ciencia</w:t>
      </w:r>
      <w:r>
        <w:rPr>
          <w:color w:val="231F20"/>
          <w:spacing w:val="-14"/>
        </w:rPr>
        <w:t> </w:t>
      </w:r>
      <w:r>
        <w:rPr>
          <w:color w:val="231F20"/>
        </w:rPr>
        <w:t>social</w:t>
      </w:r>
      <w:r>
        <w:rPr>
          <w:color w:val="231F20"/>
          <w:spacing w:val="-15"/>
        </w:rPr>
        <w:t> </w:t>
      </w:r>
      <w:r>
        <w:rPr>
          <w:color w:val="231F20"/>
        </w:rPr>
        <w:t>no</w:t>
      </w:r>
      <w:r>
        <w:rPr>
          <w:color w:val="231F20"/>
          <w:spacing w:val="-14"/>
        </w:rPr>
        <w:t> </w:t>
      </w:r>
      <w:r>
        <w:rPr>
          <w:color w:val="231F20"/>
        </w:rPr>
        <w:t>existiría.</w:t>
      </w:r>
    </w:p>
    <w:p>
      <w:pPr>
        <w:pStyle w:val="BodyText"/>
        <w:spacing w:line="247" w:lineRule="auto"/>
        <w:ind w:left="102" w:right="118" w:firstLine="283"/>
        <w:jc w:val="both"/>
      </w:pPr>
      <w:r>
        <w:rPr>
          <w:color w:val="231F20"/>
        </w:rPr>
        <w:t>El </w:t>
      </w:r>
      <w:r>
        <w:rPr>
          <w:color w:val="231F20"/>
          <w:spacing w:val="3"/>
        </w:rPr>
        <w:t>conocimiento verdadero, </w:t>
      </w:r>
      <w:r>
        <w:rPr>
          <w:color w:val="231F20"/>
        </w:rPr>
        <w:t>en las </w:t>
      </w:r>
      <w:r>
        <w:rPr>
          <w:color w:val="231F20"/>
          <w:spacing w:val="2"/>
        </w:rPr>
        <w:t>ciencias sociales, </w:t>
      </w:r>
      <w:r>
        <w:rPr>
          <w:color w:val="231F20"/>
        </w:rPr>
        <w:t>no </w:t>
      </w:r>
      <w:r>
        <w:rPr>
          <w:color w:val="231F20"/>
          <w:spacing w:val="2"/>
        </w:rPr>
        <w:t>puede adquirirse por </w:t>
      </w:r>
      <w:r>
        <w:rPr>
          <w:color w:val="231F20"/>
          <w:spacing w:val="3"/>
        </w:rPr>
        <w:t>experimentación </w:t>
      </w:r>
      <w:r>
        <w:rPr>
          <w:color w:val="231F20"/>
        </w:rPr>
        <w:t>o </w:t>
      </w:r>
      <w:r>
        <w:rPr>
          <w:color w:val="231F20"/>
          <w:spacing w:val="2"/>
        </w:rPr>
        <w:t>solo por </w:t>
      </w:r>
      <w:r>
        <w:rPr>
          <w:color w:val="231F20"/>
          <w:spacing w:val="3"/>
        </w:rPr>
        <w:t>observación, </w:t>
      </w:r>
      <w:r>
        <w:rPr>
          <w:color w:val="231F20"/>
          <w:spacing w:val="2"/>
        </w:rPr>
        <w:t>sino que extrae </w:t>
      </w:r>
      <w:r>
        <w:rPr>
          <w:color w:val="231F20"/>
        </w:rPr>
        <w:t>el </w:t>
      </w:r>
      <w:r>
        <w:rPr>
          <w:color w:val="231F20"/>
          <w:spacing w:val="2"/>
        </w:rPr>
        <w:t>significado </w:t>
      </w:r>
      <w:r>
        <w:rPr>
          <w:color w:val="231F20"/>
        </w:rPr>
        <w:t>de lo </w:t>
      </w:r>
      <w:r>
        <w:rPr>
          <w:color w:val="231F20"/>
          <w:spacing w:val="2"/>
        </w:rPr>
        <w:t>significativo, interpreta </w:t>
      </w:r>
      <w:r>
        <w:rPr>
          <w:color w:val="231F20"/>
        </w:rPr>
        <w:t>y </w:t>
      </w:r>
      <w:r>
        <w:rPr>
          <w:color w:val="231F20"/>
          <w:spacing w:val="2"/>
        </w:rPr>
        <w:t>explica para poder </w:t>
      </w:r>
      <w:r>
        <w:rPr>
          <w:color w:val="231F20"/>
          <w:spacing w:val="3"/>
        </w:rPr>
        <w:t>comprenderlo. </w:t>
      </w:r>
      <w:r>
        <w:rPr>
          <w:color w:val="231F20"/>
          <w:spacing w:val="2"/>
        </w:rPr>
        <w:t>Los criterios </w:t>
      </w:r>
      <w:r>
        <w:rPr>
          <w:color w:val="231F20"/>
        </w:rPr>
        <w:t>de </w:t>
      </w:r>
      <w:r>
        <w:rPr>
          <w:color w:val="231F20"/>
          <w:spacing w:val="2"/>
        </w:rPr>
        <w:t>verosimilitud </w:t>
      </w:r>
      <w:r>
        <w:rPr>
          <w:color w:val="231F20"/>
        </w:rPr>
        <w:t>y </w:t>
      </w:r>
      <w:r>
        <w:rPr>
          <w:color w:val="231F20"/>
          <w:spacing w:val="2"/>
        </w:rPr>
        <w:t>objetividad  </w:t>
      </w:r>
      <w:r>
        <w:rPr>
          <w:color w:val="231F20"/>
        </w:rPr>
        <w:t>se </w:t>
      </w:r>
      <w:r>
        <w:rPr>
          <w:color w:val="231F20"/>
          <w:spacing w:val="2"/>
        </w:rPr>
        <w:t>alcanzan </w:t>
      </w:r>
      <w:r>
        <w:rPr>
          <w:color w:val="231F20"/>
          <w:spacing w:val="3"/>
        </w:rPr>
        <w:t>cuando: </w:t>
      </w:r>
      <w:r>
        <w:rPr>
          <w:color w:val="231F20"/>
        </w:rPr>
        <w:t>se </w:t>
      </w:r>
      <w:r>
        <w:rPr>
          <w:color w:val="231F20"/>
          <w:spacing w:val="3"/>
        </w:rPr>
        <w:t>dispone </w:t>
      </w:r>
      <w:r>
        <w:rPr>
          <w:color w:val="231F20"/>
        </w:rPr>
        <w:t>de </w:t>
      </w:r>
      <w:r>
        <w:rPr>
          <w:color w:val="231F20"/>
          <w:spacing w:val="2"/>
        </w:rPr>
        <w:t>una hipótesis preliminar </w:t>
      </w:r>
      <w:r>
        <w:rPr>
          <w:color w:val="231F20"/>
        </w:rPr>
        <w:t>de </w:t>
      </w:r>
      <w:r>
        <w:rPr>
          <w:color w:val="231F20"/>
          <w:spacing w:val="2"/>
        </w:rPr>
        <w:t>los </w:t>
      </w:r>
      <w:r>
        <w:rPr>
          <w:color w:val="231F20"/>
          <w:spacing w:val="3"/>
        </w:rPr>
        <w:t>hechos  </w:t>
      </w:r>
      <w:r>
        <w:rPr>
          <w:color w:val="231F20"/>
        </w:rPr>
        <w:t>que  se  </w:t>
      </w:r>
      <w:r>
        <w:rPr>
          <w:color w:val="231F20"/>
          <w:spacing w:val="2"/>
        </w:rPr>
        <w:t>desea  investigar,  </w:t>
      </w:r>
      <w:r>
        <w:rPr>
          <w:color w:val="231F20"/>
        </w:rPr>
        <w:t>de  </w:t>
      </w:r>
      <w:r>
        <w:rPr>
          <w:color w:val="231F20"/>
          <w:spacing w:val="2"/>
        </w:rPr>
        <w:t>una  definición  </w:t>
      </w:r>
      <w:r>
        <w:rPr>
          <w:color w:val="231F20"/>
          <w:spacing w:val="3"/>
        </w:rPr>
        <w:t>nominal </w:t>
      </w:r>
      <w:r>
        <w:rPr>
          <w:color w:val="231F20"/>
          <w:spacing w:val="39"/>
        </w:rPr>
        <w:t> </w:t>
      </w:r>
      <w:r>
        <w:rPr>
          <w:color w:val="231F20"/>
        </w:rPr>
        <w:t>de</w:t>
      </w:r>
    </w:p>
    <w:p>
      <w:pPr>
        <w:spacing w:after="0" w:line="247" w:lineRule="auto"/>
        <w:jc w:val="both"/>
        <w:sectPr>
          <w:headerReference w:type="default" r:id="rId381"/>
          <w:footerReference w:type="default" r:id="rId382"/>
          <w:pgSz w:w="7830" w:h="11910"/>
          <w:pgMar w:header="0" w:footer="424" w:top="500" w:bottom="620" w:left="920" w:right="900"/>
          <w:pgNumType w:start="17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6"/>
        <w:jc w:val="both"/>
      </w:pPr>
      <w:r>
        <w:rPr>
          <w:color w:val="231F20"/>
          <w:spacing w:val="2"/>
        </w:rPr>
        <w:t>carácter orientativo, </w:t>
      </w:r>
      <w:r>
        <w:rPr>
          <w:color w:val="231F20"/>
        </w:rPr>
        <w:t>y de </w:t>
      </w:r>
      <w:r>
        <w:rPr>
          <w:color w:val="231F20"/>
          <w:spacing w:val="2"/>
        </w:rPr>
        <w:t>una teoría </w:t>
      </w:r>
      <w:r>
        <w:rPr>
          <w:color w:val="231F20"/>
        </w:rPr>
        <w:t>que </w:t>
      </w:r>
      <w:r>
        <w:rPr>
          <w:color w:val="231F20"/>
          <w:spacing w:val="2"/>
        </w:rPr>
        <w:t>ayude </w:t>
      </w:r>
      <w:r>
        <w:rPr>
          <w:color w:val="231F20"/>
        </w:rPr>
        <w:t>a </w:t>
      </w:r>
      <w:r>
        <w:rPr>
          <w:color w:val="231F20"/>
          <w:spacing w:val="2"/>
        </w:rPr>
        <w:t>explicarlos. Los referentes, </w:t>
      </w:r>
      <w:r>
        <w:rPr>
          <w:color w:val="231F20"/>
          <w:spacing w:val="3"/>
        </w:rPr>
        <w:t>objetivamente, </w:t>
      </w:r>
      <w:r>
        <w:rPr>
          <w:color w:val="231F20"/>
        </w:rPr>
        <w:t>se </w:t>
      </w:r>
      <w:r>
        <w:rPr>
          <w:color w:val="231F20"/>
          <w:spacing w:val="3"/>
        </w:rPr>
        <w:t>obtienen </w:t>
      </w:r>
      <w:r>
        <w:rPr>
          <w:color w:val="231F20"/>
        </w:rPr>
        <w:t>de </w:t>
      </w:r>
      <w:r>
        <w:rPr>
          <w:color w:val="231F20"/>
          <w:spacing w:val="3"/>
        </w:rPr>
        <w:t>testimonios </w:t>
      </w:r>
      <w:r>
        <w:rPr>
          <w:color w:val="231F20"/>
          <w:spacing w:val="2"/>
        </w:rPr>
        <w:t>del hecho </w:t>
      </w:r>
      <w:r>
        <w:rPr>
          <w:color w:val="231F20"/>
        </w:rPr>
        <w:t>o  la </w:t>
      </w:r>
      <w:r>
        <w:rPr>
          <w:color w:val="231F20"/>
          <w:spacing w:val="3"/>
        </w:rPr>
        <w:t>forma </w:t>
      </w:r>
      <w:r>
        <w:rPr>
          <w:color w:val="231F20"/>
        </w:rPr>
        <w:t>de </w:t>
      </w:r>
      <w:r>
        <w:rPr>
          <w:color w:val="231F20"/>
          <w:spacing w:val="2"/>
        </w:rPr>
        <w:t>vida </w:t>
      </w:r>
      <w:r>
        <w:rPr>
          <w:color w:val="231F20"/>
        </w:rPr>
        <w:t>que se </w:t>
      </w:r>
      <w:r>
        <w:rPr>
          <w:color w:val="231F20"/>
          <w:spacing w:val="2"/>
        </w:rPr>
        <w:t>investiga. </w:t>
      </w:r>
      <w:r>
        <w:rPr>
          <w:color w:val="231F20"/>
        </w:rPr>
        <w:t>La </w:t>
      </w:r>
      <w:r>
        <w:rPr>
          <w:color w:val="231F20"/>
          <w:spacing w:val="3"/>
        </w:rPr>
        <w:t>mayor </w:t>
      </w:r>
      <w:r>
        <w:rPr>
          <w:color w:val="231F20"/>
          <w:spacing w:val="2"/>
        </w:rPr>
        <w:t>relación </w:t>
      </w:r>
      <w:r>
        <w:rPr>
          <w:color w:val="231F20"/>
        </w:rPr>
        <w:t>que </w:t>
      </w:r>
      <w:r>
        <w:rPr>
          <w:color w:val="231F20"/>
          <w:spacing w:val="2"/>
        </w:rPr>
        <w:t>pude establecerse con </w:t>
      </w:r>
      <w:r>
        <w:rPr>
          <w:color w:val="231F20"/>
        </w:rPr>
        <w:t>un </w:t>
      </w:r>
      <w:r>
        <w:rPr>
          <w:color w:val="231F20"/>
          <w:spacing w:val="2"/>
        </w:rPr>
        <w:t>testimonio </w:t>
      </w:r>
      <w:r>
        <w:rPr>
          <w:color w:val="231F20"/>
        </w:rPr>
        <w:t>es la </w:t>
      </w:r>
      <w:r>
        <w:rPr>
          <w:color w:val="231F20"/>
          <w:spacing w:val="3"/>
        </w:rPr>
        <w:t>conversación, </w:t>
      </w:r>
      <w:r>
        <w:rPr>
          <w:color w:val="231F20"/>
          <w:spacing w:val="2"/>
        </w:rPr>
        <w:t>por </w:t>
      </w:r>
      <w:r>
        <w:rPr>
          <w:color w:val="231F20"/>
        </w:rPr>
        <w:t>lo </w:t>
      </w:r>
      <w:r>
        <w:rPr>
          <w:color w:val="231F20"/>
          <w:spacing w:val="2"/>
        </w:rPr>
        <w:t>que </w:t>
      </w:r>
      <w:r>
        <w:rPr>
          <w:color w:val="231F20"/>
        </w:rPr>
        <w:t>es el </w:t>
      </w:r>
      <w:r>
        <w:rPr>
          <w:color w:val="231F20"/>
          <w:spacing w:val="2"/>
        </w:rPr>
        <w:t>“modelo hermenéutico </w:t>
      </w:r>
      <w:r>
        <w:rPr>
          <w:color w:val="231F20"/>
        </w:rPr>
        <w:t>de </w:t>
      </w:r>
      <w:r>
        <w:rPr>
          <w:color w:val="231F20"/>
          <w:spacing w:val="2"/>
        </w:rPr>
        <w:t>actividad interpretativa”; </w:t>
      </w:r>
      <w:r>
        <w:rPr>
          <w:color w:val="231F20"/>
        </w:rPr>
        <w:t>en el </w:t>
      </w:r>
      <w:r>
        <w:rPr>
          <w:color w:val="231F20"/>
          <w:spacing w:val="2"/>
        </w:rPr>
        <w:t>diálogo </w:t>
      </w:r>
      <w:r>
        <w:rPr>
          <w:color w:val="231F20"/>
        </w:rPr>
        <w:t>y no en el </w:t>
      </w:r>
      <w:r>
        <w:rPr>
          <w:color w:val="231F20"/>
          <w:spacing w:val="2"/>
        </w:rPr>
        <w:t>interrogatorio, </w:t>
      </w:r>
      <w:r>
        <w:rPr>
          <w:color w:val="231F20"/>
        </w:rPr>
        <w:t>la </w:t>
      </w:r>
      <w:r>
        <w:rPr>
          <w:color w:val="231F20"/>
          <w:spacing w:val="3"/>
        </w:rPr>
        <w:t>compresión </w:t>
      </w:r>
      <w:r>
        <w:rPr>
          <w:color w:val="231F20"/>
        </w:rPr>
        <w:t>es </w:t>
      </w:r>
      <w:r>
        <w:rPr>
          <w:color w:val="231F20"/>
          <w:spacing w:val="2"/>
        </w:rPr>
        <w:t>más </w:t>
      </w:r>
      <w:r>
        <w:rPr>
          <w:color w:val="231F20"/>
          <w:spacing w:val="3"/>
        </w:rPr>
        <w:t>profunda,  </w:t>
      </w:r>
      <w:r>
        <w:rPr>
          <w:color w:val="231F20"/>
        </w:rPr>
        <w:t>a  </w:t>
      </w:r>
      <w:r>
        <w:rPr>
          <w:color w:val="231F20"/>
          <w:spacing w:val="2"/>
        </w:rPr>
        <w:t>condición </w:t>
      </w:r>
      <w:r>
        <w:rPr>
          <w:color w:val="231F20"/>
        </w:rPr>
        <w:t>de </w:t>
      </w:r>
      <w:r>
        <w:rPr>
          <w:color w:val="231F20"/>
          <w:spacing w:val="2"/>
        </w:rPr>
        <w:t>que </w:t>
      </w:r>
      <w:r>
        <w:rPr>
          <w:color w:val="231F20"/>
        </w:rPr>
        <w:t>se </w:t>
      </w:r>
      <w:r>
        <w:rPr>
          <w:color w:val="231F20"/>
          <w:spacing w:val="2"/>
        </w:rPr>
        <w:t>establezca una </w:t>
      </w:r>
      <w:r>
        <w:rPr>
          <w:color w:val="231F20"/>
          <w:spacing w:val="3"/>
        </w:rPr>
        <w:t>comunicación </w:t>
      </w:r>
      <w:r>
        <w:rPr>
          <w:color w:val="231F20"/>
          <w:spacing w:val="2"/>
        </w:rPr>
        <w:t>empática </w:t>
      </w:r>
      <w:r>
        <w:rPr>
          <w:color w:val="231F20"/>
        </w:rPr>
        <w:t>y </w:t>
      </w:r>
      <w:r>
        <w:rPr>
          <w:color w:val="231F20"/>
          <w:spacing w:val="3"/>
        </w:rPr>
        <w:t>que </w:t>
      </w:r>
      <w:r>
        <w:rPr>
          <w:color w:val="231F20"/>
        </w:rPr>
        <w:t>no se </w:t>
      </w:r>
      <w:r>
        <w:rPr>
          <w:color w:val="231F20"/>
          <w:spacing w:val="2"/>
        </w:rPr>
        <w:t>manipule </w:t>
      </w:r>
      <w:r>
        <w:rPr>
          <w:color w:val="231F20"/>
        </w:rPr>
        <w:t>la </w:t>
      </w:r>
      <w:r>
        <w:rPr>
          <w:color w:val="231F20"/>
          <w:spacing w:val="3"/>
        </w:rPr>
        <w:t>información </w:t>
      </w:r>
      <w:r>
        <w:rPr>
          <w:color w:val="231F20"/>
        </w:rPr>
        <w:t>en </w:t>
      </w:r>
      <w:r>
        <w:rPr>
          <w:color w:val="231F20"/>
          <w:spacing w:val="2"/>
        </w:rPr>
        <w:t>aras </w:t>
      </w:r>
      <w:r>
        <w:rPr>
          <w:color w:val="231F20"/>
        </w:rPr>
        <w:t>de </w:t>
      </w:r>
      <w:r>
        <w:rPr>
          <w:color w:val="231F20"/>
          <w:spacing w:val="2"/>
        </w:rPr>
        <w:t>cumplir los deseos </w:t>
      </w:r>
      <w:r>
        <w:rPr>
          <w:color w:val="231F20"/>
        </w:rPr>
        <w:t>o </w:t>
      </w:r>
      <w:r>
        <w:rPr>
          <w:color w:val="231F20"/>
          <w:spacing w:val="2"/>
        </w:rPr>
        <w:t>expectativas</w:t>
      </w:r>
      <w:r>
        <w:rPr>
          <w:color w:val="231F20"/>
          <w:spacing w:val="-12"/>
        </w:rPr>
        <w:t> </w:t>
      </w:r>
      <w:r>
        <w:rPr>
          <w:color w:val="231F20"/>
          <w:spacing w:val="2"/>
        </w:rPr>
        <w:t>del</w:t>
      </w:r>
      <w:r>
        <w:rPr>
          <w:color w:val="231F20"/>
          <w:spacing w:val="-12"/>
        </w:rPr>
        <w:t> </w:t>
      </w:r>
      <w:r>
        <w:rPr>
          <w:color w:val="231F20"/>
          <w:spacing w:val="2"/>
        </w:rPr>
        <w:t>investigador</w:t>
      </w:r>
      <w:r>
        <w:rPr>
          <w:color w:val="231F20"/>
          <w:spacing w:val="-12"/>
        </w:rPr>
        <w:t> </w:t>
      </w:r>
      <w:r>
        <w:rPr>
          <w:color w:val="231F20"/>
          <w:spacing w:val="2"/>
        </w:rPr>
        <w:t>(Heller</w:t>
      </w:r>
      <w:r>
        <w:rPr>
          <w:color w:val="231F20"/>
          <w:spacing w:val="-12"/>
        </w:rPr>
        <w:t> </w:t>
      </w:r>
      <w:r>
        <w:rPr>
          <w:color w:val="231F20"/>
          <w:spacing w:val="2"/>
        </w:rPr>
        <w:t>1991).</w:t>
      </w:r>
    </w:p>
    <w:p>
      <w:pPr>
        <w:pStyle w:val="BodyText"/>
        <w:spacing w:line="249" w:lineRule="auto"/>
        <w:ind w:left="101" w:right="116" w:firstLine="284"/>
        <w:jc w:val="both"/>
      </w:pPr>
      <w:r>
        <w:rPr>
          <w:color w:val="231F20"/>
        </w:rPr>
        <w:t>En el </w:t>
      </w:r>
      <w:r>
        <w:rPr>
          <w:color w:val="231F20"/>
          <w:spacing w:val="3"/>
        </w:rPr>
        <w:t>método hermenéutico, </w:t>
      </w:r>
      <w:r>
        <w:rPr>
          <w:color w:val="231F20"/>
        </w:rPr>
        <w:t>lo </w:t>
      </w:r>
      <w:r>
        <w:rPr>
          <w:color w:val="231F20"/>
          <w:spacing w:val="2"/>
        </w:rPr>
        <w:t>referentes empíricos, </w:t>
      </w:r>
      <w:r>
        <w:rPr>
          <w:color w:val="231F20"/>
          <w:spacing w:val="3"/>
        </w:rPr>
        <w:t>deben </w:t>
      </w:r>
      <w:r>
        <w:rPr>
          <w:color w:val="231F20"/>
          <w:spacing w:val="2"/>
        </w:rPr>
        <w:t>cumplir criterios </w:t>
      </w:r>
      <w:r>
        <w:rPr>
          <w:color w:val="231F20"/>
        </w:rPr>
        <w:t>de </w:t>
      </w:r>
      <w:r>
        <w:rPr>
          <w:color w:val="231F20"/>
          <w:spacing w:val="2"/>
        </w:rPr>
        <w:t>verosimilitud </w:t>
      </w:r>
      <w:r>
        <w:rPr>
          <w:color w:val="231F20"/>
        </w:rPr>
        <w:t>y </w:t>
      </w:r>
      <w:r>
        <w:rPr>
          <w:color w:val="231F20"/>
          <w:spacing w:val="2"/>
        </w:rPr>
        <w:t>objetivad; </w:t>
      </w:r>
      <w:r>
        <w:rPr>
          <w:color w:val="231F20"/>
        </w:rPr>
        <w:t>sin </w:t>
      </w:r>
      <w:r>
        <w:rPr>
          <w:color w:val="231F20"/>
          <w:spacing w:val="3"/>
        </w:rPr>
        <w:t>embargo, </w:t>
      </w:r>
      <w:r>
        <w:rPr>
          <w:color w:val="231F20"/>
          <w:spacing w:val="2"/>
        </w:rPr>
        <w:t>carecerían </w:t>
      </w:r>
      <w:r>
        <w:rPr>
          <w:color w:val="231F20"/>
        </w:rPr>
        <w:t>de </w:t>
      </w:r>
      <w:r>
        <w:rPr>
          <w:color w:val="231F20"/>
          <w:spacing w:val="2"/>
        </w:rPr>
        <w:t>valor científico </w:t>
      </w:r>
      <w:r>
        <w:rPr>
          <w:color w:val="231F20"/>
        </w:rPr>
        <w:t>sin </w:t>
      </w:r>
      <w:r>
        <w:rPr>
          <w:color w:val="231F20"/>
          <w:spacing w:val="2"/>
        </w:rPr>
        <w:t>teorías para explicarlos </w:t>
      </w:r>
      <w:r>
        <w:rPr>
          <w:color w:val="231F20"/>
        </w:rPr>
        <w:t>y </w:t>
      </w:r>
      <w:r>
        <w:rPr>
          <w:color w:val="231F20"/>
          <w:spacing w:val="3"/>
        </w:rPr>
        <w:t>comprenderlos. </w:t>
      </w:r>
      <w:r>
        <w:rPr>
          <w:color w:val="231F20"/>
          <w:spacing w:val="2"/>
        </w:rPr>
        <w:t>Sin teoría </w:t>
      </w:r>
      <w:r>
        <w:rPr>
          <w:color w:val="231F20"/>
        </w:rPr>
        <w:t>la </w:t>
      </w:r>
      <w:r>
        <w:rPr>
          <w:color w:val="231F20"/>
          <w:spacing w:val="3"/>
        </w:rPr>
        <w:t>información obtenida </w:t>
      </w:r>
      <w:r>
        <w:rPr>
          <w:color w:val="231F20"/>
          <w:spacing w:val="2"/>
        </w:rPr>
        <w:t>quedaría reducida </w:t>
      </w:r>
      <w:r>
        <w:rPr>
          <w:color w:val="231F20"/>
        </w:rPr>
        <w:t>a </w:t>
      </w:r>
      <w:r>
        <w:rPr>
          <w:color w:val="231F20"/>
          <w:spacing w:val="2"/>
        </w:rPr>
        <w:t>series </w:t>
      </w:r>
      <w:r>
        <w:rPr>
          <w:color w:val="231F20"/>
        </w:rPr>
        <w:t>de </w:t>
      </w:r>
      <w:r>
        <w:rPr>
          <w:color w:val="231F20"/>
          <w:spacing w:val="2"/>
        </w:rPr>
        <w:t>datos </w:t>
      </w:r>
      <w:r>
        <w:rPr>
          <w:color w:val="231F20"/>
          <w:spacing w:val="3"/>
        </w:rPr>
        <w:t>inconexos </w:t>
      </w:r>
      <w:r>
        <w:rPr>
          <w:color w:val="231F20"/>
        </w:rPr>
        <w:t>y </w:t>
      </w:r>
      <w:r>
        <w:rPr>
          <w:color w:val="231F20"/>
          <w:spacing w:val="2"/>
        </w:rPr>
        <w:t>carentes </w:t>
      </w:r>
      <w:r>
        <w:rPr>
          <w:color w:val="231F20"/>
        </w:rPr>
        <w:t>de </w:t>
      </w:r>
      <w:r>
        <w:rPr>
          <w:color w:val="231F20"/>
          <w:spacing w:val="2"/>
        </w:rPr>
        <w:t>sentido, </w:t>
      </w:r>
      <w:r>
        <w:rPr>
          <w:color w:val="231F20"/>
        </w:rPr>
        <w:t>o en el </w:t>
      </w:r>
      <w:r>
        <w:rPr>
          <w:color w:val="231F20"/>
          <w:spacing w:val="2"/>
        </w:rPr>
        <w:t>mejor </w:t>
      </w:r>
      <w:r>
        <w:rPr>
          <w:color w:val="231F20"/>
        </w:rPr>
        <w:t>de los </w:t>
      </w:r>
      <w:r>
        <w:rPr>
          <w:color w:val="231F20"/>
          <w:spacing w:val="2"/>
        </w:rPr>
        <w:t>casos, </w:t>
      </w:r>
      <w:r>
        <w:rPr>
          <w:color w:val="231F20"/>
        </w:rPr>
        <w:t>se </w:t>
      </w:r>
      <w:r>
        <w:rPr>
          <w:color w:val="231F20"/>
          <w:spacing w:val="3"/>
        </w:rPr>
        <w:t>obtendría </w:t>
      </w:r>
      <w:r>
        <w:rPr>
          <w:color w:val="231F20"/>
        </w:rPr>
        <w:t>un </w:t>
      </w:r>
      <w:r>
        <w:rPr>
          <w:color w:val="231F20"/>
          <w:spacing w:val="3"/>
        </w:rPr>
        <w:t>anecdotario. </w:t>
      </w:r>
      <w:r>
        <w:rPr>
          <w:color w:val="231F20"/>
        </w:rPr>
        <w:t>El </w:t>
      </w:r>
      <w:r>
        <w:rPr>
          <w:color w:val="231F20"/>
          <w:spacing w:val="3"/>
        </w:rPr>
        <w:t>método hermenéutico </w:t>
      </w:r>
      <w:r>
        <w:rPr>
          <w:color w:val="231F20"/>
          <w:spacing w:val="2"/>
        </w:rPr>
        <w:t>posibilitó abordar </w:t>
      </w:r>
      <w:r>
        <w:rPr>
          <w:color w:val="231F20"/>
        </w:rPr>
        <w:t>la </w:t>
      </w:r>
      <w:r>
        <w:rPr>
          <w:color w:val="231F20"/>
          <w:spacing w:val="2"/>
        </w:rPr>
        <w:t>investigación con </w:t>
      </w:r>
      <w:r>
        <w:rPr>
          <w:color w:val="231F20"/>
        </w:rPr>
        <w:t>el </w:t>
      </w:r>
      <w:r>
        <w:rPr>
          <w:color w:val="231F20"/>
          <w:spacing w:val="3"/>
        </w:rPr>
        <w:t>pensamiento </w:t>
      </w:r>
      <w:r>
        <w:rPr>
          <w:color w:val="231F20"/>
          <w:spacing w:val="2"/>
        </w:rPr>
        <w:t>centrado </w:t>
      </w:r>
      <w:r>
        <w:rPr>
          <w:color w:val="231F20"/>
        </w:rPr>
        <w:t>en la </w:t>
      </w:r>
      <w:r>
        <w:rPr>
          <w:color w:val="231F20"/>
          <w:spacing w:val="3"/>
        </w:rPr>
        <w:t>comprensión </w:t>
      </w:r>
      <w:r>
        <w:rPr>
          <w:color w:val="231F20"/>
        </w:rPr>
        <w:t>y el </w:t>
      </w:r>
      <w:r>
        <w:rPr>
          <w:color w:val="231F20"/>
          <w:spacing w:val="2"/>
        </w:rPr>
        <w:t>diálogo con </w:t>
      </w:r>
      <w:r>
        <w:rPr>
          <w:color w:val="231F20"/>
        </w:rPr>
        <w:t>lo </w:t>
      </w:r>
      <w:r>
        <w:rPr>
          <w:color w:val="231F20"/>
          <w:spacing w:val="2"/>
        </w:rPr>
        <w:t>investigado; permitió establecer </w:t>
      </w:r>
      <w:r>
        <w:rPr>
          <w:color w:val="231F20"/>
          <w:spacing w:val="3"/>
        </w:rPr>
        <w:t>comunicación </w:t>
      </w:r>
      <w:r>
        <w:rPr>
          <w:color w:val="231F20"/>
          <w:spacing w:val="2"/>
        </w:rPr>
        <w:t>con agentes  sociales </w:t>
      </w:r>
      <w:r>
        <w:rPr>
          <w:color w:val="231F20"/>
          <w:spacing w:val="3"/>
        </w:rPr>
        <w:t>involucrados </w:t>
      </w:r>
      <w:r>
        <w:rPr>
          <w:color w:val="231F20"/>
        </w:rPr>
        <w:t>en </w:t>
      </w:r>
      <w:r>
        <w:rPr>
          <w:color w:val="231F20"/>
          <w:spacing w:val="2"/>
        </w:rPr>
        <w:t>este estudio: profesores </w:t>
      </w:r>
      <w:r>
        <w:rPr>
          <w:color w:val="231F20"/>
        </w:rPr>
        <w:t>y </w:t>
      </w:r>
      <w:r>
        <w:rPr>
          <w:color w:val="231F20"/>
          <w:spacing w:val="2"/>
        </w:rPr>
        <w:t>estudiantes </w:t>
      </w:r>
      <w:r>
        <w:rPr>
          <w:color w:val="231F20"/>
        </w:rPr>
        <w:t>de </w:t>
      </w:r>
      <w:r>
        <w:rPr>
          <w:color w:val="231F20"/>
          <w:spacing w:val="2"/>
        </w:rPr>
        <w:t>investigación, </w:t>
      </w:r>
      <w:r>
        <w:rPr>
          <w:color w:val="231F20"/>
        </w:rPr>
        <w:t>en la </w:t>
      </w:r>
      <w:r>
        <w:rPr>
          <w:color w:val="231F20"/>
          <w:spacing w:val="2"/>
        </w:rPr>
        <w:t>Facultad </w:t>
      </w:r>
      <w:r>
        <w:rPr>
          <w:color w:val="231F20"/>
        </w:rPr>
        <w:t>de </w:t>
      </w:r>
      <w:r>
        <w:rPr>
          <w:color w:val="231F20"/>
          <w:spacing w:val="2"/>
        </w:rPr>
        <w:t>Psicología </w:t>
      </w:r>
      <w:r>
        <w:rPr>
          <w:color w:val="231F20"/>
        </w:rPr>
        <w:t>de la</w:t>
      </w:r>
      <w:r>
        <w:rPr>
          <w:color w:val="231F20"/>
          <w:spacing w:val="-5"/>
        </w:rPr>
        <w:t> </w:t>
      </w:r>
      <w:r>
        <w:rPr>
          <w:color w:val="231F20"/>
          <w:spacing w:val="3"/>
        </w:rPr>
        <w:t>UAQ.</w:t>
      </w:r>
    </w:p>
    <w:p>
      <w:pPr>
        <w:pStyle w:val="BodyText"/>
        <w:rPr>
          <w:sz w:val="22"/>
        </w:rPr>
      </w:pPr>
    </w:p>
    <w:p>
      <w:pPr>
        <w:pStyle w:val="BodyText"/>
        <w:spacing w:before="2"/>
        <w:rPr>
          <w:sz w:val="23"/>
        </w:rPr>
      </w:pPr>
    </w:p>
    <w:p>
      <w:pPr>
        <w:pStyle w:val="ListParagraph"/>
        <w:numPr>
          <w:ilvl w:val="1"/>
          <w:numId w:val="6"/>
        </w:numPr>
        <w:tabs>
          <w:tab w:pos="460" w:val="left" w:leader="none"/>
        </w:tabs>
        <w:spacing w:line="240" w:lineRule="auto" w:before="1" w:after="0"/>
        <w:ind w:left="459" w:right="0" w:hanging="357"/>
        <w:jc w:val="both"/>
        <w:rPr>
          <w:i/>
          <w:sz w:val="21"/>
        </w:rPr>
      </w:pPr>
      <w:r>
        <w:rPr>
          <w:i/>
          <w:color w:val="231F20"/>
          <w:w w:val="90"/>
          <w:sz w:val="21"/>
        </w:rPr>
        <w:t>Procedimiento</w:t>
      </w:r>
    </w:p>
    <w:p>
      <w:pPr>
        <w:pStyle w:val="BodyText"/>
        <w:spacing w:before="9"/>
        <w:rPr>
          <w:i/>
          <w:sz w:val="22"/>
        </w:rPr>
      </w:pPr>
    </w:p>
    <w:p>
      <w:pPr>
        <w:pStyle w:val="ListParagraph"/>
        <w:numPr>
          <w:ilvl w:val="2"/>
          <w:numId w:val="6"/>
        </w:numPr>
        <w:tabs>
          <w:tab w:pos="611" w:val="left" w:leader="none"/>
        </w:tabs>
        <w:spacing w:line="240" w:lineRule="auto" w:before="0" w:after="0"/>
        <w:ind w:left="610" w:right="0" w:hanging="508"/>
        <w:jc w:val="both"/>
        <w:rPr>
          <w:i/>
          <w:sz w:val="21"/>
        </w:rPr>
      </w:pPr>
      <w:r>
        <w:rPr>
          <w:i/>
          <w:color w:val="231F20"/>
          <w:w w:val="85"/>
          <w:sz w:val="21"/>
        </w:rPr>
        <w:t>Los</w:t>
      </w:r>
      <w:r>
        <w:rPr>
          <w:i/>
          <w:color w:val="231F20"/>
          <w:spacing w:val="-2"/>
          <w:w w:val="85"/>
          <w:sz w:val="21"/>
        </w:rPr>
        <w:t> </w:t>
      </w:r>
      <w:r>
        <w:rPr>
          <w:i/>
          <w:color w:val="231F20"/>
          <w:w w:val="85"/>
          <w:sz w:val="21"/>
        </w:rPr>
        <w:t>participantes</w:t>
      </w:r>
    </w:p>
    <w:p>
      <w:pPr>
        <w:pStyle w:val="BodyText"/>
        <w:spacing w:before="4"/>
        <w:rPr>
          <w:i/>
          <w:sz w:val="22"/>
        </w:rPr>
      </w:pPr>
    </w:p>
    <w:p>
      <w:pPr>
        <w:pStyle w:val="BodyText"/>
        <w:spacing w:line="247" w:lineRule="auto" w:before="1"/>
        <w:ind w:left="102" w:right="116" w:hanging="1"/>
        <w:jc w:val="both"/>
      </w:pPr>
      <w:r>
        <w:rPr>
          <w:color w:val="231F20"/>
        </w:rPr>
        <w:t>Fueron motivo de estudio las RsSs que vivieron </w:t>
      </w:r>
      <w:r>
        <w:rPr>
          <w:color w:val="231F20"/>
          <w:sz w:val="17"/>
        </w:rPr>
        <w:t>70 </w:t>
      </w:r>
      <w:r>
        <w:rPr>
          <w:color w:val="231F20"/>
        </w:rPr>
        <w:t>estudiantes (primer semestre y cuarto semestre) de la Facultad de Psicología;  sus RsSs acerca de las prácticas educativas relacionadas con transmitir el oficio de investigar y sus actores; también sus  opiniones sobre la ciencia y el</w:t>
      </w:r>
      <w:r>
        <w:rPr>
          <w:color w:val="231F20"/>
          <w:spacing w:val="-33"/>
        </w:rPr>
        <w:t> </w:t>
      </w:r>
      <w:r>
        <w:rPr>
          <w:color w:val="231F20"/>
        </w:rPr>
        <w:t>científico.</w:t>
      </w:r>
    </w:p>
    <w:p>
      <w:pPr>
        <w:pStyle w:val="BodyText"/>
        <w:spacing w:before="9"/>
      </w:pPr>
    </w:p>
    <w:p>
      <w:pPr>
        <w:tabs>
          <w:tab w:pos="1530" w:val="left" w:leader="none"/>
        </w:tabs>
        <w:spacing w:before="0"/>
        <w:ind w:left="810" w:right="121" w:firstLine="0"/>
        <w:jc w:val="left"/>
        <w:rPr>
          <w:i/>
          <w:sz w:val="21"/>
        </w:rPr>
      </w:pPr>
      <w:r>
        <w:rPr>
          <w:i/>
          <w:color w:val="231F20"/>
          <w:sz w:val="21"/>
        </w:rPr>
        <w:t>3.2.</w:t>
        <w:tab/>
      </w:r>
      <w:r>
        <w:rPr>
          <w:i/>
          <w:color w:val="231F20"/>
          <w:w w:val="85"/>
          <w:sz w:val="21"/>
        </w:rPr>
        <w:t>Las</w:t>
      </w:r>
      <w:r>
        <w:rPr>
          <w:i/>
          <w:color w:val="231F20"/>
          <w:spacing w:val="17"/>
          <w:w w:val="85"/>
          <w:sz w:val="21"/>
        </w:rPr>
        <w:t> </w:t>
      </w:r>
      <w:r>
        <w:rPr>
          <w:i/>
          <w:color w:val="231F20"/>
          <w:w w:val="85"/>
          <w:sz w:val="21"/>
        </w:rPr>
        <w:t>herramientas</w:t>
      </w:r>
    </w:p>
    <w:p>
      <w:pPr>
        <w:pStyle w:val="BodyText"/>
        <w:spacing w:before="1"/>
        <w:rPr>
          <w:i/>
        </w:rPr>
      </w:pPr>
    </w:p>
    <w:p>
      <w:pPr>
        <w:pStyle w:val="ListParagraph"/>
        <w:numPr>
          <w:ilvl w:val="0"/>
          <w:numId w:val="8"/>
        </w:numPr>
        <w:tabs>
          <w:tab w:pos="823" w:val="left" w:leader="none"/>
        </w:tabs>
        <w:spacing w:line="249" w:lineRule="auto" w:before="0" w:after="0"/>
        <w:ind w:left="822" w:right="115" w:hanging="360"/>
        <w:jc w:val="both"/>
        <w:rPr>
          <w:sz w:val="21"/>
        </w:rPr>
      </w:pPr>
      <w:r>
        <w:rPr>
          <w:color w:val="231F20"/>
          <w:sz w:val="21"/>
        </w:rPr>
        <w:t>“Entrevistas no estructuradas” para recuperar, de las narraciones de los estudiantes, la descripción de clases sobre investigación, también la forma en que valoran la ciencia, la docencia, el oficio del científico y la producción de</w:t>
      </w:r>
      <w:r>
        <w:rPr>
          <w:color w:val="231F20"/>
          <w:spacing w:val="-8"/>
          <w:sz w:val="21"/>
        </w:rPr>
        <w:t> </w:t>
      </w:r>
      <w:r>
        <w:rPr>
          <w:color w:val="231F20"/>
          <w:sz w:val="21"/>
        </w:rPr>
        <w:t>ciencia.</w:t>
      </w:r>
      <w:r>
        <w:rPr>
          <w:color w:val="231F20"/>
          <w:spacing w:val="-9"/>
          <w:sz w:val="21"/>
        </w:rPr>
        <w:t> </w:t>
      </w:r>
      <w:r>
        <w:rPr>
          <w:color w:val="231F20"/>
          <w:sz w:val="21"/>
        </w:rPr>
        <w:t>Se</w:t>
      </w:r>
      <w:r>
        <w:rPr>
          <w:color w:val="231F20"/>
          <w:spacing w:val="-8"/>
          <w:sz w:val="21"/>
        </w:rPr>
        <w:t> </w:t>
      </w:r>
      <w:r>
        <w:rPr>
          <w:color w:val="231F20"/>
          <w:sz w:val="21"/>
        </w:rPr>
        <w:t>consideraron</w:t>
      </w:r>
      <w:r>
        <w:rPr>
          <w:color w:val="231F20"/>
          <w:spacing w:val="-8"/>
          <w:sz w:val="21"/>
        </w:rPr>
        <w:t> </w:t>
      </w:r>
      <w:r>
        <w:rPr>
          <w:color w:val="231F20"/>
          <w:sz w:val="21"/>
        </w:rPr>
        <w:t>las</w:t>
      </w:r>
      <w:r>
        <w:rPr>
          <w:color w:val="231F20"/>
          <w:spacing w:val="-8"/>
          <w:sz w:val="21"/>
        </w:rPr>
        <w:t> </w:t>
      </w:r>
      <w:r>
        <w:rPr>
          <w:color w:val="231F20"/>
          <w:sz w:val="21"/>
        </w:rPr>
        <w:t>guías</w:t>
      </w:r>
      <w:r>
        <w:rPr>
          <w:color w:val="231F20"/>
          <w:spacing w:val="-8"/>
          <w:sz w:val="21"/>
        </w:rPr>
        <w:t> </w:t>
      </w:r>
      <w:r>
        <w:rPr>
          <w:color w:val="231F20"/>
          <w:sz w:val="21"/>
        </w:rPr>
        <w:t>de:</w:t>
      </w:r>
    </w:p>
    <w:p>
      <w:pPr>
        <w:spacing w:after="0" w:line="249" w:lineRule="auto"/>
        <w:jc w:val="both"/>
        <w:rPr>
          <w:sz w:val="21"/>
        </w:rPr>
        <w:sectPr>
          <w:headerReference w:type="default" r:id="rId383"/>
          <w:footerReference w:type="default" r:id="rId384"/>
          <w:pgSz w:w="7830" w:h="11910"/>
          <w:pgMar w:header="0" w:footer="424" w:top="500" w:bottom="620" w:left="920" w:right="900"/>
          <w:pgNumType w:start="179"/>
        </w:sectPr>
      </w:pPr>
    </w:p>
    <w:p>
      <w:pPr>
        <w:spacing w:before="46"/>
        <w:ind w:left="102" w:right="116"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8"/>
        <w:rPr>
          <w:sz w:val="22"/>
        </w:rPr>
      </w:pPr>
    </w:p>
    <w:p>
      <w:pPr>
        <w:pStyle w:val="ListParagraph"/>
        <w:numPr>
          <w:ilvl w:val="0"/>
          <w:numId w:val="8"/>
        </w:numPr>
        <w:tabs>
          <w:tab w:pos="821" w:val="left" w:leader="none"/>
          <w:tab w:pos="823" w:val="left" w:leader="none"/>
        </w:tabs>
        <w:spacing w:line="247" w:lineRule="auto" w:before="0" w:after="0"/>
        <w:ind w:left="822" w:right="119" w:hanging="360"/>
        <w:jc w:val="left"/>
        <w:rPr>
          <w:sz w:val="21"/>
        </w:rPr>
      </w:pPr>
      <w:r>
        <w:rPr>
          <w:color w:val="231F20"/>
          <w:sz w:val="21"/>
        </w:rPr>
        <w:t>“Información”</w:t>
      </w:r>
      <w:r>
        <w:rPr>
          <w:i/>
          <w:color w:val="231F20"/>
          <w:sz w:val="21"/>
        </w:rPr>
        <w:t>: </w:t>
      </w:r>
      <w:r>
        <w:rPr>
          <w:color w:val="231F20"/>
          <w:sz w:val="21"/>
        </w:rPr>
        <w:t>suma de conocimientos con que cuenta un grupo sobre un acontecimiento o </w:t>
      </w:r>
      <w:r>
        <w:rPr>
          <w:color w:val="231F20"/>
          <w:spacing w:val="30"/>
          <w:sz w:val="21"/>
        </w:rPr>
        <w:t> </w:t>
      </w:r>
      <w:r>
        <w:rPr>
          <w:color w:val="231F20"/>
          <w:sz w:val="21"/>
        </w:rPr>
        <w:t>hecho.</w:t>
      </w:r>
    </w:p>
    <w:p>
      <w:pPr>
        <w:pStyle w:val="ListParagraph"/>
        <w:numPr>
          <w:ilvl w:val="0"/>
          <w:numId w:val="8"/>
        </w:numPr>
        <w:tabs>
          <w:tab w:pos="821" w:val="left" w:leader="none"/>
          <w:tab w:pos="822" w:val="left" w:leader="none"/>
        </w:tabs>
        <w:spacing w:line="243" w:lineRule="exact" w:before="0" w:after="0"/>
        <w:ind w:left="821" w:right="0" w:hanging="359"/>
        <w:jc w:val="left"/>
        <w:rPr>
          <w:sz w:val="21"/>
        </w:rPr>
      </w:pPr>
      <w:r>
        <w:rPr>
          <w:color w:val="231F20"/>
          <w:sz w:val="21"/>
        </w:rPr>
        <w:t>“Campo de representación”</w:t>
      </w:r>
      <w:r>
        <w:rPr>
          <w:i/>
          <w:color w:val="231F20"/>
          <w:sz w:val="21"/>
        </w:rPr>
        <w:t>: </w:t>
      </w:r>
      <w:r>
        <w:rPr>
          <w:color w:val="231F20"/>
          <w:sz w:val="21"/>
        </w:rPr>
        <w:t>Organización y</w:t>
      </w:r>
      <w:r>
        <w:rPr>
          <w:color w:val="231F20"/>
          <w:spacing w:val="47"/>
          <w:sz w:val="21"/>
        </w:rPr>
        <w:t> </w:t>
      </w:r>
      <w:r>
        <w:rPr>
          <w:color w:val="231F20"/>
          <w:sz w:val="21"/>
        </w:rPr>
        <w:t>jerarquización</w:t>
      </w:r>
    </w:p>
    <w:p>
      <w:pPr>
        <w:pStyle w:val="BodyText"/>
        <w:spacing w:line="247" w:lineRule="auto" w:before="7"/>
        <w:ind w:left="821" w:right="121"/>
      </w:pPr>
      <w:r>
        <w:rPr>
          <w:color w:val="231F20"/>
        </w:rPr>
        <w:t>de la representación, construcción social de un minimodelo teórico.</w:t>
      </w:r>
    </w:p>
    <w:p>
      <w:pPr>
        <w:pStyle w:val="ListParagraph"/>
        <w:numPr>
          <w:ilvl w:val="0"/>
          <w:numId w:val="8"/>
        </w:numPr>
        <w:tabs>
          <w:tab w:pos="821" w:val="left" w:leader="none"/>
          <w:tab w:pos="822" w:val="left" w:leader="none"/>
        </w:tabs>
        <w:spacing w:line="247" w:lineRule="auto" w:before="0" w:after="0"/>
        <w:ind w:left="821" w:right="117" w:hanging="360"/>
        <w:jc w:val="left"/>
        <w:rPr>
          <w:sz w:val="21"/>
        </w:rPr>
      </w:pPr>
      <w:r>
        <w:rPr>
          <w:color w:val="231F20"/>
          <w:sz w:val="21"/>
        </w:rPr>
        <w:t>“Actitud”</w:t>
      </w:r>
      <w:r>
        <w:rPr>
          <w:i/>
          <w:color w:val="231F20"/>
          <w:sz w:val="21"/>
        </w:rPr>
        <w:t>. </w:t>
      </w:r>
      <w:r>
        <w:rPr>
          <w:color w:val="231F20"/>
          <w:sz w:val="21"/>
        </w:rPr>
        <w:t>Toma de posición, orientación favorable o desfavorable hacia el objeto de la representación</w:t>
      </w:r>
      <w:r>
        <w:rPr>
          <w:color w:val="231F20"/>
          <w:spacing w:val="-25"/>
          <w:sz w:val="21"/>
        </w:rPr>
        <w:t> </w:t>
      </w:r>
      <w:r>
        <w:rPr>
          <w:color w:val="231F20"/>
          <w:sz w:val="21"/>
        </w:rPr>
        <w:t>social.</w:t>
      </w:r>
    </w:p>
    <w:p>
      <w:pPr>
        <w:pStyle w:val="ListParagraph"/>
        <w:numPr>
          <w:ilvl w:val="0"/>
          <w:numId w:val="8"/>
        </w:numPr>
        <w:tabs>
          <w:tab w:pos="821" w:val="left" w:leader="none"/>
          <w:tab w:pos="822" w:val="left" w:leader="none"/>
        </w:tabs>
        <w:spacing w:line="240" w:lineRule="exact" w:before="0" w:after="0"/>
        <w:ind w:left="821" w:right="0" w:hanging="360"/>
        <w:jc w:val="left"/>
        <w:rPr>
          <w:sz w:val="21"/>
        </w:rPr>
      </w:pPr>
      <w:r>
        <w:rPr>
          <w:color w:val="231F20"/>
          <w:sz w:val="21"/>
        </w:rPr>
        <w:t>“Información”</w:t>
      </w:r>
      <w:r>
        <w:rPr>
          <w:i/>
          <w:color w:val="231F20"/>
          <w:sz w:val="21"/>
        </w:rPr>
        <w:t>. </w:t>
      </w:r>
      <w:r>
        <w:rPr>
          <w:color w:val="231F20"/>
          <w:sz w:val="21"/>
        </w:rPr>
        <w:t>Que es la</w:t>
      </w:r>
      <w:r>
        <w:rPr>
          <w:color w:val="231F20"/>
          <w:spacing w:val="16"/>
          <w:sz w:val="21"/>
        </w:rPr>
        <w:t> </w:t>
      </w:r>
      <w:r>
        <w:rPr>
          <w:color w:val="231F20"/>
          <w:sz w:val="21"/>
        </w:rPr>
        <w:t>ciencia.</w:t>
      </w:r>
    </w:p>
    <w:p>
      <w:pPr>
        <w:pStyle w:val="ListParagraph"/>
        <w:numPr>
          <w:ilvl w:val="0"/>
          <w:numId w:val="8"/>
        </w:numPr>
        <w:tabs>
          <w:tab w:pos="821" w:val="left" w:leader="none"/>
          <w:tab w:pos="822" w:val="left" w:leader="none"/>
        </w:tabs>
        <w:spacing w:line="250" w:lineRule="exact" w:before="0" w:after="0"/>
        <w:ind w:left="821" w:right="0" w:hanging="360"/>
        <w:jc w:val="left"/>
        <w:rPr>
          <w:sz w:val="21"/>
        </w:rPr>
      </w:pPr>
      <w:r>
        <w:rPr>
          <w:color w:val="231F20"/>
          <w:sz w:val="21"/>
        </w:rPr>
        <w:t>Cómo se obtiene conocimiento</w:t>
      </w:r>
      <w:r>
        <w:rPr>
          <w:color w:val="231F20"/>
          <w:spacing w:val="46"/>
          <w:sz w:val="21"/>
        </w:rPr>
        <w:t> </w:t>
      </w:r>
      <w:r>
        <w:rPr>
          <w:color w:val="231F20"/>
          <w:sz w:val="21"/>
        </w:rPr>
        <w:t>científico.</w:t>
      </w:r>
    </w:p>
    <w:p>
      <w:pPr>
        <w:pStyle w:val="ListParagraph"/>
        <w:numPr>
          <w:ilvl w:val="0"/>
          <w:numId w:val="8"/>
        </w:numPr>
        <w:tabs>
          <w:tab w:pos="821" w:val="left" w:leader="none"/>
          <w:tab w:pos="822" w:val="left" w:leader="none"/>
        </w:tabs>
        <w:spacing w:line="247" w:lineRule="auto" w:before="0" w:after="0"/>
        <w:ind w:left="821" w:right="120" w:hanging="360"/>
        <w:jc w:val="left"/>
        <w:rPr>
          <w:sz w:val="21"/>
        </w:rPr>
      </w:pPr>
      <w:r>
        <w:rPr>
          <w:color w:val="231F20"/>
          <w:sz w:val="21"/>
        </w:rPr>
        <w:t>“Campo de representación”</w:t>
      </w:r>
      <w:r>
        <w:rPr>
          <w:i/>
          <w:color w:val="231F20"/>
          <w:sz w:val="21"/>
        </w:rPr>
        <w:t>. </w:t>
      </w:r>
      <w:r>
        <w:rPr>
          <w:color w:val="231F20"/>
          <w:sz w:val="21"/>
        </w:rPr>
        <w:t>Qué características o atributos tiene un científico</w:t>
      </w:r>
      <w:r>
        <w:rPr>
          <w:color w:val="231F20"/>
          <w:spacing w:val="7"/>
          <w:sz w:val="21"/>
        </w:rPr>
        <w:t> </w:t>
      </w:r>
      <w:r>
        <w:rPr>
          <w:color w:val="231F20"/>
          <w:sz w:val="21"/>
        </w:rPr>
        <w:t>(estereotipos)</w:t>
      </w:r>
    </w:p>
    <w:p>
      <w:pPr>
        <w:pStyle w:val="ListParagraph"/>
        <w:numPr>
          <w:ilvl w:val="0"/>
          <w:numId w:val="8"/>
        </w:numPr>
        <w:tabs>
          <w:tab w:pos="821" w:val="left" w:leader="none"/>
          <w:tab w:pos="822" w:val="left" w:leader="none"/>
        </w:tabs>
        <w:spacing w:line="240" w:lineRule="exact" w:before="0" w:after="0"/>
        <w:ind w:left="821" w:right="0" w:hanging="360"/>
        <w:jc w:val="left"/>
        <w:rPr>
          <w:sz w:val="21"/>
        </w:rPr>
      </w:pPr>
      <w:r>
        <w:rPr>
          <w:color w:val="231F20"/>
          <w:sz w:val="21"/>
        </w:rPr>
        <w:t>“Actitud”</w:t>
      </w:r>
      <w:r>
        <w:rPr>
          <w:i/>
          <w:color w:val="231F20"/>
          <w:sz w:val="21"/>
        </w:rPr>
        <w:t>.</w:t>
      </w:r>
      <w:r>
        <w:rPr>
          <w:i/>
          <w:color w:val="231F20"/>
          <w:spacing w:val="-12"/>
          <w:sz w:val="21"/>
        </w:rPr>
        <w:t> </w:t>
      </w:r>
      <w:r>
        <w:rPr>
          <w:i/>
          <w:color w:val="231F20"/>
          <w:sz w:val="21"/>
        </w:rPr>
        <w:t>¿</w:t>
      </w:r>
      <w:r>
        <w:rPr>
          <w:color w:val="231F20"/>
          <w:sz w:val="21"/>
        </w:rPr>
        <w:t>Te</w:t>
      </w:r>
      <w:r>
        <w:rPr>
          <w:color w:val="231F20"/>
          <w:spacing w:val="-11"/>
          <w:sz w:val="21"/>
        </w:rPr>
        <w:t> </w:t>
      </w:r>
      <w:r>
        <w:rPr>
          <w:color w:val="231F20"/>
          <w:sz w:val="21"/>
        </w:rPr>
        <w:t>gustaría</w:t>
      </w:r>
      <w:r>
        <w:rPr>
          <w:color w:val="231F20"/>
          <w:spacing w:val="-11"/>
          <w:sz w:val="21"/>
        </w:rPr>
        <w:t> </w:t>
      </w:r>
      <w:r>
        <w:rPr>
          <w:color w:val="231F20"/>
          <w:sz w:val="21"/>
        </w:rPr>
        <w:t>dedicarte</w:t>
      </w:r>
      <w:r>
        <w:rPr>
          <w:color w:val="231F20"/>
          <w:spacing w:val="-11"/>
          <w:sz w:val="21"/>
        </w:rPr>
        <w:t> </w:t>
      </w:r>
      <w:r>
        <w:rPr>
          <w:color w:val="231F20"/>
          <w:sz w:val="21"/>
        </w:rPr>
        <w:t>a</w:t>
      </w:r>
      <w:r>
        <w:rPr>
          <w:color w:val="231F20"/>
          <w:spacing w:val="-11"/>
          <w:sz w:val="21"/>
        </w:rPr>
        <w:t> </w:t>
      </w:r>
      <w:r>
        <w:rPr>
          <w:color w:val="231F20"/>
          <w:sz w:val="21"/>
        </w:rPr>
        <w:t>la</w:t>
      </w:r>
      <w:r>
        <w:rPr>
          <w:color w:val="231F20"/>
          <w:spacing w:val="-11"/>
          <w:sz w:val="21"/>
        </w:rPr>
        <w:t> </w:t>
      </w:r>
      <w:r>
        <w:rPr>
          <w:color w:val="231F20"/>
          <w:sz w:val="21"/>
        </w:rPr>
        <w:t>investigación?</w:t>
      </w:r>
    </w:p>
    <w:p>
      <w:pPr>
        <w:pStyle w:val="ListParagraph"/>
        <w:numPr>
          <w:ilvl w:val="0"/>
          <w:numId w:val="8"/>
        </w:numPr>
        <w:tabs>
          <w:tab w:pos="820" w:val="left" w:leader="none"/>
          <w:tab w:pos="821" w:val="left" w:leader="none"/>
        </w:tabs>
        <w:spacing w:line="247" w:lineRule="auto" w:before="0" w:after="0"/>
        <w:ind w:left="821" w:right="119" w:hanging="360"/>
        <w:jc w:val="left"/>
        <w:rPr>
          <w:sz w:val="21"/>
        </w:rPr>
      </w:pPr>
      <w:r>
        <w:rPr>
          <w:color w:val="231F20"/>
          <w:sz w:val="21"/>
        </w:rPr>
        <w:t>Vislumbras la aplicación de la ciencia y sus métodos en tu quehacer</w:t>
      </w:r>
      <w:r>
        <w:rPr>
          <w:color w:val="231F20"/>
          <w:spacing w:val="5"/>
          <w:sz w:val="21"/>
        </w:rPr>
        <w:t> </w:t>
      </w:r>
      <w:r>
        <w:rPr>
          <w:color w:val="231F20"/>
          <w:sz w:val="21"/>
        </w:rPr>
        <w:t>profesional.</w:t>
      </w:r>
    </w:p>
    <w:p>
      <w:pPr>
        <w:pStyle w:val="ListParagraph"/>
        <w:numPr>
          <w:ilvl w:val="0"/>
          <w:numId w:val="8"/>
        </w:numPr>
        <w:tabs>
          <w:tab w:pos="820" w:val="left" w:leader="none"/>
          <w:tab w:pos="821" w:val="left" w:leader="none"/>
        </w:tabs>
        <w:spacing w:line="243" w:lineRule="exact" w:before="0" w:after="0"/>
        <w:ind w:left="820" w:right="0" w:hanging="360"/>
        <w:jc w:val="left"/>
        <w:rPr>
          <w:sz w:val="21"/>
        </w:rPr>
      </w:pPr>
      <w:r>
        <w:rPr>
          <w:color w:val="231F20"/>
          <w:sz w:val="21"/>
        </w:rPr>
        <w:t>Grupos  focales  para  alentar  la  construcción  de   </w:t>
      </w:r>
      <w:r>
        <w:rPr>
          <w:color w:val="231F20"/>
          <w:spacing w:val="15"/>
          <w:sz w:val="21"/>
        </w:rPr>
        <w:t> </w:t>
      </w:r>
      <w:r>
        <w:rPr>
          <w:color w:val="231F20"/>
          <w:sz w:val="21"/>
        </w:rPr>
        <w:t>sentido</w:t>
      </w:r>
    </w:p>
    <w:p>
      <w:pPr>
        <w:pStyle w:val="BodyText"/>
        <w:spacing w:line="247" w:lineRule="auto" w:before="7"/>
        <w:ind w:left="820" w:right="210"/>
      </w:pPr>
      <w:r>
        <w:rPr>
          <w:color w:val="231F20"/>
        </w:rPr>
        <w:t>entre estudiantes y para profundizar en la complejización  de las representaciones sociales en</w:t>
      </w:r>
      <w:r>
        <w:rPr>
          <w:color w:val="231F20"/>
          <w:spacing w:val="-29"/>
        </w:rPr>
        <w:t> </w:t>
      </w:r>
      <w:r>
        <w:rPr>
          <w:color w:val="231F20"/>
        </w:rPr>
        <w:t>juego.</w:t>
      </w:r>
    </w:p>
    <w:p>
      <w:pPr>
        <w:pStyle w:val="ListParagraph"/>
        <w:numPr>
          <w:ilvl w:val="0"/>
          <w:numId w:val="8"/>
        </w:numPr>
        <w:tabs>
          <w:tab w:pos="821" w:val="left" w:leader="none"/>
        </w:tabs>
        <w:spacing w:line="247" w:lineRule="auto" w:before="0" w:after="0"/>
        <w:ind w:left="820" w:right="117" w:hanging="360"/>
        <w:jc w:val="both"/>
        <w:rPr>
          <w:sz w:val="21"/>
        </w:rPr>
      </w:pPr>
      <w:r>
        <w:rPr>
          <w:color w:val="231F20"/>
          <w:sz w:val="21"/>
        </w:rPr>
        <w:t>Entrevistas del tipo “grupos focales” (De Negri, 2003; Martínez s/d) con estudiantes. Que respondieron a las dimensiones</w:t>
      </w:r>
      <w:r>
        <w:rPr>
          <w:color w:val="231F20"/>
          <w:spacing w:val="-10"/>
          <w:sz w:val="21"/>
        </w:rPr>
        <w:t> </w:t>
      </w:r>
      <w:r>
        <w:rPr>
          <w:color w:val="231F20"/>
          <w:sz w:val="21"/>
        </w:rPr>
        <w:t>de</w:t>
      </w:r>
      <w:r>
        <w:rPr>
          <w:color w:val="231F20"/>
          <w:spacing w:val="-9"/>
          <w:sz w:val="21"/>
        </w:rPr>
        <w:t> </w:t>
      </w:r>
      <w:r>
        <w:rPr>
          <w:color w:val="231F20"/>
          <w:sz w:val="21"/>
        </w:rPr>
        <w:t>las</w:t>
      </w:r>
      <w:r>
        <w:rPr>
          <w:color w:val="231F20"/>
          <w:spacing w:val="-9"/>
          <w:sz w:val="21"/>
        </w:rPr>
        <w:t> </w:t>
      </w:r>
      <w:r>
        <w:rPr>
          <w:color w:val="231F20"/>
          <w:sz w:val="21"/>
        </w:rPr>
        <w:t>RsSsde</w:t>
      </w:r>
      <w:r>
        <w:rPr>
          <w:color w:val="231F20"/>
          <w:spacing w:val="-9"/>
          <w:sz w:val="21"/>
        </w:rPr>
        <w:t> </w:t>
      </w:r>
      <w:r>
        <w:rPr>
          <w:color w:val="231F20"/>
          <w:sz w:val="21"/>
        </w:rPr>
        <w:t>los</w:t>
      </w:r>
      <w:r>
        <w:rPr>
          <w:color w:val="231F20"/>
          <w:spacing w:val="-10"/>
          <w:sz w:val="21"/>
        </w:rPr>
        <w:t> </w:t>
      </w:r>
      <w:r>
        <w:rPr>
          <w:color w:val="231F20"/>
          <w:sz w:val="21"/>
        </w:rPr>
        <w:t>estudiantes</w:t>
      </w:r>
      <w:r>
        <w:rPr>
          <w:color w:val="231F20"/>
          <w:spacing w:val="-10"/>
          <w:sz w:val="21"/>
        </w:rPr>
        <w:t> </w:t>
      </w:r>
      <w:r>
        <w:rPr>
          <w:color w:val="231F20"/>
          <w:sz w:val="21"/>
        </w:rPr>
        <w:t>(Mora,</w:t>
      </w:r>
      <w:r>
        <w:rPr>
          <w:color w:val="231F20"/>
          <w:spacing w:val="-10"/>
          <w:sz w:val="21"/>
        </w:rPr>
        <w:t> </w:t>
      </w:r>
      <w:r>
        <w:rPr>
          <w:color w:val="231F20"/>
          <w:sz w:val="21"/>
        </w:rPr>
        <w:t>2002:10).</w:t>
      </w:r>
    </w:p>
    <w:p>
      <w:pPr>
        <w:pStyle w:val="BodyText"/>
        <w:rPr>
          <w:sz w:val="22"/>
        </w:rPr>
      </w:pPr>
    </w:p>
    <w:p>
      <w:pPr>
        <w:pStyle w:val="BodyText"/>
        <w:spacing w:before="6"/>
      </w:pPr>
    </w:p>
    <w:p>
      <w:pPr>
        <w:pStyle w:val="ListParagraph"/>
        <w:numPr>
          <w:ilvl w:val="0"/>
          <w:numId w:val="6"/>
        </w:numPr>
        <w:tabs>
          <w:tab w:pos="289" w:val="left" w:leader="none"/>
        </w:tabs>
        <w:spacing w:line="240" w:lineRule="auto" w:before="0" w:after="0"/>
        <w:ind w:left="288" w:right="0" w:hanging="188"/>
        <w:jc w:val="both"/>
        <w:rPr>
          <w:i/>
          <w:color w:val="231F20"/>
          <w:sz w:val="21"/>
        </w:rPr>
      </w:pPr>
      <w:r>
        <w:rPr>
          <w:i/>
          <w:color w:val="231F20"/>
          <w:spacing w:val="-4"/>
          <w:w w:val="110"/>
          <w:sz w:val="21"/>
        </w:rPr>
        <w:t>PRESENTACIÓN</w:t>
      </w:r>
      <w:r>
        <w:rPr>
          <w:i/>
          <w:color w:val="231F20"/>
          <w:spacing w:val="-41"/>
          <w:w w:val="110"/>
          <w:sz w:val="21"/>
        </w:rPr>
        <w:t> </w:t>
      </w:r>
      <w:r>
        <w:rPr>
          <w:i/>
          <w:color w:val="231F20"/>
          <w:w w:val="110"/>
          <w:sz w:val="21"/>
        </w:rPr>
        <w:t>DE</w:t>
      </w:r>
      <w:r>
        <w:rPr>
          <w:i/>
          <w:color w:val="231F20"/>
          <w:spacing w:val="-41"/>
          <w:w w:val="110"/>
          <w:sz w:val="21"/>
        </w:rPr>
        <w:t> </w:t>
      </w:r>
      <w:r>
        <w:rPr>
          <w:i/>
          <w:color w:val="231F20"/>
          <w:spacing w:val="-4"/>
          <w:w w:val="110"/>
          <w:sz w:val="21"/>
        </w:rPr>
        <w:t>RESULTADOS</w:t>
      </w:r>
      <w:r>
        <w:rPr>
          <w:i/>
          <w:color w:val="231F20"/>
          <w:spacing w:val="-41"/>
          <w:w w:val="110"/>
          <w:sz w:val="21"/>
        </w:rPr>
        <w:t> </w:t>
      </w:r>
      <w:r>
        <w:rPr>
          <w:i/>
          <w:color w:val="231F20"/>
          <w:spacing w:val="-3"/>
          <w:w w:val="110"/>
          <w:sz w:val="21"/>
        </w:rPr>
        <w:t>RSSS</w:t>
      </w:r>
      <w:r>
        <w:rPr>
          <w:i/>
          <w:color w:val="231F20"/>
          <w:spacing w:val="-41"/>
          <w:w w:val="110"/>
          <w:sz w:val="21"/>
        </w:rPr>
        <w:t> </w:t>
      </w:r>
      <w:r>
        <w:rPr>
          <w:i/>
          <w:color w:val="231F20"/>
          <w:spacing w:val="-3"/>
          <w:w w:val="110"/>
          <w:sz w:val="21"/>
        </w:rPr>
        <w:t>DEL</w:t>
      </w:r>
      <w:r>
        <w:rPr>
          <w:i/>
          <w:color w:val="231F20"/>
          <w:spacing w:val="-41"/>
          <w:w w:val="110"/>
          <w:sz w:val="21"/>
        </w:rPr>
        <w:t> </w:t>
      </w:r>
      <w:r>
        <w:rPr>
          <w:i/>
          <w:color w:val="231F20"/>
          <w:spacing w:val="-4"/>
          <w:w w:val="110"/>
          <w:sz w:val="21"/>
        </w:rPr>
        <w:t>CIENTÍFICO</w:t>
      </w:r>
    </w:p>
    <w:p>
      <w:pPr>
        <w:pStyle w:val="BodyText"/>
        <w:spacing w:before="1"/>
        <w:rPr>
          <w:i/>
        </w:rPr>
      </w:pPr>
    </w:p>
    <w:p>
      <w:pPr>
        <w:pStyle w:val="BodyText"/>
        <w:spacing w:line="244" w:lineRule="auto" w:before="1"/>
        <w:ind w:left="100" w:right="119"/>
        <w:jc w:val="both"/>
      </w:pPr>
      <w:r>
        <w:rPr>
          <w:color w:val="231F20"/>
        </w:rPr>
        <w:t>Los estudiantes expresaron qué es un científico. Los datos que ofreceré provienen de entrevistas semiestructuradas y de la información que obtuve al emplear la técnica de grupos focales.</w:t>
      </w:r>
    </w:p>
    <w:p>
      <w:pPr>
        <w:pStyle w:val="BodyText"/>
        <w:spacing w:line="249" w:lineRule="auto" w:before="13"/>
        <w:ind w:left="100" w:right="115" w:firstLine="283"/>
        <w:jc w:val="both"/>
      </w:pPr>
      <w:r>
        <w:rPr>
          <w:color w:val="231F20"/>
        </w:rPr>
        <w:t>Quienes colaboraron con esta parte de la investigación fueron estudiantes, hombres y mujeres, de la Facultad de Psicología. Entrevisté a 70 jóvenes. Los resultados de aplicar ambas técnicas los organicé en 5 categorías: 1) género, edad y atributos del científico; 2) relaciones sociales del científico; 3) nexos el proceso enseñanza-aprendizaje y la investigación; 4) relación estudiantes e investigación; 5) estudiantes y entorno.</w:t>
      </w:r>
    </w:p>
    <w:p>
      <w:pPr>
        <w:pStyle w:val="BodyText"/>
        <w:spacing w:line="240" w:lineRule="exact"/>
        <w:ind w:left="384" w:right="121"/>
      </w:pPr>
      <w:r>
        <w:rPr>
          <w:color w:val="231F20"/>
        </w:rPr>
        <w:t>Algunas formas de representar lo que es un científico  fueron:</w:t>
      </w:r>
    </w:p>
    <w:p>
      <w:pPr>
        <w:spacing w:after="0" w:line="240" w:lineRule="exact"/>
        <w:sectPr>
          <w:headerReference w:type="default" r:id="rId385"/>
          <w:footerReference w:type="default" r:id="rId386"/>
          <w:pgSz w:w="7830" w:h="11910"/>
          <w:pgMar w:header="0" w:footer="424" w:top="500" w:bottom="620" w:left="920" w:right="900"/>
          <w:pgNumType w:start="18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ListParagraph"/>
        <w:numPr>
          <w:ilvl w:val="1"/>
          <w:numId w:val="6"/>
        </w:numPr>
        <w:tabs>
          <w:tab w:pos="460" w:val="left" w:leader="none"/>
        </w:tabs>
        <w:spacing w:line="240" w:lineRule="auto" w:before="92" w:after="0"/>
        <w:ind w:left="459" w:right="0" w:hanging="357"/>
        <w:jc w:val="both"/>
        <w:rPr>
          <w:i/>
          <w:sz w:val="21"/>
        </w:rPr>
      </w:pPr>
      <w:r>
        <w:rPr>
          <w:i/>
          <w:color w:val="231F20"/>
          <w:w w:val="85"/>
          <w:sz w:val="21"/>
        </w:rPr>
        <w:t>Género,</w:t>
      </w:r>
      <w:r>
        <w:rPr>
          <w:i/>
          <w:color w:val="231F20"/>
          <w:spacing w:val="-15"/>
          <w:w w:val="85"/>
          <w:sz w:val="21"/>
        </w:rPr>
        <w:t> </w:t>
      </w:r>
      <w:r>
        <w:rPr>
          <w:i/>
          <w:color w:val="231F20"/>
          <w:w w:val="85"/>
          <w:sz w:val="21"/>
        </w:rPr>
        <w:t>edad</w:t>
      </w:r>
      <w:r>
        <w:rPr>
          <w:i/>
          <w:color w:val="231F20"/>
          <w:spacing w:val="-15"/>
          <w:w w:val="85"/>
          <w:sz w:val="21"/>
        </w:rPr>
        <w:t> </w:t>
      </w:r>
      <w:r>
        <w:rPr>
          <w:i/>
          <w:color w:val="231F20"/>
          <w:w w:val="85"/>
          <w:sz w:val="21"/>
        </w:rPr>
        <w:t>y</w:t>
      </w:r>
      <w:r>
        <w:rPr>
          <w:i/>
          <w:color w:val="231F20"/>
          <w:spacing w:val="-15"/>
          <w:w w:val="85"/>
          <w:sz w:val="21"/>
        </w:rPr>
        <w:t> </w:t>
      </w:r>
      <w:r>
        <w:rPr>
          <w:i/>
          <w:color w:val="231F20"/>
          <w:w w:val="85"/>
          <w:sz w:val="21"/>
        </w:rPr>
        <w:t>atributos</w:t>
      </w:r>
      <w:r>
        <w:rPr>
          <w:i/>
          <w:color w:val="231F20"/>
          <w:spacing w:val="-15"/>
          <w:w w:val="85"/>
          <w:sz w:val="21"/>
        </w:rPr>
        <w:t> </w:t>
      </w:r>
      <w:r>
        <w:rPr>
          <w:i/>
          <w:color w:val="231F20"/>
          <w:w w:val="85"/>
          <w:sz w:val="21"/>
        </w:rPr>
        <w:t>del</w:t>
      </w:r>
      <w:r>
        <w:rPr>
          <w:i/>
          <w:color w:val="231F20"/>
          <w:spacing w:val="-15"/>
          <w:w w:val="85"/>
          <w:sz w:val="21"/>
        </w:rPr>
        <w:t> </w:t>
      </w:r>
      <w:r>
        <w:rPr>
          <w:i/>
          <w:color w:val="231F20"/>
          <w:w w:val="85"/>
          <w:sz w:val="21"/>
        </w:rPr>
        <w:t>científico</w:t>
      </w:r>
    </w:p>
    <w:p>
      <w:pPr>
        <w:pStyle w:val="BodyText"/>
        <w:spacing w:before="1"/>
        <w:rPr>
          <w:i/>
        </w:rPr>
      </w:pPr>
    </w:p>
    <w:p>
      <w:pPr>
        <w:pStyle w:val="BodyText"/>
        <w:spacing w:line="247" w:lineRule="auto" w:before="1"/>
        <w:ind w:left="102" w:right="113"/>
        <w:jc w:val="both"/>
      </w:pPr>
      <w:r>
        <w:rPr>
          <w:color w:val="231F20"/>
        </w:rPr>
        <w:t>Varios coincidieron en que ser científico es propio de hombres, no tanto de mujeres. Resalto que en la Facultad de Psicología existe   una proporción aproximada del 80% de mujeres y 20%  de  hombres. Las mujeres entrevistadas no vieron propio de ellas ser científicas, como sus compañeros varones, el rol científico lo atribuyeron al hombre. La edad para ser científico es la de hombre maduro o mayor de edad. Según ellos consideran, no es propio de jóvenes ser</w:t>
      </w:r>
      <w:r>
        <w:rPr>
          <w:color w:val="231F20"/>
          <w:spacing w:val="-19"/>
        </w:rPr>
        <w:t> </w:t>
      </w:r>
      <w:r>
        <w:rPr>
          <w:color w:val="231F20"/>
        </w:rPr>
        <w:t>científico.</w:t>
      </w:r>
    </w:p>
    <w:p>
      <w:pPr>
        <w:pStyle w:val="BodyText"/>
        <w:spacing w:line="247" w:lineRule="auto" w:before="15"/>
        <w:ind w:left="102" w:right="114" w:firstLine="284"/>
        <w:jc w:val="both"/>
      </w:pPr>
      <w:r>
        <w:rPr>
          <w:color w:val="231F20"/>
          <w:spacing w:val="3"/>
        </w:rPr>
        <w:t>También </w:t>
      </w:r>
      <w:r>
        <w:rPr>
          <w:color w:val="231F20"/>
          <w:spacing w:val="2"/>
        </w:rPr>
        <w:t>dijeron que </w:t>
      </w:r>
      <w:r>
        <w:rPr>
          <w:color w:val="231F20"/>
          <w:spacing w:val="3"/>
        </w:rPr>
        <w:t>cuando </w:t>
      </w:r>
      <w:r>
        <w:rPr>
          <w:color w:val="231F20"/>
          <w:spacing w:val="2"/>
        </w:rPr>
        <w:t>los jóvenes estudian </w:t>
      </w:r>
      <w:r>
        <w:rPr>
          <w:color w:val="231F20"/>
        </w:rPr>
        <w:t>no </w:t>
      </w:r>
      <w:r>
        <w:rPr>
          <w:color w:val="231F20"/>
          <w:spacing w:val="3"/>
        </w:rPr>
        <w:t>son </w:t>
      </w:r>
      <w:r>
        <w:rPr>
          <w:color w:val="231F20"/>
          <w:spacing w:val="2"/>
        </w:rPr>
        <w:t>científicos. Solo </w:t>
      </w:r>
      <w:r>
        <w:rPr>
          <w:color w:val="231F20"/>
        </w:rPr>
        <w:t>se </w:t>
      </w:r>
      <w:r>
        <w:rPr>
          <w:color w:val="231F20"/>
          <w:spacing w:val="2"/>
        </w:rPr>
        <w:t>preparan para </w:t>
      </w:r>
      <w:r>
        <w:rPr>
          <w:color w:val="231F20"/>
        </w:rPr>
        <w:t>ser </w:t>
      </w:r>
      <w:r>
        <w:rPr>
          <w:color w:val="231F20"/>
          <w:spacing w:val="2"/>
        </w:rPr>
        <w:t>profesionales </w:t>
      </w:r>
      <w:r>
        <w:rPr>
          <w:color w:val="231F20"/>
        </w:rPr>
        <w:t>de un </w:t>
      </w:r>
      <w:r>
        <w:rPr>
          <w:color w:val="231F20"/>
          <w:spacing w:val="3"/>
        </w:rPr>
        <w:t>campo. </w:t>
      </w:r>
      <w:r>
        <w:rPr>
          <w:color w:val="231F20"/>
          <w:spacing w:val="2"/>
        </w:rPr>
        <w:t>Según </w:t>
      </w:r>
      <w:r>
        <w:rPr>
          <w:color w:val="231F20"/>
        </w:rPr>
        <w:t>sus </w:t>
      </w:r>
      <w:r>
        <w:rPr>
          <w:color w:val="231F20"/>
          <w:spacing w:val="3"/>
        </w:rPr>
        <w:t>argumentos, </w:t>
      </w:r>
      <w:r>
        <w:rPr>
          <w:color w:val="231F20"/>
        </w:rPr>
        <w:t>se </w:t>
      </w:r>
      <w:r>
        <w:rPr>
          <w:color w:val="231F20"/>
          <w:spacing w:val="2"/>
        </w:rPr>
        <w:t>requiere </w:t>
      </w:r>
      <w:r>
        <w:rPr>
          <w:color w:val="231F20"/>
        </w:rPr>
        <w:t>de  </w:t>
      </w:r>
      <w:r>
        <w:rPr>
          <w:color w:val="231F20"/>
          <w:spacing w:val="2"/>
        </w:rPr>
        <w:t>una larga trayectoria para  </w:t>
      </w:r>
      <w:r>
        <w:rPr>
          <w:color w:val="231F20"/>
        </w:rPr>
        <w:t>ser </w:t>
      </w:r>
      <w:r>
        <w:rPr>
          <w:color w:val="231F20"/>
          <w:spacing w:val="2"/>
        </w:rPr>
        <w:t>científico; por ejemplo, requieren </w:t>
      </w:r>
      <w:r>
        <w:rPr>
          <w:color w:val="231F20"/>
          <w:spacing w:val="3"/>
        </w:rPr>
        <w:t>aprobar </w:t>
      </w:r>
      <w:r>
        <w:rPr>
          <w:color w:val="231F20"/>
          <w:spacing w:val="2"/>
        </w:rPr>
        <w:t>estudios </w:t>
      </w:r>
      <w:r>
        <w:rPr>
          <w:color w:val="231F20"/>
        </w:rPr>
        <w:t>de </w:t>
      </w:r>
      <w:r>
        <w:rPr>
          <w:color w:val="231F20"/>
          <w:spacing w:val="2"/>
        </w:rPr>
        <w:t>maestría  </w:t>
      </w:r>
      <w:r>
        <w:rPr>
          <w:color w:val="231F20"/>
        </w:rPr>
        <w:t>y </w:t>
      </w:r>
      <w:r>
        <w:rPr>
          <w:color w:val="231F20"/>
          <w:spacing w:val="2"/>
        </w:rPr>
        <w:t>luego </w:t>
      </w:r>
      <w:r>
        <w:rPr>
          <w:color w:val="231F20"/>
        </w:rPr>
        <w:t>de </w:t>
      </w:r>
      <w:r>
        <w:rPr>
          <w:color w:val="231F20"/>
          <w:spacing w:val="3"/>
        </w:rPr>
        <w:t>doctorado. </w:t>
      </w:r>
      <w:r>
        <w:rPr>
          <w:color w:val="231F20"/>
          <w:spacing w:val="2"/>
        </w:rPr>
        <w:t>Luego necesitan </w:t>
      </w:r>
      <w:r>
        <w:rPr>
          <w:color w:val="231F20"/>
          <w:spacing w:val="3"/>
        </w:rPr>
        <w:t>mucha </w:t>
      </w:r>
      <w:r>
        <w:rPr>
          <w:color w:val="231F20"/>
          <w:spacing w:val="2"/>
        </w:rPr>
        <w:t>dedicación para </w:t>
      </w:r>
      <w:r>
        <w:rPr>
          <w:color w:val="231F20"/>
        </w:rPr>
        <w:t>ser </w:t>
      </w:r>
      <w:r>
        <w:rPr>
          <w:color w:val="231F20"/>
          <w:spacing w:val="2"/>
        </w:rPr>
        <w:t>científico. Requieren </w:t>
      </w:r>
      <w:r>
        <w:rPr>
          <w:color w:val="231F20"/>
          <w:spacing w:val="3"/>
        </w:rPr>
        <w:t>mucho </w:t>
      </w:r>
      <w:r>
        <w:rPr>
          <w:color w:val="231F20"/>
          <w:spacing w:val="2"/>
        </w:rPr>
        <w:t>tiempo </w:t>
      </w:r>
      <w:r>
        <w:rPr>
          <w:color w:val="231F20"/>
          <w:spacing w:val="3"/>
        </w:rPr>
        <w:t>consagrado </w:t>
      </w:r>
      <w:r>
        <w:rPr>
          <w:color w:val="231F20"/>
        </w:rPr>
        <w:t>a la </w:t>
      </w:r>
      <w:r>
        <w:rPr>
          <w:color w:val="231F20"/>
          <w:spacing w:val="2"/>
        </w:rPr>
        <w:t>labor  </w:t>
      </w:r>
      <w:r>
        <w:rPr>
          <w:color w:val="231F20"/>
        </w:rPr>
        <w:t>de  </w:t>
      </w:r>
      <w:r>
        <w:rPr>
          <w:color w:val="231F20"/>
          <w:spacing w:val="2"/>
        </w:rPr>
        <w:t>hacer ciencia cada </w:t>
      </w:r>
      <w:r>
        <w:rPr>
          <w:color w:val="231F20"/>
        </w:rPr>
        <w:t>día y </w:t>
      </w:r>
      <w:r>
        <w:rPr>
          <w:color w:val="231F20"/>
          <w:spacing w:val="2"/>
        </w:rPr>
        <w:t>durante </w:t>
      </w:r>
      <w:r>
        <w:rPr>
          <w:color w:val="231F20"/>
          <w:spacing w:val="3"/>
        </w:rPr>
        <w:t>muchos</w:t>
      </w:r>
      <w:r>
        <w:rPr>
          <w:color w:val="231F20"/>
          <w:spacing w:val="10"/>
        </w:rPr>
        <w:t> </w:t>
      </w:r>
      <w:r>
        <w:rPr>
          <w:color w:val="231F20"/>
          <w:spacing w:val="2"/>
        </w:rPr>
        <w:t>años.</w:t>
      </w:r>
    </w:p>
    <w:p>
      <w:pPr>
        <w:pStyle w:val="BodyText"/>
        <w:spacing w:line="249" w:lineRule="auto" w:before="1"/>
        <w:ind w:left="102" w:right="114" w:firstLine="284"/>
        <w:jc w:val="both"/>
      </w:pPr>
      <w:r>
        <w:rPr>
          <w:color w:val="231F20"/>
        </w:rPr>
        <w:t>La información que provino de las entrevistas y de los grupos focales mostró que las formas de ser que le atribuyen al científico tuvieron otro lugar común. Afirmaron que el científico es una persona muy inteligente, no basta con solo estudiar, requieren de una inteligencia por fuera de lo común. Así, además de tiempo, de dedicación y de exclusividad al trabajo de hacer ciencia, solo es científico quien destaca por su brillantez e inteligencia. No es para el término medio de las personas. El científico es un ser ensimismado. Los estudiantes dijeron: “siempre anda pensando, metido en sus cosas”.</w:t>
      </w:r>
    </w:p>
    <w:p>
      <w:pPr>
        <w:pStyle w:val="BodyText"/>
        <w:rPr>
          <w:sz w:val="22"/>
        </w:rPr>
      </w:pPr>
    </w:p>
    <w:p>
      <w:pPr>
        <w:pStyle w:val="BodyText"/>
        <w:spacing w:before="3"/>
      </w:pPr>
    </w:p>
    <w:p>
      <w:pPr>
        <w:pStyle w:val="ListParagraph"/>
        <w:numPr>
          <w:ilvl w:val="2"/>
          <w:numId w:val="6"/>
        </w:numPr>
        <w:tabs>
          <w:tab w:pos="611" w:val="left" w:leader="none"/>
        </w:tabs>
        <w:spacing w:line="240" w:lineRule="auto" w:before="1" w:after="0"/>
        <w:ind w:left="610" w:right="0" w:hanging="508"/>
        <w:jc w:val="both"/>
        <w:rPr>
          <w:i/>
          <w:sz w:val="21"/>
        </w:rPr>
      </w:pPr>
      <w:r>
        <w:rPr>
          <w:i/>
          <w:color w:val="231F20"/>
          <w:w w:val="80"/>
          <w:sz w:val="21"/>
        </w:rPr>
        <w:t>Relaciones sociales del</w:t>
      </w:r>
      <w:r>
        <w:rPr>
          <w:i/>
          <w:color w:val="231F20"/>
          <w:spacing w:val="-6"/>
          <w:w w:val="80"/>
          <w:sz w:val="21"/>
        </w:rPr>
        <w:t> </w:t>
      </w:r>
      <w:r>
        <w:rPr>
          <w:i/>
          <w:color w:val="231F20"/>
          <w:w w:val="80"/>
          <w:sz w:val="21"/>
        </w:rPr>
        <w:t>científico</w:t>
      </w:r>
    </w:p>
    <w:p>
      <w:pPr>
        <w:pStyle w:val="BodyText"/>
        <w:spacing w:before="6"/>
        <w:rPr>
          <w:i/>
        </w:rPr>
      </w:pPr>
    </w:p>
    <w:p>
      <w:pPr>
        <w:pStyle w:val="BodyText"/>
        <w:spacing w:line="244" w:lineRule="auto"/>
        <w:ind w:left="102" w:right="111"/>
        <w:jc w:val="both"/>
      </w:pPr>
      <w:r>
        <w:rPr>
          <w:color w:val="231F20"/>
        </w:rPr>
        <w:t>Expresaron que es un ser aislado. Estimaron que está separado del resto de los humanos porque casi exclusivamente se dedica a hacer ciencia, a investigar. Dijeron, “solo está metido en sus investigaciones”. Consideran que la forma de ser de alguien dedicado a la ciencia es aburrida,</w:t>
      </w:r>
      <w:r>
        <w:rPr>
          <w:color w:val="231F20"/>
          <w:spacing w:val="-34"/>
        </w:rPr>
        <w:t> </w:t>
      </w:r>
      <w:r>
        <w:rPr>
          <w:color w:val="231F20"/>
        </w:rPr>
        <w:t>tediosa.</w:t>
      </w:r>
    </w:p>
    <w:p>
      <w:pPr>
        <w:pStyle w:val="BodyText"/>
        <w:spacing w:line="247" w:lineRule="auto" w:before="13"/>
        <w:ind w:left="102" w:right="117" w:firstLine="284"/>
        <w:jc w:val="both"/>
      </w:pPr>
      <w:r>
        <w:rPr>
          <w:color w:val="231F20"/>
        </w:rPr>
        <w:t>No ven con buenos ojos al oficio de científico porque no se les hace divertido. Además no lo desean para ellos mismos, porque    es</w:t>
      </w:r>
    </w:p>
    <w:p>
      <w:pPr>
        <w:spacing w:after="0" w:line="247" w:lineRule="auto"/>
        <w:jc w:val="both"/>
        <w:sectPr>
          <w:headerReference w:type="default" r:id="rId387"/>
          <w:footerReference w:type="default" r:id="rId388"/>
          <w:pgSz w:w="7830" w:h="11910"/>
          <w:pgMar w:header="0" w:footer="424" w:top="500" w:bottom="620" w:left="920" w:right="900"/>
          <w:pgNumType w:start="18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5"/>
        <w:jc w:val="both"/>
      </w:pPr>
      <w:r>
        <w:rPr>
          <w:color w:val="231F20"/>
        </w:rPr>
        <w:t>una actividad muy solitaria. Al científico lo ven ajeno a una vida social plena y gozosa. Solo lo ven dentro del mundo de la ciencia.</w:t>
      </w:r>
    </w:p>
    <w:p>
      <w:pPr>
        <w:pStyle w:val="BodyText"/>
        <w:spacing w:line="249" w:lineRule="auto" w:before="1"/>
        <w:ind w:left="102" w:right="114" w:firstLine="284"/>
        <w:jc w:val="both"/>
      </w:pPr>
      <w:r>
        <w:rPr>
          <w:color w:val="231F20"/>
          <w:spacing w:val="2"/>
        </w:rPr>
        <w:t>Las representaciones sociales </w:t>
      </w:r>
      <w:r>
        <w:rPr>
          <w:color w:val="231F20"/>
        </w:rPr>
        <w:t>de </w:t>
      </w:r>
      <w:r>
        <w:rPr>
          <w:color w:val="231F20"/>
          <w:spacing w:val="2"/>
        </w:rPr>
        <w:t>mis estudiantes sobre </w:t>
      </w:r>
      <w:r>
        <w:rPr>
          <w:color w:val="231F20"/>
        </w:rPr>
        <w:t>el </w:t>
      </w:r>
      <w:r>
        <w:rPr>
          <w:color w:val="231F20"/>
          <w:spacing w:val="2"/>
        </w:rPr>
        <w:t>área  </w:t>
      </w:r>
      <w:r>
        <w:rPr>
          <w:color w:val="231F20"/>
        </w:rPr>
        <w:t>de </w:t>
      </w:r>
      <w:r>
        <w:rPr>
          <w:color w:val="231F20"/>
          <w:spacing w:val="2"/>
        </w:rPr>
        <w:t>trabajo del científico señalaron que </w:t>
      </w:r>
      <w:r>
        <w:rPr>
          <w:color w:val="231F20"/>
        </w:rPr>
        <w:t>es la </w:t>
      </w:r>
      <w:r>
        <w:rPr>
          <w:color w:val="231F20"/>
          <w:spacing w:val="2"/>
        </w:rPr>
        <w:t>del laboratorio. Ven </w:t>
      </w:r>
      <w:r>
        <w:rPr>
          <w:color w:val="231F20"/>
        </w:rPr>
        <w:t>al </w:t>
      </w:r>
      <w:r>
        <w:rPr>
          <w:color w:val="231F20"/>
          <w:spacing w:val="2"/>
        </w:rPr>
        <w:t>científico casi solo </w:t>
      </w:r>
      <w:r>
        <w:rPr>
          <w:color w:val="231F20"/>
        </w:rPr>
        <w:t>de las </w:t>
      </w:r>
      <w:r>
        <w:rPr>
          <w:color w:val="231F20"/>
          <w:spacing w:val="2"/>
        </w:rPr>
        <w:t>ciencias naturales. No valoran </w:t>
      </w:r>
      <w:r>
        <w:rPr>
          <w:color w:val="231F20"/>
        </w:rPr>
        <w:t>que </w:t>
      </w:r>
      <w:r>
        <w:rPr>
          <w:color w:val="231F20"/>
          <w:spacing w:val="2"/>
        </w:rPr>
        <w:t>haya científicos sociales. </w:t>
      </w:r>
      <w:r>
        <w:rPr>
          <w:color w:val="231F20"/>
          <w:spacing w:val="3"/>
        </w:rPr>
        <w:t>Curiosamente </w:t>
      </w:r>
      <w:r>
        <w:rPr>
          <w:color w:val="231F20"/>
          <w:spacing w:val="2"/>
        </w:rPr>
        <w:t>indicaron </w:t>
      </w:r>
      <w:r>
        <w:rPr>
          <w:color w:val="231F20"/>
          <w:spacing w:val="3"/>
        </w:rPr>
        <w:t>como </w:t>
      </w:r>
      <w:r>
        <w:rPr>
          <w:color w:val="231F20"/>
          <w:spacing w:val="2"/>
        </w:rPr>
        <w:t>una </w:t>
      </w:r>
      <w:r>
        <w:rPr>
          <w:color w:val="231F20"/>
          <w:spacing w:val="3"/>
        </w:rPr>
        <w:t>regularidad </w:t>
      </w:r>
      <w:r>
        <w:rPr>
          <w:color w:val="231F20"/>
        </w:rPr>
        <w:t>que </w:t>
      </w:r>
      <w:r>
        <w:rPr>
          <w:color w:val="231F20"/>
          <w:spacing w:val="2"/>
        </w:rPr>
        <w:t>utilizan bata blanca </w:t>
      </w:r>
      <w:r>
        <w:rPr>
          <w:color w:val="231F20"/>
        </w:rPr>
        <w:t>y </w:t>
      </w:r>
      <w:r>
        <w:rPr>
          <w:color w:val="231F20"/>
          <w:spacing w:val="2"/>
        </w:rPr>
        <w:t>tienen una cara adusta </w:t>
      </w:r>
      <w:r>
        <w:rPr>
          <w:color w:val="231F20"/>
        </w:rPr>
        <w:t>y </w:t>
      </w:r>
      <w:r>
        <w:rPr>
          <w:color w:val="231F20"/>
          <w:spacing w:val="2"/>
        </w:rPr>
        <w:t>abstraída, poco sonriente; </w:t>
      </w:r>
      <w:r>
        <w:rPr>
          <w:color w:val="231F20"/>
        </w:rPr>
        <w:t>es, </w:t>
      </w:r>
      <w:r>
        <w:rPr>
          <w:color w:val="231F20"/>
          <w:spacing w:val="2"/>
        </w:rPr>
        <w:t>pues, </w:t>
      </w:r>
      <w:r>
        <w:rPr>
          <w:color w:val="231F20"/>
          <w:spacing w:val="3"/>
        </w:rPr>
        <w:t>muy </w:t>
      </w:r>
      <w:r>
        <w:rPr>
          <w:color w:val="231F20"/>
          <w:spacing w:val="2"/>
        </w:rPr>
        <w:t>retraído. Carece </w:t>
      </w:r>
      <w:r>
        <w:rPr>
          <w:color w:val="231F20"/>
        </w:rPr>
        <w:t>de </w:t>
      </w:r>
      <w:r>
        <w:rPr>
          <w:color w:val="231F20"/>
          <w:spacing w:val="2"/>
        </w:rPr>
        <w:t>vínculos sociales extensos </w:t>
      </w:r>
      <w:r>
        <w:rPr>
          <w:color w:val="231F20"/>
        </w:rPr>
        <w:t>e</w:t>
      </w:r>
      <w:r>
        <w:rPr>
          <w:color w:val="231F20"/>
          <w:spacing w:val="18"/>
        </w:rPr>
        <w:t> </w:t>
      </w:r>
      <w:r>
        <w:rPr>
          <w:color w:val="231F20"/>
          <w:spacing w:val="2"/>
        </w:rPr>
        <w:t>intensos.</w:t>
      </w:r>
    </w:p>
    <w:p>
      <w:pPr>
        <w:pStyle w:val="BodyText"/>
        <w:spacing w:before="7"/>
      </w:pPr>
    </w:p>
    <w:p>
      <w:pPr>
        <w:pStyle w:val="ListParagraph"/>
        <w:numPr>
          <w:ilvl w:val="2"/>
          <w:numId w:val="6"/>
        </w:numPr>
        <w:tabs>
          <w:tab w:pos="611" w:val="left" w:leader="none"/>
        </w:tabs>
        <w:spacing w:line="240" w:lineRule="auto" w:before="0" w:after="0"/>
        <w:ind w:left="610" w:right="0" w:hanging="508"/>
        <w:jc w:val="both"/>
        <w:rPr>
          <w:i/>
          <w:sz w:val="21"/>
        </w:rPr>
      </w:pPr>
      <w:r>
        <w:rPr>
          <w:i/>
          <w:color w:val="231F20"/>
          <w:w w:val="85"/>
          <w:sz w:val="21"/>
        </w:rPr>
        <w:t>Enseñanza-aprendizaje e</w:t>
      </w:r>
      <w:r>
        <w:rPr>
          <w:i/>
          <w:color w:val="231F20"/>
          <w:spacing w:val="-23"/>
          <w:w w:val="85"/>
          <w:sz w:val="21"/>
        </w:rPr>
        <w:t> </w:t>
      </w:r>
      <w:r>
        <w:rPr>
          <w:i/>
          <w:color w:val="231F20"/>
          <w:w w:val="85"/>
          <w:sz w:val="21"/>
        </w:rPr>
        <w:t>investigación</w:t>
      </w:r>
    </w:p>
    <w:p>
      <w:pPr>
        <w:pStyle w:val="BodyText"/>
        <w:spacing w:before="1"/>
        <w:rPr>
          <w:i/>
        </w:rPr>
      </w:pPr>
    </w:p>
    <w:p>
      <w:pPr>
        <w:pStyle w:val="BodyText"/>
        <w:spacing w:line="244" w:lineRule="auto" w:before="1"/>
        <w:ind w:left="102" w:right="114"/>
        <w:jc w:val="both"/>
      </w:pPr>
      <w:r>
        <w:rPr>
          <w:color w:val="231F20"/>
        </w:rPr>
        <w:t>Los entrevistados expresaron que sus clases no están vinculadas    con la producción de ciencia. Más bien, advierten que sus estudios son para aprender las teorías hechas por los científicos. No encontraron en sus clases un espacio para una posible formación como científicos que hacen</w:t>
      </w:r>
      <w:r>
        <w:rPr>
          <w:color w:val="231F20"/>
          <w:spacing w:val="14"/>
        </w:rPr>
        <w:t> </w:t>
      </w:r>
      <w:r>
        <w:rPr>
          <w:color w:val="231F20"/>
        </w:rPr>
        <w:t>teorías.</w:t>
      </w:r>
    </w:p>
    <w:p>
      <w:pPr>
        <w:pStyle w:val="BodyText"/>
        <w:spacing w:line="249" w:lineRule="auto" w:before="18"/>
        <w:ind w:left="102" w:right="117" w:firstLine="283"/>
        <w:jc w:val="both"/>
      </w:pPr>
      <w:r>
        <w:rPr>
          <w:color w:val="231F20"/>
          <w:spacing w:val="2"/>
        </w:rPr>
        <w:t>No advirtieron nexos entre </w:t>
      </w:r>
      <w:r>
        <w:rPr>
          <w:color w:val="231F20"/>
        </w:rPr>
        <w:t>el </w:t>
      </w:r>
      <w:r>
        <w:rPr>
          <w:color w:val="231F20"/>
          <w:spacing w:val="2"/>
        </w:rPr>
        <w:t>proceso </w:t>
      </w:r>
      <w:r>
        <w:rPr>
          <w:color w:val="231F20"/>
          <w:spacing w:val="3"/>
        </w:rPr>
        <w:t>enseñanza-aprendizaje </w:t>
      </w:r>
      <w:r>
        <w:rPr>
          <w:color w:val="231F20"/>
        </w:rPr>
        <w:t>y la </w:t>
      </w:r>
      <w:r>
        <w:rPr>
          <w:color w:val="231F20"/>
          <w:spacing w:val="2"/>
        </w:rPr>
        <w:t>investigación. No los </w:t>
      </w:r>
      <w:r>
        <w:rPr>
          <w:color w:val="231F20"/>
          <w:spacing w:val="3"/>
        </w:rPr>
        <w:t>encontraron porque, </w:t>
      </w:r>
      <w:r>
        <w:rPr>
          <w:color w:val="231F20"/>
          <w:spacing w:val="2"/>
        </w:rPr>
        <w:t>según dijeron, sus </w:t>
      </w:r>
      <w:r>
        <w:rPr>
          <w:color w:val="231F20"/>
          <w:spacing w:val="3"/>
        </w:rPr>
        <w:t>propios maestros </w:t>
      </w:r>
      <w:r>
        <w:rPr>
          <w:color w:val="231F20"/>
        </w:rPr>
        <w:t>no </w:t>
      </w:r>
      <w:r>
        <w:rPr>
          <w:color w:val="231F20"/>
          <w:spacing w:val="2"/>
        </w:rPr>
        <w:t>son científicos, solo son </w:t>
      </w:r>
      <w:r>
        <w:rPr>
          <w:color w:val="231F20"/>
          <w:spacing w:val="3"/>
        </w:rPr>
        <w:t>maestros. </w:t>
      </w:r>
      <w:r>
        <w:rPr>
          <w:color w:val="231F20"/>
          <w:spacing w:val="2"/>
        </w:rPr>
        <w:t>No </w:t>
      </w:r>
      <w:r>
        <w:rPr>
          <w:color w:val="231F20"/>
        </w:rPr>
        <w:t>les </w:t>
      </w:r>
      <w:r>
        <w:rPr>
          <w:color w:val="231F20"/>
          <w:spacing w:val="3"/>
        </w:rPr>
        <w:t>muestran </w:t>
      </w:r>
      <w:r>
        <w:rPr>
          <w:color w:val="231F20"/>
          <w:spacing w:val="2"/>
        </w:rPr>
        <w:t>sus producciones científicas. </w:t>
      </w:r>
      <w:r>
        <w:rPr>
          <w:color w:val="231F20"/>
          <w:spacing w:val="3"/>
        </w:rPr>
        <w:t>Tampoco </w:t>
      </w:r>
      <w:r>
        <w:rPr>
          <w:color w:val="231F20"/>
        </w:rPr>
        <w:t>los </w:t>
      </w:r>
      <w:r>
        <w:rPr>
          <w:color w:val="231F20"/>
          <w:spacing w:val="3"/>
        </w:rPr>
        <w:t>entusiasman   </w:t>
      </w:r>
      <w:r>
        <w:rPr>
          <w:color w:val="231F20"/>
        </w:rPr>
        <w:t>a la </w:t>
      </w:r>
      <w:r>
        <w:rPr>
          <w:color w:val="231F20"/>
          <w:spacing w:val="3"/>
        </w:rPr>
        <w:t>producción </w:t>
      </w:r>
      <w:r>
        <w:rPr>
          <w:color w:val="231F20"/>
          <w:spacing w:val="2"/>
        </w:rPr>
        <w:t>científica. Los </w:t>
      </w:r>
      <w:r>
        <w:rPr>
          <w:color w:val="231F20"/>
          <w:spacing w:val="3"/>
        </w:rPr>
        <w:t>mismos maestros </w:t>
      </w:r>
      <w:r>
        <w:rPr>
          <w:color w:val="231F20"/>
        </w:rPr>
        <w:t>no </w:t>
      </w:r>
      <w:r>
        <w:rPr>
          <w:color w:val="231F20"/>
          <w:spacing w:val="3"/>
        </w:rPr>
        <w:t>muestran mucha </w:t>
      </w:r>
      <w:r>
        <w:rPr>
          <w:color w:val="231F20"/>
          <w:spacing w:val="2"/>
        </w:rPr>
        <w:t>alegría </w:t>
      </w:r>
      <w:r>
        <w:rPr>
          <w:color w:val="231F20"/>
        </w:rPr>
        <w:t>al </w:t>
      </w:r>
      <w:r>
        <w:rPr>
          <w:color w:val="231F20"/>
          <w:spacing w:val="2"/>
        </w:rPr>
        <w:t>enseñar </w:t>
      </w:r>
      <w:r>
        <w:rPr>
          <w:color w:val="231F20"/>
        </w:rPr>
        <w:t>la </w:t>
      </w:r>
      <w:r>
        <w:rPr>
          <w:color w:val="231F20"/>
          <w:spacing w:val="2"/>
        </w:rPr>
        <w:t>ciencia. Más bien, </w:t>
      </w:r>
      <w:r>
        <w:rPr>
          <w:color w:val="231F20"/>
        </w:rPr>
        <w:t>las </w:t>
      </w:r>
      <w:r>
        <w:rPr>
          <w:color w:val="231F20"/>
          <w:spacing w:val="2"/>
        </w:rPr>
        <w:t>clases </w:t>
      </w:r>
      <w:r>
        <w:rPr>
          <w:color w:val="231F20"/>
        </w:rPr>
        <w:t>son </w:t>
      </w:r>
      <w:r>
        <w:rPr>
          <w:color w:val="231F20"/>
          <w:spacing w:val="2"/>
        </w:rPr>
        <w:t>–casi todas– aburridas. Reiteraron </w:t>
      </w:r>
      <w:r>
        <w:rPr>
          <w:color w:val="231F20"/>
        </w:rPr>
        <w:t>que sus </w:t>
      </w:r>
      <w:r>
        <w:rPr>
          <w:color w:val="231F20"/>
          <w:spacing w:val="3"/>
        </w:rPr>
        <w:t>profesores</w:t>
      </w:r>
      <w:r>
        <w:rPr>
          <w:color w:val="231F20"/>
          <w:spacing w:val="58"/>
        </w:rPr>
        <w:t> </w:t>
      </w:r>
      <w:r>
        <w:rPr>
          <w:color w:val="231F20"/>
          <w:spacing w:val="2"/>
        </w:rPr>
        <w:t>son  eso,  </w:t>
      </w:r>
      <w:r>
        <w:rPr>
          <w:color w:val="231F20"/>
          <w:spacing w:val="3"/>
        </w:rPr>
        <w:t>maestros, </w:t>
      </w:r>
      <w:r>
        <w:rPr>
          <w:color w:val="231F20"/>
        </w:rPr>
        <w:t>no </w:t>
      </w:r>
      <w:r>
        <w:rPr>
          <w:color w:val="231F20"/>
          <w:spacing w:val="2"/>
        </w:rPr>
        <w:t>científicos volcados </w:t>
      </w:r>
      <w:r>
        <w:rPr>
          <w:color w:val="231F20"/>
        </w:rPr>
        <w:t>a</w:t>
      </w:r>
      <w:r>
        <w:rPr>
          <w:color w:val="231F20"/>
          <w:spacing w:val="-15"/>
        </w:rPr>
        <w:t> </w:t>
      </w:r>
      <w:r>
        <w:rPr>
          <w:color w:val="231F20"/>
          <w:spacing w:val="2"/>
        </w:rPr>
        <w:t>investigar.</w:t>
      </w:r>
    </w:p>
    <w:p>
      <w:pPr>
        <w:pStyle w:val="BodyText"/>
        <w:spacing w:before="7"/>
      </w:pPr>
    </w:p>
    <w:p>
      <w:pPr>
        <w:pStyle w:val="ListParagraph"/>
        <w:numPr>
          <w:ilvl w:val="2"/>
          <w:numId w:val="6"/>
        </w:numPr>
        <w:tabs>
          <w:tab w:pos="612" w:val="left" w:leader="none"/>
        </w:tabs>
        <w:spacing w:line="240" w:lineRule="auto" w:before="0" w:after="0"/>
        <w:ind w:left="611" w:right="0" w:hanging="509"/>
        <w:jc w:val="both"/>
        <w:rPr>
          <w:i/>
          <w:sz w:val="21"/>
        </w:rPr>
      </w:pPr>
      <w:r>
        <w:rPr>
          <w:i/>
          <w:color w:val="231F20"/>
          <w:w w:val="85"/>
          <w:sz w:val="21"/>
        </w:rPr>
        <w:t>Estudiantes e</w:t>
      </w:r>
      <w:r>
        <w:rPr>
          <w:i/>
          <w:color w:val="231F20"/>
          <w:spacing w:val="-29"/>
          <w:w w:val="85"/>
          <w:sz w:val="21"/>
        </w:rPr>
        <w:t> </w:t>
      </w:r>
      <w:r>
        <w:rPr>
          <w:i/>
          <w:color w:val="231F20"/>
          <w:w w:val="85"/>
          <w:sz w:val="21"/>
        </w:rPr>
        <w:t>investigación</w:t>
      </w:r>
    </w:p>
    <w:p>
      <w:pPr>
        <w:pStyle w:val="BodyText"/>
        <w:spacing w:before="1"/>
        <w:rPr>
          <w:i/>
        </w:rPr>
      </w:pPr>
    </w:p>
    <w:p>
      <w:pPr>
        <w:pStyle w:val="BodyText"/>
        <w:spacing w:line="244" w:lineRule="auto" w:before="1"/>
        <w:ind w:left="102" w:right="114"/>
        <w:jc w:val="both"/>
      </w:pPr>
      <w:r>
        <w:rPr>
          <w:color w:val="231F20"/>
        </w:rPr>
        <w:t>Admitieron que hicieron algunas investigaciones a solicitud de profesores. No tanto porque para ellos fuera una actividad deseable,fue una exigencia para aprobar materias como métodos de investigación. Aplicaron métodos formales de cómo investigar. No tuvieron la experiencia de recrear un objeto de estudio. Esto es, siguieron –según sus palabras– recetas de cómo obrar  para investigar. No partieron en sus investigaciones de pasiones ni  deseos. Hicieron lo que llamaron investigación porque los orillaron  a cumplir una tarea escolar. Esa tarea no fue del todo</w:t>
      </w:r>
      <w:r>
        <w:rPr>
          <w:color w:val="231F20"/>
          <w:spacing w:val="47"/>
        </w:rPr>
        <w:t> </w:t>
      </w:r>
      <w:r>
        <w:rPr>
          <w:color w:val="231F20"/>
        </w:rPr>
        <w:t>gozosa.</w:t>
      </w:r>
    </w:p>
    <w:p>
      <w:pPr>
        <w:spacing w:after="0" w:line="244" w:lineRule="auto"/>
        <w:jc w:val="both"/>
        <w:sectPr>
          <w:headerReference w:type="default" r:id="rId389"/>
          <w:footerReference w:type="default" r:id="rId390"/>
          <w:pgSz w:w="7830" w:h="11910"/>
          <w:pgMar w:header="0" w:footer="424" w:top="500" w:bottom="620" w:left="920" w:right="900"/>
          <w:pgNumType w:start="18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ListParagraph"/>
        <w:numPr>
          <w:ilvl w:val="2"/>
          <w:numId w:val="6"/>
        </w:numPr>
        <w:tabs>
          <w:tab w:pos="611" w:val="left" w:leader="none"/>
        </w:tabs>
        <w:spacing w:line="240" w:lineRule="auto" w:before="92" w:after="0"/>
        <w:ind w:left="610" w:right="0" w:hanging="508"/>
        <w:jc w:val="both"/>
        <w:rPr>
          <w:i/>
          <w:sz w:val="21"/>
        </w:rPr>
      </w:pPr>
      <w:r>
        <w:rPr>
          <w:i/>
          <w:color w:val="231F20"/>
          <w:w w:val="85"/>
          <w:sz w:val="21"/>
        </w:rPr>
        <w:t>Estudiantes y</w:t>
      </w:r>
      <w:r>
        <w:rPr>
          <w:i/>
          <w:color w:val="231F20"/>
          <w:spacing w:val="13"/>
          <w:w w:val="85"/>
          <w:sz w:val="21"/>
        </w:rPr>
        <w:t> </w:t>
      </w:r>
      <w:r>
        <w:rPr>
          <w:i/>
          <w:color w:val="231F20"/>
          <w:w w:val="85"/>
          <w:sz w:val="21"/>
        </w:rPr>
        <w:t>entorno</w:t>
      </w:r>
    </w:p>
    <w:p>
      <w:pPr>
        <w:pStyle w:val="BodyText"/>
        <w:spacing w:before="1"/>
        <w:rPr>
          <w:i/>
        </w:rPr>
      </w:pPr>
    </w:p>
    <w:p>
      <w:pPr>
        <w:pStyle w:val="BodyText"/>
        <w:spacing w:line="244" w:lineRule="auto" w:before="1"/>
        <w:ind w:left="101" w:right="114"/>
        <w:jc w:val="both"/>
      </w:pPr>
      <w:r>
        <w:rPr>
          <w:color w:val="231F20"/>
        </w:rPr>
        <w:t>Mis estudiantes, dentro de su familia y de su círculo de amistades, tampoco encontraron que alguien los incitara o motivara a ser científico. La inmensa mayoría de sus papás, según comentaron, se sentirían muy satisfechos si sus hijos obtuvieran el título profesional o el grado de maestro y lograran encontrar un lugar  de  trabajo dentro de su campo. La familia y las amistades de los estudiantes no contribuyeron a generar en ellos el deseo de ser científico. La formación del científico o el desempeño del rol de científico, no es algo que esté en las expectativas de los grupos humanos  con  quienes conviven los estudiantes</w:t>
      </w:r>
      <w:r>
        <w:rPr>
          <w:color w:val="231F20"/>
          <w:spacing w:val="15"/>
        </w:rPr>
        <w:t> </w:t>
      </w:r>
      <w:r>
        <w:rPr>
          <w:color w:val="231F20"/>
        </w:rPr>
        <w:t>entrevistados.</w:t>
      </w:r>
    </w:p>
    <w:p>
      <w:pPr>
        <w:pStyle w:val="BodyText"/>
        <w:spacing w:line="249" w:lineRule="auto" w:before="18"/>
        <w:ind w:left="101" w:right="119" w:firstLine="284"/>
        <w:jc w:val="both"/>
      </w:pPr>
      <w:r>
        <w:rPr>
          <w:color w:val="231F20"/>
          <w:spacing w:val="2"/>
        </w:rPr>
        <w:t>Los medios masivos </w:t>
      </w:r>
      <w:r>
        <w:rPr>
          <w:color w:val="231F20"/>
        </w:rPr>
        <w:t>de </w:t>
      </w:r>
      <w:r>
        <w:rPr>
          <w:color w:val="231F20"/>
          <w:spacing w:val="2"/>
        </w:rPr>
        <w:t>comunicación (principalmente </w:t>
      </w:r>
      <w:r>
        <w:rPr>
          <w:color w:val="231F20"/>
        </w:rPr>
        <w:t>tv, </w:t>
      </w:r>
      <w:r>
        <w:rPr>
          <w:color w:val="231F20"/>
          <w:spacing w:val="2"/>
        </w:rPr>
        <w:t>cine  </w:t>
      </w:r>
      <w:r>
        <w:rPr>
          <w:color w:val="231F20"/>
        </w:rPr>
        <w:t>o </w:t>
      </w:r>
      <w:r>
        <w:rPr>
          <w:color w:val="231F20"/>
          <w:spacing w:val="2"/>
        </w:rPr>
        <w:t>revistas) </w:t>
      </w:r>
      <w:r>
        <w:rPr>
          <w:color w:val="231F20"/>
        </w:rPr>
        <w:t>sí </w:t>
      </w:r>
      <w:r>
        <w:rPr>
          <w:color w:val="231F20"/>
          <w:spacing w:val="3"/>
        </w:rPr>
        <w:t>contribuyeron </w:t>
      </w:r>
      <w:r>
        <w:rPr>
          <w:color w:val="231F20"/>
        </w:rPr>
        <w:t>a </w:t>
      </w:r>
      <w:r>
        <w:rPr>
          <w:color w:val="231F20"/>
          <w:spacing w:val="2"/>
        </w:rPr>
        <w:t>generar </w:t>
      </w:r>
      <w:r>
        <w:rPr>
          <w:color w:val="231F20"/>
        </w:rPr>
        <w:t>lo que </w:t>
      </w:r>
      <w:r>
        <w:rPr>
          <w:color w:val="231F20"/>
          <w:spacing w:val="2"/>
        </w:rPr>
        <w:t>ellos  expresaron sobre </w:t>
      </w:r>
      <w:r>
        <w:rPr>
          <w:color w:val="231F20"/>
        </w:rPr>
        <w:t>el </w:t>
      </w:r>
      <w:r>
        <w:rPr>
          <w:color w:val="231F20"/>
          <w:spacing w:val="2"/>
        </w:rPr>
        <w:t>científico. Por ejemplo, ante </w:t>
      </w:r>
      <w:r>
        <w:rPr>
          <w:color w:val="231F20"/>
        </w:rPr>
        <w:t>la </w:t>
      </w:r>
      <w:r>
        <w:rPr>
          <w:color w:val="231F20"/>
          <w:spacing w:val="2"/>
        </w:rPr>
        <w:t>pregunta </w:t>
      </w:r>
      <w:r>
        <w:rPr>
          <w:color w:val="231F20"/>
        </w:rPr>
        <w:t>de qué es y </w:t>
      </w:r>
      <w:r>
        <w:rPr>
          <w:color w:val="231F20"/>
          <w:spacing w:val="3"/>
        </w:rPr>
        <w:t>cómo </w:t>
      </w:r>
      <w:r>
        <w:rPr>
          <w:color w:val="231F20"/>
        </w:rPr>
        <w:t>es un </w:t>
      </w:r>
      <w:r>
        <w:rPr>
          <w:color w:val="231F20"/>
          <w:spacing w:val="2"/>
        </w:rPr>
        <w:t>científico. Juguetearon con </w:t>
      </w:r>
      <w:r>
        <w:rPr>
          <w:color w:val="231F20"/>
        </w:rPr>
        <w:t>la </w:t>
      </w:r>
      <w:r>
        <w:rPr>
          <w:color w:val="231F20"/>
          <w:spacing w:val="2"/>
        </w:rPr>
        <w:t>figura del </w:t>
      </w:r>
      <w:r>
        <w:rPr>
          <w:color w:val="231F20"/>
          <w:spacing w:val="3"/>
        </w:rPr>
        <w:t>“Doc” </w:t>
      </w:r>
      <w:r>
        <w:rPr>
          <w:color w:val="231F20"/>
        </w:rPr>
        <w:t>de las  </w:t>
      </w:r>
      <w:r>
        <w:rPr>
          <w:color w:val="231F20"/>
          <w:spacing w:val="2"/>
        </w:rPr>
        <w:t>películas</w:t>
      </w:r>
      <w:r>
        <w:rPr>
          <w:color w:val="231F20"/>
          <w:spacing w:val="-4"/>
        </w:rPr>
        <w:t> </w:t>
      </w:r>
      <w:r>
        <w:rPr>
          <w:i/>
          <w:color w:val="231F20"/>
          <w:spacing w:val="2"/>
        </w:rPr>
        <w:t>Volver</w:t>
      </w:r>
      <w:r>
        <w:rPr>
          <w:i/>
          <w:color w:val="231F20"/>
          <w:spacing w:val="-5"/>
        </w:rPr>
        <w:t> </w:t>
      </w:r>
      <w:r>
        <w:rPr>
          <w:i/>
          <w:color w:val="231F20"/>
        </w:rPr>
        <w:t>al</w:t>
      </w:r>
      <w:r>
        <w:rPr>
          <w:i/>
          <w:color w:val="231F20"/>
          <w:spacing w:val="-5"/>
        </w:rPr>
        <w:t> </w:t>
      </w:r>
      <w:r>
        <w:rPr>
          <w:i/>
          <w:color w:val="231F20"/>
          <w:spacing w:val="2"/>
        </w:rPr>
        <w:t>Futuro</w:t>
      </w:r>
      <w:r>
        <w:rPr>
          <w:color w:val="231F20"/>
          <w:spacing w:val="2"/>
        </w:rPr>
        <w:t>.</w:t>
      </w:r>
      <w:r>
        <w:rPr>
          <w:color w:val="231F20"/>
          <w:spacing w:val="-5"/>
        </w:rPr>
        <w:t> </w:t>
      </w:r>
      <w:r>
        <w:rPr>
          <w:color w:val="231F20"/>
          <w:spacing w:val="2"/>
        </w:rPr>
        <w:t>Otro</w:t>
      </w:r>
      <w:r>
        <w:rPr>
          <w:color w:val="231F20"/>
          <w:spacing w:val="-4"/>
        </w:rPr>
        <w:t> </w:t>
      </w:r>
      <w:r>
        <w:rPr>
          <w:color w:val="231F20"/>
          <w:spacing w:val="2"/>
        </w:rPr>
        <w:t>ejemplo</w:t>
      </w:r>
      <w:r>
        <w:rPr>
          <w:color w:val="231F20"/>
          <w:spacing w:val="-4"/>
        </w:rPr>
        <w:t> </w:t>
      </w:r>
      <w:r>
        <w:rPr>
          <w:color w:val="231F20"/>
        </w:rPr>
        <w:t>que</w:t>
      </w:r>
      <w:r>
        <w:rPr>
          <w:color w:val="231F20"/>
          <w:spacing w:val="-5"/>
        </w:rPr>
        <w:t> </w:t>
      </w:r>
      <w:r>
        <w:rPr>
          <w:color w:val="231F20"/>
          <w:spacing w:val="2"/>
        </w:rPr>
        <w:t>ofrecieron</w:t>
      </w:r>
      <w:r>
        <w:rPr>
          <w:color w:val="231F20"/>
          <w:spacing w:val="-4"/>
        </w:rPr>
        <w:t> </w:t>
      </w:r>
      <w:r>
        <w:rPr>
          <w:color w:val="231F20"/>
          <w:spacing w:val="2"/>
        </w:rPr>
        <w:t>los</w:t>
      </w:r>
      <w:r>
        <w:rPr>
          <w:color w:val="231F20"/>
          <w:spacing w:val="-5"/>
        </w:rPr>
        <w:t> </w:t>
      </w:r>
      <w:r>
        <w:rPr>
          <w:color w:val="231F20"/>
          <w:spacing w:val="2"/>
        </w:rPr>
        <w:t>jóvenes estudiantes fue </w:t>
      </w:r>
      <w:r>
        <w:rPr>
          <w:color w:val="231F20"/>
        </w:rPr>
        <w:t>la </w:t>
      </w:r>
      <w:r>
        <w:rPr>
          <w:color w:val="231F20"/>
          <w:spacing w:val="2"/>
        </w:rPr>
        <w:t>del científico que </w:t>
      </w:r>
      <w:r>
        <w:rPr>
          <w:color w:val="231F20"/>
          <w:spacing w:val="3"/>
        </w:rPr>
        <w:t>protagonizó </w:t>
      </w:r>
      <w:r>
        <w:rPr>
          <w:color w:val="231F20"/>
        </w:rPr>
        <w:t>la </w:t>
      </w:r>
      <w:r>
        <w:rPr>
          <w:color w:val="231F20"/>
          <w:spacing w:val="2"/>
        </w:rPr>
        <w:t>película </w:t>
      </w:r>
      <w:r>
        <w:rPr>
          <w:i/>
          <w:color w:val="231F20"/>
          <w:spacing w:val="2"/>
        </w:rPr>
        <w:t>Mente </w:t>
      </w:r>
      <w:r>
        <w:rPr>
          <w:i/>
          <w:color w:val="231F20"/>
          <w:spacing w:val="2"/>
        </w:rPr>
        <w:t>brillante</w:t>
      </w:r>
      <w:r>
        <w:rPr>
          <w:color w:val="231F20"/>
          <w:spacing w:val="2"/>
        </w:rPr>
        <w:t>. </w:t>
      </w:r>
      <w:r>
        <w:rPr>
          <w:color w:val="231F20"/>
        </w:rPr>
        <w:t>En sus </w:t>
      </w:r>
      <w:r>
        <w:rPr>
          <w:color w:val="231F20"/>
          <w:spacing w:val="2"/>
        </w:rPr>
        <w:t>palabras, </w:t>
      </w:r>
      <w:r>
        <w:rPr>
          <w:color w:val="231F20"/>
        </w:rPr>
        <w:t>el </w:t>
      </w:r>
      <w:r>
        <w:rPr>
          <w:color w:val="231F20"/>
          <w:spacing w:val="2"/>
        </w:rPr>
        <w:t>científico parece alguien muy extraño, </w:t>
      </w:r>
      <w:r>
        <w:rPr>
          <w:color w:val="231F20"/>
        </w:rPr>
        <w:t>un </w:t>
      </w:r>
      <w:r>
        <w:rPr>
          <w:color w:val="231F20"/>
          <w:spacing w:val="2"/>
        </w:rPr>
        <w:t>poco loco, </w:t>
      </w:r>
      <w:r>
        <w:rPr>
          <w:color w:val="231F20"/>
        </w:rPr>
        <w:t>o</w:t>
      </w:r>
      <w:r>
        <w:rPr>
          <w:color w:val="231F20"/>
          <w:spacing w:val="36"/>
        </w:rPr>
        <w:t> </w:t>
      </w:r>
      <w:r>
        <w:rPr>
          <w:color w:val="231F20"/>
          <w:spacing w:val="3"/>
        </w:rPr>
        <w:t>maniático.</w:t>
      </w:r>
    </w:p>
    <w:p>
      <w:pPr>
        <w:pStyle w:val="BodyText"/>
        <w:spacing w:line="247" w:lineRule="auto"/>
        <w:ind w:left="101" w:right="116" w:firstLine="284"/>
        <w:jc w:val="both"/>
      </w:pPr>
      <w:r>
        <w:rPr>
          <w:color w:val="231F20"/>
        </w:rPr>
        <w:t>En </w:t>
      </w:r>
      <w:r>
        <w:rPr>
          <w:color w:val="231F20"/>
          <w:spacing w:val="2"/>
        </w:rPr>
        <w:t>suma, </w:t>
      </w:r>
      <w:r>
        <w:rPr>
          <w:color w:val="231F20"/>
        </w:rPr>
        <w:t>los </w:t>
      </w:r>
      <w:r>
        <w:rPr>
          <w:color w:val="231F20"/>
          <w:spacing w:val="2"/>
        </w:rPr>
        <w:t>estudiantes expresaron una </w:t>
      </w:r>
      <w:r>
        <w:rPr>
          <w:color w:val="231F20"/>
          <w:spacing w:val="3"/>
        </w:rPr>
        <w:t>forma </w:t>
      </w:r>
      <w:r>
        <w:rPr>
          <w:color w:val="231F20"/>
        </w:rPr>
        <w:t>de </w:t>
      </w:r>
      <w:r>
        <w:rPr>
          <w:color w:val="231F20"/>
          <w:spacing w:val="2"/>
        </w:rPr>
        <w:t>valorar </w:t>
      </w:r>
      <w:r>
        <w:rPr>
          <w:color w:val="231F20"/>
        </w:rPr>
        <w:t>o se </w:t>
      </w:r>
      <w:r>
        <w:rPr>
          <w:color w:val="231F20"/>
          <w:spacing w:val="3"/>
        </w:rPr>
        <w:t>apropiaron </w:t>
      </w:r>
      <w:r>
        <w:rPr>
          <w:color w:val="231F20"/>
        </w:rPr>
        <w:t>de </w:t>
      </w:r>
      <w:r>
        <w:rPr>
          <w:color w:val="231F20"/>
          <w:spacing w:val="3"/>
        </w:rPr>
        <w:t>representaciones </w:t>
      </w:r>
      <w:r>
        <w:rPr>
          <w:color w:val="231F20"/>
          <w:spacing w:val="2"/>
        </w:rPr>
        <w:t>sociales </w:t>
      </w:r>
      <w:r>
        <w:rPr>
          <w:color w:val="231F20"/>
        </w:rPr>
        <w:t>que </w:t>
      </w:r>
      <w:r>
        <w:rPr>
          <w:color w:val="231F20"/>
          <w:spacing w:val="2"/>
        </w:rPr>
        <w:t>los distanciaron del científico. </w:t>
      </w:r>
      <w:r>
        <w:rPr>
          <w:color w:val="231F20"/>
          <w:spacing w:val="3"/>
        </w:rPr>
        <w:t>Aunque </w:t>
      </w:r>
      <w:r>
        <w:rPr>
          <w:color w:val="231F20"/>
          <w:spacing w:val="2"/>
        </w:rPr>
        <w:t>debo </w:t>
      </w:r>
      <w:r>
        <w:rPr>
          <w:color w:val="231F20"/>
          <w:spacing w:val="3"/>
        </w:rPr>
        <w:t>reconocer </w:t>
      </w:r>
      <w:r>
        <w:rPr>
          <w:color w:val="231F20"/>
          <w:spacing w:val="2"/>
        </w:rPr>
        <w:t>que también </w:t>
      </w:r>
      <w:r>
        <w:rPr>
          <w:color w:val="231F20"/>
          <w:spacing w:val="3"/>
        </w:rPr>
        <w:t>encontraron </w:t>
      </w:r>
      <w:r>
        <w:rPr>
          <w:color w:val="231F20"/>
        </w:rPr>
        <w:t>en él </w:t>
      </w:r>
      <w:r>
        <w:rPr>
          <w:color w:val="231F20"/>
          <w:spacing w:val="2"/>
        </w:rPr>
        <w:t>cualidades </w:t>
      </w:r>
      <w:r>
        <w:rPr>
          <w:color w:val="231F20"/>
          <w:spacing w:val="3"/>
        </w:rPr>
        <w:t>humanas </w:t>
      </w:r>
      <w:r>
        <w:rPr>
          <w:color w:val="231F20"/>
          <w:spacing w:val="2"/>
        </w:rPr>
        <w:t>valiosas. Algunas </w:t>
      </w:r>
      <w:r>
        <w:rPr>
          <w:color w:val="231F20"/>
        </w:rPr>
        <w:t>de ellas </w:t>
      </w:r>
      <w:r>
        <w:rPr>
          <w:color w:val="231F20"/>
          <w:spacing w:val="2"/>
        </w:rPr>
        <w:t>fueron </w:t>
      </w:r>
      <w:r>
        <w:rPr>
          <w:color w:val="231F20"/>
        </w:rPr>
        <w:t>la </w:t>
      </w:r>
      <w:r>
        <w:rPr>
          <w:color w:val="231F20"/>
          <w:spacing w:val="2"/>
        </w:rPr>
        <w:t>paciencia </w:t>
      </w:r>
      <w:r>
        <w:rPr>
          <w:color w:val="231F20"/>
        </w:rPr>
        <w:t>al </w:t>
      </w:r>
      <w:r>
        <w:rPr>
          <w:color w:val="231F20"/>
          <w:spacing w:val="2"/>
        </w:rPr>
        <w:t>trabajar, </w:t>
      </w:r>
      <w:r>
        <w:rPr>
          <w:color w:val="231F20"/>
        </w:rPr>
        <w:t>ser </w:t>
      </w:r>
      <w:r>
        <w:rPr>
          <w:color w:val="231F20"/>
          <w:spacing w:val="3"/>
        </w:rPr>
        <w:t>innovador, </w:t>
      </w:r>
      <w:r>
        <w:rPr>
          <w:color w:val="231F20"/>
        </w:rPr>
        <w:t>y </w:t>
      </w:r>
      <w:r>
        <w:rPr>
          <w:color w:val="231F20"/>
          <w:spacing w:val="2"/>
        </w:rPr>
        <w:t>ofrecer respuestas prácticas </w:t>
      </w:r>
      <w:r>
        <w:rPr>
          <w:color w:val="231F20"/>
        </w:rPr>
        <w:t>a la </w:t>
      </w:r>
      <w:r>
        <w:rPr>
          <w:color w:val="231F20"/>
          <w:spacing w:val="3"/>
        </w:rPr>
        <w:t>vida. Unos </w:t>
      </w:r>
      <w:r>
        <w:rPr>
          <w:color w:val="231F20"/>
          <w:spacing w:val="2"/>
        </w:rPr>
        <w:t>cuantos valoraron </w:t>
      </w:r>
      <w:r>
        <w:rPr>
          <w:color w:val="231F20"/>
        </w:rPr>
        <w:t>la </w:t>
      </w:r>
      <w:r>
        <w:rPr>
          <w:color w:val="231F20"/>
          <w:spacing w:val="2"/>
        </w:rPr>
        <w:t>pasión </w:t>
      </w:r>
      <w:r>
        <w:rPr>
          <w:color w:val="231F20"/>
        </w:rPr>
        <w:t>que </w:t>
      </w:r>
      <w:r>
        <w:rPr>
          <w:color w:val="231F20"/>
          <w:spacing w:val="2"/>
        </w:rPr>
        <w:t>debieron tener  </w:t>
      </w:r>
      <w:r>
        <w:rPr>
          <w:color w:val="231F20"/>
          <w:spacing w:val="3"/>
        </w:rPr>
        <w:t>los  </w:t>
      </w:r>
      <w:r>
        <w:rPr>
          <w:color w:val="231F20"/>
          <w:spacing w:val="2"/>
        </w:rPr>
        <w:t>científicos </w:t>
      </w:r>
      <w:r>
        <w:rPr>
          <w:color w:val="231F20"/>
        </w:rPr>
        <w:t>al </w:t>
      </w:r>
      <w:r>
        <w:rPr>
          <w:color w:val="231F20"/>
          <w:spacing w:val="2"/>
        </w:rPr>
        <w:t>hacer </w:t>
      </w:r>
      <w:r>
        <w:rPr>
          <w:color w:val="231F20"/>
        </w:rPr>
        <w:t>su</w:t>
      </w:r>
      <w:r>
        <w:rPr>
          <w:color w:val="231F20"/>
          <w:spacing w:val="-7"/>
        </w:rPr>
        <w:t> </w:t>
      </w:r>
      <w:r>
        <w:rPr>
          <w:color w:val="231F20"/>
          <w:spacing w:val="2"/>
        </w:rPr>
        <w:t>trabajo.</w:t>
      </w:r>
    </w:p>
    <w:p>
      <w:pPr>
        <w:pStyle w:val="BodyText"/>
        <w:spacing w:line="249" w:lineRule="auto" w:before="1"/>
        <w:ind w:left="101" w:right="118" w:firstLine="284"/>
        <w:jc w:val="both"/>
      </w:pPr>
      <w:r>
        <w:rPr>
          <w:color w:val="231F20"/>
          <w:spacing w:val="2"/>
        </w:rPr>
        <w:t>Con todo </w:t>
      </w:r>
      <w:r>
        <w:rPr>
          <w:color w:val="231F20"/>
        </w:rPr>
        <w:t>y </w:t>
      </w:r>
      <w:r>
        <w:rPr>
          <w:color w:val="231F20"/>
          <w:spacing w:val="2"/>
        </w:rPr>
        <w:t>esas valoraciones positivas </w:t>
      </w:r>
      <w:r>
        <w:rPr>
          <w:color w:val="231F20"/>
        </w:rPr>
        <w:t>del </w:t>
      </w:r>
      <w:r>
        <w:rPr>
          <w:color w:val="231F20"/>
          <w:spacing w:val="2"/>
        </w:rPr>
        <w:t>científico, </w:t>
      </w:r>
      <w:r>
        <w:rPr>
          <w:color w:val="231F20"/>
        </w:rPr>
        <w:t>no </w:t>
      </w:r>
      <w:r>
        <w:rPr>
          <w:color w:val="231F20"/>
          <w:spacing w:val="2"/>
        </w:rPr>
        <w:t>está  </w:t>
      </w:r>
      <w:r>
        <w:rPr>
          <w:color w:val="231F20"/>
        </w:rPr>
        <w:t>ser </w:t>
      </w:r>
      <w:r>
        <w:rPr>
          <w:color w:val="231F20"/>
          <w:spacing w:val="2"/>
        </w:rPr>
        <w:t>científico dentro </w:t>
      </w:r>
      <w:r>
        <w:rPr>
          <w:color w:val="231F20"/>
        </w:rPr>
        <w:t>de las </w:t>
      </w:r>
      <w:r>
        <w:rPr>
          <w:color w:val="231F20"/>
          <w:spacing w:val="2"/>
        </w:rPr>
        <w:t>ilusiones </w:t>
      </w:r>
      <w:r>
        <w:rPr>
          <w:color w:val="231F20"/>
        </w:rPr>
        <w:t>de </w:t>
      </w:r>
      <w:r>
        <w:rPr>
          <w:color w:val="231F20"/>
          <w:spacing w:val="2"/>
        </w:rPr>
        <w:t>los estudiantes que participaron </w:t>
      </w:r>
      <w:r>
        <w:rPr>
          <w:color w:val="231F20"/>
        </w:rPr>
        <w:t>en </w:t>
      </w:r>
      <w:r>
        <w:rPr>
          <w:color w:val="231F20"/>
          <w:spacing w:val="2"/>
        </w:rPr>
        <w:t>esta investigación. Les bastó con </w:t>
      </w:r>
      <w:r>
        <w:rPr>
          <w:color w:val="231F20"/>
        </w:rPr>
        <w:t>ser </w:t>
      </w:r>
      <w:r>
        <w:rPr>
          <w:color w:val="231F20"/>
          <w:spacing w:val="2"/>
        </w:rPr>
        <w:t>“profesionistas”, pues </w:t>
      </w:r>
      <w:r>
        <w:rPr>
          <w:color w:val="231F20"/>
        </w:rPr>
        <w:t>ven a </w:t>
      </w:r>
      <w:r>
        <w:rPr>
          <w:color w:val="231F20"/>
          <w:spacing w:val="2"/>
        </w:rPr>
        <w:t>estos </w:t>
      </w:r>
      <w:r>
        <w:rPr>
          <w:color w:val="231F20"/>
          <w:spacing w:val="3"/>
        </w:rPr>
        <w:t>como </w:t>
      </w:r>
      <w:r>
        <w:rPr>
          <w:color w:val="231F20"/>
          <w:spacing w:val="2"/>
        </w:rPr>
        <w:t>aplicadores </w:t>
      </w:r>
      <w:r>
        <w:rPr>
          <w:color w:val="231F20"/>
        </w:rPr>
        <w:t>de la </w:t>
      </w:r>
      <w:r>
        <w:rPr>
          <w:color w:val="231F20"/>
          <w:spacing w:val="2"/>
        </w:rPr>
        <w:t>ciencia hecha por otros. No </w:t>
      </w:r>
      <w:r>
        <w:rPr>
          <w:color w:val="231F20"/>
          <w:spacing w:val="3"/>
        </w:rPr>
        <w:t>encontraron </w:t>
      </w:r>
      <w:r>
        <w:rPr>
          <w:color w:val="231F20"/>
          <w:spacing w:val="2"/>
        </w:rPr>
        <w:t>sentido </w:t>
      </w:r>
      <w:r>
        <w:rPr>
          <w:color w:val="231F20"/>
        </w:rPr>
        <w:t>en que </w:t>
      </w:r>
      <w:r>
        <w:rPr>
          <w:color w:val="231F20"/>
          <w:spacing w:val="2"/>
        </w:rPr>
        <w:t>ellos </w:t>
      </w:r>
      <w:r>
        <w:rPr>
          <w:color w:val="231F20"/>
          <w:spacing w:val="3"/>
        </w:rPr>
        <w:t>mismos </w:t>
      </w:r>
      <w:r>
        <w:rPr>
          <w:color w:val="231F20"/>
        </w:rPr>
        <w:t>la </w:t>
      </w:r>
      <w:r>
        <w:rPr>
          <w:color w:val="231F20"/>
          <w:spacing w:val="2"/>
        </w:rPr>
        <w:t>produjeran. </w:t>
      </w:r>
      <w:r>
        <w:rPr>
          <w:color w:val="231F20"/>
        </w:rPr>
        <w:t>Se </w:t>
      </w:r>
      <w:r>
        <w:rPr>
          <w:color w:val="231F20"/>
          <w:spacing w:val="2"/>
        </w:rPr>
        <w:t>sienten ajenos </w:t>
      </w:r>
      <w:r>
        <w:rPr>
          <w:color w:val="231F20"/>
        </w:rPr>
        <w:t>a esa </w:t>
      </w:r>
      <w:r>
        <w:rPr>
          <w:color w:val="231F20"/>
          <w:spacing w:val="2"/>
        </w:rPr>
        <w:t>tarea. </w:t>
      </w:r>
      <w:r>
        <w:rPr>
          <w:color w:val="231F20"/>
        </w:rPr>
        <w:t>Sin </w:t>
      </w:r>
      <w:r>
        <w:rPr>
          <w:color w:val="231F20"/>
          <w:spacing w:val="2"/>
        </w:rPr>
        <w:t>decirlo, </w:t>
      </w:r>
      <w:r>
        <w:rPr>
          <w:color w:val="231F20"/>
        </w:rPr>
        <w:t>se ven a sí </w:t>
      </w:r>
      <w:r>
        <w:rPr>
          <w:color w:val="231F20"/>
          <w:spacing w:val="3"/>
        </w:rPr>
        <w:t>mismos </w:t>
      </w:r>
      <w:r>
        <w:rPr>
          <w:color w:val="231F20"/>
          <w:spacing w:val="2"/>
        </w:rPr>
        <w:t>como tecnólogos: aplican</w:t>
      </w:r>
      <w:r>
        <w:rPr>
          <w:color w:val="231F20"/>
          <w:spacing w:val="-2"/>
        </w:rPr>
        <w:t> </w:t>
      </w:r>
      <w:r>
        <w:rPr>
          <w:color w:val="231F20"/>
          <w:spacing w:val="2"/>
        </w:rPr>
        <w:t>teorías.</w:t>
      </w:r>
    </w:p>
    <w:p>
      <w:pPr>
        <w:pStyle w:val="BodyText"/>
        <w:spacing w:line="247" w:lineRule="auto"/>
        <w:ind w:left="101" w:right="122" w:firstLine="284"/>
        <w:jc w:val="both"/>
      </w:pPr>
      <w:r>
        <w:rPr>
          <w:color w:val="231F20"/>
        </w:rPr>
        <w:t>Mis estudiantes no se identificaron con el papel de científico. No contemplaron dedicar su vida a ser científico.  No  se advirtieron como científicos en formación. No se vivieron dentro de procesos para producir ciencia.</w:t>
      </w:r>
    </w:p>
    <w:p>
      <w:pPr>
        <w:spacing w:after="0" w:line="247" w:lineRule="auto"/>
        <w:jc w:val="both"/>
        <w:sectPr>
          <w:headerReference w:type="default" r:id="rId391"/>
          <w:footerReference w:type="default" r:id="rId392"/>
          <w:pgSz w:w="7830" w:h="11910"/>
          <w:pgMar w:header="0" w:footer="424" w:top="500" w:bottom="620" w:left="920" w:right="900"/>
          <w:pgNumType w:start="18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ListParagraph"/>
        <w:numPr>
          <w:ilvl w:val="2"/>
          <w:numId w:val="6"/>
        </w:numPr>
        <w:tabs>
          <w:tab w:pos="611" w:val="left" w:leader="none"/>
        </w:tabs>
        <w:spacing w:line="240" w:lineRule="auto" w:before="92" w:after="0"/>
        <w:ind w:left="610" w:right="0" w:hanging="508"/>
        <w:jc w:val="both"/>
        <w:rPr>
          <w:i/>
          <w:sz w:val="21"/>
        </w:rPr>
      </w:pPr>
      <w:r>
        <w:rPr>
          <w:i/>
          <w:color w:val="231F20"/>
          <w:w w:val="85"/>
          <w:sz w:val="21"/>
        </w:rPr>
        <w:t>Teoría de Weber y RsSs sobre</w:t>
      </w:r>
      <w:r>
        <w:rPr>
          <w:i/>
          <w:color w:val="231F20"/>
          <w:spacing w:val="-14"/>
          <w:w w:val="85"/>
          <w:sz w:val="21"/>
        </w:rPr>
        <w:t> </w:t>
      </w:r>
      <w:r>
        <w:rPr>
          <w:i/>
          <w:color w:val="231F20"/>
          <w:w w:val="85"/>
          <w:sz w:val="21"/>
        </w:rPr>
        <w:t>científico</w:t>
      </w:r>
    </w:p>
    <w:p>
      <w:pPr>
        <w:pStyle w:val="BodyText"/>
        <w:spacing w:before="1"/>
        <w:rPr>
          <w:i/>
        </w:rPr>
      </w:pPr>
    </w:p>
    <w:p>
      <w:pPr>
        <w:pStyle w:val="BodyText"/>
        <w:spacing w:line="244" w:lineRule="auto" w:before="1"/>
        <w:ind w:left="102" w:right="117"/>
        <w:jc w:val="both"/>
      </w:pPr>
      <w:r>
        <w:rPr>
          <w:color w:val="231F20"/>
        </w:rPr>
        <w:t>Si eso dijeron mis alumnos, nótense coincidencias y diferencias con lo que Max Weber, sociólogo alemán, señaló en su texto “El  político y el</w:t>
      </w:r>
      <w:r>
        <w:rPr>
          <w:color w:val="231F20"/>
          <w:spacing w:val="-33"/>
        </w:rPr>
        <w:t> </w:t>
      </w:r>
      <w:r>
        <w:rPr>
          <w:color w:val="231F20"/>
        </w:rPr>
        <w:t>científico”.</w:t>
      </w:r>
    </w:p>
    <w:p>
      <w:pPr>
        <w:pStyle w:val="ListParagraph"/>
        <w:numPr>
          <w:ilvl w:val="2"/>
          <w:numId w:val="6"/>
        </w:numPr>
        <w:tabs>
          <w:tab w:pos="611" w:val="left" w:leader="none"/>
        </w:tabs>
        <w:spacing w:line="240" w:lineRule="auto" w:before="18" w:after="0"/>
        <w:ind w:left="610" w:right="0" w:hanging="508"/>
        <w:jc w:val="both"/>
        <w:rPr>
          <w:i/>
          <w:sz w:val="21"/>
        </w:rPr>
      </w:pPr>
      <w:r>
        <w:rPr>
          <w:i/>
          <w:color w:val="231F20"/>
          <w:w w:val="85"/>
          <w:sz w:val="21"/>
        </w:rPr>
        <w:t>El</w:t>
      </w:r>
      <w:r>
        <w:rPr>
          <w:i/>
          <w:color w:val="231F20"/>
          <w:spacing w:val="-14"/>
          <w:w w:val="85"/>
          <w:sz w:val="21"/>
        </w:rPr>
        <w:t> </w:t>
      </w:r>
      <w:r>
        <w:rPr>
          <w:i/>
          <w:color w:val="231F20"/>
          <w:w w:val="85"/>
          <w:sz w:val="21"/>
        </w:rPr>
        <w:t>científico</w:t>
      </w:r>
      <w:r>
        <w:rPr>
          <w:i/>
          <w:color w:val="231F20"/>
          <w:spacing w:val="-14"/>
          <w:w w:val="85"/>
          <w:sz w:val="21"/>
        </w:rPr>
        <w:t> </w:t>
      </w:r>
      <w:r>
        <w:rPr>
          <w:i/>
          <w:color w:val="231F20"/>
          <w:w w:val="85"/>
          <w:sz w:val="21"/>
        </w:rPr>
        <w:t>es</w:t>
      </w:r>
      <w:r>
        <w:rPr>
          <w:i/>
          <w:color w:val="231F20"/>
          <w:spacing w:val="-14"/>
          <w:w w:val="85"/>
          <w:sz w:val="21"/>
        </w:rPr>
        <w:t> </w:t>
      </w:r>
      <w:r>
        <w:rPr>
          <w:i/>
          <w:color w:val="231F20"/>
          <w:w w:val="85"/>
          <w:sz w:val="21"/>
        </w:rPr>
        <w:t>distinto</w:t>
      </w:r>
      <w:r>
        <w:rPr>
          <w:i/>
          <w:color w:val="231F20"/>
          <w:spacing w:val="-14"/>
          <w:w w:val="85"/>
          <w:sz w:val="21"/>
        </w:rPr>
        <w:t> </w:t>
      </w:r>
      <w:r>
        <w:rPr>
          <w:i/>
          <w:color w:val="231F20"/>
          <w:w w:val="85"/>
          <w:sz w:val="21"/>
        </w:rPr>
        <w:t>del</w:t>
      </w:r>
      <w:r>
        <w:rPr>
          <w:i/>
          <w:color w:val="231F20"/>
          <w:spacing w:val="-14"/>
          <w:w w:val="85"/>
          <w:sz w:val="21"/>
        </w:rPr>
        <w:t> </w:t>
      </w:r>
      <w:r>
        <w:rPr>
          <w:i/>
          <w:color w:val="231F20"/>
          <w:w w:val="85"/>
          <w:sz w:val="21"/>
        </w:rPr>
        <w:t>profesor</w:t>
      </w:r>
    </w:p>
    <w:p>
      <w:pPr>
        <w:pStyle w:val="BodyText"/>
        <w:spacing w:before="1"/>
        <w:rPr>
          <w:i/>
        </w:rPr>
      </w:pPr>
    </w:p>
    <w:p>
      <w:pPr>
        <w:pStyle w:val="BodyText"/>
        <w:spacing w:line="247" w:lineRule="auto" w:before="1"/>
        <w:ind w:left="102" w:right="115"/>
        <w:jc w:val="both"/>
      </w:pPr>
      <w:r>
        <w:rPr>
          <w:color w:val="231F20"/>
        </w:rPr>
        <w:t>El primero produce ciencia,el maestro la consume y difunde.  Existen casos en que los papeles de científico y profesor coexisten  en una misma persona. Aunque no es frecuente;más bien, son roles sociales</w:t>
      </w:r>
      <w:r>
        <w:rPr>
          <w:color w:val="231F20"/>
          <w:spacing w:val="-23"/>
        </w:rPr>
        <w:t> </w:t>
      </w:r>
      <w:r>
        <w:rPr>
          <w:color w:val="231F20"/>
        </w:rPr>
        <w:t>diferentes.</w:t>
      </w:r>
    </w:p>
    <w:p>
      <w:pPr>
        <w:pStyle w:val="BodyText"/>
        <w:spacing w:before="7"/>
        <w:rPr>
          <w:sz w:val="22"/>
        </w:rPr>
      </w:pPr>
    </w:p>
    <w:p>
      <w:pPr>
        <w:pStyle w:val="ListParagraph"/>
        <w:numPr>
          <w:ilvl w:val="3"/>
          <w:numId w:val="6"/>
        </w:numPr>
        <w:tabs>
          <w:tab w:pos="762" w:val="left" w:leader="none"/>
        </w:tabs>
        <w:spacing w:line="240" w:lineRule="auto" w:before="0" w:after="0"/>
        <w:ind w:left="761" w:right="0" w:hanging="659"/>
        <w:jc w:val="both"/>
        <w:rPr>
          <w:i/>
          <w:sz w:val="21"/>
        </w:rPr>
      </w:pPr>
      <w:r>
        <w:rPr>
          <w:i/>
          <w:color w:val="231F20"/>
          <w:w w:val="85"/>
          <w:sz w:val="21"/>
        </w:rPr>
        <w:t>El científico vive su</w:t>
      </w:r>
      <w:r>
        <w:rPr>
          <w:i/>
          <w:color w:val="231F20"/>
          <w:spacing w:val="-20"/>
          <w:w w:val="85"/>
          <w:sz w:val="21"/>
        </w:rPr>
        <w:t> </w:t>
      </w:r>
      <w:r>
        <w:rPr>
          <w:i/>
          <w:color w:val="231F20"/>
          <w:w w:val="85"/>
          <w:sz w:val="21"/>
        </w:rPr>
        <w:t>pasión</w:t>
      </w:r>
    </w:p>
    <w:p>
      <w:pPr>
        <w:pStyle w:val="BodyText"/>
        <w:spacing w:before="1"/>
        <w:rPr>
          <w:i/>
        </w:rPr>
      </w:pPr>
    </w:p>
    <w:p>
      <w:pPr>
        <w:pStyle w:val="BodyText"/>
        <w:spacing w:line="244" w:lineRule="auto" w:before="1"/>
        <w:ind w:left="102" w:right="113"/>
        <w:jc w:val="both"/>
      </w:pPr>
      <w:r>
        <w:rPr>
          <w:color w:val="231F20"/>
        </w:rPr>
        <w:t>Por encontrar respuestas a preguntas, ya sea problemas no formulados, o bien resueltos de manera distinta a como el científico estima que debiera ser. El científico encuentra en la producción científica el motor de su vida,como el futbolista que juega de delantero encuentra en el gol, el bien más deseado.</w:t>
      </w:r>
    </w:p>
    <w:p>
      <w:pPr>
        <w:pStyle w:val="BodyText"/>
        <w:spacing w:line="249" w:lineRule="auto" w:before="18"/>
        <w:ind w:left="102" w:right="113" w:firstLine="284"/>
        <w:jc w:val="both"/>
      </w:pPr>
      <w:r>
        <w:rPr>
          <w:color w:val="231F20"/>
        </w:rPr>
        <w:t>La </w:t>
      </w:r>
      <w:r>
        <w:rPr>
          <w:color w:val="231F20"/>
          <w:spacing w:val="2"/>
        </w:rPr>
        <w:t>pasión del científico </w:t>
      </w:r>
      <w:r>
        <w:rPr>
          <w:color w:val="231F20"/>
        </w:rPr>
        <w:t>es </w:t>
      </w:r>
      <w:r>
        <w:rPr>
          <w:color w:val="231F20"/>
          <w:spacing w:val="2"/>
        </w:rPr>
        <w:t>debido </w:t>
      </w:r>
      <w:r>
        <w:rPr>
          <w:color w:val="231F20"/>
        </w:rPr>
        <w:t>a lo </w:t>
      </w:r>
      <w:r>
        <w:rPr>
          <w:color w:val="231F20"/>
          <w:spacing w:val="2"/>
        </w:rPr>
        <w:t>que </w:t>
      </w:r>
      <w:r>
        <w:rPr>
          <w:color w:val="231F20"/>
          <w:spacing w:val="3"/>
        </w:rPr>
        <w:t>Weber </w:t>
      </w:r>
      <w:r>
        <w:rPr>
          <w:color w:val="231F20"/>
          <w:spacing w:val="2"/>
        </w:rPr>
        <w:t>resaltó: para  </w:t>
      </w:r>
      <w:r>
        <w:rPr>
          <w:color w:val="231F20"/>
        </w:rPr>
        <w:t>el </w:t>
      </w:r>
      <w:r>
        <w:rPr>
          <w:color w:val="231F20"/>
          <w:spacing w:val="3"/>
        </w:rPr>
        <w:t>hombre, </w:t>
      </w:r>
      <w:r>
        <w:rPr>
          <w:color w:val="231F20"/>
        </w:rPr>
        <w:t>en </w:t>
      </w:r>
      <w:r>
        <w:rPr>
          <w:color w:val="231F20"/>
          <w:spacing w:val="2"/>
        </w:rPr>
        <w:t>cuanto </w:t>
      </w:r>
      <w:r>
        <w:rPr>
          <w:color w:val="231F20"/>
          <w:spacing w:val="3"/>
        </w:rPr>
        <w:t>hombre, </w:t>
      </w:r>
      <w:r>
        <w:rPr>
          <w:color w:val="231F20"/>
          <w:spacing w:val="2"/>
        </w:rPr>
        <w:t>nada tiene valor </w:t>
      </w:r>
      <w:r>
        <w:rPr>
          <w:color w:val="231F20"/>
        </w:rPr>
        <w:t>si no se </w:t>
      </w:r>
      <w:r>
        <w:rPr>
          <w:color w:val="231F20"/>
          <w:spacing w:val="2"/>
        </w:rPr>
        <w:t>logra </w:t>
      </w:r>
      <w:r>
        <w:rPr>
          <w:color w:val="231F20"/>
          <w:spacing w:val="3"/>
        </w:rPr>
        <w:t>con </w:t>
      </w:r>
      <w:r>
        <w:rPr>
          <w:color w:val="231F20"/>
          <w:spacing w:val="2"/>
        </w:rPr>
        <w:t>pasión. </w:t>
      </w:r>
      <w:r>
        <w:rPr>
          <w:color w:val="231F20"/>
        </w:rPr>
        <w:t>La </w:t>
      </w:r>
      <w:r>
        <w:rPr>
          <w:color w:val="231F20"/>
          <w:spacing w:val="2"/>
        </w:rPr>
        <w:t>pasión </w:t>
      </w:r>
      <w:r>
        <w:rPr>
          <w:color w:val="231F20"/>
        </w:rPr>
        <w:t>del </w:t>
      </w:r>
      <w:r>
        <w:rPr>
          <w:color w:val="231F20"/>
          <w:spacing w:val="2"/>
        </w:rPr>
        <w:t>científico </w:t>
      </w:r>
      <w:r>
        <w:rPr>
          <w:color w:val="231F20"/>
        </w:rPr>
        <w:t>es </w:t>
      </w:r>
      <w:r>
        <w:rPr>
          <w:color w:val="231F20"/>
          <w:spacing w:val="2"/>
        </w:rPr>
        <w:t>colocarse anteojeras </w:t>
      </w:r>
      <w:r>
        <w:rPr>
          <w:color w:val="231F20"/>
        </w:rPr>
        <w:t>y </w:t>
      </w:r>
      <w:r>
        <w:rPr>
          <w:color w:val="231F20"/>
          <w:spacing w:val="2"/>
        </w:rPr>
        <w:t>llegar </w:t>
      </w:r>
      <w:r>
        <w:rPr>
          <w:color w:val="231F20"/>
          <w:spacing w:val="3"/>
        </w:rPr>
        <w:t>al convencimiento </w:t>
      </w:r>
      <w:r>
        <w:rPr>
          <w:color w:val="231F20"/>
        </w:rPr>
        <w:t>de </w:t>
      </w:r>
      <w:r>
        <w:rPr>
          <w:color w:val="231F20"/>
          <w:spacing w:val="2"/>
        </w:rPr>
        <w:t>que </w:t>
      </w:r>
      <w:r>
        <w:rPr>
          <w:color w:val="231F20"/>
        </w:rPr>
        <w:t>la </w:t>
      </w:r>
      <w:r>
        <w:rPr>
          <w:color w:val="231F20"/>
          <w:spacing w:val="2"/>
        </w:rPr>
        <w:t>salvación </w:t>
      </w:r>
      <w:r>
        <w:rPr>
          <w:color w:val="231F20"/>
        </w:rPr>
        <w:t>de su </w:t>
      </w:r>
      <w:r>
        <w:rPr>
          <w:color w:val="231F20"/>
          <w:spacing w:val="2"/>
        </w:rPr>
        <w:t>alma está, </w:t>
      </w:r>
      <w:r>
        <w:rPr>
          <w:color w:val="231F20"/>
          <w:spacing w:val="3"/>
        </w:rPr>
        <w:t>precisamente, </w:t>
      </w:r>
      <w:r>
        <w:rPr>
          <w:color w:val="231F20"/>
        </w:rPr>
        <w:t>en </w:t>
      </w:r>
      <w:r>
        <w:rPr>
          <w:color w:val="231F20"/>
          <w:spacing w:val="3"/>
        </w:rPr>
        <w:t>comprobar </w:t>
      </w:r>
      <w:r>
        <w:rPr>
          <w:color w:val="231F20"/>
        </w:rPr>
        <w:t>o </w:t>
      </w:r>
      <w:r>
        <w:rPr>
          <w:color w:val="231F20"/>
          <w:spacing w:val="2"/>
        </w:rPr>
        <w:t>explicar una hipótesis dentro </w:t>
      </w:r>
      <w:r>
        <w:rPr>
          <w:color w:val="231F20"/>
        </w:rPr>
        <w:t>de un </w:t>
      </w:r>
      <w:r>
        <w:rPr>
          <w:color w:val="231F20"/>
          <w:spacing w:val="2"/>
        </w:rPr>
        <w:t>único </w:t>
      </w:r>
      <w:r>
        <w:rPr>
          <w:color w:val="231F20"/>
          <w:spacing w:val="3"/>
        </w:rPr>
        <w:t>campo</w:t>
      </w:r>
      <w:r>
        <w:rPr>
          <w:color w:val="231F20"/>
          <w:spacing w:val="58"/>
        </w:rPr>
        <w:t> </w:t>
      </w:r>
      <w:r>
        <w:rPr>
          <w:color w:val="231F20"/>
        </w:rPr>
        <w:t>de </w:t>
      </w:r>
      <w:r>
        <w:rPr>
          <w:color w:val="231F20"/>
          <w:spacing w:val="2"/>
        </w:rPr>
        <w:t>trabajo. </w:t>
      </w:r>
      <w:r>
        <w:rPr>
          <w:color w:val="231F20"/>
        </w:rPr>
        <w:t>La </w:t>
      </w:r>
      <w:r>
        <w:rPr>
          <w:color w:val="231F20"/>
          <w:spacing w:val="2"/>
        </w:rPr>
        <w:t>pasión del científico </w:t>
      </w:r>
      <w:r>
        <w:rPr>
          <w:color w:val="231F20"/>
        </w:rPr>
        <w:t>se </w:t>
      </w:r>
      <w:r>
        <w:rPr>
          <w:color w:val="231F20"/>
          <w:spacing w:val="2"/>
        </w:rPr>
        <w:t>expresa </w:t>
      </w:r>
      <w:r>
        <w:rPr>
          <w:color w:val="231F20"/>
        </w:rPr>
        <w:t>en el </w:t>
      </w:r>
      <w:r>
        <w:rPr>
          <w:color w:val="231F20"/>
          <w:spacing w:val="2"/>
        </w:rPr>
        <w:t>arduo trabajo necesario para </w:t>
      </w:r>
      <w:r>
        <w:rPr>
          <w:color w:val="231F20"/>
        </w:rPr>
        <w:t>que </w:t>
      </w:r>
      <w:r>
        <w:rPr>
          <w:color w:val="231F20"/>
          <w:spacing w:val="2"/>
        </w:rPr>
        <w:t>surja una idea, producto </w:t>
      </w:r>
      <w:r>
        <w:rPr>
          <w:color w:val="231F20"/>
        </w:rPr>
        <w:t>de su </w:t>
      </w:r>
      <w:r>
        <w:rPr>
          <w:color w:val="231F20"/>
          <w:spacing w:val="2"/>
        </w:rPr>
        <w:t>cavilar </w:t>
      </w:r>
      <w:r>
        <w:rPr>
          <w:color w:val="231F20"/>
        </w:rPr>
        <w:t>y </w:t>
      </w:r>
      <w:r>
        <w:rPr>
          <w:color w:val="231F20"/>
          <w:spacing w:val="3"/>
        </w:rPr>
        <w:t>su experimentar. </w:t>
      </w:r>
      <w:r>
        <w:rPr>
          <w:color w:val="231F20"/>
          <w:spacing w:val="2"/>
        </w:rPr>
        <w:t>Las ideas </w:t>
      </w:r>
      <w:r>
        <w:rPr>
          <w:color w:val="231F20"/>
        </w:rPr>
        <w:t>no </w:t>
      </w:r>
      <w:r>
        <w:rPr>
          <w:color w:val="231F20"/>
          <w:spacing w:val="2"/>
        </w:rPr>
        <w:t>llegan </w:t>
      </w:r>
      <w:r>
        <w:rPr>
          <w:color w:val="231F20"/>
          <w:spacing w:val="3"/>
        </w:rPr>
        <w:t>cuando </w:t>
      </w:r>
      <w:r>
        <w:rPr>
          <w:color w:val="231F20"/>
        </w:rPr>
        <w:t>se </w:t>
      </w:r>
      <w:r>
        <w:rPr>
          <w:color w:val="231F20"/>
          <w:spacing w:val="2"/>
        </w:rPr>
        <w:t>desean,las ideas son producto </w:t>
      </w:r>
      <w:r>
        <w:rPr>
          <w:color w:val="231F20"/>
        </w:rPr>
        <w:t>del </w:t>
      </w:r>
      <w:r>
        <w:rPr>
          <w:color w:val="231F20"/>
          <w:spacing w:val="2"/>
        </w:rPr>
        <w:t>dedicarse </w:t>
      </w:r>
      <w:r>
        <w:rPr>
          <w:color w:val="231F20"/>
        </w:rPr>
        <w:t>a </w:t>
      </w:r>
      <w:r>
        <w:rPr>
          <w:color w:val="231F20"/>
          <w:spacing w:val="2"/>
        </w:rPr>
        <w:t>una sola causa, </w:t>
      </w:r>
      <w:r>
        <w:rPr>
          <w:color w:val="231F20"/>
        </w:rPr>
        <w:t>de </w:t>
      </w:r>
      <w:r>
        <w:rPr>
          <w:color w:val="231F20"/>
          <w:spacing w:val="2"/>
        </w:rPr>
        <w:t>invertir </w:t>
      </w:r>
      <w:r>
        <w:rPr>
          <w:color w:val="231F20"/>
          <w:spacing w:val="3"/>
        </w:rPr>
        <w:t>mucha </w:t>
      </w:r>
      <w:r>
        <w:rPr>
          <w:color w:val="231F20"/>
          <w:spacing w:val="2"/>
        </w:rPr>
        <w:t>energía  </w:t>
      </w:r>
      <w:r>
        <w:rPr>
          <w:color w:val="231F20"/>
        </w:rPr>
        <w:t>y </w:t>
      </w:r>
      <w:r>
        <w:rPr>
          <w:color w:val="231F20"/>
          <w:spacing w:val="2"/>
        </w:rPr>
        <w:t>tiempo </w:t>
      </w:r>
      <w:r>
        <w:rPr>
          <w:color w:val="231F20"/>
        </w:rPr>
        <w:t>en la </w:t>
      </w:r>
      <w:r>
        <w:rPr>
          <w:color w:val="231F20"/>
          <w:spacing w:val="2"/>
        </w:rPr>
        <w:t>elucidación </w:t>
      </w:r>
      <w:r>
        <w:rPr>
          <w:color w:val="231F20"/>
        </w:rPr>
        <w:t>de esa </w:t>
      </w:r>
      <w:r>
        <w:rPr>
          <w:color w:val="231F20"/>
          <w:spacing w:val="2"/>
        </w:rPr>
        <w:t>idea. </w:t>
      </w:r>
      <w:r>
        <w:rPr>
          <w:color w:val="231F20"/>
        </w:rPr>
        <w:t>En </w:t>
      </w:r>
      <w:r>
        <w:rPr>
          <w:color w:val="231F20"/>
          <w:spacing w:val="2"/>
        </w:rPr>
        <w:t>ocasiones </w:t>
      </w:r>
      <w:r>
        <w:rPr>
          <w:color w:val="231F20"/>
        </w:rPr>
        <w:t>las </w:t>
      </w:r>
      <w:r>
        <w:rPr>
          <w:color w:val="231F20"/>
          <w:spacing w:val="3"/>
        </w:rPr>
        <w:t>ideas </w:t>
      </w:r>
      <w:r>
        <w:rPr>
          <w:color w:val="231F20"/>
          <w:spacing w:val="2"/>
        </w:rPr>
        <w:t>surgen </w:t>
      </w:r>
      <w:r>
        <w:rPr>
          <w:color w:val="231F20"/>
        </w:rPr>
        <w:t>en las </w:t>
      </w:r>
      <w:r>
        <w:rPr>
          <w:color w:val="231F20"/>
          <w:spacing w:val="3"/>
        </w:rPr>
        <w:t>condiciones </w:t>
      </w:r>
      <w:r>
        <w:rPr>
          <w:color w:val="231F20"/>
          <w:spacing w:val="2"/>
        </w:rPr>
        <w:t>más fortuitas, </w:t>
      </w:r>
      <w:r>
        <w:rPr>
          <w:color w:val="231F20"/>
        </w:rPr>
        <w:t>al </w:t>
      </w:r>
      <w:r>
        <w:rPr>
          <w:color w:val="231F20"/>
          <w:spacing w:val="2"/>
        </w:rPr>
        <w:t>caminar </w:t>
      </w:r>
      <w:r>
        <w:rPr>
          <w:color w:val="231F20"/>
        </w:rPr>
        <w:t>o </w:t>
      </w:r>
      <w:r>
        <w:rPr>
          <w:color w:val="231F20"/>
          <w:spacing w:val="3"/>
        </w:rPr>
        <w:t>conversar </w:t>
      </w:r>
      <w:r>
        <w:rPr>
          <w:color w:val="231F20"/>
          <w:spacing w:val="2"/>
        </w:rPr>
        <w:t>sobre otro tema con los amigos, por </w:t>
      </w:r>
      <w:r>
        <w:rPr>
          <w:color w:val="231F20"/>
          <w:spacing w:val="5"/>
        </w:rPr>
        <w:t> </w:t>
      </w:r>
      <w:r>
        <w:rPr>
          <w:color w:val="231F20"/>
          <w:spacing w:val="3"/>
        </w:rPr>
        <w:t>ejemplo.</w:t>
      </w:r>
    </w:p>
    <w:p>
      <w:pPr>
        <w:pStyle w:val="BodyText"/>
        <w:spacing w:before="7"/>
      </w:pPr>
    </w:p>
    <w:p>
      <w:pPr>
        <w:pStyle w:val="ListParagraph"/>
        <w:numPr>
          <w:ilvl w:val="3"/>
          <w:numId w:val="6"/>
        </w:numPr>
        <w:tabs>
          <w:tab w:pos="763" w:val="left" w:leader="none"/>
        </w:tabs>
        <w:spacing w:line="240" w:lineRule="auto" w:before="0" w:after="0"/>
        <w:ind w:left="762" w:right="0" w:hanging="660"/>
        <w:jc w:val="both"/>
        <w:rPr>
          <w:i/>
          <w:sz w:val="21"/>
        </w:rPr>
      </w:pPr>
      <w:r>
        <w:rPr>
          <w:i/>
          <w:color w:val="231F20"/>
          <w:w w:val="85"/>
          <w:sz w:val="21"/>
        </w:rPr>
        <w:t>El</w:t>
      </w:r>
      <w:r>
        <w:rPr>
          <w:i/>
          <w:color w:val="231F20"/>
          <w:spacing w:val="-21"/>
          <w:w w:val="85"/>
          <w:sz w:val="21"/>
        </w:rPr>
        <w:t> </w:t>
      </w:r>
      <w:r>
        <w:rPr>
          <w:i/>
          <w:color w:val="231F20"/>
          <w:w w:val="85"/>
          <w:sz w:val="21"/>
        </w:rPr>
        <w:t>científico</w:t>
      </w:r>
      <w:r>
        <w:rPr>
          <w:i/>
          <w:color w:val="231F20"/>
          <w:spacing w:val="-21"/>
          <w:w w:val="85"/>
          <w:sz w:val="21"/>
        </w:rPr>
        <w:t> </w:t>
      </w:r>
      <w:r>
        <w:rPr>
          <w:i/>
          <w:color w:val="231F20"/>
          <w:w w:val="85"/>
          <w:sz w:val="21"/>
        </w:rPr>
        <w:t>está</w:t>
      </w:r>
      <w:r>
        <w:rPr>
          <w:i/>
          <w:color w:val="231F20"/>
          <w:spacing w:val="-21"/>
          <w:w w:val="85"/>
          <w:sz w:val="21"/>
        </w:rPr>
        <w:t> </w:t>
      </w:r>
      <w:r>
        <w:rPr>
          <w:i/>
          <w:color w:val="231F20"/>
          <w:w w:val="85"/>
          <w:sz w:val="21"/>
        </w:rPr>
        <w:t>revestido</w:t>
      </w:r>
      <w:r>
        <w:rPr>
          <w:i/>
          <w:color w:val="231F20"/>
          <w:spacing w:val="-21"/>
          <w:w w:val="85"/>
          <w:sz w:val="21"/>
        </w:rPr>
        <w:t> </w:t>
      </w:r>
      <w:r>
        <w:rPr>
          <w:i/>
          <w:color w:val="231F20"/>
          <w:w w:val="85"/>
          <w:sz w:val="21"/>
        </w:rPr>
        <w:t>del</w:t>
      </w:r>
      <w:r>
        <w:rPr>
          <w:i/>
          <w:color w:val="231F20"/>
          <w:spacing w:val="-21"/>
          <w:w w:val="85"/>
          <w:sz w:val="21"/>
        </w:rPr>
        <w:t> </w:t>
      </w:r>
      <w:r>
        <w:rPr>
          <w:i/>
          <w:color w:val="231F20"/>
          <w:w w:val="85"/>
          <w:sz w:val="21"/>
        </w:rPr>
        <w:t>frío</w:t>
      </w:r>
      <w:r>
        <w:rPr>
          <w:i/>
          <w:color w:val="231F20"/>
          <w:spacing w:val="-21"/>
          <w:w w:val="85"/>
          <w:sz w:val="21"/>
        </w:rPr>
        <w:t> </w:t>
      </w:r>
      <w:r>
        <w:rPr>
          <w:i/>
          <w:color w:val="231F20"/>
          <w:w w:val="85"/>
          <w:sz w:val="21"/>
        </w:rPr>
        <w:t>cálculo</w:t>
      </w:r>
      <w:r>
        <w:rPr>
          <w:i/>
          <w:color w:val="231F20"/>
          <w:spacing w:val="-21"/>
          <w:w w:val="85"/>
          <w:sz w:val="21"/>
        </w:rPr>
        <w:t> </w:t>
      </w:r>
      <w:r>
        <w:rPr>
          <w:i/>
          <w:color w:val="231F20"/>
          <w:w w:val="85"/>
          <w:sz w:val="21"/>
        </w:rPr>
        <w:t>racional</w:t>
      </w:r>
    </w:p>
    <w:p>
      <w:pPr>
        <w:pStyle w:val="BodyText"/>
        <w:spacing w:before="1"/>
        <w:rPr>
          <w:i/>
        </w:rPr>
      </w:pPr>
    </w:p>
    <w:p>
      <w:pPr>
        <w:pStyle w:val="BodyText"/>
        <w:spacing w:line="244" w:lineRule="auto" w:before="1"/>
        <w:ind w:left="102" w:right="114"/>
        <w:jc w:val="both"/>
      </w:pPr>
      <w:r>
        <w:rPr>
          <w:color w:val="231F20"/>
        </w:rPr>
        <w:t>Además de pasión, sigue un método en la búsqueda  de  explicaciones. Su frío cálculo lo dirige al proceso de  producir  ciencia que, sabe bien, será finita, con caducidad ante nuevos adelantos científicos. Sus herramientas no solo son las del laboratorio  al  ser  científico  natural;  son,  más  bien,  conceptos </w:t>
      </w:r>
      <w:r>
        <w:rPr>
          <w:color w:val="231F20"/>
          <w:spacing w:val="19"/>
        </w:rPr>
        <w:t> </w:t>
      </w:r>
      <w:r>
        <w:rPr>
          <w:color w:val="231F20"/>
        </w:rPr>
        <w:t>y</w:t>
      </w:r>
    </w:p>
    <w:p>
      <w:pPr>
        <w:spacing w:after="0" w:line="244" w:lineRule="auto"/>
        <w:jc w:val="both"/>
        <w:sectPr>
          <w:headerReference w:type="default" r:id="rId393"/>
          <w:footerReference w:type="default" r:id="rId394"/>
          <w:pgSz w:w="7830" w:h="11910"/>
          <w:pgMar w:header="0" w:footer="424" w:top="500" w:bottom="620" w:left="920" w:right="900"/>
          <w:pgNumType w:start="18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6"/>
        <w:jc w:val="both"/>
      </w:pPr>
      <w:r>
        <w:rPr>
          <w:color w:val="231F20"/>
        </w:rPr>
        <w:t>teorías que le sirven de base en su proceso de investigar. Bases que  él buscará modificar para generar las</w:t>
      </w:r>
      <w:r>
        <w:rPr>
          <w:color w:val="231F20"/>
          <w:spacing w:val="-11"/>
        </w:rPr>
        <w:t> </w:t>
      </w:r>
      <w:r>
        <w:rPr>
          <w:color w:val="231F20"/>
        </w:rPr>
        <w:t>propias.</w:t>
      </w:r>
    </w:p>
    <w:p>
      <w:pPr>
        <w:pStyle w:val="BodyText"/>
        <w:rPr>
          <w:sz w:val="22"/>
        </w:rPr>
      </w:pPr>
    </w:p>
    <w:p>
      <w:pPr>
        <w:pStyle w:val="BodyText"/>
        <w:spacing w:before="4"/>
        <w:rPr>
          <w:sz w:val="22"/>
        </w:rPr>
      </w:pPr>
    </w:p>
    <w:p>
      <w:pPr>
        <w:spacing w:before="0"/>
        <w:ind w:left="102" w:right="0" w:firstLine="0"/>
        <w:jc w:val="both"/>
        <w:rPr>
          <w:i/>
          <w:sz w:val="21"/>
        </w:rPr>
      </w:pPr>
      <w:r>
        <w:rPr>
          <w:i/>
          <w:color w:val="231F20"/>
          <w:w w:val="85"/>
          <w:sz w:val="21"/>
        </w:rPr>
        <w:t>4.1.6.3 El científico forma parte de la aristocracia intelectual</w:t>
      </w:r>
    </w:p>
    <w:p>
      <w:pPr>
        <w:pStyle w:val="BodyText"/>
        <w:spacing w:before="6"/>
        <w:rPr>
          <w:i/>
        </w:rPr>
      </w:pPr>
    </w:p>
    <w:p>
      <w:pPr>
        <w:pStyle w:val="BodyText"/>
        <w:spacing w:line="244" w:lineRule="auto"/>
        <w:ind w:left="102" w:right="116"/>
        <w:jc w:val="both"/>
      </w:pPr>
      <w:r>
        <w:rPr>
          <w:color w:val="231F20"/>
        </w:rPr>
        <w:t>En su campo no priva la democracia. Se viven condiciones de exclusión para quien no tenga la soberbia de querer decir algo no dicho o expresado de otra manera. El científico es un especialista, sabe mucho de un tema, y desconoce otro tanto de muchos más. Su especialidad la otorga el objeto o tema de estudio. Su soberbia consiste en decir lo que antes se desconocía o se comprendía de manera errónea.</w:t>
      </w:r>
    </w:p>
    <w:p>
      <w:pPr>
        <w:pStyle w:val="BodyText"/>
        <w:spacing w:before="3"/>
        <w:rPr>
          <w:sz w:val="23"/>
        </w:rPr>
      </w:pPr>
    </w:p>
    <w:p>
      <w:pPr>
        <w:pStyle w:val="ListParagraph"/>
        <w:numPr>
          <w:ilvl w:val="3"/>
          <w:numId w:val="9"/>
        </w:numPr>
        <w:tabs>
          <w:tab w:pos="768" w:val="left" w:leader="none"/>
        </w:tabs>
        <w:spacing w:line="247" w:lineRule="auto" w:before="0" w:after="0"/>
        <w:ind w:left="102" w:right="117" w:firstLine="0"/>
        <w:jc w:val="both"/>
        <w:rPr>
          <w:i/>
          <w:sz w:val="21"/>
        </w:rPr>
      </w:pPr>
      <w:r>
        <w:rPr>
          <w:i/>
          <w:color w:val="231F20"/>
          <w:w w:val="85"/>
          <w:sz w:val="21"/>
        </w:rPr>
        <w:t>Contraste</w:t>
      </w:r>
      <w:r>
        <w:rPr>
          <w:i/>
          <w:color w:val="231F20"/>
          <w:spacing w:val="-6"/>
          <w:w w:val="85"/>
          <w:sz w:val="21"/>
        </w:rPr>
        <w:t> </w:t>
      </w:r>
      <w:r>
        <w:rPr>
          <w:i/>
          <w:color w:val="231F20"/>
          <w:w w:val="85"/>
          <w:sz w:val="21"/>
        </w:rPr>
        <w:t>entre</w:t>
      </w:r>
      <w:r>
        <w:rPr>
          <w:i/>
          <w:color w:val="231F20"/>
          <w:spacing w:val="-6"/>
          <w:w w:val="85"/>
          <w:sz w:val="21"/>
        </w:rPr>
        <w:t> </w:t>
      </w:r>
      <w:r>
        <w:rPr>
          <w:i/>
          <w:color w:val="231F20"/>
          <w:w w:val="85"/>
          <w:sz w:val="21"/>
        </w:rPr>
        <w:t>los</w:t>
      </w:r>
      <w:r>
        <w:rPr>
          <w:i/>
          <w:color w:val="231F20"/>
          <w:spacing w:val="-6"/>
          <w:w w:val="85"/>
          <w:sz w:val="21"/>
        </w:rPr>
        <w:t> </w:t>
      </w:r>
      <w:r>
        <w:rPr>
          <w:i/>
          <w:color w:val="231F20"/>
          <w:w w:val="85"/>
          <w:sz w:val="21"/>
        </w:rPr>
        <w:t>datos</w:t>
      </w:r>
      <w:r>
        <w:rPr>
          <w:i/>
          <w:color w:val="231F20"/>
          <w:spacing w:val="-6"/>
          <w:w w:val="85"/>
          <w:sz w:val="21"/>
        </w:rPr>
        <w:t> </w:t>
      </w:r>
      <w:r>
        <w:rPr>
          <w:i/>
          <w:color w:val="231F20"/>
          <w:w w:val="85"/>
          <w:sz w:val="21"/>
        </w:rPr>
        <w:t>proporcionados</w:t>
      </w:r>
      <w:r>
        <w:rPr>
          <w:i/>
          <w:color w:val="231F20"/>
          <w:spacing w:val="-6"/>
          <w:w w:val="85"/>
          <w:sz w:val="21"/>
        </w:rPr>
        <w:t> </w:t>
      </w:r>
      <w:r>
        <w:rPr>
          <w:i/>
          <w:color w:val="231F20"/>
          <w:w w:val="85"/>
          <w:sz w:val="21"/>
        </w:rPr>
        <w:t>por</w:t>
      </w:r>
      <w:r>
        <w:rPr>
          <w:i/>
          <w:color w:val="231F20"/>
          <w:spacing w:val="-6"/>
          <w:w w:val="85"/>
          <w:sz w:val="21"/>
        </w:rPr>
        <w:t> </w:t>
      </w:r>
      <w:r>
        <w:rPr>
          <w:i/>
          <w:color w:val="231F20"/>
          <w:w w:val="85"/>
          <w:sz w:val="21"/>
        </w:rPr>
        <w:t>los</w:t>
      </w:r>
      <w:r>
        <w:rPr>
          <w:i/>
          <w:color w:val="231F20"/>
          <w:spacing w:val="-6"/>
          <w:w w:val="85"/>
          <w:sz w:val="21"/>
        </w:rPr>
        <w:t> </w:t>
      </w:r>
      <w:r>
        <w:rPr>
          <w:i/>
          <w:color w:val="231F20"/>
          <w:w w:val="85"/>
          <w:sz w:val="21"/>
        </w:rPr>
        <w:t>estudiantes</w:t>
      </w:r>
      <w:r>
        <w:rPr>
          <w:i/>
          <w:color w:val="231F20"/>
          <w:spacing w:val="-6"/>
          <w:w w:val="85"/>
          <w:sz w:val="21"/>
        </w:rPr>
        <w:t> </w:t>
      </w:r>
      <w:r>
        <w:rPr>
          <w:i/>
          <w:color w:val="231F20"/>
          <w:w w:val="85"/>
          <w:sz w:val="21"/>
        </w:rPr>
        <w:t>y</w:t>
      </w:r>
      <w:r>
        <w:rPr>
          <w:i/>
          <w:color w:val="231F20"/>
          <w:spacing w:val="-6"/>
          <w:w w:val="85"/>
          <w:sz w:val="21"/>
        </w:rPr>
        <w:t> </w:t>
      </w:r>
      <w:r>
        <w:rPr>
          <w:i/>
          <w:color w:val="231F20"/>
          <w:w w:val="85"/>
          <w:sz w:val="21"/>
        </w:rPr>
        <w:t>la</w:t>
      </w:r>
      <w:r>
        <w:rPr>
          <w:i/>
          <w:color w:val="231F20"/>
          <w:spacing w:val="-6"/>
          <w:w w:val="85"/>
          <w:sz w:val="21"/>
        </w:rPr>
        <w:t> </w:t>
      </w:r>
      <w:r>
        <w:rPr>
          <w:i/>
          <w:color w:val="231F20"/>
          <w:w w:val="85"/>
          <w:sz w:val="21"/>
        </w:rPr>
        <w:t>teoría </w:t>
      </w:r>
      <w:r>
        <w:rPr>
          <w:i/>
          <w:color w:val="231F20"/>
          <w:w w:val="85"/>
          <w:sz w:val="21"/>
        </w:rPr>
        <w:t>de</w:t>
      </w:r>
      <w:r>
        <w:rPr>
          <w:i/>
          <w:color w:val="231F20"/>
          <w:spacing w:val="5"/>
          <w:w w:val="85"/>
          <w:sz w:val="21"/>
        </w:rPr>
        <w:t> </w:t>
      </w:r>
      <w:r>
        <w:rPr>
          <w:i/>
          <w:color w:val="231F20"/>
          <w:w w:val="85"/>
          <w:sz w:val="21"/>
        </w:rPr>
        <w:t>Weber</w:t>
      </w:r>
    </w:p>
    <w:p>
      <w:pPr>
        <w:pStyle w:val="BodyText"/>
        <w:spacing w:before="6"/>
        <w:rPr>
          <w:i/>
          <w:sz w:val="20"/>
        </w:rPr>
      </w:pPr>
    </w:p>
    <w:p>
      <w:pPr>
        <w:pStyle w:val="ListParagraph"/>
        <w:numPr>
          <w:ilvl w:val="4"/>
          <w:numId w:val="9"/>
        </w:numPr>
        <w:tabs>
          <w:tab w:pos="919" w:val="left" w:leader="none"/>
        </w:tabs>
        <w:spacing w:line="244" w:lineRule="auto" w:before="0" w:after="0"/>
        <w:ind w:left="102" w:right="115" w:firstLine="0"/>
        <w:jc w:val="both"/>
        <w:rPr>
          <w:sz w:val="21"/>
        </w:rPr>
      </w:pPr>
      <w:r>
        <w:rPr>
          <w:color w:val="231F20"/>
          <w:sz w:val="21"/>
        </w:rPr>
        <w:t>Lo dicho por los estudiantes entrevistados sobre la </w:t>
      </w:r>
      <w:r>
        <w:rPr>
          <w:i/>
          <w:color w:val="231F20"/>
          <w:sz w:val="21"/>
        </w:rPr>
        <w:t>edad, el </w:t>
      </w:r>
      <w:r>
        <w:rPr>
          <w:i/>
          <w:color w:val="231F20"/>
          <w:sz w:val="21"/>
        </w:rPr>
        <w:t>sexo</w:t>
      </w:r>
      <w:r>
        <w:rPr>
          <w:i/>
          <w:color w:val="231F20"/>
          <w:spacing w:val="-24"/>
          <w:sz w:val="21"/>
        </w:rPr>
        <w:t> </w:t>
      </w:r>
      <w:r>
        <w:rPr>
          <w:color w:val="231F20"/>
          <w:sz w:val="21"/>
        </w:rPr>
        <w:t>y</w:t>
      </w:r>
      <w:r>
        <w:rPr>
          <w:color w:val="231F20"/>
          <w:spacing w:val="-24"/>
          <w:sz w:val="21"/>
        </w:rPr>
        <w:t> </w:t>
      </w:r>
      <w:r>
        <w:rPr>
          <w:color w:val="231F20"/>
          <w:sz w:val="21"/>
        </w:rPr>
        <w:t>la</w:t>
      </w:r>
      <w:r>
        <w:rPr>
          <w:color w:val="231F20"/>
          <w:spacing w:val="-24"/>
          <w:sz w:val="21"/>
        </w:rPr>
        <w:t> </w:t>
      </w:r>
      <w:r>
        <w:rPr>
          <w:color w:val="231F20"/>
          <w:sz w:val="21"/>
        </w:rPr>
        <w:t>supuesta</w:t>
      </w:r>
      <w:r>
        <w:rPr>
          <w:color w:val="231F20"/>
          <w:spacing w:val="-24"/>
          <w:sz w:val="21"/>
        </w:rPr>
        <w:t> </w:t>
      </w:r>
      <w:r>
        <w:rPr>
          <w:i/>
          <w:color w:val="231F20"/>
          <w:sz w:val="21"/>
        </w:rPr>
        <w:t>inteligencia</w:t>
      </w:r>
      <w:r>
        <w:rPr>
          <w:i/>
          <w:color w:val="231F20"/>
          <w:spacing w:val="-24"/>
          <w:sz w:val="21"/>
        </w:rPr>
        <w:t> </w:t>
      </w:r>
      <w:r>
        <w:rPr>
          <w:color w:val="231F20"/>
          <w:sz w:val="21"/>
        </w:rPr>
        <w:t>sobresaliente</w:t>
      </w:r>
      <w:r>
        <w:rPr>
          <w:color w:val="231F20"/>
          <w:spacing w:val="-24"/>
          <w:sz w:val="21"/>
        </w:rPr>
        <w:t> </w:t>
      </w:r>
      <w:r>
        <w:rPr>
          <w:color w:val="231F20"/>
          <w:sz w:val="21"/>
        </w:rPr>
        <w:t>de</w:t>
      </w:r>
      <w:r>
        <w:rPr>
          <w:color w:val="231F20"/>
          <w:spacing w:val="-24"/>
          <w:sz w:val="21"/>
        </w:rPr>
        <w:t> </w:t>
      </w:r>
      <w:r>
        <w:rPr>
          <w:color w:val="231F20"/>
          <w:sz w:val="21"/>
        </w:rPr>
        <w:t>los</w:t>
      </w:r>
      <w:r>
        <w:rPr>
          <w:color w:val="231F20"/>
          <w:spacing w:val="-24"/>
          <w:sz w:val="21"/>
        </w:rPr>
        <w:t> </w:t>
      </w:r>
      <w:r>
        <w:rPr>
          <w:color w:val="231F20"/>
          <w:sz w:val="21"/>
        </w:rPr>
        <w:t>investigadores</w:t>
      </w:r>
      <w:r>
        <w:rPr>
          <w:color w:val="231F20"/>
          <w:spacing w:val="-24"/>
          <w:sz w:val="21"/>
        </w:rPr>
        <w:t> </w:t>
      </w:r>
      <w:r>
        <w:rPr>
          <w:color w:val="231F20"/>
          <w:sz w:val="21"/>
        </w:rPr>
        <w:t>no</w:t>
      </w:r>
      <w:r>
        <w:rPr>
          <w:color w:val="231F20"/>
          <w:spacing w:val="-24"/>
          <w:sz w:val="21"/>
        </w:rPr>
        <w:t> </w:t>
      </w:r>
      <w:r>
        <w:rPr>
          <w:color w:val="231F20"/>
          <w:sz w:val="21"/>
        </w:rPr>
        <w:t>es apegado a la realidad. Existen mujeres científicas. En educación,   por ejemplo, María Montesori, Alicia de Alba o Justa Ezpeleta. En  el Sistema Nacional de Investigadores sí hay investigadores jóvenes de ambos sexos. Incluso sobre la edad existen teorías que afirman que un joven está más en posibilidad de crear nuevas  teorías,  porque no tiene la contención que imponen las que predominan en  su momento. Un bello ejemplo es Alberto Einstein, a la edad de 26 años publicó su “teoría de la relatividad</w:t>
      </w:r>
      <w:r>
        <w:rPr>
          <w:color w:val="231F20"/>
          <w:spacing w:val="-11"/>
          <w:sz w:val="21"/>
        </w:rPr>
        <w:t> </w:t>
      </w:r>
      <w:r>
        <w:rPr>
          <w:color w:val="231F20"/>
          <w:sz w:val="21"/>
        </w:rPr>
        <w:t>restringida”.</w:t>
      </w:r>
    </w:p>
    <w:p>
      <w:pPr>
        <w:pStyle w:val="BodyText"/>
        <w:spacing w:before="6"/>
      </w:pPr>
    </w:p>
    <w:p>
      <w:pPr>
        <w:pStyle w:val="ListParagraph"/>
        <w:numPr>
          <w:ilvl w:val="3"/>
          <w:numId w:val="10"/>
        </w:numPr>
        <w:tabs>
          <w:tab w:pos="708" w:val="left" w:leader="none"/>
        </w:tabs>
        <w:spacing w:line="247" w:lineRule="auto" w:before="1" w:after="0"/>
        <w:ind w:left="102" w:right="115" w:firstLine="0"/>
        <w:jc w:val="both"/>
        <w:rPr>
          <w:sz w:val="21"/>
        </w:rPr>
      </w:pPr>
      <w:r>
        <w:rPr>
          <w:color w:val="231F20"/>
          <w:sz w:val="21"/>
        </w:rPr>
        <w:t>En efecto, científico y maestro como señalan los estudiantes  y Weber, son dos “funciones sociales” distintas. Es lamentable que, en el caso de los estudiantes entrevistados, no tuviesen maestros   que vivieran los dos roles. Es una pena porque no tuvieron la posibilidad de conocer a científicos, de carne y hueso, en un trato cotidiano.</w:t>
      </w:r>
    </w:p>
    <w:p>
      <w:pPr>
        <w:pStyle w:val="BodyText"/>
        <w:spacing w:before="4"/>
      </w:pPr>
    </w:p>
    <w:p>
      <w:pPr>
        <w:pStyle w:val="ListParagraph"/>
        <w:numPr>
          <w:ilvl w:val="4"/>
          <w:numId w:val="10"/>
        </w:numPr>
        <w:tabs>
          <w:tab w:pos="967" w:val="left" w:leader="none"/>
        </w:tabs>
        <w:spacing w:line="247" w:lineRule="auto" w:before="0" w:after="0"/>
        <w:ind w:left="102" w:right="115" w:firstLine="0"/>
        <w:jc w:val="both"/>
        <w:rPr>
          <w:color w:val="231F20"/>
          <w:sz w:val="21"/>
        </w:rPr>
      </w:pPr>
      <w:r>
        <w:rPr>
          <w:color w:val="231F20"/>
          <w:sz w:val="21"/>
        </w:rPr>
        <w:t>También es triste que no todos los profesores de los estudiantes vivieran el papel de investigador porque no mostraron    la </w:t>
      </w:r>
      <w:r>
        <w:rPr>
          <w:i/>
          <w:color w:val="231F20"/>
          <w:sz w:val="21"/>
        </w:rPr>
        <w:t>pasión, </w:t>
      </w:r>
      <w:r>
        <w:rPr>
          <w:color w:val="231F20"/>
          <w:sz w:val="21"/>
        </w:rPr>
        <w:t>ni el </w:t>
      </w:r>
      <w:r>
        <w:rPr>
          <w:i/>
          <w:color w:val="231F20"/>
          <w:sz w:val="21"/>
        </w:rPr>
        <w:t>frío cálculo </w:t>
      </w:r>
      <w:r>
        <w:rPr>
          <w:color w:val="231F20"/>
          <w:sz w:val="21"/>
        </w:rPr>
        <w:t>que son propios del científico. Porque tampoco les mostraron su producción  científica.</w:t>
      </w:r>
    </w:p>
    <w:p>
      <w:pPr>
        <w:spacing w:after="0" w:line="247" w:lineRule="auto"/>
        <w:jc w:val="both"/>
        <w:rPr>
          <w:sz w:val="21"/>
        </w:rPr>
        <w:sectPr>
          <w:headerReference w:type="default" r:id="rId395"/>
          <w:footerReference w:type="default" r:id="rId396"/>
          <w:pgSz w:w="7830" w:h="11910"/>
          <w:pgMar w:header="0" w:footer="424" w:top="500" w:bottom="620" w:left="920" w:right="900"/>
          <w:pgNumType w:start="18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rPr>
          <w:sz w:val="16"/>
        </w:rPr>
      </w:pPr>
    </w:p>
    <w:p>
      <w:pPr>
        <w:pStyle w:val="ListParagraph"/>
        <w:numPr>
          <w:ilvl w:val="4"/>
          <w:numId w:val="10"/>
        </w:numPr>
        <w:tabs>
          <w:tab w:pos="933" w:val="left" w:leader="none"/>
        </w:tabs>
        <w:spacing w:line="244" w:lineRule="auto" w:before="144" w:after="0"/>
        <w:ind w:left="102" w:right="115" w:firstLine="0"/>
        <w:jc w:val="both"/>
        <w:rPr>
          <w:color w:val="231F20"/>
          <w:sz w:val="21"/>
        </w:rPr>
      </w:pPr>
      <w:r>
        <w:rPr>
          <w:color w:val="231F20"/>
          <w:sz w:val="21"/>
        </w:rPr>
        <w:t>Es cierto, el científico forma parte de una aristocracia, </w:t>
      </w:r>
      <w:r>
        <w:rPr>
          <w:i/>
          <w:color w:val="231F20"/>
          <w:sz w:val="21"/>
        </w:rPr>
        <w:t>la </w:t>
      </w:r>
      <w:r>
        <w:rPr>
          <w:i/>
          <w:color w:val="231F20"/>
          <w:sz w:val="21"/>
        </w:rPr>
        <w:t>aristocracia intelectual</w:t>
      </w:r>
      <w:r>
        <w:rPr>
          <w:color w:val="231F20"/>
          <w:sz w:val="21"/>
        </w:rPr>
        <w:t>. El científico es soberbio porque quiere decir algo no dicho. Al mismo tiempo tiene la humildad de reconocer   que su producción científica es temporal, con</w:t>
      </w:r>
      <w:r>
        <w:rPr>
          <w:color w:val="231F20"/>
          <w:spacing w:val="26"/>
          <w:sz w:val="21"/>
        </w:rPr>
        <w:t> </w:t>
      </w:r>
      <w:r>
        <w:rPr>
          <w:color w:val="231F20"/>
          <w:sz w:val="21"/>
        </w:rPr>
        <w:t>caducidad.</w:t>
      </w:r>
    </w:p>
    <w:p>
      <w:pPr>
        <w:pStyle w:val="BodyText"/>
        <w:rPr>
          <w:sz w:val="22"/>
        </w:rPr>
      </w:pPr>
    </w:p>
    <w:p>
      <w:pPr>
        <w:pStyle w:val="ListParagraph"/>
        <w:numPr>
          <w:ilvl w:val="4"/>
          <w:numId w:val="10"/>
        </w:numPr>
        <w:tabs>
          <w:tab w:pos="880" w:val="left" w:leader="none"/>
        </w:tabs>
        <w:spacing w:line="244" w:lineRule="auto" w:before="0" w:after="0"/>
        <w:ind w:left="102" w:right="115" w:firstLine="0"/>
        <w:jc w:val="both"/>
        <w:rPr>
          <w:color w:val="231F20"/>
          <w:sz w:val="21"/>
        </w:rPr>
      </w:pPr>
      <w:r>
        <w:rPr>
          <w:color w:val="231F20"/>
          <w:sz w:val="21"/>
        </w:rPr>
        <w:t>Seguramente no todos los científicos son solitarios y sí viven dentro de comunidades científicas, familias y grupos de amigos. No es pues, totalmente, un trabajo solitario ni aburrido. Al menos muchos científicos viven como cualquier otro ser </w:t>
      </w:r>
      <w:r>
        <w:rPr>
          <w:color w:val="231F20"/>
          <w:spacing w:val="6"/>
          <w:sz w:val="21"/>
        </w:rPr>
        <w:t> </w:t>
      </w:r>
      <w:r>
        <w:rPr>
          <w:color w:val="231F20"/>
          <w:sz w:val="21"/>
        </w:rPr>
        <w:t>humano.</w:t>
      </w:r>
    </w:p>
    <w:p>
      <w:pPr>
        <w:pStyle w:val="BodyText"/>
        <w:spacing w:line="247" w:lineRule="auto" w:before="18"/>
        <w:ind w:left="101" w:right="118" w:firstLine="284"/>
        <w:jc w:val="both"/>
      </w:pPr>
      <w:r>
        <w:rPr>
          <w:color w:val="231F20"/>
          <w:spacing w:val="2"/>
        </w:rPr>
        <w:t>Solo añado </w:t>
      </w:r>
      <w:r>
        <w:rPr>
          <w:color w:val="231F20"/>
        </w:rPr>
        <w:t>un </w:t>
      </w:r>
      <w:r>
        <w:rPr>
          <w:color w:val="231F20"/>
          <w:spacing w:val="2"/>
        </w:rPr>
        <w:t>par </w:t>
      </w:r>
      <w:r>
        <w:rPr>
          <w:color w:val="231F20"/>
        </w:rPr>
        <w:t>de </w:t>
      </w:r>
      <w:r>
        <w:rPr>
          <w:color w:val="231F20"/>
          <w:spacing w:val="3"/>
        </w:rPr>
        <w:t>elementos </w:t>
      </w:r>
      <w:r>
        <w:rPr>
          <w:color w:val="231F20"/>
          <w:spacing w:val="2"/>
        </w:rPr>
        <w:t>que provienen </w:t>
      </w:r>
      <w:r>
        <w:rPr>
          <w:color w:val="231F20"/>
        </w:rPr>
        <w:t>de las </w:t>
      </w:r>
      <w:r>
        <w:rPr>
          <w:color w:val="231F20"/>
          <w:spacing w:val="2"/>
        </w:rPr>
        <w:t>teorías   </w:t>
      </w:r>
      <w:r>
        <w:rPr>
          <w:color w:val="231F20"/>
        </w:rPr>
        <w:t>de </w:t>
      </w:r>
      <w:r>
        <w:rPr>
          <w:color w:val="231F20"/>
          <w:spacing w:val="3"/>
        </w:rPr>
        <w:t>Bourdieu </w:t>
      </w:r>
      <w:r>
        <w:rPr>
          <w:color w:val="231F20"/>
        </w:rPr>
        <w:t>y de </w:t>
      </w:r>
      <w:r>
        <w:rPr>
          <w:color w:val="231F20"/>
          <w:spacing w:val="2"/>
        </w:rPr>
        <w:t>Moscovici. </w:t>
      </w:r>
      <w:r>
        <w:rPr>
          <w:color w:val="231F20"/>
        </w:rPr>
        <w:t>En el </w:t>
      </w:r>
      <w:r>
        <w:rPr>
          <w:color w:val="231F20"/>
          <w:spacing w:val="2"/>
        </w:rPr>
        <w:t>caso del primero habló </w:t>
      </w:r>
      <w:r>
        <w:rPr>
          <w:color w:val="231F20"/>
        </w:rPr>
        <w:t>de la </w:t>
      </w:r>
      <w:r>
        <w:rPr>
          <w:i/>
          <w:color w:val="231F20"/>
          <w:spacing w:val="2"/>
        </w:rPr>
        <w:t>illusio. </w:t>
      </w:r>
      <w:r>
        <w:rPr>
          <w:color w:val="231F20"/>
          <w:spacing w:val="2"/>
        </w:rPr>
        <w:t>No </w:t>
      </w:r>
      <w:r>
        <w:rPr>
          <w:color w:val="231F20"/>
        </w:rPr>
        <w:t>es </w:t>
      </w:r>
      <w:r>
        <w:rPr>
          <w:color w:val="231F20"/>
          <w:spacing w:val="2"/>
        </w:rPr>
        <w:t>solo ilusión, también </w:t>
      </w:r>
      <w:r>
        <w:rPr>
          <w:color w:val="231F20"/>
        </w:rPr>
        <w:t>es un </w:t>
      </w:r>
      <w:r>
        <w:rPr>
          <w:color w:val="231F20"/>
          <w:spacing w:val="2"/>
        </w:rPr>
        <w:t>impulso </w:t>
      </w:r>
      <w:r>
        <w:rPr>
          <w:color w:val="231F20"/>
        </w:rPr>
        <w:t>o </w:t>
      </w:r>
      <w:r>
        <w:rPr>
          <w:color w:val="231F20"/>
          <w:spacing w:val="2"/>
        </w:rPr>
        <w:t>resorte que</w:t>
      </w:r>
      <w:r>
        <w:rPr>
          <w:color w:val="231F20"/>
          <w:spacing w:val="56"/>
        </w:rPr>
        <w:t> </w:t>
      </w:r>
      <w:r>
        <w:rPr>
          <w:color w:val="231F20"/>
          <w:spacing w:val="2"/>
        </w:rPr>
        <w:t>mueve </w:t>
      </w:r>
      <w:r>
        <w:rPr>
          <w:color w:val="231F20"/>
        </w:rPr>
        <w:t>a la </w:t>
      </w:r>
      <w:r>
        <w:rPr>
          <w:color w:val="231F20"/>
          <w:spacing w:val="2"/>
        </w:rPr>
        <w:t>acción. </w:t>
      </w:r>
      <w:r>
        <w:rPr>
          <w:color w:val="231F20"/>
        </w:rPr>
        <w:t>Es </w:t>
      </w:r>
      <w:r>
        <w:rPr>
          <w:color w:val="231F20"/>
          <w:spacing w:val="2"/>
        </w:rPr>
        <w:t>inversión </w:t>
      </w:r>
      <w:r>
        <w:rPr>
          <w:color w:val="231F20"/>
        </w:rPr>
        <w:t>de </w:t>
      </w:r>
      <w:r>
        <w:rPr>
          <w:color w:val="231F20"/>
          <w:spacing w:val="2"/>
        </w:rPr>
        <w:t>energía para conseguir ciertos bienes</w:t>
      </w:r>
      <w:r>
        <w:rPr>
          <w:color w:val="231F20"/>
          <w:spacing w:val="-9"/>
        </w:rPr>
        <w:t> </w:t>
      </w:r>
      <w:r>
        <w:rPr>
          <w:color w:val="231F20"/>
          <w:spacing w:val="2"/>
        </w:rPr>
        <w:t>simbólicos.</w:t>
      </w:r>
    </w:p>
    <w:p>
      <w:pPr>
        <w:pStyle w:val="BodyText"/>
        <w:spacing w:line="249" w:lineRule="auto" w:before="1"/>
        <w:ind w:left="101" w:right="117" w:firstLine="284"/>
        <w:jc w:val="both"/>
      </w:pPr>
      <w:r>
        <w:rPr>
          <w:color w:val="231F20"/>
          <w:spacing w:val="3"/>
        </w:rPr>
        <w:t>Moscovici </w:t>
      </w:r>
      <w:r>
        <w:rPr>
          <w:color w:val="231F20"/>
          <w:spacing w:val="2"/>
        </w:rPr>
        <w:t>señaló que </w:t>
      </w:r>
      <w:r>
        <w:rPr>
          <w:color w:val="231F20"/>
        </w:rPr>
        <w:t>la </w:t>
      </w:r>
      <w:r>
        <w:rPr>
          <w:color w:val="231F20"/>
          <w:spacing w:val="2"/>
        </w:rPr>
        <w:t>representación social tiene </w:t>
      </w:r>
      <w:r>
        <w:rPr>
          <w:color w:val="231F20"/>
        </w:rPr>
        <w:t>la </w:t>
      </w:r>
      <w:r>
        <w:rPr>
          <w:color w:val="231F20"/>
          <w:spacing w:val="2"/>
        </w:rPr>
        <w:t>función </w:t>
      </w:r>
      <w:r>
        <w:rPr>
          <w:color w:val="231F20"/>
        </w:rPr>
        <w:t>de </w:t>
      </w:r>
      <w:r>
        <w:rPr>
          <w:color w:val="231F20"/>
          <w:spacing w:val="2"/>
        </w:rPr>
        <w:t>propiciar </w:t>
      </w:r>
      <w:r>
        <w:rPr>
          <w:color w:val="231F20"/>
        </w:rPr>
        <w:t>la </w:t>
      </w:r>
      <w:r>
        <w:rPr>
          <w:color w:val="231F20"/>
          <w:spacing w:val="3"/>
        </w:rPr>
        <w:t>toma </w:t>
      </w:r>
      <w:r>
        <w:rPr>
          <w:color w:val="231F20"/>
        </w:rPr>
        <w:t>de </w:t>
      </w:r>
      <w:r>
        <w:rPr>
          <w:color w:val="231F20"/>
          <w:spacing w:val="3"/>
        </w:rPr>
        <w:t>postura </w:t>
      </w:r>
      <w:r>
        <w:rPr>
          <w:color w:val="231F20"/>
          <w:spacing w:val="2"/>
        </w:rPr>
        <w:t>ante una realidad. Los estudiantes entrevistados, </w:t>
      </w:r>
      <w:r>
        <w:rPr>
          <w:color w:val="231F20"/>
        </w:rPr>
        <w:t>en su </w:t>
      </w:r>
      <w:r>
        <w:rPr>
          <w:color w:val="231F20"/>
          <w:spacing w:val="2"/>
        </w:rPr>
        <w:t>mayoría, </w:t>
      </w:r>
      <w:r>
        <w:rPr>
          <w:color w:val="231F20"/>
        </w:rPr>
        <w:t>no </w:t>
      </w:r>
      <w:r>
        <w:rPr>
          <w:color w:val="231F20"/>
          <w:spacing w:val="2"/>
        </w:rPr>
        <w:t>desearon invertir energía </w:t>
      </w:r>
      <w:r>
        <w:rPr>
          <w:color w:val="231F20"/>
        </w:rPr>
        <w:t>en </w:t>
      </w:r>
      <w:r>
        <w:rPr>
          <w:color w:val="231F20"/>
          <w:spacing w:val="3"/>
        </w:rPr>
        <w:t>formarse como </w:t>
      </w:r>
      <w:r>
        <w:rPr>
          <w:color w:val="231F20"/>
          <w:spacing w:val="2"/>
        </w:rPr>
        <w:t>científicos. No vieron deseable </w:t>
      </w:r>
      <w:r>
        <w:rPr>
          <w:color w:val="231F20"/>
        </w:rPr>
        <w:t>ser </w:t>
      </w:r>
      <w:r>
        <w:rPr>
          <w:color w:val="231F20"/>
          <w:spacing w:val="2"/>
        </w:rPr>
        <w:t>científico. Los juicios que </w:t>
      </w:r>
      <w:r>
        <w:rPr>
          <w:color w:val="231F20"/>
          <w:spacing w:val="3"/>
        </w:rPr>
        <w:t>expresaron, </w:t>
      </w:r>
      <w:r>
        <w:rPr>
          <w:color w:val="231F20"/>
          <w:spacing w:val="2"/>
        </w:rPr>
        <w:t>casi </w:t>
      </w:r>
      <w:r>
        <w:rPr>
          <w:color w:val="231F20"/>
          <w:spacing w:val="3"/>
        </w:rPr>
        <w:t>todos, desdeñaron </w:t>
      </w:r>
      <w:r>
        <w:rPr>
          <w:color w:val="231F20"/>
        </w:rPr>
        <w:t>al </w:t>
      </w:r>
      <w:r>
        <w:rPr>
          <w:color w:val="231F20"/>
          <w:spacing w:val="2"/>
        </w:rPr>
        <w:t>científico. Sus palabras objetivaron </w:t>
      </w:r>
      <w:r>
        <w:rPr>
          <w:color w:val="231F20"/>
        </w:rPr>
        <w:t>su </w:t>
      </w:r>
      <w:r>
        <w:rPr>
          <w:color w:val="231F20"/>
          <w:spacing w:val="2"/>
        </w:rPr>
        <w:t>posición social, </w:t>
      </w:r>
      <w:r>
        <w:rPr>
          <w:color w:val="231F20"/>
        </w:rPr>
        <w:t>su </w:t>
      </w:r>
      <w:r>
        <w:rPr>
          <w:color w:val="231F20"/>
          <w:spacing w:val="2"/>
        </w:rPr>
        <w:t>postura </w:t>
      </w:r>
      <w:r>
        <w:rPr>
          <w:color w:val="231F20"/>
        </w:rPr>
        <w:t>fue no </w:t>
      </w:r>
      <w:r>
        <w:rPr>
          <w:color w:val="231F20"/>
          <w:spacing w:val="2"/>
        </w:rPr>
        <w:t>quiero  </w:t>
      </w:r>
      <w:r>
        <w:rPr>
          <w:color w:val="231F20"/>
        </w:rPr>
        <w:t>ser </w:t>
      </w:r>
      <w:r>
        <w:rPr>
          <w:color w:val="231F20"/>
          <w:spacing w:val="2"/>
        </w:rPr>
        <w:t>científico. </w:t>
      </w:r>
      <w:r>
        <w:rPr>
          <w:color w:val="231F20"/>
        </w:rPr>
        <w:t>Sí les </w:t>
      </w:r>
      <w:r>
        <w:rPr>
          <w:color w:val="231F20"/>
          <w:spacing w:val="2"/>
        </w:rPr>
        <w:t>agradó </w:t>
      </w:r>
      <w:r>
        <w:rPr>
          <w:color w:val="231F20"/>
        </w:rPr>
        <w:t>la </w:t>
      </w:r>
      <w:r>
        <w:rPr>
          <w:color w:val="231F20"/>
          <w:spacing w:val="2"/>
        </w:rPr>
        <w:t>idea </w:t>
      </w:r>
      <w:r>
        <w:rPr>
          <w:color w:val="231F20"/>
        </w:rPr>
        <w:t>de ser un </w:t>
      </w:r>
      <w:r>
        <w:rPr>
          <w:color w:val="231F20"/>
          <w:spacing w:val="3"/>
        </w:rPr>
        <w:t>profesional </w:t>
      </w:r>
      <w:r>
        <w:rPr>
          <w:color w:val="231F20"/>
        </w:rPr>
        <w:t>de un </w:t>
      </w:r>
      <w:r>
        <w:rPr>
          <w:color w:val="231F20"/>
          <w:spacing w:val="3"/>
        </w:rPr>
        <w:t>campo, </w:t>
      </w:r>
      <w:r>
        <w:rPr>
          <w:color w:val="231F20"/>
          <w:spacing w:val="2"/>
        </w:rPr>
        <w:t>por ejemplo, </w:t>
      </w:r>
      <w:r>
        <w:rPr>
          <w:color w:val="231F20"/>
        </w:rPr>
        <w:t>de la </w:t>
      </w:r>
      <w:r>
        <w:rPr>
          <w:color w:val="231F20"/>
          <w:spacing w:val="3"/>
        </w:rPr>
        <w:t>educación. </w:t>
      </w:r>
      <w:r>
        <w:rPr>
          <w:color w:val="231F20"/>
        </w:rPr>
        <w:t>No les  </w:t>
      </w:r>
      <w:r>
        <w:rPr>
          <w:color w:val="231F20"/>
          <w:spacing w:val="2"/>
        </w:rPr>
        <w:t>interesó  </w:t>
      </w:r>
      <w:r>
        <w:rPr>
          <w:color w:val="231F20"/>
          <w:spacing w:val="3"/>
        </w:rPr>
        <w:t>apropiarse </w:t>
      </w:r>
      <w:r>
        <w:rPr>
          <w:color w:val="231F20"/>
        </w:rPr>
        <w:t>de las </w:t>
      </w:r>
      <w:r>
        <w:rPr>
          <w:color w:val="231F20"/>
          <w:spacing w:val="3"/>
        </w:rPr>
        <w:t>formas </w:t>
      </w:r>
      <w:r>
        <w:rPr>
          <w:color w:val="231F20"/>
        </w:rPr>
        <w:t>de ser de </w:t>
      </w:r>
      <w:r>
        <w:rPr>
          <w:color w:val="231F20"/>
          <w:spacing w:val="2"/>
        </w:rPr>
        <w:t>carácter científico. No desearon </w:t>
      </w:r>
      <w:r>
        <w:rPr>
          <w:color w:val="231F20"/>
          <w:spacing w:val="3"/>
        </w:rPr>
        <w:t>producir </w:t>
      </w:r>
      <w:r>
        <w:rPr>
          <w:color w:val="231F20"/>
          <w:spacing w:val="2"/>
        </w:rPr>
        <w:t>ciencia. No </w:t>
      </w:r>
      <w:r>
        <w:rPr>
          <w:color w:val="231F20"/>
        </w:rPr>
        <w:t>se </w:t>
      </w:r>
      <w:r>
        <w:rPr>
          <w:color w:val="231F20"/>
          <w:spacing w:val="2"/>
        </w:rPr>
        <w:t>identificaron con </w:t>
      </w:r>
      <w:r>
        <w:rPr>
          <w:color w:val="231F20"/>
        </w:rPr>
        <w:t>la </w:t>
      </w:r>
      <w:r>
        <w:rPr>
          <w:color w:val="231F20"/>
          <w:spacing w:val="3"/>
        </w:rPr>
        <w:t>producción, </w:t>
      </w:r>
      <w:r>
        <w:rPr>
          <w:color w:val="231F20"/>
        </w:rPr>
        <w:t>sí </w:t>
      </w:r>
      <w:r>
        <w:rPr>
          <w:color w:val="231F20"/>
          <w:spacing w:val="2"/>
        </w:rPr>
        <w:t>con </w:t>
      </w:r>
      <w:r>
        <w:rPr>
          <w:color w:val="231F20"/>
        </w:rPr>
        <w:t>el </w:t>
      </w:r>
      <w:r>
        <w:rPr>
          <w:color w:val="231F20"/>
          <w:spacing w:val="3"/>
        </w:rPr>
        <w:t>consumo </w:t>
      </w:r>
      <w:r>
        <w:rPr>
          <w:color w:val="231F20"/>
        </w:rPr>
        <w:t>de la</w:t>
      </w:r>
      <w:r>
        <w:rPr>
          <w:color w:val="231F20"/>
          <w:spacing w:val="-23"/>
        </w:rPr>
        <w:t> </w:t>
      </w:r>
      <w:r>
        <w:rPr>
          <w:color w:val="231F20"/>
          <w:spacing w:val="2"/>
        </w:rPr>
        <w:t>ciencia.</w:t>
      </w:r>
    </w:p>
    <w:p>
      <w:pPr>
        <w:pStyle w:val="BodyText"/>
        <w:spacing w:line="249" w:lineRule="auto"/>
        <w:ind w:left="101" w:right="117" w:firstLine="284"/>
        <w:jc w:val="both"/>
      </w:pPr>
      <w:r>
        <w:rPr>
          <w:color w:val="231F20"/>
        </w:rPr>
        <w:t>Otra función de la representación social es volver visible lo invisible y volver natural lo que es extraño. La mayoría de los estudiantes no conocen científicos ni su campo de la investigación. No obstante, su valoración de ese rol y campo es negativa. Lo es de esa forma por los actos comunicativos en los que los estudiantes formaron su representación social del investigador.</w:t>
      </w:r>
    </w:p>
    <w:p>
      <w:pPr>
        <w:pStyle w:val="BodyText"/>
        <w:spacing w:line="247" w:lineRule="auto"/>
        <w:ind w:left="101" w:right="116" w:firstLine="284"/>
        <w:jc w:val="both"/>
      </w:pPr>
      <w:r>
        <w:rPr>
          <w:color w:val="231F20"/>
        </w:rPr>
        <w:t>Es </w:t>
      </w:r>
      <w:r>
        <w:rPr>
          <w:color w:val="231F20"/>
          <w:spacing w:val="2"/>
        </w:rPr>
        <w:t>aventurado decir que, </w:t>
      </w:r>
      <w:r>
        <w:rPr>
          <w:color w:val="231F20"/>
        </w:rPr>
        <w:t>en </w:t>
      </w:r>
      <w:r>
        <w:rPr>
          <w:color w:val="231F20"/>
          <w:spacing w:val="2"/>
        </w:rPr>
        <w:t>general, </w:t>
      </w:r>
      <w:r>
        <w:rPr>
          <w:color w:val="231F20"/>
        </w:rPr>
        <w:t>en </w:t>
      </w:r>
      <w:r>
        <w:rPr>
          <w:color w:val="231F20"/>
          <w:spacing w:val="2"/>
        </w:rPr>
        <w:t>nuestra sociedad, </w:t>
      </w:r>
      <w:r>
        <w:rPr>
          <w:color w:val="231F20"/>
          <w:spacing w:val="4"/>
        </w:rPr>
        <w:t>no  </w:t>
      </w:r>
      <w:r>
        <w:rPr>
          <w:color w:val="231F20"/>
          <w:spacing w:val="2"/>
        </w:rPr>
        <w:t>hay una actitud positiva hacia </w:t>
      </w:r>
      <w:r>
        <w:rPr>
          <w:color w:val="231F20"/>
        </w:rPr>
        <w:t>el </w:t>
      </w:r>
      <w:r>
        <w:rPr>
          <w:color w:val="231F20"/>
          <w:spacing w:val="2"/>
        </w:rPr>
        <w:t>papel </w:t>
      </w:r>
      <w:r>
        <w:rPr>
          <w:color w:val="231F20"/>
        </w:rPr>
        <w:t>de </w:t>
      </w:r>
      <w:r>
        <w:rPr>
          <w:color w:val="231F20"/>
          <w:spacing w:val="2"/>
        </w:rPr>
        <w:t>científico. </w:t>
      </w:r>
      <w:r>
        <w:rPr>
          <w:color w:val="231F20"/>
        </w:rPr>
        <w:t>Al </w:t>
      </w:r>
      <w:r>
        <w:rPr>
          <w:color w:val="231F20"/>
          <w:spacing w:val="3"/>
        </w:rPr>
        <w:t>menos </w:t>
      </w:r>
      <w:r>
        <w:rPr>
          <w:color w:val="231F20"/>
        </w:rPr>
        <w:t>sí es </w:t>
      </w:r>
      <w:r>
        <w:rPr>
          <w:color w:val="231F20"/>
          <w:spacing w:val="2"/>
        </w:rPr>
        <w:t>factible </w:t>
      </w:r>
      <w:r>
        <w:rPr>
          <w:color w:val="231F20"/>
          <w:spacing w:val="3"/>
        </w:rPr>
        <w:t>suponer </w:t>
      </w:r>
      <w:r>
        <w:rPr>
          <w:color w:val="231F20"/>
        </w:rPr>
        <w:t>que </w:t>
      </w:r>
      <w:r>
        <w:rPr>
          <w:color w:val="231F20"/>
          <w:spacing w:val="2"/>
        </w:rPr>
        <w:t>los círculos sociales </w:t>
      </w:r>
      <w:r>
        <w:rPr>
          <w:color w:val="231F20"/>
        </w:rPr>
        <w:t>y </w:t>
      </w:r>
      <w:r>
        <w:rPr>
          <w:color w:val="231F20"/>
          <w:spacing w:val="2"/>
        </w:rPr>
        <w:t>familiares, </w:t>
      </w:r>
      <w:r>
        <w:rPr>
          <w:color w:val="231F20"/>
          <w:spacing w:val="3"/>
        </w:rPr>
        <w:t>donde </w:t>
      </w:r>
      <w:r>
        <w:rPr>
          <w:color w:val="231F20"/>
          <w:spacing w:val="2"/>
        </w:rPr>
        <w:t>los entrevistados gestaron </w:t>
      </w:r>
      <w:r>
        <w:rPr>
          <w:color w:val="231F20"/>
        </w:rPr>
        <w:t>su </w:t>
      </w:r>
      <w:r>
        <w:rPr>
          <w:color w:val="231F20"/>
          <w:spacing w:val="2"/>
        </w:rPr>
        <w:t>representación social del científico, </w:t>
      </w:r>
      <w:r>
        <w:rPr>
          <w:color w:val="231F20"/>
        </w:rPr>
        <w:t>no </w:t>
      </w:r>
      <w:r>
        <w:rPr>
          <w:color w:val="231F20"/>
          <w:spacing w:val="2"/>
        </w:rPr>
        <w:t>vivieron actos </w:t>
      </w:r>
      <w:r>
        <w:rPr>
          <w:color w:val="231F20"/>
          <w:spacing w:val="3"/>
        </w:rPr>
        <w:t>comunicativos </w:t>
      </w:r>
      <w:r>
        <w:rPr>
          <w:color w:val="231F20"/>
        </w:rPr>
        <w:t>que </w:t>
      </w:r>
      <w:r>
        <w:rPr>
          <w:color w:val="231F20"/>
          <w:spacing w:val="2"/>
        </w:rPr>
        <w:t>propiciaran una valoración positiva, una actitud favorable para </w:t>
      </w:r>
      <w:r>
        <w:rPr>
          <w:color w:val="231F20"/>
        </w:rPr>
        <w:t>el </w:t>
      </w:r>
      <w:r>
        <w:rPr>
          <w:color w:val="231F20"/>
          <w:spacing w:val="2"/>
        </w:rPr>
        <w:t>rol</w:t>
      </w:r>
      <w:r>
        <w:rPr>
          <w:color w:val="231F20"/>
          <w:spacing w:val="-11"/>
        </w:rPr>
        <w:t> </w:t>
      </w:r>
      <w:r>
        <w:rPr>
          <w:color w:val="231F20"/>
          <w:spacing w:val="2"/>
        </w:rPr>
        <w:t>científico.</w:t>
      </w:r>
    </w:p>
    <w:p>
      <w:pPr>
        <w:spacing w:after="0" w:line="247" w:lineRule="auto"/>
        <w:jc w:val="both"/>
        <w:sectPr>
          <w:headerReference w:type="default" r:id="rId397"/>
          <w:footerReference w:type="default" r:id="rId398"/>
          <w:pgSz w:w="7830" w:h="11910"/>
          <w:pgMar w:header="0" w:footer="424" w:top="500" w:bottom="620" w:left="920" w:right="900"/>
          <w:pgNumType w:start="18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2" w:lineRule="auto" w:before="92"/>
        <w:ind w:left="102" w:right="117" w:firstLine="284"/>
        <w:jc w:val="both"/>
      </w:pPr>
      <w:r>
        <w:rPr>
          <w:color w:val="231F20"/>
        </w:rPr>
        <w:t>Otros roles sociales sí que son aplaudidos,por ejemplo, el del Chicharito. La representación es social, precisamente, porque se conforma en una relación social comunicativa. En el caso del futbolista mexicano, Televisa y Tv Azteca contribuyen enormemente para que la representación social</w:t>
      </w:r>
      <w:r>
        <w:rPr>
          <w:rFonts w:ascii="Palatino Linotype" w:hAnsi="Palatino Linotype"/>
          <w:i/>
          <w:color w:val="231F20"/>
        </w:rPr>
        <w:t>futbolista</w:t>
      </w:r>
      <w:r>
        <w:rPr>
          <w:color w:val="231F20"/>
        </w:rPr>
        <w:t>sea equivalente a éxito, fama, dinero y estatus social,quese recreará en no pocos mexicanos.</w:t>
      </w:r>
    </w:p>
    <w:p>
      <w:pPr>
        <w:pStyle w:val="BodyText"/>
        <w:spacing w:line="247" w:lineRule="auto" w:before="6"/>
        <w:ind w:left="102" w:right="116" w:firstLine="284"/>
        <w:jc w:val="both"/>
      </w:pPr>
      <w:r>
        <w:rPr>
          <w:color w:val="231F20"/>
        </w:rPr>
        <w:t>El </w:t>
      </w:r>
      <w:r>
        <w:rPr>
          <w:color w:val="231F20"/>
          <w:spacing w:val="2"/>
        </w:rPr>
        <w:t>contexto comunicativo </w:t>
      </w:r>
      <w:r>
        <w:rPr>
          <w:color w:val="231F20"/>
        </w:rPr>
        <w:t>de </w:t>
      </w:r>
      <w:r>
        <w:rPr>
          <w:color w:val="231F20"/>
          <w:spacing w:val="2"/>
        </w:rPr>
        <w:t>los estudiantes </w:t>
      </w:r>
      <w:r>
        <w:rPr>
          <w:color w:val="231F20"/>
        </w:rPr>
        <w:t>no </w:t>
      </w:r>
      <w:r>
        <w:rPr>
          <w:color w:val="231F20"/>
          <w:spacing w:val="2"/>
        </w:rPr>
        <w:t>favoreció  </w:t>
      </w:r>
      <w:r>
        <w:rPr>
          <w:color w:val="231F20"/>
        </w:rPr>
        <w:t>a </w:t>
      </w:r>
      <w:r>
        <w:rPr>
          <w:color w:val="231F20"/>
          <w:spacing w:val="2"/>
        </w:rPr>
        <w:t>crear una </w:t>
      </w:r>
      <w:r>
        <w:rPr>
          <w:color w:val="231F20"/>
          <w:spacing w:val="3"/>
        </w:rPr>
        <w:t>representación </w:t>
      </w:r>
      <w:r>
        <w:rPr>
          <w:color w:val="231F20"/>
          <w:spacing w:val="2"/>
        </w:rPr>
        <w:t>social que advirtiera </w:t>
      </w:r>
      <w:r>
        <w:rPr>
          <w:color w:val="231F20"/>
        </w:rPr>
        <w:t>al </w:t>
      </w:r>
      <w:r>
        <w:rPr>
          <w:color w:val="231F20"/>
          <w:spacing w:val="2"/>
        </w:rPr>
        <w:t>científico </w:t>
      </w:r>
      <w:r>
        <w:rPr>
          <w:color w:val="231F20"/>
        </w:rPr>
        <w:t>de  </w:t>
      </w:r>
      <w:r>
        <w:rPr>
          <w:color w:val="231F20"/>
          <w:spacing w:val="3"/>
        </w:rPr>
        <w:t>forma </w:t>
      </w:r>
      <w:r>
        <w:rPr>
          <w:color w:val="231F20"/>
          <w:spacing w:val="2"/>
        </w:rPr>
        <w:t>positiva, deseable. Los estudiantes, </w:t>
      </w:r>
      <w:r>
        <w:rPr>
          <w:color w:val="231F20"/>
        </w:rPr>
        <w:t>al </w:t>
      </w:r>
      <w:r>
        <w:rPr>
          <w:color w:val="231F20"/>
          <w:spacing w:val="2"/>
        </w:rPr>
        <w:t>recrear una </w:t>
      </w:r>
      <w:r>
        <w:rPr>
          <w:color w:val="231F20"/>
          <w:spacing w:val="3"/>
        </w:rPr>
        <w:t>representación </w:t>
      </w:r>
      <w:r>
        <w:rPr>
          <w:color w:val="231F20"/>
          <w:spacing w:val="2"/>
        </w:rPr>
        <w:t>social, siguieron una </w:t>
      </w:r>
      <w:r>
        <w:rPr>
          <w:color w:val="231F20"/>
        </w:rPr>
        <w:t>de sus </w:t>
      </w:r>
      <w:r>
        <w:rPr>
          <w:color w:val="231F20"/>
          <w:spacing w:val="3"/>
        </w:rPr>
        <w:t>funciones: </w:t>
      </w:r>
      <w:r>
        <w:rPr>
          <w:color w:val="231F20"/>
          <w:spacing w:val="2"/>
        </w:rPr>
        <w:t>descontextualizar </w:t>
      </w:r>
      <w:r>
        <w:rPr>
          <w:color w:val="231F20"/>
        </w:rPr>
        <w:t>y </w:t>
      </w:r>
      <w:r>
        <w:rPr>
          <w:color w:val="231F20"/>
          <w:spacing w:val="2"/>
        </w:rPr>
        <w:t>abstraer </w:t>
      </w:r>
      <w:r>
        <w:rPr>
          <w:color w:val="231F20"/>
        </w:rPr>
        <w:t>al </w:t>
      </w:r>
      <w:r>
        <w:rPr>
          <w:color w:val="231F20"/>
          <w:spacing w:val="2"/>
        </w:rPr>
        <w:t>científico. Valoraron que </w:t>
      </w:r>
      <w:r>
        <w:rPr>
          <w:color w:val="231F20"/>
        </w:rPr>
        <w:t>el </w:t>
      </w:r>
      <w:r>
        <w:rPr>
          <w:color w:val="231F20"/>
          <w:spacing w:val="2"/>
        </w:rPr>
        <w:t>científico, bajo cualquier circunstancia </w:t>
      </w:r>
      <w:r>
        <w:rPr>
          <w:color w:val="231F20"/>
        </w:rPr>
        <w:t>y en </w:t>
      </w:r>
      <w:r>
        <w:rPr>
          <w:color w:val="231F20"/>
          <w:spacing w:val="2"/>
        </w:rPr>
        <w:t>cualquier </w:t>
      </w:r>
      <w:r>
        <w:rPr>
          <w:color w:val="231F20"/>
          <w:spacing w:val="3"/>
        </w:rPr>
        <w:t>momento, </w:t>
      </w:r>
      <w:r>
        <w:rPr>
          <w:color w:val="231F20"/>
        </w:rPr>
        <w:t>es </w:t>
      </w:r>
      <w:r>
        <w:rPr>
          <w:color w:val="231F20"/>
          <w:spacing w:val="2"/>
        </w:rPr>
        <w:t>aburrido </w:t>
      </w:r>
      <w:r>
        <w:rPr>
          <w:color w:val="231F20"/>
        </w:rPr>
        <w:t>o </w:t>
      </w:r>
      <w:r>
        <w:rPr>
          <w:color w:val="231F20"/>
          <w:spacing w:val="2"/>
        </w:rPr>
        <w:t>solitario, por ejemplo. </w:t>
      </w:r>
      <w:r>
        <w:rPr>
          <w:color w:val="231F20"/>
        </w:rPr>
        <w:t>Lo </w:t>
      </w:r>
      <w:r>
        <w:rPr>
          <w:color w:val="231F20"/>
          <w:spacing w:val="2"/>
        </w:rPr>
        <w:t>extraño </w:t>
      </w:r>
      <w:r>
        <w:rPr>
          <w:color w:val="231F20"/>
        </w:rPr>
        <w:t>es </w:t>
      </w:r>
      <w:r>
        <w:rPr>
          <w:color w:val="231F20"/>
          <w:spacing w:val="2"/>
        </w:rPr>
        <w:t>que </w:t>
      </w:r>
      <w:r>
        <w:rPr>
          <w:color w:val="231F20"/>
        </w:rPr>
        <w:t>un </w:t>
      </w:r>
      <w:r>
        <w:rPr>
          <w:color w:val="231F20"/>
          <w:spacing w:val="2"/>
        </w:rPr>
        <w:t>científico para los estudiantes entrevistados, </w:t>
      </w:r>
      <w:r>
        <w:rPr>
          <w:color w:val="231F20"/>
        </w:rPr>
        <w:t>lo </w:t>
      </w:r>
      <w:r>
        <w:rPr>
          <w:color w:val="231F20"/>
          <w:spacing w:val="2"/>
        </w:rPr>
        <w:t>convirtieron </w:t>
      </w:r>
      <w:r>
        <w:rPr>
          <w:color w:val="231F20"/>
        </w:rPr>
        <w:t>en algo </w:t>
      </w:r>
      <w:r>
        <w:rPr>
          <w:color w:val="231F20"/>
          <w:spacing w:val="2"/>
        </w:rPr>
        <w:t>natural, evidente </w:t>
      </w:r>
      <w:r>
        <w:rPr>
          <w:color w:val="231F20"/>
        </w:rPr>
        <w:t>u </w:t>
      </w:r>
      <w:r>
        <w:rPr>
          <w:color w:val="231F20"/>
          <w:spacing w:val="2"/>
        </w:rPr>
        <w:t>obvio: </w:t>
      </w:r>
      <w:r>
        <w:rPr>
          <w:color w:val="231F20"/>
        </w:rPr>
        <w:t>a </w:t>
      </w:r>
      <w:r>
        <w:rPr>
          <w:color w:val="231F20"/>
          <w:spacing w:val="2"/>
        </w:rPr>
        <w:t>todo científico solo </w:t>
      </w:r>
      <w:r>
        <w:rPr>
          <w:color w:val="231F20"/>
        </w:rPr>
        <w:t>le </w:t>
      </w:r>
      <w:r>
        <w:rPr>
          <w:color w:val="231F20"/>
          <w:spacing w:val="2"/>
        </w:rPr>
        <w:t>interesa </w:t>
      </w:r>
      <w:r>
        <w:rPr>
          <w:color w:val="231F20"/>
        </w:rPr>
        <w:t>la</w:t>
      </w:r>
      <w:r>
        <w:rPr>
          <w:color w:val="231F20"/>
          <w:spacing w:val="-1"/>
        </w:rPr>
        <w:t> </w:t>
      </w:r>
      <w:r>
        <w:rPr>
          <w:color w:val="231F20"/>
          <w:spacing w:val="2"/>
        </w:rPr>
        <w:t>ciencia.</w:t>
      </w:r>
    </w:p>
    <w:p>
      <w:pPr>
        <w:pStyle w:val="BodyText"/>
        <w:spacing w:line="249" w:lineRule="auto" w:before="1"/>
        <w:ind w:left="102" w:right="115" w:firstLine="284"/>
        <w:jc w:val="both"/>
      </w:pPr>
      <w:r>
        <w:rPr>
          <w:color w:val="231F20"/>
        </w:rPr>
        <w:t>Las palabras dichas por los entrevistados no solo son emisiones de aire. Más bien, son elementos que crean realidades. La realidad creada y recreada en las entrevistas deja ver que será difícil que alguno de ellos contribuya con su esfuerzo a la producción de  ciencia. Acaso no debiera extrañar en estudiantes de educación básica o de preparatoria, una actitud negativa al rol de científico. Quizá en licenciatura no debiera mantenerse  la  representación  social que aleja a jóvenes del mundo de la ciencia, representación que no permitió identificarse con el papel del científico.</w:t>
      </w:r>
    </w:p>
    <w:p>
      <w:pPr>
        <w:pStyle w:val="BodyText"/>
        <w:spacing w:line="249" w:lineRule="auto"/>
        <w:ind w:left="102" w:right="118" w:firstLine="284"/>
        <w:jc w:val="both"/>
      </w:pPr>
      <w:r>
        <w:rPr>
          <w:color w:val="231F20"/>
        </w:rPr>
        <w:t>Si </w:t>
      </w:r>
      <w:r>
        <w:rPr>
          <w:color w:val="231F20"/>
          <w:spacing w:val="2"/>
        </w:rPr>
        <w:t>alguien está interesado, por ejemplo, </w:t>
      </w:r>
      <w:r>
        <w:rPr>
          <w:color w:val="231F20"/>
        </w:rPr>
        <w:t>en </w:t>
      </w:r>
      <w:r>
        <w:rPr>
          <w:color w:val="231F20"/>
          <w:spacing w:val="2"/>
        </w:rPr>
        <w:t>crear </w:t>
      </w:r>
      <w:r>
        <w:rPr>
          <w:color w:val="231F20"/>
        </w:rPr>
        <w:t>en el  </w:t>
      </w:r>
      <w:r>
        <w:rPr>
          <w:color w:val="231F20"/>
          <w:spacing w:val="2"/>
        </w:rPr>
        <w:t>estudiante </w:t>
      </w:r>
      <w:r>
        <w:rPr>
          <w:color w:val="231F20"/>
        </w:rPr>
        <w:t>el </w:t>
      </w:r>
      <w:r>
        <w:rPr>
          <w:color w:val="231F20"/>
          <w:spacing w:val="2"/>
        </w:rPr>
        <w:t>apego, </w:t>
      </w:r>
      <w:r>
        <w:rPr>
          <w:color w:val="231F20"/>
        </w:rPr>
        <w:t>el </w:t>
      </w:r>
      <w:r>
        <w:rPr>
          <w:color w:val="231F20"/>
          <w:spacing w:val="2"/>
        </w:rPr>
        <w:t>gusto, </w:t>
      </w:r>
      <w:r>
        <w:rPr>
          <w:color w:val="231F20"/>
        </w:rPr>
        <w:t>la </w:t>
      </w:r>
      <w:r>
        <w:rPr>
          <w:color w:val="231F20"/>
          <w:spacing w:val="2"/>
        </w:rPr>
        <w:t>valoración positiva, para </w:t>
      </w:r>
      <w:r>
        <w:rPr>
          <w:color w:val="231F20"/>
        </w:rPr>
        <w:t>el </w:t>
      </w:r>
      <w:r>
        <w:rPr>
          <w:color w:val="231F20"/>
          <w:spacing w:val="2"/>
        </w:rPr>
        <w:t>rol </w:t>
      </w:r>
      <w:r>
        <w:rPr>
          <w:color w:val="231F20"/>
        </w:rPr>
        <w:t>de </w:t>
      </w:r>
      <w:r>
        <w:rPr>
          <w:color w:val="231F20"/>
          <w:spacing w:val="2"/>
        </w:rPr>
        <w:t>científico, </w:t>
      </w:r>
      <w:r>
        <w:rPr>
          <w:color w:val="231F20"/>
        </w:rPr>
        <w:t>es </w:t>
      </w:r>
      <w:r>
        <w:rPr>
          <w:color w:val="231F20"/>
          <w:spacing w:val="2"/>
        </w:rPr>
        <w:t>necesario que </w:t>
      </w:r>
      <w:r>
        <w:rPr>
          <w:color w:val="231F20"/>
          <w:spacing w:val="3"/>
        </w:rPr>
        <w:t>conozca </w:t>
      </w:r>
      <w:r>
        <w:rPr>
          <w:color w:val="231F20"/>
          <w:spacing w:val="2"/>
        </w:rPr>
        <w:t>qué fuerzas debe vencer </w:t>
      </w:r>
      <w:r>
        <w:rPr>
          <w:color w:val="231F20"/>
        </w:rPr>
        <w:t>y </w:t>
      </w:r>
      <w:r>
        <w:rPr>
          <w:color w:val="231F20"/>
          <w:spacing w:val="2"/>
        </w:rPr>
        <w:t>cuáles </w:t>
      </w:r>
      <w:r>
        <w:rPr>
          <w:color w:val="231F20"/>
          <w:spacing w:val="3"/>
        </w:rPr>
        <w:t>contribuyen </w:t>
      </w:r>
      <w:r>
        <w:rPr>
          <w:color w:val="231F20"/>
          <w:spacing w:val="2"/>
        </w:rPr>
        <w:t>con </w:t>
      </w:r>
      <w:r>
        <w:rPr>
          <w:color w:val="231F20"/>
        </w:rPr>
        <w:t>su </w:t>
      </w:r>
      <w:r>
        <w:rPr>
          <w:color w:val="231F20"/>
          <w:spacing w:val="2"/>
        </w:rPr>
        <w:t>tarea. Hacer una tesis </w:t>
      </w:r>
      <w:r>
        <w:rPr>
          <w:color w:val="231F20"/>
        </w:rPr>
        <w:t>de </w:t>
      </w:r>
      <w:r>
        <w:rPr>
          <w:color w:val="231F20"/>
          <w:spacing w:val="2"/>
        </w:rPr>
        <w:t>maestría </w:t>
      </w:r>
      <w:r>
        <w:rPr>
          <w:color w:val="231F20"/>
        </w:rPr>
        <w:t>o </w:t>
      </w:r>
      <w:r>
        <w:rPr>
          <w:color w:val="231F20"/>
          <w:spacing w:val="3"/>
        </w:rPr>
        <w:t>doctorado </w:t>
      </w:r>
      <w:r>
        <w:rPr>
          <w:color w:val="231F20"/>
        </w:rPr>
        <w:t>es </w:t>
      </w:r>
      <w:r>
        <w:rPr>
          <w:color w:val="231F20"/>
          <w:spacing w:val="3"/>
        </w:rPr>
        <w:t>producir conocimiento verdadero, </w:t>
      </w:r>
      <w:r>
        <w:rPr>
          <w:color w:val="231F20"/>
          <w:spacing w:val="2"/>
        </w:rPr>
        <w:t>teoría </w:t>
      </w:r>
      <w:r>
        <w:rPr>
          <w:color w:val="231F20"/>
        </w:rPr>
        <w:t>o  </w:t>
      </w:r>
      <w:r>
        <w:rPr>
          <w:color w:val="231F20"/>
          <w:spacing w:val="2"/>
        </w:rPr>
        <w:t>ciencia  </w:t>
      </w:r>
      <w:r>
        <w:rPr>
          <w:color w:val="231F20"/>
        </w:rPr>
        <w:t>de la </w:t>
      </w:r>
      <w:r>
        <w:rPr>
          <w:color w:val="231F20"/>
          <w:spacing w:val="3"/>
        </w:rPr>
        <w:t>educación, </w:t>
      </w:r>
      <w:r>
        <w:rPr>
          <w:color w:val="231F20"/>
          <w:spacing w:val="2"/>
        </w:rPr>
        <w:t>para nuestro caso. Para que </w:t>
      </w:r>
      <w:r>
        <w:rPr>
          <w:color w:val="231F20"/>
        </w:rPr>
        <w:t>tal </w:t>
      </w:r>
      <w:r>
        <w:rPr>
          <w:color w:val="231F20"/>
          <w:spacing w:val="2"/>
        </w:rPr>
        <w:t>tarea </w:t>
      </w:r>
      <w:r>
        <w:rPr>
          <w:color w:val="231F20"/>
        </w:rPr>
        <w:t>sea </w:t>
      </w:r>
      <w:r>
        <w:rPr>
          <w:color w:val="231F20"/>
          <w:spacing w:val="3"/>
        </w:rPr>
        <w:t>más </w:t>
      </w:r>
      <w:r>
        <w:rPr>
          <w:color w:val="231F20"/>
          <w:spacing w:val="2"/>
        </w:rPr>
        <w:t>exitosa conviene valorar que una cantidad considerable </w:t>
      </w:r>
      <w:r>
        <w:rPr>
          <w:color w:val="231F20"/>
        </w:rPr>
        <w:t>de </w:t>
      </w:r>
      <w:r>
        <w:rPr>
          <w:color w:val="231F20"/>
          <w:spacing w:val="2"/>
        </w:rPr>
        <w:t>jóvenes </w:t>
      </w:r>
      <w:r>
        <w:rPr>
          <w:color w:val="231F20"/>
        </w:rPr>
        <w:t>en </w:t>
      </w:r>
      <w:r>
        <w:rPr>
          <w:color w:val="231F20"/>
          <w:spacing w:val="3"/>
        </w:rPr>
        <w:t>formación, </w:t>
      </w:r>
      <w:r>
        <w:rPr>
          <w:color w:val="231F20"/>
        </w:rPr>
        <w:t>no </w:t>
      </w:r>
      <w:r>
        <w:rPr>
          <w:color w:val="231F20"/>
          <w:spacing w:val="2"/>
        </w:rPr>
        <w:t>valoran </w:t>
      </w:r>
      <w:r>
        <w:rPr>
          <w:color w:val="231F20"/>
          <w:spacing w:val="3"/>
        </w:rPr>
        <w:t>positivamente </w:t>
      </w:r>
      <w:r>
        <w:rPr>
          <w:color w:val="231F20"/>
        </w:rPr>
        <w:t>la </w:t>
      </w:r>
      <w:r>
        <w:rPr>
          <w:color w:val="231F20"/>
          <w:spacing w:val="2"/>
        </w:rPr>
        <w:t>tarea </w:t>
      </w:r>
      <w:r>
        <w:rPr>
          <w:color w:val="231F20"/>
        </w:rPr>
        <w:t>del</w:t>
      </w:r>
      <w:r>
        <w:rPr>
          <w:color w:val="231F20"/>
          <w:spacing w:val="13"/>
        </w:rPr>
        <w:t> </w:t>
      </w:r>
      <w:r>
        <w:rPr>
          <w:color w:val="231F20"/>
          <w:spacing w:val="2"/>
        </w:rPr>
        <w:t>científico.</w:t>
      </w:r>
    </w:p>
    <w:p>
      <w:pPr>
        <w:pStyle w:val="BodyText"/>
        <w:spacing w:line="247" w:lineRule="auto"/>
        <w:ind w:left="102" w:right="115" w:firstLine="283"/>
        <w:jc w:val="both"/>
      </w:pPr>
      <w:r>
        <w:rPr>
          <w:color w:val="231F20"/>
        </w:rPr>
        <w:t>La producción de ciencia no solo es un acto de voluntad, de echarle ganas. Contribuye de forma significativa a la tarea de hacer teorías si los tesistas se viven como científicos y, si además, conocen el oficio en sus detalles. Escribir es uno de los oficios del científico,hay otros más;por ejemplo, encontrar el gusto por razonar,  experimentar,  criticar,  interpretar,  describir;  en  fin,  el</w:t>
      </w:r>
    </w:p>
    <w:p>
      <w:pPr>
        <w:spacing w:after="0" w:line="247" w:lineRule="auto"/>
        <w:jc w:val="both"/>
        <w:sectPr>
          <w:headerReference w:type="default" r:id="rId399"/>
          <w:footerReference w:type="default" r:id="rId400"/>
          <w:pgSz w:w="7830" w:h="11910"/>
          <w:pgMar w:header="0" w:footer="424" w:top="500" w:bottom="620" w:left="920" w:right="900"/>
          <w:pgNumType w:start="18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22"/>
        <w:jc w:val="both"/>
      </w:pPr>
      <w:r>
        <w:rPr>
          <w:color w:val="231F20"/>
        </w:rPr>
        <w:t>placer de investigar y de llenar cuartillas con conocimiento plausible y verosímil.</w:t>
      </w:r>
    </w:p>
    <w:p>
      <w:pPr>
        <w:pStyle w:val="BodyText"/>
        <w:rPr>
          <w:sz w:val="22"/>
        </w:rPr>
      </w:pPr>
    </w:p>
    <w:p>
      <w:pPr>
        <w:pStyle w:val="BodyText"/>
        <w:spacing w:before="6"/>
      </w:pPr>
    </w:p>
    <w:p>
      <w:pPr>
        <w:pStyle w:val="BodyText"/>
        <w:ind w:left="102"/>
        <w:jc w:val="both"/>
      </w:pPr>
      <w:r>
        <w:rPr>
          <w:color w:val="231F20"/>
          <w:w w:val="105"/>
        </w:rPr>
        <w:t>CONCLUSIONES</w:t>
      </w:r>
    </w:p>
    <w:p>
      <w:pPr>
        <w:pStyle w:val="BodyText"/>
        <w:spacing w:before="10"/>
      </w:pPr>
    </w:p>
    <w:p>
      <w:pPr>
        <w:pStyle w:val="BodyText"/>
        <w:spacing w:line="235" w:lineRule="auto"/>
        <w:ind w:left="102" w:right="116"/>
        <w:jc w:val="both"/>
      </w:pPr>
      <w:r>
        <w:rPr>
          <w:color w:val="231F20"/>
        </w:rPr>
        <w:t>Las</w:t>
      </w:r>
      <w:r>
        <w:rPr>
          <w:color w:val="231F20"/>
          <w:spacing w:val="-8"/>
        </w:rPr>
        <w:t> </w:t>
      </w:r>
      <w:r>
        <w:rPr>
          <w:color w:val="231F20"/>
        </w:rPr>
        <w:t>teorías</w:t>
      </w:r>
      <w:r>
        <w:rPr>
          <w:color w:val="231F20"/>
          <w:spacing w:val="-8"/>
        </w:rPr>
        <w:t> </w:t>
      </w:r>
      <w:r>
        <w:rPr>
          <w:color w:val="231F20"/>
        </w:rPr>
        <w:t>sobre</w:t>
      </w:r>
      <w:r>
        <w:rPr>
          <w:color w:val="231F20"/>
          <w:spacing w:val="-8"/>
        </w:rPr>
        <w:t> </w:t>
      </w:r>
      <w:r>
        <w:rPr>
          <w:color w:val="231F20"/>
        </w:rPr>
        <w:t>educabilidad,</w:t>
      </w:r>
      <w:r>
        <w:rPr>
          <w:color w:val="231F20"/>
          <w:spacing w:val="-9"/>
        </w:rPr>
        <w:t> </w:t>
      </w:r>
      <w:r>
        <w:rPr>
          <w:color w:val="231F20"/>
        </w:rPr>
        <w:t>representaciones</w:t>
      </w:r>
      <w:r>
        <w:rPr>
          <w:color w:val="231F20"/>
          <w:spacing w:val="-8"/>
        </w:rPr>
        <w:t> </w:t>
      </w:r>
      <w:r>
        <w:rPr>
          <w:color w:val="231F20"/>
        </w:rPr>
        <w:t>sociales,</w:t>
      </w:r>
      <w:r>
        <w:rPr>
          <w:color w:val="231F20"/>
          <w:spacing w:val="-6"/>
        </w:rPr>
        <w:t> </w:t>
      </w:r>
      <w:r>
        <w:rPr>
          <w:color w:val="231F20"/>
        </w:rPr>
        <w:t>violencia</w:t>
      </w:r>
      <w:r>
        <w:rPr>
          <w:color w:val="231F20"/>
          <w:spacing w:val="-8"/>
        </w:rPr>
        <w:t> </w:t>
      </w:r>
      <w:r>
        <w:rPr>
          <w:color w:val="231F20"/>
        </w:rPr>
        <w:t>y violencia simbólica, ideología, campo-</w:t>
      </w:r>
      <w:r>
        <w:rPr>
          <w:rFonts w:ascii="Palatino Linotype" w:hAnsi="Palatino Linotype"/>
          <w:i/>
          <w:color w:val="231F20"/>
        </w:rPr>
        <w:t>habitus-illusio </w:t>
      </w:r>
      <w:r>
        <w:rPr>
          <w:color w:val="231F20"/>
        </w:rPr>
        <w:t>y pensamiento complejo fueron útiles para mostrar la necesidad de reconocer las formas de relacionarse de los estudiantes con el rol o  papel que  ellos</w:t>
      </w:r>
      <w:r>
        <w:rPr>
          <w:color w:val="231F20"/>
          <w:spacing w:val="-18"/>
        </w:rPr>
        <w:t> </w:t>
      </w:r>
      <w:r>
        <w:rPr>
          <w:color w:val="231F20"/>
        </w:rPr>
        <w:t>asignan</w:t>
      </w:r>
      <w:r>
        <w:rPr>
          <w:color w:val="231F20"/>
          <w:spacing w:val="-17"/>
        </w:rPr>
        <w:t> </w:t>
      </w:r>
      <w:r>
        <w:rPr>
          <w:color w:val="231F20"/>
        </w:rPr>
        <w:t>al</w:t>
      </w:r>
      <w:r>
        <w:rPr>
          <w:color w:val="231F20"/>
          <w:spacing w:val="-18"/>
        </w:rPr>
        <w:t> </w:t>
      </w:r>
      <w:r>
        <w:rPr>
          <w:color w:val="231F20"/>
        </w:rPr>
        <w:t>científico.</w:t>
      </w:r>
    </w:p>
    <w:p>
      <w:pPr>
        <w:pStyle w:val="BodyText"/>
        <w:spacing w:line="249" w:lineRule="auto" w:before="18"/>
        <w:ind w:left="102" w:right="115" w:firstLine="284"/>
        <w:jc w:val="both"/>
      </w:pPr>
      <w:r>
        <w:rPr>
          <w:color w:val="231F20"/>
          <w:spacing w:val="2"/>
        </w:rPr>
        <w:t>Debe </w:t>
      </w:r>
      <w:r>
        <w:rPr>
          <w:color w:val="231F20"/>
          <w:spacing w:val="3"/>
        </w:rPr>
        <w:t>reconocerse, inicialmente, </w:t>
      </w:r>
      <w:r>
        <w:rPr>
          <w:color w:val="231F20"/>
        </w:rPr>
        <w:t>que en la </w:t>
      </w:r>
      <w:r>
        <w:rPr>
          <w:color w:val="231F20"/>
          <w:spacing w:val="2"/>
        </w:rPr>
        <w:t>Facultad </w:t>
      </w:r>
      <w:r>
        <w:rPr>
          <w:color w:val="231F20"/>
        </w:rPr>
        <w:t>de </w:t>
      </w:r>
      <w:r>
        <w:rPr>
          <w:color w:val="231F20"/>
          <w:spacing w:val="2"/>
        </w:rPr>
        <w:t>Psicología, </w:t>
      </w:r>
      <w:r>
        <w:rPr>
          <w:color w:val="231F20"/>
          <w:spacing w:val="3"/>
        </w:rPr>
        <w:t>como </w:t>
      </w:r>
      <w:r>
        <w:rPr>
          <w:color w:val="231F20"/>
          <w:spacing w:val="2"/>
        </w:rPr>
        <w:t>quizá </w:t>
      </w:r>
      <w:r>
        <w:rPr>
          <w:color w:val="231F20"/>
        </w:rPr>
        <w:t>en </w:t>
      </w:r>
      <w:r>
        <w:rPr>
          <w:color w:val="231F20"/>
          <w:spacing w:val="3"/>
        </w:rPr>
        <w:t>muchas </w:t>
      </w:r>
      <w:r>
        <w:rPr>
          <w:color w:val="231F20"/>
          <w:spacing w:val="2"/>
        </w:rPr>
        <w:t>otras instituciones  </w:t>
      </w:r>
      <w:r>
        <w:rPr>
          <w:color w:val="231F20"/>
        </w:rPr>
        <w:t>de  </w:t>
      </w:r>
      <w:r>
        <w:rPr>
          <w:color w:val="231F20"/>
          <w:spacing w:val="2"/>
        </w:rPr>
        <w:t>educación superior, aún </w:t>
      </w:r>
      <w:r>
        <w:rPr>
          <w:color w:val="231F20"/>
        </w:rPr>
        <w:t>no </w:t>
      </w:r>
      <w:r>
        <w:rPr>
          <w:color w:val="231F20"/>
          <w:spacing w:val="2"/>
        </w:rPr>
        <w:t>tiene legitimidad </w:t>
      </w:r>
      <w:r>
        <w:rPr>
          <w:color w:val="231F20"/>
        </w:rPr>
        <w:t>el </w:t>
      </w:r>
      <w:r>
        <w:rPr>
          <w:color w:val="231F20"/>
          <w:spacing w:val="2"/>
        </w:rPr>
        <w:t>oficio  </w:t>
      </w:r>
      <w:r>
        <w:rPr>
          <w:color w:val="231F20"/>
        </w:rPr>
        <w:t>de  </w:t>
      </w:r>
      <w:r>
        <w:rPr>
          <w:color w:val="231F20"/>
          <w:spacing w:val="2"/>
        </w:rPr>
        <w:t>investigar. No </w:t>
      </w:r>
      <w:r>
        <w:rPr>
          <w:color w:val="231F20"/>
        </w:rPr>
        <w:t>es </w:t>
      </w:r>
      <w:r>
        <w:rPr>
          <w:color w:val="231F20"/>
          <w:spacing w:val="3"/>
        </w:rPr>
        <w:t>ampliamente </w:t>
      </w:r>
      <w:r>
        <w:rPr>
          <w:color w:val="231F20"/>
          <w:spacing w:val="2"/>
        </w:rPr>
        <w:t>valorado </w:t>
      </w:r>
      <w:r>
        <w:rPr>
          <w:color w:val="231F20"/>
        </w:rPr>
        <w:t>al </w:t>
      </w:r>
      <w:r>
        <w:rPr>
          <w:color w:val="231F20"/>
          <w:spacing w:val="2"/>
        </w:rPr>
        <w:t>investigador  </w:t>
      </w:r>
      <w:r>
        <w:rPr>
          <w:color w:val="231F20"/>
        </w:rPr>
        <w:t>o  </w:t>
      </w:r>
      <w:r>
        <w:rPr>
          <w:color w:val="231F20"/>
          <w:spacing w:val="2"/>
        </w:rPr>
        <w:t>científico por </w:t>
      </w:r>
      <w:r>
        <w:rPr>
          <w:color w:val="231F20"/>
        </w:rPr>
        <w:t>la </w:t>
      </w:r>
      <w:r>
        <w:rPr>
          <w:color w:val="231F20"/>
          <w:spacing w:val="2"/>
        </w:rPr>
        <w:t>institución –un campo </w:t>
      </w:r>
      <w:r>
        <w:rPr>
          <w:color w:val="231F20"/>
        </w:rPr>
        <w:t>de </w:t>
      </w:r>
      <w:r>
        <w:rPr>
          <w:color w:val="231F20"/>
          <w:spacing w:val="3"/>
        </w:rPr>
        <w:t>fuerzas–, </w:t>
      </w:r>
      <w:r>
        <w:rPr>
          <w:color w:val="231F20"/>
        </w:rPr>
        <w:t>ni </w:t>
      </w:r>
      <w:r>
        <w:rPr>
          <w:color w:val="231F20"/>
          <w:spacing w:val="2"/>
        </w:rPr>
        <w:t>por </w:t>
      </w:r>
      <w:r>
        <w:rPr>
          <w:color w:val="231F20"/>
          <w:spacing w:val="3"/>
        </w:rPr>
        <w:t>los </w:t>
      </w:r>
      <w:r>
        <w:rPr>
          <w:color w:val="231F20"/>
          <w:spacing w:val="2"/>
        </w:rPr>
        <w:t>maestros que únicamente ejercen </w:t>
      </w:r>
      <w:r>
        <w:rPr>
          <w:color w:val="231F20"/>
        </w:rPr>
        <w:t>la </w:t>
      </w:r>
      <w:r>
        <w:rPr>
          <w:color w:val="231F20"/>
          <w:spacing w:val="2"/>
        </w:rPr>
        <w:t>docencia </w:t>
      </w:r>
      <w:r>
        <w:rPr>
          <w:color w:val="231F20"/>
        </w:rPr>
        <w:t>o los </w:t>
      </w:r>
      <w:r>
        <w:rPr>
          <w:color w:val="231F20"/>
          <w:spacing w:val="2"/>
        </w:rPr>
        <w:t>dedicados </w:t>
      </w:r>
      <w:r>
        <w:rPr>
          <w:color w:val="231F20"/>
        </w:rPr>
        <w:t>a la </w:t>
      </w:r>
      <w:r>
        <w:rPr>
          <w:color w:val="231F20"/>
          <w:spacing w:val="2"/>
        </w:rPr>
        <w:t>gestión. Véase por</w:t>
      </w:r>
      <w:r>
        <w:rPr>
          <w:color w:val="231F20"/>
          <w:spacing w:val="3"/>
        </w:rPr>
        <w:t> </w:t>
      </w:r>
      <w:r>
        <w:rPr>
          <w:color w:val="231F20"/>
          <w:spacing w:val="2"/>
        </w:rPr>
        <w:t>qué.</w:t>
      </w:r>
    </w:p>
    <w:p>
      <w:pPr>
        <w:pStyle w:val="BodyText"/>
        <w:spacing w:line="244" w:lineRule="auto"/>
        <w:ind w:left="102" w:right="114" w:firstLine="284"/>
        <w:jc w:val="both"/>
      </w:pPr>
      <w:r>
        <w:rPr>
          <w:color w:val="231F20"/>
        </w:rPr>
        <w:t>Existe un tránsito de estafacultad–campo dedicado casi únicamente a la docencia o gestión– a otro que recientemente incorpora la investigación: de la década delos</w:t>
      </w:r>
      <w:r>
        <w:rPr>
          <w:color w:val="231F20"/>
          <w:sz w:val="17"/>
        </w:rPr>
        <w:t>90</w:t>
      </w:r>
      <w:r>
        <w:rPr>
          <w:color w:val="231F20"/>
        </w:rPr>
        <w:t>’s en adelante se incorporó la forma de ser y de valorar al científico, al contratar profesores con doctorado y habilitados para la generación de conocimiento científico. Antes de esa década (desde la década delos</w:t>
      </w:r>
      <w:r>
        <w:rPr>
          <w:color w:val="231F20"/>
          <w:sz w:val="17"/>
        </w:rPr>
        <w:t>60</w:t>
      </w:r>
      <w:r>
        <w:rPr>
          <w:color w:val="231F20"/>
        </w:rPr>
        <w:t>) no hubo mayor interés ni </w:t>
      </w:r>
      <w:r>
        <w:rPr>
          <w:rFonts w:ascii="Palatino Linotype" w:hAnsi="Palatino Linotype"/>
          <w:i/>
          <w:color w:val="231F20"/>
        </w:rPr>
        <w:t>illusio </w:t>
      </w:r>
      <w:r>
        <w:rPr>
          <w:color w:val="231F20"/>
        </w:rPr>
        <w:t>en formar científicos. Aveinte años de la inclusión de esa nueva forma de ser y  de valorar, aún no tiene suficiente poderío, carece de suficiente legitimidad. Sin embargo, está en proceso de obtenerla.</w:t>
      </w:r>
    </w:p>
    <w:p>
      <w:pPr>
        <w:pStyle w:val="BodyText"/>
        <w:spacing w:line="244" w:lineRule="auto" w:before="3"/>
        <w:ind w:left="102" w:right="114" w:firstLine="284"/>
        <w:jc w:val="both"/>
      </w:pPr>
      <w:r>
        <w:rPr>
          <w:color w:val="231F20"/>
        </w:rPr>
        <w:t>Si en la </w:t>
      </w:r>
      <w:r>
        <w:rPr>
          <w:color w:val="231F20"/>
          <w:spacing w:val="2"/>
        </w:rPr>
        <w:t>facultad </w:t>
      </w:r>
      <w:r>
        <w:rPr>
          <w:color w:val="231F20"/>
        </w:rPr>
        <w:t>no </w:t>
      </w:r>
      <w:r>
        <w:rPr>
          <w:color w:val="231F20"/>
          <w:spacing w:val="2"/>
        </w:rPr>
        <w:t>tiene suficiente legitimidad </w:t>
      </w:r>
      <w:r>
        <w:rPr>
          <w:color w:val="231F20"/>
        </w:rPr>
        <w:t>el </w:t>
      </w:r>
      <w:r>
        <w:rPr>
          <w:color w:val="231F20"/>
          <w:spacing w:val="2"/>
        </w:rPr>
        <w:t>científico, </w:t>
      </w:r>
      <w:r>
        <w:rPr>
          <w:color w:val="231F20"/>
        </w:rPr>
        <w:t>en sus </w:t>
      </w:r>
      <w:r>
        <w:rPr>
          <w:color w:val="231F20"/>
          <w:spacing w:val="3"/>
        </w:rPr>
        <w:t>maestros </w:t>
      </w:r>
      <w:r>
        <w:rPr>
          <w:color w:val="231F20"/>
        </w:rPr>
        <w:t>y </w:t>
      </w:r>
      <w:r>
        <w:rPr>
          <w:color w:val="231F20"/>
          <w:spacing w:val="3"/>
        </w:rPr>
        <w:t>alumnos tampoco. </w:t>
      </w:r>
      <w:r>
        <w:rPr>
          <w:color w:val="231F20"/>
          <w:spacing w:val="2"/>
        </w:rPr>
        <w:t>Este </w:t>
      </w:r>
      <w:r>
        <w:rPr>
          <w:color w:val="231F20"/>
        </w:rPr>
        <w:t>no es </w:t>
      </w:r>
      <w:r>
        <w:rPr>
          <w:color w:val="231F20"/>
          <w:spacing w:val="2"/>
        </w:rPr>
        <w:t>una  autoridad legítima. </w:t>
      </w:r>
      <w:r>
        <w:rPr>
          <w:color w:val="231F20"/>
        </w:rPr>
        <w:t>Su </w:t>
      </w:r>
      <w:r>
        <w:rPr>
          <w:color w:val="231F20"/>
          <w:spacing w:val="2"/>
        </w:rPr>
        <w:t>legitimidad </w:t>
      </w:r>
      <w:r>
        <w:rPr>
          <w:color w:val="231F20"/>
        </w:rPr>
        <w:t>la </w:t>
      </w:r>
      <w:r>
        <w:rPr>
          <w:color w:val="231F20"/>
          <w:spacing w:val="2"/>
        </w:rPr>
        <w:t>disputan otras </w:t>
      </w:r>
      <w:r>
        <w:rPr>
          <w:color w:val="231F20"/>
          <w:spacing w:val="3"/>
        </w:rPr>
        <w:t>formas </w:t>
      </w:r>
      <w:r>
        <w:rPr>
          <w:color w:val="231F20"/>
        </w:rPr>
        <w:t>de ser </w:t>
      </w:r>
      <w:r>
        <w:rPr>
          <w:color w:val="231F20"/>
          <w:spacing w:val="3"/>
        </w:rPr>
        <w:t>maestro: docencia-gestión. </w:t>
      </w:r>
      <w:r>
        <w:rPr>
          <w:color w:val="231F20"/>
          <w:spacing w:val="2"/>
        </w:rPr>
        <w:t>Por </w:t>
      </w:r>
      <w:r>
        <w:rPr>
          <w:color w:val="231F20"/>
        </w:rPr>
        <w:t>su </w:t>
      </w:r>
      <w:r>
        <w:rPr>
          <w:color w:val="231F20"/>
          <w:spacing w:val="2"/>
        </w:rPr>
        <w:t>parte los estudiantes que ofrecieron </w:t>
      </w:r>
      <w:r>
        <w:rPr>
          <w:color w:val="231F20"/>
          <w:spacing w:val="3"/>
        </w:rPr>
        <w:t>información </w:t>
      </w:r>
      <w:r>
        <w:rPr>
          <w:color w:val="231F20"/>
          <w:spacing w:val="2"/>
        </w:rPr>
        <w:t>sobre </w:t>
      </w:r>
      <w:r>
        <w:rPr>
          <w:color w:val="231F20"/>
        </w:rPr>
        <w:t>sus </w:t>
      </w:r>
      <w:r>
        <w:rPr>
          <w:color w:val="231F20"/>
          <w:spacing w:val="2"/>
        </w:rPr>
        <w:t>RsSs</w:t>
      </w:r>
      <w:r>
        <w:rPr>
          <w:rFonts w:ascii="Palatino Linotype" w:hAnsi="Palatino Linotype"/>
          <w:i/>
          <w:color w:val="231F20"/>
          <w:spacing w:val="2"/>
        </w:rPr>
        <w:t>, habitus </w:t>
      </w:r>
      <w:r>
        <w:rPr>
          <w:color w:val="231F20"/>
        </w:rPr>
        <w:t>e </w:t>
      </w:r>
      <w:r>
        <w:rPr>
          <w:rFonts w:ascii="Palatino Linotype" w:hAnsi="Palatino Linotype"/>
          <w:i/>
          <w:color w:val="231F20"/>
        </w:rPr>
        <w:t>illusio </w:t>
      </w:r>
      <w:r>
        <w:rPr>
          <w:color w:val="231F20"/>
          <w:spacing w:val="3"/>
        </w:rPr>
        <w:t>tampoco </w:t>
      </w:r>
      <w:r>
        <w:rPr>
          <w:color w:val="231F20"/>
        </w:rPr>
        <w:t>se </w:t>
      </w:r>
      <w:r>
        <w:rPr>
          <w:color w:val="231F20"/>
          <w:spacing w:val="3"/>
        </w:rPr>
        <w:t>consideraron </w:t>
      </w:r>
      <w:r>
        <w:rPr>
          <w:color w:val="231F20"/>
          <w:spacing w:val="2"/>
        </w:rPr>
        <w:t>los receptores legítimos </w:t>
      </w:r>
      <w:r>
        <w:rPr>
          <w:color w:val="231F20"/>
        </w:rPr>
        <w:t>de la </w:t>
      </w:r>
      <w:r>
        <w:rPr>
          <w:color w:val="231F20"/>
          <w:spacing w:val="3"/>
        </w:rPr>
        <w:t>formación </w:t>
      </w:r>
      <w:r>
        <w:rPr>
          <w:color w:val="231F20"/>
          <w:spacing w:val="2"/>
        </w:rPr>
        <w:t>científica, </w:t>
      </w:r>
      <w:r>
        <w:rPr>
          <w:color w:val="231F20"/>
        </w:rPr>
        <w:t>la ven </w:t>
      </w:r>
      <w:r>
        <w:rPr>
          <w:color w:val="231F20"/>
          <w:spacing w:val="2"/>
        </w:rPr>
        <w:t>distante, </w:t>
      </w:r>
      <w:r>
        <w:rPr>
          <w:color w:val="231F20"/>
        </w:rPr>
        <w:t>no se </w:t>
      </w:r>
      <w:r>
        <w:rPr>
          <w:color w:val="231F20"/>
          <w:spacing w:val="2"/>
        </w:rPr>
        <w:t>identifican con </w:t>
      </w:r>
      <w:r>
        <w:rPr>
          <w:color w:val="231F20"/>
        </w:rPr>
        <w:t>ella, no les </w:t>
      </w:r>
      <w:r>
        <w:rPr>
          <w:color w:val="231F20"/>
          <w:spacing w:val="2"/>
        </w:rPr>
        <w:t>agrada. </w:t>
      </w:r>
      <w:r>
        <w:rPr>
          <w:color w:val="231F20"/>
        </w:rPr>
        <w:t>En </w:t>
      </w:r>
      <w:r>
        <w:rPr>
          <w:color w:val="231F20"/>
          <w:spacing w:val="2"/>
        </w:rPr>
        <w:t>suma, </w:t>
      </w:r>
      <w:r>
        <w:rPr>
          <w:color w:val="231F20"/>
        </w:rPr>
        <w:t>ni  la </w:t>
      </w:r>
      <w:r>
        <w:rPr>
          <w:color w:val="231F20"/>
          <w:spacing w:val="2"/>
        </w:rPr>
        <w:t>facultad, </w:t>
      </w:r>
      <w:r>
        <w:rPr>
          <w:color w:val="231F20"/>
        </w:rPr>
        <w:t>ni la </w:t>
      </w:r>
      <w:r>
        <w:rPr>
          <w:color w:val="231F20"/>
          <w:spacing w:val="2"/>
        </w:rPr>
        <w:t>mayoría </w:t>
      </w:r>
      <w:r>
        <w:rPr>
          <w:color w:val="231F20"/>
        </w:rPr>
        <w:t>de sus </w:t>
      </w:r>
      <w:r>
        <w:rPr>
          <w:color w:val="231F20"/>
          <w:spacing w:val="3"/>
        </w:rPr>
        <w:t>maestros </w:t>
      </w:r>
      <w:r>
        <w:rPr>
          <w:color w:val="231F20"/>
        </w:rPr>
        <w:t>y </w:t>
      </w:r>
      <w:r>
        <w:rPr>
          <w:color w:val="231F20"/>
          <w:spacing w:val="2"/>
        </w:rPr>
        <w:t>estudiantes </w:t>
      </w:r>
      <w:r>
        <w:rPr>
          <w:color w:val="231F20"/>
          <w:spacing w:val="3"/>
        </w:rPr>
        <w:t>garantizan </w:t>
      </w:r>
      <w:r>
        <w:rPr>
          <w:color w:val="231F20"/>
          <w:spacing w:val="2"/>
        </w:rPr>
        <w:t>legitimidad para </w:t>
      </w:r>
      <w:r>
        <w:rPr>
          <w:color w:val="231F20"/>
        </w:rPr>
        <w:t>la </w:t>
      </w:r>
      <w:r>
        <w:rPr>
          <w:color w:val="231F20"/>
          <w:spacing w:val="3"/>
        </w:rPr>
        <w:t>producción-reproducción </w:t>
      </w:r>
      <w:r>
        <w:rPr>
          <w:color w:val="231F20"/>
          <w:spacing w:val="2"/>
        </w:rPr>
        <w:t>del </w:t>
      </w:r>
      <w:r>
        <w:rPr>
          <w:color w:val="231F20"/>
          <w:spacing w:val="3"/>
        </w:rPr>
        <w:t>campo científico. </w:t>
      </w:r>
      <w:r>
        <w:rPr>
          <w:color w:val="231F20"/>
          <w:spacing w:val="2"/>
        </w:rPr>
        <w:t>Los estudiantes </w:t>
      </w:r>
      <w:r>
        <w:rPr>
          <w:color w:val="231F20"/>
        </w:rPr>
        <w:t>se  </w:t>
      </w:r>
      <w:r>
        <w:rPr>
          <w:color w:val="231F20"/>
          <w:spacing w:val="2"/>
        </w:rPr>
        <w:t>viven más como aplicadores </w:t>
      </w:r>
      <w:r>
        <w:rPr>
          <w:color w:val="231F20"/>
        </w:rPr>
        <w:t>de  </w:t>
      </w:r>
      <w:r>
        <w:rPr>
          <w:color w:val="231F20"/>
          <w:spacing w:val="2"/>
        </w:rPr>
        <w:t>ciencia </w:t>
      </w:r>
      <w:r>
        <w:rPr>
          <w:color w:val="231F20"/>
        </w:rPr>
        <w:t>y,   </w:t>
      </w:r>
      <w:r>
        <w:rPr>
          <w:color w:val="231F20"/>
          <w:spacing w:val="46"/>
        </w:rPr>
        <w:t> </w:t>
      </w:r>
      <w:r>
        <w:rPr>
          <w:color w:val="231F20"/>
        </w:rPr>
        <w:t>no</w:t>
      </w:r>
    </w:p>
    <w:p>
      <w:pPr>
        <w:spacing w:after="0" w:line="244" w:lineRule="auto"/>
        <w:jc w:val="both"/>
        <w:sectPr>
          <w:headerReference w:type="default" r:id="rId401"/>
          <w:footerReference w:type="default" r:id="rId402"/>
          <w:pgSz w:w="7830" w:h="11910"/>
          <w:pgMar w:header="0" w:footer="424" w:top="500" w:bottom="620" w:left="920" w:right="900"/>
          <w:pgNumType w:start="18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21"/>
      </w:pPr>
      <w:r>
        <w:rPr>
          <w:color w:val="231F20"/>
        </w:rPr>
        <w:t>tanto, como quienes son responsables de formular conocimiento científico.</w:t>
      </w:r>
    </w:p>
    <w:p>
      <w:pPr>
        <w:pStyle w:val="BodyText"/>
        <w:spacing w:line="249" w:lineRule="auto" w:before="1"/>
        <w:ind w:left="102" w:right="115" w:firstLine="284"/>
        <w:jc w:val="both"/>
      </w:pPr>
      <w:r>
        <w:rPr>
          <w:color w:val="231F20"/>
        </w:rPr>
        <w:t>En la </w:t>
      </w:r>
      <w:r>
        <w:rPr>
          <w:color w:val="231F20"/>
          <w:spacing w:val="2"/>
        </w:rPr>
        <w:t>Facultad </w:t>
      </w:r>
      <w:r>
        <w:rPr>
          <w:color w:val="231F20"/>
        </w:rPr>
        <w:t>de </w:t>
      </w:r>
      <w:r>
        <w:rPr>
          <w:color w:val="231F20"/>
          <w:spacing w:val="2"/>
        </w:rPr>
        <w:t>Psicología existe otra dificultad para </w:t>
      </w:r>
      <w:r>
        <w:rPr>
          <w:color w:val="231F20"/>
          <w:spacing w:val="3"/>
        </w:rPr>
        <w:t>lograr </w:t>
      </w:r>
      <w:r>
        <w:rPr>
          <w:color w:val="231F20"/>
          <w:spacing w:val="2"/>
        </w:rPr>
        <w:t>cierta legitimidad </w:t>
      </w:r>
      <w:r>
        <w:rPr>
          <w:color w:val="231F20"/>
        </w:rPr>
        <w:t>en la </w:t>
      </w:r>
      <w:r>
        <w:rPr>
          <w:color w:val="231F20"/>
          <w:spacing w:val="2"/>
        </w:rPr>
        <w:t>transmisión del oficio del científico: </w:t>
      </w:r>
      <w:r>
        <w:rPr>
          <w:color w:val="231F20"/>
        </w:rPr>
        <w:t>no </w:t>
      </w:r>
      <w:r>
        <w:rPr>
          <w:color w:val="231F20"/>
          <w:spacing w:val="2"/>
        </w:rPr>
        <w:t>hay legitimidad </w:t>
      </w:r>
      <w:r>
        <w:rPr>
          <w:color w:val="231F20"/>
        </w:rPr>
        <w:t>de un </w:t>
      </w:r>
      <w:r>
        <w:rPr>
          <w:color w:val="231F20"/>
          <w:spacing w:val="2"/>
        </w:rPr>
        <w:t>arbitrario cultural que aglutine </w:t>
      </w:r>
      <w:r>
        <w:rPr>
          <w:color w:val="231F20"/>
        </w:rPr>
        <w:t>a </w:t>
      </w:r>
      <w:r>
        <w:rPr>
          <w:color w:val="231F20"/>
          <w:spacing w:val="3"/>
        </w:rPr>
        <w:t>maestros </w:t>
      </w:r>
      <w:r>
        <w:rPr>
          <w:color w:val="231F20"/>
        </w:rPr>
        <w:t>y </w:t>
      </w:r>
      <w:r>
        <w:rPr>
          <w:color w:val="231F20"/>
          <w:spacing w:val="3"/>
        </w:rPr>
        <w:t>alumnos. </w:t>
      </w:r>
      <w:r>
        <w:rPr>
          <w:color w:val="231F20"/>
          <w:spacing w:val="2"/>
        </w:rPr>
        <w:t>No existe porque </w:t>
      </w:r>
      <w:r>
        <w:rPr>
          <w:color w:val="231F20"/>
        </w:rPr>
        <w:t>en ese </w:t>
      </w:r>
      <w:r>
        <w:rPr>
          <w:color w:val="231F20"/>
          <w:spacing w:val="3"/>
        </w:rPr>
        <w:t>campo </w:t>
      </w:r>
      <w:r>
        <w:rPr>
          <w:color w:val="231F20"/>
        </w:rPr>
        <w:t>de </w:t>
      </w:r>
      <w:r>
        <w:rPr>
          <w:color w:val="231F20"/>
          <w:spacing w:val="2"/>
        </w:rPr>
        <w:t>fuerzas luchan por </w:t>
      </w:r>
      <w:r>
        <w:rPr>
          <w:color w:val="231F20"/>
        </w:rPr>
        <w:t>la </w:t>
      </w:r>
      <w:r>
        <w:rPr>
          <w:color w:val="231F20"/>
          <w:spacing w:val="2"/>
        </w:rPr>
        <w:t>legitimidad, </w:t>
      </w:r>
      <w:r>
        <w:rPr>
          <w:color w:val="231F20"/>
        </w:rPr>
        <w:t>al </w:t>
      </w:r>
      <w:r>
        <w:rPr>
          <w:color w:val="231F20"/>
          <w:spacing w:val="3"/>
        </w:rPr>
        <w:t>menos, </w:t>
      </w:r>
      <w:r>
        <w:rPr>
          <w:color w:val="231F20"/>
          <w:spacing w:val="2"/>
        </w:rPr>
        <w:t>cuatro distintas </w:t>
      </w:r>
      <w:r>
        <w:rPr>
          <w:color w:val="231F20"/>
          <w:spacing w:val="3"/>
        </w:rPr>
        <w:t>formas </w:t>
      </w:r>
      <w:r>
        <w:rPr>
          <w:color w:val="231F20"/>
        </w:rPr>
        <w:t>de </w:t>
      </w:r>
      <w:r>
        <w:rPr>
          <w:color w:val="231F20"/>
          <w:spacing w:val="2"/>
        </w:rPr>
        <w:t>cientificidad: psicoanalítica, educativa, laboral </w:t>
      </w:r>
      <w:r>
        <w:rPr>
          <w:color w:val="231F20"/>
        </w:rPr>
        <w:t>y </w:t>
      </w:r>
      <w:r>
        <w:rPr>
          <w:color w:val="231F20"/>
          <w:spacing w:val="2"/>
        </w:rPr>
        <w:t>social. </w:t>
      </w:r>
      <w:r>
        <w:rPr>
          <w:color w:val="231F20"/>
          <w:spacing w:val="3"/>
        </w:rPr>
        <w:t>Dentro </w:t>
      </w:r>
      <w:r>
        <w:rPr>
          <w:color w:val="231F20"/>
        </w:rPr>
        <w:t>de </w:t>
      </w:r>
      <w:r>
        <w:rPr>
          <w:color w:val="231F20"/>
          <w:spacing w:val="2"/>
        </w:rPr>
        <w:t>cada una </w:t>
      </w:r>
      <w:r>
        <w:rPr>
          <w:color w:val="231F20"/>
        </w:rPr>
        <w:t>de </w:t>
      </w:r>
      <w:r>
        <w:rPr>
          <w:color w:val="231F20"/>
          <w:spacing w:val="2"/>
        </w:rPr>
        <w:t>esas partes </w:t>
      </w:r>
      <w:r>
        <w:rPr>
          <w:color w:val="231F20"/>
        </w:rPr>
        <w:t>de la </w:t>
      </w:r>
      <w:r>
        <w:rPr>
          <w:color w:val="231F20"/>
          <w:spacing w:val="2"/>
        </w:rPr>
        <w:t>división del trabajo social también existen </w:t>
      </w:r>
      <w:r>
        <w:rPr>
          <w:color w:val="231F20"/>
          <w:spacing w:val="3"/>
        </w:rPr>
        <w:t>subdivisiones; </w:t>
      </w:r>
      <w:r>
        <w:rPr>
          <w:color w:val="231F20"/>
          <w:spacing w:val="2"/>
        </w:rPr>
        <w:t>por </w:t>
      </w:r>
      <w:r>
        <w:rPr>
          <w:color w:val="231F20"/>
          <w:spacing w:val="3"/>
        </w:rPr>
        <w:t>ejemplo, </w:t>
      </w:r>
      <w:r>
        <w:rPr>
          <w:color w:val="231F20"/>
        </w:rPr>
        <w:t>en </w:t>
      </w:r>
      <w:r>
        <w:rPr>
          <w:color w:val="231F20"/>
          <w:spacing w:val="2"/>
        </w:rPr>
        <w:t>psicología educativa, coexisten conflictivamente quienes </w:t>
      </w:r>
      <w:r>
        <w:rPr>
          <w:color w:val="231F20"/>
        </w:rPr>
        <w:t>se </w:t>
      </w:r>
      <w:r>
        <w:rPr>
          <w:color w:val="231F20"/>
          <w:spacing w:val="2"/>
        </w:rPr>
        <w:t>inclinan más por Piaget, mientras que otros </w:t>
      </w:r>
      <w:r>
        <w:rPr>
          <w:color w:val="231F20"/>
        </w:rPr>
        <w:t>lo </w:t>
      </w:r>
      <w:r>
        <w:rPr>
          <w:color w:val="231F20"/>
          <w:spacing w:val="2"/>
        </w:rPr>
        <w:t>hacen por Vigotski. </w:t>
      </w:r>
      <w:r>
        <w:rPr>
          <w:color w:val="231F20"/>
        </w:rPr>
        <w:t>El </w:t>
      </w:r>
      <w:r>
        <w:rPr>
          <w:color w:val="231F20"/>
          <w:spacing w:val="3"/>
        </w:rPr>
        <w:t>monopolio </w:t>
      </w:r>
      <w:r>
        <w:rPr>
          <w:color w:val="231F20"/>
        </w:rPr>
        <w:t>de la </w:t>
      </w:r>
      <w:r>
        <w:rPr>
          <w:color w:val="231F20"/>
          <w:spacing w:val="2"/>
        </w:rPr>
        <w:t>violencia  simbólica </w:t>
      </w:r>
      <w:r>
        <w:rPr>
          <w:color w:val="231F20"/>
        </w:rPr>
        <w:t>no </w:t>
      </w:r>
      <w:r>
        <w:rPr>
          <w:color w:val="231F20"/>
          <w:spacing w:val="2"/>
        </w:rPr>
        <w:t>existe </w:t>
      </w:r>
      <w:r>
        <w:rPr>
          <w:color w:val="231F20"/>
        </w:rPr>
        <w:t>en la </w:t>
      </w:r>
      <w:r>
        <w:rPr>
          <w:color w:val="231F20"/>
          <w:spacing w:val="2"/>
        </w:rPr>
        <w:t>Facultad </w:t>
      </w:r>
      <w:r>
        <w:rPr>
          <w:color w:val="231F20"/>
        </w:rPr>
        <w:t>de </w:t>
      </w:r>
      <w:r>
        <w:rPr>
          <w:color w:val="231F20"/>
          <w:spacing w:val="2"/>
        </w:rPr>
        <w:t>Psicología,existe </w:t>
      </w:r>
      <w:r>
        <w:rPr>
          <w:color w:val="231F20"/>
        </w:rPr>
        <w:t>el </w:t>
      </w:r>
      <w:r>
        <w:rPr>
          <w:color w:val="231F20"/>
          <w:spacing w:val="2"/>
        </w:rPr>
        <w:t>caos. </w:t>
      </w:r>
      <w:r>
        <w:rPr>
          <w:color w:val="231F20"/>
        </w:rPr>
        <w:t>Es </w:t>
      </w:r>
      <w:r>
        <w:rPr>
          <w:color w:val="231F20"/>
          <w:spacing w:val="2"/>
        </w:rPr>
        <w:t>decir, </w:t>
      </w:r>
      <w:r>
        <w:rPr>
          <w:color w:val="231F20"/>
        </w:rPr>
        <w:t>se </w:t>
      </w:r>
      <w:r>
        <w:rPr>
          <w:color w:val="231F20"/>
          <w:spacing w:val="2"/>
        </w:rPr>
        <w:t>padece </w:t>
      </w:r>
      <w:r>
        <w:rPr>
          <w:color w:val="231F20"/>
        </w:rPr>
        <w:t>la </w:t>
      </w:r>
      <w:r>
        <w:rPr>
          <w:color w:val="231F20"/>
          <w:spacing w:val="2"/>
        </w:rPr>
        <w:t>ausencia </w:t>
      </w:r>
      <w:r>
        <w:rPr>
          <w:color w:val="231F20"/>
        </w:rPr>
        <w:t>de </w:t>
      </w:r>
      <w:r>
        <w:rPr>
          <w:color w:val="231F20"/>
          <w:spacing w:val="2"/>
        </w:rPr>
        <w:t>una </w:t>
      </w:r>
      <w:r>
        <w:rPr>
          <w:color w:val="231F20"/>
          <w:spacing w:val="3"/>
        </w:rPr>
        <w:t>forma </w:t>
      </w:r>
      <w:r>
        <w:rPr>
          <w:color w:val="231F20"/>
        </w:rPr>
        <w:t>de </w:t>
      </w:r>
      <w:r>
        <w:rPr>
          <w:color w:val="231F20"/>
          <w:spacing w:val="3"/>
        </w:rPr>
        <w:t>dominio </w:t>
      </w:r>
      <w:r>
        <w:rPr>
          <w:color w:val="231F20"/>
          <w:spacing w:val="2"/>
        </w:rPr>
        <w:t>aceptada </w:t>
      </w:r>
      <w:r>
        <w:rPr>
          <w:color w:val="231F20"/>
          <w:spacing w:val="3"/>
        </w:rPr>
        <w:t>como </w:t>
      </w:r>
      <w:r>
        <w:rPr>
          <w:color w:val="231F20"/>
          <w:spacing w:val="2"/>
        </w:rPr>
        <w:t>legítima,varias RsSs disputan por </w:t>
      </w:r>
      <w:r>
        <w:rPr>
          <w:color w:val="231F20"/>
        </w:rPr>
        <w:t>la </w:t>
      </w:r>
      <w:r>
        <w:rPr>
          <w:color w:val="231F20"/>
          <w:spacing w:val="2"/>
        </w:rPr>
        <w:t>legitimidad </w:t>
      </w:r>
      <w:r>
        <w:rPr>
          <w:color w:val="231F20"/>
        </w:rPr>
        <w:t>de un </w:t>
      </w:r>
      <w:r>
        <w:rPr>
          <w:color w:val="231F20"/>
          <w:spacing w:val="2"/>
        </w:rPr>
        <w:t>arbitrario</w:t>
      </w:r>
      <w:r>
        <w:rPr>
          <w:color w:val="231F20"/>
          <w:spacing w:val="-11"/>
        </w:rPr>
        <w:t> </w:t>
      </w:r>
      <w:r>
        <w:rPr>
          <w:color w:val="231F20"/>
          <w:spacing w:val="2"/>
        </w:rPr>
        <w:t>cultural.</w:t>
      </w:r>
    </w:p>
    <w:p>
      <w:pPr>
        <w:pStyle w:val="BodyText"/>
        <w:spacing w:line="242" w:lineRule="auto"/>
        <w:ind w:left="102" w:right="119" w:firstLine="284"/>
        <w:jc w:val="both"/>
      </w:pPr>
      <w:r>
        <w:rPr>
          <w:color w:val="231F20"/>
          <w:spacing w:val="2"/>
        </w:rPr>
        <w:t>Las teorías </w:t>
      </w:r>
      <w:r>
        <w:rPr>
          <w:color w:val="231F20"/>
        </w:rPr>
        <w:t>que </w:t>
      </w:r>
      <w:r>
        <w:rPr>
          <w:color w:val="231F20"/>
          <w:spacing w:val="2"/>
        </w:rPr>
        <w:t>soportaron esta investigación también fueron valiosas porque permitieron reconocer: los “núcleos figurativos” </w:t>
      </w:r>
      <w:r>
        <w:rPr>
          <w:color w:val="231F20"/>
        </w:rPr>
        <w:t>que </w:t>
      </w:r>
      <w:r>
        <w:rPr>
          <w:color w:val="231F20"/>
          <w:spacing w:val="2"/>
        </w:rPr>
        <w:t>articulan </w:t>
      </w:r>
      <w:r>
        <w:rPr>
          <w:color w:val="231F20"/>
        </w:rPr>
        <w:t>la </w:t>
      </w:r>
      <w:r>
        <w:rPr>
          <w:color w:val="231F20"/>
          <w:spacing w:val="3"/>
        </w:rPr>
        <w:t>“información” </w:t>
      </w:r>
      <w:r>
        <w:rPr>
          <w:color w:val="231F20"/>
        </w:rPr>
        <w:t>que </w:t>
      </w:r>
      <w:r>
        <w:rPr>
          <w:color w:val="231F20"/>
          <w:spacing w:val="2"/>
        </w:rPr>
        <w:t>tienen </w:t>
      </w:r>
      <w:r>
        <w:rPr>
          <w:color w:val="231F20"/>
        </w:rPr>
        <w:t>a  </w:t>
      </w:r>
      <w:r>
        <w:rPr>
          <w:color w:val="231F20"/>
          <w:spacing w:val="3"/>
        </w:rPr>
        <w:t>propósito</w:t>
      </w:r>
      <w:r>
        <w:rPr>
          <w:color w:val="231F20"/>
          <w:spacing w:val="58"/>
        </w:rPr>
        <w:t> </w:t>
      </w:r>
      <w:r>
        <w:rPr>
          <w:color w:val="231F20"/>
        </w:rPr>
        <w:t>del </w:t>
      </w:r>
      <w:r>
        <w:rPr>
          <w:color w:val="231F20"/>
          <w:spacing w:val="2"/>
        </w:rPr>
        <w:t>científico, </w:t>
      </w:r>
      <w:r>
        <w:rPr>
          <w:color w:val="231F20"/>
        </w:rPr>
        <w:t>así </w:t>
      </w:r>
      <w:r>
        <w:rPr>
          <w:color w:val="231F20"/>
          <w:spacing w:val="3"/>
        </w:rPr>
        <w:t>como </w:t>
      </w:r>
      <w:r>
        <w:rPr>
          <w:color w:val="231F20"/>
        </w:rPr>
        <w:t>las </w:t>
      </w:r>
      <w:r>
        <w:rPr>
          <w:color w:val="231F20"/>
          <w:spacing w:val="2"/>
        </w:rPr>
        <w:t>actitudes </w:t>
      </w:r>
      <w:r>
        <w:rPr>
          <w:color w:val="231F20"/>
        </w:rPr>
        <w:t>e </w:t>
      </w:r>
      <w:r>
        <w:rPr>
          <w:rFonts w:ascii="Palatino Linotype" w:hAnsi="Palatino Linotype"/>
          <w:i/>
          <w:color w:val="231F20"/>
        </w:rPr>
        <w:t>illusio </w:t>
      </w:r>
      <w:r>
        <w:rPr>
          <w:color w:val="231F20"/>
        </w:rPr>
        <w:t>que la </w:t>
      </w:r>
      <w:r>
        <w:rPr>
          <w:color w:val="231F20"/>
          <w:spacing w:val="3"/>
        </w:rPr>
        <w:t>mueve.</w:t>
      </w:r>
    </w:p>
    <w:p>
      <w:pPr>
        <w:pStyle w:val="BodyText"/>
        <w:spacing w:line="244" w:lineRule="auto"/>
        <w:ind w:left="101" w:right="116" w:firstLine="284"/>
        <w:jc w:val="both"/>
      </w:pPr>
      <w:r>
        <w:rPr>
          <w:color w:val="231F20"/>
          <w:spacing w:val="3"/>
        </w:rPr>
        <w:t>Fueron </w:t>
      </w:r>
      <w:r>
        <w:rPr>
          <w:color w:val="231F20"/>
          <w:spacing w:val="2"/>
        </w:rPr>
        <w:t>valiosas esas teorías </w:t>
      </w:r>
      <w:r>
        <w:rPr>
          <w:color w:val="231F20"/>
        </w:rPr>
        <w:t>y </w:t>
      </w:r>
      <w:r>
        <w:rPr>
          <w:color w:val="231F20"/>
          <w:spacing w:val="2"/>
        </w:rPr>
        <w:t>sus  </w:t>
      </w:r>
      <w:r>
        <w:rPr>
          <w:color w:val="231F20"/>
          <w:spacing w:val="3"/>
        </w:rPr>
        <w:t>conceptos</w:t>
      </w:r>
      <w:r>
        <w:rPr>
          <w:color w:val="231F20"/>
          <w:spacing w:val="58"/>
        </w:rPr>
        <w:t> </w:t>
      </w:r>
      <w:r>
        <w:rPr>
          <w:color w:val="231F20"/>
          <w:spacing w:val="3"/>
        </w:rPr>
        <w:t>porque </w:t>
      </w:r>
      <w:r>
        <w:rPr>
          <w:color w:val="231F20"/>
          <w:spacing w:val="2"/>
        </w:rPr>
        <w:t>permitieron </w:t>
      </w:r>
      <w:r>
        <w:rPr>
          <w:color w:val="231F20"/>
          <w:spacing w:val="3"/>
        </w:rPr>
        <w:t>encontrar </w:t>
      </w:r>
      <w:r>
        <w:rPr>
          <w:color w:val="231F20"/>
        </w:rPr>
        <w:t>el </w:t>
      </w:r>
      <w:r>
        <w:rPr>
          <w:color w:val="231F20"/>
          <w:spacing w:val="3"/>
        </w:rPr>
        <w:t>conocimiento </w:t>
      </w:r>
      <w:r>
        <w:rPr>
          <w:color w:val="231F20"/>
          <w:spacing w:val="2"/>
        </w:rPr>
        <w:t>tácito con </w:t>
      </w:r>
      <w:r>
        <w:rPr>
          <w:color w:val="231F20"/>
        </w:rPr>
        <w:t>que </w:t>
      </w:r>
      <w:r>
        <w:rPr>
          <w:color w:val="231F20"/>
          <w:spacing w:val="2"/>
        </w:rPr>
        <w:t>los jóvenes participan </w:t>
      </w:r>
      <w:r>
        <w:rPr>
          <w:color w:val="231F20"/>
        </w:rPr>
        <w:t>en la </w:t>
      </w:r>
      <w:r>
        <w:rPr>
          <w:color w:val="231F20"/>
          <w:spacing w:val="2"/>
        </w:rPr>
        <w:t>transmisión </w:t>
      </w:r>
      <w:r>
        <w:rPr>
          <w:color w:val="231F20"/>
        </w:rPr>
        <w:t>del </w:t>
      </w:r>
      <w:r>
        <w:rPr>
          <w:color w:val="231F20"/>
          <w:spacing w:val="2"/>
        </w:rPr>
        <w:t>oficio científico. </w:t>
      </w:r>
      <w:r>
        <w:rPr>
          <w:color w:val="231F20"/>
          <w:spacing w:val="3"/>
        </w:rPr>
        <w:t>Reconocer </w:t>
      </w:r>
      <w:r>
        <w:rPr>
          <w:color w:val="231F20"/>
        </w:rPr>
        <w:t>sus </w:t>
      </w:r>
      <w:r>
        <w:rPr>
          <w:color w:val="231F20"/>
          <w:spacing w:val="3"/>
        </w:rPr>
        <w:t>representaciones </w:t>
      </w:r>
      <w:r>
        <w:rPr>
          <w:color w:val="231F20"/>
          <w:spacing w:val="2"/>
        </w:rPr>
        <w:t>sociales, deja </w:t>
      </w:r>
      <w:r>
        <w:rPr>
          <w:color w:val="231F20"/>
        </w:rPr>
        <w:t>ver que </w:t>
      </w:r>
      <w:r>
        <w:rPr>
          <w:color w:val="231F20"/>
          <w:spacing w:val="2"/>
        </w:rPr>
        <w:t>están </w:t>
      </w:r>
      <w:r>
        <w:rPr>
          <w:color w:val="231F20"/>
          <w:spacing w:val="3"/>
        </w:rPr>
        <w:t>compuestas </w:t>
      </w:r>
      <w:r>
        <w:rPr>
          <w:color w:val="231F20"/>
          <w:spacing w:val="2"/>
        </w:rPr>
        <w:t>por  masas </w:t>
      </w:r>
      <w:r>
        <w:rPr>
          <w:color w:val="231F20"/>
        </w:rPr>
        <w:t>de </w:t>
      </w:r>
      <w:r>
        <w:rPr>
          <w:color w:val="231F20"/>
          <w:spacing w:val="2"/>
        </w:rPr>
        <w:t>representaciones que tienen cierto grado </w:t>
      </w:r>
      <w:r>
        <w:rPr>
          <w:color w:val="231F20"/>
        </w:rPr>
        <w:t>de </w:t>
      </w:r>
      <w:r>
        <w:rPr>
          <w:color w:val="231F20"/>
          <w:spacing w:val="2"/>
        </w:rPr>
        <w:t>coherencia: los estudiantes –en </w:t>
      </w:r>
      <w:r>
        <w:rPr>
          <w:color w:val="231F20"/>
        </w:rPr>
        <w:t>su </w:t>
      </w:r>
      <w:r>
        <w:rPr>
          <w:color w:val="231F20"/>
          <w:spacing w:val="2"/>
        </w:rPr>
        <w:t>mayoría– expresaron “no me identifico </w:t>
      </w:r>
      <w:r>
        <w:rPr>
          <w:color w:val="231F20"/>
          <w:spacing w:val="3"/>
        </w:rPr>
        <w:t>con</w:t>
      </w:r>
      <w:r>
        <w:rPr>
          <w:color w:val="231F20"/>
          <w:spacing w:val="58"/>
        </w:rPr>
        <w:t> </w:t>
      </w:r>
      <w:r>
        <w:rPr>
          <w:color w:val="231F20"/>
        </w:rPr>
        <w:t>el </w:t>
      </w:r>
      <w:r>
        <w:rPr>
          <w:color w:val="231F20"/>
          <w:spacing w:val="2"/>
        </w:rPr>
        <w:t>rol </w:t>
      </w:r>
      <w:r>
        <w:rPr>
          <w:color w:val="231F20"/>
        </w:rPr>
        <w:t>de </w:t>
      </w:r>
      <w:r>
        <w:rPr>
          <w:color w:val="231F20"/>
          <w:spacing w:val="2"/>
        </w:rPr>
        <w:t>científico, solo soy </w:t>
      </w:r>
      <w:r>
        <w:rPr>
          <w:color w:val="231F20"/>
        </w:rPr>
        <w:t>un </w:t>
      </w:r>
      <w:r>
        <w:rPr>
          <w:color w:val="231F20"/>
          <w:spacing w:val="2"/>
        </w:rPr>
        <w:t>psicólogo”. No saber cuál </w:t>
      </w:r>
      <w:r>
        <w:rPr>
          <w:color w:val="231F20"/>
        </w:rPr>
        <w:t>es su </w:t>
      </w:r>
      <w:r>
        <w:rPr>
          <w:rFonts w:ascii="Palatino Linotype" w:hAnsi="Palatino Linotype"/>
          <w:i/>
          <w:color w:val="231F20"/>
        </w:rPr>
        <w:t>illusio </w:t>
      </w:r>
      <w:r>
        <w:rPr>
          <w:color w:val="231F20"/>
          <w:spacing w:val="2"/>
        </w:rPr>
        <w:t>llevaría </w:t>
      </w:r>
      <w:r>
        <w:rPr>
          <w:color w:val="231F20"/>
        </w:rPr>
        <w:t>a </w:t>
      </w:r>
      <w:r>
        <w:rPr>
          <w:color w:val="231F20"/>
          <w:spacing w:val="3"/>
        </w:rPr>
        <w:t>contemplar </w:t>
      </w:r>
      <w:r>
        <w:rPr>
          <w:color w:val="231F20"/>
        </w:rPr>
        <w:t>la </w:t>
      </w:r>
      <w:r>
        <w:rPr>
          <w:color w:val="231F20"/>
          <w:spacing w:val="3"/>
        </w:rPr>
        <w:t>formación </w:t>
      </w:r>
      <w:r>
        <w:rPr>
          <w:color w:val="231F20"/>
          <w:spacing w:val="2"/>
        </w:rPr>
        <w:t>del espíritu científico </w:t>
      </w:r>
      <w:r>
        <w:rPr>
          <w:color w:val="231F20"/>
          <w:spacing w:val="3"/>
        </w:rPr>
        <w:t>como </w:t>
      </w:r>
      <w:r>
        <w:rPr>
          <w:color w:val="231F20"/>
          <w:spacing w:val="2"/>
        </w:rPr>
        <w:t>una cuestión técnica: ignoran </w:t>
      </w:r>
      <w:r>
        <w:rPr>
          <w:color w:val="231F20"/>
          <w:spacing w:val="3"/>
        </w:rPr>
        <w:t>métodos </w:t>
      </w:r>
      <w:r>
        <w:rPr>
          <w:color w:val="231F20"/>
          <w:spacing w:val="2"/>
        </w:rPr>
        <w:t>sobre </w:t>
      </w:r>
      <w:r>
        <w:rPr>
          <w:color w:val="231F20"/>
          <w:spacing w:val="3"/>
        </w:rPr>
        <w:t>cómo </w:t>
      </w:r>
      <w:r>
        <w:rPr>
          <w:color w:val="231F20"/>
          <w:spacing w:val="2"/>
        </w:rPr>
        <w:t>investigar, </w:t>
      </w:r>
      <w:r>
        <w:rPr>
          <w:color w:val="231F20"/>
          <w:spacing w:val="3"/>
        </w:rPr>
        <w:t>entonces, </w:t>
      </w:r>
      <w:r>
        <w:rPr>
          <w:color w:val="231F20"/>
        </w:rPr>
        <w:t>es </w:t>
      </w:r>
      <w:r>
        <w:rPr>
          <w:color w:val="231F20"/>
          <w:spacing w:val="2"/>
        </w:rPr>
        <w:t>necesario ofrecérselos; </w:t>
      </w:r>
      <w:r>
        <w:rPr>
          <w:color w:val="231F20"/>
        </w:rPr>
        <w:t>en la </w:t>
      </w:r>
      <w:r>
        <w:rPr>
          <w:color w:val="231F20"/>
          <w:spacing w:val="2"/>
        </w:rPr>
        <w:t>actualidad </w:t>
      </w:r>
      <w:r>
        <w:rPr>
          <w:color w:val="231F20"/>
        </w:rPr>
        <w:t>es </w:t>
      </w:r>
      <w:r>
        <w:rPr>
          <w:color w:val="231F20"/>
          <w:spacing w:val="2"/>
        </w:rPr>
        <w:t>usual que </w:t>
      </w:r>
      <w:r>
        <w:rPr>
          <w:color w:val="231F20"/>
        </w:rPr>
        <w:t>eso </w:t>
      </w:r>
      <w:r>
        <w:rPr>
          <w:color w:val="231F20"/>
          <w:spacing w:val="2"/>
        </w:rPr>
        <w:t>acontezca </w:t>
      </w:r>
      <w:r>
        <w:rPr>
          <w:color w:val="231F20"/>
        </w:rPr>
        <w:t>en la </w:t>
      </w:r>
      <w:r>
        <w:rPr>
          <w:color w:val="231F20"/>
          <w:spacing w:val="2"/>
        </w:rPr>
        <w:t>Facultad </w:t>
      </w:r>
      <w:r>
        <w:rPr>
          <w:color w:val="231F20"/>
        </w:rPr>
        <w:t>de </w:t>
      </w:r>
      <w:r>
        <w:rPr>
          <w:color w:val="231F20"/>
          <w:spacing w:val="3"/>
        </w:rPr>
        <w:t>Psicología.</w:t>
      </w:r>
    </w:p>
    <w:p>
      <w:pPr>
        <w:pStyle w:val="BodyText"/>
        <w:spacing w:line="247" w:lineRule="auto" w:before="3"/>
        <w:ind w:left="102" w:right="119" w:firstLine="284"/>
        <w:jc w:val="both"/>
      </w:pPr>
      <w:r>
        <w:rPr>
          <w:color w:val="231F20"/>
        </w:rPr>
        <w:t>Imponer una nueva representación social legítima del científico debiera llevar a colocar en el centro de los diálogos y pláticas –de maestros y estudiantes encargados de la transmisión del oficio de científico– la representación social que maestros y estudiantes portan. Quizá sobre la base de provocar un conflicto cognitivo, al ejercer violencia simbólica con autoridad pedagógica y mediante trabajo pedagógico, efectivamente, se permite un proceso irreductible:  transformar  la  representación  social  –de  la  que se</w:t>
      </w:r>
    </w:p>
    <w:p>
      <w:pPr>
        <w:spacing w:after="0" w:line="247" w:lineRule="auto"/>
        <w:jc w:val="both"/>
        <w:sectPr>
          <w:headerReference w:type="default" r:id="rId403"/>
          <w:footerReference w:type="default" r:id="rId404"/>
          <w:pgSz w:w="7830" w:h="11910"/>
          <w:pgMar w:header="0" w:footer="424" w:top="500" w:bottom="620" w:left="920" w:right="900"/>
          <w:pgNumType w:start="18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8"/>
        <w:rPr>
          <w:sz w:val="23"/>
        </w:rPr>
      </w:pPr>
    </w:p>
    <w:p>
      <w:pPr>
        <w:pStyle w:val="BodyText"/>
        <w:spacing w:line="250" w:lineRule="exact"/>
        <w:ind w:left="102" w:right="119"/>
        <w:jc w:val="both"/>
      </w:pPr>
      <w:r>
        <w:rPr>
          <w:color w:val="231F20"/>
          <w:spacing w:val="3"/>
        </w:rPr>
        <w:t>apropiaron </w:t>
      </w:r>
      <w:r>
        <w:rPr>
          <w:color w:val="231F20"/>
          <w:spacing w:val="2"/>
        </w:rPr>
        <w:t>los estudiantes estando fuera </w:t>
      </w:r>
      <w:r>
        <w:rPr>
          <w:color w:val="231F20"/>
        </w:rPr>
        <w:t>del  </w:t>
      </w:r>
      <w:r>
        <w:rPr>
          <w:color w:val="231F20"/>
          <w:spacing w:val="3"/>
        </w:rPr>
        <w:t>campo </w:t>
      </w:r>
      <w:r>
        <w:rPr>
          <w:color w:val="231F20"/>
          <w:spacing w:val="2"/>
        </w:rPr>
        <w:t>educativo </w:t>
      </w:r>
      <w:r>
        <w:rPr>
          <w:color w:val="231F20"/>
        </w:rPr>
        <w:t>de  la </w:t>
      </w:r>
      <w:r>
        <w:rPr>
          <w:color w:val="231F20"/>
          <w:spacing w:val="2"/>
        </w:rPr>
        <w:t>facultad– </w:t>
      </w:r>
      <w:r>
        <w:rPr>
          <w:color w:val="231F20"/>
        </w:rPr>
        <w:t>a </w:t>
      </w:r>
      <w:r>
        <w:rPr>
          <w:color w:val="231F20"/>
          <w:spacing w:val="2"/>
        </w:rPr>
        <w:t>otra </w:t>
      </w:r>
      <w:r>
        <w:rPr>
          <w:color w:val="231F20"/>
        </w:rPr>
        <w:t>que </w:t>
      </w:r>
      <w:r>
        <w:rPr>
          <w:color w:val="231F20"/>
          <w:spacing w:val="2"/>
        </w:rPr>
        <w:t>tuviese </w:t>
      </w:r>
      <w:r>
        <w:rPr>
          <w:color w:val="231F20"/>
        </w:rPr>
        <w:t>un </w:t>
      </w:r>
      <w:r>
        <w:rPr>
          <w:color w:val="231F20"/>
          <w:spacing w:val="2"/>
        </w:rPr>
        <w:t>núcleo figurativo, </w:t>
      </w:r>
      <w:r>
        <w:rPr>
          <w:color w:val="231F20"/>
          <w:spacing w:val="3"/>
        </w:rPr>
        <w:t>información, </w:t>
      </w:r>
      <w:r>
        <w:rPr>
          <w:color w:val="231F20"/>
          <w:spacing w:val="2"/>
        </w:rPr>
        <w:t>actitudes, </w:t>
      </w:r>
      <w:r>
        <w:rPr>
          <w:rFonts w:ascii="Palatino Linotype" w:hAnsi="Palatino Linotype"/>
          <w:i/>
          <w:color w:val="231F20"/>
        </w:rPr>
        <w:t>illusio </w:t>
      </w:r>
      <w:r>
        <w:rPr>
          <w:color w:val="231F20"/>
        </w:rPr>
        <w:t>y </w:t>
      </w:r>
      <w:r>
        <w:rPr>
          <w:rFonts w:ascii="Palatino Linotype" w:hAnsi="Palatino Linotype"/>
          <w:i/>
          <w:color w:val="231F20"/>
          <w:spacing w:val="2"/>
        </w:rPr>
        <w:t>habitus </w:t>
      </w:r>
      <w:r>
        <w:rPr>
          <w:color w:val="231F20"/>
          <w:spacing w:val="2"/>
        </w:rPr>
        <w:t>más pertinentes para identificarse con </w:t>
      </w:r>
      <w:r>
        <w:rPr>
          <w:color w:val="231F20"/>
        </w:rPr>
        <w:t>el </w:t>
      </w:r>
      <w:r>
        <w:rPr>
          <w:color w:val="231F20"/>
          <w:spacing w:val="2"/>
        </w:rPr>
        <w:t>oficio </w:t>
      </w:r>
      <w:r>
        <w:rPr>
          <w:color w:val="231F20"/>
        </w:rPr>
        <w:t>de </w:t>
      </w:r>
      <w:r>
        <w:rPr>
          <w:color w:val="231F20"/>
          <w:spacing w:val="2"/>
        </w:rPr>
        <w:t>producir</w:t>
      </w:r>
      <w:r>
        <w:rPr>
          <w:color w:val="231F20"/>
          <w:spacing w:val="1"/>
        </w:rPr>
        <w:t> </w:t>
      </w:r>
      <w:r>
        <w:rPr>
          <w:color w:val="231F20"/>
          <w:spacing w:val="2"/>
        </w:rPr>
        <w:t>ciencia.</w:t>
      </w:r>
    </w:p>
    <w:p>
      <w:pPr>
        <w:pStyle w:val="BodyText"/>
        <w:spacing w:line="249" w:lineRule="auto" w:before="3"/>
        <w:ind w:left="102" w:right="114" w:firstLine="284"/>
        <w:jc w:val="both"/>
      </w:pPr>
      <w:r>
        <w:rPr>
          <w:color w:val="231F20"/>
        </w:rPr>
        <w:t>Como bien señaló Herbart, las representaciones son ideas y sentimientos que constituyen masas de representaciones intrínsecamente u orgánicamente vinculadas,para modificarlas y conseguir la educabilidad (ya sea de una representación específica o de masas de representaciones), la transmisión del oficio; es necesario actuar sobre lo que los estudiantes se apropiaron en sus procesos de socialización y educación previos,ellos llegan con bases,con paradigmas heredados.</w:t>
      </w:r>
    </w:p>
    <w:p>
      <w:pPr>
        <w:pStyle w:val="BodyText"/>
        <w:spacing w:line="244" w:lineRule="auto"/>
        <w:ind w:left="102" w:right="112" w:firstLine="284"/>
        <w:jc w:val="both"/>
      </w:pPr>
      <w:r>
        <w:rPr>
          <w:color w:val="231F20"/>
        </w:rPr>
        <w:t>Si el trabajo pedagógico, únicamente, considera la escasa información que los estudiantes poseen, será difícil modificar las representaciones sociales de los estudiantes. Es indispensable, conviene reiterar, vincular lo que ellos admiten como verdadero – precisamente sus representaciones sociales y sus masas de representaciones– con otras formas de ser y de valorar, con otros </w:t>
      </w:r>
      <w:r>
        <w:rPr>
          <w:rFonts w:ascii="Palatino Linotype" w:hAnsi="Palatino Linotype"/>
          <w:i/>
          <w:color w:val="231F20"/>
        </w:rPr>
        <w:t>habitus </w:t>
      </w:r>
      <w:r>
        <w:rPr>
          <w:color w:val="231F20"/>
        </w:rPr>
        <w:t>y con otras representaciones sociales. Las actitudes estudiantiles que aquí se documentaron son una base para iniciar procesos dialógicos. En ellos los estudiantes debieran ser confrontados por la autoridad pedagógica. La confrontación- ejercicio de la violencia simbólica reduce sus condiciones de incertidumbre –para lograr la eficiencia de modificar las representaciones sociales– si se parte de aquello que los jóvenes detestan y de lo que aprecian de forma positiva (actitud-formas de ser y de valorar).</w:t>
      </w:r>
    </w:p>
    <w:p>
      <w:pPr>
        <w:pStyle w:val="BodyText"/>
        <w:spacing w:line="249" w:lineRule="auto" w:before="3"/>
        <w:ind w:left="103" w:right="113" w:firstLine="284"/>
        <w:jc w:val="right"/>
      </w:pPr>
      <w:r>
        <w:rPr>
          <w:color w:val="231F20"/>
          <w:spacing w:val="3"/>
        </w:rPr>
        <w:t>También </w:t>
      </w:r>
      <w:r>
        <w:rPr>
          <w:color w:val="231F20"/>
          <w:spacing w:val="2"/>
        </w:rPr>
        <w:t>tendrá </w:t>
      </w:r>
      <w:r>
        <w:rPr>
          <w:color w:val="231F20"/>
          <w:spacing w:val="3"/>
        </w:rPr>
        <w:t>mayores </w:t>
      </w:r>
      <w:r>
        <w:rPr>
          <w:color w:val="231F20"/>
          <w:spacing w:val="2"/>
        </w:rPr>
        <w:t>posibilidades </w:t>
      </w:r>
      <w:r>
        <w:rPr>
          <w:color w:val="231F20"/>
        </w:rPr>
        <w:t>de</w:t>
      </w:r>
      <w:r>
        <w:rPr>
          <w:color w:val="231F20"/>
          <w:spacing w:val="13"/>
        </w:rPr>
        <w:t> </w:t>
      </w:r>
      <w:r>
        <w:rPr>
          <w:color w:val="231F20"/>
          <w:spacing w:val="2"/>
        </w:rPr>
        <w:t>éxito-eficiencia</w:t>
      </w:r>
      <w:r>
        <w:rPr>
          <w:color w:val="231F20"/>
          <w:spacing w:val="49"/>
        </w:rPr>
        <w:t> </w:t>
      </w:r>
      <w:r>
        <w:rPr>
          <w:color w:val="231F20"/>
        </w:rPr>
        <w:t>la</w:t>
      </w:r>
      <w:r>
        <w:rPr>
          <w:color w:val="231F20"/>
          <w:w w:val="94"/>
        </w:rPr>
        <w:t> </w:t>
      </w:r>
      <w:r>
        <w:rPr>
          <w:color w:val="231F20"/>
          <w:spacing w:val="2"/>
        </w:rPr>
        <w:t>transmisión </w:t>
      </w:r>
      <w:r>
        <w:rPr>
          <w:color w:val="231F20"/>
        </w:rPr>
        <w:t>del </w:t>
      </w:r>
      <w:r>
        <w:rPr>
          <w:color w:val="231F20"/>
          <w:spacing w:val="2"/>
        </w:rPr>
        <w:t>oficio </w:t>
      </w:r>
      <w:r>
        <w:rPr>
          <w:color w:val="231F20"/>
        </w:rPr>
        <w:t>de </w:t>
      </w:r>
      <w:r>
        <w:rPr>
          <w:color w:val="231F20"/>
          <w:spacing w:val="2"/>
        </w:rPr>
        <w:t>investigar </w:t>
      </w:r>
      <w:r>
        <w:rPr>
          <w:color w:val="231F20"/>
        </w:rPr>
        <w:t>si se </w:t>
      </w:r>
      <w:r>
        <w:rPr>
          <w:color w:val="231F20"/>
          <w:spacing w:val="2"/>
        </w:rPr>
        <w:t>hace ver </w:t>
      </w:r>
      <w:r>
        <w:rPr>
          <w:color w:val="231F20"/>
        </w:rPr>
        <w:t>a</w:t>
      </w:r>
      <w:r>
        <w:rPr>
          <w:color w:val="231F20"/>
          <w:spacing w:val="14"/>
        </w:rPr>
        <w:t> </w:t>
      </w:r>
      <w:r>
        <w:rPr>
          <w:color w:val="231F20"/>
          <w:spacing w:val="2"/>
        </w:rPr>
        <w:t>los</w:t>
      </w:r>
      <w:r>
        <w:rPr>
          <w:color w:val="231F20"/>
          <w:spacing w:val="7"/>
        </w:rPr>
        <w:t> </w:t>
      </w:r>
      <w:r>
        <w:rPr>
          <w:color w:val="231F20"/>
          <w:spacing w:val="2"/>
        </w:rPr>
        <w:t>estudiantes</w:t>
      </w:r>
      <w:r>
        <w:rPr>
          <w:color w:val="231F20"/>
          <w:w w:val="96"/>
        </w:rPr>
        <w:t> </w:t>
      </w:r>
      <w:r>
        <w:rPr>
          <w:color w:val="231F20"/>
        </w:rPr>
        <w:t>la </w:t>
      </w:r>
      <w:r>
        <w:rPr>
          <w:color w:val="231F20"/>
          <w:spacing w:val="3"/>
        </w:rPr>
        <w:t>pobreza </w:t>
      </w:r>
      <w:r>
        <w:rPr>
          <w:color w:val="231F20"/>
        </w:rPr>
        <w:t>y lo </w:t>
      </w:r>
      <w:r>
        <w:rPr>
          <w:color w:val="231F20"/>
          <w:spacing w:val="2"/>
        </w:rPr>
        <w:t>erróneo </w:t>
      </w:r>
      <w:r>
        <w:rPr>
          <w:color w:val="231F20"/>
        </w:rPr>
        <w:t>de la </w:t>
      </w:r>
      <w:r>
        <w:rPr>
          <w:color w:val="231F20"/>
          <w:spacing w:val="3"/>
        </w:rPr>
        <w:t>información </w:t>
      </w:r>
      <w:r>
        <w:rPr>
          <w:color w:val="231F20"/>
          <w:spacing w:val="2"/>
        </w:rPr>
        <w:t>que poseen</w:t>
      </w:r>
      <w:r>
        <w:rPr>
          <w:color w:val="231F20"/>
          <w:spacing w:val="12"/>
        </w:rPr>
        <w:t> </w:t>
      </w:r>
      <w:r>
        <w:rPr>
          <w:color w:val="231F20"/>
          <w:spacing w:val="2"/>
        </w:rPr>
        <w:t>sobre</w:t>
      </w:r>
      <w:r>
        <w:rPr>
          <w:color w:val="231F20"/>
          <w:spacing w:val="44"/>
        </w:rPr>
        <w:t> </w:t>
      </w:r>
      <w:r>
        <w:rPr>
          <w:color w:val="231F20"/>
        </w:rPr>
        <w:t>el</w:t>
      </w:r>
      <w:r>
        <w:rPr>
          <w:color w:val="231F20"/>
          <w:w w:val="84"/>
        </w:rPr>
        <w:t> </w:t>
      </w:r>
      <w:r>
        <w:rPr>
          <w:color w:val="231F20"/>
          <w:spacing w:val="2"/>
        </w:rPr>
        <w:t>espíritu científico. Acaso </w:t>
      </w:r>
      <w:r>
        <w:rPr>
          <w:color w:val="231F20"/>
        </w:rPr>
        <w:t>un </w:t>
      </w:r>
      <w:r>
        <w:rPr>
          <w:color w:val="231F20"/>
          <w:spacing w:val="3"/>
        </w:rPr>
        <w:t>argumento fundamental</w:t>
      </w:r>
      <w:r>
        <w:rPr>
          <w:color w:val="231F20"/>
          <w:spacing w:val="26"/>
        </w:rPr>
        <w:t> </w:t>
      </w:r>
      <w:r>
        <w:rPr>
          <w:color w:val="231F20"/>
        </w:rPr>
        <w:t>sea</w:t>
      </w:r>
      <w:r>
        <w:rPr>
          <w:color w:val="231F20"/>
          <w:spacing w:val="15"/>
        </w:rPr>
        <w:t> </w:t>
      </w:r>
      <w:r>
        <w:rPr>
          <w:color w:val="231F20"/>
          <w:spacing w:val="2"/>
        </w:rPr>
        <w:t>llevarlos</w:t>
      </w:r>
      <w:r>
        <w:rPr>
          <w:color w:val="231F20"/>
          <w:w w:val="96"/>
        </w:rPr>
        <w:t> </w:t>
      </w:r>
      <w:r>
        <w:rPr>
          <w:color w:val="231F20"/>
        </w:rPr>
        <w:t>a que </w:t>
      </w:r>
      <w:r>
        <w:rPr>
          <w:color w:val="231F20"/>
          <w:spacing w:val="2"/>
        </w:rPr>
        <w:t>valoren </w:t>
      </w:r>
      <w:r>
        <w:rPr>
          <w:color w:val="231F20"/>
        </w:rPr>
        <w:t>que </w:t>
      </w:r>
      <w:r>
        <w:rPr>
          <w:color w:val="231F20"/>
          <w:spacing w:val="3"/>
        </w:rPr>
        <w:t>desconocen </w:t>
      </w:r>
      <w:r>
        <w:rPr>
          <w:color w:val="231F20"/>
        </w:rPr>
        <w:t>a un </w:t>
      </w:r>
      <w:r>
        <w:rPr>
          <w:color w:val="231F20"/>
          <w:spacing w:val="2"/>
        </w:rPr>
        <w:t>investigador</w:t>
      </w:r>
      <w:r>
        <w:rPr>
          <w:color w:val="231F20"/>
          <w:spacing w:val="35"/>
        </w:rPr>
        <w:t> </w:t>
      </w:r>
      <w:r>
        <w:rPr>
          <w:color w:val="231F20"/>
          <w:spacing w:val="2"/>
        </w:rPr>
        <w:t>específico:</w:t>
      </w:r>
      <w:r>
        <w:rPr>
          <w:color w:val="231F20"/>
          <w:spacing w:val="51"/>
        </w:rPr>
        <w:t> </w:t>
      </w:r>
      <w:r>
        <w:rPr>
          <w:color w:val="231F20"/>
        </w:rPr>
        <w:t>lo</w:t>
      </w:r>
      <w:r>
        <w:rPr>
          <w:color w:val="231F20"/>
          <w:w w:val="104"/>
        </w:rPr>
        <w:t> </w:t>
      </w:r>
      <w:r>
        <w:rPr>
          <w:color w:val="231F20"/>
          <w:spacing w:val="2"/>
        </w:rPr>
        <w:t>extraño ajeno (investigador </w:t>
      </w:r>
      <w:r>
        <w:rPr>
          <w:color w:val="231F20"/>
        </w:rPr>
        <w:t>de </w:t>
      </w:r>
      <w:r>
        <w:rPr>
          <w:color w:val="231F20"/>
          <w:spacing w:val="2"/>
        </w:rPr>
        <w:t>“carne </w:t>
      </w:r>
      <w:r>
        <w:rPr>
          <w:color w:val="231F20"/>
        </w:rPr>
        <w:t>y </w:t>
      </w:r>
      <w:r>
        <w:rPr>
          <w:color w:val="231F20"/>
          <w:spacing w:val="3"/>
        </w:rPr>
        <w:t>hueso”) </w:t>
      </w:r>
      <w:r>
        <w:rPr>
          <w:color w:val="231F20"/>
        </w:rPr>
        <w:t>lo</w:t>
      </w:r>
      <w:r>
        <w:rPr>
          <w:color w:val="231F20"/>
          <w:spacing w:val="15"/>
        </w:rPr>
        <w:t> </w:t>
      </w:r>
      <w:r>
        <w:rPr>
          <w:color w:val="231F20"/>
          <w:spacing w:val="2"/>
        </w:rPr>
        <w:t>convirtieron</w:t>
      </w:r>
      <w:r>
        <w:rPr>
          <w:color w:val="231F20"/>
          <w:spacing w:val="10"/>
        </w:rPr>
        <w:t> </w:t>
      </w:r>
      <w:r>
        <w:rPr>
          <w:color w:val="231F20"/>
        </w:rPr>
        <w:t>en</w:t>
      </w:r>
      <w:r>
        <w:rPr>
          <w:color w:val="231F20"/>
          <w:w w:val="104"/>
        </w:rPr>
        <w:t> </w:t>
      </w:r>
      <w:r>
        <w:rPr>
          <w:color w:val="231F20"/>
          <w:spacing w:val="2"/>
        </w:rPr>
        <w:t>familiar: sobre </w:t>
      </w:r>
      <w:r>
        <w:rPr>
          <w:color w:val="231F20"/>
        </w:rPr>
        <w:t>la </w:t>
      </w:r>
      <w:r>
        <w:rPr>
          <w:color w:val="231F20"/>
          <w:spacing w:val="2"/>
        </w:rPr>
        <w:t>base </w:t>
      </w:r>
      <w:r>
        <w:rPr>
          <w:color w:val="231F20"/>
        </w:rPr>
        <w:t>de las </w:t>
      </w:r>
      <w:r>
        <w:rPr>
          <w:color w:val="231F20"/>
          <w:spacing w:val="3"/>
        </w:rPr>
        <w:t>representaciones</w:t>
      </w:r>
      <w:r>
        <w:rPr>
          <w:color w:val="231F20"/>
          <w:spacing w:val="39"/>
        </w:rPr>
        <w:t> </w:t>
      </w:r>
      <w:r>
        <w:rPr>
          <w:color w:val="231F20"/>
          <w:spacing w:val="2"/>
        </w:rPr>
        <w:t>sociales</w:t>
      </w:r>
      <w:r>
        <w:rPr>
          <w:color w:val="231F20"/>
          <w:spacing w:val="36"/>
        </w:rPr>
        <w:t> </w:t>
      </w:r>
      <w:r>
        <w:rPr>
          <w:color w:val="231F20"/>
          <w:spacing w:val="3"/>
        </w:rPr>
        <w:t>que</w:t>
      </w:r>
      <w:r>
        <w:rPr>
          <w:color w:val="231F20"/>
          <w:spacing w:val="3"/>
          <w:w w:val="99"/>
        </w:rPr>
        <w:t> </w:t>
      </w:r>
      <w:r>
        <w:rPr>
          <w:color w:val="231F20"/>
          <w:spacing w:val="3"/>
        </w:rPr>
        <w:t>conformaron </w:t>
      </w:r>
      <w:r>
        <w:rPr>
          <w:color w:val="231F20"/>
        </w:rPr>
        <w:t>en </w:t>
      </w:r>
      <w:r>
        <w:rPr>
          <w:color w:val="231F20"/>
          <w:spacing w:val="2"/>
        </w:rPr>
        <w:t>actos </w:t>
      </w:r>
      <w:r>
        <w:rPr>
          <w:color w:val="231F20"/>
          <w:spacing w:val="3"/>
        </w:rPr>
        <w:t>comunicativos </w:t>
      </w:r>
      <w:r>
        <w:rPr>
          <w:color w:val="231F20"/>
          <w:spacing w:val="2"/>
        </w:rPr>
        <w:t>con </w:t>
      </w:r>
      <w:r>
        <w:rPr>
          <w:color w:val="231F20"/>
          <w:spacing w:val="3"/>
        </w:rPr>
        <w:t>personas </w:t>
      </w:r>
      <w:r>
        <w:rPr>
          <w:color w:val="231F20"/>
        </w:rPr>
        <w:t>de</w:t>
      </w:r>
      <w:r>
        <w:rPr>
          <w:color w:val="231F20"/>
          <w:spacing w:val="43"/>
        </w:rPr>
        <w:t> </w:t>
      </w:r>
      <w:r>
        <w:rPr>
          <w:color w:val="231F20"/>
        </w:rPr>
        <w:t>su</w:t>
      </w:r>
      <w:r>
        <w:rPr>
          <w:color w:val="231F20"/>
          <w:spacing w:val="15"/>
        </w:rPr>
        <w:t> </w:t>
      </w:r>
      <w:r>
        <w:rPr>
          <w:color w:val="231F20"/>
          <w:spacing w:val="3"/>
        </w:rPr>
        <w:t>entorno.</w:t>
      </w:r>
      <w:r>
        <w:rPr>
          <w:color w:val="231F20"/>
          <w:spacing w:val="4"/>
          <w:w w:val="101"/>
        </w:rPr>
        <w:t> </w:t>
      </w:r>
      <w:r>
        <w:rPr>
          <w:color w:val="231F20"/>
        </w:rPr>
        <w:t>Es </w:t>
      </w:r>
      <w:r>
        <w:rPr>
          <w:color w:val="231F20"/>
          <w:spacing w:val="2"/>
        </w:rPr>
        <w:t>indispensable advertir </w:t>
      </w:r>
      <w:r>
        <w:rPr>
          <w:color w:val="231F20"/>
        </w:rPr>
        <w:t>que no </w:t>
      </w:r>
      <w:r>
        <w:rPr>
          <w:color w:val="231F20"/>
          <w:spacing w:val="2"/>
        </w:rPr>
        <w:t>contribuyen </w:t>
      </w:r>
      <w:r>
        <w:rPr>
          <w:color w:val="231F20"/>
        </w:rPr>
        <w:t>a</w:t>
      </w:r>
      <w:r>
        <w:rPr>
          <w:color w:val="231F20"/>
          <w:spacing w:val="26"/>
        </w:rPr>
        <w:t> </w:t>
      </w:r>
      <w:r>
        <w:rPr>
          <w:color w:val="231F20"/>
        </w:rPr>
        <w:t>la</w:t>
      </w:r>
      <w:r>
        <w:rPr>
          <w:color w:val="231F20"/>
          <w:spacing w:val="27"/>
        </w:rPr>
        <w:t> </w:t>
      </w:r>
      <w:r>
        <w:rPr>
          <w:color w:val="231F20"/>
          <w:spacing w:val="2"/>
        </w:rPr>
        <w:t>transmisión</w:t>
      </w:r>
      <w:r>
        <w:rPr>
          <w:color w:val="231F20"/>
          <w:w w:val="104"/>
        </w:rPr>
        <w:t> </w:t>
      </w:r>
      <w:r>
        <w:rPr>
          <w:color w:val="231F20"/>
          <w:spacing w:val="4"/>
          <w:w w:val="102"/>
        </w:rPr>
        <w:t> </w:t>
      </w:r>
      <w:r>
        <w:rPr>
          <w:color w:val="231F20"/>
          <w:spacing w:val="2"/>
        </w:rPr>
        <w:t>del oficio,los actos </w:t>
      </w:r>
      <w:r>
        <w:rPr>
          <w:color w:val="231F20"/>
        </w:rPr>
        <w:t>de </w:t>
      </w:r>
      <w:r>
        <w:rPr>
          <w:color w:val="231F20"/>
          <w:spacing w:val="2"/>
        </w:rPr>
        <w:t>habla brutales –ejercicio</w:t>
      </w:r>
      <w:r>
        <w:rPr>
          <w:color w:val="231F20"/>
          <w:spacing w:val="12"/>
        </w:rPr>
        <w:t> </w:t>
      </w:r>
      <w:r>
        <w:rPr>
          <w:color w:val="231F20"/>
        </w:rPr>
        <w:t>de</w:t>
      </w:r>
      <w:r>
        <w:rPr>
          <w:color w:val="231F20"/>
          <w:spacing w:val="28"/>
        </w:rPr>
        <w:t> </w:t>
      </w:r>
      <w:r>
        <w:rPr>
          <w:color w:val="231F20"/>
          <w:spacing w:val="2"/>
        </w:rPr>
        <w:t>violencia</w:t>
      </w:r>
      <w:r>
        <w:rPr>
          <w:color w:val="231F20"/>
          <w:w w:val="94"/>
        </w:rPr>
        <w:t> </w:t>
      </w:r>
      <w:r>
        <w:rPr>
          <w:color w:val="231F20"/>
          <w:spacing w:val="2"/>
        </w:rPr>
        <w:t>simbólica </w:t>
      </w:r>
      <w:r>
        <w:rPr>
          <w:color w:val="231F20"/>
          <w:spacing w:val="3"/>
        </w:rPr>
        <w:t>desmedida– </w:t>
      </w:r>
      <w:r>
        <w:rPr>
          <w:color w:val="231F20"/>
          <w:spacing w:val="2"/>
        </w:rPr>
        <w:t>por parte </w:t>
      </w:r>
      <w:r>
        <w:rPr>
          <w:color w:val="231F20"/>
        </w:rPr>
        <w:t>del </w:t>
      </w:r>
      <w:r>
        <w:rPr>
          <w:color w:val="231F20"/>
          <w:spacing w:val="3"/>
        </w:rPr>
        <w:t>profesor; </w:t>
      </w:r>
      <w:r>
        <w:rPr>
          <w:color w:val="231F20"/>
        </w:rPr>
        <w:t>en </w:t>
      </w:r>
      <w:r>
        <w:rPr>
          <w:color w:val="231F20"/>
          <w:spacing w:val="2"/>
        </w:rPr>
        <w:t>lugar </w:t>
      </w:r>
      <w:r>
        <w:rPr>
          <w:color w:val="231F20"/>
        </w:rPr>
        <w:t>de</w:t>
      </w:r>
      <w:r>
        <w:rPr>
          <w:color w:val="231F20"/>
          <w:spacing w:val="52"/>
        </w:rPr>
        <w:t> </w:t>
      </w:r>
      <w:r>
        <w:rPr>
          <w:color w:val="231F20"/>
          <w:spacing w:val="2"/>
        </w:rPr>
        <w:t>ello,</w:t>
      </w:r>
      <w:r>
        <w:rPr>
          <w:color w:val="231F20"/>
          <w:spacing w:val="18"/>
        </w:rPr>
        <w:t> </w:t>
      </w:r>
      <w:r>
        <w:rPr>
          <w:color w:val="231F20"/>
        </w:rPr>
        <w:t>de</w:t>
      </w:r>
      <w:r>
        <w:rPr>
          <w:color w:val="231F20"/>
          <w:w w:val="96"/>
        </w:rPr>
        <w:t> </w:t>
      </w:r>
      <w:r>
        <w:rPr>
          <w:color w:val="231F20"/>
          <w:spacing w:val="2"/>
        </w:rPr>
        <w:t>violentarse </w:t>
      </w:r>
      <w:r>
        <w:rPr>
          <w:color w:val="231F20"/>
        </w:rPr>
        <w:t>de </w:t>
      </w:r>
      <w:r>
        <w:rPr>
          <w:color w:val="231F20"/>
          <w:spacing w:val="3"/>
        </w:rPr>
        <w:t>manera </w:t>
      </w:r>
      <w:r>
        <w:rPr>
          <w:color w:val="231F20"/>
          <w:spacing w:val="2"/>
        </w:rPr>
        <w:t>ilegítima, </w:t>
      </w:r>
      <w:r>
        <w:rPr>
          <w:color w:val="231F20"/>
        </w:rPr>
        <w:t>se </w:t>
      </w:r>
      <w:r>
        <w:rPr>
          <w:color w:val="231F20"/>
          <w:spacing w:val="2"/>
        </w:rPr>
        <w:t>requiere </w:t>
      </w:r>
      <w:r>
        <w:rPr>
          <w:color w:val="231F20"/>
          <w:spacing w:val="3"/>
        </w:rPr>
        <w:t>argumentar </w:t>
      </w:r>
      <w:r>
        <w:rPr>
          <w:color w:val="231F20"/>
          <w:spacing w:val="2"/>
        </w:rPr>
        <w:t>(ideas)  </w:t>
      </w:r>
      <w:r>
        <w:rPr>
          <w:color w:val="231F20"/>
          <w:spacing w:val="56"/>
        </w:rPr>
        <w:t> </w:t>
      </w:r>
      <w:r>
        <w:rPr>
          <w:color w:val="231F20"/>
        </w:rPr>
        <w:t>y</w:t>
      </w:r>
    </w:p>
    <w:p>
      <w:pPr>
        <w:spacing w:after="0" w:line="249" w:lineRule="auto"/>
        <w:jc w:val="right"/>
        <w:sectPr>
          <w:headerReference w:type="default" r:id="rId405"/>
          <w:footerReference w:type="default" r:id="rId406"/>
          <w:pgSz w:w="7830" w:h="11910"/>
          <w:pgMar w:header="0" w:footer="424" w:top="500" w:bottom="620" w:left="920" w:right="900"/>
          <w:pgNumType w:start="19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210"/>
      </w:pPr>
      <w:r>
        <w:rPr>
          <w:color w:val="231F20"/>
          <w:spacing w:val="2"/>
        </w:rPr>
        <w:t>mostrarse </w:t>
      </w:r>
      <w:r>
        <w:rPr>
          <w:color w:val="231F20"/>
        </w:rPr>
        <w:t>de </w:t>
      </w:r>
      <w:r>
        <w:rPr>
          <w:color w:val="231F20"/>
          <w:spacing w:val="2"/>
        </w:rPr>
        <w:t>forma armoniosa  (ejercer sentimientos altruistas </w:t>
      </w:r>
      <w:r>
        <w:rPr>
          <w:color w:val="231F20"/>
        </w:rPr>
        <w:t>y  no </w:t>
      </w:r>
      <w:r>
        <w:rPr>
          <w:color w:val="231F20"/>
          <w:spacing w:val="2"/>
        </w:rPr>
        <w:t>egoístas), pues esto</w:t>
      </w:r>
      <w:r>
        <w:rPr>
          <w:color w:val="231F20"/>
          <w:spacing w:val="-16"/>
        </w:rPr>
        <w:t> </w:t>
      </w:r>
      <w:r>
        <w:rPr>
          <w:color w:val="231F20"/>
          <w:spacing w:val="2"/>
        </w:rPr>
        <w:t>legitima.</w:t>
      </w:r>
    </w:p>
    <w:p>
      <w:pPr>
        <w:pStyle w:val="BodyText"/>
        <w:spacing w:line="249" w:lineRule="auto" w:before="1"/>
        <w:ind w:left="102" w:right="117" w:firstLine="284"/>
        <w:jc w:val="both"/>
      </w:pPr>
      <w:r>
        <w:rPr>
          <w:color w:val="231F20"/>
          <w:spacing w:val="2"/>
        </w:rPr>
        <w:t>Ampliar </w:t>
      </w:r>
      <w:r>
        <w:rPr>
          <w:color w:val="231F20"/>
        </w:rPr>
        <w:t>y </w:t>
      </w:r>
      <w:r>
        <w:rPr>
          <w:color w:val="231F20"/>
          <w:spacing w:val="2"/>
        </w:rPr>
        <w:t>modificar </w:t>
      </w:r>
      <w:r>
        <w:rPr>
          <w:color w:val="231F20"/>
        </w:rPr>
        <w:t>la </w:t>
      </w:r>
      <w:r>
        <w:rPr>
          <w:color w:val="231F20"/>
          <w:spacing w:val="3"/>
        </w:rPr>
        <w:t>información </w:t>
      </w:r>
      <w:r>
        <w:rPr>
          <w:color w:val="231F20"/>
          <w:spacing w:val="2"/>
        </w:rPr>
        <w:t>que los estudiantes poseen acerca del científico </w:t>
      </w:r>
      <w:r>
        <w:rPr>
          <w:color w:val="231F20"/>
        </w:rPr>
        <w:t>no </w:t>
      </w:r>
      <w:r>
        <w:rPr>
          <w:color w:val="231F20"/>
          <w:spacing w:val="2"/>
        </w:rPr>
        <w:t>equivale </w:t>
      </w:r>
      <w:r>
        <w:rPr>
          <w:color w:val="231F20"/>
        </w:rPr>
        <w:t>a </w:t>
      </w:r>
      <w:r>
        <w:rPr>
          <w:color w:val="231F20"/>
          <w:spacing w:val="2"/>
        </w:rPr>
        <w:t>decir bellos, </w:t>
      </w:r>
      <w:r>
        <w:rPr>
          <w:color w:val="231F20"/>
          <w:spacing w:val="3"/>
        </w:rPr>
        <w:t>buenos  </w:t>
      </w:r>
      <w:r>
        <w:rPr>
          <w:color w:val="231F20"/>
        </w:rPr>
        <w:t>y </w:t>
      </w:r>
      <w:r>
        <w:rPr>
          <w:color w:val="231F20"/>
          <w:spacing w:val="2"/>
        </w:rPr>
        <w:t>verdaderos discursos. No valen </w:t>
      </w:r>
      <w:r>
        <w:rPr>
          <w:color w:val="231F20"/>
        </w:rPr>
        <w:t>de </w:t>
      </w:r>
      <w:r>
        <w:rPr>
          <w:color w:val="231F20"/>
          <w:spacing w:val="3"/>
        </w:rPr>
        <w:t>mucho </w:t>
      </w:r>
      <w:r>
        <w:rPr>
          <w:color w:val="231F20"/>
        </w:rPr>
        <w:t>las </w:t>
      </w:r>
      <w:r>
        <w:rPr>
          <w:color w:val="231F20"/>
          <w:spacing w:val="2"/>
        </w:rPr>
        <w:t>lecciones que dejen fuera </w:t>
      </w:r>
      <w:r>
        <w:rPr>
          <w:color w:val="231F20"/>
        </w:rPr>
        <w:t>las </w:t>
      </w:r>
      <w:r>
        <w:rPr>
          <w:color w:val="231F20"/>
          <w:spacing w:val="3"/>
        </w:rPr>
        <w:t>representaciones </w:t>
      </w:r>
      <w:r>
        <w:rPr>
          <w:color w:val="231F20"/>
        </w:rPr>
        <w:t>de </w:t>
      </w:r>
      <w:r>
        <w:rPr>
          <w:color w:val="231F20"/>
          <w:spacing w:val="2"/>
        </w:rPr>
        <w:t>los estudiantes. Justo </w:t>
      </w:r>
      <w:r>
        <w:rPr>
          <w:color w:val="231F20"/>
        </w:rPr>
        <w:t>al </w:t>
      </w:r>
      <w:r>
        <w:rPr>
          <w:color w:val="231F20"/>
          <w:spacing w:val="2"/>
        </w:rPr>
        <w:t>contrario, </w:t>
      </w:r>
      <w:r>
        <w:rPr>
          <w:color w:val="231F20"/>
        </w:rPr>
        <w:t>es </w:t>
      </w:r>
      <w:r>
        <w:rPr>
          <w:color w:val="231F20"/>
          <w:spacing w:val="2"/>
        </w:rPr>
        <w:t>sobre ellas, </w:t>
      </w:r>
      <w:r>
        <w:rPr>
          <w:color w:val="231F20"/>
        </w:rPr>
        <w:t>que se </w:t>
      </w:r>
      <w:r>
        <w:rPr>
          <w:color w:val="231F20"/>
          <w:spacing w:val="2"/>
        </w:rPr>
        <w:t>necesita </w:t>
      </w:r>
      <w:r>
        <w:rPr>
          <w:color w:val="231F20"/>
        </w:rPr>
        <w:t>el </w:t>
      </w:r>
      <w:r>
        <w:rPr>
          <w:color w:val="231F20"/>
          <w:spacing w:val="2"/>
        </w:rPr>
        <w:t>trabajo pedagógico. Trabajo que, </w:t>
      </w:r>
      <w:r>
        <w:rPr>
          <w:color w:val="231F20"/>
        </w:rPr>
        <w:t>de </w:t>
      </w:r>
      <w:r>
        <w:rPr>
          <w:color w:val="231F20"/>
          <w:spacing w:val="2"/>
        </w:rPr>
        <w:t>ningún </w:t>
      </w:r>
      <w:r>
        <w:rPr>
          <w:color w:val="231F20"/>
          <w:spacing w:val="3"/>
        </w:rPr>
        <w:t>modo, </w:t>
      </w:r>
      <w:r>
        <w:rPr>
          <w:color w:val="231F20"/>
          <w:spacing w:val="2"/>
        </w:rPr>
        <w:t>dejará </w:t>
      </w:r>
      <w:r>
        <w:rPr>
          <w:color w:val="231F20"/>
        </w:rPr>
        <w:t>de lado </w:t>
      </w:r>
      <w:r>
        <w:rPr>
          <w:color w:val="231F20"/>
          <w:spacing w:val="3"/>
        </w:rPr>
        <w:t>informaciones, </w:t>
      </w:r>
      <w:r>
        <w:rPr>
          <w:color w:val="231F20"/>
          <w:spacing w:val="2"/>
        </w:rPr>
        <w:t>núcleo, </w:t>
      </w:r>
      <w:r>
        <w:rPr>
          <w:color w:val="231F20"/>
        </w:rPr>
        <w:t>ni </w:t>
      </w:r>
      <w:r>
        <w:rPr>
          <w:color w:val="231F20"/>
          <w:spacing w:val="2"/>
        </w:rPr>
        <w:t>actitudes deseables. Solo que estas serán </w:t>
      </w:r>
      <w:r>
        <w:rPr>
          <w:color w:val="231F20"/>
        </w:rPr>
        <w:t>algo a  </w:t>
      </w:r>
      <w:r>
        <w:rPr>
          <w:color w:val="231F20"/>
          <w:spacing w:val="3"/>
        </w:rPr>
        <w:t>obtener, </w:t>
      </w:r>
      <w:r>
        <w:rPr>
          <w:color w:val="231F20"/>
        </w:rPr>
        <w:t>al </w:t>
      </w:r>
      <w:r>
        <w:rPr>
          <w:color w:val="231F20"/>
          <w:spacing w:val="2"/>
        </w:rPr>
        <w:t>contrastar con  </w:t>
      </w:r>
      <w:r>
        <w:rPr>
          <w:color w:val="231F20"/>
        </w:rPr>
        <w:t>las </w:t>
      </w:r>
      <w:r>
        <w:rPr>
          <w:color w:val="231F20"/>
          <w:spacing w:val="2"/>
        </w:rPr>
        <w:t>RsSs con </w:t>
      </w:r>
      <w:r>
        <w:rPr>
          <w:color w:val="231F20"/>
        </w:rPr>
        <w:t>las </w:t>
      </w:r>
      <w:r>
        <w:rPr>
          <w:color w:val="231F20"/>
          <w:spacing w:val="2"/>
        </w:rPr>
        <w:t>que los estudiantes disputan </w:t>
      </w:r>
      <w:r>
        <w:rPr>
          <w:color w:val="231F20"/>
        </w:rPr>
        <w:t>en el </w:t>
      </w:r>
      <w:r>
        <w:rPr>
          <w:color w:val="231F20"/>
          <w:spacing w:val="3"/>
        </w:rPr>
        <w:t>campo </w:t>
      </w:r>
      <w:r>
        <w:rPr>
          <w:color w:val="231F20"/>
          <w:spacing w:val="2"/>
        </w:rPr>
        <w:t>del aula. </w:t>
      </w:r>
      <w:r>
        <w:rPr>
          <w:color w:val="231F20"/>
        </w:rPr>
        <w:t>Si la </w:t>
      </w:r>
      <w:r>
        <w:rPr>
          <w:color w:val="231F20"/>
          <w:spacing w:val="2"/>
        </w:rPr>
        <w:t>facultad </w:t>
      </w:r>
      <w:r>
        <w:rPr>
          <w:color w:val="231F20"/>
        </w:rPr>
        <w:t>es un </w:t>
      </w:r>
      <w:r>
        <w:rPr>
          <w:color w:val="231F20"/>
          <w:spacing w:val="3"/>
        </w:rPr>
        <w:t>campo </w:t>
      </w:r>
      <w:r>
        <w:rPr>
          <w:color w:val="231F20"/>
        </w:rPr>
        <w:t>de </w:t>
      </w:r>
      <w:r>
        <w:rPr>
          <w:color w:val="231F20"/>
          <w:spacing w:val="2"/>
        </w:rPr>
        <w:t>fuerzas, </w:t>
      </w:r>
      <w:r>
        <w:rPr>
          <w:color w:val="231F20"/>
        </w:rPr>
        <w:t>de </w:t>
      </w:r>
      <w:r>
        <w:rPr>
          <w:color w:val="231F20"/>
          <w:spacing w:val="2"/>
        </w:rPr>
        <w:t>luchas, cada aula,  también </w:t>
      </w:r>
      <w:r>
        <w:rPr>
          <w:color w:val="231F20"/>
        </w:rPr>
        <w:t>lo</w:t>
      </w:r>
      <w:r>
        <w:rPr>
          <w:color w:val="231F20"/>
          <w:spacing w:val="13"/>
        </w:rPr>
        <w:t> </w:t>
      </w:r>
      <w:r>
        <w:rPr>
          <w:color w:val="231F20"/>
        </w:rPr>
        <w:t>es.</w:t>
      </w:r>
    </w:p>
    <w:p>
      <w:pPr>
        <w:pStyle w:val="BodyText"/>
        <w:spacing w:line="249" w:lineRule="auto"/>
        <w:ind w:left="102" w:right="114" w:firstLine="284"/>
        <w:jc w:val="both"/>
      </w:pPr>
      <w:r>
        <w:rPr>
          <w:color w:val="231F20"/>
        </w:rPr>
        <w:t>La </w:t>
      </w:r>
      <w:r>
        <w:rPr>
          <w:color w:val="231F20"/>
          <w:spacing w:val="2"/>
        </w:rPr>
        <w:t>sociedad mexicana </w:t>
      </w:r>
      <w:r>
        <w:rPr>
          <w:color w:val="231F20"/>
        </w:rPr>
        <w:t>y, en </w:t>
      </w:r>
      <w:r>
        <w:rPr>
          <w:color w:val="231F20"/>
          <w:spacing w:val="2"/>
        </w:rPr>
        <w:t>general, </w:t>
      </w:r>
      <w:r>
        <w:rPr>
          <w:color w:val="231F20"/>
        </w:rPr>
        <w:t>la </w:t>
      </w:r>
      <w:r>
        <w:rPr>
          <w:color w:val="231F20"/>
          <w:spacing w:val="3"/>
        </w:rPr>
        <w:t>latinoamericana, </w:t>
      </w:r>
      <w:r>
        <w:rPr>
          <w:color w:val="231F20"/>
          <w:spacing w:val="2"/>
        </w:rPr>
        <w:t>requieren </w:t>
      </w:r>
      <w:r>
        <w:rPr>
          <w:color w:val="231F20"/>
          <w:spacing w:val="3"/>
        </w:rPr>
        <w:t>modificar </w:t>
      </w:r>
      <w:r>
        <w:rPr>
          <w:color w:val="231F20"/>
        </w:rPr>
        <w:t>su </w:t>
      </w:r>
      <w:r>
        <w:rPr>
          <w:color w:val="231F20"/>
          <w:spacing w:val="3"/>
        </w:rPr>
        <w:t>condición </w:t>
      </w:r>
      <w:r>
        <w:rPr>
          <w:color w:val="231F20"/>
        </w:rPr>
        <w:t>de </w:t>
      </w:r>
      <w:r>
        <w:rPr>
          <w:color w:val="231F20"/>
          <w:spacing w:val="2"/>
        </w:rPr>
        <w:t>dependencia científica </w:t>
      </w:r>
      <w:r>
        <w:rPr>
          <w:color w:val="231F20"/>
        </w:rPr>
        <w:t>y </w:t>
      </w:r>
      <w:r>
        <w:rPr>
          <w:color w:val="231F20"/>
          <w:spacing w:val="2"/>
        </w:rPr>
        <w:t>tecnológica. Requieren que </w:t>
      </w:r>
      <w:r>
        <w:rPr>
          <w:color w:val="231F20"/>
        </w:rPr>
        <w:t>el </w:t>
      </w:r>
      <w:r>
        <w:rPr>
          <w:color w:val="231F20"/>
          <w:spacing w:val="3"/>
        </w:rPr>
        <w:t>campo </w:t>
      </w:r>
      <w:r>
        <w:rPr>
          <w:color w:val="231F20"/>
        </w:rPr>
        <w:t>de la </w:t>
      </w:r>
      <w:r>
        <w:rPr>
          <w:color w:val="231F20"/>
          <w:spacing w:val="2"/>
        </w:rPr>
        <w:t>ciencia </w:t>
      </w:r>
      <w:r>
        <w:rPr>
          <w:color w:val="231F20"/>
        </w:rPr>
        <w:t>se </w:t>
      </w:r>
      <w:r>
        <w:rPr>
          <w:color w:val="231F20"/>
          <w:spacing w:val="3"/>
        </w:rPr>
        <w:t>reproduzca</w:t>
      </w:r>
      <w:r>
        <w:rPr>
          <w:color w:val="231F20"/>
          <w:spacing w:val="58"/>
        </w:rPr>
        <w:t> </w:t>
      </w:r>
      <w:r>
        <w:rPr>
          <w:color w:val="231F20"/>
        </w:rPr>
        <w:t>de </w:t>
      </w:r>
      <w:r>
        <w:rPr>
          <w:color w:val="231F20"/>
          <w:spacing w:val="3"/>
        </w:rPr>
        <w:t>manera mucho </w:t>
      </w:r>
      <w:r>
        <w:rPr>
          <w:color w:val="231F20"/>
          <w:spacing w:val="2"/>
        </w:rPr>
        <w:t>más eficiente: </w:t>
      </w:r>
      <w:r>
        <w:rPr>
          <w:color w:val="231F20"/>
        </w:rPr>
        <w:t>se </w:t>
      </w:r>
      <w:r>
        <w:rPr>
          <w:color w:val="231F20"/>
          <w:spacing w:val="2"/>
        </w:rPr>
        <w:t>necesitan más jóvenes con </w:t>
      </w:r>
      <w:r>
        <w:rPr>
          <w:color w:val="231F20"/>
        </w:rPr>
        <w:t>la </w:t>
      </w:r>
      <w:r>
        <w:rPr>
          <w:i/>
          <w:color w:val="231F20"/>
        </w:rPr>
        <w:t>illusio </w:t>
      </w:r>
      <w:r>
        <w:rPr>
          <w:color w:val="231F20"/>
        </w:rPr>
        <w:t>y </w:t>
      </w:r>
      <w:r>
        <w:rPr>
          <w:i/>
          <w:color w:val="231F20"/>
          <w:spacing w:val="2"/>
        </w:rPr>
        <w:t>habitus </w:t>
      </w:r>
      <w:r>
        <w:rPr>
          <w:color w:val="231F20"/>
          <w:spacing w:val="2"/>
        </w:rPr>
        <w:t>del científico. Transmitir </w:t>
      </w:r>
      <w:r>
        <w:rPr>
          <w:color w:val="231F20"/>
        </w:rPr>
        <w:t>el </w:t>
      </w:r>
      <w:r>
        <w:rPr>
          <w:color w:val="231F20"/>
          <w:spacing w:val="2"/>
        </w:rPr>
        <w:t>oficio, </w:t>
      </w:r>
      <w:r>
        <w:rPr>
          <w:color w:val="231F20"/>
        </w:rPr>
        <w:t>el </w:t>
      </w:r>
      <w:r>
        <w:rPr>
          <w:color w:val="231F20"/>
          <w:spacing w:val="2"/>
        </w:rPr>
        <w:t>espíritu del investigador, </w:t>
      </w:r>
      <w:r>
        <w:rPr>
          <w:color w:val="231F20"/>
        </w:rPr>
        <w:t>no es </w:t>
      </w:r>
      <w:r>
        <w:rPr>
          <w:color w:val="231F20"/>
          <w:spacing w:val="2"/>
        </w:rPr>
        <w:t>cosa banal. </w:t>
      </w:r>
      <w:r>
        <w:rPr>
          <w:color w:val="231F20"/>
        </w:rPr>
        <w:t>La </w:t>
      </w:r>
      <w:r>
        <w:rPr>
          <w:color w:val="231F20"/>
          <w:spacing w:val="3"/>
        </w:rPr>
        <w:t>deformación </w:t>
      </w:r>
      <w:r>
        <w:rPr>
          <w:color w:val="231F20"/>
        </w:rPr>
        <w:t>u </w:t>
      </w:r>
      <w:r>
        <w:rPr>
          <w:color w:val="231F20"/>
          <w:spacing w:val="2"/>
        </w:rPr>
        <w:t>ocultación ideológica </w:t>
      </w:r>
      <w:r>
        <w:rPr>
          <w:color w:val="231F20"/>
        </w:rPr>
        <w:t>de lo </w:t>
      </w:r>
      <w:r>
        <w:rPr>
          <w:color w:val="231F20"/>
          <w:spacing w:val="2"/>
        </w:rPr>
        <w:t>que </w:t>
      </w:r>
      <w:r>
        <w:rPr>
          <w:color w:val="231F20"/>
        </w:rPr>
        <w:t>es un </w:t>
      </w:r>
      <w:r>
        <w:rPr>
          <w:color w:val="231F20"/>
          <w:spacing w:val="2"/>
        </w:rPr>
        <w:t>científico </w:t>
      </w:r>
      <w:r>
        <w:rPr>
          <w:color w:val="231F20"/>
        </w:rPr>
        <w:t>no es </w:t>
      </w:r>
      <w:r>
        <w:rPr>
          <w:color w:val="231F20"/>
          <w:spacing w:val="2"/>
        </w:rPr>
        <w:t>cosa gratuita. </w:t>
      </w:r>
      <w:r>
        <w:rPr>
          <w:color w:val="231F20"/>
          <w:spacing w:val="3"/>
        </w:rPr>
        <w:t>Obedece    </w:t>
      </w:r>
      <w:r>
        <w:rPr>
          <w:color w:val="231F20"/>
        </w:rPr>
        <w:t>a la </w:t>
      </w:r>
      <w:r>
        <w:rPr>
          <w:color w:val="231F20"/>
          <w:spacing w:val="2"/>
        </w:rPr>
        <w:t>división internacional del trabajo: los países </w:t>
      </w:r>
      <w:r>
        <w:rPr>
          <w:color w:val="231F20"/>
          <w:spacing w:val="3"/>
        </w:rPr>
        <w:t>desarrollados </w:t>
      </w:r>
      <w:r>
        <w:rPr>
          <w:color w:val="231F20"/>
          <w:spacing w:val="2"/>
        </w:rPr>
        <w:t>realizan ciencia </w:t>
      </w:r>
      <w:r>
        <w:rPr>
          <w:color w:val="231F20"/>
        </w:rPr>
        <w:t>y </w:t>
      </w:r>
      <w:r>
        <w:rPr>
          <w:color w:val="231F20"/>
          <w:spacing w:val="2"/>
        </w:rPr>
        <w:t>tecnología; los </w:t>
      </w:r>
      <w:r>
        <w:rPr>
          <w:color w:val="231F20"/>
          <w:spacing w:val="3"/>
        </w:rPr>
        <w:t>dependientes, </w:t>
      </w:r>
      <w:r>
        <w:rPr>
          <w:color w:val="231F20"/>
        </w:rPr>
        <w:t>la </w:t>
      </w:r>
      <w:r>
        <w:rPr>
          <w:color w:val="231F20"/>
          <w:spacing w:val="3"/>
        </w:rPr>
        <w:t>importan </w:t>
      </w:r>
      <w:r>
        <w:rPr>
          <w:color w:val="231F20"/>
        </w:rPr>
        <w:t>de </w:t>
      </w:r>
      <w:r>
        <w:rPr>
          <w:color w:val="231F20"/>
          <w:spacing w:val="3"/>
        </w:rPr>
        <w:t>los primeros. </w:t>
      </w:r>
      <w:r>
        <w:rPr>
          <w:color w:val="231F20"/>
          <w:spacing w:val="2"/>
        </w:rPr>
        <w:t>Modificar esta inadmisible relación </w:t>
      </w:r>
      <w:r>
        <w:rPr>
          <w:color w:val="231F20"/>
        </w:rPr>
        <w:t>no </w:t>
      </w:r>
      <w:r>
        <w:rPr>
          <w:color w:val="231F20"/>
          <w:spacing w:val="3"/>
        </w:rPr>
        <w:t>obedecerá </w:t>
      </w:r>
      <w:r>
        <w:rPr>
          <w:color w:val="231F20"/>
          <w:spacing w:val="2"/>
        </w:rPr>
        <w:t>solo </w:t>
      </w:r>
      <w:r>
        <w:rPr>
          <w:color w:val="231F20"/>
        </w:rPr>
        <w:t>a </w:t>
      </w:r>
      <w:r>
        <w:rPr>
          <w:color w:val="231F20"/>
          <w:spacing w:val="2"/>
        </w:rPr>
        <w:t>actos </w:t>
      </w:r>
      <w:r>
        <w:rPr>
          <w:color w:val="231F20"/>
        </w:rPr>
        <w:t>de </w:t>
      </w:r>
      <w:r>
        <w:rPr>
          <w:color w:val="231F20"/>
          <w:spacing w:val="2"/>
        </w:rPr>
        <w:t>buena voluntad. </w:t>
      </w:r>
      <w:r>
        <w:rPr>
          <w:color w:val="231F20"/>
        </w:rPr>
        <w:t>Sin </w:t>
      </w:r>
      <w:r>
        <w:rPr>
          <w:color w:val="231F20"/>
          <w:spacing w:val="2"/>
        </w:rPr>
        <w:t>duda esta </w:t>
      </w:r>
      <w:r>
        <w:rPr>
          <w:color w:val="231F20"/>
        </w:rPr>
        <w:t>se </w:t>
      </w:r>
      <w:r>
        <w:rPr>
          <w:color w:val="231F20"/>
          <w:spacing w:val="2"/>
        </w:rPr>
        <w:t>requiere, pero </w:t>
      </w:r>
      <w:r>
        <w:rPr>
          <w:color w:val="231F20"/>
          <w:spacing w:val="3"/>
        </w:rPr>
        <w:t>es </w:t>
      </w:r>
      <w:r>
        <w:rPr>
          <w:color w:val="231F20"/>
          <w:spacing w:val="2"/>
        </w:rPr>
        <w:t>insuficiente,se necesita </w:t>
      </w:r>
      <w:r>
        <w:rPr>
          <w:color w:val="231F20"/>
          <w:spacing w:val="3"/>
        </w:rPr>
        <w:t>importar </w:t>
      </w:r>
      <w:r>
        <w:rPr>
          <w:color w:val="231F20"/>
          <w:spacing w:val="2"/>
        </w:rPr>
        <w:t>teorías científicas </w:t>
      </w:r>
      <w:r>
        <w:rPr>
          <w:color w:val="231F20"/>
        </w:rPr>
        <w:t>al </w:t>
      </w:r>
      <w:r>
        <w:rPr>
          <w:color w:val="231F20"/>
          <w:spacing w:val="3"/>
        </w:rPr>
        <w:t>campo </w:t>
      </w:r>
      <w:r>
        <w:rPr>
          <w:color w:val="231F20"/>
        </w:rPr>
        <w:t>de la </w:t>
      </w:r>
      <w:r>
        <w:rPr>
          <w:color w:val="231F20"/>
          <w:spacing w:val="2"/>
        </w:rPr>
        <w:t>transmisión </w:t>
      </w:r>
      <w:r>
        <w:rPr>
          <w:color w:val="231F20"/>
        </w:rPr>
        <w:t>del </w:t>
      </w:r>
      <w:r>
        <w:rPr>
          <w:color w:val="231F20"/>
          <w:spacing w:val="2"/>
        </w:rPr>
        <w:t>oficio </w:t>
      </w:r>
      <w:r>
        <w:rPr>
          <w:color w:val="231F20"/>
        </w:rPr>
        <w:t>del </w:t>
      </w:r>
      <w:r>
        <w:rPr>
          <w:color w:val="231F20"/>
          <w:spacing w:val="2"/>
        </w:rPr>
        <w:t>científico. </w:t>
      </w:r>
      <w:r>
        <w:rPr>
          <w:color w:val="231F20"/>
        </w:rPr>
        <w:t>Se </w:t>
      </w:r>
      <w:r>
        <w:rPr>
          <w:color w:val="231F20"/>
          <w:spacing w:val="2"/>
        </w:rPr>
        <w:t>requieren actos </w:t>
      </w:r>
      <w:r>
        <w:rPr>
          <w:color w:val="231F20"/>
          <w:spacing w:val="3"/>
        </w:rPr>
        <w:t>comunicativos </w:t>
      </w:r>
      <w:r>
        <w:rPr>
          <w:color w:val="231F20"/>
          <w:spacing w:val="2"/>
        </w:rPr>
        <w:t>que consideren que educar-dialogar </w:t>
      </w:r>
      <w:r>
        <w:rPr>
          <w:color w:val="231F20"/>
        </w:rPr>
        <w:t>y  </w:t>
      </w:r>
      <w:r>
        <w:rPr>
          <w:color w:val="231F20"/>
          <w:spacing w:val="3"/>
        </w:rPr>
        <w:t>pensar forman </w:t>
      </w:r>
      <w:r>
        <w:rPr>
          <w:color w:val="231F20"/>
        </w:rPr>
        <w:t>un </w:t>
      </w:r>
      <w:r>
        <w:rPr>
          <w:color w:val="231F20"/>
          <w:spacing w:val="2"/>
        </w:rPr>
        <w:t>todo (Ibarra, 2011, </w:t>
      </w:r>
      <w:r>
        <w:rPr>
          <w:color w:val="231F20"/>
        </w:rPr>
        <w:t>en </w:t>
      </w:r>
      <w:r>
        <w:rPr>
          <w:color w:val="231F20"/>
          <w:spacing w:val="5"/>
        </w:rPr>
        <w:t> </w:t>
      </w:r>
      <w:r>
        <w:rPr>
          <w:color w:val="231F20"/>
          <w:spacing w:val="2"/>
        </w:rPr>
        <w:t>prensa).</w:t>
      </w:r>
    </w:p>
    <w:p>
      <w:pPr>
        <w:pStyle w:val="BodyText"/>
        <w:rPr>
          <w:sz w:val="22"/>
        </w:rPr>
      </w:pPr>
    </w:p>
    <w:p>
      <w:pPr>
        <w:pStyle w:val="BodyText"/>
        <w:spacing w:before="11"/>
        <w:rPr>
          <w:sz w:val="27"/>
        </w:rPr>
      </w:pPr>
    </w:p>
    <w:p>
      <w:pPr>
        <w:spacing w:before="0"/>
        <w:ind w:left="102" w:right="121" w:firstLine="0"/>
        <w:jc w:val="left"/>
        <w:rPr>
          <w:sz w:val="18"/>
        </w:rPr>
      </w:pPr>
      <w:r>
        <w:rPr>
          <w:rFonts w:ascii="MS UI Gothic"/>
          <w:color w:val="231F20"/>
          <w:w w:val="105"/>
          <w:sz w:val="24"/>
        </w:rPr>
        <w:t>R</w:t>
      </w:r>
      <w:r>
        <w:rPr>
          <w:color w:val="231F20"/>
          <w:w w:val="105"/>
          <w:sz w:val="18"/>
        </w:rPr>
        <w:t>EFERENCIAS</w:t>
      </w:r>
    </w:p>
    <w:p>
      <w:pPr>
        <w:pStyle w:val="BodyText"/>
        <w:spacing w:line="244" w:lineRule="auto" w:before="149"/>
        <w:ind w:left="822" w:right="158" w:hanging="721"/>
        <w:jc w:val="both"/>
      </w:pPr>
      <w:r>
        <w:rPr>
          <w:color w:val="231F20"/>
        </w:rPr>
        <w:t>Alvarado, María Eugenia. (2010). Percepciones y supuestos sobre la </w:t>
      </w:r>
      <w:r>
        <w:rPr>
          <w:color w:val="231F20"/>
          <w:w w:val="95"/>
        </w:rPr>
        <w:t>enseñanza de la ciencia. </w:t>
      </w:r>
      <w:r>
        <w:rPr>
          <w:i/>
          <w:color w:val="231F20"/>
          <w:w w:val="95"/>
        </w:rPr>
        <w:t>Perfiles Educativos. 32</w:t>
      </w:r>
      <w:r>
        <w:rPr>
          <w:color w:val="231F20"/>
          <w:w w:val="95"/>
        </w:rPr>
        <w:t>(128). México: </w:t>
      </w:r>
      <w:r>
        <w:rPr>
          <w:color w:val="231F20"/>
        </w:rPr>
        <w:t>IISUE-UNAM. 10-26.</w:t>
      </w:r>
    </w:p>
    <w:p>
      <w:pPr>
        <w:spacing w:line="242" w:lineRule="auto" w:before="3"/>
        <w:ind w:left="822" w:right="121" w:hanging="721"/>
        <w:jc w:val="left"/>
        <w:rPr>
          <w:sz w:val="21"/>
        </w:rPr>
      </w:pPr>
      <w:r>
        <w:rPr>
          <w:color w:val="231F20"/>
          <w:w w:val="90"/>
          <w:sz w:val="21"/>
        </w:rPr>
        <w:t>Aron, Raymond. (1980). </w:t>
      </w:r>
      <w:r>
        <w:rPr>
          <w:i/>
          <w:color w:val="231F20"/>
          <w:w w:val="90"/>
          <w:sz w:val="21"/>
        </w:rPr>
        <w:t>Las etapas del pensamiento sociológico. </w:t>
      </w:r>
      <w:r>
        <w:rPr>
          <w:color w:val="231F20"/>
          <w:w w:val="90"/>
          <w:sz w:val="21"/>
        </w:rPr>
        <w:t>Buenos </w:t>
      </w:r>
      <w:r>
        <w:rPr>
          <w:color w:val="231F20"/>
          <w:sz w:val="21"/>
        </w:rPr>
        <w:t>Aires: Siglo Veinte.</w:t>
      </w:r>
    </w:p>
    <w:p>
      <w:pPr>
        <w:spacing w:line="242" w:lineRule="auto" w:before="6"/>
        <w:ind w:left="822" w:right="121" w:hanging="721"/>
        <w:jc w:val="left"/>
        <w:rPr>
          <w:sz w:val="21"/>
        </w:rPr>
      </w:pPr>
      <w:r>
        <w:rPr>
          <w:color w:val="231F20"/>
          <w:w w:val="95"/>
          <w:sz w:val="21"/>
        </w:rPr>
        <w:t>Bachelard,</w:t>
      </w:r>
      <w:r>
        <w:rPr>
          <w:color w:val="231F20"/>
          <w:spacing w:val="-23"/>
          <w:w w:val="95"/>
          <w:sz w:val="21"/>
        </w:rPr>
        <w:t> </w:t>
      </w:r>
      <w:r>
        <w:rPr>
          <w:color w:val="231F20"/>
          <w:w w:val="95"/>
          <w:sz w:val="21"/>
        </w:rPr>
        <w:t>Gastón.</w:t>
      </w:r>
      <w:r>
        <w:rPr>
          <w:color w:val="231F20"/>
          <w:spacing w:val="-23"/>
          <w:w w:val="95"/>
          <w:sz w:val="21"/>
        </w:rPr>
        <w:t> </w:t>
      </w:r>
      <w:r>
        <w:rPr>
          <w:color w:val="231F20"/>
          <w:w w:val="95"/>
          <w:sz w:val="21"/>
        </w:rPr>
        <w:t>(1981).</w:t>
      </w:r>
      <w:r>
        <w:rPr>
          <w:color w:val="231F20"/>
          <w:spacing w:val="-23"/>
          <w:w w:val="95"/>
          <w:sz w:val="21"/>
        </w:rPr>
        <w:t> </w:t>
      </w:r>
      <w:r>
        <w:rPr>
          <w:i/>
          <w:color w:val="231F20"/>
          <w:w w:val="95"/>
          <w:sz w:val="21"/>
        </w:rPr>
        <w:t>La</w:t>
      </w:r>
      <w:r>
        <w:rPr>
          <w:i/>
          <w:color w:val="231F20"/>
          <w:spacing w:val="-22"/>
          <w:w w:val="95"/>
          <w:sz w:val="21"/>
        </w:rPr>
        <w:t> </w:t>
      </w:r>
      <w:r>
        <w:rPr>
          <w:i/>
          <w:color w:val="231F20"/>
          <w:w w:val="95"/>
          <w:sz w:val="21"/>
        </w:rPr>
        <w:t>formación</w:t>
      </w:r>
      <w:r>
        <w:rPr>
          <w:i/>
          <w:color w:val="231F20"/>
          <w:spacing w:val="-23"/>
          <w:w w:val="95"/>
          <w:sz w:val="21"/>
        </w:rPr>
        <w:t> </w:t>
      </w:r>
      <w:r>
        <w:rPr>
          <w:i/>
          <w:color w:val="231F20"/>
          <w:w w:val="95"/>
          <w:sz w:val="21"/>
        </w:rPr>
        <w:t>del</w:t>
      </w:r>
      <w:r>
        <w:rPr>
          <w:i/>
          <w:color w:val="231F20"/>
          <w:spacing w:val="-23"/>
          <w:w w:val="95"/>
          <w:sz w:val="21"/>
        </w:rPr>
        <w:t> </w:t>
      </w:r>
      <w:r>
        <w:rPr>
          <w:i/>
          <w:color w:val="231F20"/>
          <w:w w:val="95"/>
          <w:sz w:val="21"/>
        </w:rPr>
        <w:t>espíritu</w:t>
      </w:r>
      <w:r>
        <w:rPr>
          <w:i/>
          <w:color w:val="231F20"/>
          <w:spacing w:val="-22"/>
          <w:w w:val="95"/>
          <w:sz w:val="21"/>
        </w:rPr>
        <w:t> </w:t>
      </w:r>
      <w:r>
        <w:rPr>
          <w:i/>
          <w:color w:val="231F20"/>
          <w:w w:val="95"/>
          <w:sz w:val="21"/>
        </w:rPr>
        <w:t>científico.</w:t>
      </w:r>
      <w:r>
        <w:rPr>
          <w:i/>
          <w:color w:val="231F20"/>
          <w:spacing w:val="-23"/>
          <w:w w:val="95"/>
          <w:sz w:val="21"/>
        </w:rPr>
        <w:t> </w:t>
      </w:r>
      <w:r>
        <w:rPr>
          <w:color w:val="231F20"/>
          <w:w w:val="95"/>
          <w:sz w:val="21"/>
        </w:rPr>
        <w:t>Buenos </w:t>
      </w:r>
      <w:r>
        <w:rPr>
          <w:color w:val="231F20"/>
          <w:sz w:val="21"/>
        </w:rPr>
        <w:t>Aires:</w:t>
      </w:r>
      <w:r>
        <w:rPr>
          <w:color w:val="231F20"/>
          <w:spacing w:val="-23"/>
          <w:sz w:val="21"/>
        </w:rPr>
        <w:t> </w:t>
      </w:r>
      <w:r>
        <w:rPr>
          <w:color w:val="231F20"/>
          <w:sz w:val="21"/>
        </w:rPr>
        <w:t>Siglo</w:t>
      </w:r>
      <w:r>
        <w:rPr>
          <w:color w:val="231F20"/>
          <w:spacing w:val="-23"/>
          <w:sz w:val="21"/>
        </w:rPr>
        <w:t> </w:t>
      </w:r>
      <w:r>
        <w:rPr>
          <w:color w:val="231F20"/>
          <w:sz w:val="21"/>
        </w:rPr>
        <w:t>XXI.</w:t>
      </w:r>
    </w:p>
    <w:p>
      <w:pPr>
        <w:spacing w:before="6"/>
        <w:ind w:left="102" w:right="121" w:firstLine="0"/>
        <w:jc w:val="left"/>
        <w:rPr>
          <w:sz w:val="21"/>
        </w:rPr>
      </w:pPr>
      <w:r>
        <w:rPr>
          <w:color w:val="231F20"/>
          <w:w w:val="95"/>
          <w:sz w:val="21"/>
        </w:rPr>
        <w:t>Bourdieu, Pierre. (1990). </w:t>
      </w:r>
      <w:r>
        <w:rPr>
          <w:i/>
          <w:color w:val="231F20"/>
          <w:w w:val="95"/>
          <w:sz w:val="21"/>
        </w:rPr>
        <w:t>Sociología y cultura. </w:t>
      </w:r>
      <w:r>
        <w:rPr>
          <w:color w:val="231F20"/>
          <w:w w:val="95"/>
          <w:sz w:val="21"/>
        </w:rPr>
        <w:t>México: Grijalbo.</w:t>
      </w:r>
    </w:p>
    <w:p>
      <w:pPr>
        <w:spacing w:after="0"/>
        <w:jc w:val="left"/>
        <w:rPr>
          <w:sz w:val="21"/>
        </w:rPr>
        <w:sectPr>
          <w:headerReference w:type="default" r:id="rId407"/>
          <w:footerReference w:type="default" r:id="rId408"/>
          <w:pgSz w:w="7830" w:h="11910"/>
          <w:pgMar w:header="0" w:footer="424" w:top="500" w:bottom="620" w:left="920" w:right="900"/>
          <w:pgNumType w:start="191"/>
        </w:sectPr>
      </w:pPr>
    </w:p>
    <w:p>
      <w:pPr>
        <w:spacing w:before="46"/>
        <w:ind w:left="564" w:right="561"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spacing w:line="247" w:lineRule="auto" w:before="0"/>
        <w:ind w:left="102" w:right="561" w:hanging="1"/>
        <w:jc w:val="left"/>
        <w:rPr>
          <w:i/>
          <w:sz w:val="21"/>
        </w:rPr>
      </w:pPr>
      <w:r>
        <w:rPr>
          <w:color w:val="231F20"/>
          <w:sz w:val="21"/>
        </w:rPr>
        <w:t>Bourdieu, Pierre. (1991). </w:t>
      </w:r>
      <w:r>
        <w:rPr>
          <w:i/>
          <w:color w:val="231F20"/>
          <w:sz w:val="21"/>
        </w:rPr>
        <w:t>La distinción. </w:t>
      </w:r>
      <w:r>
        <w:rPr>
          <w:color w:val="231F20"/>
          <w:sz w:val="21"/>
        </w:rPr>
        <w:t>Madrid: Taurus. </w:t>
      </w:r>
      <w:r>
        <w:rPr>
          <w:color w:val="231F20"/>
          <w:w w:val="90"/>
          <w:sz w:val="21"/>
        </w:rPr>
        <w:t>Bourdieu, Pierre. (1995). </w:t>
      </w:r>
      <w:r>
        <w:rPr>
          <w:i/>
          <w:color w:val="231F20"/>
          <w:w w:val="90"/>
          <w:sz w:val="21"/>
        </w:rPr>
        <w:t>Respuestas para una antropología reflexiva.</w:t>
      </w:r>
    </w:p>
    <w:p>
      <w:pPr>
        <w:pStyle w:val="BodyText"/>
        <w:spacing w:line="238" w:lineRule="exact"/>
        <w:ind w:left="822" w:right="774"/>
      </w:pPr>
      <w:r>
        <w:rPr>
          <w:color w:val="231F20"/>
        </w:rPr>
        <w:t>México: Grijalbo.</w:t>
      </w:r>
    </w:p>
    <w:p>
      <w:pPr>
        <w:spacing w:before="8"/>
        <w:ind w:left="102" w:right="0" w:firstLine="0"/>
        <w:jc w:val="left"/>
        <w:rPr>
          <w:i/>
          <w:sz w:val="21"/>
        </w:rPr>
      </w:pPr>
      <w:r>
        <w:rPr>
          <w:color w:val="231F20"/>
          <w:w w:val="95"/>
          <w:sz w:val="21"/>
        </w:rPr>
        <w:t>Bourdieu, Pierre y Passeron, Jean Claude. (1981). </w:t>
      </w:r>
      <w:r>
        <w:rPr>
          <w:i/>
          <w:color w:val="231F20"/>
          <w:w w:val="95"/>
          <w:sz w:val="21"/>
        </w:rPr>
        <w:t>La reproducción.</w:t>
      </w:r>
    </w:p>
    <w:p>
      <w:pPr>
        <w:pStyle w:val="BodyText"/>
        <w:spacing w:before="3"/>
        <w:ind w:left="822" w:right="774"/>
      </w:pPr>
      <w:r>
        <w:rPr>
          <w:color w:val="231F20"/>
        </w:rPr>
        <w:t>Barcelona: LAIA.</w:t>
      </w:r>
    </w:p>
    <w:p>
      <w:pPr>
        <w:pStyle w:val="BodyText"/>
        <w:spacing w:line="244" w:lineRule="auto" w:before="8"/>
        <w:ind w:left="822" w:hanging="720"/>
      </w:pPr>
      <w:r>
        <w:rPr>
          <w:color w:val="231F20"/>
        </w:rPr>
        <w:t>Covarrubias Patricia. (2009). El carácter científico de la Psicología. Un estudio sobre las representaciones de sus estudiantes. </w:t>
      </w:r>
      <w:r>
        <w:rPr>
          <w:i/>
          <w:color w:val="231F20"/>
          <w:w w:val="95"/>
        </w:rPr>
        <w:t>Perfiles educativos. 29</w:t>
      </w:r>
      <w:r>
        <w:rPr>
          <w:color w:val="231F20"/>
          <w:w w:val="95"/>
        </w:rPr>
        <w:t>(115). México: IISUE-UNAM. 8-29.</w:t>
      </w:r>
    </w:p>
    <w:p>
      <w:pPr>
        <w:spacing w:line="242" w:lineRule="auto" w:before="3"/>
        <w:ind w:left="821" w:right="0" w:hanging="720"/>
        <w:jc w:val="left"/>
        <w:rPr>
          <w:sz w:val="21"/>
        </w:rPr>
      </w:pPr>
      <w:r>
        <w:rPr>
          <w:color w:val="231F20"/>
          <w:w w:val="95"/>
          <w:sz w:val="21"/>
        </w:rPr>
        <w:t>Devereux,</w:t>
      </w:r>
      <w:r>
        <w:rPr>
          <w:color w:val="231F20"/>
          <w:spacing w:val="-27"/>
          <w:w w:val="95"/>
          <w:sz w:val="21"/>
        </w:rPr>
        <w:t> </w:t>
      </w:r>
      <w:r>
        <w:rPr>
          <w:color w:val="231F20"/>
          <w:w w:val="95"/>
          <w:sz w:val="21"/>
        </w:rPr>
        <w:t>Georges.</w:t>
      </w:r>
      <w:r>
        <w:rPr>
          <w:color w:val="231F20"/>
          <w:spacing w:val="-27"/>
          <w:w w:val="95"/>
          <w:sz w:val="21"/>
        </w:rPr>
        <w:t> </w:t>
      </w:r>
      <w:r>
        <w:rPr>
          <w:color w:val="231F20"/>
          <w:w w:val="95"/>
          <w:sz w:val="21"/>
        </w:rPr>
        <w:t>(1991).</w:t>
      </w:r>
      <w:r>
        <w:rPr>
          <w:color w:val="231F20"/>
          <w:spacing w:val="-27"/>
          <w:w w:val="95"/>
          <w:sz w:val="21"/>
        </w:rPr>
        <w:t> </w:t>
      </w:r>
      <w:r>
        <w:rPr>
          <w:i/>
          <w:color w:val="231F20"/>
          <w:w w:val="95"/>
          <w:sz w:val="21"/>
        </w:rPr>
        <w:t>De</w:t>
      </w:r>
      <w:r>
        <w:rPr>
          <w:i/>
          <w:color w:val="231F20"/>
          <w:spacing w:val="-27"/>
          <w:w w:val="95"/>
          <w:sz w:val="21"/>
        </w:rPr>
        <w:t> </w:t>
      </w:r>
      <w:r>
        <w:rPr>
          <w:i/>
          <w:color w:val="231F20"/>
          <w:w w:val="95"/>
          <w:sz w:val="21"/>
        </w:rPr>
        <w:t>la</w:t>
      </w:r>
      <w:r>
        <w:rPr>
          <w:i/>
          <w:color w:val="231F20"/>
          <w:spacing w:val="-26"/>
          <w:w w:val="95"/>
          <w:sz w:val="21"/>
        </w:rPr>
        <w:t> </w:t>
      </w:r>
      <w:r>
        <w:rPr>
          <w:i/>
          <w:color w:val="231F20"/>
          <w:w w:val="95"/>
          <w:sz w:val="21"/>
        </w:rPr>
        <w:t>ansiedad</w:t>
      </w:r>
      <w:r>
        <w:rPr>
          <w:i/>
          <w:color w:val="231F20"/>
          <w:spacing w:val="-26"/>
          <w:w w:val="95"/>
          <w:sz w:val="21"/>
        </w:rPr>
        <w:t> </w:t>
      </w:r>
      <w:r>
        <w:rPr>
          <w:i/>
          <w:color w:val="231F20"/>
          <w:w w:val="95"/>
          <w:sz w:val="21"/>
        </w:rPr>
        <w:t>al</w:t>
      </w:r>
      <w:r>
        <w:rPr>
          <w:i/>
          <w:color w:val="231F20"/>
          <w:spacing w:val="-27"/>
          <w:w w:val="95"/>
          <w:sz w:val="21"/>
        </w:rPr>
        <w:t> </w:t>
      </w:r>
      <w:r>
        <w:rPr>
          <w:i/>
          <w:color w:val="231F20"/>
          <w:w w:val="95"/>
          <w:sz w:val="21"/>
        </w:rPr>
        <w:t>método</w:t>
      </w:r>
      <w:r>
        <w:rPr>
          <w:i/>
          <w:color w:val="231F20"/>
          <w:spacing w:val="-27"/>
          <w:w w:val="95"/>
          <w:sz w:val="21"/>
        </w:rPr>
        <w:t> </w:t>
      </w:r>
      <w:r>
        <w:rPr>
          <w:i/>
          <w:color w:val="231F20"/>
          <w:w w:val="95"/>
          <w:sz w:val="21"/>
        </w:rPr>
        <w:t>en</w:t>
      </w:r>
      <w:r>
        <w:rPr>
          <w:i/>
          <w:color w:val="231F20"/>
          <w:spacing w:val="-26"/>
          <w:w w:val="95"/>
          <w:sz w:val="21"/>
        </w:rPr>
        <w:t> </w:t>
      </w:r>
      <w:r>
        <w:rPr>
          <w:i/>
          <w:color w:val="231F20"/>
          <w:w w:val="95"/>
          <w:sz w:val="21"/>
        </w:rPr>
        <w:t>las</w:t>
      </w:r>
      <w:r>
        <w:rPr>
          <w:i/>
          <w:color w:val="231F20"/>
          <w:spacing w:val="-27"/>
          <w:w w:val="95"/>
          <w:sz w:val="21"/>
        </w:rPr>
        <w:t> </w:t>
      </w:r>
      <w:r>
        <w:rPr>
          <w:i/>
          <w:color w:val="231F20"/>
          <w:w w:val="95"/>
          <w:sz w:val="21"/>
        </w:rPr>
        <w:t>ciencias</w:t>
      </w:r>
      <w:r>
        <w:rPr>
          <w:i/>
          <w:color w:val="231F20"/>
          <w:spacing w:val="-27"/>
          <w:w w:val="95"/>
          <w:sz w:val="21"/>
        </w:rPr>
        <w:t> </w:t>
      </w:r>
      <w:r>
        <w:rPr>
          <w:i/>
          <w:color w:val="231F20"/>
          <w:w w:val="95"/>
          <w:sz w:val="21"/>
        </w:rPr>
        <w:t>del </w:t>
      </w:r>
      <w:r>
        <w:rPr>
          <w:i/>
          <w:color w:val="231F20"/>
          <w:w w:val="90"/>
          <w:sz w:val="21"/>
        </w:rPr>
        <w:t>comportamiento. </w:t>
      </w:r>
      <w:r>
        <w:rPr>
          <w:color w:val="231F20"/>
          <w:w w:val="90"/>
          <w:sz w:val="21"/>
        </w:rPr>
        <w:t>México: Siglo</w:t>
      </w:r>
      <w:r>
        <w:rPr>
          <w:color w:val="231F20"/>
          <w:spacing w:val="15"/>
          <w:w w:val="90"/>
          <w:sz w:val="21"/>
        </w:rPr>
        <w:t> </w:t>
      </w:r>
      <w:r>
        <w:rPr>
          <w:color w:val="231F20"/>
          <w:w w:val="90"/>
          <w:sz w:val="21"/>
        </w:rPr>
        <w:t>XXI.</w:t>
      </w:r>
    </w:p>
    <w:p>
      <w:pPr>
        <w:spacing w:line="244" w:lineRule="auto" w:before="6"/>
        <w:ind w:left="821" w:right="352" w:hanging="720"/>
        <w:jc w:val="left"/>
        <w:rPr>
          <w:sz w:val="21"/>
        </w:rPr>
      </w:pPr>
      <w:r>
        <w:rPr>
          <w:color w:val="231F20"/>
          <w:spacing w:val="3"/>
          <w:w w:val="109"/>
          <w:sz w:val="21"/>
        </w:rPr>
        <w:t>D</w:t>
      </w:r>
      <w:r>
        <w:rPr>
          <w:color w:val="231F20"/>
          <w:w w:val="90"/>
          <w:sz w:val="21"/>
        </w:rPr>
        <w:t>í</w:t>
      </w:r>
      <w:r>
        <w:rPr>
          <w:color w:val="231F20"/>
          <w:spacing w:val="1"/>
          <w:w w:val="90"/>
          <w:sz w:val="21"/>
        </w:rPr>
        <w:t>a</w:t>
      </w:r>
      <w:r>
        <w:rPr>
          <w:color w:val="231F20"/>
          <w:spacing w:val="1"/>
          <w:w w:val="99"/>
          <w:sz w:val="21"/>
        </w:rPr>
        <w:t>z</w:t>
      </w:r>
      <w:r>
        <w:rPr>
          <w:color w:val="231F20"/>
          <w:spacing w:val="1"/>
          <w:w w:val="96"/>
          <w:sz w:val="21"/>
        </w:rPr>
        <w:t>-</w:t>
      </w:r>
      <w:r>
        <w:rPr>
          <w:color w:val="231F20"/>
          <w:spacing w:val="3"/>
          <w:w w:val="96"/>
          <w:sz w:val="21"/>
        </w:rPr>
        <w:t>M</w:t>
      </w:r>
      <w:r>
        <w:rPr>
          <w:color w:val="231F20"/>
          <w:spacing w:val="1"/>
          <w:w w:val="96"/>
          <w:sz w:val="21"/>
        </w:rPr>
        <w:t>e</w:t>
      </w:r>
      <w:r>
        <w:rPr>
          <w:color w:val="231F20"/>
          <w:w w:val="88"/>
          <w:sz w:val="21"/>
        </w:rPr>
        <w:t>jí</w:t>
      </w:r>
      <w:r>
        <w:rPr>
          <w:color w:val="231F20"/>
          <w:spacing w:val="1"/>
          <w:w w:val="88"/>
          <w:sz w:val="21"/>
        </w:rPr>
        <w:t>a</w:t>
      </w:r>
      <w:r>
        <w:rPr>
          <w:color w:val="231F20"/>
          <w:w w:val="90"/>
          <w:sz w:val="21"/>
        </w:rPr>
        <w:t>,</w:t>
      </w:r>
      <w:r>
        <w:rPr>
          <w:color w:val="231F20"/>
          <w:spacing w:val="3"/>
          <w:sz w:val="21"/>
        </w:rPr>
        <w:t> </w:t>
      </w:r>
      <w:r>
        <w:rPr>
          <w:color w:val="231F20"/>
          <w:spacing w:val="2"/>
          <w:w w:val="97"/>
          <w:sz w:val="21"/>
        </w:rPr>
        <w:t>C</w:t>
      </w:r>
      <w:r>
        <w:rPr>
          <w:color w:val="231F20"/>
          <w:spacing w:val="1"/>
          <w:w w:val="94"/>
          <w:sz w:val="21"/>
        </w:rPr>
        <w:t>a</w:t>
      </w:r>
      <w:r>
        <w:rPr>
          <w:color w:val="231F20"/>
          <w:spacing w:val="1"/>
          <w:w w:val="103"/>
          <w:sz w:val="21"/>
        </w:rPr>
        <w:t>r</w:t>
      </w:r>
      <w:r>
        <w:rPr>
          <w:color w:val="231F20"/>
          <w:spacing w:val="3"/>
          <w:w w:val="101"/>
          <w:sz w:val="21"/>
        </w:rPr>
        <w:t>m</w:t>
      </w:r>
      <w:r>
        <w:rPr>
          <w:color w:val="231F20"/>
          <w:spacing w:val="1"/>
          <w:w w:val="96"/>
          <w:sz w:val="21"/>
        </w:rPr>
        <w:t>e</w:t>
      </w:r>
      <w:r>
        <w:rPr>
          <w:color w:val="231F20"/>
          <w:spacing w:val="2"/>
          <w:w w:val="104"/>
          <w:sz w:val="21"/>
        </w:rPr>
        <w:t>n</w:t>
      </w:r>
      <w:r>
        <w:rPr>
          <w:color w:val="231F20"/>
          <w:w w:val="90"/>
          <w:sz w:val="21"/>
        </w:rPr>
        <w:t>.</w:t>
      </w:r>
      <w:r>
        <w:rPr>
          <w:color w:val="231F20"/>
          <w:spacing w:val="3"/>
          <w:sz w:val="21"/>
        </w:rPr>
        <w:t> </w:t>
      </w:r>
      <w:r>
        <w:rPr>
          <w:color w:val="231F20"/>
          <w:spacing w:val="1"/>
          <w:w w:val="90"/>
          <w:sz w:val="21"/>
        </w:rPr>
        <w:t>(</w:t>
      </w:r>
      <w:r>
        <w:rPr>
          <w:color w:val="231F20"/>
          <w:spacing w:val="1"/>
          <w:w w:val="95"/>
          <w:sz w:val="21"/>
        </w:rPr>
        <w:t>2010)</w:t>
      </w:r>
      <w:r>
        <w:rPr>
          <w:color w:val="231F20"/>
          <w:w w:val="90"/>
          <w:sz w:val="21"/>
        </w:rPr>
        <w:t>.</w:t>
      </w:r>
      <w:r>
        <w:rPr>
          <w:color w:val="231F20"/>
          <w:spacing w:val="3"/>
          <w:sz w:val="21"/>
        </w:rPr>
        <w:t> </w:t>
      </w:r>
      <w:r>
        <w:rPr>
          <w:i/>
          <w:color w:val="231F20"/>
          <w:spacing w:val="3"/>
          <w:w w:val="128"/>
          <w:sz w:val="21"/>
        </w:rPr>
        <w:t>A</w:t>
      </w:r>
      <w:r>
        <w:rPr>
          <w:i/>
          <w:color w:val="231F20"/>
          <w:spacing w:val="1"/>
          <w:w w:val="62"/>
          <w:sz w:val="21"/>
        </w:rPr>
        <w:t>c</w:t>
      </w:r>
      <w:r>
        <w:rPr>
          <w:i/>
          <w:color w:val="231F20"/>
          <w:spacing w:val="1"/>
          <w:w w:val="83"/>
          <w:sz w:val="21"/>
        </w:rPr>
        <w:t>ad</w:t>
      </w:r>
      <w:r>
        <w:rPr>
          <w:i/>
          <w:color w:val="231F20"/>
          <w:spacing w:val="1"/>
          <w:w w:val="67"/>
          <w:sz w:val="21"/>
        </w:rPr>
        <w:t>é</w:t>
      </w:r>
      <w:r>
        <w:rPr>
          <w:i/>
          <w:color w:val="231F20"/>
          <w:spacing w:val="2"/>
          <w:w w:val="89"/>
          <w:sz w:val="21"/>
        </w:rPr>
        <w:t>m</w:t>
      </w:r>
      <w:r>
        <w:rPr>
          <w:i/>
          <w:color w:val="231F20"/>
          <w:w w:val="84"/>
          <w:sz w:val="21"/>
        </w:rPr>
        <w:t>i</w:t>
      </w:r>
      <w:r>
        <w:rPr>
          <w:i/>
          <w:color w:val="231F20"/>
          <w:spacing w:val="1"/>
          <w:w w:val="62"/>
          <w:sz w:val="21"/>
        </w:rPr>
        <w:t>c</w:t>
      </w:r>
      <w:r>
        <w:rPr>
          <w:i/>
          <w:color w:val="231F20"/>
          <w:spacing w:val="1"/>
          <w:w w:val="74"/>
          <w:sz w:val="21"/>
        </w:rPr>
        <w:t>os</w:t>
      </w:r>
      <w:r>
        <w:rPr>
          <w:i/>
          <w:color w:val="231F20"/>
          <w:w w:val="67"/>
          <w:sz w:val="21"/>
        </w:rPr>
        <w:t>:</w:t>
      </w:r>
      <w:r>
        <w:rPr>
          <w:i/>
          <w:color w:val="231F20"/>
          <w:spacing w:val="3"/>
          <w:sz w:val="21"/>
        </w:rPr>
        <w:t> </w:t>
      </w:r>
      <w:r>
        <w:rPr>
          <w:i/>
          <w:color w:val="231F20"/>
          <w:w w:val="92"/>
          <w:sz w:val="21"/>
        </w:rPr>
        <w:t>t</w:t>
      </w:r>
      <w:r>
        <w:rPr>
          <w:i/>
          <w:color w:val="231F20"/>
          <w:spacing w:val="1"/>
          <w:w w:val="67"/>
          <w:sz w:val="21"/>
        </w:rPr>
        <w:t>e</w:t>
      </w:r>
      <w:r>
        <w:rPr>
          <w:i/>
          <w:color w:val="231F20"/>
          <w:spacing w:val="1"/>
          <w:w w:val="87"/>
          <w:sz w:val="21"/>
        </w:rPr>
        <w:t>n</w:t>
      </w:r>
      <w:r>
        <w:rPr>
          <w:i/>
          <w:color w:val="231F20"/>
          <w:spacing w:val="1"/>
          <w:w w:val="77"/>
          <w:sz w:val="21"/>
        </w:rPr>
        <w:t>s</w:t>
      </w:r>
      <w:r>
        <w:rPr>
          <w:i/>
          <w:color w:val="231F20"/>
          <w:w w:val="84"/>
          <w:sz w:val="21"/>
        </w:rPr>
        <w:t>i</w:t>
      </w:r>
      <w:r>
        <w:rPr>
          <w:i/>
          <w:color w:val="231F20"/>
          <w:spacing w:val="1"/>
          <w:w w:val="80"/>
          <w:sz w:val="21"/>
        </w:rPr>
        <w:t>on</w:t>
      </w:r>
      <w:r>
        <w:rPr>
          <w:i/>
          <w:color w:val="231F20"/>
          <w:spacing w:val="1"/>
          <w:w w:val="67"/>
          <w:sz w:val="21"/>
        </w:rPr>
        <w:t>e</w:t>
      </w:r>
      <w:r>
        <w:rPr>
          <w:i/>
          <w:color w:val="231F20"/>
          <w:w w:val="77"/>
          <w:sz w:val="21"/>
        </w:rPr>
        <w:t>s</w:t>
      </w:r>
      <w:r>
        <w:rPr>
          <w:i/>
          <w:color w:val="231F20"/>
          <w:spacing w:val="3"/>
          <w:sz w:val="21"/>
        </w:rPr>
        <w:t> </w:t>
      </w:r>
      <w:r>
        <w:rPr>
          <w:i/>
          <w:color w:val="231F20"/>
          <w:spacing w:val="1"/>
          <w:w w:val="67"/>
          <w:sz w:val="21"/>
        </w:rPr>
        <w:t>e</w:t>
      </w:r>
      <w:r>
        <w:rPr>
          <w:i/>
          <w:color w:val="231F20"/>
          <w:w w:val="87"/>
          <w:sz w:val="21"/>
        </w:rPr>
        <w:t>n</w:t>
      </w:r>
      <w:r>
        <w:rPr>
          <w:i/>
          <w:color w:val="231F20"/>
          <w:spacing w:val="4"/>
          <w:sz w:val="21"/>
        </w:rPr>
        <w:t> </w:t>
      </w:r>
      <w:r>
        <w:rPr>
          <w:i/>
          <w:color w:val="231F20"/>
          <w:spacing w:val="1"/>
          <w:w w:val="62"/>
          <w:sz w:val="21"/>
        </w:rPr>
        <w:t>c</w:t>
      </w:r>
      <w:r>
        <w:rPr>
          <w:i/>
          <w:color w:val="231F20"/>
          <w:spacing w:val="1"/>
          <w:w w:val="83"/>
          <w:sz w:val="21"/>
        </w:rPr>
        <w:t>a</w:t>
      </w:r>
      <w:r>
        <w:rPr>
          <w:i/>
          <w:color w:val="231F20"/>
          <w:spacing w:val="2"/>
          <w:w w:val="89"/>
          <w:sz w:val="21"/>
        </w:rPr>
        <w:t>m</w:t>
      </w:r>
      <w:r>
        <w:rPr>
          <w:i/>
          <w:color w:val="231F20"/>
          <w:spacing w:val="1"/>
          <w:w w:val="83"/>
          <w:sz w:val="21"/>
        </w:rPr>
        <w:t>p</w:t>
      </w:r>
      <w:r>
        <w:rPr>
          <w:i/>
          <w:color w:val="231F20"/>
          <w:spacing w:val="1"/>
          <w:w w:val="74"/>
          <w:sz w:val="21"/>
        </w:rPr>
        <w:t>os</w:t>
      </w:r>
      <w:r>
        <w:rPr>
          <w:i/>
          <w:color w:val="231F20"/>
          <w:spacing w:val="1"/>
          <w:w w:val="74"/>
          <w:sz w:val="21"/>
        </w:rPr>
        <w:t> </w:t>
      </w:r>
      <w:r>
        <w:rPr>
          <w:i/>
          <w:color w:val="231F20"/>
          <w:w w:val="95"/>
          <w:sz w:val="21"/>
        </w:rPr>
        <w:t>comunicativo-educativos.</w:t>
      </w:r>
      <w:r>
        <w:rPr>
          <w:color w:val="231F20"/>
          <w:w w:val="95"/>
          <w:sz w:val="21"/>
        </w:rPr>
        <w:t>(</w:t>
      </w:r>
      <w:r>
        <w:rPr>
          <w:color w:val="231F20"/>
          <w:spacing w:val="-24"/>
          <w:w w:val="95"/>
          <w:sz w:val="21"/>
        </w:rPr>
        <w:t> </w:t>
      </w:r>
      <w:r>
        <w:rPr>
          <w:color w:val="231F20"/>
          <w:w w:val="95"/>
          <w:sz w:val="21"/>
        </w:rPr>
        <w:t>Tesis</w:t>
      </w:r>
      <w:r>
        <w:rPr>
          <w:color w:val="231F20"/>
          <w:spacing w:val="-24"/>
          <w:w w:val="95"/>
          <w:sz w:val="21"/>
        </w:rPr>
        <w:t> </w:t>
      </w:r>
      <w:r>
        <w:rPr>
          <w:color w:val="231F20"/>
          <w:w w:val="95"/>
          <w:sz w:val="21"/>
        </w:rPr>
        <w:t>de</w:t>
      </w:r>
      <w:r>
        <w:rPr>
          <w:color w:val="231F20"/>
          <w:spacing w:val="-23"/>
          <w:w w:val="95"/>
          <w:sz w:val="21"/>
        </w:rPr>
        <w:t> </w:t>
      </w:r>
      <w:r>
        <w:rPr>
          <w:color w:val="231F20"/>
          <w:w w:val="95"/>
          <w:sz w:val="21"/>
        </w:rPr>
        <w:t>doctorado</w:t>
      </w:r>
      <w:r>
        <w:rPr>
          <w:color w:val="231F20"/>
          <w:spacing w:val="-23"/>
          <w:w w:val="95"/>
          <w:sz w:val="21"/>
        </w:rPr>
        <w:t> </w:t>
      </w:r>
      <w:r>
        <w:rPr>
          <w:color w:val="231F20"/>
          <w:w w:val="95"/>
          <w:sz w:val="21"/>
        </w:rPr>
        <w:t>en</w:t>
      </w:r>
      <w:r>
        <w:rPr>
          <w:color w:val="231F20"/>
          <w:spacing w:val="-23"/>
          <w:w w:val="95"/>
          <w:sz w:val="21"/>
        </w:rPr>
        <w:t> </w:t>
      </w:r>
      <w:r>
        <w:rPr>
          <w:color w:val="231F20"/>
          <w:w w:val="95"/>
          <w:sz w:val="21"/>
        </w:rPr>
        <w:t>Psicología</w:t>
      </w:r>
      <w:r>
        <w:rPr>
          <w:color w:val="231F20"/>
          <w:spacing w:val="-23"/>
          <w:w w:val="95"/>
          <w:sz w:val="21"/>
        </w:rPr>
        <w:t> </w:t>
      </w:r>
      <w:r>
        <w:rPr>
          <w:color w:val="231F20"/>
          <w:w w:val="95"/>
          <w:sz w:val="21"/>
        </w:rPr>
        <w:t>y </w:t>
      </w:r>
      <w:r>
        <w:rPr>
          <w:color w:val="231F20"/>
          <w:sz w:val="21"/>
        </w:rPr>
        <w:t>Educación). UAQ.</w:t>
      </w:r>
      <w:r>
        <w:rPr>
          <w:color w:val="231F20"/>
          <w:spacing w:val="47"/>
          <w:sz w:val="21"/>
        </w:rPr>
        <w:t> </w:t>
      </w:r>
      <w:r>
        <w:rPr>
          <w:color w:val="231F20"/>
          <w:sz w:val="21"/>
        </w:rPr>
        <w:t>Querétaro.</w:t>
      </w:r>
    </w:p>
    <w:p>
      <w:pPr>
        <w:spacing w:line="247" w:lineRule="auto" w:before="0"/>
        <w:ind w:left="101" w:right="0" w:firstLine="0"/>
        <w:jc w:val="left"/>
        <w:rPr>
          <w:i/>
          <w:sz w:val="21"/>
        </w:rPr>
      </w:pPr>
      <w:r>
        <w:rPr>
          <w:color w:val="231F20"/>
          <w:sz w:val="21"/>
        </w:rPr>
        <w:t>Durkheim,</w:t>
      </w:r>
      <w:r>
        <w:rPr>
          <w:color w:val="231F20"/>
          <w:spacing w:val="-27"/>
          <w:sz w:val="21"/>
        </w:rPr>
        <w:t> </w:t>
      </w:r>
      <w:r>
        <w:rPr>
          <w:color w:val="231F20"/>
          <w:sz w:val="21"/>
        </w:rPr>
        <w:t>Émile.</w:t>
      </w:r>
      <w:r>
        <w:rPr>
          <w:color w:val="231F20"/>
          <w:spacing w:val="-27"/>
          <w:sz w:val="21"/>
        </w:rPr>
        <w:t> </w:t>
      </w:r>
      <w:r>
        <w:rPr>
          <w:color w:val="231F20"/>
          <w:sz w:val="21"/>
        </w:rPr>
        <w:t>(1993).</w:t>
      </w:r>
      <w:r>
        <w:rPr>
          <w:color w:val="231F20"/>
          <w:spacing w:val="-27"/>
          <w:sz w:val="21"/>
        </w:rPr>
        <w:t> </w:t>
      </w:r>
      <w:r>
        <w:rPr>
          <w:i/>
          <w:color w:val="231F20"/>
          <w:sz w:val="21"/>
        </w:rPr>
        <w:t>Educación</w:t>
      </w:r>
      <w:r>
        <w:rPr>
          <w:i/>
          <w:color w:val="231F20"/>
          <w:spacing w:val="-27"/>
          <w:sz w:val="21"/>
        </w:rPr>
        <w:t> </w:t>
      </w:r>
      <w:r>
        <w:rPr>
          <w:i/>
          <w:color w:val="231F20"/>
          <w:sz w:val="21"/>
        </w:rPr>
        <w:t>y</w:t>
      </w:r>
      <w:r>
        <w:rPr>
          <w:i/>
          <w:color w:val="231F20"/>
          <w:spacing w:val="-27"/>
          <w:sz w:val="21"/>
        </w:rPr>
        <w:t> </w:t>
      </w:r>
      <w:r>
        <w:rPr>
          <w:i/>
          <w:color w:val="231F20"/>
          <w:sz w:val="21"/>
        </w:rPr>
        <w:t>sociología.</w:t>
      </w:r>
      <w:r>
        <w:rPr>
          <w:i/>
          <w:color w:val="231F20"/>
          <w:spacing w:val="-27"/>
          <w:sz w:val="21"/>
        </w:rPr>
        <w:t> </w:t>
      </w:r>
      <w:r>
        <w:rPr>
          <w:color w:val="231F20"/>
          <w:sz w:val="21"/>
        </w:rPr>
        <w:t>México:</w:t>
      </w:r>
      <w:r>
        <w:rPr>
          <w:color w:val="231F20"/>
          <w:spacing w:val="-27"/>
          <w:sz w:val="21"/>
        </w:rPr>
        <w:t> </w:t>
      </w:r>
      <w:r>
        <w:rPr>
          <w:color w:val="231F20"/>
          <w:sz w:val="21"/>
        </w:rPr>
        <w:t>Colofón. </w:t>
      </w:r>
      <w:r>
        <w:rPr>
          <w:color w:val="231F20"/>
          <w:w w:val="95"/>
          <w:sz w:val="21"/>
        </w:rPr>
        <w:t>Durkheim,</w:t>
      </w:r>
      <w:r>
        <w:rPr>
          <w:color w:val="231F20"/>
          <w:spacing w:val="-9"/>
          <w:w w:val="95"/>
          <w:sz w:val="21"/>
        </w:rPr>
        <w:t> </w:t>
      </w:r>
      <w:r>
        <w:rPr>
          <w:color w:val="231F20"/>
          <w:w w:val="95"/>
          <w:sz w:val="21"/>
        </w:rPr>
        <w:t>Émile.</w:t>
      </w:r>
      <w:r>
        <w:rPr>
          <w:color w:val="231F20"/>
          <w:spacing w:val="-9"/>
          <w:w w:val="95"/>
          <w:sz w:val="21"/>
        </w:rPr>
        <w:t> </w:t>
      </w:r>
      <w:r>
        <w:rPr>
          <w:color w:val="231F20"/>
          <w:w w:val="95"/>
          <w:sz w:val="21"/>
        </w:rPr>
        <w:t>(s.f.).</w:t>
      </w:r>
      <w:r>
        <w:rPr>
          <w:color w:val="231F20"/>
          <w:spacing w:val="-9"/>
          <w:w w:val="95"/>
          <w:sz w:val="21"/>
        </w:rPr>
        <w:t> </w:t>
      </w:r>
      <w:r>
        <w:rPr>
          <w:i/>
          <w:color w:val="231F20"/>
          <w:w w:val="95"/>
          <w:sz w:val="21"/>
        </w:rPr>
        <w:t>La</w:t>
      </w:r>
      <w:r>
        <w:rPr>
          <w:i/>
          <w:color w:val="231F20"/>
          <w:spacing w:val="-9"/>
          <w:w w:val="95"/>
          <w:sz w:val="21"/>
        </w:rPr>
        <w:t> </w:t>
      </w:r>
      <w:r>
        <w:rPr>
          <w:i/>
          <w:color w:val="231F20"/>
          <w:w w:val="95"/>
          <w:sz w:val="21"/>
        </w:rPr>
        <w:t>división</w:t>
      </w:r>
      <w:r>
        <w:rPr>
          <w:i/>
          <w:color w:val="231F20"/>
          <w:spacing w:val="-9"/>
          <w:w w:val="95"/>
          <w:sz w:val="21"/>
        </w:rPr>
        <w:t> </w:t>
      </w:r>
      <w:r>
        <w:rPr>
          <w:i/>
          <w:color w:val="231F20"/>
          <w:w w:val="95"/>
          <w:sz w:val="21"/>
        </w:rPr>
        <w:t>del</w:t>
      </w:r>
      <w:r>
        <w:rPr>
          <w:i/>
          <w:color w:val="231F20"/>
          <w:spacing w:val="-9"/>
          <w:w w:val="95"/>
          <w:sz w:val="21"/>
        </w:rPr>
        <w:t> </w:t>
      </w:r>
      <w:r>
        <w:rPr>
          <w:i/>
          <w:color w:val="231F20"/>
          <w:w w:val="95"/>
          <w:sz w:val="21"/>
        </w:rPr>
        <w:t>trabajo</w:t>
      </w:r>
      <w:r>
        <w:rPr>
          <w:i/>
          <w:color w:val="231F20"/>
          <w:spacing w:val="-9"/>
          <w:w w:val="95"/>
          <w:sz w:val="21"/>
        </w:rPr>
        <w:t> </w:t>
      </w:r>
      <w:r>
        <w:rPr>
          <w:i/>
          <w:color w:val="231F20"/>
          <w:w w:val="95"/>
          <w:sz w:val="21"/>
        </w:rPr>
        <w:t>social.</w:t>
      </w:r>
      <w:r>
        <w:rPr>
          <w:i/>
          <w:color w:val="231F20"/>
          <w:spacing w:val="-10"/>
          <w:w w:val="95"/>
          <w:sz w:val="21"/>
        </w:rPr>
        <w:t> </w:t>
      </w:r>
      <w:r>
        <w:rPr>
          <w:color w:val="231F20"/>
          <w:w w:val="95"/>
          <w:sz w:val="21"/>
        </w:rPr>
        <w:t>México:</w:t>
      </w:r>
      <w:r>
        <w:rPr>
          <w:color w:val="231F20"/>
          <w:spacing w:val="-9"/>
          <w:w w:val="95"/>
          <w:sz w:val="21"/>
        </w:rPr>
        <w:t> </w:t>
      </w:r>
      <w:r>
        <w:rPr>
          <w:color w:val="231F20"/>
          <w:w w:val="95"/>
          <w:sz w:val="21"/>
        </w:rPr>
        <w:t>Colofón. Engels,</w:t>
      </w:r>
      <w:r>
        <w:rPr>
          <w:color w:val="231F20"/>
          <w:spacing w:val="-28"/>
          <w:w w:val="95"/>
          <w:sz w:val="21"/>
        </w:rPr>
        <w:t> </w:t>
      </w:r>
      <w:r>
        <w:rPr>
          <w:color w:val="231F20"/>
          <w:w w:val="95"/>
          <w:sz w:val="21"/>
        </w:rPr>
        <w:t>Friedrich.</w:t>
      </w:r>
      <w:r>
        <w:rPr>
          <w:color w:val="231F20"/>
          <w:spacing w:val="-28"/>
          <w:w w:val="95"/>
          <w:sz w:val="21"/>
        </w:rPr>
        <w:t> </w:t>
      </w:r>
      <w:r>
        <w:rPr>
          <w:color w:val="231F20"/>
          <w:w w:val="95"/>
          <w:sz w:val="21"/>
        </w:rPr>
        <w:t>(1979).</w:t>
      </w:r>
      <w:r>
        <w:rPr>
          <w:color w:val="231F20"/>
          <w:spacing w:val="-28"/>
          <w:w w:val="95"/>
          <w:sz w:val="21"/>
        </w:rPr>
        <w:t> </w:t>
      </w:r>
      <w:r>
        <w:rPr>
          <w:i/>
          <w:color w:val="231F20"/>
          <w:w w:val="95"/>
          <w:sz w:val="21"/>
        </w:rPr>
        <w:t>El</w:t>
      </w:r>
      <w:r>
        <w:rPr>
          <w:i/>
          <w:color w:val="231F20"/>
          <w:spacing w:val="-28"/>
          <w:w w:val="95"/>
          <w:sz w:val="21"/>
        </w:rPr>
        <w:t> </w:t>
      </w:r>
      <w:r>
        <w:rPr>
          <w:i/>
          <w:color w:val="231F20"/>
          <w:w w:val="95"/>
          <w:sz w:val="21"/>
        </w:rPr>
        <w:t>origen</w:t>
      </w:r>
      <w:r>
        <w:rPr>
          <w:i/>
          <w:color w:val="231F20"/>
          <w:spacing w:val="-27"/>
          <w:w w:val="95"/>
          <w:sz w:val="21"/>
        </w:rPr>
        <w:t> </w:t>
      </w:r>
      <w:r>
        <w:rPr>
          <w:i/>
          <w:color w:val="231F20"/>
          <w:w w:val="95"/>
          <w:sz w:val="21"/>
        </w:rPr>
        <w:t>de</w:t>
      </w:r>
      <w:r>
        <w:rPr>
          <w:i/>
          <w:color w:val="231F20"/>
          <w:spacing w:val="-28"/>
          <w:w w:val="95"/>
          <w:sz w:val="21"/>
        </w:rPr>
        <w:t> </w:t>
      </w:r>
      <w:r>
        <w:rPr>
          <w:i/>
          <w:color w:val="231F20"/>
          <w:w w:val="95"/>
          <w:sz w:val="21"/>
        </w:rPr>
        <w:t>la</w:t>
      </w:r>
      <w:r>
        <w:rPr>
          <w:i/>
          <w:color w:val="231F20"/>
          <w:spacing w:val="-27"/>
          <w:w w:val="95"/>
          <w:sz w:val="21"/>
        </w:rPr>
        <w:t> </w:t>
      </w:r>
      <w:r>
        <w:rPr>
          <w:i/>
          <w:color w:val="231F20"/>
          <w:w w:val="95"/>
          <w:sz w:val="21"/>
        </w:rPr>
        <w:t>familia,</w:t>
      </w:r>
      <w:r>
        <w:rPr>
          <w:i/>
          <w:color w:val="231F20"/>
          <w:spacing w:val="-28"/>
          <w:w w:val="95"/>
          <w:sz w:val="21"/>
        </w:rPr>
        <w:t> </w:t>
      </w:r>
      <w:r>
        <w:rPr>
          <w:i/>
          <w:color w:val="231F20"/>
          <w:w w:val="95"/>
          <w:sz w:val="21"/>
        </w:rPr>
        <w:t>la</w:t>
      </w:r>
      <w:r>
        <w:rPr>
          <w:i/>
          <w:color w:val="231F20"/>
          <w:spacing w:val="-27"/>
          <w:w w:val="95"/>
          <w:sz w:val="21"/>
        </w:rPr>
        <w:t> </w:t>
      </w:r>
      <w:r>
        <w:rPr>
          <w:i/>
          <w:color w:val="231F20"/>
          <w:w w:val="95"/>
          <w:sz w:val="21"/>
        </w:rPr>
        <w:t>propiedad</w:t>
      </w:r>
      <w:r>
        <w:rPr>
          <w:i/>
          <w:color w:val="231F20"/>
          <w:spacing w:val="-27"/>
          <w:w w:val="95"/>
          <w:sz w:val="21"/>
        </w:rPr>
        <w:t> </w:t>
      </w:r>
      <w:r>
        <w:rPr>
          <w:i/>
          <w:color w:val="231F20"/>
          <w:w w:val="95"/>
          <w:sz w:val="21"/>
        </w:rPr>
        <w:t>privada</w:t>
      </w:r>
      <w:r>
        <w:rPr>
          <w:i/>
          <w:color w:val="231F20"/>
          <w:spacing w:val="-27"/>
          <w:w w:val="95"/>
          <w:sz w:val="21"/>
        </w:rPr>
        <w:t> </w:t>
      </w:r>
      <w:r>
        <w:rPr>
          <w:i/>
          <w:color w:val="231F20"/>
          <w:w w:val="95"/>
          <w:sz w:val="21"/>
        </w:rPr>
        <w:t>y</w:t>
      </w:r>
      <w:r>
        <w:rPr>
          <w:i/>
          <w:color w:val="231F20"/>
          <w:spacing w:val="-28"/>
          <w:w w:val="95"/>
          <w:sz w:val="21"/>
        </w:rPr>
        <w:t> </w:t>
      </w:r>
      <w:r>
        <w:rPr>
          <w:i/>
          <w:color w:val="231F20"/>
          <w:w w:val="95"/>
          <w:sz w:val="21"/>
        </w:rPr>
        <w:t>el</w:t>
      </w:r>
    </w:p>
    <w:p>
      <w:pPr>
        <w:spacing w:line="238" w:lineRule="exact" w:before="0"/>
        <w:ind w:left="821" w:right="774" w:firstLine="0"/>
        <w:jc w:val="left"/>
        <w:rPr>
          <w:sz w:val="21"/>
        </w:rPr>
      </w:pPr>
      <w:r>
        <w:rPr>
          <w:i/>
          <w:color w:val="231F20"/>
          <w:sz w:val="21"/>
        </w:rPr>
        <w:t>Estado. </w:t>
      </w:r>
      <w:r>
        <w:rPr>
          <w:color w:val="231F20"/>
          <w:sz w:val="21"/>
        </w:rPr>
        <w:t>México: Época.</w:t>
      </w:r>
    </w:p>
    <w:p>
      <w:pPr>
        <w:spacing w:line="244" w:lineRule="auto" w:before="8"/>
        <w:ind w:left="821" w:right="0" w:hanging="721"/>
        <w:jc w:val="left"/>
        <w:rPr>
          <w:sz w:val="21"/>
        </w:rPr>
      </w:pPr>
      <w:r>
        <w:rPr>
          <w:color w:val="231F20"/>
          <w:w w:val="95"/>
          <w:sz w:val="21"/>
        </w:rPr>
        <w:t>Franco,</w:t>
      </w:r>
      <w:r>
        <w:rPr>
          <w:color w:val="231F20"/>
          <w:spacing w:val="-23"/>
          <w:w w:val="95"/>
          <w:sz w:val="21"/>
        </w:rPr>
        <w:t> </w:t>
      </w:r>
      <w:r>
        <w:rPr>
          <w:color w:val="231F20"/>
          <w:w w:val="95"/>
          <w:sz w:val="21"/>
        </w:rPr>
        <w:t>M.</w:t>
      </w:r>
      <w:r>
        <w:rPr>
          <w:color w:val="231F20"/>
          <w:spacing w:val="-23"/>
          <w:w w:val="95"/>
          <w:sz w:val="21"/>
        </w:rPr>
        <w:t> </w:t>
      </w:r>
      <w:r>
        <w:rPr>
          <w:color w:val="231F20"/>
          <w:w w:val="95"/>
          <w:sz w:val="21"/>
        </w:rPr>
        <w:t>D.</w:t>
      </w:r>
      <w:r>
        <w:rPr>
          <w:color w:val="231F20"/>
          <w:spacing w:val="-23"/>
          <w:w w:val="95"/>
          <w:sz w:val="21"/>
        </w:rPr>
        <w:t> </w:t>
      </w:r>
      <w:r>
        <w:rPr>
          <w:color w:val="231F20"/>
          <w:w w:val="95"/>
          <w:sz w:val="21"/>
        </w:rPr>
        <w:t>(2005).</w:t>
      </w:r>
      <w:r>
        <w:rPr>
          <w:color w:val="231F20"/>
          <w:spacing w:val="-23"/>
          <w:w w:val="95"/>
          <w:sz w:val="21"/>
        </w:rPr>
        <w:t> </w:t>
      </w:r>
      <w:r>
        <w:rPr>
          <w:i/>
          <w:color w:val="231F20"/>
          <w:w w:val="95"/>
          <w:sz w:val="21"/>
        </w:rPr>
        <w:t>La</w:t>
      </w:r>
      <w:r>
        <w:rPr>
          <w:i/>
          <w:color w:val="231F20"/>
          <w:spacing w:val="-23"/>
          <w:w w:val="95"/>
          <w:sz w:val="21"/>
        </w:rPr>
        <w:t> </w:t>
      </w:r>
      <w:r>
        <w:rPr>
          <w:i/>
          <w:color w:val="231F20"/>
          <w:w w:val="95"/>
          <w:sz w:val="21"/>
        </w:rPr>
        <w:t>noción</w:t>
      </w:r>
      <w:r>
        <w:rPr>
          <w:i/>
          <w:color w:val="231F20"/>
          <w:spacing w:val="-23"/>
          <w:w w:val="95"/>
          <w:sz w:val="21"/>
        </w:rPr>
        <w:t> </w:t>
      </w:r>
      <w:r>
        <w:rPr>
          <w:i/>
          <w:color w:val="231F20"/>
          <w:w w:val="95"/>
          <w:sz w:val="21"/>
        </w:rPr>
        <w:t>y</w:t>
      </w:r>
      <w:r>
        <w:rPr>
          <w:i/>
          <w:color w:val="231F20"/>
          <w:spacing w:val="-23"/>
          <w:w w:val="95"/>
          <w:sz w:val="21"/>
        </w:rPr>
        <w:t> </w:t>
      </w:r>
      <w:r>
        <w:rPr>
          <w:i/>
          <w:color w:val="231F20"/>
          <w:w w:val="95"/>
          <w:sz w:val="21"/>
        </w:rPr>
        <w:t>la</w:t>
      </w:r>
      <w:r>
        <w:rPr>
          <w:i/>
          <w:color w:val="231F20"/>
          <w:spacing w:val="-23"/>
          <w:w w:val="95"/>
          <w:sz w:val="21"/>
        </w:rPr>
        <w:t> </w:t>
      </w:r>
      <w:r>
        <w:rPr>
          <w:i/>
          <w:color w:val="231F20"/>
          <w:w w:val="95"/>
          <w:sz w:val="21"/>
        </w:rPr>
        <w:t>práctica</w:t>
      </w:r>
      <w:r>
        <w:rPr>
          <w:i/>
          <w:color w:val="231F20"/>
          <w:spacing w:val="-23"/>
          <w:w w:val="95"/>
          <w:sz w:val="21"/>
        </w:rPr>
        <w:t> </w:t>
      </w:r>
      <w:r>
        <w:rPr>
          <w:i/>
          <w:color w:val="231F20"/>
          <w:w w:val="95"/>
          <w:sz w:val="21"/>
        </w:rPr>
        <w:t>de</w:t>
      </w:r>
      <w:r>
        <w:rPr>
          <w:i/>
          <w:color w:val="231F20"/>
          <w:spacing w:val="-23"/>
          <w:w w:val="95"/>
          <w:sz w:val="21"/>
        </w:rPr>
        <w:t> </w:t>
      </w:r>
      <w:r>
        <w:rPr>
          <w:i/>
          <w:color w:val="231F20"/>
          <w:w w:val="95"/>
          <w:sz w:val="21"/>
        </w:rPr>
        <w:t>la</w:t>
      </w:r>
      <w:r>
        <w:rPr>
          <w:i/>
          <w:color w:val="231F20"/>
          <w:spacing w:val="-23"/>
          <w:w w:val="95"/>
          <w:sz w:val="21"/>
        </w:rPr>
        <w:t> </w:t>
      </w:r>
      <w:r>
        <w:rPr>
          <w:i/>
          <w:color w:val="231F20"/>
          <w:w w:val="95"/>
          <w:sz w:val="21"/>
        </w:rPr>
        <w:t>investigación</w:t>
      </w:r>
      <w:r>
        <w:rPr>
          <w:i/>
          <w:color w:val="231F20"/>
          <w:spacing w:val="-23"/>
          <w:w w:val="95"/>
          <w:sz w:val="21"/>
        </w:rPr>
        <w:t> </w:t>
      </w:r>
      <w:r>
        <w:rPr>
          <w:i/>
          <w:color w:val="231F20"/>
          <w:w w:val="95"/>
          <w:sz w:val="21"/>
        </w:rPr>
        <w:t>de</w:t>
      </w:r>
      <w:r>
        <w:rPr>
          <w:i/>
          <w:color w:val="231F20"/>
          <w:spacing w:val="-23"/>
          <w:w w:val="95"/>
          <w:sz w:val="21"/>
        </w:rPr>
        <w:t> </w:t>
      </w:r>
      <w:r>
        <w:rPr>
          <w:i/>
          <w:color w:val="231F20"/>
          <w:w w:val="95"/>
          <w:sz w:val="21"/>
        </w:rPr>
        <w:t>los </w:t>
      </w:r>
      <w:r>
        <w:rPr>
          <w:i/>
          <w:color w:val="231F20"/>
          <w:w w:val="95"/>
          <w:sz w:val="21"/>
        </w:rPr>
        <w:t>alumnos de la Facultad de Psicología de la UAQ. </w:t>
      </w:r>
      <w:r>
        <w:rPr>
          <w:color w:val="231F20"/>
          <w:w w:val="95"/>
          <w:sz w:val="21"/>
        </w:rPr>
        <w:t>(Tesis de maestría</w:t>
      </w:r>
      <w:r>
        <w:rPr>
          <w:color w:val="231F20"/>
          <w:spacing w:val="36"/>
          <w:w w:val="95"/>
          <w:sz w:val="21"/>
        </w:rPr>
        <w:t> </w:t>
      </w:r>
      <w:r>
        <w:rPr>
          <w:color w:val="231F20"/>
          <w:w w:val="95"/>
          <w:sz w:val="21"/>
        </w:rPr>
        <w:t>en</w:t>
      </w:r>
      <w:r>
        <w:rPr>
          <w:color w:val="231F20"/>
          <w:spacing w:val="38"/>
          <w:w w:val="95"/>
          <w:sz w:val="21"/>
        </w:rPr>
        <w:t> </w:t>
      </w:r>
      <w:r>
        <w:rPr>
          <w:color w:val="231F20"/>
          <w:w w:val="95"/>
          <w:sz w:val="21"/>
        </w:rPr>
        <w:t>Ciencias</w:t>
      </w:r>
      <w:r>
        <w:rPr>
          <w:color w:val="231F20"/>
          <w:spacing w:val="36"/>
          <w:w w:val="95"/>
          <w:sz w:val="21"/>
        </w:rPr>
        <w:t> </w:t>
      </w:r>
      <w:r>
        <w:rPr>
          <w:color w:val="231F20"/>
          <w:w w:val="95"/>
          <w:sz w:val="21"/>
        </w:rPr>
        <w:t>de</w:t>
      </w:r>
      <w:r>
        <w:rPr>
          <w:color w:val="231F20"/>
          <w:spacing w:val="38"/>
          <w:w w:val="95"/>
          <w:sz w:val="21"/>
        </w:rPr>
        <w:t> </w:t>
      </w:r>
      <w:r>
        <w:rPr>
          <w:color w:val="231F20"/>
          <w:w w:val="95"/>
          <w:sz w:val="21"/>
        </w:rPr>
        <w:t>la</w:t>
      </w:r>
      <w:r>
        <w:rPr>
          <w:color w:val="231F20"/>
          <w:spacing w:val="36"/>
          <w:w w:val="95"/>
          <w:sz w:val="21"/>
        </w:rPr>
        <w:t> </w:t>
      </w:r>
      <w:r>
        <w:rPr>
          <w:color w:val="231F20"/>
          <w:w w:val="95"/>
          <w:sz w:val="21"/>
        </w:rPr>
        <w:t>Educación).</w:t>
      </w:r>
      <w:r>
        <w:rPr>
          <w:color w:val="231F20"/>
          <w:spacing w:val="36"/>
          <w:w w:val="95"/>
          <w:sz w:val="21"/>
        </w:rPr>
        <w:t> </w:t>
      </w:r>
      <w:r>
        <w:rPr>
          <w:color w:val="231F20"/>
          <w:w w:val="95"/>
          <w:sz w:val="21"/>
        </w:rPr>
        <w:t>UAQ.</w:t>
      </w:r>
      <w:r>
        <w:rPr>
          <w:color w:val="231F20"/>
          <w:spacing w:val="36"/>
          <w:w w:val="95"/>
          <w:sz w:val="21"/>
        </w:rPr>
        <w:t> </w:t>
      </w:r>
      <w:r>
        <w:rPr>
          <w:color w:val="231F20"/>
          <w:w w:val="95"/>
          <w:sz w:val="21"/>
        </w:rPr>
        <w:t>Querétaro.</w:t>
      </w:r>
    </w:p>
    <w:p>
      <w:pPr>
        <w:spacing w:line="247" w:lineRule="auto" w:before="0"/>
        <w:ind w:left="821" w:right="74" w:hanging="720"/>
        <w:jc w:val="left"/>
        <w:rPr>
          <w:sz w:val="21"/>
        </w:rPr>
      </w:pPr>
      <w:r>
        <w:rPr>
          <w:color w:val="231F20"/>
          <w:sz w:val="21"/>
        </w:rPr>
        <w:t>Geneyro, Juan Carlos. (1979). Crisis de hegemonía y educación. En </w:t>
      </w:r>
      <w:r>
        <w:rPr>
          <w:color w:val="231F20"/>
          <w:w w:val="95"/>
          <w:sz w:val="21"/>
        </w:rPr>
        <w:t>Mario H. Otero (comp.). </w:t>
      </w:r>
      <w:r>
        <w:rPr>
          <w:i/>
          <w:color w:val="231F20"/>
          <w:w w:val="95"/>
          <w:sz w:val="21"/>
        </w:rPr>
        <w:t>Ideología y ciencias sociales. </w:t>
      </w:r>
      <w:r>
        <w:rPr>
          <w:color w:val="231F20"/>
          <w:w w:val="95"/>
          <w:sz w:val="21"/>
        </w:rPr>
        <w:t>México: </w:t>
      </w:r>
      <w:r>
        <w:rPr>
          <w:color w:val="231F20"/>
          <w:sz w:val="21"/>
        </w:rPr>
        <w:t>UNAM.</w:t>
      </w:r>
    </w:p>
    <w:p>
      <w:pPr>
        <w:spacing w:line="244" w:lineRule="auto" w:before="0"/>
        <w:ind w:left="821" w:right="466" w:hanging="720"/>
        <w:jc w:val="left"/>
        <w:rPr>
          <w:sz w:val="21"/>
        </w:rPr>
      </w:pPr>
      <w:r>
        <w:rPr>
          <w:color w:val="231F20"/>
          <w:w w:val="109"/>
          <w:sz w:val="21"/>
        </w:rPr>
        <w:t>G</w:t>
      </w:r>
      <w:r>
        <w:rPr>
          <w:color w:val="231F20"/>
          <w:w w:val="104"/>
          <w:sz w:val="21"/>
        </w:rPr>
        <w:t>on</w:t>
      </w:r>
      <w:r>
        <w:rPr>
          <w:color w:val="231F20"/>
          <w:w w:val="99"/>
          <w:sz w:val="21"/>
        </w:rPr>
        <w:t>z</w:t>
      </w:r>
      <w:r>
        <w:rPr>
          <w:color w:val="231F20"/>
          <w:w w:val="94"/>
          <w:sz w:val="21"/>
        </w:rPr>
        <w:t>á</w:t>
      </w:r>
      <w:r>
        <w:rPr>
          <w:color w:val="231F20"/>
          <w:w w:val="92"/>
          <w:sz w:val="21"/>
        </w:rPr>
        <w:t>le</w:t>
      </w:r>
      <w:r>
        <w:rPr>
          <w:color w:val="231F20"/>
          <w:w w:val="99"/>
          <w:sz w:val="21"/>
        </w:rPr>
        <w:t>z</w:t>
      </w:r>
      <w:r>
        <w:rPr>
          <w:color w:val="231F20"/>
          <w:w w:val="89"/>
          <w:sz w:val="21"/>
        </w:rPr>
        <w:t>,</w:t>
      </w:r>
      <w:r>
        <w:rPr>
          <w:color w:val="231F20"/>
          <w:sz w:val="21"/>
        </w:rPr>
        <w:t> </w:t>
      </w:r>
      <w:r>
        <w:rPr>
          <w:color w:val="231F20"/>
          <w:w w:val="96"/>
          <w:sz w:val="21"/>
        </w:rPr>
        <w:t>M</w:t>
      </w:r>
      <w:r>
        <w:rPr>
          <w:color w:val="231F20"/>
          <w:w w:val="94"/>
          <w:sz w:val="21"/>
        </w:rPr>
        <w:t>a</w:t>
      </w:r>
      <w:r>
        <w:rPr>
          <w:color w:val="231F20"/>
          <w:w w:val="104"/>
          <w:sz w:val="21"/>
        </w:rPr>
        <w:t>n</w:t>
      </w:r>
      <w:r>
        <w:rPr>
          <w:color w:val="231F20"/>
          <w:w w:val="100"/>
          <w:sz w:val="21"/>
        </w:rPr>
        <w:t>u</w:t>
      </w:r>
      <w:r>
        <w:rPr>
          <w:color w:val="231F20"/>
          <w:w w:val="96"/>
          <w:sz w:val="21"/>
        </w:rPr>
        <w:t>e</w:t>
      </w:r>
      <w:r>
        <w:rPr>
          <w:color w:val="231F20"/>
          <w:w w:val="87"/>
          <w:sz w:val="21"/>
        </w:rPr>
        <w:t>l.</w:t>
      </w:r>
      <w:r>
        <w:rPr>
          <w:color w:val="231F20"/>
          <w:sz w:val="21"/>
        </w:rPr>
        <w:t> </w:t>
      </w:r>
      <w:r>
        <w:rPr>
          <w:color w:val="231F20"/>
          <w:w w:val="90"/>
          <w:sz w:val="21"/>
        </w:rPr>
        <w:t>(</w:t>
      </w:r>
      <w:r>
        <w:rPr>
          <w:color w:val="231F20"/>
          <w:w w:val="95"/>
          <w:sz w:val="21"/>
        </w:rPr>
        <w:t>2004)</w:t>
      </w:r>
      <w:r>
        <w:rPr>
          <w:color w:val="231F20"/>
          <w:w w:val="89"/>
          <w:sz w:val="21"/>
        </w:rPr>
        <w:t>.</w:t>
      </w:r>
      <w:r>
        <w:rPr>
          <w:color w:val="231F20"/>
          <w:sz w:val="21"/>
        </w:rPr>
        <w:t> </w:t>
      </w:r>
      <w:r>
        <w:rPr>
          <w:i/>
          <w:color w:val="231F20"/>
          <w:w w:val="128"/>
          <w:sz w:val="21"/>
        </w:rPr>
        <w:t>A</w:t>
      </w:r>
      <w:r>
        <w:rPr>
          <w:i/>
          <w:color w:val="231F20"/>
          <w:w w:val="77"/>
          <w:sz w:val="21"/>
        </w:rPr>
        <w:t>s</w:t>
      </w:r>
      <w:r>
        <w:rPr>
          <w:i/>
          <w:color w:val="231F20"/>
          <w:w w:val="83"/>
          <w:sz w:val="21"/>
        </w:rPr>
        <w:t>p</w:t>
      </w:r>
      <w:r>
        <w:rPr>
          <w:i/>
          <w:color w:val="231F20"/>
          <w:w w:val="67"/>
          <w:sz w:val="21"/>
        </w:rPr>
        <w:t>e</w:t>
      </w:r>
      <w:r>
        <w:rPr>
          <w:i/>
          <w:color w:val="231F20"/>
          <w:w w:val="62"/>
          <w:sz w:val="21"/>
        </w:rPr>
        <w:t>c</w:t>
      </w:r>
      <w:r>
        <w:rPr>
          <w:i/>
          <w:color w:val="231F20"/>
          <w:w w:val="92"/>
          <w:sz w:val="21"/>
        </w:rPr>
        <w:t>t</w:t>
      </w:r>
      <w:r>
        <w:rPr>
          <w:i/>
          <w:color w:val="231F20"/>
          <w:w w:val="74"/>
          <w:sz w:val="21"/>
        </w:rPr>
        <w:t>os</w:t>
      </w:r>
      <w:r>
        <w:rPr>
          <w:i/>
          <w:color w:val="231F20"/>
          <w:sz w:val="21"/>
        </w:rPr>
        <w:t> </w:t>
      </w:r>
      <w:r>
        <w:rPr>
          <w:i/>
          <w:color w:val="231F20"/>
          <w:w w:val="83"/>
          <w:sz w:val="21"/>
        </w:rPr>
        <w:t>p</w:t>
      </w:r>
      <w:r>
        <w:rPr>
          <w:i/>
          <w:color w:val="231F20"/>
          <w:w w:val="67"/>
          <w:sz w:val="21"/>
        </w:rPr>
        <w:t>e</w:t>
      </w:r>
      <w:r>
        <w:rPr>
          <w:i/>
          <w:color w:val="231F20"/>
          <w:w w:val="83"/>
          <w:sz w:val="21"/>
        </w:rPr>
        <w:t>da</w:t>
      </w:r>
      <w:r>
        <w:rPr>
          <w:i/>
          <w:color w:val="231F20"/>
          <w:w w:val="66"/>
          <w:sz w:val="21"/>
        </w:rPr>
        <w:t>g</w:t>
      </w:r>
      <w:r>
        <w:rPr>
          <w:i/>
          <w:color w:val="231F20"/>
          <w:w w:val="69"/>
          <w:sz w:val="21"/>
        </w:rPr>
        <w:t>óg</w:t>
      </w:r>
      <w:r>
        <w:rPr>
          <w:i/>
          <w:color w:val="231F20"/>
          <w:w w:val="84"/>
          <w:sz w:val="21"/>
        </w:rPr>
        <w:t>i</w:t>
      </w:r>
      <w:r>
        <w:rPr>
          <w:i/>
          <w:color w:val="231F20"/>
          <w:w w:val="62"/>
          <w:sz w:val="21"/>
        </w:rPr>
        <w:t>c</w:t>
      </w:r>
      <w:r>
        <w:rPr>
          <w:i/>
          <w:color w:val="231F20"/>
          <w:w w:val="74"/>
          <w:sz w:val="21"/>
        </w:rPr>
        <w:t>os</w:t>
      </w:r>
      <w:r>
        <w:rPr>
          <w:i/>
          <w:color w:val="231F20"/>
          <w:sz w:val="21"/>
        </w:rPr>
        <w:t> </w:t>
      </w:r>
      <w:r>
        <w:rPr>
          <w:i/>
          <w:color w:val="231F20"/>
          <w:w w:val="67"/>
          <w:sz w:val="21"/>
        </w:rPr>
        <w:t>e</w:t>
      </w:r>
      <w:r>
        <w:rPr>
          <w:i/>
          <w:color w:val="231F20"/>
          <w:w w:val="87"/>
          <w:sz w:val="21"/>
        </w:rPr>
        <w:t>n</w:t>
      </w:r>
      <w:r>
        <w:rPr>
          <w:i/>
          <w:color w:val="231F20"/>
          <w:sz w:val="21"/>
        </w:rPr>
        <w:t> </w:t>
      </w:r>
      <w:r>
        <w:rPr>
          <w:i/>
          <w:color w:val="231F20"/>
          <w:w w:val="80"/>
          <w:sz w:val="21"/>
        </w:rPr>
        <w:t>l</w:t>
      </w:r>
      <w:r>
        <w:rPr>
          <w:i/>
          <w:color w:val="231F20"/>
          <w:w w:val="83"/>
          <w:sz w:val="21"/>
        </w:rPr>
        <w:t>a</w:t>
      </w:r>
      <w:r>
        <w:rPr>
          <w:i/>
          <w:color w:val="231F20"/>
          <w:sz w:val="21"/>
        </w:rPr>
        <w:t> </w:t>
      </w:r>
      <w:r>
        <w:rPr>
          <w:i/>
          <w:color w:val="231F20"/>
          <w:w w:val="67"/>
          <w:sz w:val="21"/>
        </w:rPr>
        <w:t>e</w:t>
      </w:r>
      <w:r>
        <w:rPr>
          <w:i/>
          <w:color w:val="231F20"/>
          <w:w w:val="87"/>
          <w:sz w:val="21"/>
        </w:rPr>
        <w:t>n</w:t>
      </w:r>
      <w:r>
        <w:rPr>
          <w:i/>
          <w:color w:val="231F20"/>
          <w:w w:val="77"/>
          <w:sz w:val="21"/>
        </w:rPr>
        <w:t>s</w:t>
      </w:r>
      <w:r>
        <w:rPr>
          <w:i/>
          <w:color w:val="231F20"/>
          <w:w w:val="67"/>
          <w:sz w:val="21"/>
        </w:rPr>
        <w:t>e</w:t>
      </w:r>
      <w:r>
        <w:rPr>
          <w:i/>
          <w:color w:val="231F20"/>
          <w:w w:val="87"/>
          <w:sz w:val="21"/>
        </w:rPr>
        <w:t>ñ</w:t>
      </w:r>
      <w:r>
        <w:rPr>
          <w:i/>
          <w:color w:val="231F20"/>
          <w:w w:val="83"/>
          <w:sz w:val="21"/>
        </w:rPr>
        <w:t>a</w:t>
      </w:r>
      <w:r>
        <w:rPr>
          <w:i/>
          <w:color w:val="231F20"/>
          <w:w w:val="87"/>
          <w:sz w:val="21"/>
        </w:rPr>
        <w:t>n</w:t>
      </w:r>
      <w:r>
        <w:rPr>
          <w:i/>
          <w:color w:val="231F20"/>
          <w:w w:val="110"/>
          <w:sz w:val="21"/>
        </w:rPr>
        <w:t>z</w:t>
      </w:r>
      <w:r>
        <w:rPr>
          <w:i/>
          <w:color w:val="231F20"/>
          <w:w w:val="83"/>
          <w:sz w:val="21"/>
        </w:rPr>
        <w:t>a</w:t>
      </w:r>
      <w:r>
        <w:rPr>
          <w:i/>
          <w:color w:val="231F20"/>
          <w:sz w:val="21"/>
        </w:rPr>
        <w:t> </w:t>
      </w:r>
      <w:r>
        <w:rPr>
          <w:i/>
          <w:color w:val="231F20"/>
          <w:w w:val="83"/>
          <w:sz w:val="21"/>
        </w:rPr>
        <w:t>d</w:t>
      </w:r>
      <w:r>
        <w:rPr>
          <w:i/>
          <w:color w:val="231F20"/>
          <w:w w:val="67"/>
          <w:sz w:val="21"/>
        </w:rPr>
        <w:t>e</w:t>
      </w:r>
      <w:r>
        <w:rPr>
          <w:i/>
          <w:color w:val="231F20"/>
          <w:sz w:val="21"/>
        </w:rPr>
        <w:t> </w:t>
      </w:r>
      <w:r>
        <w:rPr>
          <w:i/>
          <w:color w:val="231F20"/>
          <w:w w:val="80"/>
          <w:sz w:val="21"/>
        </w:rPr>
        <w:t>l</w:t>
      </w:r>
      <w:r>
        <w:rPr>
          <w:i/>
          <w:color w:val="231F20"/>
          <w:w w:val="83"/>
          <w:sz w:val="21"/>
        </w:rPr>
        <w:t>a</w:t>
      </w:r>
      <w:r>
        <w:rPr>
          <w:i/>
          <w:color w:val="231F20"/>
          <w:w w:val="83"/>
          <w:sz w:val="21"/>
        </w:rPr>
        <w:t> </w:t>
      </w:r>
      <w:r>
        <w:rPr>
          <w:i/>
          <w:color w:val="231F20"/>
          <w:sz w:val="21"/>
        </w:rPr>
        <w:t>investigación. </w:t>
      </w:r>
      <w:r>
        <w:rPr>
          <w:color w:val="231F20"/>
          <w:sz w:val="21"/>
        </w:rPr>
        <w:t>México: UAQ-Centro de Investigaciones Psicológicas y Educativas.</w:t>
      </w:r>
    </w:p>
    <w:p>
      <w:pPr>
        <w:spacing w:line="244" w:lineRule="auto" w:before="3"/>
        <w:ind w:left="822" w:right="191" w:hanging="721"/>
        <w:jc w:val="left"/>
        <w:rPr>
          <w:sz w:val="21"/>
        </w:rPr>
      </w:pPr>
      <w:r>
        <w:rPr>
          <w:color w:val="231F20"/>
          <w:sz w:val="21"/>
        </w:rPr>
        <w:t>González, Manuel. (2008). </w:t>
      </w:r>
      <w:r>
        <w:rPr>
          <w:i/>
          <w:color w:val="231F20"/>
          <w:sz w:val="21"/>
        </w:rPr>
        <w:t>Modelos y prácticas pedagógicas de la </w:t>
      </w:r>
      <w:r>
        <w:rPr>
          <w:i/>
          <w:color w:val="231F20"/>
          <w:sz w:val="21"/>
        </w:rPr>
        <w:t>investigación.</w:t>
      </w:r>
      <w:r>
        <w:rPr>
          <w:i/>
          <w:color w:val="231F20"/>
          <w:spacing w:val="-32"/>
          <w:sz w:val="21"/>
        </w:rPr>
        <w:t> </w:t>
      </w:r>
      <w:r>
        <w:rPr>
          <w:color w:val="231F20"/>
          <w:sz w:val="21"/>
        </w:rPr>
        <w:t>(Tesis</w:t>
      </w:r>
      <w:r>
        <w:rPr>
          <w:color w:val="231F20"/>
          <w:spacing w:val="-32"/>
          <w:sz w:val="21"/>
        </w:rPr>
        <w:t> </w:t>
      </w:r>
      <w:r>
        <w:rPr>
          <w:color w:val="231F20"/>
          <w:sz w:val="21"/>
        </w:rPr>
        <w:t>de</w:t>
      </w:r>
      <w:r>
        <w:rPr>
          <w:color w:val="231F20"/>
          <w:spacing w:val="-32"/>
          <w:sz w:val="21"/>
        </w:rPr>
        <w:t> </w:t>
      </w:r>
      <w:r>
        <w:rPr>
          <w:color w:val="231F20"/>
          <w:sz w:val="21"/>
        </w:rPr>
        <w:t>maestría</w:t>
      </w:r>
      <w:r>
        <w:rPr>
          <w:color w:val="231F20"/>
          <w:spacing w:val="-32"/>
          <w:sz w:val="21"/>
        </w:rPr>
        <w:t> </w:t>
      </w:r>
      <w:r>
        <w:rPr>
          <w:color w:val="231F20"/>
          <w:sz w:val="21"/>
        </w:rPr>
        <w:t>en</w:t>
      </w:r>
      <w:r>
        <w:rPr>
          <w:color w:val="231F20"/>
          <w:spacing w:val="-32"/>
          <w:sz w:val="21"/>
        </w:rPr>
        <w:t> </w:t>
      </w:r>
      <w:r>
        <w:rPr>
          <w:color w:val="231F20"/>
          <w:sz w:val="21"/>
        </w:rPr>
        <w:t>ciencías</w:t>
      </w:r>
      <w:r>
        <w:rPr>
          <w:color w:val="231F20"/>
          <w:spacing w:val="-32"/>
          <w:sz w:val="21"/>
        </w:rPr>
        <w:t> </w:t>
      </w:r>
      <w:r>
        <w:rPr>
          <w:color w:val="231F20"/>
          <w:sz w:val="21"/>
        </w:rPr>
        <w:t>de</w:t>
      </w:r>
      <w:r>
        <w:rPr>
          <w:color w:val="231F20"/>
          <w:spacing w:val="-32"/>
          <w:sz w:val="21"/>
        </w:rPr>
        <w:t> </w:t>
      </w:r>
      <w:r>
        <w:rPr>
          <w:color w:val="231F20"/>
          <w:sz w:val="21"/>
        </w:rPr>
        <w:t>la</w:t>
      </w:r>
      <w:r>
        <w:rPr>
          <w:color w:val="231F20"/>
          <w:spacing w:val="-32"/>
          <w:sz w:val="21"/>
        </w:rPr>
        <w:t> </w:t>
      </w:r>
      <w:r>
        <w:rPr>
          <w:color w:val="231F20"/>
          <w:sz w:val="21"/>
        </w:rPr>
        <w:t>educación). UAQ.</w:t>
      </w:r>
      <w:r>
        <w:rPr>
          <w:color w:val="231F20"/>
          <w:spacing w:val="40"/>
          <w:sz w:val="21"/>
        </w:rPr>
        <w:t> </w:t>
      </w:r>
      <w:r>
        <w:rPr>
          <w:color w:val="231F20"/>
          <w:sz w:val="21"/>
        </w:rPr>
        <w:t>Querétaro.</w:t>
      </w:r>
    </w:p>
    <w:p>
      <w:pPr>
        <w:spacing w:line="247" w:lineRule="auto" w:before="0"/>
        <w:ind w:left="822" w:right="94" w:hanging="720"/>
        <w:jc w:val="left"/>
        <w:rPr>
          <w:sz w:val="21"/>
        </w:rPr>
      </w:pPr>
      <w:r>
        <w:rPr>
          <w:color w:val="231F20"/>
          <w:w w:val="90"/>
          <w:sz w:val="21"/>
        </w:rPr>
        <w:t>Habermas, Jürgen. (1993). </w:t>
      </w:r>
      <w:r>
        <w:rPr>
          <w:i/>
          <w:color w:val="231F20"/>
          <w:w w:val="90"/>
          <w:sz w:val="21"/>
        </w:rPr>
        <w:t>Ciencia y técnica como "ideología". </w:t>
      </w:r>
      <w:r>
        <w:rPr>
          <w:color w:val="231F20"/>
          <w:w w:val="90"/>
          <w:sz w:val="21"/>
        </w:rPr>
        <w:t>México: </w:t>
      </w:r>
      <w:r>
        <w:rPr>
          <w:color w:val="231F20"/>
          <w:sz w:val="21"/>
        </w:rPr>
        <w:t>REI.</w:t>
      </w:r>
    </w:p>
    <w:p>
      <w:pPr>
        <w:spacing w:before="1"/>
        <w:ind w:left="101" w:right="0" w:firstLine="0"/>
        <w:jc w:val="left"/>
        <w:rPr>
          <w:i/>
          <w:sz w:val="21"/>
        </w:rPr>
      </w:pPr>
      <w:r>
        <w:rPr>
          <w:color w:val="231F20"/>
          <w:w w:val="90"/>
          <w:sz w:val="21"/>
        </w:rPr>
        <w:t>Heller, Agnes. (1991). </w:t>
      </w:r>
      <w:r>
        <w:rPr>
          <w:i/>
          <w:color w:val="231F20"/>
          <w:w w:val="90"/>
          <w:sz w:val="21"/>
        </w:rPr>
        <w:t>Historia y futuro.¿sobrevivirá la modernidad?</w:t>
      </w:r>
    </w:p>
    <w:p>
      <w:pPr>
        <w:pStyle w:val="BodyText"/>
        <w:spacing w:before="3"/>
        <w:ind w:left="821" w:right="774"/>
      </w:pPr>
      <w:r>
        <w:rPr>
          <w:color w:val="231F20"/>
        </w:rPr>
        <w:t>Barcelona: Península.</w:t>
      </w:r>
    </w:p>
    <w:p>
      <w:pPr>
        <w:spacing w:before="8"/>
        <w:ind w:left="101" w:right="-10" w:firstLine="0"/>
        <w:jc w:val="left"/>
        <w:rPr>
          <w:i/>
          <w:sz w:val="21"/>
        </w:rPr>
      </w:pPr>
      <w:r>
        <w:rPr>
          <w:color w:val="231F20"/>
          <w:w w:val="95"/>
          <w:sz w:val="21"/>
        </w:rPr>
        <w:t>Herbart, Johann Friedrich. (1935). </w:t>
      </w:r>
      <w:r>
        <w:rPr>
          <w:i/>
          <w:color w:val="231F20"/>
          <w:w w:val="95"/>
          <w:sz w:val="21"/>
        </w:rPr>
        <w:t>Bosquejo para un curso de pedagogía.</w:t>
      </w:r>
    </w:p>
    <w:p>
      <w:pPr>
        <w:pStyle w:val="BodyText"/>
        <w:spacing w:before="3"/>
        <w:ind w:left="821" w:right="774"/>
      </w:pPr>
      <w:r>
        <w:rPr>
          <w:color w:val="231F20"/>
        </w:rPr>
        <w:t>Madrid: ESPASA-CALPE.</w:t>
      </w:r>
    </w:p>
    <w:p>
      <w:pPr>
        <w:pStyle w:val="BodyText"/>
        <w:spacing w:line="242" w:lineRule="auto" w:before="8"/>
        <w:ind w:left="821" w:right="292" w:hanging="720"/>
      </w:pPr>
      <w:r>
        <w:rPr>
          <w:color w:val="231F20"/>
        </w:rPr>
        <w:t>Hobbes, Thomas. (1987). </w:t>
      </w:r>
      <w:r>
        <w:rPr>
          <w:i/>
          <w:color w:val="231F20"/>
        </w:rPr>
        <w:t>Leviatán. </w:t>
      </w:r>
      <w:r>
        <w:rPr>
          <w:color w:val="231F20"/>
        </w:rPr>
        <w:t>México DF: Fondo de Cultura Económica.</w:t>
      </w:r>
    </w:p>
    <w:p>
      <w:pPr>
        <w:spacing w:after="0" w:line="242" w:lineRule="auto"/>
        <w:sectPr>
          <w:headerReference w:type="default" r:id="rId409"/>
          <w:footerReference w:type="default" r:id="rId410"/>
          <w:pgSz w:w="7830" w:h="11910"/>
          <w:pgMar w:header="0" w:footer="424" w:top="500" w:bottom="620" w:left="920" w:right="920"/>
          <w:pgNumType w:start="192"/>
        </w:sectPr>
      </w:pPr>
    </w:p>
    <w:p>
      <w:pPr>
        <w:spacing w:before="46"/>
        <w:ind w:left="564" w:right="561"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spacing w:line="244" w:lineRule="auto" w:before="0"/>
        <w:ind w:left="822" w:right="0" w:hanging="720"/>
        <w:jc w:val="left"/>
        <w:rPr>
          <w:sz w:val="21"/>
        </w:rPr>
      </w:pPr>
      <w:r>
        <w:rPr>
          <w:color w:val="231F20"/>
          <w:sz w:val="21"/>
        </w:rPr>
        <w:t>Ibarra, Luis Rodolfo. (2007). Investigación, educación y arte. En </w:t>
      </w:r>
      <w:r>
        <w:rPr>
          <w:color w:val="231F20"/>
          <w:w w:val="90"/>
          <w:sz w:val="21"/>
        </w:rPr>
        <w:t>Daniel</w:t>
      </w:r>
      <w:r>
        <w:rPr>
          <w:color w:val="231F20"/>
          <w:spacing w:val="-20"/>
          <w:w w:val="90"/>
          <w:sz w:val="21"/>
        </w:rPr>
        <w:t> </w:t>
      </w:r>
      <w:r>
        <w:rPr>
          <w:color w:val="231F20"/>
          <w:w w:val="90"/>
          <w:sz w:val="21"/>
        </w:rPr>
        <w:t>Cazés.</w:t>
      </w:r>
      <w:r>
        <w:rPr>
          <w:color w:val="231F20"/>
          <w:spacing w:val="-20"/>
          <w:w w:val="90"/>
          <w:sz w:val="21"/>
        </w:rPr>
        <w:t> </w:t>
      </w:r>
      <w:r>
        <w:rPr>
          <w:i/>
          <w:color w:val="231F20"/>
          <w:w w:val="90"/>
          <w:sz w:val="21"/>
        </w:rPr>
        <w:t>Disputas</w:t>
      </w:r>
      <w:r>
        <w:rPr>
          <w:i/>
          <w:color w:val="231F20"/>
          <w:spacing w:val="-20"/>
          <w:w w:val="90"/>
          <w:sz w:val="21"/>
        </w:rPr>
        <w:t> </w:t>
      </w:r>
      <w:r>
        <w:rPr>
          <w:i/>
          <w:color w:val="231F20"/>
          <w:w w:val="90"/>
          <w:sz w:val="21"/>
        </w:rPr>
        <w:t>por</w:t>
      </w:r>
      <w:r>
        <w:rPr>
          <w:i/>
          <w:color w:val="231F20"/>
          <w:spacing w:val="-20"/>
          <w:w w:val="90"/>
          <w:sz w:val="21"/>
        </w:rPr>
        <w:t> </w:t>
      </w:r>
      <w:r>
        <w:rPr>
          <w:i/>
          <w:color w:val="231F20"/>
          <w:w w:val="90"/>
          <w:sz w:val="21"/>
        </w:rPr>
        <w:t>la</w:t>
      </w:r>
      <w:r>
        <w:rPr>
          <w:i/>
          <w:color w:val="231F20"/>
          <w:spacing w:val="-20"/>
          <w:w w:val="90"/>
          <w:sz w:val="21"/>
        </w:rPr>
        <w:t> </w:t>
      </w:r>
      <w:r>
        <w:rPr>
          <w:i/>
          <w:color w:val="231F20"/>
          <w:w w:val="90"/>
          <w:sz w:val="21"/>
        </w:rPr>
        <w:t>universidad:</w:t>
      </w:r>
      <w:r>
        <w:rPr>
          <w:i/>
          <w:color w:val="231F20"/>
          <w:spacing w:val="-20"/>
          <w:w w:val="90"/>
          <w:sz w:val="21"/>
        </w:rPr>
        <w:t> </w:t>
      </w:r>
      <w:r>
        <w:rPr>
          <w:i/>
          <w:color w:val="231F20"/>
          <w:w w:val="90"/>
          <w:sz w:val="21"/>
        </w:rPr>
        <w:t>cuestiones</w:t>
      </w:r>
      <w:r>
        <w:rPr>
          <w:i/>
          <w:color w:val="231F20"/>
          <w:spacing w:val="-20"/>
          <w:w w:val="90"/>
          <w:sz w:val="21"/>
        </w:rPr>
        <w:t> </w:t>
      </w:r>
      <w:r>
        <w:rPr>
          <w:i/>
          <w:color w:val="231F20"/>
          <w:w w:val="90"/>
          <w:sz w:val="21"/>
        </w:rPr>
        <w:t>críticas</w:t>
      </w:r>
      <w:r>
        <w:rPr>
          <w:i/>
          <w:color w:val="231F20"/>
          <w:spacing w:val="-20"/>
          <w:w w:val="90"/>
          <w:sz w:val="21"/>
        </w:rPr>
        <w:t> </w:t>
      </w:r>
      <w:r>
        <w:rPr>
          <w:i/>
          <w:color w:val="231F20"/>
          <w:w w:val="90"/>
          <w:sz w:val="21"/>
        </w:rPr>
        <w:t>para </w:t>
      </w:r>
      <w:r>
        <w:rPr>
          <w:i/>
          <w:color w:val="231F20"/>
          <w:w w:val="95"/>
          <w:sz w:val="21"/>
        </w:rPr>
        <w:t>confrontar su futuro </w:t>
      </w:r>
      <w:r>
        <w:rPr>
          <w:color w:val="231F20"/>
          <w:w w:val="95"/>
          <w:sz w:val="21"/>
        </w:rPr>
        <w:t>(pp. 435-459). México:</w:t>
      </w:r>
      <w:r>
        <w:rPr>
          <w:color w:val="231F20"/>
          <w:spacing w:val="-8"/>
          <w:w w:val="95"/>
          <w:sz w:val="21"/>
        </w:rPr>
        <w:t> </w:t>
      </w:r>
      <w:r>
        <w:rPr>
          <w:color w:val="231F20"/>
          <w:w w:val="95"/>
          <w:sz w:val="21"/>
        </w:rPr>
        <w:t>CEIICH-UNAM.</w:t>
      </w:r>
    </w:p>
    <w:p>
      <w:pPr>
        <w:spacing w:line="244" w:lineRule="auto" w:before="3"/>
        <w:ind w:left="822" w:right="219" w:hanging="721"/>
        <w:jc w:val="left"/>
        <w:rPr>
          <w:sz w:val="21"/>
        </w:rPr>
      </w:pPr>
      <w:r>
        <w:rPr>
          <w:color w:val="231F20"/>
          <w:sz w:val="21"/>
        </w:rPr>
        <w:t>Ibarra, Luis Rodolfo. (2009). Desafío: comunicar y educar. </w:t>
      </w:r>
      <w:r>
        <w:rPr>
          <w:i/>
          <w:color w:val="231F20"/>
          <w:sz w:val="21"/>
        </w:rPr>
        <w:t>Revista </w:t>
      </w:r>
      <w:r>
        <w:rPr>
          <w:i/>
          <w:color w:val="231F20"/>
          <w:sz w:val="21"/>
        </w:rPr>
        <w:t>Pistas Educativas. Nueva Época, 93</w:t>
      </w:r>
      <w:r>
        <w:rPr>
          <w:color w:val="231F20"/>
          <w:sz w:val="21"/>
        </w:rPr>
        <w:t>. Guanajuato: Instituto Tecnológico de Celaya. 121-135.</w:t>
      </w:r>
    </w:p>
    <w:p>
      <w:pPr>
        <w:pStyle w:val="BodyText"/>
        <w:spacing w:line="244" w:lineRule="auto" w:before="3"/>
        <w:ind w:left="822" w:right="132" w:hanging="721"/>
      </w:pPr>
      <w:r>
        <w:rPr>
          <w:color w:val="231F20"/>
        </w:rPr>
        <w:t>Ibarra,</w:t>
      </w:r>
      <w:r>
        <w:rPr>
          <w:color w:val="231F20"/>
          <w:spacing w:val="-16"/>
        </w:rPr>
        <w:t> </w:t>
      </w:r>
      <w:r>
        <w:rPr>
          <w:color w:val="231F20"/>
        </w:rPr>
        <w:t>Luis</w:t>
      </w:r>
      <w:r>
        <w:rPr>
          <w:color w:val="231F20"/>
          <w:spacing w:val="-15"/>
        </w:rPr>
        <w:t> </w:t>
      </w:r>
      <w:r>
        <w:rPr>
          <w:color w:val="231F20"/>
        </w:rPr>
        <w:t>Rodolfo.</w:t>
      </w:r>
      <w:r>
        <w:rPr>
          <w:color w:val="231F20"/>
          <w:spacing w:val="-16"/>
        </w:rPr>
        <w:t> </w:t>
      </w:r>
      <w:r>
        <w:rPr>
          <w:color w:val="231F20"/>
        </w:rPr>
        <w:t>(2010).</w:t>
      </w:r>
      <w:r>
        <w:rPr>
          <w:color w:val="231F20"/>
          <w:spacing w:val="-16"/>
        </w:rPr>
        <w:t> </w:t>
      </w:r>
      <w:r>
        <w:rPr>
          <w:color w:val="231F20"/>
        </w:rPr>
        <w:t>Sabiduría:</w:t>
      </w:r>
      <w:r>
        <w:rPr>
          <w:color w:val="231F20"/>
          <w:spacing w:val="-16"/>
        </w:rPr>
        <w:t> </w:t>
      </w:r>
      <w:r>
        <w:rPr>
          <w:color w:val="231F20"/>
        </w:rPr>
        <w:t>diálogo</w:t>
      </w:r>
      <w:r>
        <w:rPr>
          <w:color w:val="231F20"/>
          <w:spacing w:val="-15"/>
        </w:rPr>
        <w:t> </w:t>
      </w:r>
      <w:r>
        <w:rPr>
          <w:color w:val="231F20"/>
        </w:rPr>
        <w:t>y</w:t>
      </w:r>
      <w:r>
        <w:rPr>
          <w:color w:val="231F20"/>
          <w:spacing w:val="-15"/>
        </w:rPr>
        <w:t> </w:t>
      </w:r>
      <w:r>
        <w:rPr>
          <w:color w:val="231F20"/>
        </w:rPr>
        <w:t>educación.</w:t>
      </w:r>
      <w:r>
        <w:rPr>
          <w:color w:val="231F20"/>
          <w:spacing w:val="-16"/>
        </w:rPr>
        <w:t> </w:t>
      </w:r>
      <w:r>
        <w:rPr>
          <w:i/>
          <w:color w:val="231F20"/>
        </w:rPr>
        <w:t>Revista </w:t>
      </w:r>
      <w:r>
        <w:rPr>
          <w:i/>
          <w:color w:val="231F20"/>
          <w:spacing w:val="3"/>
          <w:w w:val="128"/>
        </w:rPr>
        <w:t>A</w:t>
      </w:r>
      <w:r>
        <w:rPr>
          <w:i/>
          <w:color w:val="231F20"/>
          <w:spacing w:val="1"/>
          <w:w w:val="62"/>
        </w:rPr>
        <w:t>c</w:t>
      </w:r>
      <w:r>
        <w:rPr>
          <w:i/>
          <w:color w:val="231F20"/>
          <w:w w:val="92"/>
        </w:rPr>
        <w:t>t</w:t>
      </w:r>
      <w:r>
        <w:rPr>
          <w:i/>
          <w:color w:val="231F20"/>
          <w:spacing w:val="1"/>
          <w:w w:val="87"/>
        </w:rPr>
        <w:t>u</w:t>
      </w:r>
      <w:r>
        <w:rPr>
          <w:i/>
          <w:color w:val="231F20"/>
          <w:spacing w:val="1"/>
          <w:w w:val="83"/>
        </w:rPr>
        <w:t>a</w:t>
      </w:r>
      <w:r>
        <w:rPr>
          <w:i/>
          <w:color w:val="231F20"/>
          <w:w w:val="80"/>
        </w:rPr>
        <w:t>l</w:t>
      </w:r>
      <w:r>
        <w:rPr>
          <w:i/>
          <w:color w:val="231F20"/>
          <w:w w:val="84"/>
        </w:rPr>
        <w:t>i</w:t>
      </w:r>
      <w:r>
        <w:rPr>
          <w:i/>
          <w:color w:val="231F20"/>
          <w:spacing w:val="1"/>
          <w:w w:val="83"/>
        </w:rPr>
        <w:t>dad</w:t>
      </w:r>
      <w:r>
        <w:rPr>
          <w:i/>
          <w:color w:val="231F20"/>
          <w:spacing w:val="1"/>
          <w:w w:val="67"/>
        </w:rPr>
        <w:t>e</w:t>
      </w:r>
      <w:r>
        <w:rPr>
          <w:i/>
          <w:color w:val="231F20"/>
          <w:w w:val="77"/>
        </w:rPr>
        <w:t>s</w:t>
      </w:r>
      <w:r>
        <w:rPr>
          <w:i/>
          <w:color w:val="231F20"/>
          <w:spacing w:val="3"/>
        </w:rPr>
        <w:t> </w:t>
      </w:r>
      <w:r>
        <w:rPr>
          <w:i/>
          <w:color w:val="231F20"/>
          <w:spacing w:val="1"/>
          <w:w w:val="99"/>
        </w:rPr>
        <w:t>I</w:t>
      </w:r>
      <w:r>
        <w:rPr>
          <w:i/>
          <w:color w:val="231F20"/>
          <w:spacing w:val="1"/>
          <w:w w:val="87"/>
        </w:rPr>
        <w:t>n</w:t>
      </w:r>
      <w:r>
        <w:rPr>
          <w:i/>
          <w:color w:val="231F20"/>
          <w:spacing w:val="1"/>
          <w:w w:val="73"/>
        </w:rPr>
        <w:t>ve</w:t>
      </w:r>
      <w:r>
        <w:rPr>
          <w:i/>
          <w:color w:val="231F20"/>
          <w:spacing w:val="1"/>
          <w:w w:val="77"/>
        </w:rPr>
        <w:t>s</w:t>
      </w:r>
      <w:r>
        <w:rPr>
          <w:i/>
          <w:color w:val="231F20"/>
          <w:w w:val="92"/>
        </w:rPr>
        <w:t>t</w:t>
      </w:r>
      <w:r>
        <w:rPr>
          <w:i/>
          <w:color w:val="231F20"/>
          <w:w w:val="84"/>
        </w:rPr>
        <w:t>i</w:t>
      </w:r>
      <w:r>
        <w:rPr>
          <w:i/>
          <w:color w:val="231F20"/>
          <w:spacing w:val="1"/>
          <w:w w:val="66"/>
        </w:rPr>
        <w:t>g</w:t>
      </w:r>
      <w:r>
        <w:rPr>
          <w:i/>
          <w:color w:val="231F20"/>
          <w:spacing w:val="1"/>
          <w:w w:val="83"/>
        </w:rPr>
        <w:t>a</w:t>
      </w:r>
      <w:r>
        <w:rPr>
          <w:i/>
          <w:color w:val="231F20"/>
          <w:w w:val="92"/>
        </w:rPr>
        <w:t>t</w:t>
      </w:r>
      <w:r>
        <w:rPr>
          <w:i/>
          <w:color w:val="231F20"/>
          <w:w w:val="84"/>
        </w:rPr>
        <w:t>i</w:t>
      </w:r>
      <w:r>
        <w:rPr>
          <w:i/>
          <w:color w:val="231F20"/>
          <w:spacing w:val="1"/>
          <w:w w:val="81"/>
        </w:rPr>
        <w:t>va</w:t>
      </w:r>
      <w:r>
        <w:rPr>
          <w:i/>
          <w:color w:val="231F20"/>
          <w:w w:val="77"/>
        </w:rPr>
        <w:t>s</w:t>
      </w:r>
      <w:r>
        <w:rPr>
          <w:i/>
          <w:color w:val="231F20"/>
          <w:spacing w:val="3"/>
        </w:rPr>
        <w:t> </w:t>
      </w:r>
      <w:r>
        <w:rPr>
          <w:i/>
          <w:color w:val="231F20"/>
          <w:spacing w:val="1"/>
          <w:w w:val="67"/>
        </w:rPr>
        <w:t>e</w:t>
      </w:r>
      <w:r>
        <w:rPr>
          <w:i/>
          <w:color w:val="231F20"/>
          <w:w w:val="87"/>
        </w:rPr>
        <w:t>n</w:t>
      </w:r>
      <w:r>
        <w:rPr>
          <w:i/>
          <w:color w:val="231F20"/>
          <w:spacing w:val="4"/>
        </w:rPr>
        <w:t> </w:t>
      </w:r>
      <w:r>
        <w:rPr>
          <w:i/>
          <w:color w:val="231F20"/>
          <w:spacing w:val="1"/>
          <w:w w:val="67"/>
        </w:rPr>
        <w:t>e</w:t>
      </w:r>
      <w:r>
        <w:rPr>
          <w:i/>
          <w:color w:val="231F20"/>
          <w:spacing w:val="1"/>
          <w:w w:val="83"/>
        </w:rPr>
        <w:t>d</w:t>
      </w:r>
      <w:r>
        <w:rPr>
          <w:i/>
          <w:color w:val="231F20"/>
          <w:spacing w:val="1"/>
          <w:w w:val="87"/>
        </w:rPr>
        <w:t>u</w:t>
      </w:r>
      <w:r>
        <w:rPr>
          <w:i/>
          <w:color w:val="231F20"/>
          <w:spacing w:val="1"/>
          <w:w w:val="62"/>
        </w:rPr>
        <w:t>c</w:t>
      </w:r>
      <w:r>
        <w:rPr>
          <w:i/>
          <w:color w:val="231F20"/>
          <w:spacing w:val="1"/>
          <w:w w:val="83"/>
        </w:rPr>
        <w:t>a</w:t>
      </w:r>
      <w:r>
        <w:rPr>
          <w:i/>
          <w:color w:val="231F20"/>
          <w:spacing w:val="1"/>
          <w:w w:val="62"/>
        </w:rPr>
        <w:t>c</w:t>
      </w:r>
      <w:r>
        <w:rPr>
          <w:i/>
          <w:color w:val="231F20"/>
          <w:w w:val="84"/>
        </w:rPr>
        <w:t>i</w:t>
      </w:r>
      <w:r>
        <w:rPr>
          <w:i/>
          <w:color w:val="231F20"/>
          <w:spacing w:val="1"/>
          <w:w w:val="80"/>
        </w:rPr>
        <w:t>ón</w:t>
      </w:r>
      <w:r>
        <w:rPr>
          <w:i/>
          <w:color w:val="231F20"/>
          <w:w w:val="90"/>
        </w:rPr>
        <w:t>,</w:t>
      </w:r>
      <w:r>
        <w:rPr>
          <w:i/>
          <w:color w:val="231F20"/>
          <w:spacing w:val="3"/>
        </w:rPr>
        <w:t> </w:t>
      </w:r>
      <w:r>
        <w:rPr>
          <w:i/>
          <w:color w:val="231F20"/>
          <w:spacing w:val="1"/>
          <w:w w:val="96"/>
        </w:rPr>
        <w:t>1</w:t>
      </w:r>
      <w:r>
        <w:rPr>
          <w:i/>
          <w:color w:val="231F20"/>
          <w:spacing w:val="3"/>
          <w:w w:val="96"/>
        </w:rPr>
        <w:t>0</w:t>
      </w:r>
      <w:r>
        <w:rPr>
          <w:i/>
          <w:color w:val="231F20"/>
          <w:spacing w:val="1"/>
          <w:w w:val="91"/>
        </w:rPr>
        <w:t>(2</w:t>
      </w:r>
      <w:r>
        <w:rPr>
          <w:i/>
          <w:color w:val="231F20"/>
          <w:spacing w:val="1"/>
          <w:w w:val="83"/>
        </w:rPr>
        <w:t>)</w:t>
      </w:r>
      <w:r>
        <w:rPr>
          <w:color w:val="231F20"/>
          <w:w w:val="90"/>
        </w:rPr>
        <w:t>.</w:t>
      </w:r>
      <w:r>
        <w:rPr>
          <w:color w:val="231F20"/>
          <w:spacing w:val="3"/>
        </w:rPr>
        <w:t> </w:t>
      </w:r>
      <w:r>
        <w:rPr>
          <w:color w:val="231F20"/>
          <w:spacing w:val="2"/>
          <w:w w:val="97"/>
        </w:rPr>
        <w:t>C</w:t>
      </w:r>
      <w:r>
        <w:rPr>
          <w:color w:val="231F20"/>
          <w:spacing w:val="2"/>
          <w:w w:val="104"/>
        </w:rPr>
        <w:t>o</w:t>
      </w:r>
      <w:r>
        <w:rPr>
          <w:color w:val="231F20"/>
          <w:spacing w:val="1"/>
          <w:w w:val="96"/>
        </w:rPr>
        <w:t>s</w:t>
      </w:r>
      <w:r>
        <w:rPr>
          <w:color w:val="231F20"/>
          <w:spacing w:val="1"/>
          <w:w w:val="107"/>
        </w:rPr>
        <w:t>t</w:t>
      </w:r>
      <w:r>
        <w:rPr>
          <w:color w:val="231F20"/>
          <w:w w:val="94"/>
        </w:rPr>
        <w:t>a</w:t>
      </w:r>
      <w:r>
        <w:rPr>
          <w:color w:val="231F20"/>
          <w:spacing w:val="4"/>
        </w:rPr>
        <w:t> </w:t>
      </w:r>
      <w:r>
        <w:rPr>
          <w:color w:val="231F20"/>
          <w:spacing w:val="2"/>
          <w:w w:val="96"/>
        </w:rPr>
        <w:t>R</w:t>
      </w:r>
      <w:r>
        <w:rPr>
          <w:color w:val="231F20"/>
          <w:w w:val="92"/>
        </w:rPr>
        <w:t>i</w:t>
      </w:r>
      <w:r>
        <w:rPr>
          <w:color w:val="231F20"/>
          <w:spacing w:val="1"/>
          <w:w w:val="92"/>
        </w:rPr>
        <w:t>c</w:t>
      </w:r>
      <w:r>
        <w:rPr>
          <w:color w:val="231F20"/>
          <w:spacing w:val="1"/>
          <w:w w:val="94"/>
        </w:rPr>
        <w:t>a</w:t>
      </w:r>
      <w:r>
        <w:rPr>
          <w:color w:val="231F20"/>
          <w:w w:val="90"/>
        </w:rPr>
        <w:t>, </w:t>
      </w:r>
      <w:r>
        <w:rPr>
          <w:color w:val="231F20"/>
          <w:spacing w:val="2"/>
          <w:w w:val="97"/>
        </w:rPr>
        <w:t> </w:t>
      </w:r>
      <w:r>
        <w:rPr>
          <w:color w:val="231F20"/>
        </w:rPr>
        <w:t>Costa Rica: Universidad de Costa Rica. Obtenido de </w:t>
      </w:r>
      <w:hyperlink r:id="rId413">
        <w:r>
          <w:rPr>
            <w:color w:val="231F20"/>
            <w:spacing w:val="2"/>
            <w:w w:val="104"/>
          </w:rPr>
          <w:t>h</w:t>
        </w:r>
        <w:r>
          <w:rPr>
            <w:color w:val="231F20"/>
            <w:spacing w:val="1"/>
            <w:w w:val="107"/>
          </w:rPr>
          <w:t>tt</w:t>
        </w:r>
        <w:r>
          <w:rPr>
            <w:color w:val="231F20"/>
            <w:spacing w:val="2"/>
            <w:w w:val="104"/>
          </w:rPr>
          <w:t>p</w:t>
        </w:r>
        <w:r>
          <w:rPr>
            <w:color w:val="231F20"/>
            <w:w w:val="133"/>
          </w:rPr>
          <w:t>:</w:t>
        </w:r>
        <w:r>
          <w:rPr>
            <w:color w:val="231F20"/>
            <w:spacing w:val="2"/>
            <w:w w:val="133"/>
          </w:rPr>
          <w:t>/</w:t>
        </w:r>
        <w:r>
          <w:rPr>
            <w:color w:val="231F20"/>
            <w:spacing w:val="2"/>
            <w:w w:val="185"/>
          </w:rPr>
          <w:t>/</w:t>
        </w:r>
        <w:r>
          <w:rPr>
            <w:color w:val="231F20"/>
            <w:spacing w:val="1"/>
            <w:w w:val="103"/>
          </w:rPr>
          <w:t>r</w:t>
        </w:r>
        <w:r>
          <w:rPr>
            <w:color w:val="231F20"/>
            <w:spacing w:val="1"/>
            <w:w w:val="96"/>
          </w:rPr>
          <w:t>e</w:t>
        </w:r>
        <w:r>
          <w:rPr>
            <w:color w:val="231F20"/>
            <w:spacing w:val="1"/>
            <w:w w:val="96"/>
          </w:rPr>
          <w:t>v</w:t>
        </w:r>
        <w:r>
          <w:rPr>
            <w:color w:val="231F20"/>
            <w:w w:val="91"/>
          </w:rPr>
          <w:t>i</w:t>
        </w:r>
        <w:r>
          <w:rPr>
            <w:color w:val="231F20"/>
            <w:spacing w:val="1"/>
            <w:w w:val="91"/>
          </w:rPr>
          <w:t>s</w:t>
        </w:r>
        <w:r>
          <w:rPr>
            <w:color w:val="231F20"/>
            <w:spacing w:val="1"/>
            <w:w w:val="107"/>
          </w:rPr>
          <w:t>t</w:t>
        </w:r>
        <w:r>
          <w:rPr>
            <w:color w:val="231F20"/>
            <w:spacing w:val="1"/>
            <w:w w:val="94"/>
          </w:rPr>
          <w:t>a</w:t>
        </w:r>
        <w:r>
          <w:rPr>
            <w:color w:val="231F20"/>
            <w:w w:val="95"/>
          </w:rPr>
          <w:t>.i</w:t>
        </w:r>
        <w:r>
          <w:rPr>
            <w:color w:val="231F20"/>
            <w:spacing w:val="2"/>
            <w:w w:val="95"/>
          </w:rPr>
          <w:t>n</w:t>
        </w:r>
        <w:r>
          <w:rPr>
            <w:color w:val="231F20"/>
            <w:w w:val="92"/>
          </w:rPr>
          <w:t>i</w:t>
        </w:r>
        <w:r>
          <w:rPr>
            <w:color w:val="231F20"/>
            <w:spacing w:val="1"/>
            <w:w w:val="92"/>
          </w:rPr>
          <w:t>e</w:t>
        </w:r>
        <w:r>
          <w:rPr>
            <w:color w:val="231F20"/>
            <w:w w:val="97"/>
          </w:rPr>
          <w:t>.</w:t>
        </w:r>
        <w:r>
          <w:rPr>
            <w:color w:val="231F20"/>
            <w:spacing w:val="1"/>
            <w:w w:val="97"/>
          </w:rPr>
          <w:t>u</w:t>
        </w:r>
        <w:r>
          <w:rPr>
            <w:color w:val="231F20"/>
            <w:spacing w:val="1"/>
            <w:w w:val="96"/>
          </w:rPr>
          <w:t>c</w:t>
        </w:r>
        <w:r>
          <w:rPr>
            <w:color w:val="231F20"/>
            <w:spacing w:val="1"/>
            <w:w w:val="103"/>
          </w:rPr>
          <w:t>r</w:t>
        </w:r>
        <w:r>
          <w:rPr>
            <w:color w:val="231F20"/>
            <w:w w:val="92"/>
          </w:rPr>
          <w:t>.</w:t>
        </w:r>
        <w:r>
          <w:rPr>
            <w:color w:val="231F20"/>
            <w:spacing w:val="1"/>
            <w:w w:val="92"/>
          </w:rPr>
          <w:t>a</w:t>
        </w:r>
        <w:r>
          <w:rPr>
            <w:color w:val="231F20"/>
            <w:spacing w:val="1"/>
            <w:w w:val="96"/>
          </w:rPr>
          <w:t>c</w:t>
        </w:r>
        <w:r>
          <w:rPr>
            <w:color w:val="231F20"/>
            <w:w w:val="94"/>
          </w:rPr>
          <w:t>.</w:t>
        </w:r>
        <w:r>
          <w:rPr>
            <w:color w:val="231F20"/>
            <w:spacing w:val="1"/>
            <w:w w:val="94"/>
          </w:rPr>
          <w:t>c</w:t>
        </w:r>
        <w:r>
          <w:rPr>
            <w:color w:val="231F20"/>
            <w:spacing w:val="1"/>
            <w:w w:val="103"/>
          </w:rPr>
          <w:t>r</w:t>
        </w:r>
        <w:r>
          <w:rPr>
            <w:color w:val="231F20"/>
            <w:w w:val="90"/>
          </w:rPr>
          <w:t>.</w:t>
        </w:r>
        <w:r>
          <w:rPr>
            <w:color w:val="231F20"/>
            <w:spacing w:val="3"/>
          </w:rPr>
          <w:t> </w:t>
        </w:r>
      </w:hyperlink>
      <w:r>
        <w:rPr>
          <w:color w:val="231F20"/>
          <w:spacing w:val="2"/>
          <w:w w:val="96"/>
        </w:rPr>
        <w:t>1</w:t>
      </w:r>
      <w:r>
        <w:rPr>
          <w:color w:val="231F20"/>
          <w:spacing w:val="1"/>
          <w:w w:val="96"/>
        </w:rPr>
        <w:t>-</w:t>
      </w:r>
      <w:r>
        <w:rPr>
          <w:color w:val="231F20"/>
          <w:spacing w:val="1"/>
          <w:w w:val="96"/>
        </w:rPr>
        <w:t>33</w:t>
      </w:r>
      <w:r>
        <w:rPr>
          <w:color w:val="231F20"/>
          <w:w w:val="90"/>
        </w:rPr>
        <w:t>. </w:t>
      </w:r>
      <w:hyperlink r:id="rId414">
        <w:r>
          <w:rPr>
            <w:color w:val="231F20"/>
            <w:spacing w:val="2"/>
            <w:w w:val="104"/>
          </w:rPr>
          <w:t>h</w:t>
        </w:r>
        <w:r>
          <w:rPr>
            <w:color w:val="231F20"/>
            <w:spacing w:val="1"/>
            <w:w w:val="107"/>
          </w:rPr>
          <w:t>tt</w:t>
        </w:r>
        <w:r>
          <w:rPr>
            <w:color w:val="231F20"/>
            <w:spacing w:val="2"/>
            <w:w w:val="104"/>
          </w:rPr>
          <w:t>p</w:t>
        </w:r>
        <w:r>
          <w:rPr>
            <w:color w:val="231F20"/>
            <w:w w:val="133"/>
          </w:rPr>
          <w:t>:</w:t>
        </w:r>
        <w:r>
          <w:rPr>
            <w:color w:val="231F20"/>
            <w:spacing w:val="2"/>
            <w:w w:val="133"/>
          </w:rPr>
          <w:t>/</w:t>
        </w:r>
        <w:r>
          <w:rPr>
            <w:color w:val="231F20"/>
            <w:spacing w:val="2"/>
            <w:w w:val="185"/>
          </w:rPr>
          <w:t>/</w:t>
        </w:r>
        <w:r>
          <w:rPr>
            <w:color w:val="231F20"/>
            <w:spacing w:val="1"/>
            <w:w w:val="103"/>
          </w:rPr>
          <w:t>r</w:t>
        </w:r>
        <w:r>
          <w:rPr>
            <w:color w:val="231F20"/>
            <w:spacing w:val="1"/>
            <w:w w:val="96"/>
          </w:rPr>
          <w:t>e</w:t>
        </w:r>
        <w:r>
          <w:rPr>
            <w:color w:val="231F20"/>
            <w:spacing w:val="1"/>
            <w:w w:val="96"/>
          </w:rPr>
          <w:t>v</w:t>
        </w:r>
        <w:r>
          <w:rPr>
            <w:color w:val="231F20"/>
            <w:w w:val="91"/>
          </w:rPr>
          <w:t>i</w:t>
        </w:r>
        <w:r>
          <w:rPr>
            <w:color w:val="231F20"/>
            <w:spacing w:val="1"/>
            <w:w w:val="91"/>
          </w:rPr>
          <w:t>s</w:t>
        </w:r>
        <w:r>
          <w:rPr>
            <w:color w:val="231F20"/>
            <w:spacing w:val="1"/>
            <w:w w:val="107"/>
          </w:rPr>
          <w:t>t</w:t>
        </w:r>
        <w:r>
          <w:rPr>
            <w:color w:val="231F20"/>
            <w:spacing w:val="1"/>
            <w:w w:val="94"/>
          </w:rPr>
          <w:t>a</w:t>
        </w:r>
        <w:r>
          <w:rPr>
            <w:color w:val="231F20"/>
            <w:w w:val="95"/>
          </w:rPr>
          <w:t>.i</w:t>
        </w:r>
        <w:r>
          <w:rPr>
            <w:color w:val="231F20"/>
            <w:spacing w:val="2"/>
            <w:w w:val="95"/>
          </w:rPr>
          <w:t>n</w:t>
        </w:r>
        <w:r>
          <w:rPr>
            <w:color w:val="231F20"/>
            <w:w w:val="92"/>
          </w:rPr>
          <w:t>i</w:t>
        </w:r>
        <w:r>
          <w:rPr>
            <w:color w:val="231F20"/>
            <w:spacing w:val="1"/>
            <w:w w:val="92"/>
          </w:rPr>
          <w:t>e</w:t>
        </w:r>
        <w:r>
          <w:rPr>
            <w:color w:val="231F20"/>
            <w:w w:val="97"/>
          </w:rPr>
          <w:t>.</w:t>
        </w:r>
        <w:r>
          <w:rPr>
            <w:color w:val="231F20"/>
            <w:spacing w:val="1"/>
            <w:w w:val="97"/>
          </w:rPr>
          <w:t>u</w:t>
        </w:r>
        <w:r>
          <w:rPr>
            <w:color w:val="231F20"/>
            <w:spacing w:val="1"/>
            <w:w w:val="96"/>
          </w:rPr>
          <w:t>c</w:t>
        </w:r>
        <w:r>
          <w:rPr>
            <w:color w:val="231F20"/>
            <w:spacing w:val="1"/>
            <w:w w:val="103"/>
          </w:rPr>
          <w:t>r</w:t>
        </w:r>
        <w:r>
          <w:rPr>
            <w:color w:val="231F20"/>
            <w:w w:val="92"/>
          </w:rPr>
          <w:t>.</w:t>
        </w:r>
        <w:r>
          <w:rPr>
            <w:color w:val="231F20"/>
            <w:spacing w:val="1"/>
            <w:w w:val="92"/>
          </w:rPr>
          <w:t>a</w:t>
        </w:r>
        <w:r>
          <w:rPr>
            <w:color w:val="231F20"/>
            <w:spacing w:val="1"/>
            <w:w w:val="96"/>
          </w:rPr>
          <w:t>c</w:t>
        </w:r>
        <w:r>
          <w:rPr>
            <w:color w:val="231F20"/>
            <w:w w:val="94"/>
          </w:rPr>
          <w:t>.</w:t>
        </w:r>
        <w:r>
          <w:rPr>
            <w:color w:val="231F20"/>
            <w:spacing w:val="1"/>
            <w:w w:val="94"/>
          </w:rPr>
          <w:t>c</w:t>
        </w:r>
        <w:r>
          <w:rPr>
            <w:color w:val="231F20"/>
            <w:spacing w:val="1"/>
            <w:w w:val="103"/>
          </w:rPr>
          <w:t>r</w:t>
        </w:r>
        <w:r>
          <w:rPr>
            <w:color w:val="231F20"/>
            <w:spacing w:val="2"/>
            <w:w w:val="185"/>
          </w:rPr>
          <w:t>/</w:t>
        </w:r>
        <w:r>
          <w:rPr>
            <w:color w:val="231F20"/>
            <w:w w:val="97"/>
          </w:rPr>
          <w:t>i</w:t>
        </w:r>
        <w:r>
          <w:rPr>
            <w:color w:val="231F20"/>
            <w:spacing w:val="2"/>
            <w:w w:val="97"/>
          </w:rPr>
          <w:t>n</w:t>
        </w:r>
        <w:r>
          <w:rPr>
            <w:color w:val="231F20"/>
            <w:spacing w:val="2"/>
            <w:w w:val="102"/>
          </w:rPr>
          <w:t>d</w:t>
        </w:r>
        <w:r>
          <w:rPr>
            <w:color w:val="231F20"/>
            <w:spacing w:val="1"/>
            <w:w w:val="96"/>
          </w:rPr>
          <w:t>e</w:t>
        </w:r>
        <w:r>
          <w:rPr>
            <w:color w:val="231F20"/>
            <w:spacing w:val="1"/>
            <w:w w:val="94"/>
          </w:rPr>
          <w:t>x</w:t>
        </w:r>
        <w:r>
          <w:rPr>
            <w:color w:val="231F20"/>
            <w:w w:val="99"/>
          </w:rPr>
          <w:t>.</w:t>
        </w:r>
        <w:r>
          <w:rPr>
            <w:color w:val="231F20"/>
            <w:spacing w:val="2"/>
            <w:w w:val="99"/>
          </w:rPr>
          <w:t>p</w:t>
        </w:r>
        <w:r>
          <w:rPr>
            <w:color w:val="231F20"/>
            <w:spacing w:val="2"/>
            <w:w w:val="104"/>
          </w:rPr>
          <w:t>hp</w:t>
        </w:r>
        <w:r>
          <w:rPr>
            <w:color w:val="231F20"/>
            <w:spacing w:val="2"/>
            <w:w w:val="185"/>
          </w:rPr>
          <w:t>/</w:t>
        </w:r>
        <w:r>
          <w:rPr>
            <w:color w:val="231F20"/>
            <w:spacing w:val="1"/>
            <w:w w:val="94"/>
          </w:rPr>
          <w:t>a</w:t>
        </w:r>
        <w:r>
          <w:rPr>
            <w:color w:val="231F20"/>
            <w:w w:val="92"/>
          </w:rPr>
          <w:t>i</w:t>
        </w:r>
        <w:r>
          <w:rPr>
            <w:color w:val="231F20"/>
            <w:spacing w:val="1"/>
            <w:w w:val="92"/>
          </w:rPr>
          <w:t>e</w:t>
        </w:r>
        <w:r>
          <w:rPr>
            <w:color w:val="231F20"/>
            <w:spacing w:val="2"/>
            <w:w w:val="185"/>
          </w:rPr>
          <w:t>/</w:t>
        </w:r>
        <w:r>
          <w:rPr>
            <w:color w:val="231F20"/>
            <w:spacing w:val="1"/>
            <w:w w:val="94"/>
          </w:rPr>
          <w:t>a</w:t>
        </w:r>
        <w:r>
          <w:rPr>
            <w:color w:val="231F20"/>
            <w:spacing w:val="1"/>
            <w:w w:val="103"/>
          </w:rPr>
          <w:t>r</w:t>
        </w:r>
        <w:r>
          <w:rPr>
            <w:color w:val="231F20"/>
            <w:spacing w:val="1"/>
            <w:w w:val="107"/>
          </w:rPr>
          <w:t>t</w:t>
        </w:r>
        <w:r>
          <w:rPr>
            <w:color w:val="231F20"/>
            <w:w w:val="92"/>
          </w:rPr>
          <w:t>i</w:t>
        </w:r>
        <w:r>
          <w:rPr>
            <w:color w:val="231F20"/>
            <w:spacing w:val="1"/>
            <w:w w:val="92"/>
          </w:rPr>
          <w:t>c</w:t>
        </w:r>
        <w:r>
          <w:rPr>
            <w:color w:val="231F20"/>
            <w:w w:val="92"/>
          </w:rPr>
          <w:t>l</w:t>
        </w:r>
        <w:r>
          <w:rPr>
            <w:color w:val="231F20"/>
            <w:spacing w:val="1"/>
            <w:w w:val="92"/>
          </w:rPr>
          <w:t>e</w:t>
        </w:r>
        <w:r>
          <w:rPr>
            <w:color w:val="231F20"/>
            <w:spacing w:val="2"/>
            <w:w w:val="185"/>
          </w:rPr>
          <w:t>/</w:t>
        </w:r>
        <w:r>
          <w:rPr>
            <w:color w:val="231F20"/>
            <w:spacing w:val="1"/>
            <w:w w:val="96"/>
          </w:rPr>
          <w:t>v</w:t>
        </w:r>
        <w:r>
          <w:rPr>
            <w:color w:val="231F20"/>
            <w:w w:val="92"/>
          </w:rPr>
          <w:t>i</w:t>
        </w:r>
        <w:r>
          <w:rPr>
            <w:color w:val="231F20"/>
            <w:spacing w:val="1"/>
            <w:w w:val="92"/>
          </w:rPr>
          <w:t>e</w:t>
        </w:r>
        <w:r>
          <w:rPr>
            <w:color w:val="231F20"/>
            <w:spacing w:val="2"/>
            <w:w w:val="94"/>
          </w:rPr>
          <w:t>w</w:t>
        </w:r>
        <w:r>
          <w:rPr>
            <w:color w:val="231F20"/>
            <w:spacing w:val="2"/>
            <w:w w:val="185"/>
          </w:rPr>
          <w:t>/</w:t>
        </w:r>
        <w:r>
          <w:rPr>
            <w:color w:val="231F20"/>
            <w:spacing w:val="1"/>
            <w:w w:val="96"/>
          </w:rPr>
          <w:t>4</w:t>
        </w:r>
        <w:r>
          <w:rPr>
            <w:color w:val="231F20"/>
            <w:w w:val="96"/>
          </w:rPr>
          <w:t>0</w:t>
        </w:r>
      </w:hyperlink>
      <w:r>
        <w:rPr>
          <w:color w:val="231F20"/>
          <w:w w:val="96"/>
        </w:rPr>
        <w:t> </w:t>
      </w:r>
      <w:r>
        <w:rPr>
          <w:color w:val="231F20"/>
        </w:rPr>
        <w:t>4/403)</w:t>
      </w:r>
    </w:p>
    <w:p>
      <w:pPr>
        <w:spacing w:line="242" w:lineRule="auto" w:before="3"/>
        <w:ind w:left="102" w:right="0" w:hanging="1"/>
        <w:jc w:val="left"/>
        <w:rPr>
          <w:sz w:val="21"/>
        </w:rPr>
      </w:pPr>
      <w:r>
        <w:rPr>
          <w:color w:val="231F20"/>
          <w:sz w:val="21"/>
        </w:rPr>
        <w:t>Ibarra,</w:t>
      </w:r>
      <w:r>
        <w:rPr>
          <w:color w:val="231F20"/>
          <w:spacing w:val="-30"/>
          <w:sz w:val="21"/>
        </w:rPr>
        <w:t> </w:t>
      </w:r>
      <w:r>
        <w:rPr>
          <w:color w:val="231F20"/>
          <w:sz w:val="21"/>
        </w:rPr>
        <w:t>Luis</w:t>
      </w:r>
      <w:r>
        <w:rPr>
          <w:color w:val="231F20"/>
          <w:spacing w:val="-30"/>
          <w:sz w:val="21"/>
        </w:rPr>
        <w:t> </w:t>
      </w:r>
      <w:r>
        <w:rPr>
          <w:color w:val="231F20"/>
          <w:sz w:val="21"/>
        </w:rPr>
        <w:t>Rodolfo.</w:t>
      </w:r>
      <w:r>
        <w:rPr>
          <w:color w:val="231F20"/>
          <w:spacing w:val="-30"/>
          <w:sz w:val="21"/>
        </w:rPr>
        <w:t> </w:t>
      </w:r>
      <w:r>
        <w:rPr>
          <w:color w:val="231F20"/>
          <w:sz w:val="21"/>
        </w:rPr>
        <w:t>(2011).</w:t>
      </w:r>
      <w:r>
        <w:rPr>
          <w:color w:val="231F20"/>
          <w:spacing w:val="-30"/>
          <w:sz w:val="21"/>
        </w:rPr>
        <w:t> </w:t>
      </w:r>
      <w:r>
        <w:rPr>
          <w:i/>
          <w:color w:val="231F20"/>
          <w:sz w:val="21"/>
        </w:rPr>
        <w:t>Educar,</w:t>
      </w:r>
      <w:r>
        <w:rPr>
          <w:i/>
          <w:color w:val="231F20"/>
          <w:spacing w:val="-30"/>
          <w:sz w:val="21"/>
        </w:rPr>
        <w:t> </w:t>
      </w:r>
      <w:r>
        <w:rPr>
          <w:i/>
          <w:color w:val="231F20"/>
          <w:sz w:val="21"/>
        </w:rPr>
        <w:t>pensar</w:t>
      </w:r>
      <w:r>
        <w:rPr>
          <w:i/>
          <w:color w:val="231F20"/>
          <w:spacing w:val="-30"/>
          <w:sz w:val="21"/>
        </w:rPr>
        <w:t> </w:t>
      </w:r>
      <w:r>
        <w:rPr>
          <w:i/>
          <w:color w:val="231F20"/>
          <w:sz w:val="21"/>
        </w:rPr>
        <w:t>y</w:t>
      </w:r>
      <w:r>
        <w:rPr>
          <w:i/>
          <w:color w:val="231F20"/>
          <w:spacing w:val="-30"/>
          <w:sz w:val="21"/>
        </w:rPr>
        <w:t> </w:t>
      </w:r>
      <w:r>
        <w:rPr>
          <w:i/>
          <w:color w:val="231F20"/>
          <w:sz w:val="21"/>
        </w:rPr>
        <w:t>dialogar.</w:t>
      </w:r>
      <w:r>
        <w:rPr>
          <w:i/>
          <w:color w:val="231F20"/>
          <w:spacing w:val="-30"/>
          <w:sz w:val="21"/>
        </w:rPr>
        <w:t> </w:t>
      </w:r>
      <w:r>
        <w:rPr>
          <w:color w:val="231F20"/>
          <w:sz w:val="21"/>
        </w:rPr>
        <w:t>(En</w:t>
      </w:r>
      <w:r>
        <w:rPr>
          <w:color w:val="231F20"/>
          <w:spacing w:val="-30"/>
          <w:sz w:val="21"/>
        </w:rPr>
        <w:t> </w:t>
      </w:r>
      <w:r>
        <w:rPr>
          <w:color w:val="231F20"/>
          <w:sz w:val="21"/>
        </w:rPr>
        <w:t>prensa). </w:t>
      </w:r>
      <w:r>
        <w:rPr>
          <w:color w:val="231F20"/>
          <w:w w:val="95"/>
          <w:sz w:val="21"/>
        </w:rPr>
        <w:t>Mills,</w:t>
      </w:r>
      <w:r>
        <w:rPr>
          <w:color w:val="231F20"/>
          <w:spacing w:val="-25"/>
          <w:w w:val="95"/>
          <w:sz w:val="21"/>
        </w:rPr>
        <w:t> </w:t>
      </w:r>
      <w:r>
        <w:rPr>
          <w:color w:val="231F20"/>
          <w:w w:val="95"/>
          <w:sz w:val="21"/>
        </w:rPr>
        <w:t>Charles</w:t>
      </w:r>
      <w:r>
        <w:rPr>
          <w:color w:val="231F20"/>
          <w:spacing w:val="-25"/>
          <w:w w:val="95"/>
          <w:sz w:val="21"/>
        </w:rPr>
        <w:t> </w:t>
      </w:r>
      <w:r>
        <w:rPr>
          <w:color w:val="231F20"/>
          <w:w w:val="95"/>
          <w:sz w:val="21"/>
        </w:rPr>
        <w:t>Wrigth.</w:t>
      </w:r>
      <w:r>
        <w:rPr>
          <w:color w:val="231F20"/>
          <w:spacing w:val="-25"/>
          <w:w w:val="95"/>
          <w:sz w:val="21"/>
        </w:rPr>
        <w:t> </w:t>
      </w:r>
      <w:r>
        <w:rPr>
          <w:color w:val="231F20"/>
          <w:w w:val="95"/>
          <w:sz w:val="21"/>
        </w:rPr>
        <w:t>(2000).</w:t>
      </w:r>
      <w:r>
        <w:rPr>
          <w:color w:val="231F20"/>
          <w:spacing w:val="-25"/>
          <w:w w:val="95"/>
          <w:sz w:val="21"/>
        </w:rPr>
        <w:t> </w:t>
      </w:r>
      <w:r>
        <w:rPr>
          <w:i/>
          <w:color w:val="231F20"/>
          <w:w w:val="95"/>
          <w:sz w:val="21"/>
        </w:rPr>
        <w:t>La</w:t>
      </w:r>
      <w:r>
        <w:rPr>
          <w:i/>
          <w:color w:val="231F20"/>
          <w:spacing w:val="-25"/>
          <w:w w:val="95"/>
          <w:sz w:val="21"/>
        </w:rPr>
        <w:t> </w:t>
      </w:r>
      <w:r>
        <w:rPr>
          <w:i/>
          <w:color w:val="231F20"/>
          <w:w w:val="95"/>
          <w:sz w:val="21"/>
        </w:rPr>
        <w:t>imaginación</w:t>
      </w:r>
      <w:r>
        <w:rPr>
          <w:i/>
          <w:color w:val="231F20"/>
          <w:spacing w:val="-25"/>
          <w:w w:val="95"/>
          <w:sz w:val="21"/>
        </w:rPr>
        <w:t> </w:t>
      </w:r>
      <w:r>
        <w:rPr>
          <w:i/>
          <w:color w:val="231F20"/>
          <w:w w:val="95"/>
          <w:sz w:val="21"/>
        </w:rPr>
        <w:t>sociológica.</w:t>
      </w:r>
      <w:r>
        <w:rPr>
          <w:i/>
          <w:color w:val="231F20"/>
          <w:spacing w:val="-26"/>
          <w:w w:val="95"/>
          <w:sz w:val="21"/>
        </w:rPr>
        <w:t> </w:t>
      </w:r>
      <w:r>
        <w:rPr>
          <w:color w:val="231F20"/>
          <w:w w:val="95"/>
          <w:sz w:val="21"/>
        </w:rPr>
        <w:t>México</w:t>
      </w:r>
      <w:r>
        <w:rPr>
          <w:color w:val="231F20"/>
          <w:spacing w:val="-25"/>
          <w:w w:val="95"/>
          <w:sz w:val="21"/>
        </w:rPr>
        <w:t> </w:t>
      </w:r>
      <w:r>
        <w:rPr>
          <w:color w:val="231F20"/>
          <w:w w:val="95"/>
          <w:sz w:val="21"/>
        </w:rPr>
        <w:t>DF:</w:t>
      </w:r>
    </w:p>
    <w:p>
      <w:pPr>
        <w:pStyle w:val="BodyText"/>
        <w:spacing w:before="6"/>
        <w:ind w:left="822" w:right="774"/>
      </w:pPr>
      <w:r>
        <w:rPr>
          <w:color w:val="231F20"/>
        </w:rPr>
        <w:t>Fondo de Cultura  Económica.</w:t>
      </w:r>
    </w:p>
    <w:p>
      <w:pPr>
        <w:spacing w:line="242" w:lineRule="auto" w:before="8"/>
        <w:ind w:left="822" w:right="0" w:hanging="720"/>
        <w:jc w:val="left"/>
        <w:rPr>
          <w:sz w:val="21"/>
        </w:rPr>
      </w:pPr>
      <w:r>
        <w:rPr>
          <w:color w:val="231F20"/>
          <w:w w:val="90"/>
          <w:sz w:val="21"/>
        </w:rPr>
        <w:t>Morín, Edgar. (1998). </w:t>
      </w:r>
      <w:r>
        <w:rPr>
          <w:i/>
          <w:color w:val="231F20"/>
          <w:w w:val="90"/>
          <w:sz w:val="21"/>
        </w:rPr>
        <w:t>Introducción al pensamiento complejo. </w:t>
      </w:r>
      <w:r>
        <w:rPr>
          <w:color w:val="231F20"/>
          <w:w w:val="90"/>
          <w:sz w:val="21"/>
        </w:rPr>
        <w:t>Barcelona: </w:t>
      </w:r>
      <w:r>
        <w:rPr>
          <w:color w:val="231F20"/>
          <w:sz w:val="21"/>
        </w:rPr>
        <w:t>Gedisa.</w:t>
      </w:r>
    </w:p>
    <w:p>
      <w:pPr>
        <w:pStyle w:val="BodyText"/>
        <w:spacing w:line="244" w:lineRule="auto" w:before="6"/>
        <w:ind w:left="822" w:right="101" w:hanging="720"/>
      </w:pPr>
      <w:r>
        <w:rPr>
          <w:color w:val="231F20"/>
        </w:rPr>
        <w:t>Piña-Osorio,</w:t>
      </w:r>
      <w:r>
        <w:rPr>
          <w:color w:val="231F20"/>
          <w:spacing w:val="-7"/>
        </w:rPr>
        <w:t> </w:t>
      </w:r>
      <w:r>
        <w:rPr>
          <w:color w:val="231F20"/>
        </w:rPr>
        <w:t>Juan</w:t>
      </w:r>
      <w:r>
        <w:rPr>
          <w:color w:val="231F20"/>
          <w:spacing w:val="-6"/>
        </w:rPr>
        <w:t> </w:t>
      </w:r>
      <w:r>
        <w:rPr>
          <w:color w:val="231F20"/>
        </w:rPr>
        <w:t>Manuel</w:t>
      </w:r>
      <w:r>
        <w:rPr>
          <w:color w:val="231F20"/>
          <w:spacing w:val="-7"/>
        </w:rPr>
        <w:t> </w:t>
      </w:r>
      <w:r>
        <w:rPr>
          <w:color w:val="231F20"/>
        </w:rPr>
        <w:t>y</w:t>
      </w:r>
      <w:r>
        <w:rPr>
          <w:color w:val="231F20"/>
          <w:spacing w:val="-6"/>
        </w:rPr>
        <w:t> </w:t>
      </w:r>
      <w:r>
        <w:rPr>
          <w:color w:val="231F20"/>
        </w:rPr>
        <w:t>Cuevas-Cajiga,</w:t>
      </w:r>
      <w:r>
        <w:rPr>
          <w:color w:val="231F20"/>
          <w:spacing w:val="-7"/>
        </w:rPr>
        <w:t> </w:t>
      </w:r>
      <w:r>
        <w:rPr>
          <w:color w:val="231F20"/>
        </w:rPr>
        <w:t>Yazmín.</w:t>
      </w:r>
      <w:r>
        <w:rPr>
          <w:color w:val="231F20"/>
          <w:spacing w:val="-7"/>
        </w:rPr>
        <w:t> </w:t>
      </w:r>
      <w:r>
        <w:rPr>
          <w:color w:val="231F20"/>
        </w:rPr>
        <w:t>La</w:t>
      </w:r>
      <w:r>
        <w:rPr>
          <w:color w:val="231F20"/>
          <w:spacing w:val="-7"/>
        </w:rPr>
        <w:t> </w:t>
      </w:r>
      <w:r>
        <w:rPr>
          <w:color w:val="231F20"/>
        </w:rPr>
        <w:t>teoría</w:t>
      </w:r>
      <w:r>
        <w:rPr>
          <w:color w:val="231F20"/>
          <w:spacing w:val="-7"/>
        </w:rPr>
        <w:t> </w:t>
      </w:r>
      <w:r>
        <w:rPr>
          <w:color w:val="231F20"/>
        </w:rPr>
        <w:t>de</w:t>
      </w:r>
      <w:r>
        <w:rPr>
          <w:color w:val="231F20"/>
          <w:spacing w:val="-6"/>
        </w:rPr>
        <w:t> </w:t>
      </w:r>
      <w:r>
        <w:rPr>
          <w:color w:val="231F20"/>
        </w:rPr>
        <w:t>las representaciones sociales: Su uso en la investigación </w:t>
      </w:r>
      <w:r>
        <w:rPr>
          <w:color w:val="231F20"/>
          <w:w w:val="95"/>
        </w:rPr>
        <w:t>educativa</w:t>
      </w:r>
      <w:r>
        <w:rPr>
          <w:color w:val="231F20"/>
          <w:spacing w:val="-16"/>
          <w:w w:val="95"/>
        </w:rPr>
        <w:t> </w:t>
      </w:r>
      <w:r>
        <w:rPr>
          <w:color w:val="231F20"/>
          <w:w w:val="95"/>
        </w:rPr>
        <w:t>en</w:t>
      </w:r>
      <w:r>
        <w:rPr>
          <w:color w:val="231F20"/>
          <w:spacing w:val="-16"/>
          <w:w w:val="95"/>
        </w:rPr>
        <w:t> </w:t>
      </w:r>
      <w:r>
        <w:rPr>
          <w:color w:val="231F20"/>
          <w:w w:val="95"/>
        </w:rPr>
        <w:t>México.</w:t>
      </w:r>
      <w:r>
        <w:rPr>
          <w:color w:val="231F20"/>
          <w:spacing w:val="-17"/>
          <w:w w:val="95"/>
        </w:rPr>
        <w:t> </w:t>
      </w:r>
      <w:r>
        <w:rPr>
          <w:i/>
          <w:color w:val="231F20"/>
          <w:w w:val="95"/>
        </w:rPr>
        <w:t>Perfiles</w:t>
      </w:r>
      <w:r>
        <w:rPr>
          <w:i/>
          <w:color w:val="231F20"/>
          <w:spacing w:val="-17"/>
          <w:w w:val="95"/>
        </w:rPr>
        <w:t> </w:t>
      </w:r>
      <w:r>
        <w:rPr>
          <w:i/>
          <w:color w:val="231F20"/>
          <w:w w:val="95"/>
        </w:rPr>
        <w:t>educativos</w:t>
      </w:r>
      <w:r>
        <w:rPr>
          <w:i/>
          <w:color w:val="231F20"/>
          <w:spacing w:val="-17"/>
          <w:w w:val="95"/>
        </w:rPr>
        <w:t> </w:t>
      </w:r>
      <w:r>
        <w:rPr>
          <w:i/>
          <w:color w:val="231F20"/>
          <w:w w:val="95"/>
        </w:rPr>
        <w:t>26(105-106)</w:t>
      </w:r>
      <w:r>
        <w:rPr>
          <w:color w:val="231F20"/>
          <w:w w:val="95"/>
        </w:rPr>
        <w:t>.</w:t>
      </w:r>
      <w:r>
        <w:rPr>
          <w:color w:val="231F20"/>
          <w:spacing w:val="-17"/>
          <w:w w:val="95"/>
        </w:rPr>
        <w:t> </w:t>
      </w:r>
      <w:r>
        <w:rPr>
          <w:color w:val="231F20"/>
          <w:w w:val="95"/>
        </w:rPr>
        <w:t>México, </w:t>
      </w:r>
      <w:r>
        <w:rPr>
          <w:color w:val="231F20"/>
        </w:rPr>
        <w:t>México: UNAM-IISUE. Recuperado el 26 de septiembre  de 2011, de </w:t>
      </w:r>
      <w:hyperlink r:id="rId415">
        <w:r>
          <w:rPr>
            <w:color w:val="231F20"/>
            <w:spacing w:val="2"/>
            <w:w w:val="104"/>
          </w:rPr>
          <w:t>h</w:t>
        </w:r>
        <w:r>
          <w:rPr>
            <w:color w:val="231F20"/>
            <w:spacing w:val="1"/>
            <w:w w:val="107"/>
          </w:rPr>
          <w:t>tt</w:t>
        </w:r>
        <w:r>
          <w:rPr>
            <w:color w:val="231F20"/>
            <w:spacing w:val="2"/>
            <w:w w:val="104"/>
          </w:rPr>
          <w:t>p</w:t>
        </w:r>
        <w:r>
          <w:rPr>
            <w:color w:val="231F20"/>
            <w:w w:val="80"/>
          </w:rPr>
          <w:t>:</w:t>
        </w:r>
        <w:r>
          <w:rPr>
            <w:color w:val="231F20"/>
            <w:spacing w:val="2"/>
            <w:w w:val="185"/>
          </w:rPr>
          <w:t>//</w:t>
        </w:r>
        <w:r>
          <w:rPr>
            <w:color w:val="231F20"/>
            <w:spacing w:val="2"/>
            <w:w w:val="94"/>
          </w:rPr>
          <w:t>www</w:t>
        </w:r>
        <w:r>
          <w:rPr>
            <w:color w:val="231F20"/>
            <w:w w:val="89"/>
          </w:rPr>
          <w:t>.</w:t>
        </w:r>
        <w:r>
          <w:rPr>
            <w:color w:val="231F20"/>
            <w:spacing w:val="1"/>
            <w:w w:val="93"/>
          </w:rPr>
          <w:t>sc</w:t>
        </w:r>
        <w:r>
          <w:rPr>
            <w:color w:val="231F20"/>
            <w:w w:val="93"/>
          </w:rPr>
          <w:t>i</w:t>
        </w:r>
        <w:r>
          <w:rPr>
            <w:color w:val="231F20"/>
            <w:spacing w:val="1"/>
            <w:w w:val="92"/>
          </w:rPr>
          <w:t>e</w:t>
        </w:r>
        <w:r>
          <w:rPr>
            <w:color w:val="231F20"/>
            <w:w w:val="92"/>
          </w:rPr>
          <w:t>l</w:t>
        </w:r>
        <w:r>
          <w:rPr>
            <w:color w:val="231F20"/>
            <w:spacing w:val="2"/>
            <w:w w:val="104"/>
          </w:rPr>
          <w:t>o</w:t>
        </w:r>
        <w:r>
          <w:rPr>
            <w:color w:val="231F20"/>
            <w:w w:val="89"/>
          </w:rPr>
          <w:t>.</w:t>
        </w:r>
        <w:r>
          <w:rPr>
            <w:color w:val="231F20"/>
            <w:spacing w:val="2"/>
            <w:w w:val="104"/>
          </w:rPr>
          <w:t>o</w:t>
        </w:r>
        <w:r>
          <w:rPr>
            <w:color w:val="231F20"/>
            <w:spacing w:val="1"/>
            <w:w w:val="96"/>
          </w:rPr>
          <w:t>rg</w:t>
        </w:r>
        <w:r>
          <w:rPr>
            <w:color w:val="231F20"/>
            <w:w w:val="89"/>
          </w:rPr>
          <w:t>.</w:t>
        </w:r>
        <w:r>
          <w:rPr>
            <w:color w:val="231F20"/>
            <w:spacing w:val="3"/>
            <w:w w:val="101"/>
          </w:rPr>
          <w:t>m</w:t>
        </w:r>
        <w:r>
          <w:rPr>
            <w:color w:val="231F20"/>
            <w:spacing w:val="1"/>
            <w:w w:val="94"/>
          </w:rPr>
          <w:t>x</w:t>
        </w:r>
        <w:r>
          <w:rPr>
            <w:color w:val="231F20"/>
            <w:spacing w:val="2"/>
            <w:w w:val="185"/>
          </w:rPr>
          <w:t>/</w:t>
        </w:r>
        <w:r>
          <w:rPr>
            <w:color w:val="231F20"/>
            <w:spacing w:val="1"/>
            <w:w w:val="93"/>
          </w:rPr>
          <w:t>sc</w:t>
        </w:r>
        <w:r>
          <w:rPr>
            <w:color w:val="231F20"/>
            <w:w w:val="93"/>
          </w:rPr>
          <w:t>i</w:t>
        </w:r>
        <w:r>
          <w:rPr>
            <w:color w:val="231F20"/>
            <w:spacing w:val="1"/>
            <w:w w:val="92"/>
          </w:rPr>
          <w:t>e</w:t>
        </w:r>
        <w:r>
          <w:rPr>
            <w:color w:val="231F20"/>
            <w:w w:val="92"/>
          </w:rPr>
          <w:t>l</w:t>
        </w:r>
        <w:r>
          <w:rPr>
            <w:color w:val="231F20"/>
            <w:spacing w:val="2"/>
            <w:w w:val="104"/>
          </w:rPr>
          <w:t>o</w:t>
        </w:r>
        <w:r>
          <w:rPr>
            <w:color w:val="231F20"/>
            <w:w w:val="89"/>
          </w:rPr>
          <w:t>.</w:t>
        </w:r>
        <w:r>
          <w:rPr>
            <w:color w:val="231F20"/>
            <w:spacing w:val="2"/>
            <w:w w:val="104"/>
          </w:rPr>
          <w:t>php</w:t>
        </w:r>
        <w:r>
          <w:rPr>
            <w:color w:val="231F20"/>
            <w:spacing w:val="1"/>
            <w:w w:val="93"/>
          </w:rPr>
          <w:t>?scr</w:t>
        </w:r>
        <w:r>
          <w:rPr>
            <w:color w:val="231F20"/>
            <w:w w:val="93"/>
          </w:rPr>
          <w:t>i</w:t>
        </w:r>
        <w:r>
          <w:rPr>
            <w:color w:val="231F20"/>
            <w:spacing w:val="2"/>
            <w:w w:val="104"/>
          </w:rPr>
          <w:t>p</w:t>
        </w:r>
        <w:r>
          <w:rPr>
            <w:color w:val="231F20"/>
            <w:spacing w:val="1"/>
            <w:w w:val="107"/>
          </w:rPr>
          <w:t>t</w:t>
        </w:r>
        <w:r>
          <w:rPr>
            <w:color w:val="231F20"/>
            <w:spacing w:val="2"/>
            <w:w w:val="121"/>
          </w:rPr>
          <w:t>=</w:t>
        </w:r>
        <w:r>
          <w:rPr>
            <w:color w:val="231F20"/>
            <w:spacing w:val="1"/>
            <w:w w:val="93"/>
          </w:rPr>
          <w:t>sc</w:t>
        </w:r>
        <w:r>
          <w:rPr>
            <w:color w:val="231F20"/>
            <w:w w:val="93"/>
          </w:rPr>
          <w:t>i</w:t>
        </w:r>
        <w:r>
          <w:rPr>
            <w:color w:val="231F20"/>
            <w:spacing w:val="2"/>
            <w:w w:val="102"/>
          </w:rPr>
          <w:t>_</w:t>
        </w:r>
        <w:r>
          <w:rPr>
            <w:color w:val="231F20"/>
            <w:spacing w:val="1"/>
            <w:w w:val="94"/>
          </w:rPr>
          <w:t>a</w:t>
        </w:r>
        <w:r>
          <w:rPr>
            <w:color w:val="231F20"/>
            <w:spacing w:val="1"/>
            <w:w w:val="105"/>
          </w:rPr>
          <w:t>rt</w:t>
        </w:r>
        <w:r>
          <w:rPr>
            <w:color w:val="231F20"/>
            <w:spacing w:val="1"/>
            <w:w w:val="107"/>
          </w:rPr>
          <w:t>t</w:t>
        </w:r>
        <w:r>
          <w:rPr>
            <w:color w:val="231F20"/>
            <w:spacing w:val="1"/>
            <w:w w:val="95"/>
          </w:rPr>
          <w:t>ex</w:t>
        </w:r>
        <w:r>
          <w:rPr>
            <w:color w:val="231F20"/>
            <w:spacing w:val="1"/>
            <w:w w:val="107"/>
          </w:rPr>
          <w:t>t</w:t>
        </w:r>
        <w:r>
          <w:rPr>
            <w:color w:val="231F20"/>
            <w:spacing w:val="2"/>
            <w:w w:val="96"/>
          </w:rPr>
          <w:t>&amp;</w:t>
        </w:r>
        <w:r>
          <w:rPr>
            <w:color w:val="231F20"/>
            <w:w w:val="104"/>
          </w:rPr>
          <w:t>p</w:t>
        </w:r>
      </w:hyperlink>
      <w:r>
        <w:rPr>
          <w:color w:val="231F20"/>
          <w:w w:val="104"/>
        </w:rPr>
        <w:t> </w:t>
      </w:r>
      <w:r>
        <w:rPr>
          <w:color w:val="231F20"/>
        </w:rPr>
        <w:t>id=S0185-26982004000100005</w:t>
      </w:r>
    </w:p>
    <w:p>
      <w:pPr>
        <w:spacing w:line="244" w:lineRule="auto" w:before="3"/>
        <w:ind w:left="822" w:right="202" w:hanging="720"/>
        <w:jc w:val="left"/>
        <w:rPr>
          <w:sz w:val="21"/>
        </w:rPr>
      </w:pPr>
      <w:r>
        <w:rPr>
          <w:color w:val="231F20"/>
          <w:sz w:val="21"/>
        </w:rPr>
        <w:t>Rojas-Betancur, Héctor Mauricio. (2009). Formar investigadores e investigadoras en la universidad: optimismo e indeferencia </w:t>
      </w:r>
      <w:r>
        <w:rPr>
          <w:color w:val="231F20"/>
          <w:w w:val="90"/>
          <w:sz w:val="21"/>
        </w:rPr>
        <w:t>juvenil en temas científicos. </w:t>
      </w:r>
      <w:r>
        <w:rPr>
          <w:i/>
          <w:color w:val="231F20"/>
          <w:w w:val="90"/>
          <w:sz w:val="21"/>
        </w:rPr>
        <w:t>Revista latinoamericana de ciencias </w:t>
      </w:r>
      <w:r>
        <w:rPr>
          <w:i/>
          <w:color w:val="231F20"/>
          <w:w w:val="95"/>
          <w:sz w:val="21"/>
        </w:rPr>
        <w:t>sociales, de la niñez y la juventud</w:t>
      </w:r>
      <w:r>
        <w:rPr>
          <w:color w:val="231F20"/>
          <w:w w:val="95"/>
          <w:sz w:val="21"/>
        </w:rPr>
        <w:t>. Colombia, Colombia.</w:t>
      </w:r>
    </w:p>
    <w:p>
      <w:pPr>
        <w:pStyle w:val="BodyText"/>
        <w:spacing w:line="244" w:lineRule="auto" w:before="3"/>
        <w:ind w:left="822"/>
      </w:pPr>
      <w:r>
        <w:rPr>
          <w:color w:val="231F20"/>
          <w:w w:val="105"/>
        </w:rPr>
        <w:t>Obtenido de: </w:t>
      </w:r>
      <w:hyperlink r:id="rId416">
        <w:r>
          <w:rPr>
            <w:color w:val="231F20"/>
            <w:w w:val="104"/>
            <w:u w:val="single" w:color="231F20"/>
          </w:rPr>
          <w:t>h</w:t>
        </w:r>
        <w:r>
          <w:rPr>
            <w:color w:val="231F20"/>
            <w:w w:val="107"/>
            <w:u w:val="single" w:color="231F20"/>
          </w:rPr>
          <w:t>tt</w:t>
        </w:r>
        <w:r>
          <w:rPr>
            <w:color w:val="231F20"/>
            <w:w w:val="104"/>
            <w:u w:val="single" w:color="231F20"/>
          </w:rPr>
          <w:t>p</w:t>
        </w:r>
        <w:r>
          <w:rPr>
            <w:color w:val="231F20"/>
            <w:w w:val="133"/>
            <w:u w:val="single" w:color="231F20"/>
          </w:rPr>
          <w:t>:/</w:t>
        </w:r>
        <w:r>
          <w:rPr>
            <w:color w:val="231F20"/>
            <w:w w:val="185"/>
            <w:u w:val="single" w:color="231F20"/>
          </w:rPr>
          <w:t>/</w:t>
        </w:r>
        <w:r>
          <w:rPr>
            <w:color w:val="231F20"/>
            <w:w w:val="103"/>
            <w:u w:val="single" w:color="231F20"/>
          </w:rPr>
          <w:t>r</w:t>
        </w:r>
        <w:r>
          <w:rPr>
            <w:color w:val="231F20"/>
            <w:w w:val="96"/>
            <w:u w:val="single" w:color="231F20"/>
          </w:rPr>
          <w:t>e</w:t>
        </w:r>
        <w:r>
          <w:rPr>
            <w:color w:val="231F20"/>
            <w:w w:val="96"/>
            <w:u w:val="single" w:color="231F20"/>
          </w:rPr>
          <w:t>v</w:t>
        </w:r>
        <w:r>
          <w:rPr>
            <w:color w:val="231F20"/>
            <w:w w:val="91"/>
            <w:u w:val="single" w:color="231F20"/>
          </w:rPr>
          <w:t>is</w:t>
        </w:r>
        <w:r>
          <w:rPr>
            <w:color w:val="231F20"/>
            <w:w w:val="107"/>
            <w:u w:val="single" w:color="231F20"/>
          </w:rPr>
          <w:t>t</w:t>
        </w:r>
        <w:r>
          <w:rPr>
            <w:color w:val="231F20"/>
            <w:w w:val="94"/>
            <w:u w:val="single" w:color="231F20"/>
          </w:rPr>
          <w:t>a</w:t>
        </w:r>
        <w:r>
          <w:rPr>
            <w:color w:val="231F20"/>
            <w:w w:val="100"/>
            <w:u w:val="single" w:color="231F20"/>
          </w:rPr>
          <w:t>u</w:t>
        </w:r>
        <w:r>
          <w:rPr>
            <w:color w:val="231F20"/>
            <w:w w:val="101"/>
            <w:u w:val="single" w:color="231F20"/>
          </w:rPr>
          <w:t>m</w:t>
        </w:r>
        <w:r>
          <w:rPr>
            <w:color w:val="231F20"/>
            <w:w w:val="94"/>
            <w:u w:val="single" w:color="231F20"/>
          </w:rPr>
          <w:t>a</w:t>
        </w:r>
        <w:r>
          <w:rPr>
            <w:color w:val="231F20"/>
            <w:w w:val="104"/>
            <w:u w:val="single" w:color="231F20"/>
          </w:rPr>
          <w:t>n</w:t>
        </w:r>
        <w:r>
          <w:rPr>
            <w:color w:val="231F20"/>
            <w:w w:val="93"/>
            <w:u w:val="single" w:color="231F20"/>
          </w:rPr>
          <w:t>iz</w:t>
        </w:r>
        <w:r>
          <w:rPr>
            <w:color w:val="231F20"/>
            <w:w w:val="94"/>
            <w:u w:val="single" w:color="231F20"/>
          </w:rPr>
          <w:t>a</w:t>
        </w:r>
        <w:r>
          <w:rPr>
            <w:color w:val="231F20"/>
            <w:w w:val="92"/>
            <w:u w:val="single" w:color="231F20"/>
          </w:rPr>
          <w:t>le</w:t>
        </w:r>
        <w:r>
          <w:rPr>
            <w:color w:val="231F20"/>
            <w:w w:val="96"/>
            <w:u w:val="single" w:color="231F20"/>
          </w:rPr>
          <w:t>s</w:t>
        </w:r>
        <w:r>
          <w:rPr>
            <w:color w:val="231F20"/>
            <w:w w:val="94"/>
            <w:u w:val="single" w:color="231F20"/>
          </w:rPr>
          <w:t>.c</w:t>
        </w:r>
        <w:r>
          <w:rPr>
            <w:color w:val="231F20"/>
            <w:w w:val="97"/>
            <w:u w:val="single" w:color="231F20"/>
          </w:rPr>
          <w:t>in</w:t>
        </w:r>
        <w:r>
          <w:rPr>
            <w:color w:val="231F20"/>
            <w:w w:val="102"/>
            <w:u w:val="single" w:color="231F20"/>
          </w:rPr>
          <w:t>d</w:t>
        </w:r>
        <w:r>
          <w:rPr>
            <w:color w:val="231F20"/>
            <w:w w:val="96"/>
            <w:u w:val="single" w:color="231F20"/>
          </w:rPr>
          <w:t>e</w:t>
        </w:r>
        <w:r>
          <w:rPr>
            <w:color w:val="231F20"/>
            <w:w w:val="99"/>
            <w:u w:val="single" w:color="231F20"/>
          </w:rPr>
          <w:t>.o</w:t>
        </w:r>
        <w:r>
          <w:rPr>
            <w:color w:val="231F20"/>
            <w:w w:val="103"/>
            <w:u w:val="single" w:color="231F20"/>
          </w:rPr>
          <w:t>r</w:t>
        </w:r>
        <w:r>
          <w:rPr>
            <w:color w:val="231F20"/>
            <w:w w:val="92"/>
            <w:u w:val="single" w:color="231F20"/>
          </w:rPr>
          <w:t>g</w:t>
        </w:r>
        <w:r>
          <w:rPr>
            <w:color w:val="231F20"/>
            <w:w w:val="94"/>
            <w:u w:val="single" w:color="231F20"/>
          </w:rPr>
          <w:t>.c</w:t>
        </w:r>
        <w:r>
          <w:rPr>
            <w:color w:val="231F20"/>
            <w:w w:val="104"/>
            <w:u w:val="single" w:color="231F20"/>
          </w:rPr>
          <w:t>o</w:t>
        </w:r>
        <w:r>
          <w:rPr>
            <w:color w:val="231F20"/>
            <w:w w:val="185"/>
            <w:u w:val="single" w:color="231F20"/>
          </w:rPr>
          <w:t>/</w:t>
        </w:r>
        <w:r>
          <w:rPr>
            <w:color w:val="231F20"/>
            <w:w w:val="97"/>
            <w:u w:val="single" w:color="231F20"/>
          </w:rPr>
          <w:t>in</w:t>
        </w:r>
        <w:r>
          <w:rPr>
            <w:color w:val="231F20"/>
            <w:w w:val="102"/>
            <w:u w:val="single" w:color="231F20"/>
          </w:rPr>
          <w:t>d</w:t>
        </w:r>
        <w:r>
          <w:rPr>
            <w:color w:val="231F20"/>
            <w:w w:val="96"/>
            <w:u w:val="single" w:color="231F20"/>
          </w:rPr>
          <w:t>e</w:t>
        </w:r>
        <w:r>
          <w:rPr>
            <w:color w:val="231F20"/>
            <w:w w:val="94"/>
            <w:u w:val="single" w:color="231F20"/>
          </w:rPr>
          <w:t>x</w:t>
        </w:r>
        <w:r>
          <w:rPr>
            <w:color w:val="231F20"/>
            <w:w w:val="99"/>
            <w:u w:val="single" w:color="231F20"/>
          </w:rPr>
          <w:t>.p</w:t>
        </w:r>
        <w:r>
          <w:rPr>
            <w:color w:val="231F20"/>
            <w:w w:val="104"/>
            <w:u w:val="single" w:color="231F20"/>
          </w:rPr>
          <w:t>hp</w:t>
        </w:r>
        <w:r>
          <w:rPr>
            <w:color w:val="231F20"/>
            <w:w w:val="185"/>
            <w:u w:val="single" w:color="231F20"/>
          </w:rPr>
          <w:t>/</w:t>
        </w:r>
        <w:r>
          <w:rPr>
            <w:color w:val="231F20"/>
            <w:w w:val="96"/>
            <w:u w:val="single" w:color="231F20"/>
          </w:rPr>
          <w:t>R</w:t>
        </w:r>
        <w:r>
          <w:rPr>
            <w:color w:val="231F20"/>
            <w:w w:val="96"/>
            <w:u w:val="single" w:color="231F20"/>
          </w:rPr>
          <w:t>e</w:t>
        </w:r>
        <w:r>
          <w:rPr>
            <w:color w:val="231F20"/>
            <w:w w:val="96"/>
            <w:u w:val="single" w:color="231F20"/>
          </w:rPr>
          <w:t>v</w:t>
        </w:r>
        <w:r>
          <w:rPr>
            <w:color w:val="231F20"/>
            <w:w w:val="91"/>
            <w:u w:val="single" w:color="231F20"/>
          </w:rPr>
          <w:t>is</w:t>
        </w:r>
        <w:r>
          <w:rPr>
            <w:color w:val="231F20"/>
            <w:w w:val="107"/>
            <w:u w:val="single" w:color="231F20"/>
          </w:rPr>
          <w:t>t</w:t>
        </w:r>
        <w:r>
          <w:rPr>
            <w:color w:val="231F20"/>
            <w:w w:val="94"/>
            <w:u w:val="single" w:color="231F20"/>
          </w:rPr>
          <w:t>a</w:t>
        </w:r>
        <w:r>
          <w:rPr>
            <w:color w:val="231F20"/>
            <w:w w:val="96"/>
            <w:u w:val="single" w:color="231F20"/>
          </w:rPr>
          <w:t>-</w:t>
        </w:r>
      </w:hyperlink>
      <w:r>
        <w:rPr>
          <w:color w:val="231F20"/>
          <w:w w:val="96"/>
        </w:rPr>
        <w:t> </w:t>
      </w:r>
      <w:r>
        <w:rPr>
          <w:color w:val="231F20"/>
          <w:w w:val="105"/>
          <w:u w:val="single" w:color="231F20"/>
        </w:rPr>
        <w:t>Latinoamericana/article/view/172/75</w:t>
      </w:r>
    </w:p>
    <w:p>
      <w:pPr>
        <w:spacing w:line="244" w:lineRule="auto" w:before="3"/>
        <w:ind w:left="822" w:right="0" w:hanging="720"/>
        <w:jc w:val="left"/>
        <w:rPr>
          <w:sz w:val="21"/>
        </w:rPr>
      </w:pPr>
      <w:r>
        <w:rPr>
          <w:color w:val="231F20"/>
          <w:sz w:val="21"/>
        </w:rPr>
        <w:t>Sánchez-Vázquez, Adolfo (1979). Sobre la teoría althusseriana de la ideología. En Mario H. Otero (comp.). </w:t>
      </w:r>
      <w:r>
        <w:rPr>
          <w:i/>
          <w:color w:val="231F20"/>
          <w:sz w:val="21"/>
        </w:rPr>
        <w:t>Ideología y ciencias </w:t>
      </w:r>
      <w:r>
        <w:rPr>
          <w:i/>
          <w:color w:val="231F20"/>
          <w:w w:val="95"/>
          <w:sz w:val="21"/>
        </w:rPr>
        <w:t>sociales. </w:t>
      </w:r>
      <w:r>
        <w:rPr>
          <w:color w:val="231F20"/>
          <w:w w:val="95"/>
          <w:sz w:val="21"/>
        </w:rPr>
        <w:t>México DF: UNAM.</w:t>
      </w:r>
    </w:p>
    <w:p>
      <w:pPr>
        <w:spacing w:line="247" w:lineRule="auto" w:before="0"/>
        <w:ind w:left="102" w:right="0" w:firstLine="0"/>
        <w:jc w:val="left"/>
        <w:rPr>
          <w:sz w:val="21"/>
        </w:rPr>
      </w:pPr>
      <w:r>
        <w:rPr>
          <w:color w:val="231F20"/>
          <w:w w:val="95"/>
          <w:sz w:val="21"/>
        </w:rPr>
        <w:t>Vattimo, Gianni. (2002). </w:t>
      </w:r>
      <w:r>
        <w:rPr>
          <w:i/>
          <w:color w:val="231F20"/>
          <w:w w:val="95"/>
          <w:sz w:val="21"/>
        </w:rPr>
        <w:t>Introducción a Heidegger. </w:t>
      </w:r>
      <w:r>
        <w:rPr>
          <w:color w:val="231F20"/>
          <w:w w:val="95"/>
          <w:sz w:val="21"/>
        </w:rPr>
        <w:t>México: Gedisa. </w:t>
      </w:r>
      <w:r>
        <w:rPr>
          <w:color w:val="231F20"/>
          <w:sz w:val="21"/>
        </w:rPr>
        <w:t>Weber,</w:t>
      </w:r>
      <w:r>
        <w:rPr>
          <w:color w:val="231F20"/>
          <w:spacing w:val="-34"/>
          <w:sz w:val="21"/>
        </w:rPr>
        <w:t> </w:t>
      </w:r>
      <w:r>
        <w:rPr>
          <w:color w:val="231F20"/>
          <w:sz w:val="21"/>
        </w:rPr>
        <w:t>Max.</w:t>
      </w:r>
      <w:r>
        <w:rPr>
          <w:color w:val="231F20"/>
          <w:spacing w:val="-34"/>
          <w:sz w:val="21"/>
        </w:rPr>
        <w:t> </w:t>
      </w:r>
      <w:r>
        <w:rPr>
          <w:color w:val="231F20"/>
          <w:sz w:val="21"/>
        </w:rPr>
        <w:t>(1991).</w:t>
      </w:r>
      <w:r>
        <w:rPr>
          <w:color w:val="231F20"/>
          <w:spacing w:val="-34"/>
          <w:sz w:val="21"/>
        </w:rPr>
        <w:t> </w:t>
      </w:r>
      <w:r>
        <w:rPr>
          <w:i/>
          <w:color w:val="231F20"/>
          <w:sz w:val="21"/>
        </w:rPr>
        <w:t>El</w:t>
      </w:r>
      <w:r>
        <w:rPr>
          <w:i/>
          <w:color w:val="231F20"/>
          <w:spacing w:val="-34"/>
          <w:sz w:val="21"/>
        </w:rPr>
        <w:t> </w:t>
      </w:r>
      <w:r>
        <w:rPr>
          <w:i/>
          <w:color w:val="231F20"/>
          <w:sz w:val="21"/>
        </w:rPr>
        <w:t>político</w:t>
      </w:r>
      <w:r>
        <w:rPr>
          <w:i/>
          <w:color w:val="231F20"/>
          <w:spacing w:val="-34"/>
          <w:sz w:val="21"/>
        </w:rPr>
        <w:t> </w:t>
      </w:r>
      <w:r>
        <w:rPr>
          <w:i/>
          <w:color w:val="231F20"/>
          <w:sz w:val="21"/>
        </w:rPr>
        <w:t>y</w:t>
      </w:r>
      <w:r>
        <w:rPr>
          <w:i/>
          <w:color w:val="231F20"/>
          <w:spacing w:val="-34"/>
          <w:sz w:val="21"/>
        </w:rPr>
        <w:t> </w:t>
      </w:r>
      <w:r>
        <w:rPr>
          <w:i/>
          <w:color w:val="231F20"/>
          <w:sz w:val="21"/>
        </w:rPr>
        <w:t>el</w:t>
      </w:r>
      <w:r>
        <w:rPr>
          <w:i/>
          <w:color w:val="231F20"/>
          <w:spacing w:val="-34"/>
          <w:sz w:val="21"/>
        </w:rPr>
        <w:t> </w:t>
      </w:r>
      <w:r>
        <w:rPr>
          <w:i/>
          <w:color w:val="231F20"/>
          <w:sz w:val="21"/>
        </w:rPr>
        <w:t>científico.</w:t>
      </w:r>
      <w:r>
        <w:rPr>
          <w:i/>
          <w:color w:val="231F20"/>
          <w:spacing w:val="-33"/>
          <w:sz w:val="21"/>
        </w:rPr>
        <w:t> </w:t>
      </w:r>
      <w:r>
        <w:rPr>
          <w:color w:val="231F20"/>
          <w:sz w:val="21"/>
        </w:rPr>
        <w:t>México</w:t>
      </w:r>
      <w:r>
        <w:rPr>
          <w:color w:val="231F20"/>
          <w:spacing w:val="-33"/>
          <w:sz w:val="21"/>
        </w:rPr>
        <w:t> </w:t>
      </w:r>
      <w:r>
        <w:rPr>
          <w:color w:val="231F20"/>
          <w:sz w:val="21"/>
        </w:rPr>
        <w:t>DF:</w:t>
      </w:r>
      <w:r>
        <w:rPr>
          <w:color w:val="231F20"/>
          <w:spacing w:val="-34"/>
          <w:sz w:val="21"/>
        </w:rPr>
        <w:t> </w:t>
      </w:r>
      <w:r>
        <w:rPr>
          <w:color w:val="231F20"/>
          <w:sz w:val="21"/>
        </w:rPr>
        <w:t>La</w:t>
      </w:r>
      <w:r>
        <w:rPr>
          <w:color w:val="231F20"/>
          <w:spacing w:val="-33"/>
          <w:sz w:val="21"/>
        </w:rPr>
        <w:t> </w:t>
      </w:r>
      <w:r>
        <w:rPr>
          <w:color w:val="231F20"/>
          <w:sz w:val="21"/>
        </w:rPr>
        <w:t>Red</w:t>
      </w:r>
      <w:r>
        <w:rPr>
          <w:color w:val="231F20"/>
          <w:spacing w:val="-33"/>
          <w:sz w:val="21"/>
        </w:rPr>
        <w:t> </w:t>
      </w:r>
      <w:r>
        <w:rPr>
          <w:color w:val="231F20"/>
          <w:sz w:val="21"/>
        </w:rPr>
        <w:t>de</w:t>
      </w:r>
    </w:p>
    <w:p>
      <w:pPr>
        <w:pStyle w:val="BodyText"/>
        <w:spacing w:line="238" w:lineRule="exact"/>
        <w:ind w:left="822" w:right="774"/>
      </w:pPr>
      <w:r>
        <w:rPr>
          <w:color w:val="231F20"/>
        </w:rPr>
        <w:t>Jonás. Premia Editora.</w:t>
      </w:r>
    </w:p>
    <w:p>
      <w:pPr>
        <w:spacing w:after="0" w:line="238" w:lineRule="exact"/>
        <w:sectPr>
          <w:headerReference w:type="default" r:id="rId411"/>
          <w:footerReference w:type="default" r:id="rId412"/>
          <w:pgSz w:w="7830" w:h="11910"/>
          <w:pgMar w:header="0" w:footer="424" w:top="500" w:bottom="620" w:left="920" w:right="920"/>
          <w:pgNumType w:start="193"/>
        </w:sectPr>
      </w:pPr>
    </w:p>
    <w:p>
      <w:pPr>
        <w:pStyle w:val="BodyText"/>
        <w:rPr>
          <w:sz w:val="20"/>
        </w:rPr>
      </w:pPr>
      <w:r>
        <w:rPr/>
        <w:pict>
          <v:shape style="position:absolute;margin-left:83.355003pt;margin-top:422.243011pt;width:41.95pt;height:29.1pt;mso-position-horizontal-relative:page;mso-position-vertical-relative:page;z-index:-483520" type="#_x0000_t202" filled="false" stroked="false">
            <v:textbox inset="0,0,0,0">
              <w:txbxContent>
                <w:p>
                  <w:pPr>
                    <w:pStyle w:val="BodyText"/>
                    <w:rPr>
                      <w:sz w:val="18"/>
                    </w:rPr>
                  </w:pPr>
                </w:p>
                <w:p>
                  <w:pPr>
                    <w:spacing w:before="147"/>
                    <w:ind w:left="237" w:right="0" w:firstLine="0"/>
                    <w:jc w:val="left"/>
                    <w:rPr>
                      <w:sz w:val="17"/>
                    </w:rPr>
                  </w:pPr>
                  <w:r>
                    <w:rPr>
                      <w:color w:val="231F20"/>
                      <w:w w:val="105"/>
                      <w:sz w:val="17"/>
                    </w:rPr>
                    <w:t>194</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after="1"/>
        <w:rPr>
          <w:sz w:val="18"/>
        </w:rPr>
      </w:pPr>
    </w:p>
    <w:p>
      <w:pPr>
        <w:pStyle w:val="BodyText"/>
        <w:ind w:left="607"/>
        <w:rPr>
          <w:sz w:val="20"/>
        </w:rPr>
      </w:pPr>
      <w:r>
        <w:rPr>
          <w:sz w:val="20"/>
        </w:rPr>
        <w:pict>
          <v:group style="width:41.95pt;height:29.1pt;mso-position-horizontal-relative:char;mso-position-vertical-relative:line" coordorigin="0,0" coordsize="839,582">
            <v:rect style="position:absolute;left:0;top:0;width:839;height:582" filled="true" fillcolor="#ffffff" stroked="false">
              <v:fill type="solid"/>
            </v:rect>
          </v:group>
        </w:pict>
      </w:r>
      <w:r>
        <w:rPr>
          <w:sz w:val="20"/>
        </w:rPr>
      </w:r>
    </w:p>
    <w:p>
      <w:pPr>
        <w:spacing w:after="0"/>
        <w:rPr>
          <w:sz w:val="20"/>
        </w:rPr>
        <w:sectPr>
          <w:headerReference w:type="default" r:id="rId417"/>
          <w:footerReference w:type="default" r:id="rId418"/>
          <w:pgSz w:w="7830" w:h="11910"/>
          <w:pgMar w:header="0" w:footer="0" w:top="1100" w:bottom="280" w:left="1060" w:right="1060"/>
        </w:sectPr>
      </w:pPr>
    </w:p>
    <w:p>
      <w:pPr>
        <w:pStyle w:val="Heading2"/>
        <w:spacing w:line="300" w:lineRule="atLeast" w:before="68"/>
        <w:ind w:right="104"/>
        <w:rPr>
          <w:rFonts w:ascii="Candara" w:hAnsi="Candara"/>
          <w:sz w:val="28"/>
        </w:rPr>
      </w:pPr>
      <w:r>
        <w:rPr/>
        <w:pict>
          <v:shape style="position:absolute;margin-left:113.890999pt;margin-top:21.500002pt;width:175.15pt;height:24.7pt;mso-position-horizontal-relative:page;mso-position-vertical-relative:page;z-index:-483472" type="#_x0000_t202" filled="false" stroked="false">
            <v:textbox inset="0,0,0,0">
              <w:txbxContent>
                <w:p>
                  <w:pPr>
                    <w:spacing w:before="121"/>
                    <w:ind w:left="105" w:right="0" w:firstLine="0"/>
                    <w:jc w:val="left"/>
                    <w:rPr>
                      <w:sz w:val="13"/>
                    </w:rPr>
                  </w:pPr>
                  <w:r>
                    <w:rPr>
                      <w:color w:val="231F20"/>
                      <w:sz w:val="16"/>
                    </w:rPr>
                    <w:t>E</w:t>
                  </w:r>
                  <w:r>
                    <w:rPr>
                      <w:color w:val="231F20"/>
                      <w:sz w:val="13"/>
                    </w:rPr>
                    <w:t>STUDIOS SOBRE VIOLENCIA EN LA EDUCACIÓN</w:t>
                  </w:r>
                </w:p>
              </w:txbxContent>
            </v:textbox>
            <w10:wrap type="none"/>
          </v:shape>
        </w:pict>
      </w:r>
      <w:r>
        <w:rPr>
          <w:rFonts w:ascii="Georgia" w:hAnsi="Georgia"/>
          <w:color w:val="231F20"/>
          <w:sz w:val="28"/>
        </w:rPr>
        <w:t>E</w:t>
      </w:r>
      <w:r>
        <w:rPr>
          <w:rFonts w:ascii="Georgia" w:hAnsi="Georgia"/>
          <w:color w:val="231F20"/>
        </w:rPr>
        <w:t>L MALTRATO DURANTE LA FORMACIÓN </w:t>
      </w:r>
      <w:r>
        <w:rPr>
          <w:color w:val="231F20"/>
        </w:rPr>
        <w:t>UNIVERSITARIA EN EL ÁREA DE CIENCIAS DE LA SALUD</w:t>
      </w:r>
      <w:r>
        <w:rPr>
          <w:rFonts w:ascii="Arial" w:hAnsi="Arial"/>
          <w:color w:val="231F20"/>
          <w:sz w:val="28"/>
        </w:rPr>
        <w:t>. </w:t>
      </w:r>
      <w:r>
        <w:rPr>
          <w:color w:val="231F20"/>
          <w:sz w:val="28"/>
        </w:rPr>
        <w:t>U</w:t>
      </w:r>
      <w:r>
        <w:rPr>
          <w:rFonts w:ascii="Georgia" w:hAnsi="Georgia"/>
          <w:color w:val="231F20"/>
        </w:rPr>
        <w:t>N PRIMER ACERCAMIENT</w:t>
      </w:r>
      <w:r>
        <w:rPr>
          <w:color w:val="231F20"/>
        </w:rPr>
        <w:t>O A LAS</w:t>
      </w:r>
      <w:r>
        <w:rPr>
          <w:rFonts w:ascii="Candara" w:hAnsi="Candara"/>
          <w:color w:val="231F20"/>
          <w:sz w:val="28"/>
        </w:rPr>
        <w:t>(</w:t>
      </w:r>
      <w:r>
        <w:rPr>
          <w:rFonts w:ascii="Trebuchet MS" w:hAnsi="Trebuchet MS"/>
          <w:color w:val="231F20"/>
        </w:rPr>
        <w:t>OS</w:t>
      </w:r>
      <w:r>
        <w:rPr>
          <w:rFonts w:ascii="Candara" w:hAnsi="Candara"/>
          <w:color w:val="231F20"/>
          <w:sz w:val="28"/>
        </w:rPr>
        <w:t>)</w:t>
      </w:r>
    </w:p>
    <w:p>
      <w:pPr>
        <w:spacing w:before="44"/>
        <w:ind w:left="122" w:right="104" w:firstLine="0"/>
        <w:jc w:val="left"/>
        <w:rPr>
          <w:rFonts w:ascii="Trebuchet MS"/>
          <w:b/>
          <w:sz w:val="21"/>
        </w:rPr>
      </w:pPr>
      <w:r>
        <w:rPr>
          <w:b/>
          <w:color w:val="231F20"/>
          <w:w w:val="105"/>
          <w:sz w:val="21"/>
        </w:rPr>
        <w:t>ESTUDIANTES NAYARITA</w:t>
      </w:r>
      <w:r>
        <w:rPr>
          <w:rFonts w:ascii="Trebuchet MS"/>
          <w:b/>
          <w:color w:val="231F20"/>
          <w:w w:val="105"/>
          <w:sz w:val="21"/>
        </w:rPr>
        <w:t>S</w:t>
      </w:r>
    </w:p>
    <w:p>
      <w:pPr>
        <w:pStyle w:val="BodyText"/>
        <w:spacing w:before="10"/>
        <w:rPr>
          <w:rFonts w:ascii="Trebuchet MS"/>
          <w:b/>
          <w:sz w:val="22"/>
        </w:rPr>
      </w:pPr>
    </w:p>
    <w:p>
      <w:pPr>
        <w:pStyle w:val="BodyText"/>
        <w:ind w:left="122" w:right="104"/>
        <w:rPr>
          <w:rFonts w:ascii="Symbol" w:hAnsi="Symbol"/>
          <w:sz w:val="17"/>
        </w:rPr>
      </w:pPr>
      <w:r>
        <w:rPr>
          <w:color w:val="231F20"/>
        </w:rPr>
        <w:t>Bernabé Ríos Nava</w:t>
      </w:r>
      <w:r>
        <w:rPr>
          <w:rFonts w:ascii="Symbol" w:hAnsi="Symbol"/>
          <w:color w:val="231F20"/>
          <w:sz w:val="17"/>
        </w:rPr>
        <w:t></w:t>
      </w:r>
    </w:p>
    <w:p>
      <w:pPr>
        <w:pStyle w:val="BodyText"/>
        <w:spacing w:line="242" w:lineRule="auto" w:before="8"/>
        <w:ind w:left="122" w:right="2990"/>
        <w:rPr>
          <w:sz w:val="17"/>
        </w:rPr>
      </w:pPr>
      <w:r>
        <w:rPr>
          <w:color w:val="231F20"/>
        </w:rPr>
        <w:t>Sandra Luz Romero Mariscal</w:t>
      </w:r>
      <w:r>
        <w:rPr>
          <w:color w:val="231F20"/>
          <w:sz w:val="17"/>
        </w:rPr>
        <w:t>** </w:t>
      </w:r>
      <w:r>
        <w:rPr>
          <w:color w:val="231F20"/>
        </w:rPr>
        <w:t>José Ramón Olivo Estrada</w:t>
      </w:r>
      <w:r>
        <w:rPr>
          <w:color w:val="231F20"/>
          <w:sz w:val="17"/>
        </w:rPr>
        <w:t>***</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31"/>
        </w:rPr>
      </w:pPr>
    </w:p>
    <w:p>
      <w:pPr>
        <w:pStyle w:val="BodyText"/>
        <w:spacing w:line="244" w:lineRule="auto"/>
        <w:ind w:left="122" w:right="104"/>
      </w:pPr>
      <w:r>
        <w:rPr>
          <w:color w:val="231F20"/>
        </w:rPr>
        <w:t>Integran el cuerpo académico de Procesos Educativos y Desarrollo Social. Las líneas de investigación que desarrollan son estudiantes, egresados, mercado de trabajo y procesos de formación.</w:t>
      </w:r>
    </w:p>
    <w:p>
      <w:pPr>
        <w:pStyle w:val="BodyText"/>
        <w:rPr>
          <w:sz w:val="22"/>
        </w:rPr>
      </w:pPr>
    </w:p>
    <w:p>
      <w:pPr>
        <w:pStyle w:val="BodyText"/>
        <w:spacing w:before="1"/>
        <w:rPr>
          <w:sz w:val="24"/>
        </w:rPr>
      </w:pPr>
    </w:p>
    <w:p>
      <w:pPr>
        <w:spacing w:line="273" w:lineRule="auto" w:before="1"/>
        <w:ind w:left="3046" w:right="104" w:hanging="1006"/>
        <w:jc w:val="left"/>
        <w:rPr>
          <w:sz w:val="19"/>
        </w:rPr>
      </w:pPr>
      <w:r>
        <w:rPr>
          <w:color w:val="231F20"/>
          <w:sz w:val="19"/>
        </w:rPr>
        <w:t>¿Is it possible that medical school is a place where medical students are actually abused?</w:t>
      </w:r>
    </w:p>
    <w:p>
      <w:pPr>
        <w:spacing w:before="1"/>
        <w:ind w:left="4840" w:right="51" w:firstLine="0"/>
        <w:jc w:val="left"/>
        <w:rPr>
          <w:i/>
          <w:sz w:val="19"/>
        </w:rPr>
      </w:pPr>
      <w:r>
        <w:rPr>
          <w:i/>
          <w:color w:val="231F20"/>
          <w:w w:val="90"/>
          <w:sz w:val="19"/>
        </w:rPr>
        <w:t>Henry K. Silver</w:t>
      </w:r>
    </w:p>
    <w:p>
      <w:pPr>
        <w:pStyle w:val="BodyText"/>
        <w:rPr>
          <w:i/>
          <w:sz w:val="20"/>
        </w:rPr>
      </w:pPr>
    </w:p>
    <w:p>
      <w:pPr>
        <w:pStyle w:val="BodyText"/>
        <w:spacing w:before="7"/>
        <w:rPr>
          <w:i/>
          <w:sz w:val="23"/>
        </w:rPr>
      </w:pPr>
    </w:p>
    <w:p>
      <w:pPr>
        <w:pStyle w:val="BodyText"/>
        <w:ind w:left="122" w:right="104"/>
      </w:pPr>
      <w:r>
        <w:rPr>
          <w:color w:val="231F20"/>
        </w:rPr>
        <w:t>Resumen</w:t>
      </w:r>
    </w:p>
    <w:p>
      <w:pPr>
        <w:pStyle w:val="BodyText"/>
        <w:spacing w:line="244" w:lineRule="auto" w:before="3"/>
        <w:ind w:left="122" w:right="114"/>
        <w:jc w:val="both"/>
      </w:pPr>
      <w:r>
        <w:rPr>
          <w:color w:val="231F20"/>
        </w:rPr>
        <w:t>El presente trabajo de corte descriptivo ofrece un primer panorama sobre el maltrato entre pares y en la relación docente-estudiante en   el nivel universitario; muestra que es un evento que se presenta de manera regular. Se tomaron en cuenta tanto los espacios áulicos como los hospitalarios y donde los estudiantes realizan prácticas profesionales. Los resultados, coincidentes con estudios internacio- nales, muestran que la discriminación es el evento más recurrente. En el caso del acoso sexual su presencia es baja, y tanto los </w:t>
      </w:r>
      <w:r>
        <w:rPr>
          <w:color w:val="231F20"/>
          <w:spacing w:val="3"/>
        </w:rPr>
        <w:t>hom- </w:t>
      </w:r>
      <w:r>
        <w:rPr>
          <w:color w:val="231F20"/>
        </w:rPr>
        <w:t>bres como las mujeres lo han padecido. En eventos como la dis- criminación las mujeres fueron el grupo más</w:t>
      </w:r>
      <w:r>
        <w:rPr>
          <w:color w:val="231F20"/>
          <w:spacing w:val="4"/>
        </w:rPr>
        <w:t> </w:t>
      </w:r>
      <w:r>
        <w:rPr>
          <w:color w:val="231F20"/>
        </w:rPr>
        <w:t>agredido.</w:t>
      </w:r>
    </w:p>
    <w:p>
      <w:pPr>
        <w:pStyle w:val="BodyText"/>
        <w:spacing w:before="1"/>
        <w:rPr>
          <w:sz w:val="13"/>
        </w:rPr>
      </w:pPr>
      <w:r>
        <w:rPr/>
        <w:pict>
          <v:line style="position:absolute;mso-position-horizontal-relative:page;mso-position-vertical-relative:paragraph;z-index:1768;mso-wrap-distance-left:0;mso-wrap-distance-right:0" from="51.110001pt,9.729799pt" to="195.110001pt,9.729799pt" stroked="true" strokeweight=".48pt" strokecolor="#231f20">
            <w10:wrap type="topAndBottom"/>
          </v:line>
        </w:pict>
      </w:r>
    </w:p>
    <w:p>
      <w:pPr>
        <w:spacing w:before="89"/>
        <w:ind w:left="122" w:right="104" w:firstLine="0"/>
        <w:jc w:val="left"/>
        <w:rPr>
          <w:sz w:val="14"/>
        </w:rPr>
      </w:pPr>
      <w:r>
        <w:rPr>
          <w:rFonts w:ascii="Symbol" w:hAnsi="Symbol"/>
          <w:color w:val="231F20"/>
          <w:w w:val="95"/>
          <w:position w:val="-4"/>
          <w:sz w:val="17"/>
        </w:rPr>
        <w:t></w:t>
      </w:r>
      <w:r>
        <w:rPr>
          <w:color w:val="231F20"/>
          <w:w w:val="95"/>
          <w:sz w:val="14"/>
        </w:rPr>
        <w:t>Profesor-investigador. Universidad Autónoma de Nayarit. México.</w:t>
      </w:r>
    </w:p>
    <w:p>
      <w:pPr>
        <w:spacing w:before="26"/>
        <w:ind w:left="122" w:right="104" w:firstLine="0"/>
        <w:jc w:val="left"/>
        <w:rPr>
          <w:sz w:val="14"/>
        </w:rPr>
      </w:pPr>
      <w:r>
        <w:rPr>
          <w:color w:val="231F20"/>
          <w:w w:val="95"/>
          <w:position w:val="-4"/>
          <w:sz w:val="17"/>
        </w:rPr>
        <w:t>**</w:t>
      </w:r>
      <w:r>
        <w:rPr>
          <w:color w:val="231F20"/>
          <w:w w:val="95"/>
          <w:sz w:val="14"/>
        </w:rPr>
        <w:t>Profesora-investigadora. Universidad Autónoma de Nayarit. México.</w:t>
      </w:r>
    </w:p>
    <w:p>
      <w:pPr>
        <w:spacing w:before="32"/>
        <w:ind w:left="122" w:right="104" w:firstLine="0"/>
        <w:jc w:val="left"/>
        <w:rPr>
          <w:sz w:val="14"/>
        </w:rPr>
      </w:pPr>
      <w:r>
        <w:rPr>
          <w:color w:val="231F20"/>
          <w:w w:val="95"/>
          <w:position w:val="-4"/>
          <w:sz w:val="17"/>
        </w:rPr>
        <w:t>***</w:t>
      </w:r>
      <w:r>
        <w:rPr>
          <w:color w:val="231F20"/>
          <w:w w:val="95"/>
          <w:sz w:val="14"/>
        </w:rPr>
        <w:t>Profesor-investigador. Universidad Autónoma de Nayarit. México.</w:t>
      </w:r>
    </w:p>
    <w:p>
      <w:pPr>
        <w:spacing w:after="0"/>
        <w:jc w:val="left"/>
        <w:rPr>
          <w:sz w:val="14"/>
        </w:rPr>
        <w:sectPr>
          <w:headerReference w:type="default" r:id="rId419"/>
          <w:footerReference w:type="default" r:id="rId420"/>
          <w:pgSz w:w="7830" w:h="11910"/>
          <w:pgMar w:header="0" w:footer="424" w:top="1100" w:bottom="620" w:left="900" w:right="900"/>
          <w:pgNumType w:start="19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17"/>
        <w:jc w:val="both"/>
      </w:pPr>
      <w:r>
        <w:rPr>
          <w:color w:val="231F20"/>
        </w:rPr>
        <w:t>Palabras clave: estudiantes, violencia de género, relación estudiante- profesor, educación superior.</w:t>
      </w:r>
    </w:p>
    <w:p>
      <w:pPr>
        <w:pStyle w:val="BodyText"/>
        <w:rPr>
          <w:sz w:val="22"/>
        </w:rPr>
      </w:pPr>
    </w:p>
    <w:p>
      <w:pPr>
        <w:pStyle w:val="BodyText"/>
        <w:spacing w:before="7"/>
        <w:rPr>
          <w:sz w:val="20"/>
        </w:rPr>
      </w:pPr>
    </w:p>
    <w:p>
      <w:pPr>
        <w:pStyle w:val="BodyText"/>
        <w:spacing w:line="247" w:lineRule="auto"/>
        <w:ind w:left="102" w:right="117"/>
        <w:jc w:val="both"/>
      </w:pPr>
      <w:r>
        <w:rPr>
          <w:color w:val="231F20"/>
        </w:rPr>
        <w:t>The maltreatment during university education in the area of Health Sciences. A first approach to the nayaritas students</w:t>
      </w:r>
    </w:p>
    <w:p>
      <w:pPr>
        <w:pStyle w:val="BodyText"/>
        <w:spacing w:before="4"/>
      </w:pPr>
    </w:p>
    <w:p>
      <w:pPr>
        <w:pStyle w:val="BodyText"/>
        <w:ind w:left="102"/>
        <w:jc w:val="both"/>
      </w:pPr>
      <w:r>
        <w:rPr>
          <w:color w:val="231F20"/>
        </w:rPr>
        <w:t>Abstract</w:t>
      </w:r>
    </w:p>
    <w:p>
      <w:pPr>
        <w:pStyle w:val="BodyText"/>
        <w:spacing w:line="244" w:lineRule="auto" w:before="8"/>
        <w:ind w:left="101" w:right="115"/>
        <w:jc w:val="both"/>
      </w:pPr>
      <w:r>
        <w:rPr>
          <w:color w:val="231F20"/>
        </w:rPr>
        <w:t>This work provides a first cutting descriptive overview of mis- treatment peer and teacher-student relationship at the university level; It shows that it is an event that has been occurring regularly. They took into account both classrooms as hospital and where students undertake profesional practices. The results coincide with international studies show that discrimination is the recurring event. In the case of sexual harassment their presence is low, and both   men and women have suffered. At events like the discrimination women were attacked the</w:t>
      </w:r>
      <w:r>
        <w:rPr>
          <w:color w:val="231F20"/>
          <w:spacing w:val="31"/>
        </w:rPr>
        <w:t> </w:t>
      </w:r>
      <w:r>
        <w:rPr>
          <w:color w:val="231F20"/>
        </w:rPr>
        <w:t>group.</w:t>
      </w:r>
    </w:p>
    <w:p>
      <w:pPr>
        <w:pStyle w:val="BodyText"/>
        <w:spacing w:before="6"/>
      </w:pPr>
    </w:p>
    <w:p>
      <w:pPr>
        <w:pStyle w:val="BodyText"/>
        <w:spacing w:line="247" w:lineRule="auto" w:before="1"/>
        <w:ind w:left="101" w:right="118"/>
        <w:jc w:val="both"/>
      </w:pPr>
      <w:r>
        <w:rPr>
          <w:color w:val="231F20"/>
        </w:rPr>
        <w:t>Keywords: student, gender violence, student teacher relationship, higher education.</w:t>
      </w:r>
    </w:p>
    <w:p>
      <w:pPr>
        <w:pStyle w:val="BodyText"/>
        <w:rPr>
          <w:sz w:val="22"/>
        </w:rPr>
      </w:pPr>
    </w:p>
    <w:p>
      <w:pPr>
        <w:pStyle w:val="BodyText"/>
        <w:spacing w:before="8"/>
        <w:rPr>
          <w:sz w:val="22"/>
        </w:rPr>
      </w:pPr>
    </w:p>
    <w:p>
      <w:pPr>
        <w:pStyle w:val="BodyText"/>
        <w:ind w:left="102"/>
        <w:jc w:val="both"/>
      </w:pPr>
      <w:r>
        <w:rPr>
          <w:color w:val="231F20"/>
          <w:w w:val="105"/>
        </w:rPr>
        <w:t>INTRODUCCIÓN</w:t>
      </w:r>
    </w:p>
    <w:p>
      <w:pPr>
        <w:pStyle w:val="BodyText"/>
        <w:spacing w:before="4"/>
        <w:rPr>
          <w:sz w:val="22"/>
        </w:rPr>
      </w:pPr>
    </w:p>
    <w:p>
      <w:pPr>
        <w:pStyle w:val="BodyText"/>
        <w:spacing w:line="247" w:lineRule="auto" w:before="1"/>
        <w:ind w:left="102" w:right="115"/>
        <w:jc w:val="both"/>
      </w:pPr>
      <w:r>
        <w:rPr>
          <w:color w:val="231F20"/>
        </w:rPr>
        <w:t>El estudio de la violencia y el maltrato en los ámbitos escolares (el problema entre agresores y víctimas) no es tema nuevo, a mediados de los años cincuenta, en los Estados Unidos, se llevaron a cabo las primeras denuncias, ante los crecientes conflictos en centros escola- res; sin embargo, las acciones de la entonces Administración Eisen- hower no llegaron o no sirvieron para nada (García, 2001). En la década de los setenta, en Suecia y Escandinavia, Dan Olweus llevó   a cabo estudios con una mayor sistematización en su abordaje; durante los años siguientes, su importancia fue advertida por inves- tigadores de otros países (Olweus,</w:t>
      </w:r>
      <w:r>
        <w:rPr>
          <w:color w:val="231F20"/>
          <w:spacing w:val="-27"/>
        </w:rPr>
        <w:t> </w:t>
      </w:r>
      <w:r>
        <w:rPr>
          <w:color w:val="231F20"/>
        </w:rPr>
        <w:t>2006:17).</w:t>
      </w:r>
    </w:p>
    <w:p>
      <w:pPr>
        <w:pStyle w:val="BodyText"/>
        <w:spacing w:line="247" w:lineRule="auto" w:before="6"/>
        <w:ind w:left="102" w:right="118" w:firstLine="284"/>
        <w:jc w:val="both"/>
      </w:pPr>
      <w:r>
        <w:rPr>
          <w:color w:val="231F20"/>
        </w:rPr>
        <w:t>En el ámbito universitario, diversas investigaciones se han lle- vado a cabo: Charkow y Nelson (2000) analizaron la correlación entre la dependencia en las relaciones y la incidencia de abusos en las citas, encontrando que las mujeres que tienen relaciones de dependencia  tienden  a  padecer  un  mayor  número  de     abusos.</w:t>
      </w:r>
    </w:p>
    <w:p>
      <w:pPr>
        <w:spacing w:after="0" w:line="247" w:lineRule="auto"/>
        <w:jc w:val="both"/>
        <w:sectPr>
          <w:headerReference w:type="default" r:id="rId421"/>
          <w:footerReference w:type="default" r:id="rId422"/>
          <w:pgSz w:w="7830" w:h="11910"/>
          <w:pgMar w:header="0" w:footer="424" w:top="500" w:bottom="620" w:left="920" w:right="900"/>
          <w:pgNumType w:start="19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5"/>
        <w:jc w:val="both"/>
      </w:pPr>
      <w:r>
        <w:rPr>
          <w:color w:val="231F20"/>
          <w:spacing w:val="2"/>
        </w:rPr>
        <w:t>Smith, White </w:t>
      </w:r>
      <w:r>
        <w:rPr>
          <w:color w:val="231F20"/>
        </w:rPr>
        <w:t>y </w:t>
      </w:r>
      <w:r>
        <w:rPr>
          <w:color w:val="231F20"/>
          <w:spacing w:val="2"/>
        </w:rPr>
        <w:t>Holland (2003) </w:t>
      </w:r>
      <w:r>
        <w:rPr>
          <w:color w:val="231F20"/>
          <w:spacing w:val="3"/>
        </w:rPr>
        <w:t>encontraron </w:t>
      </w:r>
      <w:r>
        <w:rPr>
          <w:color w:val="231F20"/>
        </w:rPr>
        <w:t>que el 88% de </w:t>
      </w:r>
      <w:r>
        <w:rPr>
          <w:color w:val="231F20"/>
          <w:spacing w:val="2"/>
        </w:rPr>
        <w:t>muje- </w:t>
      </w:r>
      <w:r>
        <w:rPr>
          <w:color w:val="231F20"/>
        </w:rPr>
        <w:t>res </w:t>
      </w:r>
      <w:r>
        <w:rPr>
          <w:color w:val="231F20"/>
          <w:spacing w:val="2"/>
        </w:rPr>
        <w:t>estudiantes había sufrido </w:t>
      </w:r>
      <w:r>
        <w:rPr>
          <w:color w:val="231F20"/>
        </w:rPr>
        <w:t>al </w:t>
      </w:r>
      <w:r>
        <w:rPr>
          <w:color w:val="231F20"/>
          <w:spacing w:val="3"/>
        </w:rPr>
        <w:t>menos </w:t>
      </w:r>
      <w:r>
        <w:rPr>
          <w:color w:val="231F20"/>
          <w:spacing w:val="2"/>
        </w:rPr>
        <w:t>algún ataque físico </w:t>
      </w:r>
      <w:r>
        <w:rPr>
          <w:color w:val="231F20"/>
        </w:rPr>
        <w:t>o </w:t>
      </w:r>
      <w:r>
        <w:rPr>
          <w:color w:val="231F20"/>
          <w:spacing w:val="3"/>
        </w:rPr>
        <w:t>sexual  </w:t>
      </w:r>
      <w:r>
        <w:rPr>
          <w:color w:val="231F20"/>
        </w:rPr>
        <w:t>y el </w:t>
      </w:r>
      <w:r>
        <w:rPr>
          <w:color w:val="231F20"/>
          <w:spacing w:val="2"/>
        </w:rPr>
        <w:t>63.5%, </w:t>
      </w:r>
      <w:r>
        <w:rPr>
          <w:color w:val="231F20"/>
          <w:spacing w:val="3"/>
        </w:rPr>
        <w:t>ambos; </w:t>
      </w:r>
      <w:r>
        <w:rPr>
          <w:color w:val="231F20"/>
          <w:spacing w:val="2"/>
        </w:rPr>
        <w:t>quienes más atacaban, eran los </w:t>
      </w:r>
      <w:r>
        <w:rPr>
          <w:color w:val="231F20"/>
          <w:spacing w:val="3"/>
        </w:rPr>
        <w:t>compañeros sentimentales. </w:t>
      </w:r>
      <w:r>
        <w:rPr>
          <w:color w:val="231F20"/>
          <w:spacing w:val="2"/>
        </w:rPr>
        <w:t>M. Straus (2004), </w:t>
      </w:r>
      <w:r>
        <w:rPr>
          <w:color w:val="231F20"/>
        </w:rPr>
        <w:t>al </w:t>
      </w:r>
      <w:r>
        <w:rPr>
          <w:color w:val="231F20"/>
          <w:spacing w:val="2"/>
        </w:rPr>
        <w:t>analizar </w:t>
      </w:r>
      <w:r>
        <w:rPr>
          <w:color w:val="231F20"/>
        </w:rPr>
        <w:t>la </w:t>
      </w:r>
      <w:r>
        <w:rPr>
          <w:color w:val="231F20"/>
          <w:spacing w:val="2"/>
        </w:rPr>
        <w:t>violencia entre jóve- nes </w:t>
      </w:r>
      <w:r>
        <w:rPr>
          <w:color w:val="231F20"/>
        </w:rPr>
        <w:t>en sus </w:t>
      </w:r>
      <w:r>
        <w:rPr>
          <w:color w:val="231F20"/>
          <w:spacing w:val="2"/>
        </w:rPr>
        <w:t>relaciones personales, </w:t>
      </w:r>
      <w:r>
        <w:rPr>
          <w:color w:val="231F20"/>
        </w:rPr>
        <w:t>en 31 </w:t>
      </w:r>
      <w:r>
        <w:rPr>
          <w:color w:val="231F20"/>
          <w:spacing w:val="2"/>
        </w:rPr>
        <w:t>universidades </w:t>
      </w:r>
      <w:r>
        <w:rPr>
          <w:color w:val="231F20"/>
        </w:rPr>
        <w:t>de 16 </w:t>
      </w:r>
      <w:r>
        <w:rPr>
          <w:color w:val="231F20"/>
          <w:spacing w:val="2"/>
        </w:rPr>
        <w:t>países, </w:t>
      </w:r>
      <w:r>
        <w:rPr>
          <w:color w:val="231F20"/>
          <w:spacing w:val="3"/>
        </w:rPr>
        <w:t>encontró </w:t>
      </w:r>
      <w:r>
        <w:rPr>
          <w:color w:val="231F20"/>
          <w:spacing w:val="2"/>
        </w:rPr>
        <w:t>que </w:t>
      </w:r>
      <w:r>
        <w:rPr>
          <w:color w:val="231F20"/>
        </w:rPr>
        <w:t>el 29% de </w:t>
      </w:r>
      <w:r>
        <w:rPr>
          <w:color w:val="231F20"/>
          <w:spacing w:val="2"/>
        </w:rPr>
        <w:t>los estudiantes habían cometido </w:t>
      </w:r>
      <w:r>
        <w:rPr>
          <w:color w:val="231F20"/>
          <w:spacing w:val="3"/>
        </w:rPr>
        <w:t>agresio- </w:t>
      </w:r>
      <w:r>
        <w:rPr>
          <w:color w:val="231F20"/>
          <w:spacing w:val="2"/>
        </w:rPr>
        <w:t>nes durante </w:t>
      </w:r>
      <w:r>
        <w:rPr>
          <w:color w:val="231F20"/>
        </w:rPr>
        <w:t>sus </w:t>
      </w:r>
      <w:r>
        <w:rPr>
          <w:color w:val="231F20"/>
          <w:spacing w:val="2"/>
        </w:rPr>
        <w:t>relaciones; este resultado variaba </w:t>
      </w:r>
      <w:r>
        <w:rPr>
          <w:color w:val="231F20"/>
        </w:rPr>
        <w:t>del 17% al </w:t>
      </w:r>
      <w:r>
        <w:rPr>
          <w:color w:val="231F20"/>
          <w:spacing w:val="2"/>
        </w:rPr>
        <w:t>45%, </w:t>
      </w:r>
      <w:r>
        <w:rPr>
          <w:color w:val="231F20"/>
          <w:spacing w:val="3"/>
        </w:rPr>
        <w:t>dependiendo </w:t>
      </w:r>
      <w:r>
        <w:rPr>
          <w:color w:val="231F20"/>
        </w:rPr>
        <w:t>de las </w:t>
      </w:r>
      <w:r>
        <w:rPr>
          <w:color w:val="231F20"/>
          <w:spacing w:val="2"/>
        </w:rPr>
        <w:t>universidades </w:t>
      </w:r>
      <w:r>
        <w:rPr>
          <w:color w:val="231F20"/>
        </w:rPr>
        <w:t>y de las </w:t>
      </w:r>
      <w:r>
        <w:rPr>
          <w:color w:val="231F20"/>
          <w:spacing w:val="2"/>
        </w:rPr>
        <w:t>agresiones, </w:t>
      </w:r>
      <w:r>
        <w:rPr>
          <w:color w:val="231F20"/>
        </w:rPr>
        <w:t>las </w:t>
      </w:r>
      <w:r>
        <w:rPr>
          <w:color w:val="231F20"/>
          <w:spacing w:val="2"/>
        </w:rPr>
        <w:t>físicas </w:t>
      </w:r>
      <w:r>
        <w:rPr>
          <w:color w:val="231F20"/>
        </w:rPr>
        <w:t>se </w:t>
      </w:r>
      <w:r>
        <w:rPr>
          <w:color w:val="231F20"/>
          <w:spacing w:val="2"/>
        </w:rPr>
        <w:t>habían </w:t>
      </w:r>
      <w:r>
        <w:rPr>
          <w:color w:val="231F20"/>
          <w:spacing w:val="3"/>
        </w:rPr>
        <w:t>presentando </w:t>
      </w:r>
      <w:r>
        <w:rPr>
          <w:color w:val="231F20"/>
        </w:rPr>
        <w:t>en </w:t>
      </w:r>
      <w:r>
        <w:rPr>
          <w:color w:val="231F20"/>
          <w:spacing w:val="2"/>
        </w:rPr>
        <w:t>tres universidades, con una tasa </w:t>
      </w:r>
      <w:r>
        <w:rPr>
          <w:color w:val="231F20"/>
        </w:rPr>
        <w:t>del 20% o </w:t>
      </w:r>
      <w:r>
        <w:rPr>
          <w:color w:val="231F20"/>
          <w:spacing w:val="2"/>
        </w:rPr>
        <w:t>más, </w:t>
      </w:r>
      <w:r>
        <w:rPr>
          <w:color w:val="231F20"/>
        </w:rPr>
        <w:t>y en las </w:t>
      </w:r>
      <w:r>
        <w:rPr>
          <w:color w:val="231F20"/>
          <w:spacing w:val="2"/>
        </w:rPr>
        <w:t>universidades con porcentajes bajos, </w:t>
      </w:r>
      <w:r>
        <w:rPr>
          <w:color w:val="231F20"/>
        </w:rPr>
        <w:t>el 4% de </w:t>
      </w:r>
      <w:r>
        <w:rPr>
          <w:color w:val="231F20"/>
          <w:spacing w:val="2"/>
        </w:rPr>
        <w:t>los estudiantes había lesionado seriamente </w:t>
      </w:r>
      <w:r>
        <w:rPr>
          <w:color w:val="231F20"/>
        </w:rPr>
        <w:t>a su </w:t>
      </w:r>
      <w:r>
        <w:rPr>
          <w:color w:val="231F20"/>
          <w:spacing w:val="2"/>
        </w:rPr>
        <w:t>pareja </w:t>
      </w:r>
      <w:r>
        <w:rPr>
          <w:color w:val="231F20"/>
        </w:rPr>
        <w:t>en el </w:t>
      </w:r>
      <w:r>
        <w:rPr>
          <w:color w:val="231F20"/>
          <w:spacing w:val="2"/>
        </w:rPr>
        <w:t>tiempo  </w:t>
      </w:r>
      <w:r>
        <w:rPr>
          <w:color w:val="231F20"/>
        </w:rPr>
        <w:t>que </w:t>
      </w:r>
      <w:r>
        <w:rPr>
          <w:color w:val="231F20"/>
          <w:spacing w:val="2"/>
        </w:rPr>
        <w:t>cubrió </w:t>
      </w:r>
      <w:r>
        <w:rPr>
          <w:color w:val="231F20"/>
        </w:rPr>
        <w:t>el </w:t>
      </w:r>
      <w:r>
        <w:rPr>
          <w:color w:val="231F20"/>
          <w:spacing w:val="2"/>
        </w:rPr>
        <w:t>estudio. Estos resultados, </w:t>
      </w:r>
      <w:r>
        <w:rPr>
          <w:color w:val="231F20"/>
          <w:spacing w:val="3"/>
        </w:rPr>
        <w:t>confirman </w:t>
      </w:r>
      <w:r>
        <w:rPr>
          <w:color w:val="231F20"/>
          <w:spacing w:val="2"/>
        </w:rPr>
        <w:t>que </w:t>
      </w:r>
      <w:r>
        <w:rPr>
          <w:color w:val="231F20"/>
        </w:rPr>
        <w:t>la </w:t>
      </w:r>
      <w:r>
        <w:rPr>
          <w:color w:val="231F20"/>
          <w:spacing w:val="2"/>
        </w:rPr>
        <w:t>violencia </w:t>
      </w:r>
      <w:r>
        <w:rPr>
          <w:color w:val="231F20"/>
        </w:rPr>
        <w:t>de </w:t>
      </w:r>
      <w:r>
        <w:rPr>
          <w:color w:val="231F20"/>
          <w:spacing w:val="2"/>
        </w:rPr>
        <w:t>género </w:t>
      </w:r>
      <w:r>
        <w:rPr>
          <w:color w:val="231F20"/>
        </w:rPr>
        <w:t>se da </w:t>
      </w:r>
      <w:r>
        <w:rPr>
          <w:color w:val="231F20"/>
          <w:spacing w:val="3"/>
        </w:rPr>
        <w:t>independiente </w:t>
      </w:r>
      <w:r>
        <w:rPr>
          <w:color w:val="231F20"/>
        </w:rPr>
        <w:t>de la </w:t>
      </w:r>
      <w:r>
        <w:rPr>
          <w:color w:val="231F20"/>
          <w:spacing w:val="2"/>
        </w:rPr>
        <w:t>edad, clase social, cultura </w:t>
      </w:r>
      <w:r>
        <w:rPr>
          <w:color w:val="231F20"/>
        </w:rPr>
        <w:t>y </w:t>
      </w:r>
      <w:r>
        <w:rPr>
          <w:color w:val="231F20"/>
          <w:spacing w:val="2"/>
        </w:rPr>
        <w:t>nivel académico, </w:t>
      </w:r>
      <w:r>
        <w:rPr>
          <w:color w:val="231F20"/>
        </w:rPr>
        <w:t>y es ya </w:t>
      </w:r>
      <w:r>
        <w:rPr>
          <w:color w:val="231F20"/>
          <w:spacing w:val="2"/>
        </w:rPr>
        <w:t>una realidad </w:t>
      </w:r>
      <w:r>
        <w:rPr>
          <w:color w:val="231F20"/>
        </w:rPr>
        <w:t>en </w:t>
      </w:r>
      <w:r>
        <w:rPr>
          <w:color w:val="231F20"/>
          <w:spacing w:val="2"/>
        </w:rPr>
        <w:t>los espacios </w:t>
      </w:r>
      <w:r>
        <w:rPr>
          <w:color w:val="231F20"/>
          <w:spacing w:val="3"/>
        </w:rPr>
        <w:t>universita- </w:t>
      </w:r>
      <w:r>
        <w:rPr>
          <w:color w:val="231F20"/>
          <w:spacing w:val="2"/>
        </w:rPr>
        <w:t>rios; </w:t>
      </w:r>
      <w:r>
        <w:rPr>
          <w:color w:val="231F20"/>
        </w:rPr>
        <w:t>sin </w:t>
      </w:r>
      <w:r>
        <w:rPr>
          <w:color w:val="231F20"/>
          <w:spacing w:val="3"/>
        </w:rPr>
        <w:t>embargo, </w:t>
      </w:r>
      <w:r>
        <w:rPr>
          <w:color w:val="231F20"/>
          <w:spacing w:val="2"/>
        </w:rPr>
        <w:t>para </w:t>
      </w:r>
      <w:r>
        <w:rPr>
          <w:color w:val="231F20"/>
        </w:rPr>
        <w:t>la </w:t>
      </w:r>
      <w:r>
        <w:rPr>
          <w:color w:val="231F20"/>
          <w:spacing w:val="3"/>
        </w:rPr>
        <w:t>comunidad </w:t>
      </w:r>
      <w:r>
        <w:rPr>
          <w:color w:val="231F20"/>
          <w:spacing w:val="2"/>
        </w:rPr>
        <w:t>universitaria, </w:t>
      </w:r>
      <w:r>
        <w:rPr>
          <w:color w:val="231F20"/>
        </w:rPr>
        <w:t>es </w:t>
      </w:r>
      <w:r>
        <w:rPr>
          <w:color w:val="231F20"/>
          <w:spacing w:val="2"/>
        </w:rPr>
        <w:t>difícil identi- ficarla</w:t>
      </w:r>
      <w:r>
        <w:rPr>
          <w:color w:val="231F20"/>
          <w:spacing w:val="-28"/>
        </w:rPr>
        <w:t> </w:t>
      </w:r>
      <w:r>
        <w:rPr>
          <w:color w:val="231F20"/>
          <w:spacing w:val="2"/>
        </w:rPr>
        <w:t>(Larena,</w:t>
      </w:r>
      <w:r>
        <w:rPr>
          <w:color w:val="231F20"/>
          <w:spacing w:val="-28"/>
        </w:rPr>
        <w:t> </w:t>
      </w:r>
      <w:r>
        <w:rPr>
          <w:color w:val="231F20"/>
          <w:spacing w:val="2"/>
        </w:rPr>
        <w:t>2010).</w:t>
      </w:r>
    </w:p>
    <w:p>
      <w:pPr>
        <w:pStyle w:val="BodyText"/>
        <w:spacing w:line="249" w:lineRule="auto"/>
        <w:ind w:left="101" w:right="114" w:firstLine="284"/>
        <w:jc w:val="both"/>
      </w:pPr>
      <w:r>
        <w:rPr>
          <w:color w:val="231F20"/>
          <w:spacing w:val="3"/>
        </w:rPr>
        <w:t>En </w:t>
      </w:r>
      <w:r>
        <w:rPr>
          <w:color w:val="231F20"/>
          <w:spacing w:val="2"/>
        </w:rPr>
        <w:t>el </w:t>
      </w:r>
      <w:r>
        <w:rPr>
          <w:color w:val="231F20"/>
          <w:spacing w:val="3"/>
        </w:rPr>
        <w:t>caso de </w:t>
      </w:r>
      <w:r>
        <w:rPr>
          <w:color w:val="231F20"/>
          <w:spacing w:val="4"/>
        </w:rPr>
        <w:t>México, dada </w:t>
      </w:r>
      <w:r>
        <w:rPr>
          <w:color w:val="231F20"/>
          <w:spacing w:val="2"/>
        </w:rPr>
        <w:t>su </w:t>
      </w:r>
      <w:r>
        <w:rPr>
          <w:color w:val="231F20"/>
          <w:spacing w:val="4"/>
        </w:rPr>
        <w:t>naturaleza, junto </w:t>
      </w:r>
      <w:r>
        <w:rPr>
          <w:color w:val="231F20"/>
        </w:rPr>
        <w:t>a </w:t>
      </w:r>
      <w:r>
        <w:rPr>
          <w:color w:val="231F20"/>
          <w:spacing w:val="5"/>
        </w:rPr>
        <w:t>tópicos  </w:t>
      </w:r>
      <w:r>
        <w:rPr>
          <w:color w:val="231F20"/>
          <w:spacing w:val="4"/>
        </w:rPr>
        <w:t>como disciplina, pasó por una suerte </w:t>
      </w:r>
      <w:r>
        <w:rPr>
          <w:color w:val="231F20"/>
          <w:spacing w:val="3"/>
        </w:rPr>
        <w:t>de </w:t>
      </w:r>
      <w:r>
        <w:rPr>
          <w:color w:val="231F20"/>
          <w:spacing w:val="5"/>
        </w:rPr>
        <w:t>abandono </w:t>
      </w:r>
      <w:r>
        <w:rPr>
          <w:color w:val="231F20"/>
          <w:spacing w:val="4"/>
        </w:rPr>
        <w:t>(hasta entra- dos </w:t>
      </w:r>
      <w:r>
        <w:rPr>
          <w:color w:val="231F20"/>
          <w:spacing w:val="3"/>
        </w:rPr>
        <w:t>los </w:t>
      </w:r>
      <w:r>
        <w:rPr>
          <w:color w:val="231F20"/>
          <w:spacing w:val="4"/>
        </w:rPr>
        <w:t>noventa), </w:t>
      </w:r>
      <w:r>
        <w:rPr>
          <w:color w:val="231F20"/>
          <w:spacing w:val="2"/>
        </w:rPr>
        <w:t>en </w:t>
      </w:r>
      <w:r>
        <w:rPr>
          <w:color w:val="231F20"/>
          <w:spacing w:val="3"/>
        </w:rPr>
        <w:t>gran </w:t>
      </w:r>
      <w:r>
        <w:rPr>
          <w:color w:val="231F20"/>
          <w:spacing w:val="4"/>
        </w:rPr>
        <w:t>medida por </w:t>
      </w:r>
      <w:r>
        <w:rPr>
          <w:color w:val="231F20"/>
          <w:spacing w:val="5"/>
        </w:rPr>
        <w:t>incomodidad </w:t>
      </w:r>
      <w:r>
        <w:rPr>
          <w:color w:val="231F20"/>
        </w:rPr>
        <w:t>y </w:t>
      </w:r>
      <w:r>
        <w:rPr>
          <w:color w:val="231F20"/>
          <w:spacing w:val="4"/>
        </w:rPr>
        <w:t>molestia </w:t>
      </w:r>
      <w:r>
        <w:rPr>
          <w:color w:val="231F20"/>
          <w:spacing w:val="6"/>
        </w:rPr>
        <w:t>de </w:t>
      </w:r>
      <w:r>
        <w:rPr>
          <w:color w:val="231F20"/>
          <w:spacing w:val="4"/>
        </w:rPr>
        <w:t>muchos colegas (Furlan, 2003). </w:t>
      </w:r>
      <w:r>
        <w:rPr>
          <w:color w:val="231F20"/>
          <w:spacing w:val="3"/>
        </w:rPr>
        <w:t>Un </w:t>
      </w:r>
      <w:r>
        <w:rPr>
          <w:color w:val="231F20"/>
          <w:spacing w:val="4"/>
        </w:rPr>
        <w:t>primer balance </w:t>
      </w:r>
      <w:r>
        <w:rPr>
          <w:color w:val="231F20"/>
        </w:rPr>
        <w:t>a </w:t>
      </w:r>
      <w:r>
        <w:rPr>
          <w:color w:val="231F20"/>
          <w:spacing w:val="2"/>
        </w:rPr>
        <w:t>su </w:t>
      </w:r>
      <w:r>
        <w:rPr>
          <w:color w:val="231F20"/>
          <w:spacing w:val="5"/>
        </w:rPr>
        <w:t>produc- </w:t>
      </w:r>
      <w:r>
        <w:rPr>
          <w:color w:val="231F20"/>
          <w:spacing w:val="4"/>
        </w:rPr>
        <w:t>ción, </w:t>
      </w:r>
      <w:r>
        <w:rPr>
          <w:color w:val="231F20"/>
          <w:spacing w:val="2"/>
        </w:rPr>
        <w:t>se </w:t>
      </w:r>
      <w:r>
        <w:rPr>
          <w:color w:val="231F20"/>
          <w:spacing w:val="4"/>
        </w:rPr>
        <w:t>observa </w:t>
      </w:r>
      <w:r>
        <w:rPr>
          <w:color w:val="231F20"/>
          <w:spacing w:val="2"/>
        </w:rPr>
        <w:t>en  </w:t>
      </w:r>
      <w:r>
        <w:rPr>
          <w:color w:val="231F20"/>
          <w:spacing w:val="3"/>
        </w:rPr>
        <w:t>los </w:t>
      </w:r>
      <w:r>
        <w:rPr>
          <w:color w:val="231F20"/>
          <w:spacing w:val="4"/>
        </w:rPr>
        <w:t>estados </w:t>
      </w:r>
      <w:r>
        <w:rPr>
          <w:color w:val="231F20"/>
          <w:spacing w:val="3"/>
        </w:rPr>
        <w:t>del </w:t>
      </w:r>
      <w:r>
        <w:rPr>
          <w:color w:val="231F20"/>
          <w:spacing w:val="4"/>
        </w:rPr>
        <w:t>conocimiento </w:t>
      </w:r>
      <w:r>
        <w:rPr>
          <w:color w:val="231F20"/>
          <w:spacing w:val="5"/>
        </w:rPr>
        <w:t>(COMIE), </w:t>
      </w:r>
      <w:r>
        <w:rPr>
          <w:color w:val="231F20"/>
          <w:spacing w:val="6"/>
        </w:rPr>
        <w:t>de</w:t>
      </w:r>
      <w:r>
        <w:rPr>
          <w:color w:val="231F20"/>
          <w:spacing w:val="64"/>
        </w:rPr>
        <w:t> </w:t>
      </w:r>
      <w:r>
        <w:rPr>
          <w:color w:val="231F20"/>
          <w:spacing w:val="3"/>
        </w:rPr>
        <w:t>los </w:t>
      </w:r>
      <w:r>
        <w:rPr>
          <w:color w:val="231F20"/>
          <w:spacing w:val="4"/>
        </w:rPr>
        <w:t>años ochenta </w:t>
      </w:r>
      <w:r>
        <w:rPr>
          <w:color w:val="231F20"/>
          <w:spacing w:val="3"/>
        </w:rPr>
        <w:t>del siglo </w:t>
      </w:r>
      <w:r>
        <w:rPr>
          <w:color w:val="231F20"/>
          <w:spacing w:val="4"/>
        </w:rPr>
        <w:t>XX, </w:t>
      </w:r>
      <w:r>
        <w:rPr>
          <w:color w:val="231F20"/>
          <w:spacing w:val="2"/>
        </w:rPr>
        <w:t>al </w:t>
      </w:r>
      <w:r>
        <w:rPr>
          <w:color w:val="231F20"/>
          <w:spacing w:val="4"/>
        </w:rPr>
        <w:t>calificarla </w:t>
      </w:r>
      <w:r>
        <w:rPr>
          <w:color w:val="231F20"/>
          <w:spacing w:val="3"/>
        </w:rPr>
        <w:t>de </w:t>
      </w:r>
      <w:r>
        <w:rPr>
          <w:color w:val="231F20"/>
          <w:spacing w:val="4"/>
        </w:rPr>
        <w:t>dispersa </w:t>
      </w:r>
      <w:r>
        <w:rPr>
          <w:color w:val="231F20"/>
        </w:rPr>
        <w:t>y </w:t>
      </w:r>
      <w:r>
        <w:rPr>
          <w:color w:val="231F20"/>
          <w:spacing w:val="5"/>
        </w:rPr>
        <w:t>subor- </w:t>
      </w:r>
      <w:r>
        <w:rPr>
          <w:color w:val="231F20"/>
          <w:spacing w:val="4"/>
        </w:rPr>
        <w:t>dinada </w:t>
      </w:r>
      <w:r>
        <w:rPr>
          <w:color w:val="231F20"/>
        </w:rPr>
        <w:t>a </w:t>
      </w:r>
      <w:r>
        <w:rPr>
          <w:color w:val="231F20"/>
          <w:spacing w:val="4"/>
        </w:rPr>
        <w:t>otras problemáticas. Diez </w:t>
      </w:r>
      <w:r>
        <w:rPr>
          <w:color w:val="231F20"/>
          <w:spacing w:val="3"/>
        </w:rPr>
        <w:t>años </w:t>
      </w:r>
      <w:r>
        <w:rPr>
          <w:color w:val="231F20"/>
          <w:spacing w:val="4"/>
        </w:rPr>
        <w:t>después, </w:t>
      </w:r>
      <w:r>
        <w:rPr>
          <w:color w:val="231F20"/>
          <w:spacing w:val="2"/>
        </w:rPr>
        <w:t>el </w:t>
      </w:r>
      <w:r>
        <w:rPr>
          <w:color w:val="231F20"/>
          <w:spacing w:val="4"/>
        </w:rPr>
        <w:t>tema </w:t>
      </w:r>
      <w:r>
        <w:rPr>
          <w:color w:val="231F20"/>
          <w:spacing w:val="3"/>
        </w:rPr>
        <w:t>de </w:t>
      </w:r>
      <w:r>
        <w:rPr>
          <w:color w:val="231F20"/>
          <w:spacing w:val="4"/>
        </w:rPr>
        <w:t>violencia, </w:t>
      </w:r>
      <w:r>
        <w:rPr>
          <w:color w:val="231F20"/>
          <w:spacing w:val="3"/>
        </w:rPr>
        <w:t>junto </w:t>
      </w:r>
      <w:r>
        <w:rPr>
          <w:color w:val="231F20"/>
        </w:rPr>
        <w:t>a </w:t>
      </w:r>
      <w:r>
        <w:rPr>
          <w:color w:val="231F20"/>
          <w:spacing w:val="4"/>
        </w:rPr>
        <w:t>disciplina, convivencia, indisciplina </w:t>
      </w:r>
      <w:r>
        <w:rPr>
          <w:color w:val="231F20"/>
        </w:rPr>
        <w:t>e </w:t>
      </w:r>
      <w:r>
        <w:rPr>
          <w:color w:val="231F20"/>
          <w:spacing w:val="4"/>
        </w:rPr>
        <w:t>incivili- dades, más otros, abre </w:t>
      </w:r>
      <w:r>
        <w:rPr>
          <w:color w:val="231F20"/>
          <w:spacing w:val="2"/>
        </w:rPr>
        <w:t>un </w:t>
      </w:r>
      <w:r>
        <w:rPr>
          <w:color w:val="231F20"/>
          <w:spacing w:val="4"/>
        </w:rPr>
        <w:t>nuevo </w:t>
      </w:r>
      <w:r>
        <w:rPr>
          <w:color w:val="231F20"/>
          <w:spacing w:val="5"/>
        </w:rPr>
        <w:t>campo, </w:t>
      </w:r>
      <w:r>
        <w:rPr>
          <w:color w:val="231F20"/>
          <w:spacing w:val="4"/>
        </w:rPr>
        <w:t>“denso </w:t>
      </w:r>
      <w:r>
        <w:rPr>
          <w:color w:val="231F20"/>
        </w:rPr>
        <w:t>y </w:t>
      </w:r>
      <w:r>
        <w:rPr>
          <w:color w:val="231F20"/>
          <w:spacing w:val="4"/>
        </w:rPr>
        <w:t>plagado </w:t>
      </w:r>
      <w:r>
        <w:rPr>
          <w:color w:val="231F20"/>
          <w:spacing w:val="6"/>
        </w:rPr>
        <w:t>de</w:t>
      </w:r>
      <w:r>
        <w:rPr>
          <w:color w:val="231F20"/>
          <w:spacing w:val="64"/>
        </w:rPr>
        <w:t> </w:t>
      </w:r>
      <w:r>
        <w:rPr>
          <w:color w:val="231F20"/>
          <w:spacing w:val="4"/>
        </w:rPr>
        <w:t>tensiones, </w:t>
      </w:r>
      <w:r>
        <w:rPr>
          <w:color w:val="231F20"/>
          <w:spacing w:val="3"/>
        </w:rPr>
        <w:t>que </w:t>
      </w:r>
      <w:r>
        <w:rPr>
          <w:color w:val="231F20"/>
          <w:spacing w:val="4"/>
        </w:rPr>
        <w:t>crispa tanto </w:t>
      </w:r>
      <w:r>
        <w:rPr>
          <w:color w:val="231F20"/>
        </w:rPr>
        <w:t>a </w:t>
      </w:r>
      <w:r>
        <w:rPr>
          <w:color w:val="231F20"/>
          <w:spacing w:val="3"/>
        </w:rPr>
        <w:t>los </w:t>
      </w:r>
      <w:r>
        <w:rPr>
          <w:color w:val="231F20"/>
          <w:spacing w:val="4"/>
        </w:rPr>
        <w:t>prácticos como </w:t>
      </w:r>
      <w:r>
        <w:rPr>
          <w:color w:val="231F20"/>
        </w:rPr>
        <w:t>a </w:t>
      </w:r>
      <w:r>
        <w:rPr>
          <w:color w:val="231F20"/>
          <w:spacing w:val="3"/>
        </w:rPr>
        <w:t>los que </w:t>
      </w:r>
      <w:r>
        <w:rPr>
          <w:color w:val="231F20"/>
          <w:spacing w:val="5"/>
        </w:rPr>
        <w:t>inten- </w:t>
      </w:r>
      <w:r>
        <w:rPr>
          <w:color w:val="231F20"/>
          <w:spacing w:val="3"/>
        </w:rPr>
        <w:t>tan </w:t>
      </w:r>
      <w:r>
        <w:rPr>
          <w:color w:val="231F20"/>
          <w:spacing w:val="4"/>
        </w:rPr>
        <w:t>construir teorías” (Furlan, 2003). Particularmente, aparecen reseñadas investigaciones, </w:t>
      </w:r>
      <w:r>
        <w:rPr>
          <w:color w:val="231F20"/>
          <w:spacing w:val="3"/>
        </w:rPr>
        <w:t>que </w:t>
      </w:r>
      <w:r>
        <w:rPr>
          <w:color w:val="231F20"/>
          <w:spacing w:val="4"/>
        </w:rPr>
        <w:t>abordan </w:t>
      </w:r>
      <w:r>
        <w:rPr>
          <w:color w:val="231F20"/>
          <w:spacing w:val="2"/>
        </w:rPr>
        <w:t>la </w:t>
      </w:r>
      <w:r>
        <w:rPr>
          <w:color w:val="231F20"/>
          <w:spacing w:val="4"/>
        </w:rPr>
        <w:t>temática </w:t>
      </w:r>
      <w:r>
        <w:rPr>
          <w:color w:val="231F20"/>
          <w:spacing w:val="3"/>
        </w:rPr>
        <w:t>de </w:t>
      </w:r>
      <w:r>
        <w:rPr>
          <w:color w:val="231F20"/>
          <w:spacing w:val="4"/>
        </w:rPr>
        <w:t>violencia </w:t>
      </w:r>
      <w:r>
        <w:rPr>
          <w:color w:val="231F20"/>
          <w:spacing w:val="2"/>
        </w:rPr>
        <w:t>en </w:t>
      </w:r>
      <w:r>
        <w:rPr>
          <w:color w:val="231F20"/>
          <w:spacing w:val="4"/>
        </w:rPr>
        <w:t>poblaciones escolares </w:t>
      </w:r>
      <w:r>
        <w:rPr>
          <w:color w:val="231F20"/>
          <w:spacing w:val="3"/>
        </w:rPr>
        <w:t>de </w:t>
      </w:r>
      <w:r>
        <w:rPr>
          <w:color w:val="231F20"/>
          <w:spacing w:val="4"/>
        </w:rPr>
        <w:t>nivel primario </w:t>
      </w:r>
      <w:r>
        <w:rPr>
          <w:color w:val="231F20"/>
        </w:rPr>
        <w:t>y </w:t>
      </w:r>
      <w:r>
        <w:rPr>
          <w:color w:val="231F20"/>
          <w:spacing w:val="4"/>
        </w:rPr>
        <w:t>medio </w:t>
      </w:r>
      <w:r>
        <w:rPr>
          <w:color w:val="231F20"/>
          <w:spacing w:val="5"/>
        </w:rPr>
        <w:t>superior (Gómez </w:t>
      </w:r>
      <w:r>
        <w:rPr>
          <w:color w:val="231F20"/>
          <w:spacing w:val="4"/>
        </w:rPr>
        <w:t>Nashiki, 1996; Corona </w:t>
      </w:r>
      <w:r>
        <w:rPr>
          <w:color w:val="231F20"/>
          <w:spacing w:val="5"/>
        </w:rPr>
        <w:t>Gómez, </w:t>
      </w:r>
      <w:r>
        <w:rPr>
          <w:color w:val="231F20"/>
          <w:spacing w:val="4"/>
        </w:rPr>
        <w:t>2002, </w:t>
      </w:r>
      <w:r>
        <w:rPr>
          <w:color w:val="231F20"/>
        </w:rPr>
        <w:t>y </w:t>
      </w:r>
      <w:r>
        <w:rPr>
          <w:color w:val="231F20"/>
          <w:spacing w:val="4"/>
        </w:rPr>
        <w:t>Palacios Abreu, 2001), </w:t>
      </w:r>
      <w:r>
        <w:rPr>
          <w:color w:val="231F20"/>
        </w:rPr>
        <w:t>y </w:t>
      </w:r>
      <w:r>
        <w:rPr>
          <w:color w:val="231F20"/>
          <w:spacing w:val="4"/>
        </w:rPr>
        <w:t>ninguna </w:t>
      </w:r>
      <w:r>
        <w:rPr>
          <w:color w:val="231F20"/>
          <w:spacing w:val="2"/>
        </w:rPr>
        <w:t>en el </w:t>
      </w:r>
      <w:r>
        <w:rPr>
          <w:color w:val="231F20"/>
          <w:spacing w:val="3"/>
        </w:rPr>
        <w:t>nivel</w:t>
      </w:r>
      <w:r>
        <w:rPr>
          <w:color w:val="231F20"/>
          <w:spacing w:val="-14"/>
        </w:rPr>
        <w:t> </w:t>
      </w:r>
      <w:r>
        <w:rPr>
          <w:color w:val="231F20"/>
          <w:spacing w:val="4"/>
        </w:rPr>
        <w:t>superior.</w:t>
      </w:r>
    </w:p>
    <w:p>
      <w:pPr>
        <w:pStyle w:val="BodyText"/>
        <w:rPr>
          <w:sz w:val="22"/>
        </w:rPr>
      </w:pPr>
    </w:p>
    <w:p>
      <w:pPr>
        <w:pStyle w:val="BodyText"/>
        <w:spacing w:before="3"/>
      </w:pPr>
    </w:p>
    <w:p>
      <w:pPr>
        <w:pStyle w:val="BodyText"/>
        <w:spacing w:line="247" w:lineRule="auto" w:before="1"/>
        <w:ind w:left="101" w:right="118" w:hanging="1"/>
        <w:jc w:val="both"/>
      </w:pPr>
      <w:r>
        <w:rPr>
          <w:color w:val="231F20"/>
          <w:w w:val="105"/>
        </w:rPr>
        <w:t>ESTUDIOS DE PERCEPCIÓN SOBRE VIOLENCIA Y MAL- TRATO EN EL ÁREA DE LA SALUD</w:t>
      </w:r>
    </w:p>
    <w:p>
      <w:pPr>
        <w:pStyle w:val="BodyText"/>
        <w:spacing w:before="6"/>
        <w:rPr>
          <w:sz w:val="20"/>
        </w:rPr>
      </w:pPr>
    </w:p>
    <w:p>
      <w:pPr>
        <w:pStyle w:val="BodyText"/>
        <w:spacing w:line="244" w:lineRule="auto"/>
        <w:ind w:left="101" w:right="114"/>
        <w:jc w:val="both"/>
      </w:pPr>
      <w:r>
        <w:rPr>
          <w:color w:val="231F20"/>
          <w:spacing w:val="3"/>
        </w:rPr>
        <w:t>Particularmente, </w:t>
      </w:r>
      <w:r>
        <w:rPr>
          <w:color w:val="231F20"/>
        </w:rPr>
        <w:t>en el </w:t>
      </w:r>
      <w:r>
        <w:rPr>
          <w:color w:val="231F20"/>
          <w:spacing w:val="2"/>
        </w:rPr>
        <w:t>área médica </w:t>
      </w:r>
      <w:r>
        <w:rPr>
          <w:color w:val="231F20"/>
        </w:rPr>
        <w:t>un </w:t>
      </w:r>
      <w:r>
        <w:rPr>
          <w:color w:val="231F20"/>
          <w:spacing w:val="3"/>
        </w:rPr>
        <w:t>número </w:t>
      </w:r>
      <w:r>
        <w:rPr>
          <w:color w:val="231F20"/>
          <w:spacing w:val="2"/>
        </w:rPr>
        <w:t>cada </w:t>
      </w:r>
      <w:r>
        <w:rPr>
          <w:color w:val="231F20"/>
        </w:rPr>
        <w:t>vez </w:t>
      </w:r>
      <w:r>
        <w:rPr>
          <w:color w:val="231F20"/>
          <w:spacing w:val="2"/>
        </w:rPr>
        <w:t>creciente  </w:t>
      </w:r>
      <w:r>
        <w:rPr>
          <w:color w:val="231F20"/>
        </w:rPr>
        <w:t>de </w:t>
      </w:r>
      <w:r>
        <w:rPr>
          <w:color w:val="231F20"/>
          <w:spacing w:val="2"/>
        </w:rPr>
        <w:t>investigaciones </w:t>
      </w:r>
      <w:r>
        <w:rPr>
          <w:color w:val="231F20"/>
        </w:rPr>
        <w:t>ha </w:t>
      </w:r>
      <w:r>
        <w:rPr>
          <w:color w:val="231F20"/>
          <w:spacing w:val="3"/>
        </w:rPr>
        <w:t>enfocado </w:t>
      </w:r>
      <w:r>
        <w:rPr>
          <w:color w:val="231F20"/>
          <w:spacing w:val="2"/>
        </w:rPr>
        <w:t>diversas cuestiones, </w:t>
      </w:r>
      <w:r>
        <w:rPr>
          <w:color w:val="231F20"/>
          <w:spacing w:val="3"/>
        </w:rPr>
        <w:t>relacionadas </w:t>
      </w:r>
      <w:r>
        <w:rPr>
          <w:color w:val="231F20"/>
          <w:spacing w:val="2"/>
        </w:rPr>
        <w:t>con  </w:t>
      </w:r>
      <w:r>
        <w:rPr>
          <w:color w:val="231F20"/>
          <w:spacing w:val="3"/>
        </w:rPr>
        <w:t>hechos </w:t>
      </w:r>
      <w:r>
        <w:rPr>
          <w:color w:val="231F20"/>
        </w:rPr>
        <w:t>de  </w:t>
      </w:r>
      <w:r>
        <w:rPr>
          <w:color w:val="231F20"/>
          <w:spacing w:val="2"/>
        </w:rPr>
        <w:t>abuso  </w:t>
      </w:r>
      <w:r>
        <w:rPr>
          <w:color w:val="231F20"/>
        </w:rPr>
        <w:t>y  </w:t>
      </w:r>
      <w:r>
        <w:rPr>
          <w:color w:val="231F20"/>
          <w:spacing w:val="2"/>
        </w:rPr>
        <w:t>maltrato  (abuso  sexual, acoso,</w:t>
      </w:r>
      <w:r>
        <w:rPr>
          <w:color w:val="231F20"/>
          <w:spacing w:val="29"/>
        </w:rPr>
        <w:t> </w:t>
      </w:r>
      <w:r>
        <w:rPr>
          <w:color w:val="231F20"/>
          <w:spacing w:val="3"/>
        </w:rPr>
        <w:t>maltrato,</w:t>
      </w:r>
    </w:p>
    <w:p>
      <w:pPr>
        <w:spacing w:after="0" w:line="244" w:lineRule="auto"/>
        <w:jc w:val="both"/>
        <w:sectPr>
          <w:headerReference w:type="default" r:id="rId423"/>
          <w:footerReference w:type="default" r:id="rId424"/>
          <w:pgSz w:w="7830" w:h="11910"/>
          <w:pgMar w:header="0" w:footer="424" w:top="500" w:bottom="620" w:left="920" w:right="900"/>
          <w:pgNumType w:start="19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1" w:right="117"/>
        <w:jc w:val="both"/>
      </w:pPr>
      <w:r>
        <w:rPr>
          <w:color w:val="231F20"/>
          <w:spacing w:val="2"/>
        </w:rPr>
        <w:t>discriminación), que </w:t>
      </w:r>
      <w:r>
        <w:rPr>
          <w:color w:val="231F20"/>
        </w:rPr>
        <w:t>se </w:t>
      </w:r>
      <w:r>
        <w:rPr>
          <w:color w:val="231F20"/>
          <w:spacing w:val="2"/>
        </w:rPr>
        <w:t>presentan </w:t>
      </w:r>
      <w:r>
        <w:rPr>
          <w:color w:val="231F20"/>
        </w:rPr>
        <w:t>de </w:t>
      </w:r>
      <w:r>
        <w:rPr>
          <w:color w:val="231F20"/>
          <w:spacing w:val="3"/>
        </w:rPr>
        <w:t>manera </w:t>
      </w:r>
      <w:r>
        <w:rPr>
          <w:color w:val="231F20"/>
          <w:spacing w:val="2"/>
        </w:rPr>
        <w:t>recurrente, </w:t>
      </w:r>
      <w:r>
        <w:rPr>
          <w:color w:val="231F20"/>
        </w:rPr>
        <w:t>en las </w:t>
      </w:r>
      <w:r>
        <w:rPr>
          <w:color w:val="231F20"/>
          <w:spacing w:val="2"/>
        </w:rPr>
        <w:t>escuelas </w:t>
      </w:r>
      <w:r>
        <w:rPr>
          <w:color w:val="231F20"/>
        </w:rPr>
        <w:t>y </w:t>
      </w:r>
      <w:r>
        <w:rPr>
          <w:color w:val="231F20"/>
          <w:spacing w:val="2"/>
        </w:rPr>
        <w:t>facultades </w:t>
      </w:r>
      <w:r>
        <w:rPr>
          <w:color w:val="231F20"/>
        </w:rPr>
        <w:t>de </w:t>
      </w:r>
      <w:r>
        <w:rPr>
          <w:color w:val="231F20"/>
          <w:spacing w:val="2"/>
        </w:rPr>
        <w:t>medicina, clínicas </w:t>
      </w:r>
      <w:r>
        <w:rPr>
          <w:color w:val="231F20"/>
        </w:rPr>
        <w:t>u </w:t>
      </w:r>
      <w:r>
        <w:rPr>
          <w:color w:val="231F20"/>
          <w:spacing w:val="2"/>
        </w:rPr>
        <w:t>hospitales. Estos </w:t>
      </w:r>
      <w:r>
        <w:rPr>
          <w:color w:val="231F20"/>
        </w:rPr>
        <w:t>he- </w:t>
      </w:r>
      <w:r>
        <w:rPr>
          <w:color w:val="231F20"/>
          <w:spacing w:val="2"/>
        </w:rPr>
        <w:t>chos tienen que </w:t>
      </w:r>
      <w:r>
        <w:rPr>
          <w:color w:val="231F20"/>
        </w:rPr>
        <w:t>ver </w:t>
      </w:r>
      <w:r>
        <w:rPr>
          <w:color w:val="231F20"/>
          <w:spacing w:val="2"/>
        </w:rPr>
        <w:t>con estudiantes </w:t>
      </w:r>
      <w:r>
        <w:rPr>
          <w:color w:val="231F20"/>
        </w:rPr>
        <w:t>de </w:t>
      </w:r>
      <w:r>
        <w:rPr>
          <w:color w:val="231F20"/>
          <w:spacing w:val="2"/>
        </w:rPr>
        <w:t>medicina </w:t>
      </w:r>
      <w:r>
        <w:rPr>
          <w:color w:val="231F20"/>
        </w:rPr>
        <w:t>a </w:t>
      </w:r>
      <w:r>
        <w:rPr>
          <w:color w:val="231F20"/>
          <w:spacing w:val="2"/>
        </w:rPr>
        <w:t>nivel </w:t>
      </w:r>
      <w:r>
        <w:rPr>
          <w:color w:val="231F20"/>
        </w:rPr>
        <w:t>de </w:t>
      </w:r>
      <w:r>
        <w:rPr>
          <w:color w:val="231F20"/>
          <w:spacing w:val="2"/>
        </w:rPr>
        <w:t>pre- grado (incluido </w:t>
      </w:r>
      <w:r>
        <w:rPr>
          <w:color w:val="231F20"/>
        </w:rPr>
        <w:t>el </w:t>
      </w:r>
      <w:r>
        <w:rPr>
          <w:color w:val="231F20"/>
          <w:spacing w:val="2"/>
        </w:rPr>
        <w:t>periodo </w:t>
      </w:r>
      <w:r>
        <w:rPr>
          <w:color w:val="231F20"/>
        </w:rPr>
        <w:t>de </w:t>
      </w:r>
      <w:r>
        <w:rPr>
          <w:color w:val="231F20"/>
          <w:spacing w:val="2"/>
        </w:rPr>
        <w:t>internado rotatorio), </w:t>
      </w:r>
      <w:r>
        <w:rPr>
          <w:color w:val="231F20"/>
        </w:rPr>
        <w:t>o  </w:t>
      </w:r>
      <w:r>
        <w:rPr>
          <w:color w:val="231F20"/>
          <w:spacing w:val="2"/>
        </w:rPr>
        <w:t>posgrado </w:t>
      </w:r>
      <w:r>
        <w:rPr>
          <w:color w:val="231F20"/>
        </w:rPr>
        <w:t>en  su </w:t>
      </w:r>
      <w:r>
        <w:rPr>
          <w:color w:val="231F20"/>
          <w:spacing w:val="2"/>
        </w:rPr>
        <w:t>calidad </w:t>
      </w:r>
      <w:r>
        <w:rPr>
          <w:color w:val="231F20"/>
        </w:rPr>
        <w:t>de </w:t>
      </w:r>
      <w:r>
        <w:rPr>
          <w:color w:val="231F20"/>
          <w:spacing w:val="2"/>
        </w:rPr>
        <w:t>residentes </w:t>
      </w:r>
      <w:r>
        <w:rPr>
          <w:color w:val="231F20"/>
        </w:rPr>
        <w:t>en </w:t>
      </w:r>
      <w:r>
        <w:rPr>
          <w:color w:val="231F20"/>
          <w:spacing w:val="2"/>
        </w:rPr>
        <w:t>alguna </w:t>
      </w:r>
      <w:r>
        <w:rPr>
          <w:color w:val="231F20"/>
        </w:rPr>
        <w:t>de las </w:t>
      </w:r>
      <w:r>
        <w:rPr>
          <w:color w:val="231F20"/>
          <w:spacing w:val="2"/>
        </w:rPr>
        <w:t>especialidades. Hasta  antes </w:t>
      </w:r>
      <w:r>
        <w:rPr>
          <w:color w:val="231F20"/>
        </w:rPr>
        <w:t>de la </w:t>
      </w:r>
      <w:r>
        <w:rPr>
          <w:color w:val="231F20"/>
          <w:spacing w:val="2"/>
        </w:rPr>
        <w:t>década </w:t>
      </w:r>
      <w:r>
        <w:rPr>
          <w:color w:val="231F20"/>
        </w:rPr>
        <w:t>de </w:t>
      </w:r>
      <w:r>
        <w:rPr>
          <w:color w:val="231F20"/>
          <w:spacing w:val="2"/>
        </w:rPr>
        <w:t>los </w:t>
      </w:r>
      <w:r>
        <w:rPr>
          <w:color w:val="231F20"/>
          <w:spacing w:val="3"/>
        </w:rPr>
        <w:t>ochenta </w:t>
      </w:r>
      <w:r>
        <w:rPr>
          <w:color w:val="231F20"/>
          <w:spacing w:val="2"/>
        </w:rPr>
        <w:t>(siglo </w:t>
      </w:r>
      <w:r>
        <w:rPr>
          <w:color w:val="231F20"/>
          <w:spacing w:val="3"/>
        </w:rPr>
        <w:t>pasado), </w:t>
      </w:r>
      <w:r>
        <w:rPr>
          <w:color w:val="231F20"/>
          <w:spacing w:val="2"/>
        </w:rPr>
        <w:t>diversos autores, </w:t>
      </w:r>
      <w:r>
        <w:rPr>
          <w:color w:val="231F20"/>
          <w:spacing w:val="3"/>
        </w:rPr>
        <w:t>como </w:t>
      </w:r>
      <w:r>
        <w:rPr>
          <w:color w:val="231F20"/>
          <w:spacing w:val="2"/>
        </w:rPr>
        <w:t>Boyle </w:t>
      </w:r>
      <w:r>
        <w:rPr>
          <w:color w:val="231F20"/>
        </w:rPr>
        <w:t>&amp; </w:t>
      </w:r>
      <w:r>
        <w:rPr>
          <w:color w:val="231F20"/>
          <w:spacing w:val="3"/>
        </w:rPr>
        <w:t>Coombs </w:t>
      </w:r>
      <w:r>
        <w:rPr>
          <w:color w:val="231F20"/>
          <w:spacing w:val="2"/>
        </w:rPr>
        <w:t>(1974), </w:t>
      </w:r>
      <w:r>
        <w:rPr>
          <w:color w:val="231F20"/>
        </w:rPr>
        <w:t>P. </w:t>
      </w:r>
      <w:r>
        <w:rPr>
          <w:color w:val="231F20"/>
          <w:spacing w:val="2"/>
        </w:rPr>
        <w:t>Vitaliano, </w:t>
      </w:r>
      <w:r>
        <w:rPr>
          <w:color w:val="231F20"/>
        </w:rPr>
        <w:t>et al. </w:t>
      </w:r>
      <w:r>
        <w:rPr>
          <w:color w:val="231F20"/>
          <w:spacing w:val="2"/>
        </w:rPr>
        <w:t>(1989), habían descrito diversas fuentes que originaban los estados </w:t>
      </w:r>
      <w:r>
        <w:rPr>
          <w:color w:val="231F20"/>
        </w:rPr>
        <w:t>de </w:t>
      </w:r>
      <w:r>
        <w:rPr>
          <w:color w:val="231F20"/>
          <w:spacing w:val="2"/>
        </w:rPr>
        <w:t>estrés que </w:t>
      </w:r>
      <w:r>
        <w:rPr>
          <w:color w:val="231F20"/>
          <w:spacing w:val="3"/>
        </w:rPr>
        <w:t>experimentaban </w:t>
      </w:r>
      <w:r>
        <w:rPr>
          <w:color w:val="231F20"/>
          <w:spacing w:val="2"/>
        </w:rPr>
        <w:t>los estudiantes </w:t>
      </w:r>
      <w:r>
        <w:rPr>
          <w:color w:val="231F20"/>
          <w:spacing w:val="3"/>
        </w:rPr>
        <w:t>durante </w:t>
      </w:r>
      <w:r>
        <w:rPr>
          <w:color w:val="231F20"/>
        </w:rPr>
        <w:t>su </w:t>
      </w:r>
      <w:r>
        <w:rPr>
          <w:color w:val="231F20"/>
          <w:spacing w:val="3"/>
        </w:rPr>
        <w:t>formación </w:t>
      </w:r>
      <w:r>
        <w:rPr>
          <w:color w:val="231F20"/>
          <w:spacing w:val="2"/>
        </w:rPr>
        <w:t>profesional. Grant </w:t>
      </w:r>
      <w:r>
        <w:rPr>
          <w:color w:val="231F20"/>
        </w:rPr>
        <w:t>&amp; </w:t>
      </w:r>
      <w:r>
        <w:rPr>
          <w:color w:val="231F20"/>
          <w:spacing w:val="2"/>
        </w:rPr>
        <w:t>Marsden (1988) daban cuenta del </w:t>
      </w:r>
      <w:r>
        <w:rPr>
          <w:color w:val="231F20"/>
          <w:spacing w:val="3"/>
        </w:rPr>
        <w:t>conocimiento </w:t>
      </w:r>
      <w:r>
        <w:rPr>
          <w:color w:val="231F20"/>
          <w:spacing w:val="2"/>
        </w:rPr>
        <w:t>entre estudiantes </w:t>
      </w:r>
      <w:r>
        <w:rPr>
          <w:color w:val="231F20"/>
        </w:rPr>
        <w:t>de </w:t>
      </w:r>
      <w:r>
        <w:rPr>
          <w:color w:val="231F20"/>
          <w:spacing w:val="2"/>
        </w:rPr>
        <w:t>primer año </w:t>
      </w:r>
      <w:r>
        <w:rPr>
          <w:color w:val="231F20"/>
        </w:rPr>
        <w:t>y </w:t>
      </w:r>
      <w:r>
        <w:rPr>
          <w:color w:val="231F20"/>
          <w:spacing w:val="2"/>
        </w:rPr>
        <w:t>los clínicos </w:t>
      </w:r>
      <w:r>
        <w:rPr>
          <w:color w:val="231F20"/>
        </w:rPr>
        <w:t>en la </w:t>
      </w:r>
      <w:r>
        <w:rPr>
          <w:color w:val="231F20"/>
          <w:spacing w:val="2"/>
        </w:rPr>
        <w:t>solución </w:t>
      </w:r>
      <w:r>
        <w:rPr>
          <w:color w:val="231F20"/>
        </w:rPr>
        <w:t>de </w:t>
      </w:r>
      <w:r>
        <w:rPr>
          <w:color w:val="231F20"/>
          <w:spacing w:val="2"/>
        </w:rPr>
        <w:t>cuatro </w:t>
      </w:r>
      <w:r>
        <w:rPr>
          <w:color w:val="231F20"/>
          <w:spacing w:val="3"/>
        </w:rPr>
        <w:t>problemas </w:t>
      </w:r>
      <w:r>
        <w:rPr>
          <w:color w:val="231F20"/>
        </w:rPr>
        <w:t>de la </w:t>
      </w:r>
      <w:r>
        <w:rPr>
          <w:color w:val="231F20"/>
          <w:spacing w:val="2"/>
        </w:rPr>
        <w:t>medicina general. </w:t>
      </w:r>
      <w:r>
        <w:rPr>
          <w:color w:val="231F20"/>
        </w:rPr>
        <w:t>El </w:t>
      </w:r>
      <w:r>
        <w:rPr>
          <w:color w:val="231F20"/>
          <w:spacing w:val="2"/>
        </w:rPr>
        <w:t>abuso </w:t>
      </w:r>
      <w:r>
        <w:rPr>
          <w:color w:val="231F20"/>
        </w:rPr>
        <w:t>y </w:t>
      </w:r>
      <w:r>
        <w:rPr>
          <w:color w:val="231F20"/>
          <w:spacing w:val="2"/>
        </w:rPr>
        <w:t>maltrato </w:t>
      </w:r>
      <w:r>
        <w:rPr>
          <w:color w:val="231F20"/>
          <w:spacing w:val="3"/>
        </w:rPr>
        <w:t>como </w:t>
      </w:r>
      <w:r>
        <w:rPr>
          <w:color w:val="231F20"/>
          <w:spacing w:val="2"/>
        </w:rPr>
        <w:t>fac- tor estuvo ausente durante varios años. Los inicios </w:t>
      </w:r>
      <w:r>
        <w:rPr>
          <w:color w:val="231F20"/>
        </w:rPr>
        <w:t>de la </w:t>
      </w:r>
      <w:r>
        <w:rPr>
          <w:color w:val="231F20"/>
          <w:spacing w:val="2"/>
        </w:rPr>
        <w:t>década </w:t>
      </w:r>
      <w:r>
        <w:rPr>
          <w:color w:val="231F20"/>
        </w:rPr>
        <w:t>de </w:t>
      </w:r>
      <w:r>
        <w:rPr>
          <w:color w:val="231F20"/>
          <w:spacing w:val="2"/>
        </w:rPr>
        <w:t>los </w:t>
      </w:r>
      <w:r>
        <w:rPr>
          <w:color w:val="231F20"/>
          <w:spacing w:val="3"/>
        </w:rPr>
        <w:t>ochenta, </w:t>
      </w:r>
      <w:r>
        <w:rPr>
          <w:color w:val="231F20"/>
        </w:rPr>
        <w:t>es el </w:t>
      </w:r>
      <w:r>
        <w:rPr>
          <w:color w:val="231F20"/>
          <w:spacing w:val="2"/>
        </w:rPr>
        <w:t>periodo cuando surge </w:t>
      </w:r>
      <w:r>
        <w:rPr>
          <w:color w:val="231F20"/>
        </w:rPr>
        <w:t>el </w:t>
      </w:r>
      <w:r>
        <w:rPr>
          <w:color w:val="231F20"/>
          <w:spacing w:val="2"/>
        </w:rPr>
        <w:t>interés por </w:t>
      </w:r>
      <w:r>
        <w:rPr>
          <w:color w:val="231F20"/>
        </w:rPr>
        <w:t>el </w:t>
      </w:r>
      <w:r>
        <w:rPr>
          <w:color w:val="231F20"/>
          <w:spacing w:val="2"/>
        </w:rPr>
        <w:t>estudio</w:t>
      </w:r>
      <w:r>
        <w:rPr>
          <w:color w:val="231F20"/>
          <w:spacing w:val="56"/>
        </w:rPr>
        <w:t> </w:t>
      </w:r>
      <w:r>
        <w:rPr>
          <w:color w:val="231F20"/>
          <w:spacing w:val="2"/>
        </w:rPr>
        <w:t>sobre </w:t>
      </w:r>
      <w:r>
        <w:rPr>
          <w:color w:val="231F20"/>
        </w:rPr>
        <w:t>las </w:t>
      </w:r>
      <w:r>
        <w:rPr>
          <w:color w:val="231F20"/>
          <w:spacing w:val="2"/>
        </w:rPr>
        <w:t>expresiones </w:t>
      </w:r>
      <w:r>
        <w:rPr>
          <w:color w:val="231F20"/>
        </w:rPr>
        <w:t>de </w:t>
      </w:r>
      <w:r>
        <w:rPr>
          <w:color w:val="231F20"/>
          <w:spacing w:val="2"/>
        </w:rPr>
        <w:t>violencia, maltrato </w:t>
      </w:r>
      <w:r>
        <w:rPr>
          <w:color w:val="231F20"/>
        </w:rPr>
        <w:t>y </w:t>
      </w:r>
      <w:r>
        <w:rPr>
          <w:color w:val="231F20"/>
          <w:spacing w:val="2"/>
        </w:rPr>
        <w:t>acoso que experi- mentaban tanto </w:t>
      </w:r>
      <w:r>
        <w:rPr>
          <w:color w:val="231F20"/>
        </w:rPr>
        <w:t>los </w:t>
      </w:r>
      <w:r>
        <w:rPr>
          <w:color w:val="231F20"/>
          <w:spacing w:val="2"/>
        </w:rPr>
        <w:t>estudiantes como </w:t>
      </w:r>
      <w:r>
        <w:rPr>
          <w:color w:val="231F20"/>
        </w:rPr>
        <w:t>los </w:t>
      </w:r>
      <w:r>
        <w:rPr>
          <w:color w:val="231F20"/>
          <w:spacing w:val="2"/>
        </w:rPr>
        <w:t>residentes médicos </w:t>
      </w:r>
      <w:r>
        <w:rPr>
          <w:color w:val="231F20"/>
        </w:rPr>
        <w:t>(Sil- </w:t>
      </w:r>
      <w:r>
        <w:rPr>
          <w:color w:val="231F20"/>
          <w:spacing w:val="2"/>
        </w:rPr>
        <w:t>ver,</w:t>
      </w:r>
      <w:r>
        <w:rPr>
          <w:color w:val="231F20"/>
          <w:spacing w:val="-18"/>
        </w:rPr>
        <w:t> </w:t>
      </w:r>
      <w:r>
        <w:rPr>
          <w:color w:val="231F20"/>
          <w:spacing w:val="2"/>
        </w:rPr>
        <w:t>1990:527;</w:t>
      </w:r>
      <w:r>
        <w:rPr>
          <w:color w:val="231F20"/>
          <w:spacing w:val="-18"/>
        </w:rPr>
        <w:t> </w:t>
      </w:r>
      <w:r>
        <w:rPr>
          <w:color w:val="231F20"/>
          <w:spacing w:val="2"/>
        </w:rPr>
        <w:t>Mejía</w:t>
      </w:r>
      <w:r>
        <w:rPr>
          <w:color w:val="231F20"/>
          <w:spacing w:val="-17"/>
        </w:rPr>
        <w:t> </w:t>
      </w:r>
      <w:r>
        <w:rPr>
          <w:color w:val="231F20"/>
        </w:rPr>
        <w:t>et</w:t>
      </w:r>
      <w:r>
        <w:rPr>
          <w:color w:val="231F20"/>
          <w:spacing w:val="-18"/>
        </w:rPr>
        <w:t> </w:t>
      </w:r>
      <w:r>
        <w:rPr>
          <w:color w:val="231F20"/>
        </w:rPr>
        <w:t>al.,</w:t>
      </w:r>
      <w:r>
        <w:rPr>
          <w:color w:val="231F20"/>
          <w:spacing w:val="-18"/>
        </w:rPr>
        <w:t> </w:t>
      </w:r>
      <w:r>
        <w:rPr>
          <w:color w:val="231F20"/>
          <w:spacing w:val="2"/>
        </w:rPr>
        <w:t>2001;</w:t>
      </w:r>
      <w:r>
        <w:rPr>
          <w:color w:val="231F20"/>
          <w:spacing w:val="-18"/>
        </w:rPr>
        <w:t> </w:t>
      </w:r>
      <w:r>
        <w:rPr>
          <w:color w:val="231F20"/>
          <w:spacing w:val="2"/>
        </w:rPr>
        <w:t>Maida,</w:t>
      </w:r>
      <w:r>
        <w:rPr>
          <w:color w:val="231F20"/>
          <w:spacing w:val="-18"/>
        </w:rPr>
        <w:t> </w:t>
      </w:r>
      <w:r>
        <w:rPr>
          <w:color w:val="231F20"/>
          <w:spacing w:val="2"/>
        </w:rPr>
        <w:t>2006).</w:t>
      </w:r>
    </w:p>
    <w:p>
      <w:pPr>
        <w:pStyle w:val="BodyText"/>
        <w:spacing w:line="249" w:lineRule="auto" w:before="15"/>
        <w:ind w:left="101" w:right="115" w:firstLine="284"/>
        <w:jc w:val="both"/>
      </w:pPr>
      <w:r>
        <w:rPr>
          <w:color w:val="231F20"/>
        </w:rPr>
        <w:t>En un </w:t>
      </w:r>
      <w:r>
        <w:rPr>
          <w:color w:val="231F20"/>
          <w:spacing w:val="2"/>
        </w:rPr>
        <w:t>estudio </w:t>
      </w:r>
      <w:r>
        <w:rPr>
          <w:color w:val="231F20"/>
        </w:rPr>
        <w:t>ya </w:t>
      </w:r>
      <w:r>
        <w:rPr>
          <w:color w:val="231F20"/>
          <w:spacing w:val="2"/>
        </w:rPr>
        <w:t>clásico, realizado </w:t>
      </w:r>
      <w:r>
        <w:rPr>
          <w:color w:val="231F20"/>
        </w:rPr>
        <w:t>en la </w:t>
      </w:r>
      <w:r>
        <w:rPr>
          <w:color w:val="231F20"/>
          <w:spacing w:val="2"/>
        </w:rPr>
        <w:t>Escuela </w:t>
      </w:r>
      <w:r>
        <w:rPr>
          <w:color w:val="231F20"/>
        </w:rPr>
        <w:t>de </w:t>
      </w:r>
      <w:r>
        <w:rPr>
          <w:color w:val="231F20"/>
          <w:spacing w:val="2"/>
        </w:rPr>
        <w:t>Medicina  </w:t>
      </w:r>
      <w:r>
        <w:rPr>
          <w:color w:val="231F20"/>
        </w:rPr>
        <w:t>de </w:t>
      </w:r>
      <w:r>
        <w:rPr>
          <w:color w:val="231F20"/>
          <w:spacing w:val="3"/>
        </w:rPr>
        <w:t>Denver </w:t>
      </w:r>
      <w:r>
        <w:rPr>
          <w:color w:val="231F20"/>
          <w:spacing w:val="2"/>
        </w:rPr>
        <w:t>(Silver, 1982), </w:t>
      </w:r>
      <w:r>
        <w:rPr>
          <w:color w:val="231F20"/>
        </w:rPr>
        <w:t>se </w:t>
      </w:r>
      <w:r>
        <w:rPr>
          <w:color w:val="231F20"/>
          <w:spacing w:val="3"/>
        </w:rPr>
        <w:t>encontró </w:t>
      </w:r>
      <w:r>
        <w:rPr>
          <w:color w:val="231F20"/>
        </w:rPr>
        <w:t>un </w:t>
      </w:r>
      <w:r>
        <w:rPr>
          <w:color w:val="231F20"/>
          <w:spacing w:val="2"/>
        </w:rPr>
        <w:t>paralelo, entre los cam- bios psicológicos </w:t>
      </w:r>
      <w:r>
        <w:rPr>
          <w:color w:val="231F20"/>
          <w:spacing w:val="3"/>
        </w:rPr>
        <w:t>experimentados </w:t>
      </w:r>
      <w:r>
        <w:rPr>
          <w:color w:val="231F20"/>
          <w:spacing w:val="2"/>
        </w:rPr>
        <w:t>por los niños </w:t>
      </w:r>
      <w:r>
        <w:rPr>
          <w:color w:val="231F20"/>
        </w:rPr>
        <w:t>que </w:t>
      </w:r>
      <w:r>
        <w:rPr>
          <w:color w:val="231F20"/>
          <w:spacing w:val="2"/>
        </w:rPr>
        <w:t>habían </w:t>
      </w:r>
      <w:r>
        <w:rPr>
          <w:color w:val="231F20"/>
        </w:rPr>
        <w:t>sido </w:t>
      </w:r>
      <w:r>
        <w:rPr>
          <w:color w:val="231F20"/>
          <w:spacing w:val="3"/>
        </w:rPr>
        <w:t>abusados </w:t>
      </w:r>
      <w:r>
        <w:rPr>
          <w:color w:val="231F20"/>
        </w:rPr>
        <w:t>en </w:t>
      </w:r>
      <w:r>
        <w:rPr>
          <w:color w:val="231F20"/>
          <w:spacing w:val="2"/>
        </w:rPr>
        <w:t>hogares </w:t>
      </w:r>
      <w:r>
        <w:rPr>
          <w:color w:val="231F20"/>
          <w:spacing w:val="3"/>
        </w:rPr>
        <w:t>adoptivos </w:t>
      </w:r>
      <w:r>
        <w:rPr>
          <w:color w:val="231F20"/>
        </w:rPr>
        <w:t>y </w:t>
      </w:r>
      <w:r>
        <w:rPr>
          <w:color w:val="231F20"/>
          <w:spacing w:val="2"/>
        </w:rPr>
        <w:t>los </w:t>
      </w:r>
      <w:r>
        <w:rPr>
          <w:color w:val="231F20"/>
        </w:rPr>
        <w:t>que </w:t>
      </w:r>
      <w:r>
        <w:rPr>
          <w:color w:val="231F20"/>
          <w:spacing w:val="2"/>
        </w:rPr>
        <w:t>ocurrían con los estu- diantes </w:t>
      </w:r>
      <w:r>
        <w:rPr>
          <w:color w:val="231F20"/>
        </w:rPr>
        <w:t>de </w:t>
      </w:r>
      <w:r>
        <w:rPr>
          <w:color w:val="231F20"/>
          <w:spacing w:val="2"/>
        </w:rPr>
        <w:t>primer ingreso </w:t>
      </w:r>
      <w:r>
        <w:rPr>
          <w:color w:val="231F20"/>
        </w:rPr>
        <w:t>a la </w:t>
      </w:r>
      <w:r>
        <w:rPr>
          <w:color w:val="231F20"/>
          <w:spacing w:val="2"/>
        </w:rPr>
        <w:t>carrera </w:t>
      </w:r>
      <w:r>
        <w:rPr>
          <w:color w:val="231F20"/>
        </w:rPr>
        <w:t>de </w:t>
      </w:r>
      <w:r>
        <w:rPr>
          <w:color w:val="231F20"/>
          <w:spacing w:val="2"/>
        </w:rPr>
        <w:t>medicina, </w:t>
      </w:r>
      <w:r>
        <w:rPr>
          <w:color w:val="231F20"/>
        </w:rPr>
        <w:t>en </w:t>
      </w:r>
      <w:r>
        <w:rPr>
          <w:color w:val="231F20"/>
          <w:spacing w:val="2"/>
        </w:rPr>
        <w:t>los cuales había </w:t>
      </w:r>
      <w:r>
        <w:rPr>
          <w:color w:val="231F20"/>
          <w:spacing w:val="3"/>
        </w:rPr>
        <w:t>observado </w:t>
      </w:r>
      <w:r>
        <w:rPr>
          <w:color w:val="231F20"/>
        </w:rPr>
        <w:t>en su </w:t>
      </w:r>
      <w:r>
        <w:rPr>
          <w:color w:val="231F20"/>
          <w:spacing w:val="2"/>
        </w:rPr>
        <w:t>rostro </w:t>
      </w:r>
      <w:r>
        <w:rPr>
          <w:color w:val="231F20"/>
        </w:rPr>
        <w:t>al </w:t>
      </w:r>
      <w:r>
        <w:rPr>
          <w:color w:val="231F20"/>
          <w:spacing w:val="2"/>
        </w:rPr>
        <w:t>“ansioso castor”, para convertirse meses después, </w:t>
      </w:r>
      <w:r>
        <w:rPr>
          <w:color w:val="231F20"/>
        </w:rPr>
        <w:t>en </w:t>
      </w:r>
      <w:r>
        <w:rPr>
          <w:color w:val="231F20"/>
          <w:spacing w:val="2"/>
        </w:rPr>
        <w:t>cínicos, abatidos, asustados </w:t>
      </w:r>
      <w:r>
        <w:rPr>
          <w:color w:val="231F20"/>
        </w:rPr>
        <w:t>y </w:t>
      </w:r>
      <w:r>
        <w:rPr>
          <w:color w:val="231F20"/>
          <w:spacing w:val="2"/>
        </w:rPr>
        <w:t>deprimidos. </w:t>
      </w:r>
      <w:r>
        <w:rPr>
          <w:color w:val="231F20"/>
        </w:rPr>
        <w:t>Se </w:t>
      </w:r>
      <w:r>
        <w:rPr>
          <w:color w:val="231F20"/>
          <w:spacing w:val="2"/>
        </w:rPr>
        <w:t>preguntó </w:t>
      </w:r>
      <w:r>
        <w:rPr>
          <w:color w:val="231F20"/>
        </w:rPr>
        <w:t>si </w:t>
      </w:r>
      <w:r>
        <w:rPr>
          <w:color w:val="231F20"/>
          <w:spacing w:val="2"/>
        </w:rPr>
        <w:t>algunos estudiantes habían </w:t>
      </w:r>
      <w:r>
        <w:rPr>
          <w:color w:val="231F20"/>
        </w:rPr>
        <w:t>sido </w:t>
      </w:r>
      <w:r>
        <w:rPr>
          <w:color w:val="231F20"/>
          <w:spacing w:val="2"/>
        </w:rPr>
        <w:t>objeto </w:t>
      </w:r>
      <w:r>
        <w:rPr>
          <w:color w:val="231F20"/>
        </w:rPr>
        <w:t>de </w:t>
      </w:r>
      <w:r>
        <w:rPr>
          <w:color w:val="231F20"/>
          <w:spacing w:val="2"/>
        </w:rPr>
        <w:t>abuso </w:t>
      </w:r>
      <w:r>
        <w:rPr>
          <w:color w:val="231F20"/>
          <w:spacing w:val="3"/>
        </w:rPr>
        <w:t>des- </w:t>
      </w:r>
      <w:r>
        <w:rPr>
          <w:color w:val="231F20"/>
          <w:spacing w:val="2"/>
        </w:rPr>
        <w:t>pués </w:t>
      </w:r>
      <w:r>
        <w:rPr>
          <w:color w:val="231F20"/>
        </w:rPr>
        <w:t>de </w:t>
      </w:r>
      <w:r>
        <w:rPr>
          <w:color w:val="231F20"/>
          <w:spacing w:val="2"/>
        </w:rPr>
        <w:t>entrar </w:t>
      </w:r>
      <w:r>
        <w:rPr>
          <w:color w:val="231F20"/>
        </w:rPr>
        <w:t>a la </w:t>
      </w:r>
      <w:r>
        <w:rPr>
          <w:color w:val="231F20"/>
          <w:spacing w:val="2"/>
        </w:rPr>
        <w:t>escuela </w:t>
      </w:r>
      <w:r>
        <w:rPr>
          <w:color w:val="231F20"/>
        </w:rPr>
        <w:t>de </w:t>
      </w:r>
      <w:r>
        <w:rPr>
          <w:color w:val="231F20"/>
          <w:spacing w:val="2"/>
        </w:rPr>
        <w:t>medicina. </w:t>
      </w:r>
      <w:r>
        <w:rPr>
          <w:color w:val="231F20"/>
        </w:rPr>
        <w:t>Se </w:t>
      </w:r>
      <w:r>
        <w:rPr>
          <w:color w:val="231F20"/>
          <w:spacing w:val="2"/>
        </w:rPr>
        <w:t>definió </w:t>
      </w:r>
      <w:r>
        <w:rPr>
          <w:color w:val="231F20"/>
        </w:rPr>
        <w:t>al </w:t>
      </w:r>
      <w:r>
        <w:rPr>
          <w:color w:val="231F20"/>
          <w:spacing w:val="2"/>
        </w:rPr>
        <w:t>abuso </w:t>
      </w:r>
      <w:r>
        <w:rPr>
          <w:color w:val="231F20"/>
          <w:spacing w:val="3"/>
        </w:rPr>
        <w:t>como</w:t>
      </w:r>
      <w:r>
        <w:rPr>
          <w:color w:val="231F20"/>
          <w:spacing w:val="58"/>
        </w:rPr>
        <w:t> </w:t>
      </w:r>
      <w:r>
        <w:rPr>
          <w:color w:val="231F20"/>
        </w:rPr>
        <w:t>el </w:t>
      </w:r>
      <w:r>
        <w:rPr>
          <w:color w:val="231F20"/>
          <w:spacing w:val="2"/>
        </w:rPr>
        <w:t>trato dañino, perjudicial </w:t>
      </w:r>
      <w:r>
        <w:rPr>
          <w:color w:val="231F20"/>
        </w:rPr>
        <w:t>u </w:t>
      </w:r>
      <w:r>
        <w:rPr>
          <w:color w:val="231F20"/>
          <w:spacing w:val="3"/>
        </w:rPr>
        <w:t>ofensivo; </w:t>
      </w:r>
      <w:r>
        <w:rPr>
          <w:color w:val="231F20"/>
        </w:rPr>
        <w:t>el </w:t>
      </w:r>
      <w:r>
        <w:rPr>
          <w:color w:val="231F20"/>
          <w:spacing w:val="2"/>
        </w:rPr>
        <w:t>hablar insultante, </w:t>
      </w:r>
      <w:r>
        <w:rPr>
          <w:color w:val="231F20"/>
          <w:spacing w:val="3"/>
        </w:rPr>
        <w:t>con </w:t>
      </w:r>
      <w:r>
        <w:rPr>
          <w:color w:val="231F20"/>
          <w:spacing w:val="2"/>
        </w:rPr>
        <w:t>dureza </w:t>
      </w:r>
      <w:r>
        <w:rPr>
          <w:color w:val="231F20"/>
        </w:rPr>
        <w:t>e </w:t>
      </w:r>
      <w:r>
        <w:rPr>
          <w:color w:val="231F20"/>
          <w:spacing w:val="3"/>
        </w:rPr>
        <w:t>injustamente </w:t>
      </w:r>
      <w:r>
        <w:rPr>
          <w:color w:val="231F20"/>
        </w:rPr>
        <w:t>a </w:t>
      </w:r>
      <w:r>
        <w:rPr>
          <w:color w:val="231F20"/>
          <w:spacing w:val="2"/>
        </w:rPr>
        <w:t>otra </w:t>
      </w:r>
      <w:r>
        <w:rPr>
          <w:color w:val="231F20"/>
          <w:spacing w:val="3"/>
        </w:rPr>
        <w:t>persona </w:t>
      </w:r>
      <w:r>
        <w:rPr>
          <w:color w:val="231F20"/>
          <w:spacing w:val="2"/>
        </w:rPr>
        <w:t>para denostarla, por ejemplo. </w:t>
      </w:r>
      <w:r>
        <w:rPr>
          <w:color w:val="231F20"/>
          <w:spacing w:val="3"/>
        </w:rPr>
        <w:t>Posteriormente, </w:t>
      </w:r>
      <w:r>
        <w:rPr>
          <w:color w:val="231F20"/>
        </w:rPr>
        <w:t>se </w:t>
      </w:r>
      <w:r>
        <w:rPr>
          <w:color w:val="231F20"/>
          <w:spacing w:val="2"/>
        </w:rPr>
        <w:t>consideró también </w:t>
      </w:r>
      <w:r>
        <w:rPr>
          <w:color w:val="231F20"/>
        </w:rPr>
        <w:t>a </w:t>
      </w:r>
      <w:r>
        <w:rPr>
          <w:color w:val="231F20"/>
          <w:spacing w:val="2"/>
        </w:rPr>
        <w:t>los actos innecesarios, evitables </w:t>
      </w:r>
      <w:r>
        <w:rPr>
          <w:color w:val="231F20"/>
        </w:rPr>
        <w:t>o </w:t>
      </w:r>
      <w:r>
        <w:rPr>
          <w:color w:val="231F20"/>
          <w:spacing w:val="2"/>
        </w:rPr>
        <w:t>palabras </w:t>
      </w:r>
      <w:r>
        <w:rPr>
          <w:color w:val="231F20"/>
        </w:rPr>
        <w:t>de </w:t>
      </w:r>
      <w:r>
        <w:rPr>
          <w:color w:val="231F20"/>
          <w:spacing w:val="2"/>
        </w:rPr>
        <w:t>naturaleza negativa, </w:t>
      </w:r>
      <w:r>
        <w:rPr>
          <w:color w:val="231F20"/>
          <w:spacing w:val="3"/>
        </w:rPr>
        <w:t>causados </w:t>
      </w:r>
      <w:r>
        <w:rPr>
          <w:color w:val="231F20"/>
          <w:spacing w:val="2"/>
        </w:rPr>
        <w:t>por una per- sona sobre otra </w:t>
      </w:r>
      <w:r>
        <w:rPr>
          <w:color w:val="231F20"/>
          <w:spacing w:val="3"/>
        </w:rPr>
        <w:t>persona </w:t>
      </w:r>
      <w:r>
        <w:rPr>
          <w:color w:val="231F20"/>
        </w:rPr>
        <w:t>o </w:t>
      </w:r>
      <w:r>
        <w:rPr>
          <w:color w:val="231F20"/>
          <w:spacing w:val="3"/>
        </w:rPr>
        <w:t>personas </w:t>
      </w:r>
      <w:r>
        <w:rPr>
          <w:color w:val="231F20"/>
          <w:spacing w:val="2"/>
        </w:rPr>
        <w:t>(Silver, 1990). Por esto </w:t>
      </w:r>
      <w:r>
        <w:rPr>
          <w:color w:val="231F20"/>
        </w:rPr>
        <w:t>se le </w:t>
      </w:r>
      <w:r>
        <w:rPr>
          <w:color w:val="231F20"/>
          <w:spacing w:val="2"/>
        </w:rPr>
        <w:t>atribuye </w:t>
      </w:r>
      <w:r>
        <w:rPr>
          <w:color w:val="231F20"/>
        </w:rPr>
        <w:t>a </w:t>
      </w:r>
      <w:r>
        <w:rPr>
          <w:color w:val="231F20"/>
          <w:spacing w:val="2"/>
        </w:rPr>
        <w:t>Silver </w:t>
      </w:r>
      <w:r>
        <w:rPr>
          <w:color w:val="231F20"/>
        </w:rPr>
        <w:t>ser el </w:t>
      </w:r>
      <w:r>
        <w:rPr>
          <w:color w:val="231F20"/>
          <w:spacing w:val="2"/>
        </w:rPr>
        <w:t>primero </w:t>
      </w:r>
      <w:r>
        <w:rPr>
          <w:color w:val="231F20"/>
        </w:rPr>
        <w:t>en </w:t>
      </w:r>
      <w:r>
        <w:rPr>
          <w:color w:val="231F20"/>
          <w:spacing w:val="2"/>
        </w:rPr>
        <w:t>conceptualizar </w:t>
      </w:r>
      <w:r>
        <w:rPr>
          <w:color w:val="231F20"/>
        </w:rPr>
        <w:t>el </w:t>
      </w:r>
      <w:r>
        <w:rPr>
          <w:color w:val="231F20"/>
          <w:spacing w:val="3"/>
        </w:rPr>
        <w:t>fenómeno como</w:t>
      </w:r>
      <w:r>
        <w:rPr>
          <w:color w:val="231F20"/>
          <w:spacing w:val="-3"/>
        </w:rPr>
        <w:t> </w:t>
      </w:r>
      <w:r>
        <w:rPr>
          <w:color w:val="231F20"/>
          <w:spacing w:val="2"/>
        </w:rPr>
        <w:t>“Medical</w:t>
      </w:r>
      <w:r>
        <w:rPr>
          <w:color w:val="231F20"/>
          <w:spacing w:val="-4"/>
        </w:rPr>
        <w:t> </w:t>
      </w:r>
      <w:r>
        <w:rPr>
          <w:color w:val="231F20"/>
          <w:spacing w:val="3"/>
        </w:rPr>
        <w:t>Student</w:t>
      </w:r>
      <w:r>
        <w:rPr>
          <w:color w:val="231F20"/>
          <w:spacing w:val="-4"/>
        </w:rPr>
        <w:t> </w:t>
      </w:r>
      <w:r>
        <w:rPr>
          <w:color w:val="231F20"/>
          <w:spacing w:val="3"/>
        </w:rPr>
        <w:t>Abuse”</w:t>
      </w:r>
      <w:r>
        <w:rPr>
          <w:color w:val="231F20"/>
          <w:spacing w:val="-4"/>
        </w:rPr>
        <w:t> </w:t>
      </w:r>
      <w:r>
        <w:rPr>
          <w:color w:val="231F20"/>
          <w:spacing w:val="3"/>
        </w:rPr>
        <w:t>(Nagata-Kobayashi</w:t>
      </w:r>
      <w:r>
        <w:rPr>
          <w:color w:val="231F20"/>
          <w:spacing w:val="-4"/>
        </w:rPr>
        <w:t> </w:t>
      </w:r>
      <w:r>
        <w:rPr>
          <w:color w:val="231F20"/>
        </w:rPr>
        <w:t>et</w:t>
      </w:r>
      <w:r>
        <w:rPr>
          <w:color w:val="231F20"/>
          <w:spacing w:val="-4"/>
        </w:rPr>
        <w:t> </w:t>
      </w:r>
      <w:r>
        <w:rPr>
          <w:color w:val="231F20"/>
        </w:rPr>
        <w:t>al.,</w:t>
      </w:r>
      <w:r>
        <w:rPr>
          <w:color w:val="231F20"/>
          <w:spacing w:val="-4"/>
        </w:rPr>
        <w:t> </w:t>
      </w:r>
      <w:r>
        <w:rPr>
          <w:color w:val="231F20"/>
          <w:spacing w:val="2"/>
        </w:rPr>
        <w:t>2005).</w:t>
      </w:r>
    </w:p>
    <w:p>
      <w:pPr>
        <w:pStyle w:val="BodyText"/>
        <w:spacing w:line="247" w:lineRule="auto"/>
        <w:ind w:left="101" w:right="116" w:firstLine="284"/>
        <w:jc w:val="both"/>
      </w:pPr>
      <w:r>
        <w:rPr>
          <w:color w:val="231F20"/>
        </w:rPr>
        <w:t>En la </w:t>
      </w:r>
      <w:r>
        <w:rPr>
          <w:color w:val="231F20"/>
          <w:spacing w:val="2"/>
        </w:rPr>
        <w:t>mayoría </w:t>
      </w:r>
      <w:r>
        <w:rPr>
          <w:color w:val="231F20"/>
        </w:rPr>
        <w:t>de las </w:t>
      </w:r>
      <w:r>
        <w:rPr>
          <w:color w:val="231F20"/>
          <w:spacing w:val="2"/>
        </w:rPr>
        <w:t>investigaciones, </w:t>
      </w:r>
      <w:r>
        <w:rPr>
          <w:color w:val="231F20"/>
        </w:rPr>
        <w:t>el </w:t>
      </w:r>
      <w:r>
        <w:rPr>
          <w:color w:val="231F20"/>
          <w:spacing w:val="2"/>
        </w:rPr>
        <w:t>maltrato </w:t>
      </w:r>
      <w:r>
        <w:rPr>
          <w:color w:val="231F20"/>
        </w:rPr>
        <w:t>es </w:t>
      </w:r>
      <w:r>
        <w:rPr>
          <w:color w:val="231F20"/>
          <w:spacing w:val="2"/>
        </w:rPr>
        <w:t>estudiado  </w:t>
      </w:r>
      <w:r>
        <w:rPr>
          <w:color w:val="231F20"/>
        </w:rPr>
        <w:t>de </w:t>
      </w:r>
      <w:r>
        <w:rPr>
          <w:color w:val="231F20"/>
          <w:spacing w:val="2"/>
        </w:rPr>
        <w:t>acuerdo </w:t>
      </w:r>
      <w:r>
        <w:rPr>
          <w:color w:val="231F20"/>
        </w:rPr>
        <w:t>a </w:t>
      </w:r>
      <w:r>
        <w:rPr>
          <w:color w:val="231F20"/>
          <w:spacing w:val="2"/>
        </w:rPr>
        <w:t>sus </w:t>
      </w:r>
      <w:r>
        <w:rPr>
          <w:color w:val="231F20"/>
          <w:spacing w:val="3"/>
        </w:rPr>
        <w:t>formas </w:t>
      </w:r>
      <w:r>
        <w:rPr>
          <w:color w:val="231F20"/>
          <w:spacing w:val="2"/>
        </w:rPr>
        <w:t>específicas </w:t>
      </w:r>
      <w:r>
        <w:rPr>
          <w:color w:val="231F20"/>
        </w:rPr>
        <w:t>de </w:t>
      </w:r>
      <w:r>
        <w:rPr>
          <w:color w:val="231F20"/>
          <w:spacing w:val="3"/>
        </w:rPr>
        <w:t>manifestación como </w:t>
      </w:r>
      <w:r>
        <w:rPr>
          <w:color w:val="231F20"/>
        </w:rPr>
        <w:t>el </w:t>
      </w:r>
      <w:r>
        <w:rPr>
          <w:color w:val="231F20"/>
          <w:spacing w:val="2"/>
        </w:rPr>
        <w:t>menosprecio, </w:t>
      </w:r>
      <w:r>
        <w:rPr>
          <w:color w:val="231F20"/>
        </w:rPr>
        <w:t>la </w:t>
      </w:r>
      <w:r>
        <w:rPr>
          <w:color w:val="231F20"/>
          <w:spacing w:val="2"/>
        </w:rPr>
        <w:t>humillación, los </w:t>
      </w:r>
      <w:r>
        <w:rPr>
          <w:color w:val="231F20"/>
          <w:spacing w:val="3"/>
        </w:rPr>
        <w:t>comentarios </w:t>
      </w:r>
      <w:r>
        <w:rPr>
          <w:color w:val="231F20"/>
          <w:spacing w:val="2"/>
        </w:rPr>
        <w:t>negativos </w:t>
      </w:r>
      <w:r>
        <w:rPr>
          <w:color w:val="231F20"/>
        </w:rPr>
        <w:t>o </w:t>
      </w:r>
      <w:r>
        <w:rPr>
          <w:color w:val="231F20"/>
          <w:spacing w:val="2"/>
        </w:rPr>
        <w:t>despec- tivos con relación </w:t>
      </w:r>
      <w:r>
        <w:rPr>
          <w:color w:val="231F20"/>
        </w:rPr>
        <w:t>al </w:t>
      </w:r>
      <w:r>
        <w:rPr>
          <w:color w:val="231F20"/>
          <w:spacing w:val="2"/>
        </w:rPr>
        <w:t>ejercicio </w:t>
      </w:r>
      <w:r>
        <w:rPr>
          <w:color w:val="231F20"/>
        </w:rPr>
        <w:t>de la </w:t>
      </w:r>
      <w:r>
        <w:rPr>
          <w:color w:val="231F20"/>
          <w:spacing w:val="2"/>
        </w:rPr>
        <w:t>medicina </w:t>
      </w:r>
      <w:r>
        <w:rPr>
          <w:color w:val="231F20"/>
        </w:rPr>
        <w:t>o a su </w:t>
      </w:r>
      <w:r>
        <w:rPr>
          <w:color w:val="231F20"/>
          <w:spacing w:val="2"/>
        </w:rPr>
        <w:t>elección, </w:t>
      </w:r>
      <w:r>
        <w:rPr>
          <w:color w:val="231F20"/>
        </w:rPr>
        <w:t>el </w:t>
      </w:r>
      <w:r>
        <w:rPr>
          <w:color w:val="231F20"/>
          <w:spacing w:val="2"/>
        </w:rPr>
        <w:t>levantar </w:t>
      </w:r>
      <w:r>
        <w:rPr>
          <w:color w:val="231F20"/>
        </w:rPr>
        <w:t>la </w:t>
      </w:r>
      <w:r>
        <w:rPr>
          <w:color w:val="231F20"/>
          <w:spacing w:val="2"/>
        </w:rPr>
        <w:t>voz </w:t>
      </w:r>
      <w:r>
        <w:rPr>
          <w:color w:val="231F20"/>
        </w:rPr>
        <w:t>y </w:t>
      </w:r>
      <w:r>
        <w:rPr>
          <w:color w:val="231F20"/>
          <w:spacing w:val="2"/>
        </w:rPr>
        <w:t>gritar,el abuso psicológico/físico, </w:t>
      </w:r>
      <w:r>
        <w:rPr>
          <w:color w:val="231F20"/>
        </w:rPr>
        <w:t>la </w:t>
      </w:r>
      <w:r>
        <w:rPr>
          <w:color w:val="231F20"/>
          <w:spacing w:val="3"/>
        </w:rPr>
        <w:t>discrimina- </w:t>
      </w:r>
      <w:r>
        <w:rPr>
          <w:color w:val="231F20"/>
          <w:spacing w:val="2"/>
        </w:rPr>
        <w:t>ción,</w:t>
      </w:r>
      <w:r>
        <w:rPr>
          <w:color w:val="231F20"/>
          <w:spacing w:val="43"/>
        </w:rPr>
        <w:t> </w:t>
      </w:r>
      <w:r>
        <w:rPr>
          <w:color w:val="231F20"/>
        </w:rPr>
        <w:t>el</w:t>
      </w:r>
      <w:r>
        <w:rPr>
          <w:color w:val="231F20"/>
          <w:spacing w:val="43"/>
        </w:rPr>
        <w:t> </w:t>
      </w:r>
      <w:r>
        <w:rPr>
          <w:color w:val="231F20"/>
          <w:spacing w:val="2"/>
        </w:rPr>
        <w:t>acoso</w:t>
      </w:r>
      <w:r>
        <w:rPr>
          <w:color w:val="231F20"/>
          <w:spacing w:val="44"/>
        </w:rPr>
        <w:t> </w:t>
      </w:r>
      <w:r>
        <w:rPr>
          <w:color w:val="231F20"/>
          <w:spacing w:val="2"/>
        </w:rPr>
        <w:t>sexual,</w:t>
      </w:r>
      <w:r>
        <w:rPr>
          <w:color w:val="231F20"/>
          <w:spacing w:val="43"/>
        </w:rPr>
        <w:t> </w:t>
      </w:r>
      <w:r>
        <w:rPr>
          <w:color w:val="231F20"/>
          <w:spacing w:val="2"/>
        </w:rPr>
        <w:t>los</w:t>
      </w:r>
      <w:r>
        <w:rPr>
          <w:color w:val="231F20"/>
          <w:spacing w:val="43"/>
        </w:rPr>
        <w:t> </w:t>
      </w:r>
      <w:r>
        <w:rPr>
          <w:color w:val="231F20"/>
          <w:spacing w:val="2"/>
        </w:rPr>
        <w:t>insultos</w:t>
      </w:r>
      <w:r>
        <w:rPr>
          <w:color w:val="231F20"/>
          <w:spacing w:val="43"/>
        </w:rPr>
        <w:t> </w:t>
      </w:r>
      <w:r>
        <w:rPr>
          <w:color w:val="231F20"/>
          <w:spacing w:val="2"/>
        </w:rPr>
        <w:t>sexistas,</w:t>
      </w:r>
      <w:r>
        <w:rPr>
          <w:color w:val="231F20"/>
          <w:spacing w:val="43"/>
        </w:rPr>
        <w:t> </w:t>
      </w:r>
      <w:r>
        <w:rPr>
          <w:color w:val="231F20"/>
        </w:rPr>
        <w:t>las</w:t>
      </w:r>
      <w:r>
        <w:rPr>
          <w:color w:val="231F20"/>
          <w:spacing w:val="43"/>
        </w:rPr>
        <w:t> </w:t>
      </w:r>
      <w:r>
        <w:rPr>
          <w:color w:val="231F20"/>
          <w:spacing w:val="2"/>
        </w:rPr>
        <w:t>tareas</w:t>
      </w:r>
      <w:r>
        <w:rPr>
          <w:color w:val="231F20"/>
          <w:spacing w:val="43"/>
        </w:rPr>
        <w:t> </w:t>
      </w:r>
      <w:r>
        <w:rPr>
          <w:color w:val="231F20"/>
          <w:spacing w:val="3"/>
        </w:rPr>
        <w:t>asignadas</w:t>
      </w:r>
    </w:p>
    <w:p>
      <w:pPr>
        <w:spacing w:after="0" w:line="247" w:lineRule="auto"/>
        <w:jc w:val="both"/>
        <w:sectPr>
          <w:headerReference w:type="default" r:id="rId425"/>
          <w:footerReference w:type="default" r:id="rId426"/>
          <w:pgSz w:w="7830" w:h="11910"/>
          <w:pgMar w:header="0" w:footer="424" w:top="500" w:bottom="620" w:left="920" w:right="900"/>
          <w:pgNumType w:start="198"/>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1" w:right="121"/>
      </w:pPr>
      <w:r>
        <w:rPr>
          <w:color w:val="231F20"/>
        </w:rPr>
        <w:t>como castigo; el asignarse el trabajo de otra persona, y la agresión física (Rautio, 2005; Silver, 1990; F. Wood, 2006; Baldwin, 1991;</w:t>
      </w:r>
    </w:p>
    <w:p>
      <w:pPr>
        <w:pStyle w:val="BodyText"/>
        <w:spacing w:before="1"/>
        <w:ind w:left="101" w:right="121"/>
      </w:pPr>
      <w:r>
        <w:rPr>
          <w:color w:val="231F20"/>
        </w:rPr>
        <w:t>Mangus, 1998; Sheehan, 1990; Maida, 2006).</w:t>
      </w:r>
    </w:p>
    <w:p>
      <w:pPr>
        <w:pStyle w:val="BodyText"/>
        <w:spacing w:line="249" w:lineRule="auto" w:before="8"/>
        <w:ind w:left="101" w:right="115" w:firstLine="284"/>
        <w:jc w:val="both"/>
      </w:pPr>
      <w:r>
        <w:rPr>
          <w:color w:val="231F20"/>
        </w:rPr>
        <w:t>Se </w:t>
      </w:r>
      <w:r>
        <w:rPr>
          <w:color w:val="231F20"/>
          <w:spacing w:val="2"/>
        </w:rPr>
        <w:t>considera </w:t>
      </w:r>
      <w:r>
        <w:rPr>
          <w:color w:val="231F20"/>
        </w:rPr>
        <w:t>que el </w:t>
      </w:r>
      <w:r>
        <w:rPr>
          <w:color w:val="231F20"/>
          <w:spacing w:val="2"/>
        </w:rPr>
        <w:t>abuso </w:t>
      </w:r>
      <w:r>
        <w:rPr>
          <w:color w:val="231F20"/>
        </w:rPr>
        <w:t>o el </w:t>
      </w:r>
      <w:r>
        <w:rPr>
          <w:color w:val="231F20"/>
          <w:spacing w:val="2"/>
        </w:rPr>
        <w:t>maltrato difícilmente serán </w:t>
      </w:r>
      <w:r>
        <w:rPr>
          <w:color w:val="231F20"/>
          <w:spacing w:val="3"/>
        </w:rPr>
        <w:t>cata- </w:t>
      </w:r>
      <w:r>
        <w:rPr>
          <w:color w:val="231F20"/>
          <w:spacing w:val="2"/>
        </w:rPr>
        <w:t>logados </w:t>
      </w:r>
      <w:r>
        <w:rPr>
          <w:color w:val="231F20"/>
          <w:spacing w:val="3"/>
        </w:rPr>
        <w:t>como </w:t>
      </w:r>
      <w:r>
        <w:rPr>
          <w:color w:val="231F20"/>
          <w:spacing w:val="2"/>
        </w:rPr>
        <w:t>agresiones, más bien </w:t>
      </w:r>
      <w:r>
        <w:rPr>
          <w:color w:val="231F20"/>
        </w:rPr>
        <w:t>se </w:t>
      </w:r>
      <w:r>
        <w:rPr>
          <w:color w:val="231F20"/>
          <w:spacing w:val="2"/>
        </w:rPr>
        <w:t>describen </w:t>
      </w:r>
      <w:r>
        <w:rPr>
          <w:color w:val="231F20"/>
          <w:spacing w:val="3"/>
        </w:rPr>
        <w:t>como “formas </w:t>
      </w:r>
      <w:r>
        <w:rPr>
          <w:color w:val="231F20"/>
        </w:rPr>
        <w:t>de </w:t>
      </w:r>
      <w:r>
        <w:rPr>
          <w:color w:val="231F20"/>
          <w:spacing w:val="2"/>
        </w:rPr>
        <w:t>agresión oculta”, </w:t>
      </w:r>
      <w:r>
        <w:rPr>
          <w:color w:val="231F20"/>
        </w:rPr>
        <w:t>que </w:t>
      </w:r>
      <w:r>
        <w:rPr>
          <w:color w:val="231F20"/>
          <w:spacing w:val="2"/>
        </w:rPr>
        <w:t>tienen </w:t>
      </w:r>
      <w:r>
        <w:rPr>
          <w:color w:val="231F20"/>
        </w:rPr>
        <w:t>o </w:t>
      </w:r>
      <w:r>
        <w:rPr>
          <w:color w:val="231F20"/>
          <w:spacing w:val="2"/>
        </w:rPr>
        <w:t>pueden tener efectos tanto </w:t>
      </w:r>
      <w:r>
        <w:rPr>
          <w:color w:val="231F20"/>
        </w:rPr>
        <w:t>o </w:t>
      </w:r>
      <w:r>
        <w:rPr>
          <w:color w:val="231F20"/>
          <w:spacing w:val="3"/>
        </w:rPr>
        <w:t>más dañinos </w:t>
      </w:r>
      <w:r>
        <w:rPr>
          <w:color w:val="231F20"/>
          <w:spacing w:val="2"/>
        </w:rPr>
        <w:t>que </w:t>
      </w:r>
      <w:r>
        <w:rPr>
          <w:color w:val="231F20"/>
        </w:rPr>
        <w:t>las </w:t>
      </w:r>
      <w:r>
        <w:rPr>
          <w:color w:val="231F20"/>
          <w:spacing w:val="2"/>
        </w:rPr>
        <w:t>agresiones físicas (Aguilera, 2007), </w:t>
      </w:r>
      <w:r>
        <w:rPr>
          <w:color w:val="231F20"/>
          <w:spacing w:val="3"/>
        </w:rPr>
        <w:t>además </w:t>
      </w:r>
      <w:r>
        <w:rPr>
          <w:color w:val="231F20"/>
        </w:rPr>
        <w:t>de </w:t>
      </w:r>
      <w:r>
        <w:rPr>
          <w:color w:val="231F20"/>
          <w:spacing w:val="2"/>
        </w:rPr>
        <w:t>que son </w:t>
      </w:r>
      <w:r>
        <w:rPr>
          <w:color w:val="231F20"/>
          <w:spacing w:val="3"/>
        </w:rPr>
        <w:t>formas </w:t>
      </w:r>
      <w:r>
        <w:rPr>
          <w:color w:val="231F20"/>
          <w:spacing w:val="2"/>
        </w:rPr>
        <w:t>ofensivas </w:t>
      </w:r>
      <w:r>
        <w:rPr>
          <w:color w:val="231F20"/>
        </w:rPr>
        <w:t>que </w:t>
      </w:r>
      <w:r>
        <w:rPr>
          <w:color w:val="231F20"/>
          <w:spacing w:val="2"/>
        </w:rPr>
        <w:t>tienden </w:t>
      </w:r>
      <w:r>
        <w:rPr>
          <w:color w:val="231F20"/>
        </w:rPr>
        <w:t>a </w:t>
      </w:r>
      <w:r>
        <w:rPr>
          <w:color w:val="231F20"/>
          <w:spacing w:val="2"/>
        </w:rPr>
        <w:t>causar lesiones físicas </w:t>
      </w:r>
      <w:r>
        <w:rPr>
          <w:color w:val="231F20"/>
        </w:rPr>
        <w:t>o </w:t>
      </w:r>
      <w:r>
        <w:rPr>
          <w:color w:val="231F20"/>
          <w:spacing w:val="3"/>
        </w:rPr>
        <w:t>psico- </w:t>
      </w:r>
      <w:r>
        <w:rPr>
          <w:color w:val="231F20"/>
          <w:spacing w:val="2"/>
        </w:rPr>
        <w:t>lógicas, </w:t>
      </w:r>
      <w:r>
        <w:rPr>
          <w:color w:val="231F20"/>
        </w:rPr>
        <w:t>al </w:t>
      </w:r>
      <w:r>
        <w:rPr>
          <w:color w:val="231F20"/>
          <w:spacing w:val="2"/>
        </w:rPr>
        <w:t>forzar </w:t>
      </w:r>
      <w:r>
        <w:rPr>
          <w:color w:val="231F20"/>
        </w:rPr>
        <w:t>a </w:t>
      </w:r>
      <w:r>
        <w:rPr>
          <w:color w:val="231F20"/>
          <w:spacing w:val="2"/>
        </w:rPr>
        <w:t>otros </w:t>
      </w:r>
      <w:r>
        <w:rPr>
          <w:color w:val="231F20"/>
        </w:rPr>
        <w:t>a </w:t>
      </w:r>
      <w:r>
        <w:rPr>
          <w:color w:val="231F20"/>
          <w:spacing w:val="2"/>
        </w:rPr>
        <w:t>realizar acciones que </w:t>
      </w:r>
      <w:r>
        <w:rPr>
          <w:color w:val="231F20"/>
        </w:rPr>
        <w:t>no se </w:t>
      </w:r>
      <w:r>
        <w:rPr>
          <w:color w:val="231F20"/>
          <w:spacing w:val="2"/>
        </w:rPr>
        <w:t>desean </w:t>
      </w:r>
      <w:r>
        <w:rPr>
          <w:color w:val="231F20"/>
        </w:rPr>
        <w:t>o </w:t>
      </w:r>
      <w:r>
        <w:rPr>
          <w:color w:val="231F20"/>
          <w:spacing w:val="2"/>
        </w:rPr>
        <w:t>que </w:t>
      </w:r>
      <w:r>
        <w:rPr>
          <w:color w:val="231F20"/>
        </w:rPr>
        <w:t>no se </w:t>
      </w:r>
      <w:r>
        <w:rPr>
          <w:color w:val="231F20"/>
          <w:spacing w:val="2"/>
        </w:rPr>
        <w:t>conscienten (Maida, </w:t>
      </w:r>
      <w:r>
        <w:rPr>
          <w:color w:val="231F20"/>
          <w:spacing w:val="3"/>
        </w:rPr>
        <w:t>2006). Forman </w:t>
      </w:r>
      <w:r>
        <w:rPr>
          <w:color w:val="231F20"/>
          <w:spacing w:val="2"/>
        </w:rPr>
        <w:t>parte </w:t>
      </w:r>
      <w:r>
        <w:rPr>
          <w:color w:val="231F20"/>
        </w:rPr>
        <w:t>del </w:t>
      </w:r>
      <w:r>
        <w:rPr>
          <w:color w:val="231F20"/>
          <w:spacing w:val="2"/>
        </w:rPr>
        <w:t>ámbito </w:t>
      </w:r>
      <w:r>
        <w:rPr>
          <w:color w:val="231F20"/>
        </w:rPr>
        <w:t>de la </w:t>
      </w:r>
      <w:r>
        <w:rPr>
          <w:color w:val="231F20"/>
          <w:spacing w:val="2"/>
        </w:rPr>
        <w:t>violencia, </w:t>
      </w:r>
      <w:r>
        <w:rPr>
          <w:color w:val="231F20"/>
        </w:rPr>
        <w:t>en </w:t>
      </w:r>
      <w:r>
        <w:rPr>
          <w:color w:val="231F20"/>
          <w:spacing w:val="2"/>
        </w:rPr>
        <w:t>tanto </w:t>
      </w:r>
      <w:r>
        <w:rPr>
          <w:color w:val="231F20"/>
        </w:rPr>
        <w:t>que un </w:t>
      </w:r>
      <w:r>
        <w:rPr>
          <w:color w:val="231F20"/>
          <w:spacing w:val="2"/>
        </w:rPr>
        <w:t>individuo </w:t>
      </w:r>
      <w:r>
        <w:rPr>
          <w:color w:val="231F20"/>
        </w:rPr>
        <w:t>se </w:t>
      </w:r>
      <w:r>
        <w:rPr>
          <w:color w:val="231F20"/>
          <w:spacing w:val="3"/>
        </w:rPr>
        <w:t>impone </w:t>
      </w:r>
      <w:r>
        <w:rPr>
          <w:color w:val="231F20"/>
          <w:spacing w:val="2"/>
        </w:rPr>
        <w:t>por  </w:t>
      </w:r>
      <w:r>
        <w:rPr>
          <w:color w:val="231F20"/>
        </w:rPr>
        <w:t>su  </w:t>
      </w:r>
      <w:r>
        <w:rPr>
          <w:color w:val="231F20"/>
          <w:spacing w:val="2"/>
        </w:rPr>
        <w:t>fuerza, poder </w:t>
      </w:r>
      <w:r>
        <w:rPr>
          <w:color w:val="231F20"/>
        </w:rPr>
        <w:t>o </w:t>
      </w:r>
      <w:r>
        <w:rPr>
          <w:color w:val="231F20"/>
          <w:spacing w:val="2"/>
        </w:rPr>
        <w:t>estatus, frente </w:t>
      </w:r>
      <w:r>
        <w:rPr>
          <w:color w:val="231F20"/>
        </w:rPr>
        <w:t>a </w:t>
      </w:r>
      <w:r>
        <w:rPr>
          <w:color w:val="231F20"/>
          <w:spacing w:val="2"/>
        </w:rPr>
        <w:t>otro(s), más débil(es) </w:t>
      </w:r>
      <w:r>
        <w:rPr>
          <w:color w:val="231F20"/>
        </w:rPr>
        <w:t>o </w:t>
      </w:r>
      <w:r>
        <w:rPr>
          <w:color w:val="231F20"/>
          <w:spacing w:val="2"/>
        </w:rPr>
        <w:t>indefenso(s), </w:t>
      </w:r>
      <w:r>
        <w:rPr>
          <w:color w:val="231F20"/>
        </w:rPr>
        <w:t>lo que </w:t>
      </w:r>
      <w:r>
        <w:rPr>
          <w:color w:val="231F20"/>
          <w:spacing w:val="2"/>
        </w:rPr>
        <w:t>resultaen </w:t>
      </w:r>
      <w:r>
        <w:rPr>
          <w:color w:val="231F20"/>
        </w:rPr>
        <w:t>un </w:t>
      </w:r>
      <w:r>
        <w:rPr>
          <w:color w:val="231F20"/>
          <w:spacing w:val="2"/>
        </w:rPr>
        <w:t>maltrato </w:t>
      </w:r>
      <w:r>
        <w:rPr>
          <w:color w:val="231F20"/>
        </w:rPr>
        <w:t>o </w:t>
      </w:r>
      <w:r>
        <w:rPr>
          <w:color w:val="231F20"/>
          <w:spacing w:val="2"/>
        </w:rPr>
        <w:t>abuso físico </w:t>
      </w:r>
      <w:r>
        <w:rPr>
          <w:color w:val="231F20"/>
        </w:rPr>
        <w:t>o </w:t>
      </w:r>
      <w:r>
        <w:rPr>
          <w:color w:val="231F20"/>
          <w:spacing w:val="2"/>
        </w:rPr>
        <w:t>psicológico, directa </w:t>
      </w:r>
      <w:r>
        <w:rPr>
          <w:color w:val="231F20"/>
        </w:rPr>
        <w:t>o </w:t>
      </w:r>
      <w:r>
        <w:rPr>
          <w:color w:val="231F20"/>
          <w:spacing w:val="3"/>
        </w:rPr>
        <w:t>indirectamente </w:t>
      </w:r>
      <w:r>
        <w:rPr>
          <w:color w:val="231F20"/>
          <w:spacing w:val="2"/>
        </w:rPr>
        <w:t>(Ortega, s/f). Pero </w:t>
      </w:r>
      <w:r>
        <w:rPr>
          <w:color w:val="231F20"/>
        </w:rPr>
        <w:t>de un </w:t>
      </w:r>
      <w:r>
        <w:rPr>
          <w:color w:val="231F20"/>
          <w:spacing w:val="2"/>
        </w:rPr>
        <w:t>tipo específico </w:t>
      </w:r>
      <w:r>
        <w:rPr>
          <w:color w:val="231F20"/>
        </w:rPr>
        <w:t>de </w:t>
      </w:r>
      <w:r>
        <w:rPr>
          <w:color w:val="231F20"/>
          <w:spacing w:val="3"/>
        </w:rPr>
        <w:t>vio- </w:t>
      </w:r>
      <w:r>
        <w:rPr>
          <w:color w:val="231F20"/>
          <w:spacing w:val="2"/>
        </w:rPr>
        <w:t>lencia, </w:t>
      </w:r>
      <w:r>
        <w:rPr>
          <w:color w:val="231F20"/>
        </w:rPr>
        <w:t>la </w:t>
      </w:r>
      <w:r>
        <w:rPr>
          <w:color w:val="231F20"/>
          <w:spacing w:val="2"/>
        </w:rPr>
        <w:t>violencia </w:t>
      </w:r>
      <w:r>
        <w:rPr>
          <w:color w:val="231F20"/>
          <w:spacing w:val="3"/>
        </w:rPr>
        <w:t>emocional, </w:t>
      </w:r>
      <w:r>
        <w:rPr>
          <w:color w:val="231F20"/>
        </w:rPr>
        <w:t>en </w:t>
      </w:r>
      <w:r>
        <w:rPr>
          <w:color w:val="231F20"/>
          <w:spacing w:val="2"/>
        </w:rPr>
        <w:t>tanto que </w:t>
      </w:r>
      <w:r>
        <w:rPr>
          <w:color w:val="231F20"/>
        </w:rPr>
        <w:t>ella se </w:t>
      </w:r>
      <w:r>
        <w:rPr>
          <w:color w:val="231F20"/>
          <w:spacing w:val="2"/>
        </w:rPr>
        <w:t>expresa </w:t>
      </w:r>
      <w:r>
        <w:rPr>
          <w:color w:val="231F20"/>
        </w:rPr>
        <w:t>en </w:t>
      </w:r>
      <w:r>
        <w:rPr>
          <w:color w:val="231F20"/>
          <w:spacing w:val="3"/>
        </w:rPr>
        <w:t>“…cualquier </w:t>
      </w:r>
      <w:r>
        <w:rPr>
          <w:color w:val="231F20"/>
          <w:spacing w:val="2"/>
        </w:rPr>
        <w:t>omisión </w:t>
      </w:r>
      <w:r>
        <w:rPr>
          <w:color w:val="231F20"/>
        </w:rPr>
        <w:t>u </w:t>
      </w:r>
      <w:r>
        <w:rPr>
          <w:color w:val="231F20"/>
          <w:spacing w:val="2"/>
        </w:rPr>
        <w:t>acción que causa </w:t>
      </w:r>
      <w:r>
        <w:rPr>
          <w:color w:val="231F20"/>
        </w:rPr>
        <w:t>o </w:t>
      </w:r>
      <w:r>
        <w:rPr>
          <w:color w:val="231F20"/>
          <w:spacing w:val="2"/>
        </w:rPr>
        <w:t>pueda causar directa- mente </w:t>
      </w:r>
      <w:r>
        <w:rPr>
          <w:color w:val="231F20"/>
        </w:rPr>
        <w:t>un </w:t>
      </w:r>
      <w:r>
        <w:rPr>
          <w:color w:val="231F20"/>
          <w:spacing w:val="2"/>
        </w:rPr>
        <w:t>daño psicológico. Suele valerse </w:t>
      </w:r>
      <w:r>
        <w:rPr>
          <w:color w:val="231F20"/>
        </w:rPr>
        <w:t>del </w:t>
      </w:r>
      <w:r>
        <w:rPr>
          <w:color w:val="231F20"/>
          <w:spacing w:val="2"/>
        </w:rPr>
        <w:t>lenguaje, tanto </w:t>
      </w:r>
      <w:r>
        <w:rPr>
          <w:color w:val="231F20"/>
          <w:spacing w:val="3"/>
        </w:rPr>
        <w:t>ver- </w:t>
      </w:r>
      <w:r>
        <w:rPr>
          <w:color w:val="231F20"/>
          <w:spacing w:val="2"/>
        </w:rPr>
        <w:t>bal </w:t>
      </w:r>
      <w:r>
        <w:rPr>
          <w:color w:val="231F20"/>
          <w:spacing w:val="3"/>
        </w:rPr>
        <w:t>como </w:t>
      </w:r>
      <w:r>
        <w:rPr>
          <w:color w:val="231F20"/>
          <w:spacing w:val="2"/>
        </w:rPr>
        <w:t>gestual. Está </w:t>
      </w:r>
      <w:r>
        <w:rPr>
          <w:color w:val="231F20"/>
          <w:spacing w:val="3"/>
        </w:rPr>
        <w:t>paradigmáticamente representada </w:t>
      </w:r>
      <w:r>
        <w:rPr>
          <w:color w:val="231F20"/>
          <w:spacing w:val="2"/>
        </w:rPr>
        <w:t>por </w:t>
      </w:r>
      <w:r>
        <w:rPr>
          <w:color w:val="231F20"/>
        </w:rPr>
        <w:t>el </w:t>
      </w:r>
      <w:r>
        <w:rPr>
          <w:color w:val="231F20"/>
          <w:spacing w:val="2"/>
        </w:rPr>
        <w:t>insulto” (San Martín, s/f). Por </w:t>
      </w:r>
      <w:r>
        <w:rPr>
          <w:color w:val="231F20"/>
        </w:rPr>
        <w:t>lo </w:t>
      </w:r>
      <w:r>
        <w:rPr>
          <w:color w:val="231F20"/>
          <w:spacing w:val="2"/>
        </w:rPr>
        <w:t>que, </w:t>
      </w:r>
      <w:r>
        <w:rPr>
          <w:color w:val="231F20"/>
        </w:rPr>
        <w:t>en las </w:t>
      </w:r>
      <w:r>
        <w:rPr>
          <w:color w:val="231F20"/>
          <w:spacing w:val="2"/>
        </w:rPr>
        <w:t>expresiones </w:t>
      </w:r>
      <w:r>
        <w:rPr>
          <w:color w:val="231F20"/>
        </w:rPr>
        <w:t>de </w:t>
      </w:r>
      <w:r>
        <w:rPr>
          <w:color w:val="231F20"/>
          <w:spacing w:val="3"/>
        </w:rPr>
        <w:t>vio- </w:t>
      </w:r>
      <w:r>
        <w:rPr>
          <w:color w:val="231F20"/>
          <w:spacing w:val="2"/>
        </w:rPr>
        <w:t>lencia </w:t>
      </w:r>
      <w:r>
        <w:rPr>
          <w:color w:val="231F20"/>
        </w:rPr>
        <w:t>en el </w:t>
      </w:r>
      <w:r>
        <w:rPr>
          <w:color w:val="231F20"/>
          <w:spacing w:val="2"/>
        </w:rPr>
        <w:t>trato cotidiano entre sus actores, </w:t>
      </w:r>
      <w:r>
        <w:rPr>
          <w:color w:val="231F20"/>
        </w:rPr>
        <w:t>no </w:t>
      </w:r>
      <w:r>
        <w:rPr>
          <w:color w:val="231F20"/>
          <w:spacing w:val="3"/>
        </w:rPr>
        <w:t>podemos encon- </w:t>
      </w:r>
      <w:r>
        <w:rPr>
          <w:color w:val="231F20"/>
          <w:spacing w:val="2"/>
        </w:rPr>
        <w:t>trarla </w:t>
      </w:r>
      <w:r>
        <w:rPr>
          <w:color w:val="231F20"/>
        </w:rPr>
        <w:t>en </w:t>
      </w:r>
      <w:r>
        <w:rPr>
          <w:color w:val="231F20"/>
          <w:spacing w:val="2"/>
        </w:rPr>
        <w:t>sus </w:t>
      </w:r>
      <w:r>
        <w:rPr>
          <w:color w:val="231F20"/>
          <w:spacing w:val="3"/>
        </w:rPr>
        <w:t>manifestaciones </w:t>
      </w:r>
      <w:r>
        <w:rPr>
          <w:color w:val="231F20"/>
        </w:rPr>
        <w:t>de </w:t>
      </w:r>
      <w:r>
        <w:rPr>
          <w:color w:val="231F20"/>
          <w:spacing w:val="2"/>
        </w:rPr>
        <w:t>índole física, </w:t>
      </w:r>
      <w:r>
        <w:rPr>
          <w:color w:val="231F20"/>
        </w:rPr>
        <w:t>es </w:t>
      </w:r>
      <w:r>
        <w:rPr>
          <w:color w:val="231F20"/>
          <w:spacing w:val="2"/>
        </w:rPr>
        <w:t>decir, </w:t>
      </w:r>
      <w:r>
        <w:rPr>
          <w:color w:val="231F20"/>
        </w:rPr>
        <w:t>de </w:t>
      </w:r>
      <w:r>
        <w:rPr>
          <w:color w:val="231F20"/>
          <w:spacing w:val="3"/>
        </w:rPr>
        <w:t>“accio- </w:t>
      </w:r>
      <w:r>
        <w:rPr>
          <w:color w:val="231F20"/>
          <w:spacing w:val="2"/>
        </w:rPr>
        <w:t>nes negativas”; mas </w:t>
      </w:r>
      <w:r>
        <w:rPr>
          <w:color w:val="231F20"/>
        </w:rPr>
        <w:t>sí, en las de </w:t>
      </w:r>
      <w:r>
        <w:rPr>
          <w:color w:val="231F20"/>
          <w:spacing w:val="2"/>
        </w:rPr>
        <w:t>palabra, </w:t>
      </w:r>
      <w:r>
        <w:rPr>
          <w:color w:val="231F20"/>
          <w:spacing w:val="3"/>
        </w:rPr>
        <w:t>como </w:t>
      </w:r>
      <w:r>
        <w:rPr>
          <w:color w:val="231F20"/>
          <w:spacing w:val="2"/>
        </w:rPr>
        <w:t>pueden </w:t>
      </w:r>
      <w:r>
        <w:rPr>
          <w:color w:val="231F20"/>
        </w:rPr>
        <w:t>ser </w:t>
      </w:r>
      <w:r>
        <w:rPr>
          <w:color w:val="231F20"/>
          <w:spacing w:val="3"/>
        </w:rPr>
        <w:t>amena- </w:t>
      </w:r>
      <w:r>
        <w:rPr>
          <w:color w:val="231F20"/>
          <w:spacing w:val="2"/>
        </w:rPr>
        <w:t>zas, burlas, </w:t>
      </w:r>
      <w:r>
        <w:rPr>
          <w:color w:val="231F20"/>
          <w:spacing w:val="3"/>
        </w:rPr>
        <w:t>tomaduras </w:t>
      </w:r>
      <w:r>
        <w:rPr>
          <w:color w:val="231F20"/>
        </w:rPr>
        <w:t>de </w:t>
      </w:r>
      <w:r>
        <w:rPr>
          <w:color w:val="231F20"/>
          <w:spacing w:val="2"/>
        </w:rPr>
        <w:t>pelo, </w:t>
      </w:r>
      <w:r>
        <w:rPr>
          <w:color w:val="231F20"/>
          <w:spacing w:val="3"/>
        </w:rPr>
        <w:t>poner motes </w:t>
      </w:r>
      <w:r>
        <w:rPr>
          <w:color w:val="231F20"/>
        </w:rPr>
        <w:t>o  </w:t>
      </w:r>
      <w:r>
        <w:rPr>
          <w:color w:val="231F20"/>
          <w:spacing w:val="3"/>
        </w:rPr>
        <w:t>sobrenombres,  </w:t>
      </w:r>
      <w:r>
        <w:rPr>
          <w:color w:val="231F20"/>
          <w:spacing w:val="2"/>
        </w:rPr>
        <w:t>hacer muecas, gestos </w:t>
      </w:r>
      <w:r>
        <w:rPr>
          <w:color w:val="231F20"/>
          <w:spacing w:val="3"/>
        </w:rPr>
        <w:t>obscenos, </w:t>
      </w:r>
      <w:r>
        <w:rPr>
          <w:color w:val="231F20"/>
          <w:spacing w:val="2"/>
        </w:rPr>
        <w:t>excluir </w:t>
      </w:r>
      <w:r>
        <w:rPr>
          <w:color w:val="231F20"/>
        </w:rPr>
        <w:t>o </w:t>
      </w:r>
      <w:r>
        <w:rPr>
          <w:color w:val="231F20"/>
          <w:spacing w:val="2"/>
        </w:rPr>
        <w:t>segregar </w:t>
      </w:r>
      <w:r>
        <w:rPr>
          <w:color w:val="231F20"/>
        </w:rPr>
        <w:t>a </w:t>
      </w:r>
      <w:r>
        <w:rPr>
          <w:color w:val="231F20"/>
          <w:spacing w:val="2"/>
        </w:rPr>
        <w:t>alguien </w:t>
      </w:r>
      <w:r>
        <w:rPr>
          <w:color w:val="231F20"/>
        </w:rPr>
        <w:t>de un </w:t>
      </w:r>
      <w:r>
        <w:rPr>
          <w:color w:val="231F20"/>
          <w:spacing w:val="2"/>
        </w:rPr>
        <w:t>grupo </w:t>
      </w:r>
      <w:r>
        <w:rPr>
          <w:color w:val="231F20"/>
        </w:rPr>
        <w:t>de </w:t>
      </w:r>
      <w:r>
        <w:rPr>
          <w:color w:val="231F20"/>
          <w:spacing w:val="2"/>
        </w:rPr>
        <w:t>trabajo, aplicar </w:t>
      </w:r>
      <w:r>
        <w:rPr>
          <w:color w:val="231F20"/>
        </w:rPr>
        <w:t>la “ley del </w:t>
      </w:r>
      <w:r>
        <w:rPr>
          <w:color w:val="231F20"/>
          <w:spacing w:val="2"/>
        </w:rPr>
        <w:t>hielo” </w:t>
      </w:r>
      <w:r>
        <w:rPr>
          <w:color w:val="231F20"/>
          <w:spacing w:val="3"/>
        </w:rPr>
        <w:t>(Olweus, </w:t>
      </w:r>
      <w:r>
        <w:rPr>
          <w:color w:val="231F20"/>
          <w:spacing w:val="2"/>
        </w:rPr>
        <w:t>2006:25), </w:t>
      </w:r>
      <w:r>
        <w:rPr>
          <w:color w:val="231F20"/>
        </w:rPr>
        <w:t>o </w:t>
      </w:r>
      <w:r>
        <w:rPr>
          <w:color w:val="231F20"/>
          <w:spacing w:val="2"/>
        </w:rPr>
        <w:t>insultos, malas palabras </w:t>
      </w:r>
      <w:r>
        <w:rPr>
          <w:color w:val="231F20"/>
        </w:rPr>
        <w:t>o </w:t>
      </w:r>
      <w:r>
        <w:rPr>
          <w:color w:val="231F20"/>
          <w:spacing w:val="2"/>
        </w:rPr>
        <w:t>humillaciones, </w:t>
      </w:r>
      <w:r>
        <w:rPr>
          <w:color w:val="231F20"/>
        </w:rPr>
        <w:t>es </w:t>
      </w:r>
      <w:r>
        <w:rPr>
          <w:color w:val="231F20"/>
          <w:spacing w:val="2"/>
        </w:rPr>
        <w:t>decir, una violencia más psicológica </w:t>
      </w:r>
      <w:r>
        <w:rPr>
          <w:color w:val="231F20"/>
        </w:rPr>
        <w:t>a </w:t>
      </w:r>
      <w:r>
        <w:rPr>
          <w:color w:val="231F20"/>
          <w:spacing w:val="2"/>
        </w:rPr>
        <w:t>decir </w:t>
      </w:r>
      <w:r>
        <w:rPr>
          <w:color w:val="231F20"/>
        </w:rPr>
        <w:t>de </w:t>
      </w:r>
      <w:r>
        <w:rPr>
          <w:color w:val="231F20"/>
          <w:spacing w:val="2"/>
        </w:rPr>
        <w:t>Ortega </w:t>
      </w:r>
      <w:r>
        <w:rPr>
          <w:color w:val="231F20"/>
        </w:rPr>
        <w:t>y </w:t>
      </w:r>
      <w:r>
        <w:rPr>
          <w:color w:val="231F20"/>
          <w:spacing w:val="3"/>
        </w:rPr>
        <w:t>Mora-Merchán (González </w:t>
      </w:r>
      <w:r>
        <w:rPr>
          <w:color w:val="231F20"/>
        </w:rPr>
        <w:t>y </w:t>
      </w:r>
      <w:r>
        <w:rPr>
          <w:color w:val="231F20"/>
          <w:spacing w:val="2"/>
        </w:rPr>
        <w:t>Guerrero,</w:t>
      </w:r>
      <w:r>
        <w:rPr>
          <w:color w:val="231F20"/>
          <w:spacing w:val="-14"/>
        </w:rPr>
        <w:t> </w:t>
      </w:r>
      <w:r>
        <w:rPr>
          <w:color w:val="231F20"/>
          <w:spacing w:val="2"/>
        </w:rPr>
        <w:t>2003:289).</w:t>
      </w:r>
    </w:p>
    <w:p>
      <w:pPr>
        <w:pStyle w:val="BodyText"/>
        <w:spacing w:line="249" w:lineRule="auto"/>
        <w:ind w:left="101" w:right="115" w:firstLine="284"/>
        <w:jc w:val="both"/>
      </w:pPr>
      <w:r>
        <w:rPr>
          <w:color w:val="231F20"/>
        </w:rPr>
        <w:t>En un </w:t>
      </w:r>
      <w:r>
        <w:rPr>
          <w:color w:val="231F20"/>
          <w:spacing w:val="2"/>
        </w:rPr>
        <w:t>estudio piloto (1984), </w:t>
      </w:r>
      <w:r>
        <w:rPr>
          <w:color w:val="231F20"/>
          <w:spacing w:val="3"/>
        </w:rPr>
        <w:t>Rosenberg </w:t>
      </w:r>
      <w:r>
        <w:rPr>
          <w:color w:val="231F20"/>
        </w:rPr>
        <w:t>&amp; </w:t>
      </w:r>
      <w:r>
        <w:rPr>
          <w:color w:val="231F20"/>
          <w:spacing w:val="2"/>
        </w:rPr>
        <w:t>Silver trabajaron  con dos </w:t>
      </w:r>
      <w:r>
        <w:rPr>
          <w:color w:val="231F20"/>
          <w:spacing w:val="3"/>
        </w:rPr>
        <w:t>grupos, </w:t>
      </w:r>
      <w:r>
        <w:rPr>
          <w:color w:val="231F20"/>
          <w:spacing w:val="2"/>
        </w:rPr>
        <w:t>uno </w:t>
      </w:r>
      <w:r>
        <w:rPr>
          <w:color w:val="231F20"/>
        </w:rPr>
        <w:t>de </w:t>
      </w:r>
      <w:r>
        <w:rPr>
          <w:color w:val="231F20"/>
          <w:spacing w:val="3"/>
        </w:rPr>
        <w:t>médicos </w:t>
      </w:r>
      <w:r>
        <w:rPr>
          <w:color w:val="231F20"/>
        </w:rPr>
        <w:t>y </w:t>
      </w:r>
      <w:r>
        <w:rPr>
          <w:color w:val="231F20"/>
          <w:spacing w:val="2"/>
        </w:rPr>
        <w:t>otro </w:t>
      </w:r>
      <w:r>
        <w:rPr>
          <w:color w:val="231F20"/>
        </w:rPr>
        <w:t>de </w:t>
      </w:r>
      <w:r>
        <w:rPr>
          <w:color w:val="231F20"/>
          <w:spacing w:val="2"/>
        </w:rPr>
        <w:t>estudiantes </w:t>
      </w:r>
      <w:r>
        <w:rPr>
          <w:color w:val="231F20"/>
        </w:rPr>
        <w:t>de </w:t>
      </w:r>
      <w:r>
        <w:rPr>
          <w:color w:val="231F20"/>
          <w:spacing w:val="2"/>
        </w:rPr>
        <w:t>medici- na; </w:t>
      </w:r>
      <w:r>
        <w:rPr>
          <w:color w:val="231F20"/>
        </w:rPr>
        <w:t>en el </w:t>
      </w:r>
      <w:r>
        <w:rPr>
          <w:color w:val="231F20"/>
          <w:spacing w:val="3"/>
        </w:rPr>
        <w:t>primero, encontraron testimonios </w:t>
      </w:r>
      <w:r>
        <w:rPr>
          <w:color w:val="231F20"/>
          <w:spacing w:val="2"/>
        </w:rPr>
        <w:t>sobre los efectos </w:t>
      </w:r>
      <w:r>
        <w:rPr>
          <w:color w:val="231F20"/>
          <w:spacing w:val="3"/>
        </w:rPr>
        <w:t>nega- </w:t>
      </w:r>
      <w:r>
        <w:rPr>
          <w:color w:val="231F20"/>
          <w:spacing w:val="2"/>
        </w:rPr>
        <w:t>tivos </w:t>
      </w:r>
      <w:r>
        <w:rPr>
          <w:color w:val="231F20"/>
        </w:rPr>
        <w:t>del </w:t>
      </w:r>
      <w:r>
        <w:rPr>
          <w:color w:val="231F20"/>
          <w:spacing w:val="2"/>
        </w:rPr>
        <w:t>abuso </w:t>
      </w:r>
      <w:r>
        <w:rPr>
          <w:color w:val="231F20"/>
        </w:rPr>
        <w:t>al </w:t>
      </w:r>
      <w:r>
        <w:rPr>
          <w:color w:val="231F20"/>
          <w:spacing w:val="2"/>
        </w:rPr>
        <w:t>que habían </w:t>
      </w:r>
      <w:r>
        <w:rPr>
          <w:color w:val="231F20"/>
        </w:rPr>
        <w:t>sido </w:t>
      </w:r>
      <w:r>
        <w:rPr>
          <w:color w:val="231F20"/>
          <w:spacing w:val="3"/>
        </w:rPr>
        <w:t>expuestos, </w:t>
      </w:r>
      <w:r>
        <w:rPr>
          <w:color w:val="231F20"/>
        </w:rPr>
        <w:t>y </w:t>
      </w:r>
      <w:r>
        <w:rPr>
          <w:color w:val="231F20"/>
          <w:spacing w:val="2"/>
        </w:rPr>
        <w:t>cuyo resultado </w:t>
      </w:r>
      <w:r>
        <w:rPr>
          <w:color w:val="231F20"/>
        </w:rPr>
        <w:t>se </w:t>
      </w:r>
      <w:r>
        <w:rPr>
          <w:color w:val="231F20"/>
          <w:spacing w:val="2"/>
        </w:rPr>
        <w:t>reflejaba </w:t>
      </w:r>
      <w:r>
        <w:rPr>
          <w:color w:val="231F20"/>
        </w:rPr>
        <w:t>en un </w:t>
      </w:r>
      <w:r>
        <w:rPr>
          <w:color w:val="231F20"/>
          <w:spacing w:val="2"/>
        </w:rPr>
        <w:t>bajo </w:t>
      </w:r>
      <w:r>
        <w:rPr>
          <w:color w:val="231F20"/>
          <w:spacing w:val="3"/>
        </w:rPr>
        <w:t>aprendizaje, </w:t>
      </w:r>
      <w:r>
        <w:rPr>
          <w:color w:val="231F20"/>
          <w:spacing w:val="2"/>
        </w:rPr>
        <w:t>baja autoestima, </w:t>
      </w:r>
      <w:r>
        <w:rPr>
          <w:color w:val="231F20"/>
        </w:rPr>
        <w:t>y </w:t>
      </w:r>
      <w:r>
        <w:rPr>
          <w:color w:val="231F20"/>
          <w:spacing w:val="2"/>
        </w:rPr>
        <w:t>poco  </w:t>
      </w:r>
      <w:r>
        <w:rPr>
          <w:color w:val="231F20"/>
          <w:spacing w:val="3"/>
        </w:rPr>
        <w:t>interés </w:t>
      </w:r>
      <w:r>
        <w:rPr>
          <w:color w:val="231F20"/>
          <w:spacing w:val="2"/>
        </w:rPr>
        <w:t>por los cuidados del paciente; </w:t>
      </w:r>
      <w:r>
        <w:rPr>
          <w:color w:val="231F20"/>
        </w:rPr>
        <w:t>en el </w:t>
      </w:r>
      <w:r>
        <w:rPr>
          <w:color w:val="231F20"/>
          <w:spacing w:val="2"/>
        </w:rPr>
        <w:t>grupo </w:t>
      </w:r>
      <w:r>
        <w:rPr>
          <w:color w:val="231F20"/>
        </w:rPr>
        <w:t>de </w:t>
      </w:r>
      <w:r>
        <w:rPr>
          <w:color w:val="231F20"/>
          <w:spacing w:val="2"/>
        </w:rPr>
        <w:t>estudiantes, </w:t>
      </w:r>
      <w:r>
        <w:rPr>
          <w:color w:val="231F20"/>
        </w:rPr>
        <w:t>se </w:t>
      </w:r>
      <w:r>
        <w:rPr>
          <w:color w:val="231F20"/>
          <w:spacing w:val="2"/>
        </w:rPr>
        <w:t>repor- </w:t>
      </w:r>
      <w:r>
        <w:rPr>
          <w:color w:val="231F20"/>
        </w:rPr>
        <w:t>tó </w:t>
      </w:r>
      <w:r>
        <w:rPr>
          <w:color w:val="231F20"/>
          <w:spacing w:val="2"/>
        </w:rPr>
        <w:t>que casi </w:t>
      </w:r>
      <w:r>
        <w:rPr>
          <w:color w:val="231F20"/>
        </w:rPr>
        <w:t>la </w:t>
      </w:r>
      <w:r>
        <w:rPr>
          <w:color w:val="231F20"/>
          <w:spacing w:val="2"/>
        </w:rPr>
        <w:t>mitad había vivido episodios </w:t>
      </w:r>
      <w:r>
        <w:rPr>
          <w:color w:val="231F20"/>
        </w:rPr>
        <w:t>de </w:t>
      </w:r>
      <w:r>
        <w:rPr>
          <w:color w:val="231F20"/>
          <w:spacing w:val="2"/>
        </w:rPr>
        <w:t>abuso por parte </w:t>
      </w:r>
      <w:r>
        <w:rPr>
          <w:color w:val="231F20"/>
        </w:rPr>
        <w:t>de </w:t>
      </w:r>
      <w:r>
        <w:rPr>
          <w:color w:val="231F20"/>
          <w:spacing w:val="2"/>
        </w:rPr>
        <w:t>médicos, </w:t>
      </w:r>
      <w:r>
        <w:rPr>
          <w:color w:val="231F20"/>
        </w:rPr>
        <w:t>lo </w:t>
      </w:r>
      <w:r>
        <w:rPr>
          <w:color w:val="231F20"/>
          <w:spacing w:val="2"/>
        </w:rPr>
        <w:t>que había resultado </w:t>
      </w:r>
      <w:r>
        <w:rPr>
          <w:color w:val="231F20"/>
        </w:rPr>
        <w:t>en </w:t>
      </w:r>
      <w:r>
        <w:rPr>
          <w:color w:val="231F20"/>
          <w:spacing w:val="2"/>
        </w:rPr>
        <w:t>alteraciones </w:t>
      </w:r>
      <w:r>
        <w:rPr>
          <w:color w:val="231F20"/>
        </w:rPr>
        <w:t>en su </w:t>
      </w:r>
      <w:r>
        <w:rPr>
          <w:color w:val="231F20"/>
          <w:spacing w:val="2"/>
        </w:rPr>
        <w:t>capacidad </w:t>
      </w:r>
      <w:r>
        <w:rPr>
          <w:color w:val="231F20"/>
        </w:rPr>
        <w:t>de </w:t>
      </w:r>
      <w:r>
        <w:rPr>
          <w:color w:val="231F20"/>
          <w:spacing w:val="2"/>
        </w:rPr>
        <w:t>aprendizaje, suintención </w:t>
      </w:r>
      <w:r>
        <w:rPr>
          <w:color w:val="231F20"/>
        </w:rPr>
        <w:t>de ser </w:t>
      </w:r>
      <w:r>
        <w:rPr>
          <w:color w:val="231F20"/>
          <w:spacing w:val="3"/>
        </w:rPr>
        <w:t>médicos </w:t>
      </w:r>
      <w:r>
        <w:rPr>
          <w:color w:val="231F20"/>
        </w:rPr>
        <w:t>y la </w:t>
      </w:r>
      <w:r>
        <w:rPr>
          <w:color w:val="231F20"/>
          <w:spacing w:val="3"/>
        </w:rPr>
        <w:t>manera </w:t>
      </w:r>
      <w:r>
        <w:rPr>
          <w:color w:val="231F20"/>
        </w:rPr>
        <w:t>de </w:t>
      </w:r>
      <w:r>
        <w:rPr>
          <w:color w:val="231F20"/>
          <w:spacing w:val="2"/>
        </w:rPr>
        <w:t>enfrentar los retos </w:t>
      </w:r>
      <w:r>
        <w:rPr>
          <w:color w:val="231F20"/>
        </w:rPr>
        <w:t>de su </w:t>
      </w:r>
      <w:r>
        <w:rPr>
          <w:color w:val="231F20"/>
          <w:spacing w:val="2"/>
        </w:rPr>
        <w:t>educación (Silver, 1990:527). </w:t>
      </w:r>
      <w:r>
        <w:rPr>
          <w:color w:val="231F20"/>
        </w:rPr>
        <w:t>En </w:t>
      </w:r>
      <w:r>
        <w:rPr>
          <w:color w:val="231F20"/>
          <w:spacing w:val="2"/>
        </w:rPr>
        <w:t>1991 Baldwin </w:t>
      </w:r>
      <w:r>
        <w:rPr>
          <w:color w:val="231F20"/>
        </w:rPr>
        <w:t>et  al.  </w:t>
      </w:r>
      <w:r>
        <w:rPr>
          <w:color w:val="231F20"/>
          <w:spacing w:val="2"/>
        </w:rPr>
        <w:t>(citado por </w:t>
      </w:r>
      <w:r>
        <w:rPr>
          <w:color w:val="231F20"/>
          <w:spacing w:val="3"/>
        </w:rPr>
        <w:t>Daugherty, </w:t>
      </w:r>
      <w:r>
        <w:rPr>
          <w:color w:val="231F20"/>
          <w:spacing w:val="2"/>
        </w:rPr>
        <w:t>1998) </w:t>
      </w:r>
      <w:r>
        <w:rPr>
          <w:color w:val="231F20"/>
          <w:spacing w:val="3"/>
        </w:rPr>
        <w:t>encontraron </w:t>
      </w:r>
      <w:r>
        <w:rPr>
          <w:color w:val="231F20"/>
          <w:spacing w:val="2"/>
        </w:rPr>
        <w:t>que </w:t>
      </w:r>
      <w:r>
        <w:rPr>
          <w:color w:val="231F20"/>
        </w:rPr>
        <w:t>el  96%  de  </w:t>
      </w:r>
      <w:r>
        <w:rPr>
          <w:color w:val="231F20"/>
          <w:spacing w:val="2"/>
        </w:rPr>
        <w:t> </w:t>
      </w:r>
      <w:r>
        <w:rPr>
          <w:color w:val="231F20"/>
        </w:rPr>
        <w:t>581</w:t>
      </w:r>
    </w:p>
    <w:p>
      <w:pPr>
        <w:spacing w:after="0" w:line="249" w:lineRule="auto"/>
        <w:jc w:val="both"/>
        <w:sectPr>
          <w:headerReference w:type="default" r:id="rId427"/>
          <w:footerReference w:type="default" r:id="rId428"/>
          <w:pgSz w:w="7830" w:h="11910"/>
          <w:pgMar w:header="0" w:footer="424" w:top="500" w:bottom="620" w:left="920" w:right="900"/>
          <w:pgNumType w:start="19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rPr>
          <w:sz w:val="20"/>
        </w:rPr>
      </w:pPr>
    </w:p>
    <w:p>
      <w:pPr>
        <w:pStyle w:val="BodyText"/>
        <w:spacing w:line="249" w:lineRule="auto"/>
        <w:ind w:left="102" w:right="115"/>
        <w:jc w:val="both"/>
      </w:pPr>
      <w:r>
        <w:rPr>
          <w:color w:val="231F20"/>
        </w:rPr>
        <w:t>estudiantes había vivido al menos un episodio de maltrato a ma- nos de sus supervisores o maestros. Recientemente, estudiantes de 16 escuelas de medicina en Estados Unidos, reportaron que al menos el 85% de ellos, había sido objeto de hostigamiento o me- nosprecio, y que el 40% había sufrido ambos; entre los perpetra- dores, se encontraban compañeros, pacientes, residentes y profe- sores. El 13% valoraba los hechos como graves (F. Wood, 2006).</w:t>
      </w:r>
    </w:p>
    <w:p>
      <w:pPr>
        <w:pStyle w:val="BodyText"/>
        <w:spacing w:line="247" w:lineRule="auto"/>
        <w:ind w:left="101" w:right="115" w:firstLine="284"/>
        <w:jc w:val="both"/>
      </w:pPr>
      <w:r>
        <w:rPr>
          <w:color w:val="231F20"/>
        </w:rPr>
        <w:t>Por lo que corresponde a las(os) enfermeras(os), diversos es- tudios muestran que estos son, dentro del personal del equipo de salud, los más amenazadores, entre sus víctimas se cuentan a los(as) estudiantes, personal de enfermería, enfermeras superviso- ras y personal de ambulancias. Asimismo, entre los casos de mal- trato más comunes, figura el hostigamiento sexual, que ha sido padecido por el 69% de las enfermeras del Reino Unido, 48% en Irlanda y 76% en los Estados Unidos (Letelier, 2002).</w:t>
      </w:r>
    </w:p>
    <w:p>
      <w:pPr>
        <w:pStyle w:val="BodyText"/>
        <w:spacing w:line="249" w:lineRule="auto" w:before="1"/>
        <w:ind w:left="101" w:right="116" w:firstLine="284"/>
        <w:jc w:val="both"/>
      </w:pPr>
      <w:r>
        <w:rPr>
          <w:color w:val="231F20"/>
          <w:spacing w:val="2"/>
        </w:rPr>
        <w:t>Algunos </w:t>
      </w:r>
      <w:r>
        <w:rPr>
          <w:color w:val="231F20"/>
        </w:rPr>
        <w:t>de </w:t>
      </w:r>
      <w:r>
        <w:rPr>
          <w:color w:val="231F20"/>
          <w:spacing w:val="2"/>
        </w:rPr>
        <w:t>los estudios realizados, explican </w:t>
      </w:r>
      <w:r>
        <w:rPr>
          <w:color w:val="231F20"/>
        </w:rPr>
        <w:t>que la </w:t>
      </w:r>
      <w:r>
        <w:rPr>
          <w:color w:val="231F20"/>
          <w:spacing w:val="2"/>
        </w:rPr>
        <w:t>respuesta </w:t>
      </w:r>
      <w:r>
        <w:rPr>
          <w:color w:val="231F20"/>
          <w:spacing w:val="3"/>
        </w:rPr>
        <w:t>al </w:t>
      </w:r>
      <w:r>
        <w:rPr>
          <w:color w:val="231F20"/>
          <w:spacing w:val="2"/>
        </w:rPr>
        <w:t>cuestionario, </w:t>
      </w:r>
      <w:r>
        <w:rPr>
          <w:color w:val="231F20"/>
          <w:spacing w:val="3"/>
        </w:rPr>
        <w:t>toma como </w:t>
      </w:r>
      <w:r>
        <w:rPr>
          <w:color w:val="231F20"/>
          <w:spacing w:val="2"/>
        </w:rPr>
        <w:t>sustento </w:t>
      </w:r>
      <w:r>
        <w:rPr>
          <w:color w:val="231F20"/>
        </w:rPr>
        <w:t>o </w:t>
      </w:r>
      <w:r>
        <w:rPr>
          <w:color w:val="231F20"/>
          <w:spacing w:val="2"/>
        </w:rPr>
        <w:t>base </w:t>
      </w:r>
      <w:r>
        <w:rPr>
          <w:color w:val="231F20"/>
        </w:rPr>
        <w:t>la </w:t>
      </w:r>
      <w:r>
        <w:rPr>
          <w:color w:val="231F20"/>
          <w:spacing w:val="2"/>
        </w:rPr>
        <w:t>experiencia, vivencia </w:t>
      </w:r>
      <w:r>
        <w:rPr>
          <w:color w:val="231F20"/>
          <w:spacing w:val="3"/>
          <w:w w:val="85"/>
        </w:rPr>
        <w:t>y</w:t>
      </w:r>
      <w:r>
        <w:rPr>
          <w:color w:val="231F20"/>
          <w:spacing w:val="4"/>
          <w:w w:val="185"/>
        </w:rPr>
        <w:t>/</w:t>
      </w:r>
      <w:r>
        <w:rPr>
          <w:color w:val="231F20"/>
          <w:w w:val="104"/>
        </w:rPr>
        <w:t>o</w:t>
      </w:r>
      <w:r>
        <w:rPr>
          <w:color w:val="231F20"/>
        </w:rPr>
        <w:t> </w:t>
      </w:r>
      <w:r>
        <w:rPr>
          <w:color w:val="231F20"/>
          <w:spacing w:val="-22"/>
        </w:rPr>
        <w:t> </w:t>
      </w:r>
      <w:r>
        <w:rPr>
          <w:color w:val="231F20"/>
          <w:spacing w:val="3"/>
          <w:w w:val="96"/>
        </w:rPr>
        <w:t>e</w:t>
      </w:r>
      <w:r>
        <w:rPr>
          <w:color w:val="231F20"/>
          <w:w w:val="84"/>
        </w:rPr>
        <w:t>l</w:t>
      </w:r>
      <w:r>
        <w:rPr>
          <w:color w:val="231F20"/>
        </w:rPr>
        <w:t> </w:t>
      </w:r>
      <w:r>
        <w:rPr>
          <w:color w:val="231F20"/>
          <w:spacing w:val="-23"/>
        </w:rPr>
        <w:t> </w:t>
      </w:r>
      <w:r>
        <w:rPr>
          <w:color w:val="231F20"/>
          <w:spacing w:val="4"/>
          <w:w w:val="102"/>
        </w:rPr>
        <w:t>pu</w:t>
      </w:r>
      <w:r>
        <w:rPr>
          <w:color w:val="231F20"/>
          <w:spacing w:val="4"/>
          <w:w w:val="106"/>
        </w:rPr>
        <w:t>n</w:t>
      </w:r>
      <w:r>
        <w:rPr>
          <w:color w:val="231F20"/>
          <w:spacing w:val="3"/>
          <w:w w:val="106"/>
        </w:rPr>
        <w:t>t</w:t>
      </w:r>
      <w:r>
        <w:rPr>
          <w:color w:val="231F20"/>
          <w:w w:val="104"/>
        </w:rPr>
        <w:t>o</w:t>
      </w:r>
      <w:r>
        <w:rPr>
          <w:color w:val="231F20"/>
        </w:rPr>
        <w:t> </w:t>
      </w:r>
      <w:r>
        <w:rPr>
          <w:color w:val="231F20"/>
          <w:spacing w:val="-22"/>
        </w:rPr>
        <w:t> </w:t>
      </w:r>
      <w:r>
        <w:rPr>
          <w:color w:val="231F20"/>
          <w:spacing w:val="4"/>
          <w:w w:val="102"/>
        </w:rPr>
        <w:t>d</w:t>
      </w:r>
      <w:r>
        <w:rPr>
          <w:color w:val="231F20"/>
          <w:w w:val="96"/>
        </w:rPr>
        <w:t>e</w:t>
      </w:r>
      <w:r>
        <w:rPr>
          <w:color w:val="231F20"/>
        </w:rPr>
        <w:t> </w:t>
      </w:r>
      <w:r>
        <w:rPr>
          <w:color w:val="231F20"/>
          <w:spacing w:val="-23"/>
        </w:rPr>
        <w:t> </w:t>
      </w:r>
      <w:r>
        <w:rPr>
          <w:color w:val="231F20"/>
          <w:spacing w:val="3"/>
          <w:w w:val="96"/>
        </w:rPr>
        <w:t>v</w:t>
      </w:r>
      <w:r>
        <w:rPr>
          <w:color w:val="231F20"/>
          <w:spacing w:val="2"/>
          <w:w w:val="84"/>
        </w:rPr>
        <w:t>i</w:t>
      </w:r>
      <w:r>
        <w:rPr>
          <w:color w:val="231F20"/>
          <w:spacing w:val="3"/>
          <w:w w:val="96"/>
        </w:rPr>
        <w:t>s</w:t>
      </w:r>
      <w:r>
        <w:rPr>
          <w:color w:val="231F20"/>
          <w:spacing w:val="3"/>
          <w:w w:val="107"/>
        </w:rPr>
        <w:t>t</w:t>
      </w:r>
      <w:r>
        <w:rPr>
          <w:color w:val="231F20"/>
          <w:w w:val="94"/>
        </w:rPr>
        <w:t>a</w:t>
      </w:r>
      <w:r>
        <w:rPr>
          <w:color w:val="231F20"/>
        </w:rPr>
        <w:t> </w:t>
      </w:r>
      <w:r>
        <w:rPr>
          <w:color w:val="231F20"/>
          <w:spacing w:val="-23"/>
        </w:rPr>
        <w:t> </w:t>
      </w:r>
      <w:r>
        <w:rPr>
          <w:color w:val="231F20"/>
          <w:spacing w:val="4"/>
          <w:w w:val="102"/>
        </w:rPr>
        <w:t>d</w:t>
      </w:r>
      <w:r>
        <w:rPr>
          <w:color w:val="231F20"/>
          <w:w w:val="96"/>
        </w:rPr>
        <w:t>e</w:t>
      </w:r>
      <w:r>
        <w:rPr>
          <w:color w:val="231F20"/>
        </w:rPr>
        <w:t> </w:t>
      </w:r>
      <w:r>
        <w:rPr>
          <w:color w:val="231F20"/>
          <w:spacing w:val="-23"/>
        </w:rPr>
        <w:t> </w:t>
      </w:r>
      <w:r>
        <w:rPr>
          <w:color w:val="231F20"/>
          <w:spacing w:val="2"/>
          <w:w w:val="84"/>
        </w:rPr>
        <w:t>l</w:t>
      </w:r>
      <w:r>
        <w:rPr>
          <w:color w:val="231F20"/>
          <w:spacing w:val="4"/>
          <w:w w:val="101"/>
        </w:rPr>
        <w:t>o</w:t>
      </w:r>
      <w:r>
        <w:rPr>
          <w:color w:val="231F20"/>
          <w:w w:val="101"/>
        </w:rPr>
        <w:t>s</w:t>
      </w:r>
      <w:r>
        <w:rPr>
          <w:color w:val="231F20"/>
        </w:rPr>
        <w:t> </w:t>
      </w:r>
      <w:r>
        <w:rPr>
          <w:color w:val="231F20"/>
          <w:spacing w:val="-23"/>
        </w:rPr>
        <w:t> </w:t>
      </w:r>
      <w:r>
        <w:rPr>
          <w:color w:val="231F20"/>
          <w:spacing w:val="3"/>
          <w:w w:val="96"/>
        </w:rPr>
        <w:t>s</w:t>
      </w:r>
      <w:r>
        <w:rPr>
          <w:color w:val="231F20"/>
          <w:spacing w:val="4"/>
          <w:w w:val="100"/>
        </w:rPr>
        <w:t>u</w:t>
      </w:r>
      <w:r>
        <w:rPr>
          <w:color w:val="231F20"/>
          <w:spacing w:val="2"/>
          <w:w w:val="84"/>
        </w:rPr>
        <w:t>j</w:t>
      </w:r>
      <w:r>
        <w:rPr>
          <w:color w:val="231F20"/>
          <w:spacing w:val="3"/>
          <w:w w:val="96"/>
        </w:rPr>
        <w:t>e</w:t>
      </w:r>
      <w:r>
        <w:rPr>
          <w:color w:val="231F20"/>
          <w:spacing w:val="3"/>
          <w:w w:val="107"/>
        </w:rPr>
        <w:t>t</w:t>
      </w:r>
      <w:r>
        <w:rPr>
          <w:color w:val="231F20"/>
          <w:spacing w:val="4"/>
          <w:w w:val="101"/>
        </w:rPr>
        <w:t>o</w:t>
      </w:r>
      <w:r>
        <w:rPr>
          <w:color w:val="231F20"/>
          <w:w w:val="101"/>
        </w:rPr>
        <w:t>s</w:t>
      </w:r>
      <w:r>
        <w:rPr>
          <w:color w:val="231F20"/>
        </w:rPr>
        <w:t> </w:t>
      </w:r>
      <w:r>
        <w:rPr>
          <w:color w:val="231F20"/>
          <w:spacing w:val="-23"/>
        </w:rPr>
        <w:t> </w:t>
      </w:r>
      <w:r>
        <w:rPr>
          <w:color w:val="231F20"/>
          <w:spacing w:val="2"/>
          <w:w w:val="84"/>
        </w:rPr>
        <w:t>i</w:t>
      </w:r>
      <w:r>
        <w:rPr>
          <w:color w:val="231F20"/>
          <w:spacing w:val="4"/>
          <w:w w:val="100"/>
        </w:rPr>
        <w:t>n</w:t>
      </w:r>
      <w:r>
        <w:rPr>
          <w:color w:val="231F20"/>
          <w:spacing w:val="3"/>
          <w:w w:val="100"/>
        </w:rPr>
        <w:t>v</w:t>
      </w:r>
      <w:r>
        <w:rPr>
          <w:color w:val="231F20"/>
          <w:spacing w:val="4"/>
          <w:w w:val="97"/>
        </w:rPr>
        <w:t>o</w:t>
      </w:r>
      <w:r>
        <w:rPr>
          <w:color w:val="231F20"/>
          <w:spacing w:val="2"/>
          <w:w w:val="97"/>
        </w:rPr>
        <w:t>l</w:t>
      </w:r>
      <w:r>
        <w:rPr>
          <w:color w:val="231F20"/>
          <w:spacing w:val="4"/>
          <w:w w:val="100"/>
        </w:rPr>
        <w:t>u</w:t>
      </w:r>
      <w:r>
        <w:rPr>
          <w:color w:val="231F20"/>
          <w:spacing w:val="3"/>
          <w:w w:val="96"/>
        </w:rPr>
        <w:t>c</w:t>
      </w:r>
      <w:r>
        <w:rPr>
          <w:color w:val="231F20"/>
          <w:spacing w:val="3"/>
          <w:w w:val="103"/>
        </w:rPr>
        <w:t>r</w:t>
      </w:r>
      <w:r>
        <w:rPr>
          <w:color w:val="231F20"/>
          <w:spacing w:val="3"/>
          <w:w w:val="94"/>
        </w:rPr>
        <w:t>a</w:t>
      </w:r>
      <w:r>
        <w:rPr>
          <w:color w:val="231F20"/>
          <w:spacing w:val="4"/>
          <w:w w:val="102"/>
        </w:rPr>
        <w:t>d</w:t>
      </w:r>
      <w:r>
        <w:rPr>
          <w:color w:val="231F20"/>
          <w:spacing w:val="4"/>
          <w:w w:val="101"/>
        </w:rPr>
        <w:t>o</w:t>
      </w:r>
      <w:r>
        <w:rPr>
          <w:color w:val="231F20"/>
          <w:spacing w:val="3"/>
          <w:w w:val="101"/>
        </w:rPr>
        <w:t>s</w:t>
      </w:r>
      <w:r>
        <w:rPr>
          <w:color w:val="231F20"/>
          <w:w w:val="90"/>
        </w:rPr>
        <w:t>,</w:t>
      </w:r>
      <w:r>
        <w:rPr>
          <w:color w:val="231F20"/>
        </w:rPr>
        <w:t> </w:t>
      </w:r>
      <w:r>
        <w:rPr>
          <w:color w:val="231F20"/>
          <w:spacing w:val="-23"/>
        </w:rPr>
        <w:t> </w:t>
      </w:r>
      <w:r>
        <w:rPr>
          <w:color w:val="231F20"/>
          <w:spacing w:val="3"/>
          <w:w w:val="96"/>
        </w:rPr>
        <w:t>e</w:t>
      </w:r>
      <w:r>
        <w:rPr>
          <w:color w:val="231F20"/>
          <w:w w:val="104"/>
        </w:rPr>
        <w:t>n</w:t>
      </w:r>
      <w:r>
        <w:rPr>
          <w:color w:val="231F20"/>
        </w:rPr>
        <w:t> </w:t>
      </w:r>
      <w:r>
        <w:rPr>
          <w:color w:val="231F20"/>
          <w:spacing w:val="-22"/>
        </w:rPr>
        <w:t> </w:t>
      </w:r>
      <w:r>
        <w:rPr>
          <w:color w:val="231F20"/>
          <w:spacing w:val="3"/>
          <w:w w:val="96"/>
        </w:rPr>
        <w:t>e</w:t>
      </w:r>
      <w:r>
        <w:rPr>
          <w:color w:val="231F20"/>
          <w:spacing w:val="2"/>
          <w:w w:val="84"/>
        </w:rPr>
        <w:t>ll</w:t>
      </w:r>
      <w:r>
        <w:rPr>
          <w:color w:val="231F20"/>
          <w:spacing w:val="3"/>
          <w:w w:val="94"/>
        </w:rPr>
        <w:t>a</w:t>
      </w:r>
      <w:r>
        <w:rPr>
          <w:color w:val="231F20"/>
          <w:w w:val="96"/>
        </w:rPr>
        <w:t>s</w:t>
      </w:r>
      <w:r>
        <w:rPr>
          <w:color w:val="231F20"/>
        </w:rPr>
        <w:t> </w:t>
      </w:r>
      <w:r>
        <w:rPr>
          <w:color w:val="231F20"/>
          <w:spacing w:val="-23"/>
        </w:rPr>
        <w:t> </w:t>
      </w:r>
      <w:r>
        <w:rPr>
          <w:color w:val="231F20"/>
          <w:spacing w:val="3"/>
          <w:w w:val="96"/>
        </w:rPr>
        <w:t>s</w:t>
      </w:r>
      <w:r>
        <w:rPr>
          <w:color w:val="231F20"/>
          <w:w w:val="96"/>
        </w:rPr>
        <w:t>e</w:t>
      </w:r>
      <w:r>
        <w:rPr>
          <w:color w:val="231F20"/>
        </w:rPr>
        <w:t> </w:t>
      </w:r>
      <w:r>
        <w:rPr>
          <w:color w:val="231F20"/>
          <w:spacing w:val="-23"/>
        </w:rPr>
        <w:t> </w:t>
      </w:r>
      <w:r>
        <w:rPr>
          <w:color w:val="231F20"/>
          <w:spacing w:val="3"/>
          <w:w w:val="96"/>
        </w:rPr>
        <w:t>e</w:t>
      </w:r>
      <w:r>
        <w:rPr>
          <w:color w:val="231F20"/>
          <w:spacing w:val="3"/>
          <w:w w:val="95"/>
        </w:rPr>
        <w:t>x- </w:t>
      </w:r>
      <w:r>
        <w:rPr>
          <w:color w:val="231F20"/>
          <w:spacing w:val="2"/>
        </w:rPr>
        <w:t>presa </w:t>
      </w:r>
      <w:r>
        <w:rPr>
          <w:color w:val="231F20"/>
        </w:rPr>
        <w:t>su </w:t>
      </w:r>
      <w:r>
        <w:rPr>
          <w:color w:val="231F20"/>
          <w:spacing w:val="2"/>
        </w:rPr>
        <w:t>percepción </w:t>
      </w:r>
      <w:r>
        <w:rPr>
          <w:color w:val="231F20"/>
        </w:rPr>
        <w:t>del </w:t>
      </w:r>
      <w:r>
        <w:rPr>
          <w:color w:val="231F20"/>
          <w:spacing w:val="3"/>
        </w:rPr>
        <w:t>fenómeno </w:t>
      </w:r>
      <w:r>
        <w:rPr>
          <w:color w:val="231F20"/>
        </w:rPr>
        <w:t>en </w:t>
      </w:r>
      <w:r>
        <w:rPr>
          <w:color w:val="231F20"/>
          <w:spacing w:val="2"/>
        </w:rPr>
        <w:t>cuestión, </w:t>
      </w:r>
      <w:r>
        <w:rPr>
          <w:color w:val="231F20"/>
        </w:rPr>
        <w:t>en </w:t>
      </w:r>
      <w:r>
        <w:rPr>
          <w:color w:val="231F20"/>
          <w:spacing w:val="2"/>
        </w:rPr>
        <w:t>tanto </w:t>
      </w:r>
      <w:r>
        <w:rPr>
          <w:color w:val="231F20"/>
          <w:spacing w:val="3"/>
        </w:rPr>
        <w:t>hecho </w:t>
      </w:r>
      <w:r>
        <w:rPr>
          <w:color w:val="231F20"/>
          <w:spacing w:val="2"/>
        </w:rPr>
        <w:t>subjetivo (Silver, 1990). </w:t>
      </w:r>
      <w:r>
        <w:rPr>
          <w:color w:val="231F20"/>
        </w:rPr>
        <w:t>La </w:t>
      </w:r>
      <w:r>
        <w:rPr>
          <w:color w:val="231F20"/>
          <w:spacing w:val="2"/>
        </w:rPr>
        <w:t>percepción </w:t>
      </w:r>
      <w:r>
        <w:rPr>
          <w:color w:val="231F20"/>
        </w:rPr>
        <w:t>la </w:t>
      </w:r>
      <w:r>
        <w:rPr>
          <w:color w:val="231F20"/>
          <w:spacing w:val="3"/>
        </w:rPr>
        <w:t>encontramos </w:t>
      </w:r>
      <w:r>
        <w:rPr>
          <w:color w:val="231F20"/>
        </w:rPr>
        <w:t>en el </w:t>
      </w:r>
      <w:r>
        <w:rPr>
          <w:color w:val="231F20"/>
          <w:spacing w:val="2"/>
        </w:rPr>
        <w:t>cam- </w:t>
      </w:r>
      <w:r>
        <w:rPr>
          <w:color w:val="231F20"/>
        </w:rPr>
        <w:t>po</w:t>
      </w:r>
      <w:r>
        <w:rPr>
          <w:color w:val="231F20"/>
          <w:spacing w:val="-33"/>
        </w:rPr>
        <w:t> </w:t>
      </w:r>
      <w:r>
        <w:rPr>
          <w:color w:val="231F20"/>
        </w:rPr>
        <w:t>de</w:t>
      </w:r>
      <w:r>
        <w:rPr>
          <w:color w:val="231F20"/>
          <w:spacing w:val="-33"/>
        </w:rPr>
        <w:t> </w:t>
      </w:r>
      <w:r>
        <w:rPr>
          <w:color w:val="231F20"/>
        </w:rPr>
        <w:t>las</w:t>
      </w:r>
      <w:r>
        <w:rPr>
          <w:color w:val="231F20"/>
          <w:spacing w:val="-33"/>
        </w:rPr>
        <w:t> </w:t>
      </w:r>
      <w:r>
        <w:rPr>
          <w:i/>
          <w:color w:val="231F20"/>
          <w:spacing w:val="2"/>
        </w:rPr>
        <w:t>representaciones</w:t>
      </w:r>
      <w:r>
        <w:rPr>
          <w:i/>
          <w:color w:val="231F20"/>
          <w:spacing w:val="-33"/>
        </w:rPr>
        <w:t> </w:t>
      </w:r>
      <w:r>
        <w:rPr>
          <w:i/>
          <w:color w:val="231F20"/>
          <w:spacing w:val="2"/>
        </w:rPr>
        <w:t>sociales</w:t>
      </w:r>
      <w:r>
        <w:rPr>
          <w:i/>
          <w:color w:val="231F20"/>
          <w:spacing w:val="-33"/>
        </w:rPr>
        <w:t> </w:t>
      </w:r>
      <w:r>
        <w:rPr>
          <w:color w:val="231F20"/>
        </w:rPr>
        <w:t>en</w:t>
      </w:r>
      <w:r>
        <w:rPr>
          <w:color w:val="231F20"/>
          <w:spacing w:val="-33"/>
        </w:rPr>
        <w:t> </w:t>
      </w:r>
      <w:r>
        <w:rPr>
          <w:color w:val="231F20"/>
        </w:rPr>
        <w:t>un</w:t>
      </w:r>
      <w:r>
        <w:rPr>
          <w:color w:val="231F20"/>
          <w:spacing w:val="-33"/>
        </w:rPr>
        <w:t> </w:t>
      </w:r>
      <w:r>
        <w:rPr>
          <w:color w:val="231F20"/>
          <w:spacing w:val="2"/>
        </w:rPr>
        <w:t>grupo</w:t>
      </w:r>
      <w:r>
        <w:rPr>
          <w:color w:val="231F20"/>
          <w:spacing w:val="-33"/>
        </w:rPr>
        <w:t> </w:t>
      </w:r>
      <w:r>
        <w:rPr>
          <w:color w:val="231F20"/>
          <w:spacing w:val="2"/>
        </w:rPr>
        <w:t>(junto</w:t>
      </w:r>
      <w:r>
        <w:rPr>
          <w:color w:val="231F20"/>
          <w:spacing w:val="-33"/>
        </w:rPr>
        <w:t> </w:t>
      </w:r>
      <w:r>
        <w:rPr>
          <w:color w:val="231F20"/>
        </w:rPr>
        <w:t>a</w:t>
      </w:r>
      <w:r>
        <w:rPr>
          <w:color w:val="231F20"/>
          <w:spacing w:val="-33"/>
        </w:rPr>
        <w:t> </w:t>
      </w:r>
      <w:r>
        <w:rPr>
          <w:color w:val="231F20"/>
        </w:rPr>
        <w:t>las</w:t>
      </w:r>
      <w:r>
        <w:rPr>
          <w:color w:val="231F20"/>
          <w:spacing w:val="-33"/>
        </w:rPr>
        <w:t> </w:t>
      </w:r>
      <w:r>
        <w:rPr>
          <w:color w:val="231F20"/>
          <w:spacing w:val="2"/>
        </w:rPr>
        <w:t>ideologías</w:t>
      </w:r>
      <w:r>
        <w:rPr>
          <w:color w:val="231F20"/>
          <w:spacing w:val="-33"/>
        </w:rPr>
        <w:t> </w:t>
      </w:r>
      <w:r>
        <w:rPr>
          <w:color w:val="231F20"/>
        </w:rPr>
        <w:t>y las </w:t>
      </w:r>
      <w:r>
        <w:rPr>
          <w:color w:val="231F20"/>
          <w:spacing w:val="2"/>
        </w:rPr>
        <w:t>creencias), catalogada </w:t>
      </w:r>
      <w:r>
        <w:rPr>
          <w:color w:val="231F20"/>
          <w:spacing w:val="3"/>
        </w:rPr>
        <w:t>como producciones </w:t>
      </w:r>
      <w:r>
        <w:rPr>
          <w:color w:val="231F20"/>
          <w:spacing w:val="2"/>
        </w:rPr>
        <w:t>mentales </w:t>
      </w:r>
      <w:r>
        <w:rPr>
          <w:color w:val="231F20"/>
        </w:rPr>
        <w:t>de </w:t>
      </w:r>
      <w:r>
        <w:rPr>
          <w:color w:val="231F20"/>
          <w:spacing w:val="2"/>
        </w:rPr>
        <w:t>tipo social, </w:t>
      </w:r>
      <w:r>
        <w:rPr>
          <w:color w:val="231F20"/>
        </w:rPr>
        <w:t>que </w:t>
      </w:r>
      <w:r>
        <w:rPr>
          <w:color w:val="231F20"/>
          <w:spacing w:val="2"/>
        </w:rPr>
        <w:t>cumplen </w:t>
      </w:r>
      <w:r>
        <w:rPr>
          <w:color w:val="231F20"/>
          <w:spacing w:val="3"/>
        </w:rPr>
        <w:t>“…funciones </w:t>
      </w:r>
      <w:r>
        <w:rPr>
          <w:color w:val="231F20"/>
          <w:spacing w:val="2"/>
        </w:rPr>
        <w:t>pragmático-sociales, </w:t>
      </w:r>
      <w:r>
        <w:rPr>
          <w:color w:val="231F20"/>
          <w:spacing w:val="3"/>
        </w:rPr>
        <w:t>orientando </w:t>
      </w:r>
      <w:r>
        <w:rPr>
          <w:color w:val="231F20"/>
        </w:rPr>
        <w:t>la </w:t>
      </w:r>
      <w:r>
        <w:rPr>
          <w:color w:val="231F20"/>
          <w:spacing w:val="3"/>
        </w:rPr>
        <w:t>interpretación-construcción </w:t>
      </w:r>
      <w:r>
        <w:rPr>
          <w:color w:val="231F20"/>
        </w:rPr>
        <w:t>de la </w:t>
      </w:r>
      <w:r>
        <w:rPr>
          <w:color w:val="231F20"/>
          <w:spacing w:val="2"/>
        </w:rPr>
        <w:t>realidad </w:t>
      </w:r>
      <w:r>
        <w:rPr>
          <w:color w:val="231F20"/>
        </w:rPr>
        <w:t>y </w:t>
      </w:r>
      <w:r>
        <w:rPr>
          <w:color w:val="231F20"/>
          <w:spacing w:val="2"/>
        </w:rPr>
        <w:t>guiando tanto </w:t>
      </w:r>
      <w:r>
        <w:rPr>
          <w:color w:val="231F20"/>
        </w:rPr>
        <w:t>las </w:t>
      </w:r>
      <w:r>
        <w:rPr>
          <w:color w:val="231F20"/>
          <w:spacing w:val="3"/>
        </w:rPr>
        <w:t>conductas, como </w:t>
      </w:r>
      <w:r>
        <w:rPr>
          <w:color w:val="231F20"/>
        </w:rPr>
        <w:t>las </w:t>
      </w:r>
      <w:r>
        <w:rPr>
          <w:color w:val="231F20"/>
          <w:spacing w:val="2"/>
        </w:rPr>
        <w:t>relaciones sociales”, </w:t>
      </w:r>
      <w:r>
        <w:rPr>
          <w:color w:val="231F20"/>
        </w:rPr>
        <w:t>la </w:t>
      </w:r>
      <w:r>
        <w:rPr>
          <w:color w:val="231F20"/>
          <w:spacing w:val="2"/>
        </w:rPr>
        <w:t>percepción alude </w:t>
      </w:r>
      <w:r>
        <w:rPr>
          <w:color w:val="231F20"/>
        </w:rPr>
        <w:t>a la </w:t>
      </w:r>
      <w:r>
        <w:rPr>
          <w:color w:val="231F20"/>
          <w:spacing w:val="2"/>
        </w:rPr>
        <w:t>categorización </w:t>
      </w:r>
      <w:r>
        <w:rPr>
          <w:color w:val="231F20"/>
        </w:rPr>
        <w:t>de </w:t>
      </w:r>
      <w:r>
        <w:rPr>
          <w:color w:val="231F20"/>
          <w:spacing w:val="3"/>
        </w:rPr>
        <w:t>personas </w:t>
      </w:r>
      <w:r>
        <w:rPr>
          <w:color w:val="231F20"/>
        </w:rPr>
        <w:t>u </w:t>
      </w:r>
      <w:r>
        <w:rPr>
          <w:color w:val="231F20"/>
          <w:spacing w:val="2"/>
        </w:rPr>
        <w:t>objetos, </w:t>
      </w:r>
      <w:r>
        <w:rPr>
          <w:color w:val="231F20"/>
        </w:rPr>
        <w:t>y se </w:t>
      </w:r>
      <w:r>
        <w:rPr>
          <w:color w:val="231F20"/>
          <w:spacing w:val="2"/>
        </w:rPr>
        <w:t>centra </w:t>
      </w:r>
      <w:r>
        <w:rPr>
          <w:color w:val="231F20"/>
        </w:rPr>
        <w:t>en </w:t>
      </w:r>
      <w:r>
        <w:rPr>
          <w:color w:val="231F20"/>
          <w:spacing w:val="2"/>
        </w:rPr>
        <w:t>los </w:t>
      </w:r>
      <w:r>
        <w:rPr>
          <w:color w:val="231F20"/>
          <w:spacing w:val="3"/>
        </w:rPr>
        <w:t>mecanis- </w:t>
      </w:r>
      <w:r>
        <w:rPr>
          <w:color w:val="231F20"/>
          <w:spacing w:val="2"/>
        </w:rPr>
        <w:t>mos </w:t>
      </w:r>
      <w:r>
        <w:rPr>
          <w:color w:val="231F20"/>
        </w:rPr>
        <w:t>de </w:t>
      </w:r>
      <w:r>
        <w:rPr>
          <w:color w:val="231F20"/>
          <w:spacing w:val="2"/>
        </w:rPr>
        <w:t>respuesta social </w:t>
      </w:r>
      <w:r>
        <w:rPr>
          <w:color w:val="231F20"/>
        </w:rPr>
        <w:t>y de </w:t>
      </w:r>
      <w:r>
        <w:rPr>
          <w:color w:val="231F20"/>
          <w:spacing w:val="2"/>
        </w:rPr>
        <w:t>procesamiento </w:t>
      </w:r>
      <w:r>
        <w:rPr>
          <w:color w:val="231F20"/>
        </w:rPr>
        <w:t>de la </w:t>
      </w:r>
      <w:r>
        <w:rPr>
          <w:color w:val="231F20"/>
          <w:spacing w:val="2"/>
        </w:rPr>
        <w:t>información </w:t>
      </w:r>
      <w:r>
        <w:rPr>
          <w:color w:val="231F20"/>
          <w:spacing w:val="2"/>
          <w:w w:val="95"/>
        </w:rPr>
        <w:t>(Araya,</w:t>
      </w:r>
      <w:r>
        <w:rPr>
          <w:color w:val="231F20"/>
          <w:spacing w:val="6"/>
          <w:w w:val="95"/>
        </w:rPr>
        <w:t> </w:t>
      </w:r>
      <w:r>
        <w:rPr>
          <w:color w:val="231F20"/>
          <w:spacing w:val="2"/>
          <w:w w:val="95"/>
        </w:rPr>
        <w:t>2002).</w:t>
      </w:r>
    </w:p>
    <w:p>
      <w:pPr>
        <w:pStyle w:val="BodyText"/>
        <w:spacing w:line="249" w:lineRule="auto"/>
        <w:ind w:left="102" w:right="114" w:firstLine="283"/>
        <w:jc w:val="both"/>
      </w:pPr>
      <w:r>
        <w:rPr>
          <w:color w:val="231F20"/>
          <w:w w:val="95"/>
        </w:rPr>
        <w:t>Moscovici propuso el concept</w:t>
      </w:r>
      <w:r>
        <w:rPr>
          <w:i/>
          <w:color w:val="231F20"/>
          <w:w w:val="95"/>
        </w:rPr>
        <w:t>representaciones sociales</w:t>
      </w:r>
      <w:r>
        <w:rPr>
          <w:color w:val="231F20"/>
          <w:w w:val="95"/>
        </w:rPr>
        <w:t>o en 1961. </w:t>
      </w:r>
      <w:r>
        <w:rPr>
          <w:color w:val="231F20"/>
        </w:rPr>
        <w:t>Lo reformula en términos psicosociales a partir del concepto de representaciones colectivas de Durkheim (1898), y las define como:</w:t>
      </w:r>
    </w:p>
    <w:p>
      <w:pPr>
        <w:pStyle w:val="BodyText"/>
        <w:spacing w:before="11"/>
        <w:rPr>
          <w:sz w:val="22"/>
        </w:rPr>
      </w:pPr>
    </w:p>
    <w:p>
      <w:pPr>
        <w:spacing w:line="273" w:lineRule="auto" w:before="0"/>
        <w:ind w:left="669" w:right="115" w:firstLine="284"/>
        <w:jc w:val="both"/>
        <w:rPr>
          <w:sz w:val="19"/>
        </w:rPr>
      </w:pPr>
      <w:r>
        <w:rPr>
          <w:color w:val="231F20"/>
          <w:sz w:val="19"/>
        </w:rPr>
        <w:t>El “conjunto de conceptos, declaraciones y explicaciones ori- ginadas en la vida cotidiana, en el curso de las comunicaciones in- terindividuales. Equivalen, en nuestra sociedad, a los mitos y sis- temas de creencias de las sociedades tradicionales; puede, incluso, afirmarse que son la versión contemporánea del sentido   común”.</w:t>
      </w:r>
    </w:p>
    <w:p>
      <w:pPr>
        <w:spacing w:after="0" w:line="273" w:lineRule="auto"/>
        <w:jc w:val="both"/>
        <w:rPr>
          <w:sz w:val="19"/>
        </w:rPr>
        <w:sectPr>
          <w:headerReference w:type="default" r:id="rId429"/>
          <w:footerReference w:type="default" r:id="rId430"/>
          <w:pgSz w:w="7830" w:h="11910"/>
          <w:pgMar w:header="0" w:footer="424" w:top="500" w:bottom="620" w:left="920" w:right="900"/>
        </w:sectPr>
      </w:pPr>
    </w:p>
    <w:p>
      <w:pPr>
        <w:spacing w:before="43"/>
        <w:ind w:left="1463" w:right="121" w:firstLine="0"/>
        <w:jc w:val="left"/>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spacing w:before="10"/>
        <w:rPr>
          <w:rFonts w:ascii="Cambria"/>
          <w:sz w:val="22"/>
        </w:rPr>
      </w:pPr>
    </w:p>
    <w:p>
      <w:pPr>
        <w:pStyle w:val="BodyText"/>
        <w:spacing w:line="244" w:lineRule="auto"/>
        <w:ind w:left="102" w:right="113" w:firstLine="284"/>
        <w:jc w:val="both"/>
        <w:rPr>
          <w:rFonts w:ascii="Cambria" w:hAnsi="Cambria"/>
        </w:rPr>
      </w:pPr>
      <w:r>
        <w:rPr>
          <w:rFonts w:ascii="Cambria" w:hAnsi="Cambria"/>
          <w:color w:val="231F20"/>
          <w:spacing w:val="2"/>
        </w:rPr>
        <w:t>Schutz,</w:t>
      </w:r>
      <w:r>
        <w:rPr>
          <w:rFonts w:ascii="Cambria" w:hAnsi="Cambria"/>
          <w:color w:val="231F20"/>
          <w:spacing w:val="-18"/>
        </w:rPr>
        <w:t> </w:t>
      </w:r>
      <w:r>
        <w:rPr>
          <w:rFonts w:ascii="Cambria" w:hAnsi="Cambria"/>
          <w:color w:val="231F20"/>
          <w:spacing w:val="2"/>
        </w:rPr>
        <w:t>Berger</w:t>
      </w:r>
      <w:r>
        <w:rPr>
          <w:rFonts w:ascii="Cambria" w:hAnsi="Cambria"/>
          <w:color w:val="231F20"/>
          <w:spacing w:val="-18"/>
        </w:rPr>
        <w:t> </w:t>
      </w:r>
      <w:r>
        <w:rPr>
          <w:rFonts w:ascii="Cambria" w:hAnsi="Cambria"/>
          <w:color w:val="231F20"/>
        </w:rPr>
        <w:t>y</w:t>
      </w:r>
      <w:r>
        <w:rPr>
          <w:rFonts w:ascii="Cambria" w:hAnsi="Cambria"/>
          <w:color w:val="231F20"/>
          <w:spacing w:val="-18"/>
        </w:rPr>
        <w:t> </w:t>
      </w:r>
      <w:r>
        <w:rPr>
          <w:rFonts w:ascii="Cambria" w:hAnsi="Cambria"/>
          <w:color w:val="231F20"/>
          <w:spacing w:val="3"/>
        </w:rPr>
        <w:t>Luckmann</w:t>
      </w:r>
      <w:r>
        <w:rPr>
          <w:rFonts w:ascii="Cambria" w:hAnsi="Cambria"/>
          <w:color w:val="231F20"/>
          <w:spacing w:val="-18"/>
        </w:rPr>
        <w:t> </w:t>
      </w:r>
      <w:r>
        <w:rPr>
          <w:rFonts w:ascii="Cambria" w:hAnsi="Cambria"/>
          <w:color w:val="231F20"/>
        </w:rPr>
        <w:t>lo</w:t>
      </w:r>
      <w:r>
        <w:rPr>
          <w:rFonts w:ascii="Cambria" w:hAnsi="Cambria"/>
          <w:color w:val="231F20"/>
          <w:spacing w:val="-18"/>
        </w:rPr>
        <w:t> </w:t>
      </w:r>
      <w:r>
        <w:rPr>
          <w:rFonts w:ascii="Cambria" w:hAnsi="Cambria"/>
          <w:color w:val="231F20"/>
          <w:spacing w:val="2"/>
        </w:rPr>
        <w:t>desarrollan</w:t>
      </w:r>
      <w:r>
        <w:rPr>
          <w:rFonts w:ascii="Cambria" w:hAnsi="Cambria"/>
          <w:color w:val="231F20"/>
          <w:spacing w:val="-18"/>
        </w:rPr>
        <w:t> </w:t>
      </w:r>
      <w:r>
        <w:rPr>
          <w:rFonts w:ascii="Cambria" w:hAnsi="Cambria"/>
          <w:color w:val="231F20"/>
        </w:rPr>
        <w:t>en</w:t>
      </w:r>
      <w:r>
        <w:rPr>
          <w:rFonts w:ascii="Cambria" w:hAnsi="Cambria"/>
          <w:color w:val="231F20"/>
          <w:spacing w:val="-18"/>
        </w:rPr>
        <w:t> </w:t>
      </w:r>
      <w:r>
        <w:rPr>
          <w:rFonts w:ascii="Cambria" w:hAnsi="Cambria"/>
          <w:color w:val="231F20"/>
          <w:spacing w:val="2"/>
        </w:rPr>
        <w:t>mayor</w:t>
      </w:r>
      <w:r>
        <w:rPr>
          <w:rFonts w:ascii="Cambria" w:hAnsi="Cambria"/>
          <w:color w:val="231F20"/>
          <w:spacing w:val="-18"/>
        </w:rPr>
        <w:t> </w:t>
      </w:r>
      <w:r>
        <w:rPr>
          <w:rFonts w:ascii="Cambria" w:hAnsi="Cambria"/>
          <w:color w:val="231F20"/>
          <w:spacing w:val="3"/>
        </w:rPr>
        <w:t>profundi- </w:t>
      </w:r>
      <w:r>
        <w:rPr>
          <w:rFonts w:ascii="Cambria" w:hAnsi="Cambria"/>
          <w:color w:val="231F20"/>
          <w:spacing w:val="2"/>
        </w:rPr>
        <w:t>dad. Son </w:t>
      </w:r>
      <w:r>
        <w:rPr>
          <w:rFonts w:ascii="Cambria" w:hAnsi="Cambria"/>
          <w:color w:val="231F20"/>
          <w:spacing w:val="3"/>
        </w:rPr>
        <w:t>construcciones </w:t>
      </w:r>
      <w:r>
        <w:rPr>
          <w:rFonts w:ascii="Cambria" w:hAnsi="Cambria"/>
          <w:color w:val="231F20"/>
          <w:spacing w:val="2"/>
        </w:rPr>
        <w:t>simbólicas creadas </w:t>
      </w:r>
      <w:r>
        <w:rPr>
          <w:rFonts w:ascii="Cambria" w:hAnsi="Cambria"/>
          <w:color w:val="231F20"/>
        </w:rPr>
        <w:t>y </w:t>
      </w:r>
      <w:r>
        <w:rPr>
          <w:rFonts w:ascii="Cambria" w:hAnsi="Cambria"/>
          <w:color w:val="231F20"/>
          <w:spacing w:val="2"/>
        </w:rPr>
        <w:t>recreadas </w:t>
      </w:r>
      <w:r>
        <w:rPr>
          <w:rFonts w:ascii="Cambria" w:hAnsi="Cambria"/>
          <w:color w:val="231F20"/>
        </w:rPr>
        <w:t>en las </w:t>
      </w:r>
      <w:r>
        <w:rPr>
          <w:rFonts w:ascii="Cambria" w:hAnsi="Cambria"/>
          <w:color w:val="231F20"/>
          <w:spacing w:val="2"/>
        </w:rPr>
        <w:t>interacciones sociales, son </w:t>
      </w:r>
      <w:r>
        <w:rPr>
          <w:rFonts w:ascii="Cambria" w:hAnsi="Cambria"/>
          <w:color w:val="231F20"/>
          <w:spacing w:val="3"/>
        </w:rPr>
        <w:t>maneras </w:t>
      </w:r>
      <w:r>
        <w:rPr>
          <w:rFonts w:ascii="Cambria" w:hAnsi="Cambria"/>
          <w:color w:val="231F20"/>
        </w:rPr>
        <w:t>de </w:t>
      </w:r>
      <w:r>
        <w:rPr>
          <w:rFonts w:ascii="Cambria" w:hAnsi="Cambria"/>
          <w:color w:val="231F20"/>
          <w:spacing w:val="3"/>
        </w:rPr>
        <w:t>entender </w:t>
      </w:r>
      <w:r>
        <w:rPr>
          <w:rFonts w:ascii="Cambria" w:hAnsi="Cambria"/>
          <w:color w:val="231F20"/>
        </w:rPr>
        <w:t>y </w:t>
      </w:r>
      <w:r>
        <w:rPr>
          <w:rFonts w:ascii="Cambria" w:hAnsi="Cambria"/>
          <w:color w:val="231F20"/>
          <w:spacing w:val="3"/>
        </w:rPr>
        <w:t>comunicar</w:t>
      </w:r>
      <w:r>
        <w:rPr>
          <w:rFonts w:ascii="Cambria" w:hAnsi="Cambria"/>
          <w:color w:val="231F20"/>
          <w:spacing w:val="-26"/>
        </w:rPr>
        <w:t> </w:t>
      </w:r>
      <w:r>
        <w:rPr>
          <w:rFonts w:ascii="Cambria" w:hAnsi="Cambria"/>
          <w:color w:val="231F20"/>
        </w:rPr>
        <w:t>la </w:t>
      </w:r>
      <w:r>
        <w:rPr>
          <w:rFonts w:ascii="Cambria" w:hAnsi="Cambria"/>
          <w:color w:val="231F20"/>
          <w:spacing w:val="2"/>
        </w:rPr>
        <w:t>realidad, influyen </w:t>
      </w:r>
      <w:r>
        <w:rPr>
          <w:rFonts w:ascii="Cambria" w:hAnsi="Cambria"/>
          <w:color w:val="231F20"/>
        </w:rPr>
        <w:t>y lo </w:t>
      </w:r>
      <w:r>
        <w:rPr>
          <w:rFonts w:ascii="Cambria" w:hAnsi="Cambria"/>
          <w:color w:val="231F20"/>
          <w:spacing w:val="2"/>
        </w:rPr>
        <w:t>son por </w:t>
      </w:r>
      <w:r>
        <w:rPr>
          <w:rFonts w:ascii="Cambria" w:hAnsi="Cambria"/>
          <w:color w:val="231F20"/>
        </w:rPr>
        <w:t>las </w:t>
      </w:r>
      <w:r>
        <w:rPr>
          <w:rFonts w:ascii="Cambria" w:hAnsi="Cambria"/>
          <w:color w:val="231F20"/>
          <w:spacing w:val="3"/>
        </w:rPr>
        <w:t>personas </w:t>
      </w:r>
      <w:r>
        <w:rPr>
          <w:rFonts w:ascii="Cambria" w:hAnsi="Cambria"/>
          <w:color w:val="231F20"/>
        </w:rPr>
        <w:t>en sus</w:t>
      </w:r>
      <w:r>
        <w:rPr>
          <w:rFonts w:ascii="Cambria" w:hAnsi="Cambria"/>
          <w:color w:val="231F20"/>
          <w:spacing w:val="-23"/>
        </w:rPr>
        <w:t> </w:t>
      </w:r>
      <w:r>
        <w:rPr>
          <w:rFonts w:ascii="Cambria" w:hAnsi="Cambria"/>
          <w:color w:val="231F20"/>
          <w:spacing w:val="3"/>
        </w:rPr>
        <w:t>interacciones </w:t>
      </w:r>
      <w:r>
        <w:rPr>
          <w:rFonts w:ascii="Cambria" w:hAnsi="Cambria"/>
          <w:color w:val="231F20"/>
          <w:spacing w:val="2"/>
        </w:rPr>
        <w:t>sociales. Hacen referencia </w:t>
      </w:r>
      <w:r>
        <w:rPr>
          <w:rFonts w:ascii="Cambria" w:hAnsi="Cambria"/>
          <w:color w:val="231F20"/>
        </w:rPr>
        <w:t>al </w:t>
      </w:r>
      <w:r>
        <w:rPr>
          <w:rFonts w:ascii="Cambria" w:hAnsi="Cambria"/>
          <w:color w:val="231F20"/>
          <w:spacing w:val="3"/>
        </w:rPr>
        <w:t>conocimiento </w:t>
      </w:r>
      <w:r>
        <w:rPr>
          <w:rFonts w:ascii="Cambria" w:hAnsi="Cambria"/>
          <w:color w:val="231F20"/>
        </w:rPr>
        <w:t>de </w:t>
      </w:r>
      <w:r>
        <w:rPr>
          <w:rFonts w:ascii="Cambria" w:hAnsi="Cambria"/>
          <w:color w:val="231F20"/>
          <w:spacing w:val="2"/>
        </w:rPr>
        <w:t>sentido </w:t>
      </w:r>
      <w:r>
        <w:rPr>
          <w:rFonts w:ascii="Cambria" w:hAnsi="Cambria"/>
          <w:color w:val="231F20"/>
          <w:spacing w:val="3"/>
        </w:rPr>
        <w:t>común,</w:t>
      </w:r>
      <w:r>
        <w:rPr>
          <w:rFonts w:ascii="Cambria" w:hAnsi="Cambria"/>
          <w:color w:val="231F20"/>
          <w:spacing w:val="-28"/>
        </w:rPr>
        <w:t> </w:t>
      </w:r>
      <w:r>
        <w:rPr>
          <w:rFonts w:ascii="Cambria" w:hAnsi="Cambria"/>
          <w:color w:val="231F20"/>
          <w:spacing w:val="3"/>
        </w:rPr>
        <w:t>el </w:t>
      </w:r>
      <w:r>
        <w:rPr>
          <w:rFonts w:ascii="Cambria" w:hAnsi="Cambria"/>
          <w:color w:val="231F20"/>
          <w:spacing w:val="2"/>
        </w:rPr>
        <w:t>cual </w:t>
      </w:r>
      <w:r>
        <w:rPr>
          <w:rFonts w:ascii="Cambria" w:hAnsi="Cambria"/>
          <w:color w:val="231F20"/>
        </w:rPr>
        <w:t>es </w:t>
      </w:r>
      <w:r>
        <w:rPr>
          <w:rFonts w:ascii="Cambria" w:hAnsi="Cambria"/>
          <w:color w:val="231F20"/>
          <w:spacing w:val="2"/>
        </w:rPr>
        <w:t>crucial </w:t>
      </w:r>
      <w:r>
        <w:rPr>
          <w:rFonts w:ascii="Cambria" w:hAnsi="Cambria"/>
          <w:color w:val="231F20"/>
        </w:rPr>
        <w:t>en </w:t>
      </w:r>
      <w:r>
        <w:rPr>
          <w:rFonts w:ascii="Cambria" w:hAnsi="Cambria"/>
          <w:color w:val="231F20"/>
          <w:spacing w:val="3"/>
        </w:rPr>
        <w:t>cómo pensamos </w:t>
      </w:r>
      <w:r>
        <w:rPr>
          <w:rFonts w:ascii="Cambria" w:hAnsi="Cambria"/>
          <w:color w:val="231F20"/>
        </w:rPr>
        <w:t>y </w:t>
      </w:r>
      <w:r>
        <w:rPr>
          <w:rFonts w:ascii="Cambria" w:hAnsi="Cambria"/>
          <w:color w:val="231F20"/>
          <w:spacing w:val="3"/>
        </w:rPr>
        <w:t>organizamos </w:t>
      </w:r>
      <w:r>
        <w:rPr>
          <w:rFonts w:ascii="Cambria" w:hAnsi="Cambria"/>
          <w:color w:val="231F20"/>
          <w:spacing w:val="2"/>
        </w:rPr>
        <w:t>nuestra </w:t>
      </w:r>
      <w:r>
        <w:rPr>
          <w:rFonts w:ascii="Cambria" w:hAnsi="Cambria"/>
          <w:color w:val="231F20"/>
        </w:rPr>
        <w:t>vida </w:t>
      </w:r>
      <w:r>
        <w:rPr>
          <w:rFonts w:ascii="Cambria" w:hAnsi="Cambria"/>
          <w:color w:val="231F20"/>
          <w:spacing w:val="2"/>
          <w:w w:val="95"/>
        </w:rPr>
        <w:t>cotidiana (Alvaro, s/f; Araya¸</w:t>
      </w:r>
      <w:r>
        <w:rPr>
          <w:rFonts w:ascii="Cambria" w:hAnsi="Cambria"/>
          <w:color w:val="231F20"/>
          <w:spacing w:val="-3"/>
          <w:w w:val="95"/>
        </w:rPr>
        <w:t> </w:t>
      </w:r>
      <w:r>
        <w:rPr>
          <w:rFonts w:ascii="Cambria" w:hAnsi="Cambria"/>
          <w:color w:val="231F20"/>
          <w:spacing w:val="3"/>
          <w:w w:val="95"/>
        </w:rPr>
        <w:t>2002).</w:t>
      </w:r>
    </w:p>
    <w:p>
      <w:pPr>
        <w:pStyle w:val="BodyText"/>
        <w:spacing w:line="244" w:lineRule="auto"/>
        <w:ind w:left="102" w:right="113" w:firstLine="284"/>
        <w:jc w:val="both"/>
        <w:rPr>
          <w:rFonts w:ascii="Cambria" w:hAnsi="Cambria"/>
        </w:rPr>
      </w:pPr>
      <w:r>
        <w:rPr>
          <w:rFonts w:ascii="Cambria" w:hAnsi="Cambria"/>
          <w:color w:val="231F20"/>
          <w:spacing w:val="2"/>
        </w:rPr>
        <w:t>Respecto</w:t>
      </w:r>
      <w:r>
        <w:rPr>
          <w:rFonts w:ascii="Cambria" w:hAnsi="Cambria"/>
          <w:color w:val="231F20"/>
          <w:spacing w:val="-23"/>
        </w:rPr>
        <w:t> </w:t>
      </w:r>
      <w:r>
        <w:rPr>
          <w:rFonts w:ascii="Cambria" w:hAnsi="Cambria"/>
          <w:color w:val="231F20"/>
        </w:rPr>
        <w:t>a</w:t>
      </w:r>
      <w:r>
        <w:rPr>
          <w:rFonts w:ascii="Cambria" w:hAnsi="Cambria"/>
          <w:color w:val="231F20"/>
          <w:spacing w:val="-23"/>
        </w:rPr>
        <w:t> </w:t>
      </w:r>
      <w:r>
        <w:rPr>
          <w:rFonts w:ascii="Cambria" w:hAnsi="Cambria"/>
          <w:color w:val="231F20"/>
        </w:rPr>
        <w:t>la</w:t>
      </w:r>
      <w:r>
        <w:rPr>
          <w:rFonts w:ascii="Cambria" w:hAnsi="Cambria"/>
          <w:color w:val="231F20"/>
          <w:spacing w:val="-23"/>
        </w:rPr>
        <w:t> </w:t>
      </w:r>
      <w:r>
        <w:rPr>
          <w:rFonts w:ascii="Cambria" w:hAnsi="Cambria"/>
          <w:color w:val="231F20"/>
          <w:spacing w:val="2"/>
        </w:rPr>
        <w:t>naturaleza</w:t>
      </w:r>
      <w:r>
        <w:rPr>
          <w:rFonts w:ascii="Cambria" w:hAnsi="Cambria"/>
          <w:color w:val="231F20"/>
          <w:spacing w:val="-23"/>
        </w:rPr>
        <w:t> </w:t>
      </w:r>
      <w:r>
        <w:rPr>
          <w:rFonts w:ascii="Cambria" w:hAnsi="Cambria"/>
          <w:color w:val="231F20"/>
        </w:rPr>
        <w:t>y</w:t>
      </w:r>
      <w:r>
        <w:rPr>
          <w:rFonts w:ascii="Cambria" w:hAnsi="Cambria"/>
          <w:color w:val="231F20"/>
          <w:spacing w:val="-23"/>
        </w:rPr>
        <w:t> </w:t>
      </w:r>
      <w:r>
        <w:rPr>
          <w:rFonts w:ascii="Cambria" w:hAnsi="Cambria"/>
          <w:color w:val="231F20"/>
        </w:rPr>
        <w:t>las</w:t>
      </w:r>
      <w:r>
        <w:rPr>
          <w:rFonts w:ascii="Cambria" w:hAnsi="Cambria"/>
          <w:color w:val="231F20"/>
          <w:spacing w:val="-24"/>
        </w:rPr>
        <w:t> </w:t>
      </w:r>
      <w:r>
        <w:rPr>
          <w:rFonts w:ascii="Cambria" w:hAnsi="Cambria"/>
          <w:color w:val="231F20"/>
          <w:spacing w:val="3"/>
        </w:rPr>
        <w:t>condiciones</w:t>
      </w:r>
      <w:r>
        <w:rPr>
          <w:rFonts w:ascii="Cambria" w:hAnsi="Cambria"/>
          <w:color w:val="231F20"/>
          <w:spacing w:val="-24"/>
        </w:rPr>
        <w:t> </w:t>
      </w:r>
      <w:r>
        <w:rPr>
          <w:rFonts w:ascii="Cambria" w:hAnsi="Cambria"/>
          <w:color w:val="231F20"/>
        </w:rPr>
        <w:t>en</w:t>
      </w:r>
      <w:r>
        <w:rPr>
          <w:rFonts w:ascii="Cambria" w:hAnsi="Cambria"/>
          <w:color w:val="231F20"/>
          <w:spacing w:val="-23"/>
        </w:rPr>
        <w:t> </w:t>
      </w:r>
      <w:r>
        <w:rPr>
          <w:rFonts w:ascii="Cambria" w:hAnsi="Cambria"/>
          <w:color w:val="231F20"/>
        </w:rPr>
        <w:t>que</w:t>
      </w:r>
      <w:r>
        <w:rPr>
          <w:rFonts w:ascii="Cambria" w:hAnsi="Cambria"/>
          <w:color w:val="231F20"/>
          <w:spacing w:val="-23"/>
        </w:rPr>
        <w:t> </w:t>
      </w:r>
      <w:r>
        <w:rPr>
          <w:rFonts w:ascii="Cambria" w:hAnsi="Cambria"/>
          <w:color w:val="231F20"/>
        </w:rPr>
        <w:t>se</w:t>
      </w:r>
      <w:r>
        <w:rPr>
          <w:rFonts w:ascii="Cambria" w:hAnsi="Cambria"/>
          <w:color w:val="231F20"/>
          <w:spacing w:val="-23"/>
        </w:rPr>
        <w:t> </w:t>
      </w:r>
      <w:r>
        <w:rPr>
          <w:rFonts w:ascii="Cambria" w:hAnsi="Cambria"/>
          <w:color w:val="231F20"/>
          <w:spacing w:val="2"/>
        </w:rPr>
        <w:t>presenta</w:t>
      </w:r>
      <w:r>
        <w:rPr>
          <w:rFonts w:ascii="Cambria" w:hAnsi="Cambria"/>
          <w:color w:val="231F20"/>
          <w:spacing w:val="-23"/>
        </w:rPr>
        <w:t> </w:t>
      </w:r>
      <w:r>
        <w:rPr>
          <w:rFonts w:ascii="Cambria" w:hAnsi="Cambria"/>
          <w:color w:val="231F20"/>
          <w:spacing w:val="3"/>
        </w:rPr>
        <w:t>el </w:t>
      </w:r>
      <w:r>
        <w:rPr>
          <w:rFonts w:ascii="Cambria" w:hAnsi="Cambria"/>
          <w:color w:val="231F20"/>
          <w:spacing w:val="2"/>
          <w:w w:val="95"/>
        </w:rPr>
        <w:t>maltrato, </w:t>
      </w:r>
      <w:r>
        <w:rPr>
          <w:rFonts w:ascii="Cambria" w:hAnsi="Cambria"/>
          <w:color w:val="231F20"/>
          <w:w w:val="95"/>
        </w:rPr>
        <w:t>se </w:t>
      </w:r>
      <w:r>
        <w:rPr>
          <w:rFonts w:ascii="Cambria" w:hAnsi="Cambria"/>
          <w:color w:val="231F20"/>
          <w:spacing w:val="2"/>
          <w:w w:val="95"/>
        </w:rPr>
        <w:t>deben tomar </w:t>
      </w:r>
      <w:r>
        <w:rPr>
          <w:rFonts w:ascii="Cambria" w:hAnsi="Cambria"/>
          <w:color w:val="231F20"/>
          <w:w w:val="95"/>
        </w:rPr>
        <w:t>en </w:t>
      </w:r>
      <w:r>
        <w:rPr>
          <w:rFonts w:ascii="Cambria" w:hAnsi="Cambria"/>
          <w:color w:val="231F20"/>
          <w:spacing w:val="2"/>
          <w:w w:val="95"/>
        </w:rPr>
        <w:t>cuenta algunas consideraciones: pri- </w:t>
      </w:r>
      <w:r>
        <w:rPr>
          <w:rFonts w:ascii="Cambria" w:hAnsi="Cambria"/>
          <w:color w:val="231F20"/>
          <w:spacing w:val="2"/>
        </w:rPr>
        <w:t>mero,</w:t>
      </w:r>
      <w:r>
        <w:rPr>
          <w:rFonts w:ascii="Cambria" w:hAnsi="Cambria"/>
          <w:color w:val="231F20"/>
          <w:spacing w:val="-8"/>
        </w:rPr>
        <w:t> </w:t>
      </w:r>
      <w:r>
        <w:rPr>
          <w:rFonts w:ascii="Cambria" w:hAnsi="Cambria"/>
          <w:color w:val="231F20"/>
          <w:spacing w:val="2"/>
        </w:rPr>
        <w:t>que</w:t>
      </w:r>
      <w:r>
        <w:rPr>
          <w:rFonts w:ascii="Cambria" w:hAnsi="Cambria"/>
          <w:color w:val="231F20"/>
          <w:spacing w:val="-8"/>
        </w:rPr>
        <w:t> </w:t>
      </w:r>
      <w:r>
        <w:rPr>
          <w:rFonts w:ascii="Cambria" w:hAnsi="Cambria"/>
          <w:color w:val="231F20"/>
          <w:spacing w:val="2"/>
        </w:rPr>
        <w:t>ocurren</w:t>
      </w:r>
      <w:r>
        <w:rPr>
          <w:rFonts w:ascii="Cambria" w:hAnsi="Cambria"/>
          <w:color w:val="231F20"/>
          <w:spacing w:val="-8"/>
        </w:rPr>
        <w:t> </w:t>
      </w:r>
      <w:r>
        <w:rPr>
          <w:rFonts w:ascii="Cambria" w:hAnsi="Cambria"/>
          <w:color w:val="231F20"/>
        </w:rPr>
        <w:t>en</w:t>
      </w:r>
      <w:r>
        <w:rPr>
          <w:rFonts w:ascii="Cambria" w:hAnsi="Cambria"/>
          <w:color w:val="231F20"/>
          <w:spacing w:val="-8"/>
        </w:rPr>
        <w:t> </w:t>
      </w:r>
      <w:r>
        <w:rPr>
          <w:rFonts w:ascii="Cambria" w:hAnsi="Cambria"/>
          <w:color w:val="231F20"/>
        </w:rPr>
        <w:t>la</w:t>
      </w:r>
      <w:r>
        <w:rPr>
          <w:rFonts w:ascii="Cambria" w:hAnsi="Cambria"/>
          <w:color w:val="231F20"/>
          <w:spacing w:val="-8"/>
        </w:rPr>
        <w:t> </w:t>
      </w:r>
      <w:r>
        <w:rPr>
          <w:rFonts w:ascii="Cambria" w:hAnsi="Cambria"/>
          <w:color w:val="231F20"/>
          <w:spacing w:val="2"/>
        </w:rPr>
        <w:t>intimidad</w:t>
      </w:r>
      <w:r>
        <w:rPr>
          <w:rFonts w:ascii="Cambria" w:hAnsi="Cambria"/>
          <w:color w:val="231F20"/>
          <w:spacing w:val="-7"/>
        </w:rPr>
        <w:t> </w:t>
      </w:r>
      <w:r>
        <w:rPr>
          <w:rFonts w:ascii="Cambria" w:hAnsi="Cambria"/>
          <w:color w:val="231F20"/>
        </w:rPr>
        <w:t>de</w:t>
      </w:r>
      <w:r>
        <w:rPr>
          <w:rFonts w:ascii="Cambria" w:hAnsi="Cambria"/>
          <w:color w:val="231F20"/>
          <w:spacing w:val="-8"/>
        </w:rPr>
        <w:t> </w:t>
      </w:r>
      <w:r>
        <w:rPr>
          <w:rFonts w:ascii="Cambria" w:hAnsi="Cambria"/>
          <w:color w:val="231F20"/>
          <w:spacing w:val="2"/>
        </w:rPr>
        <w:t>una</w:t>
      </w:r>
      <w:r>
        <w:rPr>
          <w:rFonts w:ascii="Cambria" w:hAnsi="Cambria"/>
          <w:color w:val="231F20"/>
          <w:spacing w:val="-8"/>
        </w:rPr>
        <w:t> </w:t>
      </w:r>
      <w:r>
        <w:rPr>
          <w:rFonts w:ascii="Cambria" w:hAnsi="Cambria"/>
          <w:color w:val="231F20"/>
          <w:spacing w:val="2"/>
        </w:rPr>
        <w:t>relación,</w:t>
      </w:r>
      <w:r>
        <w:rPr>
          <w:rFonts w:ascii="Cambria" w:hAnsi="Cambria"/>
          <w:color w:val="231F20"/>
          <w:spacing w:val="-8"/>
        </w:rPr>
        <w:t> </w:t>
      </w:r>
      <w:r>
        <w:rPr>
          <w:rFonts w:ascii="Cambria" w:hAnsi="Cambria"/>
          <w:color w:val="231F20"/>
          <w:spacing w:val="2"/>
        </w:rPr>
        <w:t>por</w:t>
      </w:r>
      <w:r>
        <w:rPr>
          <w:rFonts w:ascii="Cambria" w:hAnsi="Cambria"/>
          <w:color w:val="231F20"/>
          <w:spacing w:val="-8"/>
        </w:rPr>
        <w:t> </w:t>
      </w:r>
      <w:r>
        <w:rPr>
          <w:rFonts w:ascii="Cambria" w:hAnsi="Cambria"/>
          <w:color w:val="231F20"/>
        </w:rPr>
        <w:t>lo</w:t>
      </w:r>
      <w:r>
        <w:rPr>
          <w:rFonts w:ascii="Cambria" w:hAnsi="Cambria"/>
          <w:color w:val="231F20"/>
          <w:spacing w:val="-7"/>
        </w:rPr>
        <w:t> </w:t>
      </w:r>
      <w:r>
        <w:rPr>
          <w:rFonts w:ascii="Cambria" w:hAnsi="Cambria"/>
          <w:color w:val="231F20"/>
        </w:rPr>
        <w:t>que</w:t>
      </w:r>
      <w:r>
        <w:rPr>
          <w:rFonts w:ascii="Cambria" w:hAnsi="Cambria"/>
          <w:color w:val="231F20"/>
          <w:spacing w:val="-8"/>
        </w:rPr>
        <w:t> </w:t>
      </w:r>
      <w:r>
        <w:rPr>
          <w:rFonts w:ascii="Cambria" w:hAnsi="Cambria"/>
          <w:color w:val="231F20"/>
          <w:spacing w:val="3"/>
        </w:rPr>
        <w:t>los </w:t>
      </w:r>
      <w:r>
        <w:rPr>
          <w:rFonts w:ascii="Cambria" w:hAnsi="Cambria"/>
          <w:color w:val="231F20"/>
          <w:spacing w:val="2"/>
        </w:rPr>
        <w:t>resultados</w:t>
      </w:r>
      <w:r>
        <w:rPr>
          <w:rFonts w:ascii="Cambria" w:hAnsi="Cambria"/>
          <w:color w:val="231F20"/>
          <w:spacing w:val="-16"/>
        </w:rPr>
        <w:t> </w:t>
      </w:r>
      <w:r>
        <w:rPr>
          <w:rFonts w:ascii="Cambria" w:hAnsi="Cambria"/>
          <w:color w:val="231F20"/>
        </w:rPr>
        <w:t>en</w:t>
      </w:r>
      <w:r>
        <w:rPr>
          <w:rFonts w:ascii="Cambria" w:hAnsi="Cambria"/>
          <w:color w:val="231F20"/>
          <w:spacing w:val="-16"/>
        </w:rPr>
        <w:t> </w:t>
      </w:r>
      <w:r>
        <w:rPr>
          <w:rFonts w:ascii="Cambria" w:hAnsi="Cambria"/>
          <w:color w:val="231F20"/>
          <w:spacing w:val="2"/>
        </w:rPr>
        <w:t>algunos</w:t>
      </w:r>
      <w:r>
        <w:rPr>
          <w:rFonts w:ascii="Cambria" w:hAnsi="Cambria"/>
          <w:color w:val="231F20"/>
          <w:spacing w:val="-16"/>
        </w:rPr>
        <w:t> </w:t>
      </w:r>
      <w:r>
        <w:rPr>
          <w:rFonts w:ascii="Cambria" w:hAnsi="Cambria"/>
          <w:color w:val="231F20"/>
          <w:spacing w:val="2"/>
        </w:rPr>
        <w:t>estudios</w:t>
      </w:r>
      <w:r>
        <w:rPr>
          <w:rFonts w:ascii="Cambria" w:hAnsi="Cambria"/>
          <w:color w:val="231F20"/>
          <w:spacing w:val="-16"/>
        </w:rPr>
        <w:t> </w:t>
      </w:r>
      <w:r>
        <w:rPr>
          <w:rFonts w:ascii="Cambria" w:hAnsi="Cambria"/>
          <w:color w:val="231F20"/>
        </w:rPr>
        <w:t>no</w:t>
      </w:r>
      <w:r>
        <w:rPr>
          <w:rFonts w:ascii="Cambria" w:hAnsi="Cambria"/>
          <w:color w:val="231F20"/>
          <w:spacing w:val="-16"/>
        </w:rPr>
        <w:t> </w:t>
      </w:r>
      <w:r>
        <w:rPr>
          <w:rFonts w:ascii="Cambria" w:hAnsi="Cambria"/>
          <w:color w:val="231F20"/>
          <w:spacing w:val="3"/>
        </w:rPr>
        <w:t>emplearon</w:t>
      </w:r>
      <w:r>
        <w:rPr>
          <w:rFonts w:ascii="Cambria" w:hAnsi="Cambria"/>
          <w:color w:val="231F20"/>
          <w:spacing w:val="-16"/>
        </w:rPr>
        <w:t> </w:t>
      </w:r>
      <w:r>
        <w:rPr>
          <w:rFonts w:ascii="Cambria" w:hAnsi="Cambria"/>
          <w:color w:val="231F20"/>
          <w:spacing w:val="2"/>
        </w:rPr>
        <w:t>criterios</w:t>
      </w:r>
      <w:r>
        <w:rPr>
          <w:rFonts w:ascii="Cambria" w:hAnsi="Cambria"/>
          <w:color w:val="231F20"/>
          <w:spacing w:val="-16"/>
        </w:rPr>
        <w:t> </w:t>
      </w:r>
      <w:r>
        <w:rPr>
          <w:rFonts w:ascii="Cambria" w:hAnsi="Cambria"/>
          <w:color w:val="231F20"/>
          <w:spacing w:val="3"/>
        </w:rPr>
        <w:t>objetivos, </w:t>
      </w:r>
      <w:r>
        <w:rPr>
          <w:rFonts w:ascii="Cambria" w:hAnsi="Cambria"/>
          <w:color w:val="231F20"/>
        </w:rPr>
        <w:t>en tal </w:t>
      </w:r>
      <w:r>
        <w:rPr>
          <w:rFonts w:ascii="Cambria" w:hAnsi="Cambria"/>
          <w:color w:val="231F20"/>
          <w:spacing w:val="2"/>
        </w:rPr>
        <w:t>sentido, los resultados deben considerarse sugerentes </w:t>
      </w:r>
      <w:r>
        <w:rPr>
          <w:rFonts w:ascii="Cambria" w:hAnsi="Cambria"/>
          <w:color w:val="231F20"/>
          <w:spacing w:val="3"/>
        </w:rPr>
        <w:t>(Sheenan, </w:t>
      </w:r>
      <w:r>
        <w:rPr>
          <w:rFonts w:ascii="Cambria" w:hAnsi="Cambria"/>
          <w:color w:val="231F20"/>
          <w:spacing w:val="2"/>
        </w:rPr>
        <w:t>1990; Silver, 1990); </w:t>
      </w:r>
      <w:r>
        <w:rPr>
          <w:rFonts w:ascii="Cambria" w:hAnsi="Cambria"/>
          <w:color w:val="231F20"/>
        </w:rPr>
        <w:t>el </w:t>
      </w:r>
      <w:r>
        <w:rPr>
          <w:rFonts w:ascii="Cambria" w:hAnsi="Cambria"/>
          <w:color w:val="231F20"/>
          <w:spacing w:val="2"/>
        </w:rPr>
        <w:t>tiempo puede distorsionar </w:t>
      </w:r>
      <w:r>
        <w:rPr>
          <w:rFonts w:ascii="Cambria" w:hAnsi="Cambria"/>
          <w:color w:val="231F20"/>
        </w:rPr>
        <w:t>las </w:t>
      </w:r>
      <w:r>
        <w:rPr>
          <w:rFonts w:ascii="Cambria" w:hAnsi="Cambria"/>
          <w:color w:val="231F20"/>
          <w:spacing w:val="2"/>
          <w:w w:val="95"/>
        </w:rPr>
        <w:t>respuestas, cuando son </w:t>
      </w:r>
      <w:r>
        <w:rPr>
          <w:rFonts w:ascii="Cambria" w:hAnsi="Cambria"/>
          <w:color w:val="231F20"/>
          <w:spacing w:val="3"/>
          <w:w w:val="95"/>
        </w:rPr>
        <w:t>hechos </w:t>
      </w:r>
      <w:r>
        <w:rPr>
          <w:rFonts w:ascii="Cambria" w:hAnsi="Cambria"/>
          <w:color w:val="231F20"/>
          <w:spacing w:val="2"/>
          <w:w w:val="95"/>
        </w:rPr>
        <w:t>aislados </w:t>
      </w:r>
      <w:r>
        <w:rPr>
          <w:rFonts w:ascii="Cambria" w:hAnsi="Cambria"/>
          <w:color w:val="231F20"/>
          <w:w w:val="95"/>
        </w:rPr>
        <w:t>o </w:t>
      </w:r>
      <w:r>
        <w:rPr>
          <w:rFonts w:ascii="Cambria" w:hAnsi="Cambria"/>
          <w:color w:val="231F20"/>
          <w:spacing w:val="3"/>
          <w:w w:val="95"/>
        </w:rPr>
        <w:t>anecdóticos, </w:t>
      </w:r>
      <w:r>
        <w:rPr>
          <w:rFonts w:ascii="Cambria" w:hAnsi="Cambria"/>
          <w:color w:val="231F20"/>
          <w:spacing w:val="2"/>
          <w:w w:val="95"/>
        </w:rPr>
        <w:t>pero </w:t>
      </w:r>
      <w:r>
        <w:rPr>
          <w:rFonts w:ascii="Cambria" w:hAnsi="Cambria"/>
          <w:color w:val="231F20"/>
          <w:spacing w:val="3"/>
          <w:w w:val="95"/>
        </w:rPr>
        <w:t>cuan- </w:t>
      </w:r>
      <w:r>
        <w:rPr>
          <w:rFonts w:ascii="Cambria" w:hAnsi="Cambria"/>
          <w:color w:val="231F20"/>
        </w:rPr>
        <w:t>do</w:t>
      </w:r>
      <w:r>
        <w:rPr>
          <w:rFonts w:ascii="Cambria" w:hAnsi="Cambria"/>
          <w:color w:val="231F20"/>
          <w:spacing w:val="-5"/>
        </w:rPr>
        <w:t> </w:t>
      </w:r>
      <w:r>
        <w:rPr>
          <w:rFonts w:ascii="Cambria" w:hAnsi="Cambria"/>
          <w:color w:val="231F20"/>
        </w:rPr>
        <w:t>un</w:t>
      </w:r>
      <w:r>
        <w:rPr>
          <w:rFonts w:ascii="Cambria" w:hAnsi="Cambria"/>
          <w:color w:val="231F20"/>
          <w:spacing w:val="-5"/>
        </w:rPr>
        <w:t> </w:t>
      </w:r>
      <w:r>
        <w:rPr>
          <w:rFonts w:ascii="Cambria" w:hAnsi="Cambria"/>
          <w:color w:val="231F20"/>
          <w:spacing w:val="3"/>
        </w:rPr>
        <w:t>encuestado</w:t>
      </w:r>
      <w:r>
        <w:rPr>
          <w:rFonts w:ascii="Cambria" w:hAnsi="Cambria"/>
          <w:color w:val="231F20"/>
          <w:spacing w:val="-5"/>
        </w:rPr>
        <w:t> </w:t>
      </w:r>
      <w:r>
        <w:rPr>
          <w:rFonts w:ascii="Cambria" w:hAnsi="Cambria"/>
          <w:color w:val="231F20"/>
          <w:spacing w:val="2"/>
        </w:rPr>
        <w:t>califica</w:t>
      </w:r>
      <w:r>
        <w:rPr>
          <w:rFonts w:ascii="Cambria" w:hAnsi="Cambria"/>
          <w:color w:val="231F20"/>
          <w:spacing w:val="-5"/>
        </w:rPr>
        <w:t> </w:t>
      </w:r>
      <w:r>
        <w:rPr>
          <w:rFonts w:ascii="Cambria" w:hAnsi="Cambria"/>
          <w:color w:val="231F20"/>
          <w:spacing w:val="2"/>
        </w:rPr>
        <w:t>“más</w:t>
      </w:r>
      <w:r>
        <w:rPr>
          <w:rFonts w:ascii="Cambria" w:hAnsi="Cambria"/>
          <w:color w:val="231F20"/>
          <w:spacing w:val="-5"/>
        </w:rPr>
        <w:t> </w:t>
      </w:r>
      <w:r>
        <w:rPr>
          <w:rFonts w:ascii="Cambria" w:hAnsi="Cambria"/>
          <w:color w:val="231F20"/>
        </w:rPr>
        <w:t>de</w:t>
      </w:r>
      <w:r>
        <w:rPr>
          <w:rFonts w:ascii="Cambria" w:hAnsi="Cambria"/>
          <w:color w:val="231F20"/>
          <w:spacing w:val="-5"/>
        </w:rPr>
        <w:t> </w:t>
      </w:r>
      <w:r>
        <w:rPr>
          <w:rFonts w:ascii="Cambria" w:hAnsi="Cambria"/>
          <w:color w:val="231F20"/>
          <w:spacing w:val="2"/>
        </w:rPr>
        <w:t>una</w:t>
      </w:r>
      <w:r>
        <w:rPr>
          <w:rFonts w:ascii="Cambria" w:hAnsi="Cambria"/>
          <w:color w:val="231F20"/>
          <w:spacing w:val="-5"/>
        </w:rPr>
        <w:t> </w:t>
      </w:r>
      <w:r>
        <w:rPr>
          <w:rFonts w:ascii="Cambria" w:hAnsi="Cambria"/>
          <w:color w:val="231F20"/>
          <w:spacing w:val="2"/>
        </w:rPr>
        <w:t>vez”,</w:t>
      </w:r>
      <w:r>
        <w:rPr>
          <w:rFonts w:ascii="Cambria" w:hAnsi="Cambria"/>
          <w:color w:val="231F20"/>
          <w:spacing w:val="-5"/>
        </w:rPr>
        <w:t> </w:t>
      </w:r>
      <w:r>
        <w:rPr>
          <w:rFonts w:ascii="Cambria" w:hAnsi="Cambria"/>
          <w:color w:val="231F20"/>
        </w:rPr>
        <w:t>se</w:t>
      </w:r>
      <w:r>
        <w:rPr>
          <w:rFonts w:ascii="Cambria" w:hAnsi="Cambria"/>
          <w:color w:val="231F20"/>
          <w:spacing w:val="-5"/>
        </w:rPr>
        <w:t> </w:t>
      </w:r>
      <w:r>
        <w:rPr>
          <w:rFonts w:ascii="Cambria" w:hAnsi="Cambria"/>
          <w:color w:val="231F20"/>
          <w:spacing w:val="2"/>
        </w:rPr>
        <w:t>advierte</w:t>
      </w:r>
      <w:r>
        <w:rPr>
          <w:rFonts w:ascii="Cambria" w:hAnsi="Cambria"/>
          <w:color w:val="231F20"/>
          <w:spacing w:val="-5"/>
        </w:rPr>
        <w:t> </w:t>
      </w:r>
      <w:r>
        <w:rPr>
          <w:rFonts w:ascii="Cambria" w:hAnsi="Cambria"/>
          <w:color w:val="231F20"/>
          <w:spacing w:val="2"/>
        </w:rPr>
        <w:t>que</w:t>
      </w:r>
      <w:r>
        <w:rPr>
          <w:rFonts w:ascii="Cambria" w:hAnsi="Cambria"/>
          <w:color w:val="231F20"/>
          <w:spacing w:val="-5"/>
        </w:rPr>
        <w:t> </w:t>
      </w:r>
      <w:r>
        <w:rPr>
          <w:rFonts w:ascii="Cambria" w:hAnsi="Cambria"/>
          <w:color w:val="231F20"/>
          <w:spacing w:val="2"/>
        </w:rPr>
        <w:t>tuvo </w:t>
      </w:r>
      <w:r>
        <w:rPr>
          <w:rFonts w:ascii="Cambria" w:hAnsi="Cambria"/>
          <w:color w:val="231F20"/>
          <w:spacing w:val="2"/>
          <w:w w:val="95"/>
        </w:rPr>
        <w:t>gran trascendencia (Maida, 2006); </w:t>
      </w:r>
      <w:r>
        <w:rPr>
          <w:rFonts w:ascii="Cambria" w:hAnsi="Cambria"/>
          <w:color w:val="231F20"/>
          <w:w w:val="95"/>
        </w:rPr>
        <w:t>las </w:t>
      </w:r>
      <w:r>
        <w:rPr>
          <w:rFonts w:ascii="Cambria" w:hAnsi="Cambria"/>
          <w:color w:val="231F20"/>
          <w:spacing w:val="3"/>
          <w:w w:val="95"/>
        </w:rPr>
        <w:t>percepciones </w:t>
      </w:r>
      <w:r>
        <w:rPr>
          <w:rFonts w:ascii="Cambria" w:hAnsi="Cambria"/>
          <w:color w:val="231F20"/>
          <w:w w:val="95"/>
        </w:rPr>
        <w:t>al </w:t>
      </w:r>
      <w:r>
        <w:rPr>
          <w:rFonts w:ascii="Cambria" w:hAnsi="Cambria"/>
          <w:color w:val="231F20"/>
          <w:spacing w:val="2"/>
          <w:w w:val="95"/>
        </w:rPr>
        <w:t>impactar </w:t>
      </w:r>
      <w:r>
        <w:rPr>
          <w:rFonts w:ascii="Cambria" w:hAnsi="Cambria"/>
          <w:color w:val="231F20"/>
          <w:w w:val="95"/>
        </w:rPr>
        <w:t>la </w:t>
      </w:r>
      <w:r>
        <w:rPr>
          <w:rFonts w:ascii="Cambria" w:hAnsi="Cambria"/>
          <w:color w:val="231F20"/>
          <w:spacing w:val="2"/>
        </w:rPr>
        <w:t>manera </w:t>
      </w:r>
      <w:r>
        <w:rPr>
          <w:rFonts w:ascii="Cambria" w:hAnsi="Cambria"/>
          <w:color w:val="231F20"/>
        </w:rPr>
        <w:t>de </w:t>
      </w:r>
      <w:r>
        <w:rPr>
          <w:rFonts w:ascii="Cambria" w:hAnsi="Cambria"/>
          <w:color w:val="231F20"/>
          <w:spacing w:val="2"/>
        </w:rPr>
        <w:t>ver, analizar, evaluar </w:t>
      </w:r>
      <w:r>
        <w:rPr>
          <w:rFonts w:ascii="Cambria" w:hAnsi="Cambria"/>
          <w:color w:val="231F20"/>
        </w:rPr>
        <w:t>y </w:t>
      </w:r>
      <w:r>
        <w:rPr>
          <w:rFonts w:ascii="Cambria" w:hAnsi="Cambria"/>
          <w:color w:val="231F20"/>
          <w:spacing w:val="2"/>
        </w:rPr>
        <w:t>actuar </w:t>
      </w:r>
      <w:r>
        <w:rPr>
          <w:rFonts w:ascii="Cambria" w:hAnsi="Cambria"/>
          <w:color w:val="231F20"/>
        </w:rPr>
        <w:t>de los </w:t>
      </w:r>
      <w:r>
        <w:rPr>
          <w:rFonts w:ascii="Cambria" w:hAnsi="Cambria"/>
          <w:color w:val="231F20"/>
          <w:spacing w:val="2"/>
        </w:rPr>
        <w:t>individuos </w:t>
      </w:r>
      <w:r>
        <w:rPr>
          <w:rFonts w:ascii="Cambria" w:hAnsi="Cambria"/>
          <w:color w:val="231F20"/>
        </w:rPr>
        <w:t>en </w:t>
      </w:r>
      <w:r>
        <w:rPr>
          <w:rFonts w:ascii="Cambria" w:hAnsi="Cambria"/>
          <w:color w:val="231F20"/>
          <w:spacing w:val="3"/>
        </w:rPr>
        <w:t>el mundo,</w:t>
      </w:r>
      <w:r>
        <w:rPr>
          <w:rFonts w:ascii="Cambria" w:hAnsi="Cambria"/>
          <w:color w:val="231F20"/>
          <w:spacing w:val="-12"/>
        </w:rPr>
        <w:t> </w:t>
      </w:r>
      <w:r>
        <w:rPr>
          <w:rFonts w:ascii="Cambria" w:hAnsi="Cambria"/>
          <w:color w:val="231F20"/>
          <w:spacing w:val="2"/>
        </w:rPr>
        <w:t>están</w:t>
      </w:r>
      <w:r>
        <w:rPr>
          <w:rFonts w:ascii="Cambria" w:hAnsi="Cambria"/>
          <w:color w:val="231F20"/>
          <w:spacing w:val="-11"/>
        </w:rPr>
        <w:t> </w:t>
      </w:r>
      <w:r>
        <w:rPr>
          <w:rFonts w:ascii="Cambria" w:hAnsi="Cambria"/>
          <w:color w:val="231F20"/>
          <w:spacing w:val="3"/>
        </w:rPr>
        <w:t>fuertemente</w:t>
      </w:r>
      <w:r>
        <w:rPr>
          <w:rFonts w:ascii="Cambria" w:hAnsi="Cambria"/>
          <w:color w:val="231F20"/>
          <w:spacing w:val="-11"/>
        </w:rPr>
        <w:t> </w:t>
      </w:r>
      <w:r>
        <w:rPr>
          <w:rFonts w:ascii="Cambria" w:hAnsi="Cambria"/>
          <w:color w:val="231F20"/>
          <w:spacing w:val="2"/>
        </w:rPr>
        <w:t>ligadas</w:t>
      </w:r>
      <w:r>
        <w:rPr>
          <w:rFonts w:ascii="Cambria" w:hAnsi="Cambria"/>
          <w:color w:val="231F20"/>
          <w:spacing w:val="-12"/>
        </w:rPr>
        <w:t> </w:t>
      </w:r>
      <w:r>
        <w:rPr>
          <w:rFonts w:ascii="Cambria" w:hAnsi="Cambria"/>
          <w:color w:val="231F20"/>
        </w:rPr>
        <w:t>a</w:t>
      </w:r>
      <w:r>
        <w:rPr>
          <w:rFonts w:ascii="Cambria" w:hAnsi="Cambria"/>
          <w:color w:val="231F20"/>
          <w:spacing w:val="-12"/>
        </w:rPr>
        <w:t> </w:t>
      </w:r>
      <w:r>
        <w:rPr>
          <w:rFonts w:ascii="Cambria" w:hAnsi="Cambria"/>
          <w:color w:val="231F20"/>
          <w:spacing w:val="2"/>
        </w:rPr>
        <w:t>los</w:t>
      </w:r>
      <w:r>
        <w:rPr>
          <w:rFonts w:ascii="Cambria" w:hAnsi="Cambria"/>
          <w:color w:val="231F20"/>
          <w:spacing w:val="-12"/>
        </w:rPr>
        <w:t> </w:t>
      </w:r>
      <w:r>
        <w:rPr>
          <w:rFonts w:ascii="Cambria" w:hAnsi="Cambria"/>
          <w:color w:val="231F20"/>
          <w:spacing w:val="2"/>
        </w:rPr>
        <w:t>valores</w:t>
      </w:r>
      <w:r>
        <w:rPr>
          <w:rFonts w:ascii="Cambria" w:hAnsi="Cambria"/>
          <w:color w:val="231F20"/>
          <w:spacing w:val="-12"/>
        </w:rPr>
        <w:t> </w:t>
      </w:r>
      <w:r>
        <w:rPr>
          <w:rFonts w:ascii="Cambria" w:hAnsi="Cambria"/>
          <w:color w:val="231F20"/>
          <w:spacing w:val="2"/>
        </w:rPr>
        <w:t>culturales,</w:t>
      </w:r>
      <w:r>
        <w:rPr>
          <w:rFonts w:ascii="Cambria" w:hAnsi="Cambria"/>
          <w:color w:val="231F20"/>
          <w:spacing w:val="-12"/>
        </w:rPr>
        <w:t> </w:t>
      </w:r>
      <w:r>
        <w:rPr>
          <w:rFonts w:ascii="Cambria" w:hAnsi="Cambria"/>
          <w:color w:val="231F20"/>
          <w:spacing w:val="2"/>
        </w:rPr>
        <w:t>por</w:t>
      </w:r>
      <w:r>
        <w:rPr>
          <w:rFonts w:ascii="Cambria" w:hAnsi="Cambria"/>
          <w:color w:val="231F20"/>
          <w:spacing w:val="-12"/>
        </w:rPr>
        <w:t> </w:t>
      </w:r>
      <w:r>
        <w:rPr>
          <w:rFonts w:ascii="Cambria" w:hAnsi="Cambria"/>
          <w:color w:val="231F20"/>
        </w:rPr>
        <w:t>lo </w:t>
      </w:r>
      <w:r>
        <w:rPr>
          <w:rFonts w:ascii="Cambria" w:hAnsi="Cambria"/>
          <w:color w:val="231F20"/>
          <w:w w:val="95"/>
        </w:rPr>
        <w:t>que las </w:t>
      </w:r>
      <w:r>
        <w:rPr>
          <w:rFonts w:ascii="Cambria" w:hAnsi="Cambria"/>
          <w:color w:val="231F20"/>
          <w:spacing w:val="2"/>
          <w:w w:val="95"/>
        </w:rPr>
        <w:t>manifestaciones </w:t>
      </w:r>
      <w:r>
        <w:rPr>
          <w:rFonts w:ascii="Cambria" w:hAnsi="Cambria"/>
          <w:color w:val="231F20"/>
          <w:w w:val="95"/>
        </w:rPr>
        <w:t>del </w:t>
      </w:r>
      <w:r>
        <w:rPr>
          <w:rFonts w:ascii="Cambria" w:hAnsi="Cambria"/>
          <w:color w:val="231F20"/>
          <w:spacing w:val="2"/>
          <w:w w:val="95"/>
        </w:rPr>
        <w:t>maltrato pueden aceptarse </w:t>
      </w:r>
      <w:r>
        <w:rPr>
          <w:rFonts w:ascii="Cambria" w:hAnsi="Cambria"/>
          <w:color w:val="231F20"/>
          <w:spacing w:val="3"/>
          <w:w w:val="95"/>
        </w:rPr>
        <w:t>como </w:t>
      </w:r>
      <w:r>
        <w:rPr>
          <w:rFonts w:ascii="Cambria" w:hAnsi="Cambria"/>
          <w:color w:val="231F20"/>
          <w:spacing w:val="2"/>
          <w:w w:val="95"/>
        </w:rPr>
        <w:t>váli- </w:t>
      </w:r>
      <w:r>
        <w:rPr>
          <w:rFonts w:ascii="Cambria" w:hAnsi="Cambria"/>
          <w:color w:val="231F20"/>
          <w:spacing w:val="2"/>
        </w:rPr>
        <w:t>das</w:t>
      </w:r>
      <w:r>
        <w:rPr>
          <w:rFonts w:ascii="Cambria" w:hAnsi="Cambria"/>
          <w:color w:val="231F20"/>
          <w:spacing w:val="-15"/>
        </w:rPr>
        <w:t> </w:t>
      </w:r>
      <w:r>
        <w:rPr>
          <w:rFonts w:ascii="Cambria" w:hAnsi="Cambria"/>
          <w:color w:val="231F20"/>
        </w:rPr>
        <w:t>y</w:t>
      </w:r>
      <w:r>
        <w:rPr>
          <w:rFonts w:ascii="Cambria" w:hAnsi="Cambria"/>
          <w:color w:val="231F20"/>
          <w:spacing w:val="-15"/>
        </w:rPr>
        <w:t> </w:t>
      </w:r>
      <w:r>
        <w:rPr>
          <w:rFonts w:ascii="Cambria" w:hAnsi="Cambria"/>
          <w:color w:val="231F20"/>
          <w:spacing w:val="2"/>
        </w:rPr>
        <w:t>hasta</w:t>
      </w:r>
      <w:r>
        <w:rPr>
          <w:rFonts w:ascii="Cambria" w:hAnsi="Cambria"/>
          <w:color w:val="231F20"/>
          <w:spacing w:val="-15"/>
        </w:rPr>
        <w:t> </w:t>
      </w:r>
      <w:r>
        <w:rPr>
          <w:rFonts w:ascii="Cambria" w:hAnsi="Cambria"/>
          <w:color w:val="231F20"/>
          <w:spacing w:val="2"/>
        </w:rPr>
        <w:t>“naturales”(Saldivar,</w:t>
      </w:r>
      <w:r>
        <w:rPr>
          <w:rFonts w:ascii="Cambria" w:hAnsi="Cambria"/>
          <w:color w:val="231F20"/>
          <w:spacing w:val="-15"/>
        </w:rPr>
        <w:t> </w:t>
      </w:r>
      <w:r>
        <w:rPr>
          <w:rFonts w:ascii="Cambria" w:hAnsi="Cambria"/>
          <w:color w:val="231F20"/>
          <w:spacing w:val="2"/>
        </w:rPr>
        <w:t>2007);</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spacing w:val="2"/>
        </w:rPr>
        <w:t>ahí</w:t>
      </w:r>
      <w:r>
        <w:rPr>
          <w:rFonts w:ascii="Cambria" w:hAnsi="Cambria"/>
          <w:color w:val="231F20"/>
          <w:spacing w:val="-15"/>
        </w:rPr>
        <w:t> </w:t>
      </w:r>
      <w:r>
        <w:rPr>
          <w:rFonts w:ascii="Cambria" w:hAnsi="Cambria"/>
          <w:color w:val="231F20"/>
          <w:spacing w:val="2"/>
        </w:rPr>
        <w:t>que</w:t>
      </w:r>
      <w:r>
        <w:rPr>
          <w:rFonts w:ascii="Cambria" w:hAnsi="Cambria"/>
          <w:color w:val="231F20"/>
          <w:spacing w:val="-15"/>
        </w:rPr>
        <w:t> </w:t>
      </w:r>
      <w:r>
        <w:rPr>
          <w:rFonts w:ascii="Cambria" w:hAnsi="Cambria"/>
          <w:color w:val="231F20"/>
        </w:rPr>
        <w:t>lo</w:t>
      </w:r>
      <w:r>
        <w:rPr>
          <w:rFonts w:ascii="Cambria" w:hAnsi="Cambria"/>
          <w:color w:val="231F20"/>
          <w:spacing w:val="-15"/>
        </w:rPr>
        <w:t> </w:t>
      </w:r>
      <w:r>
        <w:rPr>
          <w:rFonts w:ascii="Cambria" w:hAnsi="Cambria"/>
          <w:color w:val="231F20"/>
          <w:spacing w:val="2"/>
        </w:rPr>
        <w:t>que</w:t>
      </w:r>
      <w:r>
        <w:rPr>
          <w:rFonts w:ascii="Cambria" w:hAnsi="Cambria"/>
          <w:color w:val="231F20"/>
          <w:spacing w:val="-15"/>
        </w:rPr>
        <w:t> </w:t>
      </w:r>
      <w:r>
        <w:rPr>
          <w:rFonts w:ascii="Cambria" w:hAnsi="Cambria"/>
          <w:color w:val="231F20"/>
          <w:spacing w:val="2"/>
        </w:rPr>
        <w:t>para</w:t>
      </w:r>
      <w:r>
        <w:rPr>
          <w:rFonts w:ascii="Cambria" w:hAnsi="Cambria"/>
          <w:color w:val="231F20"/>
          <w:spacing w:val="-15"/>
        </w:rPr>
        <w:t> </w:t>
      </w:r>
      <w:r>
        <w:rPr>
          <w:rFonts w:ascii="Cambria" w:hAnsi="Cambria"/>
          <w:color w:val="231F20"/>
        </w:rPr>
        <w:t>un </w:t>
      </w:r>
      <w:r>
        <w:rPr>
          <w:rFonts w:ascii="Cambria" w:hAnsi="Cambria"/>
          <w:color w:val="231F20"/>
          <w:spacing w:val="2"/>
        </w:rPr>
        <w:t>estudiante</w:t>
      </w:r>
      <w:r>
        <w:rPr>
          <w:rFonts w:ascii="Cambria" w:hAnsi="Cambria"/>
          <w:color w:val="231F20"/>
          <w:spacing w:val="-24"/>
        </w:rPr>
        <w:t> </w:t>
      </w:r>
      <w:r>
        <w:rPr>
          <w:rFonts w:ascii="Cambria" w:hAnsi="Cambria"/>
          <w:color w:val="231F20"/>
        </w:rPr>
        <w:t>es</w:t>
      </w:r>
      <w:r>
        <w:rPr>
          <w:rFonts w:ascii="Cambria" w:hAnsi="Cambria"/>
          <w:color w:val="231F20"/>
          <w:spacing w:val="-24"/>
        </w:rPr>
        <w:t> </w:t>
      </w:r>
      <w:r>
        <w:rPr>
          <w:rFonts w:ascii="Cambria" w:hAnsi="Cambria"/>
          <w:color w:val="231F20"/>
          <w:spacing w:val="2"/>
        </w:rPr>
        <w:t>abuso</w:t>
      </w:r>
      <w:r>
        <w:rPr>
          <w:rFonts w:ascii="Cambria" w:hAnsi="Cambria"/>
          <w:color w:val="231F20"/>
          <w:spacing w:val="-24"/>
        </w:rPr>
        <w:t> </w:t>
      </w:r>
      <w:r>
        <w:rPr>
          <w:rFonts w:ascii="Cambria" w:hAnsi="Cambria"/>
          <w:color w:val="231F20"/>
        </w:rPr>
        <w:t>o</w:t>
      </w:r>
      <w:r>
        <w:rPr>
          <w:rFonts w:ascii="Cambria" w:hAnsi="Cambria"/>
          <w:color w:val="231F20"/>
          <w:spacing w:val="-24"/>
        </w:rPr>
        <w:t> </w:t>
      </w:r>
      <w:r>
        <w:rPr>
          <w:rFonts w:ascii="Cambria" w:hAnsi="Cambria"/>
          <w:color w:val="231F20"/>
          <w:spacing w:val="2"/>
        </w:rPr>
        <w:t>maltrato,</w:t>
      </w:r>
      <w:r>
        <w:rPr>
          <w:rFonts w:ascii="Cambria" w:hAnsi="Cambria"/>
          <w:color w:val="231F20"/>
          <w:spacing w:val="-24"/>
        </w:rPr>
        <w:t> </w:t>
      </w:r>
      <w:r>
        <w:rPr>
          <w:rFonts w:ascii="Cambria" w:hAnsi="Cambria"/>
          <w:color w:val="231F20"/>
          <w:spacing w:val="3"/>
        </w:rPr>
        <w:t>puede</w:t>
      </w:r>
      <w:r>
        <w:rPr>
          <w:rFonts w:ascii="Cambria" w:hAnsi="Cambria"/>
          <w:color w:val="231F20"/>
          <w:spacing w:val="-24"/>
        </w:rPr>
        <w:t> </w:t>
      </w:r>
      <w:r>
        <w:rPr>
          <w:rFonts w:ascii="Cambria" w:hAnsi="Cambria"/>
          <w:color w:val="231F20"/>
        </w:rPr>
        <w:t>no</w:t>
      </w:r>
      <w:r>
        <w:rPr>
          <w:rFonts w:ascii="Cambria" w:hAnsi="Cambria"/>
          <w:color w:val="231F20"/>
          <w:spacing w:val="-24"/>
        </w:rPr>
        <w:t> </w:t>
      </w:r>
      <w:r>
        <w:rPr>
          <w:rFonts w:ascii="Cambria" w:hAnsi="Cambria"/>
          <w:color w:val="231F20"/>
          <w:spacing w:val="2"/>
        </w:rPr>
        <w:t>serlo</w:t>
      </w:r>
      <w:r>
        <w:rPr>
          <w:rFonts w:ascii="Cambria" w:hAnsi="Cambria"/>
          <w:color w:val="231F20"/>
          <w:spacing w:val="-24"/>
        </w:rPr>
        <w:t> </w:t>
      </w:r>
      <w:r>
        <w:rPr>
          <w:rFonts w:ascii="Cambria" w:hAnsi="Cambria"/>
          <w:color w:val="231F20"/>
        </w:rPr>
        <w:t>en</w:t>
      </w:r>
      <w:r>
        <w:rPr>
          <w:rFonts w:ascii="Cambria" w:hAnsi="Cambria"/>
          <w:color w:val="231F20"/>
          <w:spacing w:val="-24"/>
        </w:rPr>
        <w:t> </w:t>
      </w:r>
      <w:r>
        <w:rPr>
          <w:rFonts w:ascii="Cambria" w:hAnsi="Cambria"/>
          <w:color w:val="231F20"/>
          <w:spacing w:val="2"/>
        </w:rPr>
        <w:t>otros</w:t>
      </w:r>
      <w:r>
        <w:rPr>
          <w:rFonts w:ascii="Cambria" w:hAnsi="Cambria"/>
          <w:color w:val="231F20"/>
          <w:spacing w:val="-24"/>
        </w:rPr>
        <w:t> </w:t>
      </w:r>
      <w:r>
        <w:rPr>
          <w:rFonts w:ascii="Cambria" w:hAnsi="Cambria"/>
          <w:color w:val="231F20"/>
          <w:spacing w:val="3"/>
        </w:rPr>
        <w:t>contextos, </w:t>
      </w:r>
      <w:r>
        <w:rPr>
          <w:rFonts w:ascii="Cambria" w:hAnsi="Cambria"/>
          <w:color w:val="231F20"/>
          <w:w w:val="95"/>
        </w:rPr>
        <w:t>o en </w:t>
      </w:r>
      <w:r>
        <w:rPr>
          <w:rFonts w:ascii="Cambria" w:hAnsi="Cambria"/>
          <w:color w:val="231F20"/>
          <w:spacing w:val="2"/>
          <w:w w:val="95"/>
        </w:rPr>
        <w:t>sentido ético </w:t>
      </w:r>
      <w:r>
        <w:rPr>
          <w:rFonts w:ascii="Cambria" w:hAnsi="Cambria"/>
          <w:color w:val="231F20"/>
          <w:w w:val="95"/>
        </w:rPr>
        <w:t>o </w:t>
      </w:r>
      <w:r>
        <w:rPr>
          <w:rFonts w:ascii="Cambria" w:hAnsi="Cambria"/>
          <w:color w:val="231F20"/>
          <w:spacing w:val="2"/>
          <w:w w:val="95"/>
        </w:rPr>
        <w:t>legal (Silver,</w:t>
      </w:r>
      <w:r>
        <w:rPr>
          <w:rFonts w:ascii="Cambria" w:hAnsi="Cambria"/>
          <w:color w:val="231F20"/>
          <w:spacing w:val="-16"/>
          <w:w w:val="95"/>
        </w:rPr>
        <w:t> </w:t>
      </w:r>
      <w:r>
        <w:rPr>
          <w:rFonts w:ascii="Cambria" w:hAnsi="Cambria"/>
          <w:color w:val="231F20"/>
          <w:spacing w:val="2"/>
          <w:w w:val="95"/>
        </w:rPr>
        <w:t>1990).</w:t>
      </w:r>
    </w:p>
    <w:p>
      <w:pPr>
        <w:pStyle w:val="BodyText"/>
        <w:spacing w:before="2"/>
        <w:rPr>
          <w:rFonts w:ascii="Cambria"/>
        </w:rPr>
      </w:pPr>
    </w:p>
    <w:p>
      <w:pPr>
        <w:pStyle w:val="BodyText"/>
        <w:ind w:left="102"/>
        <w:jc w:val="both"/>
        <w:rPr>
          <w:rFonts w:ascii="Cambria"/>
        </w:rPr>
      </w:pPr>
      <w:r>
        <w:rPr>
          <w:rFonts w:ascii="Cambria"/>
          <w:color w:val="231F20"/>
          <w:w w:val="115"/>
        </w:rPr>
        <w:t>EL CONTEXTO</w:t>
      </w:r>
    </w:p>
    <w:p>
      <w:pPr>
        <w:pStyle w:val="BodyText"/>
        <w:spacing w:before="4"/>
        <w:rPr>
          <w:rFonts w:ascii="Cambria"/>
          <w:sz w:val="20"/>
        </w:rPr>
      </w:pPr>
    </w:p>
    <w:p>
      <w:pPr>
        <w:pStyle w:val="BodyText"/>
        <w:spacing w:line="242" w:lineRule="auto"/>
        <w:ind w:left="102" w:right="115"/>
        <w:jc w:val="both"/>
        <w:rPr>
          <w:rFonts w:ascii="Cambria" w:hAnsi="Cambria"/>
        </w:rPr>
      </w:pPr>
      <w:r>
        <w:rPr>
          <w:rFonts w:ascii="Cambria" w:hAnsi="Cambria"/>
          <w:color w:val="231F20"/>
        </w:rPr>
        <w:t>Desde sus inicios (1969), la Universidad Autónoma de Nayarit (UAN)</w:t>
      </w:r>
      <w:r>
        <w:rPr>
          <w:rFonts w:ascii="Cambria" w:hAnsi="Cambria"/>
          <w:color w:val="231F20"/>
          <w:spacing w:val="-16"/>
        </w:rPr>
        <w:t> </w:t>
      </w:r>
      <w:r>
        <w:rPr>
          <w:rFonts w:ascii="Cambria" w:hAnsi="Cambria"/>
          <w:color w:val="231F20"/>
        </w:rPr>
        <w:t>vino</w:t>
      </w:r>
      <w:r>
        <w:rPr>
          <w:rFonts w:ascii="Cambria" w:hAnsi="Cambria"/>
          <w:color w:val="231F20"/>
          <w:spacing w:val="-16"/>
        </w:rPr>
        <w:t> </w:t>
      </w:r>
      <w:r>
        <w:rPr>
          <w:rFonts w:ascii="Cambria" w:hAnsi="Cambria"/>
          <w:color w:val="231F20"/>
        </w:rPr>
        <w:t>a</w:t>
      </w:r>
      <w:r>
        <w:rPr>
          <w:rFonts w:ascii="Cambria" w:hAnsi="Cambria"/>
          <w:color w:val="231F20"/>
          <w:spacing w:val="-16"/>
        </w:rPr>
        <w:t> </w:t>
      </w:r>
      <w:r>
        <w:rPr>
          <w:rFonts w:ascii="Cambria" w:hAnsi="Cambria"/>
          <w:color w:val="231F20"/>
        </w:rPr>
        <w:t>transformar</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vida</w:t>
      </w:r>
      <w:r>
        <w:rPr>
          <w:rFonts w:ascii="Cambria" w:hAnsi="Cambria"/>
          <w:color w:val="231F20"/>
          <w:spacing w:val="-16"/>
        </w:rPr>
        <w:t> </w:t>
      </w:r>
      <w:r>
        <w:rPr>
          <w:rFonts w:ascii="Cambria" w:hAnsi="Cambria"/>
          <w:color w:val="231F20"/>
        </w:rPr>
        <w:t>social,</w:t>
      </w:r>
      <w:r>
        <w:rPr>
          <w:rFonts w:ascii="Cambria" w:hAnsi="Cambria"/>
          <w:color w:val="231F20"/>
          <w:spacing w:val="-17"/>
        </w:rPr>
        <w:t> </w:t>
      </w:r>
      <w:r>
        <w:rPr>
          <w:rFonts w:ascii="Cambria" w:hAnsi="Cambria"/>
          <w:color w:val="231F20"/>
        </w:rPr>
        <w:t>económica,</w:t>
      </w:r>
      <w:r>
        <w:rPr>
          <w:rFonts w:ascii="Cambria" w:hAnsi="Cambria"/>
          <w:color w:val="231F20"/>
          <w:spacing w:val="-17"/>
        </w:rPr>
        <w:t> </w:t>
      </w:r>
      <w:r>
        <w:rPr>
          <w:rFonts w:ascii="Cambria" w:hAnsi="Cambria"/>
          <w:color w:val="231F20"/>
        </w:rPr>
        <w:t>política,</w:t>
      </w:r>
      <w:r>
        <w:rPr>
          <w:rFonts w:ascii="Cambria" w:hAnsi="Cambria"/>
          <w:color w:val="231F20"/>
          <w:spacing w:val="-17"/>
        </w:rPr>
        <w:t> </w:t>
      </w:r>
      <w:r>
        <w:rPr>
          <w:rFonts w:ascii="Cambria" w:hAnsi="Cambria"/>
          <w:color w:val="231F20"/>
        </w:rPr>
        <w:t>cultu- ral</w:t>
      </w:r>
      <w:r>
        <w:rPr>
          <w:rFonts w:ascii="Cambria" w:hAnsi="Cambria"/>
          <w:color w:val="231F20"/>
          <w:spacing w:val="-11"/>
        </w:rPr>
        <w:t> </w:t>
      </w:r>
      <w:r>
        <w:rPr>
          <w:rFonts w:ascii="Cambria" w:hAnsi="Cambria"/>
          <w:color w:val="231F20"/>
        </w:rPr>
        <w:t>y</w:t>
      </w:r>
      <w:r>
        <w:rPr>
          <w:rFonts w:ascii="Cambria" w:hAnsi="Cambria"/>
          <w:color w:val="231F20"/>
          <w:spacing w:val="-11"/>
        </w:rPr>
        <w:t> </w:t>
      </w:r>
      <w:r>
        <w:rPr>
          <w:rFonts w:ascii="Cambria" w:hAnsi="Cambria"/>
          <w:color w:val="231F20"/>
        </w:rPr>
        <w:t>académica</w:t>
      </w:r>
      <w:r>
        <w:rPr>
          <w:rFonts w:ascii="Cambria" w:hAnsi="Cambria"/>
          <w:color w:val="231F20"/>
          <w:spacing w:val="-11"/>
        </w:rPr>
        <w:t> </w:t>
      </w:r>
      <w:r>
        <w:rPr>
          <w:rFonts w:ascii="Cambria" w:hAnsi="Cambria"/>
          <w:color w:val="231F20"/>
        </w:rPr>
        <w:t>de</w:t>
      </w:r>
      <w:r>
        <w:rPr>
          <w:rFonts w:ascii="Cambria" w:hAnsi="Cambria"/>
          <w:color w:val="231F20"/>
          <w:spacing w:val="-11"/>
        </w:rPr>
        <w:t> </w:t>
      </w:r>
      <w:r>
        <w:rPr>
          <w:rFonts w:ascii="Cambria" w:hAnsi="Cambria"/>
          <w:color w:val="231F20"/>
        </w:rPr>
        <w:t>la</w:t>
      </w:r>
      <w:r>
        <w:rPr>
          <w:rFonts w:ascii="Cambria" w:hAnsi="Cambria"/>
          <w:color w:val="231F20"/>
          <w:spacing w:val="-11"/>
        </w:rPr>
        <w:t> </w:t>
      </w:r>
      <w:r>
        <w:rPr>
          <w:rFonts w:ascii="Cambria" w:hAnsi="Cambria"/>
          <w:color w:val="231F20"/>
        </w:rPr>
        <w:t>región,</w:t>
      </w:r>
      <w:r>
        <w:rPr>
          <w:rFonts w:ascii="Cambria" w:hAnsi="Cambria"/>
          <w:color w:val="231F20"/>
          <w:spacing w:val="-11"/>
        </w:rPr>
        <w:t> </w:t>
      </w:r>
      <w:r>
        <w:rPr>
          <w:rFonts w:ascii="Cambria" w:hAnsi="Cambria"/>
          <w:color w:val="231F20"/>
        </w:rPr>
        <w:t>pues</w:t>
      </w:r>
      <w:r>
        <w:rPr>
          <w:rFonts w:ascii="Cambria" w:hAnsi="Cambria"/>
          <w:color w:val="231F20"/>
          <w:spacing w:val="-11"/>
        </w:rPr>
        <w:t> </w:t>
      </w:r>
      <w:r>
        <w:rPr>
          <w:rFonts w:ascii="Cambria" w:hAnsi="Cambria"/>
          <w:color w:val="231F20"/>
        </w:rPr>
        <w:t>representó</w:t>
      </w:r>
      <w:r>
        <w:rPr>
          <w:rFonts w:ascii="Cambria" w:hAnsi="Cambria"/>
          <w:color w:val="231F20"/>
          <w:spacing w:val="-10"/>
        </w:rPr>
        <w:t> </w:t>
      </w:r>
      <w:r>
        <w:rPr>
          <w:rFonts w:ascii="Cambria" w:hAnsi="Cambria"/>
          <w:color w:val="231F20"/>
        </w:rPr>
        <w:t>para</w:t>
      </w:r>
      <w:r>
        <w:rPr>
          <w:rFonts w:ascii="Cambria" w:hAnsi="Cambria"/>
          <w:color w:val="231F20"/>
          <w:spacing w:val="-11"/>
        </w:rPr>
        <w:t> </w:t>
      </w:r>
      <w:r>
        <w:rPr>
          <w:rFonts w:ascii="Cambria" w:hAnsi="Cambria"/>
          <w:color w:val="231F20"/>
        </w:rPr>
        <w:t>los(as)</w:t>
      </w:r>
      <w:r>
        <w:rPr>
          <w:rFonts w:ascii="Cambria" w:hAnsi="Cambria"/>
          <w:color w:val="231F20"/>
          <w:spacing w:val="-11"/>
        </w:rPr>
        <w:t> </w:t>
      </w:r>
      <w:r>
        <w:rPr>
          <w:rFonts w:ascii="Cambria" w:hAnsi="Cambria"/>
          <w:color w:val="231F20"/>
        </w:rPr>
        <w:t>jóvenes </w:t>
      </w:r>
      <w:r>
        <w:rPr>
          <w:rFonts w:ascii="Cambria" w:hAnsi="Cambria"/>
          <w:color w:val="231F20"/>
          <w:w w:val="95"/>
        </w:rPr>
        <w:t>egresados de la educación media superior, la gran oportunidad para continuar</w:t>
      </w:r>
      <w:r>
        <w:rPr>
          <w:rFonts w:ascii="Cambria" w:hAnsi="Cambria"/>
          <w:color w:val="231F20"/>
          <w:spacing w:val="-8"/>
          <w:w w:val="95"/>
        </w:rPr>
        <w:t> </w:t>
      </w:r>
      <w:r>
        <w:rPr>
          <w:rFonts w:ascii="Cambria" w:hAnsi="Cambria"/>
          <w:color w:val="231F20"/>
          <w:w w:val="95"/>
        </w:rPr>
        <w:t>con</w:t>
      </w:r>
      <w:r>
        <w:rPr>
          <w:rFonts w:ascii="Cambria" w:hAnsi="Cambria"/>
          <w:color w:val="231F20"/>
          <w:spacing w:val="-7"/>
          <w:w w:val="95"/>
        </w:rPr>
        <w:t> </w:t>
      </w:r>
      <w:r>
        <w:rPr>
          <w:rFonts w:ascii="Cambria" w:hAnsi="Cambria"/>
          <w:color w:val="231F20"/>
          <w:w w:val="95"/>
        </w:rPr>
        <w:t>sus</w:t>
      </w:r>
      <w:r>
        <w:rPr>
          <w:rFonts w:ascii="Cambria" w:hAnsi="Cambria"/>
          <w:color w:val="231F20"/>
          <w:spacing w:val="-8"/>
          <w:w w:val="95"/>
        </w:rPr>
        <w:t> </w:t>
      </w:r>
      <w:r>
        <w:rPr>
          <w:rFonts w:ascii="Cambria" w:hAnsi="Cambria"/>
          <w:color w:val="231F20"/>
          <w:w w:val="95"/>
        </w:rPr>
        <w:t>estudios</w:t>
      </w:r>
      <w:r>
        <w:rPr>
          <w:rFonts w:ascii="Cambria" w:hAnsi="Cambria"/>
          <w:color w:val="231F20"/>
          <w:spacing w:val="-8"/>
          <w:w w:val="95"/>
        </w:rPr>
        <w:t> </w:t>
      </w:r>
      <w:r>
        <w:rPr>
          <w:rFonts w:ascii="Cambria" w:hAnsi="Cambria"/>
          <w:color w:val="231F20"/>
          <w:w w:val="95"/>
        </w:rPr>
        <w:t>universitarios,</w:t>
      </w:r>
      <w:r>
        <w:rPr>
          <w:rFonts w:ascii="Cambria" w:hAnsi="Cambria"/>
          <w:color w:val="231F20"/>
          <w:spacing w:val="-8"/>
          <w:w w:val="95"/>
        </w:rPr>
        <w:t> </w:t>
      </w:r>
      <w:r>
        <w:rPr>
          <w:rFonts w:ascii="Cambria" w:hAnsi="Cambria"/>
          <w:color w:val="231F20"/>
          <w:w w:val="95"/>
        </w:rPr>
        <w:t>sin</w:t>
      </w:r>
      <w:r>
        <w:rPr>
          <w:rFonts w:ascii="Cambria" w:hAnsi="Cambria"/>
          <w:color w:val="231F20"/>
          <w:spacing w:val="-7"/>
          <w:w w:val="95"/>
        </w:rPr>
        <w:t> </w:t>
      </w:r>
      <w:r>
        <w:rPr>
          <w:rFonts w:ascii="Cambria" w:hAnsi="Cambria"/>
          <w:color w:val="231F20"/>
          <w:w w:val="95"/>
        </w:rPr>
        <w:t>tener</w:t>
      </w:r>
      <w:r>
        <w:rPr>
          <w:rFonts w:ascii="Cambria" w:hAnsi="Cambria"/>
          <w:color w:val="231F20"/>
          <w:spacing w:val="-8"/>
          <w:w w:val="95"/>
        </w:rPr>
        <w:t> </w:t>
      </w:r>
      <w:r>
        <w:rPr>
          <w:rFonts w:ascii="Cambria" w:hAnsi="Cambria"/>
          <w:color w:val="231F20"/>
          <w:w w:val="95"/>
        </w:rPr>
        <w:t>que</w:t>
      </w:r>
      <w:r>
        <w:rPr>
          <w:rFonts w:ascii="Cambria" w:hAnsi="Cambria"/>
          <w:color w:val="231F20"/>
          <w:spacing w:val="-8"/>
          <w:w w:val="95"/>
        </w:rPr>
        <w:t> </w:t>
      </w:r>
      <w:r>
        <w:rPr>
          <w:rFonts w:ascii="Cambria" w:hAnsi="Cambria"/>
          <w:color w:val="231F20"/>
          <w:w w:val="95"/>
        </w:rPr>
        <w:t>separarse</w:t>
      </w:r>
      <w:r>
        <w:rPr>
          <w:rFonts w:ascii="Cambria" w:hAnsi="Cambria"/>
          <w:color w:val="231F20"/>
          <w:spacing w:val="-8"/>
          <w:w w:val="95"/>
        </w:rPr>
        <w:t> </w:t>
      </w:r>
      <w:r>
        <w:rPr>
          <w:rFonts w:ascii="Cambria" w:hAnsi="Cambria"/>
          <w:color w:val="231F20"/>
          <w:w w:val="95"/>
        </w:rPr>
        <w:t>de </w:t>
      </w:r>
      <w:r>
        <w:rPr>
          <w:rFonts w:ascii="Cambria" w:hAnsi="Cambria"/>
          <w:color w:val="231F20"/>
        </w:rPr>
        <w:t>sus</w:t>
      </w:r>
      <w:r>
        <w:rPr>
          <w:rFonts w:ascii="Cambria" w:hAnsi="Cambria"/>
          <w:color w:val="231F20"/>
          <w:spacing w:val="-21"/>
        </w:rPr>
        <w:t> </w:t>
      </w:r>
      <w:r>
        <w:rPr>
          <w:rFonts w:ascii="Cambria" w:hAnsi="Cambria"/>
          <w:color w:val="231F20"/>
        </w:rPr>
        <w:t>familias.</w:t>
      </w:r>
      <w:r>
        <w:rPr>
          <w:rFonts w:ascii="Cambria" w:hAnsi="Cambria"/>
          <w:color w:val="231F20"/>
          <w:spacing w:val="-21"/>
        </w:rPr>
        <w:t> </w:t>
      </w:r>
      <w:r>
        <w:rPr>
          <w:rFonts w:ascii="Cambria" w:hAnsi="Cambria"/>
          <w:color w:val="231F20"/>
        </w:rPr>
        <w:t>En</w:t>
      </w:r>
      <w:r>
        <w:rPr>
          <w:rFonts w:ascii="Cambria" w:hAnsi="Cambria"/>
          <w:color w:val="231F20"/>
          <w:spacing w:val="-21"/>
        </w:rPr>
        <w:t> </w:t>
      </w:r>
      <w:r>
        <w:rPr>
          <w:rFonts w:ascii="Cambria" w:hAnsi="Cambria"/>
          <w:color w:val="231F20"/>
        </w:rPr>
        <w:t>particular,</w:t>
      </w:r>
      <w:r>
        <w:rPr>
          <w:rFonts w:ascii="Cambria" w:hAnsi="Cambria"/>
          <w:color w:val="231F20"/>
          <w:spacing w:val="-21"/>
        </w:rPr>
        <w:t> </w:t>
      </w:r>
      <w:r>
        <w:rPr>
          <w:rFonts w:ascii="Cambria" w:hAnsi="Cambria"/>
          <w:color w:val="231F20"/>
        </w:rPr>
        <w:t>para</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mujer</w:t>
      </w:r>
      <w:r>
        <w:rPr>
          <w:rFonts w:ascii="Cambria" w:hAnsi="Cambria"/>
          <w:color w:val="231F20"/>
          <w:spacing w:val="-21"/>
        </w:rPr>
        <w:t> </w:t>
      </w:r>
      <w:r>
        <w:rPr>
          <w:rFonts w:ascii="Cambria" w:hAnsi="Cambria"/>
          <w:color w:val="231F20"/>
        </w:rPr>
        <w:t>fue</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palanca</w:t>
      </w:r>
      <w:r>
        <w:rPr>
          <w:rFonts w:ascii="Cambria" w:hAnsi="Cambria"/>
          <w:color w:val="231F20"/>
          <w:spacing w:val="-21"/>
        </w:rPr>
        <w:t> </w:t>
      </w:r>
      <w:r>
        <w:rPr>
          <w:rFonts w:ascii="Cambria" w:hAnsi="Cambria"/>
          <w:color w:val="231F20"/>
        </w:rPr>
        <w:t>que</w:t>
      </w:r>
      <w:r>
        <w:rPr>
          <w:rFonts w:ascii="Cambria" w:hAnsi="Cambria"/>
          <w:color w:val="231F20"/>
          <w:spacing w:val="-21"/>
        </w:rPr>
        <w:t> </w:t>
      </w:r>
      <w:r>
        <w:rPr>
          <w:rFonts w:ascii="Cambria" w:hAnsi="Cambria"/>
          <w:color w:val="231F20"/>
        </w:rPr>
        <w:t>empezó por</w:t>
      </w:r>
      <w:r>
        <w:rPr>
          <w:rFonts w:ascii="Cambria" w:hAnsi="Cambria"/>
          <w:color w:val="231F20"/>
          <w:spacing w:val="-14"/>
        </w:rPr>
        <w:t> </w:t>
      </w:r>
      <w:r>
        <w:rPr>
          <w:rFonts w:ascii="Cambria" w:hAnsi="Cambria"/>
          <w:color w:val="231F20"/>
        </w:rPr>
        <w:t>romper</w:t>
      </w:r>
      <w:r>
        <w:rPr>
          <w:rFonts w:ascii="Cambria" w:hAnsi="Cambria"/>
          <w:color w:val="231F20"/>
          <w:spacing w:val="-14"/>
        </w:rPr>
        <w:t> </w:t>
      </w:r>
      <w:r>
        <w:rPr>
          <w:rFonts w:ascii="Cambria" w:hAnsi="Cambria"/>
          <w:color w:val="231F20"/>
        </w:rPr>
        <w:t>las</w:t>
      </w:r>
      <w:r>
        <w:rPr>
          <w:rFonts w:ascii="Cambria" w:hAnsi="Cambria"/>
          <w:color w:val="231F20"/>
          <w:spacing w:val="-14"/>
        </w:rPr>
        <w:t> </w:t>
      </w:r>
      <w:r>
        <w:rPr>
          <w:rFonts w:ascii="Cambria" w:hAnsi="Cambria"/>
          <w:color w:val="231F20"/>
        </w:rPr>
        <w:t>cadenas</w:t>
      </w:r>
      <w:r>
        <w:rPr>
          <w:rFonts w:ascii="Cambria" w:hAnsi="Cambria"/>
          <w:color w:val="231F20"/>
          <w:spacing w:val="-14"/>
        </w:rPr>
        <w:t> </w:t>
      </w:r>
      <w:r>
        <w:rPr>
          <w:rFonts w:ascii="Cambria" w:hAnsi="Cambria"/>
          <w:color w:val="231F20"/>
        </w:rPr>
        <w:t>que</w:t>
      </w:r>
      <w:r>
        <w:rPr>
          <w:rFonts w:ascii="Cambria" w:hAnsi="Cambria"/>
          <w:color w:val="231F20"/>
          <w:spacing w:val="-14"/>
        </w:rPr>
        <w:t> </w:t>
      </w:r>
      <w:r>
        <w:rPr>
          <w:rFonts w:ascii="Cambria" w:hAnsi="Cambria"/>
          <w:color w:val="231F20"/>
        </w:rPr>
        <w:t>la</w:t>
      </w:r>
      <w:r>
        <w:rPr>
          <w:rFonts w:ascii="Cambria" w:hAnsi="Cambria"/>
          <w:color w:val="231F20"/>
          <w:spacing w:val="-14"/>
        </w:rPr>
        <w:t> </w:t>
      </w:r>
      <w:r>
        <w:rPr>
          <w:rFonts w:ascii="Cambria" w:hAnsi="Cambria"/>
          <w:color w:val="231F20"/>
        </w:rPr>
        <w:t>ataban</w:t>
      </w:r>
      <w:r>
        <w:rPr>
          <w:rFonts w:ascii="Cambria" w:hAnsi="Cambria"/>
          <w:color w:val="231F20"/>
          <w:spacing w:val="-14"/>
        </w:rPr>
        <w:t> </w:t>
      </w:r>
      <w:r>
        <w:rPr>
          <w:rFonts w:ascii="Cambria" w:hAnsi="Cambria"/>
          <w:color w:val="231F20"/>
        </w:rPr>
        <w:t>a</w:t>
      </w:r>
      <w:r>
        <w:rPr>
          <w:rFonts w:ascii="Cambria" w:hAnsi="Cambria"/>
          <w:color w:val="231F20"/>
          <w:spacing w:val="-14"/>
        </w:rPr>
        <w:t> </w:t>
      </w:r>
      <w:r>
        <w:rPr>
          <w:rFonts w:ascii="Cambria" w:hAnsi="Cambria"/>
          <w:color w:val="231F20"/>
        </w:rPr>
        <w:t>una</w:t>
      </w:r>
      <w:r>
        <w:rPr>
          <w:rFonts w:ascii="Cambria" w:hAnsi="Cambria"/>
          <w:color w:val="231F20"/>
          <w:spacing w:val="-14"/>
        </w:rPr>
        <w:t> </w:t>
      </w:r>
      <w:r>
        <w:rPr>
          <w:rFonts w:ascii="Cambria" w:hAnsi="Cambria"/>
          <w:color w:val="231F20"/>
        </w:rPr>
        <w:t>condición</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rPr>
        <w:t>sumisión familiar,</w:t>
      </w:r>
      <w:r>
        <w:rPr>
          <w:rFonts w:ascii="Cambria" w:hAnsi="Cambria"/>
          <w:color w:val="231F20"/>
          <w:spacing w:val="-9"/>
        </w:rPr>
        <w:t> </w:t>
      </w:r>
      <w:r>
        <w:rPr>
          <w:rFonts w:ascii="Cambria" w:hAnsi="Cambria"/>
          <w:color w:val="231F20"/>
        </w:rPr>
        <w:t>y</w:t>
      </w:r>
      <w:r>
        <w:rPr>
          <w:rFonts w:ascii="Cambria" w:hAnsi="Cambria"/>
          <w:color w:val="231F20"/>
          <w:spacing w:val="-9"/>
        </w:rPr>
        <w:t> </w:t>
      </w:r>
      <w:r>
        <w:rPr>
          <w:rFonts w:ascii="Cambria" w:hAnsi="Cambria"/>
          <w:color w:val="231F20"/>
        </w:rPr>
        <w:t>a</w:t>
      </w:r>
      <w:r>
        <w:rPr>
          <w:rFonts w:ascii="Cambria" w:hAnsi="Cambria"/>
          <w:color w:val="231F20"/>
          <w:spacing w:val="-9"/>
        </w:rPr>
        <w:t> </w:t>
      </w:r>
      <w:r>
        <w:rPr>
          <w:rFonts w:ascii="Cambria" w:hAnsi="Cambria"/>
          <w:color w:val="231F20"/>
        </w:rPr>
        <w:t>una</w:t>
      </w:r>
      <w:r>
        <w:rPr>
          <w:rFonts w:ascii="Cambria" w:hAnsi="Cambria"/>
          <w:color w:val="231F20"/>
          <w:spacing w:val="-9"/>
        </w:rPr>
        <w:t> </w:t>
      </w:r>
      <w:r>
        <w:rPr>
          <w:rFonts w:ascii="Cambria" w:hAnsi="Cambria"/>
          <w:color w:val="231F20"/>
        </w:rPr>
        <w:t>educación</w:t>
      </w:r>
      <w:r>
        <w:rPr>
          <w:rFonts w:ascii="Cambria" w:hAnsi="Cambria"/>
          <w:color w:val="231F20"/>
          <w:spacing w:val="-9"/>
        </w:rPr>
        <w:t> </w:t>
      </w:r>
      <w:r>
        <w:rPr>
          <w:rFonts w:ascii="Cambria" w:hAnsi="Cambria"/>
          <w:color w:val="231F20"/>
        </w:rPr>
        <w:t>de</w:t>
      </w:r>
      <w:r>
        <w:rPr>
          <w:rFonts w:ascii="Cambria" w:hAnsi="Cambria"/>
          <w:color w:val="231F20"/>
          <w:spacing w:val="-9"/>
        </w:rPr>
        <w:t> </w:t>
      </w:r>
      <w:r>
        <w:rPr>
          <w:rFonts w:ascii="Cambria" w:hAnsi="Cambria"/>
          <w:color w:val="231F20"/>
        </w:rPr>
        <w:t>la</w:t>
      </w:r>
      <w:r>
        <w:rPr>
          <w:rFonts w:ascii="Cambria" w:hAnsi="Cambria"/>
          <w:color w:val="231F20"/>
          <w:spacing w:val="-9"/>
        </w:rPr>
        <w:t> </w:t>
      </w:r>
      <w:r>
        <w:rPr>
          <w:rFonts w:ascii="Cambria" w:hAnsi="Cambria"/>
          <w:color w:val="231F20"/>
        </w:rPr>
        <w:t>época</w:t>
      </w:r>
      <w:r>
        <w:rPr>
          <w:rFonts w:ascii="Cambria" w:hAnsi="Cambria"/>
          <w:color w:val="231F20"/>
          <w:spacing w:val="-9"/>
        </w:rPr>
        <w:t> </w:t>
      </w:r>
      <w:r>
        <w:rPr>
          <w:rFonts w:ascii="Cambria" w:hAnsi="Cambria"/>
          <w:color w:val="231F20"/>
        </w:rPr>
        <w:t>que</w:t>
      </w:r>
      <w:r>
        <w:rPr>
          <w:rFonts w:ascii="Cambria" w:hAnsi="Cambria"/>
          <w:color w:val="231F20"/>
          <w:spacing w:val="-9"/>
        </w:rPr>
        <w:t> </w:t>
      </w:r>
      <w:r>
        <w:rPr>
          <w:rFonts w:ascii="Cambria" w:hAnsi="Cambria"/>
          <w:color w:val="231F20"/>
        </w:rPr>
        <w:t>enaltecía</w:t>
      </w:r>
      <w:r>
        <w:rPr>
          <w:rFonts w:ascii="Cambria" w:hAnsi="Cambria"/>
          <w:color w:val="231F20"/>
          <w:spacing w:val="-9"/>
        </w:rPr>
        <w:t> </w:t>
      </w:r>
      <w:r>
        <w:rPr>
          <w:rFonts w:ascii="Cambria" w:hAnsi="Cambria"/>
          <w:color w:val="231F20"/>
        </w:rPr>
        <w:t>tanto</w:t>
      </w:r>
      <w:r>
        <w:rPr>
          <w:rFonts w:ascii="Cambria" w:hAnsi="Cambria"/>
          <w:color w:val="231F20"/>
          <w:spacing w:val="-9"/>
        </w:rPr>
        <w:t> </w:t>
      </w:r>
      <w:r>
        <w:rPr>
          <w:rFonts w:ascii="Cambria" w:hAnsi="Cambria"/>
          <w:color w:val="231F20"/>
        </w:rPr>
        <w:t>las</w:t>
      </w:r>
      <w:r>
        <w:rPr>
          <w:rFonts w:ascii="Cambria" w:hAnsi="Cambria"/>
          <w:color w:val="231F20"/>
          <w:spacing w:val="-9"/>
        </w:rPr>
        <w:t> </w:t>
      </w:r>
      <w:r>
        <w:rPr>
          <w:rFonts w:ascii="Cambria" w:hAnsi="Cambria"/>
          <w:color w:val="231F20"/>
        </w:rPr>
        <w:t>ma- nualidades como los oficios secretariales. Por lo que hasta el mo- mento, la (UAN), ha sido el espacio más importante en la forma- ción</w:t>
      </w:r>
      <w:r>
        <w:rPr>
          <w:rFonts w:ascii="Cambria" w:hAnsi="Cambria"/>
          <w:color w:val="231F20"/>
          <w:spacing w:val="-7"/>
        </w:rPr>
        <w:t> </w:t>
      </w:r>
      <w:r>
        <w:rPr>
          <w:rFonts w:ascii="Cambria" w:hAnsi="Cambria"/>
          <w:color w:val="231F20"/>
        </w:rPr>
        <w:t>de</w:t>
      </w:r>
      <w:r>
        <w:rPr>
          <w:rFonts w:ascii="Cambria" w:hAnsi="Cambria"/>
          <w:color w:val="231F20"/>
          <w:spacing w:val="-7"/>
        </w:rPr>
        <w:t> </w:t>
      </w:r>
      <w:r>
        <w:rPr>
          <w:rFonts w:ascii="Cambria" w:hAnsi="Cambria"/>
          <w:color w:val="231F20"/>
        </w:rPr>
        <w:t>egresados</w:t>
      </w:r>
      <w:r>
        <w:rPr>
          <w:rFonts w:ascii="Cambria" w:hAnsi="Cambria"/>
          <w:color w:val="231F20"/>
          <w:spacing w:val="-7"/>
        </w:rPr>
        <w:t> </w:t>
      </w:r>
      <w:r>
        <w:rPr>
          <w:rFonts w:ascii="Cambria" w:hAnsi="Cambria"/>
          <w:color w:val="231F20"/>
        </w:rPr>
        <w:t>para</w:t>
      </w:r>
      <w:r>
        <w:rPr>
          <w:rFonts w:ascii="Cambria" w:hAnsi="Cambria"/>
          <w:color w:val="231F20"/>
          <w:spacing w:val="-7"/>
        </w:rPr>
        <w:t> </w:t>
      </w:r>
      <w:r>
        <w:rPr>
          <w:rFonts w:ascii="Cambria" w:hAnsi="Cambria"/>
          <w:color w:val="231F20"/>
        </w:rPr>
        <w:t>las</w:t>
      </w:r>
      <w:r>
        <w:rPr>
          <w:rFonts w:ascii="Cambria" w:hAnsi="Cambria"/>
          <w:color w:val="231F20"/>
          <w:spacing w:val="-7"/>
        </w:rPr>
        <w:t> </w:t>
      </w:r>
      <w:r>
        <w:rPr>
          <w:rFonts w:ascii="Cambria" w:hAnsi="Cambria"/>
          <w:color w:val="231F20"/>
        </w:rPr>
        <w:t>diferentes</w:t>
      </w:r>
      <w:r>
        <w:rPr>
          <w:rFonts w:ascii="Cambria" w:hAnsi="Cambria"/>
          <w:color w:val="231F20"/>
          <w:spacing w:val="-7"/>
        </w:rPr>
        <w:t> </w:t>
      </w:r>
      <w:r>
        <w:rPr>
          <w:rFonts w:ascii="Cambria" w:hAnsi="Cambria"/>
          <w:color w:val="231F20"/>
        </w:rPr>
        <w:t>áreas</w:t>
      </w:r>
      <w:r>
        <w:rPr>
          <w:rFonts w:ascii="Cambria" w:hAnsi="Cambria"/>
          <w:color w:val="231F20"/>
          <w:spacing w:val="-7"/>
        </w:rPr>
        <w:t> </w:t>
      </w:r>
      <w:r>
        <w:rPr>
          <w:rFonts w:ascii="Cambria" w:hAnsi="Cambria"/>
          <w:color w:val="231F20"/>
        </w:rPr>
        <w:t>del</w:t>
      </w:r>
      <w:r>
        <w:rPr>
          <w:rFonts w:ascii="Cambria" w:hAnsi="Cambria"/>
          <w:color w:val="231F20"/>
          <w:spacing w:val="-8"/>
        </w:rPr>
        <w:t> </w:t>
      </w:r>
      <w:r>
        <w:rPr>
          <w:rFonts w:ascii="Cambria" w:hAnsi="Cambria"/>
          <w:color w:val="231F20"/>
        </w:rPr>
        <w:t>conocimiento</w:t>
      </w:r>
      <w:r>
        <w:rPr>
          <w:rFonts w:ascii="Cambria" w:hAnsi="Cambria"/>
          <w:color w:val="231F20"/>
          <w:spacing w:val="-7"/>
        </w:rPr>
        <w:t> </w:t>
      </w:r>
      <w:r>
        <w:rPr>
          <w:rFonts w:ascii="Cambria" w:hAnsi="Cambria"/>
          <w:color w:val="231F20"/>
        </w:rPr>
        <w:t>y</w:t>
      </w:r>
      <w:r>
        <w:rPr>
          <w:rFonts w:ascii="Cambria" w:hAnsi="Cambria"/>
          <w:color w:val="231F20"/>
          <w:spacing w:val="-7"/>
        </w:rPr>
        <w:t> </w:t>
      </w:r>
      <w:r>
        <w:rPr>
          <w:rFonts w:ascii="Cambria" w:hAnsi="Cambria"/>
          <w:color w:val="231F20"/>
        </w:rPr>
        <w:t>en particular de recursos humanos para las instituciones del Sector </w:t>
      </w:r>
      <w:r>
        <w:rPr>
          <w:rFonts w:ascii="Cambria" w:hAnsi="Cambria"/>
          <w:color w:val="231F20"/>
          <w:w w:val="90"/>
        </w:rPr>
        <w:t>Salud </w:t>
      </w:r>
      <w:r>
        <w:rPr>
          <w:rFonts w:ascii="Cambria" w:hAnsi="Cambria"/>
          <w:color w:val="231F20"/>
          <w:spacing w:val="13"/>
          <w:w w:val="90"/>
        </w:rPr>
        <w:t> </w:t>
      </w:r>
      <w:r>
        <w:rPr>
          <w:rFonts w:ascii="Cambria" w:hAnsi="Cambria"/>
          <w:color w:val="231F20"/>
          <w:w w:val="90"/>
        </w:rPr>
        <w:t>estatales/nacionales.</w:t>
      </w:r>
    </w:p>
    <w:p>
      <w:pPr>
        <w:spacing w:after="0" w:line="242" w:lineRule="auto"/>
        <w:jc w:val="both"/>
        <w:rPr>
          <w:rFonts w:ascii="Cambria" w:hAnsi="Cambria"/>
        </w:rPr>
        <w:sectPr>
          <w:headerReference w:type="default" r:id="rId431"/>
          <w:footerReference w:type="default" r:id="rId432"/>
          <w:pgSz w:w="7830" w:h="11910"/>
          <w:pgMar w:header="0" w:footer="424" w:top="500" w:bottom="620" w:left="920" w:right="900"/>
          <w:pgNumType w:start="20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4" w:lineRule="auto"/>
        <w:ind w:left="101" w:right="116" w:firstLine="284"/>
        <w:jc w:val="both"/>
      </w:pPr>
      <w:r>
        <w:rPr>
          <w:color w:val="231F20"/>
        </w:rPr>
        <w:t>El Área de Ciencias de la Salud (ACS) de la (UAN) surge de los trabajos de rediseño curricular que acompañaron al proceso de reforma universitaria, a fines de 1999 e inicios del 2000  y  </w:t>
      </w:r>
      <w:r>
        <w:rPr>
          <w:color w:val="231F20"/>
          <w:spacing w:val="2"/>
        </w:rPr>
        <w:t>que </w:t>
      </w:r>
      <w:r>
        <w:rPr>
          <w:color w:val="231F20"/>
        </w:rPr>
        <w:t>dieron origen a un nuevo modelo educativo (flexible, por créditos, multi e interdisciplinario, constituido por áreas del conocimiento), que transformó la anterior organización por escuelas y facultades.Se </w:t>
      </w:r>
      <w:r>
        <w:rPr>
          <w:color w:val="231F20"/>
          <w:w w:val="95"/>
        </w:rPr>
        <w:t>concibe</w:t>
      </w:r>
      <w:r>
        <w:rPr>
          <w:color w:val="231F20"/>
          <w:spacing w:val="-10"/>
          <w:w w:val="95"/>
        </w:rPr>
        <w:t> </w:t>
      </w:r>
      <w:r>
        <w:rPr>
          <w:color w:val="231F20"/>
          <w:w w:val="95"/>
        </w:rPr>
        <w:t>al</w:t>
      </w:r>
      <w:r>
        <w:rPr>
          <w:color w:val="231F20"/>
          <w:spacing w:val="-11"/>
          <w:w w:val="95"/>
        </w:rPr>
        <w:t> </w:t>
      </w:r>
      <w:r>
        <w:rPr>
          <w:color w:val="231F20"/>
          <w:w w:val="95"/>
        </w:rPr>
        <w:t>“Área</w:t>
      </w:r>
      <w:r>
        <w:rPr>
          <w:color w:val="231F20"/>
          <w:spacing w:val="-10"/>
          <w:w w:val="95"/>
        </w:rPr>
        <w:t> </w:t>
      </w:r>
      <w:r>
        <w:rPr>
          <w:color w:val="231F20"/>
          <w:w w:val="95"/>
        </w:rPr>
        <w:t>Académica</w:t>
      </w:r>
      <w:r>
        <w:rPr>
          <w:color w:val="231F20"/>
          <w:spacing w:val="-11"/>
          <w:w w:val="95"/>
        </w:rPr>
        <w:t> </w:t>
      </w:r>
      <w:r>
        <w:rPr>
          <w:i/>
          <w:color w:val="231F20"/>
          <w:w w:val="95"/>
        </w:rPr>
        <w:t>como</w:t>
      </w:r>
      <w:r>
        <w:rPr>
          <w:i/>
          <w:color w:val="231F20"/>
          <w:spacing w:val="-10"/>
          <w:w w:val="95"/>
        </w:rPr>
        <w:t> </w:t>
      </w:r>
      <w:r>
        <w:rPr>
          <w:i/>
          <w:color w:val="231F20"/>
          <w:w w:val="95"/>
        </w:rPr>
        <w:t>forma</w:t>
      </w:r>
      <w:r>
        <w:rPr>
          <w:i/>
          <w:color w:val="231F20"/>
          <w:spacing w:val="-10"/>
          <w:w w:val="95"/>
        </w:rPr>
        <w:t> </w:t>
      </w:r>
      <w:r>
        <w:rPr>
          <w:i/>
          <w:color w:val="231F20"/>
          <w:w w:val="95"/>
        </w:rPr>
        <w:t>de</w:t>
      </w:r>
      <w:r>
        <w:rPr>
          <w:i/>
          <w:color w:val="231F20"/>
          <w:spacing w:val="-11"/>
          <w:w w:val="95"/>
        </w:rPr>
        <w:t> </w:t>
      </w:r>
      <w:r>
        <w:rPr>
          <w:i/>
          <w:color w:val="231F20"/>
          <w:w w:val="95"/>
        </w:rPr>
        <w:t>organización</w:t>
      </w:r>
      <w:r>
        <w:rPr>
          <w:i/>
          <w:color w:val="231F20"/>
          <w:spacing w:val="-11"/>
          <w:w w:val="95"/>
        </w:rPr>
        <w:t> </w:t>
      </w:r>
      <w:r>
        <w:rPr>
          <w:color w:val="231F20"/>
          <w:w w:val="95"/>
        </w:rPr>
        <w:t>[que]</w:t>
      </w:r>
      <w:r>
        <w:rPr>
          <w:color w:val="231F20"/>
          <w:spacing w:val="-11"/>
          <w:w w:val="95"/>
        </w:rPr>
        <w:t> </w:t>
      </w:r>
      <w:r>
        <w:rPr>
          <w:color w:val="231F20"/>
          <w:w w:val="95"/>
        </w:rPr>
        <w:t>optimiza </w:t>
      </w:r>
      <w:r>
        <w:rPr>
          <w:color w:val="231F20"/>
        </w:rPr>
        <w:t>y potencia los recursos disponibles, elevando la calidad de la educación…” (Documento Rector de la Reforma de la Universidad Autónoma de Nayarit, 2002). Aparecen también las áreas de  Ciencias</w:t>
      </w:r>
      <w:r>
        <w:rPr>
          <w:color w:val="231F20"/>
          <w:spacing w:val="-12"/>
        </w:rPr>
        <w:t> </w:t>
      </w:r>
      <w:r>
        <w:rPr>
          <w:color w:val="231F20"/>
        </w:rPr>
        <w:t>Básicas</w:t>
      </w:r>
      <w:r>
        <w:rPr>
          <w:color w:val="231F20"/>
          <w:spacing w:val="-12"/>
        </w:rPr>
        <w:t> </w:t>
      </w:r>
      <w:r>
        <w:rPr>
          <w:color w:val="231F20"/>
        </w:rPr>
        <w:t>e</w:t>
      </w:r>
      <w:r>
        <w:rPr>
          <w:color w:val="231F20"/>
          <w:spacing w:val="-12"/>
        </w:rPr>
        <w:t> </w:t>
      </w:r>
      <w:r>
        <w:rPr>
          <w:color w:val="231F20"/>
        </w:rPr>
        <w:t>Ingenierías,</w:t>
      </w:r>
      <w:r>
        <w:rPr>
          <w:color w:val="231F20"/>
          <w:spacing w:val="-12"/>
        </w:rPr>
        <w:t> </w:t>
      </w:r>
      <w:r>
        <w:rPr>
          <w:color w:val="231F20"/>
        </w:rPr>
        <w:t>Biológico-Agropecuarias</w:t>
      </w:r>
      <w:r>
        <w:rPr>
          <w:color w:val="231F20"/>
          <w:spacing w:val="-12"/>
        </w:rPr>
        <w:t> </w:t>
      </w:r>
      <w:r>
        <w:rPr>
          <w:color w:val="231F20"/>
        </w:rPr>
        <w:t>y</w:t>
      </w:r>
      <w:r>
        <w:rPr>
          <w:color w:val="231F20"/>
          <w:spacing w:val="-12"/>
        </w:rPr>
        <w:t> </w:t>
      </w:r>
      <w:r>
        <w:rPr>
          <w:color w:val="231F20"/>
        </w:rPr>
        <w:t>Sociales</w:t>
      </w:r>
      <w:r>
        <w:rPr>
          <w:color w:val="231F20"/>
          <w:spacing w:val="-12"/>
        </w:rPr>
        <w:t> </w:t>
      </w:r>
      <w:r>
        <w:rPr>
          <w:color w:val="231F20"/>
        </w:rPr>
        <w:t>y Humanidades, posteriormente se agregará el área Económico- Administrativas. El ACS se conforma por las carreras de  Enfermería, surgida en 1939; Medicina, que inicia labores en el año de 1974, como Escuela Superior de Medicina; Odontología, inicia sus labores como Escuela Superior de Odontología en 1969; Químicofarmacobiólogo, inicia labores en 1971, como Escuela de Ciencias Químicas, y Cultura Física y Deportes, además de las carreras de profesional asociado en Nutrición y Alimentación Humana y Terapia Física, estas tres últimas son de reciente creación en el área, e inician labores en el año de</w:t>
      </w:r>
      <w:r>
        <w:rPr>
          <w:color w:val="231F20"/>
          <w:spacing w:val="-26"/>
        </w:rPr>
        <w:t> </w:t>
      </w:r>
      <w:r>
        <w:rPr>
          <w:color w:val="231F20"/>
        </w:rPr>
        <w:t>2010.</w:t>
      </w:r>
    </w:p>
    <w:p>
      <w:pPr>
        <w:pStyle w:val="BodyText"/>
        <w:spacing w:line="249" w:lineRule="auto" w:before="17"/>
        <w:ind w:left="102" w:right="115" w:firstLine="284"/>
        <w:jc w:val="both"/>
      </w:pPr>
      <w:r>
        <w:rPr>
          <w:color w:val="231F20"/>
        </w:rPr>
        <w:t>El </w:t>
      </w:r>
      <w:r>
        <w:rPr>
          <w:color w:val="231F20"/>
          <w:spacing w:val="2"/>
        </w:rPr>
        <w:t>ACS representa </w:t>
      </w:r>
      <w:r>
        <w:rPr>
          <w:color w:val="231F20"/>
          <w:spacing w:val="3"/>
        </w:rPr>
        <w:t>anualmente </w:t>
      </w:r>
      <w:r>
        <w:rPr>
          <w:color w:val="231F20"/>
          <w:spacing w:val="2"/>
        </w:rPr>
        <w:t>una </w:t>
      </w:r>
      <w:r>
        <w:rPr>
          <w:color w:val="231F20"/>
        </w:rPr>
        <w:t>de las </w:t>
      </w:r>
      <w:r>
        <w:rPr>
          <w:color w:val="231F20"/>
          <w:spacing w:val="3"/>
        </w:rPr>
        <w:t>opciones </w:t>
      </w:r>
      <w:r>
        <w:rPr>
          <w:color w:val="231F20"/>
          <w:spacing w:val="2"/>
        </w:rPr>
        <w:t>educativas </w:t>
      </w:r>
      <w:r>
        <w:rPr>
          <w:color w:val="231F20"/>
        </w:rPr>
        <w:t>de </w:t>
      </w:r>
      <w:r>
        <w:rPr>
          <w:color w:val="231F20"/>
          <w:spacing w:val="2"/>
        </w:rPr>
        <w:t>nivel superior más </w:t>
      </w:r>
      <w:r>
        <w:rPr>
          <w:color w:val="231F20"/>
          <w:spacing w:val="3"/>
        </w:rPr>
        <w:t>importantes </w:t>
      </w:r>
      <w:r>
        <w:rPr>
          <w:color w:val="231F20"/>
        </w:rPr>
        <w:t>y </w:t>
      </w:r>
      <w:r>
        <w:rPr>
          <w:color w:val="231F20"/>
          <w:spacing w:val="2"/>
        </w:rPr>
        <w:t>una </w:t>
      </w:r>
      <w:r>
        <w:rPr>
          <w:color w:val="231F20"/>
        </w:rPr>
        <w:t>de las </w:t>
      </w:r>
      <w:r>
        <w:rPr>
          <w:color w:val="231F20"/>
          <w:spacing w:val="2"/>
        </w:rPr>
        <w:t>más atractivas para los egresados del nivel medio superior </w:t>
      </w:r>
      <w:r>
        <w:rPr>
          <w:color w:val="231F20"/>
        </w:rPr>
        <w:t>de la </w:t>
      </w:r>
      <w:r>
        <w:rPr>
          <w:color w:val="231F20"/>
          <w:spacing w:val="2"/>
        </w:rPr>
        <w:t>entidad. </w:t>
      </w:r>
      <w:r>
        <w:rPr>
          <w:color w:val="231F20"/>
        </w:rPr>
        <w:t>En el </w:t>
      </w:r>
      <w:r>
        <w:rPr>
          <w:color w:val="231F20"/>
          <w:spacing w:val="2"/>
        </w:rPr>
        <w:t>proce-  </w:t>
      </w:r>
      <w:r>
        <w:rPr>
          <w:color w:val="231F20"/>
        </w:rPr>
        <w:t>so de </w:t>
      </w:r>
      <w:r>
        <w:rPr>
          <w:color w:val="231F20"/>
          <w:spacing w:val="2"/>
        </w:rPr>
        <w:t>selección del </w:t>
      </w:r>
      <w:r>
        <w:rPr>
          <w:color w:val="231F20"/>
        </w:rPr>
        <w:t>ciclo </w:t>
      </w:r>
      <w:r>
        <w:rPr>
          <w:color w:val="231F20"/>
          <w:spacing w:val="2"/>
        </w:rPr>
        <w:t>escolar 2010-2011, </w:t>
      </w:r>
      <w:r>
        <w:rPr>
          <w:color w:val="231F20"/>
        </w:rPr>
        <w:t>se </w:t>
      </w:r>
      <w:r>
        <w:rPr>
          <w:color w:val="231F20"/>
          <w:spacing w:val="2"/>
        </w:rPr>
        <w:t>recibieron </w:t>
      </w:r>
      <w:r>
        <w:rPr>
          <w:color w:val="231F20"/>
        </w:rPr>
        <w:t>un </w:t>
      </w:r>
      <w:r>
        <w:rPr>
          <w:color w:val="231F20"/>
          <w:spacing w:val="2"/>
        </w:rPr>
        <w:t>total </w:t>
      </w:r>
      <w:r>
        <w:rPr>
          <w:color w:val="231F20"/>
        </w:rPr>
        <w:t>de </w:t>
      </w:r>
      <w:r>
        <w:rPr>
          <w:color w:val="231F20"/>
          <w:spacing w:val="2"/>
        </w:rPr>
        <w:t>3,176 solicitudes </w:t>
      </w:r>
      <w:r>
        <w:rPr>
          <w:color w:val="231F20"/>
        </w:rPr>
        <w:t>de las </w:t>
      </w:r>
      <w:r>
        <w:rPr>
          <w:color w:val="231F20"/>
          <w:spacing w:val="2"/>
        </w:rPr>
        <w:t>cuales </w:t>
      </w:r>
      <w:r>
        <w:rPr>
          <w:color w:val="231F20"/>
        </w:rPr>
        <w:t>se </w:t>
      </w:r>
      <w:r>
        <w:rPr>
          <w:color w:val="231F20"/>
          <w:spacing w:val="2"/>
        </w:rPr>
        <w:t>aceptaron 960, </w:t>
      </w:r>
      <w:r>
        <w:rPr>
          <w:color w:val="231F20"/>
        </w:rPr>
        <w:t>es </w:t>
      </w:r>
      <w:r>
        <w:rPr>
          <w:color w:val="231F20"/>
          <w:spacing w:val="2"/>
        </w:rPr>
        <w:t>decir </w:t>
      </w:r>
      <w:r>
        <w:rPr>
          <w:color w:val="231F20"/>
        </w:rPr>
        <w:t>el  </w:t>
      </w:r>
      <w:r>
        <w:rPr>
          <w:color w:val="231F20"/>
          <w:spacing w:val="2"/>
        </w:rPr>
        <w:t>30%. Por </w:t>
      </w:r>
      <w:r>
        <w:rPr>
          <w:color w:val="231F20"/>
        </w:rPr>
        <w:t>lo que </w:t>
      </w:r>
      <w:r>
        <w:rPr>
          <w:color w:val="231F20"/>
          <w:spacing w:val="3"/>
        </w:rPr>
        <w:t>corresponde </w:t>
      </w:r>
      <w:r>
        <w:rPr>
          <w:color w:val="231F20"/>
        </w:rPr>
        <w:t>a su </w:t>
      </w:r>
      <w:r>
        <w:rPr>
          <w:color w:val="231F20"/>
          <w:spacing w:val="2"/>
        </w:rPr>
        <w:t>matrícula, </w:t>
      </w:r>
      <w:r>
        <w:rPr>
          <w:color w:val="231F20"/>
        </w:rPr>
        <w:t>se </w:t>
      </w:r>
      <w:r>
        <w:rPr>
          <w:color w:val="231F20"/>
          <w:spacing w:val="2"/>
        </w:rPr>
        <w:t>colocó </w:t>
      </w:r>
      <w:r>
        <w:rPr>
          <w:color w:val="231F20"/>
        </w:rPr>
        <w:t>en el </w:t>
      </w:r>
      <w:r>
        <w:rPr>
          <w:color w:val="231F20"/>
          <w:spacing w:val="2"/>
        </w:rPr>
        <w:t>tercer </w:t>
      </w:r>
      <w:r>
        <w:rPr>
          <w:color w:val="231F20"/>
        </w:rPr>
        <w:t>sitio </w:t>
      </w:r>
      <w:r>
        <w:rPr>
          <w:color w:val="231F20"/>
          <w:spacing w:val="2"/>
        </w:rPr>
        <w:t>con </w:t>
      </w:r>
      <w:r>
        <w:rPr>
          <w:color w:val="231F20"/>
        </w:rPr>
        <w:t>un </w:t>
      </w:r>
      <w:r>
        <w:rPr>
          <w:color w:val="231F20"/>
          <w:spacing w:val="2"/>
        </w:rPr>
        <w:t>total </w:t>
      </w:r>
      <w:r>
        <w:rPr>
          <w:color w:val="231F20"/>
        </w:rPr>
        <w:t>de </w:t>
      </w:r>
      <w:r>
        <w:rPr>
          <w:color w:val="231F20"/>
          <w:spacing w:val="2"/>
        </w:rPr>
        <w:t>3,203 estudiantes </w:t>
      </w:r>
      <w:r>
        <w:rPr>
          <w:color w:val="231F20"/>
        </w:rPr>
        <w:t>que </w:t>
      </w:r>
      <w:r>
        <w:rPr>
          <w:color w:val="231F20"/>
          <w:spacing w:val="3"/>
        </w:rPr>
        <w:t>representaron  el </w:t>
      </w:r>
      <w:r>
        <w:rPr>
          <w:color w:val="231F20"/>
          <w:spacing w:val="2"/>
        </w:rPr>
        <w:t>24.81%; </w:t>
      </w:r>
      <w:r>
        <w:rPr>
          <w:color w:val="231F20"/>
        </w:rPr>
        <w:t>el </w:t>
      </w:r>
      <w:r>
        <w:rPr>
          <w:color w:val="231F20"/>
          <w:spacing w:val="2"/>
        </w:rPr>
        <w:t>primer lugar, </w:t>
      </w:r>
      <w:r>
        <w:rPr>
          <w:color w:val="231F20"/>
        </w:rPr>
        <w:t>lo </w:t>
      </w:r>
      <w:r>
        <w:rPr>
          <w:color w:val="231F20"/>
          <w:spacing w:val="3"/>
        </w:rPr>
        <w:t>ocuparon </w:t>
      </w:r>
      <w:r>
        <w:rPr>
          <w:color w:val="231F20"/>
        </w:rPr>
        <w:t>las </w:t>
      </w:r>
      <w:r>
        <w:rPr>
          <w:color w:val="231F20"/>
          <w:spacing w:val="2"/>
        </w:rPr>
        <w:t>carreras del Área </w:t>
      </w:r>
      <w:r>
        <w:rPr>
          <w:color w:val="231F20"/>
          <w:spacing w:val="3"/>
        </w:rPr>
        <w:t>Eco- nómico-Administrativas, </w:t>
      </w:r>
      <w:r>
        <w:rPr>
          <w:color w:val="231F20"/>
          <w:spacing w:val="2"/>
        </w:rPr>
        <w:t>con </w:t>
      </w:r>
      <w:r>
        <w:rPr>
          <w:color w:val="231F20"/>
        </w:rPr>
        <w:t>un </w:t>
      </w:r>
      <w:r>
        <w:rPr>
          <w:color w:val="231F20"/>
          <w:spacing w:val="2"/>
        </w:rPr>
        <w:t>total </w:t>
      </w:r>
      <w:r>
        <w:rPr>
          <w:color w:val="231F20"/>
        </w:rPr>
        <w:t>de </w:t>
      </w:r>
      <w:r>
        <w:rPr>
          <w:color w:val="231F20"/>
          <w:spacing w:val="2"/>
        </w:rPr>
        <w:t>4,624 estudiantes </w:t>
      </w:r>
      <w:r>
        <w:rPr>
          <w:color w:val="231F20"/>
          <w:spacing w:val="3"/>
        </w:rPr>
        <w:t>que representaron </w:t>
      </w:r>
      <w:r>
        <w:rPr>
          <w:color w:val="231F20"/>
        </w:rPr>
        <w:t>el </w:t>
      </w:r>
      <w:r>
        <w:rPr>
          <w:color w:val="231F20"/>
          <w:spacing w:val="2"/>
        </w:rPr>
        <w:t>35.82%; seguido del Área </w:t>
      </w:r>
      <w:r>
        <w:rPr>
          <w:color w:val="231F20"/>
        </w:rPr>
        <w:t>de </w:t>
      </w:r>
      <w:r>
        <w:rPr>
          <w:color w:val="231F20"/>
          <w:spacing w:val="2"/>
        </w:rPr>
        <w:t>Ciencias Sociales </w:t>
      </w:r>
      <w:r>
        <w:rPr>
          <w:color w:val="231F20"/>
        </w:rPr>
        <w:t>y </w:t>
      </w:r>
      <w:r>
        <w:rPr>
          <w:color w:val="231F20"/>
          <w:spacing w:val="3"/>
        </w:rPr>
        <w:t>Humanidades, </w:t>
      </w:r>
      <w:r>
        <w:rPr>
          <w:color w:val="231F20"/>
        </w:rPr>
        <w:t>con </w:t>
      </w:r>
      <w:r>
        <w:rPr>
          <w:color w:val="231F20"/>
          <w:spacing w:val="2"/>
        </w:rPr>
        <w:t>3,324 estudiantes, </w:t>
      </w:r>
      <w:r>
        <w:rPr>
          <w:color w:val="231F20"/>
          <w:spacing w:val="3"/>
        </w:rPr>
        <w:t>representando </w:t>
      </w:r>
      <w:r>
        <w:rPr>
          <w:color w:val="231F20"/>
        </w:rPr>
        <w:t>el </w:t>
      </w:r>
      <w:r>
        <w:rPr>
          <w:color w:val="231F20"/>
          <w:spacing w:val="2"/>
        </w:rPr>
        <w:t>25.75% (Primer </w:t>
      </w:r>
      <w:r>
        <w:rPr>
          <w:color w:val="231F20"/>
          <w:spacing w:val="3"/>
        </w:rPr>
        <w:t>Informe </w:t>
      </w:r>
      <w:r>
        <w:rPr>
          <w:color w:val="231F20"/>
          <w:spacing w:val="2"/>
        </w:rPr>
        <w:t>2010-2011.</w:t>
      </w:r>
      <w:r>
        <w:rPr>
          <w:color w:val="231F20"/>
          <w:spacing w:val="5"/>
        </w:rPr>
        <w:t> </w:t>
      </w:r>
      <w:r>
        <w:rPr>
          <w:color w:val="231F20"/>
          <w:spacing w:val="3"/>
        </w:rPr>
        <w:t>UAN).</w:t>
      </w:r>
    </w:p>
    <w:p>
      <w:pPr>
        <w:pStyle w:val="BodyText"/>
        <w:spacing w:line="247" w:lineRule="auto"/>
        <w:ind w:left="102" w:right="119" w:firstLine="284"/>
        <w:jc w:val="both"/>
      </w:pPr>
      <w:r>
        <w:rPr>
          <w:color w:val="231F20"/>
          <w:spacing w:val="2"/>
        </w:rPr>
        <w:t>De </w:t>
      </w:r>
      <w:r>
        <w:rPr>
          <w:color w:val="231F20"/>
        </w:rPr>
        <w:t>las </w:t>
      </w:r>
      <w:r>
        <w:rPr>
          <w:color w:val="231F20"/>
          <w:spacing w:val="2"/>
        </w:rPr>
        <w:t>carreras del área, </w:t>
      </w:r>
      <w:r>
        <w:rPr>
          <w:color w:val="231F20"/>
        </w:rPr>
        <w:t>la de </w:t>
      </w:r>
      <w:r>
        <w:rPr>
          <w:color w:val="231F20"/>
          <w:spacing w:val="3"/>
        </w:rPr>
        <w:t>Medicina </w:t>
      </w:r>
      <w:r>
        <w:rPr>
          <w:color w:val="231F20"/>
        </w:rPr>
        <w:t>se </w:t>
      </w:r>
      <w:r>
        <w:rPr>
          <w:color w:val="231F20"/>
          <w:spacing w:val="2"/>
        </w:rPr>
        <w:t>distingue por </w:t>
      </w:r>
      <w:r>
        <w:rPr>
          <w:color w:val="231F20"/>
        </w:rPr>
        <w:t>ser la </w:t>
      </w:r>
      <w:r>
        <w:rPr>
          <w:color w:val="231F20"/>
          <w:spacing w:val="2"/>
        </w:rPr>
        <w:t>más solicitada, </w:t>
      </w:r>
      <w:r>
        <w:rPr>
          <w:color w:val="231F20"/>
        </w:rPr>
        <w:t>el </w:t>
      </w:r>
      <w:r>
        <w:rPr>
          <w:color w:val="231F20"/>
          <w:spacing w:val="2"/>
        </w:rPr>
        <w:t>pasado proceso </w:t>
      </w:r>
      <w:r>
        <w:rPr>
          <w:color w:val="231F20"/>
        </w:rPr>
        <w:t>de </w:t>
      </w:r>
      <w:r>
        <w:rPr>
          <w:color w:val="231F20"/>
          <w:spacing w:val="2"/>
        </w:rPr>
        <w:t>selección (2011), rebasó las 1,300 solicitudes, para aceptar </w:t>
      </w:r>
      <w:r>
        <w:rPr>
          <w:color w:val="231F20"/>
        </w:rPr>
        <w:t>a </w:t>
      </w:r>
      <w:r>
        <w:rPr>
          <w:color w:val="231F20"/>
          <w:spacing w:val="2"/>
        </w:rPr>
        <w:t>solo </w:t>
      </w:r>
      <w:r>
        <w:rPr>
          <w:color w:val="231F20"/>
        </w:rPr>
        <w:t>150 </w:t>
      </w:r>
      <w:r>
        <w:rPr>
          <w:color w:val="231F20"/>
          <w:spacing w:val="2"/>
        </w:rPr>
        <w:t>participantes; aquí </w:t>
      </w:r>
      <w:r>
        <w:rPr>
          <w:color w:val="231F20"/>
        </w:rPr>
        <w:t>se </w:t>
      </w:r>
      <w:r>
        <w:rPr>
          <w:color w:val="231F20"/>
          <w:spacing w:val="3"/>
        </w:rPr>
        <w:t>encuentran </w:t>
      </w:r>
      <w:r>
        <w:rPr>
          <w:color w:val="231F20"/>
        </w:rPr>
        <w:t>en </w:t>
      </w:r>
      <w:r>
        <w:rPr>
          <w:color w:val="231F20"/>
          <w:spacing w:val="3"/>
        </w:rPr>
        <w:t>mayor número </w:t>
      </w:r>
      <w:r>
        <w:rPr>
          <w:color w:val="231F20"/>
          <w:spacing w:val="2"/>
        </w:rPr>
        <w:t>los puntajes más altos </w:t>
      </w:r>
      <w:r>
        <w:rPr>
          <w:color w:val="231F20"/>
          <w:spacing w:val="3"/>
        </w:rPr>
        <w:t>obtenidos </w:t>
      </w:r>
      <w:r>
        <w:rPr>
          <w:color w:val="231F20"/>
        </w:rPr>
        <w:t>en el </w:t>
      </w:r>
      <w:r>
        <w:rPr>
          <w:color w:val="231F20"/>
          <w:spacing w:val="2"/>
        </w:rPr>
        <w:t>examen </w:t>
      </w:r>
      <w:r>
        <w:rPr>
          <w:color w:val="231F20"/>
        </w:rPr>
        <w:t>de </w:t>
      </w:r>
      <w:r>
        <w:rPr>
          <w:color w:val="231F20"/>
          <w:spacing w:val="2"/>
        </w:rPr>
        <w:t>ingreso </w:t>
      </w:r>
      <w:r>
        <w:rPr>
          <w:color w:val="231F20"/>
          <w:spacing w:val="3"/>
        </w:rPr>
        <w:t>(Exhcoba), </w:t>
      </w:r>
      <w:r>
        <w:rPr>
          <w:color w:val="231F20"/>
        </w:rPr>
        <w:t>así </w:t>
      </w:r>
      <w:r>
        <w:rPr>
          <w:color w:val="231F20"/>
          <w:spacing w:val="3"/>
        </w:rPr>
        <w:t>como </w:t>
      </w:r>
      <w:r>
        <w:rPr>
          <w:color w:val="231F20"/>
          <w:spacing w:val="2"/>
        </w:rPr>
        <w:t>los  </w:t>
      </w:r>
      <w:r>
        <w:rPr>
          <w:color w:val="231F20"/>
          <w:spacing w:val="3"/>
        </w:rPr>
        <w:t>promedios </w:t>
      </w:r>
      <w:r>
        <w:rPr>
          <w:color w:val="231F20"/>
          <w:spacing w:val="2"/>
        </w:rPr>
        <w:t>más  altos del</w:t>
      </w:r>
      <w:r>
        <w:rPr>
          <w:color w:val="231F20"/>
          <w:spacing w:val="-18"/>
        </w:rPr>
        <w:t> </w:t>
      </w:r>
      <w:r>
        <w:rPr>
          <w:color w:val="231F20"/>
          <w:spacing w:val="2"/>
        </w:rPr>
        <w:t>bachillerato.</w:t>
      </w:r>
    </w:p>
    <w:p>
      <w:pPr>
        <w:spacing w:after="0" w:line="247" w:lineRule="auto"/>
        <w:jc w:val="both"/>
        <w:sectPr>
          <w:headerReference w:type="default" r:id="rId433"/>
          <w:footerReference w:type="default" r:id="rId434"/>
          <w:pgSz w:w="7830" w:h="11910"/>
          <w:pgMar w:header="0" w:footer="424" w:top="500" w:bottom="620" w:left="920" w:right="900"/>
          <w:pgNumType w:start="20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5" w:firstLine="283"/>
        <w:jc w:val="both"/>
      </w:pPr>
      <w:r>
        <w:rPr>
          <w:color w:val="231F20"/>
        </w:rPr>
        <w:t>Las anteriores escuelas o facultades del área, se transformaron  en unidades académicas como parte de los trabajos de la reforma universitaria, e iniciaron su proceso de rediseño curricular al transformar sus programas de estudios, por el de Competencias Profesionales Integradas a la par de importantes cambios en su infraestructura, procesos tecnológico-administrativos y normativos. Hasta el momento, en la universidad, se han acreditado un total de seis programas académicos, que aglutinan al 38.97% de la población escolar total. Los programas de Medicina y Enfermería, este último es el primer programa de licenciatura que logra su acreditación dentro de la UAN,son los únicos del área que han logrado su acreditación por parte de los CIEES (Comités Interinstitucionales  de Evaluación de la Educación Superior) y de sus respectivos organismos acreditadores; Medicina la logró el 31 de enero de 2008, por parte del Consejo Mexicano para la Acreditación de la Educación Médica (COMAEM); y Enfermería el 29 de mayo de 2007, por parte del Consejo Mexicano para la Acreditación de Enfermería (COMACE). Ambos congregan al 59.51% de la población escolar del área y al 37.49% de la población total universitaria, que estudia en programas</w:t>
      </w:r>
      <w:r>
        <w:rPr>
          <w:color w:val="231F20"/>
          <w:spacing w:val="-7"/>
        </w:rPr>
        <w:t> </w:t>
      </w:r>
      <w:r>
        <w:rPr>
          <w:color w:val="231F20"/>
        </w:rPr>
        <w:t>acreditados.</w:t>
      </w:r>
    </w:p>
    <w:p>
      <w:pPr>
        <w:pStyle w:val="BodyText"/>
        <w:spacing w:line="249" w:lineRule="auto" w:before="10"/>
        <w:ind w:left="102" w:right="115" w:firstLine="284"/>
        <w:jc w:val="both"/>
      </w:pPr>
      <w:r>
        <w:rPr>
          <w:color w:val="231F20"/>
        </w:rPr>
        <w:t>Un </w:t>
      </w:r>
      <w:r>
        <w:rPr>
          <w:color w:val="231F20"/>
          <w:spacing w:val="3"/>
        </w:rPr>
        <w:t>primer acercamiento </w:t>
      </w:r>
      <w:r>
        <w:rPr>
          <w:color w:val="231F20"/>
        </w:rPr>
        <w:t>a su </w:t>
      </w:r>
      <w:r>
        <w:rPr>
          <w:color w:val="231F20"/>
          <w:spacing w:val="3"/>
        </w:rPr>
        <w:t>población </w:t>
      </w:r>
      <w:r>
        <w:rPr>
          <w:color w:val="231F20"/>
          <w:spacing w:val="2"/>
        </w:rPr>
        <w:t>escolar </w:t>
      </w:r>
      <w:r>
        <w:rPr>
          <w:color w:val="231F20"/>
        </w:rPr>
        <w:t>de </w:t>
      </w:r>
      <w:r>
        <w:rPr>
          <w:color w:val="231F20"/>
          <w:spacing w:val="3"/>
        </w:rPr>
        <w:t>manera </w:t>
      </w:r>
      <w:r>
        <w:rPr>
          <w:color w:val="231F20"/>
          <w:spacing w:val="2"/>
        </w:rPr>
        <w:t>puntual, </w:t>
      </w:r>
      <w:r>
        <w:rPr>
          <w:color w:val="231F20"/>
        </w:rPr>
        <w:t>se dio a </w:t>
      </w:r>
      <w:r>
        <w:rPr>
          <w:color w:val="231F20"/>
          <w:spacing w:val="2"/>
        </w:rPr>
        <w:t>partir </w:t>
      </w:r>
      <w:r>
        <w:rPr>
          <w:color w:val="231F20"/>
        </w:rPr>
        <w:t>de un </w:t>
      </w:r>
      <w:r>
        <w:rPr>
          <w:color w:val="231F20"/>
          <w:spacing w:val="2"/>
        </w:rPr>
        <w:t>estudio </w:t>
      </w:r>
      <w:r>
        <w:rPr>
          <w:color w:val="231F20"/>
        </w:rPr>
        <w:t>de </w:t>
      </w:r>
      <w:r>
        <w:rPr>
          <w:color w:val="231F20"/>
          <w:spacing w:val="2"/>
        </w:rPr>
        <w:t>perfil </w:t>
      </w:r>
      <w:r>
        <w:rPr>
          <w:color w:val="231F20"/>
        </w:rPr>
        <w:t>del </w:t>
      </w:r>
      <w:r>
        <w:rPr>
          <w:color w:val="231F20"/>
          <w:spacing w:val="2"/>
        </w:rPr>
        <w:t>estudiante </w:t>
      </w:r>
      <w:r>
        <w:rPr>
          <w:color w:val="231F20"/>
          <w:spacing w:val="3"/>
        </w:rPr>
        <w:t>uni- </w:t>
      </w:r>
      <w:r>
        <w:rPr>
          <w:color w:val="231F20"/>
          <w:spacing w:val="2"/>
        </w:rPr>
        <w:t>versitario </w:t>
      </w:r>
      <w:r>
        <w:rPr>
          <w:color w:val="231F20"/>
        </w:rPr>
        <w:t>de </w:t>
      </w:r>
      <w:r>
        <w:rPr>
          <w:color w:val="231F20"/>
          <w:spacing w:val="3"/>
        </w:rPr>
        <w:t>primer </w:t>
      </w:r>
      <w:r>
        <w:rPr>
          <w:color w:val="231F20"/>
          <w:spacing w:val="2"/>
        </w:rPr>
        <w:t>ingreso </w:t>
      </w:r>
      <w:r>
        <w:rPr>
          <w:color w:val="231F20"/>
        </w:rPr>
        <w:t>en el </w:t>
      </w:r>
      <w:r>
        <w:rPr>
          <w:color w:val="231F20"/>
          <w:spacing w:val="2"/>
        </w:rPr>
        <w:t>año </w:t>
      </w:r>
      <w:r>
        <w:rPr>
          <w:color w:val="231F20"/>
        </w:rPr>
        <w:t>de </w:t>
      </w:r>
      <w:r>
        <w:rPr>
          <w:color w:val="231F20"/>
          <w:spacing w:val="2"/>
        </w:rPr>
        <w:t>2010. De este </w:t>
      </w:r>
      <w:r>
        <w:rPr>
          <w:color w:val="231F20"/>
        </w:rPr>
        <w:t>se </w:t>
      </w:r>
      <w:r>
        <w:rPr>
          <w:color w:val="231F20"/>
          <w:spacing w:val="3"/>
        </w:rPr>
        <w:t>des- </w:t>
      </w:r>
      <w:r>
        <w:rPr>
          <w:color w:val="231F20"/>
          <w:spacing w:val="2"/>
        </w:rPr>
        <w:t>prende </w:t>
      </w:r>
      <w:r>
        <w:rPr>
          <w:color w:val="231F20"/>
        </w:rPr>
        <w:t>que es </w:t>
      </w:r>
      <w:r>
        <w:rPr>
          <w:color w:val="231F20"/>
          <w:spacing w:val="2"/>
        </w:rPr>
        <w:t>una población joven, </w:t>
      </w:r>
      <w:r>
        <w:rPr>
          <w:color w:val="231F20"/>
        </w:rPr>
        <w:t>el 88% se </w:t>
      </w:r>
      <w:r>
        <w:rPr>
          <w:color w:val="231F20"/>
          <w:spacing w:val="2"/>
        </w:rPr>
        <w:t>ubican </w:t>
      </w:r>
      <w:r>
        <w:rPr>
          <w:color w:val="231F20"/>
        </w:rPr>
        <w:t>en el </w:t>
      </w:r>
      <w:r>
        <w:rPr>
          <w:color w:val="231F20"/>
          <w:spacing w:val="3"/>
        </w:rPr>
        <w:t>rango   </w:t>
      </w:r>
      <w:r>
        <w:rPr>
          <w:color w:val="231F20"/>
        </w:rPr>
        <w:t>de 15 a 19 </w:t>
      </w:r>
      <w:r>
        <w:rPr>
          <w:color w:val="231F20"/>
          <w:spacing w:val="2"/>
        </w:rPr>
        <w:t>años; </w:t>
      </w:r>
      <w:r>
        <w:rPr>
          <w:color w:val="231F20"/>
        </w:rPr>
        <w:t>las </w:t>
      </w:r>
      <w:r>
        <w:rPr>
          <w:color w:val="231F20"/>
          <w:spacing w:val="2"/>
        </w:rPr>
        <w:t>mujeres son mayoría, representan </w:t>
      </w:r>
      <w:r>
        <w:rPr>
          <w:color w:val="231F20"/>
        </w:rPr>
        <w:t>el </w:t>
      </w:r>
      <w:r>
        <w:rPr>
          <w:color w:val="231F20"/>
          <w:spacing w:val="2"/>
        </w:rPr>
        <w:t>58%; </w:t>
      </w:r>
      <w:r>
        <w:rPr>
          <w:color w:val="231F20"/>
          <w:spacing w:val="3"/>
        </w:rPr>
        <w:t>al </w:t>
      </w:r>
      <w:r>
        <w:rPr>
          <w:color w:val="231F20"/>
          <w:spacing w:val="2"/>
        </w:rPr>
        <w:t>igual que quienes nacieron </w:t>
      </w:r>
      <w:r>
        <w:rPr>
          <w:color w:val="231F20"/>
        </w:rPr>
        <w:t>en la </w:t>
      </w:r>
      <w:r>
        <w:rPr>
          <w:color w:val="231F20"/>
          <w:spacing w:val="2"/>
        </w:rPr>
        <w:t>capital del estado (Tepic), con </w:t>
      </w:r>
      <w:r>
        <w:rPr>
          <w:color w:val="231F20"/>
        </w:rPr>
        <w:t>el </w:t>
      </w:r>
      <w:r>
        <w:rPr>
          <w:color w:val="231F20"/>
          <w:spacing w:val="2"/>
        </w:rPr>
        <w:t>59%; </w:t>
      </w:r>
      <w:r>
        <w:rPr>
          <w:color w:val="231F20"/>
        </w:rPr>
        <w:t>la </w:t>
      </w:r>
      <w:r>
        <w:rPr>
          <w:color w:val="231F20"/>
          <w:spacing w:val="2"/>
        </w:rPr>
        <w:t>generalidad </w:t>
      </w:r>
      <w:r>
        <w:rPr>
          <w:color w:val="231F20"/>
        </w:rPr>
        <w:t>se </w:t>
      </w:r>
      <w:r>
        <w:rPr>
          <w:color w:val="231F20"/>
          <w:spacing w:val="2"/>
        </w:rPr>
        <w:t>encuentra </w:t>
      </w:r>
      <w:r>
        <w:rPr>
          <w:color w:val="231F20"/>
        </w:rPr>
        <w:t>en la </w:t>
      </w:r>
      <w:r>
        <w:rPr>
          <w:color w:val="231F20"/>
          <w:spacing w:val="2"/>
        </w:rPr>
        <w:t>carrera </w:t>
      </w:r>
      <w:r>
        <w:rPr>
          <w:color w:val="231F20"/>
        </w:rPr>
        <w:t>que </w:t>
      </w:r>
      <w:r>
        <w:rPr>
          <w:color w:val="231F20"/>
          <w:spacing w:val="2"/>
        </w:rPr>
        <w:t>desea estudiar </w:t>
      </w:r>
      <w:r>
        <w:rPr>
          <w:color w:val="231F20"/>
        </w:rPr>
        <w:t>y a la vez </w:t>
      </w:r>
      <w:r>
        <w:rPr>
          <w:color w:val="231F20"/>
          <w:spacing w:val="2"/>
        </w:rPr>
        <w:t>tiene deseos </w:t>
      </w:r>
      <w:r>
        <w:rPr>
          <w:color w:val="231F20"/>
        </w:rPr>
        <w:t>de </w:t>
      </w:r>
      <w:r>
        <w:rPr>
          <w:color w:val="231F20"/>
          <w:spacing w:val="3"/>
        </w:rPr>
        <w:t>continuar </w:t>
      </w:r>
      <w:r>
        <w:rPr>
          <w:color w:val="231F20"/>
          <w:spacing w:val="2"/>
        </w:rPr>
        <w:t>con estudios </w:t>
      </w:r>
      <w:r>
        <w:rPr>
          <w:color w:val="231F20"/>
        </w:rPr>
        <w:t>de </w:t>
      </w:r>
      <w:r>
        <w:rPr>
          <w:color w:val="231F20"/>
          <w:spacing w:val="2"/>
        </w:rPr>
        <w:t>especialidad; </w:t>
      </w:r>
      <w:r>
        <w:rPr>
          <w:color w:val="231F20"/>
          <w:spacing w:val="56"/>
        </w:rPr>
        <w:t> </w:t>
      </w:r>
      <w:r>
        <w:rPr>
          <w:color w:val="231F20"/>
        </w:rPr>
        <w:t>aún </w:t>
      </w:r>
      <w:r>
        <w:rPr>
          <w:color w:val="231F20"/>
          <w:spacing w:val="2"/>
        </w:rPr>
        <w:t>cuando </w:t>
      </w:r>
      <w:r>
        <w:rPr>
          <w:color w:val="231F20"/>
        </w:rPr>
        <w:t>el </w:t>
      </w:r>
      <w:r>
        <w:rPr>
          <w:color w:val="231F20"/>
          <w:spacing w:val="2"/>
        </w:rPr>
        <w:t>estado </w:t>
      </w:r>
      <w:r>
        <w:rPr>
          <w:color w:val="231F20"/>
        </w:rPr>
        <w:t>de </w:t>
      </w:r>
      <w:r>
        <w:rPr>
          <w:color w:val="231F20"/>
          <w:spacing w:val="2"/>
        </w:rPr>
        <w:t>Nayarit </w:t>
      </w:r>
      <w:r>
        <w:rPr>
          <w:color w:val="231F20"/>
        </w:rPr>
        <w:t>se </w:t>
      </w:r>
      <w:r>
        <w:rPr>
          <w:color w:val="231F20"/>
          <w:spacing w:val="2"/>
        </w:rPr>
        <w:t>percibe con pocas </w:t>
      </w:r>
      <w:r>
        <w:rPr>
          <w:color w:val="231F20"/>
          <w:spacing w:val="3"/>
        </w:rPr>
        <w:t>posibilida- </w:t>
      </w:r>
      <w:r>
        <w:rPr>
          <w:color w:val="231F20"/>
          <w:spacing w:val="2"/>
        </w:rPr>
        <w:t>des laborales, </w:t>
      </w:r>
      <w:r>
        <w:rPr>
          <w:color w:val="231F20"/>
        </w:rPr>
        <w:t>su </w:t>
      </w:r>
      <w:r>
        <w:rPr>
          <w:color w:val="231F20"/>
          <w:spacing w:val="2"/>
        </w:rPr>
        <w:t>destino </w:t>
      </w:r>
      <w:r>
        <w:rPr>
          <w:color w:val="231F20"/>
          <w:spacing w:val="3"/>
        </w:rPr>
        <w:t>profesional </w:t>
      </w:r>
      <w:r>
        <w:rPr>
          <w:color w:val="231F20"/>
        </w:rPr>
        <w:t>lo </w:t>
      </w:r>
      <w:r>
        <w:rPr>
          <w:color w:val="231F20"/>
          <w:spacing w:val="3"/>
        </w:rPr>
        <w:t>conforman </w:t>
      </w:r>
      <w:r>
        <w:rPr>
          <w:color w:val="231F20"/>
        </w:rPr>
        <w:t>las </w:t>
      </w:r>
      <w:r>
        <w:rPr>
          <w:color w:val="231F20"/>
          <w:spacing w:val="3"/>
        </w:rPr>
        <w:t>institucio- </w:t>
      </w:r>
      <w:r>
        <w:rPr>
          <w:color w:val="231F20"/>
          <w:spacing w:val="2"/>
        </w:rPr>
        <w:t>nes </w:t>
      </w:r>
      <w:r>
        <w:rPr>
          <w:color w:val="231F20"/>
        </w:rPr>
        <w:t>de </w:t>
      </w:r>
      <w:r>
        <w:rPr>
          <w:color w:val="231F20"/>
          <w:spacing w:val="2"/>
        </w:rPr>
        <w:t>salud oficiales; tienen una reducida participación social </w:t>
      </w:r>
      <w:r>
        <w:rPr>
          <w:color w:val="231F20"/>
        </w:rPr>
        <w:t>en </w:t>
      </w:r>
      <w:r>
        <w:rPr>
          <w:color w:val="231F20"/>
          <w:spacing w:val="3"/>
        </w:rPr>
        <w:t>grupos </w:t>
      </w:r>
      <w:r>
        <w:rPr>
          <w:color w:val="231F20"/>
        </w:rPr>
        <w:t>o </w:t>
      </w:r>
      <w:r>
        <w:rPr>
          <w:color w:val="231F20"/>
          <w:spacing w:val="2"/>
        </w:rPr>
        <w:t>asociaciones </w:t>
      </w:r>
      <w:r>
        <w:rPr>
          <w:color w:val="231F20"/>
        </w:rPr>
        <w:t>así </w:t>
      </w:r>
      <w:r>
        <w:rPr>
          <w:color w:val="231F20"/>
          <w:spacing w:val="3"/>
        </w:rPr>
        <w:t>como </w:t>
      </w:r>
      <w:r>
        <w:rPr>
          <w:color w:val="231F20"/>
        </w:rPr>
        <w:t>en </w:t>
      </w:r>
      <w:r>
        <w:rPr>
          <w:color w:val="231F20"/>
          <w:spacing w:val="2"/>
        </w:rPr>
        <w:t>actividades </w:t>
      </w:r>
      <w:r>
        <w:rPr>
          <w:color w:val="231F20"/>
        </w:rPr>
        <w:t>de </w:t>
      </w:r>
      <w:r>
        <w:rPr>
          <w:color w:val="231F20"/>
          <w:spacing w:val="2"/>
        </w:rPr>
        <w:t>índole cultural </w:t>
      </w:r>
      <w:r>
        <w:rPr>
          <w:color w:val="231F20"/>
        </w:rPr>
        <w:t>o de </w:t>
      </w:r>
      <w:r>
        <w:rPr>
          <w:color w:val="231F20"/>
          <w:spacing w:val="2"/>
        </w:rPr>
        <w:t>difusión científica; finalmente </w:t>
      </w:r>
      <w:r>
        <w:rPr>
          <w:color w:val="231F20"/>
        </w:rPr>
        <w:t>su </w:t>
      </w:r>
      <w:r>
        <w:rPr>
          <w:color w:val="231F20"/>
          <w:spacing w:val="2"/>
        </w:rPr>
        <w:t>opinión sobre </w:t>
      </w:r>
      <w:r>
        <w:rPr>
          <w:color w:val="231F20"/>
        </w:rPr>
        <w:t>la </w:t>
      </w:r>
      <w:r>
        <w:rPr>
          <w:color w:val="231F20"/>
          <w:spacing w:val="2"/>
        </w:rPr>
        <w:t>universidad  </w:t>
      </w:r>
      <w:r>
        <w:rPr>
          <w:color w:val="231F20"/>
        </w:rPr>
        <w:t>en lo </w:t>
      </w:r>
      <w:r>
        <w:rPr>
          <w:color w:val="231F20"/>
          <w:spacing w:val="2"/>
        </w:rPr>
        <w:t>general </w:t>
      </w:r>
      <w:r>
        <w:rPr>
          <w:color w:val="231F20"/>
        </w:rPr>
        <w:t>es</w:t>
      </w:r>
      <w:r>
        <w:rPr>
          <w:color w:val="231F20"/>
          <w:spacing w:val="-1"/>
        </w:rPr>
        <w:t> </w:t>
      </w:r>
      <w:r>
        <w:rPr>
          <w:color w:val="231F20"/>
          <w:spacing w:val="2"/>
        </w:rPr>
        <w:t>aceptable.</w:t>
      </w:r>
    </w:p>
    <w:p>
      <w:pPr>
        <w:pStyle w:val="BodyText"/>
        <w:spacing w:line="247" w:lineRule="auto" w:before="3"/>
        <w:ind w:left="101" w:right="115" w:firstLine="284"/>
        <w:jc w:val="both"/>
      </w:pPr>
      <w:r>
        <w:rPr>
          <w:color w:val="231F20"/>
        </w:rPr>
        <w:t>En relación a investigaciones cuyo objeto de estudio hayan si- do los aspectos de maltrato y abuso escolar vividos por los estu- diantes del área durante su proceso de formación, son pocos los indicios que se tienen. Una primera información, se detecta con respecto a la vivencia de los estudiantes de medicina, durante los</w:t>
      </w:r>
    </w:p>
    <w:p>
      <w:pPr>
        <w:spacing w:after="0" w:line="247" w:lineRule="auto"/>
        <w:jc w:val="both"/>
        <w:sectPr>
          <w:headerReference w:type="default" r:id="rId435"/>
          <w:footerReference w:type="default" r:id="rId436"/>
          <w:pgSz w:w="7830" w:h="11910"/>
          <w:pgMar w:header="0" w:footer="424" w:top="500" w:bottom="620" w:left="920" w:right="900"/>
          <w:pgNumType w:start="20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5"/>
        <w:jc w:val="both"/>
      </w:pPr>
      <w:r>
        <w:rPr>
          <w:color w:val="231F20"/>
          <w:spacing w:val="3"/>
        </w:rPr>
        <w:t>primeros </w:t>
      </w:r>
      <w:r>
        <w:rPr>
          <w:color w:val="231F20"/>
          <w:spacing w:val="2"/>
        </w:rPr>
        <w:t>años </w:t>
      </w:r>
      <w:r>
        <w:rPr>
          <w:color w:val="231F20"/>
        </w:rPr>
        <w:t>de </w:t>
      </w:r>
      <w:r>
        <w:rPr>
          <w:color w:val="231F20"/>
          <w:spacing w:val="3"/>
        </w:rPr>
        <w:t>funcionamiento </w:t>
      </w:r>
      <w:r>
        <w:rPr>
          <w:color w:val="231F20"/>
        </w:rPr>
        <w:t>de la </w:t>
      </w:r>
      <w:r>
        <w:rPr>
          <w:color w:val="231F20"/>
          <w:spacing w:val="3"/>
        </w:rPr>
        <w:t>entonces </w:t>
      </w:r>
      <w:r>
        <w:rPr>
          <w:color w:val="231F20"/>
          <w:spacing w:val="2"/>
        </w:rPr>
        <w:t>Escuela Superior </w:t>
      </w:r>
      <w:r>
        <w:rPr>
          <w:color w:val="231F20"/>
        </w:rPr>
        <w:t>de </w:t>
      </w:r>
      <w:r>
        <w:rPr>
          <w:color w:val="231F20"/>
          <w:spacing w:val="2"/>
        </w:rPr>
        <w:t>Medicina. Diversos </w:t>
      </w:r>
      <w:r>
        <w:rPr>
          <w:color w:val="231F20"/>
          <w:spacing w:val="3"/>
        </w:rPr>
        <w:t>testimonios </w:t>
      </w:r>
      <w:r>
        <w:rPr>
          <w:color w:val="231F20"/>
        </w:rPr>
        <w:t>de </w:t>
      </w:r>
      <w:r>
        <w:rPr>
          <w:color w:val="231F20"/>
          <w:spacing w:val="2"/>
        </w:rPr>
        <w:t>egresados </w:t>
      </w:r>
      <w:r>
        <w:rPr>
          <w:color w:val="231F20"/>
        </w:rPr>
        <w:t>de las </w:t>
      </w:r>
      <w:r>
        <w:rPr>
          <w:color w:val="231F20"/>
          <w:spacing w:val="3"/>
        </w:rPr>
        <w:t>primeras </w:t>
      </w:r>
      <w:r>
        <w:rPr>
          <w:color w:val="231F20"/>
          <w:spacing w:val="2"/>
        </w:rPr>
        <w:t>generaciones dieron cuenta </w:t>
      </w:r>
      <w:r>
        <w:rPr>
          <w:color w:val="231F20"/>
        </w:rPr>
        <w:t>de </w:t>
      </w:r>
      <w:r>
        <w:rPr>
          <w:color w:val="231F20"/>
          <w:spacing w:val="2"/>
        </w:rPr>
        <w:t>sus iniciales incursiones </w:t>
      </w:r>
      <w:r>
        <w:rPr>
          <w:color w:val="231F20"/>
        </w:rPr>
        <w:t>a </w:t>
      </w:r>
      <w:r>
        <w:rPr>
          <w:color w:val="231F20"/>
          <w:spacing w:val="2"/>
        </w:rPr>
        <w:t>los </w:t>
      </w:r>
      <w:r>
        <w:rPr>
          <w:color w:val="231F20"/>
          <w:spacing w:val="3"/>
        </w:rPr>
        <w:t>espa- </w:t>
      </w:r>
      <w:r>
        <w:rPr>
          <w:color w:val="231F20"/>
          <w:spacing w:val="2"/>
        </w:rPr>
        <w:t>cios clínicos, que iniciaban </w:t>
      </w:r>
      <w:r>
        <w:rPr>
          <w:color w:val="231F20"/>
        </w:rPr>
        <w:t>a </w:t>
      </w:r>
      <w:r>
        <w:rPr>
          <w:color w:val="231F20"/>
          <w:spacing w:val="2"/>
        </w:rPr>
        <w:t>partir </w:t>
      </w:r>
      <w:r>
        <w:rPr>
          <w:color w:val="231F20"/>
        </w:rPr>
        <w:t>del </w:t>
      </w:r>
      <w:r>
        <w:rPr>
          <w:color w:val="231F20"/>
          <w:spacing w:val="3"/>
        </w:rPr>
        <w:t>segundo </w:t>
      </w:r>
      <w:r>
        <w:rPr>
          <w:color w:val="231F20"/>
          <w:spacing w:val="2"/>
        </w:rPr>
        <w:t>año </w:t>
      </w:r>
      <w:r>
        <w:rPr>
          <w:color w:val="231F20"/>
        </w:rPr>
        <w:t>de </w:t>
      </w:r>
      <w:r>
        <w:rPr>
          <w:color w:val="231F20"/>
          <w:spacing w:val="2"/>
        </w:rPr>
        <w:t>acuerdo </w:t>
      </w:r>
      <w:r>
        <w:rPr>
          <w:color w:val="231F20"/>
        </w:rPr>
        <w:t>a   la </w:t>
      </w:r>
      <w:r>
        <w:rPr>
          <w:color w:val="231F20"/>
          <w:spacing w:val="2"/>
        </w:rPr>
        <w:t>estructura curricular del </w:t>
      </w:r>
      <w:r>
        <w:rPr>
          <w:color w:val="231F20"/>
          <w:spacing w:val="3"/>
        </w:rPr>
        <w:t>programa </w:t>
      </w:r>
      <w:r>
        <w:rPr>
          <w:color w:val="231F20"/>
          <w:spacing w:val="2"/>
        </w:rPr>
        <w:t>(Medicina </w:t>
      </w:r>
      <w:r>
        <w:rPr>
          <w:color w:val="231F20"/>
          <w:spacing w:val="3"/>
        </w:rPr>
        <w:t>General Integral </w:t>
      </w:r>
      <w:r>
        <w:rPr>
          <w:color w:val="231F20"/>
          <w:spacing w:val="2"/>
        </w:rPr>
        <w:t>A-36), vigente desde los años setenta; </w:t>
      </w:r>
      <w:r>
        <w:rPr>
          <w:color w:val="231F20"/>
        </w:rPr>
        <w:t>y </w:t>
      </w:r>
      <w:r>
        <w:rPr>
          <w:color w:val="231F20"/>
          <w:spacing w:val="2"/>
        </w:rPr>
        <w:t>los </w:t>
      </w:r>
      <w:r>
        <w:rPr>
          <w:color w:val="231F20"/>
          <w:spacing w:val="3"/>
        </w:rPr>
        <w:t>comentarios </w:t>
      </w:r>
      <w:r>
        <w:rPr>
          <w:color w:val="231F20"/>
          <w:spacing w:val="2"/>
        </w:rPr>
        <w:t>–en este </w:t>
      </w:r>
      <w:r>
        <w:rPr>
          <w:color w:val="231F20"/>
          <w:spacing w:val="3"/>
        </w:rPr>
        <w:t>momento </w:t>
      </w:r>
      <w:r>
        <w:rPr>
          <w:color w:val="231F20"/>
          <w:spacing w:val="2"/>
        </w:rPr>
        <w:t>podemos catalogarlos como maltrato </w:t>
      </w:r>
      <w:r>
        <w:rPr>
          <w:color w:val="231F20"/>
        </w:rPr>
        <w:t>en </w:t>
      </w:r>
      <w:r>
        <w:rPr>
          <w:color w:val="231F20"/>
          <w:spacing w:val="2"/>
        </w:rPr>
        <w:t>tanto </w:t>
      </w:r>
      <w:r>
        <w:rPr>
          <w:color w:val="231F20"/>
          <w:spacing w:val="3"/>
        </w:rPr>
        <w:t>comenta- </w:t>
      </w:r>
      <w:r>
        <w:rPr>
          <w:color w:val="231F20"/>
          <w:spacing w:val="2"/>
        </w:rPr>
        <w:t>rios </w:t>
      </w:r>
      <w:r>
        <w:rPr>
          <w:color w:val="231F20"/>
          <w:spacing w:val="3"/>
        </w:rPr>
        <w:t>despectivos </w:t>
      </w:r>
      <w:r>
        <w:rPr>
          <w:color w:val="231F20"/>
          <w:spacing w:val="2"/>
        </w:rPr>
        <w:t>sobre </w:t>
      </w:r>
      <w:r>
        <w:rPr>
          <w:color w:val="231F20"/>
        </w:rPr>
        <w:t>la </w:t>
      </w:r>
      <w:r>
        <w:rPr>
          <w:color w:val="231F20"/>
          <w:spacing w:val="2"/>
        </w:rPr>
        <w:t>elección </w:t>
      </w:r>
      <w:r>
        <w:rPr>
          <w:color w:val="231F20"/>
        </w:rPr>
        <w:t>de </w:t>
      </w:r>
      <w:r>
        <w:rPr>
          <w:color w:val="231F20"/>
          <w:spacing w:val="2"/>
        </w:rPr>
        <w:t>estudio </w:t>
      </w:r>
      <w:r>
        <w:rPr>
          <w:color w:val="231F20"/>
        </w:rPr>
        <w:t>de la </w:t>
      </w:r>
      <w:r>
        <w:rPr>
          <w:color w:val="231F20"/>
          <w:spacing w:val="2"/>
        </w:rPr>
        <w:t>carrera </w:t>
      </w:r>
      <w:r>
        <w:rPr>
          <w:color w:val="231F20"/>
        </w:rPr>
        <w:t>de me- </w:t>
      </w:r>
      <w:r>
        <w:rPr>
          <w:color w:val="231F20"/>
          <w:spacing w:val="2"/>
        </w:rPr>
        <w:t>dicina </w:t>
      </w:r>
      <w:r>
        <w:rPr>
          <w:color w:val="231F20"/>
        </w:rPr>
        <w:t>o </w:t>
      </w:r>
      <w:r>
        <w:rPr>
          <w:color w:val="231F20"/>
          <w:spacing w:val="3"/>
        </w:rPr>
        <w:t>como </w:t>
      </w:r>
      <w:r>
        <w:rPr>
          <w:color w:val="231F20"/>
          <w:spacing w:val="2"/>
        </w:rPr>
        <w:t>profesión (Wolf, 1991)– </w:t>
      </w:r>
      <w:r>
        <w:rPr>
          <w:color w:val="231F20"/>
        </w:rPr>
        <w:t>que </w:t>
      </w:r>
      <w:r>
        <w:rPr>
          <w:color w:val="231F20"/>
          <w:spacing w:val="3"/>
        </w:rPr>
        <w:t>despertaron </w:t>
      </w:r>
      <w:r>
        <w:rPr>
          <w:color w:val="231F20"/>
        </w:rPr>
        <w:t>en </w:t>
      </w:r>
      <w:r>
        <w:rPr>
          <w:color w:val="231F20"/>
          <w:spacing w:val="2"/>
        </w:rPr>
        <w:t>ellos médicos </w:t>
      </w:r>
      <w:r>
        <w:rPr>
          <w:color w:val="231F20"/>
        </w:rPr>
        <w:t>de la </w:t>
      </w:r>
      <w:r>
        <w:rPr>
          <w:color w:val="231F20"/>
          <w:spacing w:val="2"/>
        </w:rPr>
        <w:t>época </w:t>
      </w:r>
      <w:r>
        <w:rPr>
          <w:color w:val="231F20"/>
        </w:rPr>
        <w:t>de las </w:t>
      </w:r>
      <w:r>
        <w:rPr>
          <w:color w:val="231F20"/>
          <w:spacing w:val="2"/>
        </w:rPr>
        <w:t>instituciones del sector salud, </w:t>
      </w:r>
      <w:r>
        <w:rPr>
          <w:color w:val="231F20"/>
        </w:rPr>
        <w:t>he </w:t>
      </w:r>
      <w:r>
        <w:rPr>
          <w:color w:val="231F20"/>
          <w:spacing w:val="2"/>
        </w:rPr>
        <w:t>aquí algunos </w:t>
      </w:r>
      <w:r>
        <w:rPr>
          <w:color w:val="231F20"/>
        </w:rPr>
        <w:t>de</w:t>
      </w:r>
      <w:r>
        <w:rPr>
          <w:color w:val="231F20"/>
          <w:spacing w:val="-20"/>
        </w:rPr>
        <w:t> </w:t>
      </w:r>
      <w:r>
        <w:rPr>
          <w:color w:val="231F20"/>
          <w:spacing w:val="2"/>
        </w:rPr>
        <w:t>ellos:</w:t>
      </w:r>
    </w:p>
    <w:p>
      <w:pPr>
        <w:pStyle w:val="BodyText"/>
        <w:spacing w:before="1"/>
        <w:rPr>
          <w:sz w:val="23"/>
        </w:rPr>
      </w:pPr>
    </w:p>
    <w:p>
      <w:pPr>
        <w:spacing w:line="273" w:lineRule="auto" w:before="0"/>
        <w:ind w:left="809" w:right="166" w:firstLine="0"/>
        <w:jc w:val="both"/>
        <w:rPr>
          <w:i/>
          <w:sz w:val="19"/>
        </w:rPr>
      </w:pPr>
      <w:r>
        <w:rPr>
          <w:i/>
          <w:color w:val="231F20"/>
          <w:w w:val="90"/>
          <w:sz w:val="19"/>
        </w:rPr>
        <w:t>“-Así</w:t>
      </w:r>
      <w:r>
        <w:rPr>
          <w:i/>
          <w:color w:val="231F20"/>
          <w:spacing w:val="-5"/>
          <w:w w:val="90"/>
          <w:sz w:val="19"/>
        </w:rPr>
        <w:t> </w:t>
      </w:r>
      <w:r>
        <w:rPr>
          <w:i/>
          <w:color w:val="231F20"/>
          <w:w w:val="90"/>
          <w:sz w:val="19"/>
        </w:rPr>
        <w:t>que</w:t>
      </w:r>
      <w:r>
        <w:rPr>
          <w:i/>
          <w:color w:val="231F20"/>
          <w:spacing w:val="-4"/>
          <w:w w:val="90"/>
          <w:sz w:val="19"/>
        </w:rPr>
        <w:t> </w:t>
      </w:r>
      <w:r>
        <w:rPr>
          <w:i/>
          <w:color w:val="231F20"/>
          <w:w w:val="90"/>
          <w:sz w:val="19"/>
        </w:rPr>
        <w:t>vienes</w:t>
      </w:r>
      <w:r>
        <w:rPr>
          <w:i/>
          <w:color w:val="231F20"/>
          <w:spacing w:val="-4"/>
          <w:w w:val="90"/>
          <w:sz w:val="19"/>
        </w:rPr>
        <w:t> </w:t>
      </w:r>
      <w:r>
        <w:rPr>
          <w:i/>
          <w:color w:val="231F20"/>
          <w:w w:val="90"/>
          <w:sz w:val="19"/>
        </w:rPr>
        <w:t>tú,</w:t>
      </w:r>
      <w:r>
        <w:rPr>
          <w:i/>
          <w:color w:val="231F20"/>
          <w:spacing w:val="-5"/>
          <w:w w:val="90"/>
          <w:sz w:val="19"/>
        </w:rPr>
        <w:t> </w:t>
      </w:r>
      <w:r>
        <w:rPr>
          <w:i/>
          <w:color w:val="231F20"/>
          <w:w w:val="90"/>
          <w:sz w:val="19"/>
        </w:rPr>
        <w:t>de</w:t>
      </w:r>
      <w:r>
        <w:rPr>
          <w:i/>
          <w:color w:val="231F20"/>
          <w:spacing w:val="-4"/>
          <w:w w:val="90"/>
          <w:sz w:val="19"/>
        </w:rPr>
        <w:t> </w:t>
      </w:r>
      <w:r>
        <w:rPr>
          <w:i/>
          <w:color w:val="231F20"/>
          <w:w w:val="90"/>
          <w:sz w:val="19"/>
        </w:rPr>
        <w:t>la</w:t>
      </w:r>
      <w:r>
        <w:rPr>
          <w:i/>
          <w:color w:val="231F20"/>
          <w:spacing w:val="-4"/>
          <w:w w:val="90"/>
          <w:sz w:val="19"/>
        </w:rPr>
        <w:t> </w:t>
      </w:r>
      <w:r>
        <w:rPr>
          <w:i/>
          <w:color w:val="231F20"/>
          <w:w w:val="90"/>
          <w:sz w:val="19"/>
        </w:rPr>
        <w:t>escuelita</w:t>
      </w:r>
      <w:r>
        <w:rPr>
          <w:i/>
          <w:color w:val="231F20"/>
          <w:spacing w:val="-4"/>
          <w:w w:val="90"/>
          <w:sz w:val="19"/>
        </w:rPr>
        <w:t> </w:t>
      </w:r>
      <w:r>
        <w:rPr>
          <w:i/>
          <w:color w:val="231F20"/>
          <w:w w:val="90"/>
          <w:sz w:val="19"/>
        </w:rPr>
        <w:t>de</w:t>
      </w:r>
      <w:r>
        <w:rPr>
          <w:i/>
          <w:color w:val="231F20"/>
          <w:spacing w:val="-4"/>
          <w:w w:val="90"/>
          <w:sz w:val="19"/>
        </w:rPr>
        <w:t> </w:t>
      </w:r>
      <w:r>
        <w:rPr>
          <w:i/>
          <w:color w:val="231F20"/>
          <w:w w:val="90"/>
          <w:sz w:val="19"/>
        </w:rPr>
        <w:t>medicina”,</w:t>
      </w:r>
      <w:r>
        <w:rPr>
          <w:i/>
          <w:color w:val="231F20"/>
          <w:spacing w:val="-5"/>
          <w:w w:val="90"/>
          <w:sz w:val="19"/>
        </w:rPr>
        <w:t> </w:t>
      </w:r>
      <w:r>
        <w:rPr>
          <w:i/>
          <w:color w:val="231F20"/>
          <w:w w:val="90"/>
          <w:sz w:val="19"/>
        </w:rPr>
        <w:t>“-¿qué</w:t>
      </w:r>
      <w:r>
        <w:rPr>
          <w:i/>
          <w:color w:val="231F20"/>
          <w:spacing w:val="-4"/>
          <w:w w:val="90"/>
          <w:sz w:val="19"/>
        </w:rPr>
        <w:t> </w:t>
      </w:r>
      <w:r>
        <w:rPr>
          <w:i/>
          <w:color w:val="231F20"/>
          <w:w w:val="90"/>
          <w:sz w:val="19"/>
        </w:rPr>
        <w:t>andan</w:t>
      </w:r>
      <w:r>
        <w:rPr>
          <w:i/>
          <w:color w:val="231F20"/>
          <w:spacing w:val="-4"/>
          <w:w w:val="90"/>
          <w:sz w:val="19"/>
        </w:rPr>
        <w:t> </w:t>
      </w:r>
      <w:r>
        <w:rPr>
          <w:i/>
          <w:color w:val="231F20"/>
          <w:w w:val="90"/>
          <w:sz w:val="19"/>
        </w:rPr>
        <w:t>haciendo </w:t>
      </w:r>
      <w:r>
        <w:rPr>
          <w:i/>
          <w:color w:val="231F20"/>
          <w:w w:val="85"/>
          <w:sz w:val="19"/>
        </w:rPr>
        <w:t>allí?,</w:t>
      </w:r>
      <w:r>
        <w:rPr>
          <w:i/>
          <w:color w:val="231F20"/>
          <w:spacing w:val="-13"/>
          <w:w w:val="85"/>
          <w:sz w:val="19"/>
        </w:rPr>
        <w:t> </w:t>
      </w:r>
      <w:r>
        <w:rPr>
          <w:i/>
          <w:color w:val="231F20"/>
          <w:w w:val="85"/>
          <w:sz w:val="19"/>
        </w:rPr>
        <w:t>no</w:t>
      </w:r>
      <w:r>
        <w:rPr>
          <w:i/>
          <w:color w:val="231F20"/>
          <w:spacing w:val="-13"/>
          <w:w w:val="85"/>
          <w:sz w:val="19"/>
        </w:rPr>
        <w:t> </w:t>
      </w:r>
      <w:r>
        <w:rPr>
          <w:i/>
          <w:color w:val="231F20"/>
          <w:w w:val="85"/>
          <w:sz w:val="19"/>
        </w:rPr>
        <w:t>sirve”,“-doctorcitos,</w:t>
      </w:r>
      <w:r>
        <w:rPr>
          <w:i/>
          <w:color w:val="231F20"/>
          <w:spacing w:val="-13"/>
          <w:w w:val="85"/>
          <w:sz w:val="19"/>
        </w:rPr>
        <w:t> </w:t>
      </w:r>
      <w:r>
        <w:rPr>
          <w:i/>
          <w:color w:val="231F20"/>
          <w:w w:val="85"/>
          <w:sz w:val="19"/>
        </w:rPr>
        <w:t>de</w:t>
      </w:r>
      <w:r>
        <w:rPr>
          <w:i/>
          <w:color w:val="231F20"/>
          <w:spacing w:val="-13"/>
          <w:w w:val="85"/>
          <w:sz w:val="19"/>
        </w:rPr>
        <w:t> </w:t>
      </w:r>
      <w:r>
        <w:rPr>
          <w:i/>
          <w:color w:val="231F20"/>
          <w:w w:val="85"/>
          <w:sz w:val="19"/>
        </w:rPr>
        <w:t>la</w:t>
      </w:r>
      <w:r>
        <w:rPr>
          <w:i/>
          <w:color w:val="231F20"/>
          <w:spacing w:val="-13"/>
          <w:w w:val="85"/>
          <w:sz w:val="19"/>
        </w:rPr>
        <w:t> </w:t>
      </w:r>
      <w:r>
        <w:rPr>
          <w:i/>
          <w:color w:val="231F20"/>
          <w:w w:val="85"/>
          <w:sz w:val="19"/>
        </w:rPr>
        <w:t>escuelita”,“-¿van</w:t>
      </w:r>
      <w:r>
        <w:rPr>
          <w:i/>
          <w:color w:val="231F20"/>
          <w:spacing w:val="-13"/>
          <w:w w:val="85"/>
          <w:sz w:val="19"/>
        </w:rPr>
        <w:t> </w:t>
      </w:r>
      <w:r>
        <w:rPr>
          <w:i/>
          <w:color w:val="231F20"/>
          <w:w w:val="85"/>
          <w:sz w:val="19"/>
        </w:rPr>
        <w:t>a</w:t>
      </w:r>
      <w:r>
        <w:rPr>
          <w:i/>
          <w:color w:val="231F20"/>
          <w:spacing w:val="-13"/>
          <w:w w:val="85"/>
          <w:sz w:val="19"/>
        </w:rPr>
        <w:t> </w:t>
      </w:r>
      <w:r>
        <w:rPr>
          <w:i/>
          <w:color w:val="231F20"/>
          <w:w w:val="85"/>
          <w:sz w:val="19"/>
        </w:rPr>
        <w:t>ser</w:t>
      </w:r>
      <w:r>
        <w:rPr>
          <w:i/>
          <w:color w:val="231F20"/>
          <w:spacing w:val="-13"/>
          <w:w w:val="85"/>
          <w:sz w:val="19"/>
        </w:rPr>
        <w:t> </w:t>
      </w:r>
      <w:r>
        <w:rPr>
          <w:i/>
          <w:color w:val="231F20"/>
          <w:w w:val="85"/>
          <w:sz w:val="19"/>
        </w:rPr>
        <w:t>médicos</w:t>
      </w:r>
      <w:r>
        <w:rPr>
          <w:i/>
          <w:color w:val="231F20"/>
          <w:spacing w:val="-13"/>
          <w:w w:val="85"/>
          <w:sz w:val="19"/>
        </w:rPr>
        <w:t> </w:t>
      </w:r>
      <w:r>
        <w:rPr>
          <w:i/>
          <w:color w:val="231F20"/>
          <w:w w:val="85"/>
          <w:sz w:val="19"/>
        </w:rPr>
        <w:t>descalzos, verdad,</w:t>
      </w:r>
      <w:r>
        <w:rPr>
          <w:i/>
          <w:color w:val="231F20"/>
          <w:spacing w:val="-6"/>
          <w:w w:val="85"/>
          <w:sz w:val="19"/>
        </w:rPr>
        <w:t> </w:t>
      </w:r>
      <w:r>
        <w:rPr>
          <w:i/>
          <w:color w:val="231F20"/>
          <w:w w:val="85"/>
          <w:sz w:val="19"/>
        </w:rPr>
        <w:t>muchachos?”,“-¿a</w:t>
      </w:r>
      <w:r>
        <w:rPr>
          <w:i/>
          <w:color w:val="231F20"/>
          <w:spacing w:val="-6"/>
          <w:w w:val="85"/>
          <w:sz w:val="19"/>
        </w:rPr>
        <w:t> </w:t>
      </w:r>
      <w:r>
        <w:rPr>
          <w:i/>
          <w:color w:val="231F20"/>
          <w:w w:val="85"/>
          <w:sz w:val="19"/>
        </w:rPr>
        <w:t>poco</w:t>
      </w:r>
      <w:r>
        <w:rPr>
          <w:i/>
          <w:color w:val="231F20"/>
          <w:spacing w:val="-6"/>
          <w:w w:val="85"/>
          <w:sz w:val="19"/>
        </w:rPr>
        <w:t> </w:t>
      </w:r>
      <w:r>
        <w:rPr>
          <w:i/>
          <w:color w:val="231F20"/>
          <w:w w:val="85"/>
          <w:sz w:val="19"/>
        </w:rPr>
        <w:t>ustedes</w:t>
      </w:r>
      <w:r>
        <w:rPr>
          <w:i/>
          <w:color w:val="231F20"/>
          <w:spacing w:val="-6"/>
          <w:w w:val="85"/>
          <w:sz w:val="19"/>
        </w:rPr>
        <w:t> </w:t>
      </w:r>
      <w:r>
        <w:rPr>
          <w:i/>
          <w:color w:val="231F20"/>
          <w:w w:val="85"/>
          <w:sz w:val="19"/>
        </w:rPr>
        <w:t>sí</w:t>
      </w:r>
      <w:r>
        <w:rPr>
          <w:i/>
          <w:color w:val="231F20"/>
          <w:spacing w:val="-6"/>
          <w:w w:val="85"/>
          <w:sz w:val="19"/>
        </w:rPr>
        <w:t> </w:t>
      </w:r>
      <w:r>
        <w:rPr>
          <w:i/>
          <w:color w:val="231F20"/>
          <w:w w:val="85"/>
          <w:sz w:val="19"/>
        </w:rPr>
        <w:t>son</w:t>
      </w:r>
      <w:r>
        <w:rPr>
          <w:i/>
          <w:color w:val="231F20"/>
          <w:spacing w:val="-6"/>
          <w:w w:val="85"/>
          <w:sz w:val="19"/>
        </w:rPr>
        <w:t> </w:t>
      </w:r>
      <w:r>
        <w:rPr>
          <w:i/>
          <w:color w:val="231F20"/>
          <w:w w:val="85"/>
          <w:sz w:val="19"/>
        </w:rPr>
        <w:t>estudiantes</w:t>
      </w:r>
      <w:r>
        <w:rPr>
          <w:i/>
          <w:color w:val="231F20"/>
          <w:spacing w:val="-6"/>
          <w:w w:val="85"/>
          <w:sz w:val="19"/>
        </w:rPr>
        <w:t> </w:t>
      </w:r>
      <w:r>
        <w:rPr>
          <w:i/>
          <w:color w:val="231F20"/>
          <w:w w:val="85"/>
          <w:sz w:val="19"/>
        </w:rPr>
        <w:t>de</w:t>
      </w:r>
      <w:r>
        <w:rPr>
          <w:i/>
          <w:color w:val="231F20"/>
          <w:spacing w:val="-6"/>
          <w:w w:val="85"/>
          <w:sz w:val="19"/>
        </w:rPr>
        <w:t> </w:t>
      </w:r>
      <w:r>
        <w:rPr>
          <w:i/>
          <w:color w:val="231F20"/>
          <w:w w:val="85"/>
          <w:sz w:val="19"/>
        </w:rPr>
        <w:t>medicina?”,</w:t>
      </w:r>
      <w:r>
        <w:rPr>
          <w:i/>
          <w:color w:val="231F20"/>
          <w:spacing w:val="-6"/>
          <w:w w:val="85"/>
          <w:sz w:val="19"/>
        </w:rPr>
        <w:t> </w:t>
      </w:r>
      <w:r>
        <w:rPr>
          <w:i/>
          <w:color w:val="231F20"/>
          <w:w w:val="85"/>
          <w:sz w:val="19"/>
        </w:rPr>
        <w:t>“-</w:t>
      </w:r>
    </w:p>
    <w:p>
      <w:pPr>
        <w:spacing w:line="276" w:lineRule="auto" w:before="1"/>
        <w:ind w:left="809" w:right="165" w:firstLine="0"/>
        <w:jc w:val="both"/>
        <w:rPr>
          <w:sz w:val="19"/>
        </w:rPr>
      </w:pPr>
      <w:r>
        <w:rPr>
          <w:i/>
          <w:color w:val="231F20"/>
          <w:w w:val="95"/>
          <w:sz w:val="19"/>
        </w:rPr>
        <w:t>¿para</w:t>
      </w:r>
      <w:r>
        <w:rPr>
          <w:i/>
          <w:color w:val="231F20"/>
          <w:spacing w:val="-27"/>
          <w:w w:val="95"/>
          <w:sz w:val="19"/>
        </w:rPr>
        <w:t> </w:t>
      </w:r>
      <w:r>
        <w:rPr>
          <w:i/>
          <w:color w:val="231F20"/>
          <w:w w:val="95"/>
          <w:sz w:val="19"/>
        </w:rPr>
        <w:t>qué</w:t>
      </w:r>
      <w:r>
        <w:rPr>
          <w:i/>
          <w:color w:val="231F20"/>
          <w:spacing w:val="-27"/>
          <w:w w:val="95"/>
          <w:sz w:val="19"/>
        </w:rPr>
        <w:t> </w:t>
      </w:r>
      <w:r>
        <w:rPr>
          <w:i/>
          <w:color w:val="231F20"/>
          <w:w w:val="95"/>
          <w:sz w:val="19"/>
        </w:rPr>
        <w:t>te</w:t>
      </w:r>
      <w:r>
        <w:rPr>
          <w:i/>
          <w:color w:val="231F20"/>
          <w:spacing w:val="-27"/>
          <w:w w:val="95"/>
          <w:sz w:val="19"/>
        </w:rPr>
        <w:t> </w:t>
      </w:r>
      <w:r>
        <w:rPr>
          <w:i/>
          <w:color w:val="231F20"/>
          <w:w w:val="95"/>
          <w:sz w:val="19"/>
        </w:rPr>
        <w:t>mandaron</w:t>
      </w:r>
      <w:r>
        <w:rPr>
          <w:i/>
          <w:color w:val="231F20"/>
          <w:spacing w:val="-27"/>
          <w:w w:val="95"/>
          <w:sz w:val="19"/>
        </w:rPr>
        <w:t> </w:t>
      </w:r>
      <w:r>
        <w:rPr>
          <w:i/>
          <w:color w:val="231F20"/>
          <w:w w:val="95"/>
          <w:sz w:val="19"/>
        </w:rPr>
        <w:t>aquí?”,</w:t>
      </w:r>
      <w:r>
        <w:rPr>
          <w:i/>
          <w:color w:val="231F20"/>
          <w:spacing w:val="-27"/>
          <w:w w:val="95"/>
          <w:sz w:val="19"/>
        </w:rPr>
        <w:t> </w:t>
      </w:r>
      <w:r>
        <w:rPr>
          <w:i/>
          <w:color w:val="231F20"/>
          <w:w w:val="95"/>
          <w:sz w:val="19"/>
        </w:rPr>
        <w:t>“de</w:t>
      </w:r>
      <w:r>
        <w:rPr>
          <w:i/>
          <w:color w:val="231F20"/>
          <w:spacing w:val="-27"/>
          <w:w w:val="95"/>
          <w:sz w:val="19"/>
        </w:rPr>
        <w:t> </w:t>
      </w:r>
      <w:r>
        <w:rPr>
          <w:i/>
          <w:color w:val="231F20"/>
          <w:w w:val="95"/>
          <w:sz w:val="19"/>
        </w:rPr>
        <w:t>un</w:t>
      </w:r>
      <w:r>
        <w:rPr>
          <w:i/>
          <w:color w:val="231F20"/>
          <w:spacing w:val="-27"/>
          <w:w w:val="95"/>
          <w:sz w:val="19"/>
        </w:rPr>
        <w:t> </w:t>
      </w:r>
      <w:r>
        <w:rPr>
          <w:i/>
          <w:color w:val="231F20"/>
          <w:w w:val="95"/>
          <w:sz w:val="19"/>
        </w:rPr>
        <w:t>A-36,</w:t>
      </w:r>
      <w:r>
        <w:rPr>
          <w:i/>
          <w:color w:val="231F20"/>
          <w:spacing w:val="-27"/>
          <w:w w:val="95"/>
          <w:sz w:val="19"/>
        </w:rPr>
        <w:t> </w:t>
      </w:r>
      <w:r>
        <w:rPr>
          <w:i/>
          <w:color w:val="231F20"/>
          <w:w w:val="95"/>
          <w:sz w:val="19"/>
        </w:rPr>
        <w:t>con</w:t>
      </w:r>
      <w:r>
        <w:rPr>
          <w:i/>
          <w:color w:val="231F20"/>
          <w:spacing w:val="-27"/>
          <w:w w:val="95"/>
          <w:sz w:val="19"/>
        </w:rPr>
        <w:t> </w:t>
      </w:r>
      <w:r>
        <w:rPr>
          <w:i/>
          <w:color w:val="231F20"/>
          <w:w w:val="95"/>
          <w:sz w:val="19"/>
        </w:rPr>
        <w:t>eso</w:t>
      </w:r>
      <w:r>
        <w:rPr>
          <w:i/>
          <w:color w:val="231F20"/>
          <w:spacing w:val="-27"/>
          <w:w w:val="95"/>
          <w:sz w:val="19"/>
        </w:rPr>
        <w:t> </w:t>
      </w:r>
      <w:r>
        <w:rPr>
          <w:i/>
          <w:color w:val="231F20"/>
          <w:w w:val="95"/>
          <w:sz w:val="19"/>
        </w:rPr>
        <w:t>no</w:t>
      </w:r>
      <w:r>
        <w:rPr>
          <w:i/>
          <w:color w:val="231F20"/>
          <w:spacing w:val="-27"/>
          <w:w w:val="95"/>
          <w:sz w:val="19"/>
        </w:rPr>
        <w:t> </w:t>
      </w:r>
      <w:r>
        <w:rPr>
          <w:i/>
          <w:color w:val="231F20"/>
          <w:w w:val="95"/>
          <w:sz w:val="19"/>
        </w:rPr>
        <w:t>van</w:t>
      </w:r>
      <w:r>
        <w:rPr>
          <w:i/>
          <w:color w:val="231F20"/>
          <w:spacing w:val="-27"/>
          <w:w w:val="95"/>
          <w:sz w:val="19"/>
        </w:rPr>
        <w:t> </w:t>
      </w:r>
      <w:r>
        <w:rPr>
          <w:i/>
          <w:color w:val="231F20"/>
          <w:w w:val="95"/>
          <w:sz w:val="19"/>
        </w:rPr>
        <w:t>a</w:t>
      </w:r>
      <w:r>
        <w:rPr>
          <w:i/>
          <w:color w:val="231F20"/>
          <w:spacing w:val="-27"/>
          <w:w w:val="95"/>
          <w:sz w:val="19"/>
        </w:rPr>
        <w:t> </w:t>
      </w:r>
      <w:r>
        <w:rPr>
          <w:i/>
          <w:color w:val="231F20"/>
          <w:w w:val="95"/>
          <w:sz w:val="19"/>
        </w:rPr>
        <w:t>vivir</w:t>
      </w:r>
      <w:r>
        <w:rPr>
          <w:i/>
          <w:color w:val="231F20"/>
          <w:spacing w:val="-27"/>
          <w:w w:val="95"/>
          <w:sz w:val="19"/>
        </w:rPr>
        <w:t> </w:t>
      </w:r>
      <w:r>
        <w:rPr>
          <w:i/>
          <w:color w:val="231F20"/>
          <w:w w:val="95"/>
          <w:sz w:val="19"/>
        </w:rPr>
        <w:t>jamás </w:t>
      </w:r>
      <w:r>
        <w:rPr>
          <w:i/>
          <w:color w:val="231F20"/>
          <w:w w:val="90"/>
          <w:sz w:val="19"/>
        </w:rPr>
        <w:t>en la vida”, “-ustedes nunca van a ser competencia para nosotros”, “-si quieres</w:t>
      </w:r>
      <w:r>
        <w:rPr>
          <w:i/>
          <w:color w:val="231F20"/>
          <w:spacing w:val="-17"/>
          <w:w w:val="90"/>
          <w:sz w:val="19"/>
        </w:rPr>
        <w:t> </w:t>
      </w:r>
      <w:r>
        <w:rPr>
          <w:i/>
          <w:color w:val="231F20"/>
          <w:w w:val="90"/>
          <w:sz w:val="19"/>
        </w:rPr>
        <w:t>te</w:t>
      </w:r>
      <w:r>
        <w:rPr>
          <w:i/>
          <w:color w:val="231F20"/>
          <w:spacing w:val="-17"/>
          <w:w w:val="90"/>
          <w:sz w:val="19"/>
        </w:rPr>
        <w:t> </w:t>
      </w:r>
      <w:r>
        <w:rPr>
          <w:i/>
          <w:color w:val="231F20"/>
          <w:w w:val="90"/>
          <w:sz w:val="19"/>
        </w:rPr>
        <w:t>firmo</w:t>
      </w:r>
      <w:r>
        <w:rPr>
          <w:i/>
          <w:color w:val="231F20"/>
          <w:spacing w:val="-17"/>
          <w:w w:val="90"/>
          <w:sz w:val="19"/>
        </w:rPr>
        <w:t> </w:t>
      </w:r>
      <w:r>
        <w:rPr>
          <w:i/>
          <w:color w:val="231F20"/>
          <w:w w:val="90"/>
          <w:sz w:val="19"/>
        </w:rPr>
        <w:t>y</w:t>
      </w:r>
      <w:r>
        <w:rPr>
          <w:i/>
          <w:color w:val="231F20"/>
          <w:spacing w:val="-17"/>
          <w:w w:val="90"/>
          <w:sz w:val="19"/>
        </w:rPr>
        <w:t> </w:t>
      </w:r>
      <w:r>
        <w:rPr>
          <w:i/>
          <w:color w:val="231F20"/>
          <w:w w:val="90"/>
          <w:sz w:val="19"/>
        </w:rPr>
        <w:t>ya</w:t>
      </w:r>
      <w:r>
        <w:rPr>
          <w:i/>
          <w:color w:val="231F20"/>
          <w:spacing w:val="-17"/>
          <w:w w:val="90"/>
          <w:sz w:val="19"/>
        </w:rPr>
        <w:t> </w:t>
      </w:r>
      <w:r>
        <w:rPr>
          <w:i/>
          <w:color w:val="231F20"/>
          <w:w w:val="90"/>
          <w:sz w:val="19"/>
        </w:rPr>
        <w:t>te</w:t>
      </w:r>
      <w:r>
        <w:rPr>
          <w:i/>
          <w:color w:val="231F20"/>
          <w:spacing w:val="-17"/>
          <w:w w:val="90"/>
          <w:sz w:val="19"/>
        </w:rPr>
        <w:t> </w:t>
      </w:r>
      <w:r>
        <w:rPr>
          <w:i/>
          <w:color w:val="231F20"/>
          <w:w w:val="90"/>
          <w:sz w:val="19"/>
        </w:rPr>
        <w:t>puedes</w:t>
      </w:r>
      <w:r>
        <w:rPr>
          <w:i/>
          <w:color w:val="231F20"/>
          <w:spacing w:val="-17"/>
          <w:w w:val="90"/>
          <w:sz w:val="19"/>
        </w:rPr>
        <w:t> </w:t>
      </w:r>
      <w:r>
        <w:rPr>
          <w:i/>
          <w:color w:val="231F20"/>
          <w:w w:val="90"/>
          <w:sz w:val="19"/>
        </w:rPr>
        <w:t>retirar”</w:t>
      </w:r>
      <w:r>
        <w:rPr>
          <w:color w:val="231F20"/>
          <w:w w:val="90"/>
          <w:sz w:val="19"/>
        </w:rPr>
        <w:t>(Ríos,</w:t>
      </w:r>
      <w:r>
        <w:rPr>
          <w:color w:val="231F20"/>
          <w:spacing w:val="-17"/>
          <w:w w:val="90"/>
          <w:sz w:val="19"/>
        </w:rPr>
        <w:t> </w:t>
      </w:r>
      <w:r>
        <w:rPr>
          <w:color w:val="231F20"/>
          <w:w w:val="90"/>
          <w:sz w:val="19"/>
        </w:rPr>
        <w:t>2006).</w:t>
      </w:r>
    </w:p>
    <w:p>
      <w:pPr>
        <w:pStyle w:val="BodyText"/>
        <w:rPr>
          <w:sz w:val="20"/>
        </w:rPr>
      </w:pPr>
    </w:p>
    <w:p>
      <w:pPr>
        <w:pStyle w:val="BodyText"/>
        <w:spacing w:line="249" w:lineRule="auto"/>
        <w:ind w:left="101" w:right="115" w:firstLine="284"/>
        <w:jc w:val="both"/>
      </w:pPr>
      <w:r>
        <w:rPr>
          <w:color w:val="231F20"/>
        </w:rPr>
        <w:t>Por lo anterior, el propósito del presente estudio, es tener un primer acercamiento más preciso a la forma y manera en que los estudiantes perciben el maltrato y abuso, así como sus expresiones más comunes; ocurridas durante su proceso de formación univer- sitaria. Este primer acercamiento se acompaña de las siguientes interrogantes: ¿Cuáles son las expresiones de  abuso  y  maltrato más comunes que expresan los estudiantes en su relación con sus pares?, ¿cuáles son las expresiones de abuso y maltrato más co- munes que perciben los estudiantes en su relación con los docen- tes, tanto en los espacios universitarios como en los hospitala- rios?, ¿quiénes sufren de manera reiterada las experiencias de mal- trato las mujeres o los hombres?, ¿en qué sitio de aprendizaje se observa el mayor número de eventos?. Ello con la intención de tener los primeros indicios sobre el tema, y de que se lleve a una agenda de discusión, y de que se inicien las primeras acciones institucionales que vayan encaminadas a que los espacios de for- mación universitarios tanto del ACS, como de la institución en su conjunto, comiencen a ser considerados como espacios libres de violencia.</w:t>
      </w:r>
    </w:p>
    <w:p>
      <w:pPr>
        <w:spacing w:after="0" w:line="249" w:lineRule="auto"/>
        <w:jc w:val="both"/>
        <w:sectPr>
          <w:headerReference w:type="default" r:id="rId437"/>
          <w:footerReference w:type="default" r:id="rId438"/>
          <w:pgSz w:w="7830" w:h="11910"/>
          <w:pgMar w:header="0" w:footer="424" w:top="500" w:bottom="620" w:left="920" w:right="900"/>
          <w:pgNumType w:start="20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before="92"/>
        <w:ind w:left="102"/>
        <w:jc w:val="both"/>
      </w:pPr>
      <w:r>
        <w:rPr>
          <w:color w:val="231F20"/>
          <w:w w:val="105"/>
        </w:rPr>
        <w:t>METODOLOGÍA</w:t>
      </w:r>
    </w:p>
    <w:p>
      <w:pPr>
        <w:pStyle w:val="BodyText"/>
        <w:spacing w:before="1"/>
      </w:pPr>
    </w:p>
    <w:p>
      <w:pPr>
        <w:pStyle w:val="BodyText"/>
        <w:spacing w:line="247" w:lineRule="auto" w:before="1"/>
        <w:ind w:left="101" w:right="114"/>
        <w:jc w:val="both"/>
      </w:pPr>
      <w:r>
        <w:rPr>
          <w:color w:val="231F20"/>
        </w:rPr>
        <w:t>El estudio comprendió la población estudiantil, que cursó el cuarto año de cada una de las carreras durante el primer semestre del 2011,excepto a la de la licenciatura en Cultura Física y Deporte por ser de reciente creación; se eligióa este sector porque al estar termi- nando la carrera, se les había permitido conocer y tratar a la totali- dad del personal académico y administrativo de la unidad académica (aula, laboratorio y comunidad); en el caso de las clínicas y hospita- les del sector salud, también su conocimiento y trato fue con </w:t>
      </w:r>
      <w:r>
        <w:rPr>
          <w:color w:val="231F20"/>
          <w:spacing w:val="2"/>
        </w:rPr>
        <w:t>una </w:t>
      </w:r>
      <w:r>
        <w:rPr>
          <w:color w:val="231F20"/>
        </w:rPr>
        <w:t>mayoría del personal. En su diseño el cuestionario cubrió los si- guientes temas: datos generales, en el cual se solicitaba información sociodemográfica y escolar. El siguiente bloque da cuenta de la percepción del estudiante en su relación de convivencia con el do- cente universitario en aula, y las muestras de maltrato; el siguiente apartado da cuenta de la percepción del estudiante en su relación de convivencia con el docente universitario en los espacios clínicos y las muestras de maltrato y finalizaba con el tipo de convivencia con los compañeros de clase (pares), y los tipos de abuso que se habían presentado. Posterior a su diseño, el instrumento fue sujeto a una etapa de validación. Su aplicación tuvo carácter censal. En cada uno de los grupos visitados, se ofreció una breve explicación sobre el proyecto de investigación, destacando su importancia, y a la vez, solicitando la colaboración de los estudiantes; ello con la autoriza- ción previa del docente en turno. Dada la naturaleza del tema de investigación, se hizo hincapié en la temporalidad del evento, indi- cándose lo ocurrido en el último año escolar; también se fue enfáti- co en el manejo confidencial de la información, por lo que la en- cuesta fue anónima y la información sería empleada para los propó- sitos de esta investigación. Se emplearon los programas SPSS v.18 y Excel, tanto para la captura de la información en una base de datos   y cruce de variables, como para su presentación en gráficas. En su momento el proyecto se presentó a los directivos de cada una de las unidades académicas, lo que dio la oportunidad de explicarles su importancia y destacar acciones</w:t>
      </w:r>
      <w:r>
        <w:rPr>
          <w:color w:val="231F20"/>
          <w:spacing w:val="-3"/>
        </w:rPr>
        <w:t> </w:t>
      </w:r>
      <w:r>
        <w:rPr>
          <w:color w:val="231F20"/>
        </w:rPr>
        <w:t>futuras.</w:t>
      </w:r>
    </w:p>
    <w:p>
      <w:pPr>
        <w:pStyle w:val="BodyText"/>
        <w:spacing w:line="247" w:lineRule="auto" w:before="14"/>
        <w:ind w:left="102" w:right="113" w:firstLine="284"/>
        <w:jc w:val="both"/>
      </w:pPr>
      <w:r>
        <w:rPr>
          <w:color w:val="231F20"/>
        </w:rPr>
        <w:t>El trabajo se ha organizado en los siguientes apartados: prime- ro se destacan aspectos de índole sociodemográfico y escolar; en seguida se abordan rasgos de la relación entre los docentes univer- sitarios y los estudiantes en el aula, haciendo hincapié en  aquellos</w:t>
      </w:r>
    </w:p>
    <w:p>
      <w:pPr>
        <w:spacing w:after="0" w:line="247" w:lineRule="auto"/>
        <w:jc w:val="both"/>
        <w:sectPr>
          <w:headerReference w:type="default" r:id="rId439"/>
          <w:footerReference w:type="default" r:id="rId440"/>
          <w:pgSz w:w="7830" w:h="11910"/>
          <w:pgMar w:header="0" w:footer="424" w:top="500" w:bottom="620" w:left="920" w:right="900"/>
          <w:pgNumType w:start="20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5"/>
        <w:jc w:val="both"/>
      </w:pPr>
      <w:r>
        <w:rPr>
          <w:color w:val="231F20"/>
        </w:rPr>
        <w:t>maltratos que fueron los más comunes y cotidianos; después se da una semblanza a los rasgos más representativos de  la  relación entre los estudiantes y el docente universitario, vivida en los espa- cios universitarios del sector salud; y, finalmente, se abordan las particularidades de la relación del estudiante y sus pares, desta- cando aquellos maltratos advertidos como los más comunes.</w:t>
      </w:r>
    </w:p>
    <w:p>
      <w:pPr>
        <w:pStyle w:val="BodyText"/>
        <w:spacing w:before="7"/>
      </w:pPr>
    </w:p>
    <w:p>
      <w:pPr>
        <w:pStyle w:val="BodyText"/>
        <w:ind w:left="101"/>
        <w:jc w:val="both"/>
      </w:pPr>
      <w:r>
        <w:rPr>
          <w:color w:val="231F20"/>
        </w:rPr>
        <w:t>RESULTADOS</w:t>
      </w:r>
    </w:p>
    <w:p>
      <w:pPr>
        <w:pStyle w:val="BodyText"/>
        <w:spacing w:before="1"/>
      </w:pPr>
    </w:p>
    <w:p>
      <w:pPr>
        <w:pStyle w:val="BodyText"/>
        <w:spacing w:line="247" w:lineRule="auto" w:before="1"/>
        <w:ind w:left="101" w:right="115"/>
        <w:jc w:val="both"/>
      </w:pPr>
      <w:r>
        <w:rPr>
          <w:color w:val="231F20"/>
        </w:rPr>
        <w:t>La población total de los estudiantes de cuarto año  (generación 2008), fue de 441, de los cuales contestaron la encuesta 376, repre- sentando el 85.3% del total. Con respecto a la edad, el grupo más importante se ubica en el rango de 20 a 24 años, con el 94.4%, y  con el 4.3%, en el rango de 25 a 29 años. En relación al lugar de nacimiento, la gran mayoría, 212 (56%), son originarios de la capital del estado; quienes nacieron en el interior del estado son 104 (28%), y procedentes de otros estados son 60 (16%). Del total de la pobla- ción escolar, el 15.4%, trabaja. Este hecho sigue mostrando, que las carreras del área de la salud, debido a sus diferentes actividades, siguen requiriendo estudiantes de tiempo</w:t>
      </w:r>
      <w:r>
        <w:rPr>
          <w:color w:val="231F20"/>
          <w:spacing w:val="35"/>
        </w:rPr>
        <w:t> </w:t>
      </w:r>
      <w:r>
        <w:rPr>
          <w:color w:val="231F20"/>
        </w:rPr>
        <w:t>completo.</w:t>
      </w:r>
    </w:p>
    <w:p>
      <w:pPr>
        <w:pStyle w:val="BodyText"/>
        <w:spacing w:line="249" w:lineRule="auto" w:before="10"/>
        <w:ind w:left="101" w:right="116" w:firstLine="284"/>
        <w:jc w:val="both"/>
      </w:pPr>
      <w:r>
        <w:rPr>
          <w:color w:val="231F20"/>
        </w:rPr>
        <w:t>Un </w:t>
      </w:r>
      <w:r>
        <w:rPr>
          <w:color w:val="231F20"/>
          <w:spacing w:val="2"/>
        </w:rPr>
        <w:t>hecho </w:t>
      </w:r>
      <w:r>
        <w:rPr>
          <w:color w:val="231F20"/>
        </w:rPr>
        <w:t>que </w:t>
      </w:r>
      <w:r>
        <w:rPr>
          <w:color w:val="231F20"/>
          <w:spacing w:val="2"/>
        </w:rPr>
        <w:t>llama </w:t>
      </w:r>
      <w:r>
        <w:rPr>
          <w:color w:val="231F20"/>
        </w:rPr>
        <w:t>la </w:t>
      </w:r>
      <w:r>
        <w:rPr>
          <w:color w:val="231F20"/>
          <w:spacing w:val="2"/>
        </w:rPr>
        <w:t>atención </w:t>
      </w:r>
      <w:r>
        <w:rPr>
          <w:color w:val="231F20"/>
        </w:rPr>
        <w:t>es </w:t>
      </w:r>
      <w:r>
        <w:rPr>
          <w:color w:val="231F20"/>
          <w:spacing w:val="2"/>
        </w:rPr>
        <w:t>que </w:t>
      </w:r>
      <w:r>
        <w:rPr>
          <w:color w:val="231F20"/>
        </w:rPr>
        <w:t>de la </w:t>
      </w:r>
      <w:r>
        <w:rPr>
          <w:color w:val="231F20"/>
          <w:spacing w:val="2"/>
        </w:rPr>
        <w:t>actual población  </w:t>
      </w:r>
      <w:r>
        <w:rPr>
          <w:color w:val="231F20"/>
        </w:rPr>
        <w:t>de </w:t>
      </w:r>
      <w:r>
        <w:rPr>
          <w:color w:val="231F20"/>
          <w:spacing w:val="2"/>
        </w:rPr>
        <w:t>cuarto año, </w:t>
      </w:r>
      <w:r>
        <w:rPr>
          <w:color w:val="231F20"/>
        </w:rPr>
        <w:t>un </w:t>
      </w:r>
      <w:r>
        <w:rPr>
          <w:color w:val="231F20"/>
          <w:spacing w:val="3"/>
        </w:rPr>
        <w:t>número importante </w:t>
      </w:r>
      <w:r>
        <w:rPr>
          <w:color w:val="231F20"/>
        </w:rPr>
        <w:t>de </w:t>
      </w:r>
      <w:r>
        <w:rPr>
          <w:color w:val="231F20"/>
          <w:spacing w:val="2"/>
        </w:rPr>
        <w:t>ellos, tiene familiares </w:t>
      </w:r>
      <w:r>
        <w:rPr>
          <w:color w:val="231F20"/>
          <w:spacing w:val="3"/>
        </w:rPr>
        <w:t>relacionados </w:t>
      </w:r>
      <w:r>
        <w:rPr>
          <w:color w:val="231F20"/>
          <w:spacing w:val="2"/>
        </w:rPr>
        <w:t>con </w:t>
      </w:r>
      <w:r>
        <w:rPr>
          <w:color w:val="231F20"/>
        </w:rPr>
        <w:t>la </w:t>
      </w:r>
      <w:r>
        <w:rPr>
          <w:color w:val="231F20"/>
          <w:spacing w:val="3"/>
        </w:rPr>
        <w:t>disciplina. </w:t>
      </w:r>
      <w:r>
        <w:rPr>
          <w:color w:val="231F20"/>
          <w:spacing w:val="2"/>
        </w:rPr>
        <w:t>Ello </w:t>
      </w:r>
      <w:r>
        <w:rPr>
          <w:color w:val="231F20"/>
        </w:rPr>
        <w:t>en </w:t>
      </w:r>
      <w:r>
        <w:rPr>
          <w:color w:val="231F20"/>
          <w:spacing w:val="2"/>
        </w:rPr>
        <w:t>buena </w:t>
      </w:r>
      <w:r>
        <w:rPr>
          <w:color w:val="231F20"/>
          <w:spacing w:val="3"/>
        </w:rPr>
        <w:t>medida </w:t>
      </w:r>
      <w:r>
        <w:rPr>
          <w:color w:val="231F20"/>
          <w:spacing w:val="2"/>
        </w:rPr>
        <w:t>puede </w:t>
      </w:r>
      <w:r>
        <w:rPr>
          <w:color w:val="231F20"/>
        </w:rPr>
        <w:t>expli- </w:t>
      </w:r>
      <w:r>
        <w:rPr>
          <w:color w:val="231F20"/>
          <w:spacing w:val="2"/>
        </w:rPr>
        <w:t>carnos varias situaciones: </w:t>
      </w:r>
      <w:r>
        <w:rPr>
          <w:color w:val="231F20"/>
        </w:rPr>
        <w:t>el </w:t>
      </w:r>
      <w:r>
        <w:rPr>
          <w:color w:val="231F20"/>
          <w:spacing w:val="2"/>
        </w:rPr>
        <w:t>que incluso, desde antes </w:t>
      </w:r>
      <w:r>
        <w:rPr>
          <w:color w:val="231F20"/>
        </w:rPr>
        <w:t>de la </w:t>
      </w:r>
      <w:r>
        <w:rPr>
          <w:color w:val="231F20"/>
          <w:spacing w:val="3"/>
        </w:rPr>
        <w:t>educa- </w:t>
      </w:r>
      <w:r>
        <w:rPr>
          <w:color w:val="231F20"/>
          <w:spacing w:val="2"/>
        </w:rPr>
        <w:t>ción media superior, hayan tenido algún contacto con </w:t>
      </w:r>
      <w:r>
        <w:rPr>
          <w:color w:val="231F20"/>
        </w:rPr>
        <w:t>la </w:t>
      </w:r>
      <w:r>
        <w:rPr>
          <w:color w:val="231F20"/>
          <w:spacing w:val="2"/>
        </w:rPr>
        <w:t>profe-</w:t>
      </w:r>
      <w:r>
        <w:rPr>
          <w:color w:val="231F20"/>
          <w:spacing w:val="56"/>
        </w:rPr>
        <w:t> </w:t>
      </w:r>
      <w:r>
        <w:rPr>
          <w:color w:val="231F20"/>
          <w:spacing w:val="2"/>
        </w:rPr>
        <w:t>sión; </w:t>
      </w:r>
      <w:r>
        <w:rPr>
          <w:color w:val="231F20"/>
        </w:rPr>
        <w:t>el que </w:t>
      </w:r>
      <w:r>
        <w:rPr>
          <w:color w:val="231F20"/>
          <w:spacing w:val="2"/>
        </w:rPr>
        <w:t>algún </w:t>
      </w:r>
      <w:r>
        <w:rPr>
          <w:color w:val="231F20"/>
          <w:spacing w:val="3"/>
        </w:rPr>
        <w:t>miembro </w:t>
      </w:r>
      <w:r>
        <w:rPr>
          <w:color w:val="231F20"/>
        </w:rPr>
        <w:t>de la </w:t>
      </w:r>
      <w:r>
        <w:rPr>
          <w:color w:val="231F20"/>
          <w:spacing w:val="2"/>
        </w:rPr>
        <w:t>familia –en </w:t>
      </w:r>
      <w:r>
        <w:rPr>
          <w:color w:val="231F20"/>
        </w:rPr>
        <w:t>su </w:t>
      </w:r>
      <w:r>
        <w:rPr>
          <w:color w:val="231F20"/>
          <w:spacing w:val="3"/>
        </w:rPr>
        <w:t>momento– </w:t>
      </w:r>
      <w:r>
        <w:rPr>
          <w:color w:val="231F20"/>
          <w:spacing w:val="2"/>
        </w:rPr>
        <w:t>haya orientado </w:t>
      </w:r>
      <w:r>
        <w:rPr>
          <w:color w:val="231F20"/>
        </w:rPr>
        <w:t>en la </w:t>
      </w:r>
      <w:r>
        <w:rPr>
          <w:color w:val="231F20"/>
          <w:spacing w:val="2"/>
        </w:rPr>
        <w:t>elección </w:t>
      </w:r>
      <w:r>
        <w:rPr>
          <w:color w:val="231F20"/>
        </w:rPr>
        <w:t>de la </w:t>
      </w:r>
      <w:r>
        <w:rPr>
          <w:color w:val="231F20"/>
          <w:spacing w:val="2"/>
        </w:rPr>
        <w:t>carrera; </w:t>
      </w:r>
      <w:r>
        <w:rPr>
          <w:color w:val="231F20"/>
        </w:rPr>
        <w:t>el que </w:t>
      </w:r>
      <w:r>
        <w:rPr>
          <w:color w:val="231F20"/>
          <w:spacing w:val="2"/>
        </w:rPr>
        <w:t>algún </w:t>
      </w:r>
      <w:r>
        <w:rPr>
          <w:color w:val="231F20"/>
          <w:spacing w:val="3"/>
        </w:rPr>
        <w:t>miembro </w:t>
      </w:r>
      <w:r>
        <w:rPr>
          <w:color w:val="231F20"/>
        </w:rPr>
        <w:t>o </w:t>
      </w:r>
      <w:r>
        <w:rPr>
          <w:color w:val="231F20"/>
          <w:spacing w:val="3"/>
        </w:rPr>
        <w:t>miembros </w:t>
      </w:r>
      <w:r>
        <w:rPr>
          <w:color w:val="231F20"/>
          <w:spacing w:val="2"/>
        </w:rPr>
        <w:t>ayuden durante </w:t>
      </w:r>
      <w:r>
        <w:rPr>
          <w:color w:val="231F20"/>
        </w:rPr>
        <w:t>el </w:t>
      </w:r>
      <w:r>
        <w:rPr>
          <w:color w:val="231F20"/>
          <w:spacing w:val="2"/>
        </w:rPr>
        <w:t>proceso </w:t>
      </w:r>
      <w:r>
        <w:rPr>
          <w:color w:val="231F20"/>
        </w:rPr>
        <w:t>de </w:t>
      </w:r>
      <w:r>
        <w:rPr>
          <w:color w:val="231F20"/>
          <w:spacing w:val="2"/>
        </w:rPr>
        <w:t>formación </w:t>
      </w:r>
      <w:r>
        <w:rPr>
          <w:color w:val="231F20"/>
        </w:rPr>
        <w:t>y </w:t>
      </w:r>
      <w:r>
        <w:rPr>
          <w:color w:val="231F20"/>
          <w:spacing w:val="2"/>
        </w:rPr>
        <w:t>después </w:t>
      </w:r>
      <w:r>
        <w:rPr>
          <w:color w:val="231F20"/>
        </w:rPr>
        <w:t>de </w:t>
      </w:r>
      <w:r>
        <w:rPr>
          <w:color w:val="231F20"/>
          <w:spacing w:val="2"/>
        </w:rPr>
        <w:t>concluir los estudios con </w:t>
      </w:r>
      <w:r>
        <w:rPr>
          <w:color w:val="231F20"/>
        </w:rPr>
        <w:t>la </w:t>
      </w:r>
      <w:r>
        <w:rPr>
          <w:color w:val="231F20"/>
          <w:spacing w:val="2"/>
        </w:rPr>
        <w:t>disposición </w:t>
      </w:r>
      <w:r>
        <w:rPr>
          <w:color w:val="231F20"/>
        </w:rPr>
        <w:t>de un </w:t>
      </w:r>
      <w:r>
        <w:rPr>
          <w:color w:val="231F20"/>
          <w:spacing w:val="2"/>
        </w:rPr>
        <w:t>espacio laboral. Así, </w:t>
      </w:r>
      <w:r>
        <w:rPr>
          <w:color w:val="231F20"/>
        </w:rPr>
        <w:t>el </w:t>
      </w:r>
      <w:r>
        <w:rPr>
          <w:color w:val="231F20"/>
          <w:spacing w:val="2"/>
        </w:rPr>
        <w:t>14.6% </w:t>
      </w:r>
      <w:r>
        <w:rPr>
          <w:color w:val="231F20"/>
        </w:rPr>
        <w:t>de la </w:t>
      </w:r>
      <w:r>
        <w:rPr>
          <w:color w:val="231F20"/>
          <w:spacing w:val="2"/>
        </w:rPr>
        <w:t>población indica que son los padres, quienes tienen relación con </w:t>
      </w:r>
      <w:r>
        <w:rPr>
          <w:color w:val="231F20"/>
        </w:rPr>
        <w:t>la </w:t>
      </w:r>
      <w:r>
        <w:rPr>
          <w:color w:val="231F20"/>
          <w:spacing w:val="3"/>
        </w:rPr>
        <w:t>profesión, </w:t>
      </w:r>
      <w:r>
        <w:rPr>
          <w:color w:val="231F20"/>
        </w:rPr>
        <w:t>y el </w:t>
      </w:r>
      <w:r>
        <w:rPr>
          <w:color w:val="231F20"/>
          <w:spacing w:val="2"/>
        </w:rPr>
        <w:t>36.2%, afirma </w:t>
      </w:r>
      <w:r>
        <w:rPr>
          <w:color w:val="231F20"/>
        </w:rPr>
        <w:t>que </w:t>
      </w:r>
      <w:r>
        <w:rPr>
          <w:color w:val="231F20"/>
          <w:spacing w:val="2"/>
        </w:rPr>
        <w:t>son otros fami- liares. </w:t>
      </w:r>
      <w:r>
        <w:rPr>
          <w:color w:val="231F20"/>
        </w:rPr>
        <w:t>Si </w:t>
      </w:r>
      <w:r>
        <w:rPr>
          <w:color w:val="231F20"/>
          <w:spacing w:val="3"/>
        </w:rPr>
        <w:t>sumamos ambos grupos, encontramos </w:t>
      </w:r>
      <w:r>
        <w:rPr>
          <w:color w:val="231F20"/>
          <w:spacing w:val="2"/>
        </w:rPr>
        <w:t>que </w:t>
      </w:r>
      <w:r>
        <w:rPr>
          <w:color w:val="231F20"/>
        </w:rPr>
        <w:t>el </w:t>
      </w:r>
      <w:r>
        <w:rPr>
          <w:color w:val="231F20"/>
          <w:spacing w:val="2"/>
        </w:rPr>
        <w:t>50.8% </w:t>
      </w:r>
      <w:r>
        <w:rPr>
          <w:color w:val="231F20"/>
        </w:rPr>
        <w:t>se </w:t>
      </w:r>
      <w:r>
        <w:rPr>
          <w:color w:val="231F20"/>
          <w:spacing w:val="3"/>
        </w:rPr>
        <w:t>encuentra </w:t>
      </w:r>
      <w:r>
        <w:rPr>
          <w:color w:val="231F20"/>
        </w:rPr>
        <w:t>en esta</w:t>
      </w:r>
      <w:r>
        <w:rPr>
          <w:color w:val="231F20"/>
          <w:spacing w:val="27"/>
        </w:rPr>
        <w:t> </w:t>
      </w:r>
      <w:r>
        <w:rPr>
          <w:color w:val="231F20"/>
          <w:spacing w:val="3"/>
        </w:rPr>
        <w:t>condición.</w:t>
      </w:r>
    </w:p>
    <w:p>
      <w:pPr>
        <w:pStyle w:val="BodyText"/>
        <w:spacing w:line="249" w:lineRule="auto"/>
        <w:ind w:left="102" w:right="115" w:firstLine="284"/>
        <w:jc w:val="both"/>
      </w:pPr>
      <w:r>
        <w:rPr>
          <w:color w:val="231F20"/>
        </w:rPr>
        <w:t>Con relación a su condición académica, se tiene el siguiente panorama: sobre su promedio obtenido durante el actual año escolar, encontramos que la mayoría, el 45.5%, se ubica en la cali- ficación de entre 8 y 8.9; el siguiente grupo, el 35.6%, entre 9  y  9.5; solo el 1.1% ha obtenido calificación entre 9.6 y 10. Con rela- ción a su condición de aprovechamiento escolar, la situación   para</w:t>
      </w:r>
    </w:p>
    <w:p>
      <w:pPr>
        <w:spacing w:after="0" w:line="249" w:lineRule="auto"/>
        <w:jc w:val="both"/>
        <w:sectPr>
          <w:headerReference w:type="default" r:id="rId441"/>
          <w:footerReference w:type="default" r:id="rId442"/>
          <w:pgSz w:w="7830" w:h="11910"/>
          <w:pgMar w:header="0" w:footer="424" w:top="500" w:bottom="620" w:left="920" w:right="900"/>
          <w:pgNumType w:start="206"/>
        </w:sectPr>
      </w:pPr>
    </w:p>
    <w:p>
      <w:pPr>
        <w:spacing w:before="46"/>
        <w:ind w:left="12" w:right="9"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21" w:right="115"/>
        <w:jc w:val="both"/>
      </w:pPr>
      <w:r>
        <w:rPr>
          <w:color w:val="231F20"/>
          <w:spacing w:val="2"/>
        </w:rPr>
        <w:t>algunos </w:t>
      </w:r>
      <w:r>
        <w:rPr>
          <w:color w:val="231F20"/>
        </w:rPr>
        <w:t>de </w:t>
      </w:r>
      <w:r>
        <w:rPr>
          <w:color w:val="231F20"/>
          <w:spacing w:val="2"/>
        </w:rPr>
        <w:t>ellos </w:t>
      </w:r>
      <w:r>
        <w:rPr>
          <w:color w:val="231F20"/>
        </w:rPr>
        <w:t>se </w:t>
      </w:r>
      <w:r>
        <w:rPr>
          <w:color w:val="231F20"/>
          <w:spacing w:val="2"/>
        </w:rPr>
        <w:t>muestra </w:t>
      </w:r>
      <w:r>
        <w:rPr>
          <w:color w:val="231F20"/>
        </w:rPr>
        <w:t>un </w:t>
      </w:r>
      <w:r>
        <w:rPr>
          <w:color w:val="231F20"/>
          <w:spacing w:val="2"/>
        </w:rPr>
        <w:t>tanto </w:t>
      </w:r>
      <w:r>
        <w:rPr>
          <w:color w:val="231F20"/>
          <w:spacing w:val="3"/>
        </w:rPr>
        <w:t>problemática, </w:t>
      </w:r>
      <w:r>
        <w:rPr>
          <w:color w:val="231F20"/>
          <w:spacing w:val="2"/>
        </w:rPr>
        <w:t>porque </w:t>
      </w:r>
      <w:r>
        <w:rPr>
          <w:color w:val="231F20"/>
        </w:rPr>
        <w:t>se </w:t>
      </w:r>
      <w:r>
        <w:rPr>
          <w:color w:val="231F20"/>
          <w:spacing w:val="3"/>
        </w:rPr>
        <w:t>en- </w:t>
      </w:r>
      <w:r>
        <w:rPr>
          <w:color w:val="231F20"/>
          <w:spacing w:val="2"/>
        </w:rPr>
        <w:t>cuentran </w:t>
      </w:r>
      <w:r>
        <w:rPr>
          <w:color w:val="231F20"/>
        </w:rPr>
        <w:t>en </w:t>
      </w:r>
      <w:r>
        <w:rPr>
          <w:color w:val="231F20"/>
          <w:spacing w:val="2"/>
        </w:rPr>
        <w:t>calidad </w:t>
      </w:r>
      <w:r>
        <w:rPr>
          <w:color w:val="231F20"/>
        </w:rPr>
        <w:t>de </w:t>
      </w:r>
      <w:r>
        <w:rPr>
          <w:color w:val="231F20"/>
          <w:spacing w:val="2"/>
        </w:rPr>
        <w:t>irregulares; </w:t>
      </w:r>
      <w:r>
        <w:rPr>
          <w:color w:val="231F20"/>
        </w:rPr>
        <w:t>así, el 8.8% ha </w:t>
      </w:r>
      <w:r>
        <w:rPr>
          <w:color w:val="231F20"/>
          <w:spacing w:val="3"/>
        </w:rPr>
        <w:t>reprobado </w:t>
      </w:r>
      <w:r>
        <w:rPr>
          <w:color w:val="231F20"/>
          <w:spacing w:val="2"/>
        </w:rPr>
        <w:t>más  </w:t>
      </w:r>
      <w:r>
        <w:rPr>
          <w:color w:val="231F20"/>
        </w:rPr>
        <w:t>de </w:t>
      </w:r>
      <w:r>
        <w:rPr>
          <w:color w:val="231F20"/>
          <w:spacing w:val="2"/>
        </w:rPr>
        <w:t>tres; </w:t>
      </w:r>
      <w:r>
        <w:rPr>
          <w:color w:val="231F20"/>
        </w:rPr>
        <w:t>el </w:t>
      </w:r>
      <w:r>
        <w:rPr>
          <w:color w:val="231F20"/>
          <w:spacing w:val="2"/>
        </w:rPr>
        <w:t>16.5%, entre dos </w:t>
      </w:r>
      <w:r>
        <w:rPr>
          <w:color w:val="231F20"/>
        </w:rPr>
        <w:t>y </w:t>
      </w:r>
      <w:r>
        <w:rPr>
          <w:color w:val="231F20"/>
          <w:spacing w:val="2"/>
        </w:rPr>
        <w:t>tres, </w:t>
      </w:r>
      <w:r>
        <w:rPr>
          <w:color w:val="231F20"/>
        </w:rPr>
        <w:t>y el </w:t>
      </w:r>
      <w:r>
        <w:rPr>
          <w:color w:val="231F20"/>
          <w:spacing w:val="2"/>
        </w:rPr>
        <w:t>13%, una unidad </w:t>
      </w:r>
      <w:r>
        <w:rPr>
          <w:color w:val="231F20"/>
        </w:rPr>
        <w:t>de </w:t>
      </w:r>
      <w:r>
        <w:rPr>
          <w:color w:val="231F20"/>
          <w:spacing w:val="3"/>
        </w:rPr>
        <w:t>apren- </w:t>
      </w:r>
      <w:r>
        <w:rPr>
          <w:color w:val="231F20"/>
          <w:spacing w:val="2"/>
        </w:rPr>
        <w:t>dizaje. </w:t>
      </w:r>
      <w:r>
        <w:rPr>
          <w:color w:val="231F20"/>
          <w:spacing w:val="3"/>
        </w:rPr>
        <w:t>Sumados </w:t>
      </w:r>
      <w:r>
        <w:rPr>
          <w:color w:val="231F20"/>
          <w:spacing w:val="2"/>
        </w:rPr>
        <w:t>estos tres </w:t>
      </w:r>
      <w:r>
        <w:rPr>
          <w:color w:val="231F20"/>
          <w:spacing w:val="3"/>
        </w:rPr>
        <w:t>grupos, </w:t>
      </w:r>
      <w:r>
        <w:rPr>
          <w:color w:val="231F20"/>
        </w:rPr>
        <w:t>se </w:t>
      </w:r>
      <w:r>
        <w:rPr>
          <w:color w:val="231F20"/>
          <w:spacing w:val="2"/>
        </w:rPr>
        <w:t>arroja </w:t>
      </w:r>
      <w:r>
        <w:rPr>
          <w:color w:val="231F20"/>
        </w:rPr>
        <w:t>un </w:t>
      </w:r>
      <w:r>
        <w:rPr>
          <w:color w:val="231F20"/>
          <w:spacing w:val="2"/>
        </w:rPr>
        <w:t>total </w:t>
      </w:r>
      <w:r>
        <w:rPr>
          <w:color w:val="231F20"/>
        </w:rPr>
        <w:t>de </w:t>
      </w:r>
      <w:r>
        <w:rPr>
          <w:color w:val="231F20"/>
          <w:spacing w:val="2"/>
        </w:rPr>
        <w:t>38.3% estudiantes, quienes verán </w:t>
      </w:r>
      <w:r>
        <w:rPr>
          <w:color w:val="231F20"/>
          <w:spacing w:val="3"/>
        </w:rPr>
        <w:t>interrumpida </w:t>
      </w:r>
      <w:r>
        <w:rPr>
          <w:color w:val="231F20"/>
        </w:rPr>
        <w:t>su </w:t>
      </w:r>
      <w:r>
        <w:rPr>
          <w:color w:val="231F20"/>
          <w:spacing w:val="2"/>
        </w:rPr>
        <w:t>trayectoria escolar; </w:t>
      </w:r>
      <w:r>
        <w:rPr>
          <w:color w:val="231F20"/>
          <w:spacing w:val="3"/>
        </w:rPr>
        <w:t>en</w:t>
      </w:r>
      <w:r>
        <w:rPr>
          <w:color w:val="231F20"/>
          <w:spacing w:val="58"/>
        </w:rPr>
        <w:t> </w:t>
      </w:r>
      <w:r>
        <w:rPr>
          <w:color w:val="231F20"/>
        </w:rPr>
        <w:t>el </w:t>
      </w:r>
      <w:r>
        <w:rPr>
          <w:color w:val="231F20"/>
          <w:spacing w:val="2"/>
        </w:rPr>
        <w:t>caso </w:t>
      </w:r>
      <w:r>
        <w:rPr>
          <w:color w:val="231F20"/>
        </w:rPr>
        <w:t>de </w:t>
      </w:r>
      <w:r>
        <w:rPr>
          <w:color w:val="231F20"/>
          <w:spacing w:val="2"/>
        </w:rPr>
        <w:t>los estudiantes </w:t>
      </w:r>
      <w:r>
        <w:rPr>
          <w:color w:val="231F20"/>
        </w:rPr>
        <w:t>de </w:t>
      </w:r>
      <w:r>
        <w:rPr>
          <w:color w:val="231F20"/>
          <w:spacing w:val="2"/>
        </w:rPr>
        <w:t>medicina, </w:t>
      </w:r>
      <w:r>
        <w:rPr>
          <w:color w:val="231F20"/>
          <w:spacing w:val="3"/>
        </w:rPr>
        <w:t>muchos </w:t>
      </w:r>
      <w:r>
        <w:rPr>
          <w:color w:val="231F20"/>
        </w:rPr>
        <w:t>de ellos no </w:t>
      </w:r>
      <w:r>
        <w:rPr>
          <w:color w:val="231F20"/>
          <w:spacing w:val="2"/>
        </w:rPr>
        <w:t>podrán </w:t>
      </w:r>
      <w:r>
        <w:rPr>
          <w:color w:val="231F20"/>
          <w:spacing w:val="3"/>
        </w:rPr>
        <w:t>continuar </w:t>
      </w:r>
      <w:r>
        <w:rPr>
          <w:color w:val="231F20"/>
          <w:spacing w:val="2"/>
        </w:rPr>
        <w:t>con </w:t>
      </w:r>
      <w:r>
        <w:rPr>
          <w:color w:val="231F20"/>
        </w:rPr>
        <w:t>su </w:t>
      </w:r>
      <w:r>
        <w:rPr>
          <w:color w:val="231F20"/>
          <w:spacing w:val="2"/>
        </w:rPr>
        <w:t>periodo </w:t>
      </w:r>
      <w:r>
        <w:rPr>
          <w:color w:val="231F20"/>
        </w:rPr>
        <w:t>de </w:t>
      </w:r>
      <w:r>
        <w:rPr>
          <w:color w:val="231F20"/>
          <w:spacing w:val="2"/>
        </w:rPr>
        <w:t>internado rotatorio, </w:t>
      </w:r>
      <w:r>
        <w:rPr>
          <w:color w:val="231F20"/>
        </w:rPr>
        <w:t>en </w:t>
      </w:r>
      <w:r>
        <w:rPr>
          <w:color w:val="231F20"/>
          <w:spacing w:val="2"/>
        </w:rPr>
        <w:t>tanto </w:t>
      </w:r>
      <w:r>
        <w:rPr>
          <w:color w:val="231F20"/>
        </w:rPr>
        <w:t>no </w:t>
      </w:r>
      <w:r>
        <w:rPr>
          <w:color w:val="231F20"/>
          <w:spacing w:val="3"/>
        </w:rPr>
        <w:t>ha-</w:t>
      </w:r>
      <w:r>
        <w:rPr>
          <w:color w:val="231F20"/>
          <w:spacing w:val="58"/>
        </w:rPr>
        <w:t> </w:t>
      </w:r>
      <w:r>
        <w:rPr>
          <w:color w:val="231F20"/>
        </w:rPr>
        <w:t>yan </w:t>
      </w:r>
      <w:r>
        <w:rPr>
          <w:color w:val="231F20"/>
          <w:spacing w:val="3"/>
        </w:rPr>
        <w:t>aprobado </w:t>
      </w:r>
      <w:r>
        <w:rPr>
          <w:color w:val="231F20"/>
        </w:rPr>
        <w:t>las </w:t>
      </w:r>
      <w:r>
        <w:rPr>
          <w:color w:val="231F20"/>
          <w:spacing w:val="3"/>
        </w:rPr>
        <w:t>unidades </w:t>
      </w:r>
      <w:r>
        <w:rPr>
          <w:color w:val="231F20"/>
        </w:rPr>
        <w:t>de </w:t>
      </w:r>
      <w:r>
        <w:rPr>
          <w:color w:val="231F20"/>
          <w:spacing w:val="2"/>
        </w:rPr>
        <w:t>aprendizaje</w:t>
      </w:r>
      <w:r>
        <w:rPr>
          <w:color w:val="231F20"/>
          <w:spacing w:val="13"/>
        </w:rPr>
        <w:t> </w:t>
      </w:r>
      <w:r>
        <w:rPr>
          <w:color w:val="231F20"/>
          <w:spacing w:val="3"/>
        </w:rPr>
        <w:t>pendientes.</w:t>
      </w:r>
    </w:p>
    <w:p>
      <w:pPr>
        <w:pStyle w:val="BodyText"/>
        <w:spacing w:line="226" w:lineRule="exact"/>
        <w:ind w:left="121" w:firstLine="284"/>
        <w:jc w:val="both"/>
      </w:pPr>
      <w:r>
        <w:rPr>
          <w:color w:val="231F20"/>
        </w:rPr>
        <w:t>En una mirada más detallada, la composición de la matrícula del</w:t>
      </w:r>
    </w:p>
    <w:p>
      <w:pPr>
        <w:pStyle w:val="BodyText"/>
        <w:spacing w:line="247" w:lineRule="auto" w:before="3"/>
        <w:ind w:left="121" w:right="112"/>
        <w:jc w:val="both"/>
      </w:pPr>
      <w:r>
        <w:rPr>
          <w:color w:val="231F20"/>
        </w:rPr>
        <w:t>área de Ciencias de la Salud, considerando al sexo, nos muestra lo siguiente: en todas las carreras, la mujer es mayoría. En el caso de la carrera de Enfermería, la mujer es mayoría de una manera abrumadora con el 83.8%, seguido de Odontología con un 70.5%, Qfb con el 57.3%, y, finalmente, Medicina con el 55.5%.Este fenómeno de la llamada “feminización” de las carreras del área, en particular de medicina, se empezó a advertir desde mediados de la década de los ochenta en la UAN.</w:t>
      </w:r>
    </w:p>
    <w:p>
      <w:pPr>
        <w:pStyle w:val="BodyText"/>
        <w:spacing w:line="247" w:lineRule="auto" w:before="15"/>
        <w:ind w:left="122" w:right="119" w:firstLine="341"/>
        <w:jc w:val="both"/>
      </w:pPr>
      <w:r>
        <w:rPr>
          <w:color w:val="231F20"/>
        </w:rPr>
        <w:t>La distribución de hombres se da de manera irregular, en Me- dicina se encuentra el grupo más importante con el 44.5%, segui- do de Qfb con el 42.7%, Odontología con el 29.5%, y Enfermería con el 16.2%.</w:t>
      </w:r>
    </w:p>
    <w:p>
      <w:pPr>
        <w:pStyle w:val="BodyText"/>
        <w:rPr>
          <w:sz w:val="22"/>
        </w:rPr>
      </w:pPr>
    </w:p>
    <w:p>
      <w:pPr>
        <w:spacing w:before="183"/>
        <w:ind w:left="11" w:right="9" w:firstLine="0"/>
        <w:jc w:val="center"/>
        <w:rPr>
          <w:b/>
          <w:sz w:val="19"/>
        </w:rPr>
      </w:pPr>
      <w:r>
        <w:rPr/>
        <w:drawing>
          <wp:anchor distT="0" distB="0" distL="0" distR="0" allowOverlap="1" layoutInCell="1" locked="0" behindDoc="0" simplePos="0" relativeHeight="1816">
            <wp:simplePos x="0" y="0"/>
            <wp:positionH relativeFrom="page">
              <wp:posOffset>646061</wp:posOffset>
            </wp:positionH>
            <wp:positionV relativeFrom="paragraph">
              <wp:posOffset>276490</wp:posOffset>
            </wp:positionV>
            <wp:extent cx="3618448" cy="1914239"/>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445" cstate="print"/>
                    <a:stretch>
                      <a:fillRect/>
                    </a:stretch>
                  </pic:blipFill>
                  <pic:spPr>
                    <a:xfrm>
                      <a:off x="0" y="0"/>
                      <a:ext cx="3618448" cy="1914239"/>
                    </a:xfrm>
                    <a:prstGeom prst="rect">
                      <a:avLst/>
                    </a:prstGeom>
                  </pic:spPr>
                </pic:pic>
              </a:graphicData>
            </a:graphic>
          </wp:anchor>
        </w:drawing>
      </w:r>
      <w:r>
        <w:rPr>
          <w:b/>
          <w:color w:val="231F20"/>
          <w:sz w:val="19"/>
        </w:rPr>
        <w:t>Gráfica 1</w:t>
      </w:r>
    </w:p>
    <w:p>
      <w:pPr>
        <w:spacing w:after="0"/>
        <w:jc w:val="center"/>
        <w:rPr>
          <w:sz w:val="19"/>
        </w:rPr>
        <w:sectPr>
          <w:headerReference w:type="default" r:id="rId443"/>
          <w:footerReference w:type="default" r:id="rId444"/>
          <w:pgSz w:w="7830" w:h="11910"/>
          <w:pgMar w:header="0" w:footer="424" w:top="500" w:bottom="620" w:left="900" w:right="900"/>
          <w:pgNumType w:start="207"/>
        </w:sectPr>
      </w:pPr>
    </w:p>
    <w:p>
      <w:pPr>
        <w:spacing w:before="48"/>
        <w:ind w:left="596" w:right="121" w:firstLine="0"/>
        <w:jc w:val="left"/>
        <w:rPr>
          <w:rFonts w:ascii="Georgia" w:hAnsi="Georgia"/>
          <w:sz w:val="13"/>
        </w:rPr>
      </w:pPr>
      <w:r>
        <w:rPr>
          <w:rFonts w:ascii="Georgia" w:hAnsi="Georgia"/>
          <w:color w:val="231F20"/>
          <w:sz w:val="16"/>
        </w:rPr>
        <w:t>I</w:t>
      </w:r>
      <w:r>
        <w:rPr>
          <w:rFonts w:ascii="Georgia" w:hAnsi="Georgia"/>
          <w:color w:val="231F20"/>
          <w:sz w:val="13"/>
        </w:rPr>
        <w:t>RMA </w:t>
      </w:r>
      <w:r>
        <w:rPr>
          <w:rFonts w:ascii="Georgia" w:hAnsi="Georgia"/>
          <w:color w:val="231F20"/>
          <w:sz w:val="16"/>
        </w:rPr>
        <w:t>G</w:t>
      </w:r>
      <w:r>
        <w:rPr>
          <w:rFonts w:ascii="Georgia" w:hAnsi="Georgia"/>
          <w:color w:val="231F20"/>
          <w:sz w:val="13"/>
        </w:rPr>
        <w:t>UADALUPE </w:t>
      </w:r>
      <w:r>
        <w:rPr>
          <w:rFonts w:ascii="Georgia" w:hAnsi="Georgia"/>
          <w:color w:val="231F20"/>
          <w:sz w:val="16"/>
        </w:rPr>
        <w:t>G</w:t>
      </w:r>
      <w:r>
        <w:rPr>
          <w:rFonts w:ascii="Georgia" w:hAnsi="Georgia"/>
          <w:color w:val="231F20"/>
          <w:sz w:val="13"/>
        </w:rPr>
        <w:t>ONZÁLEZ </w:t>
      </w:r>
      <w:r>
        <w:rPr>
          <w:rFonts w:ascii="Georgia" w:hAnsi="Georgia"/>
          <w:color w:val="231F20"/>
          <w:sz w:val="16"/>
        </w:rPr>
        <w:t>C</w:t>
      </w:r>
      <w:r>
        <w:rPr>
          <w:rFonts w:ascii="Georgia" w:hAnsi="Georgia"/>
          <w:color w:val="231F20"/>
          <w:sz w:val="13"/>
        </w:rPr>
        <w:t>ORZO Y </w:t>
      </w:r>
      <w:r>
        <w:rPr>
          <w:rFonts w:ascii="Georgia" w:hAnsi="Georgia"/>
          <w:color w:val="231F20"/>
          <w:sz w:val="16"/>
        </w:rPr>
        <w:t>R</w:t>
      </w:r>
      <w:r>
        <w:rPr>
          <w:rFonts w:ascii="Georgia" w:hAnsi="Georgia"/>
          <w:color w:val="231F20"/>
          <w:sz w:val="13"/>
        </w:rPr>
        <w:t>OSA </w:t>
      </w:r>
      <w:r>
        <w:rPr>
          <w:rFonts w:ascii="Georgia" w:hAnsi="Georgia"/>
          <w:color w:val="231F20"/>
          <w:sz w:val="16"/>
        </w:rPr>
        <w:t>M</w:t>
      </w:r>
      <w:r>
        <w:rPr>
          <w:rFonts w:ascii="Georgia" w:hAnsi="Georgia"/>
          <w:color w:val="231F20"/>
          <w:sz w:val="13"/>
        </w:rPr>
        <w:t>ARÍA </w:t>
      </w:r>
      <w:r>
        <w:rPr>
          <w:rFonts w:ascii="Georgia" w:hAnsi="Georgia"/>
          <w:color w:val="231F20"/>
          <w:sz w:val="16"/>
        </w:rPr>
        <w:t>R</w:t>
      </w:r>
      <w:r>
        <w:rPr>
          <w:rFonts w:ascii="Georgia" w:hAnsi="Georgia"/>
          <w:color w:val="231F20"/>
          <w:sz w:val="13"/>
        </w:rPr>
        <w:t>AMÍREZ </w:t>
      </w:r>
      <w:r>
        <w:rPr>
          <w:rFonts w:ascii="Georgia" w:hAnsi="Georgia"/>
          <w:color w:val="231F20"/>
          <w:sz w:val="16"/>
        </w:rPr>
        <w:t>M</w:t>
      </w:r>
      <w:r>
        <w:rPr>
          <w:rFonts w:ascii="Georgia" w:hAnsi="Georgia"/>
          <w:color w:val="231F20"/>
          <w:sz w:val="13"/>
        </w:rPr>
        <w:t>ARTÍNEZ</w:t>
      </w:r>
    </w:p>
    <w:p>
      <w:pPr>
        <w:pStyle w:val="BodyText"/>
        <w:rPr>
          <w:rFonts w:ascii="Georgia"/>
          <w:sz w:val="16"/>
        </w:rPr>
      </w:pPr>
    </w:p>
    <w:p>
      <w:pPr>
        <w:pStyle w:val="BodyText"/>
        <w:rPr>
          <w:rFonts w:ascii="Georgia"/>
          <w:sz w:val="16"/>
        </w:rPr>
      </w:pPr>
    </w:p>
    <w:p>
      <w:pPr>
        <w:spacing w:before="96"/>
        <w:ind w:left="102" w:right="0" w:firstLine="0"/>
        <w:jc w:val="both"/>
        <w:rPr>
          <w:i/>
          <w:sz w:val="21"/>
        </w:rPr>
      </w:pPr>
      <w:r>
        <w:rPr>
          <w:i/>
          <w:color w:val="231F20"/>
          <w:w w:val="85"/>
          <w:sz w:val="21"/>
        </w:rPr>
        <w:t>Convivencia y episodios de maltrato en el aula</w:t>
      </w:r>
    </w:p>
    <w:p>
      <w:pPr>
        <w:pStyle w:val="BodyText"/>
        <w:spacing w:before="10"/>
        <w:rPr>
          <w:i/>
          <w:sz w:val="31"/>
        </w:rPr>
      </w:pPr>
    </w:p>
    <w:p>
      <w:pPr>
        <w:pStyle w:val="BodyText"/>
        <w:spacing w:line="249" w:lineRule="auto"/>
        <w:ind w:left="101" w:right="114"/>
        <w:jc w:val="both"/>
        <w:rPr>
          <w:rFonts w:ascii="Georgia" w:hAnsi="Georgia"/>
        </w:rPr>
      </w:pPr>
      <w:r>
        <w:rPr>
          <w:rFonts w:ascii="Georgia" w:hAnsi="Georgia"/>
          <w:color w:val="231F20"/>
        </w:rPr>
        <w:t>La</w:t>
      </w:r>
      <w:r>
        <w:rPr>
          <w:rFonts w:ascii="Georgia" w:hAnsi="Georgia"/>
          <w:color w:val="231F20"/>
          <w:spacing w:val="-5"/>
        </w:rPr>
        <w:t> </w:t>
      </w:r>
      <w:r>
        <w:rPr>
          <w:rFonts w:ascii="Georgia" w:hAnsi="Georgia"/>
          <w:color w:val="231F20"/>
        </w:rPr>
        <w:t>formación</w:t>
      </w:r>
      <w:r>
        <w:rPr>
          <w:rFonts w:ascii="Georgia" w:hAnsi="Georgia"/>
          <w:color w:val="231F20"/>
          <w:spacing w:val="-5"/>
        </w:rPr>
        <w:t> </w:t>
      </w:r>
      <w:r>
        <w:rPr>
          <w:rFonts w:ascii="Georgia" w:hAnsi="Georgia"/>
          <w:color w:val="231F20"/>
        </w:rPr>
        <w:t>del</w:t>
      </w:r>
      <w:r>
        <w:rPr>
          <w:rFonts w:ascii="Georgia" w:hAnsi="Georgia"/>
          <w:color w:val="231F20"/>
          <w:spacing w:val="-5"/>
        </w:rPr>
        <w:t> </w:t>
      </w:r>
      <w:r>
        <w:rPr>
          <w:rFonts w:ascii="Georgia" w:hAnsi="Georgia"/>
          <w:color w:val="231F20"/>
        </w:rPr>
        <w:t>estudiante</w:t>
      </w:r>
      <w:r>
        <w:rPr>
          <w:rFonts w:ascii="Georgia" w:hAnsi="Georgia"/>
          <w:color w:val="231F20"/>
          <w:spacing w:val="-5"/>
        </w:rPr>
        <w:t> </w:t>
      </w:r>
      <w:r>
        <w:rPr>
          <w:rFonts w:ascii="Georgia" w:hAnsi="Georgia"/>
          <w:color w:val="231F20"/>
        </w:rPr>
        <w:t>del</w:t>
      </w:r>
      <w:r>
        <w:rPr>
          <w:rFonts w:ascii="Georgia" w:hAnsi="Georgia"/>
          <w:color w:val="231F20"/>
          <w:spacing w:val="-6"/>
        </w:rPr>
        <w:t> </w:t>
      </w:r>
      <w:r>
        <w:rPr>
          <w:rFonts w:ascii="Georgia" w:hAnsi="Georgia"/>
          <w:color w:val="231F20"/>
        </w:rPr>
        <w:t>área</w:t>
      </w:r>
      <w:r>
        <w:rPr>
          <w:rFonts w:ascii="Georgia" w:hAnsi="Georgia"/>
          <w:color w:val="231F20"/>
          <w:spacing w:val="-5"/>
        </w:rPr>
        <w:t> </w:t>
      </w:r>
      <w:r>
        <w:rPr>
          <w:rFonts w:ascii="Georgia" w:hAnsi="Georgia"/>
          <w:color w:val="231F20"/>
        </w:rPr>
        <w:t>se</w:t>
      </w:r>
      <w:r>
        <w:rPr>
          <w:rFonts w:ascii="Georgia" w:hAnsi="Georgia"/>
          <w:color w:val="231F20"/>
          <w:spacing w:val="-5"/>
        </w:rPr>
        <w:t> </w:t>
      </w:r>
      <w:r>
        <w:rPr>
          <w:rFonts w:ascii="Georgia" w:hAnsi="Georgia"/>
          <w:color w:val="231F20"/>
        </w:rPr>
        <w:t>lleva</w:t>
      </w:r>
      <w:r>
        <w:rPr>
          <w:rFonts w:ascii="Georgia" w:hAnsi="Georgia"/>
          <w:color w:val="231F20"/>
          <w:spacing w:val="-5"/>
        </w:rPr>
        <w:t> </w:t>
      </w:r>
      <w:r>
        <w:rPr>
          <w:rFonts w:ascii="Georgia" w:hAnsi="Georgia"/>
          <w:color w:val="231F20"/>
        </w:rPr>
        <w:t>la</w:t>
      </w:r>
      <w:r>
        <w:rPr>
          <w:rFonts w:ascii="Georgia" w:hAnsi="Georgia"/>
          <w:color w:val="231F20"/>
          <w:spacing w:val="-4"/>
        </w:rPr>
        <w:t> </w:t>
      </w:r>
      <w:r>
        <w:rPr>
          <w:rFonts w:ascii="Georgia" w:hAnsi="Georgia"/>
          <w:color w:val="231F20"/>
        </w:rPr>
        <w:t>mayor</w:t>
      </w:r>
      <w:r>
        <w:rPr>
          <w:rFonts w:ascii="Georgia" w:hAnsi="Georgia"/>
          <w:color w:val="231F20"/>
          <w:spacing w:val="-5"/>
        </w:rPr>
        <w:t> </w:t>
      </w:r>
      <w:r>
        <w:rPr>
          <w:rFonts w:ascii="Georgia" w:hAnsi="Georgia"/>
          <w:color w:val="231F20"/>
        </w:rPr>
        <w:t>parte</w:t>
      </w:r>
      <w:r>
        <w:rPr>
          <w:rFonts w:ascii="Georgia" w:hAnsi="Georgia"/>
          <w:color w:val="231F20"/>
          <w:spacing w:val="-5"/>
        </w:rPr>
        <w:t> </w:t>
      </w:r>
      <w:r>
        <w:rPr>
          <w:rFonts w:ascii="Georgia" w:hAnsi="Georgia"/>
          <w:color w:val="231F20"/>
        </w:rPr>
        <w:t>del </w:t>
      </w:r>
      <w:r>
        <w:rPr>
          <w:rFonts w:ascii="Georgia" w:hAnsi="Georgia"/>
          <w:color w:val="231F20"/>
          <w:w w:val="95"/>
        </w:rPr>
        <w:t>tiempo en la relación con el docente en los espacios escolares, aun cuando esta formación se combina con actividades en clínica, co- </w:t>
      </w:r>
      <w:r>
        <w:rPr>
          <w:rFonts w:ascii="Georgia" w:hAnsi="Georgia"/>
          <w:color w:val="231F20"/>
        </w:rPr>
        <w:t>munidad</w:t>
      </w:r>
      <w:r>
        <w:rPr>
          <w:rFonts w:ascii="Georgia" w:hAnsi="Georgia"/>
          <w:color w:val="231F20"/>
          <w:spacing w:val="-8"/>
        </w:rPr>
        <w:t> </w:t>
      </w:r>
      <w:r>
        <w:rPr>
          <w:rFonts w:ascii="Georgia" w:hAnsi="Georgia"/>
          <w:color w:val="231F20"/>
        </w:rPr>
        <w:t>y</w:t>
      </w:r>
      <w:r>
        <w:rPr>
          <w:rFonts w:ascii="Georgia" w:hAnsi="Georgia"/>
          <w:color w:val="231F20"/>
          <w:spacing w:val="-8"/>
        </w:rPr>
        <w:t> </w:t>
      </w:r>
      <w:r>
        <w:rPr>
          <w:rFonts w:ascii="Georgia" w:hAnsi="Georgia"/>
          <w:color w:val="231F20"/>
        </w:rPr>
        <w:t>laboratorio.</w:t>
      </w:r>
      <w:r>
        <w:rPr>
          <w:rFonts w:ascii="Georgia" w:hAnsi="Georgia"/>
          <w:color w:val="231F20"/>
          <w:spacing w:val="-9"/>
        </w:rPr>
        <w:t> </w:t>
      </w:r>
      <w:r>
        <w:rPr>
          <w:rFonts w:ascii="Georgia" w:hAnsi="Georgia"/>
          <w:color w:val="231F20"/>
        </w:rPr>
        <w:t>La</w:t>
      </w:r>
      <w:r>
        <w:rPr>
          <w:rFonts w:ascii="Georgia" w:hAnsi="Georgia"/>
          <w:color w:val="231F20"/>
          <w:spacing w:val="-8"/>
        </w:rPr>
        <w:t> </w:t>
      </w:r>
      <w:r>
        <w:rPr>
          <w:rFonts w:ascii="Georgia" w:hAnsi="Georgia"/>
          <w:color w:val="231F20"/>
        </w:rPr>
        <w:t>asignación/formación</w:t>
      </w:r>
      <w:r>
        <w:rPr>
          <w:rFonts w:ascii="Georgia" w:hAnsi="Georgia"/>
          <w:color w:val="231F20"/>
          <w:spacing w:val="-8"/>
        </w:rPr>
        <w:t> </w:t>
      </w:r>
      <w:r>
        <w:rPr>
          <w:rFonts w:ascii="Georgia" w:hAnsi="Georgia"/>
          <w:color w:val="231F20"/>
        </w:rPr>
        <w:t>de</w:t>
      </w:r>
      <w:r>
        <w:rPr>
          <w:rFonts w:ascii="Georgia" w:hAnsi="Georgia"/>
          <w:color w:val="231F20"/>
          <w:spacing w:val="-8"/>
        </w:rPr>
        <w:t> </w:t>
      </w:r>
      <w:r>
        <w:rPr>
          <w:rFonts w:ascii="Georgia" w:hAnsi="Georgia"/>
          <w:color w:val="231F20"/>
        </w:rPr>
        <w:t>equipos</w:t>
      </w:r>
      <w:r>
        <w:rPr>
          <w:rFonts w:ascii="Georgia" w:hAnsi="Georgia"/>
          <w:color w:val="231F20"/>
          <w:spacing w:val="-8"/>
        </w:rPr>
        <w:t> </w:t>
      </w:r>
      <w:r>
        <w:rPr>
          <w:rFonts w:ascii="Georgia" w:hAnsi="Georgia"/>
          <w:color w:val="231F20"/>
        </w:rPr>
        <w:t>de </w:t>
      </w:r>
      <w:r>
        <w:rPr>
          <w:rFonts w:ascii="Georgia" w:hAnsi="Georgia"/>
          <w:color w:val="231F20"/>
          <w:w w:val="95"/>
        </w:rPr>
        <w:t>trabajo,</w:t>
      </w:r>
      <w:r>
        <w:rPr>
          <w:rFonts w:ascii="Georgia" w:hAnsi="Georgia"/>
          <w:color w:val="231F20"/>
          <w:spacing w:val="-18"/>
          <w:w w:val="95"/>
        </w:rPr>
        <w:t> </w:t>
      </w:r>
      <w:r>
        <w:rPr>
          <w:rFonts w:ascii="Georgia" w:hAnsi="Georgia"/>
          <w:color w:val="231F20"/>
          <w:w w:val="95"/>
        </w:rPr>
        <w:t>la</w:t>
      </w:r>
      <w:r>
        <w:rPr>
          <w:rFonts w:ascii="Georgia" w:hAnsi="Georgia"/>
          <w:color w:val="231F20"/>
          <w:spacing w:val="-17"/>
          <w:w w:val="95"/>
        </w:rPr>
        <w:t> </w:t>
      </w:r>
      <w:r>
        <w:rPr>
          <w:rFonts w:ascii="Georgia" w:hAnsi="Georgia"/>
          <w:color w:val="231F20"/>
          <w:w w:val="95"/>
        </w:rPr>
        <w:t>elaboración</w:t>
      </w:r>
      <w:r>
        <w:rPr>
          <w:rFonts w:ascii="Georgia" w:hAnsi="Georgia"/>
          <w:color w:val="231F20"/>
          <w:spacing w:val="-17"/>
          <w:w w:val="95"/>
        </w:rPr>
        <w:t> </w:t>
      </w:r>
      <w:r>
        <w:rPr>
          <w:rFonts w:ascii="Georgia" w:hAnsi="Georgia"/>
          <w:color w:val="231F20"/>
          <w:w w:val="95"/>
        </w:rPr>
        <w:t>de</w:t>
      </w:r>
      <w:r>
        <w:rPr>
          <w:rFonts w:ascii="Georgia" w:hAnsi="Georgia"/>
          <w:color w:val="231F20"/>
          <w:spacing w:val="-17"/>
          <w:w w:val="95"/>
        </w:rPr>
        <w:t> </w:t>
      </w:r>
      <w:r>
        <w:rPr>
          <w:rFonts w:ascii="Georgia" w:hAnsi="Georgia"/>
          <w:color w:val="231F20"/>
          <w:w w:val="95"/>
        </w:rPr>
        <w:t>tareas,</w:t>
      </w:r>
      <w:r>
        <w:rPr>
          <w:rFonts w:ascii="Georgia" w:hAnsi="Georgia"/>
          <w:color w:val="231F20"/>
          <w:spacing w:val="-18"/>
          <w:w w:val="95"/>
        </w:rPr>
        <w:t> </w:t>
      </w:r>
      <w:r>
        <w:rPr>
          <w:rFonts w:ascii="Georgia" w:hAnsi="Georgia"/>
          <w:color w:val="231F20"/>
          <w:w w:val="95"/>
        </w:rPr>
        <w:t>la</w:t>
      </w:r>
      <w:r>
        <w:rPr>
          <w:rFonts w:ascii="Georgia" w:hAnsi="Georgia"/>
          <w:color w:val="231F20"/>
          <w:spacing w:val="-17"/>
          <w:w w:val="95"/>
        </w:rPr>
        <w:t> </w:t>
      </w:r>
      <w:r>
        <w:rPr>
          <w:rFonts w:ascii="Georgia" w:hAnsi="Georgia"/>
          <w:color w:val="231F20"/>
          <w:w w:val="95"/>
        </w:rPr>
        <w:t>presentación</w:t>
      </w:r>
      <w:r>
        <w:rPr>
          <w:rFonts w:ascii="Georgia" w:hAnsi="Georgia"/>
          <w:color w:val="231F20"/>
          <w:spacing w:val="-17"/>
          <w:w w:val="95"/>
        </w:rPr>
        <w:t> </w:t>
      </w:r>
      <w:r>
        <w:rPr>
          <w:rFonts w:ascii="Georgia" w:hAnsi="Georgia"/>
          <w:color w:val="231F20"/>
          <w:w w:val="95"/>
        </w:rPr>
        <w:t>de</w:t>
      </w:r>
      <w:r>
        <w:rPr>
          <w:rFonts w:ascii="Georgia" w:hAnsi="Georgia"/>
          <w:color w:val="231F20"/>
          <w:spacing w:val="-17"/>
          <w:w w:val="95"/>
        </w:rPr>
        <w:t> </w:t>
      </w:r>
      <w:r>
        <w:rPr>
          <w:rFonts w:ascii="Georgia" w:hAnsi="Georgia"/>
          <w:color w:val="231F20"/>
          <w:w w:val="95"/>
        </w:rPr>
        <w:t>temas</w:t>
      </w:r>
      <w:r>
        <w:rPr>
          <w:rFonts w:ascii="Georgia" w:hAnsi="Georgia"/>
          <w:color w:val="231F20"/>
          <w:spacing w:val="-18"/>
          <w:w w:val="95"/>
        </w:rPr>
        <w:t> </w:t>
      </w:r>
      <w:r>
        <w:rPr>
          <w:rFonts w:ascii="Georgia" w:hAnsi="Georgia"/>
          <w:color w:val="231F20"/>
          <w:w w:val="95"/>
        </w:rPr>
        <w:t>y</w:t>
      </w:r>
      <w:r>
        <w:rPr>
          <w:rFonts w:ascii="Georgia" w:hAnsi="Georgia"/>
          <w:color w:val="231F20"/>
          <w:spacing w:val="-17"/>
          <w:w w:val="95"/>
        </w:rPr>
        <w:t> </w:t>
      </w:r>
      <w:r>
        <w:rPr>
          <w:rFonts w:ascii="Georgia" w:hAnsi="Georgia"/>
          <w:color w:val="231F20"/>
          <w:w w:val="95"/>
        </w:rPr>
        <w:t>proyec- tos de investigación, son parte de las actividades que llevan a</w:t>
      </w:r>
      <w:r>
        <w:rPr>
          <w:rFonts w:ascii="Georgia" w:hAnsi="Georgia"/>
          <w:color w:val="231F20"/>
          <w:spacing w:val="-28"/>
          <w:w w:val="95"/>
        </w:rPr>
        <w:t> </w:t>
      </w:r>
      <w:r>
        <w:rPr>
          <w:rFonts w:ascii="Georgia" w:hAnsi="Georgia"/>
          <w:color w:val="231F20"/>
          <w:w w:val="95"/>
        </w:rPr>
        <w:t>cabo </w:t>
      </w:r>
      <w:r>
        <w:rPr>
          <w:rFonts w:ascii="Georgia" w:hAnsi="Georgia"/>
          <w:color w:val="231F20"/>
        </w:rPr>
        <w:t>los</w:t>
      </w:r>
      <w:r>
        <w:rPr>
          <w:rFonts w:ascii="Georgia" w:hAnsi="Georgia"/>
          <w:color w:val="231F20"/>
          <w:spacing w:val="-14"/>
        </w:rPr>
        <w:t> </w:t>
      </w:r>
      <w:r>
        <w:rPr>
          <w:rFonts w:ascii="Georgia" w:hAnsi="Georgia"/>
          <w:color w:val="231F20"/>
        </w:rPr>
        <w:t>estudiantes.</w:t>
      </w:r>
      <w:r>
        <w:rPr>
          <w:rFonts w:ascii="Georgia" w:hAnsi="Georgia"/>
          <w:color w:val="231F20"/>
          <w:spacing w:val="-14"/>
        </w:rPr>
        <w:t> </w:t>
      </w:r>
      <w:r>
        <w:rPr>
          <w:rFonts w:ascii="Georgia" w:hAnsi="Georgia"/>
          <w:color w:val="231F20"/>
        </w:rPr>
        <w:t>Durante</w:t>
      </w:r>
      <w:r>
        <w:rPr>
          <w:rFonts w:ascii="Georgia" w:hAnsi="Georgia"/>
          <w:color w:val="231F20"/>
          <w:spacing w:val="-14"/>
        </w:rPr>
        <w:t> </w:t>
      </w:r>
      <w:r>
        <w:rPr>
          <w:rFonts w:ascii="Georgia" w:hAnsi="Georgia"/>
          <w:color w:val="231F20"/>
        </w:rPr>
        <w:t>ese</w:t>
      </w:r>
      <w:r>
        <w:rPr>
          <w:rFonts w:ascii="Georgia" w:hAnsi="Georgia"/>
          <w:color w:val="231F20"/>
          <w:spacing w:val="-14"/>
        </w:rPr>
        <w:t> </w:t>
      </w:r>
      <w:r>
        <w:rPr>
          <w:rFonts w:ascii="Georgia" w:hAnsi="Georgia"/>
          <w:color w:val="231F20"/>
        </w:rPr>
        <w:t>tiempo,</w:t>
      </w:r>
      <w:r>
        <w:rPr>
          <w:rFonts w:ascii="Georgia" w:hAnsi="Georgia"/>
          <w:color w:val="231F20"/>
          <w:spacing w:val="-14"/>
        </w:rPr>
        <w:t> </w:t>
      </w:r>
      <w:r>
        <w:rPr>
          <w:rFonts w:ascii="Georgia" w:hAnsi="Georgia"/>
          <w:color w:val="231F20"/>
        </w:rPr>
        <w:t>la</w:t>
      </w:r>
      <w:r>
        <w:rPr>
          <w:rFonts w:ascii="Georgia" w:hAnsi="Georgia"/>
          <w:color w:val="231F20"/>
          <w:spacing w:val="-14"/>
        </w:rPr>
        <w:t> </w:t>
      </w:r>
      <w:r>
        <w:rPr>
          <w:rFonts w:ascii="Georgia" w:hAnsi="Georgia"/>
          <w:color w:val="231F20"/>
        </w:rPr>
        <w:t>relación</w:t>
      </w:r>
      <w:r>
        <w:rPr>
          <w:rFonts w:ascii="Georgia" w:hAnsi="Georgia"/>
          <w:color w:val="231F20"/>
          <w:spacing w:val="-14"/>
        </w:rPr>
        <w:t> </w:t>
      </w:r>
      <w:r>
        <w:rPr>
          <w:rFonts w:ascii="Georgia" w:hAnsi="Georgia"/>
          <w:color w:val="231F20"/>
        </w:rPr>
        <w:t>que</w:t>
      </w:r>
      <w:r>
        <w:rPr>
          <w:rFonts w:ascii="Georgia" w:hAnsi="Georgia"/>
          <w:color w:val="231F20"/>
          <w:spacing w:val="-14"/>
        </w:rPr>
        <w:t> </w:t>
      </w:r>
      <w:r>
        <w:rPr>
          <w:rFonts w:ascii="Georgia" w:hAnsi="Georgia"/>
          <w:color w:val="231F20"/>
        </w:rPr>
        <w:t>se</w:t>
      </w:r>
      <w:r>
        <w:rPr>
          <w:rFonts w:ascii="Georgia" w:hAnsi="Georgia"/>
          <w:color w:val="231F20"/>
          <w:spacing w:val="-14"/>
        </w:rPr>
        <w:t> </w:t>
      </w:r>
      <w:r>
        <w:rPr>
          <w:rFonts w:ascii="Georgia" w:hAnsi="Georgia"/>
          <w:color w:val="231F20"/>
        </w:rPr>
        <w:t>establece </w:t>
      </w:r>
      <w:r>
        <w:rPr>
          <w:rFonts w:ascii="Georgia" w:hAnsi="Georgia"/>
          <w:color w:val="231F20"/>
          <w:w w:val="95"/>
        </w:rPr>
        <w:t>muestra</w:t>
      </w:r>
      <w:r>
        <w:rPr>
          <w:rFonts w:ascii="Georgia" w:hAnsi="Georgia"/>
          <w:color w:val="231F20"/>
          <w:spacing w:val="-19"/>
          <w:w w:val="95"/>
        </w:rPr>
        <w:t> </w:t>
      </w:r>
      <w:r>
        <w:rPr>
          <w:rFonts w:ascii="Georgia" w:hAnsi="Georgia"/>
          <w:color w:val="231F20"/>
          <w:w w:val="95"/>
        </w:rPr>
        <w:t>una</w:t>
      </w:r>
      <w:r>
        <w:rPr>
          <w:rFonts w:ascii="Georgia" w:hAnsi="Georgia"/>
          <w:color w:val="231F20"/>
          <w:spacing w:val="-19"/>
          <w:w w:val="95"/>
        </w:rPr>
        <w:t> </w:t>
      </w:r>
      <w:r>
        <w:rPr>
          <w:rFonts w:ascii="Georgia" w:hAnsi="Georgia"/>
          <w:color w:val="231F20"/>
          <w:w w:val="95"/>
        </w:rPr>
        <w:t>diversidad</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aristas,</w:t>
      </w:r>
      <w:r>
        <w:rPr>
          <w:rFonts w:ascii="Georgia" w:hAnsi="Georgia"/>
          <w:color w:val="231F20"/>
          <w:spacing w:val="-19"/>
          <w:w w:val="95"/>
        </w:rPr>
        <w:t> </w:t>
      </w:r>
      <w:r>
        <w:rPr>
          <w:rFonts w:ascii="Georgia" w:hAnsi="Georgia"/>
          <w:color w:val="231F20"/>
          <w:w w:val="95"/>
        </w:rPr>
        <w:t>las</w:t>
      </w:r>
      <w:r>
        <w:rPr>
          <w:rFonts w:ascii="Georgia" w:hAnsi="Georgia"/>
          <w:color w:val="231F20"/>
          <w:spacing w:val="-19"/>
          <w:w w:val="95"/>
        </w:rPr>
        <w:t> </w:t>
      </w:r>
      <w:r>
        <w:rPr>
          <w:rFonts w:ascii="Georgia" w:hAnsi="Georgia"/>
          <w:color w:val="231F20"/>
          <w:w w:val="95"/>
        </w:rPr>
        <w:t>cuales</w:t>
      </w:r>
      <w:r>
        <w:rPr>
          <w:rFonts w:ascii="Georgia" w:hAnsi="Georgia"/>
          <w:color w:val="231F20"/>
          <w:spacing w:val="-19"/>
          <w:w w:val="95"/>
        </w:rPr>
        <w:t> </w:t>
      </w:r>
      <w:r>
        <w:rPr>
          <w:rFonts w:ascii="Georgia" w:hAnsi="Georgia"/>
          <w:color w:val="231F20"/>
          <w:w w:val="95"/>
        </w:rPr>
        <w:t>van</w:t>
      </w:r>
      <w:r>
        <w:rPr>
          <w:rFonts w:ascii="Georgia" w:hAnsi="Georgia"/>
          <w:color w:val="231F20"/>
          <w:spacing w:val="-19"/>
          <w:w w:val="95"/>
        </w:rPr>
        <w:t> </w:t>
      </w:r>
      <w:r>
        <w:rPr>
          <w:rFonts w:ascii="Georgia" w:hAnsi="Georgia"/>
          <w:color w:val="231F20"/>
          <w:w w:val="95"/>
        </w:rPr>
        <w:t>desde</w:t>
      </w:r>
      <w:r>
        <w:rPr>
          <w:rFonts w:ascii="Georgia" w:hAnsi="Georgia"/>
          <w:color w:val="231F20"/>
          <w:spacing w:val="-19"/>
          <w:w w:val="95"/>
        </w:rPr>
        <w:t> </w:t>
      </w:r>
      <w:r>
        <w:rPr>
          <w:rFonts w:ascii="Georgia" w:hAnsi="Georgia"/>
          <w:color w:val="231F20"/>
          <w:w w:val="95"/>
        </w:rPr>
        <w:t>una</w:t>
      </w:r>
      <w:r>
        <w:rPr>
          <w:rFonts w:ascii="Georgia" w:hAnsi="Georgia"/>
          <w:color w:val="231F20"/>
          <w:spacing w:val="-19"/>
          <w:w w:val="95"/>
        </w:rPr>
        <w:t> </w:t>
      </w:r>
      <w:r>
        <w:rPr>
          <w:rFonts w:ascii="Georgia" w:hAnsi="Georgia"/>
          <w:color w:val="231F20"/>
          <w:w w:val="95"/>
        </w:rPr>
        <w:t>amistad entrañable hasta un rechazo absoluto. Para ello, en las siguientes gráficas</w:t>
      </w:r>
      <w:r>
        <w:rPr>
          <w:rFonts w:ascii="Georgia" w:hAnsi="Georgia"/>
          <w:color w:val="231F20"/>
          <w:spacing w:val="-8"/>
          <w:w w:val="95"/>
        </w:rPr>
        <w:t> </w:t>
      </w:r>
      <w:r>
        <w:rPr>
          <w:rFonts w:ascii="Georgia" w:hAnsi="Georgia"/>
          <w:color w:val="231F20"/>
          <w:w w:val="95"/>
        </w:rPr>
        <w:t>mostramos</w:t>
      </w:r>
      <w:r>
        <w:rPr>
          <w:rFonts w:ascii="Georgia" w:hAnsi="Georgia"/>
          <w:color w:val="231F20"/>
          <w:spacing w:val="-8"/>
          <w:w w:val="95"/>
        </w:rPr>
        <w:t> </w:t>
      </w:r>
      <w:r>
        <w:rPr>
          <w:rFonts w:ascii="Georgia" w:hAnsi="Georgia"/>
          <w:color w:val="231F20"/>
          <w:w w:val="95"/>
        </w:rPr>
        <w:t>algunos</w:t>
      </w:r>
      <w:r>
        <w:rPr>
          <w:rFonts w:ascii="Georgia" w:hAnsi="Georgia"/>
          <w:color w:val="231F20"/>
          <w:spacing w:val="-8"/>
          <w:w w:val="95"/>
        </w:rPr>
        <w:t> </w:t>
      </w:r>
      <w:r>
        <w:rPr>
          <w:rFonts w:ascii="Georgia" w:hAnsi="Georgia"/>
          <w:color w:val="231F20"/>
          <w:w w:val="95"/>
        </w:rPr>
        <w:t>de</w:t>
      </w:r>
      <w:r>
        <w:rPr>
          <w:rFonts w:ascii="Georgia" w:hAnsi="Georgia"/>
          <w:color w:val="231F20"/>
          <w:spacing w:val="-8"/>
          <w:w w:val="95"/>
        </w:rPr>
        <w:t> </w:t>
      </w:r>
      <w:r>
        <w:rPr>
          <w:rFonts w:ascii="Georgia" w:hAnsi="Georgia"/>
          <w:color w:val="231F20"/>
          <w:w w:val="95"/>
        </w:rPr>
        <w:t>los</w:t>
      </w:r>
      <w:r>
        <w:rPr>
          <w:rFonts w:ascii="Georgia" w:hAnsi="Georgia"/>
          <w:color w:val="231F20"/>
          <w:spacing w:val="-8"/>
          <w:w w:val="95"/>
        </w:rPr>
        <w:t> </w:t>
      </w:r>
      <w:r>
        <w:rPr>
          <w:rFonts w:ascii="Georgia" w:hAnsi="Georgia"/>
          <w:color w:val="231F20"/>
          <w:w w:val="95"/>
        </w:rPr>
        <w:t>aspectos</w:t>
      </w:r>
      <w:r>
        <w:rPr>
          <w:rFonts w:ascii="Georgia" w:hAnsi="Georgia"/>
          <w:color w:val="231F20"/>
          <w:spacing w:val="-8"/>
          <w:w w:val="95"/>
        </w:rPr>
        <w:t> </w:t>
      </w:r>
      <w:r>
        <w:rPr>
          <w:rFonts w:ascii="Georgia" w:hAnsi="Georgia"/>
          <w:color w:val="231F20"/>
          <w:w w:val="95"/>
        </w:rPr>
        <w:t>de</w:t>
      </w:r>
      <w:r>
        <w:rPr>
          <w:rFonts w:ascii="Georgia" w:hAnsi="Georgia"/>
          <w:color w:val="231F20"/>
          <w:spacing w:val="-8"/>
          <w:w w:val="95"/>
        </w:rPr>
        <w:t> </w:t>
      </w:r>
      <w:r>
        <w:rPr>
          <w:rFonts w:ascii="Georgia" w:hAnsi="Georgia"/>
          <w:color w:val="231F20"/>
          <w:w w:val="95"/>
        </w:rPr>
        <w:t>la</w:t>
      </w:r>
      <w:r>
        <w:rPr>
          <w:rFonts w:ascii="Georgia" w:hAnsi="Georgia"/>
          <w:color w:val="231F20"/>
          <w:spacing w:val="-8"/>
          <w:w w:val="95"/>
        </w:rPr>
        <w:t> </w:t>
      </w:r>
      <w:r>
        <w:rPr>
          <w:rFonts w:ascii="Georgia" w:hAnsi="Georgia"/>
          <w:color w:val="231F20"/>
          <w:w w:val="95"/>
        </w:rPr>
        <w:t>relación,</w:t>
      </w:r>
      <w:r>
        <w:rPr>
          <w:rFonts w:ascii="Georgia" w:hAnsi="Georgia"/>
          <w:color w:val="231F20"/>
          <w:spacing w:val="-9"/>
          <w:w w:val="95"/>
        </w:rPr>
        <w:t> </w:t>
      </w:r>
      <w:r>
        <w:rPr>
          <w:rFonts w:ascii="Georgia" w:hAnsi="Georgia"/>
          <w:color w:val="231F20"/>
          <w:w w:val="95"/>
        </w:rPr>
        <w:t>y</w:t>
      </w:r>
      <w:r>
        <w:rPr>
          <w:rFonts w:ascii="Georgia" w:hAnsi="Georgia"/>
          <w:color w:val="231F20"/>
          <w:spacing w:val="-8"/>
          <w:w w:val="95"/>
        </w:rPr>
        <w:t> </w:t>
      </w:r>
      <w:r>
        <w:rPr>
          <w:rFonts w:ascii="Georgia" w:hAnsi="Georgia"/>
          <w:color w:val="231F20"/>
          <w:w w:val="95"/>
        </w:rPr>
        <w:t>la</w:t>
      </w:r>
      <w:r>
        <w:rPr>
          <w:rFonts w:ascii="Georgia" w:hAnsi="Georgia"/>
          <w:color w:val="231F20"/>
          <w:spacing w:val="-8"/>
          <w:w w:val="95"/>
        </w:rPr>
        <w:t> </w:t>
      </w:r>
      <w:r>
        <w:rPr>
          <w:rFonts w:ascii="Georgia" w:hAnsi="Georgia"/>
          <w:color w:val="231F20"/>
          <w:w w:val="95"/>
        </w:rPr>
        <w:t>per- cepción</w:t>
      </w:r>
      <w:r>
        <w:rPr>
          <w:rFonts w:ascii="Georgia" w:hAnsi="Georgia"/>
          <w:color w:val="231F20"/>
          <w:spacing w:val="-11"/>
          <w:w w:val="95"/>
        </w:rPr>
        <w:t> </w:t>
      </w:r>
      <w:r>
        <w:rPr>
          <w:rFonts w:ascii="Georgia" w:hAnsi="Georgia"/>
          <w:color w:val="231F20"/>
          <w:w w:val="95"/>
        </w:rPr>
        <w:t>que</w:t>
      </w:r>
      <w:r>
        <w:rPr>
          <w:rFonts w:ascii="Georgia" w:hAnsi="Georgia"/>
          <w:color w:val="231F20"/>
          <w:spacing w:val="-11"/>
          <w:w w:val="95"/>
        </w:rPr>
        <w:t> </w:t>
      </w:r>
      <w:r>
        <w:rPr>
          <w:rFonts w:ascii="Georgia" w:hAnsi="Georgia"/>
          <w:color w:val="231F20"/>
          <w:w w:val="95"/>
        </w:rPr>
        <w:t>tienen</w:t>
      </w:r>
      <w:r>
        <w:rPr>
          <w:rFonts w:ascii="Georgia" w:hAnsi="Georgia"/>
          <w:color w:val="231F20"/>
          <w:spacing w:val="-11"/>
          <w:w w:val="95"/>
        </w:rPr>
        <w:t> </w:t>
      </w:r>
      <w:r>
        <w:rPr>
          <w:rFonts w:ascii="Georgia" w:hAnsi="Georgia"/>
          <w:color w:val="231F20"/>
          <w:w w:val="95"/>
        </w:rPr>
        <w:t>los</w:t>
      </w:r>
      <w:r>
        <w:rPr>
          <w:rFonts w:ascii="Georgia" w:hAnsi="Georgia"/>
          <w:color w:val="231F20"/>
          <w:spacing w:val="-11"/>
          <w:w w:val="95"/>
        </w:rPr>
        <w:t> </w:t>
      </w:r>
      <w:r>
        <w:rPr>
          <w:rFonts w:ascii="Georgia" w:hAnsi="Georgia"/>
          <w:color w:val="231F20"/>
          <w:w w:val="95"/>
        </w:rPr>
        <w:t>estudiantes</w:t>
      </w:r>
      <w:r>
        <w:rPr>
          <w:rFonts w:ascii="Georgia" w:hAnsi="Georgia"/>
          <w:color w:val="231F20"/>
          <w:spacing w:val="-11"/>
          <w:w w:val="95"/>
        </w:rPr>
        <w:t> </w:t>
      </w:r>
      <w:r>
        <w:rPr>
          <w:rFonts w:ascii="Georgia" w:hAnsi="Georgia"/>
          <w:color w:val="231F20"/>
          <w:w w:val="95"/>
        </w:rPr>
        <w:t>al</w:t>
      </w:r>
      <w:r>
        <w:rPr>
          <w:rFonts w:ascii="Georgia" w:hAnsi="Georgia"/>
          <w:color w:val="231F20"/>
          <w:spacing w:val="-11"/>
          <w:w w:val="95"/>
        </w:rPr>
        <w:t> </w:t>
      </w:r>
      <w:r>
        <w:rPr>
          <w:rFonts w:ascii="Georgia" w:hAnsi="Georgia"/>
          <w:color w:val="231F20"/>
          <w:w w:val="95"/>
        </w:rPr>
        <w:t>respecto.</w:t>
      </w:r>
      <w:r>
        <w:rPr>
          <w:rFonts w:ascii="Georgia" w:hAnsi="Georgia"/>
          <w:color w:val="231F20"/>
          <w:spacing w:val="-11"/>
          <w:w w:val="95"/>
        </w:rPr>
        <w:t> </w:t>
      </w:r>
      <w:r>
        <w:rPr>
          <w:rFonts w:ascii="Georgia" w:hAnsi="Georgia"/>
          <w:color w:val="231F20"/>
          <w:w w:val="95"/>
        </w:rPr>
        <w:t>En</w:t>
      </w:r>
      <w:r>
        <w:rPr>
          <w:rFonts w:ascii="Georgia" w:hAnsi="Georgia"/>
          <w:color w:val="231F20"/>
          <w:spacing w:val="-11"/>
          <w:w w:val="95"/>
        </w:rPr>
        <w:t> </w:t>
      </w:r>
      <w:r>
        <w:rPr>
          <w:rFonts w:ascii="Georgia" w:hAnsi="Georgia"/>
          <w:color w:val="231F20"/>
          <w:w w:val="95"/>
        </w:rPr>
        <w:t>la</w:t>
      </w:r>
      <w:r>
        <w:rPr>
          <w:rFonts w:ascii="Georgia" w:hAnsi="Georgia"/>
          <w:color w:val="231F20"/>
          <w:spacing w:val="-11"/>
          <w:w w:val="95"/>
        </w:rPr>
        <w:t> </w:t>
      </w:r>
      <w:r>
        <w:rPr>
          <w:rFonts w:ascii="Georgia" w:hAnsi="Georgia"/>
          <w:color w:val="231F20"/>
          <w:w w:val="95"/>
        </w:rPr>
        <w:t>gráfica</w:t>
      </w:r>
      <w:r>
        <w:rPr>
          <w:rFonts w:ascii="Georgia" w:hAnsi="Georgia"/>
          <w:color w:val="231F20"/>
          <w:spacing w:val="-11"/>
          <w:w w:val="95"/>
        </w:rPr>
        <w:t> </w:t>
      </w:r>
      <w:r>
        <w:rPr>
          <w:rFonts w:ascii="Georgia" w:hAnsi="Georgia"/>
          <w:color w:val="231F20"/>
          <w:w w:val="95"/>
        </w:rPr>
        <w:t>2</w:t>
      </w:r>
      <w:r>
        <w:rPr>
          <w:rFonts w:ascii="Georgia" w:hAnsi="Georgia"/>
          <w:color w:val="231F20"/>
          <w:spacing w:val="-11"/>
          <w:w w:val="95"/>
        </w:rPr>
        <w:t> </w:t>
      </w:r>
      <w:r>
        <w:rPr>
          <w:rFonts w:ascii="Georgia" w:hAnsi="Georgia"/>
          <w:color w:val="231F20"/>
          <w:w w:val="95"/>
        </w:rPr>
        <w:t>abor- damos</w:t>
      </w:r>
      <w:r>
        <w:rPr>
          <w:rFonts w:ascii="Georgia" w:hAnsi="Georgia"/>
          <w:color w:val="231F20"/>
          <w:spacing w:val="-5"/>
          <w:w w:val="95"/>
        </w:rPr>
        <w:t> </w:t>
      </w:r>
      <w:r>
        <w:rPr>
          <w:rFonts w:ascii="Georgia" w:hAnsi="Georgia"/>
          <w:color w:val="231F20"/>
          <w:w w:val="95"/>
        </w:rPr>
        <w:t>los</w:t>
      </w:r>
      <w:r>
        <w:rPr>
          <w:rFonts w:ascii="Georgia" w:hAnsi="Georgia"/>
          <w:color w:val="231F20"/>
          <w:spacing w:val="-5"/>
          <w:w w:val="95"/>
        </w:rPr>
        <w:t> </w:t>
      </w:r>
      <w:r>
        <w:rPr>
          <w:rFonts w:ascii="Georgia" w:hAnsi="Georgia"/>
          <w:color w:val="231F20"/>
          <w:w w:val="95"/>
        </w:rPr>
        <w:t>siete</w:t>
      </w:r>
      <w:r>
        <w:rPr>
          <w:rFonts w:ascii="Georgia" w:hAnsi="Georgia"/>
          <w:color w:val="231F20"/>
          <w:spacing w:val="-5"/>
          <w:w w:val="95"/>
        </w:rPr>
        <w:t> </w:t>
      </w:r>
      <w:r>
        <w:rPr>
          <w:rFonts w:ascii="Georgia" w:hAnsi="Georgia"/>
          <w:color w:val="231F20"/>
          <w:w w:val="95"/>
        </w:rPr>
        <w:t>aspectos</w:t>
      </w:r>
      <w:r>
        <w:rPr>
          <w:rFonts w:ascii="Georgia" w:hAnsi="Georgia"/>
          <w:color w:val="231F20"/>
          <w:spacing w:val="-5"/>
          <w:w w:val="95"/>
        </w:rPr>
        <w:t> </w:t>
      </w:r>
      <w:r>
        <w:rPr>
          <w:rFonts w:ascii="Georgia" w:hAnsi="Georgia"/>
          <w:color w:val="231F20"/>
          <w:w w:val="95"/>
        </w:rPr>
        <w:t>que</w:t>
      </w:r>
      <w:r>
        <w:rPr>
          <w:rFonts w:ascii="Georgia" w:hAnsi="Georgia"/>
          <w:color w:val="231F20"/>
          <w:spacing w:val="-5"/>
          <w:w w:val="95"/>
        </w:rPr>
        <w:t> </w:t>
      </w:r>
      <w:r>
        <w:rPr>
          <w:rFonts w:ascii="Georgia" w:hAnsi="Georgia"/>
          <w:color w:val="231F20"/>
          <w:w w:val="95"/>
        </w:rPr>
        <w:t>respecto</w:t>
      </w:r>
      <w:r>
        <w:rPr>
          <w:rFonts w:ascii="Georgia" w:hAnsi="Georgia"/>
          <w:color w:val="231F20"/>
          <w:spacing w:val="-5"/>
          <w:w w:val="95"/>
        </w:rPr>
        <w:t> </w:t>
      </w:r>
      <w:r>
        <w:rPr>
          <w:rFonts w:ascii="Georgia" w:hAnsi="Georgia"/>
          <w:color w:val="231F20"/>
          <w:w w:val="95"/>
        </w:rPr>
        <w:t>del</w:t>
      </w:r>
      <w:r>
        <w:rPr>
          <w:rFonts w:ascii="Georgia" w:hAnsi="Georgia"/>
          <w:color w:val="231F20"/>
          <w:spacing w:val="-5"/>
          <w:w w:val="95"/>
        </w:rPr>
        <w:t> </w:t>
      </w:r>
      <w:r>
        <w:rPr>
          <w:rFonts w:ascii="Georgia" w:hAnsi="Georgia"/>
          <w:color w:val="231F20"/>
          <w:w w:val="95"/>
        </w:rPr>
        <w:t>actuar</w:t>
      </w:r>
      <w:r>
        <w:rPr>
          <w:rFonts w:ascii="Georgia" w:hAnsi="Georgia"/>
          <w:color w:val="231F20"/>
          <w:spacing w:val="-5"/>
          <w:w w:val="95"/>
        </w:rPr>
        <w:t> </w:t>
      </w:r>
      <w:r>
        <w:rPr>
          <w:rFonts w:ascii="Georgia" w:hAnsi="Georgia"/>
          <w:color w:val="231F20"/>
          <w:w w:val="95"/>
        </w:rPr>
        <w:t>docente,</w:t>
      </w:r>
      <w:r>
        <w:rPr>
          <w:rFonts w:ascii="Georgia" w:hAnsi="Georgia"/>
          <w:color w:val="231F20"/>
          <w:spacing w:val="-5"/>
          <w:w w:val="95"/>
        </w:rPr>
        <w:t> </w:t>
      </w:r>
      <w:r>
        <w:rPr>
          <w:rFonts w:ascii="Georgia" w:hAnsi="Georgia"/>
          <w:color w:val="231F20"/>
          <w:w w:val="95"/>
        </w:rPr>
        <w:t>conside- </w:t>
      </w:r>
      <w:r>
        <w:rPr>
          <w:rFonts w:ascii="Georgia" w:hAnsi="Georgia"/>
          <w:color w:val="231F20"/>
        </w:rPr>
        <w:t>ramos</w:t>
      </w:r>
      <w:r>
        <w:rPr>
          <w:rFonts w:ascii="Georgia" w:hAnsi="Georgia"/>
          <w:color w:val="231F20"/>
          <w:spacing w:val="-8"/>
        </w:rPr>
        <w:t> </w:t>
      </w:r>
      <w:r>
        <w:rPr>
          <w:rFonts w:ascii="Georgia" w:hAnsi="Georgia"/>
          <w:color w:val="231F20"/>
        </w:rPr>
        <w:t>son</w:t>
      </w:r>
      <w:r>
        <w:rPr>
          <w:rFonts w:ascii="Georgia" w:hAnsi="Georgia"/>
          <w:color w:val="231F20"/>
          <w:spacing w:val="-8"/>
        </w:rPr>
        <w:t> </w:t>
      </w:r>
      <w:r>
        <w:rPr>
          <w:rFonts w:ascii="Georgia" w:hAnsi="Georgia"/>
          <w:color w:val="231F20"/>
        </w:rPr>
        <w:t>los</w:t>
      </w:r>
      <w:r>
        <w:rPr>
          <w:rFonts w:ascii="Georgia" w:hAnsi="Georgia"/>
          <w:color w:val="231F20"/>
          <w:spacing w:val="-8"/>
        </w:rPr>
        <w:t> </w:t>
      </w:r>
      <w:r>
        <w:rPr>
          <w:rFonts w:ascii="Georgia" w:hAnsi="Georgia"/>
          <w:color w:val="231F20"/>
        </w:rPr>
        <w:t>que</w:t>
      </w:r>
      <w:r>
        <w:rPr>
          <w:rFonts w:ascii="Georgia" w:hAnsi="Georgia"/>
          <w:color w:val="231F20"/>
          <w:spacing w:val="-8"/>
        </w:rPr>
        <w:t> </w:t>
      </w:r>
      <w:r>
        <w:rPr>
          <w:rFonts w:ascii="Georgia" w:hAnsi="Georgia"/>
          <w:color w:val="231F20"/>
        </w:rPr>
        <w:t>de</w:t>
      </w:r>
      <w:r>
        <w:rPr>
          <w:rFonts w:ascii="Georgia" w:hAnsi="Georgia"/>
          <w:color w:val="231F20"/>
          <w:spacing w:val="-8"/>
        </w:rPr>
        <w:t> </w:t>
      </w:r>
      <w:r>
        <w:rPr>
          <w:rFonts w:ascii="Georgia" w:hAnsi="Georgia"/>
          <w:color w:val="231F20"/>
        </w:rPr>
        <w:t>manera</w:t>
      </w:r>
      <w:r>
        <w:rPr>
          <w:rFonts w:ascii="Georgia" w:hAnsi="Georgia"/>
          <w:color w:val="231F20"/>
          <w:spacing w:val="-8"/>
        </w:rPr>
        <w:t> </w:t>
      </w:r>
      <w:r>
        <w:rPr>
          <w:rFonts w:ascii="Georgia" w:hAnsi="Georgia"/>
          <w:color w:val="231F20"/>
        </w:rPr>
        <w:t>cotidiana</w:t>
      </w:r>
      <w:r>
        <w:rPr>
          <w:rFonts w:ascii="Georgia" w:hAnsi="Georgia"/>
          <w:color w:val="231F20"/>
          <w:spacing w:val="-8"/>
        </w:rPr>
        <w:t> </w:t>
      </w:r>
      <w:r>
        <w:rPr>
          <w:rFonts w:ascii="Georgia" w:hAnsi="Georgia"/>
          <w:color w:val="231F20"/>
        </w:rPr>
        <w:t>se</w:t>
      </w:r>
      <w:r>
        <w:rPr>
          <w:rFonts w:ascii="Georgia" w:hAnsi="Georgia"/>
          <w:color w:val="231F20"/>
          <w:spacing w:val="-8"/>
        </w:rPr>
        <w:t> </w:t>
      </w:r>
      <w:r>
        <w:rPr>
          <w:rFonts w:ascii="Georgia" w:hAnsi="Georgia"/>
          <w:color w:val="231F20"/>
        </w:rPr>
        <w:t>presentan</w:t>
      </w:r>
      <w:r>
        <w:rPr>
          <w:rFonts w:ascii="Georgia" w:hAnsi="Georgia"/>
          <w:color w:val="231F20"/>
          <w:spacing w:val="-8"/>
        </w:rPr>
        <w:t> </w:t>
      </w:r>
      <w:r>
        <w:rPr>
          <w:rFonts w:ascii="Georgia" w:hAnsi="Georgia"/>
          <w:color w:val="231F20"/>
        </w:rPr>
        <w:t>con</w:t>
      </w:r>
      <w:r>
        <w:rPr>
          <w:rFonts w:ascii="Georgia" w:hAnsi="Georgia"/>
          <w:color w:val="231F20"/>
          <w:spacing w:val="-8"/>
        </w:rPr>
        <w:t> </w:t>
      </w:r>
      <w:r>
        <w:rPr>
          <w:rFonts w:ascii="Georgia" w:hAnsi="Georgia"/>
          <w:color w:val="231F20"/>
        </w:rPr>
        <w:t>mayor </w:t>
      </w:r>
      <w:r>
        <w:rPr>
          <w:rFonts w:ascii="Georgia" w:hAnsi="Georgia"/>
          <w:color w:val="231F20"/>
          <w:w w:val="95"/>
        </w:rPr>
        <w:t>frecuencia.</w:t>
      </w:r>
      <w:r>
        <w:rPr>
          <w:rFonts w:ascii="Georgia" w:hAnsi="Georgia"/>
          <w:color w:val="231F20"/>
          <w:spacing w:val="-10"/>
          <w:w w:val="95"/>
        </w:rPr>
        <w:t> </w:t>
      </w:r>
      <w:r>
        <w:rPr>
          <w:rFonts w:ascii="Georgia" w:hAnsi="Georgia"/>
          <w:color w:val="231F20"/>
          <w:w w:val="95"/>
        </w:rPr>
        <w:t>Lo</w:t>
      </w:r>
      <w:r>
        <w:rPr>
          <w:rFonts w:ascii="Georgia" w:hAnsi="Georgia"/>
          <w:color w:val="231F20"/>
          <w:spacing w:val="-8"/>
          <w:w w:val="95"/>
        </w:rPr>
        <w:t> </w:t>
      </w:r>
      <w:r>
        <w:rPr>
          <w:rFonts w:ascii="Georgia" w:hAnsi="Georgia"/>
          <w:color w:val="231F20"/>
          <w:w w:val="95"/>
        </w:rPr>
        <w:t>primero</w:t>
      </w:r>
      <w:r>
        <w:rPr>
          <w:rFonts w:ascii="Georgia" w:hAnsi="Georgia"/>
          <w:color w:val="231F20"/>
          <w:spacing w:val="-8"/>
          <w:w w:val="95"/>
        </w:rPr>
        <w:t> </w:t>
      </w:r>
      <w:r>
        <w:rPr>
          <w:rFonts w:ascii="Georgia" w:hAnsi="Georgia"/>
          <w:color w:val="231F20"/>
          <w:w w:val="95"/>
        </w:rPr>
        <w:t>que</w:t>
      </w:r>
      <w:r>
        <w:rPr>
          <w:rFonts w:ascii="Georgia" w:hAnsi="Georgia"/>
          <w:color w:val="231F20"/>
          <w:spacing w:val="-9"/>
          <w:w w:val="95"/>
        </w:rPr>
        <w:t> </w:t>
      </w:r>
      <w:r>
        <w:rPr>
          <w:rFonts w:ascii="Georgia" w:hAnsi="Georgia"/>
          <w:color w:val="231F20"/>
          <w:w w:val="95"/>
        </w:rPr>
        <w:t>llama</w:t>
      </w:r>
      <w:r>
        <w:rPr>
          <w:rFonts w:ascii="Georgia" w:hAnsi="Georgia"/>
          <w:color w:val="231F20"/>
          <w:spacing w:val="-9"/>
          <w:w w:val="95"/>
        </w:rPr>
        <w:t> </w:t>
      </w:r>
      <w:r>
        <w:rPr>
          <w:rFonts w:ascii="Georgia" w:hAnsi="Georgia"/>
          <w:color w:val="231F20"/>
          <w:w w:val="95"/>
        </w:rPr>
        <w:t>la</w:t>
      </w:r>
      <w:r>
        <w:rPr>
          <w:rFonts w:ascii="Georgia" w:hAnsi="Georgia"/>
          <w:color w:val="231F20"/>
          <w:spacing w:val="-9"/>
          <w:w w:val="95"/>
        </w:rPr>
        <w:t> </w:t>
      </w:r>
      <w:r>
        <w:rPr>
          <w:rFonts w:ascii="Georgia" w:hAnsi="Georgia"/>
          <w:color w:val="231F20"/>
          <w:w w:val="95"/>
        </w:rPr>
        <w:t>atención</w:t>
      </w:r>
      <w:r>
        <w:rPr>
          <w:rFonts w:ascii="Georgia" w:hAnsi="Georgia"/>
          <w:color w:val="231F20"/>
          <w:spacing w:val="-10"/>
          <w:w w:val="95"/>
        </w:rPr>
        <w:t> </w:t>
      </w:r>
      <w:r>
        <w:rPr>
          <w:rFonts w:ascii="Georgia" w:hAnsi="Georgia"/>
          <w:color w:val="231F20"/>
          <w:w w:val="95"/>
        </w:rPr>
        <w:t>es</w:t>
      </w:r>
      <w:r>
        <w:rPr>
          <w:rFonts w:ascii="Georgia" w:hAnsi="Georgia"/>
          <w:color w:val="231F20"/>
          <w:spacing w:val="-9"/>
          <w:w w:val="95"/>
        </w:rPr>
        <w:t> </w:t>
      </w:r>
      <w:r>
        <w:rPr>
          <w:rFonts w:ascii="Georgia" w:hAnsi="Georgia"/>
          <w:color w:val="231F20"/>
          <w:w w:val="95"/>
        </w:rPr>
        <w:t>en</w:t>
      </w:r>
      <w:r>
        <w:rPr>
          <w:rFonts w:ascii="Georgia" w:hAnsi="Georgia"/>
          <w:color w:val="231F20"/>
          <w:spacing w:val="-8"/>
          <w:w w:val="95"/>
        </w:rPr>
        <w:t> </w:t>
      </w:r>
      <w:r>
        <w:rPr>
          <w:rFonts w:ascii="Georgia" w:hAnsi="Georgia"/>
          <w:color w:val="231F20"/>
          <w:w w:val="95"/>
        </w:rPr>
        <w:t>relación</w:t>
      </w:r>
      <w:r>
        <w:rPr>
          <w:rFonts w:ascii="Georgia" w:hAnsi="Georgia"/>
          <w:color w:val="231F20"/>
          <w:spacing w:val="-8"/>
          <w:w w:val="95"/>
        </w:rPr>
        <w:t> </w:t>
      </w:r>
      <w:r>
        <w:rPr>
          <w:rFonts w:ascii="Georgia" w:hAnsi="Georgia"/>
          <w:color w:val="231F20"/>
          <w:w w:val="95"/>
        </w:rPr>
        <w:t>al</w:t>
      </w:r>
      <w:r>
        <w:rPr>
          <w:rFonts w:ascii="Georgia" w:hAnsi="Georgia"/>
          <w:color w:val="231F20"/>
          <w:spacing w:val="-10"/>
          <w:w w:val="95"/>
        </w:rPr>
        <w:t> </w:t>
      </w:r>
      <w:r>
        <w:rPr>
          <w:rFonts w:ascii="Georgia" w:hAnsi="Georgia"/>
          <w:color w:val="231F20"/>
          <w:w w:val="95"/>
        </w:rPr>
        <w:t>trato respecto</w:t>
      </w:r>
      <w:r>
        <w:rPr>
          <w:rFonts w:ascii="Georgia" w:hAnsi="Georgia"/>
          <w:color w:val="231F20"/>
          <w:spacing w:val="-14"/>
          <w:w w:val="95"/>
        </w:rPr>
        <w:t> </w:t>
      </w:r>
      <w:r>
        <w:rPr>
          <w:rFonts w:ascii="Georgia" w:hAnsi="Georgia"/>
          <w:color w:val="231F20"/>
          <w:w w:val="95"/>
        </w:rPr>
        <w:t>a</w:t>
      </w:r>
      <w:r>
        <w:rPr>
          <w:rFonts w:ascii="Georgia" w:hAnsi="Georgia"/>
          <w:color w:val="231F20"/>
          <w:spacing w:val="-14"/>
          <w:w w:val="95"/>
        </w:rPr>
        <w:t> </w:t>
      </w:r>
      <w:r>
        <w:rPr>
          <w:rFonts w:ascii="Georgia" w:hAnsi="Georgia"/>
          <w:color w:val="231F20"/>
          <w:w w:val="95"/>
        </w:rPr>
        <w:t>si</w:t>
      </w:r>
      <w:r>
        <w:rPr>
          <w:rFonts w:ascii="Georgia" w:hAnsi="Georgia"/>
          <w:color w:val="231F20"/>
          <w:spacing w:val="-14"/>
          <w:w w:val="95"/>
        </w:rPr>
        <w:t> </w:t>
      </w:r>
      <w:r>
        <w:rPr>
          <w:rFonts w:ascii="Georgia" w:hAnsi="Georgia"/>
          <w:color w:val="231F20"/>
          <w:w w:val="95"/>
        </w:rPr>
        <w:t>los</w:t>
      </w:r>
      <w:r>
        <w:rPr>
          <w:rFonts w:ascii="Georgia" w:hAnsi="Georgia"/>
          <w:color w:val="231F20"/>
          <w:spacing w:val="-14"/>
          <w:w w:val="95"/>
        </w:rPr>
        <w:t> </w:t>
      </w:r>
      <w:r>
        <w:rPr>
          <w:rFonts w:ascii="Georgia" w:hAnsi="Georgia"/>
          <w:color w:val="231F20"/>
          <w:w w:val="95"/>
        </w:rPr>
        <w:t>estudiantes</w:t>
      </w:r>
      <w:r>
        <w:rPr>
          <w:rFonts w:ascii="Georgia" w:hAnsi="Georgia"/>
          <w:color w:val="231F20"/>
          <w:spacing w:val="-14"/>
          <w:w w:val="95"/>
        </w:rPr>
        <w:t> </w:t>
      </w:r>
      <w:r>
        <w:rPr>
          <w:rFonts w:ascii="Georgia" w:hAnsi="Georgia"/>
          <w:color w:val="231F20"/>
          <w:w w:val="95"/>
        </w:rPr>
        <w:t>son</w:t>
      </w:r>
      <w:r>
        <w:rPr>
          <w:rFonts w:ascii="Georgia" w:hAnsi="Georgia"/>
          <w:color w:val="231F20"/>
          <w:spacing w:val="-14"/>
          <w:w w:val="95"/>
        </w:rPr>
        <w:t> </w:t>
      </w:r>
      <w:r>
        <w:rPr>
          <w:rFonts w:ascii="Georgia" w:hAnsi="Georgia"/>
          <w:color w:val="231F20"/>
          <w:w w:val="95"/>
        </w:rPr>
        <w:t>hombres</w:t>
      </w:r>
      <w:r>
        <w:rPr>
          <w:rFonts w:ascii="Georgia" w:hAnsi="Georgia"/>
          <w:color w:val="231F20"/>
          <w:spacing w:val="-14"/>
          <w:w w:val="95"/>
        </w:rPr>
        <w:t> </w:t>
      </w:r>
      <w:r>
        <w:rPr>
          <w:rFonts w:ascii="Georgia" w:hAnsi="Georgia"/>
          <w:color w:val="231F20"/>
          <w:w w:val="95"/>
        </w:rPr>
        <w:t>o</w:t>
      </w:r>
      <w:r>
        <w:rPr>
          <w:rFonts w:ascii="Georgia" w:hAnsi="Georgia"/>
          <w:color w:val="231F20"/>
          <w:spacing w:val="-14"/>
          <w:w w:val="95"/>
        </w:rPr>
        <w:t> </w:t>
      </w:r>
      <w:r>
        <w:rPr>
          <w:rFonts w:ascii="Georgia" w:hAnsi="Georgia"/>
          <w:color w:val="231F20"/>
          <w:w w:val="95"/>
        </w:rPr>
        <w:t>mujeres,</w:t>
      </w:r>
      <w:r>
        <w:rPr>
          <w:rFonts w:ascii="Georgia" w:hAnsi="Georgia"/>
          <w:color w:val="231F20"/>
          <w:spacing w:val="-14"/>
          <w:w w:val="95"/>
        </w:rPr>
        <w:t> </w:t>
      </w:r>
      <w:r>
        <w:rPr>
          <w:rFonts w:ascii="Georgia" w:hAnsi="Georgia"/>
          <w:color w:val="231F20"/>
          <w:w w:val="95"/>
        </w:rPr>
        <w:t>esta</w:t>
      </w:r>
      <w:r>
        <w:rPr>
          <w:rFonts w:ascii="Georgia" w:hAnsi="Georgia"/>
          <w:color w:val="231F20"/>
          <w:spacing w:val="-14"/>
          <w:w w:val="95"/>
        </w:rPr>
        <w:t> </w:t>
      </w:r>
      <w:r>
        <w:rPr>
          <w:rFonts w:ascii="Georgia" w:hAnsi="Georgia"/>
          <w:color w:val="231F20"/>
          <w:w w:val="95"/>
        </w:rPr>
        <w:t>condición parece que es importante: el 38% consideró que se presenta siem- </w:t>
      </w:r>
      <w:r>
        <w:rPr>
          <w:rFonts w:ascii="Georgia" w:hAnsi="Georgia"/>
          <w:color w:val="231F20"/>
        </w:rPr>
        <w:t>pre</w:t>
      </w:r>
      <w:r>
        <w:rPr>
          <w:rFonts w:ascii="Georgia" w:hAnsi="Georgia"/>
          <w:color w:val="231F20"/>
          <w:spacing w:val="-21"/>
        </w:rPr>
        <w:t> </w:t>
      </w:r>
      <w:r>
        <w:rPr>
          <w:rFonts w:ascii="Georgia" w:hAnsi="Georgia"/>
          <w:color w:val="231F20"/>
        </w:rPr>
        <w:t>y</w:t>
      </w:r>
      <w:r>
        <w:rPr>
          <w:rFonts w:ascii="Georgia" w:hAnsi="Georgia"/>
          <w:color w:val="231F20"/>
          <w:spacing w:val="-21"/>
        </w:rPr>
        <w:t> </w:t>
      </w:r>
      <w:r>
        <w:rPr>
          <w:rFonts w:ascii="Georgia" w:hAnsi="Georgia"/>
          <w:color w:val="231F20"/>
        </w:rPr>
        <w:t>casi</w:t>
      </w:r>
      <w:r>
        <w:rPr>
          <w:rFonts w:ascii="Georgia" w:hAnsi="Georgia"/>
          <w:color w:val="231F20"/>
          <w:spacing w:val="-21"/>
        </w:rPr>
        <w:t> </w:t>
      </w:r>
      <w:r>
        <w:rPr>
          <w:rFonts w:ascii="Georgia" w:hAnsi="Georgia"/>
          <w:color w:val="231F20"/>
        </w:rPr>
        <w:t>siempre.</w:t>
      </w:r>
      <w:r>
        <w:rPr>
          <w:rFonts w:ascii="Georgia" w:hAnsi="Georgia"/>
          <w:color w:val="231F20"/>
          <w:spacing w:val="-21"/>
        </w:rPr>
        <w:t> </w:t>
      </w:r>
      <w:r>
        <w:rPr>
          <w:rFonts w:ascii="Georgia" w:hAnsi="Georgia"/>
          <w:color w:val="231F20"/>
        </w:rPr>
        <w:t>El</w:t>
      </w:r>
      <w:r>
        <w:rPr>
          <w:rFonts w:ascii="Georgia" w:hAnsi="Georgia"/>
          <w:color w:val="231F20"/>
          <w:spacing w:val="-21"/>
        </w:rPr>
        <w:t> </w:t>
      </w:r>
      <w:r>
        <w:rPr>
          <w:rFonts w:ascii="Georgia" w:hAnsi="Georgia"/>
          <w:color w:val="231F20"/>
        </w:rPr>
        <w:t>siguiente</w:t>
      </w:r>
      <w:r>
        <w:rPr>
          <w:rFonts w:ascii="Georgia" w:hAnsi="Georgia"/>
          <w:color w:val="231F20"/>
          <w:spacing w:val="-21"/>
        </w:rPr>
        <w:t> </w:t>
      </w:r>
      <w:r>
        <w:rPr>
          <w:rFonts w:ascii="Georgia" w:hAnsi="Georgia"/>
          <w:color w:val="231F20"/>
        </w:rPr>
        <w:t>aspecto</w:t>
      </w:r>
      <w:r>
        <w:rPr>
          <w:rFonts w:ascii="Georgia" w:hAnsi="Georgia"/>
          <w:color w:val="231F20"/>
          <w:spacing w:val="-21"/>
        </w:rPr>
        <w:t> </w:t>
      </w:r>
      <w:r>
        <w:rPr>
          <w:rFonts w:ascii="Georgia" w:hAnsi="Georgia"/>
          <w:color w:val="231F20"/>
        </w:rPr>
        <w:t>vuelve</w:t>
      </w:r>
      <w:r>
        <w:rPr>
          <w:rFonts w:ascii="Georgia" w:hAnsi="Georgia"/>
          <w:color w:val="231F20"/>
          <w:spacing w:val="-21"/>
        </w:rPr>
        <w:t> </w:t>
      </w:r>
      <w:r>
        <w:rPr>
          <w:rFonts w:ascii="Georgia" w:hAnsi="Georgia"/>
          <w:color w:val="231F20"/>
        </w:rPr>
        <w:t>a</w:t>
      </w:r>
      <w:r>
        <w:rPr>
          <w:rFonts w:ascii="Georgia" w:hAnsi="Georgia"/>
          <w:color w:val="231F20"/>
          <w:spacing w:val="-21"/>
        </w:rPr>
        <w:t> </w:t>
      </w:r>
      <w:r>
        <w:rPr>
          <w:rFonts w:ascii="Georgia" w:hAnsi="Georgia"/>
          <w:color w:val="231F20"/>
        </w:rPr>
        <w:t>dar</w:t>
      </w:r>
      <w:r>
        <w:rPr>
          <w:rFonts w:ascii="Georgia" w:hAnsi="Georgia"/>
          <w:color w:val="231F20"/>
          <w:spacing w:val="-21"/>
        </w:rPr>
        <w:t> </w:t>
      </w:r>
      <w:r>
        <w:rPr>
          <w:rFonts w:ascii="Georgia" w:hAnsi="Georgia"/>
          <w:color w:val="231F20"/>
        </w:rPr>
        <w:t>cuenta</w:t>
      </w:r>
      <w:r>
        <w:rPr>
          <w:rFonts w:ascii="Georgia" w:hAnsi="Georgia"/>
          <w:color w:val="231F20"/>
          <w:spacing w:val="-21"/>
        </w:rPr>
        <w:t> </w:t>
      </w:r>
      <w:r>
        <w:rPr>
          <w:rFonts w:ascii="Georgia" w:hAnsi="Georgia"/>
          <w:color w:val="231F20"/>
        </w:rPr>
        <w:t>de</w:t>
      </w:r>
      <w:r>
        <w:rPr>
          <w:rFonts w:ascii="Georgia" w:hAnsi="Georgia"/>
          <w:color w:val="231F20"/>
          <w:spacing w:val="-21"/>
        </w:rPr>
        <w:t> </w:t>
      </w:r>
      <w:r>
        <w:rPr>
          <w:rFonts w:ascii="Georgia" w:hAnsi="Georgia"/>
          <w:color w:val="231F20"/>
        </w:rPr>
        <w:t>las </w:t>
      </w:r>
      <w:r>
        <w:rPr>
          <w:rFonts w:ascii="Georgia" w:hAnsi="Georgia"/>
          <w:color w:val="231F20"/>
          <w:w w:val="95"/>
        </w:rPr>
        <w:t>preferencias, particularmente en las participaciones en clase, un </w:t>
      </w:r>
      <w:r>
        <w:rPr>
          <w:rFonts w:ascii="Georgia" w:hAnsi="Georgia"/>
          <w:color w:val="231F20"/>
        </w:rPr>
        <w:t>63%,</w:t>
      </w:r>
      <w:r>
        <w:rPr>
          <w:rFonts w:ascii="Georgia" w:hAnsi="Georgia"/>
          <w:color w:val="231F20"/>
          <w:spacing w:val="-13"/>
        </w:rPr>
        <w:t> </w:t>
      </w:r>
      <w:r>
        <w:rPr>
          <w:rFonts w:ascii="Georgia" w:hAnsi="Georgia"/>
          <w:color w:val="231F20"/>
        </w:rPr>
        <w:t>afirma</w:t>
      </w:r>
      <w:r>
        <w:rPr>
          <w:rFonts w:ascii="Georgia" w:hAnsi="Georgia"/>
          <w:color w:val="231F20"/>
          <w:spacing w:val="-13"/>
        </w:rPr>
        <w:t> </w:t>
      </w:r>
      <w:r>
        <w:rPr>
          <w:rFonts w:ascii="Georgia" w:hAnsi="Georgia"/>
          <w:color w:val="231F20"/>
        </w:rPr>
        <w:t>que</w:t>
      </w:r>
      <w:r>
        <w:rPr>
          <w:rFonts w:ascii="Georgia" w:hAnsi="Georgia"/>
          <w:color w:val="231F20"/>
          <w:spacing w:val="-13"/>
        </w:rPr>
        <w:t> </w:t>
      </w:r>
      <w:r>
        <w:rPr>
          <w:rFonts w:ascii="Georgia" w:hAnsi="Georgia"/>
          <w:color w:val="231F20"/>
        </w:rPr>
        <w:t>es</w:t>
      </w:r>
      <w:r>
        <w:rPr>
          <w:rFonts w:ascii="Georgia" w:hAnsi="Georgia"/>
          <w:color w:val="231F20"/>
          <w:spacing w:val="-13"/>
        </w:rPr>
        <w:t> </w:t>
      </w:r>
      <w:r>
        <w:rPr>
          <w:rFonts w:ascii="Georgia" w:hAnsi="Georgia"/>
          <w:color w:val="231F20"/>
        </w:rPr>
        <w:t>siempre</w:t>
      </w:r>
      <w:r>
        <w:rPr>
          <w:rFonts w:ascii="Georgia" w:hAnsi="Georgia"/>
          <w:color w:val="231F20"/>
          <w:spacing w:val="-13"/>
        </w:rPr>
        <w:t> </w:t>
      </w:r>
      <w:r>
        <w:rPr>
          <w:rFonts w:ascii="Georgia" w:hAnsi="Georgia"/>
          <w:color w:val="231F20"/>
        </w:rPr>
        <w:t>y</w:t>
      </w:r>
      <w:r>
        <w:rPr>
          <w:rFonts w:ascii="Georgia" w:hAnsi="Georgia"/>
          <w:color w:val="231F20"/>
          <w:spacing w:val="-13"/>
        </w:rPr>
        <w:t> </w:t>
      </w:r>
      <w:r>
        <w:rPr>
          <w:rFonts w:ascii="Georgia" w:hAnsi="Georgia"/>
          <w:color w:val="231F20"/>
        </w:rPr>
        <w:t>casi</w:t>
      </w:r>
      <w:r>
        <w:rPr>
          <w:rFonts w:ascii="Georgia" w:hAnsi="Georgia"/>
          <w:color w:val="231F20"/>
          <w:spacing w:val="-13"/>
        </w:rPr>
        <w:t> </w:t>
      </w:r>
      <w:r>
        <w:rPr>
          <w:rFonts w:ascii="Georgia" w:hAnsi="Georgia"/>
          <w:color w:val="231F20"/>
        </w:rPr>
        <w:t>siempre.</w:t>
      </w:r>
      <w:r>
        <w:rPr>
          <w:rFonts w:ascii="Georgia" w:hAnsi="Georgia"/>
          <w:color w:val="231F20"/>
          <w:spacing w:val="-13"/>
        </w:rPr>
        <w:t> </w:t>
      </w:r>
      <w:r>
        <w:rPr>
          <w:rFonts w:ascii="Georgia" w:hAnsi="Georgia"/>
          <w:color w:val="231F20"/>
        </w:rPr>
        <w:t>Los</w:t>
      </w:r>
      <w:r>
        <w:rPr>
          <w:rFonts w:ascii="Georgia" w:hAnsi="Georgia"/>
          <w:color w:val="231F20"/>
          <w:spacing w:val="-13"/>
        </w:rPr>
        <w:t> </w:t>
      </w:r>
      <w:r>
        <w:rPr>
          <w:rFonts w:ascii="Georgia" w:hAnsi="Georgia"/>
          <w:color w:val="231F20"/>
        </w:rPr>
        <w:t>demás</w:t>
      </w:r>
      <w:r>
        <w:rPr>
          <w:rFonts w:ascii="Georgia" w:hAnsi="Georgia"/>
          <w:color w:val="231F20"/>
          <w:spacing w:val="-13"/>
        </w:rPr>
        <w:t> </w:t>
      </w:r>
      <w:r>
        <w:rPr>
          <w:rFonts w:ascii="Georgia" w:hAnsi="Georgia"/>
          <w:color w:val="231F20"/>
        </w:rPr>
        <w:t>aspectos, como</w:t>
      </w:r>
      <w:r>
        <w:rPr>
          <w:rFonts w:ascii="Georgia" w:hAnsi="Georgia"/>
          <w:color w:val="231F20"/>
          <w:spacing w:val="-22"/>
        </w:rPr>
        <w:t> </w:t>
      </w:r>
      <w:r>
        <w:rPr>
          <w:rFonts w:ascii="Georgia" w:hAnsi="Georgia"/>
          <w:color w:val="231F20"/>
        </w:rPr>
        <w:t>el</w:t>
      </w:r>
      <w:r>
        <w:rPr>
          <w:rFonts w:ascii="Georgia" w:hAnsi="Georgia"/>
          <w:color w:val="231F20"/>
          <w:spacing w:val="-22"/>
        </w:rPr>
        <w:t> </w:t>
      </w:r>
      <w:r>
        <w:rPr>
          <w:rFonts w:ascii="Georgia" w:hAnsi="Georgia"/>
          <w:color w:val="231F20"/>
        </w:rPr>
        <w:t>fomento</w:t>
      </w:r>
      <w:r>
        <w:rPr>
          <w:rFonts w:ascii="Georgia" w:hAnsi="Georgia"/>
          <w:color w:val="231F20"/>
          <w:spacing w:val="-22"/>
        </w:rPr>
        <w:t> </w:t>
      </w:r>
      <w:r>
        <w:rPr>
          <w:rFonts w:ascii="Georgia" w:hAnsi="Georgia"/>
          <w:color w:val="231F20"/>
        </w:rPr>
        <w:t>a</w:t>
      </w:r>
      <w:r>
        <w:rPr>
          <w:rFonts w:ascii="Georgia" w:hAnsi="Georgia"/>
          <w:color w:val="231F20"/>
          <w:spacing w:val="-22"/>
        </w:rPr>
        <w:t> </w:t>
      </w:r>
      <w:r>
        <w:rPr>
          <w:rFonts w:ascii="Georgia" w:hAnsi="Georgia"/>
          <w:color w:val="231F20"/>
        </w:rPr>
        <w:t>los</w:t>
      </w:r>
      <w:r>
        <w:rPr>
          <w:rFonts w:ascii="Georgia" w:hAnsi="Georgia"/>
          <w:color w:val="231F20"/>
          <w:spacing w:val="-22"/>
        </w:rPr>
        <w:t> </w:t>
      </w:r>
      <w:r>
        <w:rPr>
          <w:rFonts w:ascii="Georgia" w:hAnsi="Georgia"/>
          <w:color w:val="231F20"/>
        </w:rPr>
        <w:t>valores</w:t>
      </w:r>
      <w:r>
        <w:rPr>
          <w:rFonts w:ascii="Georgia" w:hAnsi="Georgia"/>
          <w:color w:val="231F20"/>
          <w:spacing w:val="-22"/>
        </w:rPr>
        <w:t> </w:t>
      </w:r>
      <w:r>
        <w:rPr>
          <w:rFonts w:ascii="Georgia" w:hAnsi="Georgia"/>
          <w:color w:val="231F20"/>
        </w:rPr>
        <w:t>de</w:t>
      </w:r>
      <w:r>
        <w:rPr>
          <w:rFonts w:ascii="Georgia" w:hAnsi="Georgia"/>
          <w:color w:val="231F20"/>
          <w:spacing w:val="-22"/>
        </w:rPr>
        <w:t> </w:t>
      </w:r>
      <w:r>
        <w:rPr>
          <w:rFonts w:ascii="Georgia" w:hAnsi="Georgia"/>
          <w:color w:val="231F20"/>
        </w:rPr>
        <w:t>la</w:t>
      </w:r>
      <w:r>
        <w:rPr>
          <w:rFonts w:ascii="Georgia" w:hAnsi="Georgia"/>
          <w:color w:val="231F20"/>
          <w:spacing w:val="-22"/>
        </w:rPr>
        <w:t> </w:t>
      </w:r>
      <w:r>
        <w:rPr>
          <w:rFonts w:ascii="Georgia" w:hAnsi="Georgia"/>
          <w:color w:val="231F20"/>
        </w:rPr>
        <w:t>profesión,</w:t>
      </w:r>
      <w:r>
        <w:rPr>
          <w:rFonts w:ascii="Georgia" w:hAnsi="Georgia"/>
          <w:color w:val="231F20"/>
          <w:spacing w:val="-22"/>
        </w:rPr>
        <w:t> </w:t>
      </w:r>
      <w:r>
        <w:rPr>
          <w:rFonts w:ascii="Georgia" w:hAnsi="Georgia"/>
          <w:color w:val="231F20"/>
        </w:rPr>
        <w:t>sus</w:t>
      </w:r>
      <w:r>
        <w:rPr>
          <w:rFonts w:ascii="Georgia" w:hAnsi="Georgia"/>
          <w:color w:val="231F20"/>
          <w:spacing w:val="-22"/>
        </w:rPr>
        <w:t> </w:t>
      </w:r>
      <w:r>
        <w:rPr>
          <w:rFonts w:ascii="Georgia" w:hAnsi="Georgia"/>
          <w:color w:val="231F20"/>
        </w:rPr>
        <w:t>recomendacio- </w:t>
      </w:r>
      <w:r>
        <w:rPr>
          <w:rFonts w:ascii="Georgia" w:hAnsi="Georgia"/>
          <w:color w:val="231F20"/>
          <w:w w:val="95"/>
        </w:rPr>
        <w:t>nes,</w:t>
      </w:r>
      <w:r>
        <w:rPr>
          <w:rFonts w:ascii="Georgia" w:hAnsi="Georgia"/>
          <w:color w:val="231F20"/>
          <w:spacing w:val="-8"/>
          <w:w w:val="95"/>
        </w:rPr>
        <w:t> </w:t>
      </w:r>
      <w:r>
        <w:rPr>
          <w:rFonts w:ascii="Georgia" w:hAnsi="Georgia"/>
          <w:color w:val="231F20"/>
          <w:w w:val="95"/>
        </w:rPr>
        <w:t>el</w:t>
      </w:r>
      <w:r>
        <w:rPr>
          <w:rFonts w:ascii="Georgia" w:hAnsi="Georgia"/>
          <w:color w:val="231F20"/>
          <w:spacing w:val="-8"/>
          <w:w w:val="95"/>
        </w:rPr>
        <w:t> </w:t>
      </w:r>
      <w:r>
        <w:rPr>
          <w:rFonts w:ascii="Georgia" w:hAnsi="Georgia"/>
          <w:color w:val="231F20"/>
          <w:w w:val="95"/>
        </w:rPr>
        <w:t>que</w:t>
      </w:r>
      <w:r>
        <w:rPr>
          <w:rFonts w:ascii="Georgia" w:hAnsi="Georgia"/>
          <w:color w:val="231F20"/>
          <w:spacing w:val="-7"/>
          <w:w w:val="95"/>
        </w:rPr>
        <w:t> </w:t>
      </w:r>
      <w:r>
        <w:rPr>
          <w:rFonts w:ascii="Georgia" w:hAnsi="Georgia"/>
          <w:color w:val="231F20"/>
          <w:w w:val="95"/>
        </w:rPr>
        <w:t>acepten</w:t>
      </w:r>
      <w:r>
        <w:rPr>
          <w:rFonts w:ascii="Georgia" w:hAnsi="Georgia"/>
          <w:color w:val="231F20"/>
          <w:spacing w:val="-7"/>
          <w:w w:val="95"/>
        </w:rPr>
        <w:t> </w:t>
      </w:r>
      <w:r>
        <w:rPr>
          <w:rFonts w:ascii="Georgia" w:hAnsi="Georgia"/>
          <w:color w:val="231F20"/>
          <w:w w:val="95"/>
        </w:rPr>
        <w:t>los</w:t>
      </w:r>
      <w:r>
        <w:rPr>
          <w:rFonts w:ascii="Georgia" w:hAnsi="Georgia"/>
          <w:color w:val="231F20"/>
          <w:spacing w:val="-7"/>
          <w:w w:val="95"/>
        </w:rPr>
        <w:t> </w:t>
      </w:r>
      <w:r>
        <w:rPr>
          <w:rFonts w:ascii="Georgia" w:hAnsi="Georgia"/>
          <w:color w:val="231F20"/>
          <w:w w:val="95"/>
        </w:rPr>
        <w:t>puntos</w:t>
      </w:r>
      <w:r>
        <w:rPr>
          <w:rFonts w:ascii="Georgia" w:hAnsi="Georgia"/>
          <w:color w:val="231F20"/>
          <w:spacing w:val="-7"/>
          <w:w w:val="95"/>
        </w:rPr>
        <w:t> </w:t>
      </w:r>
      <w:r>
        <w:rPr>
          <w:rFonts w:ascii="Georgia" w:hAnsi="Georgia"/>
          <w:color w:val="231F20"/>
          <w:w w:val="95"/>
        </w:rPr>
        <w:t>de</w:t>
      </w:r>
      <w:r>
        <w:rPr>
          <w:rFonts w:ascii="Georgia" w:hAnsi="Georgia"/>
          <w:color w:val="231F20"/>
          <w:spacing w:val="-7"/>
          <w:w w:val="95"/>
        </w:rPr>
        <w:t> </w:t>
      </w:r>
      <w:r>
        <w:rPr>
          <w:rFonts w:ascii="Georgia" w:hAnsi="Georgia"/>
          <w:color w:val="231F20"/>
          <w:w w:val="95"/>
        </w:rPr>
        <w:t>vista</w:t>
      </w:r>
      <w:r>
        <w:rPr>
          <w:rFonts w:ascii="Georgia" w:hAnsi="Georgia"/>
          <w:color w:val="231F20"/>
          <w:spacing w:val="-7"/>
          <w:w w:val="95"/>
        </w:rPr>
        <w:t> </w:t>
      </w:r>
      <w:r>
        <w:rPr>
          <w:rFonts w:ascii="Georgia" w:hAnsi="Georgia"/>
          <w:color w:val="231F20"/>
          <w:w w:val="95"/>
        </w:rPr>
        <w:t>del</w:t>
      </w:r>
      <w:r>
        <w:rPr>
          <w:rFonts w:ascii="Georgia" w:hAnsi="Georgia"/>
          <w:color w:val="231F20"/>
          <w:spacing w:val="-8"/>
          <w:w w:val="95"/>
        </w:rPr>
        <w:t> </w:t>
      </w:r>
      <w:r>
        <w:rPr>
          <w:rFonts w:ascii="Georgia" w:hAnsi="Georgia"/>
          <w:color w:val="231F20"/>
          <w:w w:val="95"/>
        </w:rPr>
        <w:t>otro,</w:t>
      </w:r>
      <w:r>
        <w:rPr>
          <w:rFonts w:ascii="Georgia" w:hAnsi="Georgia"/>
          <w:color w:val="231F20"/>
          <w:spacing w:val="-8"/>
          <w:w w:val="95"/>
        </w:rPr>
        <w:t> </w:t>
      </w:r>
      <w:r>
        <w:rPr>
          <w:rFonts w:ascii="Georgia" w:hAnsi="Georgia"/>
          <w:color w:val="231F20"/>
          <w:w w:val="95"/>
        </w:rPr>
        <w:t>la</w:t>
      </w:r>
      <w:r>
        <w:rPr>
          <w:rFonts w:ascii="Georgia" w:hAnsi="Georgia"/>
          <w:color w:val="231F20"/>
          <w:spacing w:val="-7"/>
          <w:w w:val="95"/>
        </w:rPr>
        <w:t> </w:t>
      </w:r>
      <w:r>
        <w:rPr>
          <w:rFonts w:ascii="Georgia" w:hAnsi="Georgia"/>
          <w:color w:val="231F20"/>
          <w:w w:val="95"/>
        </w:rPr>
        <w:t>accesibilidad</w:t>
      </w:r>
      <w:r>
        <w:rPr>
          <w:rFonts w:ascii="Georgia" w:hAnsi="Georgia"/>
          <w:color w:val="231F20"/>
          <w:spacing w:val="-7"/>
          <w:w w:val="95"/>
        </w:rPr>
        <w:t> </w:t>
      </w:r>
      <w:r>
        <w:rPr>
          <w:rFonts w:ascii="Georgia" w:hAnsi="Georgia"/>
          <w:color w:val="231F20"/>
          <w:w w:val="95"/>
        </w:rPr>
        <w:t>y</w:t>
      </w:r>
      <w:r>
        <w:rPr>
          <w:rFonts w:ascii="Georgia" w:hAnsi="Georgia"/>
          <w:color w:val="231F20"/>
          <w:spacing w:val="-7"/>
          <w:w w:val="95"/>
        </w:rPr>
        <w:t> </w:t>
      </w:r>
      <w:r>
        <w:rPr>
          <w:rFonts w:ascii="Georgia" w:hAnsi="Georgia"/>
          <w:color w:val="231F20"/>
          <w:w w:val="95"/>
        </w:rPr>
        <w:t>el </w:t>
      </w:r>
      <w:r>
        <w:rPr>
          <w:rFonts w:ascii="Georgia" w:hAnsi="Georgia"/>
          <w:color w:val="231F20"/>
        </w:rPr>
        <w:t>trato</w:t>
      </w:r>
      <w:r>
        <w:rPr>
          <w:rFonts w:ascii="Georgia" w:hAnsi="Georgia"/>
          <w:color w:val="231F20"/>
          <w:spacing w:val="-25"/>
        </w:rPr>
        <w:t> </w:t>
      </w:r>
      <w:r>
        <w:rPr>
          <w:rFonts w:ascii="Georgia" w:hAnsi="Georgia"/>
          <w:color w:val="231F20"/>
        </w:rPr>
        <w:t>respetuoso</w:t>
      </w:r>
      <w:r>
        <w:rPr>
          <w:rFonts w:ascii="Georgia" w:hAnsi="Georgia"/>
          <w:color w:val="231F20"/>
          <w:spacing w:val="-25"/>
        </w:rPr>
        <w:t> </w:t>
      </w:r>
      <w:r>
        <w:rPr>
          <w:rFonts w:ascii="Georgia" w:hAnsi="Georgia"/>
          <w:color w:val="231F20"/>
        </w:rPr>
        <w:t>o</w:t>
      </w:r>
      <w:r>
        <w:rPr>
          <w:rFonts w:ascii="Georgia" w:hAnsi="Georgia"/>
          <w:color w:val="231F20"/>
          <w:spacing w:val="-25"/>
        </w:rPr>
        <w:t> </w:t>
      </w:r>
      <w:r>
        <w:rPr>
          <w:rFonts w:ascii="Georgia" w:hAnsi="Georgia"/>
          <w:color w:val="231F20"/>
        </w:rPr>
        <w:t>el</w:t>
      </w:r>
      <w:r>
        <w:rPr>
          <w:rFonts w:ascii="Georgia" w:hAnsi="Georgia"/>
          <w:color w:val="231F20"/>
          <w:spacing w:val="-25"/>
        </w:rPr>
        <w:t> </w:t>
      </w:r>
      <w:r>
        <w:rPr>
          <w:rFonts w:ascii="Georgia" w:hAnsi="Georgia"/>
          <w:color w:val="231F20"/>
        </w:rPr>
        <w:t>promover</w:t>
      </w:r>
      <w:r>
        <w:rPr>
          <w:rFonts w:ascii="Georgia" w:hAnsi="Georgia"/>
          <w:color w:val="231F20"/>
          <w:spacing w:val="-25"/>
        </w:rPr>
        <w:t> </w:t>
      </w:r>
      <w:r>
        <w:rPr>
          <w:rFonts w:ascii="Georgia" w:hAnsi="Georgia"/>
          <w:color w:val="231F20"/>
        </w:rPr>
        <w:t>la</w:t>
      </w:r>
      <w:r>
        <w:rPr>
          <w:rFonts w:ascii="Georgia" w:hAnsi="Georgia"/>
          <w:color w:val="231F20"/>
          <w:spacing w:val="-25"/>
        </w:rPr>
        <w:t> </w:t>
      </w:r>
      <w:r>
        <w:rPr>
          <w:rFonts w:ascii="Georgia" w:hAnsi="Georgia"/>
          <w:color w:val="231F20"/>
        </w:rPr>
        <w:t>armonía</w:t>
      </w:r>
      <w:r>
        <w:rPr>
          <w:rFonts w:ascii="Georgia" w:hAnsi="Georgia"/>
          <w:color w:val="231F20"/>
          <w:spacing w:val="-25"/>
        </w:rPr>
        <w:t> </w:t>
      </w:r>
      <w:r>
        <w:rPr>
          <w:rFonts w:ascii="Georgia" w:hAnsi="Georgia"/>
          <w:color w:val="231F20"/>
        </w:rPr>
        <w:t>en</w:t>
      </w:r>
      <w:r>
        <w:rPr>
          <w:rFonts w:ascii="Georgia" w:hAnsi="Georgia"/>
          <w:color w:val="231F20"/>
          <w:spacing w:val="-25"/>
        </w:rPr>
        <w:t> </w:t>
      </w:r>
      <w:r>
        <w:rPr>
          <w:rFonts w:ascii="Georgia" w:hAnsi="Georgia"/>
          <w:color w:val="231F20"/>
        </w:rPr>
        <w:t>las</w:t>
      </w:r>
      <w:r>
        <w:rPr>
          <w:rFonts w:ascii="Georgia" w:hAnsi="Georgia"/>
          <w:color w:val="231F20"/>
          <w:spacing w:val="-25"/>
        </w:rPr>
        <w:t> </w:t>
      </w:r>
      <w:r>
        <w:rPr>
          <w:rFonts w:ascii="Georgia" w:hAnsi="Georgia"/>
          <w:color w:val="231F20"/>
        </w:rPr>
        <w:t>sesiones,</w:t>
      </w:r>
      <w:r>
        <w:rPr>
          <w:rFonts w:ascii="Georgia" w:hAnsi="Georgia"/>
          <w:color w:val="231F20"/>
          <w:spacing w:val="-25"/>
        </w:rPr>
        <w:t> </w:t>
      </w:r>
      <w:r>
        <w:rPr>
          <w:rFonts w:ascii="Georgia" w:hAnsi="Georgia"/>
          <w:color w:val="231F20"/>
        </w:rPr>
        <w:t>la</w:t>
      </w:r>
      <w:r>
        <w:rPr>
          <w:rFonts w:ascii="Georgia" w:hAnsi="Georgia"/>
          <w:color w:val="231F20"/>
          <w:spacing w:val="-25"/>
        </w:rPr>
        <w:t> </w:t>
      </w:r>
      <w:r>
        <w:rPr>
          <w:rFonts w:ascii="Georgia" w:hAnsi="Georgia"/>
          <w:color w:val="231F20"/>
        </w:rPr>
        <w:t>gran </w:t>
      </w:r>
      <w:r>
        <w:rPr>
          <w:rFonts w:ascii="Georgia" w:hAnsi="Georgia"/>
          <w:color w:val="231F20"/>
          <w:w w:val="95"/>
        </w:rPr>
        <w:t>mayoría,</w:t>
      </w:r>
      <w:r>
        <w:rPr>
          <w:rFonts w:ascii="Georgia" w:hAnsi="Georgia"/>
          <w:color w:val="231F20"/>
          <w:spacing w:val="-9"/>
          <w:w w:val="95"/>
        </w:rPr>
        <w:t> </w:t>
      </w:r>
      <w:r>
        <w:rPr>
          <w:rFonts w:ascii="Georgia" w:hAnsi="Georgia"/>
          <w:color w:val="231F20"/>
          <w:w w:val="95"/>
        </w:rPr>
        <w:t>un</w:t>
      </w:r>
      <w:r>
        <w:rPr>
          <w:rFonts w:ascii="Georgia" w:hAnsi="Georgia"/>
          <w:color w:val="231F20"/>
          <w:spacing w:val="-8"/>
          <w:w w:val="95"/>
        </w:rPr>
        <w:t> </w:t>
      </w:r>
      <w:r>
        <w:rPr>
          <w:rFonts w:ascii="Georgia" w:hAnsi="Georgia"/>
          <w:color w:val="231F20"/>
          <w:w w:val="95"/>
        </w:rPr>
        <w:t>85%</w:t>
      </w:r>
      <w:r>
        <w:rPr>
          <w:rFonts w:ascii="Georgia" w:hAnsi="Georgia"/>
          <w:color w:val="231F20"/>
          <w:spacing w:val="-7"/>
          <w:w w:val="95"/>
        </w:rPr>
        <w:t> </w:t>
      </w:r>
      <w:r>
        <w:rPr>
          <w:rFonts w:ascii="Georgia" w:hAnsi="Georgia"/>
          <w:color w:val="231F20"/>
          <w:w w:val="95"/>
        </w:rPr>
        <w:t>en</w:t>
      </w:r>
      <w:r>
        <w:rPr>
          <w:rFonts w:ascii="Georgia" w:hAnsi="Georgia"/>
          <w:color w:val="231F20"/>
          <w:spacing w:val="-8"/>
          <w:w w:val="95"/>
        </w:rPr>
        <w:t> </w:t>
      </w:r>
      <w:r>
        <w:rPr>
          <w:rFonts w:ascii="Georgia" w:hAnsi="Georgia"/>
          <w:color w:val="231F20"/>
          <w:w w:val="95"/>
        </w:rPr>
        <w:t>adelante,</w:t>
      </w:r>
      <w:r>
        <w:rPr>
          <w:rFonts w:ascii="Georgia" w:hAnsi="Georgia"/>
          <w:color w:val="231F20"/>
          <w:spacing w:val="-9"/>
          <w:w w:val="95"/>
        </w:rPr>
        <w:t> </w:t>
      </w:r>
      <w:r>
        <w:rPr>
          <w:rFonts w:ascii="Georgia" w:hAnsi="Georgia"/>
          <w:color w:val="231F20"/>
          <w:w w:val="95"/>
        </w:rPr>
        <w:t>consideró</w:t>
      </w:r>
      <w:r>
        <w:rPr>
          <w:rFonts w:ascii="Georgia" w:hAnsi="Georgia"/>
          <w:color w:val="231F20"/>
          <w:spacing w:val="-8"/>
          <w:w w:val="95"/>
        </w:rPr>
        <w:t> </w:t>
      </w:r>
      <w:r>
        <w:rPr>
          <w:rFonts w:ascii="Georgia" w:hAnsi="Georgia"/>
          <w:color w:val="231F20"/>
          <w:w w:val="95"/>
        </w:rPr>
        <w:t>que</w:t>
      </w:r>
      <w:r>
        <w:rPr>
          <w:rFonts w:ascii="Georgia" w:hAnsi="Georgia"/>
          <w:color w:val="231F20"/>
          <w:spacing w:val="-8"/>
          <w:w w:val="95"/>
        </w:rPr>
        <w:t> </w:t>
      </w:r>
      <w:r>
        <w:rPr>
          <w:rFonts w:ascii="Georgia" w:hAnsi="Georgia"/>
          <w:color w:val="231F20"/>
          <w:w w:val="95"/>
        </w:rPr>
        <w:t>se</w:t>
      </w:r>
      <w:r>
        <w:rPr>
          <w:rFonts w:ascii="Georgia" w:hAnsi="Georgia"/>
          <w:color w:val="231F20"/>
          <w:spacing w:val="-8"/>
          <w:w w:val="95"/>
        </w:rPr>
        <w:t> </w:t>
      </w:r>
      <w:r>
        <w:rPr>
          <w:rFonts w:ascii="Georgia" w:hAnsi="Georgia"/>
          <w:color w:val="231F20"/>
          <w:w w:val="95"/>
        </w:rPr>
        <w:t>presenta</w:t>
      </w:r>
      <w:r>
        <w:rPr>
          <w:rFonts w:ascii="Georgia" w:hAnsi="Georgia"/>
          <w:color w:val="231F20"/>
          <w:spacing w:val="-8"/>
          <w:w w:val="95"/>
        </w:rPr>
        <w:t> </w:t>
      </w:r>
      <w:r>
        <w:rPr>
          <w:rFonts w:ascii="Georgia" w:hAnsi="Georgia"/>
          <w:color w:val="231F20"/>
          <w:w w:val="95"/>
        </w:rPr>
        <w:t>siempre</w:t>
      </w:r>
      <w:r>
        <w:rPr>
          <w:rFonts w:ascii="Georgia" w:hAnsi="Georgia"/>
          <w:color w:val="231F20"/>
          <w:spacing w:val="-8"/>
          <w:w w:val="95"/>
        </w:rPr>
        <w:t> </w:t>
      </w:r>
      <w:r>
        <w:rPr>
          <w:rFonts w:ascii="Georgia" w:hAnsi="Georgia"/>
          <w:color w:val="231F20"/>
          <w:w w:val="95"/>
        </w:rPr>
        <w:t>o </w:t>
      </w:r>
      <w:r>
        <w:rPr>
          <w:rFonts w:ascii="Georgia" w:hAnsi="Georgia"/>
          <w:color w:val="231F20"/>
          <w:w w:val="90"/>
        </w:rPr>
        <w:t>casi</w:t>
      </w:r>
      <w:r>
        <w:rPr>
          <w:rFonts w:ascii="Georgia" w:hAnsi="Georgia"/>
          <w:color w:val="231F20"/>
          <w:spacing w:val="-9"/>
          <w:w w:val="90"/>
        </w:rPr>
        <w:t> </w:t>
      </w:r>
      <w:r>
        <w:rPr>
          <w:rFonts w:ascii="Georgia" w:hAnsi="Georgia"/>
          <w:color w:val="231F20"/>
          <w:w w:val="90"/>
        </w:rPr>
        <w:t>siempre.</w:t>
      </w:r>
    </w:p>
    <w:p>
      <w:pPr>
        <w:spacing w:before="16"/>
        <w:ind w:left="102" w:right="117" w:firstLine="0"/>
        <w:jc w:val="center"/>
        <w:rPr>
          <w:b/>
          <w:sz w:val="19"/>
        </w:rPr>
      </w:pPr>
      <w:r>
        <w:rPr/>
        <w:drawing>
          <wp:anchor distT="0" distB="0" distL="0" distR="0" allowOverlap="1" layoutInCell="1" locked="0" behindDoc="0" simplePos="0" relativeHeight="1840">
            <wp:simplePos x="0" y="0"/>
            <wp:positionH relativeFrom="page">
              <wp:posOffset>889940</wp:posOffset>
            </wp:positionH>
            <wp:positionV relativeFrom="paragraph">
              <wp:posOffset>166874</wp:posOffset>
            </wp:positionV>
            <wp:extent cx="3159087" cy="1786413"/>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448" cstate="print"/>
                    <a:stretch>
                      <a:fillRect/>
                    </a:stretch>
                  </pic:blipFill>
                  <pic:spPr>
                    <a:xfrm>
                      <a:off x="0" y="0"/>
                      <a:ext cx="3159087" cy="1786413"/>
                    </a:xfrm>
                    <a:prstGeom prst="rect">
                      <a:avLst/>
                    </a:prstGeom>
                  </pic:spPr>
                </pic:pic>
              </a:graphicData>
            </a:graphic>
          </wp:anchor>
        </w:drawing>
      </w:r>
      <w:r>
        <w:rPr>
          <w:b/>
          <w:color w:val="231F20"/>
          <w:sz w:val="19"/>
        </w:rPr>
        <w:t>Gráfica 2</w:t>
      </w:r>
    </w:p>
    <w:p>
      <w:pPr>
        <w:spacing w:after="0"/>
        <w:jc w:val="center"/>
        <w:rPr>
          <w:sz w:val="19"/>
        </w:rPr>
        <w:sectPr>
          <w:headerReference w:type="default" r:id="rId446"/>
          <w:footerReference w:type="default" r:id="rId447"/>
          <w:pgSz w:w="7830" w:h="11910"/>
          <w:pgMar w:header="0" w:footer="424" w:top="500" w:bottom="620" w:left="920" w:right="900"/>
          <w:pgNumType w:start="208"/>
        </w:sectPr>
      </w:pPr>
    </w:p>
    <w:p>
      <w:pPr>
        <w:spacing w:before="46"/>
        <w:ind w:left="12" w:right="9"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22" w:right="117" w:firstLine="284"/>
        <w:jc w:val="both"/>
      </w:pPr>
      <w:r>
        <w:rPr>
          <w:color w:val="231F20"/>
        </w:rPr>
        <w:t>La </w:t>
      </w:r>
      <w:r>
        <w:rPr>
          <w:color w:val="231F20"/>
          <w:spacing w:val="2"/>
        </w:rPr>
        <w:t>gráfica </w:t>
      </w:r>
      <w:r>
        <w:rPr>
          <w:color w:val="231F20"/>
        </w:rPr>
        <w:t>3 </w:t>
      </w:r>
      <w:r>
        <w:rPr>
          <w:color w:val="231F20"/>
          <w:spacing w:val="2"/>
        </w:rPr>
        <w:t>nos muestra </w:t>
      </w:r>
      <w:r>
        <w:rPr>
          <w:color w:val="231F20"/>
        </w:rPr>
        <w:t>un </w:t>
      </w:r>
      <w:r>
        <w:rPr>
          <w:color w:val="231F20"/>
          <w:spacing w:val="2"/>
        </w:rPr>
        <w:t>aspecto diferente respecto </w:t>
      </w:r>
      <w:r>
        <w:rPr>
          <w:color w:val="231F20"/>
        </w:rPr>
        <w:t>de la </w:t>
      </w:r>
      <w:r>
        <w:rPr>
          <w:color w:val="231F20"/>
          <w:spacing w:val="2"/>
        </w:rPr>
        <w:t>relación </w:t>
      </w:r>
      <w:r>
        <w:rPr>
          <w:color w:val="231F20"/>
          <w:spacing w:val="3"/>
        </w:rPr>
        <w:t>docente-estudiante. </w:t>
      </w:r>
      <w:r>
        <w:rPr>
          <w:color w:val="231F20"/>
          <w:spacing w:val="2"/>
        </w:rPr>
        <w:t>Cuatro aspectos alcanzan porcentajes </w:t>
      </w:r>
      <w:r>
        <w:rPr>
          <w:color w:val="231F20"/>
        </w:rPr>
        <w:t>de </w:t>
      </w:r>
      <w:r>
        <w:rPr>
          <w:color w:val="231F20"/>
          <w:spacing w:val="2"/>
        </w:rPr>
        <w:t>hasta </w:t>
      </w:r>
      <w:r>
        <w:rPr>
          <w:color w:val="231F20"/>
        </w:rPr>
        <w:t>un </w:t>
      </w:r>
      <w:r>
        <w:rPr>
          <w:color w:val="231F20"/>
          <w:spacing w:val="2"/>
        </w:rPr>
        <w:t>25%, </w:t>
      </w:r>
      <w:r>
        <w:rPr>
          <w:color w:val="231F20"/>
        </w:rPr>
        <w:t>en </w:t>
      </w:r>
      <w:r>
        <w:rPr>
          <w:color w:val="231F20"/>
          <w:spacing w:val="2"/>
        </w:rPr>
        <w:t>relación </w:t>
      </w:r>
      <w:r>
        <w:rPr>
          <w:color w:val="231F20"/>
        </w:rPr>
        <w:t>a </w:t>
      </w:r>
      <w:r>
        <w:rPr>
          <w:color w:val="231F20"/>
          <w:spacing w:val="3"/>
        </w:rPr>
        <w:t>“nunca” </w:t>
      </w:r>
      <w:r>
        <w:rPr>
          <w:color w:val="231F20"/>
        </w:rPr>
        <w:t>y </w:t>
      </w:r>
      <w:r>
        <w:rPr>
          <w:color w:val="231F20"/>
          <w:spacing w:val="2"/>
        </w:rPr>
        <w:t>“casi </w:t>
      </w:r>
      <w:r>
        <w:rPr>
          <w:color w:val="231F20"/>
          <w:spacing w:val="3"/>
        </w:rPr>
        <w:t>nunca”, </w:t>
      </w:r>
      <w:r>
        <w:rPr>
          <w:color w:val="231F20"/>
          <w:spacing w:val="2"/>
        </w:rPr>
        <w:t>por ejem- plo: </w:t>
      </w:r>
      <w:r>
        <w:rPr>
          <w:color w:val="231F20"/>
        </w:rPr>
        <w:t>el </w:t>
      </w:r>
      <w:r>
        <w:rPr>
          <w:color w:val="231F20"/>
          <w:spacing w:val="2"/>
        </w:rPr>
        <w:t>“dedicar tiempo </w:t>
      </w:r>
      <w:r>
        <w:rPr>
          <w:color w:val="231F20"/>
        </w:rPr>
        <w:t>a </w:t>
      </w:r>
      <w:r>
        <w:rPr>
          <w:color w:val="231F20"/>
          <w:spacing w:val="2"/>
        </w:rPr>
        <w:t>aclarar dudas” </w:t>
      </w:r>
      <w:r>
        <w:rPr>
          <w:color w:val="231F20"/>
        </w:rPr>
        <w:t>o </w:t>
      </w:r>
      <w:r>
        <w:rPr>
          <w:color w:val="231F20"/>
          <w:spacing w:val="2"/>
        </w:rPr>
        <w:t>aconsejar; </w:t>
      </w:r>
      <w:r>
        <w:rPr>
          <w:color w:val="231F20"/>
        </w:rPr>
        <w:t>si </w:t>
      </w:r>
      <w:r>
        <w:rPr>
          <w:color w:val="231F20"/>
          <w:spacing w:val="2"/>
        </w:rPr>
        <w:t>“son justos </w:t>
      </w:r>
      <w:r>
        <w:rPr>
          <w:color w:val="231F20"/>
        </w:rPr>
        <w:t>al </w:t>
      </w:r>
      <w:r>
        <w:rPr>
          <w:color w:val="231F20"/>
          <w:spacing w:val="3"/>
        </w:rPr>
        <w:t>momento </w:t>
      </w:r>
      <w:r>
        <w:rPr>
          <w:color w:val="231F20"/>
        </w:rPr>
        <w:t>de </w:t>
      </w:r>
      <w:r>
        <w:rPr>
          <w:color w:val="231F20"/>
          <w:spacing w:val="2"/>
        </w:rPr>
        <w:t>emitir </w:t>
      </w:r>
      <w:r>
        <w:rPr>
          <w:color w:val="231F20"/>
        </w:rPr>
        <w:t>sus </w:t>
      </w:r>
      <w:r>
        <w:rPr>
          <w:color w:val="231F20"/>
          <w:spacing w:val="2"/>
        </w:rPr>
        <w:t>calificaciones”; </w:t>
      </w:r>
      <w:r>
        <w:rPr>
          <w:color w:val="231F20"/>
        </w:rPr>
        <w:t>el </w:t>
      </w:r>
      <w:r>
        <w:rPr>
          <w:color w:val="231F20"/>
          <w:spacing w:val="2"/>
        </w:rPr>
        <w:t>“aclarar una califica- ción </w:t>
      </w:r>
      <w:r>
        <w:rPr>
          <w:color w:val="231F20"/>
        </w:rPr>
        <w:t>sin  </w:t>
      </w:r>
      <w:r>
        <w:rPr>
          <w:color w:val="231F20"/>
          <w:spacing w:val="2"/>
        </w:rPr>
        <w:t>represalias </w:t>
      </w:r>
      <w:r>
        <w:rPr>
          <w:color w:val="231F20"/>
        </w:rPr>
        <w:t>o  el </w:t>
      </w:r>
      <w:r>
        <w:rPr>
          <w:color w:val="231F20"/>
          <w:spacing w:val="3"/>
        </w:rPr>
        <w:t>reconocer </w:t>
      </w:r>
      <w:r>
        <w:rPr>
          <w:color w:val="231F20"/>
        </w:rPr>
        <w:t>el </w:t>
      </w:r>
      <w:r>
        <w:rPr>
          <w:color w:val="231F20"/>
          <w:spacing w:val="2"/>
        </w:rPr>
        <w:t>esfuerzo realizado”. Digno  </w:t>
      </w:r>
      <w:r>
        <w:rPr>
          <w:color w:val="231F20"/>
        </w:rPr>
        <w:t>de </w:t>
      </w:r>
      <w:r>
        <w:rPr>
          <w:color w:val="231F20"/>
          <w:spacing w:val="3"/>
        </w:rPr>
        <w:t>mencionar </w:t>
      </w:r>
      <w:r>
        <w:rPr>
          <w:color w:val="231F20"/>
          <w:spacing w:val="2"/>
        </w:rPr>
        <w:t>está </w:t>
      </w:r>
      <w:r>
        <w:rPr>
          <w:color w:val="231F20"/>
        </w:rPr>
        <w:t>el </w:t>
      </w:r>
      <w:r>
        <w:rPr>
          <w:color w:val="231F20"/>
          <w:spacing w:val="2"/>
        </w:rPr>
        <w:t>que </w:t>
      </w:r>
      <w:r>
        <w:rPr>
          <w:color w:val="231F20"/>
        </w:rPr>
        <w:t>la </w:t>
      </w:r>
      <w:r>
        <w:rPr>
          <w:color w:val="231F20"/>
          <w:spacing w:val="2"/>
        </w:rPr>
        <w:t>mayoría </w:t>
      </w:r>
      <w:r>
        <w:rPr>
          <w:color w:val="231F20"/>
        </w:rPr>
        <w:t>de  </w:t>
      </w:r>
      <w:r>
        <w:rPr>
          <w:color w:val="231F20"/>
          <w:spacing w:val="2"/>
        </w:rPr>
        <w:t>los </w:t>
      </w:r>
      <w:r>
        <w:rPr>
          <w:color w:val="231F20"/>
          <w:spacing w:val="3"/>
        </w:rPr>
        <w:t>docentes, </w:t>
      </w:r>
      <w:r>
        <w:rPr>
          <w:color w:val="231F20"/>
        </w:rPr>
        <w:t>en  </w:t>
      </w:r>
      <w:r>
        <w:rPr>
          <w:color w:val="231F20"/>
          <w:spacing w:val="3"/>
        </w:rPr>
        <w:t>opinión </w:t>
      </w:r>
      <w:r>
        <w:rPr>
          <w:color w:val="231F20"/>
        </w:rPr>
        <w:t>de </w:t>
      </w:r>
      <w:r>
        <w:rPr>
          <w:color w:val="231F20"/>
          <w:spacing w:val="2"/>
        </w:rPr>
        <w:t>los estudiantes, muestran </w:t>
      </w:r>
      <w:r>
        <w:rPr>
          <w:color w:val="231F20"/>
        </w:rPr>
        <w:t>en la </w:t>
      </w:r>
      <w:r>
        <w:rPr>
          <w:color w:val="231F20"/>
          <w:spacing w:val="2"/>
        </w:rPr>
        <w:t>práctica, los valores éticos </w:t>
      </w:r>
      <w:r>
        <w:rPr>
          <w:color w:val="231F20"/>
        </w:rPr>
        <w:t>de la </w:t>
      </w:r>
      <w:r>
        <w:rPr>
          <w:color w:val="231F20"/>
          <w:spacing w:val="3"/>
        </w:rPr>
        <w:t>profesión, </w:t>
      </w:r>
      <w:r>
        <w:rPr>
          <w:color w:val="231F20"/>
        </w:rPr>
        <w:t>lo </w:t>
      </w:r>
      <w:r>
        <w:rPr>
          <w:color w:val="231F20"/>
          <w:spacing w:val="2"/>
        </w:rPr>
        <w:t>afirmó casi </w:t>
      </w:r>
      <w:r>
        <w:rPr>
          <w:color w:val="231F20"/>
        </w:rPr>
        <w:t>el 90% de </w:t>
      </w:r>
      <w:r>
        <w:rPr>
          <w:color w:val="231F20"/>
          <w:spacing w:val="2"/>
        </w:rPr>
        <w:t>ellos.</w:t>
      </w:r>
    </w:p>
    <w:p>
      <w:pPr>
        <w:pStyle w:val="BodyText"/>
        <w:spacing w:before="2"/>
        <w:rPr>
          <w:sz w:val="20"/>
        </w:rPr>
      </w:pPr>
    </w:p>
    <w:p>
      <w:pPr>
        <w:spacing w:before="0" w:after="8"/>
        <w:ind w:left="11" w:right="9" w:firstLine="0"/>
        <w:jc w:val="center"/>
        <w:rPr>
          <w:b/>
          <w:sz w:val="19"/>
        </w:rPr>
      </w:pPr>
      <w:r>
        <w:rPr>
          <w:b/>
          <w:color w:val="231F20"/>
          <w:sz w:val="19"/>
        </w:rPr>
        <w:t>Gráfica 3</w:t>
      </w:r>
    </w:p>
    <w:p>
      <w:pPr>
        <w:pStyle w:val="BodyText"/>
        <w:ind w:left="106"/>
        <w:rPr>
          <w:sz w:val="20"/>
        </w:rPr>
      </w:pPr>
      <w:r>
        <w:rPr>
          <w:sz w:val="20"/>
        </w:rPr>
        <w:drawing>
          <wp:inline distT="0" distB="0" distL="0" distR="0">
            <wp:extent cx="3446157" cy="1834514"/>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451" cstate="print"/>
                    <a:stretch>
                      <a:fillRect/>
                    </a:stretch>
                  </pic:blipFill>
                  <pic:spPr>
                    <a:xfrm>
                      <a:off x="0" y="0"/>
                      <a:ext cx="3446157" cy="1834514"/>
                    </a:xfrm>
                    <a:prstGeom prst="rect">
                      <a:avLst/>
                    </a:prstGeom>
                  </pic:spPr>
                </pic:pic>
              </a:graphicData>
            </a:graphic>
          </wp:inline>
        </w:drawing>
      </w:r>
      <w:r>
        <w:rPr>
          <w:sz w:val="20"/>
        </w:rPr>
      </w:r>
    </w:p>
    <w:p>
      <w:pPr>
        <w:pStyle w:val="BodyText"/>
        <w:spacing w:before="1"/>
        <w:rPr>
          <w:b/>
          <w:sz w:val="22"/>
        </w:rPr>
      </w:pPr>
    </w:p>
    <w:p>
      <w:pPr>
        <w:spacing w:before="0"/>
        <w:ind w:left="122" w:right="0" w:firstLine="0"/>
        <w:jc w:val="both"/>
        <w:rPr>
          <w:i/>
          <w:sz w:val="21"/>
        </w:rPr>
      </w:pPr>
      <w:r>
        <w:rPr>
          <w:i/>
          <w:color w:val="231F20"/>
          <w:w w:val="90"/>
          <w:sz w:val="21"/>
        </w:rPr>
        <w:t>Las muestras de maltrato en la convivencia en el aula</w:t>
      </w:r>
    </w:p>
    <w:p>
      <w:pPr>
        <w:pStyle w:val="BodyText"/>
        <w:spacing w:before="1"/>
        <w:rPr>
          <w:i/>
        </w:rPr>
      </w:pPr>
    </w:p>
    <w:p>
      <w:pPr>
        <w:pStyle w:val="BodyText"/>
        <w:spacing w:line="244" w:lineRule="auto" w:before="1"/>
        <w:ind w:left="121" w:right="116"/>
        <w:jc w:val="both"/>
      </w:pPr>
      <w:r>
        <w:rPr>
          <w:color w:val="231F20"/>
        </w:rPr>
        <w:t>Junto a los aspectos anteriores, toca ahora puntualizar respecto de  los tipos de maltrato advertidos por los estudiantes en el aula. Una primera observación de la gráfica 4 nos muestra que tanto la intimi- dación como el rechazo, fueron los eventos que presentaron la  mayor incidencia. En orden descendente el panorama es el siguien- te: el rechazo ocurrió con el 42.29%; la intimidación aparece en segundo lugar con el 39.1%; la humillación pública ocurrió el 20.48% de los casos; la realización de tareas como castigo se pre- sentó con un 17.28%; la violencia verbal, con el 15.96%; le siguie- ron</w:t>
      </w:r>
      <w:r>
        <w:rPr>
          <w:color w:val="231F20"/>
          <w:spacing w:val="-5"/>
        </w:rPr>
        <w:t> </w:t>
      </w:r>
      <w:r>
        <w:rPr>
          <w:color w:val="231F20"/>
        </w:rPr>
        <w:t>el</w:t>
      </w:r>
      <w:r>
        <w:rPr>
          <w:color w:val="231F20"/>
          <w:spacing w:val="-6"/>
        </w:rPr>
        <w:t> </w:t>
      </w:r>
      <w:r>
        <w:rPr>
          <w:color w:val="231F20"/>
        </w:rPr>
        <w:t>acoso</w:t>
      </w:r>
      <w:r>
        <w:rPr>
          <w:color w:val="231F20"/>
          <w:spacing w:val="-5"/>
        </w:rPr>
        <w:t> </w:t>
      </w:r>
      <w:r>
        <w:rPr>
          <w:color w:val="231F20"/>
        </w:rPr>
        <w:t>sexual</w:t>
      </w:r>
      <w:r>
        <w:rPr>
          <w:color w:val="231F20"/>
          <w:spacing w:val="-7"/>
        </w:rPr>
        <w:t> </w:t>
      </w:r>
      <w:r>
        <w:rPr>
          <w:color w:val="231F20"/>
        </w:rPr>
        <w:t>con</w:t>
      </w:r>
      <w:r>
        <w:rPr>
          <w:color w:val="231F20"/>
          <w:spacing w:val="-5"/>
        </w:rPr>
        <w:t> </w:t>
      </w:r>
      <w:r>
        <w:rPr>
          <w:color w:val="231F20"/>
        </w:rPr>
        <w:t>el</w:t>
      </w:r>
      <w:r>
        <w:rPr>
          <w:color w:val="231F20"/>
          <w:spacing w:val="-6"/>
        </w:rPr>
        <w:t> </w:t>
      </w:r>
      <w:r>
        <w:rPr>
          <w:color w:val="231F20"/>
        </w:rPr>
        <w:t>7.71%;</w:t>
      </w:r>
      <w:r>
        <w:rPr>
          <w:color w:val="231F20"/>
          <w:spacing w:val="-6"/>
        </w:rPr>
        <w:t> </w:t>
      </w:r>
      <w:r>
        <w:rPr>
          <w:color w:val="231F20"/>
        </w:rPr>
        <w:t>y</w:t>
      </w:r>
      <w:r>
        <w:rPr>
          <w:color w:val="231F20"/>
          <w:spacing w:val="-5"/>
        </w:rPr>
        <w:t> </w:t>
      </w:r>
      <w:r>
        <w:rPr>
          <w:color w:val="231F20"/>
        </w:rPr>
        <w:t>la</w:t>
      </w:r>
      <w:r>
        <w:rPr>
          <w:color w:val="231F20"/>
          <w:spacing w:val="-5"/>
        </w:rPr>
        <w:t> </w:t>
      </w:r>
      <w:r>
        <w:rPr>
          <w:color w:val="231F20"/>
        </w:rPr>
        <w:t>agresión</w:t>
      </w:r>
      <w:r>
        <w:rPr>
          <w:color w:val="231F20"/>
          <w:spacing w:val="-5"/>
        </w:rPr>
        <w:t> </w:t>
      </w:r>
      <w:r>
        <w:rPr>
          <w:color w:val="231F20"/>
        </w:rPr>
        <w:t>física,</w:t>
      </w:r>
      <w:r>
        <w:rPr>
          <w:color w:val="231F20"/>
          <w:spacing w:val="-6"/>
        </w:rPr>
        <w:t> </w:t>
      </w:r>
      <w:r>
        <w:rPr>
          <w:color w:val="231F20"/>
        </w:rPr>
        <w:t>con</w:t>
      </w:r>
      <w:r>
        <w:rPr>
          <w:color w:val="231F20"/>
          <w:spacing w:val="-5"/>
        </w:rPr>
        <w:t> </w:t>
      </w:r>
      <w:r>
        <w:rPr>
          <w:color w:val="231F20"/>
        </w:rPr>
        <w:t>el</w:t>
      </w:r>
      <w:r>
        <w:rPr>
          <w:color w:val="231F20"/>
          <w:spacing w:val="-6"/>
        </w:rPr>
        <w:t> </w:t>
      </w:r>
      <w:r>
        <w:rPr>
          <w:color w:val="231F20"/>
        </w:rPr>
        <w:t>0.7%.</w:t>
      </w:r>
    </w:p>
    <w:p>
      <w:pPr>
        <w:pStyle w:val="BodyText"/>
        <w:spacing w:line="244" w:lineRule="auto" w:before="3"/>
        <w:ind w:left="121" w:right="117"/>
        <w:jc w:val="both"/>
      </w:pPr>
      <w:r>
        <w:rPr>
          <w:color w:val="231F20"/>
        </w:rPr>
        <w:t>Cabe señalar queuna característica de la intimidación o el desprecio como maltrato es su naturaleza destructiva hacia quienes están expuestos</w:t>
      </w:r>
      <w:r>
        <w:rPr>
          <w:color w:val="231F20"/>
          <w:spacing w:val="-9"/>
        </w:rPr>
        <w:t> </w:t>
      </w:r>
      <w:r>
        <w:rPr>
          <w:color w:val="231F20"/>
        </w:rPr>
        <w:t>a</w:t>
      </w:r>
      <w:r>
        <w:rPr>
          <w:color w:val="231F20"/>
          <w:spacing w:val="-9"/>
        </w:rPr>
        <w:t> </w:t>
      </w:r>
      <w:r>
        <w:rPr>
          <w:color w:val="231F20"/>
        </w:rPr>
        <w:t>ella.</w:t>
      </w:r>
      <w:r>
        <w:rPr>
          <w:color w:val="231F20"/>
          <w:spacing w:val="-10"/>
        </w:rPr>
        <w:t> </w:t>
      </w:r>
      <w:r>
        <w:rPr>
          <w:color w:val="231F20"/>
        </w:rPr>
        <w:t>Se</w:t>
      </w:r>
      <w:r>
        <w:rPr>
          <w:color w:val="231F20"/>
          <w:spacing w:val="-9"/>
        </w:rPr>
        <w:t> </w:t>
      </w:r>
      <w:r>
        <w:rPr>
          <w:color w:val="231F20"/>
        </w:rPr>
        <w:t>ha</w:t>
      </w:r>
      <w:r>
        <w:rPr>
          <w:color w:val="231F20"/>
          <w:spacing w:val="-9"/>
        </w:rPr>
        <w:t> </w:t>
      </w:r>
      <w:r>
        <w:rPr>
          <w:color w:val="231F20"/>
        </w:rPr>
        <w:t>empezado</w:t>
      </w:r>
      <w:r>
        <w:rPr>
          <w:color w:val="231F20"/>
          <w:spacing w:val="-9"/>
        </w:rPr>
        <w:t> </w:t>
      </w:r>
      <w:r>
        <w:rPr>
          <w:color w:val="231F20"/>
        </w:rPr>
        <w:t>a</w:t>
      </w:r>
      <w:r>
        <w:rPr>
          <w:color w:val="231F20"/>
          <w:spacing w:val="-9"/>
        </w:rPr>
        <w:t> </w:t>
      </w:r>
      <w:r>
        <w:rPr>
          <w:color w:val="231F20"/>
        </w:rPr>
        <w:t>entender</w:t>
      </w:r>
      <w:r>
        <w:rPr>
          <w:color w:val="231F20"/>
          <w:spacing w:val="-9"/>
        </w:rPr>
        <w:t> </w:t>
      </w:r>
      <w:r>
        <w:rPr>
          <w:color w:val="231F20"/>
        </w:rPr>
        <w:t>que</w:t>
      </w:r>
      <w:r>
        <w:rPr>
          <w:color w:val="231F20"/>
          <w:spacing w:val="-9"/>
        </w:rPr>
        <w:t> </w:t>
      </w:r>
      <w:r>
        <w:rPr>
          <w:color w:val="231F20"/>
        </w:rPr>
        <w:t>puede</w:t>
      </w:r>
      <w:r>
        <w:rPr>
          <w:color w:val="231F20"/>
          <w:spacing w:val="-9"/>
        </w:rPr>
        <w:t> </w:t>
      </w:r>
      <w:r>
        <w:rPr>
          <w:color w:val="231F20"/>
        </w:rPr>
        <w:t>estar</w:t>
      </w:r>
      <w:r>
        <w:rPr>
          <w:color w:val="231F20"/>
          <w:spacing w:val="-9"/>
        </w:rPr>
        <w:t> </w:t>
      </w:r>
      <w:r>
        <w:rPr>
          <w:color w:val="231F20"/>
        </w:rPr>
        <w:t>asociada en la conducta de los estudiantes, respecto de una mayor ingesta   de</w:t>
      </w:r>
    </w:p>
    <w:p>
      <w:pPr>
        <w:spacing w:after="0" w:line="244" w:lineRule="auto"/>
        <w:jc w:val="both"/>
        <w:sectPr>
          <w:headerReference w:type="default" r:id="rId449"/>
          <w:footerReference w:type="default" r:id="rId450"/>
          <w:pgSz w:w="7830" w:h="11910"/>
          <w:pgMar w:header="0" w:footer="424" w:top="500" w:bottom="620" w:left="900" w:right="900"/>
          <w:pgNumType w:start="209"/>
        </w:sectPr>
      </w:pPr>
    </w:p>
    <w:p>
      <w:pPr>
        <w:spacing w:before="46"/>
        <w:ind w:left="12" w:right="9"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22" w:right="104"/>
      </w:pPr>
      <w:r>
        <w:rPr>
          <w:color w:val="231F20"/>
        </w:rPr>
        <w:t>alcohol, eventos de depresión y con una paulatina insatisfacción por la elección de la carrera de medicina (Frank, 2006).</w:t>
      </w:r>
    </w:p>
    <w:p>
      <w:pPr>
        <w:pStyle w:val="BodyText"/>
        <w:spacing w:before="2"/>
        <w:rPr>
          <w:sz w:val="19"/>
        </w:rPr>
      </w:pPr>
    </w:p>
    <w:p>
      <w:pPr>
        <w:spacing w:before="0"/>
        <w:ind w:left="11" w:right="9" w:firstLine="0"/>
        <w:jc w:val="center"/>
        <w:rPr>
          <w:b/>
          <w:sz w:val="19"/>
        </w:rPr>
      </w:pPr>
      <w:r>
        <w:rPr>
          <w:b/>
          <w:color w:val="231F20"/>
          <w:sz w:val="19"/>
        </w:rPr>
        <w:t>Gráfica 4</w:t>
      </w:r>
    </w:p>
    <w:p>
      <w:pPr>
        <w:pStyle w:val="BodyText"/>
        <w:spacing w:before="4"/>
        <w:rPr>
          <w:b/>
          <w:sz w:val="19"/>
        </w:rPr>
      </w:pPr>
      <w:r>
        <w:rPr/>
        <w:drawing>
          <wp:anchor distT="0" distB="0" distL="0" distR="0" allowOverlap="1" layoutInCell="1" locked="0" behindDoc="0" simplePos="0" relativeHeight="1864">
            <wp:simplePos x="0" y="0"/>
            <wp:positionH relativeFrom="page">
              <wp:posOffset>645964</wp:posOffset>
            </wp:positionH>
            <wp:positionV relativeFrom="paragraph">
              <wp:posOffset>166645</wp:posOffset>
            </wp:positionV>
            <wp:extent cx="3675887" cy="1761744"/>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454" cstate="print"/>
                    <a:stretch>
                      <a:fillRect/>
                    </a:stretch>
                  </pic:blipFill>
                  <pic:spPr>
                    <a:xfrm>
                      <a:off x="0" y="0"/>
                      <a:ext cx="3675887" cy="1761744"/>
                    </a:xfrm>
                    <a:prstGeom prst="rect">
                      <a:avLst/>
                    </a:prstGeom>
                  </pic:spPr>
                </pic:pic>
              </a:graphicData>
            </a:graphic>
          </wp:anchor>
        </w:drawing>
      </w:r>
    </w:p>
    <w:p>
      <w:pPr>
        <w:pStyle w:val="BodyText"/>
        <w:spacing w:before="6"/>
        <w:rPr>
          <w:b/>
          <w:sz w:val="19"/>
        </w:rPr>
      </w:pPr>
    </w:p>
    <w:p>
      <w:pPr>
        <w:pStyle w:val="BodyText"/>
        <w:spacing w:line="249" w:lineRule="auto"/>
        <w:ind w:left="122" w:right="115" w:firstLine="284"/>
        <w:jc w:val="both"/>
      </w:pPr>
      <w:r>
        <w:rPr>
          <w:color w:val="231F20"/>
          <w:spacing w:val="2"/>
        </w:rPr>
        <w:t>Una </w:t>
      </w:r>
      <w:r>
        <w:rPr>
          <w:color w:val="231F20"/>
          <w:spacing w:val="3"/>
        </w:rPr>
        <w:t>observación </w:t>
      </w:r>
      <w:r>
        <w:rPr>
          <w:color w:val="231F20"/>
          <w:spacing w:val="2"/>
        </w:rPr>
        <w:t>más detallada por </w:t>
      </w:r>
      <w:r>
        <w:rPr>
          <w:color w:val="231F20"/>
          <w:spacing w:val="3"/>
        </w:rPr>
        <w:t>unidades académicas (Grá- </w:t>
      </w:r>
      <w:r>
        <w:rPr>
          <w:color w:val="231F20"/>
        </w:rPr>
        <w:t>fica 5) </w:t>
      </w:r>
      <w:r>
        <w:rPr>
          <w:color w:val="231F20"/>
          <w:spacing w:val="2"/>
        </w:rPr>
        <w:t>nos arroja </w:t>
      </w:r>
      <w:r>
        <w:rPr>
          <w:color w:val="231F20"/>
        </w:rPr>
        <w:t>lo </w:t>
      </w:r>
      <w:r>
        <w:rPr>
          <w:color w:val="231F20"/>
          <w:spacing w:val="2"/>
        </w:rPr>
        <w:t>siguiente: </w:t>
      </w:r>
      <w:r>
        <w:rPr>
          <w:color w:val="231F20"/>
        </w:rPr>
        <w:t>el </w:t>
      </w:r>
      <w:r>
        <w:rPr>
          <w:color w:val="231F20"/>
          <w:spacing w:val="3"/>
        </w:rPr>
        <w:t>mayor número </w:t>
      </w:r>
      <w:r>
        <w:rPr>
          <w:color w:val="231F20"/>
        </w:rPr>
        <w:t>de </w:t>
      </w:r>
      <w:r>
        <w:rPr>
          <w:color w:val="231F20"/>
          <w:spacing w:val="2"/>
        </w:rPr>
        <w:t>situaciones </w:t>
      </w:r>
      <w:r>
        <w:rPr>
          <w:color w:val="231F20"/>
        </w:rPr>
        <w:t>de </w:t>
      </w:r>
      <w:r>
        <w:rPr>
          <w:color w:val="231F20"/>
          <w:spacing w:val="2"/>
        </w:rPr>
        <w:t>rechazo </w:t>
      </w:r>
      <w:r>
        <w:rPr>
          <w:color w:val="231F20"/>
        </w:rPr>
        <w:t>se </w:t>
      </w:r>
      <w:r>
        <w:rPr>
          <w:color w:val="231F20"/>
          <w:spacing w:val="3"/>
        </w:rPr>
        <w:t>presentaron </w:t>
      </w:r>
      <w:r>
        <w:rPr>
          <w:color w:val="231F20"/>
        </w:rPr>
        <w:t>en la de </w:t>
      </w:r>
      <w:r>
        <w:rPr>
          <w:color w:val="231F20"/>
          <w:spacing w:val="3"/>
        </w:rPr>
        <w:t>Enfermería </w:t>
      </w:r>
      <w:r>
        <w:rPr>
          <w:color w:val="231F20"/>
          <w:spacing w:val="2"/>
        </w:rPr>
        <w:t>(48), </w:t>
      </w:r>
      <w:r>
        <w:rPr>
          <w:color w:val="231F20"/>
        </w:rPr>
        <w:t>así </w:t>
      </w:r>
      <w:r>
        <w:rPr>
          <w:color w:val="231F20"/>
          <w:spacing w:val="3"/>
        </w:rPr>
        <w:t>como </w:t>
      </w:r>
      <w:r>
        <w:rPr>
          <w:color w:val="231F20"/>
          <w:spacing w:val="2"/>
        </w:rPr>
        <w:t>los eventos </w:t>
      </w:r>
      <w:r>
        <w:rPr>
          <w:color w:val="231F20"/>
        </w:rPr>
        <w:t>de </w:t>
      </w:r>
      <w:r>
        <w:rPr>
          <w:color w:val="231F20"/>
          <w:spacing w:val="2"/>
        </w:rPr>
        <w:t>intimidación (49), </w:t>
      </w:r>
      <w:r>
        <w:rPr>
          <w:color w:val="231F20"/>
        </w:rPr>
        <w:t>y </w:t>
      </w:r>
      <w:r>
        <w:rPr>
          <w:color w:val="231F20"/>
          <w:spacing w:val="2"/>
        </w:rPr>
        <w:t>los casos </w:t>
      </w:r>
      <w:r>
        <w:rPr>
          <w:color w:val="231F20"/>
        </w:rPr>
        <w:t>en </w:t>
      </w:r>
      <w:r>
        <w:rPr>
          <w:color w:val="231F20"/>
          <w:spacing w:val="2"/>
        </w:rPr>
        <w:t>que los estudiantes</w:t>
      </w:r>
      <w:r>
        <w:rPr>
          <w:color w:val="231F20"/>
          <w:spacing w:val="56"/>
        </w:rPr>
        <w:t> </w:t>
      </w:r>
      <w:r>
        <w:rPr>
          <w:color w:val="231F20"/>
          <w:spacing w:val="2"/>
        </w:rPr>
        <w:t>tuvieron que realizar tareas </w:t>
      </w:r>
      <w:r>
        <w:rPr>
          <w:color w:val="231F20"/>
          <w:spacing w:val="3"/>
        </w:rPr>
        <w:t>como </w:t>
      </w:r>
      <w:r>
        <w:rPr>
          <w:color w:val="231F20"/>
          <w:spacing w:val="2"/>
        </w:rPr>
        <w:t>castigo (20); los casos </w:t>
      </w:r>
      <w:r>
        <w:rPr>
          <w:color w:val="231F20"/>
        </w:rPr>
        <w:t>de </w:t>
      </w:r>
      <w:r>
        <w:rPr>
          <w:color w:val="231F20"/>
          <w:spacing w:val="3"/>
        </w:rPr>
        <w:t>violen- </w:t>
      </w:r>
      <w:r>
        <w:rPr>
          <w:color w:val="231F20"/>
        </w:rPr>
        <w:t>cia </w:t>
      </w:r>
      <w:r>
        <w:rPr>
          <w:color w:val="231F20"/>
          <w:spacing w:val="2"/>
        </w:rPr>
        <w:t>verbal ocurrieron </w:t>
      </w:r>
      <w:r>
        <w:rPr>
          <w:color w:val="231F20"/>
        </w:rPr>
        <w:t>en </w:t>
      </w:r>
      <w:r>
        <w:rPr>
          <w:color w:val="231F20"/>
          <w:spacing w:val="2"/>
        </w:rPr>
        <w:t>Medicina (23); los </w:t>
      </w:r>
      <w:r>
        <w:rPr>
          <w:color w:val="231F20"/>
        </w:rPr>
        <w:t>de </w:t>
      </w:r>
      <w:r>
        <w:rPr>
          <w:color w:val="231F20"/>
          <w:spacing w:val="2"/>
        </w:rPr>
        <w:t>acoso sexual </w:t>
      </w:r>
      <w:r>
        <w:rPr>
          <w:color w:val="231F20"/>
          <w:spacing w:val="3"/>
        </w:rPr>
        <w:t>se </w:t>
      </w:r>
      <w:r>
        <w:rPr>
          <w:color w:val="231F20"/>
          <w:spacing w:val="2"/>
        </w:rPr>
        <w:t>dieron </w:t>
      </w:r>
      <w:r>
        <w:rPr>
          <w:color w:val="231F20"/>
        </w:rPr>
        <w:t>en </w:t>
      </w:r>
      <w:r>
        <w:rPr>
          <w:color w:val="231F20"/>
          <w:spacing w:val="2"/>
        </w:rPr>
        <w:t>todas </w:t>
      </w:r>
      <w:r>
        <w:rPr>
          <w:color w:val="231F20"/>
        </w:rPr>
        <w:t>las </w:t>
      </w:r>
      <w:r>
        <w:rPr>
          <w:color w:val="231F20"/>
          <w:spacing w:val="3"/>
        </w:rPr>
        <w:t>unidades </w:t>
      </w:r>
      <w:r>
        <w:rPr>
          <w:color w:val="231F20"/>
          <w:spacing w:val="2"/>
        </w:rPr>
        <w:t>académicas, </w:t>
      </w:r>
      <w:r>
        <w:rPr>
          <w:color w:val="231F20"/>
        </w:rPr>
        <w:t>el </w:t>
      </w:r>
      <w:r>
        <w:rPr>
          <w:color w:val="231F20"/>
          <w:spacing w:val="3"/>
        </w:rPr>
        <w:t>mayor número </w:t>
      </w:r>
      <w:r>
        <w:rPr>
          <w:color w:val="231F20"/>
        </w:rPr>
        <w:t>en </w:t>
      </w:r>
      <w:r>
        <w:rPr>
          <w:color w:val="231F20"/>
          <w:spacing w:val="2"/>
        </w:rPr>
        <w:t>Medicina, </w:t>
      </w:r>
      <w:r>
        <w:rPr>
          <w:color w:val="231F20"/>
        </w:rPr>
        <w:t>le </w:t>
      </w:r>
      <w:r>
        <w:rPr>
          <w:color w:val="231F20"/>
          <w:spacing w:val="2"/>
        </w:rPr>
        <w:t>siguieron </w:t>
      </w:r>
      <w:r>
        <w:rPr>
          <w:color w:val="231F20"/>
          <w:spacing w:val="3"/>
        </w:rPr>
        <w:t>Enfermería </w:t>
      </w:r>
      <w:r>
        <w:rPr>
          <w:color w:val="231F20"/>
          <w:spacing w:val="2"/>
        </w:rPr>
        <w:t>(9), </w:t>
      </w:r>
      <w:r>
        <w:rPr>
          <w:color w:val="231F20"/>
          <w:spacing w:val="3"/>
        </w:rPr>
        <w:t>Odontología </w:t>
      </w:r>
      <w:r>
        <w:rPr>
          <w:color w:val="231F20"/>
        </w:rPr>
        <w:t>(4) y </w:t>
      </w:r>
      <w:r>
        <w:rPr>
          <w:color w:val="231F20"/>
          <w:spacing w:val="2"/>
        </w:rPr>
        <w:t>Qfb (5); los casos </w:t>
      </w:r>
      <w:r>
        <w:rPr>
          <w:color w:val="231F20"/>
        </w:rPr>
        <w:t>de </w:t>
      </w:r>
      <w:r>
        <w:rPr>
          <w:color w:val="231F20"/>
          <w:spacing w:val="2"/>
        </w:rPr>
        <w:t>humillación pública parecen </w:t>
      </w:r>
      <w:r>
        <w:rPr>
          <w:color w:val="231F20"/>
        </w:rPr>
        <w:t>ser el </w:t>
      </w:r>
      <w:r>
        <w:rPr>
          <w:color w:val="231F20"/>
          <w:spacing w:val="2"/>
        </w:rPr>
        <w:t>evento con </w:t>
      </w:r>
      <w:r>
        <w:rPr>
          <w:color w:val="231F20"/>
        </w:rPr>
        <w:t>el </w:t>
      </w:r>
      <w:r>
        <w:rPr>
          <w:color w:val="231F20"/>
          <w:spacing w:val="3"/>
        </w:rPr>
        <w:t>ma- </w:t>
      </w:r>
      <w:r>
        <w:rPr>
          <w:color w:val="231F20"/>
          <w:spacing w:val="2"/>
        </w:rPr>
        <w:t>yor </w:t>
      </w:r>
      <w:r>
        <w:rPr>
          <w:color w:val="231F20"/>
          <w:spacing w:val="3"/>
        </w:rPr>
        <w:t>número </w:t>
      </w:r>
      <w:r>
        <w:rPr>
          <w:color w:val="231F20"/>
        </w:rPr>
        <w:t>en </w:t>
      </w:r>
      <w:r>
        <w:rPr>
          <w:color w:val="231F20"/>
          <w:spacing w:val="2"/>
        </w:rPr>
        <w:t>todas </w:t>
      </w:r>
      <w:r>
        <w:rPr>
          <w:color w:val="231F20"/>
        </w:rPr>
        <w:t>las </w:t>
      </w:r>
      <w:r>
        <w:rPr>
          <w:color w:val="231F20"/>
          <w:spacing w:val="2"/>
        </w:rPr>
        <w:t>unidades académicas: Qfb (21), Medicina (20), </w:t>
      </w:r>
      <w:r>
        <w:rPr>
          <w:color w:val="231F20"/>
          <w:spacing w:val="3"/>
        </w:rPr>
        <w:t>Enfermería </w:t>
      </w:r>
      <w:r>
        <w:rPr>
          <w:color w:val="231F20"/>
          <w:spacing w:val="2"/>
        </w:rPr>
        <w:t>(19) </w:t>
      </w:r>
      <w:r>
        <w:rPr>
          <w:color w:val="231F20"/>
        </w:rPr>
        <w:t>y </w:t>
      </w:r>
      <w:r>
        <w:rPr>
          <w:color w:val="231F20"/>
          <w:spacing w:val="3"/>
        </w:rPr>
        <w:t>Odontología </w:t>
      </w:r>
      <w:r>
        <w:rPr>
          <w:color w:val="231F20"/>
          <w:spacing w:val="2"/>
        </w:rPr>
        <w:t>(17). </w:t>
      </w:r>
      <w:r>
        <w:rPr>
          <w:color w:val="231F20"/>
        </w:rPr>
        <w:t>La </w:t>
      </w:r>
      <w:r>
        <w:rPr>
          <w:color w:val="231F20"/>
          <w:spacing w:val="2"/>
        </w:rPr>
        <w:t>agresión física </w:t>
      </w:r>
      <w:r>
        <w:rPr>
          <w:color w:val="231F20"/>
        </w:rPr>
        <w:t>fue el </w:t>
      </w:r>
      <w:r>
        <w:rPr>
          <w:color w:val="231F20"/>
          <w:spacing w:val="2"/>
        </w:rPr>
        <w:t>evento con </w:t>
      </w:r>
      <w:r>
        <w:rPr>
          <w:color w:val="231F20"/>
        </w:rPr>
        <w:t>el </w:t>
      </w:r>
      <w:r>
        <w:rPr>
          <w:color w:val="231F20"/>
          <w:spacing w:val="3"/>
        </w:rPr>
        <w:t>menor número </w:t>
      </w:r>
      <w:r>
        <w:rPr>
          <w:color w:val="231F20"/>
        </w:rPr>
        <w:t>de </w:t>
      </w:r>
      <w:r>
        <w:rPr>
          <w:color w:val="231F20"/>
          <w:spacing w:val="2"/>
        </w:rPr>
        <w:t>incidencias presentadas, Medicina</w:t>
      </w:r>
    </w:p>
    <w:p>
      <w:pPr>
        <w:pStyle w:val="ListParagraph"/>
        <w:numPr>
          <w:ilvl w:val="0"/>
          <w:numId w:val="11"/>
        </w:numPr>
        <w:tabs>
          <w:tab w:pos="417" w:val="left" w:leader="none"/>
        </w:tabs>
        <w:spacing w:line="240" w:lineRule="exact" w:before="0" w:after="0"/>
        <w:ind w:left="416" w:right="0" w:hanging="294"/>
        <w:jc w:val="left"/>
        <w:rPr>
          <w:sz w:val="21"/>
        </w:rPr>
      </w:pPr>
      <w:r>
        <w:rPr>
          <w:color w:val="231F20"/>
          <w:sz w:val="21"/>
        </w:rPr>
        <w:t>y </w:t>
      </w:r>
      <w:r>
        <w:rPr>
          <w:color w:val="231F20"/>
          <w:spacing w:val="2"/>
          <w:sz w:val="21"/>
        </w:rPr>
        <w:t>Qfb</w:t>
      </w:r>
      <w:r>
        <w:rPr>
          <w:color w:val="231F20"/>
          <w:spacing w:val="1"/>
          <w:sz w:val="21"/>
        </w:rPr>
        <w:t> </w:t>
      </w:r>
      <w:r>
        <w:rPr>
          <w:color w:val="231F20"/>
          <w:spacing w:val="2"/>
          <w:sz w:val="21"/>
        </w:rPr>
        <w:t>(1).</w:t>
      </w:r>
    </w:p>
    <w:p>
      <w:pPr>
        <w:pStyle w:val="BodyText"/>
        <w:spacing w:line="249" w:lineRule="auto" w:before="8"/>
        <w:ind w:left="122" w:right="115" w:firstLine="284"/>
        <w:jc w:val="both"/>
      </w:pPr>
      <w:r>
        <w:rPr>
          <w:color w:val="231F20"/>
        </w:rPr>
        <w:t>Con respecto a las experiencias de acoso sexual que recibieron las(os) estudiantes por parte de los docentes, llama la atención, que se presentaron en todas las unidades académicas. Diversos estudios, </w:t>
      </w:r>
      <w:r>
        <w:rPr>
          <w:color w:val="231F20"/>
          <w:w w:val="84"/>
        </w:rPr>
        <w:t>l</w:t>
      </w:r>
      <w:r>
        <w:rPr>
          <w:color w:val="231F20"/>
          <w:w w:val="94"/>
        </w:rPr>
        <w:t>a</w:t>
      </w:r>
      <w:r>
        <w:rPr>
          <w:color w:val="231F20"/>
        </w:rPr>
        <w:t> </w:t>
      </w:r>
      <w:r>
        <w:rPr>
          <w:color w:val="231F20"/>
          <w:spacing w:val="8"/>
        </w:rPr>
        <w:t> </w:t>
      </w:r>
      <w:r>
        <w:rPr>
          <w:color w:val="231F20"/>
          <w:spacing w:val="3"/>
          <w:w w:val="101"/>
        </w:rPr>
        <w:t>m</w:t>
      </w:r>
      <w:r>
        <w:rPr>
          <w:color w:val="231F20"/>
          <w:spacing w:val="2"/>
          <w:w w:val="100"/>
        </w:rPr>
        <w:t>u</w:t>
      </w:r>
      <w:r>
        <w:rPr>
          <w:color w:val="231F20"/>
          <w:spacing w:val="1"/>
          <w:w w:val="96"/>
        </w:rPr>
        <w:t>e</w:t>
      </w:r>
      <w:r>
        <w:rPr>
          <w:color w:val="231F20"/>
          <w:spacing w:val="1"/>
          <w:w w:val="96"/>
        </w:rPr>
        <w:t>s</w:t>
      </w:r>
      <w:r>
        <w:rPr>
          <w:color w:val="231F20"/>
          <w:spacing w:val="1"/>
          <w:w w:val="107"/>
        </w:rPr>
        <w:t>t</w:t>
      </w:r>
      <w:r>
        <w:rPr>
          <w:color w:val="231F20"/>
          <w:spacing w:val="1"/>
          <w:w w:val="103"/>
        </w:rPr>
        <w:t>r</w:t>
      </w:r>
      <w:r>
        <w:rPr>
          <w:color w:val="231F20"/>
          <w:spacing w:val="1"/>
          <w:w w:val="94"/>
        </w:rPr>
        <w:t>a</w:t>
      </w:r>
      <w:r>
        <w:rPr>
          <w:color w:val="231F20"/>
          <w:w w:val="104"/>
        </w:rPr>
        <w:t>n</w:t>
      </w:r>
      <w:r>
        <w:rPr>
          <w:color w:val="231F20"/>
        </w:rPr>
        <w:t> </w:t>
      </w:r>
      <w:r>
        <w:rPr>
          <w:color w:val="231F20"/>
          <w:spacing w:val="8"/>
        </w:rPr>
        <w:t> </w:t>
      </w:r>
      <w:r>
        <w:rPr>
          <w:color w:val="231F20"/>
          <w:spacing w:val="1"/>
          <w:w w:val="96"/>
        </w:rPr>
        <w:t>c</w:t>
      </w:r>
      <w:r>
        <w:rPr>
          <w:color w:val="231F20"/>
          <w:spacing w:val="2"/>
          <w:w w:val="103"/>
        </w:rPr>
        <w:t>o</w:t>
      </w:r>
      <w:r>
        <w:rPr>
          <w:color w:val="231F20"/>
          <w:spacing w:val="3"/>
          <w:w w:val="103"/>
        </w:rPr>
        <w:t>m</w:t>
      </w:r>
      <w:r>
        <w:rPr>
          <w:color w:val="231F20"/>
          <w:w w:val="104"/>
        </w:rPr>
        <w:t>o</w:t>
      </w:r>
      <w:r>
        <w:rPr>
          <w:color w:val="231F20"/>
        </w:rPr>
        <w:t> </w:t>
      </w:r>
      <w:r>
        <w:rPr>
          <w:color w:val="231F20"/>
          <w:spacing w:val="8"/>
        </w:rPr>
        <w:t> </w:t>
      </w:r>
      <w:r>
        <w:rPr>
          <w:color w:val="231F20"/>
          <w:spacing w:val="2"/>
          <w:w w:val="100"/>
        </w:rPr>
        <w:t>u</w:t>
      </w:r>
      <w:r>
        <w:rPr>
          <w:color w:val="231F20"/>
          <w:spacing w:val="2"/>
          <w:w w:val="99"/>
        </w:rPr>
        <w:t>n</w:t>
      </w:r>
      <w:r>
        <w:rPr>
          <w:color w:val="231F20"/>
          <w:w w:val="99"/>
        </w:rPr>
        <w:t>a</w:t>
      </w:r>
      <w:r>
        <w:rPr>
          <w:color w:val="231F20"/>
        </w:rPr>
        <w:t> </w:t>
      </w:r>
      <w:r>
        <w:rPr>
          <w:color w:val="231F20"/>
          <w:spacing w:val="8"/>
        </w:rPr>
        <w:t> </w:t>
      </w:r>
      <w:r>
        <w:rPr>
          <w:color w:val="231F20"/>
          <w:spacing w:val="1"/>
          <w:w w:val="96"/>
        </w:rPr>
        <w:t>c</w:t>
      </w:r>
      <w:r>
        <w:rPr>
          <w:color w:val="231F20"/>
          <w:spacing w:val="2"/>
          <w:w w:val="102"/>
        </w:rPr>
        <w:t>on</w:t>
      </w:r>
      <w:r>
        <w:rPr>
          <w:color w:val="231F20"/>
          <w:spacing w:val="1"/>
          <w:w w:val="102"/>
        </w:rPr>
        <w:t>s</w:t>
      </w:r>
      <w:r>
        <w:rPr>
          <w:color w:val="231F20"/>
          <w:spacing w:val="1"/>
          <w:w w:val="107"/>
        </w:rPr>
        <w:t>t</w:t>
      </w:r>
      <w:r>
        <w:rPr>
          <w:color w:val="231F20"/>
          <w:spacing w:val="1"/>
          <w:w w:val="94"/>
        </w:rPr>
        <w:t>a</w:t>
      </w:r>
      <w:r>
        <w:rPr>
          <w:color w:val="231F20"/>
          <w:spacing w:val="2"/>
          <w:w w:val="106"/>
        </w:rPr>
        <w:t>n</w:t>
      </w:r>
      <w:r>
        <w:rPr>
          <w:color w:val="231F20"/>
          <w:spacing w:val="1"/>
          <w:w w:val="106"/>
        </w:rPr>
        <w:t>t</w:t>
      </w:r>
      <w:r>
        <w:rPr>
          <w:color w:val="231F20"/>
          <w:spacing w:val="1"/>
          <w:w w:val="96"/>
        </w:rPr>
        <w:t>e</w:t>
      </w:r>
      <w:r>
        <w:rPr>
          <w:color w:val="231F20"/>
          <w:w w:val="89"/>
        </w:rPr>
        <w:t>,</w:t>
      </w:r>
      <w:r>
        <w:rPr>
          <w:color w:val="231F20"/>
        </w:rPr>
        <w:t> </w:t>
      </w:r>
      <w:r>
        <w:rPr>
          <w:color w:val="231F20"/>
          <w:spacing w:val="7"/>
        </w:rPr>
        <w:t> </w:t>
      </w:r>
      <w:r>
        <w:rPr>
          <w:color w:val="231F20"/>
          <w:spacing w:val="2"/>
          <w:w w:val="104"/>
        </w:rPr>
        <w:t>po</w:t>
      </w:r>
      <w:r>
        <w:rPr>
          <w:color w:val="231F20"/>
          <w:w w:val="104"/>
        </w:rPr>
        <w:t>r</w:t>
      </w:r>
      <w:r>
        <w:rPr>
          <w:color w:val="231F20"/>
        </w:rPr>
        <w:t> </w:t>
      </w:r>
      <w:r>
        <w:rPr>
          <w:color w:val="231F20"/>
          <w:spacing w:val="8"/>
        </w:rPr>
        <w:t> </w:t>
      </w:r>
      <w:r>
        <w:rPr>
          <w:color w:val="231F20"/>
          <w:spacing w:val="1"/>
          <w:w w:val="96"/>
        </w:rPr>
        <w:t>e</w:t>
      </w:r>
      <w:r>
        <w:rPr>
          <w:color w:val="231F20"/>
          <w:w w:val="84"/>
        </w:rPr>
        <w:t>j</w:t>
      </w:r>
      <w:r>
        <w:rPr>
          <w:color w:val="231F20"/>
          <w:spacing w:val="1"/>
          <w:w w:val="96"/>
        </w:rPr>
        <w:t>e</w:t>
      </w:r>
      <w:r>
        <w:rPr>
          <w:color w:val="231F20"/>
          <w:spacing w:val="3"/>
          <w:w w:val="101"/>
        </w:rPr>
        <w:t>m</w:t>
      </w:r>
      <w:r>
        <w:rPr>
          <w:color w:val="231F20"/>
          <w:spacing w:val="2"/>
          <w:w w:val="97"/>
        </w:rPr>
        <w:t>p</w:t>
      </w:r>
      <w:r>
        <w:rPr>
          <w:color w:val="231F20"/>
          <w:w w:val="97"/>
        </w:rPr>
        <w:t>l</w:t>
      </w:r>
      <w:r>
        <w:rPr>
          <w:color w:val="231F20"/>
          <w:w w:val="104"/>
        </w:rPr>
        <w:t>o</w:t>
      </w:r>
      <w:r>
        <w:rPr>
          <w:color w:val="231F20"/>
        </w:rPr>
        <w:t> </w:t>
      </w:r>
      <w:r>
        <w:rPr>
          <w:color w:val="231F20"/>
          <w:spacing w:val="8"/>
        </w:rPr>
        <w:t> </w:t>
      </w:r>
      <w:r>
        <w:rPr>
          <w:color w:val="231F20"/>
          <w:spacing w:val="3"/>
          <w:w w:val="96"/>
        </w:rPr>
        <w:t>M</w:t>
      </w:r>
      <w:r>
        <w:rPr>
          <w:color w:val="231F20"/>
          <w:spacing w:val="2"/>
          <w:w w:val="101"/>
        </w:rPr>
        <w:t>o</w:t>
      </w:r>
      <w:r>
        <w:rPr>
          <w:color w:val="231F20"/>
          <w:spacing w:val="1"/>
          <w:w w:val="101"/>
        </w:rPr>
        <w:t>s</w:t>
      </w:r>
      <w:r>
        <w:rPr>
          <w:color w:val="231F20"/>
          <w:spacing w:val="1"/>
          <w:w w:val="96"/>
        </w:rPr>
        <w:t>c</w:t>
      </w:r>
      <w:r>
        <w:rPr>
          <w:color w:val="231F20"/>
          <w:spacing w:val="1"/>
          <w:w w:val="94"/>
        </w:rPr>
        <w:t>a</w:t>
      </w:r>
      <w:r>
        <w:rPr>
          <w:color w:val="231F20"/>
          <w:spacing w:val="1"/>
          <w:w w:val="103"/>
        </w:rPr>
        <w:t>r</w:t>
      </w:r>
      <w:r>
        <w:rPr>
          <w:color w:val="231F20"/>
          <w:spacing w:val="1"/>
          <w:w w:val="96"/>
        </w:rPr>
        <w:t>e</w:t>
      </w:r>
      <w:r>
        <w:rPr>
          <w:color w:val="231F20"/>
          <w:w w:val="84"/>
        </w:rPr>
        <w:t>ll</w:t>
      </w:r>
      <w:r>
        <w:rPr>
          <w:color w:val="231F20"/>
          <w:w w:val="104"/>
        </w:rPr>
        <w:t>o</w:t>
      </w:r>
      <w:r>
        <w:rPr>
          <w:color w:val="231F20"/>
        </w:rPr>
        <w:t> </w:t>
      </w:r>
      <w:r>
        <w:rPr>
          <w:color w:val="231F20"/>
          <w:spacing w:val="8"/>
        </w:rPr>
        <w:t> </w:t>
      </w:r>
      <w:r>
        <w:rPr>
          <w:color w:val="231F20"/>
          <w:spacing w:val="1"/>
          <w:w w:val="90"/>
        </w:rPr>
        <w:t>(</w:t>
      </w:r>
      <w:r>
        <w:rPr>
          <w:color w:val="231F20"/>
          <w:spacing w:val="1"/>
          <w:w w:val="96"/>
        </w:rPr>
        <w:t>s</w:t>
      </w:r>
      <w:r>
        <w:rPr>
          <w:color w:val="231F20"/>
          <w:spacing w:val="2"/>
          <w:w w:val="185"/>
        </w:rPr>
        <w:t>/</w:t>
      </w:r>
      <w:r>
        <w:rPr>
          <w:color w:val="231F20"/>
          <w:spacing w:val="1"/>
          <w:w w:val="99"/>
        </w:rPr>
        <w:t>f</w:t>
      </w:r>
      <w:r>
        <w:rPr>
          <w:color w:val="231F20"/>
          <w:w w:val="90"/>
        </w:rPr>
        <w:t>) </w:t>
      </w:r>
      <w:r>
        <w:rPr>
          <w:color w:val="231F20"/>
        </w:rPr>
        <w:t>reporta que las mujeres de su estudio lo  experimentaron  en  un 46%. Mangus (1998) encontró que 1 de cada 5 estudiantes mujeres lo vivieron, al menos en una ocasión, por parte de instructores o supervisores, en algún momento de su formación. En nuestro caso, su presenciaocupa el penúltimo lugar en incidencias</w:t>
      </w:r>
      <w:r>
        <w:rPr>
          <w:color w:val="231F20"/>
          <w:spacing w:val="-25"/>
        </w:rPr>
        <w:t> </w:t>
      </w:r>
      <w:r>
        <w:rPr>
          <w:color w:val="231F20"/>
        </w:rPr>
        <w:t>(7.7%).</w:t>
      </w:r>
    </w:p>
    <w:p>
      <w:pPr>
        <w:spacing w:after="0" w:line="249" w:lineRule="auto"/>
        <w:jc w:val="both"/>
        <w:sectPr>
          <w:headerReference w:type="default" r:id="rId452"/>
          <w:footerReference w:type="default" r:id="rId453"/>
          <w:pgSz w:w="7830" w:h="11910"/>
          <w:pgMar w:header="0" w:footer="424" w:top="500" w:bottom="620" w:left="900" w:right="900"/>
          <w:pgNumType w:start="210"/>
        </w:sectPr>
      </w:pPr>
    </w:p>
    <w:p>
      <w:pPr>
        <w:spacing w:before="46"/>
        <w:ind w:left="12" w:right="9"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spacing w:before="0"/>
        <w:ind w:left="11" w:right="9" w:firstLine="0"/>
        <w:jc w:val="center"/>
        <w:rPr>
          <w:b/>
          <w:sz w:val="21"/>
        </w:rPr>
      </w:pPr>
      <w:r>
        <w:rPr/>
        <w:drawing>
          <wp:anchor distT="0" distB="0" distL="0" distR="0" allowOverlap="1" layoutInCell="1" locked="0" behindDoc="0" simplePos="0" relativeHeight="1888">
            <wp:simplePos x="0" y="0"/>
            <wp:positionH relativeFrom="page">
              <wp:posOffset>645884</wp:posOffset>
            </wp:positionH>
            <wp:positionV relativeFrom="paragraph">
              <wp:posOffset>238294</wp:posOffset>
            </wp:positionV>
            <wp:extent cx="3675904" cy="1700783"/>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457" cstate="print"/>
                    <a:stretch>
                      <a:fillRect/>
                    </a:stretch>
                  </pic:blipFill>
                  <pic:spPr>
                    <a:xfrm>
                      <a:off x="0" y="0"/>
                      <a:ext cx="3675904" cy="1700783"/>
                    </a:xfrm>
                    <a:prstGeom prst="rect">
                      <a:avLst/>
                    </a:prstGeom>
                  </pic:spPr>
                </pic:pic>
              </a:graphicData>
            </a:graphic>
          </wp:anchor>
        </w:drawing>
      </w:r>
      <w:r>
        <w:rPr>
          <w:b/>
          <w:color w:val="231F20"/>
          <w:sz w:val="19"/>
        </w:rPr>
        <w:t>Gráfica </w:t>
      </w:r>
      <w:r>
        <w:rPr>
          <w:b/>
          <w:color w:val="231F20"/>
          <w:sz w:val="21"/>
        </w:rPr>
        <w:t>5</w:t>
      </w:r>
    </w:p>
    <w:p>
      <w:pPr>
        <w:pStyle w:val="BodyText"/>
        <w:rPr>
          <w:b/>
          <w:sz w:val="22"/>
        </w:rPr>
      </w:pPr>
    </w:p>
    <w:p>
      <w:pPr>
        <w:pStyle w:val="BodyText"/>
        <w:spacing w:before="7"/>
        <w:rPr>
          <w:b/>
          <w:sz w:val="19"/>
        </w:rPr>
      </w:pPr>
    </w:p>
    <w:p>
      <w:pPr>
        <w:pStyle w:val="BodyText"/>
        <w:ind w:left="122"/>
        <w:jc w:val="both"/>
      </w:pPr>
      <w:r>
        <w:rPr>
          <w:color w:val="231F20"/>
        </w:rPr>
        <w:t>LAS MUESTRAS DE MALTRATO Y EL   GÉNERO</w:t>
      </w:r>
    </w:p>
    <w:p>
      <w:pPr>
        <w:pStyle w:val="BodyText"/>
        <w:spacing w:before="1"/>
      </w:pPr>
    </w:p>
    <w:p>
      <w:pPr>
        <w:pStyle w:val="BodyText"/>
        <w:spacing w:line="247" w:lineRule="auto" w:before="1"/>
        <w:ind w:left="122" w:right="117"/>
        <w:jc w:val="both"/>
      </w:pPr>
      <w:r>
        <w:rPr>
          <w:color w:val="231F20"/>
        </w:rPr>
        <w:t>¿Qué tipo de maltrato presentó el mayor porcentaje? Observamos   lo siguiente: en primer lugar aparece el rechazo con el 29.44%; la intimidación, con el 27.22%; la humillación pública, con el 14.26%; el realizar tareas extras como castigo alcanzó el 12.04%; la violencia verbal se ubicó en el quinto sitio con 11.11%; los casos de acoso sexual alcanzaron al 5.37% de la población, y los eventos de agre- sión física se presentaron en tres ocasiones (0.6%).</w:t>
      </w:r>
    </w:p>
    <w:p>
      <w:pPr>
        <w:pStyle w:val="BodyText"/>
        <w:spacing w:line="247" w:lineRule="auto"/>
        <w:ind w:left="122" w:right="115"/>
        <w:jc w:val="both"/>
      </w:pPr>
      <w:r>
        <w:rPr>
          <w:color w:val="231F20"/>
        </w:rPr>
        <w:t>¿Quiénes sufrieron más el maltrato, los hombres o las mujeres? De acuerdo a la gráfica 6, en una primera mirada advertimos que de manera general, son las mujeres el grupo que recibió el mayor </w:t>
      </w:r>
      <w:r>
        <w:rPr>
          <w:color w:val="231F20"/>
          <w:spacing w:val="2"/>
        </w:rPr>
        <w:t>nú- </w:t>
      </w:r>
      <w:r>
        <w:rPr>
          <w:color w:val="231F20"/>
        </w:rPr>
        <w:t>mero de maltratos. Considerando solo  a las mujeres, la frecuencia  de maltrato y su tipo, se presenta el siguiente panorama: el rechazo (30%), la intimidación (29.5%), la humillación pública (14%), las tareas como castigo y la violencia verbal (10%), el acoso sexual (5.6%)</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rPr>
        <w:t>violencia</w:t>
      </w:r>
      <w:r>
        <w:rPr>
          <w:color w:val="231F20"/>
          <w:spacing w:val="-20"/>
        </w:rPr>
        <w:t> </w:t>
      </w:r>
      <w:r>
        <w:rPr>
          <w:color w:val="231F20"/>
        </w:rPr>
        <w:t>(.3%).</w:t>
      </w:r>
    </w:p>
    <w:p>
      <w:pPr>
        <w:pStyle w:val="BodyText"/>
        <w:spacing w:line="247" w:lineRule="auto" w:before="1"/>
        <w:ind w:left="121" w:right="114"/>
        <w:jc w:val="both"/>
      </w:pPr>
      <w:r>
        <w:rPr>
          <w:color w:val="231F20"/>
        </w:rPr>
        <w:t>En el caso del acoso sexual, este se presentó en 20 ocasiones; el mayor número lo padecieron las mujeres en más del doble: 9 fueron para los hombres, y 20 para las mujeres. En el caso de la agresión física, los hombres la padecieron más: dos eventos frente a uno de mujeres. Estos datos nos muestran a las mujeres como el grupo con un mayor riesgo de sufrir algún tipo de maltrato. Rautio (2005) encontró que las mujeres de su estudio le reportaron una mayor frecuencia respecto de los varones, por ejemplo, en las tareas    asig-</w:t>
      </w:r>
    </w:p>
    <w:p>
      <w:pPr>
        <w:spacing w:after="0" w:line="247" w:lineRule="auto"/>
        <w:jc w:val="both"/>
        <w:sectPr>
          <w:headerReference w:type="default" r:id="rId455"/>
          <w:footerReference w:type="default" r:id="rId456"/>
          <w:pgSz w:w="7830" w:h="11910"/>
          <w:pgMar w:header="0" w:footer="424" w:top="500" w:bottom="620" w:left="900" w:right="900"/>
          <w:pgNumType w:start="211"/>
        </w:sectPr>
      </w:pPr>
    </w:p>
    <w:p>
      <w:pPr>
        <w:spacing w:before="46"/>
        <w:ind w:left="616"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4" w:lineRule="auto"/>
        <w:ind w:left="121" w:right="116"/>
        <w:jc w:val="both"/>
      </w:pPr>
      <w:r>
        <w:rPr>
          <w:color w:val="231F20"/>
        </w:rPr>
        <w:t>nadas como castigo (13%), la violencia verbal (23%), el menospre- cio y la humillación (40%), el acoso sexual o maltrato basado en el género (17%).</w:t>
      </w:r>
    </w:p>
    <w:p>
      <w:pPr>
        <w:pStyle w:val="BodyText"/>
        <w:spacing w:before="11"/>
      </w:pPr>
    </w:p>
    <w:p>
      <w:pPr>
        <w:spacing w:before="0"/>
        <w:ind w:left="2633" w:right="104" w:firstLine="0"/>
        <w:jc w:val="left"/>
        <w:rPr>
          <w:b/>
          <w:sz w:val="19"/>
        </w:rPr>
      </w:pPr>
      <w:r>
        <w:rPr/>
        <w:drawing>
          <wp:anchor distT="0" distB="0" distL="0" distR="0" allowOverlap="1" layoutInCell="1" locked="0" behindDoc="0" simplePos="0" relativeHeight="1912">
            <wp:simplePos x="0" y="0"/>
            <wp:positionH relativeFrom="page">
              <wp:posOffset>645739</wp:posOffset>
            </wp:positionH>
            <wp:positionV relativeFrom="paragraph">
              <wp:posOffset>223423</wp:posOffset>
            </wp:positionV>
            <wp:extent cx="3675888" cy="1920239"/>
            <wp:effectExtent l="0" t="0" r="0" b="0"/>
            <wp:wrapTopAndBottom/>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460" cstate="print"/>
                    <a:stretch>
                      <a:fillRect/>
                    </a:stretch>
                  </pic:blipFill>
                  <pic:spPr>
                    <a:xfrm>
                      <a:off x="0" y="0"/>
                      <a:ext cx="3675888" cy="1920239"/>
                    </a:xfrm>
                    <a:prstGeom prst="rect">
                      <a:avLst/>
                    </a:prstGeom>
                  </pic:spPr>
                </pic:pic>
              </a:graphicData>
            </a:graphic>
          </wp:anchor>
        </w:drawing>
      </w:r>
      <w:r>
        <w:rPr>
          <w:b/>
          <w:color w:val="231F20"/>
          <w:sz w:val="19"/>
        </w:rPr>
        <w:t>Gráfica 6</w:t>
      </w:r>
    </w:p>
    <w:p>
      <w:pPr>
        <w:pStyle w:val="BodyText"/>
        <w:spacing w:before="6"/>
        <w:rPr>
          <w:b/>
          <w:sz w:val="19"/>
        </w:rPr>
      </w:pPr>
    </w:p>
    <w:p>
      <w:pPr>
        <w:pStyle w:val="BodyText"/>
        <w:spacing w:line="247" w:lineRule="auto"/>
        <w:ind w:left="122" w:right="1351"/>
        <w:jc w:val="both"/>
      </w:pPr>
      <w:r>
        <w:rPr>
          <w:color w:val="231F20"/>
          <w:w w:val="105"/>
        </w:rPr>
        <w:t>CONVIVENCIA Y EPISODIOS DE MALTRATO ENTRE DOCENTES Y ESTUDIANTES EN LOS </w:t>
      </w:r>
      <w:r>
        <w:rPr>
          <w:color w:val="231F20"/>
        </w:rPr>
        <w:t>ESPACIOS  CLÍNICOS</w:t>
      </w:r>
    </w:p>
    <w:p>
      <w:pPr>
        <w:pStyle w:val="BodyText"/>
        <w:spacing w:before="4"/>
        <w:rPr>
          <w:sz w:val="23"/>
        </w:rPr>
      </w:pPr>
    </w:p>
    <w:p>
      <w:pPr>
        <w:spacing w:line="273" w:lineRule="auto" w:before="0"/>
        <w:ind w:left="178" w:right="104" w:firstLine="135"/>
        <w:jc w:val="left"/>
        <w:rPr>
          <w:sz w:val="19"/>
        </w:rPr>
      </w:pPr>
      <w:r>
        <w:rPr>
          <w:color w:val="231F20"/>
          <w:sz w:val="19"/>
        </w:rPr>
        <w:t>The tears ran down my face, hidden by my surgical mask. My consultant continued relentlessly, ¿why can´t you do this? It really isn´t hard. Are you</w:t>
      </w:r>
    </w:p>
    <w:p>
      <w:pPr>
        <w:spacing w:before="6"/>
        <w:ind w:left="2905" w:right="104" w:firstLine="0"/>
        <w:jc w:val="left"/>
        <w:rPr>
          <w:sz w:val="19"/>
        </w:rPr>
      </w:pPr>
      <w:r>
        <w:rPr>
          <w:color w:val="231F20"/>
          <w:sz w:val="19"/>
        </w:rPr>
        <w:t>stupid? Can´t you see how to help me?</w:t>
      </w:r>
    </w:p>
    <w:p>
      <w:pPr>
        <w:spacing w:before="31"/>
        <w:ind w:left="122" w:right="104" w:firstLine="4830"/>
        <w:jc w:val="left"/>
        <w:rPr>
          <w:sz w:val="19"/>
        </w:rPr>
      </w:pPr>
      <w:r>
        <w:rPr>
          <w:color w:val="231F20"/>
          <w:sz w:val="19"/>
        </w:rPr>
        <w:t>Anonymous</w:t>
      </w:r>
    </w:p>
    <w:p>
      <w:pPr>
        <w:pStyle w:val="BodyText"/>
        <w:spacing w:before="6"/>
      </w:pPr>
    </w:p>
    <w:p>
      <w:pPr>
        <w:pStyle w:val="BodyText"/>
        <w:spacing w:line="244" w:lineRule="auto"/>
        <w:ind w:left="122" w:right="114"/>
        <w:jc w:val="both"/>
      </w:pPr>
      <w:r>
        <w:rPr>
          <w:color w:val="231F20"/>
        </w:rPr>
        <w:t>Para las carreras del área, los espacios para la enseñanza que pro- porcionan las instituciones del sector salud, en la formación de los estudiantes, resultan ser de capital importancia. Es ahí donde com- binarán los aspectos teóricos con los prácticos; conocerán la diná- mica interna de trabajo, las funciones y responsabilidades de cada uno de sus integrantes, las condiciones laborales del personal, los acuerdos y situaciones de compromiso entre los diferentes profe- sionales, los horarios y jornadas de trabajo, el tipo de convivencia y sus normas tanto establecidas como las “no escritas”, los valores éticos de la profesión que en mayor o menor medida se respetan.   No podríamos entender el actuar de un médico sin una amplia formación práctica, o a una enfermera sin el entrenamiento </w:t>
      </w:r>
      <w:r>
        <w:rPr>
          <w:color w:val="231F20"/>
          <w:spacing w:val="48"/>
        </w:rPr>
        <w:t> </w:t>
      </w:r>
      <w:r>
        <w:rPr>
          <w:color w:val="231F20"/>
        </w:rPr>
        <w:t>adecua-</w:t>
      </w:r>
    </w:p>
    <w:p>
      <w:pPr>
        <w:spacing w:after="0" w:line="244" w:lineRule="auto"/>
        <w:jc w:val="both"/>
        <w:sectPr>
          <w:headerReference w:type="default" r:id="rId458"/>
          <w:footerReference w:type="default" r:id="rId459"/>
          <w:pgSz w:w="7830" w:h="11910"/>
          <w:pgMar w:header="0" w:footer="424" w:top="500" w:bottom="620" w:left="900" w:right="900"/>
          <w:pgNumType w:start="212"/>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1" w:right="115"/>
        <w:jc w:val="both"/>
      </w:pPr>
      <w:r>
        <w:rPr>
          <w:color w:val="231F20"/>
        </w:rPr>
        <w:t>do en los cuidados mínimos que debiera tener para la atención de   los enfermos. Para estas dos carreras el hospital o la clínica es insus- tituible, lo mismo que para los qfb. En el caso de los odontólogos,    el quinto año de su carrera lo cursan en las clínicas de la propia unidad académica dentro de la universidad, y el año de servicio lo realizan en el sector salud. El tiempo que permanecerá el estudiante en estos sitios, tendrá un impacto sustancial en su percepción y seráuna prueba tanto para aspectos de identidad profesional, como para su futuro personal, académico y familiar. Lo que observe, viva y experimente, influirá directamente en el desarrollo o no de sus potencialidades, que al final lo formarán como un profesional con actitud positiva para enfrentar nuevos retos, con liderazgo, amante  de su profesión, reconocido en su grupo, o, por el contrario, con    una autoimagen negativa, inseguro, sumiso y sin capacidad para tomar decisiones (Letelier,</w:t>
      </w:r>
      <w:r>
        <w:rPr>
          <w:color w:val="231F20"/>
          <w:spacing w:val="-36"/>
        </w:rPr>
        <w:t> </w:t>
      </w:r>
      <w:r>
        <w:rPr>
          <w:color w:val="231F20"/>
        </w:rPr>
        <w:t>2002).</w:t>
      </w:r>
    </w:p>
    <w:p>
      <w:pPr>
        <w:pStyle w:val="BodyText"/>
        <w:spacing w:line="247" w:lineRule="auto" w:before="15"/>
        <w:ind w:left="102" w:right="113" w:firstLine="284"/>
        <w:jc w:val="both"/>
      </w:pPr>
      <w:r>
        <w:rPr>
          <w:color w:val="231F20"/>
        </w:rPr>
        <w:t>En el </w:t>
      </w:r>
      <w:r>
        <w:rPr>
          <w:color w:val="231F20"/>
          <w:spacing w:val="2"/>
        </w:rPr>
        <w:t>caso </w:t>
      </w:r>
      <w:r>
        <w:rPr>
          <w:color w:val="231F20"/>
        </w:rPr>
        <w:t>de </w:t>
      </w:r>
      <w:r>
        <w:rPr>
          <w:color w:val="231F20"/>
          <w:spacing w:val="2"/>
        </w:rPr>
        <w:t>los estudiantes </w:t>
      </w:r>
      <w:r>
        <w:rPr>
          <w:color w:val="231F20"/>
        </w:rPr>
        <w:t>de </w:t>
      </w:r>
      <w:r>
        <w:rPr>
          <w:color w:val="231F20"/>
          <w:spacing w:val="2"/>
        </w:rPr>
        <w:t>medicina </w:t>
      </w:r>
      <w:r>
        <w:rPr>
          <w:color w:val="231F20"/>
        </w:rPr>
        <w:t>y </w:t>
      </w:r>
      <w:r>
        <w:rPr>
          <w:color w:val="231F20"/>
          <w:spacing w:val="2"/>
        </w:rPr>
        <w:t>enfermería, </w:t>
      </w:r>
      <w:r>
        <w:rPr>
          <w:color w:val="231F20"/>
        </w:rPr>
        <w:t>sus </w:t>
      </w:r>
      <w:r>
        <w:rPr>
          <w:color w:val="231F20"/>
          <w:spacing w:val="2"/>
        </w:rPr>
        <w:t>primeros </w:t>
      </w:r>
      <w:r>
        <w:rPr>
          <w:color w:val="231F20"/>
          <w:spacing w:val="3"/>
        </w:rPr>
        <w:t>acercamientos </w:t>
      </w:r>
      <w:r>
        <w:rPr>
          <w:color w:val="231F20"/>
          <w:spacing w:val="2"/>
        </w:rPr>
        <w:t>inician durante </w:t>
      </w:r>
      <w:r>
        <w:rPr>
          <w:color w:val="231F20"/>
        </w:rPr>
        <w:t>la </w:t>
      </w:r>
      <w:r>
        <w:rPr>
          <w:color w:val="231F20"/>
          <w:spacing w:val="2"/>
        </w:rPr>
        <w:t>carrera. </w:t>
      </w:r>
      <w:r>
        <w:rPr>
          <w:color w:val="231F20"/>
        </w:rPr>
        <w:t>La </w:t>
      </w:r>
      <w:r>
        <w:rPr>
          <w:color w:val="231F20"/>
          <w:spacing w:val="2"/>
        </w:rPr>
        <w:t>gráfica </w:t>
      </w:r>
      <w:r>
        <w:rPr>
          <w:color w:val="231F20"/>
        </w:rPr>
        <w:t>7 </w:t>
      </w:r>
      <w:r>
        <w:rPr>
          <w:color w:val="231F20"/>
          <w:spacing w:val="4"/>
        </w:rPr>
        <w:t>nos </w:t>
      </w:r>
      <w:r>
        <w:rPr>
          <w:color w:val="231F20"/>
          <w:spacing w:val="2"/>
        </w:rPr>
        <w:t>ofrece </w:t>
      </w:r>
      <w:r>
        <w:rPr>
          <w:color w:val="231F20"/>
        </w:rPr>
        <w:t>un </w:t>
      </w:r>
      <w:r>
        <w:rPr>
          <w:color w:val="231F20"/>
          <w:spacing w:val="2"/>
        </w:rPr>
        <w:t>primer </w:t>
      </w:r>
      <w:r>
        <w:rPr>
          <w:color w:val="231F20"/>
          <w:spacing w:val="3"/>
        </w:rPr>
        <w:t>panorama </w:t>
      </w:r>
      <w:r>
        <w:rPr>
          <w:color w:val="231F20"/>
        </w:rPr>
        <w:t>de </w:t>
      </w:r>
      <w:r>
        <w:rPr>
          <w:color w:val="231F20"/>
          <w:spacing w:val="3"/>
        </w:rPr>
        <w:t>cómo </w:t>
      </w:r>
      <w:r>
        <w:rPr>
          <w:color w:val="231F20"/>
          <w:spacing w:val="2"/>
        </w:rPr>
        <w:t>perciben los estudiantes </w:t>
      </w:r>
      <w:r>
        <w:rPr>
          <w:color w:val="231F20"/>
        </w:rPr>
        <w:t>su </w:t>
      </w:r>
      <w:r>
        <w:rPr>
          <w:color w:val="231F20"/>
          <w:spacing w:val="2"/>
        </w:rPr>
        <w:t>relación con </w:t>
      </w:r>
      <w:r>
        <w:rPr>
          <w:color w:val="231F20"/>
        </w:rPr>
        <w:t>el </w:t>
      </w:r>
      <w:r>
        <w:rPr>
          <w:color w:val="231F20"/>
          <w:spacing w:val="3"/>
        </w:rPr>
        <w:t>docente </w:t>
      </w:r>
      <w:r>
        <w:rPr>
          <w:color w:val="231F20"/>
          <w:spacing w:val="2"/>
        </w:rPr>
        <w:t>universitario clínico. Por </w:t>
      </w:r>
      <w:r>
        <w:rPr>
          <w:color w:val="231F20"/>
          <w:spacing w:val="3"/>
        </w:rPr>
        <w:t>ejemplo, hay </w:t>
      </w:r>
      <w:r>
        <w:rPr>
          <w:color w:val="231F20"/>
          <w:spacing w:val="2"/>
        </w:rPr>
        <w:t>preferencias </w:t>
      </w:r>
      <w:r>
        <w:rPr>
          <w:color w:val="231F20"/>
        </w:rPr>
        <w:t>en el ser </w:t>
      </w:r>
      <w:r>
        <w:rPr>
          <w:color w:val="231F20"/>
          <w:spacing w:val="3"/>
        </w:rPr>
        <w:t>hombre </w:t>
      </w:r>
      <w:r>
        <w:rPr>
          <w:color w:val="231F20"/>
        </w:rPr>
        <w:t>o </w:t>
      </w:r>
      <w:r>
        <w:rPr>
          <w:color w:val="231F20"/>
          <w:spacing w:val="2"/>
        </w:rPr>
        <w:t>mujer, </w:t>
      </w:r>
      <w:r>
        <w:rPr>
          <w:color w:val="231F20"/>
        </w:rPr>
        <w:t>así lo </w:t>
      </w:r>
      <w:r>
        <w:rPr>
          <w:color w:val="231F20"/>
          <w:spacing w:val="2"/>
        </w:rPr>
        <w:t>afirma </w:t>
      </w:r>
      <w:r>
        <w:rPr>
          <w:color w:val="231F20"/>
        </w:rPr>
        <w:t>el </w:t>
      </w:r>
      <w:r>
        <w:rPr>
          <w:color w:val="231F20"/>
          <w:spacing w:val="2"/>
        </w:rPr>
        <w:t>38%; las</w:t>
      </w:r>
      <w:r>
        <w:rPr>
          <w:color w:val="231F20"/>
          <w:spacing w:val="56"/>
        </w:rPr>
        <w:t> </w:t>
      </w:r>
      <w:r>
        <w:rPr>
          <w:color w:val="231F20"/>
          <w:spacing w:val="2"/>
        </w:rPr>
        <w:t>preferencias </w:t>
      </w:r>
      <w:r>
        <w:rPr>
          <w:color w:val="231F20"/>
        </w:rPr>
        <w:t>en las </w:t>
      </w:r>
      <w:r>
        <w:rPr>
          <w:color w:val="231F20"/>
          <w:spacing w:val="2"/>
        </w:rPr>
        <w:t>participaciones son percibidas por </w:t>
      </w:r>
      <w:r>
        <w:rPr>
          <w:color w:val="231F20"/>
        </w:rPr>
        <w:t>el </w:t>
      </w:r>
      <w:r>
        <w:rPr>
          <w:color w:val="231F20"/>
          <w:spacing w:val="2"/>
        </w:rPr>
        <w:t>33%; </w:t>
      </w:r>
      <w:r>
        <w:rPr>
          <w:color w:val="231F20"/>
        </w:rPr>
        <w:t>se </w:t>
      </w:r>
      <w:r>
        <w:rPr>
          <w:color w:val="231F20"/>
          <w:spacing w:val="3"/>
        </w:rPr>
        <w:t>fomentan </w:t>
      </w:r>
      <w:r>
        <w:rPr>
          <w:color w:val="231F20"/>
          <w:spacing w:val="2"/>
        </w:rPr>
        <w:t>valores </w:t>
      </w:r>
      <w:r>
        <w:rPr>
          <w:color w:val="231F20"/>
          <w:spacing w:val="3"/>
        </w:rPr>
        <w:t>propios </w:t>
      </w:r>
      <w:r>
        <w:rPr>
          <w:color w:val="231F20"/>
        </w:rPr>
        <w:t>de la </w:t>
      </w:r>
      <w:r>
        <w:rPr>
          <w:color w:val="231F20"/>
          <w:spacing w:val="3"/>
        </w:rPr>
        <w:t>profesión, </w:t>
      </w:r>
      <w:r>
        <w:rPr>
          <w:color w:val="231F20"/>
        </w:rPr>
        <w:t>el </w:t>
      </w:r>
      <w:r>
        <w:rPr>
          <w:color w:val="231F20"/>
          <w:spacing w:val="2"/>
        </w:rPr>
        <w:t>90%; son accesibles </w:t>
      </w:r>
      <w:r>
        <w:rPr>
          <w:color w:val="231F20"/>
        </w:rPr>
        <w:t>y </w:t>
      </w:r>
      <w:r>
        <w:rPr>
          <w:color w:val="231F20"/>
          <w:spacing w:val="3"/>
        </w:rPr>
        <w:t>respetuosos </w:t>
      </w:r>
      <w:r>
        <w:rPr>
          <w:color w:val="231F20"/>
        </w:rPr>
        <w:t>en el </w:t>
      </w:r>
      <w:r>
        <w:rPr>
          <w:color w:val="231F20"/>
          <w:spacing w:val="2"/>
        </w:rPr>
        <w:t>trato, 90%; </w:t>
      </w:r>
      <w:r>
        <w:rPr>
          <w:color w:val="231F20"/>
        </w:rPr>
        <w:t>las </w:t>
      </w:r>
      <w:r>
        <w:rPr>
          <w:color w:val="231F20"/>
          <w:spacing w:val="3"/>
        </w:rPr>
        <w:t>recomendaciones </w:t>
      </w:r>
      <w:r>
        <w:rPr>
          <w:color w:val="231F20"/>
        </w:rPr>
        <w:t>y </w:t>
      </w:r>
      <w:r>
        <w:rPr>
          <w:color w:val="231F20"/>
          <w:spacing w:val="2"/>
        </w:rPr>
        <w:t>criticas </w:t>
      </w:r>
      <w:r>
        <w:rPr>
          <w:color w:val="231F20"/>
          <w:spacing w:val="3"/>
        </w:rPr>
        <w:t>tienen </w:t>
      </w:r>
      <w:r>
        <w:rPr>
          <w:color w:val="231F20"/>
        </w:rPr>
        <w:t>un </w:t>
      </w:r>
      <w:r>
        <w:rPr>
          <w:color w:val="231F20"/>
          <w:spacing w:val="2"/>
        </w:rPr>
        <w:t>espíritu constructivo, 90%; </w:t>
      </w:r>
      <w:r>
        <w:rPr>
          <w:color w:val="231F20"/>
          <w:spacing w:val="3"/>
        </w:rPr>
        <w:t>promueven </w:t>
      </w:r>
      <w:r>
        <w:rPr>
          <w:color w:val="231F20"/>
        </w:rPr>
        <w:t>la </w:t>
      </w:r>
      <w:r>
        <w:rPr>
          <w:color w:val="231F20"/>
          <w:spacing w:val="3"/>
        </w:rPr>
        <w:t>armonía </w:t>
      </w:r>
      <w:r>
        <w:rPr>
          <w:color w:val="231F20"/>
          <w:spacing w:val="2"/>
        </w:rPr>
        <w:t>durante </w:t>
      </w:r>
      <w:r>
        <w:rPr>
          <w:color w:val="231F20"/>
          <w:spacing w:val="3"/>
        </w:rPr>
        <w:t>las </w:t>
      </w:r>
      <w:r>
        <w:rPr>
          <w:color w:val="231F20"/>
          <w:spacing w:val="2"/>
        </w:rPr>
        <w:t>sesiones, </w:t>
      </w:r>
      <w:r>
        <w:rPr>
          <w:color w:val="231F20"/>
        </w:rPr>
        <w:t>el </w:t>
      </w:r>
      <w:r>
        <w:rPr>
          <w:color w:val="231F20"/>
          <w:spacing w:val="2"/>
        </w:rPr>
        <w:t>90%.</w:t>
      </w:r>
    </w:p>
    <w:p>
      <w:pPr>
        <w:pStyle w:val="BodyText"/>
        <w:spacing w:before="2"/>
      </w:pPr>
    </w:p>
    <w:p>
      <w:pPr>
        <w:spacing w:before="1"/>
        <w:ind w:left="102" w:right="117" w:firstLine="0"/>
        <w:jc w:val="center"/>
        <w:rPr>
          <w:b/>
          <w:sz w:val="19"/>
        </w:rPr>
      </w:pPr>
      <w:r>
        <w:rPr/>
        <w:drawing>
          <wp:anchor distT="0" distB="0" distL="0" distR="0" allowOverlap="1" layoutInCell="1" locked="0" behindDoc="0" simplePos="0" relativeHeight="1936">
            <wp:simplePos x="0" y="0"/>
            <wp:positionH relativeFrom="page">
              <wp:posOffset>921202</wp:posOffset>
            </wp:positionH>
            <wp:positionV relativeFrom="paragraph">
              <wp:posOffset>220631</wp:posOffset>
            </wp:positionV>
            <wp:extent cx="3331371" cy="1839658"/>
            <wp:effectExtent l="0" t="0" r="0" b="0"/>
            <wp:wrapTopAndBottom/>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463" cstate="print"/>
                    <a:stretch>
                      <a:fillRect/>
                    </a:stretch>
                  </pic:blipFill>
                  <pic:spPr>
                    <a:xfrm>
                      <a:off x="0" y="0"/>
                      <a:ext cx="3331371" cy="1839658"/>
                    </a:xfrm>
                    <a:prstGeom prst="rect">
                      <a:avLst/>
                    </a:prstGeom>
                  </pic:spPr>
                </pic:pic>
              </a:graphicData>
            </a:graphic>
          </wp:anchor>
        </w:drawing>
      </w:r>
      <w:r>
        <w:rPr>
          <w:b/>
          <w:color w:val="231F20"/>
          <w:sz w:val="19"/>
        </w:rPr>
        <w:t>Gráfica 7</w:t>
      </w:r>
    </w:p>
    <w:p>
      <w:pPr>
        <w:spacing w:after="0"/>
        <w:jc w:val="center"/>
        <w:rPr>
          <w:sz w:val="19"/>
        </w:rPr>
        <w:sectPr>
          <w:headerReference w:type="default" r:id="rId461"/>
          <w:footerReference w:type="default" r:id="rId462"/>
          <w:pgSz w:w="7830" w:h="11910"/>
          <w:pgMar w:header="0" w:footer="424" w:top="500" w:bottom="620" w:left="920" w:right="900"/>
          <w:pgNumType w:start="213"/>
        </w:sectPr>
      </w:pPr>
    </w:p>
    <w:p>
      <w:pPr>
        <w:spacing w:before="46"/>
        <w:ind w:left="102" w:right="116"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firstLine="283"/>
        <w:jc w:val="both"/>
      </w:pPr>
      <w:r>
        <w:rPr>
          <w:color w:val="231F20"/>
        </w:rPr>
        <w:t>La gráfica 8 nos muestra otro ángulo de la relación. En primer término, llama la atención que el 90% de los estudiantes afirman que los docentes clínicos muestran los valores éticos de la profe- sión; le continua quienes afirman, el 88%, que muestran apertura para el diálogo. Los demás factores alcanzan un 80% de califica- ción tomando en cuenta las opciones de siempre a casi siempre.</w:t>
      </w:r>
    </w:p>
    <w:p>
      <w:pPr>
        <w:pStyle w:val="BodyText"/>
        <w:rPr>
          <w:sz w:val="22"/>
        </w:rPr>
      </w:pPr>
    </w:p>
    <w:p>
      <w:pPr>
        <w:spacing w:before="177"/>
        <w:ind w:left="102" w:right="117" w:firstLine="0"/>
        <w:jc w:val="center"/>
        <w:rPr>
          <w:b/>
          <w:sz w:val="19"/>
        </w:rPr>
      </w:pPr>
      <w:r>
        <w:rPr/>
        <w:drawing>
          <wp:anchor distT="0" distB="0" distL="0" distR="0" allowOverlap="1" layoutInCell="1" locked="0" behindDoc="0" simplePos="0" relativeHeight="1960">
            <wp:simplePos x="0" y="0"/>
            <wp:positionH relativeFrom="page">
              <wp:posOffset>886777</wp:posOffset>
            </wp:positionH>
            <wp:positionV relativeFrom="paragraph">
              <wp:posOffset>335307</wp:posOffset>
            </wp:positionV>
            <wp:extent cx="3101610" cy="1743646"/>
            <wp:effectExtent l="0" t="0" r="0" b="0"/>
            <wp:wrapTopAndBottom/>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466" cstate="print"/>
                    <a:stretch>
                      <a:fillRect/>
                    </a:stretch>
                  </pic:blipFill>
                  <pic:spPr>
                    <a:xfrm>
                      <a:off x="0" y="0"/>
                      <a:ext cx="3101610" cy="1743646"/>
                    </a:xfrm>
                    <a:prstGeom prst="rect">
                      <a:avLst/>
                    </a:prstGeom>
                  </pic:spPr>
                </pic:pic>
              </a:graphicData>
            </a:graphic>
          </wp:anchor>
        </w:drawing>
      </w:r>
      <w:r>
        <w:rPr>
          <w:b/>
          <w:color w:val="231F20"/>
          <w:sz w:val="19"/>
        </w:rPr>
        <w:t>Gráfica 8</w:t>
      </w:r>
    </w:p>
    <w:p>
      <w:pPr>
        <w:pStyle w:val="BodyText"/>
        <w:spacing w:before="1"/>
        <w:rPr>
          <w:b/>
          <w:sz w:val="19"/>
        </w:rPr>
      </w:pPr>
    </w:p>
    <w:p>
      <w:pPr>
        <w:pStyle w:val="BodyText"/>
        <w:spacing w:line="247" w:lineRule="auto"/>
        <w:ind w:left="102" w:right="117"/>
        <w:jc w:val="both"/>
      </w:pPr>
      <w:r>
        <w:rPr>
          <w:color w:val="231F20"/>
          <w:w w:val="105"/>
        </w:rPr>
        <w:t>LAS MUESTRAS DE MALTRATO EN LA CONVIVENCIA EN LOS ESPACIOS CLÍNICOS</w:t>
      </w:r>
    </w:p>
    <w:p>
      <w:pPr>
        <w:pStyle w:val="BodyText"/>
        <w:spacing w:before="6"/>
        <w:rPr>
          <w:sz w:val="20"/>
        </w:rPr>
      </w:pPr>
    </w:p>
    <w:p>
      <w:pPr>
        <w:pStyle w:val="BodyText"/>
        <w:spacing w:line="247" w:lineRule="auto"/>
        <w:ind w:left="102" w:right="115"/>
        <w:jc w:val="both"/>
      </w:pPr>
      <w:r>
        <w:rPr>
          <w:color w:val="231F20"/>
        </w:rPr>
        <w:t>Entre los tipos de maltrato advertidos por los estudiantes, encontramos que la intimidación y la discriminación se presentan como los más comunes. Sin embargo, en la mayoría de ellos, los porcentajes son más bajos, a excepción de la agresión física </w:t>
      </w:r>
      <w:r>
        <w:rPr>
          <w:color w:val="231F20"/>
          <w:spacing w:val="2"/>
        </w:rPr>
        <w:t>que</w:t>
      </w:r>
      <w:r>
        <w:rPr>
          <w:color w:val="231F20"/>
          <w:spacing w:val="56"/>
        </w:rPr>
        <w:t> </w:t>
      </w:r>
      <w:r>
        <w:rPr>
          <w:color w:val="231F20"/>
        </w:rPr>
        <w:t>tiene un repunte importante. En orden de importancia destacan (Gráfica 9): la intimidación, con el 27.13%; el rechazo, con el 26.06%; la humillación pública ocurrió con el 13.03%; la realización de tareas como castigo se presentó con un 13.03% (con relación a este tipo de maltrato, Baldwin (1991) reportó que al menos el 15% de sus informantes lo reportaron como cotidiano, muy por encima del tomarse el crédito por el trabajo no realizado, y quienes estaban detrás de ello eran los residentes); continuan en la lista la violencia verbal,</w:t>
      </w:r>
      <w:r>
        <w:rPr>
          <w:color w:val="231F20"/>
          <w:spacing w:val="-6"/>
        </w:rPr>
        <w:t> </w:t>
      </w:r>
      <w:r>
        <w:rPr>
          <w:color w:val="231F20"/>
        </w:rPr>
        <w:t>con</w:t>
      </w:r>
      <w:r>
        <w:rPr>
          <w:color w:val="231F20"/>
          <w:spacing w:val="-5"/>
        </w:rPr>
        <w:t> </w:t>
      </w:r>
      <w:r>
        <w:rPr>
          <w:color w:val="231F20"/>
        </w:rPr>
        <w:t>el</w:t>
      </w:r>
      <w:r>
        <w:rPr>
          <w:color w:val="231F20"/>
          <w:spacing w:val="-6"/>
        </w:rPr>
        <w:t> </w:t>
      </w:r>
      <w:r>
        <w:rPr>
          <w:color w:val="231F20"/>
        </w:rPr>
        <w:t>11.17%;</w:t>
      </w:r>
      <w:r>
        <w:rPr>
          <w:color w:val="231F20"/>
          <w:spacing w:val="-6"/>
        </w:rPr>
        <w:t> </w:t>
      </w:r>
      <w:r>
        <w:rPr>
          <w:color w:val="231F20"/>
        </w:rPr>
        <w:t>le</w:t>
      </w:r>
      <w:r>
        <w:rPr>
          <w:color w:val="231F20"/>
          <w:spacing w:val="-6"/>
        </w:rPr>
        <w:t> </w:t>
      </w:r>
      <w:r>
        <w:rPr>
          <w:color w:val="231F20"/>
        </w:rPr>
        <w:t>siguieron</w:t>
      </w:r>
      <w:r>
        <w:rPr>
          <w:color w:val="231F20"/>
          <w:spacing w:val="-5"/>
        </w:rPr>
        <w:t> </w:t>
      </w:r>
      <w:r>
        <w:rPr>
          <w:color w:val="231F20"/>
        </w:rPr>
        <w:t>el</w:t>
      </w:r>
      <w:r>
        <w:rPr>
          <w:color w:val="231F20"/>
          <w:spacing w:val="-6"/>
        </w:rPr>
        <w:t> </w:t>
      </w:r>
      <w:r>
        <w:rPr>
          <w:color w:val="231F20"/>
        </w:rPr>
        <w:t>acoso</w:t>
      </w:r>
      <w:r>
        <w:rPr>
          <w:color w:val="231F20"/>
          <w:spacing w:val="-5"/>
        </w:rPr>
        <w:t> </w:t>
      </w:r>
      <w:r>
        <w:rPr>
          <w:color w:val="231F20"/>
        </w:rPr>
        <w:t>sexual</w:t>
      </w:r>
      <w:r>
        <w:rPr>
          <w:color w:val="231F20"/>
          <w:spacing w:val="-7"/>
        </w:rPr>
        <w:t> </w:t>
      </w:r>
      <w:r>
        <w:rPr>
          <w:color w:val="231F20"/>
        </w:rPr>
        <w:t>con</w:t>
      </w:r>
      <w:r>
        <w:rPr>
          <w:color w:val="231F20"/>
          <w:spacing w:val="-5"/>
        </w:rPr>
        <w:t> </w:t>
      </w:r>
      <w:r>
        <w:rPr>
          <w:color w:val="231F20"/>
        </w:rPr>
        <w:t>el</w:t>
      </w:r>
      <w:r>
        <w:rPr>
          <w:color w:val="231F20"/>
          <w:spacing w:val="-6"/>
        </w:rPr>
        <w:t> </w:t>
      </w:r>
      <w:r>
        <w:rPr>
          <w:color w:val="231F20"/>
        </w:rPr>
        <w:t>5.85%;</w:t>
      </w:r>
      <w:r>
        <w:rPr>
          <w:color w:val="231F20"/>
          <w:spacing w:val="-6"/>
        </w:rPr>
        <w:t> </w:t>
      </w:r>
      <w:r>
        <w:rPr>
          <w:color w:val="231F20"/>
        </w:rPr>
        <w:t>y</w:t>
      </w:r>
      <w:r>
        <w:rPr>
          <w:color w:val="231F20"/>
          <w:spacing w:val="-6"/>
        </w:rPr>
        <w:t> </w:t>
      </w:r>
      <w:r>
        <w:rPr>
          <w:color w:val="231F20"/>
        </w:rPr>
        <w:t>la agresión física, con el 2.13%. Con relación a las formas de acoso sexual  los  estudiantes  informantes  de  Baldwin  (1991)</w:t>
      </w:r>
      <w:r>
        <w:rPr>
          <w:color w:val="231F20"/>
          <w:spacing w:val="1"/>
        </w:rPr>
        <w:t> </w:t>
      </w:r>
      <w:r>
        <w:rPr>
          <w:color w:val="231F20"/>
        </w:rPr>
        <w:t>reportaron</w:t>
      </w:r>
    </w:p>
    <w:p>
      <w:pPr>
        <w:spacing w:after="0" w:line="247" w:lineRule="auto"/>
        <w:jc w:val="both"/>
        <w:sectPr>
          <w:headerReference w:type="default" r:id="rId464"/>
          <w:footerReference w:type="default" r:id="rId465"/>
          <w:pgSz w:w="7830" w:h="11910"/>
          <w:pgMar w:header="0" w:footer="424" w:top="500" w:bottom="620" w:left="920" w:right="900"/>
          <w:pgNumType w:start="214"/>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4" w:lineRule="auto"/>
        <w:ind w:left="102" w:right="114"/>
        <w:jc w:val="both"/>
      </w:pPr>
      <w:r>
        <w:rPr>
          <w:color w:val="231F20"/>
        </w:rPr>
        <w:t>que el 55% lo había experimentado. Al menos tenía un testimonio  de que alguien se había tomado el crédito por un trabajo no realizado, y, al igual que en nuestros hallazgos, lo menos frecuente fue la agresión física. Como las fuentes de este maltrato, se citó a   los residentes en un 84.6%, y a los docentes en clínica en un</w:t>
      </w:r>
      <w:r>
        <w:rPr>
          <w:color w:val="231F20"/>
          <w:spacing w:val="10"/>
        </w:rPr>
        <w:t> </w:t>
      </w:r>
      <w:r>
        <w:rPr>
          <w:color w:val="231F20"/>
        </w:rPr>
        <w:t>79%.</w:t>
      </w:r>
    </w:p>
    <w:p>
      <w:pPr>
        <w:pStyle w:val="BodyText"/>
        <w:spacing w:before="11"/>
      </w:pPr>
    </w:p>
    <w:p>
      <w:pPr>
        <w:spacing w:before="0"/>
        <w:ind w:left="102" w:right="117" w:firstLine="0"/>
        <w:jc w:val="center"/>
        <w:rPr>
          <w:b/>
          <w:sz w:val="19"/>
        </w:rPr>
      </w:pPr>
      <w:r>
        <w:rPr/>
        <w:drawing>
          <wp:anchor distT="0" distB="0" distL="0" distR="0" allowOverlap="1" layoutInCell="1" locked="0" behindDoc="0" simplePos="0" relativeHeight="1984">
            <wp:simplePos x="0" y="0"/>
            <wp:positionH relativeFrom="page">
              <wp:posOffset>921740</wp:posOffset>
            </wp:positionH>
            <wp:positionV relativeFrom="paragraph">
              <wp:posOffset>221611</wp:posOffset>
            </wp:positionV>
            <wp:extent cx="3101437" cy="1825942"/>
            <wp:effectExtent l="0" t="0" r="0" b="0"/>
            <wp:wrapTopAndBottom/>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469" cstate="print"/>
                    <a:stretch>
                      <a:fillRect/>
                    </a:stretch>
                  </pic:blipFill>
                  <pic:spPr>
                    <a:xfrm>
                      <a:off x="0" y="0"/>
                      <a:ext cx="3101437" cy="1825942"/>
                    </a:xfrm>
                    <a:prstGeom prst="rect">
                      <a:avLst/>
                    </a:prstGeom>
                  </pic:spPr>
                </pic:pic>
              </a:graphicData>
            </a:graphic>
          </wp:anchor>
        </w:drawing>
      </w:r>
      <w:r>
        <w:rPr>
          <w:b/>
          <w:color w:val="231F20"/>
          <w:sz w:val="19"/>
        </w:rPr>
        <w:t>Gráfica 9</w:t>
      </w:r>
    </w:p>
    <w:p>
      <w:pPr>
        <w:pStyle w:val="BodyText"/>
        <w:ind w:left="102"/>
        <w:jc w:val="both"/>
      </w:pPr>
      <w:r>
        <w:rPr>
          <w:color w:val="231F20"/>
          <w:w w:val="105"/>
        </w:rPr>
        <w:t>EL MALTRATO Y LOS ESPACIOS DE APRENDIZAJE</w:t>
      </w:r>
    </w:p>
    <w:p>
      <w:pPr>
        <w:pStyle w:val="BodyText"/>
        <w:spacing w:before="1"/>
      </w:pPr>
    </w:p>
    <w:p>
      <w:pPr>
        <w:pStyle w:val="BodyText"/>
        <w:spacing w:line="247" w:lineRule="auto" w:before="1"/>
        <w:ind w:left="101" w:right="115"/>
        <w:jc w:val="both"/>
      </w:pPr>
      <w:r>
        <w:rPr>
          <w:color w:val="231F20"/>
        </w:rPr>
        <w:t>Si </w:t>
      </w:r>
      <w:r>
        <w:rPr>
          <w:color w:val="231F20"/>
          <w:spacing w:val="3"/>
        </w:rPr>
        <w:t>tomamos </w:t>
      </w:r>
      <w:r>
        <w:rPr>
          <w:color w:val="231F20"/>
        </w:rPr>
        <w:t>en </w:t>
      </w:r>
      <w:r>
        <w:rPr>
          <w:color w:val="231F20"/>
          <w:spacing w:val="2"/>
        </w:rPr>
        <w:t>consideración los dos </w:t>
      </w:r>
      <w:r>
        <w:rPr>
          <w:color w:val="231F20"/>
          <w:spacing w:val="3"/>
        </w:rPr>
        <w:t>importantes </w:t>
      </w:r>
      <w:r>
        <w:rPr>
          <w:color w:val="231F20"/>
          <w:spacing w:val="2"/>
        </w:rPr>
        <w:t>espacios </w:t>
      </w:r>
      <w:r>
        <w:rPr>
          <w:color w:val="231F20"/>
        </w:rPr>
        <w:t>de </w:t>
      </w:r>
      <w:r>
        <w:rPr>
          <w:color w:val="231F20"/>
          <w:spacing w:val="2"/>
        </w:rPr>
        <w:t>aprendizaje </w:t>
      </w:r>
      <w:r>
        <w:rPr>
          <w:color w:val="231F20"/>
        </w:rPr>
        <w:t>de </w:t>
      </w:r>
      <w:r>
        <w:rPr>
          <w:color w:val="231F20"/>
          <w:spacing w:val="2"/>
        </w:rPr>
        <w:t>los estudiantes del área, </w:t>
      </w:r>
      <w:r>
        <w:rPr>
          <w:color w:val="231F20"/>
        </w:rPr>
        <w:t>el </w:t>
      </w:r>
      <w:r>
        <w:rPr>
          <w:color w:val="231F20"/>
          <w:spacing w:val="2"/>
        </w:rPr>
        <w:t>aula </w:t>
      </w:r>
      <w:r>
        <w:rPr>
          <w:color w:val="231F20"/>
        </w:rPr>
        <w:t>y la </w:t>
      </w:r>
      <w:r>
        <w:rPr>
          <w:color w:val="231F20"/>
          <w:spacing w:val="2"/>
        </w:rPr>
        <w:t>clínica, </w:t>
      </w:r>
      <w:r>
        <w:rPr>
          <w:color w:val="231F20"/>
          <w:spacing w:val="3"/>
        </w:rPr>
        <w:t>encon- tramos </w:t>
      </w:r>
      <w:r>
        <w:rPr>
          <w:color w:val="231F20"/>
          <w:spacing w:val="2"/>
        </w:rPr>
        <w:t>que </w:t>
      </w:r>
      <w:r>
        <w:rPr>
          <w:color w:val="231F20"/>
        </w:rPr>
        <w:t>es </w:t>
      </w:r>
      <w:r>
        <w:rPr>
          <w:color w:val="231F20"/>
          <w:spacing w:val="2"/>
        </w:rPr>
        <w:t>esta primera </w:t>
      </w:r>
      <w:r>
        <w:rPr>
          <w:color w:val="231F20"/>
          <w:spacing w:val="3"/>
        </w:rPr>
        <w:t>donde </w:t>
      </w:r>
      <w:r>
        <w:rPr>
          <w:color w:val="231F20"/>
          <w:spacing w:val="2"/>
        </w:rPr>
        <w:t>los eventos </w:t>
      </w:r>
      <w:r>
        <w:rPr>
          <w:color w:val="231F20"/>
        </w:rPr>
        <w:t>se </w:t>
      </w:r>
      <w:r>
        <w:rPr>
          <w:color w:val="231F20"/>
          <w:spacing w:val="2"/>
        </w:rPr>
        <w:t>presentan  </w:t>
      </w:r>
      <w:r>
        <w:rPr>
          <w:color w:val="231F20"/>
        </w:rPr>
        <w:t>en </w:t>
      </w:r>
      <w:r>
        <w:rPr>
          <w:color w:val="231F20"/>
          <w:spacing w:val="2"/>
        </w:rPr>
        <w:t>mayor número. </w:t>
      </w:r>
      <w:r>
        <w:rPr>
          <w:color w:val="231F20"/>
        </w:rPr>
        <w:t>En </w:t>
      </w:r>
      <w:r>
        <w:rPr>
          <w:color w:val="231F20"/>
          <w:spacing w:val="2"/>
        </w:rPr>
        <w:t>ambos, </w:t>
      </w:r>
      <w:r>
        <w:rPr>
          <w:color w:val="231F20"/>
        </w:rPr>
        <w:t>son el </w:t>
      </w:r>
      <w:r>
        <w:rPr>
          <w:color w:val="231F20"/>
          <w:spacing w:val="2"/>
        </w:rPr>
        <w:t>rechazo </w:t>
      </w:r>
      <w:r>
        <w:rPr>
          <w:color w:val="231F20"/>
        </w:rPr>
        <w:t>y la </w:t>
      </w:r>
      <w:r>
        <w:rPr>
          <w:color w:val="231F20"/>
          <w:spacing w:val="2"/>
        </w:rPr>
        <w:t>intimidación los maltratos más </w:t>
      </w:r>
      <w:r>
        <w:rPr>
          <w:color w:val="231F20"/>
          <w:spacing w:val="3"/>
        </w:rPr>
        <w:t>comunes, </w:t>
      </w:r>
      <w:r>
        <w:rPr>
          <w:color w:val="231F20"/>
        </w:rPr>
        <w:t>la </w:t>
      </w:r>
      <w:r>
        <w:rPr>
          <w:color w:val="231F20"/>
          <w:spacing w:val="2"/>
        </w:rPr>
        <w:t>humillación aparece </w:t>
      </w:r>
      <w:r>
        <w:rPr>
          <w:color w:val="231F20"/>
        </w:rPr>
        <w:t>en un </w:t>
      </w:r>
      <w:r>
        <w:rPr>
          <w:color w:val="231F20"/>
          <w:spacing w:val="2"/>
        </w:rPr>
        <w:t>tercer sitio. </w:t>
      </w:r>
      <w:r>
        <w:rPr>
          <w:color w:val="231F20"/>
        </w:rPr>
        <w:t>La </w:t>
      </w:r>
      <w:r>
        <w:rPr>
          <w:color w:val="231F20"/>
          <w:spacing w:val="2"/>
        </w:rPr>
        <w:t>realización </w:t>
      </w:r>
      <w:r>
        <w:rPr>
          <w:color w:val="231F20"/>
        </w:rPr>
        <w:t>de </w:t>
      </w:r>
      <w:r>
        <w:rPr>
          <w:color w:val="231F20"/>
          <w:spacing w:val="2"/>
        </w:rPr>
        <w:t>tareas extras como castigo, sigue </w:t>
      </w:r>
      <w:r>
        <w:rPr>
          <w:color w:val="231F20"/>
          <w:spacing w:val="3"/>
        </w:rPr>
        <w:t>formando </w:t>
      </w:r>
      <w:r>
        <w:rPr>
          <w:color w:val="231F20"/>
          <w:spacing w:val="2"/>
        </w:rPr>
        <w:t>parte del aprendizaje </w:t>
      </w:r>
      <w:r>
        <w:rPr>
          <w:color w:val="231F20"/>
        </w:rPr>
        <w:t>de </w:t>
      </w:r>
      <w:r>
        <w:rPr>
          <w:color w:val="231F20"/>
          <w:spacing w:val="2"/>
        </w:rPr>
        <w:t>las(os) estudiantes. </w:t>
      </w:r>
      <w:r>
        <w:rPr>
          <w:color w:val="231F20"/>
        </w:rPr>
        <w:t>El </w:t>
      </w:r>
      <w:r>
        <w:rPr>
          <w:color w:val="231F20"/>
          <w:spacing w:val="2"/>
        </w:rPr>
        <w:t>acoso sexual, aun </w:t>
      </w:r>
      <w:r>
        <w:rPr>
          <w:color w:val="231F20"/>
          <w:spacing w:val="3"/>
        </w:rPr>
        <w:t>cuando </w:t>
      </w:r>
      <w:r>
        <w:rPr>
          <w:color w:val="231F20"/>
          <w:spacing w:val="2"/>
        </w:rPr>
        <w:t>sigue </w:t>
      </w:r>
      <w:r>
        <w:rPr>
          <w:color w:val="231F20"/>
          <w:spacing w:val="3"/>
        </w:rPr>
        <w:t>mostrando </w:t>
      </w:r>
      <w:r>
        <w:rPr>
          <w:color w:val="231F20"/>
        </w:rPr>
        <w:t>un </w:t>
      </w:r>
      <w:r>
        <w:rPr>
          <w:color w:val="231F20"/>
          <w:spacing w:val="3"/>
        </w:rPr>
        <w:t>penúltimo </w:t>
      </w:r>
      <w:r>
        <w:rPr>
          <w:color w:val="231F20"/>
          <w:spacing w:val="2"/>
        </w:rPr>
        <w:t>lugar, está presente </w:t>
      </w:r>
      <w:r>
        <w:rPr>
          <w:color w:val="231F20"/>
        </w:rPr>
        <w:t>en </w:t>
      </w:r>
      <w:r>
        <w:rPr>
          <w:color w:val="231F20"/>
          <w:spacing w:val="3"/>
        </w:rPr>
        <w:t>ambos es- </w:t>
      </w:r>
      <w:r>
        <w:rPr>
          <w:color w:val="231F20"/>
          <w:spacing w:val="2"/>
        </w:rPr>
        <w:t>pacios. Llama </w:t>
      </w:r>
      <w:r>
        <w:rPr>
          <w:color w:val="231F20"/>
        </w:rPr>
        <w:t>la </w:t>
      </w:r>
      <w:r>
        <w:rPr>
          <w:color w:val="231F20"/>
          <w:spacing w:val="2"/>
        </w:rPr>
        <w:t>atención </w:t>
      </w:r>
      <w:r>
        <w:rPr>
          <w:color w:val="231F20"/>
        </w:rPr>
        <w:t>que sea la </w:t>
      </w:r>
      <w:r>
        <w:rPr>
          <w:color w:val="231F20"/>
          <w:spacing w:val="2"/>
        </w:rPr>
        <w:t>agresión física, </w:t>
      </w:r>
      <w:r>
        <w:rPr>
          <w:color w:val="231F20"/>
        </w:rPr>
        <w:t>el </w:t>
      </w:r>
      <w:r>
        <w:rPr>
          <w:color w:val="231F20"/>
          <w:spacing w:val="2"/>
        </w:rPr>
        <w:t>maltrato </w:t>
      </w:r>
      <w:r>
        <w:rPr>
          <w:color w:val="231F20"/>
          <w:spacing w:val="56"/>
        </w:rPr>
        <w:t> </w:t>
      </w:r>
      <w:r>
        <w:rPr>
          <w:color w:val="231F20"/>
          <w:spacing w:val="2"/>
        </w:rPr>
        <w:t>con </w:t>
      </w:r>
      <w:r>
        <w:rPr>
          <w:color w:val="231F20"/>
        </w:rPr>
        <w:t>el </w:t>
      </w:r>
      <w:r>
        <w:rPr>
          <w:color w:val="231F20"/>
          <w:spacing w:val="3"/>
        </w:rPr>
        <w:t>mayor número </w:t>
      </w:r>
      <w:r>
        <w:rPr>
          <w:color w:val="231F20"/>
        </w:rPr>
        <w:t>de </w:t>
      </w:r>
      <w:r>
        <w:rPr>
          <w:color w:val="231F20"/>
          <w:spacing w:val="2"/>
        </w:rPr>
        <w:t>incidencias </w:t>
      </w:r>
      <w:r>
        <w:rPr>
          <w:color w:val="231F20"/>
        </w:rPr>
        <w:t>en la </w:t>
      </w:r>
      <w:r>
        <w:rPr>
          <w:color w:val="231F20"/>
          <w:spacing w:val="2"/>
        </w:rPr>
        <w:t>clínica. Este dato </w:t>
      </w:r>
      <w:r>
        <w:rPr>
          <w:color w:val="231F20"/>
        </w:rPr>
        <w:t>es </w:t>
      </w:r>
      <w:r>
        <w:rPr>
          <w:color w:val="231F20"/>
          <w:spacing w:val="3"/>
        </w:rPr>
        <w:t>comprensible, </w:t>
      </w:r>
      <w:r>
        <w:rPr>
          <w:color w:val="231F20"/>
        </w:rPr>
        <w:t>si </w:t>
      </w:r>
      <w:r>
        <w:rPr>
          <w:color w:val="231F20"/>
          <w:spacing w:val="3"/>
        </w:rPr>
        <w:t>entendemos </w:t>
      </w:r>
      <w:r>
        <w:rPr>
          <w:color w:val="231F20"/>
          <w:spacing w:val="2"/>
        </w:rPr>
        <w:t>que los ritmos </w:t>
      </w:r>
      <w:r>
        <w:rPr>
          <w:color w:val="231F20"/>
        </w:rPr>
        <w:t>y las </w:t>
      </w:r>
      <w:r>
        <w:rPr>
          <w:color w:val="231F20"/>
          <w:spacing w:val="2"/>
        </w:rPr>
        <w:t>áreas </w:t>
      </w:r>
      <w:r>
        <w:rPr>
          <w:color w:val="231F20"/>
        </w:rPr>
        <w:t>de </w:t>
      </w:r>
      <w:r>
        <w:rPr>
          <w:color w:val="231F20"/>
          <w:spacing w:val="2"/>
        </w:rPr>
        <w:t>trabajo son diferentes, </w:t>
      </w:r>
      <w:r>
        <w:rPr>
          <w:color w:val="231F20"/>
        </w:rPr>
        <w:t>en </w:t>
      </w:r>
      <w:r>
        <w:rPr>
          <w:color w:val="231F20"/>
          <w:spacing w:val="2"/>
        </w:rPr>
        <w:t>cuestión </w:t>
      </w:r>
      <w:r>
        <w:rPr>
          <w:color w:val="231F20"/>
        </w:rPr>
        <w:t>de </w:t>
      </w:r>
      <w:r>
        <w:rPr>
          <w:color w:val="231F20"/>
          <w:spacing w:val="3"/>
        </w:rPr>
        <w:t>personal </w:t>
      </w:r>
      <w:r>
        <w:rPr>
          <w:color w:val="231F20"/>
        </w:rPr>
        <w:t>y </w:t>
      </w:r>
      <w:r>
        <w:rPr>
          <w:color w:val="231F20"/>
          <w:spacing w:val="2"/>
        </w:rPr>
        <w:t>turnos. </w:t>
      </w:r>
      <w:r>
        <w:rPr>
          <w:color w:val="231F20"/>
          <w:spacing w:val="3"/>
        </w:rPr>
        <w:t>Además </w:t>
      </w:r>
      <w:r>
        <w:rPr>
          <w:color w:val="231F20"/>
        </w:rPr>
        <w:t>de  </w:t>
      </w:r>
      <w:r>
        <w:rPr>
          <w:color w:val="231F20"/>
          <w:spacing w:val="3"/>
        </w:rPr>
        <w:t>que </w:t>
      </w:r>
      <w:r>
        <w:rPr>
          <w:color w:val="231F20"/>
          <w:spacing w:val="2"/>
        </w:rPr>
        <w:t>los estudiantes son </w:t>
      </w:r>
      <w:r>
        <w:rPr>
          <w:color w:val="231F20"/>
        </w:rPr>
        <w:t>la </w:t>
      </w:r>
      <w:r>
        <w:rPr>
          <w:color w:val="231F20"/>
          <w:spacing w:val="2"/>
        </w:rPr>
        <w:t>base </w:t>
      </w:r>
      <w:r>
        <w:rPr>
          <w:color w:val="231F20"/>
        </w:rPr>
        <w:t>de la </w:t>
      </w:r>
      <w:r>
        <w:rPr>
          <w:color w:val="231F20"/>
          <w:spacing w:val="2"/>
        </w:rPr>
        <w:t>pirámide </w:t>
      </w:r>
      <w:r>
        <w:rPr>
          <w:color w:val="231F20"/>
        </w:rPr>
        <w:t>en </w:t>
      </w:r>
      <w:r>
        <w:rPr>
          <w:color w:val="231F20"/>
          <w:spacing w:val="2"/>
        </w:rPr>
        <w:t>cuestión </w:t>
      </w:r>
      <w:r>
        <w:rPr>
          <w:color w:val="231F20"/>
        </w:rPr>
        <w:t>de </w:t>
      </w:r>
      <w:r>
        <w:rPr>
          <w:color w:val="231F20"/>
          <w:spacing w:val="3"/>
        </w:rPr>
        <w:t>mando </w:t>
      </w:r>
      <w:r>
        <w:rPr>
          <w:color w:val="231F20"/>
        </w:rPr>
        <w:t>y </w:t>
      </w:r>
      <w:r>
        <w:rPr>
          <w:color w:val="231F20"/>
          <w:spacing w:val="2"/>
        </w:rPr>
        <w:t>decisión, </w:t>
      </w:r>
      <w:r>
        <w:rPr>
          <w:color w:val="231F20"/>
        </w:rPr>
        <w:t>ello </w:t>
      </w:r>
      <w:r>
        <w:rPr>
          <w:color w:val="231F20"/>
          <w:spacing w:val="2"/>
        </w:rPr>
        <w:t>los coloca </w:t>
      </w:r>
      <w:r>
        <w:rPr>
          <w:color w:val="231F20"/>
        </w:rPr>
        <w:t>en </w:t>
      </w:r>
      <w:r>
        <w:rPr>
          <w:color w:val="231F20"/>
          <w:spacing w:val="2"/>
        </w:rPr>
        <w:t>alguna situación </w:t>
      </w:r>
      <w:r>
        <w:rPr>
          <w:color w:val="231F20"/>
        </w:rPr>
        <w:t>de </w:t>
      </w:r>
      <w:r>
        <w:rPr>
          <w:color w:val="231F20"/>
          <w:spacing w:val="2"/>
        </w:rPr>
        <w:t>desventaja </w:t>
      </w:r>
      <w:r>
        <w:rPr>
          <w:color w:val="231F20"/>
        </w:rPr>
        <w:t>y </w:t>
      </w:r>
      <w:r>
        <w:rPr>
          <w:color w:val="231F20"/>
          <w:spacing w:val="2"/>
        </w:rPr>
        <w:t>vulne- rabilidad (Gráfica</w:t>
      </w:r>
      <w:r>
        <w:rPr>
          <w:color w:val="231F20"/>
          <w:spacing w:val="-29"/>
        </w:rPr>
        <w:t> </w:t>
      </w:r>
      <w:r>
        <w:rPr>
          <w:color w:val="231F20"/>
          <w:spacing w:val="3"/>
        </w:rPr>
        <w:t>10).</w:t>
      </w:r>
    </w:p>
    <w:p>
      <w:pPr>
        <w:spacing w:after="0" w:line="247" w:lineRule="auto"/>
        <w:jc w:val="both"/>
        <w:sectPr>
          <w:headerReference w:type="default" r:id="rId467"/>
          <w:footerReference w:type="default" r:id="rId468"/>
          <w:pgSz w:w="7830" w:h="11910"/>
          <w:pgMar w:header="0" w:footer="424" w:top="500" w:bottom="620" w:left="920" w:right="900"/>
          <w:pgNumType w:start="215"/>
        </w:sectPr>
      </w:pPr>
    </w:p>
    <w:p>
      <w:pPr>
        <w:spacing w:before="46"/>
        <w:ind w:left="616"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8"/>
        <w:rPr>
          <w:sz w:val="22"/>
        </w:rPr>
      </w:pPr>
    </w:p>
    <w:p>
      <w:pPr>
        <w:spacing w:before="0"/>
        <w:ind w:left="2593" w:right="104" w:firstLine="0"/>
        <w:jc w:val="left"/>
        <w:rPr>
          <w:b/>
          <w:sz w:val="19"/>
        </w:rPr>
      </w:pPr>
      <w:r>
        <w:rPr>
          <w:b/>
          <w:color w:val="231F20"/>
          <w:sz w:val="19"/>
        </w:rPr>
        <w:t>Gráfica 10</w:t>
      </w:r>
    </w:p>
    <w:p>
      <w:pPr>
        <w:pStyle w:val="BodyText"/>
        <w:spacing w:before="3"/>
        <w:rPr>
          <w:b/>
          <w:sz w:val="29"/>
        </w:rPr>
      </w:pPr>
      <w:r>
        <w:rPr/>
        <w:drawing>
          <wp:anchor distT="0" distB="0" distL="0" distR="0" allowOverlap="1" layoutInCell="1" locked="0" behindDoc="0" simplePos="0" relativeHeight="2008">
            <wp:simplePos x="0" y="0"/>
            <wp:positionH relativeFrom="page">
              <wp:posOffset>639326</wp:posOffset>
            </wp:positionH>
            <wp:positionV relativeFrom="paragraph">
              <wp:posOffset>238727</wp:posOffset>
            </wp:positionV>
            <wp:extent cx="3446145" cy="1983105"/>
            <wp:effectExtent l="0" t="0" r="0" b="0"/>
            <wp:wrapTopAndBottom/>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472" cstate="print"/>
                    <a:stretch>
                      <a:fillRect/>
                    </a:stretch>
                  </pic:blipFill>
                  <pic:spPr>
                    <a:xfrm>
                      <a:off x="0" y="0"/>
                      <a:ext cx="3446145" cy="1983105"/>
                    </a:xfrm>
                    <a:prstGeom prst="rect">
                      <a:avLst/>
                    </a:prstGeom>
                  </pic:spPr>
                </pic:pic>
              </a:graphicData>
            </a:graphic>
          </wp:anchor>
        </w:drawing>
      </w:r>
    </w:p>
    <w:p>
      <w:pPr>
        <w:pStyle w:val="BodyText"/>
        <w:spacing w:before="3"/>
        <w:rPr>
          <w:b/>
          <w:sz w:val="20"/>
        </w:rPr>
      </w:pPr>
    </w:p>
    <w:p>
      <w:pPr>
        <w:pStyle w:val="BodyText"/>
        <w:ind w:left="122"/>
        <w:jc w:val="both"/>
      </w:pPr>
      <w:r>
        <w:rPr>
          <w:color w:val="231F20"/>
        </w:rPr>
        <w:t>EL MALTRATO Y EL   GÉNERO</w:t>
      </w:r>
    </w:p>
    <w:p>
      <w:pPr>
        <w:pStyle w:val="BodyText"/>
        <w:spacing w:before="1"/>
      </w:pPr>
    </w:p>
    <w:p>
      <w:pPr>
        <w:pStyle w:val="BodyText"/>
        <w:spacing w:line="244" w:lineRule="auto" w:before="1"/>
        <w:ind w:left="122" w:right="114"/>
        <w:jc w:val="both"/>
      </w:pPr>
      <w:r>
        <w:rPr>
          <w:color w:val="231F20"/>
        </w:rPr>
        <w:t>¿Quiénes sufrieron más el maltrato, los hombres o las mujeres? De acuerdo a la gráfica 11, una primera mirada nos advierte que, en lo general, son las mujeres las que recibieron el mayor número de maltratos a diferencia de los hombres. Entre los tipos de maltrato  con el mayor número de eventos y, considerando a las mujeres, el panorama es el siguiente: la intimidación (67, 18%) y el rechazo (66, 17.8%), le siguieron la humillación pública (35, 9.4%), la asignación de tareas como castigo (26, 7%), la violencia verbal (25, 6.7%), el acoso sexual (17, 5%), y la agresión física (6, 1.6%). En el caso del acoso sexual, se presentó en 17 ocasiones: 5%; las mujeres lo pade- cieron,más del triple que los hombres, quienes lo reportaron en 5 ocasiones (1.3%). En el caso de la agresión física, las mujeres la padecieron tres veces más que los hombres:6, 1.6% frente a 2, .5% de ellos. Al igual que en los espacios de las unidades académicas, por lo que respecta a los clínicos, las cifras muestran que las muje- res siguen siendo el grupo más vulnerable a este tipo de maltratos. Los diversos estudios dan cuenta de los acosos más comunes: la intimidación (F. Wood, 2006); en el caso del acoso sexual, Baldwin (1991) reportó que un poco menos de la mitad de las estudiantes lo recibieron de compañeros y profesores; un tercio manifestó al me- nos haber vivido algún incidente y el 30% la vivió más de tres  </w:t>
      </w:r>
      <w:r>
        <w:rPr>
          <w:color w:val="231F20"/>
          <w:spacing w:val="19"/>
        </w:rPr>
        <w:t> </w:t>
      </w:r>
      <w:r>
        <w:rPr>
          <w:color w:val="231F20"/>
        </w:rPr>
        <w:t>oca-</w:t>
      </w:r>
    </w:p>
    <w:p>
      <w:pPr>
        <w:spacing w:after="0" w:line="244" w:lineRule="auto"/>
        <w:jc w:val="both"/>
        <w:sectPr>
          <w:headerReference w:type="default" r:id="rId470"/>
          <w:footerReference w:type="default" r:id="rId471"/>
          <w:pgSz w:w="7830" w:h="11910"/>
          <w:pgMar w:header="0" w:footer="424" w:top="500" w:bottom="620" w:left="900" w:right="900"/>
          <w:pgNumType w:start="216"/>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6"/>
        <w:jc w:val="both"/>
      </w:pPr>
      <w:r>
        <w:rPr>
          <w:color w:val="231F20"/>
        </w:rPr>
        <w:t>siones. Por su parte Wolf (1991) encontró que el acoso sexual se percibió en más de la mitad de sus encuestados. Mangus (1998), muestra que el 21% de sus mujeres encuestadas lo reportó como  más común respecto de los </w:t>
      </w:r>
      <w:r>
        <w:rPr>
          <w:color w:val="231F20"/>
          <w:spacing w:val="6"/>
        </w:rPr>
        <w:t> </w:t>
      </w:r>
      <w:r>
        <w:rPr>
          <w:color w:val="231F20"/>
        </w:rPr>
        <w:t>hombres.</w:t>
      </w:r>
    </w:p>
    <w:p>
      <w:pPr>
        <w:pStyle w:val="BodyText"/>
        <w:spacing w:before="3"/>
      </w:pPr>
    </w:p>
    <w:p>
      <w:pPr>
        <w:spacing w:before="1"/>
        <w:ind w:left="102" w:right="117" w:firstLine="0"/>
        <w:jc w:val="center"/>
        <w:rPr>
          <w:b/>
          <w:sz w:val="19"/>
        </w:rPr>
      </w:pPr>
      <w:r>
        <w:rPr/>
        <w:drawing>
          <wp:anchor distT="0" distB="0" distL="0" distR="0" allowOverlap="1" layoutInCell="1" locked="0" behindDoc="0" simplePos="0" relativeHeight="2032">
            <wp:simplePos x="0" y="0"/>
            <wp:positionH relativeFrom="page">
              <wp:posOffset>960846</wp:posOffset>
            </wp:positionH>
            <wp:positionV relativeFrom="paragraph">
              <wp:posOffset>223000</wp:posOffset>
            </wp:positionV>
            <wp:extent cx="3044073" cy="1741646"/>
            <wp:effectExtent l="0" t="0" r="0" b="0"/>
            <wp:wrapTopAndBottom/>
            <wp:docPr id="31" name="image16.png" descr=""/>
            <wp:cNvGraphicFramePr>
              <a:graphicFrameLocks noChangeAspect="1"/>
            </wp:cNvGraphicFramePr>
            <a:graphic>
              <a:graphicData uri="http://schemas.openxmlformats.org/drawingml/2006/picture">
                <pic:pic>
                  <pic:nvPicPr>
                    <pic:cNvPr id="32" name="image16.png"/>
                    <pic:cNvPicPr/>
                  </pic:nvPicPr>
                  <pic:blipFill>
                    <a:blip r:embed="rId475" cstate="print"/>
                    <a:stretch>
                      <a:fillRect/>
                    </a:stretch>
                  </pic:blipFill>
                  <pic:spPr>
                    <a:xfrm>
                      <a:off x="0" y="0"/>
                      <a:ext cx="3044073" cy="1741646"/>
                    </a:xfrm>
                    <a:prstGeom prst="rect">
                      <a:avLst/>
                    </a:prstGeom>
                  </pic:spPr>
                </pic:pic>
              </a:graphicData>
            </a:graphic>
          </wp:anchor>
        </w:drawing>
      </w:r>
      <w:r>
        <w:rPr>
          <w:b/>
          <w:color w:val="231F20"/>
          <w:w w:val="95"/>
          <w:sz w:val="19"/>
        </w:rPr>
        <w:t>Gráfica 11</w:t>
      </w:r>
    </w:p>
    <w:p>
      <w:pPr>
        <w:pStyle w:val="BodyText"/>
        <w:spacing w:before="5"/>
        <w:rPr>
          <w:b/>
          <w:sz w:val="19"/>
        </w:rPr>
      </w:pPr>
    </w:p>
    <w:p>
      <w:pPr>
        <w:pStyle w:val="BodyText"/>
        <w:spacing w:line="249" w:lineRule="auto" w:before="1"/>
        <w:ind w:left="102" w:right="114" w:firstLine="284"/>
        <w:jc w:val="both"/>
      </w:pPr>
      <w:r>
        <w:rPr>
          <w:color w:val="231F20"/>
        </w:rPr>
        <w:t>La gráfica 12 nos muestra en términos generales, que el grupo de las mujeres es el que manifiesta estar recibiendo el mayor nú- mero de expresiones de maltrato. Destaca que es en las aulas es- colares donde ocurre el mayor número de ellosque, de manera importante, son el rechazo y la intimidación; el que se presenta en menor número es el acoso sexual. Por lo que toca a los espacios clínicos, continúa siendo la mujer el grupo más maltratado, y son también el rechazo y la intimidación los maltratos más comunes. Por lo que toca a los hombres, tanto en el aula como en la clínica, son el grupo con el menor número de muestras de maltrato. También en ellos, el rechazo y la intimidación, son los maltratos más comunes a que están expuestos.</w:t>
      </w:r>
    </w:p>
    <w:p>
      <w:pPr>
        <w:spacing w:after="0" w:line="249" w:lineRule="auto"/>
        <w:jc w:val="both"/>
        <w:sectPr>
          <w:headerReference w:type="default" r:id="rId473"/>
          <w:footerReference w:type="default" r:id="rId474"/>
          <w:pgSz w:w="7830" w:h="11910"/>
          <w:pgMar w:header="0" w:footer="424" w:top="500" w:bottom="620" w:left="920" w:right="900"/>
          <w:pgNumType w:start="217"/>
        </w:sectPr>
      </w:pPr>
    </w:p>
    <w:p>
      <w:pPr>
        <w:spacing w:before="46"/>
        <w:ind w:left="585" w:right="739"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8"/>
        <w:rPr>
          <w:sz w:val="22"/>
        </w:rPr>
      </w:pPr>
    </w:p>
    <w:p>
      <w:pPr>
        <w:spacing w:before="0"/>
        <w:ind w:left="2593" w:right="362" w:firstLine="0"/>
        <w:jc w:val="left"/>
        <w:rPr>
          <w:b/>
          <w:sz w:val="19"/>
        </w:rPr>
      </w:pPr>
      <w:r>
        <w:rPr/>
        <w:drawing>
          <wp:anchor distT="0" distB="0" distL="0" distR="0" allowOverlap="1" layoutInCell="1" locked="0" behindDoc="0" simplePos="0" relativeHeight="2056">
            <wp:simplePos x="0" y="0"/>
            <wp:positionH relativeFrom="page">
              <wp:posOffset>642130</wp:posOffset>
            </wp:positionH>
            <wp:positionV relativeFrom="paragraph">
              <wp:posOffset>222684</wp:posOffset>
            </wp:positionV>
            <wp:extent cx="3560855" cy="1576768"/>
            <wp:effectExtent l="0" t="0" r="0" b="0"/>
            <wp:wrapTopAndBottom/>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478" cstate="print"/>
                    <a:stretch>
                      <a:fillRect/>
                    </a:stretch>
                  </pic:blipFill>
                  <pic:spPr>
                    <a:xfrm>
                      <a:off x="0" y="0"/>
                      <a:ext cx="3560855" cy="1576768"/>
                    </a:xfrm>
                    <a:prstGeom prst="rect">
                      <a:avLst/>
                    </a:prstGeom>
                  </pic:spPr>
                </pic:pic>
              </a:graphicData>
            </a:graphic>
          </wp:anchor>
        </w:drawing>
      </w:r>
      <w:r>
        <w:rPr>
          <w:b/>
          <w:color w:val="231F20"/>
          <w:sz w:val="19"/>
        </w:rPr>
        <w:t>Gráfica 12</w:t>
      </w:r>
    </w:p>
    <w:p>
      <w:pPr>
        <w:pStyle w:val="BodyText"/>
        <w:spacing w:before="10"/>
        <w:rPr>
          <w:b/>
          <w:sz w:val="19"/>
        </w:rPr>
      </w:pPr>
    </w:p>
    <w:p>
      <w:pPr>
        <w:pStyle w:val="BodyText"/>
        <w:spacing w:line="247" w:lineRule="auto"/>
        <w:ind w:left="122" w:right="1491"/>
      </w:pPr>
      <w:r>
        <w:rPr>
          <w:color w:val="231F20"/>
          <w:w w:val="105"/>
        </w:rPr>
        <w:t>CONVIVENCIA Y EPISODIOS DE MALTRATO ENTRE LOS COMPAÑEROS DE CLASE</w:t>
      </w:r>
    </w:p>
    <w:p>
      <w:pPr>
        <w:pStyle w:val="BodyText"/>
        <w:spacing w:before="6"/>
        <w:rPr>
          <w:sz w:val="20"/>
        </w:rPr>
      </w:pPr>
    </w:p>
    <w:p>
      <w:pPr>
        <w:pStyle w:val="BodyText"/>
        <w:spacing w:line="244" w:lineRule="auto"/>
        <w:ind w:left="121" w:right="275"/>
        <w:jc w:val="both"/>
      </w:pPr>
      <w:r>
        <w:rPr>
          <w:color w:val="231F20"/>
        </w:rPr>
        <w:t>La relación con los compañeros de clase, y la vivencia durante cua- tro años de la carrera universitaria ha dejado una huella imborrable respecto de la convivencia. En la gráfica 13 se muestra que las pre- ferencias por ser hombre o mujer es lo que más recuerdan, alrede- dor del 65%. Solo el 75% reconoce el logro obtenido; el 80% mani- fiesta estar abierto al dialogo que ponen en práctica los valores de la profesión; las decisiones son tomadas en consenso. Donde se apre- cia que hay un mayor consenso, es en el sentirse libre de externar puntos de vista, la aclaración de dudas o la accesibilidad en el trato, ya que estuvieron cercanas al 90%.</w:t>
      </w:r>
    </w:p>
    <w:p>
      <w:pPr>
        <w:pStyle w:val="BodyText"/>
        <w:spacing w:before="9"/>
        <w:rPr>
          <w:sz w:val="19"/>
        </w:rPr>
      </w:pPr>
    </w:p>
    <w:p>
      <w:pPr>
        <w:spacing w:before="0"/>
        <w:ind w:left="584" w:right="739" w:firstLine="0"/>
        <w:jc w:val="center"/>
        <w:rPr>
          <w:b/>
          <w:sz w:val="19"/>
        </w:rPr>
      </w:pPr>
      <w:r>
        <w:rPr/>
        <w:drawing>
          <wp:anchor distT="0" distB="0" distL="0" distR="0" allowOverlap="1" layoutInCell="1" locked="0" behindDoc="0" simplePos="0" relativeHeight="2080">
            <wp:simplePos x="0" y="0"/>
            <wp:positionH relativeFrom="page">
              <wp:posOffset>645613</wp:posOffset>
            </wp:positionH>
            <wp:positionV relativeFrom="paragraph">
              <wp:posOffset>222409</wp:posOffset>
            </wp:positionV>
            <wp:extent cx="3733209" cy="1603533"/>
            <wp:effectExtent l="0" t="0" r="0" b="0"/>
            <wp:wrapTopAndBottom/>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479" cstate="print"/>
                    <a:stretch>
                      <a:fillRect/>
                    </a:stretch>
                  </pic:blipFill>
                  <pic:spPr>
                    <a:xfrm>
                      <a:off x="0" y="0"/>
                      <a:ext cx="3733209" cy="1603533"/>
                    </a:xfrm>
                    <a:prstGeom prst="rect">
                      <a:avLst/>
                    </a:prstGeom>
                  </pic:spPr>
                </pic:pic>
              </a:graphicData>
            </a:graphic>
          </wp:anchor>
        </w:drawing>
      </w:r>
      <w:r>
        <w:rPr>
          <w:b/>
          <w:color w:val="231F20"/>
          <w:sz w:val="19"/>
        </w:rPr>
        <w:t>Gráfica 13</w:t>
      </w:r>
    </w:p>
    <w:p>
      <w:pPr>
        <w:spacing w:after="0"/>
        <w:jc w:val="center"/>
        <w:rPr>
          <w:sz w:val="19"/>
        </w:rPr>
        <w:sectPr>
          <w:headerReference w:type="default" r:id="rId476"/>
          <w:footerReference w:type="default" r:id="rId477"/>
          <w:pgSz w:w="7830" w:h="11910"/>
          <w:pgMar w:header="0" w:footer="424" w:top="500" w:bottom="620" w:left="900" w:right="740"/>
          <w:pgNumType w:start="218"/>
        </w:sectPr>
      </w:pPr>
    </w:p>
    <w:p>
      <w:pPr>
        <w:spacing w:before="46"/>
        <w:ind w:left="12" w:right="9"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rPr>
          <w:sz w:val="16"/>
        </w:rPr>
      </w:pPr>
    </w:p>
    <w:p>
      <w:pPr>
        <w:pStyle w:val="BodyText"/>
        <w:spacing w:before="8"/>
        <w:rPr>
          <w:sz w:val="13"/>
        </w:rPr>
      </w:pPr>
    </w:p>
    <w:p>
      <w:pPr>
        <w:pStyle w:val="BodyText"/>
        <w:ind w:left="122"/>
        <w:jc w:val="both"/>
      </w:pPr>
      <w:r>
        <w:rPr>
          <w:color w:val="231F20"/>
          <w:w w:val="105"/>
        </w:rPr>
        <w:t>TIPO DE MALTRATO ENTRE PARES</w:t>
      </w:r>
    </w:p>
    <w:p>
      <w:pPr>
        <w:pStyle w:val="BodyText"/>
        <w:spacing w:before="1"/>
      </w:pPr>
    </w:p>
    <w:p>
      <w:pPr>
        <w:pStyle w:val="BodyText"/>
        <w:spacing w:line="247" w:lineRule="auto" w:before="1"/>
        <w:ind w:left="122" w:right="114" w:hanging="1"/>
        <w:jc w:val="both"/>
      </w:pPr>
      <w:r>
        <w:rPr>
          <w:color w:val="231F20"/>
        </w:rPr>
        <w:t>La gráfica 14 nos muestra los tipos de maltrato que se presentan de manera más recurrente entre los estudiantes. En ella  aparece  el robo, que aunque no se considera como tal, advertimos que es un fenómeno muy común dentro de la convivencia estudiantil, y </w:t>
      </w:r>
      <w:r>
        <w:rPr>
          <w:color w:val="231F20"/>
          <w:spacing w:val="2"/>
        </w:rPr>
        <w:t>que   </w:t>
      </w:r>
      <w:r>
        <w:rPr>
          <w:color w:val="231F20"/>
        </w:rPr>
        <w:t>su efecto en quien lo experimenta, en la mayoría de los casos es devastador. Por lo que se puede observar, son las burlas con el (35.11%), el maltrato más común, en un segundo lugar aparecen las bromas de mal gusto (32.45%), le sigue en tercer lugar el robo ocu- rrido en el aula (28.72%), con el 23.14% se encuentran los apodos y el sentirse rechazo(a) o excluido(a), con el 21.81% se encuentran la violencia verbal, por lo que toca a la intimidación, se presentó el 17.82%,al acoso sexual lo ubicamos en el penúltimo sitio con el 5.59%,</w:t>
      </w:r>
      <w:r>
        <w:rPr>
          <w:color w:val="231F20"/>
          <w:spacing w:val="-10"/>
        </w:rPr>
        <w:t> </w:t>
      </w:r>
      <w:r>
        <w:rPr>
          <w:color w:val="231F20"/>
        </w:rPr>
        <w:t>y</w:t>
      </w:r>
      <w:r>
        <w:rPr>
          <w:color w:val="231F20"/>
          <w:spacing w:val="-9"/>
        </w:rPr>
        <w:t> </w:t>
      </w:r>
      <w:r>
        <w:rPr>
          <w:color w:val="231F20"/>
        </w:rPr>
        <w:t>la</w:t>
      </w:r>
      <w:r>
        <w:rPr>
          <w:color w:val="231F20"/>
          <w:spacing w:val="-9"/>
        </w:rPr>
        <w:t> </w:t>
      </w:r>
      <w:r>
        <w:rPr>
          <w:color w:val="231F20"/>
        </w:rPr>
        <w:t>agresión</w:t>
      </w:r>
      <w:r>
        <w:rPr>
          <w:color w:val="231F20"/>
          <w:spacing w:val="-9"/>
        </w:rPr>
        <w:t> </w:t>
      </w:r>
      <w:r>
        <w:rPr>
          <w:color w:val="231F20"/>
        </w:rPr>
        <w:t>física</w:t>
      </w:r>
      <w:r>
        <w:rPr>
          <w:color w:val="231F20"/>
          <w:spacing w:val="-9"/>
        </w:rPr>
        <w:t> </w:t>
      </w:r>
      <w:r>
        <w:rPr>
          <w:color w:val="231F20"/>
        </w:rPr>
        <w:t>aparece</w:t>
      </w:r>
      <w:r>
        <w:rPr>
          <w:color w:val="231F20"/>
          <w:spacing w:val="-9"/>
        </w:rPr>
        <w:t> </w:t>
      </w:r>
      <w:r>
        <w:rPr>
          <w:color w:val="231F20"/>
        </w:rPr>
        <w:t>con</w:t>
      </w:r>
      <w:r>
        <w:rPr>
          <w:color w:val="231F20"/>
          <w:spacing w:val="-9"/>
        </w:rPr>
        <w:t> </w:t>
      </w:r>
      <w:r>
        <w:rPr>
          <w:color w:val="231F20"/>
        </w:rPr>
        <w:t>el</w:t>
      </w:r>
      <w:r>
        <w:rPr>
          <w:color w:val="231F20"/>
          <w:spacing w:val="-10"/>
        </w:rPr>
        <w:t> </w:t>
      </w:r>
      <w:r>
        <w:rPr>
          <w:color w:val="231F20"/>
        </w:rPr>
        <w:t>5.05%.</w:t>
      </w:r>
    </w:p>
    <w:p>
      <w:pPr>
        <w:pStyle w:val="BodyText"/>
        <w:spacing w:before="8"/>
      </w:pPr>
    </w:p>
    <w:p>
      <w:pPr>
        <w:spacing w:before="0"/>
        <w:ind w:left="11" w:right="9" w:firstLine="0"/>
        <w:jc w:val="center"/>
        <w:rPr>
          <w:b/>
          <w:sz w:val="19"/>
        </w:rPr>
      </w:pPr>
      <w:r>
        <w:rPr/>
        <w:drawing>
          <wp:anchor distT="0" distB="0" distL="0" distR="0" allowOverlap="1" layoutInCell="1" locked="0" behindDoc="0" simplePos="0" relativeHeight="2104">
            <wp:simplePos x="0" y="0"/>
            <wp:positionH relativeFrom="page">
              <wp:posOffset>646057</wp:posOffset>
            </wp:positionH>
            <wp:positionV relativeFrom="paragraph">
              <wp:posOffset>223471</wp:posOffset>
            </wp:positionV>
            <wp:extent cx="3675888" cy="1469136"/>
            <wp:effectExtent l="0" t="0" r="0" b="0"/>
            <wp:wrapTopAndBottom/>
            <wp:docPr id="37" name="image19.png" descr=""/>
            <wp:cNvGraphicFramePr>
              <a:graphicFrameLocks noChangeAspect="1"/>
            </wp:cNvGraphicFramePr>
            <a:graphic>
              <a:graphicData uri="http://schemas.openxmlformats.org/drawingml/2006/picture">
                <pic:pic>
                  <pic:nvPicPr>
                    <pic:cNvPr id="38" name="image19.png"/>
                    <pic:cNvPicPr/>
                  </pic:nvPicPr>
                  <pic:blipFill>
                    <a:blip r:embed="rId482" cstate="print"/>
                    <a:stretch>
                      <a:fillRect/>
                    </a:stretch>
                  </pic:blipFill>
                  <pic:spPr>
                    <a:xfrm>
                      <a:off x="0" y="0"/>
                      <a:ext cx="3675888" cy="1469136"/>
                    </a:xfrm>
                    <a:prstGeom prst="rect">
                      <a:avLst/>
                    </a:prstGeom>
                  </pic:spPr>
                </pic:pic>
              </a:graphicData>
            </a:graphic>
          </wp:anchor>
        </w:drawing>
      </w:r>
      <w:r>
        <w:rPr>
          <w:b/>
          <w:color w:val="231F20"/>
          <w:sz w:val="19"/>
        </w:rPr>
        <w:t>Gráfica 14</w:t>
      </w:r>
    </w:p>
    <w:p>
      <w:pPr>
        <w:pStyle w:val="BodyText"/>
        <w:spacing w:before="4"/>
        <w:rPr>
          <w:b/>
          <w:sz w:val="20"/>
        </w:rPr>
      </w:pPr>
    </w:p>
    <w:p>
      <w:pPr>
        <w:pStyle w:val="BodyText"/>
        <w:spacing w:line="247" w:lineRule="auto"/>
        <w:ind w:left="122" w:right="116" w:firstLine="284"/>
        <w:jc w:val="both"/>
      </w:pPr>
      <w:r>
        <w:rPr>
          <w:color w:val="231F20"/>
          <w:spacing w:val="2"/>
        </w:rPr>
        <w:t>Por </w:t>
      </w:r>
      <w:r>
        <w:rPr>
          <w:color w:val="231F20"/>
        </w:rPr>
        <w:t>lo </w:t>
      </w:r>
      <w:r>
        <w:rPr>
          <w:color w:val="231F20"/>
          <w:spacing w:val="2"/>
        </w:rPr>
        <w:t>que toca </w:t>
      </w:r>
      <w:r>
        <w:rPr>
          <w:color w:val="231F20"/>
        </w:rPr>
        <w:t>a su </w:t>
      </w:r>
      <w:r>
        <w:rPr>
          <w:color w:val="231F20"/>
          <w:spacing w:val="2"/>
        </w:rPr>
        <w:t>frecuencia, </w:t>
      </w:r>
      <w:r>
        <w:rPr>
          <w:color w:val="231F20"/>
        </w:rPr>
        <w:t>de </w:t>
      </w:r>
      <w:r>
        <w:rPr>
          <w:color w:val="231F20"/>
          <w:spacing w:val="2"/>
        </w:rPr>
        <w:t>acuerdo </w:t>
      </w:r>
      <w:r>
        <w:rPr>
          <w:color w:val="231F20"/>
        </w:rPr>
        <w:t>a la </w:t>
      </w:r>
      <w:r>
        <w:rPr>
          <w:color w:val="231F20"/>
          <w:spacing w:val="2"/>
        </w:rPr>
        <w:t>gráfica </w:t>
      </w:r>
      <w:r>
        <w:rPr>
          <w:color w:val="231F20"/>
        </w:rPr>
        <w:t>15,  </w:t>
      </w:r>
      <w:r>
        <w:rPr>
          <w:color w:val="231F20"/>
          <w:spacing w:val="2"/>
        </w:rPr>
        <w:t>todos los maltratos </w:t>
      </w:r>
      <w:r>
        <w:rPr>
          <w:color w:val="231F20"/>
        </w:rPr>
        <w:t>se </w:t>
      </w:r>
      <w:r>
        <w:rPr>
          <w:color w:val="231F20"/>
          <w:spacing w:val="3"/>
        </w:rPr>
        <w:t>presentaron </w:t>
      </w:r>
      <w:r>
        <w:rPr>
          <w:color w:val="231F20"/>
        </w:rPr>
        <w:t>en </w:t>
      </w:r>
      <w:r>
        <w:rPr>
          <w:color w:val="231F20"/>
          <w:spacing w:val="2"/>
        </w:rPr>
        <w:t>más </w:t>
      </w:r>
      <w:r>
        <w:rPr>
          <w:color w:val="231F20"/>
        </w:rPr>
        <w:t>de </w:t>
      </w:r>
      <w:r>
        <w:rPr>
          <w:color w:val="231F20"/>
          <w:spacing w:val="2"/>
        </w:rPr>
        <w:t>una ocasión; los que aparecen </w:t>
      </w:r>
      <w:r>
        <w:rPr>
          <w:color w:val="231F20"/>
        </w:rPr>
        <w:t>en </w:t>
      </w:r>
      <w:r>
        <w:rPr>
          <w:color w:val="231F20"/>
          <w:spacing w:val="2"/>
        </w:rPr>
        <w:t>los </w:t>
      </w:r>
      <w:r>
        <w:rPr>
          <w:color w:val="231F20"/>
          <w:spacing w:val="3"/>
        </w:rPr>
        <w:t>primeros </w:t>
      </w:r>
      <w:r>
        <w:rPr>
          <w:color w:val="231F20"/>
          <w:spacing w:val="2"/>
        </w:rPr>
        <w:t>cuatro lugares son </w:t>
      </w:r>
      <w:r>
        <w:rPr>
          <w:color w:val="231F20"/>
        </w:rPr>
        <w:t>las </w:t>
      </w:r>
      <w:r>
        <w:rPr>
          <w:color w:val="231F20"/>
          <w:spacing w:val="2"/>
        </w:rPr>
        <w:t>burlas, </w:t>
      </w:r>
      <w:r>
        <w:rPr>
          <w:color w:val="231F20"/>
        </w:rPr>
        <w:t>las </w:t>
      </w:r>
      <w:r>
        <w:rPr>
          <w:color w:val="231F20"/>
          <w:spacing w:val="3"/>
        </w:rPr>
        <w:t>bromas </w:t>
      </w:r>
      <w:r>
        <w:rPr>
          <w:color w:val="231F20"/>
        </w:rPr>
        <w:t>de </w:t>
      </w:r>
      <w:r>
        <w:rPr>
          <w:color w:val="231F20"/>
          <w:spacing w:val="2"/>
        </w:rPr>
        <w:t>mal gusto, </w:t>
      </w:r>
      <w:r>
        <w:rPr>
          <w:color w:val="231F20"/>
        </w:rPr>
        <w:t>el </w:t>
      </w:r>
      <w:r>
        <w:rPr>
          <w:color w:val="231F20"/>
          <w:spacing w:val="2"/>
        </w:rPr>
        <w:t>robo </w:t>
      </w:r>
      <w:r>
        <w:rPr>
          <w:color w:val="231F20"/>
        </w:rPr>
        <w:t>y el </w:t>
      </w:r>
      <w:r>
        <w:rPr>
          <w:color w:val="231F20"/>
          <w:spacing w:val="2"/>
        </w:rPr>
        <w:t>sentirse rechazado </w:t>
      </w:r>
      <w:r>
        <w:rPr>
          <w:color w:val="231F20"/>
        </w:rPr>
        <w:t>o </w:t>
      </w:r>
      <w:r>
        <w:rPr>
          <w:color w:val="231F20"/>
          <w:spacing w:val="2"/>
        </w:rPr>
        <w:t>excluido. </w:t>
      </w:r>
      <w:r>
        <w:rPr>
          <w:color w:val="231F20"/>
          <w:spacing w:val="4"/>
        </w:rPr>
        <w:t>Los </w:t>
      </w:r>
      <w:r>
        <w:rPr>
          <w:color w:val="231F20"/>
          <w:spacing w:val="2"/>
        </w:rPr>
        <w:t>maltratos </w:t>
      </w:r>
      <w:r>
        <w:rPr>
          <w:color w:val="231F20"/>
        </w:rPr>
        <w:t>que </w:t>
      </w:r>
      <w:r>
        <w:rPr>
          <w:color w:val="231F20"/>
          <w:spacing w:val="2"/>
        </w:rPr>
        <w:t>aparecen </w:t>
      </w:r>
      <w:r>
        <w:rPr>
          <w:color w:val="231F20"/>
        </w:rPr>
        <w:t>con el </w:t>
      </w:r>
      <w:r>
        <w:rPr>
          <w:color w:val="231F20"/>
          <w:spacing w:val="2"/>
        </w:rPr>
        <w:t>menor número </w:t>
      </w:r>
      <w:r>
        <w:rPr>
          <w:color w:val="231F20"/>
        </w:rPr>
        <w:t>de </w:t>
      </w:r>
      <w:r>
        <w:rPr>
          <w:color w:val="231F20"/>
          <w:spacing w:val="2"/>
        </w:rPr>
        <w:t>eventos, </w:t>
      </w:r>
      <w:r>
        <w:rPr>
          <w:color w:val="231F20"/>
          <w:spacing w:val="3"/>
        </w:rPr>
        <w:t>fueron    </w:t>
      </w:r>
      <w:r>
        <w:rPr>
          <w:color w:val="231F20"/>
        </w:rPr>
        <w:t>el</w:t>
      </w:r>
      <w:r>
        <w:rPr>
          <w:color w:val="231F20"/>
          <w:spacing w:val="-10"/>
        </w:rPr>
        <w:t> </w:t>
      </w:r>
      <w:r>
        <w:rPr>
          <w:color w:val="231F20"/>
          <w:spacing w:val="2"/>
        </w:rPr>
        <w:t>acoso</w:t>
      </w:r>
      <w:r>
        <w:rPr>
          <w:color w:val="231F20"/>
          <w:spacing w:val="-9"/>
        </w:rPr>
        <w:t> </w:t>
      </w:r>
      <w:r>
        <w:rPr>
          <w:color w:val="231F20"/>
          <w:spacing w:val="2"/>
        </w:rPr>
        <w:t>sexual</w:t>
      </w:r>
      <w:r>
        <w:rPr>
          <w:color w:val="231F20"/>
          <w:spacing w:val="-10"/>
        </w:rPr>
        <w:t> </w:t>
      </w:r>
      <w:r>
        <w:rPr>
          <w:color w:val="231F20"/>
        </w:rPr>
        <w:t>y</w:t>
      </w:r>
      <w:r>
        <w:rPr>
          <w:color w:val="231F20"/>
          <w:spacing w:val="-9"/>
        </w:rPr>
        <w:t> </w:t>
      </w:r>
      <w:r>
        <w:rPr>
          <w:color w:val="231F20"/>
        </w:rPr>
        <w:t>la</w:t>
      </w:r>
      <w:r>
        <w:rPr>
          <w:color w:val="231F20"/>
          <w:spacing w:val="-9"/>
        </w:rPr>
        <w:t> </w:t>
      </w:r>
      <w:r>
        <w:rPr>
          <w:color w:val="231F20"/>
          <w:spacing w:val="2"/>
        </w:rPr>
        <w:t>agresión</w:t>
      </w:r>
      <w:r>
        <w:rPr>
          <w:color w:val="231F20"/>
          <w:spacing w:val="-9"/>
        </w:rPr>
        <w:t> </w:t>
      </w:r>
      <w:r>
        <w:rPr>
          <w:color w:val="231F20"/>
          <w:spacing w:val="2"/>
        </w:rPr>
        <w:t>física.</w:t>
      </w:r>
    </w:p>
    <w:p>
      <w:pPr>
        <w:spacing w:after="0" w:line="247" w:lineRule="auto"/>
        <w:jc w:val="both"/>
        <w:sectPr>
          <w:headerReference w:type="default" r:id="rId480"/>
          <w:footerReference w:type="default" r:id="rId481"/>
          <w:pgSz w:w="7830" w:h="11910"/>
          <w:pgMar w:header="0" w:footer="424" w:top="500" w:bottom="620" w:left="900" w:right="900"/>
          <w:pgNumType w:start="219"/>
        </w:sectPr>
      </w:pPr>
    </w:p>
    <w:p>
      <w:pPr>
        <w:spacing w:before="46"/>
        <w:ind w:left="12" w:right="9"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rPr>
          <w:sz w:val="16"/>
        </w:rPr>
      </w:pPr>
    </w:p>
    <w:p>
      <w:pPr>
        <w:spacing w:before="119"/>
        <w:ind w:left="11" w:right="9" w:firstLine="0"/>
        <w:jc w:val="center"/>
        <w:rPr>
          <w:b/>
          <w:sz w:val="19"/>
        </w:rPr>
      </w:pPr>
      <w:r>
        <w:rPr/>
        <w:drawing>
          <wp:anchor distT="0" distB="0" distL="0" distR="0" allowOverlap="1" layoutInCell="1" locked="0" behindDoc="0" simplePos="0" relativeHeight="2128">
            <wp:simplePos x="0" y="0"/>
            <wp:positionH relativeFrom="page">
              <wp:posOffset>645422</wp:posOffset>
            </wp:positionH>
            <wp:positionV relativeFrom="paragraph">
              <wp:posOffset>299252</wp:posOffset>
            </wp:positionV>
            <wp:extent cx="3675905" cy="1840991"/>
            <wp:effectExtent l="0" t="0" r="0" b="0"/>
            <wp:wrapTopAndBottom/>
            <wp:docPr id="39" name="image20.png" descr=""/>
            <wp:cNvGraphicFramePr>
              <a:graphicFrameLocks noChangeAspect="1"/>
            </wp:cNvGraphicFramePr>
            <a:graphic>
              <a:graphicData uri="http://schemas.openxmlformats.org/drawingml/2006/picture">
                <pic:pic>
                  <pic:nvPicPr>
                    <pic:cNvPr id="40" name="image20.png"/>
                    <pic:cNvPicPr/>
                  </pic:nvPicPr>
                  <pic:blipFill>
                    <a:blip r:embed="rId485" cstate="print"/>
                    <a:stretch>
                      <a:fillRect/>
                    </a:stretch>
                  </pic:blipFill>
                  <pic:spPr>
                    <a:xfrm>
                      <a:off x="0" y="0"/>
                      <a:ext cx="3675905" cy="1840991"/>
                    </a:xfrm>
                    <a:prstGeom prst="rect">
                      <a:avLst/>
                    </a:prstGeom>
                  </pic:spPr>
                </pic:pic>
              </a:graphicData>
            </a:graphic>
          </wp:anchor>
        </w:drawing>
      </w:r>
      <w:r>
        <w:rPr>
          <w:b/>
          <w:color w:val="231F20"/>
          <w:sz w:val="19"/>
        </w:rPr>
        <w:t>Gráfica 15</w:t>
      </w:r>
    </w:p>
    <w:p>
      <w:pPr>
        <w:pStyle w:val="BodyText"/>
        <w:spacing w:before="10"/>
        <w:rPr>
          <w:b/>
          <w:sz w:val="29"/>
        </w:rPr>
      </w:pPr>
    </w:p>
    <w:p>
      <w:pPr>
        <w:pStyle w:val="BodyText"/>
        <w:spacing w:line="247" w:lineRule="auto"/>
        <w:ind w:left="122" w:right="115" w:firstLine="284"/>
        <w:jc w:val="both"/>
      </w:pPr>
      <w:r>
        <w:rPr>
          <w:color w:val="231F20"/>
        </w:rPr>
        <w:t>¿Quiénes reciben el mayor número de maltratos de compañe- ros o compañeras? De acuerdo a la gráfica 16, las mujeres son las que están más en riesgo de sufrir estos. Aparecen en primer lugar las burlas y las bromas de mal gusto. Con el menor número de eventos, encontramos los actos de agresión física y a las expresio- nes de acoso sexual.</w:t>
      </w:r>
    </w:p>
    <w:p>
      <w:pPr>
        <w:spacing w:before="106"/>
        <w:ind w:left="11" w:right="9" w:firstLine="0"/>
        <w:jc w:val="center"/>
        <w:rPr>
          <w:b/>
          <w:sz w:val="19"/>
        </w:rPr>
      </w:pPr>
      <w:r>
        <w:rPr/>
        <w:drawing>
          <wp:anchor distT="0" distB="0" distL="0" distR="0" allowOverlap="1" layoutInCell="1" locked="0" behindDoc="0" simplePos="0" relativeHeight="2152">
            <wp:simplePos x="0" y="0"/>
            <wp:positionH relativeFrom="page">
              <wp:posOffset>645964</wp:posOffset>
            </wp:positionH>
            <wp:positionV relativeFrom="paragraph">
              <wp:posOffset>291453</wp:posOffset>
            </wp:positionV>
            <wp:extent cx="3675883" cy="1761743"/>
            <wp:effectExtent l="0" t="0" r="0" b="0"/>
            <wp:wrapTopAndBottom/>
            <wp:docPr id="41" name="image21.png" descr=""/>
            <wp:cNvGraphicFramePr>
              <a:graphicFrameLocks noChangeAspect="1"/>
            </wp:cNvGraphicFramePr>
            <a:graphic>
              <a:graphicData uri="http://schemas.openxmlformats.org/drawingml/2006/picture">
                <pic:pic>
                  <pic:nvPicPr>
                    <pic:cNvPr id="42" name="image21.png"/>
                    <pic:cNvPicPr/>
                  </pic:nvPicPr>
                  <pic:blipFill>
                    <a:blip r:embed="rId486" cstate="print"/>
                    <a:stretch>
                      <a:fillRect/>
                    </a:stretch>
                  </pic:blipFill>
                  <pic:spPr>
                    <a:xfrm>
                      <a:off x="0" y="0"/>
                      <a:ext cx="3675883" cy="1761743"/>
                    </a:xfrm>
                    <a:prstGeom prst="rect">
                      <a:avLst/>
                    </a:prstGeom>
                  </pic:spPr>
                </pic:pic>
              </a:graphicData>
            </a:graphic>
          </wp:anchor>
        </w:drawing>
      </w:r>
      <w:r>
        <w:rPr>
          <w:b/>
          <w:color w:val="231F20"/>
          <w:sz w:val="19"/>
        </w:rPr>
        <w:t>Gráfica 16</w:t>
      </w:r>
    </w:p>
    <w:p>
      <w:pPr>
        <w:pStyle w:val="BodyText"/>
        <w:spacing w:before="9"/>
        <w:rPr>
          <w:b/>
          <w:sz w:val="29"/>
        </w:rPr>
      </w:pPr>
    </w:p>
    <w:p>
      <w:pPr>
        <w:pStyle w:val="BodyText"/>
        <w:spacing w:line="247" w:lineRule="auto"/>
        <w:ind w:left="121" w:right="115" w:firstLine="284"/>
        <w:jc w:val="both"/>
      </w:pPr>
      <w:r>
        <w:rPr>
          <w:color w:val="231F20"/>
          <w:spacing w:val="3"/>
        </w:rPr>
        <w:t>Considerando </w:t>
      </w:r>
      <w:r>
        <w:rPr>
          <w:color w:val="231F20"/>
        </w:rPr>
        <w:t>la </w:t>
      </w:r>
      <w:r>
        <w:rPr>
          <w:color w:val="231F20"/>
          <w:spacing w:val="2"/>
        </w:rPr>
        <w:t>unidad académica, </w:t>
      </w:r>
      <w:r>
        <w:rPr>
          <w:color w:val="231F20"/>
        </w:rPr>
        <w:t>¿en </w:t>
      </w:r>
      <w:r>
        <w:rPr>
          <w:color w:val="231F20"/>
          <w:spacing w:val="2"/>
        </w:rPr>
        <w:t>cuál </w:t>
      </w:r>
      <w:r>
        <w:rPr>
          <w:color w:val="231F20"/>
        </w:rPr>
        <w:t>de ellas se </w:t>
      </w:r>
      <w:r>
        <w:rPr>
          <w:color w:val="231F20"/>
          <w:spacing w:val="3"/>
        </w:rPr>
        <w:t>presen- </w:t>
      </w:r>
      <w:r>
        <w:rPr>
          <w:color w:val="231F20"/>
        </w:rPr>
        <w:t>ta el </w:t>
      </w:r>
      <w:r>
        <w:rPr>
          <w:color w:val="231F20"/>
          <w:spacing w:val="3"/>
        </w:rPr>
        <w:t>mayor número </w:t>
      </w:r>
      <w:r>
        <w:rPr>
          <w:color w:val="231F20"/>
        </w:rPr>
        <w:t>de </w:t>
      </w:r>
      <w:r>
        <w:rPr>
          <w:color w:val="231F20"/>
          <w:spacing w:val="2"/>
        </w:rPr>
        <w:t>maltrato entre pares </w:t>
      </w:r>
      <w:r>
        <w:rPr>
          <w:color w:val="231F20"/>
        </w:rPr>
        <w:t>y en  </w:t>
      </w:r>
      <w:r>
        <w:rPr>
          <w:color w:val="231F20"/>
          <w:spacing w:val="2"/>
        </w:rPr>
        <w:t>cuál, </w:t>
      </w:r>
      <w:r>
        <w:rPr>
          <w:color w:val="231F20"/>
        </w:rPr>
        <w:t>el </w:t>
      </w:r>
      <w:r>
        <w:rPr>
          <w:color w:val="231F20"/>
          <w:spacing w:val="3"/>
        </w:rPr>
        <w:t>menor?</w:t>
      </w:r>
      <w:r>
        <w:rPr>
          <w:color w:val="231F20"/>
          <w:spacing w:val="58"/>
        </w:rPr>
        <w:t> </w:t>
      </w:r>
      <w:r>
        <w:rPr>
          <w:color w:val="231F20"/>
        </w:rPr>
        <w:t>En  </w:t>
      </w:r>
      <w:r>
        <w:rPr>
          <w:color w:val="231F20"/>
          <w:spacing w:val="2"/>
        </w:rPr>
        <w:t>cuanto </w:t>
      </w:r>
      <w:r>
        <w:rPr>
          <w:color w:val="231F20"/>
        </w:rPr>
        <w:t>al  </w:t>
      </w:r>
      <w:r>
        <w:rPr>
          <w:color w:val="231F20"/>
          <w:spacing w:val="3"/>
        </w:rPr>
        <w:t>mayor número </w:t>
      </w:r>
      <w:r>
        <w:rPr>
          <w:color w:val="231F20"/>
        </w:rPr>
        <w:t>de  </w:t>
      </w:r>
      <w:r>
        <w:rPr>
          <w:color w:val="231F20"/>
          <w:spacing w:val="2"/>
        </w:rPr>
        <w:t>eventos </w:t>
      </w:r>
      <w:r>
        <w:rPr>
          <w:color w:val="231F20"/>
          <w:spacing w:val="3"/>
        </w:rPr>
        <w:t>presentados, </w:t>
      </w:r>
      <w:r>
        <w:rPr>
          <w:color w:val="231F20"/>
        </w:rPr>
        <w:t>la    </w:t>
      </w:r>
      <w:r>
        <w:rPr>
          <w:color w:val="231F20"/>
          <w:spacing w:val="22"/>
        </w:rPr>
        <w:t> </w:t>
      </w:r>
      <w:r>
        <w:rPr>
          <w:color w:val="231F20"/>
          <w:spacing w:val="2"/>
        </w:rPr>
        <w:t>Unidad</w:t>
      </w:r>
    </w:p>
    <w:p>
      <w:pPr>
        <w:spacing w:after="0" w:line="247" w:lineRule="auto"/>
        <w:jc w:val="both"/>
        <w:sectPr>
          <w:headerReference w:type="default" r:id="rId483"/>
          <w:footerReference w:type="default" r:id="rId484"/>
          <w:pgSz w:w="7830" w:h="11910"/>
          <w:pgMar w:header="0" w:footer="424" w:top="500" w:bottom="620" w:left="900" w:right="900"/>
          <w:pgNumType w:start="220"/>
        </w:sectPr>
      </w:pPr>
    </w:p>
    <w:p>
      <w:pPr>
        <w:spacing w:before="46"/>
        <w:ind w:left="1483" w:right="104"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21" w:right="116"/>
        <w:jc w:val="both"/>
      </w:pPr>
      <w:r>
        <w:rPr>
          <w:color w:val="231F20"/>
        </w:rPr>
        <w:t>Académica de Enfermería fue el lugar donde se presentó el mayor número de casos, 6 de 10 (robos, bromas de mal gusto, sentirse rechazado o excluido, sufrir agresión física, violencia verbal e intimidación). La Unidad Académica de Medicina fue segundo lugar en el número de casos, con 4 de 10 (burlas, apodos, agresión física y humillación pública). La Unidad Académica de Ciencias Biológicas y Farmacéuticas fue el lugar donde se presentaron el mayor número de casos de acoso sexual, seguido de Medicina, Enfermería y Odontología (Gráfica 17).</w:t>
      </w:r>
    </w:p>
    <w:p>
      <w:pPr>
        <w:pStyle w:val="BodyText"/>
        <w:spacing w:before="2"/>
        <w:rPr>
          <w:sz w:val="20"/>
        </w:rPr>
      </w:pPr>
    </w:p>
    <w:p>
      <w:pPr>
        <w:spacing w:before="1"/>
        <w:ind w:left="2594" w:right="104" w:firstLine="0"/>
        <w:jc w:val="left"/>
        <w:rPr>
          <w:b/>
          <w:sz w:val="19"/>
        </w:rPr>
      </w:pPr>
      <w:r>
        <w:rPr/>
        <w:drawing>
          <wp:anchor distT="0" distB="0" distL="0" distR="0" allowOverlap="1" layoutInCell="1" locked="0" behindDoc="0" simplePos="0" relativeHeight="2176">
            <wp:simplePos x="0" y="0"/>
            <wp:positionH relativeFrom="page">
              <wp:posOffset>645739</wp:posOffset>
            </wp:positionH>
            <wp:positionV relativeFrom="paragraph">
              <wp:posOffset>224172</wp:posOffset>
            </wp:positionV>
            <wp:extent cx="3675887" cy="1950720"/>
            <wp:effectExtent l="0" t="0" r="0" b="0"/>
            <wp:wrapTopAndBottom/>
            <wp:docPr id="43" name="image22.png" descr=""/>
            <wp:cNvGraphicFramePr>
              <a:graphicFrameLocks noChangeAspect="1"/>
            </wp:cNvGraphicFramePr>
            <a:graphic>
              <a:graphicData uri="http://schemas.openxmlformats.org/drawingml/2006/picture">
                <pic:pic>
                  <pic:nvPicPr>
                    <pic:cNvPr id="44" name="image22.png"/>
                    <pic:cNvPicPr/>
                  </pic:nvPicPr>
                  <pic:blipFill>
                    <a:blip r:embed="rId489" cstate="print"/>
                    <a:stretch>
                      <a:fillRect/>
                    </a:stretch>
                  </pic:blipFill>
                  <pic:spPr>
                    <a:xfrm>
                      <a:off x="0" y="0"/>
                      <a:ext cx="3675887" cy="1950720"/>
                    </a:xfrm>
                    <a:prstGeom prst="rect">
                      <a:avLst/>
                    </a:prstGeom>
                  </pic:spPr>
                </pic:pic>
              </a:graphicData>
            </a:graphic>
          </wp:anchor>
        </w:drawing>
      </w:r>
      <w:r>
        <w:rPr>
          <w:b/>
          <w:color w:val="231F20"/>
          <w:sz w:val="19"/>
        </w:rPr>
        <w:t>Gráfica 17</w:t>
      </w:r>
    </w:p>
    <w:p>
      <w:pPr>
        <w:pStyle w:val="BodyText"/>
        <w:spacing w:before="8"/>
        <w:rPr>
          <w:b/>
          <w:sz w:val="20"/>
        </w:rPr>
      </w:pPr>
    </w:p>
    <w:p>
      <w:pPr>
        <w:pStyle w:val="BodyText"/>
        <w:spacing w:before="1"/>
        <w:ind w:left="122"/>
        <w:jc w:val="both"/>
      </w:pPr>
      <w:r>
        <w:rPr>
          <w:color w:val="231F20"/>
        </w:rPr>
        <w:t>DISCUSIÓN</w:t>
      </w:r>
    </w:p>
    <w:p>
      <w:pPr>
        <w:pStyle w:val="BodyText"/>
        <w:spacing w:before="8"/>
        <w:rPr>
          <w:sz w:val="20"/>
        </w:rPr>
      </w:pPr>
    </w:p>
    <w:p>
      <w:pPr>
        <w:pStyle w:val="BodyText"/>
        <w:spacing w:line="244" w:lineRule="auto"/>
        <w:ind w:left="121" w:right="115"/>
        <w:jc w:val="both"/>
      </w:pPr>
      <w:r>
        <w:rPr>
          <w:color w:val="231F20"/>
        </w:rPr>
        <w:t>Este primer trabajo nos ha permitido tener un acercamiento al tema del maltrato y abuso entre estudiantes y docentes universitarios. Ha dejado la inquietud por continuar realizando diversos estudios de seguimiento en las presentes y futuras generaciones, a la vez de realizar un instrumento más preciso, a fin de indagar concretamen- te, entre otras cosas, el tipo de maltrato y quién o quiénes lo reali- zan de manera más reiterada, particularmente en los espacios hospi- talarios. Nos ha mostrado que el maltrato es un fenómeno de actua- lidad, que se presenta en todas las carreras del área de la salud, en algunas en mayor porcentaje que en otras. También hemos adverti- do que todos los estudiantes han recibido algún tipo de maltrato en algún  momento  de  su  carrera.  De  esta  manera,  entendemos  los</w:t>
      </w:r>
    </w:p>
    <w:p>
      <w:pPr>
        <w:spacing w:after="0" w:line="244" w:lineRule="auto"/>
        <w:jc w:val="both"/>
        <w:sectPr>
          <w:headerReference w:type="default" r:id="rId487"/>
          <w:footerReference w:type="default" r:id="rId488"/>
          <w:pgSz w:w="7830" w:h="11910"/>
          <w:pgMar w:header="0" w:footer="424" w:top="500" w:bottom="620" w:left="900" w:right="900"/>
          <w:pgNumType w:start="22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15"/>
        <w:jc w:val="both"/>
      </w:pPr>
      <w:r>
        <w:rPr>
          <w:color w:val="231F20"/>
        </w:rPr>
        <w:t>resultados del estudio realizado por la Asociación Americana de Escuelas de Medicina (AAMC por sus siglas en inglés), que entre 1990-92, encontró que el abuso lo han sufrido un  poco  más del 70% de los estudiantes.</w:t>
      </w:r>
    </w:p>
    <w:p>
      <w:pPr>
        <w:pStyle w:val="BodyText"/>
        <w:spacing w:line="247" w:lineRule="auto"/>
        <w:ind w:left="102" w:right="115" w:firstLine="284"/>
        <w:jc w:val="both"/>
      </w:pPr>
      <w:r>
        <w:rPr>
          <w:color w:val="231F20"/>
        </w:rPr>
        <w:t>En nuestro caso, encontramos que en los dos espacios de aprendizaje (aula y clínica), el fenómeno del maltrato está presente; sin embargo, es en el aula y sus espacios (laboratorios y las prácticas comunitarias), a diferencia de la clínica, donde los estudiantes reci- ben el mayor número de episodios de violencia. En lo que se con- cuerda con diversos estudios, es que en ambos sitios, encontramos que el maltrato más común fue la humillación pública y el menos- precio, a manos de residentes, docentes y compañeros. Las cifras reportadas nos hablan de una mayoría y otros dan cifras más espe- cíficas: menosprecio y humillación 40%, violencia verbal 23% (Ra- utio, 2005; Wolf, 1991; F Wood, 2006).</w:t>
      </w:r>
    </w:p>
    <w:p>
      <w:pPr>
        <w:pStyle w:val="BodyText"/>
        <w:spacing w:line="244" w:lineRule="auto" w:before="1"/>
        <w:ind w:left="102" w:right="114" w:firstLine="284"/>
        <w:jc w:val="both"/>
      </w:pPr>
      <w:r>
        <w:rPr>
          <w:color w:val="231F20"/>
        </w:rPr>
        <w:t>Nuestros resultados también concuerdan con algunas investiga- ciones que dan cuenta de que entre los diferentes maltratos, la agre- sión física, el ser golpeado o empujado, fue de los menos recurren- tes, aunque sí, en nuestro caso la clínica presentó porcentajes más elevados (Baldwin, 1991). Por lo que respecta al acoso sexual, lo que observamos es que en ambos espacios de aprendizaje está pre- sente, que ambos grupos, hombres y mujeres lo reportan como evento.Y también que en ambos sitios son las mujeres el grupo más propenso a recibirlo; sin embargo, los hombres no están libres de ello, aunque en menos porcentaje, también ellos lo han experimen- tado en “carne propia”. Llama la atención que nuestras cifras mues- tran diferencias importantes respecto a estudios internacionales: en nuestro caso, encontramos que este tipo de maltrato se ubicó en el penúltimo lugar; las(os) estudiantes lo reportaron como el menos común, en ambos sitios aparece, con un 5.37% en los espacios áulicos y un poco más elevado en los espacios clínicos, con un 5.59%. Ello contrasta mucho del 55% que reporta Baldwin (1991),  el 23% que reporta Rautio (2005), el 50% de Wolf (1991), o el 46% de Moscarello (s/f). Estos primeros resultados, nos da la oportuni- dad, para entender que es preciso poner atención a</w:t>
      </w:r>
      <w:r>
        <w:rPr>
          <w:color w:val="231F20"/>
          <w:spacing w:val="49"/>
        </w:rPr>
        <w:t> </w:t>
      </w:r>
      <w:r>
        <w:rPr>
          <w:color w:val="231F20"/>
        </w:rPr>
        <w:t>ello.</w:t>
      </w:r>
    </w:p>
    <w:p>
      <w:pPr>
        <w:pStyle w:val="BodyText"/>
        <w:spacing w:line="247" w:lineRule="auto" w:before="3"/>
        <w:ind w:left="102" w:right="115" w:firstLine="284"/>
        <w:jc w:val="both"/>
      </w:pPr>
      <w:r>
        <w:rPr>
          <w:color w:val="231F20"/>
        </w:rPr>
        <w:t>Durante el presente estudio, conocimos un caso muy dramático de una estudiante, que ante el temor y la falta de orientación y ayu- da institucional, no supo cómo manejar la situación, y tuvo que cambiar de carrera universitaria. Se tiene claro que los maltratos</w:t>
      </w:r>
    </w:p>
    <w:p>
      <w:pPr>
        <w:spacing w:after="0" w:line="247" w:lineRule="auto"/>
        <w:jc w:val="both"/>
        <w:sectPr>
          <w:headerReference w:type="default" r:id="rId490"/>
          <w:footerReference w:type="default" r:id="rId491"/>
          <w:pgSz w:w="7830" w:h="11910"/>
          <w:pgMar w:header="0" w:footer="424" w:top="500" w:bottom="620" w:left="920" w:right="900"/>
          <w:pgNumType w:start="22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5"/>
        <w:jc w:val="both"/>
      </w:pPr>
      <w:r>
        <w:rPr>
          <w:color w:val="231F20"/>
        </w:rPr>
        <w:t>hacia el estudiante, tienen un impacto sustancial en su comporta- miento y desarrollo, particularmente hacia la futura imagen de la profesión, el cuidado a los enfermos y los valores (Rautio, 2005). Por ello en nuestro medio, es preciso realizar estudios con mayor precisión, tratando de destacar los contextos donde se originan los maltratos y quiénes son los causantes, es decir aprender más acerca de ello (Silver, 1990). Entendiendo que lo más importante es la prevención, y a partir de ahí implementar diversas acciones, tanto  de educación a todos los involucrados como</w:t>
      </w:r>
      <w:r>
        <w:rPr>
          <w:color w:val="231F20"/>
          <w:spacing w:val="27"/>
        </w:rPr>
        <w:t> </w:t>
      </w:r>
      <w:r>
        <w:rPr>
          <w:color w:val="231F20"/>
        </w:rPr>
        <w:t>reglamentarios.</w:t>
      </w:r>
    </w:p>
    <w:p>
      <w:pPr>
        <w:pStyle w:val="BodyText"/>
        <w:spacing w:line="244" w:lineRule="auto"/>
        <w:ind w:left="102" w:right="114" w:firstLine="284"/>
        <w:jc w:val="both"/>
      </w:pPr>
      <w:r>
        <w:rPr>
          <w:color w:val="231F20"/>
        </w:rPr>
        <w:t>Ante hechos de maltrato en la institución universitaria, debemos de estar atentos a los impactos negativos que tienen estos en la formación del estudiante, hoy día las nuevas realidades nos obligan  a valorar nuestras acciones como docentes, por ello, deben iniciarse acciones que en opinión de F. Wood (2006) nos lleven a moderar nuestros comportamientos, y, en lo posible, ser modelos positivos   de conducta, lo que por supuesto requiere un cambio en la cultura institucional. Creemos que todo ello es necesario, y debe armonizar con las diversas acciones de transformación que está viviendo la UAN y sus nuevas exigencias hacia la sociedad, mediante egresados con mayor preparación, compromiso, responsabilidad y valores que la</w:t>
      </w:r>
      <w:r>
        <w:rPr>
          <w:color w:val="231F20"/>
          <w:spacing w:val="-21"/>
        </w:rPr>
        <w:t> </w:t>
      </w:r>
      <w:r>
        <w:rPr>
          <w:color w:val="231F20"/>
        </w:rPr>
        <w:t>enaltezcan.</w:t>
      </w:r>
    </w:p>
    <w:p>
      <w:pPr>
        <w:pStyle w:val="BodyText"/>
        <w:rPr>
          <w:sz w:val="22"/>
        </w:rPr>
      </w:pPr>
    </w:p>
    <w:p>
      <w:pPr>
        <w:pStyle w:val="BodyText"/>
        <w:rPr>
          <w:sz w:val="22"/>
        </w:rPr>
      </w:pPr>
    </w:p>
    <w:p>
      <w:pPr>
        <w:pStyle w:val="BodyText"/>
        <w:rPr>
          <w:sz w:val="22"/>
        </w:rPr>
      </w:pPr>
    </w:p>
    <w:p>
      <w:pPr>
        <w:pStyle w:val="BodyText"/>
        <w:spacing w:before="1"/>
        <w:rPr>
          <w:sz w:val="18"/>
        </w:rPr>
      </w:pPr>
    </w:p>
    <w:p>
      <w:pPr>
        <w:spacing w:before="1"/>
        <w:ind w:left="102" w:right="121" w:firstLine="0"/>
        <w:jc w:val="left"/>
        <w:rPr>
          <w:sz w:val="17"/>
        </w:rPr>
      </w:pPr>
      <w:r>
        <w:rPr>
          <w:color w:val="231F20"/>
          <w:w w:val="105"/>
          <w:sz w:val="21"/>
        </w:rPr>
        <w:t>R</w:t>
      </w:r>
      <w:r>
        <w:rPr>
          <w:color w:val="231F20"/>
          <w:w w:val="105"/>
          <w:sz w:val="17"/>
        </w:rPr>
        <w:t>EFERENCIAS</w:t>
      </w:r>
    </w:p>
    <w:p>
      <w:pPr>
        <w:pStyle w:val="BodyText"/>
        <w:rPr>
          <w:sz w:val="22"/>
        </w:rPr>
      </w:pPr>
    </w:p>
    <w:p>
      <w:pPr>
        <w:pStyle w:val="BodyText"/>
        <w:spacing w:line="244" w:lineRule="auto" w:before="153"/>
        <w:ind w:left="822" w:right="121" w:hanging="720"/>
      </w:pPr>
      <w:r>
        <w:rPr>
          <w:color w:val="231F20"/>
        </w:rPr>
        <w:t>Aguilera-García, María Antonieta, Gustavo Muñoz Abundez, Adriana Orozco Martínez. (2007). Disciplina, violencia y consumo de sustancias nocivas a la salud en escuelas </w:t>
      </w:r>
      <w:r>
        <w:rPr>
          <w:color w:val="231F20"/>
          <w:w w:val="95"/>
        </w:rPr>
        <w:t>primarias y secundarias de México. </w:t>
      </w:r>
      <w:r>
        <w:rPr>
          <w:i/>
          <w:color w:val="231F20"/>
          <w:w w:val="95"/>
        </w:rPr>
        <w:t>Instituto Nacional para la </w:t>
      </w:r>
      <w:r>
        <w:rPr>
          <w:i/>
          <w:color w:val="231F20"/>
          <w:w w:val="95"/>
        </w:rPr>
        <w:t>Evaluación de la Educación. </w:t>
      </w:r>
      <w:r>
        <w:rPr>
          <w:color w:val="231F20"/>
          <w:w w:val="95"/>
        </w:rPr>
        <w:t>México, D.F: Instituto Nacional </w:t>
      </w:r>
      <w:r>
        <w:rPr>
          <w:color w:val="231F20"/>
        </w:rPr>
        <w:t>para la Evaluación de la Educación.</w:t>
      </w:r>
    </w:p>
    <w:p>
      <w:pPr>
        <w:pStyle w:val="BodyText"/>
        <w:spacing w:line="244" w:lineRule="auto" w:before="3"/>
        <w:ind w:left="822" w:right="121" w:hanging="721"/>
      </w:pPr>
      <w:r>
        <w:rPr>
          <w:color w:val="231F20"/>
        </w:rPr>
        <w:t>Álvaro, J. (s.f.). Representaciones Sociales. Obtenido de </w:t>
      </w:r>
      <w:hyperlink r:id="rId494">
        <w:r>
          <w:rPr>
            <w:color w:val="231F20"/>
            <w:w w:val="104"/>
          </w:rPr>
          <w:t>h</w:t>
        </w:r>
        <w:r>
          <w:rPr>
            <w:color w:val="231F20"/>
            <w:w w:val="107"/>
          </w:rPr>
          <w:t>tt</w:t>
        </w:r>
        <w:r>
          <w:rPr>
            <w:color w:val="231F20"/>
            <w:w w:val="104"/>
          </w:rPr>
          <w:t>p</w:t>
        </w:r>
        <w:r>
          <w:rPr>
            <w:color w:val="231F20"/>
            <w:w w:val="80"/>
          </w:rPr>
          <w:t>:</w:t>
        </w:r>
        <w:r>
          <w:rPr>
            <w:color w:val="231F20"/>
            <w:w w:val="185"/>
          </w:rPr>
          <w:t>//</w:t>
        </w:r>
        <w:r>
          <w:rPr>
            <w:color w:val="231F20"/>
            <w:w w:val="94"/>
          </w:rPr>
          <w:t>www</w:t>
        </w:r>
        <w:r>
          <w:rPr>
            <w:color w:val="231F20"/>
            <w:w w:val="89"/>
          </w:rPr>
          <w:t>.</w:t>
        </w:r>
        <w:r>
          <w:rPr>
            <w:color w:val="231F20"/>
            <w:w w:val="98"/>
          </w:rPr>
          <w:t>uc</w:t>
        </w:r>
        <w:r>
          <w:rPr>
            <w:color w:val="231F20"/>
            <w:w w:val="101"/>
          </w:rPr>
          <w:t>m</w:t>
        </w:r>
        <w:r>
          <w:rPr>
            <w:color w:val="231F20"/>
            <w:w w:val="89"/>
          </w:rPr>
          <w:t>.</w:t>
        </w:r>
        <w:r>
          <w:rPr>
            <w:color w:val="231F20"/>
            <w:w w:val="96"/>
          </w:rPr>
          <w:t>e</w:t>
        </w:r>
        <w:r>
          <w:rPr>
            <w:color w:val="231F20"/>
            <w:w w:val="96"/>
          </w:rPr>
          <w:t>s</w:t>
        </w:r>
        <w:r>
          <w:rPr>
            <w:color w:val="231F20"/>
            <w:w w:val="185"/>
          </w:rPr>
          <w:t>/</w:t>
        </w:r>
        <w:r>
          <w:rPr>
            <w:color w:val="231F20"/>
            <w:w w:val="84"/>
          </w:rPr>
          <w:t>i</w:t>
        </w:r>
        <w:r>
          <w:rPr>
            <w:color w:val="231F20"/>
            <w:w w:val="104"/>
          </w:rPr>
          <w:t>n</w:t>
        </w:r>
        <w:r>
          <w:rPr>
            <w:color w:val="231F20"/>
            <w:w w:val="99"/>
          </w:rPr>
          <w:t>f</w:t>
        </w:r>
        <w:r>
          <w:rPr>
            <w:color w:val="231F20"/>
            <w:w w:val="104"/>
          </w:rPr>
          <w:t>o</w:t>
        </w:r>
        <w:r>
          <w:rPr>
            <w:color w:val="231F20"/>
            <w:w w:val="185"/>
          </w:rPr>
          <w:t>/</w:t>
        </w:r>
        <w:r>
          <w:rPr>
            <w:color w:val="231F20"/>
            <w:w w:val="96"/>
          </w:rPr>
          <w:t>e</w:t>
        </w:r>
        <w:r>
          <w:rPr>
            <w:color w:val="231F20"/>
            <w:w w:val="101"/>
          </w:rPr>
          <w:t>ur</w:t>
        </w:r>
        <w:r>
          <w:rPr>
            <w:color w:val="231F20"/>
            <w:w w:val="104"/>
          </w:rPr>
          <w:t>o</w:t>
        </w:r>
        <w:r>
          <w:rPr>
            <w:color w:val="231F20"/>
            <w:w w:val="107"/>
          </w:rPr>
          <w:t>t</w:t>
        </w:r>
        <w:r>
          <w:rPr>
            <w:color w:val="231F20"/>
            <w:w w:val="104"/>
          </w:rPr>
          <w:t>h</w:t>
        </w:r>
        <w:r>
          <w:rPr>
            <w:color w:val="231F20"/>
            <w:w w:val="96"/>
          </w:rPr>
          <w:t>e</w:t>
        </w:r>
        <w:r>
          <w:rPr>
            <w:color w:val="231F20"/>
            <w:w w:val="104"/>
          </w:rPr>
          <w:t>o</w:t>
        </w:r>
        <w:r>
          <w:rPr>
            <w:color w:val="231F20"/>
            <w:w w:val="185"/>
          </w:rPr>
          <w:t>/</w:t>
        </w:r>
        <w:r>
          <w:rPr>
            <w:color w:val="231F20"/>
            <w:w w:val="102"/>
          </w:rPr>
          <w:t>d</w:t>
        </w:r>
        <w:r>
          <w:rPr>
            <w:color w:val="231F20"/>
            <w:w w:val="84"/>
          </w:rPr>
          <w:t>i</w:t>
        </w:r>
        <w:r>
          <w:rPr>
            <w:color w:val="231F20"/>
            <w:w w:val="96"/>
          </w:rPr>
          <w:t>cc</w:t>
        </w:r>
        <w:r>
          <w:rPr>
            <w:color w:val="231F20"/>
            <w:w w:val="84"/>
          </w:rPr>
          <w:t>i</w:t>
        </w:r>
        <w:r>
          <w:rPr>
            <w:color w:val="231F20"/>
            <w:w w:val="104"/>
          </w:rPr>
          <w:t>on</w:t>
        </w:r>
        <w:r>
          <w:rPr>
            <w:color w:val="231F20"/>
            <w:w w:val="94"/>
          </w:rPr>
          <w:t>a</w:t>
        </w:r>
        <w:r>
          <w:rPr>
            <w:color w:val="231F20"/>
            <w:w w:val="103"/>
          </w:rPr>
          <w:t>r</w:t>
        </w:r>
        <w:r>
          <w:rPr>
            <w:color w:val="231F20"/>
            <w:w w:val="84"/>
          </w:rPr>
          <w:t>i</w:t>
        </w:r>
        <w:r>
          <w:rPr>
            <w:color w:val="231F20"/>
            <w:w w:val="104"/>
          </w:rPr>
          <w:t>o</w:t>
        </w:r>
        <w:r>
          <w:rPr>
            <w:color w:val="231F20"/>
            <w:w w:val="185"/>
          </w:rPr>
          <w:t>/</w:t>
        </w:r>
        <w:r>
          <w:rPr>
            <w:color w:val="231F20"/>
            <w:w w:val="96"/>
          </w:rPr>
          <w:t>R</w:t>
        </w:r>
        <w:r>
          <w:rPr>
            <w:color w:val="231F20"/>
            <w:w w:val="185"/>
          </w:rPr>
          <w:t>/</w:t>
        </w:r>
        <w:r>
          <w:rPr>
            <w:color w:val="231F20"/>
            <w:w w:val="103"/>
          </w:rPr>
          <w:t>r</w:t>
        </w:r>
        <w:r>
          <w:rPr>
            <w:color w:val="231F20"/>
            <w:w w:val="96"/>
          </w:rPr>
          <w:t>e</w:t>
        </w:r>
        <w:r>
          <w:rPr>
            <w:color w:val="231F20"/>
            <w:w w:val="104"/>
          </w:rPr>
          <w:t>p</w:t>
        </w:r>
        <w:r>
          <w:rPr>
            <w:color w:val="231F20"/>
            <w:w w:val="103"/>
          </w:rPr>
          <w:t>r</w:t>
        </w:r>
        <w:r>
          <w:rPr>
            <w:color w:val="231F20"/>
            <w:w w:val="96"/>
          </w:rPr>
          <w:t>e</w:t>
        </w:r>
        <w:r>
          <w:rPr>
            <w:color w:val="231F20"/>
            <w:w w:val="96"/>
          </w:rPr>
          <w:t>s</w:t>
        </w:r>
        <w:r>
          <w:rPr>
            <w:color w:val="231F20"/>
            <w:w w:val="96"/>
          </w:rPr>
          <w:t>e</w:t>
        </w:r>
      </w:hyperlink>
      <w:r>
        <w:rPr>
          <w:color w:val="231F20"/>
          <w:w w:val="96"/>
        </w:rPr>
        <w:t> </w:t>
      </w:r>
      <w:r>
        <w:rPr>
          <w:color w:val="231F20"/>
        </w:rPr>
        <w:t>ntaciones_sociales.htm</w:t>
      </w:r>
    </w:p>
    <w:p>
      <w:pPr>
        <w:pStyle w:val="BodyText"/>
        <w:spacing w:line="244" w:lineRule="auto" w:before="3"/>
        <w:ind w:left="822" w:right="266" w:hanging="720"/>
        <w:jc w:val="both"/>
      </w:pPr>
      <w:r>
        <w:rPr>
          <w:color w:val="231F20"/>
        </w:rPr>
        <w:t>Araya, Sandra. (2002). Las representaciones sociales: Ejes teóricos para</w:t>
      </w:r>
      <w:r>
        <w:rPr>
          <w:color w:val="231F20"/>
          <w:spacing w:val="-5"/>
        </w:rPr>
        <w:t> </w:t>
      </w:r>
      <w:r>
        <w:rPr>
          <w:color w:val="231F20"/>
        </w:rPr>
        <w:t>su</w:t>
      </w:r>
      <w:r>
        <w:rPr>
          <w:color w:val="231F20"/>
          <w:spacing w:val="-5"/>
        </w:rPr>
        <w:t> </w:t>
      </w:r>
      <w:r>
        <w:rPr>
          <w:color w:val="231F20"/>
        </w:rPr>
        <w:t>discusión.</w:t>
      </w:r>
      <w:r>
        <w:rPr>
          <w:color w:val="231F20"/>
          <w:spacing w:val="-6"/>
        </w:rPr>
        <w:t> </w:t>
      </w:r>
      <w:r>
        <w:rPr>
          <w:color w:val="231F20"/>
        </w:rPr>
        <w:t>Cuaderno</w:t>
      </w:r>
      <w:r>
        <w:rPr>
          <w:color w:val="231F20"/>
          <w:spacing w:val="-5"/>
        </w:rPr>
        <w:t> </w:t>
      </w:r>
      <w:r>
        <w:rPr>
          <w:color w:val="231F20"/>
        </w:rPr>
        <w:t>de</w:t>
      </w:r>
      <w:r>
        <w:rPr>
          <w:color w:val="231F20"/>
          <w:spacing w:val="-5"/>
        </w:rPr>
        <w:t> </w:t>
      </w:r>
      <w:r>
        <w:rPr>
          <w:color w:val="231F20"/>
        </w:rPr>
        <w:t>Ciencias</w:t>
      </w:r>
      <w:r>
        <w:rPr>
          <w:color w:val="231F20"/>
          <w:spacing w:val="-5"/>
        </w:rPr>
        <w:t> </w:t>
      </w:r>
      <w:r>
        <w:rPr>
          <w:color w:val="231F20"/>
        </w:rPr>
        <w:t>Sociales</w:t>
      </w:r>
      <w:r>
        <w:rPr>
          <w:color w:val="231F20"/>
          <w:spacing w:val="-5"/>
        </w:rPr>
        <w:t> </w:t>
      </w:r>
      <w:r>
        <w:rPr>
          <w:color w:val="231F20"/>
        </w:rPr>
        <w:t>127.</w:t>
      </w:r>
      <w:r>
        <w:rPr>
          <w:color w:val="231F20"/>
          <w:spacing w:val="-6"/>
        </w:rPr>
        <w:t> </w:t>
      </w:r>
      <w:r>
        <w:rPr>
          <w:color w:val="231F20"/>
        </w:rPr>
        <w:t>San José, Costa Rica: FLACSO. Obtenido</w:t>
      </w:r>
      <w:r>
        <w:rPr>
          <w:color w:val="231F20"/>
          <w:spacing w:val="13"/>
        </w:rPr>
        <w:t> </w:t>
      </w:r>
      <w:r>
        <w:rPr>
          <w:color w:val="231F20"/>
        </w:rPr>
        <w:t>de:</w:t>
      </w:r>
    </w:p>
    <w:p>
      <w:pPr>
        <w:spacing w:after="0" w:line="244" w:lineRule="auto"/>
        <w:jc w:val="both"/>
        <w:sectPr>
          <w:headerReference w:type="default" r:id="rId492"/>
          <w:footerReference w:type="default" r:id="rId493"/>
          <w:pgSz w:w="7830" w:h="11910"/>
          <w:pgMar w:header="0" w:footer="424" w:top="500" w:bottom="620" w:left="920" w:right="900"/>
          <w:pgNumType w:start="22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822" w:right="121"/>
      </w:pPr>
      <w:hyperlink r:id="rId497">
        <w:r>
          <w:rPr>
            <w:color w:val="231F20"/>
            <w:w w:val="105"/>
            <w:u w:val="single" w:color="231F20"/>
          </w:rPr>
          <w:t>http://www.flacso.or.cr/images/flippingbook/pdfs/cuade</w:t>
        </w:r>
      </w:hyperlink>
      <w:r>
        <w:rPr>
          <w:color w:val="231F20"/>
          <w:w w:val="105"/>
          <w:u w:val="single" w:color="231F20"/>
        </w:rPr>
        <w:t> rnos/ccs_127.pdf</w:t>
      </w:r>
    </w:p>
    <w:p>
      <w:pPr>
        <w:pStyle w:val="BodyText"/>
        <w:spacing w:line="247" w:lineRule="auto"/>
        <w:ind w:left="822" w:right="56" w:hanging="720"/>
      </w:pPr>
      <w:r>
        <w:rPr>
          <w:color w:val="231F20"/>
          <w:w w:val="105"/>
        </w:rPr>
        <w:t>Baldwin,</w:t>
      </w:r>
      <w:r>
        <w:rPr>
          <w:color w:val="231F20"/>
          <w:spacing w:val="-23"/>
          <w:w w:val="105"/>
        </w:rPr>
        <w:t> </w:t>
      </w:r>
      <w:r>
        <w:rPr>
          <w:color w:val="231F20"/>
          <w:w w:val="105"/>
        </w:rPr>
        <w:t>D.</w:t>
      </w:r>
      <w:r>
        <w:rPr>
          <w:color w:val="231F20"/>
          <w:spacing w:val="-23"/>
          <w:w w:val="105"/>
        </w:rPr>
        <w:t> </w:t>
      </w:r>
      <w:r>
        <w:rPr>
          <w:color w:val="231F20"/>
          <w:w w:val="105"/>
        </w:rPr>
        <w:t>C.</w:t>
      </w:r>
      <w:r>
        <w:rPr>
          <w:color w:val="231F20"/>
          <w:spacing w:val="-23"/>
          <w:w w:val="105"/>
        </w:rPr>
        <w:t> </w:t>
      </w:r>
      <w:r>
        <w:rPr>
          <w:color w:val="231F20"/>
          <w:w w:val="105"/>
        </w:rPr>
        <w:t>Jr.</w:t>
      </w:r>
      <w:r>
        <w:rPr>
          <w:color w:val="231F20"/>
          <w:spacing w:val="-23"/>
          <w:w w:val="105"/>
        </w:rPr>
        <w:t> </w:t>
      </w:r>
      <w:r>
        <w:rPr>
          <w:color w:val="231F20"/>
          <w:w w:val="105"/>
        </w:rPr>
        <w:t>(1991).</w:t>
      </w:r>
      <w:r>
        <w:rPr>
          <w:color w:val="231F20"/>
          <w:spacing w:val="-23"/>
          <w:w w:val="105"/>
        </w:rPr>
        <w:t> </w:t>
      </w:r>
      <w:r>
        <w:rPr>
          <w:color w:val="231F20"/>
          <w:w w:val="105"/>
        </w:rPr>
        <w:t>Student</w:t>
      </w:r>
      <w:r>
        <w:rPr>
          <w:color w:val="231F20"/>
          <w:spacing w:val="-23"/>
          <w:w w:val="105"/>
        </w:rPr>
        <w:t> </w:t>
      </w:r>
      <w:r>
        <w:rPr>
          <w:color w:val="231F20"/>
          <w:w w:val="105"/>
        </w:rPr>
        <w:t>perceptions</w:t>
      </w:r>
      <w:r>
        <w:rPr>
          <w:color w:val="231F20"/>
          <w:spacing w:val="-22"/>
          <w:w w:val="105"/>
        </w:rPr>
        <w:t> </w:t>
      </w:r>
      <w:r>
        <w:rPr>
          <w:color w:val="231F20"/>
          <w:w w:val="105"/>
        </w:rPr>
        <w:t>of</w:t>
      </w:r>
      <w:r>
        <w:rPr>
          <w:color w:val="231F20"/>
          <w:spacing w:val="-23"/>
          <w:w w:val="105"/>
        </w:rPr>
        <w:t> </w:t>
      </w:r>
      <w:r>
        <w:rPr>
          <w:color w:val="231F20"/>
          <w:w w:val="105"/>
        </w:rPr>
        <w:t>mistreatment</w:t>
      </w:r>
      <w:r>
        <w:rPr>
          <w:color w:val="231F20"/>
          <w:spacing w:val="-23"/>
          <w:w w:val="105"/>
        </w:rPr>
        <w:t> </w:t>
      </w:r>
      <w:r>
        <w:rPr>
          <w:color w:val="231F20"/>
          <w:w w:val="105"/>
        </w:rPr>
        <w:t>and harassment</w:t>
      </w:r>
      <w:r>
        <w:rPr>
          <w:color w:val="231F20"/>
          <w:spacing w:val="-21"/>
          <w:w w:val="105"/>
        </w:rPr>
        <w:t> </w:t>
      </w:r>
      <w:r>
        <w:rPr>
          <w:color w:val="231F20"/>
          <w:w w:val="105"/>
        </w:rPr>
        <w:t>during</w:t>
      </w:r>
      <w:r>
        <w:rPr>
          <w:color w:val="231F20"/>
          <w:spacing w:val="-20"/>
          <w:w w:val="105"/>
        </w:rPr>
        <w:t> </w:t>
      </w:r>
      <w:r>
        <w:rPr>
          <w:color w:val="231F20"/>
          <w:w w:val="105"/>
        </w:rPr>
        <w:t>medical</w:t>
      </w:r>
      <w:r>
        <w:rPr>
          <w:color w:val="231F20"/>
          <w:spacing w:val="-21"/>
          <w:w w:val="105"/>
        </w:rPr>
        <w:t> </w:t>
      </w:r>
      <w:r>
        <w:rPr>
          <w:color w:val="231F20"/>
          <w:w w:val="105"/>
        </w:rPr>
        <w:t>school.</w:t>
      </w:r>
      <w:r>
        <w:rPr>
          <w:color w:val="231F20"/>
          <w:spacing w:val="-21"/>
          <w:w w:val="105"/>
        </w:rPr>
        <w:t> </w:t>
      </w:r>
      <w:r>
        <w:rPr>
          <w:color w:val="231F20"/>
          <w:w w:val="105"/>
        </w:rPr>
        <w:t>A</w:t>
      </w:r>
      <w:r>
        <w:rPr>
          <w:color w:val="231F20"/>
          <w:spacing w:val="-19"/>
          <w:w w:val="105"/>
        </w:rPr>
        <w:t> </w:t>
      </w:r>
      <w:r>
        <w:rPr>
          <w:color w:val="231F20"/>
          <w:w w:val="105"/>
        </w:rPr>
        <w:t>survey</w:t>
      </w:r>
      <w:r>
        <w:rPr>
          <w:color w:val="231F20"/>
          <w:spacing w:val="-20"/>
          <w:w w:val="105"/>
        </w:rPr>
        <w:t> </w:t>
      </w:r>
      <w:r>
        <w:rPr>
          <w:color w:val="231F20"/>
          <w:w w:val="105"/>
        </w:rPr>
        <w:t>of</w:t>
      </w:r>
      <w:r>
        <w:rPr>
          <w:color w:val="231F20"/>
          <w:spacing w:val="-21"/>
          <w:w w:val="105"/>
        </w:rPr>
        <w:t> </w:t>
      </w:r>
      <w:r>
        <w:rPr>
          <w:color w:val="231F20"/>
          <w:w w:val="105"/>
        </w:rPr>
        <w:t>ten</w:t>
      </w:r>
      <w:r>
        <w:rPr>
          <w:color w:val="231F20"/>
          <w:spacing w:val="-20"/>
          <w:w w:val="105"/>
        </w:rPr>
        <w:t> </w:t>
      </w:r>
      <w:r>
        <w:rPr>
          <w:color w:val="231F20"/>
          <w:w w:val="105"/>
        </w:rPr>
        <w:t>United States schools. West J. Med. Obtenido de </w:t>
      </w:r>
      <w:hyperlink r:id="rId498">
        <w:r>
          <w:rPr>
            <w:color w:val="231F20"/>
            <w:spacing w:val="2"/>
            <w:w w:val="104"/>
          </w:rPr>
          <w:t>h</w:t>
        </w:r>
        <w:r>
          <w:rPr>
            <w:color w:val="231F20"/>
            <w:spacing w:val="1"/>
            <w:w w:val="107"/>
          </w:rPr>
          <w:t>tt</w:t>
        </w:r>
        <w:r>
          <w:rPr>
            <w:color w:val="231F20"/>
            <w:spacing w:val="2"/>
            <w:w w:val="104"/>
          </w:rPr>
          <w:t>p</w:t>
        </w:r>
        <w:r>
          <w:rPr>
            <w:color w:val="231F20"/>
            <w:w w:val="80"/>
          </w:rPr>
          <w:t>:</w:t>
        </w:r>
        <w:r>
          <w:rPr>
            <w:color w:val="231F20"/>
            <w:spacing w:val="2"/>
            <w:w w:val="185"/>
          </w:rPr>
          <w:t>//</w:t>
        </w:r>
        <w:r>
          <w:rPr>
            <w:color w:val="231F20"/>
            <w:spacing w:val="2"/>
            <w:w w:val="94"/>
          </w:rPr>
          <w:t>www</w:t>
        </w:r>
        <w:r>
          <w:rPr>
            <w:color w:val="231F20"/>
            <w:w w:val="90"/>
          </w:rPr>
          <w:t>.</w:t>
        </w:r>
        <w:r>
          <w:rPr>
            <w:color w:val="231F20"/>
            <w:spacing w:val="3"/>
            <w:w w:val="109"/>
          </w:rPr>
          <w:t>N</w:t>
        </w:r>
        <w:r>
          <w:rPr>
            <w:color w:val="231F20"/>
            <w:spacing w:val="1"/>
            <w:w w:val="96"/>
          </w:rPr>
          <w:t>c</w:t>
        </w:r>
        <w:r>
          <w:rPr>
            <w:color w:val="231F20"/>
            <w:spacing w:val="2"/>
            <w:w w:val="104"/>
          </w:rPr>
          <w:t>b</w:t>
        </w:r>
        <w:r>
          <w:rPr>
            <w:color w:val="231F20"/>
            <w:w w:val="84"/>
          </w:rPr>
          <w:t>i</w:t>
        </w:r>
        <w:r>
          <w:rPr>
            <w:color w:val="231F20"/>
            <w:w w:val="90"/>
          </w:rPr>
          <w:t>.</w:t>
        </w:r>
        <w:r>
          <w:rPr>
            <w:color w:val="231F20"/>
            <w:spacing w:val="2"/>
            <w:w w:val="104"/>
          </w:rPr>
          <w:t>n</w:t>
        </w:r>
        <w:r>
          <w:rPr>
            <w:color w:val="231F20"/>
            <w:w w:val="84"/>
          </w:rPr>
          <w:t>l</w:t>
        </w:r>
        <w:r>
          <w:rPr>
            <w:color w:val="231F20"/>
            <w:spacing w:val="3"/>
            <w:w w:val="101"/>
          </w:rPr>
          <w:t>m</w:t>
        </w:r>
        <w:r>
          <w:rPr>
            <w:color w:val="231F20"/>
            <w:w w:val="90"/>
          </w:rPr>
          <w:t>.</w:t>
        </w:r>
        <w:r>
          <w:rPr>
            <w:color w:val="231F20"/>
            <w:spacing w:val="2"/>
            <w:w w:val="104"/>
          </w:rPr>
          <w:t>n</w:t>
        </w:r>
        <w:r>
          <w:rPr>
            <w:color w:val="231F20"/>
            <w:w w:val="84"/>
          </w:rPr>
          <w:t>i</w:t>
        </w:r>
        <w:r>
          <w:rPr>
            <w:color w:val="231F20"/>
            <w:spacing w:val="2"/>
            <w:w w:val="104"/>
          </w:rPr>
          <w:t>h</w:t>
        </w:r>
        <w:r>
          <w:rPr>
            <w:color w:val="231F20"/>
            <w:w w:val="90"/>
          </w:rPr>
          <w:t>.</w:t>
        </w:r>
        <w:r>
          <w:rPr>
            <w:color w:val="231F20"/>
            <w:spacing w:val="1"/>
            <w:w w:val="92"/>
          </w:rPr>
          <w:t>g</w:t>
        </w:r>
        <w:r>
          <w:rPr>
            <w:color w:val="231F20"/>
            <w:spacing w:val="2"/>
            <w:w w:val="104"/>
          </w:rPr>
          <w:t>o</w:t>
        </w:r>
        <w:r>
          <w:rPr>
            <w:color w:val="231F20"/>
            <w:spacing w:val="2"/>
            <w:w w:val="128"/>
          </w:rPr>
          <w:t>v/</w:t>
        </w:r>
        <w:r>
          <w:rPr>
            <w:color w:val="231F20"/>
            <w:spacing w:val="2"/>
            <w:w w:val="104"/>
          </w:rPr>
          <w:t>p</w:t>
        </w:r>
        <w:r>
          <w:rPr>
            <w:color w:val="231F20"/>
            <w:spacing w:val="3"/>
            <w:w w:val="101"/>
          </w:rPr>
          <w:t>m</w:t>
        </w:r>
        <w:r>
          <w:rPr>
            <w:color w:val="231F20"/>
            <w:spacing w:val="1"/>
            <w:w w:val="96"/>
          </w:rPr>
          <w:t>c</w:t>
        </w:r>
        <w:r>
          <w:rPr>
            <w:color w:val="231F20"/>
            <w:spacing w:val="2"/>
            <w:w w:val="185"/>
          </w:rPr>
          <w:t>/</w:t>
        </w:r>
        <w:r>
          <w:rPr>
            <w:color w:val="231F20"/>
            <w:spacing w:val="1"/>
            <w:w w:val="94"/>
          </w:rPr>
          <w:t>a</w:t>
        </w:r>
        <w:r>
          <w:rPr>
            <w:color w:val="231F20"/>
            <w:spacing w:val="1"/>
            <w:w w:val="103"/>
          </w:rPr>
          <w:t>r</w:t>
        </w:r>
        <w:r>
          <w:rPr>
            <w:color w:val="231F20"/>
            <w:spacing w:val="1"/>
            <w:w w:val="107"/>
          </w:rPr>
          <w:t>t</w:t>
        </w:r>
        <w:r>
          <w:rPr>
            <w:color w:val="231F20"/>
            <w:w w:val="84"/>
          </w:rPr>
          <w:t>i</w:t>
        </w:r>
        <w:r>
          <w:rPr>
            <w:color w:val="231F20"/>
            <w:spacing w:val="1"/>
            <w:w w:val="96"/>
          </w:rPr>
          <w:t>c</w:t>
        </w:r>
        <w:r>
          <w:rPr>
            <w:color w:val="231F20"/>
            <w:w w:val="84"/>
          </w:rPr>
          <w:t>l</w:t>
        </w:r>
        <w:r>
          <w:rPr>
            <w:color w:val="231F20"/>
            <w:spacing w:val="1"/>
            <w:w w:val="96"/>
          </w:rPr>
          <w:t>e</w:t>
        </w:r>
        <w:r>
          <w:rPr>
            <w:color w:val="231F20"/>
            <w:spacing w:val="1"/>
            <w:w w:val="96"/>
          </w:rPr>
          <w:t>s</w:t>
        </w:r>
        <w:r>
          <w:rPr>
            <w:color w:val="231F20"/>
            <w:spacing w:val="2"/>
            <w:w w:val="185"/>
          </w:rPr>
          <w:t>/</w:t>
        </w:r>
        <w:r>
          <w:rPr>
            <w:color w:val="231F20"/>
            <w:spacing w:val="2"/>
            <w:w w:val="104"/>
          </w:rPr>
          <w:t>P</w:t>
        </w:r>
        <w:r>
          <w:rPr>
            <w:color w:val="231F20"/>
            <w:spacing w:val="3"/>
            <w:w w:val="96"/>
          </w:rPr>
          <w:t>M</w:t>
        </w:r>
        <w:r>
          <w:rPr>
            <w:color w:val="231F20"/>
            <w:spacing w:val="2"/>
            <w:w w:val="97"/>
          </w:rPr>
          <w:t>C</w:t>
        </w:r>
        <w:r>
          <w:rPr>
            <w:color w:val="231F20"/>
            <w:spacing w:val="2"/>
            <w:w w:val="96"/>
          </w:rPr>
          <w:t>1002944</w:t>
        </w:r>
      </w:hyperlink>
    </w:p>
    <w:p>
      <w:pPr>
        <w:pStyle w:val="BodyText"/>
        <w:spacing w:before="1"/>
        <w:ind w:left="822" w:right="121"/>
      </w:pPr>
      <w:r>
        <w:rPr>
          <w:color w:val="231F20"/>
        </w:rPr>
        <w:t>/pdf/westjmed00096-0036.pedf</w:t>
      </w:r>
    </w:p>
    <w:p>
      <w:pPr>
        <w:pStyle w:val="BodyText"/>
        <w:spacing w:line="244" w:lineRule="auto" w:before="3"/>
        <w:ind w:left="821" w:right="626" w:hanging="720"/>
      </w:pPr>
      <w:r>
        <w:rPr>
          <w:color w:val="231F20"/>
        </w:rPr>
        <w:t>Boyle, B., Coombs RH. (1971). Personality profiles related to emotional stress in the initial year of medical training. </w:t>
      </w:r>
      <w:r>
        <w:rPr>
          <w:i/>
          <w:color w:val="231F20"/>
          <w:w w:val="90"/>
        </w:rPr>
        <w:t>Journal of Medical Education. </w:t>
      </w:r>
      <w:r>
        <w:rPr>
          <w:color w:val="231F20"/>
          <w:w w:val="90"/>
        </w:rPr>
        <w:t>882-888.</w:t>
      </w:r>
    </w:p>
    <w:p>
      <w:pPr>
        <w:spacing w:line="244" w:lineRule="auto" w:before="3"/>
        <w:ind w:left="821" w:right="121" w:hanging="721"/>
        <w:jc w:val="left"/>
        <w:rPr>
          <w:sz w:val="21"/>
        </w:rPr>
      </w:pPr>
      <w:r>
        <w:rPr>
          <w:color w:val="231F20"/>
          <w:sz w:val="21"/>
        </w:rPr>
        <w:t>Charkov, Wendy, Nelson, Eileen. (s.f.). Relationship Dependency, Dating Violence and Scripts of Female Collage Students. </w:t>
      </w:r>
      <w:r>
        <w:rPr>
          <w:i/>
          <w:color w:val="231F20"/>
          <w:w w:val="85"/>
          <w:sz w:val="21"/>
        </w:rPr>
        <w:t>Journal of Collage counselling. </w:t>
      </w:r>
      <w:r>
        <w:rPr>
          <w:color w:val="231F20"/>
          <w:w w:val="85"/>
          <w:sz w:val="21"/>
        </w:rPr>
        <w:t>17-28.</w:t>
      </w:r>
    </w:p>
    <w:p>
      <w:pPr>
        <w:pStyle w:val="BodyText"/>
        <w:spacing w:line="247" w:lineRule="auto"/>
        <w:ind w:left="822" w:right="210" w:hanging="721"/>
      </w:pPr>
      <w:r>
        <w:rPr>
          <w:color w:val="231F20"/>
        </w:rPr>
        <w:t>Frank, Erica, Carrera Jennifer, Stratton Terry, Bickel Jane, Nora Lois Morgan., (2006) Experiences of belittlement and harassment and their correlates among medical students in the United States: longitudinal survey. </w:t>
      </w:r>
      <w:r>
        <w:rPr>
          <w:i/>
          <w:color w:val="231F20"/>
        </w:rPr>
        <w:t>BMJ 2006 </w:t>
      </w:r>
      <w:r>
        <w:rPr>
          <w:color w:val="231F20"/>
        </w:rPr>
        <w:t>.</w:t>
      </w:r>
    </w:p>
    <w:p>
      <w:pPr>
        <w:pStyle w:val="BodyText"/>
        <w:spacing w:line="242" w:lineRule="auto" w:before="1"/>
        <w:ind w:left="822" w:right="121"/>
      </w:pPr>
      <w:r>
        <w:rPr>
          <w:color w:val="231F20"/>
        </w:rPr>
        <w:t>Obtenido de </w:t>
      </w:r>
      <w:hyperlink r:id="rId499">
        <w:r>
          <w:rPr>
            <w:color w:val="231F20"/>
            <w:w w:val="104"/>
          </w:rPr>
          <w:t>h</w:t>
        </w:r>
        <w:r>
          <w:rPr>
            <w:color w:val="231F20"/>
            <w:w w:val="107"/>
          </w:rPr>
          <w:t>tt</w:t>
        </w:r>
        <w:r>
          <w:rPr>
            <w:color w:val="231F20"/>
            <w:w w:val="104"/>
          </w:rPr>
          <w:t>p</w:t>
        </w:r>
        <w:r>
          <w:rPr>
            <w:color w:val="231F20"/>
            <w:w w:val="80"/>
          </w:rPr>
          <w:t>:</w:t>
        </w:r>
        <w:r>
          <w:rPr>
            <w:color w:val="231F20"/>
            <w:w w:val="185"/>
          </w:rPr>
          <w:t>//</w:t>
        </w:r>
        <w:r>
          <w:rPr>
            <w:color w:val="231F20"/>
            <w:w w:val="94"/>
          </w:rPr>
          <w:t>www</w:t>
        </w:r>
        <w:r>
          <w:rPr>
            <w:color w:val="231F20"/>
            <w:w w:val="89"/>
          </w:rPr>
          <w:t>.</w:t>
        </w:r>
        <w:r>
          <w:rPr>
            <w:color w:val="231F20"/>
            <w:w w:val="104"/>
          </w:rPr>
          <w:t>n</w:t>
        </w:r>
        <w:r>
          <w:rPr>
            <w:color w:val="231F20"/>
            <w:w w:val="96"/>
          </w:rPr>
          <w:t>c</w:t>
        </w:r>
        <w:r>
          <w:rPr>
            <w:color w:val="231F20"/>
            <w:w w:val="104"/>
          </w:rPr>
          <w:t>b</w:t>
        </w:r>
        <w:r>
          <w:rPr>
            <w:color w:val="231F20"/>
            <w:w w:val="84"/>
          </w:rPr>
          <w:t>i</w:t>
        </w:r>
        <w:r>
          <w:rPr>
            <w:color w:val="231F20"/>
            <w:w w:val="89"/>
          </w:rPr>
          <w:t>.</w:t>
        </w:r>
        <w:r>
          <w:rPr>
            <w:color w:val="231F20"/>
            <w:w w:val="104"/>
          </w:rPr>
          <w:t>n</w:t>
        </w:r>
        <w:r>
          <w:rPr>
            <w:color w:val="231F20"/>
            <w:w w:val="84"/>
          </w:rPr>
          <w:t>l</w:t>
        </w:r>
        <w:r>
          <w:rPr>
            <w:color w:val="231F20"/>
            <w:w w:val="101"/>
          </w:rPr>
          <w:t>m</w:t>
        </w:r>
        <w:r>
          <w:rPr>
            <w:color w:val="231F20"/>
            <w:w w:val="89"/>
          </w:rPr>
          <w:t>.</w:t>
        </w:r>
        <w:r>
          <w:rPr>
            <w:color w:val="231F20"/>
            <w:w w:val="104"/>
          </w:rPr>
          <w:t>n</w:t>
        </w:r>
        <w:r>
          <w:rPr>
            <w:color w:val="231F20"/>
            <w:w w:val="84"/>
          </w:rPr>
          <w:t>i</w:t>
        </w:r>
        <w:r>
          <w:rPr>
            <w:color w:val="231F20"/>
            <w:w w:val="104"/>
          </w:rPr>
          <w:t>h</w:t>
        </w:r>
        <w:r>
          <w:rPr>
            <w:color w:val="231F20"/>
            <w:w w:val="89"/>
          </w:rPr>
          <w:t>.</w:t>
        </w:r>
        <w:r>
          <w:rPr>
            <w:color w:val="231F20"/>
            <w:w w:val="92"/>
          </w:rPr>
          <w:t>g</w:t>
        </w:r>
        <w:r>
          <w:rPr>
            <w:color w:val="231F20"/>
            <w:w w:val="104"/>
          </w:rPr>
          <w:t>o</w:t>
        </w:r>
        <w:r>
          <w:rPr>
            <w:color w:val="231F20"/>
            <w:w w:val="128"/>
          </w:rPr>
          <w:t>v/</w:t>
        </w:r>
        <w:r>
          <w:rPr>
            <w:color w:val="231F20"/>
            <w:w w:val="104"/>
          </w:rPr>
          <w:t>p</w:t>
        </w:r>
        <w:r>
          <w:rPr>
            <w:color w:val="231F20"/>
            <w:w w:val="102"/>
          </w:rPr>
          <w:t>ub</w:t>
        </w:r>
        <w:r>
          <w:rPr>
            <w:color w:val="231F20"/>
            <w:w w:val="101"/>
          </w:rPr>
          <w:t>m</w:t>
        </w:r>
        <w:r>
          <w:rPr>
            <w:color w:val="231F20"/>
            <w:w w:val="96"/>
          </w:rPr>
          <w:t>e</w:t>
        </w:r>
        <w:r>
          <w:rPr>
            <w:color w:val="231F20"/>
            <w:w w:val="102"/>
          </w:rPr>
          <w:t>d</w:t>
        </w:r>
        <w:r>
          <w:rPr>
            <w:color w:val="231F20"/>
            <w:w w:val="185"/>
          </w:rPr>
          <w:t>/</w:t>
        </w:r>
        <w:r>
          <w:rPr>
            <w:color w:val="231F20"/>
            <w:w w:val="96"/>
          </w:rPr>
          <w:t>16956894</w:t>
        </w:r>
      </w:hyperlink>
    </w:p>
    <w:p>
      <w:pPr>
        <w:pStyle w:val="BodyText"/>
        <w:spacing w:line="247" w:lineRule="auto" w:before="6"/>
        <w:ind w:left="822" w:right="210" w:hanging="721"/>
        <w:rPr>
          <w:i/>
        </w:rPr>
      </w:pPr>
      <w:r>
        <w:rPr>
          <w:color w:val="231F20"/>
        </w:rPr>
        <w:t>Furlán, Alfredo. (2003). (Tomo III). Procesos y Prácticas de Disciplina y Convivencia en la Escuela. Los problemas de la</w:t>
      </w:r>
      <w:r>
        <w:rPr>
          <w:color w:val="231F20"/>
          <w:spacing w:val="-16"/>
        </w:rPr>
        <w:t> </w:t>
      </w:r>
      <w:r>
        <w:rPr>
          <w:color w:val="231F20"/>
        </w:rPr>
        <w:t>indisciplina,</w:t>
      </w:r>
      <w:r>
        <w:rPr>
          <w:color w:val="231F20"/>
          <w:spacing w:val="-17"/>
        </w:rPr>
        <w:t> </w:t>
      </w:r>
      <w:r>
        <w:rPr>
          <w:color w:val="231F20"/>
        </w:rPr>
        <w:t>incivilidades</w:t>
      </w:r>
      <w:r>
        <w:rPr>
          <w:color w:val="231F20"/>
          <w:spacing w:val="-17"/>
        </w:rPr>
        <w:t> </w:t>
      </w:r>
      <w:r>
        <w:rPr>
          <w:color w:val="231F20"/>
        </w:rPr>
        <w:t>y</w:t>
      </w:r>
      <w:r>
        <w:rPr>
          <w:color w:val="231F20"/>
          <w:spacing w:val="-16"/>
        </w:rPr>
        <w:t> </w:t>
      </w:r>
      <w:r>
        <w:rPr>
          <w:color w:val="231F20"/>
        </w:rPr>
        <w:t>violencia.</w:t>
      </w:r>
      <w:r>
        <w:rPr>
          <w:color w:val="231F20"/>
          <w:spacing w:val="-17"/>
        </w:rPr>
        <w:t> </w:t>
      </w:r>
      <w:r>
        <w:rPr>
          <w:color w:val="231F20"/>
        </w:rPr>
        <w:t>Juan</w:t>
      </w:r>
      <w:r>
        <w:rPr>
          <w:color w:val="231F20"/>
          <w:spacing w:val="-16"/>
        </w:rPr>
        <w:t> </w:t>
      </w:r>
      <w:r>
        <w:rPr>
          <w:color w:val="231F20"/>
        </w:rPr>
        <w:t>Manuel</w:t>
      </w:r>
      <w:r>
        <w:rPr>
          <w:color w:val="231F20"/>
          <w:spacing w:val="-17"/>
        </w:rPr>
        <w:t> </w:t>
      </w:r>
      <w:r>
        <w:rPr>
          <w:color w:val="231F20"/>
        </w:rPr>
        <w:t>Piña- </w:t>
      </w:r>
      <w:r>
        <w:rPr>
          <w:color w:val="231F20"/>
          <w:w w:val="90"/>
        </w:rPr>
        <w:t>Osorio, </w:t>
      </w:r>
      <w:r>
        <w:rPr>
          <w:i/>
          <w:color w:val="231F20"/>
          <w:w w:val="90"/>
        </w:rPr>
        <w:t>La investigación educativa en México</w:t>
      </w:r>
      <w:r>
        <w:rPr>
          <w:i/>
          <w:color w:val="231F20"/>
          <w:spacing w:val="-10"/>
          <w:w w:val="90"/>
        </w:rPr>
        <w:t> </w:t>
      </w:r>
      <w:r>
        <w:rPr>
          <w:i/>
          <w:color w:val="231F20"/>
          <w:w w:val="90"/>
        </w:rPr>
        <w:t>1992-2002.</w:t>
      </w:r>
    </w:p>
    <w:p>
      <w:pPr>
        <w:pStyle w:val="BodyText"/>
        <w:spacing w:line="238" w:lineRule="exact"/>
        <w:ind w:left="822" w:right="121"/>
      </w:pPr>
      <w:r>
        <w:rPr>
          <w:color w:val="231F20"/>
        </w:rPr>
        <w:t>México, D.F: COMIE-SEP-CESU.</w:t>
      </w:r>
    </w:p>
    <w:p>
      <w:pPr>
        <w:spacing w:line="244" w:lineRule="auto" w:before="8"/>
        <w:ind w:left="822" w:right="121" w:hanging="721"/>
        <w:jc w:val="left"/>
        <w:rPr>
          <w:sz w:val="21"/>
        </w:rPr>
      </w:pPr>
      <w:r>
        <w:rPr>
          <w:color w:val="231F20"/>
          <w:sz w:val="21"/>
        </w:rPr>
        <w:t>García Correa, Antonio. (2001). La violencia en centros educativos de Norteamérica y diferentes países de Europa. Medidas políticas tomadas para la convivencia escolar. </w:t>
      </w:r>
      <w:r>
        <w:rPr>
          <w:i/>
          <w:color w:val="231F20"/>
          <w:sz w:val="21"/>
        </w:rPr>
        <w:t>Revista </w:t>
      </w:r>
      <w:r>
        <w:rPr>
          <w:i/>
          <w:color w:val="231F20"/>
          <w:w w:val="85"/>
          <w:sz w:val="21"/>
        </w:rPr>
        <w:t>Interuniversitaria de Formación de profesorado, </w:t>
      </w:r>
      <w:r>
        <w:rPr>
          <w:color w:val="231F20"/>
          <w:w w:val="85"/>
          <w:sz w:val="21"/>
        </w:rPr>
        <w:t>41,  167-177.</w:t>
      </w:r>
    </w:p>
    <w:p>
      <w:pPr>
        <w:pStyle w:val="BodyText"/>
        <w:spacing w:before="3"/>
        <w:ind w:left="822" w:right="121"/>
      </w:pPr>
      <w:r>
        <w:rPr>
          <w:color w:val="231F20"/>
        </w:rPr>
        <w:t>Zaragoza, España: Universidad de Zaragoza.</w:t>
      </w:r>
    </w:p>
    <w:p>
      <w:pPr>
        <w:pStyle w:val="BodyText"/>
        <w:spacing w:line="247" w:lineRule="auto" w:before="3"/>
        <w:ind w:left="823" w:right="149" w:hanging="721"/>
      </w:pPr>
      <w:r>
        <w:rPr>
          <w:color w:val="231F20"/>
        </w:rPr>
        <w:t>Bordage G., Grant &amp; Marsden, P. (s.f.). Primary knowledge, medial education</w:t>
      </w:r>
      <w:r>
        <w:rPr>
          <w:color w:val="231F20"/>
          <w:spacing w:val="-31"/>
        </w:rPr>
        <w:t> </w:t>
      </w:r>
      <w:r>
        <w:rPr>
          <w:color w:val="231F20"/>
        </w:rPr>
        <w:t>and</w:t>
      </w:r>
      <w:r>
        <w:rPr>
          <w:color w:val="231F20"/>
          <w:spacing w:val="-31"/>
        </w:rPr>
        <w:t> </w:t>
      </w:r>
      <w:r>
        <w:rPr>
          <w:color w:val="231F20"/>
        </w:rPr>
        <w:t>sonsultant</w:t>
      </w:r>
      <w:r>
        <w:rPr>
          <w:color w:val="231F20"/>
          <w:spacing w:val="-32"/>
        </w:rPr>
        <w:t> </w:t>
      </w:r>
      <w:r>
        <w:rPr>
          <w:color w:val="231F20"/>
        </w:rPr>
        <w:t>expertise.</w:t>
      </w:r>
      <w:r>
        <w:rPr>
          <w:color w:val="231F20"/>
          <w:spacing w:val="-32"/>
        </w:rPr>
        <w:t> </w:t>
      </w:r>
      <w:r>
        <w:rPr>
          <w:i/>
          <w:color w:val="231F20"/>
        </w:rPr>
        <w:t>Medical</w:t>
      </w:r>
      <w:r>
        <w:rPr>
          <w:i/>
          <w:color w:val="231F20"/>
          <w:spacing w:val="-32"/>
        </w:rPr>
        <w:t> </w:t>
      </w:r>
      <w:r>
        <w:rPr>
          <w:i/>
          <w:color w:val="231F20"/>
        </w:rPr>
        <w:t>Education,</w:t>
      </w:r>
      <w:r>
        <w:rPr>
          <w:i/>
          <w:color w:val="231F20"/>
          <w:spacing w:val="-32"/>
        </w:rPr>
        <w:t> </w:t>
      </w:r>
      <w:r>
        <w:rPr>
          <w:i/>
          <w:color w:val="231F20"/>
        </w:rPr>
        <w:t>22</w:t>
      </w:r>
      <w:r>
        <w:rPr>
          <w:color w:val="231F20"/>
        </w:rPr>
        <w:t>(3). Obtenido de </w:t>
      </w:r>
      <w:hyperlink r:id="rId500">
        <w:r>
          <w:rPr>
            <w:color w:val="231F20"/>
            <w:spacing w:val="2"/>
            <w:w w:val="104"/>
          </w:rPr>
          <w:t>h</w:t>
        </w:r>
        <w:r>
          <w:rPr>
            <w:color w:val="231F20"/>
            <w:spacing w:val="1"/>
            <w:w w:val="107"/>
          </w:rPr>
          <w:t>tt</w:t>
        </w:r>
        <w:r>
          <w:rPr>
            <w:color w:val="231F20"/>
            <w:spacing w:val="2"/>
            <w:w w:val="104"/>
          </w:rPr>
          <w:t>p</w:t>
        </w:r>
        <w:r>
          <w:rPr>
            <w:color w:val="231F20"/>
            <w:w w:val="80"/>
          </w:rPr>
          <w:t>:</w:t>
        </w:r>
        <w:r>
          <w:rPr>
            <w:color w:val="231F20"/>
            <w:spacing w:val="2"/>
            <w:w w:val="185"/>
          </w:rPr>
          <w:t>//</w:t>
        </w:r>
        <w:r>
          <w:rPr>
            <w:color w:val="231F20"/>
            <w:spacing w:val="2"/>
            <w:w w:val="94"/>
          </w:rPr>
          <w:t>www</w:t>
        </w:r>
        <w:r>
          <w:rPr>
            <w:color w:val="231F20"/>
            <w:w w:val="90"/>
          </w:rPr>
          <w:t>.</w:t>
        </w:r>
        <w:r>
          <w:rPr>
            <w:color w:val="231F20"/>
            <w:spacing w:val="2"/>
            <w:w w:val="104"/>
          </w:rPr>
          <w:t>on</w:t>
        </w:r>
        <w:r>
          <w:rPr>
            <w:color w:val="231F20"/>
            <w:w w:val="84"/>
          </w:rPr>
          <w:t>li</w:t>
        </w:r>
        <w:r>
          <w:rPr>
            <w:color w:val="231F20"/>
            <w:spacing w:val="2"/>
            <w:w w:val="104"/>
          </w:rPr>
          <w:t>n</w:t>
        </w:r>
        <w:r>
          <w:rPr>
            <w:color w:val="231F20"/>
            <w:spacing w:val="1"/>
            <w:w w:val="96"/>
          </w:rPr>
          <w:t>e</w:t>
        </w:r>
        <w:r>
          <w:rPr>
            <w:color w:val="231F20"/>
            <w:w w:val="84"/>
          </w:rPr>
          <w:t>li</w:t>
        </w:r>
        <w:r>
          <w:rPr>
            <w:color w:val="231F20"/>
            <w:spacing w:val="2"/>
            <w:w w:val="104"/>
          </w:rPr>
          <w:t>b</w:t>
        </w:r>
        <w:r>
          <w:rPr>
            <w:color w:val="231F20"/>
            <w:spacing w:val="1"/>
            <w:w w:val="103"/>
          </w:rPr>
          <w:t>r</w:t>
        </w:r>
        <w:r>
          <w:rPr>
            <w:color w:val="231F20"/>
            <w:spacing w:val="1"/>
            <w:w w:val="94"/>
          </w:rPr>
          <w:t>a</w:t>
        </w:r>
        <w:r>
          <w:rPr>
            <w:color w:val="231F20"/>
            <w:spacing w:val="1"/>
            <w:w w:val="103"/>
          </w:rPr>
          <w:t>r</w:t>
        </w:r>
        <w:r>
          <w:rPr>
            <w:color w:val="231F20"/>
            <w:spacing w:val="1"/>
            <w:w w:val="85"/>
          </w:rPr>
          <w:t>y</w:t>
        </w:r>
        <w:r>
          <w:rPr>
            <w:color w:val="231F20"/>
            <w:w w:val="90"/>
          </w:rPr>
          <w:t>.</w:t>
        </w:r>
        <w:r>
          <w:rPr>
            <w:color w:val="231F20"/>
            <w:spacing w:val="2"/>
            <w:w w:val="94"/>
          </w:rPr>
          <w:t>w</w:t>
        </w:r>
        <w:r>
          <w:rPr>
            <w:color w:val="231F20"/>
            <w:w w:val="84"/>
          </w:rPr>
          <w:t>il</w:t>
        </w:r>
        <w:r>
          <w:rPr>
            <w:color w:val="231F20"/>
            <w:spacing w:val="1"/>
            <w:w w:val="96"/>
          </w:rPr>
          <w:t>e</w:t>
        </w:r>
        <w:r>
          <w:rPr>
            <w:color w:val="231F20"/>
            <w:spacing w:val="1"/>
            <w:w w:val="85"/>
          </w:rPr>
          <w:t>y</w:t>
        </w:r>
        <w:r>
          <w:rPr>
            <w:color w:val="231F20"/>
            <w:w w:val="90"/>
          </w:rPr>
          <w:t>.</w:t>
        </w:r>
        <w:r>
          <w:rPr>
            <w:color w:val="231F20"/>
            <w:spacing w:val="1"/>
            <w:w w:val="96"/>
          </w:rPr>
          <w:t>c</w:t>
        </w:r>
        <w:r>
          <w:rPr>
            <w:color w:val="231F20"/>
            <w:spacing w:val="2"/>
            <w:w w:val="104"/>
          </w:rPr>
          <w:t>o</w:t>
        </w:r>
        <w:r>
          <w:rPr>
            <w:color w:val="231F20"/>
            <w:spacing w:val="3"/>
            <w:w w:val="101"/>
          </w:rPr>
          <w:t>m</w:t>
        </w:r>
        <w:r>
          <w:rPr>
            <w:color w:val="231F20"/>
            <w:spacing w:val="2"/>
            <w:w w:val="185"/>
          </w:rPr>
          <w:t>/</w:t>
        </w:r>
        <w:r>
          <w:rPr>
            <w:color w:val="231F20"/>
            <w:spacing w:val="2"/>
            <w:w w:val="102"/>
          </w:rPr>
          <w:t>d</w:t>
        </w:r>
        <w:r>
          <w:rPr>
            <w:color w:val="231F20"/>
            <w:spacing w:val="2"/>
            <w:w w:val="104"/>
          </w:rPr>
          <w:t>o</w:t>
        </w:r>
        <w:r>
          <w:rPr>
            <w:color w:val="231F20"/>
            <w:w w:val="84"/>
          </w:rPr>
          <w:t>i</w:t>
        </w:r>
        <w:r>
          <w:rPr>
            <w:color w:val="231F20"/>
            <w:spacing w:val="2"/>
            <w:w w:val="185"/>
          </w:rPr>
          <w:t>/</w:t>
        </w:r>
        <w:r>
          <w:rPr>
            <w:color w:val="231F20"/>
            <w:spacing w:val="2"/>
            <w:w w:val="95"/>
          </w:rPr>
          <w:t>10</w:t>
        </w:r>
        <w:r>
          <w:rPr>
            <w:color w:val="231F20"/>
            <w:w w:val="95"/>
          </w:rPr>
          <w:t>.</w:t>
        </w:r>
        <w:r>
          <w:rPr>
            <w:color w:val="231F20"/>
            <w:spacing w:val="2"/>
            <w:w w:val="107"/>
          </w:rPr>
          <w:t>1111/</w:t>
        </w:r>
        <w:r>
          <w:rPr>
            <w:color w:val="231F20"/>
            <w:w w:val="84"/>
          </w:rPr>
          <w:t>j</w:t>
        </w:r>
        <w:r>
          <w:rPr>
            <w:color w:val="231F20"/>
            <w:w w:val="90"/>
          </w:rPr>
          <w:t>.</w:t>
        </w:r>
        <w:r>
          <w:rPr>
            <w:color w:val="231F20"/>
            <w:spacing w:val="2"/>
            <w:w w:val="96"/>
          </w:rPr>
          <w:t>1365</w:t>
        </w:r>
        <w:r>
          <w:rPr>
            <w:color w:val="231F20"/>
            <w:w w:val="96"/>
          </w:rPr>
          <w:t>-</w:t>
        </w:r>
      </w:hyperlink>
      <w:r>
        <w:rPr>
          <w:color w:val="231F20"/>
          <w:w w:val="96"/>
        </w:rPr>
        <w:t> </w:t>
      </w:r>
      <w:r>
        <w:rPr>
          <w:color w:val="231F20"/>
        </w:rPr>
        <w:t>2923.1988.tb00002.x/full</w:t>
      </w:r>
    </w:p>
    <w:p>
      <w:pPr>
        <w:pStyle w:val="BodyText"/>
        <w:spacing w:line="247" w:lineRule="auto"/>
        <w:ind w:left="822" w:right="121" w:hanging="720"/>
      </w:pPr>
      <w:r>
        <w:rPr>
          <w:color w:val="231F20"/>
        </w:rPr>
        <w:t>Hall Smith, Paige, Jacquelyn W. White, Lindsay J. Holland. (2003). A Longitudinal Perspective on Dating Violence Among Adolescent and College-Age Women. Obtenido de </w:t>
      </w:r>
      <w:hyperlink r:id="rId501">
        <w:r>
          <w:rPr>
            <w:color w:val="231F20"/>
            <w:w w:val="104"/>
          </w:rPr>
          <w:t>h</w:t>
        </w:r>
        <w:r>
          <w:rPr>
            <w:color w:val="231F20"/>
            <w:w w:val="107"/>
          </w:rPr>
          <w:t>tt</w:t>
        </w:r>
        <w:r>
          <w:rPr>
            <w:color w:val="231F20"/>
            <w:w w:val="104"/>
          </w:rPr>
          <w:t>p</w:t>
        </w:r>
        <w:r>
          <w:rPr>
            <w:color w:val="231F20"/>
            <w:w w:val="80"/>
          </w:rPr>
          <w:t>:</w:t>
        </w:r>
        <w:r>
          <w:rPr>
            <w:color w:val="231F20"/>
            <w:w w:val="185"/>
          </w:rPr>
          <w:t>//</w:t>
        </w:r>
        <w:r>
          <w:rPr>
            <w:color w:val="231F20"/>
            <w:w w:val="94"/>
          </w:rPr>
          <w:t>a</w:t>
        </w:r>
        <w:r>
          <w:rPr>
            <w:color w:val="231F20"/>
            <w:w w:val="84"/>
          </w:rPr>
          <w:t>j</w:t>
        </w:r>
        <w:r>
          <w:rPr>
            <w:color w:val="231F20"/>
            <w:w w:val="104"/>
          </w:rPr>
          <w:t>ph</w:t>
        </w:r>
        <w:r>
          <w:rPr>
            <w:color w:val="231F20"/>
            <w:w w:val="90"/>
          </w:rPr>
          <w:t>.</w:t>
        </w:r>
        <w:r>
          <w:rPr>
            <w:color w:val="231F20"/>
            <w:w w:val="94"/>
          </w:rPr>
          <w:t>a</w:t>
        </w:r>
        <w:r>
          <w:rPr>
            <w:color w:val="231F20"/>
            <w:w w:val="104"/>
          </w:rPr>
          <w:t>ph</w:t>
        </w:r>
        <w:r>
          <w:rPr>
            <w:color w:val="231F20"/>
            <w:w w:val="94"/>
          </w:rPr>
          <w:t>a</w:t>
        </w:r>
        <w:r>
          <w:rPr>
            <w:color w:val="231F20"/>
            <w:w w:val="104"/>
          </w:rPr>
          <w:t>p</w:t>
        </w:r>
        <w:r>
          <w:rPr>
            <w:color w:val="231F20"/>
            <w:w w:val="102"/>
          </w:rPr>
          <w:t>ub</w:t>
        </w:r>
        <w:r>
          <w:rPr>
            <w:color w:val="231F20"/>
            <w:w w:val="84"/>
          </w:rPr>
          <w:t>li</w:t>
        </w:r>
        <w:r>
          <w:rPr>
            <w:color w:val="231F20"/>
            <w:w w:val="96"/>
          </w:rPr>
          <w:t>c</w:t>
        </w:r>
        <w:r>
          <w:rPr>
            <w:color w:val="231F20"/>
            <w:w w:val="94"/>
          </w:rPr>
          <w:t>a</w:t>
        </w:r>
        <w:r>
          <w:rPr>
            <w:color w:val="231F20"/>
            <w:w w:val="107"/>
          </w:rPr>
          <w:t>t</w:t>
        </w:r>
        <w:r>
          <w:rPr>
            <w:color w:val="231F20"/>
            <w:w w:val="84"/>
          </w:rPr>
          <w:t>i</w:t>
        </w:r>
        <w:r>
          <w:rPr>
            <w:color w:val="231F20"/>
            <w:w w:val="104"/>
          </w:rPr>
          <w:t>on</w:t>
        </w:r>
        <w:r>
          <w:rPr>
            <w:color w:val="231F20"/>
            <w:w w:val="96"/>
          </w:rPr>
          <w:t>s</w:t>
        </w:r>
        <w:r>
          <w:rPr>
            <w:color w:val="231F20"/>
            <w:w w:val="90"/>
          </w:rPr>
          <w:t>.</w:t>
        </w:r>
        <w:r>
          <w:rPr>
            <w:color w:val="231F20"/>
            <w:w w:val="104"/>
          </w:rPr>
          <w:t>o</w:t>
        </w:r>
        <w:r>
          <w:rPr>
            <w:color w:val="231F20"/>
            <w:w w:val="103"/>
          </w:rPr>
          <w:t>r</w:t>
        </w:r>
        <w:r>
          <w:rPr>
            <w:color w:val="231F20"/>
            <w:w w:val="92"/>
          </w:rPr>
          <w:t>g</w:t>
        </w:r>
        <w:r>
          <w:rPr>
            <w:color w:val="231F20"/>
            <w:w w:val="185"/>
          </w:rPr>
          <w:t>/</w:t>
        </w:r>
        <w:r>
          <w:rPr>
            <w:color w:val="231F20"/>
            <w:w w:val="102"/>
          </w:rPr>
          <w:t>d</w:t>
        </w:r>
        <w:r>
          <w:rPr>
            <w:color w:val="231F20"/>
            <w:w w:val="104"/>
          </w:rPr>
          <w:t>o</w:t>
        </w:r>
        <w:r>
          <w:rPr>
            <w:color w:val="231F20"/>
            <w:w w:val="84"/>
          </w:rPr>
          <w:t>i</w:t>
        </w:r>
        <w:r>
          <w:rPr>
            <w:color w:val="231F20"/>
            <w:w w:val="185"/>
          </w:rPr>
          <w:t>/</w:t>
        </w:r>
        <w:r>
          <w:rPr>
            <w:color w:val="231F20"/>
            <w:w w:val="94"/>
          </w:rPr>
          <w:t>a</w:t>
        </w:r>
        <w:r>
          <w:rPr>
            <w:color w:val="231F20"/>
            <w:w w:val="104"/>
          </w:rPr>
          <w:t>b</w:t>
        </w:r>
        <w:r>
          <w:rPr>
            <w:color w:val="231F20"/>
            <w:w w:val="96"/>
          </w:rPr>
          <w:t>s</w:t>
        </w:r>
        <w:r>
          <w:rPr>
            <w:color w:val="231F20"/>
            <w:w w:val="185"/>
          </w:rPr>
          <w:t>/</w:t>
        </w:r>
        <w:r>
          <w:rPr>
            <w:color w:val="231F20"/>
            <w:w w:val="95"/>
          </w:rPr>
          <w:t>10.</w:t>
        </w:r>
        <w:r>
          <w:rPr>
            <w:color w:val="231F20"/>
            <w:w w:val="107"/>
          </w:rPr>
          <w:t>2105/</w:t>
        </w:r>
        <w:r>
          <w:rPr>
            <w:color w:val="231F20"/>
            <w:w w:val="96"/>
          </w:rPr>
          <w:t>A</w:t>
        </w:r>
        <w:r>
          <w:rPr>
            <w:color w:val="231F20"/>
            <w:w w:val="88"/>
          </w:rPr>
          <w:t>J</w:t>
        </w:r>
        <w:r>
          <w:rPr>
            <w:color w:val="231F20"/>
            <w:w w:val="104"/>
          </w:rPr>
          <w:t>P</w:t>
        </w:r>
        <w:r>
          <w:rPr>
            <w:color w:val="231F20"/>
            <w:w w:val="108"/>
          </w:rPr>
          <w:t>H</w:t>
        </w:r>
        <w:r>
          <w:rPr>
            <w:color w:val="231F20"/>
            <w:w w:val="90"/>
          </w:rPr>
          <w:t>.</w:t>
        </w:r>
      </w:hyperlink>
      <w:r>
        <w:rPr>
          <w:color w:val="231F20"/>
          <w:w w:val="90"/>
        </w:rPr>
        <w:t> </w:t>
      </w:r>
      <w:r>
        <w:rPr>
          <w:color w:val="231F20"/>
        </w:rPr>
        <w:t>93.7.1104</w:t>
      </w:r>
    </w:p>
    <w:p>
      <w:pPr>
        <w:spacing w:after="0" w:line="247" w:lineRule="auto"/>
        <w:sectPr>
          <w:headerReference w:type="default" r:id="rId495"/>
          <w:footerReference w:type="default" r:id="rId496"/>
          <w:pgSz w:w="7830" w:h="11910"/>
          <w:pgMar w:header="0" w:footer="424" w:top="500" w:bottom="620" w:left="920" w:right="900"/>
          <w:pgNumType w:start="224"/>
        </w:sectPr>
      </w:pPr>
    </w:p>
    <w:p>
      <w:pPr>
        <w:spacing w:before="43"/>
        <w:ind w:left="564" w:right="521" w:firstLine="0"/>
        <w:jc w:val="center"/>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spacing w:before="7"/>
        <w:rPr>
          <w:rFonts w:ascii="Cambria"/>
        </w:rPr>
      </w:pPr>
    </w:p>
    <w:p>
      <w:pPr>
        <w:pStyle w:val="BodyText"/>
        <w:spacing w:line="242" w:lineRule="auto" w:before="1"/>
        <w:ind w:left="842" w:right="184" w:hanging="721"/>
        <w:rPr>
          <w:rFonts w:ascii="Cambria" w:hAnsi="Cambria"/>
        </w:rPr>
      </w:pPr>
      <w:r>
        <w:rPr>
          <w:rFonts w:ascii="Cambria" w:hAnsi="Cambria"/>
          <w:color w:val="231F20"/>
          <w:w w:val="95"/>
        </w:rPr>
        <w:t>Larena-Fernández, Rosa y Molina-Roldán, Silvia. (2010). Violencia de género en las universidades: investigaciones y medidas </w:t>
      </w:r>
      <w:r>
        <w:rPr>
          <w:rFonts w:ascii="Cambria" w:hAnsi="Cambria"/>
          <w:color w:val="231F20"/>
        </w:rPr>
        <w:t>para prevenirla. Obtenido de </w:t>
      </w:r>
      <w:hyperlink r:id="rId504">
        <w:r>
          <w:rPr>
            <w:rFonts w:ascii="Cambria" w:hAnsi="Cambria"/>
            <w:color w:val="231F20"/>
            <w:w w:val="90"/>
          </w:rPr>
          <w:t>http://revistaseug.ugr.es/index.php/tsg/article/view/911</w:t>
        </w:r>
      </w:hyperlink>
    </w:p>
    <w:p>
      <w:pPr>
        <w:pStyle w:val="BodyText"/>
        <w:spacing w:line="242" w:lineRule="exact"/>
        <w:ind w:left="122" w:right="774"/>
        <w:rPr>
          <w:rFonts w:ascii="Cambria"/>
        </w:rPr>
      </w:pPr>
      <w:r>
        <w:rPr>
          <w:rFonts w:ascii="Cambria"/>
          <w:color w:val="231F20"/>
          <w:w w:val="95"/>
        </w:rPr>
        <w:t>Letelier-Sanz, Patricia y Valenzuela-Suazo, Sandra. (2002).</w:t>
      </w:r>
    </w:p>
    <w:p>
      <w:pPr>
        <w:pStyle w:val="BodyText"/>
        <w:spacing w:before="3"/>
        <w:ind w:left="842"/>
        <w:rPr>
          <w:rFonts w:ascii="Cambria" w:hAnsi="Cambria"/>
        </w:rPr>
      </w:pPr>
      <w:r>
        <w:rPr>
          <w:rFonts w:ascii="Cambria" w:hAnsi="Cambria"/>
          <w:color w:val="231F20"/>
        </w:rPr>
        <w:t>Violencia: fenómeno relevante de estudio en campos </w:t>
      </w:r>
      <w:r>
        <w:rPr>
          <w:rFonts w:ascii="Cambria" w:hAnsi="Cambria"/>
          <w:color w:val="231F20"/>
          <w:w w:val="90"/>
        </w:rPr>
        <w:t>clínicos intra-hospitalarios de enfermería. </w:t>
      </w:r>
      <w:r>
        <w:rPr>
          <w:i/>
          <w:color w:val="231F20"/>
          <w:w w:val="90"/>
        </w:rPr>
        <w:t>Revista ciencia y </w:t>
      </w:r>
      <w:r>
        <w:rPr>
          <w:i/>
          <w:color w:val="231F20"/>
        </w:rPr>
        <w:t>Enfermería 8 </w:t>
      </w:r>
      <w:r>
        <w:rPr>
          <w:rFonts w:ascii="Cambria" w:hAnsi="Cambria"/>
          <w:color w:val="231F20"/>
        </w:rPr>
        <w:t>. Obtenido de </w:t>
      </w:r>
      <w:hyperlink r:id="rId505">
        <w:r>
          <w:rPr>
            <w:rFonts w:ascii="Cambria" w:hAnsi="Cambria"/>
            <w:color w:val="231F20"/>
          </w:rPr>
          <w:t>http://www.scielo.cl/scielo.php?pid=S0717-</w:t>
        </w:r>
      </w:hyperlink>
      <w:r>
        <w:rPr>
          <w:rFonts w:ascii="Cambria" w:hAnsi="Cambria"/>
          <w:color w:val="231F20"/>
        </w:rPr>
        <w:t> 95532002000200003&amp;script=sci_arttext</w:t>
      </w:r>
    </w:p>
    <w:p>
      <w:pPr>
        <w:pStyle w:val="BodyText"/>
        <w:spacing w:before="3"/>
        <w:ind w:left="841" w:right="102" w:hanging="720"/>
        <w:rPr>
          <w:rFonts w:ascii="Cambria" w:hAnsi="Cambria"/>
        </w:rPr>
      </w:pPr>
      <w:r>
        <w:rPr>
          <w:rFonts w:ascii="Cambria" w:hAnsi="Cambria"/>
          <w:color w:val="231F20"/>
        </w:rPr>
        <w:t>Maida, Ana Margarita et al. (2006). Percepción de conductas </w:t>
      </w:r>
      <w:r>
        <w:rPr>
          <w:rFonts w:ascii="Cambria" w:hAnsi="Cambria"/>
          <w:color w:val="231F20"/>
          <w:w w:val="95"/>
        </w:rPr>
        <w:t>abusivas en estudiantes de medicina. </w:t>
      </w:r>
      <w:r>
        <w:rPr>
          <w:i/>
          <w:color w:val="231F20"/>
          <w:w w:val="95"/>
        </w:rPr>
        <w:t>Revista Médica </w:t>
      </w:r>
      <w:r>
        <w:rPr>
          <w:rFonts w:ascii="Cambria" w:hAnsi="Cambria"/>
          <w:color w:val="231F20"/>
          <w:w w:val="95"/>
        </w:rPr>
        <w:t>. Chile. Obtenido de </w:t>
      </w:r>
      <w:hyperlink r:id="rId506">
        <w:r>
          <w:rPr>
            <w:rFonts w:ascii="Cambria" w:hAnsi="Cambria"/>
            <w:color w:val="231F20"/>
            <w:w w:val="95"/>
          </w:rPr>
          <w:t>http://www.scielo.cl/scielo.php?pid=s0034-</w:t>
        </w:r>
      </w:hyperlink>
      <w:r>
        <w:rPr>
          <w:rFonts w:ascii="Cambria" w:hAnsi="Cambria"/>
          <w:color w:val="231F20"/>
          <w:w w:val="95"/>
        </w:rPr>
        <w:t> </w:t>
      </w:r>
      <w:r>
        <w:rPr>
          <w:rFonts w:ascii="Cambria" w:hAnsi="Cambria"/>
          <w:color w:val="231F20"/>
        </w:rPr>
        <w:t>98872006001200004&amp;script=sci_arttext</w:t>
      </w:r>
    </w:p>
    <w:p>
      <w:pPr>
        <w:pStyle w:val="BodyText"/>
        <w:spacing w:before="3"/>
        <w:ind w:left="826" w:hanging="706"/>
        <w:rPr>
          <w:rFonts w:ascii="Cambria"/>
        </w:rPr>
      </w:pPr>
      <w:r>
        <w:rPr>
          <w:rFonts w:ascii="Cambria"/>
          <w:color w:val="231F20"/>
        </w:rPr>
        <w:t>Mangus, R. S., Hawkins, C. E. &amp; Miller C. S. (1998 ). Prevalence of </w:t>
      </w:r>
      <w:r>
        <w:rPr>
          <w:rFonts w:ascii="Cambria"/>
          <w:color w:val="231F20"/>
          <w:w w:val="95"/>
        </w:rPr>
        <w:t>harassment and discrimination among 1996 medical school </w:t>
      </w:r>
      <w:r>
        <w:rPr>
          <w:rFonts w:ascii="Cambria"/>
          <w:color w:val="231F20"/>
        </w:rPr>
        <w:t>graduates: a survey of eight US Schools. </w:t>
      </w:r>
      <w:r>
        <w:rPr>
          <w:i/>
          <w:color w:val="231F20"/>
        </w:rPr>
        <w:t>280</w:t>
      </w:r>
      <w:r>
        <w:rPr>
          <w:rFonts w:ascii="Cambria"/>
          <w:color w:val="231F20"/>
        </w:rPr>
        <w:t>(9). JAMA. Obtenido de: </w:t>
      </w:r>
      <w:r>
        <w:rPr>
          <w:rFonts w:ascii="Cambria"/>
          <w:color w:val="231F20"/>
          <w:w w:val="90"/>
        </w:rPr>
        <w:t>https:</w:t>
      </w:r>
      <w:hyperlink r:id="rId507">
        <w:r>
          <w:rPr>
            <w:rFonts w:ascii="Cambria"/>
            <w:color w:val="231F20"/>
            <w:w w:val="90"/>
          </w:rPr>
          <w:t>//w</w:t>
        </w:r>
      </w:hyperlink>
      <w:r>
        <w:rPr>
          <w:rFonts w:ascii="Cambria"/>
          <w:color w:val="231F20"/>
          <w:w w:val="90"/>
        </w:rPr>
        <w:t>ww</w:t>
      </w:r>
      <w:hyperlink r:id="rId507">
        <w:r>
          <w:rPr>
            <w:rFonts w:ascii="Cambria"/>
            <w:color w:val="231F20"/>
            <w:w w:val="90"/>
          </w:rPr>
          <w:t>.researchgate.net/publication/13555712_Prevale</w:t>
        </w:r>
      </w:hyperlink>
      <w:r>
        <w:rPr>
          <w:rFonts w:ascii="Cambria"/>
          <w:color w:val="231F20"/>
          <w:w w:val="90"/>
        </w:rPr>
        <w:t> </w:t>
      </w:r>
      <w:r>
        <w:rPr>
          <w:rFonts w:ascii="Cambria"/>
          <w:color w:val="231F20"/>
          <w:w w:val="95"/>
        </w:rPr>
        <w:t>nce_of_harassment_and_discrimination_among_1996_medic </w:t>
      </w:r>
      <w:r>
        <w:rPr>
          <w:rFonts w:ascii="Cambria"/>
          <w:color w:val="231F20"/>
        </w:rPr>
        <w:t>al_school_graduates_A_survey_of_eight_US_schools</w:t>
      </w:r>
    </w:p>
    <w:p>
      <w:pPr>
        <w:pStyle w:val="BodyText"/>
        <w:spacing w:before="3"/>
        <w:ind w:left="117"/>
        <w:rPr>
          <w:rFonts w:ascii="Cambria"/>
        </w:rPr>
      </w:pPr>
      <w:r>
        <w:rPr>
          <w:rFonts w:ascii="Cambria"/>
          <w:color w:val="231F20"/>
          <w:w w:val="95"/>
        </w:rPr>
        <w:t>Moscarello, Rebeka; Margittai, Katalina J. &amp; Rossi, Miriam.  (1998).</w:t>
      </w:r>
    </w:p>
    <w:p>
      <w:pPr>
        <w:pStyle w:val="BodyText"/>
        <w:spacing w:before="3"/>
        <w:ind w:left="826"/>
        <w:rPr>
          <w:rFonts w:ascii="Cambria"/>
        </w:rPr>
      </w:pPr>
      <w:r>
        <w:rPr>
          <w:rFonts w:ascii="Cambria"/>
          <w:color w:val="231F20"/>
        </w:rPr>
        <w:t>Differences in abuse reported by female and male Canadian medical students. Obtenido de </w:t>
      </w:r>
      <w:hyperlink r:id="rId508">
        <w:r>
          <w:rPr>
            <w:rFonts w:ascii="Cambria"/>
            <w:color w:val="231F20"/>
            <w:w w:val="95"/>
          </w:rPr>
          <w:t>http://www.ncbi.nlm.nih.gov/pmc/articles/PMC1486154</w:t>
        </w:r>
      </w:hyperlink>
    </w:p>
    <w:p>
      <w:pPr>
        <w:pStyle w:val="BodyText"/>
        <w:spacing w:line="245" w:lineRule="exact"/>
        <w:ind w:left="826" w:right="774"/>
        <w:rPr>
          <w:rFonts w:ascii="Cambria"/>
        </w:rPr>
      </w:pPr>
      <w:r>
        <w:rPr>
          <w:rFonts w:ascii="Cambria"/>
          <w:color w:val="231F20"/>
        </w:rPr>
        <w:t>/pdf/cmaj00283-0059.pdf</w:t>
      </w:r>
    </w:p>
    <w:p>
      <w:pPr>
        <w:spacing w:line="240" w:lineRule="auto" w:before="3"/>
        <w:ind w:left="841" w:right="0" w:hanging="721"/>
        <w:jc w:val="left"/>
        <w:rPr>
          <w:rFonts w:ascii="Cambria"/>
          <w:sz w:val="21"/>
        </w:rPr>
      </w:pPr>
      <w:r>
        <w:rPr>
          <w:rFonts w:ascii="Cambria"/>
          <w:color w:val="231F20"/>
          <w:w w:val="95"/>
          <w:sz w:val="21"/>
        </w:rPr>
        <w:t>Nagata-Kobayashi. (2006). Medical Student Abuse During Clinical </w:t>
      </w:r>
      <w:r>
        <w:rPr>
          <w:rFonts w:ascii="Cambria"/>
          <w:color w:val="231F20"/>
          <w:w w:val="90"/>
          <w:sz w:val="21"/>
        </w:rPr>
        <w:t>Clerkships in Japan. </w:t>
      </w:r>
      <w:r>
        <w:rPr>
          <w:i/>
          <w:color w:val="231F20"/>
          <w:w w:val="90"/>
          <w:sz w:val="21"/>
        </w:rPr>
        <w:t>The Journal of General Internal Medicine. </w:t>
      </w:r>
      <w:r>
        <w:rPr>
          <w:rFonts w:ascii="Cambria"/>
          <w:color w:val="231F20"/>
          <w:sz w:val="21"/>
        </w:rPr>
        <w:t>Obtenido de </w:t>
      </w:r>
      <w:hyperlink r:id="rId509">
        <w:r>
          <w:rPr>
            <w:rFonts w:ascii="Cambria"/>
            <w:color w:val="231F20"/>
            <w:sz w:val="21"/>
          </w:rPr>
          <w:t>http://www.ncbi.Nlm.nih.gov/pubmed/16390504</w:t>
        </w:r>
      </w:hyperlink>
    </w:p>
    <w:p>
      <w:pPr>
        <w:spacing w:line="242" w:lineRule="auto" w:before="3"/>
        <w:ind w:left="842" w:right="0" w:hanging="721"/>
        <w:jc w:val="left"/>
        <w:rPr>
          <w:rFonts w:ascii="Cambria"/>
          <w:sz w:val="21"/>
        </w:rPr>
      </w:pPr>
      <w:r>
        <w:rPr>
          <w:rFonts w:ascii="Cambria"/>
          <w:color w:val="231F20"/>
          <w:w w:val="90"/>
          <w:sz w:val="21"/>
        </w:rPr>
        <w:t>Olweus,</w:t>
      </w:r>
      <w:r>
        <w:rPr>
          <w:rFonts w:ascii="Cambria"/>
          <w:color w:val="231F20"/>
          <w:spacing w:val="-12"/>
          <w:w w:val="90"/>
          <w:sz w:val="21"/>
        </w:rPr>
        <w:t> </w:t>
      </w:r>
      <w:r>
        <w:rPr>
          <w:rFonts w:ascii="Cambria"/>
          <w:color w:val="231F20"/>
          <w:w w:val="90"/>
          <w:sz w:val="21"/>
        </w:rPr>
        <w:t>Dan.</w:t>
      </w:r>
      <w:r>
        <w:rPr>
          <w:rFonts w:ascii="Cambria"/>
          <w:color w:val="231F20"/>
          <w:spacing w:val="-12"/>
          <w:w w:val="90"/>
          <w:sz w:val="21"/>
        </w:rPr>
        <w:t> </w:t>
      </w:r>
      <w:r>
        <w:rPr>
          <w:rFonts w:ascii="Cambria"/>
          <w:color w:val="231F20"/>
          <w:w w:val="90"/>
          <w:sz w:val="21"/>
        </w:rPr>
        <w:t>(2006).</w:t>
      </w:r>
      <w:r>
        <w:rPr>
          <w:rFonts w:ascii="Cambria"/>
          <w:color w:val="231F20"/>
          <w:spacing w:val="-11"/>
          <w:w w:val="90"/>
          <w:sz w:val="21"/>
        </w:rPr>
        <w:t> </w:t>
      </w:r>
      <w:r>
        <w:rPr>
          <w:i/>
          <w:color w:val="231F20"/>
          <w:w w:val="90"/>
          <w:sz w:val="21"/>
        </w:rPr>
        <w:t>Conductas</w:t>
      </w:r>
      <w:r>
        <w:rPr>
          <w:i/>
          <w:color w:val="231F20"/>
          <w:spacing w:val="-17"/>
          <w:w w:val="90"/>
          <w:sz w:val="21"/>
        </w:rPr>
        <w:t> </w:t>
      </w:r>
      <w:r>
        <w:rPr>
          <w:i/>
          <w:color w:val="231F20"/>
          <w:w w:val="90"/>
          <w:sz w:val="21"/>
        </w:rPr>
        <w:t>de</w:t>
      </w:r>
      <w:r>
        <w:rPr>
          <w:i/>
          <w:color w:val="231F20"/>
          <w:spacing w:val="-17"/>
          <w:w w:val="90"/>
          <w:sz w:val="21"/>
        </w:rPr>
        <w:t> </w:t>
      </w:r>
      <w:r>
        <w:rPr>
          <w:i/>
          <w:color w:val="231F20"/>
          <w:w w:val="90"/>
          <w:sz w:val="21"/>
        </w:rPr>
        <w:t>acoso</w:t>
      </w:r>
      <w:r>
        <w:rPr>
          <w:i/>
          <w:color w:val="231F20"/>
          <w:spacing w:val="-17"/>
          <w:w w:val="90"/>
          <w:sz w:val="21"/>
        </w:rPr>
        <w:t> </w:t>
      </w:r>
      <w:r>
        <w:rPr>
          <w:i/>
          <w:color w:val="231F20"/>
          <w:w w:val="90"/>
          <w:sz w:val="21"/>
        </w:rPr>
        <w:t>y</w:t>
      </w:r>
      <w:r>
        <w:rPr>
          <w:i/>
          <w:color w:val="231F20"/>
          <w:spacing w:val="-17"/>
          <w:w w:val="90"/>
          <w:sz w:val="21"/>
        </w:rPr>
        <w:t> </w:t>
      </w:r>
      <w:r>
        <w:rPr>
          <w:i/>
          <w:color w:val="231F20"/>
          <w:w w:val="90"/>
          <w:sz w:val="21"/>
        </w:rPr>
        <w:t>amenaza</w:t>
      </w:r>
      <w:r>
        <w:rPr>
          <w:i/>
          <w:color w:val="231F20"/>
          <w:spacing w:val="-17"/>
          <w:w w:val="90"/>
          <w:sz w:val="21"/>
        </w:rPr>
        <w:t> </w:t>
      </w:r>
      <w:r>
        <w:rPr>
          <w:i/>
          <w:color w:val="231F20"/>
          <w:w w:val="90"/>
          <w:sz w:val="21"/>
        </w:rPr>
        <w:t>entre</w:t>
      </w:r>
      <w:r>
        <w:rPr>
          <w:i/>
          <w:color w:val="231F20"/>
          <w:spacing w:val="-17"/>
          <w:w w:val="90"/>
          <w:sz w:val="21"/>
        </w:rPr>
        <w:t> </w:t>
      </w:r>
      <w:r>
        <w:rPr>
          <w:i/>
          <w:color w:val="231F20"/>
          <w:w w:val="90"/>
          <w:sz w:val="21"/>
        </w:rPr>
        <w:t>escolares</w:t>
      </w:r>
      <w:r>
        <w:rPr>
          <w:i/>
          <w:color w:val="231F20"/>
          <w:spacing w:val="-18"/>
          <w:w w:val="90"/>
          <w:sz w:val="21"/>
        </w:rPr>
        <w:t> </w:t>
      </w:r>
      <w:r>
        <w:rPr>
          <w:rFonts w:ascii="Cambria"/>
          <w:color w:val="231F20"/>
          <w:w w:val="90"/>
          <w:sz w:val="21"/>
        </w:rPr>
        <w:t>(3ra. </w:t>
      </w:r>
      <w:r>
        <w:rPr>
          <w:rFonts w:ascii="Cambria"/>
          <w:color w:val="231F20"/>
          <w:w w:val="95"/>
          <w:sz w:val="21"/>
        </w:rPr>
        <w:t>ed.). Madrid:</w:t>
      </w:r>
      <w:r>
        <w:rPr>
          <w:rFonts w:ascii="Cambria"/>
          <w:color w:val="231F20"/>
          <w:spacing w:val="8"/>
          <w:w w:val="95"/>
          <w:sz w:val="21"/>
        </w:rPr>
        <w:t> </w:t>
      </w:r>
      <w:r>
        <w:rPr>
          <w:rFonts w:ascii="Cambria"/>
          <w:color w:val="231F20"/>
          <w:w w:val="95"/>
          <w:sz w:val="21"/>
        </w:rPr>
        <w:t>Morata.</w:t>
      </w:r>
    </w:p>
    <w:p>
      <w:pPr>
        <w:pStyle w:val="BodyText"/>
        <w:spacing w:line="242" w:lineRule="exact"/>
        <w:ind w:left="122" w:right="774"/>
        <w:rPr>
          <w:rFonts w:ascii="Cambria" w:hAnsi="Cambria"/>
        </w:rPr>
      </w:pPr>
      <w:r>
        <w:rPr>
          <w:rFonts w:ascii="Cambria" w:hAnsi="Cambria"/>
          <w:color w:val="231F20"/>
          <w:w w:val="95"/>
        </w:rPr>
        <w:t>Ortega-Ruiz,Rosario y Mora-Merchán, Joaquín A.  (1997).</w:t>
      </w:r>
    </w:p>
    <w:p>
      <w:pPr>
        <w:pStyle w:val="BodyText"/>
        <w:spacing w:before="3"/>
        <w:ind w:left="842"/>
        <w:rPr>
          <w:rFonts w:ascii="Cambria" w:hAnsi="Cambria"/>
        </w:rPr>
      </w:pPr>
      <w:r>
        <w:rPr>
          <w:rFonts w:ascii="Cambria" w:hAnsi="Cambria"/>
          <w:color w:val="231F20"/>
        </w:rPr>
        <w:t>Agresividad y violencia. El problema de la victimización entre escolares. </w:t>
      </w:r>
      <w:r>
        <w:rPr>
          <w:i/>
          <w:color w:val="231F20"/>
        </w:rPr>
        <w:t>Revista de Educación</w:t>
      </w:r>
      <w:r>
        <w:rPr>
          <w:rFonts w:ascii="Cambria" w:hAnsi="Cambria"/>
          <w:color w:val="231F20"/>
        </w:rPr>
        <w:t>. Obtenido de </w:t>
      </w:r>
      <w:hyperlink r:id="rId510">
        <w:r>
          <w:rPr>
            <w:rFonts w:ascii="Cambria" w:hAnsi="Cambria"/>
            <w:color w:val="231F20"/>
            <w:w w:val="90"/>
          </w:rPr>
          <w:t>http://www.doredin.mec.es/documentos/0082007300396</w:t>
        </w:r>
      </w:hyperlink>
      <w:r>
        <w:rPr>
          <w:rFonts w:ascii="Cambria" w:hAnsi="Cambria"/>
          <w:color w:val="231F20"/>
          <w:w w:val="90"/>
        </w:rPr>
        <w:t> </w:t>
      </w:r>
      <w:r>
        <w:rPr>
          <w:rFonts w:ascii="Cambria" w:hAnsi="Cambria"/>
          <w:color w:val="231F20"/>
        </w:rPr>
        <w:t>1.pdf</w:t>
      </w:r>
    </w:p>
    <w:p>
      <w:pPr>
        <w:pStyle w:val="BodyText"/>
        <w:spacing w:line="242" w:lineRule="auto" w:before="3"/>
        <w:ind w:left="842" w:right="124" w:hanging="721"/>
        <w:rPr>
          <w:rFonts w:ascii="Cambria"/>
        </w:rPr>
      </w:pPr>
      <w:r>
        <w:rPr>
          <w:rFonts w:ascii="Cambria"/>
          <w:color w:val="231F20"/>
        </w:rPr>
        <w:t>Vitaliano, Peter, Maiuro, Roland D., Mitchell, Ellen., &amp; Russo, </w:t>
      </w:r>
      <w:r>
        <w:rPr>
          <w:rFonts w:ascii="Cambria"/>
          <w:color w:val="231F20"/>
          <w:w w:val="95"/>
        </w:rPr>
        <w:t>Joan. (1989.). Perceived stress in medical school: Resistors,</w:t>
      </w:r>
    </w:p>
    <w:p>
      <w:pPr>
        <w:spacing w:after="0" w:line="242" w:lineRule="auto"/>
        <w:rPr>
          <w:rFonts w:ascii="Cambria"/>
        </w:rPr>
        <w:sectPr>
          <w:headerReference w:type="default" r:id="rId502"/>
          <w:footerReference w:type="default" r:id="rId503"/>
          <w:pgSz w:w="7830" w:h="11910"/>
          <w:pgMar w:header="0" w:footer="424" w:top="500" w:bottom="620" w:left="900" w:right="940"/>
          <w:pgNumType w:start="225"/>
        </w:sectPr>
      </w:pPr>
    </w:p>
    <w:p>
      <w:pPr>
        <w:spacing w:before="46"/>
        <w:ind w:left="564" w:right="561"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spacing w:line="247" w:lineRule="auto" w:before="0"/>
        <w:ind w:left="822" w:right="0" w:firstLine="0"/>
        <w:jc w:val="left"/>
        <w:rPr>
          <w:sz w:val="21"/>
        </w:rPr>
      </w:pPr>
      <w:r>
        <w:rPr>
          <w:color w:val="231F20"/>
          <w:sz w:val="21"/>
        </w:rPr>
        <w:t>persistors,</w:t>
      </w:r>
      <w:r>
        <w:rPr>
          <w:color w:val="231F20"/>
          <w:spacing w:val="-18"/>
          <w:sz w:val="21"/>
        </w:rPr>
        <w:t> </w:t>
      </w:r>
      <w:r>
        <w:rPr>
          <w:color w:val="231F20"/>
          <w:sz w:val="21"/>
        </w:rPr>
        <w:t>adaptors</w:t>
      </w:r>
      <w:r>
        <w:rPr>
          <w:color w:val="231F20"/>
          <w:spacing w:val="-17"/>
          <w:sz w:val="21"/>
        </w:rPr>
        <w:t> </w:t>
      </w:r>
      <w:r>
        <w:rPr>
          <w:color w:val="231F20"/>
          <w:sz w:val="21"/>
        </w:rPr>
        <w:t>and</w:t>
      </w:r>
      <w:r>
        <w:rPr>
          <w:color w:val="231F20"/>
          <w:spacing w:val="-17"/>
          <w:sz w:val="21"/>
        </w:rPr>
        <w:t> </w:t>
      </w:r>
      <w:r>
        <w:rPr>
          <w:color w:val="231F20"/>
          <w:sz w:val="21"/>
        </w:rPr>
        <w:t>maladaptors.</w:t>
      </w:r>
      <w:r>
        <w:rPr>
          <w:color w:val="231F20"/>
          <w:spacing w:val="-18"/>
          <w:sz w:val="21"/>
        </w:rPr>
        <w:t> </w:t>
      </w:r>
      <w:r>
        <w:rPr>
          <w:color w:val="231F20"/>
          <w:sz w:val="21"/>
        </w:rPr>
        <w:t>En</w:t>
      </w:r>
      <w:r>
        <w:rPr>
          <w:color w:val="231F20"/>
          <w:spacing w:val="-17"/>
          <w:sz w:val="21"/>
        </w:rPr>
        <w:t> </w:t>
      </w:r>
      <w:r>
        <w:rPr>
          <w:i/>
          <w:color w:val="231F20"/>
          <w:sz w:val="21"/>
        </w:rPr>
        <w:t>Social</w:t>
      </w:r>
      <w:r>
        <w:rPr>
          <w:i/>
          <w:color w:val="231F20"/>
          <w:spacing w:val="-18"/>
          <w:sz w:val="21"/>
        </w:rPr>
        <w:t> </w:t>
      </w:r>
      <w:r>
        <w:rPr>
          <w:i/>
          <w:color w:val="231F20"/>
          <w:sz w:val="21"/>
        </w:rPr>
        <w:t>Science</w:t>
      </w:r>
      <w:r>
        <w:rPr>
          <w:i/>
          <w:color w:val="231F20"/>
          <w:spacing w:val="-18"/>
          <w:sz w:val="21"/>
        </w:rPr>
        <w:t> </w:t>
      </w:r>
      <w:r>
        <w:rPr>
          <w:i/>
          <w:color w:val="231F20"/>
          <w:sz w:val="21"/>
        </w:rPr>
        <w:t>&amp; </w:t>
      </w:r>
      <w:r>
        <w:rPr>
          <w:i/>
          <w:color w:val="231F20"/>
          <w:w w:val="95"/>
          <w:sz w:val="21"/>
        </w:rPr>
        <w:t>Medicine. 28</w:t>
      </w:r>
      <w:r>
        <w:rPr>
          <w:color w:val="231F20"/>
          <w:w w:val="95"/>
          <w:sz w:val="21"/>
        </w:rPr>
        <w:t>. 1321-1329. Issue</w:t>
      </w:r>
      <w:r>
        <w:rPr>
          <w:color w:val="231F20"/>
          <w:spacing w:val="-22"/>
          <w:w w:val="95"/>
          <w:sz w:val="21"/>
        </w:rPr>
        <w:t> </w:t>
      </w:r>
      <w:r>
        <w:rPr>
          <w:color w:val="231F20"/>
          <w:w w:val="95"/>
          <w:sz w:val="21"/>
        </w:rPr>
        <w:t>12.</w:t>
      </w:r>
    </w:p>
    <w:p>
      <w:pPr>
        <w:pStyle w:val="BodyText"/>
        <w:spacing w:line="247" w:lineRule="auto"/>
        <w:ind w:left="821" w:right="94" w:hanging="720"/>
      </w:pPr>
      <w:r>
        <w:rPr>
          <w:color w:val="231F20"/>
        </w:rPr>
        <w:t>Rautio, Arja, Vappu, Sunnari, Nuutinen, Matti &amp; Laitala, Marja. (s.f.). Mistreatment of university students most common during medical studies. </w:t>
      </w:r>
      <w:r>
        <w:rPr>
          <w:i/>
          <w:color w:val="231F20"/>
        </w:rPr>
        <w:t>BMC Medical Education</w:t>
      </w:r>
      <w:r>
        <w:rPr>
          <w:color w:val="231F20"/>
        </w:rPr>
        <w:t>. Obtenido de </w:t>
      </w:r>
      <w:hyperlink r:id="rId513">
        <w:r>
          <w:rPr>
            <w:color w:val="231F20"/>
            <w:w w:val="104"/>
          </w:rPr>
          <w:t>h</w:t>
        </w:r>
        <w:r>
          <w:rPr>
            <w:color w:val="231F20"/>
            <w:w w:val="107"/>
          </w:rPr>
          <w:t>tt</w:t>
        </w:r>
        <w:r>
          <w:rPr>
            <w:color w:val="231F20"/>
            <w:w w:val="104"/>
          </w:rPr>
          <w:t>p</w:t>
        </w:r>
        <w:r>
          <w:rPr>
            <w:color w:val="231F20"/>
            <w:w w:val="80"/>
          </w:rPr>
          <w:t>:</w:t>
        </w:r>
        <w:r>
          <w:rPr>
            <w:color w:val="231F20"/>
            <w:w w:val="185"/>
          </w:rPr>
          <w:t>//</w:t>
        </w:r>
        <w:r>
          <w:rPr>
            <w:color w:val="231F20"/>
            <w:w w:val="94"/>
          </w:rPr>
          <w:t>www</w:t>
        </w:r>
        <w:r>
          <w:rPr>
            <w:color w:val="231F20"/>
            <w:w w:val="89"/>
          </w:rPr>
          <w:t>.</w:t>
        </w:r>
        <w:r>
          <w:rPr>
            <w:color w:val="231F20"/>
            <w:w w:val="96"/>
          </w:rPr>
          <w:t>Sp</w:t>
        </w:r>
        <w:r>
          <w:rPr>
            <w:color w:val="231F20"/>
            <w:w w:val="103"/>
          </w:rPr>
          <w:t>r</w:t>
        </w:r>
        <w:r>
          <w:rPr>
            <w:color w:val="231F20"/>
            <w:w w:val="84"/>
          </w:rPr>
          <w:t>i</w:t>
        </w:r>
        <w:r>
          <w:rPr>
            <w:color w:val="231F20"/>
            <w:w w:val="104"/>
          </w:rPr>
          <w:t>n</w:t>
        </w:r>
        <w:r>
          <w:rPr>
            <w:color w:val="231F20"/>
            <w:w w:val="92"/>
          </w:rPr>
          <w:t>g</w:t>
        </w:r>
        <w:r>
          <w:rPr>
            <w:color w:val="231F20"/>
            <w:w w:val="96"/>
          </w:rPr>
          <w:t>e</w:t>
        </w:r>
        <w:r>
          <w:rPr>
            <w:color w:val="231F20"/>
            <w:w w:val="103"/>
          </w:rPr>
          <w:t>r</w:t>
        </w:r>
        <w:r>
          <w:rPr>
            <w:color w:val="231F20"/>
            <w:w w:val="84"/>
          </w:rPr>
          <w:t>li</w:t>
        </w:r>
        <w:r>
          <w:rPr>
            <w:color w:val="231F20"/>
            <w:w w:val="104"/>
          </w:rPr>
          <w:t>n</w:t>
        </w:r>
        <w:r>
          <w:rPr>
            <w:color w:val="231F20"/>
            <w:w w:val="94"/>
          </w:rPr>
          <w:t>k.</w:t>
        </w:r>
        <w:r>
          <w:rPr>
            <w:color w:val="231F20"/>
            <w:w w:val="96"/>
          </w:rPr>
          <w:t>c</w:t>
        </w:r>
        <w:r>
          <w:rPr>
            <w:color w:val="231F20"/>
            <w:w w:val="104"/>
          </w:rPr>
          <w:t>o</w:t>
        </w:r>
        <w:r>
          <w:rPr>
            <w:color w:val="231F20"/>
            <w:w w:val="101"/>
          </w:rPr>
          <w:t>m</w:t>
        </w:r>
        <w:r>
          <w:rPr>
            <w:color w:val="231F20"/>
            <w:w w:val="185"/>
          </w:rPr>
          <w:t>/</w:t>
        </w:r>
        <w:r>
          <w:rPr>
            <w:color w:val="231F20"/>
            <w:w w:val="96"/>
          </w:rPr>
          <w:t>c</w:t>
        </w:r>
        <w:r>
          <w:rPr>
            <w:color w:val="231F20"/>
            <w:w w:val="104"/>
          </w:rPr>
          <w:t>on</w:t>
        </w:r>
        <w:r>
          <w:rPr>
            <w:color w:val="231F20"/>
            <w:w w:val="107"/>
          </w:rPr>
          <w:t>t</w:t>
        </w:r>
        <w:r>
          <w:rPr>
            <w:color w:val="231F20"/>
            <w:w w:val="96"/>
          </w:rPr>
          <w:t>e</w:t>
        </w:r>
        <w:r>
          <w:rPr>
            <w:color w:val="231F20"/>
            <w:w w:val="104"/>
          </w:rPr>
          <w:t>n</w:t>
        </w:r>
        <w:r>
          <w:rPr>
            <w:color w:val="231F20"/>
            <w:w w:val="107"/>
          </w:rPr>
          <w:t>t</w:t>
        </w:r>
        <w:r>
          <w:rPr>
            <w:color w:val="231F20"/>
            <w:w w:val="185"/>
          </w:rPr>
          <w:t>/</w:t>
        </w:r>
        <w:r>
          <w:rPr>
            <w:color w:val="231F20"/>
            <w:w w:val="104"/>
          </w:rPr>
          <w:t>p</w:t>
        </w:r>
        <w:r>
          <w:rPr>
            <w:color w:val="231F20"/>
            <w:w w:val="100"/>
          </w:rPr>
          <w:t>q2t</w:t>
        </w:r>
        <w:r>
          <w:rPr>
            <w:color w:val="231F20"/>
            <w:w w:val="96"/>
          </w:rPr>
          <w:t>570746167765</w:t>
        </w:r>
      </w:hyperlink>
    </w:p>
    <w:p>
      <w:pPr>
        <w:pStyle w:val="BodyText"/>
        <w:spacing w:line="238" w:lineRule="exact"/>
        <w:ind w:left="821"/>
      </w:pPr>
      <w:r>
        <w:rPr>
          <w:color w:val="231F20"/>
          <w:w w:val="185"/>
        </w:rPr>
        <w:t>/</w:t>
      </w:r>
    </w:p>
    <w:p>
      <w:pPr>
        <w:pStyle w:val="BodyText"/>
        <w:spacing w:line="244" w:lineRule="auto" w:before="8"/>
        <w:ind w:left="821" w:hanging="720"/>
      </w:pPr>
      <w:r>
        <w:rPr>
          <w:color w:val="231F20"/>
        </w:rPr>
        <w:t>Ríos, Bernabé. (2006.). Una experiencia en la enseñanza médica innovadora. El caso de la Facultad de Medicina de la Universidad Autónoma de Nayarit. (Tesis de doctorado)</w:t>
      </w:r>
      <w:r>
        <w:rPr>
          <w:i/>
          <w:color w:val="231F20"/>
        </w:rPr>
        <w:t>. </w:t>
      </w:r>
      <w:r>
        <w:rPr>
          <w:color w:val="231F20"/>
        </w:rPr>
        <w:t>Universidad Autónoma de Aguascalientes. Aguascalientes..</w:t>
      </w:r>
    </w:p>
    <w:p>
      <w:pPr>
        <w:pStyle w:val="BodyText"/>
        <w:spacing w:line="244" w:lineRule="auto" w:before="3"/>
        <w:ind w:left="821" w:right="132" w:hanging="721"/>
      </w:pPr>
      <w:r>
        <w:rPr>
          <w:color w:val="231F20"/>
        </w:rPr>
        <w:t>Sanmartín-Esplugues, José. (2007).¿Qué es violencia? Una aproximación al concepto y a la clasificación de la violencia. </w:t>
      </w:r>
      <w:r>
        <w:rPr>
          <w:i/>
          <w:color w:val="231F20"/>
        </w:rPr>
        <w:t>Revista de Filosofía</w:t>
      </w:r>
      <w:r>
        <w:rPr>
          <w:color w:val="231F20"/>
        </w:rPr>
        <w:t>, (42). Obtenido de </w:t>
      </w:r>
      <w:hyperlink r:id="rId514">
        <w:r>
          <w:rPr>
            <w:color w:val="231F20"/>
            <w:w w:val="104"/>
          </w:rPr>
          <w:t>h</w:t>
        </w:r>
        <w:r>
          <w:rPr>
            <w:color w:val="231F20"/>
            <w:w w:val="107"/>
          </w:rPr>
          <w:t>tt</w:t>
        </w:r>
        <w:r>
          <w:rPr>
            <w:color w:val="231F20"/>
            <w:w w:val="104"/>
          </w:rPr>
          <w:t>p</w:t>
        </w:r>
        <w:r>
          <w:rPr>
            <w:color w:val="231F20"/>
            <w:w w:val="80"/>
          </w:rPr>
          <w:t>:</w:t>
        </w:r>
        <w:r>
          <w:rPr>
            <w:color w:val="231F20"/>
            <w:w w:val="185"/>
          </w:rPr>
          <w:t>//</w:t>
        </w:r>
        <w:r>
          <w:rPr>
            <w:color w:val="231F20"/>
            <w:w w:val="103"/>
          </w:rPr>
          <w:t>r</w:t>
        </w:r>
        <w:r>
          <w:rPr>
            <w:color w:val="231F20"/>
            <w:w w:val="96"/>
          </w:rPr>
          <w:t>e</w:t>
        </w:r>
        <w:r>
          <w:rPr>
            <w:color w:val="231F20"/>
            <w:w w:val="92"/>
          </w:rPr>
          <w:t>vi</w:t>
        </w:r>
        <w:r>
          <w:rPr>
            <w:color w:val="231F20"/>
            <w:w w:val="96"/>
          </w:rPr>
          <w:t>s</w:t>
        </w:r>
        <w:r>
          <w:rPr>
            <w:color w:val="231F20"/>
            <w:w w:val="107"/>
          </w:rPr>
          <w:t>t</w:t>
        </w:r>
        <w:r>
          <w:rPr>
            <w:color w:val="231F20"/>
            <w:w w:val="94"/>
          </w:rPr>
          <w:t>a</w:t>
        </w:r>
        <w:r>
          <w:rPr>
            <w:color w:val="231F20"/>
            <w:w w:val="96"/>
          </w:rPr>
          <w:t>s</w:t>
        </w:r>
        <w:r>
          <w:rPr>
            <w:color w:val="231F20"/>
            <w:w w:val="90"/>
          </w:rPr>
          <w:t>.</w:t>
        </w:r>
        <w:r>
          <w:rPr>
            <w:color w:val="231F20"/>
            <w:w w:val="101"/>
          </w:rPr>
          <w:t>um</w:t>
        </w:r>
        <w:r>
          <w:rPr>
            <w:color w:val="231F20"/>
            <w:w w:val="90"/>
          </w:rPr>
          <w:t>.</w:t>
        </w:r>
        <w:r>
          <w:rPr>
            <w:color w:val="231F20"/>
            <w:w w:val="96"/>
          </w:rPr>
          <w:t>e</w:t>
        </w:r>
        <w:r>
          <w:rPr>
            <w:color w:val="231F20"/>
            <w:w w:val="96"/>
          </w:rPr>
          <w:t>s</w:t>
        </w:r>
        <w:r>
          <w:rPr>
            <w:color w:val="231F20"/>
            <w:w w:val="185"/>
          </w:rPr>
          <w:t>/</w:t>
        </w:r>
        <w:r>
          <w:rPr>
            <w:color w:val="231F20"/>
            <w:w w:val="84"/>
          </w:rPr>
          <w:t>i</w:t>
        </w:r>
        <w:r>
          <w:rPr>
            <w:color w:val="231F20"/>
            <w:w w:val="104"/>
          </w:rPr>
          <w:t>n</w:t>
        </w:r>
        <w:r>
          <w:rPr>
            <w:color w:val="231F20"/>
            <w:w w:val="102"/>
          </w:rPr>
          <w:t>d</w:t>
        </w:r>
        <w:r>
          <w:rPr>
            <w:color w:val="231F20"/>
            <w:w w:val="96"/>
          </w:rPr>
          <w:t>e</w:t>
        </w:r>
        <w:r>
          <w:rPr>
            <w:color w:val="231F20"/>
            <w:w w:val="92"/>
          </w:rPr>
          <w:t>x.</w:t>
        </w:r>
        <w:r>
          <w:rPr>
            <w:color w:val="231F20"/>
            <w:w w:val="104"/>
          </w:rPr>
          <w:t>php</w:t>
        </w:r>
        <w:r>
          <w:rPr>
            <w:color w:val="231F20"/>
            <w:w w:val="185"/>
          </w:rPr>
          <w:t>/</w:t>
        </w:r>
        <w:r>
          <w:rPr>
            <w:color w:val="231F20"/>
            <w:w w:val="102"/>
          </w:rPr>
          <w:t>d</w:t>
        </w:r>
        <w:r>
          <w:rPr>
            <w:color w:val="231F20"/>
            <w:w w:val="94"/>
          </w:rPr>
          <w:t>a</w:t>
        </w:r>
        <w:r>
          <w:rPr>
            <w:color w:val="231F20"/>
            <w:w w:val="84"/>
          </w:rPr>
          <w:t>i</w:t>
        </w:r>
        <w:r>
          <w:rPr>
            <w:color w:val="231F20"/>
            <w:w w:val="101"/>
          </w:rPr>
          <w:t>m</w:t>
        </w:r>
        <w:r>
          <w:rPr>
            <w:color w:val="231F20"/>
            <w:w w:val="104"/>
          </w:rPr>
          <w:t>on</w:t>
        </w:r>
        <w:r>
          <w:rPr>
            <w:color w:val="231F20"/>
            <w:w w:val="185"/>
          </w:rPr>
          <w:t>/</w:t>
        </w:r>
        <w:r>
          <w:rPr>
            <w:color w:val="231F20"/>
            <w:w w:val="94"/>
          </w:rPr>
          <w:t>a</w:t>
        </w:r>
        <w:r>
          <w:rPr>
            <w:color w:val="231F20"/>
            <w:w w:val="103"/>
          </w:rPr>
          <w:t>r</w:t>
        </w:r>
        <w:r>
          <w:rPr>
            <w:color w:val="231F20"/>
            <w:w w:val="107"/>
          </w:rPr>
          <w:t>t</w:t>
        </w:r>
        <w:r>
          <w:rPr>
            <w:color w:val="231F20"/>
            <w:w w:val="84"/>
          </w:rPr>
          <w:t>i</w:t>
        </w:r>
        <w:r>
          <w:rPr>
            <w:color w:val="231F20"/>
            <w:w w:val="96"/>
          </w:rPr>
          <w:t>c</w:t>
        </w:r>
        <w:r>
          <w:rPr>
            <w:color w:val="231F20"/>
            <w:w w:val="84"/>
          </w:rPr>
          <w:t>l</w:t>
        </w:r>
        <w:r>
          <w:rPr>
            <w:color w:val="231F20"/>
            <w:w w:val="96"/>
          </w:rPr>
          <w:t>e</w:t>
        </w:r>
        <w:r>
          <w:rPr>
            <w:color w:val="231F20"/>
            <w:w w:val="185"/>
          </w:rPr>
          <w:t>/</w:t>
        </w:r>
        <w:r>
          <w:rPr>
            <w:color w:val="231F20"/>
            <w:w w:val="92"/>
          </w:rPr>
          <w:t>vi</w:t>
        </w:r>
        <w:r>
          <w:rPr>
            <w:color w:val="231F20"/>
            <w:w w:val="96"/>
          </w:rPr>
          <w:t>e</w:t>
        </w:r>
        <w:r>
          <w:rPr>
            <w:color w:val="231F20"/>
            <w:w w:val="94"/>
          </w:rPr>
          <w:t>w</w:t>
        </w:r>
        <w:r>
          <w:rPr>
            <w:color w:val="231F20"/>
            <w:w w:val="185"/>
          </w:rPr>
          <w:t>/</w:t>
        </w:r>
        <w:r>
          <w:rPr>
            <w:color w:val="231F20"/>
            <w:w w:val="96"/>
          </w:rPr>
          <w:t>958</w:t>
        </w:r>
      </w:hyperlink>
      <w:r>
        <w:rPr>
          <w:color w:val="231F20"/>
          <w:w w:val="96"/>
        </w:rPr>
        <w:t> </w:t>
      </w:r>
      <w:r>
        <w:rPr>
          <w:color w:val="231F20"/>
        </w:rPr>
        <w:t>81/92151</w:t>
      </w:r>
    </w:p>
    <w:p>
      <w:pPr>
        <w:pStyle w:val="BodyText"/>
        <w:spacing w:line="244" w:lineRule="auto" w:before="3"/>
        <w:ind w:left="822" w:right="41" w:hanging="720"/>
      </w:pPr>
      <w:r>
        <w:rPr>
          <w:color w:val="231F20"/>
        </w:rPr>
        <w:t>Silver, Henry. (1982). Medical Students and Medical School. JAMA, </w:t>
      </w:r>
      <w:r>
        <w:rPr>
          <w:color w:val="231F20"/>
          <w:w w:val="96"/>
        </w:rPr>
        <w:t>247</w:t>
      </w:r>
      <w:r>
        <w:rPr>
          <w:color w:val="231F20"/>
          <w:w w:val="90"/>
        </w:rPr>
        <w:t>(</w:t>
      </w:r>
      <w:r>
        <w:rPr>
          <w:color w:val="231F20"/>
          <w:w w:val="96"/>
        </w:rPr>
        <w:t>3</w:t>
      </w:r>
      <w:r>
        <w:rPr>
          <w:color w:val="231F20"/>
          <w:w w:val="90"/>
        </w:rPr>
        <w:t>)</w:t>
      </w:r>
      <w:r>
        <w:rPr>
          <w:color w:val="231F20"/>
        </w:rPr>
        <w:t> </w:t>
      </w:r>
      <w:r>
        <w:rPr>
          <w:color w:val="231F20"/>
          <w:w w:val="111"/>
        </w:rPr>
        <w:t>O</w:t>
      </w:r>
      <w:r>
        <w:rPr>
          <w:color w:val="231F20"/>
          <w:w w:val="104"/>
        </w:rPr>
        <w:t>b</w:t>
      </w:r>
      <w:r>
        <w:rPr>
          <w:color w:val="231F20"/>
          <w:w w:val="107"/>
        </w:rPr>
        <w:t>t</w:t>
      </w:r>
      <w:r>
        <w:rPr>
          <w:color w:val="231F20"/>
          <w:w w:val="96"/>
        </w:rPr>
        <w:t>e</w:t>
      </w:r>
      <w:r>
        <w:rPr>
          <w:color w:val="231F20"/>
          <w:w w:val="104"/>
        </w:rPr>
        <w:t>n</w:t>
      </w:r>
      <w:r>
        <w:rPr>
          <w:color w:val="231F20"/>
          <w:w w:val="84"/>
        </w:rPr>
        <w:t>i</w:t>
      </w:r>
      <w:r>
        <w:rPr>
          <w:color w:val="231F20"/>
          <w:w w:val="102"/>
        </w:rPr>
        <w:t>d</w:t>
      </w:r>
      <w:r>
        <w:rPr>
          <w:color w:val="231F20"/>
          <w:w w:val="104"/>
        </w:rPr>
        <w:t>o</w:t>
      </w:r>
      <w:r>
        <w:rPr>
          <w:color w:val="231F20"/>
        </w:rPr>
        <w:t> </w:t>
      </w:r>
      <w:r>
        <w:rPr>
          <w:color w:val="231F20"/>
          <w:w w:val="102"/>
        </w:rPr>
        <w:t>d</w:t>
      </w:r>
      <w:r>
        <w:rPr>
          <w:color w:val="231F20"/>
          <w:w w:val="96"/>
        </w:rPr>
        <w:t>e</w:t>
      </w:r>
      <w:r>
        <w:rPr>
          <w:color w:val="231F20"/>
        </w:rPr>
        <w:t> </w:t>
      </w:r>
      <w:hyperlink r:id="rId515">
        <w:r>
          <w:rPr>
            <w:color w:val="231F20"/>
            <w:w w:val="104"/>
          </w:rPr>
          <w:t>h</w:t>
        </w:r>
        <w:r>
          <w:rPr>
            <w:color w:val="231F20"/>
            <w:w w:val="107"/>
          </w:rPr>
          <w:t>tt</w:t>
        </w:r>
        <w:r>
          <w:rPr>
            <w:color w:val="231F20"/>
            <w:w w:val="104"/>
          </w:rPr>
          <w:t>p</w:t>
        </w:r>
        <w:r>
          <w:rPr>
            <w:color w:val="231F20"/>
            <w:w w:val="80"/>
          </w:rPr>
          <w:t>:</w:t>
        </w:r>
        <w:r>
          <w:rPr>
            <w:color w:val="231F20"/>
            <w:w w:val="185"/>
          </w:rPr>
          <w:t>//</w:t>
        </w:r>
        <w:r>
          <w:rPr>
            <w:color w:val="231F20"/>
            <w:w w:val="84"/>
          </w:rPr>
          <w:t>j</w:t>
        </w:r>
        <w:r>
          <w:rPr>
            <w:color w:val="231F20"/>
            <w:w w:val="94"/>
          </w:rPr>
          <w:t>a</w:t>
        </w:r>
        <w:r>
          <w:rPr>
            <w:color w:val="231F20"/>
            <w:w w:val="101"/>
          </w:rPr>
          <w:t>m</w:t>
        </w:r>
        <w:r>
          <w:rPr>
            <w:color w:val="231F20"/>
            <w:w w:val="94"/>
          </w:rPr>
          <w:t>a</w:t>
        </w:r>
        <w:r>
          <w:rPr>
            <w:color w:val="231F20"/>
            <w:w w:val="89"/>
          </w:rPr>
          <w:t>.</w:t>
        </w:r>
        <w:r>
          <w:rPr>
            <w:color w:val="231F20"/>
            <w:w w:val="94"/>
          </w:rPr>
          <w:t>a</w:t>
        </w:r>
        <w:r>
          <w:rPr>
            <w:color w:val="231F20"/>
            <w:w w:val="101"/>
          </w:rPr>
          <w:t>m</w:t>
        </w:r>
        <w:r>
          <w:rPr>
            <w:color w:val="231F20"/>
            <w:w w:val="94"/>
          </w:rPr>
          <w:t>a</w:t>
        </w:r>
        <w:r>
          <w:rPr>
            <w:color w:val="231F20"/>
            <w:w w:val="96"/>
          </w:rPr>
          <w:t>-</w:t>
        </w:r>
      </w:hyperlink>
      <w:r>
        <w:rPr>
          <w:color w:val="231F20"/>
          <w:w w:val="96"/>
        </w:rPr>
        <w:t> </w:t>
      </w:r>
      <w:r>
        <w:rPr>
          <w:color w:val="231F20"/>
        </w:rPr>
        <w:t>assn.org/content/247/3/309.short</w:t>
      </w:r>
    </w:p>
    <w:p>
      <w:pPr>
        <w:pStyle w:val="BodyText"/>
        <w:spacing w:line="240" w:lineRule="exact"/>
        <w:ind w:left="102"/>
      </w:pPr>
      <w:r>
        <w:rPr>
          <w:color w:val="231F20"/>
        </w:rPr>
        <w:t>Silver, Henry, Duhl Glicken, Anita. (1990). Medical student abuse.</w:t>
      </w:r>
    </w:p>
    <w:p>
      <w:pPr>
        <w:pStyle w:val="BodyText"/>
        <w:spacing w:line="247" w:lineRule="auto" w:before="8"/>
        <w:ind w:left="822" w:right="94"/>
      </w:pPr>
      <w:r>
        <w:rPr>
          <w:color w:val="231F20"/>
        </w:rPr>
        <w:t>Incidence, severity and significance. JAMA, 263(4). Obtenido   de   jama.ama-assn.org/content/263/4/527</w:t>
      </w:r>
    </w:p>
    <w:p>
      <w:pPr>
        <w:pStyle w:val="BodyText"/>
        <w:spacing w:line="247" w:lineRule="auto"/>
        <w:ind w:left="821" w:right="94" w:hanging="720"/>
      </w:pPr>
      <w:r>
        <w:rPr>
          <w:color w:val="231F20"/>
        </w:rPr>
        <w:t>Straus, Murray A. (2004). Prevalence of Violence Against Dating Partners by Male and Female University Students Worldwide. Obtenido de </w:t>
      </w:r>
      <w:hyperlink r:id="rId516">
        <w:r>
          <w:rPr>
            <w:color w:val="231F20"/>
            <w:w w:val="104"/>
          </w:rPr>
          <w:t>h</w:t>
        </w:r>
        <w:r>
          <w:rPr>
            <w:color w:val="231F20"/>
            <w:w w:val="107"/>
          </w:rPr>
          <w:t>tt</w:t>
        </w:r>
        <w:r>
          <w:rPr>
            <w:color w:val="231F20"/>
            <w:w w:val="104"/>
          </w:rPr>
          <w:t>p</w:t>
        </w:r>
        <w:r>
          <w:rPr>
            <w:color w:val="231F20"/>
            <w:w w:val="80"/>
          </w:rPr>
          <w:t>:</w:t>
        </w:r>
        <w:r>
          <w:rPr>
            <w:color w:val="231F20"/>
            <w:w w:val="185"/>
          </w:rPr>
          <w:t>//</w:t>
        </w:r>
        <w:r>
          <w:rPr>
            <w:color w:val="231F20"/>
            <w:w w:val="92"/>
          </w:rPr>
          <w:t>g</w:t>
        </w:r>
        <w:r>
          <w:rPr>
            <w:color w:val="231F20"/>
            <w:w w:val="94"/>
          </w:rPr>
          <w:t>a</w:t>
        </w:r>
        <w:r>
          <w:rPr>
            <w:color w:val="231F20"/>
            <w:w w:val="98"/>
          </w:rPr>
          <w:t>us</w:t>
        </w:r>
        <w:r>
          <w:rPr>
            <w:color w:val="231F20"/>
            <w:w w:val="96"/>
          </w:rPr>
          <w:t>s</w:t>
        </w:r>
        <w:r>
          <w:rPr>
            <w:color w:val="231F20"/>
            <w:w w:val="90"/>
          </w:rPr>
          <w:t>.</w:t>
        </w:r>
        <w:r>
          <w:rPr>
            <w:color w:val="231F20"/>
            <w:w w:val="102"/>
          </w:rPr>
          <w:t>un</w:t>
        </w:r>
        <w:r>
          <w:rPr>
            <w:color w:val="231F20"/>
            <w:w w:val="104"/>
          </w:rPr>
          <w:t>h</w:t>
        </w:r>
        <w:r>
          <w:rPr>
            <w:color w:val="231F20"/>
            <w:w w:val="90"/>
          </w:rPr>
          <w:t>.</w:t>
        </w:r>
        <w:r>
          <w:rPr>
            <w:color w:val="231F20"/>
            <w:w w:val="96"/>
          </w:rPr>
          <w:t>e</w:t>
        </w:r>
        <w:r>
          <w:rPr>
            <w:color w:val="231F20"/>
            <w:w w:val="102"/>
          </w:rPr>
          <w:t>d</w:t>
        </w:r>
        <w:r>
          <w:rPr>
            <w:color w:val="231F20"/>
            <w:w w:val="130"/>
          </w:rPr>
          <w:t>u/</w:t>
        </w:r>
        <w:r>
          <w:rPr>
            <w:color w:val="231F20"/>
            <w:w w:val="126"/>
          </w:rPr>
          <w:t>~</w:t>
        </w:r>
        <w:r>
          <w:rPr>
            <w:color w:val="231F20"/>
            <w:w w:val="101"/>
          </w:rPr>
          <w:t>m</w:t>
        </w:r>
        <w:r>
          <w:rPr>
            <w:color w:val="231F20"/>
            <w:w w:val="94"/>
          </w:rPr>
          <w:t>a</w:t>
        </w:r>
        <w:r>
          <w:rPr>
            <w:color w:val="231F20"/>
            <w:w w:val="96"/>
          </w:rPr>
          <w:t>s</w:t>
        </w:r>
        <w:r>
          <w:rPr>
            <w:color w:val="231F20"/>
            <w:w w:val="128"/>
          </w:rPr>
          <w:t>2/</w:t>
        </w:r>
        <w:r>
          <w:rPr>
            <w:color w:val="231F20"/>
            <w:w w:val="109"/>
          </w:rPr>
          <w:t>I</w:t>
        </w:r>
        <w:r>
          <w:rPr>
            <w:color w:val="231F20"/>
            <w:w w:val="109"/>
          </w:rPr>
          <w:t>D</w:t>
        </w:r>
        <w:r>
          <w:rPr>
            <w:color w:val="231F20"/>
            <w:w w:val="95"/>
          </w:rPr>
          <w:t>16.</w:t>
        </w:r>
        <w:r>
          <w:rPr>
            <w:color w:val="231F20"/>
            <w:w w:val="104"/>
          </w:rPr>
          <w:t>p</w:t>
        </w:r>
        <w:r>
          <w:rPr>
            <w:color w:val="231F20"/>
            <w:w w:val="102"/>
          </w:rPr>
          <w:t>d</w:t>
        </w:r>
        <w:r>
          <w:rPr>
            <w:color w:val="231F20"/>
            <w:w w:val="99"/>
          </w:rPr>
          <w:t>f</w:t>
        </w:r>
      </w:hyperlink>
    </w:p>
    <w:p>
      <w:pPr>
        <w:pStyle w:val="BodyText"/>
        <w:spacing w:line="247" w:lineRule="auto"/>
        <w:ind w:left="821" w:hanging="720"/>
      </w:pPr>
      <w:r>
        <w:rPr>
          <w:color w:val="231F20"/>
        </w:rPr>
        <w:t>Unidad Académica de Ciencias Químico Biológicas. (s.f.). Historia. </w:t>
      </w:r>
      <w:r>
        <w:rPr>
          <w:color w:val="231F20"/>
          <w:w w:val="111"/>
        </w:rPr>
        <w:t>O</w:t>
      </w:r>
      <w:r>
        <w:rPr>
          <w:color w:val="231F20"/>
          <w:w w:val="104"/>
        </w:rPr>
        <w:t>b</w:t>
      </w:r>
      <w:r>
        <w:rPr>
          <w:color w:val="231F20"/>
          <w:w w:val="107"/>
        </w:rPr>
        <w:t>t</w:t>
      </w:r>
      <w:r>
        <w:rPr>
          <w:color w:val="231F20"/>
          <w:w w:val="96"/>
        </w:rPr>
        <w:t>e</w:t>
      </w:r>
      <w:r>
        <w:rPr>
          <w:color w:val="231F20"/>
          <w:w w:val="104"/>
        </w:rPr>
        <w:t>n</w:t>
      </w:r>
      <w:r>
        <w:rPr>
          <w:color w:val="231F20"/>
          <w:w w:val="84"/>
        </w:rPr>
        <w:t>i</w:t>
      </w:r>
      <w:r>
        <w:rPr>
          <w:color w:val="231F20"/>
          <w:w w:val="102"/>
        </w:rPr>
        <w:t>d</w:t>
      </w:r>
      <w:r>
        <w:rPr>
          <w:color w:val="231F20"/>
          <w:w w:val="104"/>
        </w:rPr>
        <w:t>o</w:t>
      </w:r>
      <w:r>
        <w:rPr>
          <w:color w:val="231F20"/>
        </w:rPr>
        <w:t> </w:t>
      </w:r>
      <w:r>
        <w:rPr>
          <w:color w:val="231F20"/>
          <w:w w:val="102"/>
        </w:rPr>
        <w:t>d</w:t>
      </w:r>
      <w:r>
        <w:rPr>
          <w:color w:val="231F20"/>
          <w:w w:val="96"/>
        </w:rPr>
        <w:t>e</w:t>
      </w:r>
      <w:r>
        <w:rPr>
          <w:color w:val="231F20"/>
        </w:rPr>
        <w:t> </w:t>
      </w:r>
      <w:hyperlink r:id="rId517">
        <w:r>
          <w:rPr>
            <w:color w:val="231F20"/>
            <w:w w:val="104"/>
          </w:rPr>
          <w:t>h</w:t>
        </w:r>
        <w:r>
          <w:rPr>
            <w:color w:val="231F20"/>
            <w:w w:val="107"/>
          </w:rPr>
          <w:t>tt</w:t>
        </w:r>
        <w:r>
          <w:rPr>
            <w:color w:val="231F20"/>
            <w:w w:val="104"/>
          </w:rPr>
          <w:t>p</w:t>
        </w:r>
        <w:r>
          <w:rPr>
            <w:color w:val="231F20"/>
            <w:w w:val="80"/>
          </w:rPr>
          <w:t>:</w:t>
        </w:r>
        <w:r>
          <w:rPr>
            <w:color w:val="231F20"/>
            <w:w w:val="185"/>
          </w:rPr>
          <w:t>//</w:t>
        </w:r>
        <w:r>
          <w:rPr>
            <w:color w:val="231F20"/>
            <w:w w:val="94"/>
          </w:rPr>
          <w:t>www</w:t>
        </w:r>
        <w:r>
          <w:rPr>
            <w:color w:val="231F20"/>
            <w:w w:val="90"/>
          </w:rPr>
          <w:t>.</w:t>
        </w:r>
        <w:r>
          <w:rPr>
            <w:color w:val="231F20"/>
            <w:w w:val="97"/>
          </w:rPr>
          <w:t>ua</w:t>
        </w:r>
        <w:r>
          <w:rPr>
            <w:color w:val="231F20"/>
            <w:w w:val="96"/>
          </w:rPr>
          <w:t>c</w:t>
        </w:r>
        <w:r>
          <w:rPr>
            <w:color w:val="231F20"/>
            <w:w w:val="102"/>
          </w:rPr>
          <w:t>qb</w:t>
        </w:r>
        <w:r>
          <w:rPr>
            <w:color w:val="231F20"/>
            <w:w w:val="99"/>
          </w:rPr>
          <w:t>f</w:t>
        </w:r>
        <w:r>
          <w:rPr>
            <w:color w:val="231F20"/>
            <w:w w:val="90"/>
          </w:rPr>
          <w:t>.</w:t>
        </w:r>
        <w:r>
          <w:rPr>
            <w:color w:val="231F20"/>
            <w:w w:val="97"/>
          </w:rPr>
          <w:t>ua</w:t>
        </w:r>
        <w:r>
          <w:rPr>
            <w:color w:val="231F20"/>
            <w:w w:val="104"/>
          </w:rPr>
          <w:t>n</w:t>
        </w:r>
        <w:r>
          <w:rPr>
            <w:color w:val="231F20"/>
            <w:w w:val="90"/>
          </w:rPr>
          <w:t>.</w:t>
        </w:r>
        <w:r>
          <w:rPr>
            <w:color w:val="231F20"/>
            <w:w w:val="101"/>
          </w:rPr>
          <w:t>m</w:t>
        </w:r>
        <w:r>
          <w:rPr>
            <w:color w:val="231F20"/>
            <w:w w:val="126"/>
          </w:rPr>
          <w:t>x/</w:t>
        </w:r>
        <w:r>
          <w:rPr>
            <w:color w:val="231F20"/>
            <w:w w:val="94"/>
          </w:rPr>
          <w:t>w</w:t>
        </w:r>
        <w:r>
          <w:rPr>
            <w:color w:val="231F20"/>
            <w:w w:val="96"/>
          </w:rPr>
          <w:t>e</w:t>
        </w:r>
        <w:r>
          <w:rPr>
            <w:color w:val="231F20"/>
            <w:w w:val="104"/>
          </w:rPr>
          <w:t>b</w:t>
        </w:r>
        <w:r>
          <w:rPr>
            <w:color w:val="231F20"/>
            <w:w w:val="185"/>
          </w:rPr>
          <w:t>/</w:t>
        </w:r>
        <w:r>
          <w:rPr>
            <w:color w:val="231F20"/>
            <w:w w:val="104"/>
          </w:rPr>
          <w:t>h</w:t>
        </w:r>
        <w:r>
          <w:rPr>
            <w:color w:val="231F20"/>
            <w:w w:val="84"/>
          </w:rPr>
          <w:t>i</w:t>
        </w:r>
        <w:r>
          <w:rPr>
            <w:color w:val="231F20"/>
            <w:w w:val="96"/>
          </w:rPr>
          <w:t>s</w:t>
        </w:r>
        <w:r>
          <w:rPr>
            <w:color w:val="231F20"/>
            <w:w w:val="107"/>
          </w:rPr>
          <w:t>t</w:t>
        </w:r>
        <w:r>
          <w:rPr>
            <w:color w:val="231F20"/>
            <w:w w:val="104"/>
          </w:rPr>
          <w:t>o</w:t>
        </w:r>
        <w:r>
          <w:rPr>
            <w:color w:val="231F20"/>
            <w:w w:val="103"/>
          </w:rPr>
          <w:t>r</w:t>
        </w:r>
        <w:r>
          <w:rPr>
            <w:color w:val="231F20"/>
            <w:w w:val="84"/>
          </w:rPr>
          <w:t>i</w:t>
        </w:r>
        <w:r>
          <w:rPr>
            <w:color w:val="231F20"/>
            <w:w w:val="94"/>
          </w:rPr>
          <w:t>a</w:t>
        </w:r>
        <w:r>
          <w:rPr>
            <w:color w:val="231F20"/>
            <w:w w:val="185"/>
          </w:rPr>
          <w:t>/</w:t>
        </w:r>
      </w:hyperlink>
    </w:p>
    <w:p>
      <w:pPr>
        <w:pStyle w:val="BodyText"/>
        <w:spacing w:line="238" w:lineRule="exact"/>
        <w:ind w:left="101" w:right="774"/>
      </w:pPr>
      <w:r>
        <w:rPr>
          <w:color w:val="231F20"/>
        </w:rPr>
        <w:t>Unidad Académica de Enfermería. (s.f.). Marco Histórico.</w:t>
      </w:r>
    </w:p>
    <w:p>
      <w:pPr>
        <w:pStyle w:val="BodyText"/>
        <w:spacing w:line="247" w:lineRule="auto" w:before="8"/>
        <w:ind w:left="821" w:right="774"/>
      </w:pPr>
      <w:r>
        <w:rPr>
          <w:color w:val="231F20"/>
        </w:rPr>
        <w:t>Obtenido de </w:t>
      </w:r>
      <w:hyperlink r:id="rId518">
        <w:r>
          <w:rPr>
            <w:color w:val="231F20"/>
            <w:w w:val="104"/>
          </w:rPr>
          <w:t>h</w:t>
        </w:r>
        <w:r>
          <w:rPr>
            <w:color w:val="231F20"/>
            <w:w w:val="107"/>
          </w:rPr>
          <w:t>tt</w:t>
        </w:r>
        <w:r>
          <w:rPr>
            <w:color w:val="231F20"/>
            <w:w w:val="104"/>
          </w:rPr>
          <w:t>p</w:t>
        </w:r>
        <w:r>
          <w:rPr>
            <w:color w:val="231F20"/>
            <w:w w:val="133"/>
          </w:rPr>
          <w:t>:/</w:t>
        </w:r>
        <w:r>
          <w:rPr>
            <w:color w:val="231F20"/>
            <w:w w:val="185"/>
          </w:rPr>
          <w:t>/</w:t>
        </w:r>
        <w:r>
          <w:rPr>
            <w:color w:val="231F20"/>
            <w:w w:val="94"/>
          </w:rPr>
          <w:t>www</w:t>
        </w:r>
        <w:r>
          <w:rPr>
            <w:color w:val="231F20"/>
            <w:w w:val="94"/>
          </w:rPr>
          <w:t>.e</w:t>
        </w:r>
        <w:r>
          <w:rPr>
            <w:color w:val="231F20"/>
            <w:w w:val="104"/>
          </w:rPr>
          <w:t>n</w:t>
        </w:r>
        <w:r>
          <w:rPr>
            <w:color w:val="231F20"/>
            <w:w w:val="99"/>
          </w:rPr>
          <w:t>f</w:t>
        </w:r>
        <w:r>
          <w:rPr>
            <w:color w:val="231F20"/>
            <w:w w:val="96"/>
          </w:rPr>
          <w:t>e</w:t>
        </w:r>
        <w:r>
          <w:rPr>
            <w:color w:val="231F20"/>
            <w:w w:val="103"/>
          </w:rPr>
          <w:t>r</w:t>
        </w:r>
        <w:r>
          <w:rPr>
            <w:color w:val="231F20"/>
            <w:w w:val="101"/>
          </w:rPr>
          <w:t>m</w:t>
        </w:r>
        <w:r>
          <w:rPr>
            <w:color w:val="231F20"/>
            <w:w w:val="96"/>
          </w:rPr>
          <w:t>e</w:t>
        </w:r>
        <w:r>
          <w:rPr>
            <w:color w:val="231F20"/>
            <w:w w:val="103"/>
          </w:rPr>
          <w:t>r</w:t>
        </w:r>
        <w:r>
          <w:rPr>
            <w:color w:val="231F20"/>
            <w:w w:val="90"/>
          </w:rPr>
          <w:t>ia</w:t>
        </w:r>
        <w:r>
          <w:rPr>
            <w:color w:val="231F20"/>
            <w:w w:val="97"/>
          </w:rPr>
          <w:t>.u</w:t>
        </w:r>
        <w:r>
          <w:rPr>
            <w:color w:val="231F20"/>
            <w:w w:val="94"/>
          </w:rPr>
          <w:t>a</w:t>
        </w:r>
        <w:r>
          <w:rPr>
            <w:color w:val="231F20"/>
            <w:w w:val="104"/>
          </w:rPr>
          <w:t>n</w:t>
        </w:r>
        <w:r>
          <w:rPr>
            <w:color w:val="231F20"/>
            <w:w w:val="94"/>
          </w:rPr>
          <w:t>.e</w:t>
        </w:r>
        <w:r>
          <w:rPr>
            <w:color w:val="231F20"/>
            <w:w w:val="102"/>
          </w:rPr>
          <w:t>d</w:t>
        </w:r>
        <w:r>
          <w:rPr>
            <w:color w:val="231F20"/>
            <w:w w:val="100"/>
          </w:rPr>
          <w:t>u</w:t>
        </w:r>
        <w:r>
          <w:rPr>
            <w:color w:val="231F20"/>
            <w:w w:val="99"/>
          </w:rPr>
          <w:t>.m</w:t>
        </w:r>
        <w:r>
          <w:rPr>
            <w:color w:val="231F20"/>
            <w:w w:val="94"/>
          </w:rPr>
          <w:t>x</w:t>
        </w:r>
        <w:r>
          <w:rPr>
            <w:color w:val="231F20"/>
            <w:w w:val="185"/>
          </w:rPr>
          <w:t>/</w:t>
        </w:r>
        <w:r>
          <w:rPr>
            <w:color w:val="231F20"/>
            <w:w w:val="104"/>
          </w:rPr>
          <w:t>h</w:t>
        </w:r>
        <w:r>
          <w:rPr>
            <w:color w:val="231F20"/>
            <w:w w:val="91"/>
          </w:rPr>
          <w:t>is</w:t>
        </w:r>
        <w:r>
          <w:rPr>
            <w:color w:val="231F20"/>
            <w:w w:val="107"/>
          </w:rPr>
          <w:t>t</w:t>
        </w:r>
        <w:r>
          <w:rPr>
            <w:color w:val="231F20"/>
            <w:w w:val="104"/>
          </w:rPr>
          <w:t>o</w:t>
        </w:r>
        <w:r>
          <w:rPr>
            <w:color w:val="231F20"/>
            <w:w w:val="103"/>
          </w:rPr>
          <w:t>r</w:t>
        </w:r>
        <w:r>
          <w:rPr>
            <w:color w:val="231F20"/>
            <w:w w:val="90"/>
          </w:rPr>
          <w:t>ia</w:t>
        </w:r>
        <w:r>
          <w:rPr>
            <w:color w:val="231F20"/>
            <w:w w:val="99"/>
          </w:rPr>
          <w:t>.h</w:t>
        </w:r>
        <w:r>
          <w:rPr>
            <w:color w:val="231F20"/>
            <w:w w:val="107"/>
          </w:rPr>
          <w:t>t</w:t>
        </w:r>
        <w:r>
          <w:rPr>
            <w:color w:val="231F20"/>
            <w:w w:val="101"/>
          </w:rPr>
          <w:t>m</w:t>
        </w:r>
      </w:hyperlink>
    </w:p>
    <w:p>
      <w:pPr>
        <w:pStyle w:val="BodyText"/>
        <w:spacing w:line="247" w:lineRule="auto"/>
        <w:ind w:left="821" w:hanging="720"/>
      </w:pPr>
      <w:r>
        <w:rPr>
          <w:color w:val="231F20"/>
        </w:rPr>
        <w:t>Unidad Académica de Medicina. (s.f.). Historia. Obtenido de: </w:t>
      </w:r>
      <w:r>
        <w:rPr>
          <w:color w:val="231F20"/>
          <w:spacing w:val="-2"/>
          <w:w w:val="104"/>
        </w:rPr>
        <w:t>h</w:t>
      </w:r>
      <w:r>
        <w:rPr>
          <w:color w:val="231F20"/>
          <w:spacing w:val="-3"/>
          <w:w w:val="107"/>
        </w:rPr>
        <w:t>tt</w:t>
      </w:r>
      <w:r>
        <w:rPr>
          <w:color w:val="231F20"/>
          <w:spacing w:val="-2"/>
          <w:w w:val="104"/>
        </w:rPr>
        <w:t>p</w:t>
      </w:r>
      <w:r>
        <w:rPr>
          <w:color w:val="231F20"/>
          <w:spacing w:val="-4"/>
          <w:w w:val="133"/>
        </w:rPr>
        <w:t>:</w:t>
      </w:r>
      <w:r>
        <w:rPr>
          <w:color w:val="231F20"/>
          <w:spacing w:val="-3"/>
          <w:w w:val="133"/>
        </w:rPr>
        <w:t>/</w:t>
      </w:r>
      <w:r>
        <w:rPr>
          <w:color w:val="231F20"/>
          <w:spacing w:val="-3"/>
          <w:w w:val="185"/>
        </w:rPr>
        <w:t>/</w:t>
      </w:r>
      <w:r>
        <w:rPr>
          <w:color w:val="231F20"/>
          <w:spacing w:val="-2"/>
          <w:w w:val="94"/>
        </w:rPr>
        <w:t>www</w:t>
      </w:r>
      <w:r>
        <w:rPr>
          <w:color w:val="231F20"/>
          <w:spacing w:val="-4"/>
          <w:w w:val="99"/>
        </w:rPr>
        <w:t>.</w:t>
      </w:r>
      <w:r>
        <w:rPr>
          <w:color w:val="231F20"/>
          <w:spacing w:val="-1"/>
          <w:w w:val="99"/>
        </w:rPr>
        <w:t>m</w:t>
      </w:r>
      <w:r>
        <w:rPr>
          <w:color w:val="231F20"/>
          <w:spacing w:val="-3"/>
          <w:w w:val="96"/>
        </w:rPr>
        <w:t>e</w:t>
      </w:r>
      <w:r>
        <w:rPr>
          <w:color w:val="231F20"/>
          <w:spacing w:val="-3"/>
          <w:w w:val="102"/>
        </w:rPr>
        <w:t>d</w:t>
      </w:r>
      <w:r>
        <w:rPr>
          <w:color w:val="231F20"/>
          <w:spacing w:val="-4"/>
          <w:w w:val="92"/>
        </w:rPr>
        <w:t>i</w:t>
      </w:r>
      <w:r>
        <w:rPr>
          <w:color w:val="231F20"/>
          <w:spacing w:val="-3"/>
          <w:w w:val="92"/>
        </w:rPr>
        <w:t>c</w:t>
      </w:r>
      <w:r>
        <w:rPr>
          <w:color w:val="231F20"/>
          <w:spacing w:val="-4"/>
          <w:w w:val="97"/>
        </w:rPr>
        <w:t>i</w:t>
      </w:r>
      <w:r>
        <w:rPr>
          <w:color w:val="231F20"/>
          <w:spacing w:val="-2"/>
          <w:w w:val="97"/>
        </w:rPr>
        <w:t>n</w:t>
      </w:r>
      <w:r>
        <w:rPr>
          <w:color w:val="231F20"/>
          <w:spacing w:val="-3"/>
          <w:w w:val="94"/>
        </w:rPr>
        <w:t>a</w:t>
      </w:r>
      <w:r>
        <w:rPr>
          <w:color w:val="231F20"/>
          <w:spacing w:val="-4"/>
          <w:w w:val="97"/>
        </w:rPr>
        <w:t>.</w:t>
      </w:r>
      <w:r>
        <w:rPr>
          <w:color w:val="231F20"/>
          <w:spacing w:val="-3"/>
          <w:w w:val="97"/>
        </w:rPr>
        <w:t>u</w:t>
      </w:r>
      <w:r>
        <w:rPr>
          <w:color w:val="231F20"/>
          <w:spacing w:val="-3"/>
          <w:w w:val="94"/>
        </w:rPr>
        <w:t>a</w:t>
      </w:r>
      <w:r>
        <w:rPr>
          <w:color w:val="231F20"/>
          <w:spacing w:val="-2"/>
          <w:w w:val="104"/>
        </w:rPr>
        <w:t>n</w:t>
      </w:r>
      <w:r>
        <w:rPr>
          <w:color w:val="231F20"/>
          <w:spacing w:val="-4"/>
          <w:w w:val="94"/>
        </w:rPr>
        <w:t>.</w:t>
      </w:r>
      <w:r>
        <w:rPr>
          <w:color w:val="231F20"/>
          <w:spacing w:val="-3"/>
          <w:w w:val="94"/>
        </w:rPr>
        <w:t>e</w:t>
      </w:r>
      <w:r>
        <w:rPr>
          <w:color w:val="231F20"/>
          <w:spacing w:val="-3"/>
          <w:w w:val="102"/>
        </w:rPr>
        <w:t>d</w:t>
      </w:r>
      <w:r>
        <w:rPr>
          <w:color w:val="231F20"/>
          <w:spacing w:val="-3"/>
          <w:w w:val="100"/>
        </w:rPr>
        <w:t>u</w:t>
      </w:r>
      <w:r>
        <w:rPr>
          <w:color w:val="231F20"/>
          <w:spacing w:val="-4"/>
          <w:w w:val="99"/>
        </w:rPr>
        <w:t>.</w:t>
      </w:r>
      <w:r>
        <w:rPr>
          <w:color w:val="231F20"/>
          <w:spacing w:val="-1"/>
          <w:w w:val="99"/>
        </w:rPr>
        <w:t>m</w:t>
      </w:r>
      <w:r>
        <w:rPr>
          <w:color w:val="231F20"/>
          <w:spacing w:val="-3"/>
          <w:w w:val="94"/>
        </w:rPr>
        <w:t>x</w:t>
      </w:r>
      <w:r>
        <w:rPr>
          <w:color w:val="231F20"/>
          <w:spacing w:val="-3"/>
          <w:w w:val="185"/>
        </w:rPr>
        <w:t>/</w:t>
      </w:r>
      <w:r>
        <w:rPr>
          <w:color w:val="231F20"/>
          <w:spacing w:val="-4"/>
          <w:w w:val="97"/>
        </w:rPr>
        <w:t>i</w:t>
      </w:r>
      <w:r>
        <w:rPr>
          <w:color w:val="231F20"/>
          <w:spacing w:val="-2"/>
          <w:w w:val="97"/>
        </w:rPr>
        <w:t>n</w:t>
      </w:r>
      <w:r>
        <w:rPr>
          <w:color w:val="231F20"/>
          <w:spacing w:val="-3"/>
          <w:w w:val="102"/>
        </w:rPr>
        <w:t>d</w:t>
      </w:r>
      <w:r>
        <w:rPr>
          <w:color w:val="231F20"/>
          <w:spacing w:val="-3"/>
          <w:w w:val="96"/>
        </w:rPr>
        <w:t>e</w:t>
      </w:r>
      <w:r>
        <w:rPr>
          <w:color w:val="231F20"/>
          <w:spacing w:val="-3"/>
          <w:w w:val="94"/>
        </w:rPr>
        <w:t>x</w:t>
      </w:r>
      <w:r>
        <w:rPr>
          <w:color w:val="231F20"/>
          <w:spacing w:val="-4"/>
          <w:w w:val="99"/>
        </w:rPr>
        <w:t>.</w:t>
      </w:r>
      <w:r>
        <w:rPr>
          <w:color w:val="231F20"/>
          <w:spacing w:val="-2"/>
          <w:w w:val="99"/>
        </w:rPr>
        <w:t>p</w:t>
      </w:r>
      <w:r>
        <w:rPr>
          <w:color w:val="231F20"/>
          <w:spacing w:val="-2"/>
          <w:w w:val="104"/>
        </w:rPr>
        <w:t>hp</w:t>
      </w:r>
      <w:r>
        <w:rPr>
          <w:color w:val="231F20"/>
          <w:spacing w:val="-3"/>
          <w:w w:val="84"/>
        </w:rPr>
        <w:t>?</w:t>
      </w:r>
      <w:r>
        <w:rPr>
          <w:color w:val="231F20"/>
          <w:spacing w:val="-3"/>
          <w:w w:val="96"/>
        </w:rPr>
        <w:t>c</w:t>
      </w:r>
      <w:r>
        <w:rPr>
          <w:color w:val="231F20"/>
          <w:spacing w:val="-2"/>
          <w:w w:val="121"/>
        </w:rPr>
        <w:t>=</w:t>
      </w:r>
      <w:r>
        <w:rPr>
          <w:color w:val="231F20"/>
          <w:spacing w:val="-4"/>
          <w:w w:val="97"/>
        </w:rPr>
        <w:t>i</w:t>
      </w:r>
      <w:r>
        <w:rPr>
          <w:color w:val="231F20"/>
          <w:spacing w:val="-2"/>
          <w:w w:val="97"/>
        </w:rPr>
        <w:t>n</w:t>
      </w:r>
      <w:r>
        <w:rPr>
          <w:color w:val="231F20"/>
          <w:spacing w:val="-3"/>
          <w:w w:val="96"/>
        </w:rPr>
        <w:t>s</w:t>
      </w:r>
      <w:r>
        <w:rPr>
          <w:color w:val="231F20"/>
          <w:spacing w:val="-3"/>
          <w:w w:val="107"/>
        </w:rPr>
        <w:t>t</w:t>
      </w:r>
      <w:r>
        <w:rPr>
          <w:color w:val="231F20"/>
          <w:spacing w:val="-4"/>
          <w:w w:val="134"/>
        </w:rPr>
        <w:t>i</w:t>
      </w:r>
      <w:r>
        <w:rPr>
          <w:color w:val="231F20"/>
          <w:spacing w:val="-3"/>
          <w:w w:val="134"/>
        </w:rPr>
        <w:t>/</w:t>
      </w:r>
      <w:r>
        <w:rPr>
          <w:color w:val="231F20"/>
          <w:spacing w:val="-2"/>
          <w:w w:val="104"/>
        </w:rPr>
        <w:t>h</w:t>
      </w:r>
      <w:r>
        <w:rPr>
          <w:color w:val="231F20"/>
          <w:spacing w:val="-4"/>
          <w:w w:val="91"/>
        </w:rPr>
        <w:t>i</w:t>
      </w:r>
      <w:r>
        <w:rPr>
          <w:color w:val="231F20"/>
          <w:spacing w:val="-3"/>
          <w:w w:val="91"/>
        </w:rPr>
        <w:t>s</w:t>
      </w:r>
      <w:r>
        <w:rPr>
          <w:color w:val="231F20"/>
          <w:spacing w:val="-3"/>
          <w:w w:val="107"/>
        </w:rPr>
        <w:t>t</w:t>
      </w:r>
      <w:r>
        <w:rPr>
          <w:color w:val="231F20"/>
          <w:spacing w:val="-2"/>
          <w:w w:val="104"/>
        </w:rPr>
        <w:t>o</w:t>
      </w:r>
      <w:r>
        <w:rPr>
          <w:color w:val="231F20"/>
          <w:spacing w:val="-3"/>
          <w:w w:val="103"/>
        </w:rPr>
        <w:t>r</w:t>
      </w:r>
      <w:r>
        <w:rPr>
          <w:color w:val="231F20"/>
          <w:spacing w:val="-4"/>
          <w:w w:val="90"/>
        </w:rPr>
        <w:t>ia</w:t>
      </w:r>
    </w:p>
    <w:p>
      <w:pPr>
        <w:pStyle w:val="BodyText"/>
        <w:spacing w:line="247" w:lineRule="auto"/>
        <w:ind w:left="821" w:hanging="720"/>
      </w:pPr>
      <w:r>
        <w:rPr>
          <w:color w:val="231F20"/>
          <w:w w:val="105"/>
        </w:rPr>
        <w:t>Unidad Académica de Odontología. (s.f.). Historia. Obtenido de </w:t>
      </w:r>
      <w:hyperlink r:id="rId519">
        <w:r>
          <w:rPr>
            <w:color w:val="231F20"/>
            <w:w w:val="106"/>
          </w:rPr>
          <w:t>ht</w:t>
        </w:r>
        <w:r>
          <w:rPr>
            <w:color w:val="231F20"/>
            <w:w w:val="107"/>
          </w:rPr>
          <w:t>t</w:t>
        </w:r>
        <w:r>
          <w:rPr>
            <w:color w:val="231F20"/>
            <w:w w:val="96"/>
          </w:rPr>
          <w:t>p:</w:t>
        </w:r>
        <w:r>
          <w:rPr>
            <w:color w:val="231F20"/>
            <w:w w:val="134"/>
          </w:rPr>
          <w:t>//w</w:t>
        </w:r>
        <w:r>
          <w:rPr>
            <w:color w:val="231F20"/>
            <w:w w:val="94"/>
          </w:rPr>
          <w:t>ww</w:t>
        </w:r>
        <w:r>
          <w:rPr>
            <w:color w:val="231F20"/>
            <w:w w:val="89"/>
          </w:rPr>
          <w:t>.</w:t>
        </w:r>
        <w:r>
          <w:rPr>
            <w:color w:val="231F20"/>
            <w:w w:val="94"/>
          </w:rPr>
          <w:t>a</w:t>
        </w:r>
        <w:r>
          <w:rPr>
            <w:color w:val="231F20"/>
            <w:w w:val="100"/>
          </w:rPr>
          <w:t>u</w:t>
        </w:r>
        <w:r>
          <w:rPr>
            <w:color w:val="231F20"/>
            <w:w w:val="94"/>
          </w:rPr>
          <w:t>a</w:t>
        </w:r>
        <w:r>
          <w:rPr>
            <w:color w:val="231F20"/>
            <w:w w:val="99"/>
          </w:rPr>
          <w:t>n.</w:t>
        </w:r>
        <w:r>
          <w:rPr>
            <w:color w:val="231F20"/>
            <w:w w:val="96"/>
          </w:rPr>
          <w:t>e</w:t>
        </w:r>
        <w:r>
          <w:rPr>
            <w:color w:val="231F20"/>
            <w:w w:val="101"/>
          </w:rPr>
          <w:t>du</w:t>
        </w:r>
        <w:r>
          <w:rPr>
            <w:color w:val="231F20"/>
            <w:w w:val="89"/>
          </w:rPr>
          <w:t>.</w:t>
        </w:r>
        <w:r>
          <w:rPr>
            <w:color w:val="231F20"/>
            <w:w w:val="101"/>
          </w:rPr>
          <w:t>m</w:t>
        </w:r>
        <w:r>
          <w:rPr>
            <w:color w:val="231F20"/>
            <w:w w:val="94"/>
          </w:rPr>
          <w:t>x</w:t>
        </w:r>
        <w:r>
          <w:rPr>
            <w:color w:val="231F20"/>
            <w:w w:val="123"/>
          </w:rPr>
          <w:t>/of</w:t>
        </w:r>
        <w:r>
          <w:rPr>
            <w:color w:val="231F20"/>
            <w:w w:val="96"/>
          </w:rPr>
          <w:t>e</w:t>
        </w:r>
        <w:r>
          <w:rPr>
            <w:color w:val="231F20"/>
            <w:w w:val="103"/>
          </w:rPr>
          <w:t>r</w:t>
        </w:r>
        <w:r>
          <w:rPr>
            <w:color w:val="231F20"/>
            <w:w w:val="107"/>
          </w:rPr>
          <w:t>t</w:t>
        </w:r>
        <w:r>
          <w:rPr>
            <w:color w:val="231F20"/>
            <w:w w:val="94"/>
          </w:rPr>
          <w:t>a</w:t>
        </w:r>
        <w:r>
          <w:rPr>
            <w:color w:val="231F20"/>
            <w:w w:val="120"/>
          </w:rPr>
          <w:t>/hi</w:t>
        </w:r>
        <w:r>
          <w:rPr>
            <w:color w:val="231F20"/>
            <w:w w:val="96"/>
          </w:rPr>
          <w:t>s</w:t>
        </w:r>
        <w:r>
          <w:rPr>
            <w:color w:val="231F20"/>
            <w:w w:val="107"/>
          </w:rPr>
          <w:t>t</w:t>
        </w:r>
        <w:r>
          <w:rPr>
            <w:color w:val="231F20"/>
            <w:w w:val="104"/>
          </w:rPr>
          <w:t>or</w:t>
        </w:r>
        <w:r>
          <w:rPr>
            <w:color w:val="231F20"/>
            <w:w w:val="84"/>
          </w:rPr>
          <w:t>i</w:t>
        </w:r>
        <w:r>
          <w:rPr>
            <w:color w:val="231F20"/>
            <w:w w:val="94"/>
          </w:rPr>
          <w:t>a</w:t>
        </w:r>
        <w:r>
          <w:rPr>
            <w:color w:val="231F20"/>
            <w:w w:val="130"/>
          </w:rPr>
          <w:t>/u</w:t>
        </w:r>
        <w:r>
          <w:rPr>
            <w:color w:val="231F20"/>
            <w:w w:val="97"/>
          </w:rPr>
          <w:t>ni</w:t>
        </w:r>
        <w:r>
          <w:rPr>
            <w:color w:val="231F20"/>
            <w:w w:val="98"/>
          </w:rPr>
          <w:t>da</w:t>
        </w:r>
        <w:r>
          <w:rPr>
            <w:color w:val="231F20"/>
            <w:w w:val="117"/>
          </w:rPr>
          <w:t>d/U</w:t>
        </w:r>
        <w:r>
          <w:rPr>
            <w:color w:val="231F20"/>
            <w:w w:val="96"/>
          </w:rPr>
          <w:t>A</w:t>
        </w:r>
        <w:r>
          <w:rPr>
            <w:color w:val="231F20"/>
            <w:w w:val="111"/>
          </w:rPr>
          <w:t>O</w:t>
        </w:r>
        <w:r>
          <w:rPr>
            <w:color w:val="231F20"/>
            <w:w w:val="185"/>
          </w:rPr>
          <w:t>/</w:t>
        </w:r>
      </w:hyperlink>
    </w:p>
    <w:p>
      <w:pPr>
        <w:pStyle w:val="BodyText"/>
        <w:spacing w:line="247" w:lineRule="auto"/>
        <w:ind w:left="821" w:right="144" w:hanging="720"/>
      </w:pPr>
      <w:r>
        <w:rPr>
          <w:color w:val="231F20"/>
        </w:rPr>
        <w:t>Universidad Autónoma de Nayarit. (2002). Documento Rector de  la Reforma de la Universidad Autónoma de Nayarit. Tepic, Nayarit, México. Obtenido</w:t>
      </w:r>
      <w:r>
        <w:rPr>
          <w:color w:val="231F20"/>
          <w:spacing w:val="16"/>
        </w:rPr>
        <w:t> </w:t>
      </w:r>
      <w:r>
        <w:rPr>
          <w:color w:val="231F20"/>
        </w:rPr>
        <w:t>de</w:t>
      </w:r>
    </w:p>
    <w:p>
      <w:pPr>
        <w:spacing w:after="0" w:line="247" w:lineRule="auto"/>
        <w:sectPr>
          <w:headerReference w:type="default" r:id="rId511"/>
          <w:footerReference w:type="default" r:id="rId512"/>
          <w:pgSz w:w="7830" w:h="11910"/>
          <w:pgMar w:header="0" w:footer="424" w:top="500" w:bottom="620" w:left="920" w:right="920"/>
          <w:pgNumType w:start="226"/>
        </w:sectPr>
      </w:pPr>
    </w:p>
    <w:p>
      <w:pPr>
        <w:spacing w:before="43"/>
        <w:ind w:left="564" w:right="541" w:firstLine="0"/>
        <w:jc w:val="center"/>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spacing w:before="7"/>
        <w:rPr>
          <w:rFonts w:ascii="Cambria"/>
        </w:rPr>
      </w:pPr>
    </w:p>
    <w:p>
      <w:pPr>
        <w:pStyle w:val="BodyText"/>
        <w:spacing w:line="242" w:lineRule="auto" w:before="1"/>
        <w:ind w:left="822" w:right="88"/>
        <w:rPr>
          <w:rFonts w:ascii="Cambria"/>
        </w:rPr>
      </w:pPr>
      <w:hyperlink r:id="rId522">
        <w:r>
          <w:rPr>
            <w:rFonts w:ascii="Cambria"/>
            <w:color w:val="231F20"/>
            <w:w w:val="95"/>
          </w:rPr>
          <w:t>http://www.udi.uan.edu.mx/bajes/retordoc/1documentor</w:t>
        </w:r>
      </w:hyperlink>
      <w:r>
        <w:rPr>
          <w:rFonts w:ascii="Cambria"/>
          <w:color w:val="231F20"/>
          <w:w w:val="95"/>
        </w:rPr>
        <w:t> </w:t>
      </w:r>
      <w:r>
        <w:rPr>
          <w:rFonts w:ascii="Cambria"/>
          <w:color w:val="231F20"/>
        </w:rPr>
        <w:t>ector.doc</w:t>
      </w:r>
    </w:p>
    <w:p>
      <w:pPr>
        <w:pStyle w:val="BodyText"/>
        <w:ind w:left="822" w:right="331" w:hanging="720"/>
        <w:rPr>
          <w:rFonts w:ascii="Cambria" w:hAnsi="Cambria"/>
        </w:rPr>
      </w:pPr>
      <w:r>
        <w:rPr>
          <w:rFonts w:ascii="Cambria" w:hAnsi="Cambria"/>
          <w:color w:val="231F20"/>
        </w:rPr>
        <w:t>Universidad</w:t>
      </w:r>
      <w:r>
        <w:rPr>
          <w:rFonts w:ascii="Cambria" w:hAnsi="Cambria"/>
          <w:color w:val="231F20"/>
          <w:spacing w:val="-28"/>
        </w:rPr>
        <w:t> </w:t>
      </w:r>
      <w:r>
        <w:rPr>
          <w:rFonts w:ascii="Cambria" w:hAnsi="Cambria"/>
          <w:color w:val="231F20"/>
        </w:rPr>
        <w:t>Autónoma</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Nayarit.</w:t>
      </w:r>
      <w:r>
        <w:rPr>
          <w:rFonts w:ascii="Cambria" w:hAnsi="Cambria"/>
          <w:color w:val="231F20"/>
          <w:spacing w:val="-28"/>
        </w:rPr>
        <w:t> </w:t>
      </w:r>
      <w:r>
        <w:rPr>
          <w:rFonts w:ascii="Cambria" w:hAnsi="Cambria"/>
          <w:color w:val="231F20"/>
        </w:rPr>
        <w:t>(2011).</w:t>
      </w:r>
      <w:r>
        <w:rPr>
          <w:rFonts w:ascii="Cambria" w:hAnsi="Cambria"/>
          <w:color w:val="231F20"/>
          <w:spacing w:val="-29"/>
        </w:rPr>
        <w:t> </w:t>
      </w:r>
      <w:r>
        <w:rPr>
          <w:rFonts w:ascii="Cambria" w:hAnsi="Cambria"/>
          <w:color w:val="231F20"/>
        </w:rPr>
        <w:t>Primer</w:t>
      </w:r>
      <w:r>
        <w:rPr>
          <w:rFonts w:ascii="Cambria" w:hAnsi="Cambria"/>
          <w:color w:val="231F20"/>
          <w:spacing w:val="-28"/>
        </w:rPr>
        <w:t> </w:t>
      </w:r>
      <w:r>
        <w:rPr>
          <w:rFonts w:ascii="Cambria" w:hAnsi="Cambria"/>
          <w:color w:val="231F20"/>
        </w:rPr>
        <w:t>informe. </w:t>
      </w:r>
      <w:r>
        <w:rPr>
          <w:rFonts w:ascii="Cambria" w:hAnsi="Cambria"/>
          <w:color w:val="231F20"/>
          <w:w w:val="95"/>
        </w:rPr>
        <w:t>Liderazgo con resultados 2010-2011</w:t>
      </w:r>
      <w:r>
        <w:rPr>
          <w:i/>
          <w:color w:val="231F20"/>
          <w:w w:val="95"/>
        </w:rPr>
        <w:t>.</w:t>
      </w:r>
      <w:r>
        <w:rPr>
          <w:i/>
          <w:color w:val="231F20"/>
          <w:spacing w:val="-37"/>
          <w:w w:val="95"/>
        </w:rPr>
        <w:t> </w:t>
      </w:r>
      <w:r>
        <w:rPr>
          <w:rFonts w:ascii="Cambria" w:hAnsi="Cambria"/>
          <w:color w:val="231F20"/>
          <w:w w:val="95"/>
        </w:rPr>
        <w:t>Tepic, Nayarit, </w:t>
      </w:r>
      <w:r>
        <w:rPr>
          <w:rFonts w:ascii="Cambria" w:hAnsi="Cambria"/>
          <w:color w:val="231F20"/>
        </w:rPr>
        <w:t>México.</w:t>
      </w:r>
    </w:p>
    <w:p>
      <w:pPr>
        <w:pStyle w:val="BodyText"/>
        <w:spacing w:before="3"/>
        <w:ind w:left="822" w:right="50" w:hanging="720"/>
        <w:rPr>
          <w:rFonts w:ascii="Cambria"/>
        </w:rPr>
      </w:pPr>
      <w:r>
        <w:rPr>
          <w:rFonts w:ascii="Cambria"/>
          <w:color w:val="231F20"/>
        </w:rPr>
        <w:t>Wolf, (1991). Perceveid mistreatment and attitude change bye </w:t>
      </w:r>
      <w:r>
        <w:rPr>
          <w:rFonts w:ascii="Cambria"/>
          <w:color w:val="231F20"/>
          <w:w w:val="95"/>
        </w:rPr>
        <w:t>graduating</w:t>
      </w:r>
      <w:r>
        <w:rPr>
          <w:rFonts w:ascii="Cambria"/>
          <w:color w:val="231F20"/>
          <w:spacing w:val="-23"/>
          <w:w w:val="95"/>
        </w:rPr>
        <w:t> </w:t>
      </w:r>
      <w:r>
        <w:rPr>
          <w:rFonts w:ascii="Cambria"/>
          <w:color w:val="231F20"/>
          <w:w w:val="95"/>
        </w:rPr>
        <w:t>medical</w:t>
      </w:r>
      <w:r>
        <w:rPr>
          <w:rFonts w:ascii="Cambria"/>
          <w:color w:val="231F20"/>
          <w:spacing w:val="-24"/>
          <w:w w:val="95"/>
        </w:rPr>
        <w:t> </w:t>
      </w:r>
      <w:r>
        <w:rPr>
          <w:rFonts w:ascii="Cambria"/>
          <w:color w:val="231F20"/>
          <w:w w:val="95"/>
        </w:rPr>
        <w:t>students</w:t>
      </w:r>
      <w:r>
        <w:rPr>
          <w:rFonts w:ascii="Cambria"/>
          <w:color w:val="231F20"/>
          <w:spacing w:val="-23"/>
          <w:w w:val="95"/>
        </w:rPr>
        <w:t> </w:t>
      </w:r>
      <w:r>
        <w:rPr>
          <w:rFonts w:ascii="Cambria"/>
          <w:color w:val="231F20"/>
          <w:w w:val="95"/>
        </w:rPr>
        <w:t>a</w:t>
      </w:r>
      <w:r>
        <w:rPr>
          <w:rFonts w:ascii="Cambria"/>
          <w:color w:val="231F20"/>
          <w:spacing w:val="-23"/>
          <w:w w:val="95"/>
        </w:rPr>
        <w:t> </w:t>
      </w:r>
      <w:r>
        <w:rPr>
          <w:rFonts w:ascii="Cambria"/>
          <w:color w:val="231F20"/>
          <w:w w:val="95"/>
        </w:rPr>
        <w:t>retrospective</w:t>
      </w:r>
      <w:r>
        <w:rPr>
          <w:rFonts w:ascii="Cambria"/>
          <w:color w:val="231F20"/>
          <w:spacing w:val="-23"/>
          <w:w w:val="95"/>
        </w:rPr>
        <w:t> </w:t>
      </w:r>
      <w:r>
        <w:rPr>
          <w:rFonts w:ascii="Cambria"/>
          <w:color w:val="231F20"/>
          <w:w w:val="95"/>
        </w:rPr>
        <w:t>study.</w:t>
      </w:r>
      <w:r>
        <w:rPr>
          <w:rFonts w:ascii="Cambria"/>
          <w:color w:val="231F20"/>
          <w:spacing w:val="-24"/>
          <w:w w:val="95"/>
        </w:rPr>
        <w:t> </w:t>
      </w:r>
      <w:r>
        <w:rPr>
          <w:i/>
          <w:color w:val="231F20"/>
          <w:w w:val="95"/>
        </w:rPr>
        <w:t>Medical. </w:t>
      </w:r>
      <w:r>
        <w:rPr>
          <w:i/>
          <w:color w:val="231F20"/>
        </w:rPr>
        <w:t>Education</w:t>
      </w:r>
      <w:r>
        <w:rPr>
          <w:rFonts w:ascii="Cambria"/>
          <w:color w:val="231F20"/>
        </w:rPr>
        <w:t>. Obtenido de </w:t>
      </w:r>
      <w:hyperlink r:id="rId500">
        <w:r>
          <w:rPr>
            <w:rFonts w:ascii="Cambria"/>
            <w:color w:val="231F20"/>
            <w:w w:val="90"/>
          </w:rPr>
          <w:t>http://www.onlinelibrary.wiley.com/doi/10.1111/j.1365-</w:t>
        </w:r>
      </w:hyperlink>
      <w:r>
        <w:rPr>
          <w:rFonts w:ascii="Cambria"/>
          <w:color w:val="231F20"/>
          <w:w w:val="90"/>
        </w:rPr>
        <w:t> </w:t>
      </w:r>
      <w:r>
        <w:rPr>
          <w:rFonts w:ascii="Cambria"/>
          <w:color w:val="231F20"/>
        </w:rPr>
        <w:t>2923.1991.tb0005.x/abstract</w:t>
      </w:r>
    </w:p>
    <w:p>
      <w:pPr>
        <w:pStyle w:val="BodyText"/>
        <w:spacing w:line="245" w:lineRule="exact" w:before="3"/>
        <w:ind w:left="102" w:right="50"/>
        <w:rPr>
          <w:rFonts w:ascii="Cambria"/>
        </w:rPr>
      </w:pPr>
      <w:r>
        <w:rPr>
          <w:rFonts w:ascii="Cambria"/>
          <w:color w:val="231F20"/>
          <w:w w:val="95"/>
        </w:rPr>
        <w:t>Wood, Diana. (2006). Bullying and harassment in medical schools.</w:t>
      </w:r>
    </w:p>
    <w:p>
      <w:pPr>
        <w:spacing w:line="242" w:lineRule="auto" w:before="0"/>
        <w:ind w:left="822" w:right="1800" w:firstLine="0"/>
        <w:jc w:val="left"/>
        <w:rPr>
          <w:rFonts w:ascii="Cambria"/>
          <w:sz w:val="21"/>
        </w:rPr>
      </w:pPr>
      <w:r>
        <w:rPr>
          <w:i/>
          <w:color w:val="231F20"/>
          <w:w w:val="95"/>
          <w:sz w:val="21"/>
        </w:rPr>
        <w:t>British</w:t>
      </w:r>
      <w:r>
        <w:rPr>
          <w:i/>
          <w:color w:val="231F20"/>
          <w:spacing w:val="-25"/>
          <w:w w:val="95"/>
          <w:sz w:val="21"/>
        </w:rPr>
        <w:t> </w:t>
      </w:r>
      <w:r>
        <w:rPr>
          <w:i/>
          <w:color w:val="231F20"/>
          <w:w w:val="95"/>
          <w:sz w:val="21"/>
        </w:rPr>
        <w:t>Medical</w:t>
      </w:r>
      <w:r>
        <w:rPr>
          <w:i/>
          <w:color w:val="231F20"/>
          <w:spacing w:val="-25"/>
          <w:w w:val="95"/>
          <w:sz w:val="21"/>
        </w:rPr>
        <w:t> </w:t>
      </w:r>
      <w:r>
        <w:rPr>
          <w:i/>
          <w:color w:val="231F20"/>
          <w:w w:val="95"/>
          <w:sz w:val="21"/>
        </w:rPr>
        <w:t>Journal.</w:t>
      </w:r>
      <w:r>
        <w:rPr>
          <w:i/>
          <w:color w:val="231F20"/>
          <w:spacing w:val="-25"/>
          <w:w w:val="95"/>
          <w:sz w:val="21"/>
        </w:rPr>
        <w:t> </w:t>
      </w:r>
      <w:r>
        <w:rPr>
          <w:i/>
          <w:color w:val="231F20"/>
          <w:w w:val="95"/>
          <w:sz w:val="21"/>
        </w:rPr>
        <w:t>333</w:t>
      </w:r>
      <w:r>
        <w:rPr>
          <w:rFonts w:ascii="Cambria"/>
          <w:color w:val="231F20"/>
          <w:w w:val="95"/>
          <w:sz w:val="21"/>
        </w:rPr>
        <w:t>.</w:t>
      </w:r>
      <w:r>
        <w:rPr>
          <w:rFonts w:ascii="Cambria"/>
          <w:color w:val="231F20"/>
          <w:spacing w:val="-19"/>
          <w:w w:val="95"/>
          <w:sz w:val="21"/>
        </w:rPr>
        <w:t> </w:t>
      </w:r>
      <w:r>
        <w:rPr>
          <w:rFonts w:ascii="Cambria"/>
          <w:color w:val="231F20"/>
          <w:w w:val="95"/>
          <w:sz w:val="21"/>
        </w:rPr>
        <w:t>Obtenido</w:t>
      </w:r>
      <w:r>
        <w:rPr>
          <w:rFonts w:ascii="Cambria"/>
          <w:color w:val="231F20"/>
          <w:spacing w:val="-19"/>
          <w:w w:val="95"/>
          <w:sz w:val="21"/>
        </w:rPr>
        <w:t> </w:t>
      </w:r>
      <w:r>
        <w:rPr>
          <w:rFonts w:ascii="Cambria"/>
          <w:color w:val="231F20"/>
          <w:w w:val="95"/>
          <w:sz w:val="21"/>
        </w:rPr>
        <w:t>de </w:t>
      </w:r>
      <w:hyperlink r:id="rId523">
        <w:r>
          <w:rPr>
            <w:rFonts w:ascii="Cambria"/>
            <w:color w:val="231F20"/>
            <w:w w:val="95"/>
            <w:sz w:val="21"/>
          </w:rPr>
          <w:t>http://www.jstor.org/stable/407008</w:t>
        </w:r>
      </w:hyperlink>
    </w:p>
    <w:p>
      <w:pPr>
        <w:spacing w:after="0" w:line="242" w:lineRule="auto"/>
        <w:jc w:val="left"/>
        <w:rPr>
          <w:rFonts w:ascii="Cambria"/>
          <w:sz w:val="21"/>
        </w:rPr>
        <w:sectPr>
          <w:headerReference w:type="default" r:id="rId520"/>
          <w:footerReference w:type="default" r:id="rId521"/>
          <w:pgSz w:w="7830" w:h="11910"/>
          <w:pgMar w:header="0" w:footer="424" w:top="500" w:bottom="620" w:left="920" w:right="940"/>
          <w:pgNumType w:start="227"/>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4"/>
        <w:rPr>
          <w:rFonts w:ascii="Cambria"/>
          <w:sz w:val="19"/>
        </w:rPr>
      </w:pPr>
    </w:p>
    <w:p>
      <w:pPr>
        <w:spacing w:before="85"/>
        <w:ind w:left="845" w:right="0" w:firstLine="0"/>
        <w:jc w:val="left"/>
        <w:rPr>
          <w:sz w:val="17"/>
        </w:rPr>
      </w:pPr>
      <w:r>
        <w:rPr>
          <w:color w:val="231F20"/>
          <w:w w:val="105"/>
          <w:sz w:val="17"/>
        </w:rPr>
        <w:t>228</w:t>
      </w:r>
    </w:p>
    <w:p>
      <w:pPr>
        <w:spacing w:after="0"/>
        <w:jc w:val="left"/>
        <w:rPr>
          <w:sz w:val="17"/>
        </w:rPr>
        <w:sectPr>
          <w:headerReference w:type="default" r:id="rId524"/>
          <w:footerReference w:type="default" r:id="rId525"/>
          <w:pgSz w:w="7830" w:h="11910"/>
          <w:pgMar w:header="0" w:footer="0" w:top="1100" w:bottom="280" w:left="1060" w:right="1060"/>
        </w:sectPr>
      </w:pPr>
    </w:p>
    <w:p>
      <w:pPr>
        <w:pStyle w:val="BodyText"/>
        <w:ind w:left="1020"/>
        <w:rPr>
          <w:sz w:val="20"/>
        </w:rPr>
      </w:pPr>
      <w:r>
        <w:rPr>
          <w:sz w:val="20"/>
        </w:rPr>
        <w:pict>
          <v:group style="width:189pt;height:18pt;mso-position-horizontal-relative:char;mso-position-vertical-relative:line" coordorigin="0,0" coordsize="3780,360">
            <v:rect style="position:absolute;left:0;top:0;width:3780;height:360" filled="true" fillcolor="#ffffff" stroked="false">
              <v:fill type="solid"/>
            </v:rect>
          </v:group>
        </w:pict>
      </w:r>
      <w:r>
        <w:rPr>
          <w:sz w:val="20"/>
        </w:rPr>
      </w:r>
    </w:p>
    <w:p>
      <w:pPr>
        <w:pStyle w:val="BodyText"/>
        <w:spacing w:before="2"/>
        <w:rPr>
          <w:sz w:val="23"/>
        </w:rPr>
      </w:pPr>
    </w:p>
    <w:p>
      <w:pPr>
        <w:pStyle w:val="Heading2"/>
        <w:spacing w:line="285" w:lineRule="auto" w:before="50"/>
        <w:ind w:right="1152"/>
      </w:pPr>
      <w:r>
        <w:rPr/>
        <w:pict>
          <v:shape style="position:absolute;margin-left:96.041pt;margin-top:-32.338551pt;width:189pt;height:18pt;mso-position-horizontal-relative:page;mso-position-vertical-relative:paragraph;z-index:-483016" type="#_x0000_t202" filled="false" stroked="false">
            <v:textbox inset="0,0,0,0">
              <w:txbxContent>
                <w:p>
                  <w:pPr>
                    <w:spacing w:before="80"/>
                    <w:ind w:left="462" w:right="0" w:firstLine="0"/>
                    <w:jc w:val="left"/>
                    <w:rPr>
                      <w:sz w:val="13"/>
                    </w:rPr>
                  </w:pPr>
                  <w:r>
                    <w:rPr>
                      <w:color w:val="231F20"/>
                      <w:sz w:val="16"/>
                    </w:rPr>
                    <w:t>E</w:t>
                  </w:r>
                  <w:r>
                    <w:rPr>
                      <w:color w:val="231F20"/>
                      <w:sz w:val="13"/>
                    </w:rPr>
                    <w:t>STUDIOS SOBRE VIOLENCIA EN LA EDUCACIÓN</w:t>
                  </w:r>
                </w:p>
              </w:txbxContent>
            </v:textbox>
            <w10:wrap type="none"/>
          </v:shape>
        </w:pict>
      </w:r>
      <w:r>
        <w:rPr>
          <w:rFonts w:ascii="Arial" w:hAnsi="Arial"/>
          <w:color w:val="231F20"/>
          <w:w w:val="105"/>
          <w:sz w:val="28"/>
        </w:rPr>
        <w:t>V</w:t>
      </w:r>
      <w:r>
        <w:rPr>
          <w:color w:val="231F20"/>
          <w:w w:val="105"/>
        </w:rPr>
        <w:t>IOLENCIA EN LAS AULAS DE EDUCACIÓN SUPERIOR</w:t>
      </w:r>
    </w:p>
    <w:p>
      <w:pPr>
        <w:pStyle w:val="BodyText"/>
        <w:spacing w:before="2"/>
        <w:rPr>
          <w:b/>
          <w:sz w:val="25"/>
        </w:rPr>
      </w:pPr>
    </w:p>
    <w:p>
      <w:pPr>
        <w:pStyle w:val="BodyText"/>
        <w:ind w:left="122"/>
        <w:jc w:val="both"/>
        <w:rPr>
          <w:rFonts w:ascii="Symbol" w:hAnsi="Symbol"/>
          <w:sz w:val="17"/>
        </w:rPr>
      </w:pPr>
      <w:r>
        <w:rPr>
          <w:color w:val="231F20"/>
        </w:rPr>
        <w:t>Ignacio Roberto Rojas-Crôtte</w:t>
      </w:r>
      <w:r>
        <w:rPr>
          <w:rFonts w:ascii="Symbol" w:hAnsi="Symbol"/>
          <w:color w:val="231F20"/>
          <w:sz w:val="17"/>
        </w:rPr>
        <w:t></w:t>
      </w:r>
    </w:p>
    <w:p>
      <w:pPr>
        <w:pStyle w:val="BodyText"/>
        <w:rPr>
          <w:rFonts w:ascii="Symbol" w:hAnsi="Symbol"/>
          <w:sz w:val="22"/>
        </w:rPr>
      </w:pPr>
    </w:p>
    <w:p>
      <w:pPr>
        <w:pStyle w:val="BodyText"/>
        <w:spacing w:before="5"/>
        <w:rPr>
          <w:rFonts w:ascii="Symbol" w:hAnsi="Symbol"/>
          <w:sz w:val="19"/>
        </w:rPr>
      </w:pPr>
    </w:p>
    <w:p>
      <w:pPr>
        <w:pStyle w:val="BodyText"/>
        <w:ind w:left="122"/>
        <w:jc w:val="both"/>
      </w:pPr>
      <w:r>
        <w:rPr>
          <w:color w:val="231F20"/>
        </w:rPr>
        <w:t>Resumen</w:t>
      </w:r>
    </w:p>
    <w:p>
      <w:pPr>
        <w:pStyle w:val="BodyText"/>
        <w:spacing w:line="247" w:lineRule="auto" w:before="3"/>
        <w:ind w:left="122" w:right="115"/>
        <w:jc w:val="both"/>
      </w:pPr>
      <w:r>
        <w:rPr>
          <w:color w:val="231F20"/>
        </w:rPr>
        <w:t>Este trabajo desarrolla el concepto de violencia desde la Teoría Crítica, en particular en Max Horkheimer y Jürgen Habermas. La violencia específicamente en las aulas de educación superior se prefigura a través de los conceptos de Acción estratégica y Coloni- zación del Mundo de la Vida por el Sistema. Postula que la violen- cia es el producto de procesos que se muestran en la antesala misma de la educación. Asimismo, ofrece una perspectiva que es suscepti- ble de ser utilizada en múltiples investigaciones situadas en la edu- cación en general.</w:t>
      </w:r>
    </w:p>
    <w:p>
      <w:pPr>
        <w:pStyle w:val="BodyText"/>
        <w:spacing w:before="4"/>
      </w:pPr>
    </w:p>
    <w:p>
      <w:pPr>
        <w:pStyle w:val="BodyText"/>
        <w:ind w:left="122"/>
        <w:jc w:val="both"/>
      </w:pPr>
      <w:r>
        <w:rPr>
          <w:color w:val="231F20"/>
        </w:rPr>
        <w:t>Palabras clave: teoría crítica, violencia, colonización.</w:t>
      </w:r>
    </w:p>
    <w:p>
      <w:pPr>
        <w:pStyle w:val="BodyText"/>
        <w:spacing w:before="1"/>
        <w:rPr>
          <w:sz w:val="22"/>
        </w:rPr>
      </w:pPr>
    </w:p>
    <w:p>
      <w:pPr>
        <w:pStyle w:val="BodyText"/>
        <w:spacing w:line="490" w:lineRule="atLeast"/>
        <w:ind w:left="122" w:right="1831"/>
      </w:pPr>
      <w:r>
        <w:rPr>
          <w:color w:val="231F20"/>
        </w:rPr>
        <w:t>Violence in higher education classrooms Abstract</w:t>
      </w:r>
    </w:p>
    <w:p>
      <w:pPr>
        <w:pStyle w:val="BodyText"/>
        <w:spacing w:line="247" w:lineRule="auto" w:before="3"/>
        <w:ind w:left="122" w:right="115"/>
        <w:jc w:val="both"/>
      </w:pPr>
      <w:r>
        <w:rPr>
          <w:color w:val="231F20"/>
        </w:rPr>
        <w:t>This text shows the concept of violence from the perspective of Critical Theory in Max Horkheimer and Jürgen Habermas. The violence as it specifically appears at the classrooms of non-basic level; It is shown using concepts like Strategic Action and Coloniza- tion of the World of the Life by the System. It postulates that the violence is a product of processes that they show themselves in the antechamber itself of the education. Also, it offers a perspective   that is useful as it is applied in research in education as a</w:t>
      </w:r>
      <w:r>
        <w:rPr>
          <w:color w:val="231F20"/>
          <w:spacing w:val="-11"/>
        </w:rPr>
        <w:t> </w:t>
      </w:r>
      <w:r>
        <w:rPr>
          <w:color w:val="231F20"/>
        </w:rPr>
        <w:t>whole.</w:t>
      </w:r>
    </w:p>
    <w:p>
      <w:pPr>
        <w:pStyle w:val="BodyText"/>
        <w:spacing w:before="3"/>
        <w:rPr>
          <w:sz w:val="28"/>
        </w:rPr>
      </w:pPr>
      <w:r>
        <w:rPr/>
        <w:pict>
          <v:line style="position:absolute;mso-position-horizontal-relative:page;mso-position-vertical-relative:paragraph;z-index:2224;mso-wrap-distance-left:0;mso-wrap-distance-right:0" from="51.110001pt,18.475529pt" to="195.110001pt,18.475529pt" stroked="true" strokeweight=".48pt" strokecolor="#231f20">
            <w10:wrap type="topAndBottom"/>
          </v:line>
        </w:pict>
      </w:r>
    </w:p>
    <w:p>
      <w:pPr>
        <w:spacing w:line="271" w:lineRule="auto" w:before="89"/>
        <w:ind w:left="122" w:right="104" w:hanging="1"/>
        <w:jc w:val="left"/>
        <w:rPr>
          <w:sz w:val="14"/>
        </w:rPr>
      </w:pPr>
      <w:r>
        <w:rPr>
          <w:rFonts w:ascii="Symbol" w:hAnsi="Symbol"/>
          <w:color w:val="231F20"/>
          <w:position w:val="-4"/>
          <w:sz w:val="17"/>
        </w:rPr>
        <w:t></w:t>
      </w:r>
      <w:r>
        <w:rPr>
          <w:color w:val="231F20"/>
          <w:sz w:val="14"/>
        </w:rPr>
        <w:t>Profesor de Tiempo Completo, doctor en Educación por la Universidad La Salle y doctor en Ciencias sociales</w:t>
      </w:r>
      <w:r>
        <w:rPr>
          <w:color w:val="231F20"/>
          <w:spacing w:val="-14"/>
          <w:sz w:val="14"/>
        </w:rPr>
        <w:t> </w:t>
      </w:r>
      <w:r>
        <w:rPr>
          <w:color w:val="231F20"/>
          <w:sz w:val="14"/>
        </w:rPr>
        <w:t>por</w:t>
      </w:r>
      <w:r>
        <w:rPr>
          <w:color w:val="231F20"/>
          <w:spacing w:val="-14"/>
          <w:sz w:val="14"/>
        </w:rPr>
        <w:t> </w:t>
      </w:r>
      <w:r>
        <w:rPr>
          <w:color w:val="231F20"/>
          <w:sz w:val="14"/>
        </w:rPr>
        <w:t>la</w:t>
      </w:r>
      <w:r>
        <w:rPr>
          <w:color w:val="231F20"/>
          <w:spacing w:val="-14"/>
          <w:sz w:val="14"/>
        </w:rPr>
        <w:t> </w:t>
      </w:r>
      <w:r>
        <w:rPr>
          <w:color w:val="231F20"/>
          <w:sz w:val="14"/>
        </w:rPr>
        <w:t>Universidad</w:t>
      </w:r>
      <w:r>
        <w:rPr>
          <w:color w:val="231F20"/>
          <w:spacing w:val="-14"/>
          <w:sz w:val="14"/>
        </w:rPr>
        <w:t> </w:t>
      </w:r>
      <w:r>
        <w:rPr>
          <w:color w:val="231F20"/>
          <w:sz w:val="14"/>
        </w:rPr>
        <w:t>Autónoma</w:t>
      </w:r>
      <w:r>
        <w:rPr>
          <w:color w:val="231F20"/>
          <w:spacing w:val="-14"/>
          <w:sz w:val="14"/>
        </w:rPr>
        <w:t> </w:t>
      </w:r>
      <w:r>
        <w:rPr>
          <w:color w:val="231F20"/>
          <w:sz w:val="14"/>
        </w:rPr>
        <w:t>del</w:t>
      </w:r>
      <w:r>
        <w:rPr>
          <w:color w:val="231F20"/>
          <w:spacing w:val="-14"/>
          <w:sz w:val="14"/>
        </w:rPr>
        <w:t> </w:t>
      </w:r>
      <w:r>
        <w:rPr>
          <w:color w:val="231F20"/>
          <w:sz w:val="14"/>
        </w:rPr>
        <w:t>Estado</w:t>
      </w:r>
      <w:r>
        <w:rPr>
          <w:color w:val="231F20"/>
          <w:spacing w:val="-14"/>
          <w:sz w:val="14"/>
        </w:rPr>
        <w:t> </w:t>
      </w:r>
      <w:r>
        <w:rPr>
          <w:color w:val="231F20"/>
          <w:sz w:val="14"/>
        </w:rPr>
        <w:t>de</w:t>
      </w:r>
      <w:r>
        <w:rPr>
          <w:color w:val="231F20"/>
          <w:spacing w:val="-14"/>
          <w:sz w:val="14"/>
        </w:rPr>
        <w:t> </w:t>
      </w:r>
      <w:r>
        <w:rPr>
          <w:color w:val="231F20"/>
          <w:sz w:val="14"/>
        </w:rPr>
        <w:t>México.</w:t>
      </w:r>
      <w:r>
        <w:rPr>
          <w:color w:val="231F20"/>
          <w:spacing w:val="-18"/>
          <w:sz w:val="14"/>
        </w:rPr>
        <w:t> </w:t>
      </w:r>
      <w:r>
        <w:rPr>
          <w:color w:val="231F20"/>
          <w:sz w:val="14"/>
        </w:rPr>
        <w:t>Sus</w:t>
      </w:r>
      <w:r>
        <w:rPr>
          <w:color w:val="231F20"/>
          <w:spacing w:val="-14"/>
          <w:sz w:val="14"/>
        </w:rPr>
        <w:t> </w:t>
      </w:r>
      <w:r>
        <w:rPr>
          <w:color w:val="231F20"/>
          <w:sz w:val="14"/>
        </w:rPr>
        <w:t>líneas</w:t>
      </w:r>
      <w:r>
        <w:rPr>
          <w:color w:val="231F20"/>
          <w:spacing w:val="-14"/>
          <w:sz w:val="14"/>
        </w:rPr>
        <w:t> </w:t>
      </w:r>
      <w:r>
        <w:rPr>
          <w:color w:val="231F20"/>
          <w:sz w:val="14"/>
        </w:rPr>
        <w:t>de</w:t>
      </w:r>
      <w:r>
        <w:rPr>
          <w:color w:val="231F20"/>
          <w:spacing w:val="-14"/>
          <w:sz w:val="14"/>
        </w:rPr>
        <w:t> </w:t>
      </w:r>
      <w:r>
        <w:rPr>
          <w:color w:val="231F20"/>
          <w:sz w:val="14"/>
        </w:rPr>
        <w:t>investigación</w:t>
      </w:r>
      <w:r>
        <w:rPr>
          <w:color w:val="231F20"/>
          <w:spacing w:val="-14"/>
          <w:sz w:val="14"/>
        </w:rPr>
        <w:t> </w:t>
      </w:r>
      <w:r>
        <w:rPr>
          <w:color w:val="231F20"/>
          <w:sz w:val="14"/>
        </w:rPr>
        <w:t>son:</w:t>
      </w:r>
      <w:r>
        <w:rPr>
          <w:color w:val="231F20"/>
          <w:spacing w:val="-14"/>
          <w:sz w:val="14"/>
        </w:rPr>
        <w:t> </w:t>
      </w:r>
      <w:r>
        <w:rPr>
          <w:color w:val="231F20"/>
          <w:sz w:val="14"/>
        </w:rPr>
        <w:t>"Sociología</w:t>
      </w:r>
    </w:p>
    <w:p>
      <w:pPr>
        <w:spacing w:line="364" w:lineRule="auto" w:before="68"/>
        <w:ind w:left="122" w:right="51" w:firstLine="0"/>
        <w:jc w:val="left"/>
        <w:rPr>
          <w:sz w:val="14"/>
        </w:rPr>
      </w:pPr>
      <w:r>
        <w:rPr>
          <w:color w:val="231F20"/>
          <w:sz w:val="14"/>
        </w:rPr>
        <w:t>de la Educación" y "Políticas educativas". Institución de adscripción: Universidad Autónoma del Estado </w:t>
      </w:r>
      <w:r>
        <w:rPr>
          <w:color w:val="231F20"/>
          <w:w w:val="95"/>
          <w:sz w:val="14"/>
        </w:rPr>
        <w:t>de México.</w:t>
      </w:r>
    </w:p>
    <w:p>
      <w:pPr>
        <w:spacing w:after="0" w:line="364" w:lineRule="auto"/>
        <w:jc w:val="left"/>
        <w:rPr>
          <w:sz w:val="14"/>
        </w:rPr>
        <w:sectPr>
          <w:headerReference w:type="default" r:id="rId526"/>
          <w:footerReference w:type="default" r:id="rId527"/>
          <w:pgSz w:w="7830" w:h="11910"/>
          <w:pgMar w:header="0" w:footer="364" w:top="460" w:bottom="560" w:left="900" w:right="900"/>
          <w:pgNumType w:start="22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rPr>
          <w:sz w:val="16"/>
        </w:rPr>
      </w:pPr>
    </w:p>
    <w:p>
      <w:pPr>
        <w:pStyle w:val="BodyText"/>
        <w:spacing w:before="144"/>
        <w:ind w:left="102"/>
        <w:jc w:val="both"/>
      </w:pPr>
      <w:r>
        <w:rPr>
          <w:color w:val="231F20"/>
        </w:rPr>
        <w:t>Keywords: critical theory, violence, colonization.</w:t>
      </w:r>
    </w:p>
    <w:p>
      <w:pPr>
        <w:pStyle w:val="BodyText"/>
        <w:rPr>
          <w:sz w:val="22"/>
        </w:rPr>
      </w:pPr>
    </w:p>
    <w:p>
      <w:pPr>
        <w:pStyle w:val="BodyText"/>
        <w:rPr>
          <w:sz w:val="22"/>
        </w:rPr>
      </w:pPr>
    </w:p>
    <w:p>
      <w:pPr>
        <w:pStyle w:val="BodyText"/>
        <w:spacing w:before="1"/>
        <w:rPr>
          <w:sz w:val="23"/>
        </w:rPr>
      </w:pPr>
    </w:p>
    <w:p>
      <w:pPr>
        <w:pStyle w:val="BodyText"/>
        <w:ind w:left="102"/>
        <w:jc w:val="both"/>
      </w:pPr>
      <w:r>
        <w:rPr>
          <w:color w:val="231F20"/>
          <w:w w:val="105"/>
        </w:rPr>
        <w:t>INTRODUCCIÓN</w:t>
      </w:r>
    </w:p>
    <w:p>
      <w:pPr>
        <w:pStyle w:val="BodyText"/>
        <w:spacing w:before="1"/>
      </w:pPr>
    </w:p>
    <w:p>
      <w:pPr>
        <w:pStyle w:val="BodyText"/>
        <w:spacing w:line="244" w:lineRule="auto" w:before="1"/>
        <w:ind w:left="102" w:right="115"/>
        <w:jc w:val="both"/>
      </w:pPr>
      <w:r>
        <w:rPr>
          <w:color w:val="231F20"/>
        </w:rPr>
        <w:t>Max Horkheimer (1974) en un ensayo fechado en 1936 (me refiero  al texto denominado “Autoridad y familia”) destaca el papel de la familia en las modernas sociedades burguesas: ve a la familia como uno de los determinantes de reproducción de esquemas de domina- ción y de moldeamiento psíquico de los individuos.</w:t>
      </w:r>
    </w:p>
    <w:p>
      <w:pPr>
        <w:pStyle w:val="BodyText"/>
        <w:spacing w:line="249" w:lineRule="auto" w:before="13"/>
        <w:ind w:left="102" w:right="115" w:firstLine="284"/>
        <w:jc w:val="both"/>
      </w:pPr>
      <w:r>
        <w:rPr>
          <w:color w:val="231F20"/>
        </w:rPr>
        <w:t>La </w:t>
      </w:r>
      <w:r>
        <w:rPr>
          <w:color w:val="231F20"/>
          <w:spacing w:val="2"/>
        </w:rPr>
        <w:t>familia </w:t>
      </w:r>
      <w:r>
        <w:rPr>
          <w:color w:val="231F20"/>
          <w:spacing w:val="3"/>
        </w:rPr>
        <w:t>conforma </w:t>
      </w:r>
      <w:r>
        <w:rPr>
          <w:color w:val="231F20"/>
        </w:rPr>
        <w:t>un </w:t>
      </w:r>
      <w:r>
        <w:rPr>
          <w:color w:val="231F20"/>
          <w:spacing w:val="2"/>
        </w:rPr>
        <w:t>espacio </w:t>
      </w:r>
      <w:r>
        <w:rPr>
          <w:color w:val="231F20"/>
        </w:rPr>
        <w:t>en el </w:t>
      </w:r>
      <w:r>
        <w:rPr>
          <w:color w:val="231F20"/>
          <w:spacing w:val="2"/>
        </w:rPr>
        <w:t>que, </w:t>
      </w:r>
      <w:r>
        <w:rPr>
          <w:color w:val="231F20"/>
        </w:rPr>
        <w:t>a la </w:t>
      </w:r>
      <w:r>
        <w:rPr>
          <w:color w:val="231F20"/>
          <w:spacing w:val="2"/>
        </w:rPr>
        <w:t>usanza </w:t>
      </w:r>
      <w:r>
        <w:rPr>
          <w:color w:val="231F20"/>
        </w:rPr>
        <w:t>de las </w:t>
      </w:r>
      <w:r>
        <w:rPr>
          <w:color w:val="231F20"/>
          <w:spacing w:val="2"/>
        </w:rPr>
        <w:t>épocas antigua </w:t>
      </w:r>
      <w:r>
        <w:rPr>
          <w:color w:val="231F20"/>
        </w:rPr>
        <w:t>y </w:t>
      </w:r>
      <w:r>
        <w:rPr>
          <w:color w:val="231F20"/>
          <w:spacing w:val="3"/>
        </w:rPr>
        <w:t>moderna, </w:t>
      </w:r>
      <w:r>
        <w:rPr>
          <w:color w:val="231F20"/>
          <w:spacing w:val="2"/>
        </w:rPr>
        <w:t>existe una figura </w:t>
      </w:r>
      <w:r>
        <w:rPr>
          <w:color w:val="231F20"/>
        </w:rPr>
        <w:t>de </w:t>
      </w:r>
      <w:r>
        <w:rPr>
          <w:color w:val="231F20"/>
          <w:spacing w:val="2"/>
        </w:rPr>
        <w:t>autoridad indispu- tada que </w:t>
      </w:r>
      <w:r>
        <w:rPr>
          <w:color w:val="231F20"/>
        </w:rPr>
        <w:t>se </w:t>
      </w:r>
      <w:r>
        <w:rPr>
          <w:color w:val="231F20"/>
          <w:spacing w:val="2"/>
        </w:rPr>
        <w:t>encarna </w:t>
      </w:r>
      <w:r>
        <w:rPr>
          <w:color w:val="231F20"/>
        </w:rPr>
        <w:t>en el jefe de </w:t>
      </w:r>
      <w:r>
        <w:rPr>
          <w:color w:val="231F20"/>
          <w:spacing w:val="2"/>
        </w:rPr>
        <w:t>familia; los niños </w:t>
      </w:r>
      <w:r>
        <w:rPr>
          <w:color w:val="231F20"/>
        </w:rPr>
        <w:t>y la </w:t>
      </w:r>
      <w:r>
        <w:rPr>
          <w:color w:val="231F20"/>
          <w:spacing w:val="2"/>
        </w:rPr>
        <w:t>mujer </w:t>
      </w:r>
      <w:r>
        <w:rPr>
          <w:color w:val="231F20"/>
          <w:spacing w:val="3"/>
        </w:rPr>
        <w:t>apa- </w:t>
      </w:r>
      <w:r>
        <w:rPr>
          <w:color w:val="231F20"/>
          <w:spacing w:val="2"/>
        </w:rPr>
        <w:t>recen </w:t>
      </w:r>
      <w:r>
        <w:rPr>
          <w:color w:val="231F20"/>
          <w:spacing w:val="3"/>
        </w:rPr>
        <w:t>como </w:t>
      </w:r>
      <w:r>
        <w:rPr>
          <w:color w:val="231F20"/>
          <w:spacing w:val="2"/>
        </w:rPr>
        <w:t>propiedades </w:t>
      </w:r>
      <w:r>
        <w:rPr>
          <w:color w:val="231F20"/>
        </w:rPr>
        <w:t>de él, </w:t>
      </w:r>
      <w:r>
        <w:rPr>
          <w:color w:val="231F20"/>
          <w:spacing w:val="2"/>
        </w:rPr>
        <w:t>propiedades </w:t>
      </w:r>
      <w:r>
        <w:rPr>
          <w:color w:val="231F20"/>
        </w:rPr>
        <w:t>que </w:t>
      </w:r>
      <w:r>
        <w:rPr>
          <w:color w:val="231F20"/>
          <w:spacing w:val="2"/>
        </w:rPr>
        <w:t>confieren </w:t>
      </w:r>
      <w:r>
        <w:rPr>
          <w:color w:val="231F20"/>
        </w:rPr>
        <w:t>la fe en   la </w:t>
      </w:r>
      <w:r>
        <w:rPr>
          <w:color w:val="231F20"/>
          <w:spacing w:val="2"/>
        </w:rPr>
        <w:t>autoridad </w:t>
      </w:r>
      <w:r>
        <w:rPr>
          <w:color w:val="231F20"/>
        </w:rPr>
        <w:t>a </w:t>
      </w:r>
      <w:r>
        <w:rPr>
          <w:color w:val="231F20"/>
          <w:spacing w:val="2"/>
        </w:rPr>
        <w:t>causa del </w:t>
      </w:r>
      <w:r>
        <w:rPr>
          <w:color w:val="231F20"/>
          <w:spacing w:val="3"/>
        </w:rPr>
        <w:t>poder económico </w:t>
      </w:r>
      <w:r>
        <w:rPr>
          <w:color w:val="231F20"/>
        </w:rPr>
        <w:t>y la </w:t>
      </w:r>
      <w:r>
        <w:rPr>
          <w:color w:val="231F20"/>
          <w:spacing w:val="2"/>
        </w:rPr>
        <w:t>sanción</w:t>
      </w:r>
      <w:r>
        <w:rPr>
          <w:color w:val="231F20"/>
          <w:spacing w:val="-2"/>
        </w:rPr>
        <w:t> </w:t>
      </w:r>
      <w:r>
        <w:rPr>
          <w:color w:val="231F20"/>
          <w:spacing w:val="2"/>
        </w:rPr>
        <w:t>social.</w:t>
      </w:r>
    </w:p>
    <w:p>
      <w:pPr>
        <w:pStyle w:val="BodyText"/>
        <w:spacing w:line="247" w:lineRule="auto"/>
        <w:ind w:left="102" w:right="119" w:firstLine="284"/>
        <w:jc w:val="both"/>
      </w:pPr>
      <w:r>
        <w:rPr>
          <w:color w:val="231F20"/>
        </w:rPr>
        <w:t>El </w:t>
      </w:r>
      <w:r>
        <w:rPr>
          <w:color w:val="231F20"/>
          <w:spacing w:val="2"/>
        </w:rPr>
        <w:t>niño debe </w:t>
      </w:r>
      <w:r>
        <w:rPr>
          <w:color w:val="231F20"/>
        </w:rPr>
        <w:t>ser </w:t>
      </w:r>
      <w:r>
        <w:rPr>
          <w:color w:val="231F20"/>
          <w:spacing w:val="3"/>
        </w:rPr>
        <w:t>“educado”: </w:t>
      </w:r>
      <w:r>
        <w:rPr>
          <w:color w:val="231F20"/>
          <w:spacing w:val="2"/>
        </w:rPr>
        <w:t>deben suprimírsele </w:t>
      </w:r>
      <w:r>
        <w:rPr>
          <w:color w:val="231F20"/>
        </w:rPr>
        <w:t>sus </w:t>
      </w:r>
      <w:r>
        <w:rPr>
          <w:color w:val="231F20"/>
          <w:spacing w:val="2"/>
        </w:rPr>
        <w:t>impulsos </w:t>
      </w:r>
      <w:r>
        <w:rPr>
          <w:color w:val="231F20"/>
        </w:rPr>
        <w:t>y </w:t>
      </w:r>
      <w:r>
        <w:rPr>
          <w:color w:val="231F20"/>
          <w:spacing w:val="2"/>
        </w:rPr>
        <w:t>disminuirse sus capacidades </w:t>
      </w:r>
      <w:r>
        <w:rPr>
          <w:color w:val="231F20"/>
        </w:rPr>
        <w:t>en </w:t>
      </w:r>
      <w:r>
        <w:rPr>
          <w:color w:val="231F20"/>
          <w:spacing w:val="2"/>
        </w:rPr>
        <w:t>aras </w:t>
      </w:r>
      <w:r>
        <w:rPr>
          <w:color w:val="231F20"/>
        </w:rPr>
        <w:t>de un </w:t>
      </w:r>
      <w:r>
        <w:rPr>
          <w:color w:val="231F20"/>
          <w:spacing w:val="3"/>
        </w:rPr>
        <w:t>comportamiento </w:t>
      </w:r>
      <w:r>
        <w:rPr>
          <w:color w:val="231F20"/>
          <w:spacing w:val="2"/>
        </w:rPr>
        <w:t>ade- cuado </w:t>
      </w:r>
      <w:r>
        <w:rPr>
          <w:color w:val="231F20"/>
        </w:rPr>
        <w:t>a las </w:t>
      </w:r>
      <w:r>
        <w:rPr>
          <w:color w:val="231F20"/>
          <w:spacing w:val="2"/>
        </w:rPr>
        <w:t>estructuras </w:t>
      </w:r>
      <w:r>
        <w:rPr>
          <w:color w:val="231F20"/>
        </w:rPr>
        <w:t>de </w:t>
      </w:r>
      <w:r>
        <w:rPr>
          <w:color w:val="231F20"/>
          <w:spacing w:val="3"/>
        </w:rPr>
        <w:t>dominación </w:t>
      </w:r>
      <w:r>
        <w:rPr>
          <w:color w:val="231F20"/>
          <w:spacing w:val="2"/>
        </w:rPr>
        <w:t>externas </w:t>
      </w:r>
      <w:r>
        <w:rPr>
          <w:color w:val="231F20"/>
        </w:rPr>
        <w:t>a la </w:t>
      </w:r>
      <w:r>
        <w:rPr>
          <w:color w:val="231F20"/>
          <w:spacing w:val="2"/>
        </w:rPr>
        <w:t>familia; </w:t>
      </w:r>
      <w:r>
        <w:rPr>
          <w:color w:val="231F20"/>
        </w:rPr>
        <w:t>es </w:t>
      </w:r>
      <w:r>
        <w:rPr>
          <w:color w:val="231F20"/>
          <w:spacing w:val="2"/>
        </w:rPr>
        <w:t>obligado </w:t>
      </w:r>
      <w:r>
        <w:rPr>
          <w:color w:val="231F20"/>
        </w:rPr>
        <w:t>a </w:t>
      </w:r>
      <w:r>
        <w:rPr>
          <w:color w:val="231F20"/>
          <w:spacing w:val="2"/>
        </w:rPr>
        <w:t>internalizar conductas </w:t>
      </w:r>
      <w:r>
        <w:rPr>
          <w:color w:val="231F20"/>
        </w:rPr>
        <w:t>de </w:t>
      </w:r>
      <w:r>
        <w:rPr>
          <w:color w:val="231F20"/>
          <w:spacing w:val="2"/>
        </w:rPr>
        <w:t>obediencia </w:t>
      </w:r>
      <w:r>
        <w:rPr>
          <w:color w:val="231F20"/>
        </w:rPr>
        <w:t>y </w:t>
      </w:r>
      <w:r>
        <w:rPr>
          <w:color w:val="231F20"/>
          <w:spacing w:val="3"/>
        </w:rPr>
        <w:t>sometimiento </w:t>
      </w:r>
      <w:r>
        <w:rPr>
          <w:color w:val="231F20"/>
        </w:rPr>
        <w:t>a  la </w:t>
      </w:r>
      <w:r>
        <w:rPr>
          <w:color w:val="231F20"/>
          <w:spacing w:val="2"/>
        </w:rPr>
        <w:t>autoridad </w:t>
      </w:r>
      <w:r>
        <w:rPr>
          <w:color w:val="231F20"/>
          <w:spacing w:val="3"/>
        </w:rPr>
        <w:t>(Horkheimer, </w:t>
      </w:r>
      <w:r>
        <w:rPr>
          <w:color w:val="231F20"/>
          <w:spacing w:val="2"/>
        </w:rPr>
        <w:t>1974:</w:t>
      </w:r>
      <w:r>
        <w:rPr>
          <w:color w:val="231F20"/>
          <w:spacing w:val="-28"/>
        </w:rPr>
        <w:t> </w:t>
      </w:r>
      <w:r>
        <w:rPr>
          <w:color w:val="231F20"/>
          <w:spacing w:val="2"/>
        </w:rPr>
        <w:t>130).</w:t>
      </w:r>
    </w:p>
    <w:p>
      <w:pPr>
        <w:pStyle w:val="BodyText"/>
        <w:spacing w:line="249" w:lineRule="auto" w:before="1"/>
        <w:ind w:left="102" w:right="115" w:firstLine="284"/>
        <w:jc w:val="both"/>
      </w:pPr>
      <w:r>
        <w:rPr>
          <w:color w:val="231F20"/>
        </w:rPr>
        <w:t>La mujer es referida como dependiente del salario y la posición del jefe de la familia. El autor cita a Engels para apoyar su visión del cambio en la posición que la mujer ha experimentado en la historia, desde el matriarcado hasta el matrimonio monogámico; muestra cómo el proceso de sometimiento de la mujer fue efectuado de una manera violenta, que no excluyó el terror y las formas de persecu- ción, a medida que las fuerzas productivas iban cambiando.</w:t>
      </w:r>
    </w:p>
    <w:p>
      <w:pPr>
        <w:pStyle w:val="BodyText"/>
        <w:spacing w:line="249" w:lineRule="auto"/>
        <w:ind w:left="101" w:right="115" w:firstLine="284"/>
        <w:jc w:val="both"/>
      </w:pPr>
      <w:r>
        <w:rPr>
          <w:color w:val="231F20"/>
          <w:spacing w:val="3"/>
        </w:rPr>
        <w:t>Horkheimer </w:t>
      </w:r>
      <w:r>
        <w:rPr>
          <w:color w:val="231F20"/>
          <w:spacing w:val="2"/>
        </w:rPr>
        <w:t>hace </w:t>
      </w:r>
      <w:r>
        <w:rPr>
          <w:color w:val="231F20"/>
        </w:rPr>
        <w:t>una </w:t>
      </w:r>
      <w:r>
        <w:rPr>
          <w:color w:val="231F20"/>
          <w:spacing w:val="2"/>
        </w:rPr>
        <w:t>exégesis </w:t>
      </w:r>
      <w:r>
        <w:rPr>
          <w:color w:val="231F20"/>
        </w:rPr>
        <w:t>en </w:t>
      </w:r>
      <w:r>
        <w:rPr>
          <w:color w:val="231F20"/>
          <w:spacing w:val="2"/>
        </w:rPr>
        <w:t>torno </w:t>
      </w:r>
      <w:r>
        <w:rPr>
          <w:color w:val="231F20"/>
        </w:rPr>
        <w:t>al </w:t>
      </w:r>
      <w:r>
        <w:rPr>
          <w:color w:val="231F20"/>
          <w:spacing w:val="2"/>
        </w:rPr>
        <w:t>concepto </w:t>
      </w:r>
      <w:r>
        <w:rPr>
          <w:color w:val="231F20"/>
        </w:rPr>
        <w:t>de </w:t>
      </w:r>
      <w:r>
        <w:rPr>
          <w:color w:val="231F20"/>
          <w:spacing w:val="2"/>
        </w:rPr>
        <w:t>autori- dad </w:t>
      </w:r>
      <w:r>
        <w:rPr>
          <w:color w:val="231F20"/>
        </w:rPr>
        <w:t>y a la fe </w:t>
      </w:r>
      <w:r>
        <w:rPr>
          <w:color w:val="231F20"/>
          <w:spacing w:val="2"/>
        </w:rPr>
        <w:t>que los individuos expresan </w:t>
      </w:r>
      <w:r>
        <w:rPr>
          <w:color w:val="231F20"/>
        </w:rPr>
        <w:t>en ella. El </w:t>
      </w:r>
      <w:r>
        <w:rPr>
          <w:color w:val="231F20"/>
          <w:spacing w:val="3"/>
        </w:rPr>
        <w:t>mandar </w:t>
      </w:r>
      <w:r>
        <w:rPr>
          <w:color w:val="231F20"/>
        </w:rPr>
        <w:t>y </w:t>
      </w:r>
      <w:r>
        <w:rPr>
          <w:color w:val="231F20"/>
          <w:spacing w:val="2"/>
        </w:rPr>
        <w:t>obe- decer </w:t>
      </w:r>
      <w:r>
        <w:rPr>
          <w:color w:val="231F20"/>
          <w:spacing w:val="3"/>
        </w:rPr>
        <w:t>depende </w:t>
      </w:r>
      <w:r>
        <w:rPr>
          <w:color w:val="231F20"/>
          <w:spacing w:val="2"/>
        </w:rPr>
        <w:t>esencialmente </w:t>
      </w:r>
      <w:r>
        <w:rPr>
          <w:color w:val="231F20"/>
        </w:rPr>
        <w:t>de la </w:t>
      </w:r>
      <w:r>
        <w:rPr>
          <w:color w:val="231F20"/>
          <w:spacing w:val="2"/>
        </w:rPr>
        <w:t>aceptación </w:t>
      </w:r>
      <w:r>
        <w:rPr>
          <w:color w:val="231F20"/>
        </w:rPr>
        <w:t>de </w:t>
      </w:r>
      <w:r>
        <w:rPr>
          <w:color w:val="231F20"/>
          <w:spacing w:val="2"/>
        </w:rPr>
        <w:t>quienes intervie- nen </w:t>
      </w:r>
      <w:r>
        <w:rPr>
          <w:color w:val="231F20"/>
        </w:rPr>
        <w:t>en la </w:t>
      </w:r>
      <w:r>
        <w:rPr>
          <w:color w:val="231F20"/>
          <w:spacing w:val="2"/>
        </w:rPr>
        <w:t>relación; </w:t>
      </w:r>
      <w:r>
        <w:rPr>
          <w:color w:val="231F20"/>
        </w:rPr>
        <w:t>no se </w:t>
      </w:r>
      <w:r>
        <w:rPr>
          <w:color w:val="231F20"/>
          <w:spacing w:val="2"/>
        </w:rPr>
        <w:t>trata </w:t>
      </w:r>
      <w:r>
        <w:rPr>
          <w:color w:val="231F20"/>
        </w:rPr>
        <w:t>de </w:t>
      </w:r>
      <w:r>
        <w:rPr>
          <w:color w:val="231F20"/>
          <w:spacing w:val="2"/>
        </w:rPr>
        <w:t>averiguar los alcances cognitivos </w:t>
      </w:r>
      <w:r>
        <w:rPr>
          <w:color w:val="231F20"/>
        </w:rPr>
        <w:t>o de </w:t>
      </w:r>
      <w:r>
        <w:rPr>
          <w:color w:val="231F20"/>
          <w:spacing w:val="2"/>
        </w:rPr>
        <w:t>fuerza que </w:t>
      </w:r>
      <w:r>
        <w:rPr>
          <w:color w:val="231F20"/>
        </w:rPr>
        <w:t>el </w:t>
      </w:r>
      <w:r>
        <w:rPr>
          <w:color w:val="231F20"/>
          <w:spacing w:val="2"/>
        </w:rPr>
        <w:t>que </w:t>
      </w:r>
      <w:r>
        <w:rPr>
          <w:color w:val="231F20"/>
          <w:spacing w:val="3"/>
        </w:rPr>
        <w:t>manda </w:t>
      </w:r>
      <w:r>
        <w:rPr>
          <w:color w:val="231F20"/>
          <w:spacing w:val="2"/>
        </w:rPr>
        <w:t>posee, </w:t>
      </w:r>
      <w:r>
        <w:rPr>
          <w:color w:val="231F20"/>
        </w:rPr>
        <w:t>sea </w:t>
      </w:r>
      <w:r>
        <w:rPr>
          <w:color w:val="231F20"/>
          <w:spacing w:val="2"/>
        </w:rPr>
        <w:t>rey, dios, jefe, por </w:t>
      </w:r>
      <w:r>
        <w:rPr>
          <w:color w:val="231F20"/>
        </w:rPr>
        <w:t>un </w:t>
      </w:r>
      <w:r>
        <w:rPr>
          <w:color w:val="231F20"/>
          <w:spacing w:val="2"/>
        </w:rPr>
        <w:t>hecho </w:t>
      </w:r>
      <w:r>
        <w:rPr>
          <w:color w:val="231F20"/>
        </w:rPr>
        <w:t>de fe, de </w:t>
      </w:r>
      <w:r>
        <w:rPr>
          <w:color w:val="231F20"/>
          <w:spacing w:val="2"/>
        </w:rPr>
        <w:t>quien obedece, </w:t>
      </w:r>
      <w:r>
        <w:rPr>
          <w:color w:val="231F20"/>
        </w:rPr>
        <w:t>en la </w:t>
      </w:r>
      <w:r>
        <w:rPr>
          <w:color w:val="231F20"/>
          <w:spacing w:val="2"/>
        </w:rPr>
        <w:t>autoridad. </w:t>
      </w:r>
      <w:r>
        <w:rPr>
          <w:color w:val="231F20"/>
        </w:rPr>
        <w:t>El </w:t>
      </w:r>
      <w:r>
        <w:rPr>
          <w:color w:val="231F20"/>
          <w:spacing w:val="2"/>
        </w:rPr>
        <w:t>elemento psí- quico tiene raíces </w:t>
      </w:r>
      <w:r>
        <w:rPr>
          <w:color w:val="231F20"/>
          <w:spacing w:val="3"/>
        </w:rPr>
        <w:t>económicas, </w:t>
      </w:r>
      <w:r>
        <w:rPr>
          <w:color w:val="231F20"/>
          <w:spacing w:val="2"/>
        </w:rPr>
        <w:t>pero </w:t>
      </w:r>
      <w:r>
        <w:rPr>
          <w:color w:val="231F20"/>
        </w:rPr>
        <w:t>su </w:t>
      </w:r>
      <w:r>
        <w:rPr>
          <w:color w:val="231F20"/>
          <w:spacing w:val="2"/>
        </w:rPr>
        <w:t>expresión </w:t>
      </w:r>
      <w:r>
        <w:rPr>
          <w:color w:val="231F20"/>
        </w:rPr>
        <w:t>y su </w:t>
      </w:r>
      <w:r>
        <w:rPr>
          <w:color w:val="231F20"/>
          <w:spacing w:val="3"/>
        </w:rPr>
        <w:t>determinan- </w:t>
      </w:r>
      <w:r>
        <w:rPr>
          <w:color w:val="231F20"/>
        </w:rPr>
        <w:t>te </w:t>
      </w:r>
      <w:r>
        <w:rPr>
          <w:color w:val="231F20"/>
          <w:spacing w:val="2"/>
        </w:rPr>
        <w:t>inicial son psicológicas. Hasta </w:t>
      </w:r>
      <w:r>
        <w:rPr>
          <w:color w:val="231F20"/>
        </w:rPr>
        <w:t>qué </w:t>
      </w:r>
      <w:r>
        <w:rPr>
          <w:color w:val="231F20"/>
          <w:spacing w:val="2"/>
        </w:rPr>
        <w:t>punto </w:t>
      </w:r>
      <w:r>
        <w:rPr>
          <w:color w:val="231F20"/>
        </w:rPr>
        <w:t>el </w:t>
      </w:r>
      <w:r>
        <w:rPr>
          <w:color w:val="231F20"/>
          <w:spacing w:val="3"/>
        </w:rPr>
        <w:t>sometimiento </w:t>
      </w:r>
      <w:r>
        <w:rPr>
          <w:color w:val="231F20"/>
        </w:rPr>
        <w:t>a la </w:t>
      </w:r>
      <w:r>
        <w:rPr>
          <w:color w:val="231F20"/>
          <w:spacing w:val="2"/>
        </w:rPr>
        <w:t>figura </w:t>
      </w:r>
      <w:r>
        <w:rPr>
          <w:color w:val="231F20"/>
        </w:rPr>
        <w:t>de </w:t>
      </w:r>
      <w:r>
        <w:rPr>
          <w:color w:val="231F20"/>
          <w:spacing w:val="2"/>
        </w:rPr>
        <w:t>autoridad </w:t>
      </w:r>
      <w:r>
        <w:rPr>
          <w:color w:val="231F20"/>
        </w:rPr>
        <w:t>es </w:t>
      </w:r>
      <w:r>
        <w:rPr>
          <w:color w:val="231F20"/>
          <w:spacing w:val="3"/>
        </w:rPr>
        <w:t>aceptado, </w:t>
      </w:r>
      <w:r>
        <w:rPr>
          <w:color w:val="231F20"/>
        </w:rPr>
        <w:t>se </w:t>
      </w:r>
      <w:r>
        <w:rPr>
          <w:color w:val="231F20"/>
          <w:spacing w:val="2"/>
        </w:rPr>
        <w:t>explica por </w:t>
      </w:r>
      <w:r>
        <w:rPr>
          <w:color w:val="231F20"/>
        </w:rPr>
        <w:t>el </w:t>
      </w:r>
      <w:r>
        <w:rPr>
          <w:color w:val="231F20"/>
          <w:spacing w:val="2"/>
        </w:rPr>
        <w:t>grado </w:t>
      </w:r>
      <w:r>
        <w:rPr>
          <w:color w:val="231F20"/>
        </w:rPr>
        <w:t>en que el </w:t>
      </w:r>
      <w:r>
        <w:rPr>
          <w:color w:val="231F20"/>
          <w:spacing w:val="2"/>
        </w:rPr>
        <w:t>terror </w:t>
      </w:r>
      <w:r>
        <w:rPr>
          <w:color w:val="231F20"/>
        </w:rPr>
        <w:t>ha sido </w:t>
      </w:r>
      <w:r>
        <w:rPr>
          <w:color w:val="231F20"/>
          <w:spacing w:val="2"/>
        </w:rPr>
        <w:t>convertido </w:t>
      </w:r>
      <w:r>
        <w:rPr>
          <w:color w:val="231F20"/>
        </w:rPr>
        <w:t>en </w:t>
      </w:r>
      <w:r>
        <w:rPr>
          <w:color w:val="231F20"/>
          <w:spacing w:val="2"/>
        </w:rPr>
        <w:t>deber desde </w:t>
      </w:r>
      <w:r>
        <w:rPr>
          <w:color w:val="231F20"/>
        </w:rPr>
        <w:t>el </w:t>
      </w:r>
      <w:r>
        <w:rPr>
          <w:color w:val="231F20"/>
          <w:spacing w:val="2"/>
        </w:rPr>
        <w:t>personaje </w:t>
      </w:r>
      <w:r>
        <w:rPr>
          <w:color w:val="231F20"/>
          <w:spacing w:val="50"/>
        </w:rPr>
        <w:t> </w:t>
      </w:r>
      <w:r>
        <w:rPr>
          <w:color w:val="231F20"/>
          <w:spacing w:val="3"/>
        </w:rPr>
        <w:t>sometido.</w:t>
      </w:r>
    </w:p>
    <w:p>
      <w:pPr>
        <w:spacing w:after="0" w:line="249" w:lineRule="auto"/>
        <w:jc w:val="both"/>
        <w:sectPr>
          <w:headerReference w:type="default" r:id="rId528"/>
          <w:footerReference w:type="default" r:id="rId529"/>
          <w:pgSz w:w="7830" w:h="11910"/>
          <w:pgMar w:header="0" w:footer="424" w:top="500" w:bottom="620" w:left="920" w:right="900"/>
          <w:pgNumType w:start="23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7" w:firstLine="284"/>
        <w:jc w:val="both"/>
      </w:pPr>
      <w:r>
        <w:rPr>
          <w:color w:val="231F20"/>
        </w:rPr>
        <w:t>Se destaca en esta exposición el sentido de culpa como perma- nente disposición al sacrificio, en términos de una renuencia a la transgresión de las normas; el “instinto” en este sentido, es un producto de la familia burguesa.</w:t>
      </w:r>
    </w:p>
    <w:p>
      <w:pPr>
        <w:pStyle w:val="BodyText"/>
        <w:spacing w:line="249" w:lineRule="auto" w:before="1"/>
        <w:ind w:left="101" w:right="114" w:firstLine="284"/>
        <w:jc w:val="both"/>
      </w:pPr>
      <w:r>
        <w:rPr>
          <w:color w:val="231F20"/>
        </w:rPr>
        <w:t>En la </w:t>
      </w:r>
      <w:r>
        <w:rPr>
          <w:color w:val="231F20"/>
          <w:spacing w:val="2"/>
        </w:rPr>
        <w:t>investigación desarrollada </w:t>
      </w:r>
      <w:r>
        <w:rPr>
          <w:color w:val="231F20"/>
        </w:rPr>
        <w:t>a </w:t>
      </w:r>
      <w:r>
        <w:rPr>
          <w:color w:val="231F20"/>
          <w:spacing w:val="3"/>
        </w:rPr>
        <w:t>propósito </w:t>
      </w:r>
      <w:r>
        <w:rPr>
          <w:color w:val="231F20"/>
        </w:rPr>
        <w:t>de </w:t>
      </w:r>
      <w:r>
        <w:rPr>
          <w:color w:val="231F20"/>
          <w:spacing w:val="2"/>
        </w:rPr>
        <w:t>violencia </w:t>
      </w:r>
      <w:r>
        <w:rPr>
          <w:color w:val="231F20"/>
        </w:rPr>
        <w:t>en </w:t>
      </w:r>
      <w:r>
        <w:rPr>
          <w:color w:val="231F20"/>
          <w:spacing w:val="2"/>
        </w:rPr>
        <w:t>las aulas, </w:t>
      </w:r>
      <w:r>
        <w:rPr>
          <w:color w:val="231F20"/>
          <w:spacing w:val="3"/>
        </w:rPr>
        <w:t>encontramos </w:t>
      </w:r>
      <w:r>
        <w:rPr>
          <w:color w:val="231F20"/>
        </w:rPr>
        <w:t>en las </w:t>
      </w:r>
      <w:r>
        <w:rPr>
          <w:color w:val="231F20"/>
          <w:spacing w:val="2"/>
        </w:rPr>
        <w:t>relaciones entre </w:t>
      </w:r>
      <w:r>
        <w:rPr>
          <w:color w:val="231F20"/>
          <w:spacing w:val="3"/>
        </w:rPr>
        <w:t>profesores </w:t>
      </w:r>
      <w:r>
        <w:rPr>
          <w:color w:val="231F20"/>
        </w:rPr>
        <w:t>y </w:t>
      </w:r>
      <w:r>
        <w:rPr>
          <w:color w:val="231F20"/>
          <w:spacing w:val="3"/>
        </w:rPr>
        <w:t>alumnos </w:t>
      </w:r>
      <w:r>
        <w:rPr>
          <w:color w:val="231F20"/>
          <w:spacing w:val="2"/>
        </w:rPr>
        <w:t>expresiones que remiten </w:t>
      </w:r>
      <w:r>
        <w:rPr>
          <w:color w:val="231F20"/>
        </w:rPr>
        <w:t>a la </w:t>
      </w:r>
      <w:r>
        <w:rPr>
          <w:color w:val="231F20"/>
          <w:spacing w:val="3"/>
        </w:rPr>
        <w:t>manera </w:t>
      </w:r>
      <w:r>
        <w:rPr>
          <w:color w:val="231F20"/>
        </w:rPr>
        <w:t>en </w:t>
      </w:r>
      <w:r>
        <w:rPr>
          <w:color w:val="231F20"/>
          <w:spacing w:val="2"/>
        </w:rPr>
        <w:t>que  fueron  </w:t>
      </w:r>
      <w:r>
        <w:rPr>
          <w:color w:val="231F20"/>
          <w:spacing w:val="3"/>
        </w:rPr>
        <w:t>formados </w:t>
      </w:r>
      <w:r>
        <w:rPr>
          <w:color w:val="231F20"/>
          <w:spacing w:val="2"/>
        </w:rPr>
        <w:t>antes </w:t>
      </w:r>
      <w:r>
        <w:rPr>
          <w:color w:val="231F20"/>
        </w:rPr>
        <w:t>de la </w:t>
      </w:r>
      <w:r>
        <w:rPr>
          <w:color w:val="231F20"/>
          <w:spacing w:val="2"/>
        </w:rPr>
        <w:t>escuela rasgos </w:t>
      </w:r>
      <w:r>
        <w:rPr>
          <w:color w:val="231F20"/>
        </w:rPr>
        <w:t>que no </w:t>
      </w:r>
      <w:r>
        <w:rPr>
          <w:color w:val="231F20"/>
          <w:spacing w:val="2"/>
        </w:rPr>
        <w:t>dejan </w:t>
      </w:r>
      <w:r>
        <w:rPr>
          <w:color w:val="231F20"/>
        </w:rPr>
        <w:t>de </w:t>
      </w:r>
      <w:r>
        <w:rPr>
          <w:color w:val="231F20"/>
          <w:spacing w:val="2"/>
        </w:rPr>
        <w:t>estar presentes </w:t>
      </w:r>
      <w:r>
        <w:rPr>
          <w:color w:val="231F20"/>
          <w:spacing w:val="3"/>
        </w:rPr>
        <w:t>como contexto, como </w:t>
      </w:r>
      <w:r>
        <w:rPr>
          <w:color w:val="231F20"/>
          <w:spacing w:val="2"/>
        </w:rPr>
        <w:t>“historia factual” diría </w:t>
      </w:r>
      <w:r>
        <w:rPr>
          <w:color w:val="231F20"/>
          <w:spacing w:val="3"/>
        </w:rPr>
        <w:t>Gadamer, </w:t>
      </w:r>
      <w:r>
        <w:rPr>
          <w:color w:val="231F20"/>
        </w:rPr>
        <w:t>y </w:t>
      </w:r>
      <w:r>
        <w:rPr>
          <w:color w:val="231F20"/>
          <w:spacing w:val="2"/>
        </w:rPr>
        <w:t>que son </w:t>
      </w:r>
      <w:r>
        <w:rPr>
          <w:color w:val="231F20"/>
          <w:spacing w:val="3"/>
        </w:rPr>
        <w:t>acep- </w:t>
      </w:r>
      <w:r>
        <w:rPr>
          <w:color w:val="231F20"/>
          <w:spacing w:val="2"/>
        </w:rPr>
        <w:t>tados tácitamente, </w:t>
      </w:r>
      <w:r>
        <w:rPr>
          <w:color w:val="231F20"/>
          <w:spacing w:val="3"/>
        </w:rPr>
        <w:t>reproducidos </w:t>
      </w:r>
      <w:r>
        <w:rPr>
          <w:color w:val="231F20"/>
        </w:rPr>
        <w:t>y, </w:t>
      </w:r>
      <w:r>
        <w:rPr>
          <w:color w:val="231F20"/>
          <w:spacing w:val="2"/>
        </w:rPr>
        <w:t>sobre todo, </w:t>
      </w:r>
      <w:r>
        <w:rPr>
          <w:color w:val="231F20"/>
          <w:spacing w:val="3"/>
        </w:rPr>
        <w:t>mantenidos vigen- </w:t>
      </w:r>
      <w:r>
        <w:rPr>
          <w:color w:val="231F20"/>
          <w:spacing w:val="2"/>
        </w:rPr>
        <w:t>tes, actuantes, </w:t>
      </w:r>
      <w:r>
        <w:rPr>
          <w:color w:val="231F20"/>
          <w:spacing w:val="3"/>
        </w:rPr>
        <w:t>como </w:t>
      </w:r>
      <w:r>
        <w:rPr>
          <w:color w:val="231F20"/>
          <w:spacing w:val="2"/>
        </w:rPr>
        <w:t>colonización </w:t>
      </w:r>
      <w:r>
        <w:rPr>
          <w:color w:val="231F20"/>
        </w:rPr>
        <w:t>del </w:t>
      </w:r>
      <w:r>
        <w:rPr>
          <w:color w:val="231F20"/>
          <w:spacing w:val="2"/>
        </w:rPr>
        <w:t>sistema capitalista, </w:t>
      </w:r>
      <w:r>
        <w:rPr>
          <w:color w:val="231F20"/>
        </w:rPr>
        <w:t>y </w:t>
      </w:r>
      <w:r>
        <w:rPr>
          <w:color w:val="231F20"/>
          <w:spacing w:val="2"/>
        </w:rPr>
        <w:t>que aparecen </w:t>
      </w:r>
      <w:r>
        <w:rPr>
          <w:color w:val="231F20"/>
          <w:spacing w:val="3"/>
        </w:rPr>
        <w:t>como </w:t>
      </w:r>
      <w:r>
        <w:rPr>
          <w:color w:val="231F20"/>
          <w:spacing w:val="2"/>
        </w:rPr>
        <w:t>taras </w:t>
      </w:r>
      <w:r>
        <w:rPr>
          <w:color w:val="231F20"/>
        </w:rPr>
        <w:t>en el </w:t>
      </w:r>
      <w:r>
        <w:rPr>
          <w:color w:val="231F20"/>
          <w:spacing w:val="2"/>
        </w:rPr>
        <w:t>proceso educativo, </w:t>
      </w:r>
      <w:r>
        <w:rPr>
          <w:color w:val="231F20"/>
          <w:spacing w:val="3"/>
        </w:rPr>
        <w:t>menos </w:t>
      </w:r>
      <w:r>
        <w:rPr>
          <w:color w:val="231F20"/>
          <w:spacing w:val="2"/>
        </w:rPr>
        <w:t>evidentes </w:t>
      </w:r>
      <w:r>
        <w:rPr>
          <w:color w:val="231F20"/>
          <w:spacing w:val="3"/>
        </w:rPr>
        <w:t>en</w:t>
      </w:r>
      <w:r>
        <w:rPr>
          <w:color w:val="231F20"/>
          <w:spacing w:val="58"/>
        </w:rPr>
        <w:t> </w:t>
      </w:r>
      <w:r>
        <w:rPr>
          <w:color w:val="231F20"/>
        </w:rPr>
        <w:t>el </w:t>
      </w:r>
      <w:r>
        <w:rPr>
          <w:color w:val="231F20"/>
          <w:spacing w:val="2"/>
        </w:rPr>
        <w:t>nivel superior que </w:t>
      </w:r>
      <w:r>
        <w:rPr>
          <w:color w:val="231F20"/>
        </w:rPr>
        <w:t>en la </w:t>
      </w:r>
      <w:r>
        <w:rPr>
          <w:color w:val="231F20"/>
          <w:spacing w:val="2"/>
        </w:rPr>
        <w:t>secundaria </w:t>
      </w:r>
      <w:r>
        <w:rPr>
          <w:color w:val="231F20"/>
        </w:rPr>
        <w:t>o en el </w:t>
      </w:r>
      <w:r>
        <w:rPr>
          <w:color w:val="231F20"/>
          <w:spacing w:val="2"/>
        </w:rPr>
        <w:t>bachillerato, </w:t>
      </w:r>
      <w:r>
        <w:rPr>
          <w:color w:val="231F20"/>
        </w:rPr>
        <w:t>de la </w:t>
      </w:r>
      <w:r>
        <w:rPr>
          <w:color w:val="231F20"/>
          <w:spacing w:val="2"/>
        </w:rPr>
        <w:t>violencia con </w:t>
      </w:r>
      <w:r>
        <w:rPr>
          <w:color w:val="231F20"/>
        </w:rPr>
        <w:t>la que </w:t>
      </w:r>
      <w:r>
        <w:rPr>
          <w:color w:val="231F20"/>
          <w:spacing w:val="2"/>
        </w:rPr>
        <w:t>diariamente</w:t>
      </w:r>
      <w:r>
        <w:rPr>
          <w:color w:val="231F20"/>
          <w:spacing w:val="-21"/>
        </w:rPr>
        <w:t> </w:t>
      </w:r>
      <w:r>
        <w:rPr>
          <w:color w:val="231F20"/>
          <w:spacing w:val="2"/>
        </w:rPr>
        <w:t>lidiamos.</w:t>
      </w:r>
    </w:p>
    <w:p>
      <w:pPr>
        <w:pStyle w:val="BodyText"/>
        <w:spacing w:line="249" w:lineRule="auto"/>
        <w:ind w:left="101" w:right="117" w:firstLine="284"/>
        <w:jc w:val="both"/>
      </w:pPr>
      <w:r>
        <w:rPr>
          <w:color w:val="231F20"/>
        </w:rPr>
        <w:t>Enfoques de Arendt (2005), Walter Benjamin (2011) y desarro- llos empíricos muestran sucesivamente la herencia capitalista de violencia expresada en la guerra y la dominación estatal; el surgi- miento de la violencia a partir del Derecho y la Moral, y finalmen- te los esfuerzos por ilustrar, desde ningún lado visible, las mues- tras de violencia escolarizada.</w:t>
      </w:r>
    </w:p>
    <w:p>
      <w:pPr>
        <w:pStyle w:val="BodyText"/>
        <w:spacing w:line="247" w:lineRule="auto"/>
        <w:ind w:left="101" w:right="120" w:firstLine="284"/>
        <w:jc w:val="both"/>
      </w:pPr>
      <w:r>
        <w:rPr>
          <w:color w:val="231F20"/>
        </w:rPr>
        <w:t>Optamos por anteponer a esta investigación, a la vista de los anteriores esfuerzos, una visión que justificara lo siguiente:</w:t>
      </w:r>
    </w:p>
    <w:p>
      <w:pPr>
        <w:pStyle w:val="BodyText"/>
        <w:spacing w:before="9"/>
      </w:pPr>
    </w:p>
    <w:p>
      <w:pPr>
        <w:pStyle w:val="ListParagraph"/>
        <w:numPr>
          <w:ilvl w:val="0"/>
          <w:numId w:val="12"/>
        </w:numPr>
        <w:tabs>
          <w:tab w:pos="822" w:val="left" w:leader="none"/>
        </w:tabs>
        <w:spacing w:line="247" w:lineRule="auto" w:before="0" w:after="0"/>
        <w:ind w:left="821" w:right="116" w:hanging="360"/>
        <w:jc w:val="both"/>
        <w:rPr>
          <w:sz w:val="21"/>
        </w:rPr>
      </w:pPr>
      <w:r>
        <w:rPr>
          <w:color w:val="231F20"/>
          <w:sz w:val="21"/>
        </w:rPr>
        <w:t>El sentido como ámbito objetual. Esto implica centrarse en las relaciones lingüísticas en la interacción entre profesores y alumnos, a fin de detectar situaciones de violencia que se expresan mediante acciones</w:t>
      </w:r>
      <w:r>
        <w:rPr>
          <w:color w:val="231F20"/>
          <w:spacing w:val="-22"/>
          <w:sz w:val="21"/>
        </w:rPr>
        <w:t> </w:t>
      </w:r>
      <w:r>
        <w:rPr>
          <w:color w:val="231F20"/>
          <w:sz w:val="21"/>
        </w:rPr>
        <w:t>sociales.</w:t>
      </w:r>
    </w:p>
    <w:p>
      <w:pPr>
        <w:pStyle w:val="ListParagraph"/>
        <w:numPr>
          <w:ilvl w:val="0"/>
          <w:numId w:val="12"/>
        </w:numPr>
        <w:tabs>
          <w:tab w:pos="822" w:val="left" w:leader="none"/>
        </w:tabs>
        <w:spacing w:line="249" w:lineRule="auto" w:before="1" w:after="0"/>
        <w:ind w:left="821" w:right="117" w:hanging="360"/>
        <w:jc w:val="both"/>
        <w:rPr>
          <w:sz w:val="21"/>
        </w:rPr>
      </w:pPr>
      <w:r>
        <w:rPr>
          <w:color w:val="231F20"/>
          <w:sz w:val="21"/>
        </w:rPr>
        <w:t>La acción social centrada en la unilateralidad o en la concurrencia realizativa de los sujetos sociales interactuantes en las aulas de</w:t>
      </w:r>
      <w:r>
        <w:rPr>
          <w:color w:val="231F20"/>
          <w:spacing w:val="-28"/>
          <w:sz w:val="21"/>
        </w:rPr>
        <w:t> </w:t>
      </w:r>
      <w:r>
        <w:rPr>
          <w:color w:val="231F20"/>
          <w:sz w:val="21"/>
        </w:rPr>
        <w:t>clase.</w:t>
      </w:r>
    </w:p>
    <w:p>
      <w:pPr>
        <w:pStyle w:val="ListParagraph"/>
        <w:numPr>
          <w:ilvl w:val="0"/>
          <w:numId w:val="12"/>
        </w:numPr>
        <w:tabs>
          <w:tab w:pos="822" w:val="left" w:leader="none"/>
        </w:tabs>
        <w:spacing w:line="247" w:lineRule="auto" w:before="0" w:after="0"/>
        <w:ind w:left="821" w:right="117" w:hanging="360"/>
        <w:jc w:val="both"/>
        <w:rPr>
          <w:sz w:val="21"/>
        </w:rPr>
      </w:pPr>
      <w:r>
        <w:rPr>
          <w:color w:val="231F20"/>
          <w:sz w:val="21"/>
        </w:rPr>
        <w:t>Un recurso analítico de los conceptos Mundo de la Vida, Sistema y Colonización, que se materializan en la acción social y sentido, significado, de los actos de</w:t>
      </w:r>
      <w:r>
        <w:rPr>
          <w:color w:val="231F20"/>
          <w:spacing w:val="-36"/>
          <w:sz w:val="21"/>
        </w:rPr>
        <w:t> </w:t>
      </w:r>
      <w:r>
        <w:rPr>
          <w:color w:val="231F20"/>
          <w:sz w:val="21"/>
        </w:rPr>
        <w:t>habla.</w:t>
      </w:r>
    </w:p>
    <w:p>
      <w:pPr>
        <w:pStyle w:val="BodyText"/>
        <w:spacing w:before="9"/>
      </w:pPr>
    </w:p>
    <w:p>
      <w:pPr>
        <w:pStyle w:val="BodyText"/>
        <w:spacing w:line="247" w:lineRule="auto"/>
        <w:ind w:left="101" w:right="115" w:firstLine="284"/>
        <w:jc w:val="both"/>
      </w:pPr>
      <w:r>
        <w:rPr>
          <w:color w:val="231F20"/>
        </w:rPr>
        <w:t>Estos tres elementos conducen a identificar la violencia en las aulas en un caso de educación superior mediante un marco con- ceptual basado en las contribuciones teóricas de Habermas, deri- vando las acciones estratégicas y su conexión con la Colonización de los Mundos de la Vida por el Sistema, que conducen a ver de</w:t>
      </w:r>
    </w:p>
    <w:p>
      <w:pPr>
        <w:spacing w:after="0" w:line="247" w:lineRule="auto"/>
        <w:jc w:val="both"/>
        <w:sectPr>
          <w:headerReference w:type="default" r:id="rId530"/>
          <w:footerReference w:type="default" r:id="rId531"/>
          <w:pgSz w:w="7830" w:h="11910"/>
          <w:pgMar w:header="0" w:footer="424" w:top="500" w:bottom="620" w:left="920" w:right="900"/>
          <w:pgNumType w:start="23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5"/>
        <w:jc w:val="both"/>
      </w:pPr>
      <w:r>
        <w:rPr>
          <w:color w:val="231F20"/>
        </w:rPr>
        <w:t>manera diáfana algunas muestras de la violencia en las aulas de educación superior, a veces hasta ignorada por los propios profe- sores y alumnos, por efecto de lo que Horkheimer señala en rela- ción con la internalización de violencia y su transformación en valores y costumbres.</w:t>
      </w:r>
    </w:p>
    <w:p>
      <w:pPr>
        <w:pStyle w:val="BodyText"/>
        <w:spacing w:before="2"/>
        <w:rPr>
          <w:sz w:val="22"/>
        </w:rPr>
      </w:pPr>
    </w:p>
    <w:p>
      <w:pPr>
        <w:pStyle w:val="BodyText"/>
        <w:ind w:left="102"/>
        <w:jc w:val="both"/>
      </w:pPr>
      <w:r>
        <w:rPr>
          <w:color w:val="231F20"/>
        </w:rPr>
        <w:t>EL  SENTIDO:  ÁMBITO OBJETUAL</w:t>
      </w:r>
    </w:p>
    <w:p>
      <w:pPr>
        <w:pStyle w:val="BodyText"/>
        <w:spacing w:before="1"/>
      </w:pPr>
    </w:p>
    <w:p>
      <w:pPr>
        <w:pStyle w:val="BodyText"/>
        <w:spacing w:line="242" w:lineRule="auto" w:before="1"/>
        <w:ind w:left="102" w:right="121"/>
        <w:jc w:val="both"/>
      </w:pPr>
      <w:r>
        <w:rPr>
          <w:color w:val="231F20"/>
        </w:rPr>
        <w:t>Habermas explica lo que implica adoptar el sentido como ámbito objetual:</w:t>
      </w:r>
    </w:p>
    <w:p>
      <w:pPr>
        <w:pStyle w:val="ListParagraph"/>
        <w:numPr>
          <w:ilvl w:val="0"/>
          <w:numId w:val="13"/>
        </w:numPr>
        <w:tabs>
          <w:tab w:pos="823" w:val="left" w:leader="none"/>
        </w:tabs>
        <w:spacing w:line="247" w:lineRule="auto" w:before="151" w:after="0"/>
        <w:ind w:left="822" w:right="113" w:hanging="360"/>
        <w:jc w:val="both"/>
        <w:rPr>
          <w:i/>
          <w:sz w:val="21"/>
        </w:rPr>
      </w:pPr>
      <w:r>
        <w:rPr>
          <w:color w:val="231F20"/>
          <w:sz w:val="21"/>
        </w:rPr>
        <w:t>Permitir que el sentido</w:t>
      </w:r>
      <w:r>
        <w:rPr>
          <w:rFonts w:ascii="Malgun Gothic" w:hAnsi="Malgun Gothic"/>
          <w:color w:val="231F20"/>
          <w:sz w:val="21"/>
        </w:rPr>
        <w:t>,</w:t>
      </w:r>
      <w:r>
        <w:rPr>
          <w:color w:val="231F20"/>
          <w:sz w:val="21"/>
        </w:rPr>
        <w:t>aquí se trata del sentido </w:t>
      </w:r>
      <w:r>
        <w:rPr>
          <w:b/>
          <w:color w:val="231F20"/>
          <w:sz w:val="21"/>
        </w:rPr>
        <w:t>de la acción</w:t>
      </w:r>
      <w:r>
        <w:rPr>
          <w:color w:val="231F20"/>
          <w:sz w:val="21"/>
        </w:rPr>
        <w:t>, lo que le da materialidad al concepto mismo de “sentido”. Hay que recordar la herencia de Secarle y otros en torno del acto de habla, según el cual este implica al mismo tiempo acción como tal y lenguaje: cuando se   </w:t>
      </w:r>
      <w:r>
        <w:rPr>
          <w:color w:val="231F20"/>
          <w:spacing w:val="19"/>
          <w:sz w:val="21"/>
        </w:rPr>
        <w:t> </w:t>
      </w:r>
      <w:r>
        <w:rPr>
          <w:i/>
          <w:color w:val="231F20"/>
          <w:sz w:val="21"/>
        </w:rPr>
        <w:t>dice</w:t>
      </w:r>
    </w:p>
    <w:p>
      <w:pPr>
        <w:pStyle w:val="BodyText"/>
        <w:spacing w:line="248" w:lineRule="exact"/>
        <w:ind w:left="822" w:hanging="1"/>
        <w:jc w:val="both"/>
      </w:pPr>
      <w:r>
        <w:rPr>
          <w:color w:val="231F20"/>
        </w:rPr>
        <w:t>algo, con ello se </w:t>
      </w:r>
      <w:r>
        <w:rPr>
          <w:i/>
          <w:color w:val="231F20"/>
        </w:rPr>
        <w:t>hace </w:t>
      </w:r>
      <w:r>
        <w:rPr>
          <w:color w:val="231F20"/>
        </w:rPr>
        <w:t>algo al mismo tiempo</w:t>
      </w:r>
      <w:r>
        <w:rPr>
          <w:rFonts w:ascii="Malgun Gothic"/>
          <w:color w:val="231F20"/>
        </w:rPr>
        <w:t>,</w:t>
      </w:r>
      <w:r>
        <w:rPr>
          <w:color w:val="231F20"/>
        </w:rPr>
        <w:t>se constituya</w:t>
      </w:r>
    </w:p>
    <w:p>
      <w:pPr>
        <w:pStyle w:val="BodyText"/>
        <w:spacing w:line="247" w:lineRule="auto" w:before="7"/>
        <w:ind w:left="822" w:right="117"/>
        <w:jc w:val="both"/>
      </w:pPr>
      <w:r>
        <w:rPr>
          <w:color w:val="231F20"/>
        </w:rPr>
        <w:t>como el primer concepto fundamental de la teoría sociológica, como estructura del ámbito objetual de la disciplina y, más precisamente, como lo que debe ser abordado en la investigación de la acción social.</w:t>
      </w:r>
    </w:p>
    <w:p>
      <w:pPr>
        <w:pStyle w:val="ListParagraph"/>
        <w:numPr>
          <w:ilvl w:val="0"/>
          <w:numId w:val="13"/>
        </w:numPr>
        <w:tabs>
          <w:tab w:pos="823" w:val="left" w:leader="none"/>
        </w:tabs>
        <w:spacing w:line="240" w:lineRule="auto" w:before="1" w:after="0"/>
        <w:ind w:left="822" w:right="116" w:hanging="360"/>
        <w:jc w:val="both"/>
        <w:rPr>
          <w:sz w:val="21"/>
        </w:rPr>
      </w:pPr>
      <w:r>
        <w:rPr>
          <w:color w:val="231F20"/>
          <w:sz w:val="21"/>
        </w:rPr>
        <w:t>Admitir como conceptos fundadores de la teoría  las nociones de acción estratégica y acción comunicativa, que Habermas desarrolla de manera preliminar y definitoria (Habermas, 1990: 73) en </w:t>
      </w:r>
      <w:r>
        <w:rPr>
          <w:i/>
          <w:color w:val="231F20"/>
          <w:sz w:val="21"/>
        </w:rPr>
        <w:t>El pensamiento</w:t>
      </w:r>
      <w:r>
        <w:rPr>
          <w:i/>
          <w:color w:val="231F20"/>
          <w:spacing w:val="-24"/>
          <w:sz w:val="21"/>
        </w:rPr>
        <w:t> </w:t>
      </w:r>
      <w:r>
        <w:rPr>
          <w:i/>
          <w:color w:val="231F20"/>
          <w:sz w:val="21"/>
        </w:rPr>
        <w:t>postmetafísico</w:t>
      </w:r>
      <w:r>
        <w:rPr>
          <w:rFonts w:ascii="Segoe UI" w:hAnsi="Segoe UI"/>
          <w:i/>
          <w:color w:val="231F20"/>
          <w:sz w:val="21"/>
        </w:rPr>
        <w:t>,</w:t>
      </w:r>
      <w:r>
        <w:rPr>
          <w:color w:val="231F20"/>
          <w:sz w:val="21"/>
        </w:rPr>
        <w:t>este distingue dos tipos de actos de habla o interacciones lingüísticamente mediadas: la acción comunicativa y</w:t>
      </w:r>
      <w:r>
        <w:rPr>
          <w:color w:val="231F20"/>
          <w:spacing w:val="-3"/>
          <w:sz w:val="21"/>
        </w:rPr>
        <w:t> </w:t>
      </w:r>
      <w:r>
        <w:rPr>
          <w:color w:val="231F20"/>
          <w:sz w:val="21"/>
        </w:rPr>
        <w:t>acción</w:t>
      </w:r>
    </w:p>
    <w:p>
      <w:pPr>
        <w:pStyle w:val="BodyText"/>
        <w:spacing w:line="249" w:lineRule="auto" w:before="8"/>
        <w:ind w:left="822" w:right="116"/>
        <w:jc w:val="both"/>
      </w:pPr>
      <w:r>
        <w:rPr>
          <w:color w:val="231F20"/>
        </w:rPr>
        <w:t>estratégica. Ambos tipos de acción se dan en la realidad de manera entrelazada, aunque analíticamente es posible distinguir una de otra. Mientras que la acción comunicativa se da como producto de un proceso  de  entendimiento  entre los hablantes y sirve a la integración social, la acción estratégica se produce como consecuencia de una simple transmisión de informaciones y es</w:t>
      </w:r>
      <w:r>
        <w:rPr>
          <w:color w:val="231F20"/>
          <w:spacing w:val="-8"/>
        </w:rPr>
        <w:t> </w:t>
      </w:r>
      <w:r>
        <w:rPr>
          <w:color w:val="231F20"/>
        </w:rPr>
        <w:t>unilateral.</w:t>
      </w:r>
    </w:p>
    <w:p>
      <w:pPr>
        <w:pStyle w:val="ListParagraph"/>
        <w:numPr>
          <w:ilvl w:val="0"/>
          <w:numId w:val="13"/>
        </w:numPr>
        <w:tabs>
          <w:tab w:pos="823" w:val="left" w:leader="none"/>
        </w:tabs>
        <w:spacing w:line="247" w:lineRule="auto" w:before="0" w:after="0"/>
        <w:ind w:left="822" w:right="116" w:hanging="360"/>
        <w:jc w:val="both"/>
        <w:rPr>
          <w:sz w:val="21"/>
        </w:rPr>
      </w:pPr>
      <w:r>
        <w:rPr>
          <w:color w:val="231F20"/>
          <w:sz w:val="21"/>
        </w:rPr>
        <w:t>Optar por la utilización de las visiones elementalista y holista a un mismo tiempo, lo que lleva a admitir el sujeto y la   intersubjetividad   como   elementos   actuantes   en   </w:t>
      </w:r>
      <w:r>
        <w:rPr>
          <w:color w:val="231F20"/>
          <w:spacing w:val="30"/>
          <w:sz w:val="21"/>
        </w:rPr>
        <w:t> </w:t>
      </w:r>
      <w:r>
        <w:rPr>
          <w:color w:val="231F20"/>
          <w:sz w:val="21"/>
        </w:rPr>
        <w:t>la</w:t>
      </w:r>
    </w:p>
    <w:p>
      <w:pPr>
        <w:pStyle w:val="BodyText"/>
        <w:spacing w:line="254" w:lineRule="exact"/>
        <w:ind w:left="822"/>
        <w:jc w:val="both"/>
        <w:rPr>
          <w:rFonts w:ascii="Malgun Gothic"/>
        </w:rPr>
      </w:pPr>
      <w:r>
        <w:rPr>
          <w:rFonts w:ascii="PMingLiU"/>
          <w:color w:val="231F20"/>
        </w:rPr>
        <w:t>s</w:t>
      </w:r>
      <w:r>
        <w:rPr>
          <w:rFonts w:ascii="Calibri"/>
          <w:color w:val="231F20"/>
        </w:rPr>
        <w:t>ociedad </w:t>
      </w:r>
      <w:r>
        <w:rPr>
          <w:color w:val="231F20"/>
        </w:rPr>
        <w:t>(Habermas, 1993: 19-30)</w:t>
      </w:r>
      <w:r>
        <w:rPr>
          <w:rFonts w:ascii="Malgun Gothic"/>
          <w:color w:val="231F20"/>
        </w:rPr>
        <w:t>.</w:t>
      </w:r>
    </w:p>
    <w:p>
      <w:pPr>
        <w:spacing w:after="0" w:line="254" w:lineRule="exact"/>
        <w:jc w:val="both"/>
        <w:rPr>
          <w:rFonts w:ascii="Malgun Gothic"/>
        </w:rPr>
        <w:sectPr>
          <w:headerReference w:type="default" r:id="rId532"/>
          <w:footerReference w:type="default" r:id="rId533"/>
          <w:pgSz w:w="7830" w:h="11910"/>
          <w:pgMar w:header="0" w:footer="424" w:top="500" w:bottom="620" w:left="920" w:right="900"/>
          <w:pgNumType w:start="23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before="92"/>
        <w:ind w:left="102" w:right="0" w:firstLine="0"/>
        <w:jc w:val="both"/>
        <w:rPr>
          <w:i/>
          <w:sz w:val="21"/>
        </w:rPr>
      </w:pPr>
      <w:r>
        <w:rPr>
          <w:i/>
          <w:color w:val="231F20"/>
          <w:spacing w:val="3"/>
          <w:w w:val="128"/>
          <w:sz w:val="21"/>
        </w:rPr>
        <w:t>A</w:t>
      </w:r>
      <w:r>
        <w:rPr>
          <w:i/>
          <w:color w:val="231F20"/>
          <w:spacing w:val="1"/>
          <w:w w:val="62"/>
          <w:sz w:val="21"/>
        </w:rPr>
        <w:t>cc</w:t>
      </w:r>
      <w:r>
        <w:rPr>
          <w:i/>
          <w:color w:val="231F20"/>
          <w:w w:val="84"/>
          <w:sz w:val="21"/>
        </w:rPr>
        <w:t>i</w:t>
      </w:r>
      <w:r>
        <w:rPr>
          <w:i/>
          <w:color w:val="231F20"/>
          <w:spacing w:val="1"/>
          <w:w w:val="80"/>
          <w:sz w:val="21"/>
        </w:rPr>
        <w:t>on</w:t>
      </w:r>
      <w:r>
        <w:rPr>
          <w:i/>
          <w:color w:val="231F20"/>
          <w:spacing w:val="1"/>
          <w:w w:val="67"/>
          <w:sz w:val="21"/>
        </w:rPr>
        <w:t>e</w:t>
      </w:r>
      <w:r>
        <w:rPr>
          <w:i/>
          <w:color w:val="231F20"/>
          <w:w w:val="77"/>
          <w:sz w:val="21"/>
        </w:rPr>
        <w:t>s</w:t>
      </w:r>
      <w:r>
        <w:rPr>
          <w:i/>
          <w:color w:val="231F20"/>
          <w:spacing w:val="3"/>
          <w:sz w:val="21"/>
        </w:rPr>
        <w:t> </w:t>
      </w:r>
      <w:r>
        <w:rPr>
          <w:i/>
          <w:color w:val="231F20"/>
          <w:spacing w:val="1"/>
          <w:w w:val="67"/>
          <w:sz w:val="21"/>
        </w:rPr>
        <w:t>e</w:t>
      </w:r>
      <w:r>
        <w:rPr>
          <w:i/>
          <w:color w:val="231F20"/>
          <w:spacing w:val="1"/>
          <w:w w:val="77"/>
          <w:sz w:val="21"/>
        </w:rPr>
        <w:t>s</w:t>
      </w:r>
      <w:r>
        <w:rPr>
          <w:i/>
          <w:color w:val="231F20"/>
          <w:w w:val="92"/>
          <w:sz w:val="21"/>
        </w:rPr>
        <w:t>t</w:t>
      </w:r>
      <w:r>
        <w:rPr>
          <w:i/>
          <w:color w:val="231F20"/>
          <w:spacing w:val="1"/>
          <w:w w:val="79"/>
          <w:sz w:val="21"/>
        </w:rPr>
        <w:t>r</w:t>
      </w:r>
      <w:r>
        <w:rPr>
          <w:i/>
          <w:color w:val="231F20"/>
          <w:spacing w:val="1"/>
          <w:w w:val="83"/>
          <w:sz w:val="21"/>
        </w:rPr>
        <w:t>a</w:t>
      </w:r>
      <w:r>
        <w:rPr>
          <w:i/>
          <w:color w:val="231F20"/>
          <w:w w:val="92"/>
          <w:sz w:val="21"/>
        </w:rPr>
        <w:t>t</w:t>
      </w:r>
      <w:r>
        <w:rPr>
          <w:i/>
          <w:color w:val="231F20"/>
          <w:spacing w:val="1"/>
          <w:w w:val="67"/>
          <w:sz w:val="21"/>
        </w:rPr>
        <w:t>é</w:t>
      </w:r>
      <w:r>
        <w:rPr>
          <w:i/>
          <w:color w:val="231F20"/>
          <w:spacing w:val="1"/>
          <w:w w:val="66"/>
          <w:sz w:val="21"/>
        </w:rPr>
        <w:t>g</w:t>
      </w:r>
      <w:r>
        <w:rPr>
          <w:i/>
          <w:color w:val="231F20"/>
          <w:w w:val="84"/>
          <w:sz w:val="21"/>
        </w:rPr>
        <w:t>i</w:t>
      </w:r>
      <w:r>
        <w:rPr>
          <w:i/>
          <w:color w:val="231F20"/>
          <w:spacing w:val="1"/>
          <w:w w:val="62"/>
          <w:sz w:val="21"/>
        </w:rPr>
        <w:t>c</w:t>
      </w:r>
      <w:r>
        <w:rPr>
          <w:i/>
          <w:color w:val="231F20"/>
          <w:spacing w:val="1"/>
          <w:w w:val="83"/>
          <w:sz w:val="21"/>
        </w:rPr>
        <w:t>a</w:t>
      </w:r>
      <w:r>
        <w:rPr>
          <w:i/>
          <w:color w:val="231F20"/>
          <w:w w:val="77"/>
          <w:sz w:val="21"/>
        </w:rPr>
        <w:t>s</w:t>
      </w:r>
      <w:r>
        <w:rPr>
          <w:i/>
          <w:color w:val="231F20"/>
          <w:spacing w:val="3"/>
          <w:sz w:val="21"/>
        </w:rPr>
        <w:t> </w:t>
      </w:r>
      <w:r>
        <w:rPr>
          <w:i/>
          <w:color w:val="231F20"/>
          <w:w w:val="77"/>
          <w:sz w:val="21"/>
        </w:rPr>
        <w:t>y</w:t>
      </w:r>
      <w:r>
        <w:rPr>
          <w:i/>
          <w:color w:val="231F20"/>
          <w:spacing w:val="3"/>
          <w:sz w:val="21"/>
        </w:rPr>
        <w:t> </w:t>
      </w:r>
      <w:r>
        <w:rPr>
          <w:i/>
          <w:color w:val="231F20"/>
          <w:spacing w:val="1"/>
          <w:w w:val="83"/>
          <w:sz w:val="21"/>
        </w:rPr>
        <w:t>a</w:t>
      </w:r>
      <w:r>
        <w:rPr>
          <w:i/>
          <w:color w:val="231F20"/>
          <w:spacing w:val="1"/>
          <w:w w:val="62"/>
          <w:sz w:val="21"/>
        </w:rPr>
        <w:t>cc</w:t>
      </w:r>
      <w:r>
        <w:rPr>
          <w:i/>
          <w:color w:val="231F20"/>
          <w:w w:val="84"/>
          <w:sz w:val="21"/>
        </w:rPr>
        <w:t>i</w:t>
      </w:r>
      <w:r>
        <w:rPr>
          <w:i/>
          <w:color w:val="231F20"/>
          <w:spacing w:val="1"/>
          <w:w w:val="80"/>
          <w:sz w:val="21"/>
        </w:rPr>
        <w:t>on</w:t>
      </w:r>
      <w:r>
        <w:rPr>
          <w:i/>
          <w:color w:val="231F20"/>
          <w:spacing w:val="1"/>
          <w:w w:val="67"/>
          <w:sz w:val="21"/>
        </w:rPr>
        <w:t>e</w:t>
      </w:r>
      <w:r>
        <w:rPr>
          <w:i/>
          <w:color w:val="231F20"/>
          <w:w w:val="77"/>
          <w:sz w:val="21"/>
        </w:rPr>
        <w:t>s</w:t>
      </w:r>
      <w:r>
        <w:rPr>
          <w:i/>
          <w:color w:val="231F20"/>
          <w:spacing w:val="3"/>
          <w:sz w:val="21"/>
        </w:rPr>
        <w:t> </w:t>
      </w:r>
      <w:r>
        <w:rPr>
          <w:i/>
          <w:color w:val="231F20"/>
          <w:spacing w:val="1"/>
          <w:w w:val="62"/>
          <w:sz w:val="21"/>
        </w:rPr>
        <w:t>c</w:t>
      </w:r>
      <w:r>
        <w:rPr>
          <w:i/>
          <w:color w:val="231F20"/>
          <w:spacing w:val="1"/>
          <w:w w:val="82"/>
          <w:sz w:val="21"/>
        </w:rPr>
        <w:t>o</w:t>
      </w:r>
      <w:r>
        <w:rPr>
          <w:i/>
          <w:color w:val="231F20"/>
          <w:spacing w:val="2"/>
          <w:w w:val="82"/>
          <w:sz w:val="21"/>
        </w:rPr>
        <w:t>m</w:t>
      </w:r>
      <w:r>
        <w:rPr>
          <w:i/>
          <w:color w:val="231F20"/>
          <w:spacing w:val="1"/>
          <w:w w:val="87"/>
          <w:sz w:val="21"/>
        </w:rPr>
        <w:t>un</w:t>
      </w:r>
      <w:r>
        <w:rPr>
          <w:i/>
          <w:color w:val="231F20"/>
          <w:w w:val="84"/>
          <w:sz w:val="21"/>
        </w:rPr>
        <w:t>i</w:t>
      </w:r>
      <w:r>
        <w:rPr>
          <w:i/>
          <w:color w:val="231F20"/>
          <w:spacing w:val="1"/>
          <w:w w:val="62"/>
          <w:sz w:val="21"/>
        </w:rPr>
        <w:t>c</w:t>
      </w:r>
      <w:r>
        <w:rPr>
          <w:i/>
          <w:color w:val="231F20"/>
          <w:spacing w:val="1"/>
          <w:w w:val="83"/>
          <w:sz w:val="21"/>
        </w:rPr>
        <w:t>a</w:t>
      </w:r>
      <w:r>
        <w:rPr>
          <w:i/>
          <w:color w:val="231F20"/>
          <w:w w:val="92"/>
          <w:sz w:val="21"/>
        </w:rPr>
        <w:t>t</w:t>
      </w:r>
      <w:r>
        <w:rPr>
          <w:i/>
          <w:color w:val="231F20"/>
          <w:w w:val="84"/>
          <w:sz w:val="21"/>
        </w:rPr>
        <w:t>i</w:t>
      </w:r>
      <w:r>
        <w:rPr>
          <w:i/>
          <w:color w:val="231F20"/>
          <w:spacing w:val="1"/>
          <w:w w:val="81"/>
          <w:sz w:val="21"/>
        </w:rPr>
        <w:t>va</w:t>
      </w:r>
      <w:r>
        <w:rPr>
          <w:i/>
          <w:color w:val="231F20"/>
          <w:w w:val="77"/>
          <w:sz w:val="21"/>
        </w:rPr>
        <w:t>s</w:t>
      </w:r>
    </w:p>
    <w:p>
      <w:pPr>
        <w:pStyle w:val="BodyText"/>
        <w:spacing w:before="1"/>
        <w:rPr>
          <w:i/>
        </w:rPr>
      </w:pPr>
    </w:p>
    <w:p>
      <w:pPr>
        <w:pStyle w:val="BodyText"/>
        <w:spacing w:line="247" w:lineRule="auto" w:before="1"/>
        <w:ind w:left="102" w:right="115"/>
        <w:jc w:val="both"/>
      </w:pPr>
      <w:r>
        <w:rPr>
          <w:color w:val="231F20"/>
        </w:rPr>
        <w:t>En una breve exposición situada en el</w:t>
      </w:r>
      <w:r>
        <w:rPr>
          <w:i/>
          <w:color w:val="231F20"/>
        </w:rPr>
        <w:t>El pensamiento postmetafísico</w:t>
      </w:r>
      <w:r>
        <w:rPr>
          <w:color w:val="231F20"/>
        </w:rPr>
        <w:t>, Habermas comienza por distinguir –dentro de  un  conjunto  de  lo que genéricamente se denomina “acción”– lo que se hace para con- seguir un fin y lo que se destina a entenderse con las personas. Así aparecen dos categorías: las acciones en sentido estricto y las mani- festaciones lingüísticas (Habermas, 1990: 67).</w:t>
      </w:r>
    </w:p>
    <w:p>
      <w:pPr>
        <w:pStyle w:val="BodyText"/>
        <w:spacing w:line="247" w:lineRule="auto" w:before="15"/>
        <w:ind w:left="102" w:right="115" w:firstLine="284"/>
        <w:jc w:val="both"/>
      </w:pPr>
      <w:r>
        <w:rPr>
          <w:color w:val="231F20"/>
        </w:rPr>
        <w:t>A las acciones en sentido estricto también las denomina solo “acciones”, y a las manifestaciones lingüísticas “actos de habla”. Habermas distingue dos tipos de características esenciales en estos tipos de acción: la interpretación de la situación y el principio de racionalidad.</w:t>
      </w:r>
    </w:p>
    <w:p>
      <w:pPr>
        <w:pStyle w:val="BodyText"/>
        <w:spacing w:line="249" w:lineRule="auto" w:before="1"/>
        <w:ind w:left="102" w:right="115" w:firstLine="284"/>
        <w:jc w:val="both"/>
      </w:pPr>
      <w:r>
        <w:rPr>
          <w:color w:val="231F20"/>
        </w:rPr>
        <w:t>En </w:t>
      </w:r>
      <w:r>
        <w:rPr>
          <w:color w:val="231F20"/>
          <w:spacing w:val="2"/>
        </w:rPr>
        <w:t>relación con </w:t>
      </w:r>
      <w:r>
        <w:rPr>
          <w:color w:val="231F20"/>
        </w:rPr>
        <w:t>lo </w:t>
      </w:r>
      <w:r>
        <w:rPr>
          <w:color w:val="231F20"/>
          <w:spacing w:val="3"/>
        </w:rPr>
        <w:t>primero, </w:t>
      </w:r>
      <w:r>
        <w:rPr>
          <w:color w:val="231F20"/>
        </w:rPr>
        <w:t>a las  </w:t>
      </w:r>
      <w:r>
        <w:rPr>
          <w:color w:val="231F20"/>
          <w:spacing w:val="2"/>
        </w:rPr>
        <w:t>acciones </w:t>
      </w:r>
      <w:r>
        <w:rPr>
          <w:color w:val="231F20"/>
        </w:rPr>
        <w:t>en  </w:t>
      </w:r>
      <w:r>
        <w:rPr>
          <w:color w:val="231F20"/>
          <w:spacing w:val="2"/>
        </w:rPr>
        <w:t>sentido estricto </w:t>
      </w:r>
      <w:r>
        <w:rPr>
          <w:color w:val="231F20"/>
        </w:rPr>
        <w:t>les </w:t>
      </w:r>
      <w:r>
        <w:rPr>
          <w:color w:val="231F20"/>
          <w:spacing w:val="3"/>
        </w:rPr>
        <w:t>corresponden </w:t>
      </w:r>
      <w:r>
        <w:rPr>
          <w:color w:val="231F20"/>
          <w:spacing w:val="2"/>
        </w:rPr>
        <w:t>tres </w:t>
      </w:r>
      <w:r>
        <w:rPr>
          <w:color w:val="231F20"/>
          <w:spacing w:val="3"/>
        </w:rPr>
        <w:t>condiciones </w:t>
      </w:r>
      <w:r>
        <w:rPr>
          <w:color w:val="231F20"/>
          <w:spacing w:val="2"/>
        </w:rPr>
        <w:t>situacionales: </w:t>
      </w:r>
      <w:r>
        <w:rPr>
          <w:color w:val="231F20"/>
        </w:rPr>
        <w:t>a) </w:t>
      </w:r>
      <w:r>
        <w:rPr>
          <w:color w:val="231F20"/>
          <w:spacing w:val="3"/>
        </w:rPr>
        <w:t>independencia </w:t>
      </w:r>
      <w:r>
        <w:rPr>
          <w:color w:val="231F20"/>
          <w:spacing w:val="2"/>
        </w:rPr>
        <w:t>entre </w:t>
      </w:r>
      <w:r>
        <w:rPr>
          <w:color w:val="231F20"/>
          <w:spacing w:val="3"/>
        </w:rPr>
        <w:t>medios </w:t>
      </w:r>
      <w:r>
        <w:rPr>
          <w:color w:val="231F20"/>
        </w:rPr>
        <w:t>y </w:t>
      </w:r>
      <w:r>
        <w:rPr>
          <w:color w:val="231F20"/>
          <w:spacing w:val="2"/>
        </w:rPr>
        <w:t>fines, </w:t>
      </w:r>
      <w:r>
        <w:rPr>
          <w:color w:val="231F20"/>
        </w:rPr>
        <w:t>b) </w:t>
      </w:r>
      <w:r>
        <w:rPr>
          <w:color w:val="231F20"/>
          <w:spacing w:val="2"/>
        </w:rPr>
        <w:t>causalidad </w:t>
      </w:r>
      <w:r>
        <w:rPr>
          <w:color w:val="231F20"/>
        </w:rPr>
        <w:t>y c) </w:t>
      </w:r>
      <w:r>
        <w:rPr>
          <w:color w:val="231F20"/>
          <w:spacing w:val="2"/>
        </w:rPr>
        <w:t>objetividad. Esto </w:t>
      </w:r>
      <w:r>
        <w:rPr>
          <w:color w:val="231F20"/>
        </w:rPr>
        <w:t>es, </w:t>
      </w:r>
      <w:r>
        <w:rPr>
          <w:color w:val="231F20"/>
          <w:spacing w:val="2"/>
        </w:rPr>
        <w:t>una acción estratégica muestra </w:t>
      </w:r>
      <w:r>
        <w:rPr>
          <w:color w:val="231F20"/>
          <w:spacing w:val="3"/>
        </w:rPr>
        <w:t>independencia </w:t>
      </w:r>
      <w:r>
        <w:rPr>
          <w:color w:val="231F20"/>
          <w:spacing w:val="2"/>
        </w:rPr>
        <w:t>entre </w:t>
      </w:r>
      <w:r>
        <w:rPr>
          <w:color w:val="231F20"/>
        </w:rPr>
        <w:t>lo que </w:t>
      </w:r>
      <w:r>
        <w:rPr>
          <w:color w:val="231F20"/>
          <w:spacing w:val="2"/>
        </w:rPr>
        <w:t>alguien quiere hacer con </w:t>
      </w:r>
      <w:r>
        <w:rPr>
          <w:color w:val="231F20"/>
        </w:rPr>
        <w:t>las </w:t>
      </w:r>
      <w:r>
        <w:rPr>
          <w:color w:val="231F20"/>
          <w:spacing w:val="2"/>
        </w:rPr>
        <w:t>cosas </w:t>
      </w:r>
      <w:r>
        <w:rPr>
          <w:color w:val="231F20"/>
        </w:rPr>
        <w:t>y </w:t>
      </w:r>
      <w:r>
        <w:rPr>
          <w:color w:val="231F20"/>
          <w:spacing w:val="2"/>
        </w:rPr>
        <w:t>los medios </w:t>
      </w:r>
      <w:r>
        <w:rPr>
          <w:color w:val="231F20"/>
        </w:rPr>
        <w:t>a </w:t>
      </w:r>
      <w:r>
        <w:rPr>
          <w:color w:val="231F20"/>
          <w:spacing w:val="2"/>
        </w:rPr>
        <w:t>emplear para conseguir  </w:t>
      </w:r>
      <w:r>
        <w:rPr>
          <w:color w:val="231F20"/>
        </w:rPr>
        <w:t>su </w:t>
      </w:r>
      <w:r>
        <w:rPr>
          <w:color w:val="231F20"/>
          <w:spacing w:val="2"/>
        </w:rPr>
        <w:t>fin; </w:t>
      </w:r>
      <w:r>
        <w:rPr>
          <w:color w:val="231F20"/>
          <w:spacing w:val="3"/>
        </w:rPr>
        <w:t>además, </w:t>
      </w:r>
      <w:r>
        <w:rPr>
          <w:color w:val="231F20"/>
        </w:rPr>
        <w:t>ese </w:t>
      </w:r>
      <w:r>
        <w:rPr>
          <w:color w:val="231F20"/>
          <w:spacing w:val="2"/>
        </w:rPr>
        <w:t>alguien espera </w:t>
      </w:r>
      <w:r>
        <w:rPr>
          <w:color w:val="231F20"/>
        </w:rPr>
        <w:t>que un </w:t>
      </w:r>
      <w:r>
        <w:rPr>
          <w:color w:val="231F20"/>
          <w:spacing w:val="2"/>
        </w:rPr>
        <w:t>efecto específico </w:t>
      </w:r>
      <w:r>
        <w:rPr>
          <w:color w:val="231F20"/>
          <w:spacing w:val="3"/>
        </w:rPr>
        <w:t>aparez- </w:t>
      </w:r>
      <w:r>
        <w:rPr>
          <w:color w:val="231F20"/>
        </w:rPr>
        <w:t>ca </w:t>
      </w:r>
      <w:r>
        <w:rPr>
          <w:color w:val="231F20"/>
          <w:spacing w:val="3"/>
        </w:rPr>
        <w:t>como producido </w:t>
      </w:r>
      <w:r>
        <w:rPr>
          <w:color w:val="231F20"/>
          <w:spacing w:val="2"/>
        </w:rPr>
        <w:t>por </w:t>
      </w:r>
      <w:r>
        <w:rPr>
          <w:color w:val="231F20"/>
        </w:rPr>
        <w:t>su </w:t>
      </w:r>
      <w:r>
        <w:rPr>
          <w:color w:val="231F20"/>
          <w:spacing w:val="2"/>
        </w:rPr>
        <w:t>acción, </w:t>
      </w:r>
      <w:r>
        <w:rPr>
          <w:color w:val="231F20"/>
        </w:rPr>
        <w:t>en un </w:t>
      </w:r>
      <w:r>
        <w:rPr>
          <w:color w:val="231F20"/>
          <w:spacing w:val="3"/>
        </w:rPr>
        <w:t>esquema </w:t>
      </w:r>
      <w:r>
        <w:rPr>
          <w:color w:val="231F20"/>
        </w:rPr>
        <w:t>de </w:t>
      </w:r>
      <w:r>
        <w:rPr>
          <w:color w:val="231F20"/>
          <w:spacing w:val="2"/>
        </w:rPr>
        <w:t>causa </w:t>
      </w:r>
      <w:r>
        <w:rPr>
          <w:color w:val="231F20"/>
        </w:rPr>
        <w:t>y </w:t>
      </w:r>
      <w:r>
        <w:rPr>
          <w:color w:val="231F20"/>
          <w:spacing w:val="2"/>
        </w:rPr>
        <w:t>efec- to; por último, </w:t>
      </w:r>
      <w:r>
        <w:rPr>
          <w:color w:val="231F20"/>
        </w:rPr>
        <w:t>la </w:t>
      </w:r>
      <w:r>
        <w:rPr>
          <w:color w:val="231F20"/>
          <w:spacing w:val="2"/>
        </w:rPr>
        <w:t>acción </w:t>
      </w:r>
      <w:r>
        <w:rPr>
          <w:color w:val="231F20"/>
          <w:spacing w:val="3"/>
        </w:rPr>
        <w:t>emprendida </w:t>
      </w:r>
      <w:r>
        <w:rPr>
          <w:color w:val="231F20"/>
          <w:spacing w:val="2"/>
        </w:rPr>
        <w:t>por </w:t>
      </w:r>
      <w:r>
        <w:rPr>
          <w:color w:val="231F20"/>
        </w:rPr>
        <w:t>ese </w:t>
      </w:r>
      <w:r>
        <w:rPr>
          <w:color w:val="231F20"/>
          <w:spacing w:val="2"/>
        </w:rPr>
        <w:t>alguien </w:t>
      </w:r>
      <w:r>
        <w:rPr>
          <w:color w:val="231F20"/>
        </w:rPr>
        <w:t>se da en </w:t>
      </w:r>
      <w:r>
        <w:rPr>
          <w:color w:val="231F20"/>
          <w:spacing w:val="2"/>
        </w:rPr>
        <w:t>tér- minos </w:t>
      </w:r>
      <w:r>
        <w:rPr>
          <w:color w:val="231F20"/>
        </w:rPr>
        <w:t>de </w:t>
      </w:r>
      <w:r>
        <w:rPr>
          <w:color w:val="231F20"/>
          <w:spacing w:val="2"/>
        </w:rPr>
        <w:t>interacción entre </w:t>
      </w:r>
      <w:r>
        <w:rPr>
          <w:color w:val="231F20"/>
        </w:rPr>
        <w:t>él y las </w:t>
      </w:r>
      <w:r>
        <w:rPr>
          <w:color w:val="231F20"/>
          <w:spacing w:val="2"/>
        </w:rPr>
        <w:t>cosas </w:t>
      </w:r>
      <w:r>
        <w:rPr>
          <w:color w:val="231F20"/>
        </w:rPr>
        <w:t>a las </w:t>
      </w:r>
      <w:r>
        <w:rPr>
          <w:color w:val="231F20"/>
          <w:spacing w:val="2"/>
        </w:rPr>
        <w:t>que </w:t>
      </w:r>
      <w:r>
        <w:rPr>
          <w:color w:val="231F20"/>
          <w:spacing w:val="3"/>
        </w:rPr>
        <w:t>imprime </w:t>
      </w:r>
      <w:r>
        <w:rPr>
          <w:color w:val="231F20"/>
        </w:rPr>
        <w:t>su </w:t>
      </w:r>
      <w:r>
        <w:rPr>
          <w:color w:val="231F20"/>
          <w:spacing w:val="2"/>
        </w:rPr>
        <w:t>acción, todo </w:t>
      </w:r>
      <w:r>
        <w:rPr>
          <w:color w:val="231F20"/>
        </w:rPr>
        <w:t>ello en el </w:t>
      </w:r>
      <w:r>
        <w:rPr>
          <w:color w:val="231F20"/>
          <w:spacing w:val="3"/>
        </w:rPr>
        <w:t>mundo </w:t>
      </w:r>
      <w:r>
        <w:rPr>
          <w:color w:val="231F20"/>
        </w:rPr>
        <w:t>de las </w:t>
      </w:r>
      <w:r>
        <w:rPr>
          <w:color w:val="231F20"/>
          <w:spacing w:val="2"/>
        </w:rPr>
        <w:t>cosas, </w:t>
      </w:r>
      <w:r>
        <w:rPr>
          <w:color w:val="231F20"/>
        </w:rPr>
        <w:t>de </w:t>
      </w:r>
      <w:r>
        <w:rPr>
          <w:color w:val="231F20"/>
          <w:spacing w:val="2"/>
        </w:rPr>
        <w:t>los </w:t>
      </w:r>
      <w:r>
        <w:rPr>
          <w:color w:val="231F20"/>
          <w:spacing w:val="21"/>
        </w:rPr>
        <w:t> </w:t>
      </w:r>
      <w:r>
        <w:rPr>
          <w:color w:val="231F20"/>
          <w:spacing w:val="2"/>
        </w:rPr>
        <w:t>objetos.</w:t>
      </w:r>
    </w:p>
    <w:p>
      <w:pPr>
        <w:pStyle w:val="BodyText"/>
        <w:spacing w:line="249" w:lineRule="auto"/>
        <w:ind w:left="102" w:right="114" w:firstLine="284"/>
        <w:jc w:val="both"/>
      </w:pPr>
      <w:r>
        <w:rPr>
          <w:color w:val="231F20"/>
        </w:rPr>
        <w:t>En </w:t>
      </w:r>
      <w:r>
        <w:rPr>
          <w:color w:val="231F20"/>
          <w:spacing w:val="3"/>
        </w:rPr>
        <w:t>cambio, </w:t>
      </w:r>
      <w:r>
        <w:rPr>
          <w:color w:val="231F20"/>
          <w:spacing w:val="2"/>
        </w:rPr>
        <w:t>los actos </w:t>
      </w:r>
      <w:r>
        <w:rPr>
          <w:color w:val="231F20"/>
        </w:rPr>
        <w:t>de </w:t>
      </w:r>
      <w:r>
        <w:rPr>
          <w:color w:val="231F20"/>
          <w:spacing w:val="2"/>
        </w:rPr>
        <w:t>habla muestran </w:t>
      </w:r>
      <w:r>
        <w:rPr>
          <w:color w:val="231F20"/>
        </w:rPr>
        <w:t>en su </w:t>
      </w:r>
      <w:r>
        <w:rPr>
          <w:color w:val="231F20"/>
          <w:spacing w:val="2"/>
        </w:rPr>
        <w:t>situación exac- </w:t>
      </w:r>
      <w:r>
        <w:rPr>
          <w:color w:val="231F20"/>
          <w:spacing w:val="3"/>
        </w:rPr>
        <w:t>tamente </w:t>
      </w:r>
      <w:r>
        <w:rPr>
          <w:color w:val="231F20"/>
        </w:rPr>
        <w:t>lo </w:t>
      </w:r>
      <w:r>
        <w:rPr>
          <w:color w:val="231F20"/>
          <w:spacing w:val="2"/>
        </w:rPr>
        <w:t>inverso </w:t>
      </w:r>
      <w:r>
        <w:rPr>
          <w:color w:val="231F20"/>
        </w:rPr>
        <w:t>de la </w:t>
      </w:r>
      <w:r>
        <w:rPr>
          <w:color w:val="231F20"/>
          <w:spacing w:val="2"/>
        </w:rPr>
        <w:t>acción </w:t>
      </w:r>
      <w:r>
        <w:rPr>
          <w:color w:val="231F20"/>
        </w:rPr>
        <w:t>en </w:t>
      </w:r>
      <w:r>
        <w:rPr>
          <w:color w:val="231F20"/>
          <w:spacing w:val="2"/>
        </w:rPr>
        <w:t>sentido estricto: </w:t>
      </w:r>
      <w:r>
        <w:rPr>
          <w:color w:val="231F20"/>
        </w:rPr>
        <w:t>no </w:t>
      </w:r>
      <w:r>
        <w:rPr>
          <w:color w:val="231F20"/>
          <w:spacing w:val="2"/>
        </w:rPr>
        <w:t>hay inde- pendencia entre </w:t>
      </w:r>
      <w:r>
        <w:rPr>
          <w:color w:val="231F20"/>
        </w:rPr>
        <w:t>el fin de </w:t>
      </w:r>
      <w:r>
        <w:rPr>
          <w:color w:val="231F20"/>
          <w:spacing w:val="2"/>
        </w:rPr>
        <w:t>entenderse </w:t>
      </w:r>
      <w:r>
        <w:rPr>
          <w:color w:val="231F20"/>
        </w:rPr>
        <w:t>y </w:t>
      </w:r>
      <w:r>
        <w:rPr>
          <w:color w:val="231F20"/>
          <w:spacing w:val="2"/>
        </w:rPr>
        <w:t>el medio utilizado para hacerlo (esto </w:t>
      </w:r>
      <w:r>
        <w:rPr>
          <w:color w:val="231F20"/>
        </w:rPr>
        <w:t>es, el </w:t>
      </w:r>
      <w:r>
        <w:rPr>
          <w:color w:val="231F20"/>
          <w:spacing w:val="2"/>
        </w:rPr>
        <w:t>lenguaje </w:t>
      </w:r>
      <w:r>
        <w:rPr>
          <w:color w:val="231F20"/>
        </w:rPr>
        <w:t>es el </w:t>
      </w:r>
      <w:r>
        <w:rPr>
          <w:color w:val="231F20"/>
          <w:spacing w:val="2"/>
        </w:rPr>
        <w:t>único medio, </w:t>
      </w:r>
      <w:r>
        <w:rPr>
          <w:color w:val="231F20"/>
        </w:rPr>
        <w:t>y no es </w:t>
      </w:r>
      <w:r>
        <w:rPr>
          <w:color w:val="231F20"/>
          <w:spacing w:val="2"/>
        </w:rPr>
        <w:t>posible separarlo </w:t>
      </w:r>
      <w:r>
        <w:rPr>
          <w:color w:val="231F20"/>
        </w:rPr>
        <w:t>de </w:t>
      </w:r>
      <w:r>
        <w:rPr>
          <w:color w:val="231F20"/>
          <w:spacing w:val="2"/>
        </w:rPr>
        <w:t>quien habla); </w:t>
      </w:r>
      <w:r>
        <w:rPr>
          <w:color w:val="231F20"/>
          <w:spacing w:val="3"/>
        </w:rPr>
        <w:t>tampoco </w:t>
      </w:r>
      <w:r>
        <w:rPr>
          <w:color w:val="231F20"/>
        </w:rPr>
        <w:t>se da </w:t>
      </w:r>
      <w:r>
        <w:rPr>
          <w:color w:val="231F20"/>
          <w:spacing w:val="2"/>
        </w:rPr>
        <w:t>una relación causal, </w:t>
      </w:r>
      <w:r>
        <w:rPr>
          <w:color w:val="231F20"/>
          <w:spacing w:val="3"/>
        </w:rPr>
        <w:t>ya </w:t>
      </w:r>
      <w:r>
        <w:rPr>
          <w:color w:val="231F20"/>
        </w:rPr>
        <w:t>que lo que </w:t>
      </w:r>
      <w:r>
        <w:rPr>
          <w:i/>
          <w:color w:val="231F20"/>
        </w:rPr>
        <w:t>ego </w:t>
      </w:r>
      <w:r>
        <w:rPr>
          <w:color w:val="231F20"/>
          <w:spacing w:val="2"/>
        </w:rPr>
        <w:t>presenta </w:t>
      </w:r>
      <w:r>
        <w:rPr>
          <w:color w:val="231F20"/>
        </w:rPr>
        <w:t>es </w:t>
      </w:r>
      <w:r>
        <w:rPr>
          <w:color w:val="231F20"/>
          <w:spacing w:val="2"/>
        </w:rPr>
        <w:t>una oferta discursiva </w:t>
      </w:r>
      <w:r>
        <w:rPr>
          <w:color w:val="231F20"/>
        </w:rPr>
        <w:t>y </w:t>
      </w:r>
      <w:r>
        <w:rPr>
          <w:color w:val="231F20"/>
          <w:spacing w:val="2"/>
        </w:rPr>
        <w:t>depende </w:t>
      </w:r>
      <w:r>
        <w:rPr>
          <w:color w:val="231F20"/>
        </w:rPr>
        <w:t>de </w:t>
      </w:r>
      <w:r>
        <w:rPr>
          <w:i/>
          <w:color w:val="231F20"/>
          <w:spacing w:val="2"/>
        </w:rPr>
        <w:t>alter </w:t>
      </w:r>
      <w:r>
        <w:rPr>
          <w:color w:val="231F20"/>
        </w:rPr>
        <w:t>que el </w:t>
      </w:r>
      <w:r>
        <w:rPr>
          <w:color w:val="231F20"/>
          <w:spacing w:val="3"/>
        </w:rPr>
        <w:t>entendimiento consume </w:t>
      </w:r>
      <w:r>
        <w:rPr>
          <w:color w:val="231F20"/>
          <w:spacing w:val="2"/>
        </w:rPr>
        <w:t>(no </w:t>
      </w:r>
      <w:r>
        <w:rPr>
          <w:color w:val="231F20"/>
        </w:rPr>
        <w:t>es </w:t>
      </w:r>
      <w:r>
        <w:rPr>
          <w:color w:val="231F20"/>
          <w:spacing w:val="2"/>
        </w:rPr>
        <w:t>posible esperar una </w:t>
      </w:r>
      <w:r>
        <w:rPr>
          <w:color w:val="231F20"/>
          <w:spacing w:val="3"/>
        </w:rPr>
        <w:t>respues- </w:t>
      </w:r>
      <w:r>
        <w:rPr>
          <w:color w:val="231F20"/>
        </w:rPr>
        <w:t>ta </w:t>
      </w:r>
      <w:r>
        <w:rPr>
          <w:color w:val="231F20"/>
          <w:spacing w:val="2"/>
        </w:rPr>
        <w:t>única); además, </w:t>
      </w:r>
      <w:r>
        <w:rPr>
          <w:color w:val="231F20"/>
        </w:rPr>
        <w:t>el </w:t>
      </w:r>
      <w:r>
        <w:rPr>
          <w:color w:val="231F20"/>
          <w:spacing w:val="2"/>
        </w:rPr>
        <w:t>proceso </w:t>
      </w:r>
      <w:r>
        <w:rPr>
          <w:color w:val="231F20"/>
        </w:rPr>
        <w:t>de </w:t>
      </w:r>
      <w:r>
        <w:rPr>
          <w:color w:val="231F20"/>
          <w:spacing w:val="3"/>
        </w:rPr>
        <w:t>entendimiento </w:t>
      </w:r>
      <w:r>
        <w:rPr>
          <w:color w:val="231F20"/>
        </w:rPr>
        <w:t>se da en </w:t>
      </w:r>
      <w:r>
        <w:rPr>
          <w:color w:val="231F20"/>
          <w:spacing w:val="3"/>
        </w:rPr>
        <w:t>términos </w:t>
      </w:r>
      <w:r>
        <w:rPr>
          <w:color w:val="231F20"/>
          <w:spacing w:val="2"/>
        </w:rPr>
        <w:t>intersubjetivos, </w:t>
      </w:r>
      <w:r>
        <w:rPr>
          <w:color w:val="231F20"/>
        </w:rPr>
        <w:t>lo </w:t>
      </w:r>
      <w:r>
        <w:rPr>
          <w:color w:val="231F20"/>
          <w:spacing w:val="2"/>
        </w:rPr>
        <w:t>que </w:t>
      </w:r>
      <w:r>
        <w:rPr>
          <w:color w:val="231F20"/>
        </w:rPr>
        <w:t>se </w:t>
      </w:r>
      <w:r>
        <w:rPr>
          <w:color w:val="231F20"/>
          <w:spacing w:val="2"/>
        </w:rPr>
        <w:t>aparta del </w:t>
      </w:r>
      <w:r>
        <w:rPr>
          <w:color w:val="231F20"/>
          <w:spacing w:val="3"/>
        </w:rPr>
        <w:t>mundo </w:t>
      </w:r>
      <w:r>
        <w:rPr>
          <w:color w:val="231F20"/>
        </w:rPr>
        <w:t>de </w:t>
      </w:r>
      <w:r>
        <w:rPr>
          <w:color w:val="231F20"/>
          <w:spacing w:val="2"/>
        </w:rPr>
        <w:t>los objetos que</w:t>
      </w:r>
      <w:r>
        <w:rPr>
          <w:color w:val="231F20"/>
          <w:spacing w:val="56"/>
        </w:rPr>
        <w:t> </w:t>
      </w:r>
      <w:r>
        <w:rPr>
          <w:color w:val="231F20"/>
          <w:spacing w:val="2"/>
        </w:rPr>
        <w:t>caracteriza </w:t>
      </w:r>
      <w:r>
        <w:rPr>
          <w:color w:val="231F20"/>
        </w:rPr>
        <w:t>a la </w:t>
      </w:r>
      <w:r>
        <w:rPr>
          <w:color w:val="231F20"/>
          <w:spacing w:val="2"/>
        </w:rPr>
        <w:t>acción.</w:t>
      </w:r>
    </w:p>
    <w:p>
      <w:pPr>
        <w:pStyle w:val="BodyText"/>
        <w:spacing w:line="247" w:lineRule="auto"/>
        <w:ind w:left="102" w:right="117" w:firstLine="284"/>
        <w:jc w:val="both"/>
      </w:pPr>
      <w:r>
        <w:rPr>
          <w:color w:val="231F20"/>
        </w:rPr>
        <w:t>En cuanto al principio de racionalidad, cuando se trata de una acción en sentido estricto, se atiende a una racionalidad de medios afines. Situación que cambia en el caso de los actos de habla, en donde se atiende a una racionalidad inherente al entenderse con otra persona.</w:t>
      </w:r>
    </w:p>
    <w:p>
      <w:pPr>
        <w:spacing w:after="0" w:line="247" w:lineRule="auto"/>
        <w:jc w:val="both"/>
        <w:sectPr>
          <w:headerReference w:type="default" r:id="rId534"/>
          <w:footerReference w:type="default" r:id="rId535"/>
          <w:pgSz w:w="7830" w:h="11910"/>
          <w:pgMar w:header="0" w:footer="424" w:top="500" w:bottom="620" w:left="920" w:right="900"/>
          <w:pgNumType w:start="23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6" w:firstLine="284"/>
        <w:jc w:val="both"/>
      </w:pPr>
      <w:r>
        <w:rPr>
          <w:color w:val="231F20"/>
        </w:rPr>
        <w:t>A ambos tipos de acción, Habermas los encuentra como tipos elementales, y de una de las conexiones entre un tipo y otro se deriva lo que el autor denomina “acción comunicativa” (Haber- mas, 1990: 69-72).</w:t>
      </w:r>
    </w:p>
    <w:p>
      <w:pPr>
        <w:pStyle w:val="BodyText"/>
        <w:spacing w:line="249" w:lineRule="auto" w:before="1"/>
        <w:ind w:left="102" w:right="115" w:firstLine="284"/>
        <w:jc w:val="both"/>
      </w:pPr>
      <w:r>
        <w:rPr>
          <w:color w:val="231F20"/>
        </w:rPr>
        <w:t>La </w:t>
      </w:r>
      <w:r>
        <w:rPr>
          <w:color w:val="231F20"/>
          <w:spacing w:val="2"/>
        </w:rPr>
        <w:t>acción social </w:t>
      </w:r>
      <w:r>
        <w:rPr>
          <w:color w:val="231F20"/>
        </w:rPr>
        <w:t>en </w:t>
      </w:r>
      <w:r>
        <w:rPr>
          <w:color w:val="231F20"/>
          <w:spacing w:val="2"/>
        </w:rPr>
        <w:t>general puede </w:t>
      </w:r>
      <w:r>
        <w:rPr>
          <w:color w:val="231F20"/>
        </w:rPr>
        <w:t>ser </w:t>
      </w:r>
      <w:r>
        <w:rPr>
          <w:color w:val="231F20"/>
          <w:spacing w:val="2"/>
        </w:rPr>
        <w:t>explicada </w:t>
      </w:r>
      <w:r>
        <w:rPr>
          <w:color w:val="231F20"/>
        </w:rPr>
        <w:t>con </w:t>
      </w:r>
      <w:r>
        <w:rPr>
          <w:color w:val="231F20"/>
          <w:spacing w:val="2"/>
        </w:rPr>
        <w:t>ayuda </w:t>
      </w:r>
      <w:r>
        <w:rPr>
          <w:color w:val="231F20"/>
        </w:rPr>
        <w:t>de  </w:t>
      </w:r>
      <w:r>
        <w:rPr>
          <w:color w:val="231F20"/>
          <w:spacing w:val="2"/>
        </w:rPr>
        <w:t>los </w:t>
      </w:r>
      <w:r>
        <w:rPr>
          <w:color w:val="231F20"/>
          <w:spacing w:val="3"/>
        </w:rPr>
        <w:t>conceptos </w:t>
      </w:r>
      <w:r>
        <w:rPr>
          <w:color w:val="231F20"/>
          <w:spacing w:val="2"/>
        </w:rPr>
        <w:t>elementales </w:t>
      </w:r>
      <w:r>
        <w:rPr>
          <w:color w:val="231F20"/>
        </w:rPr>
        <w:t>de </w:t>
      </w:r>
      <w:r>
        <w:rPr>
          <w:color w:val="231F20"/>
          <w:spacing w:val="2"/>
        </w:rPr>
        <w:t>actuar </w:t>
      </w:r>
      <w:r>
        <w:rPr>
          <w:color w:val="231F20"/>
        </w:rPr>
        <w:t>y </w:t>
      </w:r>
      <w:r>
        <w:rPr>
          <w:color w:val="231F20"/>
          <w:spacing w:val="2"/>
        </w:rPr>
        <w:t>hablar. Más </w:t>
      </w:r>
      <w:r>
        <w:rPr>
          <w:color w:val="231F20"/>
          <w:spacing w:val="3"/>
        </w:rPr>
        <w:t>específicamen- </w:t>
      </w:r>
      <w:r>
        <w:rPr>
          <w:color w:val="231F20"/>
        </w:rPr>
        <w:t>te, </w:t>
      </w:r>
      <w:r>
        <w:rPr>
          <w:color w:val="231F20"/>
          <w:spacing w:val="2"/>
        </w:rPr>
        <w:t>mediante </w:t>
      </w:r>
      <w:r>
        <w:rPr>
          <w:color w:val="231F20"/>
        </w:rPr>
        <w:t>la </w:t>
      </w:r>
      <w:r>
        <w:rPr>
          <w:color w:val="231F20"/>
          <w:spacing w:val="3"/>
        </w:rPr>
        <w:t>pregunta </w:t>
      </w:r>
      <w:r>
        <w:rPr>
          <w:color w:val="231F20"/>
          <w:spacing w:val="2"/>
        </w:rPr>
        <w:t>relativa </w:t>
      </w:r>
      <w:r>
        <w:rPr>
          <w:color w:val="231F20"/>
        </w:rPr>
        <w:t>al </w:t>
      </w:r>
      <w:r>
        <w:rPr>
          <w:color w:val="231F20"/>
          <w:spacing w:val="3"/>
        </w:rPr>
        <w:t>cómo </w:t>
      </w:r>
      <w:r>
        <w:rPr>
          <w:color w:val="231F20"/>
        </w:rPr>
        <w:t>es </w:t>
      </w:r>
      <w:r>
        <w:rPr>
          <w:color w:val="231F20"/>
          <w:spacing w:val="2"/>
        </w:rPr>
        <w:t>posible que </w:t>
      </w:r>
      <w:r>
        <w:rPr>
          <w:color w:val="231F20"/>
        </w:rPr>
        <w:t>se dé la </w:t>
      </w:r>
      <w:r>
        <w:rPr>
          <w:color w:val="231F20"/>
          <w:spacing w:val="2"/>
        </w:rPr>
        <w:t>acción </w:t>
      </w:r>
      <w:r>
        <w:rPr>
          <w:color w:val="231F20"/>
          <w:spacing w:val="3"/>
        </w:rPr>
        <w:t>coordinada como </w:t>
      </w:r>
      <w:r>
        <w:rPr>
          <w:color w:val="231F20"/>
          <w:spacing w:val="2"/>
        </w:rPr>
        <w:t>fruto </w:t>
      </w:r>
      <w:r>
        <w:rPr>
          <w:color w:val="231F20"/>
        </w:rPr>
        <w:t>de un </w:t>
      </w:r>
      <w:r>
        <w:rPr>
          <w:color w:val="231F20"/>
          <w:spacing w:val="2"/>
        </w:rPr>
        <w:t>proceso </w:t>
      </w:r>
      <w:r>
        <w:rPr>
          <w:color w:val="231F20"/>
        </w:rPr>
        <w:t>de </w:t>
      </w:r>
      <w:r>
        <w:rPr>
          <w:color w:val="231F20"/>
          <w:spacing w:val="2"/>
        </w:rPr>
        <w:t>interacción </w:t>
      </w:r>
      <w:r>
        <w:rPr>
          <w:color w:val="231F20"/>
          <w:spacing w:val="3"/>
        </w:rPr>
        <w:t>lin- </w:t>
      </w:r>
      <w:r>
        <w:rPr>
          <w:color w:val="231F20"/>
          <w:spacing w:val="2"/>
        </w:rPr>
        <w:t>güística.</w:t>
      </w:r>
    </w:p>
    <w:p>
      <w:pPr>
        <w:pStyle w:val="BodyText"/>
        <w:spacing w:line="247" w:lineRule="auto"/>
        <w:ind w:left="102" w:right="116" w:firstLine="284"/>
        <w:jc w:val="both"/>
      </w:pPr>
      <w:r>
        <w:rPr>
          <w:color w:val="231F20"/>
        </w:rPr>
        <w:t>En </w:t>
      </w:r>
      <w:r>
        <w:rPr>
          <w:color w:val="231F20"/>
          <w:spacing w:val="2"/>
        </w:rPr>
        <w:t>principio, </w:t>
      </w:r>
      <w:r>
        <w:rPr>
          <w:color w:val="231F20"/>
          <w:spacing w:val="3"/>
        </w:rPr>
        <w:t>Habermas </w:t>
      </w:r>
      <w:r>
        <w:rPr>
          <w:color w:val="231F20"/>
          <w:spacing w:val="2"/>
        </w:rPr>
        <w:t>distingue dos tipos </w:t>
      </w:r>
      <w:r>
        <w:rPr>
          <w:color w:val="231F20"/>
        </w:rPr>
        <w:t>de </w:t>
      </w:r>
      <w:r>
        <w:rPr>
          <w:color w:val="231F20"/>
          <w:spacing w:val="2"/>
        </w:rPr>
        <w:t>interacción </w:t>
      </w:r>
      <w:r>
        <w:rPr>
          <w:color w:val="231F20"/>
          <w:spacing w:val="3"/>
        </w:rPr>
        <w:t>que </w:t>
      </w:r>
      <w:r>
        <w:rPr>
          <w:color w:val="231F20"/>
          <w:spacing w:val="2"/>
        </w:rPr>
        <w:t>implican actos </w:t>
      </w:r>
      <w:r>
        <w:rPr>
          <w:color w:val="231F20"/>
        </w:rPr>
        <w:t>de </w:t>
      </w:r>
      <w:r>
        <w:rPr>
          <w:color w:val="231F20"/>
          <w:spacing w:val="2"/>
        </w:rPr>
        <w:t>habla </w:t>
      </w:r>
      <w:r>
        <w:rPr>
          <w:color w:val="231F20"/>
        </w:rPr>
        <w:t>o </w:t>
      </w:r>
      <w:r>
        <w:rPr>
          <w:color w:val="231F20"/>
          <w:spacing w:val="2"/>
        </w:rPr>
        <w:t>interacciones lingüísticamente mediadas: </w:t>
      </w:r>
      <w:r>
        <w:rPr>
          <w:color w:val="231F20"/>
        </w:rPr>
        <w:t>la </w:t>
      </w:r>
      <w:r>
        <w:rPr>
          <w:color w:val="231F20"/>
          <w:spacing w:val="2"/>
        </w:rPr>
        <w:t>acción </w:t>
      </w:r>
      <w:r>
        <w:rPr>
          <w:color w:val="231F20"/>
          <w:spacing w:val="3"/>
        </w:rPr>
        <w:t>comunicativa </w:t>
      </w:r>
      <w:r>
        <w:rPr>
          <w:color w:val="231F20"/>
        </w:rPr>
        <w:t>y la </w:t>
      </w:r>
      <w:r>
        <w:rPr>
          <w:color w:val="231F20"/>
          <w:spacing w:val="2"/>
        </w:rPr>
        <w:t>acción estratégica. </w:t>
      </w:r>
      <w:r>
        <w:rPr>
          <w:color w:val="231F20"/>
          <w:spacing w:val="3"/>
        </w:rPr>
        <w:t>Ambos </w:t>
      </w:r>
      <w:r>
        <w:rPr>
          <w:color w:val="231F20"/>
          <w:spacing w:val="2"/>
        </w:rPr>
        <w:t>tipos </w:t>
      </w:r>
      <w:r>
        <w:rPr>
          <w:color w:val="231F20"/>
        </w:rPr>
        <w:t>de </w:t>
      </w:r>
      <w:r>
        <w:rPr>
          <w:color w:val="231F20"/>
          <w:spacing w:val="2"/>
        </w:rPr>
        <w:t>acción </w:t>
      </w:r>
      <w:r>
        <w:rPr>
          <w:color w:val="231F20"/>
        </w:rPr>
        <w:t>se </w:t>
      </w:r>
      <w:r>
        <w:rPr>
          <w:color w:val="231F20"/>
          <w:spacing w:val="2"/>
        </w:rPr>
        <w:t>dan </w:t>
      </w:r>
      <w:r>
        <w:rPr>
          <w:color w:val="231F20"/>
        </w:rPr>
        <w:t>en la </w:t>
      </w:r>
      <w:r>
        <w:rPr>
          <w:color w:val="231F20"/>
          <w:spacing w:val="2"/>
        </w:rPr>
        <w:t>realidad </w:t>
      </w:r>
      <w:r>
        <w:rPr>
          <w:color w:val="231F20"/>
        </w:rPr>
        <w:t>de </w:t>
      </w:r>
      <w:r>
        <w:rPr>
          <w:color w:val="231F20"/>
          <w:spacing w:val="3"/>
        </w:rPr>
        <w:t>manera </w:t>
      </w:r>
      <w:r>
        <w:rPr>
          <w:color w:val="231F20"/>
          <w:spacing w:val="2"/>
        </w:rPr>
        <w:t>entrelazada, aunque </w:t>
      </w:r>
      <w:r>
        <w:rPr>
          <w:color w:val="231F20"/>
        </w:rPr>
        <w:t>es </w:t>
      </w:r>
      <w:r>
        <w:rPr>
          <w:color w:val="231F20"/>
          <w:spacing w:val="2"/>
        </w:rPr>
        <w:t>analíticamente posible distinguir </w:t>
      </w:r>
      <w:r>
        <w:rPr>
          <w:color w:val="231F20"/>
        </w:rPr>
        <w:t>las </w:t>
      </w:r>
      <w:r>
        <w:rPr>
          <w:color w:val="231F20"/>
          <w:spacing w:val="2"/>
        </w:rPr>
        <w:t>características </w:t>
      </w:r>
      <w:r>
        <w:rPr>
          <w:color w:val="231F20"/>
        </w:rPr>
        <w:t>de </w:t>
      </w:r>
      <w:r>
        <w:rPr>
          <w:color w:val="231F20"/>
          <w:spacing w:val="2"/>
        </w:rPr>
        <w:t>una </w:t>
      </w:r>
      <w:r>
        <w:rPr>
          <w:color w:val="231F20"/>
        </w:rPr>
        <w:t>y de </w:t>
      </w:r>
      <w:r>
        <w:rPr>
          <w:color w:val="231F20"/>
          <w:spacing w:val="2"/>
        </w:rPr>
        <w:t>otra.</w:t>
      </w:r>
    </w:p>
    <w:p>
      <w:pPr>
        <w:pStyle w:val="BodyText"/>
        <w:spacing w:line="249" w:lineRule="auto" w:before="1"/>
        <w:ind w:left="102" w:right="118" w:firstLine="283"/>
        <w:jc w:val="both"/>
      </w:pPr>
      <w:r>
        <w:rPr>
          <w:color w:val="231F20"/>
          <w:spacing w:val="2"/>
        </w:rPr>
        <w:t>Mientras que </w:t>
      </w:r>
      <w:r>
        <w:rPr>
          <w:color w:val="231F20"/>
        </w:rPr>
        <w:t>la </w:t>
      </w:r>
      <w:r>
        <w:rPr>
          <w:color w:val="231F20"/>
          <w:spacing w:val="2"/>
        </w:rPr>
        <w:t>acción comunicativa </w:t>
      </w:r>
      <w:r>
        <w:rPr>
          <w:color w:val="231F20"/>
        </w:rPr>
        <w:t>se da </w:t>
      </w:r>
      <w:r>
        <w:rPr>
          <w:color w:val="231F20"/>
          <w:spacing w:val="3"/>
        </w:rPr>
        <w:t>como producto </w:t>
      </w:r>
      <w:r>
        <w:rPr>
          <w:color w:val="231F20"/>
        </w:rPr>
        <w:t>de  un </w:t>
      </w:r>
      <w:r>
        <w:rPr>
          <w:color w:val="231F20"/>
          <w:spacing w:val="2"/>
        </w:rPr>
        <w:t>proceso </w:t>
      </w:r>
      <w:r>
        <w:rPr>
          <w:color w:val="231F20"/>
        </w:rPr>
        <w:t>de </w:t>
      </w:r>
      <w:r>
        <w:rPr>
          <w:color w:val="231F20"/>
          <w:spacing w:val="3"/>
        </w:rPr>
        <w:t>entendimiento </w:t>
      </w:r>
      <w:r>
        <w:rPr>
          <w:color w:val="231F20"/>
          <w:spacing w:val="2"/>
        </w:rPr>
        <w:t>entre los hablantes </w:t>
      </w:r>
      <w:r>
        <w:rPr>
          <w:color w:val="231F20"/>
          <w:spacing w:val="3"/>
        </w:rPr>
        <w:t>(integración </w:t>
      </w:r>
      <w:r>
        <w:rPr>
          <w:color w:val="231F20"/>
          <w:spacing w:val="2"/>
        </w:rPr>
        <w:t>social), </w:t>
      </w:r>
      <w:r>
        <w:rPr>
          <w:color w:val="231F20"/>
        </w:rPr>
        <w:t>la </w:t>
      </w:r>
      <w:r>
        <w:rPr>
          <w:color w:val="231F20"/>
          <w:spacing w:val="2"/>
        </w:rPr>
        <w:t>acción estratégica </w:t>
      </w:r>
      <w:r>
        <w:rPr>
          <w:color w:val="231F20"/>
        </w:rPr>
        <w:t>se </w:t>
      </w:r>
      <w:r>
        <w:rPr>
          <w:color w:val="231F20"/>
          <w:spacing w:val="3"/>
        </w:rPr>
        <w:t>produce como </w:t>
      </w:r>
      <w:r>
        <w:rPr>
          <w:color w:val="231F20"/>
          <w:spacing w:val="2"/>
        </w:rPr>
        <w:t>consecuencia </w:t>
      </w:r>
      <w:r>
        <w:rPr>
          <w:color w:val="231F20"/>
        </w:rPr>
        <w:t>de </w:t>
      </w:r>
      <w:r>
        <w:rPr>
          <w:color w:val="231F20"/>
          <w:spacing w:val="2"/>
        </w:rPr>
        <w:t>una </w:t>
      </w:r>
      <w:r>
        <w:rPr>
          <w:color w:val="231F20"/>
          <w:spacing w:val="3"/>
        </w:rPr>
        <w:t>simple transmisión </w:t>
      </w:r>
      <w:r>
        <w:rPr>
          <w:color w:val="231F20"/>
        </w:rPr>
        <w:t>de </w:t>
      </w:r>
      <w:r>
        <w:rPr>
          <w:color w:val="231F20"/>
          <w:spacing w:val="3"/>
        </w:rPr>
        <w:t>informaciones (Habermas, </w:t>
      </w:r>
      <w:r>
        <w:rPr>
          <w:color w:val="231F20"/>
          <w:spacing w:val="2"/>
        </w:rPr>
        <w:t>1990:</w:t>
      </w:r>
      <w:r>
        <w:rPr>
          <w:color w:val="231F20"/>
          <w:spacing w:val="-28"/>
        </w:rPr>
        <w:t> </w:t>
      </w:r>
      <w:r>
        <w:rPr>
          <w:color w:val="231F20"/>
        </w:rPr>
        <w:t>73).</w:t>
      </w:r>
    </w:p>
    <w:p>
      <w:pPr>
        <w:pStyle w:val="BodyText"/>
        <w:spacing w:line="247" w:lineRule="auto"/>
        <w:ind w:left="102" w:right="115" w:firstLine="284"/>
        <w:jc w:val="both"/>
      </w:pPr>
      <w:r>
        <w:rPr>
          <w:color w:val="231F20"/>
        </w:rPr>
        <w:t>Así pues, la acción que deviene como producto de amenazas, coacción, orden directa, engaño, etc. no puede contar como pro- ducto de un acuerdo mutuamente alcanzado, sino como efecto de una voluntad unilateral, y por ello no  es  fruto de  un  mecanismo de entendimiento.</w:t>
      </w:r>
    </w:p>
    <w:p>
      <w:pPr>
        <w:pStyle w:val="BodyText"/>
        <w:spacing w:line="249" w:lineRule="auto" w:before="1"/>
        <w:ind w:left="102" w:right="115" w:firstLine="284"/>
        <w:jc w:val="both"/>
      </w:pPr>
      <w:r>
        <w:rPr>
          <w:color w:val="231F20"/>
          <w:spacing w:val="3"/>
        </w:rPr>
        <w:t>En este </w:t>
      </w:r>
      <w:r>
        <w:rPr>
          <w:color w:val="231F20"/>
          <w:spacing w:val="4"/>
        </w:rPr>
        <w:t>último </w:t>
      </w:r>
      <w:r>
        <w:rPr>
          <w:color w:val="231F20"/>
          <w:spacing w:val="3"/>
        </w:rPr>
        <w:t>caso –el del </w:t>
      </w:r>
      <w:r>
        <w:rPr>
          <w:color w:val="231F20"/>
          <w:spacing w:val="4"/>
        </w:rPr>
        <w:t>entendimiento–, Habermas </w:t>
      </w:r>
      <w:r>
        <w:rPr>
          <w:color w:val="231F20"/>
          <w:spacing w:val="3"/>
        </w:rPr>
        <w:t>utiliza </w:t>
      </w:r>
      <w:r>
        <w:rPr>
          <w:color w:val="231F20"/>
          <w:spacing w:val="2"/>
        </w:rPr>
        <w:t>el </w:t>
      </w:r>
      <w:r>
        <w:rPr>
          <w:color w:val="231F20"/>
          <w:spacing w:val="4"/>
        </w:rPr>
        <w:t>concepto </w:t>
      </w:r>
      <w:r>
        <w:rPr>
          <w:color w:val="231F20"/>
          <w:spacing w:val="3"/>
        </w:rPr>
        <w:t>de </w:t>
      </w:r>
      <w:r>
        <w:rPr>
          <w:color w:val="231F20"/>
          <w:spacing w:val="4"/>
        </w:rPr>
        <w:t>“éxito ilocucionario” para denotar </w:t>
      </w:r>
      <w:r>
        <w:rPr>
          <w:color w:val="231F20"/>
          <w:spacing w:val="2"/>
        </w:rPr>
        <w:t>la </w:t>
      </w:r>
      <w:r>
        <w:rPr>
          <w:color w:val="231F20"/>
          <w:spacing w:val="4"/>
        </w:rPr>
        <w:t>situación </w:t>
      </w:r>
      <w:r>
        <w:rPr>
          <w:color w:val="231F20"/>
          <w:spacing w:val="2"/>
        </w:rPr>
        <w:t>en  </w:t>
      </w:r>
      <w:r>
        <w:rPr>
          <w:color w:val="231F20"/>
        </w:rPr>
        <w:t>la </w:t>
      </w:r>
      <w:r>
        <w:rPr>
          <w:color w:val="231F20"/>
          <w:spacing w:val="4"/>
        </w:rPr>
        <w:t>que uno </w:t>
      </w:r>
      <w:r>
        <w:rPr>
          <w:color w:val="231F20"/>
          <w:spacing w:val="3"/>
        </w:rPr>
        <w:t>de los </w:t>
      </w:r>
      <w:r>
        <w:rPr>
          <w:color w:val="231F20"/>
          <w:spacing w:val="4"/>
        </w:rPr>
        <w:t>participantes </w:t>
      </w:r>
      <w:r>
        <w:rPr>
          <w:color w:val="231F20"/>
          <w:spacing w:val="2"/>
        </w:rPr>
        <w:t>en el </w:t>
      </w:r>
      <w:r>
        <w:rPr>
          <w:color w:val="231F20"/>
          <w:spacing w:val="4"/>
        </w:rPr>
        <w:t>proceso </w:t>
      </w:r>
      <w:r>
        <w:rPr>
          <w:color w:val="231F20"/>
          <w:spacing w:val="3"/>
        </w:rPr>
        <w:t>de </w:t>
      </w:r>
      <w:r>
        <w:rPr>
          <w:color w:val="231F20"/>
          <w:spacing w:val="4"/>
        </w:rPr>
        <w:t>entendimiento </w:t>
      </w:r>
      <w:r>
        <w:rPr>
          <w:color w:val="231F20"/>
          <w:spacing w:val="5"/>
        </w:rPr>
        <w:t>comprende </w:t>
      </w:r>
      <w:r>
        <w:rPr>
          <w:color w:val="231F20"/>
        </w:rPr>
        <w:t>y </w:t>
      </w:r>
      <w:r>
        <w:rPr>
          <w:color w:val="231F20"/>
          <w:spacing w:val="4"/>
        </w:rPr>
        <w:t>acepta </w:t>
      </w:r>
      <w:r>
        <w:rPr>
          <w:color w:val="231F20"/>
        </w:rPr>
        <w:t>lo </w:t>
      </w:r>
      <w:r>
        <w:rPr>
          <w:color w:val="231F20"/>
          <w:spacing w:val="4"/>
        </w:rPr>
        <w:t>expresado por </w:t>
      </w:r>
      <w:r>
        <w:rPr>
          <w:color w:val="231F20"/>
          <w:spacing w:val="2"/>
        </w:rPr>
        <w:t>el </w:t>
      </w:r>
      <w:r>
        <w:rPr>
          <w:color w:val="231F20"/>
          <w:spacing w:val="4"/>
        </w:rPr>
        <w:t>otro participante </w:t>
      </w:r>
      <w:r>
        <w:rPr>
          <w:color w:val="231F20"/>
          <w:spacing w:val="2"/>
        </w:rPr>
        <w:t>en el </w:t>
      </w:r>
      <w:r>
        <w:rPr>
          <w:color w:val="231F20"/>
          <w:spacing w:val="4"/>
        </w:rPr>
        <w:t>proceso. </w:t>
      </w:r>
      <w:r>
        <w:rPr>
          <w:color w:val="231F20"/>
          <w:spacing w:val="3"/>
        </w:rPr>
        <w:t>De  </w:t>
      </w:r>
      <w:r>
        <w:rPr>
          <w:color w:val="231F20"/>
          <w:spacing w:val="4"/>
        </w:rPr>
        <w:t>igual forma, </w:t>
      </w:r>
      <w:r>
        <w:rPr>
          <w:color w:val="231F20"/>
          <w:spacing w:val="5"/>
        </w:rPr>
        <w:t>denomina “perlocucionarios”a todos  </w:t>
      </w:r>
      <w:r>
        <w:rPr>
          <w:color w:val="231F20"/>
          <w:spacing w:val="3"/>
        </w:rPr>
        <w:t>los </w:t>
      </w:r>
      <w:r>
        <w:rPr>
          <w:color w:val="231F20"/>
          <w:spacing w:val="4"/>
        </w:rPr>
        <w:t>efectos </w:t>
      </w:r>
      <w:r>
        <w:rPr>
          <w:color w:val="231F20"/>
          <w:spacing w:val="5"/>
        </w:rPr>
        <w:t>producidos </w:t>
      </w:r>
      <w:r>
        <w:rPr>
          <w:color w:val="231F20"/>
          <w:spacing w:val="4"/>
        </w:rPr>
        <w:t>por </w:t>
      </w:r>
      <w:r>
        <w:rPr>
          <w:color w:val="231F20"/>
          <w:spacing w:val="3"/>
        </w:rPr>
        <w:t>un éxito </w:t>
      </w:r>
      <w:r>
        <w:rPr>
          <w:color w:val="231F20"/>
          <w:spacing w:val="4"/>
        </w:rPr>
        <w:t>ilocucionario </w:t>
      </w:r>
      <w:r>
        <w:rPr>
          <w:color w:val="231F20"/>
          <w:spacing w:val="5"/>
        </w:rPr>
        <w:t>(Habermas, </w:t>
      </w:r>
      <w:r>
        <w:rPr>
          <w:color w:val="231F20"/>
          <w:spacing w:val="4"/>
          <w:w w:val="95"/>
        </w:rPr>
        <w:t>1990:</w:t>
      </w:r>
      <w:r>
        <w:rPr>
          <w:color w:val="231F20"/>
          <w:spacing w:val="14"/>
          <w:w w:val="95"/>
        </w:rPr>
        <w:t> </w:t>
      </w:r>
      <w:r>
        <w:rPr>
          <w:color w:val="231F20"/>
          <w:spacing w:val="4"/>
          <w:w w:val="95"/>
        </w:rPr>
        <w:t>74-75).</w:t>
      </w:r>
    </w:p>
    <w:p>
      <w:pPr>
        <w:pStyle w:val="BodyText"/>
        <w:spacing w:line="247" w:lineRule="auto"/>
        <w:ind w:left="102" w:right="115" w:firstLine="284"/>
        <w:jc w:val="both"/>
      </w:pPr>
      <w:r>
        <w:rPr>
          <w:color w:val="231F20"/>
        </w:rPr>
        <w:t>El autor destaca lo que él denomina “acciones estratégicas la- tentes”, que se dan como formas parasitarias a la acción comuni- cativa. Tal es el caso en el que uno de los actores persigue un fin específico, lo logra y hace aparecer la interacción como un proce- so de entendimiento.</w:t>
      </w:r>
    </w:p>
    <w:p>
      <w:pPr>
        <w:pStyle w:val="BodyText"/>
        <w:spacing w:line="247" w:lineRule="auto" w:before="1"/>
        <w:ind w:left="102" w:right="115" w:firstLine="284"/>
        <w:jc w:val="both"/>
      </w:pPr>
      <w:r>
        <w:rPr>
          <w:color w:val="231F20"/>
        </w:rPr>
        <w:t>La actitud de los actores en la interacción lingüística es un as- pecto que diferencia las acciones estratégicas de las acciones co- municativas. Dicha actitud es  “objetivante” en  el  primer caso,   y</w:t>
      </w:r>
    </w:p>
    <w:p>
      <w:pPr>
        <w:spacing w:after="0" w:line="247" w:lineRule="auto"/>
        <w:jc w:val="both"/>
        <w:sectPr>
          <w:headerReference w:type="default" r:id="rId536"/>
          <w:footerReference w:type="default" r:id="rId537"/>
          <w:pgSz w:w="7830" w:h="11910"/>
          <w:pgMar w:header="0" w:footer="424" w:top="500" w:bottom="620" w:left="920" w:right="900"/>
          <w:pgNumType w:start="234"/>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1" w:right="115"/>
        <w:jc w:val="both"/>
      </w:pPr>
      <w:r>
        <w:rPr>
          <w:color w:val="231F20"/>
          <w:spacing w:val="2"/>
        </w:rPr>
        <w:t>“realizativa”,en </w:t>
      </w:r>
      <w:r>
        <w:rPr>
          <w:color w:val="231F20"/>
        </w:rPr>
        <w:t>el </w:t>
      </w:r>
      <w:r>
        <w:rPr>
          <w:color w:val="231F20"/>
          <w:spacing w:val="3"/>
        </w:rPr>
        <w:t>segundo. </w:t>
      </w:r>
      <w:r>
        <w:rPr>
          <w:color w:val="231F20"/>
        </w:rPr>
        <w:t>En el </w:t>
      </w:r>
      <w:r>
        <w:rPr>
          <w:color w:val="231F20"/>
          <w:spacing w:val="2"/>
        </w:rPr>
        <w:t>proceso </w:t>
      </w:r>
      <w:r>
        <w:rPr>
          <w:color w:val="231F20"/>
        </w:rPr>
        <w:t>de </w:t>
      </w:r>
      <w:r>
        <w:rPr>
          <w:color w:val="231F20"/>
          <w:spacing w:val="3"/>
        </w:rPr>
        <w:t>entendimiento, los </w:t>
      </w:r>
      <w:r>
        <w:rPr>
          <w:color w:val="231F20"/>
          <w:spacing w:val="2"/>
        </w:rPr>
        <w:t>actores renuncian </w:t>
      </w:r>
      <w:r>
        <w:rPr>
          <w:color w:val="231F20"/>
        </w:rPr>
        <w:t>de </w:t>
      </w:r>
      <w:r>
        <w:rPr>
          <w:color w:val="231F20"/>
          <w:spacing w:val="3"/>
        </w:rPr>
        <w:t>manera </w:t>
      </w:r>
      <w:r>
        <w:rPr>
          <w:color w:val="231F20"/>
          <w:spacing w:val="2"/>
        </w:rPr>
        <w:t>parcial </w:t>
      </w:r>
      <w:r>
        <w:rPr>
          <w:color w:val="231F20"/>
        </w:rPr>
        <w:t>a  sus  </w:t>
      </w:r>
      <w:r>
        <w:rPr>
          <w:color w:val="231F20"/>
          <w:spacing w:val="3"/>
        </w:rPr>
        <w:t>pretensiones </w:t>
      </w:r>
      <w:r>
        <w:rPr>
          <w:color w:val="231F20"/>
        </w:rPr>
        <w:t>de  </w:t>
      </w:r>
      <w:r>
        <w:rPr>
          <w:color w:val="231F20"/>
          <w:spacing w:val="2"/>
        </w:rPr>
        <w:t>logro </w:t>
      </w:r>
      <w:r>
        <w:rPr>
          <w:color w:val="231F20"/>
        </w:rPr>
        <w:t>de </w:t>
      </w:r>
      <w:r>
        <w:rPr>
          <w:color w:val="231F20"/>
          <w:spacing w:val="2"/>
        </w:rPr>
        <w:t>fines unilaterales </w:t>
      </w:r>
      <w:r>
        <w:rPr>
          <w:color w:val="231F20"/>
        </w:rPr>
        <w:t>y </w:t>
      </w:r>
      <w:r>
        <w:rPr>
          <w:color w:val="231F20"/>
          <w:spacing w:val="3"/>
        </w:rPr>
        <w:t>toman </w:t>
      </w:r>
      <w:r>
        <w:rPr>
          <w:color w:val="231F20"/>
        </w:rPr>
        <w:t>en </w:t>
      </w:r>
      <w:r>
        <w:rPr>
          <w:color w:val="231F20"/>
          <w:spacing w:val="2"/>
        </w:rPr>
        <w:t>cuenta </w:t>
      </w:r>
      <w:r>
        <w:rPr>
          <w:color w:val="231F20"/>
        </w:rPr>
        <w:t>lo </w:t>
      </w:r>
      <w:r>
        <w:rPr>
          <w:color w:val="231F20"/>
          <w:spacing w:val="2"/>
        </w:rPr>
        <w:t>que </w:t>
      </w:r>
      <w:r>
        <w:rPr>
          <w:color w:val="231F20"/>
        </w:rPr>
        <w:t>el </w:t>
      </w:r>
      <w:r>
        <w:rPr>
          <w:color w:val="231F20"/>
          <w:spacing w:val="2"/>
        </w:rPr>
        <w:t>otro </w:t>
      </w:r>
      <w:r>
        <w:rPr>
          <w:color w:val="231F20"/>
          <w:spacing w:val="3"/>
        </w:rPr>
        <w:t>responde </w:t>
      </w:r>
      <w:r>
        <w:rPr>
          <w:color w:val="231F20"/>
        </w:rPr>
        <w:t>a   su </w:t>
      </w:r>
      <w:r>
        <w:rPr>
          <w:color w:val="231F20"/>
          <w:spacing w:val="2"/>
        </w:rPr>
        <w:t>oferta discursiva, </w:t>
      </w:r>
      <w:r>
        <w:rPr>
          <w:color w:val="231F20"/>
        </w:rPr>
        <w:t>de tal </w:t>
      </w:r>
      <w:r>
        <w:rPr>
          <w:color w:val="231F20"/>
          <w:spacing w:val="3"/>
        </w:rPr>
        <w:t>manera </w:t>
      </w:r>
      <w:r>
        <w:rPr>
          <w:color w:val="231F20"/>
        </w:rPr>
        <w:t>que se </w:t>
      </w:r>
      <w:r>
        <w:rPr>
          <w:color w:val="231F20"/>
          <w:spacing w:val="3"/>
        </w:rPr>
        <w:t>produce </w:t>
      </w:r>
      <w:r>
        <w:rPr>
          <w:color w:val="231F20"/>
        </w:rPr>
        <w:t>un </w:t>
      </w:r>
      <w:r>
        <w:rPr>
          <w:color w:val="231F20"/>
          <w:spacing w:val="2"/>
        </w:rPr>
        <w:t>plan </w:t>
      </w:r>
      <w:r>
        <w:rPr>
          <w:color w:val="231F20"/>
        </w:rPr>
        <w:t>de ac- </w:t>
      </w:r>
      <w:r>
        <w:rPr>
          <w:color w:val="231F20"/>
          <w:spacing w:val="2"/>
        </w:rPr>
        <w:t>ción </w:t>
      </w:r>
      <w:r>
        <w:rPr>
          <w:color w:val="231F20"/>
          <w:spacing w:val="3"/>
        </w:rPr>
        <w:t>coordinada, </w:t>
      </w:r>
      <w:r>
        <w:rPr>
          <w:color w:val="231F20"/>
        </w:rPr>
        <w:t>de </w:t>
      </w:r>
      <w:r>
        <w:rPr>
          <w:color w:val="231F20"/>
          <w:spacing w:val="3"/>
        </w:rPr>
        <w:t>común</w:t>
      </w:r>
      <w:r>
        <w:rPr>
          <w:color w:val="231F20"/>
          <w:spacing w:val="35"/>
        </w:rPr>
        <w:t> </w:t>
      </w:r>
      <w:r>
        <w:rPr>
          <w:color w:val="231F20"/>
          <w:spacing w:val="3"/>
        </w:rPr>
        <w:t>acuerdo.</w:t>
      </w:r>
    </w:p>
    <w:p>
      <w:pPr>
        <w:pStyle w:val="BodyText"/>
        <w:spacing w:before="3"/>
        <w:rPr>
          <w:sz w:val="24"/>
        </w:rPr>
      </w:pPr>
    </w:p>
    <w:p>
      <w:pPr>
        <w:pStyle w:val="BodyText"/>
        <w:ind w:left="102"/>
        <w:jc w:val="both"/>
      </w:pPr>
      <w:r>
        <w:rPr>
          <w:color w:val="231F20"/>
          <w:w w:val="105"/>
        </w:rPr>
        <w:t>MUNDO DE LA VIDA: DE LA ACCIÓN AL ORDEN SOCIAL</w:t>
      </w:r>
    </w:p>
    <w:p>
      <w:pPr>
        <w:pStyle w:val="BodyText"/>
        <w:spacing w:before="1"/>
      </w:pPr>
    </w:p>
    <w:p>
      <w:pPr>
        <w:pStyle w:val="BodyText"/>
        <w:spacing w:line="244" w:lineRule="auto" w:before="1"/>
        <w:ind w:left="101" w:right="114"/>
        <w:jc w:val="both"/>
      </w:pPr>
      <w:r>
        <w:rPr>
          <w:color w:val="231F20"/>
        </w:rPr>
        <w:t>Una vez discutidos los conceptos relativos a acción social, </w:t>
      </w:r>
      <w:r>
        <w:rPr>
          <w:color w:val="231F20"/>
          <w:spacing w:val="2"/>
        </w:rPr>
        <w:t>que </w:t>
      </w:r>
      <w:r>
        <w:rPr>
          <w:color w:val="231F20"/>
        </w:rPr>
        <w:t>remiten al individuo, el autor explica el orden social (concepto colectivo) a partir de ella: La acción estratégica se mantiene cuando se habla de medios como el dinero en la relación mercantil; hay medios afines y esta puede estar orientada al éxito. Sin embargo, es distinto cuando se trata de medios que a la vez regulan y controlan   la interacción y donde la interacción ya no depende de los sujetos, sino de la organización; así, la acción estratégica no parece brindar elementos suficientes para originar un orden social. Aparecen entonces las nociones de Sistema (Parsons, Luhmann). Sin  embargo, la preeminencia del Sistema elimina las conexiones con la teoría de la acción, porque es externo a ella. El plexo relativo al Mundo de la Vida brinda la opción de lograr esas conexiones, al tiempo que remite al concepto de acción comunicativa como la posibilidad única para que se generen acciones coordinadas. Aún queda una dificultad: ¿cómo es posible tomar la acción  comunicativa si se basa en tomas de postura y acuerdos, lo que   haría difícil el orden social? El Mundo de la Vida elimina de hecho una gran cantidad de disensos por su propia</w:t>
      </w:r>
      <w:r>
        <w:rPr>
          <w:color w:val="231F20"/>
          <w:spacing w:val="45"/>
        </w:rPr>
        <w:t> </w:t>
      </w:r>
      <w:r>
        <w:rPr>
          <w:color w:val="231F20"/>
        </w:rPr>
        <w:t>pragmática.</w:t>
      </w:r>
    </w:p>
    <w:p>
      <w:pPr>
        <w:pStyle w:val="BodyText"/>
        <w:spacing w:line="249" w:lineRule="auto" w:before="18"/>
        <w:ind w:left="101" w:right="115" w:firstLine="284"/>
        <w:jc w:val="both"/>
      </w:pPr>
      <w:r>
        <w:rPr>
          <w:color w:val="231F20"/>
        </w:rPr>
        <w:t>El </w:t>
      </w:r>
      <w:r>
        <w:rPr>
          <w:color w:val="231F20"/>
          <w:spacing w:val="3"/>
        </w:rPr>
        <w:t>entendimiento </w:t>
      </w:r>
      <w:r>
        <w:rPr>
          <w:color w:val="231F20"/>
          <w:spacing w:val="2"/>
        </w:rPr>
        <w:t>relativo </w:t>
      </w:r>
      <w:r>
        <w:rPr>
          <w:color w:val="231F20"/>
        </w:rPr>
        <w:t>a la </w:t>
      </w:r>
      <w:r>
        <w:rPr>
          <w:color w:val="231F20"/>
          <w:spacing w:val="2"/>
        </w:rPr>
        <w:t>acción comunicativa </w:t>
      </w:r>
      <w:r>
        <w:rPr>
          <w:color w:val="231F20"/>
        </w:rPr>
        <w:t>se </w:t>
      </w:r>
      <w:r>
        <w:rPr>
          <w:color w:val="231F20"/>
          <w:spacing w:val="3"/>
        </w:rPr>
        <w:t>produce </w:t>
      </w:r>
      <w:r>
        <w:rPr>
          <w:color w:val="231F20"/>
        </w:rPr>
        <w:t>en el </w:t>
      </w:r>
      <w:r>
        <w:rPr>
          <w:color w:val="231F20"/>
          <w:spacing w:val="2"/>
        </w:rPr>
        <w:t>plexo </w:t>
      </w:r>
      <w:r>
        <w:rPr>
          <w:color w:val="231F20"/>
        </w:rPr>
        <w:t>de lo que </w:t>
      </w:r>
      <w:r>
        <w:rPr>
          <w:color w:val="231F20"/>
          <w:spacing w:val="3"/>
        </w:rPr>
        <w:t>damos </w:t>
      </w:r>
      <w:r>
        <w:rPr>
          <w:color w:val="231F20"/>
          <w:spacing w:val="2"/>
        </w:rPr>
        <w:t>por hecho </w:t>
      </w:r>
      <w:r>
        <w:rPr>
          <w:color w:val="231F20"/>
        </w:rPr>
        <w:t>y </w:t>
      </w:r>
      <w:r>
        <w:rPr>
          <w:color w:val="231F20"/>
          <w:spacing w:val="3"/>
        </w:rPr>
        <w:t>estamos </w:t>
      </w:r>
      <w:r>
        <w:rPr>
          <w:color w:val="231F20"/>
        </w:rPr>
        <w:t>de </w:t>
      </w:r>
      <w:r>
        <w:rPr>
          <w:color w:val="231F20"/>
          <w:spacing w:val="2"/>
        </w:rPr>
        <w:t>acuerdo </w:t>
      </w:r>
      <w:r>
        <w:rPr>
          <w:color w:val="231F20"/>
          <w:spacing w:val="3"/>
        </w:rPr>
        <w:t>previamente, </w:t>
      </w:r>
      <w:r>
        <w:rPr>
          <w:color w:val="231F20"/>
        </w:rPr>
        <w:t>en el </w:t>
      </w:r>
      <w:r>
        <w:rPr>
          <w:color w:val="231F20"/>
          <w:spacing w:val="2"/>
        </w:rPr>
        <w:t>plexo </w:t>
      </w:r>
      <w:r>
        <w:rPr>
          <w:color w:val="231F20"/>
        </w:rPr>
        <w:t>de lo </w:t>
      </w:r>
      <w:r>
        <w:rPr>
          <w:color w:val="231F20"/>
          <w:spacing w:val="3"/>
        </w:rPr>
        <w:t>aproblemático. </w:t>
      </w:r>
      <w:r>
        <w:rPr>
          <w:color w:val="231F20"/>
          <w:spacing w:val="2"/>
        </w:rPr>
        <w:t>Tal </w:t>
      </w:r>
      <w:r>
        <w:rPr>
          <w:color w:val="231F20"/>
        </w:rPr>
        <w:t>es el </w:t>
      </w:r>
      <w:r>
        <w:rPr>
          <w:color w:val="231F20"/>
          <w:spacing w:val="2"/>
        </w:rPr>
        <w:t>plexo </w:t>
      </w:r>
      <w:r>
        <w:rPr>
          <w:color w:val="231F20"/>
          <w:spacing w:val="3"/>
        </w:rPr>
        <w:t>formado </w:t>
      </w:r>
      <w:r>
        <w:rPr>
          <w:color w:val="231F20"/>
          <w:spacing w:val="2"/>
        </w:rPr>
        <w:t>por </w:t>
      </w:r>
      <w:r>
        <w:rPr>
          <w:color w:val="231F20"/>
        </w:rPr>
        <w:t>el </w:t>
      </w:r>
      <w:r>
        <w:rPr>
          <w:color w:val="231F20"/>
          <w:spacing w:val="3"/>
        </w:rPr>
        <w:t>Mundo </w:t>
      </w:r>
      <w:r>
        <w:rPr>
          <w:color w:val="231F20"/>
        </w:rPr>
        <w:t>de la </w:t>
      </w:r>
      <w:r>
        <w:rPr>
          <w:color w:val="231F20"/>
          <w:spacing w:val="2"/>
        </w:rPr>
        <w:t>Vida, </w:t>
      </w:r>
      <w:r>
        <w:rPr>
          <w:color w:val="231F20"/>
          <w:spacing w:val="3"/>
        </w:rPr>
        <w:t>donde, </w:t>
      </w:r>
      <w:r>
        <w:rPr>
          <w:color w:val="231F20"/>
          <w:spacing w:val="2"/>
        </w:rPr>
        <w:t>según Husserl </w:t>
      </w:r>
      <w:r>
        <w:rPr>
          <w:color w:val="231F20"/>
          <w:spacing w:val="3"/>
        </w:rPr>
        <w:t>(citado </w:t>
      </w:r>
      <w:r>
        <w:rPr>
          <w:color w:val="231F20"/>
          <w:spacing w:val="2"/>
        </w:rPr>
        <w:t>por </w:t>
      </w:r>
      <w:r>
        <w:rPr>
          <w:color w:val="231F20"/>
        </w:rPr>
        <w:t>el </w:t>
      </w:r>
      <w:r>
        <w:rPr>
          <w:color w:val="231F20"/>
          <w:spacing w:val="2"/>
        </w:rPr>
        <w:t>propio </w:t>
      </w:r>
      <w:r>
        <w:rPr>
          <w:color w:val="231F20"/>
          <w:spacing w:val="3"/>
        </w:rPr>
        <w:t>Habermas) </w:t>
      </w:r>
      <w:r>
        <w:rPr>
          <w:color w:val="231F20"/>
        </w:rPr>
        <w:t>se </w:t>
      </w:r>
      <w:r>
        <w:rPr>
          <w:color w:val="231F20"/>
          <w:spacing w:val="2"/>
        </w:rPr>
        <w:t>utilizan saberes atemáticos, </w:t>
      </w:r>
      <w:r>
        <w:rPr>
          <w:color w:val="231F20"/>
        </w:rPr>
        <w:t>que </w:t>
      </w:r>
      <w:r>
        <w:rPr>
          <w:color w:val="231F20"/>
          <w:spacing w:val="3"/>
        </w:rPr>
        <w:t>hay</w:t>
      </w:r>
      <w:r>
        <w:rPr>
          <w:color w:val="231F20"/>
          <w:spacing w:val="58"/>
        </w:rPr>
        <w:t> </w:t>
      </w:r>
      <w:r>
        <w:rPr>
          <w:color w:val="231F20"/>
        </w:rPr>
        <w:t>que </w:t>
      </w:r>
      <w:r>
        <w:rPr>
          <w:color w:val="231F20"/>
          <w:spacing w:val="2"/>
        </w:rPr>
        <w:t>distinguir </w:t>
      </w:r>
      <w:r>
        <w:rPr>
          <w:color w:val="231F20"/>
        </w:rPr>
        <w:t>de </w:t>
      </w:r>
      <w:r>
        <w:rPr>
          <w:color w:val="231F20"/>
          <w:spacing w:val="2"/>
        </w:rPr>
        <w:t>los </w:t>
      </w:r>
      <w:r>
        <w:rPr>
          <w:color w:val="231F20"/>
          <w:spacing w:val="3"/>
        </w:rPr>
        <w:t>cotematizados: </w:t>
      </w:r>
      <w:r>
        <w:rPr>
          <w:color w:val="231F20"/>
          <w:spacing w:val="2"/>
        </w:rPr>
        <w:t>estos representan una simple descripción </w:t>
      </w:r>
      <w:r>
        <w:rPr>
          <w:color w:val="231F20"/>
        </w:rPr>
        <w:t>de lo </w:t>
      </w:r>
      <w:r>
        <w:rPr>
          <w:color w:val="231F20"/>
          <w:spacing w:val="2"/>
        </w:rPr>
        <w:t>que </w:t>
      </w:r>
      <w:r>
        <w:rPr>
          <w:color w:val="231F20"/>
        </w:rPr>
        <w:t>ha </w:t>
      </w:r>
      <w:r>
        <w:rPr>
          <w:color w:val="231F20"/>
          <w:spacing w:val="2"/>
        </w:rPr>
        <w:t>dicho </w:t>
      </w:r>
      <w:r>
        <w:rPr>
          <w:i/>
          <w:color w:val="231F20"/>
        </w:rPr>
        <w:t>ego </w:t>
      </w:r>
      <w:r>
        <w:rPr>
          <w:color w:val="231F20"/>
        </w:rPr>
        <w:t>a </w:t>
      </w:r>
      <w:r>
        <w:rPr>
          <w:i/>
          <w:color w:val="231F20"/>
          <w:spacing w:val="2"/>
        </w:rPr>
        <w:t>alter </w:t>
      </w:r>
      <w:r>
        <w:rPr>
          <w:color w:val="231F20"/>
          <w:spacing w:val="2"/>
        </w:rPr>
        <w:t>desde </w:t>
      </w:r>
      <w:r>
        <w:rPr>
          <w:color w:val="231F20"/>
        </w:rPr>
        <w:t>la </w:t>
      </w:r>
      <w:r>
        <w:rPr>
          <w:color w:val="231F20"/>
          <w:spacing w:val="2"/>
        </w:rPr>
        <w:t>perspectiva </w:t>
      </w:r>
      <w:r>
        <w:rPr>
          <w:color w:val="231F20"/>
        </w:rPr>
        <w:t>de un </w:t>
      </w:r>
      <w:r>
        <w:rPr>
          <w:color w:val="231F20"/>
          <w:spacing w:val="3"/>
        </w:rPr>
        <w:t>observador; </w:t>
      </w:r>
      <w:r>
        <w:rPr>
          <w:color w:val="231F20"/>
          <w:spacing w:val="2"/>
        </w:rPr>
        <w:t>pero </w:t>
      </w:r>
      <w:r>
        <w:rPr>
          <w:color w:val="231F20"/>
        </w:rPr>
        <w:t>no </w:t>
      </w:r>
      <w:r>
        <w:rPr>
          <w:color w:val="231F20"/>
          <w:spacing w:val="2"/>
        </w:rPr>
        <w:t>todo saber atemático constituye elemento del </w:t>
      </w:r>
      <w:r>
        <w:rPr>
          <w:color w:val="231F20"/>
          <w:spacing w:val="3"/>
        </w:rPr>
        <w:t>Mundo </w:t>
      </w:r>
      <w:r>
        <w:rPr>
          <w:color w:val="231F20"/>
        </w:rPr>
        <w:t>de la </w:t>
      </w:r>
      <w:r>
        <w:rPr>
          <w:color w:val="231F20"/>
          <w:spacing w:val="2"/>
        </w:rPr>
        <w:t>Vida: </w:t>
      </w:r>
      <w:r>
        <w:rPr>
          <w:color w:val="231F20"/>
        </w:rPr>
        <w:t>la </w:t>
      </w:r>
      <w:r>
        <w:rPr>
          <w:color w:val="231F20"/>
          <w:spacing w:val="2"/>
        </w:rPr>
        <w:t>corrección </w:t>
      </w:r>
      <w:r>
        <w:rPr>
          <w:color w:val="231F20"/>
        </w:rPr>
        <w:t>en el </w:t>
      </w:r>
      <w:r>
        <w:rPr>
          <w:color w:val="231F20"/>
          <w:spacing w:val="2"/>
        </w:rPr>
        <w:t>habla, </w:t>
      </w:r>
      <w:r>
        <w:rPr>
          <w:color w:val="231F20"/>
        </w:rPr>
        <w:t>la </w:t>
      </w:r>
      <w:r>
        <w:rPr>
          <w:color w:val="231F20"/>
          <w:spacing w:val="3"/>
        </w:rPr>
        <w:t>manera </w:t>
      </w:r>
      <w:r>
        <w:rPr>
          <w:color w:val="231F20"/>
        </w:rPr>
        <w:t>en </w:t>
      </w:r>
      <w:r>
        <w:rPr>
          <w:color w:val="231F20"/>
          <w:spacing w:val="2"/>
        </w:rPr>
        <w:t>que </w:t>
      </w:r>
      <w:r>
        <w:rPr>
          <w:i/>
          <w:color w:val="231F20"/>
        </w:rPr>
        <w:t>ego </w:t>
      </w:r>
      <w:r>
        <w:rPr>
          <w:color w:val="231F20"/>
          <w:spacing w:val="2"/>
        </w:rPr>
        <w:t>orienta </w:t>
      </w:r>
      <w:r>
        <w:rPr>
          <w:color w:val="231F20"/>
        </w:rPr>
        <w:t>su </w:t>
      </w:r>
      <w:r>
        <w:rPr>
          <w:color w:val="231F20"/>
          <w:spacing w:val="2"/>
        </w:rPr>
        <w:t>pretensión </w:t>
      </w:r>
      <w:r>
        <w:rPr>
          <w:color w:val="231F20"/>
        </w:rPr>
        <w:t>de </w:t>
      </w:r>
      <w:r>
        <w:rPr>
          <w:color w:val="231F20"/>
          <w:spacing w:val="2"/>
        </w:rPr>
        <w:t>validez, etc. </w:t>
      </w:r>
      <w:r>
        <w:rPr>
          <w:color w:val="231F20"/>
        </w:rPr>
        <w:t>no </w:t>
      </w:r>
      <w:r>
        <w:rPr>
          <w:color w:val="231F20"/>
          <w:spacing w:val="2"/>
        </w:rPr>
        <w:t>vienen </w:t>
      </w:r>
      <w:r>
        <w:rPr>
          <w:color w:val="231F20"/>
        </w:rPr>
        <w:t>al </w:t>
      </w:r>
      <w:r>
        <w:rPr>
          <w:color w:val="231F20"/>
          <w:spacing w:val="2"/>
        </w:rPr>
        <w:t>caso </w:t>
      </w:r>
      <w:r>
        <w:rPr>
          <w:color w:val="231F20"/>
        </w:rPr>
        <w:t>en el </w:t>
      </w:r>
      <w:r>
        <w:rPr>
          <w:color w:val="231F20"/>
          <w:spacing w:val="3"/>
        </w:rPr>
        <w:t>Mundo </w:t>
      </w:r>
      <w:r>
        <w:rPr>
          <w:color w:val="231F20"/>
        </w:rPr>
        <w:t>de la </w:t>
      </w:r>
      <w:r>
        <w:rPr>
          <w:color w:val="231F20"/>
          <w:spacing w:val="2"/>
        </w:rPr>
        <w:t>Vida; los saberes atemáticos </w:t>
      </w:r>
      <w:r>
        <w:rPr>
          <w:color w:val="231F20"/>
        </w:rPr>
        <w:t>del </w:t>
      </w:r>
      <w:r>
        <w:rPr>
          <w:color w:val="231F20"/>
          <w:spacing w:val="3"/>
        </w:rPr>
        <w:t>Mundo </w:t>
      </w:r>
      <w:r>
        <w:rPr>
          <w:color w:val="231F20"/>
        </w:rPr>
        <w:t>de la </w:t>
      </w:r>
      <w:r>
        <w:rPr>
          <w:color w:val="231F20"/>
          <w:spacing w:val="2"/>
        </w:rPr>
        <w:t>Vida </w:t>
      </w:r>
      <w:r>
        <w:rPr>
          <w:color w:val="231F20"/>
        </w:rPr>
        <w:t>se </w:t>
      </w:r>
      <w:r>
        <w:rPr>
          <w:color w:val="231F20"/>
          <w:spacing w:val="2"/>
        </w:rPr>
        <w:t>mantienen  </w:t>
      </w:r>
      <w:r>
        <w:rPr>
          <w:color w:val="231F20"/>
        </w:rPr>
        <w:t>en  la  </w:t>
      </w:r>
      <w:r>
        <w:rPr>
          <w:color w:val="231F20"/>
          <w:spacing w:val="2"/>
        </w:rPr>
        <w:t>penumbra;  </w:t>
      </w:r>
      <w:r>
        <w:rPr>
          <w:color w:val="231F20"/>
          <w:spacing w:val="3"/>
        </w:rPr>
        <w:t>“complementan,  </w:t>
      </w:r>
      <w:r>
        <w:rPr>
          <w:color w:val="231F20"/>
          <w:spacing w:val="2"/>
        </w:rPr>
        <w:t>acompañan  </w:t>
      </w:r>
      <w:r>
        <w:rPr>
          <w:color w:val="231F20"/>
        </w:rPr>
        <w:t>y </w:t>
      </w:r>
      <w:r>
        <w:rPr>
          <w:color w:val="231F20"/>
          <w:spacing w:val="26"/>
        </w:rPr>
        <w:t> </w:t>
      </w:r>
      <w:r>
        <w:rPr>
          <w:color w:val="231F20"/>
        </w:rPr>
        <w:t>dan</w:t>
      </w:r>
    </w:p>
    <w:p>
      <w:pPr>
        <w:spacing w:after="0" w:line="249" w:lineRule="auto"/>
        <w:jc w:val="both"/>
        <w:sectPr>
          <w:headerReference w:type="default" r:id="rId538"/>
          <w:footerReference w:type="default" r:id="rId539"/>
          <w:pgSz w:w="7830" w:h="11910"/>
          <w:pgMar w:header="0" w:footer="424" w:top="500" w:bottom="620" w:left="920" w:right="900"/>
          <w:pgNumType w:start="23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4"/>
        <w:jc w:val="both"/>
      </w:pPr>
      <w:r>
        <w:rPr>
          <w:color w:val="231F20"/>
          <w:spacing w:val="2"/>
        </w:rPr>
        <w:t>contexto </w:t>
      </w:r>
      <w:r>
        <w:rPr>
          <w:color w:val="231F20"/>
        </w:rPr>
        <w:t>a la </w:t>
      </w:r>
      <w:r>
        <w:rPr>
          <w:color w:val="231F20"/>
          <w:spacing w:val="2"/>
        </w:rPr>
        <w:t>acción comunicativa... </w:t>
      </w:r>
      <w:r>
        <w:rPr>
          <w:color w:val="231F20"/>
          <w:spacing w:val="3"/>
        </w:rPr>
        <w:t>constituye(n) </w:t>
      </w:r>
      <w:r>
        <w:rPr>
          <w:color w:val="231F20"/>
        </w:rPr>
        <w:t>el </w:t>
      </w:r>
      <w:r>
        <w:rPr>
          <w:color w:val="231F20"/>
          <w:spacing w:val="2"/>
        </w:rPr>
        <w:t>suelo </w:t>
      </w:r>
      <w:r>
        <w:rPr>
          <w:color w:val="231F20"/>
          <w:spacing w:val="3"/>
        </w:rPr>
        <w:t>aproblemático </w:t>
      </w:r>
      <w:r>
        <w:rPr>
          <w:color w:val="231F20"/>
          <w:spacing w:val="2"/>
        </w:rPr>
        <w:t>para todo saber temático </w:t>
      </w:r>
      <w:r>
        <w:rPr>
          <w:color w:val="231F20"/>
        </w:rPr>
        <w:t>y </w:t>
      </w:r>
      <w:r>
        <w:rPr>
          <w:color w:val="231F20"/>
          <w:spacing w:val="3"/>
        </w:rPr>
        <w:t>cotematizado” (Habermas, </w:t>
      </w:r>
      <w:r>
        <w:rPr>
          <w:color w:val="231F20"/>
          <w:spacing w:val="2"/>
        </w:rPr>
        <w:t>1990: </w:t>
      </w:r>
      <w:r>
        <w:rPr>
          <w:color w:val="231F20"/>
        </w:rPr>
        <w:t>90) que </w:t>
      </w:r>
      <w:r>
        <w:rPr>
          <w:color w:val="231F20"/>
          <w:spacing w:val="2"/>
        </w:rPr>
        <w:t>son saberes </w:t>
      </w:r>
      <w:r>
        <w:rPr>
          <w:color w:val="231F20"/>
        </w:rPr>
        <w:t>de </w:t>
      </w:r>
      <w:r>
        <w:rPr>
          <w:color w:val="231F20"/>
          <w:spacing w:val="3"/>
        </w:rPr>
        <w:t>fondo. </w:t>
      </w:r>
      <w:r>
        <w:rPr>
          <w:color w:val="231F20"/>
          <w:spacing w:val="2"/>
        </w:rPr>
        <w:t>Para </w:t>
      </w:r>
      <w:r>
        <w:rPr>
          <w:color w:val="231F20"/>
        </w:rPr>
        <w:t>ser útil  a  </w:t>
      </w:r>
      <w:r>
        <w:rPr>
          <w:color w:val="231F20"/>
          <w:spacing w:val="2"/>
        </w:rPr>
        <w:t>una teoría </w:t>
      </w:r>
      <w:r>
        <w:rPr>
          <w:color w:val="231F20"/>
        </w:rPr>
        <w:t>de la </w:t>
      </w:r>
      <w:r>
        <w:rPr>
          <w:color w:val="231F20"/>
          <w:spacing w:val="2"/>
        </w:rPr>
        <w:t>sociedad, </w:t>
      </w:r>
      <w:r>
        <w:rPr>
          <w:color w:val="231F20"/>
        </w:rPr>
        <w:t>el </w:t>
      </w:r>
      <w:r>
        <w:rPr>
          <w:color w:val="231F20"/>
          <w:spacing w:val="3"/>
        </w:rPr>
        <w:t>concepto </w:t>
      </w:r>
      <w:r>
        <w:rPr>
          <w:color w:val="231F20"/>
        </w:rPr>
        <w:t>de </w:t>
      </w:r>
      <w:r>
        <w:rPr>
          <w:color w:val="231F20"/>
          <w:spacing w:val="3"/>
        </w:rPr>
        <w:t>Mundo </w:t>
      </w:r>
      <w:r>
        <w:rPr>
          <w:color w:val="231F20"/>
        </w:rPr>
        <w:t>de la </w:t>
      </w:r>
      <w:r>
        <w:rPr>
          <w:color w:val="231F20"/>
          <w:spacing w:val="2"/>
        </w:rPr>
        <w:t>Vida debe evitar una interpretación reduccionista </w:t>
      </w:r>
      <w:r>
        <w:rPr>
          <w:color w:val="231F20"/>
        </w:rPr>
        <w:t>de la </w:t>
      </w:r>
      <w:r>
        <w:rPr>
          <w:color w:val="231F20"/>
          <w:spacing w:val="3"/>
        </w:rPr>
        <w:t>sociedad (fenomenológica) </w:t>
      </w:r>
      <w:r>
        <w:rPr>
          <w:color w:val="231F20"/>
        </w:rPr>
        <w:t>y </w:t>
      </w:r>
      <w:r>
        <w:rPr>
          <w:color w:val="231F20"/>
          <w:spacing w:val="2"/>
        </w:rPr>
        <w:t>debe, </w:t>
      </w:r>
      <w:r>
        <w:rPr>
          <w:color w:val="231F20"/>
          <w:spacing w:val="3"/>
        </w:rPr>
        <w:t>también, </w:t>
      </w:r>
      <w:r>
        <w:rPr>
          <w:color w:val="231F20"/>
          <w:spacing w:val="2"/>
        </w:rPr>
        <w:t>adoptar  </w:t>
      </w:r>
      <w:r>
        <w:rPr>
          <w:color w:val="231F20"/>
        </w:rPr>
        <w:t>un  </w:t>
      </w:r>
      <w:r>
        <w:rPr>
          <w:color w:val="231F20"/>
          <w:spacing w:val="2"/>
        </w:rPr>
        <w:t>contexto lingüístico, </w:t>
      </w:r>
      <w:r>
        <w:rPr>
          <w:color w:val="231F20"/>
        </w:rPr>
        <w:t>no </w:t>
      </w:r>
      <w:r>
        <w:rPr>
          <w:color w:val="231F20"/>
          <w:spacing w:val="2"/>
        </w:rPr>
        <w:t>cognoscitivo; debe </w:t>
      </w:r>
      <w:r>
        <w:rPr>
          <w:color w:val="231F20"/>
        </w:rPr>
        <w:t>ser </w:t>
      </w:r>
      <w:r>
        <w:rPr>
          <w:color w:val="231F20"/>
          <w:spacing w:val="3"/>
        </w:rPr>
        <w:t>concebido como complementario </w:t>
      </w:r>
      <w:r>
        <w:rPr>
          <w:color w:val="231F20"/>
          <w:spacing w:val="2"/>
        </w:rPr>
        <w:t>del </w:t>
      </w:r>
      <w:r>
        <w:rPr>
          <w:color w:val="231F20"/>
        </w:rPr>
        <w:t>de </w:t>
      </w:r>
      <w:r>
        <w:rPr>
          <w:color w:val="231F20"/>
          <w:spacing w:val="2"/>
        </w:rPr>
        <w:t>acción </w:t>
      </w:r>
      <w:r>
        <w:rPr>
          <w:color w:val="231F20"/>
          <w:spacing w:val="3"/>
        </w:rPr>
        <w:t>comunicativa </w:t>
      </w:r>
      <w:r>
        <w:rPr>
          <w:color w:val="231F20"/>
          <w:spacing w:val="2"/>
        </w:rPr>
        <w:t>desde </w:t>
      </w:r>
      <w:r>
        <w:rPr>
          <w:color w:val="231F20"/>
        </w:rPr>
        <w:t>la </w:t>
      </w:r>
      <w:r>
        <w:rPr>
          <w:color w:val="231F20"/>
          <w:spacing w:val="3"/>
        </w:rPr>
        <w:t>perspectiva </w:t>
      </w:r>
      <w:r>
        <w:rPr>
          <w:color w:val="231F20"/>
          <w:spacing w:val="2"/>
        </w:rPr>
        <w:t>reconstructiva del </w:t>
      </w:r>
      <w:r>
        <w:rPr>
          <w:color w:val="231F20"/>
          <w:spacing w:val="3"/>
        </w:rPr>
        <w:t>hablante. </w:t>
      </w:r>
      <w:r>
        <w:rPr>
          <w:color w:val="231F20"/>
          <w:spacing w:val="2"/>
        </w:rPr>
        <w:t>Esto exige </w:t>
      </w:r>
      <w:r>
        <w:rPr>
          <w:color w:val="231F20"/>
        </w:rPr>
        <w:t>un </w:t>
      </w:r>
      <w:r>
        <w:rPr>
          <w:color w:val="231F20"/>
          <w:spacing w:val="3"/>
        </w:rPr>
        <w:t>cambio metodológico:</w:t>
      </w:r>
      <w:r>
        <w:rPr>
          <w:color w:val="231F20"/>
          <w:spacing w:val="58"/>
        </w:rPr>
        <w:t> </w:t>
      </w:r>
      <w:r>
        <w:rPr>
          <w:color w:val="231F20"/>
        </w:rPr>
        <w:t>de </w:t>
      </w:r>
      <w:r>
        <w:rPr>
          <w:color w:val="231F20"/>
          <w:spacing w:val="2"/>
        </w:rPr>
        <w:t>una actitud realizativa </w:t>
      </w:r>
      <w:r>
        <w:rPr>
          <w:color w:val="231F20"/>
          <w:spacing w:val="3"/>
        </w:rPr>
        <w:t>(segunda persona) </w:t>
      </w:r>
      <w:r>
        <w:rPr>
          <w:color w:val="231F20"/>
        </w:rPr>
        <w:t>a </w:t>
      </w:r>
      <w:r>
        <w:rPr>
          <w:color w:val="231F20"/>
          <w:spacing w:val="2"/>
        </w:rPr>
        <w:t>una teorética  (tercera</w:t>
      </w:r>
      <w:r>
        <w:rPr>
          <w:color w:val="231F20"/>
          <w:spacing w:val="-7"/>
        </w:rPr>
        <w:t> </w:t>
      </w:r>
      <w:r>
        <w:rPr>
          <w:color w:val="231F20"/>
          <w:spacing w:val="3"/>
        </w:rPr>
        <w:t>persona).</w:t>
      </w:r>
    </w:p>
    <w:p>
      <w:pPr>
        <w:pStyle w:val="BodyText"/>
        <w:rPr>
          <w:sz w:val="22"/>
        </w:rPr>
      </w:pPr>
    </w:p>
    <w:p>
      <w:pPr>
        <w:pStyle w:val="BodyText"/>
        <w:spacing w:before="3"/>
      </w:pPr>
    </w:p>
    <w:p>
      <w:pPr>
        <w:spacing w:before="1"/>
        <w:ind w:left="102" w:right="0" w:firstLine="0"/>
        <w:jc w:val="both"/>
        <w:rPr>
          <w:i/>
          <w:sz w:val="21"/>
        </w:rPr>
      </w:pPr>
      <w:r>
        <w:rPr>
          <w:i/>
          <w:color w:val="231F20"/>
          <w:w w:val="90"/>
          <w:sz w:val="21"/>
        </w:rPr>
        <w:t>El concepto pragmático-formal de Mundo de la Vida</w:t>
      </w:r>
    </w:p>
    <w:p>
      <w:pPr>
        <w:pStyle w:val="BodyText"/>
        <w:spacing w:before="1"/>
        <w:rPr>
          <w:i/>
        </w:rPr>
      </w:pPr>
    </w:p>
    <w:p>
      <w:pPr>
        <w:pStyle w:val="BodyText"/>
        <w:spacing w:line="247" w:lineRule="auto" w:before="1"/>
        <w:ind w:left="102" w:right="115"/>
        <w:jc w:val="both"/>
      </w:pPr>
      <w:r>
        <w:rPr>
          <w:color w:val="231F20"/>
        </w:rPr>
        <w:t>Husserl, de acuerdo con Habermas, reacciona contra las tendencias tecnificadoras de la sociología positivista y recurre al concepto de Mundo de la Vida como el conjunto de prenociones idealizadas inmediatamente presentes en la construcción del conocimiento; Habermas descubre a su vez en ellas la preexistencia de idealizaciones. “La Teoría de la acción comunicativa destrascendentaliza... el reino de lo inteligible..., en los actos de habla la mayor parte de lo que se dice en la práctica comunicativa cotidiana permanece aproblemático” (Habermas, 1990: 91-92).</w:t>
      </w:r>
    </w:p>
    <w:p>
      <w:pPr>
        <w:pStyle w:val="BodyText"/>
        <w:spacing w:line="247" w:lineRule="auto"/>
        <w:ind w:left="102" w:right="116" w:firstLine="284"/>
        <w:jc w:val="both"/>
      </w:pPr>
      <w:r>
        <w:rPr>
          <w:color w:val="231F20"/>
        </w:rPr>
        <w:t>Dos tipos de saberes atemáticos superficiales absorben  en  primer lugar la plausibilidad de la pretensión de validez: el saber horizonte (referido al espacio y a las biografías de los participantes: uno sabe que es congruente lo que se dice) y el contextual (uno   sabe que lo que se dice depende de varios factores dentro  del  campo de conocimiento del discurso); estos dos tipos de saberes   son superficiales porque pueden ser traídos a tema  en  la  interacción, no así el saber de fondo: es este el constitutivo del Mundo de la Vida; es un saber atemático que no puede ser traído a tema por los participantes sin que deje de ser saber de fondo, </w:t>
      </w:r>
      <w:r>
        <w:rPr>
          <w:color w:val="231F20"/>
          <w:spacing w:val="2"/>
        </w:rPr>
        <w:t>que    </w:t>
      </w:r>
      <w:r>
        <w:rPr>
          <w:color w:val="231F20"/>
        </w:rPr>
        <w:t>se caracteriza por su certeza directa (intensa y sin embargo  deficiente de saber), por su fuerza totalizadora (forma parte de mí  en tanto Estado, nación, etc., corporalidad vivida), y por su holismo (funde en él los componentes de los tipos de acción, de una manera impenetrable, solo asequible por la experiencia  </w:t>
      </w:r>
      <w:r>
        <w:rPr>
          <w:color w:val="231F20"/>
          <w:spacing w:val="50"/>
        </w:rPr>
        <w:t> </w:t>
      </w:r>
      <w:r>
        <w:rPr>
          <w:color w:val="231F20"/>
        </w:rPr>
        <w:t>problematizadora),</w:t>
      </w:r>
    </w:p>
    <w:p>
      <w:pPr>
        <w:spacing w:after="0" w:line="247" w:lineRule="auto"/>
        <w:jc w:val="both"/>
        <w:sectPr>
          <w:headerReference w:type="default" r:id="rId540"/>
          <w:footerReference w:type="default" r:id="rId541"/>
          <w:pgSz w:w="7830" w:h="11910"/>
          <w:pgMar w:header="0" w:footer="424" w:top="500" w:bottom="620" w:left="920" w:right="900"/>
          <w:pgNumType w:start="236"/>
        </w:sectPr>
      </w:pPr>
    </w:p>
    <w:p>
      <w:pPr>
        <w:spacing w:before="46"/>
        <w:ind w:left="428" w:right="425"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82" w:right="175"/>
        <w:jc w:val="both"/>
      </w:pPr>
      <w:r>
        <w:rPr>
          <w:color w:val="231F20"/>
        </w:rPr>
        <w:t>“La estructuración de la experiencia refleja la arquitectura del Mundo de la Vida en la medida en que va asociada con la estructura tricotómica de los actos de habla y con el saber de fondo  constitutivo del Mundo de la Vida” (Habermas, 1990:</w:t>
      </w:r>
      <w:r>
        <w:rPr>
          <w:color w:val="231F20"/>
          <w:spacing w:val="1"/>
        </w:rPr>
        <w:t> </w:t>
      </w:r>
      <w:r>
        <w:rPr>
          <w:color w:val="231F20"/>
        </w:rPr>
        <w:t>97).</w:t>
      </w:r>
    </w:p>
    <w:p>
      <w:pPr>
        <w:pStyle w:val="BodyText"/>
        <w:spacing w:before="7"/>
        <w:rPr>
          <w:sz w:val="22"/>
        </w:rPr>
      </w:pPr>
    </w:p>
    <w:p>
      <w:pPr>
        <w:spacing w:before="0"/>
        <w:ind w:left="182" w:right="0" w:firstLine="0"/>
        <w:jc w:val="both"/>
        <w:rPr>
          <w:i/>
          <w:sz w:val="21"/>
        </w:rPr>
      </w:pPr>
      <w:r>
        <w:rPr>
          <w:i/>
          <w:color w:val="231F20"/>
          <w:w w:val="85"/>
          <w:sz w:val="21"/>
        </w:rPr>
        <w:t>La sociedad como Mundo de la Vida simbólicamenteestructurado</w:t>
      </w:r>
    </w:p>
    <w:p>
      <w:pPr>
        <w:pStyle w:val="BodyText"/>
        <w:spacing w:before="6"/>
        <w:rPr>
          <w:i/>
        </w:rPr>
      </w:pPr>
    </w:p>
    <w:p>
      <w:pPr>
        <w:pStyle w:val="BodyText"/>
        <w:spacing w:line="244" w:lineRule="auto"/>
        <w:ind w:left="181" w:right="174"/>
        <w:jc w:val="both"/>
      </w:pPr>
      <w:r>
        <w:rPr>
          <w:color w:val="231F20"/>
        </w:rPr>
        <w:t>La coordinación de la acción se hace posible porque en el acuerdo  se ponen en obra actos de habla que reúnen  tres  aspectos:  relacional</w:t>
      </w:r>
      <w:r>
        <w:rPr>
          <w:color w:val="231F20"/>
          <w:spacing w:val="-8"/>
        </w:rPr>
        <w:t> </w:t>
      </w:r>
      <w:r>
        <w:rPr>
          <w:color w:val="231F20"/>
        </w:rPr>
        <w:t>(una</w:t>
      </w:r>
      <w:r>
        <w:rPr>
          <w:color w:val="231F20"/>
          <w:spacing w:val="-8"/>
        </w:rPr>
        <w:t> </w:t>
      </w:r>
      <w:r>
        <w:rPr>
          <w:color w:val="231F20"/>
        </w:rPr>
        <w:t>persona</w:t>
      </w:r>
      <w:r>
        <w:rPr>
          <w:color w:val="231F20"/>
          <w:spacing w:val="-8"/>
        </w:rPr>
        <w:t> </w:t>
      </w:r>
      <w:r>
        <w:rPr>
          <w:color w:val="231F20"/>
        </w:rPr>
        <w:t>habla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otra),</w:t>
      </w:r>
      <w:r>
        <w:rPr>
          <w:color w:val="231F20"/>
          <w:spacing w:val="-8"/>
        </w:rPr>
        <w:t> </w:t>
      </w:r>
      <w:r>
        <w:rPr>
          <w:color w:val="231F20"/>
        </w:rPr>
        <w:t>expresivo</w:t>
      </w:r>
      <w:r>
        <w:rPr>
          <w:color w:val="231F20"/>
          <w:spacing w:val="-7"/>
        </w:rPr>
        <w:t> </w:t>
      </w:r>
      <w:r>
        <w:rPr>
          <w:color w:val="231F20"/>
        </w:rPr>
        <w:t>(</w:t>
      </w:r>
      <w:r>
        <w:rPr>
          <w:i/>
          <w:color w:val="231F20"/>
        </w:rPr>
        <w:t>ego</w:t>
      </w:r>
      <w:r>
        <w:rPr>
          <w:i/>
          <w:color w:val="231F20"/>
          <w:spacing w:val="-8"/>
        </w:rPr>
        <w:t> </w:t>
      </w:r>
      <w:r>
        <w:rPr>
          <w:color w:val="231F20"/>
        </w:rPr>
        <w:t>se</w:t>
      </w:r>
      <w:r>
        <w:rPr>
          <w:color w:val="231F20"/>
          <w:spacing w:val="-8"/>
        </w:rPr>
        <w:t> </w:t>
      </w:r>
      <w:r>
        <w:rPr>
          <w:color w:val="231F20"/>
        </w:rPr>
        <w:t>presenta</w:t>
      </w:r>
      <w:r>
        <w:rPr>
          <w:color w:val="231F20"/>
          <w:spacing w:val="-8"/>
        </w:rPr>
        <w:t> </w:t>
      </w:r>
      <w:r>
        <w:rPr>
          <w:color w:val="231F20"/>
        </w:rPr>
        <w:t>de manera que es él mismo), y expositivo (</w:t>
      </w:r>
      <w:r>
        <w:rPr>
          <w:i/>
          <w:color w:val="231F20"/>
        </w:rPr>
        <w:t>ego </w:t>
      </w:r>
      <w:r>
        <w:rPr>
          <w:color w:val="231F20"/>
        </w:rPr>
        <w:t>y </w:t>
      </w:r>
      <w:r>
        <w:rPr>
          <w:i/>
          <w:color w:val="231F20"/>
        </w:rPr>
        <w:t>alter </w:t>
      </w:r>
      <w:r>
        <w:rPr>
          <w:color w:val="231F20"/>
        </w:rPr>
        <w:t>hablan acerca de algo) así sucede en la acción comunicativa; y esta hace preguntarse a Habermas acerca de la reproducción de ese Mundo de la Vida. Relacionados con esos tres aspectos presentes en los acuerdos racionalmente motivados, figuran los tres componentes del Mundo de la Vida: órdenes considerados legítimos (relacional), estructuras de personalidad (expresivo) y patrones culturales (expositivo); estos son condensaciones, a su vez, de tres procesos: coordinación de la acción, socialización y comprensión. Las asociaciones descritas pueden ser representadas</w:t>
      </w:r>
      <w:r>
        <w:rPr>
          <w:color w:val="231F20"/>
          <w:spacing w:val="7"/>
        </w:rPr>
        <w:t> </w:t>
      </w:r>
      <w:r>
        <w:rPr>
          <w:color w:val="231F20"/>
        </w:rPr>
        <w:t>así:</w:t>
      </w:r>
    </w:p>
    <w:p>
      <w:pPr>
        <w:pStyle w:val="BodyText"/>
        <w:spacing w:before="9"/>
        <w:rPr>
          <w:sz w:val="24"/>
        </w:rPr>
      </w:pPr>
    </w:p>
    <w:p>
      <w:pPr>
        <w:spacing w:before="0"/>
        <w:ind w:left="428" w:right="427" w:firstLine="0"/>
        <w:jc w:val="center"/>
        <w:rPr>
          <w:b/>
          <w:sz w:val="19"/>
        </w:rPr>
      </w:pPr>
      <w:r>
        <w:rPr>
          <w:b/>
          <w:color w:val="231F20"/>
          <w:w w:val="105"/>
          <w:sz w:val="19"/>
        </w:rPr>
        <w:t>Mundo de la Vida: Componentes, aspectos y procesos en obra</w:t>
      </w:r>
    </w:p>
    <w:p>
      <w:pPr>
        <w:pStyle w:val="BodyText"/>
        <w:rPr>
          <w:b/>
          <w:sz w:val="11"/>
        </w:rPr>
      </w:pPr>
    </w:p>
    <w:tbl>
      <w:tblPr>
        <w:tblW w:w="0" w:type="auto"/>
        <w:jc w:val="left"/>
        <w:tblInd w:w="10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342"/>
        <w:gridCol w:w="1594"/>
        <w:gridCol w:w="1987"/>
      </w:tblGrid>
      <w:tr>
        <w:trPr>
          <w:trHeight w:val="490" w:hRule="exact"/>
        </w:trPr>
        <w:tc>
          <w:tcPr>
            <w:tcW w:w="2342" w:type="dxa"/>
          </w:tcPr>
          <w:p>
            <w:pPr>
              <w:pStyle w:val="TableParagraph"/>
              <w:spacing w:line="295" w:lineRule="auto" w:before="33"/>
              <w:ind w:left="898" w:hanging="816"/>
              <w:rPr>
                <w:b/>
                <w:sz w:val="17"/>
              </w:rPr>
            </w:pPr>
            <w:r>
              <w:rPr>
                <w:b/>
                <w:color w:val="231F20"/>
                <w:w w:val="105"/>
                <w:sz w:val="17"/>
              </w:rPr>
              <w:t>Componentes del Mundo de la Vida</w:t>
            </w:r>
          </w:p>
        </w:tc>
        <w:tc>
          <w:tcPr>
            <w:tcW w:w="1594" w:type="dxa"/>
          </w:tcPr>
          <w:p>
            <w:pPr>
              <w:pStyle w:val="TableParagraph"/>
              <w:spacing w:before="153"/>
              <w:ind w:left="446"/>
              <w:rPr>
                <w:b/>
                <w:sz w:val="17"/>
              </w:rPr>
            </w:pPr>
            <w:r>
              <w:rPr>
                <w:b/>
                <w:color w:val="231F20"/>
                <w:w w:val="105"/>
                <w:sz w:val="17"/>
              </w:rPr>
              <w:t>Aspectos</w:t>
            </w:r>
          </w:p>
        </w:tc>
        <w:tc>
          <w:tcPr>
            <w:tcW w:w="1987" w:type="dxa"/>
          </w:tcPr>
          <w:p>
            <w:pPr>
              <w:pStyle w:val="TableParagraph"/>
              <w:spacing w:line="295" w:lineRule="auto" w:before="33"/>
              <w:ind w:left="443" w:hanging="348"/>
              <w:rPr>
                <w:b/>
                <w:sz w:val="17"/>
              </w:rPr>
            </w:pPr>
            <w:r>
              <w:rPr>
                <w:b/>
                <w:color w:val="231F20"/>
                <w:w w:val="105"/>
                <w:sz w:val="17"/>
              </w:rPr>
              <w:t>Procesos en obra en los actos de habla</w:t>
            </w:r>
          </w:p>
        </w:tc>
      </w:tr>
      <w:tr>
        <w:trPr>
          <w:trHeight w:val="730" w:hRule="exact"/>
        </w:trPr>
        <w:tc>
          <w:tcPr>
            <w:tcW w:w="2342" w:type="dxa"/>
          </w:tcPr>
          <w:p>
            <w:pPr>
              <w:pStyle w:val="TableParagraph"/>
              <w:spacing w:line="295" w:lineRule="auto" w:before="33"/>
              <w:ind w:left="812" w:right="200" w:hanging="424"/>
              <w:rPr>
                <w:sz w:val="17"/>
              </w:rPr>
            </w:pPr>
            <w:r>
              <w:rPr>
                <w:color w:val="231F20"/>
                <w:sz w:val="17"/>
              </w:rPr>
              <w:t>Órdenes considerados legítimos (sociedad)</w:t>
            </w:r>
          </w:p>
        </w:tc>
        <w:tc>
          <w:tcPr>
            <w:tcW w:w="1594" w:type="dxa"/>
          </w:tcPr>
          <w:p>
            <w:pPr>
              <w:pStyle w:val="TableParagraph"/>
              <w:spacing w:before="8"/>
              <w:ind w:left="0"/>
              <w:rPr>
                <w:b/>
                <w:sz w:val="23"/>
              </w:rPr>
            </w:pPr>
          </w:p>
          <w:p>
            <w:pPr>
              <w:pStyle w:val="TableParagraph"/>
              <w:spacing w:before="1"/>
              <w:ind w:left="431"/>
              <w:rPr>
                <w:sz w:val="17"/>
              </w:rPr>
            </w:pPr>
            <w:r>
              <w:rPr>
                <w:color w:val="231F20"/>
                <w:sz w:val="17"/>
              </w:rPr>
              <w:t>Relacional</w:t>
            </w:r>
          </w:p>
        </w:tc>
        <w:tc>
          <w:tcPr>
            <w:tcW w:w="1987" w:type="dxa"/>
          </w:tcPr>
          <w:p>
            <w:pPr>
              <w:pStyle w:val="TableParagraph"/>
              <w:spacing w:before="8"/>
              <w:ind w:left="0"/>
              <w:rPr>
                <w:b/>
                <w:sz w:val="23"/>
              </w:rPr>
            </w:pPr>
          </w:p>
          <w:p>
            <w:pPr>
              <w:pStyle w:val="TableParagraph"/>
              <w:spacing w:before="1"/>
              <w:ind w:left="78" w:right="79"/>
              <w:jc w:val="center"/>
              <w:rPr>
                <w:sz w:val="17"/>
              </w:rPr>
            </w:pPr>
            <w:r>
              <w:rPr>
                <w:color w:val="231F20"/>
                <w:sz w:val="17"/>
              </w:rPr>
              <w:t>Coordinación de la acción</w:t>
            </w:r>
          </w:p>
        </w:tc>
      </w:tr>
      <w:tr>
        <w:trPr>
          <w:trHeight w:val="490" w:hRule="exact"/>
        </w:trPr>
        <w:tc>
          <w:tcPr>
            <w:tcW w:w="2342" w:type="dxa"/>
          </w:tcPr>
          <w:p>
            <w:pPr>
              <w:pStyle w:val="TableParagraph"/>
              <w:spacing w:line="295" w:lineRule="auto" w:before="33"/>
              <w:ind w:left="671" w:hanging="555"/>
              <w:rPr>
                <w:sz w:val="17"/>
              </w:rPr>
            </w:pPr>
            <w:r>
              <w:rPr>
                <w:color w:val="231F20"/>
                <w:sz w:val="17"/>
              </w:rPr>
              <w:t>Estructuras de la personalidad (personalidad)</w:t>
            </w:r>
          </w:p>
        </w:tc>
        <w:tc>
          <w:tcPr>
            <w:tcW w:w="1594" w:type="dxa"/>
          </w:tcPr>
          <w:p>
            <w:pPr>
              <w:pStyle w:val="TableParagraph"/>
              <w:spacing w:before="153"/>
              <w:ind w:left="434"/>
              <w:rPr>
                <w:sz w:val="17"/>
              </w:rPr>
            </w:pPr>
            <w:r>
              <w:rPr>
                <w:color w:val="231F20"/>
                <w:sz w:val="17"/>
              </w:rPr>
              <w:t>Expresivo</w:t>
            </w:r>
          </w:p>
        </w:tc>
        <w:tc>
          <w:tcPr>
            <w:tcW w:w="1987" w:type="dxa"/>
          </w:tcPr>
          <w:p>
            <w:pPr>
              <w:pStyle w:val="TableParagraph"/>
              <w:spacing w:before="153"/>
              <w:ind w:left="78" w:right="79"/>
              <w:jc w:val="center"/>
              <w:rPr>
                <w:sz w:val="17"/>
              </w:rPr>
            </w:pPr>
            <w:r>
              <w:rPr>
                <w:color w:val="231F20"/>
                <w:sz w:val="17"/>
              </w:rPr>
              <w:t>Socialización</w:t>
            </w:r>
          </w:p>
        </w:tc>
      </w:tr>
      <w:tr>
        <w:trPr>
          <w:trHeight w:val="494" w:hRule="exact"/>
        </w:trPr>
        <w:tc>
          <w:tcPr>
            <w:tcW w:w="2342" w:type="dxa"/>
          </w:tcPr>
          <w:p>
            <w:pPr>
              <w:pStyle w:val="TableParagraph"/>
              <w:spacing w:line="295" w:lineRule="auto" w:before="33"/>
              <w:ind w:left="874" w:hanging="367"/>
              <w:rPr>
                <w:sz w:val="17"/>
              </w:rPr>
            </w:pPr>
            <w:r>
              <w:rPr>
                <w:color w:val="231F20"/>
                <w:sz w:val="17"/>
              </w:rPr>
              <w:t>Patrones culturales (cultura)</w:t>
            </w:r>
          </w:p>
        </w:tc>
        <w:tc>
          <w:tcPr>
            <w:tcW w:w="1594" w:type="dxa"/>
          </w:tcPr>
          <w:p>
            <w:pPr>
              <w:pStyle w:val="TableParagraph"/>
              <w:spacing w:before="153"/>
              <w:ind w:left="409"/>
              <w:rPr>
                <w:sz w:val="17"/>
              </w:rPr>
            </w:pPr>
            <w:r>
              <w:rPr>
                <w:color w:val="231F20"/>
                <w:sz w:val="17"/>
              </w:rPr>
              <w:t>Expositivo</w:t>
            </w:r>
          </w:p>
        </w:tc>
        <w:tc>
          <w:tcPr>
            <w:tcW w:w="1987" w:type="dxa"/>
          </w:tcPr>
          <w:p>
            <w:pPr>
              <w:pStyle w:val="TableParagraph"/>
              <w:spacing w:before="153"/>
              <w:ind w:left="78" w:right="79"/>
              <w:jc w:val="center"/>
              <w:rPr>
                <w:sz w:val="17"/>
              </w:rPr>
            </w:pPr>
            <w:r>
              <w:rPr>
                <w:color w:val="231F20"/>
                <w:sz w:val="17"/>
              </w:rPr>
              <w:t>Comprensión</w:t>
            </w:r>
          </w:p>
        </w:tc>
      </w:tr>
    </w:tbl>
    <w:p>
      <w:pPr>
        <w:pStyle w:val="BodyText"/>
        <w:spacing w:before="5"/>
        <w:rPr>
          <w:b/>
          <w:sz w:val="7"/>
        </w:rPr>
      </w:pPr>
    </w:p>
    <w:p>
      <w:pPr>
        <w:spacing w:before="77"/>
        <w:ind w:left="182" w:right="0" w:firstLine="0"/>
        <w:jc w:val="left"/>
        <w:rPr>
          <w:sz w:val="17"/>
        </w:rPr>
      </w:pPr>
      <w:r>
        <w:rPr>
          <w:color w:val="231F20"/>
          <w:w w:val="95"/>
          <w:sz w:val="17"/>
        </w:rPr>
        <w:t>Fuente: </w:t>
      </w:r>
      <w:r>
        <w:rPr>
          <w:i/>
          <w:color w:val="231F20"/>
          <w:w w:val="95"/>
          <w:sz w:val="17"/>
        </w:rPr>
        <w:t>El pensamiento postmetafísico </w:t>
      </w:r>
      <w:r>
        <w:rPr>
          <w:color w:val="231F20"/>
          <w:w w:val="95"/>
          <w:sz w:val="17"/>
        </w:rPr>
        <w:t>pp. 97 y ss.</w:t>
      </w:r>
    </w:p>
    <w:p>
      <w:pPr>
        <w:pStyle w:val="BodyText"/>
        <w:rPr>
          <w:sz w:val="18"/>
        </w:rPr>
      </w:pPr>
    </w:p>
    <w:p>
      <w:pPr>
        <w:pStyle w:val="BodyText"/>
        <w:spacing w:before="6"/>
        <w:rPr>
          <w:sz w:val="15"/>
        </w:rPr>
      </w:pPr>
    </w:p>
    <w:p>
      <w:pPr>
        <w:pStyle w:val="BodyText"/>
        <w:spacing w:line="247" w:lineRule="auto" w:before="1"/>
        <w:ind w:left="182" w:right="179" w:firstLine="284"/>
        <w:jc w:val="both"/>
      </w:pPr>
      <w:r>
        <w:rPr>
          <w:color w:val="231F20"/>
        </w:rPr>
        <w:t>“Si </w:t>
      </w:r>
      <w:r>
        <w:rPr>
          <w:color w:val="231F20"/>
          <w:spacing w:val="3"/>
        </w:rPr>
        <w:t>consideramos </w:t>
      </w:r>
      <w:r>
        <w:rPr>
          <w:color w:val="231F20"/>
        </w:rPr>
        <w:t>la </w:t>
      </w:r>
      <w:r>
        <w:rPr>
          <w:color w:val="231F20"/>
          <w:spacing w:val="2"/>
        </w:rPr>
        <w:t>sociedad </w:t>
      </w:r>
      <w:r>
        <w:rPr>
          <w:color w:val="231F20"/>
        </w:rPr>
        <w:t>en </w:t>
      </w:r>
      <w:r>
        <w:rPr>
          <w:color w:val="231F20"/>
          <w:spacing w:val="2"/>
        </w:rPr>
        <w:t>sentido </w:t>
      </w:r>
      <w:r>
        <w:rPr>
          <w:color w:val="231F20"/>
        </w:rPr>
        <w:t>lato </w:t>
      </w:r>
      <w:r>
        <w:rPr>
          <w:color w:val="231F20"/>
          <w:spacing w:val="3"/>
        </w:rPr>
        <w:t>como </w:t>
      </w:r>
      <w:r>
        <w:rPr>
          <w:color w:val="231F20"/>
        </w:rPr>
        <w:t>un </w:t>
      </w:r>
      <w:r>
        <w:rPr>
          <w:color w:val="231F20"/>
          <w:spacing w:val="3"/>
        </w:rPr>
        <w:t>mundo simbólicamente </w:t>
      </w:r>
      <w:r>
        <w:rPr>
          <w:color w:val="231F20"/>
          <w:spacing w:val="2"/>
        </w:rPr>
        <w:t>estructurado, </w:t>
      </w:r>
      <w:r>
        <w:rPr>
          <w:color w:val="231F20"/>
        </w:rPr>
        <w:t>no </w:t>
      </w:r>
      <w:r>
        <w:rPr>
          <w:color w:val="231F20"/>
          <w:spacing w:val="2"/>
        </w:rPr>
        <w:t>cabe duda </w:t>
      </w:r>
      <w:r>
        <w:rPr>
          <w:color w:val="231F20"/>
        </w:rPr>
        <w:t>que la  </w:t>
      </w:r>
      <w:r>
        <w:rPr>
          <w:color w:val="231F20"/>
          <w:spacing w:val="2"/>
        </w:rPr>
        <w:t>sociedad </w:t>
      </w:r>
      <w:r>
        <w:rPr>
          <w:color w:val="231F20"/>
        </w:rPr>
        <w:t>solo  se </w:t>
      </w:r>
      <w:r>
        <w:rPr>
          <w:color w:val="231F20"/>
          <w:spacing w:val="3"/>
        </w:rPr>
        <w:t>forma </w:t>
      </w:r>
      <w:r>
        <w:rPr>
          <w:color w:val="231F20"/>
        </w:rPr>
        <w:t>y </w:t>
      </w:r>
      <w:r>
        <w:rPr>
          <w:color w:val="231F20"/>
          <w:spacing w:val="3"/>
        </w:rPr>
        <w:t>reproduce </w:t>
      </w:r>
      <w:r>
        <w:rPr>
          <w:color w:val="231F20"/>
        </w:rPr>
        <w:t>a </w:t>
      </w:r>
      <w:r>
        <w:rPr>
          <w:color w:val="231F20"/>
          <w:spacing w:val="2"/>
        </w:rPr>
        <w:t>través </w:t>
      </w:r>
      <w:r>
        <w:rPr>
          <w:color w:val="231F20"/>
        </w:rPr>
        <w:t>de la </w:t>
      </w:r>
      <w:r>
        <w:rPr>
          <w:color w:val="231F20"/>
          <w:spacing w:val="2"/>
        </w:rPr>
        <w:t>acción comunicativa. Pero </w:t>
      </w:r>
      <w:r>
        <w:rPr>
          <w:color w:val="231F20"/>
        </w:rPr>
        <w:t>de ello no se </w:t>
      </w:r>
      <w:r>
        <w:rPr>
          <w:color w:val="231F20"/>
          <w:spacing w:val="2"/>
        </w:rPr>
        <w:t>sigue que... </w:t>
      </w:r>
      <w:r>
        <w:rPr>
          <w:color w:val="231F20"/>
        </w:rPr>
        <w:t>no </w:t>
      </w:r>
      <w:r>
        <w:rPr>
          <w:color w:val="231F20"/>
          <w:spacing w:val="3"/>
        </w:rPr>
        <w:t>puedan </w:t>
      </w:r>
      <w:r>
        <w:rPr>
          <w:color w:val="231F20"/>
          <w:spacing w:val="2"/>
        </w:rPr>
        <w:t>presentarse interacciones estratégicas” </w:t>
      </w:r>
      <w:r>
        <w:rPr>
          <w:color w:val="231F20"/>
          <w:spacing w:val="3"/>
        </w:rPr>
        <w:t>(Habermas, </w:t>
      </w:r>
      <w:r>
        <w:rPr>
          <w:color w:val="231F20"/>
          <w:spacing w:val="2"/>
        </w:rPr>
        <w:t>1990: 100). Quienes proceden </w:t>
      </w:r>
      <w:r>
        <w:rPr>
          <w:color w:val="231F20"/>
        </w:rPr>
        <w:t>de  </w:t>
      </w:r>
      <w:r>
        <w:rPr>
          <w:color w:val="231F20"/>
          <w:spacing w:val="51"/>
        </w:rPr>
        <w:t> </w:t>
      </w:r>
      <w:r>
        <w:rPr>
          <w:color w:val="231F20"/>
          <w:spacing w:val="3"/>
        </w:rPr>
        <w:t>modo</w:t>
      </w:r>
    </w:p>
    <w:p>
      <w:pPr>
        <w:spacing w:after="0" w:line="247" w:lineRule="auto"/>
        <w:jc w:val="both"/>
        <w:sectPr>
          <w:headerReference w:type="default" r:id="rId542"/>
          <w:footerReference w:type="default" r:id="rId543"/>
          <w:pgSz w:w="7830" w:h="11910"/>
          <w:pgMar w:header="0" w:footer="424" w:top="500" w:bottom="620" w:left="840" w:right="840"/>
          <w:pgNumType w:start="23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1" w:right="114"/>
        <w:jc w:val="both"/>
      </w:pPr>
      <w:r>
        <w:rPr>
          <w:color w:val="231F20"/>
        </w:rPr>
        <w:t>estratégico, se colocan en un ejercicio de tráfico de influencias (como en relaciones de poder o de dinero), hacen que se pierda el otro como persona y que sea imposible el consenso; ante la ausencia de este, aparece la violencia.</w:t>
      </w:r>
    </w:p>
    <w:p>
      <w:pPr>
        <w:pStyle w:val="BodyText"/>
        <w:spacing w:line="249" w:lineRule="auto" w:before="1"/>
        <w:ind w:left="101" w:right="119" w:firstLine="284"/>
        <w:jc w:val="both"/>
      </w:pPr>
      <w:r>
        <w:rPr>
          <w:color w:val="231F20"/>
        </w:rPr>
        <w:t>El </w:t>
      </w:r>
      <w:r>
        <w:rPr>
          <w:color w:val="231F20"/>
          <w:spacing w:val="3"/>
        </w:rPr>
        <w:t>Mundo </w:t>
      </w:r>
      <w:r>
        <w:rPr>
          <w:color w:val="231F20"/>
        </w:rPr>
        <w:t>de la </w:t>
      </w:r>
      <w:r>
        <w:rPr>
          <w:color w:val="231F20"/>
          <w:spacing w:val="2"/>
        </w:rPr>
        <w:t>Vida </w:t>
      </w:r>
      <w:r>
        <w:rPr>
          <w:color w:val="231F20"/>
        </w:rPr>
        <w:t>es </w:t>
      </w:r>
      <w:r>
        <w:rPr>
          <w:color w:val="231F20"/>
          <w:spacing w:val="2"/>
        </w:rPr>
        <w:t>construido </w:t>
      </w:r>
      <w:r>
        <w:rPr>
          <w:color w:val="231F20"/>
        </w:rPr>
        <w:t>y </w:t>
      </w:r>
      <w:r>
        <w:rPr>
          <w:color w:val="231F20"/>
          <w:spacing w:val="3"/>
        </w:rPr>
        <w:t>reproducido constantemente </w:t>
      </w:r>
      <w:r>
        <w:rPr>
          <w:color w:val="231F20"/>
          <w:spacing w:val="2"/>
        </w:rPr>
        <w:t>activando sus </w:t>
      </w:r>
      <w:r>
        <w:rPr>
          <w:color w:val="231F20"/>
          <w:spacing w:val="3"/>
        </w:rPr>
        <w:t>componentes </w:t>
      </w:r>
      <w:r>
        <w:rPr>
          <w:color w:val="231F20"/>
          <w:spacing w:val="2"/>
        </w:rPr>
        <w:t>estructurales, </w:t>
      </w:r>
      <w:r>
        <w:rPr>
          <w:color w:val="231F20"/>
        </w:rPr>
        <w:t>y el </w:t>
      </w:r>
      <w:r>
        <w:rPr>
          <w:color w:val="231F20"/>
          <w:spacing w:val="2"/>
        </w:rPr>
        <w:t>proceso </w:t>
      </w:r>
      <w:r>
        <w:rPr>
          <w:color w:val="231F20"/>
        </w:rPr>
        <w:t>va </w:t>
      </w:r>
      <w:r>
        <w:rPr>
          <w:color w:val="231F20"/>
          <w:spacing w:val="3"/>
        </w:rPr>
        <w:t>sedimentando </w:t>
      </w:r>
      <w:r>
        <w:rPr>
          <w:color w:val="231F20"/>
          <w:spacing w:val="2"/>
        </w:rPr>
        <w:t>estructuras sociales, </w:t>
      </w:r>
      <w:r>
        <w:rPr>
          <w:color w:val="231F20"/>
        </w:rPr>
        <w:t>de </w:t>
      </w:r>
      <w:r>
        <w:rPr>
          <w:color w:val="231F20"/>
          <w:spacing w:val="2"/>
        </w:rPr>
        <w:t>personalidad </w:t>
      </w:r>
      <w:r>
        <w:rPr>
          <w:color w:val="231F20"/>
        </w:rPr>
        <w:t>y  de </w:t>
      </w:r>
      <w:r>
        <w:rPr>
          <w:color w:val="231F20"/>
          <w:spacing w:val="2"/>
        </w:rPr>
        <w:t>cultura que </w:t>
      </w:r>
      <w:r>
        <w:rPr>
          <w:color w:val="231F20"/>
          <w:spacing w:val="3"/>
        </w:rPr>
        <w:t>forman </w:t>
      </w:r>
      <w:r>
        <w:rPr>
          <w:color w:val="231F20"/>
          <w:spacing w:val="2"/>
        </w:rPr>
        <w:t>tradiciones </w:t>
      </w:r>
      <w:r>
        <w:rPr>
          <w:color w:val="231F20"/>
        </w:rPr>
        <w:t>de </w:t>
      </w:r>
      <w:r>
        <w:rPr>
          <w:color w:val="231F20"/>
          <w:spacing w:val="2"/>
        </w:rPr>
        <w:t>socialización, </w:t>
      </w:r>
      <w:r>
        <w:rPr>
          <w:color w:val="231F20"/>
          <w:spacing w:val="3"/>
        </w:rPr>
        <w:t>normativas </w:t>
      </w:r>
      <w:r>
        <w:rPr>
          <w:color w:val="231F20"/>
        </w:rPr>
        <w:t>y </w:t>
      </w:r>
      <w:r>
        <w:rPr>
          <w:color w:val="231F20"/>
          <w:spacing w:val="2"/>
        </w:rPr>
        <w:t>culturales que, </w:t>
      </w:r>
      <w:r>
        <w:rPr>
          <w:color w:val="231F20"/>
        </w:rPr>
        <w:t>sin </w:t>
      </w:r>
      <w:r>
        <w:rPr>
          <w:color w:val="231F20"/>
          <w:spacing w:val="3"/>
        </w:rPr>
        <w:t>embargo, </w:t>
      </w:r>
      <w:r>
        <w:rPr>
          <w:color w:val="231F20"/>
          <w:spacing w:val="2"/>
        </w:rPr>
        <w:t>existen </w:t>
      </w:r>
      <w:r>
        <w:rPr>
          <w:color w:val="231F20"/>
        </w:rPr>
        <w:t>solo </w:t>
      </w:r>
      <w:r>
        <w:rPr>
          <w:color w:val="231F20"/>
          <w:spacing w:val="2"/>
        </w:rPr>
        <w:t>gracias </w:t>
      </w:r>
      <w:r>
        <w:rPr>
          <w:color w:val="231F20"/>
        </w:rPr>
        <w:t>a </w:t>
      </w:r>
      <w:r>
        <w:rPr>
          <w:color w:val="231F20"/>
          <w:spacing w:val="2"/>
        </w:rPr>
        <w:t>los sujetos, </w:t>
      </w:r>
      <w:r>
        <w:rPr>
          <w:color w:val="231F20"/>
        </w:rPr>
        <w:t>a  sus </w:t>
      </w:r>
      <w:r>
        <w:rPr>
          <w:color w:val="231F20"/>
          <w:spacing w:val="2"/>
        </w:rPr>
        <w:t>actos </w:t>
      </w:r>
      <w:r>
        <w:rPr>
          <w:color w:val="231F20"/>
        </w:rPr>
        <w:t>de </w:t>
      </w:r>
      <w:r>
        <w:rPr>
          <w:color w:val="231F20"/>
          <w:spacing w:val="2"/>
        </w:rPr>
        <w:t>habla </w:t>
      </w:r>
      <w:r>
        <w:rPr>
          <w:color w:val="231F20"/>
        </w:rPr>
        <w:t>y a sus </w:t>
      </w:r>
      <w:r>
        <w:rPr>
          <w:color w:val="231F20"/>
          <w:spacing w:val="3"/>
        </w:rPr>
        <w:t>condiciones </w:t>
      </w:r>
      <w:r>
        <w:rPr>
          <w:color w:val="231F20"/>
          <w:spacing w:val="2"/>
        </w:rPr>
        <w:t>materiales </w:t>
      </w:r>
      <w:r>
        <w:rPr>
          <w:color w:val="231F20"/>
        </w:rPr>
        <w:t>de</w:t>
      </w:r>
      <w:r>
        <w:rPr>
          <w:color w:val="231F20"/>
          <w:spacing w:val="-3"/>
        </w:rPr>
        <w:t> </w:t>
      </w:r>
      <w:r>
        <w:rPr>
          <w:color w:val="231F20"/>
          <w:spacing w:val="2"/>
        </w:rPr>
        <w:t>existencia.</w:t>
      </w:r>
    </w:p>
    <w:p>
      <w:pPr>
        <w:pStyle w:val="BodyText"/>
        <w:rPr>
          <w:sz w:val="22"/>
        </w:rPr>
      </w:pPr>
    </w:p>
    <w:p>
      <w:pPr>
        <w:pStyle w:val="BodyText"/>
        <w:spacing w:before="9"/>
        <w:rPr>
          <w:sz w:val="25"/>
        </w:rPr>
      </w:pPr>
    </w:p>
    <w:p>
      <w:pPr>
        <w:spacing w:before="0"/>
        <w:ind w:left="102" w:right="0" w:firstLine="0"/>
        <w:jc w:val="both"/>
        <w:rPr>
          <w:i/>
          <w:sz w:val="21"/>
        </w:rPr>
      </w:pPr>
      <w:r>
        <w:rPr>
          <w:i/>
          <w:color w:val="231F20"/>
          <w:w w:val="95"/>
          <w:sz w:val="21"/>
        </w:rPr>
        <w:t>Mundo de la Vida y Sistema</w:t>
      </w:r>
    </w:p>
    <w:p>
      <w:pPr>
        <w:pStyle w:val="BodyText"/>
        <w:spacing w:before="1"/>
        <w:rPr>
          <w:i/>
        </w:rPr>
      </w:pPr>
    </w:p>
    <w:p>
      <w:pPr>
        <w:pStyle w:val="BodyText"/>
        <w:spacing w:line="247" w:lineRule="auto" w:before="1"/>
        <w:ind w:left="102" w:right="116"/>
        <w:jc w:val="both"/>
      </w:pPr>
      <w:r>
        <w:rPr>
          <w:color w:val="231F20"/>
        </w:rPr>
        <w:t>Habermas desarrolla, a partir de la Teoría de la Comunicación de George Herbert Mead, un cambio en el paradigma que explica la acción social de un esquema teleológico a un esquema comunicati- vo. Mead habría planteado que la acción adquiere su carácter social  a partir de la evolución histórica de signo hacia símbolo en las so- ciedades</w:t>
      </w:r>
      <w:r>
        <w:rPr>
          <w:color w:val="231F20"/>
          <w:spacing w:val="-29"/>
        </w:rPr>
        <w:t> </w:t>
      </w:r>
      <w:r>
        <w:rPr>
          <w:color w:val="231F20"/>
        </w:rPr>
        <w:t>primitivas.</w:t>
      </w:r>
    </w:p>
    <w:p>
      <w:pPr>
        <w:pStyle w:val="BodyText"/>
        <w:spacing w:line="249" w:lineRule="auto" w:before="10"/>
        <w:ind w:left="102" w:right="115" w:firstLine="284"/>
        <w:jc w:val="both"/>
      </w:pPr>
      <w:r>
        <w:rPr>
          <w:color w:val="231F20"/>
        </w:rPr>
        <w:t>Según el autor, el cambio de paradigma de cognoscitivo a lin- güístico es esencial para la Sociología, pero no es suficiente. Falta- ría explicar la relación entre teoría de la acción (ontogenética) y teoría de sistemas (filogenética). Habermas utiliza para esto la teoría de Durkheim relativa a la división del trabajo social:</w:t>
      </w:r>
    </w:p>
    <w:p>
      <w:pPr>
        <w:pStyle w:val="BodyText"/>
        <w:spacing w:line="249" w:lineRule="auto"/>
        <w:ind w:left="102" w:right="114" w:firstLine="284"/>
        <w:jc w:val="both"/>
      </w:pPr>
      <w:r>
        <w:rPr>
          <w:color w:val="231F20"/>
          <w:spacing w:val="2"/>
        </w:rPr>
        <w:t>Durkheim describe </w:t>
      </w:r>
      <w:r>
        <w:rPr>
          <w:color w:val="231F20"/>
        </w:rPr>
        <w:t>el </w:t>
      </w:r>
      <w:r>
        <w:rPr>
          <w:color w:val="231F20"/>
          <w:spacing w:val="2"/>
        </w:rPr>
        <w:t>paso </w:t>
      </w:r>
      <w:r>
        <w:rPr>
          <w:color w:val="231F20"/>
        </w:rPr>
        <w:t>de </w:t>
      </w:r>
      <w:r>
        <w:rPr>
          <w:color w:val="231F20"/>
          <w:spacing w:val="2"/>
        </w:rPr>
        <w:t>sociedades </w:t>
      </w:r>
      <w:r>
        <w:rPr>
          <w:color w:val="231F20"/>
        </w:rPr>
        <w:t>de </w:t>
      </w:r>
      <w:r>
        <w:rPr>
          <w:color w:val="231F20"/>
          <w:spacing w:val="2"/>
        </w:rPr>
        <w:t>tipo mecánico </w:t>
      </w:r>
      <w:r>
        <w:rPr>
          <w:color w:val="231F20"/>
        </w:rPr>
        <w:t>a </w:t>
      </w:r>
      <w:r>
        <w:rPr>
          <w:color w:val="231F20"/>
          <w:spacing w:val="2"/>
        </w:rPr>
        <w:t>sociedades </w:t>
      </w:r>
      <w:r>
        <w:rPr>
          <w:color w:val="231F20"/>
        </w:rPr>
        <w:t>de </w:t>
      </w:r>
      <w:r>
        <w:rPr>
          <w:color w:val="231F20"/>
          <w:spacing w:val="2"/>
        </w:rPr>
        <w:t>tipo orgánico siguiendo </w:t>
      </w:r>
      <w:r>
        <w:rPr>
          <w:color w:val="231F20"/>
        </w:rPr>
        <w:t>un </w:t>
      </w:r>
      <w:r>
        <w:rPr>
          <w:color w:val="231F20"/>
          <w:spacing w:val="2"/>
        </w:rPr>
        <w:t>principio </w:t>
      </w:r>
      <w:r>
        <w:rPr>
          <w:color w:val="231F20"/>
          <w:spacing w:val="3"/>
        </w:rPr>
        <w:t>biológico, </w:t>
      </w:r>
      <w:r>
        <w:rPr>
          <w:color w:val="231F20"/>
          <w:spacing w:val="2"/>
        </w:rPr>
        <w:t>basado </w:t>
      </w:r>
      <w:r>
        <w:rPr>
          <w:color w:val="231F20"/>
        </w:rPr>
        <w:t>en </w:t>
      </w:r>
      <w:r>
        <w:rPr>
          <w:color w:val="231F20"/>
          <w:spacing w:val="2"/>
        </w:rPr>
        <w:t>Spencer. Mientras </w:t>
      </w:r>
      <w:r>
        <w:rPr>
          <w:color w:val="231F20"/>
        </w:rPr>
        <w:t>las </w:t>
      </w:r>
      <w:r>
        <w:rPr>
          <w:color w:val="231F20"/>
          <w:spacing w:val="2"/>
        </w:rPr>
        <w:t>sociedades mecánicas </w:t>
      </w:r>
      <w:r>
        <w:rPr>
          <w:color w:val="231F20"/>
        </w:rPr>
        <w:t>se </w:t>
      </w:r>
      <w:r>
        <w:rPr>
          <w:color w:val="231F20"/>
          <w:spacing w:val="3"/>
        </w:rPr>
        <w:t>mantie- </w:t>
      </w:r>
      <w:r>
        <w:rPr>
          <w:color w:val="231F20"/>
          <w:spacing w:val="2"/>
        </w:rPr>
        <w:t>nen </w:t>
      </w:r>
      <w:r>
        <w:rPr>
          <w:color w:val="231F20"/>
        </w:rPr>
        <w:t>en un </w:t>
      </w:r>
      <w:r>
        <w:rPr>
          <w:color w:val="231F20"/>
          <w:spacing w:val="2"/>
        </w:rPr>
        <w:t>tipo </w:t>
      </w:r>
      <w:r>
        <w:rPr>
          <w:color w:val="231F20"/>
        </w:rPr>
        <w:t>de </w:t>
      </w:r>
      <w:r>
        <w:rPr>
          <w:color w:val="231F20"/>
          <w:spacing w:val="2"/>
        </w:rPr>
        <w:t>solidaridad basada </w:t>
      </w:r>
      <w:r>
        <w:rPr>
          <w:color w:val="231F20"/>
        </w:rPr>
        <w:t>en </w:t>
      </w:r>
      <w:r>
        <w:rPr>
          <w:color w:val="231F20"/>
          <w:spacing w:val="2"/>
        </w:rPr>
        <w:t>valores, </w:t>
      </w:r>
      <w:r>
        <w:rPr>
          <w:color w:val="231F20"/>
        </w:rPr>
        <w:t>las </w:t>
      </w:r>
      <w:r>
        <w:rPr>
          <w:color w:val="231F20"/>
          <w:spacing w:val="2"/>
        </w:rPr>
        <w:t>orgánicas </w:t>
      </w:r>
      <w:r>
        <w:rPr>
          <w:color w:val="231F20"/>
        </w:rPr>
        <w:t>lo </w:t>
      </w:r>
      <w:r>
        <w:rPr>
          <w:color w:val="231F20"/>
          <w:spacing w:val="2"/>
        </w:rPr>
        <w:t>hacen mediante una solidaridad funcional, </w:t>
      </w:r>
      <w:r>
        <w:rPr>
          <w:color w:val="231F20"/>
        </w:rPr>
        <w:t>a </w:t>
      </w:r>
      <w:r>
        <w:rPr>
          <w:color w:val="231F20"/>
          <w:spacing w:val="2"/>
        </w:rPr>
        <w:t>causa </w:t>
      </w:r>
      <w:r>
        <w:rPr>
          <w:color w:val="231F20"/>
        </w:rPr>
        <w:t>de la </w:t>
      </w:r>
      <w:r>
        <w:rPr>
          <w:color w:val="231F20"/>
          <w:spacing w:val="2"/>
        </w:rPr>
        <w:t>especiali- zación estructural </w:t>
      </w:r>
      <w:r>
        <w:rPr>
          <w:color w:val="231F20"/>
        </w:rPr>
        <w:t>de las </w:t>
      </w:r>
      <w:r>
        <w:rPr>
          <w:color w:val="231F20"/>
          <w:spacing w:val="3"/>
        </w:rPr>
        <w:t>profesiones. </w:t>
      </w:r>
      <w:r>
        <w:rPr>
          <w:color w:val="231F20"/>
        </w:rPr>
        <w:t>Lo </w:t>
      </w:r>
      <w:r>
        <w:rPr>
          <w:color w:val="231F20"/>
          <w:spacing w:val="2"/>
        </w:rPr>
        <w:t>que para </w:t>
      </w:r>
      <w:r>
        <w:rPr>
          <w:color w:val="231F20"/>
        </w:rPr>
        <w:t>las </w:t>
      </w:r>
      <w:r>
        <w:rPr>
          <w:color w:val="231F20"/>
          <w:spacing w:val="2"/>
        </w:rPr>
        <w:t>primeras </w:t>
      </w:r>
      <w:r>
        <w:rPr>
          <w:color w:val="231F20"/>
        </w:rPr>
        <w:t>es   la </w:t>
      </w:r>
      <w:r>
        <w:rPr>
          <w:color w:val="231F20"/>
          <w:spacing w:val="2"/>
        </w:rPr>
        <w:t>conciencia colectiva para </w:t>
      </w:r>
      <w:r>
        <w:rPr>
          <w:color w:val="231F20"/>
        </w:rPr>
        <w:t>las </w:t>
      </w:r>
      <w:r>
        <w:rPr>
          <w:color w:val="231F20"/>
          <w:spacing w:val="3"/>
        </w:rPr>
        <w:t>segundas </w:t>
      </w:r>
      <w:r>
        <w:rPr>
          <w:color w:val="231F20"/>
          <w:spacing w:val="2"/>
        </w:rPr>
        <w:t>sería división del trabajo; </w:t>
      </w:r>
      <w:r>
        <w:rPr>
          <w:color w:val="231F20"/>
        </w:rPr>
        <w:t>la </w:t>
      </w:r>
      <w:r>
        <w:rPr>
          <w:color w:val="231F20"/>
          <w:spacing w:val="3"/>
        </w:rPr>
        <w:t>normatividad </w:t>
      </w:r>
      <w:r>
        <w:rPr>
          <w:color w:val="231F20"/>
        </w:rPr>
        <w:t>en </w:t>
      </w:r>
      <w:r>
        <w:rPr>
          <w:color w:val="231F20"/>
          <w:spacing w:val="2"/>
        </w:rPr>
        <w:t>estas últimas aparecería después </w:t>
      </w:r>
      <w:r>
        <w:rPr>
          <w:color w:val="231F20"/>
        </w:rPr>
        <w:t>de tal </w:t>
      </w:r>
      <w:r>
        <w:rPr>
          <w:color w:val="231F20"/>
          <w:spacing w:val="2"/>
        </w:rPr>
        <w:t>división. </w:t>
      </w:r>
      <w:r>
        <w:rPr>
          <w:color w:val="231F20"/>
        </w:rPr>
        <w:t>Si ello no </w:t>
      </w:r>
      <w:r>
        <w:rPr>
          <w:color w:val="231F20"/>
          <w:spacing w:val="2"/>
        </w:rPr>
        <w:t>sucede, </w:t>
      </w:r>
      <w:r>
        <w:rPr>
          <w:color w:val="231F20"/>
        </w:rPr>
        <w:t>la </w:t>
      </w:r>
      <w:r>
        <w:rPr>
          <w:color w:val="231F20"/>
          <w:spacing w:val="2"/>
        </w:rPr>
        <w:t>sociedad muestra </w:t>
      </w:r>
      <w:r>
        <w:rPr>
          <w:color w:val="231F20"/>
        </w:rPr>
        <w:t>el </w:t>
      </w:r>
      <w:r>
        <w:rPr>
          <w:color w:val="231F20"/>
          <w:spacing w:val="2"/>
        </w:rPr>
        <w:t>fenómeno </w:t>
      </w:r>
      <w:r>
        <w:rPr>
          <w:color w:val="231F20"/>
        </w:rPr>
        <w:t>de la </w:t>
      </w:r>
      <w:r>
        <w:rPr>
          <w:color w:val="231F20"/>
          <w:spacing w:val="2"/>
        </w:rPr>
        <w:t>anomia. Durkheim </w:t>
      </w:r>
      <w:r>
        <w:rPr>
          <w:color w:val="231F20"/>
          <w:spacing w:val="3"/>
        </w:rPr>
        <w:t>asume, </w:t>
      </w:r>
      <w:r>
        <w:rPr>
          <w:color w:val="231F20"/>
          <w:spacing w:val="2"/>
        </w:rPr>
        <w:t>según </w:t>
      </w:r>
      <w:r>
        <w:rPr>
          <w:color w:val="231F20"/>
          <w:spacing w:val="3"/>
        </w:rPr>
        <w:t>Habermas, </w:t>
      </w:r>
      <w:r>
        <w:rPr>
          <w:color w:val="231F20"/>
        </w:rPr>
        <w:t>la </w:t>
      </w:r>
      <w:r>
        <w:rPr>
          <w:color w:val="231F20"/>
          <w:spacing w:val="2"/>
        </w:rPr>
        <w:t>paradoja que </w:t>
      </w:r>
      <w:r>
        <w:rPr>
          <w:color w:val="231F20"/>
        </w:rPr>
        <w:t>se da </w:t>
      </w:r>
      <w:r>
        <w:rPr>
          <w:color w:val="231F20"/>
          <w:spacing w:val="2"/>
        </w:rPr>
        <w:t>entre </w:t>
      </w:r>
      <w:r>
        <w:rPr>
          <w:color w:val="231F20"/>
        </w:rPr>
        <w:t>la </w:t>
      </w:r>
      <w:r>
        <w:rPr>
          <w:color w:val="231F20"/>
          <w:spacing w:val="2"/>
        </w:rPr>
        <w:t>aparición </w:t>
      </w:r>
      <w:r>
        <w:rPr>
          <w:color w:val="231F20"/>
        </w:rPr>
        <w:t>de la </w:t>
      </w:r>
      <w:r>
        <w:rPr>
          <w:color w:val="231F20"/>
          <w:spacing w:val="3"/>
        </w:rPr>
        <w:t>anomia </w:t>
      </w:r>
      <w:r>
        <w:rPr>
          <w:color w:val="231F20"/>
        </w:rPr>
        <w:t>y el </w:t>
      </w:r>
      <w:r>
        <w:rPr>
          <w:color w:val="231F20"/>
          <w:spacing w:val="2"/>
        </w:rPr>
        <w:t>surgimiento, </w:t>
      </w:r>
      <w:r>
        <w:rPr>
          <w:color w:val="231F20"/>
          <w:spacing w:val="3"/>
        </w:rPr>
        <w:t>pretendidamente espon- </w:t>
      </w:r>
      <w:r>
        <w:rPr>
          <w:color w:val="231F20"/>
          <w:spacing w:val="2"/>
        </w:rPr>
        <w:t>táneo postdivisión </w:t>
      </w:r>
      <w:r>
        <w:rPr>
          <w:color w:val="231F20"/>
        </w:rPr>
        <w:t>del </w:t>
      </w:r>
      <w:r>
        <w:rPr>
          <w:color w:val="231F20"/>
          <w:spacing w:val="2"/>
        </w:rPr>
        <w:t>trabajo, </w:t>
      </w:r>
      <w:r>
        <w:rPr>
          <w:color w:val="231F20"/>
        </w:rPr>
        <w:t>de las</w:t>
      </w:r>
      <w:r>
        <w:rPr>
          <w:color w:val="231F20"/>
          <w:spacing w:val="37"/>
        </w:rPr>
        <w:t> </w:t>
      </w:r>
      <w:r>
        <w:rPr>
          <w:color w:val="231F20"/>
          <w:spacing w:val="3"/>
        </w:rPr>
        <w:t>normas.</w:t>
      </w:r>
    </w:p>
    <w:p>
      <w:pPr>
        <w:pStyle w:val="BodyText"/>
        <w:spacing w:line="247" w:lineRule="auto"/>
        <w:ind w:left="102" w:right="115" w:firstLine="284"/>
        <w:jc w:val="both"/>
      </w:pPr>
      <w:r>
        <w:rPr>
          <w:color w:val="231F20"/>
        </w:rPr>
        <w:t>Con el planteamiento de la normatividad “que debería apare- cer” en la división del trabajo, el autor descubre un doble hecho:</w:t>
      </w:r>
    </w:p>
    <w:p>
      <w:pPr>
        <w:spacing w:after="0" w:line="247" w:lineRule="auto"/>
        <w:jc w:val="both"/>
        <w:sectPr>
          <w:headerReference w:type="default" r:id="rId544"/>
          <w:footerReference w:type="default" r:id="rId545"/>
          <w:pgSz w:w="7830" w:h="11910"/>
          <w:pgMar w:header="0" w:footer="424" w:top="500" w:bottom="620" w:left="920" w:right="900"/>
          <w:pgNumType w:start="23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20"/>
        <w:jc w:val="both"/>
      </w:pPr>
      <w:r>
        <w:rPr>
          <w:color w:val="231F20"/>
        </w:rPr>
        <w:t>que hay un proceso situado </w:t>
      </w:r>
      <w:r>
        <w:rPr>
          <w:i/>
          <w:color w:val="231F20"/>
        </w:rPr>
        <w:t>a tergo </w:t>
      </w:r>
      <w:r>
        <w:rPr>
          <w:color w:val="231F20"/>
        </w:rPr>
        <w:t>(del tipo de sistema) y uno </w:t>
      </w:r>
      <w:r>
        <w:rPr>
          <w:i/>
          <w:color w:val="231F20"/>
        </w:rPr>
        <w:t>a </w:t>
      </w:r>
      <w:r>
        <w:rPr>
          <w:i/>
          <w:color w:val="231F20"/>
        </w:rPr>
        <w:t>fronte </w:t>
      </w:r>
      <w:r>
        <w:rPr>
          <w:color w:val="231F20"/>
        </w:rPr>
        <w:t>(la orientación de la acción) y esto plantea justamente la pregunta acerca de la relación entre acción y sistema.</w:t>
      </w:r>
    </w:p>
    <w:p>
      <w:pPr>
        <w:pStyle w:val="BodyText"/>
        <w:spacing w:line="249" w:lineRule="auto" w:before="1"/>
        <w:ind w:left="101" w:right="116" w:firstLine="284"/>
        <w:jc w:val="both"/>
      </w:pPr>
      <w:r>
        <w:rPr>
          <w:color w:val="231F20"/>
          <w:spacing w:val="4"/>
        </w:rPr>
        <w:t>Habermas señala </w:t>
      </w:r>
      <w:r>
        <w:rPr>
          <w:color w:val="231F20"/>
          <w:spacing w:val="3"/>
        </w:rPr>
        <w:t>que, </w:t>
      </w:r>
      <w:r>
        <w:rPr>
          <w:color w:val="231F20"/>
          <w:spacing w:val="2"/>
        </w:rPr>
        <w:t>ya </w:t>
      </w:r>
      <w:r>
        <w:rPr>
          <w:color w:val="231F20"/>
          <w:spacing w:val="3"/>
        </w:rPr>
        <w:t>sea que </w:t>
      </w:r>
      <w:r>
        <w:rPr>
          <w:color w:val="231F20"/>
          <w:spacing w:val="2"/>
        </w:rPr>
        <w:t>se </w:t>
      </w:r>
      <w:r>
        <w:rPr>
          <w:color w:val="231F20"/>
          <w:spacing w:val="4"/>
        </w:rPr>
        <w:t>parta </w:t>
      </w:r>
      <w:r>
        <w:rPr>
          <w:color w:val="231F20"/>
          <w:spacing w:val="3"/>
        </w:rPr>
        <w:t>de</w:t>
      </w:r>
      <w:r>
        <w:rPr>
          <w:color w:val="231F20"/>
          <w:spacing w:val="58"/>
        </w:rPr>
        <w:t> </w:t>
      </w:r>
      <w:r>
        <w:rPr>
          <w:color w:val="231F20"/>
          <w:spacing w:val="5"/>
        </w:rPr>
        <w:t>Mead  </w:t>
      </w:r>
      <w:r>
        <w:rPr>
          <w:color w:val="231F20"/>
          <w:spacing w:val="4"/>
        </w:rPr>
        <w:t>(interacción social) </w:t>
      </w:r>
      <w:r>
        <w:rPr>
          <w:color w:val="231F20"/>
        </w:rPr>
        <w:t>o </w:t>
      </w:r>
      <w:r>
        <w:rPr>
          <w:color w:val="231F20"/>
          <w:spacing w:val="2"/>
        </w:rPr>
        <w:t>de </w:t>
      </w:r>
      <w:r>
        <w:rPr>
          <w:color w:val="231F20"/>
          <w:spacing w:val="4"/>
        </w:rPr>
        <w:t>Durkheim (conciencia colectiva), </w:t>
      </w:r>
      <w:r>
        <w:rPr>
          <w:color w:val="231F20"/>
          <w:spacing w:val="2"/>
        </w:rPr>
        <w:t>se </w:t>
      </w:r>
      <w:r>
        <w:rPr>
          <w:color w:val="231F20"/>
          <w:spacing w:val="4"/>
        </w:rPr>
        <w:t>concebiría  </w:t>
      </w:r>
      <w:r>
        <w:rPr>
          <w:color w:val="231F20"/>
        </w:rPr>
        <w:t>a  la  </w:t>
      </w:r>
      <w:r>
        <w:rPr>
          <w:color w:val="231F20"/>
          <w:spacing w:val="4"/>
        </w:rPr>
        <w:t>sociedad  como  </w:t>
      </w:r>
      <w:r>
        <w:rPr>
          <w:rFonts w:ascii="Calibri" w:hAnsi="Calibri"/>
          <w:color w:val="231F20"/>
          <w:spacing w:val="4"/>
        </w:rPr>
        <w:t>mundo  </w:t>
      </w:r>
      <w:r>
        <w:rPr>
          <w:rFonts w:ascii="Calibri" w:hAnsi="Calibri"/>
          <w:color w:val="231F20"/>
          <w:spacing w:val="3"/>
        </w:rPr>
        <w:t>de  </w:t>
      </w:r>
      <w:r>
        <w:rPr>
          <w:rFonts w:ascii="Calibri" w:hAnsi="Calibri"/>
          <w:color w:val="231F20"/>
        </w:rPr>
        <w:t>la   </w:t>
      </w:r>
      <w:r>
        <w:rPr>
          <w:rFonts w:ascii="Calibri" w:hAnsi="Calibri"/>
          <w:color w:val="231F20"/>
          <w:spacing w:val="3"/>
        </w:rPr>
        <w:t>vida  del    </w:t>
      </w:r>
      <w:r>
        <w:rPr>
          <w:rFonts w:ascii="Calibri" w:hAnsi="Calibri"/>
          <w:color w:val="231F20"/>
          <w:spacing w:val="5"/>
        </w:rPr>
        <w:t>g</w:t>
      </w:r>
      <w:r>
        <w:rPr>
          <w:color w:val="231F20"/>
          <w:spacing w:val="5"/>
        </w:rPr>
        <w:t>rupo</w:t>
      </w:r>
    </w:p>
    <w:p>
      <w:pPr>
        <w:pStyle w:val="BodyText"/>
        <w:spacing w:line="234" w:lineRule="exact"/>
        <w:ind w:left="101"/>
        <w:jc w:val="both"/>
        <w:rPr>
          <w:rFonts w:ascii="Malgun Gothic"/>
        </w:rPr>
      </w:pPr>
      <w:r>
        <w:rPr>
          <w:color w:val="231F20"/>
        </w:rPr>
        <w:t>(Habermas, 2001,tomo II: 167)</w:t>
      </w:r>
      <w:r>
        <w:rPr>
          <w:rFonts w:ascii="Malgun Gothic"/>
          <w:color w:val="231F20"/>
        </w:rPr>
        <w:t>.</w:t>
      </w:r>
    </w:p>
    <w:p>
      <w:pPr>
        <w:pStyle w:val="BodyText"/>
        <w:spacing w:line="247" w:lineRule="auto" w:before="3"/>
        <w:ind w:left="101" w:right="115" w:firstLine="284"/>
        <w:jc w:val="both"/>
      </w:pPr>
      <w:r>
        <w:rPr/>
        <w:pict>
          <v:group style="position:absolute;margin-left:230.490799pt;margin-top:40.49823pt;width:7.4pt;height:7.15pt;mso-position-horizontal-relative:page;mso-position-vertical-relative:paragraph;z-index:-482992" coordorigin="4610,810" coordsize="148,143">
            <v:shape style="position:absolute;left:4613;top:861;width:66;height:89" coordorigin="4613,861" coordsize="66,89" path="m4615,931l4613,932,4613,934,4613,936,4613,940,4614,943,4617,945,4620,948,4625,949,4630,949,4635,949,4640,948,4645,945,4650,943,4653,940,4655,936,4657,932,4658,929,4658,925,4659,919,4657,911,4653,901,4650,891,4648,883,4648,877,4648,875,4649,873,4651,871,4652,870,4654,869,4656,869,4658,869,4667,878,4670,879,4673,879,4675,879,4676,878,4677,877,4678,876,4679,874,4679,872,4679,869,4678,866,4675,864,4673,862,4670,861,4666,861,4656,861,4649,864,4645,870,4641,877,4638,884,4638,892,4638,897,4640,905,4643,915,4646,922,4647,927,4647,930,4647,934,4646,938,4644,940,4641,943,4638,944,4635,944,4634,944,4632,944,4631,943,4630,942,4629,940,4628,937,4626,932,4623,929,4619,929,4617,929,4616,930,4615,931xe" filled="false" stroked="true" strokeweight=".259pt" strokecolor="#231f20">
              <v:path arrowok="t"/>
            </v:shape>
            <v:shape style="position:absolute;left:-41;top:8944;width:57;height:137" coordorigin="-41,8944" coordsize="57,137" path="m4739,829l4740,830,4742,831,4745,831,4748,831,4750,830,4752,829,4754,827,4755,824,4755,821,4755,819,4754,817,4752,816,4750,814,4748,813,4746,813,4744,813,4741,814,4739,816,4737,818,4737,820,4737,822,4737,825,4737,827,4739,829xm4731,872l4731,872,4731,873,4730,874,4730,876,4728,879,4727,882,4710,914,4702,929,4698,939,4698,945,4698,946,4698,947,4699,948,4701,949,4702,950,4705,950,4708,950,4711,949,4715,946,4721,943,4725,940,4729,935,4734,930,4737,925,4739,922,4734,922,4731,926,4728,929,4725,933,4721,936,4718,938,4715,940,4714,941,4712,941,4712,941,4711,941,4711,941,4710,940,4710,940,4710,940,4710,939,4710,937,4711,935,4713,931,4714,930,4714,928,4715,926,4717,922,4719,919,4721,917,4725,908,4730,900,4734,890,4736,886,4737,884,4738,883,4741,875,4743,869,4743,866,4743,864,4743,863,4742,862,4741,862,4740,861,4739,861,4735,861,4730,863,4723,868,4716,872,4710,877,4705,885,4711,883,4714,880,4717,877,4720,875,4722,873,4724,872,4727,870,4728,870,4729,870,4731,870,4731,871,4731,871,4731,872xe" filled="false" stroked="true" strokeweight=".259pt" strokecolor="#231f20">
              <v:path arrowok="t"/>
            </v:shape>
            <w10:wrap type="none"/>
          </v:group>
        </w:pict>
      </w:r>
      <w:r>
        <w:rPr>
          <w:color w:val="231F20"/>
        </w:rPr>
        <w:t>En el </w:t>
      </w:r>
      <w:r>
        <w:rPr>
          <w:color w:val="231F20"/>
          <w:spacing w:val="2"/>
        </w:rPr>
        <w:t>caso </w:t>
      </w:r>
      <w:r>
        <w:rPr>
          <w:color w:val="231F20"/>
        </w:rPr>
        <w:t>de </w:t>
      </w:r>
      <w:r>
        <w:rPr>
          <w:color w:val="231F20"/>
          <w:spacing w:val="2"/>
        </w:rPr>
        <w:t>Mead, </w:t>
      </w:r>
      <w:r>
        <w:rPr>
          <w:color w:val="231F20"/>
          <w:spacing w:val="3"/>
        </w:rPr>
        <w:t>como </w:t>
      </w:r>
      <w:r>
        <w:rPr>
          <w:color w:val="231F20"/>
        </w:rPr>
        <w:t>él </w:t>
      </w:r>
      <w:r>
        <w:rPr>
          <w:color w:val="231F20"/>
          <w:spacing w:val="2"/>
        </w:rPr>
        <w:t>asume, según </w:t>
      </w:r>
      <w:r>
        <w:rPr>
          <w:color w:val="231F20"/>
          <w:spacing w:val="3"/>
        </w:rPr>
        <w:t>Habermas, </w:t>
      </w:r>
      <w:r>
        <w:rPr>
          <w:color w:val="231F20"/>
        </w:rPr>
        <w:t>el </w:t>
      </w:r>
      <w:r>
        <w:rPr>
          <w:color w:val="231F20"/>
          <w:spacing w:val="2"/>
        </w:rPr>
        <w:t>paso  </w:t>
      </w:r>
      <w:r>
        <w:rPr>
          <w:color w:val="231F20"/>
        </w:rPr>
        <w:t>de </w:t>
      </w:r>
      <w:r>
        <w:rPr>
          <w:color w:val="231F20"/>
          <w:spacing w:val="2"/>
        </w:rPr>
        <w:t>signo </w:t>
      </w:r>
      <w:r>
        <w:rPr>
          <w:color w:val="231F20"/>
        </w:rPr>
        <w:t>a </w:t>
      </w:r>
      <w:r>
        <w:rPr>
          <w:color w:val="231F20"/>
          <w:spacing w:val="2"/>
        </w:rPr>
        <w:t>símbolo genera </w:t>
      </w:r>
      <w:r>
        <w:rPr>
          <w:color w:val="231F20"/>
        </w:rPr>
        <w:t>la </w:t>
      </w:r>
      <w:r>
        <w:rPr>
          <w:color w:val="231F20"/>
          <w:spacing w:val="2"/>
        </w:rPr>
        <w:t>posibilidad </w:t>
      </w:r>
      <w:r>
        <w:rPr>
          <w:color w:val="231F20"/>
        </w:rPr>
        <w:t>de </w:t>
      </w:r>
      <w:r>
        <w:rPr>
          <w:color w:val="231F20"/>
          <w:spacing w:val="3"/>
        </w:rPr>
        <w:t>entendimiento </w:t>
      </w:r>
      <w:r>
        <w:rPr>
          <w:color w:val="231F20"/>
        </w:rPr>
        <w:t>y de </w:t>
      </w:r>
      <w:r>
        <w:rPr>
          <w:color w:val="231F20"/>
          <w:spacing w:val="2"/>
        </w:rPr>
        <w:t>cultura, </w:t>
      </w:r>
      <w:r>
        <w:rPr>
          <w:color w:val="231F20"/>
          <w:spacing w:val="3"/>
        </w:rPr>
        <w:t>donde </w:t>
      </w:r>
      <w:r>
        <w:rPr>
          <w:color w:val="231F20"/>
          <w:spacing w:val="2"/>
        </w:rPr>
        <w:t>está planteado implícitamente </w:t>
      </w:r>
      <w:r>
        <w:rPr>
          <w:color w:val="231F20"/>
        </w:rPr>
        <w:t>el </w:t>
      </w:r>
      <w:r>
        <w:rPr>
          <w:color w:val="231F20"/>
          <w:spacing w:val="3"/>
        </w:rPr>
        <w:t>concepto </w:t>
      </w:r>
      <w:r>
        <w:rPr>
          <w:color w:val="231F20"/>
        </w:rPr>
        <w:t>de </w:t>
      </w:r>
      <w:r>
        <w:rPr>
          <w:color w:val="231F20"/>
          <w:spacing w:val="3"/>
        </w:rPr>
        <w:t>mun- </w:t>
      </w:r>
      <w:r>
        <w:rPr>
          <w:color w:val="231F20"/>
        </w:rPr>
        <w:t>do de la </w:t>
      </w:r>
      <w:r>
        <w:rPr>
          <w:color w:val="231F20"/>
          <w:spacing w:val="2"/>
        </w:rPr>
        <w:t>vida. </w:t>
      </w:r>
      <w:r>
        <w:rPr>
          <w:color w:val="231F20"/>
        </w:rPr>
        <w:t>Y </w:t>
      </w:r>
      <w:r>
        <w:rPr>
          <w:color w:val="231F20"/>
          <w:spacing w:val="2"/>
        </w:rPr>
        <w:t>este </w:t>
      </w:r>
      <w:r>
        <w:rPr>
          <w:color w:val="231F20"/>
          <w:spacing w:val="3"/>
        </w:rPr>
        <w:t>concepto </w:t>
      </w:r>
      <w:r>
        <w:rPr>
          <w:color w:val="231F20"/>
          <w:spacing w:val="2"/>
        </w:rPr>
        <w:t>bastaría </w:t>
      </w:r>
      <w:r>
        <w:rPr>
          <w:i/>
          <w:color w:val="231F20"/>
        </w:rPr>
        <w:t>s i </w:t>
      </w:r>
      <w:r>
        <w:rPr>
          <w:color w:val="231F20"/>
          <w:spacing w:val="2"/>
        </w:rPr>
        <w:t>“los plexos sistémicos  </w:t>
      </w:r>
      <w:r>
        <w:rPr>
          <w:color w:val="231F20"/>
        </w:rPr>
        <w:t>en </w:t>
      </w:r>
      <w:r>
        <w:rPr>
          <w:color w:val="231F20"/>
          <w:spacing w:val="2"/>
        </w:rPr>
        <w:t>que </w:t>
      </w:r>
      <w:r>
        <w:rPr>
          <w:color w:val="231F20"/>
        </w:rPr>
        <w:t>en </w:t>
      </w:r>
      <w:r>
        <w:rPr>
          <w:color w:val="231F20"/>
          <w:spacing w:val="2"/>
        </w:rPr>
        <w:t>cada caso está inserta </w:t>
      </w:r>
      <w:r>
        <w:rPr>
          <w:color w:val="231F20"/>
        </w:rPr>
        <w:t>la </w:t>
      </w:r>
      <w:r>
        <w:rPr>
          <w:color w:val="231F20"/>
          <w:spacing w:val="2"/>
        </w:rPr>
        <w:t>interacción hubieran </w:t>
      </w:r>
      <w:r>
        <w:rPr>
          <w:color w:val="231F20"/>
          <w:spacing w:val="3"/>
        </w:rPr>
        <w:t>quedado </w:t>
      </w:r>
      <w:r>
        <w:rPr>
          <w:color w:val="231F20"/>
          <w:spacing w:val="2"/>
        </w:rPr>
        <w:t>integrados </w:t>
      </w:r>
      <w:r>
        <w:rPr>
          <w:color w:val="231F20"/>
        </w:rPr>
        <w:t>en el </w:t>
      </w:r>
      <w:r>
        <w:rPr>
          <w:color w:val="231F20"/>
          <w:spacing w:val="3"/>
        </w:rPr>
        <w:t>horizonte </w:t>
      </w:r>
      <w:r>
        <w:rPr>
          <w:color w:val="231F20"/>
          <w:spacing w:val="2"/>
        </w:rPr>
        <w:t>del </w:t>
      </w:r>
      <w:r>
        <w:rPr>
          <w:color w:val="231F20"/>
          <w:spacing w:val="3"/>
        </w:rPr>
        <w:t>mundo </w:t>
      </w:r>
      <w:r>
        <w:rPr>
          <w:color w:val="231F20"/>
        </w:rPr>
        <w:t>de la </w:t>
      </w:r>
      <w:r>
        <w:rPr>
          <w:color w:val="231F20"/>
          <w:spacing w:val="2"/>
        </w:rPr>
        <w:t>vida (...)” </w:t>
      </w:r>
      <w:r>
        <w:rPr>
          <w:color w:val="231F20"/>
          <w:spacing w:val="3"/>
        </w:rPr>
        <w:t>(Habermas, </w:t>
      </w:r>
      <w:r>
        <w:rPr>
          <w:color w:val="231F20"/>
          <w:spacing w:val="2"/>
        </w:rPr>
        <w:t>2001,tomo </w:t>
      </w:r>
      <w:r>
        <w:rPr>
          <w:color w:val="231F20"/>
        </w:rPr>
        <w:t>II:</w:t>
      </w:r>
      <w:r>
        <w:rPr>
          <w:color w:val="231F20"/>
          <w:spacing w:val="5"/>
        </w:rPr>
        <w:t> </w:t>
      </w:r>
      <w:r>
        <w:rPr>
          <w:color w:val="231F20"/>
          <w:spacing w:val="2"/>
        </w:rPr>
        <w:t>168).</w:t>
      </w:r>
    </w:p>
    <w:p>
      <w:pPr>
        <w:pStyle w:val="BodyText"/>
        <w:spacing w:line="249" w:lineRule="auto" w:before="1"/>
        <w:ind w:left="101" w:right="115" w:firstLine="284"/>
        <w:jc w:val="both"/>
      </w:pPr>
      <w:r>
        <w:rPr>
          <w:color w:val="231F20"/>
        </w:rPr>
        <w:t>Por ello, Habermas desarrolla una perspectiva que asume las sociedades “simultáneamente” como Mundo de la vida y Sistema; este desarrollo está fundamentado por el autor en la idea de evo- lución social de raigambre durkheimniana relativa a integración social y etapas de diferenciación sistémica.</w:t>
      </w:r>
    </w:p>
    <w:p>
      <w:pPr>
        <w:pStyle w:val="BodyText"/>
        <w:spacing w:line="249" w:lineRule="auto"/>
        <w:ind w:left="101" w:right="114" w:firstLine="284"/>
        <w:jc w:val="both"/>
      </w:pPr>
      <w:r>
        <w:rPr>
          <w:color w:val="231F20"/>
          <w:spacing w:val="3"/>
        </w:rPr>
        <w:t>Habermas emprende </w:t>
      </w:r>
      <w:r>
        <w:rPr>
          <w:color w:val="231F20"/>
        </w:rPr>
        <w:t>la </w:t>
      </w:r>
      <w:r>
        <w:rPr>
          <w:color w:val="231F20"/>
          <w:spacing w:val="2"/>
        </w:rPr>
        <w:t>explicación del </w:t>
      </w:r>
      <w:r>
        <w:rPr>
          <w:color w:val="231F20"/>
          <w:spacing w:val="3"/>
        </w:rPr>
        <w:t>concepto Mundo </w:t>
      </w:r>
      <w:r>
        <w:rPr>
          <w:color w:val="231F20"/>
        </w:rPr>
        <w:t>de la </w:t>
      </w:r>
      <w:r>
        <w:rPr>
          <w:color w:val="231F20"/>
          <w:spacing w:val="2"/>
        </w:rPr>
        <w:t>Vida desarrollando una línea argumentativa </w:t>
      </w:r>
      <w:r>
        <w:rPr>
          <w:color w:val="231F20"/>
        </w:rPr>
        <w:t>que </w:t>
      </w:r>
      <w:r>
        <w:rPr>
          <w:color w:val="231F20"/>
          <w:spacing w:val="2"/>
        </w:rPr>
        <w:t>abarca </w:t>
      </w:r>
      <w:r>
        <w:rPr>
          <w:color w:val="231F20"/>
        </w:rPr>
        <w:t>en </w:t>
      </w:r>
      <w:r>
        <w:rPr>
          <w:color w:val="231F20"/>
          <w:spacing w:val="2"/>
        </w:rPr>
        <w:t>primer lugar </w:t>
      </w:r>
      <w:r>
        <w:rPr>
          <w:color w:val="231F20"/>
        </w:rPr>
        <w:t>la </w:t>
      </w:r>
      <w:r>
        <w:rPr>
          <w:color w:val="231F20"/>
          <w:spacing w:val="2"/>
        </w:rPr>
        <w:t>relación entre </w:t>
      </w:r>
      <w:r>
        <w:rPr>
          <w:color w:val="231F20"/>
          <w:spacing w:val="3"/>
        </w:rPr>
        <w:t>mundo </w:t>
      </w:r>
      <w:r>
        <w:rPr>
          <w:color w:val="231F20"/>
        </w:rPr>
        <w:t>de la </w:t>
      </w:r>
      <w:r>
        <w:rPr>
          <w:color w:val="231F20"/>
          <w:spacing w:val="2"/>
        </w:rPr>
        <w:t>Vida </w:t>
      </w:r>
      <w:r>
        <w:rPr>
          <w:color w:val="231F20"/>
        </w:rPr>
        <w:t>y </w:t>
      </w:r>
      <w:r>
        <w:rPr>
          <w:color w:val="231F20"/>
          <w:spacing w:val="2"/>
        </w:rPr>
        <w:t>los tres </w:t>
      </w:r>
      <w:r>
        <w:rPr>
          <w:color w:val="231F20"/>
          <w:spacing w:val="3"/>
        </w:rPr>
        <w:t>mundos </w:t>
      </w:r>
      <w:r>
        <w:rPr>
          <w:color w:val="231F20"/>
        </w:rPr>
        <w:t>a </w:t>
      </w:r>
      <w:r>
        <w:rPr>
          <w:color w:val="231F20"/>
          <w:spacing w:val="3"/>
        </w:rPr>
        <w:t>los</w:t>
      </w:r>
      <w:r>
        <w:rPr>
          <w:color w:val="231F20"/>
          <w:spacing w:val="58"/>
        </w:rPr>
        <w:t> </w:t>
      </w:r>
      <w:r>
        <w:rPr>
          <w:color w:val="231F20"/>
        </w:rPr>
        <w:t>que se </w:t>
      </w:r>
      <w:r>
        <w:rPr>
          <w:color w:val="231F20"/>
          <w:spacing w:val="2"/>
        </w:rPr>
        <w:t>hace referencia </w:t>
      </w:r>
      <w:r>
        <w:rPr>
          <w:color w:val="231F20"/>
        </w:rPr>
        <w:t>en </w:t>
      </w:r>
      <w:r>
        <w:rPr>
          <w:color w:val="231F20"/>
          <w:spacing w:val="2"/>
        </w:rPr>
        <w:t>los actos </w:t>
      </w:r>
      <w:r>
        <w:rPr>
          <w:color w:val="231F20"/>
        </w:rPr>
        <w:t>de </w:t>
      </w:r>
      <w:r>
        <w:rPr>
          <w:color w:val="231F20"/>
          <w:spacing w:val="2"/>
        </w:rPr>
        <w:t>habla (objetivo, social </w:t>
      </w:r>
      <w:r>
        <w:rPr>
          <w:color w:val="231F20"/>
        </w:rPr>
        <w:t>y </w:t>
      </w:r>
      <w:r>
        <w:rPr>
          <w:color w:val="231F20"/>
          <w:spacing w:val="2"/>
        </w:rPr>
        <w:t>subjetivo); después realiza una </w:t>
      </w:r>
      <w:r>
        <w:rPr>
          <w:color w:val="231F20"/>
          <w:spacing w:val="3"/>
        </w:rPr>
        <w:t>confrontación </w:t>
      </w:r>
      <w:r>
        <w:rPr>
          <w:color w:val="231F20"/>
          <w:spacing w:val="2"/>
        </w:rPr>
        <w:t>con </w:t>
      </w:r>
      <w:r>
        <w:rPr>
          <w:color w:val="231F20"/>
        </w:rPr>
        <w:t>la </w:t>
      </w:r>
      <w:r>
        <w:rPr>
          <w:color w:val="231F20"/>
          <w:spacing w:val="3"/>
        </w:rPr>
        <w:t>fenomenolo- </w:t>
      </w:r>
      <w:r>
        <w:rPr>
          <w:color w:val="231F20"/>
        </w:rPr>
        <w:t>gía y su </w:t>
      </w:r>
      <w:r>
        <w:rPr>
          <w:color w:val="231F20"/>
          <w:spacing w:val="2"/>
        </w:rPr>
        <w:t>conexión con </w:t>
      </w:r>
      <w:r>
        <w:rPr>
          <w:color w:val="231F20"/>
        </w:rPr>
        <w:t>el </w:t>
      </w:r>
      <w:r>
        <w:rPr>
          <w:color w:val="231F20"/>
          <w:spacing w:val="3"/>
        </w:rPr>
        <w:t>concepto </w:t>
      </w:r>
      <w:r>
        <w:rPr>
          <w:color w:val="231F20"/>
        </w:rPr>
        <w:t>de </w:t>
      </w:r>
      <w:r>
        <w:rPr>
          <w:color w:val="231F20"/>
          <w:spacing w:val="2"/>
        </w:rPr>
        <w:t>conciencia colectiva; </w:t>
      </w:r>
      <w:r>
        <w:rPr>
          <w:color w:val="231F20"/>
          <w:spacing w:val="3"/>
        </w:rPr>
        <w:t>mues- </w:t>
      </w:r>
      <w:r>
        <w:rPr>
          <w:color w:val="231F20"/>
        </w:rPr>
        <w:t>tra </w:t>
      </w:r>
      <w:r>
        <w:rPr>
          <w:color w:val="231F20"/>
          <w:spacing w:val="2"/>
        </w:rPr>
        <w:t>luego </w:t>
      </w:r>
      <w:r>
        <w:rPr>
          <w:color w:val="231F20"/>
        </w:rPr>
        <w:t>la </w:t>
      </w:r>
      <w:r>
        <w:rPr>
          <w:color w:val="231F20"/>
          <w:spacing w:val="2"/>
        </w:rPr>
        <w:t>utilidad </w:t>
      </w:r>
      <w:r>
        <w:rPr>
          <w:color w:val="231F20"/>
        </w:rPr>
        <w:t>del </w:t>
      </w:r>
      <w:r>
        <w:rPr>
          <w:color w:val="231F20"/>
          <w:spacing w:val="3"/>
        </w:rPr>
        <w:t>concepto Mundo </w:t>
      </w:r>
      <w:r>
        <w:rPr>
          <w:color w:val="231F20"/>
        </w:rPr>
        <w:t>de la </w:t>
      </w:r>
      <w:r>
        <w:rPr>
          <w:color w:val="231F20"/>
          <w:spacing w:val="2"/>
        </w:rPr>
        <w:t>Vida para </w:t>
      </w:r>
      <w:r>
        <w:rPr>
          <w:color w:val="231F20"/>
        </w:rPr>
        <w:t>las </w:t>
      </w:r>
      <w:r>
        <w:rPr>
          <w:color w:val="231F20"/>
          <w:spacing w:val="3"/>
        </w:rPr>
        <w:t>Cien- </w:t>
      </w:r>
      <w:r>
        <w:rPr>
          <w:color w:val="231F20"/>
        </w:rPr>
        <w:t>cias </w:t>
      </w:r>
      <w:r>
        <w:rPr>
          <w:color w:val="231F20"/>
          <w:spacing w:val="2"/>
        </w:rPr>
        <w:t>Sociales por intermedio </w:t>
      </w:r>
      <w:r>
        <w:rPr>
          <w:color w:val="231F20"/>
        </w:rPr>
        <w:t>de la </w:t>
      </w:r>
      <w:r>
        <w:rPr>
          <w:color w:val="231F20"/>
          <w:spacing w:val="2"/>
        </w:rPr>
        <w:t>narrativa; </w:t>
      </w:r>
      <w:r>
        <w:rPr>
          <w:color w:val="231F20"/>
          <w:spacing w:val="3"/>
        </w:rPr>
        <w:t>posteriormente </w:t>
      </w:r>
      <w:r>
        <w:rPr>
          <w:color w:val="231F20"/>
          <w:spacing w:val="2"/>
        </w:rPr>
        <w:t>hace una clarificación </w:t>
      </w:r>
      <w:r>
        <w:rPr>
          <w:color w:val="231F20"/>
        </w:rPr>
        <w:t>de las </w:t>
      </w:r>
      <w:r>
        <w:rPr>
          <w:color w:val="231F20"/>
          <w:spacing w:val="2"/>
        </w:rPr>
        <w:t>condiciones necesarias para </w:t>
      </w:r>
      <w:r>
        <w:rPr>
          <w:color w:val="231F20"/>
        </w:rPr>
        <w:t>la </w:t>
      </w:r>
      <w:r>
        <w:rPr>
          <w:color w:val="231F20"/>
          <w:spacing w:val="3"/>
        </w:rPr>
        <w:t>racionaliza- </w:t>
      </w:r>
      <w:r>
        <w:rPr>
          <w:color w:val="231F20"/>
          <w:spacing w:val="2"/>
        </w:rPr>
        <w:t>ción del </w:t>
      </w:r>
      <w:r>
        <w:rPr>
          <w:color w:val="231F20"/>
          <w:spacing w:val="3"/>
        </w:rPr>
        <w:t>Mundo </w:t>
      </w:r>
      <w:r>
        <w:rPr>
          <w:color w:val="231F20"/>
        </w:rPr>
        <w:t>de la </w:t>
      </w:r>
      <w:r>
        <w:rPr>
          <w:color w:val="231F20"/>
          <w:spacing w:val="2"/>
        </w:rPr>
        <w:t>Vida; </w:t>
      </w:r>
      <w:r>
        <w:rPr>
          <w:color w:val="231F20"/>
        </w:rPr>
        <w:t>y, </w:t>
      </w:r>
      <w:r>
        <w:rPr>
          <w:color w:val="231F20"/>
          <w:spacing w:val="2"/>
        </w:rPr>
        <w:t>por último, arriba </w:t>
      </w:r>
      <w:r>
        <w:rPr>
          <w:color w:val="231F20"/>
        </w:rPr>
        <w:t>a la </w:t>
      </w:r>
      <w:r>
        <w:rPr>
          <w:color w:val="231F20"/>
          <w:spacing w:val="2"/>
        </w:rPr>
        <w:t>visión </w:t>
      </w:r>
      <w:r>
        <w:rPr>
          <w:color w:val="231F20"/>
        </w:rPr>
        <w:t>de la </w:t>
      </w:r>
      <w:r>
        <w:rPr>
          <w:color w:val="231F20"/>
          <w:spacing w:val="2"/>
        </w:rPr>
        <w:t>sociedad </w:t>
      </w:r>
      <w:r>
        <w:rPr>
          <w:color w:val="231F20"/>
          <w:spacing w:val="3"/>
        </w:rPr>
        <w:t>concebida como Mundo </w:t>
      </w:r>
      <w:r>
        <w:rPr>
          <w:color w:val="231F20"/>
        </w:rPr>
        <w:t>de la </w:t>
      </w:r>
      <w:r>
        <w:rPr>
          <w:color w:val="231F20"/>
          <w:spacing w:val="2"/>
        </w:rPr>
        <w:t>Vida </w:t>
      </w:r>
      <w:r>
        <w:rPr>
          <w:color w:val="231F20"/>
        </w:rPr>
        <w:t>y</w:t>
      </w:r>
      <w:r>
        <w:rPr>
          <w:color w:val="231F20"/>
          <w:spacing w:val="-12"/>
        </w:rPr>
        <w:t> </w:t>
      </w:r>
      <w:r>
        <w:rPr>
          <w:color w:val="231F20"/>
          <w:spacing w:val="3"/>
        </w:rPr>
        <w:t>Sistema.</w:t>
      </w:r>
    </w:p>
    <w:p>
      <w:pPr>
        <w:pStyle w:val="BodyText"/>
        <w:spacing w:line="247" w:lineRule="auto"/>
        <w:ind w:left="101" w:right="117" w:firstLine="284"/>
        <w:jc w:val="both"/>
      </w:pPr>
      <w:r>
        <w:rPr>
          <w:color w:val="231F20"/>
        </w:rPr>
        <w:t>El componente estructural de cultura aporta legitimaciones al componente societal, y patrones eficaces de comportamiento para la socialización al de personalidad. El autor analiza componente por componente:</w:t>
      </w:r>
    </w:p>
    <w:p>
      <w:pPr>
        <w:pStyle w:val="BodyText"/>
        <w:spacing w:line="247" w:lineRule="auto" w:before="1"/>
        <w:ind w:left="101" w:right="116" w:firstLine="283"/>
        <w:jc w:val="both"/>
      </w:pPr>
      <w:r>
        <w:rPr>
          <w:color w:val="231F20"/>
        </w:rPr>
        <w:t>El componente de integración social aporta a la cultura obliga- ciones, y la personalidad, pertenencia a grupos.</w:t>
      </w:r>
    </w:p>
    <w:p>
      <w:pPr>
        <w:pStyle w:val="BodyText"/>
        <w:spacing w:line="247" w:lineRule="auto" w:before="1"/>
        <w:ind w:left="101" w:right="116" w:firstLine="284"/>
        <w:jc w:val="both"/>
      </w:pPr>
      <w:r>
        <w:rPr>
          <w:color w:val="231F20"/>
        </w:rPr>
        <w:t>El componente estructural de socialización aporta interpreta- ciones a la cultura, y motivación para ajustarse a las reglas, al componente social.</w:t>
      </w:r>
    </w:p>
    <w:p>
      <w:pPr>
        <w:spacing w:after="0" w:line="247" w:lineRule="auto"/>
        <w:jc w:val="both"/>
        <w:sectPr>
          <w:headerReference w:type="default" r:id="rId546"/>
          <w:footerReference w:type="default" r:id="rId547"/>
          <w:pgSz w:w="7830" w:h="11910"/>
          <w:pgMar w:header="0" w:footer="424" w:top="500" w:bottom="620" w:left="920" w:right="900"/>
          <w:pgNumType w:start="23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5" w:firstLine="283"/>
        <w:jc w:val="both"/>
      </w:pPr>
      <w:r>
        <w:rPr>
          <w:color w:val="231F20"/>
        </w:rPr>
        <w:t>Las perturbaciones en cada uno de los componentes estructu- rales del Mundo de la Vida son: para la reproducción cultural, la pérdida de sentido; para el societal, la anomia, y para el de sociali- zación, la psicopatología; esas perturbaciones conducen al aisla- miento de la persona.</w:t>
      </w:r>
    </w:p>
    <w:p>
      <w:pPr>
        <w:pStyle w:val="BodyText"/>
        <w:spacing w:line="247" w:lineRule="auto" w:before="6"/>
        <w:ind w:left="102" w:right="116" w:firstLine="283"/>
        <w:jc w:val="both"/>
      </w:pPr>
      <w:r>
        <w:rPr>
          <w:color w:val="231F20"/>
        </w:rPr>
        <w:t>Si desde el componente de la reproducción cultural se presenta la pérdida del sentido, el componente societal sufrirá crisis en la legitimación, y el componente de socialización mostrará crisis de orientación y educativa.</w:t>
      </w:r>
    </w:p>
    <w:p>
      <w:pPr>
        <w:pStyle w:val="BodyText"/>
        <w:spacing w:line="247" w:lineRule="auto" w:before="1"/>
        <w:ind w:left="102" w:right="116" w:firstLine="284"/>
        <w:jc w:val="both"/>
      </w:pPr>
      <w:r>
        <w:rPr>
          <w:color w:val="231F20"/>
        </w:rPr>
        <w:t>Si el </w:t>
      </w:r>
      <w:r>
        <w:rPr>
          <w:color w:val="231F20"/>
          <w:spacing w:val="3"/>
        </w:rPr>
        <w:t>componente </w:t>
      </w:r>
      <w:r>
        <w:rPr>
          <w:color w:val="231F20"/>
        </w:rPr>
        <w:t>de </w:t>
      </w:r>
      <w:r>
        <w:rPr>
          <w:color w:val="231F20"/>
          <w:spacing w:val="2"/>
        </w:rPr>
        <w:t>integración social muestra </w:t>
      </w:r>
      <w:r>
        <w:rPr>
          <w:color w:val="231F20"/>
          <w:spacing w:val="3"/>
        </w:rPr>
        <w:t>anomia, </w:t>
      </w:r>
      <w:r>
        <w:rPr>
          <w:color w:val="231F20"/>
          <w:spacing w:val="2"/>
        </w:rPr>
        <w:t>esto </w:t>
      </w:r>
      <w:r>
        <w:rPr>
          <w:color w:val="231F20"/>
          <w:spacing w:val="3"/>
        </w:rPr>
        <w:t>provocará </w:t>
      </w:r>
      <w:r>
        <w:rPr>
          <w:color w:val="231F20"/>
        </w:rPr>
        <w:t>en </w:t>
      </w:r>
      <w:r>
        <w:rPr>
          <w:color w:val="231F20"/>
          <w:spacing w:val="2"/>
        </w:rPr>
        <w:t>elcultural inseguridad </w:t>
      </w:r>
      <w:r>
        <w:rPr>
          <w:color w:val="231F20"/>
        </w:rPr>
        <w:t>y </w:t>
      </w:r>
      <w:r>
        <w:rPr>
          <w:color w:val="231F20"/>
          <w:spacing w:val="2"/>
        </w:rPr>
        <w:t>falta </w:t>
      </w:r>
      <w:r>
        <w:rPr>
          <w:color w:val="231F20"/>
        </w:rPr>
        <w:t>de </w:t>
      </w:r>
      <w:r>
        <w:rPr>
          <w:color w:val="231F20"/>
          <w:spacing w:val="2"/>
        </w:rPr>
        <w:t>identidad colectiva,  </w:t>
      </w:r>
      <w:r>
        <w:rPr>
          <w:color w:val="231F20"/>
        </w:rPr>
        <w:t>y,</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de</w:t>
      </w:r>
      <w:r>
        <w:rPr>
          <w:color w:val="231F20"/>
          <w:spacing w:val="-9"/>
        </w:rPr>
        <w:t> </w:t>
      </w:r>
      <w:r>
        <w:rPr>
          <w:color w:val="231F20"/>
          <w:spacing w:val="2"/>
        </w:rPr>
        <w:t>socialización,</w:t>
      </w:r>
      <w:r>
        <w:rPr>
          <w:color w:val="231F20"/>
          <w:spacing w:val="-9"/>
        </w:rPr>
        <w:t> </w:t>
      </w:r>
      <w:r>
        <w:rPr>
          <w:color w:val="231F20"/>
          <w:spacing w:val="2"/>
        </w:rPr>
        <w:t>alienación.</w:t>
      </w:r>
    </w:p>
    <w:p>
      <w:pPr>
        <w:pStyle w:val="BodyText"/>
        <w:spacing w:line="247" w:lineRule="auto" w:before="1"/>
        <w:ind w:left="102" w:right="118" w:firstLine="284"/>
        <w:jc w:val="both"/>
      </w:pPr>
      <w:r>
        <w:rPr>
          <w:color w:val="231F20"/>
          <w:spacing w:val="2"/>
        </w:rPr>
        <w:t>De manera similar, </w:t>
      </w:r>
      <w:r>
        <w:rPr>
          <w:color w:val="231F20"/>
        </w:rPr>
        <w:t>si en el </w:t>
      </w:r>
      <w:r>
        <w:rPr>
          <w:color w:val="231F20"/>
          <w:spacing w:val="2"/>
        </w:rPr>
        <w:t>componente </w:t>
      </w:r>
      <w:r>
        <w:rPr>
          <w:color w:val="231F20"/>
        </w:rPr>
        <w:t>de </w:t>
      </w:r>
      <w:r>
        <w:rPr>
          <w:color w:val="231F20"/>
          <w:spacing w:val="2"/>
        </w:rPr>
        <w:t>socialización </w:t>
      </w:r>
      <w:r>
        <w:rPr>
          <w:color w:val="231F20"/>
        </w:rPr>
        <w:t>se </w:t>
      </w:r>
      <w:r>
        <w:rPr>
          <w:color w:val="231F20"/>
          <w:spacing w:val="2"/>
        </w:rPr>
        <w:t>presentan psicopatologías, habrá rupturas </w:t>
      </w:r>
      <w:r>
        <w:rPr>
          <w:color w:val="231F20"/>
        </w:rPr>
        <w:t>en la </w:t>
      </w:r>
      <w:r>
        <w:rPr>
          <w:color w:val="231F20"/>
          <w:spacing w:val="2"/>
        </w:rPr>
        <w:t>tradición cultural  </w:t>
      </w:r>
      <w:r>
        <w:rPr>
          <w:color w:val="231F20"/>
        </w:rPr>
        <w:t>en la </w:t>
      </w:r>
      <w:r>
        <w:rPr>
          <w:color w:val="231F20"/>
          <w:spacing w:val="2"/>
        </w:rPr>
        <w:t>parte que </w:t>
      </w:r>
      <w:r>
        <w:rPr>
          <w:color w:val="231F20"/>
          <w:spacing w:val="3"/>
        </w:rPr>
        <w:t>denominamos </w:t>
      </w:r>
      <w:r>
        <w:rPr>
          <w:color w:val="231F20"/>
          <w:spacing w:val="2"/>
        </w:rPr>
        <w:t>cultural, </w:t>
      </w:r>
      <w:r>
        <w:rPr>
          <w:color w:val="231F20"/>
        </w:rPr>
        <w:t>y se </w:t>
      </w:r>
      <w:r>
        <w:rPr>
          <w:color w:val="231F20"/>
          <w:spacing w:val="2"/>
        </w:rPr>
        <w:t>perderá </w:t>
      </w:r>
      <w:r>
        <w:rPr>
          <w:color w:val="231F20"/>
        </w:rPr>
        <w:t>la </w:t>
      </w:r>
      <w:r>
        <w:rPr>
          <w:color w:val="231F20"/>
          <w:spacing w:val="2"/>
        </w:rPr>
        <w:t>motivación </w:t>
      </w:r>
      <w:r>
        <w:rPr>
          <w:color w:val="231F20"/>
        </w:rPr>
        <w:t>en el </w:t>
      </w:r>
      <w:r>
        <w:rPr>
          <w:color w:val="231F20"/>
          <w:spacing w:val="2"/>
        </w:rPr>
        <w:t>relativo </w:t>
      </w:r>
      <w:r>
        <w:rPr>
          <w:color w:val="231F20"/>
        </w:rPr>
        <w:t>a la</w:t>
      </w:r>
      <w:r>
        <w:rPr>
          <w:color w:val="231F20"/>
          <w:spacing w:val="-37"/>
        </w:rPr>
        <w:t> </w:t>
      </w:r>
      <w:r>
        <w:rPr>
          <w:color w:val="231F20"/>
          <w:spacing w:val="2"/>
        </w:rPr>
        <w:t>socialización.</w:t>
      </w:r>
    </w:p>
    <w:p>
      <w:pPr>
        <w:pStyle w:val="BodyText"/>
        <w:spacing w:line="249" w:lineRule="auto" w:before="1"/>
        <w:ind w:left="102" w:right="114" w:firstLine="284"/>
        <w:jc w:val="both"/>
      </w:pPr>
      <w:r>
        <w:rPr>
          <w:color w:val="231F20"/>
        </w:rPr>
        <w:t>Habermas deriva de estas funciones y contribuciones entre los componentes estructurales las funciones de la acción orientada al entendimiento para la reproducción del Mundo de la Vida: La reproducción cultural renueva el saber legitimario para el compo- nente societal y reproduce el saber eficaz en la formación, para el componente socializador. La integración social inmuniza, para el cultural, un conjunto de orientaciones de valor, y para el de per- sonalidad reproduce patrones de pertenencia social. El compo- nente de personalidad en cultura hace que se internalicen los valo- res en el societal.</w:t>
      </w:r>
    </w:p>
    <w:p>
      <w:pPr>
        <w:pStyle w:val="BodyText"/>
        <w:spacing w:line="249" w:lineRule="auto"/>
        <w:ind w:left="102" w:right="113" w:firstLine="284"/>
        <w:jc w:val="both"/>
      </w:pPr>
      <w:r>
        <w:rPr>
          <w:color w:val="231F20"/>
        </w:rPr>
        <w:t>Según Habermas, el concepto de Mundo de la Vida así deli- neado dista mucho, en especificidad, de su correlativo fenomeno- lógico; Schütz se limitó a la versión fenomenológica como tras- cendental y válida universalmente a partir de Husserl, pero en el caso presente, el intermedio de la teoría de la comunicación hace que la idea de aplicar el concepto al análisis de todas las socieda- des, se desplace hacia el de acción comunicativa.</w:t>
      </w:r>
    </w:p>
    <w:p>
      <w:pPr>
        <w:pStyle w:val="BodyText"/>
        <w:spacing w:line="247" w:lineRule="auto"/>
        <w:ind w:left="102" w:right="116" w:firstLine="283"/>
        <w:jc w:val="both"/>
      </w:pPr>
      <w:r>
        <w:rPr>
          <w:color w:val="231F20"/>
        </w:rPr>
        <w:t>En este último contexto –el de la acción comunicativa–, Mead trazó, según Habermas, la evolución de un estado de símbolos a   uno cultural; asimismo, Durkheim planteó la lingüistización de lo sacro, y en este proceso de desarrollo aparece el aprendizaje como factor central (Piaget). En la medida en que la norma se crea, se “aprende”  y  se  mantiene,  van  diferenciándose  las  estructuras</w:t>
      </w:r>
      <w:r>
        <w:rPr>
          <w:color w:val="231F20"/>
          <w:spacing w:val="-14"/>
        </w:rPr>
        <w:t> </w:t>
      </w:r>
      <w:r>
        <w:rPr>
          <w:color w:val="231F20"/>
        </w:rPr>
        <w:t>del</w:t>
      </w:r>
    </w:p>
    <w:p>
      <w:pPr>
        <w:spacing w:after="0" w:line="247" w:lineRule="auto"/>
        <w:jc w:val="both"/>
        <w:sectPr>
          <w:headerReference w:type="default" r:id="rId548"/>
          <w:footerReference w:type="default" r:id="rId549"/>
          <w:pgSz w:w="7830" w:h="11910"/>
          <w:pgMar w:header="0" w:footer="424" w:top="500" w:bottom="620" w:left="920" w:right="900"/>
          <w:pgNumType w:start="24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6" w:right="115"/>
        <w:jc w:val="right"/>
      </w:pPr>
      <w:r>
        <w:rPr>
          <w:color w:val="231F20"/>
        </w:rPr>
        <w:t>Mundo de la Vida en sociales, de personalidad y objetivas; con ello</w:t>
      </w:r>
      <w:r>
        <w:rPr>
          <w:color w:val="231F20"/>
          <w:w w:val="104"/>
        </w:rPr>
        <w:t> </w:t>
      </w:r>
      <w:r>
        <w:rPr>
          <w:color w:val="231F20"/>
        </w:rPr>
        <w:t>se da una creciente “racionalización” del proceso de entendimiento.</w:t>
      </w:r>
      <w:r>
        <w:rPr>
          <w:color w:val="231F20"/>
          <w:w w:val="99"/>
        </w:rPr>
        <w:t> </w:t>
      </w:r>
      <w:r>
        <w:rPr>
          <w:color w:val="231F20"/>
        </w:rPr>
        <w:t>El  proceso va  dándose de  manera que  se  disocian  paulatina-</w:t>
      </w:r>
    </w:p>
    <w:p>
      <w:pPr>
        <w:pStyle w:val="BodyText"/>
        <w:spacing w:before="1"/>
        <w:ind w:left="102" w:right="121"/>
      </w:pPr>
      <w:r>
        <w:rPr>
          <w:color w:val="231F20"/>
        </w:rPr>
        <w:t>mente. Habermas lo ilustra así:</w:t>
      </w:r>
    </w:p>
    <w:p>
      <w:pPr>
        <w:pStyle w:val="BodyText"/>
        <w:spacing w:before="9"/>
        <w:rPr>
          <w:sz w:val="22"/>
        </w:rPr>
      </w:pPr>
    </w:p>
    <w:p>
      <w:pPr>
        <w:pStyle w:val="ListParagraph"/>
        <w:numPr>
          <w:ilvl w:val="1"/>
          <w:numId w:val="11"/>
        </w:numPr>
        <w:tabs>
          <w:tab w:pos="954" w:val="left" w:leader="none"/>
        </w:tabs>
        <w:spacing w:line="247" w:lineRule="auto" w:before="0" w:after="0"/>
        <w:ind w:left="953" w:right="118" w:hanging="551"/>
        <w:jc w:val="both"/>
        <w:rPr>
          <w:sz w:val="21"/>
        </w:rPr>
      </w:pPr>
      <w:r>
        <w:rPr>
          <w:color w:val="231F20"/>
          <w:sz w:val="21"/>
        </w:rPr>
        <w:t>Los componentes estructurales del Mundo de la Vida: sistema institucional y visión del mundo entre cultura y sociedad; ámbito creciente de posibles interacciones entre personalidad y sociedad; crítica en la conservación de tradiciones entre cultura y personalidad.</w:t>
      </w:r>
    </w:p>
    <w:p>
      <w:pPr>
        <w:pStyle w:val="ListParagraph"/>
        <w:numPr>
          <w:ilvl w:val="1"/>
          <w:numId w:val="11"/>
        </w:numPr>
        <w:tabs>
          <w:tab w:pos="954" w:val="left" w:leader="none"/>
        </w:tabs>
        <w:spacing w:line="247" w:lineRule="auto" w:before="84" w:after="0"/>
        <w:ind w:left="953" w:right="119" w:hanging="629"/>
        <w:jc w:val="both"/>
        <w:rPr>
          <w:sz w:val="21"/>
        </w:rPr>
      </w:pPr>
      <w:r>
        <w:rPr>
          <w:color w:val="231F20"/>
          <w:sz w:val="21"/>
        </w:rPr>
        <w:t>Forma y contenido: </w:t>
      </w:r>
      <w:r>
        <w:rPr>
          <w:rFonts w:ascii="PMingLiU" w:hAnsi="PMingLiU"/>
          <w:color w:val="231F20"/>
          <w:sz w:val="21"/>
        </w:rPr>
        <w:t>e</w:t>
      </w:r>
      <w:r>
        <w:rPr>
          <w:color w:val="231F20"/>
          <w:sz w:val="21"/>
        </w:rPr>
        <w:t>n la cultura  los  contenidos  concretos del pensar mítico se formalizan; en la sociedad se consagran principios universales, y en la personalidad aparecen conceptos más</w:t>
      </w:r>
      <w:r>
        <w:rPr>
          <w:color w:val="231F20"/>
          <w:spacing w:val="8"/>
          <w:sz w:val="21"/>
        </w:rPr>
        <w:t> </w:t>
      </w:r>
      <w:r>
        <w:rPr>
          <w:color w:val="231F20"/>
          <w:sz w:val="21"/>
        </w:rPr>
        <w:t>individuales</w:t>
      </w:r>
    </w:p>
    <w:p>
      <w:pPr>
        <w:pStyle w:val="ListParagraph"/>
        <w:numPr>
          <w:ilvl w:val="1"/>
          <w:numId w:val="11"/>
        </w:numPr>
        <w:tabs>
          <w:tab w:pos="954" w:val="left" w:leader="none"/>
        </w:tabs>
        <w:spacing w:line="247" w:lineRule="auto" w:before="1" w:after="0"/>
        <w:ind w:left="953" w:right="119" w:hanging="707"/>
        <w:jc w:val="both"/>
        <w:rPr>
          <w:sz w:val="21"/>
        </w:rPr>
      </w:pPr>
      <w:r>
        <w:rPr>
          <w:color w:val="231F20"/>
          <w:sz w:val="21"/>
        </w:rPr>
        <w:t>Reflexivización del proceso de recreación simbólica: aparecen ámbitos de especialización como la ciencia, la educación y las</w:t>
      </w:r>
      <w:r>
        <w:rPr>
          <w:color w:val="231F20"/>
          <w:spacing w:val="-26"/>
          <w:sz w:val="21"/>
        </w:rPr>
        <w:t> </w:t>
      </w:r>
      <w:r>
        <w:rPr>
          <w:color w:val="231F20"/>
          <w:sz w:val="21"/>
        </w:rPr>
        <w:t>artes.</w:t>
      </w:r>
    </w:p>
    <w:p>
      <w:pPr>
        <w:pStyle w:val="BodyText"/>
        <w:spacing w:before="2"/>
        <w:rPr>
          <w:sz w:val="22"/>
        </w:rPr>
      </w:pPr>
    </w:p>
    <w:p>
      <w:pPr>
        <w:pStyle w:val="BodyText"/>
        <w:spacing w:line="247" w:lineRule="auto"/>
        <w:ind w:left="101" w:right="113" w:firstLine="284"/>
        <w:jc w:val="both"/>
      </w:pPr>
      <w:r>
        <w:rPr>
          <w:color w:val="231F20"/>
        </w:rPr>
        <w:t>Sin embargo, este proceso se describe en su forma “ideal”. La racionalización del mundo de la vida también trae distorsiones; los casos de la anomia, la alienación y la pérdida de identidad exigen una estrategia de análisis que rebasa al posible desde Mundo de la Vida, Habermas alude a la base material como necesaria de tomar en cuenta para tal estrategia (Habermas, 2001,tomo II: 210).</w:t>
      </w:r>
    </w:p>
    <w:p>
      <w:pPr>
        <w:pStyle w:val="BodyText"/>
        <w:spacing w:line="247" w:lineRule="auto" w:before="1"/>
        <w:ind w:left="101" w:right="114" w:firstLine="284"/>
        <w:jc w:val="both"/>
      </w:pPr>
      <w:r>
        <w:rPr>
          <w:color w:val="231F20"/>
        </w:rPr>
        <w:t>Existen, entonces, restricciones y posibilidades estructurales para los procesos evolutivos de las estructuras del Mundo de la Vida, mismas que se sitúan “fuera”del ámbito del mismo.</w:t>
      </w:r>
    </w:p>
    <w:p>
      <w:pPr>
        <w:pStyle w:val="BodyText"/>
        <w:spacing w:line="249" w:lineRule="auto" w:before="1"/>
        <w:ind w:left="101" w:right="117" w:firstLine="284"/>
        <w:jc w:val="both"/>
      </w:pPr>
      <w:r>
        <w:rPr>
          <w:color w:val="231F20"/>
        </w:rPr>
        <w:t>En cuanto aparece el mecanismo de organización política que ya no se apoya en las relaciones de parentesco, el sistema evoluciona. “La aparición del Estado”como forma de organización nueva hace que evolucionen las sociedades primitivas. Aunada a la aparición del Estado, la introyección del mecanismo indiferenciado del dinero (medio de control) como forma de intercambio completa el salto evolutivo. Dinero y Estado se complementan y dan pie a una nueva etapa evolutiva de las sociedades. Este binomio, a su vez, como los anteriores, abre la posibilidad de una nueva etapa.</w:t>
      </w:r>
    </w:p>
    <w:p>
      <w:pPr>
        <w:pStyle w:val="BodyText"/>
        <w:spacing w:line="247" w:lineRule="auto"/>
        <w:ind w:left="101" w:right="119" w:firstLine="284"/>
        <w:jc w:val="both"/>
      </w:pPr>
      <w:r>
        <w:rPr>
          <w:color w:val="231F20"/>
        </w:rPr>
        <w:t>Habermas aborda las apariciones del Estado y el dinero en las sociedades  primeramente jerarquizadas. Según  esta  evolución, a)</w:t>
      </w:r>
    </w:p>
    <w:p>
      <w:pPr>
        <w:spacing w:after="0" w:line="247" w:lineRule="auto"/>
        <w:jc w:val="both"/>
        <w:sectPr>
          <w:headerReference w:type="default" r:id="rId550"/>
          <w:footerReference w:type="default" r:id="rId551"/>
          <w:pgSz w:w="7830" w:h="11910"/>
          <w:pgMar w:header="0" w:footer="424" w:top="500" w:bottom="620" w:left="920" w:right="900"/>
          <w:pgNumType w:start="24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5"/>
        <w:jc w:val="both"/>
      </w:pPr>
      <w:r>
        <w:rPr>
          <w:color w:val="231F20"/>
        </w:rPr>
        <w:t>en las </w:t>
      </w:r>
      <w:r>
        <w:rPr>
          <w:color w:val="231F20"/>
          <w:spacing w:val="2"/>
        </w:rPr>
        <w:t>sociedades primitivas jerarquizadas </w:t>
      </w:r>
      <w:r>
        <w:rPr>
          <w:color w:val="231F20"/>
        </w:rPr>
        <w:t>se </w:t>
      </w:r>
      <w:r>
        <w:rPr>
          <w:color w:val="231F20"/>
          <w:spacing w:val="2"/>
        </w:rPr>
        <w:t>nota cierto grado </w:t>
      </w:r>
      <w:r>
        <w:rPr>
          <w:color w:val="231F20"/>
        </w:rPr>
        <w:t>de </w:t>
      </w:r>
      <w:r>
        <w:rPr>
          <w:color w:val="231F20"/>
          <w:spacing w:val="2"/>
        </w:rPr>
        <w:t>especialización </w:t>
      </w:r>
      <w:r>
        <w:rPr>
          <w:color w:val="231F20"/>
        </w:rPr>
        <w:t>sin </w:t>
      </w:r>
      <w:r>
        <w:rPr>
          <w:color w:val="231F20"/>
          <w:spacing w:val="2"/>
        </w:rPr>
        <w:t>que por </w:t>
      </w:r>
      <w:r>
        <w:rPr>
          <w:color w:val="231F20"/>
        </w:rPr>
        <w:t>ello se </w:t>
      </w:r>
      <w:r>
        <w:rPr>
          <w:color w:val="231F20"/>
          <w:spacing w:val="2"/>
        </w:rPr>
        <w:t>supere </w:t>
      </w:r>
      <w:r>
        <w:rPr>
          <w:color w:val="231F20"/>
        </w:rPr>
        <w:t>la </w:t>
      </w:r>
      <w:r>
        <w:rPr>
          <w:color w:val="231F20"/>
          <w:spacing w:val="2"/>
        </w:rPr>
        <w:t>base </w:t>
      </w:r>
      <w:r>
        <w:rPr>
          <w:color w:val="231F20"/>
        </w:rPr>
        <w:t>de las </w:t>
      </w:r>
      <w:r>
        <w:rPr>
          <w:color w:val="231F20"/>
          <w:spacing w:val="2"/>
        </w:rPr>
        <w:t>relaciones </w:t>
      </w:r>
      <w:r>
        <w:rPr>
          <w:color w:val="231F20"/>
        </w:rPr>
        <w:t>de </w:t>
      </w:r>
      <w:r>
        <w:rPr>
          <w:color w:val="231F20"/>
          <w:spacing w:val="3"/>
        </w:rPr>
        <w:t>producción: </w:t>
      </w:r>
      <w:r>
        <w:rPr>
          <w:color w:val="231F20"/>
        </w:rPr>
        <w:t>el </w:t>
      </w:r>
      <w:r>
        <w:rPr>
          <w:color w:val="231F20"/>
          <w:spacing w:val="3"/>
        </w:rPr>
        <w:t>parentesco. </w:t>
      </w:r>
      <w:r>
        <w:rPr>
          <w:color w:val="231F20"/>
          <w:spacing w:val="2"/>
        </w:rPr>
        <w:t>Pero una </w:t>
      </w:r>
      <w:r>
        <w:rPr>
          <w:color w:val="231F20"/>
        </w:rPr>
        <w:t>vez </w:t>
      </w:r>
      <w:r>
        <w:rPr>
          <w:color w:val="231F20"/>
          <w:spacing w:val="2"/>
        </w:rPr>
        <w:t>que aparece </w:t>
      </w:r>
      <w:r>
        <w:rPr>
          <w:color w:val="231F20"/>
        </w:rPr>
        <w:t>el </w:t>
      </w:r>
      <w:r>
        <w:rPr>
          <w:color w:val="231F20"/>
          <w:spacing w:val="3"/>
        </w:rPr>
        <w:t>Estado, </w:t>
      </w:r>
      <w:r>
        <w:rPr>
          <w:color w:val="231F20"/>
        </w:rPr>
        <w:t>el </w:t>
      </w:r>
      <w:r>
        <w:rPr>
          <w:color w:val="231F20"/>
          <w:spacing w:val="3"/>
        </w:rPr>
        <w:t>poder </w:t>
      </w:r>
      <w:r>
        <w:rPr>
          <w:color w:val="231F20"/>
          <w:spacing w:val="2"/>
        </w:rPr>
        <w:t>político </w:t>
      </w:r>
      <w:r>
        <w:rPr>
          <w:color w:val="231F20"/>
        </w:rPr>
        <w:t>y la </w:t>
      </w:r>
      <w:r>
        <w:rPr>
          <w:color w:val="231F20"/>
          <w:spacing w:val="2"/>
        </w:rPr>
        <w:t>posición </w:t>
      </w:r>
      <w:r>
        <w:rPr>
          <w:color w:val="231F20"/>
        </w:rPr>
        <w:t>en </w:t>
      </w:r>
      <w:r>
        <w:rPr>
          <w:color w:val="231F20"/>
          <w:spacing w:val="2"/>
        </w:rPr>
        <w:t>relación con los </w:t>
      </w:r>
      <w:r>
        <w:rPr>
          <w:color w:val="231F20"/>
          <w:spacing w:val="3"/>
        </w:rPr>
        <w:t>medios </w:t>
      </w:r>
      <w:r>
        <w:rPr>
          <w:color w:val="231F20"/>
        </w:rPr>
        <w:t>de </w:t>
      </w:r>
      <w:r>
        <w:rPr>
          <w:color w:val="231F20"/>
          <w:spacing w:val="3"/>
        </w:rPr>
        <w:t>pro- </w:t>
      </w:r>
      <w:r>
        <w:rPr>
          <w:color w:val="231F20"/>
          <w:spacing w:val="2"/>
        </w:rPr>
        <w:t>ducción </w:t>
      </w:r>
      <w:r>
        <w:rPr>
          <w:color w:val="231F20"/>
        </w:rPr>
        <w:t>se </w:t>
      </w:r>
      <w:r>
        <w:rPr>
          <w:color w:val="231F20"/>
          <w:spacing w:val="2"/>
        </w:rPr>
        <w:t>convierten </w:t>
      </w:r>
      <w:r>
        <w:rPr>
          <w:color w:val="231F20"/>
        </w:rPr>
        <w:t>en lo </w:t>
      </w:r>
      <w:r>
        <w:rPr>
          <w:color w:val="231F20"/>
          <w:spacing w:val="2"/>
        </w:rPr>
        <w:t>definitorio  sistémico, dejando  </w:t>
      </w:r>
      <w:r>
        <w:rPr>
          <w:color w:val="231F20"/>
        </w:rPr>
        <w:t>a  un </w:t>
      </w:r>
      <w:r>
        <w:rPr>
          <w:color w:val="231F20"/>
          <w:spacing w:val="2"/>
        </w:rPr>
        <w:t>lado </w:t>
      </w:r>
      <w:r>
        <w:rPr>
          <w:color w:val="231F20"/>
        </w:rPr>
        <w:t>el </w:t>
      </w:r>
      <w:r>
        <w:rPr>
          <w:color w:val="231F20"/>
          <w:spacing w:val="2"/>
        </w:rPr>
        <w:t>sistema </w:t>
      </w:r>
      <w:r>
        <w:rPr>
          <w:color w:val="231F20"/>
        </w:rPr>
        <w:t>de </w:t>
      </w:r>
      <w:r>
        <w:rPr>
          <w:color w:val="231F20"/>
          <w:spacing w:val="3"/>
        </w:rPr>
        <w:t>parentesco. </w:t>
      </w:r>
      <w:r>
        <w:rPr>
          <w:color w:val="231F20"/>
        </w:rPr>
        <w:t>El </w:t>
      </w:r>
      <w:r>
        <w:rPr>
          <w:color w:val="231F20"/>
          <w:spacing w:val="2"/>
        </w:rPr>
        <w:t>Estado </w:t>
      </w:r>
      <w:r>
        <w:rPr>
          <w:color w:val="231F20"/>
        </w:rPr>
        <w:t>se </w:t>
      </w:r>
      <w:r>
        <w:rPr>
          <w:color w:val="231F20"/>
          <w:spacing w:val="2"/>
        </w:rPr>
        <w:t>erige </w:t>
      </w:r>
      <w:r>
        <w:rPr>
          <w:color w:val="231F20"/>
          <w:spacing w:val="3"/>
        </w:rPr>
        <w:t>como </w:t>
      </w:r>
      <w:r>
        <w:rPr>
          <w:color w:val="231F20"/>
          <w:spacing w:val="2"/>
        </w:rPr>
        <w:t>una “or- ganización”centralizada que </w:t>
      </w:r>
      <w:r>
        <w:rPr>
          <w:color w:val="231F20"/>
        </w:rPr>
        <w:t>se </w:t>
      </w:r>
      <w:r>
        <w:rPr>
          <w:color w:val="231F20"/>
          <w:spacing w:val="2"/>
        </w:rPr>
        <w:t>encarga </w:t>
      </w:r>
      <w:r>
        <w:rPr>
          <w:color w:val="231F20"/>
        </w:rPr>
        <w:t>de la </w:t>
      </w:r>
      <w:r>
        <w:rPr>
          <w:color w:val="231F20"/>
          <w:spacing w:val="2"/>
        </w:rPr>
        <w:t>vida </w:t>
      </w:r>
      <w:r>
        <w:rPr>
          <w:color w:val="231F20"/>
        </w:rPr>
        <w:t>de </w:t>
      </w:r>
      <w:r>
        <w:rPr>
          <w:color w:val="231F20"/>
          <w:spacing w:val="2"/>
        </w:rPr>
        <w:t>toda </w:t>
      </w:r>
      <w:r>
        <w:rPr>
          <w:color w:val="231F20"/>
        </w:rPr>
        <w:t>la </w:t>
      </w:r>
      <w:r>
        <w:rPr>
          <w:color w:val="231F20"/>
          <w:spacing w:val="2"/>
        </w:rPr>
        <w:t>socie- dad, designa </w:t>
      </w:r>
      <w:r>
        <w:rPr>
          <w:color w:val="231F20"/>
        </w:rPr>
        <w:t>el </w:t>
      </w:r>
      <w:r>
        <w:rPr>
          <w:i/>
          <w:color w:val="231F20"/>
          <w:spacing w:val="2"/>
        </w:rPr>
        <w:t>status </w:t>
      </w:r>
      <w:r>
        <w:rPr>
          <w:color w:val="231F20"/>
          <w:spacing w:val="2"/>
        </w:rPr>
        <w:t>(poder </w:t>
      </w:r>
      <w:r>
        <w:rPr>
          <w:color w:val="231F20"/>
        </w:rPr>
        <w:t>y </w:t>
      </w:r>
      <w:r>
        <w:rPr>
          <w:color w:val="231F20"/>
          <w:spacing w:val="2"/>
        </w:rPr>
        <w:t>linaje, estilo </w:t>
      </w:r>
      <w:r>
        <w:rPr>
          <w:color w:val="231F20"/>
        </w:rPr>
        <w:t>de </w:t>
      </w:r>
      <w:r>
        <w:rPr>
          <w:color w:val="231F20"/>
          <w:spacing w:val="2"/>
        </w:rPr>
        <w:t>vida) </w:t>
      </w:r>
      <w:r>
        <w:rPr>
          <w:color w:val="231F20"/>
        </w:rPr>
        <w:t>de </w:t>
      </w:r>
      <w:r>
        <w:rPr>
          <w:color w:val="231F20"/>
          <w:spacing w:val="2"/>
        </w:rPr>
        <w:t>los indivi- </w:t>
      </w:r>
      <w:r>
        <w:rPr>
          <w:color w:val="231F20"/>
          <w:spacing w:val="3"/>
        </w:rPr>
        <w:t>duos </w:t>
      </w:r>
      <w:r>
        <w:rPr>
          <w:color w:val="231F20"/>
        </w:rPr>
        <w:t>y </w:t>
      </w:r>
      <w:r>
        <w:rPr>
          <w:color w:val="231F20"/>
          <w:spacing w:val="2"/>
        </w:rPr>
        <w:t>los </w:t>
      </w:r>
      <w:r>
        <w:rPr>
          <w:color w:val="231F20"/>
        </w:rPr>
        <w:t>liga </w:t>
      </w:r>
      <w:r>
        <w:rPr>
          <w:color w:val="231F20"/>
          <w:spacing w:val="2"/>
        </w:rPr>
        <w:t>con </w:t>
      </w:r>
      <w:r>
        <w:rPr>
          <w:color w:val="231F20"/>
        </w:rPr>
        <w:t>el </w:t>
      </w:r>
      <w:r>
        <w:rPr>
          <w:color w:val="231F20"/>
          <w:spacing w:val="2"/>
        </w:rPr>
        <w:t>poder político, </w:t>
      </w:r>
      <w:r>
        <w:rPr>
          <w:color w:val="231F20"/>
        </w:rPr>
        <w:t>al </w:t>
      </w:r>
      <w:r>
        <w:rPr>
          <w:color w:val="231F20"/>
          <w:spacing w:val="2"/>
        </w:rPr>
        <w:t>tiempo </w:t>
      </w:r>
      <w:r>
        <w:rPr>
          <w:color w:val="231F20"/>
        </w:rPr>
        <w:t>de </w:t>
      </w:r>
      <w:r>
        <w:rPr>
          <w:color w:val="231F20"/>
          <w:spacing w:val="2"/>
        </w:rPr>
        <w:t>que cuenta </w:t>
      </w:r>
      <w:r>
        <w:rPr>
          <w:color w:val="231F20"/>
          <w:spacing w:val="3"/>
        </w:rPr>
        <w:t>con </w:t>
      </w:r>
      <w:r>
        <w:rPr>
          <w:color w:val="231F20"/>
          <w:spacing w:val="2"/>
        </w:rPr>
        <w:t>medios vinculantes </w:t>
      </w:r>
      <w:r>
        <w:rPr>
          <w:color w:val="231F20"/>
        </w:rPr>
        <w:t>de </w:t>
      </w:r>
      <w:r>
        <w:rPr>
          <w:color w:val="231F20"/>
          <w:spacing w:val="2"/>
        </w:rPr>
        <w:t>punición para </w:t>
      </w:r>
      <w:r>
        <w:rPr>
          <w:color w:val="231F20"/>
        </w:rPr>
        <w:t>los </w:t>
      </w:r>
      <w:r>
        <w:rPr>
          <w:color w:val="231F20"/>
          <w:spacing w:val="2"/>
        </w:rPr>
        <w:t>rebeldes; </w:t>
      </w:r>
      <w:r>
        <w:rPr>
          <w:color w:val="231F20"/>
        </w:rPr>
        <w:t>se </w:t>
      </w:r>
      <w:r>
        <w:rPr>
          <w:color w:val="231F20"/>
          <w:spacing w:val="2"/>
        </w:rPr>
        <w:t>instituye </w:t>
      </w:r>
      <w:r>
        <w:rPr>
          <w:color w:val="231F20"/>
        </w:rPr>
        <w:t>la </w:t>
      </w:r>
      <w:r>
        <w:rPr>
          <w:color w:val="231F20"/>
          <w:spacing w:val="2"/>
        </w:rPr>
        <w:t>fuerza represora del </w:t>
      </w:r>
      <w:r>
        <w:rPr>
          <w:color w:val="231F20"/>
          <w:spacing w:val="3"/>
        </w:rPr>
        <w:t>Estado. </w:t>
      </w:r>
      <w:r>
        <w:rPr>
          <w:color w:val="231F20"/>
        </w:rPr>
        <w:t>En un </w:t>
      </w:r>
      <w:r>
        <w:rPr>
          <w:color w:val="231F20"/>
          <w:spacing w:val="2"/>
        </w:rPr>
        <w:t>segundo </w:t>
      </w:r>
      <w:r>
        <w:rPr>
          <w:color w:val="231F20"/>
          <w:spacing w:val="3"/>
        </w:rPr>
        <w:t>momento, </w:t>
      </w:r>
      <w:r>
        <w:rPr>
          <w:color w:val="231F20"/>
        </w:rPr>
        <w:t>b) </w:t>
      </w:r>
      <w:r>
        <w:rPr>
          <w:color w:val="231F20"/>
          <w:spacing w:val="2"/>
        </w:rPr>
        <w:t>aparece   </w:t>
      </w:r>
      <w:r>
        <w:rPr>
          <w:color w:val="231F20"/>
        </w:rPr>
        <w:t>el </w:t>
      </w:r>
      <w:r>
        <w:rPr>
          <w:color w:val="231F20"/>
          <w:spacing w:val="2"/>
        </w:rPr>
        <w:t>“dinero” </w:t>
      </w:r>
      <w:r>
        <w:rPr>
          <w:color w:val="231F20"/>
          <w:spacing w:val="3"/>
        </w:rPr>
        <w:t>como </w:t>
      </w:r>
      <w:r>
        <w:rPr>
          <w:color w:val="231F20"/>
          <w:spacing w:val="2"/>
        </w:rPr>
        <w:t>medio generalizado </w:t>
      </w:r>
      <w:r>
        <w:rPr>
          <w:color w:val="231F20"/>
        </w:rPr>
        <w:t>de </w:t>
      </w:r>
      <w:r>
        <w:rPr>
          <w:color w:val="231F20"/>
          <w:spacing w:val="3"/>
        </w:rPr>
        <w:t>control </w:t>
      </w:r>
      <w:r>
        <w:rPr>
          <w:color w:val="231F20"/>
          <w:spacing w:val="2"/>
        </w:rPr>
        <w:t>sistémico, </w:t>
      </w:r>
      <w:r>
        <w:rPr>
          <w:color w:val="231F20"/>
        </w:rPr>
        <w:t>lo </w:t>
      </w:r>
      <w:r>
        <w:rPr>
          <w:color w:val="231F20"/>
          <w:spacing w:val="2"/>
        </w:rPr>
        <w:t>que genera una nueva etapa evolutiva que </w:t>
      </w:r>
      <w:r>
        <w:rPr>
          <w:color w:val="231F20"/>
          <w:spacing w:val="3"/>
        </w:rPr>
        <w:t>transforma </w:t>
      </w:r>
      <w:r>
        <w:rPr>
          <w:color w:val="231F20"/>
        </w:rPr>
        <w:t>la </w:t>
      </w:r>
      <w:r>
        <w:rPr>
          <w:color w:val="231F20"/>
          <w:spacing w:val="2"/>
        </w:rPr>
        <w:t>estatal </w:t>
      </w:r>
      <w:r>
        <w:rPr>
          <w:color w:val="231F20"/>
        </w:rPr>
        <w:t>en </w:t>
      </w:r>
      <w:r>
        <w:rPr>
          <w:color w:val="231F20"/>
          <w:spacing w:val="2"/>
        </w:rPr>
        <w:t>despótica. </w:t>
      </w:r>
      <w:r>
        <w:rPr>
          <w:color w:val="231F20"/>
        </w:rPr>
        <w:t>En las </w:t>
      </w:r>
      <w:r>
        <w:rPr>
          <w:color w:val="231F20"/>
          <w:spacing w:val="2"/>
        </w:rPr>
        <w:t>sociedades </w:t>
      </w:r>
      <w:r>
        <w:rPr>
          <w:color w:val="231F20"/>
          <w:spacing w:val="3"/>
        </w:rPr>
        <w:t>modernas, </w:t>
      </w:r>
      <w:r>
        <w:rPr>
          <w:color w:val="231F20"/>
        </w:rPr>
        <w:t>el </w:t>
      </w:r>
      <w:r>
        <w:rPr>
          <w:color w:val="231F20"/>
          <w:spacing w:val="2"/>
        </w:rPr>
        <w:t>capitalismo convierte   los valores </w:t>
      </w:r>
      <w:r>
        <w:rPr>
          <w:color w:val="231F20"/>
        </w:rPr>
        <w:t>de </w:t>
      </w:r>
      <w:r>
        <w:rPr>
          <w:color w:val="231F20"/>
          <w:spacing w:val="2"/>
        </w:rPr>
        <w:t>uso </w:t>
      </w:r>
      <w:r>
        <w:rPr>
          <w:color w:val="231F20"/>
        </w:rPr>
        <w:t>en </w:t>
      </w:r>
      <w:r>
        <w:rPr>
          <w:color w:val="231F20"/>
          <w:spacing w:val="2"/>
        </w:rPr>
        <w:t>valores </w:t>
      </w:r>
      <w:r>
        <w:rPr>
          <w:color w:val="231F20"/>
        </w:rPr>
        <w:t>de </w:t>
      </w:r>
      <w:r>
        <w:rPr>
          <w:color w:val="231F20"/>
          <w:spacing w:val="3"/>
        </w:rPr>
        <w:t>cambio, </w:t>
      </w:r>
      <w:r>
        <w:rPr>
          <w:color w:val="231F20"/>
          <w:spacing w:val="2"/>
        </w:rPr>
        <w:t>los bienes </w:t>
      </w:r>
      <w:r>
        <w:rPr>
          <w:color w:val="231F20"/>
        </w:rPr>
        <w:t>en </w:t>
      </w:r>
      <w:r>
        <w:rPr>
          <w:color w:val="231F20"/>
          <w:spacing w:val="3"/>
        </w:rPr>
        <w:t>mercancías   </w:t>
      </w:r>
      <w:r>
        <w:rPr>
          <w:color w:val="231F20"/>
        </w:rPr>
        <w:t>y </w:t>
      </w:r>
      <w:r>
        <w:rPr>
          <w:color w:val="231F20"/>
          <w:spacing w:val="3"/>
        </w:rPr>
        <w:t>subordina </w:t>
      </w:r>
      <w:r>
        <w:rPr>
          <w:color w:val="231F20"/>
        </w:rPr>
        <w:t>al </w:t>
      </w:r>
      <w:r>
        <w:rPr>
          <w:color w:val="231F20"/>
          <w:spacing w:val="3"/>
        </w:rPr>
        <w:t>Estado, </w:t>
      </w:r>
      <w:r>
        <w:rPr>
          <w:color w:val="231F20"/>
          <w:spacing w:val="2"/>
        </w:rPr>
        <w:t>este pierde </w:t>
      </w:r>
      <w:r>
        <w:rPr>
          <w:color w:val="231F20"/>
        </w:rPr>
        <w:t>su </w:t>
      </w:r>
      <w:r>
        <w:rPr>
          <w:color w:val="231F20"/>
          <w:spacing w:val="2"/>
        </w:rPr>
        <w:t>papel centralizador </w:t>
      </w:r>
      <w:r>
        <w:rPr>
          <w:color w:val="231F20"/>
        </w:rPr>
        <w:t>y </w:t>
      </w:r>
      <w:r>
        <w:rPr>
          <w:color w:val="231F20"/>
          <w:spacing w:val="2"/>
        </w:rPr>
        <w:t>apare- </w:t>
      </w:r>
      <w:r>
        <w:rPr>
          <w:color w:val="231F20"/>
        </w:rPr>
        <w:t>cen </w:t>
      </w:r>
      <w:r>
        <w:rPr>
          <w:color w:val="231F20"/>
          <w:spacing w:val="2"/>
        </w:rPr>
        <w:t>organizaciones institucionales paralelas que </w:t>
      </w:r>
      <w:r>
        <w:rPr>
          <w:color w:val="231F20"/>
        </w:rPr>
        <w:t>se </w:t>
      </w:r>
      <w:r>
        <w:rPr>
          <w:color w:val="231F20"/>
          <w:spacing w:val="2"/>
        </w:rPr>
        <w:t>encargan </w:t>
      </w:r>
      <w:r>
        <w:rPr>
          <w:color w:val="231F20"/>
        </w:rPr>
        <w:t>de </w:t>
      </w:r>
      <w:r>
        <w:rPr>
          <w:color w:val="231F20"/>
          <w:spacing w:val="2"/>
        </w:rPr>
        <w:t>constituirse </w:t>
      </w:r>
      <w:r>
        <w:rPr>
          <w:color w:val="231F20"/>
        </w:rPr>
        <w:t>en </w:t>
      </w:r>
      <w:r>
        <w:rPr>
          <w:color w:val="231F20"/>
          <w:spacing w:val="3"/>
        </w:rPr>
        <w:t>subsistemas </w:t>
      </w:r>
      <w:r>
        <w:rPr>
          <w:color w:val="231F20"/>
        </w:rPr>
        <w:t>al </w:t>
      </w:r>
      <w:r>
        <w:rPr>
          <w:color w:val="231F20"/>
          <w:spacing w:val="2"/>
        </w:rPr>
        <w:t>lado del aparato</w:t>
      </w:r>
      <w:r>
        <w:rPr>
          <w:color w:val="231F20"/>
          <w:spacing w:val="-2"/>
        </w:rPr>
        <w:t> </w:t>
      </w:r>
      <w:r>
        <w:rPr>
          <w:color w:val="231F20"/>
          <w:spacing w:val="2"/>
        </w:rPr>
        <w:t>estatal.</w:t>
      </w:r>
    </w:p>
    <w:p>
      <w:pPr>
        <w:pStyle w:val="BodyText"/>
        <w:spacing w:line="249" w:lineRule="auto"/>
        <w:ind w:left="101" w:right="114" w:firstLine="284"/>
        <w:jc w:val="both"/>
      </w:pPr>
      <w:r>
        <w:rPr>
          <w:color w:val="231F20"/>
        </w:rPr>
        <w:t>El aumento en el grado de generalización del Derecho y la Moral va acompañado, dice Habermas, de una racionalización del Mundo de la Vida, y esto trae, a su vez, un nuevo tipo de integra- ción social. Esto último puede verse en las tendencias contrapues- tas que adoptan la interacción y la orientación de la acción. En la sociedad primitiva jerarquizada, el prestigio y la influencia domi- nan la estructura social. La disposición a aceptar una aseveración varía, desde una apoyada en la persona hasta otra apoyada en el grupo dominante. Se ve un desplazamiento de los valores, de persona a grupo, y luego, en las sociedades modernas, llega a una ubicación en el Derecho abstracto, mientras la moral se universa- liza situándose, por ejemplo, en los Derechos Humanos.</w:t>
      </w:r>
    </w:p>
    <w:p>
      <w:pPr>
        <w:pStyle w:val="BodyText"/>
        <w:spacing w:line="247" w:lineRule="auto"/>
        <w:ind w:left="101" w:right="115" w:firstLine="284"/>
        <w:jc w:val="both"/>
      </w:pPr>
      <w:r>
        <w:rPr>
          <w:color w:val="231F20"/>
          <w:spacing w:val="2"/>
        </w:rPr>
        <w:t>Van </w:t>
      </w:r>
      <w:r>
        <w:rPr>
          <w:color w:val="231F20"/>
          <w:spacing w:val="3"/>
        </w:rPr>
        <w:t>contraponiéndose, </w:t>
      </w:r>
      <w:r>
        <w:rPr>
          <w:color w:val="231F20"/>
          <w:spacing w:val="2"/>
        </w:rPr>
        <w:t>según </w:t>
      </w:r>
      <w:r>
        <w:rPr>
          <w:color w:val="231F20"/>
        </w:rPr>
        <w:t>el </w:t>
      </w:r>
      <w:r>
        <w:rPr>
          <w:color w:val="231F20"/>
          <w:spacing w:val="2"/>
        </w:rPr>
        <w:t>autor, dos tendencias: </w:t>
      </w:r>
      <w:r>
        <w:rPr>
          <w:color w:val="231F20"/>
        </w:rPr>
        <w:t>en la </w:t>
      </w:r>
      <w:r>
        <w:rPr>
          <w:color w:val="231F20"/>
          <w:spacing w:val="3"/>
        </w:rPr>
        <w:t>medida </w:t>
      </w:r>
      <w:r>
        <w:rPr>
          <w:color w:val="231F20"/>
        </w:rPr>
        <w:t>en </w:t>
      </w:r>
      <w:r>
        <w:rPr>
          <w:color w:val="231F20"/>
          <w:spacing w:val="2"/>
        </w:rPr>
        <w:t>que </w:t>
      </w:r>
      <w:r>
        <w:rPr>
          <w:color w:val="231F20"/>
        </w:rPr>
        <w:t>se </w:t>
      </w:r>
      <w:r>
        <w:rPr>
          <w:color w:val="231F20"/>
          <w:spacing w:val="2"/>
        </w:rPr>
        <w:t>generalizan </w:t>
      </w:r>
      <w:r>
        <w:rPr>
          <w:color w:val="231F20"/>
        </w:rPr>
        <w:t>los </w:t>
      </w:r>
      <w:r>
        <w:rPr>
          <w:color w:val="231F20"/>
          <w:spacing w:val="2"/>
        </w:rPr>
        <w:t>valores (orientación </w:t>
      </w:r>
      <w:r>
        <w:rPr>
          <w:color w:val="231F20"/>
        </w:rPr>
        <w:t>de la </w:t>
      </w:r>
      <w:r>
        <w:rPr>
          <w:color w:val="231F20"/>
          <w:spacing w:val="2"/>
        </w:rPr>
        <w:t>ac- ción), </w:t>
      </w:r>
      <w:r>
        <w:rPr>
          <w:color w:val="231F20"/>
        </w:rPr>
        <w:t>la </w:t>
      </w:r>
      <w:r>
        <w:rPr>
          <w:color w:val="231F20"/>
          <w:spacing w:val="2"/>
        </w:rPr>
        <w:t>interacción </w:t>
      </w:r>
      <w:r>
        <w:rPr>
          <w:color w:val="231F20"/>
        </w:rPr>
        <w:t>va </w:t>
      </w:r>
      <w:r>
        <w:rPr>
          <w:color w:val="231F20"/>
          <w:spacing w:val="2"/>
        </w:rPr>
        <w:t>desligándose </w:t>
      </w:r>
      <w:r>
        <w:rPr>
          <w:color w:val="231F20"/>
        </w:rPr>
        <w:t>de </w:t>
      </w:r>
      <w:r>
        <w:rPr>
          <w:color w:val="231F20"/>
          <w:spacing w:val="3"/>
        </w:rPr>
        <w:t>patrones normativos con- </w:t>
      </w:r>
      <w:r>
        <w:rPr>
          <w:color w:val="231F20"/>
          <w:spacing w:val="2"/>
        </w:rPr>
        <w:t>cretos, </w:t>
      </w:r>
      <w:r>
        <w:rPr>
          <w:color w:val="231F20"/>
          <w:spacing w:val="3"/>
        </w:rPr>
        <w:t>relacionados </w:t>
      </w:r>
      <w:r>
        <w:rPr>
          <w:color w:val="231F20"/>
          <w:spacing w:val="2"/>
        </w:rPr>
        <w:t>con </w:t>
      </w:r>
      <w:r>
        <w:rPr>
          <w:color w:val="231F20"/>
          <w:spacing w:val="3"/>
        </w:rPr>
        <w:t>personas. </w:t>
      </w:r>
      <w:r>
        <w:rPr>
          <w:color w:val="231F20"/>
        </w:rPr>
        <w:t>La </w:t>
      </w:r>
      <w:r>
        <w:rPr>
          <w:color w:val="231F20"/>
          <w:spacing w:val="2"/>
        </w:rPr>
        <w:t>integración social </w:t>
      </w:r>
      <w:r>
        <w:rPr>
          <w:color w:val="231F20"/>
        </w:rPr>
        <w:t>se </w:t>
      </w:r>
      <w:r>
        <w:rPr>
          <w:color w:val="231F20"/>
          <w:spacing w:val="2"/>
        </w:rPr>
        <w:t>separa </w:t>
      </w:r>
      <w:r>
        <w:rPr>
          <w:color w:val="231F20"/>
        </w:rPr>
        <w:t>de su </w:t>
      </w:r>
      <w:r>
        <w:rPr>
          <w:color w:val="231F20"/>
          <w:spacing w:val="2"/>
        </w:rPr>
        <w:t>base religiosa </w:t>
      </w:r>
      <w:r>
        <w:rPr>
          <w:color w:val="231F20"/>
        </w:rPr>
        <w:t>y se </w:t>
      </w:r>
      <w:r>
        <w:rPr>
          <w:color w:val="231F20"/>
          <w:spacing w:val="2"/>
        </w:rPr>
        <w:t>acerca </w:t>
      </w:r>
      <w:r>
        <w:rPr>
          <w:color w:val="231F20"/>
        </w:rPr>
        <w:t>a </w:t>
      </w:r>
      <w:r>
        <w:rPr>
          <w:color w:val="231F20"/>
          <w:spacing w:val="2"/>
        </w:rPr>
        <w:t>los </w:t>
      </w:r>
      <w:r>
        <w:rPr>
          <w:color w:val="231F20"/>
          <w:spacing w:val="3"/>
        </w:rPr>
        <w:t>procesos </w:t>
      </w:r>
      <w:r>
        <w:rPr>
          <w:color w:val="231F20"/>
          <w:spacing w:val="2"/>
        </w:rPr>
        <w:t>lingüísticos. </w:t>
      </w:r>
      <w:r>
        <w:rPr>
          <w:color w:val="231F20"/>
          <w:spacing w:val="3"/>
        </w:rPr>
        <w:t>Dentro </w:t>
      </w:r>
      <w:r>
        <w:rPr>
          <w:color w:val="231F20"/>
        </w:rPr>
        <w:t>de </w:t>
      </w:r>
      <w:r>
        <w:rPr>
          <w:color w:val="231F20"/>
          <w:spacing w:val="2"/>
        </w:rPr>
        <w:t>estos aparece </w:t>
      </w:r>
      <w:r>
        <w:rPr>
          <w:color w:val="231F20"/>
        </w:rPr>
        <w:t>la </w:t>
      </w:r>
      <w:r>
        <w:rPr>
          <w:color w:val="231F20"/>
          <w:spacing w:val="2"/>
        </w:rPr>
        <w:t>posibilidad </w:t>
      </w:r>
      <w:r>
        <w:rPr>
          <w:color w:val="231F20"/>
        </w:rPr>
        <w:t>de que se </w:t>
      </w:r>
      <w:r>
        <w:rPr>
          <w:color w:val="231F20"/>
          <w:spacing w:val="2"/>
        </w:rPr>
        <w:t>aplace </w:t>
      </w:r>
      <w:r>
        <w:rPr>
          <w:color w:val="231F20"/>
        </w:rPr>
        <w:t>la </w:t>
      </w:r>
      <w:r>
        <w:rPr>
          <w:color w:val="231F20"/>
          <w:spacing w:val="2"/>
        </w:rPr>
        <w:t>legitimación, </w:t>
      </w:r>
      <w:r>
        <w:rPr>
          <w:color w:val="231F20"/>
        </w:rPr>
        <w:t>y en </w:t>
      </w:r>
      <w:r>
        <w:rPr>
          <w:color w:val="231F20"/>
          <w:spacing w:val="3"/>
        </w:rPr>
        <w:t>consecuencia </w:t>
      </w:r>
      <w:r>
        <w:rPr>
          <w:color w:val="231F20"/>
          <w:spacing w:val="2"/>
        </w:rPr>
        <w:t>aparece </w:t>
      </w:r>
      <w:r>
        <w:rPr>
          <w:color w:val="231F20"/>
        </w:rPr>
        <w:t>la </w:t>
      </w:r>
      <w:r>
        <w:rPr>
          <w:color w:val="231F20"/>
          <w:spacing w:val="2"/>
        </w:rPr>
        <w:t>posibilidad </w:t>
      </w:r>
      <w:r>
        <w:rPr>
          <w:color w:val="231F20"/>
        </w:rPr>
        <w:t>de </w:t>
      </w:r>
      <w:r>
        <w:rPr>
          <w:color w:val="231F20"/>
          <w:spacing w:val="3"/>
        </w:rPr>
        <w:t>control </w:t>
      </w:r>
      <w:r>
        <w:rPr>
          <w:color w:val="231F20"/>
        </w:rPr>
        <w:t>de la </w:t>
      </w:r>
      <w:r>
        <w:rPr>
          <w:color w:val="231F20"/>
          <w:spacing w:val="2"/>
        </w:rPr>
        <w:t>acción por medios</w:t>
      </w:r>
      <w:r>
        <w:rPr>
          <w:color w:val="231F20"/>
          <w:spacing w:val="-10"/>
        </w:rPr>
        <w:t> </w:t>
      </w:r>
      <w:r>
        <w:rPr>
          <w:color w:val="231F20"/>
          <w:spacing w:val="2"/>
        </w:rPr>
        <w:t>sistémicos.</w:t>
      </w:r>
    </w:p>
    <w:p>
      <w:pPr>
        <w:spacing w:after="0" w:line="247" w:lineRule="auto"/>
        <w:jc w:val="both"/>
        <w:sectPr>
          <w:headerReference w:type="default" r:id="rId552"/>
          <w:footerReference w:type="default" r:id="rId553"/>
          <w:pgSz w:w="7830" w:h="11910"/>
          <w:pgMar w:header="0" w:footer="424" w:top="500" w:bottom="620" w:left="920" w:right="900"/>
          <w:pgNumType w:start="24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8" w:firstLine="284"/>
        <w:jc w:val="both"/>
      </w:pPr>
      <w:r>
        <w:rPr>
          <w:color w:val="231F20"/>
        </w:rPr>
        <w:t>El que se separe la interacción de esos patrones hace que se separen también las acciones estratégicas y comunicativas, y con esa separación aparecen, también, mecanismos diferentes de coordinación de la acción. Estos pueden ser relativos al entendi- miento o mediante lo que llama Habermas dos “mecanismos de descarga de riesgos de disentimiento” (medios de comunicación) que a) condensan o b) sustituyen al entendimiento (Habermas, 2001,tomo II: 255- 56).</w:t>
      </w:r>
    </w:p>
    <w:p>
      <w:pPr>
        <w:pStyle w:val="BodyText"/>
        <w:spacing w:before="7"/>
      </w:pPr>
    </w:p>
    <w:p>
      <w:pPr>
        <w:spacing w:before="0"/>
        <w:ind w:left="102" w:right="0" w:firstLine="0"/>
        <w:jc w:val="both"/>
        <w:rPr>
          <w:i/>
          <w:sz w:val="21"/>
        </w:rPr>
      </w:pPr>
      <w:r>
        <w:rPr>
          <w:i/>
          <w:color w:val="231F20"/>
          <w:w w:val="90"/>
          <w:sz w:val="21"/>
        </w:rPr>
        <w:t>Colonización del mundo de la vida</w:t>
      </w:r>
    </w:p>
    <w:p>
      <w:pPr>
        <w:pStyle w:val="BodyText"/>
        <w:spacing w:before="1"/>
        <w:rPr>
          <w:i/>
        </w:rPr>
      </w:pPr>
    </w:p>
    <w:p>
      <w:pPr>
        <w:pStyle w:val="BodyText"/>
        <w:spacing w:line="244" w:lineRule="auto" w:before="1"/>
        <w:ind w:left="102" w:right="116"/>
        <w:jc w:val="both"/>
      </w:pPr>
      <w:r>
        <w:rPr>
          <w:color w:val="231F20"/>
        </w:rPr>
        <w:t>En la medida en que el Mundo de la Vida, dice Habermas, evoluciona y se diferencia, el Sistema lo coloniza de una manera violenta. Estos hechos demandan un análisis de ese Sistema; sin embargo (Habermas advierte) no debe confundirse Sistema con Mundo de la Vida ni omitirse uno u</w:t>
      </w:r>
      <w:r>
        <w:rPr>
          <w:color w:val="231F20"/>
          <w:spacing w:val="52"/>
        </w:rPr>
        <w:t> </w:t>
      </w:r>
      <w:r>
        <w:rPr>
          <w:color w:val="231F20"/>
        </w:rPr>
        <w:t>otro.</w:t>
      </w:r>
    </w:p>
    <w:p>
      <w:pPr>
        <w:pStyle w:val="BodyText"/>
        <w:spacing w:line="247" w:lineRule="auto" w:before="18"/>
        <w:ind w:left="102" w:right="115" w:firstLine="284"/>
        <w:jc w:val="both"/>
      </w:pPr>
      <w:r>
        <w:rPr>
          <w:color w:val="231F20"/>
          <w:spacing w:val="2"/>
        </w:rPr>
        <w:t>Las dos categorías tienen importancia fundamental, </w:t>
      </w:r>
      <w:r>
        <w:rPr>
          <w:color w:val="231F20"/>
        </w:rPr>
        <w:t>y  </w:t>
      </w:r>
      <w:r>
        <w:rPr>
          <w:color w:val="231F20"/>
          <w:spacing w:val="2"/>
        </w:rPr>
        <w:t>deben  </w:t>
      </w:r>
      <w:r>
        <w:rPr>
          <w:color w:val="231F20"/>
        </w:rPr>
        <w:t>ser </w:t>
      </w:r>
      <w:r>
        <w:rPr>
          <w:color w:val="231F20"/>
          <w:spacing w:val="3"/>
        </w:rPr>
        <w:t>tomadas “ambas”en </w:t>
      </w:r>
      <w:r>
        <w:rPr>
          <w:color w:val="231F20"/>
          <w:spacing w:val="2"/>
        </w:rPr>
        <w:t>cuenta. Para desarrollar este </w:t>
      </w:r>
      <w:r>
        <w:rPr>
          <w:color w:val="231F20"/>
          <w:spacing w:val="3"/>
        </w:rPr>
        <w:t>punto </w:t>
      </w:r>
      <w:r>
        <w:rPr>
          <w:color w:val="231F20"/>
        </w:rPr>
        <w:t>y </w:t>
      </w:r>
      <w:r>
        <w:rPr>
          <w:color w:val="231F20"/>
          <w:spacing w:val="3"/>
        </w:rPr>
        <w:t>confrontar </w:t>
      </w:r>
      <w:r>
        <w:rPr>
          <w:color w:val="231F20"/>
          <w:spacing w:val="2"/>
        </w:rPr>
        <w:t>los </w:t>
      </w:r>
      <w:r>
        <w:rPr>
          <w:color w:val="231F20"/>
          <w:spacing w:val="3"/>
        </w:rPr>
        <w:t>conceptos </w:t>
      </w:r>
      <w:r>
        <w:rPr>
          <w:color w:val="231F20"/>
          <w:spacing w:val="2"/>
        </w:rPr>
        <w:t>pertenecientes </w:t>
      </w:r>
      <w:r>
        <w:rPr>
          <w:color w:val="231F20"/>
        </w:rPr>
        <w:t>a </w:t>
      </w:r>
      <w:r>
        <w:rPr>
          <w:color w:val="231F20"/>
          <w:spacing w:val="2"/>
        </w:rPr>
        <w:t>Sistema, </w:t>
      </w:r>
      <w:r>
        <w:rPr>
          <w:color w:val="231F20"/>
        </w:rPr>
        <w:t>así </w:t>
      </w:r>
      <w:r>
        <w:rPr>
          <w:color w:val="231F20"/>
          <w:spacing w:val="3"/>
        </w:rPr>
        <w:t>como </w:t>
      </w:r>
      <w:r>
        <w:rPr>
          <w:color w:val="231F20"/>
          <w:spacing w:val="2"/>
        </w:rPr>
        <w:t>para </w:t>
      </w:r>
      <w:r>
        <w:rPr>
          <w:color w:val="231F20"/>
          <w:spacing w:val="3"/>
        </w:rPr>
        <w:t>tomar </w:t>
      </w:r>
      <w:r>
        <w:rPr>
          <w:color w:val="231F20"/>
        </w:rPr>
        <w:t>en </w:t>
      </w:r>
      <w:r>
        <w:rPr>
          <w:color w:val="231F20"/>
          <w:spacing w:val="2"/>
        </w:rPr>
        <w:t>cuenta </w:t>
      </w:r>
      <w:r>
        <w:rPr>
          <w:color w:val="231F20"/>
        </w:rPr>
        <w:t>la </w:t>
      </w:r>
      <w:r>
        <w:rPr>
          <w:color w:val="231F20"/>
          <w:spacing w:val="2"/>
        </w:rPr>
        <w:t>acción social </w:t>
      </w:r>
      <w:r>
        <w:rPr>
          <w:color w:val="231F20"/>
        </w:rPr>
        <w:t>y </w:t>
      </w:r>
      <w:r>
        <w:rPr>
          <w:color w:val="231F20"/>
          <w:spacing w:val="2"/>
        </w:rPr>
        <w:t>regresar </w:t>
      </w:r>
      <w:r>
        <w:rPr>
          <w:color w:val="231F20"/>
        </w:rPr>
        <w:t>a </w:t>
      </w:r>
      <w:r>
        <w:rPr>
          <w:color w:val="231F20"/>
          <w:spacing w:val="2"/>
        </w:rPr>
        <w:t>Marx, </w:t>
      </w:r>
      <w:r>
        <w:rPr>
          <w:color w:val="231F20"/>
          <w:spacing w:val="3"/>
        </w:rPr>
        <w:t>Habermas</w:t>
      </w:r>
      <w:r>
        <w:rPr>
          <w:color w:val="231F20"/>
          <w:spacing w:val="58"/>
        </w:rPr>
        <w:t> </w:t>
      </w:r>
      <w:r>
        <w:rPr>
          <w:color w:val="231F20"/>
          <w:spacing w:val="2"/>
        </w:rPr>
        <w:t>sigue</w:t>
      </w:r>
      <w:r>
        <w:rPr>
          <w:color w:val="231F20"/>
          <w:spacing w:val="-17"/>
        </w:rPr>
        <w:t> </w:t>
      </w:r>
      <w:r>
        <w:rPr>
          <w:color w:val="231F20"/>
        </w:rPr>
        <w:t>la</w:t>
      </w:r>
      <w:r>
        <w:rPr>
          <w:color w:val="231F20"/>
          <w:spacing w:val="-17"/>
        </w:rPr>
        <w:t> </w:t>
      </w:r>
      <w:r>
        <w:rPr>
          <w:color w:val="231F20"/>
          <w:spacing w:val="2"/>
        </w:rPr>
        <w:t>línea</w:t>
      </w:r>
      <w:r>
        <w:rPr>
          <w:color w:val="231F20"/>
          <w:spacing w:val="-17"/>
        </w:rPr>
        <w:t> </w:t>
      </w:r>
      <w:r>
        <w:rPr>
          <w:color w:val="231F20"/>
          <w:spacing w:val="2"/>
        </w:rPr>
        <w:t>argumentativa</w:t>
      </w:r>
      <w:r>
        <w:rPr>
          <w:color w:val="231F20"/>
          <w:spacing w:val="-17"/>
        </w:rPr>
        <w:t> </w:t>
      </w:r>
      <w:r>
        <w:rPr>
          <w:color w:val="231F20"/>
          <w:spacing w:val="3"/>
        </w:rPr>
        <w:t>siguiente:</w:t>
      </w:r>
    </w:p>
    <w:p>
      <w:pPr>
        <w:pStyle w:val="BodyText"/>
        <w:spacing w:line="249" w:lineRule="auto" w:before="1"/>
        <w:ind w:left="102" w:right="114" w:firstLine="284"/>
        <w:jc w:val="both"/>
      </w:pPr>
      <w:r>
        <w:rPr>
          <w:color w:val="231F20"/>
        </w:rPr>
        <w:t>Habermas condiciona la aparición de una colonización del Mundo de la Vida a la separación definida en los componentes estructurales de este: la cultura, la sociedad y la personalidad, en cuyo contexto el Sistema compensa a los sujetos con trabajo asalariado y capacidad de voto, y en cuando  en  lo  económico estos sujetos se relacionan estratégicamente como clientes y consumidores.</w:t>
      </w:r>
    </w:p>
    <w:p>
      <w:pPr>
        <w:pStyle w:val="BodyText"/>
        <w:spacing w:line="247" w:lineRule="auto"/>
        <w:ind w:left="102" w:right="119" w:firstLine="284"/>
        <w:jc w:val="both"/>
      </w:pPr>
      <w:r>
        <w:rPr>
          <w:color w:val="231F20"/>
          <w:spacing w:val="2"/>
        </w:rPr>
        <w:t>De acuerdo </w:t>
      </w:r>
      <w:r>
        <w:rPr>
          <w:color w:val="231F20"/>
        </w:rPr>
        <w:t>con el </w:t>
      </w:r>
      <w:r>
        <w:rPr>
          <w:color w:val="231F20"/>
          <w:spacing w:val="2"/>
        </w:rPr>
        <w:t>autor, todo </w:t>
      </w:r>
      <w:r>
        <w:rPr>
          <w:color w:val="231F20"/>
        </w:rPr>
        <w:t>ello </w:t>
      </w:r>
      <w:r>
        <w:rPr>
          <w:color w:val="231F20"/>
          <w:spacing w:val="2"/>
        </w:rPr>
        <w:t>sucede </w:t>
      </w:r>
      <w:r>
        <w:rPr>
          <w:color w:val="231F20"/>
        </w:rPr>
        <w:t>en </w:t>
      </w:r>
      <w:r>
        <w:rPr>
          <w:color w:val="231F20"/>
          <w:spacing w:val="2"/>
        </w:rPr>
        <w:t>ámbitos que </w:t>
      </w:r>
      <w:r>
        <w:rPr>
          <w:color w:val="231F20"/>
        </w:rPr>
        <w:t>se  </w:t>
      </w:r>
      <w:r>
        <w:rPr>
          <w:color w:val="231F20"/>
          <w:spacing w:val="2"/>
        </w:rPr>
        <w:t>han constituido </w:t>
      </w:r>
      <w:r>
        <w:rPr>
          <w:color w:val="231F20"/>
          <w:spacing w:val="3"/>
        </w:rPr>
        <w:t>formalmente </w:t>
      </w:r>
      <w:r>
        <w:rPr>
          <w:color w:val="231F20"/>
        </w:rPr>
        <w:t>en </w:t>
      </w:r>
      <w:r>
        <w:rPr>
          <w:color w:val="231F20"/>
          <w:spacing w:val="2"/>
        </w:rPr>
        <w:t>organizaciones;  </w:t>
      </w:r>
      <w:r>
        <w:rPr>
          <w:color w:val="231F20"/>
        </w:rPr>
        <w:t>de  </w:t>
      </w:r>
      <w:r>
        <w:rPr>
          <w:color w:val="231F20"/>
          <w:spacing w:val="2"/>
        </w:rPr>
        <w:t>ahí  </w:t>
      </w:r>
      <w:r>
        <w:rPr>
          <w:color w:val="231F20"/>
        </w:rPr>
        <w:t>que </w:t>
      </w:r>
      <w:r>
        <w:rPr>
          <w:color w:val="231F20"/>
          <w:spacing w:val="3"/>
        </w:rPr>
        <w:t>adopte </w:t>
      </w:r>
      <w:r>
        <w:rPr>
          <w:color w:val="231F20"/>
        </w:rPr>
        <w:t>el </w:t>
      </w:r>
      <w:r>
        <w:rPr>
          <w:color w:val="231F20"/>
          <w:spacing w:val="2"/>
        </w:rPr>
        <w:t>ejemplo </w:t>
      </w:r>
      <w:r>
        <w:rPr>
          <w:color w:val="231F20"/>
        </w:rPr>
        <w:t>de la </w:t>
      </w:r>
      <w:r>
        <w:rPr>
          <w:color w:val="231F20"/>
          <w:spacing w:val="2"/>
        </w:rPr>
        <w:t>juridización para ilustrar los efectos </w:t>
      </w:r>
      <w:r>
        <w:rPr>
          <w:color w:val="231F20"/>
        </w:rPr>
        <w:t>de la </w:t>
      </w:r>
      <w:r>
        <w:rPr>
          <w:color w:val="231F20"/>
          <w:spacing w:val="2"/>
        </w:rPr>
        <w:t>colonización del </w:t>
      </w:r>
      <w:r>
        <w:rPr>
          <w:color w:val="231F20"/>
          <w:spacing w:val="3"/>
        </w:rPr>
        <w:t>Mundo </w:t>
      </w:r>
      <w:r>
        <w:rPr>
          <w:color w:val="231F20"/>
        </w:rPr>
        <w:t>de la </w:t>
      </w:r>
      <w:r>
        <w:rPr>
          <w:color w:val="231F20"/>
          <w:spacing w:val="2"/>
        </w:rPr>
        <w:t>Vida. Así, distingue </w:t>
      </w:r>
      <w:r>
        <w:rPr>
          <w:i/>
          <w:color w:val="231F20"/>
          <w:spacing w:val="2"/>
        </w:rPr>
        <w:t>grosso modo </w:t>
      </w:r>
      <w:r>
        <w:rPr>
          <w:color w:val="231F20"/>
          <w:spacing w:val="2"/>
        </w:rPr>
        <w:t>cuatro etapas </w:t>
      </w:r>
      <w:r>
        <w:rPr>
          <w:color w:val="231F20"/>
        </w:rPr>
        <w:t>de </w:t>
      </w:r>
      <w:r>
        <w:rPr>
          <w:color w:val="231F20"/>
          <w:spacing w:val="2"/>
        </w:rPr>
        <w:t>jurisdicción, </w:t>
      </w:r>
      <w:r>
        <w:rPr>
          <w:color w:val="231F20"/>
        </w:rPr>
        <w:t>que </w:t>
      </w:r>
      <w:r>
        <w:rPr>
          <w:color w:val="231F20"/>
          <w:spacing w:val="2"/>
        </w:rPr>
        <w:t>coinciden sucesivamente con </w:t>
      </w:r>
      <w:r>
        <w:rPr>
          <w:color w:val="231F20"/>
        </w:rPr>
        <w:t>el </w:t>
      </w:r>
      <w:r>
        <w:rPr>
          <w:color w:val="231F20"/>
          <w:spacing w:val="3"/>
        </w:rPr>
        <w:t>Absolutismo, </w:t>
      </w:r>
      <w:r>
        <w:rPr>
          <w:color w:val="231F20"/>
        </w:rPr>
        <w:t>el </w:t>
      </w:r>
      <w:r>
        <w:rPr>
          <w:color w:val="231F20"/>
          <w:spacing w:val="2"/>
        </w:rPr>
        <w:t>Estado </w:t>
      </w:r>
      <w:r>
        <w:rPr>
          <w:color w:val="231F20"/>
        </w:rPr>
        <w:t>de </w:t>
      </w:r>
      <w:r>
        <w:rPr>
          <w:color w:val="231F20"/>
          <w:spacing w:val="3"/>
        </w:rPr>
        <w:t>Derecho, </w:t>
      </w:r>
      <w:r>
        <w:rPr>
          <w:color w:val="231F20"/>
        </w:rPr>
        <w:t>el </w:t>
      </w:r>
      <w:r>
        <w:rPr>
          <w:color w:val="231F20"/>
          <w:spacing w:val="2"/>
        </w:rPr>
        <w:t>Estado </w:t>
      </w:r>
      <w:r>
        <w:rPr>
          <w:color w:val="231F20"/>
          <w:spacing w:val="3"/>
        </w:rPr>
        <w:t>Democrático </w:t>
      </w:r>
      <w:r>
        <w:rPr>
          <w:color w:val="231F20"/>
        </w:rPr>
        <w:t>de </w:t>
      </w:r>
      <w:r>
        <w:rPr>
          <w:color w:val="231F20"/>
          <w:spacing w:val="2"/>
        </w:rPr>
        <w:t>Derecho </w:t>
      </w:r>
      <w:r>
        <w:rPr>
          <w:color w:val="231F20"/>
        </w:rPr>
        <w:t>y por </w:t>
      </w:r>
      <w:r>
        <w:rPr>
          <w:color w:val="231F20"/>
          <w:spacing w:val="2"/>
        </w:rPr>
        <w:t>último </w:t>
      </w:r>
      <w:r>
        <w:rPr>
          <w:color w:val="231F20"/>
        </w:rPr>
        <w:t>el </w:t>
      </w:r>
      <w:r>
        <w:rPr>
          <w:color w:val="231F20"/>
          <w:spacing w:val="2"/>
        </w:rPr>
        <w:t>Estado Social </w:t>
      </w:r>
      <w:r>
        <w:rPr>
          <w:color w:val="231F20"/>
        </w:rPr>
        <w:t>y </w:t>
      </w:r>
      <w:r>
        <w:rPr>
          <w:color w:val="231F20"/>
          <w:spacing w:val="3"/>
        </w:rPr>
        <w:t>Democrático </w:t>
      </w:r>
      <w:r>
        <w:rPr>
          <w:color w:val="231F20"/>
        </w:rPr>
        <w:t>de </w:t>
      </w:r>
      <w:r>
        <w:rPr>
          <w:color w:val="231F20"/>
          <w:spacing w:val="2"/>
        </w:rPr>
        <w:t>Derecho </w:t>
      </w:r>
      <w:r>
        <w:rPr>
          <w:color w:val="231F20"/>
          <w:spacing w:val="3"/>
        </w:rPr>
        <w:t>(Habermas, </w:t>
      </w:r>
      <w:r>
        <w:rPr>
          <w:color w:val="231F20"/>
          <w:spacing w:val="2"/>
        </w:rPr>
        <w:t>2001,tomo </w:t>
      </w:r>
      <w:r>
        <w:rPr>
          <w:color w:val="231F20"/>
        </w:rPr>
        <w:t>II:</w:t>
      </w:r>
      <w:r>
        <w:rPr>
          <w:color w:val="231F20"/>
          <w:spacing w:val="3"/>
        </w:rPr>
        <w:t> </w:t>
      </w:r>
      <w:r>
        <w:rPr>
          <w:color w:val="231F20"/>
          <w:spacing w:val="2"/>
        </w:rPr>
        <w:t>505).</w:t>
      </w:r>
    </w:p>
    <w:p>
      <w:pPr>
        <w:pStyle w:val="BodyText"/>
        <w:spacing w:line="247" w:lineRule="auto" w:before="6"/>
        <w:ind w:left="102" w:right="118" w:firstLine="284"/>
        <w:jc w:val="both"/>
      </w:pPr>
      <w:r>
        <w:rPr>
          <w:color w:val="231F20"/>
        </w:rPr>
        <w:t>En el Absolutismo, primera etapa de jurisdicción, se institucionalizan los medios sistémicos del dinero y el poder en la Economía y  el  Estado. Así, dice el  autor, surge del primero     un</w:t>
      </w:r>
    </w:p>
    <w:p>
      <w:pPr>
        <w:spacing w:after="0" w:line="247" w:lineRule="auto"/>
        <w:jc w:val="both"/>
        <w:sectPr>
          <w:headerReference w:type="default" r:id="rId554"/>
          <w:footerReference w:type="default" r:id="rId555"/>
          <w:pgSz w:w="7830" w:h="11910"/>
          <w:pgMar w:header="0" w:footer="424" w:top="500" w:bottom="620" w:left="920" w:right="900"/>
          <w:pgNumType w:start="24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8"/>
        <w:jc w:val="both"/>
      </w:pPr>
      <w:r>
        <w:rPr>
          <w:color w:val="231F20"/>
          <w:spacing w:val="2"/>
        </w:rPr>
        <w:t>Derecho Privado que regula </w:t>
      </w:r>
      <w:r>
        <w:rPr>
          <w:color w:val="231F20"/>
        </w:rPr>
        <w:t>la </w:t>
      </w:r>
      <w:r>
        <w:rPr>
          <w:color w:val="231F20"/>
          <w:spacing w:val="2"/>
        </w:rPr>
        <w:t>interacción estratégica </w:t>
      </w:r>
      <w:r>
        <w:rPr>
          <w:color w:val="231F20"/>
        </w:rPr>
        <w:t>de los  </w:t>
      </w:r>
      <w:r>
        <w:rPr>
          <w:color w:val="231F20"/>
          <w:spacing w:val="2"/>
        </w:rPr>
        <w:t>sujetos </w:t>
      </w:r>
      <w:r>
        <w:rPr>
          <w:color w:val="231F20"/>
        </w:rPr>
        <w:t>en el </w:t>
      </w:r>
      <w:r>
        <w:rPr>
          <w:color w:val="231F20"/>
          <w:spacing w:val="3"/>
        </w:rPr>
        <w:t>mercado, </w:t>
      </w:r>
      <w:r>
        <w:rPr>
          <w:color w:val="231F20"/>
          <w:spacing w:val="2"/>
        </w:rPr>
        <w:t>mientras </w:t>
      </w:r>
      <w:r>
        <w:rPr>
          <w:color w:val="231F20"/>
        </w:rPr>
        <w:t>que el </w:t>
      </w:r>
      <w:r>
        <w:rPr>
          <w:color w:val="231F20"/>
          <w:spacing w:val="3"/>
        </w:rPr>
        <w:t>Derecho </w:t>
      </w:r>
      <w:r>
        <w:rPr>
          <w:color w:val="231F20"/>
          <w:spacing w:val="2"/>
        </w:rPr>
        <w:t>Público hace </w:t>
      </w:r>
      <w:r>
        <w:rPr>
          <w:color w:val="231F20"/>
        </w:rPr>
        <w:t>lo </w:t>
      </w:r>
      <w:r>
        <w:rPr>
          <w:color w:val="231F20"/>
          <w:spacing w:val="2"/>
        </w:rPr>
        <w:t>propio </w:t>
      </w:r>
      <w:r>
        <w:rPr>
          <w:color w:val="231F20"/>
        </w:rPr>
        <w:t>en el </w:t>
      </w:r>
      <w:r>
        <w:rPr>
          <w:color w:val="231F20"/>
          <w:spacing w:val="2"/>
        </w:rPr>
        <w:t>ámbito </w:t>
      </w:r>
      <w:r>
        <w:rPr>
          <w:color w:val="231F20"/>
          <w:spacing w:val="3"/>
        </w:rPr>
        <w:t>concerniente </w:t>
      </w:r>
      <w:r>
        <w:rPr>
          <w:color w:val="231F20"/>
        </w:rPr>
        <w:t>al </w:t>
      </w:r>
      <w:r>
        <w:rPr>
          <w:color w:val="231F20"/>
          <w:spacing w:val="2"/>
        </w:rPr>
        <w:t>Estado, </w:t>
      </w:r>
      <w:r>
        <w:rPr>
          <w:color w:val="231F20"/>
        </w:rPr>
        <w:t>lo </w:t>
      </w:r>
      <w:r>
        <w:rPr>
          <w:color w:val="231F20"/>
          <w:spacing w:val="2"/>
        </w:rPr>
        <w:t>cual </w:t>
      </w:r>
      <w:r>
        <w:rPr>
          <w:color w:val="231F20"/>
        </w:rPr>
        <w:t>lleva a la </w:t>
      </w:r>
      <w:r>
        <w:rPr>
          <w:color w:val="231F20"/>
          <w:spacing w:val="2"/>
        </w:rPr>
        <w:t>aparición </w:t>
      </w:r>
      <w:r>
        <w:rPr>
          <w:color w:val="231F20"/>
        </w:rPr>
        <w:t>de la </w:t>
      </w:r>
      <w:r>
        <w:rPr>
          <w:color w:val="231F20"/>
          <w:spacing w:val="2"/>
        </w:rPr>
        <w:t>Sociedad Civil. </w:t>
      </w:r>
      <w:r>
        <w:rPr>
          <w:color w:val="231F20"/>
          <w:spacing w:val="3"/>
        </w:rPr>
        <w:t>Habermas </w:t>
      </w:r>
      <w:r>
        <w:rPr>
          <w:color w:val="231F20"/>
          <w:spacing w:val="2"/>
        </w:rPr>
        <w:t>refiere </w:t>
      </w:r>
      <w:r>
        <w:rPr>
          <w:color w:val="231F20"/>
        </w:rPr>
        <w:t>a la </w:t>
      </w:r>
      <w:r>
        <w:rPr>
          <w:color w:val="231F20"/>
          <w:spacing w:val="2"/>
        </w:rPr>
        <w:t>Teoría del Estado </w:t>
      </w:r>
      <w:r>
        <w:rPr>
          <w:color w:val="231F20"/>
        </w:rPr>
        <w:t>de </w:t>
      </w:r>
      <w:r>
        <w:rPr>
          <w:color w:val="231F20"/>
          <w:spacing w:val="3"/>
        </w:rPr>
        <w:t>Hobbes como </w:t>
      </w:r>
      <w:r>
        <w:rPr>
          <w:color w:val="231F20"/>
          <w:spacing w:val="2"/>
        </w:rPr>
        <w:t>ejemplo </w:t>
      </w:r>
      <w:r>
        <w:rPr>
          <w:color w:val="231F20"/>
          <w:spacing w:val="3"/>
        </w:rPr>
        <w:t>emblemático: </w:t>
      </w:r>
      <w:r>
        <w:rPr>
          <w:color w:val="231F20"/>
        </w:rPr>
        <w:t>en </w:t>
      </w:r>
      <w:r>
        <w:rPr>
          <w:color w:val="231F20"/>
          <w:spacing w:val="2"/>
        </w:rPr>
        <w:t>esta versión, mientras Hobbes define </w:t>
      </w:r>
      <w:r>
        <w:rPr>
          <w:color w:val="231F20"/>
        </w:rPr>
        <w:t>a la </w:t>
      </w:r>
      <w:r>
        <w:rPr>
          <w:color w:val="231F20"/>
          <w:spacing w:val="2"/>
        </w:rPr>
        <w:t>Sociedad Civil </w:t>
      </w:r>
      <w:r>
        <w:rPr>
          <w:color w:val="231F20"/>
        </w:rPr>
        <w:t>en el </w:t>
      </w:r>
      <w:r>
        <w:rPr>
          <w:color w:val="231F20"/>
          <w:spacing w:val="2"/>
        </w:rPr>
        <w:t>Estado, deja </w:t>
      </w:r>
      <w:r>
        <w:rPr>
          <w:color w:val="231F20"/>
        </w:rPr>
        <w:t>ver </w:t>
      </w:r>
      <w:r>
        <w:rPr>
          <w:color w:val="231F20"/>
          <w:spacing w:val="3"/>
        </w:rPr>
        <w:t>negativamente </w:t>
      </w:r>
      <w:r>
        <w:rPr>
          <w:color w:val="231F20"/>
        </w:rPr>
        <w:t>el </w:t>
      </w:r>
      <w:r>
        <w:rPr>
          <w:color w:val="231F20"/>
          <w:spacing w:val="3"/>
        </w:rPr>
        <w:t>Mundo </w:t>
      </w:r>
      <w:r>
        <w:rPr>
          <w:color w:val="231F20"/>
        </w:rPr>
        <w:t>de la </w:t>
      </w:r>
      <w:r>
        <w:rPr>
          <w:color w:val="231F20"/>
          <w:spacing w:val="2"/>
        </w:rPr>
        <w:t>Vida: </w:t>
      </w:r>
      <w:r>
        <w:rPr>
          <w:color w:val="231F20"/>
        </w:rPr>
        <w:t>lo que </w:t>
      </w:r>
      <w:r>
        <w:rPr>
          <w:color w:val="231F20"/>
          <w:spacing w:val="3"/>
        </w:rPr>
        <w:t>permanece </w:t>
      </w:r>
      <w:r>
        <w:rPr>
          <w:color w:val="231F20"/>
          <w:spacing w:val="2"/>
        </w:rPr>
        <w:t>fuera </w:t>
      </w:r>
      <w:r>
        <w:rPr>
          <w:color w:val="231F20"/>
        </w:rPr>
        <w:t>del </w:t>
      </w:r>
      <w:r>
        <w:rPr>
          <w:color w:val="231F20"/>
          <w:spacing w:val="3"/>
        </w:rPr>
        <w:t>Derecho </w:t>
      </w:r>
      <w:r>
        <w:rPr>
          <w:color w:val="231F20"/>
        </w:rPr>
        <w:t>y que </w:t>
      </w:r>
      <w:r>
        <w:rPr>
          <w:color w:val="231F20"/>
          <w:spacing w:val="2"/>
        </w:rPr>
        <w:t>resulta </w:t>
      </w:r>
      <w:r>
        <w:rPr>
          <w:color w:val="231F20"/>
          <w:spacing w:val="3"/>
        </w:rPr>
        <w:t>indispensable </w:t>
      </w:r>
      <w:r>
        <w:rPr>
          <w:color w:val="231F20"/>
          <w:spacing w:val="2"/>
        </w:rPr>
        <w:t>para </w:t>
      </w:r>
      <w:r>
        <w:rPr>
          <w:color w:val="231F20"/>
        </w:rPr>
        <w:t>el </w:t>
      </w:r>
      <w:r>
        <w:rPr>
          <w:color w:val="231F20"/>
          <w:spacing w:val="3"/>
        </w:rPr>
        <w:t>Estado, </w:t>
      </w:r>
      <w:r>
        <w:rPr>
          <w:color w:val="231F20"/>
          <w:spacing w:val="2"/>
        </w:rPr>
        <w:t>por cuanto </w:t>
      </w:r>
      <w:r>
        <w:rPr>
          <w:color w:val="231F20"/>
        </w:rPr>
        <w:t>le da</w:t>
      </w:r>
      <w:r>
        <w:rPr>
          <w:color w:val="231F20"/>
          <w:spacing w:val="-27"/>
        </w:rPr>
        <w:t> </w:t>
      </w:r>
      <w:r>
        <w:rPr>
          <w:color w:val="231F20"/>
          <w:spacing w:val="2"/>
        </w:rPr>
        <w:t>legitimidad.</w:t>
      </w:r>
    </w:p>
    <w:p>
      <w:pPr>
        <w:pStyle w:val="BodyText"/>
        <w:spacing w:line="247" w:lineRule="auto"/>
        <w:ind w:left="102" w:right="120" w:firstLine="284"/>
        <w:jc w:val="both"/>
      </w:pPr>
      <w:r>
        <w:rPr>
          <w:color w:val="231F20"/>
        </w:rPr>
        <w:t>Las estructuras del Mundo de la Vida cambian así hacia la colonización por los medios sistémicos, se adaptan a estos y evolucionan hacia etapas más modernas.</w:t>
      </w:r>
    </w:p>
    <w:p>
      <w:pPr>
        <w:pStyle w:val="BodyText"/>
        <w:spacing w:line="249" w:lineRule="auto" w:before="1"/>
        <w:ind w:left="101" w:right="115" w:firstLine="284"/>
        <w:jc w:val="both"/>
      </w:pPr>
      <w:r>
        <w:rPr>
          <w:color w:val="231F20"/>
          <w:spacing w:val="2"/>
        </w:rPr>
        <w:t>Según </w:t>
      </w:r>
      <w:r>
        <w:rPr>
          <w:color w:val="231F20"/>
          <w:spacing w:val="3"/>
        </w:rPr>
        <w:t>Habermas, </w:t>
      </w:r>
      <w:r>
        <w:rPr>
          <w:color w:val="231F20"/>
        </w:rPr>
        <w:t>en el </w:t>
      </w:r>
      <w:r>
        <w:rPr>
          <w:color w:val="231F20"/>
          <w:spacing w:val="2"/>
        </w:rPr>
        <w:t>Estado </w:t>
      </w:r>
      <w:r>
        <w:rPr>
          <w:color w:val="231F20"/>
        </w:rPr>
        <w:t>de </w:t>
      </w:r>
      <w:r>
        <w:rPr>
          <w:color w:val="231F20"/>
          <w:spacing w:val="3"/>
        </w:rPr>
        <w:t>Derecho, </w:t>
      </w:r>
      <w:r>
        <w:rPr>
          <w:color w:val="231F20"/>
          <w:spacing w:val="2"/>
        </w:rPr>
        <w:t>segunda fase, </w:t>
      </w:r>
      <w:r>
        <w:rPr>
          <w:color w:val="231F20"/>
        </w:rPr>
        <w:t>el </w:t>
      </w:r>
      <w:r>
        <w:rPr>
          <w:color w:val="231F20"/>
          <w:spacing w:val="3"/>
        </w:rPr>
        <w:t>Mundo </w:t>
      </w:r>
      <w:r>
        <w:rPr>
          <w:color w:val="231F20"/>
        </w:rPr>
        <w:t>de la </w:t>
      </w:r>
      <w:r>
        <w:rPr>
          <w:color w:val="231F20"/>
          <w:spacing w:val="2"/>
        </w:rPr>
        <w:t>Vida, tratado </w:t>
      </w:r>
      <w:r>
        <w:rPr>
          <w:color w:val="231F20"/>
        </w:rPr>
        <w:t>en la </w:t>
      </w:r>
      <w:r>
        <w:rPr>
          <w:color w:val="231F20"/>
          <w:spacing w:val="2"/>
        </w:rPr>
        <w:t>etapa anterior </w:t>
      </w:r>
      <w:r>
        <w:rPr>
          <w:color w:val="231F20"/>
        </w:rPr>
        <w:t>sin </w:t>
      </w:r>
      <w:r>
        <w:rPr>
          <w:color w:val="231F20"/>
          <w:spacing w:val="2"/>
        </w:rPr>
        <w:t>ningún </w:t>
      </w:r>
      <w:r>
        <w:rPr>
          <w:color w:val="231F20"/>
          <w:spacing w:val="3"/>
        </w:rPr>
        <w:t>orden,   </w:t>
      </w:r>
      <w:r>
        <w:rPr>
          <w:color w:val="231F20"/>
        </w:rPr>
        <w:t>es </w:t>
      </w:r>
      <w:r>
        <w:rPr>
          <w:color w:val="231F20"/>
          <w:spacing w:val="2"/>
        </w:rPr>
        <w:t>ahora objeto </w:t>
      </w:r>
      <w:r>
        <w:rPr>
          <w:color w:val="231F20"/>
        </w:rPr>
        <w:t>de </w:t>
      </w:r>
      <w:r>
        <w:rPr>
          <w:color w:val="231F20"/>
          <w:spacing w:val="3"/>
        </w:rPr>
        <w:t>protección. Aunque </w:t>
      </w:r>
      <w:r>
        <w:rPr>
          <w:color w:val="231F20"/>
        </w:rPr>
        <w:t>se </w:t>
      </w:r>
      <w:r>
        <w:rPr>
          <w:color w:val="231F20"/>
          <w:spacing w:val="2"/>
        </w:rPr>
        <w:t>sigue </w:t>
      </w:r>
      <w:r>
        <w:rPr>
          <w:color w:val="231F20"/>
          <w:spacing w:val="3"/>
        </w:rPr>
        <w:t>padeciendo </w:t>
      </w:r>
      <w:r>
        <w:rPr>
          <w:color w:val="231F20"/>
        </w:rPr>
        <w:t>el </w:t>
      </w:r>
      <w:r>
        <w:rPr>
          <w:color w:val="231F20"/>
          <w:spacing w:val="2"/>
        </w:rPr>
        <w:t>poder, aparece </w:t>
      </w:r>
      <w:r>
        <w:rPr>
          <w:color w:val="231F20"/>
        </w:rPr>
        <w:t>la </w:t>
      </w:r>
      <w:r>
        <w:rPr>
          <w:color w:val="231F20"/>
          <w:spacing w:val="2"/>
        </w:rPr>
        <w:t>figura </w:t>
      </w:r>
      <w:r>
        <w:rPr>
          <w:color w:val="231F20"/>
        </w:rPr>
        <w:t>del </w:t>
      </w:r>
      <w:r>
        <w:rPr>
          <w:color w:val="231F20"/>
          <w:spacing w:val="2"/>
        </w:rPr>
        <w:t>ciudadano frente </w:t>
      </w:r>
      <w:r>
        <w:rPr>
          <w:color w:val="231F20"/>
        </w:rPr>
        <w:t>al </w:t>
      </w:r>
      <w:r>
        <w:rPr>
          <w:color w:val="231F20"/>
          <w:spacing w:val="2"/>
        </w:rPr>
        <w:t>poder </w:t>
      </w:r>
      <w:r>
        <w:rPr>
          <w:color w:val="231F20"/>
          <w:spacing w:val="3"/>
        </w:rPr>
        <w:t>soberano; </w:t>
      </w:r>
      <w:r>
        <w:rPr>
          <w:color w:val="231F20"/>
        </w:rPr>
        <w:t>se </w:t>
      </w:r>
      <w:r>
        <w:rPr>
          <w:color w:val="231F20"/>
          <w:spacing w:val="2"/>
        </w:rPr>
        <w:t>trata </w:t>
      </w:r>
      <w:r>
        <w:rPr>
          <w:color w:val="231F20"/>
        </w:rPr>
        <w:t>de un </w:t>
      </w:r>
      <w:r>
        <w:rPr>
          <w:color w:val="231F20"/>
          <w:spacing w:val="3"/>
        </w:rPr>
        <w:t>Mundo </w:t>
      </w:r>
      <w:r>
        <w:rPr>
          <w:color w:val="231F20"/>
        </w:rPr>
        <w:t>de la </w:t>
      </w:r>
      <w:r>
        <w:rPr>
          <w:color w:val="231F20"/>
          <w:spacing w:val="2"/>
        </w:rPr>
        <w:t>Vida </w:t>
      </w:r>
      <w:r>
        <w:rPr>
          <w:color w:val="231F20"/>
          <w:spacing w:val="3"/>
        </w:rPr>
        <w:t>moderno </w:t>
      </w:r>
      <w:r>
        <w:rPr>
          <w:color w:val="231F20"/>
        </w:rPr>
        <w:t>y </w:t>
      </w:r>
      <w:r>
        <w:rPr>
          <w:color w:val="231F20"/>
          <w:spacing w:val="3"/>
        </w:rPr>
        <w:t>burgués; </w:t>
      </w:r>
      <w:r>
        <w:rPr>
          <w:color w:val="231F20"/>
          <w:spacing w:val="2"/>
        </w:rPr>
        <w:t>avanza </w:t>
      </w:r>
      <w:r>
        <w:rPr>
          <w:color w:val="231F20"/>
        </w:rPr>
        <w:t>la </w:t>
      </w:r>
      <w:r>
        <w:rPr>
          <w:color w:val="231F20"/>
          <w:spacing w:val="3"/>
        </w:rPr>
        <w:t>colo- </w:t>
      </w:r>
      <w:r>
        <w:rPr>
          <w:color w:val="231F20"/>
          <w:spacing w:val="2"/>
        </w:rPr>
        <w:t>nización </w:t>
      </w:r>
      <w:r>
        <w:rPr>
          <w:color w:val="231F20"/>
        </w:rPr>
        <w:t>de </w:t>
      </w:r>
      <w:r>
        <w:rPr>
          <w:color w:val="231F20"/>
          <w:spacing w:val="2"/>
        </w:rPr>
        <w:t>este por </w:t>
      </w:r>
      <w:r>
        <w:rPr>
          <w:color w:val="231F20"/>
        </w:rPr>
        <w:t>la vía </w:t>
      </w:r>
      <w:r>
        <w:rPr>
          <w:color w:val="231F20"/>
          <w:spacing w:val="2"/>
        </w:rPr>
        <w:t>jurídica, mientras </w:t>
      </w:r>
      <w:r>
        <w:rPr>
          <w:color w:val="231F20"/>
        </w:rPr>
        <w:t>que en el </w:t>
      </w:r>
      <w:r>
        <w:rPr>
          <w:color w:val="231F20"/>
          <w:spacing w:val="2"/>
        </w:rPr>
        <w:t>Estado </w:t>
      </w:r>
      <w:r>
        <w:rPr>
          <w:color w:val="231F20"/>
          <w:spacing w:val="3"/>
        </w:rPr>
        <w:t>democrático </w:t>
      </w:r>
      <w:r>
        <w:rPr>
          <w:color w:val="231F20"/>
        </w:rPr>
        <w:t>de </w:t>
      </w:r>
      <w:r>
        <w:rPr>
          <w:color w:val="231F20"/>
          <w:spacing w:val="3"/>
        </w:rPr>
        <w:t>Derecho </w:t>
      </w:r>
      <w:r>
        <w:rPr>
          <w:color w:val="231F20"/>
          <w:spacing w:val="2"/>
        </w:rPr>
        <w:t>aparecen los </w:t>
      </w:r>
      <w:r>
        <w:rPr>
          <w:color w:val="231F20"/>
          <w:spacing w:val="3"/>
        </w:rPr>
        <w:t>ciudadanos con  </w:t>
      </w:r>
      <w:r>
        <w:rPr>
          <w:color w:val="231F20"/>
          <w:spacing w:val="2"/>
        </w:rPr>
        <w:t>personalidad jurídica </w:t>
      </w:r>
      <w:r>
        <w:rPr>
          <w:color w:val="231F20"/>
        </w:rPr>
        <w:t>de </w:t>
      </w:r>
      <w:r>
        <w:rPr>
          <w:color w:val="231F20"/>
          <w:spacing w:val="2"/>
        </w:rPr>
        <w:t>voto </w:t>
      </w:r>
      <w:r>
        <w:rPr>
          <w:color w:val="231F20"/>
        </w:rPr>
        <w:t>y de </w:t>
      </w:r>
      <w:r>
        <w:rPr>
          <w:color w:val="231F20"/>
          <w:spacing w:val="2"/>
        </w:rPr>
        <w:t>asociación política; ante </w:t>
      </w:r>
      <w:r>
        <w:rPr>
          <w:color w:val="231F20"/>
        </w:rPr>
        <w:t>la ley </w:t>
      </w:r>
      <w:r>
        <w:rPr>
          <w:color w:val="231F20"/>
          <w:spacing w:val="3"/>
        </w:rPr>
        <w:t>somos </w:t>
      </w:r>
      <w:r>
        <w:rPr>
          <w:color w:val="231F20"/>
          <w:spacing w:val="2"/>
        </w:rPr>
        <w:t>iguales </w:t>
      </w:r>
      <w:r>
        <w:rPr>
          <w:color w:val="231F20"/>
        </w:rPr>
        <w:t>y </w:t>
      </w:r>
      <w:r>
        <w:rPr>
          <w:color w:val="231F20"/>
          <w:spacing w:val="2"/>
        </w:rPr>
        <w:t>con los </w:t>
      </w:r>
      <w:r>
        <w:rPr>
          <w:color w:val="231F20"/>
          <w:spacing w:val="3"/>
        </w:rPr>
        <w:t>mismos</w:t>
      </w:r>
      <w:r>
        <w:rPr>
          <w:color w:val="231F20"/>
          <w:spacing w:val="2"/>
        </w:rPr>
        <w:t> derechos.</w:t>
      </w:r>
    </w:p>
    <w:p>
      <w:pPr>
        <w:pStyle w:val="BodyText"/>
        <w:spacing w:line="247" w:lineRule="auto"/>
        <w:ind w:left="101" w:right="116" w:firstLine="284"/>
        <w:jc w:val="both"/>
      </w:pPr>
      <w:r>
        <w:rPr>
          <w:color w:val="231F20"/>
        </w:rPr>
        <w:t>Finalmente, en la fase correspondiente al Estado social y democrático de Derecho se norma la lucha de clases y se “pacifica”. Habermas señala una dinámica que hace al Mundo de la Vida monetarizarse y burocratizarse al mismo tiempo, por la acción del Estado y las luchas reivindicadoras en contra del Sistema. Las políticas sociales de este último se patentizan mediante indemnizaciones monetarias a daños en la persona y regulación de las interacciones en el contexto del Estado</w:t>
      </w:r>
      <w:r>
        <w:rPr>
          <w:color w:val="231F20"/>
          <w:spacing w:val="50"/>
        </w:rPr>
        <w:t> </w:t>
      </w:r>
      <w:r>
        <w:rPr>
          <w:color w:val="231F20"/>
        </w:rPr>
        <w:t>benefactor.</w:t>
      </w:r>
    </w:p>
    <w:p>
      <w:pPr>
        <w:pStyle w:val="BodyText"/>
        <w:spacing w:line="247" w:lineRule="auto" w:before="6"/>
        <w:ind w:left="101" w:right="119" w:firstLine="283"/>
        <w:jc w:val="both"/>
      </w:pPr>
      <w:r>
        <w:rPr>
          <w:color w:val="231F20"/>
          <w:spacing w:val="2"/>
        </w:rPr>
        <w:t>De esta </w:t>
      </w:r>
      <w:r>
        <w:rPr>
          <w:color w:val="231F20"/>
          <w:spacing w:val="3"/>
        </w:rPr>
        <w:t>manera, </w:t>
      </w:r>
      <w:r>
        <w:rPr>
          <w:color w:val="231F20"/>
        </w:rPr>
        <w:t>el </w:t>
      </w:r>
      <w:r>
        <w:rPr>
          <w:color w:val="231F20"/>
          <w:spacing w:val="2"/>
        </w:rPr>
        <w:t>autor </w:t>
      </w:r>
      <w:r>
        <w:rPr>
          <w:color w:val="231F20"/>
          <w:spacing w:val="3"/>
        </w:rPr>
        <w:t>asume </w:t>
      </w:r>
      <w:r>
        <w:rPr>
          <w:color w:val="231F20"/>
          <w:spacing w:val="2"/>
        </w:rPr>
        <w:t>que </w:t>
      </w:r>
      <w:r>
        <w:rPr>
          <w:color w:val="231F20"/>
        </w:rPr>
        <w:t>la </w:t>
      </w:r>
      <w:r>
        <w:rPr>
          <w:color w:val="231F20"/>
          <w:spacing w:val="2"/>
        </w:rPr>
        <w:t>colonización del </w:t>
      </w:r>
      <w:r>
        <w:rPr>
          <w:color w:val="231F20"/>
          <w:spacing w:val="3"/>
        </w:rPr>
        <w:t>Mundo </w:t>
      </w:r>
      <w:r>
        <w:rPr>
          <w:color w:val="231F20"/>
        </w:rPr>
        <w:t>de la </w:t>
      </w:r>
      <w:r>
        <w:rPr>
          <w:color w:val="231F20"/>
          <w:spacing w:val="2"/>
        </w:rPr>
        <w:t>Vida </w:t>
      </w:r>
      <w:r>
        <w:rPr>
          <w:color w:val="231F20"/>
        </w:rPr>
        <w:t>va </w:t>
      </w:r>
      <w:r>
        <w:rPr>
          <w:color w:val="231F20"/>
          <w:spacing w:val="3"/>
        </w:rPr>
        <w:t>haciéndose </w:t>
      </w:r>
      <w:r>
        <w:rPr>
          <w:color w:val="231F20"/>
          <w:spacing w:val="2"/>
        </w:rPr>
        <w:t>más patente </w:t>
      </w:r>
      <w:r>
        <w:rPr>
          <w:color w:val="231F20"/>
        </w:rPr>
        <w:t>en la </w:t>
      </w:r>
      <w:r>
        <w:rPr>
          <w:color w:val="231F20"/>
          <w:spacing w:val="3"/>
        </w:rPr>
        <w:t>medida </w:t>
      </w:r>
      <w:r>
        <w:rPr>
          <w:color w:val="231F20"/>
        </w:rPr>
        <w:t>en </w:t>
      </w:r>
      <w:r>
        <w:rPr>
          <w:color w:val="231F20"/>
          <w:spacing w:val="2"/>
        </w:rPr>
        <w:t>que avanza  </w:t>
      </w:r>
      <w:r>
        <w:rPr>
          <w:color w:val="231F20"/>
        </w:rPr>
        <w:t>la </w:t>
      </w:r>
      <w:r>
        <w:rPr>
          <w:color w:val="231F20"/>
          <w:spacing w:val="2"/>
        </w:rPr>
        <w:t>jurisdicción hasta afectar </w:t>
      </w:r>
      <w:r>
        <w:rPr>
          <w:color w:val="231F20"/>
        </w:rPr>
        <w:t>la </w:t>
      </w:r>
      <w:r>
        <w:rPr>
          <w:color w:val="231F20"/>
          <w:spacing w:val="2"/>
        </w:rPr>
        <w:t>reproducción simbólica </w:t>
      </w:r>
      <w:r>
        <w:rPr>
          <w:color w:val="231F20"/>
        </w:rPr>
        <w:t>del </w:t>
      </w:r>
      <w:r>
        <w:rPr>
          <w:color w:val="231F20"/>
          <w:spacing w:val="3"/>
        </w:rPr>
        <w:t>Mundo </w:t>
      </w:r>
      <w:r>
        <w:rPr>
          <w:color w:val="231F20"/>
        </w:rPr>
        <w:t>de la </w:t>
      </w:r>
      <w:r>
        <w:rPr>
          <w:color w:val="231F20"/>
          <w:spacing w:val="2"/>
        </w:rPr>
        <w:t>Vida. </w:t>
      </w:r>
      <w:r>
        <w:rPr>
          <w:color w:val="231F20"/>
        </w:rPr>
        <w:t>La </w:t>
      </w:r>
      <w:r>
        <w:rPr>
          <w:color w:val="231F20"/>
          <w:spacing w:val="2"/>
        </w:rPr>
        <w:t>violencia </w:t>
      </w:r>
      <w:r>
        <w:rPr>
          <w:color w:val="231F20"/>
        </w:rPr>
        <w:t>de </w:t>
      </w:r>
      <w:r>
        <w:rPr>
          <w:color w:val="231F20"/>
          <w:spacing w:val="2"/>
        </w:rPr>
        <w:t>hecho </w:t>
      </w:r>
      <w:r>
        <w:rPr>
          <w:color w:val="231F20"/>
        </w:rPr>
        <w:t>va </w:t>
      </w:r>
      <w:r>
        <w:rPr>
          <w:color w:val="231F20"/>
          <w:spacing w:val="3"/>
        </w:rPr>
        <w:t>abriéndose </w:t>
      </w:r>
      <w:r>
        <w:rPr>
          <w:color w:val="231F20"/>
          <w:spacing w:val="2"/>
        </w:rPr>
        <w:t>paso interiorizándose </w:t>
      </w:r>
      <w:r>
        <w:rPr>
          <w:color w:val="231F20"/>
          <w:spacing w:val="3"/>
        </w:rPr>
        <w:t>como </w:t>
      </w:r>
      <w:r>
        <w:rPr>
          <w:color w:val="231F20"/>
        </w:rPr>
        <w:t>algo </w:t>
      </w:r>
      <w:r>
        <w:rPr>
          <w:color w:val="231F20"/>
          <w:spacing w:val="2"/>
        </w:rPr>
        <w:t>casi</w:t>
      </w:r>
      <w:r>
        <w:rPr>
          <w:color w:val="231F20"/>
          <w:spacing w:val="5"/>
        </w:rPr>
        <w:t> </w:t>
      </w:r>
      <w:r>
        <w:rPr>
          <w:color w:val="231F20"/>
          <w:spacing w:val="2"/>
        </w:rPr>
        <w:t>natural.</w:t>
      </w:r>
    </w:p>
    <w:p>
      <w:pPr>
        <w:pStyle w:val="BodyText"/>
        <w:spacing w:line="247" w:lineRule="auto" w:before="1"/>
        <w:ind w:left="101" w:right="119" w:firstLine="284"/>
        <w:jc w:val="both"/>
      </w:pPr>
      <w:r>
        <w:rPr>
          <w:color w:val="231F20"/>
        </w:rPr>
        <w:t>Habermas elige particularmente dos ámbitos en los que se patentizan las ambigüedades de la jurisdicción en la etapa del Estado social: la escuela y la familia. En una tanto como en otra se ha avanzado en la creación de normas para proteger a los sujetos que se agrupan en torno a ellas; la ambigüedad radica en que,</w:t>
      </w:r>
    </w:p>
    <w:p>
      <w:pPr>
        <w:spacing w:after="0" w:line="247" w:lineRule="auto"/>
        <w:jc w:val="both"/>
        <w:sectPr>
          <w:headerReference w:type="default" r:id="rId556"/>
          <w:footerReference w:type="default" r:id="rId557"/>
          <w:pgSz w:w="7830" w:h="11910"/>
          <w:pgMar w:header="0" w:footer="424" w:top="500" w:bottom="620" w:left="920" w:right="900"/>
          <w:pgNumType w:start="24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4"/>
        <w:jc w:val="both"/>
      </w:pPr>
      <w:r>
        <w:rPr>
          <w:color w:val="231F20"/>
          <w:spacing w:val="2"/>
        </w:rPr>
        <w:t>siendo </w:t>
      </w:r>
      <w:r>
        <w:rPr>
          <w:color w:val="231F20"/>
          <w:spacing w:val="3"/>
        </w:rPr>
        <w:t>ámbitos </w:t>
      </w:r>
      <w:r>
        <w:rPr>
          <w:color w:val="231F20"/>
          <w:spacing w:val="2"/>
        </w:rPr>
        <w:t>constituidos </w:t>
      </w:r>
      <w:r>
        <w:rPr>
          <w:color w:val="231F20"/>
        </w:rPr>
        <w:t>en su </w:t>
      </w:r>
      <w:r>
        <w:rPr>
          <w:color w:val="231F20"/>
          <w:spacing w:val="2"/>
        </w:rPr>
        <w:t>origen </w:t>
      </w:r>
      <w:r>
        <w:rPr>
          <w:color w:val="231F20"/>
          <w:spacing w:val="3"/>
        </w:rPr>
        <w:t>mediante </w:t>
      </w:r>
      <w:r>
        <w:rPr>
          <w:color w:val="231F20"/>
        </w:rPr>
        <w:t>el </w:t>
      </w:r>
      <w:r>
        <w:rPr>
          <w:color w:val="231F20"/>
          <w:spacing w:val="3"/>
        </w:rPr>
        <w:t>entendimiento, </w:t>
      </w:r>
      <w:r>
        <w:rPr>
          <w:color w:val="231F20"/>
        </w:rPr>
        <w:t>la </w:t>
      </w:r>
      <w:r>
        <w:rPr>
          <w:color w:val="231F20"/>
          <w:spacing w:val="2"/>
        </w:rPr>
        <w:t>irrupción </w:t>
      </w:r>
      <w:r>
        <w:rPr>
          <w:color w:val="231F20"/>
        </w:rPr>
        <w:t>de la </w:t>
      </w:r>
      <w:r>
        <w:rPr>
          <w:color w:val="231F20"/>
          <w:spacing w:val="3"/>
        </w:rPr>
        <w:t>norma </w:t>
      </w:r>
      <w:r>
        <w:rPr>
          <w:color w:val="231F20"/>
          <w:spacing w:val="2"/>
        </w:rPr>
        <w:t>jurídica impulsa </w:t>
      </w:r>
      <w:r>
        <w:rPr>
          <w:color w:val="231F20"/>
        </w:rPr>
        <w:t>a </w:t>
      </w:r>
      <w:r>
        <w:rPr>
          <w:color w:val="231F20"/>
          <w:spacing w:val="4"/>
        </w:rPr>
        <w:t>una </w:t>
      </w:r>
      <w:r>
        <w:rPr>
          <w:color w:val="231F20"/>
          <w:spacing w:val="3"/>
        </w:rPr>
        <w:t>racionalidad orientada </w:t>
      </w:r>
      <w:r>
        <w:rPr>
          <w:color w:val="231F20"/>
        </w:rPr>
        <w:t>ya no al </w:t>
      </w:r>
      <w:r>
        <w:rPr>
          <w:color w:val="231F20"/>
          <w:spacing w:val="3"/>
        </w:rPr>
        <w:t>entendimiento, </w:t>
      </w:r>
      <w:r>
        <w:rPr>
          <w:color w:val="231F20"/>
          <w:spacing w:val="2"/>
        </w:rPr>
        <w:t>sino </w:t>
      </w:r>
      <w:r>
        <w:rPr>
          <w:color w:val="231F20"/>
        </w:rPr>
        <w:t>al </w:t>
      </w:r>
      <w:r>
        <w:rPr>
          <w:color w:val="231F20"/>
          <w:spacing w:val="2"/>
        </w:rPr>
        <w:t>logro </w:t>
      </w:r>
      <w:r>
        <w:rPr>
          <w:color w:val="231F20"/>
        </w:rPr>
        <w:t>de </w:t>
      </w:r>
      <w:r>
        <w:rPr>
          <w:color w:val="231F20"/>
          <w:spacing w:val="2"/>
        </w:rPr>
        <w:t>los fines </w:t>
      </w:r>
      <w:r>
        <w:rPr>
          <w:color w:val="231F20"/>
        </w:rPr>
        <w:t>de </w:t>
      </w:r>
      <w:r>
        <w:rPr>
          <w:color w:val="231F20"/>
          <w:spacing w:val="2"/>
        </w:rPr>
        <w:t>cada sujeto; los </w:t>
      </w:r>
      <w:r>
        <w:rPr>
          <w:color w:val="231F20"/>
          <w:spacing w:val="3"/>
        </w:rPr>
        <w:t>Mundos </w:t>
      </w:r>
      <w:r>
        <w:rPr>
          <w:color w:val="231F20"/>
        </w:rPr>
        <w:t>de la </w:t>
      </w:r>
      <w:r>
        <w:rPr>
          <w:color w:val="231F20"/>
          <w:spacing w:val="2"/>
        </w:rPr>
        <w:t>Vida </w:t>
      </w:r>
      <w:r>
        <w:rPr>
          <w:color w:val="231F20"/>
        </w:rPr>
        <w:t>en </w:t>
      </w:r>
      <w:r>
        <w:rPr>
          <w:color w:val="231F20"/>
          <w:spacing w:val="2"/>
        </w:rPr>
        <w:t>estos </w:t>
      </w:r>
      <w:r>
        <w:rPr>
          <w:color w:val="231F20"/>
          <w:spacing w:val="3"/>
        </w:rPr>
        <w:t>contextos, </w:t>
      </w:r>
      <w:r>
        <w:rPr>
          <w:color w:val="231F20"/>
        </w:rPr>
        <w:t>sin </w:t>
      </w:r>
      <w:r>
        <w:rPr>
          <w:color w:val="231F20"/>
          <w:spacing w:val="3"/>
        </w:rPr>
        <w:t>embargo, </w:t>
      </w:r>
      <w:r>
        <w:rPr>
          <w:color w:val="231F20"/>
        </w:rPr>
        <w:t>no </w:t>
      </w:r>
      <w:r>
        <w:rPr>
          <w:color w:val="231F20"/>
          <w:spacing w:val="3"/>
        </w:rPr>
        <w:t>funcionan </w:t>
      </w:r>
      <w:r>
        <w:rPr>
          <w:color w:val="231F20"/>
          <w:spacing w:val="2"/>
        </w:rPr>
        <w:t>jurídicamente. </w:t>
      </w:r>
      <w:r>
        <w:rPr>
          <w:color w:val="231F20"/>
          <w:spacing w:val="3"/>
        </w:rPr>
        <w:t>Prueba </w:t>
      </w:r>
      <w:r>
        <w:rPr>
          <w:color w:val="231F20"/>
        </w:rPr>
        <w:t>de ello es  el </w:t>
      </w:r>
      <w:r>
        <w:rPr>
          <w:color w:val="231F20"/>
          <w:spacing w:val="3"/>
        </w:rPr>
        <w:t>conjunto </w:t>
      </w:r>
      <w:r>
        <w:rPr>
          <w:color w:val="231F20"/>
        </w:rPr>
        <w:t>de </w:t>
      </w:r>
      <w:r>
        <w:rPr>
          <w:color w:val="231F20"/>
          <w:spacing w:val="2"/>
        </w:rPr>
        <w:t>reivindicaciones </w:t>
      </w:r>
      <w:r>
        <w:rPr>
          <w:color w:val="231F20"/>
        </w:rPr>
        <w:t>en la </w:t>
      </w:r>
      <w:r>
        <w:rPr>
          <w:color w:val="231F20"/>
          <w:spacing w:val="2"/>
        </w:rPr>
        <w:t>escuela que </w:t>
      </w:r>
      <w:r>
        <w:rPr>
          <w:color w:val="231F20"/>
          <w:spacing w:val="3"/>
        </w:rPr>
        <w:t>propugnan </w:t>
      </w:r>
      <w:r>
        <w:rPr>
          <w:color w:val="231F20"/>
          <w:spacing w:val="2"/>
        </w:rPr>
        <w:t>por </w:t>
      </w:r>
      <w:r>
        <w:rPr>
          <w:color w:val="231F20"/>
        </w:rPr>
        <w:t>la </w:t>
      </w:r>
      <w:r>
        <w:rPr>
          <w:color w:val="231F20"/>
          <w:spacing w:val="2"/>
        </w:rPr>
        <w:t>libertad </w:t>
      </w:r>
      <w:r>
        <w:rPr>
          <w:color w:val="231F20"/>
        </w:rPr>
        <w:t>y el </w:t>
      </w:r>
      <w:r>
        <w:rPr>
          <w:color w:val="231F20"/>
          <w:spacing w:val="3"/>
        </w:rPr>
        <w:t>entendimiento </w:t>
      </w:r>
      <w:r>
        <w:rPr>
          <w:color w:val="231F20"/>
        </w:rPr>
        <w:t>en las </w:t>
      </w:r>
      <w:r>
        <w:rPr>
          <w:color w:val="231F20"/>
          <w:spacing w:val="3"/>
        </w:rPr>
        <w:t>comunidades </w:t>
      </w:r>
      <w:r>
        <w:rPr>
          <w:color w:val="231F20"/>
          <w:spacing w:val="2"/>
        </w:rPr>
        <w:t>escolares. Una escuela legislada </w:t>
      </w:r>
      <w:r>
        <w:rPr>
          <w:color w:val="231F20"/>
        </w:rPr>
        <w:t>en </w:t>
      </w:r>
      <w:r>
        <w:rPr>
          <w:color w:val="231F20"/>
          <w:spacing w:val="2"/>
        </w:rPr>
        <w:t>sus últimos detalles burocratiza </w:t>
      </w:r>
      <w:r>
        <w:rPr>
          <w:color w:val="231F20"/>
        </w:rPr>
        <w:t>y </w:t>
      </w:r>
      <w:r>
        <w:rPr>
          <w:color w:val="231F20"/>
          <w:spacing w:val="2"/>
        </w:rPr>
        <w:t>desdibuja </w:t>
      </w:r>
      <w:r>
        <w:rPr>
          <w:color w:val="231F20"/>
        </w:rPr>
        <w:t>la </w:t>
      </w:r>
      <w:r>
        <w:rPr>
          <w:color w:val="231F20"/>
          <w:spacing w:val="2"/>
        </w:rPr>
        <w:t>propia misión educativa, </w:t>
      </w:r>
      <w:r>
        <w:rPr>
          <w:color w:val="231F20"/>
        </w:rPr>
        <w:t>y </w:t>
      </w:r>
      <w:r>
        <w:rPr>
          <w:color w:val="231F20"/>
          <w:spacing w:val="3"/>
        </w:rPr>
        <w:t>amenaza </w:t>
      </w:r>
      <w:r>
        <w:rPr>
          <w:color w:val="231F20"/>
          <w:spacing w:val="2"/>
        </w:rPr>
        <w:t>con convertirla </w:t>
      </w:r>
      <w:r>
        <w:rPr>
          <w:color w:val="231F20"/>
        </w:rPr>
        <w:t>en un  </w:t>
      </w:r>
      <w:r>
        <w:rPr>
          <w:color w:val="231F20"/>
          <w:spacing w:val="2"/>
        </w:rPr>
        <w:t>plexo  </w:t>
      </w:r>
      <w:r>
        <w:rPr>
          <w:color w:val="231F20"/>
        </w:rPr>
        <w:t>en </w:t>
      </w:r>
      <w:r>
        <w:rPr>
          <w:color w:val="231F20"/>
          <w:spacing w:val="2"/>
        </w:rPr>
        <w:t>que </w:t>
      </w:r>
      <w:r>
        <w:rPr>
          <w:color w:val="231F20"/>
        </w:rPr>
        <w:t>el </w:t>
      </w:r>
      <w:r>
        <w:rPr>
          <w:color w:val="231F20"/>
          <w:spacing w:val="2"/>
        </w:rPr>
        <w:t>dinero </w:t>
      </w:r>
      <w:r>
        <w:rPr>
          <w:color w:val="231F20"/>
        </w:rPr>
        <w:t>y el </w:t>
      </w:r>
      <w:r>
        <w:rPr>
          <w:color w:val="231F20"/>
          <w:spacing w:val="3"/>
        </w:rPr>
        <w:t>poder </w:t>
      </w:r>
      <w:r>
        <w:rPr>
          <w:color w:val="231F20"/>
        </w:rPr>
        <w:t>se </w:t>
      </w:r>
      <w:r>
        <w:rPr>
          <w:color w:val="231F20"/>
          <w:spacing w:val="2"/>
        </w:rPr>
        <w:t>colocan </w:t>
      </w:r>
      <w:r>
        <w:rPr>
          <w:color w:val="231F20"/>
        </w:rPr>
        <w:t>en </w:t>
      </w:r>
      <w:r>
        <w:rPr>
          <w:color w:val="231F20"/>
          <w:spacing w:val="2"/>
        </w:rPr>
        <w:t>los </w:t>
      </w:r>
      <w:r>
        <w:rPr>
          <w:color w:val="231F20"/>
          <w:spacing w:val="3"/>
        </w:rPr>
        <w:t>determinantes </w:t>
      </w:r>
      <w:r>
        <w:rPr>
          <w:color w:val="231F20"/>
        </w:rPr>
        <w:t>de la </w:t>
      </w:r>
      <w:r>
        <w:rPr>
          <w:color w:val="231F20"/>
          <w:spacing w:val="2"/>
        </w:rPr>
        <w:t>interacción</w:t>
      </w:r>
      <w:r>
        <w:rPr>
          <w:color w:val="231F20"/>
          <w:spacing w:val="-22"/>
        </w:rPr>
        <w:t> </w:t>
      </w:r>
      <w:r>
        <w:rPr>
          <w:color w:val="231F20"/>
          <w:spacing w:val="2"/>
        </w:rPr>
        <w:t>social.</w:t>
      </w:r>
    </w:p>
    <w:p>
      <w:pPr>
        <w:pStyle w:val="BodyText"/>
        <w:spacing w:line="247" w:lineRule="auto"/>
        <w:ind w:left="102" w:right="117" w:firstLine="284"/>
        <w:jc w:val="both"/>
      </w:pPr>
      <w:r>
        <w:rPr>
          <w:color w:val="231F20"/>
        </w:rPr>
        <w:t>Los ámbitos pertenecientes al Mundo de la Vida, en los que prevalece la orientación al entendimiento, tienden a ser colonizados mediante los elementos de corte egocéntrico orientados hacia  el éxito, por la irrupción de factores sistémicos y violentos.</w:t>
      </w:r>
    </w:p>
    <w:p>
      <w:pPr>
        <w:pStyle w:val="BodyText"/>
        <w:spacing w:line="249" w:lineRule="auto" w:before="1"/>
        <w:ind w:left="101" w:right="116" w:firstLine="284"/>
        <w:jc w:val="both"/>
      </w:pPr>
      <w:r>
        <w:rPr>
          <w:color w:val="231F20"/>
          <w:spacing w:val="3"/>
        </w:rPr>
        <w:t>Habermas </w:t>
      </w:r>
      <w:r>
        <w:rPr>
          <w:color w:val="231F20"/>
          <w:spacing w:val="2"/>
        </w:rPr>
        <w:t>regresa </w:t>
      </w:r>
      <w:r>
        <w:rPr>
          <w:color w:val="231F20"/>
        </w:rPr>
        <w:t>a la </w:t>
      </w:r>
      <w:r>
        <w:rPr>
          <w:color w:val="231F20"/>
          <w:spacing w:val="2"/>
        </w:rPr>
        <w:t>teoría marxista del valor, que </w:t>
      </w:r>
      <w:r>
        <w:rPr>
          <w:color w:val="231F20"/>
          <w:spacing w:val="3"/>
        </w:rPr>
        <w:t>observa atinadamente </w:t>
      </w:r>
      <w:r>
        <w:rPr>
          <w:color w:val="231F20"/>
        </w:rPr>
        <w:t>la </w:t>
      </w:r>
      <w:r>
        <w:rPr>
          <w:color w:val="231F20"/>
          <w:spacing w:val="3"/>
        </w:rPr>
        <w:t>transformación </w:t>
      </w:r>
      <w:r>
        <w:rPr>
          <w:color w:val="231F20"/>
          <w:spacing w:val="2"/>
        </w:rPr>
        <w:t>del trabajo concreto </w:t>
      </w:r>
      <w:r>
        <w:rPr>
          <w:color w:val="231F20"/>
        </w:rPr>
        <w:t>en </w:t>
      </w:r>
      <w:r>
        <w:rPr>
          <w:color w:val="231F20"/>
          <w:spacing w:val="2"/>
        </w:rPr>
        <w:t>trabajo abstracto </w:t>
      </w:r>
      <w:r>
        <w:rPr>
          <w:color w:val="231F20"/>
        </w:rPr>
        <w:t>y que </w:t>
      </w:r>
      <w:r>
        <w:rPr>
          <w:color w:val="231F20"/>
          <w:spacing w:val="2"/>
        </w:rPr>
        <w:t>conlleva </w:t>
      </w:r>
      <w:r>
        <w:rPr>
          <w:color w:val="231F20"/>
          <w:spacing w:val="3"/>
        </w:rPr>
        <w:t>procesos </w:t>
      </w:r>
      <w:r>
        <w:rPr>
          <w:color w:val="231F20"/>
          <w:spacing w:val="2"/>
        </w:rPr>
        <w:t>cosificadores; por </w:t>
      </w:r>
      <w:r>
        <w:rPr>
          <w:color w:val="231F20"/>
        </w:rPr>
        <w:t>la </w:t>
      </w:r>
      <w:r>
        <w:rPr>
          <w:color w:val="231F20"/>
          <w:spacing w:val="2"/>
        </w:rPr>
        <w:t>imposibilidad </w:t>
      </w:r>
      <w:r>
        <w:rPr>
          <w:color w:val="231F20"/>
        </w:rPr>
        <w:t>de </w:t>
      </w:r>
      <w:r>
        <w:rPr>
          <w:color w:val="231F20"/>
          <w:spacing w:val="2"/>
        </w:rPr>
        <w:t>esta teoría para explicar </w:t>
      </w:r>
      <w:r>
        <w:rPr>
          <w:color w:val="231F20"/>
        </w:rPr>
        <w:t>la </w:t>
      </w:r>
      <w:r>
        <w:rPr>
          <w:color w:val="231F20"/>
          <w:spacing w:val="2"/>
        </w:rPr>
        <w:t>extensión </w:t>
      </w:r>
      <w:r>
        <w:rPr>
          <w:color w:val="231F20"/>
        </w:rPr>
        <w:t>de la </w:t>
      </w:r>
      <w:r>
        <w:rPr>
          <w:color w:val="231F20"/>
          <w:spacing w:val="2"/>
        </w:rPr>
        <w:t>cosificación </w:t>
      </w:r>
      <w:r>
        <w:rPr>
          <w:color w:val="231F20"/>
        </w:rPr>
        <w:t>a </w:t>
      </w:r>
      <w:r>
        <w:rPr>
          <w:color w:val="231F20"/>
          <w:spacing w:val="3"/>
        </w:rPr>
        <w:t>ámbitos </w:t>
      </w:r>
      <w:r>
        <w:rPr>
          <w:color w:val="231F20"/>
        </w:rPr>
        <w:t>no </w:t>
      </w:r>
      <w:r>
        <w:rPr>
          <w:color w:val="231F20"/>
          <w:spacing w:val="3"/>
        </w:rPr>
        <w:t>relacionados </w:t>
      </w:r>
      <w:r>
        <w:rPr>
          <w:color w:val="231F20"/>
          <w:spacing w:val="2"/>
        </w:rPr>
        <w:t>directa </w:t>
      </w:r>
      <w:r>
        <w:rPr>
          <w:color w:val="231F20"/>
        </w:rPr>
        <w:t>o </w:t>
      </w:r>
      <w:r>
        <w:rPr>
          <w:color w:val="231F20"/>
          <w:spacing w:val="3"/>
        </w:rPr>
        <w:t>principalmente </w:t>
      </w:r>
      <w:r>
        <w:rPr>
          <w:color w:val="231F20"/>
          <w:spacing w:val="2"/>
        </w:rPr>
        <w:t>con </w:t>
      </w:r>
      <w:r>
        <w:rPr>
          <w:color w:val="231F20"/>
        </w:rPr>
        <w:t>la </w:t>
      </w:r>
      <w:r>
        <w:rPr>
          <w:color w:val="231F20"/>
          <w:spacing w:val="2"/>
        </w:rPr>
        <w:t>esfera </w:t>
      </w:r>
      <w:r>
        <w:rPr>
          <w:color w:val="231F20"/>
        </w:rPr>
        <w:t>de la </w:t>
      </w:r>
      <w:r>
        <w:rPr>
          <w:color w:val="231F20"/>
          <w:spacing w:val="3"/>
        </w:rPr>
        <w:t>producción, </w:t>
      </w:r>
      <w:r>
        <w:rPr>
          <w:color w:val="231F20"/>
        </w:rPr>
        <w:t>a ella se </w:t>
      </w:r>
      <w:r>
        <w:rPr>
          <w:color w:val="231F20"/>
          <w:spacing w:val="2"/>
        </w:rPr>
        <w:t>adjunta una alternativa </w:t>
      </w:r>
      <w:r>
        <w:rPr>
          <w:color w:val="231F20"/>
        </w:rPr>
        <w:t>de </w:t>
      </w:r>
      <w:r>
        <w:rPr>
          <w:color w:val="231F20"/>
          <w:spacing w:val="2"/>
        </w:rPr>
        <w:t>explicación con </w:t>
      </w:r>
      <w:r>
        <w:rPr>
          <w:color w:val="231F20"/>
        </w:rPr>
        <w:t>la </w:t>
      </w:r>
      <w:r>
        <w:rPr>
          <w:color w:val="231F20"/>
          <w:spacing w:val="3"/>
        </w:rPr>
        <w:t>proposición </w:t>
      </w:r>
      <w:r>
        <w:rPr>
          <w:color w:val="231F20"/>
          <w:spacing w:val="2"/>
        </w:rPr>
        <w:t>relativa </w:t>
      </w:r>
      <w:r>
        <w:rPr>
          <w:color w:val="231F20"/>
        </w:rPr>
        <w:t>a la </w:t>
      </w:r>
      <w:r>
        <w:rPr>
          <w:color w:val="231F20"/>
          <w:spacing w:val="2"/>
        </w:rPr>
        <w:t>colonización del  </w:t>
      </w:r>
      <w:r>
        <w:rPr>
          <w:color w:val="231F20"/>
          <w:spacing w:val="3"/>
        </w:rPr>
        <w:t>Mundo </w:t>
      </w:r>
      <w:r>
        <w:rPr>
          <w:color w:val="231F20"/>
        </w:rPr>
        <w:t>de la </w:t>
      </w:r>
      <w:r>
        <w:rPr>
          <w:color w:val="231F20"/>
          <w:spacing w:val="2"/>
        </w:rPr>
        <w:t>Vida por medios sistémicos, que </w:t>
      </w:r>
      <w:r>
        <w:rPr>
          <w:color w:val="231F20"/>
        </w:rPr>
        <w:t>se </w:t>
      </w:r>
      <w:r>
        <w:rPr>
          <w:color w:val="231F20"/>
          <w:spacing w:val="2"/>
        </w:rPr>
        <w:t>apoya </w:t>
      </w:r>
      <w:r>
        <w:rPr>
          <w:color w:val="231F20"/>
        </w:rPr>
        <w:t>en </w:t>
      </w:r>
      <w:r>
        <w:rPr>
          <w:color w:val="231F20"/>
          <w:spacing w:val="2"/>
        </w:rPr>
        <w:t>los procesos </w:t>
      </w:r>
      <w:r>
        <w:rPr>
          <w:color w:val="231F20"/>
        </w:rPr>
        <w:t>de </w:t>
      </w:r>
      <w:r>
        <w:rPr>
          <w:color w:val="231F20"/>
          <w:spacing w:val="2"/>
        </w:rPr>
        <w:t>jurisdicción creciente, </w:t>
      </w:r>
      <w:r>
        <w:rPr>
          <w:color w:val="231F20"/>
        </w:rPr>
        <w:t>y </w:t>
      </w:r>
      <w:r>
        <w:rPr>
          <w:color w:val="231F20"/>
          <w:spacing w:val="2"/>
        </w:rPr>
        <w:t>que tienen que </w:t>
      </w:r>
      <w:r>
        <w:rPr>
          <w:color w:val="231F20"/>
        </w:rPr>
        <w:t>ver sí </w:t>
      </w:r>
      <w:r>
        <w:rPr>
          <w:color w:val="231F20"/>
          <w:spacing w:val="3"/>
        </w:rPr>
        <w:t>con procesos económicos, </w:t>
      </w:r>
      <w:r>
        <w:rPr>
          <w:color w:val="231F20"/>
          <w:spacing w:val="2"/>
        </w:rPr>
        <w:t>pero también con </w:t>
      </w:r>
      <w:r>
        <w:rPr>
          <w:color w:val="231F20"/>
          <w:spacing w:val="3"/>
        </w:rPr>
        <w:t>procesos </w:t>
      </w:r>
      <w:r>
        <w:rPr>
          <w:color w:val="231F20"/>
        </w:rPr>
        <w:t>de </w:t>
      </w:r>
      <w:r>
        <w:rPr>
          <w:color w:val="231F20"/>
          <w:spacing w:val="2"/>
        </w:rPr>
        <w:t>poder </w:t>
      </w:r>
      <w:r>
        <w:rPr>
          <w:color w:val="231F20"/>
        </w:rPr>
        <w:t>y </w:t>
      </w:r>
      <w:r>
        <w:rPr>
          <w:color w:val="231F20"/>
          <w:spacing w:val="2"/>
        </w:rPr>
        <w:t>violencia.</w:t>
      </w:r>
    </w:p>
    <w:p>
      <w:pPr>
        <w:pStyle w:val="BodyText"/>
        <w:spacing w:before="7"/>
      </w:pPr>
    </w:p>
    <w:p>
      <w:pPr>
        <w:pStyle w:val="BodyText"/>
        <w:spacing w:line="247" w:lineRule="auto"/>
        <w:ind w:left="102" w:right="121" w:hanging="1"/>
      </w:pPr>
      <w:r>
        <w:rPr>
          <w:color w:val="231F20"/>
        </w:rPr>
        <w:t>VIOLENCIA Y COLONIZACIÓN EN LAS AULAS: SISTEMÁTICA DE LA ACCIÓN Y   EDUCACIÓN</w:t>
      </w:r>
    </w:p>
    <w:p>
      <w:pPr>
        <w:pStyle w:val="BodyText"/>
        <w:spacing w:before="11"/>
        <w:rPr>
          <w:sz w:val="20"/>
        </w:rPr>
      </w:pPr>
    </w:p>
    <w:p>
      <w:pPr>
        <w:pStyle w:val="BodyText"/>
        <w:spacing w:line="244" w:lineRule="auto"/>
        <w:ind w:left="102" w:right="114"/>
        <w:jc w:val="both"/>
      </w:pPr>
      <w:r>
        <w:rPr>
          <w:color w:val="231F20"/>
        </w:rPr>
        <w:t>Como se ha visto, la acción social se traduce obligadamente en “interacción”entre dos o más sujetos de la educación (profesor y alumno, o profesores, por ejemplo) La identificación del tipo de acción (estratégica o comunicativa) se da como fruto de  la  aplicación de los criterios de a) interpretación de la situación (el medio del lenguaje, causalidad, objetividad); b) racionalidad (orientación de la acción), y c) actitud. De la aplicación de los criterios se identifica que la interacción en el aula se da de manera estratégica porque constade una acción </w:t>
      </w:r>
      <w:r>
        <w:rPr>
          <w:i/>
          <w:color w:val="231F20"/>
        </w:rPr>
        <w:t>ad </w:t>
      </w:r>
      <w:r>
        <w:rPr>
          <w:color w:val="231F20"/>
        </w:rPr>
        <w:t>a) coercitiva, sin importar</w:t>
      </w:r>
    </w:p>
    <w:p>
      <w:pPr>
        <w:spacing w:after="0" w:line="244" w:lineRule="auto"/>
        <w:jc w:val="both"/>
        <w:sectPr>
          <w:headerReference w:type="default" r:id="rId558"/>
          <w:footerReference w:type="default" r:id="rId559"/>
          <w:pgSz w:w="7830" w:h="11910"/>
          <w:pgMar w:header="0" w:footer="424" w:top="500" w:bottom="620" w:left="920" w:right="900"/>
          <w:pgNumType w:start="24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17"/>
        <w:jc w:val="both"/>
      </w:pPr>
      <w:r>
        <w:rPr>
          <w:color w:val="231F20"/>
        </w:rPr>
        <w:t>la persona, sino que esta es sustituida por una imagen cosificada, violentada; </w:t>
      </w:r>
      <w:r>
        <w:rPr>
          <w:i/>
          <w:color w:val="231F20"/>
        </w:rPr>
        <w:t>ad </w:t>
      </w:r>
      <w:r>
        <w:rPr>
          <w:color w:val="231F20"/>
        </w:rPr>
        <w:t>b) claramente buscando que se produzca una  situación particular; y </w:t>
      </w:r>
      <w:r>
        <w:rPr>
          <w:i/>
          <w:color w:val="231F20"/>
        </w:rPr>
        <w:t>ad c) </w:t>
      </w:r>
      <w:r>
        <w:rPr>
          <w:color w:val="231F20"/>
        </w:rPr>
        <w:t>con actitud objetivante haciendo violencia a la</w:t>
      </w:r>
      <w:r>
        <w:rPr>
          <w:color w:val="231F20"/>
          <w:spacing w:val="-30"/>
        </w:rPr>
        <w:t> </w:t>
      </w:r>
      <w:r>
        <w:rPr>
          <w:color w:val="231F20"/>
        </w:rPr>
        <w:t>persona.</w:t>
      </w:r>
    </w:p>
    <w:p>
      <w:pPr>
        <w:pStyle w:val="BodyText"/>
        <w:spacing w:line="249" w:lineRule="auto" w:before="10"/>
        <w:ind w:left="102" w:right="114" w:firstLine="283"/>
        <w:jc w:val="both"/>
      </w:pPr>
      <w:r>
        <w:rPr>
          <w:color w:val="231F20"/>
        </w:rPr>
        <w:t>El tipo de acción conduce a analizar los “planos” en los que se produce y se provoca el juicio a la pretensión de veracidad: su corrección (apego a reglamento, por caso), su verdad (el contenido del</w:t>
      </w:r>
      <w:r>
        <w:rPr>
          <w:color w:val="231F20"/>
          <w:spacing w:val="-6"/>
        </w:rPr>
        <w:t> </w:t>
      </w:r>
      <w:r>
        <w:rPr>
          <w:color w:val="231F20"/>
        </w:rPr>
        <w:t>programa)</w:t>
      </w:r>
      <w:r>
        <w:rPr>
          <w:color w:val="231F20"/>
          <w:spacing w:val="-6"/>
        </w:rPr>
        <w:t> </w:t>
      </w:r>
      <w:r>
        <w:rPr>
          <w:color w:val="231F20"/>
        </w:rPr>
        <w:t>y</w:t>
      </w:r>
      <w:r>
        <w:rPr>
          <w:color w:val="231F20"/>
          <w:spacing w:val="-6"/>
        </w:rPr>
        <w:t> </w:t>
      </w:r>
      <w:r>
        <w:rPr>
          <w:color w:val="231F20"/>
        </w:rPr>
        <w:t>su</w:t>
      </w:r>
      <w:r>
        <w:rPr>
          <w:color w:val="231F20"/>
          <w:spacing w:val="-6"/>
        </w:rPr>
        <w:t> </w:t>
      </w:r>
      <w:r>
        <w:rPr>
          <w:color w:val="231F20"/>
        </w:rPr>
        <w:t>veracidad</w:t>
      </w:r>
      <w:r>
        <w:rPr>
          <w:color w:val="231F20"/>
          <w:spacing w:val="-6"/>
        </w:rPr>
        <w:t> </w:t>
      </w:r>
      <w:r>
        <w:rPr>
          <w:color w:val="231F20"/>
        </w:rPr>
        <w:t>(autenticidad</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plano</w:t>
      </w:r>
      <w:r>
        <w:rPr>
          <w:color w:val="231F20"/>
          <w:spacing w:val="-6"/>
        </w:rPr>
        <w:t> </w:t>
      </w:r>
      <w:r>
        <w:rPr>
          <w:color w:val="231F20"/>
        </w:rPr>
        <w:t>subjetivo),</w:t>
      </w:r>
      <w:r>
        <w:rPr>
          <w:color w:val="231F20"/>
          <w:spacing w:val="-6"/>
        </w:rPr>
        <w:t> </w:t>
      </w:r>
      <w:r>
        <w:rPr>
          <w:color w:val="231F20"/>
        </w:rPr>
        <w:t>y</w:t>
      </w:r>
      <w:r>
        <w:rPr>
          <w:color w:val="231F20"/>
          <w:spacing w:val="-6"/>
        </w:rPr>
        <w:t> </w:t>
      </w:r>
      <w:r>
        <w:rPr>
          <w:color w:val="231F20"/>
        </w:rPr>
        <w:t>a destacar el plano predominante de la acción en curso (el de los contenidos, por caso). Del desequilibrio entre estos planos se deduce la patología del Mundo de la Vida provocada por agentes provenientes del Sistema. Como se ha visto, el Sistema coloniza, violentando,</w:t>
      </w:r>
      <w:r>
        <w:rPr>
          <w:color w:val="231F20"/>
          <w:spacing w:val="-13"/>
        </w:rPr>
        <w:t> </w:t>
      </w:r>
      <w:r>
        <w:rPr>
          <w:color w:val="231F20"/>
        </w:rPr>
        <w:t>el</w:t>
      </w:r>
      <w:r>
        <w:rPr>
          <w:color w:val="231F20"/>
          <w:spacing w:val="-13"/>
        </w:rPr>
        <w:t> </w:t>
      </w:r>
      <w:r>
        <w:rPr>
          <w:color w:val="231F20"/>
        </w:rPr>
        <w:t>mismo</w:t>
      </w:r>
      <w:r>
        <w:rPr>
          <w:color w:val="231F20"/>
          <w:spacing w:val="-12"/>
        </w:rPr>
        <w:t> </w:t>
      </w:r>
      <w:r>
        <w:rPr>
          <w:color w:val="231F20"/>
        </w:rPr>
        <w:t>Mundo</w:t>
      </w:r>
      <w:r>
        <w:rPr>
          <w:color w:val="231F20"/>
          <w:spacing w:val="-12"/>
        </w:rPr>
        <w:t> </w:t>
      </w:r>
      <w:r>
        <w:rPr>
          <w:color w:val="231F20"/>
        </w:rPr>
        <w:t>de</w:t>
      </w:r>
      <w:r>
        <w:rPr>
          <w:color w:val="231F20"/>
          <w:spacing w:val="-12"/>
        </w:rPr>
        <w:t> </w:t>
      </w:r>
      <w:r>
        <w:rPr>
          <w:color w:val="231F20"/>
        </w:rPr>
        <w:t>la</w:t>
      </w:r>
      <w:r>
        <w:rPr>
          <w:color w:val="231F20"/>
          <w:spacing w:val="-13"/>
        </w:rPr>
        <w:t> </w:t>
      </w:r>
      <w:r>
        <w:rPr>
          <w:color w:val="231F20"/>
        </w:rPr>
        <w:t>Vida.</w:t>
      </w:r>
    </w:p>
    <w:p>
      <w:pPr>
        <w:pStyle w:val="BodyText"/>
        <w:spacing w:line="249" w:lineRule="auto"/>
        <w:ind w:left="102" w:right="117" w:firstLine="284"/>
        <w:jc w:val="both"/>
      </w:pPr>
      <w:r>
        <w:rPr>
          <w:color w:val="231F20"/>
        </w:rPr>
        <w:t>De la aplicación de los criterios y del análisis de los planos puestos en juego por la pretensión de veracidad se sigue la respuesta que se da a esta pretensión, y bien podría ser el de sumisión ante la violencia; es posible juzgar ahora el grado de colonización del Mundo de la Vida, de violencia si se opera la adscripción del plano predominante (contenidos en este caso) a su correlativo “componente”estructural de ese Mundo de la Vida: el mundo de los objetos, y su relación con planes y programas de estudio, con la configuración de la institución, con el Sistema educativo y aun con el Sistema social.</w:t>
      </w:r>
    </w:p>
    <w:p>
      <w:pPr>
        <w:pStyle w:val="BodyText"/>
        <w:spacing w:line="249" w:lineRule="auto"/>
        <w:ind w:left="102" w:right="114" w:firstLine="284"/>
        <w:jc w:val="both"/>
      </w:pPr>
      <w:r>
        <w:rPr>
          <w:color w:val="231F20"/>
        </w:rPr>
        <w:t>Por lo pronto, el detectar una acción estratégica en el aula constata una anomalía; la teoría deja ver el mecanismo no colonizado de la comunicación humana, es un proceso que inicia con una acción comunicativa, esto es, orientada a entenderse, para culminar con el logro de acuerdos que llevarán a la acción coordinada, misma que presupone acciones teleológicas, ya no situadas en el plano de la acción social, sino en acciones de los sujetos frente a objetos estipulados en los acuerdos.</w:t>
      </w:r>
    </w:p>
    <w:p>
      <w:pPr>
        <w:pStyle w:val="BodyText"/>
        <w:spacing w:line="247" w:lineRule="auto"/>
        <w:ind w:left="102" w:right="116" w:firstLine="284"/>
        <w:jc w:val="both"/>
      </w:pPr>
      <w:r>
        <w:rPr>
          <w:color w:val="231F20"/>
        </w:rPr>
        <w:t>La </w:t>
      </w:r>
      <w:r>
        <w:rPr>
          <w:color w:val="231F20"/>
          <w:spacing w:val="2"/>
        </w:rPr>
        <w:t>acción coordinada llevaría </w:t>
      </w:r>
      <w:r>
        <w:rPr>
          <w:color w:val="231F20"/>
        </w:rPr>
        <w:t>a los </w:t>
      </w:r>
      <w:r>
        <w:rPr>
          <w:color w:val="231F20"/>
          <w:spacing w:val="2"/>
        </w:rPr>
        <w:t>sujetos </w:t>
      </w:r>
      <w:r>
        <w:rPr>
          <w:color w:val="231F20"/>
        </w:rPr>
        <w:t>en </w:t>
      </w:r>
      <w:r>
        <w:rPr>
          <w:color w:val="231F20"/>
          <w:spacing w:val="2"/>
        </w:rPr>
        <w:t>efecto </w:t>
      </w:r>
      <w:r>
        <w:rPr>
          <w:color w:val="231F20"/>
        </w:rPr>
        <w:t>a </w:t>
      </w:r>
      <w:r>
        <w:rPr>
          <w:color w:val="231F20"/>
          <w:spacing w:val="2"/>
        </w:rPr>
        <w:t>acciones teleológicas, esto </w:t>
      </w:r>
      <w:r>
        <w:rPr>
          <w:color w:val="231F20"/>
        </w:rPr>
        <w:t>es, al </w:t>
      </w:r>
      <w:r>
        <w:rPr>
          <w:color w:val="231F20"/>
          <w:spacing w:val="2"/>
        </w:rPr>
        <w:t>aprendizaje por </w:t>
      </w:r>
      <w:r>
        <w:rPr>
          <w:color w:val="231F20"/>
        </w:rPr>
        <w:t>un lado y a la </w:t>
      </w:r>
      <w:r>
        <w:rPr>
          <w:color w:val="231F20"/>
          <w:spacing w:val="2"/>
        </w:rPr>
        <w:t>guía orientada </w:t>
      </w:r>
      <w:r>
        <w:rPr>
          <w:color w:val="231F20"/>
        </w:rPr>
        <w:t>al </w:t>
      </w:r>
      <w:r>
        <w:rPr>
          <w:color w:val="231F20"/>
          <w:spacing w:val="2"/>
        </w:rPr>
        <w:t>logro </w:t>
      </w:r>
      <w:r>
        <w:rPr>
          <w:color w:val="231F20"/>
        </w:rPr>
        <w:t>de ese </w:t>
      </w:r>
      <w:r>
        <w:rPr>
          <w:color w:val="231F20"/>
          <w:spacing w:val="2"/>
        </w:rPr>
        <w:t>aprendizaje, </w:t>
      </w:r>
      <w:r>
        <w:rPr>
          <w:color w:val="231F20"/>
        </w:rPr>
        <w:t>el </w:t>
      </w:r>
      <w:r>
        <w:rPr>
          <w:color w:val="231F20"/>
          <w:spacing w:val="3"/>
        </w:rPr>
        <w:t>entendimiento </w:t>
      </w:r>
      <w:r>
        <w:rPr>
          <w:color w:val="231F20"/>
          <w:spacing w:val="2"/>
        </w:rPr>
        <w:t>entre las </w:t>
      </w:r>
      <w:r>
        <w:rPr>
          <w:color w:val="231F20"/>
          <w:spacing w:val="3"/>
        </w:rPr>
        <w:t>personas </w:t>
      </w:r>
      <w:r>
        <w:rPr>
          <w:color w:val="231F20"/>
        </w:rPr>
        <w:t>y el </w:t>
      </w:r>
      <w:r>
        <w:rPr>
          <w:color w:val="231F20"/>
          <w:spacing w:val="2"/>
        </w:rPr>
        <w:t>aprendizaje </w:t>
      </w:r>
      <w:r>
        <w:rPr>
          <w:color w:val="231F20"/>
        </w:rPr>
        <w:t>de </w:t>
      </w:r>
      <w:r>
        <w:rPr>
          <w:color w:val="231F20"/>
          <w:spacing w:val="2"/>
        </w:rPr>
        <w:t>cosas tienen lógicas </w:t>
      </w:r>
      <w:r>
        <w:rPr>
          <w:color w:val="231F20"/>
        </w:rPr>
        <w:t>de </w:t>
      </w:r>
      <w:r>
        <w:rPr>
          <w:color w:val="231F20"/>
          <w:spacing w:val="2"/>
        </w:rPr>
        <w:t>proceder distintas. </w:t>
      </w:r>
      <w:r>
        <w:rPr>
          <w:color w:val="231F20"/>
        </w:rPr>
        <w:t>En el </w:t>
      </w:r>
      <w:r>
        <w:rPr>
          <w:color w:val="231F20"/>
          <w:spacing w:val="2"/>
        </w:rPr>
        <w:t>aula </w:t>
      </w:r>
      <w:r>
        <w:rPr>
          <w:color w:val="231F20"/>
        </w:rPr>
        <w:t>se </w:t>
      </w:r>
      <w:r>
        <w:rPr>
          <w:color w:val="231F20"/>
          <w:spacing w:val="2"/>
        </w:rPr>
        <w:t>reúnen </w:t>
      </w:r>
      <w:r>
        <w:rPr>
          <w:color w:val="231F20"/>
          <w:spacing w:val="3"/>
        </w:rPr>
        <w:t>“personas” </w:t>
      </w:r>
      <w:r>
        <w:rPr>
          <w:color w:val="231F20"/>
        </w:rPr>
        <w:t>que </w:t>
      </w:r>
      <w:r>
        <w:rPr>
          <w:color w:val="231F20"/>
          <w:spacing w:val="2"/>
        </w:rPr>
        <w:t>requieren aprender “objetos </w:t>
      </w:r>
      <w:r>
        <w:rPr>
          <w:color w:val="231F20"/>
        </w:rPr>
        <w:t>de </w:t>
      </w:r>
      <w:r>
        <w:rPr>
          <w:color w:val="231F20"/>
          <w:spacing w:val="3"/>
        </w:rPr>
        <w:t>conocimiento</w:t>
      </w:r>
      <w:r>
        <w:rPr>
          <w:i/>
          <w:color w:val="231F20"/>
          <w:spacing w:val="3"/>
        </w:rPr>
        <w:t>”</w:t>
      </w:r>
      <w:r>
        <w:rPr>
          <w:color w:val="231F20"/>
          <w:spacing w:val="3"/>
        </w:rPr>
        <w:t>, </w:t>
      </w:r>
      <w:r>
        <w:rPr>
          <w:color w:val="231F20"/>
          <w:spacing w:val="2"/>
        </w:rPr>
        <w:t>pero </w:t>
      </w:r>
      <w:r>
        <w:rPr>
          <w:color w:val="231F20"/>
        </w:rPr>
        <w:t>a </w:t>
      </w:r>
      <w:r>
        <w:rPr>
          <w:color w:val="231F20"/>
          <w:spacing w:val="2"/>
        </w:rPr>
        <w:t>partir </w:t>
      </w:r>
      <w:r>
        <w:rPr>
          <w:color w:val="231F20"/>
        </w:rPr>
        <w:t>del </w:t>
      </w:r>
      <w:r>
        <w:rPr>
          <w:color w:val="231F20"/>
          <w:spacing w:val="3"/>
        </w:rPr>
        <w:t>entendimiento; </w:t>
      </w:r>
      <w:r>
        <w:rPr>
          <w:color w:val="231F20"/>
          <w:spacing w:val="2"/>
        </w:rPr>
        <w:t>luego </w:t>
      </w:r>
      <w:r>
        <w:rPr>
          <w:color w:val="231F20"/>
          <w:spacing w:val="3"/>
        </w:rPr>
        <w:t>entonces </w:t>
      </w:r>
      <w:r>
        <w:rPr>
          <w:color w:val="231F20"/>
        </w:rPr>
        <w:t>se da  </w:t>
      </w:r>
      <w:r>
        <w:rPr>
          <w:color w:val="231F20"/>
          <w:spacing w:val="2"/>
        </w:rPr>
        <w:t>ahí una doble relación solo separable claramente  </w:t>
      </w:r>
      <w:r>
        <w:rPr>
          <w:color w:val="231F20"/>
        </w:rPr>
        <w:t>en  el  </w:t>
      </w:r>
      <w:r>
        <w:rPr>
          <w:color w:val="231F20"/>
          <w:spacing w:val="2"/>
        </w:rPr>
        <w:t>plano analítico, teórico: con objetos </w:t>
      </w:r>
      <w:r>
        <w:rPr>
          <w:color w:val="231F20"/>
        </w:rPr>
        <w:t>y  </w:t>
      </w:r>
      <w:r>
        <w:rPr>
          <w:color w:val="231F20"/>
          <w:spacing w:val="2"/>
        </w:rPr>
        <w:t>con </w:t>
      </w:r>
      <w:r>
        <w:rPr>
          <w:color w:val="231F20"/>
          <w:spacing w:val="3"/>
        </w:rPr>
        <w:t>personas,    </w:t>
      </w:r>
      <w:r>
        <w:rPr>
          <w:color w:val="231F20"/>
          <w:spacing w:val="40"/>
        </w:rPr>
        <w:t> </w:t>
      </w:r>
      <w:r>
        <w:rPr>
          <w:color w:val="231F20"/>
        </w:rPr>
        <w:t>y  la</w:t>
      </w:r>
    </w:p>
    <w:p>
      <w:pPr>
        <w:spacing w:after="0" w:line="247" w:lineRule="auto"/>
        <w:jc w:val="both"/>
        <w:sectPr>
          <w:headerReference w:type="default" r:id="rId560"/>
          <w:footerReference w:type="default" r:id="rId561"/>
          <w:pgSz w:w="7830" w:h="11910"/>
          <w:pgMar w:header="0" w:footer="424" w:top="500" w:bottom="620" w:left="920" w:right="900"/>
          <w:pgNumType w:start="24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5"/>
        <w:jc w:val="both"/>
      </w:pPr>
      <w:r>
        <w:rPr>
          <w:color w:val="231F20"/>
          <w:spacing w:val="3"/>
        </w:rPr>
        <w:t>enseñanza </w:t>
      </w:r>
      <w:r>
        <w:rPr>
          <w:color w:val="231F20"/>
          <w:spacing w:val="2"/>
        </w:rPr>
        <w:t>implica relaciones entre </w:t>
      </w:r>
      <w:r>
        <w:rPr>
          <w:color w:val="231F20"/>
          <w:spacing w:val="3"/>
        </w:rPr>
        <w:t>personas </w:t>
      </w:r>
      <w:r>
        <w:rPr>
          <w:color w:val="231F20"/>
          <w:spacing w:val="2"/>
        </w:rPr>
        <w:t>que </w:t>
      </w:r>
      <w:r>
        <w:rPr>
          <w:color w:val="231F20"/>
          <w:spacing w:val="3"/>
        </w:rPr>
        <w:t>hablan generalmente </w:t>
      </w:r>
      <w:r>
        <w:rPr>
          <w:color w:val="231F20"/>
        </w:rPr>
        <w:t>de </w:t>
      </w:r>
      <w:r>
        <w:rPr>
          <w:i/>
          <w:color w:val="231F20"/>
          <w:spacing w:val="2"/>
        </w:rPr>
        <w:t>cosas</w:t>
      </w:r>
      <w:r>
        <w:rPr>
          <w:color w:val="231F20"/>
          <w:spacing w:val="2"/>
        </w:rPr>
        <w:t>, </w:t>
      </w:r>
      <w:r>
        <w:rPr>
          <w:color w:val="231F20"/>
        </w:rPr>
        <w:t>que </w:t>
      </w:r>
      <w:r>
        <w:rPr>
          <w:color w:val="231F20"/>
          <w:spacing w:val="2"/>
        </w:rPr>
        <w:t>deben llegar </w:t>
      </w:r>
      <w:r>
        <w:rPr>
          <w:color w:val="231F20"/>
        </w:rPr>
        <w:t>a </w:t>
      </w:r>
      <w:r>
        <w:rPr>
          <w:color w:val="231F20"/>
          <w:spacing w:val="2"/>
        </w:rPr>
        <w:t>acuerdos </w:t>
      </w:r>
      <w:r>
        <w:rPr>
          <w:color w:val="231F20"/>
        </w:rPr>
        <w:t>de </w:t>
      </w:r>
      <w:r>
        <w:rPr>
          <w:color w:val="231F20"/>
          <w:spacing w:val="3"/>
        </w:rPr>
        <w:t>manera </w:t>
      </w:r>
      <w:r>
        <w:rPr>
          <w:color w:val="231F20"/>
          <w:spacing w:val="2"/>
        </w:rPr>
        <w:t>“previa” </w:t>
      </w:r>
      <w:r>
        <w:rPr>
          <w:color w:val="231F20"/>
        </w:rPr>
        <w:t>al </w:t>
      </w:r>
      <w:r>
        <w:rPr>
          <w:color w:val="231F20"/>
          <w:spacing w:val="2"/>
        </w:rPr>
        <w:t>aprendizaje, </w:t>
      </w:r>
      <w:r>
        <w:rPr>
          <w:color w:val="231F20"/>
        </w:rPr>
        <w:t>que es </w:t>
      </w:r>
      <w:r>
        <w:rPr>
          <w:color w:val="231F20"/>
          <w:spacing w:val="3"/>
        </w:rPr>
        <w:t>producto </w:t>
      </w:r>
      <w:r>
        <w:rPr>
          <w:color w:val="231F20"/>
        </w:rPr>
        <w:t>de </w:t>
      </w:r>
      <w:r>
        <w:rPr>
          <w:color w:val="231F20"/>
          <w:spacing w:val="2"/>
        </w:rPr>
        <w:t>acuerdos. </w:t>
      </w:r>
      <w:r>
        <w:rPr>
          <w:color w:val="231F20"/>
        </w:rPr>
        <w:t>En el </w:t>
      </w:r>
      <w:r>
        <w:rPr>
          <w:color w:val="231F20"/>
          <w:spacing w:val="2"/>
        </w:rPr>
        <w:t>caso   </w:t>
      </w:r>
      <w:r>
        <w:rPr>
          <w:color w:val="231F20"/>
        </w:rPr>
        <w:t>de la </w:t>
      </w:r>
      <w:r>
        <w:rPr>
          <w:color w:val="231F20"/>
          <w:spacing w:val="2"/>
        </w:rPr>
        <w:t>acción estratégica, </w:t>
      </w:r>
      <w:r>
        <w:rPr>
          <w:color w:val="231F20"/>
        </w:rPr>
        <w:t>en la </w:t>
      </w:r>
      <w:r>
        <w:rPr>
          <w:color w:val="231F20"/>
          <w:spacing w:val="2"/>
        </w:rPr>
        <w:t>cual  </w:t>
      </w:r>
      <w:r>
        <w:rPr>
          <w:color w:val="231F20"/>
        </w:rPr>
        <w:t>el  </w:t>
      </w:r>
      <w:r>
        <w:rPr>
          <w:color w:val="231F20"/>
          <w:spacing w:val="3"/>
        </w:rPr>
        <w:t>profesor</w:t>
      </w:r>
      <w:r>
        <w:rPr>
          <w:color w:val="231F20"/>
          <w:spacing w:val="58"/>
        </w:rPr>
        <w:t> </w:t>
      </w:r>
      <w:r>
        <w:rPr>
          <w:color w:val="231F20"/>
          <w:spacing w:val="2"/>
        </w:rPr>
        <w:t>actúa unilateralmente </w:t>
      </w:r>
      <w:r>
        <w:rPr>
          <w:color w:val="231F20"/>
          <w:spacing w:val="3"/>
        </w:rPr>
        <w:t>“imponiendo”, </w:t>
      </w:r>
      <w:r>
        <w:rPr>
          <w:color w:val="231F20"/>
          <w:spacing w:val="2"/>
        </w:rPr>
        <w:t>violentando, </w:t>
      </w:r>
      <w:r>
        <w:rPr>
          <w:color w:val="231F20"/>
        </w:rPr>
        <w:t>en </w:t>
      </w:r>
      <w:r>
        <w:rPr>
          <w:color w:val="231F20"/>
          <w:spacing w:val="2"/>
        </w:rPr>
        <w:t>efecto  </w:t>
      </w:r>
      <w:r>
        <w:rPr>
          <w:color w:val="231F20"/>
          <w:spacing w:val="3"/>
        </w:rPr>
        <w:t>topamos  </w:t>
      </w:r>
      <w:r>
        <w:rPr>
          <w:color w:val="231F20"/>
          <w:spacing w:val="2"/>
        </w:rPr>
        <w:t>con </w:t>
      </w:r>
      <w:r>
        <w:rPr>
          <w:color w:val="231F20"/>
        </w:rPr>
        <w:t>un </w:t>
      </w:r>
      <w:r>
        <w:rPr>
          <w:color w:val="231F20"/>
          <w:spacing w:val="3"/>
        </w:rPr>
        <w:t>problema: ¿cómo </w:t>
      </w:r>
      <w:r>
        <w:rPr>
          <w:color w:val="231F20"/>
          <w:spacing w:val="2"/>
        </w:rPr>
        <w:t>pueden esperarse acciones coordinadas, </w:t>
      </w:r>
      <w:r>
        <w:rPr>
          <w:color w:val="231F20"/>
          <w:spacing w:val="3"/>
        </w:rPr>
        <w:t>productos </w:t>
      </w:r>
      <w:r>
        <w:rPr>
          <w:color w:val="231F20"/>
        </w:rPr>
        <w:t>de </w:t>
      </w:r>
      <w:r>
        <w:rPr>
          <w:color w:val="231F20"/>
          <w:spacing w:val="2"/>
        </w:rPr>
        <w:t>acuerdo </w:t>
      </w:r>
      <w:r>
        <w:rPr>
          <w:color w:val="231F20"/>
          <w:spacing w:val="3"/>
        </w:rPr>
        <w:t>mutuo, </w:t>
      </w:r>
      <w:r>
        <w:rPr>
          <w:color w:val="231F20"/>
        </w:rPr>
        <w:t>si de </w:t>
      </w:r>
      <w:r>
        <w:rPr>
          <w:color w:val="231F20"/>
          <w:spacing w:val="2"/>
        </w:rPr>
        <w:t>hecho </w:t>
      </w:r>
      <w:r>
        <w:rPr>
          <w:color w:val="231F20"/>
        </w:rPr>
        <w:t>no </w:t>
      </w:r>
      <w:r>
        <w:rPr>
          <w:color w:val="231F20"/>
          <w:spacing w:val="2"/>
        </w:rPr>
        <w:t>hay </w:t>
      </w:r>
      <w:r>
        <w:rPr>
          <w:color w:val="231F20"/>
          <w:spacing w:val="3"/>
        </w:rPr>
        <w:t>racionalidades </w:t>
      </w:r>
      <w:r>
        <w:rPr>
          <w:color w:val="231F20"/>
          <w:spacing w:val="2"/>
        </w:rPr>
        <w:t>orientadas </w:t>
      </w:r>
      <w:r>
        <w:rPr>
          <w:color w:val="231F20"/>
        </w:rPr>
        <w:t>a </w:t>
      </w:r>
      <w:r>
        <w:rPr>
          <w:color w:val="231F20"/>
          <w:spacing w:val="3"/>
        </w:rPr>
        <w:t>entenderse?, </w:t>
      </w:r>
      <w:r>
        <w:rPr>
          <w:color w:val="231F20"/>
          <w:spacing w:val="2"/>
        </w:rPr>
        <w:t>dicho </w:t>
      </w:r>
      <w:r>
        <w:rPr>
          <w:color w:val="231F20"/>
        </w:rPr>
        <w:t>de </w:t>
      </w:r>
      <w:r>
        <w:rPr>
          <w:color w:val="231F20"/>
          <w:spacing w:val="2"/>
        </w:rPr>
        <w:t>otra </w:t>
      </w:r>
      <w:r>
        <w:rPr>
          <w:color w:val="231F20"/>
          <w:spacing w:val="3"/>
        </w:rPr>
        <w:t>manera: </w:t>
      </w:r>
      <w:r>
        <w:rPr>
          <w:color w:val="231F20"/>
          <w:spacing w:val="2"/>
        </w:rPr>
        <w:t>¿cómo esperar </w:t>
      </w:r>
      <w:r>
        <w:rPr>
          <w:color w:val="231F20"/>
        </w:rPr>
        <w:t>un </w:t>
      </w:r>
      <w:r>
        <w:rPr>
          <w:color w:val="231F20"/>
          <w:spacing w:val="2"/>
        </w:rPr>
        <w:t>aprendizaje </w:t>
      </w:r>
      <w:r>
        <w:rPr>
          <w:color w:val="231F20"/>
          <w:spacing w:val="3"/>
        </w:rPr>
        <w:t>como producto </w:t>
      </w:r>
      <w:r>
        <w:rPr>
          <w:color w:val="231F20"/>
        </w:rPr>
        <w:t>de la </w:t>
      </w:r>
      <w:r>
        <w:rPr>
          <w:color w:val="231F20"/>
          <w:spacing w:val="2"/>
        </w:rPr>
        <w:t>acción </w:t>
      </w:r>
      <w:r>
        <w:rPr>
          <w:color w:val="231F20"/>
          <w:spacing w:val="3"/>
        </w:rPr>
        <w:t>coordinada, </w:t>
      </w:r>
      <w:r>
        <w:rPr>
          <w:color w:val="231F20"/>
        </w:rPr>
        <w:t>si no </w:t>
      </w:r>
      <w:r>
        <w:rPr>
          <w:color w:val="231F20"/>
          <w:spacing w:val="2"/>
        </w:rPr>
        <w:t>existe acuerdo, sino </w:t>
      </w:r>
      <w:r>
        <w:rPr>
          <w:color w:val="231F20"/>
          <w:spacing w:val="3"/>
        </w:rPr>
        <w:t>sometimiento </w:t>
      </w:r>
      <w:r>
        <w:rPr>
          <w:color w:val="231F20"/>
          <w:spacing w:val="2"/>
        </w:rPr>
        <w:t>del sujeto </w:t>
      </w:r>
      <w:r>
        <w:rPr>
          <w:color w:val="231F20"/>
        </w:rPr>
        <w:t>que va a </w:t>
      </w:r>
      <w:r>
        <w:rPr>
          <w:color w:val="231F20"/>
          <w:spacing w:val="3"/>
        </w:rPr>
        <w:t>aprender?, ¿cómo </w:t>
      </w:r>
      <w:r>
        <w:rPr>
          <w:color w:val="231F20"/>
          <w:spacing w:val="2"/>
        </w:rPr>
        <w:t>esperar que </w:t>
      </w:r>
      <w:r>
        <w:rPr>
          <w:color w:val="231F20"/>
        </w:rPr>
        <w:t>la </w:t>
      </w:r>
      <w:r>
        <w:rPr>
          <w:color w:val="231F20"/>
          <w:spacing w:val="2"/>
        </w:rPr>
        <w:t>educación llegue </w:t>
      </w:r>
      <w:r>
        <w:rPr>
          <w:color w:val="231F20"/>
        </w:rPr>
        <w:t>a </w:t>
      </w:r>
      <w:r>
        <w:rPr>
          <w:color w:val="231F20"/>
          <w:spacing w:val="2"/>
        </w:rPr>
        <w:t>motivar </w:t>
      </w:r>
      <w:r>
        <w:rPr>
          <w:color w:val="231F20"/>
        </w:rPr>
        <w:t>un </w:t>
      </w:r>
      <w:r>
        <w:rPr>
          <w:color w:val="231F20"/>
          <w:spacing w:val="2"/>
        </w:rPr>
        <w:t>aprendizaje “sin” </w:t>
      </w:r>
      <w:r>
        <w:rPr>
          <w:color w:val="231F20"/>
        </w:rPr>
        <w:t>la </w:t>
      </w:r>
      <w:r>
        <w:rPr>
          <w:color w:val="231F20"/>
          <w:spacing w:val="2"/>
        </w:rPr>
        <w:t>voluntad </w:t>
      </w:r>
      <w:r>
        <w:rPr>
          <w:color w:val="231F20"/>
        </w:rPr>
        <w:t>de la </w:t>
      </w:r>
      <w:r>
        <w:rPr>
          <w:color w:val="231F20"/>
          <w:spacing w:val="3"/>
        </w:rPr>
        <w:t>persona </w:t>
      </w:r>
      <w:r>
        <w:rPr>
          <w:color w:val="231F20"/>
        </w:rPr>
        <w:t>que</w:t>
      </w:r>
      <w:r>
        <w:rPr>
          <w:color w:val="231F20"/>
          <w:spacing w:val="32"/>
        </w:rPr>
        <w:t> </w:t>
      </w:r>
      <w:r>
        <w:rPr>
          <w:color w:val="231F20"/>
          <w:spacing w:val="3"/>
        </w:rPr>
        <w:t>aprende?</w:t>
      </w:r>
    </w:p>
    <w:p>
      <w:pPr>
        <w:pStyle w:val="BodyText"/>
        <w:spacing w:line="249" w:lineRule="auto"/>
        <w:ind w:left="101" w:right="117" w:firstLine="284"/>
        <w:jc w:val="both"/>
      </w:pPr>
      <w:r>
        <w:rPr>
          <w:color w:val="231F20"/>
        </w:rPr>
        <w:t>La </w:t>
      </w:r>
      <w:r>
        <w:rPr>
          <w:color w:val="231F20"/>
          <w:spacing w:val="2"/>
        </w:rPr>
        <w:t>enseñanza implica </w:t>
      </w:r>
      <w:r>
        <w:rPr>
          <w:color w:val="231F20"/>
        </w:rPr>
        <w:t>una </w:t>
      </w:r>
      <w:r>
        <w:rPr>
          <w:color w:val="231F20"/>
          <w:spacing w:val="2"/>
        </w:rPr>
        <w:t>relación entre personas, </w:t>
      </w:r>
      <w:r>
        <w:rPr>
          <w:color w:val="231F20"/>
        </w:rPr>
        <w:t>el </w:t>
      </w:r>
      <w:r>
        <w:rPr>
          <w:color w:val="231F20"/>
          <w:spacing w:val="2"/>
        </w:rPr>
        <w:t>aprendizaje implica una relación entre </w:t>
      </w:r>
      <w:r>
        <w:rPr>
          <w:color w:val="231F20"/>
          <w:spacing w:val="3"/>
        </w:rPr>
        <w:t>persona </w:t>
      </w:r>
      <w:r>
        <w:rPr>
          <w:color w:val="231F20"/>
        </w:rPr>
        <w:t>y </w:t>
      </w:r>
      <w:r>
        <w:rPr>
          <w:i/>
          <w:color w:val="231F20"/>
          <w:spacing w:val="2"/>
        </w:rPr>
        <w:t>objeto </w:t>
      </w:r>
      <w:r>
        <w:rPr>
          <w:color w:val="231F20"/>
        </w:rPr>
        <w:t>de </w:t>
      </w:r>
      <w:r>
        <w:rPr>
          <w:color w:val="231F20"/>
          <w:spacing w:val="3"/>
        </w:rPr>
        <w:t>conocimiento. </w:t>
      </w:r>
      <w:r>
        <w:rPr>
          <w:color w:val="231F20"/>
        </w:rPr>
        <w:t>Lo </w:t>
      </w:r>
      <w:r>
        <w:rPr>
          <w:color w:val="231F20"/>
          <w:spacing w:val="2"/>
        </w:rPr>
        <w:t>más que </w:t>
      </w:r>
      <w:r>
        <w:rPr>
          <w:color w:val="231F20"/>
          <w:spacing w:val="3"/>
        </w:rPr>
        <w:t>puede </w:t>
      </w:r>
      <w:r>
        <w:rPr>
          <w:color w:val="231F20"/>
          <w:spacing w:val="2"/>
        </w:rPr>
        <w:t>esperarse </w:t>
      </w:r>
      <w:r>
        <w:rPr>
          <w:color w:val="231F20"/>
        </w:rPr>
        <w:t>de </w:t>
      </w:r>
      <w:r>
        <w:rPr>
          <w:color w:val="231F20"/>
          <w:spacing w:val="2"/>
        </w:rPr>
        <w:t>una </w:t>
      </w:r>
      <w:r>
        <w:rPr>
          <w:color w:val="231F20"/>
          <w:spacing w:val="3"/>
        </w:rPr>
        <w:t>acción </w:t>
      </w:r>
      <w:r>
        <w:rPr>
          <w:color w:val="231F20"/>
          <w:spacing w:val="2"/>
        </w:rPr>
        <w:t>estratégica por parte del </w:t>
      </w:r>
      <w:r>
        <w:rPr>
          <w:color w:val="231F20"/>
          <w:spacing w:val="3"/>
        </w:rPr>
        <w:t>profesor, entonces, </w:t>
      </w:r>
      <w:r>
        <w:rPr>
          <w:color w:val="231F20"/>
        </w:rPr>
        <w:t>es el </w:t>
      </w:r>
      <w:r>
        <w:rPr>
          <w:color w:val="231F20"/>
          <w:spacing w:val="3"/>
        </w:rPr>
        <w:t>sometimiento </w:t>
      </w:r>
      <w:r>
        <w:rPr>
          <w:color w:val="231F20"/>
          <w:spacing w:val="2"/>
        </w:rPr>
        <w:t>aparente del </w:t>
      </w:r>
      <w:r>
        <w:rPr>
          <w:color w:val="231F20"/>
          <w:spacing w:val="3"/>
        </w:rPr>
        <w:t>alumno, </w:t>
      </w:r>
      <w:r>
        <w:rPr>
          <w:color w:val="231F20"/>
        </w:rPr>
        <w:t>y </w:t>
      </w:r>
      <w:r>
        <w:rPr>
          <w:color w:val="231F20"/>
          <w:spacing w:val="2"/>
        </w:rPr>
        <w:t>quizá </w:t>
      </w:r>
      <w:r>
        <w:rPr>
          <w:color w:val="231F20"/>
          <w:spacing w:val="3"/>
        </w:rPr>
        <w:t>muchas </w:t>
      </w:r>
      <w:r>
        <w:rPr>
          <w:color w:val="231F20"/>
          <w:spacing w:val="2"/>
        </w:rPr>
        <w:t>cosas más, pero </w:t>
      </w:r>
      <w:r>
        <w:rPr>
          <w:color w:val="231F20"/>
        </w:rPr>
        <w:t>no el </w:t>
      </w:r>
      <w:r>
        <w:rPr>
          <w:color w:val="231F20"/>
          <w:spacing w:val="3"/>
        </w:rPr>
        <w:t>cumplimiento </w:t>
      </w:r>
      <w:r>
        <w:rPr>
          <w:color w:val="231F20"/>
        </w:rPr>
        <w:t>de la </w:t>
      </w:r>
      <w:r>
        <w:rPr>
          <w:color w:val="231F20"/>
          <w:spacing w:val="3"/>
        </w:rPr>
        <w:t>promesa</w:t>
      </w:r>
      <w:r>
        <w:rPr>
          <w:color w:val="231F20"/>
          <w:spacing w:val="1"/>
        </w:rPr>
        <w:t> </w:t>
      </w:r>
      <w:r>
        <w:rPr>
          <w:color w:val="231F20"/>
          <w:spacing w:val="2"/>
        </w:rPr>
        <w:t>educativa.</w:t>
      </w:r>
    </w:p>
    <w:p>
      <w:pPr>
        <w:pStyle w:val="BodyText"/>
        <w:spacing w:line="249" w:lineRule="auto"/>
        <w:ind w:left="101" w:right="116" w:firstLine="284"/>
        <w:jc w:val="both"/>
      </w:pPr>
      <w:r>
        <w:rPr>
          <w:color w:val="231F20"/>
        </w:rPr>
        <w:t>La </w:t>
      </w:r>
      <w:r>
        <w:rPr>
          <w:color w:val="231F20"/>
          <w:spacing w:val="2"/>
        </w:rPr>
        <w:t>explicación </w:t>
      </w:r>
      <w:r>
        <w:rPr>
          <w:color w:val="231F20"/>
        </w:rPr>
        <w:t>de la </w:t>
      </w:r>
      <w:r>
        <w:rPr>
          <w:color w:val="231F20"/>
          <w:spacing w:val="2"/>
        </w:rPr>
        <w:t>presencia </w:t>
      </w:r>
      <w:r>
        <w:rPr>
          <w:color w:val="231F20"/>
        </w:rPr>
        <w:t>de </w:t>
      </w:r>
      <w:r>
        <w:rPr>
          <w:color w:val="231F20"/>
          <w:spacing w:val="2"/>
        </w:rPr>
        <w:t>acciones estratégicas halladas </w:t>
      </w:r>
      <w:r>
        <w:rPr>
          <w:color w:val="231F20"/>
        </w:rPr>
        <w:t>en el </w:t>
      </w:r>
      <w:r>
        <w:rPr>
          <w:color w:val="231F20"/>
          <w:spacing w:val="2"/>
        </w:rPr>
        <w:t>aula radica </w:t>
      </w:r>
      <w:r>
        <w:rPr>
          <w:color w:val="231F20"/>
        </w:rPr>
        <w:t>en un </w:t>
      </w:r>
      <w:r>
        <w:rPr>
          <w:color w:val="231F20"/>
          <w:spacing w:val="2"/>
        </w:rPr>
        <w:t>grado </w:t>
      </w:r>
      <w:r>
        <w:rPr>
          <w:color w:val="231F20"/>
        </w:rPr>
        <w:t>de </w:t>
      </w:r>
      <w:r>
        <w:rPr>
          <w:color w:val="231F20"/>
          <w:spacing w:val="2"/>
        </w:rPr>
        <w:t>colonización del </w:t>
      </w:r>
      <w:r>
        <w:rPr>
          <w:color w:val="231F20"/>
          <w:spacing w:val="3"/>
        </w:rPr>
        <w:t>Mundo </w:t>
      </w:r>
      <w:r>
        <w:rPr>
          <w:color w:val="231F20"/>
        </w:rPr>
        <w:t>de  la  </w:t>
      </w:r>
      <w:r>
        <w:rPr>
          <w:color w:val="231F20"/>
          <w:spacing w:val="2"/>
        </w:rPr>
        <w:t>Vida por </w:t>
      </w:r>
      <w:r>
        <w:rPr>
          <w:color w:val="231F20"/>
        </w:rPr>
        <w:t>el </w:t>
      </w:r>
      <w:r>
        <w:rPr>
          <w:color w:val="231F20"/>
          <w:spacing w:val="2"/>
        </w:rPr>
        <w:t>Sistema. Los ámbitos sociales menos colonizados, </w:t>
      </w:r>
      <w:r>
        <w:rPr>
          <w:color w:val="231F20"/>
          <w:spacing w:val="3"/>
        </w:rPr>
        <w:t>como </w:t>
      </w:r>
      <w:r>
        <w:rPr>
          <w:color w:val="231F20"/>
        </w:rPr>
        <w:t>lo ha </w:t>
      </w:r>
      <w:r>
        <w:rPr>
          <w:color w:val="231F20"/>
          <w:spacing w:val="2"/>
        </w:rPr>
        <w:t>asegurado </w:t>
      </w:r>
      <w:r>
        <w:rPr>
          <w:color w:val="231F20"/>
          <w:spacing w:val="3"/>
        </w:rPr>
        <w:t>Habermas, </w:t>
      </w:r>
      <w:r>
        <w:rPr>
          <w:color w:val="231F20"/>
          <w:spacing w:val="2"/>
        </w:rPr>
        <w:t>son </w:t>
      </w:r>
      <w:r>
        <w:rPr>
          <w:color w:val="231F20"/>
        </w:rPr>
        <w:t>la </w:t>
      </w:r>
      <w:r>
        <w:rPr>
          <w:color w:val="231F20"/>
          <w:spacing w:val="2"/>
        </w:rPr>
        <w:t>escuela </w:t>
      </w:r>
      <w:r>
        <w:rPr>
          <w:color w:val="231F20"/>
        </w:rPr>
        <w:t>y la </w:t>
      </w:r>
      <w:r>
        <w:rPr>
          <w:color w:val="231F20"/>
          <w:spacing w:val="2"/>
        </w:rPr>
        <w:t>familia, “porque” son </w:t>
      </w:r>
      <w:r>
        <w:rPr>
          <w:color w:val="231F20"/>
          <w:spacing w:val="3"/>
        </w:rPr>
        <w:t>ámbitos </w:t>
      </w:r>
      <w:r>
        <w:rPr>
          <w:color w:val="231F20"/>
        </w:rPr>
        <w:t>en </w:t>
      </w:r>
      <w:r>
        <w:rPr>
          <w:color w:val="231F20"/>
          <w:spacing w:val="2"/>
        </w:rPr>
        <w:t>los </w:t>
      </w:r>
      <w:r>
        <w:rPr>
          <w:color w:val="231F20"/>
        </w:rPr>
        <w:t>que el </w:t>
      </w:r>
      <w:r>
        <w:rPr>
          <w:color w:val="231F20"/>
          <w:spacing w:val="3"/>
        </w:rPr>
        <w:t>poder </w:t>
      </w:r>
      <w:r>
        <w:rPr>
          <w:color w:val="231F20"/>
        </w:rPr>
        <w:t>y el </w:t>
      </w:r>
      <w:r>
        <w:rPr>
          <w:color w:val="231F20"/>
          <w:spacing w:val="2"/>
        </w:rPr>
        <w:t>dinero gravitan </w:t>
      </w:r>
      <w:r>
        <w:rPr>
          <w:color w:val="231F20"/>
        </w:rPr>
        <w:t>en </w:t>
      </w:r>
      <w:r>
        <w:rPr>
          <w:color w:val="231F20"/>
          <w:spacing w:val="2"/>
        </w:rPr>
        <w:t>menor medida </w:t>
      </w:r>
      <w:r>
        <w:rPr>
          <w:color w:val="231F20"/>
        </w:rPr>
        <w:t>que en, por </w:t>
      </w:r>
      <w:r>
        <w:rPr>
          <w:color w:val="231F20"/>
          <w:spacing w:val="2"/>
        </w:rPr>
        <w:t>ejemplo, </w:t>
      </w:r>
      <w:r>
        <w:rPr>
          <w:color w:val="231F20"/>
        </w:rPr>
        <w:t>las  </w:t>
      </w:r>
      <w:r>
        <w:rPr>
          <w:color w:val="231F20"/>
          <w:spacing w:val="2"/>
        </w:rPr>
        <w:t>organizaciones empresariales </w:t>
      </w:r>
      <w:r>
        <w:rPr>
          <w:color w:val="231F20"/>
        </w:rPr>
        <w:t>y </w:t>
      </w:r>
      <w:r>
        <w:rPr>
          <w:color w:val="231F20"/>
          <w:spacing w:val="2"/>
        </w:rPr>
        <w:t>estatales. Sin </w:t>
      </w:r>
      <w:r>
        <w:rPr>
          <w:color w:val="231F20"/>
          <w:spacing w:val="3"/>
        </w:rPr>
        <w:t>embargo, </w:t>
      </w:r>
      <w:r>
        <w:rPr>
          <w:color w:val="231F20"/>
        </w:rPr>
        <w:t>en la </w:t>
      </w:r>
      <w:r>
        <w:rPr>
          <w:color w:val="231F20"/>
          <w:spacing w:val="3"/>
        </w:rPr>
        <w:t>medida </w:t>
      </w:r>
      <w:r>
        <w:rPr>
          <w:color w:val="231F20"/>
        </w:rPr>
        <w:t>en que el </w:t>
      </w:r>
      <w:r>
        <w:rPr>
          <w:color w:val="231F20"/>
          <w:spacing w:val="2"/>
        </w:rPr>
        <w:t>Sistema logra colarse </w:t>
      </w:r>
      <w:r>
        <w:rPr>
          <w:color w:val="231F20"/>
        </w:rPr>
        <w:t>a las </w:t>
      </w:r>
      <w:r>
        <w:rPr>
          <w:color w:val="231F20"/>
          <w:spacing w:val="2"/>
        </w:rPr>
        <w:t>instancias educativas, colonizarlas, aparece </w:t>
      </w:r>
      <w:r>
        <w:rPr>
          <w:color w:val="231F20"/>
        </w:rPr>
        <w:t>el </w:t>
      </w:r>
      <w:r>
        <w:rPr>
          <w:color w:val="231F20"/>
          <w:spacing w:val="2"/>
        </w:rPr>
        <w:t>sistema educativo orientado </w:t>
      </w:r>
      <w:r>
        <w:rPr>
          <w:color w:val="231F20"/>
          <w:spacing w:val="3"/>
        </w:rPr>
        <w:t>“como </w:t>
      </w:r>
      <w:r>
        <w:rPr>
          <w:color w:val="231F20"/>
          <w:spacing w:val="2"/>
        </w:rPr>
        <w:t>si”fuera una </w:t>
      </w:r>
      <w:r>
        <w:rPr>
          <w:color w:val="231F20"/>
          <w:spacing w:val="3"/>
        </w:rPr>
        <w:t>empresa, </w:t>
      </w:r>
      <w:r>
        <w:rPr>
          <w:color w:val="231F20"/>
          <w:spacing w:val="2"/>
        </w:rPr>
        <w:t>sus </w:t>
      </w:r>
      <w:r>
        <w:rPr>
          <w:color w:val="231F20"/>
          <w:spacing w:val="3"/>
        </w:rPr>
        <w:t>reglamentos </w:t>
      </w:r>
      <w:r>
        <w:rPr>
          <w:color w:val="231F20"/>
        </w:rPr>
        <w:t>y </w:t>
      </w:r>
      <w:r>
        <w:rPr>
          <w:color w:val="231F20"/>
          <w:spacing w:val="3"/>
        </w:rPr>
        <w:t>operaciones “como </w:t>
      </w:r>
      <w:r>
        <w:rPr>
          <w:color w:val="231F20"/>
        </w:rPr>
        <w:t>si” </w:t>
      </w:r>
      <w:r>
        <w:rPr>
          <w:color w:val="231F20"/>
          <w:spacing w:val="2"/>
        </w:rPr>
        <w:t>fueran </w:t>
      </w:r>
      <w:r>
        <w:rPr>
          <w:color w:val="231F20"/>
          <w:spacing w:val="3"/>
        </w:rPr>
        <w:t>elementos </w:t>
      </w:r>
      <w:r>
        <w:rPr>
          <w:color w:val="231F20"/>
        </w:rPr>
        <w:t>de </w:t>
      </w:r>
      <w:r>
        <w:rPr>
          <w:color w:val="231F20"/>
          <w:spacing w:val="3"/>
        </w:rPr>
        <w:t>Derecho </w:t>
      </w:r>
      <w:r>
        <w:rPr>
          <w:color w:val="231F20"/>
          <w:spacing w:val="2"/>
        </w:rPr>
        <w:t>Civil </w:t>
      </w:r>
      <w:r>
        <w:rPr>
          <w:color w:val="231F20"/>
        </w:rPr>
        <w:t>y </w:t>
      </w:r>
      <w:r>
        <w:rPr>
          <w:color w:val="231F20"/>
          <w:spacing w:val="2"/>
        </w:rPr>
        <w:t>objetos ajenos </w:t>
      </w:r>
      <w:r>
        <w:rPr>
          <w:color w:val="231F20"/>
        </w:rPr>
        <w:t>a </w:t>
      </w:r>
      <w:r>
        <w:rPr>
          <w:color w:val="231F20"/>
          <w:spacing w:val="2"/>
        </w:rPr>
        <w:t>los sujetos, </w:t>
      </w:r>
      <w:r>
        <w:rPr>
          <w:color w:val="231F20"/>
        </w:rPr>
        <w:t>y </w:t>
      </w:r>
      <w:r>
        <w:rPr>
          <w:color w:val="231F20"/>
          <w:spacing w:val="2"/>
        </w:rPr>
        <w:t>finalmente </w:t>
      </w:r>
      <w:r>
        <w:rPr>
          <w:color w:val="231F20"/>
        </w:rPr>
        <w:t>las </w:t>
      </w:r>
      <w:r>
        <w:rPr>
          <w:color w:val="231F20"/>
          <w:spacing w:val="3"/>
        </w:rPr>
        <w:t>personalidades </w:t>
      </w:r>
      <w:r>
        <w:rPr>
          <w:color w:val="231F20"/>
        </w:rPr>
        <w:t>de </w:t>
      </w:r>
      <w:r>
        <w:rPr>
          <w:color w:val="231F20"/>
          <w:spacing w:val="2"/>
        </w:rPr>
        <w:t>los sujetos </w:t>
      </w:r>
      <w:r>
        <w:rPr>
          <w:color w:val="231F20"/>
          <w:spacing w:val="3"/>
        </w:rPr>
        <w:t>“como </w:t>
      </w:r>
      <w:r>
        <w:rPr>
          <w:color w:val="231F20"/>
        </w:rPr>
        <w:t>si” </w:t>
      </w:r>
      <w:r>
        <w:rPr>
          <w:color w:val="231F20"/>
          <w:spacing w:val="2"/>
        </w:rPr>
        <w:t>hubieran sido diluidos </w:t>
      </w:r>
      <w:r>
        <w:rPr>
          <w:color w:val="231F20"/>
        </w:rPr>
        <w:t>en la </w:t>
      </w:r>
      <w:r>
        <w:rPr>
          <w:color w:val="231F20"/>
          <w:spacing w:val="3"/>
        </w:rPr>
        <w:t>forma </w:t>
      </w:r>
      <w:r>
        <w:rPr>
          <w:color w:val="231F20"/>
        </w:rPr>
        <w:t>de </w:t>
      </w:r>
      <w:r>
        <w:rPr>
          <w:color w:val="231F20"/>
          <w:spacing w:val="2"/>
        </w:rPr>
        <w:t>meras figuras: “los alumnos”, indiferenciados </w:t>
      </w:r>
      <w:r>
        <w:rPr>
          <w:color w:val="231F20"/>
        </w:rPr>
        <w:t>y </w:t>
      </w:r>
      <w:r>
        <w:rPr>
          <w:color w:val="231F20"/>
          <w:spacing w:val="3"/>
        </w:rPr>
        <w:t>anónimos; </w:t>
      </w:r>
      <w:r>
        <w:rPr>
          <w:color w:val="231F20"/>
          <w:spacing w:val="2"/>
        </w:rPr>
        <w:t>“los </w:t>
      </w:r>
      <w:r>
        <w:rPr>
          <w:color w:val="231F20"/>
          <w:spacing w:val="3"/>
        </w:rPr>
        <w:t>profesores” </w:t>
      </w:r>
      <w:r>
        <w:rPr>
          <w:color w:val="231F20"/>
          <w:spacing w:val="2"/>
        </w:rPr>
        <w:t>cosificados </w:t>
      </w:r>
      <w:r>
        <w:rPr>
          <w:color w:val="231F20"/>
        </w:rPr>
        <w:t>solo </w:t>
      </w:r>
      <w:r>
        <w:rPr>
          <w:color w:val="231F20"/>
          <w:spacing w:val="3"/>
        </w:rPr>
        <w:t>como </w:t>
      </w:r>
      <w:r>
        <w:rPr>
          <w:color w:val="231F20"/>
          <w:spacing w:val="2"/>
        </w:rPr>
        <w:t>objetos </w:t>
      </w:r>
      <w:r>
        <w:rPr>
          <w:color w:val="231F20"/>
          <w:spacing w:val="3"/>
        </w:rPr>
        <w:t>portadores </w:t>
      </w:r>
      <w:r>
        <w:rPr>
          <w:color w:val="231F20"/>
        </w:rPr>
        <w:t>de </w:t>
      </w:r>
      <w:r>
        <w:rPr>
          <w:color w:val="231F20"/>
          <w:spacing w:val="3"/>
        </w:rPr>
        <w:t>información </w:t>
      </w:r>
      <w:r>
        <w:rPr>
          <w:color w:val="231F20"/>
          <w:spacing w:val="2"/>
        </w:rPr>
        <w:t>académica </w:t>
      </w:r>
      <w:r>
        <w:rPr>
          <w:color w:val="231F20"/>
        </w:rPr>
        <w:t>y de </w:t>
      </w:r>
      <w:r>
        <w:rPr>
          <w:color w:val="231F20"/>
          <w:spacing w:val="2"/>
        </w:rPr>
        <w:t>posibles represalias </w:t>
      </w:r>
      <w:r>
        <w:rPr>
          <w:color w:val="231F20"/>
        </w:rPr>
        <w:t>de ser</w:t>
      </w:r>
      <w:r>
        <w:rPr>
          <w:color w:val="231F20"/>
          <w:spacing w:val="-7"/>
        </w:rPr>
        <w:t> </w:t>
      </w:r>
      <w:r>
        <w:rPr>
          <w:color w:val="231F20"/>
          <w:spacing w:val="2"/>
        </w:rPr>
        <w:t>necesario.</w:t>
      </w:r>
    </w:p>
    <w:p>
      <w:pPr>
        <w:pStyle w:val="BodyText"/>
        <w:spacing w:line="247" w:lineRule="auto"/>
        <w:ind w:left="101" w:right="118" w:firstLine="284"/>
        <w:jc w:val="both"/>
      </w:pPr>
      <w:r>
        <w:rPr>
          <w:color w:val="231F20"/>
        </w:rPr>
        <w:t>Cualquiera que sea el caso, las investigaciones educativas que toman en cuenta y se sitúan en el concepto de acción social propuesto por la teoría de la acción comunicativa encuentran prometedores derroteros para la caracterización de lo  que  sucede en los ámbitos de centro educativo y de aula; hay la posibilidad  de</w:t>
      </w:r>
    </w:p>
    <w:p>
      <w:pPr>
        <w:spacing w:after="0" w:line="247" w:lineRule="auto"/>
        <w:jc w:val="both"/>
        <w:sectPr>
          <w:headerReference w:type="default" r:id="rId562"/>
          <w:footerReference w:type="default" r:id="rId563"/>
          <w:pgSz w:w="7830" w:h="11910"/>
          <w:pgMar w:header="0" w:footer="424" w:top="500" w:bottom="620" w:left="920" w:right="900"/>
          <w:pgNumType w:start="24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9"/>
        <w:jc w:val="both"/>
      </w:pPr>
      <w:r>
        <w:rPr>
          <w:color w:val="231F20"/>
          <w:spacing w:val="2"/>
        </w:rPr>
        <w:t>detección </w:t>
      </w:r>
      <w:r>
        <w:rPr>
          <w:color w:val="231F20"/>
        </w:rPr>
        <w:t>de </w:t>
      </w:r>
      <w:r>
        <w:rPr>
          <w:color w:val="231F20"/>
          <w:spacing w:val="2"/>
        </w:rPr>
        <w:t>patologías </w:t>
      </w:r>
      <w:r>
        <w:rPr>
          <w:color w:val="231F20"/>
        </w:rPr>
        <w:t>en el </w:t>
      </w:r>
      <w:r>
        <w:rPr>
          <w:color w:val="231F20"/>
          <w:spacing w:val="2"/>
        </w:rPr>
        <w:t>nivel sociológico, </w:t>
      </w:r>
      <w:r>
        <w:rPr>
          <w:color w:val="231F20"/>
          <w:spacing w:val="3"/>
        </w:rPr>
        <w:t>como </w:t>
      </w:r>
      <w:r>
        <w:rPr>
          <w:color w:val="231F20"/>
        </w:rPr>
        <w:t>se ve, </w:t>
      </w:r>
      <w:r>
        <w:rPr>
          <w:color w:val="231F20"/>
          <w:spacing w:val="2"/>
        </w:rPr>
        <w:t>que pueden llevar </w:t>
      </w:r>
      <w:r>
        <w:rPr>
          <w:color w:val="231F20"/>
        </w:rPr>
        <w:t>a </w:t>
      </w:r>
      <w:r>
        <w:rPr>
          <w:color w:val="231F20"/>
          <w:spacing w:val="2"/>
        </w:rPr>
        <w:t>cuestiones relacionadas más con asuntos terapéuticos </w:t>
      </w:r>
      <w:r>
        <w:rPr>
          <w:color w:val="231F20"/>
          <w:spacing w:val="3"/>
        </w:rPr>
        <w:t>aunque </w:t>
      </w:r>
      <w:r>
        <w:rPr>
          <w:color w:val="231F20"/>
        </w:rPr>
        <w:t>no se </w:t>
      </w:r>
      <w:r>
        <w:rPr>
          <w:color w:val="231F20"/>
          <w:spacing w:val="2"/>
        </w:rPr>
        <w:t>descarta, por </w:t>
      </w:r>
      <w:r>
        <w:rPr>
          <w:color w:val="231F20"/>
          <w:spacing w:val="3"/>
        </w:rPr>
        <w:t>supuesto, </w:t>
      </w:r>
      <w:r>
        <w:rPr>
          <w:color w:val="231F20"/>
        </w:rPr>
        <w:t>la </w:t>
      </w:r>
      <w:r>
        <w:rPr>
          <w:color w:val="231F20"/>
          <w:spacing w:val="2"/>
        </w:rPr>
        <w:t>necesaria colaboración multidisciplinaria </w:t>
      </w:r>
      <w:r>
        <w:rPr>
          <w:color w:val="231F20"/>
        </w:rPr>
        <w:t>que </w:t>
      </w:r>
      <w:r>
        <w:rPr>
          <w:color w:val="231F20"/>
          <w:spacing w:val="3"/>
        </w:rPr>
        <w:t>pone </w:t>
      </w:r>
      <w:r>
        <w:rPr>
          <w:color w:val="231F20"/>
        </w:rPr>
        <w:t>a la </w:t>
      </w:r>
      <w:r>
        <w:rPr>
          <w:color w:val="231F20"/>
          <w:spacing w:val="2"/>
        </w:rPr>
        <w:t>pedagogía </w:t>
      </w:r>
      <w:r>
        <w:rPr>
          <w:color w:val="231F20"/>
        </w:rPr>
        <w:t>en el  </w:t>
      </w:r>
      <w:r>
        <w:rPr>
          <w:color w:val="231F20"/>
          <w:spacing w:val="2"/>
        </w:rPr>
        <w:t>punto </w:t>
      </w:r>
      <w:r>
        <w:rPr>
          <w:color w:val="231F20"/>
        </w:rPr>
        <w:t>de las </w:t>
      </w:r>
      <w:r>
        <w:rPr>
          <w:color w:val="231F20"/>
          <w:spacing w:val="3"/>
        </w:rPr>
        <w:t>colaboraciones provenientes </w:t>
      </w:r>
      <w:r>
        <w:rPr>
          <w:color w:val="231F20"/>
        </w:rPr>
        <w:t>de la </w:t>
      </w:r>
      <w:r>
        <w:rPr>
          <w:color w:val="231F20"/>
          <w:spacing w:val="2"/>
        </w:rPr>
        <w:t>propia Sociología, </w:t>
      </w:r>
      <w:r>
        <w:rPr>
          <w:color w:val="231F20"/>
        </w:rPr>
        <w:t>de la </w:t>
      </w:r>
      <w:r>
        <w:rPr>
          <w:color w:val="231F20"/>
          <w:spacing w:val="3"/>
        </w:rPr>
        <w:t>Antropología </w:t>
      </w:r>
      <w:r>
        <w:rPr>
          <w:color w:val="231F20"/>
        </w:rPr>
        <w:t>y de la </w:t>
      </w:r>
      <w:r>
        <w:rPr>
          <w:color w:val="231F20"/>
          <w:spacing w:val="2"/>
        </w:rPr>
        <w:t>Psicología </w:t>
      </w:r>
      <w:r>
        <w:rPr>
          <w:color w:val="231F20"/>
        </w:rPr>
        <w:t>de la</w:t>
      </w:r>
      <w:r>
        <w:rPr>
          <w:color w:val="231F20"/>
          <w:spacing w:val="-10"/>
        </w:rPr>
        <w:t> </w:t>
      </w:r>
      <w:r>
        <w:rPr>
          <w:color w:val="231F20"/>
          <w:spacing w:val="2"/>
        </w:rPr>
        <w:t>educación.</w:t>
      </w:r>
    </w:p>
    <w:p>
      <w:pPr>
        <w:pStyle w:val="BodyText"/>
        <w:spacing w:line="247" w:lineRule="auto"/>
        <w:ind w:left="101" w:right="118" w:firstLine="284"/>
        <w:jc w:val="both"/>
      </w:pPr>
      <w:r>
        <w:rPr>
          <w:color w:val="231F20"/>
        </w:rPr>
        <w:t>El Mundo de la Vida educativo muestra a la investigación los saberes de fondo, de contexto y horizonte; los saberes de fondo adquieren un sesgo particular que ha sido aprendido por la continuada práctica formativa desde los niveles preescolares hasta el nivel superior; son saberes de fondo “especiales”que provienen de un continuo ejercicio de observación y práctica de papeles del profesor, estudiante y administrativo.</w:t>
      </w:r>
    </w:p>
    <w:p>
      <w:pPr>
        <w:pStyle w:val="BodyText"/>
        <w:spacing w:line="249" w:lineRule="auto" w:before="1"/>
        <w:ind w:left="101" w:right="119" w:firstLine="284"/>
        <w:jc w:val="both"/>
      </w:pPr>
      <w:r>
        <w:rPr>
          <w:color w:val="231F20"/>
        </w:rPr>
        <w:t>A </w:t>
      </w:r>
      <w:r>
        <w:rPr>
          <w:color w:val="231F20"/>
          <w:spacing w:val="2"/>
        </w:rPr>
        <w:t>una secuencia </w:t>
      </w:r>
      <w:r>
        <w:rPr>
          <w:color w:val="231F20"/>
        </w:rPr>
        <w:t>de </w:t>
      </w:r>
      <w:r>
        <w:rPr>
          <w:color w:val="231F20"/>
          <w:spacing w:val="2"/>
        </w:rPr>
        <w:t>sentido hallada </w:t>
      </w:r>
      <w:r>
        <w:rPr>
          <w:color w:val="231F20"/>
        </w:rPr>
        <w:t>en la </w:t>
      </w:r>
      <w:r>
        <w:rPr>
          <w:color w:val="231F20"/>
          <w:spacing w:val="2"/>
        </w:rPr>
        <w:t>interacción entre </w:t>
      </w:r>
      <w:r>
        <w:rPr>
          <w:color w:val="231F20"/>
        </w:rPr>
        <w:t>un </w:t>
      </w:r>
      <w:r>
        <w:rPr>
          <w:color w:val="231F20"/>
          <w:spacing w:val="3"/>
        </w:rPr>
        <w:t>profesor </w:t>
      </w:r>
      <w:r>
        <w:rPr>
          <w:color w:val="231F20"/>
        </w:rPr>
        <w:t>y un </w:t>
      </w:r>
      <w:r>
        <w:rPr>
          <w:color w:val="231F20"/>
          <w:spacing w:val="2"/>
        </w:rPr>
        <w:t>estudiante </w:t>
      </w:r>
      <w:r>
        <w:rPr>
          <w:color w:val="231F20"/>
        </w:rPr>
        <w:t>en el </w:t>
      </w:r>
      <w:r>
        <w:rPr>
          <w:color w:val="231F20"/>
          <w:spacing w:val="2"/>
        </w:rPr>
        <w:t>aula, por ejemplo, sigue </w:t>
      </w:r>
      <w:r>
        <w:rPr>
          <w:color w:val="231F20"/>
          <w:spacing w:val="3"/>
        </w:rPr>
        <w:t>naturalmente </w:t>
      </w:r>
      <w:r>
        <w:rPr>
          <w:color w:val="231F20"/>
        </w:rPr>
        <w:t>la </w:t>
      </w:r>
      <w:r>
        <w:rPr>
          <w:color w:val="231F20"/>
          <w:spacing w:val="2"/>
        </w:rPr>
        <w:t>posibilidad </w:t>
      </w:r>
      <w:r>
        <w:rPr>
          <w:color w:val="231F20"/>
        </w:rPr>
        <w:t>del </w:t>
      </w:r>
      <w:r>
        <w:rPr>
          <w:color w:val="231F20"/>
          <w:spacing w:val="2"/>
        </w:rPr>
        <w:t>hallazgo </w:t>
      </w:r>
      <w:r>
        <w:rPr>
          <w:color w:val="231F20"/>
        </w:rPr>
        <w:t>no </w:t>
      </w:r>
      <w:r>
        <w:rPr>
          <w:color w:val="231F20"/>
          <w:spacing w:val="3"/>
        </w:rPr>
        <w:t>solo </w:t>
      </w:r>
      <w:r>
        <w:rPr>
          <w:color w:val="231F20"/>
        </w:rPr>
        <w:t>de </w:t>
      </w:r>
      <w:r>
        <w:rPr>
          <w:color w:val="231F20"/>
          <w:spacing w:val="2"/>
        </w:rPr>
        <w:t>los </w:t>
      </w:r>
      <w:r>
        <w:rPr>
          <w:color w:val="231F20"/>
          <w:spacing w:val="3"/>
        </w:rPr>
        <w:t>elementos </w:t>
      </w:r>
      <w:r>
        <w:rPr>
          <w:color w:val="231F20"/>
          <w:spacing w:val="2"/>
        </w:rPr>
        <w:t>del </w:t>
      </w:r>
      <w:r>
        <w:rPr>
          <w:color w:val="231F20"/>
          <w:spacing w:val="3"/>
        </w:rPr>
        <w:t>Mundo </w:t>
      </w:r>
      <w:r>
        <w:rPr>
          <w:color w:val="231F20"/>
        </w:rPr>
        <w:t>de la </w:t>
      </w:r>
      <w:r>
        <w:rPr>
          <w:color w:val="231F20"/>
          <w:spacing w:val="2"/>
        </w:rPr>
        <w:t>Vida que </w:t>
      </w:r>
      <w:r>
        <w:rPr>
          <w:color w:val="231F20"/>
        </w:rPr>
        <w:t>se </w:t>
      </w:r>
      <w:r>
        <w:rPr>
          <w:color w:val="231F20"/>
          <w:spacing w:val="3"/>
        </w:rPr>
        <w:t>ponen </w:t>
      </w:r>
      <w:r>
        <w:rPr>
          <w:color w:val="231F20"/>
        </w:rPr>
        <w:t>en </w:t>
      </w:r>
      <w:r>
        <w:rPr>
          <w:color w:val="231F20"/>
          <w:spacing w:val="2"/>
        </w:rPr>
        <w:t>obra, sino </w:t>
      </w:r>
      <w:r>
        <w:rPr>
          <w:color w:val="231F20"/>
        </w:rPr>
        <w:t>de las </w:t>
      </w:r>
      <w:r>
        <w:rPr>
          <w:color w:val="231F20"/>
          <w:spacing w:val="2"/>
        </w:rPr>
        <w:t>patologías propiciadas por </w:t>
      </w:r>
      <w:r>
        <w:rPr>
          <w:color w:val="231F20"/>
        </w:rPr>
        <w:t>el </w:t>
      </w:r>
      <w:r>
        <w:rPr>
          <w:color w:val="231F20"/>
          <w:spacing w:val="3"/>
        </w:rPr>
        <w:t>abundamiento </w:t>
      </w:r>
      <w:r>
        <w:rPr>
          <w:color w:val="231F20"/>
        </w:rPr>
        <w:t>o </w:t>
      </w:r>
      <w:r>
        <w:rPr>
          <w:color w:val="231F20"/>
          <w:spacing w:val="2"/>
        </w:rPr>
        <w:t>influencia </w:t>
      </w:r>
      <w:r>
        <w:rPr>
          <w:color w:val="231F20"/>
        </w:rPr>
        <w:t>de </w:t>
      </w:r>
      <w:r>
        <w:rPr>
          <w:color w:val="231F20"/>
          <w:spacing w:val="2"/>
        </w:rPr>
        <w:t>intervención </w:t>
      </w:r>
      <w:r>
        <w:rPr>
          <w:color w:val="231F20"/>
        </w:rPr>
        <w:t>de  </w:t>
      </w:r>
      <w:r>
        <w:rPr>
          <w:color w:val="231F20"/>
          <w:spacing w:val="2"/>
        </w:rPr>
        <w:t>los </w:t>
      </w:r>
      <w:r>
        <w:rPr>
          <w:color w:val="231F20"/>
          <w:spacing w:val="3"/>
        </w:rPr>
        <w:t>mundos </w:t>
      </w:r>
      <w:r>
        <w:rPr>
          <w:color w:val="231F20"/>
          <w:spacing w:val="2"/>
        </w:rPr>
        <w:t>subjetivo </w:t>
      </w:r>
      <w:r>
        <w:rPr>
          <w:color w:val="231F20"/>
          <w:spacing w:val="3"/>
        </w:rPr>
        <w:t>(personalidad) </w:t>
      </w:r>
      <w:r>
        <w:rPr>
          <w:color w:val="231F20"/>
        </w:rPr>
        <w:t>o </w:t>
      </w:r>
      <w:r>
        <w:rPr>
          <w:color w:val="231F20"/>
          <w:spacing w:val="2"/>
        </w:rPr>
        <w:t>intersubjetivo </w:t>
      </w:r>
      <w:r>
        <w:rPr>
          <w:color w:val="231F20"/>
          <w:spacing w:val="3"/>
        </w:rPr>
        <w:t>(normas </w:t>
      </w:r>
      <w:r>
        <w:rPr>
          <w:color w:val="231F20"/>
          <w:spacing w:val="2"/>
        </w:rPr>
        <w:t>escolares </w:t>
      </w:r>
      <w:r>
        <w:rPr>
          <w:color w:val="231F20"/>
          <w:spacing w:val="3"/>
        </w:rPr>
        <w:t>impuestas </w:t>
      </w:r>
      <w:r>
        <w:rPr>
          <w:color w:val="231F20"/>
        </w:rPr>
        <w:t>o</w:t>
      </w:r>
      <w:r>
        <w:rPr>
          <w:color w:val="231F20"/>
          <w:spacing w:val="-4"/>
        </w:rPr>
        <w:t> </w:t>
      </w:r>
      <w:r>
        <w:rPr>
          <w:color w:val="231F20"/>
          <w:spacing w:val="2"/>
        </w:rPr>
        <w:t>no).</w:t>
      </w:r>
    </w:p>
    <w:p>
      <w:pPr>
        <w:pStyle w:val="BodyText"/>
        <w:spacing w:line="249" w:lineRule="auto"/>
        <w:ind w:left="102" w:right="114" w:firstLine="284"/>
        <w:jc w:val="both"/>
      </w:pPr>
      <w:r>
        <w:rPr>
          <w:color w:val="231F20"/>
          <w:spacing w:val="2"/>
        </w:rPr>
        <w:t>Hay </w:t>
      </w:r>
      <w:r>
        <w:rPr>
          <w:color w:val="231F20"/>
        </w:rPr>
        <w:t>que </w:t>
      </w:r>
      <w:r>
        <w:rPr>
          <w:color w:val="231F20"/>
          <w:spacing w:val="2"/>
        </w:rPr>
        <w:t>mencionar </w:t>
      </w:r>
      <w:r>
        <w:rPr>
          <w:color w:val="231F20"/>
        </w:rPr>
        <w:t>la </w:t>
      </w:r>
      <w:r>
        <w:rPr>
          <w:color w:val="231F20"/>
          <w:spacing w:val="2"/>
        </w:rPr>
        <w:t>relación </w:t>
      </w:r>
      <w:r>
        <w:rPr>
          <w:color w:val="231F20"/>
        </w:rPr>
        <w:t>que </w:t>
      </w:r>
      <w:r>
        <w:rPr>
          <w:color w:val="231F20"/>
          <w:spacing w:val="2"/>
        </w:rPr>
        <w:t>hay entre </w:t>
      </w:r>
      <w:r>
        <w:rPr>
          <w:color w:val="231F20"/>
          <w:spacing w:val="3"/>
        </w:rPr>
        <w:t>Mundo </w:t>
      </w:r>
      <w:r>
        <w:rPr>
          <w:color w:val="231F20"/>
        </w:rPr>
        <w:t>de la </w:t>
      </w:r>
      <w:r>
        <w:rPr>
          <w:color w:val="231F20"/>
          <w:spacing w:val="2"/>
        </w:rPr>
        <w:t>Vida </w:t>
      </w:r>
      <w:r>
        <w:rPr>
          <w:color w:val="231F20"/>
        </w:rPr>
        <w:t>y </w:t>
      </w:r>
      <w:r>
        <w:rPr>
          <w:color w:val="231F20"/>
          <w:spacing w:val="2"/>
        </w:rPr>
        <w:t>Sistema </w:t>
      </w:r>
      <w:r>
        <w:rPr>
          <w:color w:val="231F20"/>
        </w:rPr>
        <w:t>en la </w:t>
      </w:r>
      <w:r>
        <w:rPr>
          <w:color w:val="231F20"/>
          <w:spacing w:val="2"/>
        </w:rPr>
        <w:t>Teoría </w:t>
      </w:r>
      <w:r>
        <w:rPr>
          <w:color w:val="231F20"/>
        </w:rPr>
        <w:t>de la </w:t>
      </w:r>
      <w:r>
        <w:rPr>
          <w:color w:val="231F20"/>
          <w:spacing w:val="2"/>
        </w:rPr>
        <w:t>Acción </w:t>
      </w:r>
      <w:r>
        <w:rPr>
          <w:color w:val="231F20"/>
          <w:spacing w:val="3"/>
        </w:rPr>
        <w:t>Comunicativa. </w:t>
      </w:r>
      <w:r>
        <w:rPr>
          <w:color w:val="231F20"/>
        </w:rPr>
        <w:t>La </w:t>
      </w:r>
      <w:r>
        <w:rPr>
          <w:color w:val="231F20"/>
          <w:spacing w:val="2"/>
        </w:rPr>
        <w:t>atención </w:t>
      </w:r>
      <w:r>
        <w:rPr>
          <w:color w:val="231F20"/>
        </w:rPr>
        <w:t>en </w:t>
      </w:r>
      <w:r>
        <w:rPr>
          <w:color w:val="231F20"/>
          <w:spacing w:val="2"/>
        </w:rPr>
        <w:t>este </w:t>
      </w:r>
      <w:r>
        <w:rPr>
          <w:color w:val="231F20"/>
          <w:spacing w:val="3"/>
        </w:rPr>
        <w:t>punto </w:t>
      </w:r>
      <w:r>
        <w:rPr>
          <w:color w:val="231F20"/>
        </w:rPr>
        <w:t>lleva a </w:t>
      </w:r>
      <w:r>
        <w:rPr>
          <w:color w:val="231F20"/>
          <w:spacing w:val="2"/>
        </w:rPr>
        <w:t>investigar </w:t>
      </w:r>
      <w:r>
        <w:rPr>
          <w:color w:val="231F20"/>
        </w:rPr>
        <w:t>en </w:t>
      </w:r>
      <w:r>
        <w:rPr>
          <w:color w:val="231F20"/>
          <w:spacing w:val="2"/>
        </w:rPr>
        <w:t>educación </w:t>
      </w:r>
      <w:r>
        <w:rPr>
          <w:color w:val="231F20"/>
        </w:rPr>
        <w:t>a un </w:t>
      </w:r>
      <w:r>
        <w:rPr>
          <w:color w:val="231F20"/>
          <w:spacing w:val="2"/>
        </w:rPr>
        <w:t>nivel </w:t>
      </w:r>
      <w:r>
        <w:rPr>
          <w:color w:val="231F20"/>
          <w:spacing w:val="3"/>
        </w:rPr>
        <w:t>sumamente </w:t>
      </w:r>
      <w:r>
        <w:rPr>
          <w:color w:val="231F20"/>
          <w:spacing w:val="2"/>
        </w:rPr>
        <w:t>productivo </w:t>
      </w:r>
      <w:r>
        <w:rPr>
          <w:color w:val="231F20"/>
        </w:rPr>
        <w:t>en </w:t>
      </w:r>
      <w:r>
        <w:rPr>
          <w:color w:val="231F20"/>
          <w:spacing w:val="2"/>
        </w:rPr>
        <w:t>cuanto </w:t>
      </w:r>
      <w:r>
        <w:rPr>
          <w:color w:val="231F20"/>
        </w:rPr>
        <w:t>a </w:t>
      </w:r>
      <w:r>
        <w:rPr>
          <w:color w:val="231F20"/>
          <w:spacing w:val="2"/>
        </w:rPr>
        <w:t>resultados relevantes tanto para </w:t>
      </w:r>
      <w:r>
        <w:rPr>
          <w:color w:val="231F20"/>
        </w:rPr>
        <w:t>la </w:t>
      </w:r>
      <w:r>
        <w:rPr>
          <w:color w:val="231F20"/>
          <w:spacing w:val="2"/>
        </w:rPr>
        <w:t>teoría </w:t>
      </w:r>
      <w:r>
        <w:rPr>
          <w:color w:val="231F20"/>
          <w:spacing w:val="3"/>
        </w:rPr>
        <w:t>como </w:t>
      </w:r>
      <w:r>
        <w:rPr>
          <w:color w:val="231F20"/>
          <w:spacing w:val="2"/>
        </w:rPr>
        <w:t>para </w:t>
      </w:r>
      <w:r>
        <w:rPr>
          <w:color w:val="231F20"/>
        </w:rPr>
        <w:t>la </w:t>
      </w:r>
      <w:r>
        <w:rPr>
          <w:color w:val="231F20"/>
          <w:spacing w:val="3"/>
        </w:rPr>
        <w:t>comprensión </w:t>
      </w:r>
      <w:r>
        <w:rPr>
          <w:color w:val="231F20"/>
        </w:rPr>
        <w:t>de </w:t>
      </w:r>
      <w:r>
        <w:rPr>
          <w:color w:val="231F20"/>
          <w:spacing w:val="2"/>
        </w:rPr>
        <w:t>los </w:t>
      </w:r>
      <w:r>
        <w:rPr>
          <w:color w:val="231F20"/>
          <w:spacing w:val="3"/>
        </w:rPr>
        <w:t>procesos </w:t>
      </w:r>
      <w:r>
        <w:rPr>
          <w:color w:val="231F20"/>
          <w:spacing w:val="2"/>
        </w:rPr>
        <w:t>educativos </w:t>
      </w:r>
      <w:r>
        <w:rPr>
          <w:color w:val="231F20"/>
        </w:rPr>
        <w:t>en </w:t>
      </w:r>
      <w:r>
        <w:rPr>
          <w:color w:val="231F20"/>
          <w:spacing w:val="2"/>
        </w:rPr>
        <w:t>general: entre </w:t>
      </w:r>
      <w:r>
        <w:rPr>
          <w:color w:val="231F20"/>
        </w:rPr>
        <w:t>el </w:t>
      </w:r>
      <w:r>
        <w:rPr>
          <w:color w:val="231F20"/>
          <w:spacing w:val="2"/>
        </w:rPr>
        <w:t>nivel más amplio, entre </w:t>
      </w:r>
      <w:r>
        <w:rPr>
          <w:color w:val="231F20"/>
        </w:rPr>
        <w:t>el </w:t>
      </w:r>
      <w:r>
        <w:rPr>
          <w:color w:val="231F20"/>
          <w:spacing w:val="2"/>
        </w:rPr>
        <w:t>contexto </w:t>
      </w:r>
      <w:r>
        <w:rPr>
          <w:color w:val="231F20"/>
          <w:spacing w:val="3"/>
        </w:rPr>
        <w:t>económico </w:t>
      </w:r>
      <w:r>
        <w:rPr>
          <w:color w:val="231F20"/>
        </w:rPr>
        <w:t>y </w:t>
      </w:r>
      <w:r>
        <w:rPr>
          <w:color w:val="231F20"/>
          <w:spacing w:val="3"/>
        </w:rPr>
        <w:t>social   </w:t>
      </w:r>
      <w:r>
        <w:rPr>
          <w:color w:val="231F20"/>
        </w:rPr>
        <w:t>(en el </w:t>
      </w:r>
      <w:r>
        <w:rPr>
          <w:color w:val="231F20"/>
          <w:spacing w:val="2"/>
        </w:rPr>
        <w:t>que destacan desigualdad creciente, privatización </w:t>
      </w:r>
      <w:r>
        <w:rPr>
          <w:color w:val="231F20"/>
        </w:rPr>
        <w:t>y  </w:t>
      </w:r>
      <w:r>
        <w:rPr>
          <w:color w:val="231F20"/>
          <w:spacing w:val="2"/>
        </w:rPr>
        <w:t>violencia) </w:t>
      </w:r>
      <w:r>
        <w:rPr>
          <w:color w:val="231F20"/>
        </w:rPr>
        <w:t>y la </w:t>
      </w:r>
      <w:r>
        <w:rPr>
          <w:color w:val="231F20"/>
          <w:spacing w:val="2"/>
        </w:rPr>
        <w:t>educación </w:t>
      </w:r>
      <w:r>
        <w:rPr>
          <w:color w:val="231F20"/>
          <w:spacing w:val="3"/>
        </w:rPr>
        <w:t>como </w:t>
      </w:r>
      <w:r>
        <w:rPr>
          <w:color w:val="231F20"/>
          <w:spacing w:val="2"/>
        </w:rPr>
        <w:t>“sector”. </w:t>
      </w:r>
      <w:r>
        <w:rPr>
          <w:color w:val="231F20"/>
        </w:rPr>
        <w:t>En un </w:t>
      </w:r>
      <w:r>
        <w:rPr>
          <w:color w:val="231F20"/>
          <w:spacing w:val="2"/>
        </w:rPr>
        <w:t>siguiente nivel, </w:t>
      </w:r>
      <w:r>
        <w:rPr>
          <w:color w:val="231F20"/>
        </w:rPr>
        <w:t>la </w:t>
      </w:r>
      <w:r>
        <w:rPr>
          <w:color w:val="231F20"/>
          <w:spacing w:val="2"/>
        </w:rPr>
        <w:t>esclerotización </w:t>
      </w:r>
      <w:r>
        <w:rPr>
          <w:color w:val="231F20"/>
        </w:rPr>
        <w:t>de los </w:t>
      </w:r>
      <w:r>
        <w:rPr>
          <w:color w:val="231F20"/>
          <w:spacing w:val="3"/>
        </w:rPr>
        <w:t>procesos </w:t>
      </w:r>
      <w:r>
        <w:rPr>
          <w:color w:val="231F20"/>
          <w:spacing w:val="2"/>
        </w:rPr>
        <w:t>educativos, </w:t>
      </w:r>
      <w:r>
        <w:rPr>
          <w:color w:val="231F20"/>
        </w:rPr>
        <w:t>su </w:t>
      </w:r>
      <w:r>
        <w:rPr>
          <w:color w:val="231F20"/>
          <w:spacing w:val="3"/>
        </w:rPr>
        <w:t>racionalidad instrumental </w:t>
      </w:r>
      <w:r>
        <w:rPr>
          <w:color w:val="231F20"/>
        </w:rPr>
        <w:t>y </w:t>
      </w:r>
      <w:r>
        <w:rPr>
          <w:color w:val="231F20"/>
          <w:spacing w:val="2"/>
        </w:rPr>
        <w:t>los </w:t>
      </w:r>
      <w:r>
        <w:rPr>
          <w:color w:val="231F20"/>
          <w:spacing w:val="3"/>
        </w:rPr>
        <w:t>esquemas </w:t>
      </w:r>
      <w:r>
        <w:rPr>
          <w:color w:val="231F20"/>
          <w:spacing w:val="2"/>
        </w:rPr>
        <w:t>administrativos, </w:t>
      </w:r>
      <w:r>
        <w:rPr>
          <w:color w:val="231F20"/>
          <w:spacing w:val="3"/>
        </w:rPr>
        <w:t>entronizados </w:t>
      </w:r>
      <w:r>
        <w:rPr>
          <w:color w:val="231F20"/>
          <w:spacing w:val="4"/>
        </w:rPr>
        <w:t>por </w:t>
      </w:r>
      <w:r>
        <w:rPr>
          <w:color w:val="231F20"/>
          <w:spacing w:val="2"/>
        </w:rPr>
        <w:t>factores sistémicos </w:t>
      </w:r>
      <w:r>
        <w:rPr>
          <w:color w:val="231F20"/>
        </w:rPr>
        <w:t>vía </w:t>
      </w:r>
      <w:r>
        <w:rPr>
          <w:color w:val="231F20"/>
          <w:spacing w:val="2"/>
        </w:rPr>
        <w:t>colonización, hacen concebir </w:t>
      </w:r>
      <w:r>
        <w:rPr>
          <w:color w:val="231F20"/>
        </w:rPr>
        <w:t>al </w:t>
      </w:r>
      <w:r>
        <w:rPr>
          <w:color w:val="231F20"/>
          <w:spacing w:val="2"/>
        </w:rPr>
        <w:t>centro educativo </w:t>
      </w:r>
      <w:r>
        <w:rPr>
          <w:color w:val="231F20"/>
          <w:spacing w:val="3"/>
        </w:rPr>
        <w:t>como </w:t>
      </w:r>
      <w:r>
        <w:rPr>
          <w:color w:val="231F20"/>
          <w:spacing w:val="2"/>
        </w:rPr>
        <w:t>una organización perteneciente </w:t>
      </w:r>
      <w:r>
        <w:rPr>
          <w:color w:val="231F20"/>
        </w:rPr>
        <w:t>a la </w:t>
      </w:r>
      <w:r>
        <w:rPr>
          <w:color w:val="231F20"/>
          <w:spacing w:val="2"/>
        </w:rPr>
        <w:t>órbita artificiosa </w:t>
      </w:r>
      <w:r>
        <w:rPr>
          <w:color w:val="231F20"/>
        </w:rPr>
        <w:t>de </w:t>
      </w:r>
      <w:r>
        <w:rPr>
          <w:color w:val="231F20"/>
          <w:spacing w:val="2"/>
        </w:rPr>
        <w:t>“servicios” </w:t>
      </w:r>
      <w:r>
        <w:rPr>
          <w:color w:val="231F20"/>
        </w:rPr>
        <w:t>si se </w:t>
      </w:r>
      <w:r>
        <w:rPr>
          <w:color w:val="231F20"/>
          <w:spacing w:val="2"/>
        </w:rPr>
        <w:t>habla </w:t>
      </w:r>
      <w:r>
        <w:rPr>
          <w:color w:val="231F20"/>
        </w:rPr>
        <w:t>de </w:t>
      </w:r>
      <w:r>
        <w:rPr>
          <w:color w:val="231F20"/>
          <w:spacing w:val="2"/>
        </w:rPr>
        <w:t>sectores</w:t>
      </w:r>
      <w:r>
        <w:rPr>
          <w:color w:val="231F20"/>
          <w:spacing w:val="8"/>
        </w:rPr>
        <w:t> </w:t>
      </w:r>
      <w:r>
        <w:rPr>
          <w:color w:val="231F20"/>
          <w:spacing w:val="3"/>
        </w:rPr>
        <w:t>económicos.</w:t>
      </w:r>
    </w:p>
    <w:p>
      <w:pPr>
        <w:pStyle w:val="BodyText"/>
        <w:spacing w:line="247" w:lineRule="auto"/>
        <w:ind w:left="102" w:right="118" w:firstLine="284"/>
        <w:jc w:val="both"/>
      </w:pPr>
      <w:r>
        <w:rPr>
          <w:color w:val="231F20"/>
        </w:rPr>
        <w:t>No debe olvidarse que la relación entre Mundo de la Vida y Sistema está planteada, desde la Teoría de  la  Acción Comunicativa, en términos de colonización del Mundo de la Vida, situada en el mundo capitalista.</w:t>
      </w:r>
    </w:p>
    <w:p>
      <w:pPr>
        <w:pStyle w:val="BodyText"/>
        <w:spacing w:line="247" w:lineRule="auto" w:before="1"/>
        <w:ind w:left="102" w:right="118" w:firstLine="284"/>
        <w:jc w:val="both"/>
      </w:pPr>
      <w:r>
        <w:rPr>
          <w:color w:val="231F20"/>
          <w:spacing w:val="2"/>
        </w:rPr>
        <w:t>Para </w:t>
      </w:r>
      <w:r>
        <w:rPr>
          <w:color w:val="231F20"/>
        </w:rPr>
        <w:t>la </w:t>
      </w:r>
      <w:r>
        <w:rPr>
          <w:color w:val="231F20"/>
          <w:spacing w:val="2"/>
        </w:rPr>
        <w:t>investigación </w:t>
      </w:r>
      <w:r>
        <w:rPr>
          <w:color w:val="231F20"/>
        </w:rPr>
        <w:t>en </w:t>
      </w:r>
      <w:r>
        <w:rPr>
          <w:color w:val="231F20"/>
          <w:spacing w:val="3"/>
        </w:rPr>
        <w:t>educación, </w:t>
      </w:r>
      <w:r>
        <w:rPr>
          <w:color w:val="231F20"/>
        </w:rPr>
        <w:t>la </w:t>
      </w:r>
      <w:r>
        <w:rPr>
          <w:color w:val="231F20"/>
          <w:spacing w:val="2"/>
        </w:rPr>
        <w:t>interrelación entre  </w:t>
      </w:r>
      <w:r>
        <w:rPr>
          <w:color w:val="231F20"/>
          <w:spacing w:val="3"/>
        </w:rPr>
        <w:t>Mundo  </w:t>
      </w:r>
      <w:r>
        <w:rPr>
          <w:color w:val="231F20"/>
        </w:rPr>
        <w:t>de  la  </w:t>
      </w:r>
      <w:r>
        <w:rPr>
          <w:color w:val="231F20"/>
          <w:spacing w:val="2"/>
        </w:rPr>
        <w:t>Vida  </w:t>
      </w:r>
      <w:r>
        <w:rPr>
          <w:color w:val="231F20"/>
        </w:rPr>
        <w:t>y  </w:t>
      </w:r>
      <w:r>
        <w:rPr>
          <w:color w:val="231F20"/>
          <w:spacing w:val="2"/>
        </w:rPr>
        <w:t>Sistema  </w:t>
      </w:r>
      <w:r>
        <w:rPr>
          <w:color w:val="231F20"/>
        </w:rPr>
        <w:t>se  </w:t>
      </w:r>
      <w:r>
        <w:rPr>
          <w:color w:val="231F20"/>
          <w:spacing w:val="2"/>
        </w:rPr>
        <w:t>constituyen  </w:t>
      </w:r>
      <w:r>
        <w:rPr>
          <w:color w:val="231F20"/>
          <w:spacing w:val="3"/>
        </w:rPr>
        <w:t>como  </w:t>
      </w:r>
      <w:r>
        <w:rPr>
          <w:color w:val="231F20"/>
        </w:rPr>
        <w:t>un </w:t>
      </w:r>
      <w:r>
        <w:rPr>
          <w:color w:val="231F20"/>
          <w:spacing w:val="12"/>
        </w:rPr>
        <w:t> </w:t>
      </w:r>
      <w:r>
        <w:rPr>
          <w:color w:val="231F20"/>
          <w:spacing w:val="2"/>
        </w:rPr>
        <w:t>espacio</w:t>
      </w:r>
    </w:p>
    <w:p>
      <w:pPr>
        <w:spacing w:after="0" w:line="247" w:lineRule="auto"/>
        <w:jc w:val="both"/>
        <w:sectPr>
          <w:headerReference w:type="default" r:id="rId564"/>
          <w:footerReference w:type="default" r:id="rId565"/>
          <w:pgSz w:w="7830" w:h="11910"/>
          <w:pgMar w:header="0" w:footer="424" w:top="500" w:bottom="620" w:left="920" w:right="900"/>
          <w:pgNumType w:start="248"/>
        </w:sectPr>
      </w:pPr>
    </w:p>
    <w:p>
      <w:pPr>
        <w:spacing w:before="48"/>
        <w:ind w:left="1463" w:right="121" w:firstLine="0"/>
        <w:jc w:val="left"/>
        <w:rPr>
          <w:rFonts w:ascii="Georgia" w:hAnsi="Georgia"/>
          <w:sz w:val="13"/>
        </w:rPr>
      </w:pPr>
      <w:r>
        <w:rPr>
          <w:rFonts w:ascii="Georgia" w:hAnsi="Georgia"/>
          <w:color w:val="231F20"/>
          <w:sz w:val="16"/>
        </w:rPr>
        <w:t>E</w:t>
      </w:r>
      <w:r>
        <w:rPr>
          <w:rFonts w:ascii="Georgia" w:hAnsi="Georgia"/>
          <w:color w:val="231F20"/>
          <w:sz w:val="13"/>
        </w:rPr>
        <w:t>STUDIOS SOBRE VIOLENCIA EN LA EDUCACIÓN</w:t>
      </w:r>
    </w:p>
    <w:p>
      <w:pPr>
        <w:pStyle w:val="BodyText"/>
        <w:rPr>
          <w:rFonts w:ascii="Georgia"/>
          <w:sz w:val="16"/>
        </w:rPr>
      </w:pPr>
    </w:p>
    <w:p>
      <w:pPr>
        <w:pStyle w:val="BodyText"/>
        <w:rPr>
          <w:rFonts w:ascii="Georgia"/>
          <w:sz w:val="16"/>
        </w:rPr>
      </w:pPr>
    </w:p>
    <w:p>
      <w:pPr>
        <w:pStyle w:val="BodyText"/>
        <w:spacing w:line="252" w:lineRule="auto" w:before="100"/>
        <w:ind w:left="101" w:right="118"/>
        <w:jc w:val="both"/>
        <w:rPr>
          <w:rFonts w:ascii="Georgia" w:hAnsi="Georgia"/>
        </w:rPr>
      </w:pPr>
      <w:r>
        <w:rPr>
          <w:rFonts w:ascii="Georgia" w:hAnsi="Georgia"/>
          <w:color w:val="231F20"/>
          <w:spacing w:val="2"/>
          <w:w w:val="95"/>
        </w:rPr>
        <w:t>privilegiado</w:t>
      </w:r>
      <w:r>
        <w:rPr>
          <w:rFonts w:ascii="Georgia" w:hAnsi="Georgia"/>
          <w:color w:val="231F20"/>
          <w:spacing w:val="-20"/>
          <w:w w:val="95"/>
        </w:rPr>
        <w:t> </w:t>
      </w:r>
      <w:r>
        <w:rPr>
          <w:rFonts w:ascii="Georgia" w:hAnsi="Georgia"/>
          <w:color w:val="231F20"/>
          <w:spacing w:val="2"/>
          <w:w w:val="95"/>
        </w:rPr>
        <w:t>para</w:t>
      </w:r>
      <w:r>
        <w:rPr>
          <w:rFonts w:ascii="Georgia" w:hAnsi="Georgia"/>
          <w:color w:val="231F20"/>
          <w:spacing w:val="-20"/>
          <w:w w:val="95"/>
        </w:rPr>
        <w:t> </w:t>
      </w:r>
      <w:r>
        <w:rPr>
          <w:rFonts w:ascii="Georgia" w:hAnsi="Georgia"/>
          <w:color w:val="231F20"/>
          <w:spacing w:val="2"/>
          <w:w w:val="95"/>
        </w:rPr>
        <w:t>analizar</w:t>
      </w:r>
      <w:r>
        <w:rPr>
          <w:rFonts w:ascii="Georgia" w:hAnsi="Georgia"/>
          <w:color w:val="231F20"/>
          <w:spacing w:val="-20"/>
          <w:w w:val="95"/>
        </w:rPr>
        <w:t> </w:t>
      </w:r>
      <w:r>
        <w:rPr>
          <w:rFonts w:ascii="Georgia" w:hAnsi="Georgia"/>
          <w:color w:val="231F20"/>
          <w:spacing w:val="2"/>
          <w:w w:val="95"/>
        </w:rPr>
        <w:t>los</w:t>
      </w:r>
      <w:r>
        <w:rPr>
          <w:rFonts w:ascii="Georgia" w:hAnsi="Georgia"/>
          <w:color w:val="231F20"/>
          <w:spacing w:val="-20"/>
          <w:w w:val="95"/>
        </w:rPr>
        <w:t> </w:t>
      </w:r>
      <w:r>
        <w:rPr>
          <w:rFonts w:ascii="Georgia" w:hAnsi="Georgia"/>
          <w:color w:val="231F20"/>
          <w:spacing w:val="2"/>
          <w:w w:val="95"/>
        </w:rPr>
        <w:t>efectos</w:t>
      </w:r>
      <w:r>
        <w:rPr>
          <w:rFonts w:ascii="Georgia" w:hAnsi="Georgia"/>
          <w:color w:val="231F20"/>
          <w:spacing w:val="-20"/>
          <w:w w:val="95"/>
        </w:rPr>
        <w:t> </w:t>
      </w:r>
      <w:r>
        <w:rPr>
          <w:rFonts w:ascii="Georgia" w:hAnsi="Georgia"/>
          <w:color w:val="231F20"/>
          <w:w w:val="95"/>
        </w:rPr>
        <w:t>que</w:t>
      </w:r>
      <w:r>
        <w:rPr>
          <w:rFonts w:ascii="Georgia" w:hAnsi="Georgia"/>
          <w:color w:val="231F20"/>
          <w:spacing w:val="-20"/>
          <w:w w:val="95"/>
        </w:rPr>
        <w:t> </w:t>
      </w:r>
      <w:r>
        <w:rPr>
          <w:rFonts w:ascii="Georgia" w:hAnsi="Georgia"/>
          <w:color w:val="231F20"/>
          <w:w w:val="95"/>
        </w:rPr>
        <w:t>las</w:t>
      </w:r>
      <w:r>
        <w:rPr>
          <w:rFonts w:ascii="Georgia" w:hAnsi="Georgia"/>
          <w:color w:val="231F20"/>
          <w:spacing w:val="-20"/>
          <w:w w:val="95"/>
        </w:rPr>
        <w:t> </w:t>
      </w:r>
      <w:r>
        <w:rPr>
          <w:rFonts w:ascii="Georgia" w:hAnsi="Georgia"/>
          <w:color w:val="231F20"/>
          <w:spacing w:val="3"/>
          <w:w w:val="95"/>
        </w:rPr>
        <w:t>reformas</w:t>
      </w:r>
      <w:r>
        <w:rPr>
          <w:rFonts w:ascii="Georgia" w:hAnsi="Georgia"/>
          <w:color w:val="231F20"/>
          <w:spacing w:val="-20"/>
          <w:w w:val="95"/>
        </w:rPr>
        <w:t> </w:t>
      </w:r>
      <w:r>
        <w:rPr>
          <w:rFonts w:ascii="Georgia" w:hAnsi="Georgia"/>
          <w:color w:val="231F20"/>
          <w:spacing w:val="2"/>
          <w:w w:val="95"/>
        </w:rPr>
        <w:t>educativas</w:t>
      </w:r>
      <w:r>
        <w:rPr>
          <w:rFonts w:ascii="Georgia" w:hAnsi="Georgia"/>
          <w:color w:val="231F20"/>
          <w:spacing w:val="-20"/>
          <w:w w:val="95"/>
        </w:rPr>
        <w:t> </w:t>
      </w:r>
      <w:r>
        <w:rPr>
          <w:rFonts w:ascii="Georgia" w:hAnsi="Georgia"/>
          <w:color w:val="231F20"/>
          <w:w w:val="95"/>
        </w:rPr>
        <w:t>y </w:t>
      </w:r>
      <w:r>
        <w:rPr>
          <w:rFonts w:ascii="Georgia" w:hAnsi="Georgia"/>
          <w:color w:val="231F20"/>
          <w:spacing w:val="2"/>
          <w:w w:val="95"/>
        </w:rPr>
        <w:t>lineamientos genéricos sobre </w:t>
      </w:r>
      <w:r>
        <w:rPr>
          <w:rFonts w:ascii="Georgia" w:hAnsi="Georgia"/>
          <w:color w:val="231F20"/>
          <w:w w:val="95"/>
        </w:rPr>
        <w:t>el </w:t>
      </w:r>
      <w:r>
        <w:rPr>
          <w:rFonts w:ascii="Georgia" w:hAnsi="Georgia"/>
          <w:color w:val="231F20"/>
          <w:spacing w:val="3"/>
          <w:w w:val="95"/>
        </w:rPr>
        <w:t>quehacer docente </w:t>
      </w:r>
      <w:r>
        <w:rPr>
          <w:rFonts w:ascii="Georgia" w:hAnsi="Georgia"/>
          <w:color w:val="231F20"/>
          <w:w w:val="95"/>
        </w:rPr>
        <w:t>y </w:t>
      </w:r>
      <w:r>
        <w:rPr>
          <w:rFonts w:ascii="Georgia" w:hAnsi="Georgia"/>
          <w:color w:val="231F20"/>
          <w:spacing w:val="2"/>
          <w:w w:val="95"/>
        </w:rPr>
        <w:t>administrativo,</w:t>
      </w:r>
      <w:r>
        <w:rPr>
          <w:rFonts w:ascii="Georgia" w:hAnsi="Georgia"/>
          <w:color w:val="231F20"/>
          <w:spacing w:val="-19"/>
          <w:w w:val="95"/>
        </w:rPr>
        <w:t> </w:t>
      </w:r>
      <w:r>
        <w:rPr>
          <w:rFonts w:ascii="Georgia" w:hAnsi="Georgia"/>
          <w:color w:val="231F20"/>
          <w:w w:val="95"/>
        </w:rPr>
        <w:t>y</w:t>
      </w:r>
      <w:r>
        <w:rPr>
          <w:rFonts w:ascii="Georgia" w:hAnsi="Georgia"/>
          <w:color w:val="231F20"/>
          <w:spacing w:val="-18"/>
          <w:w w:val="95"/>
        </w:rPr>
        <w:t> </w:t>
      </w:r>
      <w:r>
        <w:rPr>
          <w:rFonts w:ascii="Georgia" w:hAnsi="Georgia"/>
          <w:color w:val="231F20"/>
          <w:spacing w:val="2"/>
          <w:w w:val="95"/>
        </w:rPr>
        <w:t>tienen</w:t>
      </w:r>
      <w:r>
        <w:rPr>
          <w:rFonts w:ascii="Georgia" w:hAnsi="Georgia"/>
          <w:color w:val="231F20"/>
          <w:spacing w:val="-18"/>
          <w:w w:val="95"/>
        </w:rPr>
        <w:t> </w:t>
      </w:r>
      <w:r>
        <w:rPr>
          <w:rFonts w:ascii="Georgia" w:hAnsi="Georgia"/>
          <w:color w:val="231F20"/>
          <w:spacing w:val="2"/>
          <w:w w:val="95"/>
        </w:rPr>
        <w:t>sobre</w:t>
      </w:r>
      <w:r>
        <w:rPr>
          <w:rFonts w:ascii="Georgia" w:hAnsi="Georgia"/>
          <w:color w:val="231F20"/>
          <w:spacing w:val="-18"/>
          <w:w w:val="95"/>
        </w:rPr>
        <w:t> </w:t>
      </w:r>
      <w:r>
        <w:rPr>
          <w:rFonts w:ascii="Georgia" w:hAnsi="Georgia"/>
          <w:color w:val="231F20"/>
          <w:w w:val="95"/>
        </w:rPr>
        <w:t>la</w:t>
      </w:r>
      <w:r>
        <w:rPr>
          <w:rFonts w:ascii="Georgia" w:hAnsi="Georgia"/>
          <w:color w:val="231F20"/>
          <w:spacing w:val="-18"/>
          <w:w w:val="95"/>
        </w:rPr>
        <w:t> </w:t>
      </w:r>
      <w:r>
        <w:rPr>
          <w:rFonts w:ascii="Georgia" w:hAnsi="Georgia"/>
          <w:color w:val="231F20"/>
          <w:spacing w:val="2"/>
          <w:w w:val="95"/>
        </w:rPr>
        <w:t>llamada</w:t>
      </w:r>
      <w:r>
        <w:rPr>
          <w:rFonts w:ascii="Georgia" w:hAnsi="Georgia"/>
          <w:color w:val="231F20"/>
          <w:spacing w:val="-18"/>
          <w:w w:val="95"/>
        </w:rPr>
        <w:t> </w:t>
      </w:r>
      <w:r>
        <w:rPr>
          <w:rFonts w:ascii="Georgia" w:hAnsi="Georgia"/>
          <w:color w:val="231F20"/>
          <w:spacing w:val="2"/>
          <w:w w:val="95"/>
        </w:rPr>
        <w:t>“calidad”</w:t>
      </w:r>
      <w:r>
        <w:rPr>
          <w:rFonts w:ascii="Georgia" w:hAnsi="Georgia"/>
          <w:color w:val="231F20"/>
          <w:spacing w:val="-18"/>
          <w:w w:val="95"/>
        </w:rPr>
        <w:t> </w:t>
      </w:r>
      <w:r>
        <w:rPr>
          <w:rFonts w:ascii="Georgia" w:hAnsi="Georgia"/>
          <w:color w:val="231F20"/>
          <w:w w:val="95"/>
        </w:rPr>
        <w:t>de</w:t>
      </w:r>
      <w:r>
        <w:rPr>
          <w:rFonts w:ascii="Georgia" w:hAnsi="Georgia"/>
          <w:color w:val="231F20"/>
          <w:spacing w:val="-18"/>
          <w:w w:val="95"/>
        </w:rPr>
        <w:t> </w:t>
      </w:r>
      <w:r>
        <w:rPr>
          <w:rFonts w:ascii="Georgia" w:hAnsi="Georgia"/>
          <w:color w:val="231F20"/>
          <w:spacing w:val="2"/>
          <w:w w:val="95"/>
        </w:rPr>
        <w:t>los</w:t>
      </w:r>
      <w:r>
        <w:rPr>
          <w:rFonts w:ascii="Georgia" w:hAnsi="Georgia"/>
          <w:color w:val="231F20"/>
          <w:spacing w:val="-19"/>
          <w:w w:val="95"/>
        </w:rPr>
        <w:t> </w:t>
      </w:r>
      <w:r>
        <w:rPr>
          <w:rFonts w:ascii="Georgia" w:hAnsi="Georgia"/>
          <w:color w:val="231F20"/>
          <w:spacing w:val="3"/>
          <w:w w:val="95"/>
        </w:rPr>
        <w:t>procesos </w:t>
      </w:r>
      <w:r>
        <w:rPr>
          <w:rFonts w:ascii="Georgia" w:hAnsi="Georgia"/>
          <w:color w:val="231F20"/>
          <w:spacing w:val="2"/>
          <w:w w:val="95"/>
        </w:rPr>
        <w:t>educativos </w:t>
      </w:r>
      <w:r>
        <w:rPr>
          <w:rFonts w:ascii="Georgia" w:hAnsi="Georgia"/>
          <w:color w:val="231F20"/>
          <w:w w:val="95"/>
        </w:rPr>
        <w:t>la </w:t>
      </w:r>
      <w:r>
        <w:rPr>
          <w:rFonts w:ascii="Georgia" w:hAnsi="Georgia"/>
          <w:color w:val="231F20"/>
          <w:spacing w:val="2"/>
          <w:w w:val="95"/>
        </w:rPr>
        <w:t>instrumentalización creciente relacionada con </w:t>
      </w:r>
      <w:r>
        <w:rPr>
          <w:rFonts w:ascii="Georgia" w:hAnsi="Georgia"/>
          <w:color w:val="231F20"/>
          <w:spacing w:val="3"/>
          <w:w w:val="95"/>
        </w:rPr>
        <w:t>elementos </w:t>
      </w:r>
      <w:r>
        <w:rPr>
          <w:rFonts w:ascii="Georgia" w:hAnsi="Georgia"/>
          <w:color w:val="231F20"/>
          <w:w w:val="95"/>
        </w:rPr>
        <w:t>de </w:t>
      </w:r>
      <w:r>
        <w:rPr>
          <w:i/>
          <w:color w:val="231F20"/>
          <w:spacing w:val="2"/>
          <w:w w:val="95"/>
        </w:rPr>
        <w:t>stress </w:t>
      </w:r>
      <w:r>
        <w:rPr>
          <w:rFonts w:ascii="Georgia" w:hAnsi="Georgia"/>
          <w:color w:val="231F20"/>
          <w:w w:val="95"/>
        </w:rPr>
        <w:t>y </w:t>
      </w:r>
      <w:r>
        <w:rPr>
          <w:rFonts w:ascii="Georgia" w:hAnsi="Georgia"/>
          <w:color w:val="231F20"/>
          <w:spacing w:val="3"/>
          <w:w w:val="95"/>
        </w:rPr>
        <w:t>cambios </w:t>
      </w:r>
      <w:r>
        <w:rPr>
          <w:rFonts w:ascii="Georgia" w:hAnsi="Georgia"/>
          <w:color w:val="231F20"/>
          <w:spacing w:val="2"/>
          <w:w w:val="95"/>
        </w:rPr>
        <w:t>potenciales </w:t>
      </w:r>
      <w:r>
        <w:rPr>
          <w:rFonts w:ascii="Georgia" w:hAnsi="Georgia"/>
          <w:color w:val="231F20"/>
          <w:w w:val="95"/>
        </w:rPr>
        <w:t>a la </w:t>
      </w:r>
      <w:r>
        <w:rPr>
          <w:rFonts w:ascii="Georgia" w:hAnsi="Georgia"/>
          <w:color w:val="231F20"/>
          <w:spacing w:val="2"/>
          <w:w w:val="95"/>
        </w:rPr>
        <w:t>baja </w:t>
      </w:r>
      <w:r>
        <w:rPr>
          <w:rFonts w:ascii="Georgia" w:hAnsi="Georgia"/>
          <w:color w:val="231F20"/>
          <w:w w:val="95"/>
        </w:rPr>
        <w:t>en el </w:t>
      </w:r>
      <w:r>
        <w:rPr>
          <w:rFonts w:ascii="Georgia" w:hAnsi="Georgia"/>
          <w:color w:val="231F20"/>
          <w:spacing w:val="2"/>
          <w:w w:val="95"/>
        </w:rPr>
        <w:t>sentido </w:t>
      </w:r>
      <w:r>
        <w:rPr>
          <w:rFonts w:ascii="Georgia" w:hAnsi="Georgia"/>
          <w:color w:val="231F20"/>
          <w:spacing w:val="3"/>
          <w:w w:val="95"/>
        </w:rPr>
        <w:t>económico </w:t>
      </w:r>
      <w:r>
        <w:rPr>
          <w:rFonts w:ascii="Georgia" w:hAnsi="Georgia"/>
          <w:color w:val="231F20"/>
          <w:spacing w:val="2"/>
          <w:w w:val="95"/>
        </w:rPr>
        <w:t>gravitan con fuerza </w:t>
      </w:r>
      <w:r>
        <w:rPr>
          <w:rFonts w:ascii="Georgia" w:hAnsi="Georgia"/>
          <w:color w:val="231F20"/>
          <w:w w:val="95"/>
        </w:rPr>
        <w:t>en los </w:t>
      </w:r>
      <w:r>
        <w:rPr>
          <w:rFonts w:ascii="Georgia" w:hAnsi="Georgia"/>
          <w:color w:val="231F20"/>
          <w:spacing w:val="2"/>
          <w:w w:val="95"/>
        </w:rPr>
        <w:t>esquemas educativos actuales.</w:t>
      </w:r>
    </w:p>
    <w:p>
      <w:pPr>
        <w:pStyle w:val="BodyText"/>
        <w:spacing w:before="6"/>
        <w:rPr>
          <w:rFonts w:ascii="Georgia"/>
        </w:rPr>
      </w:pPr>
    </w:p>
    <w:p>
      <w:pPr>
        <w:spacing w:before="0"/>
        <w:ind w:left="102" w:right="0" w:firstLine="0"/>
        <w:jc w:val="both"/>
        <w:rPr>
          <w:i/>
          <w:sz w:val="21"/>
        </w:rPr>
      </w:pPr>
      <w:r>
        <w:rPr>
          <w:i/>
          <w:color w:val="231F20"/>
          <w:w w:val="85"/>
          <w:sz w:val="21"/>
        </w:rPr>
        <w:t>Algo acerca de la técnica empleada en la investigación</w:t>
      </w:r>
    </w:p>
    <w:p>
      <w:pPr>
        <w:pStyle w:val="BodyText"/>
        <w:spacing w:before="5"/>
        <w:rPr>
          <w:i/>
        </w:rPr>
      </w:pPr>
    </w:p>
    <w:p>
      <w:pPr>
        <w:pStyle w:val="BodyText"/>
        <w:spacing w:line="249" w:lineRule="auto"/>
        <w:ind w:left="102" w:right="115"/>
        <w:jc w:val="both"/>
        <w:rPr>
          <w:rFonts w:ascii="Georgia" w:hAnsi="Georgia"/>
        </w:rPr>
      </w:pPr>
      <w:r>
        <w:rPr>
          <w:rFonts w:ascii="Georgia" w:hAnsi="Georgia"/>
          <w:color w:val="231F20"/>
          <w:w w:val="95"/>
        </w:rPr>
        <w:t>El</w:t>
      </w:r>
      <w:r>
        <w:rPr>
          <w:rFonts w:ascii="Georgia" w:hAnsi="Georgia"/>
          <w:color w:val="231F20"/>
          <w:spacing w:val="-15"/>
          <w:w w:val="95"/>
        </w:rPr>
        <w:t> </w:t>
      </w:r>
      <w:r>
        <w:rPr>
          <w:rFonts w:ascii="Georgia" w:hAnsi="Georgia"/>
          <w:color w:val="231F20"/>
          <w:w w:val="95"/>
        </w:rPr>
        <w:t>marco</w:t>
      </w:r>
      <w:r>
        <w:rPr>
          <w:rFonts w:ascii="Georgia" w:hAnsi="Georgia"/>
          <w:color w:val="231F20"/>
          <w:spacing w:val="-15"/>
          <w:w w:val="95"/>
        </w:rPr>
        <w:t> </w:t>
      </w:r>
      <w:r>
        <w:rPr>
          <w:rFonts w:ascii="Georgia" w:hAnsi="Georgia"/>
          <w:color w:val="231F20"/>
          <w:w w:val="95"/>
        </w:rPr>
        <w:t>conceptual</w:t>
      </w:r>
      <w:r>
        <w:rPr>
          <w:rFonts w:ascii="Georgia" w:hAnsi="Georgia"/>
          <w:color w:val="231F20"/>
          <w:spacing w:val="-15"/>
          <w:w w:val="95"/>
        </w:rPr>
        <w:t> </w:t>
      </w:r>
      <w:r>
        <w:rPr>
          <w:rFonts w:ascii="Georgia" w:hAnsi="Georgia"/>
          <w:color w:val="231F20"/>
          <w:w w:val="95"/>
        </w:rPr>
        <w:t>elegido</w:t>
      </w:r>
      <w:r>
        <w:rPr>
          <w:rFonts w:ascii="Georgia" w:hAnsi="Georgia"/>
          <w:color w:val="231F20"/>
          <w:spacing w:val="-15"/>
          <w:w w:val="95"/>
        </w:rPr>
        <w:t> </w:t>
      </w:r>
      <w:r>
        <w:rPr>
          <w:rFonts w:ascii="Georgia" w:hAnsi="Georgia"/>
          <w:color w:val="231F20"/>
          <w:w w:val="95"/>
        </w:rPr>
        <w:t>condujo</w:t>
      </w:r>
      <w:r>
        <w:rPr>
          <w:rFonts w:ascii="Georgia" w:hAnsi="Georgia"/>
          <w:color w:val="231F20"/>
          <w:spacing w:val="-15"/>
          <w:w w:val="95"/>
        </w:rPr>
        <w:t> </w:t>
      </w:r>
      <w:r>
        <w:rPr>
          <w:rFonts w:ascii="Georgia" w:hAnsi="Georgia"/>
          <w:color w:val="231F20"/>
          <w:w w:val="95"/>
        </w:rPr>
        <w:t>a</w:t>
      </w:r>
      <w:r>
        <w:rPr>
          <w:rFonts w:ascii="Georgia" w:hAnsi="Georgia"/>
          <w:color w:val="231F20"/>
          <w:spacing w:val="-15"/>
          <w:w w:val="95"/>
        </w:rPr>
        <w:t> </w:t>
      </w:r>
      <w:r>
        <w:rPr>
          <w:rFonts w:ascii="Georgia" w:hAnsi="Georgia"/>
          <w:color w:val="231F20"/>
          <w:w w:val="95"/>
        </w:rPr>
        <w:t>la</w:t>
      </w:r>
      <w:r>
        <w:rPr>
          <w:rFonts w:ascii="Georgia" w:hAnsi="Georgia"/>
          <w:color w:val="231F20"/>
          <w:spacing w:val="-15"/>
          <w:w w:val="95"/>
        </w:rPr>
        <w:t> </w:t>
      </w:r>
      <w:r>
        <w:rPr>
          <w:rFonts w:ascii="Georgia" w:hAnsi="Georgia"/>
          <w:color w:val="231F20"/>
          <w:w w:val="95"/>
        </w:rPr>
        <w:t>elección</w:t>
      </w:r>
      <w:r>
        <w:rPr>
          <w:rFonts w:ascii="Georgia" w:hAnsi="Georgia"/>
          <w:color w:val="231F20"/>
          <w:spacing w:val="-15"/>
          <w:w w:val="95"/>
        </w:rPr>
        <w:t> </w:t>
      </w:r>
      <w:r>
        <w:rPr>
          <w:rFonts w:ascii="Georgia" w:hAnsi="Georgia"/>
          <w:color w:val="231F20"/>
          <w:w w:val="95"/>
        </w:rPr>
        <w:t>de</w:t>
      </w:r>
      <w:r>
        <w:rPr>
          <w:rFonts w:ascii="Georgia" w:hAnsi="Georgia"/>
          <w:color w:val="231F20"/>
          <w:spacing w:val="-15"/>
          <w:w w:val="95"/>
        </w:rPr>
        <w:t> </w:t>
      </w:r>
      <w:r>
        <w:rPr>
          <w:rFonts w:ascii="Georgia" w:hAnsi="Georgia"/>
          <w:color w:val="231F20"/>
          <w:w w:val="95"/>
        </w:rPr>
        <w:t>una</w:t>
      </w:r>
      <w:r>
        <w:rPr>
          <w:rFonts w:ascii="Georgia" w:hAnsi="Georgia"/>
          <w:color w:val="231F20"/>
          <w:spacing w:val="-15"/>
          <w:w w:val="95"/>
        </w:rPr>
        <w:t> </w:t>
      </w:r>
      <w:r>
        <w:rPr>
          <w:rFonts w:ascii="Georgia" w:hAnsi="Georgia"/>
          <w:color w:val="231F20"/>
          <w:w w:val="95"/>
        </w:rPr>
        <w:t>técnica</w:t>
      </w:r>
      <w:r>
        <w:rPr>
          <w:rFonts w:ascii="Georgia" w:hAnsi="Georgia"/>
          <w:color w:val="231F20"/>
          <w:spacing w:val="-15"/>
          <w:w w:val="95"/>
        </w:rPr>
        <w:t> </w:t>
      </w:r>
      <w:r>
        <w:rPr>
          <w:rFonts w:ascii="Georgia" w:hAnsi="Georgia"/>
          <w:color w:val="231F20"/>
          <w:w w:val="95"/>
        </w:rPr>
        <w:t>en </w:t>
      </w:r>
      <w:r>
        <w:rPr>
          <w:rFonts w:ascii="Georgia" w:hAnsi="Georgia"/>
          <w:color w:val="231F20"/>
        </w:rPr>
        <w:t>especial que se denominó “Observación directa”, y se aplicó a </w:t>
      </w:r>
      <w:r>
        <w:rPr>
          <w:rFonts w:ascii="Georgia" w:hAnsi="Georgia"/>
          <w:color w:val="231F20"/>
          <w:w w:val="95"/>
        </w:rPr>
        <w:t>sesiones regulares de clase en una escuela de educación superior. </w:t>
      </w:r>
      <w:r>
        <w:rPr>
          <w:rFonts w:ascii="Georgia" w:hAnsi="Georgia"/>
          <w:color w:val="231F20"/>
          <w:w w:val="90"/>
        </w:rPr>
        <w:t>Tuvo que diseñarse el instrumento definiendo la versión de la técnica </w:t>
      </w:r>
      <w:r>
        <w:rPr>
          <w:rFonts w:ascii="Georgia" w:hAnsi="Georgia"/>
          <w:color w:val="231F20"/>
          <w:w w:val="95"/>
        </w:rPr>
        <w:t>elegida, la población objeto, el instrumento denominado “Guía de </w:t>
      </w:r>
      <w:r>
        <w:rPr>
          <w:rFonts w:ascii="Georgia" w:hAnsi="Georgia"/>
          <w:color w:val="231F20"/>
        </w:rPr>
        <w:t>observación”, procediendo a la concertación con estudiantes y </w:t>
      </w:r>
      <w:r>
        <w:rPr>
          <w:rFonts w:ascii="Georgia" w:hAnsi="Georgia"/>
          <w:color w:val="231F20"/>
          <w:w w:val="90"/>
        </w:rPr>
        <w:t>profesores</w:t>
      </w:r>
      <w:r>
        <w:rPr>
          <w:rFonts w:ascii="Georgia" w:hAnsi="Georgia"/>
          <w:color w:val="231F20"/>
          <w:spacing w:val="-10"/>
          <w:w w:val="90"/>
        </w:rPr>
        <w:t> </w:t>
      </w:r>
      <w:r>
        <w:rPr>
          <w:rFonts w:ascii="Georgia" w:hAnsi="Georgia"/>
          <w:color w:val="231F20"/>
          <w:w w:val="90"/>
        </w:rPr>
        <w:t>para</w:t>
      </w:r>
      <w:r>
        <w:rPr>
          <w:rFonts w:ascii="Georgia" w:hAnsi="Georgia"/>
          <w:color w:val="231F20"/>
          <w:spacing w:val="-10"/>
          <w:w w:val="90"/>
        </w:rPr>
        <w:t> </w:t>
      </w:r>
      <w:r>
        <w:rPr>
          <w:rFonts w:ascii="Georgia" w:hAnsi="Georgia"/>
          <w:color w:val="231F20"/>
          <w:w w:val="90"/>
        </w:rPr>
        <w:t>que</w:t>
      </w:r>
      <w:r>
        <w:rPr>
          <w:rFonts w:ascii="Georgia" w:hAnsi="Georgia"/>
          <w:color w:val="231F20"/>
          <w:spacing w:val="-10"/>
          <w:w w:val="90"/>
        </w:rPr>
        <w:t> </w:t>
      </w:r>
      <w:r>
        <w:rPr>
          <w:rFonts w:ascii="Georgia" w:hAnsi="Georgia"/>
          <w:color w:val="231F20"/>
          <w:w w:val="90"/>
        </w:rPr>
        <w:t>fuera</w:t>
      </w:r>
      <w:r>
        <w:rPr>
          <w:rFonts w:ascii="Georgia" w:hAnsi="Georgia"/>
          <w:color w:val="231F20"/>
          <w:spacing w:val="-10"/>
          <w:w w:val="90"/>
        </w:rPr>
        <w:t> </w:t>
      </w:r>
      <w:r>
        <w:rPr>
          <w:rFonts w:ascii="Georgia" w:hAnsi="Georgia"/>
          <w:color w:val="231F20"/>
          <w:w w:val="90"/>
        </w:rPr>
        <w:t>posible</w:t>
      </w:r>
      <w:r>
        <w:rPr>
          <w:rFonts w:ascii="Georgia" w:hAnsi="Georgia"/>
          <w:color w:val="231F20"/>
          <w:spacing w:val="-10"/>
          <w:w w:val="90"/>
        </w:rPr>
        <w:t> </w:t>
      </w:r>
      <w:r>
        <w:rPr>
          <w:rFonts w:ascii="Georgia" w:hAnsi="Georgia"/>
          <w:color w:val="231F20"/>
          <w:w w:val="90"/>
        </w:rPr>
        <w:t>la</w:t>
      </w:r>
      <w:r>
        <w:rPr>
          <w:rFonts w:ascii="Georgia" w:hAnsi="Georgia"/>
          <w:color w:val="231F20"/>
          <w:spacing w:val="-10"/>
          <w:w w:val="90"/>
        </w:rPr>
        <w:t> </w:t>
      </w:r>
      <w:r>
        <w:rPr>
          <w:rFonts w:ascii="Georgia" w:hAnsi="Georgia"/>
          <w:color w:val="231F20"/>
          <w:w w:val="90"/>
        </w:rPr>
        <w:t>aplicación</w:t>
      </w:r>
      <w:r>
        <w:rPr>
          <w:rFonts w:ascii="Georgia" w:hAnsi="Georgia"/>
          <w:color w:val="231F20"/>
          <w:spacing w:val="-9"/>
          <w:w w:val="90"/>
        </w:rPr>
        <w:t> </w:t>
      </w:r>
      <w:r>
        <w:rPr>
          <w:rFonts w:ascii="Georgia" w:hAnsi="Georgia"/>
          <w:color w:val="231F20"/>
          <w:w w:val="90"/>
        </w:rPr>
        <w:t>del</w:t>
      </w:r>
      <w:r>
        <w:rPr>
          <w:rFonts w:ascii="Georgia" w:hAnsi="Georgia"/>
          <w:color w:val="231F20"/>
          <w:spacing w:val="-10"/>
          <w:w w:val="90"/>
        </w:rPr>
        <w:t> </w:t>
      </w:r>
      <w:r>
        <w:rPr>
          <w:rFonts w:ascii="Georgia" w:hAnsi="Georgia"/>
          <w:color w:val="231F20"/>
          <w:w w:val="90"/>
        </w:rPr>
        <w:t>instrumento.</w:t>
      </w:r>
    </w:p>
    <w:p>
      <w:pPr>
        <w:pStyle w:val="BodyText"/>
        <w:spacing w:line="252" w:lineRule="auto" w:before="15"/>
        <w:ind w:left="102" w:right="113" w:firstLine="284"/>
        <w:jc w:val="both"/>
        <w:rPr>
          <w:rFonts w:ascii="Georgia" w:hAnsi="Georgia"/>
        </w:rPr>
      </w:pPr>
      <w:r>
        <w:rPr>
          <w:rFonts w:ascii="Georgia" w:hAnsi="Georgia"/>
          <w:color w:val="231F20"/>
        </w:rPr>
        <w:t>Se </w:t>
      </w:r>
      <w:r>
        <w:rPr>
          <w:rFonts w:ascii="Georgia" w:hAnsi="Georgia"/>
          <w:color w:val="231F20"/>
          <w:spacing w:val="2"/>
        </w:rPr>
        <w:t>realizaron registros </w:t>
      </w:r>
      <w:r>
        <w:rPr>
          <w:rFonts w:ascii="Georgia" w:hAnsi="Georgia"/>
          <w:color w:val="231F20"/>
        </w:rPr>
        <w:t>de </w:t>
      </w:r>
      <w:r>
        <w:rPr>
          <w:rFonts w:ascii="Georgia" w:hAnsi="Georgia"/>
          <w:color w:val="231F20"/>
          <w:spacing w:val="2"/>
        </w:rPr>
        <w:t>observación directa </w:t>
      </w:r>
      <w:r>
        <w:rPr>
          <w:rFonts w:ascii="Georgia" w:hAnsi="Georgia"/>
          <w:color w:val="231F20"/>
        </w:rPr>
        <w:t>de </w:t>
      </w:r>
      <w:r>
        <w:rPr>
          <w:rFonts w:ascii="Georgia" w:hAnsi="Georgia"/>
          <w:color w:val="231F20"/>
          <w:spacing w:val="2"/>
        </w:rPr>
        <w:t>las </w:t>
      </w:r>
      <w:r>
        <w:rPr>
          <w:rFonts w:ascii="Georgia" w:hAnsi="Georgia"/>
          <w:color w:val="231F20"/>
          <w:spacing w:val="2"/>
          <w:w w:val="95"/>
        </w:rPr>
        <w:t>interacciones</w:t>
      </w:r>
      <w:r>
        <w:rPr>
          <w:rFonts w:ascii="Georgia" w:hAnsi="Georgia"/>
          <w:color w:val="231F20"/>
          <w:spacing w:val="-24"/>
          <w:w w:val="95"/>
        </w:rPr>
        <w:t> </w:t>
      </w:r>
      <w:r>
        <w:rPr>
          <w:rFonts w:ascii="Georgia" w:hAnsi="Georgia"/>
          <w:color w:val="231F20"/>
          <w:spacing w:val="3"/>
          <w:w w:val="95"/>
        </w:rPr>
        <w:t>observadas</w:t>
      </w:r>
      <w:r>
        <w:rPr>
          <w:rFonts w:ascii="Georgia" w:hAnsi="Georgia"/>
          <w:color w:val="231F20"/>
          <w:spacing w:val="-24"/>
          <w:w w:val="95"/>
        </w:rPr>
        <w:t> </w:t>
      </w:r>
      <w:r>
        <w:rPr>
          <w:rFonts w:ascii="Georgia" w:hAnsi="Georgia"/>
          <w:color w:val="231F20"/>
          <w:w w:val="95"/>
        </w:rPr>
        <w:t>y</w:t>
      </w:r>
      <w:r>
        <w:rPr>
          <w:rFonts w:ascii="Georgia" w:hAnsi="Georgia"/>
          <w:color w:val="231F20"/>
          <w:spacing w:val="-24"/>
          <w:w w:val="95"/>
        </w:rPr>
        <w:t> </w:t>
      </w:r>
      <w:r>
        <w:rPr>
          <w:rFonts w:ascii="Georgia" w:hAnsi="Georgia"/>
          <w:color w:val="231F20"/>
          <w:spacing w:val="2"/>
          <w:w w:val="95"/>
        </w:rPr>
        <w:t>dichos</w:t>
      </w:r>
      <w:r>
        <w:rPr>
          <w:rFonts w:ascii="Georgia" w:hAnsi="Georgia"/>
          <w:color w:val="231F20"/>
          <w:spacing w:val="-24"/>
          <w:w w:val="95"/>
        </w:rPr>
        <w:t> </w:t>
      </w:r>
      <w:r>
        <w:rPr>
          <w:rFonts w:ascii="Georgia" w:hAnsi="Georgia"/>
          <w:color w:val="231F20"/>
          <w:spacing w:val="2"/>
          <w:w w:val="95"/>
        </w:rPr>
        <w:t>registros</w:t>
      </w:r>
      <w:r>
        <w:rPr>
          <w:rFonts w:ascii="Georgia" w:hAnsi="Georgia"/>
          <w:color w:val="231F20"/>
          <w:spacing w:val="-24"/>
          <w:w w:val="95"/>
        </w:rPr>
        <w:t> </w:t>
      </w:r>
      <w:r>
        <w:rPr>
          <w:rFonts w:ascii="Georgia" w:hAnsi="Georgia"/>
          <w:color w:val="231F20"/>
          <w:spacing w:val="2"/>
          <w:w w:val="95"/>
        </w:rPr>
        <w:t>fueron</w:t>
      </w:r>
      <w:r>
        <w:rPr>
          <w:rFonts w:ascii="Georgia" w:hAnsi="Georgia"/>
          <w:color w:val="231F20"/>
          <w:spacing w:val="-24"/>
          <w:w w:val="95"/>
        </w:rPr>
        <w:t> </w:t>
      </w:r>
      <w:r>
        <w:rPr>
          <w:rFonts w:ascii="Georgia" w:hAnsi="Georgia"/>
          <w:color w:val="231F20"/>
          <w:spacing w:val="3"/>
          <w:w w:val="95"/>
        </w:rPr>
        <w:t>procesados</w:t>
      </w:r>
      <w:r>
        <w:rPr>
          <w:rFonts w:ascii="Georgia" w:hAnsi="Georgia"/>
          <w:color w:val="231F20"/>
          <w:spacing w:val="-24"/>
          <w:w w:val="95"/>
        </w:rPr>
        <w:t> </w:t>
      </w:r>
      <w:r>
        <w:rPr>
          <w:rFonts w:ascii="Georgia" w:hAnsi="Georgia"/>
          <w:color w:val="231F20"/>
          <w:spacing w:val="4"/>
          <w:w w:val="95"/>
        </w:rPr>
        <w:t>por </w:t>
      </w:r>
      <w:r>
        <w:rPr>
          <w:rFonts w:ascii="Georgia" w:hAnsi="Georgia"/>
          <w:color w:val="231F20"/>
          <w:spacing w:val="2"/>
        </w:rPr>
        <w:t>secuencias </w:t>
      </w:r>
      <w:r>
        <w:rPr>
          <w:rFonts w:ascii="Georgia" w:hAnsi="Georgia"/>
          <w:color w:val="231F20"/>
        </w:rPr>
        <w:t>de </w:t>
      </w:r>
      <w:r>
        <w:rPr>
          <w:rFonts w:ascii="Georgia" w:hAnsi="Georgia"/>
          <w:color w:val="231F20"/>
          <w:spacing w:val="2"/>
        </w:rPr>
        <w:t>sentido siempre analizados bajo </w:t>
      </w:r>
      <w:r>
        <w:rPr>
          <w:rFonts w:ascii="Georgia" w:hAnsi="Georgia"/>
          <w:color w:val="231F20"/>
        </w:rPr>
        <w:t>la </w:t>
      </w:r>
      <w:r>
        <w:rPr>
          <w:rFonts w:ascii="Georgia" w:hAnsi="Georgia"/>
          <w:color w:val="231F20"/>
          <w:spacing w:val="2"/>
        </w:rPr>
        <w:t>luz </w:t>
      </w:r>
      <w:r>
        <w:rPr>
          <w:rFonts w:ascii="Georgia" w:hAnsi="Georgia"/>
          <w:color w:val="231F20"/>
          <w:spacing w:val="3"/>
        </w:rPr>
        <w:t>teórica, </w:t>
      </w:r>
      <w:r>
        <w:rPr>
          <w:rFonts w:ascii="Georgia" w:hAnsi="Georgia"/>
          <w:color w:val="231F20"/>
          <w:spacing w:val="2"/>
        </w:rPr>
        <w:t>particularmente  bajo  los  </w:t>
      </w:r>
      <w:r>
        <w:rPr>
          <w:rFonts w:ascii="Georgia" w:hAnsi="Georgia"/>
          <w:color w:val="231F20"/>
          <w:spacing w:val="3"/>
        </w:rPr>
        <w:t>conceptos </w:t>
      </w:r>
      <w:r>
        <w:rPr>
          <w:rFonts w:ascii="Georgia" w:hAnsi="Georgia"/>
          <w:color w:val="231F20"/>
        </w:rPr>
        <w:t>de </w:t>
      </w:r>
      <w:r>
        <w:rPr>
          <w:rFonts w:ascii="Georgia" w:hAnsi="Georgia"/>
          <w:color w:val="231F20"/>
          <w:spacing w:val="2"/>
        </w:rPr>
        <w:t>acción </w:t>
      </w:r>
      <w:r>
        <w:rPr>
          <w:rFonts w:ascii="Georgia" w:hAnsi="Georgia"/>
          <w:color w:val="231F20"/>
          <w:spacing w:val="3"/>
        </w:rPr>
        <w:t>estratégica/comunicativa, Mundo </w:t>
      </w:r>
      <w:r>
        <w:rPr>
          <w:rFonts w:ascii="Georgia" w:hAnsi="Georgia"/>
          <w:color w:val="231F20"/>
        </w:rPr>
        <w:t>de la </w:t>
      </w:r>
      <w:r>
        <w:rPr>
          <w:rFonts w:ascii="Georgia" w:hAnsi="Georgia"/>
          <w:color w:val="231F20"/>
          <w:spacing w:val="2"/>
        </w:rPr>
        <w:t>Vida </w:t>
      </w:r>
      <w:r>
        <w:rPr>
          <w:rFonts w:ascii="Georgia" w:hAnsi="Georgia"/>
          <w:color w:val="231F20"/>
        </w:rPr>
        <w:t>y </w:t>
      </w:r>
      <w:r>
        <w:rPr>
          <w:rFonts w:ascii="Georgia" w:hAnsi="Georgia"/>
          <w:color w:val="231F20"/>
          <w:spacing w:val="3"/>
        </w:rPr>
        <w:t>Sistema, </w:t>
      </w:r>
      <w:r>
        <w:rPr>
          <w:rFonts w:ascii="Georgia" w:hAnsi="Georgia"/>
          <w:color w:val="231F20"/>
          <w:spacing w:val="3"/>
          <w:w w:val="90"/>
        </w:rPr>
        <w:t>Colonización, </w:t>
      </w:r>
      <w:r>
        <w:rPr>
          <w:rFonts w:ascii="Georgia" w:hAnsi="Georgia"/>
          <w:color w:val="231F20"/>
          <w:w w:val="90"/>
        </w:rPr>
        <w:t>y </w:t>
      </w:r>
      <w:r>
        <w:rPr>
          <w:rFonts w:ascii="Georgia" w:hAnsi="Georgia"/>
          <w:color w:val="231F20"/>
          <w:spacing w:val="2"/>
          <w:w w:val="90"/>
        </w:rPr>
        <w:t>finalmente,</w:t>
      </w:r>
      <w:r>
        <w:rPr>
          <w:rFonts w:ascii="Georgia" w:hAnsi="Georgia"/>
          <w:color w:val="231F20"/>
          <w:spacing w:val="45"/>
          <w:w w:val="90"/>
        </w:rPr>
        <w:t> </w:t>
      </w:r>
      <w:r>
        <w:rPr>
          <w:rFonts w:ascii="Georgia" w:hAnsi="Georgia"/>
          <w:color w:val="231F20"/>
          <w:spacing w:val="2"/>
          <w:w w:val="90"/>
        </w:rPr>
        <w:t>violencia.</w:t>
      </w:r>
    </w:p>
    <w:p>
      <w:pPr>
        <w:pStyle w:val="BodyText"/>
        <w:spacing w:before="10"/>
        <w:rPr>
          <w:rFonts w:ascii="Georgia"/>
        </w:rPr>
      </w:pPr>
    </w:p>
    <w:p>
      <w:pPr>
        <w:pStyle w:val="BodyText"/>
        <w:ind w:left="102"/>
        <w:jc w:val="both"/>
        <w:rPr>
          <w:rFonts w:ascii="Georgia"/>
        </w:rPr>
      </w:pPr>
      <w:r>
        <w:rPr>
          <w:rFonts w:ascii="Georgia"/>
          <w:color w:val="231F20"/>
        </w:rPr>
        <w:t>RESULTADOS</w:t>
      </w:r>
    </w:p>
    <w:p>
      <w:pPr>
        <w:pStyle w:val="BodyText"/>
        <w:spacing w:before="1"/>
        <w:rPr>
          <w:rFonts w:ascii="Georgia"/>
          <w:sz w:val="22"/>
        </w:rPr>
      </w:pPr>
    </w:p>
    <w:p>
      <w:pPr>
        <w:pStyle w:val="BodyText"/>
        <w:spacing w:line="249" w:lineRule="auto"/>
        <w:ind w:left="102" w:right="114"/>
        <w:jc w:val="both"/>
        <w:rPr>
          <w:rFonts w:ascii="Georgia" w:hAnsi="Georgia"/>
        </w:rPr>
      </w:pPr>
      <w:r>
        <w:rPr>
          <w:rFonts w:ascii="Georgia" w:hAnsi="Georgia"/>
          <w:color w:val="231F20"/>
          <w:w w:val="95"/>
        </w:rPr>
        <w:t>Uno</w:t>
      </w:r>
      <w:r>
        <w:rPr>
          <w:rFonts w:ascii="Georgia" w:hAnsi="Georgia"/>
          <w:color w:val="231F20"/>
          <w:spacing w:val="-16"/>
          <w:w w:val="95"/>
        </w:rPr>
        <w:t> </w:t>
      </w:r>
      <w:r>
        <w:rPr>
          <w:rFonts w:ascii="Georgia" w:hAnsi="Georgia"/>
          <w:color w:val="231F20"/>
          <w:w w:val="95"/>
        </w:rPr>
        <w:t>de</w:t>
      </w:r>
      <w:r>
        <w:rPr>
          <w:rFonts w:ascii="Georgia" w:hAnsi="Georgia"/>
          <w:color w:val="231F20"/>
          <w:spacing w:val="-16"/>
          <w:w w:val="95"/>
        </w:rPr>
        <w:t> </w:t>
      </w:r>
      <w:r>
        <w:rPr>
          <w:rFonts w:ascii="Georgia" w:hAnsi="Georgia"/>
          <w:color w:val="231F20"/>
          <w:w w:val="95"/>
        </w:rPr>
        <w:t>los</w:t>
      </w:r>
      <w:r>
        <w:rPr>
          <w:rFonts w:ascii="Georgia" w:hAnsi="Georgia"/>
          <w:color w:val="231F20"/>
          <w:spacing w:val="-16"/>
          <w:w w:val="95"/>
        </w:rPr>
        <w:t> </w:t>
      </w:r>
      <w:r>
        <w:rPr>
          <w:rFonts w:ascii="Georgia" w:hAnsi="Georgia"/>
          <w:color w:val="231F20"/>
          <w:w w:val="95"/>
        </w:rPr>
        <w:t>espacios</w:t>
      </w:r>
      <w:r>
        <w:rPr>
          <w:rFonts w:ascii="Georgia" w:hAnsi="Georgia"/>
          <w:color w:val="231F20"/>
          <w:spacing w:val="-16"/>
          <w:w w:val="95"/>
        </w:rPr>
        <w:t> </w:t>
      </w:r>
      <w:r>
        <w:rPr>
          <w:rFonts w:ascii="Georgia" w:hAnsi="Georgia"/>
          <w:color w:val="231F20"/>
          <w:w w:val="95"/>
        </w:rPr>
        <w:t>privilegiados</w:t>
      </w:r>
      <w:r>
        <w:rPr>
          <w:rFonts w:ascii="Georgia" w:hAnsi="Georgia"/>
          <w:color w:val="231F20"/>
          <w:spacing w:val="-16"/>
          <w:w w:val="95"/>
        </w:rPr>
        <w:t> </w:t>
      </w:r>
      <w:r>
        <w:rPr>
          <w:rFonts w:ascii="Georgia" w:hAnsi="Georgia"/>
          <w:color w:val="231F20"/>
          <w:w w:val="95"/>
        </w:rPr>
        <w:t>para</w:t>
      </w:r>
      <w:r>
        <w:rPr>
          <w:rFonts w:ascii="Georgia" w:hAnsi="Georgia"/>
          <w:color w:val="231F20"/>
          <w:spacing w:val="-16"/>
          <w:w w:val="95"/>
        </w:rPr>
        <w:t> </w:t>
      </w:r>
      <w:r>
        <w:rPr>
          <w:rFonts w:ascii="Georgia" w:hAnsi="Georgia"/>
          <w:color w:val="231F20"/>
          <w:w w:val="95"/>
        </w:rPr>
        <w:t>observar</w:t>
      </w:r>
      <w:r>
        <w:rPr>
          <w:rFonts w:ascii="Georgia" w:hAnsi="Georgia"/>
          <w:color w:val="231F20"/>
          <w:spacing w:val="-17"/>
          <w:w w:val="95"/>
        </w:rPr>
        <w:t> </w:t>
      </w:r>
      <w:r>
        <w:rPr>
          <w:rFonts w:ascii="Georgia" w:hAnsi="Georgia"/>
          <w:color w:val="231F20"/>
          <w:w w:val="95"/>
        </w:rPr>
        <w:t>la</w:t>
      </w:r>
      <w:r>
        <w:rPr>
          <w:rFonts w:ascii="Georgia" w:hAnsi="Georgia"/>
          <w:color w:val="231F20"/>
          <w:spacing w:val="-16"/>
          <w:w w:val="95"/>
        </w:rPr>
        <w:t> </w:t>
      </w:r>
      <w:r>
        <w:rPr>
          <w:rFonts w:ascii="Georgia" w:hAnsi="Georgia"/>
          <w:color w:val="231F20"/>
          <w:w w:val="95"/>
        </w:rPr>
        <w:t>manera</w:t>
      </w:r>
      <w:r>
        <w:rPr>
          <w:rFonts w:ascii="Georgia" w:hAnsi="Georgia"/>
          <w:color w:val="231F20"/>
          <w:spacing w:val="-16"/>
          <w:w w:val="95"/>
        </w:rPr>
        <w:t> </w:t>
      </w:r>
      <w:r>
        <w:rPr>
          <w:rFonts w:ascii="Georgia" w:hAnsi="Georgia"/>
          <w:color w:val="231F20"/>
          <w:w w:val="95"/>
        </w:rPr>
        <w:t>en</w:t>
      </w:r>
      <w:r>
        <w:rPr>
          <w:rFonts w:ascii="Georgia" w:hAnsi="Georgia"/>
          <w:color w:val="231F20"/>
          <w:spacing w:val="-16"/>
          <w:w w:val="95"/>
        </w:rPr>
        <w:t> </w:t>
      </w:r>
      <w:r>
        <w:rPr>
          <w:rFonts w:ascii="Georgia" w:hAnsi="Georgia"/>
          <w:color w:val="231F20"/>
          <w:w w:val="95"/>
        </w:rPr>
        <w:t>que</w:t>
      </w:r>
      <w:r>
        <w:rPr>
          <w:rFonts w:ascii="Georgia" w:hAnsi="Georgia"/>
          <w:color w:val="231F20"/>
          <w:spacing w:val="-16"/>
          <w:w w:val="95"/>
        </w:rPr>
        <w:t> </w:t>
      </w:r>
      <w:r>
        <w:rPr>
          <w:rFonts w:ascii="Georgia" w:hAnsi="Georgia"/>
          <w:color w:val="231F20"/>
          <w:w w:val="95"/>
        </w:rPr>
        <w:t>se concretan y sintetizan los procesos educativos es el aula. A través de la observación de las sesiones que se incluyeron en esta investigación se pudo comprobar la diversidad en las formas de acometer</w:t>
      </w:r>
      <w:r>
        <w:rPr>
          <w:rFonts w:ascii="Georgia" w:hAnsi="Georgia"/>
          <w:color w:val="231F20"/>
          <w:spacing w:val="-7"/>
          <w:w w:val="95"/>
        </w:rPr>
        <w:t> </w:t>
      </w:r>
      <w:r>
        <w:rPr>
          <w:rFonts w:ascii="Georgia" w:hAnsi="Georgia"/>
          <w:color w:val="231F20"/>
          <w:w w:val="95"/>
        </w:rPr>
        <w:t>el</w:t>
      </w:r>
      <w:r>
        <w:rPr>
          <w:rFonts w:ascii="Georgia" w:hAnsi="Georgia"/>
          <w:color w:val="231F20"/>
          <w:spacing w:val="-7"/>
          <w:w w:val="95"/>
        </w:rPr>
        <w:t> </w:t>
      </w:r>
      <w:r>
        <w:rPr>
          <w:rFonts w:ascii="Georgia" w:hAnsi="Georgia"/>
          <w:color w:val="231F20"/>
          <w:w w:val="95"/>
        </w:rPr>
        <w:t>trabajo</w:t>
      </w:r>
      <w:r>
        <w:rPr>
          <w:rFonts w:ascii="Georgia" w:hAnsi="Georgia"/>
          <w:color w:val="231F20"/>
          <w:spacing w:val="-7"/>
          <w:w w:val="95"/>
        </w:rPr>
        <w:t> </w:t>
      </w:r>
      <w:r>
        <w:rPr>
          <w:rFonts w:ascii="Georgia" w:hAnsi="Georgia"/>
          <w:color w:val="231F20"/>
          <w:w w:val="95"/>
        </w:rPr>
        <w:t>y</w:t>
      </w:r>
      <w:r>
        <w:rPr>
          <w:rFonts w:ascii="Georgia" w:hAnsi="Georgia"/>
          <w:color w:val="231F20"/>
          <w:spacing w:val="-7"/>
          <w:w w:val="95"/>
        </w:rPr>
        <w:t> </w:t>
      </w:r>
      <w:r>
        <w:rPr>
          <w:rFonts w:ascii="Georgia" w:hAnsi="Georgia"/>
          <w:color w:val="231F20"/>
          <w:w w:val="95"/>
        </w:rPr>
        <w:t>la</w:t>
      </w:r>
      <w:r>
        <w:rPr>
          <w:rFonts w:ascii="Georgia" w:hAnsi="Georgia"/>
          <w:color w:val="231F20"/>
          <w:spacing w:val="-7"/>
          <w:w w:val="95"/>
        </w:rPr>
        <w:t> </w:t>
      </w:r>
      <w:r>
        <w:rPr>
          <w:rFonts w:ascii="Georgia" w:hAnsi="Georgia"/>
          <w:color w:val="231F20"/>
          <w:w w:val="95"/>
        </w:rPr>
        <w:t>multitud</w:t>
      </w:r>
      <w:r>
        <w:rPr>
          <w:rFonts w:ascii="Georgia" w:hAnsi="Georgia"/>
          <w:color w:val="231F20"/>
          <w:spacing w:val="-7"/>
          <w:w w:val="95"/>
        </w:rPr>
        <w:t> </w:t>
      </w:r>
      <w:r>
        <w:rPr>
          <w:rFonts w:ascii="Georgia" w:hAnsi="Georgia"/>
          <w:color w:val="231F20"/>
          <w:w w:val="95"/>
        </w:rPr>
        <w:t>de</w:t>
      </w:r>
      <w:r>
        <w:rPr>
          <w:rFonts w:ascii="Georgia" w:hAnsi="Georgia"/>
          <w:color w:val="231F20"/>
          <w:spacing w:val="-7"/>
          <w:w w:val="95"/>
        </w:rPr>
        <w:t> </w:t>
      </w:r>
      <w:r>
        <w:rPr>
          <w:rFonts w:ascii="Georgia" w:hAnsi="Georgia"/>
          <w:color w:val="231F20"/>
          <w:w w:val="95"/>
        </w:rPr>
        <w:t>respuestas</w:t>
      </w:r>
      <w:r>
        <w:rPr>
          <w:rFonts w:ascii="Georgia" w:hAnsi="Georgia"/>
          <w:color w:val="231F20"/>
          <w:spacing w:val="-7"/>
          <w:w w:val="95"/>
        </w:rPr>
        <w:t> </w:t>
      </w:r>
      <w:r>
        <w:rPr>
          <w:rFonts w:ascii="Georgia" w:hAnsi="Georgia"/>
          <w:color w:val="231F20"/>
          <w:w w:val="95"/>
        </w:rPr>
        <w:t>que</w:t>
      </w:r>
      <w:r>
        <w:rPr>
          <w:rFonts w:ascii="Georgia" w:hAnsi="Georgia"/>
          <w:color w:val="231F20"/>
          <w:spacing w:val="-7"/>
          <w:w w:val="95"/>
        </w:rPr>
        <w:t> </w:t>
      </w:r>
      <w:r>
        <w:rPr>
          <w:rFonts w:ascii="Georgia" w:hAnsi="Georgia"/>
          <w:color w:val="231F20"/>
          <w:w w:val="95"/>
        </w:rPr>
        <w:t>los</w:t>
      </w:r>
      <w:r>
        <w:rPr>
          <w:rFonts w:ascii="Georgia" w:hAnsi="Georgia"/>
          <w:color w:val="231F20"/>
          <w:spacing w:val="-7"/>
          <w:w w:val="95"/>
        </w:rPr>
        <w:t> </w:t>
      </w:r>
      <w:r>
        <w:rPr>
          <w:rFonts w:ascii="Georgia" w:hAnsi="Georgia"/>
          <w:color w:val="231F20"/>
          <w:w w:val="95"/>
        </w:rPr>
        <w:t>estudiantes mostraban</w:t>
      </w:r>
      <w:r>
        <w:rPr>
          <w:rFonts w:ascii="Georgia" w:hAnsi="Georgia"/>
          <w:color w:val="231F20"/>
          <w:spacing w:val="-17"/>
          <w:w w:val="95"/>
        </w:rPr>
        <w:t> </w:t>
      </w:r>
      <w:r>
        <w:rPr>
          <w:rFonts w:ascii="Georgia" w:hAnsi="Georgia"/>
          <w:color w:val="231F20"/>
          <w:w w:val="95"/>
        </w:rPr>
        <w:t>a</w:t>
      </w:r>
      <w:r>
        <w:rPr>
          <w:rFonts w:ascii="Georgia" w:hAnsi="Georgia"/>
          <w:color w:val="231F20"/>
          <w:spacing w:val="-17"/>
          <w:w w:val="95"/>
        </w:rPr>
        <w:t> </w:t>
      </w:r>
      <w:r>
        <w:rPr>
          <w:rFonts w:ascii="Georgia" w:hAnsi="Georgia"/>
          <w:color w:val="231F20"/>
          <w:w w:val="95"/>
        </w:rPr>
        <w:t>las</w:t>
      </w:r>
      <w:r>
        <w:rPr>
          <w:rFonts w:ascii="Georgia" w:hAnsi="Georgia"/>
          <w:color w:val="231F20"/>
          <w:spacing w:val="-18"/>
          <w:w w:val="95"/>
        </w:rPr>
        <w:t> </w:t>
      </w:r>
      <w:r>
        <w:rPr>
          <w:rFonts w:ascii="Georgia" w:hAnsi="Georgia"/>
          <w:color w:val="231F20"/>
          <w:w w:val="95"/>
        </w:rPr>
        <w:t>acciones</w:t>
      </w:r>
      <w:r>
        <w:rPr>
          <w:rFonts w:ascii="Georgia" w:hAnsi="Georgia"/>
          <w:color w:val="231F20"/>
          <w:spacing w:val="-18"/>
          <w:w w:val="95"/>
        </w:rPr>
        <w:t> </w:t>
      </w:r>
      <w:r>
        <w:rPr>
          <w:rFonts w:ascii="Georgia" w:hAnsi="Georgia"/>
          <w:color w:val="231F20"/>
          <w:w w:val="95"/>
        </w:rPr>
        <w:t>del</w:t>
      </w:r>
      <w:r>
        <w:rPr>
          <w:rFonts w:ascii="Georgia" w:hAnsi="Georgia"/>
          <w:color w:val="231F20"/>
          <w:spacing w:val="-18"/>
          <w:w w:val="95"/>
        </w:rPr>
        <w:t> </w:t>
      </w:r>
      <w:r>
        <w:rPr>
          <w:rFonts w:ascii="Georgia" w:hAnsi="Georgia"/>
          <w:color w:val="231F20"/>
          <w:w w:val="95"/>
        </w:rPr>
        <w:t>profesor</w:t>
      </w:r>
      <w:r>
        <w:rPr>
          <w:rFonts w:ascii="Georgia" w:hAnsi="Georgia"/>
          <w:color w:val="231F20"/>
          <w:spacing w:val="-18"/>
          <w:w w:val="95"/>
        </w:rPr>
        <w:t> </w:t>
      </w:r>
      <w:r>
        <w:rPr>
          <w:rFonts w:ascii="Georgia" w:hAnsi="Georgia"/>
          <w:color w:val="231F20"/>
          <w:w w:val="95"/>
        </w:rPr>
        <w:t>o</w:t>
      </w:r>
      <w:r>
        <w:rPr>
          <w:rFonts w:ascii="Georgia" w:hAnsi="Georgia"/>
          <w:color w:val="231F20"/>
          <w:spacing w:val="-16"/>
          <w:w w:val="95"/>
        </w:rPr>
        <w:t> </w:t>
      </w:r>
      <w:r>
        <w:rPr>
          <w:rFonts w:ascii="Georgia" w:hAnsi="Georgia"/>
          <w:color w:val="231F20"/>
          <w:w w:val="95"/>
        </w:rPr>
        <w:t>la</w:t>
      </w:r>
      <w:r>
        <w:rPr>
          <w:rFonts w:ascii="Georgia" w:hAnsi="Georgia"/>
          <w:color w:val="231F20"/>
          <w:spacing w:val="-17"/>
          <w:w w:val="95"/>
        </w:rPr>
        <w:t> </w:t>
      </w:r>
      <w:r>
        <w:rPr>
          <w:rFonts w:ascii="Georgia" w:hAnsi="Georgia"/>
          <w:color w:val="231F20"/>
          <w:w w:val="95"/>
        </w:rPr>
        <w:t>profesora.</w:t>
      </w:r>
      <w:r>
        <w:rPr>
          <w:rFonts w:ascii="Georgia" w:hAnsi="Georgia"/>
          <w:color w:val="231F20"/>
          <w:spacing w:val="-18"/>
          <w:w w:val="95"/>
        </w:rPr>
        <w:t> </w:t>
      </w:r>
      <w:r>
        <w:rPr>
          <w:rFonts w:ascii="Georgia" w:hAnsi="Georgia"/>
          <w:color w:val="231F20"/>
          <w:w w:val="95"/>
        </w:rPr>
        <w:t>Las</w:t>
      </w:r>
      <w:r>
        <w:rPr>
          <w:rFonts w:ascii="Georgia" w:hAnsi="Georgia"/>
          <w:color w:val="231F20"/>
          <w:spacing w:val="-17"/>
          <w:w w:val="95"/>
        </w:rPr>
        <w:t> </w:t>
      </w:r>
      <w:r>
        <w:rPr>
          <w:rFonts w:ascii="Georgia" w:hAnsi="Georgia"/>
          <w:color w:val="231F20"/>
          <w:w w:val="95"/>
        </w:rPr>
        <w:t>constantes </w:t>
      </w:r>
      <w:r>
        <w:rPr>
          <w:rFonts w:ascii="Georgia" w:hAnsi="Georgia"/>
          <w:color w:val="231F20"/>
          <w:w w:val="90"/>
        </w:rPr>
        <w:t>encontradas fueron pocas, pero muy </w:t>
      </w:r>
      <w:r>
        <w:rPr>
          <w:rFonts w:ascii="Georgia" w:hAnsi="Georgia"/>
          <w:color w:val="231F20"/>
          <w:spacing w:val="9"/>
          <w:w w:val="90"/>
        </w:rPr>
        <w:t> </w:t>
      </w:r>
      <w:r>
        <w:rPr>
          <w:rFonts w:ascii="Georgia" w:hAnsi="Georgia"/>
          <w:color w:val="231F20"/>
          <w:w w:val="90"/>
        </w:rPr>
        <w:t>significativas.</w:t>
      </w:r>
    </w:p>
    <w:p>
      <w:pPr>
        <w:pStyle w:val="BodyText"/>
        <w:spacing w:line="252" w:lineRule="auto" w:before="15"/>
        <w:ind w:left="102" w:right="114" w:firstLine="284"/>
        <w:jc w:val="both"/>
        <w:rPr>
          <w:rFonts w:ascii="Georgia" w:hAnsi="Georgia"/>
        </w:rPr>
      </w:pPr>
      <w:r>
        <w:rPr>
          <w:rFonts w:ascii="Georgia" w:hAnsi="Georgia"/>
          <w:color w:val="231F20"/>
          <w:spacing w:val="2"/>
        </w:rPr>
        <w:t>Las interacciones entre profesores </w:t>
      </w:r>
      <w:r>
        <w:rPr>
          <w:rFonts w:ascii="Georgia" w:hAnsi="Georgia"/>
          <w:color w:val="231F20"/>
        </w:rPr>
        <w:t>y </w:t>
      </w:r>
      <w:r>
        <w:rPr>
          <w:rFonts w:ascii="Georgia" w:hAnsi="Georgia"/>
          <w:color w:val="231F20"/>
          <w:spacing w:val="2"/>
        </w:rPr>
        <w:t>alumnos, </w:t>
      </w:r>
      <w:r>
        <w:rPr>
          <w:rFonts w:ascii="Georgia" w:hAnsi="Georgia"/>
          <w:color w:val="231F20"/>
        </w:rPr>
        <w:t>en los </w:t>
      </w:r>
      <w:r>
        <w:rPr>
          <w:rFonts w:ascii="Georgia" w:hAnsi="Georgia"/>
          <w:color w:val="231F20"/>
          <w:spacing w:val="2"/>
        </w:rPr>
        <w:t>casos estudiados </w:t>
      </w:r>
      <w:r>
        <w:rPr>
          <w:rFonts w:ascii="Georgia" w:hAnsi="Georgia"/>
          <w:color w:val="231F20"/>
        </w:rPr>
        <w:t>en el </w:t>
      </w:r>
      <w:r>
        <w:rPr>
          <w:rFonts w:ascii="Georgia" w:hAnsi="Georgia"/>
          <w:color w:val="231F20"/>
          <w:spacing w:val="2"/>
        </w:rPr>
        <w:t>aula, aluden </w:t>
      </w:r>
      <w:r>
        <w:rPr>
          <w:rFonts w:ascii="Georgia" w:hAnsi="Georgia"/>
          <w:color w:val="231F20"/>
        </w:rPr>
        <w:t>a </w:t>
      </w:r>
      <w:r>
        <w:rPr>
          <w:rFonts w:ascii="Georgia" w:hAnsi="Georgia"/>
          <w:color w:val="231F20"/>
          <w:spacing w:val="2"/>
        </w:rPr>
        <w:t>estructuras escolares, usos </w:t>
      </w:r>
      <w:r>
        <w:rPr>
          <w:rFonts w:ascii="Georgia" w:hAnsi="Georgia"/>
          <w:color w:val="231F20"/>
        </w:rPr>
        <w:t>y </w:t>
      </w:r>
      <w:r>
        <w:rPr>
          <w:rFonts w:ascii="Georgia" w:hAnsi="Georgia"/>
          <w:color w:val="231F20"/>
          <w:spacing w:val="3"/>
          <w:w w:val="90"/>
        </w:rPr>
        <w:t>costumbres </w:t>
      </w:r>
      <w:r>
        <w:rPr>
          <w:rFonts w:ascii="Georgia" w:hAnsi="Georgia"/>
          <w:color w:val="231F20"/>
          <w:spacing w:val="2"/>
          <w:w w:val="90"/>
        </w:rPr>
        <w:t>culturales institucionalizados </w:t>
      </w:r>
      <w:r>
        <w:rPr>
          <w:rFonts w:ascii="Georgia" w:hAnsi="Georgia"/>
          <w:color w:val="231F20"/>
          <w:w w:val="90"/>
        </w:rPr>
        <w:t>y en </w:t>
      </w:r>
      <w:r>
        <w:rPr>
          <w:rFonts w:ascii="Georgia" w:hAnsi="Georgia"/>
          <w:color w:val="231F20"/>
          <w:spacing w:val="3"/>
          <w:w w:val="90"/>
        </w:rPr>
        <w:t>continua </w:t>
      </w:r>
      <w:r>
        <w:rPr>
          <w:rFonts w:ascii="Georgia" w:hAnsi="Georgia"/>
          <w:color w:val="231F20"/>
          <w:spacing w:val="2"/>
          <w:w w:val="90"/>
        </w:rPr>
        <w:t>validación, </w:t>
      </w:r>
      <w:r>
        <w:rPr>
          <w:rFonts w:ascii="Georgia" w:hAnsi="Georgia"/>
          <w:color w:val="231F20"/>
        </w:rPr>
        <w:t>y se </w:t>
      </w:r>
      <w:r>
        <w:rPr>
          <w:rFonts w:ascii="Georgia" w:hAnsi="Georgia"/>
          <w:color w:val="231F20"/>
          <w:spacing w:val="2"/>
        </w:rPr>
        <w:t>presentan grados </w:t>
      </w:r>
      <w:r>
        <w:rPr>
          <w:rFonts w:ascii="Georgia" w:hAnsi="Georgia"/>
          <w:color w:val="231F20"/>
        </w:rPr>
        <w:t>de </w:t>
      </w:r>
      <w:r>
        <w:rPr>
          <w:rFonts w:ascii="Georgia" w:hAnsi="Georgia"/>
          <w:color w:val="231F20"/>
          <w:spacing w:val="2"/>
        </w:rPr>
        <w:t>violencia encubierta </w:t>
      </w:r>
      <w:r>
        <w:rPr>
          <w:rFonts w:ascii="Georgia" w:hAnsi="Georgia"/>
          <w:color w:val="231F20"/>
        </w:rPr>
        <w:t>y </w:t>
      </w:r>
      <w:r>
        <w:rPr>
          <w:rFonts w:ascii="Georgia" w:hAnsi="Georgia"/>
          <w:color w:val="231F20"/>
          <w:spacing w:val="2"/>
        </w:rPr>
        <w:t>explícitos en: registro </w:t>
      </w:r>
      <w:r>
        <w:rPr>
          <w:rFonts w:ascii="Georgia" w:hAnsi="Georgia"/>
          <w:color w:val="231F20"/>
        </w:rPr>
        <w:t>de </w:t>
      </w:r>
      <w:r>
        <w:rPr>
          <w:rFonts w:ascii="Georgia" w:hAnsi="Georgia"/>
          <w:color w:val="231F20"/>
          <w:spacing w:val="2"/>
        </w:rPr>
        <w:t>asistencias, </w:t>
      </w:r>
      <w:r>
        <w:rPr>
          <w:rFonts w:ascii="Georgia" w:hAnsi="Georgia"/>
          <w:color w:val="231F20"/>
        </w:rPr>
        <w:t>las </w:t>
      </w:r>
      <w:r>
        <w:rPr>
          <w:rFonts w:ascii="Georgia" w:hAnsi="Georgia"/>
          <w:color w:val="231F20"/>
          <w:spacing w:val="3"/>
        </w:rPr>
        <w:t>formas </w:t>
      </w:r>
      <w:r>
        <w:rPr>
          <w:rFonts w:ascii="Georgia" w:hAnsi="Georgia"/>
          <w:color w:val="231F20"/>
        </w:rPr>
        <w:t>de </w:t>
      </w:r>
      <w:r>
        <w:rPr>
          <w:rFonts w:ascii="Georgia" w:hAnsi="Georgia"/>
          <w:color w:val="231F20"/>
          <w:spacing w:val="3"/>
        </w:rPr>
        <w:t>control disciplinario; </w:t>
      </w:r>
      <w:r>
        <w:rPr>
          <w:rFonts w:ascii="Georgia" w:hAnsi="Georgia"/>
          <w:color w:val="231F20"/>
          <w:spacing w:val="3"/>
          <w:w w:val="95"/>
        </w:rPr>
        <w:t>confirmación</w:t>
      </w:r>
      <w:r>
        <w:rPr>
          <w:rFonts w:ascii="Georgia" w:hAnsi="Georgia"/>
          <w:color w:val="231F20"/>
          <w:spacing w:val="-20"/>
          <w:w w:val="95"/>
        </w:rPr>
        <w:t> </w:t>
      </w:r>
      <w:r>
        <w:rPr>
          <w:rFonts w:ascii="Georgia" w:hAnsi="Georgia"/>
          <w:color w:val="231F20"/>
          <w:w w:val="95"/>
        </w:rPr>
        <w:t>de</w:t>
      </w:r>
      <w:r>
        <w:rPr>
          <w:rFonts w:ascii="Georgia" w:hAnsi="Georgia"/>
          <w:color w:val="231F20"/>
          <w:spacing w:val="-20"/>
          <w:w w:val="95"/>
        </w:rPr>
        <w:t> </w:t>
      </w:r>
      <w:r>
        <w:rPr>
          <w:rFonts w:ascii="Georgia" w:hAnsi="Georgia"/>
          <w:color w:val="231F20"/>
          <w:w w:val="95"/>
        </w:rPr>
        <w:t>la</w:t>
      </w:r>
      <w:r>
        <w:rPr>
          <w:rFonts w:ascii="Georgia" w:hAnsi="Georgia"/>
          <w:color w:val="231F20"/>
          <w:spacing w:val="-20"/>
          <w:w w:val="95"/>
        </w:rPr>
        <w:t> </w:t>
      </w:r>
      <w:r>
        <w:rPr>
          <w:rFonts w:ascii="Georgia" w:hAnsi="Georgia"/>
          <w:color w:val="231F20"/>
          <w:spacing w:val="2"/>
          <w:w w:val="95"/>
        </w:rPr>
        <w:t>autoridad</w:t>
      </w:r>
      <w:r>
        <w:rPr>
          <w:rFonts w:ascii="Georgia" w:hAnsi="Georgia"/>
          <w:color w:val="231F20"/>
          <w:spacing w:val="-20"/>
          <w:w w:val="95"/>
        </w:rPr>
        <w:t> </w:t>
      </w:r>
      <w:r>
        <w:rPr>
          <w:rFonts w:ascii="Georgia" w:hAnsi="Georgia"/>
          <w:color w:val="231F20"/>
          <w:spacing w:val="2"/>
          <w:w w:val="95"/>
        </w:rPr>
        <w:t>del</w:t>
      </w:r>
      <w:r>
        <w:rPr>
          <w:rFonts w:ascii="Georgia" w:hAnsi="Georgia"/>
          <w:color w:val="231F20"/>
          <w:spacing w:val="-20"/>
          <w:w w:val="95"/>
        </w:rPr>
        <w:t> </w:t>
      </w:r>
      <w:r>
        <w:rPr>
          <w:rFonts w:ascii="Georgia" w:hAnsi="Georgia"/>
          <w:color w:val="231F20"/>
          <w:spacing w:val="3"/>
          <w:w w:val="95"/>
        </w:rPr>
        <w:t>maestro,</w:t>
      </w:r>
      <w:r>
        <w:rPr>
          <w:rFonts w:ascii="Georgia" w:hAnsi="Georgia"/>
          <w:color w:val="231F20"/>
          <w:spacing w:val="-20"/>
          <w:w w:val="95"/>
        </w:rPr>
        <w:t> </w:t>
      </w:r>
      <w:r>
        <w:rPr>
          <w:rFonts w:ascii="Georgia" w:hAnsi="Georgia"/>
          <w:color w:val="231F20"/>
          <w:spacing w:val="2"/>
          <w:w w:val="95"/>
        </w:rPr>
        <w:t>los</w:t>
      </w:r>
      <w:r>
        <w:rPr>
          <w:rFonts w:ascii="Georgia" w:hAnsi="Georgia"/>
          <w:color w:val="231F20"/>
          <w:spacing w:val="-20"/>
          <w:w w:val="95"/>
        </w:rPr>
        <w:t> </w:t>
      </w:r>
      <w:r>
        <w:rPr>
          <w:rFonts w:ascii="Georgia" w:hAnsi="Georgia"/>
          <w:color w:val="231F20"/>
          <w:spacing w:val="2"/>
          <w:w w:val="95"/>
        </w:rPr>
        <w:t>roles</w:t>
      </w:r>
      <w:r>
        <w:rPr>
          <w:rFonts w:ascii="Georgia" w:hAnsi="Georgia"/>
          <w:color w:val="231F20"/>
          <w:spacing w:val="-20"/>
          <w:w w:val="95"/>
        </w:rPr>
        <w:t> </w:t>
      </w:r>
      <w:r>
        <w:rPr>
          <w:rFonts w:ascii="Georgia" w:hAnsi="Georgia"/>
          <w:color w:val="231F20"/>
          <w:w w:val="95"/>
        </w:rPr>
        <w:t>de</w:t>
      </w:r>
      <w:r>
        <w:rPr>
          <w:rFonts w:ascii="Georgia" w:hAnsi="Georgia"/>
          <w:color w:val="231F20"/>
          <w:spacing w:val="-20"/>
          <w:w w:val="95"/>
        </w:rPr>
        <w:t> </w:t>
      </w:r>
      <w:r>
        <w:rPr>
          <w:rFonts w:ascii="Georgia" w:hAnsi="Georgia"/>
          <w:color w:val="231F20"/>
          <w:spacing w:val="2"/>
          <w:w w:val="95"/>
        </w:rPr>
        <w:t>estudiante</w:t>
      </w:r>
      <w:r>
        <w:rPr>
          <w:rFonts w:ascii="Georgia" w:hAnsi="Georgia"/>
          <w:color w:val="231F20"/>
          <w:spacing w:val="-20"/>
          <w:w w:val="95"/>
        </w:rPr>
        <w:t> </w:t>
      </w:r>
      <w:r>
        <w:rPr>
          <w:rFonts w:ascii="Georgia" w:hAnsi="Georgia"/>
          <w:color w:val="231F20"/>
          <w:w w:val="95"/>
        </w:rPr>
        <w:t>y</w:t>
      </w:r>
    </w:p>
    <w:p>
      <w:pPr>
        <w:spacing w:after="0" w:line="252" w:lineRule="auto"/>
        <w:jc w:val="both"/>
        <w:rPr>
          <w:rFonts w:ascii="Georgia" w:hAnsi="Georgia"/>
        </w:rPr>
        <w:sectPr>
          <w:headerReference w:type="default" r:id="rId566"/>
          <w:footerReference w:type="default" r:id="rId567"/>
          <w:pgSz w:w="7830" w:h="11910"/>
          <w:pgMar w:header="0" w:footer="424" w:top="500" w:bottom="620" w:left="920" w:right="900"/>
          <w:pgNumType w:start="24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5"/>
        <w:jc w:val="both"/>
      </w:pPr>
      <w:r>
        <w:rPr>
          <w:color w:val="231F20"/>
          <w:spacing w:val="3"/>
        </w:rPr>
        <w:t>profesor perfectamente demarcados como </w:t>
      </w:r>
      <w:r>
        <w:rPr>
          <w:color w:val="231F20"/>
          <w:spacing w:val="2"/>
        </w:rPr>
        <w:t>asimétricos, </w:t>
      </w:r>
      <w:r>
        <w:rPr>
          <w:color w:val="231F20"/>
        </w:rPr>
        <w:t>la </w:t>
      </w:r>
      <w:r>
        <w:rPr>
          <w:color w:val="231F20"/>
          <w:spacing w:val="2"/>
        </w:rPr>
        <w:t>disposición </w:t>
      </w:r>
      <w:r>
        <w:rPr>
          <w:color w:val="231F20"/>
        </w:rPr>
        <w:t>de </w:t>
      </w:r>
      <w:r>
        <w:rPr>
          <w:color w:val="231F20"/>
          <w:spacing w:val="2"/>
        </w:rPr>
        <w:t>espacios </w:t>
      </w:r>
      <w:r>
        <w:rPr>
          <w:color w:val="231F20"/>
        </w:rPr>
        <w:t>de </w:t>
      </w:r>
      <w:r>
        <w:rPr>
          <w:color w:val="231F20"/>
          <w:spacing w:val="2"/>
        </w:rPr>
        <w:t>exclusividad </w:t>
      </w:r>
      <w:r>
        <w:rPr>
          <w:color w:val="231F20"/>
        </w:rPr>
        <w:t>ya sea  </w:t>
      </w:r>
      <w:r>
        <w:rPr>
          <w:color w:val="231F20"/>
          <w:spacing w:val="2"/>
        </w:rPr>
        <w:t>para  </w:t>
      </w:r>
      <w:r>
        <w:rPr>
          <w:color w:val="231F20"/>
          <w:spacing w:val="3"/>
        </w:rPr>
        <w:t>alumnos </w:t>
      </w:r>
      <w:r>
        <w:rPr>
          <w:color w:val="231F20"/>
        </w:rPr>
        <w:t>o </w:t>
      </w:r>
      <w:r>
        <w:rPr>
          <w:color w:val="231F20"/>
          <w:spacing w:val="2"/>
        </w:rPr>
        <w:t>para </w:t>
      </w:r>
      <w:r>
        <w:rPr>
          <w:color w:val="231F20"/>
          <w:spacing w:val="3"/>
        </w:rPr>
        <w:t>profesores, </w:t>
      </w:r>
      <w:r>
        <w:rPr>
          <w:color w:val="231F20"/>
        </w:rPr>
        <w:t>las </w:t>
      </w:r>
      <w:r>
        <w:rPr>
          <w:color w:val="231F20"/>
          <w:spacing w:val="2"/>
        </w:rPr>
        <w:t>actitudes defensivas </w:t>
      </w:r>
      <w:r>
        <w:rPr>
          <w:color w:val="231F20"/>
        </w:rPr>
        <w:t>o </w:t>
      </w:r>
      <w:r>
        <w:rPr>
          <w:color w:val="231F20"/>
          <w:spacing w:val="3"/>
        </w:rPr>
        <w:t>francamente </w:t>
      </w:r>
      <w:r>
        <w:rPr>
          <w:color w:val="231F20"/>
          <w:spacing w:val="2"/>
        </w:rPr>
        <w:t>ofensivas, </w:t>
      </w:r>
      <w:r>
        <w:rPr>
          <w:color w:val="231F20"/>
        </w:rPr>
        <w:t>las </w:t>
      </w:r>
      <w:r>
        <w:rPr>
          <w:color w:val="231F20"/>
          <w:spacing w:val="2"/>
        </w:rPr>
        <w:t>preguntas retóricas </w:t>
      </w:r>
      <w:r>
        <w:rPr>
          <w:color w:val="231F20"/>
        </w:rPr>
        <w:t>y </w:t>
      </w:r>
      <w:r>
        <w:rPr>
          <w:color w:val="231F20"/>
          <w:spacing w:val="2"/>
        </w:rPr>
        <w:t>respuestas </w:t>
      </w:r>
      <w:r>
        <w:rPr>
          <w:color w:val="231F20"/>
        </w:rPr>
        <w:t>de </w:t>
      </w:r>
      <w:r>
        <w:rPr>
          <w:color w:val="231F20"/>
          <w:spacing w:val="2"/>
        </w:rPr>
        <w:t>resistencia; </w:t>
      </w:r>
      <w:r>
        <w:rPr>
          <w:color w:val="231F20"/>
        </w:rPr>
        <w:t>en </w:t>
      </w:r>
      <w:r>
        <w:rPr>
          <w:color w:val="231F20"/>
          <w:spacing w:val="2"/>
        </w:rPr>
        <w:t>fin, toda una constelación </w:t>
      </w:r>
      <w:r>
        <w:rPr>
          <w:color w:val="231F20"/>
        </w:rPr>
        <w:t>de </w:t>
      </w:r>
      <w:r>
        <w:rPr>
          <w:color w:val="231F20"/>
          <w:spacing w:val="3"/>
        </w:rPr>
        <w:t>elementos </w:t>
      </w:r>
      <w:r>
        <w:rPr>
          <w:color w:val="231F20"/>
          <w:spacing w:val="2"/>
        </w:rPr>
        <w:t>violentos que </w:t>
      </w:r>
      <w:r>
        <w:rPr>
          <w:color w:val="231F20"/>
        </w:rPr>
        <w:t>se </w:t>
      </w:r>
      <w:r>
        <w:rPr>
          <w:color w:val="231F20"/>
          <w:spacing w:val="2"/>
        </w:rPr>
        <w:t>manifiestan </w:t>
      </w:r>
      <w:r>
        <w:rPr>
          <w:color w:val="231F20"/>
        </w:rPr>
        <w:t>en el </w:t>
      </w:r>
      <w:r>
        <w:rPr>
          <w:color w:val="231F20"/>
          <w:spacing w:val="2"/>
        </w:rPr>
        <w:t>aula   </w:t>
      </w:r>
      <w:r>
        <w:rPr>
          <w:color w:val="231F20"/>
        </w:rPr>
        <w:t>y </w:t>
      </w:r>
      <w:r>
        <w:rPr>
          <w:color w:val="231F20"/>
          <w:spacing w:val="2"/>
        </w:rPr>
        <w:t>que aluden </w:t>
      </w:r>
      <w:r>
        <w:rPr>
          <w:color w:val="231F20"/>
        </w:rPr>
        <w:t>a </w:t>
      </w:r>
      <w:r>
        <w:rPr>
          <w:color w:val="231F20"/>
          <w:spacing w:val="3"/>
        </w:rPr>
        <w:t>reglamentos, </w:t>
      </w:r>
      <w:r>
        <w:rPr>
          <w:color w:val="231F20"/>
        </w:rPr>
        <w:t>a </w:t>
      </w:r>
      <w:r>
        <w:rPr>
          <w:color w:val="231F20"/>
          <w:spacing w:val="2"/>
        </w:rPr>
        <w:t>tradición educativa </w:t>
      </w:r>
      <w:r>
        <w:rPr>
          <w:color w:val="231F20"/>
        </w:rPr>
        <w:t>y a </w:t>
      </w:r>
      <w:r>
        <w:rPr>
          <w:color w:val="231F20"/>
          <w:spacing w:val="3"/>
        </w:rPr>
        <w:t>dinámicas </w:t>
      </w:r>
      <w:r>
        <w:rPr>
          <w:color w:val="231F20"/>
          <w:spacing w:val="2"/>
        </w:rPr>
        <w:t>escolares </w:t>
      </w:r>
      <w:r>
        <w:rPr>
          <w:color w:val="231F20"/>
          <w:spacing w:val="3"/>
        </w:rPr>
        <w:t>consagradas, </w:t>
      </w:r>
      <w:r>
        <w:rPr>
          <w:color w:val="231F20"/>
          <w:spacing w:val="2"/>
        </w:rPr>
        <w:t>que parecen haberse </w:t>
      </w:r>
      <w:r>
        <w:rPr>
          <w:color w:val="231F20"/>
          <w:spacing w:val="3"/>
        </w:rPr>
        <w:t>suspendido </w:t>
      </w:r>
      <w:r>
        <w:rPr>
          <w:color w:val="231F20"/>
        </w:rPr>
        <w:t>en el </w:t>
      </w:r>
      <w:r>
        <w:rPr>
          <w:color w:val="231F20"/>
          <w:spacing w:val="2"/>
        </w:rPr>
        <w:t>tiempo desde hace </w:t>
      </w:r>
      <w:r>
        <w:rPr>
          <w:color w:val="231F20"/>
        </w:rPr>
        <w:t>ya </w:t>
      </w:r>
      <w:r>
        <w:rPr>
          <w:color w:val="231F20"/>
          <w:spacing w:val="3"/>
        </w:rPr>
        <w:t>muchos </w:t>
      </w:r>
      <w:r>
        <w:rPr>
          <w:color w:val="231F20"/>
          <w:spacing w:val="2"/>
        </w:rPr>
        <w:t>años, bajo </w:t>
      </w:r>
      <w:r>
        <w:rPr>
          <w:color w:val="231F20"/>
          <w:spacing w:val="3"/>
        </w:rPr>
        <w:t>Mundos </w:t>
      </w:r>
      <w:r>
        <w:rPr>
          <w:color w:val="231F20"/>
        </w:rPr>
        <w:t>de la </w:t>
      </w:r>
      <w:r>
        <w:rPr>
          <w:color w:val="231F20"/>
          <w:spacing w:val="2"/>
        </w:rPr>
        <w:t>Vida </w:t>
      </w:r>
      <w:r>
        <w:rPr>
          <w:color w:val="231F20"/>
          <w:spacing w:val="3"/>
        </w:rPr>
        <w:t>colonizados.</w:t>
      </w:r>
    </w:p>
    <w:p>
      <w:pPr>
        <w:pStyle w:val="BodyText"/>
        <w:spacing w:line="249" w:lineRule="auto"/>
        <w:ind w:left="102" w:right="114" w:firstLine="283"/>
        <w:jc w:val="both"/>
      </w:pPr>
      <w:r>
        <w:rPr>
          <w:color w:val="231F20"/>
          <w:spacing w:val="2"/>
        </w:rPr>
        <w:t>Así, </w:t>
      </w:r>
      <w:r>
        <w:rPr>
          <w:color w:val="231F20"/>
        </w:rPr>
        <w:t>lo que se </w:t>
      </w:r>
      <w:r>
        <w:rPr>
          <w:color w:val="231F20"/>
          <w:spacing w:val="2"/>
        </w:rPr>
        <w:t>dicen </w:t>
      </w:r>
      <w:r>
        <w:rPr>
          <w:color w:val="231F20"/>
        </w:rPr>
        <w:t>y </w:t>
      </w:r>
      <w:r>
        <w:rPr>
          <w:color w:val="231F20"/>
          <w:spacing w:val="2"/>
        </w:rPr>
        <w:t>hacen los </w:t>
      </w:r>
      <w:r>
        <w:rPr>
          <w:color w:val="231F20"/>
          <w:spacing w:val="3"/>
        </w:rPr>
        <w:t>maestros </w:t>
      </w:r>
      <w:r>
        <w:rPr>
          <w:color w:val="231F20"/>
        </w:rPr>
        <w:t>y </w:t>
      </w:r>
      <w:r>
        <w:rPr>
          <w:color w:val="231F20"/>
          <w:spacing w:val="2"/>
        </w:rPr>
        <w:t>los estudiantes, </w:t>
      </w:r>
      <w:r>
        <w:rPr>
          <w:color w:val="231F20"/>
        </w:rPr>
        <w:t>se </w:t>
      </w:r>
      <w:r>
        <w:rPr>
          <w:color w:val="231F20"/>
          <w:spacing w:val="3"/>
        </w:rPr>
        <w:t>enmarca </w:t>
      </w:r>
      <w:r>
        <w:rPr>
          <w:color w:val="231F20"/>
        </w:rPr>
        <w:t>en </w:t>
      </w:r>
      <w:r>
        <w:rPr>
          <w:color w:val="231F20"/>
          <w:spacing w:val="2"/>
        </w:rPr>
        <w:t>estructuras </w:t>
      </w:r>
      <w:r>
        <w:rPr>
          <w:color w:val="231F20"/>
        </w:rPr>
        <w:t>de </w:t>
      </w:r>
      <w:r>
        <w:rPr>
          <w:color w:val="231F20"/>
          <w:spacing w:val="2"/>
        </w:rPr>
        <w:t>significado </w:t>
      </w:r>
      <w:r>
        <w:rPr>
          <w:color w:val="231F20"/>
          <w:spacing w:val="3"/>
        </w:rPr>
        <w:t>comunes, </w:t>
      </w:r>
      <w:r>
        <w:rPr>
          <w:color w:val="231F20"/>
        </w:rPr>
        <w:t>y </w:t>
      </w:r>
      <w:r>
        <w:rPr>
          <w:color w:val="231F20"/>
          <w:spacing w:val="2"/>
        </w:rPr>
        <w:t>pertenecientes solo </w:t>
      </w:r>
      <w:r>
        <w:rPr>
          <w:color w:val="231F20"/>
        </w:rPr>
        <w:t>al </w:t>
      </w:r>
      <w:r>
        <w:rPr>
          <w:color w:val="231F20"/>
          <w:spacing w:val="2"/>
        </w:rPr>
        <w:t>ámbito escolar: </w:t>
      </w:r>
      <w:r>
        <w:rPr>
          <w:color w:val="231F20"/>
          <w:spacing w:val="3"/>
        </w:rPr>
        <w:t>cuando </w:t>
      </w:r>
      <w:r>
        <w:rPr>
          <w:color w:val="231F20"/>
          <w:spacing w:val="2"/>
        </w:rPr>
        <w:t>los </w:t>
      </w:r>
      <w:r>
        <w:rPr>
          <w:color w:val="231F20"/>
          <w:spacing w:val="3"/>
        </w:rPr>
        <w:t>profesores </w:t>
      </w:r>
      <w:r>
        <w:rPr>
          <w:color w:val="231F20"/>
          <w:spacing w:val="2"/>
        </w:rPr>
        <w:t>registraban </w:t>
      </w:r>
      <w:r>
        <w:rPr>
          <w:color w:val="231F20"/>
        </w:rPr>
        <w:t>la </w:t>
      </w:r>
      <w:r>
        <w:rPr>
          <w:color w:val="231F20"/>
          <w:spacing w:val="2"/>
        </w:rPr>
        <w:t>asistencia, </w:t>
      </w:r>
      <w:r>
        <w:rPr>
          <w:color w:val="231F20"/>
        </w:rPr>
        <w:t>así </w:t>
      </w:r>
      <w:r>
        <w:rPr>
          <w:color w:val="231F20"/>
          <w:spacing w:val="3"/>
        </w:rPr>
        <w:t>como </w:t>
      </w:r>
      <w:r>
        <w:rPr>
          <w:color w:val="231F20"/>
          <w:spacing w:val="2"/>
        </w:rPr>
        <w:t>cuando </w:t>
      </w:r>
      <w:r>
        <w:rPr>
          <w:color w:val="231F20"/>
        </w:rPr>
        <w:t>se </w:t>
      </w:r>
      <w:r>
        <w:rPr>
          <w:color w:val="231F20"/>
          <w:spacing w:val="2"/>
        </w:rPr>
        <w:t>avisaba acerca </w:t>
      </w:r>
      <w:r>
        <w:rPr>
          <w:color w:val="231F20"/>
        </w:rPr>
        <w:t>de la </w:t>
      </w:r>
      <w:r>
        <w:rPr>
          <w:color w:val="231F20"/>
          <w:spacing w:val="3"/>
        </w:rPr>
        <w:t>proximidad </w:t>
      </w:r>
      <w:r>
        <w:rPr>
          <w:color w:val="231F20"/>
        </w:rPr>
        <w:t>de </w:t>
      </w:r>
      <w:r>
        <w:rPr>
          <w:color w:val="231F20"/>
          <w:spacing w:val="3"/>
        </w:rPr>
        <w:t>exámenes </w:t>
      </w:r>
      <w:r>
        <w:rPr>
          <w:color w:val="231F20"/>
        </w:rPr>
        <w:t>o la </w:t>
      </w:r>
      <w:r>
        <w:rPr>
          <w:color w:val="231F20"/>
          <w:spacing w:val="2"/>
        </w:rPr>
        <w:t>entrega </w:t>
      </w:r>
      <w:r>
        <w:rPr>
          <w:color w:val="231F20"/>
        </w:rPr>
        <w:t>de </w:t>
      </w:r>
      <w:r>
        <w:rPr>
          <w:color w:val="231F20"/>
          <w:spacing w:val="2"/>
        </w:rPr>
        <w:t>tareas, </w:t>
      </w:r>
      <w:r>
        <w:rPr>
          <w:color w:val="231F20"/>
        </w:rPr>
        <w:t>se </w:t>
      </w:r>
      <w:r>
        <w:rPr>
          <w:color w:val="231F20"/>
          <w:spacing w:val="2"/>
        </w:rPr>
        <w:t>aludía </w:t>
      </w:r>
      <w:r>
        <w:rPr>
          <w:color w:val="231F20"/>
        </w:rPr>
        <w:t>a </w:t>
      </w:r>
      <w:r>
        <w:rPr>
          <w:color w:val="231F20"/>
          <w:spacing w:val="3"/>
        </w:rPr>
        <w:t>normas académicas </w:t>
      </w:r>
      <w:r>
        <w:rPr>
          <w:color w:val="231F20"/>
          <w:spacing w:val="2"/>
        </w:rPr>
        <w:t>vigentes </w:t>
      </w:r>
      <w:r>
        <w:rPr>
          <w:color w:val="231F20"/>
        </w:rPr>
        <w:t>y a </w:t>
      </w:r>
      <w:r>
        <w:rPr>
          <w:color w:val="231F20"/>
          <w:spacing w:val="3"/>
        </w:rPr>
        <w:t>formas </w:t>
      </w:r>
      <w:r>
        <w:rPr>
          <w:color w:val="231F20"/>
        </w:rPr>
        <w:t>de </w:t>
      </w:r>
      <w:r>
        <w:rPr>
          <w:color w:val="231F20"/>
          <w:spacing w:val="2"/>
        </w:rPr>
        <w:t>control </w:t>
      </w:r>
      <w:r>
        <w:rPr>
          <w:color w:val="231F20"/>
          <w:spacing w:val="3"/>
        </w:rPr>
        <w:t>sancionadas </w:t>
      </w:r>
      <w:r>
        <w:rPr>
          <w:color w:val="231F20"/>
          <w:spacing w:val="2"/>
        </w:rPr>
        <w:t>por </w:t>
      </w:r>
      <w:r>
        <w:rPr>
          <w:color w:val="231F20"/>
        </w:rPr>
        <w:t>la </w:t>
      </w:r>
      <w:r>
        <w:rPr>
          <w:color w:val="231F20"/>
          <w:spacing w:val="2"/>
        </w:rPr>
        <w:t>autoridad </w:t>
      </w:r>
      <w:r>
        <w:rPr>
          <w:color w:val="231F20"/>
        </w:rPr>
        <w:t>de </w:t>
      </w:r>
      <w:r>
        <w:rPr>
          <w:color w:val="231F20"/>
          <w:spacing w:val="2"/>
        </w:rPr>
        <w:t>los </w:t>
      </w:r>
      <w:r>
        <w:rPr>
          <w:color w:val="231F20"/>
          <w:spacing w:val="3"/>
        </w:rPr>
        <w:t>reglamentos </w:t>
      </w:r>
      <w:r>
        <w:rPr>
          <w:color w:val="231F20"/>
        </w:rPr>
        <w:t>de </w:t>
      </w:r>
      <w:r>
        <w:rPr>
          <w:color w:val="231F20"/>
          <w:spacing w:val="2"/>
        </w:rPr>
        <w:t>estudiantes </w:t>
      </w:r>
      <w:r>
        <w:rPr>
          <w:color w:val="231F20"/>
        </w:rPr>
        <w:t>y de </w:t>
      </w:r>
      <w:r>
        <w:rPr>
          <w:color w:val="231F20"/>
          <w:spacing w:val="3"/>
        </w:rPr>
        <w:t>profesores, </w:t>
      </w:r>
      <w:r>
        <w:rPr>
          <w:color w:val="231F20"/>
          <w:spacing w:val="2"/>
        </w:rPr>
        <w:t>llevados </w:t>
      </w:r>
      <w:r>
        <w:rPr>
          <w:color w:val="231F20"/>
        </w:rPr>
        <w:t>a la </w:t>
      </w:r>
      <w:r>
        <w:rPr>
          <w:color w:val="231F20"/>
          <w:spacing w:val="3"/>
        </w:rPr>
        <w:t>violencia </w:t>
      </w:r>
      <w:r>
        <w:rPr>
          <w:color w:val="231F20"/>
        </w:rPr>
        <w:t>si era </w:t>
      </w:r>
      <w:r>
        <w:rPr>
          <w:color w:val="231F20"/>
          <w:spacing w:val="2"/>
        </w:rPr>
        <w:t>necesario. </w:t>
      </w:r>
      <w:r>
        <w:rPr>
          <w:color w:val="231F20"/>
        </w:rPr>
        <w:t>Se </w:t>
      </w:r>
      <w:r>
        <w:rPr>
          <w:color w:val="231F20"/>
          <w:spacing w:val="2"/>
        </w:rPr>
        <w:t>ejecutaban </w:t>
      </w:r>
      <w:r>
        <w:rPr>
          <w:color w:val="231F20"/>
        </w:rPr>
        <w:t>de </w:t>
      </w:r>
      <w:r>
        <w:rPr>
          <w:color w:val="231F20"/>
          <w:spacing w:val="3"/>
        </w:rPr>
        <w:t>manera </w:t>
      </w:r>
      <w:r>
        <w:rPr>
          <w:color w:val="231F20"/>
          <w:spacing w:val="2"/>
        </w:rPr>
        <w:t>implícita tareas </w:t>
      </w:r>
      <w:r>
        <w:rPr>
          <w:color w:val="231F20"/>
        </w:rPr>
        <w:t>de </w:t>
      </w:r>
      <w:r>
        <w:rPr>
          <w:color w:val="231F20"/>
          <w:spacing w:val="2"/>
        </w:rPr>
        <w:t>legitimación </w:t>
      </w:r>
      <w:r>
        <w:rPr>
          <w:color w:val="231F20"/>
        </w:rPr>
        <w:t>de las </w:t>
      </w:r>
      <w:r>
        <w:rPr>
          <w:color w:val="231F20"/>
          <w:spacing w:val="3"/>
        </w:rPr>
        <w:t>formas </w:t>
      </w:r>
      <w:r>
        <w:rPr>
          <w:color w:val="231F20"/>
          <w:spacing w:val="2"/>
        </w:rPr>
        <w:t>colonizadas </w:t>
      </w:r>
      <w:r>
        <w:rPr>
          <w:color w:val="231F20"/>
        </w:rPr>
        <w:t>en la </w:t>
      </w:r>
      <w:r>
        <w:rPr>
          <w:color w:val="231F20"/>
          <w:spacing w:val="2"/>
        </w:rPr>
        <w:t>escuela, </w:t>
      </w:r>
      <w:r>
        <w:rPr>
          <w:color w:val="231F20"/>
          <w:spacing w:val="3"/>
        </w:rPr>
        <w:t>mismas </w:t>
      </w:r>
      <w:r>
        <w:rPr>
          <w:color w:val="231F20"/>
          <w:spacing w:val="2"/>
        </w:rPr>
        <w:t>que </w:t>
      </w:r>
      <w:r>
        <w:rPr>
          <w:color w:val="231F20"/>
        </w:rPr>
        <w:t>se </w:t>
      </w:r>
      <w:r>
        <w:rPr>
          <w:color w:val="231F20"/>
          <w:spacing w:val="2"/>
        </w:rPr>
        <w:t>dieron siempre por supuestas, por </w:t>
      </w:r>
      <w:r>
        <w:rPr>
          <w:color w:val="231F20"/>
          <w:spacing w:val="3"/>
        </w:rPr>
        <w:t>obviamente </w:t>
      </w:r>
      <w:r>
        <w:rPr>
          <w:color w:val="231F20"/>
          <w:spacing w:val="2"/>
        </w:rPr>
        <w:t>correctas </w:t>
      </w:r>
      <w:r>
        <w:rPr>
          <w:color w:val="231F20"/>
        </w:rPr>
        <w:t>y </w:t>
      </w:r>
      <w:r>
        <w:rPr>
          <w:color w:val="231F20"/>
          <w:spacing w:val="3"/>
        </w:rPr>
        <w:t>sancionadoras </w:t>
      </w:r>
      <w:r>
        <w:rPr>
          <w:color w:val="231F20"/>
          <w:spacing w:val="2"/>
        </w:rPr>
        <w:t>del estilo petrificado </w:t>
      </w:r>
      <w:r>
        <w:rPr>
          <w:color w:val="231F20"/>
        </w:rPr>
        <w:t>de </w:t>
      </w:r>
      <w:r>
        <w:rPr>
          <w:color w:val="231F20"/>
          <w:spacing w:val="2"/>
        </w:rPr>
        <w:t>educación, fijado </w:t>
      </w:r>
      <w:r>
        <w:rPr>
          <w:color w:val="231F20"/>
          <w:spacing w:val="3"/>
        </w:rPr>
        <w:t>sin  </w:t>
      </w:r>
      <w:r>
        <w:rPr>
          <w:color w:val="231F20"/>
          <w:spacing w:val="2"/>
        </w:rPr>
        <w:t>ningún </w:t>
      </w:r>
      <w:r>
        <w:rPr>
          <w:color w:val="231F20"/>
          <w:spacing w:val="3"/>
        </w:rPr>
        <w:t>cuestionamiento </w:t>
      </w:r>
      <w:r>
        <w:rPr>
          <w:color w:val="231F20"/>
          <w:spacing w:val="2"/>
        </w:rPr>
        <w:t>por parte </w:t>
      </w:r>
      <w:r>
        <w:rPr>
          <w:color w:val="231F20"/>
        </w:rPr>
        <w:t>de </w:t>
      </w:r>
      <w:r>
        <w:rPr>
          <w:color w:val="231F20"/>
          <w:spacing w:val="2"/>
        </w:rPr>
        <w:t>académicos </w:t>
      </w:r>
      <w:r>
        <w:rPr>
          <w:color w:val="231F20"/>
        </w:rPr>
        <w:t>o </w:t>
      </w:r>
      <w:r>
        <w:rPr>
          <w:color w:val="231F20"/>
          <w:spacing w:val="4"/>
        </w:rPr>
        <w:t> </w:t>
      </w:r>
      <w:r>
        <w:rPr>
          <w:color w:val="231F20"/>
          <w:spacing w:val="2"/>
        </w:rPr>
        <w:t>estudiantes.</w:t>
      </w:r>
    </w:p>
    <w:p>
      <w:pPr>
        <w:pStyle w:val="BodyText"/>
        <w:spacing w:line="249" w:lineRule="auto"/>
        <w:ind w:left="102" w:right="115" w:firstLine="284"/>
        <w:jc w:val="both"/>
      </w:pPr>
      <w:r>
        <w:rPr>
          <w:color w:val="231F20"/>
          <w:spacing w:val="2"/>
        </w:rPr>
        <w:t>Los profesores llegan </w:t>
      </w:r>
      <w:r>
        <w:rPr>
          <w:color w:val="231F20"/>
        </w:rPr>
        <w:t>un </w:t>
      </w:r>
      <w:r>
        <w:rPr>
          <w:color w:val="231F20"/>
          <w:spacing w:val="2"/>
        </w:rPr>
        <w:t>poco después  </w:t>
      </w:r>
      <w:r>
        <w:rPr>
          <w:color w:val="231F20"/>
        </w:rPr>
        <w:t>de  la  </w:t>
      </w:r>
      <w:r>
        <w:rPr>
          <w:color w:val="231F20"/>
          <w:spacing w:val="2"/>
        </w:rPr>
        <w:t>hora  señalada para </w:t>
      </w:r>
      <w:r>
        <w:rPr>
          <w:color w:val="231F20"/>
        </w:rPr>
        <w:t>la </w:t>
      </w:r>
      <w:r>
        <w:rPr>
          <w:color w:val="231F20"/>
          <w:spacing w:val="2"/>
        </w:rPr>
        <w:t>sesión </w:t>
      </w:r>
      <w:r>
        <w:rPr>
          <w:color w:val="231F20"/>
        </w:rPr>
        <w:t>y </w:t>
      </w:r>
      <w:r>
        <w:rPr>
          <w:color w:val="231F20"/>
          <w:spacing w:val="2"/>
        </w:rPr>
        <w:t>los estudiantes </w:t>
      </w:r>
      <w:r>
        <w:rPr>
          <w:color w:val="231F20"/>
          <w:spacing w:val="3"/>
        </w:rPr>
        <w:t>toman </w:t>
      </w:r>
      <w:r>
        <w:rPr>
          <w:color w:val="231F20"/>
          <w:spacing w:val="2"/>
        </w:rPr>
        <w:t>los lugares </w:t>
      </w:r>
      <w:r>
        <w:rPr>
          <w:color w:val="231F20"/>
        </w:rPr>
        <w:t>que les </w:t>
      </w:r>
      <w:r>
        <w:rPr>
          <w:color w:val="231F20"/>
          <w:spacing w:val="3"/>
        </w:rPr>
        <w:t>corresponden, </w:t>
      </w:r>
      <w:r>
        <w:rPr>
          <w:color w:val="231F20"/>
        </w:rPr>
        <w:t>se </w:t>
      </w:r>
      <w:r>
        <w:rPr>
          <w:color w:val="231F20"/>
          <w:spacing w:val="3"/>
        </w:rPr>
        <w:t>procede </w:t>
      </w:r>
      <w:r>
        <w:rPr>
          <w:color w:val="231F20"/>
        </w:rPr>
        <w:t>al </w:t>
      </w:r>
      <w:r>
        <w:rPr>
          <w:color w:val="231F20"/>
          <w:spacing w:val="2"/>
        </w:rPr>
        <w:t>registro </w:t>
      </w:r>
      <w:r>
        <w:rPr>
          <w:color w:val="231F20"/>
        </w:rPr>
        <w:t>de </w:t>
      </w:r>
      <w:r>
        <w:rPr>
          <w:color w:val="231F20"/>
          <w:spacing w:val="2"/>
        </w:rPr>
        <w:t>asistencia </w:t>
      </w:r>
      <w:r>
        <w:rPr>
          <w:color w:val="231F20"/>
        </w:rPr>
        <w:t>y se </w:t>
      </w:r>
      <w:r>
        <w:rPr>
          <w:color w:val="231F20"/>
          <w:spacing w:val="2"/>
        </w:rPr>
        <w:t>desarrolla   </w:t>
      </w:r>
      <w:r>
        <w:rPr>
          <w:color w:val="231F20"/>
        </w:rPr>
        <w:t>de </w:t>
      </w:r>
      <w:r>
        <w:rPr>
          <w:color w:val="231F20"/>
          <w:spacing w:val="2"/>
        </w:rPr>
        <w:t>alguna </w:t>
      </w:r>
      <w:r>
        <w:rPr>
          <w:color w:val="231F20"/>
          <w:spacing w:val="3"/>
        </w:rPr>
        <w:t>manera </w:t>
      </w:r>
      <w:r>
        <w:rPr>
          <w:color w:val="231F20"/>
        </w:rPr>
        <w:t>el </w:t>
      </w:r>
      <w:r>
        <w:rPr>
          <w:color w:val="231F20"/>
          <w:spacing w:val="2"/>
        </w:rPr>
        <w:t>tema </w:t>
      </w:r>
      <w:r>
        <w:rPr>
          <w:color w:val="231F20"/>
        </w:rPr>
        <w:t>y la </w:t>
      </w:r>
      <w:r>
        <w:rPr>
          <w:color w:val="231F20"/>
          <w:spacing w:val="2"/>
        </w:rPr>
        <w:t>modalidad </w:t>
      </w:r>
      <w:r>
        <w:rPr>
          <w:color w:val="231F20"/>
        </w:rPr>
        <w:t>de las </w:t>
      </w:r>
      <w:r>
        <w:rPr>
          <w:color w:val="231F20"/>
          <w:spacing w:val="2"/>
        </w:rPr>
        <w:t>sesiones </w:t>
      </w:r>
      <w:r>
        <w:rPr>
          <w:color w:val="231F20"/>
          <w:spacing w:val="3"/>
        </w:rPr>
        <w:t>(con </w:t>
      </w:r>
      <w:r>
        <w:rPr>
          <w:color w:val="231F20"/>
          <w:spacing w:val="2"/>
        </w:rPr>
        <w:t>algunas interrupciones </w:t>
      </w:r>
      <w:r>
        <w:rPr>
          <w:color w:val="231F20"/>
        </w:rPr>
        <w:t>de </w:t>
      </w:r>
      <w:r>
        <w:rPr>
          <w:color w:val="231F20"/>
          <w:spacing w:val="3"/>
        </w:rPr>
        <w:t>alumnos </w:t>
      </w:r>
      <w:r>
        <w:rPr>
          <w:color w:val="231F20"/>
        </w:rPr>
        <w:t>que </w:t>
      </w:r>
      <w:r>
        <w:rPr>
          <w:color w:val="231F20"/>
          <w:spacing w:val="2"/>
        </w:rPr>
        <w:t>salen del </w:t>
      </w:r>
      <w:r>
        <w:rPr>
          <w:color w:val="231F20"/>
        </w:rPr>
        <w:t>aula y de </w:t>
      </w:r>
      <w:r>
        <w:rPr>
          <w:color w:val="231F20"/>
          <w:spacing w:val="2"/>
        </w:rPr>
        <w:t>otros </w:t>
      </w:r>
      <w:r>
        <w:rPr>
          <w:color w:val="231F20"/>
        </w:rPr>
        <w:t>que </w:t>
      </w:r>
      <w:r>
        <w:rPr>
          <w:color w:val="231F20"/>
          <w:spacing w:val="2"/>
        </w:rPr>
        <w:t>entran), después, exposición por los </w:t>
      </w:r>
      <w:r>
        <w:rPr>
          <w:color w:val="231F20"/>
          <w:spacing w:val="3"/>
        </w:rPr>
        <w:t>profesores </w:t>
      </w:r>
      <w:r>
        <w:rPr>
          <w:color w:val="231F20"/>
        </w:rPr>
        <w:t>o </w:t>
      </w:r>
      <w:r>
        <w:rPr>
          <w:color w:val="231F20"/>
          <w:spacing w:val="3"/>
        </w:rPr>
        <w:t>profesoras,   </w:t>
      </w:r>
      <w:r>
        <w:rPr>
          <w:color w:val="231F20"/>
        </w:rPr>
        <w:t>o  </w:t>
      </w:r>
      <w:r>
        <w:rPr>
          <w:color w:val="231F20"/>
          <w:spacing w:val="2"/>
        </w:rPr>
        <w:t>por los estudiantes, término </w:t>
      </w:r>
      <w:r>
        <w:rPr>
          <w:color w:val="231F20"/>
        </w:rPr>
        <w:t>de la </w:t>
      </w:r>
      <w:r>
        <w:rPr>
          <w:color w:val="231F20"/>
          <w:spacing w:val="2"/>
        </w:rPr>
        <w:t>sesión </w:t>
      </w:r>
      <w:r>
        <w:rPr>
          <w:color w:val="231F20"/>
        </w:rPr>
        <w:t>un  </w:t>
      </w:r>
      <w:r>
        <w:rPr>
          <w:color w:val="231F20"/>
          <w:spacing w:val="2"/>
        </w:rPr>
        <w:t>poco antes </w:t>
      </w:r>
      <w:r>
        <w:rPr>
          <w:color w:val="231F20"/>
        </w:rPr>
        <w:t>de la  </w:t>
      </w:r>
      <w:r>
        <w:rPr>
          <w:color w:val="231F20"/>
          <w:spacing w:val="2"/>
        </w:rPr>
        <w:t>hora señalada. </w:t>
      </w:r>
      <w:r>
        <w:rPr>
          <w:color w:val="231F20"/>
          <w:spacing w:val="3"/>
        </w:rPr>
        <w:t>Mucho </w:t>
      </w:r>
      <w:r>
        <w:rPr>
          <w:color w:val="231F20"/>
        </w:rPr>
        <w:t>de lo que la </w:t>
      </w:r>
      <w:r>
        <w:rPr>
          <w:color w:val="231F20"/>
          <w:spacing w:val="2"/>
        </w:rPr>
        <w:t>escuela prevé </w:t>
      </w:r>
      <w:r>
        <w:rPr>
          <w:color w:val="231F20"/>
        </w:rPr>
        <w:t>en su </w:t>
      </w:r>
      <w:r>
        <w:rPr>
          <w:color w:val="231F20"/>
          <w:spacing w:val="3"/>
        </w:rPr>
        <w:t>reglamento, </w:t>
      </w:r>
      <w:r>
        <w:rPr>
          <w:color w:val="231F20"/>
        </w:rPr>
        <w:t>en su </w:t>
      </w:r>
      <w:r>
        <w:rPr>
          <w:color w:val="231F20"/>
          <w:spacing w:val="2"/>
        </w:rPr>
        <w:t>tradición </w:t>
      </w:r>
      <w:r>
        <w:rPr>
          <w:color w:val="231F20"/>
        </w:rPr>
        <w:t>y en su </w:t>
      </w:r>
      <w:r>
        <w:rPr>
          <w:color w:val="231F20"/>
          <w:spacing w:val="3"/>
        </w:rPr>
        <w:t>forma </w:t>
      </w:r>
      <w:r>
        <w:rPr>
          <w:color w:val="231F20"/>
        </w:rPr>
        <w:t>de </w:t>
      </w:r>
      <w:r>
        <w:rPr>
          <w:color w:val="231F20"/>
          <w:spacing w:val="2"/>
        </w:rPr>
        <w:t>operar, </w:t>
      </w:r>
      <w:r>
        <w:rPr>
          <w:color w:val="231F20"/>
        </w:rPr>
        <w:t>se </w:t>
      </w:r>
      <w:r>
        <w:rPr>
          <w:color w:val="231F20"/>
          <w:spacing w:val="2"/>
        </w:rPr>
        <w:t>expresa </w:t>
      </w:r>
      <w:r>
        <w:rPr>
          <w:color w:val="231F20"/>
        </w:rPr>
        <w:t>en el aula de </w:t>
      </w:r>
      <w:r>
        <w:rPr>
          <w:color w:val="231F20"/>
          <w:spacing w:val="2"/>
        </w:rPr>
        <w:t>manera indirecta, incuestionada por los actores, pero </w:t>
      </w:r>
      <w:r>
        <w:rPr>
          <w:color w:val="231F20"/>
          <w:spacing w:val="3"/>
        </w:rPr>
        <w:t>sí constantemente </w:t>
      </w:r>
      <w:r>
        <w:rPr>
          <w:color w:val="231F20"/>
          <w:spacing w:val="2"/>
        </w:rPr>
        <w:t>aludida </w:t>
      </w:r>
      <w:r>
        <w:rPr>
          <w:color w:val="231F20"/>
        </w:rPr>
        <w:t>y </w:t>
      </w:r>
      <w:r>
        <w:rPr>
          <w:color w:val="231F20"/>
          <w:spacing w:val="2"/>
        </w:rPr>
        <w:t>rehecha </w:t>
      </w:r>
      <w:r>
        <w:rPr>
          <w:color w:val="231F20"/>
        </w:rPr>
        <w:t>de </w:t>
      </w:r>
      <w:r>
        <w:rPr>
          <w:color w:val="231F20"/>
          <w:spacing w:val="3"/>
        </w:rPr>
        <w:t>manera </w:t>
      </w:r>
      <w:r>
        <w:rPr>
          <w:color w:val="231F20"/>
          <w:spacing w:val="2"/>
        </w:rPr>
        <w:t>reiterada, </w:t>
      </w:r>
      <w:r>
        <w:rPr>
          <w:color w:val="231F20"/>
        </w:rPr>
        <w:t>lo </w:t>
      </w:r>
      <w:r>
        <w:rPr>
          <w:color w:val="231F20"/>
          <w:spacing w:val="2"/>
        </w:rPr>
        <w:t>que </w:t>
      </w:r>
      <w:r>
        <w:rPr>
          <w:color w:val="231F20"/>
          <w:spacing w:val="3"/>
        </w:rPr>
        <w:t>conduce </w:t>
      </w:r>
      <w:r>
        <w:rPr>
          <w:color w:val="231F20"/>
        </w:rPr>
        <w:t>a la </w:t>
      </w:r>
      <w:r>
        <w:rPr>
          <w:color w:val="231F20"/>
          <w:spacing w:val="2"/>
        </w:rPr>
        <w:t>legitimación </w:t>
      </w:r>
      <w:r>
        <w:rPr>
          <w:color w:val="231F20"/>
        </w:rPr>
        <w:t>de </w:t>
      </w:r>
      <w:r>
        <w:rPr>
          <w:color w:val="231F20"/>
          <w:spacing w:val="2"/>
        </w:rPr>
        <w:t>una violencia que </w:t>
      </w:r>
      <w:r>
        <w:rPr>
          <w:color w:val="231F20"/>
        </w:rPr>
        <w:t>ya se </w:t>
      </w:r>
      <w:r>
        <w:rPr>
          <w:color w:val="231F20"/>
          <w:spacing w:val="2"/>
        </w:rPr>
        <w:t>torna casi</w:t>
      </w:r>
      <w:r>
        <w:rPr>
          <w:color w:val="231F20"/>
          <w:spacing w:val="56"/>
        </w:rPr>
        <w:t> </w:t>
      </w:r>
      <w:r>
        <w:rPr>
          <w:color w:val="231F20"/>
          <w:spacing w:val="2"/>
        </w:rPr>
        <w:t>invisible para los </w:t>
      </w:r>
      <w:r>
        <w:rPr>
          <w:color w:val="231F20"/>
          <w:spacing w:val="3"/>
        </w:rPr>
        <w:t>propios</w:t>
      </w:r>
      <w:r>
        <w:rPr>
          <w:color w:val="231F20"/>
          <w:spacing w:val="-2"/>
        </w:rPr>
        <w:t> </w:t>
      </w:r>
      <w:r>
        <w:rPr>
          <w:color w:val="231F20"/>
          <w:spacing w:val="2"/>
        </w:rPr>
        <w:t>interactuantes.</w:t>
      </w:r>
    </w:p>
    <w:p>
      <w:pPr>
        <w:pStyle w:val="BodyText"/>
        <w:spacing w:line="247" w:lineRule="auto"/>
        <w:ind w:left="102" w:right="117" w:firstLine="284"/>
        <w:jc w:val="both"/>
      </w:pPr>
      <w:r>
        <w:rPr>
          <w:color w:val="231F20"/>
        </w:rPr>
        <w:t>No existen críticas acerca de los espacios, su ordenamiento, el tipo de mobiliario y el aula; no se discute el papel protagónico del profesor o profesora; no se presentan problemas acerca de los patrones impuestos por los profesores o acerca de los    contenidos</w:t>
      </w:r>
    </w:p>
    <w:p>
      <w:pPr>
        <w:spacing w:after="0" w:line="247" w:lineRule="auto"/>
        <w:jc w:val="both"/>
        <w:sectPr>
          <w:headerReference w:type="default" r:id="rId568"/>
          <w:footerReference w:type="default" r:id="rId569"/>
          <w:pgSz w:w="7830" w:h="11910"/>
          <w:pgMar w:header="0" w:footer="424" w:top="500" w:bottom="620" w:left="920" w:right="900"/>
          <w:pgNumType w:start="25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21"/>
      </w:pPr>
      <w:r>
        <w:rPr>
          <w:color w:val="231F20"/>
        </w:rPr>
        <w:t>temáticos y las formas de “dar la clase”, salvo unas cuantas excepciones. Todo parece transcurrir de acuerdo con lo  previsto.</w:t>
      </w:r>
    </w:p>
    <w:p>
      <w:pPr>
        <w:pStyle w:val="BodyText"/>
        <w:spacing w:line="249" w:lineRule="auto" w:before="1"/>
        <w:ind w:left="101" w:right="116" w:firstLine="284"/>
        <w:jc w:val="both"/>
      </w:pPr>
      <w:r>
        <w:rPr>
          <w:color w:val="231F20"/>
        </w:rPr>
        <w:t>El </w:t>
      </w:r>
      <w:r>
        <w:rPr>
          <w:color w:val="231F20"/>
          <w:spacing w:val="3"/>
        </w:rPr>
        <w:t>cumplimiento </w:t>
      </w:r>
      <w:r>
        <w:rPr>
          <w:color w:val="231F20"/>
        </w:rPr>
        <w:t>de las </w:t>
      </w:r>
      <w:r>
        <w:rPr>
          <w:color w:val="231F20"/>
          <w:spacing w:val="3"/>
        </w:rPr>
        <w:t>formas </w:t>
      </w:r>
      <w:r>
        <w:rPr>
          <w:color w:val="231F20"/>
        </w:rPr>
        <w:t>y de </w:t>
      </w:r>
      <w:r>
        <w:rPr>
          <w:color w:val="231F20"/>
          <w:spacing w:val="2"/>
        </w:rPr>
        <w:t>los papeles </w:t>
      </w:r>
      <w:r>
        <w:rPr>
          <w:color w:val="231F20"/>
        </w:rPr>
        <w:t>a </w:t>
      </w:r>
      <w:r>
        <w:rPr>
          <w:color w:val="231F20"/>
          <w:spacing w:val="3"/>
        </w:rPr>
        <w:t>desempeñar</w:t>
      </w:r>
      <w:r>
        <w:rPr>
          <w:color w:val="231F20"/>
          <w:spacing w:val="58"/>
        </w:rPr>
        <w:t> </w:t>
      </w:r>
      <w:r>
        <w:rPr>
          <w:color w:val="231F20"/>
        </w:rPr>
        <w:t>se </w:t>
      </w:r>
      <w:r>
        <w:rPr>
          <w:color w:val="231F20"/>
          <w:spacing w:val="2"/>
        </w:rPr>
        <w:t>inscribe </w:t>
      </w:r>
      <w:r>
        <w:rPr>
          <w:color w:val="231F20"/>
        </w:rPr>
        <w:t>en </w:t>
      </w:r>
      <w:r>
        <w:rPr>
          <w:color w:val="231F20"/>
          <w:spacing w:val="2"/>
        </w:rPr>
        <w:t>una estructura cultural añeja. Pero también encierra una </w:t>
      </w:r>
      <w:r>
        <w:rPr>
          <w:color w:val="231F20"/>
          <w:spacing w:val="3"/>
        </w:rPr>
        <w:t>forma </w:t>
      </w:r>
      <w:r>
        <w:rPr>
          <w:color w:val="231F20"/>
          <w:spacing w:val="2"/>
        </w:rPr>
        <w:t>particular, </w:t>
      </w:r>
      <w:r>
        <w:rPr>
          <w:color w:val="231F20"/>
        </w:rPr>
        <w:t>de </w:t>
      </w:r>
      <w:r>
        <w:rPr>
          <w:color w:val="231F20"/>
          <w:spacing w:val="2"/>
        </w:rPr>
        <w:t>negociación </w:t>
      </w:r>
      <w:r>
        <w:rPr>
          <w:color w:val="231F20"/>
        </w:rPr>
        <w:t>de </w:t>
      </w:r>
      <w:r>
        <w:rPr>
          <w:color w:val="231F20"/>
          <w:spacing w:val="2"/>
        </w:rPr>
        <w:t>roles </w:t>
      </w:r>
      <w:r>
        <w:rPr>
          <w:color w:val="231F20"/>
        </w:rPr>
        <w:t>y </w:t>
      </w:r>
      <w:r>
        <w:rPr>
          <w:color w:val="231F20"/>
          <w:spacing w:val="2"/>
        </w:rPr>
        <w:t>límites </w:t>
      </w:r>
      <w:r>
        <w:rPr>
          <w:color w:val="231F20"/>
        </w:rPr>
        <w:t>de </w:t>
      </w:r>
      <w:r>
        <w:rPr>
          <w:color w:val="231F20"/>
          <w:spacing w:val="3"/>
        </w:rPr>
        <w:t>estos, depende </w:t>
      </w:r>
      <w:r>
        <w:rPr>
          <w:color w:val="231F20"/>
          <w:spacing w:val="2"/>
        </w:rPr>
        <w:t>más </w:t>
      </w:r>
      <w:r>
        <w:rPr>
          <w:color w:val="231F20"/>
        </w:rPr>
        <w:t>de </w:t>
      </w:r>
      <w:r>
        <w:rPr>
          <w:color w:val="231F20"/>
          <w:spacing w:val="2"/>
        </w:rPr>
        <w:t>cada </w:t>
      </w:r>
      <w:r>
        <w:rPr>
          <w:color w:val="231F20"/>
          <w:spacing w:val="3"/>
        </w:rPr>
        <w:t>profesor </w:t>
      </w:r>
      <w:r>
        <w:rPr>
          <w:color w:val="231F20"/>
          <w:spacing w:val="2"/>
        </w:rPr>
        <w:t>que </w:t>
      </w:r>
      <w:r>
        <w:rPr>
          <w:color w:val="231F20"/>
        </w:rPr>
        <w:t>de </w:t>
      </w:r>
      <w:r>
        <w:rPr>
          <w:color w:val="231F20"/>
          <w:spacing w:val="2"/>
        </w:rPr>
        <w:t>los </w:t>
      </w:r>
      <w:r>
        <w:rPr>
          <w:color w:val="231F20"/>
          <w:spacing w:val="3"/>
        </w:rPr>
        <w:t>alumnos, </w:t>
      </w:r>
      <w:r>
        <w:rPr>
          <w:color w:val="231F20"/>
        </w:rPr>
        <w:t>que </w:t>
      </w:r>
      <w:r>
        <w:rPr>
          <w:color w:val="231F20"/>
          <w:spacing w:val="2"/>
        </w:rPr>
        <w:t>versa </w:t>
      </w:r>
      <w:r>
        <w:rPr>
          <w:color w:val="231F20"/>
          <w:spacing w:val="3"/>
        </w:rPr>
        <w:t>predominantemente </w:t>
      </w:r>
      <w:r>
        <w:rPr>
          <w:color w:val="231F20"/>
          <w:spacing w:val="2"/>
        </w:rPr>
        <w:t>acerca </w:t>
      </w:r>
      <w:r>
        <w:rPr>
          <w:color w:val="231F20"/>
        </w:rPr>
        <w:t>de </w:t>
      </w:r>
      <w:r>
        <w:rPr>
          <w:color w:val="231F20"/>
          <w:spacing w:val="2"/>
        </w:rPr>
        <w:t>tareas, </w:t>
      </w:r>
      <w:r>
        <w:rPr>
          <w:color w:val="231F20"/>
        </w:rPr>
        <w:t>de </w:t>
      </w:r>
      <w:r>
        <w:rPr>
          <w:color w:val="231F20"/>
          <w:spacing w:val="3"/>
        </w:rPr>
        <w:t>formas </w:t>
      </w:r>
      <w:r>
        <w:rPr>
          <w:color w:val="231F20"/>
        </w:rPr>
        <w:t>de </w:t>
      </w:r>
      <w:r>
        <w:rPr>
          <w:color w:val="231F20"/>
          <w:spacing w:val="2"/>
        </w:rPr>
        <w:t>evaluación </w:t>
      </w:r>
      <w:r>
        <w:rPr>
          <w:color w:val="231F20"/>
        </w:rPr>
        <w:t>y   de </w:t>
      </w:r>
      <w:r>
        <w:rPr>
          <w:color w:val="231F20"/>
          <w:spacing w:val="3"/>
        </w:rPr>
        <w:t>formas </w:t>
      </w:r>
      <w:r>
        <w:rPr>
          <w:color w:val="231F20"/>
        </w:rPr>
        <w:t>de </w:t>
      </w:r>
      <w:r>
        <w:rPr>
          <w:color w:val="231F20"/>
          <w:spacing w:val="3"/>
        </w:rPr>
        <w:t>comportamiento; </w:t>
      </w:r>
      <w:r>
        <w:rPr>
          <w:color w:val="231F20"/>
          <w:spacing w:val="2"/>
        </w:rPr>
        <w:t>cada tipo </w:t>
      </w:r>
      <w:r>
        <w:rPr>
          <w:color w:val="231F20"/>
        </w:rPr>
        <w:t>de </w:t>
      </w:r>
      <w:r>
        <w:rPr>
          <w:color w:val="231F20"/>
          <w:spacing w:val="2"/>
        </w:rPr>
        <w:t>negociación </w:t>
      </w:r>
      <w:r>
        <w:rPr>
          <w:color w:val="231F20"/>
          <w:spacing w:val="3"/>
        </w:rPr>
        <w:t>desembocará normalmente </w:t>
      </w:r>
      <w:r>
        <w:rPr>
          <w:color w:val="231F20"/>
        </w:rPr>
        <w:t>en un </w:t>
      </w:r>
      <w:r>
        <w:rPr>
          <w:color w:val="231F20"/>
          <w:spacing w:val="2"/>
        </w:rPr>
        <w:t>calificativo dado por </w:t>
      </w:r>
      <w:r>
        <w:rPr>
          <w:color w:val="231F20"/>
          <w:spacing w:val="3"/>
        </w:rPr>
        <w:t>los </w:t>
      </w:r>
      <w:r>
        <w:rPr>
          <w:color w:val="231F20"/>
          <w:spacing w:val="2"/>
        </w:rPr>
        <w:t>estudiantes </w:t>
      </w:r>
      <w:r>
        <w:rPr>
          <w:color w:val="231F20"/>
        </w:rPr>
        <w:t>al </w:t>
      </w:r>
      <w:r>
        <w:rPr>
          <w:color w:val="231F20"/>
          <w:spacing w:val="2"/>
        </w:rPr>
        <w:t>curso </w:t>
      </w:r>
      <w:r>
        <w:rPr>
          <w:color w:val="231F20"/>
        </w:rPr>
        <w:t>y al </w:t>
      </w:r>
      <w:r>
        <w:rPr>
          <w:color w:val="231F20"/>
          <w:spacing w:val="3"/>
        </w:rPr>
        <w:t>profesor. </w:t>
      </w:r>
      <w:r>
        <w:rPr>
          <w:color w:val="231F20"/>
          <w:spacing w:val="2"/>
        </w:rPr>
        <w:t>De </w:t>
      </w:r>
      <w:r>
        <w:rPr>
          <w:color w:val="231F20"/>
          <w:spacing w:val="3"/>
        </w:rPr>
        <w:t>muy </w:t>
      </w:r>
      <w:r>
        <w:rPr>
          <w:color w:val="231F20"/>
          <w:spacing w:val="2"/>
        </w:rPr>
        <w:t>exigente </w:t>
      </w:r>
      <w:r>
        <w:rPr>
          <w:color w:val="231F20"/>
          <w:spacing w:val="3"/>
        </w:rPr>
        <w:t>(muy </w:t>
      </w:r>
      <w:r>
        <w:rPr>
          <w:color w:val="231F20"/>
          <w:spacing w:val="2"/>
        </w:rPr>
        <w:t>autoritario) </w:t>
      </w:r>
      <w:r>
        <w:rPr>
          <w:color w:val="231F20"/>
        </w:rPr>
        <w:t>a </w:t>
      </w:r>
      <w:r>
        <w:rPr>
          <w:color w:val="231F20"/>
          <w:spacing w:val="2"/>
        </w:rPr>
        <w:t>muy </w:t>
      </w:r>
      <w:r>
        <w:rPr>
          <w:color w:val="231F20"/>
        </w:rPr>
        <w:t>laxo en </w:t>
      </w:r>
      <w:r>
        <w:rPr>
          <w:color w:val="231F20"/>
          <w:spacing w:val="2"/>
        </w:rPr>
        <w:t>los controles </w:t>
      </w:r>
      <w:r>
        <w:rPr>
          <w:color w:val="231F20"/>
        </w:rPr>
        <w:t>de </w:t>
      </w:r>
      <w:r>
        <w:rPr>
          <w:color w:val="231F20"/>
          <w:spacing w:val="3"/>
        </w:rPr>
        <w:t>comportamiento </w:t>
      </w:r>
      <w:r>
        <w:rPr>
          <w:color w:val="231F20"/>
          <w:spacing w:val="2"/>
        </w:rPr>
        <w:t>(demasiado flexible), </w:t>
      </w:r>
      <w:r>
        <w:rPr>
          <w:color w:val="231F20"/>
          <w:spacing w:val="3"/>
        </w:rPr>
        <w:t>empleando </w:t>
      </w:r>
      <w:r>
        <w:rPr>
          <w:color w:val="231F20"/>
          <w:spacing w:val="2"/>
        </w:rPr>
        <w:t>expresiones </w:t>
      </w:r>
      <w:r>
        <w:rPr>
          <w:color w:val="231F20"/>
        </w:rPr>
        <w:t>ya </w:t>
      </w:r>
      <w:r>
        <w:rPr>
          <w:color w:val="231F20"/>
          <w:spacing w:val="2"/>
        </w:rPr>
        <w:t>consagradas </w:t>
      </w:r>
      <w:r>
        <w:rPr>
          <w:color w:val="231F20"/>
        </w:rPr>
        <w:t>en la </w:t>
      </w:r>
      <w:r>
        <w:rPr>
          <w:color w:val="231F20"/>
          <w:spacing w:val="2"/>
        </w:rPr>
        <w:t>jerga</w:t>
      </w:r>
      <w:r>
        <w:rPr>
          <w:color w:val="231F20"/>
          <w:spacing w:val="-32"/>
        </w:rPr>
        <w:t> </w:t>
      </w:r>
      <w:r>
        <w:rPr>
          <w:color w:val="231F20"/>
          <w:spacing w:val="2"/>
        </w:rPr>
        <w:t>estudiantil.</w:t>
      </w:r>
    </w:p>
    <w:p>
      <w:pPr>
        <w:pStyle w:val="BodyText"/>
        <w:spacing w:line="247" w:lineRule="auto"/>
        <w:ind w:left="102" w:right="120" w:firstLine="284"/>
        <w:jc w:val="both"/>
      </w:pPr>
      <w:r>
        <w:rPr>
          <w:color w:val="231F20"/>
          <w:spacing w:val="2"/>
        </w:rPr>
        <w:t>Las normas consagradas </w:t>
      </w:r>
      <w:r>
        <w:rPr>
          <w:color w:val="231F20"/>
        </w:rPr>
        <w:t>y el tipo de </w:t>
      </w:r>
      <w:r>
        <w:rPr>
          <w:color w:val="231F20"/>
          <w:spacing w:val="2"/>
        </w:rPr>
        <w:t>profesor </w:t>
      </w:r>
      <w:r>
        <w:rPr>
          <w:color w:val="231F20"/>
        </w:rPr>
        <w:t>son los </w:t>
      </w:r>
      <w:r>
        <w:rPr>
          <w:color w:val="231F20"/>
          <w:spacing w:val="2"/>
        </w:rPr>
        <w:t>dos </w:t>
      </w:r>
      <w:r>
        <w:rPr>
          <w:color w:val="231F20"/>
          <w:spacing w:val="3"/>
        </w:rPr>
        <w:t>elementos comunes, </w:t>
      </w:r>
      <w:r>
        <w:rPr>
          <w:color w:val="231F20"/>
          <w:spacing w:val="2"/>
        </w:rPr>
        <w:t>los significados </w:t>
      </w:r>
      <w:r>
        <w:rPr>
          <w:color w:val="231F20"/>
        </w:rPr>
        <w:t>de </w:t>
      </w:r>
      <w:r>
        <w:rPr>
          <w:color w:val="231F20"/>
          <w:spacing w:val="2"/>
        </w:rPr>
        <w:t>gran parte </w:t>
      </w:r>
      <w:r>
        <w:rPr>
          <w:color w:val="231F20"/>
        </w:rPr>
        <w:t>de lo  que  </w:t>
      </w:r>
      <w:r>
        <w:rPr>
          <w:color w:val="231F20"/>
          <w:spacing w:val="2"/>
        </w:rPr>
        <w:t>sucede </w:t>
      </w:r>
      <w:r>
        <w:rPr>
          <w:color w:val="231F20"/>
        </w:rPr>
        <w:t>en el</w:t>
      </w:r>
      <w:r>
        <w:rPr>
          <w:color w:val="231F20"/>
          <w:spacing w:val="-11"/>
        </w:rPr>
        <w:t> </w:t>
      </w:r>
      <w:r>
        <w:rPr>
          <w:color w:val="231F20"/>
          <w:spacing w:val="2"/>
        </w:rPr>
        <w:t>aula.</w:t>
      </w:r>
    </w:p>
    <w:p>
      <w:pPr>
        <w:pStyle w:val="BodyText"/>
        <w:spacing w:line="252" w:lineRule="auto" w:before="1"/>
        <w:ind w:left="102" w:right="113" w:firstLine="284"/>
        <w:jc w:val="both"/>
      </w:pPr>
      <w:r>
        <w:rPr>
          <w:color w:val="231F20"/>
        </w:rPr>
        <w:t>Existe otra serie de hechos cuya significación merece ser explicadaen la mayoría de los casos, se encontraron interacciones</w:t>
      </w:r>
    </w:p>
    <w:p>
      <w:pPr>
        <w:pStyle w:val="BodyText"/>
        <w:spacing w:line="247" w:lineRule="auto"/>
        <w:ind w:left="102" w:right="121"/>
      </w:pPr>
      <w:r>
        <w:rPr>
          <w:color w:val="231F20"/>
        </w:rPr>
        <w:t>–hablando ya de los momentos medulares de las sesiones– no comunicativas.</w:t>
      </w:r>
    </w:p>
    <w:p>
      <w:pPr>
        <w:pStyle w:val="BodyText"/>
        <w:spacing w:line="249" w:lineRule="auto" w:before="1"/>
        <w:ind w:left="102" w:right="114" w:firstLine="284"/>
        <w:jc w:val="both"/>
      </w:pPr>
      <w:r>
        <w:rPr>
          <w:color w:val="231F20"/>
        </w:rPr>
        <w:t>En efecto, durante el desarrollo temático de la clase, el profesor apareció</w:t>
      </w:r>
      <w:r>
        <w:rPr>
          <w:color w:val="231F20"/>
          <w:spacing w:val="-8"/>
        </w:rPr>
        <w:t> </w:t>
      </w:r>
      <w:r>
        <w:rPr>
          <w:color w:val="231F20"/>
        </w:rPr>
        <w:t>con</w:t>
      </w:r>
      <w:r>
        <w:rPr>
          <w:color w:val="231F20"/>
          <w:spacing w:val="-8"/>
        </w:rPr>
        <w:t> </w:t>
      </w:r>
      <w:r>
        <w:rPr>
          <w:color w:val="231F20"/>
        </w:rPr>
        <w:t>papel</w:t>
      </w:r>
      <w:r>
        <w:rPr>
          <w:color w:val="231F20"/>
          <w:spacing w:val="-9"/>
        </w:rPr>
        <w:t> </w:t>
      </w:r>
      <w:r>
        <w:rPr>
          <w:color w:val="231F20"/>
        </w:rPr>
        <w:t>protagónico</w:t>
      </w:r>
      <w:r>
        <w:rPr>
          <w:color w:val="231F20"/>
          <w:spacing w:val="-8"/>
        </w:rPr>
        <w:t> </w:t>
      </w:r>
      <w:r>
        <w:rPr>
          <w:color w:val="231F20"/>
        </w:rPr>
        <w:t>indiscutible:</w:t>
      </w:r>
      <w:r>
        <w:rPr>
          <w:color w:val="231F20"/>
          <w:spacing w:val="-9"/>
        </w:rPr>
        <w:t> </w:t>
      </w:r>
      <w:r>
        <w:rPr>
          <w:color w:val="231F20"/>
        </w:rPr>
        <w:t>se</w:t>
      </w:r>
      <w:r>
        <w:rPr>
          <w:color w:val="231F20"/>
          <w:spacing w:val="-8"/>
        </w:rPr>
        <w:t> </w:t>
      </w:r>
      <w:r>
        <w:rPr>
          <w:color w:val="231F20"/>
        </w:rPr>
        <w:t>hizo</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él</w:t>
      </w:r>
      <w:r>
        <w:rPr>
          <w:color w:val="231F20"/>
          <w:spacing w:val="-9"/>
        </w:rPr>
        <w:t> </w:t>
      </w:r>
      <w:r>
        <w:rPr>
          <w:color w:val="231F20"/>
        </w:rPr>
        <w:t>ordenó; se</w:t>
      </w:r>
      <w:r>
        <w:rPr>
          <w:color w:val="231F20"/>
          <w:spacing w:val="-8"/>
        </w:rPr>
        <w:t> </w:t>
      </w:r>
      <w:r>
        <w:rPr>
          <w:color w:val="231F20"/>
        </w:rPr>
        <w:t>habló</w:t>
      </w:r>
      <w:r>
        <w:rPr>
          <w:color w:val="231F20"/>
          <w:spacing w:val="-7"/>
        </w:rPr>
        <w:t> </w:t>
      </w:r>
      <w:r>
        <w:rPr>
          <w:color w:val="231F20"/>
        </w:rPr>
        <w:t>del</w:t>
      </w:r>
      <w:r>
        <w:rPr>
          <w:color w:val="231F20"/>
          <w:spacing w:val="-8"/>
        </w:rPr>
        <w:t> </w:t>
      </w:r>
      <w:r>
        <w:rPr>
          <w:color w:val="231F20"/>
        </w:rPr>
        <w:t>tema</w:t>
      </w:r>
      <w:r>
        <w:rPr>
          <w:color w:val="231F20"/>
          <w:spacing w:val="-8"/>
        </w:rPr>
        <w:t> </w:t>
      </w:r>
      <w:r>
        <w:rPr>
          <w:color w:val="231F20"/>
        </w:rPr>
        <w:t>que</w:t>
      </w:r>
      <w:r>
        <w:rPr>
          <w:color w:val="231F20"/>
          <w:spacing w:val="-7"/>
        </w:rPr>
        <w:t> </w:t>
      </w:r>
      <w:r>
        <w:rPr>
          <w:color w:val="231F20"/>
        </w:rPr>
        <w:t>él</w:t>
      </w:r>
      <w:r>
        <w:rPr>
          <w:color w:val="231F20"/>
          <w:spacing w:val="-8"/>
        </w:rPr>
        <w:t> </w:t>
      </w:r>
      <w:r>
        <w:rPr>
          <w:color w:val="231F20"/>
        </w:rPr>
        <w:t>señaló.</w:t>
      </w:r>
      <w:r>
        <w:rPr>
          <w:color w:val="231F20"/>
          <w:spacing w:val="-9"/>
        </w:rPr>
        <w:t> </w:t>
      </w:r>
      <w:r>
        <w:rPr>
          <w:color w:val="231F20"/>
        </w:rPr>
        <w:t>Incluso,</w:t>
      </w:r>
      <w:r>
        <w:rPr>
          <w:color w:val="231F20"/>
          <w:spacing w:val="-9"/>
        </w:rPr>
        <w:t> </w:t>
      </w:r>
      <w:r>
        <w:rPr>
          <w:color w:val="231F20"/>
        </w:rPr>
        <w:t>en</w:t>
      </w:r>
      <w:r>
        <w:rPr>
          <w:color w:val="231F20"/>
          <w:spacing w:val="-7"/>
        </w:rPr>
        <w:t> </w:t>
      </w:r>
      <w:r>
        <w:rPr>
          <w:color w:val="231F20"/>
        </w:rPr>
        <w:t>sesiones</w:t>
      </w:r>
      <w:r>
        <w:rPr>
          <w:color w:val="231F20"/>
          <w:spacing w:val="-8"/>
        </w:rPr>
        <w:t> </w:t>
      </w:r>
      <w:r>
        <w:rPr>
          <w:color w:val="231F20"/>
        </w:rPr>
        <w:t>en</w:t>
      </w:r>
      <w:r>
        <w:rPr>
          <w:color w:val="231F20"/>
          <w:spacing w:val="-7"/>
        </w:rPr>
        <w:t> </w:t>
      </w:r>
      <w:r>
        <w:rPr>
          <w:color w:val="231F20"/>
        </w:rPr>
        <w:t>las</w:t>
      </w:r>
      <w:r>
        <w:rPr>
          <w:color w:val="231F20"/>
          <w:spacing w:val="-8"/>
        </w:rPr>
        <w:t> </w:t>
      </w:r>
      <w:r>
        <w:rPr>
          <w:color w:val="231F20"/>
        </w:rPr>
        <w:t>que</w:t>
      </w:r>
      <w:r>
        <w:rPr>
          <w:color w:val="231F20"/>
          <w:spacing w:val="-8"/>
        </w:rPr>
        <w:t> </w:t>
      </w:r>
      <w:r>
        <w:rPr>
          <w:color w:val="231F20"/>
        </w:rPr>
        <w:t>estaba prevista alguna exposición de los alumnos, o la discusión de algún tema que exigía la lectura previa de algún material impreso y que no se daba, fue decisión del profesor la de reemplazar la exposición o la lectura</w:t>
      </w:r>
      <w:r>
        <w:rPr>
          <w:color w:val="231F20"/>
          <w:spacing w:val="-7"/>
        </w:rPr>
        <w:t> </w:t>
      </w:r>
      <w:r>
        <w:rPr>
          <w:color w:val="231F20"/>
        </w:rPr>
        <w:t>previa</w:t>
      </w:r>
      <w:r>
        <w:rPr>
          <w:color w:val="231F20"/>
          <w:spacing w:val="-7"/>
        </w:rPr>
        <w:t> </w:t>
      </w:r>
      <w:r>
        <w:rPr>
          <w:color w:val="231F20"/>
        </w:rPr>
        <w:t>por</w:t>
      </w:r>
      <w:r>
        <w:rPr>
          <w:color w:val="231F20"/>
          <w:spacing w:val="-8"/>
        </w:rPr>
        <w:t> </w:t>
      </w:r>
      <w:r>
        <w:rPr>
          <w:color w:val="231F20"/>
        </w:rPr>
        <w:t>una</w:t>
      </w:r>
      <w:r>
        <w:rPr>
          <w:color w:val="231F20"/>
          <w:spacing w:val="-8"/>
        </w:rPr>
        <w:t> </w:t>
      </w:r>
      <w:r>
        <w:rPr>
          <w:color w:val="231F20"/>
        </w:rPr>
        <w:t>exposición</w:t>
      </w:r>
      <w:r>
        <w:rPr>
          <w:color w:val="231F20"/>
          <w:spacing w:val="-7"/>
        </w:rPr>
        <w:t> </w:t>
      </w:r>
      <w:r>
        <w:rPr>
          <w:color w:val="231F20"/>
        </w:rPr>
        <w:t>suya.</w:t>
      </w:r>
      <w:r>
        <w:rPr>
          <w:color w:val="231F20"/>
          <w:spacing w:val="-8"/>
        </w:rPr>
        <w:t> </w:t>
      </w:r>
      <w:r>
        <w:rPr>
          <w:color w:val="231F20"/>
        </w:rPr>
        <w:t>Sanciones,</w:t>
      </w:r>
      <w:r>
        <w:rPr>
          <w:color w:val="231F20"/>
          <w:spacing w:val="-8"/>
        </w:rPr>
        <w:t> </w:t>
      </w:r>
      <w:r>
        <w:rPr>
          <w:color w:val="231F20"/>
        </w:rPr>
        <w:t>instrucciones</w:t>
      </w:r>
      <w:r>
        <w:rPr>
          <w:color w:val="231F20"/>
          <w:spacing w:val="-8"/>
        </w:rPr>
        <w:t> </w:t>
      </w:r>
      <w:r>
        <w:rPr>
          <w:color w:val="231F20"/>
        </w:rPr>
        <w:t>para realizar tareas, formas de evaluación reales, inicio y término de las sesiones siempre fueron marcadas por los profesores. Estos hechos daban la imagen de una acción verdaderamente estratégica no comunicativa, en los términos de Habermas. Se reflejaba una acción cuya racionalidad era de medios afines, se cumplían las condiciones marcadas</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propio</w:t>
      </w:r>
      <w:r>
        <w:rPr>
          <w:color w:val="231F20"/>
          <w:spacing w:val="-6"/>
        </w:rPr>
        <w:t> </w:t>
      </w:r>
      <w:r>
        <w:rPr>
          <w:color w:val="231F20"/>
        </w:rPr>
        <w:t>profesor</w:t>
      </w:r>
      <w:r>
        <w:rPr>
          <w:color w:val="231F20"/>
          <w:spacing w:val="-5"/>
        </w:rPr>
        <w:t> </w:t>
      </w:r>
      <w:r>
        <w:rPr>
          <w:color w:val="231F20"/>
        </w:rPr>
        <w:t>acerca</w:t>
      </w:r>
      <w:r>
        <w:rPr>
          <w:color w:val="231F20"/>
          <w:spacing w:val="-6"/>
        </w:rPr>
        <w:t> </w:t>
      </w:r>
      <w:r>
        <w:rPr>
          <w:color w:val="231F20"/>
        </w:rPr>
        <w:t>del</w:t>
      </w:r>
      <w:r>
        <w:rPr>
          <w:color w:val="231F20"/>
          <w:spacing w:val="-7"/>
        </w:rPr>
        <w:t> </w:t>
      </w:r>
      <w:r>
        <w:rPr>
          <w:color w:val="231F20"/>
        </w:rPr>
        <w:t>tipo</w:t>
      </w:r>
      <w:r>
        <w:rPr>
          <w:color w:val="231F20"/>
          <w:spacing w:val="-6"/>
        </w:rPr>
        <w:t> </w:t>
      </w:r>
      <w:r>
        <w:rPr>
          <w:color w:val="231F20"/>
        </w:rPr>
        <w:t>de</w:t>
      </w:r>
      <w:r>
        <w:rPr>
          <w:color w:val="231F20"/>
          <w:spacing w:val="-6"/>
        </w:rPr>
        <w:t> </w:t>
      </w:r>
      <w:r>
        <w:rPr>
          <w:color w:val="231F20"/>
        </w:rPr>
        <w:t>acción</w:t>
      </w:r>
      <w:r>
        <w:rPr>
          <w:color w:val="231F20"/>
          <w:spacing w:val="-6"/>
        </w:rPr>
        <w:t> </w:t>
      </w:r>
      <w:r>
        <w:rPr>
          <w:color w:val="231F20"/>
        </w:rPr>
        <w:t>estratégica: causalidad (se ordena una tarea y se recibirá), con independencia de medios afines (coerción, amenazas, convencimiento) y objetiva (los estudiantes son tratados como</w:t>
      </w:r>
      <w:r>
        <w:rPr>
          <w:color w:val="231F20"/>
          <w:spacing w:val="-22"/>
        </w:rPr>
        <w:t> </w:t>
      </w:r>
      <w:r>
        <w:rPr>
          <w:color w:val="231F20"/>
        </w:rPr>
        <w:t>objetos).</w:t>
      </w:r>
    </w:p>
    <w:p>
      <w:pPr>
        <w:pStyle w:val="BodyText"/>
        <w:spacing w:line="247" w:lineRule="auto"/>
        <w:ind w:left="102" w:right="116" w:firstLine="284"/>
        <w:jc w:val="both"/>
      </w:pPr>
      <w:r>
        <w:rPr>
          <w:color w:val="231F20"/>
        </w:rPr>
        <w:t>El o los profesores se asumían como portadores  de conocimientos</w:t>
      </w:r>
      <w:r>
        <w:rPr>
          <w:color w:val="231F20"/>
          <w:spacing w:val="-4"/>
        </w:rPr>
        <w:t> </w:t>
      </w:r>
      <w:r>
        <w:rPr>
          <w:color w:val="231F20"/>
        </w:rPr>
        <w:t>para</w:t>
      </w:r>
      <w:r>
        <w:rPr>
          <w:color w:val="231F20"/>
          <w:spacing w:val="-4"/>
        </w:rPr>
        <w:t> </w:t>
      </w:r>
      <w:r>
        <w:rPr>
          <w:color w:val="231F20"/>
        </w:rPr>
        <w:t>los</w:t>
      </w:r>
      <w:r>
        <w:rPr>
          <w:color w:val="231F20"/>
          <w:spacing w:val="-4"/>
        </w:rPr>
        <w:t> </w:t>
      </w:r>
      <w:r>
        <w:rPr>
          <w:color w:val="231F20"/>
        </w:rPr>
        <w:t>estudiantes,</w:t>
      </w:r>
      <w:r>
        <w:rPr>
          <w:color w:val="231F20"/>
          <w:spacing w:val="-5"/>
        </w:rPr>
        <w:t> </w:t>
      </w:r>
      <w:r>
        <w:rPr>
          <w:color w:val="231F20"/>
        </w:rPr>
        <w:t>de</w:t>
      </w:r>
      <w:r>
        <w:rPr>
          <w:color w:val="231F20"/>
          <w:spacing w:val="-4"/>
        </w:rPr>
        <w:t> </w:t>
      </w:r>
      <w:r>
        <w:rPr>
          <w:color w:val="231F20"/>
        </w:rPr>
        <w:t>formas</w:t>
      </w:r>
      <w:r>
        <w:rPr>
          <w:color w:val="231F20"/>
          <w:spacing w:val="-5"/>
        </w:rPr>
        <w:t> </w:t>
      </w:r>
      <w:r>
        <w:rPr>
          <w:i/>
          <w:color w:val="231F20"/>
        </w:rPr>
        <w:t>ad</w:t>
      </w:r>
      <w:r>
        <w:rPr>
          <w:i/>
          <w:color w:val="231F20"/>
          <w:spacing w:val="-4"/>
        </w:rPr>
        <w:t> </w:t>
      </w:r>
      <w:r>
        <w:rPr>
          <w:i/>
          <w:color w:val="231F20"/>
        </w:rPr>
        <w:t>hoc</w:t>
      </w:r>
      <w:r>
        <w:rPr>
          <w:i/>
          <w:color w:val="231F20"/>
          <w:spacing w:val="-5"/>
        </w:rPr>
        <w:t> </w:t>
      </w:r>
      <w:r>
        <w:rPr>
          <w:color w:val="231F20"/>
        </w:rPr>
        <w:t>de</w:t>
      </w:r>
      <w:r>
        <w:rPr>
          <w:color w:val="231F20"/>
          <w:spacing w:val="-4"/>
        </w:rPr>
        <w:t> </w:t>
      </w:r>
      <w:r>
        <w:rPr>
          <w:color w:val="231F20"/>
        </w:rPr>
        <w:t>enseñanza</w:t>
      </w:r>
      <w:r>
        <w:rPr>
          <w:color w:val="231F20"/>
          <w:spacing w:val="-4"/>
        </w:rPr>
        <w:t> </w:t>
      </w:r>
      <w:r>
        <w:rPr>
          <w:color w:val="231F20"/>
        </w:rPr>
        <w:t>y de</w:t>
      </w:r>
      <w:r>
        <w:rPr>
          <w:color w:val="231F20"/>
          <w:spacing w:val="34"/>
        </w:rPr>
        <w:t> </w:t>
      </w:r>
      <w:r>
        <w:rPr>
          <w:color w:val="231F20"/>
        </w:rPr>
        <w:t>controladores</w:t>
      </w:r>
      <w:r>
        <w:rPr>
          <w:color w:val="231F20"/>
          <w:spacing w:val="34"/>
        </w:rPr>
        <w:t> </w:t>
      </w:r>
      <w:r>
        <w:rPr>
          <w:color w:val="231F20"/>
        </w:rPr>
        <w:t>del</w:t>
      </w:r>
      <w:r>
        <w:rPr>
          <w:color w:val="231F20"/>
          <w:spacing w:val="33"/>
        </w:rPr>
        <w:t> </w:t>
      </w:r>
      <w:r>
        <w:rPr>
          <w:color w:val="231F20"/>
        </w:rPr>
        <w:t>proceso</w:t>
      </w:r>
      <w:r>
        <w:rPr>
          <w:color w:val="231F20"/>
          <w:spacing w:val="34"/>
        </w:rPr>
        <w:t> </w:t>
      </w:r>
      <w:r>
        <w:rPr>
          <w:color w:val="231F20"/>
        </w:rPr>
        <w:t>de</w:t>
      </w:r>
      <w:r>
        <w:rPr>
          <w:color w:val="231F20"/>
          <w:spacing w:val="36"/>
        </w:rPr>
        <w:t> </w:t>
      </w:r>
      <w:r>
        <w:rPr>
          <w:color w:val="231F20"/>
        </w:rPr>
        <w:t>aprendizaje</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alumnos.</w:t>
      </w:r>
      <w:r>
        <w:rPr>
          <w:color w:val="231F20"/>
          <w:spacing w:val="33"/>
        </w:rPr>
        <w:t> </w:t>
      </w:r>
      <w:r>
        <w:rPr>
          <w:color w:val="231F20"/>
        </w:rPr>
        <w:t>Así,</w:t>
      </w:r>
    </w:p>
    <w:p>
      <w:pPr>
        <w:spacing w:after="0" w:line="247" w:lineRule="auto"/>
        <w:jc w:val="both"/>
        <w:sectPr>
          <w:headerReference w:type="default" r:id="rId570"/>
          <w:footerReference w:type="default" r:id="rId571"/>
          <w:pgSz w:w="7830" w:h="11910"/>
          <w:pgMar w:header="0" w:footer="424" w:top="500" w:bottom="620" w:left="920" w:right="900"/>
          <w:pgNumType w:start="25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7"/>
        <w:jc w:val="both"/>
      </w:pPr>
      <w:r>
        <w:rPr>
          <w:color w:val="231F20"/>
        </w:rPr>
        <w:t>parecía convertirse el proceso de enseñanza en un conjunto de acciones estratégicas: las decisiones aparecieron del lado de los profesores, y los estudiantes tendían a desaparecer como  personas.</w:t>
      </w:r>
    </w:p>
    <w:p>
      <w:pPr>
        <w:pStyle w:val="BodyText"/>
        <w:spacing w:line="249" w:lineRule="auto" w:before="1"/>
        <w:ind w:left="101" w:right="113" w:firstLine="284"/>
        <w:jc w:val="both"/>
      </w:pPr>
      <w:r>
        <w:rPr>
          <w:color w:val="231F20"/>
        </w:rPr>
        <w:t>El </w:t>
      </w:r>
      <w:r>
        <w:rPr>
          <w:color w:val="231F20"/>
          <w:spacing w:val="2"/>
        </w:rPr>
        <w:t>proceso </w:t>
      </w:r>
      <w:r>
        <w:rPr>
          <w:color w:val="231F20"/>
        </w:rPr>
        <w:t>de </w:t>
      </w:r>
      <w:r>
        <w:rPr>
          <w:color w:val="231F20"/>
          <w:spacing w:val="2"/>
        </w:rPr>
        <w:t>interacción entre </w:t>
      </w:r>
      <w:r>
        <w:rPr>
          <w:color w:val="231F20"/>
          <w:spacing w:val="3"/>
        </w:rPr>
        <w:t>profesores </w:t>
      </w:r>
      <w:r>
        <w:rPr>
          <w:color w:val="231F20"/>
        </w:rPr>
        <w:t>y </w:t>
      </w:r>
      <w:r>
        <w:rPr>
          <w:color w:val="231F20"/>
          <w:spacing w:val="2"/>
        </w:rPr>
        <w:t>estudiantes </w:t>
      </w:r>
      <w:r>
        <w:rPr>
          <w:color w:val="231F20"/>
        </w:rPr>
        <w:t>en el aula </w:t>
      </w:r>
      <w:r>
        <w:rPr>
          <w:color w:val="231F20"/>
          <w:spacing w:val="2"/>
        </w:rPr>
        <w:t>implica </w:t>
      </w:r>
      <w:r>
        <w:rPr>
          <w:color w:val="231F20"/>
        </w:rPr>
        <w:t>a la vez </w:t>
      </w:r>
      <w:r>
        <w:rPr>
          <w:color w:val="231F20"/>
          <w:spacing w:val="2"/>
        </w:rPr>
        <w:t>una interacción orientada </w:t>
      </w:r>
      <w:r>
        <w:rPr>
          <w:color w:val="231F20"/>
        </w:rPr>
        <w:t>al </w:t>
      </w:r>
      <w:r>
        <w:rPr>
          <w:color w:val="231F20"/>
          <w:spacing w:val="3"/>
        </w:rPr>
        <w:t>conocimiento </w:t>
      </w:r>
      <w:r>
        <w:rPr>
          <w:color w:val="231F20"/>
          <w:spacing w:val="2"/>
        </w:rPr>
        <w:t>(entre </w:t>
      </w:r>
      <w:r>
        <w:rPr>
          <w:color w:val="231F20"/>
          <w:spacing w:val="3"/>
        </w:rPr>
        <w:t>personas </w:t>
      </w:r>
      <w:r>
        <w:rPr>
          <w:color w:val="231F20"/>
        </w:rPr>
        <w:t>y </w:t>
      </w:r>
      <w:r>
        <w:rPr>
          <w:color w:val="231F20"/>
          <w:spacing w:val="2"/>
        </w:rPr>
        <w:t>cosas), </w:t>
      </w:r>
      <w:r>
        <w:rPr>
          <w:color w:val="231F20"/>
        </w:rPr>
        <w:t>y </w:t>
      </w:r>
      <w:r>
        <w:rPr>
          <w:color w:val="231F20"/>
          <w:spacing w:val="2"/>
        </w:rPr>
        <w:t>una, </w:t>
      </w:r>
      <w:r>
        <w:rPr>
          <w:color w:val="231F20"/>
        </w:rPr>
        <w:t>al </w:t>
      </w:r>
      <w:r>
        <w:rPr>
          <w:color w:val="231F20"/>
          <w:spacing w:val="3"/>
        </w:rPr>
        <w:t>entendimiento </w:t>
      </w:r>
      <w:r>
        <w:rPr>
          <w:color w:val="231F20"/>
          <w:spacing w:val="2"/>
        </w:rPr>
        <w:t>(entre </w:t>
      </w:r>
      <w:r>
        <w:rPr>
          <w:color w:val="231F20"/>
          <w:spacing w:val="3"/>
        </w:rPr>
        <w:t>personas). </w:t>
      </w:r>
      <w:r>
        <w:rPr>
          <w:color w:val="231F20"/>
          <w:spacing w:val="2"/>
        </w:rPr>
        <w:t>Los profesores </w:t>
      </w:r>
      <w:r>
        <w:rPr>
          <w:color w:val="231F20"/>
        </w:rPr>
        <w:t>se </w:t>
      </w:r>
      <w:r>
        <w:rPr>
          <w:color w:val="231F20"/>
          <w:spacing w:val="2"/>
        </w:rPr>
        <w:t>dirigen </w:t>
      </w:r>
      <w:r>
        <w:rPr>
          <w:color w:val="231F20"/>
        </w:rPr>
        <w:t>a </w:t>
      </w:r>
      <w:r>
        <w:rPr>
          <w:color w:val="231F20"/>
          <w:spacing w:val="2"/>
        </w:rPr>
        <w:t>personas </w:t>
      </w:r>
      <w:r>
        <w:rPr>
          <w:color w:val="231F20"/>
        </w:rPr>
        <w:t>en el </w:t>
      </w:r>
      <w:r>
        <w:rPr>
          <w:color w:val="231F20"/>
          <w:spacing w:val="2"/>
        </w:rPr>
        <w:t>aula, </w:t>
      </w:r>
      <w:r>
        <w:rPr>
          <w:color w:val="231F20"/>
        </w:rPr>
        <w:t>y en </w:t>
      </w:r>
      <w:r>
        <w:rPr>
          <w:color w:val="231F20"/>
          <w:spacing w:val="2"/>
        </w:rPr>
        <w:t>principio </w:t>
      </w:r>
      <w:r>
        <w:rPr>
          <w:color w:val="231F20"/>
        </w:rPr>
        <w:t>se </w:t>
      </w:r>
      <w:r>
        <w:rPr>
          <w:color w:val="231F20"/>
          <w:spacing w:val="3"/>
        </w:rPr>
        <w:t>embarcan </w:t>
      </w:r>
      <w:r>
        <w:rPr>
          <w:color w:val="231F20"/>
        </w:rPr>
        <w:t>en </w:t>
      </w:r>
      <w:r>
        <w:rPr>
          <w:color w:val="231F20"/>
          <w:spacing w:val="2"/>
        </w:rPr>
        <w:t>una interacción </w:t>
      </w:r>
      <w:r>
        <w:rPr>
          <w:color w:val="231F20"/>
        </w:rPr>
        <w:t>de </w:t>
      </w:r>
      <w:r>
        <w:rPr>
          <w:color w:val="231F20"/>
          <w:spacing w:val="3"/>
        </w:rPr>
        <w:t>entendimiento </w:t>
      </w:r>
      <w:r>
        <w:rPr>
          <w:color w:val="231F20"/>
          <w:spacing w:val="2"/>
        </w:rPr>
        <w:t>con sus </w:t>
      </w:r>
      <w:r>
        <w:rPr>
          <w:color w:val="231F20"/>
          <w:spacing w:val="3"/>
        </w:rPr>
        <w:t>alumnos.  </w:t>
      </w:r>
      <w:r>
        <w:rPr>
          <w:color w:val="231F20"/>
        </w:rPr>
        <w:t>Al </w:t>
      </w:r>
      <w:r>
        <w:rPr>
          <w:color w:val="231F20"/>
          <w:spacing w:val="2"/>
        </w:rPr>
        <w:t>abordar </w:t>
      </w:r>
      <w:r>
        <w:rPr>
          <w:color w:val="231F20"/>
        </w:rPr>
        <w:t>el </w:t>
      </w:r>
      <w:r>
        <w:rPr>
          <w:color w:val="231F20"/>
          <w:spacing w:val="2"/>
        </w:rPr>
        <w:t>tema </w:t>
      </w:r>
      <w:r>
        <w:rPr>
          <w:color w:val="231F20"/>
        </w:rPr>
        <w:t>de la </w:t>
      </w:r>
      <w:r>
        <w:rPr>
          <w:color w:val="231F20"/>
          <w:spacing w:val="2"/>
        </w:rPr>
        <w:t>sesión, </w:t>
      </w:r>
      <w:r>
        <w:rPr>
          <w:color w:val="231F20"/>
        </w:rPr>
        <w:t>se </w:t>
      </w:r>
      <w:r>
        <w:rPr>
          <w:color w:val="231F20"/>
          <w:spacing w:val="2"/>
        </w:rPr>
        <w:t>dirigen </w:t>
      </w:r>
      <w:r>
        <w:rPr>
          <w:color w:val="231F20"/>
        </w:rPr>
        <w:t>a </w:t>
      </w:r>
      <w:r>
        <w:rPr>
          <w:color w:val="231F20"/>
          <w:spacing w:val="3"/>
        </w:rPr>
        <w:t>personas (entendimiento) </w:t>
      </w:r>
      <w:r>
        <w:rPr>
          <w:color w:val="231F20"/>
        </w:rPr>
        <w:t>y </w:t>
      </w:r>
      <w:r>
        <w:rPr>
          <w:color w:val="231F20"/>
          <w:spacing w:val="2"/>
        </w:rPr>
        <w:t>presentan una oferta discursiva que versa sobre alguna cosa </w:t>
      </w:r>
      <w:r>
        <w:rPr>
          <w:color w:val="231F20"/>
        </w:rPr>
        <w:t>en el </w:t>
      </w:r>
      <w:r>
        <w:rPr>
          <w:color w:val="231F20"/>
          <w:spacing w:val="3"/>
        </w:rPr>
        <w:t>mundo </w:t>
      </w:r>
      <w:r>
        <w:rPr>
          <w:color w:val="231F20"/>
          <w:spacing w:val="2"/>
        </w:rPr>
        <w:t>(objetos </w:t>
      </w:r>
      <w:r>
        <w:rPr>
          <w:color w:val="231F20"/>
        </w:rPr>
        <w:t>de </w:t>
      </w:r>
      <w:r>
        <w:rPr>
          <w:color w:val="231F20"/>
          <w:spacing w:val="2"/>
        </w:rPr>
        <w:t>conocimiento). Si  </w:t>
      </w:r>
      <w:r>
        <w:rPr>
          <w:color w:val="231F20"/>
          <w:spacing w:val="3"/>
        </w:rPr>
        <w:t>ambas </w:t>
      </w:r>
      <w:r>
        <w:rPr>
          <w:color w:val="231F20"/>
          <w:spacing w:val="2"/>
        </w:rPr>
        <w:t>partes </w:t>
      </w:r>
      <w:r>
        <w:rPr>
          <w:color w:val="231F20"/>
        </w:rPr>
        <w:t>se </w:t>
      </w:r>
      <w:r>
        <w:rPr>
          <w:color w:val="231F20"/>
          <w:spacing w:val="2"/>
        </w:rPr>
        <w:t>presentan con actitudes realizativas </w:t>
      </w:r>
      <w:r>
        <w:rPr>
          <w:color w:val="231F20"/>
          <w:spacing w:val="3"/>
        </w:rPr>
        <w:t>(entendimiento), </w:t>
      </w:r>
      <w:r>
        <w:rPr>
          <w:color w:val="231F20"/>
        </w:rPr>
        <w:t>se </w:t>
      </w:r>
      <w:r>
        <w:rPr>
          <w:color w:val="231F20"/>
          <w:spacing w:val="2"/>
        </w:rPr>
        <w:t>generarán acciones coordinadas –estas </w:t>
      </w:r>
      <w:r>
        <w:rPr>
          <w:color w:val="231F20"/>
        </w:rPr>
        <w:t>sí– </w:t>
      </w:r>
      <w:r>
        <w:rPr>
          <w:color w:val="231F20"/>
          <w:spacing w:val="3"/>
        </w:rPr>
        <w:t>encaminadas al </w:t>
      </w:r>
      <w:r>
        <w:rPr>
          <w:color w:val="231F20"/>
          <w:spacing w:val="2"/>
        </w:rPr>
        <w:t>aprendizaje (que implica una acción </w:t>
      </w:r>
      <w:r>
        <w:rPr>
          <w:color w:val="231F20"/>
        </w:rPr>
        <w:t>de </w:t>
      </w:r>
      <w:r>
        <w:rPr>
          <w:color w:val="231F20"/>
          <w:spacing w:val="3"/>
        </w:rPr>
        <w:t>personas </w:t>
      </w:r>
      <w:r>
        <w:rPr>
          <w:color w:val="231F20"/>
          <w:spacing w:val="2"/>
        </w:rPr>
        <w:t>con objetos). </w:t>
      </w:r>
      <w:r>
        <w:rPr>
          <w:color w:val="231F20"/>
          <w:spacing w:val="3"/>
        </w:rPr>
        <w:t>Como </w:t>
      </w:r>
      <w:r>
        <w:rPr>
          <w:color w:val="231F20"/>
          <w:spacing w:val="2"/>
        </w:rPr>
        <w:t>podrá deducirse </w:t>
      </w:r>
      <w:r>
        <w:rPr>
          <w:color w:val="231F20"/>
        </w:rPr>
        <w:t>de las </w:t>
      </w:r>
      <w:r>
        <w:rPr>
          <w:color w:val="231F20"/>
          <w:spacing w:val="3"/>
        </w:rPr>
        <w:t>observaciones </w:t>
      </w:r>
      <w:r>
        <w:rPr>
          <w:color w:val="231F20"/>
          <w:spacing w:val="2"/>
        </w:rPr>
        <w:t>relatadas, </w:t>
      </w:r>
      <w:r>
        <w:rPr>
          <w:color w:val="231F20"/>
        </w:rPr>
        <w:t>en  </w:t>
      </w:r>
      <w:r>
        <w:rPr>
          <w:color w:val="231F20"/>
          <w:spacing w:val="2"/>
        </w:rPr>
        <w:t>contraste, </w:t>
      </w:r>
      <w:r>
        <w:rPr>
          <w:color w:val="231F20"/>
        </w:rPr>
        <w:t>la </w:t>
      </w:r>
      <w:r>
        <w:rPr>
          <w:color w:val="231F20"/>
          <w:spacing w:val="2"/>
        </w:rPr>
        <w:t>interacción </w:t>
      </w:r>
      <w:r>
        <w:rPr>
          <w:color w:val="231F20"/>
          <w:spacing w:val="3"/>
        </w:rPr>
        <w:t>comunicativa </w:t>
      </w:r>
      <w:r>
        <w:rPr>
          <w:color w:val="231F20"/>
          <w:spacing w:val="2"/>
        </w:rPr>
        <w:t>está </w:t>
      </w:r>
      <w:r>
        <w:rPr>
          <w:color w:val="231F20"/>
          <w:spacing w:val="3"/>
        </w:rPr>
        <w:t>prácticamente </w:t>
      </w:r>
      <w:r>
        <w:rPr>
          <w:color w:val="231F20"/>
          <w:spacing w:val="2"/>
        </w:rPr>
        <w:t>ausente, porque los </w:t>
      </w:r>
      <w:r>
        <w:rPr>
          <w:color w:val="231F20"/>
          <w:spacing w:val="3"/>
        </w:rPr>
        <w:t>profesores </w:t>
      </w:r>
      <w:r>
        <w:rPr>
          <w:color w:val="231F20"/>
          <w:spacing w:val="2"/>
        </w:rPr>
        <w:t>asumen </w:t>
      </w:r>
      <w:r>
        <w:rPr>
          <w:color w:val="231F20"/>
        </w:rPr>
        <w:t>un </w:t>
      </w:r>
      <w:r>
        <w:rPr>
          <w:color w:val="231F20"/>
          <w:spacing w:val="2"/>
        </w:rPr>
        <w:t>papel estratégico, </w:t>
      </w:r>
      <w:r>
        <w:rPr>
          <w:color w:val="231F20"/>
          <w:spacing w:val="4"/>
        </w:rPr>
        <w:t>no </w:t>
      </w:r>
      <w:r>
        <w:rPr>
          <w:color w:val="231F20"/>
          <w:spacing w:val="3"/>
        </w:rPr>
        <w:t>comunicativo, </w:t>
      </w:r>
      <w:r>
        <w:rPr>
          <w:color w:val="231F20"/>
        </w:rPr>
        <w:t>de </w:t>
      </w:r>
      <w:r>
        <w:rPr>
          <w:color w:val="231F20"/>
          <w:spacing w:val="2"/>
        </w:rPr>
        <w:t>violencia tácita. </w:t>
      </w:r>
      <w:r>
        <w:rPr>
          <w:color w:val="231F20"/>
        </w:rPr>
        <w:t>Lo que </w:t>
      </w:r>
      <w:r>
        <w:rPr>
          <w:color w:val="231F20"/>
          <w:spacing w:val="3"/>
        </w:rPr>
        <w:t>importó </w:t>
      </w:r>
      <w:r>
        <w:rPr>
          <w:color w:val="231F20"/>
          <w:spacing w:val="2"/>
        </w:rPr>
        <w:t>siempre fueron los objetos del </w:t>
      </w:r>
      <w:r>
        <w:rPr>
          <w:color w:val="231F20"/>
          <w:spacing w:val="3"/>
        </w:rPr>
        <w:t>conocimiento, </w:t>
      </w:r>
      <w:r>
        <w:rPr>
          <w:color w:val="231F20"/>
        </w:rPr>
        <w:t>no las  </w:t>
      </w:r>
      <w:r>
        <w:rPr>
          <w:color w:val="231F20"/>
          <w:spacing w:val="3"/>
        </w:rPr>
        <w:t>personas </w:t>
      </w:r>
      <w:r>
        <w:rPr>
          <w:color w:val="231F20"/>
          <w:spacing w:val="2"/>
        </w:rPr>
        <w:t>que </w:t>
      </w:r>
      <w:r>
        <w:rPr>
          <w:color w:val="231F20"/>
        </w:rPr>
        <w:t>se  </w:t>
      </w:r>
      <w:r>
        <w:rPr>
          <w:color w:val="231F20"/>
          <w:spacing w:val="2"/>
        </w:rPr>
        <w:t>reunían </w:t>
      </w:r>
      <w:r>
        <w:rPr>
          <w:color w:val="231F20"/>
        </w:rPr>
        <w:t>en  las </w:t>
      </w:r>
      <w:r>
        <w:rPr>
          <w:color w:val="231F20"/>
          <w:spacing w:val="2"/>
        </w:rPr>
        <w:t>aulas; incluso </w:t>
      </w:r>
      <w:r>
        <w:rPr>
          <w:color w:val="231F20"/>
        </w:rPr>
        <w:t>es </w:t>
      </w:r>
      <w:r>
        <w:rPr>
          <w:color w:val="231F20"/>
          <w:spacing w:val="3"/>
        </w:rPr>
        <w:t>muy </w:t>
      </w:r>
      <w:r>
        <w:rPr>
          <w:color w:val="231F20"/>
          <w:spacing w:val="2"/>
        </w:rPr>
        <w:t>sintomático </w:t>
      </w:r>
      <w:r>
        <w:rPr>
          <w:color w:val="231F20"/>
        </w:rPr>
        <w:t>el </w:t>
      </w:r>
      <w:r>
        <w:rPr>
          <w:color w:val="231F20"/>
          <w:spacing w:val="2"/>
        </w:rPr>
        <w:t>hecho </w:t>
      </w:r>
      <w:r>
        <w:rPr>
          <w:color w:val="231F20"/>
        </w:rPr>
        <w:t>de </w:t>
      </w:r>
      <w:r>
        <w:rPr>
          <w:color w:val="231F20"/>
          <w:spacing w:val="2"/>
        </w:rPr>
        <w:t>que </w:t>
      </w:r>
      <w:r>
        <w:rPr>
          <w:color w:val="231F20"/>
          <w:spacing w:val="3"/>
        </w:rPr>
        <w:t>numerosos </w:t>
      </w:r>
      <w:r>
        <w:rPr>
          <w:color w:val="231F20"/>
          <w:spacing w:val="2"/>
        </w:rPr>
        <w:t>registros muestran actos </w:t>
      </w:r>
      <w:r>
        <w:rPr>
          <w:color w:val="231F20"/>
        </w:rPr>
        <w:t>de </w:t>
      </w:r>
      <w:r>
        <w:rPr>
          <w:color w:val="231F20"/>
          <w:spacing w:val="2"/>
        </w:rPr>
        <w:t>habla </w:t>
      </w:r>
      <w:r>
        <w:rPr>
          <w:color w:val="231F20"/>
        </w:rPr>
        <w:t>de </w:t>
      </w:r>
      <w:r>
        <w:rPr>
          <w:color w:val="231F20"/>
          <w:spacing w:val="2"/>
        </w:rPr>
        <w:t>los </w:t>
      </w:r>
      <w:r>
        <w:rPr>
          <w:color w:val="231F20"/>
          <w:spacing w:val="3"/>
        </w:rPr>
        <w:t>profesores mientras </w:t>
      </w:r>
      <w:r>
        <w:rPr>
          <w:color w:val="231F20"/>
          <w:spacing w:val="2"/>
        </w:rPr>
        <w:t>escriben </w:t>
      </w:r>
      <w:r>
        <w:rPr>
          <w:color w:val="231F20"/>
        </w:rPr>
        <w:t>en el </w:t>
      </w:r>
      <w:r>
        <w:rPr>
          <w:color w:val="231F20"/>
          <w:spacing w:val="3"/>
        </w:rPr>
        <w:t>pizarrón, </w:t>
      </w:r>
      <w:r>
        <w:rPr>
          <w:color w:val="231F20"/>
        </w:rPr>
        <w:t>sin </w:t>
      </w:r>
      <w:r>
        <w:rPr>
          <w:color w:val="231F20"/>
          <w:spacing w:val="2"/>
        </w:rPr>
        <w:t>mirar siquiera </w:t>
      </w:r>
      <w:r>
        <w:rPr>
          <w:color w:val="231F20"/>
        </w:rPr>
        <w:t>a </w:t>
      </w:r>
      <w:r>
        <w:rPr>
          <w:color w:val="231F20"/>
          <w:spacing w:val="2"/>
        </w:rPr>
        <w:t>los </w:t>
      </w:r>
      <w:r>
        <w:rPr>
          <w:color w:val="231F20"/>
          <w:spacing w:val="3"/>
        </w:rPr>
        <w:t>alumnos, con </w:t>
      </w:r>
      <w:r>
        <w:rPr>
          <w:color w:val="231F20"/>
          <w:spacing w:val="2"/>
        </w:rPr>
        <w:t>discursos que parecen estar dirigidos </w:t>
      </w:r>
      <w:r>
        <w:rPr>
          <w:color w:val="231F20"/>
        </w:rPr>
        <w:t>al </w:t>
      </w:r>
      <w:r>
        <w:rPr>
          <w:color w:val="231F20"/>
          <w:spacing w:val="2"/>
        </w:rPr>
        <w:t>aula </w:t>
      </w:r>
      <w:r>
        <w:rPr>
          <w:color w:val="231F20"/>
        </w:rPr>
        <w:t>o a </w:t>
      </w:r>
      <w:r>
        <w:rPr>
          <w:color w:val="231F20"/>
          <w:spacing w:val="2"/>
        </w:rPr>
        <w:t>ellos </w:t>
      </w:r>
      <w:r>
        <w:rPr>
          <w:color w:val="231F20"/>
          <w:spacing w:val="3"/>
        </w:rPr>
        <w:t>mismos, </w:t>
      </w:r>
      <w:r>
        <w:rPr>
          <w:color w:val="231F20"/>
        </w:rPr>
        <w:t>no a </w:t>
      </w:r>
      <w:r>
        <w:rPr>
          <w:color w:val="231F20"/>
          <w:spacing w:val="2"/>
        </w:rPr>
        <w:t>los estudiantes. </w:t>
      </w:r>
      <w:r>
        <w:rPr>
          <w:color w:val="231F20"/>
        </w:rPr>
        <w:t>Se </w:t>
      </w:r>
      <w:r>
        <w:rPr>
          <w:color w:val="231F20"/>
          <w:spacing w:val="2"/>
        </w:rPr>
        <w:t>dieron </w:t>
      </w:r>
      <w:r>
        <w:rPr>
          <w:color w:val="231F20"/>
          <w:spacing w:val="3"/>
        </w:rPr>
        <w:t>muchos </w:t>
      </w:r>
      <w:r>
        <w:rPr>
          <w:color w:val="231F20"/>
          <w:spacing w:val="2"/>
        </w:rPr>
        <w:t>casos </w:t>
      </w:r>
      <w:r>
        <w:rPr>
          <w:color w:val="231F20"/>
        </w:rPr>
        <w:t>en </w:t>
      </w:r>
      <w:r>
        <w:rPr>
          <w:color w:val="231F20"/>
          <w:spacing w:val="2"/>
        </w:rPr>
        <w:t>que </w:t>
      </w:r>
      <w:r>
        <w:rPr>
          <w:color w:val="231F20"/>
        </w:rPr>
        <w:t>las </w:t>
      </w:r>
      <w:r>
        <w:rPr>
          <w:color w:val="231F20"/>
          <w:spacing w:val="3"/>
        </w:rPr>
        <w:t>preguntas </w:t>
      </w:r>
      <w:r>
        <w:rPr>
          <w:color w:val="231F20"/>
          <w:spacing w:val="2"/>
        </w:rPr>
        <w:t>acerca </w:t>
      </w:r>
      <w:r>
        <w:rPr>
          <w:color w:val="231F20"/>
        </w:rPr>
        <w:t>de </w:t>
      </w:r>
      <w:r>
        <w:rPr>
          <w:color w:val="231F20"/>
          <w:spacing w:val="2"/>
        </w:rPr>
        <w:t>dudas </w:t>
      </w:r>
      <w:r>
        <w:rPr>
          <w:color w:val="231F20"/>
        </w:rPr>
        <w:t>o </w:t>
      </w:r>
      <w:r>
        <w:rPr>
          <w:color w:val="231F20"/>
          <w:spacing w:val="3"/>
        </w:rPr>
        <w:t>comentarios </w:t>
      </w:r>
      <w:r>
        <w:rPr>
          <w:color w:val="231F20"/>
          <w:spacing w:val="2"/>
        </w:rPr>
        <w:t>eran, realmente, muletillas </w:t>
      </w:r>
      <w:r>
        <w:rPr>
          <w:color w:val="231F20"/>
          <w:spacing w:val="3"/>
        </w:rPr>
        <w:t>empleadas </w:t>
      </w:r>
      <w:r>
        <w:rPr>
          <w:color w:val="231F20"/>
          <w:spacing w:val="2"/>
        </w:rPr>
        <w:t>con </w:t>
      </w:r>
      <w:r>
        <w:rPr>
          <w:color w:val="231F20"/>
        </w:rPr>
        <w:t>la </w:t>
      </w:r>
      <w:r>
        <w:rPr>
          <w:color w:val="231F20"/>
          <w:spacing w:val="2"/>
        </w:rPr>
        <w:t>finalidad </w:t>
      </w:r>
      <w:r>
        <w:rPr>
          <w:color w:val="231F20"/>
        </w:rPr>
        <w:t>de </w:t>
      </w:r>
      <w:r>
        <w:rPr>
          <w:color w:val="231F20"/>
          <w:spacing w:val="2"/>
        </w:rPr>
        <w:t>hacer una pausa </w:t>
      </w:r>
      <w:r>
        <w:rPr>
          <w:color w:val="231F20"/>
        </w:rPr>
        <w:t>en el </w:t>
      </w:r>
      <w:r>
        <w:rPr>
          <w:color w:val="231F20"/>
          <w:spacing w:val="2"/>
        </w:rPr>
        <w:t>discurso </w:t>
      </w:r>
      <w:r>
        <w:rPr>
          <w:color w:val="231F20"/>
          <w:spacing w:val="3"/>
        </w:rPr>
        <w:t>mismo; </w:t>
      </w:r>
      <w:r>
        <w:rPr>
          <w:color w:val="231F20"/>
        </w:rPr>
        <w:t>no se </w:t>
      </w:r>
      <w:r>
        <w:rPr>
          <w:color w:val="231F20"/>
          <w:spacing w:val="2"/>
        </w:rPr>
        <w:t>esperaban </w:t>
      </w:r>
      <w:r>
        <w:rPr>
          <w:color w:val="231F20"/>
        </w:rPr>
        <w:t>ni </w:t>
      </w:r>
      <w:r>
        <w:rPr>
          <w:color w:val="231F20"/>
          <w:spacing w:val="2"/>
        </w:rPr>
        <w:t>comentarios </w:t>
      </w:r>
      <w:r>
        <w:rPr>
          <w:color w:val="231F20"/>
        </w:rPr>
        <w:t>ni </w:t>
      </w:r>
      <w:r>
        <w:rPr>
          <w:color w:val="231F20"/>
          <w:spacing w:val="2"/>
        </w:rPr>
        <w:t>dudas, </w:t>
      </w:r>
      <w:r>
        <w:rPr>
          <w:color w:val="231F20"/>
        </w:rPr>
        <w:t>ni </w:t>
      </w:r>
      <w:r>
        <w:rPr>
          <w:color w:val="231F20"/>
          <w:spacing w:val="2"/>
        </w:rPr>
        <w:t>preguntas </w:t>
      </w:r>
      <w:r>
        <w:rPr>
          <w:color w:val="231F20"/>
          <w:spacing w:val="3"/>
        </w:rPr>
        <w:t>de </w:t>
      </w:r>
      <w:r>
        <w:rPr>
          <w:color w:val="231F20"/>
          <w:spacing w:val="2"/>
        </w:rPr>
        <w:t>parte </w:t>
      </w:r>
      <w:r>
        <w:rPr>
          <w:color w:val="231F20"/>
        </w:rPr>
        <w:t>de </w:t>
      </w:r>
      <w:r>
        <w:rPr>
          <w:color w:val="231F20"/>
          <w:spacing w:val="2"/>
        </w:rPr>
        <w:t>los</w:t>
      </w:r>
      <w:r>
        <w:rPr>
          <w:color w:val="231F20"/>
          <w:spacing w:val="19"/>
        </w:rPr>
        <w:t> </w:t>
      </w:r>
      <w:r>
        <w:rPr>
          <w:color w:val="231F20"/>
          <w:spacing w:val="2"/>
        </w:rPr>
        <w:t>estudiantes.</w:t>
      </w:r>
    </w:p>
    <w:p>
      <w:pPr>
        <w:pStyle w:val="BodyText"/>
        <w:spacing w:line="249" w:lineRule="auto"/>
        <w:ind w:left="102" w:right="116" w:firstLine="284"/>
        <w:jc w:val="both"/>
      </w:pPr>
      <w:r>
        <w:rPr>
          <w:color w:val="231F20"/>
        </w:rPr>
        <w:t>Un </w:t>
      </w:r>
      <w:r>
        <w:rPr>
          <w:color w:val="231F20"/>
          <w:spacing w:val="2"/>
        </w:rPr>
        <w:t>hecho </w:t>
      </w:r>
      <w:r>
        <w:rPr>
          <w:color w:val="231F20"/>
        </w:rPr>
        <w:t>que </w:t>
      </w:r>
      <w:r>
        <w:rPr>
          <w:color w:val="231F20"/>
          <w:spacing w:val="2"/>
        </w:rPr>
        <w:t>resultó </w:t>
      </w:r>
      <w:r>
        <w:rPr>
          <w:color w:val="231F20"/>
          <w:spacing w:val="3"/>
        </w:rPr>
        <w:t>sorprendente </w:t>
      </w:r>
      <w:r>
        <w:rPr>
          <w:color w:val="231F20"/>
        </w:rPr>
        <w:t>fue que no </w:t>
      </w:r>
      <w:r>
        <w:rPr>
          <w:color w:val="231F20"/>
          <w:spacing w:val="3"/>
        </w:rPr>
        <w:t>pocos </w:t>
      </w:r>
      <w:r>
        <w:rPr>
          <w:color w:val="231F20"/>
        </w:rPr>
        <w:t>de </w:t>
      </w:r>
      <w:r>
        <w:rPr>
          <w:color w:val="231F20"/>
          <w:spacing w:val="3"/>
        </w:rPr>
        <w:t>los </w:t>
      </w:r>
      <w:r>
        <w:rPr>
          <w:color w:val="231F20"/>
          <w:spacing w:val="2"/>
        </w:rPr>
        <w:t>temas desarrollados por los </w:t>
      </w:r>
      <w:r>
        <w:rPr>
          <w:color w:val="231F20"/>
          <w:spacing w:val="3"/>
        </w:rPr>
        <w:t>profesores mostraban </w:t>
      </w:r>
      <w:r>
        <w:rPr>
          <w:color w:val="231F20"/>
          <w:spacing w:val="2"/>
        </w:rPr>
        <w:t>inexactitudes, faltas </w:t>
      </w:r>
      <w:r>
        <w:rPr>
          <w:color w:val="231F20"/>
        </w:rPr>
        <w:t>de </w:t>
      </w:r>
      <w:r>
        <w:rPr>
          <w:color w:val="231F20"/>
          <w:spacing w:val="2"/>
        </w:rPr>
        <w:t>coherencia lógica </w:t>
      </w:r>
      <w:r>
        <w:rPr>
          <w:color w:val="231F20"/>
        </w:rPr>
        <w:t>y </w:t>
      </w:r>
      <w:r>
        <w:rPr>
          <w:color w:val="231F20"/>
          <w:spacing w:val="2"/>
        </w:rPr>
        <w:t>hasta </w:t>
      </w:r>
      <w:r>
        <w:rPr>
          <w:color w:val="231F20"/>
          <w:spacing w:val="3"/>
        </w:rPr>
        <w:t>contradicciones </w:t>
      </w:r>
      <w:r>
        <w:rPr>
          <w:color w:val="231F20"/>
          <w:spacing w:val="2"/>
        </w:rPr>
        <w:t>internas, cuestiones que hacían pensar </w:t>
      </w:r>
      <w:r>
        <w:rPr>
          <w:color w:val="231F20"/>
        </w:rPr>
        <w:t>en </w:t>
      </w:r>
      <w:r>
        <w:rPr>
          <w:color w:val="231F20"/>
          <w:spacing w:val="2"/>
        </w:rPr>
        <w:t>una preparación deficiente </w:t>
      </w:r>
      <w:r>
        <w:rPr>
          <w:color w:val="231F20"/>
        </w:rPr>
        <w:t>de </w:t>
      </w:r>
      <w:r>
        <w:rPr>
          <w:color w:val="231F20"/>
          <w:spacing w:val="2"/>
        </w:rPr>
        <w:t>los </w:t>
      </w:r>
      <w:r>
        <w:rPr>
          <w:color w:val="231F20"/>
          <w:spacing w:val="3"/>
        </w:rPr>
        <w:t>profesores </w:t>
      </w:r>
      <w:r>
        <w:rPr>
          <w:color w:val="231F20"/>
        </w:rPr>
        <w:t>o en la </w:t>
      </w:r>
      <w:r>
        <w:rPr>
          <w:color w:val="231F20"/>
          <w:spacing w:val="2"/>
        </w:rPr>
        <w:t>falta </w:t>
      </w:r>
      <w:r>
        <w:rPr>
          <w:color w:val="231F20"/>
        </w:rPr>
        <w:t>de </w:t>
      </w:r>
      <w:r>
        <w:rPr>
          <w:color w:val="231F20"/>
          <w:spacing w:val="2"/>
        </w:rPr>
        <w:t>planeación </w:t>
      </w:r>
      <w:r>
        <w:rPr>
          <w:color w:val="231F20"/>
        </w:rPr>
        <w:t>de la </w:t>
      </w:r>
      <w:r>
        <w:rPr>
          <w:color w:val="231F20"/>
          <w:spacing w:val="2"/>
        </w:rPr>
        <w:t>sesión. </w:t>
      </w:r>
      <w:r>
        <w:rPr>
          <w:color w:val="231F20"/>
        </w:rPr>
        <w:t>Sin </w:t>
      </w:r>
      <w:r>
        <w:rPr>
          <w:color w:val="231F20"/>
          <w:spacing w:val="3"/>
        </w:rPr>
        <w:t>embargo,</w:t>
      </w:r>
      <w:r>
        <w:rPr>
          <w:color w:val="231F20"/>
          <w:spacing w:val="58"/>
        </w:rPr>
        <w:t> </w:t>
      </w:r>
      <w:r>
        <w:rPr>
          <w:color w:val="231F20"/>
          <w:spacing w:val="2"/>
        </w:rPr>
        <w:t>los estudiantes parecían </w:t>
      </w:r>
      <w:r>
        <w:rPr>
          <w:color w:val="231F20"/>
        </w:rPr>
        <w:t>no </w:t>
      </w:r>
      <w:r>
        <w:rPr>
          <w:color w:val="231F20"/>
          <w:spacing w:val="2"/>
        </w:rPr>
        <w:t>detectar ningún </w:t>
      </w:r>
      <w:r>
        <w:rPr>
          <w:color w:val="231F20"/>
          <w:spacing w:val="3"/>
        </w:rPr>
        <w:t>problema, </w:t>
      </w:r>
      <w:r>
        <w:rPr>
          <w:color w:val="231F20"/>
          <w:spacing w:val="2"/>
        </w:rPr>
        <w:t>incluso </w:t>
      </w:r>
      <w:r>
        <w:rPr>
          <w:color w:val="231F20"/>
        </w:rPr>
        <w:t>se </w:t>
      </w:r>
      <w:r>
        <w:rPr>
          <w:color w:val="231F20"/>
          <w:spacing w:val="2"/>
        </w:rPr>
        <w:t>registraron </w:t>
      </w:r>
      <w:r>
        <w:rPr>
          <w:color w:val="231F20"/>
          <w:spacing w:val="3"/>
        </w:rPr>
        <w:t>expresiones </w:t>
      </w:r>
      <w:r>
        <w:rPr>
          <w:color w:val="231F20"/>
        </w:rPr>
        <w:t>de </w:t>
      </w:r>
      <w:r>
        <w:rPr>
          <w:color w:val="231F20"/>
          <w:spacing w:val="3"/>
        </w:rPr>
        <w:t>asentimiento </w:t>
      </w:r>
      <w:r>
        <w:rPr>
          <w:color w:val="231F20"/>
        </w:rPr>
        <w:t>y de  </w:t>
      </w:r>
      <w:r>
        <w:rPr>
          <w:color w:val="231F20"/>
          <w:spacing w:val="2"/>
        </w:rPr>
        <w:t>aparente </w:t>
      </w:r>
      <w:r>
        <w:rPr>
          <w:color w:val="231F20"/>
          <w:spacing w:val="3"/>
        </w:rPr>
        <w:t>comprensión </w:t>
      </w:r>
      <w:r>
        <w:rPr>
          <w:color w:val="231F20"/>
        </w:rPr>
        <w:t>de </w:t>
      </w:r>
      <w:r>
        <w:rPr>
          <w:color w:val="231F20"/>
          <w:spacing w:val="2"/>
        </w:rPr>
        <w:t>los temas </w:t>
      </w:r>
      <w:r>
        <w:rPr>
          <w:color w:val="231F20"/>
        </w:rPr>
        <w:t>así </w:t>
      </w:r>
      <w:r>
        <w:rPr>
          <w:color w:val="231F20"/>
          <w:spacing w:val="2"/>
        </w:rPr>
        <w:t>desarrollados. Ahí </w:t>
      </w:r>
      <w:r>
        <w:rPr>
          <w:color w:val="231F20"/>
          <w:spacing w:val="3"/>
        </w:rPr>
        <w:t>dónde </w:t>
      </w:r>
      <w:r>
        <w:rPr>
          <w:color w:val="231F20"/>
        </w:rPr>
        <w:t>se </w:t>
      </w:r>
      <w:r>
        <w:rPr>
          <w:color w:val="231F20"/>
          <w:spacing w:val="2"/>
        </w:rPr>
        <w:t>captó una crítica, esta </w:t>
      </w:r>
      <w:r>
        <w:rPr>
          <w:color w:val="231F20"/>
        </w:rPr>
        <w:t>fue </w:t>
      </w:r>
      <w:r>
        <w:rPr>
          <w:color w:val="231F20"/>
          <w:spacing w:val="2"/>
        </w:rPr>
        <w:t>encubierta </w:t>
      </w:r>
      <w:r>
        <w:rPr>
          <w:color w:val="231F20"/>
          <w:spacing w:val="3"/>
        </w:rPr>
        <w:t>como </w:t>
      </w:r>
      <w:r>
        <w:rPr>
          <w:color w:val="231F20"/>
          <w:spacing w:val="2"/>
        </w:rPr>
        <w:t>pregunta, </w:t>
      </w:r>
      <w:r>
        <w:rPr>
          <w:color w:val="231F20"/>
        </w:rPr>
        <w:t>lo que </w:t>
      </w:r>
      <w:r>
        <w:rPr>
          <w:color w:val="231F20"/>
          <w:spacing w:val="2"/>
        </w:rPr>
        <w:t>deja </w:t>
      </w:r>
      <w:r>
        <w:rPr>
          <w:color w:val="231F20"/>
        </w:rPr>
        <w:t>ver </w:t>
      </w:r>
      <w:r>
        <w:rPr>
          <w:color w:val="231F20"/>
          <w:spacing w:val="2"/>
        </w:rPr>
        <w:t>una precaución </w:t>
      </w:r>
      <w:r>
        <w:rPr>
          <w:color w:val="231F20"/>
        </w:rPr>
        <w:t>que no deja de </w:t>
      </w:r>
      <w:r>
        <w:rPr>
          <w:color w:val="231F20"/>
          <w:spacing w:val="3"/>
        </w:rPr>
        <w:t>asomarse como temor </w:t>
      </w:r>
      <w:r>
        <w:rPr>
          <w:color w:val="231F20"/>
        </w:rPr>
        <w:t>a </w:t>
      </w:r>
      <w:r>
        <w:rPr>
          <w:color w:val="231F20"/>
          <w:spacing w:val="2"/>
        </w:rPr>
        <w:t>alguna </w:t>
      </w:r>
      <w:r>
        <w:rPr>
          <w:color w:val="231F20"/>
          <w:spacing w:val="3"/>
        </w:rPr>
        <w:t>represalia.</w:t>
      </w:r>
    </w:p>
    <w:p>
      <w:pPr>
        <w:spacing w:after="0" w:line="249" w:lineRule="auto"/>
        <w:jc w:val="both"/>
        <w:sectPr>
          <w:headerReference w:type="default" r:id="rId572"/>
          <w:footerReference w:type="default" r:id="rId573"/>
          <w:pgSz w:w="7830" w:h="11910"/>
          <w:pgMar w:header="0" w:footer="424" w:top="500" w:bottom="620" w:left="920" w:right="900"/>
          <w:pgNumType w:start="25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20" w:firstLine="284"/>
        <w:jc w:val="both"/>
      </w:pPr>
      <w:r>
        <w:rPr>
          <w:color w:val="231F20"/>
        </w:rPr>
        <w:t>Ante esos casos, se acumulaban evidencias de que, en realidad, tanto la  “transmisión” del  conocimiento de  los profesores como  el asentimiento o la falta de problematización acerca del tema por parte de los estudiantes podrían estar aludiendo a otro plano de interacción.</w:t>
      </w:r>
    </w:p>
    <w:p>
      <w:pPr>
        <w:pStyle w:val="BodyText"/>
        <w:spacing w:line="247" w:lineRule="auto" w:before="6"/>
        <w:ind w:left="102" w:right="115" w:firstLine="284"/>
        <w:jc w:val="both"/>
      </w:pPr>
      <w:r>
        <w:rPr>
          <w:color w:val="231F20"/>
          <w:spacing w:val="2"/>
        </w:rPr>
        <w:t>Desde </w:t>
      </w:r>
      <w:r>
        <w:rPr>
          <w:color w:val="231F20"/>
        </w:rPr>
        <w:t>al </w:t>
      </w:r>
      <w:r>
        <w:rPr>
          <w:color w:val="231F20"/>
          <w:spacing w:val="2"/>
        </w:rPr>
        <w:t>punto </w:t>
      </w:r>
      <w:r>
        <w:rPr>
          <w:color w:val="231F20"/>
        </w:rPr>
        <w:t>de </w:t>
      </w:r>
      <w:r>
        <w:rPr>
          <w:color w:val="231F20"/>
          <w:spacing w:val="2"/>
        </w:rPr>
        <w:t>vista </w:t>
      </w:r>
      <w:r>
        <w:rPr>
          <w:color w:val="231F20"/>
        </w:rPr>
        <w:t>de los </w:t>
      </w:r>
      <w:r>
        <w:rPr>
          <w:color w:val="231F20"/>
          <w:spacing w:val="2"/>
        </w:rPr>
        <w:t>estudiantes, podría </w:t>
      </w:r>
      <w:r>
        <w:rPr>
          <w:color w:val="231F20"/>
        </w:rPr>
        <w:t>no </w:t>
      </w:r>
      <w:r>
        <w:rPr>
          <w:color w:val="231F20"/>
          <w:spacing w:val="2"/>
        </w:rPr>
        <w:t>importar </w:t>
      </w:r>
      <w:r>
        <w:rPr>
          <w:color w:val="231F20"/>
          <w:spacing w:val="3"/>
        </w:rPr>
        <w:t>demasiado </w:t>
      </w:r>
      <w:r>
        <w:rPr>
          <w:color w:val="231F20"/>
        </w:rPr>
        <w:t>el </w:t>
      </w:r>
      <w:r>
        <w:rPr>
          <w:color w:val="231F20"/>
          <w:spacing w:val="3"/>
        </w:rPr>
        <w:t>contenido </w:t>
      </w:r>
      <w:r>
        <w:rPr>
          <w:color w:val="231F20"/>
          <w:spacing w:val="2"/>
        </w:rPr>
        <w:t>temático </w:t>
      </w:r>
      <w:r>
        <w:rPr>
          <w:color w:val="231F20"/>
        </w:rPr>
        <w:t>de la </w:t>
      </w:r>
      <w:r>
        <w:rPr>
          <w:color w:val="231F20"/>
          <w:spacing w:val="2"/>
        </w:rPr>
        <w:t>clase, sino marcar una “participación” </w:t>
      </w:r>
      <w:r>
        <w:rPr>
          <w:color w:val="231F20"/>
        </w:rPr>
        <w:t>a ser </w:t>
      </w:r>
      <w:r>
        <w:rPr>
          <w:color w:val="231F20"/>
          <w:spacing w:val="3"/>
        </w:rPr>
        <w:t>tomada </w:t>
      </w:r>
      <w:r>
        <w:rPr>
          <w:color w:val="231F20"/>
        </w:rPr>
        <w:t>en </w:t>
      </w:r>
      <w:r>
        <w:rPr>
          <w:color w:val="231F20"/>
          <w:spacing w:val="2"/>
        </w:rPr>
        <w:t>cuenta por </w:t>
      </w:r>
      <w:r>
        <w:rPr>
          <w:color w:val="231F20"/>
        </w:rPr>
        <w:t>el </w:t>
      </w:r>
      <w:r>
        <w:rPr>
          <w:color w:val="231F20"/>
          <w:spacing w:val="3"/>
        </w:rPr>
        <w:t>profesor </w:t>
      </w:r>
      <w:r>
        <w:rPr>
          <w:color w:val="231F20"/>
        </w:rPr>
        <w:t>en la </w:t>
      </w:r>
      <w:r>
        <w:rPr>
          <w:color w:val="231F20"/>
          <w:spacing w:val="2"/>
        </w:rPr>
        <w:t>evaluación </w:t>
      </w:r>
      <w:r>
        <w:rPr>
          <w:color w:val="231F20"/>
        </w:rPr>
        <w:t>del </w:t>
      </w:r>
      <w:r>
        <w:rPr>
          <w:color w:val="231F20"/>
          <w:spacing w:val="2"/>
        </w:rPr>
        <w:t>curso (cuestión </w:t>
      </w:r>
      <w:r>
        <w:rPr>
          <w:color w:val="231F20"/>
        </w:rPr>
        <w:t>de </w:t>
      </w:r>
      <w:r>
        <w:rPr>
          <w:color w:val="231F20"/>
          <w:spacing w:val="2"/>
        </w:rPr>
        <w:t>sobrevivencia académica).  </w:t>
      </w:r>
      <w:r>
        <w:rPr>
          <w:color w:val="231F20"/>
          <w:spacing w:val="3"/>
        </w:rPr>
        <w:t>Desde </w:t>
      </w:r>
      <w:r>
        <w:rPr>
          <w:color w:val="231F20"/>
        </w:rPr>
        <w:t>la </w:t>
      </w:r>
      <w:r>
        <w:rPr>
          <w:color w:val="231F20"/>
          <w:spacing w:val="2"/>
        </w:rPr>
        <w:t>perspectiva del profesor, podría </w:t>
      </w:r>
      <w:r>
        <w:rPr>
          <w:color w:val="231F20"/>
        </w:rPr>
        <w:t>no ser </w:t>
      </w:r>
      <w:r>
        <w:rPr>
          <w:color w:val="231F20"/>
          <w:spacing w:val="2"/>
        </w:rPr>
        <w:t>relevante </w:t>
      </w:r>
      <w:r>
        <w:rPr>
          <w:color w:val="231F20"/>
        </w:rPr>
        <w:t>el </w:t>
      </w:r>
      <w:r>
        <w:rPr>
          <w:color w:val="231F20"/>
          <w:spacing w:val="2"/>
        </w:rPr>
        <w:t>tema, sino </w:t>
      </w:r>
      <w:r>
        <w:rPr>
          <w:color w:val="231F20"/>
          <w:spacing w:val="3"/>
        </w:rPr>
        <w:t>mantener </w:t>
      </w:r>
      <w:r>
        <w:rPr>
          <w:color w:val="231F20"/>
        </w:rPr>
        <w:t>el </w:t>
      </w:r>
      <w:r>
        <w:rPr>
          <w:color w:val="231F20"/>
          <w:spacing w:val="3"/>
        </w:rPr>
        <w:t>control conductual </w:t>
      </w:r>
      <w:r>
        <w:rPr>
          <w:color w:val="231F20"/>
          <w:spacing w:val="2"/>
        </w:rPr>
        <w:t>del grupo </w:t>
      </w:r>
      <w:r>
        <w:rPr>
          <w:color w:val="231F20"/>
        </w:rPr>
        <w:t>el  </w:t>
      </w:r>
      <w:r>
        <w:rPr>
          <w:color w:val="231F20"/>
          <w:spacing w:val="3"/>
        </w:rPr>
        <w:t>tiempo  </w:t>
      </w:r>
      <w:r>
        <w:rPr>
          <w:color w:val="231F20"/>
          <w:spacing w:val="2"/>
        </w:rPr>
        <w:t>suficiente, sabedor </w:t>
      </w:r>
      <w:r>
        <w:rPr>
          <w:color w:val="231F20"/>
        </w:rPr>
        <w:t>de que de </w:t>
      </w:r>
      <w:r>
        <w:rPr>
          <w:color w:val="231F20"/>
          <w:spacing w:val="2"/>
        </w:rPr>
        <w:t>todas formas será </w:t>
      </w:r>
      <w:r>
        <w:rPr>
          <w:color w:val="231F20"/>
          <w:spacing w:val="3"/>
        </w:rPr>
        <w:t>mantenido </w:t>
      </w:r>
      <w:r>
        <w:rPr>
          <w:color w:val="231F20"/>
        </w:rPr>
        <w:t>en el </w:t>
      </w:r>
      <w:r>
        <w:rPr>
          <w:color w:val="231F20"/>
          <w:spacing w:val="2"/>
        </w:rPr>
        <w:t>papel </w:t>
      </w:r>
      <w:r>
        <w:rPr>
          <w:color w:val="231F20"/>
        </w:rPr>
        <w:t>de </w:t>
      </w:r>
      <w:r>
        <w:rPr>
          <w:color w:val="231F20"/>
          <w:spacing w:val="3"/>
        </w:rPr>
        <w:t>profesor </w:t>
      </w:r>
      <w:r>
        <w:rPr>
          <w:color w:val="231F20"/>
          <w:spacing w:val="2"/>
        </w:rPr>
        <w:t>gracias </w:t>
      </w:r>
      <w:r>
        <w:rPr>
          <w:color w:val="231F20"/>
        </w:rPr>
        <w:t>al </w:t>
      </w:r>
      <w:r>
        <w:rPr>
          <w:color w:val="231F20"/>
          <w:spacing w:val="2"/>
        </w:rPr>
        <w:t>margen </w:t>
      </w:r>
      <w:r>
        <w:rPr>
          <w:color w:val="231F20"/>
          <w:spacing w:val="3"/>
        </w:rPr>
        <w:t>normativo  </w:t>
      </w:r>
      <w:r>
        <w:rPr>
          <w:color w:val="231F20"/>
        </w:rPr>
        <w:t>que  deja  el </w:t>
      </w:r>
      <w:r>
        <w:rPr>
          <w:color w:val="231F20"/>
          <w:spacing w:val="2"/>
        </w:rPr>
        <w:t>estatuto.</w:t>
      </w:r>
    </w:p>
    <w:p>
      <w:pPr>
        <w:pStyle w:val="BodyText"/>
        <w:spacing w:line="249" w:lineRule="auto" w:before="1"/>
        <w:ind w:left="102" w:right="115" w:firstLine="284"/>
        <w:jc w:val="both"/>
      </w:pPr>
      <w:r>
        <w:rPr>
          <w:color w:val="231F20"/>
        </w:rPr>
        <w:t>De todas formas el cometido educativo no se logra. Este presupone una preparación disciplinaria –dominio de los temas de conocimiento– suficiente por parte del profesor, y requiere, también de él, una actitud realizativa frente a otras personas –los estudiantes– ya que de esta dependen el entendimiento y las consecuentes acciones coordinadas con fines de aprendizaje.</w:t>
      </w:r>
    </w:p>
    <w:p>
      <w:pPr>
        <w:pStyle w:val="BodyText"/>
        <w:spacing w:before="7"/>
      </w:pPr>
    </w:p>
    <w:p>
      <w:pPr>
        <w:pStyle w:val="BodyText"/>
        <w:ind w:left="102"/>
        <w:jc w:val="both"/>
      </w:pPr>
      <w:r>
        <w:rPr>
          <w:color w:val="231F20"/>
          <w:w w:val="105"/>
        </w:rPr>
        <w:t>CONCLUSIÓN</w:t>
      </w:r>
    </w:p>
    <w:p>
      <w:pPr>
        <w:pStyle w:val="BodyText"/>
        <w:spacing w:before="1"/>
      </w:pPr>
    </w:p>
    <w:p>
      <w:pPr>
        <w:pStyle w:val="BodyText"/>
        <w:spacing w:line="244" w:lineRule="auto" w:before="1"/>
        <w:ind w:left="102" w:right="114"/>
        <w:jc w:val="both"/>
      </w:pPr>
      <w:r>
        <w:rPr>
          <w:color w:val="231F20"/>
        </w:rPr>
        <w:t>En la base de las críticas a la calidad de la educación, y en lo que toca a los profesores en el aula, gravita un significado de mayor importancia: el relativo a su labor como personas encargadas de enseñar a los demás; y esta tarea no se logrará a satisfacción sin comprender que es necesaria una interacción comunicativa (orientada al entendimiento) con los estudiantes, una relación que está definida entre personas, no entre personas y cosas. El aprendizaje es un proceso mental que implica necesariamente la relación entre personas y cosas. Si se toma en cuenta que en el aula se reúnen personas en primerísimo lugar, y solo en segundo lugar se da la relación de estas personas con objetos (cosas)  de  conocimiento, entonces la labor de enseñar a los  demás,  de  ponerlas en contacto con objetos de conocimiento, depende de acciones coordinadas previamente aceptadas por ambas partes, que se han puesto de acuerdo mediando actitudes realizativas, exentas  de una racionalidad de medios</w:t>
      </w:r>
      <w:r>
        <w:rPr>
          <w:color w:val="231F20"/>
          <w:spacing w:val="-9"/>
        </w:rPr>
        <w:t> </w:t>
      </w:r>
      <w:r>
        <w:rPr>
          <w:color w:val="231F20"/>
        </w:rPr>
        <w:t>afines.</w:t>
      </w:r>
    </w:p>
    <w:p>
      <w:pPr>
        <w:spacing w:after="0" w:line="244" w:lineRule="auto"/>
        <w:jc w:val="both"/>
        <w:sectPr>
          <w:headerReference w:type="default" r:id="rId574"/>
          <w:footerReference w:type="default" r:id="rId575"/>
          <w:pgSz w:w="7830" w:h="11910"/>
          <w:pgMar w:header="0" w:footer="424" w:top="500" w:bottom="620" w:left="920" w:right="900"/>
          <w:pgNumType w:start="25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3" w:firstLine="284"/>
        <w:jc w:val="both"/>
      </w:pPr>
      <w:r>
        <w:rPr>
          <w:color w:val="231F20"/>
          <w:spacing w:val="2"/>
        </w:rPr>
        <w:t>De </w:t>
      </w:r>
      <w:r>
        <w:rPr>
          <w:color w:val="231F20"/>
        </w:rPr>
        <w:t>lo </w:t>
      </w:r>
      <w:r>
        <w:rPr>
          <w:color w:val="231F20"/>
          <w:spacing w:val="2"/>
        </w:rPr>
        <w:t>explicado </w:t>
      </w:r>
      <w:r>
        <w:rPr>
          <w:color w:val="231F20"/>
          <w:spacing w:val="3"/>
        </w:rPr>
        <w:t>anteriormente, </w:t>
      </w:r>
      <w:r>
        <w:rPr>
          <w:color w:val="231F20"/>
        </w:rPr>
        <w:t>se </w:t>
      </w:r>
      <w:r>
        <w:rPr>
          <w:color w:val="231F20"/>
          <w:spacing w:val="3"/>
        </w:rPr>
        <w:t>desprende </w:t>
      </w:r>
      <w:r>
        <w:rPr>
          <w:color w:val="231F20"/>
        </w:rPr>
        <w:t>que </w:t>
      </w:r>
      <w:r>
        <w:rPr>
          <w:color w:val="231F20"/>
          <w:spacing w:val="2"/>
        </w:rPr>
        <w:t>existen </w:t>
      </w:r>
      <w:r>
        <w:rPr>
          <w:color w:val="231F20"/>
          <w:spacing w:val="3"/>
        </w:rPr>
        <w:t>determinantes </w:t>
      </w:r>
      <w:r>
        <w:rPr>
          <w:color w:val="231F20"/>
          <w:spacing w:val="2"/>
        </w:rPr>
        <w:t>que </w:t>
      </w:r>
      <w:r>
        <w:rPr>
          <w:color w:val="231F20"/>
          <w:spacing w:val="3"/>
        </w:rPr>
        <w:t>pueden </w:t>
      </w:r>
      <w:r>
        <w:rPr>
          <w:color w:val="231F20"/>
          <w:spacing w:val="2"/>
        </w:rPr>
        <w:t>explicar </w:t>
      </w:r>
      <w:r>
        <w:rPr>
          <w:color w:val="231F20"/>
        </w:rPr>
        <w:t>la </w:t>
      </w:r>
      <w:r>
        <w:rPr>
          <w:color w:val="231F20"/>
          <w:spacing w:val="2"/>
        </w:rPr>
        <w:t>acción </w:t>
      </w:r>
      <w:r>
        <w:rPr>
          <w:color w:val="231F20"/>
          <w:spacing w:val="3"/>
        </w:rPr>
        <w:t>comunicativa </w:t>
      </w:r>
      <w:r>
        <w:rPr>
          <w:color w:val="231F20"/>
        </w:rPr>
        <w:t>de </w:t>
      </w:r>
      <w:r>
        <w:rPr>
          <w:color w:val="231F20"/>
          <w:spacing w:val="3"/>
        </w:rPr>
        <w:t>los profesores; </w:t>
      </w:r>
      <w:r>
        <w:rPr>
          <w:color w:val="231F20"/>
          <w:spacing w:val="2"/>
        </w:rPr>
        <w:t>todos esos factores </w:t>
      </w:r>
      <w:r>
        <w:rPr>
          <w:color w:val="231F20"/>
          <w:spacing w:val="3"/>
        </w:rPr>
        <w:t>conforman, </w:t>
      </w:r>
      <w:r>
        <w:rPr>
          <w:color w:val="231F20"/>
          <w:spacing w:val="2"/>
        </w:rPr>
        <w:t>desde este punto </w:t>
      </w:r>
      <w:r>
        <w:rPr>
          <w:color w:val="231F20"/>
        </w:rPr>
        <w:t>de </w:t>
      </w:r>
      <w:r>
        <w:rPr>
          <w:color w:val="231F20"/>
          <w:spacing w:val="2"/>
        </w:rPr>
        <w:t>vista, </w:t>
      </w:r>
      <w:r>
        <w:rPr>
          <w:color w:val="231F20"/>
          <w:spacing w:val="3"/>
        </w:rPr>
        <w:t>Mundos </w:t>
      </w:r>
      <w:r>
        <w:rPr>
          <w:color w:val="231F20"/>
        </w:rPr>
        <w:t>de la </w:t>
      </w:r>
      <w:r>
        <w:rPr>
          <w:color w:val="231F20"/>
          <w:spacing w:val="2"/>
        </w:rPr>
        <w:t>Vida colonizados, violentados, que, </w:t>
      </w:r>
      <w:r>
        <w:rPr>
          <w:color w:val="231F20"/>
        </w:rPr>
        <w:t>es </w:t>
      </w:r>
      <w:r>
        <w:rPr>
          <w:color w:val="231F20"/>
          <w:spacing w:val="2"/>
        </w:rPr>
        <w:t>preciso reiterar, </w:t>
      </w:r>
      <w:r>
        <w:rPr>
          <w:color w:val="231F20"/>
        </w:rPr>
        <w:t>se </w:t>
      </w:r>
      <w:r>
        <w:rPr>
          <w:color w:val="231F20"/>
          <w:spacing w:val="2"/>
        </w:rPr>
        <w:t>dan </w:t>
      </w:r>
      <w:r>
        <w:rPr>
          <w:color w:val="231F20"/>
          <w:spacing w:val="3"/>
        </w:rPr>
        <w:t>como </w:t>
      </w:r>
      <w:r>
        <w:rPr>
          <w:color w:val="231F20"/>
          <w:spacing w:val="2"/>
        </w:rPr>
        <w:t>regularidades </w:t>
      </w:r>
      <w:r>
        <w:rPr>
          <w:color w:val="231F20"/>
        </w:rPr>
        <w:t>en </w:t>
      </w:r>
      <w:r>
        <w:rPr>
          <w:color w:val="231F20"/>
          <w:spacing w:val="2"/>
        </w:rPr>
        <w:t>los casos  </w:t>
      </w:r>
      <w:r>
        <w:rPr>
          <w:color w:val="231F20"/>
          <w:spacing w:val="3"/>
        </w:rPr>
        <w:t>estudiados,  </w:t>
      </w:r>
      <w:r>
        <w:rPr>
          <w:color w:val="231F20"/>
        </w:rPr>
        <w:t>a </w:t>
      </w:r>
      <w:r>
        <w:rPr>
          <w:color w:val="231F20"/>
          <w:spacing w:val="2"/>
        </w:rPr>
        <w:t>pesar </w:t>
      </w:r>
      <w:r>
        <w:rPr>
          <w:color w:val="231F20"/>
        </w:rPr>
        <w:t>de la </w:t>
      </w:r>
      <w:r>
        <w:rPr>
          <w:color w:val="231F20"/>
          <w:spacing w:val="2"/>
        </w:rPr>
        <w:t>diversidad </w:t>
      </w:r>
      <w:r>
        <w:rPr>
          <w:color w:val="231F20"/>
        </w:rPr>
        <w:t>de </w:t>
      </w:r>
      <w:r>
        <w:rPr>
          <w:color w:val="231F20"/>
          <w:spacing w:val="2"/>
        </w:rPr>
        <w:t>rasgos </w:t>
      </w:r>
      <w:r>
        <w:rPr>
          <w:color w:val="231F20"/>
          <w:spacing w:val="3"/>
        </w:rPr>
        <w:t>encontrados. </w:t>
      </w:r>
      <w:r>
        <w:rPr>
          <w:color w:val="231F20"/>
          <w:spacing w:val="2"/>
        </w:rPr>
        <w:t>Tales </w:t>
      </w:r>
      <w:r>
        <w:rPr>
          <w:color w:val="231F20"/>
          <w:spacing w:val="3"/>
        </w:rPr>
        <w:t>elementos </w:t>
      </w:r>
      <w:r>
        <w:rPr>
          <w:color w:val="231F20"/>
        </w:rPr>
        <w:t>se </w:t>
      </w:r>
      <w:r>
        <w:rPr>
          <w:color w:val="231F20"/>
          <w:spacing w:val="2"/>
        </w:rPr>
        <w:t>sitúan </w:t>
      </w:r>
      <w:r>
        <w:rPr>
          <w:color w:val="231F20"/>
        </w:rPr>
        <w:t>en </w:t>
      </w:r>
      <w:r>
        <w:rPr>
          <w:color w:val="231F20"/>
          <w:spacing w:val="2"/>
        </w:rPr>
        <w:t>distintas esferas </w:t>
      </w:r>
      <w:r>
        <w:rPr>
          <w:color w:val="231F20"/>
        </w:rPr>
        <w:t>de </w:t>
      </w:r>
      <w:r>
        <w:rPr>
          <w:color w:val="231F20"/>
          <w:spacing w:val="2"/>
        </w:rPr>
        <w:t>significado: </w:t>
      </w:r>
      <w:r>
        <w:rPr>
          <w:color w:val="231F20"/>
        </w:rPr>
        <w:t>las </w:t>
      </w:r>
      <w:r>
        <w:rPr>
          <w:color w:val="231F20"/>
          <w:spacing w:val="2"/>
        </w:rPr>
        <w:t>relativas </w:t>
      </w:r>
      <w:r>
        <w:rPr>
          <w:color w:val="231F20"/>
        </w:rPr>
        <w:t>a la </w:t>
      </w:r>
      <w:r>
        <w:rPr>
          <w:color w:val="231F20"/>
          <w:spacing w:val="3"/>
        </w:rPr>
        <w:t>conformación </w:t>
      </w:r>
      <w:r>
        <w:rPr>
          <w:color w:val="231F20"/>
        </w:rPr>
        <w:t>de la </w:t>
      </w:r>
      <w:r>
        <w:rPr>
          <w:color w:val="231F20"/>
          <w:spacing w:val="2"/>
        </w:rPr>
        <w:t>personalidad </w:t>
      </w:r>
      <w:r>
        <w:rPr>
          <w:color w:val="231F20"/>
        </w:rPr>
        <w:t>de </w:t>
      </w:r>
      <w:r>
        <w:rPr>
          <w:color w:val="231F20"/>
          <w:spacing w:val="2"/>
        </w:rPr>
        <w:t>los </w:t>
      </w:r>
      <w:r>
        <w:rPr>
          <w:color w:val="231F20"/>
          <w:spacing w:val="3"/>
        </w:rPr>
        <w:t>profesores, </w:t>
      </w:r>
      <w:r>
        <w:rPr>
          <w:color w:val="231F20"/>
          <w:spacing w:val="2"/>
        </w:rPr>
        <w:t>atienden </w:t>
      </w:r>
      <w:r>
        <w:rPr>
          <w:color w:val="231F20"/>
        </w:rPr>
        <w:t>a la </w:t>
      </w:r>
      <w:r>
        <w:rPr>
          <w:color w:val="231F20"/>
          <w:spacing w:val="2"/>
        </w:rPr>
        <w:t>visualización </w:t>
      </w:r>
      <w:r>
        <w:rPr>
          <w:color w:val="231F20"/>
        </w:rPr>
        <w:t>de </w:t>
      </w:r>
      <w:r>
        <w:rPr>
          <w:color w:val="231F20"/>
          <w:spacing w:val="3"/>
        </w:rPr>
        <w:t>ambientes </w:t>
      </w:r>
      <w:r>
        <w:rPr>
          <w:color w:val="231F20"/>
        </w:rPr>
        <w:t>de vida </w:t>
      </w:r>
      <w:r>
        <w:rPr>
          <w:color w:val="231F20"/>
          <w:spacing w:val="2"/>
        </w:rPr>
        <w:t>restringidos </w:t>
      </w:r>
      <w:r>
        <w:rPr>
          <w:color w:val="231F20"/>
        </w:rPr>
        <w:t>y </w:t>
      </w:r>
      <w:r>
        <w:rPr>
          <w:color w:val="231F20"/>
          <w:spacing w:val="3"/>
        </w:rPr>
        <w:t>autoritarios; muestran </w:t>
      </w:r>
      <w:r>
        <w:rPr>
          <w:color w:val="231F20"/>
        </w:rPr>
        <w:t>la </w:t>
      </w:r>
      <w:r>
        <w:rPr>
          <w:color w:val="231F20"/>
          <w:spacing w:val="2"/>
        </w:rPr>
        <w:t>huella </w:t>
      </w:r>
      <w:r>
        <w:rPr>
          <w:color w:val="231F20"/>
        </w:rPr>
        <w:t>de </w:t>
      </w:r>
      <w:r>
        <w:rPr>
          <w:color w:val="231F20"/>
          <w:spacing w:val="2"/>
        </w:rPr>
        <w:t>sus propios maestros que, junto </w:t>
      </w:r>
      <w:r>
        <w:rPr>
          <w:color w:val="231F20"/>
        </w:rPr>
        <w:t>con </w:t>
      </w:r>
      <w:r>
        <w:rPr>
          <w:color w:val="231F20"/>
          <w:spacing w:val="2"/>
        </w:rPr>
        <w:t>las asignaturas, </w:t>
      </w:r>
      <w:r>
        <w:rPr>
          <w:color w:val="231F20"/>
        </w:rPr>
        <w:t>les </w:t>
      </w:r>
      <w:r>
        <w:rPr>
          <w:color w:val="231F20"/>
          <w:spacing w:val="3"/>
        </w:rPr>
        <w:t>enseñaron modos </w:t>
      </w:r>
      <w:r>
        <w:rPr>
          <w:color w:val="231F20"/>
        </w:rPr>
        <w:t>de ser </w:t>
      </w:r>
      <w:r>
        <w:rPr>
          <w:color w:val="231F20"/>
          <w:spacing w:val="2"/>
        </w:rPr>
        <w:t>frente </w:t>
      </w:r>
      <w:r>
        <w:rPr>
          <w:color w:val="231F20"/>
        </w:rPr>
        <w:t>a </w:t>
      </w:r>
      <w:r>
        <w:rPr>
          <w:color w:val="231F20"/>
          <w:spacing w:val="2"/>
        </w:rPr>
        <w:t>los </w:t>
      </w:r>
      <w:r>
        <w:rPr>
          <w:color w:val="231F20"/>
          <w:spacing w:val="3"/>
        </w:rPr>
        <w:t>grupos </w:t>
      </w:r>
      <w:r>
        <w:rPr>
          <w:color w:val="231F20"/>
        </w:rPr>
        <w:t>y a la </w:t>
      </w:r>
      <w:r>
        <w:rPr>
          <w:color w:val="231F20"/>
          <w:spacing w:val="2"/>
        </w:rPr>
        <w:t>escuela, </w:t>
      </w:r>
      <w:r>
        <w:rPr>
          <w:color w:val="231F20"/>
        </w:rPr>
        <w:t>y </w:t>
      </w:r>
      <w:r>
        <w:rPr>
          <w:color w:val="231F20"/>
          <w:spacing w:val="3"/>
        </w:rPr>
        <w:t>opiniones </w:t>
      </w:r>
      <w:r>
        <w:rPr>
          <w:color w:val="231F20"/>
          <w:spacing w:val="2"/>
        </w:rPr>
        <w:t>críticas </w:t>
      </w:r>
      <w:r>
        <w:rPr>
          <w:color w:val="231F20"/>
        </w:rPr>
        <w:t>de </w:t>
      </w:r>
      <w:r>
        <w:rPr>
          <w:color w:val="231F20"/>
          <w:spacing w:val="2"/>
        </w:rPr>
        <w:t>alcance limitado </w:t>
      </w:r>
      <w:r>
        <w:rPr>
          <w:color w:val="231F20"/>
          <w:spacing w:val="3"/>
        </w:rPr>
        <w:t>generalmente al </w:t>
      </w:r>
      <w:r>
        <w:rPr>
          <w:color w:val="231F20"/>
          <w:spacing w:val="2"/>
        </w:rPr>
        <w:t>discurso </w:t>
      </w:r>
      <w:r>
        <w:rPr>
          <w:color w:val="231F20"/>
          <w:spacing w:val="3"/>
        </w:rPr>
        <w:t>académico. </w:t>
      </w:r>
      <w:r>
        <w:rPr>
          <w:color w:val="231F20"/>
        </w:rPr>
        <w:t>Se </w:t>
      </w:r>
      <w:r>
        <w:rPr>
          <w:color w:val="231F20"/>
          <w:spacing w:val="2"/>
        </w:rPr>
        <w:t>trata </w:t>
      </w:r>
      <w:r>
        <w:rPr>
          <w:color w:val="231F20"/>
        </w:rPr>
        <w:t>de </w:t>
      </w:r>
      <w:r>
        <w:rPr>
          <w:color w:val="231F20"/>
          <w:spacing w:val="2"/>
        </w:rPr>
        <w:t>una introyección </w:t>
      </w:r>
      <w:r>
        <w:rPr>
          <w:color w:val="231F20"/>
        </w:rPr>
        <w:t>de </w:t>
      </w:r>
      <w:r>
        <w:rPr>
          <w:color w:val="231F20"/>
          <w:spacing w:val="3"/>
        </w:rPr>
        <w:t>determinantes </w:t>
      </w:r>
      <w:r>
        <w:rPr>
          <w:color w:val="231F20"/>
          <w:spacing w:val="2"/>
        </w:rPr>
        <w:t>culturales que presiden los </w:t>
      </w:r>
      <w:r>
        <w:rPr>
          <w:color w:val="231F20"/>
          <w:spacing w:val="3"/>
        </w:rPr>
        <w:t>modos </w:t>
      </w:r>
      <w:r>
        <w:rPr>
          <w:color w:val="231F20"/>
        </w:rPr>
        <w:t>de </w:t>
      </w:r>
      <w:r>
        <w:rPr>
          <w:color w:val="231F20"/>
          <w:spacing w:val="3"/>
        </w:rPr>
        <w:t>mostrarse </w:t>
      </w:r>
      <w:r>
        <w:rPr>
          <w:color w:val="231F20"/>
        </w:rPr>
        <w:t>a </w:t>
      </w:r>
      <w:r>
        <w:rPr>
          <w:color w:val="231F20"/>
          <w:spacing w:val="2"/>
        </w:rPr>
        <w:t>los </w:t>
      </w:r>
      <w:r>
        <w:rPr>
          <w:color w:val="231F20"/>
          <w:spacing w:val="3"/>
        </w:rPr>
        <w:t>demás, con </w:t>
      </w:r>
      <w:r>
        <w:rPr>
          <w:color w:val="231F20"/>
          <w:spacing w:val="2"/>
        </w:rPr>
        <w:t>relaciones </w:t>
      </w:r>
      <w:r>
        <w:rPr>
          <w:color w:val="231F20"/>
        </w:rPr>
        <w:t>de </w:t>
      </w:r>
      <w:r>
        <w:rPr>
          <w:color w:val="231F20"/>
          <w:spacing w:val="3"/>
        </w:rPr>
        <w:t>poder siempre </w:t>
      </w:r>
      <w:r>
        <w:rPr>
          <w:color w:val="231F20"/>
          <w:spacing w:val="2"/>
        </w:rPr>
        <w:t>presentes, </w:t>
      </w:r>
      <w:r>
        <w:rPr>
          <w:color w:val="231F20"/>
          <w:spacing w:val="3"/>
        </w:rPr>
        <w:t>colonizando </w:t>
      </w:r>
      <w:r>
        <w:rPr>
          <w:color w:val="231F20"/>
          <w:spacing w:val="2"/>
        </w:rPr>
        <w:t>los </w:t>
      </w:r>
      <w:r>
        <w:rPr>
          <w:color w:val="231F20"/>
          <w:spacing w:val="4"/>
        </w:rPr>
        <w:t>Mundos  </w:t>
      </w:r>
      <w:r>
        <w:rPr>
          <w:color w:val="231F20"/>
        </w:rPr>
        <w:t>de la </w:t>
      </w:r>
      <w:r>
        <w:rPr>
          <w:color w:val="231F20"/>
          <w:spacing w:val="2"/>
        </w:rPr>
        <w:t>Vida </w:t>
      </w:r>
      <w:r>
        <w:rPr>
          <w:color w:val="231F20"/>
        </w:rPr>
        <w:t>y </w:t>
      </w:r>
      <w:r>
        <w:rPr>
          <w:color w:val="231F20"/>
          <w:spacing w:val="3"/>
        </w:rPr>
        <w:t>reduciendo </w:t>
      </w:r>
      <w:r>
        <w:rPr>
          <w:color w:val="231F20"/>
          <w:spacing w:val="2"/>
        </w:rPr>
        <w:t>los espacios que </w:t>
      </w:r>
      <w:r>
        <w:rPr>
          <w:color w:val="231F20"/>
          <w:spacing w:val="3"/>
        </w:rPr>
        <w:t>Habermas </w:t>
      </w:r>
      <w:r>
        <w:rPr>
          <w:color w:val="231F20"/>
          <w:spacing w:val="4"/>
        </w:rPr>
        <w:t>ha  </w:t>
      </w:r>
      <w:r>
        <w:rPr>
          <w:color w:val="231F20"/>
          <w:spacing w:val="2"/>
        </w:rPr>
        <w:t>mencionado como </w:t>
      </w:r>
      <w:r>
        <w:rPr>
          <w:color w:val="231F20"/>
        </w:rPr>
        <w:t>los </w:t>
      </w:r>
      <w:r>
        <w:rPr>
          <w:color w:val="231F20"/>
          <w:spacing w:val="2"/>
        </w:rPr>
        <w:t>menos</w:t>
      </w:r>
      <w:r>
        <w:rPr>
          <w:color w:val="231F20"/>
          <w:spacing w:val="51"/>
        </w:rPr>
        <w:t> </w:t>
      </w:r>
      <w:r>
        <w:rPr>
          <w:color w:val="231F20"/>
          <w:spacing w:val="3"/>
        </w:rPr>
        <w:t>colonizados.</w:t>
      </w:r>
    </w:p>
    <w:p>
      <w:pPr>
        <w:pStyle w:val="BodyText"/>
        <w:spacing w:line="247" w:lineRule="auto" w:before="3"/>
        <w:ind w:left="102" w:right="116" w:firstLine="284"/>
        <w:jc w:val="both"/>
      </w:pPr>
      <w:r>
        <w:rPr>
          <w:color w:val="231F20"/>
        </w:rPr>
        <w:t>En el </w:t>
      </w:r>
      <w:r>
        <w:rPr>
          <w:color w:val="231F20"/>
          <w:spacing w:val="2"/>
        </w:rPr>
        <w:t>aula, parece privar gente, </w:t>
      </w:r>
      <w:r>
        <w:rPr>
          <w:color w:val="231F20"/>
        </w:rPr>
        <w:t>en </w:t>
      </w:r>
      <w:r>
        <w:rPr>
          <w:color w:val="231F20"/>
          <w:spacing w:val="2"/>
        </w:rPr>
        <w:t>general, </w:t>
      </w:r>
      <w:r>
        <w:rPr>
          <w:color w:val="231F20"/>
        </w:rPr>
        <w:t>sin </w:t>
      </w:r>
      <w:r>
        <w:rPr>
          <w:color w:val="231F20"/>
          <w:spacing w:val="2"/>
        </w:rPr>
        <w:t>personalidad específica, catalogables </w:t>
      </w:r>
      <w:r>
        <w:rPr>
          <w:color w:val="231F20"/>
        </w:rPr>
        <w:t>y </w:t>
      </w:r>
      <w:r>
        <w:rPr>
          <w:color w:val="231F20"/>
          <w:spacing w:val="3"/>
        </w:rPr>
        <w:t>moldeables </w:t>
      </w:r>
      <w:r>
        <w:rPr>
          <w:color w:val="231F20"/>
          <w:spacing w:val="2"/>
        </w:rPr>
        <w:t>por </w:t>
      </w:r>
      <w:r>
        <w:rPr>
          <w:color w:val="231F20"/>
        </w:rPr>
        <w:t>la </w:t>
      </w:r>
      <w:r>
        <w:rPr>
          <w:color w:val="231F20"/>
          <w:spacing w:val="2"/>
        </w:rPr>
        <w:t>experiencia </w:t>
      </w:r>
      <w:r>
        <w:rPr>
          <w:color w:val="231F20"/>
        </w:rPr>
        <w:t>en la </w:t>
      </w:r>
      <w:r>
        <w:rPr>
          <w:color w:val="231F20"/>
          <w:spacing w:val="2"/>
        </w:rPr>
        <w:t>autoridad; </w:t>
      </w:r>
      <w:r>
        <w:rPr>
          <w:color w:val="231F20"/>
        </w:rPr>
        <w:t>se </w:t>
      </w:r>
      <w:r>
        <w:rPr>
          <w:color w:val="231F20"/>
          <w:spacing w:val="2"/>
        </w:rPr>
        <w:t>trata </w:t>
      </w:r>
      <w:r>
        <w:rPr>
          <w:color w:val="231F20"/>
        </w:rPr>
        <w:t>de </w:t>
      </w:r>
      <w:r>
        <w:rPr>
          <w:color w:val="231F20"/>
          <w:spacing w:val="2"/>
        </w:rPr>
        <w:t>imágenes </w:t>
      </w:r>
      <w:r>
        <w:rPr>
          <w:color w:val="231F20"/>
          <w:spacing w:val="3"/>
        </w:rPr>
        <w:t>involuntariamente </w:t>
      </w:r>
      <w:r>
        <w:rPr>
          <w:color w:val="231F20"/>
          <w:spacing w:val="2"/>
        </w:rPr>
        <w:t>validadas por  </w:t>
      </w:r>
      <w:r>
        <w:rPr>
          <w:color w:val="231F20"/>
        </w:rPr>
        <w:t>las </w:t>
      </w:r>
      <w:r>
        <w:rPr>
          <w:color w:val="231F20"/>
          <w:spacing w:val="2"/>
        </w:rPr>
        <w:t>instituciones educativas, los </w:t>
      </w:r>
      <w:r>
        <w:rPr>
          <w:color w:val="231F20"/>
          <w:spacing w:val="3"/>
        </w:rPr>
        <w:t>alumnos </w:t>
      </w:r>
      <w:r>
        <w:rPr>
          <w:color w:val="231F20"/>
          <w:spacing w:val="2"/>
        </w:rPr>
        <w:t>son “sujetos” </w:t>
      </w:r>
      <w:r>
        <w:rPr>
          <w:color w:val="231F20"/>
        </w:rPr>
        <w:t>a ser </w:t>
      </w:r>
      <w:r>
        <w:rPr>
          <w:color w:val="231F20"/>
          <w:spacing w:val="2"/>
        </w:rPr>
        <w:t>instruidos, pero </w:t>
      </w:r>
      <w:r>
        <w:rPr>
          <w:color w:val="231F20"/>
          <w:spacing w:val="3"/>
        </w:rPr>
        <w:t>potencialmente </w:t>
      </w:r>
      <w:r>
        <w:rPr>
          <w:color w:val="231F20"/>
          <w:spacing w:val="2"/>
        </w:rPr>
        <w:t>manipuladores. Las acciones desarrolladas por los </w:t>
      </w:r>
      <w:r>
        <w:rPr>
          <w:color w:val="231F20"/>
          <w:spacing w:val="3"/>
        </w:rPr>
        <w:t>profesores </w:t>
      </w:r>
      <w:r>
        <w:rPr>
          <w:color w:val="231F20"/>
          <w:spacing w:val="2"/>
        </w:rPr>
        <w:t>atienden </w:t>
      </w:r>
      <w:r>
        <w:rPr>
          <w:color w:val="231F20"/>
        </w:rPr>
        <w:t>a </w:t>
      </w:r>
      <w:r>
        <w:rPr>
          <w:color w:val="231F20"/>
          <w:spacing w:val="3"/>
        </w:rPr>
        <w:t>esquemas </w:t>
      </w:r>
      <w:r>
        <w:rPr>
          <w:color w:val="231F20"/>
        </w:rPr>
        <w:t>de </w:t>
      </w:r>
      <w:r>
        <w:rPr>
          <w:color w:val="231F20"/>
          <w:spacing w:val="3"/>
        </w:rPr>
        <w:t>racionalidad </w:t>
      </w:r>
      <w:r>
        <w:rPr>
          <w:color w:val="231F20"/>
          <w:spacing w:val="2"/>
        </w:rPr>
        <w:t>estratégicas, violentas. </w:t>
      </w:r>
      <w:r>
        <w:rPr>
          <w:color w:val="231F20"/>
        </w:rPr>
        <w:t>En la </w:t>
      </w:r>
      <w:r>
        <w:rPr>
          <w:color w:val="231F20"/>
          <w:spacing w:val="3"/>
        </w:rPr>
        <w:t>comunidad </w:t>
      </w:r>
      <w:r>
        <w:rPr>
          <w:color w:val="231F20"/>
          <w:spacing w:val="2"/>
        </w:rPr>
        <w:t>escolar, parece </w:t>
      </w:r>
      <w:r>
        <w:rPr>
          <w:color w:val="231F20"/>
          <w:spacing w:val="3"/>
        </w:rPr>
        <w:t>predominar </w:t>
      </w:r>
      <w:r>
        <w:rPr>
          <w:color w:val="231F20"/>
        </w:rPr>
        <w:t>el </w:t>
      </w:r>
      <w:r>
        <w:rPr>
          <w:color w:val="231F20"/>
          <w:spacing w:val="2"/>
        </w:rPr>
        <w:t>lugar </w:t>
      </w:r>
      <w:r>
        <w:rPr>
          <w:color w:val="231F20"/>
        </w:rPr>
        <w:t>de </w:t>
      </w:r>
      <w:r>
        <w:rPr>
          <w:color w:val="231F20"/>
          <w:spacing w:val="2"/>
        </w:rPr>
        <w:t>trabajo sobre </w:t>
      </w:r>
      <w:r>
        <w:rPr>
          <w:color w:val="231F20"/>
        </w:rPr>
        <w:t>las </w:t>
      </w:r>
      <w:r>
        <w:rPr>
          <w:color w:val="231F20"/>
          <w:spacing w:val="3"/>
        </w:rPr>
        <w:t>personas. Las </w:t>
      </w:r>
      <w:r>
        <w:rPr>
          <w:color w:val="231F20"/>
          <w:spacing w:val="2"/>
        </w:rPr>
        <w:t>relaciones </w:t>
      </w:r>
      <w:r>
        <w:rPr>
          <w:color w:val="231F20"/>
        </w:rPr>
        <w:t>que se </w:t>
      </w:r>
      <w:r>
        <w:rPr>
          <w:color w:val="231F20"/>
          <w:spacing w:val="3"/>
        </w:rPr>
        <w:t>mantienen </w:t>
      </w:r>
      <w:r>
        <w:rPr>
          <w:color w:val="231F20"/>
          <w:spacing w:val="2"/>
        </w:rPr>
        <w:t>con los pares, con autoridades </w:t>
      </w:r>
      <w:r>
        <w:rPr>
          <w:color w:val="231F20"/>
        </w:rPr>
        <w:t>y </w:t>
      </w:r>
      <w:r>
        <w:rPr>
          <w:color w:val="231F20"/>
          <w:spacing w:val="2"/>
        </w:rPr>
        <w:t>con </w:t>
      </w:r>
      <w:r>
        <w:rPr>
          <w:color w:val="231F20"/>
          <w:spacing w:val="3"/>
        </w:rPr>
        <w:t>personal </w:t>
      </w:r>
      <w:r>
        <w:rPr>
          <w:color w:val="231F20"/>
          <w:spacing w:val="2"/>
        </w:rPr>
        <w:t>administrativo devuelven una imagen </w:t>
      </w:r>
      <w:r>
        <w:rPr>
          <w:color w:val="231F20"/>
        </w:rPr>
        <w:t>de </w:t>
      </w:r>
      <w:r>
        <w:rPr>
          <w:color w:val="231F20"/>
          <w:spacing w:val="2"/>
        </w:rPr>
        <w:t>demarcación </w:t>
      </w:r>
      <w:r>
        <w:rPr>
          <w:color w:val="231F20"/>
        </w:rPr>
        <w:t>de </w:t>
      </w:r>
      <w:r>
        <w:rPr>
          <w:color w:val="231F20"/>
          <w:spacing w:val="2"/>
        </w:rPr>
        <w:t>seguridad </w:t>
      </w:r>
      <w:r>
        <w:rPr>
          <w:color w:val="231F20"/>
        </w:rPr>
        <w:t>de </w:t>
      </w:r>
      <w:r>
        <w:rPr>
          <w:color w:val="231F20"/>
          <w:spacing w:val="2"/>
        </w:rPr>
        <w:t>los </w:t>
      </w:r>
      <w:r>
        <w:rPr>
          <w:color w:val="231F20"/>
          <w:spacing w:val="3"/>
        </w:rPr>
        <w:t>profesores; </w:t>
      </w:r>
      <w:r>
        <w:rPr>
          <w:color w:val="231F20"/>
          <w:spacing w:val="2"/>
        </w:rPr>
        <w:t>son </w:t>
      </w:r>
      <w:r>
        <w:rPr>
          <w:color w:val="231F20"/>
          <w:spacing w:val="3"/>
        </w:rPr>
        <w:t>Mundos </w:t>
      </w:r>
      <w:r>
        <w:rPr>
          <w:color w:val="231F20"/>
        </w:rPr>
        <w:t>de la </w:t>
      </w:r>
      <w:r>
        <w:rPr>
          <w:color w:val="231F20"/>
          <w:spacing w:val="2"/>
        </w:rPr>
        <w:t>Vida </w:t>
      </w:r>
      <w:r>
        <w:rPr>
          <w:color w:val="231F20"/>
          <w:spacing w:val="3"/>
        </w:rPr>
        <w:t>colonizados. </w:t>
      </w:r>
      <w:r>
        <w:rPr>
          <w:color w:val="231F20"/>
        </w:rPr>
        <w:t>En la </w:t>
      </w:r>
      <w:r>
        <w:rPr>
          <w:color w:val="231F20"/>
          <w:spacing w:val="2"/>
        </w:rPr>
        <w:t>mayoría </w:t>
      </w:r>
      <w:r>
        <w:rPr>
          <w:color w:val="231F20"/>
        </w:rPr>
        <w:t>de </w:t>
      </w:r>
      <w:r>
        <w:rPr>
          <w:color w:val="231F20"/>
          <w:spacing w:val="2"/>
        </w:rPr>
        <w:t>los casos </w:t>
      </w:r>
      <w:r>
        <w:rPr>
          <w:color w:val="231F20"/>
          <w:spacing w:val="3"/>
        </w:rPr>
        <w:t>observados, </w:t>
      </w:r>
      <w:r>
        <w:rPr>
          <w:color w:val="231F20"/>
          <w:spacing w:val="2"/>
        </w:rPr>
        <w:t>los  </w:t>
      </w:r>
      <w:r>
        <w:rPr>
          <w:color w:val="231F20"/>
          <w:spacing w:val="3"/>
        </w:rPr>
        <w:t>determinantes</w:t>
      </w:r>
      <w:r>
        <w:rPr>
          <w:color w:val="231F20"/>
          <w:spacing w:val="58"/>
        </w:rPr>
        <w:t> </w:t>
      </w:r>
      <w:r>
        <w:rPr>
          <w:color w:val="231F20"/>
          <w:spacing w:val="2"/>
        </w:rPr>
        <w:t>políticos, </w:t>
      </w:r>
      <w:r>
        <w:rPr>
          <w:color w:val="231F20"/>
          <w:spacing w:val="3"/>
        </w:rPr>
        <w:t>económicos </w:t>
      </w:r>
      <w:r>
        <w:rPr>
          <w:color w:val="231F20"/>
        </w:rPr>
        <w:t>y </w:t>
      </w:r>
      <w:r>
        <w:rPr>
          <w:color w:val="231F20"/>
          <w:spacing w:val="2"/>
        </w:rPr>
        <w:t>sociales </w:t>
      </w:r>
      <w:r>
        <w:rPr>
          <w:color w:val="231F20"/>
        </w:rPr>
        <w:t>de la </w:t>
      </w:r>
      <w:r>
        <w:rPr>
          <w:color w:val="231F20"/>
          <w:spacing w:val="2"/>
        </w:rPr>
        <w:t>educación </w:t>
      </w:r>
      <w:r>
        <w:rPr>
          <w:color w:val="231F20"/>
        </w:rPr>
        <w:t>en </w:t>
      </w:r>
      <w:r>
        <w:rPr>
          <w:color w:val="231F20"/>
          <w:spacing w:val="2"/>
        </w:rPr>
        <w:t>general </w:t>
      </w:r>
      <w:r>
        <w:rPr>
          <w:color w:val="231F20"/>
          <w:spacing w:val="3"/>
        </w:rPr>
        <w:t>están </w:t>
      </w:r>
      <w:r>
        <w:rPr>
          <w:color w:val="231F20"/>
          <w:spacing w:val="2"/>
        </w:rPr>
        <w:t>presentes </w:t>
      </w:r>
      <w:r>
        <w:rPr>
          <w:color w:val="231F20"/>
        </w:rPr>
        <w:t>en </w:t>
      </w:r>
      <w:r>
        <w:rPr>
          <w:color w:val="231F20"/>
          <w:spacing w:val="2"/>
        </w:rPr>
        <w:t>cada uno </w:t>
      </w:r>
      <w:r>
        <w:rPr>
          <w:color w:val="231F20"/>
        </w:rPr>
        <w:t>de </w:t>
      </w:r>
      <w:r>
        <w:rPr>
          <w:color w:val="231F20"/>
          <w:spacing w:val="2"/>
        </w:rPr>
        <w:t>los sentidos </w:t>
      </w:r>
      <w:r>
        <w:rPr>
          <w:color w:val="231F20"/>
        </w:rPr>
        <w:t>de la </w:t>
      </w:r>
      <w:r>
        <w:rPr>
          <w:color w:val="231F20"/>
          <w:spacing w:val="2"/>
        </w:rPr>
        <w:t>acción </w:t>
      </w:r>
      <w:r>
        <w:rPr>
          <w:color w:val="231F20"/>
        </w:rPr>
        <w:t>de </w:t>
      </w:r>
      <w:r>
        <w:rPr>
          <w:color w:val="231F20"/>
          <w:spacing w:val="2"/>
        </w:rPr>
        <w:t>los  </w:t>
      </w:r>
      <w:r>
        <w:rPr>
          <w:color w:val="231F20"/>
          <w:spacing w:val="3"/>
        </w:rPr>
        <w:t>profesores </w:t>
      </w:r>
      <w:r>
        <w:rPr>
          <w:color w:val="231F20"/>
        </w:rPr>
        <w:t>y </w:t>
      </w:r>
      <w:r>
        <w:rPr>
          <w:color w:val="231F20"/>
          <w:spacing w:val="3"/>
        </w:rPr>
        <w:t>alumnos, </w:t>
      </w:r>
      <w:r>
        <w:rPr>
          <w:color w:val="231F20"/>
          <w:spacing w:val="2"/>
        </w:rPr>
        <w:t>pero existe </w:t>
      </w:r>
      <w:r>
        <w:rPr>
          <w:color w:val="231F20"/>
        </w:rPr>
        <w:t>un </w:t>
      </w:r>
      <w:r>
        <w:rPr>
          <w:color w:val="231F20"/>
          <w:spacing w:val="2"/>
        </w:rPr>
        <w:t>margen innegable </w:t>
      </w:r>
      <w:r>
        <w:rPr>
          <w:color w:val="231F20"/>
        </w:rPr>
        <w:t>de </w:t>
      </w:r>
      <w:r>
        <w:rPr>
          <w:color w:val="231F20"/>
          <w:spacing w:val="3"/>
        </w:rPr>
        <w:t>autonomía </w:t>
      </w:r>
      <w:r>
        <w:rPr>
          <w:color w:val="231F20"/>
          <w:spacing w:val="2"/>
        </w:rPr>
        <w:t>relativa </w:t>
      </w:r>
      <w:r>
        <w:rPr>
          <w:color w:val="231F20"/>
        </w:rPr>
        <w:t>que </w:t>
      </w:r>
      <w:r>
        <w:rPr>
          <w:color w:val="231F20"/>
          <w:spacing w:val="2"/>
        </w:rPr>
        <w:t>tiende </w:t>
      </w:r>
      <w:r>
        <w:rPr>
          <w:color w:val="231F20"/>
        </w:rPr>
        <w:t>a </w:t>
      </w:r>
      <w:r>
        <w:rPr>
          <w:color w:val="231F20"/>
          <w:spacing w:val="2"/>
        </w:rPr>
        <w:t>estar latente dada </w:t>
      </w:r>
      <w:r>
        <w:rPr>
          <w:color w:val="231F20"/>
        </w:rPr>
        <w:t>la </w:t>
      </w:r>
      <w:r>
        <w:rPr>
          <w:color w:val="231F20"/>
          <w:spacing w:val="2"/>
        </w:rPr>
        <w:t>ausencia </w:t>
      </w:r>
      <w:r>
        <w:rPr>
          <w:color w:val="231F20"/>
        </w:rPr>
        <w:t>de </w:t>
      </w:r>
      <w:r>
        <w:rPr>
          <w:color w:val="231F20"/>
          <w:spacing w:val="3"/>
        </w:rPr>
        <w:t>problematización </w:t>
      </w:r>
      <w:r>
        <w:rPr>
          <w:color w:val="231F20"/>
        </w:rPr>
        <w:t>en </w:t>
      </w:r>
      <w:r>
        <w:rPr>
          <w:color w:val="231F20"/>
          <w:spacing w:val="2"/>
        </w:rPr>
        <w:t>cada una </w:t>
      </w:r>
      <w:r>
        <w:rPr>
          <w:color w:val="231F20"/>
        </w:rPr>
        <w:t>de las </w:t>
      </w:r>
      <w:r>
        <w:rPr>
          <w:color w:val="231F20"/>
          <w:spacing w:val="2"/>
        </w:rPr>
        <w:t>esferas </w:t>
      </w:r>
      <w:r>
        <w:rPr>
          <w:color w:val="231F20"/>
        </w:rPr>
        <w:t>de </w:t>
      </w:r>
      <w:r>
        <w:rPr>
          <w:color w:val="231F20"/>
          <w:spacing w:val="2"/>
        </w:rPr>
        <w:t>actuación. </w:t>
      </w:r>
      <w:r>
        <w:rPr>
          <w:color w:val="231F20"/>
          <w:spacing w:val="3"/>
        </w:rPr>
        <w:t>Habermas </w:t>
      </w:r>
      <w:r>
        <w:rPr>
          <w:color w:val="231F20"/>
          <w:spacing w:val="2"/>
        </w:rPr>
        <w:t>plantea, </w:t>
      </w:r>
      <w:r>
        <w:rPr>
          <w:color w:val="231F20"/>
          <w:spacing w:val="3"/>
        </w:rPr>
        <w:t>como </w:t>
      </w:r>
      <w:r>
        <w:rPr>
          <w:color w:val="231F20"/>
        </w:rPr>
        <w:t>se </w:t>
      </w:r>
      <w:r>
        <w:rPr>
          <w:color w:val="231F20"/>
          <w:spacing w:val="2"/>
        </w:rPr>
        <w:t>vio, </w:t>
      </w:r>
      <w:r>
        <w:rPr>
          <w:color w:val="231F20"/>
        </w:rPr>
        <w:t>el </w:t>
      </w:r>
      <w:r>
        <w:rPr>
          <w:color w:val="231F20"/>
          <w:spacing w:val="3"/>
        </w:rPr>
        <w:t>Mundo </w:t>
      </w:r>
      <w:r>
        <w:rPr>
          <w:color w:val="231F20"/>
        </w:rPr>
        <w:t>de la </w:t>
      </w:r>
      <w:r>
        <w:rPr>
          <w:color w:val="231F20"/>
          <w:spacing w:val="2"/>
        </w:rPr>
        <w:t>Vida </w:t>
      </w:r>
      <w:r>
        <w:rPr>
          <w:color w:val="231F20"/>
          <w:spacing w:val="3"/>
        </w:rPr>
        <w:t>compuesto </w:t>
      </w:r>
      <w:r>
        <w:rPr>
          <w:color w:val="231F20"/>
          <w:spacing w:val="2"/>
        </w:rPr>
        <w:t>por los significados </w:t>
      </w:r>
      <w:r>
        <w:rPr>
          <w:color w:val="231F20"/>
        </w:rPr>
        <w:t>de </w:t>
      </w:r>
      <w:r>
        <w:rPr>
          <w:color w:val="231F20"/>
          <w:spacing w:val="2"/>
        </w:rPr>
        <w:t>aquello </w:t>
      </w:r>
      <w:r>
        <w:rPr>
          <w:color w:val="231F20"/>
        </w:rPr>
        <w:t>que se dice en las </w:t>
      </w:r>
      <w:r>
        <w:rPr>
          <w:color w:val="231F20"/>
          <w:spacing w:val="2"/>
        </w:rPr>
        <w:t>interacciones lingüísticas. </w:t>
      </w:r>
      <w:r>
        <w:rPr>
          <w:color w:val="231F20"/>
          <w:spacing w:val="3"/>
        </w:rPr>
        <w:t>Mucho </w:t>
      </w:r>
      <w:r>
        <w:rPr>
          <w:color w:val="231F20"/>
        </w:rPr>
        <w:t>de lo </w:t>
      </w:r>
      <w:r>
        <w:rPr>
          <w:color w:val="231F20"/>
          <w:spacing w:val="2"/>
        </w:rPr>
        <w:t>que </w:t>
      </w:r>
      <w:r>
        <w:rPr>
          <w:color w:val="231F20"/>
        </w:rPr>
        <w:t>se </w:t>
      </w:r>
      <w:r>
        <w:rPr>
          <w:color w:val="231F20"/>
          <w:spacing w:val="2"/>
        </w:rPr>
        <w:t>dice </w:t>
      </w:r>
      <w:r>
        <w:rPr>
          <w:color w:val="231F20"/>
          <w:spacing w:val="3"/>
        </w:rPr>
        <w:t>permanece </w:t>
      </w:r>
      <w:r>
        <w:rPr>
          <w:color w:val="231F20"/>
          <w:spacing w:val="2"/>
        </w:rPr>
        <w:t>atematizado </w:t>
      </w:r>
      <w:r>
        <w:rPr>
          <w:color w:val="231F20"/>
        </w:rPr>
        <w:t>y </w:t>
      </w:r>
      <w:r>
        <w:rPr>
          <w:color w:val="231F20"/>
          <w:spacing w:val="3"/>
        </w:rPr>
        <w:t>aproblemático; </w:t>
      </w:r>
      <w:r>
        <w:rPr>
          <w:color w:val="231F20"/>
        </w:rPr>
        <w:t>se </w:t>
      </w:r>
      <w:r>
        <w:rPr>
          <w:color w:val="231F20"/>
          <w:spacing w:val="2"/>
        </w:rPr>
        <w:t>dan por supuestas imágenes cuya </w:t>
      </w:r>
      <w:r>
        <w:rPr>
          <w:color w:val="231F20"/>
          <w:spacing w:val="3"/>
        </w:rPr>
        <w:t>racionalidad </w:t>
      </w:r>
      <w:r>
        <w:rPr>
          <w:color w:val="231F20"/>
          <w:spacing w:val="2"/>
        </w:rPr>
        <w:t>debe   </w:t>
      </w:r>
      <w:r>
        <w:rPr>
          <w:color w:val="231F20"/>
          <w:spacing w:val="3"/>
        </w:rPr>
        <w:t>ponerse  </w:t>
      </w:r>
      <w:r>
        <w:rPr>
          <w:color w:val="231F20"/>
        </w:rPr>
        <w:t>en   </w:t>
      </w:r>
      <w:r>
        <w:rPr>
          <w:color w:val="231F20"/>
          <w:spacing w:val="3"/>
        </w:rPr>
        <w:t>entredicho.  </w:t>
      </w:r>
      <w:r>
        <w:rPr>
          <w:color w:val="231F20"/>
        </w:rPr>
        <w:t>Es   </w:t>
      </w:r>
      <w:r>
        <w:rPr>
          <w:color w:val="231F20"/>
          <w:spacing w:val="3"/>
        </w:rPr>
        <w:t>postura  </w:t>
      </w:r>
      <w:r>
        <w:rPr>
          <w:color w:val="231F20"/>
        </w:rPr>
        <w:t>de   </w:t>
      </w:r>
      <w:r>
        <w:rPr>
          <w:color w:val="231F20"/>
          <w:spacing w:val="2"/>
        </w:rPr>
        <w:t>este   trabajo</w:t>
      </w:r>
      <w:r>
        <w:rPr>
          <w:color w:val="231F20"/>
          <w:spacing w:val="40"/>
        </w:rPr>
        <w:t> </w:t>
      </w:r>
      <w:r>
        <w:rPr>
          <w:color w:val="231F20"/>
          <w:spacing w:val="2"/>
        </w:rPr>
        <w:t>que</w:t>
      </w:r>
    </w:p>
    <w:p>
      <w:pPr>
        <w:spacing w:after="0" w:line="247" w:lineRule="auto"/>
        <w:jc w:val="both"/>
        <w:sectPr>
          <w:headerReference w:type="default" r:id="rId576"/>
          <w:footerReference w:type="default" r:id="rId577"/>
          <w:pgSz w:w="7830" w:h="11910"/>
          <w:pgMar w:header="0" w:footer="424" w:top="500" w:bottom="620" w:left="920" w:right="900"/>
          <w:pgNumType w:start="254"/>
        </w:sectPr>
      </w:pPr>
    </w:p>
    <w:p>
      <w:pPr>
        <w:spacing w:before="43"/>
        <w:ind w:left="1463" w:right="121" w:firstLine="0"/>
        <w:jc w:val="left"/>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spacing w:before="10"/>
        <w:rPr>
          <w:rFonts w:ascii="Cambria"/>
          <w:sz w:val="22"/>
        </w:rPr>
      </w:pPr>
    </w:p>
    <w:p>
      <w:pPr>
        <w:pStyle w:val="BodyText"/>
        <w:spacing w:line="244" w:lineRule="auto"/>
        <w:ind w:left="102" w:right="115"/>
        <w:jc w:val="both"/>
        <w:rPr>
          <w:rFonts w:ascii="Cambria" w:hAnsi="Cambria"/>
        </w:rPr>
      </w:pPr>
      <w:r>
        <w:rPr>
          <w:rFonts w:ascii="Cambria" w:hAnsi="Cambria"/>
          <w:color w:val="231F20"/>
          <w:spacing w:val="3"/>
        </w:rPr>
        <w:t>justamente </w:t>
      </w:r>
      <w:r>
        <w:rPr>
          <w:rFonts w:ascii="Cambria" w:hAnsi="Cambria"/>
          <w:color w:val="231F20"/>
          <w:spacing w:val="2"/>
        </w:rPr>
        <w:t>debe </w:t>
      </w:r>
      <w:r>
        <w:rPr>
          <w:rFonts w:ascii="Cambria" w:hAnsi="Cambria"/>
          <w:color w:val="231F20"/>
          <w:spacing w:val="3"/>
        </w:rPr>
        <w:t>ponerse </w:t>
      </w:r>
      <w:r>
        <w:rPr>
          <w:rFonts w:ascii="Cambria" w:hAnsi="Cambria"/>
          <w:color w:val="231F20"/>
        </w:rPr>
        <w:t>en </w:t>
      </w:r>
      <w:r>
        <w:rPr>
          <w:rFonts w:ascii="Cambria" w:hAnsi="Cambria"/>
          <w:color w:val="231F20"/>
          <w:spacing w:val="2"/>
        </w:rPr>
        <w:t>relieve </w:t>
      </w:r>
      <w:r>
        <w:rPr>
          <w:rFonts w:ascii="Cambria" w:hAnsi="Cambria"/>
          <w:color w:val="231F20"/>
        </w:rPr>
        <w:t>el </w:t>
      </w:r>
      <w:r>
        <w:rPr>
          <w:rFonts w:ascii="Cambria" w:hAnsi="Cambria"/>
          <w:color w:val="231F20"/>
          <w:spacing w:val="2"/>
        </w:rPr>
        <w:t>sentido: </w:t>
      </w:r>
      <w:r>
        <w:rPr>
          <w:rFonts w:ascii="Cambria" w:hAnsi="Cambria"/>
          <w:color w:val="231F20"/>
        </w:rPr>
        <w:t>lo que se da </w:t>
      </w:r>
      <w:r>
        <w:rPr>
          <w:rFonts w:ascii="Cambria" w:hAnsi="Cambria"/>
          <w:color w:val="231F20"/>
          <w:spacing w:val="2"/>
        </w:rPr>
        <w:t>por supuesto</w:t>
      </w:r>
      <w:r>
        <w:rPr>
          <w:rFonts w:ascii="Cambria" w:hAnsi="Cambria"/>
          <w:color w:val="231F20"/>
          <w:spacing w:val="-20"/>
        </w:rPr>
        <w:t> </w:t>
      </w:r>
      <w:r>
        <w:rPr>
          <w:rFonts w:ascii="Cambria" w:hAnsi="Cambria"/>
          <w:color w:val="231F20"/>
          <w:spacing w:val="2"/>
        </w:rPr>
        <w:t>ante</w:t>
      </w:r>
      <w:r>
        <w:rPr>
          <w:rFonts w:ascii="Cambria" w:hAnsi="Cambria"/>
          <w:color w:val="231F20"/>
          <w:spacing w:val="-20"/>
        </w:rPr>
        <w:t> </w:t>
      </w:r>
      <w:r>
        <w:rPr>
          <w:rFonts w:ascii="Cambria" w:hAnsi="Cambria"/>
          <w:color w:val="231F20"/>
          <w:spacing w:val="2"/>
        </w:rPr>
        <w:t>uno</w:t>
      </w:r>
      <w:r>
        <w:rPr>
          <w:rFonts w:ascii="Cambria" w:hAnsi="Cambria"/>
          <w:color w:val="231F20"/>
          <w:spacing w:val="-20"/>
        </w:rPr>
        <w:t> </w:t>
      </w:r>
      <w:r>
        <w:rPr>
          <w:rFonts w:ascii="Cambria" w:hAnsi="Cambria"/>
          <w:color w:val="231F20"/>
          <w:spacing w:val="3"/>
        </w:rPr>
        <w:t>mismo,</w:t>
      </w:r>
      <w:r>
        <w:rPr>
          <w:rFonts w:ascii="Cambria" w:hAnsi="Cambria"/>
          <w:color w:val="231F20"/>
          <w:spacing w:val="-21"/>
        </w:rPr>
        <w:t> </w:t>
      </w:r>
      <w:r>
        <w:rPr>
          <w:rFonts w:ascii="Cambria" w:hAnsi="Cambria"/>
          <w:color w:val="231F20"/>
        </w:rPr>
        <w:t>en</w:t>
      </w:r>
      <w:r>
        <w:rPr>
          <w:rFonts w:ascii="Cambria" w:hAnsi="Cambria"/>
          <w:color w:val="231F20"/>
          <w:spacing w:val="-20"/>
        </w:rPr>
        <w:t> </w:t>
      </w:r>
      <w:r>
        <w:rPr>
          <w:rFonts w:ascii="Cambria" w:hAnsi="Cambria"/>
          <w:color w:val="231F20"/>
        </w:rPr>
        <w:t>el</w:t>
      </w:r>
      <w:r>
        <w:rPr>
          <w:rFonts w:ascii="Cambria" w:hAnsi="Cambria"/>
          <w:color w:val="231F20"/>
          <w:spacing w:val="-21"/>
        </w:rPr>
        <w:t> </w:t>
      </w:r>
      <w:r>
        <w:rPr>
          <w:rFonts w:ascii="Cambria" w:hAnsi="Cambria"/>
          <w:color w:val="231F20"/>
          <w:spacing w:val="2"/>
        </w:rPr>
        <w:t>aula,</w:t>
      </w:r>
      <w:r>
        <w:rPr>
          <w:rFonts w:ascii="Cambria" w:hAnsi="Cambria"/>
          <w:color w:val="231F20"/>
          <w:spacing w:val="-21"/>
        </w:rPr>
        <w:t> </w:t>
      </w:r>
      <w:r>
        <w:rPr>
          <w:rFonts w:ascii="Cambria" w:hAnsi="Cambria"/>
          <w:color w:val="231F20"/>
        </w:rPr>
        <w:t>en</w:t>
      </w:r>
      <w:r>
        <w:rPr>
          <w:rFonts w:ascii="Cambria" w:hAnsi="Cambria"/>
          <w:color w:val="231F20"/>
          <w:spacing w:val="-20"/>
        </w:rPr>
        <w:t> </w:t>
      </w:r>
      <w:r>
        <w:rPr>
          <w:rFonts w:ascii="Cambria" w:hAnsi="Cambria"/>
          <w:color w:val="231F20"/>
        </w:rPr>
        <w:t>la</w:t>
      </w:r>
      <w:r>
        <w:rPr>
          <w:rFonts w:ascii="Cambria" w:hAnsi="Cambria"/>
          <w:color w:val="231F20"/>
          <w:spacing w:val="-21"/>
        </w:rPr>
        <w:t> </w:t>
      </w:r>
      <w:r>
        <w:rPr>
          <w:rFonts w:ascii="Cambria" w:hAnsi="Cambria"/>
          <w:color w:val="231F20"/>
          <w:spacing w:val="3"/>
        </w:rPr>
        <w:t>comunidad</w:t>
      </w:r>
      <w:r>
        <w:rPr>
          <w:rFonts w:ascii="Cambria" w:hAnsi="Cambria"/>
          <w:color w:val="231F20"/>
          <w:spacing w:val="-20"/>
        </w:rPr>
        <w:t> </w:t>
      </w:r>
      <w:r>
        <w:rPr>
          <w:rFonts w:ascii="Cambria" w:hAnsi="Cambria"/>
          <w:color w:val="231F20"/>
          <w:spacing w:val="2"/>
        </w:rPr>
        <w:t>escolar</w:t>
      </w:r>
      <w:r>
        <w:rPr>
          <w:rFonts w:ascii="Cambria" w:hAnsi="Cambria"/>
          <w:color w:val="231F20"/>
          <w:spacing w:val="-21"/>
        </w:rPr>
        <w:t> </w:t>
      </w:r>
      <w:r>
        <w:rPr>
          <w:rFonts w:ascii="Cambria" w:hAnsi="Cambria"/>
          <w:color w:val="231F20"/>
        </w:rPr>
        <w:t>y</w:t>
      </w:r>
      <w:r>
        <w:rPr>
          <w:rFonts w:ascii="Cambria" w:hAnsi="Cambria"/>
          <w:color w:val="231F20"/>
          <w:spacing w:val="-20"/>
        </w:rPr>
        <w:t> </w:t>
      </w:r>
      <w:r>
        <w:rPr>
          <w:rFonts w:ascii="Cambria" w:hAnsi="Cambria"/>
          <w:color w:val="231F20"/>
          <w:spacing w:val="3"/>
        </w:rPr>
        <w:t>en </w:t>
      </w:r>
      <w:r>
        <w:rPr>
          <w:rFonts w:ascii="Cambria" w:hAnsi="Cambria"/>
          <w:color w:val="231F20"/>
        </w:rPr>
        <w:t>las </w:t>
      </w:r>
      <w:r>
        <w:rPr>
          <w:rFonts w:ascii="Cambria" w:hAnsi="Cambria"/>
          <w:color w:val="231F20"/>
          <w:spacing w:val="3"/>
        </w:rPr>
        <w:t>opiniones </w:t>
      </w:r>
      <w:r>
        <w:rPr>
          <w:rFonts w:ascii="Cambria" w:hAnsi="Cambria"/>
          <w:color w:val="231F20"/>
        </w:rPr>
        <w:t>y </w:t>
      </w:r>
      <w:r>
        <w:rPr>
          <w:rFonts w:ascii="Cambria" w:hAnsi="Cambria"/>
          <w:color w:val="231F20"/>
          <w:spacing w:val="3"/>
        </w:rPr>
        <w:t>posturas </w:t>
      </w:r>
      <w:r>
        <w:rPr>
          <w:rFonts w:ascii="Cambria" w:hAnsi="Cambria"/>
          <w:color w:val="231F20"/>
          <w:spacing w:val="2"/>
        </w:rPr>
        <w:t>frente </w:t>
      </w:r>
      <w:r>
        <w:rPr>
          <w:rFonts w:ascii="Cambria" w:hAnsi="Cambria"/>
          <w:color w:val="231F20"/>
        </w:rPr>
        <w:t>al </w:t>
      </w:r>
      <w:r>
        <w:rPr>
          <w:rFonts w:ascii="Cambria" w:hAnsi="Cambria"/>
          <w:color w:val="231F20"/>
          <w:spacing w:val="2"/>
        </w:rPr>
        <w:t>sistema educativo </w:t>
      </w:r>
      <w:r>
        <w:rPr>
          <w:rFonts w:ascii="Cambria" w:hAnsi="Cambria"/>
          <w:color w:val="231F20"/>
        </w:rPr>
        <w:t>y </w:t>
      </w:r>
      <w:r>
        <w:rPr>
          <w:rFonts w:ascii="Cambria" w:hAnsi="Cambria"/>
          <w:color w:val="231F20"/>
          <w:spacing w:val="2"/>
        </w:rPr>
        <w:t>frente </w:t>
      </w:r>
      <w:r>
        <w:rPr>
          <w:rFonts w:ascii="Cambria" w:hAnsi="Cambria"/>
          <w:color w:val="231F20"/>
          <w:spacing w:val="3"/>
        </w:rPr>
        <w:t>al </w:t>
      </w:r>
      <w:r>
        <w:rPr>
          <w:rFonts w:ascii="Cambria" w:hAnsi="Cambria"/>
          <w:color w:val="231F20"/>
          <w:spacing w:val="2"/>
        </w:rPr>
        <w:t>mundo.</w:t>
      </w:r>
      <w:r>
        <w:rPr>
          <w:rFonts w:ascii="Cambria" w:hAnsi="Cambria"/>
          <w:color w:val="231F20"/>
          <w:spacing w:val="-14"/>
        </w:rPr>
        <w:t> </w:t>
      </w:r>
      <w:r>
        <w:rPr>
          <w:rFonts w:ascii="Cambria" w:hAnsi="Cambria"/>
          <w:color w:val="231F20"/>
        </w:rPr>
        <w:t>La</w:t>
      </w:r>
      <w:r>
        <w:rPr>
          <w:rFonts w:ascii="Cambria" w:hAnsi="Cambria"/>
          <w:color w:val="231F20"/>
          <w:spacing w:val="-13"/>
        </w:rPr>
        <w:t> </w:t>
      </w:r>
      <w:r>
        <w:rPr>
          <w:rFonts w:ascii="Cambria" w:hAnsi="Cambria"/>
          <w:color w:val="231F20"/>
          <w:spacing w:val="2"/>
        </w:rPr>
        <w:t>violencia</w:t>
      </w:r>
      <w:r>
        <w:rPr>
          <w:rFonts w:ascii="Cambria" w:hAnsi="Cambria"/>
          <w:color w:val="231F20"/>
          <w:spacing w:val="-13"/>
        </w:rPr>
        <w:t> </w:t>
      </w:r>
      <w:r>
        <w:rPr>
          <w:rFonts w:ascii="Cambria" w:hAnsi="Cambria"/>
          <w:color w:val="231F20"/>
        </w:rPr>
        <w:t>en</w:t>
      </w:r>
      <w:r>
        <w:rPr>
          <w:rFonts w:ascii="Cambria" w:hAnsi="Cambria"/>
          <w:color w:val="231F20"/>
          <w:spacing w:val="-13"/>
        </w:rPr>
        <w:t> </w:t>
      </w:r>
      <w:r>
        <w:rPr>
          <w:rFonts w:ascii="Cambria" w:hAnsi="Cambria"/>
          <w:color w:val="231F20"/>
          <w:spacing w:val="2"/>
        </w:rPr>
        <w:t>efecto</w:t>
      </w:r>
      <w:r>
        <w:rPr>
          <w:rFonts w:ascii="Cambria" w:hAnsi="Cambria"/>
          <w:color w:val="231F20"/>
          <w:spacing w:val="-13"/>
        </w:rPr>
        <w:t> </w:t>
      </w:r>
      <w:r>
        <w:rPr>
          <w:rFonts w:ascii="Cambria" w:hAnsi="Cambria"/>
          <w:color w:val="231F20"/>
        </w:rPr>
        <w:t>se</w:t>
      </w:r>
      <w:r>
        <w:rPr>
          <w:rFonts w:ascii="Cambria" w:hAnsi="Cambria"/>
          <w:color w:val="231F20"/>
          <w:spacing w:val="-13"/>
        </w:rPr>
        <w:t> </w:t>
      </w:r>
      <w:r>
        <w:rPr>
          <w:rFonts w:ascii="Cambria" w:hAnsi="Cambria"/>
          <w:color w:val="231F20"/>
        </w:rPr>
        <w:t>da</w:t>
      </w:r>
      <w:r>
        <w:rPr>
          <w:rFonts w:ascii="Cambria" w:hAnsi="Cambria"/>
          <w:color w:val="231F20"/>
          <w:spacing w:val="-13"/>
        </w:rPr>
        <w:t> </w:t>
      </w:r>
      <w:r>
        <w:rPr>
          <w:rFonts w:ascii="Cambria" w:hAnsi="Cambria"/>
          <w:color w:val="231F20"/>
        </w:rPr>
        <w:t>en</w:t>
      </w:r>
      <w:r>
        <w:rPr>
          <w:rFonts w:ascii="Cambria" w:hAnsi="Cambria"/>
          <w:color w:val="231F20"/>
          <w:spacing w:val="-13"/>
        </w:rPr>
        <w:t> </w:t>
      </w:r>
      <w:r>
        <w:rPr>
          <w:rFonts w:ascii="Cambria" w:hAnsi="Cambria"/>
          <w:color w:val="231F20"/>
        </w:rPr>
        <w:t>las</w:t>
      </w:r>
      <w:r>
        <w:rPr>
          <w:rFonts w:ascii="Cambria" w:hAnsi="Cambria"/>
          <w:color w:val="231F20"/>
          <w:spacing w:val="-13"/>
        </w:rPr>
        <w:t> </w:t>
      </w:r>
      <w:r>
        <w:rPr>
          <w:rFonts w:ascii="Cambria" w:hAnsi="Cambria"/>
          <w:color w:val="231F20"/>
          <w:spacing w:val="2"/>
        </w:rPr>
        <w:t>aulas</w:t>
      </w:r>
      <w:r>
        <w:rPr>
          <w:rFonts w:ascii="Cambria" w:hAnsi="Cambria"/>
          <w:color w:val="231F20"/>
          <w:spacing w:val="-13"/>
        </w:rPr>
        <w:t> </w:t>
      </w:r>
      <w:r>
        <w:rPr>
          <w:rFonts w:ascii="Cambria" w:hAnsi="Cambria"/>
          <w:color w:val="231F20"/>
        </w:rPr>
        <w:t>de</w:t>
      </w:r>
      <w:r>
        <w:rPr>
          <w:rFonts w:ascii="Cambria" w:hAnsi="Cambria"/>
          <w:color w:val="231F20"/>
          <w:spacing w:val="-13"/>
        </w:rPr>
        <w:t> </w:t>
      </w:r>
      <w:r>
        <w:rPr>
          <w:rFonts w:ascii="Cambria" w:hAnsi="Cambria"/>
          <w:color w:val="231F20"/>
          <w:spacing w:val="2"/>
        </w:rPr>
        <w:t>nivel</w:t>
      </w:r>
      <w:r>
        <w:rPr>
          <w:rFonts w:ascii="Cambria" w:hAnsi="Cambria"/>
          <w:color w:val="231F20"/>
          <w:spacing w:val="-13"/>
        </w:rPr>
        <w:t> </w:t>
      </w:r>
      <w:r>
        <w:rPr>
          <w:rFonts w:ascii="Cambria" w:hAnsi="Cambria"/>
          <w:color w:val="231F20"/>
          <w:spacing w:val="2"/>
        </w:rPr>
        <w:t>superior, </w:t>
      </w:r>
      <w:r>
        <w:rPr>
          <w:rFonts w:ascii="Cambria" w:hAnsi="Cambria"/>
          <w:color w:val="231F20"/>
        </w:rPr>
        <w:t>y es </w:t>
      </w:r>
      <w:r>
        <w:rPr>
          <w:rFonts w:ascii="Cambria" w:hAnsi="Cambria"/>
          <w:color w:val="231F20"/>
          <w:spacing w:val="2"/>
        </w:rPr>
        <w:t>una expresión </w:t>
      </w:r>
      <w:r>
        <w:rPr>
          <w:rFonts w:ascii="Cambria" w:hAnsi="Cambria"/>
          <w:color w:val="231F20"/>
        </w:rPr>
        <w:t>de la </w:t>
      </w:r>
      <w:r>
        <w:rPr>
          <w:rFonts w:ascii="Cambria" w:hAnsi="Cambria"/>
          <w:color w:val="231F20"/>
          <w:spacing w:val="2"/>
        </w:rPr>
        <w:t>colonización del Mundo </w:t>
      </w:r>
      <w:r>
        <w:rPr>
          <w:rFonts w:ascii="Cambria" w:hAnsi="Cambria"/>
          <w:color w:val="231F20"/>
        </w:rPr>
        <w:t>de la </w:t>
      </w:r>
      <w:r>
        <w:rPr>
          <w:rFonts w:ascii="Cambria" w:hAnsi="Cambria"/>
          <w:color w:val="231F20"/>
          <w:spacing w:val="2"/>
        </w:rPr>
        <w:t>Vida </w:t>
      </w:r>
      <w:r>
        <w:rPr>
          <w:rFonts w:ascii="Cambria" w:hAnsi="Cambria"/>
          <w:color w:val="231F20"/>
        </w:rPr>
        <w:t>en la </w:t>
      </w:r>
      <w:r>
        <w:rPr>
          <w:rFonts w:ascii="Cambria" w:hAnsi="Cambria"/>
          <w:color w:val="231F20"/>
          <w:spacing w:val="2"/>
          <w:w w:val="95"/>
        </w:rPr>
        <w:t>escuela: </w:t>
      </w:r>
      <w:r>
        <w:rPr>
          <w:rFonts w:ascii="Cambria" w:hAnsi="Cambria"/>
          <w:color w:val="231F20"/>
          <w:w w:val="95"/>
        </w:rPr>
        <w:t>se </w:t>
      </w:r>
      <w:r>
        <w:rPr>
          <w:rFonts w:ascii="Cambria" w:hAnsi="Cambria"/>
          <w:color w:val="231F20"/>
          <w:spacing w:val="2"/>
          <w:w w:val="95"/>
        </w:rPr>
        <w:t>cuelan </w:t>
      </w:r>
      <w:r>
        <w:rPr>
          <w:rFonts w:ascii="Cambria" w:hAnsi="Cambria"/>
          <w:color w:val="231F20"/>
          <w:w w:val="95"/>
        </w:rPr>
        <w:t>en el </w:t>
      </w:r>
      <w:r>
        <w:rPr>
          <w:rFonts w:ascii="Cambria" w:hAnsi="Cambria"/>
          <w:color w:val="231F20"/>
          <w:spacing w:val="2"/>
          <w:w w:val="95"/>
        </w:rPr>
        <w:t>ámbito escolar actitudes, </w:t>
      </w:r>
      <w:r>
        <w:rPr>
          <w:rFonts w:ascii="Cambria" w:hAnsi="Cambria"/>
          <w:color w:val="231F20"/>
          <w:spacing w:val="3"/>
          <w:w w:val="95"/>
        </w:rPr>
        <w:t>normas </w:t>
      </w:r>
      <w:r>
        <w:rPr>
          <w:rFonts w:ascii="Cambria" w:hAnsi="Cambria"/>
          <w:color w:val="231F20"/>
          <w:w w:val="95"/>
        </w:rPr>
        <w:t>de </w:t>
      </w:r>
      <w:r>
        <w:rPr>
          <w:rFonts w:ascii="Cambria" w:hAnsi="Cambria"/>
          <w:color w:val="231F20"/>
          <w:spacing w:val="2"/>
          <w:w w:val="95"/>
        </w:rPr>
        <w:t>acción </w:t>
      </w:r>
      <w:r>
        <w:rPr>
          <w:rFonts w:ascii="Cambria" w:hAnsi="Cambria"/>
          <w:color w:val="231F20"/>
          <w:w w:val="95"/>
        </w:rPr>
        <w:t>y </w:t>
      </w:r>
      <w:r>
        <w:rPr>
          <w:rFonts w:ascii="Cambria" w:hAnsi="Cambria"/>
          <w:color w:val="231F20"/>
          <w:spacing w:val="3"/>
          <w:w w:val="95"/>
        </w:rPr>
        <w:t>elementos </w:t>
      </w:r>
      <w:r>
        <w:rPr>
          <w:rFonts w:ascii="Cambria" w:hAnsi="Cambria"/>
          <w:color w:val="231F20"/>
          <w:spacing w:val="2"/>
          <w:w w:val="95"/>
        </w:rPr>
        <w:t>culturales </w:t>
      </w:r>
      <w:r>
        <w:rPr>
          <w:rFonts w:ascii="Cambria" w:hAnsi="Cambria"/>
          <w:color w:val="231F20"/>
          <w:spacing w:val="3"/>
          <w:w w:val="95"/>
        </w:rPr>
        <w:t>desequilibrados </w:t>
      </w:r>
      <w:r>
        <w:rPr>
          <w:rFonts w:ascii="Cambria" w:hAnsi="Cambria"/>
          <w:color w:val="231F20"/>
          <w:spacing w:val="2"/>
          <w:w w:val="95"/>
        </w:rPr>
        <w:t>cuya patología </w:t>
      </w:r>
      <w:r>
        <w:rPr>
          <w:rFonts w:ascii="Cambria" w:hAnsi="Cambria"/>
          <w:color w:val="231F20"/>
          <w:w w:val="95"/>
        </w:rPr>
        <w:t>se </w:t>
      </w:r>
      <w:r>
        <w:rPr>
          <w:rFonts w:ascii="Cambria" w:hAnsi="Cambria"/>
          <w:color w:val="231F20"/>
          <w:spacing w:val="2"/>
          <w:w w:val="95"/>
        </w:rPr>
        <w:t>expresa </w:t>
      </w:r>
      <w:r>
        <w:rPr>
          <w:rFonts w:ascii="Cambria" w:hAnsi="Cambria"/>
          <w:color w:val="231F20"/>
          <w:w w:val="95"/>
        </w:rPr>
        <w:t>de</w:t>
      </w:r>
      <w:r>
        <w:rPr>
          <w:rFonts w:ascii="Cambria" w:hAnsi="Cambria"/>
          <w:color w:val="231F20"/>
          <w:spacing w:val="-3"/>
          <w:w w:val="95"/>
        </w:rPr>
        <w:t> </w:t>
      </w:r>
      <w:r>
        <w:rPr>
          <w:rFonts w:ascii="Cambria" w:hAnsi="Cambria"/>
          <w:color w:val="231F20"/>
          <w:spacing w:val="3"/>
          <w:w w:val="95"/>
        </w:rPr>
        <w:t>manera</w:t>
      </w:r>
      <w:r>
        <w:rPr>
          <w:rFonts w:ascii="Cambria" w:hAnsi="Cambria"/>
          <w:color w:val="231F20"/>
          <w:spacing w:val="-3"/>
          <w:w w:val="95"/>
        </w:rPr>
        <w:t> </w:t>
      </w:r>
      <w:r>
        <w:rPr>
          <w:rFonts w:ascii="Cambria" w:hAnsi="Cambria"/>
          <w:color w:val="231F20"/>
          <w:spacing w:val="2"/>
          <w:w w:val="95"/>
        </w:rPr>
        <w:t>violenta,</w:t>
      </w:r>
      <w:r>
        <w:rPr>
          <w:rFonts w:ascii="Cambria" w:hAnsi="Cambria"/>
          <w:color w:val="231F20"/>
          <w:spacing w:val="-4"/>
          <w:w w:val="95"/>
        </w:rPr>
        <w:t> </w:t>
      </w:r>
      <w:r>
        <w:rPr>
          <w:rFonts w:ascii="Cambria" w:hAnsi="Cambria"/>
          <w:color w:val="231F20"/>
          <w:spacing w:val="2"/>
          <w:w w:val="95"/>
        </w:rPr>
        <w:t>llegando</w:t>
      </w:r>
      <w:r>
        <w:rPr>
          <w:rFonts w:ascii="Cambria" w:hAnsi="Cambria"/>
          <w:color w:val="231F20"/>
          <w:spacing w:val="-3"/>
          <w:w w:val="95"/>
        </w:rPr>
        <w:t> </w:t>
      </w:r>
      <w:r>
        <w:rPr>
          <w:rFonts w:ascii="Cambria" w:hAnsi="Cambria"/>
          <w:color w:val="231F20"/>
          <w:w w:val="95"/>
        </w:rPr>
        <w:t>a</w:t>
      </w:r>
      <w:r>
        <w:rPr>
          <w:rFonts w:ascii="Cambria" w:hAnsi="Cambria"/>
          <w:color w:val="231F20"/>
          <w:spacing w:val="-3"/>
          <w:w w:val="95"/>
        </w:rPr>
        <w:t> </w:t>
      </w:r>
      <w:r>
        <w:rPr>
          <w:rFonts w:ascii="Cambria" w:hAnsi="Cambria"/>
          <w:color w:val="231F20"/>
          <w:spacing w:val="2"/>
          <w:w w:val="95"/>
        </w:rPr>
        <w:t>veces</w:t>
      </w:r>
      <w:r>
        <w:rPr>
          <w:rFonts w:ascii="Cambria" w:hAnsi="Cambria"/>
          <w:color w:val="231F20"/>
          <w:spacing w:val="-3"/>
          <w:w w:val="95"/>
        </w:rPr>
        <w:t> </w:t>
      </w:r>
      <w:r>
        <w:rPr>
          <w:rFonts w:ascii="Cambria" w:hAnsi="Cambria"/>
          <w:color w:val="231F20"/>
          <w:w w:val="95"/>
        </w:rPr>
        <w:t>a</w:t>
      </w:r>
      <w:r>
        <w:rPr>
          <w:rFonts w:ascii="Cambria" w:hAnsi="Cambria"/>
          <w:color w:val="231F20"/>
          <w:spacing w:val="-3"/>
          <w:w w:val="95"/>
        </w:rPr>
        <w:t> </w:t>
      </w:r>
      <w:r>
        <w:rPr>
          <w:rFonts w:ascii="Cambria" w:hAnsi="Cambria"/>
          <w:color w:val="231F20"/>
          <w:spacing w:val="3"/>
          <w:w w:val="95"/>
        </w:rPr>
        <w:t>mostrarse</w:t>
      </w:r>
      <w:r>
        <w:rPr>
          <w:rFonts w:ascii="Cambria" w:hAnsi="Cambria"/>
          <w:color w:val="231F20"/>
          <w:spacing w:val="-3"/>
          <w:w w:val="95"/>
        </w:rPr>
        <w:t> </w:t>
      </w:r>
      <w:r>
        <w:rPr>
          <w:rFonts w:ascii="Cambria" w:hAnsi="Cambria"/>
          <w:color w:val="231F20"/>
          <w:spacing w:val="3"/>
          <w:w w:val="95"/>
        </w:rPr>
        <w:t>como</w:t>
      </w:r>
      <w:r>
        <w:rPr>
          <w:rFonts w:ascii="Cambria" w:hAnsi="Cambria"/>
          <w:color w:val="231F20"/>
          <w:spacing w:val="-3"/>
          <w:w w:val="95"/>
        </w:rPr>
        <w:t> </w:t>
      </w:r>
      <w:r>
        <w:rPr>
          <w:rFonts w:ascii="Cambria" w:hAnsi="Cambria"/>
          <w:color w:val="231F20"/>
          <w:spacing w:val="3"/>
          <w:w w:val="95"/>
        </w:rPr>
        <w:t>represalias </w:t>
      </w:r>
      <w:r>
        <w:rPr>
          <w:rFonts w:ascii="Cambria" w:hAnsi="Cambria"/>
          <w:color w:val="231F20"/>
          <w:spacing w:val="2"/>
          <w:w w:val="95"/>
        </w:rPr>
        <w:t>entre</w:t>
      </w:r>
      <w:r>
        <w:rPr>
          <w:rFonts w:ascii="Cambria" w:hAnsi="Cambria"/>
          <w:color w:val="231F20"/>
          <w:spacing w:val="-13"/>
          <w:w w:val="95"/>
        </w:rPr>
        <w:t> </w:t>
      </w:r>
      <w:r>
        <w:rPr>
          <w:rFonts w:ascii="Cambria" w:hAnsi="Cambria"/>
          <w:color w:val="231F20"/>
          <w:spacing w:val="3"/>
          <w:w w:val="95"/>
        </w:rPr>
        <w:t>profesores</w:t>
      </w:r>
      <w:r>
        <w:rPr>
          <w:rFonts w:ascii="Cambria" w:hAnsi="Cambria"/>
          <w:color w:val="231F20"/>
          <w:spacing w:val="-13"/>
          <w:w w:val="95"/>
        </w:rPr>
        <w:t> </w:t>
      </w:r>
      <w:r>
        <w:rPr>
          <w:rFonts w:ascii="Cambria" w:hAnsi="Cambria"/>
          <w:color w:val="231F20"/>
          <w:w w:val="95"/>
        </w:rPr>
        <w:t>y</w:t>
      </w:r>
      <w:r>
        <w:rPr>
          <w:rFonts w:ascii="Cambria" w:hAnsi="Cambria"/>
          <w:color w:val="231F20"/>
          <w:spacing w:val="-13"/>
          <w:w w:val="95"/>
        </w:rPr>
        <w:t> </w:t>
      </w:r>
      <w:r>
        <w:rPr>
          <w:rFonts w:ascii="Cambria" w:hAnsi="Cambria"/>
          <w:color w:val="231F20"/>
          <w:spacing w:val="3"/>
          <w:w w:val="95"/>
        </w:rPr>
        <w:t>alumnos.</w:t>
      </w:r>
    </w:p>
    <w:p>
      <w:pPr>
        <w:pStyle w:val="BodyText"/>
        <w:rPr>
          <w:rFonts w:ascii="Cambria"/>
          <w:sz w:val="22"/>
        </w:rPr>
      </w:pPr>
    </w:p>
    <w:p>
      <w:pPr>
        <w:pStyle w:val="BodyText"/>
        <w:spacing w:before="5"/>
        <w:rPr>
          <w:rFonts w:ascii="Cambria"/>
          <w:sz w:val="29"/>
        </w:rPr>
      </w:pPr>
    </w:p>
    <w:p>
      <w:pPr>
        <w:spacing w:before="0"/>
        <w:ind w:left="102" w:right="121" w:firstLine="0"/>
        <w:jc w:val="left"/>
        <w:rPr>
          <w:rFonts w:ascii="Cambria"/>
          <w:sz w:val="17"/>
        </w:rPr>
      </w:pPr>
      <w:r>
        <w:rPr>
          <w:rFonts w:ascii="Cambria"/>
          <w:color w:val="231F20"/>
          <w:w w:val="115"/>
          <w:sz w:val="21"/>
        </w:rPr>
        <w:t>R</w:t>
      </w:r>
      <w:r>
        <w:rPr>
          <w:rFonts w:ascii="Cambria"/>
          <w:color w:val="231F20"/>
          <w:w w:val="115"/>
          <w:sz w:val="17"/>
        </w:rPr>
        <w:t>EFERENCIAS</w:t>
      </w:r>
    </w:p>
    <w:p>
      <w:pPr>
        <w:spacing w:line="245" w:lineRule="exact" w:before="127"/>
        <w:ind w:left="102" w:right="121" w:firstLine="0"/>
        <w:jc w:val="left"/>
        <w:rPr>
          <w:rFonts w:ascii="Cambria"/>
          <w:sz w:val="21"/>
        </w:rPr>
      </w:pPr>
      <w:r>
        <w:rPr>
          <w:rFonts w:ascii="Cambria"/>
          <w:color w:val="231F20"/>
          <w:w w:val="95"/>
          <w:sz w:val="21"/>
        </w:rPr>
        <w:t>Arendt, Hannah. (2005). </w:t>
      </w:r>
      <w:r>
        <w:rPr>
          <w:i/>
          <w:color w:val="231F20"/>
          <w:w w:val="95"/>
          <w:sz w:val="21"/>
        </w:rPr>
        <w:t>Sobre la violencia. </w:t>
      </w:r>
      <w:r>
        <w:rPr>
          <w:rFonts w:ascii="Cambria"/>
          <w:color w:val="231F20"/>
          <w:w w:val="95"/>
          <w:sz w:val="21"/>
        </w:rPr>
        <w:t>Madrid: Alianza.</w:t>
      </w:r>
    </w:p>
    <w:p>
      <w:pPr>
        <w:pStyle w:val="BodyText"/>
        <w:spacing w:line="242" w:lineRule="auto"/>
        <w:ind w:left="822" w:right="121" w:hanging="721"/>
        <w:rPr>
          <w:rFonts w:ascii="Cambria" w:hAnsi="Cambria"/>
        </w:rPr>
      </w:pPr>
      <w:r>
        <w:rPr>
          <w:rFonts w:ascii="Cambria" w:hAnsi="Cambria"/>
          <w:color w:val="231F20"/>
          <w:w w:val="95"/>
        </w:rPr>
        <w:t>Benjamin, Walter. (10 de noviembre de 2010). Para una crítica de la </w:t>
      </w:r>
      <w:r>
        <w:rPr>
          <w:rFonts w:ascii="Cambria" w:hAnsi="Cambria"/>
          <w:color w:val="231F20"/>
        </w:rPr>
        <w:t>violencia. Obtenido de </w:t>
      </w:r>
      <w:hyperlink r:id="rId580">
        <w:r>
          <w:rPr>
            <w:rFonts w:ascii="Cambria" w:hAnsi="Cambria"/>
            <w:color w:val="231F20"/>
            <w:w w:val="95"/>
          </w:rPr>
          <w:t>http://www.philosophia.cl/biblioteca/Benjamin/violencia.</w:t>
        </w:r>
      </w:hyperlink>
      <w:r>
        <w:rPr>
          <w:rFonts w:ascii="Cambria" w:hAnsi="Cambria"/>
          <w:color w:val="231F20"/>
          <w:w w:val="95"/>
        </w:rPr>
        <w:t> </w:t>
      </w:r>
      <w:r>
        <w:rPr>
          <w:rFonts w:ascii="Cambria" w:hAnsi="Cambria"/>
          <w:color w:val="231F20"/>
        </w:rPr>
        <w:t>pdf</w:t>
      </w:r>
    </w:p>
    <w:p>
      <w:pPr>
        <w:spacing w:line="242" w:lineRule="auto" w:before="0"/>
        <w:ind w:left="822" w:right="121" w:hanging="720"/>
        <w:jc w:val="left"/>
        <w:rPr>
          <w:rFonts w:ascii="Cambria" w:hAnsi="Cambria"/>
          <w:sz w:val="21"/>
        </w:rPr>
      </w:pPr>
      <w:r>
        <w:rPr>
          <w:rFonts w:ascii="Cambria" w:hAnsi="Cambria"/>
          <w:color w:val="231F20"/>
          <w:w w:val="90"/>
          <w:sz w:val="21"/>
        </w:rPr>
        <w:t>Habermas, Jürgen. (1990). </w:t>
      </w:r>
      <w:r>
        <w:rPr>
          <w:i/>
          <w:color w:val="231F20"/>
          <w:w w:val="90"/>
          <w:sz w:val="21"/>
        </w:rPr>
        <w:t>El pensamiento postmetafísico. </w:t>
      </w:r>
      <w:r>
        <w:rPr>
          <w:rFonts w:ascii="Cambria" w:hAnsi="Cambria"/>
          <w:color w:val="231F20"/>
          <w:w w:val="90"/>
          <w:sz w:val="21"/>
        </w:rPr>
        <w:t>México: </w:t>
      </w:r>
      <w:r>
        <w:rPr>
          <w:rFonts w:ascii="Cambria" w:hAnsi="Cambria"/>
          <w:color w:val="231F20"/>
          <w:sz w:val="21"/>
        </w:rPr>
        <w:t>Taurus.</w:t>
      </w:r>
    </w:p>
    <w:p>
      <w:pPr>
        <w:spacing w:before="1"/>
        <w:ind w:left="822" w:right="193" w:hanging="721"/>
        <w:jc w:val="left"/>
        <w:rPr>
          <w:rFonts w:ascii="Cambria" w:hAnsi="Cambria"/>
          <w:sz w:val="21"/>
        </w:rPr>
      </w:pPr>
      <w:r>
        <w:rPr>
          <w:rFonts w:ascii="Cambria" w:hAnsi="Cambria"/>
          <w:color w:val="231F20"/>
          <w:w w:val="90"/>
          <w:sz w:val="21"/>
        </w:rPr>
        <w:t>Habermas,</w:t>
      </w:r>
      <w:r>
        <w:rPr>
          <w:rFonts w:ascii="Cambria" w:hAnsi="Cambria"/>
          <w:color w:val="231F20"/>
          <w:spacing w:val="-22"/>
          <w:w w:val="90"/>
          <w:sz w:val="21"/>
        </w:rPr>
        <w:t> </w:t>
      </w:r>
      <w:r>
        <w:rPr>
          <w:rFonts w:ascii="Cambria" w:hAnsi="Cambria"/>
          <w:color w:val="231F20"/>
          <w:w w:val="90"/>
          <w:sz w:val="21"/>
        </w:rPr>
        <w:t>Jürgen.</w:t>
      </w:r>
      <w:r>
        <w:rPr>
          <w:rFonts w:ascii="Cambria" w:hAnsi="Cambria"/>
          <w:color w:val="231F20"/>
          <w:spacing w:val="-21"/>
          <w:w w:val="90"/>
          <w:sz w:val="21"/>
        </w:rPr>
        <w:t> </w:t>
      </w:r>
      <w:r>
        <w:rPr>
          <w:rFonts w:ascii="Cambria" w:hAnsi="Cambria"/>
          <w:color w:val="231F20"/>
          <w:w w:val="90"/>
          <w:sz w:val="21"/>
        </w:rPr>
        <w:t>(1993).</w:t>
      </w:r>
      <w:r>
        <w:rPr>
          <w:rFonts w:ascii="Cambria" w:hAnsi="Cambria"/>
          <w:color w:val="231F20"/>
          <w:spacing w:val="-21"/>
          <w:w w:val="90"/>
          <w:sz w:val="21"/>
        </w:rPr>
        <w:t> </w:t>
      </w:r>
      <w:r>
        <w:rPr>
          <w:i/>
          <w:color w:val="231F20"/>
          <w:w w:val="90"/>
          <w:sz w:val="21"/>
        </w:rPr>
        <w:t>Teoría</w:t>
      </w:r>
      <w:r>
        <w:rPr>
          <w:i/>
          <w:color w:val="231F20"/>
          <w:spacing w:val="-27"/>
          <w:w w:val="90"/>
          <w:sz w:val="21"/>
        </w:rPr>
        <w:t> </w:t>
      </w:r>
      <w:r>
        <w:rPr>
          <w:i/>
          <w:color w:val="231F20"/>
          <w:w w:val="90"/>
          <w:sz w:val="21"/>
        </w:rPr>
        <w:t>de</w:t>
      </w:r>
      <w:r>
        <w:rPr>
          <w:i/>
          <w:color w:val="231F20"/>
          <w:spacing w:val="-27"/>
          <w:w w:val="90"/>
          <w:sz w:val="21"/>
        </w:rPr>
        <w:t> </w:t>
      </w:r>
      <w:r>
        <w:rPr>
          <w:i/>
          <w:color w:val="231F20"/>
          <w:w w:val="90"/>
          <w:sz w:val="21"/>
        </w:rPr>
        <w:t>la</w:t>
      </w:r>
      <w:r>
        <w:rPr>
          <w:i/>
          <w:color w:val="231F20"/>
          <w:spacing w:val="-27"/>
          <w:w w:val="90"/>
          <w:sz w:val="21"/>
        </w:rPr>
        <w:t> </w:t>
      </w:r>
      <w:r>
        <w:rPr>
          <w:i/>
          <w:color w:val="231F20"/>
          <w:w w:val="90"/>
          <w:sz w:val="21"/>
        </w:rPr>
        <w:t>acción</w:t>
      </w:r>
      <w:r>
        <w:rPr>
          <w:i/>
          <w:color w:val="231F20"/>
          <w:spacing w:val="-27"/>
          <w:w w:val="90"/>
          <w:sz w:val="21"/>
        </w:rPr>
        <w:t> </w:t>
      </w:r>
      <w:r>
        <w:rPr>
          <w:i/>
          <w:color w:val="231F20"/>
          <w:w w:val="90"/>
          <w:sz w:val="21"/>
        </w:rPr>
        <w:t>comunicativa:</w:t>
      </w:r>
      <w:r>
        <w:rPr>
          <w:i/>
          <w:color w:val="231F20"/>
          <w:spacing w:val="-27"/>
          <w:w w:val="90"/>
          <w:sz w:val="21"/>
        </w:rPr>
        <w:t> </w:t>
      </w:r>
      <w:r>
        <w:rPr>
          <w:i/>
          <w:color w:val="231F20"/>
          <w:w w:val="90"/>
          <w:sz w:val="21"/>
        </w:rPr>
        <w:t>complementos </w:t>
      </w:r>
      <w:r>
        <w:rPr>
          <w:i/>
          <w:color w:val="231F20"/>
          <w:w w:val="95"/>
          <w:sz w:val="21"/>
        </w:rPr>
        <w:t>y</w:t>
      </w:r>
      <w:r>
        <w:rPr>
          <w:i/>
          <w:color w:val="231F20"/>
          <w:spacing w:val="-31"/>
          <w:w w:val="95"/>
          <w:sz w:val="21"/>
        </w:rPr>
        <w:t> </w:t>
      </w:r>
      <w:r>
        <w:rPr>
          <w:i/>
          <w:color w:val="231F20"/>
          <w:w w:val="95"/>
          <w:sz w:val="21"/>
        </w:rPr>
        <w:t>estudios</w:t>
      </w:r>
      <w:r>
        <w:rPr>
          <w:i/>
          <w:color w:val="231F20"/>
          <w:spacing w:val="-31"/>
          <w:w w:val="95"/>
          <w:sz w:val="21"/>
        </w:rPr>
        <w:t> </w:t>
      </w:r>
      <w:r>
        <w:rPr>
          <w:i/>
          <w:color w:val="231F20"/>
          <w:w w:val="95"/>
          <w:sz w:val="21"/>
        </w:rPr>
        <w:t>previos.</w:t>
      </w:r>
      <w:r>
        <w:rPr>
          <w:i/>
          <w:color w:val="231F20"/>
          <w:spacing w:val="-31"/>
          <w:w w:val="95"/>
          <w:sz w:val="21"/>
        </w:rPr>
        <w:t> </w:t>
      </w:r>
      <w:r>
        <w:rPr>
          <w:rFonts w:ascii="Cambria" w:hAnsi="Cambria"/>
          <w:color w:val="231F20"/>
          <w:w w:val="95"/>
          <w:sz w:val="21"/>
        </w:rPr>
        <w:t>México:</w:t>
      </w:r>
      <w:r>
        <w:rPr>
          <w:rFonts w:ascii="Cambria" w:hAnsi="Cambria"/>
          <w:color w:val="231F20"/>
          <w:spacing w:val="-25"/>
          <w:w w:val="95"/>
          <w:sz w:val="21"/>
        </w:rPr>
        <w:t> </w:t>
      </w:r>
      <w:r>
        <w:rPr>
          <w:rFonts w:ascii="Cambria" w:hAnsi="Cambria"/>
          <w:color w:val="231F20"/>
          <w:w w:val="95"/>
          <w:sz w:val="21"/>
        </w:rPr>
        <w:t>REI.</w:t>
      </w:r>
    </w:p>
    <w:p>
      <w:pPr>
        <w:spacing w:before="3"/>
        <w:ind w:left="823" w:right="121" w:hanging="721"/>
        <w:jc w:val="left"/>
        <w:rPr>
          <w:rFonts w:ascii="Cambria" w:hAnsi="Cambria"/>
          <w:sz w:val="21"/>
        </w:rPr>
      </w:pPr>
      <w:r>
        <w:rPr>
          <w:rFonts w:ascii="Cambria" w:hAnsi="Cambria"/>
          <w:color w:val="231F20"/>
          <w:w w:val="95"/>
          <w:sz w:val="21"/>
        </w:rPr>
        <w:t>Habermas,</w:t>
      </w:r>
      <w:r>
        <w:rPr>
          <w:rFonts w:ascii="Cambria" w:hAnsi="Cambria"/>
          <w:color w:val="231F20"/>
          <w:spacing w:val="-15"/>
          <w:w w:val="95"/>
          <w:sz w:val="21"/>
        </w:rPr>
        <w:t> </w:t>
      </w:r>
      <w:r>
        <w:rPr>
          <w:rFonts w:ascii="Cambria" w:hAnsi="Cambria"/>
          <w:color w:val="231F20"/>
          <w:w w:val="95"/>
          <w:sz w:val="21"/>
        </w:rPr>
        <w:t>Jürgen.</w:t>
      </w:r>
      <w:r>
        <w:rPr>
          <w:rFonts w:ascii="Cambria" w:hAnsi="Cambria"/>
          <w:color w:val="231F20"/>
          <w:spacing w:val="-14"/>
          <w:w w:val="95"/>
          <w:sz w:val="21"/>
        </w:rPr>
        <w:t> </w:t>
      </w:r>
      <w:r>
        <w:rPr>
          <w:rFonts w:ascii="Cambria" w:hAnsi="Cambria"/>
          <w:color w:val="231F20"/>
          <w:w w:val="95"/>
          <w:sz w:val="21"/>
        </w:rPr>
        <w:t>(2001).</w:t>
      </w:r>
      <w:r>
        <w:rPr>
          <w:rFonts w:ascii="Cambria" w:hAnsi="Cambria"/>
          <w:color w:val="231F20"/>
          <w:spacing w:val="-15"/>
          <w:w w:val="95"/>
          <w:sz w:val="21"/>
        </w:rPr>
        <w:t> </w:t>
      </w:r>
      <w:r>
        <w:rPr>
          <w:rFonts w:ascii="Cambria" w:hAnsi="Cambria"/>
          <w:color w:val="231F20"/>
          <w:w w:val="95"/>
          <w:sz w:val="21"/>
        </w:rPr>
        <w:t>(Tomos</w:t>
      </w:r>
      <w:r>
        <w:rPr>
          <w:rFonts w:ascii="Cambria" w:hAnsi="Cambria"/>
          <w:color w:val="231F20"/>
          <w:spacing w:val="-14"/>
          <w:w w:val="95"/>
          <w:sz w:val="21"/>
        </w:rPr>
        <w:t> </w:t>
      </w:r>
      <w:r>
        <w:rPr>
          <w:rFonts w:ascii="Cambria" w:hAnsi="Cambria"/>
          <w:color w:val="231F20"/>
          <w:w w:val="95"/>
          <w:sz w:val="21"/>
        </w:rPr>
        <w:t>I-II).</w:t>
      </w:r>
      <w:r>
        <w:rPr>
          <w:rFonts w:ascii="Cambria" w:hAnsi="Cambria"/>
          <w:color w:val="231F20"/>
          <w:spacing w:val="-15"/>
          <w:w w:val="95"/>
          <w:sz w:val="21"/>
        </w:rPr>
        <w:t> </w:t>
      </w:r>
      <w:r>
        <w:rPr>
          <w:i/>
          <w:color w:val="231F20"/>
          <w:w w:val="95"/>
          <w:sz w:val="21"/>
        </w:rPr>
        <w:t>Teoría</w:t>
      </w:r>
      <w:r>
        <w:rPr>
          <w:i/>
          <w:color w:val="231F20"/>
          <w:spacing w:val="-21"/>
          <w:w w:val="95"/>
          <w:sz w:val="21"/>
        </w:rPr>
        <w:t> </w:t>
      </w:r>
      <w:r>
        <w:rPr>
          <w:i/>
          <w:color w:val="231F20"/>
          <w:w w:val="95"/>
          <w:sz w:val="21"/>
        </w:rPr>
        <w:t>de</w:t>
      </w:r>
      <w:r>
        <w:rPr>
          <w:i/>
          <w:color w:val="231F20"/>
          <w:spacing w:val="-21"/>
          <w:w w:val="95"/>
          <w:sz w:val="21"/>
        </w:rPr>
        <w:t> </w:t>
      </w:r>
      <w:r>
        <w:rPr>
          <w:i/>
          <w:color w:val="231F20"/>
          <w:w w:val="95"/>
          <w:sz w:val="21"/>
        </w:rPr>
        <w:t>la</w:t>
      </w:r>
      <w:r>
        <w:rPr>
          <w:i/>
          <w:color w:val="231F20"/>
          <w:spacing w:val="-21"/>
          <w:w w:val="95"/>
          <w:sz w:val="21"/>
        </w:rPr>
        <w:t> </w:t>
      </w:r>
      <w:r>
        <w:rPr>
          <w:i/>
          <w:color w:val="231F20"/>
          <w:w w:val="95"/>
          <w:sz w:val="21"/>
        </w:rPr>
        <w:t>acción </w:t>
      </w:r>
      <w:r>
        <w:rPr>
          <w:i/>
          <w:color w:val="231F20"/>
          <w:w w:val="90"/>
          <w:sz w:val="21"/>
        </w:rPr>
        <w:t>comunicativa. </w:t>
      </w:r>
      <w:r>
        <w:rPr>
          <w:rFonts w:ascii="Cambria" w:hAnsi="Cambria"/>
          <w:color w:val="231F20"/>
          <w:w w:val="90"/>
          <w:sz w:val="21"/>
        </w:rPr>
        <w:t>México:</w:t>
      </w:r>
      <w:r>
        <w:rPr>
          <w:rFonts w:ascii="Cambria" w:hAnsi="Cambria"/>
          <w:color w:val="231F20"/>
          <w:spacing w:val="7"/>
          <w:w w:val="90"/>
          <w:sz w:val="21"/>
        </w:rPr>
        <w:t> </w:t>
      </w:r>
      <w:r>
        <w:rPr>
          <w:rFonts w:ascii="Cambria" w:hAnsi="Cambria"/>
          <w:color w:val="231F20"/>
          <w:w w:val="90"/>
          <w:sz w:val="21"/>
        </w:rPr>
        <w:t>Taurus.</w:t>
      </w:r>
    </w:p>
    <w:p>
      <w:pPr>
        <w:spacing w:before="3"/>
        <w:ind w:left="823" w:right="121" w:hanging="721"/>
        <w:jc w:val="left"/>
        <w:rPr>
          <w:rFonts w:ascii="Cambria"/>
          <w:sz w:val="21"/>
        </w:rPr>
      </w:pPr>
      <w:r>
        <w:rPr>
          <w:rFonts w:ascii="Cambria"/>
          <w:color w:val="231F20"/>
          <w:w w:val="95"/>
          <w:sz w:val="21"/>
        </w:rPr>
        <w:t>Horkheiner, Max. (1974). </w:t>
      </w:r>
      <w:r>
        <w:rPr>
          <w:i/>
          <w:color w:val="231F20"/>
          <w:w w:val="95"/>
          <w:sz w:val="21"/>
        </w:rPr>
        <w:t>Autoridad y familia. </w:t>
      </w:r>
      <w:r>
        <w:rPr>
          <w:rFonts w:ascii="Cambria"/>
          <w:color w:val="231F20"/>
          <w:w w:val="95"/>
          <w:sz w:val="21"/>
        </w:rPr>
        <w:t>Buenos Aires: </w:t>
      </w:r>
      <w:r>
        <w:rPr>
          <w:rFonts w:ascii="Cambria"/>
          <w:color w:val="231F20"/>
          <w:sz w:val="21"/>
        </w:rPr>
        <w:t>Amorrortu.</w:t>
      </w:r>
    </w:p>
    <w:p>
      <w:pPr>
        <w:spacing w:after="0"/>
        <w:jc w:val="left"/>
        <w:rPr>
          <w:rFonts w:ascii="Cambria"/>
          <w:sz w:val="21"/>
        </w:rPr>
        <w:sectPr>
          <w:headerReference w:type="default" r:id="rId578"/>
          <w:footerReference w:type="default" r:id="rId579"/>
          <w:pgSz w:w="7830" w:h="11910"/>
          <w:pgMar w:header="0" w:footer="424" w:top="500" w:bottom="620" w:left="920" w:right="900"/>
          <w:pgNumType w:start="255"/>
        </w:sectPr>
      </w:pPr>
    </w:p>
    <w:p>
      <w:pPr>
        <w:pStyle w:val="BodyText"/>
        <w:ind w:left="355"/>
        <w:rPr>
          <w:rFonts w:ascii="Cambria"/>
          <w:sz w:val="20"/>
        </w:rPr>
      </w:pPr>
      <w:r>
        <w:rPr/>
        <w:pict>
          <v:shape style="position:absolute;margin-left:70.791pt;margin-top:20.750002pt;width:253.4pt;height:35.7pt;mso-position-horizontal-relative:page;mso-position-vertical-relative:page;z-index:-482944" type="#_x0000_t202" filled="false" stroked="false">
            <v:textbox inset="0,0,0,0">
              <w:txbxContent>
                <w:p>
                  <w:pPr>
                    <w:spacing w:before="136"/>
                    <w:ind w:left="101"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txbxContent>
            </v:textbox>
            <w10:wrap type="none"/>
          </v:shape>
        </w:pict>
      </w:r>
      <w:r>
        <w:rPr>
          <w:rFonts w:ascii="Cambria"/>
          <w:sz w:val="20"/>
        </w:rPr>
        <w:pict>
          <v:group style="width:253.4pt;height:35.7pt;mso-position-horizontal-relative:char;mso-position-vertical-relative:line" coordorigin="0,0" coordsize="5068,714">
            <v:rect style="position:absolute;left:0;top:0;width:5068;height:714" filled="true" fillcolor="#ffffff" stroked="false">
              <v:fill type="solid"/>
            </v:rect>
          </v:group>
        </w:pict>
      </w:r>
      <w:r>
        <w:rPr>
          <w:rFonts w:ascii="Cambria"/>
          <w:sz w:val="20"/>
        </w:rPr>
      </w:r>
    </w:p>
    <w:p>
      <w:pPr>
        <w:spacing w:after="0"/>
        <w:rPr>
          <w:rFonts w:ascii="Cambria"/>
          <w:sz w:val="20"/>
        </w:rPr>
        <w:sectPr>
          <w:headerReference w:type="default" r:id="rId581"/>
          <w:footerReference w:type="default" r:id="rId582"/>
          <w:pgSz w:w="7830" w:h="11910"/>
          <w:pgMar w:header="0" w:footer="364" w:top="400" w:bottom="560" w:left="1060" w:right="1060"/>
          <w:pgNumType w:start="256"/>
        </w:sectPr>
      </w:pPr>
    </w:p>
    <w:p>
      <w:pPr>
        <w:pStyle w:val="BodyText"/>
        <w:ind w:left="660"/>
        <w:rPr>
          <w:rFonts w:ascii="Cambria"/>
          <w:sz w:val="20"/>
        </w:rPr>
      </w:pPr>
      <w:r>
        <w:rPr>
          <w:rFonts w:ascii="Cambria"/>
          <w:sz w:val="20"/>
        </w:rPr>
        <w:pict>
          <v:group style="width:253.4pt;height:32.25pt;mso-position-horizontal-relative:char;mso-position-vertical-relative:line" coordorigin="0,0" coordsize="5068,645">
            <v:rect style="position:absolute;left:0;top:0;width:5068;height:645" filled="true" fillcolor="#ffffff" stroked="false">
              <v:fill type="solid"/>
            </v:rect>
          </v:group>
        </w:pict>
      </w:r>
      <w:r>
        <w:rPr>
          <w:rFonts w:ascii="Cambria"/>
          <w:sz w:val="20"/>
        </w:rPr>
      </w:r>
    </w:p>
    <w:p>
      <w:pPr>
        <w:pStyle w:val="BodyText"/>
        <w:spacing w:before="11"/>
        <w:rPr>
          <w:rFonts w:ascii="Cambria"/>
          <w:sz w:val="6"/>
        </w:rPr>
      </w:pPr>
    </w:p>
    <w:p>
      <w:pPr>
        <w:pStyle w:val="Heading2"/>
        <w:spacing w:before="52"/>
        <w:jc w:val="both"/>
      </w:pPr>
      <w:r>
        <w:rPr/>
        <w:pict>
          <v:shape style="position:absolute;margin-left:78.041pt;margin-top:-37.850071pt;width:253.4pt;height:32.25pt;mso-position-horizontal-relative:page;mso-position-vertical-relative:paragraph;z-index:-482872" type="#_x0000_t202" filled="false" stroked="false">
            <v:textbox inset="0,0,0,0">
              <w:txbxContent>
                <w:p>
                  <w:pPr>
                    <w:pStyle w:val="BodyText"/>
                    <w:spacing w:before="7"/>
                    <w:rPr>
                      <w:sz w:val="16"/>
                    </w:rPr>
                  </w:pPr>
                </w:p>
                <w:p>
                  <w:pPr>
                    <w:spacing w:before="0"/>
                    <w:ind w:left="822" w:right="0" w:firstLine="0"/>
                    <w:jc w:val="left"/>
                    <w:rPr>
                      <w:sz w:val="13"/>
                    </w:rPr>
                  </w:pPr>
                  <w:r>
                    <w:rPr>
                      <w:color w:val="231F20"/>
                      <w:sz w:val="16"/>
                    </w:rPr>
                    <w:t>E</w:t>
                  </w:r>
                  <w:r>
                    <w:rPr>
                      <w:color w:val="231F20"/>
                      <w:sz w:val="13"/>
                    </w:rPr>
                    <w:t>STUDIOS SOBRE VIOLENCIA EN LA EDUCACIÓN</w:t>
                  </w:r>
                </w:p>
              </w:txbxContent>
            </v:textbox>
            <w10:wrap type="none"/>
          </v:shape>
        </w:pict>
      </w:r>
      <w:r>
        <w:rPr>
          <w:color w:val="231F20"/>
          <w:sz w:val="28"/>
        </w:rPr>
        <w:t>L</w:t>
      </w:r>
      <w:r>
        <w:rPr>
          <w:rFonts w:ascii="Georgia" w:hAnsi="Georgia"/>
          <w:color w:val="231F20"/>
        </w:rPr>
        <w:t>A PERCEPCIÓN DE </w:t>
      </w:r>
      <w:r>
        <w:rPr>
          <w:color w:val="231F20"/>
        </w:rPr>
        <w:t>LA VIOLENCIA EN  JÓVENES</w:t>
      </w:r>
    </w:p>
    <w:p>
      <w:pPr>
        <w:spacing w:before="60"/>
        <w:ind w:left="122" w:right="464" w:firstLine="0"/>
        <w:jc w:val="left"/>
        <w:rPr>
          <w:b/>
          <w:sz w:val="21"/>
        </w:rPr>
      </w:pPr>
      <w:r>
        <w:rPr>
          <w:b/>
          <w:color w:val="231F20"/>
          <w:sz w:val="21"/>
        </w:rPr>
        <w:t>UNIVERSITARIOS A PARTIR DEL </w:t>
      </w:r>
      <w:r>
        <w:rPr>
          <w:rFonts w:ascii="Georgia" w:hAnsi="Georgia"/>
          <w:b/>
          <w:color w:val="231F20"/>
          <w:sz w:val="21"/>
        </w:rPr>
        <w:t>COMENTARIO </w:t>
      </w:r>
      <w:r>
        <w:rPr>
          <w:b/>
          <w:color w:val="231F20"/>
          <w:sz w:val="21"/>
        </w:rPr>
        <w:t>DEL CUE</w:t>
      </w:r>
      <w:r>
        <w:rPr>
          <w:rFonts w:ascii="Georgia" w:hAnsi="Georgia"/>
          <w:b/>
          <w:color w:val="231F20"/>
          <w:sz w:val="21"/>
        </w:rPr>
        <w:t>NTO </w:t>
      </w:r>
      <w:r>
        <w:rPr>
          <w:rFonts w:ascii="Georgia" w:hAnsi="Georgia"/>
          <w:b/>
          <w:color w:val="231F20"/>
          <w:sz w:val="28"/>
        </w:rPr>
        <w:t>“E</w:t>
      </w:r>
      <w:r>
        <w:rPr>
          <w:b/>
          <w:color w:val="231F20"/>
          <w:sz w:val="21"/>
        </w:rPr>
        <w:t>L </w:t>
      </w:r>
      <w:r>
        <w:rPr>
          <w:rFonts w:ascii="Corbel" w:hAnsi="Corbel"/>
          <w:b/>
          <w:color w:val="231F20"/>
          <w:sz w:val="28"/>
        </w:rPr>
        <w:t>Á</w:t>
      </w:r>
      <w:r>
        <w:rPr>
          <w:b/>
          <w:color w:val="231F20"/>
          <w:sz w:val="21"/>
        </w:rPr>
        <w:t>RBOL</w:t>
      </w:r>
      <w:r>
        <w:rPr>
          <w:rFonts w:ascii="Arial" w:hAnsi="Arial"/>
          <w:b/>
          <w:color w:val="231F20"/>
          <w:sz w:val="28"/>
        </w:rPr>
        <w:t>” </w:t>
      </w:r>
      <w:r>
        <w:rPr>
          <w:b/>
          <w:color w:val="231F20"/>
          <w:sz w:val="21"/>
        </w:rPr>
        <w:t>DE </w:t>
      </w:r>
      <w:r>
        <w:rPr>
          <w:rFonts w:ascii="Georgia" w:hAnsi="Georgia"/>
          <w:b/>
          <w:color w:val="231F20"/>
          <w:sz w:val="28"/>
        </w:rPr>
        <w:t>E</w:t>
      </w:r>
      <w:r>
        <w:rPr>
          <w:rFonts w:ascii="Georgia" w:hAnsi="Georgia"/>
          <w:b/>
          <w:color w:val="231F20"/>
          <w:sz w:val="21"/>
        </w:rPr>
        <w:t>LENA  </w:t>
      </w:r>
      <w:r>
        <w:rPr>
          <w:b/>
          <w:color w:val="231F20"/>
          <w:sz w:val="28"/>
        </w:rPr>
        <w:t>G</w:t>
      </w:r>
      <w:r>
        <w:rPr>
          <w:b/>
          <w:color w:val="231F20"/>
          <w:sz w:val="21"/>
        </w:rPr>
        <w:t>ARRO</w:t>
      </w:r>
    </w:p>
    <w:p>
      <w:pPr>
        <w:pStyle w:val="BodyText"/>
        <w:spacing w:before="10"/>
        <w:rPr>
          <w:b/>
          <w:sz w:val="26"/>
        </w:rPr>
      </w:pPr>
    </w:p>
    <w:p>
      <w:pPr>
        <w:pStyle w:val="BodyText"/>
        <w:ind w:left="122"/>
        <w:jc w:val="both"/>
        <w:rPr>
          <w:sz w:val="17"/>
        </w:rPr>
      </w:pPr>
      <w:r>
        <w:rPr>
          <w:color w:val="231F20"/>
          <w:w w:val="95"/>
        </w:rPr>
        <w:t>Celene García-Ávila</w:t>
      </w:r>
      <w:r>
        <w:rPr>
          <w:color w:val="231F20"/>
          <w:w w:val="95"/>
          <w:sz w:val="17"/>
        </w:rPr>
        <w:t>*</w:t>
      </w:r>
    </w:p>
    <w:p>
      <w:pPr>
        <w:pStyle w:val="BodyText"/>
        <w:spacing w:before="3"/>
        <w:ind w:left="122"/>
        <w:jc w:val="both"/>
        <w:rPr>
          <w:sz w:val="17"/>
        </w:rPr>
      </w:pPr>
      <w:r>
        <w:rPr>
          <w:color w:val="231F20"/>
        </w:rPr>
        <w:t>Guadalupe Nancy Nava-Gómez</w:t>
      </w:r>
      <w:r>
        <w:rPr>
          <w:color w:val="231F20"/>
          <w:sz w:val="17"/>
        </w:rPr>
        <w:t>**</w:t>
      </w:r>
    </w:p>
    <w:p>
      <w:pPr>
        <w:pStyle w:val="BodyText"/>
        <w:rPr>
          <w:sz w:val="22"/>
        </w:rPr>
      </w:pPr>
    </w:p>
    <w:p>
      <w:pPr>
        <w:pStyle w:val="BodyText"/>
        <w:spacing w:before="8"/>
      </w:pPr>
    </w:p>
    <w:p>
      <w:pPr>
        <w:pStyle w:val="BodyText"/>
        <w:ind w:left="122"/>
        <w:jc w:val="both"/>
      </w:pPr>
      <w:r>
        <w:rPr>
          <w:color w:val="231F20"/>
        </w:rPr>
        <w:t>Resumen</w:t>
      </w:r>
    </w:p>
    <w:p>
      <w:pPr>
        <w:pStyle w:val="BodyText"/>
        <w:spacing w:line="247" w:lineRule="auto" w:before="3"/>
        <w:ind w:left="122" w:right="114"/>
        <w:jc w:val="both"/>
      </w:pPr>
      <w:r>
        <w:rPr>
          <w:color w:val="231F20"/>
        </w:rPr>
        <w:t>Al examinar las interacciones lingüísticas entre los sujetos en las instituciones universitarias se puede hablar de una violencia escola- rizada, la cual expresa la manera en que se produce la colonización del mundo de la vida en el ámbito de las aulas. Refiere a un pro- grama de intervención, a través de la lectura, de la literatura, con alumnos de la Licenciatura en Lenguas, para advertir el modo en  que perciben la</w:t>
      </w:r>
      <w:r>
        <w:rPr>
          <w:color w:val="231F20"/>
          <w:spacing w:val="-25"/>
        </w:rPr>
        <w:t> </w:t>
      </w:r>
      <w:r>
        <w:rPr>
          <w:color w:val="231F20"/>
        </w:rPr>
        <w:t>violencia.</w:t>
      </w:r>
    </w:p>
    <w:p>
      <w:pPr>
        <w:pStyle w:val="BodyText"/>
        <w:spacing w:before="4"/>
      </w:pPr>
    </w:p>
    <w:p>
      <w:pPr>
        <w:pStyle w:val="BodyText"/>
        <w:spacing w:line="247" w:lineRule="auto"/>
        <w:ind w:left="122" w:right="104"/>
      </w:pPr>
      <w:r>
        <w:rPr>
          <w:color w:val="231F20"/>
        </w:rPr>
        <w:t>Palabras clave: violencia, lectura, escritura, literatura, educación superior</w:t>
      </w:r>
    </w:p>
    <w:p>
      <w:pPr>
        <w:pStyle w:val="BodyText"/>
        <w:rPr>
          <w:sz w:val="22"/>
        </w:rPr>
      </w:pPr>
    </w:p>
    <w:p>
      <w:pPr>
        <w:pStyle w:val="BodyText"/>
        <w:spacing w:before="7"/>
        <w:rPr>
          <w:sz w:val="20"/>
        </w:rPr>
      </w:pPr>
    </w:p>
    <w:p>
      <w:pPr>
        <w:pStyle w:val="BodyText"/>
        <w:spacing w:line="247" w:lineRule="auto"/>
        <w:ind w:left="122" w:right="104"/>
      </w:pPr>
      <w:r>
        <w:rPr>
          <w:color w:val="231F20"/>
        </w:rPr>
        <w:t>Perceptionof violencein university studentsfrom thecommentof the story "The Tree" by Elena  Garro</w:t>
      </w:r>
    </w:p>
    <w:p>
      <w:pPr>
        <w:pStyle w:val="BodyText"/>
        <w:spacing w:before="4"/>
      </w:pPr>
    </w:p>
    <w:p>
      <w:pPr>
        <w:pStyle w:val="BodyText"/>
        <w:ind w:left="122"/>
        <w:jc w:val="both"/>
      </w:pPr>
      <w:r>
        <w:rPr>
          <w:color w:val="231F20"/>
        </w:rPr>
        <w:t>Abstract</w:t>
      </w:r>
    </w:p>
    <w:p>
      <w:pPr>
        <w:pStyle w:val="BodyText"/>
        <w:spacing w:line="247" w:lineRule="auto" w:before="3"/>
        <w:ind w:left="121" w:right="116"/>
        <w:jc w:val="both"/>
      </w:pPr>
      <w:r>
        <w:rPr>
          <w:color w:val="231F20"/>
        </w:rPr>
        <w:t>When examininglanguage interactionsbetween subjectsinthe univer- sitiesone can speakofa schooledviolence, which expresses howthe- colonization of the worldof lifeoccursinthe field ofaulas. Referstoan intervention programthroughreading, literature, with  students fromthe Bachelor ofLanguages,to noticehowthey perceiveviolence.</w:t>
      </w:r>
    </w:p>
    <w:p>
      <w:pPr>
        <w:pStyle w:val="BodyText"/>
        <w:spacing w:before="3"/>
        <w:rPr>
          <w:sz w:val="23"/>
        </w:rPr>
      </w:pPr>
      <w:r>
        <w:rPr/>
        <w:pict>
          <v:line style="position:absolute;mso-position-horizontal-relative:page;mso-position-vertical-relative:paragraph;z-index:2368;mso-wrap-distance-left:0;mso-wrap-distance-right:0" from="51.110001pt,15.589527pt" to="195.110001pt,15.589527pt" stroked="true" strokeweight=".48pt" strokecolor="#231f20">
            <w10:wrap type="topAndBottom"/>
          </v:line>
        </w:pict>
      </w:r>
    </w:p>
    <w:p>
      <w:pPr>
        <w:spacing w:before="85"/>
        <w:ind w:left="122" w:right="104" w:firstLine="0"/>
        <w:jc w:val="left"/>
        <w:rPr>
          <w:sz w:val="14"/>
        </w:rPr>
      </w:pPr>
      <w:r>
        <w:rPr>
          <w:color w:val="231F20"/>
          <w:position w:val="-4"/>
          <w:sz w:val="17"/>
        </w:rPr>
        <w:t>*</w:t>
      </w:r>
      <w:r>
        <w:rPr>
          <w:color w:val="231F20"/>
          <w:sz w:val="14"/>
        </w:rPr>
        <w:t>Doctora en Letras Hispánicas por el Colegio de México. Actualmente, es Profesora Investigadora  de</w:t>
      </w:r>
    </w:p>
    <w:p>
      <w:pPr>
        <w:spacing w:line="364" w:lineRule="auto" w:before="32"/>
        <w:ind w:left="122" w:right="104" w:firstLine="0"/>
        <w:jc w:val="left"/>
        <w:rPr>
          <w:sz w:val="14"/>
        </w:rPr>
      </w:pPr>
      <w:r>
        <w:rPr>
          <w:color w:val="231F20"/>
          <w:sz w:val="14"/>
        </w:rPr>
        <w:t>Tiempo</w:t>
      </w:r>
      <w:r>
        <w:rPr>
          <w:color w:val="231F20"/>
          <w:spacing w:val="-8"/>
          <w:sz w:val="14"/>
        </w:rPr>
        <w:t> </w:t>
      </w:r>
      <w:r>
        <w:rPr>
          <w:color w:val="231F20"/>
          <w:sz w:val="14"/>
        </w:rPr>
        <w:t>Completo</w:t>
      </w:r>
      <w:r>
        <w:rPr>
          <w:color w:val="231F20"/>
          <w:spacing w:val="-8"/>
          <w:sz w:val="14"/>
        </w:rPr>
        <w:t> </w:t>
      </w:r>
      <w:r>
        <w:rPr>
          <w:color w:val="231F20"/>
          <w:sz w:val="14"/>
        </w:rPr>
        <w:t>adscrita</w:t>
      </w:r>
      <w:r>
        <w:rPr>
          <w:color w:val="231F20"/>
          <w:spacing w:val="-8"/>
          <w:sz w:val="14"/>
        </w:rPr>
        <w:t> </w:t>
      </w:r>
      <w:r>
        <w:rPr>
          <w:color w:val="231F20"/>
          <w:sz w:val="14"/>
        </w:rPr>
        <w:t>a</w:t>
      </w:r>
      <w:r>
        <w:rPr>
          <w:color w:val="231F20"/>
          <w:spacing w:val="-8"/>
          <w:sz w:val="14"/>
        </w:rPr>
        <w:t> </w:t>
      </w:r>
      <w:r>
        <w:rPr>
          <w:color w:val="231F20"/>
          <w:sz w:val="14"/>
        </w:rPr>
        <w:t>la</w:t>
      </w:r>
      <w:r>
        <w:rPr>
          <w:color w:val="231F20"/>
          <w:spacing w:val="-8"/>
          <w:sz w:val="14"/>
        </w:rPr>
        <w:t> </w:t>
      </w:r>
      <w:r>
        <w:rPr>
          <w:color w:val="231F20"/>
          <w:sz w:val="14"/>
        </w:rPr>
        <w:t>Facultad</w:t>
      </w:r>
      <w:r>
        <w:rPr>
          <w:color w:val="231F20"/>
          <w:spacing w:val="-8"/>
          <w:sz w:val="14"/>
        </w:rPr>
        <w:t> </w:t>
      </w:r>
      <w:r>
        <w:rPr>
          <w:color w:val="231F20"/>
          <w:sz w:val="14"/>
        </w:rPr>
        <w:t>deLenguas</w:t>
      </w:r>
      <w:r>
        <w:rPr>
          <w:color w:val="231F20"/>
          <w:spacing w:val="-8"/>
          <w:sz w:val="14"/>
        </w:rPr>
        <w:t> </w:t>
      </w:r>
      <w:r>
        <w:rPr>
          <w:color w:val="231F20"/>
          <w:sz w:val="14"/>
        </w:rPr>
        <w:t>de</w:t>
      </w:r>
      <w:r>
        <w:rPr>
          <w:color w:val="231F20"/>
          <w:spacing w:val="-8"/>
          <w:sz w:val="14"/>
        </w:rPr>
        <w:t> </w:t>
      </w:r>
      <w:r>
        <w:rPr>
          <w:color w:val="231F20"/>
          <w:sz w:val="14"/>
        </w:rPr>
        <w:t>la</w:t>
      </w:r>
      <w:r>
        <w:rPr>
          <w:color w:val="231F20"/>
          <w:spacing w:val="-8"/>
          <w:sz w:val="14"/>
        </w:rPr>
        <w:t> </w:t>
      </w:r>
      <w:r>
        <w:rPr>
          <w:color w:val="231F20"/>
          <w:sz w:val="14"/>
        </w:rPr>
        <w:t>UAEM.</w:t>
      </w:r>
      <w:r>
        <w:rPr>
          <w:color w:val="231F20"/>
          <w:spacing w:val="-8"/>
          <w:sz w:val="14"/>
        </w:rPr>
        <w:t> </w:t>
      </w:r>
      <w:r>
        <w:rPr>
          <w:color w:val="231F20"/>
          <w:sz w:val="14"/>
        </w:rPr>
        <w:t>La</w:t>
      </w:r>
      <w:r>
        <w:rPr>
          <w:color w:val="231F20"/>
          <w:spacing w:val="-8"/>
          <w:sz w:val="14"/>
        </w:rPr>
        <w:t> </w:t>
      </w:r>
      <w:r>
        <w:rPr>
          <w:color w:val="231F20"/>
          <w:sz w:val="14"/>
        </w:rPr>
        <w:t>línea</w:t>
      </w:r>
      <w:r>
        <w:rPr>
          <w:color w:val="231F20"/>
          <w:spacing w:val="-8"/>
          <w:sz w:val="14"/>
        </w:rPr>
        <w:t> </w:t>
      </w:r>
      <w:r>
        <w:rPr>
          <w:color w:val="231F20"/>
          <w:sz w:val="14"/>
        </w:rPr>
        <w:t>de</w:t>
      </w:r>
      <w:r>
        <w:rPr>
          <w:color w:val="231F20"/>
          <w:spacing w:val="-8"/>
          <w:sz w:val="14"/>
        </w:rPr>
        <w:t> </w:t>
      </w:r>
      <w:r>
        <w:rPr>
          <w:color w:val="231F20"/>
          <w:sz w:val="14"/>
        </w:rPr>
        <w:t>aplicación</w:t>
      </w:r>
      <w:r>
        <w:rPr>
          <w:color w:val="231F20"/>
          <w:spacing w:val="-8"/>
          <w:sz w:val="14"/>
        </w:rPr>
        <w:t> </w:t>
      </w:r>
      <w:r>
        <w:rPr>
          <w:color w:val="231F20"/>
          <w:sz w:val="14"/>
        </w:rPr>
        <w:t>y</w:t>
      </w:r>
      <w:r>
        <w:rPr>
          <w:color w:val="231F20"/>
          <w:spacing w:val="-8"/>
          <w:sz w:val="14"/>
        </w:rPr>
        <w:t> </w:t>
      </w:r>
      <w:r>
        <w:rPr>
          <w:color w:val="231F20"/>
          <w:sz w:val="14"/>
        </w:rPr>
        <w:t>generación</w:t>
      </w:r>
      <w:r>
        <w:rPr>
          <w:color w:val="231F20"/>
          <w:spacing w:val="-8"/>
          <w:sz w:val="14"/>
        </w:rPr>
        <w:t> </w:t>
      </w:r>
      <w:r>
        <w:rPr>
          <w:color w:val="231F20"/>
          <w:sz w:val="14"/>
        </w:rPr>
        <w:t>del </w:t>
      </w:r>
      <w:r>
        <w:rPr>
          <w:color w:val="231F20"/>
          <w:w w:val="95"/>
          <w:sz w:val="14"/>
        </w:rPr>
        <w:t>conocimiento que cultiva es estudios en lingüísticos, literarios, traductológicos y</w:t>
      </w:r>
      <w:r>
        <w:rPr>
          <w:color w:val="231F20"/>
          <w:spacing w:val="5"/>
          <w:w w:val="95"/>
          <w:sz w:val="14"/>
        </w:rPr>
        <w:t> </w:t>
      </w:r>
      <w:r>
        <w:rPr>
          <w:color w:val="231F20"/>
          <w:w w:val="95"/>
          <w:sz w:val="14"/>
        </w:rPr>
        <w:t>educativos.</w:t>
      </w:r>
    </w:p>
    <w:p>
      <w:pPr>
        <w:spacing w:line="273" w:lineRule="auto" w:before="8"/>
        <w:ind w:left="122" w:right="104" w:firstLine="0"/>
        <w:jc w:val="left"/>
        <w:rPr>
          <w:sz w:val="14"/>
        </w:rPr>
      </w:pPr>
      <w:r>
        <w:rPr>
          <w:color w:val="231F20"/>
          <w:position w:val="-4"/>
          <w:sz w:val="17"/>
        </w:rPr>
        <w:t>**</w:t>
      </w:r>
      <w:r>
        <w:rPr>
          <w:color w:val="231F20"/>
          <w:sz w:val="14"/>
        </w:rPr>
        <w:t>Doctora</w:t>
      </w:r>
      <w:r>
        <w:rPr>
          <w:color w:val="231F20"/>
          <w:spacing w:val="-20"/>
          <w:sz w:val="14"/>
        </w:rPr>
        <w:t> </w:t>
      </w:r>
      <w:r>
        <w:rPr>
          <w:color w:val="231F20"/>
          <w:sz w:val="14"/>
        </w:rPr>
        <w:t>en</w:t>
      </w:r>
      <w:r>
        <w:rPr>
          <w:color w:val="231F20"/>
          <w:spacing w:val="-20"/>
          <w:sz w:val="14"/>
        </w:rPr>
        <w:t> </w:t>
      </w:r>
      <w:r>
        <w:rPr>
          <w:color w:val="231F20"/>
          <w:sz w:val="14"/>
        </w:rPr>
        <w:t>Educación</w:t>
      </w:r>
      <w:r>
        <w:rPr>
          <w:color w:val="231F20"/>
          <w:spacing w:val="-20"/>
          <w:sz w:val="14"/>
        </w:rPr>
        <w:t> </w:t>
      </w:r>
      <w:r>
        <w:rPr>
          <w:color w:val="231F20"/>
          <w:sz w:val="14"/>
        </w:rPr>
        <w:t>Bilingüe</w:t>
      </w:r>
      <w:r>
        <w:rPr>
          <w:color w:val="231F20"/>
          <w:spacing w:val="-20"/>
          <w:sz w:val="14"/>
        </w:rPr>
        <w:t> </w:t>
      </w:r>
      <w:r>
        <w:rPr>
          <w:color w:val="231F20"/>
          <w:sz w:val="14"/>
        </w:rPr>
        <w:t>por</w:t>
      </w:r>
      <w:r>
        <w:rPr>
          <w:color w:val="231F20"/>
          <w:spacing w:val="-20"/>
          <w:sz w:val="14"/>
        </w:rPr>
        <w:t> </w:t>
      </w:r>
      <w:r>
        <w:rPr>
          <w:color w:val="231F20"/>
          <w:sz w:val="14"/>
        </w:rPr>
        <w:t>la</w:t>
      </w:r>
      <w:r>
        <w:rPr>
          <w:color w:val="231F20"/>
          <w:spacing w:val="-20"/>
          <w:sz w:val="14"/>
        </w:rPr>
        <w:t> </w:t>
      </w:r>
      <w:r>
        <w:rPr>
          <w:color w:val="231F20"/>
          <w:sz w:val="14"/>
        </w:rPr>
        <w:t>Universidad</w:t>
      </w:r>
      <w:r>
        <w:rPr>
          <w:color w:val="231F20"/>
          <w:spacing w:val="-20"/>
          <w:sz w:val="14"/>
        </w:rPr>
        <w:t> </w:t>
      </w:r>
      <w:r>
        <w:rPr>
          <w:color w:val="231F20"/>
          <w:sz w:val="14"/>
        </w:rPr>
        <w:t>deTexas</w:t>
      </w:r>
      <w:r>
        <w:rPr>
          <w:color w:val="231F20"/>
          <w:spacing w:val="-20"/>
          <w:sz w:val="14"/>
        </w:rPr>
        <w:t> </w:t>
      </w:r>
      <w:r>
        <w:rPr>
          <w:color w:val="231F20"/>
          <w:sz w:val="14"/>
        </w:rPr>
        <w:t>A&amp;M</w:t>
      </w:r>
      <w:r>
        <w:rPr>
          <w:color w:val="231F20"/>
          <w:spacing w:val="-20"/>
          <w:sz w:val="14"/>
        </w:rPr>
        <w:t> </w:t>
      </w:r>
      <w:r>
        <w:rPr>
          <w:color w:val="231F20"/>
          <w:sz w:val="14"/>
        </w:rPr>
        <w:t>University-Kingsville,</w:t>
      </w:r>
      <w:r>
        <w:rPr>
          <w:color w:val="231F20"/>
          <w:spacing w:val="-20"/>
          <w:sz w:val="14"/>
        </w:rPr>
        <w:t> </w:t>
      </w:r>
      <w:r>
        <w:rPr>
          <w:color w:val="231F20"/>
          <w:sz w:val="14"/>
        </w:rPr>
        <w:t>y</w:t>
      </w:r>
      <w:r>
        <w:rPr>
          <w:color w:val="231F20"/>
          <w:spacing w:val="-20"/>
          <w:sz w:val="14"/>
        </w:rPr>
        <w:t> </w:t>
      </w:r>
      <w:r>
        <w:rPr>
          <w:color w:val="231F20"/>
          <w:sz w:val="14"/>
        </w:rPr>
        <w:t>profesora</w:t>
      </w:r>
      <w:r>
        <w:rPr>
          <w:color w:val="231F20"/>
          <w:spacing w:val="-20"/>
          <w:sz w:val="14"/>
        </w:rPr>
        <w:t> </w:t>
      </w:r>
      <w:r>
        <w:rPr>
          <w:color w:val="231F20"/>
          <w:sz w:val="14"/>
        </w:rPr>
        <w:t>de Tiempo</w:t>
      </w:r>
      <w:r>
        <w:rPr>
          <w:color w:val="231F20"/>
          <w:spacing w:val="-15"/>
          <w:sz w:val="14"/>
        </w:rPr>
        <w:t> </w:t>
      </w:r>
      <w:r>
        <w:rPr>
          <w:color w:val="231F20"/>
          <w:sz w:val="14"/>
        </w:rPr>
        <w:t>Completo</w:t>
      </w:r>
      <w:r>
        <w:rPr>
          <w:color w:val="231F20"/>
          <w:spacing w:val="-15"/>
          <w:sz w:val="14"/>
        </w:rPr>
        <w:t> </w:t>
      </w:r>
      <w:r>
        <w:rPr>
          <w:color w:val="231F20"/>
          <w:sz w:val="14"/>
        </w:rPr>
        <w:t>adscrita</w:t>
      </w:r>
      <w:r>
        <w:rPr>
          <w:color w:val="231F20"/>
          <w:spacing w:val="-16"/>
          <w:sz w:val="14"/>
        </w:rPr>
        <w:t> </w:t>
      </w:r>
      <w:r>
        <w:rPr>
          <w:color w:val="231F20"/>
          <w:sz w:val="14"/>
        </w:rPr>
        <w:t>al</w:t>
      </w:r>
      <w:r>
        <w:rPr>
          <w:color w:val="231F20"/>
          <w:spacing w:val="-16"/>
          <w:sz w:val="14"/>
        </w:rPr>
        <w:t> </w:t>
      </w:r>
      <w:r>
        <w:rPr>
          <w:color w:val="231F20"/>
          <w:sz w:val="14"/>
        </w:rPr>
        <w:t>Instituto</w:t>
      </w:r>
      <w:r>
        <w:rPr>
          <w:color w:val="231F20"/>
          <w:spacing w:val="-15"/>
          <w:sz w:val="14"/>
        </w:rPr>
        <w:t> </w:t>
      </w:r>
      <w:r>
        <w:rPr>
          <w:color w:val="231F20"/>
          <w:sz w:val="14"/>
        </w:rPr>
        <w:t>de</w:t>
      </w:r>
      <w:r>
        <w:rPr>
          <w:color w:val="231F20"/>
          <w:spacing w:val="-15"/>
          <w:sz w:val="14"/>
        </w:rPr>
        <w:t> </w:t>
      </w:r>
      <w:r>
        <w:rPr>
          <w:color w:val="231F20"/>
          <w:sz w:val="14"/>
        </w:rPr>
        <w:t>Estudios</w:t>
      </w:r>
      <w:r>
        <w:rPr>
          <w:color w:val="231F20"/>
          <w:spacing w:val="-16"/>
          <w:sz w:val="14"/>
        </w:rPr>
        <w:t> </w:t>
      </w:r>
      <w:r>
        <w:rPr>
          <w:color w:val="231F20"/>
          <w:sz w:val="14"/>
        </w:rPr>
        <w:t>sobre</w:t>
      </w:r>
      <w:r>
        <w:rPr>
          <w:color w:val="231F20"/>
          <w:spacing w:val="-15"/>
          <w:sz w:val="14"/>
        </w:rPr>
        <w:t> </w:t>
      </w:r>
      <w:r>
        <w:rPr>
          <w:color w:val="231F20"/>
          <w:sz w:val="14"/>
        </w:rPr>
        <w:t>la</w:t>
      </w:r>
      <w:r>
        <w:rPr>
          <w:color w:val="231F20"/>
          <w:spacing w:val="-16"/>
          <w:sz w:val="14"/>
        </w:rPr>
        <w:t> </w:t>
      </w:r>
      <w:r>
        <w:rPr>
          <w:color w:val="231F20"/>
          <w:sz w:val="14"/>
        </w:rPr>
        <w:t>Universidad.</w:t>
      </w:r>
      <w:r>
        <w:rPr>
          <w:color w:val="231F20"/>
          <w:spacing w:val="-16"/>
          <w:sz w:val="14"/>
        </w:rPr>
        <w:t> </w:t>
      </w:r>
      <w:r>
        <w:rPr>
          <w:color w:val="231F20"/>
          <w:sz w:val="14"/>
        </w:rPr>
        <w:t>Actualmente</w:t>
      </w:r>
      <w:r>
        <w:rPr>
          <w:color w:val="231F20"/>
          <w:spacing w:val="-15"/>
          <w:sz w:val="14"/>
        </w:rPr>
        <w:t> </w:t>
      </w:r>
      <w:r>
        <w:rPr>
          <w:color w:val="231F20"/>
          <w:sz w:val="14"/>
        </w:rPr>
        <w:t>pertenece</w:t>
      </w:r>
      <w:r>
        <w:rPr>
          <w:color w:val="231F20"/>
          <w:spacing w:val="-15"/>
          <w:sz w:val="14"/>
        </w:rPr>
        <w:t> </w:t>
      </w:r>
      <w:r>
        <w:rPr>
          <w:color w:val="231F20"/>
          <w:sz w:val="14"/>
        </w:rPr>
        <w:t>al</w:t>
      </w:r>
      <w:r>
        <w:rPr>
          <w:color w:val="231F20"/>
          <w:spacing w:val="-16"/>
          <w:sz w:val="14"/>
        </w:rPr>
        <w:t> </w:t>
      </w:r>
      <w:r>
        <w:rPr>
          <w:color w:val="231F20"/>
          <w:sz w:val="14"/>
        </w:rPr>
        <w:t>Cuerpo</w:t>
      </w:r>
    </w:p>
    <w:p>
      <w:pPr>
        <w:spacing w:before="67"/>
        <w:ind w:left="122" w:right="104" w:firstLine="0"/>
        <w:jc w:val="left"/>
        <w:rPr>
          <w:sz w:val="14"/>
        </w:rPr>
      </w:pPr>
      <w:r>
        <w:rPr>
          <w:color w:val="231F20"/>
          <w:w w:val="95"/>
          <w:sz w:val="14"/>
        </w:rPr>
        <w:t>Académico deUniversidad y Desarrollo Humano.</w:t>
      </w:r>
    </w:p>
    <w:p>
      <w:pPr>
        <w:spacing w:after="0"/>
        <w:jc w:val="left"/>
        <w:rPr>
          <w:sz w:val="14"/>
        </w:rPr>
        <w:sectPr>
          <w:headerReference w:type="default" r:id="rId583"/>
          <w:footerReference w:type="default" r:id="rId584"/>
          <w:pgSz w:w="7830" w:h="11910"/>
          <w:pgMar w:header="0" w:footer="364" w:top="360" w:bottom="560" w:left="900" w:right="900"/>
          <w:pgNumType w:start="25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rPr>
          <w:sz w:val="16"/>
        </w:rPr>
      </w:pPr>
    </w:p>
    <w:p>
      <w:pPr>
        <w:pStyle w:val="BodyText"/>
        <w:spacing w:before="144"/>
        <w:ind w:left="102"/>
        <w:jc w:val="both"/>
      </w:pPr>
      <w:r>
        <w:rPr>
          <w:color w:val="231F20"/>
        </w:rPr>
        <w:t>Keywords: violence, reading, writing, literature, higher education</w:t>
      </w:r>
    </w:p>
    <w:p>
      <w:pPr>
        <w:pStyle w:val="BodyText"/>
        <w:rPr>
          <w:sz w:val="22"/>
        </w:rPr>
      </w:pPr>
    </w:p>
    <w:p>
      <w:pPr>
        <w:pStyle w:val="BodyText"/>
        <w:spacing w:before="3"/>
      </w:pPr>
    </w:p>
    <w:p>
      <w:pPr>
        <w:pStyle w:val="BodyText"/>
        <w:spacing w:line="247" w:lineRule="auto"/>
        <w:ind w:left="101" w:right="114"/>
        <w:jc w:val="both"/>
      </w:pPr>
      <w:r>
        <w:rPr>
          <w:color w:val="231F20"/>
        </w:rPr>
        <w:t>El presente trabajo tiene como finalidad mostrar de qué manera los jóvenes universitarios pueden tomar mayor conciencia de los pro- blemas sociales que aquejan a todos los ciudadanos, como el caso  de la violencia que se ha vivido en México en los últimos años. Por un lado, se propone un espacio de lectura que facilite el acceso a la cultura escrita en la universidad; por otro, se aclara que la lectura y  la escritura se practican en el aula como un ejercicio fundamental para desarrollar un sentido crítico en los sujetos que leen. Es decir, se valorará el taller de lectura como una propuesta didáctica, con el fin de proponerla como actividad útil para trabajar ejes transversa- les, con el fin de que los alumnos universitarios reflexionen crítica- mente sobre las creencias y acciones que propician o evitan la vio- lencia. En este caso, se discutió el tema a partir del cuento “El ár- bol”, de la escritora mexicana Elena</w:t>
      </w:r>
      <w:r>
        <w:rPr>
          <w:color w:val="231F20"/>
          <w:spacing w:val="26"/>
        </w:rPr>
        <w:t> </w:t>
      </w:r>
      <w:r>
        <w:rPr>
          <w:color w:val="231F20"/>
        </w:rPr>
        <w:t>Garro.</w:t>
      </w:r>
    </w:p>
    <w:p>
      <w:pPr>
        <w:pStyle w:val="BodyText"/>
        <w:spacing w:line="249" w:lineRule="auto" w:before="10"/>
        <w:ind w:left="101" w:right="115" w:firstLine="284"/>
        <w:jc w:val="both"/>
      </w:pPr>
      <w:r>
        <w:rPr>
          <w:color w:val="231F20"/>
        </w:rPr>
        <w:t>Se </w:t>
      </w:r>
      <w:r>
        <w:rPr>
          <w:color w:val="231F20"/>
          <w:spacing w:val="2"/>
        </w:rPr>
        <w:t>eligió </w:t>
      </w:r>
      <w:r>
        <w:rPr>
          <w:color w:val="231F20"/>
        </w:rPr>
        <w:t>un </w:t>
      </w:r>
      <w:r>
        <w:rPr>
          <w:color w:val="231F20"/>
          <w:spacing w:val="2"/>
        </w:rPr>
        <w:t>texto literario </w:t>
      </w:r>
      <w:r>
        <w:rPr>
          <w:color w:val="231F20"/>
          <w:spacing w:val="3"/>
        </w:rPr>
        <w:t>porque </w:t>
      </w:r>
      <w:r>
        <w:rPr>
          <w:color w:val="231F20"/>
        </w:rPr>
        <w:t>se </w:t>
      </w:r>
      <w:r>
        <w:rPr>
          <w:color w:val="231F20"/>
          <w:spacing w:val="2"/>
        </w:rPr>
        <w:t>sostiene que </w:t>
      </w:r>
      <w:r>
        <w:rPr>
          <w:color w:val="231F20"/>
        </w:rPr>
        <w:t>el </w:t>
      </w:r>
      <w:r>
        <w:rPr>
          <w:color w:val="231F20"/>
          <w:spacing w:val="2"/>
        </w:rPr>
        <w:t>carácter ficticio del cuento puede facilitar </w:t>
      </w:r>
      <w:r>
        <w:rPr>
          <w:color w:val="231F20"/>
        </w:rPr>
        <w:t>que </w:t>
      </w:r>
      <w:r>
        <w:rPr>
          <w:color w:val="231F20"/>
          <w:spacing w:val="2"/>
        </w:rPr>
        <w:t>los jóvenes discutan con mayor sinceridad acerca del tema </w:t>
      </w:r>
      <w:r>
        <w:rPr>
          <w:color w:val="231F20"/>
        </w:rPr>
        <w:t>de la </w:t>
      </w:r>
      <w:r>
        <w:rPr>
          <w:color w:val="231F20"/>
          <w:spacing w:val="2"/>
        </w:rPr>
        <w:t>violencia, pues </w:t>
      </w:r>
      <w:r>
        <w:rPr>
          <w:color w:val="231F20"/>
        </w:rPr>
        <w:t>se </w:t>
      </w:r>
      <w:r>
        <w:rPr>
          <w:color w:val="231F20"/>
          <w:spacing w:val="2"/>
        </w:rPr>
        <w:t>evitaría personalizar </w:t>
      </w:r>
      <w:r>
        <w:rPr>
          <w:color w:val="231F20"/>
        </w:rPr>
        <w:t>la </w:t>
      </w:r>
      <w:r>
        <w:rPr>
          <w:color w:val="231F20"/>
          <w:spacing w:val="3"/>
        </w:rPr>
        <w:t>información, </w:t>
      </w:r>
      <w:r>
        <w:rPr>
          <w:color w:val="231F20"/>
          <w:spacing w:val="2"/>
        </w:rPr>
        <w:t>para más tarde </w:t>
      </w:r>
      <w:r>
        <w:rPr>
          <w:color w:val="231F20"/>
          <w:spacing w:val="3"/>
        </w:rPr>
        <w:t>concentrarse </w:t>
      </w:r>
      <w:r>
        <w:rPr>
          <w:color w:val="231F20"/>
        </w:rPr>
        <w:t>en la </w:t>
      </w:r>
      <w:r>
        <w:rPr>
          <w:color w:val="231F20"/>
          <w:spacing w:val="2"/>
        </w:rPr>
        <w:t>discusión </w:t>
      </w:r>
      <w:r>
        <w:rPr>
          <w:color w:val="231F20"/>
        </w:rPr>
        <w:t>de </w:t>
      </w:r>
      <w:r>
        <w:rPr>
          <w:color w:val="231F20"/>
          <w:spacing w:val="2"/>
        </w:rPr>
        <w:t>los vínculos del texto literario con </w:t>
      </w:r>
      <w:r>
        <w:rPr>
          <w:color w:val="231F20"/>
        </w:rPr>
        <w:t>las </w:t>
      </w:r>
      <w:r>
        <w:rPr>
          <w:color w:val="231F20"/>
          <w:spacing w:val="3"/>
        </w:rPr>
        <w:t>condiciones </w:t>
      </w:r>
      <w:r>
        <w:rPr>
          <w:color w:val="231F20"/>
          <w:spacing w:val="2"/>
        </w:rPr>
        <w:t>sociales violentas que los estudiantes quisieran </w:t>
      </w:r>
      <w:r>
        <w:rPr>
          <w:color w:val="231F20"/>
          <w:spacing w:val="3"/>
        </w:rPr>
        <w:t>reconocer </w:t>
      </w:r>
      <w:r>
        <w:rPr>
          <w:color w:val="231F20"/>
        </w:rPr>
        <w:t>y </w:t>
      </w:r>
      <w:r>
        <w:rPr>
          <w:color w:val="231F20"/>
          <w:spacing w:val="3"/>
        </w:rPr>
        <w:t>discu- </w:t>
      </w:r>
      <w:r>
        <w:rPr>
          <w:color w:val="231F20"/>
        </w:rPr>
        <w:t>tir. </w:t>
      </w:r>
      <w:r>
        <w:rPr>
          <w:color w:val="231F20"/>
          <w:spacing w:val="2"/>
        </w:rPr>
        <w:t>Desde este </w:t>
      </w:r>
      <w:r>
        <w:rPr>
          <w:color w:val="231F20"/>
          <w:spacing w:val="3"/>
        </w:rPr>
        <w:t>punto </w:t>
      </w:r>
      <w:r>
        <w:rPr>
          <w:color w:val="231F20"/>
        </w:rPr>
        <w:t>de </w:t>
      </w:r>
      <w:r>
        <w:rPr>
          <w:color w:val="231F20"/>
          <w:spacing w:val="2"/>
        </w:rPr>
        <w:t>vista, </w:t>
      </w:r>
      <w:r>
        <w:rPr>
          <w:color w:val="231F20"/>
        </w:rPr>
        <w:t>se </w:t>
      </w:r>
      <w:r>
        <w:rPr>
          <w:color w:val="231F20"/>
          <w:spacing w:val="2"/>
        </w:rPr>
        <w:t>estaría </w:t>
      </w:r>
      <w:r>
        <w:rPr>
          <w:color w:val="231F20"/>
          <w:spacing w:val="3"/>
        </w:rPr>
        <w:t>empleando </w:t>
      </w:r>
      <w:r>
        <w:rPr>
          <w:color w:val="231F20"/>
        </w:rPr>
        <w:t>el </w:t>
      </w:r>
      <w:r>
        <w:rPr>
          <w:color w:val="231F20"/>
          <w:spacing w:val="2"/>
        </w:rPr>
        <w:t>texto litera- </w:t>
      </w:r>
      <w:r>
        <w:rPr>
          <w:color w:val="231F20"/>
        </w:rPr>
        <w:t>rio </w:t>
      </w:r>
      <w:r>
        <w:rPr>
          <w:color w:val="231F20"/>
          <w:spacing w:val="3"/>
        </w:rPr>
        <w:t>como </w:t>
      </w:r>
      <w:r>
        <w:rPr>
          <w:color w:val="231F20"/>
        </w:rPr>
        <w:t>un </w:t>
      </w:r>
      <w:r>
        <w:rPr>
          <w:color w:val="231F20"/>
          <w:spacing w:val="3"/>
        </w:rPr>
        <w:t>detonador </w:t>
      </w:r>
      <w:r>
        <w:rPr>
          <w:color w:val="231F20"/>
        </w:rPr>
        <w:t>de </w:t>
      </w:r>
      <w:r>
        <w:rPr>
          <w:color w:val="231F20"/>
          <w:spacing w:val="3"/>
        </w:rPr>
        <w:t>emociones, </w:t>
      </w:r>
      <w:r>
        <w:rPr>
          <w:color w:val="231F20"/>
          <w:spacing w:val="2"/>
        </w:rPr>
        <w:t>función </w:t>
      </w:r>
      <w:r>
        <w:rPr>
          <w:color w:val="231F20"/>
        </w:rPr>
        <w:t>a la </w:t>
      </w:r>
      <w:r>
        <w:rPr>
          <w:color w:val="231F20"/>
          <w:spacing w:val="2"/>
        </w:rPr>
        <w:t>cual Aristóte-  </w:t>
      </w:r>
      <w:r>
        <w:rPr>
          <w:color w:val="231F20"/>
        </w:rPr>
        <w:t>les </w:t>
      </w:r>
      <w:r>
        <w:rPr>
          <w:color w:val="231F20"/>
          <w:spacing w:val="2"/>
        </w:rPr>
        <w:t>llamó catarsis, esto </w:t>
      </w:r>
      <w:r>
        <w:rPr>
          <w:color w:val="231F20"/>
        </w:rPr>
        <w:t>es: el </w:t>
      </w:r>
      <w:r>
        <w:rPr>
          <w:color w:val="231F20"/>
          <w:spacing w:val="2"/>
        </w:rPr>
        <w:t>texto literario permite que </w:t>
      </w:r>
      <w:r>
        <w:rPr>
          <w:color w:val="231F20"/>
        </w:rPr>
        <w:t>el </w:t>
      </w:r>
      <w:r>
        <w:rPr>
          <w:color w:val="231F20"/>
          <w:spacing w:val="2"/>
        </w:rPr>
        <w:t>lector establezca </w:t>
      </w:r>
      <w:r>
        <w:rPr>
          <w:color w:val="231F20"/>
        </w:rPr>
        <w:t>un </w:t>
      </w:r>
      <w:r>
        <w:rPr>
          <w:color w:val="231F20"/>
          <w:spacing w:val="2"/>
        </w:rPr>
        <w:t>vínculo afectivo con los personajes </w:t>
      </w:r>
      <w:r>
        <w:rPr>
          <w:color w:val="231F20"/>
        </w:rPr>
        <w:t>y la  </w:t>
      </w:r>
      <w:r>
        <w:rPr>
          <w:color w:val="231F20"/>
          <w:spacing w:val="2"/>
        </w:rPr>
        <w:t>situación  </w:t>
      </w:r>
      <w:r>
        <w:rPr>
          <w:color w:val="231F20"/>
        </w:rPr>
        <w:t>que </w:t>
      </w:r>
      <w:r>
        <w:rPr>
          <w:color w:val="231F20"/>
          <w:spacing w:val="2"/>
        </w:rPr>
        <w:t>estos </w:t>
      </w:r>
      <w:r>
        <w:rPr>
          <w:color w:val="231F20"/>
          <w:spacing w:val="3"/>
        </w:rPr>
        <w:t>enfrentan. </w:t>
      </w:r>
      <w:r>
        <w:rPr>
          <w:color w:val="231F20"/>
          <w:spacing w:val="2"/>
        </w:rPr>
        <w:t>Así, </w:t>
      </w:r>
      <w:r>
        <w:rPr>
          <w:color w:val="231F20"/>
        </w:rPr>
        <w:t>la </w:t>
      </w:r>
      <w:r>
        <w:rPr>
          <w:color w:val="231F20"/>
          <w:spacing w:val="3"/>
        </w:rPr>
        <w:t>identificación </w:t>
      </w:r>
      <w:r>
        <w:rPr>
          <w:color w:val="231F20"/>
        </w:rPr>
        <w:t>de </w:t>
      </w:r>
      <w:r>
        <w:rPr>
          <w:color w:val="231F20"/>
          <w:spacing w:val="3"/>
        </w:rPr>
        <w:t>sentimientos </w:t>
      </w:r>
      <w:r>
        <w:rPr>
          <w:color w:val="231F20"/>
        </w:rPr>
        <w:t>de </w:t>
      </w:r>
      <w:r>
        <w:rPr>
          <w:color w:val="231F20"/>
          <w:spacing w:val="2"/>
        </w:rPr>
        <w:t>em- patía </w:t>
      </w:r>
      <w:r>
        <w:rPr>
          <w:color w:val="231F20"/>
        </w:rPr>
        <w:t>o </w:t>
      </w:r>
      <w:r>
        <w:rPr>
          <w:color w:val="231F20"/>
          <w:spacing w:val="2"/>
        </w:rPr>
        <w:t>antipatía con </w:t>
      </w:r>
      <w:r>
        <w:rPr>
          <w:color w:val="231F20"/>
        </w:rPr>
        <w:t>la </w:t>
      </w:r>
      <w:r>
        <w:rPr>
          <w:color w:val="231F20"/>
          <w:spacing w:val="2"/>
        </w:rPr>
        <w:t>historia </w:t>
      </w:r>
      <w:r>
        <w:rPr>
          <w:color w:val="231F20"/>
        </w:rPr>
        <w:t>de </w:t>
      </w:r>
      <w:r>
        <w:rPr>
          <w:color w:val="231F20"/>
          <w:spacing w:val="2"/>
        </w:rPr>
        <w:t>los personajes </w:t>
      </w:r>
      <w:r>
        <w:rPr>
          <w:color w:val="231F20"/>
          <w:spacing w:val="3"/>
        </w:rPr>
        <w:t>proporciona una </w:t>
      </w:r>
      <w:r>
        <w:rPr>
          <w:color w:val="231F20"/>
          <w:spacing w:val="2"/>
        </w:rPr>
        <w:t>base para discutir </w:t>
      </w:r>
      <w:r>
        <w:rPr>
          <w:color w:val="231F20"/>
          <w:spacing w:val="3"/>
        </w:rPr>
        <w:t>posteriormente puntos </w:t>
      </w:r>
      <w:r>
        <w:rPr>
          <w:color w:val="231F20"/>
        </w:rPr>
        <w:t>de </w:t>
      </w:r>
      <w:r>
        <w:rPr>
          <w:color w:val="231F20"/>
          <w:spacing w:val="2"/>
        </w:rPr>
        <w:t>vista personales. Por otra parte, </w:t>
      </w:r>
      <w:r>
        <w:rPr>
          <w:color w:val="231F20"/>
        </w:rPr>
        <w:t>el </w:t>
      </w:r>
      <w:r>
        <w:rPr>
          <w:color w:val="231F20"/>
          <w:spacing w:val="2"/>
        </w:rPr>
        <w:t>hecho </w:t>
      </w:r>
      <w:r>
        <w:rPr>
          <w:color w:val="231F20"/>
        </w:rPr>
        <w:t>de que el </w:t>
      </w:r>
      <w:r>
        <w:rPr>
          <w:color w:val="231F20"/>
          <w:spacing w:val="2"/>
        </w:rPr>
        <w:t>cuento </w:t>
      </w:r>
      <w:r>
        <w:rPr>
          <w:color w:val="231F20"/>
        </w:rPr>
        <w:t>de </w:t>
      </w:r>
      <w:r>
        <w:rPr>
          <w:color w:val="231F20"/>
          <w:spacing w:val="2"/>
        </w:rPr>
        <w:t>Elena Garro </w:t>
      </w:r>
      <w:r>
        <w:rPr>
          <w:color w:val="231F20"/>
        </w:rPr>
        <w:t>se </w:t>
      </w:r>
      <w:r>
        <w:rPr>
          <w:color w:val="231F20"/>
          <w:spacing w:val="3"/>
        </w:rPr>
        <w:t>comentara </w:t>
      </w:r>
      <w:r>
        <w:rPr>
          <w:color w:val="231F20"/>
        </w:rPr>
        <w:t>de </w:t>
      </w:r>
      <w:r>
        <w:rPr>
          <w:color w:val="231F20"/>
          <w:spacing w:val="3"/>
        </w:rPr>
        <w:t>manera </w:t>
      </w:r>
      <w:r>
        <w:rPr>
          <w:color w:val="231F20"/>
          <w:spacing w:val="2"/>
        </w:rPr>
        <w:t>colectiva permitió </w:t>
      </w:r>
      <w:r>
        <w:rPr>
          <w:color w:val="231F20"/>
        </w:rPr>
        <w:t>que </w:t>
      </w:r>
      <w:r>
        <w:rPr>
          <w:color w:val="231F20"/>
          <w:spacing w:val="2"/>
        </w:rPr>
        <w:t>los estudiantes enfrentaran </w:t>
      </w:r>
      <w:r>
        <w:rPr>
          <w:color w:val="231F20"/>
          <w:spacing w:val="3"/>
        </w:rPr>
        <w:t>pun- </w:t>
      </w:r>
      <w:r>
        <w:rPr>
          <w:color w:val="231F20"/>
          <w:spacing w:val="2"/>
        </w:rPr>
        <w:t>tos </w:t>
      </w:r>
      <w:r>
        <w:rPr>
          <w:color w:val="231F20"/>
        </w:rPr>
        <w:t>de </w:t>
      </w:r>
      <w:r>
        <w:rPr>
          <w:color w:val="231F20"/>
          <w:spacing w:val="2"/>
        </w:rPr>
        <w:t>vista variados </w:t>
      </w:r>
      <w:r>
        <w:rPr>
          <w:color w:val="231F20"/>
        </w:rPr>
        <w:t>y </w:t>
      </w:r>
      <w:r>
        <w:rPr>
          <w:color w:val="231F20"/>
          <w:spacing w:val="3"/>
        </w:rPr>
        <w:t>heterogéneos, </w:t>
      </w:r>
      <w:r>
        <w:rPr>
          <w:color w:val="231F20"/>
          <w:spacing w:val="2"/>
        </w:rPr>
        <w:t>condición que estimuló </w:t>
      </w:r>
      <w:r>
        <w:rPr>
          <w:color w:val="231F20"/>
        </w:rPr>
        <w:t>la </w:t>
      </w:r>
      <w:r>
        <w:rPr>
          <w:color w:val="231F20"/>
          <w:spacing w:val="3"/>
        </w:rPr>
        <w:t>toma </w:t>
      </w:r>
      <w:r>
        <w:rPr>
          <w:color w:val="231F20"/>
        </w:rPr>
        <w:t>de </w:t>
      </w:r>
      <w:r>
        <w:rPr>
          <w:color w:val="231F20"/>
          <w:spacing w:val="2"/>
        </w:rPr>
        <w:t>partido respecto </w:t>
      </w:r>
      <w:r>
        <w:rPr>
          <w:color w:val="231F20"/>
        </w:rPr>
        <w:t>del </w:t>
      </w:r>
      <w:r>
        <w:rPr>
          <w:color w:val="231F20"/>
          <w:spacing w:val="2"/>
        </w:rPr>
        <w:t>tema </w:t>
      </w:r>
      <w:r>
        <w:rPr>
          <w:color w:val="231F20"/>
        </w:rPr>
        <w:t>de la</w:t>
      </w:r>
      <w:r>
        <w:rPr>
          <w:color w:val="231F20"/>
          <w:spacing w:val="36"/>
        </w:rPr>
        <w:t> </w:t>
      </w:r>
      <w:r>
        <w:rPr>
          <w:color w:val="231F20"/>
          <w:spacing w:val="3"/>
        </w:rPr>
        <w:t>violencia.</w:t>
      </w:r>
    </w:p>
    <w:p>
      <w:pPr>
        <w:pStyle w:val="BodyText"/>
        <w:spacing w:line="247" w:lineRule="auto"/>
        <w:ind w:left="101" w:right="116" w:firstLine="284"/>
        <w:jc w:val="both"/>
      </w:pPr>
      <w:r>
        <w:rPr>
          <w:color w:val="231F20"/>
          <w:spacing w:val="2"/>
        </w:rPr>
        <w:t>Participaron veinte </w:t>
      </w:r>
      <w:r>
        <w:rPr>
          <w:color w:val="231F20"/>
          <w:spacing w:val="3"/>
        </w:rPr>
        <w:t>alumnos </w:t>
      </w:r>
      <w:r>
        <w:rPr>
          <w:color w:val="231F20"/>
        </w:rPr>
        <w:t>de </w:t>
      </w:r>
      <w:r>
        <w:rPr>
          <w:color w:val="231F20"/>
          <w:spacing w:val="2"/>
        </w:rPr>
        <w:t>licenciatura que </w:t>
      </w:r>
      <w:r>
        <w:rPr>
          <w:color w:val="231F20"/>
          <w:spacing w:val="3"/>
        </w:rPr>
        <w:t>cursan</w:t>
      </w:r>
      <w:r>
        <w:rPr>
          <w:color w:val="231F20"/>
          <w:spacing w:val="58"/>
        </w:rPr>
        <w:t> </w:t>
      </w:r>
      <w:r>
        <w:rPr>
          <w:color w:val="231F20"/>
          <w:spacing w:val="2"/>
        </w:rPr>
        <w:t>“Lectura </w:t>
      </w:r>
      <w:r>
        <w:rPr>
          <w:color w:val="231F20"/>
        </w:rPr>
        <w:t>y </w:t>
      </w:r>
      <w:r>
        <w:rPr>
          <w:color w:val="231F20"/>
          <w:spacing w:val="2"/>
        </w:rPr>
        <w:t>Redacción </w:t>
      </w:r>
      <w:r>
        <w:rPr>
          <w:color w:val="231F20"/>
        </w:rPr>
        <w:t>I” en la </w:t>
      </w:r>
      <w:r>
        <w:rPr>
          <w:color w:val="231F20"/>
          <w:spacing w:val="2"/>
        </w:rPr>
        <w:t>Facultad </w:t>
      </w:r>
      <w:r>
        <w:rPr>
          <w:color w:val="231F20"/>
        </w:rPr>
        <w:t>de </w:t>
      </w:r>
      <w:r>
        <w:rPr>
          <w:color w:val="231F20"/>
          <w:spacing w:val="3"/>
        </w:rPr>
        <w:t>Lenguas. </w:t>
      </w:r>
      <w:r>
        <w:rPr>
          <w:color w:val="231F20"/>
          <w:spacing w:val="2"/>
        </w:rPr>
        <w:t>Una </w:t>
      </w:r>
      <w:r>
        <w:rPr>
          <w:color w:val="231F20"/>
        </w:rPr>
        <w:t>de </w:t>
      </w:r>
      <w:r>
        <w:rPr>
          <w:color w:val="231F20"/>
          <w:spacing w:val="2"/>
        </w:rPr>
        <w:t>las</w:t>
      </w:r>
      <w:r>
        <w:rPr>
          <w:color w:val="231F20"/>
          <w:spacing w:val="56"/>
        </w:rPr>
        <w:t> </w:t>
      </w:r>
      <w:r>
        <w:rPr>
          <w:color w:val="231F20"/>
          <w:spacing w:val="2"/>
        </w:rPr>
        <w:t>investigadoras </w:t>
      </w:r>
      <w:r>
        <w:rPr>
          <w:color w:val="231F20"/>
        </w:rPr>
        <w:t>se </w:t>
      </w:r>
      <w:r>
        <w:rPr>
          <w:color w:val="231F20"/>
          <w:spacing w:val="3"/>
        </w:rPr>
        <w:t>desempeña como profesora </w:t>
      </w:r>
      <w:r>
        <w:rPr>
          <w:color w:val="231F20"/>
        </w:rPr>
        <w:t>de </w:t>
      </w:r>
      <w:r>
        <w:rPr>
          <w:color w:val="231F20"/>
          <w:spacing w:val="2"/>
        </w:rPr>
        <w:t>esta asignatura </w:t>
      </w:r>
      <w:r>
        <w:rPr>
          <w:color w:val="231F20"/>
          <w:spacing w:val="3"/>
        </w:rPr>
        <w:t>durante </w:t>
      </w:r>
      <w:r>
        <w:rPr>
          <w:color w:val="231F20"/>
        </w:rPr>
        <w:t>el </w:t>
      </w:r>
      <w:r>
        <w:rPr>
          <w:color w:val="231F20"/>
          <w:spacing w:val="2"/>
        </w:rPr>
        <w:t>semestre 2011-A</w:t>
      </w:r>
      <w:r>
        <w:rPr>
          <w:color w:val="231F20"/>
          <w:spacing w:val="-14"/>
        </w:rPr>
        <w:t> </w:t>
      </w:r>
      <w:r>
        <w:rPr>
          <w:color w:val="231F20"/>
          <w:spacing w:val="3"/>
        </w:rPr>
        <w:t>(febrero-junio).</w:t>
      </w:r>
    </w:p>
    <w:p>
      <w:pPr>
        <w:spacing w:after="0" w:line="247" w:lineRule="auto"/>
        <w:jc w:val="both"/>
        <w:sectPr>
          <w:headerReference w:type="default" r:id="rId585"/>
          <w:footerReference w:type="default" r:id="rId586"/>
          <w:pgSz w:w="7830" w:h="11910"/>
          <w:pgMar w:header="0" w:footer="424" w:top="500" w:bottom="620" w:left="920" w:right="900"/>
          <w:pgNumType w:start="25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3" w:firstLine="283"/>
        <w:jc w:val="both"/>
      </w:pPr>
      <w:r>
        <w:rPr>
          <w:color w:val="231F20"/>
        </w:rPr>
        <w:t>En </w:t>
      </w:r>
      <w:r>
        <w:rPr>
          <w:color w:val="231F20"/>
          <w:spacing w:val="2"/>
        </w:rPr>
        <w:t>este trabajo </w:t>
      </w:r>
      <w:r>
        <w:rPr>
          <w:color w:val="231F20"/>
        </w:rPr>
        <w:t>se </w:t>
      </w:r>
      <w:r>
        <w:rPr>
          <w:color w:val="231F20"/>
          <w:spacing w:val="2"/>
        </w:rPr>
        <w:t>asume </w:t>
      </w:r>
      <w:r>
        <w:rPr>
          <w:color w:val="231F20"/>
        </w:rPr>
        <w:t>que el </w:t>
      </w:r>
      <w:r>
        <w:rPr>
          <w:color w:val="231F20"/>
          <w:spacing w:val="2"/>
        </w:rPr>
        <w:t>tema </w:t>
      </w:r>
      <w:r>
        <w:rPr>
          <w:color w:val="231F20"/>
        </w:rPr>
        <w:t>de la </w:t>
      </w:r>
      <w:r>
        <w:rPr>
          <w:color w:val="231F20"/>
          <w:spacing w:val="2"/>
        </w:rPr>
        <w:t>violencia </w:t>
      </w:r>
      <w:r>
        <w:rPr>
          <w:color w:val="231F20"/>
        </w:rPr>
        <w:t>se ha </w:t>
      </w:r>
      <w:r>
        <w:rPr>
          <w:color w:val="231F20"/>
          <w:spacing w:val="3"/>
        </w:rPr>
        <w:t>sos- </w:t>
      </w:r>
      <w:r>
        <w:rPr>
          <w:color w:val="231F20"/>
          <w:spacing w:val="2"/>
        </w:rPr>
        <w:t>layado </w:t>
      </w:r>
      <w:r>
        <w:rPr>
          <w:color w:val="231F20"/>
        </w:rPr>
        <w:t>al </w:t>
      </w:r>
      <w:r>
        <w:rPr>
          <w:color w:val="231F20"/>
          <w:spacing w:val="2"/>
        </w:rPr>
        <w:t>interior </w:t>
      </w:r>
      <w:r>
        <w:rPr>
          <w:color w:val="231F20"/>
        </w:rPr>
        <w:t>de las </w:t>
      </w:r>
      <w:r>
        <w:rPr>
          <w:color w:val="231F20"/>
          <w:spacing w:val="2"/>
        </w:rPr>
        <w:t>aulas universitarias; </w:t>
      </w:r>
      <w:r>
        <w:rPr>
          <w:color w:val="231F20"/>
        </w:rPr>
        <w:t>de </w:t>
      </w:r>
      <w:r>
        <w:rPr>
          <w:color w:val="231F20"/>
          <w:spacing w:val="2"/>
        </w:rPr>
        <w:t>esta </w:t>
      </w:r>
      <w:r>
        <w:rPr>
          <w:color w:val="231F20"/>
          <w:spacing w:val="3"/>
        </w:rPr>
        <w:t>forma </w:t>
      </w:r>
      <w:r>
        <w:rPr>
          <w:color w:val="231F20"/>
        </w:rPr>
        <w:t>se ha </w:t>
      </w:r>
      <w:r>
        <w:rPr>
          <w:color w:val="231F20"/>
          <w:spacing w:val="3"/>
        </w:rPr>
        <w:t>fomentado </w:t>
      </w:r>
      <w:r>
        <w:rPr>
          <w:color w:val="231F20"/>
          <w:spacing w:val="2"/>
        </w:rPr>
        <w:t>una especie </w:t>
      </w:r>
      <w:r>
        <w:rPr>
          <w:color w:val="231F20"/>
        </w:rPr>
        <w:t>de </w:t>
      </w:r>
      <w:r>
        <w:rPr>
          <w:color w:val="231F20"/>
          <w:spacing w:val="2"/>
        </w:rPr>
        <w:t>sordera, </w:t>
      </w:r>
      <w:r>
        <w:rPr>
          <w:color w:val="231F20"/>
        </w:rPr>
        <w:t>y de </w:t>
      </w:r>
      <w:r>
        <w:rPr>
          <w:color w:val="231F20"/>
          <w:spacing w:val="2"/>
        </w:rPr>
        <w:t>ceguera, frente </w:t>
      </w:r>
      <w:r>
        <w:rPr>
          <w:color w:val="231F20"/>
        </w:rPr>
        <w:t>a </w:t>
      </w:r>
      <w:r>
        <w:rPr>
          <w:color w:val="231F20"/>
          <w:spacing w:val="2"/>
        </w:rPr>
        <w:t>los </w:t>
      </w:r>
      <w:r>
        <w:rPr>
          <w:color w:val="231F20"/>
          <w:spacing w:val="3"/>
        </w:rPr>
        <w:t>pro- </w:t>
      </w:r>
      <w:r>
        <w:rPr>
          <w:color w:val="231F20"/>
          <w:spacing w:val="2"/>
        </w:rPr>
        <w:t>blemas </w:t>
      </w:r>
      <w:r>
        <w:rPr>
          <w:color w:val="231F20"/>
        </w:rPr>
        <w:t>que </w:t>
      </w:r>
      <w:r>
        <w:rPr>
          <w:color w:val="231F20"/>
          <w:spacing w:val="2"/>
        </w:rPr>
        <w:t>enfrenta nuestro país, agravados por </w:t>
      </w:r>
      <w:r>
        <w:rPr>
          <w:color w:val="231F20"/>
        </w:rPr>
        <w:t>la </w:t>
      </w:r>
      <w:r>
        <w:rPr>
          <w:color w:val="231F20"/>
          <w:spacing w:val="2"/>
        </w:rPr>
        <w:t>“guerra” </w:t>
      </w:r>
      <w:r>
        <w:rPr>
          <w:color w:val="231F20"/>
          <w:spacing w:val="4"/>
        </w:rPr>
        <w:t>con- </w:t>
      </w:r>
      <w:r>
        <w:rPr>
          <w:color w:val="231F20"/>
        </w:rPr>
        <w:t>tra el </w:t>
      </w:r>
      <w:r>
        <w:rPr>
          <w:color w:val="231F20"/>
          <w:spacing w:val="2"/>
        </w:rPr>
        <w:t>narcotráfico, </w:t>
      </w:r>
      <w:r>
        <w:rPr>
          <w:color w:val="231F20"/>
          <w:spacing w:val="3"/>
        </w:rPr>
        <w:t>emprendida </w:t>
      </w:r>
      <w:r>
        <w:rPr>
          <w:color w:val="231F20"/>
          <w:spacing w:val="2"/>
        </w:rPr>
        <w:t>por </w:t>
      </w:r>
      <w:r>
        <w:rPr>
          <w:color w:val="231F20"/>
        </w:rPr>
        <w:t>el </w:t>
      </w:r>
      <w:r>
        <w:rPr>
          <w:color w:val="231F20"/>
          <w:spacing w:val="2"/>
        </w:rPr>
        <w:t>presidente Felipe Calderón. </w:t>
      </w:r>
      <w:r>
        <w:rPr>
          <w:color w:val="231F20"/>
        </w:rPr>
        <w:t>La </w:t>
      </w:r>
      <w:r>
        <w:rPr>
          <w:color w:val="231F20"/>
          <w:spacing w:val="2"/>
        </w:rPr>
        <w:t>comprensión acerca </w:t>
      </w:r>
      <w:r>
        <w:rPr>
          <w:color w:val="231F20"/>
        </w:rPr>
        <w:t>de la </w:t>
      </w:r>
      <w:r>
        <w:rPr>
          <w:color w:val="231F20"/>
          <w:spacing w:val="2"/>
        </w:rPr>
        <w:t>complejidad del </w:t>
      </w:r>
      <w:r>
        <w:rPr>
          <w:color w:val="231F20"/>
          <w:spacing w:val="3"/>
        </w:rPr>
        <w:t>fenómeno </w:t>
      </w:r>
      <w:r>
        <w:rPr>
          <w:color w:val="231F20"/>
          <w:spacing w:val="2"/>
        </w:rPr>
        <w:t>gana </w:t>
      </w:r>
      <w:r>
        <w:rPr>
          <w:color w:val="231F20"/>
        </w:rPr>
        <w:t>en </w:t>
      </w:r>
      <w:r>
        <w:rPr>
          <w:color w:val="231F20"/>
          <w:spacing w:val="2"/>
        </w:rPr>
        <w:t>profundidad </w:t>
      </w:r>
      <w:r>
        <w:rPr>
          <w:color w:val="231F20"/>
        </w:rPr>
        <w:t>si se </w:t>
      </w:r>
      <w:r>
        <w:rPr>
          <w:color w:val="231F20"/>
          <w:spacing w:val="2"/>
        </w:rPr>
        <w:t>recurre </w:t>
      </w:r>
      <w:r>
        <w:rPr>
          <w:color w:val="231F20"/>
        </w:rPr>
        <w:t>a la </w:t>
      </w:r>
      <w:r>
        <w:rPr>
          <w:color w:val="231F20"/>
          <w:spacing w:val="2"/>
        </w:rPr>
        <w:t>lectura, </w:t>
      </w:r>
      <w:r>
        <w:rPr>
          <w:color w:val="231F20"/>
          <w:spacing w:val="3"/>
        </w:rPr>
        <w:t>comprensión </w:t>
      </w:r>
      <w:r>
        <w:rPr>
          <w:color w:val="231F20"/>
        </w:rPr>
        <w:t>y </w:t>
      </w:r>
      <w:r>
        <w:rPr>
          <w:color w:val="231F20"/>
          <w:spacing w:val="2"/>
        </w:rPr>
        <w:t>discusión colectiva </w:t>
      </w:r>
      <w:r>
        <w:rPr>
          <w:color w:val="231F20"/>
        </w:rPr>
        <w:t>de </w:t>
      </w:r>
      <w:r>
        <w:rPr>
          <w:color w:val="231F20"/>
          <w:spacing w:val="2"/>
        </w:rPr>
        <w:t>textos literarios que traten </w:t>
      </w:r>
      <w:r>
        <w:rPr>
          <w:color w:val="231F20"/>
        </w:rPr>
        <w:t>el </w:t>
      </w:r>
      <w:r>
        <w:rPr>
          <w:color w:val="231F20"/>
          <w:spacing w:val="2"/>
        </w:rPr>
        <w:t>tema. Siguiendo este </w:t>
      </w:r>
      <w:r>
        <w:rPr>
          <w:color w:val="231F20"/>
          <w:spacing w:val="3"/>
        </w:rPr>
        <w:t>planteamiento, </w:t>
      </w:r>
      <w:r>
        <w:rPr>
          <w:color w:val="231F20"/>
        </w:rPr>
        <w:t>en </w:t>
      </w:r>
      <w:r>
        <w:rPr>
          <w:color w:val="231F20"/>
          <w:spacing w:val="2"/>
        </w:rPr>
        <w:t>este trabajo </w:t>
      </w:r>
      <w:r>
        <w:rPr>
          <w:color w:val="231F20"/>
        </w:rPr>
        <w:t>se </w:t>
      </w:r>
      <w:r>
        <w:rPr>
          <w:color w:val="231F20"/>
          <w:spacing w:val="2"/>
        </w:rPr>
        <w:t>analizarán los </w:t>
      </w:r>
      <w:r>
        <w:rPr>
          <w:color w:val="231F20"/>
          <w:spacing w:val="3"/>
        </w:rPr>
        <w:t>comentarios </w:t>
      </w:r>
      <w:r>
        <w:rPr>
          <w:color w:val="231F20"/>
          <w:spacing w:val="2"/>
        </w:rPr>
        <w:t>que  </w:t>
      </w:r>
      <w:r>
        <w:rPr>
          <w:color w:val="231F20"/>
        </w:rPr>
        <w:t>un </w:t>
      </w:r>
      <w:r>
        <w:rPr>
          <w:color w:val="231F20"/>
          <w:spacing w:val="2"/>
        </w:rPr>
        <w:t>grupo </w:t>
      </w:r>
      <w:r>
        <w:rPr>
          <w:color w:val="231F20"/>
        </w:rPr>
        <w:t>de </w:t>
      </w:r>
      <w:r>
        <w:rPr>
          <w:color w:val="231F20"/>
          <w:spacing w:val="2"/>
        </w:rPr>
        <w:t>estudiantes expuso </w:t>
      </w:r>
      <w:r>
        <w:rPr>
          <w:color w:val="231F20"/>
        </w:rPr>
        <w:t>a </w:t>
      </w:r>
      <w:r>
        <w:rPr>
          <w:color w:val="231F20"/>
          <w:spacing w:val="2"/>
        </w:rPr>
        <w:t>partir </w:t>
      </w:r>
      <w:r>
        <w:rPr>
          <w:color w:val="231F20"/>
        </w:rPr>
        <w:t>de un </w:t>
      </w:r>
      <w:r>
        <w:rPr>
          <w:color w:val="231F20"/>
          <w:spacing w:val="2"/>
        </w:rPr>
        <w:t>cuento </w:t>
      </w:r>
      <w:r>
        <w:rPr>
          <w:color w:val="231F20"/>
        </w:rPr>
        <w:t>de </w:t>
      </w:r>
      <w:r>
        <w:rPr>
          <w:color w:val="231F20"/>
          <w:spacing w:val="2"/>
        </w:rPr>
        <w:t>Elena Garro que trata </w:t>
      </w:r>
      <w:r>
        <w:rPr>
          <w:color w:val="231F20"/>
        </w:rPr>
        <w:t>de </w:t>
      </w:r>
      <w:r>
        <w:rPr>
          <w:color w:val="231F20"/>
          <w:spacing w:val="2"/>
        </w:rPr>
        <w:t>una indígena asesina. </w:t>
      </w:r>
      <w:r>
        <w:rPr>
          <w:color w:val="231F20"/>
        </w:rPr>
        <w:t>La </w:t>
      </w:r>
      <w:r>
        <w:rPr>
          <w:color w:val="231F20"/>
          <w:spacing w:val="2"/>
        </w:rPr>
        <w:t>reflexión colectiva </w:t>
      </w:r>
      <w:r>
        <w:rPr>
          <w:color w:val="231F20"/>
          <w:spacing w:val="3"/>
        </w:rPr>
        <w:t>fue </w:t>
      </w:r>
      <w:r>
        <w:rPr>
          <w:color w:val="231F20"/>
          <w:spacing w:val="2"/>
        </w:rPr>
        <w:t>expuesta primero </w:t>
      </w:r>
      <w:r>
        <w:rPr>
          <w:color w:val="231F20"/>
        </w:rPr>
        <w:t>en </w:t>
      </w:r>
      <w:r>
        <w:rPr>
          <w:color w:val="231F20"/>
          <w:spacing w:val="3"/>
        </w:rPr>
        <w:t>forma </w:t>
      </w:r>
      <w:r>
        <w:rPr>
          <w:color w:val="231F20"/>
          <w:spacing w:val="2"/>
        </w:rPr>
        <w:t>oral; </w:t>
      </w:r>
      <w:r>
        <w:rPr>
          <w:color w:val="231F20"/>
          <w:spacing w:val="3"/>
        </w:rPr>
        <w:t>después </w:t>
      </w:r>
      <w:r>
        <w:rPr>
          <w:color w:val="231F20"/>
        </w:rPr>
        <w:t>las </w:t>
      </w:r>
      <w:r>
        <w:rPr>
          <w:color w:val="231F20"/>
          <w:spacing w:val="2"/>
        </w:rPr>
        <w:t>investigadoras </w:t>
      </w:r>
      <w:r>
        <w:rPr>
          <w:color w:val="231F20"/>
        </w:rPr>
        <w:t>la </w:t>
      </w:r>
      <w:r>
        <w:rPr>
          <w:color w:val="231F20"/>
          <w:spacing w:val="2"/>
        </w:rPr>
        <w:t>redactaron </w:t>
      </w:r>
      <w:r>
        <w:rPr>
          <w:color w:val="231F20"/>
        </w:rPr>
        <w:t>en </w:t>
      </w:r>
      <w:r>
        <w:rPr>
          <w:color w:val="231F20"/>
          <w:spacing w:val="3"/>
        </w:rPr>
        <w:t>forma </w:t>
      </w:r>
      <w:r>
        <w:rPr>
          <w:color w:val="231F20"/>
        </w:rPr>
        <w:t>de </w:t>
      </w:r>
      <w:r>
        <w:rPr>
          <w:color w:val="231F20"/>
          <w:spacing w:val="2"/>
        </w:rPr>
        <w:t>diario  para, </w:t>
      </w:r>
      <w:r>
        <w:rPr>
          <w:color w:val="231F20"/>
          <w:spacing w:val="3"/>
        </w:rPr>
        <w:t>posteriormente, </w:t>
      </w:r>
      <w:r>
        <w:rPr>
          <w:color w:val="231F20"/>
          <w:spacing w:val="2"/>
        </w:rPr>
        <w:t>mostrarlo  </w:t>
      </w:r>
      <w:r>
        <w:rPr>
          <w:color w:val="231F20"/>
        </w:rPr>
        <w:t>a </w:t>
      </w:r>
      <w:r>
        <w:rPr>
          <w:color w:val="231F20"/>
          <w:spacing w:val="2"/>
        </w:rPr>
        <w:t>los </w:t>
      </w:r>
      <w:r>
        <w:rPr>
          <w:color w:val="231F20"/>
          <w:spacing w:val="3"/>
        </w:rPr>
        <w:t>alumnos, </w:t>
      </w:r>
      <w:r>
        <w:rPr>
          <w:color w:val="231F20"/>
          <w:spacing w:val="2"/>
        </w:rPr>
        <w:t>revisarlo, corregirlo </w:t>
      </w:r>
      <w:r>
        <w:rPr>
          <w:color w:val="231F20"/>
        </w:rPr>
        <w:t>y </w:t>
      </w:r>
      <w:r>
        <w:rPr>
          <w:color w:val="231F20"/>
          <w:spacing w:val="2"/>
        </w:rPr>
        <w:t>editarlo </w:t>
      </w:r>
      <w:r>
        <w:rPr>
          <w:color w:val="231F20"/>
        </w:rPr>
        <w:t>de </w:t>
      </w:r>
      <w:r>
        <w:rPr>
          <w:color w:val="231F20"/>
          <w:spacing w:val="3"/>
        </w:rPr>
        <w:t>manera </w:t>
      </w:r>
      <w:r>
        <w:rPr>
          <w:color w:val="231F20"/>
          <w:spacing w:val="2"/>
        </w:rPr>
        <w:t>colectiva.  </w:t>
      </w:r>
      <w:r>
        <w:rPr>
          <w:color w:val="231F20"/>
        </w:rPr>
        <w:t>El </w:t>
      </w:r>
      <w:r>
        <w:rPr>
          <w:color w:val="231F20"/>
          <w:spacing w:val="2"/>
        </w:rPr>
        <w:t>texto colectivo </w:t>
      </w:r>
      <w:r>
        <w:rPr>
          <w:color w:val="231F20"/>
        </w:rPr>
        <w:t>se </w:t>
      </w:r>
      <w:r>
        <w:rPr>
          <w:color w:val="231F20"/>
          <w:spacing w:val="2"/>
        </w:rPr>
        <w:t>relaciona con </w:t>
      </w:r>
      <w:r>
        <w:rPr>
          <w:color w:val="231F20"/>
        </w:rPr>
        <w:t>las </w:t>
      </w:r>
      <w:r>
        <w:rPr>
          <w:color w:val="231F20"/>
          <w:spacing w:val="3"/>
        </w:rPr>
        <w:t>opiniones </w:t>
      </w:r>
      <w:r>
        <w:rPr>
          <w:color w:val="231F20"/>
          <w:spacing w:val="2"/>
        </w:rPr>
        <w:t>que, </w:t>
      </w:r>
      <w:r>
        <w:rPr>
          <w:color w:val="231F20"/>
        </w:rPr>
        <w:t>de </w:t>
      </w:r>
      <w:r>
        <w:rPr>
          <w:color w:val="231F20"/>
          <w:spacing w:val="3"/>
        </w:rPr>
        <w:t>manera </w:t>
      </w:r>
      <w:r>
        <w:rPr>
          <w:color w:val="231F20"/>
          <w:spacing w:val="2"/>
        </w:rPr>
        <w:t>individual </w:t>
      </w:r>
      <w:r>
        <w:rPr>
          <w:color w:val="231F20"/>
        </w:rPr>
        <w:t>y </w:t>
      </w:r>
      <w:r>
        <w:rPr>
          <w:color w:val="231F20"/>
          <w:spacing w:val="2"/>
        </w:rPr>
        <w:t>por escrito, los </w:t>
      </w:r>
      <w:r>
        <w:rPr>
          <w:color w:val="231F20"/>
          <w:spacing w:val="3"/>
        </w:rPr>
        <w:t>alumnos </w:t>
      </w:r>
      <w:r>
        <w:rPr>
          <w:color w:val="231F20"/>
          <w:spacing w:val="2"/>
        </w:rPr>
        <w:t>expusieron  para  tratar  </w:t>
      </w:r>
      <w:r>
        <w:rPr>
          <w:color w:val="231F20"/>
        </w:rPr>
        <w:t>el </w:t>
      </w:r>
      <w:r>
        <w:rPr>
          <w:color w:val="231F20"/>
          <w:spacing w:val="2"/>
        </w:rPr>
        <w:t>tema </w:t>
      </w:r>
      <w:r>
        <w:rPr>
          <w:color w:val="231F20"/>
        </w:rPr>
        <w:t>de la </w:t>
      </w:r>
      <w:r>
        <w:rPr>
          <w:color w:val="231F20"/>
          <w:spacing w:val="2"/>
        </w:rPr>
        <w:t>violencia. </w:t>
      </w:r>
      <w:r>
        <w:rPr>
          <w:color w:val="231F20"/>
        </w:rPr>
        <w:t>Se </w:t>
      </w:r>
      <w:r>
        <w:rPr>
          <w:color w:val="231F20"/>
          <w:spacing w:val="2"/>
        </w:rPr>
        <w:t>muestra </w:t>
      </w:r>
      <w:r>
        <w:rPr>
          <w:color w:val="231F20"/>
        </w:rPr>
        <w:t>que </w:t>
      </w:r>
      <w:r>
        <w:rPr>
          <w:color w:val="231F20"/>
          <w:spacing w:val="2"/>
        </w:rPr>
        <w:t>los </w:t>
      </w:r>
      <w:r>
        <w:rPr>
          <w:color w:val="231F20"/>
          <w:spacing w:val="3"/>
        </w:rPr>
        <w:t>comentarios </w:t>
      </w:r>
      <w:r>
        <w:rPr>
          <w:color w:val="231F20"/>
          <w:spacing w:val="2"/>
        </w:rPr>
        <w:t>individuales tienden </w:t>
      </w:r>
      <w:r>
        <w:rPr>
          <w:color w:val="231F20"/>
        </w:rPr>
        <w:t>a ser </w:t>
      </w:r>
      <w:r>
        <w:rPr>
          <w:color w:val="231F20"/>
          <w:spacing w:val="2"/>
        </w:rPr>
        <w:t>más superficiales </w:t>
      </w:r>
      <w:r>
        <w:rPr>
          <w:color w:val="231F20"/>
        </w:rPr>
        <w:t>y de </w:t>
      </w:r>
      <w:r>
        <w:rPr>
          <w:color w:val="231F20"/>
          <w:spacing w:val="2"/>
        </w:rPr>
        <w:t>denuncia </w:t>
      </w:r>
      <w:r>
        <w:rPr>
          <w:color w:val="231F20"/>
        </w:rPr>
        <w:t>que de </w:t>
      </w:r>
      <w:r>
        <w:rPr>
          <w:color w:val="231F20"/>
          <w:spacing w:val="3"/>
        </w:rPr>
        <w:t>comprensión </w:t>
      </w:r>
      <w:r>
        <w:rPr>
          <w:color w:val="231F20"/>
          <w:spacing w:val="2"/>
        </w:rPr>
        <w:t>acerca </w:t>
      </w:r>
      <w:r>
        <w:rPr>
          <w:color w:val="231F20"/>
        </w:rPr>
        <w:t>de </w:t>
      </w:r>
      <w:r>
        <w:rPr>
          <w:color w:val="231F20"/>
          <w:spacing w:val="2"/>
        </w:rPr>
        <w:t>los múltiples factores involucrados </w:t>
      </w:r>
      <w:r>
        <w:rPr>
          <w:color w:val="231F20"/>
        </w:rPr>
        <w:t>en las </w:t>
      </w:r>
      <w:r>
        <w:rPr>
          <w:color w:val="231F20"/>
          <w:spacing w:val="3"/>
        </w:rPr>
        <w:t>manifestacio- </w:t>
      </w:r>
      <w:r>
        <w:rPr>
          <w:color w:val="231F20"/>
          <w:spacing w:val="2"/>
        </w:rPr>
        <w:t>nes </w:t>
      </w:r>
      <w:r>
        <w:rPr>
          <w:color w:val="231F20"/>
        </w:rPr>
        <w:t>de </w:t>
      </w:r>
      <w:r>
        <w:rPr>
          <w:color w:val="231F20"/>
          <w:spacing w:val="2"/>
        </w:rPr>
        <w:t>violencia. Los beneficios </w:t>
      </w:r>
      <w:r>
        <w:rPr>
          <w:color w:val="231F20"/>
        </w:rPr>
        <w:t>de </w:t>
      </w:r>
      <w:r>
        <w:rPr>
          <w:color w:val="231F20"/>
          <w:spacing w:val="3"/>
        </w:rPr>
        <w:t>compartir </w:t>
      </w:r>
      <w:r>
        <w:rPr>
          <w:color w:val="231F20"/>
        </w:rPr>
        <w:t>la </w:t>
      </w:r>
      <w:r>
        <w:rPr>
          <w:color w:val="231F20"/>
          <w:spacing w:val="2"/>
        </w:rPr>
        <w:t>lectura, </w:t>
      </w:r>
      <w:r>
        <w:rPr>
          <w:color w:val="231F20"/>
        </w:rPr>
        <w:t>la </w:t>
      </w:r>
      <w:r>
        <w:rPr>
          <w:color w:val="231F20"/>
          <w:spacing w:val="2"/>
        </w:rPr>
        <w:t>refle- xión </w:t>
      </w:r>
      <w:r>
        <w:rPr>
          <w:color w:val="231F20"/>
        </w:rPr>
        <w:t>y la </w:t>
      </w:r>
      <w:r>
        <w:rPr>
          <w:color w:val="231F20"/>
          <w:spacing w:val="2"/>
        </w:rPr>
        <w:t>escritura son útiles para desarrollar </w:t>
      </w:r>
      <w:r>
        <w:rPr>
          <w:color w:val="231F20"/>
        </w:rPr>
        <w:t>las </w:t>
      </w:r>
      <w:r>
        <w:rPr>
          <w:color w:val="231F20"/>
          <w:spacing w:val="2"/>
        </w:rPr>
        <w:t>capacidades </w:t>
      </w:r>
      <w:r>
        <w:rPr>
          <w:color w:val="231F20"/>
        </w:rPr>
        <w:t>críti- cas de </w:t>
      </w:r>
      <w:r>
        <w:rPr>
          <w:color w:val="231F20"/>
          <w:spacing w:val="2"/>
        </w:rPr>
        <w:t>los participantes.Los </w:t>
      </w:r>
      <w:r>
        <w:rPr>
          <w:color w:val="231F20"/>
          <w:spacing w:val="3"/>
        </w:rPr>
        <w:t>elementos fundamentales </w:t>
      </w:r>
      <w:r>
        <w:rPr>
          <w:color w:val="231F20"/>
          <w:spacing w:val="2"/>
        </w:rPr>
        <w:t>del </w:t>
      </w:r>
      <w:r>
        <w:rPr>
          <w:color w:val="231F20"/>
          <w:spacing w:val="3"/>
        </w:rPr>
        <w:t>marco </w:t>
      </w:r>
      <w:r>
        <w:rPr>
          <w:color w:val="231F20"/>
          <w:spacing w:val="2"/>
        </w:rPr>
        <w:t>teórico</w:t>
      </w:r>
      <w:r>
        <w:rPr>
          <w:color w:val="231F20"/>
          <w:spacing w:val="-30"/>
        </w:rPr>
        <w:t> </w:t>
      </w:r>
      <w:r>
        <w:rPr>
          <w:color w:val="231F20"/>
          <w:spacing w:val="2"/>
        </w:rPr>
        <w:t>son:</w:t>
      </w:r>
      <w:r>
        <w:rPr>
          <w:color w:val="231F20"/>
          <w:spacing w:val="-30"/>
        </w:rPr>
        <w:t> </w:t>
      </w:r>
      <w:r>
        <w:rPr>
          <w:color w:val="231F20"/>
          <w:spacing w:val="2"/>
        </w:rPr>
        <w:t>Walter</w:t>
      </w:r>
      <w:r>
        <w:rPr>
          <w:color w:val="231F20"/>
          <w:spacing w:val="-30"/>
        </w:rPr>
        <w:t> </w:t>
      </w:r>
      <w:r>
        <w:rPr>
          <w:color w:val="231F20"/>
          <w:spacing w:val="3"/>
        </w:rPr>
        <w:t>Benjamin,</w:t>
      </w:r>
      <w:r>
        <w:rPr>
          <w:color w:val="231F20"/>
          <w:spacing w:val="-30"/>
        </w:rPr>
        <w:t> </w:t>
      </w:r>
      <w:r>
        <w:rPr>
          <w:i/>
          <w:color w:val="231F20"/>
          <w:spacing w:val="2"/>
        </w:rPr>
        <w:t>Critique</w:t>
      </w:r>
      <w:r>
        <w:rPr>
          <w:i/>
          <w:color w:val="231F20"/>
          <w:spacing w:val="-30"/>
        </w:rPr>
        <w:t> </w:t>
      </w:r>
      <w:r>
        <w:rPr>
          <w:i/>
          <w:color w:val="231F20"/>
        </w:rPr>
        <w:t>de</w:t>
      </w:r>
      <w:r>
        <w:rPr>
          <w:i/>
          <w:color w:val="231F20"/>
          <w:spacing w:val="-30"/>
        </w:rPr>
        <w:t> </w:t>
      </w:r>
      <w:r>
        <w:rPr>
          <w:i/>
          <w:color w:val="231F20"/>
        </w:rPr>
        <w:t>la</w:t>
      </w:r>
      <w:r>
        <w:rPr>
          <w:i/>
          <w:color w:val="231F20"/>
          <w:spacing w:val="-30"/>
        </w:rPr>
        <w:t> </w:t>
      </w:r>
      <w:r>
        <w:rPr>
          <w:i/>
          <w:color w:val="231F20"/>
          <w:spacing w:val="2"/>
        </w:rPr>
        <w:t>violence</w:t>
      </w:r>
      <w:r>
        <w:rPr>
          <w:color w:val="231F20"/>
          <w:spacing w:val="2"/>
        </w:rPr>
        <w:t>,</w:t>
      </w:r>
      <w:r>
        <w:rPr>
          <w:color w:val="231F20"/>
          <w:spacing w:val="-30"/>
        </w:rPr>
        <w:t> </w:t>
      </w:r>
      <w:r>
        <w:rPr>
          <w:color w:val="231F20"/>
          <w:spacing w:val="2"/>
        </w:rPr>
        <w:t>Larrosa,</w:t>
      </w:r>
      <w:r>
        <w:rPr>
          <w:color w:val="231F20"/>
          <w:spacing w:val="-30"/>
        </w:rPr>
        <w:t> </w:t>
      </w:r>
      <w:r>
        <w:rPr>
          <w:color w:val="231F20"/>
          <w:spacing w:val="2"/>
        </w:rPr>
        <w:t>Ferrei- </w:t>
      </w:r>
      <w:r>
        <w:rPr>
          <w:color w:val="231F20"/>
          <w:spacing w:val="2"/>
          <w:w w:val="95"/>
        </w:rPr>
        <w:t>ro,</w:t>
      </w:r>
      <w:r>
        <w:rPr>
          <w:color w:val="231F20"/>
          <w:spacing w:val="-12"/>
          <w:w w:val="95"/>
        </w:rPr>
        <w:t> </w:t>
      </w:r>
      <w:r>
        <w:rPr>
          <w:color w:val="231F20"/>
          <w:spacing w:val="2"/>
          <w:w w:val="95"/>
        </w:rPr>
        <w:t>Luke</w:t>
      </w:r>
      <w:r>
        <w:rPr>
          <w:color w:val="231F20"/>
          <w:spacing w:val="-12"/>
          <w:w w:val="95"/>
        </w:rPr>
        <w:t> </w:t>
      </w:r>
      <w:r>
        <w:rPr>
          <w:color w:val="231F20"/>
          <w:w w:val="95"/>
        </w:rPr>
        <w:t>y</w:t>
      </w:r>
      <w:r>
        <w:rPr>
          <w:color w:val="231F20"/>
          <w:spacing w:val="-12"/>
          <w:w w:val="95"/>
        </w:rPr>
        <w:t> </w:t>
      </w:r>
      <w:r>
        <w:rPr>
          <w:color w:val="231F20"/>
          <w:spacing w:val="2"/>
          <w:w w:val="95"/>
        </w:rPr>
        <w:t>Freebody,</w:t>
      </w:r>
      <w:r>
        <w:rPr>
          <w:i/>
          <w:color w:val="231F20"/>
          <w:spacing w:val="2"/>
          <w:w w:val="95"/>
        </w:rPr>
        <w:t>Literacidad</w:t>
      </w:r>
      <w:r>
        <w:rPr>
          <w:i/>
          <w:color w:val="231F20"/>
          <w:spacing w:val="-12"/>
          <w:w w:val="95"/>
        </w:rPr>
        <w:t> </w:t>
      </w:r>
      <w:r>
        <w:rPr>
          <w:i/>
          <w:color w:val="231F20"/>
          <w:spacing w:val="2"/>
          <w:w w:val="95"/>
        </w:rPr>
        <w:t>crítica</w:t>
      </w:r>
      <w:r>
        <w:rPr>
          <w:color w:val="231F20"/>
          <w:spacing w:val="2"/>
          <w:w w:val="95"/>
        </w:rPr>
        <w:t>,</w:t>
      </w:r>
      <w:r>
        <w:rPr>
          <w:color w:val="231F20"/>
          <w:spacing w:val="-12"/>
          <w:w w:val="95"/>
        </w:rPr>
        <w:t> </w:t>
      </w:r>
      <w:r>
        <w:rPr>
          <w:color w:val="231F20"/>
          <w:w w:val="95"/>
        </w:rPr>
        <w:t>y</w:t>
      </w:r>
      <w:r>
        <w:rPr>
          <w:color w:val="231F20"/>
          <w:spacing w:val="-12"/>
          <w:w w:val="95"/>
        </w:rPr>
        <w:t> </w:t>
      </w:r>
      <w:r>
        <w:rPr>
          <w:color w:val="231F20"/>
          <w:spacing w:val="2"/>
          <w:w w:val="95"/>
        </w:rPr>
        <w:t>Cassany.</w:t>
      </w:r>
    </w:p>
    <w:p>
      <w:pPr>
        <w:pStyle w:val="BodyText"/>
        <w:spacing w:before="7"/>
      </w:pPr>
    </w:p>
    <w:p>
      <w:pPr>
        <w:pStyle w:val="BodyText"/>
        <w:ind w:left="102"/>
        <w:jc w:val="both"/>
      </w:pPr>
      <w:r>
        <w:rPr>
          <w:color w:val="231F20"/>
          <w:w w:val="105"/>
        </w:rPr>
        <w:t>EL CUENTO DE ELENA GARRO</w:t>
      </w:r>
    </w:p>
    <w:p>
      <w:pPr>
        <w:pStyle w:val="BodyText"/>
        <w:spacing w:before="1"/>
      </w:pPr>
    </w:p>
    <w:p>
      <w:pPr>
        <w:pStyle w:val="BodyText"/>
        <w:spacing w:line="247" w:lineRule="auto" w:before="1"/>
        <w:ind w:left="103" w:right="115"/>
        <w:jc w:val="both"/>
      </w:pPr>
      <w:r>
        <w:rPr>
          <w:color w:val="231F20"/>
        </w:rPr>
        <w:t>En “El árbol” se narra la historia de dos mujeres: Marta, una señora de clase alta que vive acompañada de sus dos sirvientas, y Luisa, una india que padecía la miseria y el maltrato. Esta última aparece repentinamente un día sucia y maltratada en casa de Marta. La se- ñora la recibe con desprecio mal disimulado y le ofrece comida y ropa limpia; además, la india se toma el atrevimiento de meterse a bañar con el consentimiento obligado de la señora de la</w:t>
      </w:r>
      <w:r>
        <w:rPr>
          <w:color w:val="231F20"/>
          <w:spacing w:val="29"/>
        </w:rPr>
        <w:t> </w:t>
      </w:r>
      <w:r>
        <w:rPr>
          <w:color w:val="231F20"/>
        </w:rPr>
        <w:t>casa.</w:t>
      </w:r>
    </w:p>
    <w:p>
      <w:pPr>
        <w:pStyle w:val="BodyText"/>
        <w:spacing w:line="249" w:lineRule="auto" w:before="10"/>
        <w:ind w:left="103" w:right="113" w:firstLine="284"/>
        <w:jc w:val="both"/>
      </w:pPr>
      <w:r>
        <w:rPr>
          <w:color w:val="231F20"/>
        </w:rPr>
        <w:t>La </w:t>
      </w:r>
      <w:r>
        <w:rPr>
          <w:color w:val="231F20"/>
          <w:spacing w:val="2"/>
        </w:rPr>
        <w:t>señora aconseja </w:t>
      </w:r>
      <w:r>
        <w:rPr>
          <w:color w:val="231F20"/>
        </w:rPr>
        <w:t>a </w:t>
      </w:r>
      <w:r>
        <w:rPr>
          <w:color w:val="231F20"/>
          <w:spacing w:val="2"/>
        </w:rPr>
        <w:t>Luisa sobre </w:t>
      </w:r>
      <w:r>
        <w:rPr>
          <w:color w:val="231F20"/>
        </w:rPr>
        <w:t>la </w:t>
      </w:r>
      <w:r>
        <w:rPr>
          <w:color w:val="231F20"/>
          <w:spacing w:val="2"/>
        </w:rPr>
        <w:t>mala conducta </w:t>
      </w:r>
      <w:r>
        <w:rPr>
          <w:color w:val="231F20"/>
        </w:rPr>
        <w:t>que </w:t>
      </w:r>
      <w:r>
        <w:rPr>
          <w:color w:val="231F20"/>
          <w:spacing w:val="2"/>
        </w:rPr>
        <w:t>tiene  con </w:t>
      </w:r>
      <w:r>
        <w:rPr>
          <w:color w:val="231F20"/>
        </w:rPr>
        <w:t>su </w:t>
      </w:r>
      <w:r>
        <w:rPr>
          <w:color w:val="231F20"/>
          <w:spacing w:val="2"/>
        </w:rPr>
        <w:t>marido </w:t>
      </w:r>
      <w:r>
        <w:rPr>
          <w:color w:val="231F20"/>
        </w:rPr>
        <w:t>y le </w:t>
      </w:r>
      <w:r>
        <w:rPr>
          <w:color w:val="231F20"/>
          <w:spacing w:val="2"/>
        </w:rPr>
        <w:t>pide que deje </w:t>
      </w:r>
      <w:r>
        <w:rPr>
          <w:color w:val="231F20"/>
        </w:rPr>
        <w:t>de </w:t>
      </w:r>
      <w:r>
        <w:rPr>
          <w:color w:val="231F20"/>
          <w:spacing w:val="2"/>
        </w:rPr>
        <w:t>acosarlo </w:t>
      </w:r>
      <w:r>
        <w:rPr>
          <w:color w:val="231F20"/>
        </w:rPr>
        <w:t>y </w:t>
      </w:r>
      <w:r>
        <w:rPr>
          <w:color w:val="231F20"/>
          <w:spacing w:val="2"/>
        </w:rPr>
        <w:t>perseguirlo para evitar que este </w:t>
      </w:r>
      <w:r>
        <w:rPr>
          <w:color w:val="231F20"/>
        </w:rPr>
        <w:t>la </w:t>
      </w:r>
      <w:r>
        <w:rPr>
          <w:color w:val="231F20"/>
          <w:spacing w:val="2"/>
        </w:rPr>
        <w:t>golpee. </w:t>
      </w:r>
      <w:r>
        <w:rPr>
          <w:color w:val="231F20"/>
        </w:rPr>
        <w:t>La </w:t>
      </w:r>
      <w:r>
        <w:rPr>
          <w:color w:val="231F20"/>
          <w:spacing w:val="2"/>
        </w:rPr>
        <w:t>señora </w:t>
      </w:r>
      <w:r>
        <w:rPr>
          <w:color w:val="231F20"/>
        </w:rPr>
        <w:t>da a </w:t>
      </w:r>
      <w:r>
        <w:rPr>
          <w:color w:val="231F20"/>
          <w:spacing w:val="3"/>
        </w:rPr>
        <w:t>entender </w:t>
      </w:r>
      <w:r>
        <w:rPr>
          <w:color w:val="231F20"/>
        </w:rPr>
        <w:t>que la </w:t>
      </w:r>
      <w:r>
        <w:rPr>
          <w:color w:val="231F20"/>
          <w:spacing w:val="2"/>
        </w:rPr>
        <w:t>india </w:t>
      </w:r>
      <w:r>
        <w:rPr>
          <w:color w:val="231F20"/>
          <w:spacing w:val="3"/>
        </w:rPr>
        <w:t>es demasiado </w:t>
      </w:r>
      <w:r>
        <w:rPr>
          <w:color w:val="231F20"/>
          <w:spacing w:val="2"/>
        </w:rPr>
        <w:t>celosa </w:t>
      </w:r>
      <w:r>
        <w:rPr>
          <w:color w:val="231F20"/>
        </w:rPr>
        <w:t>y </w:t>
      </w:r>
      <w:r>
        <w:rPr>
          <w:color w:val="231F20"/>
          <w:spacing w:val="2"/>
        </w:rPr>
        <w:t>carente </w:t>
      </w:r>
      <w:r>
        <w:rPr>
          <w:color w:val="231F20"/>
        </w:rPr>
        <w:t>de </w:t>
      </w:r>
      <w:r>
        <w:rPr>
          <w:color w:val="231F20"/>
          <w:spacing w:val="2"/>
        </w:rPr>
        <w:t>sentido </w:t>
      </w:r>
      <w:r>
        <w:rPr>
          <w:color w:val="231F20"/>
          <w:spacing w:val="3"/>
        </w:rPr>
        <w:t>común. </w:t>
      </w:r>
      <w:r>
        <w:rPr>
          <w:color w:val="231F20"/>
          <w:spacing w:val="2"/>
        </w:rPr>
        <w:t>Luego Marta </w:t>
      </w:r>
      <w:r>
        <w:rPr>
          <w:color w:val="231F20"/>
          <w:spacing w:val="3"/>
        </w:rPr>
        <w:t>tiene </w:t>
      </w:r>
      <w:r>
        <w:rPr>
          <w:color w:val="231F20"/>
        </w:rPr>
        <w:t>que  </w:t>
      </w:r>
      <w:r>
        <w:rPr>
          <w:color w:val="231F20"/>
          <w:spacing w:val="2"/>
        </w:rPr>
        <w:t>escuchar con impaciencia los relatos </w:t>
      </w:r>
      <w:r>
        <w:rPr>
          <w:color w:val="231F20"/>
        </w:rPr>
        <w:t>de  la  vida  de  </w:t>
      </w:r>
      <w:r>
        <w:rPr>
          <w:color w:val="231F20"/>
          <w:spacing w:val="2"/>
        </w:rPr>
        <w:t>Luisa:</w:t>
      </w:r>
      <w:r>
        <w:rPr>
          <w:color w:val="231F20"/>
          <w:spacing w:val="38"/>
        </w:rPr>
        <w:t> </w:t>
      </w:r>
      <w:r>
        <w:rPr>
          <w:color w:val="231F20"/>
        </w:rPr>
        <w:t>su</w:t>
      </w:r>
    </w:p>
    <w:p>
      <w:pPr>
        <w:spacing w:after="0" w:line="249" w:lineRule="auto"/>
        <w:jc w:val="both"/>
        <w:sectPr>
          <w:headerReference w:type="default" r:id="rId587"/>
          <w:footerReference w:type="default" r:id="rId588"/>
          <w:pgSz w:w="7830" w:h="11910"/>
          <w:pgMar w:header="0" w:footer="424" w:top="500" w:bottom="620" w:left="920" w:right="900"/>
          <w:pgNumType w:start="25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9"/>
        <w:jc w:val="both"/>
      </w:pPr>
      <w:r>
        <w:rPr>
          <w:color w:val="231F20"/>
        </w:rPr>
        <w:t>primer matrimonio, el abandono de su marido, el retorno al pue- blo para dejar encargado al hijo pequeño con los abuelos, su se- gundo matrimonio y el asesinato que cometió y que provocó que pasara años en la cárcel (los más felices de su vida).</w:t>
      </w:r>
    </w:p>
    <w:p>
      <w:pPr>
        <w:pStyle w:val="BodyText"/>
        <w:spacing w:line="249" w:lineRule="auto" w:before="1"/>
        <w:ind w:left="102" w:right="115" w:firstLine="284"/>
        <w:jc w:val="both"/>
      </w:pPr>
      <w:r>
        <w:rPr>
          <w:color w:val="231F20"/>
          <w:spacing w:val="3"/>
        </w:rPr>
        <w:t>El </w:t>
      </w:r>
      <w:r>
        <w:rPr>
          <w:color w:val="231F20"/>
          <w:spacing w:val="4"/>
        </w:rPr>
        <w:t>encuentro termina </w:t>
      </w:r>
      <w:r>
        <w:rPr>
          <w:color w:val="231F20"/>
          <w:spacing w:val="3"/>
        </w:rPr>
        <w:t>con otro </w:t>
      </w:r>
      <w:r>
        <w:rPr>
          <w:color w:val="231F20"/>
          <w:spacing w:val="4"/>
        </w:rPr>
        <w:t>asesinato. Luisa </w:t>
      </w:r>
      <w:r>
        <w:rPr>
          <w:color w:val="231F20"/>
        </w:rPr>
        <w:t>le </w:t>
      </w:r>
      <w:r>
        <w:rPr>
          <w:color w:val="231F20"/>
          <w:spacing w:val="4"/>
        </w:rPr>
        <w:t>entierra </w:t>
      </w:r>
      <w:r>
        <w:rPr>
          <w:color w:val="231F20"/>
          <w:spacing w:val="2"/>
        </w:rPr>
        <w:t>un </w:t>
      </w:r>
      <w:r>
        <w:rPr>
          <w:color w:val="231F20"/>
          <w:spacing w:val="4"/>
        </w:rPr>
        <w:t>cuchillo </w:t>
      </w:r>
      <w:r>
        <w:rPr>
          <w:color w:val="231F20"/>
        </w:rPr>
        <w:t>a </w:t>
      </w:r>
      <w:r>
        <w:rPr>
          <w:color w:val="231F20"/>
          <w:spacing w:val="4"/>
        </w:rPr>
        <w:t>Marta </w:t>
      </w:r>
      <w:r>
        <w:rPr>
          <w:color w:val="231F20"/>
        </w:rPr>
        <w:t>y </w:t>
      </w:r>
      <w:r>
        <w:rPr>
          <w:color w:val="231F20"/>
          <w:spacing w:val="2"/>
        </w:rPr>
        <w:t>al </w:t>
      </w:r>
      <w:r>
        <w:rPr>
          <w:color w:val="231F20"/>
          <w:spacing w:val="3"/>
        </w:rPr>
        <w:t>día </w:t>
      </w:r>
      <w:r>
        <w:rPr>
          <w:color w:val="231F20"/>
          <w:spacing w:val="4"/>
        </w:rPr>
        <w:t>siguiente, Gabina, </w:t>
      </w:r>
      <w:r>
        <w:rPr>
          <w:color w:val="231F20"/>
        </w:rPr>
        <w:t>la </w:t>
      </w:r>
      <w:r>
        <w:rPr>
          <w:color w:val="231F20"/>
          <w:spacing w:val="4"/>
        </w:rPr>
        <w:t>otra sirvienta, </w:t>
      </w:r>
      <w:r>
        <w:rPr>
          <w:color w:val="231F20"/>
          <w:spacing w:val="5"/>
        </w:rPr>
        <w:t>en- </w:t>
      </w:r>
      <w:r>
        <w:rPr>
          <w:color w:val="231F20"/>
          <w:spacing w:val="4"/>
        </w:rPr>
        <w:t>cuentra </w:t>
      </w:r>
      <w:r>
        <w:rPr>
          <w:color w:val="231F20"/>
          <w:spacing w:val="2"/>
        </w:rPr>
        <w:t>el </w:t>
      </w:r>
      <w:r>
        <w:rPr>
          <w:color w:val="231F20"/>
          <w:spacing w:val="4"/>
        </w:rPr>
        <w:t>cadáver </w:t>
      </w:r>
      <w:r>
        <w:rPr>
          <w:color w:val="231F20"/>
          <w:spacing w:val="2"/>
        </w:rPr>
        <w:t>en </w:t>
      </w:r>
      <w:r>
        <w:rPr>
          <w:color w:val="231F20"/>
        </w:rPr>
        <w:t>la </w:t>
      </w:r>
      <w:r>
        <w:rPr>
          <w:color w:val="231F20"/>
          <w:spacing w:val="4"/>
        </w:rPr>
        <w:t>habitación </w:t>
      </w:r>
      <w:r>
        <w:rPr>
          <w:color w:val="231F20"/>
          <w:spacing w:val="3"/>
        </w:rPr>
        <w:t>de </w:t>
      </w:r>
      <w:r>
        <w:rPr>
          <w:color w:val="231F20"/>
        </w:rPr>
        <w:t>la </w:t>
      </w:r>
      <w:r>
        <w:rPr>
          <w:color w:val="231F20"/>
          <w:spacing w:val="4"/>
        </w:rPr>
        <w:t>señora. </w:t>
      </w:r>
      <w:r>
        <w:rPr>
          <w:color w:val="231F20"/>
          <w:spacing w:val="3"/>
        </w:rPr>
        <w:t>La </w:t>
      </w:r>
      <w:r>
        <w:rPr>
          <w:color w:val="231F20"/>
          <w:spacing w:val="4"/>
        </w:rPr>
        <w:t>policía </w:t>
      </w:r>
      <w:r>
        <w:rPr>
          <w:color w:val="231F20"/>
          <w:spacing w:val="5"/>
        </w:rPr>
        <w:t>en- </w:t>
      </w:r>
      <w:r>
        <w:rPr>
          <w:color w:val="231F20"/>
          <w:spacing w:val="4"/>
        </w:rPr>
        <w:t>cuentra </w:t>
      </w:r>
      <w:r>
        <w:rPr>
          <w:color w:val="231F20"/>
        </w:rPr>
        <w:t>a </w:t>
      </w:r>
      <w:r>
        <w:rPr>
          <w:color w:val="231F20"/>
          <w:spacing w:val="4"/>
        </w:rPr>
        <w:t>Luisa escondida </w:t>
      </w:r>
      <w:r>
        <w:rPr>
          <w:color w:val="231F20"/>
          <w:spacing w:val="2"/>
        </w:rPr>
        <w:t>en </w:t>
      </w:r>
      <w:r>
        <w:rPr>
          <w:color w:val="231F20"/>
          <w:spacing w:val="3"/>
        </w:rPr>
        <w:t>una casa </w:t>
      </w:r>
      <w:r>
        <w:rPr>
          <w:color w:val="231F20"/>
          <w:spacing w:val="4"/>
        </w:rPr>
        <w:t>vecina, </w:t>
      </w:r>
      <w:r>
        <w:rPr>
          <w:color w:val="231F20"/>
          <w:spacing w:val="3"/>
        </w:rPr>
        <w:t>con </w:t>
      </w:r>
      <w:r>
        <w:rPr>
          <w:color w:val="231F20"/>
          <w:spacing w:val="2"/>
        </w:rPr>
        <w:t>el </w:t>
      </w:r>
      <w:r>
        <w:rPr>
          <w:color w:val="231F20"/>
          <w:spacing w:val="4"/>
        </w:rPr>
        <w:t>cuchillo todavía ensangrentado </w:t>
      </w:r>
      <w:r>
        <w:rPr>
          <w:color w:val="231F20"/>
          <w:spacing w:val="2"/>
        </w:rPr>
        <w:t>en </w:t>
      </w:r>
      <w:r>
        <w:rPr>
          <w:color w:val="231F20"/>
        </w:rPr>
        <w:t>la </w:t>
      </w:r>
      <w:r>
        <w:rPr>
          <w:color w:val="231F20"/>
          <w:spacing w:val="4"/>
        </w:rPr>
        <w:t>mano </w:t>
      </w:r>
      <w:r>
        <w:rPr>
          <w:color w:val="231F20"/>
        </w:rPr>
        <w:t>y </w:t>
      </w:r>
      <w:r>
        <w:rPr>
          <w:color w:val="231F20"/>
          <w:spacing w:val="2"/>
        </w:rPr>
        <w:t>se </w:t>
      </w:r>
      <w:r>
        <w:rPr>
          <w:color w:val="231F20"/>
        </w:rPr>
        <w:t>la </w:t>
      </w:r>
      <w:r>
        <w:rPr>
          <w:color w:val="231F20"/>
          <w:spacing w:val="3"/>
        </w:rPr>
        <w:t>lleva </w:t>
      </w:r>
      <w:r>
        <w:rPr>
          <w:color w:val="231F20"/>
        </w:rPr>
        <w:t>a la </w:t>
      </w:r>
      <w:r>
        <w:rPr>
          <w:color w:val="231F20"/>
          <w:spacing w:val="4"/>
        </w:rPr>
        <w:t>cárcel </w:t>
      </w:r>
      <w:r>
        <w:rPr>
          <w:color w:val="231F20"/>
          <w:spacing w:val="2"/>
        </w:rPr>
        <w:t>de </w:t>
      </w:r>
      <w:r>
        <w:rPr>
          <w:color w:val="231F20"/>
          <w:spacing w:val="6"/>
        </w:rPr>
        <w:t>Ta-</w:t>
      </w:r>
      <w:r>
        <w:rPr>
          <w:color w:val="231F20"/>
          <w:spacing w:val="64"/>
        </w:rPr>
        <w:t> </w:t>
      </w:r>
      <w:r>
        <w:rPr>
          <w:color w:val="231F20"/>
          <w:spacing w:val="4"/>
        </w:rPr>
        <w:t>cubaya.</w:t>
      </w:r>
    </w:p>
    <w:p>
      <w:pPr>
        <w:pStyle w:val="BodyText"/>
        <w:spacing w:line="247" w:lineRule="auto"/>
        <w:ind w:left="102" w:right="119" w:firstLine="284"/>
        <w:jc w:val="both"/>
      </w:pPr>
      <w:r>
        <w:rPr>
          <w:color w:val="231F20"/>
        </w:rPr>
        <w:t>Aparte de la violencia, que significa el atentar contra la vida de otra persona, el pasado de Luisa revela otros tipos de violencia: la violencia doméstica y de género que padece como mujer en su primer matrimonio, así como la violencia en contra de su hijo, ya que Luisa lo abandona y encarga su crianza a los abuelos.</w:t>
      </w:r>
    </w:p>
    <w:p>
      <w:pPr>
        <w:pStyle w:val="BodyText"/>
        <w:spacing w:line="249" w:lineRule="auto" w:before="1"/>
        <w:ind w:left="102" w:right="115" w:firstLine="284"/>
        <w:jc w:val="both"/>
      </w:pPr>
      <w:r>
        <w:rPr>
          <w:color w:val="231F20"/>
        </w:rPr>
        <w:t>El </w:t>
      </w:r>
      <w:r>
        <w:rPr>
          <w:color w:val="231F20"/>
          <w:spacing w:val="2"/>
        </w:rPr>
        <w:t>relato está narrado </w:t>
      </w:r>
      <w:r>
        <w:rPr>
          <w:color w:val="231F20"/>
          <w:spacing w:val="3"/>
        </w:rPr>
        <w:t>como </w:t>
      </w:r>
      <w:r>
        <w:rPr>
          <w:color w:val="231F20"/>
        </w:rPr>
        <w:t>si </w:t>
      </w:r>
      <w:r>
        <w:rPr>
          <w:color w:val="231F20"/>
          <w:spacing w:val="2"/>
        </w:rPr>
        <w:t>fuera una especie </w:t>
      </w:r>
      <w:r>
        <w:rPr>
          <w:color w:val="231F20"/>
        </w:rPr>
        <w:t>de </w:t>
      </w:r>
      <w:r>
        <w:rPr>
          <w:color w:val="231F20"/>
          <w:spacing w:val="2"/>
        </w:rPr>
        <w:t>testimonio  </w:t>
      </w:r>
      <w:r>
        <w:rPr>
          <w:color w:val="231F20"/>
        </w:rPr>
        <w:t>o </w:t>
      </w:r>
      <w:r>
        <w:rPr>
          <w:color w:val="231F20"/>
          <w:spacing w:val="2"/>
        </w:rPr>
        <w:t>diario. Aunque </w:t>
      </w:r>
      <w:r>
        <w:rPr>
          <w:color w:val="231F20"/>
        </w:rPr>
        <w:t>en </w:t>
      </w:r>
      <w:r>
        <w:rPr>
          <w:color w:val="231F20"/>
          <w:spacing w:val="2"/>
        </w:rPr>
        <w:t>apariencia </w:t>
      </w:r>
      <w:r>
        <w:rPr>
          <w:color w:val="231F20"/>
        </w:rPr>
        <w:t>el </w:t>
      </w:r>
      <w:r>
        <w:rPr>
          <w:color w:val="231F20"/>
          <w:spacing w:val="2"/>
        </w:rPr>
        <w:t>cuento habla </w:t>
      </w:r>
      <w:r>
        <w:rPr>
          <w:color w:val="231F20"/>
        </w:rPr>
        <w:t>de </w:t>
      </w:r>
      <w:r>
        <w:rPr>
          <w:color w:val="231F20"/>
          <w:spacing w:val="2"/>
        </w:rPr>
        <w:t>una mujer mali- ciosa </w:t>
      </w:r>
      <w:r>
        <w:rPr>
          <w:color w:val="231F20"/>
        </w:rPr>
        <w:t>y sin </w:t>
      </w:r>
      <w:r>
        <w:rPr>
          <w:color w:val="231F20"/>
          <w:spacing w:val="3"/>
        </w:rPr>
        <w:t>escrúpulos, </w:t>
      </w:r>
      <w:r>
        <w:rPr>
          <w:color w:val="231F20"/>
        </w:rPr>
        <w:t>y a la vez </w:t>
      </w:r>
      <w:r>
        <w:rPr>
          <w:color w:val="231F20"/>
          <w:spacing w:val="2"/>
        </w:rPr>
        <w:t>inocente </w:t>
      </w:r>
      <w:r>
        <w:rPr>
          <w:color w:val="231F20"/>
        </w:rPr>
        <w:t>de </w:t>
      </w:r>
      <w:r>
        <w:rPr>
          <w:color w:val="231F20"/>
          <w:spacing w:val="2"/>
        </w:rPr>
        <w:t>sus actos, </w:t>
      </w:r>
      <w:r>
        <w:rPr>
          <w:color w:val="231F20"/>
          <w:spacing w:val="3"/>
        </w:rPr>
        <w:t>puede </w:t>
      </w:r>
      <w:r>
        <w:rPr>
          <w:color w:val="231F20"/>
          <w:spacing w:val="2"/>
        </w:rPr>
        <w:t>leerse </w:t>
      </w:r>
      <w:r>
        <w:rPr>
          <w:color w:val="231F20"/>
        </w:rPr>
        <w:t>la </w:t>
      </w:r>
      <w:r>
        <w:rPr>
          <w:color w:val="231F20"/>
          <w:spacing w:val="2"/>
        </w:rPr>
        <w:t>explotación </w:t>
      </w:r>
      <w:r>
        <w:rPr>
          <w:color w:val="231F20"/>
        </w:rPr>
        <w:t>y </w:t>
      </w:r>
      <w:r>
        <w:rPr>
          <w:color w:val="231F20"/>
          <w:spacing w:val="2"/>
        </w:rPr>
        <w:t>discriminación hacia los indígenas. </w:t>
      </w:r>
      <w:r>
        <w:rPr>
          <w:color w:val="231F20"/>
        </w:rPr>
        <w:t>A </w:t>
      </w:r>
      <w:r>
        <w:rPr>
          <w:color w:val="231F20"/>
          <w:spacing w:val="3"/>
        </w:rPr>
        <w:t>pesar </w:t>
      </w:r>
      <w:r>
        <w:rPr>
          <w:color w:val="231F20"/>
          <w:spacing w:val="2"/>
        </w:rPr>
        <w:t>del </w:t>
      </w:r>
      <w:r>
        <w:rPr>
          <w:color w:val="231F20"/>
          <w:spacing w:val="3"/>
        </w:rPr>
        <w:t>drama, </w:t>
      </w:r>
      <w:r>
        <w:rPr>
          <w:color w:val="231F20"/>
        </w:rPr>
        <w:t>se </w:t>
      </w:r>
      <w:r>
        <w:rPr>
          <w:color w:val="231F20"/>
          <w:spacing w:val="2"/>
        </w:rPr>
        <w:t>resalta una reflexión respecto </w:t>
      </w:r>
      <w:r>
        <w:rPr>
          <w:color w:val="231F20"/>
        </w:rPr>
        <w:t>de </w:t>
      </w:r>
      <w:r>
        <w:rPr>
          <w:color w:val="231F20"/>
          <w:spacing w:val="2"/>
        </w:rPr>
        <w:t>este sector social. </w:t>
      </w:r>
      <w:r>
        <w:rPr>
          <w:color w:val="231F20"/>
          <w:spacing w:val="3"/>
        </w:rPr>
        <w:t>Asimismo, </w:t>
      </w:r>
      <w:r>
        <w:rPr>
          <w:color w:val="231F20"/>
        </w:rPr>
        <w:t>el </w:t>
      </w:r>
      <w:r>
        <w:rPr>
          <w:color w:val="231F20"/>
          <w:spacing w:val="3"/>
        </w:rPr>
        <w:t>enfrentamiento </w:t>
      </w:r>
      <w:r>
        <w:rPr>
          <w:color w:val="231F20"/>
          <w:spacing w:val="2"/>
        </w:rPr>
        <w:t>entre Marta </w:t>
      </w:r>
      <w:r>
        <w:rPr>
          <w:color w:val="231F20"/>
        </w:rPr>
        <w:t>y </w:t>
      </w:r>
      <w:r>
        <w:rPr>
          <w:color w:val="231F20"/>
          <w:spacing w:val="2"/>
        </w:rPr>
        <w:t>Luisa resalta </w:t>
      </w:r>
      <w:r>
        <w:rPr>
          <w:color w:val="231F20"/>
        </w:rPr>
        <w:t>el </w:t>
      </w:r>
      <w:r>
        <w:rPr>
          <w:color w:val="231F20"/>
          <w:spacing w:val="3"/>
        </w:rPr>
        <w:t>“pre- </w:t>
      </w:r>
      <w:r>
        <w:rPr>
          <w:color w:val="231F20"/>
          <w:spacing w:val="2"/>
        </w:rPr>
        <w:t>juicio criollo” </w:t>
      </w:r>
      <w:r>
        <w:rPr>
          <w:color w:val="231F20"/>
        </w:rPr>
        <w:t>en </w:t>
      </w:r>
      <w:r>
        <w:rPr>
          <w:color w:val="231F20"/>
          <w:spacing w:val="2"/>
        </w:rPr>
        <w:t>contra </w:t>
      </w:r>
      <w:r>
        <w:rPr>
          <w:color w:val="231F20"/>
        </w:rPr>
        <w:t>de </w:t>
      </w:r>
      <w:r>
        <w:rPr>
          <w:color w:val="231F20"/>
          <w:spacing w:val="2"/>
        </w:rPr>
        <w:t>los indígenas, vistos </w:t>
      </w:r>
      <w:r>
        <w:rPr>
          <w:color w:val="231F20"/>
          <w:spacing w:val="3"/>
        </w:rPr>
        <w:t>como </w:t>
      </w:r>
      <w:r>
        <w:rPr>
          <w:color w:val="231F20"/>
          <w:spacing w:val="2"/>
        </w:rPr>
        <w:t>criaturas irresponsables </w:t>
      </w:r>
      <w:r>
        <w:rPr>
          <w:color w:val="231F20"/>
        </w:rPr>
        <w:t>o </w:t>
      </w:r>
      <w:r>
        <w:rPr>
          <w:color w:val="231F20"/>
          <w:spacing w:val="2"/>
        </w:rPr>
        <w:t>extraviadas, sucias </w:t>
      </w:r>
      <w:r>
        <w:rPr>
          <w:color w:val="231F20"/>
        </w:rPr>
        <w:t>y </w:t>
      </w:r>
      <w:r>
        <w:rPr>
          <w:color w:val="231F20"/>
          <w:spacing w:val="2"/>
        </w:rPr>
        <w:t>supersticiosas. </w:t>
      </w:r>
      <w:r>
        <w:rPr>
          <w:color w:val="231F20"/>
        </w:rPr>
        <w:t>El </w:t>
      </w:r>
      <w:r>
        <w:rPr>
          <w:color w:val="231F20"/>
          <w:spacing w:val="2"/>
        </w:rPr>
        <w:t>hecho </w:t>
      </w:r>
      <w:r>
        <w:rPr>
          <w:color w:val="231F20"/>
        </w:rPr>
        <w:t>de que </w:t>
      </w:r>
      <w:r>
        <w:rPr>
          <w:color w:val="231F20"/>
          <w:spacing w:val="2"/>
        </w:rPr>
        <w:t>Luisa mate </w:t>
      </w:r>
      <w:r>
        <w:rPr>
          <w:color w:val="231F20"/>
        </w:rPr>
        <w:t>a la </w:t>
      </w:r>
      <w:r>
        <w:rPr>
          <w:color w:val="231F20"/>
          <w:spacing w:val="2"/>
        </w:rPr>
        <w:t>señora adquiere </w:t>
      </w:r>
      <w:r>
        <w:rPr>
          <w:color w:val="231F20"/>
        </w:rPr>
        <w:t>un </w:t>
      </w:r>
      <w:r>
        <w:rPr>
          <w:color w:val="231F20"/>
          <w:spacing w:val="2"/>
        </w:rPr>
        <w:t>valor simbólico </w:t>
      </w:r>
      <w:r>
        <w:rPr>
          <w:color w:val="231F20"/>
        </w:rPr>
        <w:t>en el </w:t>
      </w:r>
      <w:r>
        <w:rPr>
          <w:color w:val="231F20"/>
          <w:spacing w:val="3"/>
        </w:rPr>
        <w:t>tex- </w:t>
      </w:r>
      <w:r>
        <w:rPr>
          <w:color w:val="231F20"/>
          <w:spacing w:val="2"/>
        </w:rPr>
        <w:t>to, </w:t>
      </w:r>
      <w:r>
        <w:rPr>
          <w:color w:val="231F20"/>
        </w:rPr>
        <w:t>ya </w:t>
      </w:r>
      <w:r>
        <w:rPr>
          <w:color w:val="231F20"/>
          <w:spacing w:val="2"/>
        </w:rPr>
        <w:t>que podría interpretarse </w:t>
      </w:r>
      <w:r>
        <w:rPr>
          <w:color w:val="231F20"/>
          <w:spacing w:val="3"/>
        </w:rPr>
        <w:t>como </w:t>
      </w:r>
      <w:r>
        <w:rPr>
          <w:color w:val="231F20"/>
          <w:spacing w:val="2"/>
        </w:rPr>
        <w:t>una especie </w:t>
      </w:r>
      <w:r>
        <w:rPr>
          <w:color w:val="231F20"/>
        </w:rPr>
        <w:t>de </w:t>
      </w:r>
      <w:r>
        <w:rPr>
          <w:color w:val="231F20"/>
          <w:spacing w:val="3"/>
        </w:rPr>
        <w:t>venganza </w:t>
      </w:r>
      <w:r>
        <w:rPr>
          <w:color w:val="231F20"/>
          <w:spacing w:val="2"/>
        </w:rPr>
        <w:t>histórica </w:t>
      </w:r>
      <w:r>
        <w:rPr>
          <w:color w:val="231F20"/>
        </w:rPr>
        <w:t>del </w:t>
      </w:r>
      <w:r>
        <w:rPr>
          <w:color w:val="231F20"/>
          <w:spacing w:val="2"/>
        </w:rPr>
        <w:t>indio </w:t>
      </w:r>
      <w:r>
        <w:rPr>
          <w:color w:val="231F20"/>
        </w:rPr>
        <w:t>en </w:t>
      </w:r>
      <w:r>
        <w:rPr>
          <w:color w:val="231F20"/>
          <w:spacing w:val="2"/>
        </w:rPr>
        <w:t>contra </w:t>
      </w:r>
      <w:r>
        <w:rPr>
          <w:color w:val="231F20"/>
        </w:rPr>
        <w:t>de </w:t>
      </w:r>
      <w:r>
        <w:rPr>
          <w:color w:val="231F20"/>
          <w:spacing w:val="2"/>
        </w:rPr>
        <w:t>quienes </w:t>
      </w:r>
      <w:r>
        <w:rPr>
          <w:color w:val="231F20"/>
        </w:rPr>
        <w:t>lo </w:t>
      </w:r>
      <w:r>
        <w:rPr>
          <w:color w:val="231F20"/>
          <w:spacing w:val="2"/>
        </w:rPr>
        <w:t>han </w:t>
      </w:r>
      <w:r>
        <w:rPr>
          <w:color w:val="231F20"/>
          <w:spacing w:val="3"/>
        </w:rPr>
        <w:t>oprimido. </w:t>
      </w:r>
      <w:r>
        <w:rPr>
          <w:color w:val="231F20"/>
          <w:spacing w:val="2"/>
        </w:rPr>
        <w:t>Luisa</w:t>
      </w:r>
      <w:r>
        <w:rPr>
          <w:color w:val="231F20"/>
          <w:spacing w:val="56"/>
        </w:rPr>
        <w:t> </w:t>
      </w:r>
      <w:r>
        <w:rPr>
          <w:color w:val="231F20"/>
          <w:spacing w:val="2"/>
        </w:rPr>
        <w:t>mata porque </w:t>
      </w:r>
      <w:r>
        <w:rPr>
          <w:color w:val="231F20"/>
        </w:rPr>
        <w:t>es </w:t>
      </w:r>
      <w:r>
        <w:rPr>
          <w:color w:val="231F20"/>
          <w:spacing w:val="2"/>
        </w:rPr>
        <w:t>pobre </w:t>
      </w:r>
      <w:r>
        <w:rPr>
          <w:color w:val="231F20"/>
        </w:rPr>
        <w:t>y </w:t>
      </w:r>
      <w:r>
        <w:rPr>
          <w:color w:val="231F20"/>
          <w:spacing w:val="2"/>
        </w:rPr>
        <w:t>desea recuperar sus días </w:t>
      </w:r>
      <w:r>
        <w:rPr>
          <w:color w:val="231F20"/>
        </w:rPr>
        <w:t>de </w:t>
      </w:r>
      <w:r>
        <w:rPr>
          <w:color w:val="231F20"/>
          <w:spacing w:val="2"/>
        </w:rPr>
        <w:t>felicidad </w:t>
      </w:r>
      <w:r>
        <w:rPr>
          <w:color w:val="231F20"/>
        </w:rPr>
        <w:t>en la </w:t>
      </w:r>
      <w:r>
        <w:rPr>
          <w:color w:val="231F20"/>
          <w:spacing w:val="2"/>
        </w:rPr>
        <w:t>cárcel</w:t>
      </w:r>
      <w:r>
        <w:rPr>
          <w:color w:val="231F20"/>
          <w:spacing w:val="-22"/>
        </w:rPr>
        <w:t> </w:t>
      </w:r>
      <w:r>
        <w:rPr>
          <w:color w:val="231F20"/>
          <w:spacing w:val="3"/>
        </w:rPr>
        <w:t>(comida,</w:t>
      </w:r>
      <w:r>
        <w:rPr>
          <w:color w:val="231F20"/>
          <w:spacing w:val="-22"/>
        </w:rPr>
        <w:t> </w:t>
      </w:r>
      <w:r>
        <w:rPr>
          <w:color w:val="231F20"/>
          <w:spacing w:val="2"/>
        </w:rPr>
        <w:t>amistades).</w:t>
      </w:r>
    </w:p>
    <w:p>
      <w:pPr>
        <w:pStyle w:val="BodyText"/>
        <w:spacing w:line="249" w:lineRule="auto"/>
        <w:ind w:left="101" w:right="116" w:firstLine="284"/>
        <w:jc w:val="both"/>
      </w:pPr>
      <w:r>
        <w:rPr>
          <w:color w:val="231F20"/>
        </w:rPr>
        <w:t>El cuento abarca aproximadamente 35 años de la vida de Lui- sa: los diez de su estancia en la cárcel como consecuencia del pri- mer asesinato y los 25 que transcurren desde que salió de la cárcel hasta que la volvieron a encerrar. Cabe resaltar que el cuento toma su nombre de una anécdota que le ocurrió a Luisa. La india cuenta que, al ya no soportar el peso de sus pecados, alguien le dijo que fuera a confesarse con un árbol; cuando lo hizo, este se secó completamente. La imagen del árbol seco podría someterse a la discusión e interpretación de los alumnos para analizar de qué manera la pueden asociar con el tema de la privación de la vida en  el contexto del México actual.</w:t>
      </w:r>
    </w:p>
    <w:p>
      <w:pPr>
        <w:spacing w:after="0" w:line="249" w:lineRule="auto"/>
        <w:jc w:val="both"/>
        <w:sectPr>
          <w:headerReference w:type="default" r:id="rId589"/>
          <w:footerReference w:type="default" r:id="rId590"/>
          <w:pgSz w:w="7830" w:h="11910"/>
          <w:pgMar w:header="0" w:footer="424" w:top="500" w:bottom="620" w:left="920" w:right="900"/>
          <w:pgNumType w:start="26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20"/>
        </w:rPr>
      </w:pPr>
    </w:p>
    <w:p>
      <w:pPr>
        <w:pStyle w:val="BodyText"/>
        <w:rPr>
          <w:sz w:val="20"/>
        </w:rPr>
      </w:pPr>
    </w:p>
    <w:p>
      <w:pPr>
        <w:pStyle w:val="BodyText"/>
        <w:spacing w:before="8"/>
        <w:rPr>
          <w:sz w:val="15"/>
        </w:rPr>
      </w:pPr>
    </w:p>
    <w:p>
      <w:pPr>
        <w:spacing w:before="69"/>
        <w:ind w:left="102" w:right="0" w:firstLine="0"/>
        <w:jc w:val="both"/>
        <w:rPr>
          <w:i/>
          <w:sz w:val="21"/>
        </w:rPr>
      </w:pPr>
      <w:r>
        <w:rPr>
          <w:i/>
          <w:color w:val="231F20"/>
          <w:w w:val="95"/>
          <w:sz w:val="21"/>
        </w:rPr>
        <w:t>Instrumentos</w:t>
      </w:r>
    </w:p>
    <w:p>
      <w:pPr>
        <w:pStyle w:val="BodyText"/>
        <w:spacing w:before="4"/>
        <w:rPr>
          <w:i/>
          <w:sz w:val="22"/>
        </w:rPr>
      </w:pPr>
    </w:p>
    <w:p>
      <w:pPr>
        <w:pStyle w:val="ListParagraph"/>
        <w:numPr>
          <w:ilvl w:val="0"/>
          <w:numId w:val="14"/>
        </w:numPr>
        <w:tabs>
          <w:tab w:pos="355" w:val="left" w:leader="none"/>
        </w:tabs>
        <w:spacing w:line="240" w:lineRule="auto" w:before="1" w:after="0"/>
        <w:ind w:left="354" w:right="0" w:hanging="252"/>
        <w:jc w:val="both"/>
        <w:rPr>
          <w:sz w:val="21"/>
        </w:rPr>
      </w:pPr>
      <w:r>
        <w:rPr>
          <w:color w:val="231F20"/>
          <w:sz w:val="21"/>
        </w:rPr>
        <w:t>Guía de lectura para la discusión colectiva de “El</w:t>
      </w:r>
      <w:r>
        <w:rPr>
          <w:color w:val="231F20"/>
          <w:spacing w:val="8"/>
          <w:sz w:val="21"/>
        </w:rPr>
        <w:t> </w:t>
      </w:r>
      <w:r>
        <w:rPr>
          <w:color w:val="231F20"/>
          <w:sz w:val="21"/>
        </w:rPr>
        <w:t>árbol”.</w:t>
      </w:r>
    </w:p>
    <w:p>
      <w:pPr>
        <w:pStyle w:val="ListParagraph"/>
        <w:numPr>
          <w:ilvl w:val="1"/>
          <w:numId w:val="14"/>
        </w:numPr>
        <w:tabs>
          <w:tab w:pos="314" w:val="left" w:leader="none"/>
        </w:tabs>
        <w:spacing w:line="252" w:lineRule="auto" w:before="128" w:after="0"/>
        <w:ind w:left="102" w:right="115" w:firstLine="0"/>
        <w:jc w:val="left"/>
        <w:rPr>
          <w:sz w:val="21"/>
        </w:rPr>
      </w:pPr>
      <w:r>
        <w:rPr>
          <w:color w:val="231F20"/>
          <w:sz w:val="21"/>
        </w:rPr>
        <w:t>¿Quién es el personaje principal y cómo se describe? Señala algu- nos</w:t>
      </w:r>
      <w:r>
        <w:rPr>
          <w:color w:val="231F20"/>
          <w:spacing w:val="-6"/>
          <w:sz w:val="21"/>
        </w:rPr>
        <w:t> </w:t>
      </w:r>
      <w:r>
        <w:rPr>
          <w:color w:val="231F20"/>
          <w:sz w:val="21"/>
        </w:rPr>
        <w:t>pasajes.</w:t>
      </w:r>
    </w:p>
    <w:p>
      <w:pPr>
        <w:pStyle w:val="ListParagraph"/>
        <w:numPr>
          <w:ilvl w:val="1"/>
          <w:numId w:val="14"/>
        </w:numPr>
        <w:tabs>
          <w:tab w:pos="320" w:val="left" w:leader="none"/>
        </w:tabs>
        <w:spacing w:line="247" w:lineRule="auto" w:before="116" w:after="0"/>
        <w:ind w:left="102" w:right="120" w:firstLine="0"/>
        <w:jc w:val="left"/>
        <w:rPr>
          <w:sz w:val="21"/>
        </w:rPr>
      </w:pPr>
      <w:r>
        <w:rPr>
          <w:color w:val="231F20"/>
          <w:sz w:val="21"/>
        </w:rPr>
        <w:t>¿Qué tipo de violencia puede atestiguarse en la relación de Luisa con</w:t>
      </w:r>
      <w:r>
        <w:rPr>
          <w:color w:val="231F20"/>
          <w:spacing w:val="-20"/>
          <w:sz w:val="21"/>
        </w:rPr>
        <w:t> </w:t>
      </w:r>
      <w:r>
        <w:rPr>
          <w:color w:val="231F20"/>
          <w:sz w:val="21"/>
        </w:rPr>
        <w:t>Julián?</w:t>
      </w:r>
    </w:p>
    <w:p>
      <w:pPr>
        <w:pStyle w:val="ListParagraph"/>
        <w:numPr>
          <w:ilvl w:val="1"/>
          <w:numId w:val="14"/>
        </w:numPr>
        <w:tabs>
          <w:tab w:pos="325" w:val="left" w:leader="none"/>
        </w:tabs>
        <w:spacing w:line="247" w:lineRule="auto" w:before="121" w:after="0"/>
        <w:ind w:left="102" w:right="117" w:firstLine="0"/>
        <w:jc w:val="both"/>
        <w:rPr>
          <w:sz w:val="21"/>
        </w:rPr>
      </w:pPr>
      <w:r>
        <w:rPr>
          <w:color w:val="231F20"/>
          <w:sz w:val="21"/>
        </w:rPr>
        <w:t>¿Qué piensa Marta de la relación entre Luisa y Julián? ¿Estás de acuerdo con el punto de vista de la patrona, o en desacuerdo? ¿Por qué?</w:t>
      </w:r>
    </w:p>
    <w:p>
      <w:pPr>
        <w:pStyle w:val="ListParagraph"/>
        <w:numPr>
          <w:ilvl w:val="1"/>
          <w:numId w:val="14"/>
        </w:numPr>
        <w:tabs>
          <w:tab w:pos="319" w:val="left" w:leader="none"/>
        </w:tabs>
        <w:spacing w:line="247" w:lineRule="auto" w:before="121" w:after="0"/>
        <w:ind w:left="102" w:right="117" w:firstLine="0"/>
        <w:jc w:val="left"/>
        <w:rPr>
          <w:sz w:val="21"/>
        </w:rPr>
      </w:pPr>
      <w:r>
        <w:rPr>
          <w:color w:val="231F20"/>
          <w:sz w:val="21"/>
        </w:rPr>
        <w:t>¿Quién es Martita y cómo se describe? ¿A qué clase social perte- nece?</w:t>
      </w:r>
    </w:p>
    <w:p>
      <w:pPr>
        <w:pStyle w:val="ListParagraph"/>
        <w:numPr>
          <w:ilvl w:val="1"/>
          <w:numId w:val="14"/>
        </w:numPr>
        <w:tabs>
          <w:tab w:pos="309" w:val="left" w:leader="none"/>
        </w:tabs>
        <w:spacing w:line="240" w:lineRule="auto" w:before="121" w:after="0"/>
        <w:ind w:left="308" w:right="0" w:hanging="206"/>
        <w:jc w:val="both"/>
        <w:rPr>
          <w:sz w:val="21"/>
        </w:rPr>
      </w:pPr>
      <w:r>
        <w:rPr>
          <w:color w:val="231F20"/>
          <w:sz w:val="21"/>
        </w:rPr>
        <w:t>En general, ¿qué piensa Martita de los</w:t>
      </w:r>
      <w:r>
        <w:rPr>
          <w:color w:val="231F20"/>
          <w:spacing w:val="-26"/>
          <w:sz w:val="21"/>
        </w:rPr>
        <w:t> </w:t>
      </w:r>
      <w:r>
        <w:rPr>
          <w:color w:val="231F20"/>
          <w:sz w:val="21"/>
        </w:rPr>
        <w:t>indios?</w:t>
      </w:r>
    </w:p>
    <w:p>
      <w:pPr>
        <w:pStyle w:val="ListParagraph"/>
        <w:numPr>
          <w:ilvl w:val="1"/>
          <w:numId w:val="14"/>
        </w:numPr>
        <w:tabs>
          <w:tab w:pos="312" w:val="left" w:leader="none"/>
        </w:tabs>
        <w:spacing w:line="247" w:lineRule="auto" w:before="128" w:after="0"/>
        <w:ind w:left="102" w:right="117" w:firstLine="0"/>
        <w:jc w:val="left"/>
        <w:rPr>
          <w:sz w:val="21"/>
        </w:rPr>
      </w:pPr>
      <w:r>
        <w:rPr>
          <w:color w:val="231F20"/>
          <w:sz w:val="21"/>
        </w:rPr>
        <w:t>¿Cómo interpretas el hecho de que Luisa sepa bañarse en regade- ra y contestar el teléfono? ¿Por qué sorprende esto a</w:t>
      </w:r>
      <w:r>
        <w:rPr>
          <w:color w:val="231F20"/>
          <w:spacing w:val="30"/>
          <w:sz w:val="21"/>
        </w:rPr>
        <w:t> </w:t>
      </w:r>
      <w:r>
        <w:rPr>
          <w:color w:val="231F20"/>
          <w:sz w:val="21"/>
        </w:rPr>
        <w:t>Martita?</w:t>
      </w:r>
    </w:p>
    <w:p>
      <w:pPr>
        <w:pStyle w:val="ListParagraph"/>
        <w:numPr>
          <w:ilvl w:val="1"/>
          <w:numId w:val="14"/>
        </w:numPr>
        <w:tabs>
          <w:tab w:pos="314" w:val="left" w:leader="none"/>
        </w:tabs>
        <w:spacing w:line="252" w:lineRule="auto" w:before="121" w:after="0"/>
        <w:ind w:left="102" w:right="119" w:firstLine="0"/>
        <w:jc w:val="left"/>
        <w:rPr>
          <w:sz w:val="21"/>
        </w:rPr>
      </w:pPr>
      <w:r>
        <w:rPr>
          <w:color w:val="231F20"/>
          <w:sz w:val="21"/>
        </w:rPr>
        <w:t>¿Crees que Luisa se asustó de verdad cuando Martita le habló del demonio?</w:t>
      </w:r>
    </w:p>
    <w:p>
      <w:pPr>
        <w:pStyle w:val="ListParagraph"/>
        <w:numPr>
          <w:ilvl w:val="1"/>
          <w:numId w:val="14"/>
        </w:numPr>
        <w:tabs>
          <w:tab w:pos="310" w:val="left" w:leader="none"/>
        </w:tabs>
        <w:spacing w:line="247" w:lineRule="auto" w:before="116" w:after="0"/>
        <w:ind w:left="102" w:right="117" w:firstLine="0"/>
        <w:jc w:val="left"/>
        <w:rPr>
          <w:sz w:val="21"/>
        </w:rPr>
      </w:pPr>
      <w:r>
        <w:rPr>
          <w:color w:val="231F20"/>
          <w:sz w:val="21"/>
        </w:rPr>
        <w:t>¿Qué piensas del empleo que hace Marta de la religión en el pasa- je en que habla con Luisa acerca del</w:t>
      </w:r>
      <w:r>
        <w:rPr>
          <w:color w:val="231F20"/>
          <w:spacing w:val="1"/>
          <w:sz w:val="21"/>
        </w:rPr>
        <w:t> </w:t>
      </w:r>
      <w:r>
        <w:rPr>
          <w:color w:val="231F20"/>
          <w:sz w:val="21"/>
        </w:rPr>
        <w:t>demonio?</w:t>
      </w:r>
    </w:p>
    <w:p>
      <w:pPr>
        <w:pStyle w:val="ListParagraph"/>
        <w:numPr>
          <w:ilvl w:val="1"/>
          <w:numId w:val="14"/>
        </w:numPr>
        <w:tabs>
          <w:tab w:pos="309" w:val="left" w:leader="none"/>
        </w:tabs>
        <w:spacing w:line="247" w:lineRule="auto" w:before="121" w:after="0"/>
        <w:ind w:left="102" w:right="118" w:firstLine="0"/>
        <w:jc w:val="left"/>
        <w:rPr>
          <w:sz w:val="21"/>
        </w:rPr>
      </w:pPr>
      <w:r>
        <w:rPr>
          <w:color w:val="231F20"/>
          <w:sz w:val="21"/>
        </w:rPr>
        <w:t>Explica</w:t>
      </w:r>
      <w:r>
        <w:rPr>
          <w:color w:val="231F20"/>
          <w:spacing w:val="-5"/>
          <w:sz w:val="21"/>
        </w:rPr>
        <w:t> </w:t>
      </w:r>
      <w:r>
        <w:rPr>
          <w:color w:val="231F20"/>
          <w:sz w:val="21"/>
        </w:rPr>
        <w:t>la</w:t>
      </w:r>
      <w:r>
        <w:rPr>
          <w:color w:val="231F20"/>
          <w:spacing w:val="-4"/>
          <w:sz w:val="21"/>
        </w:rPr>
        <w:t> </w:t>
      </w:r>
      <w:r>
        <w:rPr>
          <w:color w:val="231F20"/>
          <w:sz w:val="21"/>
        </w:rPr>
        <w:t>vida</w:t>
      </w:r>
      <w:r>
        <w:rPr>
          <w:color w:val="231F20"/>
          <w:spacing w:val="-4"/>
          <w:sz w:val="21"/>
        </w:rPr>
        <w:t> </w:t>
      </w:r>
      <w:r>
        <w:rPr>
          <w:color w:val="231F20"/>
          <w:sz w:val="21"/>
        </w:rPr>
        <w:t>de</w:t>
      </w:r>
      <w:r>
        <w:rPr>
          <w:color w:val="231F20"/>
          <w:spacing w:val="-4"/>
          <w:sz w:val="21"/>
        </w:rPr>
        <w:t> </w:t>
      </w:r>
      <w:r>
        <w:rPr>
          <w:color w:val="231F20"/>
          <w:sz w:val="21"/>
        </w:rPr>
        <w:t>Luisa,</w:t>
      </w:r>
      <w:r>
        <w:rPr>
          <w:color w:val="231F20"/>
          <w:spacing w:val="-5"/>
          <w:sz w:val="21"/>
        </w:rPr>
        <w:t> </w:t>
      </w:r>
      <w:r>
        <w:rPr>
          <w:color w:val="231F20"/>
          <w:sz w:val="21"/>
        </w:rPr>
        <w:t>su</w:t>
      </w:r>
      <w:r>
        <w:rPr>
          <w:color w:val="231F20"/>
          <w:spacing w:val="-4"/>
          <w:sz w:val="21"/>
        </w:rPr>
        <w:t> </w:t>
      </w:r>
      <w:r>
        <w:rPr>
          <w:color w:val="231F20"/>
          <w:sz w:val="21"/>
        </w:rPr>
        <w:t>pasado</w:t>
      </w:r>
      <w:r>
        <w:rPr>
          <w:color w:val="231F20"/>
          <w:spacing w:val="-4"/>
          <w:sz w:val="21"/>
        </w:rPr>
        <w:t> </w:t>
      </w:r>
      <w:r>
        <w:rPr>
          <w:color w:val="231F20"/>
          <w:sz w:val="21"/>
        </w:rPr>
        <w:t>y</w:t>
      </w:r>
      <w:r>
        <w:rPr>
          <w:color w:val="231F20"/>
          <w:spacing w:val="-4"/>
          <w:sz w:val="21"/>
        </w:rPr>
        <w:t> </w:t>
      </w:r>
      <w:r>
        <w:rPr>
          <w:color w:val="231F20"/>
          <w:sz w:val="21"/>
        </w:rPr>
        <w:t>la</w:t>
      </w:r>
      <w:r>
        <w:rPr>
          <w:color w:val="231F20"/>
          <w:spacing w:val="-4"/>
          <w:sz w:val="21"/>
        </w:rPr>
        <w:t> </w:t>
      </w:r>
      <w:r>
        <w:rPr>
          <w:color w:val="231F20"/>
          <w:sz w:val="21"/>
        </w:rPr>
        <w:t>causa</w:t>
      </w:r>
      <w:r>
        <w:rPr>
          <w:color w:val="231F20"/>
          <w:spacing w:val="-4"/>
          <w:sz w:val="21"/>
        </w:rPr>
        <w:t> </w:t>
      </w:r>
      <w:r>
        <w:rPr>
          <w:color w:val="231F20"/>
          <w:sz w:val="21"/>
        </w:rPr>
        <w:t>por</w:t>
      </w:r>
      <w:r>
        <w:rPr>
          <w:color w:val="231F20"/>
          <w:spacing w:val="-5"/>
          <w:sz w:val="21"/>
        </w:rPr>
        <w:t> </w:t>
      </w:r>
      <w:r>
        <w:rPr>
          <w:color w:val="231F20"/>
          <w:sz w:val="21"/>
        </w:rPr>
        <w:t>la cual</w:t>
      </w:r>
      <w:r>
        <w:rPr>
          <w:color w:val="231F20"/>
          <w:spacing w:val="-5"/>
          <w:sz w:val="21"/>
        </w:rPr>
        <w:t> </w:t>
      </w:r>
      <w:r>
        <w:rPr>
          <w:color w:val="231F20"/>
          <w:sz w:val="21"/>
        </w:rPr>
        <w:t>mató</w:t>
      </w:r>
      <w:r>
        <w:rPr>
          <w:color w:val="231F20"/>
          <w:spacing w:val="-4"/>
          <w:sz w:val="21"/>
        </w:rPr>
        <w:t> </w:t>
      </w:r>
      <w:r>
        <w:rPr>
          <w:color w:val="231F20"/>
          <w:sz w:val="21"/>
        </w:rPr>
        <w:t>a</w:t>
      </w:r>
      <w:r>
        <w:rPr>
          <w:color w:val="231F20"/>
          <w:spacing w:val="-4"/>
          <w:sz w:val="21"/>
        </w:rPr>
        <w:t> </w:t>
      </w:r>
      <w:r>
        <w:rPr>
          <w:color w:val="231F20"/>
          <w:sz w:val="21"/>
        </w:rPr>
        <w:t>la mujer que vendía en el</w:t>
      </w:r>
      <w:r>
        <w:rPr>
          <w:color w:val="231F20"/>
          <w:spacing w:val="6"/>
          <w:sz w:val="21"/>
        </w:rPr>
        <w:t> </w:t>
      </w:r>
      <w:r>
        <w:rPr>
          <w:color w:val="231F20"/>
          <w:sz w:val="21"/>
        </w:rPr>
        <w:t>mercado.</w:t>
      </w:r>
    </w:p>
    <w:p>
      <w:pPr>
        <w:pStyle w:val="ListParagraph"/>
        <w:numPr>
          <w:ilvl w:val="1"/>
          <w:numId w:val="14"/>
        </w:numPr>
        <w:tabs>
          <w:tab w:pos="445" w:val="left" w:leader="none"/>
        </w:tabs>
        <w:spacing w:line="247" w:lineRule="auto" w:before="121" w:after="0"/>
        <w:ind w:left="102" w:right="120" w:firstLine="0"/>
        <w:jc w:val="left"/>
        <w:rPr>
          <w:sz w:val="21"/>
        </w:rPr>
      </w:pPr>
      <w:r>
        <w:rPr>
          <w:color w:val="231F20"/>
          <w:sz w:val="21"/>
        </w:rPr>
        <w:t>¿Cómo fue la vida de Luisa en la cárcel? ¿Por qué crees que Luisa</w:t>
      </w:r>
      <w:r>
        <w:rPr>
          <w:color w:val="231F20"/>
          <w:spacing w:val="-6"/>
          <w:sz w:val="21"/>
        </w:rPr>
        <w:t> </w:t>
      </w:r>
      <w:r>
        <w:rPr>
          <w:color w:val="231F20"/>
          <w:sz w:val="21"/>
        </w:rPr>
        <w:t>veía</w:t>
      </w:r>
      <w:r>
        <w:rPr>
          <w:color w:val="231F20"/>
          <w:spacing w:val="-6"/>
          <w:sz w:val="21"/>
        </w:rPr>
        <w:t> </w:t>
      </w:r>
      <w:r>
        <w:rPr>
          <w:color w:val="231F20"/>
          <w:sz w:val="21"/>
        </w:rPr>
        <w:t>al</w:t>
      </w:r>
      <w:r>
        <w:rPr>
          <w:color w:val="231F20"/>
          <w:spacing w:val="-6"/>
          <w:sz w:val="21"/>
        </w:rPr>
        <w:t> </w:t>
      </w:r>
      <w:r>
        <w:rPr>
          <w:color w:val="231F20"/>
          <w:sz w:val="21"/>
        </w:rPr>
        <w:t>“Malo”?</w:t>
      </w:r>
      <w:r>
        <w:rPr>
          <w:color w:val="231F20"/>
          <w:spacing w:val="-6"/>
          <w:sz w:val="21"/>
        </w:rPr>
        <w:t> </w:t>
      </w:r>
      <w:r>
        <w:rPr>
          <w:color w:val="231F20"/>
          <w:sz w:val="21"/>
        </w:rPr>
        <w:t>¿Cuánto</w:t>
      </w:r>
      <w:r>
        <w:rPr>
          <w:color w:val="231F20"/>
          <w:spacing w:val="-5"/>
          <w:sz w:val="21"/>
        </w:rPr>
        <w:t> </w:t>
      </w:r>
      <w:r>
        <w:rPr>
          <w:color w:val="231F20"/>
          <w:sz w:val="21"/>
        </w:rPr>
        <w:t>tiempo</w:t>
      </w:r>
      <w:r>
        <w:rPr>
          <w:color w:val="231F20"/>
          <w:spacing w:val="-5"/>
          <w:sz w:val="21"/>
        </w:rPr>
        <w:t> </w:t>
      </w:r>
      <w:r>
        <w:rPr>
          <w:color w:val="231F20"/>
          <w:sz w:val="21"/>
        </w:rPr>
        <w:t>estuvo</w:t>
      </w:r>
      <w:r>
        <w:rPr>
          <w:color w:val="231F20"/>
          <w:spacing w:val="-5"/>
          <w:sz w:val="21"/>
        </w:rPr>
        <w:t> </w:t>
      </w:r>
      <w:r>
        <w:rPr>
          <w:color w:val="231F20"/>
          <w:sz w:val="21"/>
        </w:rPr>
        <w:t>presa?</w:t>
      </w:r>
    </w:p>
    <w:p>
      <w:pPr>
        <w:pStyle w:val="ListParagraph"/>
        <w:numPr>
          <w:ilvl w:val="1"/>
          <w:numId w:val="14"/>
        </w:numPr>
        <w:tabs>
          <w:tab w:pos="427" w:val="left" w:leader="none"/>
        </w:tabs>
        <w:spacing w:line="247" w:lineRule="auto" w:before="121" w:after="0"/>
        <w:ind w:left="102" w:right="120" w:firstLine="0"/>
        <w:jc w:val="left"/>
        <w:rPr>
          <w:sz w:val="21"/>
        </w:rPr>
      </w:pPr>
      <w:r>
        <w:rPr>
          <w:color w:val="231F20"/>
          <w:sz w:val="21"/>
        </w:rPr>
        <w:t>¿Qué le pasó al árbol con el cual se confesó Luisa? ¿Cuál es tu opinión al</w:t>
      </w:r>
      <w:r>
        <w:rPr>
          <w:color w:val="231F20"/>
          <w:spacing w:val="9"/>
          <w:sz w:val="21"/>
        </w:rPr>
        <w:t> </w:t>
      </w:r>
      <w:r>
        <w:rPr>
          <w:color w:val="231F20"/>
          <w:sz w:val="21"/>
        </w:rPr>
        <w:t>respecto?</w:t>
      </w:r>
    </w:p>
    <w:p>
      <w:pPr>
        <w:pStyle w:val="ListParagraph"/>
        <w:numPr>
          <w:ilvl w:val="1"/>
          <w:numId w:val="14"/>
        </w:numPr>
        <w:tabs>
          <w:tab w:pos="420" w:val="left" w:leader="none"/>
        </w:tabs>
        <w:spacing w:line="247" w:lineRule="auto" w:before="121" w:after="0"/>
        <w:ind w:left="102" w:right="120" w:firstLine="0"/>
        <w:jc w:val="left"/>
        <w:rPr>
          <w:sz w:val="21"/>
        </w:rPr>
      </w:pPr>
      <w:r>
        <w:rPr>
          <w:color w:val="231F20"/>
          <w:sz w:val="21"/>
        </w:rPr>
        <w:t>¿Cómo interpretarías el final del cuento? ¿Por qué Luisa mató a Marta?</w:t>
      </w:r>
    </w:p>
    <w:p>
      <w:pPr>
        <w:pStyle w:val="ListParagraph"/>
        <w:numPr>
          <w:ilvl w:val="1"/>
          <w:numId w:val="14"/>
        </w:numPr>
        <w:tabs>
          <w:tab w:pos="412" w:val="left" w:leader="none"/>
        </w:tabs>
        <w:spacing w:line="240" w:lineRule="auto" w:before="121" w:after="0"/>
        <w:ind w:left="411" w:right="0" w:hanging="309"/>
        <w:jc w:val="both"/>
        <w:rPr>
          <w:sz w:val="21"/>
        </w:rPr>
      </w:pPr>
      <w:r>
        <w:rPr>
          <w:color w:val="231F20"/>
          <w:sz w:val="21"/>
        </w:rPr>
        <w:t>¿Por</w:t>
      </w:r>
      <w:r>
        <w:rPr>
          <w:color w:val="231F20"/>
          <w:spacing w:val="-8"/>
          <w:sz w:val="21"/>
        </w:rPr>
        <w:t> </w:t>
      </w:r>
      <w:r>
        <w:rPr>
          <w:color w:val="231F20"/>
          <w:sz w:val="21"/>
        </w:rPr>
        <w:t>qué</w:t>
      </w:r>
      <w:r>
        <w:rPr>
          <w:color w:val="231F20"/>
          <w:spacing w:val="-7"/>
          <w:sz w:val="21"/>
        </w:rPr>
        <w:t> </w:t>
      </w:r>
      <w:r>
        <w:rPr>
          <w:color w:val="231F20"/>
          <w:sz w:val="21"/>
        </w:rPr>
        <w:t>Luisa</w:t>
      </w:r>
      <w:r>
        <w:rPr>
          <w:color w:val="231F20"/>
          <w:spacing w:val="-8"/>
          <w:sz w:val="21"/>
        </w:rPr>
        <w:t> </w:t>
      </w:r>
      <w:r>
        <w:rPr>
          <w:color w:val="231F20"/>
          <w:sz w:val="21"/>
        </w:rPr>
        <w:t>se</w:t>
      </w:r>
      <w:r>
        <w:rPr>
          <w:color w:val="231F20"/>
          <w:spacing w:val="-7"/>
          <w:sz w:val="21"/>
        </w:rPr>
        <w:t> </w:t>
      </w:r>
      <w:r>
        <w:rPr>
          <w:color w:val="231F20"/>
          <w:sz w:val="21"/>
        </w:rPr>
        <w:t>decepciona</w:t>
      </w:r>
      <w:r>
        <w:rPr>
          <w:color w:val="231F20"/>
          <w:spacing w:val="-8"/>
          <w:sz w:val="21"/>
        </w:rPr>
        <w:t> </w:t>
      </w:r>
      <w:r>
        <w:rPr>
          <w:color w:val="231F20"/>
          <w:sz w:val="21"/>
        </w:rPr>
        <w:t>al</w:t>
      </w:r>
      <w:r>
        <w:rPr>
          <w:color w:val="231F20"/>
          <w:spacing w:val="-8"/>
          <w:sz w:val="21"/>
        </w:rPr>
        <w:t> </w:t>
      </w:r>
      <w:r>
        <w:rPr>
          <w:color w:val="231F20"/>
          <w:sz w:val="21"/>
        </w:rPr>
        <w:t>volver</w:t>
      </w:r>
      <w:r>
        <w:rPr>
          <w:color w:val="231F20"/>
          <w:spacing w:val="-8"/>
          <w:sz w:val="21"/>
        </w:rPr>
        <w:t> </w:t>
      </w:r>
      <w:r>
        <w:rPr>
          <w:color w:val="231F20"/>
          <w:sz w:val="21"/>
        </w:rPr>
        <w:t>a</w:t>
      </w:r>
      <w:r>
        <w:rPr>
          <w:color w:val="231F20"/>
          <w:spacing w:val="-8"/>
          <w:sz w:val="21"/>
        </w:rPr>
        <w:t> </w:t>
      </w:r>
      <w:r>
        <w:rPr>
          <w:color w:val="231F20"/>
          <w:sz w:val="21"/>
        </w:rPr>
        <w:t>la</w:t>
      </w:r>
      <w:r>
        <w:rPr>
          <w:color w:val="231F20"/>
          <w:spacing w:val="-8"/>
          <w:sz w:val="21"/>
        </w:rPr>
        <w:t> </w:t>
      </w:r>
      <w:r>
        <w:rPr>
          <w:color w:val="231F20"/>
          <w:sz w:val="21"/>
        </w:rPr>
        <w:t>cárcel?</w:t>
      </w:r>
    </w:p>
    <w:p>
      <w:pPr>
        <w:pStyle w:val="ListParagraph"/>
        <w:numPr>
          <w:ilvl w:val="0"/>
          <w:numId w:val="14"/>
        </w:numPr>
        <w:tabs>
          <w:tab w:pos="341" w:val="left" w:leader="none"/>
        </w:tabs>
        <w:spacing w:line="240" w:lineRule="auto" w:before="133" w:after="0"/>
        <w:ind w:left="340" w:right="0" w:hanging="238"/>
        <w:jc w:val="both"/>
        <w:rPr>
          <w:sz w:val="21"/>
        </w:rPr>
      </w:pPr>
      <w:r>
        <w:rPr>
          <w:color w:val="231F20"/>
          <w:sz w:val="21"/>
        </w:rPr>
        <w:t>Diario de</w:t>
      </w:r>
      <w:r>
        <w:rPr>
          <w:color w:val="231F20"/>
          <w:spacing w:val="21"/>
          <w:sz w:val="21"/>
        </w:rPr>
        <w:t> </w:t>
      </w:r>
      <w:r>
        <w:rPr>
          <w:color w:val="231F20"/>
          <w:sz w:val="21"/>
        </w:rPr>
        <w:t>campo.</w:t>
      </w:r>
    </w:p>
    <w:p>
      <w:pPr>
        <w:pStyle w:val="BodyText"/>
        <w:spacing w:line="247" w:lineRule="auto" w:before="128"/>
        <w:ind w:left="102" w:right="121"/>
      </w:pPr>
      <w:r>
        <w:rPr>
          <w:color w:val="231F20"/>
        </w:rPr>
        <w:t>Tema: las opiniones de 20 alumnos de licenciatura respecto de “El árbol”, de Elena Garro.</w:t>
      </w:r>
    </w:p>
    <w:p>
      <w:pPr>
        <w:spacing w:after="0" w:line="247" w:lineRule="auto"/>
        <w:sectPr>
          <w:headerReference w:type="default" r:id="rId591"/>
          <w:footerReference w:type="default" r:id="rId592"/>
          <w:pgSz w:w="7830" w:h="11910"/>
          <w:pgMar w:header="0" w:footer="424" w:top="500" w:bottom="620" w:left="920" w:right="900"/>
          <w:pgNumType w:start="26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367" w:lineRule="auto" w:before="92"/>
        <w:ind w:left="810" w:right="1237"/>
      </w:pPr>
      <w:r>
        <w:rPr>
          <w:color w:val="231F20"/>
        </w:rPr>
        <w:t>Día de desarrollo de la sesión: 06 /03/2011. Lugar: Facultad de Lenguas de la UAEM. </w:t>
      </w:r>
      <w:r>
        <w:rPr>
          <w:color w:val="231F20"/>
          <w:w w:val="95"/>
        </w:rPr>
        <w:t>Hora: 9:00-10:40.</w:t>
      </w:r>
    </w:p>
    <w:p>
      <w:pPr>
        <w:spacing w:before="134"/>
        <w:ind w:left="102" w:right="0" w:firstLine="0"/>
        <w:jc w:val="both"/>
        <w:rPr>
          <w:i/>
          <w:sz w:val="21"/>
        </w:rPr>
      </w:pPr>
      <w:r>
        <w:rPr>
          <w:i/>
          <w:color w:val="231F20"/>
          <w:w w:val="85"/>
          <w:sz w:val="21"/>
        </w:rPr>
        <w:t>Instrucciones para redactar un comentario individual acerca de la violencia</w:t>
      </w:r>
    </w:p>
    <w:p>
      <w:pPr>
        <w:pStyle w:val="BodyText"/>
        <w:spacing w:before="6"/>
        <w:rPr>
          <w:i/>
        </w:rPr>
      </w:pPr>
    </w:p>
    <w:p>
      <w:pPr>
        <w:pStyle w:val="BodyText"/>
        <w:spacing w:line="244" w:lineRule="auto"/>
        <w:ind w:left="102" w:right="112"/>
        <w:jc w:val="both"/>
      </w:pPr>
      <w:r>
        <w:rPr>
          <w:color w:val="231F20"/>
        </w:rPr>
        <w:t>Redacten un comentario en el cual traten de los siguientes temas: a) qué es la violencia para ustedes y cuáles son sus tipos; b) qué expe- riencias personales relacionadas con la violencia en distintos ámbi- tos han experimentado; c) cómo perciben la violencia; d) qué críti- cas relacionadas con el tema de la violencia expondrían; e) qué pro- puestas para enfrentar el problema de la violencia desean  proponer.</w:t>
      </w:r>
    </w:p>
    <w:p>
      <w:pPr>
        <w:pStyle w:val="BodyText"/>
        <w:spacing w:before="3"/>
        <w:rPr>
          <w:sz w:val="23"/>
        </w:rPr>
      </w:pPr>
    </w:p>
    <w:p>
      <w:pPr>
        <w:pStyle w:val="BodyText"/>
        <w:ind w:left="102"/>
        <w:jc w:val="both"/>
      </w:pPr>
      <w:r>
        <w:rPr>
          <w:color w:val="231F20"/>
        </w:rPr>
        <w:t>RESULTADOS</w:t>
      </w:r>
    </w:p>
    <w:p>
      <w:pPr>
        <w:pStyle w:val="BodyText"/>
        <w:spacing w:before="1"/>
      </w:pPr>
    </w:p>
    <w:p>
      <w:pPr>
        <w:pStyle w:val="ListParagraph"/>
        <w:numPr>
          <w:ilvl w:val="0"/>
          <w:numId w:val="15"/>
        </w:numPr>
        <w:tabs>
          <w:tab w:pos="391" w:val="left" w:leader="none"/>
        </w:tabs>
        <w:spacing w:line="247" w:lineRule="auto" w:before="1" w:after="0"/>
        <w:ind w:left="102" w:right="119" w:firstLine="0"/>
        <w:jc w:val="both"/>
        <w:rPr>
          <w:sz w:val="21"/>
        </w:rPr>
      </w:pPr>
      <w:r>
        <w:rPr>
          <w:color w:val="231F20"/>
          <w:sz w:val="21"/>
        </w:rPr>
        <w:t>El diario de campo de las investigadoras, con la corrección y edición</w:t>
      </w:r>
      <w:r>
        <w:rPr>
          <w:color w:val="231F20"/>
          <w:spacing w:val="-14"/>
          <w:sz w:val="21"/>
        </w:rPr>
        <w:t> </w:t>
      </w:r>
      <w:r>
        <w:rPr>
          <w:color w:val="231F20"/>
          <w:sz w:val="21"/>
        </w:rPr>
        <w:t>colectiva</w:t>
      </w:r>
      <w:r>
        <w:rPr>
          <w:color w:val="231F20"/>
          <w:spacing w:val="-14"/>
          <w:sz w:val="21"/>
        </w:rPr>
        <w:t> </w:t>
      </w:r>
      <w:r>
        <w:rPr>
          <w:color w:val="231F20"/>
          <w:sz w:val="21"/>
        </w:rPr>
        <w:t>es</w:t>
      </w:r>
      <w:r>
        <w:rPr>
          <w:color w:val="231F20"/>
          <w:spacing w:val="-14"/>
          <w:sz w:val="21"/>
        </w:rPr>
        <w:t> </w:t>
      </w:r>
      <w:r>
        <w:rPr>
          <w:color w:val="231F20"/>
          <w:sz w:val="21"/>
        </w:rPr>
        <w:t>el</w:t>
      </w:r>
      <w:r>
        <w:rPr>
          <w:color w:val="231F20"/>
          <w:spacing w:val="-14"/>
          <w:sz w:val="21"/>
        </w:rPr>
        <w:t> </w:t>
      </w:r>
      <w:r>
        <w:rPr>
          <w:color w:val="231F20"/>
          <w:sz w:val="21"/>
        </w:rPr>
        <w:t>siguiente:</w:t>
      </w:r>
    </w:p>
    <w:p>
      <w:pPr>
        <w:pStyle w:val="BodyText"/>
        <w:spacing w:line="249" w:lineRule="auto" w:before="10"/>
        <w:ind w:left="102" w:right="119" w:firstLine="284"/>
        <w:jc w:val="both"/>
      </w:pPr>
      <w:r>
        <w:rPr>
          <w:color w:val="231F20"/>
        </w:rPr>
        <w:t>A </w:t>
      </w:r>
      <w:r>
        <w:rPr>
          <w:color w:val="231F20"/>
          <w:spacing w:val="2"/>
        </w:rPr>
        <w:t>esta sesión asistieron veinte </w:t>
      </w:r>
      <w:r>
        <w:rPr>
          <w:color w:val="231F20"/>
          <w:spacing w:val="3"/>
        </w:rPr>
        <w:t>alumnos </w:t>
      </w:r>
      <w:r>
        <w:rPr>
          <w:color w:val="231F20"/>
        </w:rPr>
        <w:t>de un </w:t>
      </w:r>
      <w:r>
        <w:rPr>
          <w:color w:val="231F20"/>
          <w:spacing w:val="2"/>
        </w:rPr>
        <w:t>total </w:t>
      </w:r>
      <w:r>
        <w:rPr>
          <w:color w:val="231F20"/>
        </w:rPr>
        <w:t>de </w:t>
      </w:r>
      <w:r>
        <w:rPr>
          <w:color w:val="231F20"/>
          <w:spacing w:val="2"/>
        </w:rPr>
        <w:t>veinti- cinco. Los </w:t>
      </w:r>
      <w:r>
        <w:rPr>
          <w:color w:val="231F20"/>
          <w:spacing w:val="3"/>
        </w:rPr>
        <w:t>primeros comentarios </w:t>
      </w:r>
      <w:r>
        <w:rPr>
          <w:color w:val="231F20"/>
        </w:rPr>
        <w:t>se </w:t>
      </w:r>
      <w:r>
        <w:rPr>
          <w:color w:val="231F20"/>
          <w:spacing w:val="2"/>
        </w:rPr>
        <w:t>centraron </w:t>
      </w:r>
      <w:r>
        <w:rPr>
          <w:color w:val="231F20"/>
        </w:rPr>
        <w:t>en  la  </w:t>
      </w:r>
      <w:r>
        <w:rPr>
          <w:color w:val="231F20"/>
          <w:spacing w:val="3"/>
        </w:rPr>
        <w:t>comprensión </w:t>
      </w:r>
      <w:r>
        <w:rPr>
          <w:color w:val="231F20"/>
        </w:rPr>
        <w:t>e </w:t>
      </w:r>
      <w:r>
        <w:rPr>
          <w:color w:val="231F20"/>
          <w:spacing w:val="2"/>
        </w:rPr>
        <w:t>interpretación del </w:t>
      </w:r>
      <w:r>
        <w:rPr>
          <w:color w:val="231F20"/>
          <w:spacing w:val="3"/>
        </w:rPr>
        <w:t>cuento. </w:t>
      </w:r>
      <w:r>
        <w:rPr>
          <w:color w:val="231F20"/>
          <w:spacing w:val="2"/>
        </w:rPr>
        <w:t>Los estudiantes </w:t>
      </w:r>
      <w:r>
        <w:rPr>
          <w:color w:val="231F20"/>
          <w:spacing w:val="3"/>
        </w:rPr>
        <w:t>entendieron </w:t>
      </w:r>
      <w:r>
        <w:rPr>
          <w:color w:val="231F20"/>
          <w:spacing w:val="2"/>
        </w:rPr>
        <w:t>cabal- mente </w:t>
      </w:r>
      <w:r>
        <w:rPr>
          <w:color w:val="231F20"/>
        </w:rPr>
        <w:t>la </w:t>
      </w:r>
      <w:r>
        <w:rPr>
          <w:color w:val="231F20"/>
          <w:spacing w:val="2"/>
        </w:rPr>
        <w:t>historia </w:t>
      </w:r>
      <w:r>
        <w:rPr>
          <w:color w:val="231F20"/>
        </w:rPr>
        <w:t>y </w:t>
      </w:r>
      <w:r>
        <w:rPr>
          <w:color w:val="231F20"/>
          <w:spacing w:val="2"/>
        </w:rPr>
        <w:t>manifestaron que </w:t>
      </w:r>
      <w:r>
        <w:rPr>
          <w:color w:val="231F20"/>
        </w:rPr>
        <w:t>les </w:t>
      </w:r>
      <w:r>
        <w:rPr>
          <w:color w:val="231F20"/>
          <w:spacing w:val="2"/>
        </w:rPr>
        <w:t>gustó  </w:t>
      </w:r>
      <w:r>
        <w:rPr>
          <w:color w:val="231F20"/>
        </w:rPr>
        <w:t>la  </w:t>
      </w:r>
      <w:r>
        <w:rPr>
          <w:color w:val="231F20"/>
          <w:spacing w:val="2"/>
        </w:rPr>
        <w:t>lectura porque </w:t>
      </w:r>
      <w:r>
        <w:rPr>
          <w:color w:val="231F20"/>
        </w:rPr>
        <w:t>era de </w:t>
      </w:r>
      <w:r>
        <w:rPr>
          <w:color w:val="231F20"/>
          <w:spacing w:val="3"/>
        </w:rPr>
        <w:t>suspenso </w:t>
      </w:r>
      <w:r>
        <w:rPr>
          <w:color w:val="231F20"/>
        </w:rPr>
        <w:t>y </w:t>
      </w:r>
      <w:r>
        <w:rPr>
          <w:color w:val="231F20"/>
          <w:spacing w:val="3"/>
        </w:rPr>
        <w:t>porque </w:t>
      </w:r>
      <w:r>
        <w:rPr>
          <w:color w:val="231F20"/>
        </w:rPr>
        <w:t>les </w:t>
      </w:r>
      <w:r>
        <w:rPr>
          <w:color w:val="231F20"/>
          <w:spacing w:val="2"/>
        </w:rPr>
        <w:t>había </w:t>
      </w:r>
      <w:r>
        <w:rPr>
          <w:color w:val="231F20"/>
          <w:spacing w:val="3"/>
        </w:rPr>
        <w:t>sorprendido </w:t>
      </w:r>
      <w:r>
        <w:rPr>
          <w:color w:val="231F20"/>
        </w:rPr>
        <w:t>el </w:t>
      </w:r>
      <w:r>
        <w:rPr>
          <w:color w:val="231F20"/>
          <w:spacing w:val="2"/>
        </w:rPr>
        <w:t>final. Ensegui- da, </w:t>
      </w:r>
      <w:r>
        <w:rPr>
          <w:color w:val="231F20"/>
        </w:rPr>
        <w:t>se </w:t>
      </w:r>
      <w:r>
        <w:rPr>
          <w:color w:val="231F20"/>
          <w:spacing w:val="3"/>
        </w:rPr>
        <w:t>condujo </w:t>
      </w:r>
      <w:r>
        <w:rPr>
          <w:color w:val="231F20"/>
        </w:rPr>
        <w:t>la </w:t>
      </w:r>
      <w:r>
        <w:rPr>
          <w:color w:val="231F20"/>
          <w:spacing w:val="2"/>
        </w:rPr>
        <w:t>sesión </w:t>
      </w:r>
      <w:r>
        <w:rPr>
          <w:color w:val="231F20"/>
        </w:rPr>
        <w:t>al </w:t>
      </w:r>
      <w:r>
        <w:rPr>
          <w:color w:val="231F20"/>
          <w:spacing w:val="2"/>
        </w:rPr>
        <w:t>análisis </w:t>
      </w:r>
      <w:r>
        <w:rPr>
          <w:color w:val="231F20"/>
        </w:rPr>
        <w:t>de </w:t>
      </w:r>
      <w:r>
        <w:rPr>
          <w:color w:val="231F20"/>
          <w:spacing w:val="2"/>
        </w:rPr>
        <w:t>los</w:t>
      </w:r>
      <w:r>
        <w:rPr>
          <w:color w:val="231F20"/>
          <w:spacing w:val="-23"/>
        </w:rPr>
        <w:t> </w:t>
      </w:r>
      <w:r>
        <w:rPr>
          <w:color w:val="231F20"/>
          <w:spacing w:val="3"/>
        </w:rPr>
        <w:t>personajes.</w:t>
      </w:r>
    </w:p>
    <w:p>
      <w:pPr>
        <w:pStyle w:val="BodyText"/>
        <w:spacing w:line="249" w:lineRule="auto"/>
        <w:ind w:left="101" w:right="115" w:firstLine="284"/>
        <w:jc w:val="both"/>
      </w:pPr>
      <w:r>
        <w:rPr>
          <w:color w:val="231F20"/>
          <w:spacing w:val="2"/>
        </w:rPr>
        <w:t>De Luisa </w:t>
      </w:r>
      <w:r>
        <w:rPr>
          <w:color w:val="231F20"/>
        </w:rPr>
        <w:t>se </w:t>
      </w:r>
      <w:r>
        <w:rPr>
          <w:color w:val="231F20"/>
          <w:spacing w:val="2"/>
        </w:rPr>
        <w:t>opinó </w:t>
      </w:r>
      <w:r>
        <w:rPr>
          <w:color w:val="231F20"/>
        </w:rPr>
        <w:t>lo </w:t>
      </w:r>
      <w:r>
        <w:rPr>
          <w:color w:val="231F20"/>
          <w:spacing w:val="2"/>
        </w:rPr>
        <w:t>siguiente: </w:t>
      </w:r>
      <w:r>
        <w:rPr>
          <w:color w:val="231F20"/>
        </w:rPr>
        <w:t>a) que </w:t>
      </w:r>
      <w:r>
        <w:rPr>
          <w:color w:val="231F20"/>
          <w:spacing w:val="2"/>
        </w:rPr>
        <w:t>probablemente </w:t>
      </w:r>
      <w:r>
        <w:rPr>
          <w:color w:val="231F20"/>
        </w:rPr>
        <w:t>se </w:t>
      </w:r>
      <w:r>
        <w:rPr>
          <w:color w:val="231F20"/>
          <w:spacing w:val="3"/>
        </w:rPr>
        <w:t>trata-</w:t>
      </w:r>
      <w:r>
        <w:rPr>
          <w:color w:val="231F20"/>
          <w:spacing w:val="58"/>
        </w:rPr>
        <w:t> </w:t>
      </w:r>
      <w:r>
        <w:rPr>
          <w:color w:val="231F20"/>
        </w:rPr>
        <w:t>ba de un </w:t>
      </w:r>
      <w:r>
        <w:rPr>
          <w:color w:val="231F20"/>
          <w:spacing w:val="2"/>
        </w:rPr>
        <w:t>personaje desadaptado </w:t>
      </w:r>
      <w:r>
        <w:rPr>
          <w:color w:val="231F20"/>
        </w:rPr>
        <w:t>y que </w:t>
      </w:r>
      <w:r>
        <w:rPr>
          <w:color w:val="231F20"/>
          <w:spacing w:val="2"/>
        </w:rPr>
        <w:t>debido tanto  </w:t>
      </w:r>
      <w:r>
        <w:rPr>
          <w:color w:val="231F20"/>
        </w:rPr>
        <w:t>al  </w:t>
      </w:r>
      <w:r>
        <w:rPr>
          <w:color w:val="231F20"/>
          <w:spacing w:val="2"/>
        </w:rPr>
        <w:t>primer </w:t>
      </w:r>
      <w:r>
        <w:rPr>
          <w:color w:val="231F20"/>
          <w:spacing w:val="3"/>
        </w:rPr>
        <w:t>como </w:t>
      </w:r>
      <w:r>
        <w:rPr>
          <w:color w:val="231F20"/>
        </w:rPr>
        <w:t>al </w:t>
      </w:r>
      <w:r>
        <w:rPr>
          <w:color w:val="231F20"/>
          <w:spacing w:val="3"/>
        </w:rPr>
        <w:t>segundo </w:t>
      </w:r>
      <w:r>
        <w:rPr>
          <w:color w:val="231F20"/>
          <w:spacing w:val="2"/>
        </w:rPr>
        <w:t>asesinato que </w:t>
      </w:r>
      <w:r>
        <w:rPr>
          <w:color w:val="231F20"/>
          <w:spacing w:val="3"/>
        </w:rPr>
        <w:t>cometió, </w:t>
      </w:r>
      <w:r>
        <w:rPr>
          <w:color w:val="231F20"/>
          <w:spacing w:val="2"/>
        </w:rPr>
        <w:t>merecía que estuviera </w:t>
      </w:r>
      <w:r>
        <w:rPr>
          <w:color w:val="231F20"/>
        </w:rPr>
        <w:t>en  la </w:t>
      </w:r>
      <w:r>
        <w:rPr>
          <w:color w:val="231F20"/>
          <w:spacing w:val="2"/>
        </w:rPr>
        <w:t>cárcel; </w:t>
      </w:r>
      <w:r>
        <w:rPr>
          <w:color w:val="231F20"/>
        </w:rPr>
        <w:t>b) </w:t>
      </w:r>
      <w:r>
        <w:rPr>
          <w:color w:val="231F20"/>
          <w:spacing w:val="2"/>
        </w:rPr>
        <w:t>que </w:t>
      </w:r>
      <w:r>
        <w:rPr>
          <w:color w:val="231F20"/>
        </w:rPr>
        <w:t>era un </w:t>
      </w:r>
      <w:r>
        <w:rPr>
          <w:color w:val="231F20"/>
          <w:spacing w:val="2"/>
        </w:rPr>
        <w:t>personaje </w:t>
      </w:r>
      <w:r>
        <w:rPr>
          <w:color w:val="231F20"/>
          <w:spacing w:val="3"/>
        </w:rPr>
        <w:t>humano, </w:t>
      </w:r>
      <w:r>
        <w:rPr>
          <w:color w:val="231F20"/>
          <w:spacing w:val="2"/>
        </w:rPr>
        <w:t>con sus errores </w:t>
      </w:r>
      <w:r>
        <w:rPr>
          <w:color w:val="231F20"/>
        </w:rPr>
        <w:t>y </w:t>
      </w:r>
      <w:r>
        <w:rPr>
          <w:color w:val="231F20"/>
          <w:spacing w:val="2"/>
        </w:rPr>
        <w:t>acier- tos. De </w:t>
      </w:r>
      <w:r>
        <w:rPr>
          <w:color w:val="231F20"/>
          <w:spacing w:val="3"/>
        </w:rPr>
        <w:t>modo </w:t>
      </w:r>
      <w:r>
        <w:rPr>
          <w:color w:val="231F20"/>
          <w:spacing w:val="2"/>
        </w:rPr>
        <w:t>que </w:t>
      </w:r>
      <w:r>
        <w:rPr>
          <w:color w:val="231F20"/>
        </w:rPr>
        <w:t>el </w:t>
      </w:r>
      <w:r>
        <w:rPr>
          <w:color w:val="231F20"/>
          <w:spacing w:val="2"/>
        </w:rPr>
        <w:t>hecho </w:t>
      </w:r>
      <w:r>
        <w:rPr>
          <w:color w:val="231F20"/>
        </w:rPr>
        <w:t>de </w:t>
      </w:r>
      <w:r>
        <w:rPr>
          <w:color w:val="231F20"/>
          <w:spacing w:val="2"/>
        </w:rPr>
        <w:t>haber matado </w:t>
      </w:r>
      <w:r>
        <w:rPr>
          <w:color w:val="231F20"/>
        </w:rPr>
        <w:t>a la </w:t>
      </w:r>
      <w:r>
        <w:rPr>
          <w:color w:val="231F20"/>
          <w:spacing w:val="2"/>
        </w:rPr>
        <w:t>señora </w:t>
      </w:r>
      <w:r>
        <w:rPr>
          <w:color w:val="231F20"/>
        </w:rPr>
        <w:t>del </w:t>
      </w:r>
      <w:r>
        <w:rPr>
          <w:color w:val="231F20"/>
          <w:spacing w:val="3"/>
        </w:rPr>
        <w:t>tian- </w:t>
      </w:r>
      <w:r>
        <w:rPr>
          <w:color w:val="231F20"/>
          <w:spacing w:val="2"/>
        </w:rPr>
        <w:t>guis que hablaba mal </w:t>
      </w:r>
      <w:r>
        <w:rPr>
          <w:color w:val="231F20"/>
        </w:rPr>
        <w:t>de ella </w:t>
      </w:r>
      <w:r>
        <w:rPr>
          <w:color w:val="231F20"/>
          <w:spacing w:val="2"/>
        </w:rPr>
        <w:t>pudo haber tenido alguna justifica- ción, </w:t>
      </w:r>
      <w:r>
        <w:rPr>
          <w:color w:val="231F20"/>
          <w:spacing w:val="3"/>
        </w:rPr>
        <w:t>aunque </w:t>
      </w:r>
      <w:r>
        <w:rPr>
          <w:color w:val="231F20"/>
        </w:rPr>
        <w:t>no </w:t>
      </w:r>
      <w:r>
        <w:rPr>
          <w:color w:val="231F20"/>
          <w:spacing w:val="2"/>
        </w:rPr>
        <w:t>para llegar </w:t>
      </w:r>
      <w:r>
        <w:rPr>
          <w:color w:val="231F20"/>
        </w:rPr>
        <w:t>al </w:t>
      </w:r>
      <w:r>
        <w:rPr>
          <w:color w:val="231F20"/>
          <w:spacing w:val="2"/>
        </w:rPr>
        <w:t>extremo </w:t>
      </w:r>
      <w:r>
        <w:rPr>
          <w:color w:val="231F20"/>
        </w:rPr>
        <w:t>de la </w:t>
      </w:r>
      <w:r>
        <w:rPr>
          <w:color w:val="231F20"/>
          <w:spacing w:val="3"/>
        </w:rPr>
        <w:t>muerte; </w:t>
      </w:r>
      <w:r>
        <w:rPr>
          <w:color w:val="231F20"/>
        </w:rPr>
        <w:t>c) </w:t>
      </w:r>
      <w:r>
        <w:rPr>
          <w:color w:val="231F20"/>
          <w:spacing w:val="2"/>
        </w:rPr>
        <w:t>que podía representar </w:t>
      </w:r>
      <w:r>
        <w:rPr>
          <w:color w:val="231F20"/>
        </w:rPr>
        <w:t>a </w:t>
      </w:r>
      <w:r>
        <w:rPr>
          <w:color w:val="231F20"/>
          <w:spacing w:val="2"/>
        </w:rPr>
        <w:t>los indígenas </w:t>
      </w:r>
      <w:r>
        <w:rPr>
          <w:color w:val="231F20"/>
        </w:rPr>
        <w:t>de </w:t>
      </w:r>
      <w:r>
        <w:rPr>
          <w:color w:val="231F20"/>
          <w:spacing w:val="3"/>
        </w:rPr>
        <w:t>México, </w:t>
      </w:r>
      <w:r>
        <w:rPr>
          <w:color w:val="231F20"/>
          <w:spacing w:val="2"/>
        </w:rPr>
        <w:t>perseguidos, acorralados, con una </w:t>
      </w:r>
      <w:r>
        <w:rPr>
          <w:color w:val="231F20"/>
        </w:rPr>
        <w:t>ira </w:t>
      </w:r>
      <w:r>
        <w:rPr>
          <w:color w:val="231F20"/>
          <w:spacing w:val="2"/>
        </w:rPr>
        <w:t>interna </w:t>
      </w:r>
      <w:r>
        <w:rPr>
          <w:color w:val="231F20"/>
        </w:rPr>
        <w:t>o </w:t>
      </w:r>
      <w:r>
        <w:rPr>
          <w:color w:val="231F20"/>
          <w:spacing w:val="2"/>
        </w:rPr>
        <w:t>rencor, que quizá </w:t>
      </w:r>
      <w:r>
        <w:rPr>
          <w:color w:val="231F20"/>
        </w:rPr>
        <w:t>la </w:t>
      </w:r>
      <w:r>
        <w:rPr>
          <w:color w:val="231F20"/>
          <w:spacing w:val="2"/>
        </w:rPr>
        <w:t>llevaban </w:t>
      </w:r>
      <w:r>
        <w:rPr>
          <w:color w:val="231F20"/>
        </w:rPr>
        <w:t>a </w:t>
      </w:r>
      <w:r>
        <w:rPr>
          <w:color w:val="231F20"/>
          <w:spacing w:val="2"/>
        </w:rPr>
        <w:t>actuar </w:t>
      </w:r>
      <w:r>
        <w:rPr>
          <w:color w:val="231F20"/>
        </w:rPr>
        <w:t>de </w:t>
      </w:r>
      <w:r>
        <w:rPr>
          <w:color w:val="231F20"/>
          <w:spacing w:val="2"/>
        </w:rPr>
        <w:t>manera violenta hasta llegar </w:t>
      </w:r>
      <w:r>
        <w:rPr>
          <w:color w:val="231F20"/>
        </w:rPr>
        <w:t>al </w:t>
      </w:r>
      <w:r>
        <w:rPr>
          <w:color w:val="231F20"/>
          <w:spacing w:val="2"/>
        </w:rPr>
        <w:t>asesinato; </w:t>
      </w:r>
      <w:r>
        <w:rPr>
          <w:color w:val="231F20"/>
        </w:rPr>
        <w:t>d) la </w:t>
      </w:r>
      <w:r>
        <w:rPr>
          <w:color w:val="231F20"/>
          <w:spacing w:val="2"/>
        </w:rPr>
        <w:t>profesora </w:t>
      </w:r>
      <w:r>
        <w:rPr>
          <w:color w:val="231F20"/>
        </w:rPr>
        <w:t>dijo </w:t>
      </w:r>
      <w:r>
        <w:rPr>
          <w:color w:val="231F20"/>
          <w:spacing w:val="2"/>
        </w:rPr>
        <w:t>que  </w:t>
      </w:r>
      <w:r>
        <w:rPr>
          <w:color w:val="231F20"/>
        </w:rPr>
        <w:t>tal </w:t>
      </w:r>
      <w:r>
        <w:rPr>
          <w:color w:val="231F20"/>
          <w:spacing w:val="2"/>
        </w:rPr>
        <w:t>vez </w:t>
      </w:r>
      <w:r>
        <w:rPr>
          <w:color w:val="231F20"/>
        </w:rPr>
        <w:t>no era  </w:t>
      </w:r>
      <w:r>
        <w:rPr>
          <w:color w:val="231F20"/>
          <w:spacing w:val="2"/>
        </w:rPr>
        <w:t>gratuito que </w:t>
      </w:r>
      <w:r>
        <w:rPr>
          <w:color w:val="231F20"/>
        </w:rPr>
        <w:t>el </w:t>
      </w:r>
      <w:r>
        <w:rPr>
          <w:color w:val="231F20"/>
          <w:spacing w:val="3"/>
        </w:rPr>
        <w:t>motivo </w:t>
      </w:r>
      <w:r>
        <w:rPr>
          <w:color w:val="231F20"/>
        </w:rPr>
        <w:t>del </w:t>
      </w:r>
      <w:r>
        <w:rPr>
          <w:color w:val="231F20"/>
          <w:spacing w:val="2"/>
        </w:rPr>
        <w:t>primer asesinato </w:t>
      </w:r>
      <w:r>
        <w:rPr>
          <w:color w:val="231F20"/>
          <w:spacing w:val="3"/>
        </w:rPr>
        <w:t>fueran</w:t>
      </w:r>
      <w:r>
        <w:rPr>
          <w:color w:val="231F20"/>
          <w:spacing w:val="58"/>
        </w:rPr>
        <w:t> </w:t>
      </w:r>
      <w:r>
        <w:rPr>
          <w:color w:val="231F20"/>
        </w:rPr>
        <w:t>las </w:t>
      </w:r>
      <w:r>
        <w:rPr>
          <w:color w:val="231F20"/>
          <w:spacing w:val="2"/>
        </w:rPr>
        <w:t>habladurías: </w:t>
      </w:r>
      <w:r>
        <w:rPr>
          <w:color w:val="231F20"/>
        </w:rPr>
        <w:t>el </w:t>
      </w:r>
      <w:r>
        <w:rPr>
          <w:color w:val="231F20"/>
          <w:spacing w:val="2"/>
        </w:rPr>
        <w:t>desprestigio del otro por medio </w:t>
      </w:r>
      <w:r>
        <w:rPr>
          <w:color w:val="231F20"/>
        </w:rPr>
        <w:t>del </w:t>
      </w:r>
      <w:r>
        <w:rPr>
          <w:color w:val="231F20"/>
          <w:spacing w:val="2"/>
        </w:rPr>
        <w:t>uso </w:t>
      </w:r>
      <w:r>
        <w:rPr>
          <w:color w:val="231F20"/>
        </w:rPr>
        <w:t>de la </w:t>
      </w:r>
      <w:r>
        <w:rPr>
          <w:color w:val="231F20"/>
          <w:spacing w:val="2"/>
        </w:rPr>
        <w:t>palabra, pues, finalmente </w:t>
      </w:r>
      <w:r>
        <w:rPr>
          <w:color w:val="231F20"/>
        </w:rPr>
        <w:t>la </w:t>
      </w:r>
      <w:r>
        <w:rPr>
          <w:color w:val="231F20"/>
          <w:spacing w:val="2"/>
        </w:rPr>
        <w:t>conquista española </w:t>
      </w:r>
      <w:r>
        <w:rPr>
          <w:color w:val="231F20"/>
        </w:rPr>
        <w:t>usó la </w:t>
      </w:r>
      <w:r>
        <w:rPr>
          <w:color w:val="231F20"/>
          <w:spacing w:val="2"/>
        </w:rPr>
        <w:t>lengua </w:t>
      </w:r>
      <w:r>
        <w:rPr>
          <w:color w:val="231F20"/>
          <w:spacing w:val="4"/>
        </w:rPr>
        <w:t>co- </w:t>
      </w:r>
      <w:r>
        <w:rPr>
          <w:color w:val="231F20"/>
          <w:spacing w:val="2"/>
        </w:rPr>
        <w:t>mo arma </w:t>
      </w:r>
      <w:r>
        <w:rPr>
          <w:color w:val="231F20"/>
        </w:rPr>
        <w:t>de </w:t>
      </w:r>
      <w:r>
        <w:rPr>
          <w:color w:val="231F20"/>
          <w:spacing w:val="2"/>
        </w:rPr>
        <w:t>ataque </w:t>
      </w:r>
      <w:r>
        <w:rPr>
          <w:color w:val="231F20"/>
        </w:rPr>
        <w:t>y </w:t>
      </w:r>
      <w:r>
        <w:rPr>
          <w:color w:val="231F20"/>
          <w:spacing w:val="2"/>
        </w:rPr>
        <w:t>descrédito </w:t>
      </w:r>
      <w:r>
        <w:rPr>
          <w:color w:val="231F20"/>
        </w:rPr>
        <w:t>de las </w:t>
      </w:r>
      <w:r>
        <w:rPr>
          <w:color w:val="231F20"/>
          <w:spacing w:val="2"/>
        </w:rPr>
        <w:t>culturas indígenas; </w:t>
      </w:r>
      <w:r>
        <w:rPr>
          <w:color w:val="231F20"/>
        </w:rPr>
        <w:t>e) </w:t>
      </w:r>
      <w:r>
        <w:rPr>
          <w:color w:val="231F20"/>
          <w:spacing w:val="2"/>
        </w:rPr>
        <w:t>causó polémica</w:t>
      </w:r>
      <w:r>
        <w:rPr>
          <w:color w:val="231F20"/>
          <w:spacing w:val="22"/>
        </w:rPr>
        <w:t> </w:t>
      </w:r>
      <w:r>
        <w:rPr>
          <w:color w:val="231F20"/>
        </w:rPr>
        <w:t>el</w:t>
      </w:r>
      <w:r>
        <w:rPr>
          <w:color w:val="231F20"/>
          <w:spacing w:val="21"/>
        </w:rPr>
        <w:t> </w:t>
      </w:r>
      <w:r>
        <w:rPr>
          <w:color w:val="231F20"/>
          <w:spacing w:val="2"/>
        </w:rPr>
        <w:t>hecho</w:t>
      </w:r>
      <w:r>
        <w:rPr>
          <w:color w:val="231F20"/>
          <w:spacing w:val="22"/>
        </w:rPr>
        <w:t> </w:t>
      </w:r>
      <w:r>
        <w:rPr>
          <w:color w:val="231F20"/>
        </w:rPr>
        <w:t>de</w:t>
      </w:r>
      <w:r>
        <w:rPr>
          <w:color w:val="231F20"/>
          <w:spacing w:val="21"/>
        </w:rPr>
        <w:t> </w:t>
      </w:r>
      <w:r>
        <w:rPr>
          <w:color w:val="231F20"/>
        </w:rPr>
        <w:t>que</w:t>
      </w:r>
      <w:r>
        <w:rPr>
          <w:color w:val="231F20"/>
          <w:spacing w:val="22"/>
        </w:rPr>
        <w:t> </w:t>
      </w:r>
      <w:r>
        <w:rPr>
          <w:color w:val="231F20"/>
        </w:rPr>
        <w:t>en</w:t>
      </w:r>
      <w:r>
        <w:rPr>
          <w:color w:val="231F20"/>
          <w:spacing w:val="22"/>
        </w:rPr>
        <w:t> </w:t>
      </w:r>
      <w:r>
        <w:rPr>
          <w:color w:val="231F20"/>
        </w:rPr>
        <w:t>el</w:t>
      </w:r>
      <w:r>
        <w:rPr>
          <w:color w:val="231F20"/>
          <w:spacing w:val="21"/>
        </w:rPr>
        <w:t> </w:t>
      </w:r>
      <w:r>
        <w:rPr>
          <w:color w:val="231F20"/>
          <w:spacing w:val="2"/>
        </w:rPr>
        <w:t>cuento</w:t>
      </w:r>
      <w:r>
        <w:rPr>
          <w:color w:val="231F20"/>
          <w:spacing w:val="22"/>
        </w:rPr>
        <w:t> </w:t>
      </w:r>
      <w:r>
        <w:rPr>
          <w:color w:val="231F20"/>
        </w:rPr>
        <w:t>se</w:t>
      </w:r>
      <w:r>
        <w:rPr>
          <w:color w:val="231F20"/>
          <w:spacing w:val="21"/>
        </w:rPr>
        <w:t> </w:t>
      </w:r>
      <w:r>
        <w:rPr>
          <w:color w:val="231F20"/>
          <w:spacing w:val="2"/>
        </w:rPr>
        <w:t>afirmara</w:t>
      </w:r>
      <w:r>
        <w:rPr>
          <w:color w:val="231F20"/>
          <w:spacing w:val="22"/>
        </w:rPr>
        <w:t> </w:t>
      </w:r>
      <w:r>
        <w:rPr>
          <w:color w:val="231F20"/>
        </w:rPr>
        <w:t>en</w:t>
      </w:r>
      <w:r>
        <w:rPr>
          <w:color w:val="231F20"/>
          <w:spacing w:val="22"/>
        </w:rPr>
        <w:t> </w:t>
      </w:r>
      <w:r>
        <w:rPr>
          <w:color w:val="231F20"/>
          <w:spacing w:val="2"/>
        </w:rPr>
        <w:t>varias</w:t>
      </w:r>
      <w:r>
        <w:rPr>
          <w:color w:val="231F20"/>
          <w:spacing w:val="21"/>
        </w:rPr>
        <w:t> </w:t>
      </w:r>
      <w:r>
        <w:rPr>
          <w:color w:val="231F20"/>
          <w:spacing w:val="3"/>
        </w:rPr>
        <w:t>oca-</w:t>
      </w:r>
    </w:p>
    <w:p>
      <w:pPr>
        <w:spacing w:after="0" w:line="249" w:lineRule="auto"/>
        <w:jc w:val="both"/>
        <w:sectPr>
          <w:headerReference w:type="default" r:id="rId593"/>
          <w:footerReference w:type="default" r:id="rId594"/>
          <w:pgSz w:w="7830" w:h="11910"/>
          <w:pgMar w:header="0" w:footer="424" w:top="500" w:bottom="620" w:left="920" w:right="900"/>
          <w:pgNumType w:start="26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8"/>
        <w:jc w:val="both"/>
      </w:pPr>
      <w:r>
        <w:rPr>
          <w:color w:val="231F20"/>
          <w:spacing w:val="2"/>
        </w:rPr>
        <w:t>siones </w:t>
      </w:r>
      <w:r>
        <w:rPr>
          <w:color w:val="231F20"/>
        </w:rPr>
        <w:t>que </w:t>
      </w:r>
      <w:r>
        <w:rPr>
          <w:color w:val="231F20"/>
          <w:spacing w:val="2"/>
        </w:rPr>
        <w:t>Luisa </w:t>
      </w:r>
      <w:r>
        <w:rPr>
          <w:color w:val="231F20"/>
        </w:rPr>
        <w:t>veía al </w:t>
      </w:r>
      <w:r>
        <w:rPr>
          <w:color w:val="231F20"/>
          <w:spacing w:val="2"/>
        </w:rPr>
        <w:t>demonio: </w:t>
      </w:r>
      <w:r>
        <w:rPr>
          <w:color w:val="231F20"/>
        </w:rPr>
        <w:t>se dijo </w:t>
      </w:r>
      <w:r>
        <w:rPr>
          <w:color w:val="231F20"/>
          <w:spacing w:val="2"/>
        </w:rPr>
        <w:t>que este detalle </w:t>
      </w:r>
      <w:r>
        <w:rPr>
          <w:color w:val="231F20"/>
        </w:rPr>
        <w:t>se </w:t>
      </w:r>
      <w:r>
        <w:rPr>
          <w:color w:val="231F20"/>
          <w:spacing w:val="2"/>
        </w:rPr>
        <w:t>usaba para diferenciar entre </w:t>
      </w:r>
      <w:r>
        <w:rPr>
          <w:color w:val="231F20"/>
        </w:rPr>
        <w:t>lo </w:t>
      </w:r>
      <w:r>
        <w:rPr>
          <w:color w:val="231F20"/>
          <w:spacing w:val="2"/>
        </w:rPr>
        <w:t>criollo </w:t>
      </w:r>
      <w:r>
        <w:rPr>
          <w:color w:val="231F20"/>
        </w:rPr>
        <w:t>y lo </w:t>
      </w:r>
      <w:r>
        <w:rPr>
          <w:color w:val="231F20"/>
          <w:spacing w:val="2"/>
        </w:rPr>
        <w:t>indio, </w:t>
      </w:r>
      <w:r>
        <w:rPr>
          <w:color w:val="231F20"/>
        </w:rPr>
        <w:t>que </w:t>
      </w:r>
      <w:r>
        <w:rPr>
          <w:color w:val="231F20"/>
          <w:spacing w:val="2"/>
        </w:rPr>
        <w:t>para Marta </w:t>
      </w:r>
      <w:r>
        <w:rPr>
          <w:color w:val="231F20"/>
          <w:spacing w:val="3"/>
        </w:rPr>
        <w:t>estas </w:t>
      </w:r>
      <w:r>
        <w:rPr>
          <w:color w:val="231F20"/>
          <w:spacing w:val="2"/>
        </w:rPr>
        <w:t>alusiones </w:t>
      </w:r>
      <w:r>
        <w:rPr>
          <w:color w:val="231F20"/>
        </w:rPr>
        <w:t>al </w:t>
      </w:r>
      <w:r>
        <w:rPr>
          <w:color w:val="231F20"/>
          <w:spacing w:val="2"/>
        </w:rPr>
        <w:t>Malo por parte </w:t>
      </w:r>
      <w:r>
        <w:rPr>
          <w:color w:val="231F20"/>
        </w:rPr>
        <w:t>de </w:t>
      </w:r>
      <w:r>
        <w:rPr>
          <w:color w:val="231F20"/>
          <w:spacing w:val="2"/>
        </w:rPr>
        <w:t>Luisa eran una prueba </w:t>
      </w:r>
      <w:r>
        <w:rPr>
          <w:color w:val="231F20"/>
        </w:rPr>
        <w:t>de la </w:t>
      </w:r>
      <w:r>
        <w:rPr>
          <w:color w:val="231F20"/>
          <w:spacing w:val="2"/>
        </w:rPr>
        <w:t>locura  </w:t>
      </w:r>
      <w:r>
        <w:rPr>
          <w:color w:val="231F20"/>
        </w:rPr>
        <w:t>de </w:t>
      </w:r>
      <w:r>
        <w:rPr>
          <w:color w:val="231F20"/>
          <w:spacing w:val="2"/>
        </w:rPr>
        <w:t>Luisa </w:t>
      </w:r>
      <w:r>
        <w:rPr>
          <w:color w:val="231F20"/>
        </w:rPr>
        <w:t>o de la </w:t>
      </w:r>
      <w:r>
        <w:rPr>
          <w:color w:val="231F20"/>
          <w:spacing w:val="2"/>
        </w:rPr>
        <w:t>superstición propia </w:t>
      </w:r>
      <w:r>
        <w:rPr>
          <w:color w:val="231F20"/>
        </w:rPr>
        <w:t>de </w:t>
      </w:r>
      <w:r>
        <w:rPr>
          <w:color w:val="231F20"/>
          <w:spacing w:val="2"/>
        </w:rPr>
        <w:t>los indios. </w:t>
      </w:r>
      <w:r>
        <w:rPr>
          <w:color w:val="231F20"/>
        </w:rPr>
        <w:t>Se </w:t>
      </w:r>
      <w:r>
        <w:rPr>
          <w:color w:val="231F20"/>
          <w:spacing w:val="2"/>
        </w:rPr>
        <w:t>concluyó que </w:t>
      </w:r>
      <w:r>
        <w:rPr>
          <w:color w:val="231F20"/>
        </w:rPr>
        <w:t>el </w:t>
      </w:r>
      <w:r>
        <w:rPr>
          <w:color w:val="231F20"/>
          <w:spacing w:val="2"/>
        </w:rPr>
        <w:t>personaje </w:t>
      </w:r>
      <w:r>
        <w:rPr>
          <w:color w:val="231F20"/>
        </w:rPr>
        <w:t>no es ni </w:t>
      </w:r>
      <w:r>
        <w:rPr>
          <w:color w:val="231F20"/>
          <w:spacing w:val="2"/>
        </w:rPr>
        <w:t>bueno </w:t>
      </w:r>
      <w:r>
        <w:rPr>
          <w:color w:val="231F20"/>
        </w:rPr>
        <w:t>ni </w:t>
      </w:r>
      <w:r>
        <w:rPr>
          <w:color w:val="231F20"/>
          <w:spacing w:val="2"/>
        </w:rPr>
        <w:t>malo, sino </w:t>
      </w:r>
      <w:r>
        <w:rPr>
          <w:color w:val="231F20"/>
        </w:rPr>
        <w:t>que </w:t>
      </w:r>
      <w:r>
        <w:rPr>
          <w:color w:val="231F20"/>
          <w:spacing w:val="2"/>
        </w:rPr>
        <w:t>muestra una </w:t>
      </w:r>
      <w:r>
        <w:rPr>
          <w:color w:val="231F20"/>
          <w:spacing w:val="3"/>
        </w:rPr>
        <w:t>com- </w:t>
      </w:r>
      <w:r>
        <w:rPr>
          <w:color w:val="231F20"/>
          <w:spacing w:val="2"/>
        </w:rPr>
        <w:t>plejidad</w:t>
      </w:r>
      <w:r>
        <w:rPr>
          <w:color w:val="231F20"/>
          <w:spacing w:val="-12"/>
        </w:rPr>
        <w:t> </w:t>
      </w:r>
      <w:r>
        <w:rPr>
          <w:color w:val="231F20"/>
          <w:spacing w:val="3"/>
        </w:rPr>
        <w:t>humana.</w:t>
      </w:r>
    </w:p>
    <w:p>
      <w:pPr>
        <w:pStyle w:val="BodyText"/>
        <w:spacing w:line="247" w:lineRule="auto"/>
        <w:ind w:left="101" w:right="113" w:firstLine="284"/>
        <w:jc w:val="both"/>
      </w:pPr>
      <w:r>
        <w:rPr>
          <w:color w:val="231F20"/>
        </w:rPr>
        <w:t>En </w:t>
      </w:r>
      <w:r>
        <w:rPr>
          <w:color w:val="231F20"/>
          <w:spacing w:val="2"/>
        </w:rPr>
        <w:t>cuanto </w:t>
      </w:r>
      <w:r>
        <w:rPr>
          <w:color w:val="231F20"/>
        </w:rPr>
        <w:t>a </w:t>
      </w:r>
      <w:r>
        <w:rPr>
          <w:color w:val="231F20"/>
          <w:spacing w:val="2"/>
        </w:rPr>
        <w:t>Marta, </w:t>
      </w:r>
      <w:r>
        <w:rPr>
          <w:color w:val="231F20"/>
        </w:rPr>
        <w:t>los </w:t>
      </w:r>
      <w:r>
        <w:rPr>
          <w:color w:val="231F20"/>
          <w:spacing w:val="2"/>
        </w:rPr>
        <w:t>estudiantes afirmaron que: </w:t>
      </w:r>
      <w:r>
        <w:rPr>
          <w:color w:val="231F20"/>
        </w:rPr>
        <w:t>a) </w:t>
      </w:r>
      <w:r>
        <w:rPr>
          <w:color w:val="231F20"/>
          <w:spacing w:val="2"/>
        </w:rPr>
        <w:t>este per- sonaje </w:t>
      </w:r>
      <w:r>
        <w:rPr>
          <w:color w:val="231F20"/>
          <w:spacing w:val="3"/>
        </w:rPr>
        <w:t>representaba </w:t>
      </w:r>
      <w:r>
        <w:rPr>
          <w:color w:val="231F20"/>
        </w:rPr>
        <w:t>a la </w:t>
      </w:r>
      <w:r>
        <w:rPr>
          <w:color w:val="231F20"/>
          <w:spacing w:val="2"/>
        </w:rPr>
        <w:t>clase </w:t>
      </w:r>
      <w:r>
        <w:rPr>
          <w:color w:val="231F20"/>
          <w:spacing w:val="3"/>
        </w:rPr>
        <w:t>acomodada, </w:t>
      </w:r>
      <w:r>
        <w:rPr>
          <w:color w:val="231F20"/>
          <w:spacing w:val="2"/>
        </w:rPr>
        <w:t>aspecto </w:t>
      </w:r>
      <w:r>
        <w:rPr>
          <w:color w:val="231F20"/>
        </w:rPr>
        <w:t>que </w:t>
      </w:r>
      <w:r>
        <w:rPr>
          <w:color w:val="231F20"/>
          <w:spacing w:val="2"/>
        </w:rPr>
        <w:t>puede constatarse con </w:t>
      </w:r>
      <w:r>
        <w:rPr>
          <w:color w:val="231F20"/>
        </w:rPr>
        <w:t>las </w:t>
      </w:r>
      <w:r>
        <w:rPr>
          <w:color w:val="231F20"/>
          <w:spacing w:val="2"/>
        </w:rPr>
        <w:t>descripciones </w:t>
      </w:r>
      <w:r>
        <w:rPr>
          <w:color w:val="231F20"/>
        </w:rPr>
        <w:t>de su </w:t>
      </w:r>
      <w:r>
        <w:rPr>
          <w:color w:val="231F20"/>
          <w:spacing w:val="2"/>
        </w:rPr>
        <w:t>casa </w:t>
      </w:r>
      <w:r>
        <w:rPr>
          <w:color w:val="231F20"/>
        </w:rPr>
        <w:t>y </w:t>
      </w:r>
      <w:r>
        <w:rPr>
          <w:color w:val="231F20"/>
          <w:spacing w:val="2"/>
        </w:rPr>
        <w:t>con </w:t>
      </w:r>
      <w:r>
        <w:rPr>
          <w:color w:val="231F20"/>
        </w:rPr>
        <w:t>el </w:t>
      </w:r>
      <w:r>
        <w:rPr>
          <w:color w:val="231F20"/>
          <w:spacing w:val="2"/>
        </w:rPr>
        <w:t>hecho </w:t>
      </w:r>
      <w:r>
        <w:rPr>
          <w:color w:val="231F20"/>
        </w:rPr>
        <w:t>de </w:t>
      </w:r>
      <w:r>
        <w:rPr>
          <w:color w:val="231F20"/>
          <w:spacing w:val="2"/>
        </w:rPr>
        <w:t>que tenga sirvientes; </w:t>
      </w:r>
      <w:r>
        <w:rPr>
          <w:color w:val="231F20"/>
        </w:rPr>
        <w:t>b) </w:t>
      </w:r>
      <w:r>
        <w:rPr>
          <w:color w:val="231F20"/>
          <w:spacing w:val="2"/>
        </w:rPr>
        <w:t>servía para marcar </w:t>
      </w:r>
      <w:r>
        <w:rPr>
          <w:color w:val="231F20"/>
        </w:rPr>
        <w:t>un </w:t>
      </w:r>
      <w:r>
        <w:rPr>
          <w:color w:val="231F20"/>
          <w:spacing w:val="2"/>
        </w:rPr>
        <w:t>contraste entre </w:t>
      </w:r>
      <w:r>
        <w:rPr>
          <w:color w:val="231F20"/>
        </w:rPr>
        <w:t>lo que se </w:t>
      </w:r>
      <w:r>
        <w:rPr>
          <w:color w:val="231F20"/>
          <w:spacing w:val="2"/>
        </w:rPr>
        <w:t>considera “indio” </w:t>
      </w:r>
      <w:r>
        <w:rPr>
          <w:color w:val="231F20"/>
        </w:rPr>
        <w:t>y </w:t>
      </w:r>
      <w:r>
        <w:rPr>
          <w:color w:val="231F20"/>
          <w:spacing w:val="2"/>
        </w:rPr>
        <w:t>“criollo”. </w:t>
      </w:r>
      <w:r>
        <w:rPr>
          <w:color w:val="231F20"/>
        </w:rPr>
        <w:t>Su </w:t>
      </w:r>
      <w:r>
        <w:rPr>
          <w:color w:val="231F20"/>
          <w:spacing w:val="3"/>
        </w:rPr>
        <w:t>punto </w:t>
      </w:r>
      <w:r>
        <w:rPr>
          <w:color w:val="231F20"/>
        </w:rPr>
        <w:t>de </w:t>
      </w:r>
      <w:r>
        <w:rPr>
          <w:color w:val="231F20"/>
          <w:spacing w:val="2"/>
        </w:rPr>
        <w:t>vista manifiesta </w:t>
      </w:r>
      <w:r>
        <w:rPr>
          <w:color w:val="231F20"/>
          <w:spacing w:val="4"/>
        </w:rPr>
        <w:t>una </w:t>
      </w:r>
      <w:r>
        <w:rPr>
          <w:color w:val="231F20"/>
          <w:spacing w:val="2"/>
        </w:rPr>
        <w:t>serie </w:t>
      </w:r>
      <w:r>
        <w:rPr>
          <w:color w:val="231F20"/>
        </w:rPr>
        <w:t>de </w:t>
      </w:r>
      <w:r>
        <w:rPr>
          <w:color w:val="231F20"/>
          <w:spacing w:val="2"/>
        </w:rPr>
        <w:t>prejuicios </w:t>
      </w:r>
      <w:r>
        <w:rPr>
          <w:color w:val="231F20"/>
        </w:rPr>
        <w:t>que </w:t>
      </w:r>
      <w:r>
        <w:rPr>
          <w:color w:val="231F20"/>
          <w:spacing w:val="2"/>
        </w:rPr>
        <w:t>constituyen </w:t>
      </w:r>
      <w:r>
        <w:rPr>
          <w:color w:val="231F20"/>
        </w:rPr>
        <w:t>la </w:t>
      </w:r>
      <w:r>
        <w:rPr>
          <w:color w:val="231F20"/>
          <w:spacing w:val="2"/>
        </w:rPr>
        <w:t>visión </w:t>
      </w:r>
      <w:r>
        <w:rPr>
          <w:color w:val="231F20"/>
          <w:spacing w:val="3"/>
        </w:rPr>
        <w:t>dominante </w:t>
      </w:r>
      <w:r>
        <w:rPr>
          <w:color w:val="231F20"/>
          <w:spacing w:val="2"/>
        </w:rPr>
        <w:t>sobre </w:t>
      </w:r>
      <w:r>
        <w:rPr>
          <w:color w:val="231F20"/>
          <w:spacing w:val="3"/>
        </w:rPr>
        <w:t>los </w:t>
      </w:r>
      <w:r>
        <w:rPr>
          <w:color w:val="231F20"/>
          <w:spacing w:val="2"/>
        </w:rPr>
        <w:t>indígenas: sucios, irresponsables, carentes </w:t>
      </w:r>
      <w:r>
        <w:rPr>
          <w:color w:val="231F20"/>
        </w:rPr>
        <w:t>de </w:t>
      </w:r>
      <w:r>
        <w:rPr>
          <w:color w:val="231F20"/>
          <w:spacing w:val="2"/>
        </w:rPr>
        <w:t>lógica, </w:t>
      </w:r>
      <w:r>
        <w:rPr>
          <w:color w:val="231F20"/>
          <w:spacing w:val="3"/>
        </w:rPr>
        <w:t>supersticio- </w:t>
      </w:r>
      <w:r>
        <w:rPr>
          <w:color w:val="231F20"/>
          <w:spacing w:val="2"/>
        </w:rPr>
        <w:t>sos, </w:t>
      </w:r>
      <w:r>
        <w:rPr>
          <w:color w:val="231F20"/>
          <w:spacing w:val="3"/>
        </w:rPr>
        <w:t>mentirosos, tontos; </w:t>
      </w:r>
      <w:r>
        <w:rPr>
          <w:color w:val="231F20"/>
        </w:rPr>
        <w:t>c) </w:t>
      </w:r>
      <w:r>
        <w:rPr>
          <w:color w:val="231F20"/>
          <w:spacing w:val="2"/>
        </w:rPr>
        <w:t>Marta actuaba </w:t>
      </w:r>
      <w:r>
        <w:rPr>
          <w:color w:val="231F20"/>
        </w:rPr>
        <w:t>de </w:t>
      </w:r>
      <w:r>
        <w:rPr>
          <w:color w:val="231F20"/>
          <w:spacing w:val="3"/>
        </w:rPr>
        <w:t>manera </w:t>
      </w:r>
      <w:r>
        <w:rPr>
          <w:color w:val="231F20"/>
          <w:spacing w:val="2"/>
        </w:rPr>
        <w:t>ambigua </w:t>
      </w:r>
      <w:r>
        <w:rPr>
          <w:color w:val="231F20"/>
        </w:rPr>
        <w:t>y </w:t>
      </w:r>
      <w:r>
        <w:rPr>
          <w:color w:val="231F20"/>
          <w:spacing w:val="2"/>
        </w:rPr>
        <w:t>contradictoria, </w:t>
      </w:r>
      <w:r>
        <w:rPr>
          <w:color w:val="231F20"/>
        </w:rPr>
        <w:t>ya </w:t>
      </w:r>
      <w:r>
        <w:rPr>
          <w:color w:val="231F20"/>
          <w:spacing w:val="2"/>
        </w:rPr>
        <w:t>que, por </w:t>
      </w:r>
      <w:r>
        <w:rPr>
          <w:color w:val="231F20"/>
        </w:rPr>
        <w:t>un </w:t>
      </w:r>
      <w:r>
        <w:rPr>
          <w:color w:val="231F20"/>
          <w:spacing w:val="2"/>
        </w:rPr>
        <w:t>lado, trataba </w:t>
      </w:r>
      <w:r>
        <w:rPr>
          <w:color w:val="231F20"/>
        </w:rPr>
        <w:t>de </w:t>
      </w:r>
      <w:r>
        <w:rPr>
          <w:color w:val="231F20"/>
          <w:spacing w:val="3"/>
        </w:rPr>
        <w:t>mostrarse </w:t>
      </w:r>
      <w:r>
        <w:rPr>
          <w:color w:val="231F20"/>
          <w:spacing w:val="2"/>
        </w:rPr>
        <w:t>compasi- </w:t>
      </w:r>
      <w:r>
        <w:rPr>
          <w:color w:val="231F20"/>
        </w:rPr>
        <w:t>va y </w:t>
      </w:r>
      <w:r>
        <w:rPr>
          <w:color w:val="231F20"/>
          <w:spacing w:val="2"/>
        </w:rPr>
        <w:t>ayudar </w:t>
      </w:r>
      <w:r>
        <w:rPr>
          <w:color w:val="231F20"/>
        </w:rPr>
        <w:t>a </w:t>
      </w:r>
      <w:r>
        <w:rPr>
          <w:color w:val="231F20"/>
          <w:spacing w:val="2"/>
        </w:rPr>
        <w:t>Luisa, ofreciéndole </w:t>
      </w:r>
      <w:r>
        <w:rPr>
          <w:color w:val="231F20"/>
          <w:spacing w:val="3"/>
        </w:rPr>
        <w:t>comida, hospedaje </w:t>
      </w:r>
      <w:r>
        <w:rPr>
          <w:color w:val="231F20"/>
        </w:rPr>
        <w:t>y la </w:t>
      </w:r>
      <w:r>
        <w:rPr>
          <w:color w:val="231F20"/>
          <w:spacing w:val="2"/>
        </w:rPr>
        <w:t>posibili- dad </w:t>
      </w:r>
      <w:r>
        <w:rPr>
          <w:color w:val="231F20"/>
        </w:rPr>
        <w:t>de </w:t>
      </w:r>
      <w:r>
        <w:rPr>
          <w:color w:val="231F20"/>
          <w:spacing w:val="2"/>
        </w:rPr>
        <w:t>que </w:t>
      </w:r>
      <w:r>
        <w:rPr>
          <w:color w:val="231F20"/>
        </w:rPr>
        <w:t>se </w:t>
      </w:r>
      <w:r>
        <w:rPr>
          <w:color w:val="231F20"/>
          <w:spacing w:val="2"/>
        </w:rPr>
        <w:t>aseara, pero, por otro lado, </w:t>
      </w:r>
      <w:r>
        <w:rPr>
          <w:color w:val="231F20"/>
        </w:rPr>
        <w:t>la </w:t>
      </w:r>
      <w:r>
        <w:rPr>
          <w:color w:val="231F20"/>
          <w:spacing w:val="3"/>
        </w:rPr>
        <w:t>patrona </w:t>
      </w:r>
      <w:r>
        <w:rPr>
          <w:color w:val="231F20"/>
          <w:spacing w:val="2"/>
        </w:rPr>
        <w:t>manifiesta </w:t>
      </w:r>
      <w:r>
        <w:rPr>
          <w:color w:val="231F20"/>
        </w:rPr>
        <w:t>un </w:t>
      </w:r>
      <w:r>
        <w:rPr>
          <w:color w:val="231F20"/>
          <w:spacing w:val="2"/>
        </w:rPr>
        <w:t>abierto rechazo por </w:t>
      </w:r>
      <w:r>
        <w:rPr>
          <w:color w:val="231F20"/>
        </w:rPr>
        <w:t>la </w:t>
      </w:r>
      <w:r>
        <w:rPr>
          <w:color w:val="231F20"/>
          <w:spacing w:val="3"/>
        </w:rPr>
        <w:t>conducta </w:t>
      </w:r>
      <w:r>
        <w:rPr>
          <w:color w:val="231F20"/>
        </w:rPr>
        <w:t>de </w:t>
      </w:r>
      <w:r>
        <w:rPr>
          <w:color w:val="231F20"/>
          <w:spacing w:val="2"/>
        </w:rPr>
        <w:t>Luisa, </w:t>
      </w:r>
      <w:r>
        <w:rPr>
          <w:color w:val="231F20"/>
        </w:rPr>
        <w:t>a </w:t>
      </w:r>
      <w:r>
        <w:rPr>
          <w:color w:val="231F20"/>
          <w:spacing w:val="2"/>
        </w:rPr>
        <w:t>punto </w:t>
      </w:r>
      <w:r>
        <w:rPr>
          <w:color w:val="231F20"/>
        </w:rPr>
        <w:t>de </w:t>
      </w:r>
      <w:r>
        <w:rPr>
          <w:color w:val="231F20"/>
          <w:spacing w:val="2"/>
        </w:rPr>
        <w:t>culparla por andar golpeada </w:t>
      </w:r>
      <w:r>
        <w:rPr>
          <w:color w:val="231F20"/>
        </w:rPr>
        <w:t>y </w:t>
      </w:r>
      <w:r>
        <w:rPr>
          <w:color w:val="231F20"/>
          <w:spacing w:val="2"/>
        </w:rPr>
        <w:t>sangrante, pues Marta </w:t>
      </w:r>
      <w:r>
        <w:rPr>
          <w:color w:val="231F20"/>
        </w:rPr>
        <w:t>no  </w:t>
      </w:r>
      <w:r>
        <w:rPr>
          <w:color w:val="231F20"/>
          <w:spacing w:val="2"/>
        </w:rPr>
        <w:t>aprueba  </w:t>
      </w:r>
      <w:r>
        <w:rPr>
          <w:color w:val="231F20"/>
        </w:rPr>
        <w:t>que  </w:t>
      </w:r>
      <w:r>
        <w:rPr>
          <w:color w:val="231F20"/>
          <w:spacing w:val="2"/>
        </w:rPr>
        <w:t>Luisa ande detrás </w:t>
      </w:r>
      <w:r>
        <w:rPr>
          <w:color w:val="231F20"/>
        </w:rPr>
        <w:t>de su </w:t>
      </w:r>
      <w:r>
        <w:rPr>
          <w:color w:val="231F20"/>
          <w:spacing w:val="3"/>
        </w:rPr>
        <w:t>marido, </w:t>
      </w:r>
      <w:r>
        <w:rPr>
          <w:color w:val="231F20"/>
          <w:spacing w:val="2"/>
        </w:rPr>
        <w:t>Julián, todo </w:t>
      </w:r>
      <w:r>
        <w:rPr>
          <w:color w:val="231F20"/>
        </w:rPr>
        <w:t>el </w:t>
      </w:r>
      <w:r>
        <w:rPr>
          <w:color w:val="231F20"/>
          <w:spacing w:val="3"/>
        </w:rPr>
        <w:t>tiempo; </w:t>
      </w:r>
      <w:r>
        <w:rPr>
          <w:color w:val="231F20"/>
        </w:rPr>
        <w:t>d) </w:t>
      </w:r>
      <w:r>
        <w:rPr>
          <w:color w:val="231F20"/>
          <w:spacing w:val="3"/>
        </w:rPr>
        <w:t>como </w:t>
      </w:r>
      <w:r>
        <w:rPr>
          <w:color w:val="231F20"/>
          <w:spacing w:val="2"/>
        </w:rPr>
        <w:t>muestra </w:t>
      </w:r>
      <w:r>
        <w:rPr>
          <w:color w:val="231F20"/>
        </w:rPr>
        <w:t>de </w:t>
      </w:r>
      <w:r>
        <w:rPr>
          <w:color w:val="231F20"/>
          <w:spacing w:val="2"/>
        </w:rPr>
        <w:t>este contraste </w:t>
      </w:r>
      <w:r>
        <w:rPr>
          <w:color w:val="231F20"/>
        </w:rPr>
        <w:t>en la </w:t>
      </w:r>
      <w:r>
        <w:rPr>
          <w:color w:val="231F20"/>
          <w:spacing w:val="2"/>
        </w:rPr>
        <w:t>actitud </w:t>
      </w:r>
      <w:r>
        <w:rPr>
          <w:color w:val="231F20"/>
        </w:rPr>
        <w:t>de </w:t>
      </w:r>
      <w:r>
        <w:rPr>
          <w:color w:val="231F20"/>
          <w:spacing w:val="2"/>
        </w:rPr>
        <w:t>Marta, los </w:t>
      </w:r>
      <w:r>
        <w:rPr>
          <w:color w:val="231F20"/>
          <w:spacing w:val="3"/>
        </w:rPr>
        <w:t>alumnos </w:t>
      </w:r>
      <w:r>
        <w:rPr>
          <w:color w:val="231F20"/>
          <w:spacing w:val="2"/>
        </w:rPr>
        <w:t>señalaron </w:t>
      </w:r>
      <w:r>
        <w:rPr>
          <w:color w:val="231F20"/>
        </w:rPr>
        <w:t>la </w:t>
      </w:r>
      <w:r>
        <w:rPr>
          <w:color w:val="231F20"/>
          <w:spacing w:val="2"/>
        </w:rPr>
        <w:t>relación del ama </w:t>
      </w:r>
      <w:r>
        <w:rPr>
          <w:color w:val="231F20"/>
        </w:rPr>
        <w:t>de la </w:t>
      </w:r>
      <w:r>
        <w:rPr>
          <w:color w:val="231F20"/>
          <w:spacing w:val="2"/>
        </w:rPr>
        <w:t>casa con </w:t>
      </w:r>
      <w:r>
        <w:rPr>
          <w:color w:val="231F20"/>
        </w:rPr>
        <w:t>la </w:t>
      </w:r>
      <w:r>
        <w:rPr>
          <w:color w:val="231F20"/>
          <w:spacing w:val="2"/>
        </w:rPr>
        <w:t>otra sirvienta, </w:t>
      </w:r>
      <w:r>
        <w:rPr>
          <w:color w:val="231F20"/>
          <w:spacing w:val="3"/>
        </w:rPr>
        <w:t>Gabina, quien simplemente </w:t>
      </w:r>
      <w:r>
        <w:rPr>
          <w:color w:val="231F20"/>
          <w:spacing w:val="2"/>
        </w:rPr>
        <w:t>aparece </w:t>
      </w:r>
      <w:r>
        <w:rPr>
          <w:color w:val="231F20"/>
          <w:spacing w:val="3"/>
        </w:rPr>
        <w:t>como </w:t>
      </w:r>
      <w:r>
        <w:rPr>
          <w:color w:val="231F20"/>
          <w:spacing w:val="2"/>
        </w:rPr>
        <w:t>personaje incidental, </w:t>
      </w:r>
      <w:r>
        <w:rPr>
          <w:color w:val="231F20"/>
        </w:rPr>
        <w:t>sin </w:t>
      </w:r>
      <w:r>
        <w:rPr>
          <w:color w:val="231F20"/>
          <w:spacing w:val="2"/>
        </w:rPr>
        <w:t>causar </w:t>
      </w:r>
      <w:r>
        <w:rPr>
          <w:color w:val="231F20"/>
          <w:spacing w:val="3"/>
        </w:rPr>
        <w:t>el </w:t>
      </w:r>
      <w:r>
        <w:rPr>
          <w:color w:val="231F20"/>
          <w:spacing w:val="2"/>
        </w:rPr>
        <w:t>menor ruido, </w:t>
      </w:r>
      <w:r>
        <w:rPr>
          <w:color w:val="231F20"/>
        </w:rPr>
        <w:t>ya </w:t>
      </w:r>
      <w:r>
        <w:rPr>
          <w:color w:val="231F20"/>
          <w:spacing w:val="2"/>
        </w:rPr>
        <w:t>que </w:t>
      </w:r>
      <w:r>
        <w:rPr>
          <w:color w:val="231F20"/>
        </w:rPr>
        <w:t>se </w:t>
      </w:r>
      <w:r>
        <w:rPr>
          <w:color w:val="231F20"/>
          <w:spacing w:val="2"/>
        </w:rPr>
        <w:t>atiene </w:t>
      </w:r>
      <w:r>
        <w:rPr>
          <w:color w:val="231F20"/>
        </w:rPr>
        <w:t>al </w:t>
      </w:r>
      <w:r>
        <w:rPr>
          <w:color w:val="231F20"/>
          <w:spacing w:val="2"/>
        </w:rPr>
        <w:t>papel histórico que </w:t>
      </w:r>
      <w:r>
        <w:rPr>
          <w:color w:val="231F20"/>
        </w:rPr>
        <w:t>en </w:t>
      </w:r>
      <w:r>
        <w:rPr>
          <w:color w:val="231F20"/>
          <w:spacing w:val="2"/>
        </w:rPr>
        <w:t>México </w:t>
      </w:r>
      <w:r>
        <w:rPr>
          <w:color w:val="231F20"/>
        </w:rPr>
        <w:t>se les ha </w:t>
      </w:r>
      <w:r>
        <w:rPr>
          <w:color w:val="231F20"/>
          <w:spacing w:val="2"/>
        </w:rPr>
        <w:t>asignado </w:t>
      </w:r>
      <w:r>
        <w:rPr>
          <w:color w:val="231F20"/>
        </w:rPr>
        <w:t>a </w:t>
      </w:r>
      <w:r>
        <w:rPr>
          <w:color w:val="231F20"/>
          <w:spacing w:val="2"/>
        </w:rPr>
        <w:t>los </w:t>
      </w:r>
      <w:r>
        <w:rPr>
          <w:color w:val="231F20"/>
          <w:spacing w:val="3"/>
        </w:rPr>
        <w:t>pueblos </w:t>
      </w:r>
      <w:r>
        <w:rPr>
          <w:color w:val="231F20"/>
          <w:spacing w:val="2"/>
        </w:rPr>
        <w:t>indígenas: </w:t>
      </w:r>
      <w:r>
        <w:rPr>
          <w:color w:val="231F20"/>
        </w:rPr>
        <w:t>el de </w:t>
      </w:r>
      <w:r>
        <w:rPr>
          <w:color w:val="231F20"/>
          <w:spacing w:val="2"/>
        </w:rPr>
        <w:t>servir. Marta </w:t>
      </w:r>
      <w:r>
        <w:rPr>
          <w:color w:val="231F20"/>
        </w:rPr>
        <w:t>y </w:t>
      </w:r>
      <w:r>
        <w:rPr>
          <w:color w:val="231F20"/>
          <w:spacing w:val="3"/>
        </w:rPr>
        <w:t>Ga- </w:t>
      </w:r>
      <w:r>
        <w:rPr>
          <w:color w:val="231F20"/>
          <w:spacing w:val="2"/>
        </w:rPr>
        <w:t>bina </w:t>
      </w:r>
      <w:r>
        <w:rPr>
          <w:color w:val="231F20"/>
        </w:rPr>
        <w:t>no </w:t>
      </w:r>
      <w:r>
        <w:rPr>
          <w:color w:val="231F20"/>
          <w:spacing w:val="2"/>
        </w:rPr>
        <w:t>tienen </w:t>
      </w:r>
      <w:r>
        <w:rPr>
          <w:color w:val="231F20"/>
        </w:rPr>
        <w:t>el </w:t>
      </w:r>
      <w:r>
        <w:rPr>
          <w:color w:val="231F20"/>
          <w:spacing w:val="3"/>
        </w:rPr>
        <w:t>mayor </w:t>
      </w:r>
      <w:r>
        <w:rPr>
          <w:color w:val="231F20"/>
          <w:spacing w:val="2"/>
        </w:rPr>
        <w:t>conflicto porque cada una asume </w:t>
      </w:r>
      <w:r>
        <w:rPr>
          <w:color w:val="231F20"/>
        </w:rPr>
        <w:t>su </w:t>
      </w:r>
      <w:r>
        <w:rPr>
          <w:color w:val="231F20"/>
          <w:spacing w:val="4"/>
        </w:rPr>
        <w:t>pa-  </w:t>
      </w:r>
      <w:r>
        <w:rPr>
          <w:color w:val="231F20"/>
          <w:spacing w:val="2"/>
        </w:rPr>
        <w:t>pel, pero los desvaríos </w:t>
      </w:r>
      <w:r>
        <w:rPr>
          <w:color w:val="231F20"/>
        </w:rPr>
        <w:t>de </w:t>
      </w:r>
      <w:r>
        <w:rPr>
          <w:color w:val="231F20"/>
          <w:spacing w:val="2"/>
        </w:rPr>
        <w:t>Luisa </w:t>
      </w:r>
      <w:r>
        <w:rPr>
          <w:color w:val="231F20"/>
        </w:rPr>
        <w:t>y la </w:t>
      </w:r>
      <w:r>
        <w:rPr>
          <w:color w:val="231F20"/>
          <w:spacing w:val="3"/>
        </w:rPr>
        <w:t>manera </w:t>
      </w:r>
      <w:r>
        <w:rPr>
          <w:color w:val="231F20"/>
        </w:rPr>
        <w:t>en la que </w:t>
      </w:r>
      <w:r>
        <w:rPr>
          <w:color w:val="231F20"/>
          <w:spacing w:val="3"/>
        </w:rPr>
        <w:t>toma </w:t>
      </w:r>
      <w:r>
        <w:rPr>
          <w:color w:val="231F20"/>
        </w:rPr>
        <w:t>la </w:t>
      </w:r>
      <w:r>
        <w:rPr>
          <w:color w:val="231F20"/>
          <w:spacing w:val="2"/>
        </w:rPr>
        <w:t>iniciativa </w:t>
      </w:r>
      <w:r>
        <w:rPr>
          <w:color w:val="231F20"/>
          <w:spacing w:val="3"/>
        </w:rPr>
        <w:t>muestran </w:t>
      </w:r>
      <w:r>
        <w:rPr>
          <w:color w:val="231F20"/>
          <w:spacing w:val="2"/>
        </w:rPr>
        <w:t>que este personaje </w:t>
      </w:r>
      <w:r>
        <w:rPr>
          <w:color w:val="231F20"/>
        </w:rPr>
        <w:t>se </w:t>
      </w:r>
      <w:r>
        <w:rPr>
          <w:color w:val="231F20"/>
          <w:spacing w:val="2"/>
        </w:rPr>
        <w:t>subleva, </w:t>
      </w:r>
      <w:r>
        <w:rPr>
          <w:color w:val="231F20"/>
        </w:rPr>
        <w:t>de un  </w:t>
      </w:r>
      <w:r>
        <w:rPr>
          <w:color w:val="231F20"/>
          <w:spacing w:val="3"/>
        </w:rPr>
        <w:t>modo </w:t>
      </w:r>
      <w:r>
        <w:rPr>
          <w:color w:val="231F20"/>
        </w:rPr>
        <w:t>o  de </w:t>
      </w:r>
      <w:r>
        <w:rPr>
          <w:color w:val="231F20"/>
          <w:spacing w:val="2"/>
        </w:rPr>
        <w:t>otro, </w:t>
      </w:r>
      <w:r>
        <w:rPr>
          <w:color w:val="231F20"/>
        </w:rPr>
        <w:t>en </w:t>
      </w:r>
      <w:r>
        <w:rPr>
          <w:color w:val="231F20"/>
          <w:spacing w:val="2"/>
        </w:rPr>
        <w:t>contra del perfil </w:t>
      </w:r>
      <w:r>
        <w:rPr>
          <w:color w:val="231F20"/>
        </w:rPr>
        <w:t>de </w:t>
      </w:r>
      <w:r>
        <w:rPr>
          <w:color w:val="231F20"/>
          <w:spacing w:val="3"/>
        </w:rPr>
        <w:t>conducta </w:t>
      </w:r>
      <w:r>
        <w:rPr>
          <w:color w:val="231F20"/>
          <w:spacing w:val="2"/>
        </w:rPr>
        <w:t>que </w:t>
      </w:r>
      <w:r>
        <w:rPr>
          <w:color w:val="231F20"/>
        </w:rPr>
        <w:t>se </w:t>
      </w:r>
      <w:r>
        <w:rPr>
          <w:color w:val="231F20"/>
          <w:spacing w:val="2"/>
        </w:rPr>
        <w:t>espera </w:t>
      </w:r>
      <w:r>
        <w:rPr>
          <w:color w:val="231F20"/>
        </w:rPr>
        <w:t>de </w:t>
      </w:r>
      <w:r>
        <w:rPr>
          <w:color w:val="231F20"/>
          <w:spacing w:val="29"/>
        </w:rPr>
        <w:t> </w:t>
      </w:r>
      <w:r>
        <w:rPr>
          <w:color w:val="231F20"/>
        </w:rPr>
        <w:t>ella.</w:t>
      </w:r>
    </w:p>
    <w:p>
      <w:pPr>
        <w:pStyle w:val="BodyText"/>
        <w:spacing w:line="247" w:lineRule="auto" w:before="6"/>
        <w:ind w:left="101" w:right="115" w:firstLine="284"/>
        <w:jc w:val="both"/>
      </w:pPr>
      <w:r>
        <w:rPr>
          <w:color w:val="231F20"/>
        </w:rPr>
        <w:t>El segundo asesinato de Luisa, quien al final del cuento mata a Marta, se discutió de la siguiente manera: a) se acordó que el ase- sinato en sí mismo no es la solución para ningún conflicto; b) también en el hecho de que Luisa es un personaje peculiar al que muchos calificaron con locura o enfermedad mental, de modo que era correcto que volviera a la cárcel. Sin embargo, también se señaló que: a) el hecho de que su estancia en la cárcel la primera vez, le haya parecido el Paraíso indica la carencia en la cual nor- malmente vivió y vive Luisa, pues la ciudad ofrece escasas opor- tunidades  para  los  indígenas  que  emigran  del  campo.   Ningún</w:t>
      </w:r>
    </w:p>
    <w:p>
      <w:pPr>
        <w:spacing w:after="0" w:line="247" w:lineRule="auto"/>
        <w:jc w:val="both"/>
        <w:sectPr>
          <w:headerReference w:type="default" r:id="rId595"/>
          <w:footerReference w:type="default" r:id="rId596"/>
          <w:pgSz w:w="7830" w:h="11910"/>
          <w:pgMar w:header="0" w:footer="424" w:top="500" w:bottom="620" w:left="920" w:right="900"/>
          <w:pgNumType w:start="26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5"/>
        <w:jc w:val="both"/>
      </w:pPr>
      <w:r>
        <w:rPr>
          <w:color w:val="231F20"/>
          <w:spacing w:val="2"/>
        </w:rPr>
        <w:t>alumno consideró </w:t>
      </w:r>
      <w:r>
        <w:rPr>
          <w:color w:val="231F20"/>
        </w:rPr>
        <w:t>que la </w:t>
      </w:r>
      <w:r>
        <w:rPr>
          <w:color w:val="231F20"/>
          <w:spacing w:val="2"/>
        </w:rPr>
        <w:t>cárcel significaría </w:t>
      </w:r>
      <w:r>
        <w:rPr>
          <w:color w:val="231F20"/>
        </w:rPr>
        <w:t>un </w:t>
      </w:r>
      <w:r>
        <w:rPr>
          <w:color w:val="231F20"/>
          <w:spacing w:val="2"/>
        </w:rPr>
        <w:t>espacio </w:t>
      </w:r>
      <w:r>
        <w:rPr>
          <w:color w:val="231F20"/>
        </w:rPr>
        <w:t>de </w:t>
      </w:r>
      <w:r>
        <w:rPr>
          <w:color w:val="231F20"/>
          <w:spacing w:val="3"/>
        </w:rPr>
        <w:t>oportu- </w:t>
      </w:r>
      <w:r>
        <w:rPr>
          <w:color w:val="231F20"/>
          <w:spacing w:val="2"/>
        </w:rPr>
        <w:t>nidad </w:t>
      </w:r>
      <w:r>
        <w:rPr>
          <w:color w:val="231F20"/>
        </w:rPr>
        <w:t>ni de </w:t>
      </w:r>
      <w:r>
        <w:rPr>
          <w:color w:val="231F20"/>
          <w:spacing w:val="2"/>
        </w:rPr>
        <w:t>crecimiento. </w:t>
      </w:r>
      <w:r>
        <w:rPr>
          <w:color w:val="231F20"/>
        </w:rPr>
        <w:t>El </w:t>
      </w:r>
      <w:r>
        <w:rPr>
          <w:color w:val="231F20"/>
          <w:spacing w:val="2"/>
        </w:rPr>
        <w:t>cuento indica </w:t>
      </w:r>
      <w:r>
        <w:rPr>
          <w:color w:val="231F20"/>
        </w:rPr>
        <w:t>en </w:t>
      </w:r>
      <w:r>
        <w:rPr>
          <w:color w:val="231F20"/>
          <w:spacing w:val="2"/>
        </w:rPr>
        <w:t>este </w:t>
      </w:r>
      <w:r>
        <w:rPr>
          <w:color w:val="231F20"/>
          <w:spacing w:val="3"/>
        </w:rPr>
        <w:t>punto </w:t>
      </w:r>
      <w:r>
        <w:rPr>
          <w:color w:val="231F20"/>
        </w:rPr>
        <w:t>el </w:t>
      </w:r>
      <w:r>
        <w:rPr>
          <w:color w:val="231F20"/>
          <w:spacing w:val="2"/>
        </w:rPr>
        <w:t>callejón </w:t>
      </w:r>
      <w:r>
        <w:rPr>
          <w:color w:val="231F20"/>
        </w:rPr>
        <w:t>sin </w:t>
      </w:r>
      <w:r>
        <w:rPr>
          <w:color w:val="231F20"/>
          <w:spacing w:val="2"/>
        </w:rPr>
        <w:t>salida </w:t>
      </w:r>
      <w:r>
        <w:rPr>
          <w:color w:val="231F20"/>
        </w:rPr>
        <w:t>que </w:t>
      </w:r>
      <w:r>
        <w:rPr>
          <w:color w:val="231F20"/>
          <w:spacing w:val="2"/>
        </w:rPr>
        <w:t>representa </w:t>
      </w:r>
      <w:r>
        <w:rPr>
          <w:color w:val="231F20"/>
        </w:rPr>
        <w:t>la </w:t>
      </w:r>
      <w:r>
        <w:rPr>
          <w:color w:val="231F20"/>
          <w:spacing w:val="2"/>
        </w:rPr>
        <w:t>cultura </w:t>
      </w:r>
      <w:r>
        <w:rPr>
          <w:color w:val="231F20"/>
          <w:spacing w:val="3"/>
        </w:rPr>
        <w:t>dominante </w:t>
      </w:r>
      <w:r>
        <w:rPr>
          <w:color w:val="231F20"/>
          <w:spacing w:val="2"/>
        </w:rPr>
        <w:t>para los indígenas:   </w:t>
      </w:r>
      <w:r>
        <w:rPr>
          <w:color w:val="231F20"/>
        </w:rPr>
        <w:t>o se </w:t>
      </w:r>
      <w:r>
        <w:rPr>
          <w:color w:val="231F20"/>
          <w:spacing w:val="2"/>
        </w:rPr>
        <w:t>integran </w:t>
      </w:r>
      <w:r>
        <w:rPr>
          <w:color w:val="231F20"/>
        </w:rPr>
        <w:t>o </w:t>
      </w:r>
      <w:r>
        <w:rPr>
          <w:color w:val="231F20"/>
          <w:spacing w:val="2"/>
        </w:rPr>
        <w:t>viven </w:t>
      </w:r>
      <w:r>
        <w:rPr>
          <w:color w:val="231F20"/>
        </w:rPr>
        <w:t>al </w:t>
      </w:r>
      <w:r>
        <w:rPr>
          <w:color w:val="231F20"/>
          <w:spacing w:val="2"/>
        </w:rPr>
        <w:t>margen </w:t>
      </w:r>
      <w:r>
        <w:rPr>
          <w:color w:val="231F20"/>
          <w:spacing w:val="3"/>
        </w:rPr>
        <w:t>oprimidos </w:t>
      </w:r>
      <w:r>
        <w:rPr>
          <w:color w:val="231F20"/>
          <w:spacing w:val="2"/>
        </w:rPr>
        <w:t>por </w:t>
      </w:r>
      <w:r>
        <w:rPr>
          <w:color w:val="231F20"/>
        </w:rPr>
        <w:t>la </w:t>
      </w:r>
      <w:r>
        <w:rPr>
          <w:color w:val="231F20"/>
          <w:spacing w:val="3"/>
        </w:rPr>
        <w:t>pobreza </w:t>
      </w:r>
      <w:r>
        <w:rPr>
          <w:color w:val="231F20"/>
        </w:rPr>
        <w:t>y la </w:t>
      </w:r>
      <w:r>
        <w:rPr>
          <w:color w:val="231F20"/>
          <w:spacing w:val="2"/>
        </w:rPr>
        <w:t>desigualdad.</w:t>
      </w:r>
    </w:p>
    <w:p>
      <w:pPr>
        <w:pStyle w:val="BodyText"/>
        <w:spacing w:line="247" w:lineRule="auto" w:before="6"/>
        <w:ind w:left="102" w:right="116" w:firstLine="283"/>
        <w:jc w:val="both"/>
      </w:pPr>
      <w:r>
        <w:rPr>
          <w:color w:val="231F20"/>
        </w:rPr>
        <w:t>El </w:t>
      </w:r>
      <w:r>
        <w:rPr>
          <w:color w:val="231F20"/>
          <w:spacing w:val="2"/>
        </w:rPr>
        <w:t>árbol con </w:t>
      </w:r>
      <w:r>
        <w:rPr>
          <w:color w:val="231F20"/>
        </w:rPr>
        <w:t>el </w:t>
      </w:r>
      <w:r>
        <w:rPr>
          <w:color w:val="231F20"/>
          <w:spacing w:val="2"/>
        </w:rPr>
        <w:t>cual </w:t>
      </w:r>
      <w:r>
        <w:rPr>
          <w:color w:val="231F20"/>
        </w:rPr>
        <w:t>se </w:t>
      </w:r>
      <w:r>
        <w:rPr>
          <w:color w:val="231F20"/>
          <w:spacing w:val="2"/>
        </w:rPr>
        <w:t>confiesa Luisa </w:t>
      </w:r>
      <w:r>
        <w:rPr>
          <w:color w:val="231F20"/>
        </w:rPr>
        <w:t>y se </w:t>
      </w:r>
      <w:r>
        <w:rPr>
          <w:color w:val="231F20"/>
          <w:spacing w:val="2"/>
        </w:rPr>
        <w:t>seca, </w:t>
      </w:r>
      <w:r>
        <w:rPr>
          <w:color w:val="231F20"/>
        </w:rPr>
        <w:t>se </w:t>
      </w:r>
      <w:r>
        <w:rPr>
          <w:color w:val="231F20"/>
          <w:spacing w:val="2"/>
        </w:rPr>
        <w:t>consideró una imagen </w:t>
      </w:r>
      <w:r>
        <w:rPr>
          <w:color w:val="231F20"/>
        </w:rPr>
        <w:t>de la </w:t>
      </w:r>
      <w:r>
        <w:rPr>
          <w:color w:val="231F20"/>
          <w:spacing w:val="2"/>
        </w:rPr>
        <w:t>vida. </w:t>
      </w:r>
      <w:r>
        <w:rPr>
          <w:color w:val="231F20"/>
        </w:rPr>
        <w:t>El </w:t>
      </w:r>
      <w:r>
        <w:rPr>
          <w:color w:val="231F20"/>
          <w:spacing w:val="2"/>
        </w:rPr>
        <w:t>hecho </w:t>
      </w:r>
      <w:r>
        <w:rPr>
          <w:color w:val="231F20"/>
        </w:rPr>
        <w:t>de </w:t>
      </w:r>
      <w:r>
        <w:rPr>
          <w:color w:val="231F20"/>
          <w:spacing w:val="2"/>
        </w:rPr>
        <w:t>que </w:t>
      </w:r>
      <w:r>
        <w:rPr>
          <w:color w:val="231F20"/>
        </w:rPr>
        <w:t>se </w:t>
      </w:r>
      <w:r>
        <w:rPr>
          <w:color w:val="231F20"/>
          <w:spacing w:val="2"/>
        </w:rPr>
        <w:t>seque </w:t>
      </w:r>
      <w:r>
        <w:rPr>
          <w:color w:val="231F20"/>
        </w:rPr>
        <w:t>es </w:t>
      </w:r>
      <w:r>
        <w:rPr>
          <w:color w:val="231F20"/>
          <w:spacing w:val="3"/>
        </w:rPr>
        <w:t>simbólico, </w:t>
      </w:r>
      <w:r>
        <w:rPr>
          <w:color w:val="231F20"/>
          <w:spacing w:val="2"/>
        </w:rPr>
        <w:t>pueden atribuírsele distintos sentidos: </w:t>
      </w:r>
      <w:r>
        <w:rPr>
          <w:color w:val="231F20"/>
        </w:rPr>
        <w:t>a) </w:t>
      </w:r>
      <w:r>
        <w:rPr>
          <w:color w:val="231F20"/>
          <w:spacing w:val="2"/>
        </w:rPr>
        <w:t>los </w:t>
      </w:r>
      <w:r>
        <w:rPr>
          <w:color w:val="231F20"/>
          <w:spacing w:val="3"/>
        </w:rPr>
        <w:t>pecados </w:t>
      </w:r>
      <w:r>
        <w:rPr>
          <w:color w:val="231F20"/>
        </w:rPr>
        <w:t>de </w:t>
      </w:r>
      <w:r>
        <w:rPr>
          <w:color w:val="231F20"/>
          <w:spacing w:val="2"/>
        </w:rPr>
        <w:t>Luisa constituyen una falta </w:t>
      </w:r>
      <w:r>
        <w:rPr>
          <w:color w:val="231F20"/>
        </w:rPr>
        <w:t>de </w:t>
      </w:r>
      <w:r>
        <w:rPr>
          <w:color w:val="231F20"/>
          <w:spacing w:val="2"/>
        </w:rPr>
        <w:t>respeto </w:t>
      </w:r>
      <w:r>
        <w:rPr>
          <w:color w:val="231F20"/>
        </w:rPr>
        <w:t>a </w:t>
      </w:r>
      <w:r>
        <w:rPr>
          <w:color w:val="231F20"/>
          <w:spacing w:val="2"/>
        </w:rPr>
        <w:t>los </w:t>
      </w:r>
      <w:r>
        <w:rPr>
          <w:color w:val="231F20"/>
          <w:spacing w:val="3"/>
        </w:rPr>
        <w:t>demás, </w:t>
      </w:r>
      <w:r>
        <w:rPr>
          <w:color w:val="231F20"/>
        </w:rPr>
        <w:t>lo </w:t>
      </w:r>
      <w:r>
        <w:rPr>
          <w:color w:val="231F20"/>
          <w:spacing w:val="2"/>
        </w:rPr>
        <w:t>cual </w:t>
      </w:r>
      <w:r>
        <w:rPr>
          <w:color w:val="231F20"/>
          <w:spacing w:val="3"/>
        </w:rPr>
        <w:t>rompería </w:t>
      </w:r>
      <w:r>
        <w:rPr>
          <w:color w:val="231F20"/>
        </w:rPr>
        <w:t>el </w:t>
      </w:r>
      <w:r>
        <w:rPr>
          <w:color w:val="231F20"/>
          <w:spacing w:val="2"/>
        </w:rPr>
        <w:t>equilibrio entre </w:t>
      </w:r>
      <w:r>
        <w:rPr>
          <w:color w:val="231F20"/>
        </w:rPr>
        <w:t>el </w:t>
      </w:r>
      <w:r>
        <w:rPr>
          <w:color w:val="231F20"/>
          <w:spacing w:val="3"/>
        </w:rPr>
        <w:t>hombre </w:t>
      </w:r>
      <w:r>
        <w:rPr>
          <w:color w:val="231F20"/>
        </w:rPr>
        <w:t>y el </w:t>
      </w:r>
      <w:r>
        <w:rPr>
          <w:color w:val="231F20"/>
          <w:spacing w:val="3"/>
        </w:rPr>
        <w:t>cosmos, </w:t>
      </w:r>
      <w:r>
        <w:rPr>
          <w:color w:val="231F20"/>
          <w:spacing w:val="2"/>
        </w:rPr>
        <w:t>planteado por </w:t>
      </w:r>
      <w:r>
        <w:rPr>
          <w:color w:val="231F20"/>
          <w:spacing w:val="3"/>
        </w:rPr>
        <w:t>algunas </w:t>
      </w:r>
      <w:r>
        <w:rPr>
          <w:color w:val="231F20"/>
          <w:spacing w:val="2"/>
        </w:rPr>
        <w:t>culturas</w:t>
      </w:r>
      <w:r>
        <w:rPr>
          <w:color w:val="231F20"/>
          <w:spacing w:val="-4"/>
        </w:rPr>
        <w:t> </w:t>
      </w:r>
      <w:r>
        <w:rPr>
          <w:color w:val="231F20"/>
          <w:spacing w:val="3"/>
        </w:rPr>
        <w:t>precolombinas.</w:t>
      </w:r>
    </w:p>
    <w:p>
      <w:pPr>
        <w:pStyle w:val="BodyText"/>
        <w:spacing w:line="247" w:lineRule="auto" w:before="1"/>
        <w:ind w:left="102" w:right="115" w:firstLine="284"/>
        <w:jc w:val="both"/>
      </w:pPr>
      <w:r>
        <w:rPr>
          <w:color w:val="231F20"/>
        </w:rPr>
        <w:t>A </w:t>
      </w:r>
      <w:r>
        <w:rPr>
          <w:color w:val="231F20"/>
          <w:spacing w:val="3"/>
        </w:rPr>
        <w:t>manera </w:t>
      </w:r>
      <w:r>
        <w:rPr>
          <w:color w:val="231F20"/>
        </w:rPr>
        <w:t>de </w:t>
      </w:r>
      <w:r>
        <w:rPr>
          <w:color w:val="231F20"/>
          <w:spacing w:val="2"/>
        </w:rPr>
        <w:t>conclusión, </w:t>
      </w:r>
      <w:r>
        <w:rPr>
          <w:color w:val="231F20"/>
        </w:rPr>
        <w:t>se </w:t>
      </w:r>
      <w:r>
        <w:rPr>
          <w:color w:val="231F20"/>
          <w:spacing w:val="3"/>
        </w:rPr>
        <w:t>comentó </w:t>
      </w:r>
      <w:r>
        <w:rPr>
          <w:color w:val="231F20"/>
        </w:rPr>
        <w:t>que </w:t>
      </w:r>
      <w:r>
        <w:rPr>
          <w:color w:val="231F20"/>
          <w:spacing w:val="2"/>
        </w:rPr>
        <w:t>actualmente </w:t>
      </w:r>
      <w:r>
        <w:rPr>
          <w:color w:val="231F20"/>
        </w:rPr>
        <w:t>se ha </w:t>
      </w:r>
      <w:r>
        <w:rPr>
          <w:color w:val="231F20"/>
          <w:spacing w:val="2"/>
        </w:rPr>
        <w:t>dado una imagen comercial </w:t>
      </w:r>
      <w:r>
        <w:rPr>
          <w:color w:val="231F20"/>
        </w:rPr>
        <w:t>de </w:t>
      </w:r>
      <w:r>
        <w:rPr>
          <w:color w:val="231F20"/>
          <w:spacing w:val="2"/>
        </w:rPr>
        <w:t>los indígenas </w:t>
      </w:r>
      <w:r>
        <w:rPr>
          <w:color w:val="231F20"/>
        </w:rPr>
        <w:t>en </w:t>
      </w:r>
      <w:r>
        <w:rPr>
          <w:color w:val="231F20"/>
          <w:spacing w:val="2"/>
        </w:rPr>
        <w:t>México que resulta </w:t>
      </w:r>
      <w:r>
        <w:rPr>
          <w:color w:val="231F20"/>
        </w:rPr>
        <w:t>ser un </w:t>
      </w:r>
      <w:r>
        <w:rPr>
          <w:color w:val="231F20"/>
          <w:spacing w:val="2"/>
        </w:rPr>
        <w:t>engaño </w:t>
      </w:r>
      <w:r>
        <w:rPr>
          <w:color w:val="231F20"/>
        </w:rPr>
        <w:t>ya </w:t>
      </w:r>
      <w:r>
        <w:rPr>
          <w:color w:val="231F20"/>
          <w:spacing w:val="2"/>
        </w:rPr>
        <w:t>que </w:t>
      </w:r>
      <w:r>
        <w:rPr>
          <w:color w:val="231F20"/>
        </w:rPr>
        <w:t>se les </w:t>
      </w:r>
      <w:r>
        <w:rPr>
          <w:color w:val="231F20"/>
          <w:spacing w:val="2"/>
        </w:rPr>
        <w:t>sigue tratando </w:t>
      </w:r>
      <w:r>
        <w:rPr>
          <w:color w:val="231F20"/>
        </w:rPr>
        <w:t>de </w:t>
      </w:r>
      <w:r>
        <w:rPr>
          <w:color w:val="231F20"/>
          <w:spacing w:val="3"/>
        </w:rPr>
        <w:t>manera </w:t>
      </w:r>
      <w:r>
        <w:rPr>
          <w:color w:val="231F20"/>
          <w:spacing w:val="2"/>
        </w:rPr>
        <w:t>discrimina- toria.</w:t>
      </w:r>
    </w:p>
    <w:p>
      <w:pPr>
        <w:pStyle w:val="ListParagraph"/>
        <w:numPr>
          <w:ilvl w:val="0"/>
          <w:numId w:val="15"/>
        </w:numPr>
        <w:tabs>
          <w:tab w:pos="347" w:val="left" w:leader="none"/>
        </w:tabs>
        <w:spacing w:line="247" w:lineRule="auto" w:before="0" w:after="0"/>
        <w:ind w:left="102" w:right="114" w:firstLine="0"/>
        <w:jc w:val="both"/>
        <w:rPr>
          <w:sz w:val="21"/>
        </w:rPr>
      </w:pPr>
      <w:r>
        <w:rPr>
          <w:color w:val="231F20"/>
          <w:sz w:val="21"/>
        </w:rPr>
        <w:t>Los textos de los alumnos sobre el tema de la violencia. A conti- nuación se presenta una tabla donde se condensan los resultados.     El criterio fue examinar qué expresaron los participantes en rela- ción con los aspectos puntuales que se solicitaron acerca del tema  de la violencia. Como comentario general se advierte la alta fre- cuencia de críticas y menor aporte en cuanto a propuestas, así como una visión más o menos uniforme acerca de cómo los alumnos participantes conciben la violencia. Ambos ejercicios son comple- mentarios e invitan a los estudiantes a analizar el</w:t>
      </w:r>
      <w:r>
        <w:rPr>
          <w:color w:val="231F20"/>
          <w:spacing w:val="-15"/>
          <w:sz w:val="21"/>
        </w:rPr>
        <w:t> </w:t>
      </w:r>
      <w:r>
        <w:rPr>
          <w:color w:val="231F20"/>
          <w:sz w:val="21"/>
        </w:rPr>
        <w:t>tema.</w:t>
      </w:r>
    </w:p>
    <w:p>
      <w:pPr>
        <w:spacing w:after="0" w:line="247" w:lineRule="auto"/>
        <w:jc w:val="both"/>
        <w:rPr>
          <w:sz w:val="21"/>
        </w:rPr>
        <w:sectPr>
          <w:headerReference w:type="default" r:id="rId597"/>
          <w:footerReference w:type="default" r:id="rId598"/>
          <w:pgSz w:w="7830" w:h="11910"/>
          <w:pgMar w:header="0" w:footer="424" w:top="500" w:bottom="620" w:left="920" w:right="900"/>
          <w:pgNumType w:start="264"/>
        </w:sectPr>
      </w:pPr>
    </w:p>
    <w:p>
      <w:pPr>
        <w:spacing w:before="46"/>
        <w:ind w:left="1583" w:right="0" w:firstLine="0"/>
        <w:jc w:val="left"/>
        <w:rPr>
          <w:sz w:val="13"/>
        </w:rPr>
      </w:pPr>
      <w:r>
        <w:rPr>
          <w:color w:val="231F20"/>
          <w:sz w:val="16"/>
        </w:rPr>
        <w:t>E</w:t>
      </w:r>
      <w:r>
        <w:rPr>
          <w:color w:val="231F20"/>
          <w:sz w:val="13"/>
        </w:rPr>
        <w:t>STUDIOS SOBRE VIOLENCIA EN LA EDUCACIÓN</w:t>
      </w:r>
    </w:p>
    <w:p>
      <w:pPr>
        <w:pStyle w:val="BodyText"/>
        <w:rPr>
          <w:sz w:val="20"/>
        </w:rPr>
      </w:pPr>
    </w:p>
    <w:p>
      <w:pPr>
        <w:pStyle w:val="BodyText"/>
        <w:rPr>
          <w:sz w:val="20"/>
        </w:rPr>
      </w:pPr>
    </w:p>
    <w:p>
      <w:pPr>
        <w:pStyle w:val="BodyText"/>
        <w:spacing w:before="3"/>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1867" w:hRule="exact"/>
        </w:trPr>
        <w:tc>
          <w:tcPr>
            <w:tcW w:w="6413" w:type="dxa"/>
            <w:gridSpan w:val="6"/>
          </w:tcPr>
          <w:p>
            <w:pPr>
              <w:pStyle w:val="TableParagraph"/>
              <w:spacing w:line="232" w:lineRule="auto" w:before="109"/>
              <w:ind w:left="105" w:right="99"/>
              <w:jc w:val="both"/>
              <w:rPr>
                <w:sz w:val="16"/>
              </w:rPr>
            </w:pPr>
            <w:r>
              <w:rPr>
                <w:color w:val="231F20"/>
                <w:sz w:val="16"/>
              </w:rPr>
              <w:t>Esta</w:t>
            </w:r>
            <w:r>
              <w:rPr>
                <w:color w:val="231F20"/>
                <w:spacing w:val="-16"/>
                <w:sz w:val="16"/>
              </w:rPr>
              <w:t> </w:t>
            </w:r>
            <w:r>
              <w:rPr>
                <w:color w:val="231F20"/>
                <w:sz w:val="16"/>
              </w:rPr>
              <w:t>tabla</w:t>
            </w:r>
            <w:r>
              <w:rPr>
                <w:color w:val="231F20"/>
                <w:spacing w:val="-16"/>
                <w:sz w:val="16"/>
              </w:rPr>
              <w:t> </w:t>
            </w:r>
            <w:r>
              <w:rPr>
                <w:color w:val="231F20"/>
                <w:sz w:val="16"/>
              </w:rPr>
              <w:t>condensa</w:t>
            </w:r>
            <w:r>
              <w:rPr>
                <w:color w:val="231F20"/>
                <w:spacing w:val="-16"/>
                <w:sz w:val="16"/>
              </w:rPr>
              <w:t> </w:t>
            </w:r>
            <w:r>
              <w:rPr>
                <w:color w:val="231F20"/>
                <w:sz w:val="16"/>
              </w:rPr>
              <w:t>las</w:t>
            </w:r>
            <w:r>
              <w:rPr>
                <w:color w:val="231F20"/>
                <w:spacing w:val="-16"/>
                <w:sz w:val="16"/>
              </w:rPr>
              <w:t> </w:t>
            </w:r>
            <w:r>
              <w:rPr>
                <w:color w:val="231F20"/>
                <w:sz w:val="16"/>
              </w:rPr>
              <w:t>opiniones</w:t>
            </w:r>
            <w:r>
              <w:rPr>
                <w:color w:val="231F20"/>
                <w:spacing w:val="-16"/>
                <w:sz w:val="16"/>
              </w:rPr>
              <w:t> </w:t>
            </w:r>
            <w:r>
              <w:rPr>
                <w:color w:val="231F20"/>
                <w:sz w:val="16"/>
              </w:rPr>
              <w:t>que</w:t>
            </w:r>
            <w:r>
              <w:rPr>
                <w:color w:val="231F20"/>
                <w:spacing w:val="-16"/>
                <w:sz w:val="16"/>
              </w:rPr>
              <w:t> </w:t>
            </w:r>
            <w:r>
              <w:rPr>
                <w:color w:val="231F20"/>
                <w:sz w:val="16"/>
              </w:rPr>
              <w:t>20</w:t>
            </w:r>
            <w:r>
              <w:rPr>
                <w:color w:val="231F20"/>
                <w:spacing w:val="-16"/>
                <w:sz w:val="16"/>
              </w:rPr>
              <w:t> </w:t>
            </w:r>
            <w:r>
              <w:rPr>
                <w:color w:val="231F20"/>
                <w:sz w:val="16"/>
              </w:rPr>
              <w:t>alumnos</w:t>
            </w:r>
            <w:r>
              <w:rPr>
                <w:color w:val="231F20"/>
                <w:spacing w:val="-16"/>
                <w:sz w:val="16"/>
              </w:rPr>
              <w:t> </w:t>
            </w:r>
            <w:r>
              <w:rPr>
                <w:color w:val="231F20"/>
                <w:sz w:val="16"/>
              </w:rPr>
              <w:t>de</w:t>
            </w:r>
            <w:r>
              <w:rPr>
                <w:color w:val="231F20"/>
                <w:spacing w:val="-16"/>
                <w:sz w:val="16"/>
              </w:rPr>
              <w:t> </w:t>
            </w:r>
            <w:r>
              <w:rPr>
                <w:color w:val="231F20"/>
                <w:sz w:val="16"/>
              </w:rPr>
              <w:t>licenciatura</w:t>
            </w:r>
            <w:r>
              <w:rPr>
                <w:color w:val="231F20"/>
                <w:spacing w:val="-16"/>
                <w:sz w:val="16"/>
              </w:rPr>
              <w:t> </w:t>
            </w:r>
            <w:r>
              <w:rPr>
                <w:color w:val="231F20"/>
                <w:sz w:val="16"/>
              </w:rPr>
              <w:t>expresaron</w:t>
            </w:r>
            <w:r>
              <w:rPr>
                <w:color w:val="231F20"/>
                <w:spacing w:val="-16"/>
                <w:sz w:val="16"/>
              </w:rPr>
              <w:t> </w:t>
            </w:r>
            <w:r>
              <w:rPr>
                <w:color w:val="231F20"/>
                <w:sz w:val="16"/>
              </w:rPr>
              <w:t>por</w:t>
            </w:r>
            <w:r>
              <w:rPr>
                <w:color w:val="231F20"/>
                <w:spacing w:val="-16"/>
                <w:sz w:val="16"/>
              </w:rPr>
              <w:t> </w:t>
            </w:r>
            <w:r>
              <w:rPr>
                <w:color w:val="231F20"/>
                <w:sz w:val="16"/>
              </w:rPr>
              <w:t>escrito</w:t>
            </w:r>
            <w:r>
              <w:rPr>
                <w:color w:val="231F20"/>
                <w:spacing w:val="-16"/>
                <w:sz w:val="16"/>
              </w:rPr>
              <w:t> </w:t>
            </w:r>
            <w:r>
              <w:rPr>
                <w:color w:val="231F20"/>
                <w:sz w:val="16"/>
              </w:rPr>
              <w:t>en</w:t>
            </w:r>
            <w:r>
              <w:rPr>
                <w:color w:val="231F20"/>
                <w:spacing w:val="-16"/>
                <w:sz w:val="16"/>
              </w:rPr>
              <w:t> </w:t>
            </w:r>
            <w:r>
              <w:rPr>
                <w:color w:val="231F20"/>
                <w:sz w:val="16"/>
              </w:rPr>
              <w:t>relación con el tema de la violencia. La instrucción que recibieron fue: “escriban un texto en el que expli- quen: a) qué es la violencia para ustedes y cuáles son sus tipos, b) qué experiencias personales relacionadas</w:t>
            </w:r>
            <w:r>
              <w:rPr>
                <w:color w:val="231F20"/>
                <w:spacing w:val="-24"/>
                <w:sz w:val="16"/>
              </w:rPr>
              <w:t> </w:t>
            </w:r>
            <w:r>
              <w:rPr>
                <w:color w:val="231F20"/>
                <w:sz w:val="16"/>
              </w:rPr>
              <w:t>con</w:t>
            </w:r>
            <w:r>
              <w:rPr>
                <w:color w:val="231F20"/>
                <w:spacing w:val="-23"/>
                <w:sz w:val="16"/>
              </w:rPr>
              <w:t> </w:t>
            </w:r>
            <w:r>
              <w:rPr>
                <w:color w:val="231F20"/>
                <w:sz w:val="16"/>
              </w:rPr>
              <w:t>la</w:t>
            </w:r>
            <w:r>
              <w:rPr>
                <w:color w:val="231F20"/>
                <w:spacing w:val="-24"/>
                <w:sz w:val="16"/>
              </w:rPr>
              <w:t> </w:t>
            </w:r>
            <w:r>
              <w:rPr>
                <w:color w:val="231F20"/>
                <w:sz w:val="16"/>
              </w:rPr>
              <w:t>violencia</w:t>
            </w:r>
            <w:r>
              <w:rPr>
                <w:color w:val="231F20"/>
                <w:spacing w:val="-24"/>
                <w:sz w:val="16"/>
              </w:rPr>
              <w:t> </w:t>
            </w:r>
            <w:r>
              <w:rPr>
                <w:color w:val="231F20"/>
                <w:sz w:val="16"/>
              </w:rPr>
              <w:t>en</w:t>
            </w:r>
            <w:r>
              <w:rPr>
                <w:color w:val="231F20"/>
                <w:spacing w:val="-23"/>
                <w:sz w:val="16"/>
              </w:rPr>
              <w:t> </w:t>
            </w:r>
            <w:r>
              <w:rPr>
                <w:color w:val="231F20"/>
                <w:sz w:val="16"/>
              </w:rPr>
              <w:t>distintos</w:t>
            </w:r>
            <w:r>
              <w:rPr>
                <w:color w:val="231F20"/>
                <w:spacing w:val="-24"/>
                <w:sz w:val="16"/>
              </w:rPr>
              <w:t> </w:t>
            </w:r>
            <w:r>
              <w:rPr>
                <w:color w:val="231F20"/>
                <w:sz w:val="16"/>
              </w:rPr>
              <w:t>ámbitos</w:t>
            </w:r>
            <w:r>
              <w:rPr>
                <w:color w:val="231F20"/>
                <w:spacing w:val="-24"/>
                <w:sz w:val="16"/>
              </w:rPr>
              <w:t> </w:t>
            </w:r>
            <w:r>
              <w:rPr>
                <w:color w:val="231F20"/>
                <w:sz w:val="16"/>
              </w:rPr>
              <w:t>han</w:t>
            </w:r>
            <w:r>
              <w:rPr>
                <w:color w:val="231F20"/>
                <w:spacing w:val="-23"/>
                <w:sz w:val="16"/>
              </w:rPr>
              <w:t> </w:t>
            </w:r>
            <w:r>
              <w:rPr>
                <w:color w:val="231F20"/>
                <w:sz w:val="16"/>
              </w:rPr>
              <w:t>experimentado,</w:t>
            </w:r>
            <w:r>
              <w:rPr>
                <w:color w:val="231F20"/>
                <w:spacing w:val="-24"/>
                <w:sz w:val="16"/>
              </w:rPr>
              <w:t> </w:t>
            </w:r>
            <w:r>
              <w:rPr>
                <w:color w:val="231F20"/>
                <w:sz w:val="16"/>
              </w:rPr>
              <w:t>c)</w:t>
            </w:r>
            <w:r>
              <w:rPr>
                <w:color w:val="231F20"/>
                <w:spacing w:val="-24"/>
                <w:sz w:val="16"/>
              </w:rPr>
              <w:t> </w:t>
            </w:r>
            <w:r>
              <w:rPr>
                <w:color w:val="231F20"/>
                <w:sz w:val="16"/>
              </w:rPr>
              <w:t>cómo</w:t>
            </w:r>
            <w:r>
              <w:rPr>
                <w:color w:val="231F20"/>
                <w:spacing w:val="-23"/>
                <w:sz w:val="16"/>
              </w:rPr>
              <w:t> </w:t>
            </w:r>
            <w:r>
              <w:rPr>
                <w:color w:val="231F20"/>
                <w:sz w:val="16"/>
              </w:rPr>
              <w:t>perciben</w:t>
            </w:r>
            <w:r>
              <w:rPr>
                <w:color w:val="231F20"/>
                <w:spacing w:val="-23"/>
                <w:sz w:val="16"/>
              </w:rPr>
              <w:t> </w:t>
            </w:r>
            <w:r>
              <w:rPr>
                <w:color w:val="231F20"/>
                <w:sz w:val="16"/>
              </w:rPr>
              <w:t>la</w:t>
            </w:r>
            <w:r>
              <w:rPr>
                <w:color w:val="231F20"/>
                <w:spacing w:val="-24"/>
                <w:sz w:val="16"/>
              </w:rPr>
              <w:t> </w:t>
            </w:r>
            <w:r>
              <w:rPr>
                <w:color w:val="231F20"/>
                <w:sz w:val="16"/>
              </w:rPr>
              <w:t>violencia,</w:t>
            </w:r>
          </w:p>
          <w:p>
            <w:pPr>
              <w:pStyle w:val="TableParagraph"/>
              <w:spacing w:line="235" w:lineRule="auto" w:before="2"/>
              <w:ind w:left="105" w:right="97"/>
              <w:jc w:val="both"/>
              <w:rPr>
                <w:sz w:val="16"/>
              </w:rPr>
            </w:pPr>
            <w:r>
              <w:rPr>
                <w:color w:val="231F20"/>
                <w:sz w:val="16"/>
              </w:rPr>
              <w:t>d)</w:t>
            </w:r>
            <w:r>
              <w:rPr>
                <w:color w:val="231F20"/>
                <w:spacing w:val="-16"/>
                <w:sz w:val="16"/>
              </w:rPr>
              <w:t> </w:t>
            </w:r>
            <w:r>
              <w:rPr>
                <w:color w:val="231F20"/>
                <w:sz w:val="16"/>
              </w:rPr>
              <w:t>qué</w:t>
            </w:r>
            <w:r>
              <w:rPr>
                <w:color w:val="231F20"/>
                <w:spacing w:val="-15"/>
                <w:sz w:val="16"/>
              </w:rPr>
              <w:t> </w:t>
            </w:r>
            <w:r>
              <w:rPr>
                <w:color w:val="231F20"/>
                <w:sz w:val="16"/>
              </w:rPr>
              <w:t>críticas</w:t>
            </w:r>
            <w:r>
              <w:rPr>
                <w:color w:val="231F20"/>
                <w:spacing w:val="-15"/>
                <w:sz w:val="16"/>
              </w:rPr>
              <w:t> </w:t>
            </w:r>
            <w:r>
              <w:rPr>
                <w:color w:val="231F20"/>
                <w:sz w:val="16"/>
              </w:rPr>
              <w:t>relacionadas</w:t>
            </w:r>
            <w:r>
              <w:rPr>
                <w:color w:val="231F20"/>
                <w:spacing w:val="-15"/>
                <w:sz w:val="16"/>
              </w:rPr>
              <w:t> </w:t>
            </w:r>
            <w:r>
              <w:rPr>
                <w:color w:val="231F20"/>
                <w:sz w:val="16"/>
              </w:rPr>
              <w:t>con</w:t>
            </w:r>
            <w:r>
              <w:rPr>
                <w:color w:val="231F20"/>
                <w:spacing w:val="-15"/>
                <w:sz w:val="16"/>
              </w:rPr>
              <w:t> </w:t>
            </w:r>
            <w:r>
              <w:rPr>
                <w:color w:val="231F20"/>
                <w:sz w:val="16"/>
              </w:rPr>
              <w:t>el</w:t>
            </w:r>
            <w:r>
              <w:rPr>
                <w:color w:val="231F20"/>
                <w:spacing w:val="-16"/>
                <w:sz w:val="16"/>
              </w:rPr>
              <w:t> </w:t>
            </w:r>
            <w:r>
              <w:rPr>
                <w:color w:val="231F20"/>
                <w:sz w:val="16"/>
              </w:rPr>
              <w:t>tema</w:t>
            </w:r>
            <w:r>
              <w:rPr>
                <w:color w:val="231F20"/>
                <w:spacing w:val="-15"/>
                <w:sz w:val="16"/>
              </w:rPr>
              <w:t> </w:t>
            </w:r>
            <w:r>
              <w:rPr>
                <w:color w:val="231F20"/>
                <w:sz w:val="16"/>
              </w:rPr>
              <w:t>de</w:t>
            </w:r>
            <w:r>
              <w:rPr>
                <w:color w:val="231F20"/>
                <w:spacing w:val="-15"/>
                <w:sz w:val="16"/>
              </w:rPr>
              <w:t> </w:t>
            </w:r>
            <w:r>
              <w:rPr>
                <w:color w:val="231F20"/>
                <w:sz w:val="16"/>
              </w:rPr>
              <w:t>la</w:t>
            </w:r>
            <w:r>
              <w:rPr>
                <w:color w:val="231F20"/>
                <w:spacing w:val="-15"/>
                <w:sz w:val="16"/>
              </w:rPr>
              <w:t> </w:t>
            </w:r>
            <w:r>
              <w:rPr>
                <w:color w:val="231F20"/>
                <w:sz w:val="16"/>
              </w:rPr>
              <w:t>violencia</w:t>
            </w:r>
            <w:r>
              <w:rPr>
                <w:color w:val="231F20"/>
                <w:spacing w:val="-15"/>
                <w:sz w:val="16"/>
              </w:rPr>
              <w:t> </w:t>
            </w:r>
            <w:r>
              <w:rPr>
                <w:color w:val="231F20"/>
                <w:sz w:val="16"/>
              </w:rPr>
              <w:t>expondrían,</w:t>
            </w:r>
            <w:r>
              <w:rPr>
                <w:color w:val="231F20"/>
                <w:spacing w:val="-16"/>
                <w:sz w:val="16"/>
              </w:rPr>
              <w:t> </w:t>
            </w:r>
            <w:r>
              <w:rPr>
                <w:color w:val="231F20"/>
                <w:sz w:val="16"/>
              </w:rPr>
              <w:t>e)</w:t>
            </w:r>
            <w:r>
              <w:rPr>
                <w:color w:val="231F20"/>
                <w:spacing w:val="-16"/>
                <w:sz w:val="16"/>
              </w:rPr>
              <w:t> </w:t>
            </w:r>
            <w:r>
              <w:rPr>
                <w:color w:val="231F20"/>
                <w:sz w:val="16"/>
              </w:rPr>
              <w:t>qué</w:t>
            </w:r>
            <w:r>
              <w:rPr>
                <w:color w:val="231F20"/>
                <w:spacing w:val="-15"/>
                <w:sz w:val="16"/>
              </w:rPr>
              <w:t> </w:t>
            </w:r>
            <w:r>
              <w:rPr>
                <w:color w:val="231F20"/>
                <w:sz w:val="16"/>
              </w:rPr>
              <w:t>propuestas</w:t>
            </w:r>
            <w:r>
              <w:rPr>
                <w:color w:val="231F20"/>
                <w:spacing w:val="-15"/>
                <w:sz w:val="16"/>
              </w:rPr>
              <w:t> </w:t>
            </w:r>
            <w:r>
              <w:rPr>
                <w:color w:val="231F20"/>
                <w:sz w:val="16"/>
              </w:rPr>
              <w:t>para</w:t>
            </w:r>
            <w:r>
              <w:rPr>
                <w:color w:val="231F20"/>
                <w:spacing w:val="-15"/>
                <w:sz w:val="16"/>
              </w:rPr>
              <w:t> </w:t>
            </w:r>
            <w:r>
              <w:rPr>
                <w:color w:val="231F20"/>
                <w:sz w:val="16"/>
              </w:rPr>
              <w:t>enfrentar el problema de la violencia desean proponer”. Los textos fueron escritos en el mes de marzo de 2011.</w:t>
            </w:r>
            <w:r>
              <w:rPr>
                <w:color w:val="231F20"/>
                <w:spacing w:val="-17"/>
                <w:sz w:val="16"/>
              </w:rPr>
              <w:t> </w:t>
            </w:r>
            <w:r>
              <w:rPr>
                <w:color w:val="231F20"/>
                <w:sz w:val="16"/>
              </w:rPr>
              <w:t>Los</w:t>
            </w:r>
            <w:r>
              <w:rPr>
                <w:color w:val="231F20"/>
                <w:spacing w:val="-16"/>
                <w:sz w:val="16"/>
              </w:rPr>
              <w:t> </w:t>
            </w:r>
            <w:r>
              <w:rPr>
                <w:color w:val="231F20"/>
                <w:sz w:val="16"/>
              </w:rPr>
              <w:t>alumnos</w:t>
            </w:r>
            <w:r>
              <w:rPr>
                <w:color w:val="231F20"/>
                <w:spacing w:val="-16"/>
                <w:sz w:val="16"/>
              </w:rPr>
              <w:t> </w:t>
            </w:r>
            <w:r>
              <w:rPr>
                <w:color w:val="231F20"/>
                <w:sz w:val="16"/>
              </w:rPr>
              <w:t>se</w:t>
            </w:r>
            <w:r>
              <w:rPr>
                <w:color w:val="231F20"/>
                <w:spacing w:val="-16"/>
                <w:sz w:val="16"/>
              </w:rPr>
              <w:t> </w:t>
            </w:r>
            <w:r>
              <w:rPr>
                <w:color w:val="231F20"/>
                <w:sz w:val="16"/>
              </w:rPr>
              <w:t>ubicaban</w:t>
            </w:r>
            <w:r>
              <w:rPr>
                <w:color w:val="231F20"/>
                <w:spacing w:val="-16"/>
                <w:sz w:val="16"/>
              </w:rPr>
              <w:t> </w:t>
            </w:r>
            <w:r>
              <w:rPr>
                <w:color w:val="231F20"/>
                <w:sz w:val="16"/>
              </w:rPr>
              <w:t>entre</w:t>
            </w:r>
            <w:r>
              <w:rPr>
                <w:color w:val="231F20"/>
                <w:spacing w:val="-16"/>
                <w:sz w:val="16"/>
              </w:rPr>
              <w:t> </w:t>
            </w:r>
            <w:r>
              <w:rPr>
                <w:color w:val="231F20"/>
                <w:sz w:val="16"/>
              </w:rPr>
              <w:t>el</w:t>
            </w:r>
            <w:r>
              <w:rPr>
                <w:color w:val="231F20"/>
                <w:spacing w:val="-16"/>
                <w:sz w:val="16"/>
              </w:rPr>
              <w:t> </w:t>
            </w:r>
            <w:r>
              <w:rPr>
                <w:color w:val="231F20"/>
                <w:sz w:val="16"/>
              </w:rPr>
              <w:t>segundo</w:t>
            </w:r>
            <w:r>
              <w:rPr>
                <w:color w:val="231F20"/>
                <w:spacing w:val="-16"/>
                <w:sz w:val="16"/>
              </w:rPr>
              <w:t> </w:t>
            </w:r>
            <w:r>
              <w:rPr>
                <w:color w:val="231F20"/>
                <w:sz w:val="16"/>
              </w:rPr>
              <w:t>y</w:t>
            </w:r>
            <w:r>
              <w:rPr>
                <w:color w:val="231F20"/>
                <w:spacing w:val="-16"/>
                <w:sz w:val="16"/>
              </w:rPr>
              <w:t> </w:t>
            </w:r>
            <w:r>
              <w:rPr>
                <w:color w:val="231F20"/>
                <w:sz w:val="16"/>
              </w:rPr>
              <w:t>el</w:t>
            </w:r>
            <w:r>
              <w:rPr>
                <w:color w:val="231F20"/>
                <w:spacing w:val="-16"/>
                <w:sz w:val="16"/>
              </w:rPr>
              <w:t> </w:t>
            </w:r>
            <w:r>
              <w:rPr>
                <w:color w:val="231F20"/>
                <w:sz w:val="16"/>
              </w:rPr>
              <w:t>cuarto</w:t>
            </w:r>
            <w:r>
              <w:rPr>
                <w:color w:val="231F20"/>
                <w:spacing w:val="-16"/>
                <w:sz w:val="16"/>
              </w:rPr>
              <w:t> </w:t>
            </w:r>
            <w:r>
              <w:rPr>
                <w:color w:val="231F20"/>
                <w:sz w:val="16"/>
              </w:rPr>
              <w:t>semestre</w:t>
            </w:r>
            <w:r>
              <w:rPr>
                <w:color w:val="231F20"/>
                <w:spacing w:val="-16"/>
                <w:sz w:val="16"/>
              </w:rPr>
              <w:t> </w:t>
            </w:r>
            <w:r>
              <w:rPr>
                <w:color w:val="231F20"/>
                <w:sz w:val="16"/>
              </w:rPr>
              <w:t>de</w:t>
            </w:r>
            <w:r>
              <w:rPr>
                <w:color w:val="231F20"/>
                <w:spacing w:val="-16"/>
                <w:sz w:val="16"/>
              </w:rPr>
              <w:t> </w:t>
            </w:r>
            <w:r>
              <w:rPr>
                <w:color w:val="231F20"/>
                <w:sz w:val="16"/>
              </w:rPr>
              <w:t>la</w:t>
            </w:r>
            <w:r>
              <w:rPr>
                <w:color w:val="231F20"/>
                <w:spacing w:val="-16"/>
                <w:sz w:val="16"/>
              </w:rPr>
              <w:t> </w:t>
            </w:r>
            <w:r>
              <w:rPr>
                <w:color w:val="231F20"/>
                <w:sz w:val="16"/>
              </w:rPr>
              <w:t>Licenciatura</w:t>
            </w:r>
            <w:r>
              <w:rPr>
                <w:color w:val="231F20"/>
                <w:spacing w:val="-16"/>
                <w:sz w:val="16"/>
              </w:rPr>
              <w:t> </w:t>
            </w:r>
            <w:r>
              <w:rPr>
                <w:color w:val="231F20"/>
                <w:sz w:val="16"/>
              </w:rPr>
              <w:t>en</w:t>
            </w:r>
            <w:r>
              <w:rPr>
                <w:color w:val="231F20"/>
                <w:spacing w:val="-16"/>
                <w:sz w:val="16"/>
              </w:rPr>
              <w:t> </w:t>
            </w:r>
            <w:r>
              <w:rPr>
                <w:color w:val="231F20"/>
                <w:sz w:val="16"/>
              </w:rPr>
              <w:t>Lenguas; el ejercicio se llevó a cabo en el curso de “Lectura y Redacción I”, impartido por la profesora </w:t>
            </w:r>
            <w:r>
              <w:rPr>
                <w:color w:val="231F20"/>
                <w:w w:val="95"/>
                <w:sz w:val="16"/>
              </w:rPr>
              <w:t>Celene García</w:t>
            </w:r>
            <w:r>
              <w:rPr>
                <w:color w:val="231F20"/>
                <w:spacing w:val="-22"/>
                <w:w w:val="95"/>
                <w:sz w:val="16"/>
              </w:rPr>
              <w:t> </w:t>
            </w:r>
            <w:r>
              <w:rPr>
                <w:color w:val="231F20"/>
                <w:w w:val="95"/>
                <w:sz w:val="16"/>
              </w:rPr>
              <w:t>Ávila.</w:t>
            </w:r>
          </w:p>
        </w:tc>
      </w:tr>
      <w:tr>
        <w:trPr>
          <w:trHeight w:val="470" w:hRule="exact"/>
        </w:trPr>
        <w:tc>
          <w:tcPr>
            <w:tcW w:w="778" w:type="dxa"/>
          </w:tcPr>
          <w:p>
            <w:pPr>
              <w:pStyle w:val="TableParagraph"/>
              <w:spacing w:before="27"/>
              <w:ind w:left="105"/>
              <w:rPr>
                <w:b/>
                <w:sz w:val="12"/>
              </w:rPr>
            </w:pPr>
            <w:r>
              <w:rPr>
                <w:b/>
                <w:color w:val="231F20"/>
                <w:w w:val="95"/>
                <w:sz w:val="12"/>
              </w:rPr>
              <w:t>Participante</w:t>
            </w:r>
          </w:p>
        </w:tc>
        <w:tc>
          <w:tcPr>
            <w:tcW w:w="1176" w:type="dxa"/>
          </w:tcPr>
          <w:p>
            <w:pPr>
              <w:pStyle w:val="TableParagraph"/>
              <w:spacing w:before="28"/>
              <w:ind w:right="58"/>
              <w:rPr>
                <w:b/>
                <w:sz w:val="15"/>
              </w:rPr>
            </w:pPr>
            <w:r>
              <w:rPr>
                <w:b/>
                <w:color w:val="231F20"/>
                <w:w w:val="90"/>
                <w:sz w:val="15"/>
              </w:rPr>
              <w:t>Violencia es</w:t>
            </w:r>
          </w:p>
        </w:tc>
        <w:tc>
          <w:tcPr>
            <w:tcW w:w="1037" w:type="dxa"/>
          </w:tcPr>
          <w:p>
            <w:pPr>
              <w:pStyle w:val="TableParagraph"/>
              <w:spacing w:before="28"/>
              <w:ind w:right="147"/>
              <w:rPr>
                <w:b/>
                <w:sz w:val="15"/>
              </w:rPr>
            </w:pPr>
            <w:r>
              <w:rPr>
                <w:b/>
                <w:color w:val="231F20"/>
                <w:w w:val="95"/>
                <w:sz w:val="15"/>
              </w:rPr>
              <w:t>Causas de la </w:t>
            </w:r>
            <w:r>
              <w:rPr>
                <w:b/>
                <w:color w:val="231F20"/>
                <w:sz w:val="15"/>
              </w:rPr>
              <w:t>violencia</w:t>
            </w:r>
          </w:p>
        </w:tc>
        <w:tc>
          <w:tcPr>
            <w:tcW w:w="1080" w:type="dxa"/>
          </w:tcPr>
          <w:p>
            <w:pPr>
              <w:pStyle w:val="TableParagraph"/>
              <w:spacing w:before="28"/>
              <w:ind w:right="376"/>
              <w:rPr>
                <w:b/>
                <w:sz w:val="15"/>
              </w:rPr>
            </w:pPr>
            <w:r>
              <w:rPr>
                <w:b/>
                <w:color w:val="231F20"/>
                <w:w w:val="90"/>
                <w:sz w:val="15"/>
              </w:rPr>
              <w:t>Tema que </w:t>
            </w:r>
            <w:r>
              <w:rPr>
                <w:b/>
                <w:color w:val="231F20"/>
                <w:w w:val="85"/>
                <w:sz w:val="15"/>
              </w:rPr>
              <w:t>desarrolla</w:t>
            </w:r>
          </w:p>
        </w:tc>
        <w:tc>
          <w:tcPr>
            <w:tcW w:w="1210" w:type="dxa"/>
          </w:tcPr>
          <w:p>
            <w:pPr>
              <w:pStyle w:val="TableParagraph"/>
              <w:spacing w:line="292" w:lineRule="auto" w:before="28"/>
              <w:ind w:right="540"/>
              <w:rPr>
                <w:b/>
                <w:sz w:val="15"/>
              </w:rPr>
            </w:pPr>
            <w:r>
              <w:rPr>
                <w:b/>
                <w:color w:val="231F20"/>
                <w:sz w:val="15"/>
              </w:rPr>
              <w:t>Críticas </w:t>
            </w:r>
            <w:r>
              <w:rPr>
                <w:b/>
                <w:color w:val="231F20"/>
                <w:w w:val="90"/>
                <w:sz w:val="15"/>
              </w:rPr>
              <w:t>explícitas</w:t>
            </w:r>
          </w:p>
        </w:tc>
        <w:tc>
          <w:tcPr>
            <w:tcW w:w="1133" w:type="dxa"/>
          </w:tcPr>
          <w:p>
            <w:pPr>
              <w:pStyle w:val="TableParagraph"/>
              <w:spacing w:before="28"/>
              <w:ind w:right="66"/>
              <w:rPr>
                <w:b/>
                <w:sz w:val="15"/>
              </w:rPr>
            </w:pPr>
            <w:r>
              <w:rPr>
                <w:b/>
                <w:color w:val="231F20"/>
                <w:w w:val="90"/>
                <w:sz w:val="15"/>
              </w:rPr>
              <w:t>Propuesta de </w:t>
            </w:r>
            <w:r>
              <w:rPr>
                <w:b/>
                <w:color w:val="231F20"/>
                <w:sz w:val="15"/>
              </w:rPr>
              <w:t>solución</w:t>
            </w:r>
          </w:p>
        </w:tc>
      </w:tr>
      <w:tr>
        <w:trPr>
          <w:trHeight w:val="3461" w:hRule="exact"/>
        </w:trPr>
        <w:tc>
          <w:tcPr>
            <w:tcW w:w="778" w:type="dxa"/>
          </w:tcPr>
          <w:p>
            <w:pPr>
              <w:pStyle w:val="TableParagraph"/>
              <w:spacing w:before="28"/>
              <w:ind w:left="105"/>
              <w:rPr>
                <w:sz w:val="15"/>
              </w:rPr>
            </w:pPr>
            <w:r>
              <w:rPr>
                <w:color w:val="231F20"/>
                <w:w w:val="90"/>
                <w:sz w:val="15"/>
              </w:rPr>
              <w:t>1. Ana</w:t>
            </w:r>
          </w:p>
        </w:tc>
        <w:tc>
          <w:tcPr>
            <w:tcW w:w="1176" w:type="dxa"/>
          </w:tcPr>
          <w:p>
            <w:pPr>
              <w:pStyle w:val="TableParagraph"/>
              <w:spacing w:line="235" w:lineRule="auto" w:before="30"/>
              <w:ind w:right="58"/>
              <w:rPr>
                <w:sz w:val="15"/>
              </w:rPr>
            </w:pPr>
            <w:r>
              <w:rPr>
                <w:color w:val="231F20"/>
                <w:w w:val="95"/>
                <w:sz w:val="15"/>
              </w:rPr>
              <w:t>Un producto y una forma de protesta ante la </w:t>
            </w:r>
            <w:r>
              <w:rPr>
                <w:color w:val="231F20"/>
                <w:w w:val="90"/>
                <w:sz w:val="15"/>
              </w:rPr>
              <w:t>falta de oportuni- </w:t>
            </w:r>
            <w:r>
              <w:rPr>
                <w:color w:val="231F20"/>
                <w:w w:val="95"/>
                <w:sz w:val="15"/>
              </w:rPr>
              <w:t>dades tanto en la educación como en el ámbito </w:t>
            </w:r>
            <w:r>
              <w:rPr>
                <w:color w:val="231F20"/>
                <w:w w:val="90"/>
                <w:sz w:val="15"/>
              </w:rPr>
              <w:t>laboral de nuestro </w:t>
            </w:r>
            <w:r>
              <w:rPr>
                <w:color w:val="231F20"/>
                <w:w w:val="95"/>
                <w:sz w:val="15"/>
              </w:rPr>
              <w:t>país.</w:t>
            </w:r>
          </w:p>
        </w:tc>
        <w:tc>
          <w:tcPr>
            <w:tcW w:w="1037" w:type="dxa"/>
          </w:tcPr>
          <w:p>
            <w:pPr>
              <w:pStyle w:val="TableParagraph"/>
              <w:spacing w:line="235" w:lineRule="auto" w:before="30"/>
              <w:ind w:right="97"/>
              <w:rPr>
                <w:sz w:val="15"/>
              </w:rPr>
            </w:pPr>
            <w:r>
              <w:rPr>
                <w:color w:val="231F20"/>
                <w:w w:val="95"/>
                <w:sz w:val="15"/>
              </w:rPr>
              <w:t>Las personas </w:t>
            </w:r>
            <w:r>
              <w:rPr>
                <w:color w:val="231F20"/>
                <w:w w:val="85"/>
                <w:sz w:val="15"/>
              </w:rPr>
              <w:t>involucradas en </w:t>
            </w:r>
            <w:r>
              <w:rPr>
                <w:color w:val="231F20"/>
                <w:w w:val="90"/>
                <w:sz w:val="15"/>
              </w:rPr>
              <w:t>actos violentos </w:t>
            </w:r>
            <w:r>
              <w:rPr>
                <w:color w:val="231F20"/>
                <w:w w:val="95"/>
                <w:sz w:val="15"/>
              </w:rPr>
              <w:t>también han sufrido, en </w:t>
            </w:r>
            <w:r>
              <w:rPr>
                <w:color w:val="231F20"/>
                <w:w w:val="90"/>
                <w:sz w:val="15"/>
              </w:rPr>
              <w:t>algún momen- </w:t>
            </w:r>
            <w:r>
              <w:rPr>
                <w:color w:val="231F20"/>
                <w:w w:val="95"/>
                <w:sz w:val="15"/>
              </w:rPr>
              <w:t>to de su vida, </w:t>
            </w:r>
            <w:r>
              <w:rPr>
                <w:color w:val="231F20"/>
                <w:w w:val="90"/>
                <w:sz w:val="15"/>
              </w:rPr>
              <w:t>algo violento o tuvieron algún </w:t>
            </w:r>
            <w:r>
              <w:rPr>
                <w:color w:val="231F20"/>
                <w:w w:val="95"/>
                <w:sz w:val="15"/>
              </w:rPr>
              <w:t>déficit de cariño</w:t>
            </w:r>
            <w:r>
              <w:rPr>
                <w:color w:val="231F20"/>
                <w:spacing w:val="-18"/>
                <w:w w:val="95"/>
                <w:sz w:val="15"/>
              </w:rPr>
              <w:t> </w:t>
            </w:r>
            <w:r>
              <w:rPr>
                <w:color w:val="231F20"/>
                <w:w w:val="95"/>
                <w:sz w:val="15"/>
              </w:rPr>
              <w:t>y</w:t>
            </w:r>
            <w:r>
              <w:rPr>
                <w:color w:val="231F20"/>
                <w:spacing w:val="-18"/>
                <w:w w:val="95"/>
                <w:sz w:val="15"/>
              </w:rPr>
              <w:t> </w:t>
            </w:r>
            <w:r>
              <w:rPr>
                <w:color w:val="231F20"/>
                <w:w w:val="95"/>
                <w:sz w:val="15"/>
              </w:rPr>
              <w:t>es</w:t>
            </w:r>
            <w:r>
              <w:rPr>
                <w:color w:val="231F20"/>
                <w:spacing w:val="-18"/>
                <w:w w:val="95"/>
                <w:sz w:val="15"/>
              </w:rPr>
              <w:t> </w:t>
            </w:r>
            <w:r>
              <w:rPr>
                <w:color w:val="231F20"/>
                <w:w w:val="95"/>
                <w:sz w:val="15"/>
              </w:rPr>
              <w:t>por esto que se genera más violencia ya </w:t>
            </w:r>
            <w:r>
              <w:rPr>
                <w:color w:val="231F20"/>
                <w:w w:val="90"/>
                <w:sz w:val="15"/>
              </w:rPr>
              <w:t>que no</w:t>
            </w:r>
            <w:r>
              <w:rPr>
                <w:color w:val="231F20"/>
                <w:spacing w:val="-21"/>
                <w:w w:val="90"/>
                <w:sz w:val="15"/>
              </w:rPr>
              <w:t> </w:t>
            </w:r>
            <w:r>
              <w:rPr>
                <w:color w:val="231F20"/>
                <w:w w:val="90"/>
                <w:sz w:val="15"/>
              </w:rPr>
              <w:t>siempre </w:t>
            </w:r>
            <w:r>
              <w:rPr>
                <w:color w:val="231F20"/>
                <w:w w:val="95"/>
                <w:sz w:val="15"/>
              </w:rPr>
              <w:t>se sabe cómo superar la frustración o trauma que </w:t>
            </w:r>
            <w:r>
              <w:rPr>
                <w:color w:val="231F20"/>
                <w:w w:val="85"/>
                <w:sz w:val="15"/>
              </w:rPr>
              <w:t>esto</w:t>
            </w:r>
            <w:r>
              <w:rPr>
                <w:color w:val="231F20"/>
                <w:spacing w:val="1"/>
                <w:w w:val="85"/>
                <w:sz w:val="15"/>
              </w:rPr>
              <w:t> </w:t>
            </w:r>
            <w:r>
              <w:rPr>
                <w:color w:val="231F20"/>
                <w:w w:val="85"/>
                <w:sz w:val="15"/>
              </w:rPr>
              <w:t>causa.</w:t>
            </w:r>
          </w:p>
        </w:tc>
        <w:tc>
          <w:tcPr>
            <w:tcW w:w="1080" w:type="dxa"/>
          </w:tcPr>
          <w:p>
            <w:pPr>
              <w:pStyle w:val="TableParagraph"/>
              <w:spacing w:line="235" w:lineRule="auto" w:before="30"/>
              <w:ind w:right="108"/>
              <w:rPr>
                <w:i/>
                <w:sz w:val="15"/>
              </w:rPr>
            </w:pPr>
            <w:r>
              <w:rPr>
                <w:color w:val="231F20"/>
                <w:w w:val="85"/>
                <w:sz w:val="15"/>
              </w:rPr>
              <w:t>La violencia</w:t>
            </w:r>
            <w:r>
              <w:rPr>
                <w:color w:val="231F20"/>
                <w:spacing w:val="-9"/>
                <w:w w:val="85"/>
                <w:sz w:val="15"/>
              </w:rPr>
              <w:t> </w:t>
            </w:r>
            <w:r>
              <w:rPr>
                <w:color w:val="231F20"/>
                <w:w w:val="85"/>
                <w:sz w:val="15"/>
              </w:rPr>
              <w:t>está presente en todos lados; </w:t>
            </w:r>
            <w:r>
              <w:rPr>
                <w:i/>
                <w:color w:val="231F20"/>
                <w:w w:val="85"/>
                <w:sz w:val="15"/>
              </w:rPr>
              <w:t>es </w:t>
            </w:r>
            <w:r>
              <w:rPr>
                <w:i/>
                <w:color w:val="231F20"/>
                <w:w w:val="85"/>
                <w:sz w:val="15"/>
              </w:rPr>
              <w:t>un texto panorá- mico que vierte opiniones </w:t>
            </w:r>
            <w:r>
              <w:rPr>
                <w:i/>
                <w:color w:val="231F20"/>
                <w:w w:val="70"/>
                <w:sz w:val="15"/>
              </w:rPr>
              <w:t>personales sobre la </w:t>
            </w:r>
            <w:r>
              <w:rPr>
                <w:i/>
                <w:color w:val="231F20"/>
                <w:w w:val="85"/>
                <w:sz w:val="15"/>
              </w:rPr>
              <w:t>violencia en México.</w:t>
            </w:r>
          </w:p>
        </w:tc>
        <w:tc>
          <w:tcPr>
            <w:tcW w:w="1210" w:type="dxa"/>
          </w:tcPr>
          <w:p>
            <w:pPr>
              <w:pStyle w:val="TableParagraph"/>
              <w:spacing w:line="235" w:lineRule="auto" w:before="30"/>
              <w:ind w:right="79"/>
              <w:rPr>
                <w:sz w:val="15"/>
              </w:rPr>
            </w:pPr>
            <w:r>
              <w:rPr>
                <w:color w:val="231F20"/>
                <w:w w:val="90"/>
                <w:sz w:val="15"/>
              </w:rPr>
              <w:t>La violencia se ve </w:t>
            </w:r>
            <w:r>
              <w:rPr>
                <w:color w:val="231F20"/>
                <w:w w:val="95"/>
                <w:sz w:val="15"/>
              </w:rPr>
              <w:t>como un fenó- </w:t>
            </w:r>
            <w:r>
              <w:rPr>
                <w:color w:val="231F20"/>
                <w:w w:val="90"/>
                <w:sz w:val="15"/>
              </w:rPr>
              <w:t>meno muy común </w:t>
            </w:r>
            <w:r>
              <w:rPr>
                <w:color w:val="231F20"/>
                <w:w w:val="95"/>
                <w:sz w:val="15"/>
              </w:rPr>
              <w:t>en la actualidad y no debería </w:t>
            </w:r>
            <w:r>
              <w:rPr>
                <w:color w:val="231F20"/>
                <w:w w:val="90"/>
                <w:sz w:val="15"/>
              </w:rPr>
              <w:t>tomarse con tanta </w:t>
            </w:r>
            <w:r>
              <w:rPr>
                <w:color w:val="231F20"/>
                <w:w w:val="95"/>
                <w:sz w:val="15"/>
              </w:rPr>
              <w:t>normalidad porque es algo serio que afecta a todos.</w:t>
            </w:r>
          </w:p>
        </w:tc>
        <w:tc>
          <w:tcPr>
            <w:tcW w:w="1133" w:type="dxa"/>
          </w:tcPr>
          <w:p>
            <w:pPr>
              <w:pStyle w:val="TableParagraph"/>
              <w:spacing w:line="235" w:lineRule="auto" w:before="30"/>
              <w:ind w:right="66"/>
              <w:rPr>
                <w:sz w:val="15"/>
              </w:rPr>
            </w:pPr>
            <w:r>
              <w:rPr>
                <w:color w:val="231F20"/>
                <w:w w:val="95"/>
                <w:sz w:val="15"/>
              </w:rPr>
              <w:t>Propone la </w:t>
            </w:r>
            <w:r>
              <w:rPr>
                <w:color w:val="231F20"/>
                <w:w w:val="90"/>
                <w:sz w:val="15"/>
              </w:rPr>
              <w:t>comunicación entre las perso- </w:t>
            </w:r>
            <w:r>
              <w:rPr>
                <w:color w:val="231F20"/>
                <w:w w:val="95"/>
                <w:sz w:val="15"/>
              </w:rPr>
              <w:t>nas que nos rodean para conocernos mejor y […] </w:t>
            </w:r>
            <w:r>
              <w:rPr>
                <w:color w:val="231F20"/>
                <w:w w:val="85"/>
                <w:sz w:val="15"/>
              </w:rPr>
              <w:t>ayudarnos […]</w:t>
            </w:r>
          </w:p>
        </w:tc>
      </w:tr>
      <w:tr>
        <w:trPr>
          <w:trHeight w:val="1868" w:hRule="exact"/>
        </w:trPr>
        <w:tc>
          <w:tcPr>
            <w:tcW w:w="778" w:type="dxa"/>
            <w:tcBorders>
              <w:bottom w:val="nil"/>
            </w:tcBorders>
          </w:tcPr>
          <w:p>
            <w:pPr>
              <w:pStyle w:val="TableParagraph"/>
              <w:spacing w:before="32"/>
              <w:ind w:left="105"/>
              <w:rPr>
                <w:sz w:val="15"/>
              </w:rPr>
            </w:pPr>
            <w:r>
              <w:rPr>
                <w:color w:val="231F20"/>
                <w:w w:val="90"/>
                <w:sz w:val="15"/>
              </w:rPr>
              <w:t>2.</w:t>
            </w:r>
          </w:p>
          <w:p>
            <w:pPr>
              <w:pStyle w:val="TableParagraph"/>
              <w:spacing w:before="34"/>
              <w:ind w:left="105"/>
              <w:rPr>
                <w:sz w:val="15"/>
              </w:rPr>
            </w:pPr>
            <w:r>
              <w:rPr>
                <w:color w:val="231F20"/>
                <w:w w:val="95"/>
                <w:sz w:val="15"/>
              </w:rPr>
              <w:t>Andrea</w:t>
            </w:r>
          </w:p>
        </w:tc>
        <w:tc>
          <w:tcPr>
            <w:tcW w:w="1176" w:type="dxa"/>
            <w:tcBorders>
              <w:bottom w:val="nil"/>
            </w:tcBorders>
          </w:tcPr>
          <w:p>
            <w:pPr>
              <w:pStyle w:val="TableParagraph"/>
              <w:spacing w:line="235" w:lineRule="auto"/>
              <w:ind w:right="41"/>
              <w:rPr>
                <w:sz w:val="15"/>
              </w:rPr>
            </w:pPr>
            <w:r>
              <w:rPr>
                <w:color w:val="231F20"/>
                <w:w w:val="90"/>
                <w:sz w:val="15"/>
              </w:rPr>
              <w:t>Violencia es toda </w:t>
            </w:r>
            <w:r>
              <w:rPr>
                <w:color w:val="231F20"/>
                <w:w w:val="85"/>
                <w:sz w:val="15"/>
              </w:rPr>
              <w:t>aquella acción que </w:t>
            </w:r>
            <w:r>
              <w:rPr>
                <w:color w:val="231F20"/>
                <w:w w:val="95"/>
                <w:sz w:val="15"/>
              </w:rPr>
              <w:t>daña el físico o la moral de una persona. Casi siempre que escuchamos la </w:t>
            </w:r>
            <w:r>
              <w:rPr>
                <w:color w:val="231F20"/>
                <w:w w:val="90"/>
                <w:sz w:val="15"/>
              </w:rPr>
              <w:t>palabra violencia automáticamente </w:t>
            </w:r>
            <w:r>
              <w:rPr>
                <w:color w:val="231F20"/>
                <w:w w:val="95"/>
                <w:sz w:val="15"/>
              </w:rPr>
              <w:t>pensamos en </w:t>
            </w:r>
            <w:r>
              <w:rPr>
                <w:color w:val="231F20"/>
                <w:w w:val="85"/>
                <w:sz w:val="15"/>
              </w:rPr>
              <w:t>golpes. Los</w:t>
            </w:r>
          </w:p>
        </w:tc>
        <w:tc>
          <w:tcPr>
            <w:tcW w:w="1037" w:type="dxa"/>
            <w:vMerge w:val="restart"/>
          </w:tcPr>
          <w:p>
            <w:pPr/>
          </w:p>
        </w:tc>
        <w:tc>
          <w:tcPr>
            <w:tcW w:w="1080" w:type="dxa"/>
            <w:tcBorders>
              <w:bottom w:val="nil"/>
            </w:tcBorders>
          </w:tcPr>
          <w:p>
            <w:pPr>
              <w:pStyle w:val="TableParagraph"/>
              <w:spacing w:line="235" w:lineRule="auto" w:before="35"/>
              <w:ind w:right="30"/>
              <w:rPr>
                <w:i/>
                <w:sz w:val="15"/>
              </w:rPr>
            </w:pPr>
            <w:r>
              <w:rPr>
                <w:i/>
                <w:color w:val="231F20"/>
                <w:w w:val="75"/>
                <w:sz w:val="15"/>
              </w:rPr>
              <w:t>Texto muy escueto. </w:t>
            </w:r>
            <w:r>
              <w:rPr>
                <w:i/>
                <w:color w:val="231F20"/>
                <w:w w:val="80"/>
                <w:sz w:val="15"/>
              </w:rPr>
              <w:t>Subraya la importancia de hablar sobre la violencia, ahora que en México se divulga que han aumentado los asesinatos y los secuestros.</w:t>
            </w:r>
          </w:p>
        </w:tc>
        <w:tc>
          <w:tcPr>
            <w:tcW w:w="1210" w:type="dxa"/>
            <w:vMerge w:val="restart"/>
          </w:tcPr>
          <w:p>
            <w:pPr/>
          </w:p>
        </w:tc>
        <w:tc>
          <w:tcPr>
            <w:tcW w:w="1133" w:type="dxa"/>
            <w:vMerge w:val="restart"/>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golpes no son el</w:t>
            </w:r>
          </w:p>
        </w:tc>
        <w:tc>
          <w:tcPr>
            <w:tcW w:w="1037" w:type="dxa"/>
            <w:vMerge/>
          </w:tcPr>
          <w:p>
            <w:pPr/>
          </w:p>
        </w:tc>
        <w:tc>
          <w:tcPr>
            <w:tcW w:w="1080" w:type="dxa"/>
            <w:tcBorders>
              <w:top w:val="nil"/>
              <w:bottom w:val="nil"/>
            </w:tcBorders>
          </w:tcPr>
          <w:p>
            <w:pPr/>
          </w:p>
        </w:tc>
        <w:tc>
          <w:tcPr>
            <w:tcW w:w="1210" w:type="dxa"/>
            <w:vMerge/>
          </w:tcPr>
          <w:p>
            <w:pPr/>
          </w:p>
        </w:tc>
        <w:tc>
          <w:tcPr>
            <w:tcW w:w="1133" w:type="dxa"/>
            <w:vMerge/>
          </w:tcPr>
          <w:p>
            <w:pP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único tipo de</w:t>
            </w:r>
          </w:p>
        </w:tc>
        <w:tc>
          <w:tcPr>
            <w:tcW w:w="1037" w:type="dxa"/>
            <w:vMerge/>
          </w:tcPr>
          <w:p>
            <w:pPr/>
          </w:p>
        </w:tc>
        <w:tc>
          <w:tcPr>
            <w:tcW w:w="1080" w:type="dxa"/>
            <w:tcBorders>
              <w:top w:val="nil"/>
              <w:bottom w:val="nil"/>
            </w:tcBorders>
          </w:tcPr>
          <w:p>
            <w:pPr/>
          </w:p>
        </w:tc>
        <w:tc>
          <w:tcPr>
            <w:tcW w:w="1210" w:type="dxa"/>
            <w:vMerge/>
          </w:tcPr>
          <w:p>
            <w:pPr/>
          </w:p>
        </w:tc>
        <w:tc>
          <w:tcPr>
            <w:tcW w:w="1133" w:type="dxa"/>
            <w:vMerge/>
          </w:tcPr>
          <w:p>
            <w:pP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8" w:lineRule="exact"/>
              <w:ind w:right="58"/>
              <w:rPr>
                <w:sz w:val="15"/>
              </w:rPr>
            </w:pPr>
            <w:r>
              <w:rPr>
                <w:color w:val="231F20"/>
                <w:w w:val="85"/>
                <w:sz w:val="15"/>
              </w:rPr>
              <w:t>violencia, pode-</w:t>
            </w:r>
          </w:p>
        </w:tc>
        <w:tc>
          <w:tcPr>
            <w:tcW w:w="1037" w:type="dxa"/>
            <w:vMerge/>
          </w:tcPr>
          <w:p>
            <w:pP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5"/>
                <w:sz w:val="15"/>
              </w:rPr>
              <w:t>mos dañar a otro</w:t>
            </w:r>
          </w:p>
        </w:tc>
        <w:tc>
          <w:tcPr>
            <w:tcW w:w="1037" w:type="dxa"/>
            <w:vMerge/>
          </w:tcPr>
          <w:p>
            <w:pP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por medio de</w:t>
            </w:r>
          </w:p>
        </w:tc>
        <w:tc>
          <w:tcPr>
            <w:tcW w:w="1037" w:type="dxa"/>
            <w:vMerge/>
          </w:tcPr>
          <w:p>
            <w:pP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palabras y este es</w:t>
            </w:r>
          </w:p>
        </w:tc>
        <w:tc>
          <w:tcPr>
            <w:tcW w:w="1037" w:type="dxa"/>
            <w:vMerge/>
          </w:tcPr>
          <w:p>
            <w:pP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5"/>
                <w:sz w:val="15"/>
              </w:rPr>
              <w:t>un tipo de</w:t>
            </w:r>
          </w:p>
        </w:tc>
        <w:tc>
          <w:tcPr>
            <w:tcW w:w="1037" w:type="dxa"/>
            <w:vMerge/>
          </w:tcPr>
          <w:p>
            <w:pPr/>
          </w:p>
        </w:tc>
        <w:tc>
          <w:tcPr>
            <w:tcW w:w="1080" w:type="dxa"/>
            <w:tcBorders>
              <w:top w:val="nil"/>
              <w:bottom w:val="nil"/>
            </w:tcBorders>
          </w:tcPr>
          <w:p>
            <w:pPr/>
          </w:p>
        </w:tc>
        <w:tc>
          <w:tcPr>
            <w:tcW w:w="1210" w:type="dxa"/>
            <w:vMerge/>
          </w:tcPr>
          <w:p>
            <w:pPr/>
          </w:p>
        </w:tc>
        <w:tc>
          <w:tcPr>
            <w:tcW w:w="1133" w:type="dxa"/>
            <w:vMerge/>
          </w:tcPr>
          <w:p>
            <w:pPr/>
          </w:p>
        </w:tc>
      </w:tr>
      <w:tr>
        <w:trPr>
          <w:trHeight w:val="167" w:hRule="exact"/>
        </w:trPr>
        <w:tc>
          <w:tcPr>
            <w:tcW w:w="778" w:type="dxa"/>
            <w:tcBorders>
              <w:top w:val="nil"/>
            </w:tcBorders>
          </w:tcPr>
          <w:p>
            <w:pPr/>
          </w:p>
        </w:tc>
        <w:tc>
          <w:tcPr>
            <w:tcW w:w="1176" w:type="dxa"/>
            <w:tcBorders>
              <w:top w:val="nil"/>
            </w:tcBorders>
          </w:tcPr>
          <w:p>
            <w:pPr>
              <w:pStyle w:val="TableParagraph"/>
              <w:spacing w:line="156" w:lineRule="exact"/>
              <w:ind w:right="58"/>
              <w:rPr>
                <w:sz w:val="15"/>
              </w:rPr>
            </w:pPr>
            <w:r>
              <w:rPr>
                <w:color w:val="231F20"/>
                <w:w w:val="90"/>
                <w:sz w:val="15"/>
              </w:rPr>
              <w:t>violencia.</w:t>
            </w:r>
          </w:p>
        </w:tc>
        <w:tc>
          <w:tcPr>
            <w:tcW w:w="1037" w:type="dxa"/>
            <w:vMerge/>
          </w:tcPr>
          <w:p>
            <w:pPr/>
          </w:p>
        </w:tc>
        <w:tc>
          <w:tcPr>
            <w:tcW w:w="1080" w:type="dxa"/>
            <w:tcBorders>
              <w:top w:val="nil"/>
            </w:tcBorders>
          </w:tcPr>
          <w:p>
            <w:pPr/>
          </w:p>
        </w:tc>
        <w:tc>
          <w:tcPr>
            <w:tcW w:w="1210" w:type="dxa"/>
            <w:vMerge/>
          </w:tcPr>
          <w:p>
            <w:pPr/>
          </w:p>
        </w:tc>
        <w:tc>
          <w:tcPr>
            <w:tcW w:w="1133" w:type="dxa"/>
            <w:vMerge/>
          </w:tcPr>
          <w:p>
            <w:pPr/>
          </w:p>
        </w:tc>
      </w:tr>
      <w:tr>
        <w:trPr>
          <w:trHeight w:val="222" w:hRule="exact"/>
        </w:trPr>
        <w:tc>
          <w:tcPr>
            <w:tcW w:w="778" w:type="dxa"/>
            <w:tcBorders>
              <w:bottom w:val="nil"/>
            </w:tcBorders>
          </w:tcPr>
          <w:p>
            <w:pPr>
              <w:pStyle w:val="TableParagraph"/>
              <w:spacing w:before="32"/>
              <w:ind w:left="105"/>
              <w:rPr>
                <w:sz w:val="15"/>
              </w:rPr>
            </w:pPr>
            <w:r>
              <w:rPr>
                <w:color w:val="231F20"/>
                <w:w w:val="83"/>
                <w:sz w:val="15"/>
              </w:rPr>
              <w:t>3</w:t>
            </w:r>
          </w:p>
        </w:tc>
        <w:tc>
          <w:tcPr>
            <w:tcW w:w="1176" w:type="dxa"/>
            <w:tcBorders>
              <w:bottom w:val="nil"/>
            </w:tcBorders>
          </w:tcPr>
          <w:p>
            <w:pPr>
              <w:pStyle w:val="TableParagraph"/>
              <w:spacing w:before="32"/>
              <w:ind w:right="58"/>
              <w:rPr>
                <w:sz w:val="15"/>
              </w:rPr>
            </w:pPr>
            <w:r>
              <w:rPr>
                <w:color w:val="231F20"/>
                <w:w w:val="85"/>
                <w:sz w:val="15"/>
              </w:rPr>
              <w:t>La violencia es</w:t>
            </w:r>
          </w:p>
        </w:tc>
        <w:tc>
          <w:tcPr>
            <w:tcW w:w="1037" w:type="dxa"/>
            <w:vMerge w:val="restart"/>
          </w:tcPr>
          <w:p>
            <w:pPr/>
          </w:p>
        </w:tc>
        <w:tc>
          <w:tcPr>
            <w:tcW w:w="1080" w:type="dxa"/>
            <w:tcBorders>
              <w:bottom w:val="nil"/>
            </w:tcBorders>
          </w:tcPr>
          <w:p>
            <w:pPr>
              <w:pStyle w:val="TableParagraph"/>
              <w:spacing w:before="32"/>
              <w:ind w:right="376"/>
              <w:rPr>
                <w:i/>
                <w:sz w:val="15"/>
              </w:rPr>
            </w:pPr>
            <w:r>
              <w:rPr>
                <w:i/>
                <w:color w:val="231F20"/>
                <w:w w:val="70"/>
                <w:sz w:val="15"/>
              </w:rPr>
              <w:t>Se refiere al</w:t>
            </w:r>
          </w:p>
        </w:tc>
        <w:tc>
          <w:tcPr>
            <w:tcW w:w="1210" w:type="dxa"/>
            <w:tcBorders>
              <w:bottom w:val="nil"/>
            </w:tcBorders>
          </w:tcPr>
          <w:p>
            <w:pPr>
              <w:pStyle w:val="TableParagraph"/>
              <w:spacing w:before="32"/>
              <w:ind w:right="79"/>
              <w:rPr>
                <w:sz w:val="15"/>
              </w:rPr>
            </w:pPr>
            <w:r>
              <w:rPr>
                <w:color w:val="231F20"/>
                <w:w w:val="85"/>
                <w:sz w:val="15"/>
              </w:rPr>
              <w:t>Las mujeres</w:t>
            </w:r>
          </w:p>
        </w:tc>
        <w:tc>
          <w:tcPr>
            <w:tcW w:w="1133" w:type="dxa"/>
            <w:vMerge w:val="restart"/>
          </w:tcPr>
          <w:p>
            <w:pPr/>
          </w:p>
        </w:tc>
      </w:tr>
      <w:tr>
        <w:trPr>
          <w:trHeight w:val="336" w:hRule="exact"/>
        </w:trPr>
        <w:tc>
          <w:tcPr>
            <w:tcW w:w="778" w:type="dxa"/>
            <w:tcBorders>
              <w:top w:val="nil"/>
              <w:bottom w:val="nil"/>
            </w:tcBorders>
          </w:tcPr>
          <w:p>
            <w:pPr>
              <w:pStyle w:val="TableParagraph"/>
              <w:spacing w:before="22"/>
              <w:ind w:left="105"/>
              <w:rPr>
                <w:sz w:val="15"/>
              </w:rPr>
            </w:pPr>
            <w:r>
              <w:rPr>
                <w:color w:val="231F20"/>
                <w:w w:val="95"/>
                <w:sz w:val="15"/>
              </w:rPr>
              <w:t>Arantxa</w:t>
            </w:r>
          </w:p>
        </w:tc>
        <w:tc>
          <w:tcPr>
            <w:tcW w:w="1176" w:type="dxa"/>
            <w:tcBorders>
              <w:top w:val="nil"/>
              <w:bottom w:val="nil"/>
            </w:tcBorders>
          </w:tcPr>
          <w:p>
            <w:pPr>
              <w:pStyle w:val="TableParagraph"/>
              <w:spacing w:line="154" w:lineRule="exact"/>
              <w:ind w:right="58"/>
              <w:rPr>
                <w:sz w:val="15"/>
              </w:rPr>
            </w:pPr>
            <w:r>
              <w:rPr>
                <w:color w:val="231F20"/>
                <w:w w:val="85"/>
                <w:sz w:val="15"/>
              </w:rPr>
              <w:t>cualquier forma</w:t>
            </w:r>
          </w:p>
          <w:p>
            <w:pPr>
              <w:pStyle w:val="TableParagraph"/>
              <w:spacing w:line="170" w:lineRule="exact"/>
              <w:ind w:right="58"/>
              <w:rPr>
                <w:sz w:val="15"/>
              </w:rPr>
            </w:pPr>
            <w:r>
              <w:rPr>
                <w:color w:val="231F20"/>
                <w:w w:val="85"/>
                <w:sz w:val="15"/>
              </w:rPr>
              <w:t>de agresión física</w:t>
            </w:r>
          </w:p>
        </w:tc>
        <w:tc>
          <w:tcPr>
            <w:tcW w:w="1037" w:type="dxa"/>
            <w:vMerge/>
          </w:tcPr>
          <w:p>
            <w:pPr/>
          </w:p>
        </w:tc>
        <w:tc>
          <w:tcPr>
            <w:tcW w:w="1080" w:type="dxa"/>
            <w:tcBorders>
              <w:top w:val="nil"/>
              <w:bottom w:val="nil"/>
            </w:tcBorders>
          </w:tcPr>
          <w:p>
            <w:pPr>
              <w:pStyle w:val="TableParagraph"/>
              <w:spacing w:line="154" w:lineRule="exact"/>
              <w:ind w:right="30"/>
              <w:rPr>
                <w:i/>
                <w:sz w:val="15"/>
              </w:rPr>
            </w:pPr>
            <w:r>
              <w:rPr>
                <w:i/>
                <w:color w:val="231F20"/>
                <w:w w:val="70"/>
                <w:sz w:val="15"/>
              </w:rPr>
              <w:t>incremento de la</w:t>
            </w:r>
          </w:p>
          <w:p>
            <w:pPr>
              <w:pStyle w:val="TableParagraph"/>
              <w:spacing w:line="170" w:lineRule="exact"/>
              <w:ind w:right="30"/>
              <w:rPr>
                <w:i/>
                <w:sz w:val="15"/>
              </w:rPr>
            </w:pPr>
            <w:r>
              <w:rPr>
                <w:i/>
                <w:color w:val="231F20"/>
                <w:w w:val="70"/>
                <w:sz w:val="15"/>
              </w:rPr>
              <w:t>violencia en nuestro</w:t>
            </w:r>
          </w:p>
        </w:tc>
        <w:tc>
          <w:tcPr>
            <w:tcW w:w="1210" w:type="dxa"/>
            <w:tcBorders>
              <w:top w:val="nil"/>
              <w:bottom w:val="nil"/>
            </w:tcBorders>
          </w:tcPr>
          <w:p>
            <w:pPr>
              <w:pStyle w:val="TableParagraph"/>
              <w:spacing w:line="154" w:lineRule="exact"/>
              <w:ind w:right="79"/>
              <w:rPr>
                <w:sz w:val="15"/>
              </w:rPr>
            </w:pPr>
            <w:r>
              <w:rPr>
                <w:color w:val="231F20"/>
                <w:w w:val="85"/>
                <w:sz w:val="15"/>
              </w:rPr>
              <w:t>mexicanas tienen</w:t>
            </w:r>
          </w:p>
          <w:p>
            <w:pPr>
              <w:pStyle w:val="TableParagraph"/>
              <w:spacing w:line="170" w:lineRule="exact"/>
              <w:ind w:right="79"/>
              <w:rPr>
                <w:sz w:val="15"/>
              </w:rPr>
            </w:pPr>
            <w:r>
              <w:rPr>
                <w:color w:val="231F20"/>
                <w:w w:val="90"/>
                <w:sz w:val="15"/>
              </w:rPr>
              <w:t>que enfrentar no</w:t>
            </w:r>
          </w:p>
        </w:tc>
        <w:tc>
          <w:tcPr>
            <w:tcW w:w="1133" w:type="dxa"/>
            <w:vMerge/>
          </w:tcPr>
          <w:p>
            <w:pPr/>
          </w:p>
        </w:tc>
      </w:tr>
      <w:tr>
        <w:trPr>
          <w:trHeight w:val="210" w:hRule="exact"/>
        </w:trPr>
        <w:tc>
          <w:tcPr>
            <w:tcW w:w="778" w:type="dxa"/>
            <w:tcBorders>
              <w:top w:val="nil"/>
            </w:tcBorders>
          </w:tcPr>
          <w:p>
            <w:pPr/>
          </w:p>
        </w:tc>
        <w:tc>
          <w:tcPr>
            <w:tcW w:w="1176" w:type="dxa"/>
            <w:tcBorders>
              <w:top w:val="nil"/>
            </w:tcBorders>
          </w:tcPr>
          <w:p>
            <w:pPr>
              <w:pStyle w:val="TableParagraph"/>
              <w:spacing w:line="156" w:lineRule="exact"/>
              <w:ind w:right="58"/>
              <w:rPr>
                <w:sz w:val="15"/>
              </w:rPr>
            </w:pPr>
            <w:r>
              <w:rPr>
                <w:color w:val="231F20"/>
                <w:w w:val="85"/>
                <w:sz w:val="15"/>
              </w:rPr>
              <w:t>o psicológica.</w:t>
            </w:r>
          </w:p>
        </w:tc>
        <w:tc>
          <w:tcPr>
            <w:tcW w:w="1037" w:type="dxa"/>
            <w:vMerge/>
          </w:tcPr>
          <w:p>
            <w:pPr/>
          </w:p>
        </w:tc>
        <w:tc>
          <w:tcPr>
            <w:tcW w:w="1080" w:type="dxa"/>
            <w:tcBorders>
              <w:top w:val="nil"/>
            </w:tcBorders>
          </w:tcPr>
          <w:p>
            <w:pPr>
              <w:pStyle w:val="TableParagraph"/>
              <w:spacing w:line="156" w:lineRule="exact"/>
              <w:ind w:right="30"/>
              <w:rPr>
                <w:i/>
                <w:sz w:val="15"/>
              </w:rPr>
            </w:pPr>
            <w:r>
              <w:rPr>
                <w:i/>
                <w:color w:val="231F20"/>
                <w:w w:val="70"/>
                <w:sz w:val="15"/>
              </w:rPr>
              <w:t>país; lo califica de</w:t>
            </w:r>
          </w:p>
        </w:tc>
        <w:tc>
          <w:tcPr>
            <w:tcW w:w="1210" w:type="dxa"/>
            <w:tcBorders>
              <w:top w:val="nil"/>
            </w:tcBorders>
          </w:tcPr>
          <w:p>
            <w:pPr>
              <w:pStyle w:val="TableParagraph"/>
              <w:spacing w:line="156" w:lineRule="exact"/>
              <w:ind w:right="79"/>
              <w:rPr>
                <w:sz w:val="15"/>
              </w:rPr>
            </w:pPr>
            <w:r>
              <w:rPr>
                <w:color w:val="231F20"/>
                <w:w w:val="85"/>
                <w:sz w:val="15"/>
              </w:rPr>
              <w:t>solo la violencia</w:t>
            </w:r>
          </w:p>
        </w:tc>
        <w:tc>
          <w:tcPr>
            <w:tcW w:w="1133" w:type="dxa"/>
            <w:vMerge/>
          </w:tcPr>
          <w:p>
            <w:pPr/>
          </w:p>
        </w:tc>
      </w:tr>
    </w:tbl>
    <w:p>
      <w:pPr>
        <w:spacing w:after="0"/>
        <w:sectPr>
          <w:headerReference w:type="default" r:id="rId599"/>
          <w:footerReference w:type="default" r:id="rId600"/>
          <w:pgSz w:w="7830" w:h="11910"/>
          <w:pgMar w:header="0" w:footer="418" w:top="500" w:bottom="600" w:left="800" w:right="380"/>
          <w:pgNumType w:start="265"/>
        </w:sectPr>
      </w:pPr>
    </w:p>
    <w:p>
      <w:pPr>
        <w:spacing w:before="46"/>
        <w:ind w:left="71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179" w:hRule="exact"/>
        </w:trPr>
        <w:tc>
          <w:tcPr>
            <w:tcW w:w="778" w:type="dxa"/>
            <w:vMerge w:val="restart"/>
          </w:tcPr>
          <w:p>
            <w:pPr/>
          </w:p>
        </w:tc>
        <w:tc>
          <w:tcPr>
            <w:tcW w:w="1176" w:type="dxa"/>
            <w:vMerge w:val="restart"/>
          </w:tcPr>
          <w:p>
            <w:pPr/>
          </w:p>
        </w:tc>
        <w:tc>
          <w:tcPr>
            <w:tcW w:w="1037" w:type="dxa"/>
            <w:vMerge w:val="restart"/>
          </w:tcPr>
          <w:p>
            <w:pPr/>
          </w:p>
        </w:tc>
        <w:tc>
          <w:tcPr>
            <w:tcW w:w="1080" w:type="dxa"/>
            <w:tcBorders>
              <w:bottom w:val="nil"/>
            </w:tcBorders>
          </w:tcPr>
          <w:p>
            <w:pPr>
              <w:pStyle w:val="TableParagraph"/>
              <w:spacing w:line="162" w:lineRule="exact"/>
              <w:ind w:right="30"/>
              <w:rPr>
                <w:i/>
                <w:sz w:val="15"/>
              </w:rPr>
            </w:pPr>
            <w:r>
              <w:rPr>
                <w:i/>
                <w:color w:val="231F20"/>
                <w:w w:val="70"/>
                <w:sz w:val="15"/>
              </w:rPr>
              <w:t>espantoso; centra el</w:t>
            </w:r>
          </w:p>
        </w:tc>
        <w:tc>
          <w:tcPr>
            <w:tcW w:w="1210" w:type="dxa"/>
            <w:tcBorders>
              <w:bottom w:val="nil"/>
            </w:tcBorders>
          </w:tcPr>
          <w:p>
            <w:pPr>
              <w:pStyle w:val="TableParagraph"/>
              <w:spacing w:line="162" w:lineRule="exact"/>
              <w:ind w:right="79"/>
              <w:rPr>
                <w:sz w:val="15"/>
              </w:rPr>
            </w:pPr>
            <w:r>
              <w:rPr>
                <w:color w:val="231F20"/>
                <w:w w:val="85"/>
                <w:sz w:val="15"/>
              </w:rPr>
              <w:t>física sino también</w:t>
            </w:r>
          </w:p>
        </w:tc>
        <w:tc>
          <w:tcPr>
            <w:tcW w:w="1133" w:type="dxa"/>
            <w:vMerge w:val="restart"/>
          </w:tcPr>
          <w:p>
            <w:pPr/>
          </w:p>
        </w:tc>
      </w:tr>
      <w:tr>
        <w:trPr>
          <w:trHeight w:val="170"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Style w:val="TableParagraph"/>
              <w:spacing w:line="156" w:lineRule="exact"/>
              <w:ind w:right="30"/>
              <w:rPr>
                <w:i/>
                <w:sz w:val="15"/>
              </w:rPr>
            </w:pPr>
            <w:r>
              <w:rPr>
                <w:i/>
                <w:color w:val="231F20"/>
                <w:w w:val="70"/>
                <w:sz w:val="15"/>
              </w:rPr>
              <w:t>comentario en la</w:t>
            </w:r>
          </w:p>
        </w:tc>
        <w:tc>
          <w:tcPr>
            <w:tcW w:w="1210" w:type="dxa"/>
            <w:tcBorders>
              <w:top w:val="nil"/>
              <w:bottom w:val="nil"/>
            </w:tcBorders>
          </w:tcPr>
          <w:p>
            <w:pPr>
              <w:pStyle w:val="TableParagraph"/>
              <w:spacing w:line="156" w:lineRule="exact"/>
              <w:ind w:right="79"/>
              <w:rPr>
                <w:sz w:val="15"/>
              </w:rPr>
            </w:pPr>
            <w:r>
              <w:rPr>
                <w:color w:val="231F20"/>
                <w:w w:val="85"/>
                <w:sz w:val="15"/>
              </w:rPr>
              <w:t>la discriminación.</w:t>
            </w:r>
          </w:p>
        </w:tc>
        <w:tc>
          <w:tcPr>
            <w:tcW w:w="1133" w:type="dxa"/>
            <w:vMerge/>
          </w:tcPr>
          <w:p>
            <w:pPr/>
          </w:p>
        </w:tc>
      </w:tr>
      <w:tr>
        <w:trPr>
          <w:trHeight w:val="377"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Style w:val="TableParagraph"/>
              <w:spacing w:line="156" w:lineRule="exact"/>
              <w:ind w:right="30"/>
              <w:rPr>
                <w:i/>
                <w:sz w:val="15"/>
              </w:rPr>
            </w:pPr>
            <w:r>
              <w:rPr>
                <w:i/>
                <w:color w:val="231F20"/>
                <w:w w:val="70"/>
                <w:sz w:val="15"/>
              </w:rPr>
              <w:t>violencia en contra</w:t>
            </w:r>
          </w:p>
          <w:p>
            <w:pPr>
              <w:pStyle w:val="TableParagraph"/>
              <w:spacing w:line="170" w:lineRule="exact"/>
              <w:ind w:right="30"/>
              <w:rPr>
                <w:i/>
                <w:sz w:val="15"/>
              </w:rPr>
            </w:pPr>
            <w:r>
              <w:rPr>
                <w:i/>
                <w:color w:val="231F20"/>
                <w:w w:val="70"/>
                <w:sz w:val="15"/>
              </w:rPr>
              <w:t>de las mujeres.</w:t>
            </w:r>
          </w:p>
        </w:tc>
        <w:tc>
          <w:tcPr>
            <w:tcW w:w="1210" w:type="dxa"/>
            <w:tcBorders>
              <w:top w:val="nil"/>
              <w:bottom w:val="nil"/>
            </w:tcBorders>
          </w:tcPr>
          <w:p>
            <w:pPr>
              <w:pStyle w:val="TableParagraph"/>
              <w:spacing w:line="168" w:lineRule="exact" w:before="30"/>
              <w:ind w:right="79"/>
              <w:rPr>
                <w:sz w:val="15"/>
              </w:rPr>
            </w:pPr>
            <w:r>
              <w:rPr>
                <w:color w:val="231F20"/>
                <w:w w:val="85"/>
                <w:sz w:val="15"/>
              </w:rPr>
              <w:t>[…] la discrimina- </w:t>
            </w:r>
            <w:r>
              <w:rPr>
                <w:color w:val="231F20"/>
                <w:w w:val="95"/>
                <w:sz w:val="15"/>
              </w:rPr>
              <w:t>ción es el tipo de</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violencia que la</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mujer mexicana</w:t>
            </w:r>
          </w:p>
        </w:tc>
        <w:tc>
          <w:tcPr>
            <w:tcW w:w="1133" w:type="dxa"/>
            <w:vMerge/>
          </w:tcPr>
          <w:p>
            <w:pPr/>
          </w:p>
        </w:tc>
      </w:tr>
      <w:tr>
        <w:trPr>
          <w:trHeight w:val="170"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tiene que vivir</w:t>
            </w:r>
          </w:p>
        </w:tc>
        <w:tc>
          <w:tcPr>
            <w:tcW w:w="1133" w:type="dxa"/>
            <w:vMerge/>
          </w:tcPr>
          <w:p>
            <w:pPr/>
          </w:p>
        </w:tc>
      </w:tr>
      <w:tr>
        <w:trPr>
          <w:trHeight w:val="170"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sz w:val="15"/>
              </w:rPr>
              <w:t>constantemente.</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Aunque se hable</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51"/>
              <w:rPr>
                <w:sz w:val="15"/>
              </w:rPr>
            </w:pPr>
            <w:r>
              <w:rPr>
                <w:color w:val="231F20"/>
                <w:w w:val="90"/>
                <w:sz w:val="15"/>
              </w:rPr>
              <w:t>de que estamos en</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el siglo xxi, y que</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tenemos las</w:t>
            </w:r>
          </w:p>
        </w:tc>
        <w:tc>
          <w:tcPr>
            <w:tcW w:w="1133" w:type="dxa"/>
            <w:vMerge/>
          </w:tcPr>
          <w:p>
            <w:pPr/>
          </w:p>
        </w:tc>
      </w:tr>
      <w:tr>
        <w:trPr>
          <w:trHeight w:val="170"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mismas oportuni-</w:t>
            </w:r>
          </w:p>
        </w:tc>
        <w:tc>
          <w:tcPr>
            <w:tcW w:w="1133" w:type="dxa"/>
            <w:vMerge/>
          </w:tcPr>
          <w:p>
            <w:pPr/>
          </w:p>
        </w:tc>
      </w:tr>
      <w:tr>
        <w:trPr>
          <w:trHeight w:val="170"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90"/>
                <w:sz w:val="15"/>
              </w:rPr>
              <w:t>dades que tiene el</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hombre, sabemos</w:t>
            </w:r>
          </w:p>
        </w:tc>
        <w:tc>
          <w:tcPr>
            <w:tcW w:w="1133" w:type="dxa"/>
            <w:vMerge/>
          </w:tcPr>
          <w:p>
            <w:pPr/>
          </w:p>
        </w:tc>
      </w:tr>
      <w:tr>
        <w:trPr>
          <w:trHeight w:val="187"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que no es así.</w:t>
            </w:r>
          </w:p>
        </w:tc>
        <w:tc>
          <w:tcPr>
            <w:tcW w:w="1133" w:type="dxa"/>
            <w:vMerge/>
          </w:tcPr>
          <w:p>
            <w:pPr/>
          </w:p>
        </w:tc>
      </w:tr>
      <w:tr>
        <w:trPr>
          <w:trHeight w:val="190"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before="2"/>
              <w:ind w:right="79"/>
              <w:rPr>
                <w:sz w:val="15"/>
              </w:rPr>
            </w:pPr>
            <w:r>
              <w:rPr>
                <w:color w:val="231F20"/>
                <w:w w:val="85"/>
                <w:sz w:val="15"/>
              </w:rPr>
              <w:t>Ejemplifica con</w:t>
            </w:r>
          </w:p>
        </w:tc>
        <w:tc>
          <w:tcPr>
            <w:tcW w:w="1133" w:type="dxa"/>
            <w:vMerge/>
          </w:tcPr>
          <w:p>
            <w:pPr/>
          </w:p>
        </w:tc>
      </w:tr>
      <w:tr>
        <w:trPr>
          <w:trHeight w:val="170"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90"/>
                <w:sz w:val="15"/>
              </w:rPr>
              <w:t>casos de mujeres</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51"/>
              <w:rPr>
                <w:sz w:val="15"/>
              </w:rPr>
            </w:pPr>
            <w:r>
              <w:rPr>
                <w:color w:val="231F20"/>
                <w:w w:val="90"/>
                <w:sz w:val="15"/>
              </w:rPr>
              <w:t>que están embara-</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zadas y pierden el</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empleo o no las</w:t>
            </w:r>
          </w:p>
        </w:tc>
        <w:tc>
          <w:tcPr>
            <w:tcW w:w="1133" w:type="dxa"/>
            <w:vMerge/>
          </w:tcPr>
          <w:p>
            <w:pPr/>
          </w:p>
        </w:tc>
      </w:tr>
      <w:tr>
        <w:trPr>
          <w:trHeight w:val="190"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5"/>
                <w:sz w:val="15"/>
              </w:rPr>
              <w:t>contratan:</w:t>
            </w:r>
          </w:p>
        </w:tc>
        <w:tc>
          <w:tcPr>
            <w:tcW w:w="1133" w:type="dxa"/>
            <w:vMerge/>
          </w:tcPr>
          <w:p>
            <w:pPr/>
          </w:p>
        </w:tc>
      </w:tr>
      <w:tr>
        <w:trPr>
          <w:trHeight w:val="190"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before="5"/>
              <w:ind w:right="79"/>
              <w:rPr>
                <w:sz w:val="15"/>
              </w:rPr>
            </w:pPr>
            <w:r>
              <w:rPr>
                <w:color w:val="231F20"/>
                <w:w w:val="90"/>
                <w:sz w:val="15"/>
              </w:rPr>
              <w:t>Esto me parece</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ridículo, como si</w:t>
            </w:r>
          </w:p>
        </w:tc>
        <w:tc>
          <w:tcPr>
            <w:tcW w:w="1133" w:type="dxa"/>
            <w:vMerge/>
          </w:tcPr>
          <w:p>
            <w:pPr/>
          </w:p>
        </w:tc>
      </w:tr>
      <w:tr>
        <w:trPr>
          <w:trHeight w:val="168" w:hRule="exact"/>
        </w:trPr>
        <w:tc>
          <w:tcPr>
            <w:tcW w:w="778" w:type="dxa"/>
            <w:vMerge/>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estar embarazada</w:t>
            </w:r>
          </w:p>
        </w:tc>
        <w:tc>
          <w:tcPr>
            <w:tcW w:w="1133" w:type="dxa"/>
            <w:vMerge/>
          </w:tcPr>
          <w:p>
            <w:pPr/>
          </w:p>
        </w:tc>
      </w:tr>
      <w:tr>
        <w:trPr>
          <w:trHeight w:val="210" w:hRule="exact"/>
        </w:trPr>
        <w:tc>
          <w:tcPr>
            <w:tcW w:w="778" w:type="dxa"/>
            <w:vMerge/>
          </w:tcPr>
          <w:p>
            <w:pPr/>
          </w:p>
        </w:tc>
        <w:tc>
          <w:tcPr>
            <w:tcW w:w="1176" w:type="dxa"/>
            <w:vMerge/>
          </w:tcPr>
          <w:p>
            <w:pPr/>
          </w:p>
        </w:tc>
        <w:tc>
          <w:tcPr>
            <w:tcW w:w="1037" w:type="dxa"/>
            <w:vMerge/>
          </w:tcPr>
          <w:p>
            <w:pPr/>
          </w:p>
        </w:tc>
        <w:tc>
          <w:tcPr>
            <w:tcW w:w="1080" w:type="dxa"/>
            <w:tcBorders>
              <w:top w:val="nil"/>
            </w:tcBorders>
          </w:tcPr>
          <w:p>
            <w:pPr/>
          </w:p>
        </w:tc>
        <w:tc>
          <w:tcPr>
            <w:tcW w:w="1210" w:type="dxa"/>
            <w:tcBorders>
              <w:top w:val="nil"/>
            </w:tcBorders>
          </w:tcPr>
          <w:p>
            <w:pPr>
              <w:pStyle w:val="TableParagraph"/>
              <w:spacing w:line="156" w:lineRule="exact"/>
              <w:ind w:right="79"/>
              <w:rPr>
                <w:sz w:val="15"/>
              </w:rPr>
            </w:pPr>
            <w:r>
              <w:rPr>
                <w:color w:val="231F20"/>
                <w:w w:val="90"/>
                <w:sz w:val="15"/>
              </w:rPr>
              <w:t>fuera un delito.</w:t>
            </w:r>
          </w:p>
        </w:tc>
        <w:tc>
          <w:tcPr>
            <w:tcW w:w="1133" w:type="dxa"/>
            <w:vMerge/>
          </w:tcPr>
          <w:p>
            <w:pPr/>
          </w:p>
        </w:tc>
      </w:tr>
      <w:tr>
        <w:trPr>
          <w:trHeight w:val="217" w:hRule="exact"/>
        </w:trPr>
        <w:tc>
          <w:tcPr>
            <w:tcW w:w="778" w:type="dxa"/>
            <w:tcBorders>
              <w:bottom w:val="nil"/>
            </w:tcBorders>
          </w:tcPr>
          <w:p>
            <w:pPr>
              <w:pStyle w:val="TableParagraph"/>
              <w:spacing w:before="28"/>
              <w:ind w:left="105"/>
              <w:rPr>
                <w:sz w:val="15"/>
              </w:rPr>
            </w:pPr>
            <w:r>
              <w:rPr>
                <w:color w:val="231F20"/>
                <w:w w:val="90"/>
                <w:sz w:val="15"/>
              </w:rPr>
              <w:t>4.</w:t>
            </w:r>
          </w:p>
        </w:tc>
        <w:tc>
          <w:tcPr>
            <w:tcW w:w="1176" w:type="dxa"/>
            <w:tcBorders>
              <w:bottom w:val="nil"/>
            </w:tcBorders>
          </w:tcPr>
          <w:p>
            <w:pPr>
              <w:pStyle w:val="TableParagraph"/>
              <w:spacing w:before="28"/>
              <w:ind w:right="58"/>
              <w:rPr>
                <w:sz w:val="15"/>
              </w:rPr>
            </w:pPr>
            <w:r>
              <w:rPr>
                <w:color w:val="231F20"/>
                <w:w w:val="90"/>
                <w:sz w:val="15"/>
              </w:rPr>
              <w:t>Se puede definir</w:t>
            </w:r>
          </w:p>
        </w:tc>
        <w:tc>
          <w:tcPr>
            <w:tcW w:w="1037" w:type="dxa"/>
            <w:vMerge w:val="restart"/>
          </w:tcPr>
          <w:p>
            <w:pPr/>
          </w:p>
        </w:tc>
        <w:tc>
          <w:tcPr>
            <w:tcW w:w="1080" w:type="dxa"/>
            <w:tcBorders>
              <w:bottom w:val="nil"/>
            </w:tcBorders>
          </w:tcPr>
          <w:p>
            <w:pPr>
              <w:pStyle w:val="TableParagraph"/>
              <w:spacing w:before="28"/>
              <w:ind w:right="376"/>
              <w:rPr>
                <w:sz w:val="15"/>
              </w:rPr>
            </w:pPr>
            <w:r>
              <w:rPr>
                <w:color w:val="231F20"/>
                <w:w w:val="90"/>
                <w:sz w:val="15"/>
              </w:rPr>
              <w:t>El texto</w:t>
            </w:r>
          </w:p>
        </w:tc>
        <w:tc>
          <w:tcPr>
            <w:tcW w:w="1210" w:type="dxa"/>
            <w:tcBorders>
              <w:bottom w:val="nil"/>
            </w:tcBorders>
          </w:tcPr>
          <w:p>
            <w:pPr>
              <w:pStyle w:val="TableParagraph"/>
              <w:spacing w:before="28"/>
              <w:ind w:right="79"/>
              <w:rPr>
                <w:sz w:val="15"/>
              </w:rPr>
            </w:pPr>
            <w:r>
              <w:rPr>
                <w:color w:val="231F20"/>
                <w:w w:val="90"/>
                <w:sz w:val="15"/>
              </w:rPr>
              <w:t>Aunque se estén</w:t>
            </w:r>
          </w:p>
        </w:tc>
        <w:tc>
          <w:tcPr>
            <w:tcW w:w="1133" w:type="dxa"/>
            <w:tcBorders>
              <w:bottom w:val="nil"/>
            </w:tcBorders>
          </w:tcPr>
          <w:p>
            <w:pPr>
              <w:pStyle w:val="TableParagraph"/>
              <w:spacing w:before="28"/>
              <w:ind w:right="66"/>
              <w:rPr>
                <w:sz w:val="15"/>
              </w:rPr>
            </w:pPr>
            <w:r>
              <w:rPr>
                <w:color w:val="231F20"/>
                <w:w w:val="90"/>
                <w:sz w:val="15"/>
              </w:rPr>
              <w:t>Para evitar esto,</w:t>
            </w:r>
          </w:p>
        </w:tc>
      </w:tr>
      <w:tr>
        <w:trPr>
          <w:trHeight w:val="336" w:hRule="exact"/>
        </w:trPr>
        <w:tc>
          <w:tcPr>
            <w:tcW w:w="778" w:type="dxa"/>
            <w:tcBorders>
              <w:top w:val="nil"/>
              <w:bottom w:val="nil"/>
            </w:tcBorders>
          </w:tcPr>
          <w:p>
            <w:pPr>
              <w:pStyle w:val="TableParagraph"/>
              <w:spacing w:before="26"/>
              <w:ind w:left="105"/>
              <w:rPr>
                <w:sz w:val="15"/>
              </w:rPr>
            </w:pPr>
            <w:r>
              <w:rPr>
                <w:color w:val="231F20"/>
                <w:w w:val="95"/>
                <w:sz w:val="15"/>
              </w:rPr>
              <w:t>Aseneth</w:t>
            </w:r>
          </w:p>
        </w:tc>
        <w:tc>
          <w:tcPr>
            <w:tcW w:w="1176" w:type="dxa"/>
            <w:tcBorders>
              <w:top w:val="nil"/>
              <w:bottom w:val="nil"/>
            </w:tcBorders>
          </w:tcPr>
          <w:p>
            <w:pPr>
              <w:pStyle w:val="TableParagraph"/>
              <w:spacing w:line="154" w:lineRule="exact"/>
              <w:ind w:right="58"/>
              <w:rPr>
                <w:sz w:val="15"/>
              </w:rPr>
            </w:pPr>
            <w:r>
              <w:rPr>
                <w:color w:val="231F20"/>
                <w:w w:val="85"/>
                <w:sz w:val="15"/>
              </w:rPr>
              <w:t>la violencia como</w:t>
            </w:r>
          </w:p>
          <w:p>
            <w:pPr>
              <w:pStyle w:val="TableParagraph"/>
              <w:spacing w:line="170" w:lineRule="exact"/>
              <w:ind w:right="58"/>
              <w:rPr>
                <w:sz w:val="15"/>
              </w:rPr>
            </w:pPr>
            <w:r>
              <w:rPr>
                <w:color w:val="231F20"/>
                <w:w w:val="95"/>
                <w:sz w:val="15"/>
              </w:rPr>
              <w:t>un acto en el que</w:t>
            </w:r>
          </w:p>
        </w:tc>
        <w:tc>
          <w:tcPr>
            <w:tcW w:w="1037" w:type="dxa"/>
            <w:vMerge/>
          </w:tcPr>
          <w:p>
            <w:pPr/>
          </w:p>
        </w:tc>
        <w:tc>
          <w:tcPr>
            <w:tcW w:w="1080" w:type="dxa"/>
            <w:tcBorders>
              <w:top w:val="nil"/>
              <w:bottom w:val="nil"/>
            </w:tcBorders>
          </w:tcPr>
          <w:p>
            <w:pPr>
              <w:pStyle w:val="TableParagraph"/>
              <w:spacing w:line="154" w:lineRule="exact"/>
              <w:ind w:right="30"/>
              <w:rPr>
                <w:sz w:val="15"/>
              </w:rPr>
            </w:pPr>
            <w:r>
              <w:rPr>
                <w:color w:val="231F20"/>
                <w:w w:val="90"/>
                <w:sz w:val="15"/>
              </w:rPr>
              <w:t>discurre sobre la</w:t>
            </w:r>
          </w:p>
          <w:p>
            <w:pPr>
              <w:pStyle w:val="TableParagraph"/>
              <w:spacing w:line="170" w:lineRule="exact"/>
              <w:ind w:right="30"/>
              <w:rPr>
                <w:sz w:val="15"/>
              </w:rPr>
            </w:pPr>
            <w:r>
              <w:rPr>
                <w:color w:val="231F20"/>
                <w:w w:val="85"/>
                <w:sz w:val="15"/>
              </w:rPr>
              <w:t>violencia en</w:t>
            </w:r>
          </w:p>
        </w:tc>
        <w:tc>
          <w:tcPr>
            <w:tcW w:w="1210" w:type="dxa"/>
            <w:tcBorders>
              <w:top w:val="nil"/>
              <w:bottom w:val="nil"/>
            </w:tcBorders>
          </w:tcPr>
          <w:p>
            <w:pPr>
              <w:pStyle w:val="TableParagraph"/>
              <w:spacing w:line="154" w:lineRule="exact"/>
              <w:ind w:right="79"/>
              <w:rPr>
                <w:sz w:val="15"/>
              </w:rPr>
            </w:pPr>
            <w:r>
              <w:rPr>
                <w:color w:val="231F20"/>
                <w:w w:val="85"/>
                <w:sz w:val="15"/>
              </w:rPr>
              <w:t>realizando accio-</w:t>
            </w:r>
          </w:p>
          <w:p>
            <w:pPr>
              <w:pStyle w:val="TableParagraph"/>
              <w:spacing w:line="170" w:lineRule="exact"/>
              <w:ind w:right="79"/>
              <w:rPr>
                <w:sz w:val="15"/>
              </w:rPr>
            </w:pPr>
            <w:r>
              <w:rPr>
                <w:color w:val="231F20"/>
                <w:w w:val="90"/>
                <w:sz w:val="15"/>
              </w:rPr>
              <w:t>nes para defender</w:t>
            </w:r>
          </w:p>
        </w:tc>
        <w:tc>
          <w:tcPr>
            <w:tcW w:w="1133" w:type="dxa"/>
            <w:tcBorders>
              <w:top w:val="nil"/>
              <w:bottom w:val="nil"/>
            </w:tcBorders>
          </w:tcPr>
          <w:p>
            <w:pPr>
              <w:pStyle w:val="TableParagraph"/>
              <w:spacing w:line="154" w:lineRule="exact"/>
              <w:ind w:right="14"/>
              <w:rPr>
                <w:sz w:val="15"/>
              </w:rPr>
            </w:pPr>
            <w:r>
              <w:rPr>
                <w:color w:val="231F20"/>
                <w:w w:val="90"/>
                <w:sz w:val="15"/>
              </w:rPr>
              <w:t>según mi opinión</w:t>
            </w:r>
          </w:p>
          <w:p>
            <w:pPr>
              <w:pStyle w:val="TableParagraph"/>
              <w:spacing w:line="170" w:lineRule="exact"/>
              <w:ind w:right="66"/>
              <w:rPr>
                <w:sz w:val="15"/>
              </w:rPr>
            </w:pPr>
            <w:r>
              <w:rPr>
                <w:color w:val="231F20"/>
                <w:w w:val="90"/>
                <w:sz w:val="15"/>
              </w:rPr>
              <w:t>depende de</w:t>
            </w: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se agrede a otro</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contra de las</w:t>
            </w:r>
          </w:p>
        </w:tc>
        <w:tc>
          <w:tcPr>
            <w:tcW w:w="1210" w:type="dxa"/>
            <w:tcBorders>
              <w:top w:val="nil"/>
              <w:bottom w:val="nil"/>
            </w:tcBorders>
          </w:tcPr>
          <w:p>
            <w:pPr>
              <w:pStyle w:val="TableParagraph"/>
              <w:spacing w:line="156" w:lineRule="exact"/>
              <w:ind w:right="79"/>
              <w:rPr>
                <w:sz w:val="15"/>
              </w:rPr>
            </w:pPr>
            <w:r>
              <w:rPr>
                <w:color w:val="231F20"/>
                <w:w w:val="90"/>
                <w:sz w:val="15"/>
              </w:rPr>
              <w:t>a las mujeres, en</w:t>
            </w:r>
          </w:p>
        </w:tc>
        <w:tc>
          <w:tcPr>
            <w:tcW w:w="1133" w:type="dxa"/>
            <w:tcBorders>
              <w:top w:val="nil"/>
              <w:bottom w:val="nil"/>
            </w:tcBorders>
          </w:tcPr>
          <w:p>
            <w:pPr>
              <w:pStyle w:val="TableParagraph"/>
              <w:spacing w:line="156" w:lineRule="exact"/>
              <w:ind w:right="66"/>
              <w:rPr>
                <w:sz w:val="15"/>
              </w:rPr>
            </w:pPr>
            <w:r>
              <w:rPr>
                <w:color w:val="231F20"/>
                <w:w w:val="85"/>
                <w:sz w:val="15"/>
              </w:rPr>
              <w:t>nosotras mismas,</w:t>
            </w: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8" w:lineRule="exact"/>
              <w:rPr>
                <w:sz w:val="15"/>
              </w:rPr>
            </w:pPr>
            <w:r>
              <w:rPr>
                <w:color w:val="231F20"/>
                <w:w w:val="90"/>
                <w:sz w:val="15"/>
              </w:rPr>
              <w:t>ser vivo, ya sea de</w:t>
            </w:r>
          </w:p>
        </w:tc>
        <w:tc>
          <w:tcPr>
            <w:tcW w:w="1037" w:type="dxa"/>
            <w:vMerge/>
          </w:tcPr>
          <w:p>
            <w:pPr/>
          </w:p>
        </w:tc>
        <w:tc>
          <w:tcPr>
            <w:tcW w:w="1080" w:type="dxa"/>
            <w:tcBorders>
              <w:top w:val="nil"/>
              <w:bottom w:val="nil"/>
            </w:tcBorders>
          </w:tcPr>
          <w:p>
            <w:pPr>
              <w:pStyle w:val="TableParagraph"/>
              <w:spacing w:line="158" w:lineRule="exact"/>
              <w:ind w:right="376"/>
              <w:rPr>
                <w:sz w:val="15"/>
              </w:rPr>
            </w:pPr>
            <w:r>
              <w:rPr>
                <w:color w:val="231F20"/>
                <w:w w:val="85"/>
                <w:sz w:val="15"/>
              </w:rPr>
              <w:t>mujeres, a</w:t>
            </w:r>
          </w:p>
        </w:tc>
        <w:tc>
          <w:tcPr>
            <w:tcW w:w="1210" w:type="dxa"/>
            <w:tcBorders>
              <w:top w:val="nil"/>
              <w:bottom w:val="nil"/>
            </w:tcBorders>
          </w:tcPr>
          <w:p>
            <w:pPr>
              <w:pStyle w:val="TableParagraph"/>
              <w:spacing w:line="158" w:lineRule="exact"/>
              <w:ind w:right="79"/>
              <w:rPr>
                <w:sz w:val="15"/>
              </w:rPr>
            </w:pPr>
            <w:r>
              <w:rPr>
                <w:color w:val="231F20"/>
                <w:w w:val="90"/>
                <w:sz w:val="15"/>
              </w:rPr>
              <w:t>México aún se</w:t>
            </w:r>
          </w:p>
        </w:tc>
        <w:tc>
          <w:tcPr>
            <w:tcW w:w="1133" w:type="dxa"/>
            <w:tcBorders>
              <w:top w:val="nil"/>
              <w:bottom w:val="nil"/>
            </w:tcBorders>
          </w:tcPr>
          <w:p>
            <w:pPr>
              <w:pStyle w:val="TableParagraph"/>
              <w:spacing w:line="158" w:lineRule="exact"/>
              <w:ind w:right="66"/>
              <w:rPr>
                <w:sz w:val="15"/>
              </w:rPr>
            </w:pPr>
            <w:r>
              <w:rPr>
                <w:color w:val="231F20"/>
                <w:w w:val="90"/>
                <w:sz w:val="15"/>
              </w:rPr>
              <w:t>al no permitir</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manera verbal,</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propósito del</w:t>
            </w:r>
          </w:p>
        </w:tc>
        <w:tc>
          <w:tcPr>
            <w:tcW w:w="1210" w:type="dxa"/>
            <w:tcBorders>
              <w:top w:val="nil"/>
              <w:bottom w:val="nil"/>
            </w:tcBorders>
          </w:tcPr>
          <w:p>
            <w:pPr>
              <w:pStyle w:val="TableParagraph"/>
              <w:spacing w:line="156" w:lineRule="exact"/>
              <w:ind w:right="79"/>
              <w:rPr>
                <w:sz w:val="15"/>
              </w:rPr>
            </w:pPr>
            <w:r>
              <w:rPr>
                <w:color w:val="231F20"/>
                <w:w w:val="90"/>
                <w:sz w:val="15"/>
              </w:rPr>
              <w:t>puede observar la</w:t>
            </w:r>
          </w:p>
        </w:tc>
        <w:tc>
          <w:tcPr>
            <w:tcW w:w="1133" w:type="dxa"/>
            <w:tcBorders>
              <w:top w:val="nil"/>
              <w:bottom w:val="nil"/>
            </w:tcBorders>
          </w:tcPr>
          <w:p>
            <w:pPr>
              <w:pStyle w:val="TableParagraph"/>
              <w:spacing w:line="156" w:lineRule="exact"/>
              <w:ind w:right="66"/>
              <w:rPr>
                <w:sz w:val="15"/>
              </w:rPr>
            </w:pPr>
            <w:r>
              <w:rPr>
                <w:color w:val="231F20"/>
                <w:w w:val="90"/>
                <w:sz w:val="15"/>
              </w:rPr>
              <w:t>ningún tipo de</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física o emocio-</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85"/>
                <w:sz w:val="15"/>
              </w:rPr>
              <w:t>día Internacio-</w:t>
            </w:r>
          </w:p>
        </w:tc>
        <w:tc>
          <w:tcPr>
            <w:tcW w:w="1210" w:type="dxa"/>
            <w:tcBorders>
              <w:top w:val="nil"/>
              <w:bottom w:val="nil"/>
            </w:tcBorders>
          </w:tcPr>
          <w:p>
            <w:pPr>
              <w:pStyle w:val="TableParagraph"/>
              <w:spacing w:line="156" w:lineRule="exact"/>
              <w:ind w:right="79"/>
              <w:rPr>
                <w:sz w:val="15"/>
              </w:rPr>
            </w:pPr>
            <w:r>
              <w:rPr>
                <w:color w:val="231F20"/>
                <w:w w:val="85"/>
                <w:sz w:val="15"/>
              </w:rPr>
              <w:t>violencia en</w:t>
            </w:r>
          </w:p>
        </w:tc>
        <w:tc>
          <w:tcPr>
            <w:tcW w:w="1133" w:type="dxa"/>
            <w:tcBorders>
              <w:top w:val="nil"/>
              <w:bottom w:val="nil"/>
            </w:tcBorders>
          </w:tcPr>
          <w:p>
            <w:pPr>
              <w:pStyle w:val="TableParagraph"/>
              <w:spacing w:line="156" w:lineRule="exact"/>
              <w:ind w:right="66"/>
              <w:rPr>
                <w:sz w:val="15"/>
              </w:rPr>
            </w:pPr>
            <w:r>
              <w:rPr>
                <w:color w:val="231F20"/>
                <w:w w:val="85"/>
                <w:sz w:val="15"/>
              </w:rPr>
              <w:t>agresión y luchar</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nal.</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nal de la mujer,</w:t>
            </w:r>
          </w:p>
        </w:tc>
        <w:tc>
          <w:tcPr>
            <w:tcW w:w="1210" w:type="dxa"/>
            <w:tcBorders>
              <w:top w:val="nil"/>
              <w:bottom w:val="nil"/>
            </w:tcBorders>
          </w:tcPr>
          <w:p>
            <w:pPr>
              <w:pStyle w:val="TableParagraph"/>
              <w:spacing w:line="156" w:lineRule="exact"/>
              <w:ind w:right="79"/>
              <w:rPr>
                <w:sz w:val="15"/>
              </w:rPr>
            </w:pPr>
            <w:r>
              <w:rPr>
                <w:color w:val="231F20"/>
                <w:w w:val="85"/>
                <w:sz w:val="15"/>
              </w:rPr>
              <w:t>diferentes ámbitos,</w:t>
            </w:r>
          </w:p>
        </w:tc>
        <w:tc>
          <w:tcPr>
            <w:tcW w:w="1133" w:type="dxa"/>
            <w:tcBorders>
              <w:top w:val="nil"/>
              <w:bottom w:val="nil"/>
            </w:tcBorders>
          </w:tcPr>
          <w:p>
            <w:pPr>
              <w:pStyle w:val="TableParagraph"/>
              <w:spacing w:line="156" w:lineRule="exact"/>
              <w:ind w:right="66"/>
              <w:rPr>
                <w:sz w:val="15"/>
              </w:rPr>
            </w:pPr>
            <w:r>
              <w:rPr>
                <w:color w:val="231F20"/>
                <w:w w:val="90"/>
                <w:sz w:val="15"/>
              </w:rPr>
              <w:t>porque nuestros</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celebrado el 8</w:t>
            </w:r>
          </w:p>
        </w:tc>
        <w:tc>
          <w:tcPr>
            <w:tcW w:w="1210" w:type="dxa"/>
            <w:tcBorders>
              <w:top w:val="nil"/>
              <w:bottom w:val="nil"/>
            </w:tcBorders>
          </w:tcPr>
          <w:p>
            <w:pPr>
              <w:pStyle w:val="TableParagraph"/>
              <w:spacing w:line="156" w:lineRule="exact"/>
              <w:ind w:right="79"/>
              <w:rPr>
                <w:sz w:val="15"/>
              </w:rPr>
            </w:pPr>
            <w:r>
              <w:rPr>
                <w:color w:val="231F20"/>
                <w:w w:val="90"/>
                <w:sz w:val="15"/>
              </w:rPr>
              <w:t>tanto en sus</w:t>
            </w:r>
          </w:p>
        </w:tc>
        <w:tc>
          <w:tcPr>
            <w:tcW w:w="1133" w:type="dxa"/>
            <w:tcBorders>
              <w:top w:val="nil"/>
              <w:bottom w:val="nil"/>
            </w:tcBorders>
          </w:tcPr>
          <w:p>
            <w:pPr>
              <w:pStyle w:val="TableParagraph"/>
              <w:spacing w:line="156" w:lineRule="exact"/>
              <w:ind w:right="66"/>
              <w:rPr>
                <w:sz w:val="15"/>
              </w:rPr>
            </w:pPr>
            <w:r>
              <w:rPr>
                <w:color w:val="231F20"/>
                <w:w w:val="85"/>
                <w:sz w:val="15"/>
              </w:rPr>
              <w:t>derechos sean</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Style w:val="TableParagraph"/>
              <w:spacing w:line="156" w:lineRule="exact"/>
              <w:ind w:right="376"/>
              <w:rPr>
                <w:sz w:val="15"/>
              </w:rPr>
            </w:pPr>
            <w:r>
              <w:rPr>
                <w:color w:val="231F20"/>
                <w:w w:val="90"/>
                <w:sz w:val="15"/>
              </w:rPr>
              <w:t>de marzo.</w:t>
            </w:r>
          </w:p>
        </w:tc>
        <w:tc>
          <w:tcPr>
            <w:tcW w:w="1210" w:type="dxa"/>
            <w:tcBorders>
              <w:top w:val="nil"/>
              <w:bottom w:val="nil"/>
            </w:tcBorders>
          </w:tcPr>
          <w:p>
            <w:pPr>
              <w:pStyle w:val="TableParagraph"/>
              <w:spacing w:line="156" w:lineRule="exact"/>
              <w:ind w:right="51"/>
              <w:rPr>
                <w:sz w:val="15"/>
              </w:rPr>
            </w:pPr>
            <w:r>
              <w:rPr>
                <w:color w:val="231F20"/>
                <w:w w:val="90"/>
                <w:sz w:val="15"/>
              </w:rPr>
              <w:t>centros de trabajo,</w:t>
            </w:r>
          </w:p>
        </w:tc>
        <w:tc>
          <w:tcPr>
            <w:tcW w:w="1133" w:type="dxa"/>
            <w:tcBorders>
              <w:top w:val="nil"/>
              <w:bottom w:val="nil"/>
            </w:tcBorders>
          </w:tcPr>
          <w:p>
            <w:pPr>
              <w:pStyle w:val="TableParagraph"/>
              <w:spacing w:line="156" w:lineRule="exact"/>
              <w:ind w:right="66"/>
              <w:rPr>
                <w:sz w:val="15"/>
              </w:rPr>
            </w:pPr>
            <w:r>
              <w:rPr>
                <w:color w:val="231F20"/>
                <w:w w:val="85"/>
                <w:sz w:val="15"/>
              </w:rPr>
              <w:t>respetados, solo</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90"/>
                <w:sz w:val="15"/>
              </w:rPr>
              <w:t>en donde muchas</w:t>
            </w:r>
          </w:p>
        </w:tc>
        <w:tc>
          <w:tcPr>
            <w:tcW w:w="1133" w:type="dxa"/>
            <w:tcBorders>
              <w:top w:val="nil"/>
              <w:bottom w:val="nil"/>
            </w:tcBorders>
          </w:tcPr>
          <w:p>
            <w:pPr>
              <w:pStyle w:val="TableParagraph"/>
              <w:spacing w:line="158" w:lineRule="exact"/>
              <w:ind w:right="66"/>
              <w:rPr>
                <w:sz w:val="15"/>
              </w:rPr>
            </w:pPr>
            <w:r>
              <w:rPr>
                <w:color w:val="231F20"/>
                <w:w w:val="85"/>
                <w:sz w:val="15"/>
              </w:rPr>
              <w:t>así lograremos la</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veces son discri-</w:t>
            </w:r>
          </w:p>
        </w:tc>
        <w:tc>
          <w:tcPr>
            <w:tcW w:w="1133" w:type="dxa"/>
            <w:tcBorders>
              <w:top w:val="nil"/>
              <w:bottom w:val="nil"/>
            </w:tcBorders>
          </w:tcPr>
          <w:p>
            <w:pPr>
              <w:pStyle w:val="TableParagraph"/>
              <w:spacing w:line="156" w:lineRule="exact"/>
              <w:ind w:right="66"/>
              <w:rPr>
                <w:sz w:val="15"/>
              </w:rPr>
            </w:pPr>
            <w:r>
              <w:rPr>
                <w:color w:val="231F20"/>
                <w:w w:val="85"/>
                <w:sz w:val="15"/>
              </w:rPr>
              <w:t>libertad absoluta</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minadas frente a</w:t>
            </w:r>
          </w:p>
        </w:tc>
        <w:tc>
          <w:tcPr>
            <w:tcW w:w="1133" w:type="dxa"/>
            <w:tcBorders>
              <w:top w:val="nil"/>
              <w:bottom w:val="nil"/>
            </w:tcBorders>
          </w:tcPr>
          <w:p>
            <w:pPr>
              <w:pStyle w:val="TableParagraph"/>
              <w:spacing w:line="156" w:lineRule="exact"/>
              <w:ind w:right="66"/>
              <w:rPr>
                <w:sz w:val="15"/>
              </w:rPr>
            </w:pPr>
            <w:r>
              <w:rPr>
                <w:color w:val="231F20"/>
                <w:w w:val="85"/>
                <w:sz w:val="15"/>
              </w:rPr>
              <w:t>ante la sociedad.</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los hombres,</w:t>
            </w:r>
          </w:p>
        </w:tc>
        <w:tc>
          <w:tcPr>
            <w:tcW w:w="1133" w:type="dxa"/>
            <w:tcBorders>
              <w:top w:val="nil"/>
              <w:bottom w:val="nil"/>
            </w:tcBorders>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como en su casa</w:t>
            </w:r>
          </w:p>
        </w:tc>
        <w:tc>
          <w:tcPr>
            <w:tcW w:w="1133" w:type="dxa"/>
            <w:tcBorders>
              <w:top w:val="nil"/>
              <w:bottom w:val="nil"/>
            </w:tcBorders>
          </w:tcPr>
          <w:p>
            <w:pP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donde llegan a</w:t>
            </w:r>
          </w:p>
        </w:tc>
        <w:tc>
          <w:tcPr>
            <w:tcW w:w="1133" w:type="dxa"/>
            <w:tcBorders>
              <w:top w:val="nil"/>
              <w:bottom w:val="nil"/>
            </w:tcBorders>
          </w:tcPr>
          <w:p>
            <w:pP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85"/>
                <w:sz w:val="15"/>
              </w:rPr>
              <w:t>sufrir violencia</w:t>
            </w:r>
          </w:p>
        </w:tc>
        <w:tc>
          <w:tcPr>
            <w:tcW w:w="1133" w:type="dxa"/>
            <w:tcBorders>
              <w:top w:val="nil"/>
              <w:bottom w:val="nil"/>
            </w:tcBorders>
          </w:tcPr>
          <w:p>
            <w:pPr/>
          </w:p>
        </w:tc>
      </w:tr>
      <w:tr>
        <w:trPr>
          <w:trHeight w:val="187"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540"/>
              <w:rPr>
                <w:sz w:val="15"/>
              </w:rPr>
            </w:pPr>
            <w:r>
              <w:rPr>
                <w:color w:val="231F20"/>
                <w:w w:val="90"/>
                <w:sz w:val="15"/>
              </w:rPr>
              <w:t>física.</w:t>
            </w:r>
          </w:p>
        </w:tc>
        <w:tc>
          <w:tcPr>
            <w:tcW w:w="1133" w:type="dxa"/>
            <w:tcBorders>
              <w:top w:val="nil"/>
              <w:bottom w:val="nil"/>
            </w:tcBorders>
          </w:tcPr>
          <w:p>
            <w:pPr/>
          </w:p>
        </w:tc>
      </w:tr>
      <w:tr>
        <w:trPr>
          <w:trHeight w:val="187"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before="2"/>
              <w:ind w:right="79"/>
              <w:rPr>
                <w:sz w:val="15"/>
              </w:rPr>
            </w:pPr>
            <w:r>
              <w:rPr>
                <w:color w:val="231F20"/>
                <w:w w:val="90"/>
                <w:sz w:val="15"/>
              </w:rPr>
              <w:t>La opinión que</w:t>
            </w:r>
          </w:p>
        </w:tc>
        <w:tc>
          <w:tcPr>
            <w:tcW w:w="1133" w:type="dxa"/>
            <w:tcBorders>
              <w:top w:val="nil"/>
              <w:bottom w:val="nil"/>
            </w:tcBorders>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51"/>
              <w:rPr>
                <w:sz w:val="15"/>
              </w:rPr>
            </w:pPr>
            <w:r>
              <w:rPr>
                <w:color w:val="231F20"/>
                <w:w w:val="90"/>
                <w:sz w:val="15"/>
              </w:rPr>
              <w:t>merece lo anterior</w:t>
            </w:r>
          </w:p>
        </w:tc>
        <w:tc>
          <w:tcPr>
            <w:tcW w:w="1133" w:type="dxa"/>
            <w:tcBorders>
              <w:top w:val="nil"/>
              <w:bottom w:val="nil"/>
            </w:tcBorders>
          </w:tcPr>
          <w:p>
            <w:pP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es que, es triste</w:t>
            </w:r>
          </w:p>
        </w:tc>
        <w:tc>
          <w:tcPr>
            <w:tcW w:w="1133" w:type="dxa"/>
            <w:tcBorders>
              <w:top w:val="nil"/>
              <w:bottom w:val="nil"/>
            </w:tcBorders>
          </w:tcPr>
          <w:p>
            <w:pP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90"/>
                <w:sz w:val="15"/>
              </w:rPr>
              <w:t>que estando en</w:t>
            </w:r>
          </w:p>
        </w:tc>
        <w:tc>
          <w:tcPr>
            <w:tcW w:w="1133" w:type="dxa"/>
            <w:tcBorders>
              <w:top w:val="nil"/>
              <w:bottom w:val="nil"/>
            </w:tcBorders>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51"/>
              <w:rPr>
                <w:sz w:val="15"/>
              </w:rPr>
            </w:pPr>
            <w:r>
              <w:rPr>
                <w:color w:val="231F20"/>
                <w:w w:val="90"/>
                <w:sz w:val="15"/>
              </w:rPr>
              <w:t>pleno siglo xxi, se</w:t>
            </w:r>
          </w:p>
        </w:tc>
        <w:tc>
          <w:tcPr>
            <w:tcW w:w="1133" w:type="dxa"/>
            <w:tcBorders>
              <w:top w:val="nil"/>
              <w:bottom w:val="nil"/>
            </w:tcBorders>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observen asesina-</w:t>
            </w:r>
          </w:p>
        </w:tc>
        <w:tc>
          <w:tcPr>
            <w:tcW w:w="1133" w:type="dxa"/>
            <w:tcBorders>
              <w:top w:val="nil"/>
              <w:bottom w:val="nil"/>
            </w:tcBorders>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tos masivos de</w:t>
            </w:r>
          </w:p>
        </w:tc>
        <w:tc>
          <w:tcPr>
            <w:tcW w:w="1133" w:type="dxa"/>
            <w:tcBorders>
              <w:top w:val="nil"/>
              <w:bottom w:val="nil"/>
            </w:tcBorders>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mujeres, como se</w:t>
            </w:r>
          </w:p>
        </w:tc>
        <w:tc>
          <w:tcPr>
            <w:tcW w:w="1133" w:type="dxa"/>
            <w:tcBorders>
              <w:top w:val="nil"/>
              <w:bottom w:val="nil"/>
            </w:tcBorders>
          </w:tcPr>
          <w:p>
            <w:pP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51"/>
              <w:rPr>
                <w:sz w:val="15"/>
              </w:rPr>
            </w:pPr>
            <w:r>
              <w:rPr>
                <w:color w:val="231F20"/>
                <w:w w:val="95"/>
                <w:sz w:val="15"/>
              </w:rPr>
              <w:t>ve en el norte del</w:t>
            </w:r>
          </w:p>
        </w:tc>
        <w:tc>
          <w:tcPr>
            <w:tcW w:w="1133" w:type="dxa"/>
            <w:tcBorders>
              <w:top w:val="nil"/>
              <w:bottom w:val="nil"/>
            </w:tcBorders>
          </w:tcPr>
          <w:p>
            <w:pP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85"/>
                <w:sz w:val="15"/>
              </w:rPr>
              <w:t>país, miles de</w:t>
            </w:r>
          </w:p>
        </w:tc>
        <w:tc>
          <w:tcPr>
            <w:tcW w:w="1133" w:type="dxa"/>
            <w:tcBorders>
              <w:top w:val="nil"/>
              <w:bottom w:val="nil"/>
            </w:tcBorders>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mujeres que no</w:t>
            </w:r>
          </w:p>
        </w:tc>
        <w:tc>
          <w:tcPr>
            <w:tcW w:w="1133" w:type="dxa"/>
            <w:tcBorders>
              <w:top w:val="nil"/>
              <w:bottom w:val="nil"/>
            </w:tcBorders>
          </w:tcPr>
          <w:p>
            <w:pPr/>
          </w:p>
        </w:tc>
      </w:tr>
      <w:tr>
        <w:trPr>
          <w:trHeight w:val="167" w:hRule="exact"/>
        </w:trPr>
        <w:tc>
          <w:tcPr>
            <w:tcW w:w="778" w:type="dxa"/>
            <w:tcBorders>
              <w:top w:val="nil"/>
            </w:tcBorders>
          </w:tcPr>
          <w:p>
            <w:pPr/>
          </w:p>
        </w:tc>
        <w:tc>
          <w:tcPr>
            <w:tcW w:w="1176" w:type="dxa"/>
            <w:tcBorders>
              <w:top w:val="nil"/>
            </w:tcBorders>
          </w:tcPr>
          <w:p>
            <w:pPr/>
          </w:p>
        </w:tc>
        <w:tc>
          <w:tcPr>
            <w:tcW w:w="1037" w:type="dxa"/>
            <w:vMerge/>
          </w:tcPr>
          <w:p>
            <w:pPr/>
          </w:p>
        </w:tc>
        <w:tc>
          <w:tcPr>
            <w:tcW w:w="1080" w:type="dxa"/>
            <w:tcBorders>
              <w:top w:val="nil"/>
            </w:tcBorders>
          </w:tcPr>
          <w:p>
            <w:pPr/>
          </w:p>
        </w:tc>
        <w:tc>
          <w:tcPr>
            <w:tcW w:w="1210" w:type="dxa"/>
            <w:tcBorders>
              <w:top w:val="nil"/>
            </w:tcBorders>
          </w:tcPr>
          <w:p>
            <w:pPr>
              <w:pStyle w:val="TableParagraph"/>
              <w:spacing w:line="156" w:lineRule="exact"/>
              <w:ind w:right="79"/>
              <w:rPr>
                <w:sz w:val="15"/>
              </w:rPr>
            </w:pPr>
            <w:r>
              <w:rPr>
                <w:color w:val="231F20"/>
                <w:w w:val="85"/>
                <w:sz w:val="15"/>
              </w:rPr>
              <w:t>obtienen trabajo</w:t>
            </w:r>
          </w:p>
        </w:tc>
        <w:tc>
          <w:tcPr>
            <w:tcW w:w="1133" w:type="dxa"/>
            <w:tcBorders>
              <w:top w:val="nil"/>
            </w:tcBorders>
          </w:tcPr>
          <w:p>
            <w:pPr/>
          </w:p>
        </w:tc>
      </w:tr>
    </w:tbl>
    <w:p>
      <w:pPr>
        <w:spacing w:after="0"/>
        <w:sectPr>
          <w:headerReference w:type="default" r:id="rId601"/>
          <w:footerReference w:type="default" r:id="rId602"/>
          <w:pgSz w:w="7830" w:h="11910"/>
          <w:pgMar w:header="0" w:footer="424" w:top="500" w:bottom="620" w:left="800" w:right="380"/>
          <w:pgNumType w:start="266"/>
        </w:sectPr>
      </w:pPr>
    </w:p>
    <w:p>
      <w:pPr>
        <w:spacing w:before="46"/>
        <w:ind w:left="1583" w:right="0" w:firstLine="0"/>
        <w:jc w:val="left"/>
        <w:rPr>
          <w:sz w:val="13"/>
        </w:rPr>
      </w:pPr>
      <w:r>
        <w:rPr>
          <w:color w:val="231F20"/>
          <w:sz w:val="16"/>
        </w:rPr>
        <w:t>E</w:t>
      </w:r>
      <w:r>
        <w:rPr>
          <w:color w:val="231F20"/>
          <w:sz w:val="13"/>
        </w:rPr>
        <w:t>STUDIOS SOBRE VIOLENCIA EN LA EDUCACIÓN</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1234" w:hRule="exact"/>
        </w:trPr>
        <w:tc>
          <w:tcPr>
            <w:tcW w:w="778" w:type="dxa"/>
          </w:tcPr>
          <w:p>
            <w:pPr/>
          </w:p>
        </w:tc>
        <w:tc>
          <w:tcPr>
            <w:tcW w:w="1176" w:type="dxa"/>
          </w:tcPr>
          <w:p>
            <w:pPr/>
          </w:p>
        </w:tc>
        <w:tc>
          <w:tcPr>
            <w:tcW w:w="1037" w:type="dxa"/>
          </w:tcPr>
          <w:p>
            <w:pPr/>
          </w:p>
        </w:tc>
        <w:tc>
          <w:tcPr>
            <w:tcW w:w="1080" w:type="dxa"/>
          </w:tcPr>
          <w:p>
            <w:pPr/>
          </w:p>
        </w:tc>
        <w:tc>
          <w:tcPr>
            <w:tcW w:w="1210" w:type="dxa"/>
          </w:tcPr>
          <w:p>
            <w:pPr>
              <w:pStyle w:val="TableParagraph"/>
              <w:spacing w:line="235" w:lineRule="auto"/>
              <w:ind w:right="78"/>
              <w:rPr>
                <w:sz w:val="15"/>
              </w:rPr>
            </w:pPr>
            <w:r>
              <w:rPr>
                <w:color w:val="231F20"/>
                <w:w w:val="90"/>
                <w:sz w:val="15"/>
              </w:rPr>
              <w:t>solo por el simple hecho de pertene- </w:t>
            </w:r>
            <w:r>
              <w:rPr>
                <w:color w:val="231F20"/>
                <w:w w:val="95"/>
                <w:sz w:val="15"/>
              </w:rPr>
              <w:t>cer al sexo femenino, así como de casos de </w:t>
            </w:r>
            <w:r>
              <w:rPr>
                <w:color w:val="231F20"/>
                <w:w w:val="90"/>
                <w:sz w:val="15"/>
              </w:rPr>
              <w:t>violencia intrafa- </w:t>
            </w:r>
            <w:r>
              <w:rPr>
                <w:color w:val="231F20"/>
                <w:w w:val="95"/>
                <w:sz w:val="15"/>
              </w:rPr>
              <w:t>miliar.</w:t>
            </w:r>
          </w:p>
        </w:tc>
        <w:tc>
          <w:tcPr>
            <w:tcW w:w="1133" w:type="dxa"/>
          </w:tcPr>
          <w:p>
            <w:pPr/>
          </w:p>
        </w:tc>
      </w:tr>
      <w:tr>
        <w:trPr>
          <w:trHeight w:val="8606" w:hRule="exact"/>
        </w:trPr>
        <w:tc>
          <w:tcPr>
            <w:tcW w:w="778" w:type="dxa"/>
          </w:tcPr>
          <w:p>
            <w:pPr>
              <w:pStyle w:val="TableParagraph"/>
              <w:spacing w:before="28"/>
              <w:ind w:left="105"/>
              <w:rPr>
                <w:sz w:val="15"/>
              </w:rPr>
            </w:pPr>
            <w:r>
              <w:rPr>
                <w:color w:val="231F20"/>
                <w:w w:val="95"/>
                <w:sz w:val="15"/>
              </w:rPr>
              <w:t>5.Bryan</w:t>
            </w:r>
          </w:p>
        </w:tc>
        <w:tc>
          <w:tcPr>
            <w:tcW w:w="1176" w:type="dxa"/>
          </w:tcPr>
          <w:p>
            <w:pPr>
              <w:pStyle w:val="TableParagraph"/>
              <w:spacing w:line="235" w:lineRule="auto" w:before="30"/>
              <w:ind w:right="58"/>
              <w:rPr>
                <w:sz w:val="15"/>
              </w:rPr>
            </w:pPr>
            <w:r>
              <w:rPr>
                <w:color w:val="231F20"/>
                <w:w w:val="95"/>
                <w:sz w:val="15"/>
              </w:rPr>
              <w:t>No existe violen- </w:t>
            </w:r>
            <w:r>
              <w:rPr>
                <w:color w:val="231F20"/>
                <w:w w:val="90"/>
                <w:sz w:val="15"/>
              </w:rPr>
              <w:t>cia menor, porque </w:t>
            </w:r>
            <w:r>
              <w:rPr>
                <w:color w:val="231F20"/>
                <w:w w:val="95"/>
                <w:sz w:val="15"/>
              </w:rPr>
              <w:t>todas dañan la dignidad, la integridad, la psicología de los que sufren y también daña a los que la ejecu- tan. No acepte- mos tal situación como si nada ocurriera.</w:t>
            </w:r>
          </w:p>
        </w:tc>
        <w:tc>
          <w:tcPr>
            <w:tcW w:w="1037" w:type="dxa"/>
          </w:tcPr>
          <w:p>
            <w:pPr/>
          </w:p>
        </w:tc>
        <w:tc>
          <w:tcPr>
            <w:tcW w:w="1080" w:type="dxa"/>
          </w:tcPr>
          <w:p>
            <w:pPr>
              <w:pStyle w:val="TableParagraph"/>
              <w:spacing w:line="235" w:lineRule="auto" w:before="30"/>
              <w:ind w:right="63"/>
              <w:rPr>
                <w:sz w:val="15"/>
              </w:rPr>
            </w:pPr>
            <w:r>
              <w:rPr>
                <w:color w:val="231F20"/>
                <w:w w:val="95"/>
                <w:sz w:val="15"/>
              </w:rPr>
              <w:t>Este es un texto de cuestiona- miento y de crítica, princi- </w:t>
            </w:r>
            <w:r>
              <w:rPr>
                <w:color w:val="231F20"/>
                <w:w w:val="90"/>
                <w:sz w:val="15"/>
              </w:rPr>
              <w:t>palmente por la normalización </w:t>
            </w:r>
            <w:r>
              <w:rPr>
                <w:color w:val="231F20"/>
                <w:w w:val="95"/>
                <w:sz w:val="15"/>
              </w:rPr>
              <w:t>de la violencia </w:t>
            </w:r>
            <w:r>
              <w:rPr>
                <w:color w:val="231F20"/>
                <w:w w:val="90"/>
                <w:sz w:val="15"/>
              </w:rPr>
              <w:t>en la vida actual </w:t>
            </w:r>
            <w:r>
              <w:rPr>
                <w:color w:val="231F20"/>
                <w:w w:val="85"/>
                <w:sz w:val="15"/>
              </w:rPr>
              <w:t>en México.</w:t>
            </w:r>
          </w:p>
        </w:tc>
        <w:tc>
          <w:tcPr>
            <w:tcW w:w="1210" w:type="dxa"/>
          </w:tcPr>
          <w:p>
            <w:pPr>
              <w:pStyle w:val="TableParagraph"/>
              <w:spacing w:line="235" w:lineRule="auto" w:before="30"/>
              <w:ind w:right="98"/>
              <w:rPr>
                <w:sz w:val="15"/>
              </w:rPr>
            </w:pPr>
            <w:r>
              <w:rPr>
                <w:color w:val="231F20"/>
                <w:w w:val="85"/>
                <w:sz w:val="15"/>
              </w:rPr>
              <w:t>Lamentablemente </w:t>
            </w:r>
            <w:r>
              <w:rPr>
                <w:color w:val="231F20"/>
                <w:w w:val="95"/>
                <w:sz w:val="15"/>
              </w:rPr>
              <w:t>la violencia </w:t>
            </w:r>
            <w:r>
              <w:rPr>
                <w:color w:val="231F20"/>
                <w:w w:val="85"/>
                <w:sz w:val="15"/>
              </w:rPr>
              <w:t>callejera, familiar, </w:t>
            </w:r>
            <w:r>
              <w:rPr>
                <w:color w:val="231F20"/>
                <w:w w:val="95"/>
                <w:sz w:val="15"/>
              </w:rPr>
              <w:t>cotidiana se ha </w:t>
            </w:r>
            <w:r>
              <w:rPr>
                <w:color w:val="231F20"/>
                <w:w w:val="90"/>
                <w:sz w:val="15"/>
              </w:rPr>
              <w:t>hecho</w:t>
            </w:r>
            <w:r>
              <w:rPr>
                <w:color w:val="231F20"/>
                <w:spacing w:val="-19"/>
                <w:w w:val="90"/>
                <w:sz w:val="15"/>
              </w:rPr>
              <w:t> </w:t>
            </w:r>
            <w:r>
              <w:rPr>
                <w:color w:val="231F20"/>
                <w:w w:val="90"/>
                <w:sz w:val="15"/>
              </w:rPr>
              <w:t>una</w:t>
            </w:r>
            <w:r>
              <w:rPr>
                <w:color w:val="231F20"/>
                <w:spacing w:val="-19"/>
                <w:w w:val="90"/>
                <w:sz w:val="15"/>
              </w:rPr>
              <w:t> </w:t>
            </w:r>
            <w:r>
              <w:rPr>
                <w:color w:val="231F20"/>
                <w:w w:val="90"/>
                <w:sz w:val="15"/>
              </w:rPr>
              <w:t>realidad </w:t>
            </w:r>
            <w:r>
              <w:rPr>
                <w:color w:val="231F20"/>
                <w:w w:val="95"/>
                <w:sz w:val="15"/>
              </w:rPr>
              <w:t>demasiado frecuente, dema- </w:t>
            </w:r>
            <w:r>
              <w:rPr>
                <w:color w:val="231F20"/>
                <w:w w:val="85"/>
                <w:sz w:val="15"/>
              </w:rPr>
              <w:t>siado</w:t>
            </w:r>
            <w:r>
              <w:rPr>
                <w:color w:val="231F20"/>
                <w:spacing w:val="-1"/>
                <w:w w:val="85"/>
                <w:sz w:val="15"/>
              </w:rPr>
              <w:t> </w:t>
            </w:r>
            <w:r>
              <w:rPr>
                <w:color w:val="231F20"/>
                <w:w w:val="85"/>
                <w:sz w:val="15"/>
              </w:rPr>
              <w:t>cercana.</w:t>
            </w:r>
          </w:p>
          <w:p>
            <w:pPr>
              <w:pStyle w:val="TableParagraph"/>
              <w:spacing w:line="237" w:lineRule="auto"/>
              <w:ind w:right="371"/>
              <w:rPr>
                <w:sz w:val="15"/>
              </w:rPr>
            </w:pPr>
            <w:r>
              <w:rPr>
                <w:color w:val="231F20"/>
                <w:w w:val="85"/>
                <w:sz w:val="15"/>
              </w:rPr>
              <w:t>Amenaza con </w:t>
            </w:r>
            <w:r>
              <w:rPr>
                <w:color w:val="231F20"/>
                <w:w w:val="95"/>
                <w:sz w:val="15"/>
              </w:rPr>
              <w:t>hacerse algo común.</w:t>
            </w:r>
          </w:p>
          <w:p>
            <w:pPr>
              <w:pStyle w:val="TableParagraph"/>
              <w:spacing w:line="235" w:lineRule="auto" w:before="37"/>
              <w:ind w:right="51"/>
              <w:rPr>
                <w:sz w:val="15"/>
              </w:rPr>
            </w:pPr>
            <w:r>
              <w:rPr>
                <w:color w:val="231F20"/>
                <w:w w:val="95"/>
                <w:sz w:val="15"/>
              </w:rPr>
              <w:t>Los mayores </w:t>
            </w:r>
            <w:r>
              <w:rPr>
                <w:color w:val="231F20"/>
                <w:w w:val="90"/>
                <w:sz w:val="15"/>
              </w:rPr>
              <w:t>podrán comparar: </w:t>
            </w:r>
            <w:r>
              <w:rPr>
                <w:color w:val="231F20"/>
                <w:w w:val="95"/>
                <w:sz w:val="15"/>
              </w:rPr>
              <w:t>siempre han existido actos de violencia, pero </w:t>
            </w:r>
            <w:r>
              <w:rPr>
                <w:color w:val="231F20"/>
                <w:w w:val="90"/>
                <w:sz w:val="15"/>
              </w:rPr>
              <w:t>parece, que ni eran </w:t>
            </w:r>
            <w:r>
              <w:rPr>
                <w:color w:val="231F20"/>
                <w:w w:val="95"/>
                <w:sz w:val="15"/>
              </w:rPr>
              <w:t>tan frecuentes, ni eran tan numero- sos, ni eran vistos </w:t>
            </w:r>
            <w:r>
              <w:rPr>
                <w:color w:val="231F20"/>
                <w:w w:val="90"/>
                <w:sz w:val="15"/>
              </w:rPr>
              <w:t>con tanta naturali- </w:t>
            </w:r>
            <w:r>
              <w:rPr>
                <w:color w:val="231F20"/>
                <w:w w:val="95"/>
                <w:sz w:val="15"/>
              </w:rPr>
              <w:t>dad o resignación </w:t>
            </w:r>
            <w:r>
              <w:rPr>
                <w:color w:val="231F20"/>
                <w:w w:val="90"/>
                <w:sz w:val="15"/>
              </w:rPr>
              <w:t>como ahora.</w:t>
            </w:r>
          </w:p>
          <w:p>
            <w:pPr>
              <w:pStyle w:val="TableParagraph"/>
              <w:spacing w:line="235" w:lineRule="auto" w:before="37"/>
              <w:ind w:left="101" w:right="51"/>
              <w:rPr>
                <w:sz w:val="15"/>
              </w:rPr>
            </w:pPr>
            <w:r>
              <w:rPr>
                <w:color w:val="231F20"/>
                <w:w w:val="90"/>
                <w:sz w:val="15"/>
              </w:rPr>
              <w:t>¿Cómo es posible </w:t>
            </w:r>
            <w:r>
              <w:rPr>
                <w:color w:val="231F20"/>
                <w:w w:val="95"/>
                <w:sz w:val="15"/>
              </w:rPr>
              <w:t>que nos acostum- bremos a tales </w:t>
            </w:r>
            <w:r>
              <w:rPr>
                <w:color w:val="231F20"/>
                <w:w w:val="85"/>
                <w:sz w:val="15"/>
              </w:rPr>
              <w:t>violencias? ¿Cómo </w:t>
            </w:r>
            <w:r>
              <w:rPr>
                <w:color w:val="231F20"/>
                <w:w w:val="95"/>
                <w:sz w:val="15"/>
              </w:rPr>
              <w:t>es posible que las aceptemos como parte del mundo </w:t>
            </w:r>
            <w:r>
              <w:rPr>
                <w:color w:val="231F20"/>
                <w:w w:val="85"/>
                <w:sz w:val="15"/>
              </w:rPr>
              <w:t>que cambia?</w:t>
            </w:r>
          </w:p>
          <w:p>
            <w:pPr>
              <w:pStyle w:val="TableParagraph"/>
              <w:spacing w:line="235" w:lineRule="auto" w:before="3"/>
              <w:ind w:left="101" w:right="79"/>
              <w:rPr>
                <w:sz w:val="15"/>
              </w:rPr>
            </w:pPr>
            <w:r>
              <w:rPr>
                <w:color w:val="231F20"/>
                <w:w w:val="90"/>
                <w:sz w:val="15"/>
              </w:rPr>
              <w:t>¿Hacia dónde está </w:t>
            </w:r>
            <w:r>
              <w:rPr>
                <w:color w:val="231F20"/>
                <w:w w:val="95"/>
                <w:sz w:val="15"/>
              </w:rPr>
              <w:t>cambiando nuestro mundo, este de aquí, el más cercano, el mundo donde caminamos y realizamos </w:t>
            </w:r>
            <w:r>
              <w:rPr>
                <w:color w:val="231F20"/>
                <w:w w:val="90"/>
                <w:sz w:val="15"/>
              </w:rPr>
              <w:t>nuestras activida- </w:t>
            </w:r>
            <w:r>
              <w:rPr>
                <w:color w:val="231F20"/>
                <w:w w:val="95"/>
                <w:sz w:val="15"/>
              </w:rPr>
              <w:t>des?</w:t>
            </w:r>
          </w:p>
          <w:p>
            <w:pPr>
              <w:pStyle w:val="TableParagraph"/>
              <w:spacing w:line="235" w:lineRule="auto" w:before="37"/>
              <w:ind w:right="79"/>
              <w:rPr>
                <w:sz w:val="15"/>
              </w:rPr>
            </w:pPr>
            <w:r>
              <w:rPr>
                <w:color w:val="231F20"/>
                <w:w w:val="95"/>
                <w:sz w:val="15"/>
              </w:rPr>
              <w:t>¿Por qué se silencian los </w:t>
            </w:r>
            <w:r>
              <w:rPr>
                <w:color w:val="231F20"/>
                <w:w w:val="90"/>
                <w:sz w:val="15"/>
              </w:rPr>
              <w:t>hechos de violen- </w:t>
            </w:r>
            <w:r>
              <w:rPr>
                <w:color w:val="231F20"/>
                <w:w w:val="95"/>
                <w:sz w:val="15"/>
              </w:rPr>
              <w:t>cia en nuestro </w:t>
            </w:r>
            <w:r>
              <w:rPr>
                <w:color w:val="231F20"/>
                <w:w w:val="90"/>
                <w:sz w:val="15"/>
              </w:rPr>
              <w:t>país? No estamos </w:t>
            </w:r>
            <w:r>
              <w:rPr>
                <w:color w:val="231F20"/>
                <w:w w:val="95"/>
                <w:sz w:val="15"/>
              </w:rPr>
              <w:t>hablando del morbo o de la crueldad, no </w:t>
            </w:r>
            <w:r>
              <w:rPr>
                <w:color w:val="231F20"/>
                <w:w w:val="85"/>
                <w:sz w:val="15"/>
              </w:rPr>
              <w:t>estamos hablando</w:t>
            </w:r>
          </w:p>
        </w:tc>
        <w:tc>
          <w:tcPr>
            <w:tcW w:w="1133" w:type="dxa"/>
          </w:tcPr>
          <w:p>
            <w:pPr>
              <w:pStyle w:val="TableParagraph"/>
              <w:spacing w:line="235" w:lineRule="auto" w:before="30"/>
              <w:ind w:right="66"/>
              <w:rPr>
                <w:sz w:val="15"/>
              </w:rPr>
            </w:pPr>
            <w:r>
              <w:rPr>
                <w:color w:val="231F20"/>
                <w:w w:val="95"/>
                <w:sz w:val="15"/>
              </w:rPr>
              <w:t>El texto apela a una toma de conciencia por parte de los ciudadanos; la serie de pregun- tas que se formulan </w:t>
            </w:r>
            <w:r>
              <w:rPr>
                <w:color w:val="231F20"/>
                <w:w w:val="90"/>
                <w:sz w:val="15"/>
              </w:rPr>
              <w:t>intentan cuestio- nar la pasividad y </w:t>
            </w:r>
            <w:r>
              <w:rPr>
                <w:color w:val="231F20"/>
                <w:w w:val="95"/>
                <w:sz w:val="15"/>
              </w:rPr>
              <w:t>la indiferencia con la cual se reciben los </w:t>
            </w:r>
            <w:r>
              <w:rPr>
                <w:color w:val="231F20"/>
                <w:w w:val="85"/>
                <w:sz w:val="15"/>
              </w:rPr>
              <w:t>hechos violentos.</w:t>
            </w:r>
          </w:p>
          <w:p>
            <w:pPr>
              <w:pStyle w:val="TableParagraph"/>
              <w:spacing w:line="235" w:lineRule="auto" w:before="42"/>
              <w:ind w:right="96"/>
              <w:rPr>
                <w:sz w:val="15"/>
              </w:rPr>
            </w:pPr>
            <w:r>
              <w:rPr>
                <w:color w:val="231F20"/>
                <w:w w:val="95"/>
                <w:sz w:val="15"/>
              </w:rPr>
              <w:t>En la última parte, pareciera que</w:t>
            </w:r>
            <w:r>
              <w:rPr>
                <w:color w:val="231F20"/>
                <w:spacing w:val="-21"/>
                <w:w w:val="95"/>
                <w:sz w:val="15"/>
              </w:rPr>
              <w:t> </w:t>
            </w:r>
            <w:r>
              <w:rPr>
                <w:color w:val="231F20"/>
                <w:w w:val="95"/>
                <w:sz w:val="15"/>
              </w:rPr>
              <w:t>la</w:t>
            </w:r>
            <w:r>
              <w:rPr>
                <w:color w:val="231F20"/>
                <w:spacing w:val="-21"/>
                <w:w w:val="95"/>
                <w:sz w:val="15"/>
              </w:rPr>
              <w:t> </w:t>
            </w:r>
            <w:r>
              <w:rPr>
                <w:color w:val="231F20"/>
                <w:w w:val="95"/>
                <w:sz w:val="15"/>
              </w:rPr>
              <w:t>crítica</w:t>
            </w:r>
            <w:r>
              <w:rPr>
                <w:color w:val="231F20"/>
                <w:spacing w:val="-21"/>
                <w:w w:val="95"/>
                <w:sz w:val="15"/>
              </w:rPr>
              <w:t> </w:t>
            </w:r>
            <w:r>
              <w:rPr>
                <w:color w:val="231F20"/>
                <w:w w:val="95"/>
                <w:sz w:val="15"/>
              </w:rPr>
              <w:t>a</w:t>
            </w:r>
            <w:r>
              <w:rPr>
                <w:color w:val="231F20"/>
                <w:spacing w:val="-21"/>
                <w:w w:val="95"/>
                <w:sz w:val="15"/>
              </w:rPr>
              <w:t> </w:t>
            </w:r>
            <w:r>
              <w:rPr>
                <w:color w:val="231F20"/>
                <w:w w:val="95"/>
                <w:sz w:val="15"/>
              </w:rPr>
              <w:t>la difusión de la violencia en los medios de comunicación </w:t>
            </w:r>
            <w:r>
              <w:rPr>
                <w:color w:val="231F20"/>
                <w:w w:val="85"/>
                <w:sz w:val="15"/>
              </w:rPr>
              <w:t>masiva, al tiempo </w:t>
            </w:r>
            <w:r>
              <w:rPr>
                <w:color w:val="231F20"/>
                <w:w w:val="90"/>
                <w:sz w:val="15"/>
              </w:rPr>
              <w:t>que</w:t>
            </w:r>
            <w:r>
              <w:rPr>
                <w:color w:val="231F20"/>
                <w:spacing w:val="-15"/>
                <w:w w:val="90"/>
                <w:sz w:val="15"/>
              </w:rPr>
              <w:t> </w:t>
            </w:r>
            <w:r>
              <w:rPr>
                <w:color w:val="231F20"/>
                <w:w w:val="90"/>
                <w:sz w:val="15"/>
              </w:rPr>
              <w:t>se</w:t>
            </w:r>
            <w:r>
              <w:rPr>
                <w:color w:val="231F20"/>
                <w:spacing w:val="-15"/>
                <w:w w:val="90"/>
                <w:sz w:val="15"/>
              </w:rPr>
              <w:t> </w:t>
            </w:r>
            <w:r>
              <w:rPr>
                <w:color w:val="231F20"/>
                <w:w w:val="90"/>
                <w:sz w:val="15"/>
              </w:rPr>
              <w:t>maquillan </w:t>
            </w:r>
            <w:r>
              <w:rPr>
                <w:color w:val="231F20"/>
                <w:w w:val="95"/>
                <w:sz w:val="15"/>
              </w:rPr>
              <w:t>las estadísticas, provoca una especie de </w:t>
            </w:r>
            <w:r>
              <w:rPr>
                <w:color w:val="231F20"/>
                <w:w w:val="90"/>
                <w:sz w:val="15"/>
              </w:rPr>
              <w:t>distanciamiento </w:t>
            </w:r>
            <w:r>
              <w:rPr>
                <w:color w:val="231F20"/>
                <w:w w:val="95"/>
                <w:sz w:val="15"/>
              </w:rPr>
              <w:t>entre el ciuda- dano y los </w:t>
            </w:r>
            <w:r>
              <w:rPr>
                <w:color w:val="231F20"/>
                <w:w w:val="85"/>
                <w:sz w:val="15"/>
              </w:rPr>
              <w:t>hechos violentos: </w:t>
            </w:r>
            <w:r>
              <w:rPr>
                <w:color w:val="231F20"/>
                <w:w w:val="90"/>
                <w:sz w:val="15"/>
              </w:rPr>
              <w:t>“Entonces lo</w:t>
            </w:r>
            <w:r>
              <w:rPr>
                <w:color w:val="231F20"/>
                <w:spacing w:val="-15"/>
                <w:w w:val="90"/>
                <w:sz w:val="15"/>
              </w:rPr>
              <w:t> </w:t>
            </w:r>
            <w:r>
              <w:rPr>
                <w:color w:val="231F20"/>
                <w:w w:val="90"/>
                <w:sz w:val="15"/>
              </w:rPr>
              <w:t>que </w:t>
            </w:r>
            <w:r>
              <w:rPr>
                <w:color w:val="231F20"/>
                <w:w w:val="95"/>
                <w:sz w:val="15"/>
              </w:rPr>
              <w:t>se</w:t>
            </w:r>
            <w:r>
              <w:rPr>
                <w:color w:val="231F20"/>
                <w:spacing w:val="-22"/>
                <w:w w:val="95"/>
                <w:sz w:val="15"/>
              </w:rPr>
              <w:t> </w:t>
            </w:r>
            <w:r>
              <w:rPr>
                <w:color w:val="231F20"/>
                <w:w w:val="95"/>
                <w:sz w:val="15"/>
              </w:rPr>
              <w:t>logra</w:t>
            </w:r>
            <w:r>
              <w:rPr>
                <w:color w:val="231F20"/>
                <w:spacing w:val="-22"/>
                <w:w w:val="95"/>
                <w:sz w:val="15"/>
              </w:rPr>
              <w:t> </w:t>
            </w:r>
            <w:r>
              <w:rPr>
                <w:color w:val="231F20"/>
                <w:w w:val="95"/>
                <w:sz w:val="15"/>
              </w:rPr>
              <w:t>es</w:t>
            </w:r>
            <w:r>
              <w:rPr>
                <w:color w:val="231F20"/>
                <w:spacing w:val="-22"/>
                <w:w w:val="95"/>
                <w:sz w:val="15"/>
              </w:rPr>
              <w:t> </w:t>
            </w:r>
            <w:r>
              <w:rPr>
                <w:color w:val="231F20"/>
                <w:w w:val="95"/>
                <w:sz w:val="15"/>
              </w:rPr>
              <w:t>que</w:t>
            </w:r>
            <w:r>
              <w:rPr>
                <w:color w:val="231F20"/>
                <w:spacing w:val="-22"/>
                <w:w w:val="95"/>
                <w:sz w:val="15"/>
              </w:rPr>
              <w:t> </w:t>
            </w:r>
            <w:r>
              <w:rPr>
                <w:color w:val="231F20"/>
                <w:w w:val="95"/>
                <w:sz w:val="15"/>
              </w:rPr>
              <w:t>la gente no le dé importancia</w:t>
            </w:r>
            <w:r>
              <w:rPr>
                <w:color w:val="231F20"/>
                <w:spacing w:val="-22"/>
                <w:w w:val="95"/>
                <w:sz w:val="15"/>
              </w:rPr>
              <w:t> </w:t>
            </w:r>
            <w:r>
              <w:rPr>
                <w:color w:val="231F20"/>
                <w:w w:val="95"/>
                <w:sz w:val="15"/>
              </w:rPr>
              <w:t>a</w:t>
            </w:r>
            <w:r>
              <w:rPr>
                <w:color w:val="231F20"/>
                <w:spacing w:val="-22"/>
                <w:w w:val="95"/>
                <w:sz w:val="15"/>
              </w:rPr>
              <w:t> </w:t>
            </w:r>
            <w:r>
              <w:rPr>
                <w:color w:val="231F20"/>
                <w:w w:val="95"/>
                <w:sz w:val="15"/>
              </w:rPr>
              <w:t>la </w:t>
            </w:r>
            <w:r>
              <w:rPr>
                <w:color w:val="231F20"/>
                <w:w w:val="85"/>
                <w:sz w:val="15"/>
              </w:rPr>
              <w:t>violencia porque, </w:t>
            </w:r>
            <w:r>
              <w:rPr>
                <w:color w:val="231F20"/>
                <w:w w:val="95"/>
                <w:sz w:val="15"/>
              </w:rPr>
              <w:t>como lo impor- tante sale por la televisión y el periódico, </w:t>
            </w:r>
            <w:r>
              <w:rPr>
                <w:color w:val="231F20"/>
                <w:w w:val="90"/>
                <w:sz w:val="15"/>
              </w:rPr>
              <w:t>pudiera deducir- </w:t>
            </w:r>
            <w:r>
              <w:rPr>
                <w:color w:val="231F20"/>
                <w:w w:val="95"/>
                <w:sz w:val="15"/>
              </w:rPr>
              <w:t>se</w:t>
            </w:r>
            <w:r>
              <w:rPr>
                <w:color w:val="231F20"/>
                <w:spacing w:val="-19"/>
                <w:w w:val="95"/>
                <w:sz w:val="15"/>
              </w:rPr>
              <w:t> </w:t>
            </w:r>
            <w:r>
              <w:rPr>
                <w:color w:val="231F20"/>
                <w:w w:val="95"/>
                <w:sz w:val="15"/>
              </w:rPr>
              <w:t>que</w:t>
            </w:r>
            <w:r>
              <w:rPr>
                <w:color w:val="231F20"/>
                <w:spacing w:val="-19"/>
                <w:w w:val="95"/>
                <w:sz w:val="15"/>
              </w:rPr>
              <w:t> </w:t>
            </w:r>
            <w:r>
              <w:rPr>
                <w:color w:val="231F20"/>
                <w:w w:val="95"/>
                <w:sz w:val="15"/>
              </w:rPr>
              <w:t>se</w:t>
            </w:r>
            <w:r>
              <w:rPr>
                <w:color w:val="231F20"/>
                <w:spacing w:val="-19"/>
                <w:w w:val="95"/>
                <w:sz w:val="15"/>
              </w:rPr>
              <w:t> </w:t>
            </w:r>
            <w:r>
              <w:rPr>
                <w:color w:val="231F20"/>
                <w:w w:val="95"/>
                <w:sz w:val="15"/>
              </w:rPr>
              <w:t>trata</w:t>
            </w:r>
            <w:r>
              <w:rPr>
                <w:color w:val="231F20"/>
                <w:spacing w:val="-19"/>
                <w:w w:val="95"/>
                <w:sz w:val="15"/>
              </w:rPr>
              <w:t> </w:t>
            </w:r>
            <w:r>
              <w:rPr>
                <w:color w:val="231F20"/>
                <w:w w:val="95"/>
                <w:sz w:val="15"/>
              </w:rPr>
              <w:t>de un acto menos grave, que no merece la pena condenarlo y </w:t>
            </w:r>
            <w:r>
              <w:rPr>
                <w:color w:val="231F20"/>
                <w:w w:val="90"/>
                <w:sz w:val="15"/>
              </w:rPr>
              <w:t>sacar las conclu- </w:t>
            </w:r>
            <w:r>
              <w:rPr>
                <w:color w:val="231F20"/>
                <w:w w:val="95"/>
                <w:sz w:val="15"/>
              </w:rPr>
              <w:t>siones y leccio- nes de esas realidades.</w:t>
            </w:r>
          </w:p>
        </w:tc>
      </w:tr>
    </w:tbl>
    <w:p>
      <w:pPr>
        <w:spacing w:after="0" w:line="235" w:lineRule="auto"/>
        <w:rPr>
          <w:sz w:val="15"/>
        </w:rPr>
        <w:sectPr>
          <w:headerReference w:type="default" r:id="rId603"/>
          <w:footerReference w:type="default" r:id="rId604"/>
          <w:pgSz w:w="7830" w:h="11910"/>
          <w:pgMar w:header="0" w:footer="424" w:top="500" w:bottom="620" w:left="800" w:right="380"/>
          <w:pgNumType w:start="267"/>
        </w:sectPr>
      </w:pPr>
    </w:p>
    <w:p>
      <w:pPr>
        <w:spacing w:before="46"/>
        <w:ind w:left="71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4944" w:hRule="exact"/>
        </w:trPr>
        <w:tc>
          <w:tcPr>
            <w:tcW w:w="778" w:type="dxa"/>
          </w:tcPr>
          <w:p>
            <w:pPr/>
          </w:p>
        </w:tc>
        <w:tc>
          <w:tcPr>
            <w:tcW w:w="1176" w:type="dxa"/>
          </w:tcPr>
          <w:p>
            <w:pPr/>
          </w:p>
        </w:tc>
        <w:tc>
          <w:tcPr>
            <w:tcW w:w="1037" w:type="dxa"/>
          </w:tcPr>
          <w:p>
            <w:pPr/>
          </w:p>
        </w:tc>
        <w:tc>
          <w:tcPr>
            <w:tcW w:w="1080" w:type="dxa"/>
          </w:tcPr>
          <w:p>
            <w:pPr/>
          </w:p>
        </w:tc>
        <w:tc>
          <w:tcPr>
            <w:tcW w:w="1210" w:type="dxa"/>
          </w:tcPr>
          <w:p>
            <w:pPr>
              <w:pStyle w:val="TableParagraph"/>
              <w:spacing w:line="235" w:lineRule="auto"/>
              <w:ind w:right="51"/>
              <w:rPr>
                <w:sz w:val="15"/>
              </w:rPr>
            </w:pPr>
            <w:r>
              <w:rPr>
                <w:color w:val="231F20"/>
                <w:w w:val="95"/>
                <w:sz w:val="15"/>
              </w:rPr>
              <w:t>de la prensa amarilla que se </w:t>
            </w:r>
            <w:r>
              <w:rPr>
                <w:color w:val="231F20"/>
                <w:w w:val="90"/>
                <w:sz w:val="15"/>
              </w:rPr>
              <w:t>regodea mostran- </w:t>
            </w:r>
            <w:r>
              <w:rPr>
                <w:color w:val="231F20"/>
                <w:w w:val="95"/>
                <w:sz w:val="15"/>
              </w:rPr>
              <w:t>do gráficamente </w:t>
            </w:r>
            <w:r>
              <w:rPr>
                <w:color w:val="231F20"/>
                <w:w w:val="90"/>
                <w:sz w:val="15"/>
              </w:rPr>
              <w:t>muertos, heridos y </w:t>
            </w:r>
            <w:r>
              <w:rPr>
                <w:color w:val="231F20"/>
                <w:w w:val="95"/>
                <w:sz w:val="15"/>
              </w:rPr>
              <w:t>descuartizados.</w:t>
            </w:r>
          </w:p>
          <w:p>
            <w:pPr>
              <w:pStyle w:val="TableParagraph"/>
              <w:spacing w:line="235" w:lineRule="auto"/>
              <w:ind w:right="51"/>
              <w:rPr>
                <w:sz w:val="15"/>
              </w:rPr>
            </w:pPr>
            <w:r>
              <w:rPr>
                <w:color w:val="231F20"/>
                <w:w w:val="95"/>
                <w:sz w:val="15"/>
              </w:rPr>
              <w:t>Esto no ayuda a </w:t>
            </w:r>
            <w:r>
              <w:rPr>
                <w:color w:val="231F20"/>
                <w:w w:val="90"/>
                <w:sz w:val="15"/>
              </w:rPr>
              <w:t>nadie. Eso difunde </w:t>
            </w:r>
            <w:r>
              <w:rPr>
                <w:color w:val="231F20"/>
                <w:w w:val="95"/>
                <w:sz w:val="15"/>
              </w:rPr>
              <w:t>la violencia y ofende la vista de los receptores y la dignidad de las víctimas. No es a eso a lo que me </w:t>
            </w:r>
            <w:r>
              <w:rPr>
                <w:color w:val="231F20"/>
                <w:w w:val="90"/>
                <w:sz w:val="15"/>
              </w:rPr>
              <w:t>refiero. Se trata de </w:t>
            </w:r>
            <w:r>
              <w:rPr>
                <w:color w:val="231F20"/>
                <w:w w:val="95"/>
                <w:sz w:val="15"/>
              </w:rPr>
              <w:t>cuando se silen- </w:t>
            </w:r>
            <w:r>
              <w:rPr>
                <w:color w:val="231F20"/>
                <w:w w:val="85"/>
                <w:sz w:val="15"/>
              </w:rPr>
              <w:t>cian las estadísticas </w:t>
            </w:r>
            <w:r>
              <w:rPr>
                <w:color w:val="231F20"/>
                <w:w w:val="90"/>
                <w:sz w:val="15"/>
              </w:rPr>
              <w:t>de actos violentos, las noticias cubren </w:t>
            </w:r>
            <w:r>
              <w:rPr>
                <w:color w:val="231F20"/>
                <w:w w:val="95"/>
                <w:sz w:val="15"/>
              </w:rPr>
              <w:t>la crueldad con la que pasa la violencia porque </w:t>
            </w:r>
            <w:r>
              <w:rPr>
                <w:color w:val="231F20"/>
                <w:w w:val="90"/>
                <w:sz w:val="15"/>
              </w:rPr>
              <w:t>se desea presentar </w:t>
            </w:r>
            <w:r>
              <w:rPr>
                <w:color w:val="231F20"/>
                <w:w w:val="95"/>
                <w:sz w:val="15"/>
              </w:rPr>
              <w:t>una atmósfera de </w:t>
            </w:r>
            <w:r>
              <w:rPr>
                <w:color w:val="231F20"/>
                <w:w w:val="90"/>
                <w:sz w:val="15"/>
              </w:rPr>
              <w:t>normalidad dentro </w:t>
            </w:r>
            <w:r>
              <w:rPr>
                <w:color w:val="231F20"/>
                <w:w w:val="95"/>
                <w:sz w:val="15"/>
              </w:rPr>
              <w:t>y de inquietud fuera. Dentro, todo tranquilo; </w:t>
            </w:r>
            <w:r>
              <w:rPr>
                <w:color w:val="231F20"/>
                <w:w w:val="90"/>
                <w:sz w:val="15"/>
              </w:rPr>
              <w:t>fuera, todo mal.</w:t>
            </w:r>
          </w:p>
        </w:tc>
        <w:tc>
          <w:tcPr>
            <w:tcW w:w="1133" w:type="dxa"/>
          </w:tcPr>
          <w:p>
            <w:pPr/>
          </w:p>
        </w:tc>
      </w:tr>
      <w:tr>
        <w:trPr>
          <w:trHeight w:val="220" w:hRule="exact"/>
        </w:trPr>
        <w:tc>
          <w:tcPr>
            <w:tcW w:w="778" w:type="dxa"/>
            <w:tcBorders>
              <w:bottom w:val="nil"/>
            </w:tcBorders>
          </w:tcPr>
          <w:p>
            <w:pPr>
              <w:pStyle w:val="TableParagraph"/>
              <w:spacing w:before="28"/>
              <w:ind w:left="105"/>
              <w:rPr>
                <w:sz w:val="15"/>
              </w:rPr>
            </w:pPr>
            <w:r>
              <w:rPr>
                <w:color w:val="231F20"/>
                <w:w w:val="90"/>
                <w:sz w:val="15"/>
              </w:rPr>
              <w:t>6.</w:t>
            </w:r>
          </w:p>
        </w:tc>
        <w:tc>
          <w:tcPr>
            <w:tcW w:w="1176" w:type="dxa"/>
            <w:tcBorders>
              <w:bottom w:val="nil"/>
            </w:tcBorders>
          </w:tcPr>
          <w:p>
            <w:pPr>
              <w:pStyle w:val="TableParagraph"/>
              <w:spacing w:before="28"/>
              <w:rPr>
                <w:sz w:val="15"/>
              </w:rPr>
            </w:pPr>
            <w:r>
              <w:rPr>
                <w:color w:val="231F20"/>
                <w:w w:val="90"/>
                <w:sz w:val="15"/>
              </w:rPr>
              <w:t>La violencia no es</w:t>
            </w:r>
          </w:p>
        </w:tc>
        <w:tc>
          <w:tcPr>
            <w:tcW w:w="1037" w:type="dxa"/>
            <w:vMerge w:val="restart"/>
          </w:tcPr>
          <w:p>
            <w:pPr/>
          </w:p>
        </w:tc>
        <w:tc>
          <w:tcPr>
            <w:tcW w:w="1080" w:type="dxa"/>
            <w:tcBorders>
              <w:bottom w:val="nil"/>
            </w:tcBorders>
          </w:tcPr>
          <w:p>
            <w:pPr>
              <w:pStyle w:val="TableParagraph"/>
              <w:spacing w:before="28"/>
              <w:ind w:right="30"/>
              <w:rPr>
                <w:sz w:val="15"/>
              </w:rPr>
            </w:pPr>
            <w:r>
              <w:rPr>
                <w:color w:val="231F20"/>
                <w:w w:val="95"/>
                <w:sz w:val="15"/>
              </w:rPr>
              <w:t>Comentario</w:t>
            </w:r>
          </w:p>
        </w:tc>
        <w:tc>
          <w:tcPr>
            <w:tcW w:w="1210" w:type="dxa"/>
            <w:tcBorders>
              <w:bottom w:val="nil"/>
            </w:tcBorders>
          </w:tcPr>
          <w:p>
            <w:pPr>
              <w:pStyle w:val="TableParagraph"/>
              <w:spacing w:before="28"/>
              <w:ind w:right="79"/>
              <w:rPr>
                <w:sz w:val="15"/>
              </w:rPr>
            </w:pPr>
            <w:r>
              <w:rPr>
                <w:color w:val="231F20"/>
                <w:w w:val="90"/>
                <w:sz w:val="15"/>
              </w:rPr>
              <w:t>Aunque se ha</w:t>
            </w:r>
          </w:p>
        </w:tc>
        <w:tc>
          <w:tcPr>
            <w:tcW w:w="1133" w:type="dxa"/>
            <w:tcBorders>
              <w:bottom w:val="nil"/>
            </w:tcBorders>
          </w:tcPr>
          <w:p>
            <w:pPr>
              <w:pStyle w:val="TableParagraph"/>
              <w:spacing w:before="28"/>
              <w:ind w:right="66"/>
              <w:rPr>
                <w:sz w:val="15"/>
              </w:rPr>
            </w:pPr>
            <w:r>
              <w:rPr>
                <w:color w:val="231F20"/>
                <w:w w:val="90"/>
                <w:sz w:val="15"/>
              </w:rPr>
              <w:t>Nosotros como</w:t>
            </w:r>
          </w:p>
        </w:tc>
      </w:tr>
      <w:tr>
        <w:trPr>
          <w:trHeight w:val="338" w:hRule="exact"/>
        </w:trPr>
        <w:tc>
          <w:tcPr>
            <w:tcW w:w="778" w:type="dxa"/>
            <w:tcBorders>
              <w:top w:val="nil"/>
              <w:bottom w:val="nil"/>
            </w:tcBorders>
          </w:tcPr>
          <w:p>
            <w:pPr>
              <w:pStyle w:val="TableParagraph"/>
              <w:spacing w:before="24"/>
              <w:ind w:left="105"/>
              <w:rPr>
                <w:sz w:val="15"/>
              </w:rPr>
            </w:pPr>
            <w:r>
              <w:rPr>
                <w:color w:val="231F20"/>
                <w:w w:val="90"/>
                <w:sz w:val="15"/>
              </w:rPr>
              <w:t>Claudia</w:t>
            </w:r>
          </w:p>
        </w:tc>
        <w:tc>
          <w:tcPr>
            <w:tcW w:w="1176" w:type="dxa"/>
            <w:tcBorders>
              <w:top w:val="nil"/>
              <w:bottom w:val="nil"/>
            </w:tcBorders>
          </w:tcPr>
          <w:p>
            <w:pPr>
              <w:pStyle w:val="TableParagraph"/>
              <w:spacing w:line="156" w:lineRule="exact"/>
              <w:ind w:right="58"/>
              <w:rPr>
                <w:sz w:val="15"/>
              </w:rPr>
            </w:pPr>
            <w:r>
              <w:rPr>
                <w:color w:val="231F20"/>
                <w:w w:val="85"/>
                <w:sz w:val="15"/>
              </w:rPr>
              <w:t>solo física sino</w:t>
            </w:r>
          </w:p>
          <w:p>
            <w:pPr>
              <w:pStyle w:val="TableParagraph"/>
              <w:spacing w:line="170" w:lineRule="exact"/>
              <w:ind w:right="41"/>
              <w:rPr>
                <w:sz w:val="15"/>
              </w:rPr>
            </w:pPr>
            <w:r>
              <w:rPr>
                <w:color w:val="231F20"/>
                <w:w w:val="90"/>
                <w:sz w:val="15"/>
              </w:rPr>
              <w:t>también puede ser</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acerca de la</w:t>
            </w:r>
          </w:p>
          <w:p>
            <w:pPr>
              <w:pStyle w:val="TableParagraph"/>
              <w:spacing w:line="170" w:lineRule="exact"/>
              <w:ind w:right="30"/>
              <w:rPr>
                <w:sz w:val="15"/>
              </w:rPr>
            </w:pPr>
            <w:r>
              <w:rPr>
                <w:color w:val="231F20"/>
                <w:w w:val="90"/>
                <w:sz w:val="15"/>
              </w:rPr>
              <w:t>presencia de la</w:t>
            </w:r>
          </w:p>
        </w:tc>
        <w:tc>
          <w:tcPr>
            <w:tcW w:w="1210" w:type="dxa"/>
            <w:tcBorders>
              <w:top w:val="nil"/>
              <w:bottom w:val="nil"/>
            </w:tcBorders>
          </w:tcPr>
          <w:p>
            <w:pPr>
              <w:pStyle w:val="TableParagraph"/>
              <w:spacing w:line="156" w:lineRule="exact"/>
              <w:ind w:right="79"/>
              <w:rPr>
                <w:sz w:val="15"/>
              </w:rPr>
            </w:pPr>
            <w:r>
              <w:rPr>
                <w:color w:val="231F20"/>
                <w:w w:val="90"/>
                <w:sz w:val="15"/>
              </w:rPr>
              <w:t>dicho que la</w:t>
            </w:r>
          </w:p>
          <w:p>
            <w:pPr>
              <w:pStyle w:val="TableParagraph"/>
              <w:spacing w:line="170" w:lineRule="exact"/>
              <w:ind w:right="79"/>
              <w:rPr>
                <w:sz w:val="15"/>
              </w:rPr>
            </w:pPr>
            <w:r>
              <w:rPr>
                <w:color w:val="231F20"/>
                <w:w w:val="90"/>
                <w:sz w:val="15"/>
              </w:rPr>
              <w:t>violencia poco a</w:t>
            </w:r>
          </w:p>
        </w:tc>
        <w:tc>
          <w:tcPr>
            <w:tcW w:w="1133" w:type="dxa"/>
            <w:tcBorders>
              <w:top w:val="nil"/>
              <w:bottom w:val="nil"/>
            </w:tcBorders>
          </w:tcPr>
          <w:p>
            <w:pPr>
              <w:pStyle w:val="TableParagraph"/>
              <w:spacing w:line="156" w:lineRule="exact"/>
              <w:ind w:right="66"/>
              <w:rPr>
                <w:sz w:val="15"/>
              </w:rPr>
            </w:pPr>
            <w:r>
              <w:rPr>
                <w:color w:val="231F20"/>
                <w:w w:val="85"/>
                <w:sz w:val="15"/>
              </w:rPr>
              <w:t>individuos y</w:t>
            </w:r>
          </w:p>
          <w:p>
            <w:pPr>
              <w:pStyle w:val="TableParagraph"/>
              <w:spacing w:line="170" w:lineRule="exact"/>
              <w:ind w:right="66"/>
              <w:rPr>
                <w:sz w:val="15"/>
              </w:rPr>
            </w:pPr>
            <w:r>
              <w:rPr>
                <w:color w:val="231F20"/>
                <w:w w:val="90"/>
                <w:sz w:val="15"/>
              </w:rPr>
              <w:t>parte de una</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psicológica, verbal</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85"/>
                <w:sz w:val="15"/>
              </w:rPr>
              <w:t>violencia a</w:t>
            </w:r>
          </w:p>
        </w:tc>
        <w:tc>
          <w:tcPr>
            <w:tcW w:w="1210" w:type="dxa"/>
            <w:tcBorders>
              <w:top w:val="nil"/>
              <w:bottom w:val="nil"/>
            </w:tcBorders>
          </w:tcPr>
          <w:p>
            <w:pPr>
              <w:pStyle w:val="TableParagraph"/>
              <w:spacing w:line="156" w:lineRule="exact"/>
              <w:ind w:right="79"/>
              <w:rPr>
                <w:sz w:val="15"/>
              </w:rPr>
            </w:pPr>
            <w:r>
              <w:rPr>
                <w:color w:val="231F20"/>
                <w:w w:val="90"/>
                <w:sz w:val="15"/>
              </w:rPr>
              <w:t>poco ha sido</w:t>
            </w:r>
          </w:p>
        </w:tc>
        <w:tc>
          <w:tcPr>
            <w:tcW w:w="1133" w:type="dxa"/>
            <w:tcBorders>
              <w:top w:val="nil"/>
              <w:bottom w:val="nil"/>
            </w:tcBorders>
          </w:tcPr>
          <w:p>
            <w:pPr>
              <w:pStyle w:val="TableParagraph"/>
              <w:spacing w:line="156" w:lineRule="exact"/>
              <w:ind w:right="66"/>
              <w:rPr>
                <w:sz w:val="15"/>
              </w:rPr>
            </w:pPr>
            <w:r>
              <w:rPr>
                <w:color w:val="231F20"/>
                <w:w w:val="85"/>
                <w:sz w:val="15"/>
              </w:rPr>
              <w:t>sociedad debe-</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o simplemente</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85"/>
                <w:sz w:val="15"/>
              </w:rPr>
              <w:t>nuestro alrede-</w:t>
            </w:r>
          </w:p>
        </w:tc>
        <w:tc>
          <w:tcPr>
            <w:tcW w:w="1210" w:type="dxa"/>
            <w:tcBorders>
              <w:top w:val="nil"/>
              <w:bottom w:val="nil"/>
            </w:tcBorders>
          </w:tcPr>
          <w:p>
            <w:pPr>
              <w:pStyle w:val="TableParagraph"/>
              <w:spacing w:line="156" w:lineRule="exact"/>
              <w:ind w:right="79"/>
              <w:rPr>
                <w:sz w:val="15"/>
              </w:rPr>
            </w:pPr>
            <w:r>
              <w:rPr>
                <w:color w:val="231F20"/>
                <w:w w:val="85"/>
                <w:sz w:val="15"/>
              </w:rPr>
              <w:t>erradicada, yo creo</w:t>
            </w:r>
          </w:p>
        </w:tc>
        <w:tc>
          <w:tcPr>
            <w:tcW w:w="1133" w:type="dxa"/>
            <w:tcBorders>
              <w:top w:val="nil"/>
              <w:bottom w:val="nil"/>
            </w:tcBorders>
          </w:tcPr>
          <w:p>
            <w:pPr>
              <w:pStyle w:val="TableParagraph"/>
              <w:spacing w:line="156" w:lineRule="exact"/>
              <w:ind w:right="66"/>
              <w:rPr>
                <w:sz w:val="15"/>
              </w:rPr>
            </w:pPr>
            <w:r>
              <w:rPr>
                <w:color w:val="231F20"/>
                <w:w w:val="90"/>
                <w:sz w:val="15"/>
              </w:rPr>
              <w:t>mos hacer</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algo que cause</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85"/>
                <w:sz w:val="15"/>
              </w:rPr>
              <w:t>dor y sugerencia</w:t>
            </w:r>
          </w:p>
        </w:tc>
        <w:tc>
          <w:tcPr>
            <w:tcW w:w="1210" w:type="dxa"/>
            <w:tcBorders>
              <w:top w:val="nil"/>
              <w:bottom w:val="nil"/>
            </w:tcBorders>
          </w:tcPr>
          <w:p>
            <w:pPr>
              <w:pStyle w:val="TableParagraph"/>
              <w:spacing w:line="156" w:lineRule="exact"/>
              <w:rPr>
                <w:sz w:val="15"/>
              </w:rPr>
            </w:pPr>
            <w:r>
              <w:rPr>
                <w:color w:val="231F20"/>
                <w:w w:val="95"/>
                <w:sz w:val="15"/>
              </w:rPr>
              <w:t>que esto no es del</w:t>
            </w:r>
          </w:p>
        </w:tc>
        <w:tc>
          <w:tcPr>
            <w:tcW w:w="1133" w:type="dxa"/>
            <w:tcBorders>
              <w:top w:val="nil"/>
              <w:bottom w:val="nil"/>
            </w:tcBorders>
          </w:tcPr>
          <w:p>
            <w:pPr>
              <w:pStyle w:val="TableParagraph"/>
              <w:spacing w:line="156" w:lineRule="exact"/>
              <w:ind w:right="66"/>
              <w:rPr>
                <w:sz w:val="15"/>
              </w:rPr>
            </w:pPr>
            <w:r>
              <w:rPr>
                <w:color w:val="231F20"/>
                <w:w w:val="85"/>
                <w:sz w:val="15"/>
              </w:rPr>
              <w:t>conciencia de</w:t>
            </w: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algún tipo de</w:t>
            </w:r>
          </w:p>
        </w:tc>
        <w:tc>
          <w:tcPr>
            <w:tcW w:w="1037" w:type="dxa"/>
            <w:vMerge/>
          </w:tcPr>
          <w:p>
            <w:pPr/>
          </w:p>
        </w:tc>
        <w:tc>
          <w:tcPr>
            <w:tcW w:w="1080" w:type="dxa"/>
            <w:tcBorders>
              <w:top w:val="nil"/>
              <w:bottom w:val="nil"/>
            </w:tcBorders>
          </w:tcPr>
          <w:p>
            <w:pPr>
              <w:pStyle w:val="TableParagraph"/>
              <w:spacing w:line="156" w:lineRule="exact"/>
              <w:ind w:right="376"/>
              <w:rPr>
                <w:sz w:val="15"/>
              </w:rPr>
            </w:pPr>
            <w:r>
              <w:rPr>
                <w:color w:val="231F20"/>
                <w:w w:val="90"/>
                <w:sz w:val="15"/>
              </w:rPr>
              <w:t>de tomar</w:t>
            </w:r>
          </w:p>
        </w:tc>
        <w:tc>
          <w:tcPr>
            <w:tcW w:w="1210" w:type="dxa"/>
            <w:tcBorders>
              <w:top w:val="nil"/>
              <w:bottom w:val="nil"/>
            </w:tcBorders>
          </w:tcPr>
          <w:p>
            <w:pPr>
              <w:pStyle w:val="TableParagraph"/>
              <w:spacing w:line="156" w:lineRule="exact"/>
              <w:ind w:right="79"/>
              <w:rPr>
                <w:sz w:val="15"/>
              </w:rPr>
            </w:pPr>
            <w:r>
              <w:rPr>
                <w:color w:val="231F20"/>
                <w:w w:val="90"/>
                <w:sz w:val="15"/>
              </w:rPr>
              <w:t>todo cierto puesto</w:t>
            </w:r>
          </w:p>
        </w:tc>
        <w:tc>
          <w:tcPr>
            <w:tcW w:w="1133" w:type="dxa"/>
            <w:tcBorders>
              <w:top w:val="nil"/>
              <w:bottom w:val="nil"/>
            </w:tcBorders>
          </w:tcPr>
          <w:p>
            <w:pPr>
              <w:pStyle w:val="TableParagraph"/>
              <w:spacing w:line="156" w:lineRule="exact"/>
              <w:ind w:right="66"/>
              <w:rPr>
                <w:sz w:val="15"/>
              </w:rPr>
            </w:pPr>
            <w:r>
              <w:rPr>
                <w:color w:val="231F20"/>
                <w:w w:val="85"/>
                <w:sz w:val="15"/>
              </w:rPr>
              <w:t>que la violencia</w:t>
            </w: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8" w:lineRule="exact"/>
              <w:ind w:right="58"/>
              <w:rPr>
                <w:sz w:val="15"/>
              </w:rPr>
            </w:pPr>
            <w:r>
              <w:rPr>
                <w:color w:val="231F20"/>
                <w:w w:val="95"/>
                <w:sz w:val="15"/>
              </w:rPr>
              <w:t>dolor.</w:t>
            </w:r>
          </w:p>
        </w:tc>
        <w:tc>
          <w:tcPr>
            <w:tcW w:w="1037" w:type="dxa"/>
            <w:vMerge/>
          </w:tcPr>
          <w:p>
            <w:pPr/>
          </w:p>
        </w:tc>
        <w:tc>
          <w:tcPr>
            <w:tcW w:w="1080" w:type="dxa"/>
            <w:tcBorders>
              <w:top w:val="nil"/>
              <w:bottom w:val="nil"/>
            </w:tcBorders>
          </w:tcPr>
          <w:p>
            <w:pPr>
              <w:pStyle w:val="TableParagraph"/>
              <w:spacing w:line="158" w:lineRule="exact"/>
              <w:ind w:right="30"/>
              <w:rPr>
                <w:sz w:val="15"/>
              </w:rPr>
            </w:pPr>
            <w:r>
              <w:rPr>
                <w:color w:val="231F20"/>
                <w:w w:val="85"/>
                <w:sz w:val="15"/>
              </w:rPr>
              <w:t>conciencia del</w:t>
            </w:r>
          </w:p>
        </w:tc>
        <w:tc>
          <w:tcPr>
            <w:tcW w:w="1210" w:type="dxa"/>
            <w:tcBorders>
              <w:top w:val="nil"/>
              <w:bottom w:val="nil"/>
            </w:tcBorders>
          </w:tcPr>
          <w:p>
            <w:pPr>
              <w:pStyle w:val="TableParagraph"/>
              <w:spacing w:line="158" w:lineRule="exact"/>
              <w:ind w:right="79"/>
              <w:rPr>
                <w:sz w:val="15"/>
              </w:rPr>
            </w:pPr>
            <w:r>
              <w:rPr>
                <w:color w:val="231F20"/>
                <w:w w:val="90"/>
                <w:sz w:val="15"/>
              </w:rPr>
              <w:t>que hoy en día</w:t>
            </w:r>
          </w:p>
        </w:tc>
        <w:tc>
          <w:tcPr>
            <w:tcW w:w="1133" w:type="dxa"/>
            <w:tcBorders>
              <w:top w:val="nil"/>
              <w:bottom w:val="nil"/>
            </w:tcBorders>
          </w:tcPr>
          <w:p>
            <w:pPr>
              <w:pStyle w:val="TableParagraph"/>
              <w:spacing w:line="158" w:lineRule="exact"/>
              <w:ind w:right="66"/>
              <w:rPr>
                <w:sz w:val="15"/>
              </w:rPr>
            </w:pPr>
            <w:r>
              <w:rPr>
                <w:color w:val="231F20"/>
                <w:w w:val="90"/>
                <w:sz w:val="15"/>
              </w:rPr>
              <w:t>solo causa más</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85"/>
                <w:sz w:val="15"/>
              </w:rPr>
              <w:t>problema para</w:t>
            </w:r>
          </w:p>
        </w:tc>
        <w:tc>
          <w:tcPr>
            <w:tcW w:w="1210" w:type="dxa"/>
            <w:tcBorders>
              <w:top w:val="nil"/>
              <w:bottom w:val="nil"/>
            </w:tcBorders>
          </w:tcPr>
          <w:p>
            <w:pPr>
              <w:pStyle w:val="TableParagraph"/>
              <w:spacing w:line="156" w:lineRule="exact"/>
              <w:ind w:right="79"/>
              <w:rPr>
                <w:sz w:val="15"/>
              </w:rPr>
            </w:pPr>
            <w:r>
              <w:rPr>
                <w:color w:val="231F20"/>
                <w:w w:val="90"/>
                <w:sz w:val="15"/>
              </w:rPr>
              <w:t>podemos ver la</w:t>
            </w:r>
          </w:p>
        </w:tc>
        <w:tc>
          <w:tcPr>
            <w:tcW w:w="1133" w:type="dxa"/>
            <w:tcBorders>
              <w:top w:val="nil"/>
              <w:bottom w:val="nil"/>
            </w:tcBorders>
          </w:tcPr>
          <w:p>
            <w:pPr>
              <w:pStyle w:val="TableParagraph"/>
              <w:spacing w:line="156" w:lineRule="exact"/>
              <w:ind w:right="66"/>
              <w:rPr>
                <w:sz w:val="15"/>
              </w:rPr>
            </w:pPr>
            <w:r>
              <w:rPr>
                <w:color w:val="231F20"/>
                <w:w w:val="90"/>
                <w:sz w:val="15"/>
              </w:rPr>
              <w:t>violencia y a su</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Style w:val="TableParagraph"/>
              <w:spacing w:line="156" w:lineRule="exact"/>
              <w:ind w:right="376"/>
              <w:rPr>
                <w:sz w:val="15"/>
              </w:rPr>
            </w:pPr>
            <w:r>
              <w:rPr>
                <w:color w:val="231F20"/>
                <w:w w:val="85"/>
                <w:sz w:val="15"/>
              </w:rPr>
              <w:t>respetar y</w:t>
            </w:r>
          </w:p>
        </w:tc>
        <w:tc>
          <w:tcPr>
            <w:tcW w:w="1210" w:type="dxa"/>
            <w:tcBorders>
              <w:top w:val="nil"/>
              <w:bottom w:val="nil"/>
            </w:tcBorders>
          </w:tcPr>
          <w:p>
            <w:pPr>
              <w:pStyle w:val="TableParagraph"/>
              <w:spacing w:line="156" w:lineRule="exact"/>
              <w:ind w:right="79"/>
              <w:rPr>
                <w:sz w:val="15"/>
              </w:rPr>
            </w:pPr>
            <w:r>
              <w:rPr>
                <w:color w:val="231F20"/>
                <w:w w:val="85"/>
                <w:sz w:val="15"/>
              </w:rPr>
              <w:t>violencia en la</w:t>
            </w:r>
          </w:p>
        </w:tc>
        <w:tc>
          <w:tcPr>
            <w:tcW w:w="1133" w:type="dxa"/>
            <w:tcBorders>
              <w:top w:val="nil"/>
              <w:bottom w:val="nil"/>
            </w:tcBorders>
          </w:tcPr>
          <w:p>
            <w:pPr>
              <w:pStyle w:val="TableParagraph"/>
              <w:spacing w:line="156" w:lineRule="exact"/>
              <w:ind w:right="66"/>
              <w:rPr>
                <w:sz w:val="15"/>
              </w:rPr>
            </w:pPr>
            <w:r>
              <w:rPr>
                <w:color w:val="231F20"/>
                <w:w w:val="85"/>
                <w:sz w:val="15"/>
              </w:rPr>
              <w:t>vez destrucción,</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tolerar a los</w:t>
            </w:r>
          </w:p>
        </w:tc>
        <w:tc>
          <w:tcPr>
            <w:tcW w:w="1210" w:type="dxa"/>
            <w:tcBorders>
              <w:top w:val="nil"/>
              <w:bottom w:val="nil"/>
            </w:tcBorders>
          </w:tcPr>
          <w:p>
            <w:pPr>
              <w:pStyle w:val="TableParagraph"/>
              <w:spacing w:line="156" w:lineRule="exact"/>
              <w:ind w:right="79"/>
              <w:rPr>
                <w:sz w:val="15"/>
              </w:rPr>
            </w:pPr>
            <w:r>
              <w:rPr>
                <w:color w:val="231F20"/>
                <w:w w:val="85"/>
                <w:sz w:val="15"/>
              </w:rPr>
              <w:t>televisión, en la</w:t>
            </w:r>
          </w:p>
        </w:tc>
        <w:tc>
          <w:tcPr>
            <w:tcW w:w="1133" w:type="dxa"/>
            <w:tcBorders>
              <w:top w:val="nil"/>
              <w:bottom w:val="nil"/>
            </w:tcBorders>
          </w:tcPr>
          <w:p>
            <w:pPr>
              <w:pStyle w:val="TableParagraph"/>
              <w:spacing w:line="156" w:lineRule="exact"/>
              <w:ind w:right="66"/>
              <w:rPr>
                <w:sz w:val="15"/>
              </w:rPr>
            </w:pPr>
            <w:r>
              <w:rPr>
                <w:color w:val="231F20"/>
                <w:w w:val="90"/>
                <w:sz w:val="15"/>
              </w:rPr>
              <w:t>y así nuestra</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Style w:val="TableParagraph"/>
              <w:spacing w:line="156" w:lineRule="exact"/>
              <w:ind w:right="376"/>
              <w:rPr>
                <w:sz w:val="15"/>
              </w:rPr>
            </w:pPr>
            <w:r>
              <w:rPr>
                <w:color w:val="231F20"/>
                <w:sz w:val="15"/>
              </w:rPr>
              <w:t>otros.</w:t>
            </w:r>
          </w:p>
        </w:tc>
        <w:tc>
          <w:tcPr>
            <w:tcW w:w="1210" w:type="dxa"/>
            <w:tcBorders>
              <w:top w:val="nil"/>
              <w:bottom w:val="nil"/>
            </w:tcBorders>
          </w:tcPr>
          <w:p>
            <w:pPr>
              <w:pStyle w:val="TableParagraph"/>
              <w:spacing w:line="156" w:lineRule="exact"/>
              <w:ind w:right="79"/>
              <w:rPr>
                <w:sz w:val="15"/>
              </w:rPr>
            </w:pPr>
            <w:r>
              <w:rPr>
                <w:color w:val="231F20"/>
                <w:w w:val="90"/>
                <w:sz w:val="15"/>
              </w:rPr>
              <w:t>calle, y hasta en</w:t>
            </w:r>
          </w:p>
        </w:tc>
        <w:tc>
          <w:tcPr>
            <w:tcW w:w="1133" w:type="dxa"/>
            <w:tcBorders>
              <w:top w:val="nil"/>
              <w:bottom w:val="nil"/>
            </w:tcBorders>
          </w:tcPr>
          <w:p>
            <w:pPr>
              <w:pStyle w:val="TableParagraph"/>
              <w:spacing w:line="156" w:lineRule="exact"/>
              <w:ind w:right="66"/>
              <w:rPr>
                <w:sz w:val="15"/>
              </w:rPr>
            </w:pPr>
            <w:r>
              <w:rPr>
                <w:color w:val="231F20"/>
                <w:w w:val="85"/>
                <w:sz w:val="15"/>
              </w:rPr>
              <w:t>sociedad en lugar</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nuestra propia</w:t>
            </w:r>
          </w:p>
        </w:tc>
        <w:tc>
          <w:tcPr>
            <w:tcW w:w="1133" w:type="dxa"/>
            <w:tcBorders>
              <w:top w:val="nil"/>
              <w:bottom w:val="nil"/>
            </w:tcBorders>
          </w:tcPr>
          <w:p>
            <w:pPr>
              <w:pStyle w:val="TableParagraph"/>
              <w:spacing w:line="156" w:lineRule="exact"/>
              <w:ind w:right="66"/>
              <w:rPr>
                <w:sz w:val="15"/>
              </w:rPr>
            </w:pPr>
            <w:r>
              <w:rPr>
                <w:color w:val="231F20"/>
                <w:w w:val="90"/>
                <w:sz w:val="15"/>
              </w:rPr>
              <w:t>de crecer y ser</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540"/>
              <w:rPr>
                <w:sz w:val="15"/>
              </w:rPr>
            </w:pPr>
            <w:r>
              <w:rPr>
                <w:color w:val="231F20"/>
                <w:w w:val="90"/>
                <w:sz w:val="15"/>
              </w:rPr>
              <w:t>familia.</w:t>
            </w:r>
          </w:p>
        </w:tc>
        <w:tc>
          <w:tcPr>
            <w:tcW w:w="1133" w:type="dxa"/>
            <w:tcBorders>
              <w:top w:val="nil"/>
              <w:bottom w:val="nil"/>
            </w:tcBorders>
          </w:tcPr>
          <w:p>
            <w:pPr>
              <w:pStyle w:val="TableParagraph"/>
              <w:spacing w:line="158" w:lineRule="exact"/>
              <w:ind w:right="66"/>
              <w:rPr>
                <w:sz w:val="15"/>
              </w:rPr>
            </w:pPr>
            <w:r>
              <w:rPr>
                <w:color w:val="231F20"/>
                <w:w w:val="85"/>
                <w:sz w:val="15"/>
              </w:rPr>
              <w:t>mejor, va</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decayendo poco</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a poco; esto</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debería preocu-</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parnos pero más</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que nada</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debemos de</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8" w:lineRule="exact"/>
              <w:ind w:right="66"/>
              <w:rPr>
                <w:sz w:val="15"/>
              </w:rPr>
            </w:pPr>
            <w:r>
              <w:rPr>
                <w:color w:val="231F20"/>
                <w:w w:val="90"/>
                <w:sz w:val="15"/>
              </w:rPr>
              <w:t>hacer algo para</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acabar con la</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violencia,</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empezando por</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respetarnos y</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teniendo toleran-</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8" w:lineRule="exact"/>
              <w:ind w:right="66"/>
              <w:rPr>
                <w:sz w:val="15"/>
              </w:rPr>
            </w:pPr>
            <w:r>
              <w:rPr>
                <w:color w:val="231F20"/>
                <w:w w:val="85"/>
                <w:sz w:val="15"/>
              </w:rPr>
              <w:t>cia hacia los</w:t>
            </w:r>
          </w:p>
        </w:tc>
      </w:tr>
      <w:tr>
        <w:trPr>
          <w:trHeight w:val="206" w:hRule="exact"/>
        </w:trPr>
        <w:tc>
          <w:tcPr>
            <w:tcW w:w="778" w:type="dxa"/>
            <w:tcBorders>
              <w:top w:val="nil"/>
            </w:tcBorders>
          </w:tcPr>
          <w:p>
            <w:pPr/>
          </w:p>
        </w:tc>
        <w:tc>
          <w:tcPr>
            <w:tcW w:w="1176" w:type="dxa"/>
            <w:tcBorders>
              <w:top w:val="nil"/>
            </w:tcBorders>
          </w:tcPr>
          <w:p>
            <w:pPr/>
          </w:p>
        </w:tc>
        <w:tc>
          <w:tcPr>
            <w:tcW w:w="1037" w:type="dxa"/>
            <w:vMerge/>
          </w:tcPr>
          <w:p>
            <w:pPr/>
          </w:p>
        </w:tc>
        <w:tc>
          <w:tcPr>
            <w:tcW w:w="1080" w:type="dxa"/>
            <w:tcBorders>
              <w:top w:val="nil"/>
            </w:tcBorders>
          </w:tcPr>
          <w:p>
            <w:pPr/>
          </w:p>
        </w:tc>
        <w:tc>
          <w:tcPr>
            <w:tcW w:w="1210" w:type="dxa"/>
            <w:tcBorders>
              <w:top w:val="nil"/>
            </w:tcBorders>
          </w:tcPr>
          <w:p>
            <w:pPr/>
          </w:p>
        </w:tc>
        <w:tc>
          <w:tcPr>
            <w:tcW w:w="1133" w:type="dxa"/>
            <w:tcBorders>
              <w:top w:val="nil"/>
            </w:tcBorders>
          </w:tcPr>
          <w:p>
            <w:pPr>
              <w:pStyle w:val="TableParagraph"/>
              <w:spacing w:line="156" w:lineRule="exact"/>
              <w:ind w:right="66"/>
              <w:rPr>
                <w:sz w:val="15"/>
              </w:rPr>
            </w:pPr>
            <w:r>
              <w:rPr>
                <w:color w:val="231F20"/>
                <w:w w:val="95"/>
                <w:sz w:val="15"/>
              </w:rPr>
              <w:t>demás.</w:t>
            </w:r>
          </w:p>
        </w:tc>
      </w:tr>
    </w:tbl>
    <w:p>
      <w:pPr>
        <w:spacing w:after="0" w:line="156" w:lineRule="exact"/>
        <w:rPr>
          <w:sz w:val="15"/>
        </w:rPr>
        <w:sectPr>
          <w:headerReference w:type="default" r:id="rId605"/>
          <w:footerReference w:type="default" r:id="rId606"/>
          <w:pgSz w:w="7830" w:h="11910"/>
          <w:pgMar w:header="0" w:footer="424" w:top="500" w:bottom="620" w:left="800" w:right="380"/>
          <w:pgNumType w:start="268"/>
        </w:sectPr>
      </w:pPr>
    </w:p>
    <w:p>
      <w:pPr>
        <w:spacing w:before="46"/>
        <w:ind w:left="1583" w:right="0" w:firstLine="0"/>
        <w:jc w:val="left"/>
        <w:rPr>
          <w:sz w:val="13"/>
        </w:rPr>
      </w:pPr>
      <w:r>
        <w:rPr>
          <w:color w:val="231F20"/>
          <w:sz w:val="16"/>
        </w:rPr>
        <w:t>E</w:t>
      </w:r>
      <w:r>
        <w:rPr>
          <w:color w:val="231F20"/>
          <w:sz w:val="13"/>
        </w:rPr>
        <w:t>STUDIOS SOBRE VIOLENCIA EN LA EDUCACIÓN</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5323" w:hRule="exact"/>
        </w:trPr>
        <w:tc>
          <w:tcPr>
            <w:tcW w:w="778" w:type="dxa"/>
          </w:tcPr>
          <w:p>
            <w:pPr>
              <w:pStyle w:val="TableParagraph"/>
              <w:spacing w:before="28"/>
              <w:ind w:left="105"/>
              <w:rPr>
                <w:sz w:val="15"/>
              </w:rPr>
            </w:pPr>
            <w:r>
              <w:rPr>
                <w:color w:val="231F20"/>
                <w:w w:val="85"/>
                <w:sz w:val="15"/>
              </w:rPr>
              <w:t>7. César</w:t>
            </w:r>
          </w:p>
        </w:tc>
        <w:tc>
          <w:tcPr>
            <w:tcW w:w="1176" w:type="dxa"/>
          </w:tcPr>
          <w:p>
            <w:pPr>
              <w:pStyle w:val="TableParagraph"/>
              <w:spacing w:line="235" w:lineRule="auto" w:before="30"/>
              <w:ind w:right="58"/>
              <w:rPr>
                <w:sz w:val="15"/>
              </w:rPr>
            </w:pPr>
            <w:r>
              <w:rPr>
                <w:color w:val="231F20"/>
                <w:w w:val="95"/>
                <w:sz w:val="15"/>
              </w:rPr>
              <w:t>La violencia es </w:t>
            </w:r>
            <w:r>
              <w:rPr>
                <w:color w:val="231F20"/>
                <w:w w:val="90"/>
                <w:sz w:val="15"/>
              </w:rPr>
              <w:t>una condición, en </w:t>
            </w:r>
            <w:r>
              <w:rPr>
                <w:color w:val="231F20"/>
                <w:w w:val="95"/>
                <w:sz w:val="15"/>
              </w:rPr>
              <w:t>la cual se afecta a un ser, ya sea humano, un animal, una </w:t>
            </w:r>
            <w:r>
              <w:rPr>
                <w:color w:val="231F20"/>
                <w:w w:val="85"/>
                <w:sz w:val="15"/>
              </w:rPr>
              <w:t>planta, etc.</w:t>
            </w:r>
          </w:p>
          <w:p>
            <w:pPr>
              <w:pStyle w:val="TableParagraph"/>
              <w:spacing w:line="168" w:lineRule="exact" w:before="6"/>
              <w:ind w:right="111"/>
              <w:rPr>
                <w:sz w:val="15"/>
              </w:rPr>
            </w:pPr>
            <w:r>
              <w:rPr>
                <w:color w:val="231F20"/>
                <w:w w:val="95"/>
                <w:sz w:val="15"/>
              </w:rPr>
              <w:t>Existen varios </w:t>
            </w:r>
            <w:r>
              <w:rPr>
                <w:color w:val="231F20"/>
                <w:w w:val="85"/>
                <w:sz w:val="15"/>
              </w:rPr>
              <w:t>tipos de violencia: </w:t>
            </w:r>
            <w:r>
              <w:rPr>
                <w:color w:val="231F20"/>
                <w:w w:val="95"/>
                <w:sz w:val="15"/>
              </w:rPr>
              <w:t>física, verbal, </w:t>
            </w:r>
            <w:r>
              <w:rPr>
                <w:color w:val="231F20"/>
                <w:w w:val="85"/>
                <w:sz w:val="15"/>
              </w:rPr>
              <w:t>psicológica, entre </w:t>
            </w:r>
            <w:r>
              <w:rPr>
                <w:color w:val="231F20"/>
                <w:w w:val="95"/>
                <w:sz w:val="15"/>
              </w:rPr>
              <w:t>otras.</w:t>
            </w:r>
          </w:p>
        </w:tc>
        <w:tc>
          <w:tcPr>
            <w:tcW w:w="1037" w:type="dxa"/>
          </w:tcPr>
          <w:p>
            <w:pPr>
              <w:pStyle w:val="TableParagraph"/>
              <w:spacing w:line="235" w:lineRule="auto" w:before="30"/>
              <w:ind w:right="78"/>
              <w:rPr>
                <w:sz w:val="15"/>
              </w:rPr>
            </w:pPr>
            <w:r>
              <w:rPr>
                <w:color w:val="231F20"/>
                <w:w w:val="95"/>
                <w:sz w:val="15"/>
              </w:rPr>
              <w:t>Las razones que causan la violencia pueden ser incontables, </w:t>
            </w:r>
            <w:r>
              <w:rPr>
                <w:color w:val="231F20"/>
                <w:w w:val="90"/>
                <w:sz w:val="15"/>
              </w:rPr>
              <w:t>pues puede ser </w:t>
            </w:r>
            <w:r>
              <w:rPr>
                <w:color w:val="231F20"/>
                <w:w w:val="95"/>
                <w:sz w:val="15"/>
              </w:rPr>
              <w:t>desde un odio </w:t>
            </w:r>
            <w:r>
              <w:rPr>
                <w:color w:val="231F20"/>
                <w:w w:val="90"/>
                <w:sz w:val="15"/>
              </w:rPr>
              <w:t>racional, hasta un juego salido </w:t>
            </w:r>
            <w:r>
              <w:rPr>
                <w:color w:val="231F20"/>
                <w:w w:val="95"/>
                <w:sz w:val="15"/>
              </w:rPr>
              <w:t>de control; asimismo, las </w:t>
            </w:r>
            <w:r>
              <w:rPr>
                <w:color w:val="231F20"/>
                <w:w w:val="85"/>
                <w:sz w:val="15"/>
              </w:rPr>
              <w:t>consecuencias </w:t>
            </w:r>
            <w:r>
              <w:rPr>
                <w:color w:val="231F20"/>
                <w:w w:val="95"/>
                <w:sz w:val="15"/>
              </w:rPr>
              <w:t>son muy </w:t>
            </w:r>
            <w:r>
              <w:rPr>
                <w:color w:val="231F20"/>
                <w:w w:val="85"/>
                <w:sz w:val="15"/>
              </w:rPr>
              <w:t>variadas, y casi </w:t>
            </w:r>
            <w:r>
              <w:rPr>
                <w:color w:val="231F20"/>
                <w:w w:val="95"/>
                <w:sz w:val="15"/>
              </w:rPr>
              <w:t>siempre </w:t>
            </w:r>
            <w:r>
              <w:rPr>
                <w:color w:val="231F20"/>
                <w:w w:val="90"/>
                <w:sz w:val="15"/>
              </w:rPr>
              <w:t>perjudiciales, estas pueden ir </w:t>
            </w:r>
            <w:r>
              <w:rPr>
                <w:color w:val="231F20"/>
                <w:w w:val="95"/>
                <w:sz w:val="15"/>
              </w:rPr>
              <w:t>desde un pequeño rasguño o </w:t>
            </w:r>
            <w:r>
              <w:rPr>
                <w:color w:val="231F20"/>
                <w:w w:val="90"/>
                <w:sz w:val="15"/>
              </w:rPr>
              <w:t>moretón, hasta convertirse en </w:t>
            </w:r>
            <w:r>
              <w:rPr>
                <w:color w:val="231F20"/>
                <w:w w:val="95"/>
                <w:sz w:val="15"/>
              </w:rPr>
              <w:t>un serio problema e incluso la muerte.</w:t>
            </w:r>
          </w:p>
        </w:tc>
        <w:tc>
          <w:tcPr>
            <w:tcW w:w="1080" w:type="dxa"/>
          </w:tcPr>
          <w:p>
            <w:pPr>
              <w:pStyle w:val="TableParagraph"/>
              <w:spacing w:line="235" w:lineRule="auto" w:before="30"/>
              <w:ind w:right="71"/>
              <w:rPr>
                <w:sz w:val="15"/>
              </w:rPr>
            </w:pPr>
            <w:r>
              <w:rPr>
                <w:color w:val="231F20"/>
                <w:w w:val="95"/>
                <w:sz w:val="15"/>
              </w:rPr>
              <w:t>Tipos de violencia: a) </w:t>
            </w:r>
            <w:r>
              <w:rPr>
                <w:color w:val="231F20"/>
                <w:w w:val="90"/>
                <w:sz w:val="15"/>
              </w:rPr>
              <w:t>verbal: está muy </w:t>
            </w:r>
            <w:r>
              <w:rPr>
                <w:color w:val="231F20"/>
                <w:w w:val="95"/>
                <w:sz w:val="15"/>
              </w:rPr>
              <w:t>ligada al contexto cultural en el cual ocurre, ya que este puede determinar tanto la inten- </w:t>
            </w:r>
            <w:r>
              <w:rPr>
                <w:color w:val="231F20"/>
                <w:w w:val="90"/>
                <w:sz w:val="15"/>
              </w:rPr>
              <w:t>ción del agresor </w:t>
            </w:r>
            <w:r>
              <w:rPr>
                <w:color w:val="231F20"/>
                <w:w w:val="95"/>
                <w:sz w:val="15"/>
              </w:rPr>
              <w:t>como la respuesta del ofendido; b) física: siempre ligada a una situación de poder e intimi- dación. Un ejemplo en </w:t>
            </w:r>
            <w:r>
              <w:rPr>
                <w:color w:val="231F20"/>
                <w:w w:val="90"/>
                <w:sz w:val="15"/>
              </w:rPr>
              <w:t>nuestro entorno seríael maltrato </w:t>
            </w:r>
            <w:r>
              <w:rPr>
                <w:color w:val="231F20"/>
                <w:w w:val="95"/>
                <w:sz w:val="15"/>
              </w:rPr>
              <w:t>a la mujer, el </w:t>
            </w:r>
            <w:r>
              <w:rPr>
                <w:color w:val="231F20"/>
                <w:w w:val="90"/>
                <w:sz w:val="15"/>
              </w:rPr>
              <w:t>cual desarticula </w:t>
            </w:r>
            <w:r>
              <w:rPr>
                <w:color w:val="231F20"/>
                <w:w w:val="95"/>
                <w:sz w:val="15"/>
              </w:rPr>
              <w:t>la unidad de la familia y a la </w:t>
            </w:r>
            <w:r>
              <w:rPr>
                <w:color w:val="231F20"/>
                <w:w w:val="85"/>
                <w:sz w:val="15"/>
              </w:rPr>
              <w:t>sociedad misma, </w:t>
            </w:r>
            <w:r>
              <w:rPr>
                <w:color w:val="231F20"/>
                <w:w w:val="95"/>
                <w:sz w:val="15"/>
              </w:rPr>
              <w:t>ya que por lo regular la </w:t>
            </w:r>
            <w:r>
              <w:rPr>
                <w:color w:val="231F20"/>
                <w:w w:val="85"/>
                <w:sz w:val="15"/>
              </w:rPr>
              <w:t>violencia genera más violencia.</w:t>
            </w:r>
          </w:p>
        </w:tc>
        <w:tc>
          <w:tcPr>
            <w:tcW w:w="1210" w:type="dxa"/>
          </w:tcPr>
          <w:p>
            <w:pPr>
              <w:pStyle w:val="TableParagraph"/>
              <w:spacing w:line="235" w:lineRule="auto" w:before="30"/>
              <w:ind w:left="101" w:right="51"/>
              <w:rPr>
                <w:sz w:val="15"/>
              </w:rPr>
            </w:pPr>
            <w:r>
              <w:rPr>
                <w:color w:val="231F20"/>
                <w:w w:val="95"/>
                <w:sz w:val="15"/>
              </w:rPr>
              <w:t>Nunca se debe olvidar que la violencia causa mal y es por lo </w:t>
            </w:r>
            <w:r>
              <w:rPr>
                <w:color w:val="231F20"/>
                <w:w w:val="85"/>
                <w:sz w:val="15"/>
              </w:rPr>
              <w:t>regular innecesaria.</w:t>
            </w:r>
          </w:p>
        </w:tc>
        <w:tc>
          <w:tcPr>
            <w:tcW w:w="1133" w:type="dxa"/>
          </w:tcPr>
          <w:p>
            <w:pPr>
              <w:pStyle w:val="TableParagraph"/>
              <w:spacing w:line="235" w:lineRule="auto" w:before="30"/>
              <w:ind w:right="14"/>
              <w:rPr>
                <w:sz w:val="15"/>
              </w:rPr>
            </w:pPr>
            <w:r>
              <w:rPr>
                <w:color w:val="231F20"/>
                <w:w w:val="95"/>
                <w:sz w:val="15"/>
              </w:rPr>
              <w:t>Evitemos la violencia y </w:t>
            </w:r>
            <w:r>
              <w:rPr>
                <w:color w:val="231F20"/>
                <w:w w:val="85"/>
                <w:sz w:val="15"/>
              </w:rPr>
              <w:t>vivamos felices, y </w:t>
            </w:r>
            <w:r>
              <w:rPr>
                <w:color w:val="231F20"/>
                <w:w w:val="95"/>
                <w:sz w:val="15"/>
              </w:rPr>
              <w:t>solo si es absolutamente necesario ocuparla de </w:t>
            </w:r>
            <w:r>
              <w:rPr>
                <w:color w:val="231F20"/>
                <w:w w:val="85"/>
                <w:sz w:val="15"/>
              </w:rPr>
              <w:t>manera limitada.</w:t>
            </w:r>
          </w:p>
        </w:tc>
      </w:tr>
      <w:tr>
        <w:trPr>
          <w:trHeight w:val="217" w:hRule="exact"/>
        </w:trPr>
        <w:tc>
          <w:tcPr>
            <w:tcW w:w="778" w:type="dxa"/>
            <w:tcBorders>
              <w:bottom w:val="nil"/>
            </w:tcBorders>
          </w:tcPr>
          <w:p>
            <w:pPr>
              <w:pStyle w:val="TableParagraph"/>
              <w:spacing w:before="28"/>
              <w:ind w:left="105"/>
              <w:rPr>
                <w:sz w:val="15"/>
              </w:rPr>
            </w:pPr>
            <w:r>
              <w:rPr>
                <w:color w:val="231F20"/>
                <w:w w:val="90"/>
                <w:sz w:val="15"/>
              </w:rPr>
              <w:t>8.</w:t>
            </w:r>
          </w:p>
        </w:tc>
        <w:tc>
          <w:tcPr>
            <w:tcW w:w="1176" w:type="dxa"/>
            <w:vMerge w:val="restart"/>
          </w:tcPr>
          <w:p>
            <w:pPr/>
          </w:p>
        </w:tc>
        <w:tc>
          <w:tcPr>
            <w:tcW w:w="1037" w:type="dxa"/>
            <w:vMerge w:val="restart"/>
          </w:tcPr>
          <w:p>
            <w:pPr/>
          </w:p>
        </w:tc>
        <w:tc>
          <w:tcPr>
            <w:tcW w:w="1080" w:type="dxa"/>
            <w:tcBorders>
              <w:bottom w:val="nil"/>
            </w:tcBorders>
          </w:tcPr>
          <w:p>
            <w:pPr>
              <w:pStyle w:val="TableParagraph"/>
              <w:spacing w:before="28"/>
              <w:ind w:right="30"/>
              <w:rPr>
                <w:sz w:val="15"/>
              </w:rPr>
            </w:pPr>
            <w:r>
              <w:rPr>
                <w:color w:val="231F20"/>
                <w:w w:val="85"/>
                <w:sz w:val="15"/>
              </w:rPr>
              <w:t>Diferentes tipos</w:t>
            </w:r>
          </w:p>
        </w:tc>
        <w:tc>
          <w:tcPr>
            <w:tcW w:w="1210" w:type="dxa"/>
            <w:tcBorders>
              <w:bottom w:val="nil"/>
            </w:tcBorders>
          </w:tcPr>
          <w:p>
            <w:pPr>
              <w:pStyle w:val="TableParagraph"/>
              <w:spacing w:before="28"/>
              <w:ind w:right="79"/>
              <w:rPr>
                <w:sz w:val="15"/>
              </w:rPr>
            </w:pPr>
            <w:r>
              <w:rPr>
                <w:color w:val="231F20"/>
                <w:w w:val="90"/>
                <w:sz w:val="15"/>
              </w:rPr>
              <w:t>Con respecto a la</w:t>
            </w:r>
          </w:p>
        </w:tc>
        <w:tc>
          <w:tcPr>
            <w:tcW w:w="1133" w:type="dxa"/>
            <w:tcBorders>
              <w:bottom w:val="nil"/>
            </w:tcBorders>
          </w:tcPr>
          <w:p>
            <w:pPr>
              <w:pStyle w:val="TableParagraph"/>
              <w:spacing w:before="28"/>
              <w:ind w:right="66"/>
              <w:rPr>
                <w:sz w:val="15"/>
              </w:rPr>
            </w:pPr>
            <w:r>
              <w:rPr>
                <w:color w:val="231F20"/>
                <w:w w:val="85"/>
                <w:sz w:val="15"/>
              </w:rPr>
              <w:t>Podemos ayudar</w:t>
            </w:r>
          </w:p>
        </w:tc>
      </w:tr>
      <w:tr>
        <w:trPr>
          <w:trHeight w:val="338" w:hRule="exact"/>
        </w:trPr>
        <w:tc>
          <w:tcPr>
            <w:tcW w:w="778" w:type="dxa"/>
            <w:tcBorders>
              <w:top w:val="nil"/>
              <w:bottom w:val="nil"/>
            </w:tcBorders>
          </w:tcPr>
          <w:p>
            <w:pPr>
              <w:pStyle w:val="TableParagraph"/>
              <w:spacing w:before="26"/>
              <w:ind w:left="139"/>
              <w:rPr>
                <w:sz w:val="15"/>
              </w:rPr>
            </w:pPr>
            <w:r>
              <w:rPr>
                <w:color w:val="231F20"/>
                <w:w w:val="95"/>
                <w:sz w:val="15"/>
              </w:rPr>
              <w:t>Diana</w:t>
            </w:r>
          </w:p>
        </w:tc>
        <w:tc>
          <w:tcPr>
            <w:tcW w:w="1176" w:type="dxa"/>
            <w:vMerge/>
          </w:tcPr>
          <w:p>
            <w:pPr/>
          </w:p>
        </w:tc>
        <w:tc>
          <w:tcPr>
            <w:tcW w:w="1037" w:type="dxa"/>
            <w:vMerge/>
          </w:tcPr>
          <w:p>
            <w:pPr/>
          </w:p>
        </w:tc>
        <w:tc>
          <w:tcPr>
            <w:tcW w:w="1080" w:type="dxa"/>
            <w:tcBorders>
              <w:top w:val="nil"/>
              <w:bottom w:val="nil"/>
            </w:tcBorders>
          </w:tcPr>
          <w:p>
            <w:pPr>
              <w:pStyle w:val="TableParagraph"/>
              <w:spacing w:line="154" w:lineRule="exact"/>
              <w:ind w:right="30"/>
              <w:rPr>
                <w:sz w:val="15"/>
              </w:rPr>
            </w:pPr>
            <w:r>
              <w:rPr>
                <w:color w:val="231F20"/>
                <w:w w:val="85"/>
                <w:sz w:val="15"/>
              </w:rPr>
              <w:t>de violencia; la</w:t>
            </w:r>
          </w:p>
          <w:p>
            <w:pPr>
              <w:pStyle w:val="TableParagraph"/>
              <w:spacing w:line="170" w:lineRule="exact"/>
              <w:ind w:right="30"/>
              <w:rPr>
                <w:sz w:val="15"/>
              </w:rPr>
            </w:pPr>
            <w:r>
              <w:rPr>
                <w:color w:val="231F20"/>
                <w:w w:val="85"/>
                <w:sz w:val="15"/>
              </w:rPr>
              <w:t>psicológica es la</w:t>
            </w:r>
          </w:p>
        </w:tc>
        <w:tc>
          <w:tcPr>
            <w:tcW w:w="1210" w:type="dxa"/>
            <w:tcBorders>
              <w:top w:val="nil"/>
              <w:bottom w:val="nil"/>
            </w:tcBorders>
          </w:tcPr>
          <w:p>
            <w:pPr>
              <w:pStyle w:val="TableParagraph"/>
              <w:spacing w:line="154" w:lineRule="exact"/>
              <w:ind w:right="79"/>
              <w:rPr>
                <w:sz w:val="15"/>
              </w:rPr>
            </w:pPr>
            <w:r>
              <w:rPr>
                <w:color w:val="231F20"/>
                <w:w w:val="85"/>
                <w:sz w:val="15"/>
              </w:rPr>
              <w:t>violencia, estoy</w:t>
            </w:r>
          </w:p>
          <w:p>
            <w:pPr>
              <w:pStyle w:val="TableParagraph"/>
              <w:spacing w:line="170" w:lineRule="exact"/>
              <w:ind w:right="79"/>
              <w:rPr>
                <w:sz w:val="15"/>
              </w:rPr>
            </w:pPr>
            <w:r>
              <w:rPr>
                <w:color w:val="231F20"/>
                <w:w w:val="90"/>
                <w:sz w:val="15"/>
              </w:rPr>
              <w:t>totalmente en</w:t>
            </w:r>
          </w:p>
        </w:tc>
        <w:tc>
          <w:tcPr>
            <w:tcW w:w="1133" w:type="dxa"/>
            <w:tcBorders>
              <w:top w:val="nil"/>
              <w:bottom w:val="nil"/>
            </w:tcBorders>
          </w:tcPr>
          <w:p>
            <w:pPr>
              <w:pStyle w:val="TableParagraph"/>
              <w:spacing w:line="154" w:lineRule="exact"/>
              <w:ind w:right="66"/>
              <w:rPr>
                <w:sz w:val="15"/>
              </w:rPr>
            </w:pPr>
            <w:r>
              <w:rPr>
                <w:color w:val="231F20"/>
                <w:w w:val="90"/>
                <w:sz w:val="15"/>
              </w:rPr>
              <w:t>a combatir este</w:t>
            </w:r>
          </w:p>
          <w:p>
            <w:pPr>
              <w:pStyle w:val="TableParagraph"/>
              <w:spacing w:line="170" w:lineRule="exact"/>
              <w:ind w:right="66"/>
              <w:rPr>
                <w:sz w:val="15"/>
              </w:rPr>
            </w:pPr>
            <w:r>
              <w:rPr>
                <w:color w:val="231F20"/>
                <w:w w:val="95"/>
                <w:sz w:val="15"/>
              </w:rPr>
              <w:t>problema</w:t>
            </w:r>
          </w:p>
        </w:tc>
      </w:tr>
      <w:tr>
        <w:trPr>
          <w:trHeight w:val="170"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Style w:val="TableParagraph"/>
              <w:spacing w:line="158" w:lineRule="exact"/>
              <w:ind w:right="30"/>
              <w:rPr>
                <w:sz w:val="15"/>
              </w:rPr>
            </w:pPr>
            <w:r>
              <w:rPr>
                <w:color w:val="231F20"/>
                <w:w w:val="90"/>
                <w:sz w:val="15"/>
              </w:rPr>
              <w:t>peor porque los</w:t>
            </w:r>
          </w:p>
        </w:tc>
        <w:tc>
          <w:tcPr>
            <w:tcW w:w="1210" w:type="dxa"/>
            <w:tcBorders>
              <w:top w:val="nil"/>
              <w:bottom w:val="nil"/>
            </w:tcBorders>
          </w:tcPr>
          <w:p>
            <w:pPr>
              <w:pStyle w:val="TableParagraph"/>
              <w:spacing w:line="158" w:lineRule="exact"/>
              <w:ind w:right="79"/>
              <w:rPr>
                <w:sz w:val="15"/>
              </w:rPr>
            </w:pPr>
            <w:r>
              <w:rPr>
                <w:color w:val="231F20"/>
                <w:w w:val="85"/>
                <w:sz w:val="15"/>
              </w:rPr>
              <w:t>desacuerdo, ya que</w:t>
            </w:r>
          </w:p>
        </w:tc>
        <w:tc>
          <w:tcPr>
            <w:tcW w:w="1133" w:type="dxa"/>
            <w:tcBorders>
              <w:top w:val="nil"/>
              <w:bottom w:val="nil"/>
            </w:tcBorders>
          </w:tcPr>
          <w:p>
            <w:pPr>
              <w:pStyle w:val="TableParagraph"/>
              <w:spacing w:line="158" w:lineRule="exact"/>
              <w:ind w:right="66"/>
              <w:rPr>
                <w:sz w:val="15"/>
              </w:rPr>
            </w:pPr>
            <w:r>
              <w:rPr>
                <w:color w:val="231F20"/>
                <w:w w:val="85"/>
                <w:sz w:val="15"/>
              </w:rPr>
              <w:t>evitando insultar,</w:t>
            </w:r>
          </w:p>
        </w:tc>
      </w:tr>
      <w:tr>
        <w:trPr>
          <w:trHeight w:val="168"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Style w:val="TableParagraph"/>
              <w:spacing w:line="156" w:lineRule="exact"/>
              <w:ind w:right="376"/>
              <w:rPr>
                <w:sz w:val="15"/>
              </w:rPr>
            </w:pPr>
            <w:r>
              <w:rPr>
                <w:color w:val="231F20"/>
                <w:w w:val="85"/>
                <w:sz w:val="15"/>
              </w:rPr>
              <w:t>golpes se</w:t>
            </w:r>
          </w:p>
        </w:tc>
        <w:tc>
          <w:tcPr>
            <w:tcW w:w="1210" w:type="dxa"/>
            <w:tcBorders>
              <w:top w:val="nil"/>
              <w:bottom w:val="nil"/>
            </w:tcBorders>
          </w:tcPr>
          <w:p>
            <w:pPr>
              <w:pStyle w:val="TableParagraph"/>
              <w:spacing w:line="156" w:lineRule="exact"/>
              <w:ind w:right="79"/>
              <w:rPr>
                <w:sz w:val="15"/>
              </w:rPr>
            </w:pPr>
            <w:r>
              <w:rPr>
                <w:color w:val="231F20"/>
                <w:w w:val="85"/>
                <w:sz w:val="15"/>
              </w:rPr>
              <w:t>existe demasiada</w:t>
            </w:r>
          </w:p>
        </w:tc>
        <w:tc>
          <w:tcPr>
            <w:tcW w:w="1133" w:type="dxa"/>
            <w:tcBorders>
              <w:top w:val="nil"/>
              <w:bottom w:val="nil"/>
            </w:tcBorders>
          </w:tcPr>
          <w:p>
            <w:pPr>
              <w:pStyle w:val="TableParagraph"/>
              <w:spacing w:line="156" w:lineRule="exact"/>
              <w:ind w:right="66"/>
              <w:rPr>
                <w:sz w:val="15"/>
              </w:rPr>
            </w:pPr>
            <w:r>
              <w:rPr>
                <w:color w:val="231F20"/>
                <w:w w:val="85"/>
                <w:sz w:val="15"/>
              </w:rPr>
              <w:t>golpear en</w:t>
            </w:r>
          </w:p>
        </w:tc>
      </w:tr>
      <w:tr>
        <w:trPr>
          <w:trHeight w:val="168"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quitan, pero los</w:t>
            </w:r>
          </w:p>
        </w:tc>
        <w:tc>
          <w:tcPr>
            <w:tcW w:w="1210" w:type="dxa"/>
            <w:tcBorders>
              <w:top w:val="nil"/>
              <w:bottom w:val="nil"/>
            </w:tcBorders>
          </w:tcPr>
          <w:p>
            <w:pPr>
              <w:pStyle w:val="TableParagraph"/>
              <w:spacing w:line="156" w:lineRule="exact"/>
              <w:ind w:right="79"/>
              <w:rPr>
                <w:sz w:val="15"/>
              </w:rPr>
            </w:pPr>
            <w:r>
              <w:rPr>
                <w:color w:val="231F20"/>
                <w:w w:val="90"/>
                <w:sz w:val="15"/>
              </w:rPr>
              <w:t>en todo el mundo.</w:t>
            </w:r>
          </w:p>
        </w:tc>
        <w:tc>
          <w:tcPr>
            <w:tcW w:w="1133" w:type="dxa"/>
            <w:tcBorders>
              <w:top w:val="nil"/>
              <w:bottom w:val="nil"/>
            </w:tcBorders>
          </w:tcPr>
          <w:p>
            <w:pPr>
              <w:pStyle w:val="TableParagraph"/>
              <w:spacing w:line="156" w:lineRule="exact"/>
              <w:ind w:right="66"/>
              <w:rPr>
                <w:sz w:val="15"/>
              </w:rPr>
            </w:pPr>
            <w:r>
              <w:rPr>
                <w:color w:val="231F20"/>
                <w:w w:val="85"/>
                <w:sz w:val="15"/>
              </w:rPr>
              <w:t>nuestra propia</w:t>
            </w:r>
          </w:p>
        </w:tc>
      </w:tr>
      <w:tr>
        <w:trPr>
          <w:trHeight w:val="168"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85"/>
                <w:sz w:val="15"/>
              </w:rPr>
              <w:t>insultos rebajan</w:t>
            </w: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casa. Así, las</w:t>
            </w:r>
          </w:p>
        </w:tc>
      </w:tr>
      <w:tr>
        <w:trPr>
          <w:trHeight w:val="168"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85"/>
                <w:sz w:val="15"/>
              </w:rPr>
              <w:t>la autoestima.</w:t>
            </w: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nuevas genera-</w:t>
            </w:r>
          </w:p>
        </w:tc>
      </w:tr>
      <w:tr>
        <w:trPr>
          <w:trHeight w:val="170"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ciones sabrán</w:t>
            </w:r>
          </w:p>
        </w:tc>
      </w:tr>
      <w:tr>
        <w:trPr>
          <w:trHeight w:val="170"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8" w:lineRule="exact"/>
              <w:ind w:right="66"/>
              <w:rPr>
                <w:sz w:val="15"/>
              </w:rPr>
            </w:pPr>
            <w:r>
              <w:rPr>
                <w:color w:val="231F20"/>
                <w:w w:val="95"/>
                <w:sz w:val="15"/>
              </w:rPr>
              <w:t>que no es</w:t>
            </w:r>
          </w:p>
        </w:tc>
      </w:tr>
      <w:tr>
        <w:trPr>
          <w:trHeight w:val="168"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necesario recurrir</w:t>
            </w:r>
          </w:p>
        </w:tc>
      </w:tr>
      <w:tr>
        <w:trPr>
          <w:trHeight w:val="168"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a la violencia, y</w:t>
            </w:r>
          </w:p>
        </w:tc>
      </w:tr>
      <w:tr>
        <w:trPr>
          <w:trHeight w:val="168"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se criarán</w:t>
            </w:r>
          </w:p>
        </w:tc>
      </w:tr>
      <w:tr>
        <w:trPr>
          <w:trHeight w:val="168"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mejores personas</w:t>
            </w:r>
          </w:p>
        </w:tc>
      </w:tr>
      <w:tr>
        <w:trPr>
          <w:trHeight w:val="168" w:hRule="exact"/>
        </w:trPr>
        <w:tc>
          <w:tcPr>
            <w:tcW w:w="778" w:type="dxa"/>
            <w:tcBorders>
              <w:top w:val="nil"/>
              <w:bottom w:val="nil"/>
            </w:tcBorders>
          </w:tcPr>
          <w:p>
            <w:pPr/>
          </w:p>
        </w:tc>
        <w:tc>
          <w:tcPr>
            <w:tcW w:w="1176" w:type="dxa"/>
            <w:vMerge/>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en una mejor</w:t>
            </w:r>
          </w:p>
        </w:tc>
      </w:tr>
      <w:tr>
        <w:trPr>
          <w:trHeight w:val="834" w:hRule="exact"/>
        </w:trPr>
        <w:tc>
          <w:tcPr>
            <w:tcW w:w="778" w:type="dxa"/>
            <w:tcBorders>
              <w:top w:val="nil"/>
            </w:tcBorders>
          </w:tcPr>
          <w:p>
            <w:pPr/>
          </w:p>
        </w:tc>
        <w:tc>
          <w:tcPr>
            <w:tcW w:w="1176" w:type="dxa"/>
            <w:vMerge/>
          </w:tcPr>
          <w:p>
            <w:pPr/>
          </w:p>
        </w:tc>
        <w:tc>
          <w:tcPr>
            <w:tcW w:w="1037" w:type="dxa"/>
            <w:vMerge/>
          </w:tcPr>
          <w:p>
            <w:pPr/>
          </w:p>
        </w:tc>
        <w:tc>
          <w:tcPr>
            <w:tcW w:w="1080" w:type="dxa"/>
            <w:tcBorders>
              <w:top w:val="nil"/>
            </w:tcBorders>
          </w:tcPr>
          <w:p>
            <w:pPr/>
          </w:p>
        </w:tc>
        <w:tc>
          <w:tcPr>
            <w:tcW w:w="1210" w:type="dxa"/>
            <w:tcBorders>
              <w:top w:val="nil"/>
            </w:tcBorders>
          </w:tcPr>
          <w:p>
            <w:pPr/>
          </w:p>
        </w:tc>
        <w:tc>
          <w:tcPr>
            <w:tcW w:w="1133" w:type="dxa"/>
            <w:tcBorders>
              <w:top w:val="nil"/>
            </w:tcBorders>
          </w:tcPr>
          <w:p>
            <w:pPr>
              <w:pStyle w:val="TableParagraph"/>
              <w:spacing w:line="156" w:lineRule="exact"/>
              <w:ind w:right="66"/>
              <w:rPr>
                <w:sz w:val="15"/>
              </w:rPr>
            </w:pPr>
            <w:r>
              <w:rPr>
                <w:color w:val="231F20"/>
                <w:w w:val="95"/>
                <w:sz w:val="15"/>
              </w:rPr>
              <w:t>sociedad.</w:t>
            </w:r>
          </w:p>
        </w:tc>
      </w:tr>
      <w:tr>
        <w:trPr>
          <w:trHeight w:val="222" w:hRule="exact"/>
        </w:trPr>
        <w:tc>
          <w:tcPr>
            <w:tcW w:w="778" w:type="dxa"/>
            <w:tcBorders>
              <w:bottom w:val="nil"/>
            </w:tcBorders>
          </w:tcPr>
          <w:p>
            <w:pPr>
              <w:pStyle w:val="TableParagraph"/>
              <w:spacing w:before="32"/>
              <w:ind w:left="105"/>
              <w:rPr>
                <w:sz w:val="15"/>
              </w:rPr>
            </w:pPr>
            <w:r>
              <w:rPr>
                <w:color w:val="231F20"/>
                <w:w w:val="90"/>
                <w:sz w:val="15"/>
              </w:rPr>
              <w:t>9.</w:t>
            </w:r>
          </w:p>
        </w:tc>
        <w:tc>
          <w:tcPr>
            <w:tcW w:w="1176" w:type="dxa"/>
            <w:vMerge w:val="restart"/>
          </w:tcPr>
          <w:p>
            <w:pPr/>
          </w:p>
        </w:tc>
        <w:tc>
          <w:tcPr>
            <w:tcW w:w="1037" w:type="dxa"/>
            <w:tcBorders>
              <w:bottom w:val="nil"/>
            </w:tcBorders>
          </w:tcPr>
          <w:p>
            <w:pPr>
              <w:pStyle w:val="TableParagraph"/>
              <w:spacing w:before="32"/>
              <w:ind w:right="147"/>
              <w:rPr>
                <w:sz w:val="15"/>
              </w:rPr>
            </w:pPr>
            <w:r>
              <w:rPr>
                <w:color w:val="231F20"/>
                <w:w w:val="85"/>
                <w:sz w:val="15"/>
              </w:rPr>
              <w:t>La violencia</w:t>
            </w:r>
          </w:p>
        </w:tc>
        <w:tc>
          <w:tcPr>
            <w:tcW w:w="1080" w:type="dxa"/>
            <w:tcBorders>
              <w:bottom w:val="nil"/>
            </w:tcBorders>
          </w:tcPr>
          <w:p>
            <w:pPr>
              <w:pStyle w:val="TableParagraph"/>
              <w:spacing w:before="32"/>
              <w:ind w:right="30"/>
              <w:rPr>
                <w:sz w:val="15"/>
              </w:rPr>
            </w:pPr>
            <w:r>
              <w:rPr>
                <w:color w:val="231F20"/>
                <w:w w:val="85"/>
                <w:sz w:val="15"/>
              </w:rPr>
              <w:t>La violencia en</w:t>
            </w:r>
          </w:p>
        </w:tc>
        <w:tc>
          <w:tcPr>
            <w:tcW w:w="1210" w:type="dxa"/>
            <w:tcBorders>
              <w:bottom w:val="nil"/>
            </w:tcBorders>
          </w:tcPr>
          <w:p>
            <w:pPr>
              <w:pStyle w:val="TableParagraph"/>
              <w:spacing w:before="32"/>
              <w:ind w:right="79"/>
              <w:rPr>
                <w:sz w:val="15"/>
              </w:rPr>
            </w:pPr>
            <w:r>
              <w:rPr>
                <w:color w:val="231F20"/>
                <w:w w:val="90"/>
                <w:sz w:val="15"/>
              </w:rPr>
              <w:t>“No son cifras</w:t>
            </w:r>
          </w:p>
        </w:tc>
        <w:tc>
          <w:tcPr>
            <w:tcW w:w="1133" w:type="dxa"/>
            <w:vMerge w:val="restart"/>
          </w:tcPr>
          <w:p>
            <w:pPr/>
          </w:p>
        </w:tc>
      </w:tr>
      <w:tr>
        <w:trPr>
          <w:trHeight w:val="336" w:hRule="exact"/>
        </w:trPr>
        <w:tc>
          <w:tcPr>
            <w:tcW w:w="778" w:type="dxa"/>
            <w:tcBorders>
              <w:top w:val="nil"/>
              <w:bottom w:val="nil"/>
            </w:tcBorders>
          </w:tcPr>
          <w:p>
            <w:pPr>
              <w:pStyle w:val="TableParagraph"/>
              <w:spacing w:before="22"/>
              <w:ind w:left="105"/>
              <w:rPr>
                <w:sz w:val="15"/>
              </w:rPr>
            </w:pPr>
            <w:r>
              <w:rPr>
                <w:color w:val="231F20"/>
                <w:w w:val="95"/>
                <w:sz w:val="15"/>
              </w:rPr>
              <w:t>Grimaldi</w:t>
            </w:r>
          </w:p>
        </w:tc>
        <w:tc>
          <w:tcPr>
            <w:tcW w:w="1176" w:type="dxa"/>
            <w:vMerge/>
          </w:tcPr>
          <w:p>
            <w:pPr/>
          </w:p>
        </w:tc>
        <w:tc>
          <w:tcPr>
            <w:tcW w:w="1037" w:type="dxa"/>
            <w:tcBorders>
              <w:top w:val="nil"/>
              <w:bottom w:val="nil"/>
            </w:tcBorders>
          </w:tcPr>
          <w:p>
            <w:pPr>
              <w:pStyle w:val="TableParagraph"/>
              <w:spacing w:line="154" w:lineRule="exact"/>
              <w:ind w:right="147"/>
              <w:rPr>
                <w:sz w:val="15"/>
              </w:rPr>
            </w:pPr>
            <w:r>
              <w:rPr>
                <w:color w:val="231F20"/>
                <w:w w:val="85"/>
                <w:sz w:val="15"/>
              </w:rPr>
              <w:t>contra las</w:t>
            </w:r>
          </w:p>
          <w:p>
            <w:pPr>
              <w:pStyle w:val="TableParagraph"/>
              <w:spacing w:line="170" w:lineRule="exact"/>
              <w:ind w:right="147"/>
              <w:rPr>
                <w:sz w:val="15"/>
              </w:rPr>
            </w:pPr>
            <w:r>
              <w:rPr>
                <w:color w:val="231F20"/>
                <w:w w:val="85"/>
                <w:sz w:val="15"/>
              </w:rPr>
              <w:t>mujeres es</w:t>
            </w:r>
          </w:p>
        </w:tc>
        <w:tc>
          <w:tcPr>
            <w:tcW w:w="1080" w:type="dxa"/>
            <w:tcBorders>
              <w:top w:val="nil"/>
              <w:bottom w:val="nil"/>
            </w:tcBorders>
          </w:tcPr>
          <w:p>
            <w:pPr>
              <w:pStyle w:val="TableParagraph"/>
              <w:spacing w:line="154" w:lineRule="exact"/>
              <w:ind w:right="30"/>
              <w:rPr>
                <w:sz w:val="15"/>
              </w:rPr>
            </w:pPr>
            <w:r>
              <w:rPr>
                <w:color w:val="231F20"/>
                <w:w w:val="90"/>
                <w:sz w:val="15"/>
              </w:rPr>
              <w:t>contra de las</w:t>
            </w:r>
          </w:p>
          <w:p>
            <w:pPr>
              <w:pStyle w:val="TableParagraph"/>
              <w:spacing w:line="170" w:lineRule="exact"/>
              <w:ind w:right="376"/>
              <w:rPr>
                <w:sz w:val="15"/>
              </w:rPr>
            </w:pPr>
            <w:r>
              <w:rPr>
                <w:color w:val="231F20"/>
                <w:w w:val="85"/>
                <w:sz w:val="15"/>
              </w:rPr>
              <w:t>mujeres es</w:t>
            </w:r>
          </w:p>
        </w:tc>
        <w:tc>
          <w:tcPr>
            <w:tcW w:w="1210" w:type="dxa"/>
            <w:tcBorders>
              <w:top w:val="nil"/>
              <w:bottom w:val="nil"/>
            </w:tcBorders>
          </w:tcPr>
          <w:p>
            <w:pPr>
              <w:pStyle w:val="TableParagraph"/>
              <w:spacing w:line="154" w:lineRule="exact"/>
              <w:ind w:right="79"/>
              <w:rPr>
                <w:sz w:val="15"/>
              </w:rPr>
            </w:pPr>
            <w:r>
              <w:rPr>
                <w:color w:val="231F20"/>
                <w:w w:val="85"/>
                <w:sz w:val="15"/>
              </w:rPr>
              <w:t>alarmantes”, según</w:t>
            </w:r>
          </w:p>
          <w:p>
            <w:pPr>
              <w:pStyle w:val="TableParagraph"/>
              <w:spacing w:line="170" w:lineRule="exact"/>
              <w:ind w:right="79"/>
              <w:rPr>
                <w:sz w:val="15"/>
              </w:rPr>
            </w:pPr>
            <w:r>
              <w:rPr>
                <w:color w:val="231F20"/>
                <w:w w:val="90"/>
                <w:sz w:val="15"/>
              </w:rPr>
              <w:t>el gobierno. ¿Qué</w:t>
            </w:r>
          </w:p>
        </w:tc>
        <w:tc>
          <w:tcPr>
            <w:tcW w:w="1133" w:type="dxa"/>
            <w:vMerge/>
          </w:tcPr>
          <w:p>
            <w:pPr/>
          </w:p>
        </w:tc>
      </w:tr>
      <w:tr>
        <w:trPr>
          <w:trHeight w:val="168" w:hRule="exact"/>
        </w:trPr>
        <w:tc>
          <w:tcPr>
            <w:tcW w:w="778" w:type="dxa"/>
            <w:tcBorders>
              <w:top w:val="nil"/>
              <w:bottom w:val="nil"/>
            </w:tcBorders>
          </w:tcPr>
          <w:p>
            <w:pPr/>
          </w:p>
        </w:tc>
        <w:tc>
          <w:tcPr>
            <w:tcW w:w="1176" w:type="dxa"/>
            <w:vMerge/>
          </w:tcPr>
          <w:p>
            <w:pPr/>
          </w:p>
        </w:tc>
        <w:tc>
          <w:tcPr>
            <w:tcW w:w="1037" w:type="dxa"/>
            <w:tcBorders>
              <w:top w:val="nil"/>
              <w:bottom w:val="nil"/>
            </w:tcBorders>
          </w:tcPr>
          <w:p>
            <w:pPr>
              <w:pStyle w:val="TableParagraph"/>
              <w:spacing w:line="156" w:lineRule="exact"/>
              <w:ind w:right="147"/>
              <w:rPr>
                <w:sz w:val="15"/>
              </w:rPr>
            </w:pPr>
            <w:r>
              <w:rPr>
                <w:color w:val="231F20"/>
                <w:w w:val="85"/>
                <w:sz w:val="15"/>
              </w:rPr>
              <w:t>ejercida, con</w:t>
            </w:r>
          </w:p>
        </w:tc>
        <w:tc>
          <w:tcPr>
            <w:tcW w:w="1080" w:type="dxa"/>
            <w:tcBorders>
              <w:top w:val="nil"/>
              <w:bottom w:val="nil"/>
            </w:tcBorders>
          </w:tcPr>
          <w:p>
            <w:pPr>
              <w:pStyle w:val="TableParagraph"/>
              <w:spacing w:line="156" w:lineRule="exact"/>
              <w:ind w:right="30"/>
              <w:rPr>
                <w:sz w:val="15"/>
              </w:rPr>
            </w:pPr>
            <w:r>
              <w:rPr>
                <w:color w:val="231F20"/>
                <w:w w:val="90"/>
                <w:sz w:val="15"/>
              </w:rPr>
              <w:t>actual, pero el</w:t>
            </w:r>
          </w:p>
        </w:tc>
        <w:tc>
          <w:tcPr>
            <w:tcW w:w="1210" w:type="dxa"/>
            <w:tcBorders>
              <w:top w:val="nil"/>
              <w:bottom w:val="nil"/>
            </w:tcBorders>
          </w:tcPr>
          <w:p>
            <w:pPr>
              <w:pStyle w:val="TableParagraph"/>
              <w:spacing w:line="156" w:lineRule="exact"/>
              <w:ind w:right="79"/>
              <w:rPr>
                <w:sz w:val="15"/>
              </w:rPr>
            </w:pPr>
            <w:r>
              <w:rPr>
                <w:color w:val="231F20"/>
                <w:w w:val="90"/>
                <w:sz w:val="15"/>
              </w:rPr>
              <w:t>no son cifras</w:t>
            </w:r>
          </w:p>
        </w:tc>
        <w:tc>
          <w:tcPr>
            <w:tcW w:w="1133" w:type="dxa"/>
            <w:vMerge/>
          </w:tcPr>
          <w:p>
            <w:pPr/>
          </w:p>
        </w:tc>
      </w:tr>
      <w:tr>
        <w:trPr>
          <w:trHeight w:val="170" w:hRule="exact"/>
        </w:trPr>
        <w:tc>
          <w:tcPr>
            <w:tcW w:w="778" w:type="dxa"/>
            <w:tcBorders>
              <w:top w:val="nil"/>
              <w:bottom w:val="nil"/>
            </w:tcBorders>
          </w:tcPr>
          <w:p>
            <w:pPr/>
          </w:p>
        </w:tc>
        <w:tc>
          <w:tcPr>
            <w:tcW w:w="1176" w:type="dxa"/>
            <w:vMerge/>
          </w:tcPr>
          <w:p>
            <w:pPr/>
          </w:p>
        </w:tc>
        <w:tc>
          <w:tcPr>
            <w:tcW w:w="1037" w:type="dxa"/>
            <w:tcBorders>
              <w:top w:val="nil"/>
              <w:bottom w:val="nil"/>
            </w:tcBorders>
          </w:tcPr>
          <w:p>
            <w:pPr>
              <w:pStyle w:val="TableParagraph"/>
              <w:spacing w:line="156" w:lineRule="exact"/>
              <w:ind w:right="97"/>
              <w:rPr>
                <w:sz w:val="15"/>
              </w:rPr>
            </w:pPr>
            <w:r>
              <w:rPr>
                <w:color w:val="231F20"/>
                <w:w w:val="85"/>
                <w:sz w:val="15"/>
              </w:rPr>
              <w:t>frecuencia, por</w:t>
            </w:r>
          </w:p>
        </w:tc>
        <w:tc>
          <w:tcPr>
            <w:tcW w:w="1080" w:type="dxa"/>
            <w:tcBorders>
              <w:top w:val="nil"/>
              <w:bottom w:val="nil"/>
            </w:tcBorders>
          </w:tcPr>
          <w:p>
            <w:pPr>
              <w:pStyle w:val="TableParagraph"/>
              <w:spacing w:line="156" w:lineRule="exact"/>
              <w:ind w:right="30"/>
              <w:rPr>
                <w:sz w:val="15"/>
              </w:rPr>
            </w:pPr>
            <w:r>
              <w:rPr>
                <w:color w:val="231F20"/>
                <w:w w:val="85"/>
                <w:sz w:val="15"/>
              </w:rPr>
              <w:t>gobierno oculta</w:t>
            </w:r>
          </w:p>
        </w:tc>
        <w:tc>
          <w:tcPr>
            <w:tcW w:w="1210" w:type="dxa"/>
            <w:tcBorders>
              <w:top w:val="nil"/>
              <w:bottom w:val="nil"/>
            </w:tcBorders>
          </w:tcPr>
          <w:p>
            <w:pPr>
              <w:pStyle w:val="TableParagraph"/>
              <w:spacing w:line="156" w:lineRule="exact"/>
              <w:ind w:right="79"/>
              <w:rPr>
                <w:sz w:val="15"/>
              </w:rPr>
            </w:pPr>
            <w:r>
              <w:rPr>
                <w:color w:val="231F20"/>
                <w:w w:val="85"/>
                <w:sz w:val="15"/>
              </w:rPr>
              <w:t>alarmantes? No</w:t>
            </w:r>
          </w:p>
        </w:tc>
        <w:tc>
          <w:tcPr>
            <w:tcW w:w="1133" w:type="dxa"/>
            <w:vMerge/>
          </w:tcPr>
          <w:p>
            <w:pPr/>
          </w:p>
        </w:tc>
      </w:tr>
      <w:tr>
        <w:trPr>
          <w:trHeight w:val="169" w:hRule="exact"/>
        </w:trPr>
        <w:tc>
          <w:tcPr>
            <w:tcW w:w="778" w:type="dxa"/>
            <w:tcBorders>
              <w:top w:val="nil"/>
            </w:tcBorders>
          </w:tcPr>
          <w:p>
            <w:pPr/>
          </w:p>
        </w:tc>
        <w:tc>
          <w:tcPr>
            <w:tcW w:w="1176" w:type="dxa"/>
            <w:vMerge/>
          </w:tcPr>
          <w:p>
            <w:pPr/>
          </w:p>
        </w:tc>
        <w:tc>
          <w:tcPr>
            <w:tcW w:w="1037" w:type="dxa"/>
            <w:tcBorders>
              <w:top w:val="nil"/>
            </w:tcBorders>
          </w:tcPr>
          <w:p>
            <w:pPr>
              <w:pStyle w:val="TableParagraph"/>
              <w:spacing w:line="158" w:lineRule="exact"/>
              <w:ind w:right="147"/>
              <w:rPr>
                <w:sz w:val="15"/>
              </w:rPr>
            </w:pPr>
            <w:r>
              <w:rPr>
                <w:color w:val="231F20"/>
                <w:w w:val="95"/>
                <w:sz w:val="15"/>
              </w:rPr>
              <w:t>personas</w:t>
            </w:r>
          </w:p>
        </w:tc>
        <w:tc>
          <w:tcPr>
            <w:tcW w:w="1080" w:type="dxa"/>
            <w:tcBorders>
              <w:top w:val="nil"/>
            </w:tcBorders>
          </w:tcPr>
          <w:p>
            <w:pPr>
              <w:pStyle w:val="TableParagraph"/>
              <w:spacing w:line="158" w:lineRule="exact"/>
              <w:ind w:right="30"/>
              <w:rPr>
                <w:sz w:val="15"/>
              </w:rPr>
            </w:pPr>
            <w:r>
              <w:rPr>
                <w:color w:val="231F20"/>
                <w:w w:val="85"/>
                <w:sz w:val="15"/>
              </w:rPr>
              <w:t>cifras y dismi-</w:t>
            </w:r>
          </w:p>
        </w:tc>
        <w:tc>
          <w:tcPr>
            <w:tcW w:w="1210" w:type="dxa"/>
            <w:tcBorders>
              <w:top w:val="nil"/>
            </w:tcBorders>
          </w:tcPr>
          <w:p>
            <w:pPr>
              <w:pStyle w:val="TableParagraph"/>
              <w:spacing w:line="158" w:lineRule="exact"/>
              <w:ind w:right="79"/>
              <w:rPr>
                <w:sz w:val="15"/>
              </w:rPr>
            </w:pPr>
            <w:r>
              <w:rPr>
                <w:color w:val="231F20"/>
                <w:w w:val="90"/>
                <w:sz w:val="15"/>
              </w:rPr>
              <w:t>puedo creer que</w:t>
            </w:r>
          </w:p>
        </w:tc>
        <w:tc>
          <w:tcPr>
            <w:tcW w:w="1133" w:type="dxa"/>
            <w:vMerge/>
          </w:tcPr>
          <w:p>
            <w:pPr/>
          </w:p>
        </w:tc>
      </w:tr>
    </w:tbl>
    <w:p>
      <w:pPr>
        <w:spacing w:after="0"/>
        <w:sectPr>
          <w:headerReference w:type="default" r:id="rId607"/>
          <w:footerReference w:type="default" r:id="rId608"/>
          <w:pgSz w:w="7830" w:h="11910"/>
          <w:pgMar w:header="0" w:footer="424" w:top="500" w:bottom="620" w:left="800" w:right="380"/>
          <w:pgNumType w:start="269"/>
        </w:sectPr>
      </w:pPr>
    </w:p>
    <w:p>
      <w:pPr>
        <w:spacing w:before="46"/>
        <w:ind w:left="71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179" w:hRule="exact"/>
        </w:trPr>
        <w:tc>
          <w:tcPr>
            <w:tcW w:w="778" w:type="dxa"/>
            <w:vMerge w:val="restart"/>
          </w:tcPr>
          <w:p>
            <w:pPr/>
          </w:p>
        </w:tc>
        <w:tc>
          <w:tcPr>
            <w:tcW w:w="1176" w:type="dxa"/>
            <w:vMerge w:val="restart"/>
          </w:tcPr>
          <w:p>
            <w:pPr/>
          </w:p>
        </w:tc>
        <w:tc>
          <w:tcPr>
            <w:tcW w:w="1037" w:type="dxa"/>
            <w:tcBorders>
              <w:bottom w:val="nil"/>
            </w:tcBorders>
          </w:tcPr>
          <w:p>
            <w:pPr>
              <w:pStyle w:val="TableParagraph"/>
              <w:spacing w:line="162" w:lineRule="exact"/>
              <w:ind w:right="147"/>
              <w:rPr>
                <w:sz w:val="15"/>
              </w:rPr>
            </w:pPr>
            <w:r>
              <w:rPr>
                <w:color w:val="231F20"/>
                <w:w w:val="85"/>
                <w:sz w:val="15"/>
              </w:rPr>
              <w:t>conocidas. La</w:t>
            </w:r>
          </w:p>
        </w:tc>
        <w:tc>
          <w:tcPr>
            <w:tcW w:w="1080" w:type="dxa"/>
            <w:tcBorders>
              <w:bottom w:val="nil"/>
            </w:tcBorders>
          </w:tcPr>
          <w:p>
            <w:pPr>
              <w:pStyle w:val="TableParagraph"/>
              <w:spacing w:line="162" w:lineRule="exact"/>
              <w:ind w:right="30"/>
              <w:rPr>
                <w:sz w:val="15"/>
              </w:rPr>
            </w:pPr>
            <w:r>
              <w:rPr>
                <w:color w:val="231F20"/>
                <w:w w:val="90"/>
                <w:sz w:val="15"/>
              </w:rPr>
              <w:t>nuye el proble-</w:t>
            </w:r>
          </w:p>
        </w:tc>
        <w:tc>
          <w:tcPr>
            <w:tcW w:w="1210" w:type="dxa"/>
            <w:tcBorders>
              <w:bottom w:val="nil"/>
            </w:tcBorders>
          </w:tcPr>
          <w:p>
            <w:pPr>
              <w:pStyle w:val="TableParagraph"/>
              <w:spacing w:line="162" w:lineRule="exact"/>
              <w:ind w:right="79"/>
              <w:rPr>
                <w:sz w:val="15"/>
              </w:rPr>
            </w:pPr>
            <w:r>
              <w:rPr>
                <w:color w:val="231F20"/>
                <w:w w:val="90"/>
                <w:sz w:val="15"/>
              </w:rPr>
              <w:t>aún sigan pensan-</w:t>
            </w:r>
          </w:p>
        </w:tc>
        <w:tc>
          <w:tcPr>
            <w:tcW w:w="1133" w:type="dxa"/>
            <w:vMerge w:val="restart"/>
          </w:tcPr>
          <w:p>
            <w:pPr/>
          </w:p>
        </w:tc>
      </w:tr>
      <w:tr>
        <w:trPr>
          <w:trHeight w:val="170" w:hRule="exact"/>
        </w:trPr>
        <w:tc>
          <w:tcPr>
            <w:tcW w:w="778" w:type="dxa"/>
            <w:vMerge/>
          </w:tcPr>
          <w:p>
            <w:pPr/>
          </w:p>
        </w:tc>
        <w:tc>
          <w:tcPr>
            <w:tcW w:w="1176" w:type="dxa"/>
            <w:vMerge/>
          </w:tcPr>
          <w:p>
            <w:pPr/>
          </w:p>
        </w:tc>
        <w:tc>
          <w:tcPr>
            <w:tcW w:w="1037" w:type="dxa"/>
            <w:tcBorders>
              <w:top w:val="nil"/>
              <w:bottom w:val="nil"/>
            </w:tcBorders>
          </w:tcPr>
          <w:p>
            <w:pPr>
              <w:pStyle w:val="TableParagraph"/>
              <w:spacing w:line="156" w:lineRule="exact"/>
              <w:ind w:right="147"/>
              <w:rPr>
                <w:sz w:val="15"/>
              </w:rPr>
            </w:pPr>
            <w:r>
              <w:rPr>
                <w:color w:val="231F20"/>
                <w:w w:val="85"/>
                <w:sz w:val="15"/>
              </w:rPr>
              <w:t>violencia es</w:t>
            </w:r>
          </w:p>
        </w:tc>
        <w:tc>
          <w:tcPr>
            <w:tcW w:w="1080" w:type="dxa"/>
            <w:tcBorders>
              <w:top w:val="nil"/>
              <w:bottom w:val="nil"/>
            </w:tcBorders>
          </w:tcPr>
          <w:p>
            <w:pPr>
              <w:pStyle w:val="TableParagraph"/>
              <w:spacing w:line="156" w:lineRule="exact"/>
              <w:ind w:right="376"/>
              <w:rPr>
                <w:sz w:val="15"/>
              </w:rPr>
            </w:pPr>
            <w:r>
              <w:rPr>
                <w:color w:val="231F20"/>
                <w:w w:val="95"/>
                <w:sz w:val="15"/>
              </w:rPr>
              <w:t>ma.</w:t>
            </w:r>
          </w:p>
        </w:tc>
        <w:tc>
          <w:tcPr>
            <w:tcW w:w="1210" w:type="dxa"/>
            <w:tcBorders>
              <w:top w:val="nil"/>
              <w:bottom w:val="nil"/>
            </w:tcBorders>
          </w:tcPr>
          <w:p>
            <w:pPr>
              <w:pStyle w:val="TableParagraph"/>
              <w:spacing w:line="156" w:lineRule="exact"/>
              <w:ind w:right="79"/>
              <w:rPr>
                <w:sz w:val="15"/>
              </w:rPr>
            </w:pPr>
            <w:r>
              <w:rPr>
                <w:color w:val="231F20"/>
                <w:w w:val="90"/>
                <w:sz w:val="15"/>
              </w:rPr>
              <w:t>do eso, somos</w:t>
            </w:r>
          </w:p>
        </w:tc>
        <w:tc>
          <w:tcPr>
            <w:tcW w:w="1133" w:type="dxa"/>
            <w:vMerge/>
          </w:tcPr>
          <w:p>
            <w:pPr/>
          </w:p>
        </w:tc>
      </w:tr>
      <w:tr>
        <w:trPr>
          <w:trHeight w:val="170" w:hRule="exact"/>
        </w:trPr>
        <w:tc>
          <w:tcPr>
            <w:tcW w:w="778" w:type="dxa"/>
            <w:vMerge/>
          </w:tcPr>
          <w:p>
            <w:pPr/>
          </w:p>
        </w:tc>
        <w:tc>
          <w:tcPr>
            <w:tcW w:w="1176" w:type="dxa"/>
            <w:vMerge/>
          </w:tcPr>
          <w:p>
            <w:pPr/>
          </w:p>
        </w:tc>
        <w:tc>
          <w:tcPr>
            <w:tcW w:w="1037" w:type="dxa"/>
            <w:tcBorders>
              <w:top w:val="nil"/>
              <w:bottom w:val="nil"/>
            </w:tcBorders>
          </w:tcPr>
          <w:p>
            <w:pPr>
              <w:pStyle w:val="TableParagraph"/>
              <w:spacing w:line="158" w:lineRule="exact"/>
              <w:ind w:right="147"/>
              <w:rPr>
                <w:sz w:val="15"/>
              </w:rPr>
            </w:pPr>
            <w:r>
              <w:rPr>
                <w:color w:val="231F20"/>
                <w:w w:val="90"/>
                <w:sz w:val="15"/>
              </w:rPr>
              <w:t>producto de</w:t>
            </w: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85"/>
                <w:sz w:val="15"/>
              </w:rPr>
              <w:t>muy ignorantes</w:t>
            </w:r>
          </w:p>
        </w:tc>
        <w:tc>
          <w:tcPr>
            <w:tcW w:w="1133" w:type="dxa"/>
            <w:vMerge/>
          </w:tcPr>
          <w:p>
            <w:pPr/>
          </w:p>
        </w:tc>
      </w:tr>
      <w:tr>
        <w:trPr>
          <w:trHeight w:val="168" w:hRule="exact"/>
        </w:trPr>
        <w:tc>
          <w:tcPr>
            <w:tcW w:w="778" w:type="dxa"/>
            <w:vMerge/>
          </w:tcPr>
          <w:p>
            <w:pPr/>
          </w:p>
        </w:tc>
        <w:tc>
          <w:tcPr>
            <w:tcW w:w="1176" w:type="dxa"/>
            <w:vMerge/>
          </w:tcPr>
          <w:p>
            <w:pPr/>
          </w:p>
        </w:tc>
        <w:tc>
          <w:tcPr>
            <w:tcW w:w="1037" w:type="dxa"/>
            <w:tcBorders>
              <w:top w:val="nil"/>
              <w:bottom w:val="nil"/>
            </w:tcBorders>
          </w:tcPr>
          <w:p>
            <w:pPr>
              <w:pStyle w:val="TableParagraph"/>
              <w:spacing w:line="156" w:lineRule="exact"/>
              <w:ind w:right="97"/>
              <w:rPr>
                <w:sz w:val="15"/>
              </w:rPr>
            </w:pPr>
            <w:r>
              <w:rPr>
                <w:color w:val="231F20"/>
                <w:w w:val="90"/>
                <w:sz w:val="15"/>
              </w:rPr>
              <w:t>una gran falta</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sobre ese tema,</w:t>
            </w:r>
          </w:p>
        </w:tc>
        <w:tc>
          <w:tcPr>
            <w:tcW w:w="1133" w:type="dxa"/>
            <w:vMerge/>
          </w:tcPr>
          <w:p>
            <w:pPr/>
          </w:p>
        </w:tc>
      </w:tr>
      <w:tr>
        <w:trPr>
          <w:trHeight w:val="168" w:hRule="exact"/>
        </w:trPr>
        <w:tc>
          <w:tcPr>
            <w:tcW w:w="778" w:type="dxa"/>
            <w:vMerge/>
          </w:tcPr>
          <w:p>
            <w:pPr/>
          </w:p>
        </w:tc>
        <w:tc>
          <w:tcPr>
            <w:tcW w:w="1176" w:type="dxa"/>
            <w:vMerge/>
          </w:tcPr>
          <w:p>
            <w:pPr/>
          </w:p>
        </w:tc>
        <w:tc>
          <w:tcPr>
            <w:tcW w:w="1037" w:type="dxa"/>
            <w:tcBorders>
              <w:top w:val="nil"/>
              <w:bottom w:val="nil"/>
            </w:tcBorders>
          </w:tcPr>
          <w:p>
            <w:pPr>
              <w:pStyle w:val="TableParagraph"/>
              <w:spacing w:line="156" w:lineRule="exact"/>
              <w:ind w:right="147"/>
              <w:rPr>
                <w:sz w:val="15"/>
              </w:rPr>
            </w:pPr>
            <w:r>
              <w:rPr>
                <w:color w:val="231F20"/>
                <w:w w:val="90"/>
                <w:sz w:val="15"/>
              </w:rPr>
              <w:t>de valores en</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cuando casi la</w:t>
            </w:r>
          </w:p>
        </w:tc>
        <w:tc>
          <w:tcPr>
            <w:tcW w:w="1133" w:type="dxa"/>
            <w:vMerge/>
          </w:tcPr>
          <w:p>
            <w:pPr/>
          </w:p>
        </w:tc>
      </w:tr>
      <w:tr>
        <w:trPr>
          <w:trHeight w:val="168" w:hRule="exact"/>
        </w:trPr>
        <w:tc>
          <w:tcPr>
            <w:tcW w:w="778" w:type="dxa"/>
            <w:vMerge/>
          </w:tcPr>
          <w:p>
            <w:pPr/>
          </w:p>
        </w:tc>
        <w:tc>
          <w:tcPr>
            <w:tcW w:w="1176" w:type="dxa"/>
            <w:vMerge/>
          </w:tcPr>
          <w:p>
            <w:pPr/>
          </w:p>
        </w:tc>
        <w:tc>
          <w:tcPr>
            <w:tcW w:w="1037" w:type="dxa"/>
            <w:tcBorders>
              <w:top w:val="nil"/>
              <w:bottom w:val="nil"/>
            </w:tcBorders>
          </w:tcPr>
          <w:p>
            <w:pPr>
              <w:pStyle w:val="TableParagraph"/>
              <w:spacing w:line="156" w:lineRule="exact"/>
              <w:ind w:right="147"/>
              <w:rPr>
                <w:sz w:val="15"/>
              </w:rPr>
            </w:pPr>
            <w:r>
              <w:rPr>
                <w:color w:val="231F20"/>
                <w:w w:val="95"/>
                <w:sz w:val="15"/>
              </w:rPr>
              <w:t>nuestra</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mitad de las</w:t>
            </w:r>
          </w:p>
        </w:tc>
        <w:tc>
          <w:tcPr>
            <w:tcW w:w="1133" w:type="dxa"/>
            <w:vMerge/>
          </w:tcPr>
          <w:p>
            <w:pPr/>
          </w:p>
        </w:tc>
      </w:tr>
      <w:tr>
        <w:trPr>
          <w:trHeight w:val="168" w:hRule="exact"/>
        </w:trPr>
        <w:tc>
          <w:tcPr>
            <w:tcW w:w="778" w:type="dxa"/>
            <w:vMerge/>
          </w:tcPr>
          <w:p>
            <w:pPr/>
          </w:p>
        </w:tc>
        <w:tc>
          <w:tcPr>
            <w:tcW w:w="1176" w:type="dxa"/>
            <w:vMerge/>
          </w:tcPr>
          <w:p>
            <w:pPr/>
          </w:p>
        </w:tc>
        <w:tc>
          <w:tcPr>
            <w:tcW w:w="1037" w:type="dxa"/>
            <w:tcBorders>
              <w:top w:val="nil"/>
              <w:bottom w:val="nil"/>
            </w:tcBorders>
          </w:tcPr>
          <w:p>
            <w:pPr>
              <w:pStyle w:val="TableParagraph"/>
              <w:spacing w:line="156" w:lineRule="exact"/>
              <w:ind w:right="97"/>
              <w:rPr>
                <w:sz w:val="15"/>
              </w:rPr>
            </w:pPr>
            <w:r>
              <w:rPr>
                <w:color w:val="231F20"/>
                <w:w w:val="90"/>
                <w:sz w:val="15"/>
              </w:rPr>
              <w:t>sociedad, y no</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mujeres sufre</w:t>
            </w:r>
          </w:p>
        </w:tc>
        <w:tc>
          <w:tcPr>
            <w:tcW w:w="1133" w:type="dxa"/>
            <w:vMerge/>
          </w:tcPr>
          <w:p>
            <w:pPr/>
          </w:p>
        </w:tc>
      </w:tr>
      <w:tr>
        <w:trPr>
          <w:trHeight w:val="168" w:hRule="exact"/>
        </w:trPr>
        <w:tc>
          <w:tcPr>
            <w:tcW w:w="778" w:type="dxa"/>
            <w:vMerge/>
          </w:tcPr>
          <w:p>
            <w:pPr/>
          </w:p>
        </w:tc>
        <w:tc>
          <w:tcPr>
            <w:tcW w:w="1176" w:type="dxa"/>
            <w:vMerge/>
          </w:tcPr>
          <w:p>
            <w:pPr/>
          </w:p>
        </w:tc>
        <w:tc>
          <w:tcPr>
            <w:tcW w:w="1037" w:type="dxa"/>
            <w:tcBorders>
              <w:top w:val="nil"/>
              <w:bottom w:val="nil"/>
            </w:tcBorders>
          </w:tcPr>
          <w:p>
            <w:pPr>
              <w:pStyle w:val="TableParagraph"/>
              <w:spacing w:line="156" w:lineRule="exact"/>
              <w:ind w:right="147"/>
              <w:rPr>
                <w:sz w:val="15"/>
              </w:rPr>
            </w:pPr>
            <w:r>
              <w:rPr>
                <w:color w:val="231F20"/>
                <w:w w:val="90"/>
                <w:sz w:val="15"/>
              </w:rPr>
              <w:t>solo en</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algún tipo de</w:t>
            </w:r>
          </w:p>
        </w:tc>
        <w:tc>
          <w:tcPr>
            <w:tcW w:w="1133" w:type="dxa"/>
            <w:vMerge/>
          </w:tcPr>
          <w:p>
            <w:pPr/>
          </w:p>
        </w:tc>
      </w:tr>
      <w:tr>
        <w:trPr>
          <w:trHeight w:val="170" w:hRule="exact"/>
        </w:trPr>
        <w:tc>
          <w:tcPr>
            <w:tcW w:w="778" w:type="dxa"/>
            <w:vMerge/>
          </w:tcPr>
          <w:p>
            <w:pPr/>
          </w:p>
        </w:tc>
        <w:tc>
          <w:tcPr>
            <w:tcW w:w="1176" w:type="dxa"/>
            <w:vMerge/>
          </w:tcPr>
          <w:p>
            <w:pPr/>
          </w:p>
        </w:tc>
        <w:tc>
          <w:tcPr>
            <w:tcW w:w="1037" w:type="dxa"/>
            <w:tcBorders>
              <w:top w:val="nil"/>
              <w:bottom w:val="nil"/>
            </w:tcBorders>
          </w:tcPr>
          <w:p>
            <w:pPr>
              <w:pStyle w:val="TableParagraph"/>
              <w:spacing w:line="156" w:lineRule="exact"/>
              <w:ind w:right="147"/>
              <w:rPr>
                <w:sz w:val="15"/>
              </w:rPr>
            </w:pPr>
            <w:r>
              <w:rPr>
                <w:color w:val="231F20"/>
                <w:w w:val="85"/>
                <w:sz w:val="15"/>
              </w:rPr>
              <w:t>México, sino</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maltrato, ya sea</w:t>
            </w:r>
          </w:p>
        </w:tc>
        <w:tc>
          <w:tcPr>
            <w:tcW w:w="1133" w:type="dxa"/>
            <w:vMerge/>
          </w:tcPr>
          <w:p>
            <w:pPr/>
          </w:p>
        </w:tc>
      </w:tr>
      <w:tr>
        <w:trPr>
          <w:trHeight w:val="170" w:hRule="exact"/>
        </w:trPr>
        <w:tc>
          <w:tcPr>
            <w:tcW w:w="778" w:type="dxa"/>
            <w:vMerge/>
          </w:tcPr>
          <w:p>
            <w:pPr/>
          </w:p>
        </w:tc>
        <w:tc>
          <w:tcPr>
            <w:tcW w:w="1176" w:type="dxa"/>
            <w:vMerge/>
          </w:tcPr>
          <w:p>
            <w:pPr/>
          </w:p>
        </w:tc>
        <w:tc>
          <w:tcPr>
            <w:tcW w:w="1037" w:type="dxa"/>
            <w:tcBorders>
              <w:top w:val="nil"/>
              <w:bottom w:val="nil"/>
            </w:tcBorders>
          </w:tcPr>
          <w:p>
            <w:pPr>
              <w:pStyle w:val="TableParagraph"/>
              <w:spacing w:line="158" w:lineRule="exact"/>
              <w:ind w:right="97"/>
              <w:rPr>
                <w:sz w:val="15"/>
              </w:rPr>
            </w:pPr>
            <w:r>
              <w:rPr>
                <w:color w:val="231F20"/>
                <w:w w:val="90"/>
                <w:sz w:val="15"/>
              </w:rPr>
              <w:t>en el resto del</w:t>
            </w: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85"/>
                <w:sz w:val="15"/>
              </w:rPr>
              <w:t>sicológico o físico.</w:t>
            </w:r>
          </w:p>
        </w:tc>
        <w:tc>
          <w:tcPr>
            <w:tcW w:w="1133" w:type="dxa"/>
            <w:vMerge/>
          </w:tcPr>
          <w:p>
            <w:pPr/>
          </w:p>
        </w:tc>
      </w:tr>
      <w:tr>
        <w:trPr>
          <w:trHeight w:val="206" w:hRule="exact"/>
        </w:trPr>
        <w:tc>
          <w:tcPr>
            <w:tcW w:w="778" w:type="dxa"/>
            <w:vMerge/>
          </w:tcPr>
          <w:p>
            <w:pPr/>
          </w:p>
        </w:tc>
        <w:tc>
          <w:tcPr>
            <w:tcW w:w="1176" w:type="dxa"/>
            <w:vMerge/>
          </w:tcPr>
          <w:p>
            <w:pPr/>
          </w:p>
        </w:tc>
        <w:tc>
          <w:tcPr>
            <w:tcW w:w="1037" w:type="dxa"/>
            <w:tcBorders>
              <w:top w:val="nil"/>
              <w:bottom w:val="nil"/>
            </w:tcBorders>
          </w:tcPr>
          <w:p>
            <w:pPr>
              <w:pStyle w:val="TableParagraph"/>
              <w:spacing w:line="156" w:lineRule="exact"/>
              <w:ind w:right="147"/>
              <w:rPr>
                <w:sz w:val="15"/>
              </w:rPr>
            </w:pPr>
            <w:r>
              <w:rPr>
                <w:color w:val="231F20"/>
                <w:sz w:val="15"/>
              </w:rPr>
              <w:t>mundo.</w:t>
            </w:r>
          </w:p>
        </w:tc>
        <w:tc>
          <w:tcPr>
            <w:tcW w:w="1080" w:type="dxa"/>
            <w:tcBorders>
              <w:top w:val="nil"/>
              <w:bottom w:val="nil"/>
            </w:tcBorders>
          </w:tcPr>
          <w:p>
            <w:pPr/>
          </w:p>
        </w:tc>
        <w:tc>
          <w:tcPr>
            <w:tcW w:w="1210" w:type="dxa"/>
            <w:tcBorders>
              <w:top w:val="nil"/>
              <w:bottom w:val="nil"/>
            </w:tcBorders>
          </w:tcPr>
          <w:p>
            <w:pPr>
              <w:pStyle w:val="TableParagraph"/>
              <w:spacing w:before="22"/>
              <w:ind w:right="79"/>
              <w:rPr>
                <w:sz w:val="15"/>
              </w:rPr>
            </w:pPr>
            <w:r>
              <w:rPr>
                <w:color w:val="231F20"/>
                <w:w w:val="95"/>
                <w:sz w:val="15"/>
              </w:rPr>
              <w:t>Irreverentes,</w:t>
            </w:r>
          </w:p>
        </w:tc>
        <w:tc>
          <w:tcPr>
            <w:tcW w:w="1133" w:type="dxa"/>
            <w:vMerge/>
          </w:tcPr>
          <w:p>
            <w:pPr/>
          </w:p>
        </w:tc>
      </w:tr>
      <w:tr>
        <w:trPr>
          <w:trHeight w:val="168" w:hRule="exact"/>
        </w:trPr>
        <w:tc>
          <w:tcPr>
            <w:tcW w:w="778" w:type="dxa"/>
            <w:vMerge/>
          </w:tcPr>
          <w:p>
            <w:pPr/>
          </w:p>
        </w:tc>
        <w:tc>
          <w:tcPr>
            <w:tcW w:w="1176" w:type="dxa"/>
            <w:vMerge/>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5"/>
                <w:sz w:val="15"/>
              </w:rPr>
              <w:t>insolentes,</w:t>
            </w:r>
          </w:p>
        </w:tc>
        <w:tc>
          <w:tcPr>
            <w:tcW w:w="1133" w:type="dxa"/>
            <w:vMerge/>
          </w:tcPr>
          <w:p>
            <w:pPr/>
          </w:p>
        </w:tc>
      </w:tr>
      <w:tr>
        <w:trPr>
          <w:trHeight w:val="170" w:hRule="exact"/>
        </w:trPr>
        <w:tc>
          <w:tcPr>
            <w:tcW w:w="778" w:type="dxa"/>
            <w:vMerge/>
          </w:tcPr>
          <w:p>
            <w:pPr/>
          </w:p>
        </w:tc>
        <w:tc>
          <w:tcPr>
            <w:tcW w:w="1176" w:type="dxa"/>
            <w:vMerge/>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5"/>
                <w:sz w:val="15"/>
              </w:rPr>
              <w:t>desconsiderados,</w:t>
            </w:r>
          </w:p>
        </w:tc>
        <w:tc>
          <w:tcPr>
            <w:tcW w:w="1133" w:type="dxa"/>
            <w:vMerge/>
          </w:tcPr>
          <w:p>
            <w:pPr/>
          </w:p>
        </w:tc>
      </w:tr>
      <w:tr>
        <w:trPr>
          <w:trHeight w:val="170" w:hRule="exact"/>
        </w:trPr>
        <w:tc>
          <w:tcPr>
            <w:tcW w:w="778" w:type="dxa"/>
            <w:vMerge/>
          </w:tcPr>
          <w:p>
            <w:pPr/>
          </w:p>
        </w:tc>
        <w:tc>
          <w:tcPr>
            <w:tcW w:w="1176" w:type="dxa"/>
            <w:vMerge/>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85"/>
                <w:sz w:val="15"/>
              </w:rPr>
              <w:t>irrespetuosos, es</w:t>
            </w:r>
          </w:p>
        </w:tc>
        <w:tc>
          <w:tcPr>
            <w:tcW w:w="1133" w:type="dxa"/>
            <w:vMerge/>
          </w:tcPr>
          <w:p>
            <w:pPr/>
          </w:p>
        </w:tc>
      </w:tr>
      <w:tr>
        <w:trPr>
          <w:trHeight w:val="168" w:hRule="exact"/>
        </w:trPr>
        <w:tc>
          <w:tcPr>
            <w:tcW w:w="778" w:type="dxa"/>
            <w:vMerge/>
          </w:tcPr>
          <w:p>
            <w:pPr/>
          </w:p>
        </w:tc>
        <w:tc>
          <w:tcPr>
            <w:tcW w:w="1176" w:type="dxa"/>
            <w:vMerge/>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5"/>
                <w:sz w:val="15"/>
              </w:rPr>
              <w:t>en lo que nos</w:t>
            </w:r>
          </w:p>
        </w:tc>
        <w:tc>
          <w:tcPr>
            <w:tcW w:w="1133" w:type="dxa"/>
            <w:vMerge/>
          </w:tcPr>
          <w:p>
            <w:pPr/>
          </w:p>
        </w:tc>
      </w:tr>
      <w:tr>
        <w:trPr>
          <w:trHeight w:val="168" w:hRule="exact"/>
        </w:trPr>
        <w:tc>
          <w:tcPr>
            <w:tcW w:w="778" w:type="dxa"/>
            <w:vMerge/>
          </w:tcPr>
          <w:p>
            <w:pPr/>
          </w:p>
        </w:tc>
        <w:tc>
          <w:tcPr>
            <w:tcW w:w="1176" w:type="dxa"/>
            <w:vMerge/>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hemos convertido,</w:t>
            </w:r>
          </w:p>
        </w:tc>
        <w:tc>
          <w:tcPr>
            <w:tcW w:w="1133" w:type="dxa"/>
            <w:vMerge/>
          </w:tcPr>
          <w:p>
            <w:pPr/>
          </w:p>
        </w:tc>
      </w:tr>
      <w:tr>
        <w:trPr>
          <w:trHeight w:val="168" w:hRule="exact"/>
        </w:trPr>
        <w:tc>
          <w:tcPr>
            <w:tcW w:w="778" w:type="dxa"/>
            <w:vMerge/>
          </w:tcPr>
          <w:p>
            <w:pPr/>
          </w:p>
        </w:tc>
        <w:tc>
          <w:tcPr>
            <w:tcW w:w="1176" w:type="dxa"/>
            <w:vMerge/>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51"/>
              <w:rPr>
                <w:sz w:val="15"/>
              </w:rPr>
            </w:pPr>
            <w:r>
              <w:rPr>
                <w:color w:val="231F20"/>
                <w:w w:val="90"/>
                <w:sz w:val="15"/>
              </w:rPr>
              <w:t>y por desgracia, lo</w:t>
            </w:r>
          </w:p>
        </w:tc>
        <w:tc>
          <w:tcPr>
            <w:tcW w:w="1133" w:type="dxa"/>
            <w:vMerge/>
          </w:tcPr>
          <w:p>
            <w:pPr/>
          </w:p>
        </w:tc>
      </w:tr>
      <w:tr>
        <w:trPr>
          <w:trHeight w:val="168" w:hRule="exact"/>
        </w:trPr>
        <w:tc>
          <w:tcPr>
            <w:tcW w:w="778" w:type="dxa"/>
            <w:vMerge/>
          </w:tcPr>
          <w:p>
            <w:pPr/>
          </w:p>
        </w:tc>
        <w:tc>
          <w:tcPr>
            <w:tcW w:w="1176" w:type="dxa"/>
            <w:vMerge/>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hemos pasado de</w:t>
            </w:r>
          </w:p>
        </w:tc>
        <w:tc>
          <w:tcPr>
            <w:tcW w:w="1133" w:type="dxa"/>
            <w:vMerge/>
          </w:tcPr>
          <w:p>
            <w:pPr/>
          </w:p>
        </w:tc>
      </w:tr>
      <w:tr>
        <w:trPr>
          <w:trHeight w:val="170" w:hRule="exact"/>
        </w:trPr>
        <w:tc>
          <w:tcPr>
            <w:tcW w:w="778" w:type="dxa"/>
            <w:vMerge/>
          </w:tcPr>
          <w:p>
            <w:pPr/>
          </w:p>
        </w:tc>
        <w:tc>
          <w:tcPr>
            <w:tcW w:w="1176" w:type="dxa"/>
            <w:vMerge/>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generación en</w:t>
            </w:r>
          </w:p>
        </w:tc>
        <w:tc>
          <w:tcPr>
            <w:tcW w:w="1133" w:type="dxa"/>
            <w:vMerge/>
          </w:tcPr>
          <w:p>
            <w:pPr/>
          </w:p>
        </w:tc>
      </w:tr>
      <w:tr>
        <w:trPr>
          <w:trHeight w:val="208" w:hRule="exact"/>
        </w:trPr>
        <w:tc>
          <w:tcPr>
            <w:tcW w:w="778" w:type="dxa"/>
            <w:vMerge/>
          </w:tcPr>
          <w:p>
            <w:pPr/>
          </w:p>
        </w:tc>
        <w:tc>
          <w:tcPr>
            <w:tcW w:w="1176" w:type="dxa"/>
            <w:vMerge/>
          </w:tcPr>
          <w:p>
            <w:pPr/>
          </w:p>
        </w:tc>
        <w:tc>
          <w:tcPr>
            <w:tcW w:w="1037" w:type="dxa"/>
            <w:tcBorders>
              <w:top w:val="nil"/>
            </w:tcBorders>
          </w:tcPr>
          <w:p>
            <w:pPr/>
          </w:p>
        </w:tc>
        <w:tc>
          <w:tcPr>
            <w:tcW w:w="1080" w:type="dxa"/>
            <w:tcBorders>
              <w:top w:val="nil"/>
            </w:tcBorders>
          </w:tcPr>
          <w:p>
            <w:pPr/>
          </w:p>
        </w:tc>
        <w:tc>
          <w:tcPr>
            <w:tcW w:w="1210" w:type="dxa"/>
            <w:tcBorders>
              <w:top w:val="nil"/>
            </w:tcBorders>
          </w:tcPr>
          <w:p>
            <w:pPr>
              <w:pStyle w:val="TableParagraph"/>
              <w:spacing w:line="158" w:lineRule="exact"/>
              <w:ind w:right="79"/>
              <w:rPr>
                <w:sz w:val="15"/>
              </w:rPr>
            </w:pPr>
            <w:r>
              <w:rPr>
                <w:color w:val="231F20"/>
                <w:w w:val="95"/>
                <w:sz w:val="15"/>
              </w:rPr>
              <w:t>generación.</w:t>
            </w:r>
          </w:p>
        </w:tc>
        <w:tc>
          <w:tcPr>
            <w:tcW w:w="1133" w:type="dxa"/>
            <w:vMerge/>
          </w:tcPr>
          <w:p>
            <w:pPr/>
          </w:p>
        </w:tc>
      </w:tr>
      <w:tr>
        <w:trPr>
          <w:trHeight w:val="220" w:hRule="exact"/>
        </w:trPr>
        <w:tc>
          <w:tcPr>
            <w:tcW w:w="778" w:type="dxa"/>
            <w:tcBorders>
              <w:bottom w:val="nil"/>
            </w:tcBorders>
          </w:tcPr>
          <w:p>
            <w:pPr>
              <w:pStyle w:val="TableParagraph"/>
              <w:spacing w:before="28"/>
              <w:ind w:left="105"/>
              <w:rPr>
                <w:sz w:val="15"/>
              </w:rPr>
            </w:pPr>
            <w:r>
              <w:rPr>
                <w:color w:val="231F20"/>
                <w:w w:val="90"/>
                <w:sz w:val="15"/>
              </w:rPr>
              <w:t>10.</w:t>
            </w:r>
          </w:p>
        </w:tc>
        <w:tc>
          <w:tcPr>
            <w:tcW w:w="1176" w:type="dxa"/>
            <w:tcBorders>
              <w:bottom w:val="nil"/>
            </w:tcBorders>
          </w:tcPr>
          <w:p>
            <w:pPr>
              <w:pStyle w:val="TableParagraph"/>
              <w:spacing w:before="28"/>
              <w:ind w:right="58"/>
              <w:rPr>
                <w:sz w:val="15"/>
              </w:rPr>
            </w:pPr>
            <w:r>
              <w:rPr>
                <w:color w:val="231F20"/>
                <w:w w:val="85"/>
                <w:sz w:val="15"/>
              </w:rPr>
              <w:t>La violencia no</w:t>
            </w:r>
          </w:p>
        </w:tc>
        <w:tc>
          <w:tcPr>
            <w:tcW w:w="1037" w:type="dxa"/>
            <w:vMerge w:val="restart"/>
          </w:tcPr>
          <w:p>
            <w:pPr/>
          </w:p>
        </w:tc>
        <w:tc>
          <w:tcPr>
            <w:tcW w:w="1080" w:type="dxa"/>
            <w:tcBorders>
              <w:bottom w:val="nil"/>
            </w:tcBorders>
          </w:tcPr>
          <w:p>
            <w:pPr>
              <w:pStyle w:val="TableParagraph"/>
              <w:spacing w:before="28"/>
              <w:ind w:right="30"/>
              <w:rPr>
                <w:sz w:val="15"/>
              </w:rPr>
            </w:pPr>
            <w:r>
              <w:rPr>
                <w:color w:val="231F20"/>
                <w:w w:val="90"/>
                <w:sz w:val="15"/>
              </w:rPr>
              <w:t>Este texto se</w:t>
            </w:r>
          </w:p>
        </w:tc>
        <w:tc>
          <w:tcPr>
            <w:tcW w:w="1210" w:type="dxa"/>
            <w:tcBorders>
              <w:bottom w:val="nil"/>
            </w:tcBorders>
          </w:tcPr>
          <w:p>
            <w:pPr>
              <w:pStyle w:val="TableParagraph"/>
              <w:spacing w:before="28"/>
              <w:ind w:right="79"/>
              <w:rPr>
                <w:sz w:val="15"/>
              </w:rPr>
            </w:pPr>
            <w:r>
              <w:rPr>
                <w:color w:val="231F20"/>
                <w:w w:val="90"/>
                <w:sz w:val="15"/>
              </w:rPr>
              <w:t>En estos momen-</w:t>
            </w:r>
          </w:p>
        </w:tc>
        <w:tc>
          <w:tcPr>
            <w:tcW w:w="1133" w:type="dxa"/>
            <w:tcBorders>
              <w:bottom w:val="nil"/>
            </w:tcBorders>
          </w:tcPr>
          <w:p>
            <w:pPr>
              <w:pStyle w:val="TableParagraph"/>
              <w:spacing w:before="28"/>
              <w:ind w:right="14"/>
              <w:rPr>
                <w:sz w:val="15"/>
              </w:rPr>
            </w:pPr>
            <w:r>
              <w:rPr>
                <w:color w:val="231F20"/>
                <w:w w:val="90"/>
                <w:sz w:val="15"/>
              </w:rPr>
              <w:t>Podemos brindar</w:t>
            </w:r>
          </w:p>
        </w:tc>
      </w:tr>
      <w:tr>
        <w:trPr>
          <w:trHeight w:val="338" w:hRule="exact"/>
        </w:trPr>
        <w:tc>
          <w:tcPr>
            <w:tcW w:w="778" w:type="dxa"/>
            <w:tcBorders>
              <w:top w:val="nil"/>
              <w:bottom w:val="nil"/>
            </w:tcBorders>
          </w:tcPr>
          <w:p>
            <w:pPr>
              <w:pStyle w:val="TableParagraph"/>
              <w:spacing w:before="24"/>
              <w:ind w:left="105"/>
              <w:rPr>
                <w:sz w:val="15"/>
              </w:rPr>
            </w:pPr>
            <w:r>
              <w:rPr>
                <w:color w:val="231F20"/>
                <w:w w:val="95"/>
                <w:sz w:val="15"/>
              </w:rPr>
              <w:t>Karem</w:t>
            </w:r>
          </w:p>
        </w:tc>
        <w:tc>
          <w:tcPr>
            <w:tcW w:w="1176" w:type="dxa"/>
            <w:tcBorders>
              <w:top w:val="nil"/>
              <w:bottom w:val="nil"/>
            </w:tcBorders>
          </w:tcPr>
          <w:p>
            <w:pPr>
              <w:pStyle w:val="TableParagraph"/>
              <w:spacing w:line="156" w:lineRule="exact"/>
              <w:ind w:right="58"/>
              <w:rPr>
                <w:sz w:val="15"/>
              </w:rPr>
            </w:pPr>
            <w:r>
              <w:rPr>
                <w:color w:val="231F20"/>
                <w:w w:val="90"/>
                <w:sz w:val="15"/>
              </w:rPr>
              <w:t>solo es golpear o</w:t>
            </w:r>
          </w:p>
          <w:p>
            <w:pPr>
              <w:pStyle w:val="TableParagraph"/>
              <w:spacing w:line="170" w:lineRule="exact"/>
              <w:ind w:right="58"/>
              <w:rPr>
                <w:sz w:val="15"/>
              </w:rPr>
            </w:pPr>
            <w:r>
              <w:rPr>
                <w:color w:val="231F20"/>
                <w:w w:val="90"/>
                <w:sz w:val="15"/>
              </w:rPr>
              <w:t>matar; es también</w:t>
            </w:r>
          </w:p>
        </w:tc>
        <w:tc>
          <w:tcPr>
            <w:tcW w:w="1037" w:type="dxa"/>
            <w:vMerge/>
          </w:tcPr>
          <w:p>
            <w:pPr/>
          </w:p>
        </w:tc>
        <w:tc>
          <w:tcPr>
            <w:tcW w:w="1080" w:type="dxa"/>
            <w:tcBorders>
              <w:top w:val="nil"/>
              <w:bottom w:val="nil"/>
            </w:tcBorders>
          </w:tcPr>
          <w:p>
            <w:pPr>
              <w:pStyle w:val="TableParagraph"/>
              <w:spacing w:line="156" w:lineRule="exact"/>
              <w:ind w:right="376"/>
              <w:rPr>
                <w:sz w:val="15"/>
              </w:rPr>
            </w:pPr>
            <w:r>
              <w:rPr>
                <w:color w:val="231F20"/>
                <w:w w:val="90"/>
                <w:sz w:val="15"/>
              </w:rPr>
              <w:t>centra en</w:t>
            </w:r>
          </w:p>
          <w:p>
            <w:pPr>
              <w:pStyle w:val="TableParagraph"/>
              <w:spacing w:line="170" w:lineRule="exact"/>
              <w:ind w:right="376"/>
              <w:rPr>
                <w:sz w:val="15"/>
              </w:rPr>
            </w:pPr>
            <w:r>
              <w:rPr>
                <w:color w:val="231F20"/>
                <w:w w:val="85"/>
                <w:sz w:val="15"/>
              </w:rPr>
              <w:t>señalar la</w:t>
            </w:r>
          </w:p>
        </w:tc>
        <w:tc>
          <w:tcPr>
            <w:tcW w:w="1210" w:type="dxa"/>
            <w:tcBorders>
              <w:top w:val="nil"/>
              <w:bottom w:val="nil"/>
            </w:tcBorders>
          </w:tcPr>
          <w:p>
            <w:pPr>
              <w:pStyle w:val="TableParagraph"/>
              <w:spacing w:line="156" w:lineRule="exact"/>
              <w:ind w:right="79"/>
              <w:rPr>
                <w:sz w:val="15"/>
              </w:rPr>
            </w:pPr>
            <w:r>
              <w:rPr>
                <w:color w:val="231F20"/>
                <w:w w:val="90"/>
                <w:sz w:val="15"/>
              </w:rPr>
              <w:t>tos se dice que</w:t>
            </w:r>
          </w:p>
          <w:p>
            <w:pPr>
              <w:pStyle w:val="TableParagraph"/>
              <w:spacing w:line="170" w:lineRule="exact"/>
              <w:ind w:right="79"/>
              <w:rPr>
                <w:sz w:val="15"/>
              </w:rPr>
            </w:pPr>
            <w:r>
              <w:rPr>
                <w:color w:val="231F20"/>
                <w:w w:val="85"/>
                <w:sz w:val="15"/>
              </w:rPr>
              <w:t>México sufre una</w:t>
            </w:r>
          </w:p>
        </w:tc>
        <w:tc>
          <w:tcPr>
            <w:tcW w:w="1133" w:type="dxa"/>
            <w:tcBorders>
              <w:top w:val="nil"/>
              <w:bottom w:val="nil"/>
            </w:tcBorders>
          </w:tcPr>
          <w:p>
            <w:pPr>
              <w:pStyle w:val="TableParagraph"/>
              <w:spacing w:line="156" w:lineRule="exact"/>
              <w:ind w:right="66"/>
              <w:rPr>
                <w:sz w:val="15"/>
              </w:rPr>
            </w:pPr>
            <w:r>
              <w:rPr>
                <w:color w:val="231F20"/>
                <w:w w:val="90"/>
                <w:sz w:val="15"/>
              </w:rPr>
              <w:t>una buena</w:t>
            </w:r>
          </w:p>
          <w:p>
            <w:pPr>
              <w:pStyle w:val="TableParagraph"/>
              <w:spacing w:line="170" w:lineRule="exact"/>
              <w:ind w:right="66"/>
              <w:rPr>
                <w:sz w:val="15"/>
              </w:rPr>
            </w:pPr>
            <w:r>
              <w:rPr>
                <w:color w:val="231F20"/>
                <w:w w:val="90"/>
                <w:sz w:val="15"/>
              </w:rPr>
              <w:t>educación a los</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una falta de</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85"/>
                <w:sz w:val="15"/>
              </w:rPr>
              <w:t>violencia en</w:t>
            </w:r>
          </w:p>
        </w:tc>
        <w:tc>
          <w:tcPr>
            <w:tcW w:w="1210" w:type="dxa"/>
            <w:tcBorders>
              <w:top w:val="nil"/>
              <w:bottom w:val="nil"/>
            </w:tcBorders>
          </w:tcPr>
          <w:p>
            <w:pPr>
              <w:pStyle w:val="TableParagraph"/>
              <w:spacing w:line="156" w:lineRule="exact"/>
              <w:ind w:right="79"/>
              <w:rPr>
                <w:sz w:val="15"/>
              </w:rPr>
            </w:pPr>
            <w:r>
              <w:rPr>
                <w:color w:val="231F20"/>
                <w:w w:val="85"/>
                <w:sz w:val="15"/>
              </w:rPr>
              <w:t>ola de violencia. Y</w:t>
            </w:r>
          </w:p>
        </w:tc>
        <w:tc>
          <w:tcPr>
            <w:tcW w:w="1133" w:type="dxa"/>
            <w:tcBorders>
              <w:top w:val="nil"/>
              <w:bottom w:val="nil"/>
            </w:tcBorders>
          </w:tcPr>
          <w:p>
            <w:pPr>
              <w:pStyle w:val="TableParagraph"/>
              <w:spacing w:line="156" w:lineRule="exact"/>
              <w:ind w:right="66"/>
              <w:rPr>
                <w:sz w:val="15"/>
              </w:rPr>
            </w:pPr>
            <w:r>
              <w:rPr>
                <w:color w:val="231F20"/>
                <w:w w:val="90"/>
                <w:sz w:val="15"/>
              </w:rPr>
              <w:t>niños, porque</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respeto a la</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contra de las</w:t>
            </w:r>
          </w:p>
        </w:tc>
        <w:tc>
          <w:tcPr>
            <w:tcW w:w="1210" w:type="dxa"/>
            <w:tcBorders>
              <w:top w:val="nil"/>
              <w:bottom w:val="nil"/>
            </w:tcBorders>
          </w:tcPr>
          <w:p>
            <w:pPr>
              <w:pStyle w:val="TableParagraph"/>
              <w:spacing w:line="156" w:lineRule="exact"/>
              <w:ind w:right="51"/>
              <w:rPr>
                <w:sz w:val="15"/>
              </w:rPr>
            </w:pPr>
            <w:r>
              <w:rPr>
                <w:color w:val="231F20"/>
                <w:w w:val="90"/>
                <w:sz w:val="15"/>
              </w:rPr>
              <w:t>yo me pregunto…</w:t>
            </w:r>
          </w:p>
        </w:tc>
        <w:tc>
          <w:tcPr>
            <w:tcW w:w="1133" w:type="dxa"/>
            <w:tcBorders>
              <w:top w:val="nil"/>
              <w:bottom w:val="nil"/>
            </w:tcBorders>
          </w:tcPr>
          <w:p>
            <w:pPr>
              <w:pStyle w:val="TableParagraph"/>
              <w:spacing w:line="156" w:lineRule="exact"/>
              <w:ind w:right="66"/>
              <w:rPr>
                <w:sz w:val="15"/>
              </w:rPr>
            </w:pPr>
            <w:r>
              <w:rPr>
                <w:color w:val="231F20"/>
                <w:w w:val="90"/>
                <w:sz w:val="15"/>
              </w:rPr>
              <w:t>creo yo que el</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integridad física,</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mujeres y de los</w:t>
            </w:r>
          </w:p>
        </w:tc>
        <w:tc>
          <w:tcPr>
            <w:tcW w:w="1210" w:type="dxa"/>
            <w:tcBorders>
              <w:top w:val="nil"/>
              <w:bottom w:val="nil"/>
            </w:tcBorders>
          </w:tcPr>
          <w:p>
            <w:pPr>
              <w:pStyle w:val="TableParagraph"/>
              <w:spacing w:line="156" w:lineRule="exact"/>
              <w:ind w:right="79"/>
              <w:rPr>
                <w:sz w:val="15"/>
              </w:rPr>
            </w:pPr>
            <w:r>
              <w:rPr>
                <w:color w:val="231F20"/>
                <w:w w:val="85"/>
                <w:sz w:val="15"/>
              </w:rPr>
              <w:t>¿qué hacemos para</w:t>
            </w:r>
          </w:p>
        </w:tc>
        <w:tc>
          <w:tcPr>
            <w:tcW w:w="1133" w:type="dxa"/>
            <w:tcBorders>
              <w:top w:val="nil"/>
              <w:bottom w:val="nil"/>
            </w:tcBorders>
          </w:tcPr>
          <w:p>
            <w:pPr>
              <w:pStyle w:val="TableParagraph"/>
              <w:spacing w:line="156" w:lineRule="exact"/>
              <w:ind w:right="66"/>
              <w:rPr>
                <w:sz w:val="15"/>
              </w:rPr>
            </w:pPr>
            <w:r>
              <w:rPr>
                <w:color w:val="231F20"/>
                <w:w w:val="85"/>
                <w:sz w:val="15"/>
              </w:rPr>
              <w:t>carácter e</w:t>
            </w: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psicológica y</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85"/>
                <w:sz w:val="15"/>
              </w:rPr>
              <w:t>niños, y explora</w:t>
            </w:r>
          </w:p>
        </w:tc>
        <w:tc>
          <w:tcPr>
            <w:tcW w:w="1210" w:type="dxa"/>
            <w:tcBorders>
              <w:top w:val="nil"/>
              <w:bottom w:val="nil"/>
            </w:tcBorders>
          </w:tcPr>
          <w:p>
            <w:pPr>
              <w:pStyle w:val="TableParagraph"/>
              <w:spacing w:line="156" w:lineRule="exact"/>
              <w:ind w:right="79"/>
              <w:rPr>
                <w:sz w:val="15"/>
              </w:rPr>
            </w:pPr>
            <w:r>
              <w:rPr>
                <w:color w:val="231F20"/>
                <w:w w:val="95"/>
                <w:sz w:val="15"/>
              </w:rPr>
              <w:t>combatirla?</w:t>
            </w:r>
          </w:p>
        </w:tc>
        <w:tc>
          <w:tcPr>
            <w:tcW w:w="1133" w:type="dxa"/>
            <w:tcBorders>
              <w:top w:val="nil"/>
              <w:bottom w:val="nil"/>
            </w:tcBorders>
          </w:tcPr>
          <w:p>
            <w:pPr>
              <w:pStyle w:val="TableParagraph"/>
              <w:spacing w:line="156" w:lineRule="exact"/>
              <w:ind w:right="66"/>
              <w:rPr>
                <w:sz w:val="15"/>
              </w:rPr>
            </w:pPr>
            <w:r>
              <w:rPr>
                <w:color w:val="231F20"/>
                <w:w w:val="85"/>
                <w:sz w:val="15"/>
              </w:rPr>
              <w:t>ideología se</w:t>
            </w: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8" w:lineRule="exact"/>
              <w:ind w:right="58"/>
              <w:rPr>
                <w:sz w:val="15"/>
              </w:rPr>
            </w:pPr>
            <w:r>
              <w:rPr>
                <w:color w:val="231F20"/>
                <w:w w:val="90"/>
                <w:sz w:val="15"/>
              </w:rPr>
              <w:t>social de los</w:t>
            </w:r>
          </w:p>
        </w:tc>
        <w:tc>
          <w:tcPr>
            <w:tcW w:w="1037" w:type="dxa"/>
            <w:vMerge/>
          </w:tcPr>
          <w:p>
            <w:pPr/>
          </w:p>
        </w:tc>
        <w:tc>
          <w:tcPr>
            <w:tcW w:w="1080" w:type="dxa"/>
            <w:tcBorders>
              <w:top w:val="nil"/>
              <w:bottom w:val="nil"/>
            </w:tcBorders>
          </w:tcPr>
          <w:p>
            <w:pPr>
              <w:pStyle w:val="TableParagraph"/>
              <w:spacing w:line="158" w:lineRule="exact"/>
              <w:ind w:right="30"/>
              <w:rPr>
                <w:sz w:val="15"/>
              </w:rPr>
            </w:pPr>
            <w:r>
              <w:rPr>
                <w:color w:val="231F20"/>
                <w:w w:val="95"/>
                <w:sz w:val="15"/>
              </w:rPr>
              <w:t>soluciones.</w:t>
            </w:r>
          </w:p>
        </w:tc>
        <w:tc>
          <w:tcPr>
            <w:tcW w:w="1210" w:type="dxa"/>
            <w:tcBorders>
              <w:top w:val="nil"/>
              <w:bottom w:val="nil"/>
            </w:tcBorders>
          </w:tcPr>
          <w:p>
            <w:pPr>
              <w:pStyle w:val="TableParagraph"/>
              <w:spacing w:line="158" w:lineRule="exact"/>
              <w:ind w:right="79"/>
              <w:rPr>
                <w:sz w:val="15"/>
              </w:rPr>
            </w:pPr>
            <w:r>
              <w:rPr>
                <w:color w:val="231F20"/>
                <w:w w:val="95"/>
                <w:sz w:val="15"/>
              </w:rPr>
              <w:t>Contraatacar,</w:t>
            </w:r>
          </w:p>
        </w:tc>
        <w:tc>
          <w:tcPr>
            <w:tcW w:w="1133" w:type="dxa"/>
            <w:tcBorders>
              <w:top w:val="nil"/>
              <w:bottom w:val="nil"/>
            </w:tcBorders>
          </w:tcPr>
          <w:p>
            <w:pPr>
              <w:pStyle w:val="TableParagraph"/>
              <w:spacing w:line="158" w:lineRule="exact"/>
              <w:ind w:right="66"/>
              <w:rPr>
                <w:sz w:val="15"/>
              </w:rPr>
            </w:pPr>
            <w:r>
              <w:rPr>
                <w:color w:val="231F20"/>
                <w:w w:val="85"/>
                <w:sz w:val="15"/>
              </w:rPr>
              <w:t>empieza desde</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5"/>
                <w:sz w:val="15"/>
              </w:rPr>
              <w:t>demás.</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5"/>
                <w:sz w:val="15"/>
              </w:rPr>
              <w:t>Manifiesta</w:t>
            </w:r>
          </w:p>
        </w:tc>
        <w:tc>
          <w:tcPr>
            <w:tcW w:w="1210" w:type="dxa"/>
            <w:tcBorders>
              <w:top w:val="nil"/>
              <w:bottom w:val="nil"/>
            </w:tcBorders>
          </w:tcPr>
          <w:p>
            <w:pPr>
              <w:pStyle w:val="TableParagraph"/>
              <w:spacing w:line="156" w:lineRule="exact"/>
              <w:ind w:right="79"/>
              <w:rPr>
                <w:sz w:val="15"/>
              </w:rPr>
            </w:pPr>
            <w:r>
              <w:rPr>
                <w:color w:val="231F20"/>
                <w:w w:val="85"/>
                <w:sz w:val="15"/>
              </w:rPr>
              <w:t>generar más</w:t>
            </w:r>
          </w:p>
        </w:tc>
        <w:tc>
          <w:tcPr>
            <w:tcW w:w="1133" w:type="dxa"/>
            <w:tcBorders>
              <w:top w:val="nil"/>
              <w:bottom w:val="nil"/>
            </w:tcBorders>
          </w:tcPr>
          <w:p>
            <w:pPr>
              <w:pStyle w:val="TableParagraph"/>
              <w:spacing w:line="156" w:lineRule="exact"/>
              <w:ind w:right="66"/>
              <w:rPr>
                <w:sz w:val="15"/>
              </w:rPr>
            </w:pPr>
            <w:r>
              <w:rPr>
                <w:color w:val="231F20"/>
                <w:w w:val="95"/>
                <w:sz w:val="15"/>
              </w:rPr>
              <w:t>que uno es niño</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Style w:val="TableParagraph"/>
              <w:spacing w:line="156" w:lineRule="exact"/>
              <w:ind w:right="376"/>
              <w:rPr>
                <w:sz w:val="15"/>
              </w:rPr>
            </w:pPr>
            <w:r>
              <w:rPr>
                <w:color w:val="231F20"/>
                <w:w w:val="85"/>
                <w:sz w:val="15"/>
              </w:rPr>
              <w:t>críticas en</w:t>
            </w:r>
          </w:p>
        </w:tc>
        <w:tc>
          <w:tcPr>
            <w:tcW w:w="1210" w:type="dxa"/>
            <w:tcBorders>
              <w:top w:val="nil"/>
              <w:bottom w:val="nil"/>
            </w:tcBorders>
          </w:tcPr>
          <w:p>
            <w:pPr>
              <w:pStyle w:val="TableParagraph"/>
              <w:spacing w:line="156" w:lineRule="exact"/>
              <w:ind w:right="540"/>
              <w:rPr>
                <w:sz w:val="15"/>
              </w:rPr>
            </w:pPr>
            <w:r>
              <w:rPr>
                <w:color w:val="231F20"/>
                <w:w w:val="95"/>
                <w:sz w:val="15"/>
              </w:rPr>
              <w:t>muertes.</w:t>
            </w:r>
          </w:p>
        </w:tc>
        <w:tc>
          <w:tcPr>
            <w:tcW w:w="1133" w:type="dxa"/>
            <w:tcBorders>
              <w:top w:val="nil"/>
              <w:bottom w:val="nil"/>
            </w:tcBorders>
          </w:tcPr>
          <w:p>
            <w:pPr>
              <w:pStyle w:val="TableParagraph"/>
              <w:spacing w:line="156" w:lineRule="exact"/>
              <w:ind w:right="66"/>
              <w:rPr>
                <w:sz w:val="15"/>
              </w:rPr>
            </w:pPr>
            <w:r>
              <w:rPr>
                <w:color w:val="231F20"/>
                <w:w w:val="90"/>
                <w:sz w:val="15"/>
              </w:rPr>
              <w:t>(a).</w:t>
            </w:r>
          </w:p>
        </w:tc>
      </w:tr>
      <w:tr>
        <w:trPr>
          <w:trHeight w:val="883"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Style w:val="TableParagraph"/>
              <w:spacing w:line="154" w:lineRule="exact"/>
              <w:jc w:val="both"/>
              <w:rPr>
                <w:sz w:val="15"/>
              </w:rPr>
            </w:pPr>
            <w:r>
              <w:rPr>
                <w:color w:val="231F20"/>
                <w:w w:val="90"/>
                <w:sz w:val="15"/>
              </w:rPr>
              <w:t>contra de la</w:t>
            </w:r>
          </w:p>
          <w:p>
            <w:pPr>
              <w:pStyle w:val="TableParagraph"/>
              <w:spacing w:line="235" w:lineRule="auto"/>
              <w:ind w:right="307"/>
              <w:jc w:val="both"/>
              <w:rPr>
                <w:sz w:val="15"/>
              </w:rPr>
            </w:pPr>
            <w:r>
              <w:rPr>
                <w:color w:val="231F20"/>
                <w:w w:val="90"/>
                <w:sz w:val="15"/>
              </w:rPr>
              <w:t>apatía</w:t>
            </w:r>
            <w:r>
              <w:rPr>
                <w:color w:val="231F20"/>
                <w:spacing w:val="-15"/>
                <w:w w:val="90"/>
                <w:sz w:val="15"/>
              </w:rPr>
              <w:t> </w:t>
            </w:r>
            <w:r>
              <w:rPr>
                <w:color w:val="231F20"/>
                <w:w w:val="90"/>
                <w:sz w:val="15"/>
              </w:rPr>
              <w:t>con</w:t>
            </w:r>
            <w:r>
              <w:rPr>
                <w:color w:val="231F20"/>
                <w:spacing w:val="-15"/>
                <w:w w:val="90"/>
                <w:sz w:val="15"/>
              </w:rPr>
              <w:t> </w:t>
            </w:r>
            <w:r>
              <w:rPr>
                <w:color w:val="231F20"/>
                <w:w w:val="90"/>
                <w:sz w:val="15"/>
              </w:rPr>
              <w:t>la </w:t>
            </w:r>
            <w:r>
              <w:rPr>
                <w:color w:val="231F20"/>
                <w:w w:val="95"/>
                <w:sz w:val="15"/>
              </w:rPr>
              <w:t>cual</w:t>
            </w:r>
            <w:r>
              <w:rPr>
                <w:color w:val="231F20"/>
                <w:spacing w:val="-20"/>
                <w:w w:val="95"/>
                <w:sz w:val="15"/>
              </w:rPr>
              <w:t> </w:t>
            </w:r>
            <w:r>
              <w:rPr>
                <w:color w:val="231F20"/>
                <w:w w:val="95"/>
                <w:sz w:val="15"/>
              </w:rPr>
              <w:t>se</w:t>
            </w:r>
            <w:r>
              <w:rPr>
                <w:color w:val="231F20"/>
                <w:spacing w:val="-20"/>
                <w:w w:val="95"/>
                <w:sz w:val="15"/>
              </w:rPr>
              <w:t> </w:t>
            </w:r>
            <w:r>
              <w:rPr>
                <w:color w:val="231F20"/>
                <w:w w:val="95"/>
                <w:sz w:val="15"/>
              </w:rPr>
              <w:t>ve</w:t>
            </w:r>
            <w:r>
              <w:rPr>
                <w:color w:val="231F20"/>
                <w:spacing w:val="-20"/>
                <w:w w:val="95"/>
                <w:sz w:val="15"/>
              </w:rPr>
              <w:t> </w:t>
            </w:r>
            <w:r>
              <w:rPr>
                <w:color w:val="231F20"/>
                <w:w w:val="95"/>
                <w:sz w:val="15"/>
              </w:rPr>
              <w:t>el </w:t>
            </w:r>
            <w:r>
              <w:rPr>
                <w:color w:val="231F20"/>
                <w:w w:val="90"/>
                <w:sz w:val="15"/>
              </w:rPr>
              <w:t>problema</w:t>
            </w:r>
            <w:r>
              <w:rPr>
                <w:color w:val="231F20"/>
                <w:spacing w:val="-15"/>
                <w:w w:val="90"/>
                <w:sz w:val="15"/>
              </w:rPr>
              <w:t> </w:t>
            </w:r>
            <w:r>
              <w:rPr>
                <w:color w:val="231F20"/>
                <w:w w:val="90"/>
                <w:sz w:val="15"/>
              </w:rPr>
              <w:t>en </w:t>
            </w:r>
            <w:r>
              <w:rPr>
                <w:color w:val="231F20"/>
                <w:w w:val="85"/>
                <w:sz w:val="15"/>
              </w:rPr>
              <w:t>nuestro</w:t>
            </w:r>
            <w:r>
              <w:rPr>
                <w:color w:val="231F20"/>
                <w:spacing w:val="11"/>
                <w:w w:val="85"/>
                <w:sz w:val="15"/>
              </w:rPr>
              <w:t> </w:t>
            </w:r>
            <w:r>
              <w:rPr>
                <w:color w:val="231F20"/>
                <w:w w:val="85"/>
                <w:sz w:val="15"/>
              </w:rPr>
              <w:t>país.</w:t>
            </w:r>
          </w:p>
        </w:tc>
        <w:tc>
          <w:tcPr>
            <w:tcW w:w="1210" w:type="dxa"/>
            <w:tcBorders>
              <w:top w:val="nil"/>
              <w:bottom w:val="nil"/>
            </w:tcBorders>
          </w:tcPr>
          <w:p>
            <w:pPr/>
          </w:p>
        </w:tc>
        <w:tc>
          <w:tcPr>
            <w:tcW w:w="1133" w:type="dxa"/>
            <w:tcBorders>
              <w:top w:val="nil"/>
              <w:bottom w:val="nil"/>
            </w:tcBorders>
          </w:tcPr>
          <w:p>
            <w:pPr>
              <w:pStyle w:val="TableParagraph"/>
              <w:spacing w:line="235" w:lineRule="auto" w:before="24"/>
              <w:ind w:right="66"/>
              <w:rPr>
                <w:sz w:val="15"/>
              </w:rPr>
            </w:pPr>
            <w:r>
              <w:rPr>
                <w:color w:val="231F20"/>
                <w:w w:val="95"/>
                <w:sz w:val="15"/>
              </w:rPr>
              <w:t>Dejar atrás el </w:t>
            </w:r>
            <w:r>
              <w:rPr>
                <w:color w:val="231F20"/>
                <w:w w:val="90"/>
                <w:sz w:val="15"/>
              </w:rPr>
              <w:t>machismo, la sed </w:t>
            </w:r>
            <w:r>
              <w:rPr>
                <w:color w:val="231F20"/>
                <w:w w:val="95"/>
                <w:sz w:val="15"/>
              </w:rPr>
              <w:t>de poder, de dinero, el </w:t>
            </w:r>
            <w:r>
              <w:rPr>
                <w:color w:val="231F20"/>
                <w:w w:val="85"/>
                <w:sz w:val="15"/>
              </w:rPr>
              <w:t>maltrato, el</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abuso, corrup-</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ción e irrespon-</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sabilidad, que</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8" w:lineRule="exact"/>
              <w:ind w:right="66"/>
              <w:rPr>
                <w:sz w:val="15"/>
              </w:rPr>
            </w:pPr>
            <w:r>
              <w:rPr>
                <w:color w:val="231F20"/>
                <w:w w:val="90"/>
                <w:sz w:val="15"/>
              </w:rPr>
              <w:t>son la raíz del</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problema que</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sufre nuestro</w:t>
            </w:r>
          </w:p>
        </w:tc>
      </w:tr>
      <w:tr>
        <w:trPr>
          <w:trHeight w:val="19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país.</w:t>
            </w:r>
          </w:p>
        </w:tc>
      </w:tr>
      <w:tr>
        <w:trPr>
          <w:trHeight w:val="19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before="5"/>
              <w:ind w:right="66"/>
              <w:rPr>
                <w:sz w:val="15"/>
              </w:rPr>
            </w:pPr>
            <w:r>
              <w:rPr>
                <w:color w:val="231F20"/>
                <w:w w:val="85"/>
                <w:sz w:val="15"/>
              </w:rPr>
              <w:t>Los feminicidios,</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mujeres golpea-</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das, violadas, los</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niños en la calle,</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5"/>
                <w:sz w:val="15"/>
              </w:rPr>
              <w:t>golpeados,</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explotados y</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todas las perso-</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8" w:lineRule="exact"/>
              <w:ind w:right="66"/>
              <w:rPr>
                <w:sz w:val="15"/>
              </w:rPr>
            </w:pPr>
            <w:r>
              <w:rPr>
                <w:color w:val="231F20"/>
                <w:w w:val="90"/>
                <w:sz w:val="15"/>
              </w:rPr>
              <w:t>nas que sufren</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algún tipo de</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violencia,</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necesitan que</w:t>
            </w: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alguien les ayude,</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90"/>
                <w:sz w:val="15"/>
              </w:rPr>
              <w:t>o qué, ¿ellos no</w:t>
            </w:r>
          </w:p>
        </w:tc>
      </w:tr>
      <w:tr>
        <w:trPr>
          <w:trHeight w:val="17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8" w:lineRule="exact"/>
              <w:ind w:right="66"/>
              <w:rPr>
                <w:sz w:val="15"/>
              </w:rPr>
            </w:pPr>
            <w:r>
              <w:rPr>
                <w:color w:val="231F20"/>
                <w:w w:val="85"/>
                <w:sz w:val="15"/>
              </w:rPr>
              <w:t>lo merecen?</w:t>
            </w:r>
          </w:p>
        </w:tc>
      </w:tr>
      <w:tr>
        <w:trPr>
          <w:trHeight w:val="167" w:hRule="exact"/>
        </w:trPr>
        <w:tc>
          <w:tcPr>
            <w:tcW w:w="778" w:type="dxa"/>
            <w:tcBorders>
              <w:top w:val="nil"/>
            </w:tcBorders>
          </w:tcPr>
          <w:p>
            <w:pPr/>
          </w:p>
        </w:tc>
        <w:tc>
          <w:tcPr>
            <w:tcW w:w="1176" w:type="dxa"/>
            <w:tcBorders>
              <w:top w:val="nil"/>
            </w:tcBorders>
          </w:tcPr>
          <w:p>
            <w:pPr/>
          </w:p>
        </w:tc>
        <w:tc>
          <w:tcPr>
            <w:tcW w:w="1037" w:type="dxa"/>
            <w:vMerge/>
          </w:tcPr>
          <w:p>
            <w:pPr/>
          </w:p>
        </w:tc>
        <w:tc>
          <w:tcPr>
            <w:tcW w:w="1080" w:type="dxa"/>
            <w:tcBorders>
              <w:top w:val="nil"/>
            </w:tcBorders>
          </w:tcPr>
          <w:p>
            <w:pPr/>
          </w:p>
        </w:tc>
        <w:tc>
          <w:tcPr>
            <w:tcW w:w="1210" w:type="dxa"/>
            <w:tcBorders>
              <w:top w:val="nil"/>
            </w:tcBorders>
          </w:tcPr>
          <w:p>
            <w:pPr/>
          </w:p>
        </w:tc>
        <w:tc>
          <w:tcPr>
            <w:tcW w:w="1133" w:type="dxa"/>
            <w:tcBorders>
              <w:top w:val="nil"/>
            </w:tcBorders>
          </w:tcPr>
          <w:p>
            <w:pPr>
              <w:pStyle w:val="TableParagraph"/>
              <w:spacing w:line="156" w:lineRule="exact"/>
              <w:ind w:right="66"/>
              <w:rPr>
                <w:sz w:val="15"/>
              </w:rPr>
            </w:pPr>
            <w:r>
              <w:rPr>
                <w:color w:val="231F20"/>
                <w:w w:val="90"/>
                <w:sz w:val="15"/>
              </w:rPr>
              <w:t>Tenemos que</w:t>
            </w:r>
          </w:p>
        </w:tc>
      </w:tr>
    </w:tbl>
    <w:p>
      <w:pPr>
        <w:spacing w:after="0" w:line="156" w:lineRule="exact"/>
        <w:rPr>
          <w:sz w:val="15"/>
        </w:rPr>
        <w:sectPr>
          <w:headerReference w:type="default" r:id="rId609"/>
          <w:footerReference w:type="default" r:id="rId610"/>
          <w:pgSz w:w="7830" w:h="11910"/>
          <w:pgMar w:header="0" w:footer="424" w:top="500" w:bottom="620" w:left="800" w:right="380"/>
          <w:pgNumType w:start="270"/>
        </w:sectPr>
      </w:pPr>
    </w:p>
    <w:p>
      <w:pPr>
        <w:spacing w:before="46"/>
        <w:ind w:left="1583" w:right="0" w:firstLine="0"/>
        <w:jc w:val="left"/>
        <w:rPr>
          <w:sz w:val="13"/>
        </w:rPr>
      </w:pPr>
      <w:r>
        <w:rPr>
          <w:color w:val="231F20"/>
          <w:sz w:val="16"/>
        </w:rPr>
        <w:t>E</w:t>
      </w:r>
      <w:r>
        <w:rPr>
          <w:color w:val="231F20"/>
          <w:sz w:val="13"/>
        </w:rPr>
        <w:t>STUDIOS SOBRE VIOLENCIA EN LA EDUCACIÓN</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1234" w:hRule="exact"/>
        </w:trPr>
        <w:tc>
          <w:tcPr>
            <w:tcW w:w="778" w:type="dxa"/>
          </w:tcPr>
          <w:p>
            <w:pPr/>
          </w:p>
        </w:tc>
        <w:tc>
          <w:tcPr>
            <w:tcW w:w="1176" w:type="dxa"/>
          </w:tcPr>
          <w:p>
            <w:pPr/>
          </w:p>
        </w:tc>
        <w:tc>
          <w:tcPr>
            <w:tcW w:w="1037" w:type="dxa"/>
          </w:tcPr>
          <w:p>
            <w:pPr/>
          </w:p>
        </w:tc>
        <w:tc>
          <w:tcPr>
            <w:tcW w:w="1080" w:type="dxa"/>
          </w:tcPr>
          <w:p>
            <w:pPr/>
          </w:p>
        </w:tc>
        <w:tc>
          <w:tcPr>
            <w:tcW w:w="1210" w:type="dxa"/>
          </w:tcPr>
          <w:p>
            <w:pPr/>
          </w:p>
        </w:tc>
        <w:tc>
          <w:tcPr>
            <w:tcW w:w="1133" w:type="dxa"/>
          </w:tcPr>
          <w:p>
            <w:pPr>
              <w:pStyle w:val="TableParagraph"/>
              <w:spacing w:line="235" w:lineRule="auto"/>
              <w:ind w:right="14"/>
              <w:rPr>
                <w:sz w:val="15"/>
              </w:rPr>
            </w:pPr>
            <w:r>
              <w:rPr>
                <w:color w:val="231F20"/>
                <w:w w:val="90"/>
                <w:sz w:val="15"/>
              </w:rPr>
              <w:t>rescatar a nuestra </w:t>
            </w:r>
            <w:r>
              <w:rPr>
                <w:color w:val="231F20"/>
                <w:w w:val="95"/>
                <w:sz w:val="15"/>
              </w:rPr>
              <w:t>gente, a nuestro país de toda esa violencia que sufre. Solo falta </w:t>
            </w:r>
            <w:r>
              <w:rPr>
                <w:color w:val="231F20"/>
                <w:w w:val="90"/>
                <w:sz w:val="15"/>
              </w:rPr>
              <w:t>voluntad y fuerza </w:t>
            </w:r>
            <w:r>
              <w:rPr>
                <w:color w:val="231F20"/>
                <w:w w:val="85"/>
                <w:sz w:val="15"/>
              </w:rPr>
              <w:t>para hacerlo.</w:t>
            </w:r>
          </w:p>
        </w:tc>
      </w:tr>
      <w:tr>
        <w:trPr>
          <w:trHeight w:val="5150" w:hRule="exact"/>
        </w:trPr>
        <w:tc>
          <w:tcPr>
            <w:tcW w:w="778" w:type="dxa"/>
          </w:tcPr>
          <w:p>
            <w:pPr>
              <w:pStyle w:val="TableParagraph"/>
              <w:spacing w:before="28"/>
              <w:ind w:left="105"/>
              <w:rPr>
                <w:sz w:val="15"/>
              </w:rPr>
            </w:pPr>
            <w:r>
              <w:rPr>
                <w:color w:val="231F20"/>
                <w:w w:val="85"/>
                <w:sz w:val="15"/>
              </w:rPr>
              <w:t>11. Luis</w:t>
            </w:r>
          </w:p>
        </w:tc>
        <w:tc>
          <w:tcPr>
            <w:tcW w:w="1176" w:type="dxa"/>
          </w:tcPr>
          <w:p>
            <w:pPr/>
          </w:p>
        </w:tc>
        <w:tc>
          <w:tcPr>
            <w:tcW w:w="1037" w:type="dxa"/>
          </w:tcPr>
          <w:p>
            <w:pPr>
              <w:pStyle w:val="TableParagraph"/>
              <w:spacing w:line="235" w:lineRule="auto" w:before="30"/>
              <w:ind w:right="78"/>
              <w:rPr>
                <w:sz w:val="15"/>
              </w:rPr>
            </w:pPr>
            <w:r>
              <w:rPr>
                <w:color w:val="231F20"/>
                <w:w w:val="95"/>
                <w:sz w:val="15"/>
              </w:rPr>
              <w:t>Existen muchas razones de la violencia: algunas son psicológicas, otras vincula- das con las drogas o el alcohol; hay quien opina </w:t>
            </w:r>
            <w:r>
              <w:rPr>
                <w:color w:val="231F20"/>
                <w:w w:val="85"/>
                <w:sz w:val="15"/>
              </w:rPr>
              <w:t>que la violencia </w:t>
            </w:r>
            <w:r>
              <w:rPr>
                <w:color w:val="231F20"/>
                <w:w w:val="90"/>
                <w:sz w:val="15"/>
              </w:rPr>
              <w:t>es innata en los </w:t>
            </w:r>
            <w:r>
              <w:rPr>
                <w:color w:val="231F20"/>
                <w:w w:val="95"/>
                <w:sz w:val="15"/>
              </w:rPr>
              <w:t>humanos</w:t>
            </w:r>
          </w:p>
        </w:tc>
        <w:tc>
          <w:tcPr>
            <w:tcW w:w="1080" w:type="dxa"/>
          </w:tcPr>
          <w:p>
            <w:pPr>
              <w:pStyle w:val="TableParagraph"/>
              <w:spacing w:line="235" w:lineRule="auto" w:before="30"/>
              <w:ind w:right="30"/>
              <w:rPr>
                <w:sz w:val="15"/>
              </w:rPr>
            </w:pPr>
            <w:r>
              <w:rPr>
                <w:color w:val="231F20"/>
                <w:w w:val="95"/>
                <w:sz w:val="15"/>
              </w:rPr>
              <w:t>Texto de un párrafo, en el </w:t>
            </w:r>
            <w:r>
              <w:rPr>
                <w:color w:val="231F20"/>
                <w:w w:val="90"/>
                <w:sz w:val="15"/>
              </w:rPr>
              <w:t>cual se trata de </w:t>
            </w:r>
            <w:r>
              <w:rPr>
                <w:color w:val="231F20"/>
                <w:w w:val="95"/>
                <w:sz w:val="15"/>
              </w:rPr>
              <w:t>describir la </w:t>
            </w:r>
            <w:r>
              <w:rPr>
                <w:color w:val="231F20"/>
                <w:w w:val="90"/>
                <w:sz w:val="15"/>
              </w:rPr>
              <w:t>gravedad de la </w:t>
            </w:r>
            <w:r>
              <w:rPr>
                <w:color w:val="231F20"/>
                <w:w w:val="95"/>
                <w:sz w:val="15"/>
              </w:rPr>
              <w:t>violencia en México</w:t>
            </w:r>
          </w:p>
        </w:tc>
        <w:tc>
          <w:tcPr>
            <w:tcW w:w="1210" w:type="dxa"/>
          </w:tcPr>
          <w:p>
            <w:pPr>
              <w:pStyle w:val="TableParagraph"/>
              <w:spacing w:line="235" w:lineRule="auto" w:before="30"/>
              <w:ind w:right="90"/>
              <w:rPr>
                <w:sz w:val="15"/>
              </w:rPr>
            </w:pPr>
            <w:r>
              <w:rPr>
                <w:color w:val="231F20"/>
                <w:w w:val="95"/>
                <w:sz w:val="15"/>
              </w:rPr>
              <w:t>En México la violencia</w:t>
            </w:r>
            <w:r>
              <w:rPr>
                <w:color w:val="231F20"/>
                <w:spacing w:val="-20"/>
                <w:w w:val="95"/>
                <w:sz w:val="15"/>
              </w:rPr>
              <w:t> </w:t>
            </w:r>
            <w:r>
              <w:rPr>
                <w:color w:val="231F20"/>
                <w:w w:val="95"/>
                <w:sz w:val="15"/>
              </w:rPr>
              <w:t>va</w:t>
            </w:r>
            <w:r>
              <w:rPr>
                <w:color w:val="231F20"/>
                <w:spacing w:val="-20"/>
                <w:w w:val="95"/>
                <w:sz w:val="15"/>
              </w:rPr>
              <w:t> </w:t>
            </w:r>
            <w:r>
              <w:rPr>
                <w:color w:val="231F20"/>
                <w:w w:val="95"/>
                <w:sz w:val="15"/>
              </w:rPr>
              <w:t>de</w:t>
            </w:r>
            <w:r>
              <w:rPr>
                <w:color w:val="231F20"/>
                <w:spacing w:val="-20"/>
                <w:w w:val="95"/>
                <w:sz w:val="15"/>
              </w:rPr>
              <w:t> </w:t>
            </w:r>
            <w:r>
              <w:rPr>
                <w:color w:val="231F20"/>
                <w:w w:val="95"/>
                <w:sz w:val="15"/>
              </w:rPr>
              <w:t>la mano con la pobreza</w:t>
            </w:r>
            <w:r>
              <w:rPr>
                <w:color w:val="231F20"/>
                <w:spacing w:val="-22"/>
                <w:w w:val="95"/>
                <w:sz w:val="15"/>
              </w:rPr>
              <w:t> </w:t>
            </w:r>
            <w:r>
              <w:rPr>
                <w:color w:val="231F20"/>
                <w:w w:val="95"/>
                <w:sz w:val="15"/>
              </w:rPr>
              <w:t>(la</w:t>
            </w:r>
            <w:r>
              <w:rPr>
                <w:color w:val="231F20"/>
                <w:spacing w:val="-22"/>
                <w:w w:val="95"/>
                <w:sz w:val="15"/>
              </w:rPr>
              <w:t> </w:t>
            </w:r>
            <w:r>
              <w:rPr>
                <w:color w:val="231F20"/>
                <w:w w:val="95"/>
                <w:sz w:val="15"/>
              </w:rPr>
              <w:t>mitad de la población), una educación y un gobierno deficientes y un sistema judicial corrupto. A todo esto se agrega la llamada guerra </w:t>
            </w:r>
            <w:r>
              <w:rPr>
                <w:color w:val="231F20"/>
                <w:w w:val="90"/>
                <w:sz w:val="15"/>
              </w:rPr>
              <w:t>contra el narcotrá- </w:t>
            </w:r>
            <w:r>
              <w:rPr>
                <w:color w:val="231F20"/>
                <w:w w:val="95"/>
                <w:sz w:val="15"/>
              </w:rPr>
              <w:t>fico que ha cobrado</w:t>
            </w:r>
            <w:r>
              <w:rPr>
                <w:color w:val="231F20"/>
                <w:spacing w:val="-24"/>
                <w:w w:val="95"/>
                <w:sz w:val="15"/>
              </w:rPr>
              <w:t> </w:t>
            </w:r>
            <w:r>
              <w:rPr>
                <w:color w:val="231F20"/>
                <w:w w:val="95"/>
                <w:sz w:val="15"/>
              </w:rPr>
              <w:t>la</w:t>
            </w:r>
            <w:r>
              <w:rPr>
                <w:color w:val="231F20"/>
                <w:spacing w:val="-24"/>
                <w:w w:val="95"/>
                <w:sz w:val="15"/>
              </w:rPr>
              <w:t> </w:t>
            </w:r>
            <w:r>
              <w:rPr>
                <w:color w:val="231F20"/>
                <w:w w:val="95"/>
                <w:sz w:val="15"/>
              </w:rPr>
              <w:t>vida</w:t>
            </w:r>
            <w:r>
              <w:rPr>
                <w:color w:val="231F20"/>
                <w:spacing w:val="-24"/>
                <w:w w:val="95"/>
                <w:sz w:val="15"/>
              </w:rPr>
              <w:t> </w:t>
            </w:r>
            <w:r>
              <w:rPr>
                <w:color w:val="231F20"/>
                <w:w w:val="95"/>
                <w:sz w:val="15"/>
              </w:rPr>
              <w:t>de más de 34 mil personas, por ambos mandos. </w:t>
            </w:r>
            <w:r>
              <w:rPr>
                <w:color w:val="231F20"/>
                <w:w w:val="90"/>
                <w:sz w:val="15"/>
              </w:rPr>
              <w:t>De</w:t>
            </w:r>
            <w:r>
              <w:rPr>
                <w:color w:val="231F20"/>
                <w:spacing w:val="-15"/>
                <w:w w:val="90"/>
                <w:sz w:val="15"/>
              </w:rPr>
              <w:t> </w:t>
            </w:r>
            <w:r>
              <w:rPr>
                <w:color w:val="231F20"/>
                <w:w w:val="90"/>
                <w:sz w:val="15"/>
              </w:rPr>
              <w:t>ser</w:t>
            </w:r>
            <w:r>
              <w:rPr>
                <w:color w:val="231F20"/>
                <w:spacing w:val="-15"/>
                <w:w w:val="90"/>
                <w:sz w:val="15"/>
              </w:rPr>
              <w:t> </w:t>
            </w:r>
            <w:r>
              <w:rPr>
                <w:color w:val="231F20"/>
                <w:w w:val="90"/>
                <w:sz w:val="15"/>
              </w:rPr>
              <w:t>ciertas</w:t>
            </w:r>
            <w:r>
              <w:rPr>
                <w:color w:val="231F20"/>
                <w:spacing w:val="-15"/>
                <w:w w:val="90"/>
                <w:sz w:val="15"/>
              </w:rPr>
              <w:t> </w:t>
            </w:r>
            <w:r>
              <w:rPr>
                <w:color w:val="231F20"/>
                <w:w w:val="90"/>
                <w:sz w:val="15"/>
              </w:rPr>
              <w:t>estas </w:t>
            </w:r>
            <w:r>
              <w:rPr>
                <w:color w:val="231F20"/>
                <w:w w:val="95"/>
                <w:sz w:val="15"/>
              </w:rPr>
              <w:t>cifras, sería comparable con una guerra civil. </w:t>
            </w:r>
            <w:r>
              <w:rPr>
                <w:color w:val="231F20"/>
                <w:w w:val="90"/>
                <w:sz w:val="15"/>
              </w:rPr>
              <w:t>Todos</w:t>
            </w:r>
            <w:r>
              <w:rPr>
                <w:color w:val="231F20"/>
                <w:spacing w:val="-16"/>
                <w:w w:val="90"/>
                <w:sz w:val="15"/>
              </w:rPr>
              <w:t> </w:t>
            </w:r>
            <w:r>
              <w:rPr>
                <w:color w:val="231F20"/>
                <w:w w:val="90"/>
                <w:sz w:val="15"/>
              </w:rPr>
              <w:t>estos</w:t>
            </w:r>
            <w:r>
              <w:rPr>
                <w:color w:val="231F20"/>
                <w:spacing w:val="-16"/>
                <w:w w:val="90"/>
                <w:sz w:val="15"/>
              </w:rPr>
              <w:t> </w:t>
            </w:r>
            <w:r>
              <w:rPr>
                <w:color w:val="231F20"/>
                <w:w w:val="90"/>
                <w:sz w:val="15"/>
              </w:rPr>
              <w:t>lastres </w:t>
            </w:r>
            <w:r>
              <w:rPr>
                <w:color w:val="231F20"/>
                <w:w w:val="95"/>
                <w:sz w:val="15"/>
              </w:rPr>
              <w:t>manchan la imagen</w:t>
            </w:r>
            <w:r>
              <w:rPr>
                <w:color w:val="231F20"/>
                <w:spacing w:val="-20"/>
                <w:w w:val="95"/>
                <w:sz w:val="15"/>
              </w:rPr>
              <w:t> </w:t>
            </w:r>
            <w:r>
              <w:rPr>
                <w:color w:val="231F20"/>
                <w:w w:val="95"/>
                <w:sz w:val="15"/>
              </w:rPr>
              <w:t>del</w:t>
            </w:r>
            <w:r>
              <w:rPr>
                <w:color w:val="231F20"/>
                <w:spacing w:val="-20"/>
                <w:w w:val="95"/>
                <w:sz w:val="15"/>
              </w:rPr>
              <w:t> </w:t>
            </w:r>
            <w:r>
              <w:rPr>
                <w:color w:val="231F20"/>
                <w:w w:val="95"/>
                <w:sz w:val="15"/>
              </w:rPr>
              <w:t>país</w:t>
            </w:r>
            <w:r>
              <w:rPr>
                <w:color w:val="231F20"/>
                <w:spacing w:val="-20"/>
                <w:w w:val="95"/>
                <w:sz w:val="15"/>
              </w:rPr>
              <w:t> </w:t>
            </w:r>
            <w:r>
              <w:rPr>
                <w:color w:val="231F20"/>
                <w:w w:val="95"/>
                <w:sz w:val="15"/>
              </w:rPr>
              <w:t>y entorpecen el desarrollo</w:t>
            </w:r>
            <w:r>
              <w:rPr>
                <w:color w:val="231F20"/>
                <w:spacing w:val="-22"/>
                <w:w w:val="95"/>
                <w:sz w:val="15"/>
              </w:rPr>
              <w:t> </w:t>
            </w:r>
            <w:r>
              <w:rPr>
                <w:color w:val="231F20"/>
                <w:w w:val="95"/>
                <w:sz w:val="15"/>
              </w:rPr>
              <w:t>de</w:t>
            </w:r>
            <w:r>
              <w:rPr>
                <w:color w:val="231F20"/>
                <w:spacing w:val="-22"/>
                <w:w w:val="95"/>
                <w:sz w:val="15"/>
              </w:rPr>
              <w:t> </w:t>
            </w:r>
            <w:r>
              <w:rPr>
                <w:color w:val="231F20"/>
                <w:w w:val="95"/>
                <w:sz w:val="15"/>
              </w:rPr>
              <w:t>esta </w:t>
            </w:r>
            <w:r>
              <w:rPr>
                <w:color w:val="231F20"/>
                <w:w w:val="90"/>
                <w:sz w:val="15"/>
              </w:rPr>
              <w:t>nación, dejándola </w:t>
            </w:r>
            <w:r>
              <w:rPr>
                <w:color w:val="231F20"/>
                <w:w w:val="95"/>
                <w:sz w:val="15"/>
              </w:rPr>
              <w:t>en el tercer mundo.</w:t>
            </w:r>
          </w:p>
        </w:tc>
        <w:tc>
          <w:tcPr>
            <w:tcW w:w="1133" w:type="dxa"/>
          </w:tcPr>
          <w:p>
            <w:pPr/>
          </w:p>
        </w:tc>
      </w:tr>
      <w:tr>
        <w:trPr>
          <w:trHeight w:val="220" w:hRule="exact"/>
        </w:trPr>
        <w:tc>
          <w:tcPr>
            <w:tcW w:w="778" w:type="dxa"/>
            <w:tcBorders>
              <w:bottom w:val="nil"/>
            </w:tcBorders>
          </w:tcPr>
          <w:p>
            <w:pPr>
              <w:pStyle w:val="TableParagraph"/>
              <w:spacing w:before="28"/>
              <w:ind w:left="105"/>
              <w:rPr>
                <w:sz w:val="15"/>
              </w:rPr>
            </w:pPr>
            <w:r>
              <w:rPr>
                <w:color w:val="231F20"/>
                <w:w w:val="90"/>
                <w:sz w:val="15"/>
              </w:rPr>
              <w:t>12.</w:t>
            </w:r>
          </w:p>
        </w:tc>
        <w:tc>
          <w:tcPr>
            <w:tcW w:w="1176" w:type="dxa"/>
            <w:tcBorders>
              <w:bottom w:val="nil"/>
            </w:tcBorders>
          </w:tcPr>
          <w:p>
            <w:pPr>
              <w:pStyle w:val="TableParagraph"/>
              <w:spacing w:before="28"/>
              <w:ind w:right="58"/>
              <w:rPr>
                <w:sz w:val="15"/>
              </w:rPr>
            </w:pPr>
            <w:r>
              <w:rPr>
                <w:color w:val="231F20"/>
                <w:w w:val="85"/>
                <w:sz w:val="15"/>
              </w:rPr>
              <w:t>La violencia es la</w:t>
            </w:r>
          </w:p>
        </w:tc>
        <w:tc>
          <w:tcPr>
            <w:tcW w:w="1037" w:type="dxa"/>
            <w:vMerge w:val="restart"/>
          </w:tcPr>
          <w:p>
            <w:pPr/>
          </w:p>
        </w:tc>
        <w:tc>
          <w:tcPr>
            <w:tcW w:w="1080" w:type="dxa"/>
            <w:tcBorders>
              <w:bottom w:val="nil"/>
            </w:tcBorders>
          </w:tcPr>
          <w:p>
            <w:pPr>
              <w:pStyle w:val="TableParagraph"/>
              <w:spacing w:before="28"/>
              <w:ind w:right="376"/>
              <w:rPr>
                <w:sz w:val="15"/>
              </w:rPr>
            </w:pPr>
            <w:r>
              <w:rPr>
                <w:color w:val="231F20"/>
                <w:w w:val="90"/>
                <w:sz w:val="15"/>
              </w:rPr>
              <w:t>NO existe</w:t>
            </w:r>
          </w:p>
        </w:tc>
        <w:tc>
          <w:tcPr>
            <w:tcW w:w="1210" w:type="dxa"/>
            <w:tcBorders>
              <w:bottom w:val="nil"/>
            </w:tcBorders>
          </w:tcPr>
          <w:p>
            <w:pPr>
              <w:pStyle w:val="TableParagraph"/>
              <w:spacing w:before="28"/>
              <w:ind w:right="79"/>
              <w:rPr>
                <w:sz w:val="15"/>
              </w:rPr>
            </w:pPr>
            <w:r>
              <w:rPr>
                <w:color w:val="231F20"/>
                <w:w w:val="85"/>
                <w:sz w:val="15"/>
              </w:rPr>
              <w:t>La violencia</w:t>
            </w:r>
          </w:p>
        </w:tc>
        <w:tc>
          <w:tcPr>
            <w:tcW w:w="1133" w:type="dxa"/>
            <w:vMerge w:val="restart"/>
          </w:tcPr>
          <w:p>
            <w:pPr/>
          </w:p>
        </w:tc>
      </w:tr>
      <w:tr>
        <w:trPr>
          <w:trHeight w:val="338" w:hRule="exact"/>
        </w:trPr>
        <w:tc>
          <w:tcPr>
            <w:tcW w:w="778" w:type="dxa"/>
            <w:tcBorders>
              <w:top w:val="nil"/>
              <w:bottom w:val="nil"/>
            </w:tcBorders>
          </w:tcPr>
          <w:p>
            <w:pPr>
              <w:pStyle w:val="TableParagraph"/>
              <w:spacing w:before="24"/>
              <w:ind w:left="105"/>
              <w:rPr>
                <w:sz w:val="15"/>
              </w:rPr>
            </w:pPr>
            <w:r>
              <w:rPr>
                <w:color w:val="231F20"/>
                <w:w w:val="95"/>
                <w:sz w:val="15"/>
              </w:rPr>
              <w:t>Mariana</w:t>
            </w:r>
          </w:p>
        </w:tc>
        <w:tc>
          <w:tcPr>
            <w:tcW w:w="1176" w:type="dxa"/>
            <w:tcBorders>
              <w:top w:val="nil"/>
              <w:bottom w:val="nil"/>
            </w:tcBorders>
          </w:tcPr>
          <w:p>
            <w:pPr>
              <w:pStyle w:val="TableParagraph"/>
              <w:spacing w:line="156" w:lineRule="exact"/>
              <w:ind w:right="58"/>
              <w:rPr>
                <w:sz w:val="15"/>
              </w:rPr>
            </w:pPr>
            <w:r>
              <w:rPr>
                <w:color w:val="231F20"/>
                <w:w w:val="85"/>
                <w:sz w:val="15"/>
              </w:rPr>
              <w:t>fuerza negativa</w:t>
            </w:r>
          </w:p>
          <w:p>
            <w:pPr>
              <w:pStyle w:val="TableParagraph"/>
              <w:spacing w:line="170" w:lineRule="exact"/>
              <w:ind w:right="58"/>
              <w:rPr>
                <w:sz w:val="15"/>
              </w:rPr>
            </w:pPr>
            <w:r>
              <w:rPr>
                <w:color w:val="231F20"/>
                <w:w w:val="90"/>
                <w:sz w:val="15"/>
              </w:rPr>
              <w:t>que ejerce una</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razón para</w:t>
            </w:r>
          </w:p>
          <w:p>
            <w:pPr>
              <w:pStyle w:val="TableParagraph"/>
              <w:spacing w:line="170" w:lineRule="exact"/>
              <w:ind w:right="30"/>
              <w:rPr>
                <w:sz w:val="15"/>
              </w:rPr>
            </w:pPr>
            <w:r>
              <w:rPr>
                <w:color w:val="231F20"/>
                <w:w w:val="85"/>
                <w:sz w:val="15"/>
              </w:rPr>
              <w:t>ejercer violencia</w:t>
            </w:r>
          </w:p>
        </w:tc>
        <w:tc>
          <w:tcPr>
            <w:tcW w:w="1210" w:type="dxa"/>
            <w:tcBorders>
              <w:top w:val="nil"/>
              <w:bottom w:val="nil"/>
            </w:tcBorders>
          </w:tcPr>
          <w:p>
            <w:pPr>
              <w:pStyle w:val="TableParagraph"/>
              <w:spacing w:line="156" w:lineRule="exact"/>
              <w:ind w:right="79"/>
              <w:rPr>
                <w:sz w:val="15"/>
              </w:rPr>
            </w:pPr>
            <w:r>
              <w:rPr>
                <w:color w:val="231F20"/>
                <w:w w:val="85"/>
                <w:sz w:val="15"/>
              </w:rPr>
              <w:t>debería tener altas</w:t>
            </w:r>
          </w:p>
          <w:p>
            <w:pPr>
              <w:pStyle w:val="TableParagraph"/>
              <w:spacing w:line="170" w:lineRule="exact"/>
              <w:ind w:right="79"/>
              <w:rPr>
                <w:sz w:val="15"/>
              </w:rPr>
            </w:pPr>
            <w:r>
              <w:rPr>
                <w:color w:val="231F20"/>
                <w:w w:val="85"/>
                <w:sz w:val="15"/>
              </w:rPr>
              <w:t>penalizaciones, no</w:t>
            </w: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persona sobre</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ni contra las</w:t>
            </w:r>
          </w:p>
        </w:tc>
        <w:tc>
          <w:tcPr>
            <w:tcW w:w="1210" w:type="dxa"/>
            <w:tcBorders>
              <w:top w:val="nil"/>
              <w:bottom w:val="nil"/>
            </w:tcBorders>
          </w:tcPr>
          <w:p>
            <w:pPr>
              <w:pStyle w:val="TableParagraph"/>
              <w:spacing w:line="156" w:lineRule="exact"/>
              <w:rPr>
                <w:sz w:val="15"/>
              </w:rPr>
            </w:pPr>
            <w:r>
              <w:rPr>
                <w:color w:val="231F20"/>
                <w:w w:val="90"/>
                <w:sz w:val="15"/>
              </w:rPr>
              <w:t>solo en forma legal</w:t>
            </w: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otra, puede ser</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90"/>
                <w:sz w:val="15"/>
              </w:rPr>
              <w:t>personas ni</w:t>
            </w:r>
          </w:p>
        </w:tc>
        <w:tc>
          <w:tcPr>
            <w:tcW w:w="1210" w:type="dxa"/>
            <w:tcBorders>
              <w:top w:val="nil"/>
              <w:bottom w:val="nil"/>
            </w:tcBorders>
          </w:tcPr>
          <w:p>
            <w:pPr>
              <w:pStyle w:val="TableParagraph"/>
              <w:spacing w:line="156" w:lineRule="exact"/>
              <w:ind w:right="79"/>
              <w:rPr>
                <w:sz w:val="15"/>
              </w:rPr>
            </w:pPr>
            <w:r>
              <w:rPr>
                <w:color w:val="231F20"/>
                <w:w w:val="85"/>
                <w:sz w:val="15"/>
              </w:rPr>
              <w:t>sino también</w:t>
            </w: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física o psicológi-</w:t>
            </w:r>
          </w:p>
        </w:tc>
        <w:tc>
          <w:tcPr>
            <w:tcW w:w="1037" w:type="dxa"/>
            <w:vMerge/>
          </w:tcPr>
          <w:p>
            <w:pPr/>
          </w:p>
        </w:tc>
        <w:tc>
          <w:tcPr>
            <w:tcW w:w="1080" w:type="dxa"/>
            <w:tcBorders>
              <w:top w:val="nil"/>
              <w:bottom w:val="nil"/>
            </w:tcBorders>
          </w:tcPr>
          <w:p>
            <w:pPr>
              <w:pStyle w:val="TableParagraph"/>
              <w:spacing w:line="156" w:lineRule="exact"/>
              <w:ind w:right="376"/>
              <w:rPr>
                <w:sz w:val="15"/>
              </w:rPr>
            </w:pPr>
            <w:r>
              <w:rPr>
                <w:color w:val="231F20"/>
                <w:w w:val="90"/>
                <w:sz w:val="15"/>
              </w:rPr>
              <w:t>contra los</w:t>
            </w:r>
          </w:p>
        </w:tc>
        <w:tc>
          <w:tcPr>
            <w:tcW w:w="1210" w:type="dxa"/>
            <w:tcBorders>
              <w:top w:val="nil"/>
              <w:bottom w:val="nil"/>
            </w:tcBorders>
          </w:tcPr>
          <w:p>
            <w:pPr>
              <w:pStyle w:val="TableParagraph"/>
              <w:spacing w:line="156" w:lineRule="exact"/>
              <w:ind w:right="79"/>
              <w:rPr>
                <w:sz w:val="15"/>
              </w:rPr>
            </w:pPr>
            <w:r>
              <w:rPr>
                <w:color w:val="231F20"/>
                <w:w w:val="95"/>
                <w:sz w:val="15"/>
              </w:rPr>
              <w:t>espiritual.</w:t>
            </w:r>
          </w:p>
        </w:tc>
        <w:tc>
          <w:tcPr>
            <w:tcW w:w="1133" w:type="dxa"/>
            <w:vMerge/>
          </w:tcPr>
          <w:p>
            <w:pPr/>
          </w:p>
        </w:tc>
      </w:tr>
      <w:tr>
        <w:trPr>
          <w:trHeight w:val="1392"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ca.</w:t>
            </w:r>
          </w:p>
        </w:tc>
        <w:tc>
          <w:tcPr>
            <w:tcW w:w="1037" w:type="dxa"/>
            <w:vMerge/>
          </w:tcPr>
          <w:p>
            <w:pPr/>
          </w:p>
        </w:tc>
        <w:tc>
          <w:tcPr>
            <w:tcW w:w="1080" w:type="dxa"/>
            <w:tcBorders>
              <w:top w:val="nil"/>
              <w:bottom w:val="nil"/>
            </w:tcBorders>
          </w:tcPr>
          <w:p>
            <w:pPr>
              <w:pStyle w:val="TableParagraph"/>
              <w:spacing w:line="156" w:lineRule="exact"/>
              <w:ind w:right="30"/>
              <w:rPr>
                <w:sz w:val="15"/>
              </w:rPr>
            </w:pPr>
            <w:r>
              <w:rPr>
                <w:color w:val="231F20"/>
                <w:w w:val="85"/>
                <w:sz w:val="15"/>
              </w:rPr>
              <w:t>animales. La</w:t>
            </w:r>
          </w:p>
          <w:p>
            <w:pPr>
              <w:pStyle w:val="TableParagraph"/>
              <w:spacing w:line="235" w:lineRule="auto" w:before="3"/>
              <w:ind w:right="113"/>
              <w:rPr>
                <w:sz w:val="15"/>
              </w:rPr>
            </w:pPr>
            <w:r>
              <w:rPr>
                <w:color w:val="231F20"/>
                <w:w w:val="90"/>
                <w:sz w:val="15"/>
              </w:rPr>
              <w:t>violencia </w:t>
            </w:r>
            <w:r>
              <w:rPr>
                <w:color w:val="231F20"/>
                <w:w w:val="85"/>
                <w:sz w:val="15"/>
              </w:rPr>
              <w:t>implica discri- </w:t>
            </w:r>
            <w:r>
              <w:rPr>
                <w:color w:val="231F20"/>
                <w:w w:val="90"/>
                <w:sz w:val="15"/>
              </w:rPr>
              <w:t>minación; si </w:t>
            </w:r>
            <w:r>
              <w:rPr>
                <w:color w:val="231F20"/>
                <w:w w:val="85"/>
                <w:sz w:val="15"/>
              </w:rPr>
              <w:t>alguien discri- </w:t>
            </w:r>
            <w:r>
              <w:rPr>
                <w:color w:val="231F20"/>
                <w:w w:val="90"/>
                <w:sz w:val="15"/>
              </w:rPr>
              <w:t>mina, ejerce violencia psicológica.</w:t>
            </w:r>
          </w:p>
        </w:tc>
        <w:tc>
          <w:tcPr>
            <w:tcW w:w="1210" w:type="dxa"/>
            <w:tcBorders>
              <w:top w:val="nil"/>
              <w:bottom w:val="nil"/>
            </w:tcBorders>
          </w:tcPr>
          <w:p>
            <w:pPr>
              <w:pStyle w:val="TableParagraph"/>
              <w:spacing w:line="235" w:lineRule="auto" w:before="29"/>
              <w:ind w:right="49"/>
              <w:rPr>
                <w:sz w:val="15"/>
              </w:rPr>
            </w:pPr>
            <w:r>
              <w:rPr>
                <w:color w:val="231F20"/>
                <w:w w:val="90"/>
                <w:sz w:val="15"/>
              </w:rPr>
              <w:t>A veces, pensamos </w:t>
            </w:r>
            <w:r>
              <w:rPr>
                <w:color w:val="231F20"/>
                <w:w w:val="95"/>
                <w:sz w:val="15"/>
              </w:rPr>
              <w:t>que los que ejercen violencia no saben lo que hacen, o también que son enfermos mentales, pero </w:t>
            </w:r>
            <w:r>
              <w:rPr>
                <w:color w:val="231F20"/>
                <w:w w:val="85"/>
                <w:sz w:val="15"/>
              </w:rPr>
              <w:t>debemos evaluar,</w:t>
            </w: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pues queda claro</w:t>
            </w: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que no existe</w:t>
            </w: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razón para ejercer</w:t>
            </w:r>
          </w:p>
        </w:tc>
        <w:tc>
          <w:tcPr>
            <w:tcW w:w="1133" w:type="dxa"/>
            <w:vMerge/>
          </w:tcPr>
          <w:p>
            <w:pPr/>
          </w:p>
        </w:tc>
      </w:tr>
      <w:tr>
        <w:trPr>
          <w:trHeight w:val="190" w:hRule="exact"/>
        </w:trPr>
        <w:tc>
          <w:tcPr>
            <w:tcW w:w="778" w:type="dxa"/>
            <w:tcBorders>
              <w:top w:val="nil"/>
              <w:bottom w:val="nil"/>
            </w:tcBorders>
          </w:tcPr>
          <w:p>
            <w:pPr/>
          </w:p>
        </w:tc>
        <w:tc>
          <w:tcPr>
            <w:tcW w:w="1176" w:type="dxa"/>
            <w:tcBorders>
              <w:top w:val="nil"/>
              <w:bottom w:val="nil"/>
            </w:tcBorders>
          </w:tcPr>
          <w:p>
            <w:pP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violencia.</w:t>
            </w:r>
          </w:p>
        </w:tc>
        <w:tc>
          <w:tcPr>
            <w:tcW w:w="1133" w:type="dxa"/>
            <w:vMerge/>
          </w:tcPr>
          <w:p>
            <w:pPr/>
          </w:p>
        </w:tc>
      </w:tr>
      <w:tr>
        <w:trPr>
          <w:trHeight w:val="189" w:hRule="exact"/>
        </w:trPr>
        <w:tc>
          <w:tcPr>
            <w:tcW w:w="778" w:type="dxa"/>
            <w:tcBorders>
              <w:top w:val="nil"/>
            </w:tcBorders>
          </w:tcPr>
          <w:p>
            <w:pPr/>
          </w:p>
        </w:tc>
        <w:tc>
          <w:tcPr>
            <w:tcW w:w="1176" w:type="dxa"/>
            <w:tcBorders>
              <w:top w:val="nil"/>
            </w:tcBorders>
          </w:tcPr>
          <w:p>
            <w:pPr/>
          </w:p>
        </w:tc>
        <w:tc>
          <w:tcPr>
            <w:tcW w:w="1037" w:type="dxa"/>
            <w:vMerge/>
          </w:tcPr>
          <w:p>
            <w:pPr/>
          </w:p>
        </w:tc>
        <w:tc>
          <w:tcPr>
            <w:tcW w:w="1080" w:type="dxa"/>
            <w:tcBorders>
              <w:top w:val="nil"/>
            </w:tcBorders>
          </w:tcPr>
          <w:p>
            <w:pPr/>
          </w:p>
        </w:tc>
        <w:tc>
          <w:tcPr>
            <w:tcW w:w="1210" w:type="dxa"/>
            <w:tcBorders>
              <w:top w:val="nil"/>
            </w:tcBorders>
          </w:tcPr>
          <w:p>
            <w:pPr>
              <w:pStyle w:val="TableParagraph"/>
              <w:spacing w:before="5"/>
              <w:ind w:right="79"/>
              <w:rPr>
                <w:sz w:val="15"/>
              </w:rPr>
            </w:pPr>
            <w:r>
              <w:rPr>
                <w:color w:val="231F20"/>
                <w:w w:val="90"/>
                <w:sz w:val="15"/>
              </w:rPr>
              <w:t>No hay mucho</w:t>
            </w:r>
          </w:p>
        </w:tc>
        <w:tc>
          <w:tcPr>
            <w:tcW w:w="1133" w:type="dxa"/>
            <w:vMerge/>
          </w:tcPr>
          <w:p>
            <w:pPr/>
          </w:p>
        </w:tc>
      </w:tr>
    </w:tbl>
    <w:p>
      <w:pPr>
        <w:spacing w:after="0"/>
        <w:sectPr>
          <w:headerReference w:type="default" r:id="rId611"/>
          <w:footerReference w:type="default" r:id="rId612"/>
          <w:pgSz w:w="7830" w:h="11910"/>
          <w:pgMar w:header="0" w:footer="424" w:top="500" w:bottom="620" w:left="800" w:right="380"/>
          <w:pgNumType w:start="271"/>
        </w:sectPr>
      </w:pPr>
    </w:p>
    <w:p>
      <w:pPr>
        <w:spacing w:before="46"/>
        <w:ind w:left="71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1651" w:hRule="exact"/>
        </w:trPr>
        <w:tc>
          <w:tcPr>
            <w:tcW w:w="778" w:type="dxa"/>
          </w:tcPr>
          <w:p>
            <w:pPr/>
          </w:p>
        </w:tc>
        <w:tc>
          <w:tcPr>
            <w:tcW w:w="1176" w:type="dxa"/>
          </w:tcPr>
          <w:p>
            <w:pPr/>
          </w:p>
        </w:tc>
        <w:tc>
          <w:tcPr>
            <w:tcW w:w="1037" w:type="dxa"/>
          </w:tcPr>
          <w:p>
            <w:pPr/>
          </w:p>
        </w:tc>
        <w:tc>
          <w:tcPr>
            <w:tcW w:w="1080" w:type="dxa"/>
          </w:tcPr>
          <w:p>
            <w:pPr/>
          </w:p>
        </w:tc>
        <w:tc>
          <w:tcPr>
            <w:tcW w:w="1210" w:type="dxa"/>
          </w:tcPr>
          <w:p>
            <w:pPr>
              <w:pStyle w:val="TableParagraph"/>
              <w:spacing w:line="235" w:lineRule="auto"/>
              <w:ind w:right="79"/>
              <w:rPr>
                <w:sz w:val="15"/>
              </w:rPr>
            </w:pPr>
            <w:r>
              <w:rPr>
                <w:color w:val="231F20"/>
                <w:w w:val="95"/>
                <w:sz w:val="15"/>
              </w:rPr>
              <w:t>que decir de la violencia que vivimos hoy en </w:t>
            </w:r>
            <w:r>
              <w:rPr>
                <w:color w:val="231F20"/>
                <w:w w:val="90"/>
                <w:sz w:val="15"/>
              </w:rPr>
              <w:t>día. Todos hemos </w:t>
            </w:r>
            <w:r>
              <w:rPr>
                <w:color w:val="231F20"/>
                <w:w w:val="85"/>
                <w:sz w:val="15"/>
              </w:rPr>
              <w:t>vivido la violencia </w:t>
            </w:r>
            <w:r>
              <w:rPr>
                <w:color w:val="231F20"/>
                <w:w w:val="90"/>
                <w:sz w:val="15"/>
              </w:rPr>
              <w:t>en primer plano.</w:t>
            </w:r>
          </w:p>
          <w:p>
            <w:pPr>
              <w:pStyle w:val="TableParagraph"/>
              <w:spacing w:line="264" w:lineRule="auto" w:before="34"/>
              <w:ind w:right="290"/>
              <w:rPr>
                <w:sz w:val="15"/>
              </w:rPr>
            </w:pPr>
            <w:r>
              <w:rPr>
                <w:color w:val="231F20"/>
                <w:w w:val="95"/>
                <w:sz w:val="15"/>
              </w:rPr>
              <w:t>La violencia implica </w:t>
            </w:r>
            <w:r>
              <w:rPr>
                <w:color w:val="231F20"/>
                <w:w w:val="85"/>
                <w:sz w:val="15"/>
              </w:rPr>
              <w:t>discriminación.</w:t>
            </w:r>
          </w:p>
        </w:tc>
        <w:tc>
          <w:tcPr>
            <w:tcW w:w="1133" w:type="dxa"/>
          </w:tcPr>
          <w:p>
            <w:pPr/>
          </w:p>
        </w:tc>
      </w:tr>
      <w:tr>
        <w:trPr>
          <w:trHeight w:val="212" w:hRule="exact"/>
        </w:trPr>
        <w:tc>
          <w:tcPr>
            <w:tcW w:w="778" w:type="dxa"/>
            <w:tcBorders>
              <w:bottom w:val="nil"/>
            </w:tcBorders>
          </w:tcPr>
          <w:p>
            <w:pPr>
              <w:pStyle w:val="TableParagraph"/>
              <w:spacing w:before="28"/>
              <w:ind w:left="105"/>
              <w:rPr>
                <w:sz w:val="15"/>
              </w:rPr>
            </w:pPr>
            <w:r>
              <w:rPr>
                <w:color w:val="231F20"/>
                <w:w w:val="90"/>
                <w:sz w:val="15"/>
              </w:rPr>
              <w:t>13.</w:t>
            </w:r>
          </w:p>
        </w:tc>
        <w:tc>
          <w:tcPr>
            <w:tcW w:w="1176" w:type="dxa"/>
            <w:tcBorders>
              <w:bottom w:val="nil"/>
            </w:tcBorders>
          </w:tcPr>
          <w:p>
            <w:pPr/>
          </w:p>
        </w:tc>
        <w:tc>
          <w:tcPr>
            <w:tcW w:w="1037" w:type="dxa"/>
            <w:tcBorders>
              <w:bottom w:val="nil"/>
            </w:tcBorders>
          </w:tcPr>
          <w:p>
            <w:pPr>
              <w:pStyle w:val="TableParagraph"/>
              <w:spacing w:before="28"/>
              <w:ind w:right="147"/>
              <w:rPr>
                <w:sz w:val="15"/>
              </w:rPr>
            </w:pPr>
            <w:r>
              <w:rPr>
                <w:color w:val="231F20"/>
                <w:w w:val="85"/>
                <w:sz w:val="15"/>
              </w:rPr>
              <w:t>Su manifesta-</w:t>
            </w:r>
          </w:p>
        </w:tc>
        <w:tc>
          <w:tcPr>
            <w:tcW w:w="1080" w:type="dxa"/>
            <w:tcBorders>
              <w:bottom w:val="nil"/>
            </w:tcBorders>
          </w:tcPr>
          <w:p>
            <w:pPr>
              <w:pStyle w:val="TableParagraph"/>
              <w:spacing w:before="28"/>
              <w:ind w:right="30"/>
              <w:rPr>
                <w:sz w:val="15"/>
              </w:rPr>
            </w:pPr>
            <w:r>
              <w:rPr>
                <w:color w:val="231F20"/>
                <w:w w:val="85"/>
                <w:sz w:val="15"/>
              </w:rPr>
              <w:t>La violencia y</w:t>
            </w:r>
          </w:p>
        </w:tc>
        <w:tc>
          <w:tcPr>
            <w:tcW w:w="1210" w:type="dxa"/>
            <w:vMerge w:val="restart"/>
          </w:tcPr>
          <w:p>
            <w:pPr/>
          </w:p>
        </w:tc>
        <w:tc>
          <w:tcPr>
            <w:tcW w:w="1133" w:type="dxa"/>
            <w:vMerge w:val="restart"/>
          </w:tcPr>
          <w:p>
            <w:pPr/>
          </w:p>
        </w:tc>
      </w:tr>
      <w:tr>
        <w:trPr>
          <w:trHeight w:val="338" w:hRule="exact"/>
        </w:trPr>
        <w:tc>
          <w:tcPr>
            <w:tcW w:w="778" w:type="dxa"/>
            <w:tcBorders>
              <w:top w:val="nil"/>
              <w:bottom w:val="nil"/>
            </w:tcBorders>
          </w:tcPr>
          <w:p>
            <w:pPr>
              <w:pStyle w:val="TableParagraph"/>
              <w:spacing w:before="31"/>
              <w:ind w:left="105"/>
              <w:rPr>
                <w:sz w:val="15"/>
              </w:rPr>
            </w:pPr>
            <w:r>
              <w:rPr>
                <w:color w:val="231F20"/>
                <w:w w:val="90"/>
                <w:sz w:val="15"/>
              </w:rPr>
              <w:t>Miriam</w:t>
            </w:r>
          </w:p>
        </w:tc>
        <w:tc>
          <w:tcPr>
            <w:tcW w:w="1176" w:type="dxa"/>
            <w:tcBorders>
              <w:top w:val="nil"/>
              <w:bottom w:val="nil"/>
            </w:tcBorders>
          </w:tcPr>
          <w:p>
            <w:pPr>
              <w:pStyle w:val="TableParagraph"/>
              <w:spacing w:line="151" w:lineRule="exact"/>
              <w:ind w:right="58"/>
              <w:rPr>
                <w:sz w:val="15"/>
              </w:rPr>
            </w:pPr>
            <w:r>
              <w:rPr>
                <w:color w:val="231F20"/>
                <w:w w:val="85"/>
                <w:sz w:val="15"/>
              </w:rPr>
              <w:t>La violencia es</w:t>
            </w:r>
          </w:p>
          <w:p>
            <w:pPr>
              <w:pStyle w:val="TableParagraph"/>
              <w:ind w:right="58"/>
              <w:rPr>
                <w:sz w:val="15"/>
              </w:rPr>
            </w:pPr>
            <w:r>
              <w:rPr>
                <w:color w:val="231F20"/>
                <w:w w:val="85"/>
                <w:sz w:val="15"/>
              </w:rPr>
              <w:t>cualquier acción o</w:t>
            </w:r>
          </w:p>
        </w:tc>
        <w:tc>
          <w:tcPr>
            <w:tcW w:w="1037" w:type="dxa"/>
            <w:tcBorders>
              <w:top w:val="nil"/>
              <w:bottom w:val="nil"/>
            </w:tcBorders>
          </w:tcPr>
          <w:p>
            <w:pPr>
              <w:pStyle w:val="TableParagraph"/>
              <w:spacing w:line="232" w:lineRule="auto"/>
              <w:ind w:right="167"/>
              <w:rPr>
                <w:sz w:val="15"/>
              </w:rPr>
            </w:pPr>
            <w:r>
              <w:rPr>
                <w:color w:val="231F20"/>
                <w:w w:val="85"/>
                <w:sz w:val="15"/>
              </w:rPr>
              <w:t>ción comienza </w:t>
            </w:r>
            <w:r>
              <w:rPr>
                <w:color w:val="231F20"/>
                <w:w w:val="90"/>
                <w:sz w:val="15"/>
              </w:rPr>
              <w:t>cuando se es</w:t>
            </w:r>
          </w:p>
        </w:tc>
        <w:tc>
          <w:tcPr>
            <w:tcW w:w="1080" w:type="dxa"/>
            <w:tcBorders>
              <w:top w:val="nil"/>
              <w:bottom w:val="nil"/>
            </w:tcBorders>
          </w:tcPr>
          <w:p>
            <w:pPr>
              <w:pStyle w:val="TableParagraph"/>
              <w:spacing w:line="161" w:lineRule="exact"/>
              <w:ind w:right="30"/>
              <w:rPr>
                <w:sz w:val="15"/>
              </w:rPr>
            </w:pPr>
            <w:r>
              <w:rPr>
                <w:color w:val="231F20"/>
                <w:w w:val="85"/>
                <w:sz w:val="15"/>
              </w:rPr>
              <w:t>sus causas.</w:t>
            </w:r>
          </w:p>
        </w:tc>
        <w:tc>
          <w:tcPr>
            <w:tcW w:w="1210" w:type="dxa"/>
            <w:vMerge/>
          </w:tcPr>
          <w:p>
            <w:pPr/>
          </w:p>
        </w:tc>
        <w:tc>
          <w:tcPr>
            <w:tcW w:w="1133" w:type="dxa"/>
            <w:vMerge/>
          </w:tcPr>
          <w:p>
            <w:pP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4" w:lineRule="exact"/>
              <w:ind w:right="58"/>
              <w:rPr>
                <w:sz w:val="15"/>
              </w:rPr>
            </w:pPr>
            <w:r>
              <w:rPr>
                <w:color w:val="231F20"/>
                <w:w w:val="85"/>
                <w:sz w:val="15"/>
              </w:rPr>
              <w:t>manifestación que</w:t>
            </w:r>
          </w:p>
        </w:tc>
        <w:tc>
          <w:tcPr>
            <w:tcW w:w="1037" w:type="dxa"/>
            <w:tcBorders>
              <w:top w:val="nil"/>
              <w:bottom w:val="nil"/>
            </w:tcBorders>
          </w:tcPr>
          <w:p>
            <w:pPr>
              <w:pStyle w:val="TableParagraph"/>
              <w:spacing w:line="163" w:lineRule="exact"/>
              <w:ind w:right="147"/>
              <w:rPr>
                <w:sz w:val="15"/>
              </w:rPr>
            </w:pPr>
            <w:r>
              <w:rPr>
                <w:color w:val="231F20"/>
                <w:w w:val="85"/>
                <w:sz w:val="15"/>
              </w:rPr>
              <w:t>intolerante a</w:t>
            </w: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1" w:lineRule="exact"/>
              <w:ind w:right="58"/>
              <w:rPr>
                <w:sz w:val="15"/>
              </w:rPr>
            </w:pPr>
            <w:r>
              <w:rPr>
                <w:color w:val="231F20"/>
                <w:w w:val="90"/>
                <w:sz w:val="15"/>
              </w:rPr>
              <w:t>se lleva a cabo en</w:t>
            </w:r>
          </w:p>
        </w:tc>
        <w:tc>
          <w:tcPr>
            <w:tcW w:w="1037" w:type="dxa"/>
            <w:tcBorders>
              <w:top w:val="nil"/>
              <w:bottom w:val="nil"/>
            </w:tcBorders>
          </w:tcPr>
          <w:p>
            <w:pPr>
              <w:pStyle w:val="TableParagraph"/>
              <w:spacing w:line="161" w:lineRule="exact"/>
              <w:ind w:right="147"/>
              <w:rPr>
                <w:sz w:val="15"/>
              </w:rPr>
            </w:pPr>
            <w:r>
              <w:rPr>
                <w:color w:val="231F20"/>
                <w:w w:val="95"/>
                <w:sz w:val="15"/>
              </w:rPr>
              <w:t>conductas,</w:t>
            </w: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1" w:lineRule="exact"/>
              <w:ind w:right="58"/>
              <w:rPr>
                <w:sz w:val="15"/>
              </w:rPr>
            </w:pPr>
            <w:r>
              <w:rPr>
                <w:color w:val="231F20"/>
                <w:w w:val="90"/>
                <w:sz w:val="15"/>
              </w:rPr>
              <w:t>contra de la</w:t>
            </w:r>
          </w:p>
        </w:tc>
        <w:tc>
          <w:tcPr>
            <w:tcW w:w="1037" w:type="dxa"/>
            <w:tcBorders>
              <w:top w:val="nil"/>
              <w:bottom w:val="nil"/>
            </w:tcBorders>
          </w:tcPr>
          <w:p>
            <w:pPr>
              <w:pStyle w:val="TableParagraph"/>
              <w:spacing w:line="161" w:lineRule="exact"/>
              <w:ind w:right="147"/>
              <w:rPr>
                <w:sz w:val="15"/>
              </w:rPr>
            </w:pPr>
            <w:r>
              <w:rPr>
                <w:color w:val="231F20"/>
                <w:w w:val="90"/>
                <w:sz w:val="15"/>
              </w:rPr>
              <w:t>formas de</w:t>
            </w: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1" w:lineRule="exact"/>
              <w:ind w:right="58"/>
              <w:rPr>
                <w:sz w:val="15"/>
              </w:rPr>
            </w:pPr>
            <w:r>
              <w:rPr>
                <w:color w:val="231F20"/>
                <w:w w:val="85"/>
                <w:sz w:val="15"/>
              </w:rPr>
              <w:t>libertad de</w:t>
            </w:r>
          </w:p>
        </w:tc>
        <w:tc>
          <w:tcPr>
            <w:tcW w:w="1037" w:type="dxa"/>
            <w:tcBorders>
              <w:top w:val="nil"/>
              <w:bottom w:val="nil"/>
            </w:tcBorders>
          </w:tcPr>
          <w:p>
            <w:pPr>
              <w:pStyle w:val="TableParagraph"/>
              <w:spacing w:line="161" w:lineRule="exact"/>
              <w:ind w:right="147"/>
              <w:rPr>
                <w:sz w:val="15"/>
              </w:rPr>
            </w:pPr>
            <w:r>
              <w:rPr>
                <w:color w:val="231F20"/>
                <w:w w:val="85"/>
                <w:sz w:val="15"/>
              </w:rPr>
              <w:t>pensar y</w:t>
            </w: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1" w:lineRule="exact"/>
              <w:ind w:right="58"/>
              <w:rPr>
                <w:sz w:val="15"/>
              </w:rPr>
            </w:pPr>
            <w:r>
              <w:rPr>
                <w:color w:val="231F20"/>
                <w:w w:val="85"/>
                <w:sz w:val="15"/>
              </w:rPr>
              <w:t>cualquier persona;</w:t>
            </w:r>
          </w:p>
        </w:tc>
        <w:tc>
          <w:tcPr>
            <w:tcW w:w="1037" w:type="dxa"/>
            <w:tcBorders>
              <w:top w:val="nil"/>
              <w:bottom w:val="nil"/>
            </w:tcBorders>
          </w:tcPr>
          <w:p>
            <w:pPr>
              <w:pStyle w:val="TableParagraph"/>
              <w:spacing w:line="161" w:lineRule="exact"/>
              <w:ind w:right="78"/>
              <w:rPr>
                <w:sz w:val="15"/>
              </w:rPr>
            </w:pPr>
            <w:r>
              <w:rPr>
                <w:color w:val="231F20"/>
                <w:w w:val="90"/>
                <w:sz w:val="15"/>
              </w:rPr>
              <w:t>formas de vida</w:t>
            </w:r>
          </w:p>
        </w:tc>
        <w:tc>
          <w:tcPr>
            <w:tcW w:w="1080" w:type="dxa"/>
            <w:tcBorders>
              <w:top w:val="nil"/>
              <w:bottom w:val="nil"/>
            </w:tcBorders>
          </w:tcPr>
          <w:p>
            <w:pPr/>
          </w:p>
        </w:tc>
        <w:tc>
          <w:tcPr>
            <w:tcW w:w="1210" w:type="dxa"/>
            <w:vMerge/>
          </w:tcPr>
          <w:p>
            <w:pPr/>
          </w:p>
        </w:tc>
        <w:tc>
          <w:tcPr>
            <w:tcW w:w="1133" w:type="dxa"/>
            <w:vMerge/>
          </w:tcPr>
          <w:p>
            <w:pP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1" w:lineRule="exact"/>
              <w:ind w:right="58"/>
              <w:rPr>
                <w:sz w:val="15"/>
              </w:rPr>
            </w:pPr>
            <w:r>
              <w:rPr>
                <w:color w:val="231F20"/>
                <w:w w:val="90"/>
                <w:sz w:val="15"/>
              </w:rPr>
              <w:t>dependiendo de</w:t>
            </w:r>
          </w:p>
        </w:tc>
        <w:tc>
          <w:tcPr>
            <w:tcW w:w="1037" w:type="dxa"/>
            <w:tcBorders>
              <w:top w:val="nil"/>
              <w:bottom w:val="nil"/>
            </w:tcBorders>
          </w:tcPr>
          <w:p>
            <w:pPr>
              <w:pStyle w:val="TableParagraph"/>
              <w:spacing w:line="161" w:lineRule="exact"/>
              <w:ind w:right="147"/>
              <w:rPr>
                <w:sz w:val="15"/>
              </w:rPr>
            </w:pPr>
            <w:r>
              <w:rPr>
                <w:color w:val="231F20"/>
                <w:w w:val="90"/>
                <w:sz w:val="15"/>
              </w:rPr>
              <w:t>en otras</w:t>
            </w: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4" w:lineRule="exact"/>
              <w:ind w:right="58"/>
              <w:rPr>
                <w:sz w:val="15"/>
              </w:rPr>
            </w:pPr>
            <w:r>
              <w:rPr>
                <w:color w:val="231F20"/>
                <w:w w:val="85"/>
                <w:sz w:val="15"/>
              </w:rPr>
              <w:t>las circunstancias,</w:t>
            </w:r>
          </w:p>
        </w:tc>
        <w:tc>
          <w:tcPr>
            <w:tcW w:w="1037" w:type="dxa"/>
            <w:tcBorders>
              <w:top w:val="nil"/>
              <w:bottom w:val="nil"/>
            </w:tcBorders>
          </w:tcPr>
          <w:p>
            <w:pPr>
              <w:pStyle w:val="TableParagraph"/>
              <w:spacing w:line="158" w:lineRule="exact"/>
              <w:ind w:right="97"/>
              <w:rPr>
                <w:sz w:val="15"/>
              </w:rPr>
            </w:pPr>
            <w:r>
              <w:rPr>
                <w:color w:val="231F20"/>
                <w:w w:val="85"/>
                <w:sz w:val="15"/>
              </w:rPr>
              <w:t>personas; estas</w:t>
            </w:r>
          </w:p>
        </w:tc>
        <w:tc>
          <w:tcPr>
            <w:tcW w:w="1080" w:type="dxa"/>
            <w:tcBorders>
              <w:top w:val="nil"/>
              <w:bottom w:val="nil"/>
            </w:tcBorders>
          </w:tcPr>
          <w:p>
            <w:pPr/>
          </w:p>
        </w:tc>
        <w:tc>
          <w:tcPr>
            <w:tcW w:w="1210" w:type="dxa"/>
            <w:vMerge/>
          </w:tcPr>
          <w:p>
            <w:pPr/>
          </w:p>
        </w:tc>
        <w:tc>
          <w:tcPr>
            <w:tcW w:w="1133" w:type="dxa"/>
            <w:vMerge/>
          </w:tcPr>
          <w:p>
            <w:pP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4" w:lineRule="exact"/>
              <w:ind w:right="58"/>
              <w:rPr>
                <w:sz w:val="15"/>
              </w:rPr>
            </w:pPr>
            <w:r>
              <w:rPr>
                <w:color w:val="231F20"/>
                <w:w w:val="90"/>
                <w:sz w:val="15"/>
              </w:rPr>
              <w:t>esta se puede</w:t>
            </w:r>
          </w:p>
        </w:tc>
        <w:tc>
          <w:tcPr>
            <w:tcW w:w="1037" w:type="dxa"/>
            <w:tcBorders>
              <w:top w:val="nil"/>
              <w:bottom w:val="nil"/>
            </w:tcBorders>
          </w:tcPr>
          <w:p>
            <w:pPr>
              <w:pStyle w:val="TableParagraph"/>
              <w:spacing w:line="163" w:lineRule="exact"/>
              <w:ind w:right="78"/>
              <w:rPr>
                <w:sz w:val="15"/>
              </w:rPr>
            </w:pPr>
            <w:r>
              <w:rPr>
                <w:color w:val="231F20"/>
                <w:w w:val="85"/>
                <w:sz w:val="15"/>
              </w:rPr>
              <w:t>actitudes evitan</w:t>
            </w: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1" w:lineRule="exact"/>
              <w:ind w:right="58"/>
              <w:rPr>
                <w:sz w:val="15"/>
              </w:rPr>
            </w:pPr>
            <w:r>
              <w:rPr>
                <w:color w:val="231F20"/>
                <w:w w:val="90"/>
                <w:sz w:val="15"/>
              </w:rPr>
              <w:t>llevar a cabo en</w:t>
            </w:r>
          </w:p>
        </w:tc>
        <w:tc>
          <w:tcPr>
            <w:tcW w:w="1037" w:type="dxa"/>
            <w:tcBorders>
              <w:top w:val="nil"/>
              <w:bottom w:val="nil"/>
            </w:tcBorders>
          </w:tcPr>
          <w:p>
            <w:pPr>
              <w:pStyle w:val="TableParagraph"/>
              <w:spacing w:line="161" w:lineRule="exact"/>
              <w:ind w:right="48"/>
              <w:rPr>
                <w:sz w:val="15"/>
              </w:rPr>
            </w:pPr>
            <w:r>
              <w:rPr>
                <w:color w:val="231F20"/>
                <w:w w:val="90"/>
                <w:sz w:val="15"/>
              </w:rPr>
              <w:t>el desarrollo en</w:t>
            </w: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1" w:lineRule="exact"/>
              <w:ind w:right="58"/>
              <w:rPr>
                <w:sz w:val="15"/>
              </w:rPr>
            </w:pPr>
            <w:r>
              <w:rPr>
                <w:color w:val="231F20"/>
                <w:w w:val="85"/>
                <w:sz w:val="15"/>
              </w:rPr>
              <w:t>cualquier ámbito</w:t>
            </w:r>
          </w:p>
        </w:tc>
        <w:tc>
          <w:tcPr>
            <w:tcW w:w="1037" w:type="dxa"/>
            <w:tcBorders>
              <w:top w:val="nil"/>
              <w:bottom w:val="nil"/>
            </w:tcBorders>
          </w:tcPr>
          <w:p>
            <w:pPr>
              <w:pStyle w:val="TableParagraph"/>
              <w:spacing w:line="161" w:lineRule="exact"/>
              <w:ind w:right="48"/>
              <w:rPr>
                <w:sz w:val="15"/>
              </w:rPr>
            </w:pPr>
            <w:r>
              <w:rPr>
                <w:color w:val="231F20"/>
                <w:w w:val="90"/>
                <w:sz w:val="15"/>
              </w:rPr>
              <w:t>comunidad con</w:t>
            </w: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1" w:lineRule="exact"/>
              <w:ind w:right="58"/>
              <w:rPr>
                <w:sz w:val="15"/>
              </w:rPr>
            </w:pPr>
            <w:r>
              <w:rPr>
                <w:color w:val="231F20"/>
                <w:w w:val="90"/>
                <w:sz w:val="15"/>
              </w:rPr>
              <w:t>donde la persona</w:t>
            </w:r>
          </w:p>
        </w:tc>
        <w:tc>
          <w:tcPr>
            <w:tcW w:w="1037" w:type="dxa"/>
            <w:tcBorders>
              <w:top w:val="nil"/>
              <w:bottom w:val="nil"/>
            </w:tcBorders>
          </w:tcPr>
          <w:p>
            <w:pPr>
              <w:pStyle w:val="TableParagraph"/>
              <w:spacing w:line="161" w:lineRule="exact"/>
              <w:ind w:right="147"/>
              <w:rPr>
                <w:sz w:val="15"/>
              </w:rPr>
            </w:pPr>
            <w:r>
              <w:rPr>
                <w:color w:val="231F20"/>
                <w:w w:val="85"/>
                <w:sz w:val="15"/>
              </w:rPr>
              <w:t>igualdad y</w:t>
            </w:r>
          </w:p>
        </w:tc>
        <w:tc>
          <w:tcPr>
            <w:tcW w:w="1080" w:type="dxa"/>
            <w:tcBorders>
              <w:top w:val="nil"/>
              <w:bottom w:val="nil"/>
            </w:tcBorders>
          </w:tcPr>
          <w:p>
            <w:pPr/>
          </w:p>
        </w:tc>
        <w:tc>
          <w:tcPr>
            <w:tcW w:w="1210" w:type="dxa"/>
            <w:vMerge/>
          </w:tcPr>
          <w:p>
            <w:pPr/>
          </w:p>
        </w:tc>
        <w:tc>
          <w:tcPr>
            <w:tcW w:w="1133" w:type="dxa"/>
            <w:vMerge/>
          </w:tcPr>
          <w:p>
            <w:pP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1" w:lineRule="exact"/>
              <w:ind w:right="58"/>
              <w:rPr>
                <w:sz w:val="15"/>
              </w:rPr>
            </w:pPr>
            <w:r>
              <w:rPr>
                <w:color w:val="231F20"/>
                <w:w w:val="85"/>
                <w:sz w:val="15"/>
              </w:rPr>
              <w:t>desarrolla sus</w:t>
            </w:r>
          </w:p>
        </w:tc>
        <w:tc>
          <w:tcPr>
            <w:tcW w:w="1037" w:type="dxa"/>
            <w:tcBorders>
              <w:top w:val="nil"/>
              <w:bottom w:val="nil"/>
            </w:tcBorders>
          </w:tcPr>
          <w:p>
            <w:pPr>
              <w:pStyle w:val="TableParagraph"/>
              <w:spacing w:line="161" w:lineRule="exact"/>
              <w:ind w:right="147"/>
              <w:rPr>
                <w:sz w:val="15"/>
              </w:rPr>
            </w:pPr>
            <w:r>
              <w:rPr>
                <w:color w:val="231F20"/>
                <w:w w:val="95"/>
                <w:sz w:val="15"/>
              </w:rPr>
              <w:t>respeto.</w:t>
            </w:r>
          </w:p>
        </w:tc>
        <w:tc>
          <w:tcPr>
            <w:tcW w:w="1080" w:type="dxa"/>
            <w:tcBorders>
              <w:top w:val="nil"/>
              <w:bottom w:val="nil"/>
            </w:tcBorders>
          </w:tcPr>
          <w:p>
            <w:pPr/>
          </w:p>
        </w:tc>
        <w:tc>
          <w:tcPr>
            <w:tcW w:w="1210" w:type="dxa"/>
            <w:vMerge/>
          </w:tcPr>
          <w:p>
            <w:pPr/>
          </w:p>
        </w:tc>
        <w:tc>
          <w:tcPr>
            <w:tcW w:w="1133" w:type="dxa"/>
            <w:vMerge/>
          </w:tcPr>
          <w:p>
            <w:pPr/>
          </w:p>
        </w:tc>
      </w:tr>
      <w:tr>
        <w:trPr>
          <w:trHeight w:val="3252" w:hRule="exact"/>
        </w:trPr>
        <w:tc>
          <w:tcPr>
            <w:tcW w:w="778" w:type="dxa"/>
            <w:tcBorders>
              <w:top w:val="nil"/>
              <w:bottom w:val="nil"/>
            </w:tcBorders>
          </w:tcPr>
          <w:p>
            <w:pPr/>
          </w:p>
        </w:tc>
        <w:tc>
          <w:tcPr>
            <w:tcW w:w="1176" w:type="dxa"/>
            <w:tcBorders>
              <w:top w:val="nil"/>
              <w:bottom w:val="nil"/>
            </w:tcBorders>
          </w:tcPr>
          <w:p>
            <w:pPr>
              <w:pStyle w:val="TableParagraph"/>
              <w:spacing w:line="151" w:lineRule="exact"/>
              <w:ind w:right="58"/>
              <w:rPr>
                <w:sz w:val="15"/>
              </w:rPr>
            </w:pPr>
            <w:r>
              <w:rPr>
                <w:color w:val="231F20"/>
                <w:w w:val="85"/>
                <w:sz w:val="15"/>
              </w:rPr>
              <w:t>actividades, puede</w:t>
            </w:r>
          </w:p>
          <w:p>
            <w:pPr>
              <w:pStyle w:val="TableParagraph"/>
              <w:spacing w:line="168" w:lineRule="exact" w:before="3"/>
              <w:ind w:right="75"/>
              <w:rPr>
                <w:sz w:val="15"/>
              </w:rPr>
            </w:pPr>
            <w:r>
              <w:rPr>
                <w:color w:val="231F20"/>
                <w:w w:val="95"/>
                <w:sz w:val="15"/>
              </w:rPr>
              <w:t>ser en la escuela, </w:t>
            </w:r>
            <w:r>
              <w:rPr>
                <w:color w:val="231F20"/>
                <w:w w:val="90"/>
                <w:sz w:val="15"/>
              </w:rPr>
              <w:t>el trabajo, la casa, </w:t>
            </w:r>
            <w:r>
              <w:rPr>
                <w:color w:val="231F20"/>
                <w:w w:val="95"/>
                <w:sz w:val="15"/>
              </w:rPr>
              <w:t>entre muchas otras.</w:t>
            </w:r>
          </w:p>
          <w:p>
            <w:pPr>
              <w:pStyle w:val="TableParagraph"/>
              <w:spacing w:line="235" w:lineRule="auto"/>
              <w:ind w:right="82"/>
              <w:rPr>
                <w:sz w:val="15"/>
              </w:rPr>
            </w:pPr>
            <w:r>
              <w:rPr>
                <w:color w:val="231F20"/>
                <w:w w:val="95"/>
                <w:sz w:val="15"/>
              </w:rPr>
              <w:t>La violencia puede ser física, </w:t>
            </w:r>
            <w:r>
              <w:rPr>
                <w:color w:val="231F20"/>
                <w:w w:val="90"/>
                <w:sz w:val="15"/>
              </w:rPr>
              <w:t>moral, psicológi- </w:t>
            </w:r>
            <w:r>
              <w:rPr>
                <w:color w:val="231F20"/>
                <w:w w:val="85"/>
                <w:sz w:val="15"/>
              </w:rPr>
              <w:t>ca, verbal, escrita. </w:t>
            </w:r>
            <w:r>
              <w:rPr>
                <w:color w:val="231F20"/>
                <w:w w:val="95"/>
                <w:sz w:val="15"/>
              </w:rPr>
              <w:t>Cualquier agresión contra los derechos y </w:t>
            </w:r>
            <w:r>
              <w:rPr>
                <w:color w:val="231F20"/>
                <w:w w:val="90"/>
                <w:sz w:val="15"/>
              </w:rPr>
              <w:t>pensamientos de </w:t>
            </w:r>
            <w:r>
              <w:rPr>
                <w:color w:val="231F20"/>
                <w:w w:val="95"/>
                <w:sz w:val="15"/>
              </w:rPr>
              <w:t>una persona es una de las conductas más </w:t>
            </w:r>
            <w:r>
              <w:rPr>
                <w:color w:val="231F20"/>
                <w:w w:val="90"/>
                <w:sz w:val="15"/>
              </w:rPr>
              <w:t>degradantes para la autoestima y la </w:t>
            </w:r>
            <w:r>
              <w:rPr>
                <w:color w:val="231F20"/>
                <w:w w:val="95"/>
                <w:sz w:val="15"/>
              </w:rPr>
              <w:t>dignidad.</w:t>
            </w:r>
          </w:p>
        </w:tc>
        <w:tc>
          <w:tcPr>
            <w:tcW w:w="1037" w:type="dxa"/>
            <w:tcBorders>
              <w:top w:val="nil"/>
              <w:bottom w:val="nil"/>
            </w:tcBorders>
          </w:tcPr>
          <w:p>
            <w:pPr>
              <w:pStyle w:val="TableParagraph"/>
              <w:spacing w:line="235" w:lineRule="auto" w:before="32"/>
              <w:ind w:right="75"/>
              <w:rPr>
                <w:sz w:val="15"/>
              </w:rPr>
            </w:pPr>
            <w:r>
              <w:rPr>
                <w:color w:val="231F20"/>
                <w:w w:val="95"/>
                <w:sz w:val="15"/>
              </w:rPr>
              <w:t>Para mí la violencia comienza cuando una </w:t>
            </w:r>
            <w:r>
              <w:rPr>
                <w:color w:val="231F20"/>
                <w:w w:val="90"/>
                <w:sz w:val="15"/>
              </w:rPr>
              <w:t>persona asume </w:t>
            </w:r>
            <w:r>
              <w:rPr>
                <w:color w:val="231F20"/>
                <w:w w:val="95"/>
                <w:sz w:val="15"/>
              </w:rPr>
              <w:t>los problemas de otra por </w:t>
            </w:r>
            <w:r>
              <w:rPr>
                <w:color w:val="231F20"/>
                <w:w w:val="90"/>
                <w:sz w:val="15"/>
              </w:rPr>
              <w:t>influencia de la </w:t>
            </w:r>
            <w:r>
              <w:rPr>
                <w:color w:val="231F20"/>
                <w:w w:val="95"/>
                <w:sz w:val="15"/>
              </w:rPr>
              <w:t>sociedad, también cuando una </w:t>
            </w:r>
            <w:r>
              <w:rPr>
                <w:color w:val="231F20"/>
                <w:w w:val="90"/>
                <w:sz w:val="15"/>
              </w:rPr>
              <w:t>persona no está </w:t>
            </w:r>
            <w:r>
              <w:rPr>
                <w:color w:val="231F20"/>
                <w:w w:val="95"/>
                <w:sz w:val="15"/>
              </w:rPr>
              <w:t>conforme </w:t>
            </w:r>
            <w:r>
              <w:rPr>
                <w:color w:val="231F20"/>
                <w:w w:val="90"/>
                <w:sz w:val="15"/>
              </w:rPr>
              <w:t>consigo misma </w:t>
            </w:r>
            <w:r>
              <w:rPr>
                <w:color w:val="231F20"/>
                <w:w w:val="95"/>
                <w:sz w:val="15"/>
              </w:rPr>
              <w:t>y desplaza sus sentimientos hacia los demás, sin </w:t>
            </w:r>
            <w:r>
              <w:rPr>
                <w:color w:val="231F20"/>
                <w:w w:val="90"/>
                <w:sz w:val="15"/>
              </w:rPr>
              <w:t>tomar en</w:t>
            </w: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tcBorders>
              <w:top w:val="nil"/>
              <w:bottom w:val="nil"/>
            </w:tcBorders>
          </w:tcPr>
          <w:p>
            <w:pPr>
              <w:pStyle w:val="TableParagraph"/>
              <w:spacing w:line="156" w:lineRule="exact"/>
              <w:ind w:right="147"/>
              <w:rPr>
                <w:sz w:val="15"/>
              </w:rPr>
            </w:pPr>
            <w:r>
              <w:rPr>
                <w:color w:val="231F20"/>
                <w:w w:val="85"/>
                <w:sz w:val="15"/>
              </w:rPr>
              <w:t>cuenta los</w:t>
            </w:r>
          </w:p>
        </w:tc>
        <w:tc>
          <w:tcPr>
            <w:tcW w:w="1080" w:type="dxa"/>
            <w:tcBorders>
              <w:top w:val="nil"/>
              <w:bottom w:val="nil"/>
            </w:tcBorders>
          </w:tcPr>
          <w:p>
            <w:pPr/>
          </w:p>
        </w:tc>
        <w:tc>
          <w:tcPr>
            <w:tcW w:w="1210" w:type="dxa"/>
            <w:vMerge/>
          </w:tcPr>
          <w:p>
            <w:pP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
        </w:tc>
        <w:tc>
          <w:tcPr>
            <w:tcW w:w="1037" w:type="dxa"/>
            <w:tcBorders>
              <w:top w:val="nil"/>
              <w:bottom w:val="nil"/>
            </w:tcBorders>
          </w:tcPr>
          <w:p>
            <w:pPr>
              <w:pStyle w:val="TableParagraph"/>
              <w:spacing w:line="156" w:lineRule="exact"/>
              <w:ind w:right="147"/>
              <w:rPr>
                <w:sz w:val="15"/>
              </w:rPr>
            </w:pPr>
            <w:r>
              <w:rPr>
                <w:color w:val="231F20"/>
                <w:w w:val="90"/>
                <w:sz w:val="15"/>
              </w:rPr>
              <w:t>límites de su</w:t>
            </w:r>
          </w:p>
        </w:tc>
        <w:tc>
          <w:tcPr>
            <w:tcW w:w="1080" w:type="dxa"/>
            <w:tcBorders>
              <w:top w:val="nil"/>
              <w:bottom w:val="nil"/>
            </w:tcBorders>
          </w:tcPr>
          <w:p>
            <w:pPr/>
          </w:p>
        </w:tc>
        <w:tc>
          <w:tcPr>
            <w:tcW w:w="1210" w:type="dxa"/>
            <w:vMerge/>
          </w:tcPr>
          <w:p>
            <w:pPr/>
          </w:p>
        </w:tc>
        <w:tc>
          <w:tcPr>
            <w:tcW w:w="1133" w:type="dxa"/>
            <w:vMerge/>
          </w:tcPr>
          <w:p>
            <w:pPr/>
          </w:p>
        </w:tc>
      </w:tr>
      <w:tr>
        <w:trPr>
          <w:trHeight w:val="206" w:hRule="exact"/>
        </w:trPr>
        <w:tc>
          <w:tcPr>
            <w:tcW w:w="778" w:type="dxa"/>
            <w:tcBorders>
              <w:top w:val="nil"/>
            </w:tcBorders>
          </w:tcPr>
          <w:p>
            <w:pPr/>
          </w:p>
        </w:tc>
        <w:tc>
          <w:tcPr>
            <w:tcW w:w="1176" w:type="dxa"/>
            <w:tcBorders>
              <w:top w:val="nil"/>
            </w:tcBorders>
          </w:tcPr>
          <w:p>
            <w:pPr/>
          </w:p>
        </w:tc>
        <w:tc>
          <w:tcPr>
            <w:tcW w:w="1037" w:type="dxa"/>
            <w:tcBorders>
              <w:top w:val="nil"/>
            </w:tcBorders>
          </w:tcPr>
          <w:p>
            <w:pPr>
              <w:pStyle w:val="TableParagraph"/>
              <w:spacing w:line="156" w:lineRule="exact"/>
              <w:ind w:right="147"/>
              <w:rPr>
                <w:sz w:val="15"/>
              </w:rPr>
            </w:pPr>
            <w:r>
              <w:rPr>
                <w:color w:val="231F20"/>
                <w:w w:val="95"/>
                <w:sz w:val="15"/>
              </w:rPr>
              <w:t>libertad.</w:t>
            </w:r>
          </w:p>
        </w:tc>
        <w:tc>
          <w:tcPr>
            <w:tcW w:w="1080" w:type="dxa"/>
            <w:tcBorders>
              <w:top w:val="nil"/>
            </w:tcBorders>
          </w:tcPr>
          <w:p>
            <w:pPr/>
          </w:p>
        </w:tc>
        <w:tc>
          <w:tcPr>
            <w:tcW w:w="1210" w:type="dxa"/>
            <w:vMerge/>
          </w:tcPr>
          <w:p>
            <w:pPr/>
          </w:p>
        </w:tc>
        <w:tc>
          <w:tcPr>
            <w:tcW w:w="1133" w:type="dxa"/>
            <w:vMerge/>
          </w:tcPr>
          <w:p>
            <w:pPr/>
          </w:p>
        </w:tc>
      </w:tr>
      <w:tr>
        <w:trPr>
          <w:trHeight w:val="222" w:hRule="exact"/>
        </w:trPr>
        <w:tc>
          <w:tcPr>
            <w:tcW w:w="778" w:type="dxa"/>
            <w:tcBorders>
              <w:bottom w:val="nil"/>
            </w:tcBorders>
          </w:tcPr>
          <w:p>
            <w:pPr>
              <w:pStyle w:val="TableParagraph"/>
              <w:spacing w:before="32"/>
              <w:ind w:left="105"/>
              <w:rPr>
                <w:sz w:val="15"/>
              </w:rPr>
            </w:pPr>
            <w:r>
              <w:rPr>
                <w:color w:val="231F20"/>
                <w:w w:val="90"/>
                <w:sz w:val="15"/>
              </w:rPr>
              <w:t>14.</w:t>
            </w:r>
          </w:p>
        </w:tc>
        <w:tc>
          <w:tcPr>
            <w:tcW w:w="1176" w:type="dxa"/>
            <w:tcBorders>
              <w:bottom w:val="nil"/>
            </w:tcBorders>
          </w:tcPr>
          <w:p>
            <w:pPr>
              <w:pStyle w:val="TableParagraph"/>
              <w:spacing w:before="32"/>
              <w:ind w:right="58"/>
              <w:rPr>
                <w:sz w:val="15"/>
              </w:rPr>
            </w:pPr>
            <w:r>
              <w:rPr>
                <w:color w:val="231F20"/>
                <w:w w:val="85"/>
                <w:sz w:val="15"/>
              </w:rPr>
              <w:t>La violencia</w:t>
            </w:r>
          </w:p>
        </w:tc>
        <w:tc>
          <w:tcPr>
            <w:tcW w:w="1037" w:type="dxa"/>
            <w:tcBorders>
              <w:bottom w:val="nil"/>
            </w:tcBorders>
          </w:tcPr>
          <w:p>
            <w:pPr>
              <w:pStyle w:val="TableParagraph"/>
              <w:spacing w:before="32"/>
              <w:ind w:right="147"/>
              <w:rPr>
                <w:sz w:val="15"/>
              </w:rPr>
            </w:pPr>
            <w:r>
              <w:rPr>
                <w:color w:val="231F20"/>
                <w:w w:val="85"/>
                <w:sz w:val="15"/>
              </w:rPr>
              <w:t>La violencia</w:t>
            </w:r>
          </w:p>
        </w:tc>
        <w:tc>
          <w:tcPr>
            <w:tcW w:w="1080" w:type="dxa"/>
            <w:tcBorders>
              <w:bottom w:val="nil"/>
            </w:tcBorders>
          </w:tcPr>
          <w:p>
            <w:pPr>
              <w:pStyle w:val="TableParagraph"/>
              <w:spacing w:before="32"/>
              <w:ind w:right="376"/>
              <w:rPr>
                <w:sz w:val="15"/>
              </w:rPr>
            </w:pPr>
            <w:r>
              <w:rPr>
                <w:color w:val="231F20"/>
                <w:w w:val="95"/>
                <w:sz w:val="15"/>
              </w:rPr>
              <w:t>Qué es la</w:t>
            </w:r>
          </w:p>
        </w:tc>
        <w:tc>
          <w:tcPr>
            <w:tcW w:w="1210" w:type="dxa"/>
            <w:tcBorders>
              <w:bottom w:val="nil"/>
            </w:tcBorders>
          </w:tcPr>
          <w:p>
            <w:pPr>
              <w:pStyle w:val="TableParagraph"/>
              <w:spacing w:before="32"/>
              <w:ind w:right="79"/>
              <w:rPr>
                <w:sz w:val="15"/>
              </w:rPr>
            </w:pPr>
            <w:r>
              <w:rPr>
                <w:color w:val="231F20"/>
                <w:w w:val="85"/>
                <w:sz w:val="15"/>
              </w:rPr>
              <w:t>Opinión personal:</w:t>
            </w:r>
          </w:p>
        </w:tc>
        <w:tc>
          <w:tcPr>
            <w:tcW w:w="1133" w:type="dxa"/>
            <w:vMerge w:val="restart"/>
          </w:tcPr>
          <w:p>
            <w:pPr/>
          </w:p>
        </w:tc>
      </w:tr>
      <w:tr>
        <w:trPr>
          <w:trHeight w:val="336" w:hRule="exact"/>
        </w:trPr>
        <w:tc>
          <w:tcPr>
            <w:tcW w:w="778" w:type="dxa"/>
            <w:tcBorders>
              <w:top w:val="nil"/>
              <w:bottom w:val="nil"/>
            </w:tcBorders>
          </w:tcPr>
          <w:p>
            <w:pPr>
              <w:pStyle w:val="TableParagraph"/>
              <w:spacing w:before="22"/>
              <w:ind w:left="105"/>
              <w:rPr>
                <w:sz w:val="15"/>
              </w:rPr>
            </w:pPr>
            <w:r>
              <w:rPr>
                <w:color w:val="231F20"/>
                <w:w w:val="95"/>
                <w:sz w:val="15"/>
              </w:rPr>
              <w:t>Rubén.</w:t>
            </w:r>
          </w:p>
        </w:tc>
        <w:tc>
          <w:tcPr>
            <w:tcW w:w="1176" w:type="dxa"/>
            <w:tcBorders>
              <w:top w:val="nil"/>
              <w:bottom w:val="nil"/>
            </w:tcBorders>
          </w:tcPr>
          <w:p>
            <w:pPr>
              <w:pStyle w:val="TableParagraph"/>
              <w:spacing w:line="154" w:lineRule="exact"/>
              <w:ind w:right="58"/>
              <w:rPr>
                <w:sz w:val="15"/>
              </w:rPr>
            </w:pPr>
            <w:r>
              <w:rPr>
                <w:color w:val="231F20"/>
                <w:w w:val="90"/>
                <w:sz w:val="15"/>
              </w:rPr>
              <w:t>consiste en el</w:t>
            </w:r>
          </w:p>
          <w:p>
            <w:pPr>
              <w:pStyle w:val="TableParagraph"/>
              <w:spacing w:line="170" w:lineRule="exact"/>
              <w:ind w:right="58"/>
              <w:rPr>
                <w:sz w:val="15"/>
              </w:rPr>
            </w:pPr>
            <w:r>
              <w:rPr>
                <w:color w:val="231F20"/>
                <w:w w:val="85"/>
                <w:sz w:val="15"/>
              </w:rPr>
              <w:t>agravio hacia una</w:t>
            </w:r>
          </w:p>
        </w:tc>
        <w:tc>
          <w:tcPr>
            <w:tcW w:w="1037" w:type="dxa"/>
            <w:tcBorders>
              <w:top w:val="nil"/>
              <w:bottom w:val="nil"/>
            </w:tcBorders>
          </w:tcPr>
          <w:p>
            <w:pPr>
              <w:pStyle w:val="TableParagraph"/>
              <w:spacing w:line="154" w:lineRule="exact"/>
              <w:ind w:right="147"/>
              <w:rPr>
                <w:sz w:val="15"/>
              </w:rPr>
            </w:pPr>
            <w:r>
              <w:rPr>
                <w:color w:val="231F20"/>
                <w:w w:val="95"/>
                <w:sz w:val="15"/>
              </w:rPr>
              <w:t>emocional</w:t>
            </w:r>
          </w:p>
          <w:p>
            <w:pPr>
              <w:pStyle w:val="TableParagraph"/>
              <w:spacing w:line="170" w:lineRule="exact"/>
              <w:ind w:right="97"/>
              <w:rPr>
                <w:sz w:val="15"/>
              </w:rPr>
            </w:pPr>
            <w:r>
              <w:rPr>
                <w:color w:val="231F20"/>
                <w:w w:val="85"/>
                <w:sz w:val="15"/>
              </w:rPr>
              <w:t>puede empezar</w:t>
            </w:r>
          </w:p>
        </w:tc>
        <w:tc>
          <w:tcPr>
            <w:tcW w:w="1080" w:type="dxa"/>
            <w:tcBorders>
              <w:top w:val="nil"/>
              <w:bottom w:val="nil"/>
            </w:tcBorders>
          </w:tcPr>
          <w:p>
            <w:pPr>
              <w:pStyle w:val="TableParagraph"/>
              <w:spacing w:line="154" w:lineRule="exact"/>
              <w:ind w:right="30"/>
              <w:rPr>
                <w:sz w:val="15"/>
              </w:rPr>
            </w:pPr>
            <w:r>
              <w:rPr>
                <w:color w:val="231F20"/>
                <w:w w:val="85"/>
                <w:sz w:val="15"/>
              </w:rPr>
              <w:t>violencia y</w:t>
            </w:r>
          </w:p>
          <w:p>
            <w:pPr>
              <w:pStyle w:val="TableParagraph"/>
              <w:spacing w:line="170" w:lineRule="exact"/>
              <w:ind w:right="30"/>
              <w:rPr>
                <w:sz w:val="15"/>
              </w:rPr>
            </w:pPr>
            <w:r>
              <w:rPr>
                <w:color w:val="231F20"/>
                <w:w w:val="90"/>
                <w:sz w:val="15"/>
              </w:rPr>
              <w:t>cómo es en las</w:t>
            </w:r>
          </w:p>
        </w:tc>
        <w:tc>
          <w:tcPr>
            <w:tcW w:w="1210" w:type="dxa"/>
            <w:tcBorders>
              <w:top w:val="nil"/>
              <w:bottom w:val="nil"/>
            </w:tcBorders>
          </w:tcPr>
          <w:p>
            <w:pPr>
              <w:pStyle w:val="TableParagraph"/>
              <w:spacing w:line="154" w:lineRule="exact"/>
              <w:ind w:right="79"/>
              <w:rPr>
                <w:sz w:val="15"/>
              </w:rPr>
            </w:pPr>
            <w:r>
              <w:rPr>
                <w:color w:val="231F20"/>
                <w:w w:val="85"/>
                <w:sz w:val="15"/>
              </w:rPr>
              <w:t>la violencia física</w:t>
            </w:r>
          </w:p>
          <w:p>
            <w:pPr>
              <w:pStyle w:val="TableParagraph"/>
              <w:spacing w:line="170" w:lineRule="exact"/>
              <w:ind w:right="79"/>
              <w:rPr>
                <w:sz w:val="15"/>
              </w:rPr>
            </w:pPr>
            <w:r>
              <w:rPr>
                <w:color w:val="231F20"/>
                <w:w w:val="90"/>
                <w:sz w:val="15"/>
              </w:rPr>
              <w:t>en contra de las</w:t>
            </w:r>
          </w:p>
        </w:tc>
        <w:tc>
          <w:tcPr>
            <w:tcW w:w="1133" w:type="dxa"/>
            <w:vMerge/>
          </w:tcPr>
          <w:p>
            <w:pP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persona, atentan-</w:t>
            </w:r>
          </w:p>
        </w:tc>
        <w:tc>
          <w:tcPr>
            <w:tcW w:w="1037" w:type="dxa"/>
            <w:tcBorders>
              <w:top w:val="nil"/>
              <w:bottom w:val="nil"/>
            </w:tcBorders>
          </w:tcPr>
          <w:p>
            <w:pPr>
              <w:pStyle w:val="TableParagraph"/>
              <w:spacing w:line="156" w:lineRule="exact"/>
              <w:ind w:right="147"/>
              <w:rPr>
                <w:sz w:val="15"/>
              </w:rPr>
            </w:pPr>
            <w:r>
              <w:rPr>
                <w:color w:val="231F20"/>
                <w:w w:val="90"/>
                <w:sz w:val="15"/>
              </w:rPr>
              <w:t>por apodos</w:t>
            </w:r>
          </w:p>
        </w:tc>
        <w:tc>
          <w:tcPr>
            <w:tcW w:w="1080" w:type="dxa"/>
            <w:tcBorders>
              <w:top w:val="nil"/>
              <w:bottom w:val="nil"/>
            </w:tcBorders>
          </w:tcPr>
          <w:p>
            <w:pPr>
              <w:pStyle w:val="TableParagraph"/>
              <w:spacing w:line="156" w:lineRule="exact"/>
              <w:ind w:right="30"/>
              <w:rPr>
                <w:sz w:val="15"/>
              </w:rPr>
            </w:pPr>
            <w:r>
              <w:rPr>
                <w:color w:val="231F20"/>
                <w:w w:val="85"/>
                <w:sz w:val="15"/>
              </w:rPr>
              <w:t>nuevas genera-</w:t>
            </w:r>
          </w:p>
        </w:tc>
        <w:tc>
          <w:tcPr>
            <w:tcW w:w="1210" w:type="dxa"/>
            <w:tcBorders>
              <w:top w:val="nil"/>
              <w:bottom w:val="nil"/>
            </w:tcBorders>
          </w:tcPr>
          <w:p>
            <w:pPr>
              <w:pStyle w:val="TableParagraph"/>
              <w:spacing w:line="156" w:lineRule="exact"/>
              <w:ind w:right="79"/>
              <w:rPr>
                <w:sz w:val="15"/>
              </w:rPr>
            </w:pPr>
            <w:r>
              <w:rPr>
                <w:color w:val="231F20"/>
                <w:w w:val="85"/>
                <w:sz w:val="15"/>
              </w:rPr>
              <w:t>mujeres va</w:t>
            </w:r>
          </w:p>
        </w:tc>
        <w:tc>
          <w:tcPr>
            <w:tcW w:w="1133" w:type="dxa"/>
            <w:vMerge/>
          </w:tcPr>
          <w:p>
            <w:pP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8" w:lineRule="exact"/>
              <w:ind w:right="58"/>
              <w:rPr>
                <w:sz w:val="15"/>
              </w:rPr>
            </w:pPr>
            <w:r>
              <w:rPr>
                <w:color w:val="231F20"/>
                <w:w w:val="95"/>
                <w:sz w:val="15"/>
              </w:rPr>
              <w:t>do en contra de</w:t>
            </w:r>
          </w:p>
        </w:tc>
        <w:tc>
          <w:tcPr>
            <w:tcW w:w="1037" w:type="dxa"/>
            <w:tcBorders>
              <w:top w:val="nil"/>
              <w:bottom w:val="nil"/>
            </w:tcBorders>
          </w:tcPr>
          <w:p>
            <w:pPr>
              <w:pStyle w:val="TableParagraph"/>
              <w:spacing w:line="158" w:lineRule="exact"/>
              <w:ind w:right="147"/>
              <w:rPr>
                <w:sz w:val="15"/>
              </w:rPr>
            </w:pPr>
            <w:r>
              <w:rPr>
                <w:color w:val="231F20"/>
                <w:w w:val="95"/>
                <w:sz w:val="15"/>
              </w:rPr>
              <w:t>denigrantes,</w:t>
            </w:r>
          </w:p>
        </w:tc>
        <w:tc>
          <w:tcPr>
            <w:tcW w:w="1080" w:type="dxa"/>
            <w:tcBorders>
              <w:top w:val="nil"/>
              <w:bottom w:val="nil"/>
            </w:tcBorders>
          </w:tcPr>
          <w:p>
            <w:pPr>
              <w:pStyle w:val="TableParagraph"/>
              <w:spacing w:line="158" w:lineRule="exact"/>
              <w:ind w:right="376"/>
              <w:rPr>
                <w:sz w:val="15"/>
              </w:rPr>
            </w:pPr>
            <w:r>
              <w:rPr>
                <w:color w:val="231F20"/>
                <w:w w:val="85"/>
                <w:sz w:val="15"/>
              </w:rPr>
              <w:t>ciones la</w:t>
            </w:r>
          </w:p>
        </w:tc>
        <w:tc>
          <w:tcPr>
            <w:tcW w:w="1210" w:type="dxa"/>
            <w:tcBorders>
              <w:top w:val="nil"/>
              <w:bottom w:val="nil"/>
            </w:tcBorders>
          </w:tcPr>
          <w:p>
            <w:pPr>
              <w:pStyle w:val="TableParagraph"/>
              <w:spacing w:line="158" w:lineRule="exact"/>
              <w:ind w:right="79"/>
              <w:rPr>
                <w:sz w:val="15"/>
              </w:rPr>
            </w:pPr>
            <w:r>
              <w:rPr>
                <w:color w:val="231F20"/>
                <w:w w:val="85"/>
                <w:sz w:val="15"/>
              </w:rPr>
              <w:t>decreciendo (no</w:t>
            </w: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su integridad</w:t>
            </w:r>
          </w:p>
        </w:tc>
        <w:tc>
          <w:tcPr>
            <w:tcW w:w="1037" w:type="dxa"/>
            <w:tcBorders>
              <w:top w:val="nil"/>
              <w:bottom w:val="nil"/>
            </w:tcBorders>
          </w:tcPr>
          <w:p>
            <w:pPr>
              <w:pStyle w:val="TableParagraph"/>
              <w:spacing w:line="156" w:lineRule="exact"/>
              <w:ind w:right="147"/>
              <w:rPr>
                <w:sz w:val="15"/>
              </w:rPr>
            </w:pPr>
            <w:r>
              <w:rPr>
                <w:color w:val="231F20"/>
                <w:w w:val="95"/>
                <w:sz w:val="15"/>
              </w:rPr>
              <w:t>palabra</w:t>
            </w:r>
          </w:p>
        </w:tc>
        <w:tc>
          <w:tcPr>
            <w:tcW w:w="1080" w:type="dxa"/>
            <w:tcBorders>
              <w:top w:val="nil"/>
              <w:bottom w:val="nil"/>
            </w:tcBorders>
          </w:tcPr>
          <w:p>
            <w:pPr>
              <w:pStyle w:val="TableParagraph"/>
              <w:spacing w:line="156" w:lineRule="exact"/>
              <w:ind w:right="30"/>
              <w:rPr>
                <w:sz w:val="15"/>
              </w:rPr>
            </w:pPr>
            <w:r>
              <w:rPr>
                <w:color w:val="231F20"/>
                <w:w w:val="85"/>
                <w:sz w:val="15"/>
              </w:rPr>
              <w:t>violencia en</w:t>
            </w:r>
          </w:p>
        </w:tc>
        <w:tc>
          <w:tcPr>
            <w:tcW w:w="1210" w:type="dxa"/>
            <w:tcBorders>
              <w:top w:val="nil"/>
              <w:bottom w:val="nil"/>
            </w:tcBorders>
          </w:tcPr>
          <w:p>
            <w:pPr>
              <w:pStyle w:val="TableParagraph"/>
              <w:spacing w:line="156" w:lineRule="exact"/>
              <w:ind w:right="79"/>
              <w:rPr>
                <w:sz w:val="15"/>
              </w:rPr>
            </w:pPr>
            <w:r>
              <w:rPr>
                <w:color w:val="231F20"/>
                <w:w w:val="85"/>
                <w:sz w:val="15"/>
              </w:rPr>
              <w:t>ha desaparecido),</w:t>
            </w: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física, emocional y</w:t>
            </w:r>
          </w:p>
        </w:tc>
        <w:tc>
          <w:tcPr>
            <w:tcW w:w="1037" w:type="dxa"/>
            <w:tcBorders>
              <w:top w:val="nil"/>
              <w:bottom w:val="nil"/>
            </w:tcBorders>
          </w:tcPr>
          <w:p>
            <w:pPr>
              <w:pStyle w:val="TableParagraph"/>
              <w:spacing w:line="156" w:lineRule="exact"/>
              <w:ind w:right="147"/>
              <w:rPr>
                <w:sz w:val="15"/>
              </w:rPr>
            </w:pPr>
            <w:r>
              <w:rPr>
                <w:color w:val="231F20"/>
                <w:w w:val="95"/>
                <w:sz w:val="15"/>
              </w:rPr>
              <w:t>hirientes.</w:t>
            </w:r>
          </w:p>
        </w:tc>
        <w:tc>
          <w:tcPr>
            <w:tcW w:w="1080" w:type="dxa"/>
            <w:tcBorders>
              <w:top w:val="nil"/>
              <w:bottom w:val="nil"/>
            </w:tcBorders>
          </w:tcPr>
          <w:p>
            <w:pPr>
              <w:pStyle w:val="TableParagraph"/>
              <w:spacing w:line="156" w:lineRule="exact"/>
              <w:ind w:right="30"/>
              <w:rPr>
                <w:sz w:val="15"/>
              </w:rPr>
            </w:pPr>
            <w:r>
              <w:rPr>
                <w:color w:val="231F20"/>
                <w:w w:val="90"/>
                <w:sz w:val="15"/>
              </w:rPr>
              <w:t>contra de las</w:t>
            </w:r>
          </w:p>
        </w:tc>
        <w:tc>
          <w:tcPr>
            <w:tcW w:w="1210" w:type="dxa"/>
            <w:tcBorders>
              <w:top w:val="nil"/>
              <w:bottom w:val="nil"/>
            </w:tcBorders>
          </w:tcPr>
          <w:p>
            <w:pPr>
              <w:pStyle w:val="TableParagraph"/>
              <w:spacing w:line="156" w:lineRule="exact"/>
              <w:ind w:right="79"/>
              <w:rPr>
                <w:sz w:val="15"/>
              </w:rPr>
            </w:pPr>
            <w:r>
              <w:rPr>
                <w:color w:val="231F20"/>
                <w:w w:val="90"/>
                <w:sz w:val="15"/>
              </w:rPr>
              <w:t>pero la emocional</w:t>
            </w:r>
          </w:p>
        </w:tc>
        <w:tc>
          <w:tcPr>
            <w:tcW w:w="1133" w:type="dxa"/>
            <w:vMerge/>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5"/>
                <w:sz w:val="15"/>
              </w:rPr>
              <w:t>psicológica.</w:t>
            </w:r>
          </w:p>
        </w:tc>
        <w:tc>
          <w:tcPr>
            <w:tcW w:w="1037" w:type="dxa"/>
            <w:tcBorders>
              <w:top w:val="nil"/>
              <w:bottom w:val="nil"/>
            </w:tcBorders>
          </w:tcPr>
          <w:p>
            <w:pPr/>
          </w:p>
        </w:tc>
        <w:tc>
          <w:tcPr>
            <w:tcW w:w="1080" w:type="dxa"/>
            <w:tcBorders>
              <w:top w:val="nil"/>
              <w:bottom w:val="nil"/>
            </w:tcBorders>
          </w:tcPr>
          <w:p>
            <w:pPr>
              <w:pStyle w:val="TableParagraph"/>
              <w:spacing w:line="156" w:lineRule="exact"/>
              <w:ind w:right="376"/>
              <w:rPr>
                <w:sz w:val="15"/>
              </w:rPr>
            </w:pPr>
            <w:r>
              <w:rPr>
                <w:color w:val="231F20"/>
                <w:w w:val="95"/>
                <w:sz w:val="15"/>
              </w:rPr>
              <w:t>mujeres.</w:t>
            </w:r>
          </w:p>
        </w:tc>
        <w:tc>
          <w:tcPr>
            <w:tcW w:w="1210" w:type="dxa"/>
            <w:tcBorders>
              <w:top w:val="nil"/>
              <w:bottom w:val="nil"/>
            </w:tcBorders>
          </w:tcPr>
          <w:p>
            <w:pPr>
              <w:pStyle w:val="TableParagraph"/>
              <w:spacing w:line="156" w:lineRule="exact"/>
              <w:ind w:right="79"/>
              <w:rPr>
                <w:sz w:val="15"/>
              </w:rPr>
            </w:pPr>
            <w:r>
              <w:rPr>
                <w:color w:val="231F20"/>
                <w:w w:val="85"/>
                <w:sz w:val="15"/>
              </w:rPr>
              <w:t>y psicológica va en</w:t>
            </w:r>
          </w:p>
        </w:tc>
        <w:tc>
          <w:tcPr>
            <w:tcW w:w="1133" w:type="dxa"/>
            <w:vMerge/>
          </w:tcPr>
          <w:p>
            <w:pPr/>
          </w:p>
        </w:tc>
      </w:tr>
      <w:tr>
        <w:trPr>
          <w:trHeight w:val="190" w:hRule="exact"/>
        </w:trPr>
        <w:tc>
          <w:tcPr>
            <w:tcW w:w="778" w:type="dxa"/>
            <w:tcBorders>
              <w:top w:val="nil"/>
              <w:bottom w:val="nil"/>
            </w:tcBorders>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5"/>
                <w:sz w:val="15"/>
              </w:rPr>
              <w:t>aumento.</w:t>
            </w:r>
          </w:p>
        </w:tc>
        <w:tc>
          <w:tcPr>
            <w:tcW w:w="1133" w:type="dxa"/>
            <w:vMerge/>
          </w:tcPr>
          <w:p>
            <w:pPr/>
          </w:p>
        </w:tc>
      </w:tr>
      <w:tr>
        <w:trPr>
          <w:trHeight w:val="188" w:hRule="exact"/>
        </w:trPr>
        <w:tc>
          <w:tcPr>
            <w:tcW w:w="778" w:type="dxa"/>
            <w:tcBorders>
              <w:top w:val="nil"/>
            </w:tcBorders>
          </w:tcPr>
          <w:p>
            <w:pPr/>
          </w:p>
        </w:tc>
        <w:tc>
          <w:tcPr>
            <w:tcW w:w="1176" w:type="dxa"/>
            <w:tcBorders>
              <w:top w:val="nil"/>
            </w:tcBorders>
          </w:tcPr>
          <w:p>
            <w:pPr/>
          </w:p>
        </w:tc>
        <w:tc>
          <w:tcPr>
            <w:tcW w:w="1037" w:type="dxa"/>
            <w:tcBorders>
              <w:top w:val="nil"/>
            </w:tcBorders>
          </w:tcPr>
          <w:p>
            <w:pPr/>
          </w:p>
        </w:tc>
        <w:tc>
          <w:tcPr>
            <w:tcW w:w="1080" w:type="dxa"/>
            <w:tcBorders>
              <w:top w:val="nil"/>
            </w:tcBorders>
          </w:tcPr>
          <w:p>
            <w:pPr/>
          </w:p>
        </w:tc>
        <w:tc>
          <w:tcPr>
            <w:tcW w:w="1210" w:type="dxa"/>
            <w:tcBorders>
              <w:top w:val="nil"/>
            </w:tcBorders>
          </w:tcPr>
          <w:p>
            <w:pPr>
              <w:pStyle w:val="TableParagraph"/>
              <w:spacing w:before="5"/>
              <w:ind w:right="79"/>
              <w:rPr>
                <w:sz w:val="15"/>
              </w:rPr>
            </w:pPr>
            <w:r>
              <w:rPr>
                <w:color w:val="231F20"/>
                <w:w w:val="85"/>
                <w:sz w:val="15"/>
              </w:rPr>
              <w:t>La violencia es el</w:t>
            </w:r>
          </w:p>
        </w:tc>
        <w:tc>
          <w:tcPr>
            <w:tcW w:w="1133" w:type="dxa"/>
            <w:vMerge/>
          </w:tcPr>
          <w:p>
            <w:pPr/>
          </w:p>
        </w:tc>
      </w:tr>
    </w:tbl>
    <w:p>
      <w:pPr>
        <w:spacing w:after="0"/>
        <w:sectPr>
          <w:headerReference w:type="default" r:id="rId613"/>
          <w:footerReference w:type="default" r:id="rId614"/>
          <w:pgSz w:w="7830" w:h="11910"/>
          <w:pgMar w:header="0" w:footer="424" w:top="500" w:bottom="620" w:left="800" w:right="380"/>
          <w:pgNumType w:start="272"/>
        </w:sectPr>
      </w:pPr>
    </w:p>
    <w:p>
      <w:pPr>
        <w:spacing w:before="46"/>
        <w:ind w:left="1583" w:right="0" w:firstLine="0"/>
        <w:jc w:val="left"/>
        <w:rPr>
          <w:sz w:val="13"/>
        </w:rPr>
      </w:pPr>
      <w:r>
        <w:rPr>
          <w:color w:val="231F20"/>
          <w:sz w:val="16"/>
        </w:rPr>
        <w:t>E</w:t>
      </w:r>
      <w:r>
        <w:rPr>
          <w:color w:val="231F20"/>
          <w:sz w:val="13"/>
        </w:rPr>
        <w:t>STUDIOS SOBRE VIOLENCIA EN LA EDUCACIÓN</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389" w:hRule="exact"/>
        </w:trPr>
        <w:tc>
          <w:tcPr>
            <w:tcW w:w="778" w:type="dxa"/>
          </w:tcPr>
          <w:p>
            <w:pPr/>
          </w:p>
        </w:tc>
        <w:tc>
          <w:tcPr>
            <w:tcW w:w="1176" w:type="dxa"/>
          </w:tcPr>
          <w:p>
            <w:pPr/>
          </w:p>
        </w:tc>
        <w:tc>
          <w:tcPr>
            <w:tcW w:w="1037" w:type="dxa"/>
          </w:tcPr>
          <w:p>
            <w:pPr/>
          </w:p>
        </w:tc>
        <w:tc>
          <w:tcPr>
            <w:tcW w:w="1080" w:type="dxa"/>
          </w:tcPr>
          <w:p>
            <w:pPr/>
          </w:p>
        </w:tc>
        <w:tc>
          <w:tcPr>
            <w:tcW w:w="1210" w:type="dxa"/>
          </w:tcPr>
          <w:p>
            <w:pPr>
              <w:pStyle w:val="TableParagraph"/>
              <w:spacing w:line="232" w:lineRule="auto"/>
              <w:ind w:right="79"/>
              <w:rPr>
                <w:sz w:val="15"/>
              </w:rPr>
            </w:pPr>
            <w:r>
              <w:rPr>
                <w:color w:val="231F20"/>
                <w:w w:val="95"/>
                <w:sz w:val="15"/>
              </w:rPr>
              <w:t>cáncer de la </w:t>
            </w:r>
            <w:r>
              <w:rPr>
                <w:color w:val="231F20"/>
                <w:w w:val="85"/>
                <w:sz w:val="15"/>
              </w:rPr>
              <w:t>sociedad moderna.</w:t>
            </w:r>
          </w:p>
        </w:tc>
        <w:tc>
          <w:tcPr>
            <w:tcW w:w="1133" w:type="dxa"/>
          </w:tcPr>
          <w:p>
            <w:pPr/>
          </w:p>
        </w:tc>
      </w:tr>
      <w:tr>
        <w:trPr>
          <w:trHeight w:val="3336" w:hRule="exact"/>
        </w:trPr>
        <w:tc>
          <w:tcPr>
            <w:tcW w:w="778" w:type="dxa"/>
          </w:tcPr>
          <w:p>
            <w:pPr>
              <w:pStyle w:val="TableParagraph"/>
              <w:spacing w:before="28"/>
              <w:ind w:left="105"/>
              <w:rPr>
                <w:sz w:val="15"/>
              </w:rPr>
            </w:pPr>
            <w:r>
              <w:rPr>
                <w:color w:val="231F20"/>
                <w:w w:val="90"/>
                <w:sz w:val="15"/>
              </w:rPr>
              <w:t>15. Omar</w:t>
            </w:r>
          </w:p>
        </w:tc>
        <w:tc>
          <w:tcPr>
            <w:tcW w:w="1176" w:type="dxa"/>
          </w:tcPr>
          <w:p>
            <w:pPr>
              <w:pStyle w:val="TableParagraph"/>
              <w:spacing w:line="235" w:lineRule="auto" w:before="30"/>
              <w:ind w:right="82"/>
              <w:rPr>
                <w:sz w:val="15"/>
              </w:rPr>
            </w:pPr>
            <w:r>
              <w:rPr>
                <w:color w:val="231F20"/>
                <w:w w:val="95"/>
                <w:sz w:val="15"/>
              </w:rPr>
              <w:t>Es la forma de </w:t>
            </w:r>
            <w:r>
              <w:rPr>
                <w:color w:val="231F20"/>
                <w:w w:val="90"/>
                <w:sz w:val="15"/>
              </w:rPr>
              <w:t>agredir con el fin </w:t>
            </w:r>
            <w:r>
              <w:rPr>
                <w:color w:val="231F20"/>
                <w:w w:val="95"/>
                <w:sz w:val="15"/>
              </w:rPr>
              <w:t>de perjudicar a una persona, ya sea de forma </w:t>
            </w:r>
            <w:r>
              <w:rPr>
                <w:color w:val="231F20"/>
                <w:w w:val="85"/>
                <w:sz w:val="15"/>
              </w:rPr>
              <w:t>física o psicológi- </w:t>
            </w:r>
            <w:r>
              <w:rPr>
                <w:color w:val="231F20"/>
                <w:w w:val="95"/>
                <w:sz w:val="15"/>
              </w:rPr>
              <w:t>ca.</w:t>
            </w:r>
          </w:p>
        </w:tc>
        <w:tc>
          <w:tcPr>
            <w:tcW w:w="1037" w:type="dxa"/>
          </w:tcPr>
          <w:p>
            <w:pPr>
              <w:pStyle w:val="TableParagraph"/>
              <w:spacing w:line="235" w:lineRule="auto" w:before="30"/>
              <w:ind w:right="116"/>
              <w:rPr>
                <w:sz w:val="15"/>
              </w:rPr>
            </w:pPr>
            <w:r>
              <w:rPr>
                <w:color w:val="231F20"/>
                <w:w w:val="95"/>
                <w:sz w:val="15"/>
              </w:rPr>
              <w:t>Violencia del </w:t>
            </w:r>
            <w:r>
              <w:rPr>
                <w:color w:val="231F20"/>
                <w:w w:val="85"/>
                <w:sz w:val="15"/>
              </w:rPr>
              <w:t>narcotráfico: es </w:t>
            </w:r>
            <w:r>
              <w:rPr>
                <w:color w:val="231F20"/>
                <w:w w:val="90"/>
                <w:sz w:val="15"/>
              </w:rPr>
              <w:t>radical, lleva a </w:t>
            </w:r>
            <w:r>
              <w:rPr>
                <w:color w:val="231F20"/>
                <w:w w:val="85"/>
                <w:sz w:val="15"/>
              </w:rPr>
              <w:t>la muerte,</w:t>
            </w:r>
          </w:p>
          <w:p>
            <w:pPr>
              <w:pStyle w:val="TableParagraph"/>
              <w:spacing w:line="235" w:lineRule="auto" w:before="37"/>
              <w:ind w:right="68"/>
              <w:rPr>
                <w:sz w:val="15"/>
              </w:rPr>
            </w:pPr>
            <w:r>
              <w:rPr>
                <w:color w:val="231F20"/>
                <w:w w:val="95"/>
                <w:sz w:val="15"/>
              </w:rPr>
              <w:t>Violencia intrafamiliar: ejercida por el </w:t>
            </w:r>
            <w:r>
              <w:rPr>
                <w:color w:val="231F20"/>
                <w:w w:val="90"/>
                <w:sz w:val="15"/>
              </w:rPr>
              <w:t>“hombre” de la </w:t>
            </w:r>
            <w:r>
              <w:rPr>
                <w:color w:val="231F20"/>
                <w:w w:val="95"/>
                <w:sz w:val="15"/>
              </w:rPr>
              <w:t>casa, quien se considera proveedor y </w:t>
            </w:r>
            <w:r>
              <w:rPr>
                <w:color w:val="231F20"/>
                <w:w w:val="90"/>
                <w:sz w:val="15"/>
              </w:rPr>
              <w:t>con derecho de </w:t>
            </w:r>
            <w:r>
              <w:rPr>
                <w:color w:val="231F20"/>
                <w:w w:val="95"/>
                <w:sz w:val="15"/>
              </w:rPr>
              <w:t>hacer lo que le plazca.</w:t>
            </w:r>
          </w:p>
        </w:tc>
        <w:tc>
          <w:tcPr>
            <w:tcW w:w="1080" w:type="dxa"/>
          </w:tcPr>
          <w:p>
            <w:pPr>
              <w:pStyle w:val="TableParagraph"/>
              <w:spacing w:line="237" w:lineRule="auto" w:before="29"/>
              <w:ind w:right="86"/>
              <w:rPr>
                <w:sz w:val="15"/>
              </w:rPr>
            </w:pPr>
            <w:r>
              <w:rPr>
                <w:color w:val="231F20"/>
                <w:w w:val="85"/>
                <w:sz w:val="15"/>
              </w:rPr>
              <w:t>La violencia: sus </w:t>
            </w:r>
            <w:r>
              <w:rPr>
                <w:color w:val="231F20"/>
                <w:w w:val="95"/>
                <w:sz w:val="15"/>
              </w:rPr>
              <w:t>tipos y sus </w:t>
            </w:r>
            <w:r>
              <w:rPr>
                <w:color w:val="231F20"/>
                <w:w w:val="85"/>
                <w:sz w:val="15"/>
              </w:rPr>
              <w:t>manifestaciones.</w:t>
            </w:r>
          </w:p>
        </w:tc>
        <w:tc>
          <w:tcPr>
            <w:tcW w:w="1210" w:type="dxa"/>
          </w:tcPr>
          <w:p>
            <w:pPr>
              <w:pStyle w:val="TableParagraph"/>
              <w:spacing w:line="235" w:lineRule="auto" w:before="30"/>
              <w:ind w:right="30"/>
              <w:rPr>
                <w:sz w:val="15"/>
              </w:rPr>
            </w:pPr>
            <w:r>
              <w:rPr>
                <w:color w:val="231F20"/>
                <w:w w:val="95"/>
                <w:sz w:val="15"/>
              </w:rPr>
              <w:t>La violencia ejercida por los </w:t>
            </w:r>
            <w:r>
              <w:rPr>
                <w:color w:val="231F20"/>
                <w:w w:val="90"/>
                <w:sz w:val="15"/>
              </w:rPr>
              <w:t>grupos criminales del narcotráfico es </w:t>
            </w:r>
            <w:r>
              <w:rPr>
                <w:color w:val="231F20"/>
                <w:w w:val="95"/>
                <w:sz w:val="15"/>
              </w:rPr>
              <w:t>la más radical, ya que lleva sin </w:t>
            </w:r>
            <w:r>
              <w:rPr>
                <w:color w:val="231F20"/>
                <w:w w:val="90"/>
                <w:sz w:val="15"/>
              </w:rPr>
              <w:t>escalas a la muerte.</w:t>
            </w:r>
          </w:p>
          <w:p>
            <w:pPr>
              <w:pStyle w:val="TableParagraph"/>
              <w:spacing w:line="235" w:lineRule="auto" w:before="42"/>
              <w:ind w:right="64"/>
              <w:rPr>
                <w:sz w:val="15"/>
              </w:rPr>
            </w:pPr>
            <w:r>
              <w:rPr>
                <w:color w:val="231F20"/>
                <w:w w:val="95"/>
                <w:sz w:val="15"/>
              </w:rPr>
              <w:t>El tema de la violencia es de </w:t>
            </w:r>
            <w:r>
              <w:rPr>
                <w:color w:val="231F20"/>
                <w:w w:val="85"/>
                <w:sz w:val="15"/>
              </w:rPr>
              <w:t>suma importancia, </w:t>
            </w:r>
            <w:r>
              <w:rPr>
                <w:color w:val="231F20"/>
                <w:w w:val="90"/>
                <w:sz w:val="15"/>
              </w:rPr>
              <w:t>pero la sociedad lo </w:t>
            </w:r>
            <w:r>
              <w:rPr>
                <w:color w:val="231F20"/>
                <w:w w:val="85"/>
                <w:sz w:val="15"/>
              </w:rPr>
              <w:t>deja pasar, prefiere </w:t>
            </w:r>
            <w:r>
              <w:rPr>
                <w:color w:val="231F20"/>
                <w:w w:val="95"/>
                <w:sz w:val="15"/>
              </w:rPr>
              <w:t>no intervenir. Si no paramos de tajo la violencia, sufriremos las </w:t>
            </w:r>
            <w:r>
              <w:rPr>
                <w:color w:val="231F20"/>
                <w:w w:val="90"/>
                <w:sz w:val="15"/>
              </w:rPr>
              <w:t>consecuencias en </w:t>
            </w:r>
            <w:r>
              <w:rPr>
                <w:color w:val="231F20"/>
                <w:w w:val="95"/>
                <w:sz w:val="15"/>
              </w:rPr>
              <w:t>un futuro no muy lejano.</w:t>
            </w:r>
          </w:p>
        </w:tc>
        <w:tc>
          <w:tcPr>
            <w:tcW w:w="1133" w:type="dxa"/>
          </w:tcPr>
          <w:p>
            <w:pPr>
              <w:pStyle w:val="TableParagraph"/>
              <w:spacing w:line="235" w:lineRule="auto" w:before="30"/>
              <w:ind w:right="142"/>
              <w:rPr>
                <w:sz w:val="15"/>
              </w:rPr>
            </w:pPr>
            <w:r>
              <w:rPr>
                <w:color w:val="231F20"/>
                <w:w w:val="95"/>
                <w:sz w:val="15"/>
              </w:rPr>
              <w:t>Hagamos conciencia yno nos dejemos impresionar; también somos </w:t>
            </w:r>
            <w:r>
              <w:rPr>
                <w:color w:val="231F20"/>
                <w:w w:val="85"/>
                <w:sz w:val="15"/>
              </w:rPr>
              <w:t>muchos [quienes </w:t>
            </w:r>
            <w:r>
              <w:rPr>
                <w:color w:val="231F20"/>
                <w:w w:val="95"/>
                <w:sz w:val="15"/>
              </w:rPr>
              <w:t>estamos en contra de la violencia].</w:t>
            </w:r>
          </w:p>
        </w:tc>
      </w:tr>
      <w:tr>
        <w:trPr>
          <w:trHeight w:val="4685" w:hRule="exact"/>
        </w:trPr>
        <w:tc>
          <w:tcPr>
            <w:tcW w:w="778" w:type="dxa"/>
          </w:tcPr>
          <w:p>
            <w:pPr>
              <w:pStyle w:val="TableParagraph"/>
              <w:spacing w:before="28"/>
              <w:ind w:left="105"/>
              <w:rPr>
                <w:sz w:val="15"/>
              </w:rPr>
            </w:pPr>
            <w:r>
              <w:rPr>
                <w:color w:val="231F20"/>
                <w:w w:val="90"/>
                <w:sz w:val="15"/>
              </w:rPr>
              <w:t>16.</w:t>
            </w:r>
          </w:p>
          <w:p>
            <w:pPr>
              <w:pStyle w:val="TableParagraph"/>
              <w:spacing w:before="38"/>
              <w:ind w:left="105"/>
              <w:rPr>
                <w:sz w:val="15"/>
              </w:rPr>
            </w:pPr>
            <w:r>
              <w:rPr>
                <w:color w:val="231F20"/>
                <w:w w:val="95"/>
                <w:sz w:val="15"/>
              </w:rPr>
              <w:t>Óscar</w:t>
            </w:r>
          </w:p>
        </w:tc>
        <w:tc>
          <w:tcPr>
            <w:tcW w:w="1176" w:type="dxa"/>
          </w:tcPr>
          <w:p>
            <w:pPr>
              <w:pStyle w:val="TableParagraph"/>
              <w:spacing w:line="235" w:lineRule="auto" w:before="30"/>
              <w:ind w:right="60"/>
              <w:rPr>
                <w:sz w:val="15"/>
              </w:rPr>
            </w:pPr>
            <w:r>
              <w:rPr>
                <w:color w:val="231F20"/>
                <w:w w:val="90"/>
                <w:sz w:val="15"/>
              </w:rPr>
              <w:t>La violencia es un </w:t>
            </w:r>
            <w:r>
              <w:rPr>
                <w:color w:val="231F20"/>
                <w:w w:val="95"/>
                <w:sz w:val="15"/>
              </w:rPr>
              <w:t>tipo de agresión </w:t>
            </w:r>
            <w:r>
              <w:rPr>
                <w:color w:val="231F20"/>
                <w:w w:val="90"/>
                <w:sz w:val="15"/>
              </w:rPr>
              <w:t>que puede ocurrir </w:t>
            </w:r>
            <w:r>
              <w:rPr>
                <w:color w:val="231F20"/>
                <w:w w:val="95"/>
                <w:sz w:val="15"/>
              </w:rPr>
              <w:t>de distintas maneras, puede ser física, moral, </w:t>
            </w:r>
            <w:r>
              <w:rPr>
                <w:color w:val="231F20"/>
                <w:w w:val="85"/>
                <w:sz w:val="15"/>
              </w:rPr>
              <w:t>verbal, psicológi- </w:t>
            </w:r>
            <w:r>
              <w:rPr>
                <w:color w:val="231F20"/>
                <w:w w:val="95"/>
                <w:sz w:val="15"/>
              </w:rPr>
              <w:t>ca; puede tener </w:t>
            </w:r>
            <w:r>
              <w:rPr>
                <w:color w:val="231F20"/>
                <w:w w:val="90"/>
                <w:sz w:val="15"/>
              </w:rPr>
              <w:t>diversos grados y </w:t>
            </w:r>
            <w:r>
              <w:rPr>
                <w:color w:val="231F20"/>
                <w:w w:val="95"/>
                <w:sz w:val="15"/>
              </w:rPr>
              <w:t>diversas causas. </w:t>
            </w:r>
            <w:r>
              <w:rPr>
                <w:color w:val="231F20"/>
                <w:w w:val="90"/>
                <w:sz w:val="15"/>
              </w:rPr>
              <w:t>La violencia daña </w:t>
            </w:r>
            <w:r>
              <w:rPr>
                <w:color w:val="231F20"/>
                <w:w w:val="95"/>
                <w:sz w:val="15"/>
              </w:rPr>
              <w:t>la integridad del ser o de la persona.</w:t>
            </w:r>
          </w:p>
        </w:tc>
        <w:tc>
          <w:tcPr>
            <w:tcW w:w="1037" w:type="dxa"/>
          </w:tcPr>
          <w:p>
            <w:pPr>
              <w:pStyle w:val="TableParagraph"/>
              <w:spacing w:line="235" w:lineRule="auto" w:before="30"/>
              <w:ind w:right="48"/>
              <w:rPr>
                <w:sz w:val="15"/>
              </w:rPr>
            </w:pPr>
            <w:r>
              <w:rPr>
                <w:color w:val="231F20"/>
                <w:w w:val="95"/>
                <w:sz w:val="15"/>
              </w:rPr>
              <w:t>Pienso que no </w:t>
            </w:r>
            <w:r>
              <w:rPr>
                <w:color w:val="231F20"/>
                <w:w w:val="90"/>
                <w:sz w:val="15"/>
              </w:rPr>
              <w:t>existen causas </w:t>
            </w:r>
            <w:r>
              <w:rPr>
                <w:color w:val="231F20"/>
                <w:w w:val="85"/>
                <w:sz w:val="15"/>
              </w:rPr>
              <w:t>universales que </w:t>
            </w:r>
            <w:r>
              <w:rPr>
                <w:color w:val="231F20"/>
                <w:w w:val="95"/>
                <w:sz w:val="15"/>
              </w:rPr>
              <w:t>marquen la pauta para que la violencia se desencadene, porque puede </w:t>
            </w:r>
            <w:r>
              <w:rPr>
                <w:color w:val="231F20"/>
                <w:w w:val="90"/>
                <w:sz w:val="15"/>
              </w:rPr>
              <w:t>ser algo natural </w:t>
            </w:r>
            <w:r>
              <w:rPr>
                <w:color w:val="231F20"/>
                <w:w w:val="95"/>
                <w:sz w:val="15"/>
              </w:rPr>
              <w:t>(ejemplo: manadas de animales que cazan a sus presas).</w:t>
            </w:r>
          </w:p>
          <w:p>
            <w:pPr>
              <w:pStyle w:val="TableParagraph"/>
              <w:spacing w:line="235" w:lineRule="auto" w:before="42"/>
              <w:ind w:right="48"/>
              <w:rPr>
                <w:sz w:val="15"/>
              </w:rPr>
            </w:pPr>
            <w:r>
              <w:rPr>
                <w:color w:val="231F20"/>
                <w:w w:val="95"/>
                <w:sz w:val="15"/>
              </w:rPr>
              <w:t>Las personas también generan violencia, </w:t>
            </w:r>
            <w:r>
              <w:rPr>
                <w:color w:val="231F20"/>
                <w:w w:val="90"/>
                <w:sz w:val="15"/>
              </w:rPr>
              <w:t>generalmente provocada por </w:t>
            </w:r>
            <w:r>
              <w:rPr>
                <w:color w:val="231F20"/>
                <w:w w:val="95"/>
                <w:sz w:val="15"/>
              </w:rPr>
              <w:t>motivos o caprichos, y </w:t>
            </w:r>
            <w:r>
              <w:rPr>
                <w:color w:val="231F20"/>
                <w:w w:val="90"/>
                <w:sz w:val="15"/>
              </w:rPr>
              <w:t>esto no debería </w:t>
            </w:r>
            <w:r>
              <w:rPr>
                <w:color w:val="231F20"/>
                <w:w w:val="95"/>
                <w:sz w:val="15"/>
              </w:rPr>
              <w:t>de ser así, porque el ser humano es “racional”</w:t>
            </w:r>
          </w:p>
        </w:tc>
        <w:tc>
          <w:tcPr>
            <w:tcW w:w="1080" w:type="dxa"/>
          </w:tcPr>
          <w:p>
            <w:pPr>
              <w:pStyle w:val="TableParagraph"/>
              <w:spacing w:line="235" w:lineRule="auto" w:before="30"/>
              <w:ind w:right="63"/>
              <w:rPr>
                <w:sz w:val="15"/>
              </w:rPr>
            </w:pPr>
            <w:r>
              <w:rPr>
                <w:color w:val="231F20"/>
                <w:w w:val="95"/>
                <w:sz w:val="15"/>
              </w:rPr>
              <w:t>Qué es la </w:t>
            </w:r>
            <w:r>
              <w:rPr>
                <w:color w:val="231F20"/>
                <w:w w:val="85"/>
                <w:sz w:val="15"/>
              </w:rPr>
              <w:t>violencia, sus </w:t>
            </w:r>
            <w:r>
              <w:rPr>
                <w:color w:val="231F20"/>
                <w:w w:val="95"/>
                <w:sz w:val="15"/>
              </w:rPr>
              <w:t>tipos, sus causas.</w:t>
            </w:r>
          </w:p>
        </w:tc>
        <w:tc>
          <w:tcPr>
            <w:tcW w:w="1210" w:type="dxa"/>
          </w:tcPr>
          <w:p>
            <w:pPr/>
          </w:p>
        </w:tc>
        <w:tc>
          <w:tcPr>
            <w:tcW w:w="1133" w:type="dxa"/>
          </w:tcPr>
          <w:p>
            <w:pPr>
              <w:pStyle w:val="TableParagraph"/>
              <w:spacing w:line="235" w:lineRule="auto" w:before="30"/>
              <w:ind w:right="13"/>
              <w:rPr>
                <w:sz w:val="15"/>
              </w:rPr>
            </w:pPr>
            <w:r>
              <w:rPr>
                <w:color w:val="231F20"/>
                <w:w w:val="95"/>
                <w:sz w:val="15"/>
              </w:rPr>
              <w:t>No sé si se pueda erradicar la </w:t>
            </w:r>
            <w:r>
              <w:rPr>
                <w:color w:val="231F20"/>
                <w:w w:val="90"/>
                <w:sz w:val="15"/>
              </w:rPr>
              <w:t>violencia porque esta se desarrolla </w:t>
            </w:r>
            <w:r>
              <w:rPr>
                <w:color w:val="231F20"/>
                <w:w w:val="95"/>
                <w:sz w:val="15"/>
              </w:rPr>
              <w:t>con el ciclo </w:t>
            </w:r>
            <w:r>
              <w:rPr>
                <w:color w:val="231F20"/>
                <w:w w:val="90"/>
                <w:sz w:val="15"/>
              </w:rPr>
              <w:t>natural de la vida, </w:t>
            </w:r>
            <w:r>
              <w:rPr>
                <w:color w:val="231F20"/>
                <w:w w:val="95"/>
                <w:sz w:val="15"/>
              </w:rPr>
              <w:t>pero sí creo que se pueden eliminar ciertos tipos de violen- cia.</w:t>
            </w:r>
          </w:p>
        </w:tc>
      </w:tr>
      <w:tr>
        <w:trPr>
          <w:trHeight w:val="1402" w:hRule="exact"/>
        </w:trPr>
        <w:tc>
          <w:tcPr>
            <w:tcW w:w="778" w:type="dxa"/>
          </w:tcPr>
          <w:p>
            <w:pPr>
              <w:pStyle w:val="TableParagraph"/>
              <w:spacing w:before="28"/>
              <w:ind w:left="105"/>
              <w:rPr>
                <w:sz w:val="15"/>
              </w:rPr>
            </w:pPr>
            <w:r>
              <w:rPr>
                <w:color w:val="231F20"/>
                <w:w w:val="90"/>
                <w:sz w:val="15"/>
              </w:rPr>
              <w:t>17.</w:t>
            </w:r>
          </w:p>
          <w:p>
            <w:pPr>
              <w:pStyle w:val="TableParagraph"/>
              <w:spacing w:before="38"/>
              <w:ind w:left="105"/>
              <w:rPr>
                <w:sz w:val="15"/>
              </w:rPr>
            </w:pPr>
            <w:r>
              <w:rPr>
                <w:color w:val="231F20"/>
                <w:w w:val="95"/>
                <w:sz w:val="15"/>
              </w:rPr>
              <w:t>Sandra</w:t>
            </w:r>
          </w:p>
        </w:tc>
        <w:tc>
          <w:tcPr>
            <w:tcW w:w="1176" w:type="dxa"/>
          </w:tcPr>
          <w:p>
            <w:pPr>
              <w:pStyle w:val="TableParagraph"/>
              <w:spacing w:line="235" w:lineRule="auto" w:before="30"/>
              <w:ind w:right="60"/>
              <w:rPr>
                <w:sz w:val="15"/>
              </w:rPr>
            </w:pPr>
            <w:r>
              <w:rPr>
                <w:color w:val="231F20"/>
                <w:w w:val="90"/>
                <w:sz w:val="15"/>
              </w:rPr>
              <w:t>La violencia es un comportamiento </w:t>
            </w:r>
            <w:r>
              <w:rPr>
                <w:color w:val="231F20"/>
                <w:w w:val="95"/>
                <w:sz w:val="15"/>
              </w:rPr>
              <w:t>deliberado, que provoca, o puede provocar, daños físicos o psicoló- gicos a otros </w:t>
            </w:r>
            <w:r>
              <w:rPr>
                <w:color w:val="231F20"/>
                <w:w w:val="90"/>
                <w:sz w:val="15"/>
              </w:rPr>
              <w:t>seres, y se asocia,</w:t>
            </w:r>
          </w:p>
        </w:tc>
        <w:tc>
          <w:tcPr>
            <w:tcW w:w="1037" w:type="dxa"/>
          </w:tcPr>
          <w:p>
            <w:pPr>
              <w:pStyle w:val="TableParagraph"/>
              <w:spacing w:line="235" w:lineRule="auto" w:before="30"/>
              <w:ind w:right="97"/>
              <w:rPr>
                <w:sz w:val="15"/>
              </w:rPr>
            </w:pPr>
            <w:r>
              <w:rPr>
                <w:color w:val="231F20"/>
                <w:w w:val="85"/>
                <w:sz w:val="15"/>
              </w:rPr>
              <w:t>La violencia se </w:t>
            </w:r>
            <w:r>
              <w:rPr>
                <w:color w:val="231F20"/>
                <w:w w:val="90"/>
                <w:sz w:val="15"/>
              </w:rPr>
              <w:t>genera a causa del prejuicio y </w:t>
            </w:r>
            <w:r>
              <w:rPr>
                <w:color w:val="231F20"/>
                <w:w w:val="85"/>
                <w:sz w:val="15"/>
              </w:rPr>
              <w:t>la intolerancia, </w:t>
            </w:r>
            <w:r>
              <w:rPr>
                <w:color w:val="231F20"/>
                <w:w w:val="95"/>
                <w:sz w:val="15"/>
              </w:rPr>
              <w:t>cuando no </w:t>
            </w:r>
            <w:r>
              <w:rPr>
                <w:color w:val="231F20"/>
                <w:w w:val="85"/>
                <w:sz w:val="15"/>
              </w:rPr>
              <w:t>somos capaces </w:t>
            </w:r>
            <w:r>
              <w:rPr>
                <w:color w:val="231F20"/>
                <w:w w:val="95"/>
                <w:sz w:val="15"/>
              </w:rPr>
              <w:t>de reconocer </w:t>
            </w:r>
            <w:r>
              <w:rPr>
                <w:color w:val="231F20"/>
                <w:w w:val="90"/>
                <w:sz w:val="15"/>
              </w:rPr>
              <w:t>que sí somos</w:t>
            </w:r>
          </w:p>
        </w:tc>
        <w:tc>
          <w:tcPr>
            <w:tcW w:w="1080" w:type="dxa"/>
          </w:tcPr>
          <w:p>
            <w:pPr>
              <w:pStyle w:val="TableParagraph"/>
              <w:spacing w:line="235" w:lineRule="auto" w:before="30"/>
              <w:ind w:right="71"/>
              <w:rPr>
                <w:sz w:val="15"/>
              </w:rPr>
            </w:pPr>
            <w:r>
              <w:rPr>
                <w:color w:val="231F20"/>
                <w:w w:val="95"/>
                <w:sz w:val="15"/>
              </w:rPr>
              <w:t>Qué es la violencia y cuáles son sus principales </w:t>
            </w:r>
            <w:r>
              <w:rPr>
                <w:color w:val="231F20"/>
                <w:w w:val="85"/>
                <w:sz w:val="15"/>
              </w:rPr>
              <w:t>causas. Crítica a la manipulación </w:t>
            </w:r>
            <w:r>
              <w:rPr>
                <w:color w:val="231F20"/>
                <w:w w:val="95"/>
                <w:sz w:val="15"/>
              </w:rPr>
              <w:t>de los medios, </w:t>
            </w:r>
            <w:r>
              <w:rPr>
                <w:color w:val="231F20"/>
                <w:w w:val="90"/>
                <w:sz w:val="15"/>
              </w:rPr>
              <w:t>que de algún</w:t>
            </w:r>
          </w:p>
        </w:tc>
        <w:tc>
          <w:tcPr>
            <w:tcW w:w="1210" w:type="dxa"/>
          </w:tcPr>
          <w:p>
            <w:pPr>
              <w:pStyle w:val="TableParagraph"/>
              <w:spacing w:line="235" w:lineRule="auto" w:before="30"/>
              <w:ind w:right="100"/>
              <w:rPr>
                <w:sz w:val="15"/>
              </w:rPr>
            </w:pPr>
            <w:r>
              <w:rPr>
                <w:color w:val="231F20"/>
                <w:w w:val="95"/>
                <w:sz w:val="15"/>
              </w:rPr>
              <w:t>1. Se critica el hecho de que los mexicanos se dejen influir por los medios de comunicación </w:t>
            </w:r>
            <w:r>
              <w:rPr>
                <w:color w:val="231F20"/>
                <w:w w:val="85"/>
                <w:sz w:val="15"/>
              </w:rPr>
              <w:t>masiva; se recurre al ejemplo del</w:t>
            </w:r>
          </w:p>
        </w:tc>
        <w:tc>
          <w:tcPr>
            <w:tcW w:w="1133" w:type="dxa"/>
          </w:tcPr>
          <w:p>
            <w:pPr/>
          </w:p>
        </w:tc>
      </w:tr>
    </w:tbl>
    <w:p>
      <w:pPr>
        <w:spacing w:after="0"/>
        <w:sectPr>
          <w:headerReference w:type="default" r:id="rId615"/>
          <w:footerReference w:type="default" r:id="rId616"/>
          <w:pgSz w:w="7830" w:h="11910"/>
          <w:pgMar w:header="0" w:footer="424" w:top="500" w:bottom="620" w:left="800" w:right="380"/>
          <w:pgNumType w:start="273"/>
        </w:sectPr>
      </w:pPr>
    </w:p>
    <w:p>
      <w:pPr>
        <w:spacing w:before="46"/>
        <w:ind w:left="71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179" w:hRule="exact"/>
        </w:trPr>
        <w:tc>
          <w:tcPr>
            <w:tcW w:w="778" w:type="dxa"/>
            <w:vMerge w:val="restart"/>
          </w:tcPr>
          <w:p>
            <w:pPr/>
          </w:p>
        </w:tc>
        <w:tc>
          <w:tcPr>
            <w:tcW w:w="1176" w:type="dxa"/>
            <w:tcBorders>
              <w:bottom w:val="nil"/>
            </w:tcBorders>
          </w:tcPr>
          <w:p>
            <w:pPr>
              <w:pStyle w:val="TableParagraph"/>
              <w:tabs>
                <w:tab w:pos="922" w:val="left" w:leader="none"/>
              </w:tabs>
              <w:spacing w:line="162" w:lineRule="exact"/>
              <w:ind w:right="41"/>
              <w:rPr>
                <w:sz w:val="15"/>
              </w:rPr>
            </w:pPr>
            <w:r>
              <w:rPr>
                <w:color w:val="231F20"/>
                <w:w w:val="95"/>
                <w:sz w:val="15"/>
              </w:rPr>
              <w:t>aunque</w:t>
              <w:tab/>
            </w:r>
            <w:r>
              <w:rPr>
                <w:color w:val="231F20"/>
                <w:sz w:val="15"/>
              </w:rPr>
              <w:t>no</w:t>
            </w:r>
          </w:p>
        </w:tc>
        <w:tc>
          <w:tcPr>
            <w:tcW w:w="1037" w:type="dxa"/>
            <w:tcBorders>
              <w:bottom w:val="nil"/>
            </w:tcBorders>
          </w:tcPr>
          <w:p>
            <w:pPr>
              <w:pStyle w:val="TableParagraph"/>
              <w:spacing w:line="162" w:lineRule="exact"/>
              <w:ind w:right="147"/>
              <w:rPr>
                <w:sz w:val="15"/>
              </w:rPr>
            </w:pPr>
            <w:r>
              <w:rPr>
                <w:color w:val="231F20"/>
                <w:w w:val="85"/>
                <w:sz w:val="15"/>
              </w:rPr>
              <w:t>iguales, pero</w:t>
            </w:r>
          </w:p>
        </w:tc>
        <w:tc>
          <w:tcPr>
            <w:tcW w:w="1080" w:type="dxa"/>
            <w:tcBorders>
              <w:bottom w:val="nil"/>
            </w:tcBorders>
          </w:tcPr>
          <w:p>
            <w:pPr>
              <w:pStyle w:val="TableParagraph"/>
              <w:spacing w:line="162" w:lineRule="exact"/>
              <w:ind w:right="30"/>
              <w:rPr>
                <w:sz w:val="15"/>
              </w:rPr>
            </w:pPr>
            <w:r>
              <w:rPr>
                <w:color w:val="231F20"/>
                <w:w w:val="90"/>
                <w:sz w:val="15"/>
              </w:rPr>
              <w:t>modo, condu-</w:t>
            </w:r>
          </w:p>
        </w:tc>
        <w:tc>
          <w:tcPr>
            <w:tcW w:w="1210" w:type="dxa"/>
            <w:tcBorders>
              <w:bottom w:val="nil"/>
            </w:tcBorders>
          </w:tcPr>
          <w:p>
            <w:pPr>
              <w:pStyle w:val="TableParagraph"/>
              <w:spacing w:line="162" w:lineRule="exact"/>
              <w:ind w:right="79"/>
              <w:rPr>
                <w:sz w:val="15"/>
              </w:rPr>
            </w:pPr>
            <w:r>
              <w:rPr>
                <w:color w:val="231F20"/>
                <w:w w:val="90"/>
                <w:sz w:val="15"/>
              </w:rPr>
              <w:t>futbol para</w:t>
            </w:r>
          </w:p>
        </w:tc>
        <w:tc>
          <w:tcPr>
            <w:tcW w:w="1133" w:type="dxa"/>
            <w:vMerge w:val="restart"/>
          </w:tcPr>
          <w:p>
            <w:pPr/>
          </w:p>
        </w:tc>
      </w:tr>
      <w:tr>
        <w:trPr>
          <w:trHeight w:val="170" w:hRule="exact"/>
        </w:trPr>
        <w:tc>
          <w:tcPr>
            <w:tcW w:w="778" w:type="dxa"/>
            <w:vMerge/>
          </w:tcPr>
          <w:p>
            <w:pPr/>
          </w:p>
        </w:tc>
        <w:tc>
          <w:tcPr>
            <w:tcW w:w="1176" w:type="dxa"/>
            <w:tcBorders>
              <w:top w:val="nil"/>
              <w:bottom w:val="nil"/>
            </w:tcBorders>
          </w:tcPr>
          <w:p>
            <w:pPr>
              <w:pStyle w:val="TableParagraph"/>
              <w:spacing w:line="156" w:lineRule="exact"/>
              <w:ind w:right="58"/>
              <w:rPr>
                <w:sz w:val="15"/>
              </w:rPr>
            </w:pPr>
            <w:r>
              <w:rPr>
                <w:color w:val="231F20"/>
                <w:w w:val="95"/>
                <w:sz w:val="15"/>
              </w:rPr>
              <w:t>necesariamente,</w:t>
            </w:r>
          </w:p>
        </w:tc>
        <w:tc>
          <w:tcPr>
            <w:tcW w:w="1037" w:type="dxa"/>
            <w:tcBorders>
              <w:top w:val="nil"/>
              <w:bottom w:val="nil"/>
            </w:tcBorders>
          </w:tcPr>
          <w:p>
            <w:pPr>
              <w:pStyle w:val="TableParagraph"/>
              <w:spacing w:line="156" w:lineRule="exact"/>
              <w:ind w:right="147"/>
              <w:rPr>
                <w:sz w:val="15"/>
              </w:rPr>
            </w:pPr>
            <w:r>
              <w:rPr>
                <w:color w:val="231F20"/>
                <w:w w:val="90"/>
                <w:sz w:val="15"/>
              </w:rPr>
              <w:t>dentro de esa</w:t>
            </w:r>
          </w:p>
        </w:tc>
        <w:tc>
          <w:tcPr>
            <w:tcW w:w="1080" w:type="dxa"/>
            <w:tcBorders>
              <w:top w:val="nil"/>
              <w:bottom w:val="nil"/>
            </w:tcBorders>
          </w:tcPr>
          <w:p>
            <w:pPr>
              <w:pStyle w:val="TableParagraph"/>
              <w:spacing w:line="156" w:lineRule="exact"/>
              <w:ind w:right="30"/>
              <w:rPr>
                <w:sz w:val="15"/>
              </w:rPr>
            </w:pPr>
            <w:r>
              <w:rPr>
                <w:color w:val="231F20"/>
                <w:w w:val="85"/>
                <w:sz w:val="15"/>
              </w:rPr>
              <w:t>cen la violencia</w:t>
            </w:r>
          </w:p>
        </w:tc>
        <w:tc>
          <w:tcPr>
            <w:tcW w:w="1210" w:type="dxa"/>
            <w:tcBorders>
              <w:top w:val="nil"/>
              <w:bottom w:val="nil"/>
            </w:tcBorders>
          </w:tcPr>
          <w:p>
            <w:pPr>
              <w:pStyle w:val="TableParagraph"/>
              <w:spacing w:line="156" w:lineRule="exact"/>
              <w:ind w:right="79"/>
              <w:rPr>
                <w:sz w:val="15"/>
              </w:rPr>
            </w:pPr>
            <w:r>
              <w:rPr>
                <w:color w:val="231F20"/>
                <w:w w:val="90"/>
                <w:sz w:val="15"/>
              </w:rPr>
              <w:t>mostrar cómo se</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Style w:val="TableParagraph"/>
              <w:spacing w:line="158" w:lineRule="exact"/>
              <w:ind w:right="58"/>
              <w:rPr>
                <w:sz w:val="15"/>
              </w:rPr>
            </w:pPr>
            <w:r>
              <w:rPr>
                <w:color w:val="231F20"/>
                <w:w w:val="95"/>
                <w:sz w:val="15"/>
              </w:rPr>
              <w:t>con  la  agresión</w:t>
            </w:r>
          </w:p>
        </w:tc>
        <w:tc>
          <w:tcPr>
            <w:tcW w:w="1037" w:type="dxa"/>
            <w:tcBorders>
              <w:top w:val="nil"/>
              <w:bottom w:val="nil"/>
            </w:tcBorders>
          </w:tcPr>
          <w:p>
            <w:pPr>
              <w:pStyle w:val="TableParagraph"/>
              <w:spacing w:line="158" w:lineRule="exact"/>
              <w:ind w:right="147"/>
              <w:rPr>
                <w:sz w:val="15"/>
              </w:rPr>
            </w:pPr>
            <w:r>
              <w:rPr>
                <w:color w:val="231F20"/>
                <w:w w:val="90"/>
                <w:sz w:val="15"/>
              </w:rPr>
              <w:t>igualdad</w:t>
            </w:r>
          </w:p>
        </w:tc>
        <w:tc>
          <w:tcPr>
            <w:tcW w:w="1080" w:type="dxa"/>
            <w:tcBorders>
              <w:top w:val="nil"/>
              <w:bottom w:val="nil"/>
            </w:tcBorders>
          </w:tcPr>
          <w:p>
            <w:pPr>
              <w:pStyle w:val="TableParagraph"/>
              <w:spacing w:line="158" w:lineRule="exact"/>
              <w:ind w:right="30"/>
              <w:rPr>
                <w:sz w:val="15"/>
              </w:rPr>
            </w:pPr>
            <w:r>
              <w:rPr>
                <w:color w:val="231F20"/>
                <w:w w:val="90"/>
                <w:sz w:val="15"/>
              </w:rPr>
              <w:t>(ejemplos:</w:t>
            </w:r>
          </w:p>
        </w:tc>
        <w:tc>
          <w:tcPr>
            <w:tcW w:w="1210" w:type="dxa"/>
            <w:tcBorders>
              <w:top w:val="nil"/>
              <w:bottom w:val="nil"/>
            </w:tcBorders>
          </w:tcPr>
          <w:p>
            <w:pPr>
              <w:pStyle w:val="TableParagraph"/>
              <w:spacing w:line="158" w:lineRule="exact"/>
              <w:ind w:right="79"/>
              <w:rPr>
                <w:sz w:val="15"/>
              </w:rPr>
            </w:pPr>
            <w:r>
              <w:rPr>
                <w:color w:val="231F20"/>
                <w:w w:val="90"/>
                <w:sz w:val="15"/>
              </w:rPr>
              <w:t>traslada a un</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Style w:val="TableParagraph"/>
              <w:spacing w:line="156" w:lineRule="exact"/>
              <w:ind w:right="58"/>
              <w:rPr>
                <w:sz w:val="15"/>
              </w:rPr>
            </w:pPr>
            <w:r>
              <w:rPr>
                <w:color w:val="231F20"/>
                <w:w w:val="90"/>
                <w:sz w:val="15"/>
              </w:rPr>
              <w:t>física,     ya    que</w:t>
            </w:r>
          </w:p>
        </w:tc>
        <w:tc>
          <w:tcPr>
            <w:tcW w:w="1037" w:type="dxa"/>
            <w:tcBorders>
              <w:top w:val="nil"/>
              <w:bottom w:val="nil"/>
            </w:tcBorders>
          </w:tcPr>
          <w:p>
            <w:pPr>
              <w:pStyle w:val="TableParagraph"/>
              <w:spacing w:line="156" w:lineRule="exact"/>
              <w:ind w:right="147"/>
              <w:rPr>
                <w:sz w:val="15"/>
              </w:rPr>
            </w:pPr>
            <w:r>
              <w:rPr>
                <w:color w:val="231F20"/>
                <w:w w:val="95"/>
                <w:sz w:val="15"/>
              </w:rPr>
              <w:t>existen</w:t>
            </w:r>
          </w:p>
        </w:tc>
        <w:tc>
          <w:tcPr>
            <w:tcW w:w="1080" w:type="dxa"/>
            <w:tcBorders>
              <w:top w:val="nil"/>
              <w:bottom w:val="nil"/>
            </w:tcBorders>
          </w:tcPr>
          <w:p>
            <w:pPr>
              <w:pStyle w:val="TableParagraph"/>
              <w:spacing w:line="156" w:lineRule="exact"/>
              <w:ind w:right="30"/>
              <w:rPr>
                <w:sz w:val="15"/>
              </w:rPr>
            </w:pPr>
            <w:r>
              <w:rPr>
                <w:color w:val="231F20"/>
                <w:w w:val="85"/>
                <w:sz w:val="15"/>
              </w:rPr>
              <w:t>futbol, estereo-</w:t>
            </w:r>
          </w:p>
        </w:tc>
        <w:tc>
          <w:tcPr>
            <w:tcW w:w="1210" w:type="dxa"/>
            <w:tcBorders>
              <w:top w:val="nil"/>
              <w:bottom w:val="nil"/>
            </w:tcBorders>
          </w:tcPr>
          <w:p>
            <w:pPr>
              <w:pStyle w:val="TableParagraph"/>
              <w:spacing w:line="156" w:lineRule="exact"/>
              <w:ind w:right="79"/>
              <w:rPr>
                <w:sz w:val="15"/>
              </w:rPr>
            </w:pPr>
            <w:r>
              <w:rPr>
                <w:color w:val="231F20"/>
                <w:w w:val="85"/>
                <w:sz w:val="15"/>
              </w:rPr>
              <w:t>espectáculo los</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Style w:val="TableParagraph"/>
              <w:spacing w:line="156" w:lineRule="exact"/>
              <w:ind w:right="41"/>
              <w:rPr>
                <w:sz w:val="15"/>
              </w:rPr>
            </w:pPr>
            <w:r>
              <w:rPr>
                <w:color w:val="231F20"/>
                <w:w w:val="90"/>
                <w:sz w:val="15"/>
              </w:rPr>
              <w:t>también puede ser</w:t>
            </w:r>
          </w:p>
        </w:tc>
        <w:tc>
          <w:tcPr>
            <w:tcW w:w="1037" w:type="dxa"/>
            <w:tcBorders>
              <w:top w:val="nil"/>
              <w:bottom w:val="nil"/>
            </w:tcBorders>
          </w:tcPr>
          <w:p>
            <w:pPr>
              <w:pStyle w:val="TableParagraph"/>
              <w:spacing w:line="156" w:lineRule="exact"/>
              <w:ind w:right="147"/>
              <w:rPr>
                <w:sz w:val="15"/>
              </w:rPr>
            </w:pPr>
            <w:r>
              <w:rPr>
                <w:color w:val="231F20"/>
                <w:w w:val="95"/>
                <w:sz w:val="15"/>
              </w:rPr>
              <w:t>diferencias.</w:t>
            </w:r>
          </w:p>
        </w:tc>
        <w:tc>
          <w:tcPr>
            <w:tcW w:w="1080" w:type="dxa"/>
            <w:tcBorders>
              <w:top w:val="nil"/>
              <w:bottom w:val="nil"/>
            </w:tcBorders>
          </w:tcPr>
          <w:p>
            <w:pPr>
              <w:pStyle w:val="TableParagraph"/>
              <w:spacing w:line="156" w:lineRule="exact"/>
              <w:ind w:right="30"/>
              <w:rPr>
                <w:sz w:val="15"/>
              </w:rPr>
            </w:pPr>
            <w:r>
              <w:rPr>
                <w:color w:val="231F20"/>
                <w:w w:val="85"/>
                <w:sz w:val="15"/>
              </w:rPr>
              <w:t>tipos, actitudes,</w:t>
            </w:r>
          </w:p>
        </w:tc>
        <w:tc>
          <w:tcPr>
            <w:tcW w:w="1210" w:type="dxa"/>
            <w:tcBorders>
              <w:top w:val="nil"/>
              <w:bottom w:val="nil"/>
            </w:tcBorders>
          </w:tcPr>
          <w:p>
            <w:pPr>
              <w:pStyle w:val="TableParagraph"/>
              <w:spacing w:line="156" w:lineRule="exact"/>
              <w:ind w:right="51"/>
              <w:rPr>
                <w:sz w:val="15"/>
              </w:rPr>
            </w:pPr>
            <w:r>
              <w:rPr>
                <w:color w:val="231F20"/>
                <w:w w:val="90"/>
                <w:sz w:val="15"/>
              </w:rPr>
              <w:t>deseos de sobresa-</w:t>
            </w:r>
          </w:p>
        </w:tc>
        <w:tc>
          <w:tcPr>
            <w:tcW w:w="1133" w:type="dxa"/>
            <w:vMerge/>
          </w:tcPr>
          <w:p>
            <w:pPr/>
          </w:p>
        </w:tc>
      </w:tr>
      <w:tr>
        <w:trPr>
          <w:trHeight w:val="2064" w:hRule="exact"/>
        </w:trPr>
        <w:tc>
          <w:tcPr>
            <w:tcW w:w="778" w:type="dxa"/>
            <w:vMerge/>
          </w:tcPr>
          <w:p>
            <w:pPr/>
          </w:p>
        </w:tc>
        <w:tc>
          <w:tcPr>
            <w:tcW w:w="1176" w:type="dxa"/>
            <w:tcBorders>
              <w:top w:val="nil"/>
              <w:bottom w:val="nil"/>
            </w:tcBorders>
          </w:tcPr>
          <w:p>
            <w:pPr>
              <w:pStyle w:val="TableParagraph"/>
              <w:spacing w:line="154" w:lineRule="exact"/>
              <w:jc w:val="both"/>
              <w:rPr>
                <w:sz w:val="15"/>
              </w:rPr>
            </w:pPr>
            <w:r>
              <w:rPr>
                <w:color w:val="231F20"/>
                <w:w w:val="95"/>
                <w:sz w:val="15"/>
              </w:rPr>
              <w:t>psicológica      o</w:t>
            </w:r>
          </w:p>
          <w:p>
            <w:pPr>
              <w:pStyle w:val="TableParagraph"/>
              <w:spacing w:line="235" w:lineRule="auto"/>
              <w:ind w:right="103"/>
              <w:jc w:val="both"/>
              <w:rPr>
                <w:sz w:val="15"/>
              </w:rPr>
            </w:pPr>
            <w:r>
              <w:rPr>
                <w:color w:val="231F20"/>
                <w:w w:val="95"/>
                <w:sz w:val="15"/>
              </w:rPr>
              <w:t>emocional, a través de</w:t>
            </w:r>
            <w:r>
              <w:rPr>
                <w:color w:val="231F20"/>
                <w:spacing w:val="-6"/>
                <w:w w:val="95"/>
                <w:sz w:val="15"/>
              </w:rPr>
              <w:t> </w:t>
            </w:r>
            <w:r>
              <w:rPr>
                <w:color w:val="231F20"/>
                <w:w w:val="95"/>
                <w:sz w:val="15"/>
              </w:rPr>
              <w:t>amena- zas u ofensas.</w:t>
            </w:r>
            <w:r>
              <w:rPr>
                <w:color w:val="231F20"/>
                <w:spacing w:val="-8"/>
                <w:w w:val="95"/>
                <w:sz w:val="15"/>
              </w:rPr>
              <w:t> </w:t>
            </w:r>
            <w:r>
              <w:rPr>
                <w:color w:val="231F20"/>
                <w:w w:val="95"/>
                <w:sz w:val="15"/>
              </w:rPr>
              <w:t>Se </w:t>
            </w:r>
            <w:r>
              <w:rPr>
                <w:color w:val="231F20"/>
                <w:w w:val="85"/>
                <w:sz w:val="15"/>
              </w:rPr>
              <w:t>considera violenta </w:t>
            </w:r>
            <w:r>
              <w:rPr>
                <w:color w:val="231F20"/>
                <w:w w:val="95"/>
                <w:sz w:val="15"/>
              </w:rPr>
              <w:t>a la persona irrazonable, que </w:t>
            </w:r>
            <w:r>
              <w:rPr>
                <w:color w:val="231F20"/>
                <w:w w:val="90"/>
                <w:sz w:val="15"/>
              </w:rPr>
              <w:t>se</w:t>
            </w:r>
            <w:r>
              <w:rPr>
                <w:color w:val="231F20"/>
                <w:spacing w:val="-17"/>
                <w:w w:val="90"/>
                <w:sz w:val="15"/>
              </w:rPr>
              <w:t> </w:t>
            </w:r>
            <w:r>
              <w:rPr>
                <w:color w:val="231F20"/>
                <w:w w:val="90"/>
                <w:sz w:val="15"/>
              </w:rPr>
              <w:t>niega</w:t>
            </w:r>
            <w:r>
              <w:rPr>
                <w:color w:val="231F20"/>
                <w:spacing w:val="-17"/>
                <w:w w:val="90"/>
                <w:sz w:val="15"/>
              </w:rPr>
              <w:t> </w:t>
            </w:r>
            <w:r>
              <w:rPr>
                <w:color w:val="231F20"/>
                <w:w w:val="90"/>
                <w:sz w:val="15"/>
              </w:rPr>
              <w:t>a</w:t>
            </w:r>
            <w:r>
              <w:rPr>
                <w:color w:val="231F20"/>
                <w:spacing w:val="-17"/>
                <w:w w:val="90"/>
                <w:sz w:val="15"/>
              </w:rPr>
              <w:t> </w:t>
            </w:r>
            <w:r>
              <w:rPr>
                <w:color w:val="231F20"/>
                <w:w w:val="90"/>
                <w:sz w:val="15"/>
              </w:rPr>
              <w:t>dialogar </w:t>
            </w:r>
            <w:r>
              <w:rPr>
                <w:color w:val="231F20"/>
                <w:w w:val="95"/>
                <w:sz w:val="15"/>
              </w:rPr>
              <w:t>y se obstina en actuar pese a </w:t>
            </w:r>
            <w:r>
              <w:rPr>
                <w:color w:val="231F20"/>
                <w:w w:val="90"/>
                <w:sz w:val="15"/>
              </w:rPr>
              <w:t>quien</w:t>
            </w:r>
            <w:r>
              <w:rPr>
                <w:color w:val="231F20"/>
                <w:spacing w:val="-12"/>
                <w:w w:val="90"/>
                <w:sz w:val="15"/>
              </w:rPr>
              <w:t> </w:t>
            </w:r>
            <w:r>
              <w:rPr>
                <w:color w:val="231F20"/>
                <w:w w:val="90"/>
                <w:sz w:val="15"/>
              </w:rPr>
              <w:t>pese</w:t>
            </w:r>
            <w:r>
              <w:rPr>
                <w:color w:val="231F20"/>
                <w:spacing w:val="-12"/>
                <w:w w:val="90"/>
                <w:sz w:val="15"/>
              </w:rPr>
              <w:t> </w:t>
            </w:r>
            <w:r>
              <w:rPr>
                <w:color w:val="231F20"/>
                <w:w w:val="90"/>
                <w:sz w:val="15"/>
              </w:rPr>
              <w:t>y</w:t>
            </w:r>
            <w:r>
              <w:rPr>
                <w:color w:val="231F20"/>
                <w:spacing w:val="-12"/>
                <w:w w:val="90"/>
                <w:sz w:val="15"/>
              </w:rPr>
              <w:t> </w:t>
            </w:r>
            <w:r>
              <w:rPr>
                <w:color w:val="231F20"/>
                <w:w w:val="90"/>
                <w:sz w:val="15"/>
              </w:rPr>
              <w:t>caiga </w:t>
            </w:r>
            <w:r>
              <w:rPr>
                <w:color w:val="231F20"/>
                <w:w w:val="85"/>
                <w:sz w:val="15"/>
              </w:rPr>
              <w:t>quien</w:t>
            </w:r>
            <w:r>
              <w:rPr>
                <w:color w:val="231F20"/>
                <w:spacing w:val="-12"/>
                <w:w w:val="85"/>
                <w:sz w:val="15"/>
              </w:rPr>
              <w:t> </w:t>
            </w:r>
            <w:r>
              <w:rPr>
                <w:color w:val="231F20"/>
                <w:w w:val="85"/>
                <w:sz w:val="15"/>
              </w:rPr>
              <w:t>caiga.</w:t>
            </w:r>
          </w:p>
        </w:tc>
        <w:tc>
          <w:tcPr>
            <w:tcW w:w="1037" w:type="dxa"/>
            <w:tcBorders>
              <w:top w:val="nil"/>
              <w:bottom w:val="nil"/>
            </w:tcBorders>
          </w:tcPr>
          <w:p>
            <w:pPr>
              <w:pStyle w:val="TableParagraph"/>
              <w:spacing w:line="235" w:lineRule="auto" w:before="24"/>
              <w:ind w:right="101"/>
              <w:rPr>
                <w:sz w:val="15"/>
              </w:rPr>
            </w:pPr>
            <w:r>
              <w:rPr>
                <w:color w:val="231F20"/>
                <w:w w:val="95"/>
                <w:sz w:val="15"/>
              </w:rPr>
              <w:t>Para sentirse influido o manipulado para ejercer violencia en contra de </w:t>
            </w:r>
            <w:r>
              <w:rPr>
                <w:color w:val="231F20"/>
                <w:w w:val="90"/>
                <w:sz w:val="15"/>
              </w:rPr>
              <w:t>alguien (ej.: en </w:t>
            </w:r>
            <w:r>
              <w:rPr>
                <w:color w:val="231F20"/>
                <w:w w:val="95"/>
                <w:sz w:val="15"/>
              </w:rPr>
              <w:t>contra de los </w:t>
            </w:r>
            <w:r>
              <w:rPr>
                <w:color w:val="231F20"/>
                <w:w w:val="85"/>
                <w:sz w:val="15"/>
              </w:rPr>
              <w:t>iraquíes porque </w:t>
            </w:r>
            <w:r>
              <w:rPr>
                <w:color w:val="231F20"/>
                <w:w w:val="90"/>
                <w:sz w:val="15"/>
              </w:rPr>
              <w:t>son terroristas, </w:t>
            </w:r>
            <w:r>
              <w:rPr>
                <w:color w:val="231F20"/>
                <w:w w:val="95"/>
                <w:sz w:val="15"/>
              </w:rPr>
              <w:t>según los </w:t>
            </w:r>
            <w:r>
              <w:rPr>
                <w:color w:val="231F20"/>
                <w:w w:val="85"/>
                <w:sz w:val="15"/>
              </w:rPr>
              <w:t>noticieros), se</w:t>
            </w:r>
          </w:p>
        </w:tc>
        <w:tc>
          <w:tcPr>
            <w:tcW w:w="1080" w:type="dxa"/>
            <w:tcBorders>
              <w:top w:val="nil"/>
              <w:bottom w:val="nil"/>
            </w:tcBorders>
          </w:tcPr>
          <w:p>
            <w:pPr>
              <w:pStyle w:val="TableParagraph"/>
              <w:spacing w:line="156" w:lineRule="exact"/>
              <w:ind w:right="30"/>
              <w:rPr>
                <w:sz w:val="15"/>
              </w:rPr>
            </w:pPr>
            <w:r>
              <w:rPr>
                <w:color w:val="231F20"/>
                <w:w w:val="85"/>
                <w:sz w:val="15"/>
              </w:rPr>
              <w:t>pereza, envidia).</w:t>
            </w:r>
          </w:p>
        </w:tc>
        <w:tc>
          <w:tcPr>
            <w:tcW w:w="1210" w:type="dxa"/>
            <w:tcBorders>
              <w:top w:val="nil"/>
              <w:bottom w:val="nil"/>
            </w:tcBorders>
          </w:tcPr>
          <w:p>
            <w:pPr>
              <w:pStyle w:val="TableParagraph"/>
              <w:spacing w:line="154" w:lineRule="exact"/>
              <w:ind w:right="79"/>
              <w:rPr>
                <w:sz w:val="15"/>
              </w:rPr>
            </w:pPr>
            <w:r>
              <w:rPr>
                <w:color w:val="231F20"/>
                <w:w w:val="90"/>
                <w:sz w:val="15"/>
              </w:rPr>
              <w:t>lir, de ganar y</w:t>
            </w:r>
          </w:p>
          <w:p>
            <w:pPr>
              <w:pStyle w:val="TableParagraph"/>
              <w:spacing w:line="170" w:lineRule="exact"/>
              <w:ind w:right="79"/>
              <w:rPr>
                <w:sz w:val="15"/>
              </w:rPr>
            </w:pPr>
            <w:r>
              <w:rPr>
                <w:color w:val="231F20"/>
                <w:w w:val="85"/>
                <w:sz w:val="15"/>
              </w:rPr>
              <w:t>tener éxito.</w:t>
            </w:r>
          </w:p>
          <w:p>
            <w:pPr>
              <w:pStyle w:val="TableParagraph"/>
              <w:spacing w:line="235" w:lineRule="auto" w:before="41"/>
              <w:ind w:right="79"/>
              <w:rPr>
                <w:sz w:val="15"/>
              </w:rPr>
            </w:pPr>
            <w:r>
              <w:rPr>
                <w:color w:val="231F20"/>
                <w:w w:val="95"/>
                <w:sz w:val="15"/>
              </w:rPr>
              <w:t>2. Se critican la falta de compro- miso para hacer </w:t>
            </w:r>
            <w:r>
              <w:rPr>
                <w:color w:val="231F20"/>
                <w:w w:val="90"/>
                <w:sz w:val="15"/>
              </w:rPr>
              <w:t>cada quien bien su </w:t>
            </w:r>
            <w:r>
              <w:rPr>
                <w:color w:val="231F20"/>
                <w:w w:val="95"/>
                <w:sz w:val="15"/>
              </w:rPr>
              <w:t>trabajo, así como el recurrir a los rumores para descalificar a </w:t>
            </w:r>
            <w:r>
              <w:rPr>
                <w:color w:val="231F20"/>
                <w:w w:val="90"/>
                <w:sz w:val="15"/>
              </w:rPr>
              <w:t>alguien (esto sería un tipo de violen-</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Style w:val="TableParagraph"/>
              <w:spacing w:line="156" w:lineRule="exact"/>
              <w:ind w:right="58"/>
              <w:rPr>
                <w:sz w:val="15"/>
              </w:rPr>
            </w:pPr>
            <w:r>
              <w:rPr>
                <w:color w:val="231F20"/>
                <w:w w:val="95"/>
                <w:sz w:val="15"/>
              </w:rPr>
              <w:t>La  violencia no</w:t>
            </w:r>
          </w:p>
        </w:tc>
        <w:tc>
          <w:tcPr>
            <w:tcW w:w="1037" w:type="dxa"/>
            <w:tcBorders>
              <w:top w:val="nil"/>
              <w:bottom w:val="nil"/>
            </w:tcBorders>
          </w:tcPr>
          <w:p>
            <w:pPr>
              <w:pStyle w:val="TableParagraph"/>
              <w:spacing w:line="156" w:lineRule="exact"/>
              <w:ind w:right="147"/>
              <w:rPr>
                <w:sz w:val="15"/>
              </w:rPr>
            </w:pPr>
            <w:r>
              <w:rPr>
                <w:color w:val="231F20"/>
                <w:w w:val="85"/>
                <w:sz w:val="15"/>
              </w:rPr>
              <w:t>requiere una</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cia relacionado</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Style w:val="TableParagraph"/>
              <w:spacing w:line="156" w:lineRule="exact"/>
              <w:ind w:right="58"/>
              <w:rPr>
                <w:sz w:val="15"/>
              </w:rPr>
            </w:pPr>
            <w:r>
              <w:rPr>
                <w:color w:val="231F20"/>
                <w:w w:val="95"/>
                <w:sz w:val="15"/>
              </w:rPr>
              <w:t>solo  es  un  acto</w:t>
            </w:r>
          </w:p>
        </w:tc>
        <w:tc>
          <w:tcPr>
            <w:tcW w:w="1037" w:type="dxa"/>
            <w:tcBorders>
              <w:top w:val="nil"/>
              <w:bottom w:val="nil"/>
            </w:tcBorders>
          </w:tcPr>
          <w:p>
            <w:pPr>
              <w:pStyle w:val="TableParagraph"/>
              <w:spacing w:line="156" w:lineRule="exact"/>
              <w:ind w:right="78"/>
              <w:rPr>
                <w:sz w:val="15"/>
              </w:rPr>
            </w:pPr>
            <w:r>
              <w:rPr>
                <w:color w:val="231F20"/>
                <w:w w:val="90"/>
                <w:sz w:val="15"/>
              </w:rPr>
              <w:t>mente que esté</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con la pereza que</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Style w:val="TableParagraph"/>
              <w:spacing w:line="158" w:lineRule="exact"/>
              <w:ind w:right="58"/>
              <w:rPr>
                <w:sz w:val="15"/>
              </w:rPr>
            </w:pPr>
            <w:r>
              <w:rPr>
                <w:color w:val="231F20"/>
                <w:w w:val="95"/>
                <w:sz w:val="15"/>
              </w:rPr>
              <w:t>físico,  cualquier</w:t>
            </w:r>
          </w:p>
        </w:tc>
        <w:tc>
          <w:tcPr>
            <w:tcW w:w="1037" w:type="dxa"/>
            <w:tcBorders>
              <w:top w:val="nil"/>
              <w:bottom w:val="nil"/>
            </w:tcBorders>
          </w:tcPr>
          <w:p>
            <w:pPr>
              <w:pStyle w:val="TableParagraph"/>
              <w:spacing w:line="158" w:lineRule="exact"/>
              <w:ind w:right="97"/>
              <w:rPr>
                <w:sz w:val="15"/>
              </w:rPr>
            </w:pPr>
            <w:r>
              <w:rPr>
                <w:color w:val="231F20"/>
                <w:w w:val="90"/>
                <w:sz w:val="15"/>
              </w:rPr>
              <w:t>dispuesta a ser</w:t>
            </w: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85"/>
                <w:sz w:val="15"/>
              </w:rPr>
              <w:t>desemboca en</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Style w:val="TableParagraph"/>
              <w:spacing w:line="156" w:lineRule="exact"/>
              <w:ind w:right="58"/>
              <w:rPr>
                <w:sz w:val="15"/>
              </w:rPr>
            </w:pPr>
            <w:r>
              <w:rPr>
                <w:color w:val="231F20"/>
                <w:w w:val="95"/>
                <w:sz w:val="15"/>
              </w:rPr>
              <w:t>cosa  que  atente</w:t>
            </w:r>
          </w:p>
        </w:tc>
        <w:tc>
          <w:tcPr>
            <w:tcW w:w="1037" w:type="dxa"/>
            <w:tcBorders>
              <w:top w:val="nil"/>
              <w:bottom w:val="nil"/>
            </w:tcBorders>
          </w:tcPr>
          <w:p>
            <w:pPr>
              <w:pStyle w:val="TableParagraph"/>
              <w:spacing w:line="156" w:lineRule="exact"/>
              <w:ind w:right="147"/>
              <w:rPr>
                <w:sz w:val="15"/>
              </w:rPr>
            </w:pPr>
            <w:r>
              <w:rPr>
                <w:color w:val="231F20"/>
                <w:w w:val="95"/>
                <w:sz w:val="15"/>
              </w:rPr>
              <w:t>moldeada,</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envidia, la intriga,</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Style w:val="TableParagraph"/>
              <w:spacing w:line="156" w:lineRule="exact"/>
              <w:ind w:right="58"/>
              <w:rPr>
                <w:sz w:val="15"/>
              </w:rPr>
            </w:pPr>
            <w:r>
              <w:rPr>
                <w:color w:val="231F20"/>
                <w:w w:val="95"/>
                <w:sz w:val="15"/>
              </w:rPr>
              <w:t>contra la libertad</w:t>
            </w:r>
          </w:p>
        </w:tc>
        <w:tc>
          <w:tcPr>
            <w:tcW w:w="1037" w:type="dxa"/>
            <w:tcBorders>
              <w:top w:val="nil"/>
              <w:bottom w:val="nil"/>
            </w:tcBorders>
          </w:tcPr>
          <w:p>
            <w:pPr>
              <w:pStyle w:val="TableParagraph"/>
              <w:spacing w:line="156" w:lineRule="exact"/>
              <w:ind w:right="147"/>
              <w:rPr>
                <w:sz w:val="15"/>
              </w:rPr>
            </w:pPr>
            <w:r>
              <w:rPr>
                <w:color w:val="231F20"/>
                <w:w w:val="90"/>
                <w:sz w:val="15"/>
              </w:rPr>
              <w:t>gente que no</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el asedio a los</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Style w:val="TableParagraph"/>
              <w:spacing w:line="156" w:lineRule="exact"/>
              <w:rPr>
                <w:sz w:val="15"/>
              </w:rPr>
            </w:pPr>
            <w:r>
              <w:rPr>
                <w:color w:val="231F20"/>
                <w:w w:val="90"/>
                <w:sz w:val="15"/>
              </w:rPr>
              <w:t>y la paz de alguien</w:t>
            </w:r>
          </w:p>
        </w:tc>
        <w:tc>
          <w:tcPr>
            <w:tcW w:w="1037" w:type="dxa"/>
            <w:tcBorders>
              <w:top w:val="nil"/>
              <w:bottom w:val="nil"/>
            </w:tcBorders>
          </w:tcPr>
          <w:p>
            <w:pPr>
              <w:pStyle w:val="TableParagraph"/>
              <w:spacing w:line="156" w:lineRule="exact"/>
              <w:ind w:right="97"/>
              <w:rPr>
                <w:sz w:val="15"/>
              </w:rPr>
            </w:pPr>
            <w:r>
              <w:rPr>
                <w:color w:val="231F20"/>
                <w:w w:val="90"/>
                <w:sz w:val="15"/>
              </w:rPr>
              <w:t>esté segura de</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otros para lograr</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Style w:val="TableParagraph"/>
              <w:spacing w:line="156" w:lineRule="exact"/>
              <w:ind w:right="58"/>
              <w:rPr>
                <w:sz w:val="15"/>
              </w:rPr>
            </w:pPr>
            <w:r>
              <w:rPr>
                <w:color w:val="231F20"/>
                <w:w w:val="85"/>
                <w:sz w:val="15"/>
              </w:rPr>
              <w:t>más, es violencia.</w:t>
            </w:r>
          </w:p>
        </w:tc>
        <w:tc>
          <w:tcPr>
            <w:tcW w:w="1037" w:type="dxa"/>
            <w:tcBorders>
              <w:top w:val="nil"/>
              <w:bottom w:val="nil"/>
            </w:tcBorders>
          </w:tcPr>
          <w:p>
            <w:pPr>
              <w:pStyle w:val="TableParagraph"/>
              <w:spacing w:line="156" w:lineRule="exact"/>
              <w:ind w:right="48"/>
              <w:rPr>
                <w:sz w:val="15"/>
              </w:rPr>
            </w:pPr>
            <w:r>
              <w:rPr>
                <w:color w:val="231F20"/>
                <w:w w:val="90"/>
                <w:sz w:val="15"/>
              </w:rPr>
              <w:t>sí misma o que</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un beneficio</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tcBorders>
              <w:top w:val="nil"/>
              <w:bottom w:val="nil"/>
            </w:tcBorders>
          </w:tcPr>
          <w:p>
            <w:pPr>
              <w:pStyle w:val="TableParagraph"/>
              <w:spacing w:line="156" w:lineRule="exact"/>
              <w:ind w:right="97"/>
              <w:rPr>
                <w:sz w:val="15"/>
              </w:rPr>
            </w:pPr>
            <w:r>
              <w:rPr>
                <w:color w:val="231F20"/>
                <w:w w:val="90"/>
                <w:sz w:val="15"/>
              </w:rPr>
              <w:t>no es feliz con</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propio, inmoral,</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
        </w:tc>
        <w:tc>
          <w:tcPr>
            <w:tcW w:w="1037" w:type="dxa"/>
            <w:tcBorders>
              <w:top w:val="nil"/>
              <w:bottom w:val="nil"/>
            </w:tcBorders>
          </w:tcPr>
          <w:p>
            <w:pPr>
              <w:pStyle w:val="TableParagraph"/>
              <w:spacing w:line="156" w:lineRule="exact"/>
              <w:ind w:right="147"/>
              <w:rPr>
                <w:sz w:val="15"/>
              </w:rPr>
            </w:pPr>
            <w:r>
              <w:rPr>
                <w:color w:val="231F20"/>
                <w:w w:val="90"/>
                <w:sz w:val="15"/>
              </w:rPr>
              <w:t>lo que tiene;</w:t>
            </w:r>
          </w:p>
        </w:tc>
        <w:tc>
          <w:tcPr>
            <w:tcW w:w="1080" w:type="dxa"/>
            <w:tcBorders>
              <w:top w:val="nil"/>
              <w:bottom w:val="nil"/>
            </w:tcBorders>
          </w:tcPr>
          <w:p>
            <w:pPr/>
          </w:p>
        </w:tc>
        <w:tc>
          <w:tcPr>
            <w:tcW w:w="1210" w:type="dxa"/>
            <w:tcBorders>
              <w:top w:val="nil"/>
              <w:bottom w:val="nil"/>
            </w:tcBorders>
          </w:tcPr>
          <w:p>
            <w:pPr>
              <w:pStyle w:val="TableParagraph"/>
              <w:spacing w:line="156" w:lineRule="exact"/>
              <w:ind w:right="540"/>
              <w:rPr>
                <w:sz w:val="15"/>
              </w:rPr>
            </w:pPr>
            <w:r>
              <w:rPr>
                <w:color w:val="231F20"/>
                <w:w w:val="95"/>
                <w:sz w:val="15"/>
              </w:rPr>
              <w:t>egoísta.</w:t>
            </w:r>
          </w:p>
        </w:tc>
        <w:tc>
          <w:tcPr>
            <w:tcW w:w="1133" w:type="dxa"/>
            <w:vMerge/>
          </w:tcPr>
          <w:p>
            <w:pPr/>
          </w:p>
        </w:tc>
      </w:tr>
      <w:tr>
        <w:trPr>
          <w:trHeight w:val="1430" w:hRule="exact"/>
        </w:trPr>
        <w:tc>
          <w:tcPr>
            <w:tcW w:w="778" w:type="dxa"/>
            <w:vMerge/>
          </w:tcPr>
          <w:p>
            <w:pPr/>
          </w:p>
        </w:tc>
        <w:tc>
          <w:tcPr>
            <w:tcW w:w="1176" w:type="dxa"/>
            <w:tcBorders>
              <w:top w:val="nil"/>
              <w:bottom w:val="nil"/>
            </w:tcBorders>
          </w:tcPr>
          <w:p>
            <w:pPr/>
          </w:p>
        </w:tc>
        <w:tc>
          <w:tcPr>
            <w:tcW w:w="1037" w:type="dxa"/>
            <w:tcBorders>
              <w:top w:val="nil"/>
              <w:bottom w:val="nil"/>
            </w:tcBorders>
          </w:tcPr>
          <w:p>
            <w:pPr>
              <w:pStyle w:val="TableParagraph"/>
              <w:spacing w:line="156" w:lineRule="exact"/>
              <w:ind w:right="97"/>
              <w:rPr>
                <w:sz w:val="15"/>
              </w:rPr>
            </w:pPr>
            <w:r>
              <w:rPr>
                <w:color w:val="231F20"/>
                <w:w w:val="85"/>
                <w:sz w:val="15"/>
              </w:rPr>
              <w:t>esa inseguridad</w:t>
            </w:r>
          </w:p>
          <w:p>
            <w:pPr>
              <w:pStyle w:val="TableParagraph"/>
              <w:spacing w:line="235" w:lineRule="auto"/>
              <w:ind w:right="48"/>
              <w:rPr>
                <w:sz w:val="15"/>
              </w:rPr>
            </w:pPr>
            <w:r>
              <w:rPr>
                <w:color w:val="231F20"/>
                <w:w w:val="95"/>
                <w:sz w:val="15"/>
              </w:rPr>
              <w:t>tal vez se </w:t>
            </w:r>
            <w:r>
              <w:rPr>
                <w:color w:val="231F20"/>
                <w:w w:val="90"/>
                <w:sz w:val="15"/>
              </w:rPr>
              <w:t>relaciona con el </w:t>
            </w:r>
            <w:r>
              <w:rPr>
                <w:color w:val="231F20"/>
                <w:w w:val="95"/>
                <w:sz w:val="15"/>
              </w:rPr>
              <w:t>medio en el cual el indivi- duo se crió (la economía, la </w:t>
            </w:r>
            <w:r>
              <w:rPr>
                <w:color w:val="231F20"/>
                <w:w w:val="80"/>
                <w:sz w:val="15"/>
              </w:rPr>
              <w:t>familia, etc.).</w:t>
            </w:r>
          </w:p>
        </w:tc>
        <w:tc>
          <w:tcPr>
            <w:tcW w:w="1080" w:type="dxa"/>
            <w:tcBorders>
              <w:top w:val="nil"/>
              <w:bottom w:val="nil"/>
            </w:tcBorders>
          </w:tcPr>
          <w:p>
            <w:pPr/>
          </w:p>
        </w:tc>
        <w:tc>
          <w:tcPr>
            <w:tcW w:w="1210" w:type="dxa"/>
            <w:tcBorders>
              <w:top w:val="nil"/>
              <w:bottom w:val="nil"/>
            </w:tcBorders>
          </w:tcPr>
          <w:p>
            <w:pPr>
              <w:pStyle w:val="TableParagraph"/>
              <w:spacing w:line="168" w:lineRule="exact" w:before="30"/>
              <w:ind w:right="98"/>
              <w:rPr>
                <w:sz w:val="15"/>
              </w:rPr>
            </w:pPr>
            <w:r>
              <w:rPr>
                <w:color w:val="231F20"/>
                <w:w w:val="85"/>
                <w:sz w:val="15"/>
              </w:rPr>
              <w:t>La gente gandalla </w:t>
            </w:r>
            <w:r>
              <w:rPr>
                <w:color w:val="231F20"/>
                <w:w w:val="95"/>
                <w:sz w:val="15"/>
              </w:rPr>
              <w:t>es considerada genial.</w:t>
            </w:r>
          </w:p>
          <w:p>
            <w:pPr>
              <w:pStyle w:val="TableParagraph"/>
              <w:spacing w:line="168" w:lineRule="exact" w:before="43"/>
              <w:ind w:right="59"/>
              <w:rPr>
                <w:sz w:val="15"/>
              </w:rPr>
            </w:pPr>
            <w:r>
              <w:rPr>
                <w:color w:val="231F20"/>
                <w:w w:val="95"/>
                <w:sz w:val="15"/>
              </w:rPr>
              <w:t>Los medios </w:t>
            </w:r>
            <w:r>
              <w:rPr>
                <w:color w:val="231F20"/>
                <w:w w:val="90"/>
                <w:sz w:val="15"/>
              </w:rPr>
              <w:t>influyen mucho en </w:t>
            </w:r>
            <w:r>
              <w:rPr>
                <w:color w:val="231F20"/>
                <w:w w:val="95"/>
                <w:sz w:val="15"/>
              </w:rPr>
              <w:t>las conductas </w:t>
            </w:r>
            <w:r>
              <w:rPr>
                <w:color w:val="231F20"/>
                <w:w w:val="90"/>
                <w:sz w:val="15"/>
              </w:rPr>
              <w:t>sociales, te dictan tu manera de ser,</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90"/>
                <w:sz w:val="15"/>
              </w:rPr>
              <w:t>tu manera de</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vestir y compor-</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tarte, y cualquiera</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que se atreva a ir</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en contra de ello</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rPr>
                <w:sz w:val="15"/>
              </w:rPr>
            </w:pPr>
            <w:r>
              <w:rPr>
                <w:color w:val="231F20"/>
                <w:w w:val="90"/>
                <w:sz w:val="15"/>
              </w:rPr>
              <w:t>es un desadaptado,</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5"/>
                <w:sz w:val="15"/>
              </w:rPr>
              <w:t>un raro, que no</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85"/>
                <w:sz w:val="15"/>
              </w:rPr>
              <w:t>merece ser</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respetado porque</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rPr>
                <w:sz w:val="15"/>
              </w:rPr>
            </w:pPr>
            <w:r>
              <w:rPr>
                <w:color w:val="231F20"/>
                <w:w w:val="95"/>
                <w:sz w:val="15"/>
              </w:rPr>
              <w:t>va en contra de lo</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tcBorders>
              <w:top w:val="nil"/>
              <w:bottom w:val="nil"/>
            </w:tcBorders>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5"/>
                <w:sz w:val="15"/>
              </w:rPr>
              <w:t>que a todo el</w:t>
            </w:r>
          </w:p>
        </w:tc>
        <w:tc>
          <w:tcPr>
            <w:tcW w:w="1133" w:type="dxa"/>
            <w:vMerge/>
          </w:tcPr>
          <w:p>
            <w:pPr/>
          </w:p>
        </w:tc>
      </w:tr>
      <w:tr>
        <w:trPr>
          <w:trHeight w:val="211" w:hRule="exact"/>
        </w:trPr>
        <w:tc>
          <w:tcPr>
            <w:tcW w:w="778" w:type="dxa"/>
            <w:vMerge/>
          </w:tcPr>
          <w:p>
            <w:pPr/>
          </w:p>
        </w:tc>
        <w:tc>
          <w:tcPr>
            <w:tcW w:w="1176" w:type="dxa"/>
            <w:tcBorders>
              <w:top w:val="nil"/>
            </w:tcBorders>
          </w:tcPr>
          <w:p>
            <w:pPr/>
          </w:p>
        </w:tc>
        <w:tc>
          <w:tcPr>
            <w:tcW w:w="1037" w:type="dxa"/>
            <w:tcBorders>
              <w:top w:val="nil"/>
            </w:tcBorders>
          </w:tcPr>
          <w:p>
            <w:pPr/>
          </w:p>
        </w:tc>
        <w:tc>
          <w:tcPr>
            <w:tcW w:w="1080" w:type="dxa"/>
            <w:tcBorders>
              <w:top w:val="nil"/>
            </w:tcBorders>
          </w:tcPr>
          <w:p>
            <w:pPr/>
          </w:p>
        </w:tc>
        <w:tc>
          <w:tcPr>
            <w:tcW w:w="1210" w:type="dxa"/>
            <w:tcBorders>
              <w:top w:val="nil"/>
            </w:tcBorders>
          </w:tcPr>
          <w:p>
            <w:pPr>
              <w:pStyle w:val="TableParagraph"/>
              <w:spacing w:line="156" w:lineRule="exact"/>
              <w:ind w:right="79"/>
              <w:rPr>
                <w:sz w:val="15"/>
              </w:rPr>
            </w:pPr>
            <w:r>
              <w:rPr>
                <w:color w:val="231F20"/>
                <w:w w:val="90"/>
                <w:sz w:val="15"/>
              </w:rPr>
              <w:t>mundo le gusta.</w:t>
            </w:r>
          </w:p>
        </w:tc>
        <w:tc>
          <w:tcPr>
            <w:tcW w:w="1133" w:type="dxa"/>
            <w:vMerge/>
          </w:tcPr>
          <w:p>
            <w:pPr/>
          </w:p>
        </w:tc>
      </w:tr>
      <w:tr>
        <w:trPr>
          <w:trHeight w:val="217" w:hRule="exact"/>
        </w:trPr>
        <w:tc>
          <w:tcPr>
            <w:tcW w:w="778" w:type="dxa"/>
            <w:tcBorders>
              <w:bottom w:val="nil"/>
            </w:tcBorders>
          </w:tcPr>
          <w:p>
            <w:pPr>
              <w:pStyle w:val="TableParagraph"/>
              <w:spacing w:before="28"/>
              <w:ind w:left="105"/>
              <w:rPr>
                <w:sz w:val="15"/>
              </w:rPr>
            </w:pPr>
            <w:r>
              <w:rPr>
                <w:color w:val="231F20"/>
                <w:w w:val="90"/>
                <w:sz w:val="15"/>
              </w:rPr>
              <w:t>18.</w:t>
            </w:r>
          </w:p>
        </w:tc>
        <w:tc>
          <w:tcPr>
            <w:tcW w:w="1176" w:type="dxa"/>
            <w:tcBorders>
              <w:bottom w:val="nil"/>
            </w:tcBorders>
          </w:tcPr>
          <w:p>
            <w:pPr>
              <w:pStyle w:val="TableParagraph"/>
              <w:spacing w:before="28"/>
              <w:ind w:right="58"/>
              <w:rPr>
                <w:sz w:val="15"/>
              </w:rPr>
            </w:pPr>
            <w:r>
              <w:rPr>
                <w:color w:val="231F20"/>
                <w:w w:val="85"/>
                <w:sz w:val="15"/>
              </w:rPr>
              <w:t>La violencia es</w:t>
            </w:r>
          </w:p>
        </w:tc>
        <w:tc>
          <w:tcPr>
            <w:tcW w:w="1037" w:type="dxa"/>
            <w:tcBorders>
              <w:bottom w:val="nil"/>
            </w:tcBorders>
          </w:tcPr>
          <w:p>
            <w:pPr>
              <w:pStyle w:val="TableParagraph"/>
              <w:spacing w:before="28"/>
              <w:ind w:right="147"/>
              <w:rPr>
                <w:sz w:val="15"/>
              </w:rPr>
            </w:pPr>
            <w:r>
              <w:rPr>
                <w:color w:val="231F20"/>
                <w:w w:val="90"/>
                <w:sz w:val="15"/>
              </w:rPr>
              <w:t>Violencia</w:t>
            </w:r>
          </w:p>
        </w:tc>
        <w:tc>
          <w:tcPr>
            <w:tcW w:w="1080" w:type="dxa"/>
            <w:tcBorders>
              <w:bottom w:val="nil"/>
            </w:tcBorders>
          </w:tcPr>
          <w:p>
            <w:pPr>
              <w:pStyle w:val="TableParagraph"/>
              <w:spacing w:before="28"/>
              <w:ind w:right="30"/>
              <w:rPr>
                <w:sz w:val="15"/>
              </w:rPr>
            </w:pPr>
            <w:r>
              <w:rPr>
                <w:color w:val="231F20"/>
                <w:w w:val="90"/>
                <w:sz w:val="15"/>
              </w:rPr>
              <w:t>Texto breve: la</w:t>
            </w:r>
          </w:p>
        </w:tc>
        <w:tc>
          <w:tcPr>
            <w:tcW w:w="1210" w:type="dxa"/>
            <w:tcBorders>
              <w:bottom w:val="nil"/>
            </w:tcBorders>
          </w:tcPr>
          <w:p>
            <w:pPr>
              <w:pStyle w:val="TableParagraph"/>
              <w:spacing w:before="28"/>
              <w:ind w:right="79"/>
              <w:rPr>
                <w:sz w:val="15"/>
              </w:rPr>
            </w:pPr>
            <w:r>
              <w:rPr>
                <w:color w:val="231F20"/>
                <w:w w:val="90"/>
                <w:sz w:val="15"/>
              </w:rPr>
              <w:t>Aunque se hacen</w:t>
            </w:r>
          </w:p>
        </w:tc>
        <w:tc>
          <w:tcPr>
            <w:tcW w:w="1133" w:type="dxa"/>
            <w:vMerge w:val="restart"/>
          </w:tcPr>
          <w:p>
            <w:pPr/>
          </w:p>
        </w:tc>
      </w:tr>
      <w:tr>
        <w:trPr>
          <w:trHeight w:val="338" w:hRule="exact"/>
        </w:trPr>
        <w:tc>
          <w:tcPr>
            <w:tcW w:w="778" w:type="dxa"/>
            <w:tcBorders>
              <w:top w:val="nil"/>
              <w:bottom w:val="nil"/>
            </w:tcBorders>
          </w:tcPr>
          <w:p>
            <w:pPr>
              <w:pStyle w:val="TableParagraph"/>
              <w:spacing w:before="26"/>
              <w:ind w:left="105"/>
              <w:rPr>
                <w:sz w:val="15"/>
              </w:rPr>
            </w:pPr>
            <w:r>
              <w:rPr>
                <w:color w:val="231F20"/>
                <w:w w:val="95"/>
                <w:sz w:val="15"/>
              </w:rPr>
              <w:t>Scarlette</w:t>
            </w:r>
          </w:p>
        </w:tc>
        <w:tc>
          <w:tcPr>
            <w:tcW w:w="1176" w:type="dxa"/>
            <w:tcBorders>
              <w:top w:val="nil"/>
              <w:bottom w:val="nil"/>
            </w:tcBorders>
          </w:tcPr>
          <w:p>
            <w:pPr>
              <w:pStyle w:val="TableParagraph"/>
              <w:spacing w:line="154" w:lineRule="exact"/>
              <w:ind w:right="58"/>
              <w:rPr>
                <w:sz w:val="15"/>
              </w:rPr>
            </w:pPr>
            <w:r>
              <w:rPr>
                <w:color w:val="231F20"/>
                <w:w w:val="90"/>
                <w:sz w:val="15"/>
              </w:rPr>
              <w:t>una forma de</w:t>
            </w:r>
          </w:p>
          <w:p>
            <w:pPr>
              <w:pStyle w:val="TableParagraph"/>
              <w:spacing w:line="170" w:lineRule="exact"/>
              <w:ind w:right="58"/>
              <w:rPr>
                <w:sz w:val="15"/>
              </w:rPr>
            </w:pPr>
            <w:r>
              <w:rPr>
                <w:color w:val="231F20"/>
                <w:w w:val="90"/>
                <w:sz w:val="15"/>
              </w:rPr>
              <w:t>agredir a otros</w:t>
            </w:r>
          </w:p>
        </w:tc>
        <w:tc>
          <w:tcPr>
            <w:tcW w:w="1037" w:type="dxa"/>
            <w:tcBorders>
              <w:top w:val="nil"/>
              <w:bottom w:val="nil"/>
            </w:tcBorders>
          </w:tcPr>
          <w:p>
            <w:pPr>
              <w:pStyle w:val="TableParagraph"/>
              <w:spacing w:line="154" w:lineRule="exact"/>
              <w:ind w:right="48"/>
              <w:rPr>
                <w:sz w:val="15"/>
              </w:rPr>
            </w:pPr>
            <w:r>
              <w:rPr>
                <w:color w:val="231F20"/>
                <w:w w:val="85"/>
                <w:sz w:val="15"/>
              </w:rPr>
              <w:t>intrafamiliar: es</w:t>
            </w:r>
          </w:p>
          <w:p>
            <w:pPr>
              <w:pStyle w:val="TableParagraph"/>
              <w:spacing w:line="170" w:lineRule="exact"/>
              <w:ind w:right="147"/>
              <w:rPr>
                <w:sz w:val="15"/>
              </w:rPr>
            </w:pPr>
            <w:r>
              <w:rPr>
                <w:color w:val="231F20"/>
                <w:w w:val="90"/>
                <w:sz w:val="15"/>
              </w:rPr>
              <w:t>común en</w:t>
            </w:r>
          </w:p>
        </w:tc>
        <w:tc>
          <w:tcPr>
            <w:tcW w:w="1080" w:type="dxa"/>
            <w:tcBorders>
              <w:top w:val="nil"/>
              <w:bottom w:val="nil"/>
            </w:tcBorders>
          </w:tcPr>
          <w:p>
            <w:pPr>
              <w:pStyle w:val="TableParagraph"/>
              <w:spacing w:line="154" w:lineRule="exact"/>
              <w:ind w:right="30"/>
              <w:rPr>
                <w:sz w:val="15"/>
              </w:rPr>
            </w:pPr>
            <w:r>
              <w:rPr>
                <w:color w:val="231F20"/>
                <w:w w:val="85"/>
                <w:sz w:val="15"/>
              </w:rPr>
              <w:t>violencia y sus</w:t>
            </w:r>
          </w:p>
          <w:p>
            <w:pPr>
              <w:pStyle w:val="TableParagraph"/>
              <w:spacing w:line="170" w:lineRule="exact"/>
              <w:ind w:right="376"/>
              <w:rPr>
                <w:sz w:val="15"/>
              </w:rPr>
            </w:pPr>
            <w:r>
              <w:rPr>
                <w:color w:val="231F20"/>
                <w:w w:val="95"/>
                <w:sz w:val="15"/>
              </w:rPr>
              <w:t>tipos.</w:t>
            </w:r>
          </w:p>
        </w:tc>
        <w:tc>
          <w:tcPr>
            <w:tcW w:w="1210" w:type="dxa"/>
            <w:tcBorders>
              <w:top w:val="nil"/>
              <w:bottom w:val="nil"/>
            </w:tcBorders>
          </w:tcPr>
          <w:p>
            <w:pPr>
              <w:pStyle w:val="TableParagraph"/>
              <w:spacing w:line="154" w:lineRule="exact"/>
              <w:ind w:right="79"/>
              <w:rPr>
                <w:sz w:val="15"/>
              </w:rPr>
            </w:pPr>
            <w:r>
              <w:rPr>
                <w:color w:val="231F20"/>
                <w:w w:val="85"/>
                <w:sz w:val="15"/>
              </w:rPr>
              <w:t>“campañas” en</w:t>
            </w:r>
          </w:p>
          <w:p>
            <w:pPr>
              <w:pStyle w:val="TableParagraph"/>
              <w:spacing w:line="170" w:lineRule="exact"/>
              <w:ind w:right="79"/>
              <w:rPr>
                <w:sz w:val="15"/>
              </w:rPr>
            </w:pPr>
            <w:r>
              <w:rPr>
                <w:color w:val="231F20"/>
                <w:w w:val="90"/>
                <w:sz w:val="15"/>
              </w:rPr>
              <w:t>contra de la</w:t>
            </w:r>
          </w:p>
        </w:tc>
        <w:tc>
          <w:tcPr>
            <w:tcW w:w="1133" w:type="dxa"/>
            <w:vMerge/>
          </w:tcPr>
          <w:p>
            <w:pP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8" w:lineRule="exact"/>
              <w:ind w:right="58"/>
              <w:rPr>
                <w:sz w:val="15"/>
              </w:rPr>
            </w:pPr>
            <w:r>
              <w:rPr>
                <w:color w:val="231F20"/>
                <w:w w:val="85"/>
                <w:sz w:val="15"/>
              </w:rPr>
              <w:t>perjudicando de</w:t>
            </w:r>
          </w:p>
        </w:tc>
        <w:tc>
          <w:tcPr>
            <w:tcW w:w="1037" w:type="dxa"/>
            <w:tcBorders>
              <w:top w:val="nil"/>
              <w:bottom w:val="nil"/>
            </w:tcBorders>
          </w:tcPr>
          <w:p>
            <w:pPr>
              <w:pStyle w:val="TableParagraph"/>
              <w:spacing w:line="158" w:lineRule="exact"/>
              <w:ind w:right="147"/>
              <w:rPr>
                <w:sz w:val="15"/>
              </w:rPr>
            </w:pPr>
            <w:r>
              <w:rPr>
                <w:color w:val="231F20"/>
                <w:w w:val="90"/>
                <w:sz w:val="15"/>
              </w:rPr>
              <w:t>México.</w:t>
            </w: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85"/>
                <w:sz w:val="15"/>
              </w:rPr>
              <w:t>violencia, no se</w:t>
            </w:r>
          </w:p>
        </w:tc>
        <w:tc>
          <w:tcPr>
            <w:tcW w:w="1133" w:type="dxa"/>
            <w:vMerge/>
          </w:tcPr>
          <w:p>
            <w:pPr/>
          </w:p>
        </w:tc>
      </w:tr>
      <w:tr>
        <w:trPr>
          <w:trHeight w:val="504" w:hRule="exact"/>
        </w:trPr>
        <w:tc>
          <w:tcPr>
            <w:tcW w:w="778" w:type="dxa"/>
            <w:tcBorders>
              <w:top w:val="nil"/>
              <w:bottom w:val="nil"/>
            </w:tcBorders>
          </w:tcPr>
          <w:p>
            <w:pPr/>
          </w:p>
        </w:tc>
        <w:tc>
          <w:tcPr>
            <w:tcW w:w="1176" w:type="dxa"/>
            <w:tcBorders>
              <w:top w:val="nil"/>
              <w:bottom w:val="nil"/>
            </w:tcBorders>
          </w:tcPr>
          <w:p>
            <w:pPr>
              <w:pStyle w:val="TableParagraph"/>
              <w:spacing w:line="154" w:lineRule="exact"/>
              <w:ind w:right="58"/>
              <w:rPr>
                <w:sz w:val="15"/>
              </w:rPr>
            </w:pPr>
            <w:r>
              <w:rPr>
                <w:color w:val="231F20"/>
                <w:w w:val="90"/>
                <w:sz w:val="15"/>
              </w:rPr>
              <w:t>manera física o</w:t>
            </w:r>
          </w:p>
          <w:p>
            <w:pPr>
              <w:pStyle w:val="TableParagraph"/>
              <w:spacing w:line="170" w:lineRule="exact"/>
              <w:ind w:right="58"/>
              <w:rPr>
                <w:sz w:val="15"/>
              </w:rPr>
            </w:pPr>
            <w:r>
              <w:rPr>
                <w:color w:val="231F20"/>
                <w:w w:val="95"/>
                <w:sz w:val="15"/>
              </w:rPr>
              <w:t>psicológica.</w:t>
            </w:r>
          </w:p>
        </w:tc>
        <w:tc>
          <w:tcPr>
            <w:tcW w:w="1037" w:type="dxa"/>
            <w:tcBorders>
              <w:top w:val="nil"/>
              <w:bottom w:val="nil"/>
            </w:tcBorders>
          </w:tcPr>
          <w:p>
            <w:pPr>
              <w:pStyle w:val="TableParagraph"/>
              <w:spacing w:line="168" w:lineRule="exact" w:before="27"/>
              <w:ind w:right="209"/>
              <w:rPr>
                <w:sz w:val="15"/>
              </w:rPr>
            </w:pPr>
            <w:r>
              <w:rPr>
                <w:color w:val="231F20"/>
                <w:w w:val="85"/>
                <w:sz w:val="15"/>
              </w:rPr>
              <w:t>Discriminar a los demás.</w:t>
            </w:r>
          </w:p>
        </w:tc>
        <w:tc>
          <w:tcPr>
            <w:tcW w:w="1080" w:type="dxa"/>
            <w:tcBorders>
              <w:top w:val="nil"/>
              <w:bottom w:val="nil"/>
            </w:tcBorders>
          </w:tcPr>
          <w:p>
            <w:pPr/>
          </w:p>
        </w:tc>
        <w:tc>
          <w:tcPr>
            <w:tcW w:w="1210" w:type="dxa"/>
            <w:tcBorders>
              <w:top w:val="nil"/>
              <w:bottom w:val="nil"/>
            </w:tcBorders>
          </w:tcPr>
          <w:p>
            <w:pPr>
              <w:pStyle w:val="TableParagraph"/>
              <w:spacing w:line="154" w:lineRule="exact"/>
              <w:ind w:right="79"/>
              <w:rPr>
                <w:sz w:val="15"/>
              </w:rPr>
            </w:pPr>
            <w:r>
              <w:rPr>
                <w:color w:val="231F20"/>
                <w:w w:val="85"/>
                <w:sz w:val="15"/>
              </w:rPr>
              <w:t>pueden percibir</w:t>
            </w:r>
          </w:p>
          <w:p>
            <w:pPr>
              <w:pStyle w:val="TableParagraph"/>
              <w:spacing w:line="168" w:lineRule="exact" w:before="3"/>
              <w:ind w:right="79"/>
              <w:rPr>
                <w:sz w:val="15"/>
              </w:rPr>
            </w:pPr>
            <w:r>
              <w:rPr>
                <w:color w:val="231F20"/>
                <w:w w:val="90"/>
                <w:sz w:val="15"/>
              </w:rPr>
              <w:t>los efectos, pues </w:t>
            </w:r>
            <w:r>
              <w:rPr>
                <w:color w:val="231F20"/>
                <w:w w:val="85"/>
                <w:sz w:val="15"/>
              </w:rPr>
              <w:t>permanece la</w:t>
            </w:r>
          </w:p>
        </w:tc>
        <w:tc>
          <w:tcPr>
            <w:tcW w:w="1133" w:type="dxa"/>
            <w:vMerge/>
          </w:tcPr>
          <w:p>
            <w:pPr/>
          </w:p>
        </w:tc>
      </w:tr>
      <w:tr>
        <w:trPr>
          <w:trHeight w:val="416" w:hRule="exact"/>
        </w:trPr>
        <w:tc>
          <w:tcPr>
            <w:tcW w:w="778" w:type="dxa"/>
            <w:tcBorders>
              <w:top w:val="nil"/>
            </w:tcBorders>
          </w:tcPr>
          <w:p>
            <w:pPr/>
          </w:p>
        </w:tc>
        <w:tc>
          <w:tcPr>
            <w:tcW w:w="1176" w:type="dxa"/>
            <w:tcBorders>
              <w:top w:val="nil"/>
            </w:tcBorders>
          </w:tcPr>
          <w:p>
            <w:pPr/>
          </w:p>
        </w:tc>
        <w:tc>
          <w:tcPr>
            <w:tcW w:w="1037" w:type="dxa"/>
            <w:tcBorders>
              <w:top w:val="nil"/>
            </w:tcBorders>
          </w:tcPr>
          <w:p>
            <w:pPr/>
          </w:p>
        </w:tc>
        <w:tc>
          <w:tcPr>
            <w:tcW w:w="1080" w:type="dxa"/>
            <w:tcBorders>
              <w:top w:val="nil"/>
            </w:tcBorders>
          </w:tcPr>
          <w:p>
            <w:pPr/>
          </w:p>
        </w:tc>
        <w:tc>
          <w:tcPr>
            <w:tcW w:w="1210" w:type="dxa"/>
            <w:tcBorders>
              <w:top w:val="nil"/>
            </w:tcBorders>
          </w:tcPr>
          <w:p>
            <w:pPr>
              <w:pStyle w:val="TableParagraph"/>
              <w:spacing w:line="156" w:lineRule="exact"/>
              <w:ind w:right="79"/>
              <w:rPr>
                <w:sz w:val="15"/>
              </w:rPr>
            </w:pPr>
            <w:r>
              <w:rPr>
                <w:color w:val="231F20"/>
                <w:w w:val="95"/>
                <w:sz w:val="15"/>
              </w:rPr>
              <w:t>ignorancia.</w:t>
            </w:r>
          </w:p>
        </w:tc>
        <w:tc>
          <w:tcPr>
            <w:tcW w:w="1133" w:type="dxa"/>
            <w:vMerge/>
          </w:tcPr>
          <w:p>
            <w:pPr/>
          </w:p>
        </w:tc>
      </w:tr>
      <w:tr>
        <w:trPr>
          <w:trHeight w:val="259" w:hRule="exact"/>
        </w:trPr>
        <w:tc>
          <w:tcPr>
            <w:tcW w:w="778" w:type="dxa"/>
          </w:tcPr>
          <w:p>
            <w:pPr>
              <w:pStyle w:val="TableParagraph"/>
              <w:spacing w:before="28"/>
              <w:ind w:left="105"/>
              <w:rPr>
                <w:sz w:val="15"/>
              </w:rPr>
            </w:pPr>
            <w:r>
              <w:rPr>
                <w:color w:val="231F20"/>
                <w:w w:val="90"/>
                <w:sz w:val="15"/>
              </w:rPr>
              <w:t>19.</w:t>
            </w:r>
          </w:p>
        </w:tc>
        <w:tc>
          <w:tcPr>
            <w:tcW w:w="1176" w:type="dxa"/>
          </w:tcPr>
          <w:p>
            <w:pPr>
              <w:pStyle w:val="TableParagraph"/>
              <w:spacing w:before="28"/>
              <w:rPr>
                <w:sz w:val="15"/>
              </w:rPr>
            </w:pPr>
            <w:r>
              <w:rPr>
                <w:color w:val="231F20"/>
                <w:w w:val="90"/>
                <w:sz w:val="15"/>
              </w:rPr>
              <w:t>La violencia es un</w:t>
            </w:r>
          </w:p>
        </w:tc>
        <w:tc>
          <w:tcPr>
            <w:tcW w:w="1037" w:type="dxa"/>
          </w:tcPr>
          <w:p>
            <w:pPr>
              <w:pStyle w:val="TableParagraph"/>
              <w:spacing w:before="28"/>
              <w:ind w:right="48"/>
              <w:rPr>
                <w:sz w:val="15"/>
              </w:rPr>
            </w:pPr>
            <w:r>
              <w:rPr>
                <w:color w:val="231F20"/>
                <w:w w:val="90"/>
                <w:sz w:val="15"/>
              </w:rPr>
              <w:t>Desde el inicio</w:t>
            </w:r>
          </w:p>
        </w:tc>
        <w:tc>
          <w:tcPr>
            <w:tcW w:w="1080" w:type="dxa"/>
          </w:tcPr>
          <w:p>
            <w:pPr>
              <w:pStyle w:val="TableParagraph"/>
              <w:spacing w:before="28"/>
              <w:ind w:right="376"/>
              <w:rPr>
                <w:sz w:val="15"/>
              </w:rPr>
            </w:pPr>
            <w:r>
              <w:rPr>
                <w:color w:val="231F20"/>
                <w:w w:val="95"/>
                <w:sz w:val="15"/>
              </w:rPr>
              <w:t>Qué es la</w:t>
            </w:r>
          </w:p>
        </w:tc>
        <w:tc>
          <w:tcPr>
            <w:tcW w:w="1210" w:type="dxa"/>
          </w:tcPr>
          <w:p>
            <w:pPr>
              <w:pStyle w:val="TableParagraph"/>
              <w:spacing w:before="28"/>
              <w:ind w:right="79"/>
              <w:rPr>
                <w:sz w:val="15"/>
              </w:rPr>
            </w:pPr>
            <w:r>
              <w:rPr>
                <w:color w:val="231F20"/>
                <w:w w:val="85"/>
                <w:sz w:val="15"/>
              </w:rPr>
              <w:t>Si la violencia se</w:t>
            </w:r>
          </w:p>
        </w:tc>
        <w:tc>
          <w:tcPr>
            <w:tcW w:w="1133" w:type="dxa"/>
          </w:tcPr>
          <w:p>
            <w:pPr/>
          </w:p>
        </w:tc>
      </w:tr>
    </w:tbl>
    <w:p>
      <w:pPr>
        <w:spacing w:after="0"/>
        <w:sectPr>
          <w:headerReference w:type="default" r:id="rId617"/>
          <w:footerReference w:type="default" r:id="rId618"/>
          <w:pgSz w:w="7830" w:h="11910"/>
          <w:pgMar w:header="0" w:footer="424" w:top="500" w:bottom="620" w:left="800" w:right="380"/>
          <w:pgNumType w:start="274"/>
        </w:sectPr>
      </w:pPr>
    </w:p>
    <w:p>
      <w:pPr>
        <w:spacing w:before="46"/>
        <w:ind w:left="1583" w:right="0" w:firstLine="0"/>
        <w:jc w:val="left"/>
        <w:rPr>
          <w:sz w:val="13"/>
        </w:rPr>
      </w:pPr>
      <w:r>
        <w:rPr>
          <w:color w:val="231F20"/>
          <w:sz w:val="16"/>
        </w:rPr>
        <w:t>E</w:t>
      </w:r>
      <w:r>
        <w:rPr>
          <w:color w:val="231F20"/>
          <w:sz w:val="13"/>
        </w:rPr>
        <w:t>STUDIOS SOBRE VIOLENCIA EN LA EDUCACIÓN</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7349" w:hRule="exact"/>
        </w:trPr>
        <w:tc>
          <w:tcPr>
            <w:tcW w:w="778" w:type="dxa"/>
          </w:tcPr>
          <w:p>
            <w:pPr>
              <w:pStyle w:val="TableParagraph"/>
              <w:spacing w:line="162" w:lineRule="exact"/>
              <w:ind w:left="105"/>
              <w:rPr>
                <w:sz w:val="15"/>
              </w:rPr>
            </w:pPr>
            <w:r>
              <w:rPr>
                <w:color w:val="231F20"/>
                <w:w w:val="95"/>
                <w:sz w:val="15"/>
              </w:rPr>
              <w:t>Stephanie</w:t>
            </w:r>
          </w:p>
        </w:tc>
        <w:tc>
          <w:tcPr>
            <w:tcW w:w="1176" w:type="dxa"/>
          </w:tcPr>
          <w:p>
            <w:pPr>
              <w:pStyle w:val="TableParagraph"/>
              <w:spacing w:line="235" w:lineRule="auto"/>
              <w:ind w:right="61"/>
              <w:rPr>
                <w:sz w:val="15"/>
              </w:rPr>
            </w:pPr>
            <w:r>
              <w:rPr>
                <w:color w:val="231F20"/>
                <w:w w:val="90"/>
                <w:sz w:val="15"/>
              </w:rPr>
              <w:t>fenómeno social </w:t>
            </w:r>
            <w:r>
              <w:rPr>
                <w:color w:val="231F20"/>
                <w:w w:val="95"/>
                <w:sz w:val="15"/>
              </w:rPr>
              <w:t>muy peligroso, debido a que es un comporta- miento negativo que provoca daños físicos, morales y psico- lógicos a las </w:t>
            </w:r>
            <w:r>
              <w:rPr>
                <w:color w:val="231F20"/>
                <w:w w:val="90"/>
                <w:sz w:val="15"/>
              </w:rPr>
              <w:t>personas someti- </w:t>
            </w:r>
            <w:r>
              <w:rPr>
                <w:color w:val="231F20"/>
                <w:w w:val="95"/>
                <w:sz w:val="15"/>
              </w:rPr>
              <w:t>das. Se podría describir como una acción </w:t>
            </w:r>
            <w:r>
              <w:rPr>
                <w:color w:val="231F20"/>
                <w:w w:val="90"/>
                <w:sz w:val="15"/>
              </w:rPr>
              <w:t>ejercida por una o </w:t>
            </w:r>
            <w:r>
              <w:rPr>
                <w:color w:val="231F20"/>
                <w:w w:val="95"/>
                <w:sz w:val="15"/>
              </w:rPr>
              <w:t>varias personas para someter de </w:t>
            </w:r>
            <w:r>
              <w:rPr>
                <w:color w:val="231F20"/>
                <w:w w:val="90"/>
                <w:sz w:val="15"/>
              </w:rPr>
              <w:t>manera intencio- </w:t>
            </w:r>
            <w:r>
              <w:rPr>
                <w:color w:val="231F20"/>
                <w:w w:val="95"/>
                <w:sz w:val="15"/>
              </w:rPr>
              <w:t>nal a otras al maltrato, sufri- </w:t>
            </w:r>
            <w:r>
              <w:rPr>
                <w:color w:val="231F20"/>
                <w:w w:val="90"/>
                <w:sz w:val="15"/>
              </w:rPr>
              <w:t>miento, manipu- </w:t>
            </w:r>
            <w:r>
              <w:rPr>
                <w:color w:val="231F20"/>
                <w:w w:val="95"/>
                <w:sz w:val="15"/>
              </w:rPr>
              <w:t>lación, presión, etc., que atenta contra la integri- dad moral, psicológica, emocional.</w:t>
            </w:r>
          </w:p>
        </w:tc>
        <w:tc>
          <w:tcPr>
            <w:tcW w:w="1037" w:type="dxa"/>
          </w:tcPr>
          <w:p>
            <w:pPr>
              <w:pStyle w:val="TableParagraph"/>
              <w:spacing w:line="235" w:lineRule="auto"/>
              <w:ind w:right="123"/>
              <w:rPr>
                <w:sz w:val="15"/>
              </w:rPr>
            </w:pPr>
            <w:r>
              <w:rPr>
                <w:color w:val="231F20"/>
                <w:w w:val="95"/>
                <w:sz w:val="15"/>
              </w:rPr>
              <w:t>de la humani- dad existe la </w:t>
            </w:r>
            <w:r>
              <w:rPr>
                <w:color w:val="231F20"/>
                <w:w w:val="85"/>
                <w:sz w:val="15"/>
              </w:rPr>
              <w:t>violencia como </w:t>
            </w:r>
            <w:r>
              <w:rPr>
                <w:color w:val="231F20"/>
                <w:w w:val="95"/>
                <w:sz w:val="15"/>
              </w:rPr>
              <w:t>reacción </w:t>
            </w:r>
            <w:r>
              <w:rPr>
                <w:color w:val="231F20"/>
                <w:w w:val="90"/>
                <w:sz w:val="15"/>
              </w:rPr>
              <w:t>defensiva ante </w:t>
            </w:r>
            <w:r>
              <w:rPr>
                <w:color w:val="231F20"/>
                <w:w w:val="95"/>
                <w:sz w:val="15"/>
              </w:rPr>
              <w:t>cualquier desacuerdo.</w:t>
            </w:r>
          </w:p>
          <w:p>
            <w:pPr>
              <w:pStyle w:val="TableParagraph"/>
              <w:spacing w:line="235" w:lineRule="auto"/>
              <w:ind w:right="68"/>
              <w:rPr>
                <w:sz w:val="15"/>
              </w:rPr>
            </w:pPr>
            <w:r>
              <w:rPr>
                <w:color w:val="231F20"/>
                <w:w w:val="95"/>
                <w:sz w:val="15"/>
              </w:rPr>
              <w:t>Existe un debate en el cual se ha intentado aclarar si la violencia es innata o aprendida; </w:t>
            </w:r>
            <w:r>
              <w:rPr>
                <w:color w:val="231F20"/>
                <w:w w:val="90"/>
                <w:sz w:val="15"/>
              </w:rPr>
              <w:t>estas discusio- nes subrayan la </w:t>
            </w:r>
            <w:r>
              <w:rPr>
                <w:color w:val="231F20"/>
                <w:w w:val="85"/>
                <w:sz w:val="15"/>
              </w:rPr>
              <w:t>diferencia entre </w:t>
            </w:r>
            <w:r>
              <w:rPr>
                <w:color w:val="231F20"/>
                <w:w w:val="95"/>
                <w:sz w:val="15"/>
              </w:rPr>
              <w:t>el agresivo (nace) y el violento (se hace). Hay carencias en el </w:t>
            </w:r>
            <w:r>
              <w:rPr>
                <w:color w:val="231F20"/>
                <w:w w:val="85"/>
                <w:sz w:val="15"/>
              </w:rPr>
              <w:t>ámbito familiar </w:t>
            </w:r>
            <w:r>
              <w:rPr>
                <w:color w:val="231F20"/>
                <w:w w:val="95"/>
                <w:sz w:val="15"/>
              </w:rPr>
              <w:t>que pueden conducir a la violencia.</w:t>
            </w:r>
          </w:p>
          <w:p>
            <w:pPr>
              <w:pStyle w:val="TableParagraph"/>
              <w:spacing w:line="235" w:lineRule="auto" w:before="42"/>
              <w:ind w:right="48"/>
              <w:rPr>
                <w:sz w:val="15"/>
              </w:rPr>
            </w:pPr>
            <w:r>
              <w:rPr>
                <w:color w:val="231F20"/>
                <w:w w:val="95"/>
                <w:sz w:val="15"/>
              </w:rPr>
              <w:t>Este texto subraya también las </w:t>
            </w:r>
            <w:r>
              <w:rPr>
                <w:color w:val="231F20"/>
                <w:w w:val="90"/>
                <w:sz w:val="15"/>
              </w:rPr>
              <w:t>consecuencias de la violencia: </w:t>
            </w:r>
            <w:r>
              <w:rPr>
                <w:color w:val="231F20"/>
                <w:w w:val="95"/>
                <w:sz w:val="15"/>
              </w:rPr>
              <w:t>altos costos para la socie- </w:t>
            </w:r>
            <w:r>
              <w:rPr>
                <w:color w:val="231F20"/>
                <w:w w:val="90"/>
                <w:sz w:val="15"/>
              </w:rPr>
              <w:t>dad, violencia </w:t>
            </w:r>
            <w:r>
              <w:rPr>
                <w:color w:val="231F20"/>
                <w:w w:val="95"/>
                <w:sz w:val="15"/>
              </w:rPr>
              <w:t>de género en distintos grados, </w:t>
            </w:r>
            <w:r>
              <w:rPr>
                <w:color w:val="231F20"/>
                <w:w w:val="90"/>
                <w:sz w:val="15"/>
              </w:rPr>
              <w:t>consecuencias </w:t>
            </w:r>
            <w:r>
              <w:rPr>
                <w:color w:val="231F20"/>
                <w:w w:val="85"/>
                <w:sz w:val="15"/>
              </w:rPr>
              <w:t>físicas, psicoló- </w:t>
            </w:r>
            <w:r>
              <w:rPr>
                <w:color w:val="231F20"/>
                <w:w w:val="90"/>
                <w:sz w:val="15"/>
              </w:rPr>
              <w:t>gicas y de salud </w:t>
            </w:r>
            <w:r>
              <w:rPr>
                <w:color w:val="231F20"/>
                <w:w w:val="95"/>
                <w:sz w:val="15"/>
              </w:rPr>
              <w:t>en los agredi- dos.</w:t>
            </w:r>
          </w:p>
        </w:tc>
        <w:tc>
          <w:tcPr>
            <w:tcW w:w="1080" w:type="dxa"/>
          </w:tcPr>
          <w:p>
            <w:pPr>
              <w:pStyle w:val="TableParagraph"/>
              <w:spacing w:line="235" w:lineRule="auto"/>
              <w:ind w:right="93"/>
              <w:rPr>
                <w:sz w:val="15"/>
              </w:rPr>
            </w:pPr>
            <w:r>
              <w:rPr>
                <w:color w:val="231F20"/>
                <w:w w:val="85"/>
                <w:sz w:val="15"/>
              </w:rPr>
              <w:t>violencia: causa y consecuencias, </w:t>
            </w:r>
            <w:r>
              <w:rPr>
                <w:color w:val="231F20"/>
                <w:w w:val="95"/>
                <w:sz w:val="15"/>
              </w:rPr>
              <w:t>tipos de violencia.</w:t>
            </w:r>
          </w:p>
        </w:tc>
        <w:tc>
          <w:tcPr>
            <w:tcW w:w="1210" w:type="dxa"/>
          </w:tcPr>
          <w:p>
            <w:pPr>
              <w:pStyle w:val="TableParagraph"/>
              <w:spacing w:line="235" w:lineRule="auto"/>
              <w:ind w:right="49"/>
              <w:rPr>
                <w:sz w:val="15"/>
              </w:rPr>
            </w:pPr>
            <w:r>
              <w:rPr>
                <w:color w:val="231F20"/>
                <w:w w:val="95"/>
                <w:sz w:val="15"/>
              </w:rPr>
              <w:t>combate con violencia, se </w:t>
            </w:r>
            <w:r>
              <w:rPr>
                <w:color w:val="231F20"/>
                <w:w w:val="90"/>
                <w:sz w:val="15"/>
              </w:rPr>
              <w:t>genera una cadena. </w:t>
            </w:r>
            <w:r>
              <w:rPr>
                <w:color w:val="231F20"/>
                <w:w w:val="95"/>
                <w:sz w:val="15"/>
              </w:rPr>
              <w:t>Si es combatida con policías y </w:t>
            </w:r>
            <w:r>
              <w:rPr>
                <w:color w:val="231F20"/>
                <w:w w:val="90"/>
                <w:sz w:val="15"/>
              </w:rPr>
              <w:t>cárcel, es más fácil </w:t>
            </w:r>
            <w:r>
              <w:rPr>
                <w:color w:val="231F20"/>
                <w:w w:val="95"/>
                <w:sz w:val="15"/>
              </w:rPr>
              <w:t>que siga, puesto que nuestro </w:t>
            </w:r>
            <w:r>
              <w:rPr>
                <w:color w:val="231F20"/>
                <w:w w:val="90"/>
                <w:sz w:val="15"/>
              </w:rPr>
              <w:t>sistema judicial se </w:t>
            </w:r>
            <w:r>
              <w:rPr>
                <w:color w:val="231F20"/>
                <w:w w:val="95"/>
                <w:sz w:val="15"/>
              </w:rPr>
              <w:t>presta al régimen </w:t>
            </w:r>
            <w:r>
              <w:rPr>
                <w:color w:val="231F20"/>
                <w:w w:val="90"/>
                <w:sz w:val="15"/>
              </w:rPr>
              <w:t>de la violencia y la </w:t>
            </w:r>
            <w:r>
              <w:rPr>
                <w:color w:val="231F20"/>
                <w:w w:val="95"/>
                <w:sz w:val="15"/>
              </w:rPr>
              <w:t>delincuencia.</w:t>
            </w:r>
          </w:p>
        </w:tc>
        <w:tc>
          <w:tcPr>
            <w:tcW w:w="1133" w:type="dxa"/>
          </w:tcPr>
          <w:p>
            <w:pPr/>
          </w:p>
        </w:tc>
      </w:tr>
      <w:tr>
        <w:trPr>
          <w:trHeight w:val="2453" w:hRule="exact"/>
        </w:trPr>
        <w:tc>
          <w:tcPr>
            <w:tcW w:w="778" w:type="dxa"/>
          </w:tcPr>
          <w:p>
            <w:pPr>
              <w:pStyle w:val="TableParagraph"/>
              <w:spacing w:before="28"/>
              <w:ind w:left="105"/>
              <w:rPr>
                <w:sz w:val="15"/>
              </w:rPr>
            </w:pPr>
            <w:r>
              <w:rPr>
                <w:color w:val="231F20"/>
                <w:w w:val="90"/>
                <w:sz w:val="15"/>
              </w:rPr>
              <w:t>20.</w:t>
            </w:r>
          </w:p>
          <w:p>
            <w:pPr>
              <w:pStyle w:val="TableParagraph"/>
              <w:spacing w:before="38"/>
              <w:ind w:left="139"/>
              <w:rPr>
                <w:sz w:val="15"/>
              </w:rPr>
            </w:pPr>
            <w:r>
              <w:rPr>
                <w:color w:val="231F20"/>
                <w:w w:val="95"/>
                <w:sz w:val="15"/>
              </w:rPr>
              <w:t>Zayra</w:t>
            </w:r>
          </w:p>
        </w:tc>
        <w:tc>
          <w:tcPr>
            <w:tcW w:w="1176" w:type="dxa"/>
          </w:tcPr>
          <w:p>
            <w:pPr>
              <w:pStyle w:val="TableParagraph"/>
              <w:spacing w:line="235" w:lineRule="auto" w:before="30"/>
              <w:ind w:right="56"/>
              <w:rPr>
                <w:sz w:val="15"/>
              </w:rPr>
            </w:pPr>
            <w:r>
              <w:rPr>
                <w:color w:val="231F20"/>
                <w:w w:val="85"/>
                <w:sz w:val="15"/>
              </w:rPr>
              <w:t>Según el dicciona- </w:t>
            </w:r>
            <w:r>
              <w:rPr>
                <w:color w:val="231F20"/>
                <w:w w:val="90"/>
                <w:sz w:val="15"/>
              </w:rPr>
              <w:t>rio, la violencia se </w:t>
            </w:r>
            <w:r>
              <w:rPr>
                <w:color w:val="231F20"/>
                <w:w w:val="95"/>
                <w:sz w:val="15"/>
              </w:rPr>
              <w:t>entiende como la </w:t>
            </w:r>
            <w:r>
              <w:rPr>
                <w:color w:val="231F20"/>
                <w:w w:val="90"/>
                <w:sz w:val="15"/>
              </w:rPr>
              <w:t>acción y efecto de </w:t>
            </w:r>
            <w:r>
              <w:rPr>
                <w:color w:val="231F20"/>
                <w:w w:val="95"/>
                <w:sz w:val="15"/>
              </w:rPr>
              <w:t>violentarse o reaccionar de </w:t>
            </w:r>
            <w:r>
              <w:rPr>
                <w:color w:val="231F20"/>
                <w:w w:val="90"/>
                <w:sz w:val="15"/>
              </w:rPr>
              <w:t>manera impulsiva </w:t>
            </w:r>
            <w:r>
              <w:rPr>
                <w:color w:val="231F20"/>
                <w:w w:val="95"/>
                <w:sz w:val="15"/>
              </w:rPr>
              <w:t>y agresiva </w:t>
            </w:r>
            <w:r>
              <w:rPr>
                <w:color w:val="231F20"/>
                <w:w w:val="85"/>
                <w:sz w:val="15"/>
              </w:rPr>
              <w:t>ocasionando actos </w:t>
            </w:r>
            <w:r>
              <w:rPr>
                <w:color w:val="231F20"/>
                <w:w w:val="95"/>
                <w:sz w:val="15"/>
              </w:rPr>
              <w:t>desagradables.</w:t>
            </w:r>
          </w:p>
          <w:p>
            <w:pPr>
              <w:pStyle w:val="TableParagraph"/>
              <w:spacing w:line="168" w:lineRule="exact" w:before="45"/>
              <w:ind w:right="58"/>
              <w:rPr>
                <w:sz w:val="15"/>
              </w:rPr>
            </w:pPr>
            <w:r>
              <w:rPr>
                <w:color w:val="231F20"/>
                <w:w w:val="95"/>
                <w:sz w:val="15"/>
              </w:rPr>
              <w:t>La violencia es </w:t>
            </w:r>
            <w:r>
              <w:rPr>
                <w:color w:val="231F20"/>
                <w:w w:val="90"/>
                <w:sz w:val="15"/>
              </w:rPr>
              <w:t>todo aquello que altera un periodo </w:t>
            </w:r>
            <w:r>
              <w:rPr>
                <w:color w:val="231F20"/>
                <w:w w:val="95"/>
                <w:sz w:val="15"/>
              </w:rPr>
              <w:t>de paz, lo que</w:t>
            </w:r>
          </w:p>
        </w:tc>
        <w:tc>
          <w:tcPr>
            <w:tcW w:w="1037" w:type="dxa"/>
          </w:tcPr>
          <w:p>
            <w:pPr/>
          </w:p>
        </w:tc>
        <w:tc>
          <w:tcPr>
            <w:tcW w:w="1080" w:type="dxa"/>
          </w:tcPr>
          <w:p>
            <w:pPr>
              <w:pStyle w:val="TableParagraph"/>
              <w:spacing w:line="235" w:lineRule="auto" w:before="30"/>
              <w:ind w:right="71"/>
              <w:rPr>
                <w:sz w:val="15"/>
              </w:rPr>
            </w:pPr>
            <w:r>
              <w:rPr>
                <w:color w:val="231F20"/>
                <w:w w:val="95"/>
                <w:sz w:val="15"/>
              </w:rPr>
              <w:t>Definición de violencia y </w:t>
            </w:r>
            <w:r>
              <w:rPr>
                <w:color w:val="231F20"/>
                <w:w w:val="85"/>
                <w:sz w:val="15"/>
              </w:rPr>
              <w:t>reflexión acerca de la naturaliza- </w:t>
            </w:r>
            <w:r>
              <w:rPr>
                <w:color w:val="231F20"/>
                <w:w w:val="95"/>
                <w:sz w:val="15"/>
              </w:rPr>
              <w:t>ción de la </w:t>
            </w:r>
            <w:r>
              <w:rPr>
                <w:color w:val="231F20"/>
                <w:w w:val="90"/>
                <w:sz w:val="15"/>
              </w:rPr>
              <w:t>violencia entre los ciudadanos en nuestro país.</w:t>
            </w:r>
          </w:p>
        </w:tc>
        <w:tc>
          <w:tcPr>
            <w:tcW w:w="1210" w:type="dxa"/>
          </w:tcPr>
          <w:p>
            <w:pPr>
              <w:pStyle w:val="TableParagraph"/>
              <w:spacing w:line="235" w:lineRule="auto" w:before="30"/>
              <w:ind w:right="79"/>
              <w:rPr>
                <w:sz w:val="15"/>
              </w:rPr>
            </w:pPr>
            <w:r>
              <w:rPr>
                <w:color w:val="231F20"/>
                <w:w w:val="90"/>
                <w:sz w:val="15"/>
              </w:rPr>
              <w:t>Es triste observar </w:t>
            </w:r>
            <w:r>
              <w:rPr>
                <w:color w:val="231F20"/>
                <w:w w:val="95"/>
                <w:sz w:val="15"/>
              </w:rPr>
              <w:t>cómo en la actualidad la violencia va en </w:t>
            </w:r>
            <w:r>
              <w:rPr>
                <w:color w:val="231F20"/>
                <w:w w:val="85"/>
                <w:sz w:val="15"/>
              </w:rPr>
              <w:t>aumento abarcan- </w:t>
            </w:r>
            <w:r>
              <w:rPr>
                <w:color w:val="231F20"/>
                <w:w w:val="95"/>
                <w:sz w:val="15"/>
              </w:rPr>
              <w:t>do hasta los </w:t>
            </w:r>
            <w:r>
              <w:rPr>
                <w:color w:val="231F20"/>
                <w:w w:val="90"/>
                <w:sz w:val="15"/>
              </w:rPr>
              <w:t>lugares en los que </w:t>
            </w:r>
            <w:r>
              <w:rPr>
                <w:color w:val="231F20"/>
                <w:w w:val="95"/>
                <w:sz w:val="15"/>
              </w:rPr>
              <w:t>aparentemente </w:t>
            </w:r>
            <w:r>
              <w:rPr>
                <w:color w:val="231F20"/>
                <w:w w:val="85"/>
                <w:sz w:val="15"/>
              </w:rPr>
              <w:t>deberíamos sentir </w:t>
            </w:r>
            <w:r>
              <w:rPr>
                <w:color w:val="231F20"/>
                <w:w w:val="95"/>
                <w:sz w:val="15"/>
              </w:rPr>
              <w:t>seguridad.</w:t>
            </w:r>
          </w:p>
          <w:p>
            <w:pPr>
              <w:pStyle w:val="TableParagraph"/>
              <w:spacing w:line="168" w:lineRule="exact" w:before="45"/>
              <w:ind w:right="209"/>
              <w:rPr>
                <w:sz w:val="15"/>
              </w:rPr>
            </w:pPr>
            <w:r>
              <w:rPr>
                <w:color w:val="231F20"/>
                <w:w w:val="95"/>
                <w:sz w:val="15"/>
              </w:rPr>
              <w:t>Los medios de </w:t>
            </w:r>
            <w:r>
              <w:rPr>
                <w:color w:val="231F20"/>
                <w:w w:val="85"/>
                <w:sz w:val="15"/>
              </w:rPr>
              <w:t>comunicación, el </w:t>
            </w:r>
            <w:r>
              <w:rPr>
                <w:color w:val="231F20"/>
                <w:w w:val="95"/>
                <w:sz w:val="15"/>
              </w:rPr>
              <w:t>acceso a la </w:t>
            </w:r>
            <w:r>
              <w:rPr>
                <w:color w:val="231F20"/>
                <w:w w:val="85"/>
                <w:sz w:val="15"/>
              </w:rPr>
              <w:t>información son</w:t>
            </w:r>
          </w:p>
        </w:tc>
        <w:tc>
          <w:tcPr>
            <w:tcW w:w="1133" w:type="dxa"/>
          </w:tcPr>
          <w:p>
            <w:pPr>
              <w:pStyle w:val="TableParagraph"/>
              <w:spacing w:line="235" w:lineRule="auto" w:before="30"/>
              <w:ind w:right="95"/>
              <w:rPr>
                <w:sz w:val="15"/>
              </w:rPr>
            </w:pPr>
            <w:r>
              <w:rPr>
                <w:color w:val="231F20"/>
                <w:w w:val="95"/>
                <w:sz w:val="15"/>
              </w:rPr>
              <w:t>La</w:t>
            </w:r>
            <w:r>
              <w:rPr>
                <w:color w:val="231F20"/>
                <w:spacing w:val="-18"/>
                <w:w w:val="95"/>
                <w:sz w:val="15"/>
              </w:rPr>
              <w:t> </w:t>
            </w:r>
            <w:r>
              <w:rPr>
                <w:color w:val="231F20"/>
                <w:w w:val="95"/>
                <w:sz w:val="15"/>
              </w:rPr>
              <w:t>manera</w:t>
            </w:r>
            <w:r>
              <w:rPr>
                <w:color w:val="231F20"/>
                <w:spacing w:val="-18"/>
                <w:w w:val="95"/>
                <w:sz w:val="15"/>
              </w:rPr>
              <w:t> </w:t>
            </w:r>
            <w:r>
              <w:rPr>
                <w:color w:val="231F20"/>
                <w:w w:val="95"/>
                <w:sz w:val="15"/>
              </w:rPr>
              <w:t>en</w:t>
            </w:r>
            <w:r>
              <w:rPr>
                <w:color w:val="231F20"/>
                <w:spacing w:val="-18"/>
                <w:w w:val="95"/>
                <w:sz w:val="15"/>
              </w:rPr>
              <w:t> </w:t>
            </w:r>
            <w:r>
              <w:rPr>
                <w:color w:val="231F20"/>
                <w:w w:val="95"/>
                <w:sz w:val="15"/>
              </w:rPr>
              <w:t>la que este mal se </w:t>
            </w:r>
            <w:r>
              <w:rPr>
                <w:color w:val="231F20"/>
                <w:w w:val="90"/>
                <w:sz w:val="15"/>
              </w:rPr>
              <w:t>puede</w:t>
            </w:r>
            <w:r>
              <w:rPr>
                <w:color w:val="231F20"/>
                <w:spacing w:val="-22"/>
                <w:w w:val="90"/>
                <w:sz w:val="15"/>
              </w:rPr>
              <w:t> </w:t>
            </w:r>
            <w:r>
              <w:rPr>
                <w:color w:val="231F20"/>
                <w:w w:val="90"/>
                <w:sz w:val="15"/>
              </w:rPr>
              <w:t>eliminar</w:t>
            </w:r>
            <w:r>
              <w:rPr>
                <w:color w:val="231F20"/>
                <w:spacing w:val="-22"/>
                <w:w w:val="90"/>
                <w:sz w:val="15"/>
              </w:rPr>
              <w:t> </w:t>
            </w:r>
            <w:r>
              <w:rPr>
                <w:color w:val="231F20"/>
                <w:w w:val="90"/>
                <w:sz w:val="15"/>
              </w:rPr>
              <w:t>es </w:t>
            </w:r>
            <w:r>
              <w:rPr>
                <w:color w:val="231F20"/>
                <w:w w:val="95"/>
                <w:sz w:val="15"/>
              </w:rPr>
              <w:t>empezando a respetar a </w:t>
            </w:r>
            <w:r>
              <w:rPr>
                <w:color w:val="231F20"/>
                <w:w w:val="90"/>
                <w:sz w:val="15"/>
              </w:rPr>
              <w:t>nuestro prójimo, </w:t>
            </w:r>
            <w:r>
              <w:rPr>
                <w:color w:val="231F20"/>
                <w:w w:val="95"/>
                <w:sz w:val="15"/>
              </w:rPr>
              <w:t>a nosotros mismos, a </w:t>
            </w:r>
            <w:r>
              <w:rPr>
                <w:color w:val="231F20"/>
                <w:w w:val="90"/>
                <w:sz w:val="15"/>
              </w:rPr>
              <w:t>comunicar</w:t>
            </w:r>
            <w:r>
              <w:rPr>
                <w:color w:val="231F20"/>
                <w:spacing w:val="-16"/>
                <w:w w:val="90"/>
                <w:sz w:val="15"/>
              </w:rPr>
              <w:t> </w:t>
            </w:r>
            <w:r>
              <w:rPr>
                <w:color w:val="231F20"/>
                <w:w w:val="90"/>
                <w:sz w:val="15"/>
              </w:rPr>
              <w:t>lo</w:t>
            </w:r>
            <w:r>
              <w:rPr>
                <w:color w:val="231F20"/>
                <w:spacing w:val="-16"/>
                <w:w w:val="90"/>
                <w:sz w:val="15"/>
              </w:rPr>
              <w:t> </w:t>
            </w:r>
            <w:r>
              <w:rPr>
                <w:color w:val="231F20"/>
                <w:w w:val="90"/>
                <w:sz w:val="15"/>
              </w:rPr>
              <w:t>que </w:t>
            </w:r>
            <w:r>
              <w:rPr>
                <w:color w:val="231F20"/>
                <w:w w:val="95"/>
                <w:sz w:val="15"/>
              </w:rPr>
              <w:t>nos molesta sin llegar a la agresión.</w:t>
            </w:r>
          </w:p>
        </w:tc>
      </w:tr>
    </w:tbl>
    <w:p>
      <w:pPr>
        <w:spacing w:after="0" w:line="235" w:lineRule="auto"/>
        <w:rPr>
          <w:sz w:val="15"/>
        </w:rPr>
        <w:sectPr>
          <w:headerReference w:type="default" r:id="rId619"/>
          <w:footerReference w:type="default" r:id="rId620"/>
          <w:pgSz w:w="7830" w:h="11910"/>
          <w:pgMar w:header="0" w:footer="424" w:top="500" w:bottom="620" w:left="800" w:right="380"/>
          <w:pgNumType w:start="275"/>
        </w:sectPr>
      </w:pPr>
    </w:p>
    <w:p>
      <w:pPr>
        <w:spacing w:before="46"/>
        <w:ind w:left="71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78"/>
        <w:gridCol w:w="1176"/>
        <w:gridCol w:w="1037"/>
        <w:gridCol w:w="1080"/>
        <w:gridCol w:w="1210"/>
        <w:gridCol w:w="1133"/>
      </w:tblGrid>
      <w:tr>
        <w:trPr>
          <w:trHeight w:val="179" w:hRule="exact"/>
        </w:trPr>
        <w:tc>
          <w:tcPr>
            <w:tcW w:w="778" w:type="dxa"/>
            <w:vMerge w:val="restart"/>
          </w:tcPr>
          <w:p>
            <w:pPr/>
          </w:p>
        </w:tc>
        <w:tc>
          <w:tcPr>
            <w:tcW w:w="1176" w:type="dxa"/>
            <w:tcBorders>
              <w:bottom w:val="nil"/>
            </w:tcBorders>
          </w:tcPr>
          <w:p>
            <w:pPr>
              <w:pStyle w:val="TableParagraph"/>
              <w:spacing w:line="162" w:lineRule="exact"/>
              <w:ind w:right="58"/>
              <w:rPr>
                <w:sz w:val="15"/>
              </w:rPr>
            </w:pPr>
            <w:r>
              <w:rPr>
                <w:color w:val="231F20"/>
                <w:w w:val="85"/>
                <w:sz w:val="15"/>
              </w:rPr>
              <w:t>interrumpe la</w:t>
            </w:r>
          </w:p>
        </w:tc>
        <w:tc>
          <w:tcPr>
            <w:tcW w:w="1037" w:type="dxa"/>
            <w:vMerge w:val="restart"/>
          </w:tcPr>
          <w:p>
            <w:pPr/>
          </w:p>
        </w:tc>
        <w:tc>
          <w:tcPr>
            <w:tcW w:w="1080" w:type="dxa"/>
            <w:vMerge w:val="restart"/>
          </w:tcPr>
          <w:p>
            <w:pPr/>
          </w:p>
        </w:tc>
        <w:tc>
          <w:tcPr>
            <w:tcW w:w="1210" w:type="dxa"/>
            <w:tcBorders>
              <w:bottom w:val="nil"/>
            </w:tcBorders>
          </w:tcPr>
          <w:p>
            <w:pPr>
              <w:pStyle w:val="TableParagraph"/>
              <w:spacing w:line="162" w:lineRule="exact"/>
              <w:ind w:right="79"/>
              <w:rPr>
                <w:sz w:val="15"/>
              </w:rPr>
            </w:pPr>
            <w:r>
              <w:rPr>
                <w:color w:val="231F20"/>
                <w:w w:val="85"/>
                <w:sz w:val="15"/>
              </w:rPr>
              <w:t>factores que</w:t>
            </w:r>
          </w:p>
        </w:tc>
        <w:tc>
          <w:tcPr>
            <w:tcW w:w="1133" w:type="dxa"/>
            <w:vMerge w:val="restart"/>
          </w:tcPr>
          <w:p>
            <w:pPr/>
          </w:p>
        </w:tc>
      </w:tr>
      <w:tr>
        <w:trPr>
          <w:trHeight w:val="170" w:hRule="exact"/>
        </w:trPr>
        <w:tc>
          <w:tcPr>
            <w:tcW w:w="778" w:type="dxa"/>
            <w:vMerge/>
          </w:tcPr>
          <w:p>
            <w:pPr/>
          </w:p>
        </w:tc>
        <w:tc>
          <w:tcPr>
            <w:tcW w:w="1176" w:type="dxa"/>
            <w:tcBorders>
              <w:top w:val="nil"/>
              <w:bottom w:val="nil"/>
            </w:tcBorders>
          </w:tcPr>
          <w:p>
            <w:pPr>
              <w:pStyle w:val="TableParagraph"/>
              <w:spacing w:line="156" w:lineRule="exact"/>
              <w:ind w:right="58"/>
              <w:rPr>
                <w:sz w:val="15"/>
              </w:rPr>
            </w:pPr>
            <w:r>
              <w:rPr>
                <w:color w:val="231F20"/>
                <w:w w:val="85"/>
                <w:sz w:val="15"/>
              </w:rPr>
              <w:t>tranquilidad y la</w:t>
            </w: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90"/>
                <w:sz w:val="15"/>
              </w:rPr>
              <w:t>permiten que la</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Style w:val="TableParagraph"/>
              <w:spacing w:line="158" w:lineRule="exact"/>
              <w:ind w:right="58"/>
              <w:rPr>
                <w:sz w:val="15"/>
              </w:rPr>
            </w:pPr>
            <w:r>
              <w:rPr>
                <w:color w:val="231F20"/>
                <w:w w:val="85"/>
                <w:sz w:val="15"/>
              </w:rPr>
              <w:t>buena conviven-</w:t>
            </w:r>
          </w:p>
        </w:tc>
        <w:tc>
          <w:tcPr>
            <w:tcW w:w="1037" w:type="dxa"/>
            <w:vMerge/>
          </w:tcPr>
          <w:p>
            <w:pPr/>
          </w:p>
        </w:tc>
        <w:tc>
          <w:tcPr>
            <w:tcW w:w="1080" w:type="dxa"/>
            <w:vMerge/>
          </w:tcPr>
          <w:p>
            <w:pPr/>
          </w:p>
        </w:tc>
        <w:tc>
          <w:tcPr>
            <w:tcW w:w="1210" w:type="dxa"/>
            <w:tcBorders>
              <w:top w:val="nil"/>
              <w:bottom w:val="nil"/>
            </w:tcBorders>
          </w:tcPr>
          <w:p>
            <w:pPr>
              <w:pStyle w:val="TableParagraph"/>
              <w:spacing w:line="158" w:lineRule="exact"/>
              <w:ind w:right="79"/>
              <w:rPr>
                <w:sz w:val="15"/>
              </w:rPr>
            </w:pPr>
            <w:r>
              <w:rPr>
                <w:color w:val="231F20"/>
                <w:w w:val="85"/>
                <w:sz w:val="15"/>
              </w:rPr>
              <w:t>violencia se</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Style w:val="TableParagraph"/>
              <w:spacing w:line="156" w:lineRule="exact"/>
              <w:ind w:right="58"/>
              <w:rPr>
                <w:sz w:val="15"/>
              </w:rPr>
            </w:pPr>
            <w:r>
              <w:rPr>
                <w:color w:val="231F20"/>
                <w:w w:val="90"/>
                <w:sz w:val="15"/>
              </w:rPr>
              <w:t>cia entre seres</w:t>
            </w: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85"/>
                <w:sz w:val="15"/>
              </w:rPr>
              <w:t>desarrolle en</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Style w:val="TableParagraph"/>
              <w:spacing w:line="156" w:lineRule="exact"/>
              <w:ind w:right="58"/>
              <w:rPr>
                <w:sz w:val="15"/>
              </w:rPr>
            </w:pPr>
            <w:r>
              <w:rPr>
                <w:color w:val="231F20"/>
                <w:w w:val="95"/>
                <w:sz w:val="15"/>
              </w:rPr>
              <w:t>humanos.</w:t>
            </w: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90"/>
                <w:sz w:val="15"/>
              </w:rPr>
              <w:t>persona y aun en</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85"/>
                <w:sz w:val="15"/>
              </w:rPr>
              <w:t>niños; actualmente</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85"/>
                <w:sz w:val="15"/>
              </w:rPr>
              <w:t>la violencia se está</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90"/>
                <w:sz w:val="15"/>
              </w:rPr>
              <w:t>tornando algo</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rPr>
                <w:sz w:val="15"/>
              </w:rPr>
            </w:pPr>
            <w:r>
              <w:rPr>
                <w:color w:val="231F20"/>
                <w:w w:val="90"/>
                <w:sz w:val="15"/>
              </w:rPr>
              <w:t>natural, la gente se</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8" w:lineRule="exact"/>
              <w:ind w:right="79"/>
              <w:rPr>
                <w:sz w:val="15"/>
              </w:rPr>
            </w:pPr>
            <w:r>
              <w:rPr>
                <w:color w:val="231F20"/>
                <w:w w:val="85"/>
                <w:sz w:val="15"/>
              </w:rPr>
              <w:t>está acostumbran-</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90"/>
                <w:sz w:val="15"/>
              </w:rPr>
              <w:t>do a escuchar y</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85"/>
                <w:sz w:val="15"/>
              </w:rPr>
              <w:t>ver asesinatos, las</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85"/>
                <w:sz w:val="15"/>
              </w:rPr>
              <w:t>mujeres “sopor-</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90"/>
                <w:sz w:val="15"/>
              </w:rPr>
              <w:t>tan” y aceptan el</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90"/>
                <w:sz w:val="15"/>
              </w:rPr>
              <w:t>maltrato de sus</w:t>
            </w:r>
          </w:p>
        </w:tc>
        <w:tc>
          <w:tcPr>
            <w:tcW w:w="1133" w:type="dxa"/>
            <w:vMerge/>
          </w:tcPr>
          <w:p>
            <w:pPr/>
          </w:p>
        </w:tc>
      </w:tr>
      <w:tr>
        <w:trPr>
          <w:trHeight w:val="170"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8" w:lineRule="exact"/>
              <w:ind w:right="79"/>
              <w:rPr>
                <w:sz w:val="15"/>
              </w:rPr>
            </w:pPr>
            <w:r>
              <w:rPr>
                <w:color w:val="231F20"/>
                <w:w w:val="90"/>
                <w:sz w:val="15"/>
              </w:rPr>
              <w:t>esposos, los niños</w:t>
            </w:r>
          </w:p>
        </w:tc>
        <w:tc>
          <w:tcPr>
            <w:tcW w:w="1133" w:type="dxa"/>
            <w:vMerge/>
          </w:tcPr>
          <w:p>
            <w:pPr/>
          </w:p>
        </w:tc>
      </w:tr>
      <w:tr>
        <w:trPr>
          <w:trHeight w:val="168" w:hRule="exact"/>
        </w:trPr>
        <w:tc>
          <w:tcPr>
            <w:tcW w:w="778" w:type="dxa"/>
            <w:vMerge/>
          </w:tcPr>
          <w:p>
            <w:pPr/>
          </w:p>
        </w:tc>
        <w:tc>
          <w:tcPr>
            <w:tcW w:w="1176" w:type="dxa"/>
            <w:tcBorders>
              <w:top w:val="nil"/>
              <w:bottom w:val="nil"/>
            </w:tcBorders>
          </w:tcPr>
          <w:p>
            <w:pPr/>
          </w:p>
        </w:tc>
        <w:tc>
          <w:tcPr>
            <w:tcW w:w="1037" w:type="dxa"/>
            <w:vMerge/>
          </w:tcPr>
          <w:p>
            <w:pPr/>
          </w:p>
        </w:tc>
        <w:tc>
          <w:tcPr>
            <w:tcW w:w="1080" w:type="dxa"/>
            <w:vMerge/>
          </w:tcPr>
          <w:p>
            <w:pPr/>
          </w:p>
        </w:tc>
        <w:tc>
          <w:tcPr>
            <w:tcW w:w="1210" w:type="dxa"/>
            <w:tcBorders>
              <w:top w:val="nil"/>
              <w:bottom w:val="nil"/>
            </w:tcBorders>
          </w:tcPr>
          <w:p>
            <w:pPr>
              <w:pStyle w:val="TableParagraph"/>
              <w:spacing w:line="156" w:lineRule="exact"/>
              <w:ind w:right="79"/>
              <w:rPr>
                <w:sz w:val="15"/>
              </w:rPr>
            </w:pPr>
            <w:r>
              <w:rPr>
                <w:color w:val="231F20"/>
                <w:w w:val="90"/>
                <w:sz w:val="15"/>
              </w:rPr>
              <w:t>crecen con</w:t>
            </w:r>
          </w:p>
        </w:tc>
        <w:tc>
          <w:tcPr>
            <w:tcW w:w="1133" w:type="dxa"/>
            <w:vMerge/>
          </w:tcPr>
          <w:p>
            <w:pPr/>
          </w:p>
        </w:tc>
      </w:tr>
      <w:tr>
        <w:trPr>
          <w:trHeight w:val="205" w:hRule="exact"/>
        </w:trPr>
        <w:tc>
          <w:tcPr>
            <w:tcW w:w="778" w:type="dxa"/>
            <w:vMerge/>
          </w:tcPr>
          <w:p>
            <w:pPr/>
          </w:p>
        </w:tc>
        <w:tc>
          <w:tcPr>
            <w:tcW w:w="1176" w:type="dxa"/>
            <w:tcBorders>
              <w:top w:val="nil"/>
            </w:tcBorders>
          </w:tcPr>
          <w:p>
            <w:pPr/>
          </w:p>
        </w:tc>
        <w:tc>
          <w:tcPr>
            <w:tcW w:w="1037" w:type="dxa"/>
            <w:vMerge/>
          </w:tcPr>
          <w:p>
            <w:pPr/>
          </w:p>
        </w:tc>
        <w:tc>
          <w:tcPr>
            <w:tcW w:w="1080" w:type="dxa"/>
            <w:vMerge/>
          </w:tcPr>
          <w:p>
            <w:pPr/>
          </w:p>
        </w:tc>
        <w:tc>
          <w:tcPr>
            <w:tcW w:w="1210" w:type="dxa"/>
            <w:tcBorders>
              <w:top w:val="nil"/>
            </w:tcBorders>
          </w:tcPr>
          <w:p>
            <w:pPr>
              <w:pStyle w:val="TableParagraph"/>
              <w:spacing w:line="156" w:lineRule="exact"/>
              <w:ind w:right="79"/>
              <w:rPr>
                <w:sz w:val="15"/>
              </w:rPr>
            </w:pPr>
            <w:r>
              <w:rPr>
                <w:color w:val="231F20"/>
                <w:w w:val="90"/>
                <w:sz w:val="15"/>
              </w:rPr>
              <w:t>violencia.</w:t>
            </w:r>
          </w:p>
        </w:tc>
        <w:tc>
          <w:tcPr>
            <w:tcW w:w="1133" w:type="dxa"/>
            <w:vMerge/>
          </w:tcPr>
          <w:p>
            <w:pPr/>
          </w:p>
        </w:tc>
      </w:tr>
      <w:tr>
        <w:trPr>
          <w:trHeight w:val="220" w:hRule="exact"/>
        </w:trPr>
        <w:tc>
          <w:tcPr>
            <w:tcW w:w="778" w:type="dxa"/>
            <w:tcBorders>
              <w:bottom w:val="nil"/>
            </w:tcBorders>
          </w:tcPr>
          <w:p>
            <w:pPr>
              <w:pStyle w:val="TableParagraph"/>
              <w:spacing w:before="28"/>
              <w:ind w:left="105"/>
              <w:rPr>
                <w:sz w:val="15"/>
              </w:rPr>
            </w:pPr>
            <w:r>
              <w:rPr>
                <w:color w:val="231F20"/>
                <w:w w:val="90"/>
                <w:sz w:val="15"/>
              </w:rPr>
              <w:t>21.</w:t>
            </w:r>
          </w:p>
        </w:tc>
        <w:tc>
          <w:tcPr>
            <w:tcW w:w="1176" w:type="dxa"/>
            <w:tcBorders>
              <w:bottom w:val="nil"/>
            </w:tcBorders>
          </w:tcPr>
          <w:p>
            <w:pPr>
              <w:pStyle w:val="TableParagraph"/>
              <w:spacing w:before="28"/>
              <w:ind w:right="58"/>
              <w:rPr>
                <w:sz w:val="15"/>
              </w:rPr>
            </w:pPr>
            <w:r>
              <w:rPr>
                <w:color w:val="231F20"/>
                <w:w w:val="90"/>
                <w:sz w:val="15"/>
              </w:rPr>
              <w:t>El fenómeno de</w:t>
            </w:r>
          </w:p>
        </w:tc>
        <w:tc>
          <w:tcPr>
            <w:tcW w:w="1037" w:type="dxa"/>
            <w:vMerge w:val="restart"/>
          </w:tcPr>
          <w:p>
            <w:pPr/>
          </w:p>
        </w:tc>
        <w:tc>
          <w:tcPr>
            <w:tcW w:w="1080" w:type="dxa"/>
            <w:tcBorders>
              <w:bottom w:val="nil"/>
            </w:tcBorders>
          </w:tcPr>
          <w:p>
            <w:pPr>
              <w:pStyle w:val="TableParagraph"/>
              <w:spacing w:before="28"/>
              <w:ind w:right="30"/>
              <w:rPr>
                <w:sz w:val="15"/>
              </w:rPr>
            </w:pPr>
            <w:r>
              <w:rPr>
                <w:color w:val="231F20"/>
                <w:w w:val="85"/>
                <w:sz w:val="15"/>
              </w:rPr>
              <w:t>La delincuencia</w:t>
            </w:r>
          </w:p>
        </w:tc>
        <w:tc>
          <w:tcPr>
            <w:tcW w:w="1210" w:type="dxa"/>
            <w:tcBorders>
              <w:bottom w:val="nil"/>
            </w:tcBorders>
          </w:tcPr>
          <w:p>
            <w:pPr>
              <w:pStyle w:val="TableParagraph"/>
              <w:spacing w:before="28"/>
              <w:ind w:right="79"/>
              <w:rPr>
                <w:sz w:val="15"/>
              </w:rPr>
            </w:pPr>
            <w:r>
              <w:rPr>
                <w:color w:val="231F20"/>
                <w:w w:val="90"/>
                <w:sz w:val="15"/>
              </w:rPr>
              <w:t>El problema de la</w:t>
            </w:r>
          </w:p>
        </w:tc>
        <w:tc>
          <w:tcPr>
            <w:tcW w:w="1133" w:type="dxa"/>
            <w:tcBorders>
              <w:bottom w:val="nil"/>
            </w:tcBorders>
          </w:tcPr>
          <w:p>
            <w:pPr>
              <w:pStyle w:val="TableParagraph"/>
              <w:spacing w:before="28"/>
              <w:ind w:right="66"/>
              <w:rPr>
                <w:sz w:val="15"/>
              </w:rPr>
            </w:pPr>
            <w:r>
              <w:rPr>
                <w:color w:val="231F20"/>
                <w:w w:val="85"/>
                <w:sz w:val="15"/>
              </w:rPr>
              <w:t>Aunque es</w:t>
            </w:r>
          </w:p>
        </w:tc>
      </w:tr>
      <w:tr>
        <w:trPr>
          <w:trHeight w:val="338" w:hRule="exact"/>
        </w:trPr>
        <w:tc>
          <w:tcPr>
            <w:tcW w:w="778" w:type="dxa"/>
            <w:tcBorders>
              <w:top w:val="nil"/>
              <w:bottom w:val="nil"/>
            </w:tcBorders>
          </w:tcPr>
          <w:p>
            <w:pPr>
              <w:pStyle w:val="TableParagraph"/>
              <w:spacing w:before="24"/>
              <w:ind w:left="105"/>
              <w:rPr>
                <w:sz w:val="15"/>
              </w:rPr>
            </w:pPr>
            <w:r>
              <w:rPr>
                <w:color w:val="231F20"/>
                <w:w w:val="90"/>
                <w:sz w:val="15"/>
              </w:rPr>
              <w:t>Valeria</w:t>
            </w:r>
          </w:p>
        </w:tc>
        <w:tc>
          <w:tcPr>
            <w:tcW w:w="1176" w:type="dxa"/>
            <w:tcBorders>
              <w:top w:val="nil"/>
              <w:bottom w:val="nil"/>
            </w:tcBorders>
          </w:tcPr>
          <w:p>
            <w:pPr>
              <w:pStyle w:val="TableParagraph"/>
              <w:spacing w:line="156" w:lineRule="exact"/>
              <w:ind w:right="58"/>
              <w:rPr>
                <w:sz w:val="15"/>
              </w:rPr>
            </w:pPr>
            <w:r>
              <w:rPr>
                <w:color w:val="231F20"/>
                <w:w w:val="85"/>
                <w:sz w:val="15"/>
              </w:rPr>
              <w:t>la delincuencia</w:t>
            </w:r>
          </w:p>
          <w:p>
            <w:pPr>
              <w:pStyle w:val="TableParagraph"/>
              <w:spacing w:line="170" w:lineRule="exact"/>
              <w:ind w:right="58"/>
              <w:rPr>
                <w:sz w:val="15"/>
              </w:rPr>
            </w:pPr>
            <w:r>
              <w:rPr>
                <w:color w:val="231F20"/>
                <w:w w:val="85"/>
                <w:sz w:val="15"/>
              </w:rPr>
              <w:t>puede considerar-</w:t>
            </w:r>
          </w:p>
        </w:tc>
        <w:tc>
          <w:tcPr>
            <w:tcW w:w="1037" w:type="dxa"/>
            <w:vMerge/>
          </w:tcPr>
          <w:p>
            <w:pPr/>
          </w:p>
        </w:tc>
        <w:tc>
          <w:tcPr>
            <w:tcW w:w="1080" w:type="dxa"/>
            <w:tcBorders>
              <w:top w:val="nil"/>
              <w:bottom w:val="nil"/>
            </w:tcBorders>
          </w:tcPr>
          <w:p>
            <w:pPr>
              <w:pStyle w:val="TableParagraph"/>
              <w:spacing w:line="158" w:lineRule="exact"/>
              <w:ind w:right="30"/>
              <w:rPr>
                <w:sz w:val="15"/>
              </w:rPr>
            </w:pPr>
            <w:r>
              <w:rPr>
                <w:color w:val="231F20"/>
                <w:w w:val="85"/>
                <w:sz w:val="15"/>
              </w:rPr>
              <w:t>como violencia</w:t>
            </w:r>
          </w:p>
        </w:tc>
        <w:tc>
          <w:tcPr>
            <w:tcW w:w="1210" w:type="dxa"/>
            <w:tcBorders>
              <w:top w:val="nil"/>
              <w:bottom w:val="nil"/>
            </w:tcBorders>
          </w:tcPr>
          <w:p>
            <w:pPr>
              <w:pStyle w:val="TableParagraph"/>
              <w:spacing w:line="156" w:lineRule="exact"/>
              <w:ind w:right="79"/>
              <w:rPr>
                <w:sz w:val="15"/>
              </w:rPr>
            </w:pPr>
            <w:r>
              <w:rPr>
                <w:color w:val="231F20"/>
                <w:w w:val="85"/>
                <w:sz w:val="15"/>
              </w:rPr>
              <w:t>delincuencia es</w:t>
            </w:r>
          </w:p>
          <w:p>
            <w:pPr>
              <w:pStyle w:val="TableParagraph"/>
              <w:spacing w:line="170" w:lineRule="exact"/>
              <w:ind w:right="79"/>
              <w:rPr>
                <w:sz w:val="15"/>
              </w:rPr>
            </w:pPr>
            <w:r>
              <w:rPr>
                <w:color w:val="231F20"/>
                <w:w w:val="85"/>
                <w:sz w:val="15"/>
              </w:rPr>
              <w:t>mundial; está</w:t>
            </w:r>
          </w:p>
        </w:tc>
        <w:tc>
          <w:tcPr>
            <w:tcW w:w="1133" w:type="dxa"/>
            <w:tcBorders>
              <w:top w:val="nil"/>
              <w:bottom w:val="nil"/>
            </w:tcBorders>
          </w:tcPr>
          <w:p>
            <w:pPr>
              <w:pStyle w:val="TableParagraph"/>
              <w:spacing w:line="156" w:lineRule="exact"/>
              <w:ind w:right="66"/>
              <w:rPr>
                <w:sz w:val="15"/>
              </w:rPr>
            </w:pPr>
            <w:r>
              <w:rPr>
                <w:color w:val="231F20"/>
                <w:w w:val="85"/>
                <w:sz w:val="15"/>
              </w:rPr>
              <w:t>imposible que</w:t>
            </w:r>
          </w:p>
          <w:p>
            <w:pPr>
              <w:pStyle w:val="TableParagraph"/>
              <w:spacing w:line="170" w:lineRule="exact"/>
              <w:ind w:right="66"/>
              <w:rPr>
                <w:sz w:val="15"/>
              </w:rPr>
            </w:pPr>
            <w:r>
              <w:rPr>
                <w:color w:val="231F20"/>
                <w:w w:val="85"/>
                <w:sz w:val="15"/>
              </w:rPr>
              <w:t>desaparezca la</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se desde una</w:t>
            </w: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51"/>
              <w:rPr>
                <w:sz w:val="15"/>
              </w:rPr>
            </w:pPr>
            <w:r>
              <w:rPr>
                <w:color w:val="231F20"/>
                <w:w w:val="90"/>
                <w:sz w:val="15"/>
              </w:rPr>
              <w:t>ligado a la corrup-</w:t>
            </w:r>
          </w:p>
        </w:tc>
        <w:tc>
          <w:tcPr>
            <w:tcW w:w="1133" w:type="dxa"/>
            <w:tcBorders>
              <w:top w:val="nil"/>
              <w:bottom w:val="nil"/>
            </w:tcBorders>
          </w:tcPr>
          <w:p>
            <w:pPr>
              <w:pStyle w:val="TableParagraph"/>
              <w:spacing w:line="156" w:lineRule="exact"/>
              <w:ind w:right="66"/>
              <w:rPr>
                <w:sz w:val="15"/>
              </w:rPr>
            </w:pPr>
            <w:r>
              <w:rPr>
                <w:color w:val="231F20"/>
                <w:w w:val="85"/>
                <w:sz w:val="15"/>
              </w:rPr>
              <w:t>delincuencia [ no</w:t>
            </w: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perspectiva social</w:t>
            </w: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ción de las</w:t>
            </w:r>
          </w:p>
        </w:tc>
        <w:tc>
          <w:tcPr>
            <w:tcW w:w="1133" w:type="dxa"/>
            <w:tcBorders>
              <w:top w:val="nil"/>
              <w:bottom w:val="nil"/>
            </w:tcBorders>
          </w:tcPr>
          <w:p>
            <w:pPr>
              <w:pStyle w:val="TableParagraph"/>
              <w:spacing w:line="156" w:lineRule="exact"/>
              <w:ind w:right="66"/>
              <w:rPr>
                <w:sz w:val="15"/>
              </w:rPr>
            </w:pPr>
            <w:r>
              <w:rPr>
                <w:color w:val="231F20"/>
                <w:w w:val="90"/>
                <w:sz w:val="15"/>
              </w:rPr>
              <w:t>se explica por</w:t>
            </w: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8" w:lineRule="exact"/>
              <w:ind w:right="58"/>
              <w:rPr>
                <w:sz w:val="15"/>
              </w:rPr>
            </w:pPr>
            <w:r>
              <w:rPr>
                <w:color w:val="231F20"/>
                <w:w w:val="90"/>
                <w:sz w:val="15"/>
              </w:rPr>
              <w:t>y desde una</w:t>
            </w: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8" w:lineRule="exact"/>
              <w:ind w:right="79"/>
              <w:rPr>
                <w:sz w:val="15"/>
              </w:rPr>
            </w:pPr>
            <w:r>
              <w:rPr>
                <w:color w:val="231F20"/>
                <w:w w:val="85"/>
                <w:sz w:val="15"/>
              </w:rPr>
              <w:t>autoridades. En</w:t>
            </w:r>
          </w:p>
        </w:tc>
        <w:tc>
          <w:tcPr>
            <w:tcW w:w="1133" w:type="dxa"/>
            <w:tcBorders>
              <w:top w:val="nil"/>
              <w:bottom w:val="nil"/>
            </w:tcBorders>
          </w:tcPr>
          <w:p>
            <w:pPr>
              <w:pStyle w:val="TableParagraph"/>
              <w:spacing w:line="158" w:lineRule="exact"/>
              <w:ind w:right="66"/>
              <w:rPr>
                <w:sz w:val="15"/>
              </w:rPr>
            </w:pPr>
            <w:r>
              <w:rPr>
                <w:color w:val="231F20"/>
                <w:w w:val="90"/>
                <w:sz w:val="15"/>
              </w:rPr>
              <w:t>qué razones], es</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jurídica. Según la</w:t>
            </w: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rPr>
                <w:sz w:val="15"/>
              </w:rPr>
            </w:pPr>
            <w:r>
              <w:rPr>
                <w:color w:val="231F20"/>
                <w:w w:val="90"/>
                <w:sz w:val="15"/>
              </w:rPr>
              <w:t>México la gente se</w:t>
            </w:r>
          </w:p>
        </w:tc>
        <w:tc>
          <w:tcPr>
            <w:tcW w:w="1133" w:type="dxa"/>
            <w:tcBorders>
              <w:top w:val="nil"/>
              <w:bottom w:val="nil"/>
            </w:tcBorders>
          </w:tcPr>
          <w:p>
            <w:pPr>
              <w:pStyle w:val="TableParagraph"/>
              <w:spacing w:line="156" w:lineRule="exact"/>
              <w:ind w:right="66"/>
              <w:rPr>
                <w:sz w:val="15"/>
              </w:rPr>
            </w:pPr>
            <w:r>
              <w:rPr>
                <w:color w:val="231F20"/>
                <w:w w:val="90"/>
                <w:sz w:val="15"/>
              </w:rPr>
              <w:t>necesario que se</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primera, el</w:t>
            </w: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siente insegura de</w:t>
            </w:r>
          </w:p>
        </w:tc>
        <w:tc>
          <w:tcPr>
            <w:tcW w:w="1133" w:type="dxa"/>
            <w:tcBorders>
              <w:top w:val="nil"/>
              <w:bottom w:val="nil"/>
            </w:tcBorders>
          </w:tcPr>
          <w:p>
            <w:pPr>
              <w:pStyle w:val="TableParagraph"/>
              <w:spacing w:line="156" w:lineRule="exact"/>
              <w:ind w:right="66"/>
              <w:rPr>
                <w:sz w:val="15"/>
              </w:rPr>
            </w:pPr>
            <w:r>
              <w:rPr>
                <w:color w:val="231F20"/>
                <w:w w:val="85"/>
                <w:sz w:val="15"/>
              </w:rPr>
              <w:t>maneje de</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5"/>
                <w:sz w:val="15"/>
              </w:rPr>
              <w:t>delincuente</w:t>
            </w: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90"/>
                <w:sz w:val="15"/>
              </w:rPr>
              <w:t>día y de noche;</w:t>
            </w:r>
          </w:p>
        </w:tc>
        <w:tc>
          <w:tcPr>
            <w:tcW w:w="1133" w:type="dxa"/>
            <w:tcBorders>
              <w:top w:val="nil"/>
              <w:bottom w:val="nil"/>
            </w:tcBorders>
          </w:tcPr>
          <w:p>
            <w:pPr>
              <w:pStyle w:val="TableParagraph"/>
              <w:spacing w:line="156" w:lineRule="exact"/>
              <w:ind w:right="66"/>
              <w:rPr>
                <w:sz w:val="15"/>
              </w:rPr>
            </w:pPr>
            <w:r>
              <w:rPr>
                <w:color w:val="231F20"/>
                <w:w w:val="90"/>
                <w:sz w:val="15"/>
              </w:rPr>
              <w:t>manera contro-</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comete actos</w:t>
            </w: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por ejemplo,</w:t>
            </w:r>
          </w:p>
        </w:tc>
        <w:tc>
          <w:tcPr>
            <w:tcW w:w="1133" w:type="dxa"/>
            <w:tcBorders>
              <w:top w:val="nil"/>
              <w:bottom w:val="nil"/>
            </w:tcBorders>
          </w:tcPr>
          <w:p>
            <w:pPr>
              <w:pStyle w:val="TableParagraph"/>
              <w:spacing w:line="156" w:lineRule="exact"/>
              <w:ind w:right="66"/>
              <w:rPr>
                <w:sz w:val="15"/>
              </w:rPr>
            </w:pPr>
            <w:r>
              <w:rPr>
                <w:color w:val="231F20"/>
                <w:w w:val="90"/>
                <w:sz w:val="15"/>
              </w:rPr>
              <w:t>lada para poder</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dañosos en contra</w:t>
            </w: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ind w:right="79"/>
              <w:rPr>
                <w:sz w:val="15"/>
              </w:rPr>
            </w:pPr>
            <w:r>
              <w:rPr>
                <w:color w:val="231F20"/>
                <w:w w:val="85"/>
                <w:sz w:val="15"/>
              </w:rPr>
              <w:t>cuando se desplaza</w:t>
            </w:r>
          </w:p>
        </w:tc>
        <w:tc>
          <w:tcPr>
            <w:tcW w:w="1133" w:type="dxa"/>
            <w:tcBorders>
              <w:top w:val="nil"/>
              <w:bottom w:val="nil"/>
            </w:tcBorders>
          </w:tcPr>
          <w:p>
            <w:pPr>
              <w:pStyle w:val="TableParagraph"/>
              <w:spacing w:line="156" w:lineRule="exact"/>
              <w:ind w:right="66"/>
              <w:rPr>
                <w:sz w:val="15"/>
              </w:rPr>
            </w:pPr>
            <w:r>
              <w:rPr>
                <w:color w:val="231F20"/>
                <w:w w:val="85"/>
                <w:sz w:val="15"/>
              </w:rPr>
              <w:t>disminuirla. Es</w:t>
            </w: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6" w:lineRule="exact"/>
              <w:rPr>
                <w:sz w:val="15"/>
              </w:rPr>
            </w:pPr>
            <w:r>
              <w:rPr>
                <w:color w:val="231F20"/>
                <w:w w:val="95"/>
                <w:sz w:val="15"/>
              </w:rPr>
              <w:t>de él mismo o sus</w:t>
            </w:r>
          </w:p>
        </w:tc>
        <w:tc>
          <w:tcPr>
            <w:tcW w:w="1037" w:type="dxa"/>
            <w:vMerge/>
          </w:tcPr>
          <w:p>
            <w:pPr/>
          </w:p>
        </w:tc>
        <w:tc>
          <w:tcPr>
            <w:tcW w:w="1080" w:type="dxa"/>
            <w:tcBorders>
              <w:top w:val="nil"/>
              <w:bottom w:val="nil"/>
            </w:tcBorders>
          </w:tcPr>
          <w:p>
            <w:pPr/>
          </w:p>
        </w:tc>
        <w:tc>
          <w:tcPr>
            <w:tcW w:w="1210" w:type="dxa"/>
            <w:tcBorders>
              <w:top w:val="nil"/>
              <w:bottom w:val="nil"/>
            </w:tcBorders>
          </w:tcPr>
          <w:p>
            <w:pPr>
              <w:pStyle w:val="TableParagraph"/>
              <w:spacing w:line="156" w:lineRule="exact"/>
              <w:rPr>
                <w:sz w:val="15"/>
              </w:rPr>
            </w:pPr>
            <w:r>
              <w:rPr>
                <w:color w:val="231F20"/>
                <w:w w:val="95"/>
                <w:sz w:val="15"/>
              </w:rPr>
              <w:t>de un lugar a otro.</w:t>
            </w:r>
          </w:p>
        </w:tc>
        <w:tc>
          <w:tcPr>
            <w:tcW w:w="1133" w:type="dxa"/>
            <w:tcBorders>
              <w:top w:val="nil"/>
              <w:bottom w:val="nil"/>
            </w:tcBorders>
          </w:tcPr>
          <w:p>
            <w:pPr>
              <w:pStyle w:val="TableParagraph"/>
              <w:spacing w:line="156" w:lineRule="exact"/>
              <w:ind w:right="66"/>
              <w:rPr>
                <w:sz w:val="15"/>
              </w:rPr>
            </w:pPr>
            <w:r>
              <w:rPr>
                <w:color w:val="231F20"/>
                <w:w w:val="85"/>
                <w:sz w:val="15"/>
              </w:rPr>
              <w:t>necesario reducir</w:t>
            </w: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8" w:lineRule="exact"/>
              <w:ind w:right="58"/>
              <w:rPr>
                <w:sz w:val="15"/>
              </w:rPr>
            </w:pPr>
            <w:r>
              <w:rPr>
                <w:color w:val="231F20"/>
                <w:w w:val="95"/>
                <w:sz w:val="15"/>
              </w:rPr>
              <w:t>semejantes,</w:t>
            </w: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8" w:lineRule="exact"/>
              <w:ind w:right="66"/>
              <w:rPr>
                <w:sz w:val="15"/>
              </w:rPr>
            </w:pPr>
            <w:r>
              <w:rPr>
                <w:color w:val="231F20"/>
                <w:w w:val="90"/>
                <w:sz w:val="15"/>
              </w:rPr>
              <w:t>los índices de</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5"/>
                <w:sz w:val="15"/>
              </w:rPr>
              <w:t>afectando</w:t>
            </w: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corrupción para</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intereses morales</w:t>
            </w: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Style w:val="TableParagraph"/>
              <w:spacing w:line="156" w:lineRule="exact"/>
              <w:ind w:right="66"/>
              <w:rPr>
                <w:sz w:val="15"/>
              </w:rPr>
            </w:pPr>
            <w:r>
              <w:rPr>
                <w:color w:val="231F20"/>
                <w:w w:val="85"/>
                <w:sz w:val="15"/>
              </w:rPr>
              <w:t>poder lograrlo.</w:t>
            </w: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o materiales;</w:t>
            </w: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según la segunda,</w:t>
            </w: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85"/>
                <w:sz w:val="15"/>
              </w:rPr>
              <w:t>es delincuente</w:t>
            </w: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
        </w:tc>
      </w:tr>
      <w:tr>
        <w:trPr>
          <w:trHeight w:val="170" w:hRule="exact"/>
        </w:trPr>
        <w:tc>
          <w:tcPr>
            <w:tcW w:w="778" w:type="dxa"/>
            <w:tcBorders>
              <w:top w:val="nil"/>
              <w:bottom w:val="nil"/>
            </w:tcBorders>
          </w:tcPr>
          <w:p>
            <w:pPr/>
          </w:p>
        </w:tc>
        <w:tc>
          <w:tcPr>
            <w:tcW w:w="1176" w:type="dxa"/>
            <w:tcBorders>
              <w:top w:val="nil"/>
              <w:bottom w:val="nil"/>
            </w:tcBorders>
          </w:tcPr>
          <w:p>
            <w:pPr>
              <w:pStyle w:val="TableParagraph"/>
              <w:spacing w:line="158" w:lineRule="exact"/>
              <w:ind w:right="58"/>
              <w:rPr>
                <w:sz w:val="15"/>
              </w:rPr>
            </w:pPr>
            <w:r>
              <w:rPr>
                <w:color w:val="231F20"/>
                <w:w w:val="90"/>
                <w:sz w:val="15"/>
              </w:rPr>
              <w:t>quien comete una</w:t>
            </w: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
        </w:tc>
      </w:tr>
      <w:tr>
        <w:trPr>
          <w:trHeight w:val="168" w:hRule="exact"/>
        </w:trPr>
        <w:tc>
          <w:tcPr>
            <w:tcW w:w="778" w:type="dxa"/>
            <w:tcBorders>
              <w:top w:val="nil"/>
              <w:bottom w:val="nil"/>
            </w:tcBorders>
          </w:tcPr>
          <w:p>
            <w:pPr/>
          </w:p>
        </w:tc>
        <w:tc>
          <w:tcPr>
            <w:tcW w:w="1176" w:type="dxa"/>
            <w:tcBorders>
              <w:top w:val="nil"/>
              <w:bottom w:val="nil"/>
            </w:tcBorders>
          </w:tcPr>
          <w:p>
            <w:pPr>
              <w:pStyle w:val="TableParagraph"/>
              <w:spacing w:line="156" w:lineRule="exact"/>
              <w:ind w:right="58"/>
              <w:rPr>
                <w:sz w:val="15"/>
              </w:rPr>
            </w:pPr>
            <w:r>
              <w:rPr>
                <w:color w:val="231F20"/>
                <w:w w:val="90"/>
                <w:sz w:val="15"/>
              </w:rPr>
              <w:t>acción u omisión</w:t>
            </w:r>
          </w:p>
        </w:tc>
        <w:tc>
          <w:tcPr>
            <w:tcW w:w="1037" w:type="dxa"/>
            <w:vMerge/>
          </w:tcPr>
          <w:p>
            <w:pPr/>
          </w:p>
        </w:tc>
        <w:tc>
          <w:tcPr>
            <w:tcW w:w="1080" w:type="dxa"/>
            <w:tcBorders>
              <w:top w:val="nil"/>
              <w:bottom w:val="nil"/>
            </w:tcBorders>
          </w:tcPr>
          <w:p>
            <w:pPr/>
          </w:p>
        </w:tc>
        <w:tc>
          <w:tcPr>
            <w:tcW w:w="1210" w:type="dxa"/>
            <w:tcBorders>
              <w:top w:val="nil"/>
              <w:bottom w:val="nil"/>
            </w:tcBorders>
          </w:tcPr>
          <w:p>
            <w:pPr/>
          </w:p>
        </w:tc>
        <w:tc>
          <w:tcPr>
            <w:tcW w:w="1133" w:type="dxa"/>
            <w:tcBorders>
              <w:top w:val="nil"/>
              <w:bottom w:val="nil"/>
            </w:tcBorders>
          </w:tcPr>
          <w:p>
            <w:pPr/>
          </w:p>
        </w:tc>
      </w:tr>
      <w:tr>
        <w:trPr>
          <w:trHeight w:val="205" w:hRule="exact"/>
        </w:trPr>
        <w:tc>
          <w:tcPr>
            <w:tcW w:w="778" w:type="dxa"/>
            <w:tcBorders>
              <w:top w:val="nil"/>
            </w:tcBorders>
          </w:tcPr>
          <w:p>
            <w:pPr/>
          </w:p>
        </w:tc>
        <w:tc>
          <w:tcPr>
            <w:tcW w:w="1176" w:type="dxa"/>
            <w:tcBorders>
              <w:top w:val="nil"/>
            </w:tcBorders>
          </w:tcPr>
          <w:p>
            <w:pPr>
              <w:pStyle w:val="TableParagraph"/>
              <w:spacing w:line="156" w:lineRule="exact"/>
              <w:ind w:right="58"/>
              <w:rPr>
                <w:sz w:val="15"/>
              </w:rPr>
            </w:pPr>
            <w:r>
              <w:rPr>
                <w:color w:val="231F20"/>
                <w:w w:val="90"/>
                <w:sz w:val="15"/>
              </w:rPr>
              <w:t>contraria a la ley.</w:t>
            </w:r>
          </w:p>
        </w:tc>
        <w:tc>
          <w:tcPr>
            <w:tcW w:w="1037" w:type="dxa"/>
            <w:vMerge/>
          </w:tcPr>
          <w:p>
            <w:pPr/>
          </w:p>
        </w:tc>
        <w:tc>
          <w:tcPr>
            <w:tcW w:w="1080" w:type="dxa"/>
            <w:tcBorders>
              <w:top w:val="nil"/>
            </w:tcBorders>
          </w:tcPr>
          <w:p>
            <w:pPr/>
          </w:p>
        </w:tc>
        <w:tc>
          <w:tcPr>
            <w:tcW w:w="1210" w:type="dxa"/>
            <w:tcBorders>
              <w:top w:val="nil"/>
            </w:tcBorders>
          </w:tcPr>
          <w:p>
            <w:pPr/>
          </w:p>
        </w:tc>
        <w:tc>
          <w:tcPr>
            <w:tcW w:w="1133" w:type="dxa"/>
            <w:tcBorders>
              <w:top w:val="nil"/>
            </w:tcBorders>
          </w:tcPr>
          <w:p>
            <w:pPr/>
          </w:p>
        </w:tc>
      </w:tr>
    </w:tbl>
    <w:p>
      <w:pPr>
        <w:spacing w:after="0"/>
        <w:sectPr>
          <w:headerReference w:type="default" r:id="rId621"/>
          <w:footerReference w:type="default" r:id="rId622"/>
          <w:pgSz w:w="7830" w:h="11910"/>
          <w:pgMar w:header="0" w:footer="424" w:top="500" w:bottom="620" w:left="800" w:right="380"/>
          <w:pgNumType w:start="27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20"/>
        </w:rPr>
      </w:pPr>
    </w:p>
    <w:p>
      <w:pPr>
        <w:pStyle w:val="BodyText"/>
        <w:rPr>
          <w:sz w:val="20"/>
        </w:rPr>
      </w:pPr>
    </w:p>
    <w:p>
      <w:pPr>
        <w:pStyle w:val="BodyText"/>
        <w:spacing w:before="10"/>
        <w:rPr>
          <w:sz w:val="24"/>
        </w:rPr>
      </w:pPr>
    </w:p>
    <w:p>
      <w:pPr>
        <w:spacing w:before="69"/>
        <w:ind w:left="102" w:right="121" w:firstLine="0"/>
        <w:jc w:val="left"/>
        <w:rPr>
          <w:sz w:val="17"/>
        </w:rPr>
      </w:pPr>
      <w:r>
        <w:rPr>
          <w:color w:val="231F20"/>
          <w:w w:val="105"/>
          <w:sz w:val="21"/>
        </w:rPr>
        <w:t>R</w:t>
      </w:r>
      <w:r>
        <w:rPr>
          <w:color w:val="231F20"/>
          <w:w w:val="105"/>
          <w:sz w:val="17"/>
        </w:rPr>
        <w:t>EFERENCIAS</w:t>
      </w:r>
    </w:p>
    <w:p>
      <w:pPr>
        <w:pStyle w:val="BodyText"/>
        <w:rPr>
          <w:sz w:val="22"/>
        </w:rPr>
      </w:pPr>
    </w:p>
    <w:p>
      <w:pPr>
        <w:spacing w:line="244" w:lineRule="auto" w:before="129"/>
        <w:ind w:left="811" w:right="116" w:hanging="709"/>
        <w:jc w:val="both"/>
        <w:rPr>
          <w:sz w:val="21"/>
        </w:rPr>
      </w:pPr>
      <w:r>
        <w:rPr>
          <w:color w:val="231F20"/>
          <w:sz w:val="21"/>
        </w:rPr>
        <w:t>Benjamin, Walter (2002), “Critique of Violence”, en Benjamin, </w:t>
      </w:r>
      <w:r>
        <w:rPr>
          <w:color w:val="231F20"/>
          <w:w w:val="95"/>
          <w:sz w:val="21"/>
        </w:rPr>
        <w:t>Walter. </w:t>
      </w:r>
      <w:r>
        <w:rPr>
          <w:i/>
          <w:color w:val="231F20"/>
          <w:w w:val="95"/>
          <w:sz w:val="21"/>
        </w:rPr>
        <w:t>Selected Writings: 1913-1926, Volume 1</w:t>
      </w:r>
      <w:r>
        <w:rPr>
          <w:color w:val="231F20"/>
          <w:w w:val="95"/>
          <w:sz w:val="21"/>
        </w:rPr>
        <w:t>. Harvard Uni- </w:t>
      </w:r>
      <w:r>
        <w:rPr>
          <w:color w:val="231F20"/>
          <w:sz w:val="21"/>
        </w:rPr>
        <w:t>versity Press.</w:t>
      </w:r>
    </w:p>
    <w:p>
      <w:pPr>
        <w:spacing w:before="3"/>
        <w:ind w:left="102" w:right="0" w:firstLine="0"/>
        <w:jc w:val="left"/>
        <w:rPr>
          <w:i/>
          <w:sz w:val="21"/>
        </w:rPr>
      </w:pPr>
      <w:r>
        <w:rPr>
          <w:color w:val="231F20"/>
          <w:w w:val="95"/>
          <w:sz w:val="21"/>
        </w:rPr>
        <w:t>Cassany, Daniel (2006) </w:t>
      </w:r>
      <w:r>
        <w:rPr>
          <w:i/>
          <w:color w:val="231F20"/>
          <w:w w:val="95"/>
          <w:sz w:val="21"/>
        </w:rPr>
        <w:t>Tras las líneas: sobre la lectura contemporánea.</w:t>
      </w:r>
    </w:p>
    <w:p>
      <w:pPr>
        <w:pStyle w:val="BodyText"/>
        <w:spacing w:before="3"/>
        <w:ind w:left="811" w:right="121"/>
      </w:pPr>
      <w:r>
        <w:rPr>
          <w:color w:val="231F20"/>
        </w:rPr>
        <w:t>Barcelona: Anagrama.</w:t>
      </w:r>
    </w:p>
    <w:p>
      <w:pPr>
        <w:spacing w:line="242" w:lineRule="auto" w:before="8"/>
        <w:ind w:left="810" w:right="118" w:hanging="709"/>
        <w:jc w:val="both"/>
        <w:rPr>
          <w:sz w:val="21"/>
        </w:rPr>
      </w:pPr>
      <w:r>
        <w:rPr>
          <w:color w:val="231F20"/>
          <w:w w:val="95"/>
          <w:sz w:val="21"/>
        </w:rPr>
        <w:t>Cassany, Daniel (2012). </w:t>
      </w:r>
      <w:r>
        <w:rPr>
          <w:i/>
          <w:color w:val="231F20"/>
          <w:w w:val="95"/>
          <w:sz w:val="21"/>
        </w:rPr>
        <w:t>Taller de textos: Leer, escribir y comentar en</w:t>
      </w:r>
      <w:r>
        <w:rPr>
          <w:i/>
          <w:color w:val="231F20"/>
          <w:spacing w:val="-26"/>
          <w:w w:val="95"/>
          <w:sz w:val="21"/>
        </w:rPr>
        <w:t> </w:t>
      </w:r>
      <w:r>
        <w:rPr>
          <w:i/>
          <w:color w:val="231F20"/>
          <w:w w:val="95"/>
          <w:sz w:val="21"/>
        </w:rPr>
        <w:t>el </w:t>
      </w:r>
      <w:r>
        <w:rPr>
          <w:i/>
          <w:color w:val="231F20"/>
          <w:w w:val="95"/>
          <w:sz w:val="21"/>
        </w:rPr>
        <w:t>aula</w:t>
      </w:r>
      <w:r>
        <w:rPr>
          <w:color w:val="231F20"/>
          <w:w w:val="95"/>
          <w:sz w:val="21"/>
        </w:rPr>
        <w:t>. Barcelona:</w:t>
      </w:r>
      <w:r>
        <w:rPr>
          <w:color w:val="231F20"/>
          <w:spacing w:val="24"/>
          <w:w w:val="95"/>
          <w:sz w:val="21"/>
        </w:rPr>
        <w:t> </w:t>
      </w:r>
      <w:r>
        <w:rPr>
          <w:color w:val="231F20"/>
          <w:w w:val="95"/>
          <w:sz w:val="21"/>
        </w:rPr>
        <w:t>Paidós.</w:t>
      </w:r>
    </w:p>
    <w:p>
      <w:pPr>
        <w:spacing w:line="242" w:lineRule="auto" w:before="6"/>
        <w:ind w:left="810" w:right="117" w:hanging="709"/>
        <w:jc w:val="both"/>
        <w:rPr>
          <w:sz w:val="21"/>
        </w:rPr>
      </w:pPr>
      <w:r>
        <w:rPr>
          <w:color w:val="231F20"/>
          <w:w w:val="95"/>
          <w:sz w:val="21"/>
        </w:rPr>
        <w:t>Ferreiro,</w:t>
      </w:r>
      <w:r>
        <w:rPr>
          <w:color w:val="231F20"/>
          <w:spacing w:val="-5"/>
          <w:w w:val="95"/>
          <w:sz w:val="21"/>
        </w:rPr>
        <w:t> </w:t>
      </w:r>
      <w:r>
        <w:rPr>
          <w:color w:val="231F20"/>
          <w:w w:val="95"/>
          <w:sz w:val="21"/>
        </w:rPr>
        <w:t>Emilia</w:t>
      </w:r>
      <w:r>
        <w:rPr>
          <w:color w:val="231F20"/>
          <w:spacing w:val="-4"/>
          <w:w w:val="95"/>
          <w:sz w:val="21"/>
        </w:rPr>
        <w:t> </w:t>
      </w:r>
      <w:r>
        <w:rPr>
          <w:color w:val="231F20"/>
          <w:w w:val="95"/>
          <w:sz w:val="21"/>
        </w:rPr>
        <w:t>(2005).</w:t>
      </w:r>
      <w:r>
        <w:rPr>
          <w:color w:val="231F20"/>
          <w:spacing w:val="-6"/>
          <w:w w:val="95"/>
          <w:sz w:val="21"/>
        </w:rPr>
        <w:t> </w:t>
      </w:r>
      <w:r>
        <w:rPr>
          <w:i/>
          <w:color w:val="231F20"/>
          <w:w w:val="95"/>
          <w:sz w:val="21"/>
        </w:rPr>
        <w:t>Literacia</w:t>
      </w:r>
      <w:r>
        <w:rPr>
          <w:i/>
          <w:color w:val="231F20"/>
          <w:spacing w:val="-4"/>
          <w:w w:val="95"/>
          <w:sz w:val="21"/>
        </w:rPr>
        <w:t> </w:t>
      </w:r>
      <w:r>
        <w:rPr>
          <w:i/>
          <w:color w:val="231F20"/>
          <w:w w:val="95"/>
          <w:sz w:val="21"/>
        </w:rPr>
        <w:t>/</w:t>
      </w:r>
      <w:r>
        <w:rPr>
          <w:i/>
          <w:color w:val="231F20"/>
          <w:spacing w:val="-4"/>
          <w:w w:val="95"/>
          <w:sz w:val="21"/>
        </w:rPr>
        <w:t> </w:t>
      </w:r>
      <w:r>
        <w:rPr>
          <w:i/>
          <w:color w:val="231F20"/>
          <w:w w:val="95"/>
          <w:sz w:val="21"/>
        </w:rPr>
        <w:t>lectura</w:t>
      </w:r>
      <w:r>
        <w:rPr>
          <w:i/>
          <w:color w:val="231F20"/>
          <w:spacing w:val="-4"/>
          <w:w w:val="95"/>
          <w:sz w:val="21"/>
        </w:rPr>
        <w:t> </w:t>
      </w:r>
      <w:r>
        <w:rPr>
          <w:i/>
          <w:color w:val="231F20"/>
          <w:w w:val="95"/>
          <w:sz w:val="21"/>
        </w:rPr>
        <w:t>/</w:t>
      </w:r>
      <w:r>
        <w:rPr>
          <w:i/>
          <w:color w:val="231F20"/>
          <w:spacing w:val="-4"/>
          <w:w w:val="95"/>
          <w:sz w:val="21"/>
        </w:rPr>
        <w:t> </w:t>
      </w:r>
      <w:r>
        <w:rPr>
          <w:i/>
          <w:color w:val="231F20"/>
          <w:w w:val="95"/>
          <w:sz w:val="21"/>
        </w:rPr>
        <w:t>escrituralidad</w:t>
      </w:r>
      <w:r>
        <w:rPr>
          <w:color w:val="231F20"/>
          <w:w w:val="95"/>
          <w:sz w:val="21"/>
        </w:rPr>
        <w:t>.</w:t>
      </w:r>
      <w:r>
        <w:rPr>
          <w:color w:val="231F20"/>
          <w:spacing w:val="-5"/>
          <w:w w:val="95"/>
          <w:sz w:val="21"/>
        </w:rPr>
        <w:t> </w:t>
      </w:r>
      <w:r>
        <w:rPr>
          <w:color w:val="231F20"/>
          <w:w w:val="95"/>
          <w:sz w:val="21"/>
        </w:rPr>
        <w:t>Puerto</w:t>
      </w:r>
      <w:r>
        <w:rPr>
          <w:color w:val="231F20"/>
          <w:spacing w:val="-4"/>
          <w:w w:val="95"/>
          <w:sz w:val="21"/>
        </w:rPr>
        <w:t> </w:t>
      </w:r>
      <w:r>
        <w:rPr>
          <w:color w:val="231F20"/>
          <w:w w:val="95"/>
          <w:sz w:val="21"/>
        </w:rPr>
        <w:t>Rico: </w:t>
      </w:r>
      <w:r>
        <w:rPr>
          <w:color w:val="231F20"/>
          <w:sz w:val="21"/>
        </w:rPr>
        <w:t>Congreso de la Internacional Reading</w:t>
      </w:r>
      <w:r>
        <w:rPr>
          <w:color w:val="231F20"/>
          <w:spacing w:val="4"/>
          <w:sz w:val="21"/>
        </w:rPr>
        <w:t> </w:t>
      </w:r>
      <w:r>
        <w:rPr>
          <w:color w:val="231F20"/>
          <w:sz w:val="21"/>
        </w:rPr>
        <w:t>Association.</w:t>
      </w:r>
    </w:p>
    <w:p>
      <w:pPr>
        <w:spacing w:line="244" w:lineRule="auto" w:before="6"/>
        <w:ind w:left="811" w:right="117" w:hanging="710"/>
        <w:jc w:val="both"/>
        <w:rPr>
          <w:sz w:val="21"/>
        </w:rPr>
      </w:pPr>
      <w:r>
        <w:rPr>
          <w:color w:val="231F20"/>
          <w:sz w:val="21"/>
        </w:rPr>
        <w:t>Garro, Elena (2001). “El árbol”, en Krauze, Ethel y Espejo, Beatriz </w:t>
      </w:r>
      <w:r>
        <w:rPr>
          <w:color w:val="231F20"/>
          <w:w w:val="90"/>
          <w:sz w:val="21"/>
        </w:rPr>
        <w:t>(Comp.)</w:t>
      </w:r>
      <w:r>
        <w:rPr>
          <w:color w:val="231F20"/>
          <w:spacing w:val="-11"/>
          <w:w w:val="90"/>
          <w:sz w:val="21"/>
        </w:rPr>
        <w:t> </w:t>
      </w:r>
      <w:r>
        <w:rPr>
          <w:i/>
          <w:color w:val="231F20"/>
          <w:w w:val="90"/>
          <w:sz w:val="21"/>
        </w:rPr>
        <w:t>Atrapadas</w:t>
      </w:r>
      <w:r>
        <w:rPr>
          <w:i/>
          <w:color w:val="231F20"/>
          <w:spacing w:val="-11"/>
          <w:w w:val="90"/>
          <w:sz w:val="21"/>
        </w:rPr>
        <w:t> </w:t>
      </w:r>
      <w:r>
        <w:rPr>
          <w:i/>
          <w:color w:val="231F20"/>
          <w:w w:val="90"/>
          <w:sz w:val="21"/>
        </w:rPr>
        <w:t>en</w:t>
      </w:r>
      <w:r>
        <w:rPr>
          <w:i/>
          <w:color w:val="231F20"/>
          <w:spacing w:val="-10"/>
          <w:w w:val="90"/>
          <w:sz w:val="21"/>
        </w:rPr>
        <w:t> </w:t>
      </w:r>
      <w:r>
        <w:rPr>
          <w:i/>
          <w:color w:val="231F20"/>
          <w:w w:val="90"/>
          <w:sz w:val="21"/>
        </w:rPr>
        <w:t>la</w:t>
      </w:r>
      <w:r>
        <w:rPr>
          <w:i/>
          <w:color w:val="231F20"/>
          <w:spacing w:val="-10"/>
          <w:w w:val="90"/>
          <w:sz w:val="21"/>
        </w:rPr>
        <w:t> </w:t>
      </w:r>
      <w:r>
        <w:rPr>
          <w:i/>
          <w:color w:val="231F20"/>
          <w:w w:val="90"/>
          <w:sz w:val="21"/>
        </w:rPr>
        <w:t>casa.</w:t>
      </w:r>
      <w:r>
        <w:rPr>
          <w:i/>
          <w:color w:val="231F20"/>
          <w:spacing w:val="-11"/>
          <w:w w:val="90"/>
          <w:sz w:val="21"/>
        </w:rPr>
        <w:t> </w:t>
      </w:r>
      <w:r>
        <w:rPr>
          <w:i/>
          <w:color w:val="231F20"/>
          <w:w w:val="90"/>
          <w:sz w:val="21"/>
        </w:rPr>
        <w:t>Cuentos</w:t>
      </w:r>
      <w:r>
        <w:rPr>
          <w:i/>
          <w:color w:val="231F20"/>
          <w:spacing w:val="-11"/>
          <w:w w:val="90"/>
          <w:sz w:val="21"/>
        </w:rPr>
        <w:t> </w:t>
      </w:r>
      <w:r>
        <w:rPr>
          <w:i/>
          <w:color w:val="231F20"/>
          <w:w w:val="90"/>
          <w:sz w:val="21"/>
        </w:rPr>
        <w:t>de</w:t>
      </w:r>
      <w:r>
        <w:rPr>
          <w:i/>
          <w:color w:val="231F20"/>
          <w:spacing w:val="-11"/>
          <w:w w:val="90"/>
          <w:sz w:val="21"/>
        </w:rPr>
        <w:t> </w:t>
      </w:r>
      <w:r>
        <w:rPr>
          <w:i/>
          <w:color w:val="231F20"/>
          <w:w w:val="90"/>
          <w:sz w:val="21"/>
        </w:rPr>
        <w:t>escritoras</w:t>
      </w:r>
      <w:r>
        <w:rPr>
          <w:i/>
          <w:color w:val="231F20"/>
          <w:spacing w:val="-11"/>
          <w:w w:val="90"/>
          <w:sz w:val="21"/>
        </w:rPr>
        <w:t> </w:t>
      </w:r>
      <w:r>
        <w:rPr>
          <w:i/>
          <w:color w:val="231F20"/>
          <w:w w:val="90"/>
          <w:sz w:val="21"/>
        </w:rPr>
        <w:t>mexicanas</w:t>
      </w:r>
      <w:r>
        <w:rPr>
          <w:i/>
          <w:color w:val="231F20"/>
          <w:spacing w:val="-11"/>
          <w:w w:val="90"/>
          <w:sz w:val="21"/>
        </w:rPr>
        <w:t> </w:t>
      </w:r>
      <w:r>
        <w:rPr>
          <w:i/>
          <w:color w:val="231F20"/>
          <w:w w:val="90"/>
          <w:sz w:val="21"/>
        </w:rPr>
        <w:t>del </w:t>
      </w:r>
      <w:r>
        <w:rPr>
          <w:i/>
          <w:color w:val="231F20"/>
          <w:sz w:val="21"/>
        </w:rPr>
        <w:t>siglo</w:t>
      </w:r>
      <w:r>
        <w:rPr>
          <w:i/>
          <w:color w:val="231F20"/>
          <w:spacing w:val="-9"/>
          <w:sz w:val="21"/>
        </w:rPr>
        <w:t> </w:t>
      </w:r>
      <w:r>
        <w:rPr>
          <w:i/>
          <w:color w:val="231F20"/>
          <w:sz w:val="21"/>
        </w:rPr>
        <w:t>XX</w:t>
      </w:r>
      <w:r>
        <w:rPr>
          <w:color w:val="231F20"/>
          <w:sz w:val="21"/>
        </w:rPr>
        <w:t>.</w:t>
      </w:r>
      <w:r>
        <w:rPr>
          <w:color w:val="231F20"/>
          <w:spacing w:val="-9"/>
          <w:sz w:val="21"/>
        </w:rPr>
        <w:t> </w:t>
      </w:r>
      <w:r>
        <w:rPr>
          <w:color w:val="231F20"/>
          <w:sz w:val="21"/>
        </w:rPr>
        <w:t>México</w:t>
      </w:r>
      <w:r>
        <w:rPr>
          <w:color w:val="231F20"/>
          <w:spacing w:val="-8"/>
          <w:sz w:val="21"/>
        </w:rPr>
        <w:t> </w:t>
      </w:r>
      <w:r>
        <w:rPr>
          <w:color w:val="231F20"/>
          <w:sz w:val="21"/>
        </w:rPr>
        <w:t>DF:</w:t>
      </w:r>
      <w:r>
        <w:rPr>
          <w:color w:val="231F20"/>
          <w:spacing w:val="-9"/>
          <w:sz w:val="21"/>
        </w:rPr>
        <w:t> </w:t>
      </w:r>
      <w:r>
        <w:rPr>
          <w:color w:val="231F20"/>
          <w:sz w:val="21"/>
        </w:rPr>
        <w:t>Selector,</w:t>
      </w:r>
      <w:r>
        <w:rPr>
          <w:color w:val="231F20"/>
          <w:spacing w:val="-9"/>
          <w:sz w:val="21"/>
        </w:rPr>
        <w:t> </w:t>
      </w:r>
      <w:r>
        <w:rPr>
          <w:color w:val="231F20"/>
          <w:sz w:val="21"/>
        </w:rPr>
        <w:t>pp.</w:t>
      </w:r>
      <w:r>
        <w:rPr>
          <w:color w:val="231F20"/>
          <w:spacing w:val="-9"/>
          <w:sz w:val="21"/>
        </w:rPr>
        <w:t> </w:t>
      </w:r>
      <w:r>
        <w:rPr>
          <w:color w:val="231F20"/>
          <w:sz w:val="21"/>
        </w:rPr>
        <w:t>49-72.</w:t>
      </w:r>
    </w:p>
    <w:p>
      <w:pPr>
        <w:spacing w:line="242" w:lineRule="auto" w:before="3"/>
        <w:ind w:left="811" w:right="115" w:hanging="709"/>
        <w:jc w:val="both"/>
        <w:rPr>
          <w:sz w:val="21"/>
        </w:rPr>
      </w:pPr>
      <w:r>
        <w:rPr>
          <w:color w:val="231F20"/>
          <w:w w:val="95"/>
          <w:sz w:val="21"/>
        </w:rPr>
        <w:t>Larrosa,</w:t>
      </w:r>
      <w:r>
        <w:rPr>
          <w:color w:val="231F20"/>
          <w:spacing w:val="-7"/>
          <w:w w:val="95"/>
          <w:sz w:val="21"/>
        </w:rPr>
        <w:t> </w:t>
      </w:r>
      <w:r>
        <w:rPr>
          <w:color w:val="231F20"/>
          <w:w w:val="95"/>
          <w:sz w:val="21"/>
        </w:rPr>
        <w:t>Jorge</w:t>
      </w:r>
      <w:r>
        <w:rPr>
          <w:color w:val="231F20"/>
          <w:spacing w:val="-6"/>
          <w:w w:val="95"/>
          <w:sz w:val="21"/>
        </w:rPr>
        <w:t> </w:t>
      </w:r>
      <w:r>
        <w:rPr>
          <w:color w:val="231F20"/>
          <w:w w:val="95"/>
          <w:sz w:val="21"/>
        </w:rPr>
        <w:t>y</w:t>
      </w:r>
      <w:r>
        <w:rPr>
          <w:color w:val="231F20"/>
          <w:spacing w:val="-6"/>
          <w:w w:val="95"/>
          <w:sz w:val="21"/>
        </w:rPr>
        <w:t> </w:t>
      </w:r>
      <w:r>
        <w:rPr>
          <w:color w:val="231F20"/>
          <w:w w:val="95"/>
          <w:sz w:val="21"/>
        </w:rPr>
        <w:t>Carlos</w:t>
      </w:r>
      <w:r>
        <w:rPr>
          <w:color w:val="231F20"/>
          <w:spacing w:val="-6"/>
          <w:w w:val="95"/>
          <w:sz w:val="21"/>
        </w:rPr>
        <w:t> </w:t>
      </w:r>
      <w:r>
        <w:rPr>
          <w:color w:val="231F20"/>
          <w:w w:val="95"/>
          <w:sz w:val="21"/>
        </w:rPr>
        <w:t>Skliar</w:t>
      </w:r>
      <w:r>
        <w:rPr>
          <w:color w:val="231F20"/>
          <w:spacing w:val="-6"/>
          <w:w w:val="95"/>
          <w:sz w:val="21"/>
        </w:rPr>
        <w:t> </w:t>
      </w:r>
      <w:r>
        <w:rPr>
          <w:color w:val="231F20"/>
          <w:w w:val="95"/>
          <w:sz w:val="21"/>
        </w:rPr>
        <w:t>(Coord.)</w:t>
      </w:r>
      <w:r>
        <w:rPr>
          <w:color w:val="231F20"/>
          <w:spacing w:val="-6"/>
          <w:w w:val="95"/>
          <w:sz w:val="21"/>
        </w:rPr>
        <w:t> </w:t>
      </w:r>
      <w:r>
        <w:rPr>
          <w:color w:val="231F20"/>
          <w:w w:val="95"/>
          <w:sz w:val="21"/>
        </w:rPr>
        <w:t>(2005).</w:t>
      </w:r>
      <w:r>
        <w:rPr>
          <w:color w:val="231F20"/>
          <w:spacing w:val="-8"/>
          <w:w w:val="95"/>
          <w:sz w:val="21"/>
        </w:rPr>
        <w:t> </w:t>
      </w:r>
      <w:r>
        <w:rPr>
          <w:i/>
          <w:color w:val="231F20"/>
          <w:w w:val="95"/>
          <w:sz w:val="21"/>
        </w:rPr>
        <w:t>Entre</w:t>
      </w:r>
      <w:r>
        <w:rPr>
          <w:i/>
          <w:color w:val="231F20"/>
          <w:spacing w:val="-7"/>
          <w:w w:val="95"/>
          <w:sz w:val="21"/>
        </w:rPr>
        <w:t> </w:t>
      </w:r>
      <w:r>
        <w:rPr>
          <w:i/>
          <w:color w:val="231F20"/>
          <w:w w:val="95"/>
          <w:sz w:val="21"/>
        </w:rPr>
        <w:t>pedagogía</w:t>
      </w:r>
      <w:r>
        <w:rPr>
          <w:i/>
          <w:color w:val="231F20"/>
          <w:spacing w:val="-6"/>
          <w:w w:val="95"/>
          <w:sz w:val="21"/>
        </w:rPr>
        <w:t> </w:t>
      </w:r>
      <w:r>
        <w:rPr>
          <w:i/>
          <w:color w:val="231F20"/>
          <w:w w:val="95"/>
          <w:sz w:val="21"/>
        </w:rPr>
        <w:t>y</w:t>
      </w:r>
      <w:r>
        <w:rPr>
          <w:i/>
          <w:color w:val="231F20"/>
          <w:spacing w:val="-7"/>
          <w:w w:val="95"/>
          <w:sz w:val="21"/>
        </w:rPr>
        <w:t> </w:t>
      </w:r>
      <w:r>
        <w:rPr>
          <w:i/>
          <w:color w:val="231F20"/>
          <w:w w:val="95"/>
          <w:sz w:val="21"/>
        </w:rPr>
        <w:t>litera- </w:t>
      </w:r>
      <w:r>
        <w:rPr>
          <w:i/>
          <w:color w:val="231F20"/>
          <w:sz w:val="21"/>
        </w:rPr>
        <w:t>tura</w:t>
      </w:r>
      <w:r>
        <w:rPr>
          <w:color w:val="231F20"/>
          <w:sz w:val="21"/>
        </w:rPr>
        <w:t>.</w:t>
      </w:r>
      <w:r>
        <w:rPr>
          <w:color w:val="231F20"/>
          <w:spacing w:val="-18"/>
          <w:sz w:val="21"/>
        </w:rPr>
        <w:t> </w:t>
      </w:r>
      <w:r>
        <w:rPr>
          <w:color w:val="231F20"/>
          <w:sz w:val="21"/>
        </w:rPr>
        <w:t>Buenos</w:t>
      </w:r>
      <w:r>
        <w:rPr>
          <w:color w:val="231F20"/>
          <w:spacing w:val="-17"/>
          <w:sz w:val="21"/>
        </w:rPr>
        <w:t> </w:t>
      </w:r>
      <w:r>
        <w:rPr>
          <w:color w:val="231F20"/>
          <w:sz w:val="21"/>
        </w:rPr>
        <w:t>Aires:</w:t>
      </w:r>
      <w:r>
        <w:rPr>
          <w:color w:val="231F20"/>
          <w:spacing w:val="-18"/>
          <w:sz w:val="21"/>
        </w:rPr>
        <w:t> </w:t>
      </w:r>
      <w:r>
        <w:rPr>
          <w:color w:val="231F20"/>
          <w:sz w:val="21"/>
        </w:rPr>
        <w:t>Miño</w:t>
      </w:r>
      <w:r>
        <w:rPr>
          <w:color w:val="231F20"/>
          <w:spacing w:val="-17"/>
          <w:sz w:val="21"/>
        </w:rPr>
        <w:t> </w:t>
      </w:r>
      <w:r>
        <w:rPr>
          <w:color w:val="231F20"/>
          <w:sz w:val="21"/>
        </w:rPr>
        <w:t>y</w:t>
      </w:r>
      <w:r>
        <w:rPr>
          <w:color w:val="231F20"/>
          <w:spacing w:val="-17"/>
          <w:sz w:val="21"/>
        </w:rPr>
        <w:t> </w:t>
      </w:r>
      <w:r>
        <w:rPr>
          <w:color w:val="231F20"/>
          <w:sz w:val="21"/>
        </w:rPr>
        <w:t>Dávila.</w:t>
      </w:r>
    </w:p>
    <w:p>
      <w:pPr>
        <w:pStyle w:val="BodyText"/>
        <w:spacing w:line="247" w:lineRule="auto" w:before="20"/>
        <w:ind w:left="811" w:right="116" w:hanging="709"/>
        <w:jc w:val="both"/>
      </w:pPr>
      <w:r>
        <w:rPr>
          <w:color w:val="231F20"/>
        </w:rPr>
        <w:t>Luke, Allan y Peter Freebody. (1997). “The Social Practices of Reading”, en S. Muspratt, A. Luke y P. Freebody (eds). </w:t>
      </w:r>
      <w:r>
        <w:rPr>
          <w:i/>
          <w:color w:val="231F20"/>
          <w:w w:val="95"/>
        </w:rPr>
        <w:t>Constructing Critical Literacies</w:t>
      </w:r>
      <w:r>
        <w:rPr>
          <w:color w:val="231F20"/>
          <w:w w:val="95"/>
        </w:rPr>
        <w:t>. Creskill, NJ: Hampton Press, </w:t>
      </w:r>
      <w:r>
        <w:rPr>
          <w:color w:val="231F20"/>
        </w:rPr>
        <w:t>185-225.</w:t>
      </w:r>
    </w:p>
    <w:p>
      <w:pPr>
        <w:spacing w:after="0" w:line="247" w:lineRule="auto"/>
        <w:jc w:val="both"/>
        <w:sectPr>
          <w:headerReference w:type="default" r:id="rId623"/>
          <w:footerReference w:type="default" r:id="rId624"/>
          <w:pgSz w:w="7830" w:h="11910"/>
          <w:pgMar w:header="0" w:footer="424" w:top="500" w:bottom="620" w:left="920" w:right="900"/>
          <w:pgNumType w:start="277"/>
        </w:sectPr>
      </w:pPr>
    </w:p>
    <w:p>
      <w:pPr>
        <w:pStyle w:val="BodyText"/>
        <w:ind w:left="140"/>
        <w:rPr>
          <w:sz w:val="20"/>
        </w:rPr>
      </w:pPr>
      <w:r>
        <w:rPr/>
        <w:pict>
          <v:shape style="position:absolute;margin-left:60.041pt;margin-top:23.550001pt;width:270pt;height:27pt;mso-position-horizontal-relative:page;mso-position-vertical-relative:page;z-index:-482800" type="#_x0000_t202" filled="false" stroked="false">
            <v:textbox inset="0,0,0,0">
              <w:txbxContent>
                <w:p>
                  <w:pPr>
                    <w:spacing w:before="80"/>
                    <w:ind w:left="31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txbxContent>
            </v:textbox>
            <w10:wrap type="none"/>
          </v:shape>
        </w:pict>
      </w:r>
      <w:r>
        <w:rPr/>
        <w:pict>
          <v:shape style="position:absolute;margin-left:78.041pt;margin-top:554.549988pt;width:270pt;height:27pt;mso-position-horizontal-relative:page;mso-position-vertical-relative:page;z-index:-482776" type="#_x0000_t202" filled="false" stroked="false">
            <v:textbox inset="0,0,0,0">
              <w:txbxContent>
                <w:p>
                  <w:pPr>
                    <w:pStyle w:val="BodyText"/>
                    <w:spacing w:before="1"/>
                    <w:rPr>
                      <w:sz w:val="15"/>
                    </w:rPr>
                  </w:pPr>
                </w:p>
                <w:p>
                  <w:pPr>
                    <w:spacing w:before="1"/>
                    <w:ind w:left="2200" w:right="2892" w:firstLine="0"/>
                    <w:jc w:val="center"/>
                    <w:rPr>
                      <w:sz w:val="17"/>
                    </w:rPr>
                  </w:pPr>
                  <w:r>
                    <w:rPr>
                      <w:color w:val="231F20"/>
                      <w:w w:val="105"/>
                      <w:sz w:val="17"/>
                    </w:rPr>
                    <w:t>278</w:t>
                  </w:r>
                </w:p>
              </w:txbxContent>
            </v:textbox>
            <w10:wrap type="none"/>
          </v:shape>
        </w:pict>
      </w:r>
      <w:r>
        <w:rPr>
          <w:sz w:val="20"/>
        </w:rPr>
        <w:pict>
          <v:group style="width:270pt;height:27pt;mso-position-horizontal-relative:char;mso-position-vertical-relative:line" coordorigin="0,0" coordsize="5400,540">
            <v:rect style="position:absolute;left:0;top:0;width:5400;height:540"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r>
        <w:rPr/>
        <w:pict>
          <v:rect style="position:absolute;margin-left:78.041pt;margin-top:8.565992pt;width:270pt;height:27pt;mso-position-horizontal-relative:page;mso-position-vertical-relative:paragraph;z-index:2440;mso-wrap-distance-left:0;mso-wrap-distance-right:0" filled="true" fillcolor="#ffffff" stroked="false">
            <v:fill type="solid"/>
            <w10:wrap type="topAndBottom"/>
          </v:rect>
        </w:pict>
      </w:r>
    </w:p>
    <w:p>
      <w:pPr>
        <w:spacing w:after="0"/>
        <w:rPr>
          <w:sz w:val="11"/>
        </w:rPr>
        <w:sectPr>
          <w:headerReference w:type="default" r:id="rId625"/>
          <w:footerReference w:type="default" r:id="rId626"/>
          <w:pgSz w:w="7830" w:h="11910"/>
          <w:pgMar w:header="0" w:footer="0" w:top="460" w:bottom="0" w:left="1060" w:right="760"/>
        </w:sectPr>
      </w:pPr>
    </w:p>
    <w:p>
      <w:pPr>
        <w:pStyle w:val="BodyText"/>
        <w:ind w:left="444"/>
        <w:rPr>
          <w:sz w:val="20"/>
        </w:rPr>
      </w:pPr>
      <w:r>
        <w:rPr>
          <w:sz w:val="20"/>
        </w:rPr>
        <w:pict>
          <v:group style="width:261pt;height:32.5500pt;mso-position-horizontal-relative:char;mso-position-vertical-relative:line" coordorigin="0,0" coordsize="5220,651">
            <v:rect style="position:absolute;left:0;top:0;width:5220;height:651" filled="true" fillcolor="#ffffff" stroked="false">
              <v:fill type="solid"/>
            </v:rect>
            <v:rect style="position:absolute;left:967;top:113;width:3294;height:472" filled="true" fillcolor="#ffffff" stroked="false">
              <v:fill type="solid"/>
            </v:rect>
            <v:rect style="position:absolute;left:967;top:113;width:3292;height:472" filled="false" stroked="true" strokeweight=".999pt" strokecolor="#ffffff"/>
          </v:group>
        </w:pict>
      </w:r>
      <w:r>
        <w:rPr>
          <w:sz w:val="20"/>
        </w:rPr>
      </w:r>
    </w:p>
    <w:p>
      <w:pPr>
        <w:pStyle w:val="BodyText"/>
        <w:spacing w:before="7"/>
        <w:rPr>
          <w:sz w:val="6"/>
        </w:rPr>
      </w:pPr>
    </w:p>
    <w:p>
      <w:pPr>
        <w:pStyle w:val="Heading2"/>
        <w:spacing w:line="259" w:lineRule="auto" w:before="52"/>
        <w:ind w:left="113" w:right="217" w:hanging="1"/>
        <w:jc w:val="both"/>
      </w:pPr>
      <w:r>
        <w:rPr/>
        <w:pict>
          <v:shape style="position:absolute;margin-left:66.240997pt;margin-top:-37.849072pt;width:261pt;height:32.5500pt;mso-position-horizontal-relative:page;mso-position-vertical-relative:paragraph;z-index:-482704" type="#_x0000_t202" filled="false" stroked="false">
            <v:textbox inset="0,0,0,0">
              <w:txbxContent>
                <w:p>
                  <w:pPr>
                    <w:pStyle w:val="BodyText"/>
                    <w:spacing w:before="7"/>
                    <w:rPr>
                      <w:sz w:val="16"/>
                    </w:rPr>
                  </w:pPr>
                </w:p>
                <w:p>
                  <w:pPr>
                    <w:spacing w:before="0"/>
                    <w:ind w:left="1043" w:right="0" w:firstLine="0"/>
                    <w:jc w:val="left"/>
                    <w:rPr>
                      <w:sz w:val="13"/>
                    </w:rPr>
                  </w:pPr>
                  <w:r>
                    <w:rPr>
                      <w:color w:val="231F20"/>
                      <w:sz w:val="16"/>
                    </w:rPr>
                    <w:t>E</w:t>
                  </w:r>
                  <w:r>
                    <w:rPr>
                      <w:color w:val="231F20"/>
                      <w:sz w:val="13"/>
                    </w:rPr>
                    <w:t>STUDIOS SOBRE VIOLENCIA EN LA EDUCACIÓN</w:t>
                  </w:r>
                </w:p>
              </w:txbxContent>
            </v:textbox>
            <w10:wrap type="none"/>
          </v:shape>
        </w:pict>
      </w:r>
      <w:r>
        <w:rPr>
          <w:color w:val="231F20"/>
          <w:sz w:val="28"/>
        </w:rPr>
        <w:t>L</w:t>
      </w:r>
      <w:r>
        <w:rPr>
          <w:rFonts w:ascii="Georgia" w:hAnsi="Georgia"/>
          <w:color w:val="231F20"/>
        </w:rPr>
        <w:t>A</w:t>
      </w:r>
      <w:r>
        <w:rPr>
          <w:rFonts w:ascii="Georgia" w:hAnsi="Georgia"/>
          <w:color w:val="231F20"/>
          <w:spacing w:val="-21"/>
        </w:rPr>
        <w:t> </w:t>
      </w:r>
      <w:r>
        <w:rPr>
          <w:rFonts w:ascii="Georgia" w:hAnsi="Georgia"/>
          <w:color w:val="231F20"/>
        </w:rPr>
        <w:t>PERCEPCIÓN</w:t>
      </w:r>
      <w:r>
        <w:rPr>
          <w:rFonts w:ascii="Georgia" w:hAnsi="Georgia"/>
          <w:color w:val="231F20"/>
          <w:spacing w:val="-21"/>
        </w:rPr>
        <w:t> </w:t>
      </w:r>
      <w:r>
        <w:rPr>
          <w:rFonts w:ascii="Georgia" w:hAnsi="Georgia"/>
          <w:color w:val="231F20"/>
        </w:rPr>
        <w:t>ACERCA</w:t>
      </w:r>
      <w:r>
        <w:rPr>
          <w:rFonts w:ascii="Georgia" w:hAnsi="Georgia"/>
          <w:color w:val="231F20"/>
          <w:spacing w:val="-21"/>
        </w:rPr>
        <w:t> </w:t>
      </w:r>
      <w:r>
        <w:rPr>
          <w:rFonts w:ascii="Georgia" w:hAnsi="Georgia"/>
          <w:color w:val="231F20"/>
        </w:rPr>
        <w:t>DE</w:t>
      </w:r>
      <w:r>
        <w:rPr>
          <w:rFonts w:ascii="Georgia" w:hAnsi="Georgia"/>
          <w:color w:val="231F20"/>
          <w:spacing w:val="-21"/>
        </w:rPr>
        <w:t> </w:t>
      </w:r>
      <w:r>
        <w:rPr>
          <w:rFonts w:ascii="Georgia" w:hAnsi="Georgia"/>
          <w:color w:val="231F20"/>
        </w:rPr>
        <w:t>LA</w:t>
      </w:r>
      <w:r>
        <w:rPr>
          <w:rFonts w:ascii="Georgia" w:hAnsi="Georgia"/>
          <w:color w:val="231F20"/>
          <w:spacing w:val="-21"/>
        </w:rPr>
        <w:t> </w:t>
      </w:r>
      <w:r>
        <w:rPr>
          <w:rFonts w:ascii="Georgia" w:hAnsi="Georgia"/>
          <w:color w:val="231F20"/>
          <w:spacing w:val="2"/>
        </w:rPr>
        <w:t>CONDUCTA</w:t>
      </w:r>
      <w:r>
        <w:rPr>
          <w:rFonts w:ascii="Georgia" w:hAnsi="Georgia"/>
          <w:color w:val="231F20"/>
          <w:spacing w:val="-21"/>
        </w:rPr>
        <w:t> </w:t>
      </w:r>
      <w:r>
        <w:rPr>
          <w:rFonts w:ascii="Georgia" w:hAnsi="Georgia"/>
          <w:color w:val="231F20"/>
        </w:rPr>
        <w:t>DE</w:t>
      </w:r>
      <w:r>
        <w:rPr>
          <w:rFonts w:ascii="Georgia" w:hAnsi="Georgia"/>
          <w:color w:val="231F20"/>
          <w:spacing w:val="-21"/>
        </w:rPr>
        <w:t> </w:t>
      </w:r>
      <w:r>
        <w:rPr>
          <w:rFonts w:ascii="Georgia" w:hAnsi="Georgia"/>
          <w:color w:val="231F20"/>
        </w:rPr>
        <w:t>LA</w:t>
      </w:r>
      <w:r>
        <w:rPr>
          <w:rFonts w:ascii="Trebuchet MS" w:hAnsi="Trebuchet MS"/>
          <w:color w:val="231F20"/>
        </w:rPr>
        <w:t>S </w:t>
      </w:r>
      <w:r>
        <w:rPr>
          <w:color w:val="231F20"/>
        </w:rPr>
        <w:t>PERSONAS VIOLENTAS</w:t>
      </w:r>
      <w:r>
        <w:rPr>
          <w:rFonts w:ascii="Arial" w:hAnsi="Arial"/>
          <w:color w:val="231F20"/>
          <w:sz w:val="28"/>
        </w:rPr>
        <w:t>: </w:t>
      </w:r>
      <w:r>
        <w:rPr>
          <w:color w:val="231F20"/>
        </w:rPr>
        <w:t>EXPLORACIÓN ENTRE LO</w:t>
      </w:r>
      <w:r>
        <w:rPr>
          <w:rFonts w:ascii="Trebuchet MS" w:hAnsi="Trebuchet MS"/>
          <w:color w:val="231F20"/>
        </w:rPr>
        <w:t>S </w:t>
      </w:r>
      <w:r>
        <w:rPr>
          <w:color w:val="231F20"/>
        </w:rPr>
        <w:t>ESTUDIANTES   </w:t>
      </w:r>
      <w:r>
        <w:rPr>
          <w:color w:val="231F20"/>
          <w:spacing w:val="28"/>
        </w:rPr>
        <w:t> </w:t>
      </w:r>
      <w:r>
        <w:rPr>
          <w:color w:val="231F20"/>
        </w:rPr>
        <w:t>UNIVERSITARIOS</w:t>
      </w:r>
    </w:p>
    <w:p>
      <w:pPr>
        <w:pStyle w:val="BodyText"/>
        <w:spacing w:before="10"/>
        <w:rPr>
          <w:b/>
          <w:sz w:val="27"/>
        </w:rPr>
      </w:pPr>
    </w:p>
    <w:p>
      <w:pPr>
        <w:pStyle w:val="BodyText"/>
        <w:spacing w:line="244" w:lineRule="auto"/>
        <w:ind w:left="113" w:right="3497"/>
        <w:jc w:val="both"/>
        <w:rPr>
          <w:sz w:val="17"/>
        </w:rPr>
      </w:pPr>
      <w:r>
        <w:rPr>
          <w:color w:val="231F20"/>
        </w:rPr>
        <w:t>Addy Rodríguez-Betanzos</w:t>
      </w:r>
      <w:r>
        <w:rPr>
          <w:color w:val="231F20"/>
          <w:sz w:val="17"/>
        </w:rPr>
        <w:t>* </w:t>
      </w:r>
      <w:r>
        <w:rPr>
          <w:color w:val="231F20"/>
        </w:rPr>
        <w:t>Alejandra Aguirre-Crespo</w:t>
      </w:r>
      <w:r>
        <w:rPr>
          <w:color w:val="231F20"/>
          <w:sz w:val="17"/>
        </w:rPr>
        <w:t>** </w:t>
      </w:r>
      <w:r>
        <w:rPr>
          <w:color w:val="231F20"/>
          <w:w w:val="95"/>
        </w:rPr>
        <w:t>Víctor  Miranda-Soberanis</w:t>
      </w:r>
      <w:r>
        <w:rPr>
          <w:color w:val="231F20"/>
          <w:w w:val="95"/>
          <w:sz w:val="17"/>
        </w:rPr>
        <w:t>***</w:t>
      </w:r>
    </w:p>
    <w:p>
      <w:pPr>
        <w:pStyle w:val="BodyText"/>
        <w:rPr>
          <w:sz w:val="22"/>
        </w:rPr>
      </w:pPr>
    </w:p>
    <w:p>
      <w:pPr>
        <w:pStyle w:val="BodyText"/>
        <w:rPr>
          <w:sz w:val="22"/>
        </w:rPr>
      </w:pPr>
    </w:p>
    <w:p>
      <w:pPr>
        <w:pStyle w:val="BodyText"/>
        <w:rPr>
          <w:sz w:val="22"/>
        </w:rPr>
      </w:pPr>
    </w:p>
    <w:p>
      <w:pPr>
        <w:pStyle w:val="BodyText"/>
        <w:spacing w:before="132"/>
        <w:ind w:left="113"/>
        <w:jc w:val="both"/>
      </w:pPr>
      <w:r>
        <w:rPr>
          <w:color w:val="231F20"/>
        </w:rPr>
        <w:t>Resumen</w:t>
      </w:r>
    </w:p>
    <w:p>
      <w:pPr>
        <w:pStyle w:val="BodyText"/>
        <w:spacing w:line="247" w:lineRule="auto" w:before="3"/>
        <w:ind w:left="113" w:right="116"/>
        <w:jc w:val="both"/>
      </w:pPr>
      <w:r>
        <w:rPr>
          <w:color w:val="231F20"/>
        </w:rPr>
        <w:t>Este capítulo es un estudio exploratorio cuyo objetivo fue conocer    la opinión de la violencia en estudiantes universitarios. En el presen- te siglo es importante identificar la presencia de violencia en este grupo de jóvenes universitarios dado que la conducta agresiva en la adolescencia es un predictor de violencia en la edad adulta. El estu- dio fue descriptivo, basado en un cuestionario estructurado con 158 preguntas, distribuidas en siete constructos ya validados, aplicados a 270 estudiantes universitarios. Sin duda, para la universidad será conveniente continuar con estudios que logren identificar los facto- res que inciden en la violencia a través de acercamientos cualitativos o mixtos y trabajar con una educación de</w:t>
      </w:r>
      <w:r>
        <w:rPr>
          <w:color w:val="231F20"/>
          <w:spacing w:val="15"/>
        </w:rPr>
        <w:t> </w:t>
      </w:r>
      <w:r>
        <w:rPr>
          <w:color w:val="231F20"/>
        </w:rPr>
        <w:t>convivencia.</w:t>
      </w:r>
    </w:p>
    <w:p>
      <w:pPr>
        <w:pStyle w:val="BodyText"/>
        <w:spacing w:before="4"/>
      </w:pPr>
    </w:p>
    <w:p>
      <w:pPr>
        <w:pStyle w:val="BodyText"/>
        <w:ind w:left="113"/>
        <w:jc w:val="both"/>
      </w:pPr>
      <w:r>
        <w:rPr>
          <w:color w:val="231F20"/>
        </w:rPr>
        <w:t>Palabras clave: violencia, universidad, víctimas y agresores.</w:t>
      </w:r>
    </w:p>
    <w:p>
      <w:pPr>
        <w:pStyle w:val="BodyText"/>
        <w:spacing w:before="1"/>
        <w:rPr>
          <w:sz w:val="22"/>
        </w:rPr>
      </w:pPr>
    </w:p>
    <w:p>
      <w:pPr>
        <w:pStyle w:val="BodyText"/>
        <w:spacing w:line="490" w:lineRule="atLeast"/>
        <w:ind w:left="113" w:right="550"/>
      </w:pPr>
      <w:r>
        <w:rPr>
          <w:color w:val="231F20"/>
        </w:rPr>
        <w:t>Exploring the concept of violence in university students Abstract</w:t>
      </w:r>
    </w:p>
    <w:p>
      <w:pPr>
        <w:pStyle w:val="BodyText"/>
        <w:spacing w:line="242" w:lineRule="auto" w:before="8"/>
        <w:ind w:left="113" w:right="116"/>
      </w:pPr>
      <w:r>
        <w:rPr>
          <w:color w:val="231F20"/>
        </w:rPr>
        <w:t>This study is an exploratory approach which objective is to know  the</w:t>
      </w:r>
      <w:r>
        <w:rPr>
          <w:color w:val="231F20"/>
          <w:spacing w:val="27"/>
        </w:rPr>
        <w:t> </w:t>
      </w:r>
      <w:r>
        <w:rPr>
          <w:color w:val="231F20"/>
        </w:rPr>
        <w:t>university</w:t>
      </w:r>
      <w:r>
        <w:rPr>
          <w:color w:val="231F20"/>
          <w:spacing w:val="27"/>
        </w:rPr>
        <w:t> </w:t>
      </w:r>
      <w:r>
        <w:rPr>
          <w:color w:val="231F20"/>
        </w:rPr>
        <w:t>students</w:t>
      </w:r>
      <w:r>
        <w:rPr>
          <w:color w:val="231F20"/>
          <w:spacing w:val="27"/>
        </w:rPr>
        <w:t> </w:t>
      </w:r>
      <w:r>
        <w:rPr>
          <w:color w:val="231F20"/>
        </w:rPr>
        <w:t>the</w:t>
      </w:r>
      <w:r>
        <w:rPr>
          <w:color w:val="231F20"/>
          <w:spacing w:val="27"/>
        </w:rPr>
        <w:t> </w:t>
      </w:r>
      <w:r>
        <w:rPr>
          <w:color w:val="231F20"/>
        </w:rPr>
        <w:t>definition</w:t>
      </w:r>
      <w:r>
        <w:rPr>
          <w:color w:val="231F20"/>
          <w:spacing w:val="27"/>
        </w:rPr>
        <w:t> </w:t>
      </w:r>
      <w:r>
        <w:rPr>
          <w:color w:val="231F20"/>
        </w:rPr>
        <w:t>of</w:t>
      </w:r>
      <w:r>
        <w:rPr>
          <w:color w:val="231F20"/>
          <w:spacing w:val="26"/>
        </w:rPr>
        <w:t> </w:t>
      </w:r>
      <w:r>
        <w:rPr>
          <w:color w:val="231F20"/>
        </w:rPr>
        <w:t>violence.</w:t>
      </w:r>
      <w:r>
        <w:rPr>
          <w:color w:val="231F20"/>
          <w:spacing w:val="26"/>
        </w:rPr>
        <w:t> </w:t>
      </w:r>
      <w:r>
        <w:rPr>
          <w:color w:val="231F20"/>
        </w:rPr>
        <w:t>It</w:t>
      </w:r>
      <w:r>
        <w:rPr>
          <w:color w:val="231F20"/>
          <w:spacing w:val="27"/>
        </w:rPr>
        <w:t> </w:t>
      </w:r>
      <w:r>
        <w:rPr>
          <w:color w:val="231F20"/>
        </w:rPr>
        <w:t>is</w:t>
      </w:r>
      <w:r>
        <w:rPr>
          <w:color w:val="231F20"/>
          <w:spacing w:val="27"/>
        </w:rPr>
        <w:t> </w:t>
      </w:r>
      <w:r>
        <w:rPr>
          <w:color w:val="231F20"/>
        </w:rPr>
        <w:t>relevant</w:t>
      </w:r>
      <w:r>
        <w:rPr>
          <w:color w:val="231F20"/>
          <w:spacing w:val="27"/>
        </w:rPr>
        <w:t> </w:t>
      </w:r>
      <w:r>
        <w:rPr>
          <w:color w:val="231F20"/>
        </w:rPr>
        <w:t>for</w:t>
      </w:r>
    </w:p>
    <w:p>
      <w:pPr>
        <w:pStyle w:val="BodyText"/>
        <w:spacing w:before="5"/>
        <w:rPr>
          <w:sz w:val="12"/>
        </w:rPr>
      </w:pPr>
      <w:r>
        <w:rPr/>
        <w:pict>
          <v:line style="position:absolute;mso-position-horizontal-relative:page;mso-position-vertical-relative:paragraph;z-index:2536;mso-wrap-distance-left:0;mso-wrap-distance-right:0" from="49.669998pt,9.356981pt" to="193.669998pt,9.356981pt" stroked="true" strokeweight=".481pt" strokecolor="#231f20">
            <w10:wrap type="topAndBottom"/>
          </v:line>
        </w:pict>
      </w:r>
    </w:p>
    <w:p>
      <w:pPr>
        <w:spacing w:line="278" w:lineRule="auto" w:before="89"/>
        <w:ind w:left="113" w:right="116" w:hanging="1"/>
        <w:jc w:val="left"/>
        <w:rPr>
          <w:sz w:val="14"/>
        </w:rPr>
      </w:pPr>
      <w:r>
        <w:rPr>
          <w:color w:val="231F20"/>
          <w:position w:val="-4"/>
          <w:sz w:val="17"/>
        </w:rPr>
        <w:t>*</w:t>
      </w:r>
      <w:r>
        <w:rPr>
          <w:color w:val="231F20"/>
          <w:sz w:val="14"/>
        </w:rPr>
        <w:t>Especialista</w:t>
      </w:r>
      <w:r>
        <w:rPr>
          <w:color w:val="231F20"/>
          <w:spacing w:val="-18"/>
          <w:sz w:val="14"/>
        </w:rPr>
        <w:t> </w:t>
      </w:r>
      <w:r>
        <w:rPr>
          <w:color w:val="231F20"/>
          <w:sz w:val="14"/>
        </w:rPr>
        <w:t>en</w:t>
      </w:r>
      <w:r>
        <w:rPr>
          <w:color w:val="231F20"/>
          <w:spacing w:val="-18"/>
          <w:sz w:val="14"/>
        </w:rPr>
        <w:t> </w:t>
      </w:r>
      <w:r>
        <w:rPr>
          <w:color w:val="231F20"/>
          <w:sz w:val="14"/>
        </w:rPr>
        <w:t>educación</w:t>
      </w:r>
      <w:r>
        <w:rPr>
          <w:color w:val="231F20"/>
          <w:spacing w:val="-18"/>
          <w:sz w:val="14"/>
        </w:rPr>
        <w:t> </w:t>
      </w:r>
      <w:r>
        <w:rPr>
          <w:color w:val="231F20"/>
          <w:sz w:val="14"/>
        </w:rPr>
        <w:t>y</w:t>
      </w:r>
      <w:r>
        <w:rPr>
          <w:color w:val="231F20"/>
          <w:spacing w:val="-18"/>
          <w:sz w:val="14"/>
        </w:rPr>
        <w:t> </w:t>
      </w:r>
      <w:r>
        <w:rPr>
          <w:color w:val="231F20"/>
          <w:sz w:val="14"/>
        </w:rPr>
        <w:t>pedagogía,</w:t>
      </w:r>
      <w:r>
        <w:rPr>
          <w:color w:val="231F20"/>
          <w:spacing w:val="-18"/>
          <w:sz w:val="14"/>
        </w:rPr>
        <w:t> </w:t>
      </w:r>
      <w:r>
        <w:rPr>
          <w:color w:val="231F20"/>
          <w:sz w:val="14"/>
        </w:rPr>
        <w:t>está</w:t>
      </w:r>
      <w:r>
        <w:rPr>
          <w:color w:val="231F20"/>
          <w:spacing w:val="-18"/>
          <w:sz w:val="14"/>
        </w:rPr>
        <w:t> </w:t>
      </w:r>
      <w:r>
        <w:rPr>
          <w:color w:val="231F20"/>
          <w:sz w:val="14"/>
        </w:rPr>
        <w:t>adscrita</w:t>
      </w:r>
      <w:r>
        <w:rPr>
          <w:color w:val="231F20"/>
          <w:spacing w:val="-18"/>
          <w:sz w:val="14"/>
        </w:rPr>
        <w:t> </w:t>
      </w:r>
      <w:r>
        <w:rPr>
          <w:color w:val="231F20"/>
          <w:sz w:val="14"/>
        </w:rPr>
        <w:t>al</w:t>
      </w:r>
      <w:r>
        <w:rPr>
          <w:color w:val="231F20"/>
          <w:spacing w:val="-18"/>
          <w:sz w:val="14"/>
        </w:rPr>
        <w:t> </w:t>
      </w:r>
      <w:r>
        <w:rPr>
          <w:color w:val="231F20"/>
          <w:sz w:val="14"/>
        </w:rPr>
        <w:t>Departamento</w:t>
      </w:r>
      <w:r>
        <w:rPr>
          <w:color w:val="231F20"/>
          <w:spacing w:val="-18"/>
          <w:sz w:val="14"/>
        </w:rPr>
        <w:t> </w:t>
      </w:r>
      <w:r>
        <w:rPr>
          <w:color w:val="231F20"/>
          <w:sz w:val="14"/>
        </w:rPr>
        <w:t>de</w:t>
      </w:r>
      <w:r>
        <w:rPr>
          <w:color w:val="231F20"/>
          <w:spacing w:val="-18"/>
          <w:sz w:val="14"/>
        </w:rPr>
        <w:t> </w:t>
      </w:r>
      <w:r>
        <w:rPr>
          <w:color w:val="231F20"/>
          <w:sz w:val="14"/>
        </w:rPr>
        <w:t>Estudios</w:t>
      </w:r>
      <w:r>
        <w:rPr>
          <w:color w:val="231F20"/>
          <w:spacing w:val="-18"/>
          <w:sz w:val="14"/>
        </w:rPr>
        <w:t> </w:t>
      </w:r>
      <w:r>
        <w:rPr>
          <w:color w:val="231F20"/>
          <w:sz w:val="14"/>
        </w:rPr>
        <w:t>Políticos</w:t>
      </w:r>
      <w:r>
        <w:rPr>
          <w:color w:val="231F20"/>
          <w:spacing w:val="-18"/>
          <w:sz w:val="14"/>
        </w:rPr>
        <w:t> </w:t>
      </w:r>
      <w:r>
        <w:rPr>
          <w:color w:val="231F20"/>
          <w:sz w:val="14"/>
        </w:rPr>
        <w:t>e</w:t>
      </w:r>
      <w:r>
        <w:rPr>
          <w:color w:val="231F20"/>
          <w:spacing w:val="-18"/>
          <w:sz w:val="14"/>
        </w:rPr>
        <w:t> </w:t>
      </w:r>
      <w:r>
        <w:rPr>
          <w:color w:val="231F20"/>
          <w:sz w:val="14"/>
        </w:rPr>
        <w:t>Internacio- nales</w:t>
      </w:r>
      <w:r>
        <w:rPr>
          <w:color w:val="231F20"/>
          <w:spacing w:val="-17"/>
          <w:sz w:val="14"/>
        </w:rPr>
        <w:t> </w:t>
      </w:r>
      <w:r>
        <w:rPr>
          <w:color w:val="231F20"/>
          <w:sz w:val="14"/>
        </w:rPr>
        <w:t>de</w:t>
      </w:r>
      <w:r>
        <w:rPr>
          <w:color w:val="231F20"/>
          <w:spacing w:val="-17"/>
          <w:sz w:val="14"/>
        </w:rPr>
        <w:t> </w:t>
      </w:r>
      <w:r>
        <w:rPr>
          <w:color w:val="231F20"/>
          <w:sz w:val="14"/>
        </w:rPr>
        <w:t>la</w:t>
      </w:r>
      <w:r>
        <w:rPr>
          <w:color w:val="231F20"/>
          <w:spacing w:val="-17"/>
          <w:sz w:val="14"/>
        </w:rPr>
        <w:t> </w:t>
      </w:r>
      <w:r>
        <w:rPr>
          <w:color w:val="231F20"/>
          <w:sz w:val="14"/>
        </w:rPr>
        <w:t>División</w:t>
      </w:r>
      <w:r>
        <w:rPr>
          <w:color w:val="231F20"/>
          <w:spacing w:val="-17"/>
          <w:sz w:val="14"/>
        </w:rPr>
        <w:t> </w:t>
      </w:r>
      <w:r>
        <w:rPr>
          <w:color w:val="231F20"/>
          <w:sz w:val="14"/>
        </w:rPr>
        <w:t>de</w:t>
      </w:r>
      <w:r>
        <w:rPr>
          <w:color w:val="231F20"/>
          <w:spacing w:val="-17"/>
          <w:sz w:val="14"/>
        </w:rPr>
        <w:t> </w:t>
      </w:r>
      <w:r>
        <w:rPr>
          <w:color w:val="231F20"/>
          <w:sz w:val="14"/>
        </w:rPr>
        <w:t>Ciencias</w:t>
      </w:r>
      <w:r>
        <w:rPr>
          <w:color w:val="231F20"/>
          <w:spacing w:val="-17"/>
          <w:sz w:val="14"/>
        </w:rPr>
        <w:t> </w:t>
      </w:r>
      <w:r>
        <w:rPr>
          <w:color w:val="231F20"/>
          <w:sz w:val="14"/>
        </w:rPr>
        <w:t>Políticas</w:t>
      </w:r>
      <w:r>
        <w:rPr>
          <w:color w:val="231F20"/>
          <w:spacing w:val="-17"/>
          <w:sz w:val="14"/>
        </w:rPr>
        <w:t> </w:t>
      </w:r>
      <w:r>
        <w:rPr>
          <w:color w:val="231F20"/>
          <w:sz w:val="14"/>
        </w:rPr>
        <w:t>y</w:t>
      </w:r>
      <w:r>
        <w:rPr>
          <w:color w:val="231F20"/>
          <w:spacing w:val="-17"/>
          <w:sz w:val="14"/>
        </w:rPr>
        <w:t> </w:t>
      </w:r>
      <w:r>
        <w:rPr>
          <w:color w:val="231F20"/>
          <w:sz w:val="14"/>
        </w:rPr>
        <w:t>Humanidades</w:t>
      </w:r>
      <w:r>
        <w:rPr>
          <w:color w:val="231F20"/>
          <w:spacing w:val="-17"/>
          <w:sz w:val="14"/>
        </w:rPr>
        <w:t> </w:t>
      </w:r>
      <w:r>
        <w:rPr>
          <w:color w:val="231F20"/>
          <w:sz w:val="14"/>
        </w:rPr>
        <w:t>en</w:t>
      </w:r>
      <w:r>
        <w:rPr>
          <w:color w:val="231F20"/>
          <w:spacing w:val="-17"/>
          <w:sz w:val="14"/>
        </w:rPr>
        <w:t> </w:t>
      </w:r>
      <w:r>
        <w:rPr>
          <w:color w:val="231F20"/>
          <w:sz w:val="14"/>
        </w:rPr>
        <w:t>la</w:t>
      </w:r>
      <w:r>
        <w:rPr>
          <w:color w:val="231F20"/>
          <w:spacing w:val="-17"/>
          <w:sz w:val="14"/>
        </w:rPr>
        <w:t> </w:t>
      </w:r>
      <w:r>
        <w:rPr>
          <w:color w:val="231F20"/>
          <w:sz w:val="14"/>
        </w:rPr>
        <w:t>Universidad</w:t>
      </w:r>
      <w:r>
        <w:rPr>
          <w:color w:val="231F20"/>
          <w:spacing w:val="-17"/>
          <w:sz w:val="14"/>
        </w:rPr>
        <w:t> </w:t>
      </w:r>
      <w:r>
        <w:rPr>
          <w:color w:val="231F20"/>
          <w:sz w:val="14"/>
        </w:rPr>
        <w:t>Autónoma</w:t>
      </w:r>
      <w:r>
        <w:rPr>
          <w:color w:val="231F20"/>
          <w:spacing w:val="-17"/>
          <w:sz w:val="14"/>
        </w:rPr>
        <w:t> </w:t>
      </w:r>
      <w:r>
        <w:rPr>
          <w:color w:val="231F20"/>
          <w:sz w:val="14"/>
        </w:rPr>
        <w:t>de</w:t>
      </w:r>
      <w:r>
        <w:rPr>
          <w:color w:val="231F20"/>
          <w:spacing w:val="-17"/>
          <w:sz w:val="14"/>
        </w:rPr>
        <w:t> </w:t>
      </w:r>
      <w:r>
        <w:rPr>
          <w:color w:val="231F20"/>
          <w:sz w:val="14"/>
        </w:rPr>
        <w:t>Quintana</w:t>
      </w:r>
      <w:r>
        <w:rPr>
          <w:color w:val="231F20"/>
          <w:spacing w:val="-17"/>
          <w:sz w:val="14"/>
        </w:rPr>
        <w:t> </w:t>
      </w:r>
      <w:r>
        <w:rPr>
          <w:color w:val="231F20"/>
          <w:sz w:val="14"/>
        </w:rPr>
        <w:t>Roo.</w:t>
      </w:r>
    </w:p>
    <w:p>
      <w:pPr>
        <w:spacing w:line="278" w:lineRule="auto" w:before="59"/>
        <w:ind w:left="113" w:right="116" w:firstLine="0"/>
        <w:jc w:val="left"/>
        <w:rPr>
          <w:sz w:val="14"/>
        </w:rPr>
      </w:pPr>
      <w:r>
        <w:rPr>
          <w:color w:val="231F20"/>
          <w:position w:val="-4"/>
          <w:sz w:val="17"/>
        </w:rPr>
        <w:t>**</w:t>
      </w:r>
      <w:r>
        <w:rPr>
          <w:color w:val="231F20"/>
          <w:sz w:val="14"/>
        </w:rPr>
        <w:t>Médico</w:t>
      </w:r>
      <w:r>
        <w:rPr>
          <w:color w:val="231F20"/>
          <w:spacing w:val="-18"/>
          <w:sz w:val="14"/>
        </w:rPr>
        <w:t> </w:t>
      </w:r>
      <w:r>
        <w:rPr>
          <w:color w:val="231F20"/>
          <w:sz w:val="14"/>
        </w:rPr>
        <w:t>con</w:t>
      </w:r>
      <w:r>
        <w:rPr>
          <w:color w:val="231F20"/>
          <w:spacing w:val="-18"/>
          <w:sz w:val="14"/>
        </w:rPr>
        <w:t> </w:t>
      </w:r>
      <w:r>
        <w:rPr>
          <w:color w:val="231F20"/>
          <w:sz w:val="14"/>
        </w:rPr>
        <w:t>especialidad</w:t>
      </w:r>
      <w:r>
        <w:rPr>
          <w:color w:val="231F20"/>
          <w:spacing w:val="-18"/>
          <w:sz w:val="14"/>
        </w:rPr>
        <w:t> </w:t>
      </w:r>
      <w:r>
        <w:rPr>
          <w:color w:val="231F20"/>
          <w:sz w:val="14"/>
        </w:rPr>
        <w:t>en</w:t>
      </w:r>
      <w:r>
        <w:rPr>
          <w:color w:val="231F20"/>
          <w:spacing w:val="-18"/>
          <w:sz w:val="14"/>
        </w:rPr>
        <w:t> </w:t>
      </w:r>
      <w:r>
        <w:rPr>
          <w:color w:val="231F20"/>
          <w:sz w:val="14"/>
        </w:rPr>
        <w:t>salud</w:t>
      </w:r>
      <w:r>
        <w:rPr>
          <w:color w:val="231F20"/>
          <w:spacing w:val="-18"/>
          <w:sz w:val="14"/>
        </w:rPr>
        <w:t> </w:t>
      </w:r>
      <w:r>
        <w:rPr>
          <w:color w:val="231F20"/>
          <w:sz w:val="14"/>
        </w:rPr>
        <w:t>pública,</w:t>
      </w:r>
      <w:r>
        <w:rPr>
          <w:color w:val="231F20"/>
          <w:spacing w:val="-18"/>
          <w:sz w:val="14"/>
        </w:rPr>
        <w:t> </w:t>
      </w:r>
      <w:r>
        <w:rPr>
          <w:color w:val="231F20"/>
          <w:sz w:val="14"/>
        </w:rPr>
        <w:t>está</w:t>
      </w:r>
      <w:r>
        <w:rPr>
          <w:color w:val="231F20"/>
          <w:spacing w:val="-18"/>
          <w:sz w:val="14"/>
        </w:rPr>
        <w:t> </w:t>
      </w:r>
      <w:r>
        <w:rPr>
          <w:color w:val="231F20"/>
          <w:sz w:val="14"/>
        </w:rPr>
        <w:t>adscrita</w:t>
      </w:r>
      <w:r>
        <w:rPr>
          <w:color w:val="231F20"/>
          <w:spacing w:val="-18"/>
          <w:sz w:val="14"/>
        </w:rPr>
        <w:t> </w:t>
      </w:r>
      <w:r>
        <w:rPr>
          <w:color w:val="231F20"/>
          <w:sz w:val="14"/>
        </w:rPr>
        <w:t>al</w:t>
      </w:r>
      <w:r>
        <w:rPr>
          <w:color w:val="231F20"/>
          <w:spacing w:val="-18"/>
          <w:sz w:val="14"/>
        </w:rPr>
        <w:t> </w:t>
      </w:r>
      <w:r>
        <w:rPr>
          <w:color w:val="231F20"/>
          <w:sz w:val="14"/>
        </w:rPr>
        <w:t>Departamento</w:t>
      </w:r>
      <w:r>
        <w:rPr>
          <w:color w:val="231F20"/>
          <w:spacing w:val="-18"/>
          <w:sz w:val="14"/>
        </w:rPr>
        <w:t> </w:t>
      </w:r>
      <w:r>
        <w:rPr>
          <w:color w:val="231F20"/>
          <w:sz w:val="14"/>
        </w:rPr>
        <w:t>de</w:t>
      </w:r>
      <w:r>
        <w:rPr>
          <w:color w:val="231F20"/>
          <w:spacing w:val="-18"/>
          <w:sz w:val="14"/>
        </w:rPr>
        <w:t> </w:t>
      </w:r>
      <w:r>
        <w:rPr>
          <w:color w:val="231F20"/>
          <w:sz w:val="14"/>
        </w:rPr>
        <w:t>Medicina</w:t>
      </w:r>
      <w:r>
        <w:rPr>
          <w:color w:val="231F20"/>
          <w:spacing w:val="-18"/>
          <w:sz w:val="14"/>
        </w:rPr>
        <w:t> </w:t>
      </w:r>
      <w:r>
        <w:rPr>
          <w:color w:val="231F20"/>
          <w:sz w:val="14"/>
        </w:rPr>
        <w:t>de</w:t>
      </w:r>
      <w:r>
        <w:rPr>
          <w:color w:val="231F20"/>
          <w:spacing w:val="-18"/>
          <w:sz w:val="14"/>
        </w:rPr>
        <w:t> </w:t>
      </w:r>
      <w:r>
        <w:rPr>
          <w:color w:val="231F20"/>
          <w:sz w:val="14"/>
        </w:rPr>
        <w:t>la</w:t>
      </w:r>
      <w:r>
        <w:rPr>
          <w:color w:val="231F20"/>
          <w:spacing w:val="-18"/>
          <w:sz w:val="14"/>
        </w:rPr>
        <w:t> </w:t>
      </w:r>
      <w:r>
        <w:rPr>
          <w:color w:val="231F20"/>
          <w:sz w:val="14"/>
        </w:rPr>
        <w:t>División</w:t>
      </w:r>
      <w:r>
        <w:rPr>
          <w:color w:val="231F20"/>
          <w:spacing w:val="-18"/>
          <w:sz w:val="14"/>
        </w:rPr>
        <w:t> </w:t>
      </w:r>
      <w:r>
        <w:rPr>
          <w:color w:val="231F20"/>
          <w:sz w:val="14"/>
        </w:rPr>
        <w:t>de Ciencias</w:t>
      </w:r>
      <w:r>
        <w:rPr>
          <w:color w:val="231F20"/>
          <w:spacing w:val="-17"/>
          <w:sz w:val="14"/>
        </w:rPr>
        <w:t> </w:t>
      </w:r>
      <w:r>
        <w:rPr>
          <w:color w:val="231F20"/>
          <w:sz w:val="14"/>
        </w:rPr>
        <w:t>de</w:t>
      </w:r>
      <w:r>
        <w:rPr>
          <w:color w:val="231F20"/>
          <w:spacing w:val="-17"/>
          <w:sz w:val="14"/>
        </w:rPr>
        <w:t> </w:t>
      </w:r>
      <w:r>
        <w:rPr>
          <w:color w:val="231F20"/>
          <w:sz w:val="14"/>
        </w:rPr>
        <w:t>la</w:t>
      </w:r>
      <w:r>
        <w:rPr>
          <w:color w:val="231F20"/>
          <w:spacing w:val="-17"/>
          <w:sz w:val="14"/>
        </w:rPr>
        <w:t> </w:t>
      </w:r>
      <w:r>
        <w:rPr>
          <w:color w:val="231F20"/>
          <w:sz w:val="14"/>
        </w:rPr>
        <w:t>Salud</w:t>
      </w:r>
      <w:r>
        <w:rPr>
          <w:color w:val="231F20"/>
          <w:spacing w:val="-17"/>
          <w:sz w:val="14"/>
        </w:rPr>
        <w:t> </w:t>
      </w:r>
      <w:r>
        <w:rPr>
          <w:color w:val="231F20"/>
          <w:sz w:val="14"/>
        </w:rPr>
        <w:t>en</w:t>
      </w:r>
      <w:r>
        <w:rPr>
          <w:color w:val="231F20"/>
          <w:spacing w:val="-17"/>
          <w:sz w:val="14"/>
        </w:rPr>
        <w:t> </w:t>
      </w:r>
      <w:r>
        <w:rPr>
          <w:color w:val="231F20"/>
          <w:sz w:val="14"/>
        </w:rPr>
        <w:t>la</w:t>
      </w:r>
      <w:r>
        <w:rPr>
          <w:color w:val="231F20"/>
          <w:spacing w:val="-17"/>
          <w:sz w:val="14"/>
        </w:rPr>
        <w:t> </w:t>
      </w:r>
      <w:r>
        <w:rPr>
          <w:color w:val="231F20"/>
          <w:sz w:val="14"/>
        </w:rPr>
        <w:t>Universidad</w:t>
      </w:r>
      <w:r>
        <w:rPr>
          <w:color w:val="231F20"/>
          <w:spacing w:val="-17"/>
          <w:sz w:val="14"/>
        </w:rPr>
        <w:t> </w:t>
      </w:r>
      <w:r>
        <w:rPr>
          <w:color w:val="231F20"/>
          <w:sz w:val="14"/>
        </w:rPr>
        <w:t>Autónoma</w:t>
      </w:r>
      <w:r>
        <w:rPr>
          <w:color w:val="231F20"/>
          <w:spacing w:val="-17"/>
          <w:sz w:val="14"/>
        </w:rPr>
        <w:t> </w:t>
      </w:r>
      <w:r>
        <w:rPr>
          <w:color w:val="231F20"/>
          <w:sz w:val="14"/>
        </w:rPr>
        <w:t>de</w:t>
      </w:r>
      <w:r>
        <w:rPr>
          <w:color w:val="231F20"/>
          <w:spacing w:val="-17"/>
          <w:sz w:val="14"/>
        </w:rPr>
        <w:t> </w:t>
      </w:r>
      <w:r>
        <w:rPr>
          <w:color w:val="231F20"/>
          <w:sz w:val="14"/>
        </w:rPr>
        <w:t>Quintana</w:t>
      </w:r>
      <w:r>
        <w:rPr>
          <w:color w:val="231F20"/>
          <w:spacing w:val="-17"/>
          <w:sz w:val="14"/>
        </w:rPr>
        <w:t> </w:t>
      </w:r>
      <w:r>
        <w:rPr>
          <w:color w:val="231F20"/>
          <w:sz w:val="14"/>
        </w:rPr>
        <w:t>Roo.</w:t>
      </w:r>
    </w:p>
    <w:p>
      <w:pPr>
        <w:spacing w:line="278" w:lineRule="auto" w:before="59"/>
        <w:ind w:left="113" w:right="116" w:hanging="1"/>
        <w:jc w:val="left"/>
        <w:rPr>
          <w:sz w:val="14"/>
        </w:rPr>
      </w:pPr>
      <w:r>
        <w:rPr>
          <w:color w:val="231F20"/>
          <w:position w:val="-4"/>
          <w:sz w:val="17"/>
        </w:rPr>
        <w:t>***</w:t>
      </w:r>
      <w:r>
        <w:rPr>
          <w:color w:val="231F20"/>
          <w:sz w:val="14"/>
        </w:rPr>
        <w:t>Experto</w:t>
      </w:r>
      <w:r>
        <w:rPr>
          <w:color w:val="231F20"/>
          <w:spacing w:val="-18"/>
          <w:sz w:val="14"/>
        </w:rPr>
        <w:t> </w:t>
      </w:r>
      <w:r>
        <w:rPr>
          <w:color w:val="231F20"/>
          <w:sz w:val="14"/>
        </w:rPr>
        <w:t>en</w:t>
      </w:r>
      <w:r>
        <w:rPr>
          <w:color w:val="231F20"/>
          <w:spacing w:val="-18"/>
          <w:sz w:val="14"/>
        </w:rPr>
        <w:t> </w:t>
      </w:r>
      <w:r>
        <w:rPr>
          <w:color w:val="231F20"/>
          <w:sz w:val="14"/>
        </w:rPr>
        <w:t>estadística</w:t>
      </w:r>
      <w:r>
        <w:rPr>
          <w:color w:val="231F20"/>
          <w:spacing w:val="-18"/>
          <w:sz w:val="14"/>
        </w:rPr>
        <w:t> </w:t>
      </w:r>
      <w:r>
        <w:rPr>
          <w:color w:val="231F20"/>
          <w:sz w:val="14"/>
        </w:rPr>
        <w:t>del</w:t>
      </w:r>
      <w:r>
        <w:rPr>
          <w:color w:val="231F20"/>
          <w:spacing w:val="-18"/>
          <w:sz w:val="14"/>
        </w:rPr>
        <w:t> </w:t>
      </w:r>
      <w:r>
        <w:rPr>
          <w:color w:val="231F20"/>
          <w:sz w:val="14"/>
        </w:rPr>
        <w:t>Departamento</w:t>
      </w:r>
      <w:r>
        <w:rPr>
          <w:color w:val="231F20"/>
          <w:spacing w:val="-18"/>
          <w:sz w:val="14"/>
        </w:rPr>
        <w:t> </w:t>
      </w:r>
      <w:r>
        <w:rPr>
          <w:color w:val="231F20"/>
          <w:sz w:val="14"/>
        </w:rPr>
        <w:t>de</w:t>
      </w:r>
      <w:r>
        <w:rPr>
          <w:color w:val="231F20"/>
          <w:spacing w:val="-18"/>
          <w:sz w:val="14"/>
        </w:rPr>
        <w:t> </w:t>
      </w:r>
      <w:r>
        <w:rPr>
          <w:color w:val="231F20"/>
          <w:sz w:val="14"/>
        </w:rPr>
        <w:t>Matemáticas</w:t>
      </w:r>
      <w:r>
        <w:rPr>
          <w:color w:val="231F20"/>
          <w:spacing w:val="-18"/>
          <w:sz w:val="14"/>
        </w:rPr>
        <w:t> </w:t>
      </w:r>
      <w:r>
        <w:rPr>
          <w:color w:val="231F20"/>
          <w:sz w:val="14"/>
        </w:rPr>
        <w:t>y</w:t>
      </w:r>
      <w:r>
        <w:rPr>
          <w:color w:val="231F20"/>
          <w:spacing w:val="-18"/>
          <w:sz w:val="14"/>
        </w:rPr>
        <w:t> </w:t>
      </w:r>
      <w:r>
        <w:rPr>
          <w:color w:val="231F20"/>
          <w:sz w:val="14"/>
        </w:rPr>
        <w:t>Estadística</w:t>
      </w:r>
      <w:r>
        <w:rPr>
          <w:color w:val="231F20"/>
          <w:spacing w:val="-18"/>
          <w:sz w:val="14"/>
        </w:rPr>
        <w:t> </w:t>
      </w:r>
      <w:r>
        <w:rPr>
          <w:color w:val="231F20"/>
          <w:sz w:val="14"/>
        </w:rPr>
        <w:t>de</w:t>
      </w:r>
      <w:r>
        <w:rPr>
          <w:color w:val="231F20"/>
          <w:spacing w:val="-18"/>
          <w:sz w:val="14"/>
        </w:rPr>
        <w:t> </w:t>
      </w:r>
      <w:r>
        <w:rPr>
          <w:color w:val="231F20"/>
          <w:sz w:val="14"/>
        </w:rPr>
        <w:t>la</w:t>
      </w:r>
      <w:r>
        <w:rPr>
          <w:color w:val="231F20"/>
          <w:spacing w:val="-18"/>
          <w:sz w:val="14"/>
        </w:rPr>
        <w:t> </w:t>
      </w:r>
      <w:r>
        <w:rPr>
          <w:color w:val="231F20"/>
          <w:sz w:val="14"/>
        </w:rPr>
        <w:t>División</w:t>
      </w:r>
      <w:r>
        <w:rPr>
          <w:color w:val="231F20"/>
          <w:spacing w:val="-18"/>
          <w:sz w:val="14"/>
        </w:rPr>
        <w:t> </w:t>
      </w:r>
      <w:r>
        <w:rPr>
          <w:color w:val="231F20"/>
          <w:sz w:val="14"/>
        </w:rPr>
        <w:t>de</w:t>
      </w:r>
      <w:r>
        <w:rPr>
          <w:color w:val="231F20"/>
          <w:spacing w:val="-18"/>
          <w:sz w:val="14"/>
        </w:rPr>
        <w:t> </w:t>
      </w:r>
      <w:r>
        <w:rPr>
          <w:color w:val="231F20"/>
          <w:sz w:val="14"/>
        </w:rPr>
        <w:t>Ciencias</w:t>
      </w:r>
      <w:r>
        <w:rPr>
          <w:color w:val="231F20"/>
          <w:spacing w:val="-18"/>
          <w:sz w:val="14"/>
        </w:rPr>
        <w:t> </w:t>
      </w:r>
      <w:r>
        <w:rPr>
          <w:color w:val="231F20"/>
          <w:sz w:val="14"/>
        </w:rPr>
        <w:t>e Ingenerías</w:t>
      </w:r>
      <w:r>
        <w:rPr>
          <w:color w:val="231F20"/>
          <w:spacing w:val="-17"/>
          <w:sz w:val="14"/>
        </w:rPr>
        <w:t> </w:t>
      </w:r>
      <w:r>
        <w:rPr>
          <w:color w:val="231F20"/>
          <w:sz w:val="14"/>
        </w:rPr>
        <w:t>en</w:t>
      </w:r>
      <w:r>
        <w:rPr>
          <w:color w:val="231F20"/>
          <w:spacing w:val="-17"/>
          <w:sz w:val="14"/>
        </w:rPr>
        <w:t> </w:t>
      </w:r>
      <w:r>
        <w:rPr>
          <w:color w:val="231F20"/>
          <w:sz w:val="14"/>
        </w:rPr>
        <w:t>la</w:t>
      </w:r>
      <w:r>
        <w:rPr>
          <w:color w:val="231F20"/>
          <w:spacing w:val="-17"/>
          <w:sz w:val="14"/>
        </w:rPr>
        <w:t> </w:t>
      </w:r>
      <w:r>
        <w:rPr>
          <w:color w:val="231F20"/>
          <w:sz w:val="14"/>
        </w:rPr>
        <w:t>Universidad</w:t>
      </w:r>
      <w:r>
        <w:rPr>
          <w:color w:val="231F20"/>
          <w:spacing w:val="-17"/>
          <w:sz w:val="14"/>
        </w:rPr>
        <w:t> </w:t>
      </w:r>
      <w:r>
        <w:rPr>
          <w:color w:val="231F20"/>
          <w:sz w:val="14"/>
        </w:rPr>
        <w:t>Autónoma</w:t>
      </w:r>
      <w:r>
        <w:rPr>
          <w:color w:val="231F20"/>
          <w:spacing w:val="-17"/>
          <w:sz w:val="14"/>
        </w:rPr>
        <w:t> </w:t>
      </w:r>
      <w:r>
        <w:rPr>
          <w:color w:val="231F20"/>
          <w:sz w:val="14"/>
        </w:rPr>
        <w:t>de</w:t>
      </w:r>
      <w:r>
        <w:rPr>
          <w:color w:val="231F20"/>
          <w:spacing w:val="-17"/>
          <w:sz w:val="14"/>
        </w:rPr>
        <w:t> </w:t>
      </w:r>
      <w:r>
        <w:rPr>
          <w:color w:val="231F20"/>
          <w:sz w:val="14"/>
        </w:rPr>
        <w:t>Quintana</w:t>
      </w:r>
      <w:r>
        <w:rPr>
          <w:color w:val="231F20"/>
          <w:spacing w:val="-17"/>
          <w:sz w:val="14"/>
        </w:rPr>
        <w:t> </w:t>
      </w:r>
      <w:r>
        <w:rPr>
          <w:color w:val="231F20"/>
          <w:sz w:val="14"/>
        </w:rPr>
        <w:t>Roo.</w:t>
      </w:r>
    </w:p>
    <w:p>
      <w:pPr>
        <w:spacing w:after="0" w:line="278" w:lineRule="auto"/>
        <w:jc w:val="left"/>
        <w:rPr>
          <w:sz w:val="14"/>
        </w:rPr>
        <w:sectPr>
          <w:headerReference w:type="default" r:id="rId627"/>
          <w:footerReference w:type="default" r:id="rId628"/>
          <w:pgSz w:w="7830" w:h="11910"/>
          <w:pgMar w:header="0" w:footer="424" w:top="360" w:bottom="620" w:left="880" w:right="900"/>
          <w:pgNumType w:start="279"/>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1" w:right="107"/>
        <w:jc w:val="both"/>
      </w:pPr>
      <w:r>
        <w:rPr>
          <w:color w:val="231F20"/>
        </w:rPr>
        <w:t>this study to identify the existence of any form of violence among students since aggressive behavior during youth is a predictor for violence in the adulthood. This study was a cross descriptive work, based on a 158-item structured interviewing and self-administered questionnaire taken by 270 local college students, containing seven constructs already validated by other studies, both national and international. In conclusion, the moral duty for any university is to continue with qualitative and mixed studies that can identify the factors that influence the existence of different forms of violence in the university community especially when their members may be committing violent acts without realization.</w:t>
      </w:r>
    </w:p>
    <w:p>
      <w:pPr>
        <w:pStyle w:val="BodyText"/>
        <w:spacing w:before="4"/>
      </w:pPr>
    </w:p>
    <w:p>
      <w:pPr>
        <w:pStyle w:val="BodyText"/>
        <w:ind w:left="101"/>
        <w:jc w:val="both"/>
      </w:pPr>
      <w:r>
        <w:rPr>
          <w:color w:val="231F20"/>
        </w:rPr>
        <w:t>Keywords: violence, university, agressors and victims.</w:t>
      </w:r>
    </w:p>
    <w:p>
      <w:pPr>
        <w:pStyle w:val="BodyText"/>
        <w:rPr>
          <w:sz w:val="22"/>
        </w:rPr>
      </w:pPr>
    </w:p>
    <w:p>
      <w:pPr>
        <w:pStyle w:val="BodyText"/>
        <w:spacing w:before="4"/>
        <w:rPr>
          <w:sz w:val="23"/>
        </w:rPr>
      </w:pPr>
    </w:p>
    <w:p>
      <w:pPr>
        <w:pStyle w:val="BodyText"/>
        <w:ind w:left="101"/>
        <w:jc w:val="both"/>
      </w:pPr>
      <w:r>
        <w:rPr>
          <w:color w:val="231F20"/>
          <w:w w:val="105"/>
        </w:rPr>
        <w:t>PRESENTACIÓN</w:t>
      </w:r>
    </w:p>
    <w:p>
      <w:pPr>
        <w:pStyle w:val="BodyText"/>
        <w:spacing w:before="1"/>
      </w:pPr>
    </w:p>
    <w:p>
      <w:pPr>
        <w:pStyle w:val="BodyText"/>
        <w:spacing w:line="244" w:lineRule="auto" w:before="1"/>
        <w:ind w:left="101" w:right="110"/>
        <w:jc w:val="both"/>
      </w:pPr>
      <w:r>
        <w:rPr>
          <w:color w:val="231F20"/>
        </w:rPr>
        <w:t>Bajo el paradigma positivista se diseñó una investigación de tipo exploratorio con la aplicación de una encuesta a 188 estudiantes de las áreas de la Salud, Políticas y Humanidades e Ingenierías de la Universidad de Quintana Roo.</w:t>
      </w:r>
    </w:p>
    <w:p>
      <w:pPr>
        <w:pStyle w:val="BodyText"/>
        <w:spacing w:line="249" w:lineRule="auto" w:before="18"/>
        <w:ind w:left="101" w:right="107" w:firstLine="284"/>
        <w:jc w:val="both"/>
      </w:pPr>
      <w:r>
        <w:rPr>
          <w:color w:val="231F20"/>
        </w:rPr>
        <w:t>El </w:t>
      </w:r>
      <w:r>
        <w:rPr>
          <w:color w:val="231F20"/>
          <w:spacing w:val="3"/>
        </w:rPr>
        <w:t>instrumento </w:t>
      </w:r>
      <w:r>
        <w:rPr>
          <w:color w:val="231F20"/>
        </w:rPr>
        <w:t>se </w:t>
      </w:r>
      <w:r>
        <w:rPr>
          <w:color w:val="231F20"/>
          <w:spacing w:val="2"/>
        </w:rPr>
        <w:t>diseñó, por </w:t>
      </w:r>
      <w:r>
        <w:rPr>
          <w:color w:val="231F20"/>
        </w:rPr>
        <w:t>un </w:t>
      </w:r>
      <w:r>
        <w:rPr>
          <w:color w:val="231F20"/>
          <w:spacing w:val="2"/>
        </w:rPr>
        <w:t>lado, </w:t>
      </w:r>
      <w:r>
        <w:rPr>
          <w:color w:val="231F20"/>
        </w:rPr>
        <w:t>a </w:t>
      </w:r>
      <w:r>
        <w:rPr>
          <w:color w:val="231F20"/>
          <w:spacing w:val="2"/>
        </w:rPr>
        <w:t>partir del cuestionario </w:t>
      </w:r>
      <w:r>
        <w:rPr>
          <w:color w:val="231F20"/>
        </w:rPr>
        <w:t>de </w:t>
      </w:r>
      <w:r>
        <w:rPr>
          <w:color w:val="231F20"/>
          <w:spacing w:val="2"/>
        </w:rPr>
        <w:t>factores predictores </w:t>
      </w:r>
      <w:r>
        <w:rPr>
          <w:color w:val="231F20"/>
        </w:rPr>
        <w:t>de la </w:t>
      </w:r>
      <w:r>
        <w:rPr>
          <w:color w:val="231F20"/>
          <w:spacing w:val="2"/>
        </w:rPr>
        <w:t>violencia escolar </w:t>
      </w:r>
      <w:r>
        <w:rPr>
          <w:color w:val="231F20"/>
        </w:rPr>
        <w:t>en </w:t>
      </w:r>
      <w:r>
        <w:rPr>
          <w:color w:val="231F20"/>
          <w:spacing w:val="2"/>
        </w:rPr>
        <w:t>estudiantes uni- versitarios </w:t>
      </w:r>
      <w:r>
        <w:rPr>
          <w:color w:val="231F20"/>
        </w:rPr>
        <w:t>que </w:t>
      </w:r>
      <w:r>
        <w:rPr>
          <w:color w:val="231F20"/>
          <w:spacing w:val="2"/>
        </w:rPr>
        <w:t>Gázquez, Lucas, Palenzuela </w:t>
      </w:r>
      <w:r>
        <w:rPr>
          <w:color w:val="231F20"/>
        </w:rPr>
        <w:t>y </w:t>
      </w:r>
      <w:r>
        <w:rPr>
          <w:color w:val="231F20"/>
          <w:spacing w:val="2"/>
        </w:rPr>
        <w:t>Pérez (2008) aplica- ron </w:t>
      </w:r>
      <w:r>
        <w:rPr>
          <w:color w:val="231F20"/>
        </w:rPr>
        <w:t>a 184 </w:t>
      </w:r>
      <w:r>
        <w:rPr>
          <w:color w:val="231F20"/>
          <w:spacing w:val="2"/>
        </w:rPr>
        <w:t>estudiantes </w:t>
      </w:r>
      <w:r>
        <w:rPr>
          <w:color w:val="231F20"/>
        </w:rPr>
        <w:t>de las </w:t>
      </w:r>
      <w:r>
        <w:rPr>
          <w:color w:val="231F20"/>
          <w:spacing w:val="2"/>
        </w:rPr>
        <w:t>carreras </w:t>
      </w:r>
      <w:r>
        <w:rPr>
          <w:color w:val="231F20"/>
        </w:rPr>
        <w:t>de </w:t>
      </w:r>
      <w:r>
        <w:rPr>
          <w:color w:val="231F20"/>
          <w:spacing w:val="3"/>
        </w:rPr>
        <w:t>Psicología </w:t>
      </w:r>
      <w:r>
        <w:rPr>
          <w:color w:val="231F20"/>
        </w:rPr>
        <w:t>y </w:t>
      </w:r>
      <w:r>
        <w:rPr>
          <w:color w:val="231F20"/>
          <w:spacing w:val="2"/>
        </w:rPr>
        <w:t>Educación Infantil </w:t>
      </w:r>
      <w:r>
        <w:rPr>
          <w:color w:val="231F20"/>
        </w:rPr>
        <w:t>de la </w:t>
      </w:r>
      <w:r>
        <w:rPr>
          <w:color w:val="231F20"/>
          <w:spacing w:val="2"/>
        </w:rPr>
        <w:t>Universidad </w:t>
      </w:r>
      <w:r>
        <w:rPr>
          <w:color w:val="231F20"/>
        </w:rPr>
        <w:t>de </w:t>
      </w:r>
      <w:r>
        <w:rPr>
          <w:color w:val="231F20"/>
          <w:spacing w:val="2"/>
        </w:rPr>
        <w:t>Almería </w:t>
      </w:r>
      <w:r>
        <w:rPr>
          <w:color w:val="231F20"/>
          <w:spacing w:val="3"/>
        </w:rPr>
        <w:t>(España) </w:t>
      </w:r>
      <w:r>
        <w:rPr>
          <w:color w:val="231F20"/>
          <w:spacing w:val="2"/>
        </w:rPr>
        <w:t>para </w:t>
      </w:r>
      <w:r>
        <w:rPr>
          <w:color w:val="231F20"/>
          <w:spacing w:val="3"/>
        </w:rPr>
        <w:t>conocer </w:t>
      </w:r>
      <w:r>
        <w:rPr>
          <w:color w:val="231F20"/>
        </w:rPr>
        <w:t>la </w:t>
      </w:r>
      <w:r>
        <w:rPr>
          <w:color w:val="231F20"/>
          <w:spacing w:val="2"/>
        </w:rPr>
        <w:t>percepción </w:t>
      </w:r>
      <w:r>
        <w:rPr>
          <w:color w:val="231F20"/>
        </w:rPr>
        <w:t>del </w:t>
      </w:r>
      <w:r>
        <w:rPr>
          <w:color w:val="231F20"/>
          <w:spacing w:val="2"/>
        </w:rPr>
        <w:t>alumnado sobre </w:t>
      </w:r>
      <w:r>
        <w:rPr>
          <w:color w:val="231F20"/>
        </w:rPr>
        <w:t>el </w:t>
      </w:r>
      <w:r>
        <w:rPr>
          <w:color w:val="231F20"/>
          <w:spacing w:val="2"/>
        </w:rPr>
        <w:t>origen </w:t>
      </w:r>
      <w:r>
        <w:rPr>
          <w:color w:val="231F20"/>
        </w:rPr>
        <w:t>de la </w:t>
      </w:r>
      <w:r>
        <w:rPr>
          <w:color w:val="231F20"/>
          <w:spacing w:val="2"/>
        </w:rPr>
        <w:t>violencia escolar.  Por otro lado, </w:t>
      </w:r>
      <w:r>
        <w:rPr>
          <w:color w:val="231F20"/>
        </w:rPr>
        <w:t>se </w:t>
      </w:r>
      <w:r>
        <w:rPr>
          <w:color w:val="231F20"/>
          <w:spacing w:val="2"/>
        </w:rPr>
        <w:t>consideró </w:t>
      </w:r>
      <w:r>
        <w:rPr>
          <w:color w:val="231F20"/>
        </w:rPr>
        <w:t>la </w:t>
      </w:r>
      <w:r>
        <w:rPr>
          <w:color w:val="231F20"/>
          <w:spacing w:val="2"/>
        </w:rPr>
        <w:t>Encuesta </w:t>
      </w:r>
      <w:r>
        <w:rPr>
          <w:color w:val="231F20"/>
          <w:spacing w:val="3"/>
        </w:rPr>
        <w:t>Nacional </w:t>
      </w:r>
      <w:r>
        <w:rPr>
          <w:color w:val="231F20"/>
        </w:rPr>
        <w:t>de </w:t>
      </w:r>
      <w:r>
        <w:rPr>
          <w:color w:val="231F20"/>
          <w:spacing w:val="2"/>
        </w:rPr>
        <w:t>Violencia </w:t>
      </w:r>
      <w:r>
        <w:rPr>
          <w:color w:val="231F20"/>
        </w:rPr>
        <w:t>El </w:t>
      </w:r>
      <w:r>
        <w:rPr>
          <w:color w:val="231F20"/>
          <w:spacing w:val="3"/>
        </w:rPr>
        <w:t>instrumento contempló </w:t>
      </w:r>
      <w:r>
        <w:rPr>
          <w:color w:val="231F20"/>
          <w:spacing w:val="2"/>
        </w:rPr>
        <w:t>siete </w:t>
      </w:r>
      <w:r>
        <w:rPr>
          <w:color w:val="231F20"/>
          <w:spacing w:val="3"/>
        </w:rPr>
        <w:t>constructos: </w:t>
      </w:r>
      <w:r>
        <w:rPr>
          <w:color w:val="231F20"/>
          <w:spacing w:val="2"/>
        </w:rPr>
        <w:t>datos generales, familia- res, características </w:t>
      </w:r>
      <w:r>
        <w:rPr>
          <w:color w:val="231F20"/>
        </w:rPr>
        <w:t>de la </w:t>
      </w:r>
      <w:r>
        <w:rPr>
          <w:color w:val="231F20"/>
          <w:spacing w:val="2"/>
        </w:rPr>
        <w:t>vivienda, </w:t>
      </w:r>
      <w:r>
        <w:rPr>
          <w:color w:val="231F20"/>
          <w:spacing w:val="3"/>
        </w:rPr>
        <w:t>consumo, comportamiento </w:t>
      </w:r>
      <w:r>
        <w:rPr>
          <w:color w:val="231F20"/>
        </w:rPr>
        <w:t>se- </w:t>
      </w:r>
      <w:r>
        <w:rPr>
          <w:color w:val="231F20"/>
          <w:spacing w:val="2"/>
        </w:rPr>
        <w:t>xual, tiempo libre </w:t>
      </w:r>
      <w:r>
        <w:rPr>
          <w:color w:val="231F20"/>
        </w:rPr>
        <w:t>y </w:t>
      </w:r>
      <w:r>
        <w:rPr>
          <w:color w:val="231F20"/>
          <w:spacing w:val="3"/>
        </w:rPr>
        <w:t>convivencia </w:t>
      </w:r>
      <w:r>
        <w:rPr>
          <w:color w:val="231F20"/>
          <w:spacing w:val="2"/>
        </w:rPr>
        <w:t>escolar, </w:t>
      </w:r>
      <w:r>
        <w:rPr>
          <w:color w:val="231F20"/>
        </w:rPr>
        <w:t>así </w:t>
      </w:r>
      <w:r>
        <w:rPr>
          <w:color w:val="231F20"/>
          <w:spacing w:val="3"/>
        </w:rPr>
        <w:t>como </w:t>
      </w:r>
      <w:r>
        <w:rPr>
          <w:color w:val="231F20"/>
        </w:rPr>
        <w:t>la </w:t>
      </w:r>
      <w:r>
        <w:rPr>
          <w:color w:val="231F20"/>
          <w:spacing w:val="3"/>
        </w:rPr>
        <w:t>concepción</w:t>
      </w:r>
      <w:r>
        <w:rPr>
          <w:color w:val="231F20"/>
          <w:spacing w:val="58"/>
        </w:rPr>
        <w:t> </w:t>
      </w:r>
      <w:r>
        <w:rPr>
          <w:color w:val="231F20"/>
        </w:rPr>
        <w:t>de la </w:t>
      </w:r>
      <w:r>
        <w:rPr>
          <w:color w:val="231F20"/>
          <w:spacing w:val="2"/>
        </w:rPr>
        <w:t>violencia. Este último rubro </w:t>
      </w:r>
      <w:r>
        <w:rPr>
          <w:color w:val="231F20"/>
        </w:rPr>
        <w:t>fue </w:t>
      </w:r>
      <w:r>
        <w:rPr>
          <w:color w:val="231F20"/>
          <w:spacing w:val="2"/>
        </w:rPr>
        <w:t>para </w:t>
      </w:r>
      <w:r>
        <w:rPr>
          <w:color w:val="231F20"/>
        </w:rPr>
        <w:t>que </w:t>
      </w:r>
      <w:r>
        <w:rPr>
          <w:color w:val="231F20"/>
          <w:spacing w:val="2"/>
        </w:rPr>
        <w:t>los estudiantes universitarios caracterizaran </w:t>
      </w:r>
      <w:r>
        <w:rPr>
          <w:color w:val="231F20"/>
        </w:rPr>
        <w:t>las </w:t>
      </w:r>
      <w:r>
        <w:rPr>
          <w:color w:val="231F20"/>
          <w:spacing w:val="2"/>
        </w:rPr>
        <w:t>atribuciones, </w:t>
      </w:r>
      <w:r>
        <w:rPr>
          <w:color w:val="231F20"/>
          <w:spacing w:val="3"/>
        </w:rPr>
        <w:t>representaciones </w:t>
      </w:r>
      <w:r>
        <w:rPr>
          <w:color w:val="231F20"/>
          <w:spacing w:val="2"/>
        </w:rPr>
        <w:t>sociales; </w:t>
      </w:r>
      <w:r>
        <w:rPr>
          <w:color w:val="231F20"/>
        </w:rPr>
        <w:t>así </w:t>
      </w:r>
      <w:r>
        <w:rPr>
          <w:color w:val="231F20"/>
          <w:spacing w:val="3"/>
        </w:rPr>
        <w:t>como </w:t>
      </w:r>
      <w:r>
        <w:rPr>
          <w:color w:val="231F20"/>
        </w:rPr>
        <w:t>las </w:t>
      </w:r>
      <w:r>
        <w:rPr>
          <w:color w:val="231F20"/>
          <w:spacing w:val="2"/>
        </w:rPr>
        <w:t>actitudes cognitivas, afectivas </w:t>
      </w:r>
      <w:r>
        <w:rPr>
          <w:color w:val="231F20"/>
        </w:rPr>
        <w:t>y</w:t>
      </w:r>
      <w:r>
        <w:rPr>
          <w:color w:val="231F20"/>
          <w:spacing w:val="-34"/>
        </w:rPr>
        <w:t> </w:t>
      </w:r>
      <w:r>
        <w:rPr>
          <w:color w:val="231F20"/>
          <w:spacing w:val="3"/>
        </w:rPr>
        <w:t>conductuales </w:t>
      </w:r>
      <w:r>
        <w:rPr>
          <w:color w:val="231F20"/>
          <w:spacing w:val="2"/>
        </w:rPr>
        <w:t>propias </w:t>
      </w:r>
      <w:r>
        <w:rPr>
          <w:color w:val="231F20"/>
        </w:rPr>
        <w:t>de la </w:t>
      </w:r>
      <w:r>
        <w:rPr>
          <w:color w:val="231F20"/>
          <w:spacing w:val="2"/>
        </w:rPr>
        <w:t>violencia con </w:t>
      </w:r>
      <w:r>
        <w:rPr>
          <w:color w:val="231F20"/>
        </w:rPr>
        <w:t>la que </w:t>
      </w:r>
      <w:r>
        <w:rPr>
          <w:color w:val="231F20"/>
          <w:spacing w:val="2"/>
        </w:rPr>
        <w:t>actúan </w:t>
      </w:r>
      <w:r>
        <w:rPr>
          <w:color w:val="231F20"/>
        </w:rPr>
        <w:t>las </w:t>
      </w:r>
      <w:r>
        <w:rPr>
          <w:color w:val="231F20"/>
          <w:spacing w:val="3"/>
        </w:rPr>
        <w:t>personas</w:t>
      </w:r>
      <w:r>
        <w:rPr>
          <w:color w:val="231F20"/>
          <w:spacing w:val="15"/>
        </w:rPr>
        <w:t> </w:t>
      </w:r>
      <w:r>
        <w:rPr>
          <w:color w:val="231F20"/>
          <w:spacing w:val="2"/>
        </w:rPr>
        <w:t>violentas.</w:t>
      </w:r>
    </w:p>
    <w:p>
      <w:pPr>
        <w:pStyle w:val="BodyText"/>
        <w:spacing w:line="247" w:lineRule="auto"/>
        <w:ind w:left="101" w:right="109" w:firstLine="284"/>
        <w:jc w:val="both"/>
      </w:pPr>
      <w:r>
        <w:rPr>
          <w:color w:val="231F20"/>
        </w:rPr>
        <w:t>Su concepción y caracterización de una persona violenta con base en sus sentimientos, actitudes, actividades y pensamiento, son las principales orientaciones de este constructo, desde sus activi- dades en  su  escuela  hasta  comportamiento personal. Finalmente,</w:t>
      </w:r>
    </w:p>
    <w:p>
      <w:pPr>
        <w:spacing w:after="0" w:line="247" w:lineRule="auto"/>
        <w:jc w:val="both"/>
        <w:sectPr>
          <w:headerReference w:type="default" r:id="rId629"/>
          <w:footerReference w:type="default" r:id="rId630"/>
          <w:pgSz w:w="7830" w:h="11910"/>
          <w:pgMar w:header="0" w:footer="424" w:top="500" w:bottom="620" w:left="920" w:right="880"/>
          <w:pgNumType w:start="280"/>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13" w:right="116"/>
      </w:pPr>
      <w:r>
        <w:rPr>
          <w:color w:val="231F20"/>
        </w:rPr>
        <w:t>se solicita información sobre las formas de acoso, bien en las que haya participado, o bien, que haya sufrido.</w:t>
      </w:r>
    </w:p>
    <w:p>
      <w:pPr>
        <w:pStyle w:val="BodyText"/>
        <w:spacing w:line="249" w:lineRule="auto" w:before="1"/>
        <w:ind w:left="113" w:right="113" w:firstLine="284"/>
        <w:jc w:val="both"/>
      </w:pPr>
      <w:r>
        <w:rPr>
          <w:color w:val="231F20"/>
          <w:spacing w:val="2"/>
        </w:rPr>
        <w:t>Con base </w:t>
      </w:r>
      <w:r>
        <w:rPr>
          <w:color w:val="231F20"/>
        </w:rPr>
        <w:t>en </w:t>
      </w:r>
      <w:r>
        <w:rPr>
          <w:color w:val="231F20"/>
          <w:spacing w:val="2"/>
        </w:rPr>
        <w:t>tres investigaciones previas que realizaron respec- </w:t>
      </w:r>
      <w:r>
        <w:rPr>
          <w:color w:val="231F20"/>
          <w:spacing w:val="3"/>
        </w:rPr>
        <w:t>tivamente </w:t>
      </w:r>
      <w:r>
        <w:rPr>
          <w:color w:val="231F20"/>
        </w:rPr>
        <w:t>en </w:t>
      </w:r>
      <w:r>
        <w:rPr>
          <w:color w:val="231F20"/>
          <w:spacing w:val="3"/>
        </w:rPr>
        <w:t>España, Gázquez(2008) </w:t>
      </w:r>
      <w:r>
        <w:rPr>
          <w:color w:val="231F20"/>
          <w:spacing w:val="2"/>
        </w:rPr>
        <w:t>con </w:t>
      </w:r>
      <w:r>
        <w:rPr>
          <w:color w:val="231F20"/>
        </w:rPr>
        <w:t>el </w:t>
      </w:r>
      <w:r>
        <w:rPr>
          <w:color w:val="231F20"/>
          <w:spacing w:val="2"/>
        </w:rPr>
        <w:t>título “La </w:t>
      </w:r>
      <w:r>
        <w:rPr>
          <w:color w:val="231F20"/>
          <w:spacing w:val="3"/>
        </w:rPr>
        <w:t>percepción </w:t>
      </w:r>
      <w:r>
        <w:rPr>
          <w:color w:val="231F20"/>
          <w:spacing w:val="2"/>
        </w:rPr>
        <w:t>del </w:t>
      </w:r>
      <w:r>
        <w:rPr>
          <w:color w:val="231F20"/>
          <w:spacing w:val="3"/>
        </w:rPr>
        <w:t>alumnado </w:t>
      </w:r>
      <w:r>
        <w:rPr>
          <w:color w:val="231F20"/>
          <w:spacing w:val="2"/>
        </w:rPr>
        <w:t>universitario sobre </w:t>
      </w:r>
      <w:r>
        <w:rPr>
          <w:color w:val="231F20"/>
        </w:rPr>
        <w:t>el </w:t>
      </w:r>
      <w:r>
        <w:rPr>
          <w:color w:val="231F20"/>
          <w:spacing w:val="2"/>
        </w:rPr>
        <w:t>origen </w:t>
      </w:r>
      <w:r>
        <w:rPr>
          <w:color w:val="231F20"/>
        </w:rPr>
        <w:t>de la </w:t>
      </w:r>
      <w:r>
        <w:rPr>
          <w:color w:val="231F20"/>
          <w:spacing w:val="2"/>
        </w:rPr>
        <w:t>violencia escolar  </w:t>
      </w:r>
      <w:r>
        <w:rPr>
          <w:color w:val="231F20"/>
        </w:rPr>
        <w:t>en la </w:t>
      </w:r>
      <w:r>
        <w:rPr>
          <w:color w:val="231F20"/>
          <w:spacing w:val="2"/>
        </w:rPr>
        <w:t>Universidad </w:t>
      </w:r>
      <w:r>
        <w:rPr>
          <w:color w:val="231F20"/>
        </w:rPr>
        <w:t>de </w:t>
      </w:r>
      <w:r>
        <w:rPr>
          <w:color w:val="231F20"/>
          <w:spacing w:val="2"/>
        </w:rPr>
        <w:t>Almería”, seguido del estudio </w:t>
      </w:r>
      <w:r>
        <w:rPr>
          <w:color w:val="231F20"/>
        </w:rPr>
        <w:t>de </w:t>
      </w:r>
      <w:r>
        <w:rPr>
          <w:color w:val="231F20"/>
          <w:spacing w:val="2"/>
        </w:rPr>
        <w:t>Larrañaga </w:t>
      </w:r>
      <w:r>
        <w:rPr>
          <w:color w:val="231F20"/>
        </w:rPr>
        <w:t>y </w:t>
      </w:r>
      <w:r>
        <w:rPr>
          <w:color w:val="231F20"/>
          <w:spacing w:val="2"/>
        </w:rPr>
        <w:t>Yubero </w:t>
      </w:r>
      <w:r>
        <w:rPr>
          <w:color w:val="231F20"/>
        </w:rPr>
        <w:t>en la </w:t>
      </w:r>
      <w:r>
        <w:rPr>
          <w:color w:val="231F20"/>
          <w:spacing w:val="2"/>
        </w:rPr>
        <w:t>Escuela Universitaria </w:t>
      </w:r>
      <w:r>
        <w:rPr>
          <w:color w:val="231F20"/>
        </w:rPr>
        <w:t>de </w:t>
      </w:r>
      <w:r>
        <w:rPr>
          <w:color w:val="231F20"/>
          <w:spacing w:val="2"/>
        </w:rPr>
        <w:t>Trabajo Social </w:t>
      </w:r>
      <w:r>
        <w:rPr>
          <w:color w:val="231F20"/>
        </w:rPr>
        <w:t>de la </w:t>
      </w:r>
      <w:r>
        <w:rPr>
          <w:color w:val="231F20"/>
          <w:spacing w:val="2"/>
        </w:rPr>
        <w:t>Univer- sidad </w:t>
      </w:r>
      <w:r>
        <w:rPr>
          <w:color w:val="231F20"/>
        </w:rPr>
        <w:t>de </w:t>
      </w:r>
      <w:r>
        <w:rPr>
          <w:color w:val="231F20"/>
          <w:spacing w:val="2"/>
        </w:rPr>
        <w:t>Castilla titulado “La formación </w:t>
      </w:r>
      <w:r>
        <w:rPr>
          <w:color w:val="231F20"/>
        </w:rPr>
        <w:t>de los </w:t>
      </w:r>
      <w:r>
        <w:rPr>
          <w:color w:val="231F20"/>
          <w:spacing w:val="2"/>
        </w:rPr>
        <w:t>jóvenes universita- rios </w:t>
      </w:r>
      <w:r>
        <w:rPr>
          <w:color w:val="231F20"/>
        </w:rPr>
        <w:t>y </w:t>
      </w:r>
      <w:r>
        <w:rPr>
          <w:color w:val="231F20"/>
          <w:spacing w:val="3"/>
        </w:rPr>
        <w:t>percepción </w:t>
      </w:r>
      <w:r>
        <w:rPr>
          <w:color w:val="231F20"/>
        </w:rPr>
        <w:t>de la </w:t>
      </w:r>
      <w:r>
        <w:rPr>
          <w:color w:val="231F20"/>
          <w:spacing w:val="2"/>
        </w:rPr>
        <w:t>violencia”, </w:t>
      </w:r>
      <w:r>
        <w:rPr>
          <w:color w:val="231F20"/>
        </w:rPr>
        <w:t>así </w:t>
      </w:r>
      <w:r>
        <w:rPr>
          <w:color w:val="231F20"/>
          <w:spacing w:val="3"/>
        </w:rPr>
        <w:t>como </w:t>
      </w:r>
      <w:r>
        <w:rPr>
          <w:color w:val="231F20"/>
          <w:spacing w:val="2"/>
        </w:rPr>
        <w:t>Peiró </w:t>
      </w:r>
      <w:r>
        <w:rPr>
          <w:color w:val="231F20"/>
        </w:rPr>
        <w:t>I </w:t>
      </w:r>
      <w:r>
        <w:rPr>
          <w:color w:val="231F20"/>
          <w:spacing w:val="2"/>
        </w:rPr>
        <w:t>Gregori </w:t>
      </w:r>
      <w:r>
        <w:rPr>
          <w:color w:val="231F20"/>
        </w:rPr>
        <w:t>de la </w:t>
      </w:r>
      <w:r>
        <w:rPr>
          <w:color w:val="231F20"/>
          <w:spacing w:val="3"/>
        </w:rPr>
        <w:t>Universidad </w:t>
      </w:r>
      <w:r>
        <w:rPr>
          <w:color w:val="231F20"/>
        </w:rPr>
        <w:t>de </w:t>
      </w:r>
      <w:r>
        <w:rPr>
          <w:color w:val="231F20"/>
          <w:spacing w:val="2"/>
        </w:rPr>
        <w:t>Alicante acerca </w:t>
      </w:r>
      <w:r>
        <w:rPr>
          <w:color w:val="231F20"/>
        </w:rPr>
        <w:t>de la </w:t>
      </w:r>
      <w:r>
        <w:rPr>
          <w:color w:val="231F20"/>
          <w:spacing w:val="2"/>
        </w:rPr>
        <w:t>violencia </w:t>
      </w:r>
      <w:r>
        <w:rPr>
          <w:color w:val="231F20"/>
        </w:rPr>
        <w:t>y </w:t>
      </w:r>
      <w:r>
        <w:rPr>
          <w:color w:val="231F20"/>
          <w:spacing w:val="2"/>
        </w:rPr>
        <w:t>valores </w:t>
      </w:r>
      <w:r>
        <w:rPr>
          <w:color w:val="231F20"/>
        </w:rPr>
        <w:t>en </w:t>
      </w:r>
      <w:r>
        <w:rPr>
          <w:color w:val="231F20"/>
          <w:spacing w:val="3"/>
        </w:rPr>
        <w:t>las </w:t>
      </w:r>
      <w:r>
        <w:rPr>
          <w:color w:val="231F20"/>
          <w:spacing w:val="2"/>
        </w:rPr>
        <w:t>aulas universitarias, los autores </w:t>
      </w:r>
      <w:r>
        <w:rPr>
          <w:color w:val="231F20"/>
        </w:rPr>
        <w:t>de </w:t>
      </w:r>
      <w:r>
        <w:rPr>
          <w:color w:val="231F20"/>
          <w:spacing w:val="2"/>
        </w:rPr>
        <w:t>este trabajo </w:t>
      </w:r>
      <w:r>
        <w:rPr>
          <w:color w:val="231F20"/>
        </w:rPr>
        <w:t>se </w:t>
      </w:r>
      <w:r>
        <w:rPr>
          <w:color w:val="231F20"/>
          <w:spacing w:val="3"/>
        </w:rPr>
        <w:t>propusieron </w:t>
      </w:r>
      <w:r>
        <w:rPr>
          <w:color w:val="231F20"/>
          <w:spacing w:val="2"/>
        </w:rPr>
        <w:t>realizar </w:t>
      </w:r>
      <w:r>
        <w:rPr>
          <w:color w:val="231F20"/>
          <w:spacing w:val="3"/>
        </w:rPr>
        <w:t>como </w:t>
      </w:r>
      <w:r>
        <w:rPr>
          <w:color w:val="231F20"/>
          <w:spacing w:val="2"/>
        </w:rPr>
        <w:t>investigación similar </w:t>
      </w:r>
      <w:r>
        <w:rPr>
          <w:color w:val="231F20"/>
        </w:rPr>
        <w:t>el </w:t>
      </w:r>
      <w:r>
        <w:rPr>
          <w:color w:val="231F20"/>
          <w:spacing w:val="2"/>
        </w:rPr>
        <w:t>presente estudio cuantitativo llevado </w:t>
      </w:r>
      <w:r>
        <w:rPr>
          <w:color w:val="231F20"/>
        </w:rPr>
        <w:t>a </w:t>
      </w:r>
      <w:r>
        <w:rPr>
          <w:color w:val="231F20"/>
          <w:spacing w:val="2"/>
        </w:rPr>
        <w:t>cabo entre los estudiantes </w:t>
      </w:r>
      <w:r>
        <w:rPr>
          <w:color w:val="231F20"/>
        </w:rPr>
        <w:t>de </w:t>
      </w:r>
      <w:r>
        <w:rPr>
          <w:color w:val="231F20"/>
          <w:spacing w:val="2"/>
        </w:rPr>
        <w:t>tres divisiones </w:t>
      </w:r>
      <w:r>
        <w:rPr>
          <w:color w:val="231F20"/>
          <w:spacing w:val="3"/>
        </w:rPr>
        <w:t>académicas </w:t>
      </w:r>
      <w:r>
        <w:rPr>
          <w:color w:val="231F20"/>
        </w:rPr>
        <w:t>de la </w:t>
      </w:r>
      <w:r>
        <w:rPr>
          <w:color w:val="231F20"/>
          <w:spacing w:val="2"/>
        </w:rPr>
        <w:t>Universidad </w:t>
      </w:r>
      <w:r>
        <w:rPr>
          <w:color w:val="231F20"/>
        </w:rPr>
        <w:t>de </w:t>
      </w:r>
      <w:r>
        <w:rPr>
          <w:color w:val="231F20"/>
          <w:spacing w:val="3"/>
        </w:rPr>
        <w:t>Quintana Roo, </w:t>
      </w:r>
      <w:r>
        <w:rPr>
          <w:color w:val="231F20"/>
          <w:spacing w:val="2"/>
        </w:rPr>
        <w:t>unidad </w:t>
      </w:r>
      <w:r>
        <w:rPr>
          <w:color w:val="231F20"/>
          <w:spacing w:val="3"/>
        </w:rPr>
        <w:t>Chetumal</w:t>
      </w:r>
      <w:r>
        <w:rPr>
          <w:color w:val="231F20"/>
          <w:spacing w:val="12"/>
        </w:rPr>
        <w:t> </w:t>
      </w:r>
      <w:r>
        <w:rPr>
          <w:color w:val="231F20"/>
          <w:spacing w:val="2"/>
        </w:rPr>
        <w:t>(México).</w:t>
      </w:r>
    </w:p>
    <w:p>
      <w:pPr>
        <w:pStyle w:val="BodyText"/>
        <w:spacing w:line="249" w:lineRule="auto"/>
        <w:ind w:left="113" w:right="114" w:firstLine="283"/>
        <w:jc w:val="both"/>
      </w:pPr>
      <w:r>
        <w:rPr>
          <w:color w:val="231F20"/>
        </w:rPr>
        <w:t>En general, el tema de la violencia no solo es de actualidad y de suma necesidad para comprender los sucesos cotidianos de la hu- manidad, sino de particular importancia en la prevención del con- flicto y la procuración de mejores formas de convivencia entre los estudiantes universitarios; así como entre estos y sus profesores.</w:t>
      </w:r>
    </w:p>
    <w:p>
      <w:pPr>
        <w:pStyle w:val="BodyText"/>
        <w:spacing w:line="249" w:lineRule="auto"/>
        <w:ind w:left="113" w:right="116" w:firstLine="284"/>
        <w:jc w:val="both"/>
      </w:pPr>
      <w:r>
        <w:rPr>
          <w:color w:val="231F20"/>
          <w:spacing w:val="2"/>
        </w:rPr>
        <w:t>Este estudio tuvo </w:t>
      </w:r>
      <w:r>
        <w:rPr>
          <w:color w:val="231F20"/>
          <w:spacing w:val="3"/>
        </w:rPr>
        <w:t>como propósito emprender  </w:t>
      </w:r>
      <w:r>
        <w:rPr>
          <w:color w:val="231F20"/>
          <w:spacing w:val="2"/>
        </w:rPr>
        <w:t>una  investiga- ción cuantitativa, trasversal </w:t>
      </w:r>
      <w:r>
        <w:rPr>
          <w:color w:val="231F20"/>
        </w:rPr>
        <w:t>y de </w:t>
      </w:r>
      <w:r>
        <w:rPr>
          <w:color w:val="231F20"/>
          <w:spacing w:val="2"/>
        </w:rPr>
        <w:t>tipo exploratorio para analizar los aspectos </w:t>
      </w:r>
      <w:r>
        <w:rPr>
          <w:color w:val="231F20"/>
          <w:spacing w:val="3"/>
        </w:rPr>
        <w:t>considerados </w:t>
      </w:r>
      <w:r>
        <w:rPr>
          <w:color w:val="231F20"/>
          <w:spacing w:val="2"/>
        </w:rPr>
        <w:t>por los estudiantes universitarios </w:t>
      </w:r>
      <w:r>
        <w:rPr>
          <w:color w:val="231F20"/>
        </w:rPr>
        <w:t>que </w:t>
      </w:r>
      <w:r>
        <w:rPr>
          <w:color w:val="231F20"/>
          <w:spacing w:val="2"/>
        </w:rPr>
        <w:t>influ- </w:t>
      </w:r>
      <w:r>
        <w:rPr>
          <w:color w:val="231F20"/>
        </w:rPr>
        <w:t>yen en el </w:t>
      </w:r>
      <w:r>
        <w:rPr>
          <w:color w:val="231F20"/>
          <w:spacing w:val="2"/>
        </w:rPr>
        <w:t>origen </w:t>
      </w:r>
      <w:r>
        <w:rPr>
          <w:color w:val="231F20"/>
        </w:rPr>
        <w:t>de la </w:t>
      </w:r>
      <w:r>
        <w:rPr>
          <w:color w:val="231F20"/>
          <w:spacing w:val="2"/>
        </w:rPr>
        <w:t>violencia escolar, </w:t>
      </w:r>
      <w:r>
        <w:rPr>
          <w:color w:val="231F20"/>
        </w:rPr>
        <w:t>y de ese </w:t>
      </w:r>
      <w:r>
        <w:rPr>
          <w:color w:val="231F20"/>
          <w:spacing w:val="3"/>
        </w:rPr>
        <w:t>modo </w:t>
      </w:r>
      <w:r>
        <w:rPr>
          <w:color w:val="231F20"/>
          <w:spacing w:val="2"/>
        </w:rPr>
        <w:t>describir</w:t>
      </w:r>
      <w:r>
        <w:rPr>
          <w:color w:val="231F20"/>
          <w:spacing w:val="56"/>
        </w:rPr>
        <w:t> </w:t>
      </w:r>
      <w:r>
        <w:rPr>
          <w:color w:val="231F20"/>
          <w:spacing w:val="2"/>
        </w:rPr>
        <w:t>que, </w:t>
      </w:r>
      <w:r>
        <w:rPr>
          <w:color w:val="231F20"/>
        </w:rPr>
        <w:t>a </w:t>
      </w:r>
      <w:r>
        <w:rPr>
          <w:color w:val="231F20"/>
          <w:spacing w:val="3"/>
        </w:rPr>
        <w:t>medida </w:t>
      </w:r>
      <w:r>
        <w:rPr>
          <w:color w:val="231F20"/>
          <w:spacing w:val="2"/>
        </w:rPr>
        <w:t>que </w:t>
      </w:r>
      <w:r>
        <w:rPr>
          <w:color w:val="231F20"/>
          <w:spacing w:val="3"/>
        </w:rPr>
        <w:t>aumenta </w:t>
      </w:r>
      <w:r>
        <w:rPr>
          <w:color w:val="231F20"/>
        </w:rPr>
        <w:t>la </w:t>
      </w:r>
      <w:r>
        <w:rPr>
          <w:color w:val="231F20"/>
          <w:spacing w:val="2"/>
        </w:rPr>
        <w:t>frecuencia con que </w:t>
      </w:r>
      <w:r>
        <w:rPr>
          <w:color w:val="231F20"/>
        </w:rPr>
        <w:t>se es </w:t>
      </w:r>
      <w:r>
        <w:rPr>
          <w:color w:val="231F20"/>
          <w:spacing w:val="2"/>
        </w:rPr>
        <w:t>víctima, agresor </w:t>
      </w:r>
      <w:r>
        <w:rPr>
          <w:color w:val="231F20"/>
        </w:rPr>
        <w:t>y </w:t>
      </w:r>
      <w:r>
        <w:rPr>
          <w:color w:val="231F20"/>
          <w:spacing w:val="3"/>
        </w:rPr>
        <w:t>observador, </w:t>
      </w:r>
      <w:r>
        <w:rPr>
          <w:color w:val="231F20"/>
          <w:spacing w:val="2"/>
        </w:rPr>
        <w:t>disminuye </w:t>
      </w:r>
      <w:r>
        <w:rPr>
          <w:color w:val="231F20"/>
        </w:rPr>
        <w:t>la </w:t>
      </w:r>
      <w:r>
        <w:rPr>
          <w:color w:val="231F20"/>
          <w:spacing w:val="3"/>
        </w:rPr>
        <w:t>importancia </w:t>
      </w:r>
      <w:r>
        <w:rPr>
          <w:color w:val="231F20"/>
          <w:spacing w:val="2"/>
        </w:rPr>
        <w:t>dada </w:t>
      </w:r>
      <w:r>
        <w:rPr>
          <w:color w:val="231F20"/>
        </w:rPr>
        <w:t>la </w:t>
      </w:r>
      <w:r>
        <w:rPr>
          <w:color w:val="231F20"/>
          <w:spacing w:val="2"/>
        </w:rPr>
        <w:t>falta </w:t>
      </w:r>
      <w:r>
        <w:rPr>
          <w:color w:val="231F20"/>
        </w:rPr>
        <w:t>de </w:t>
      </w:r>
      <w:r>
        <w:rPr>
          <w:color w:val="231F20"/>
          <w:spacing w:val="2"/>
        </w:rPr>
        <w:t>educación </w:t>
      </w:r>
      <w:r>
        <w:rPr>
          <w:color w:val="231F20"/>
        </w:rPr>
        <w:t>en </w:t>
      </w:r>
      <w:r>
        <w:rPr>
          <w:color w:val="231F20"/>
          <w:spacing w:val="2"/>
        </w:rPr>
        <w:t>valores, </w:t>
      </w:r>
      <w:r>
        <w:rPr>
          <w:color w:val="231F20"/>
        </w:rPr>
        <w:t>y al </w:t>
      </w:r>
      <w:r>
        <w:rPr>
          <w:color w:val="231F20"/>
          <w:spacing w:val="2"/>
        </w:rPr>
        <w:t>origen </w:t>
      </w:r>
      <w:r>
        <w:rPr>
          <w:color w:val="231F20"/>
        </w:rPr>
        <w:t>de las </w:t>
      </w:r>
      <w:r>
        <w:rPr>
          <w:color w:val="231F20"/>
          <w:spacing w:val="3"/>
        </w:rPr>
        <w:t>conductas </w:t>
      </w:r>
      <w:r>
        <w:rPr>
          <w:color w:val="231F20"/>
          <w:spacing w:val="2"/>
        </w:rPr>
        <w:t>violentas dentro del aula universitaria </w:t>
      </w:r>
      <w:r>
        <w:rPr>
          <w:color w:val="231F20"/>
        </w:rPr>
        <w:t>e </w:t>
      </w:r>
      <w:r>
        <w:rPr>
          <w:color w:val="231F20"/>
          <w:spacing w:val="2"/>
        </w:rPr>
        <w:t>incluso dentro </w:t>
      </w:r>
      <w:r>
        <w:rPr>
          <w:color w:val="231F20"/>
        </w:rPr>
        <w:t>de la </w:t>
      </w:r>
      <w:r>
        <w:rPr>
          <w:color w:val="231F20"/>
          <w:spacing w:val="2"/>
        </w:rPr>
        <w:t>propia institución uni- versitaria. Por consiguiente, </w:t>
      </w:r>
      <w:r>
        <w:rPr>
          <w:color w:val="231F20"/>
        </w:rPr>
        <w:t>la </w:t>
      </w:r>
      <w:r>
        <w:rPr>
          <w:color w:val="231F20"/>
          <w:spacing w:val="2"/>
        </w:rPr>
        <w:t>responsabilidad social </w:t>
      </w:r>
      <w:r>
        <w:rPr>
          <w:color w:val="231F20"/>
        </w:rPr>
        <w:t>de la </w:t>
      </w:r>
      <w:r>
        <w:rPr>
          <w:color w:val="231F20"/>
          <w:spacing w:val="2"/>
        </w:rPr>
        <w:t>univer- sidad </w:t>
      </w:r>
      <w:r>
        <w:rPr>
          <w:color w:val="231F20"/>
        </w:rPr>
        <w:t>es la de </w:t>
      </w:r>
      <w:r>
        <w:rPr>
          <w:color w:val="231F20"/>
          <w:spacing w:val="2"/>
        </w:rPr>
        <w:t>procurar </w:t>
      </w:r>
      <w:r>
        <w:rPr>
          <w:color w:val="231F20"/>
        </w:rPr>
        <w:t>y </w:t>
      </w:r>
      <w:r>
        <w:rPr>
          <w:color w:val="231F20"/>
          <w:spacing w:val="2"/>
        </w:rPr>
        <w:t>propiciar reglas </w:t>
      </w:r>
      <w:r>
        <w:rPr>
          <w:color w:val="231F20"/>
        </w:rPr>
        <w:t>de </w:t>
      </w:r>
      <w:r>
        <w:rPr>
          <w:color w:val="231F20"/>
          <w:spacing w:val="2"/>
        </w:rPr>
        <w:t>convivencia </w:t>
      </w:r>
      <w:r>
        <w:rPr>
          <w:color w:val="231F20"/>
        </w:rPr>
        <w:t>que re- </w:t>
      </w:r>
      <w:r>
        <w:rPr>
          <w:color w:val="231F20"/>
          <w:spacing w:val="3"/>
        </w:rPr>
        <w:t>dunden </w:t>
      </w:r>
      <w:r>
        <w:rPr>
          <w:color w:val="231F20"/>
        </w:rPr>
        <w:t>en </w:t>
      </w:r>
      <w:r>
        <w:rPr>
          <w:color w:val="231F20"/>
          <w:spacing w:val="2"/>
        </w:rPr>
        <w:t>valores prosociales </w:t>
      </w:r>
      <w:r>
        <w:rPr>
          <w:color w:val="231F20"/>
        </w:rPr>
        <w:t>de </w:t>
      </w:r>
      <w:r>
        <w:rPr>
          <w:color w:val="231F20"/>
          <w:spacing w:val="2"/>
        </w:rPr>
        <w:t>los estudiantes </w:t>
      </w:r>
      <w:r>
        <w:rPr>
          <w:color w:val="231F20"/>
        </w:rPr>
        <w:t>y </w:t>
      </w:r>
      <w:r>
        <w:rPr>
          <w:color w:val="231F20"/>
          <w:spacing w:val="3"/>
        </w:rPr>
        <w:t>futuros </w:t>
      </w:r>
      <w:r>
        <w:rPr>
          <w:color w:val="231F20"/>
          <w:spacing w:val="2"/>
        </w:rPr>
        <w:t>profe- sionistas.</w:t>
      </w:r>
    </w:p>
    <w:p>
      <w:pPr>
        <w:pStyle w:val="BodyText"/>
        <w:spacing w:line="247" w:lineRule="auto"/>
        <w:ind w:left="114" w:right="115" w:firstLine="283"/>
        <w:jc w:val="both"/>
      </w:pPr>
      <w:r>
        <w:rPr>
          <w:color w:val="231F20"/>
        </w:rPr>
        <w:t>Con base en el Cuestionario de Factores Predictores de la Vio- lencia Escolar para Universitarios diseñada por Larrañaga y Yube- ro (2002), se aplicó una encuesta con un pilotaje de dos momen- tos. El diseño partió de la definición de los constructos a conside- rar para caracterizar la percepción de la violencia escolar. Para definirlos se realizaron diversas reuniones de trabajo entre los investigadores principales con el objetivo de estudiar y analizar las distintas y potenciales fuentes de información conocidas y   valida-</w:t>
      </w:r>
    </w:p>
    <w:p>
      <w:pPr>
        <w:spacing w:after="0" w:line="247" w:lineRule="auto"/>
        <w:jc w:val="both"/>
        <w:sectPr>
          <w:headerReference w:type="default" r:id="rId631"/>
          <w:footerReference w:type="default" r:id="rId632"/>
          <w:pgSz w:w="7830" w:h="11910"/>
          <w:pgMar w:header="0" w:footer="424" w:top="500" w:bottom="620" w:left="880" w:right="900"/>
          <w:pgNumType w:start="281"/>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1" w:right="108"/>
        <w:jc w:val="both"/>
      </w:pPr>
      <w:r>
        <w:rPr>
          <w:color w:val="231F20"/>
        </w:rPr>
        <w:t>das sobre percepción de violencia, encontrándose más característi- cas respecto a las actitudes y representaciones sociales o manifes- taciones que se tienen sobre la violencia.</w:t>
      </w:r>
    </w:p>
    <w:p>
      <w:pPr>
        <w:pStyle w:val="BodyText"/>
        <w:spacing w:line="249" w:lineRule="auto" w:before="1"/>
        <w:ind w:left="101" w:right="108" w:firstLine="284"/>
        <w:jc w:val="both"/>
      </w:pPr>
      <w:r>
        <w:rPr>
          <w:color w:val="231F20"/>
          <w:spacing w:val="2"/>
        </w:rPr>
        <w:t>Diversos estudios, resultados </w:t>
      </w:r>
      <w:r>
        <w:rPr>
          <w:color w:val="231F20"/>
        </w:rPr>
        <w:t>de </w:t>
      </w:r>
      <w:r>
        <w:rPr>
          <w:color w:val="231F20"/>
          <w:spacing w:val="2"/>
        </w:rPr>
        <w:t>otros proyectos, </w:t>
      </w:r>
      <w:r>
        <w:rPr>
          <w:color w:val="231F20"/>
        </w:rPr>
        <w:t>así </w:t>
      </w:r>
      <w:r>
        <w:rPr>
          <w:color w:val="231F20"/>
          <w:spacing w:val="2"/>
        </w:rPr>
        <w:t>como </w:t>
      </w:r>
      <w:r>
        <w:rPr>
          <w:color w:val="231F20"/>
          <w:spacing w:val="3"/>
        </w:rPr>
        <w:t>ar- </w:t>
      </w:r>
      <w:r>
        <w:rPr>
          <w:color w:val="231F20"/>
          <w:spacing w:val="2"/>
        </w:rPr>
        <w:t>tículos científicos fueron revisados para </w:t>
      </w:r>
      <w:r>
        <w:rPr>
          <w:color w:val="231F20"/>
          <w:spacing w:val="3"/>
        </w:rPr>
        <w:t>comparar </w:t>
      </w:r>
      <w:r>
        <w:rPr>
          <w:color w:val="231F20"/>
        </w:rPr>
        <w:t>la </w:t>
      </w:r>
      <w:r>
        <w:rPr>
          <w:color w:val="231F20"/>
          <w:spacing w:val="3"/>
        </w:rPr>
        <w:t>metodología   </w:t>
      </w:r>
      <w:r>
        <w:rPr>
          <w:color w:val="231F20"/>
        </w:rPr>
        <w:t>y </w:t>
      </w:r>
      <w:r>
        <w:rPr>
          <w:color w:val="231F20"/>
          <w:spacing w:val="2"/>
        </w:rPr>
        <w:t>análisis llevados </w:t>
      </w:r>
      <w:r>
        <w:rPr>
          <w:color w:val="231F20"/>
        </w:rPr>
        <w:t>a </w:t>
      </w:r>
      <w:r>
        <w:rPr>
          <w:color w:val="231F20"/>
          <w:spacing w:val="2"/>
        </w:rPr>
        <w:t>cabo. </w:t>
      </w:r>
      <w:r>
        <w:rPr>
          <w:color w:val="231F20"/>
          <w:spacing w:val="3"/>
        </w:rPr>
        <w:t>Asimismo, </w:t>
      </w:r>
      <w:r>
        <w:rPr>
          <w:color w:val="231F20"/>
          <w:spacing w:val="2"/>
        </w:rPr>
        <w:t>fueron vertidas diversas opi- niones para adaptar </w:t>
      </w:r>
      <w:r>
        <w:rPr>
          <w:color w:val="231F20"/>
        </w:rPr>
        <w:t>el </w:t>
      </w:r>
      <w:r>
        <w:rPr>
          <w:color w:val="231F20"/>
          <w:spacing w:val="3"/>
        </w:rPr>
        <w:t>instrumento </w:t>
      </w:r>
      <w:r>
        <w:rPr>
          <w:color w:val="231F20"/>
          <w:spacing w:val="2"/>
        </w:rPr>
        <w:t>hacia una población </w:t>
      </w:r>
      <w:r>
        <w:rPr>
          <w:color w:val="231F20"/>
        </w:rPr>
        <w:t>de </w:t>
      </w:r>
      <w:r>
        <w:rPr>
          <w:color w:val="231F20"/>
          <w:spacing w:val="3"/>
        </w:rPr>
        <w:t>estu- </w:t>
      </w:r>
      <w:r>
        <w:rPr>
          <w:color w:val="231F20"/>
          <w:spacing w:val="2"/>
        </w:rPr>
        <w:t>diantes con </w:t>
      </w:r>
      <w:r>
        <w:rPr>
          <w:color w:val="231F20"/>
          <w:spacing w:val="3"/>
        </w:rPr>
        <w:t>determinadas </w:t>
      </w:r>
      <w:r>
        <w:rPr>
          <w:color w:val="231F20"/>
          <w:spacing w:val="2"/>
        </w:rPr>
        <w:t>características sociales, </w:t>
      </w:r>
      <w:r>
        <w:rPr>
          <w:color w:val="231F20"/>
          <w:spacing w:val="3"/>
        </w:rPr>
        <w:t>económicas, </w:t>
      </w:r>
      <w:r>
        <w:rPr>
          <w:color w:val="231F20"/>
          <w:spacing w:val="2"/>
        </w:rPr>
        <w:t>incluido </w:t>
      </w:r>
      <w:r>
        <w:rPr>
          <w:color w:val="231F20"/>
        </w:rPr>
        <w:t>un </w:t>
      </w:r>
      <w:r>
        <w:rPr>
          <w:color w:val="231F20"/>
          <w:spacing w:val="2"/>
        </w:rPr>
        <w:t>estudio adscrito </w:t>
      </w:r>
      <w:r>
        <w:rPr>
          <w:color w:val="231F20"/>
        </w:rPr>
        <w:t>a </w:t>
      </w:r>
      <w:r>
        <w:rPr>
          <w:color w:val="231F20"/>
          <w:spacing w:val="2"/>
        </w:rPr>
        <w:t>tres divisiones académicas </w:t>
      </w:r>
      <w:r>
        <w:rPr>
          <w:color w:val="231F20"/>
        </w:rPr>
        <w:t>de la </w:t>
      </w:r>
      <w:r>
        <w:rPr>
          <w:color w:val="231F20"/>
          <w:spacing w:val="3"/>
        </w:rPr>
        <w:t>Universidad </w:t>
      </w:r>
      <w:r>
        <w:rPr>
          <w:color w:val="231F20"/>
        </w:rPr>
        <w:t>de </w:t>
      </w:r>
      <w:r>
        <w:rPr>
          <w:color w:val="231F20"/>
          <w:spacing w:val="3"/>
        </w:rPr>
        <w:t>Quintana Roo, </w:t>
      </w:r>
      <w:r>
        <w:rPr>
          <w:color w:val="231F20"/>
        </w:rPr>
        <w:t>en la </w:t>
      </w:r>
      <w:r>
        <w:rPr>
          <w:color w:val="231F20"/>
          <w:spacing w:val="2"/>
        </w:rPr>
        <w:t>unidad</w:t>
      </w:r>
      <w:r>
        <w:rPr>
          <w:color w:val="231F20"/>
          <w:spacing w:val="28"/>
        </w:rPr>
        <w:t> </w:t>
      </w:r>
      <w:r>
        <w:rPr>
          <w:color w:val="231F20"/>
          <w:spacing w:val="3"/>
        </w:rPr>
        <w:t>Chetumal.</w:t>
      </w:r>
    </w:p>
    <w:p>
      <w:pPr>
        <w:pStyle w:val="BodyText"/>
        <w:spacing w:line="249" w:lineRule="auto"/>
        <w:ind w:left="101" w:right="108" w:firstLine="284"/>
        <w:jc w:val="both"/>
      </w:pPr>
      <w:r>
        <w:rPr>
          <w:color w:val="231F20"/>
        </w:rPr>
        <w:t>En </w:t>
      </w:r>
      <w:r>
        <w:rPr>
          <w:color w:val="231F20"/>
          <w:spacing w:val="2"/>
        </w:rPr>
        <w:t>general, tanto </w:t>
      </w:r>
      <w:r>
        <w:rPr>
          <w:color w:val="231F20"/>
        </w:rPr>
        <w:t>en las </w:t>
      </w:r>
      <w:r>
        <w:rPr>
          <w:color w:val="231F20"/>
          <w:spacing w:val="2"/>
        </w:rPr>
        <w:t>revisiones como </w:t>
      </w:r>
      <w:r>
        <w:rPr>
          <w:color w:val="231F20"/>
        </w:rPr>
        <w:t>en las </w:t>
      </w:r>
      <w:r>
        <w:rPr>
          <w:color w:val="231F20"/>
          <w:spacing w:val="2"/>
        </w:rPr>
        <w:t>discusiones </w:t>
      </w:r>
      <w:r>
        <w:rPr>
          <w:color w:val="231F20"/>
        </w:rPr>
        <w:t>se </w:t>
      </w:r>
      <w:r>
        <w:rPr>
          <w:color w:val="231F20"/>
          <w:spacing w:val="2"/>
        </w:rPr>
        <w:t>incluyeron tópicos </w:t>
      </w:r>
      <w:r>
        <w:rPr>
          <w:color w:val="231F20"/>
        </w:rPr>
        <w:t>y </w:t>
      </w:r>
      <w:r>
        <w:rPr>
          <w:color w:val="231F20"/>
          <w:spacing w:val="3"/>
        </w:rPr>
        <w:t>opiniones </w:t>
      </w:r>
      <w:r>
        <w:rPr>
          <w:color w:val="231F20"/>
          <w:spacing w:val="2"/>
        </w:rPr>
        <w:t>sobre diversas áreas </w:t>
      </w:r>
      <w:r>
        <w:rPr>
          <w:color w:val="231F20"/>
          <w:spacing w:val="3"/>
        </w:rPr>
        <w:t>potencialmen- </w:t>
      </w:r>
      <w:r>
        <w:rPr>
          <w:color w:val="231F20"/>
        </w:rPr>
        <w:t>te </w:t>
      </w:r>
      <w:r>
        <w:rPr>
          <w:color w:val="231F20"/>
          <w:spacing w:val="2"/>
        </w:rPr>
        <w:t>relacionadas con </w:t>
      </w:r>
      <w:r>
        <w:rPr>
          <w:color w:val="231F20"/>
        </w:rPr>
        <w:t>la </w:t>
      </w:r>
      <w:r>
        <w:rPr>
          <w:color w:val="231F20"/>
          <w:spacing w:val="2"/>
        </w:rPr>
        <w:t>violencia, desde aspectos sociales, sicológi- cos </w:t>
      </w:r>
      <w:r>
        <w:rPr>
          <w:color w:val="231F20"/>
        </w:rPr>
        <w:t>y </w:t>
      </w:r>
      <w:r>
        <w:rPr>
          <w:color w:val="231F20"/>
          <w:spacing w:val="2"/>
        </w:rPr>
        <w:t>familiares, hasta </w:t>
      </w:r>
      <w:r>
        <w:rPr>
          <w:color w:val="231F20"/>
        </w:rPr>
        <w:t>su </w:t>
      </w:r>
      <w:r>
        <w:rPr>
          <w:color w:val="231F20"/>
          <w:spacing w:val="3"/>
        </w:rPr>
        <w:t>comportamiento </w:t>
      </w:r>
      <w:r>
        <w:rPr>
          <w:color w:val="231F20"/>
          <w:spacing w:val="2"/>
        </w:rPr>
        <w:t>sexual </w:t>
      </w:r>
      <w:r>
        <w:rPr>
          <w:color w:val="231F20"/>
        </w:rPr>
        <w:t>y </w:t>
      </w:r>
      <w:r>
        <w:rPr>
          <w:color w:val="231F20"/>
          <w:spacing w:val="2"/>
        </w:rPr>
        <w:t>convivencia escolar, </w:t>
      </w:r>
      <w:r>
        <w:rPr>
          <w:color w:val="231F20"/>
        </w:rPr>
        <w:t>de </w:t>
      </w:r>
      <w:r>
        <w:rPr>
          <w:color w:val="231F20"/>
          <w:spacing w:val="3"/>
        </w:rPr>
        <w:t>modo </w:t>
      </w:r>
      <w:r>
        <w:rPr>
          <w:color w:val="231F20"/>
          <w:spacing w:val="2"/>
        </w:rPr>
        <w:t>que </w:t>
      </w:r>
      <w:r>
        <w:rPr>
          <w:color w:val="231F20"/>
        </w:rPr>
        <w:t>al </w:t>
      </w:r>
      <w:r>
        <w:rPr>
          <w:color w:val="231F20"/>
          <w:spacing w:val="2"/>
        </w:rPr>
        <w:t>finalizar </w:t>
      </w:r>
      <w:r>
        <w:rPr>
          <w:color w:val="231F20"/>
        </w:rPr>
        <w:t>el </w:t>
      </w:r>
      <w:r>
        <w:rPr>
          <w:color w:val="231F20"/>
          <w:spacing w:val="2"/>
        </w:rPr>
        <w:t>proceso </w:t>
      </w:r>
      <w:r>
        <w:rPr>
          <w:color w:val="231F20"/>
        </w:rPr>
        <w:t>de </w:t>
      </w:r>
      <w:r>
        <w:rPr>
          <w:color w:val="231F20"/>
          <w:spacing w:val="2"/>
        </w:rPr>
        <w:t>revisión </w:t>
      </w:r>
      <w:r>
        <w:rPr>
          <w:color w:val="231F20"/>
        </w:rPr>
        <w:t>de </w:t>
      </w:r>
      <w:r>
        <w:rPr>
          <w:color w:val="231F20"/>
          <w:spacing w:val="2"/>
        </w:rPr>
        <w:t>literatu- </w:t>
      </w:r>
      <w:r>
        <w:rPr>
          <w:color w:val="231F20"/>
        </w:rPr>
        <w:t>ra, </w:t>
      </w:r>
      <w:r>
        <w:rPr>
          <w:color w:val="231F20"/>
          <w:spacing w:val="2"/>
        </w:rPr>
        <w:t>discusión </w:t>
      </w:r>
      <w:r>
        <w:rPr>
          <w:color w:val="231F20"/>
        </w:rPr>
        <w:t>y </w:t>
      </w:r>
      <w:r>
        <w:rPr>
          <w:color w:val="231F20"/>
          <w:spacing w:val="2"/>
        </w:rPr>
        <w:t>análisis </w:t>
      </w:r>
      <w:r>
        <w:rPr>
          <w:color w:val="231F20"/>
        </w:rPr>
        <w:t>de </w:t>
      </w:r>
      <w:r>
        <w:rPr>
          <w:color w:val="231F20"/>
          <w:spacing w:val="2"/>
        </w:rPr>
        <w:t>diversas </w:t>
      </w:r>
      <w:r>
        <w:rPr>
          <w:color w:val="231F20"/>
          <w:spacing w:val="3"/>
        </w:rPr>
        <w:t>opiniones, </w:t>
      </w:r>
      <w:r>
        <w:rPr>
          <w:color w:val="231F20"/>
        </w:rPr>
        <w:t>se </w:t>
      </w:r>
      <w:r>
        <w:rPr>
          <w:color w:val="231F20"/>
          <w:spacing w:val="2"/>
        </w:rPr>
        <w:t>obtuvo </w:t>
      </w:r>
      <w:r>
        <w:rPr>
          <w:color w:val="231F20"/>
        </w:rPr>
        <w:t>un </w:t>
      </w:r>
      <w:r>
        <w:rPr>
          <w:color w:val="231F20"/>
          <w:spacing w:val="2"/>
        </w:rPr>
        <w:t>instru- mento propio </w:t>
      </w:r>
      <w:r>
        <w:rPr>
          <w:color w:val="231F20"/>
        </w:rPr>
        <w:t>con  </w:t>
      </w:r>
      <w:r>
        <w:rPr>
          <w:color w:val="231F20"/>
          <w:spacing w:val="2"/>
        </w:rPr>
        <w:t>siete constructos principales </w:t>
      </w:r>
      <w:r>
        <w:rPr>
          <w:color w:val="231F20"/>
          <w:spacing w:val="3"/>
        </w:rPr>
        <w:t>medidos </w:t>
      </w:r>
      <w:r>
        <w:rPr>
          <w:color w:val="231F20"/>
        </w:rPr>
        <w:t>a  </w:t>
      </w:r>
      <w:r>
        <w:rPr>
          <w:color w:val="231F20"/>
          <w:spacing w:val="2"/>
        </w:rPr>
        <w:t>través  </w:t>
      </w:r>
      <w:r>
        <w:rPr>
          <w:color w:val="231F20"/>
        </w:rPr>
        <w:t>de </w:t>
      </w:r>
      <w:r>
        <w:rPr>
          <w:color w:val="231F20"/>
          <w:spacing w:val="2"/>
        </w:rPr>
        <w:t>indicadores </w:t>
      </w:r>
      <w:r>
        <w:rPr>
          <w:color w:val="231F20"/>
        </w:rPr>
        <w:t>de </w:t>
      </w:r>
      <w:r>
        <w:rPr>
          <w:color w:val="231F20"/>
          <w:spacing w:val="2"/>
        </w:rPr>
        <w:t>opción múltiple </w:t>
      </w:r>
      <w:r>
        <w:rPr>
          <w:color w:val="231F20"/>
        </w:rPr>
        <w:t>o de </w:t>
      </w:r>
      <w:r>
        <w:rPr>
          <w:color w:val="231F20"/>
          <w:spacing w:val="3"/>
        </w:rPr>
        <w:t>numeración </w:t>
      </w:r>
      <w:r>
        <w:rPr>
          <w:color w:val="231F20"/>
          <w:spacing w:val="2"/>
        </w:rPr>
        <w:t>por nivel </w:t>
      </w:r>
      <w:r>
        <w:rPr>
          <w:color w:val="231F20"/>
        </w:rPr>
        <w:t>de </w:t>
      </w:r>
      <w:r>
        <w:rPr>
          <w:color w:val="231F20"/>
          <w:spacing w:val="3"/>
        </w:rPr>
        <w:t>importancia. </w:t>
      </w:r>
      <w:r>
        <w:rPr>
          <w:color w:val="231F20"/>
          <w:spacing w:val="2"/>
        </w:rPr>
        <w:t>Los </w:t>
      </w:r>
      <w:r>
        <w:rPr>
          <w:color w:val="231F20"/>
          <w:spacing w:val="3"/>
        </w:rPr>
        <w:t>constructos </w:t>
      </w:r>
      <w:r>
        <w:rPr>
          <w:color w:val="231F20"/>
          <w:spacing w:val="2"/>
        </w:rPr>
        <w:t>seleccionados para incluirse </w:t>
      </w:r>
      <w:r>
        <w:rPr>
          <w:color w:val="231F20"/>
        </w:rPr>
        <w:t>en el </w:t>
      </w:r>
      <w:r>
        <w:rPr>
          <w:color w:val="231F20"/>
          <w:spacing w:val="3"/>
        </w:rPr>
        <w:t>instrumento </w:t>
      </w:r>
      <w:r>
        <w:rPr>
          <w:color w:val="231F20"/>
          <w:spacing w:val="2"/>
        </w:rPr>
        <w:t>fueron los</w:t>
      </w:r>
      <w:r>
        <w:rPr>
          <w:color w:val="231F20"/>
          <w:spacing w:val="11"/>
        </w:rPr>
        <w:t> </w:t>
      </w:r>
      <w:r>
        <w:rPr>
          <w:color w:val="231F20"/>
          <w:spacing w:val="2"/>
        </w:rPr>
        <w:t>siguientes:</w:t>
      </w:r>
    </w:p>
    <w:p>
      <w:pPr>
        <w:pStyle w:val="BodyText"/>
        <w:spacing w:before="7"/>
      </w:pPr>
    </w:p>
    <w:p>
      <w:pPr>
        <w:pStyle w:val="ListParagraph"/>
        <w:numPr>
          <w:ilvl w:val="0"/>
          <w:numId w:val="16"/>
        </w:numPr>
        <w:tabs>
          <w:tab w:pos="459" w:val="left" w:leader="none"/>
        </w:tabs>
        <w:spacing w:line="247" w:lineRule="auto" w:before="0" w:after="0"/>
        <w:ind w:left="458" w:right="106" w:hanging="357"/>
        <w:jc w:val="both"/>
        <w:rPr>
          <w:color w:val="231F20"/>
          <w:sz w:val="21"/>
        </w:rPr>
      </w:pPr>
      <w:r>
        <w:rPr>
          <w:color w:val="231F20"/>
          <w:sz w:val="21"/>
        </w:rPr>
        <w:t>Datos generales. En esta sección se logró obtener información sobre datos personales y familiares de los encuestados. Fueron solicitados aspectos tales como género, religión, prácticas de- portivas, acceso a servicios médicos. Además, se realizaron pre- guntas sobre la situación actual del estudiante en la Universidad, el programa educativo al que están inscritos, departamento al cual el mismo está adscrito,</w:t>
      </w:r>
      <w:r>
        <w:rPr>
          <w:color w:val="231F20"/>
          <w:spacing w:val="-12"/>
          <w:sz w:val="21"/>
        </w:rPr>
        <w:t> </w:t>
      </w:r>
      <w:r>
        <w:rPr>
          <w:color w:val="231F20"/>
          <w:sz w:val="21"/>
        </w:rPr>
        <w:t>básicamente.</w:t>
      </w:r>
    </w:p>
    <w:p>
      <w:pPr>
        <w:pStyle w:val="ListParagraph"/>
        <w:numPr>
          <w:ilvl w:val="0"/>
          <w:numId w:val="16"/>
        </w:numPr>
        <w:tabs>
          <w:tab w:pos="459" w:val="left" w:leader="none"/>
        </w:tabs>
        <w:spacing w:line="249" w:lineRule="auto" w:before="1" w:after="0"/>
        <w:ind w:left="458" w:right="109" w:hanging="357"/>
        <w:jc w:val="both"/>
        <w:rPr>
          <w:color w:val="231F20"/>
          <w:sz w:val="21"/>
        </w:rPr>
      </w:pPr>
      <w:r>
        <w:rPr>
          <w:color w:val="231F20"/>
          <w:sz w:val="21"/>
        </w:rPr>
        <w:t>Características de la vivienda. Como parte de los objetivos don- de se planteó el análisis de la percepción de violencia estratifi- cando por nivel socioeconómico, se obtuvo  información  con este constructo de tópicos tales como tipo de suelo de su vi- vienda, acceso a servicios públicos, disposición de aparatos electrónicos, que de cierta manera mostraban el </w:t>
      </w:r>
      <w:r>
        <w:rPr>
          <w:i/>
          <w:color w:val="231F20"/>
          <w:sz w:val="21"/>
        </w:rPr>
        <w:t>status </w:t>
      </w:r>
      <w:r>
        <w:rPr>
          <w:color w:val="231F20"/>
          <w:sz w:val="21"/>
        </w:rPr>
        <w:t>económi- co familiar del</w:t>
      </w:r>
      <w:r>
        <w:rPr>
          <w:color w:val="231F20"/>
          <w:spacing w:val="-19"/>
          <w:sz w:val="21"/>
        </w:rPr>
        <w:t> </w:t>
      </w:r>
      <w:r>
        <w:rPr>
          <w:color w:val="231F20"/>
          <w:sz w:val="21"/>
        </w:rPr>
        <w:t>estudiante.</w:t>
      </w:r>
    </w:p>
    <w:p>
      <w:pPr>
        <w:pStyle w:val="ListParagraph"/>
        <w:numPr>
          <w:ilvl w:val="0"/>
          <w:numId w:val="16"/>
        </w:numPr>
        <w:tabs>
          <w:tab w:pos="459" w:val="left" w:leader="none"/>
        </w:tabs>
        <w:spacing w:line="247" w:lineRule="auto" w:before="0" w:after="0"/>
        <w:ind w:left="458" w:right="107" w:hanging="357"/>
        <w:jc w:val="both"/>
        <w:rPr>
          <w:color w:val="231F20"/>
          <w:sz w:val="21"/>
        </w:rPr>
      </w:pPr>
      <w:r>
        <w:rPr>
          <w:color w:val="231F20"/>
          <w:sz w:val="21"/>
        </w:rPr>
        <w:t>Datos familiares. Con este constructo se recopiló información sobre aspectos familiares de los entrevistados, que son de </w:t>
      </w:r>
      <w:r>
        <w:rPr>
          <w:color w:val="231F20"/>
          <w:spacing w:val="2"/>
          <w:sz w:val="21"/>
        </w:rPr>
        <w:t>im- </w:t>
      </w:r>
      <w:r>
        <w:rPr>
          <w:color w:val="231F20"/>
          <w:sz w:val="21"/>
        </w:rPr>
        <w:t>portancia para relacionarlos con su percepción sobre violencia. Una potencial hipótesis es que los estudiantes, cuyos padres </w:t>
      </w:r>
      <w:r>
        <w:rPr>
          <w:color w:val="231F20"/>
          <w:spacing w:val="14"/>
          <w:sz w:val="21"/>
        </w:rPr>
        <w:t> </w:t>
      </w:r>
      <w:r>
        <w:rPr>
          <w:color w:val="231F20"/>
          <w:sz w:val="21"/>
        </w:rPr>
        <w:t>tie-</w:t>
      </w:r>
    </w:p>
    <w:p>
      <w:pPr>
        <w:spacing w:after="0" w:line="247" w:lineRule="auto"/>
        <w:jc w:val="both"/>
        <w:rPr>
          <w:sz w:val="21"/>
        </w:rPr>
        <w:sectPr>
          <w:headerReference w:type="default" r:id="rId633"/>
          <w:footerReference w:type="default" r:id="rId634"/>
          <w:pgSz w:w="7830" w:h="11910"/>
          <w:pgMar w:header="0" w:footer="424" w:top="500" w:bottom="620" w:left="920" w:right="880"/>
          <w:pgNumType w:start="282"/>
        </w:sectPr>
      </w:pPr>
    </w:p>
    <w:p>
      <w:pPr>
        <w:spacing w:before="48"/>
        <w:ind w:left="1488" w:right="116" w:firstLine="0"/>
        <w:jc w:val="left"/>
        <w:rPr>
          <w:rFonts w:ascii="Georgia" w:hAnsi="Georgia"/>
          <w:sz w:val="13"/>
        </w:rPr>
      </w:pPr>
      <w:r>
        <w:rPr>
          <w:rFonts w:ascii="Georgia" w:hAnsi="Georgia"/>
          <w:color w:val="231F20"/>
          <w:sz w:val="16"/>
        </w:rPr>
        <w:t>E</w:t>
      </w:r>
      <w:r>
        <w:rPr>
          <w:rFonts w:ascii="Georgia" w:hAnsi="Georgia"/>
          <w:color w:val="231F20"/>
          <w:sz w:val="13"/>
        </w:rPr>
        <w:t>STUDIOS SOBRE VIOLENCIA EN LA EDUCACIÓN</w:t>
      </w:r>
    </w:p>
    <w:p>
      <w:pPr>
        <w:pStyle w:val="BodyText"/>
        <w:rPr>
          <w:rFonts w:ascii="Georgia"/>
          <w:sz w:val="16"/>
        </w:rPr>
      </w:pPr>
    </w:p>
    <w:p>
      <w:pPr>
        <w:pStyle w:val="BodyText"/>
        <w:rPr>
          <w:rFonts w:ascii="Georgia"/>
          <w:sz w:val="16"/>
        </w:rPr>
      </w:pPr>
    </w:p>
    <w:p>
      <w:pPr>
        <w:pStyle w:val="BodyText"/>
        <w:spacing w:line="252" w:lineRule="auto" w:before="100"/>
        <w:ind w:left="470" w:right="116"/>
        <w:jc w:val="both"/>
        <w:rPr>
          <w:rFonts w:ascii="Georgia" w:hAnsi="Georgia"/>
        </w:rPr>
      </w:pPr>
      <w:r>
        <w:rPr>
          <w:rFonts w:ascii="Georgia" w:hAnsi="Georgia"/>
          <w:color w:val="231F20"/>
          <w:w w:val="95"/>
        </w:rPr>
        <w:t>nen</w:t>
      </w:r>
      <w:r>
        <w:rPr>
          <w:rFonts w:ascii="Georgia" w:hAnsi="Georgia"/>
          <w:color w:val="231F20"/>
          <w:spacing w:val="-9"/>
          <w:w w:val="95"/>
        </w:rPr>
        <w:t> </w:t>
      </w:r>
      <w:r>
        <w:rPr>
          <w:rFonts w:ascii="Georgia" w:hAnsi="Georgia"/>
          <w:color w:val="231F20"/>
          <w:w w:val="95"/>
        </w:rPr>
        <w:t>un</w:t>
      </w:r>
      <w:r>
        <w:rPr>
          <w:rFonts w:ascii="Georgia" w:hAnsi="Georgia"/>
          <w:color w:val="231F20"/>
          <w:spacing w:val="-9"/>
          <w:w w:val="95"/>
        </w:rPr>
        <w:t> </w:t>
      </w:r>
      <w:r>
        <w:rPr>
          <w:rFonts w:ascii="Georgia" w:hAnsi="Georgia"/>
          <w:color w:val="231F20"/>
          <w:w w:val="95"/>
        </w:rPr>
        <w:t>mayor</w:t>
      </w:r>
      <w:r>
        <w:rPr>
          <w:rFonts w:ascii="Georgia" w:hAnsi="Georgia"/>
          <w:color w:val="231F20"/>
          <w:spacing w:val="-10"/>
          <w:w w:val="95"/>
        </w:rPr>
        <w:t> </w:t>
      </w:r>
      <w:r>
        <w:rPr>
          <w:rFonts w:ascii="Georgia" w:hAnsi="Georgia"/>
          <w:color w:val="231F20"/>
          <w:w w:val="95"/>
        </w:rPr>
        <w:t>nivel</w:t>
      </w:r>
      <w:r>
        <w:rPr>
          <w:rFonts w:ascii="Georgia" w:hAnsi="Georgia"/>
          <w:color w:val="231F20"/>
          <w:spacing w:val="-10"/>
          <w:w w:val="95"/>
        </w:rPr>
        <w:t> </w:t>
      </w:r>
      <w:r>
        <w:rPr>
          <w:rFonts w:ascii="Georgia" w:hAnsi="Georgia"/>
          <w:color w:val="231F20"/>
          <w:w w:val="95"/>
        </w:rPr>
        <w:t>educativo,</w:t>
      </w:r>
      <w:r>
        <w:rPr>
          <w:rFonts w:ascii="Georgia" w:hAnsi="Georgia"/>
          <w:color w:val="231F20"/>
          <w:spacing w:val="-10"/>
          <w:w w:val="95"/>
        </w:rPr>
        <w:t> </w:t>
      </w:r>
      <w:r>
        <w:rPr>
          <w:rFonts w:ascii="Georgia" w:hAnsi="Georgia"/>
          <w:color w:val="231F20"/>
          <w:w w:val="95"/>
        </w:rPr>
        <w:t>poseen</w:t>
      </w:r>
      <w:r>
        <w:rPr>
          <w:rFonts w:ascii="Georgia" w:hAnsi="Georgia"/>
          <w:color w:val="231F20"/>
          <w:spacing w:val="-10"/>
          <w:w w:val="95"/>
        </w:rPr>
        <w:t> </w:t>
      </w:r>
      <w:r>
        <w:rPr>
          <w:rFonts w:ascii="Georgia" w:hAnsi="Georgia"/>
          <w:color w:val="231F20"/>
          <w:w w:val="95"/>
        </w:rPr>
        <w:t>una</w:t>
      </w:r>
      <w:r>
        <w:rPr>
          <w:rFonts w:ascii="Georgia" w:hAnsi="Georgia"/>
          <w:color w:val="231F20"/>
          <w:spacing w:val="-10"/>
          <w:w w:val="95"/>
        </w:rPr>
        <w:t> </w:t>
      </w:r>
      <w:r>
        <w:rPr>
          <w:rFonts w:ascii="Georgia" w:hAnsi="Georgia"/>
          <w:color w:val="231F20"/>
          <w:w w:val="95"/>
        </w:rPr>
        <w:t>percepción</w:t>
      </w:r>
      <w:r>
        <w:rPr>
          <w:rFonts w:ascii="Georgia" w:hAnsi="Georgia"/>
          <w:color w:val="231F20"/>
          <w:spacing w:val="-10"/>
          <w:w w:val="95"/>
        </w:rPr>
        <w:t> </w:t>
      </w:r>
      <w:r>
        <w:rPr>
          <w:rFonts w:ascii="Georgia" w:hAnsi="Georgia"/>
          <w:color w:val="231F20"/>
          <w:w w:val="95"/>
        </w:rPr>
        <w:t>más</w:t>
      </w:r>
      <w:r>
        <w:rPr>
          <w:rFonts w:ascii="Georgia" w:hAnsi="Georgia"/>
          <w:color w:val="231F20"/>
          <w:spacing w:val="-10"/>
          <w:w w:val="95"/>
        </w:rPr>
        <w:t> </w:t>
      </w:r>
      <w:r>
        <w:rPr>
          <w:rFonts w:ascii="Georgia" w:hAnsi="Georgia"/>
          <w:color w:val="231F20"/>
          <w:w w:val="95"/>
        </w:rPr>
        <w:t>ma- </w:t>
      </w:r>
      <w:r>
        <w:rPr>
          <w:rFonts w:ascii="Georgia" w:hAnsi="Georgia"/>
          <w:color w:val="231F20"/>
        </w:rPr>
        <w:t>dura</w:t>
      </w:r>
      <w:r>
        <w:rPr>
          <w:rFonts w:ascii="Georgia" w:hAnsi="Georgia"/>
          <w:color w:val="231F20"/>
          <w:spacing w:val="-20"/>
        </w:rPr>
        <w:t> </w:t>
      </w:r>
      <w:r>
        <w:rPr>
          <w:rFonts w:ascii="Georgia" w:hAnsi="Georgia"/>
          <w:color w:val="231F20"/>
        </w:rPr>
        <w:t>de</w:t>
      </w:r>
      <w:r>
        <w:rPr>
          <w:rFonts w:ascii="Georgia" w:hAnsi="Georgia"/>
          <w:color w:val="231F20"/>
          <w:spacing w:val="-20"/>
        </w:rPr>
        <w:t> </w:t>
      </w:r>
      <w:r>
        <w:rPr>
          <w:rFonts w:ascii="Georgia" w:hAnsi="Georgia"/>
          <w:color w:val="231F20"/>
        </w:rPr>
        <w:t>la</w:t>
      </w:r>
      <w:r>
        <w:rPr>
          <w:rFonts w:ascii="Georgia" w:hAnsi="Georgia"/>
          <w:color w:val="231F20"/>
          <w:spacing w:val="-20"/>
        </w:rPr>
        <w:t> </w:t>
      </w:r>
      <w:r>
        <w:rPr>
          <w:rFonts w:ascii="Georgia" w:hAnsi="Georgia"/>
          <w:color w:val="231F20"/>
        </w:rPr>
        <w:t>violencia</w:t>
      </w:r>
      <w:r>
        <w:rPr>
          <w:rFonts w:ascii="Georgia" w:hAnsi="Georgia"/>
          <w:color w:val="231F20"/>
          <w:spacing w:val="-20"/>
        </w:rPr>
        <w:t> </w:t>
      </w:r>
      <w:r>
        <w:rPr>
          <w:rFonts w:ascii="Georgia" w:hAnsi="Georgia"/>
          <w:color w:val="231F20"/>
        </w:rPr>
        <w:t>con</w:t>
      </w:r>
      <w:r>
        <w:rPr>
          <w:rFonts w:ascii="Georgia" w:hAnsi="Georgia"/>
          <w:color w:val="231F20"/>
          <w:spacing w:val="-20"/>
        </w:rPr>
        <w:t> </w:t>
      </w:r>
      <w:r>
        <w:rPr>
          <w:rFonts w:ascii="Georgia" w:hAnsi="Georgia"/>
          <w:color w:val="231F20"/>
        </w:rPr>
        <w:t>mayor</w:t>
      </w:r>
      <w:r>
        <w:rPr>
          <w:rFonts w:ascii="Georgia" w:hAnsi="Georgia"/>
          <w:color w:val="231F20"/>
          <w:spacing w:val="-20"/>
        </w:rPr>
        <w:t> </w:t>
      </w:r>
      <w:r>
        <w:rPr>
          <w:rFonts w:ascii="Georgia" w:hAnsi="Georgia"/>
          <w:color w:val="231F20"/>
        </w:rPr>
        <w:t>conciencia</w:t>
      </w:r>
      <w:r>
        <w:rPr>
          <w:rFonts w:ascii="Georgia" w:hAnsi="Georgia"/>
          <w:color w:val="231F20"/>
          <w:spacing w:val="-20"/>
        </w:rPr>
        <w:t> </w:t>
      </w:r>
      <w:r>
        <w:rPr>
          <w:rFonts w:ascii="Georgia" w:hAnsi="Georgia"/>
          <w:color w:val="231F20"/>
        </w:rPr>
        <w:t>de</w:t>
      </w:r>
      <w:r>
        <w:rPr>
          <w:rFonts w:ascii="Georgia" w:hAnsi="Georgia"/>
          <w:color w:val="231F20"/>
          <w:spacing w:val="-20"/>
        </w:rPr>
        <w:t> </w:t>
      </w:r>
      <w:r>
        <w:rPr>
          <w:rFonts w:ascii="Georgia" w:hAnsi="Georgia"/>
          <w:color w:val="231F20"/>
        </w:rPr>
        <w:t>sus</w:t>
      </w:r>
      <w:r>
        <w:rPr>
          <w:rFonts w:ascii="Georgia" w:hAnsi="Georgia"/>
          <w:color w:val="231F20"/>
          <w:spacing w:val="-20"/>
        </w:rPr>
        <w:t> </w:t>
      </w:r>
      <w:r>
        <w:rPr>
          <w:rFonts w:ascii="Georgia" w:hAnsi="Georgia"/>
          <w:color w:val="231F20"/>
        </w:rPr>
        <w:t>peligros.</w:t>
      </w:r>
      <w:r>
        <w:rPr>
          <w:rFonts w:ascii="Georgia" w:hAnsi="Georgia"/>
          <w:color w:val="231F20"/>
          <w:spacing w:val="-20"/>
        </w:rPr>
        <w:t> </w:t>
      </w:r>
      <w:r>
        <w:rPr>
          <w:rFonts w:ascii="Georgia" w:hAnsi="Georgia"/>
          <w:color w:val="231F20"/>
        </w:rPr>
        <w:t>En </w:t>
      </w:r>
      <w:r>
        <w:rPr>
          <w:rFonts w:ascii="Georgia" w:hAnsi="Georgia"/>
          <w:color w:val="231F20"/>
          <w:w w:val="95"/>
        </w:rPr>
        <w:t>este</w:t>
      </w:r>
      <w:r>
        <w:rPr>
          <w:rFonts w:ascii="Georgia" w:hAnsi="Georgia"/>
          <w:color w:val="231F20"/>
          <w:spacing w:val="-15"/>
          <w:w w:val="95"/>
        </w:rPr>
        <w:t> </w:t>
      </w:r>
      <w:r>
        <w:rPr>
          <w:rFonts w:ascii="Georgia" w:hAnsi="Georgia"/>
          <w:color w:val="231F20"/>
          <w:w w:val="95"/>
        </w:rPr>
        <w:t>apartado</w:t>
      </w:r>
      <w:r>
        <w:rPr>
          <w:rFonts w:ascii="Georgia" w:hAnsi="Georgia"/>
          <w:color w:val="231F20"/>
          <w:spacing w:val="-15"/>
          <w:w w:val="95"/>
        </w:rPr>
        <w:t> </w:t>
      </w:r>
      <w:r>
        <w:rPr>
          <w:rFonts w:ascii="Georgia" w:hAnsi="Georgia"/>
          <w:color w:val="231F20"/>
          <w:w w:val="95"/>
        </w:rPr>
        <w:t>se</w:t>
      </w:r>
      <w:r>
        <w:rPr>
          <w:rFonts w:ascii="Georgia" w:hAnsi="Georgia"/>
          <w:color w:val="231F20"/>
          <w:spacing w:val="-15"/>
          <w:w w:val="95"/>
        </w:rPr>
        <w:t> </w:t>
      </w:r>
      <w:r>
        <w:rPr>
          <w:rFonts w:ascii="Georgia" w:hAnsi="Georgia"/>
          <w:color w:val="231F20"/>
          <w:w w:val="95"/>
        </w:rPr>
        <w:t>solicitó</w:t>
      </w:r>
      <w:r>
        <w:rPr>
          <w:rFonts w:ascii="Georgia" w:hAnsi="Georgia"/>
          <w:color w:val="231F20"/>
          <w:spacing w:val="-15"/>
          <w:w w:val="95"/>
        </w:rPr>
        <w:t> </w:t>
      </w:r>
      <w:r>
        <w:rPr>
          <w:rFonts w:ascii="Georgia" w:hAnsi="Georgia"/>
          <w:color w:val="231F20"/>
          <w:w w:val="95"/>
        </w:rPr>
        <w:t>información</w:t>
      </w:r>
      <w:r>
        <w:rPr>
          <w:rFonts w:ascii="Georgia" w:hAnsi="Georgia"/>
          <w:color w:val="231F20"/>
          <w:spacing w:val="-15"/>
          <w:w w:val="95"/>
        </w:rPr>
        <w:t> </w:t>
      </w:r>
      <w:r>
        <w:rPr>
          <w:rFonts w:ascii="Georgia" w:hAnsi="Georgia"/>
          <w:color w:val="231F20"/>
          <w:w w:val="95"/>
        </w:rPr>
        <w:t>sobre</w:t>
      </w:r>
      <w:r>
        <w:rPr>
          <w:rFonts w:ascii="Georgia" w:hAnsi="Georgia"/>
          <w:color w:val="231F20"/>
          <w:spacing w:val="-15"/>
          <w:w w:val="95"/>
        </w:rPr>
        <w:t> </w:t>
      </w:r>
      <w:r>
        <w:rPr>
          <w:rFonts w:ascii="Georgia" w:hAnsi="Georgia"/>
          <w:color w:val="231F20"/>
          <w:w w:val="95"/>
        </w:rPr>
        <w:t>cantidad</w:t>
      </w:r>
      <w:r>
        <w:rPr>
          <w:rFonts w:ascii="Georgia" w:hAnsi="Georgia"/>
          <w:color w:val="231F20"/>
          <w:spacing w:val="-15"/>
          <w:w w:val="95"/>
        </w:rPr>
        <w:t> </w:t>
      </w:r>
      <w:r>
        <w:rPr>
          <w:rFonts w:ascii="Georgia" w:hAnsi="Georgia"/>
          <w:color w:val="231F20"/>
          <w:w w:val="95"/>
        </w:rPr>
        <w:t>de</w:t>
      </w:r>
      <w:r>
        <w:rPr>
          <w:rFonts w:ascii="Georgia" w:hAnsi="Georgia"/>
          <w:color w:val="231F20"/>
          <w:spacing w:val="-15"/>
          <w:w w:val="95"/>
        </w:rPr>
        <w:t> </w:t>
      </w:r>
      <w:r>
        <w:rPr>
          <w:rFonts w:ascii="Georgia" w:hAnsi="Georgia"/>
          <w:color w:val="231F20"/>
          <w:w w:val="95"/>
        </w:rPr>
        <w:t>amigos, nivel</w:t>
      </w:r>
      <w:r>
        <w:rPr>
          <w:rFonts w:ascii="Georgia" w:hAnsi="Georgia"/>
          <w:color w:val="231F20"/>
          <w:spacing w:val="-19"/>
          <w:w w:val="95"/>
        </w:rPr>
        <w:t> </w:t>
      </w:r>
      <w:r>
        <w:rPr>
          <w:rFonts w:ascii="Georgia" w:hAnsi="Georgia"/>
          <w:color w:val="231F20"/>
          <w:w w:val="95"/>
        </w:rPr>
        <w:t>educativo</w:t>
      </w:r>
      <w:r>
        <w:rPr>
          <w:rFonts w:ascii="Georgia" w:hAnsi="Georgia"/>
          <w:color w:val="231F20"/>
          <w:spacing w:val="-19"/>
          <w:w w:val="95"/>
        </w:rPr>
        <w:t> </w:t>
      </w:r>
      <w:r>
        <w:rPr>
          <w:rFonts w:ascii="Georgia" w:hAnsi="Georgia"/>
          <w:color w:val="231F20"/>
          <w:w w:val="95"/>
        </w:rPr>
        <w:t>y</w:t>
      </w:r>
      <w:r>
        <w:rPr>
          <w:rFonts w:ascii="Georgia" w:hAnsi="Georgia"/>
          <w:color w:val="231F20"/>
          <w:spacing w:val="-19"/>
          <w:w w:val="95"/>
        </w:rPr>
        <w:t> </w:t>
      </w:r>
      <w:r>
        <w:rPr>
          <w:rFonts w:ascii="Georgia" w:hAnsi="Georgia"/>
          <w:color w:val="231F20"/>
          <w:w w:val="95"/>
        </w:rPr>
        <w:t>ocupación</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los</w:t>
      </w:r>
      <w:r>
        <w:rPr>
          <w:rFonts w:ascii="Georgia" w:hAnsi="Georgia"/>
          <w:color w:val="231F20"/>
          <w:spacing w:val="-19"/>
          <w:w w:val="95"/>
        </w:rPr>
        <w:t> </w:t>
      </w:r>
      <w:r>
        <w:rPr>
          <w:rFonts w:ascii="Georgia" w:hAnsi="Georgia"/>
          <w:color w:val="231F20"/>
          <w:w w:val="95"/>
        </w:rPr>
        <w:t>padres.</w:t>
      </w:r>
    </w:p>
    <w:p>
      <w:pPr>
        <w:pStyle w:val="ListParagraph"/>
        <w:numPr>
          <w:ilvl w:val="0"/>
          <w:numId w:val="16"/>
        </w:numPr>
        <w:tabs>
          <w:tab w:pos="471" w:val="left" w:leader="none"/>
        </w:tabs>
        <w:spacing w:line="252" w:lineRule="auto" w:before="0" w:after="0"/>
        <w:ind w:left="470" w:right="114" w:hanging="357"/>
        <w:jc w:val="both"/>
        <w:rPr>
          <w:rFonts w:ascii="Georgia" w:hAnsi="Georgia"/>
          <w:color w:val="231F20"/>
          <w:sz w:val="21"/>
        </w:rPr>
      </w:pPr>
      <w:r>
        <w:rPr>
          <w:rFonts w:ascii="Georgia" w:hAnsi="Georgia"/>
          <w:color w:val="231F20"/>
          <w:w w:val="95"/>
          <w:sz w:val="21"/>
        </w:rPr>
        <w:t>Consumo.</w:t>
      </w:r>
      <w:r>
        <w:rPr>
          <w:rFonts w:ascii="Georgia" w:hAnsi="Georgia"/>
          <w:color w:val="231F20"/>
          <w:spacing w:val="-8"/>
          <w:w w:val="95"/>
          <w:sz w:val="21"/>
        </w:rPr>
        <w:t> </w:t>
      </w:r>
      <w:r>
        <w:rPr>
          <w:rFonts w:ascii="Georgia" w:hAnsi="Georgia"/>
          <w:color w:val="231F20"/>
          <w:w w:val="95"/>
          <w:sz w:val="21"/>
        </w:rPr>
        <w:t>Una</w:t>
      </w:r>
      <w:r>
        <w:rPr>
          <w:rFonts w:ascii="Georgia" w:hAnsi="Georgia"/>
          <w:color w:val="231F20"/>
          <w:spacing w:val="-7"/>
          <w:w w:val="95"/>
          <w:sz w:val="21"/>
        </w:rPr>
        <w:t> </w:t>
      </w:r>
      <w:r>
        <w:rPr>
          <w:rFonts w:ascii="Georgia" w:hAnsi="Georgia"/>
          <w:color w:val="231F20"/>
          <w:w w:val="95"/>
          <w:sz w:val="21"/>
        </w:rPr>
        <w:t>posible</w:t>
      </w:r>
      <w:r>
        <w:rPr>
          <w:rFonts w:ascii="Georgia" w:hAnsi="Georgia"/>
          <w:color w:val="231F20"/>
          <w:spacing w:val="-7"/>
          <w:w w:val="95"/>
          <w:sz w:val="21"/>
        </w:rPr>
        <w:t> </w:t>
      </w:r>
      <w:r>
        <w:rPr>
          <w:rFonts w:ascii="Georgia" w:hAnsi="Georgia"/>
          <w:color w:val="231F20"/>
          <w:w w:val="95"/>
          <w:sz w:val="21"/>
        </w:rPr>
        <w:t>hipótesis</w:t>
      </w:r>
      <w:r>
        <w:rPr>
          <w:rFonts w:ascii="Georgia" w:hAnsi="Georgia"/>
          <w:color w:val="231F20"/>
          <w:spacing w:val="-7"/>
          <w:w w:val="95"/>
          <w:sz w:val="21"/>
        </w:rPr>
        <w:t> </w:t>
      </w:r>
      <w:r>
        <w:rPr>
          <w:rFonts w:ascii="Georgia" w:hAnsi="Georgia"/>
          <w:color w:val="231F20"/>
          <w:w w:val="95"/>
          <w:sz w:val="21"/>
        </w:rPr>
        <w:t>en</w:t>
      </w:r>
      <w:r>
        <w:rPr>
          <w:rFonts w:ascii="Georgia" w:hAnsi="Georgia"/>
          <w:color w:val="231F20"/>
          <w:spacing w:val="-7"/>
          <w:w w:val="95"/>
          <w:sz w:val="21"/>
        </w:rPr>
        <w:t> </w:t>
      </w:r>
      <w:r>
        <w:rPr>
          <w:rFonts w:ascii="Georgia" w:hAnsi="Georgia"/>
          <w:color w:val="231F20"/>
          <w:w w:val="95"/>
          <w:sz w:val="21"/>
        </w:rPr>
        <w:t>jóvenes</w:t>
      </w:r>
      <w:r>
        <w:rPr>
          <w:rFonts w:ascii="Georgia" w:hAnsi="Georgia"/>
          <w:color w:val="231F20"/>
          <w:spacing w:val="-7"/>
          <w:w w:val="95"/>
          <w:sz w:val="21"/>
        </w:rPr>
        <w:t> </w:t>
      </w:r>
      <w:r>
        <w:rPr>
          <w:rFonts w:ascii="Georgia" w:hAnsi="Georgia"/>
          <w:color w:val="231F20"/>
          <w:w w:val="95"/>
          <w:sz w:val="21"/>
        </w:rPr>
        <w:t>universitarios</w:t>
      </w:r>
      <w:r>
        <w:rPr>
          <w:rFonts w:ascii="Georgia" w:hAnsi="Georgia"/>
          <w:color w:val="231F20"/>
          <w:spacing w:val="-7"/>
          <w:w w:val="95"/>
          <w:sz w:val="21"/>
        </w:rPr>
        <w:t> </w:t>
      </w:r>
      <w:r>
        <w:rPr>
          <w:rFonts w:ascii="Georgia" w:hAnsi="Georgia"/>
          <w:color w:val="231F20"/>
          <w:w w:val="95"/>
          <w:sz w:val="21"/>
        </w:rPr>
        <w:t>es</w:t>
      </w:r>
      <w:r>
        <w:rPr>
          <w:rFonts w:ascii="Georgia" w:hAnsi="Georgia"/>
          <w:color w:val="231F20"/>
          <w:spacing w:val="-7"/>
          <w:w w:val="95"/>
          <w:sz w:val="21"/>
        </w:rPr>
        <w:t> </w:t>
      </w:r>
      <w:r>
        <w:rPr>
          <w:rFonts w:ascii="Georgia" w:hAnsi="Georgia"/>
          <w:color w:val="231F20"/>
          <w:w w:val="95"/>
          <w:sz w:val="21"/>
        </w:rPr>
        <w:t>la relación</w:t>
      </w:r>
      <w:r>
        <w:rPr>
          <w:rFonts w:ascii="Georgia" w:hAnsi="Georgia"/>
          <w:color w:val="231F20"/>
          <w:spacing w:val="-7"/>
          <w:w w:val="95"/>
          <w:sz w:val="21"/>
        </w:rPr>
        <w:t> </w:t>
      </w:r>
      <w:r>
        <w:rPr>
          <w:rFonts w:ascii="Georgia" w:hAnsi="Georgia"/>
          <w:color w:val="231F20"/>
          <w:w w:val="95"/>
          <w:sz w:val="21"/>
        </w:rPr>
        <w:t>entre</w:t>
      </w:r>
      <w:r>
        <w:rPr>
          <w:rFonts w:ascii="Georgia" w:hAnsi="Georgia"/>
          <w:color w:val="231F20"/>
          <w:spacing w:val="-7"/>
          <w:w w:val="95"/>
          <w:sz w:val="21"/>
        </w:rPr>
        <w:t> </w:t>
      </w:r>
      <w:r>
        <w:rPr>
          <w:rFonts w:ascii="Georgia" w:hAnsi="Georgia"/>
          <w:color w:val="231F20"/>
          <w:w w:val="95"/>
          <w:sz w:val="21"/>
        </w:rPr>
        <w:t>el</w:t>
      </w:r>
      <w:r>
        <w:rPr>
          <w:rFonts w:ascii="Georgia" w:hAnsi="Georgia"/>
          <w:color w:val="231F20"/>
          <w:spacing w:val="-7"/>
          <w:w w:val="95"/>
          <w:sz w:val="21"/>
        </w:rPr>
        <w:t> </w:t>
      </w:r>
      <w:r>
        <w:rPr>
          <w:rFonts w:ascii="Georgia" w:hAnsi="Georgia"/>
          <w:color w:val="231F20"/>
          <w:w w:val="95"/>
          <w:sz w:val="21"/>
        </w:rPr>
        <w:t>consumo</w:t>
      </w:r>
      <w:r>
        <w:rPr>
          <w:rFonts w:ascii="Georgia" w:hAnsi="Georgia"/>
          <w:color w:val="231F20"/>
          <w:spacing w:val="-7"/>
          <w:w w:val="95"/>
          <w:sz w:val="21"/>
        </w:rPr>
        <w:t> </w:t>
      </w:r>
      <w:r>
        <w:rPr>
          <w:rFonts w:ascii="Georgia" w:hAnsi="Georgia"/>
          <w:color w:val="231F20"/>
          <w:w w:val="95"/>
          <w:sz w:val="21"/>
        </w:rPr>
        <w:t>de</w:t>
      </w:r>
      <w:r>
        <w:rPr>
          <w:rFonts w:ascii="Georgia" w:hAnsi="Georgia"/>
          <w:color w:val="231F20"/>
          <w:spacing w:val="-7"/>
          <w:w w:val="95"/>
          <w:sz w:val="21"/>
        </w:rPr>
        <w:t> </w:t>
      </w:r>
      <w:r>
        <w:rPr>
          <w:rFonts w:ascii="Georgia" w:hAnsi="Georgia"/>
          <w:color w:val="231F20"/>
          <w:w w:val="95"/>
          <w:sz w:val="21"/>
        </w:rPr>
        <w:t>alcohol</w:t>
      </w:r>
      <w:r>
        <w:rPr>
          <w:rFonts w:ascii="Georgia" w:hAnsi="Georgia"/>
          <w:color w:val="231F20"/>
          <w:spacing w:val="-7"/>
          <w:w w:val="95"/>
          <w:sz w:val="21"/>
        </w:rPr>
        <w:t> </w:t>
      </w:r>
      <w:r>
        <w:rPr>
          <w:rFonts w:ascii="Georgia" w:hAnsi="Georgia"/>
          <w:color w:val="231F20"/>
          <w:w w:val="95"/>
          <w:sz w:val="21"/>
        </w:rPr>
        <w:t>y</w:t>
      </w:r>
      <w:r>
        <w:rPr>
          <w:rFonts w:ascii="Georgia" w:hAnsi="Georgia"/>
          <w:color w:val="231F20"/>
          <w:spacing w:val="-7"/>
          <w:w w:val="95"/>
          <w:sz w:val="21"/>
        </w:rPr>
        <w:t> </w:t>
      </w:r>
      <w:r>
        <w:rPr>
          <w:rFonts w:ascii="Georgia" w:hAnsi="Georgia"/>
          <w:color w:val="231F20"/>
          <w:w w:val="95"/>
          <w:sz w:val="21"/>
        </w:rPr>
        <w:t>un</w:t>
      </w:r>
      <w:r>
        <w:rPr>
          <w:rFonts w:ascii="Georgia" w:hAnsi="Georgia"/>
          <w:color w:val="231F20"/>
          <w:spacing w:val="-7"/>
          <w:w w:val="95"/>
          <w:sz w:val="21"/>
        </w:rPr>
        <w:t> </w:t>
      </w:r>
      <w:r>
        <w:rPr>
          <w:rFonts w:ascii="Georgia" w:hAnsi="Georgia"/>
          <w:color w:val="231F20"/>
          <w:w w:val="95"/>
          <w:sz w:val="21"/>
        </w:rPr>
        <w:t>aumento</w:t>
      </w:r>
      <w:r>
        <w:rPr>
          <w:rFonts w:ascii="Georgia" w:hAnsi="Georgia"/>
          <w:color w:val="231F20"/>
          <w:spacing w:val="-7"/>
          <w:w w:val="95"/>
          <w:sz w:val="21"/>
        </w:rPr>
        <w:t> </w:t>
      </w:r>
      <w:r>
        <w:rPr>
          <w:rFonts w:ascii="Georgia" w:hAnsi="Georgia"/>
          <w:color w:val="231F20"/>
          <w:w w:val="95"/>
          <w:sz w:val="21"/>
        </w:rPr>
        <w:t>en</w:t>
      </w:r>
      <w:r>
        <w:rPr>
          <w:rFonts w:ascii="Georgia" w:hAnsi="Georgia"/>
          <w:color w:val="231F20"/>
          <w:spacing w:val="-7"/>
          <w:w w:val="95"/>
          <w:sz w:val="21"/>
        </w:rPr>
        <w:t> </w:t>
      </w:r>
      <w:r>
        <w:rPr>
          <w:rFonts w:ascii="Georgia" w:hAnsi="Georgia"/>
          <w:color w:val="231F20"/>
          <w:w w:val="95"/>
          <w:sz w:val="21"/>
        </w:rPr>
        <w:t>sus</w:t>
      </w:r>
      <w:r>
        <w:rPr>
          <w:rFonts w:ascii="Georgia" w:hAnsi="Georgia"/>
          <w:color w:val="231F20"/>
          <w:spacing w:val="-7"/>
          <w:w w:val="95"/>
          <w:sz w:val="21"/>
        </w:rPr>
        <w:t> </w:t>
      </w:r>
      <w:r>
        <w:rPr>
          <w:rFonts w:ascii="Georgia" w:hAnsi="Georgia"/>
          <w:color w:val="231F20"/>
          <w:w w:val="95"/>
          <w:sz w:val="21"/>
        </w:rPr>
        <w:t>acti- tudes</w:t>
      </w:r>
      <w:r>
        <w:rPr>
          <w:rFonts w:ascii="Georgia" w:hAnsi="Georgia"/>
          <w:color w:val="231F20"/>
          <w:spacing w:val="-15"/>
          <w:w w:val="95"/>
          <w:sz w:val="21"/>
        </w:rPr>
        <w:t> </w:t>
      </w:r>
      <w:r>
        <w:rPr>
          <w:rFonts w:ascii="Georgia" w:hAnsi="Georgia"/>
          <w:color w:val="231F20"/>
          <w:w w:val="95"/>
          <w:sz w:val="21"/>
        </w:rPr>
        <w:t>violentas.</w:t>
      </w:r>
      <w:r>
        <w:rPr>
          <w:rFonts w:ascii="Georgia" w:hAnsi="Georgia"/>
          <w:color w:val="231F20"/>
          <w:spacing w:val="-15"/>
          <w:w w:val="95"/>
          <w:sz w:val="21"/>
        </w:rPr>
        <w:t> </w:t>
      </w:r>
      <w:r>
        <w:rPr>
          <w:rFonts w:ascii="Georgia" w:hAnsi="Georgia"/>
          <w:color w:val="231F20"/>
          <w:w w:val="95"/>
          <w:sz w:val="21"/>
        </w:rPr>
        <w:t>Como</w:t>
      </w:r>
      <w:r>
        <w:rPr>
          <w:rFonts w:ascii="Georgia" w:hAnsi="Georgia"/>
          <w:color w:val="231F20"/>
          <w:spacing w:val="-15"/>
          <w:w w:val="95"/>
          <w:sz w:val="21"/>
        </w:rPr>
        <w:t> </w:t>
      </w:r>
      <w:r>
        <w:rPr>
          <w:rFonts w:ascii="Georgia" w:hAnsi="Georgia"/>
          <w:color w:val="231F20"/>
          <w:w w:val="95"/>
          <w:sz w:val="21"/>
        </w:rPr>
        <w:t>parte</w:t>
      </w:r>
      <w:r>
        <w:rPr>
          <w:rFonts w:ascii="Georgia" w:hAnsi="Georgia"/>
          <w:color w:val="231F20"/>
          <w:spacing w:val="-15"/>
          <w:w w:val="95"/>
          <w:sz w:val="21"/>
        </w:rPr>
        <w:t> </w:t>
      </w:r>
      <w:r>
        <w:rPr>
          <w:rFonts w:ascii="Georgia" w:hAnsi="Georgia"/>
          <w:color w:val="231F20"/>
          <w:w w:val="95"/>
          <w:sz w:val="21"/>
        </w:rPr>
        <w:t>de</w:t>
      </w:r>
      <w:r>
        <w:rPr>
          <w:rFonts w:ascii="Georgia" w:hAnsi="Georgia"/>
          <w:color w:val="231F20"/>
          <w:spacing w:val="-15"/>
          <w:w w:val="95"/>
          <w:sz w:val="21"/>
        </w:rPr>
        <w:t> </w:t>
      </w:r>
      <w:r>
        <w:rPr>
          <w:rFonts w:ascii="Georgia" w:hAnsi="Georgia"/>
          <w:color w:val="231F20"/>
          <w:w w:val="95"/>
          <w:sz w:val="21"/>
        </w:rPr>
        <w:t>este</w:t>
      </w:r>
      <w:r>
        <w:rPr>
          <w:rFonts w:ascii="Georgia" w:hAnsi="Georgia"/>
          <w:color w:val="231F20"/>
          <w:spacing w:val="-15"/>
          <w:w w:val="95"/>
          <w:sz w:val="21"/>
        </w:rPr>
        <w:t> </w:t>
      </w:r>
      <w:r>
        <w:rPr>
          <w:rFonts w:ascii="Georgia" w:hAnsi="Georgia"/>
          <w:color w:val="231F20"/>
          <w:w w:val="95"/>
          <w:sz w:val="21"/>
        </w:rPr>
        <w:t>estudio</w:t>
      </w:r>
      <w:r>
        <w:rPr>
          <w:rFonts w:ascii="Georgia" w:hAnsi="Georgia"/>
          <w:color w:val="231F20"/>
          <w:spacing w:val="-15"/>
          <w:w w:val="95"/>
          <w:sz w:val="21"/>
        </w:rPr>
        <w:t> </w:t>
      </w:r>
      <w:r>
        <w:rPr>
          <w:rFonts w:ascii="Georgia" w:hAnsi="Georgia"/>
          <w:color w:val="231F20"/>
          <w:w w:val="95"/>
          <w:sz w:val="21"/>
        </w:rPr>
        <w:t>también</w:t>
      </w:r>
      <w:r>
        <w:rPr>
          <w:rFonts w:ascii="Georgia" w:hAnsi="Georgia"/>
          <w:color w:val="231F20"/>
          <w:spacing w:val="-15"/>
          <w:w w:val="95"/>
          <w:sz w:val="21"/>
        </w:rPr>
        <w:t> </w:t>
      </w:r>
      <w:r>
        <w:rPr>
          <w:rFonts w:ascii="Georgia" w:hAnsi="Georgia"/>
          <w:color w:val="231F20"/>
          <w:w w:val="95"/>
          <w:sz w:val="21"/>
        </w:rPr>
        <w:t>se</w:t>
      </w:r>
      <w:r>
        <w:rPr>
          <w:rFonts w:ascii="Georgia" w:hAnsi="Georgia"/>
          <w:color w:val="231F20"/>
          <w:spacing w:val="-15"/>
          <w:w w:val="95"/>
          <w:sz w:val="21"/>
        </w:rPr>
        <w:t> </w:t>
      </w:r>
      <w:r>
        <w:rPr>
          <w:rFonts w:ascii="Georgia" w:hAnsi="Georgia"/>
          <w:color w:val="231F20"/>
          <w:w w:val="95"/>
          <w:sz w:val="21"/>
        </w:rPr>
        <w:t>recopiló </w:t>
      </w:r>
      <w:r>
        <w:rPr>
          <w:rFonts w:ascii="Georgia" w:hAnsi="Georgia"/>
          <w:color w:val="231F20"/>
          <w:sz w:val="21"/>
        </w:rPr>
        <w:t>información</w:t>
      </w:r>
      <w:r>
        <w:rPr>
          <w:rFonts w:ascii="Georgia" w:hAnsi="Georgia"/>
          <w:color w:val="231F20"/>
          <w:spacing w:val="-28"/>
          <w:sz w:val="21"/>
        </w:rPr>
        <w:t> </w:t>
      </w:r>
      <w:r>
        <w:rPr>
          <w:rFonts w:ascii="Georgia" w:hAnsi="Georgia"/>
          <w:color w:val="231F20"/>
          <w:sz w:val="21"/>
        </w:rPr>
        <w:t>sobre</w:t>
      </w:r>
      <w:r>
        <w:rPr>
          <w:rFonts w:ascii="Georgia" w:hAnsi="Georgia"/>
          <w:color w:val="231F20"/>
          <w:spacing w:val="-28"/>
          <w:sz w:val="21"/>
        </w:rPr>
        <w:t> </w:t>
      </w:r>
      <w:r>
        <w:rPr>
          <w:rFonts w:ascii="Georgia" w:hAnsi="Georgia"/>
          <w:color w:val="231F20"/>
          <w:sz w:val="21"/>
        </w:rPr>
        <w:t>los</w:t>
      </w:r>
      <w:r>
        <w:rPr>
          <w:rFonts w:ascii="Georgia" w:hAnsi="Georgia"/>
          <w:color w:val="231F20"/>
          <w:spacing w:val="-28"/>
          <w:sz w:val="21"/>
        </w:rPr>
        <w:t> </w:t>
      </w:r>
      <w:r>
        <w:rPr>
          <w:rFonts w:ascii="Georgia" w:hAnsi="Georgia"/>
          <w:color w:val="231F20"/>
          <w:sz w:val="21"/>
        </w:rPr>
        <w:t>hábitos</w:t>
      </w:r>
      <w:r>
        <w:rPr>
          <w:rFonts w:ascii="Georgia" w:hAnsi="Georgia"/>
          <w:color w:val="231F20"/>
          <w:spacing w:val="-28"/>
          <w:sz w:val="21"/>
        </w:rPr>
        <w:t> </w:t>
      </w:r>
      <w:r>
        <w:rPr>
          <w:rFonts w:ascii="Georgia" w:hAnsi="Georgia"/>
          <w:color w:val="231F20"/>
          <w:sz w:val="21"/>
        </w:rPr>
        <w:t>de</w:t>
      </w:r>
      <w:r>
        <w:rPr>
          <w:rFonts w:ascii="Georgia" w:hAnsi="Georgia"/>
          <w:color w:val="231F20"/>
          <w:spacing w:val="-28"/>
          <w:sz w:val="21"/>
        </w:rPr>
        <w:t> </w:t>
      </w:r>
      <w:r>
        <w:rPr>
          <w:rFonts w:ascii="Georgia" w:hAnsi="Georgia"/>
          <w:color w:val="231F20"/>
          <w:sz w:val="21"/>
        </w:rPr>
        <w:t>consumo</w:t>
      </w:r>
      <w:r>
        <w:rPr>
          <w:rFonts w:ascii="Georgia" w:hAnsi="Georgia"/>
          <w:color w:val="231F20"/>
          <w:spacing w:val="-28"/>
          <w:sz w:val="21"/>
        </w:rPr>
        <w:t> </w:t>
      </w:r>
      <w:r>
        <w:rPr>
          <w:rFonts w:ascii="Georgia" w:hAnsi="Georgia"/>
          <w:color w:val="231F20"/>
          <w:sz w:val="21"/>
        </w:rPr>
        <w:t>por</w:t>
      </w:r>
      <w:r>
        <w:rPr>
          <w:rFonts w:ascii="Georgia" w:hAnsi="Georgia"/>
          <w:color w:val="231F20"/>
          <w:spacing w:val="-28"/>
          <w:sz w:val="21"/>
        </w:rPr>
        <w:t> </w:t>
      </w:r>
      <w:r>
        <w:rPr>
          <w:rFonts w:ascii="Georgia" w:hAnsi="Georgia"/>
          <w:color w:val="231F20"/>
          <w:sz w:val="21"/>
        </w:rPr>
        <w:t>parte</w:t>
      </w:r>
      <w:r>
        <w:rPr>
          <w:rFonts w:ascii="Georgia" w:hAnsi="Georgia"/>
          <w:color w:val="231F20"/>
          <w:spacing w:val="-28"/>
          <w:sz w:val="21"/>
        </w:rPr>
        <w:t> </w:t>
      </w:r>
      <w:r>
        <w:rPr>
          <w:rFonts w:ascii="Georgia" w:hAnsi="Georgia"/>
          <w:color w:val="231F20"/>
          <w:sz w:val="21"/>
        </w:rPr>
        <w:t>de</w:t>
      </w:r>
      <w:r>
        <w:rPr>
          <w:rFonts w:ascii="Georgia" w:hAnsi="Georgia"/>
          <w:color w:val="231F20"/>
          <w:spacing w:val="-28"/>
          <w:sz w:val="21"/>
        </w:rPr>
        <w:t> </w:t>
      </w:r>
      <w:r>
        <w:rPr>
          <w:rFonts w:ascii="Georgia" w:hAnsi="Georgia"/>
          <w:color w:val="231F20"/>
          <w:sz w:val="21"/>
        </w:rPr>
        <w:t>los</w:t>
      </w:r>
      <w:r>
        <w:rPr>
          <w:rFonts w:ascii="Georgia" w:hAnsi="Georgia"/>
          <w:color w:val="231F20"/>
          <w:spacing w:val="-28"/>
          <w:sz w:val="21"/>
        </w:rPr>
        <w:t> </w:t>
      </w:r>
      <w:r>
        <w:rPr>
          <w:rFonts w:ascii="Georgia" w:hAnsi="Georgia"/>
          <w:color w:val="231F20"/>
          <w:sz w:val="21"/>
        </w:rPr>
        <w:t>es- </w:t>
      </w:r>
      <w:r>
        <w:rPr>
          <w:rFonts w:ascii="Georgia" w:hAnsi="Georgia"/>
          <w:color w:val="231F20"/>
          <w:w w:val="95"/>
          <w:sz w:val="21"/>
        </w:rPr>
        <w:t>tudiantes</w:t>
      </w:r>
      <w:r>
        <w:rPr>
          <w:rFonts w:ascii="Georgia" w:hAnsi="Georgia"/>
          <w:color w:val="231F20"/>
          <w:spacing w:val="-19"/>
          <w:w w:val="95"/>
          <w:sz w:val="21"/>
        </w:rPr>
        <w:t> </w:t>
      </w:r>
      <w:r>
        <w:rPr>
          <w:rFonts w:ascii="Georgia" w:hAnsi="Georgia"/>
          <w:color w:val="231F20"/>
          <w:w w:val="95"/>
          <w:sz w:val="21"/>
        </w:rPr>
        <w:t>entrevistados.</w:t>
      </w:r>
      <w:r>
        <w:rPr>
          <w:rFonts w:ascii="Georgia" w:hAnsi="Georgia"/>
          <w:color w:val="231F20"/>
          <w:spacing w:val="-19"/>
          <w:w w:val="95"/>
          <w:sz w:val="21"/>
        </w:rPr>
        <w:t> </w:t>
      </w:r>
      <w:r>
        <w:rPr>
          <w:rFonts w:ascii="Georgia" w:hAnsi="Georgia"/>
          <w:color w:val="231F20"/>
          <w:w w:val="95"/>
          <w:sz w:val="21"/>
        </w:rPr>
        <w:t>Asimismo,</w:t>
      </w:r>
      <w:r>
        <w:rPr>
          <w:rFonts w:ascii="Georgia" w:hAnsi="Georgia"/>
          <w:color w:val="231F20"/>
          <w:spacing w:val="-19"/>
          <w:w w:val="95"/>
          <w:sz w:val="21"/>
        </w:rPr>
        <w:t> </w:t>
      </w:r>
      <w:r>
        <w:rPr>
          <w:rFonts w:ascii="Georgia" w:hAnsi="Georgia"/>
          <w:color w:val="231F20"/>
          <w:w w:val="95"/>
          <w:sz w:val="21"/>
        </w:rPr>
        <w:t>por</w:t>
      </w:r>
      <w:r>
        <w:rPr>
          <w:rFonts w:ascii="Georgia" w:hAnsi="Georgia"/>
          <w:color w:val="231F20"/>
          <w:spacing w:val="-19"/>
          <w:w w:val="95"/>
          <w:sz w:val="21"/>
        </w:rPr>
        <w:t> </w:t>
      </w:r>
      <w:r>
        <w:rPr>
          <w:rFonts w:ascii="Georgia" w:hAnsi="Georgia"/>
          <w:color w:val="231F20"/>
          <w:w w:val="95"/>
          <w:sz w:val="21"/>
        </w:rPr>
        <w:t>su</w:t>
      </w:r>
      <w:r>
        <w:rPr>
          <w:rFonts w:ascii="Georgia" w:hAnsi="Georgia"/>
          <w:color w:val="231F20"/>
          <w:spacing w:val="-19"/>
          <w:w w:val="95"/>
          <w:sz w:val="21"/>
        </w:rPr>
        <w:t> </w:t>
      </w:r>
      <w:r>
        <w:rPr>
          <w:rFonts w:ascii="Georgia" w:hAnsi="Georgia"/>
          <w:color w:val="231F20"/>
          <w:w w:val="95"/>
          <w:sz w:val="21"/>
        </w:rPr>
        <w:t>impacto</w:t>
      </w:r>
      <w:r>
        <w:rPr>
          <w:rFonts w:ascii="Georgia" w:hAnsi="Georgia"/>
          <w:color w:val="231F20"/>
          <w:spacing w:val="-19"/>
          <w:w w:val="95"/>
          <w:sz w:val="21"/>
        </w:rPr>
        <w:t> </w:t>
      </w:r>
      <w:r>
        <w:rPr>
          <w:rFonts w:ascii="Georgia" w:hAnsi="Georgia"/>
          <w:color w:val="231F20"/>
          <w:w w:val="95"/>
          <w:sz w:val="21"/>
        </w:rPr>
        <w:t>directo</w:t>
      </w:r>
      <w:r>
        <w:rPr>
          <w:rFonts w:ascii="Georgia" w:hAnsi="Georgia"/>
          <w:color w:val="231F20"/>
          <w:spacing w:val="-19"/>
          <w:w w:val="95"/>
          <w:sz w:val="21"/>
        </w:rPr>
        <w:t> </w:t>
      </w:r>
      <w:r>
        <w:rPr>
          <w:rFonts w:ascii="Georgia" w:hAnsi="Georgia"/>
          <w:color w:val="231F20"/>
          <w:w w:val="95"/>
          <w:sz w:val="21"/>
        </w:rPr>
        <w:t>en</w:t>
      </w:r>
      <w:r>
        <w:rPr>
          <w:rFonts w:ascii="Georgia" w:hAnsi="Georgia"/>
          <w:color w:val="231F20"/>
          <w:spacing w:val="-19"/>
          <w:w w:val="95"/>
          <w:sz w:val="21"/>
        </w:rPr>
        <w:t> </w:t>
      </w:r>
      <w:r>
        <w:rPr>
          <w:rFonts w:ascii="Georgia" w:hAnsi="Georgia"/>
          <w:color w:val="231F20"/>
          <w:w w:val="95"/>
          <w:sz w:val="21"/>
        </w:rPr>
        <w:t>la percepción</w:t>
      </w:r>
      <w:r>
        <w:rPr>
          <w:rFonts w:ascii="Georgia" w:hAnsi="Georgia"/>
          <w:color w:val="231F20"/>
          <w:spacing w:val="-12"/>
          <w:w w:val="95"/>
          <w:sz w:val="21"/>
        </w:rPr>
        <w:t> </w:t>
      </w:r>
      <w:r>
        <w:rPr>
          <w:rFonts w:ascii="Georgia" w:hAnsi="Georgia"/>
          <w:color w:val="231F20"/>
          <w:w w:val="95"/>
          <w:sz w:val="21"/>
        </w:rPr>
        <w:t>sobre</w:t>
      </w:r>
      <w:r>
        <w:rPr>
          <w:rFonts w:ascii="Georgia" w:hAnsi="Georgia"/>
          <w:color w:val="231F20"/>
          <w:spacing w:val="-12"/>
          <w:w w:val="95"/>
          <w:sz w:val="21"/>
        </w:rPr>
        <w:t> </w:t>
      </w:r>
      <w:r>
        <w:rPr>
          <w:rFonts w:ascii="Georgia" w:hAnsi="Georgia"/>
          <w:color w:val="231F20"/>
          <w:w w:val="95"/>
          <w:sz w:val="21"/>
        </w:rPr>
        <w:t>violencia</w:t>
      </w:r>
      <w:r>
        <w:rPr>
          <w:rFonts w:ascii="Georgia" w:hAnsi="Georgia"/>
          <w:color w:val="231F20"/>
          <w:spacing w:val="-12"/>
          <w:w w:val="95"/>
          <w:sz w:val="21"/>
        </w:rPr>
        <w:t> </w:t>
      </w:r>
      <w:r>
        <w:rPr>
          <w:rFonts w:ascii="Georgia" w:hAnsi="Georgia"/>
          <w:color w:val="231F20"/>
          <w:w w:val="95"/>
          <w:sz w:val="21"/>
        </w:rPr>
        <w:t>en</w:t>
      </w:r>
      <w:r>
        <w:rPr>
          <w:rFonts w:ascii="Georgia" w:hAnsi="Georgia"/>
          <w:color w:val="231F20"/>
          <w:spacing w:val="-12"/>
          <w:w w:val="95"/>
          <w:sz w:val="21"/>
        </w:rPr>
        <w:t> </w:t>
      </w:r>
      <w:r>
        <w:rPr>
          <w:rFonts w:ascii="Georgia" w:hAnsi="Georgia"/>
          <w:color w:val="231F20"/>
          <w:w w:val="95"/>
          <w:sz w:val="21"/>
        </w:rPr>
        <w:t>los</w:t>
      </w:r>
      <w:r>
        <w:rPr>
          <w:rFonts w:ascii="Georgia" w:hAnsi="Georgia"/>
          <w:color w:val="231F20"/>
          <w:spacing w:val="-12"/>
          <w:w w:val="95"/>
          <w:sz w:val="21"/>
        </w:rPr>
        <w:t> </w:t>
      </w:r>
      <w:r>
        <w:rPr>
          <w:rFonts w:ascii="Georgia" w:hAnsi="Georgia"/>
          <w:color w:val="231F20"/>
          <w:w w:val="95"/>
          <w:sz w:val="21"/>
        </w:rPr>
        <w:t>jóvenes,</w:t>
      </w:r>
      <w:r>
        <w:rPr>
          <w:rFonts w:ascii="Georgia" w:hAnsi="Georgia"/>
          <w:color w:val="231F20"/>
          <w:spacing w:val="-13"/>
          <w:w w:val="95"/>
          <w:sz w:val="21"/>
        </w:rPr>
        <w:t> </w:t>
      </w:r>
      <w:r>
        <w:rPr>
          <w:rFonts w:ascii="Georgia" w:hAnsi="Georgia"/>
          <w:color w:val="231F20"/>
          <w:w w:val="95"/>
          <w:sz w:val="21"/>
        </w:rPr>
        <w:t>este</w:t>
      </w:r>
      <w:r>
        <w:rPr>
          <w:rFonts w:ascii="Georgia" w:hAnsi="Georgia"/>
          <w:color w:val="231F20"/>
          <w:spacing w:val="-12"/>
          <w:w w:val="95"/>
          <w:sz w:val="21"/>
        </w:rPr>
        <w:t> </w:t>
      </w:r>
      <w:r>
        <w:rPr>
          <w:rFonts w:ascii="Georgia" w:hAnsi="Georgia"/>
          <w:color w:val="231F20"/>
          <w:w w:val="95"/>
          <w:sz w:val="21"/>
        </w:rPr>
        <w:t>constructo</w:t>
      </w:r>
      <w:r>
        <w:rPr>
          <w:rFonts w:ascii="Georgia" w:hAnsi="Georgia"/>
          <w:color w:val="231F20"/>
          <w:spacing w:val="-12"/>
          <w:w w:val="95"/>
          <w:sz w:val="21"/>
        </w:rPr>
        <w:t> </w:t>
      </w:r>
      <w:r>
        <w:rPr>
          <w:rFonts w:ascii="Georgia" w:hAnsi="Georgia"/>
          <w:color w:val="231F20"/>
          <w:w w:val="95"/>
          <w:sz w:val="21"/>
        </w:rPr>
        <w:t>pudo relacionarse con otros constructos a través de los indicadores de</w:t>
      </w:r>
      <w:r>
        <w:rPr>
          <w:rFonts w:ascii="Georgia" w:hAnsi="Georgia"/>
          <w:color w:val="231F20"/>
          <w:spacing w:val="-18"/>
          <w:w w:val="95"/>
          <w:sz w:val="21"/>
        </w:rPr>
        <w:t> </w:t>
      </w:r>
      <w:r>
        <w:rPr>
          <w:rFonts w:ascii="Georgia" w:hAnsi="Georgia"/>
          <w:color w:val="231F20"/>
          <w:w w:val="95"/>
          <w:sz w:val="21"/>
        </w:rPr>
        <w:t>los</w:t>
      </w:r>
      <w:r>
        <w:rPr>
          <w:rFonts w:ascii="Georgia" w:hAnsi="Georgia"/>
          <w:color w:val="231F20"/>
          <w:spacing w:val="-18"/>
          <w:w w:val="95"/>
          <w:sz w:val="21"/>
        </w:rPr>
        <w:t> </w:t>
      </w:r>
      <w:r>
        <w:rPr>
          <w:rFonts w:ascii="Georgia" w:hAnsi="Georgia"/>
          <w:color w:val="231F20"/>
          <w:w w:val="95"/>
          <w:sz w:val="21"/>
        </w:rPr>
        <w:t>hábitos</w:t>
      </w:r>
      <w:r>
        <w:rPr>
          <w:rFonts w:ascii="Georgia" w:hAnsi="Georgia"/>
          <w:color w:val="231F20"/>
          <w:spacing w:val="-18"/>
          <w:w w:val="95"/>
          <w:sz w:val="21"/>
        </w:rPr>
        <w:t> </w:t>
      </w:r>
      <w:r>
        <w:rPr>
          <w:rFonts w:ascii="Georgia" w:hAnsi="Georgia"/>
          <w:color w:val="231F20"/>
          <w:w w:val="95"/>
          <w:sz w:val="21"/>
        </w:rPr>
        <w:t>de</w:t>
      </w:r>
      <w:r>
        <w:rPr>
          <w:rFonts w:ascii="Georgia" w:hAnsi="Georgia"/>
          <w:color w:val="231F20"/>
          <w:spacing w:val="-18"/>
          <w:w w:val="95"/>
          <w:sz w:val="21"/>
        </w:rPr>
        <w:t> </w:t>
      </w:r>
      <w:r>
        <w:rPr>
          <w:rFonts w:ascii="Georgia" w:hAnsi="Georgia"/>
          <w:color w:val="231F20"/>
          <w:w w:val="95"/>
          <w:sz w:val="21"/>
        </w:rPr>
        <w:t>estudio</w:t>
      </w:r>
      <w:r>
        <w:rPr>
          <w:rFonts w:ascii="Georgia" w:hAnsi="Georgia"/>
          <w:color w:val="231F20"/>
          <w:spacing w:val="-18"/>
          <w:w w:val="95"/>
          <w:sz w:val="21"/>
        </w:rPr>
        <w:t> </w:t>
      </w:r>
      <w:r>
        <w:rPr>
          <w:rFonts w:ascii="Georgia" w:hAnsi="Georgia"/>
          <w:color w:val="231F20"/>
          <w:w w:val="95"/>
          <w:sz w:val="21"/>
        </w:rPr>
        <w:t>y</w:t>
      </w:r>
      <w:r>
        <w:rPr>
          <w:rFonts w:ascii="Georgia" w:hAnsi="Georgia"/>
          <w:color w:val="231F20"/>
          <w:spacing w:val="-18"/>
          <w:w w:val="95"/>
          <w:sz w:val="21"/>
        </w:rPr>
        <w:t> </w:t>
      </w:r>
      <w:r>
        <w:rPr>
          <w:rFonts w:ascii="Georgia" w:hAnsi="Georgia"/>
          <w:color w:val="231F20"/>
          <w:w w:val="95"/>
          <w:sz w:val="21"/>
        </w:rPr>
        <w:t>su</w:t>
      </w:r>
      <w:r>
        <w:rPr>
          <w:rFonts w:ascii="Georgia" w:hAnsi="Georgia"/>
          <w:color w:val="231F20"/>
          <w:spacing w:val="-18"/>
          <w:w w:val="95"/>
          <w:sz w:val="21"/>
        </w:rPr>
        <w:t> </w:t>
      </w:r>
      <w:r>
        <w:rPr>
          <w:rFonts w:ascii="Georgia" w:hAnsi="Georgia"/>
          <w:color w:val="231F20"/>
          <w:w w:val="95"/>
          <w:sz w:val="21"/>
        </w:rPr>
        <w:t>relación</w:t>
      </w:r>
      <w:r>
        <w:rPr>
          <w:rFonts w:ascii="Georgia" w:hAnsi="Georgia"/>
          <w:color w:val="231F20"/>
          <w:spacing w:val="-18"/>
          <w:w w:val="95"/>
          <w:sz w:val="21"/>
        </w:rPr>
        <w:t> </w:t>
      </w:r>
      <w:r>
        <w:rPr>
          <w:rFonts w:ascii="Georgia" w:hAnsi="Georgia"/>
          <w:color w:val="231F20"/>
          <w:w w:val="95"/>
          <w:sz w:val="21"/>
        </w:rPr>
        <w:t>con</w:t>
      </w:r>
      <w:r>
        <w:rPr>
          <w:rFonts w:ascii="Georgia" w:hAnsi="Georgia"/>
          <w:color w:val="231F20"/>
          <w:spacing w:val="-18"/>
          <w:w w:val="95"/>
          <w:sz w:val="21"/>
        </w:rPr>
        <w:t> </w:t>
      </w:r>
      <w:r>
        <w:rPr>
          <w:rFonts w:ascii="Georgia" w:hAnsi="Georgia"/>
          <w:color w:val="231F20"/>
          <w:w w:val="95"/>
          <w:sz w:val="21"/>
        </w:rPr>
        <w:t>amigos</w:t>
      </w:r>
      <w:r>
        <w:rPr>
          <w:rFonts w:ascii="Georgia" w:hAnsi="Georgia"/>
          <w:color w:val="231F20"/>
          <w:spacing w:val="-18"/>
          <w:w w:val="95"/>
          <w:sz w:val="21"/>
        </w:rPr>
        <w:t> </w:t>
      </w:r>
      <w:r>
        <w:rPr>
          <w:rFonts w:ascii="Georgia" w:hAnsi="Georgia"/>
          <w:color w:val="231F20"/>
          <w:w w:val="95"/>
          <w:sz w:val="21"/>
        </w:rPr>
        <w:t>y</w:t>
      </w:r>
      <w:r>
        <w:rPr>
          <w:rFonts w:ascii="Georgia" w:hAnsi="Georgia"/>
          <w:color w:val="231F20"/>
          <w:spacing w:val="-18"/>
          <w:w w:val="95"/>
          <w:sz w:val="21"/>
        </w:rPr>
        <w:t> </w:t>
      </w:r>
      <w:r>
        <w:rPr>
          <w:rFonts w:ascii="Georgia" w:hAnsi="Georgia"/>
          <w:color w:val="231F20"/>
          <w:w w:val="95"/>
          <w:sz w:val="21"/>
        </w:rPr>
        <w:t>familia.</w:t>
      </w:r>
    </w:p>
    <w:p>
      <w:pPr>
        <w:pStyle w:val="ListParagraph"/>
        <w:numPr>
          <w:ilvl w:val="0"/>
          <w:numId w:val="16"/>
        </w:numPr>
        <w:tabs>
          <w:tab w:pos="471" w:val="left" w:leader="none"/>
        </w:tabs>
        <w:spacing w:line="244" w:lineRule="exact" w:before="0" w:after="0"/>
        <w:ind w:left="470" w:right="0" w:hanging="357"/>
        <w:jc w:val="both"/>
        <w:rPr>
          <w:rFonts w:ascii="Georgia"/>
          <w:color w:val="231F20"/>
          <w:sz w:val="21"/>
        </w:rPr>
      </w:pPr>
      <w:r>
        <w:rPr>
          <w:rFonts w:ascii="Georgia"/>
          <w:color w:val="231F20"/>
          <w:sz w:val="21"/>
        </w:rPr>
        <w:t>Comportamiento</w:t>
      </w:r>
      <w:r>
        <w:rPr>
          <w:rFonts w:ascii="Georgia"/>
          <w:color w:val="231F20"/>
          <w:spacing w:val="-18"/>
          <w:sz w:val="21"/>
        </w:rPr>
        <w:t> </w:t>
      </w:r>
      <w:r>
        <w:rPr>
          <w:rFonts w:ascii="Georgia"/>
          <w:color w:val="231F20"/>
          <w:sz w:val="21"/>
        </w:rPr>
        <w:t>sexual</w:t>
      </w:r>
      <w:r>
        <w:rPr>
          <w:rFonts w:ascii="Segoe UI"/>
          <w:i/>
          <w:color w:val="231F20"/>
          <w:sz w:val="21"/>
        </w:rPr>
        <w:t>.</w:t>
      </w:r>
      <w:r>
        <w:rPr>
          <w:rFonts w:ascii="Segoe UI"/>
          <w:i/>
          <w:color w:val="231F20"/>
          <w:spacing w:val="-26"/>
          <w:sz w:val="21"/>
        </w:rPr>
        <w:t> </w:t>
      </w:r>
      <w:r>
        <w:rPr>
          <w:rFonts w:ascii="Georgia"/>
          <w:color w:val="231F20"/>
          <w:sz w:val="21"/>
        </w:rPr>
        <w:t>En</w:t>
      </w:r>
      <w:r>
        <w:rPr>
          <w:rFonts w:ascii="Georgia"/>
          <w:color w:val="231F20"/>
          <w:spacing w:val="-18"/>
          <w:sz w:val="21"/>
        </w:rPr>
        <w:t> </w:t>
      </w:r>
      <w:r>
        <w:rPr>
          <w:rFonts w:ascii="Georgia"/>
          <w:color w:val="231F20"/>
          <w:sz w:val="21"/>
        </w:rPr>
        <w:t>este</w:t>
      </w:r>
      <w:r>
        <w:rPr>
          <w:rFonts w:ascii="Georgia"/>
          <w:color w:val="231F20"/>
          <w:spacing w:val="-18"/>
          <w:sz w:val="21"/>
        </w:rPr>
        <w:t> </w:t>
      </w:r>
      <w:r>
        <w:rPr>
          <w:rFonts w:ascii="Georgia"/>
          <w:color w:val="231F20"/>
          <w:sz w:val="21"/>
        </w:rPr>
        <w:t>constructo</w:t>
      </w:r>
      <w:r>
        <w:rPr>
          <w:rFonts w:ascii="Georgia"/>
          <w:color w:val="231F20"/>
          <w:spacing w:val="-18"/>
          <w:sz w:val="21"/>
        </w:rPr>
        <w:t> </w:t>
      </w:r>
      <w:r>
        <w:rPr>
          <w:rFonts w:ascii="Georgia"/>
          <w:color w:val="231F20"/>
          <w:sz w:val="21"/>
        </w:rPr>
        <w:t>se</w:t>
      </w:r>
      <w:r>
        <w:rPr>
          <w:rFonts w:ascii="Georgia"/>
          <w:color w:val="231F20"/>
          <w:spacing w:val="-18"/>
          <w:sz w:val="21"/>
        </w:rPr>
        <w:t> </w:t>
      </w:r>
      <w:r>
        <w:rPr>
          <w:rFonts w:ascii="Georgia"/>
          <w:color w:val="231F20"/>
          <w:sz w:val="21"/>
        </w:rPr>
        <w:t>obtuvo</w:t>
      </w:r>
      <w:r>
        <w:rPr>
          <w:rFonts w:ascii="Georgia"/>
          <w:color w:val="231F20"/>
          <w:spacing w:val="-18"/>
          <w:sz w:val="21"/>
        </w:rPr>
        <w:t> </w:t>
      </w:r>
      <w:r>
        <w:rPr>
          <w:rFonts w:ascii="Georgia"/>
          <w:color w:val="231F20"/>
          <w:sz w:val="21"/>
        </w:rPr>
        <w:t>infor-</w:t>
      </w:r>
    </w:p>
    <w:p>
      <w:pPr>
        <w:pStyle w:val="BodyText"/>
        <w:spacing w:line="252" w:lineRule="auto" w:before="4"/>
        <w:ind w:left="470" w:right="115"/>
        <w:jc w:val="both"/>
        <w:rPr>
          <w:rFonts w:ascii="Georgia" w:hAnsi="Georgia"/>
        </w:rPr>
      </w:pPr>
      <w:r>
        <w:rPr>
          <w:rFonts w:ascii="Georgia" w:hAnsi="Georgia"/>
          <w:color w:val="231F20"/>
          <w:w w:val="95"/>
        </w:rPr>
        <w:t>mación</w:t>
      </w:r>
      <w:r>
        <w:rPr>
          <w:rFonts w:ascii="Georgia" w:hAnsi="Georgia"/>
          <w:color w:val="231F20"/>
          <w:spacing w:val="-14"/>
          <w:w w:val="95"/>
        </w:rPr>
        <w:t> </w:t>
      </w:r>
      <w:r>
        <w:rPr>
          <w:rFonts w:ascii="Georgia" w:hAnsi="Georgia"/>
          <w:color w:val="231F20"/>
          <w:w w:val="95"/>
        </w:rPr>
        <w:t>sobre</w:t>
      </w:r>
      <w:r>
        <w:rPr>
          <w:rFonts w:ascii="Georgia" w:hAnsi="Georgia"/>
          <w:color w:val="231F20"/>
          <w:spacing w:val="-14"/>
          <w:w w:val="95"/>
        </w:rPr>
        <w:t> </w:t>
      </w:r>
      <w:r>
        <w:rPr>
          <w:rFonts w:ascii="Georgia" w:hAnsi="Georgia"/>
          <w:color w:val="231F20"/>
          <w:w w:val="95"/>
        </w:rPr>
        <w:t>los</w:t>
      </w:r>
      <w:r>
        <w:rPr>
          <w:rFonts w:ascii="Georgia" w:hAnsi="Georgia"/>
          <w:color w:val="231F20"/>
          <w:spacing w:val="-14"/>
          <w:w w:val="95"/>
        </w:rPr>
        <w:t> </w:t>
      </w:r>
      <w:r>
        <w:rPr>
          <w:rFonts w:ascii="Georgia" w:hAnsi="Georgia"/>
          <w:color w:val="231F20"/>
          <w:w w:val="95"/>
        </w:rPr>
        <w:t>hábitos</w:t>
      </w:r>
      <w:r>
        <w:rPr>
          <w:rFonts w:ascii="Georgia" w:hAnsi="Georgia"/>
          <w:color w:val="231F20"/>
          <w:spacing w:val="-14"/>
          <w:w w:val="95"/>
        </w:rPr>
        <w:t> </w:t>
      </w:r>
      <w:r>
        <w:rPr>
          <w:rFonts w:ascii="Georgia" w:hAnsi="Georgia"/>
          <w:color w:val="231F20"/>
          <w:w w:val="95"/>
        </w:rPr>
        <w:t>y</w:t>
      </w:r>
      <w:r>
        <w:rPr>
          <w:rFonts w:ascii="Georgia" w:hAnsi="Georgia"/>
          <w:color w:val="231F20"/>
          <w:spacing w:val="-14"/>
          <w:w w:val="95"/>
        </w:rPr>
        <w:t> </w:t>
      </w:r>
      <w:r>
        <w:rPr>
          <w:rFonts w:ascii="Georgia" w:hAnsi="Georgia"/>
          <w:color w:val="231F20"/>
          <w:w w:val="95"/>
        </w:rPr>
        <w:t>prácticas</w:t>
      </w:r>
      <w:r>
        <w:rPr>
          <w:rFonts w:ascii="Georgia" w:hAnsi="Georgia"/>
          <w:color w:val="231F20"/>
          <w:spacing w:val="-14"/>
          <w:w w:val="95"/>
        </w:rPr>
        <w:t> </w:t>
      </w:r>
      <w:r>
        <w:rPr>
          <w:rFonts w:ascii="Georgia" w:hAnsi="Georgia"/>
          <w:color w:val="231F20"/>
          <w:w w:val="95"/>
        </w:rPr>
        <w:t>sexuales</w:t>
      </w:r>
      <w:r>
        <w:rPr>
          <w:rFonts w:ascii="Georgia" w:hAnsi="Georgia"/>
          <w:color w:val="231F20"/>
          <w:spacing w:val="-14"/>
          <w:w w:val="95"/>
        </w:rPr>
        <w:t> </w:t>
      </w:r>
      <w:r>
        <w:rPr>
          <w:rFonts w:ascii="Georgia" w:hAnsi="Georgia"/>
          <w:color w:val="231F20"/>
          <w:w w:val="95"/>
        </w:rPr>
        <w:t>de</w:t>
      </w:r>
      <w:r>
        <w:rPr>
          <w:rFonts w:ascii="Georgia" w:hAnsi="Georgia"/>
          <w:color w:val="231F20"/>
          <w:spacing w:val="-14"/>
          <w:w w:val="95"/>
        </w:rPr>
        <w:t> </w:t>
      </w:r>
      <w:r>
        <w:rPr>
          <w:rFonts w:ascii="Georgia" w:hAnsi="Georgia"/>
          <w:color w:val="231F20"/>
          <w:w w:val="95"/>
        </w:rPr>
        <w:t>los</w:t>
      </w:r>
      <w:r>
        <w:rPr>
          <w:rFonts w:ascii="Georgia" w:hAnsi="Georgia"/>
          <w:color w:val="231F20"/>
          <w:spacing w:val="-14"/>
          <w:w w:val="95"/>
        </w:rPr>
        <w:t> </w:t>
      </w:r>
      <w:r>
        <w:rPr>
          <w:rFonts w:ascii="Georgia" w:hAnsi="Georgia"/>
          <w:color w:val="231F20"/>
          <w:w w:val="95"/>
        </w:rPr>
        <w:t>estudiantes universitarios, así como su conocimiento sobre métodos anti- conceptivos.</w:t>
      </w:r>
      <w:r>
        <w:rPr>
          <w:rFonts w:ascii="Georgia" w:hAnsi="Georgia"/>
          <w:color w:val="231F20"/>
          <w:spacing w:val="-20"/>
          <w:w w:val="95"/>
        </w:rPr>
        <w:t> </w:t>
      </w:r>
      <w:r>
        <w:rPr>
          <w:rFonts w:ascii="Georgia" w:hAnsi="Georgia"/>
          <w:color w:val="231F20"/>
          <w:w w:val="95"/>
        </w:rPr>
        <w:t>Se</w:t>
      </w:r>
      <w:r>
        <w:rPr>
          <w:rFonts w:ascii="Georgia" w:hAnsi="Georgia"/>
          <w:color w:val="231F20"/>
          <w:spacing w:val="-20"/>
          <w:w w:val="95"/>
        </w:rPr>
        <w:t> </w:t>
      </w:r>
      <w:r>
        <w:rPr>
          <w:rFonts w:ascii="Georgia" w:hAnsi="Georgia"/>
          <w:color w:val="231F20"/>
          <w:w w:val="95"/>
        </w:rPr>
        <w:t>reunió</w:t>
      </w:r>
      <w:r>
        <w:rPr>
          <w:rFonts w:ascii="Georgia" w:hAnsi="Georgia"/>
          <w:color w:val="231F20"/>
          <w:spacing w:val="-19"/>
          <w:w w:val="95"/>
        </w:rPr>
        <w:t> </w:t>
      </w:r>
      <w:r>
        <w:rPr>
          <w:rFonts w:ascii="Georgia" w:hAnsi="Georgia"/>
          <w:color w:val="231F20"/>
          <w:w w:val="95"/>
        </w:rPr>
        <w:t>también</w:t>
      </w:r>
      <w:r>
        <w:rPr>
          <w:rFonts w:ascii="Georgia" w:hAnsi="Georgia"/>
          <w:color w:val="231F20"/>
          <w:spacing w:val="-19"/>
          <w:w w:val="95"/>
        </w:rPr>
        <w:t> </w:t>
      </w:r>
      <w:r>
        <w:rPr>
          <w:rFonts w:ascii="Georgia" w:hAnsi="Georgia"/>
          <w:color w:val="231F20"/>
          <w:w w:val="95"/>
        </w:rPr>
        <w:t>información</w:t>
      </w:r>
      <w:r>
        <w:rPr>
          <w:rFonts w:ascii="Georgia" w:hAnsi="Georgia"/>
          <w:color w:val="231F20"/>
          <w:spacing w:val="-19"/>
          <w:w w:val="95"/>
        </w:rPr>
        <w:t> </w:t>
      </w:r>
      <w:r>
        <w:rPr>
          <w:rFonts w:ascii="Georgia" w:hAnsi="Georgia"/>
          <w:color w:val="231F20"/>
          <w:w w:val="95"/>
        </w:rPr>
        <w:t>cualitativa</w:t>
      </w:r>
      <w:r>
        <w:rPr>
          <w:rFonts w:ascii="Georgia" w:hAnsi="Georgia"/>
          <w:color w:val="231F20"/>
          <w:spacing w:val="-20"/>
          <w:w w:val="95"/>
        </w:rPr>
        <w:t> </w:t>
      </w:r>
      <w:r>
        <w:rPr>
          <w:rFonts w:ascii="Georgia" w:hAnsi="Georgia"/>
          <w:color w:val="231F20"/>
          <w:w w:val="95"/>
        </w:rPr>
        <w:t>sobre</w:t>
      </w:r>
      <w:r>
        <w:rPr>
          <w:rFonts w:ascii="Georgia" w:hAnsi="Georgia"/>
          <w:color w:val="231F20"/>
          <w:spacing w:val="-20"/>
          <w:w w:val="95"/>
        </w:rPr>
        <w:t> </w:t>
      </w:r>
      <w:r>
        <w:rPr>
          <w:rFonts w:ascii="Georgia" w:hAnsi="Georgia"/>
          <w:color w:val="231F20"/>
          <w:w w:val="95"/>
        </w:rPr>
        <w:t>la percepción</w:t>
      </w:r>
      <w:r>
        <w:rPr>
          <w:rFonts w:ascii="Georgia" w:hAnsi="Georgia"/>
          <w:color w:val="231F20"/>
          <w:spacing w:val="-18"/>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los</w:t>
      </w:r>
      <w:r>
        <w:rPr>
          <w:rFonts w:ascii="Georgia" w:hAnsi="Georgia"/>
          <w:color w:val="231F20"/>
          <w:spacing w:val="-19"/>
          <w:w w:val="95"/>
        </w:rPr>
        <w:t> </w:t>
      </w:r>
      <w:r>
        <w:rPr>
          <w:rFonts w:ascii="Georgia" w:hAnsi="Georgia"/>
          <w:color w:val="231F20"/>
          <w:w w:val="95"/>
        </w:rPr>
        <w:t>entrevistados</w:t>
      </w:r>
      <w:r>
        <w:rPr>
          <w:rFonts w:ascii="Georgia" w:hAnsi="Georgia"/>
          <w:color w:val="231F20"/>
          <w:spacing w:val="-19"/>
          <w:w w:val="95"/>
        </w:rPr>
        <w:t> </w:t>
      </w:r>
      <w:r>
        <w:rPr>
          <w:rFonts w:ascii="Georgia" w:hAnsi="Georgia"/>
          <w:color w:val="231F20"/>
          <w:w w:val="95"/>
        </w:rPr>
        <w:t>sobre</w:t>
      </w:r>
      <w:r>
        <w:rPr>
          <w:rFonts w:ascii="Georgia" w:hAnsi="Georgia"/>
          <w:color w:val="231F20"/>
          <w:spacing w:val="-18"/>
          <w:w w:val="95"/>
        </w:rPr>
        <w:t> </w:t>
      </w:r>
      <w:r>
        <w:rPr>
          <w:rFonts w:ascii="Georgia" w:hAnsi="Georgia"/>
          <w:color w:val="231F20"/>
          <w:w w:val="95"/>
        </w:rPr>
        <w:t>la</w:t>
      </w:r>
      <w:r>
        <w:rPr>
          <w:rFonts w:ascii="Georgia" w:hAnsi="Georgia"/>
          <w:color w:val="231F20"/>
          <w:spacing w:val="-19"/>
          <w:w w:val="95"/>
        </w:rPr>
        <w:t> </w:t>
      </w:r>
      <w:r>
        <w:rPr>
          <w:rFonts w:ascii="Georgia" w:hAnsi="Georgia"/>
          <w:color w:val="231F20"/>
          <w:w w:val="95"/>
        </w:rPr>
        <w:t>violencia</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sus</w:t>
      </w:r>
      <w:r>
        <w:rPr>
          <w:rFonts w:ascii="Georgia" w:hAnsi="Georgia"/>
          <w:color w:val="231F20"/>
          <w:spacing w:val="-19"/>
          <w:w w:val="95"/>
        </w:rPr>
        <w:t> </w:t>
      </w:r>
      <w:r>
        <w:rPr>
          <w:rFonts w:ascii="Georgia" w:hAnsi="Georgia"/>
          <w:color w:val="231F20"/>
          <w:w w:val="95"/>
        </w:rPr>
        <w:t>parejas en</w:t>
      </w:r>
      <w:r>
        <w:rPr>
          <w:rFonts w:ascii="Georgia" w:hAnsi="Georgia"/>
          <w:color w:val="231F20"/>
          <w:spacing w:val="-11"/>
          <w:w w:val="95"/>
        </w:rPr>
        <w:t> </w:t>
      </w:r>
      <w:r>
        <w:rPr>
          <w:rFonts w:ascii="Georgia" w:hAnsi="Georgia"/>
          <w:color w:val="231F20"/>
          <w:w w:val="95"/>
        </w:rPr>
        <w:t>cuanto</w:t>
      </w:r>
      <w:r>
        <w:rPr>
          <w:rFonts w:ascii="Georgia" w:hAnsi="Georgia"/>
          <w:color w:val="231F20"/>
          <w:spacing w:val="-11"/>
          <w:w w:val="95"/>
        </w:rPr>
        <w:t> </w:t>
      </w:r>
      <w:r>
        <w:rPr>
          <w:rFonts w:ascii="Georgia" w:hAnsi="Georgia"/>
          <w:color w:val="231F20"/>
          <w:w w:val="95"/>
        </w:rPr>
        <w:t>a</w:t>
      </w:r>
      <w:r>
        <w:rPr>
          <w:rFonts w:ascii="Georgia" w:hAnsi="Georgia"/>
          <w:color w:val="231F20"/>
          <w:spacing w:val="-11"/>
          <w:w w:val="95"/>
        </w:rPr>
        <w:t> </w:t>
      </w:r>
      <w:r>
        <w:rPr>
          <w:rFonts w:ascii="Georgia" w:hAnsi="Georgia"/>
          <w:color w:val="231F20"/>
          <w:w w:val="95"/>
        </w:rPr>
        <w:t>la</w:t>
      </w:r>
      <w:r>
        <w:rPr>
          <w:rFonts w:ascii="Georgia" w:hAnsi="Georgia"/>
          <w:color w:val="231F20"/>
          <w:spacing w:val="-11"/>
          <w:w w:val="95"/>
        </w:rPr>
        <w:t> </w:t>
      </w:r>
      <w:r>
        <w:rPr>
          <w:rFonts w:ascii="Georgia" w:hAnsi="Georgia"/>
          <w:color w:val="231F20"/>
          <w:w w:val="95"/>
        </w:rPr>
        <w:t>relación</w:t>
      </w:r>
      <w:r>
        <w:rPr>
          <w:rFonts w:ascii="Georgia" w:hAnsi="Georgia"/>
          <w:color w:val="231F20"/>
          <w:spacing w:val="-11"/>
          <w:w w:val="95"/>
        </w:rPr>
        <w:t> </w:t>
      </w:r>
      <w:r>
        <w:rPr>
          <w:rFonts w:ascii="Georgia" w:hAnsi="Georgia"/>
          <w:color w:val="231F20"/>
          <w:w w:val="95"/>
        </w:rPr>
        <w:t>que</w:t>
      </w:r>
      <w:r>
        <w:rPr>
          <w:rFonts w:ascii="Georgia" w:hAnsi="Georgia"/>
          <w:color w:val="231F20"/>
          <w:spacing w:val="-11"/>
          <w:w w:val="95"/>
        </w:rPr>
        <w:t> </w:t>
      </w:r>
      <w:r>
        <w:rPr>
          <w:rFonts w:ascii="Georgia" w:hAnsi="Georgia"/>
          <w:color w:val="231F20"/>
          <w:w w:val="95"/>
        </w:rPr>
        <w:t>ellos</w:t>
      </w:r>
      <w:r>
        <w:rPr>
          <w:rFonts w:ascii="Georgia" w:hAnsi="Georgia"/>
          <w:color w:val="231F20"/>
          <w:spacing w:val="-11"/>
          <w:w w:val="95"/>
        </w:rPr>
        <w:t> </w:t>
      </w:r>
      <w:r>
        <w:rPr>
          <w:rFonts w:ascii="Georgia" w:hAnsi="Georgia"/>
          <w:color w:val="231F20"/>
          <w:w w:val="95"/>
        </w:rPr>
        <w:t>(as)</w:t>
      </w:r>
      <w:r>
        <w:rPr>
          <w:rFonts w:ascii="Georgia" w:hAnsi="Georgia"/>
          <w:color w:val="231F20"/>
          <w:spacing w:val="-12"/>
          <w:w w:val="95"/>
        </w:rPr>
        <w:t> </w:t>
      </w:r>
      <w:r>
        <w:rPr>
          <w:rFonts w:ascii="Georgia" w:hAnsi="Georgia"/>
          <w:color w:val="231F20"/>
          <w:w w:val="95"/>
        </w:rPr>
        <w:t>llevan.</w:t>
      </w:r>
      <w:r>
        <w:rPr>
          <w:rFonts w:ascii="Georgia" w:hAnsi="Georgia"/>
          <w:color w:val="231F20"/>
          <w:spacing w:val="-12"/>
          <w:w w:val="95"/>
        </w:rPr>
        <w:t> </w:t>
      </w:r>
      <w:r>
        <w:rPr>
          <w:rFonts w:ascii="Georgia" w:hAnsi="Georgia"/>
          <w:color w:val="231F20"/>
          <w:w w:val="95"/>
        </w:rPr>
        <w:t>Particularmente</w:t>
      </w:r>
      <w:r>
        <w:rPr>
          <w:rFonts w:ascii="Georgia" w:hAnsi="Georgia"/>
          <w:color w:val="231F20"/>
          <w:spacing w:val="-11"/>
          <w:w w:val="95"/>
        </w:rPr>
        <w:t> </w:t>
      </w:r>
      <w:r>
        <w:rPr>
          <w:rFonts w:ascii="Georgia" w:hAnsi="Georgia"/>
          <w:color w:val="231F20"/>
          <w:w w:val="95"/>
        </w:rPr>
        <w:t>en esta sección se consideraron tópicos tales como su percepción sobre las actitudes violentas de sus parejas respecto a sus</w:t>
      </w:r>
      <w:r>
        <w:rPr>
          <w:rFonts w:ascii="Georgia" w:hAnsi="Georgia"/>
          <w:color w:val="231F20"/>
          <w:spacing w:val="-33"/>
          <w:w w:val="95"/>
        </w:rPr>
        <w:t> </w:t>
      </w:r>
      <w:r>
        <w:rPr>
          <w:rFonts w:ascii="Georgia" w:hAnsi="Georgia"/>
          <w:color w:val="231F20"/>
          <w:w w:val="95"/>
        </w:rPr>
        <w:t>rela- </w:t>
      </w:r>
      <w:r>
        <w:rPr>
          <w:rFonts w:ascii="Georgia" w:hAnsi="Georgia"/>
          <w:color w:val="231F20"/>
        </w:rPr>
        <w:t>ciones</w:t>
      </w:r>
      <w:r>
        <w:rPr>
          <w:rFonts w:ascii="Georgia" w:hAnsi="Georgia"/>
          <w:color w:val="231F20"/>
          <w:spacing w:val="-13"/>
        </w:rPr>
        <w:t> </w:t>
      </w:r>
      <w:r>
        <w:rPr>
          <w:rFonts w:ascii="Georgia" w:hAnsi="Georgia"/>
          <w:color w:val="231F20"/>
        </w:rPr>
        <w:t>sexuales,</w:t>
      </w:r>
      <w:r>
        <w:rPr>
          <w:rFonts w:ascii="Georgia" w:hAnsi="Georgia"/>
          <w:color w:val="231F20"/>
          <w:spacing w:val="-13"/>
        </w:rPr>
        <w:t> </w:t>
      </w:r>
      <w:r>
        <w:rPr>
          <w:rFonts w:ascii="Georgia" w:hAnsi="Georgia"/>
          <w:color w:val="231F20"/>
        </w:rPr>
        <w:t>el</w:t>
      </w:r>
      <w:r>
        <w:rPr>
          <w:rFonts w:ascii="Georgia" w:hAnsi="Georgia"/>
          <w:color w:val="231F20"/>
          <w:spacing w:val="-13"/>
        </w:rPr>
        <w:t> </w:t>
      </w:r>
      <w:r>
        <w:rPr>
          <w:rFonts w:ascii="Georgia" w:hAnsi="Georgia"/>
          <w:color w:val="231F20"/>
        </w:rPr>
        <w:t>uso</w:t>
      </w:r>
      <w:r>
        <w:rPr>
          <w:rFonts w:ascii="Georgia" w:hAnsi="Georgia"/>
          <w:color w:val="231F20"/>
          <w:spacing w:val="-12"/>
        </w:rPr>
        <w:t> </w:t>
      </w:r>
      <w:r>
        <w:rPr>
          <w:rFonts w:ascii="Georgia" w:hAnsi="Georgia"/>
          <w:color w:val="231F20"/>
        </w:rPr>
        <w:t>de</w:t>
      </w:r>
      <w:r>
        <w:rPr>
          <w:rFonts w:ascii="Georgia" w:hAnsi="Georgia"/>
          <w:color w:val="231F20"/>
          <w:spacing w:val="-13"/>
        </w:rPr>
        <w:t> </w:t>
      </w:r>
      <w:r>
        <w:rPr>
          <w:rFonts w:ascii="Georgia" w:hAnsi="Georgia"/>
          <w:color w:val="231F20"/>
        </w:rPr>
        <w:t>anticonceptivos,</w:t>
      </w:r>
      <w:r>
        <w:rPr>
          <w:rFonts w:ascii="Georgia" w:hAnsi="Georgia"/>
          <w:color w:val="231F20"/>
          <w:spacing w:val="-13"/>
        </w:rPr>
        <w:t> </w:t>
      </w:r>
      <w:r>
        <w:rPr>
          <w:rFonts w:ascii="Georgia" w:hAnsi="Georgia"/>
          <w:color w:val="231F20"/>
        </w:rPr>
        <w:t>conocimiento</w:t>
      </w:r>
      <w:r>
        <w:rPr>
          <w:rFonts w:ascii="Georgia" w:hAnsi="Georgia"/>
          <w:color w:val="231F20"/>
          <w:spacing w:val="-12"/>
        </w:rPr>
        <w:t> </w:t>
      </w:r>
      <w:r>
        <w:rPr>
          <w:rFonts w:ascii="Georgia" w:hAnsi="Georgia"/>
          <w:color w:val="231F20"/>
        </w:rPr>
        <w:t>del uso</w:t>
      </w:r>
      <w:r>
        <w:rPr>
          <w:rFonts w:ascii="Georgia" w:hAnsi="Georgia"/>
          <w:color w:val="231F20"/>
          <w:spacing w:val="-12"/>
        </w:rPr>
        <w:t> </w:t>
      </w:r>
      <w:r>
        <w:rPr>
          <w:rFonts w:ascii="Georgia" w:hAnsi="Georgia"/>
          <w:color w:val="231F20"/>
        </w:rPr>
        <w:t>de</w:t>
      </w:r>
      <w:r>
        <w:rPr>
          <w:rFonts w:ascii="Georgia" w:hAnsi="Georgia"/>
          <w:color w:val="231F20"/>
          <w:spacing w:val="-12"/>
        </w:rPr>
        <w:t> </w:t>
      </w:r>
      <w:r>
        <w:rPr>
          <w:rFonts w:ascii="Georgia" w:hAnsi="Georgia"/>
          <w:color w:val="231F20"/>
        </w:rPr>
        <w:t>anticonceptivos,</w:t>
      </w:r>
      <w:r>
        <w:rPr>
          <w:rFonts w:ascii="Georgia" w:hAnsi="Georgia"/>
          <w:color w:val="231F20"/>
          <w:spacing w:val="-12"/>
        </w:rPr>
        <w:t> </w:t>
      </w:r>
      <w:r>
        <w:rPr>
          <w:rFonts w:ascii="Georgia" w:hAnsi="Georgia"/>
          <w:color w:val="231F20"/>
        </w:rPr>
        <w:t>acceso</w:t>
      </w:r>
      <w:r>
        <w:rPr>
          <w:rFonts w:ascii="Georgia" w:hAnsi="Georgia"/>
          <w:color w:val="231F20"/>
          <w:spacing w:val="-12"/>
        </w:rPr>
        <w:t> </w:t>
      </w:r>
      <w:r>
        <w:rPr>
          <w:rFonts w:ascii="Georgia" w:hAnsi="Georgia"/>
          <w:color w:val="231F20"/>
        </w:rPr>
        <w:t>a</w:t>
      </w:r>
      <w:r>
        <w:rPr>
          <w:rFonts w:ascii="Georgia" w:hAnsi="Georgia"/>
          <w:color w:val="231F20"/>
          <w:spacing w:val="-12"/>
        </w:rPr>
        <w:t> </w:t>
      </w:r>
      <w:r>
        <w:rPr>
          <w:rFonts w:ascii="Georgia" w:hAnsi="Georgia"/>
          <w:color w:val="231F20"/>
        </w:rPr>
        <w:t>los</w:t>
      </w:r>
      <w:r>
        <w:rPr>
          <w:rFonts w:ascii="Georgia" w:hAnsi="Georgia"/>
          <w:color w:val="231F20"/>
          <w:spacing w:val="-12"/>
        </w:rPr>
        <w:t> </w:t>
      </w:r>
      <w:r>
        <w:rPr>
          <w:rFonts w:ascii="Georgia" w:hAnsi="Georgia"/>
          <w:color w:val="231F20"/>
        </w:rPr>
        <w:t>mismos,</w:t>
      </w:r>
      <w:r>
        <w:rPr>
          <w:rFonts w:ascii="Georgia" w:hAnsi="Georgia"/>
          <w:color w:val="231F20"/>
          <w:spacing w:val="-12"/>
        </w:rPr>
        <w:t> </w:t>
      </w:r>
      <w:r>
        <w:rPr>
          <w:rFonts w:ascii="Georgia" w:hAnsi="Georgia"/>
          <w:color w:val="231F20"/>
        </w:rPr>
        <w:t>permiso</w:t>
      </w:r>
      <w:r>
        <w:rPr>
          <w:rFonts w:ascii="Georgia" w:hAnsi="Georgia"/>
          <w:color w:val="231F20"/>
          <w:spacing w:val="-12"/>
        </w:rPr>
        <w:t> </w:t>
      </w:r>
      <w:r>
        <w:rPr>
          <w:rFonts w:ascii="Georgia" w:hAnsi="Georgia"/>
          <w:color w:val="231F20"/>
        </w:rPr>
        <w:t>de</w:t>
      </w:r>
      <w:r>
        <w:rPr>
          <w:rFonts w:ascii="Georgia" w:hAnsi="Georgia"/>
          <w:color w:val="231F20"/>
          <w:spacing w:val="-12"/>
        </w:rPr>
        <w:t> </w:t>
      </w:r>
      <w:r>
        <w:rPr>
          <w:rFonts w:ascii="Georgia" w:hAnsi="Georgia"/>
          <w:color w:val="231F20"/>
        </w:rPr>
        <w:t>sus </w:t>
      </w:r>
      <w:r>
        <w:rPr>
          <w:rFonts w:ascii="Georgia" w:hAnsi="Georgia"/>
          <w:color w:val="231F20"/>
          <w:w w:val="95"/>
        </w:rPr>
        <w:t>parejas</w:t>
      </w:r>
      <w:r>
        <w:rPr>
          <w:rFonts w:ascii="Georgia" w:hAnsi="Georgia"/>
          <w:color w:val="231F20"/>
          <w:spacing w:val="-21"/>
          <w:w w:val="95"/>
        </w:rPr>
        <w:t> </w:t>
      </w:r>
      <w:r>
        <w:rPr>
          <w:rFonts w:ascii="Georgia" w:hAnsi="Georgia"/>
          <w:color w:val="231F20"/>
          <w:w w:val="95"/>
        </w:rPr>
        <w:t>para</w:t>
      </w:r>
      <w:r>
        <w:rPr>
          <w:rFonts w:ascii="Georgia" w:hAnsi="Georgia"/>
          <w:color w:val="231F20"/>
          <w:spacing w:val="-21"/>
          <w:w w:val="95"/>
        </w:rPr>
        <w:t> </w:t>
      </w:r>
      <w:r>
        <w:rPr>
          <w:rFonts w:ascii="Georgia" w:hAnsi="Georgia"/>
          <w:color w:val="231F20"/>
          <w:w w:val="95"/>
        </w:rPr>
        <w:t>utilizarlos,</w:t>
      </w:r>
      <w:r>
        <w:rPr>
          <w:rFonts w:ascii="Georgia" w:hAnsi="Georgia"/>
          <w:color w:val="231F20"/>
          <w:spacing w:val="-21"/>
          <w:w w:val="95"/>
        </w:rPr>
        <w:t> </w:t>
      </w:r>
      <w:r>
        <w:rPr>
          <w:rFonts w:ascii="Georgia" w:hAnsi="Georgia"/>
          <w:color w:val="231F20"/>
          <w:w w:val="95"/>
        </w:rPr>
        <w:t>etcétera.</w:t>
      </w:r>
      <w:r>
        <w:rPr>
          <w:rFonts w:ascii="Georgia" w:hAnsi="Georgia"/>
          <w:color w:val="231F20"/>
          <w:spacing w:val="-21"/>
          <w:w w:val="95"/>
        </w:rPr>
        <w:t> </w:t>
      </w:r>
      <w:r>
        <w:rPr>
          <w:rFonts w:ascii="Georgia" w:hAnsi="Georgia"/>
          <w:color w:val="231F20"/>
          <w:w w:val="95"/>
        </w:rPr>
        <w:t>Analíticamente,</w:t>
      </w:r>
      <w:r>
        <w:rPr>
          <w:rFonts w:ascii="Georgia" w:hAnsi="Georgia"/>
          <w:color w:val="231F20"/>
          <w:spacing w:val="-21"/>
          <w:w w:val="95"/>
        </w:rPr>
        <w:t> </w:t>
      </w:r>
      <w:r>
        <w:rPr>
          <w:rFonts w:ascii="Georgia" w:hAnsi="Georgia"/>
          <w:color w:val="231F20"/>
          <w:w w:val="95"/>
        </w:rPr>
        <w:t>con</w:t>
      </w:r>
      <w:r>
        <w:rPr>
          <w:rFonts w:ascii="Georgia" w:hAnsi="Georgia"/>
          <w:color w:val="231F20"/>
          <w:spacing w:val="-21"/>
          <w:w w:val="95"/>
        </w:rPr>
        <w:t> </w:t>
      </w:r>
      <w:r>
        <w:rPr>
          <w:rFonts w:ascii="Georgia" w:hAnsi="Georgia"/>
          <w:color w:val="231F20"/>
          <w:w w:val="95"/>
        </w:rPr>
        <w:t>este</w:t>
      </w:r>
      <w:r>
        <w:rPr>
          <w:rFonts w:ascii="Georgia" w:hAnsi="Georgia"/>
          <w:color w:val="231F20"/>
          <w:spacing w:val="-21"/>
          <w:w w:val="95"/>
        </w:rPr>
        <w:t> </w:t>
      </w:r>
      <w:r>
        <w:rPr>
          <w:rFonts w:ascii="Georgia" w:hAnsi="Georgia"/>
          <w:color w:val="231F20"/>
          <w:w w:val="95"/>
        </w:rPr>
        <w:t>cons- tructo se logró determinar si en su relación de pareja los </w:t>
      </w:r>
      <w:r>
        <w:rPr>
          <w:rFonts w:ascii="Georgia" w:hAnsi="Georgia"/>
          <w:color w:val="231F20"/>
          <w:spacing w:val="2"/>
          <w:w w:val="95"/>
        </w:rPr>
        <w:t>hom- </w:t>
      </w:r>
      <w:r>
        <w:rPr>
          <w:rFonts w:ascii="Georgia" w:hAnsi="Georgia"/>
          <w:color w:val="231F20"/>
          <w:w w:val="95"/>
        </w:rPr>
        <w:t>bres</w:t>
      </w:r>
      <w:r>
        <w:rPr>
          <w:rFonts w:ascii="Georgia" w:hAnsi="Georgia"/>
          <w:color w:val="231F20"/>
          <w:spacing w:val="-15"/>
          <w:w w:val="95"/>
        </w:rPr>
        <w:t> </w:t>
      </w:r>
      <w:r>
        <w:rPr>
          <w:rFonts w:ascii="Georgia" w:hAnsi="Georgia"/>
          <w:color w:val="231F20"/>
          <w:w w:val="95"/>
        </w:rPr>
        <w:t>o</w:t>
      </w:r>
      <w:r>
        <w:rPr>
          <w:rFonts w:ascii="Georgia" w:hAnsi="Georgia"/>
          <w:color w:val="231F20"/>
          <w:spacing w:val="-15"/>
          <w:w w:val="95"/>
        </w:rPr>
        <w:t> </w:t>
      </w:r>
      <w:r>
        <w:rPr>
          <w:rFonts w:ascii="Georgia" w:hAnsi="Georgia"/>
          <w:color w:val="231F20"/>
          <w:w w:val="95"/>
        </w:rPr>
        <w:t>las</w:t>
      </w:r>
      <w:r>
        <w:rPr>
          <w:rFonts w:ascii="Georgia" w:hAnsi="Georgia"/>
          <w:color w:val="231F20"/>
          <w:spacing w:val="-15"/>
          <w:w w:val="95"/>
        </w:rPr>
        <w:t> </w:t>
      </w:r>
      <w:r>
        <w:rPr>
          <w:rFonts w:ascii="Georgia" w:hAnsi="Georgia"/>
          <w:color w:val="231F20"/>
          <w:w w:val="95"/>
        </w:rPr>
        <w:t>mujeres</w:t>
      </w:r>
      <w:r>
        <w:rPr>
          <w:rFonts w:ascii="Georgia" w:hAnsi="Georgia"/>
          <w:color w:val="231F20"/>
          <w:spacing w:val="-15"/>
          <w:w w:val="95"/>
        </w:rPr>
        <w:t> </w:t>
      </w:r>
      <w:r>
        <w:rPr>
          <w:rFonts w:ascii="Georgia" w:hAnsi="Georgia"/>
          <w:color w:val="231F20"/>
          <w:w w:val="95"/>
        </w:rPr>
        <w:t>tienen</w:t>
      </w:r>
      <w:r>
        <w:rPr>
          <w:rFonts w:ascii="Georgia" w:hAnsi="Georgia"/>
          <w:color w:val="231F20"/>
          <w:spacing w:val="-15"/>
          <w:w w:val="95"/>
        </w:rPr>
        <w:t> </w:t>
      </w:r>
      <w:r>
        <w:rPr>
          <w:rFonts w:ascii="Georgia" w:hAnsi="Georgia"/>
          <w:color w:val="231F20"/>
          <w:w w:val="95"/>
        </w:rPr>
        <w:t>una</w:t>
      </w:r>
      <w:r>
        <w:rPr>
          <w:rFonts w:ascii="Georgia" w:hAnsi="Georgia"/>
          <w:color w:val="231F20"/>
          <w:spacing w:val="-15"/>
          <w:w w:val="95"/>
        </w:rPr>
        <w:t> </w:t>
      </w:r>
      <w:r>
        <w:rPr>
          <w:rFonts w:ascii="Georgia" w:hAnsi="Georgia"/>
          <w:color w:val="231F20"/>
          <w:w w:val="95"/>
        </w:rPr>
        <w:t>mejor</w:t>
      </w:r>
      <w:r>
        <w:rPr>
          <w:rFonts w:ascii="Georgia" w:hAnsi="Georgia"/>
          <w:color w:val="231F20"/>
          <w:spacing w:val="-15"/>
          <w:w w:val="95"/>
        </w:rPr>
        <w:t> </w:t>
      </w:r>
      <w:r>
        <w:rPr>
          <w:rFonts w:ascii="Georgia" w:hAnsi="Georgia"/>
          <w:color w:val="231F20"/>
          <w:w w:val="95"/>
        </w:rPr>
        <w:t>percepción</w:t>
      </w:r>
      <w:r>
        <w:rPr>
          <w:rFonts w:ascii="Georgia" w:hAnsi="Georgia"/>
          <w:color w:val="231F20"/>
          <w:spacing w:val="-15"/>
          <w:w w:val="95"/>
        </w:rPr>
        <w:t> </w:t>
      </w:r>
      <w:r>
        <w:rPr>
          <w:rFonts w:ascii="Georgia" w:hAnsi="Georgia"/>
          <w:color w:val="231F20"/>
          <w:w w:val="95"/>
        </w:rPr>
        <w:t>de</w:t>
      </w:r>
      <w:r>
        <w:rPr>
          <w:rFonts w:ascii="Georgia" w:hAnsi="Georgia"/>
          <w:color w:val="231F20"/>
          <w:spacing w:val="-15"/>
          <w:w w:val="95"/>
        </w:rPr>
        <w:t> </w:t>
      </w:r>
      <w:r>
        <w:rPr>
          <w:rFonts w:ascii="Georgia" w:hAnsi="Georgia"/>
          <w:color w:val="231F20"/>
          <w:w w:val="95"/>
        </w:rPr>
        <w:t>violencia,</w:t>
      </w:r>
      <w:r>
        <w:rPr>
          <w:rFonts w:ascii="Georgia" w:hAnsi="Georgia"/>
          <w:color w:val="231F20"/>
          <w:spacing w:val="-15"/>
          <w:w w:val="95"/>
        </w:rPr>
        <w:t> </w:t>
      </w:r>
      <w:r>
        <w:rPr>
          <w:rFonts w:ascii="Georgia" w:hAnsi="Georgia"/>
          <w:color w:val="231F20"/>
          <w:w w:val="95"/>
        </w:rPr>
        <w:t>así como</w:t>
      </w:r>
      <w:r>
        <w:rPr>
          <w:rFonts w:ascii="Georgia" w:hAnsi="Georgia"/>
          <w:color w:val="231F20"/>
          <w:spacing w:val="-28"/>
          <w:w w:val="95"/>
        </w:rPr>
        <w:t> </w:t>
      </w:r>
      <w:r>
        <w:rPr>
          <w:rFonts w:ascii="Georgia" w:hAnsi="Georgia"/>
          <w:color w:val="231F20"/>
          <w:w w:val="95"/>
        </w:rPr>
        <w:t>las</w:t>
      </w:r>
      <w:r>
        <w:rPr>
          <w:rFonts w:ascii="Georgia" w:hAnsi="Georgia"/>
          <w:color w:val="231F20"/>
          <w:spacing w:val="-28"/>
          <w:w w:val="95"/>
        </w:rPr>
        <w:t> </w:t>
      </w:r>
      <w:r>
        <w:rPr>
          <w:rFonts w:ascii="Georgia" w:hAnsi="Georgia"/>
          <w:color w:val="231F20"/>
          <w:w w:val="95"/>
        </w:rPr>
        <w:t>medidas</w:t>
      </w:r>
      <w:r>
        <w:rPr>
          <w:rFonts w:ascii="Georgia" w:hAnsi="Georgia"/>
          <w:color w:val="231F20"/>
          <w:spacing w:val="-28"/>
          <w:w w:val="95"/>
        </w:rPr>
        <w:t> </w:t>
      </w:r>
      <w:r>
        <w:rPr>
          <w:rFonts w:ascii="Georgia" w:hAnsi="Georgia"/>
          <w:color w:val="231F20"/>
          <w:w w:val="95"/>
        </w:rPr>
        <w:t>tomadas</w:t>
      </w:r>
      <w:r>
        <w:rPr>
          <w:rFonts w:ascii="Georgia" w:hAnsi="Georgia"/>
          <w:color w:val="231F20"/>
          <w:spacing w:val="-28"/>
          <w:w w:val="95"/>
        </w:rPr>
        <w:t> </w:t>
      </w:r>
      <w:r>
        <w:rPr>
          <w:rFonts w:ascii="Georgia" w:hAnsi="Georgia"/>
          <w:color w:val="231F20"/>
          <w:w w:val="95"/>
        </w:rPr>
        <w:t>para</w:t>
      </w:r>
      <w:r>
        <w:rPr>
          <w:rFonts w:ascii="Georgia" w:hAnsi="Georgia"/>
          <w:color w:val="231F20"/>
          <w:spacing w:val="-28"/>
          <w:w w:val="95"/>
        </w:rPr>
        <w:t> </w:t>
      </w:r>
      <w:r>
        <w:rPr>
          <w:rFonts w:ascii="Georgia" w:hAnsi="Georgia"/>
          <w:color w:val="231F20"/>
          <w:w w:val="95"/>
        </w:rPr>
        <w:t>permitirlo,</w:t>
      </w:r>
      <w:r>
        <w:rPr>
          <w:rFonts w:ascii="Georgia" w:hAnsi="Georgia"/>
          <w:color w:val="231F20"/>
          <w:spacing w:val="-28"/>
          <w:w w:val="95"/>
        </w:rPr>
        <w:t> </w:t>
      </w:r>
      <w:r>
        <w:rPr>
          <w:rFonts w:ascii="Georgia" w:hAnsi="Georgia"/>
          <w:color w:val="231F20"/>
          <w:w w:val="95"/>
        </w:rPr>
        <w:t>o</w:t>
      </w:r>
      <w:r>
        <w:rPr>
          <w:rFonts w:ascii="Georgia" w:hAnsi="Georgia"/>
          <w:color w:val="231F20"/>
          <w:spacing w:val="-28"/>
          <w:w w:val="95"/>
        </w:rPr>
        <w:t> </w:t>
      </w:r>
      <w:r>
        <w:rPr>
          <w:rFonts w:ascii="Georgia" w:hAnsi="Georgia"/>
          <w:color w:val="231F20"/>
          <w:w w:val="95"/>
        </w:rPr>
        <w:t>bien,</w:t>
      </w:r>
      <w:r>
        <w:rPr>
          <w:rFonts w:ascii="Georgia" w:hAnsi="Georgia"/>
          <w:color w:val="231F20"/>
          <w:spacing w:val="-28"/>
          <w:w w:val="95"/>
        </w:rPr>
        <w:t> </w:t>
      </w:r>
      <w:r>
        <w:rPr>
          <w:rFonts w:ascii="Georgia" w:hAnsi="Georgia"/>
          <w:color w:val="231F20"/>
          <w:w w:val="95"/>
        </w:rPr>
        <w:t>evitarlo.</w:t>
      </w:r>
    </w:p>
    <w:p>
      <w:pPr>
        <w:pStyle w:val="ListParagraph"/>
        <w:numPr>
          <w:ilvl w:val="0"/>
          <w:numId w:val="16"/>
        </w:numPr>
        <w:tabs>
          <w:tab w:pos="471" w:val="left" w:leader="none"/>
        </w:tabs>
        <w:spacing w:line="244" w:lineRule="exact" w:before="0" w:after="0"/>
        <w:ind w:left="470" w:right="0" w:hanging="357"/>
        <w:jc w:val="both"/>
        <w:rPr>
          <w:rFonts w:ascii="Georgia"/>
          <w:color w:val="231F20"/>
          <w:sz w:val="21"/>
        </w:rPr>
      </w:pPr>
      <w:r>
        <w:rPr>
          <w:rFonts w:ascii="Georgia"/>
          <w:color w:val="231F20"/>
          <w:w w:val="95"/>
          <w:sz w:val="21"/>
        </w:rPr>
        <w:t>Tiempo</w:t>
      </w:r>
      <w:r>
        <w:rPr>
          <w:rFonts w:ascii="Georgia"/>
          <w:color w:val="231F20"/>
          <w:spacing w:val="-21"/>
          <w:w w:val="95"/>
          <w:sz w:val="21"/>
        </w:rPr>
        <w:t> </w:t>
      </w:r>
      <w:r>
        <w:rPr>
          <w:rFonts w:ascii="Georgia"/>
          <w:color w:val="231F20"/>
          <w:w w:val="95"/>
          <w:sz w:val="21"/>
        </w:rPr>
        <w:t>libre</w:t>
      </w:r>
      <w:r>
        <w:rPr>
          <w:rFonts w:ascii="Georgia"/>
          <w:color w:val="231F20"/>
          <w:spacing w:val="-21"/>
          <w:w w:val="95"/>
          <w:sz w:val="21"/>
        </w:rPr>
        <w:t> </w:t>
      </w:r>
      <w:r>
        <w:rPr>
          <w:rFonts w:ascii="Georgia"/>
          <w:color w:val="231F20"/>
          <w:w w:val="95"/>
          <w:sz w:val="21"/>
        </w:rPr>
        <w:t>y</w:t>
      </w:r>
      <w:r>
        <w:rPr>
          <w:rFonts w:ascii="Georgia"/>
          <w:color w:val="231F20"/>
          <w:spacing w:val="-21"/>
          <w:w w:val="95"/>
          <w:sz w:val="21"/>
        </w:rPr>
        <w:t> </w:t>
      </w:r>
      <w:r>
        <w:rPr>
          <w:rFonts w:ascii="Georgia"/>
          <w:color w:val="231F20"/>
          <w:w w:val="95"/>
          <w:sz w:val="21"/>
        </w:rPr>
        <w:t>convivencia</w:t>
      </w:r>
      <w:r>
        <w:rPr>
          <w:rFonts w:ascii="Georgia"/>
          <w:color w:val="231F20"/>
          <w:spacing w:val="-21"/>
          <w:w w:val="95"/>
          <w:sz w:val="21"/>
        </w:rPr>
        <w:t> </w:t>
      </w:r>
      <w:r>
        <w:rPr>
          <w:rFonts w:ascii="Georgia"/>
          <w:color w:val="231F20"/>
          <w:w w:val="95"/>
          <w:sz w:val="21"/>
        </w:rPr>
        <w:t>escolar</w:t>
      </w:r>
      <w:r>
        <w:rPr>
          <w:rFonts w:ascii="Segoe UI"/>
          <w:i/>
          <w:color w:val="231F20"/>
          <w:w w:val="95"/>
          <w:sz w:val="21"/>
        </w:rPr>
        <w:t>.</w:t>
      </w:r>
      <w:r>
        <w:rPr>
          <w:rFonts w:ascii="Georgia"/>
          <w:color w:val="231F20"/>
          <w:w w:val="95"/>
          <w:sz w:val="21"/>
        </w:rPr>
        <w:t>Debido</w:t>
      </w:r>
      <w:r>
        <w:rPr>
          <w:rFonts w:ascii="Georgia"/>
          <w:color w:val="231F20"/>
          <w:spacing w:val="-21"/>
          <w:w w:val="95"/>
          <w:sz w:val="21"/>
        </w:rPr>
        <w:t> </w:t>
      </w:r>
      <w:r>
        <w:rPr>
          <w:rFonts w:ascii="Georgia"/>
          <w:color w:val="231F20"/>
          <w:w w:val="95"/>
          <w:sz w:val="21"/>
        </w:rPr>
        <w:t>a</w:t>
      </w:r>
      <w:r>
        <w:rPr>
          <w:rFonts w:ascii="Georgia"/>
          <w:color w:val="231F20"/>
          <w:spacing w:val="-22"/>
          <w:w w:val="95"/>
          <w:sz w:val="21"/>
        </w:rPr>
        <w:t> </w:t>
      </w:r>
      <w:r>
        <w:rPr>
          <w:rFonts w:ascii="Georgia"/>
          <w:color w:val="231F20"/>
          <w:w w:val="95"/>
          <w:sz w:val="21"/>
        </w:rPr>
        <w:t>que</w:t>
      </w:r>
      <w:r>
        <w:rPr>
          <w:rFonts w:ascii="Georgia"/>
          <w:color w:val="231F20"/>
          <w:spacing w:val="-21"/>
          <w:w w:val="95"/>
          <w:sz w:val="21"/>
        </w:rPr>
        <w:t> </w:t>
      </w:r>
      <w:r>
        <w:rPr>
          <w:rFonts w:ascii="Georgia"/>
          <w:color w:val="231F20"/>
          <w:w w:val="95"/>
          <w:sz w:val="21"/>
        </w:rPr>
        <w:t>los</w:t>
      </w:r>
      <w:r>
        <w:rPr>
          <w:rFonts w:ascii="Georgia"/>
          <w:color w:val="231F20"/>
          <w:spacing w:val="-22"/>
          <w:w w:val="95"/>
          <w:sz w:val="21"/>
        </w:rPr>
        <w:t> </w:t>
      </w:r>
      <w:r>
        <w:rPr>
          <w:rFonts w:ascii="Georgia"/>
          <w:color w:val="231F20"/>
          <w:w w:val="95"/>
          <w:sz w:val="21"/>
        </w:rPr>
        <w:t>estudiantes</w:t>
      </w:r>
    </w:p>
    <w:p>
      <w:pPr>
        <w:pStyle w:val="BodyText"/>
        <w:spacing w:line="252" w:lineRule="auto" w:before="4"/>
        <w:ind w:left="470" w:right="115"/>
        <w:jc w:val="both"/>
        <w:rPr>
          <w:rFonts w:ascii="Georgia" w:hAnsi="Georgia"/>
        </w:rPr>
      </w:pPr>
      <w:r>
        <w:rPr>
          <w:rFonts w:ascii="Georgia" w:hAnsi="Georgia"/>
          <w:color w:val="231F20"/>
        </w:rPr>
        <w:t>durante</w:t>
      </w:r>
      <w:r>
        <w:rPr>
          <w:rFonts w:ascii="Georgia" w:hAnsi="Georgia"/>
          <w:color w:val="231F20"/>
          <w:spacing w:val="-13"/>
        </w:rPr>
        <w:t> </w:t>
      </w:r>
      <w:r>
        <w:rPr>
          <w:rFonts w:ascii="Georgia" w:hAnsi="Georgia"/>
          <w:color w:val="231F20"/>
        </w:rPr>
        <w:t>su</w:t>
      </w:r>
      <w:r>
        <w:rPr>
          <w:rFonts w:ascii="Georgia" w:hAnsi="Georgia"/>
          <w:color w:val="231F20"/>
          <w:spacing w:val="-13"/>
        </w:rPr>
        <w:t> </w:t>
      </w:r>
      <w:r>
        <w:rPr>
          <w:rFonts w:ascii="Georgia" w:hAnsi="Georgia"/>
          <w:color w:val="231F20"/>
        </w:rPr>
        <w:t>vida</w:t>
      </w:r>
      <w:r>
        <w:rPr>
          <w:rFonts w:ascii="Georgia" w:hAnsi="Georgia"/>
          <w:color w:val="231F20"/>
          <w:spacing w:val="-13"/>
        </w:rPr>
        <w:t> </w:t>
      </w:r>
      <w:r>
        <w:rPr>
          <w:rFonts w:ascii="Georgia" w:hAnsi="Georgia"/>
          <w:color w:val="231F20"/>
        </w:rPr>
        <w:t>pasan</w:t>
      </w:r>
      <w:r>
        <w:rPr>
          <w:rFonts w:ascii="Georgia" w:hAnsi="Georgia"/>
          <w:color w:val="231F20"/>
          <w:spacing w:val="-13"/>
        </w:rPr>
        <w:t> </w:t>
      </w:r>
      <w:r>
        <w:rPr>
          <w:rFonts w:ascii="Georgia" w:hAnsi="Georgia"/>
          <w:color w:val="231F20"/>
        </w:rPr>
        <w:t>la</w:t>
      </w:r>
      <w:r>
        <w:rPr>
          <w:rFonts w:ascii="Georgia" w:hAnsi="Georgia"/>
          <w:color w:val="231F20"/>
          <w:spacing w:val="-13"/>
        </w:rPr>
        <w:t> </w:t>
      </w:r>
      <w:r>
        <w:rPr>
          <w:rFonts w:ascii="Georgia" w:hAnsi="Georgia"/>
          <w:color w:val="231F20"/>
        </w:rPr>
        <w:t>mayor</w:t>
      </w:r>
      <w:r>
        <w:rPr>
          <w:rFonts w:ascii="Georgia" w:hAnsi="Georgia"/>
          <w:color w:val="231F20"/>
          <w:spacing w:val="-13"/>
        </w:rPr>
        <w:t> </w:t>
      </w:r>
      <w:r>
        <w:rPr>
          <w:rFonts w:ascii="Georgia" w:hAnsi="Georgia"/>
          <w:color w:val="231F20"/>
        </w:rPr>
        <w:t>parte</w:t>
      </w:r>
      <w:r>
        <w:rPr>
          <w:rFonts w:ascii="Georgia" w:hAnsi="Georgia"/>
          <w:color w:val="231F20"/>
          <w:spacing w:val="-13"/>
        </w:rPr>
        <w:t> </w:t>
      </w:r>
      <w:r>
        <w:rPr>
          <w:rFonts w:ascii="Georgia" w:hAnsi="Georgia"/>
          <w:color w:val="231F20"/>
        </w:rPr>
        <w:t>del</w:t>
      </w:r>
      <w:r>
        <w:rPr>
          <w:rFonts w:ascii="Georgia" w:hAnsi="Georgia"/>
          <w:color w:val="231F20"/>
          <w:spacing w:val="-14"/>
        </w:rPr>
        <w:t> </w:t>
      </w:r>
      <w:r>
        <w:rPr>
          <w:rFonts w:ascii="Georgia" w:hAnsi="Georgia"/>
          <w:color w:val="231F20"/>
        </w:rPr>
        <w:t>tiempo</w:t>
      </w:r>
      <w:r>
        <w:rPr>
          <w:rFonts w:ascii="Georgia" w:hAnsi="Georgia"/>
          <w:color w:val="231F20"/>
          <w:spacing w:val="-13"/>
        </w:rPr>
        <w:t> </w:t>
      </w:r>
      <w:r>
        <w:rPr>
          <w:rFonts w:ascii="Georgia" w:hAnsi="Georgia"/>
          <w:color w:val="231F20"/>
        </w:rPr>
        <w:t>en</w:t>
      </w:r>
      <w:r>
        <w:rPr>
          <w:rFonts w:ascii="Georgia" w:hAnsi="Georgia"/>
          <w:color w:val="231F20"/>
          <w:spacing w:val="-13"/>
        </w:rPr>
        <w:t> </w:t>
      </w:r>
      <w:r>
        <w:rPr>
          <w:rFonts w:ascii="Georgia" w:hAnsi="Georgia"/>
          <w:color w:val="231F20"/>
        </w:rPr>
        <w:t>las</w:t>
      </w:r>
      <w:r>
        <w:rPr>
          <w:rFonts w:ascii="Georgia" w:hAnsi="Georgia"/>
          <w:color w:val="231F20"/>
          <w:spacing w:val="-13"/>
        </w:rPr>
        <w:t> </w:t>
      </w:r>
      <w:r>
        <w:rPr>
          <w:rFonts w:ascii="Georgia" w:hAnsi="Georgia"/>
          <w:color w:val="231F20"/>
        </w:rPr>
        <w:t>aulas </w:t>
      </w:r>
      <w:r>
        <w:rPr>
          <w:rFonts w:ascii="Georgia" w:hAnsi="Georgia"/>
          <w:color w:val="231F20"/>
          <w:w w:val="95"/>
        </w:rPr>
        <w:t>universitarias, en convivencia con sus amigos y profesores, re- sulta</w:t>
      </w:r>
      <w:r>
        <w:rPr>
          <w:rFonts w:ascii="Georgia" w:hAnsi="Georgia"/>
          <w:color w:val="231F20"/>
          <w:spacing w:val="-10"/>
          <w:w w:val="95"/>
        </w:rPr>
        <w:t> </w:t>
      </w:r>
      <w:r>
        <w:rPr>
          <w:rFonts w:ascii="Georgia" w:hAnsi="Georgia"/>
          <w:color w:val="231F20"/>
          <w:w w:val="95"/>
        </w:rPr>
        <w:t>altamente</w:t>
      </w:r>
      <w:r>
        <w:rPr>
          <w:rFonts w:ascii="Georgia" w:hAnsi="Georgia"/>
          <w:color w:val="231F20"/>
          <w:spacing w:val="-10"/>
          <w:w w:val="95"/>
        </w:rPr>
        <w:t> </w:t>
      </w:r>
      <w:r>
        <w:rPr>
          <w:rFonts w:ascii="Georgia" w:hAnsi="Georgia"/>
          <w:color w:val="231F20"/>
          <w:w w:val="95"/>
        </w:rPr>
        <w:t>probable</w:t>
      </w:r>
      <w:r>
        <w:rPr>
          <w:rFonts w:ascii="Georgia" w:hAnsi="Georgia"/>
          <w:color w:val="231F20"/>
          <w:spacing w:val="-10"/>
          <w:w w:val="95"/>
        </w:rPr>
        <w:t> </w:t>
      </w:r>
      <w:r>
        <w:rPr>
          <w:rFonts w:ascii="Georgia" w:hAnsi="Georgia"/>
          <w:color w:val="231F20"/>
          <w:w w:val="95"/>
        </w:rPr>
        <w:t>que</w:t>
      </w:r>
      <w:r>
        <w:rPr>
          <w:rFonts w:ascii="Georgia" w:hAnsi="Georgia"/>
          <w:color w:val="231F20"/>
          <w:spacing w:val="-10"/>
          <w:w w:val="95"/>
        </w:rPr>
        <w:t> </w:t>
      </w:r>
      <w:r>
        <w:rPr>
          <w:rFonts w:ascii="Georgia" w:hAnsi="Georgia"/>
          <w:color w:val="231F20"/>
          <w:w w:val="95"/>
        </w:rPr>
        <w:t>ellos/as</w:t>
      </w:r>
      <w:r>
        <w:rPr>
          <w:rFonts w:ascii="Georgia" w:hAnsi="Georgia"/>
          <w:color w:val="231F20"/>
          <w:spacing w:val="-10"/>
          <w:w w:val="95"/>
        </w:rPr>
        <w:t> </w:t>
      </w:r>
      <w:r>
        <w:rPr>
          <w:rFonts w:ascii="Georgia" w:hAnsi="Georgia"/>
          <w:color w:val="231F20"/>
          <w:w w:val="95"/>
        </w:rPr>
        <w:t>participen</w:t>
      </w:r>
      <w:r>
        <w:rPr>
          <w:rFonts w:ascii="Georgia" w:hAnsi="Georgia"/>
          <w:color w:val="231F20"/>
          <w:spacing w:val="-10"/>
          <w:w w:val="95"/>
        </w:rPr>
        <w:t> </w:t>
      </w:r>
      <w:r>
        <w:rPr>
          <w:rFonts w:ascii="Georgia" w:hAnsi="Georgia"/>
          <w:color w:val="231F20"/>
          <w:w w:val="95"/>
        </w:rPr>
        <w:t>o</w:t>
      </w:r>
      <w:r>
        <w:rPr>
          <w:rFonts w:ascii="Georgia" w:hAnsi="Georgia"/>
          <w:color w:val="231F20"/>
          <w:spacing w:val="-10"/>
          <w:w w:val="95"/>
        </w:rPr>
        <w:t> </w:t>
      </w:r>
      <w:r>
        <w:rPr>
          <w:rFonts w:ascii="Georgia" w:hAnsi="Georgia"/>
          <w:color w:val="231F20"/>
          <w:w w:val="95"/>
        </w:rPr>
        <w:t>hayan</w:t>
      </w:r>
      <w:r>
        <w:rPr>
          <w:rFonts w:ascii="Georgia" w:hAnsi="Georgia"/>
          <w:color w:val="231F20"/>
          <w:spacing w:val="-10"/>
          <w:w w:val="95"/>
        </w:rPr>
        <w:t> </w:t>
      </w:r>
      <w:r>
        <w:rPr>
          <w:rFonts w:ascii="Georgia" w:hAnsi="Georgia"/>
          <w:color w:val="231F20"/>
          <w:w w:val="95"/>
        </w:rPr>
        <w:t>parti- </w:t>
      </w:r>
      <w:r>
        <w:rPr>
          <w:rFonts w:ascii="Georgia" w:hAnsi="Georgia"/>
          <w:color w:val="231F20"/>
        </w:rPr>
        <w:t>cipado</w:t>
      </w:r>
      <w:r>
        <w:rPr>
          <w:rFonts w:ascii="Georgia" w:hAnsi="Georgia"/>
          <w:color w:val="231F20"/>
          <w:spacing w:val="-12"/>
        </w:rPr>
        <w:t> </w:t>
      </w:r>
      <w:r>
        <w:rPr>
          <w:rFonts w:ascii="Georgia" w:hAnsi="Georgia"/>
          <w:color w:val="231F20"/>
        </w:rPr>
        <w:t>en</w:t>
      </w:r>
      <w:r>
        <w:rPr>
          <w:rFonts w:ascii="Georgia" w:hAnsi="Georgia"/>
          <w:color w:val="231F20"/>
          <w:spacing w:val="-12"/>
        </w:rPr>
        <w:t> </w:t>
      </w:r>
      <w:r>
        <w:rPr>
          <w:rFonts w:ascii="Georgia" w:hAnsi="Georgia"/>
          <w:color w:val="231F20"/>
        </w:rPr>
        <w:t>actos</w:t>
      </w:r>
      <w:r>
        <w:rPr>
          <w:rFonts w:ascii="Georgia" w:hAnsi="Georgia"/>
          <w:color w:val="231F20"/>
          <w:spacing w:val="-13"/>
        </w:rPr>
        <w:t> </w:t>
      </w:r>
      <w:r>
        <w:rPr>
          <w:rFonts w:ascii="Georgia" w:hAnsi="Georgia"/>
          <w:color w:val="231F20"/>
        </w:rPr>
        <w:t>de</w:t>
      </w:r>
      <w:r>
        <w:rPr>
          <w:rFonts w:ascii="Georgia" w:hAnsi="Georgia"/>
          <w:color w:val="231F20"/>
          <w:spacing w:val="-13"/>
        </w:rPr>
        <w:t> </w:t>
      </w:r>
      <w:r>
        <w:rPr>
          <w:rFonts w:ascii="Georgia" w:hAnsi="Georgia"/>
          <w:color w:val="231F20"/>
        </w:rPr>
        <w:t>violencia,</w:t>
      </w:r>
      <w:r>
        <w:rPr>
          <w:rFonts w:ascii="Georgia" w:hAnsi="Georgia"/>
          <w:color w:val="231F20"/>
          <w:spacing w:val="-13"/>
        </w:rPr>
        <w:t> </w:t>
      </w:r>
      <w:r>
        <w:rPr>
          <w:rFonts w:ascii="Georgia" w:hAnsi="Georgia"/>
          <w:color w:val="231F20"/>
        </w:rPr>
        <w:t>o</w:t>
      </w:r>
      <w:r>
        <w:rPr>
          <w:rFonts w:ascii="Georgia" w:hAnsi="Georgia"/>
          <w:color w:val="231F20"/>
          <w:spacing w:val="-12"/>
        </w:rPr>
        <w:t> </w:t>
      </w:r>
      <w:r>
        <w:rPr>
          <w:rFonts w:ascii="Georgia" w:hAnsi="Georgia"/>
          <w:color w:val="231F20"/>
        </w:rPr>
        <w:t>bien,</w:t>
      </w:r>
      <w:r>
        <w:rPr>
          <w:rFonts w:ascii="Georgia" w:hAnsi="Georgia"/>
          <w:color w:val="231F20"/>
          <w:spacing w:val="-13"/>
        </w:rPr>
        <w:t> </w:t>
      </w:r>
      <w:r>
        <w:rPr>
          <w:rFonts w:ascii="Georgia" w:hAnsi="Georgia"/>
          <w:color w:val="231F20"/>
        </w:rPr>
        <w:t>que</w:t>
      </w:r>
      <w:r>
        <w:rPr>
          <w:rFonts w:ascii="Georgia" w:hAnsi="Georgia"/>
          <w:color w:val="231F20"/>
          <w:spacing w:val="-13"/>
        </w:rPr>
        <w:t> </w:t>
      </w:r>
      <w:r>
        <w:rPr>
          <w:rFonts w:ascii="Georgia" w:hAnsi="Georgia"/>
          <w:color w:val="231F20"/>
        </w:rPr>
        <w:t>hayan</w:t>
      </w:r>
      <w:r>
        <w:rPr>
          <w:rFonts w:ascii="Georgia" w:hAnsi="Georgia"/>
          <w:color w:val="231F20"/>
          <w:spacing w:val="-12"/>
        </w:rPr>
        <w:t> </w:t>
      </w:r>
      <w:r>
        <w:rPr>
          <w:rFonts w:ascii="Georgia" w:hAnsi="Georgia"/>
          <w:color w:val="231F20"/>
        </w:rPr>
        <w:t>sido</w:t>
      </w:r>
      <w:r>
        <w:rPr>
          <w:rFonts w:ascii="Georgia" w:hAnsi="Georgia"/>
          <w:color w:val="231F20"/>
          <w:spacing w:val="-12"/>
        </w:rPr>
        <w:t> </w:t>
      </w:r>
      <w:r>
        <w:rPr>
          <w:rFonts w:ascii="Georgia" w:hAnsi="Georgia"/>
          <w:color w:val="231F20"/>
        </w:rPr>
        <w:t>víctimas </w:t>
      </w:r>
      <w:r>
        <w:rPr>
          <w:rFonts w:ascii="Georgia" w:hAnsi="Georgia"/>
          <w:color w:val="231F20"/>
          <w:w w:val="95"/>
        </w:rPr>
        <w:t>sobre prácticas violentas (amigos, profesores, etcétera). Asi- mismo, una hipótesis potencial ha sido la relación entre estas </w:t>
      </w:r>
      <w:r>
        <w:rPr>
          <w:rFonts w:ascii="Georgia" w:hAnsi="Georgia"/>
          <w:color w:val="231F20"/>
        </w:rPr>
        <w:t>prácticas</w:t>
      </w:r>
      <w:r>
        <w:rPr>
          <w:rFonts w:ascii="Georgia" w:hAnsi="Georgia"/>
          <w:color w:val="231F20"/>
          <w:spacing w:val="-11"/>
        </w:rPr>
        <w:t> </w:t>
      </w:r>
      <w:r>
        <w:rPr>
          <w:rFonts w:ascii="Georgia" w:hAnsi="Georgia"/>
          <w:color w:val="231F20"/>
        </w:rPr>
        <w:t>y</w:t>
      </w:r>
      <w:r>
        <w:rPr>
          <w:rFonts w:ascii="Georgia" w:hAnsi="Georgia"/>
          <w:color w:val="231F20"/>
          <w:spacing w:val="-11"/>
        </w:rPr>
        <w:t> </w:t>
      </w:r>
      <w:r>
        <w:rPr>
          <w:rFonts w:ascii="Georgia" w:hAnsi="Georgia"/>
          <w:color w:val="231F20"/>
        </w:rPr>
        <w:t>el</w:t>
      </w:r>
      <w:r>
        <w:rPr>
          <w:rFonts w:ascii="Georgia" w:hAnsi="Georgia"/>
          <w:color w:val="231F20"/>
          <w:spacing w:val="-11"/>
        </w:rPr>
        <w:t> </w:t>
      </w:r>
      <w:r>
        <w:rPr>
          <w:rFonts w:ascii="Georgia" w:hAnsi="Georgia"/>
          <w:color w:val="231F20"/>
        </w:rPr>
        <w:t>programa</w:t>
      </w:r>
      <w:r>
        <w:rPr>
          <w:rFonts w:ascii="Georgia" w:hAnsi="Georgia"/>
          <w:color w:val="231F20"/>
          <w:spacing w:val="-11"/>
        </w:rPr>
        <w:t> </w:t>
      </w:r>
      <w:r>
        <w:rPr>
          <w:rFonts w:ascii="Georgia" w:hAnsi="Georgia"/>
          <w:color w:val="231F20"/>
        </w:rPr>
        <w:t>educativo</w:t>
      </w:r>
      <w:r>
        <w:rPr>
          <w:rFonts w:ascii="Georgia" w:hAnsi="Georgia"/>
          <w:color w:val="231F20"/>
          <w:spacing w:val="-11"/>
        </w:rPr>
        <w:t> </w:t>
      </w:r>
      <w:r>
        <w:rPr>
          <w:rFonts w:ascii="Georgia" w:hAnsi="Georgia"/>
          <w:color w:val="231F20"/>
        </w:rPr>
        <w:t>al</w:t>
      </w:r>
      <w:r>
        <w:rPr>
          <w:rFonts w:ascii="Georgia" w:hAnsi="Georgia"/>
          <w:color w:val="231F20"/>
          <w:spacing w:val="-11"/>
        </w:rPr>
        <w:t> </w:t>
      </w:r>
      <w:r>
        <w:rPr>
          <w:rFonts w:ascii="Georgia" w:hAnsi="Georgia"/>
          <w:color w:val="231F20"/>
        </w:rPr>
        <w:t>cual</w:t>
      </w:r>
      <w:r>
        <w:rPr>
          <w:rFonts w:ascii="Georgia" w:hAnsi="Georgia"/>
          <w:color w:val="231F20"/>
          <w:spacing w:val="-11"/>
        </w:rPr>
        <w:t> </w:t>
      </w:r>
      <w:r>
        <w:rPr>
          <w:rFonts w:ascii="Georgia" w:hAnsi="Georgia"/>
          <w:color w:val="231F20"/>
        </w:rPr>
        <w:t>pertenecen.</w:t>
      </w:r>
      <w:r>
        <w:rPr>
          <w:rFonts w:ascii="Georgia" w:hAnsi="Georgia"/>
          <w:color w:val="231F20"/>
          <w:spacing w:val="-12"/>
        </w:rPr>
        <w:t> </w:t>
      </w:r>
      <w:r>
        <w:rPr>
          <w:rFonts w:ascii="Georgia" w:hAnsi="Georgia"/>
          <w:color w:val="231F20"/>
        </w:rPr>
        <w:t>En</w:t>
      </w:r>
      <w:r>
        <w:rPr>
          <w:rFonts w:ascii="Georgia" w:hAnsi="Georgia"/>
          <w:color w:val="231F20"/>
          <w:spacing w:val="-11"/>
        </w:rPr>
        <w:t> </w:t>
      </w:r>
      <w:r>
        <w:rPr>
          <w:rFonts w:ascii="Georgia" w:hAnsi="Georgia"/>
          <w:color w:val="231F20"/>
        </w:rPr>
        <w:t>ese </w:t>
      </w:r>
      <w:r>
        <w:rPr>
          <w:rFonts w:ascii="Georgia" w:hAnsi="Georgia"/>
          <w:color w:val="231F20"/>
          <w:w w:val="95"/>
        </w:rPr>
        <w:t>sentido, este constructo fue totalmente diseñado para solicitar aspectos</w:t>
      </w:r>
      <w:r>
        <w:rPr>
          <w:rFonts w:ascii="Georgia" w:hAnsi="Georgia"/>
          <w:color w:val="231F20"/>
          <w:spacing w:val="-9"/>
          <w:w w:val="95"/>
        </w:rPr>
        <w:t> </w:t>
      </w:r>
      <w:r>
        <w:rPr>
          <w:rFonts w:ascii="Georgia" w:hAnsi="Georgia"/>
          <w:color w:val="231F20"/>
          <w:w w:val="95"/>
        </w:rPr>
        <w:t>cualitativos</w:t>
      </w:r>
      <w:r>
        <w:rPr>
          <w:rFonts w:ascii="Georgia" w:hAnsi="Georgia"/>
          <w:color w:val="231F20"/>
          <w:spacing w:val="-9"/>
          <w:w w:val="95"/>
        </w:rPr>
        <w:t> </w:t>
      </w:r>
      <w:r>
        <w:rPr>
          <w:rFonts w:ascii="Georgia" w:hAnsi="Georgia"/>
          <w:color w:val="231F20"/>
          <w:w w:val="95"/>
        </w:rPr>
        <w:t>sobre</w:t>
      </w:r>
      <w:r>
        <w:rPr>
          <w:rFonts w:ascii="Georgia" w:hAnsi="Georgia"/>
          <w:color w:val="231F20"/>
          <w:spacing w:val="-9"/>
          <w:w w:val="95"/>
        </w:rPr>
        <w:t> </w:t>
      </w:r>
      <w:r>
        <w:rPr>
          <w:rFonts w:ascii="Georgia" w:hAnsi="Georgia"/>
          <w:color w:val="231F20"/>
          <w:w w:val="95"/>
        </w:rPr>
        <w:t>la</w:t>
      </w:r>
      <w:r>
        <w:rPr>
          <w:rFonts w:ascii="Georgia" w:hAnsi="Georgia"/>
          <w:color w:val="231F20"/>
          <w:spacing w:val="-9"/>
          <w:w w:val="95"/>
        </w:rPr>
        <w:t> </w:t>
      </w:r>
      <w:r>
        <w:rPr>
          <w:rFonts w:ascii="Georgia" w:hAnsi="Georgia"/>
          <w:color w:val="231F20"/>
          <w:w w:val="95"/>
        </w:rPr>
        <w:t>percepción</w:t>
      </w:r>
      <w:r>
        <w:rPr>
          <w:rFonts w:ascii="Georgia" w:hAnsi="Georgia"/>
          <w:color w:val="231F20"/>
          <w:spacing w:val="-9"/>
          <w:w w:val="95"/>
        </w:rPr>
        <w:t> </w:t>
      </w:r>
      <w:r>
        <w:rPr>
          <w:rFonts w:ascii="Georgia" w:hAnsi="Georgia"/>
          <w:color w:val="231F20"/>
          <w:w w:val="95"/>
        </w:rPr>
        <w:t>de</w:t>
      </w:r>
      <w:r>
        <w:rPr>
          <w:rFonts w:ascii="Georgia" w:hAnsi="Georgia"/>
          <w:color w:val="231F20"/>
          <w:spacing w:val="-9"/>
          <w:w w:val="95"/>
        </w:rPr>
        <w:t> </w:t>
      </w:r>
      <w:r>
        <w:rPr>
          <w:rFonts w:ascii="Georgia" w:hAnsi="Georgia"/>
          <w:color w:val="231F20"/>
          <w:w w:val="95"/>
        </w:rPr>
        <w:t>violencia</w:t>
      </w:r>
      <w:r>
        <w:rPr>
          <w:rFonts w:ascii="Georgia" w:hAnsi="Georgia"/>
          <w:color w:val="231F20"/>
          <w:spacing w:val="-9"/>
          <w:w w:val="95"/>
        </w:rPr>
        <w:t> </w:t>
      </w:r>
      <w:r>
        <w:rPr>
          <w:rFonts w:ascii="Georgia" w:hAnsi="Georgia"/>
          <w:color w:val="231F20"/>
          <w:w w:val="95"/>
        </w:rPr>
        <w:t>de</w:t>
      </w:r>
      <w:r>
        <w:rPr>
          <w:rFonts w:ascii="Georgia" w:hAnsi="Georgia"/>
          <w:color w:val="231F20"/>
          <w:spacing w:val="-9"/>
          <w:w w:val="95"/>
        </w:rPr>
        <w:t> </w:t>
      </w:r>
      <w:r>
        <w:rPr>
          <w:rFonts w:ascii="Georgia" w:hAnsi="Georgia"/>
          <w:color w:val="231F20"/>
          <w:w w:val="95"/>
        </w:rPr>
        <w:t>los</w:t>
      </w:r>
      <w:r>
        <w:rPr>
          <w:rFonts w:ascii="Georgia" w:hAnsi="Georgia"/>
          <w:color w:val="231F20"/>
          <w:spacing w:val="-9"/>
          <w:w w:val="95"/>
        </w:rPr>
        <w:t> </w:t>
      </w:r>
      <w:r>
        <w:rPr>
          <w:rFonts w:ascii="Georgia" w:hAnsi="Georgia"/>
          <w:color w:val="231F20"/>
          <w:w w:val="95"/>
        </w:rPr>
        <w:t>es- tudiantes universitarios en sus tiempos libres durante su vida escolar, en relación con sus amigos, compañeros y profesores. En</w:t>
      </w:r>
      <w:r>
        <w:rPr>
          <w:rFonts w:ascii="Georgia" w:hAnsi="Georgia"/>
          <w:color w:val="231F20"/>
          <w:spacing w:val="-22"/>
          <w:w w:val="95"/>
        </w:rPr>
        <w:t> </w:t>
      </w:r>
      <w:r>
        <w:rPr>
          <w:rFonts w:ascii="Georgia" w:hAnsi="Georgia"/>
          <w:color w:val="231F20"/>
          <w:w w:val="95"/>
        </w:rPr>
        <w:t>esta</w:t>
      </w:r>
      <w:r>
        <w:rPr>
          <w:rFonts w:ascii="Georgia" w:hAnsi="Georgia"/>
          <w:color w:val="231F20"/>
          <w:spacing w:val="-22"/>
          <w:w w:val="95"/>
        </w:rPr>
        <w:t> </w:t>
      </w:r>
      <w:r>
        <w:rPr>
          <w:rFonts w:ascii="Georgia" w:hAnsi="Georgia"/>
          <w:color w:val="231F20"/>
          <w:w w:val="95"/>
        </w:rPr>
        <w:t>sección</w:t>
      </w:r>
      <w:r>
        <w:rPr>
          <w:rFonts w:ascii="Georgia" w:hAnsi="Georgia"/>
          <w:color w:val="231F20"/>
          <w:spacing w:val="-22"/>
          <w:w w:val="95"/>
        </w:rPr>
        <w:t> </w:t>
      </w:r>
      <w:r>
        <w:rPr>
          <w:rFonts w:ascii="Georgia" w:hAnsi="Georgia"/>
          <w:color w:val="231F20"/>
          <w:w w:val="95"/>
        </w:rPr>
        <w:t>se</w:t>
      </w:r>
      <w:r>
        <w:rPr>
          <w:rFonts w:ascii="Georgia" w:hAnsi="Georgia"/>
          <w:color w:val="231F20"/>
          <w:spacing w:val="-22"/>
          <w:w w:val="95"/>
        </w:rPr>
        <w:t> </w:t>
      </w:r>
      <w:r>
        <w:rPr>
          <w:rFonts w:ascii="Georgia" w:hAnsi="Georgia"/>
          <w:color w:val="231F20"/>
          <w:w w:val="95"/>
        </w:rPr>
        <w:t>consideraron</w:t>
      </w:r>
      <w:r>
        <w:rPr>
          <w:rFonts w:ascii="Georgia" w:hAnsi="Georgia"/>
          <w:color w:val="231F20"/>
          <w:spacing w:val="-22"/>
          <w:w w:val="95"/>
        </w:rPr>
        <w:t> </w:t>
      </w:r>
      <w:r>
        <w:rPr>
          <w:rFonts w:ascii="Georgia" w:hAnsi="Georgia"/>
          <w:color w:val="231F20"/>
          <w:w w:val="95"/>
        </w:rPr>
        <w:t>instrumentos</w:t>
      </w:r>
      <w:r>
        <w:rPr>
          <w:rFonts w:ascii="Georgia" w:hAnsi="Georgia"/>
          <w:color w:val="231F20"/>
          <w:spacing w:val="-22"/>
          <w:w w:val="95"/>
        </w:rPr>
        <w:t> </w:t>
      </w:r>
      <w:r>
        <w:rPr>
          <w:rFonts w:ascii="Georgia" w:hAnsi="Georgia"/>
          <w:color w:val="231F20"/>
          <w:w w:val="95"/>
        </w:rPr>
        <w:t>diseñados</w:t>
      </w:r>
      <w:r>
        <w:rPr>
          <w:rFonts w:ascii="Georgia" w:hAnsi="Georgia"/>
          <w:color w:val="231F20"/>
          <w:spacing w:val="-22"/>
          <w:w w:val="95"/>
        </w:rPr>
        <w:t> </w:t>
      </w:r>
      <w:r>
        <w:rPr>
          <w:rFonts w:ascii="Georgia" w:hAnsi="Georgia"/>
          <w:color w:val="231F20"/>
          <w:w w:val="95"/>
        </w:rPr>
        <w:t>en</w:t>
      </w:r>
      <w:r>
        <w:rPr>
          <w:rFonts w:ascii="Georgia" w:hAnsi="Georgia"/>
          <w:color w:val="231F20"/>
          <w:spacing w:val="-22"/>
          <w:w w:val="95"/>
        </w:rPr>
        <w:t> </w:t>
      </w:r>
      <w:r>
        <w:rPr>
          <w:rFonts w:ascii="Georgia" w:hAnsi="Georgia"/>
          <w:color w:val="231F20"/>
          <w:w w:val="95"/>
        </w:rPr>
        <w:t>una</w:t>
      </w:r>
    </w:p>
    <w:p>
      <w:pPr>
        <w:spacing w:after="0" w:line="252" w:lineRule="auto"/>
        <w:jc w:val="both"/>
        <w:rPr>
          <w:rFonts w:ascii="Georgia" w:hAnsi="Georgia"/>
        </w:rPr>
        <w:sectPr>
          <w:headerReference w:type="default" r:id="rId635"/>
          <w:footerReference w:type="default" r:id="rId636"/>
          <w:pgSz w:w="7830" w:h="11910"/>
          <w:pgMar w:header="0" w:footer="424" w:top="500" w:bottom="620" w:left="880" w:right="900"/>
          <w:pgNumType w:start="283"/>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459" w:right="109"/>
        <w:jc w:val="both"/>
      </w:pPr>
      <w:r>
        <w:rPr>
          <w:color w:val="231F20"/>
        </w:rPr>
        <w:t>escala cualitativa, los cuales permitieron conocer la frecuencia con la cual los estudiantes incurren o pueden ser víctimas de ac- tos violentos.</w:t>
      </w:r>
    </w:p>
    <w:p>
      <w:pPr>
        <w:pStyle w:val="ListParagraph"/>
        <w:numPr>
          <w:ilvl w:val="0"/>
          <w:numId w:val="16"/>
        </w:numPr>
        <w:tabs>
          <w:tab w:pos="459" w:val="left" w:leader="none"/>
          <w:tab w:pos="460" w:val="left" w:leader="none"/>
        </w:tabs>
        <w:spacing w:line="250" w:lineRule="exact" w:before="0" w:after="0"/>
        <w:ind w:left="459" w:right="0" w:hanging="357"/>
        <w:jc w:val="left"/>
        <w:rPr>
          <w:color w:val="231F20"/>
          <w:sz w:val="21"/>
        </w:rPr>
      </w:pPr>
      <w:r>
        <w:rPr>
          <w:color w:val="231F20"/>
          <w:sz w:val="21"/>
        </w:rPr>
        <w:t>Concepción de violencia</w:t>
      </w:r>
      <w:r>
        <w:rPr>
          <w:rFonts w:ascii="Segoe UI" w:hAnsi="Segoe UI"/>
          <w:i/>
          <w:color w:val="231F20"/>
          <w:sz w:val="21"/>
        </w:rPr>
        <w:t>. </w:t>
      </w:r>
      <w:r>
        <w:rPr>
          <w:color w:val="231F20"/>
          <w:sz w:val="21"/>
        </w:rPr>
        <w:t>Esta sección fue particularmente    </w:t>
      </w:r>
      <w:r>
        <w:rPr>
          <w:color w:val="231F20"/>
          <w:spacing w:val="12"/>
          <w:sz w:val="21"/>
        </w:rPr>
        <w:t> </w:t>
      </w:r>
      <w:r>
        <w:rPr>
          <w:color w:val="231F20"/>
          <w:sz w:val="21"/>
        </w:rPr>
        <w:t>di-</w:t>
      </w:r>
    </w:p>
    <w:p>
      <w:pPr>
        <w:pStyle w:val="BodyText"/>
        <w:spacing w:line="249" w:lineRule="auto" w:before="1"/>
        <w:ind w:left="459" w:right="107"/>
        <w:jc w:val="both"/>
      </w:pPr>
      <w:r>
        <w:rPr>
          <w:color w:val="231F20"/>
        </w:rPr>
        <w:t>señada para que los estudiantes encuestados caracterizaran las actitudes violentas como concepto personalizado, con base en   su experiencia y conocimiento del tópico. Su concepción y ca- racterización de una persona violenta con base en sus senti- mientos, actitudes, actividades y pensamiento, son las principa- les orientaciones de este constructo, desde sus actividades en su universidad hasta su comportamiento personal. Finalmente, se solicitó información sobre formas de acoso, o bien, en las que haya participado, o bien, que haya sufrido el afectado (a). Es de gran importancia contar con información cualitativa lo más pre- cisa posible en este constructo ya que recopila información so- bre el tema principal de este estudio: percepción de violencia y su relación con los constructos previamente</w:t>
      </w:r>
      <w:r>
        <w:rPr>
          <w:color w:val="231F20"/>
          <w:spacing w:val="39"/>
        </w:rPr>
        <w:t> </w:t>
      </w:r>
      <w:r>
        <w:rPr>
          <w:color w:val="231F20"/>
        </w:rPr>
        <w:t>descritos.</w:t>
      </w:r>
    </w:p>
    <w:p>
      <w:pPr>
        <w:pStyle w:val="BodyText"/>
        <w:rPr>
          <w:sz w:val="22"/>
        </w:rPr>
      </w:pPr>
    </w:p>
    <w:p>
      <w:pPr>
        <w:pStyle w:val="BodyText"/>
        <w:spacing w:line="247" w:lineRule="auto"/>
        <w:ind w:left="102" w:right="107" w:firstLine="284"/>
        <w:jc w:val="both"/>
      </w:pPr>
      <w:r>
        <w:rPr>
          <w:color w:val="231F20"/>
        </w:rPr>
        <w:t>Como puede hacerse notar, el instrumento fue diseñado con preguntas y cuadros de información minuciosamente estudiados, validados y aplicados en otros estudios previos, en España, Co- lombia y Venezuela principalmente. Se consideraron adaptaciones propias a la población donde se aplicaría, en este caso, la Univer- sidad de Quintana Roo. Como parte del diseño, el instrumento fue piloteado en una submuestra aleatoria en la misma institución universitaria.</w:t>
      </w:r>
    </w:p>
    <w:p>
      <w:pPr>
        <w:pStyle w:val="BodyText"/>
        <w:spacing w:line="249" w:lineRule="auto" w:before="1"/>
        <w:ind w:left="102" w:right="107" w:firstLine="284"/>
        <w:jc w:val="both"/>
      </w:pPr>
      <w:r>
        <w:rPr>
          <w:color w:val="231F20"/>
        </w:rPr>
        <w:t>En un </w:t>
      </w:r>
      <w:r>
        <w:rPr>
          <w:color w:val="231F20"/>
          <w:spacing w:val="2"/>
        </w:rPr>
        <w:t>primer pilotaje </w:t>
      </w:r>
      <w:r>
        <w:rPr>
          <w:color w:val="231F20"/>
        </w:rPr>
        <w:t>se </w:t>
      </w:r>
      <w:r>
        <w:rPr>
          <w:color w:val="231F20"/>
          <w:spacing w:val="2"/>
        </w:rPr>
        <w:t>aplicaron diez cuestionarios, </w:t>
      </w:r>
      <w:r>
        <w:rPr>
          <w:color w:val="231F20"/>
        </w:rPr>
        <w:t>y en el </w:t>
      </w:r>
      <w:r>
        <w:rPr>
          <w:color w:val="231F20"/>
          <w:spacing w:val="2"/>
        </w:rPr>
        <w:t>segundo pilotaje </w:t>
      </w:r>
      <w:r>
        <w:rPr>
          <w:color w:val="231F20"/>
        </w:rPr>
        <w:t>se </w:t>
      </w:r>
      <w:r>
        <w:rPr>
          <w:color w:val="231F20"/>
          <w:spacing w:val="2"/>
        </w:rPr>
        <w:t>aplicaron veintidós. Las </w:t>
      </w:r>
      <w:r>
        <w:rPr>
          <w:color w:val="231F20"/>
          <w:spacing w:val="3"/>
        </w:rPr>
        <w:t>observaciones, co- </w:t>
      </w:r>
      <w:r>
        <w:rPr>
          <w:color w:val="231F20"/>
          <w:spacing w:val="2"/>
        </w:rPr>
        <w:t>mentarios </w:t>
      </w:r>
      <w:r>
        <w:rPr>
          <w:color w:val="231F20"/>
        </w:rPr>
        <w:t>y </w:t>
      </w:r>
      <w:r>
        <w:rPr>
          <w:color w:val="231F20"/>
          <w:spacing w:val="2"/>
        </w:rPr>
        <w:t>modificaciones recopiladas durante </w:t>
      </w:r>
      <w:r>
        <w:rPr>
          <w:color w:val="231F20"/>
        </w:rPr>
        <w:t>el </w:t>
      </w:r>
      <w:r>
        <w:rPr>
          <w:color w:val="231F20"/>
          <w:spacing w:val="2"/>
        </w:rPr>
        <w:t>pilotaje </w:t>
      </w:r>
      <w:r>
        <w:rPr>
          <w:color w:val="231F20"/>
          <w:spacing w:val="3"/>
        </w:rPr>
        <w:t>fueron </w:t>
      </w:r>
      <w:r>
        <w:rPr>
          <w:color w:val="231F20"/>
        </w:rPr>
        <w:t>de </w:t>
      </w:r>
      <w:r>
        <w:rPr>
          <w:color w:val="231F20"/>
          <w:spacing w:val="3"/>
        </w:rPr>
        <w:t>“forma” </w:t>
      </w:r>
      <w:r>
        <w:rPr>
          <w:color w:val="231F20"/>
        </w:rPr>
        <w:t>en su </w:t>
      </w:r>
      <w:r>
        <w:rPr>
          <w:color w:val="231F20"/>
          <w:spacing w:val="2"/>
        </w:rPr>
        <w:t>mayoría, </w:t>
      </w:r>
      <w:r>
        <w:rPr>
          <w:color w:val="231F20"/>
        </w:rPr>
        <w:t>y de </w:t>
      </w:r>
      <w:r>
        <w:rPr>
          <w:color w:val="231F20"/>
          <w:spacing w:val="3"/>
        </w:rPr>
        <w:t>“fondo” </w:t>
      </w:r>
      <w:r>
        <w:rPr>
          <w:color w:val="231F20"/>
        </w:rPr>
        <w:t>en su </w:t>
      </w:r>
      <w:r>
        <w:rPr>
          <w:color w:val="231F20"/>
          <w:spacing w:val="2"/>
        </w:rPr>
        <w:t>minoría. </w:t>
      </w:r>
      <w:r>
        <w:rPr>
          <w:color w:val="231F20"/>
        </w:rPr>
        <w:t>En </w:t>
      </w:r>
      <w:r>
        <w:rPr>
          <w:color w:val="231F20"/>
          <w:spacing w:val="2"/>
        </w:rPr>
        <w:t>cual-</w:t>
      </w:r>
      <w:r>
        <w:rPr>
          <w:color w:val="231F20"/>
          <w:spacing w:val="56"/>
        </w:rPr>
        <w:t> </w:t>
      </w:r>
      <w:r>
        <w:rPr>
          <w:color w:val="231F20"/>
          <w:spacing w:val="2"/>
        </w:rPr>
        <w:t>quier caso, todas </w:t>
      </w:r>
      <w:r>
        <w:rPr>
          <w:color w:val="231F20"/>
        </w:rPr>
        <w:t>ellas </w:t>
      </w:r>
      <w:r>
        <w:rPr>
          <w:color w:val="231F20"/>
          <w:spacing w:val="2"/>
        </w:rPr>
        <w:t>fueron discutidas </w:t>
      </w:r>
      <w:r>
        <w:rPr>
          <w:color w:val="231F20"/>
        </w:rPr>
        <w:t>y </w:t>
      </w:r>
      <w:r>
        <w:rPr>
          <w:color w:val="231F20"/>
          <w:spacing w:val="2"/>
        </w:rPr>
        <w:t>analizadas por los </w:t>
      </w:r>
      <w:r>
        <w:rPr>
          <w:color w:val="231F20"/>
          <w:spacing w:val="3"/>
        </w:rPr>
        <w:t>inves- </w:t>
      </w:r>
      <w:r>
        <w:rPr>
          <w:color w:val="231F20"/>
          <w:spacing w:val="2"/>
        </w:rPr>
        <w:t>tigadores </w:t>
      </w:r>
      <w:r>
        <w:rPr>
          <w:color w:val="231F20"/>
          <w:spacing w:val="3"/>
        </w:rPr>
        <w:t>responsables </w:t>
      </w:r>
      <w:r>
        <w:rPr>
          <w:color w:val="231F20"/>
        </w:rPr>
        <w:t>del </w:t>
      </w:r>
      <w:r>
        <w:rPr>
          <w:color w:val="231F20"/>
          <w:spacing w:val="3"/>
        </w:rPr>
        <w:t>proyecto, </w:t>
      </w:r>
      <w:r>
        <w:rPr>
          <w:color w:val="231F20"/>
        </w:rPr>
        <w:t>a </w:t>
      </w:r>
      <w:r>
        <w:rPr>
          <w:color w:val="231F20"/>
          <w:spacing w:val="2"/>
        </w:rPr>
        <w:t>partir </w:t>
      </w:r>
      <w:r>
        <w:rPr>
          <w:color w:val="231F20"/>
        </w:rPr>
        <w:t>de las </w:t>
      </w:r>
      <w:r>
        <w:rPr>
          <w:color w:val="231F20"/>
          <w:spacing w:val="2"/>
        </w:rPr>
        <w:t>cuales </w:t>
      </w:r>
      <w:r>
        <w:rPr>
          <w:color w:val="231F20"/>
        </w:rPr>
        <w:t>se </w:t>
      </w:r>
      <w:r>
        <w:rPr>
          <w:color w:val="231F20"/>
          <w:spacing w:val="3"/>
        </w:rPr>
        <w:t>toma- </w:t>
      </w:r>
      <w:r>
        <w:rPr>
          <w:color w:val="231F20"/>
          <w:spacing w:val="2"/>
        </w:rPr>
        <w:t>ron </w:t>
      </w:r>
      <w:r>
        <w:rPr>
          <w:color w:val="231F20"/>
          <w:spacing w:val="3"/>
        </w:rPr>
        <w:t>decisiones </w:t>
      </w:r>
      <w:r>
        <w:rPr>
          <w:color w:val="231F20"/>
          <w:spacing w:val="2"/>
        </w:rPr>
        <w:t>sobre </w:t>
      </w:r>
      <w:r>
        <w:rPr>
          <w:color w:val="231F20"/>
          <w:spacing w:val="3"/>
        </w:rPr>
        <w:t>potenciales cambios </w:t>
      </w:r>
      <w:r>
        <w:rPr>
          <w:color w:val="231F20"/>
        </w:rPr>
        <w:t>en el </w:t>
      </w:r>
      <w:r>
        <w:rPr>
          <w:color w:val="231F20"/>
          <w:spacing w:val="3"/>
        </w:rPr>
        <w:t>instrumento. </w:t>
      </w:r>
      <w:r>
        <w:rPr>
          <w:color w:val="231F20"/>
          <w:spacing w:val="2"/>
        </w:rPr>
        <w:t>De esta </w:t>
      </w:r>
      <w:r>
        <w:rPr>
          <w:color w:val="231F20"/>
          <w:spacing w:val="3"/>
        </w:rPr>
        <w:t>manera, </w:t>
      </w:r>
      <w:r>
        <w:rPr>
          <w:color w:val="231F20"/>
          <w:spacing w:val="2"/>
        </w:rPr>
        <w:t>con dos pilotajes, </w:t>
      </w:r>
      <w:r>
        <w:rPr>
          <w:color w:val="231F20"/>
        </w:rPr>
        <w:t>se </w:t>
      </w:r>
      <w:r>
        <w:rPr>
          <w:color w:val="231F20"/>
          <w:spacing w:val="3"/>
        </w:rPr>
        <w:t>obtuvo </w:t>
      </w:r>
      <w:r>
        <w:rPr>
          <w:color w:val="231F20"/>
        </w:rPr>
        <w:t>el </w:t>
      </w:r>
      <w:r>
        <w:rPr>
          <w:color w:val="231F20"/>
          <w:spacing w:val="3"/>
        </w:rPr>
        <w:t>instrumento</w:t>
      </w:r>
      <w:r>
        <w:rPr>
          <w:color w:val="231F20"/>
          <w:spacing w:val="31"/>
        </w:rPr>
        <w:t> </w:t>
      </w:r>
      <w:r>
        <w:rPr>
          <w:color w:val="231F20"/>
          <w:spacing w:val="2"/>
        </w:rPr>
        <w:t>final.</w:t>
      </w:r>
    </w:p>
    <w:p>
      <w:pPr>
        <w:pStyle w:val="BodyText"/>
        <w:spacing w:line="247" w:lineRule="auto"/>
        <w:ind w:left="102" w:right="105" w:firstLine="284"/>
        <w:jc w:val="both"/>
      </w:pPr>
      <w:r>
        <w:rPr>
          <w:color w:val="231F20"/>
          <w:spacing w:val="2"/>
        </w:rPr>
        <w:t>Uno </w:t>
      </w:r>
      <w:r>
        <w:rPr>
          <w:color w:val="231F20"/>
        </w:rPr>
        <w:t>de </w:t>
      </w:r>
      <w:r>
        <w:rPr>
          <w:color w:val="231F20"/>
          <w:spacing w:val="2"/>
        </w:rPr>
        <w:t>los </w:t>
      </w:r>
      <w:r>
        <w:rPr>
          <w:color w:val="231F20"/>
          <w:spacing w:val="3"/>
        </w:rPr>
        <w:t>objetivos </w:t>
      </w:r>
      <w:r>
        <w:rPr>
          <w:color w:val="231F20"/>
        </w:rPr>
        <w:t>de </w:t>
      </w:r>
      <w:r>
        <w:rPr>
          <w:color w:val="231F20"/>
          <w:spacing w:val="2"/>
        </w:rPr>
        <w:t>este estudio </w:t>
      </w:r>
      <w:r>
        <w:rPr>
          <w:color w:val="231F20"/>
          <w:spacing w:val="3"/>
        </w:rPr>
        <w:t>exploratorio </w:t>
      </w:r>
      <w:r>
        <w:rPr>
          <w:color w:val="231F20"/>
        </w:rPr>
        <w:t>ha </w:t>
      </w:r>
      <w:r>
        <w:rPr>
          <w:color w:val="231F20"/>
          <w:spacing w:val="2"/>
        </w:rPr>
        <w:t>sido </w:t>
      </w:r>
      <w:r>
        <w:rPr>
          <w:color w:val="231F20"/>
        </w:rPr>
        <w:t>el </w:t>
      </w:r>
      <w:r>
        <w:rPr>
          <w:color w:val="231F20"/>
          <w:spacing w:val="4"/>
        </w:rPr>
        <w:t>de </w:t>
      </w:r>
      <w:r>
        <w:rPr>
          <w:color w:val="231F20"/>
          <w:spacing w:val="2"/>
        </w:rPr>
        <w:t>recopilar </w:t>
      </w:r>
      <w:r>
        <w:rPr>
          <w:color w:val="231F20"/>
          <w:spacing w:val="3"/>
        </w:rPr>
        <w:t>información </w:t>
      </w:r>
      <w:r>
        <w:rPr>
          <w:color w:val="231F20"/>
          <w:spacing w:val="2"/>
        </w:rPr>
        <w:t>sobre </w:t>
      </w:r>
      <w:r>
        <w:rPr>
          <w:color w:val="231F20"/>
        </w:rPr>
        <w:t>la </w:t>
      </w:r>
      <w:r>
        <w:rPr>
          <w:color w:val="231F20"/>
          <w:spacing w:val="3"/>
        </w:rPr>
        <w:t>percepción </w:t>
      </w:r>
      <w:r>
        <w:rPr>
          <w:color w:val="231F20"/>
        </w:rPr>
        <w:t>de </w:t>
      </w:r>
      <w:r>
        <w:rPr>
          <w:color w:val="231F20"/>
          <w:spacing w:val="2"/>
        </w:rPr>
        <w:t>violencia por parte  </w:t>
      </w:r>
      <w:r>
        <w:rPr>
          <w:color w:val="231F20"/>
        </w:rPr>
        <w:t>de </w:t>
      </w:r>
      <w:r>
        <w:rPr>
          <w:color w:val="231F20"/>
          <w:spacing w:val="2"/>
        </w:rPr>
        <w:t>los estudiantes </w:t>
      </w:r>
      <w:r>
        <w:rPr>
          <w:color w:val="231F20"/>
        </w:rPr>
        <w:t>de la </w:t>
      </w:r>
      <w:r>
        <w:rPr>
          <w:color w:val="231F20"/>
          <w:spacing w:val="3"/>
        </w:rPr>
        <w:t>UQRoo, </w:t>
      </w:r>
      <w:r>
        <w:rPr>
          <w:color w:val="231F20"/>
        </w:rPr>
        <w:t>de tal </w:t>
      </w:r>
      <w:r>
        <w:rPr>
          <w:color w:val="231F20"/>
          <w:spacing w:val="3"/>
        </w:rPr>
        <w:t>manera </w:t>
      </w:r>
      <w:r>
        <w:rPr>
          <w:color w:val="231F20"/>
          <w:spacing w:val="2"/>
        </w:rPr>
        <w:t>que </w:t>
      </w:r>
      <w:r>
        <w:rPr>
          <w:color w:val="231F20"/>
        </w:rPr>
        <w:t>el </w:t>
      </w:r>
      <w:r>
        <w:rPr>
          <w:color w:val="231F20"/>
          <w:spacing w:val="2"/>
        </w:rPr>
        <w:t>objeto </w:t>
      </w:r>
      <w:r>
        <w:rPr>
          <w:color w:val="231F20"/>
        </w:rPr>
        <w:t>de </w:t>
      </w:r>
      <w:r>
        <w:rPr>
          <w:color w:val="231F20"/>
          <w:spacing w:val="2"/>
        </w:rPr>
        <w:t>estudio </w:t>
      </w:r>
      <w:r>
        <w:rPr>
          <w:color w:val="231F20"/>
        </w:rPr>
        <w:t>ha </w:t>
      </w:r>
      <w:r>
        <w:rPr>
          <w:color w:val="231F20"/>
          <w:spacing w:val="2"/>
        </w:rPr>
        <w:t>sido </w:t>
      </w:r>
      <w:r>
        <w:rPr>
          <w:color w:val="231F20"/>
        </w:rPr>
        <w:t>el </w:t>
      </w:r>
      <w:r>
        <w:rPr>
          <w:color w:val="231F20"/>
          <w:spacing w:val="2"/>
        </w:rPr>
        <w:t>estudiante. </w:t>
      </w:r>
      <w:r>
        <w:rPr>
          <w:color w:val="231F20"/>
        </w:rPr>
        <w:t>En ese </w:t>
      </w:r>
      <w:r>
        <w:rPr>
          <w:color w:val="231F20"/>
          <w:spacing w:val="2"/>
        </w:rPr>
        <w:t>sentido, </w:t>
      </w:r>
      <w:r>
        <w:rPr>
          <w:color w:val="231F20"/>
        </w:rPr>
        <w:t>se </w:t>
      </w:r>
      <w:r>
        <w:rPr>
          <w:color w:val="231F20"/>
          <w:spacing w:val="2"/>
        </w:rPr>
        <w:t>consideró </w:t>
      </w:r>
      <w:r>
        <w:rPr>
          <w:color w:val="231F20"/>
          <w:spacing w:val="3"/>
        </w:rPr>
        <w:t>con  </w:t>
      </w:r>
      <w:r>
        <w:rPr>
          <w:color w:val="231F20"/>
          <w:spacing w:val="2"/>
        </w:rPr>
        <w:t>cierto</w:t>
      </w:r>
      <w:r>
        <w:rPr>
          <w:color w:val="231F20"/>
          <w:spacing w:val="21"/>
        </w:rPr>
        <w:t> </w:t>
      </w:r>
      <w:r>
        <w:rPr>
          <w:color w:val="231F20"/>
          <w:spacing w:val="2"/>
        </w:rPr>
        <w:t>nivel</w:t>
      </w:r>
      <w:r>
        <w:rPr>
          <w:color w:val="231F20"/>
          <w:spacing w:val="21"/>
        </w:rPr>
        <w:t> </w:t>
      </w:r>
      <w:r>
        <w:rPr>
          <w:color w:val="231F20"/>
        </w:rPr>
        <w:t>de</w:t>
      </w:r>
      <w:r>
        <w:rPr>
          <w:color w:val="231F20"/>
          <w:spacing w:val="21"/>
        </w:rPr>
        <w:t> </w:t>
      </w:r>
      <w:r>
        <w:rPr>
          <w:color w:val="231F20"/>
          <w:spacing w:val="2"/>
        </w:rPr>
        <w:t>precisión</w:t>
      </w:r>
      <w:r>
        <w:rPr>
          <w:color w:val="231F20"/>
          <w:spacing w:val="21"/>
        </w:rPr>
        <w:t> </w:t>
      </w:r>
      <w:r>
        <w:rPr>
          <w:color w:val="231F20"/>
        </w:rPr>
        <w:t>la</w:t>
      </w:r>
      <w:r>
        <w:rPr>
          <w:color w:val="231F20"/>
          <w:spacing w:val="21"/>
        </w:rPr>
        <w:t> </w:t>
      </w:r>
      <w:r>
        <w:rPr>
          <w:color w:val="231F20"/>
          <w:spacing w:val="2"/>
        </w:rPr>
        <w:t>selección</w:t>
      </w:r>
      <w:r>
        <w:rPr>
          <w:color w:val="231F20"/>
          <w:spacing w:val="21"/>
        </w:rPr>
        <w:t> </w:t>
      </w:r>
      <w:r>
        <w:rPr>
          <w:color w:val="231F20"/>
        </w:rPr>
        <w:t>de</w:t>
      </w:r>
      <w:r>
        <w:rPr>
          <w:color w:val="231F20"/>
          <w:spacing w:val="21"/>
        </w:rPr>
        <w:t> </w:t>
      </w:r>
      <w:r>
        <w:rPr>
          <w:color w:val="231F20"/>
          <w:spacing w:val="2"/>
        </w:rPr>
        <w:t>una</w:t>
      </w:r>
      <w:r>
        <w:rPr>
          <w:color w:val="231F20"/>
          <w:spacing w:val="21"/>
        </w:rPr>
        <w:t> </w:t>
      </w:r>
      <w:r>
        <w:rPr>
          <w:color w:val="231F20"/>
          <w:spacing w:val="3"/>
        </w:rPr>
        <w:t>muestra</w:t>
      </w:r>
      <w:r>
        <w:rPr>
          <w:color w:val="231F20"/>
          <w:spacing w:val="21"/>
        </w:rPr>
        <w:t> </w:t>
      </w:r>
      <w:r>
        <w:rPr>
          <w:color w:val="231F20"/>
        </w:rPr>
        <w:t>de</w:t>
      </w:r>
      <w:r>
        <w:rPr>
          <w:color w:val="231F20"/>
          <w:spacing w:val="21"/>
        </w:rPr>
        <w:t> </w:t>
      </w:r>
      <w:r>
        <w:rPr>
          <w:color w:val="231F20"/>
          <w:spacing w:val="3"/>
        </w:rPr>
        <w:t>estudian-</w:t>
      </w:r>
    </w:p>
    <w:p>
      <w:pPr>
        <w:spacing w:after="0" w:line="247" w:lineRule="auto"/>
        <w:jc w:val="both"/>
        <w:sectPr>
          <w:headerReference w:type="default" r:id="rId637"/>
          <w:footerReference w:type="default" r:id="rId638"/>
          <w:pgSz w:w="7830" w:h="11910"/>
          <w:pgMar w:header="0" w:footer="424" w:top="500" w:bottom="620" w:left="920" w:right="880"/>
          <w:pgNumType w:start="284"/>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13" w:right="116"/>
        <w:jc w:val="both"/>
      </w:pPr>
      <w:r>
        <w:rPr>
          <w:color w:val="231F20"/>
        </w:rPr>
        <w:t>tes. Para ello, se procedió con la solicitud de información personal de todos los estudiantes de la universidad, contenida en bases de datos que maneja el departamento de servicios escolares. Estos archivos electrónicos constituyeron nuestro marco de  muestreo.</w:t>
      </w:r>
    </w:p>
    <w:p>
      <w:pPr>
        <w:pStyle w:val="BodyText"/>
        <w:spacing w:line="249" w:lineRule="auto" w:before="1"/>
        <w:ind w:left="112" w:right="118" w:firstLine="284"/>
        <w:jc w:val="both"/>
      </w:pPr>
      <w:r>
        <w:rPr>
          <w:color w:val="231F20"/>
        </w:rPr>
        <w:t>El cuestionario fue completado por estudiantes del tercer, quinto, séptimo y noveno semestre del otoño 2011, adscritos a nueve programas educativos de tres divisiones académicas, perte- necientes a una de las tres unidades académicas de la Universidad de Quintana Roo. Hay alrededor de 2 mil estudiantes en la unidad Chetumal. La muestra que se seleccionó fue de alrededor de 270 estudiantes. Es decir, poco más del 10% de los estudiantes de la unidad Chetumal.</w:t>
      </w:r>
    </w:p>
    <w:p>
      <w:pPr>
        <w:pStyle w:val="BodyText"/>
        <w:spacing w:line="249" w:lineRule="auto"/>
        <w:ind w:left="112" w:right="116" w:firstLine="284"/>
        <w:jc w:val="both"/>
      </w:pPr>
      <w:r>
        <w:rPr>
          <w:color w:val="231F20"/>
        </w:rPr>
        <w:t>Cabe mencionar que la UQRoo cuenta con tres unidades: Che- tumal, Playa del Carmen y Cozumel. Por motivo a distintas situa- ciones de logística sobre las aplicaciones de cuestionarios, se de- terminó considerar únicamente a los estudiantes de la unidad Che- tumal. Sin embargo, debido a que los estudiantes de la unidad Chetumal guardan muy similares condiciones de vida, hábitos de estudio y familiares, así como posición económica respecto a las dos unidades restantes, los resultados de este estudio podrían ser extrapolables a las unidades de Cozumel y Playa del Carmen. En total hay 3,567 estudiantes en las tres unidades. Son 23 programas educativos de nivel licenciatura, seis de nivel maestría y uno de doctorado.</w:t>
      </w:r>
    </w:p>
    <w:p>
      <w:pPr>
        <w:pStyle w:val="BodyText"/>
        <w:spacing w:line="242" w:lineRule="auto"/>
        <w:ind w:left="113" w:right="115" w:firstLine="283"/>
        <w:jc w:val="both"/>
      </w:pPr>
      <w:r>
        <w:rPr>
          <w:color w:val="231F20"/>
        </w:rPr>
        <w:t>Dentro del grupo de investigación, se mantuvo la hipótesis de una variación significativa de las percepciones de violencia entre estudiantes de distintas divisiones académicas de la UQRoo, de tal manera que se determinó estratificar el muestreo por división</w:t>
      </w:r>
      <w:r>
        <w:rPr>
          <w:rFonts w:ascii="Segoe UI" w:hAnsi="Segoe UI"/>
          <w:i/>
          <w:color w:val="231F20"/>
        </w:rPr>
        <w:t>. </w:t>
      </w:r>
      <w:r>
        <w:rPr>
          <w:color w:val="231F20"/>
        </w:rPr>
        <w:t>Una división académica es una entidad con facultades legales regida por el H. Consejo Universitario de la misma. En cada división se en-</w:t>
      </w:r>
    </w:p>
    <w:p>
      <w:pPr>
        <w:pStyle w:val="BodyText"/>
        <w:spacing w:line="247" w:lineRule="auto" w:before="6"/>
        <w:ind w:left="112" w:right="119"/>
        <w:jc w:val="both"/>
      </w:pPr>
      <w:r>
        <w:rPr>
          <w:color w:val="231F20"/>
          <w:spacing w:val="2"/>
        </w:rPr>
        <w:t>cuentran adscritos </w:t>
      </w:r>
      <w:r>
        <w:rPr>
          <w:color w:val="231F20"/>
        </w:rPr>
        <w:t>un </w:t>
      </w:r>
      <w:r>
        <w:rPr>
          <w:color w:val="231F20"/>
          <w:spacing w:val="3"/>
        </w:rPr>
        <w:t>número determinado </w:t>
      </w:r>
      <w:r>
        <w:rPr>
          <w:color w:val="231F20"/>
        </w:rPr>
        <w:t>de </w:t>
      </w:r>
      <w:r>
        <w:rPr>
          <w:color w:val="231F20"/>
          <w:spacing w:val="3"/>
        </w:rPr>
        <w:t>programas </w:t>
      </w:r>
      <w:r>
        <w:rPr>
          <w:color w:val="231F20"/>
          <w:spacing w:val="2"/>
        </w:rPr>
        <w:t>educati- vos. </w:t>
      </w:r>
      <w:r>
        <w:rPr>
          <w:color w:val="231F20"/>
        </w:rPr>
        <w:t>La </w:t>
      </w:r>
      <w:r>
        <w:rPr>
          <w:color w:val="231F20"/>
          <w:spacing w:val="2"/>
        </w:rPr>
        <w:t>unidad </w:t>
      </w:r>
      <w:r>
        <w:rPr>
          <w:color w:val="231F20"/>
          <w:spacing w:val="3"/>
        </w:rPr>
        <w:t>Chetumal </w:t>
      </w:r>
      <w:r>
        <w:rPr>
          <w:color w:val="231F20"/>
          <w:spacing w:val="2"/>
        </w:rPr>
        <w:t>cuenta con cuatro divisiones: Ciencias Políticas </w:t>
      </w:r>
      <w:r>
        <w:rPr>
          <w:color w:val="231F20"/>
        </w:rPr>
        <w:t>y </w:t>
      </w:r>
      <w:r>
        <w:rPr>
          <w:color w:val="231F20"/>
          <w:spacing w:val="3"/>
        </w:rPr>
        <w:t>Humanidades (DCPH), </w:t>
      </w:r>
      <w:r>
        <w:rPr>
          <w:color w:val="231F20"/>
          <w:spacing w:val="2"/>
        </w:rPr>
        <w:t>Ciencias </w:t>
      </w:r>
      <w:r>
        <w:rPr>
          <w:color w:val="231F20"/>
        </w:rPr>
        <w:t>de la </w:t>
      </w:r>
      <w:r>
        <w:rPr>
          <w:color w:val="231F20"/>
          <w:spacing w:val="2"/>
        </w:rPr>
        <w:t>Salud </w:t>
      </w:r>
      <w:r>
        <w:rPr>
          <w:color w:val="231F20"/>
          <w:spacing w:val="3"/>
        </w:rPr>
        <w:t>(DCS), </w:t>
      </w:r>
      <w:r>
        <w:rPr>
          <w:color w:val="231F20"/>
          <w:spacing w:val="2"/>
        </w:rPr>
        <w:t>Ciencias </w:t>
      </w:r>
      <w:r>
        <w:rPr>
          <w:color w:val="231F20"/>
        </w:rPr>
        <w:t>e </w:t>
      </w:r>
      <w:r>
        <w:rPr>
          <w:color w:val="231F20"/>
          <w:spacing w:val="2"/>
        </w:rPr>
        <w:t>Ingeniería </w:t>
      </w:r>
      <w:r>
        <w:rPr>
          <w:color w:val="231F20"/>
          <w:spacing w:val="3"/>
        </w:rPr>
        <w:t>(DCI) </w:t>
      </w:r>
      <w:r>
        <w:rPr>
          <w:color w:val="231F20"/>
        </w:rPr>
        <w:t>y </w:t>
      </w:r>
      <w:r>
        <w:rPr>
          <w:color w:val="231F20"/>
          <w:spacing w:val="2"/>
        </w:rPr>
        <w:t>Ciencias </w:t>
      </w:r>
      <w:r>
        <w:rPr>
          <w:color w:val="231F20"/>
          <w:spacing w:val="3"/>
        </w:rPr>
        <w:t>Económico- </w:t>
      </w:r>
      <w:r>
        <w:rPr>
          <w:color w:val="231F20"/>
          <w:spacing w:val="2"/>
        </w:rPr>
        <w:t>Administrativas </w:t>
      </w:r>
      <w:r>
        <w:rPr>
          <w:color w:val="231F20"/>
          <w:spacing w:val="3"/>
        </w:rPr>
        <w:t>(DCSEA). </w:t>
      </w:r>
      <w:r>
        <w:rPr>
          <w:color w:val="231F20"/>
        </w:rPr>
        <w:t>Sin </w:t>
      </w:r>
      <w:r>
        <w:rPr>
          <w:color w:val="231F20"/>
          <w:spacing w:val="3"/>
        </w:rPr>
        <w:t>embargo, </w:t>
      </w:r>
      <w:r>
        <w:rPr>
          <w:color w:val="231F20"/>
          <w:spacing w:val="2"/>
        </w:rPr>
        <w:t>debido </w:t>
      </w:r>
      <w:r>
        <w:rPr>
          <w:color w:val="231F20"/>
        </w:rPr>
        <w:t>a </w:t>
      </w:r>
      <w:r>
        <w:rPr>
          <w:color w:val="231F20"/>
          <w:spacing w:val="2"/>
        </w:rPr>
        <w:t>aspectos </w:t>
      </w:r>
      <w:r>
        <w:rPr>
          <w:color w:val="231F20"/>
        </w:rPr>
        <w:t>de </w:t>
      </w:r>
      <w:r>
        <w:rPr>
          <w:color w:val="231F20"/>
          <w:spacing w:val="2"/>
        </w:rPr>
        <w:t>acceso </w:t>
      </w:r>
      <w:r>
        <w:rPr>
          <w:color w:val="231F20"/>
        </w:rPr>
        <w:t>a la </w:t>
      </w:r>
      <w:r>
        <w:rPr>
          <w:color w:val="231F20"/>
          <w:spacing w:val="3"/>
        </w:rPr>
        <w:t>información </w:t>
      </w:r>
      <w:r>
        <w:rPr>
          <w:color w:val="231F20"/>
        </w:rPr>
        <w:t>de </w:t>
      </w:r>
      <w:r>
        <w:rPr>
          <w:color w:val="231F20"/>
          <w:spacing w:val="2"/>
        </w:rPr>
        <w:t>los estudiantes </w:t>
      </w:r>
      <w:r>
        <w:rPr>
          <w:color w:val="231F20"/>
        </w:rPr>
        <w:t>y a </w:t>
      </w:r>
      <w:r>
        <w:rPr>
          <w:color w:val="231F20"/>
          <w:spacing w:val="2"/>
        </w:rPr>
        <w:t>los </w:t>
      </w:r>
      <w:r>
        <w:rPr>
          <w:color w:val="231F20"/>
          <w:spacing w:val="3"/>
        </w:rPr>
        <w:t>mecanismos </w:t>
      </w:r>
      <w:r>
        <w:rPr>
          <w:color w:val="231F20"/>
          <w:spacing w:val="2"/>
        </w:rPr>
        <w:t>administrativos para contactarlos, quedaron tres divisiones acadé- micas como población objetivo: </w:t>
      </w:r>
      <w:r>
        <w:rPr>
          <w:color w:val="231F20"/>
          <w:spacing w:val="3"/>
        </w:rPr>
        <w:t>DCI, DCS </w:t>
      </w:r>
      <w:r>
        <w:rPr>
          <w:color w:val="231F20"/>
        </w:rPr>
        <w:t>y </w:t>
      </w:r>
      <w:r>
        <w:rPr>
          <w:color w:val="231F20"/>
          <w:spacing w:val="3"/>
        </w:rPr>
        <w:t>DCPH. </w:t>
      </w:r>
      <w:r>
        <w:rPr>
          <w:color w:val="231F20"/>
        </w:rPr>
        <w:t>La </w:t>
      </w:r>
      <w:r>
        <w:rPr>
          <w:color w:val="231F20"/>
          <w:spacing w:val="2"/>
        </w:rPr>
        <w:t>elección  </w:t>
      </w:r>
      <w:r>
        <w:rPr>
          <w:color w:val="231F20"/>
        </w:rPr>
        <w:t>de  </w:t>
      </w:r>
      <w:r>
        <w:rPr>
          <w:color w:val="231F20"/>
          <w:spacing w:val="2"/>
        </w:rPr>
        <w:t>carreras distintas podría permitir </w:t>
      </w:r>
      <w:r>
        <w:rPr>
          <w:color w:val="231F20"/>
        </w:rPr>
        <w:t>la  </w:t>
      </w:r>
      <w:r>
        <w:rPr>
          <w:color w:val="231F20"/>
          <w:spacing w:val="3"/>
        </w:rPr>
        <w:t>comparación </w:t>
      </w:r>
      <w:r>
        <w:rPr>
          <w:color w:val="231F20"/>
          <w:spacing w:val="2"/>
        </w:rPr>
        <w:t>del   </w:t>
      </w:r>
      <w:r>
        <w:rPr>
          <w:color w:val="231F20"/>
          <w:spacing w:val="20"/>
        </w:rPr>
        <w:t> </w:t>
      </w:r>
      <w:r>
        <w:rPr>
          <w:color w:val="231F20"/>
          <w:spacing w:val="3"/>
        </w:rPr>
        <w:t>enfoque</w:t>
      </w:r>
    </w:p>
    <w:p>
      <w:pPr>
        <w:spacing w:after="0" w:line="247" w:lineRule="auto"/>
        <w:jc w:val="both"/>
        <w:sectPr>
          <w:headerReference w:type="default" r:id="rId639"/>
          <w:footerReference w:type="default" r:id="rId640"/>
          <w:pgSz w:w="7830" w:h="11910"/>
          <w:pgMar w:header="0" w:footer="424" w:top="500" w:bottom="620" w:left="880" w:right="900"/>
          <w:pgNumType w:start="285"/>
        </w:sectPr>
      </w:pPr>
    </w:p>
    <w:p>
      <w:pPr>
        <w:spacing w:before="46"/>
        <w:ind w:left="3" w:right="9"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04"/>
      </w:pPr>
      <w:r>
        <w:rPr>
          <w:color w:val="231F20"/>
        </w:rPr>
        <w:t>educativo de las mismas para identificar si existen diferencias entre los estudiantes.</w:t>
      </w:r>
    </w:p>
    <w:p>
      <w:pPr>
        <w:pStyle w:val="BodyText"/>
        <w:spacing w:line="249" w:lineRule="auto" w:before="1"/>
        <w:ind w:left="102" w:right="108" w:firstLine="284"/>
        <w:jc w:val="both"/>
      </w:pPr>
      <w:r>
        <w:rPr>
          <w:color w:val="231F20"/>
        </w:rPr>
        <w:t>Respecto a la importancia de las respuestas esperadas por cada división académica y el volumen de estudiantes que cada una alber- ga, los investigadores responsables determinaron realizar un mues- treo aleatorio sin reemplazo proporcional al tamaño (número de estudiantes adscritos) de cada división. La siguiente  tabla  muestra los 270 estudiantes en la muestra final.</w:t>
      </w:r>
    </w:p>
    <w:p>
      <w:pPr>
        <w:pStyle w:val="BodyText"/>
        <w:rPr>
          <w:sz w:val="22"/>
        </w:rPr>
      </w:pPr>
    </w:p>
    <w:p>
      <w:pPr>
        <w:pStyle w:val="BodyText"/>
        <w:spacing w:before="10"/>
        <w:rPr>
          <w:sz w:val="22"/>
        </w:rPr>
      </w:pPr>
    </w:p>
    <w:p>
      <w:pPr>
        <w:tabs>
          <w:tab w:pos="1599" w:val="left" w:leader="none"/>
          <w:tab w:pos="5126" w:val="left" w:leader="none"/>
        </w:tabs>
        <w:spacing w:before="0" w:after="59"/>
        <w:ind w:left="0" w:right="9" w:firstLine="0"/>
        <w:jc w:val="center"/>
        <w:rPr>
          <w:b/>
          <w:sz w:val="19"/>
        </w:rPr>
      </w:pPr>
      <w:r>
        <w:rPr>
          <w:b/>
          <w:color w:val="231F20"/>
          <w:w w:val="103"/>
          <w:sz w:val="19"/>
          <w:u w:val="thick" w:color="231F20"/>
        </w:rPr>
        <w:t> </w:t>
      </w:r>
      <w:r>
        <w:rPr>
          <w:b/>
          <w:color w:val="231F20"/>
          <w:sz w:val="19"/>
          <w:u w:val="thick" w:color="231F20"/>
        </w:rPr>
        <w:tab/>
        <w:t>Tabla 1. Muestra</w:t>
      </w:r>
      <w:r>
        <w:rPr>
          <w:b/>
          <w:color w:val="231F20"/>
          <w:spacing w:val="39"/>
          <w:sz w:val="19"/>
          <w:u w:val="thick" w:color="231F20"/>
        </w:rPr>
        <w:t> </w:t>
      </w:r>
      <w:r>
        <w:rPr>
          <w:b/>
          <w:color w:val="231F20"/>
          <w:sz w:val="19"/>
          <w:u w:val="thick" w:color="231F20"/>
        </w:rPr>
        <w:t>empírica</w:t>
        <w:tab/>
      </w:r>
    </w:p>
    <w:tbl>
      <w:tblPr>
        <w:tblW w:w="0" w:type="auto"/>
        <w:jc w:val="left"/>
        <w:tblInd w:w="44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04"/>
        <w:gridCol w:w="1922"/>
      </w:tblGrid>
      <w:tr>
        <w:trPr>
          <w:trHeight w:val="342" w:hRule="exact"/>
        </w:trPr>
        <w:tc>
          <w:tcPr>
            <w:tcW w:w="3204" w:type="dxa"/>
            <w:tcBorders>
              <w:bottom w:val="single" w:sz="12" w:space="0" w:color="231F20"/>
            </w:tcBorders>
          </w:tcPr>
          <w:p>
            <w:pPr>
              <w:pStyle w:val="TableParagraph"/>
              <w:spacing w:before="77"/>
              <w:ind w:left="105"/>
              <w:rPr>
                <w:b/>
                <w:sz w:val="17"/>
              </w:rPr>
            </w:pPr>
            <w:r>
              <w:rPr>
                <w:b/>
                <w:color w:val="231F20"/>
                <w:w w:val="105"/>
                <w:sz w:val="17"/>
              </w:rPr>
              <w:t>División</w:t>
            </w:r>
          </w:p>
        </w:tc>
        <w:tc>
          <w:tcPr>
            <w:tcW w:w="1922" w:type="dxa"/>
            <w:tcBorders>
              <w:bottom w:val="single" w:sz="12" w:space="0" w:color="231F20"/>
            </w:tcBorders>
          </w:tcPr>
          <w:p>
            <w:pPr>
              <w:pStyle w:val="TableParagraph"/>
              <w:spacing w:before="77"/>
              <w:ind w:left="189"/>
              <w:rPr>
                <w:b/>
                <w:sz w:val="17"/>
              </w:rPr>
            </w:pPr>
            <w:r>
              <w:rPr>
                <w:b/>
                <w:color w:val="231F20"/>
                <w:w w:val="105"/>
                <w:sz w:val="17"/>
              </w:rPr>
              <w:t>Alumnos en muestra</w:t>
            </w:r>
          </w:p>
        </w:tc>
      </w:tr>
      <w:tr>
        <w:trPr>
          <w:trHeight w:val="402" w:hRule="exact"/>
        </w:trPr>
        <w:tc>
          <w:tcPr>
            <w:tcW w:w="3204" w:type="dxa"/>
            <w:tcBorders>
              <w:top w:val="single" w:sz="12" w:space="0" w:color="231F20"/>
            </w:tcBorders>
          </w:tcPr>
          <w:p>
            <w:pPr>
              <w:pStyle w:val="TableParagraph"/>
              <w:spacing w:before="100"/>
              <w:ind w:left="105"/>
              <w:rPr>
                <w:sz w:val="17"/>
              </w:rPr>
            </w:pPr>
            <w:r>
              <w:rPr>
                <w:color w:val="231F20"/>
                <w:sz w:val="17"/>
              </w:rPr>
              <w:t>Ciencia Políticas y Humanidades (DCPH)</w:t>
            </w:r>
          </w:p>
        </w:tc>
        <w:tc>
          <w:tcPr>
            <w:tcW w:w="1922" w:type="dxa"/>
            <w:tcBorders>
              <w:top w:val="single" w:sz="12" w:space="0" w:color="231F20"/>
            </w:tcBorders>
          </w:tcPr>
          <w:p>
            <w:pPr>
              <w:pStyle w:val="TableParagraph"/>
              <w:spacing w:before="100"/>
              <w:ind w:left="473"/>
              <w:rPr>
                <w:sz w:val="17"/>
              </w:rPr>
            </w:pPr>
            <w:r>
              <w:rPr>
                <w:color w:val="231F20"/>
                <w:sz w:val="17"/>
              </w:rPr>
              <w:t>91</w:t>
            </w:r>
          </w:p>
        </w:tc>
      </w:tr>
      <w:tr>
        <w:trPr>
          <w:trHeight w:val="350" w:hRule="exact"/>
        </w:trPr>
        <w:tc>
          <w:tcPr>
            <w:tcW w:w="3204" w:type="dxa"/>
          </w:tcPr>
          <w:p>
            <w:pPr>
              <w:pStyle w:val="TableParagraph"/>
              <w:spacing w:before="63"/>
              <w:ind w:left="105"/>
              <w:rPr>
                <w:sz w:val="17"/>
              </w:rPr>
            </w:pPr>
            <w:r>
              <w:rPr>
                <w:color w:val="231F20"/>
                <w:sz w:val="17"/>
              </w:rPr>
              <w:t>Ciencias de la Salud (DCS)</w:t>
            </w:r>
          </w:p>
        </w:tc>
        <w:tc>
          <w:tcPr>
            <w:tcW w:w="1922" w:type="dxa"/>
          </w:tcPr>
          <w:p>
            <w:pPr>
              <w:pStyle w:val="TableParagraph"/>
              <w:spacing w:before="63"/>
              <w:ind w:left="473"/>
              <w:rPr>
                <w:sz w:val="17"/>
              </w:rPr>
            </w:pPr>
            <w:r>
              <w:rPr>
                <w:color w:val="231F20"/>
                <w:sz w:val="17"/>
              </w:rPr>
              <w:t>115</w:t>
            </w:r>
          </w:p>
        </w:tc>
      </w:tr>
      <w:tr>
        <w:trPr>
          <w:trHeight w:val="350" w:hRule="exact"/>
        </w:trPr>
        <w:tc>
          <w:tcPr>
            <w:tcW w:w="3204" w:type="dxa"/>
          </w:tcPr>
          <w:p>
            <w:pPr>
              <w:pStyle w:val="TableParagraph"/>
              <w:spacing w:before="63"/>
              <w:ind w:left="105"/>
              <w:rPr>
                <w:sz w:val="17"/>
              </w:rPr>
            </w:pPr>
            <w:r>
              <w:rPr>
                <w:color w:val="231F20"/>
                <w:sz w:val="17"/>
              </w:rPr>
              <w:t>Ciencias e Ingeniería (DCI)</w:t>
            </w:r>
          </w:p>
        </w:tc>
        <w:tc>
          <w:tcPr>
            <w:tcW w:w="1922" w:type="dxa"/>
          </w:tcPr>
          <w:p>
            <w:pPr>
              <w:pStyle w:val="TableParagraph"/>
              <w:spacing w:before="63"/>
              <w:ind w:left="473"/>
              <w:rPr>
                <w:sz w:val="17"/>
              </w:rPr>
            </w:pPr>
            <w:r>
              <w:rPr>
                <w:color w:val="231F20"/>
                <w:sz w:val="17"/>
              </w:rPr>
              <w:t>64</w:t>
            </w:r>
          </w:p>
        </w:tc>
      </w:tr>
      <w:tr>
        <w:trPr>
          <w:trHeight w:val="328" w:hRule="exact"/>
        </w:trPr>
        <w:tc>
          <w:tcPr>
            <w:tcW w:w="3204" w:type="dxa"/>
            <w:tcBorders>
              <w:bottom w:val="single" w:sz="12" w:space="0" w:color="231F20"/>
            </w:tcBorders>
          </w:tcPr>
          <w:p>
            <w:pPr>
              <w:pStyle w:val="TableParagraph"/>
              <w:spacing w:before="63"/>
              <w:ind w:left="105"/>
              <w:rPr>
                <w:b/>
                <w:sz w:val="17"/>
              </w:rPr>
            </w:pPr>
            <w:r>
              <w:rPr>
                <w:b/>
                <w:color w:val="231F20"/>
                <w:w w:val="105"/>
                <w:sz w:val="17"/>
              </w:rPr>
              <w:t>Total</w:t>
            </w:r>
          </w:p>
        </w:tc>
        <w:tc>
          <w:tcPr>
            <w:tcW w:w="1922" w:type="dxa"/>
            <w:tcBorders>
              <w:bottom w:val="single" w:sz="12" w:space="0" w:color="231F20"/>
            </w:tcBorders>
          </w:tcPr>
          <w:p>
            <w:pPr>
              <w:pStyle w:val="TableParagraph"/>
              <w:spacing w:before="63"/>
              <w:ind w:left="473"/>
              <w:rPr>
                <w:b/>
                <w:sz w:val="17"/>
              </w:rPr>
            </w:pPr>
            <w:r>
              <w:rPr>
                <w:b/>
                <w:color w:val="231F20"/>
                <w:sz w:val="17"/>
              </w:rPr>
              <w:t>270</w:t>
            </w:r>
          </w:p>
        </w:tc>
      </w:tr>
    </w:tbl>
    <w:p>
      <w:pPr>
        <w:pStyle w:val="BodyText"/>
        <w:spacing w:before="10"/>
        <w:rPr>
          <w:b/>
          <w:sz w:val="14"/>
        </w:rPr>
      </w:pPr>
    </w:p>
    <w:p>
      <w:pPr>
        <w:pStyle w:val="BodyText"/>
        <w:spacing w:line="249" w:lineRule="auto" w:before="70"/>
        <w:ind w:left="101" w:right="108" w:firstLine="284"/>
        <w:jc w:val="both"/>
      </w:pPr>
      <w:r>
        <w:rPr>
          <w:color w:val="231F20"/>
        </w:rPr>
        <w:t>La </w:t>
      </w:r>
      <w:r>
        <w:rPr>
          <w:color w:val="231F20"/>
          <w:spacing w:val="2"/>
        </w:rPr>
        <w:t>información obtenida </w:t>
      </w:r>
      <w:r>
        <w:rPr>
          <w:color w:val="231F20"/>
        </w:rPr>
        <w:t>en los </w:t>
      </w:r>
      <w:r>
        <w:rPr>
          <w:color w:val="231F20"/>
          <w:spacing w:val="2"/>
        </w:rPr>
        <w:t>siete constructos agrupados dentro </w:t>
      </w:r>
      <w:r>
        <w:rPr>
          <w:color w:val="231F20"/>
        </w:rPr>
        <w:t>de la </w:t>
      </w:r>
      <w:r>
        <w:rPr>
          <w:color w:val="231F20"/>
          <w:spacing w:val="2"/>
        </w:rPr>
        <w:t>encuesta </w:t>
      </w:r>
      <w:r>
        <w:rPr>
          <w:color w:val="231F20"/>
        </w:rPr>
        <w:t>se </w:t>
      </w:r>
      <w:r>
        <w:rPr>
          <w:color w:val="231F20"/>
          <w:spacing w:val="2"/>
        </w:rPr>
        <w:t>digitó </w:t>
      </w:r>
      <w:r>
        <w:rPr>
          <w:color w:val="231F20"/>
        </w:rPr>
        <w:t>en </w:t>
      </w:r>
      <w:r>
        <w:rPr>
          <w:color w:val="231F20"/>
          <w:spacing w:val="2"/>
        </w:rPr>
        <w:t>una base </w:t>
      </w:r>
      <w:r>
        <w:rPr>
          <w:color w:val="231F20"/>
        </w:rPr>
        <w:t>de </w:t>
      </w:r>
      <w:r>
        <w:rPr>
          <w:color w:val="231F20"/>
          <w:spacing w:val="2"/>
        </w:rPr>
        <w:t>datos </w:t>
      </w:r>
      <w:r>
        <w:rPr>
          <w:color w:val="231F20"/>
        </w:rPr>
        <w:t>de </w:t>
      </w:r>
      <w:r>
        <w:rPr>
          <w:color w:val="231F20"/>
          <w:spacing w:val="2"/>
        </w:rPr>
        <w:t>Excel </w:t>
      </w:r>
      <w:r>
        <w:rPr>
          <w:color w:val="231F20"/>
          <w:spacing w:val="4"/>
        </w:rPr>
        <w:t>2009  </w:t>
      </w:r>
      <w:r>
        <w:rPr>
          <w:color w:val="231F20"/>
        </w:rPr>
        <w:t>y se </w:t>
      </w:r>
      <w:r>
        <w:rPr>
          <w:color w:val="231F20"/>
          <w:spacing w:val="2"/>
        </w:rPr>
        <w:t>procesó </w:t>
      </w:r>
      <w:r>
        <w:rPr>
          <w:color w:val="231F20"/>
          <w:spacing w:val="3"/>
        </w:rPr>
        <w:t>mediante </w:t>
      </w:r>
      <w:r>
        <w:rPr>
          <w:color w:val="231F20"/>
        </w:rPr>
        <w:t>el </w:t>
      </w:r>
      <w:r>
        <w:rPr>
          <w:color w:val="231F20"/>
          <w:spacing w:val="3"/>
        </w:rPr>
        <w:t>paquete SPSS </w:t>
      </w:r>
      <w:r>
        <w:rPr>
          <w:color w:val="231F20"/>
          <w:spacing w:val="2"/>
        </w:rPr>
        <w:t>para </w:t>
      </w:r>
      <w:r>
        <w:rPr>
          <w:color w:val="231F20"/>
          <w:spacing w:val="3"/>
        </w:rPr>
        <w:t>Windows. </w:t>
      </w:r>
      <w:r>
        <w:rPr>
          <w:color w:val="231F20"/>
        </w:rPr>
        <w:t>A </w:t>
      </w:r>
      <w:r>
        <w:rPr>
          <w:color w:val="231F20"/>
          <w:spacing w:val="2"/>
        </w:rPr>
        <w:t>conti- nuación, antes </w:t>
      </w:r>
      <w:r>
        <w:rPr>
          <w:color w:val="231F20"/>
        </w:rPr>
        <w:t>de </w:t>
      </w:r>
      <w:r>
        <w:rPr>
          <w:color w:val="231F20"/>
          <w:spacing w:val="3"/>
        </w:rPr>
        <w:t>mostrar </w:t>
      </w:r>
      <w:r>
        <w:rPr>
          <w:color w:val="231F20"/>
          <w:spacing w:val="2"/>
        </w:rPr>
        <w:t>los resultados </w:t>
      </w:r>
      <w:r>
        <w:rPr>
          <w:color w:val="231F20"/>
        </w:rPr>
        <w:t>de la </w:t>
      </w:r>
      <w:r>
        <w:rPr>
          <w:color w:val="231F20"/>
          <w:spacing w:val="2"/>
        </w:rPr>
        <w:t>investigación, </w:t>
      </w:r>
      <w:r>
        <w:rPr>
          <w:color w:val="231F20"/>
        </w:rPr>
        <w:t>es </w:t>
      </w:r>
      <w:r>
        <w:rPr>
          <w:color w:val="231F20"/>
          <w:spacing w:val="3"/>
        </w:rPr>
        <w:t>conveniente compartir someramente </w:t>
      </w:r>
      <w:r>
        <w:rPr>
          <w:color w:val="231F20"/>
          <w:spacing w:val="2"/>
        </w:rPr>
        <w:t>los hallazgos </w:t>
      </w:r>
      <w:r>
        <w:rPr>
          <w:color w:val="231F20"/>
          <w:spacing w:val="3"/>
        </w:rPr>
        <w:t>conceptuales </w:t>
      </w:r>
      <w:r>
        <w:rPr>
          <w:color w:val="231F20"/>
        </w:rPr>
        <w:t>y </w:t>
      </w:r>
      <w:r>
        <w:rPr>
          <w:color w:val="231F20"/>
          <w:spacing w:val="2"/>
        </w:rPr>
        <w:t>teóricos que </w:t>
      </w:r>
      <w:r>
        <w:rPr>
          <w:color w:val="231F20"/>
          <w:spacing w:val="3"/>
        </w:rPr>
        <w:t>enmarcan </w:t>
      </w:r>
      <w:r>
        <w:rPr>
          <w:color w:val="231F20"/>
          <w:spacing w:val="2"/>
        </w:rPr>
        <w:t>referencialmente este</w:t>
      </w:r>
      <w:r>
        <w:rPr>
          <w:color w:val="231F20"/>
          <w:spacing w:val="24"/>
        </w:rPr>
        <w:t> </w:t>
      </w:r>
      <w:r>
        <w:rPr>
          <w:color w:val="231F20"/>
          <w:spacing w:val="2"/>
        </w:rPr>
        <w:t>estudio.</w:t>
      </w:r>
    </w:p>
    <w:p>
      <w:pPr>
        <w:pStyle w:val="BodyText"/>
        <w:spacing w:before="7"/>
      </w:pPr>
    </w:p>
    <w:p>
      <w:pPr>
        <w:pStyle w:val="BodyText"/>
        <w:spacing w:line="247" w:lineRule="auto"/>
        <w:ind w:left="101" w:right="110"/>
        <w:jc w:val="both"/>
      </w:pPr>
      <w:r>
        <w:rPr>
          <w:color w:val="231F20"/>
          <w:w w:val="105"/>
        </w:rPr>
        <w:t>HACIA UN MARCO DE REFERENCIA TEÓRICO- CONCEPTUAL</w:t>
      </w:r>
    </w:p>
    <w:p>
      <w:pPr>
        <w:pStyle w:val="BodyText"/>
        <w:spacing w:before="6"/>
        <w:rPr>
          <w:sz w:val="20"/>
        </w:rPr>
      </w:pPr>
    </w:p>
    <w:p>
      <w:pPr>
        <w:pStyle w:val="BodyText"/>
        <w:spacing w:line="247" w:lineRule="auto"/>
        <w:ind w:left="101" w:right="111"/>
        <w:jc w:val="both"/>
      </w:pPr>
      <w:r>
        <w:rPr>
          <w:color w:val="231F20"/>
        </w:rPr>
        <w:t>¿De dónde viene la violenciay cómo definirla en los estudiantes universitarios?</w:t>
      </w:r>
    </w:p>
    <w:p>
      <w:pPr>
        <w:pStyle w:val="BodyText"/>
        <w:spacing w:before="4"/>
      </w:pPr>
    </w:p>
    <w:p>
      <w:pPr>
        <w:pStyle w:val="BodyText"/>
        <w:spacing w:line="244" w:lineRule="auto"/>
        <w:ind w:left="101" w:right="108"/>
        <w:jc w:val="both"/>
      </w:pPr>
      <w:r>
        <w:rPr>
          <w:color w:val="231F20"/>
        </w:rPr>
        <w:t>Pese a que son muchos los estudios y las teorías que analizan el origen de la conducta violenta no lo hacen de manera concreta en lo que respecta a la violencia manifiesta en el contexto de la educación universitaria; más bien dicho, estos estudios se orientan a la conduc- ta infantil o juvenil. Incluso los estudios encontrados acerca de in- vestigaciones afines a la presente se realizan con 184 estudiantes de Psicología y magisterio, de la especialidad de Educación    Infantil y</w:t>
      </w:r>
    </w:p>
    <w:p>
      <w:pPr>
        <w:spacing w:after="0" w:line="244" w:lineRule="auto"/>
        <w:jc w:val="both"/>
        <w:sectPr>
          <w:headerReference w:type="default" r:id="rId641"/>
          <w:footerReference w:type="default" r:id="rId642"/>
          <w:pgSz w:w="7830" w:h="11910"/>
          <w:pgMar w:header="0" w:footer="424" w:top="500" w:bottom="620" w:left="920" w:right="880"/>
          <w:pgNumType w:start="286"/>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12" w:right="117"/>
        <w:jc w:val="both"/>
      </w:pPr>
      <w:r>
        <w:rPr>
          <w:color w:val="231F20"/>
        </w:rPr>
        <w:t>de Primaria (Gázquez y otras, 2008), o con los 200 estudiantes de Trabajo Social, Enfermería y Politécnica (Larrañaga y otros, 2002) y el caso de estudio a estudiantes de Ciencias de la Salud (Peiró I. Gregory, 2009). No obstante, no se encontraron estudios realizados con diversas disciplinas o distintas áreas del conocimiento como es  el caso de las ingenierías o estudiantes de Lengua Inglesa, Humani- dades, Relaciones Internacionales, Gobierno y Gestión</w:t>
      </w:r>
      <w:r>
        <w:rPr>
          <w:color w:val="231F20"/>
          <w:spacing w:val="22"/>
        </w:rPr>
        <w:t> </w:t>
      </w:r>
      <w:r>
        <w:rPr>
          <w:color w:val="231F20"/>
        </w:rPr>
        <w:t>Pública.</w:t>
      </w:r>
    </w:p>
    <w:p>
      <w:pPr>
        <w:pStyle w:val="BodyText"/>
        <w:spacing w:line="249" w:lineRule="auto" w:before="10"/>
        <w:ind w:left="112" w:right="115" w:firstLine="284"/>
        <w:jc w:val="both"/>
      </w:pPr>
      <w:r>
        <w:rPr>
          <w:color w:val="231F20"/>
        </w:rPr>
        <w:t>En la </w:t>
      </w:r>
      <w:r>
        <w:rPr>
          <w:color w:val="231F20"/>
          <w:spacing w:val="2"/>
        </w:rPr>
        <w:t>búsqueda </w:t>
      </w:r>
      <w:r>
        <w:rPr>
          <w:color w:val="231F20"/>
        </w:rPr>
        <w:t>de </w:t>
      </w:r>
      <w:r>
        <w:rPr>
          <w:color w:val="231F20"/>
          <w:spacing w:val="2"/>
        </w:rPr>
        <w:t>investigaciones similares </w:t>
      </w:r>
      <w:r>
        <w:rPr>
          <w:color w:val="231F20"/>
        </w:rPr>
        <w:t>se </w:t>
      </w:r>
      <w:r>
        <w:rPr>
          <w:color w:val="231F20"/>
          <w:spacing w:val="2"/>
        </w:rPr>
        <w:t>encontró </w:t>
      </w:r>
      <w:r>
        <w:rPr>
          <w:color w:val="231F20"/>
        </w:rPr>
        <w:t>un </w:t>
      </w:r>
      <w:r>
        <w:rPr>
          <w:color w:val="231F20"/>
          <w:spacing w:val="3"/>
        </w:rPr>
        <w:t>es- </w:t>
      </w:r>
      <w:r>
        <w:rPr>
          <w:color w:val="231F20"/>
          <w:spacing w:val="2"/>
        </w:rPr>
        <w:t>tudio sobre violencia </w:t>
      </w:r>
      <w:r>
        <w:rPr>
          <w:color w:val="231F20"/>
        </w:rPr>
        <w:t>en el </w:t>
      </w:r>
      <w:r>
        <w:rPr>
          <w:color w:val="231F20"/>
          <w:spacing w:val="2"/>
        </w:rPr>
        <w:t>ámbito universitario realizado </w:t>
      </w:r>
      <w:r>
        <w:rPr>
          <w:color w:val="231F20"/>
          <w:spacing w:val="4"/>
        </w:rPr>
        <w:t>por </w:t>
      </w:r>
      <w:r>
        <w:rPr>
          <w:color w:val="231F20"/>
          <w:spacing w:val="3"/>
        </w:rPr>
        <w:t>Amórtegui-Osorio </w:t>
      </w:r>
      <w:r>
        <w:rPr>
          <w:color w:val="231F20"/>
          <w:spacing w:val="2"/>
        </w:rPr>
        <w:t>(2005), </w:t>
      </w:r>
      <w:r>
        <w:rPr>
          <w:color w:val="231F20"/>
        </w:rPr>
        <w:t>el </w:t>
      </w:r>
      <w:r>
        <w:rPr>
          <w:color w:val="231F20"/>
          <w:spacing w:val="2"/>
        </w:rPr>
        <w:t>cual </w:t>
      </w:r>
      <w:r>
        <w:rPr>
          <w:color w:val="231F20"/>
        </w:rPr>
        <w:t>se </w:t>
      </w:r>
      <w:r>
        <w:rPr>
          <w:color w:val="231F20"/>
          <w:spacing w:val="2"/>
        </w:rPr>
        <w:t>aplicó </w:t>
      </w:r>
      <w:r>
        <w:rPr>
          <w:color w:val="231F20"/>
        </w:rPr>
        <w:t>a un </w:t>
      </w:r>
      <w:r>
        <w:rPr>
          <w:color w:val="231F20"/>
          <w:spacing w:val="2"/>
        </w:rPr>
        <w:t>total </w:t>
      </w:r>
      <w:r>
        <w:rPr>
          <w:color w:val="231F20"/>
        </w:rPr>
        <w:t>de 496 </w:t>
      </w:r>
      <w:r>
        <w:rPr>
          <w:color w:val="231F20"/>
          <w:spacing w:val="3"/>
        </w:rPr>
        <w:t>estu- </w:t>
      </w:r>
      <w:r>
        <w:rPr>
          <w:color w:val="231F20"/>
          <w:spacing w:val="2"/>
        </w:rPr>
        <w:t>diantes </w:t>
      </w:r>
      <w:r>
        <w:rPr>
          <w:color w:val="231F20"/>
        </w:rPr>
        <w:t>de la </w:t>
      </w:r>
      <w:r>
        <w:rPr>
          <w:color w:val="231F20"/>
          <w:spacing w:val="2"/>
        </w:rPr>
        <w:t>Universidad </w:t>
      </w:r>
      <w:r>
        <w:rPr>
          <w:color w:val="231F20"/>
          <w:spacing w:val="3"/>
        </w:rPr>
        <w:t>Nacional </w:t>
      </w:r>
      <w:r>
        <w:rPr>
          <w:color w:val="231F20"/>
        </w:rPr>
        <w:t>de </w:t>
      </w:r>
      <w:r>
        <w:rPr>
          <w:color w:val="231F20"/>
          <w:spacing w:val="3"/>
        </w:rPr>
        <w:t>Colombia </w:t>
      </w:r>
      <w:r>
        <w:rPr>
          <w:color w:val="231F20"/>
          <w:spacing w:val="2"/>
        </w:rPr>
        <w:t>con </w:t>
      </w:r>
      <w:r>
        <w:rPr>
          <w:color w:val="231F20"/>
        </w:rPr>
        <w:t>el </w:t>
      </w:r>
      <w:r>
        <w:rPr>
          <w:color w:val="231F20"/>
          <w:spacing w:val="3"/>
        </w:rPr>
        <w:t>propósito</w:t>
      </w:r>
      <w:r>
        <w:rPr>
          <w:color w:val="231F20"/>
          <w:spacing w:val="58"/>
        </w:rPr>
        <w:t> </w:t>
      </w:r>
      <w:r>
        <w:rPr>
          <w:color w:val="231F20"/>
        </w:rPr>
        <w:t>de </w:t>
      </w:r>
      <w:r>
        <w:rPr>
          <w:color w:val="231F20"/>
          <w:spacing w:val="2"/>
        </w:rPr>
        <w:t>estimar </w:t>
      </w:r>
      <w:r>
        <w:rPr>
          <w:color w:val="231F20"/>
        </w:rPr>
        <w:t>la </w:t>
      </w:r>
      <w:r>
        <w:rPr>
          <w:color w:val="231F20"/>
          <w:spacing w:val="2"/>
        </w:rPr>
        <w:t>prevalencia </w:t>
      </w:r>
      <w:r>
        <w:rPr>
          <w:color w:val="231F20"/>
        </w:rPr>
        <w:t>de </w:t>
      </w:r>
      <w:r>
        <w:rPr>
          <w:color w:val="231F20"/>
          <w:spacing w:val="2"/>
        </w:rPr>
        <w:t>creencias, </w:t>
      </w:r>
      <w:r>
        <w:rPr>
          <w:color w:val="231F20"/>
          <w:spacing w:val="3"/>
        </w:rPr>
        <w:t>percepciones, </w:t>
      </w:r>
      <w:r>
        <w:rPr>
          <w:color w:val="231F20"/>
          <w:spacing w:val="2"/>
        </w:rPr>
        <w:t>actitudes </w:t>
      </w:r>
      <w:r>
        <w:rPr>
          <w:color w:val="231F20"/>
        </w:rPr>
        <w:t>y </w:t>
      </w:r>
      <w:r>
        <w:rPr>
          <w:color w:val="231F20"/>
          <w:spacing w:val="2"/>
        </w:rPr>
        <w:t>prácticas </w:t>
      </w:r>
      <w:r>
        <w:rPr>
          <w:color w:val="231F20"/>
        </w:rPr>
        <w:t>en su </w:t>
      </w:r>
      <w:r>
        <w:rPr>
          <w:color w:val="231F20"/>
          <w:spacing w:val="2"/>
        </w:rPr>
        <w:t>rol </w:t>
      </w:r>
      <w:r>
        <w:rPr>
          <w:color w:val="231F20"/>
        </w:rPr>
        <w:t>de </w:t>
      </w:r>
      <w:r>
        <w:rPr>
          <w:color w:val="231F20"/>
          <w:spacing w:val="2"/>
        </w:rPr>
        <w:t>testigo </w:t>
      </w:r>
      <w:r>
        <w:rPr>
          <w:color w:val="231F20"/>
        </w:rPr>
        <w:t>y </w:t>
      </w:r>
      <w:r>
        <w:rPr>
          <w:color w:val="231F20"/>
          <w:spacing w:val="2"/>
        </w:rPr>
        <w:t>posible actor </w:t>
      </w:r>
      <w:r>
        <w:rPr>
          <w:color w:val="231F20"/>
        </w:rPr>
        <w:t>de </w:t>
      </w:r>
      <w:r>
        <w:rPr>
          <w:color w:val="231F20"/>
          <w:spacing w:val="2"/>
        </w:rPr>
        <w:t>disturbios </w:t>
      </w:r>
      <w:r>
        <w:rPr>
          <w:color w:val="231F20"/>
        </w:rPr>
        <w:t>en la </w:t>
      </w:r>
      <w:r>
        <w:rPr>
          <w:color w:val="231F20"/>
          <w:spacing w:val="3"/>
        </w:rPr>
        <w:t>comunidad </w:t>
      </w:r>
      <w:r>
        <w:rPr>
          <w:color w:val="231F20"/>
          <w:spacing w:val="2"/>
        </w:rPr>
        <w:t>estudiantil </w:t>
      </w:r>
      <w:r>
        <w:rPr>
          <w:color w:val="231F20"/>
        </w:rPr>
        <w:t>y el </w:t>
      </w:r>
      <w:r>
        <w:rPr>
          <w:color w:val="231F20"/>
          <w:spacing w:val="2"/>
        </w:rPr>
        <w:t>resultado arrojo que </w:t>
      </w:r>
      <w:r>
        <w:rPr>
          <w:color w:val="231F20"/>
        </w:rPr>
        <w:t>el </w:t>
      </w:r>
      <w:r>
        <w:rPr>
          <w:color w:val="231F20"/>
          <w:spacing w:val="2"/>
        </w:rPr>
        <w:t>54.5% </w:t>
      </w:r>
      <w:r>
        <w:rPr>
          <w:color w:val="231F20"/>
        </w:rPr>
        <w:t>de </w:t>
      </w:r>
      <w:r>
        <w:rPr>
          <w:color w:val="231F20"/>
          <w:spacing w:val="3"/>
        </w:rPr>
        <w:t>los </w:t>
      </w:r>
      <w:r>
        <w:rPr>
          <w:color w:val="231F20"/>
          <w:spacing w:val="2"/>
        </w:rPr>
        <w:t>estudiantes </w:t>
      </w:r>
      <w:r>
        <w:rPr>
          <w:color w:val="231F20"/>
          <w:spacing w:val="3"/>
        </w:rPr>
        <w:t>encuestados </w:t>
      </w:r>
      <w:r>
        <w:rPr>
          <w:color w:val="231F20"/>
        </w:rPr>
        <w:t>no </w:t>
      </w:r>
      <w:r>
        <w:rPr>
          <w:color w:val="231F20"/>
          <w:spacing w:val="2"/>
        </w:rPr>
        <w:t>eran agresores; </w:t>
      </w:r>
      <w:r>
        <w:rPr>
          <w:color w:val="231F20"/>
        </w:rPr>
        <w:t>aun así </w:t>
      </w:r>
      <w:r>
        <w:rPr>
          <w:color w:val="231F20"/>
          <w:spacing w:val="2"/>
        </w:rPr>
        <w:t>resulta </w:t>
      </w:r>
      <w:r>
        <w:rPr>
          <w:color w:val="231F20"/>
          <w:spacing w:val="3"/>
        </w:rPr>
        <w:t>alarman- </w:t>
      </w:r>
      <w:r>
        <w:rPr>
          <w:color w:val="231F20"/>
        </w:rPr>
        <w:t>te el </w:t>
      </w:r>
      <w:r>
        <w:rPr>
          <w:color w:val="231F20"/>
          <w:spacing w:val="2"/>
        </w:rPr>
        <w:t>44.5 por ciento restante </w:t>
      </w:r>
      <w:r>
        <w:rPr>
          <w:color w:val="231F20"/>
        </w:rPr>
        <w:t>se le </w:t>
      </w:r>
      <w:r>
        <w:rPr>
          <w:color w:val="231F20"/>
          <w:spacing w:val="2"/>
        </w:rPr>
        <w:t>clasifique </w:t>
      </w:r>
      <w:r>
        <w:rPr>
          <w:color w:val="231F20"/>
        </w:rPr>
        <w:t>en </w:t>
      </w:r>
      <w:r>
        <w:rPr>
          <w:color w:val="231F20"/>
          <w:spacing w:val="2"/>
        </w:rPr>
        <w:t>agresor </w:t>
      </w:r>
      <w:r>
        <w:rPr>
          <w:color w:val="231F20"/>
        </w:rPr>
        <w:t>I y</w:t>
      </w:r>
      <w:r>
        <w:rPr>
          <w:color w:val="231F20"/>
          <w:spacing w:val="50"/>
        </w:rPr>
        <w:t> </w:t>
      </w:r>
      <w:r>
        <w:rPr>
          <w:color w:val="231F20"/>
        </w:rPr>
        <w:t>II.</w:t>
      </w:r>
    </w:p>
    <w:p>
      <w:pPr>
        <w:pStyle w:val="BodyText"/>
        <w:spacing w:line="249" w:lineRule="auto"/>
        <w:ind w:left="113" w:right="117" w:firstLine="284"/>
        <w:jc w:val="both"/>
      </w:pPr>
      <w:r>
        <w:rPr>
          <w:color w:val="231F20"/>
        </w:rPr>
        <w:t>Al parecer este tema de estudio ha sido más investigado desde un enfoque de género y desde la perspectiva de la salud pública. Por ejemplo, Burguésy otras (2006) presentaron los resultados de una investigación sobre violencia de género a partir de una investigación similar realizada por Strauss (2004) en 31 universidades de 16 países diferentes donde se analizó la violencia entre los y las jóvenes en sus relaciones personales, concretamente de pareja con una duración mínima de un mes de noviazgo. Tanto en la investigación de Burger como de Strauss se concluyó que la aceptación de la violencia supera los estereotipos culturales, las clases sociales y que no se supera con una mayor formación académica, lo cual lleva a preguntarse hasta dónde estriba el papel de la institución universitaria para prever un mejor cuidado y respeto entre los y las jóvenes universitarias.</w:t>
      </w:r>
    </w:p>
    <w:p>
      <w:pPr>
        <w:pStyle w:val="BodyText"/>
        <w:spacing w:line="249" w:lineRule="auto"/>
        <w:ind w:left="113" w:right="116" w:firstLine="284"/>
        <w:jc w:val="both"/>
      </w:pPr>
      <w:r>
        <w:rPr>
          <w:color w:val="231F20"/>
        </w:rPr>
        <w:t>En</w:t>
      </w:r>
      <w:r>
        <w:rPr>
          <w:color w:val="231F20"/>
          <w:spacing w:val="-14"/>
        </w:rPr>
        <w:t> </w:t>
      </w:r>
      <w:r>
        <w:rPr>
          <w:color w:val="231F20"/>
        </w:rPr>
        <w:t>México,</w:t>
      </w:r>
      <w:r>
        <w:rPr>
          <w:color w:val="231F20"/>
          <w:spacing w:val="-15"/>
        </w:rPr>
        <w:t> </w:t>
      </w:r>
      <w:r>
        <w:rPr>
          <w:color w:val="231F20"/>
        </w:rPr>
        <w:t>Sánchez</w:t>
      </w:r>
      <w:r>
        <w:rPr>
          <w:color w:val="231F20"/>
          <w:spacing w:val="-14"/>
        </w:rPr>
        <w:t> </w:t>
      </w:r>
      <w:r>
        <w:rPr>
          <w:color w:val="231F20"/>
        </w:rPr>
        <w:t>y</w:t>
      </w:r>
      <w:r>
        <w:rPr>
          <w:color w:val="231F20"/>
          <w:spacing w:val="-14"/>
        </w:rPr>
        <w:t> </w:t>
      </w:r>
      <w:r>
        <w:rPr>
          <w:color w:val="231F20"/>
        </w:rPr>
        <w:t>Solís</w:t>
      </w:r>
      <w:r>
        <w:rPr>
          <w:color w:val="231F20"/>
          <w:spacing w:val="-14"/>
        </w:rPr>
        <w:t> </w:t>
      </w:r>
      <w:r>
        <w:rPr>
          <w:color w:val="231F20"/>
        </w:rPr>
        <w:t>(2010)</w:t>
      </w:r>
      <w:r>
        <w:rPr>
          <w:color w:val="231F20"/>
          <w:spacing w:val="-15"/>
        </w:rPr>
        <w:t> </w:t>
      </w:r>
      <w:r>
        <w:rPr>
          <w:color w:val="231F20"/>
        </w:rPr>
        <w:t>presentaron</w:t>
      </w:r>
      <w:r>
        <w:rPr>
          <w:color w:val="231F20"/>
          <w:spacing w:val="-14"/>
        </w:rPr>
        <w:t> </w:t>
      </w:r>
      <w:r>
        <w:rPr>
          <w:color w:val="231F20"/>
        </w:rPr>
        <w:t>los</w:t>
      </w:r>
      <w:r>
        <w:rPr>
          <w:color w:val="231F20"/>
          <w:spacing w:val="-14"/>
        </w:rPr>
        <w:t> </w:t>
      </w:r>
      <w:r>
        <w:rPr>
          <w:color w:val="231F20"/>
        </w:rPr>
        <w:t>hallazgos</w:t>
      </w:r>
      <w:r>
        <w:rPr>
          <w:color w:val="231F20"/>
          <w:spacing w:val="-14"/>
        </w:rPr>
        <w:t> </w:t>
      </w:r>
      <w:r>
        <w:rPr>
          <w:color w:val="231F20"/>
        </w:rPr>
        <w:t>de</w:t>
      </w:r>
      <w:r>
        <w:rPr>
          <w:color w:val="231F20"/>
          <w:spacing w:val="-14"/>
        </w:rPr>
        <w:t> </w:t>
      </w:r>
      <w:r>
        <w:rPr>
          <w:color w:val="231F20"/>
        </w:rPr>
        <w:t>su investigación</w:t>
      </w:r>
      <w:r>
        <w:rPr>
          <w:color w:val="231F20"/>
          <w:spacing w:val="-9"/>
        </w:rPr>
        <w:t> </w:t>
      </w:r>
      <w:r>
        <w:rPr>
          <w:color w:val="231F20"/>
        </w:rPr>
        <w:t>con</w:t>
      </w:r>
      <w:r>
        <w:rPr>
          <w:color w:val="231F20"/>
          <w:spacing w:val="-9"/>
        </w:rPr>
        <w:t> </w:t>
      </w:r>
      <w:r>
        <w:rPr>
          <w:color w:val="231F20"/>
        </w:rPr>
        <w:t>918</w:t>
      </w:r>
      <w:r>
        <w:rPr>
          <w:color w:val="231F20"/>
          <w:spacing w:val="-9"/>
        </w:rPr>
        <w:t> </w:t>
      </w:r>
      <w:r>
        <w:rPr>
          <w:color w:val="231F20"/>
        </w:rPr>
        <w:t>estudiantes</w:t>
      </w:r>
      <w:r>
        <w:rPr>
          <w:color w:val="231F20"/>
          <w:spacing w:val="-9"/>
        </w:rPr>
        <w:t> </w:t>
      </w:r>
      <w:r>
        <w:rPr>
          <w:color w:val="231F20"/>
        </w:rPr>
        <w:t>universitarios;</w:t>
      </w:r>
      <w:r>
        <w:rPr>
          <w:color w:val="231F20"/>
          <w:spacing w:val="-9"/>
        </w:rPr>
        <w:t> </w:t>
      </w:r>
      <w:r>
        <w:rPr>
          <w:color w:val="231F20"/>
        </w:rPr>
        <w:t>las</w:t>
      </w:r>
      <w:r>
        <w:rPr>
          <w:color w:val="231F20"/>
          <w:spacing w:val="-9"/>
        </w:rPr>
        <w:t> </w:t>
      </w:r>
      <w:r>
        <w:rPr>
          <w:color w:val="231F20"/>
        </w:rPr>
        <w:t>huellas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vio- lencia en el noviazgo en la FES Acatlán. El objetivo fue distinguir la percepción</w:t>
      </w:r>
      <w:r>
        <w:rPr>
          <w:color w:val="231F20"/>
          <w:spacing w:val="-14"/>
        </w:rPr>
        <w:t> </w:t>
      </w:r>
      <w:r>
        <w:rPr>
          <w:color w:val="231F20"/>
        </w:rPr>
        <w:t>y</w:t>
      </w:r>
      <w:r>
        <w:rPr>
          <w:color w:val="231F20"/>
          <w:spacing w:val="-14"/>
        </w:rPr>
        <w:t> </w:t>
      </w:r>
      <w:r>
        <w:rPr>
          <w:color w:val="231F20"/>
        </w:rPr>
        <w:t>vivencia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violencia</w:t>
      </w:r>
      <w:r>
        <w:rPr>
          <w:color w:val="231F20"/>
          <w:spacing w:val="-14"/>
        </w:rPr>
        <w:t> </w:t>
      </w:r>
      <w:r>
        <w:rPr>
          <w:color w:val="231F20"/>
        </w:rPr>
        <w:t>en</w:t>
      </w:r>
      <w:r>
        <w:rPr>
          <w:color w:val="231F20"/>
          <w:spacing w:val="-14"/>
        </w:rPr>
        <w:t> </w:t>
      </w:r>
      <w:r>
        <w:rPr>
          <w:color w:val="231F20"/>
        </w:rPr>
        <w:t>el</w:t>
      </w:r>
      <w:r>
        <w:rPr>
          <w:color w:val="231F20"/>
          <w:spacing w:val="-15"/>
        </w:rPr>
        <w:t> </w:t>
      </w:r>
      <w:r>
        <w:rPr>
          <w:color w:val="231F20"/>
        </w:rPr>
        <w:t>noviazgo</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estudiantes y su trascendencia en sus trayectorias escolares. Entre sus conclusio- nes encontraron que el ejercicio de la violencia en el noviazgo es una práctica que escasamente reconocen los estudiantes en tanto ellos mismos</w:t>
      </w:r>
      <w:r>
        <w:rPr>
          <w:color w:val="231F20"/>
          <w:spacing w:val="-5"/>
        </w:rPr>
        <w:t> </w:t>
      </w:r>
      <w:r>
        <w:rPr>
          <w:color w:val="231F20"/>
        </w:rPr>
        <w:t>la</w:t>
      </w:r>
      <w:r>
        <w:rPr>
          <w:color w:val="231F20"/>
          <w:spacing w:val="-5"/>
        </w:rPr>
        <w:t> </w:t>
      </w:r>
      <w:r>
        <w:rPr>
          <w:color w:val="231F20"/>
        </w:rPr>
        <w:t>asocian</w:t>
      </w:r>
      <w:r>
        <w:rPr>
          <w:color w:val="231F20"/>
          <w:spacing w:val="-4"/>
        </w:rPr>
        <w:t> </w:t>
      </w:r>
      <w:r>
        <w:rPr>
          <w:color w:val="231F20"/>
        </w:rPr>
        <w:t>con</w:t>
      </w:r>
      <w:r>
        <w:rPr>
          <w:color w:val="231F20"/>
          <w:spacing w:val="-4"/>
        </w:rPr>
        <w:t> </w:t>
      </w:r>
      <w:r>
        <w:rPr>
          <w:color w:val="231F20"/>
        </w:rPr>
        <w:t>la</w:t>
      </w:r>
      <w:r>
        <w:rPr>
          <w:color w:val="231F20"/>
          <w:spacing w:val="-5"/>
        </w:rPr>
        <w:t> </w:t>
      </w:r>
      <w:r>
        <w:rPr>
          <w:color w:val="231F20"/>
        </w:rPr>
        <w:t>expresión</w:t>
      </w:r>
      <w:r>
        <w:rPr>
          <w:color w:val="231F20"/>
          <w:spacing w:val="-4"/>
        </w:rPr>
        <w:t> </w:t>
      </w:r>
      <w:r>
        <w:rPr>
          <w:color w:val="231F20"/>
        </w:rPr>
        <w:t>física.</w:t>
      </w:r>
      <w:r>
        <w:rPr>
          <w:color w:val="231F20"/>
          <w:spacing w:val="-5"/>
        </w:rPr>
        <w:t> </w:t>
      </w:r>
      <w:r>
        <w:rPr>
          <w:color w:val="231F20"/>
        </w:rPr>
        <w:t>Corroboraron</w:t>
      </w:r>
      <w:r>
        <w:rPr>
          <w:color w:val="231F20"/>
          <w:spacing w:val="-4"/>
        </w:rPr>
        <w:t> </w:t>
      </w:r>
      <w:r>
        <w:rPr>
          <w:color w:val="231F20"/>
        </w:rPr>
        <w:t>que</w:t>
      </w:r>
      <w:r>
        <w:rPr>
          <w:color w:val="231F20"/>
          <w:spacing w:val="-5"/>
        </w:rPr>
        <w:t> </w:t>
      </w:r>
      <w:r>
        <w:rPr>
          <w:color w:val="231F20"/>
        </w:rPr>
        <w:t>existe</w:t>
      </w:r>
      <w:r>
        <w:rPr>
          <w:color w:val="231F20"/>
          <w:spacing w:val="-5"/>
        </w:rPr>
        <w:t> </w:t>
      </w:r>
      <w:r>
        <w:rPr>
          <w:color w:val="231F20"/>
        </w:rPr>
        <w:t>la violencia</w:t>
      </w:r>
      <w:r>
        <w:rPr>
          <w:color w:val="231F20"/>
          <w:spacing w:val="-15"/>
        </w:rPr>
        <w:t> </w:t>
      </w:r>
      <w:r>
        <w:rPr>
          <w:color w:val="231F20"/>
        </w:rPr>
        <w:t>psicológica,</w:t>
      </w:r>
      <w:r>
        <w:rPr>
          <w:color w:val="231F20"/>
          <w:spacing w:val="-16"/>
        </w:rPr>
        <w:t> </w:t>
      </w:r>
      <w:r>
        <w:rPr>
          <w:color w:val="231F20"/>
        </w:rPr>
        <w:t>la</w:t>
      </w:r>
      <w:r>
        <w:rPr>
          <w:color w:val="231F20"/>
          <w:spacing w:val="-15"/>
        </w:rPr>
        <w:t> </w:t>
      </w:r>
      <w:r>
        <w:rPr>
          <w:color w:val="231F20"/>
        </w:rPr>
        <w:t>cual</w:t>
      </w:r>
      <w:r>
        <w:rPr>
          <w:color w:val="231F20"/>
          <w:spacing w:val="-16"/>
        </w:rPr>
        <w:t> </w:t>
      </w:r>
      <w:r>
        <w:rPr>
          <w:color w:val="231F20"/>
        </w:rPr>
        <w:t>deja</w:t>
      </w:r>
      <w:r>
        <w:rPr>
          <w:color w:val="231F20"/>
          <w:spacing w:val="-15"/>
        </w:rPr>
        <w:t> </w:t>
      </w:r>
      <w:r>
        <w:rPr>
          <w:color w:val="231F20"/>
        </w:rPr>
        <w:t>una</w:t>
      </w:r>
      <w:r>
        <w:rPr>
          <w:color w:val="231F20"/>
          <w:spacing w:val="-15"/>
        </w:rPr>
        <w:t> </w:t>
      </w:r>
      <w:r>
        <w:rPr>
          <w:color w:val="231F20"/>
        </w:rPr>
        <w:t>huella</w:t>
      </w:r>
      <w:r>
        <w:rPr>
          <w:color w:val="231F20"/>
          <w:spacing w:val="-15"/>
        </w:rPr>
        <w:t> </w:t>
      </w:r>
      <w:r>
        <w:rPr>
          <w:color w:val="231F20"/>
        </w:rPr>
        <w:t>mucho</w:t>
      </w:r>
      <w:r>
        <w:rPr>
          <w:color w:val="231F20"/>
          <w:spacing w:val="-15"/>
        </w:rPr>
        <w:t> </w:t>
      </w:r>
      <w:r>
        <w:rPr>
          <w:color w:val="231F20"/>
        </w:rPr>
        <w:t>más</w:t>
      </w:r>
      <w:r>
        <w:rPr>
          <w:color w:val="231F20"/>
          <w:spacing w:val="-16"/>
        </w:rPr>
        <w:t> </w:t>
      </w:r>
      <w:r>
        <w:rPr>
          <w:color w:val="231F20"/>
        </w:rPr>
        <w:t>profunda</w:t>
      </w:r>
      <w:r>
        <w:rPr>
          <w:color w:val="231F20"/>
          <w:spacing w:val="-15"/>
        </w:rPr>
        <w:t> </w:t>
      </w:r>
      <w:r>
        <w:rPr>
          <w:color w:val="231F20"/>
        </w:rPr>
        <w:t>por</w:t>
      </w:r>
    </w:p>
    <w:p>
      <w:pPr>
        <w:spacing w:after="0" w:line="249" w:lineRule="auto"/>
        <w:jc w:val="both"/>
        <w:sectPr>
          <w:headerReference w:type="default" r:id="rId643"/>
          <w:footerReference w:type="default" r:id="rId644"/>
          <w:pgSz w:w="7830" w:h="11910"/>
          <w:pgMar w:header="0" w:footer="424" w:top="500" w:bottom="620" w:left="880" w:right="900"/>
          <w:pgNumType w:start="287"/>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30"/>
      </w:pPr>
      <w:r>
        <w:rPr>
          <w:color w:val="231F20"/>
        </w:rPr>
        <w:t>las emociones, afectos, seguridades, lo cual impacta inadecuadamente en sus trayectorias escolares.</w:t>
      </w:r>
    </w:p>
    <w:p>
      <w:pPr>
        <w:pStyle w:val="BodyText"/>
        <w:spacing w:line="249" w:lineRule="auto" w:before="1"/>
        <w:ind w:left="102" w:right="105" w:firstLine="284"/>
        <w:jc w:val="both"/>
      </w:pPr>
      <w:r>
        <w:rPr>
          <w:color w:val="231F20"/>
          <w:spacing w:val="2"/>
        </w:rPr>
        <w:t>Resulta cierto </w:t>
      </w:r>
      <w:r>
        <w:rPr>
          <w:color w:val="231F20"/>
        </w:rPr>
        <w:t>que </w:t>
      </w:r>
      <w:r>
        <w:rPr>
          <w:color w:val="231F20"/>
          <w:spacing w:val="2"/>
        </w:rPr>
        <w:t>desde </w:t>
      </w:r>
      <w:r>
        <w:rPr>
          <w:color w:val="231F20"/>
        </w:rPr>
        <w:t>las </w:t>
      </w:r>
      <w:r>
        <w:rPr>
          <w:color w:val="231F20"/>
          <w:spacing w:val="2"/>
        </w:rPr>
        <w:t>iniciales relaciones entre los </w:t>
      </w:r>
      <w:r>
        <w:rPr>
          <w:color w:val="231F20"/>
          <w:spacing w:val="3"/>
        </w:rPr>
        <w:t>seres humanos </w:t>
      </w:r>
      <w:r>
        <w:rPr>
          <w:color w:val="231F20"/>
        </w:rPr>
        <w:t>y de </w:t>
      </w:r>
      <w:r>
        <w:rPr>
          <w:color w:val="231F20"/>
          <w:spacing w:val="2"/>
        </w:rPr>
        <w:t>estos con </w:t>
      </w:r>
      <w:r>
        <w:rPr>
          <w:color w:val="231F20"/>
        </w:rPr>
        <w:t>su </w:t>
      </w:r>
      <w:r>
        <w:rPr>
          <w:color w:val="231F20"/>
          <w:spacing w:val="2"/>
        </w:rPr>
        <w:t>medio </w:t>
      </w:r>
      <w:r>
        <w:rPr>
          <w:color w:val="231F20"/>
          <w:spacing w:val="3"/>
        </w:rPr>
        <w:t>ambiente </w:t>
      </w:r>
      <w:r>
        <w:rPr>
          <w:color w:val="231F20"/>
        </w:rPr>
        <w:t>se </w:t>
      </w:r>
      <w:r>
        <w:rPr>
          <w:color w:val="231F20"/>
          <w:spacing w:val="2"/>
        </w:rPr>
        <w:t>han registrado </w:t>
      </w:r>
      <w:r>
        <w:rPr>
          <w:color w:val="231F20"/>
        </w:rPr>
        <w:t>ac- </w:t>
      </w:r>
      <w:r>
        <w:rPr>
          <w:color w:val="231F20"/>
          <w:spacing w:val="2"/>
        </w:rPr>
        <w:t>tos violentos. </w:t>
      </w:r>
      <w:r>
        <w:rPr>
          <w:color w:val="231F20"/>
        </w:rPr>
        <w:t>Es un </w:t>
      </w:r>
      <w:r>
        <w:rPr>
          <w:color w:val="231F20"/>
          <w:spacing w:val="2"/>
        </w:rPr>
        <w:t>elemento que </w:t>
      </w:r>
      <w:r>
        <w:rPr>
          <w:color w:val="231F20"/>
          <w:spacing w:val="3"/>
        </w:rPr>
        <w:t>forma </w:t>
      </w:r>
      <w:r>
        <w:rPr>
          <w:color w:val="231F20"/>
          <w:spacing w:val="2"/>
        </w:rPr>
        <w:t>parte </w:t>
      </w:r>
      <w:r>
        <w:rPr>
          <w:color w:val="231F20"/>
        </w:rPr>
        <w:t>de  las  </w:t>
      </w:r>
      <w:r>
        <w:rPr>
          <w:color w:val="231F20"/>
          <w:spacing w:val="3"/>
        </w:rPr>
        <w:t>estructuras</w:t>
      </w:r>
      <w:r>
        <w:rPr>
          <w:color w:val="231F20"/>
          <w:spacing w:val="58"/>
        </w:rPr>
        <w:t> </w:t>
      </w:r>
      <w:r>
        <w:rPr>
          <w:color w:val="231F20"/>
        </w:rPr>
        <w:t>de </w:t>
      </w:r>
      <w:r>
        <w:rPr>
          <w:color w:val="231F20"/>
          <w:spacing w:val="3"/>
        </w:rPr>
        <w:t>poder históricamente </w:t>
      </w:r>
      <w:r>
        <w:rPr>
          <w:color w:val="231F20"/>
          <w:spacing w:val="2"/>
        </w:rPr>
        <w:t>desiguales </w:t>
      </w:r>
      <w:r>
        <w:rPr>
          <w:color w:val="231F20"/>
        </w:rPr>
        <w:t>y </w:t>
      </w:r>
      <w:r>
        <w:rPr>
          <w:color w:val="231F20"/>
          <w:spacing w:val="3"/>
        </w:rPr>
        <w:t>puede </w:t>
      </w:r>
      <w:r>
        <w:rPr>
          <w:color w:val="231F20"/>
          <w:spacing w:val="2"/>
        </w:rPr>
        <w:t>constituirse </w:t>
      </w:r>
      <w:r>
        <w:rPr>
          <w:color w:val="231F20"/>
          <w:spacing w:val="3"/>
        </w:rPr>
        <w:t>como </w:t>
      </w:r>
      <w:r>
        <w:rPr>
          <w:color w:val="231F20"/>
        </w:rPr>
        <w:t>un </w:t>
      </w:r>
      <w:r>
        <w:rPr>
          <w:color w:val="231F20"/>
          <w:spacing w:val="2"/>
        </w:rPr>
        <w:t>elemento que limita </w:t>
      </w:r>
      <w:r>
        <w:rPr>
          <w:color w:val="231F20"/>
        </w:rPr>
        <w:t>a </w:t>
      </w:r>
      <w:r>
        <w:rPr>
          <w:color w:val="231F20"/>
          <w:spacing w:val="2"/>
        </w:rPr>
        <w:t>alcanzar </w:t>
      </w:r>
      <w:r>
        <w:rPr>
          <w:color w:val="231F20"/>
        </w:rPr>
        <w:t>la </w:t>
      </w:r>
      <w:r>
        <w:rPr>
          <w:color w:val="231F20"/>
          <w:spacing w:val="3"/>
        </w:rPr>
        <w:t>equidad, </w:t>
      </w:r>
      <w:r>
        <w:rPr>
          <w:color w:val="231F20"/>
        </w:rPr>
        <w:t>el </w:t>
      </w:r>
      <w:r>
        <w:rPr>
          <w:color w:val="231F20"/>
          <w:spacing w:val="2"/>
        </w:rPr>
        <w:t>desarrollo </w:t>
      </w:r>
      <w:r>
        <w:rPr>
          <w:color w:val="231F20"/>
        </w:rPr>
        <w:t>y la </w:t>
      </w:r>
      <w:r>
        <w:rPr>
          <w:color w:val="231F20"/>
          <w:spacing w:val="3"/>
        </w:rPr>
        <w:t>paz. </w:t>
      </w:r>
      <w:r>
        <w:rPr>
          <w:color w:val="231F20"/>
          <w:spacing w:val="2"/>
        </w:rPr>
        <w:t>Esta relación desequilibrada está caracterizada por situaciones </w:t>
      </w:r>
      <w:r>
        <w:rPr>
          <w:color w:val="231F20"/>
        </w:rPr>
        <w:t>de </w:t>
      </w:r>
      <w:r>
        <w:rPr>
          <w:color w:val="231F20"/>
          <w:spacing w:val="3"/>
        </w:rPr>
        <w:t>control </w:t>
      </w:r>
      <w:r>
        <w:rPr>
          <w:color w:val="231F20"/>
        </w:rPr>
        <w:t>y </w:t>
      </w:r>
      <w:r>
        <w:rPr>
          <w:color w:val="231F20"/>
          <w:spacing w:val="3"/>
        </w:rPr>
        <w:t>poder </w:t>
      </w:r>
      <w:r>
        <w:rPr>
          <w:color w:val="231F20"/>
        </w:rPr>
        <w:t>de un </w:t>
      </w:r>
      <w:r>
        <w:rPr>
          <w:color w:val="231F20"/>
          <w:spacing w:val="2"/>
        </w:rPr>
        <w:t>sujeto sobre otro que </w:t>
      </w:r>
      <w:r>
        <w:rPr>
          <w:color w:val="231F20"/>
        </w:rPr>
        <w:t>se </w:t>
      </w:r>
      <w:r>
        <w:rPr>
          <w:color w:val="231F20"/>
          <w:spacing w:val="3"/>
        </w:rPr>
        <w:t>encuentra </w:t>
      </w:r>
      <w:r>
        <w:rPr>
          <w:color w:val="231F20"/>
        </w:rPr>
        <w:t>en </w:t>
      </w:r>
      <w:r>
        <w:rPr>
          <w:color w:val="231F20"/>
          <w:spacing w:val="3"/>
        </w:rPr>
        <w:t>des- </w:t>
      </w:r>
      <w:r>
        <w:rPr>
          <w:color w:val="231F20"/>
          <w:spacing w:val="2"/>
        </w:rPr>
        <w:t>ventaja. </w:t>
      </w:r>
      <w:r>
        <w:rPr>
          <w:color w:val="231F20"/>
        </w:rPr>
        <w:t>La </w:t>
      </w:r>
      <w:r>
        <w:rPr>
          <w:color w:val="231F20"/>
          <w:spacing w:val="2"/>
        </w:rPr>
        <w:t>violencia </w:t>
      </w:r>
      <w:r>
        <w:rPr>
          <w:color w:val="231F20"/>
        </w:rPr>
        <w:t>en </w:t>
      </w:r>
      <w:r>
        <w:rPr>
          <w:color w:val="231F20"/>
          <w:spacing w:val="2"/>
        </w:rPr>
        <w:t>nuestro contexto social </w:t>
      </w:r>
      <w:r>
        <w:rPr>
          <w:color w:val="231F20"/>
        </w:rPr>
        <w:t>es un </w:t>
      </w:r>
      <w:r>
        <w:rPr>
          <w:color w:val="231F20"/>
          <w:spacing w:val="3"/>
        </w:rPr>
        <w:t>fenómeno  </w:t>
      </w:r>
      <w:r>
        <w:rPr>
          <w:color w:val="231F20"/>
        </w:rPr>
        <w:t>que se ha </w:t>
      </w:r>
      <w:r>
        <w:rPr>
          <w:color w:val="231F20"/>
          <w:spacing w:val="2"/>
        </w:rPr>
        <w:t>manifestado </w:t>
      </w:r>
      <w:r>
        <w:rPr>
          <w:color w:val="231F20"/>
        </w:rPr>
        <w:t>de </w:t>
      </w:r>
      <w:r>
        <w:rPr>
          <w:color w:val="231F20"/>
          <w:spacing w:val="3"/>
        </w:rPr>
        <w:t>manera </w:t>
      </w:r>
      <w:r>
        <w:rPr>
          <w:color w:val="231F20"/>
          <w:spacing w:val="2"/>
        </w:rPr>
        <w:t>persistente </w:t>
      </w:r>
      <w:r>
        <w:rPr>
          <w:color w:val="231F20"/>
        </w:rPr>
        <w:t>a </w:t>
      </w:r>
      <w:r>
        <w:rPr>
          <w:color w:val="231F20"/>
          <w:spacing w:val="2"/>
        </w:rPr>
        <w:t>través </w:t>
      </w:r>
      <w:r>
        <w:rPr>
          <w:color w:val="231F20"/>
        </w:rPr>
        <w:t>de </w:t>
      </w:r>
      <w:r>
        <w:rPr>
          <w:color w:val="231F20"/>
          <w:spacing w:val="2"/>
        </w:rPr>
        <w:t>acciones cargadas </w:t>
      </w:r>
      <w:r>
        <w:rPr>
          <w:color w:val="231F20"/>
        </w:rPr>
        <w:t>de </w:t>
      </w:r>
      <w:r>
        <w:rPr>
          <w:color w:val="231F20"/>
          <w:spacing w:val="2"/>
        </w:rPr>
        <w:t>agresividad hacia una </w:t>
      </w:r>
      <w:r>
        <w:rPr>
          <w:color w:val="231F20"/>
          <w:spacing w:val="3"/>
        </w:rPr>
        <w:t>persona </w:t>
      </w:r>
      <w:r>
        <w:rPr>
          <w:color w:val="231F20"/>
          <w:spacing w:val="2"/>
        </w:rPr>
        <w:t>hasta causar severos </w:t>
      </w:r>
      <w:r>
        <w:rPr>
          <w:color w:val="231F20"/>
          <w:spacing w:val="3"/>
        </w:rPr>
        <w:t>daños </w:t>
      </w:r>
      <w:r>
        <w:rPr>
          <w:color w:val="231F20"/>
        </w:rPr>
        <w:t>a </w:t>
      </w:r>
      <w:r>
        <w:rPr>
          <w:color w:val="231F20"/>
          <w:spacing w:val="2"/>
        </w:rPr>
        <w:t>terceras </w:t>
      </w:r>
      <w:r>
        <w:rPr>
          <w:color w:val="231F20"/>
          <w:spacing w:val="3"/>
        </w:rPr>
        <w:t>personas. </w:t>
      </w:r>
      <w:r>
        <w:rPr>
          <w:color w:val="231F20"/>
          <w:spacing w:val="2"/>
        </w:rPr>
        <w:t>Pero, ¿de </w:t>
      </w:r>
      <w:r>
        <w:rPr>
          <w:color w:val="231F20"/>
          <w:spacing w:val="3"/>
        </w:rPr>
        <w:t>dónde </w:t>
      </w:r>
      <w:r>
        <w:rPr>
          <w:color w:val="231F20"/>
          <w:spacing w:val="2"/>
        </w:rPr>
        <w:t>viene </w:t>
      </w:r>
      <w:r>
        <w:rPr>
          <w:color w:val="231F20"/>
        </w:rPr>
        <w:t>la</w:t>
      </w:r>
      <w:r>
        <w:rPr>
          <w:color w:val="231F20"/>
          <w:spacing w:val="-15"/>
        </w:rPr>
        <w:t> </w:t>
      </w:r>
      <w:r>
        <w:rPr>
          <w:color w:val="231F20"/>
          <w:spacing w:val="2"/>
        </w:rPr>
        <w:t>violencia?</w:t>
      </w:r>
    </w:p>
    <w:p>
      <w:pPr>
        <w:pStyle w:val="BodyText"/>
        <w:spacing w:line="249" w:lineRule="auto"/>
        <w:ind w:left="102" w:right="107" w:firstLine="283"/>
        <w:jc w:val="both"/>
      </w:pPr>
      <w:r>
        <w:rPr>
          <w:color w:val="231F20"/>
        </w:rPr>
        <w:t>En las últimas tres décadas, la violencia ha sido objeto de aten- ción como un problema de derechos humanos, de justicia social y de salud pública; lo que ha sido reconocido como tal por diversos organismos internacionales como la Organización Mundial de la Salud (OMS), el Banco Mundial (BM) y el Fondo de Poblaciones de las Naciones Unidas (UNFPA).</w:t>
      </w:r>
    </w:p>
    <w:p>
      <w:pPr>
        <w:pStyle w:val="BodyText"/>
        <w:spacing w:line="249" w:lineRule="auto"/>
        <w:ind w:left="102" w:right="105" w:firstLine="284"/>
        <w:jc w:val="both"/>
      </w:pPr>
      <w:r>
        <w:rPr>
          <w:color w:val="231F20"/>
        </w:rPr>
        <w:t>La </w:t>
      </w:r>
      <w:r>
        <w:rPr>
          <w:color w:val="231F20"/>
          <w:spacing w:val="2"/>
        </w:rPr>
        <w:t>violencia puede </w:t>
      </w:r>
      <w:r>
        <w:rPr>
          <w:color w:val="231F20"/>
        </w:rPr>
        <w:t>ser de </w:t>
      </w:r>
      <w:r>
        <w:rPr>
          <w:color w:val="231F20"/>
          <w:spacing w:val="2"/>
        </w:rPr>
        <w:t>diversos tipos </w:t>
      </w:r>
      <w:r>
        <w:rPr>
          <w:color w:val="231F20"/>
        </w:rPr>
        <w:t>y con </w:t>
      </w:r>
      <w:r>
        <w:rPr>
          <w:color w:val="231F20"/>
          <w:spacing w:val="3"/>
        </w:rPr>
        <w:t>manifestaciones </w:t>
      </w:r>
      <w:r>
        <w:rPr>
          <w:color w:val="231F20"/>
          <w:spacing w:val="2"/>
        </w:rPr>
        <w:t>múltiples, dependiendo del </w:t>
      </w:r>
      <w:r>
        <w:rPr>
          <w:color w:val="231F20"/>
        </w:rPr>
        <w:t>tipo de </w:t>
      </w:r>
      <w:r>
        <w:rPr>
          <w:color w:val="231F20"/>
          <w:spacing w:val="2"/>
        </w:rPr>
        <w:t>violencia que </w:t>
      </w:r>
      <w:r>
        <w:rPr>
          <w:color w:val="231F20"/>
        </w:rPr>
        <w:t>se </w:t>
      </w:r>
      <w:r>
        <w:rPr>
          <w:color w:val="231F20"/>
          <w:spacing w:val="2"/>
        </w:rPr>
        <w:t>ejerza </w:t>
      </w:r>
      <w:r>
        <w:rPr>
          <w:color w:val="231F20"/>
        </w:rPr>
        <w:t>en </w:t>
      </w:r>
      <w:r>
        <w:rPr>
          <w:color w:val="231F20"/>
          <w:spacing w:val="3"/>
        </w:rPr>
        <w:t>el </w:t>
      </w:r>
      <w:r>
        <w:rPr>
          <w:color w:val="231F20"/>
          <w:spacing w:val="2"/>
        </w:rPr>
        <w:t>individuo serán </w:t>
      </w:r>
      <w:r>
        <w:rPr>
          <w:color w:val="231F20"/>
        </w:rPr>
        <w:t>las </w:t>
      </w:r>
      <w:r>
        <w:rPr>
          <w:color w:val="231F20"/>
          <w:spacing w:val="2"/>
        </w:rPr>
        <w:t>expresiones que </w:t>
      </w:r>
      <w:r>
        <w:rPr>
          <w:color w:val="231F20"/>
        </w:rPr>
        <w:t>se </w:t>
      </w:r>
      <w:r>
        <w:rPr>
          <w:color w:val="231F20"/>
          <w:spacing w:val="3"/>
        </w:rPr>
        <w:t>observen: </w:t>
      </w:r>
      <w:r>
        <w:rPr>
          <w:color w:val="231F20"/>
          <w:spacing w:val="2"/>
        </w:rPr>
        <w:t>físicas, psicológi- cas, sexuales </w:t>
      </w:r>
      <w:r>
        <w:rPr>
          <w:color w:val="231F20"/>
        </w:rPr>
        <w:t>o </w:t>
      </w:r>
      <w:r>
        <w:rPr>
          <w:color w:val="231F20"/>
          <w:spacing w:val="2"/>
        </w:rPr>
        <w:t>reproductivas. De acuerdo con </w:t>
      </w:r>
      <w:r>
        <w:rPr>
          <w:color w:val="231F20"/>
        </w:rPr>
        <w:t>el </w:t>
      </w:r>
      <w:r>
        <w:rPr>
          <w:color w:val="231F20"/>
          <w:spacing w:val="2"/>
        </w:rPr>
        <w:t>grupo </w:t>
      </w:r>
      <w:r>
        <w:rPr>
          <w:color w:val="231F20"/>
          <w:spacing w:val="3"/>
        </w:rPr>
        <w:t>poblacio- </w:t>
      </w:r>
      <w:r>
        <w:rPr>
          <w:color w:val="231F20"/>
          <w:spacing w:val="2"/>
        </w:rPr>
        <w:t>nal afectado será violencia contra niños, </w:t>
      </w:r>
      <w:r>
        <w:rPr>
          <w:color w:val="231F20"/>
          <w:spacing w:val="3"/>
        </w:rPr>
        <w:t>mujeres,  hombres,  </w:t>
      </w:r>
      <w:r>
        <w:rPr>
          <w:color w:val="231F20"/>
        </w:rPr>
        <w:t>ya </w:t>
      </w:r>
      <w:r>
        <w:rPr>
          <w:color w:val="231F20"/>
          <w:spacing w:val="2"/>
        </w:rPr>
        <w:t>sean jóvenes </w:t>
      </w:r>
      <w:r>
        <w:rPr>
          <w:color w:val="231F20"/>
        </w:rPr>
        <w:t>o </w:t>
      </w:r>
      <w:r>
        <w:rPr>
          <w:color w:val="231F20"/>
          <w:spacing w:val="2"/>
        </w:rPr>
        <w:t>adultos. </w:t>
      </w:r>
      <w:r>
        <w:rPr>
          <w:color w:val="231F20"/>
        </w:rPr>
        <w:t>En el </w:t>
      </w:r>
      <w:r>
        <w:rPr>
          <w:color w:val="231F20"/>
          <w:spacing w:val="2"/>
        </w:rPr>
        <w:t>ámbito </w:t>
      </w:r>
      <w:r>
        <w:rPr>
          <w:color w:val="231F20"/>
        </w:rPr>
        <w:t>de la </w:t>
      </w:r>
      <w:r>
        <w:rPr>
          <w:color w:val="231F20"/>
          <w:spacing w:val="2"/>
        </w:rPr>
        <w:t>salud </w:t>
      </w:r>
      <w:r>
        <w:rPr>
          <w:color w:val="231F20"/>
        </w:rPr>
        <w:t>se </w:t>
      </w:r>
      <w:r>
        <w:rPr>
          <w:color w:val="231F20"/>
          <w:spacing w:val="3"/>
        </w:rPr>
        <w:t>constituye</w:t>
      </w:r>
      <w:r>
        <w:rPr>
          <w:color w:val="231F20"/>
          <w:spacing w:val="58"/>
        </w:rPr>
        <w:t> </w:t>
      </w:r>
      <w:r>
        <w:rPr>
          <w:color w:val="231F20"/>
          <w:spacing w:val="3"/>
        </w:rPr>
        <w:t>como </w:t>
      </w:r>
      <w:r>
        <w:rPr>
          <w:color w:val="231F20"/>
        </w:rPr>
        <w:t>un </w:t>
      </w:r>
      <w:r>
        <w:rPr>
          <w:color w:val="231F20"/>
          <w:spacing w:val="2"/>
        </w:rPr>
        <w:t>factor </w:t>
      </w:r>
      <w:r>
        <w:rPr>
          <w:color w:val="231F20"/>
        </w:rPr>
        <w:t>de </w:t>
      </w:r>
      <w:r>
        <w:rPr>
          <w:color w:val="231F20"/>
          <w:spacing w:val="2"/>
        </w:rPr>
        <w:t>riesgo que ocasiona </w:t>
      </w:r>
      <w:r>
        <w:rPr>
          <w:color w:val="231F20"/>
          <w:spacing w:val="3"/>
        </w:rPr>
        <w:t>numerosos </w:t>
      </w:r>
      <w:r>
        <w:rPr>
          <w:color w:val="231F20"/>
        </w:rPr>
        <w:t>y </w:t>
      </w:r>
      <w:r>
        <w:rPr>
          <w:color w:val="231F20"/>
          <w:spacing w:val="2"/>
        </w:rPr>
        <w:t>serios </w:t>
      </w:r>
      <w:r>
        <w:rPr>
          <w:color w:val="231F20"/>
          <w:spacing w:val="3"/>
        </w:rPr>
        <w:t>riesgos </w:t>
      </w:r>
      <w:r>
        <w:rPr>
          <w:color w:val="231F20"/>
        </w:rPr>
        <w:t>en la </w:t>
      </w:r>
      <w:r>
        <w:rPr>
          <w:color w:val="231F20"/>
          <w:spacing w:val="2"/>
        </w:rPr>
        <w:t>salud física, mental, sexual </w:t>
      </w:r>
      <w:r>
        <w:rPr>
          <w:color w:val="231F20"/>
        </w:rPr>
        <w:t>y </w:t>
      </w:r>
      <w:r>
        <w:rPr>
          <w:color w:val="231F20"/>
          <w:spacing w:val="3"/>
        </w:rPr>
        <w:t>reproductiva </w:t>
      </w:r>
      <w:r>
        <w:rPr>
          <w:color w:val="231F20"/>
        </w:rPr>
        <w:t>de </w:t>
      </w:r>
      <w:r>
        <w:rPr>
          <w:color w:val="231F20"/>
          <w:spacing w:val="2"/>
        </w:rPr>
        <w:t>los individuos </w:t>
      </w:r>
      <w:r>
        <w:rPr>
          <w:color w:val="231F20"/>
        </w:rPr>
        <w:t>– </w:t>
      </w:r>
      <w:r>
        <w:rPr>
          <w:color w:val="231F20"/>
          <w:spacing w:val="2"/>
        </w:rPr>
        <w:t>con afectación secundaria </w:t>
      </w:r>
      <w:r>
        <w:rPr>
          <w:color w:val="231F20"/>
        </w:rPr>
        <w:t>a la </w:t>
      </w:r>
      <w:r>
        <w:rPr>
          <w:color w:val="231F20"/>
          <w:spacing w:val="2"/>
        </w:rPr>
        <w:t>sociedad inmediata </w:t>
      </w:r>
      <w:r>
        <w:rPr>
          <w:color w:val="231F20"/>
        </w:rPr>
        <w:t>en la </w:t>
      </w:r>
      <w:r>
        <w:rPr>
          <w:color w:val="231F20"/>
          <w:spacing w:val="2"/>
        </w:rPr>
        <w:t>que </w:t>
      </w:r>
      <w:r>
        <w:rPr>
          <w:color w:val="231F20"/>
        </w:rPr>
        <w:t>se </w:t>
      </w:r>
      <w:r>
        <w:rPr>
          <w:color w:val="231F20"/>
          <w:spacing w:val="3"/>
        </w:rPr>
        <w:t>desenvuelven– </w:t>
      </w:r>
      <w:r>
        <w:rPr>
          <w:color w:val="231F20"/>
          <w:spacing w:val="2"/>
        </w:rPr>
        <w:t>tanto </w:t>
      </w:r>
      <w:r>
        <w:rPr>
          <w:color w:val="231F20"/>
        </w:rPr>
        <w:t>en el </w:t>
      </w:r>
      <w:r>
        <w:rPr>
          <w:color w:val="231F20"/>
          <w:spacing w:val="2"/>
        </w:rPr>
        <w:t>plano inmediato </w:t>
      </w:r>
      <w:r>
        <w:rPr>
          <w:color w:val="231F20"/>
          <w:spacing w:val="3"/>
        </w:rPr>
        <w:t>como </w:t>
      </w:r>
      <w:r>
        <w:rPr>
          <w:color w:val="231F20"/>
        </w:rPr>
        <w:t>a </w:t>
      </w:r>
      <w:r>
        <w:rPr>
          <w:color w:val="231F20"/>
          <w:spacing w:val="2"/>
        </w:rPr>
        <w:t>largo </w:t>
      </w:r>
      <w:r>
        <w:rPr>
          <w:color w:val="231F20"/>
          <w:spacing w:val="3"/>
        </w:rPr>
        <w:t>plazo. Asimismo, </w:t>
      </w:r>
      <w:r>
        <w:rPr>
          <w:color w:val="231F20"/>
          <w:spacing w:val="2"/>
        </w:rPr>
        <w:t>existen otros tipos </w:t>
      </w:r>
      <w:r>
        <w:rPr>
          <w:color w:val="231F20"/>
        </w:rPr>
        <w:t>de </w:t>
      </w:r>
      <w:r>
        <w:rPr>
          <w:color w:val="231F20"/>
          <w:spacing w:val="2"/>
        </w:rPr>
        <w:t>violencia: individual, </w:t>
      </w:r>
      <w:r>
        <w:rPr>
          <w:color w:val="231F20"/>
          <w:spacing w:val="3"/>
        </w:rPr>
        <w:t>institucio- </w:t>
      </w:r>
      <w:r>
        <w:rPr>
          <w:color w:val="231F20"/>
          <w:spacing w:val="2"/>
        </w:rPr>
        <w:t>nal,</w:t>
      </w:r>
      <w:r>
        <w:rPr>
          <w:color w:val="231F20"/>
          <w:spacing w:val="-12"/>
        </w:rPr>
        <w:t> </w:t>
      </w:r>
      <w:r>
        <w:rPr>
          <w:color w:val="231F20"/>
          <w:spacing w:val="2"/>
        </w:rPr>
        <w:t>colectiva,</w:t>
      </w:r>
      <w:r>
        <w:rPr>
          <w:color w:val="231F20"/>
          <w:spacing w:val="-12"/>
        </w:rPr>
        <w:t> </w:t>
      </w:r>
      <w:r>
        <w:rPr>
          <w:color w:val="231F20"/>
          <w:spacing w:val="2"/>
        </w:rPr>
        <w:t>estructural</w:t>
      </w:r>
      <w:r>
        <w:rPr>
          <w:color w:val="231F20"/>
          <w:spacing w:val="-12"/>
        </w:rPr>
        <w:t> </w:t>
      </w:r>
      <w:r>
        <w:rPr>
          <w:color w:val="231F20"/>
        </w:rPr>
        <w:t>y</w:t>
      </w:r>
      <w:r>
        <w:rPr>
          <w:color w:val="231F20"/>
          <w:spacing w:val="-11"/>
        </w:rPr>
        <w:t> </w:t>
      </w:r>
      <w:r>
        <w:rPr>
          <w:color w:val="231F20"/>
          <w:spacing w:val="2"/>
        </w:rPr>
        <w:t>política.</w:t>
      </w:r>
    </w:p>
    <w:p>
      <w:pPr>
        <w:pStyle w:val="BodyText"/>
        <w:spacing w:line="247" w:lineRule="auto"/>
        <w:ind w:left="102" w:right="107" w:firstLine="284"/>
        <w:jc w:val="both"/>
      </w:pPr>
      <w:r>
        <w:rPr>
          <w:color w:val="231F20"/>
        </w:rPr>
        <w:t>La </w:t>
      </w:r>
      <w:r>
        <w:rPr>
          <w:color w:val="231F20"/>
          <w:spacing w:val="2"/>
        </w:rPr>
        <w:t>magnitud del fenómeno </w:t>
      </w:r>
      <w:r>
        <w:rPr>
          <w:color w:val="231F20"/>
        </w:rPr>
        <w:t>lo </w:t>
      </w:r>
      <w:r>
        <w:rPr>
          <w:color w:val="231F20"/>
          <w:spacing w:val="2"/>
        </w:rPr>
        <w:t>convierte </w:t>
      </w:r>
      <w:r>
        <w:rPr>
          <w:color w:val="231F20"/>
        </w:rPr>
        <w:t>en un </w:t>
      </w:r>
      <w:r>
        <w:rPr>
          <w:color w:val="231F20"/>
          <w:spacing w:val="2"/>
        </w:rPr>
        <w:t>problema </w:t>
      </w:r>
      <w:r>
        <w:rPr>
          <w:color w:val="231F20"/>
        </w:rPr>
        <w:t>de </w:t>
      </w:r>
      <w:r>
        <w:rPr>
          <w:color w:val="231F20"/>
          <w:spacing w:val="3"/>
        </w:rPr>
        <w:t>sa- </w:t>
      </w:r>
      <w:r>
        <w:rPr>
          <w:color w:val="231F20"/>
          <w:spacing w:val="2"/>
        </w:rPr>
        <w:t>lud pública </w:t>
      </w:r>
      <w:r>
        <w:rPr>
          <w:color w:val="231F20"/>
        </w:rPr>
        <w:t>a </w:t>
      </w:r>
      <w:r>
        <w:rPr>
          <w:color w:val="231F20"/>
          <w:spacing w:val="2"/>
        </w:rPr>
        <w:t>nivel mundial, situación </w:t>
      </w:r>
      <w:r>
        <w:rPr>
          <w:color w:val="231F20"/>
        </w:rPr>
        <w:t>que va </w:t>
      </w:r>
      <w:r>
        <w:rPr>
          <w:color w:val="231F20"/>
          <w:spacing w:val="2"/>
        </w:rPr>
        <w:t>aparejada con una</w:t>
      </w:r>
      <w:r>
        <w:rPr>
          <w:color w:val="231F20"/>
          <w:spacing w:val="56"/>
        </w:rPr>
        <w:t> </w:t>
      </w:r>
      <w:r>
        <w:rPr>
          <w:color w:val="231F20"/>
          <w:spacing w:val="2"/>
        </w:rPr>
        <w:t>gran cantidad </w:t>
      </w:r>
      <w:r>
        <w:rPr>
          <w:color w:val="231F20"/>
        </w:rPr>
        <w:t>de </w:t>
      </w:r>
      <w:r>
        <w:rPr>
          <w:color w:val="231F20"/>
          <w:spacing w:val="2"/>
        </w:rPr>
        <w:t>investigaciones </w:t>
      </w:r>
      <w:r>
        <w:rPr>
          <w:color w:val="231F20"/>
        </w:rPr>
        <w:t>de </w:t>
      </w:r>
      <w:r>
        <w:rPr>
          <w:color w:val="231F20"/>
          <w:spacing w:val="2"/>
        </w:rPr>
        <w:t>cortes diversos. </w:t>
      </w:r>
      <w:r>
        <w:rPr>
          <w:color w:val="231F20"/>
          <w:spacing w:val="3"/>
        </w:rPr>
        <w:t>Como </w:t>
      </w:r>
      <w:r>
        <w:rPr>
          <w:color w:val="231F20"/>
          <w:spacing w:val="2"/>
        </w:rPr>
        <w:t>parte    </w:t>
      </w:r>
      <w:r>
        <w:rPr>
          <w:color w:val="231F20"/>
        </w:rPr>
        <w:t>de </w:t>
      </w:r>
      <w:r>
        <w:rPr>
          <w:color w:val="231F20"/>
          <w:spacing w:val="2"/>
        </w:rPr>
        <w:t>los resultados </w:t>
      </w:r>
      <w:r>
        <w:rPr>
          <w:color w:val="231F20"/>
        </w:rPr>
        <w:t>de </w:t>
      </w:r>
      <w:r>
        <w:rPr>
          <w:color w:val="231F20"/>
          <w:spacing w:val="2"/>
        </w:rPr>
        <w:t>dichas investigaciones, entre otros factores, </w:t>
      </w:r>
      <w:r>
        <w:rPr>
          <w:color w:val="231F20"/>
        </w:rPr>
        <w:t>la </w:t>
      </w:r>
      <w:r>
        <w:rPr>
          <w:color w:val="231F20"/>
          <w:spacing w:val="2"/>
        </w:rPr>
        <w:t>violencia </w:t>
      </w:r>
      <w:r>
        <w:rPr>
          <w:color w:val="231F20"/>
        </w:rPr>
        <w:t>ha </w:t>
      </w:r>
      <w:r>
        <w:rPr>
          <w:color w:val="231F20"/>
          <w:spacing w:val="2"/>
        </w:rPr>
        <w:t>logrado tener </w:t>
      </w:r>
      <w:r>
        <w:rPr>
          <w:color w:val="231F20"/>
        </w:rPr>
        <w:t>un </w:t>
      </w:r>
      <w:r>
        <w:rPr>
          <w:color w:val="231F20"/>
          <w:spacing w:val="2"/>
        </w:rPr>
        <w:t>creciente </w:t>
      </w:r>
      <w:r>
        <w:rPr>
          <w:color w:val="231F20"/>
          <w:spacing w:val="3"/>
        </w:rPr>
        <w:t>reconocimiento </w:t>
      </w:r>
      <w:r>
        <w:rPr>
          <w:color w:val="231F20"/>
        </w:rPr>
        <w:t>y </w:t>
      </w:r>
      <w:r>
        <w:rPr>
          <w:color w:val="231F20"/>
          <w:spacing w:val="2"/>
        </w:rPr>
        <w:t>permite ubicarla </w:t>
      </w:r>
      <w:r>
        <w:rPr>
          <w:color w:val="231F20"/>
        </w:rPr>
        <w:t>en un </w:t>
      </w:r>
      <w:r>
        <w:rPr>
          <w:color w:val="231F20"/>
          <w:spacing w:val="2"/>
        </w:rPr>
        <w:t>lugar destacado </w:t>
      </w:r>
      <w:r>
        <w:rPr>
          <w:color w:val="231F20"/>
        </w:rPr>
        <w:t>en la </w:t>
      </w:r>
      <w:r>
        <w:rPr>
          <w:color w:val="231F20"/>
          <w:spacing w:val="2"/>
        </w:rPr>
        <w:t>agenda </w:t>
      </w:r>
      <w:r>
        <w:rPr>
          <w:color w:val="231F20"/>
        </w:rPr>
        <w:t>de </w:t>
      </w:r>
      <w:r>
        <w:rPr>
          <w:color w:val="231F20"/>
          <w:spacing w:val="3"/>
        </w:rPr>
        <w:t>organismos </w:t>
      </w:r>
      <w:r>
        <w:rPr>
          <w:color w:val="231F20"/>
          <w:spacing w:val="2"/>
        </w:rPr>
        <w:t>inter- nacionales </w:t>
      </w:r>
      <w:r>
        <w:rPr>
          <w:color w:val="231F20"/>
        </w:rPr>
        <w:t>y</w:t>
      </w:r>
      <w:r>
        <w:rPr>
          <w:color w:val="231F20"/>
          <w:spacing w:val="-35"/>
        </w:rPr>
        <w:t> </w:t>
      </w:r>
      <w:r>
        <w:rPr>
          <w:color w:val="231F20"/>
          <w:spacing w:val="2"/>
        </w:rPr>
        <w:t>nacionales.</w:t>
      </w:r>
    </w:p>
    <w:p>
      <w:pPr>
        <w:spacing w:after="0" w:line="247" w:lineRule="auto"/>
        <w:jc w:val="both"/>
        <w:sectPr>
          <w:headerReference w:type="default" r:id="rId645"/>
          <w:footerReference w:type="default" r:id="rId646"/>
          <w:pgSz w:w="7830" w:h="11910"/>
          <w:pgMar w:header="0" w:footer="424" w:top="500" w:bottom="620" w:left="920" w:right="880"/>
          <w:pgNumType w:start="288"/>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13" w:right="116" w:firstLine="283"/>
        <w:jc w:val="both"/>
      </w:pPr>
      <w:r>
        <w:rPr>
          <w:color w:val="231F20"/>
        </w:rPr>
        <w:t>En relación con la salud sexual y reproductiva, el tema de la vio- lencia contra la mujer ha sido abordado en la Conferencia Internacio- nal sobre Población y Desarrollo de El Cairo (1994). Un año más tarde,</w:t>
      </w:r>
      <w:r>
        <w:rPr>
          <w:color w:val="231F20"/>
          <w:spacing w:val="-6"/>
        </w:rPr>
        <w:t> </w:t>
      </w:r>
      <w:r>
        <w:rPr>
          <w:color w:val="231F20"/>
        </w:rPr>
        <w:t>en</w:t>
      </w:r>
      <w:r>
        <w:rPr>
          <w:color w:val="231F20"/>
          <w:spacing w:val="-5"/>
        </w:rPr>
        <w:t> </w:t>
      </w:r>
      <w:r>
        <w:rPr>
          <w:color w:val="231F20"/>
        </w:rPr>
        <w:t>la</w:t>
      </w:r>
      <w:r>
        <w:rPr>
          <w:color w:val="231F20"/>
          <w:spacing w:val="-5"/>
        </w:rPr>
        <w:t> </w:t>
      </w:r>
      <w:r>
        <w:rPr>
          <w:color w:val="231F20"/>
        </w:rPr>
        <w:t>Plataforma</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Acción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Cuarta</w:t>
      </w:r>
      <w:r>
        <w:rPr>
          <w:color w:val="231F20"/>
          <w:spacing w:val="-5"/>
        </w:rPr>
        <w:t> </w:t>
      </w:r>
      <w:r>
        <w:rPr>
          <w:color w:val="231F20"/>
        </w:rPr>
        <w:t>Conferencia</w:t>
      </w:r>
      <w:r>
        <w:rPr>
          <w:color w:val="231F20"/>
          <w:spacing w:val="-5"/>
        </w:rPr>
        <w:t> </w:t>
      </w:r>
      <w:r>
        <w:rPr>
          <w:color w:val="231F20"/>
        </w:rPr>
        <w:t>Mun- dial</w:t>
      </w:r>
      <w:r>
        <w:rPr>
          <w:color w:val="231F20"/>
          <w:spacing w:val="-6"/>
        </w:rPr>
        <w:t> </w:t>
      </w:r>
      <w:r>
        <w:rPr>
          <w:color w:val="231F20"/>
        </w:rPr>
        <w:t>sobre</w:t>
      </w:r>
      <w:r>
        <w:rPr>
          <w:color w:val="231F20"/>
          <w:spacing w:val="-6"/>
        </w:rPr>
        <w:t> </w:t>
      </w:r>
      <w:r>
        <w:rPr>
          <w:color w:val="231F20"/>
        </w:rPr>
        <w:t>la</w:t>
      </w:r>
      <w:r>
        <w:rPr>
          <w:color w:val="231F20"/>
          <w:spacing w:val="-6"/>
        </w:rPr>
        <w:t> </w:t>
      </w:r>
      <w:r>
        <w:rPr>
          <w:color w:val="231F20"/>
        </w:rPr>
        <w:t>Mujer</w:t>
      </w:r>
      <w:r>
        <w:rPr>
          <w:color w:val="231F20"/>
          <w:spacing w:val="-6"/>
        </w:rPr>
        <w:t> </w:t>
      </w:r>
      <w:r>
        <w:rPr>
          <w:color w:val="231F20"/>
        </w:rPr>
        <w:t>celebrada</w:t>
      </w:r>
      <w:r>
        <w:rPr>
          <w:color w:val="231F20"/>
          <w:spacing w:val="-6"/>
        </w:rPr>
        <w:t> </w:t>
      </w:r>
      <w:r>
        <w:rPr>
          <w:color w:val="231F20"/>
        </w:rPr>
        <w:t>en</w:t>
      </w:r>
      <w:r>
        <w:rPr>
          <w:color w:val="231F20"/>
          <w:spacing w:val="-6"/>
        </w:rPr>
        <w:t> </w:t>
      </w:r>
      <w:r>
        <w:rPr>
          <w:color w:val="231F20"/>
        </w:rPr>
        <w:t>Beijing,</w:t>
      </w:r>
      <w:r>
        <w:rPr>
          <w:color w:val="231F20"/>
          <w:spacing w:val="-6"/>
        </w:rPr>
        <w:t> </w:t>
      </w:r>
      <w:r>
        <w:rPr>
          <w:color w:val="231F20"/>
        </w:rPr>
        <w:t>se</w:t>
      </w:r>
      <w:r>
        <w:rPr>
          <w:color w:val="231F20"/>
          <w:spacing w:val="-6"/>
        </w:rPr>
        <w:t> </w:t>
      </w:r>
      <w:r>
        <w:rPr>
          <w:color w:val="231F20"/>
        </w:rPr>
        <w:t>concluye</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violencia contra</w:t>
      </w:r>
      <w:r>
        <w:rPr>
          <w:color w:val="231F20"/>
          <w:spacing w:val="-4"/>
        </w:rPr>
        <w:t> </w:t>
      </w:r>
      <w:r>
        <w:rPr>
          <w:color w:val="231F20"/>
        </w:rPr>
        <w:t>la</w:t>
      </w:r>
      <w:r>
        <w:rPr>
          <w:color w:val="231F20"/>
          <w:spacing w:val="-4"/>
        </w:rPr>
        <w:t> </w:t>
      </w:r>
      <w:r>
        <w:rPr>
          <w:color w:val="231F20"/>
        </w:rPr>
        <w:t>mujer</w:t>
      </w:r>
      <w:r>
        <w:rPr>
          <w:color w:val="231F20"/>
          <w:spacing w:val="-4"/>
        </w:rPr>
        <w:t> </w:t>
      </w:r>
      <w:r>
        <w:rPr>
          <w:color w:val="231F20"/>
        </w:rPr>
        <w:t>debe</w:t>
      </w:r>
      <w:r>
        <w:rPr>
          <w:color w:val="231F20"/>
          <w:spacing w:val="-3"/>
        </w:rPr>
        <w:t> </w:t>
      </w:r>
      <w:r>
        <w:rPr>
          <w:color w:val="231F20"/>
        </w:rPr>
        <w:t>ser</w:t>
      </w:r>
      <w:r>
        <w:rPr>
          <w:color w:val="231F20"/>
          <w:spacing w:val="-4"/>
        </w:rPr>
        <w:t> </w:t>
      </w:r>
      <w:r>
        <w:rPr>
          <w:color w:val="231F20"/>
        </w:rPr>
        <w:t>objeto</w:t>
      </w:r>
      <w:r>
        <w:rPr>
          <w:color w:val="231F20"/>
          <w:spacing w:val="-3"/>
        </w:rPr>
        <w:t> </w:t>
      </w:r>
      <w:r>
        <w:rPr>
          <w:color w:val="231F20"/>
        </w:rPr>
        <w:t>de</w:t>
      </w:r>
      <w:r>
        <w:rPr>
          <w:color w:val="231F20"/>
          <w:spacing w:val="-3"/>
        </w:rPr>
        <w:t> </w:t>
      </w:r>
      <w:r>
        <w:rPr>
          <w:color w:val="231F20"/>
        </w:rPr>
        <w:t>particular</w:t>
      </w:r>
      <w:r>
        <w:rPr>
          <w:color w:val="231F20"/>
          <w:spacing w:val="-4"/>
        </w:rPr>
        <w:t> </w:t>
      </w:r>
      <w:r>
        <w:rPr>
          <w:color w:val="231F20"/>
        </w:rPr>
        <w:t>atención</w:t>
      </w:r>
      <w:r>
        <w:rPr>
          <w:color w:val="231F20"/>
          <w:spacing w:val="-3"/>
        </w:rPr>
        <w:t> </w:t>
      </w:r>
      <w:r>
        <w:rPr>
          <w:color w:val="231F20"/>
        </w:rPr>
        <w:t>por</w:t>
      </w:r>
      <w:r>
        <w:rPr>
          <w:color w:val="231F20"/>
          <w:spacing w:val="-4"/>
        </w:rPr>
        <w:t> </w:t>
      </w:r>
      <w:r>
        <w:rPr>
          <w:color w:val="231F20"/>
        </w:rPr>
        <w:t>parte</w:t>
      </w:r>
      <w:r>
        <w:rPr>
          <w:color w:val="231F20"/>
          <w:spacing w:val="-3"/>
        </w:rPr>
        <w:t> </w:t>
      </w:r>
      <w:r>
        <w:rPr>
          <w:color w:val="231F20"/>
        </w:rPr>
        <w:t>de</w:t>
      </w:r>
      <w:r>
        <w:rPr>
          <w:color w:val="231F20"/>
          <w:spacing w:val="-3"/>
        </w:rPr>
        <w:t> </w:t>
      </w:r>
      <w:r>
        <w:rPr>
          <w:color w:val="231F20"/>
        </w:rPr>
        <w:t>los gobiernos,</w:t>
      </w:r>
      <w:r>
        <w:rPr>
          <w:color w:val="231F20"/>
          <w:spacing w:val="-24"/>
        </w:rPr>
        <w:t> </w:t>
      </w:r>
      <w:r>
        <w:rPr>
          <w:color w:val="231F20"/>
        </w:rPr>
        <w:t>la</w:t>
      </w:r>
      <w:r>
        <w:rPr>
          <w:color w:val="231F20"/>
          <w:spacing w:val="-23"/>
        </w:rPr>
        <w:t> </w:t>
      </w:r>
      <w:r>
        <w:rPr>
          <w:color w:val="231F20"/>
        </w:rPr>
        <w:t>comunidad</w:t>
      </w:r>
      <w:r>
        <w:rPr>
          <w:color w:val="231F20"/>
          <w:spacing w:val="-23"/>
        </w:rPr>
        <w:t> </w:t>
      </w:r>
      <w:r>
        <w:rPr>
          <w:color w:val="231F20"/>
        </w:rPr>
        <w:t>internacional</w:t>
      </w:r>
      <w:r>
        <w:rPr>
          <w:color w:val="231F20"/>
          <w:spacing w:val="-24"/>
        </w:rPr>
        <w:t> </w:t>
      </w:r>
      <w:r>
        <w:rPr>
          <w:color w:val="231F20"/>
        </w:rPr>
        <w:t>y</w:t>
      </w:r>
      <w:r>
        <w:rPr>
          <w:color w:val="231F20"/>
          <w:spacing w:val="-23"/>
        </w:rPr>
        <w:t> </w:t>
      </w:r>
      <w:r>
        <w:rPr>
          <w:color w:val="231F20"/>
        </w:rPr>
        <w:t>la</w:t>
      </w:r>
      <w:r>
        <w:rPr>
          <w:color w:val="231F20"/>
          <w:spacing w:val="-24"/>
        </w:rPr>
        <w:t> </w:t>
      </w:r>
      <w:r>
        <w:rPr>
          <w:color w:val="231F20"/>
        </w:rPr>
        <w:t>sociedad</w:t>
      </w:r>
      <w:r>
        <w:rPr>
          <w:color w:val="231F20"/>
          <w:spacing w:val="-23"/>
        </w:rPr>
        <w:t> </w:t>
      </w:r>
      <w:r>
        <w:rPr>
          <w:color w:val="231F20"/>
        </w:rPr>
        <w:t>civil.</w:t>
      </w:r>
    </w:p>
    <w:p>
      <w:pPr>
        <w:pStyle w:val="BodyText"/>
        <w:spacing w:line="226" w:lineRule="exact"/>
        <w:ind w:left="113" w:firstLine="284"/>
        <w:jc w:val="both"/>
      </w:pPr>
      <w:r>
        <w:rPr>
          <w:color w:val="231F20"/>
        </w:rPr>
        <w:t>Mendoza (2011) comienza hablando de la violencia a partir de la</w:t>
      </w:r>
    </w:p>
    <w:p>
      <w:pPr>
        <w:pStyle w:val="BodyText"/>
        <w:spacing w:line="247" w:lineRule="auto" w:before="3"/>
        <w:ind w:left="113" w:right="114"/>
        <w:jc w:val="both"/>
      </w:pPr>
      <w:r>
        <w:rPr>
          <w:color w:val="231F20"/>
        </w:rPr>
        <w:t>agresividad, puesto que a esta última se la considera inherente a la naturaleza humana, innata, mientras que la violencia es  la  agresividad mal manejada. Lo mismo dice Ochoa (2011) acerca del conflicto inherente al ser humano y la violencia resulta la manifestación patológica del conflicto. Incluso en las  tres  principales teorías de Relaciones Internacionales y, particularmente, en la historia de la diplomacia, el término de referencia para definir las relaciones entre un actor y otro o entre un país y otro se emplea   el concepto de agresión. Sin embargo, determinar de dónde viene la agresión es una cuestión de controversia filosófica en la que nos explica Mendoza, se encuentran dos posturas: una en la que el ser humano es intrínsecamente agresivo y es la sociedad quien debe moldear su conducta a través de la educación, para contener y canalizar esta agresión innata de forma positiva o socialmente aceptada. La segunda postura sugiere lo contrario: la agresividad es aprendida, copiada y modelada por el ambiente social en el que se desarrolla la persona, en comparación con alguien que nace o crece en un ambiente violento.De acuerdo con la misma  autora,  las  teorías psicoanalíticas modernas entienden que la agresión es una reacción impulsiva innata, relegada a nivel inconsciente y no asociada a ningún tipo de placer. Postulan dos tipos de agresión:  </w:t>
      </w:r>
      <w:r>
        <w:rPr>
          <w:i/>
          <w:color w:val="231F20"/>
        </w:rPr>
        <w:t>activo </w:t>
      </w:r>
      <w:r>
        <w:rPr>
          <w:color w:val="231F20"/>
        </w:rPr>
        <w:t>(el deseo de herir o dominar) y el </w:t>
      </w:r>
      <w:r>
        <w:rPr>
          <w:i/>
          <w:color w:val="231F20"/>
        </w:rPr>
        <w:t>pasivo </w:t>
      </w:r>
      <w:r>
        <w:rPr>
          <w:color w:val="231F20"/>
        </w:rPr>
        <w:t>(el deseo de ser dominado, herido o destruido). Existe la teoría bioquímica  o  genética que sostiene que el comportamiento agresivo se desencadena como consecuencia de una serie de procesos bioquímicos y del papel decisivo de los neurotransmisores –la noradrenalina y serotonina– involucrado en una mayor conducta agresiva. Por lo que hay cierta claridad de la existencia de aspectos evolutivos ligados a la violencia que no son suficientes para poder explicarla;</w:t>
      </w:r>
      <w:r>
        <w:rPr>
          <w:color w:val="231F20"/>
          <w:spacing w:val="30"/>
        </w:rPr>
        <w:t> </w:t>
      </w:r>
      <w:r>
        <w:rPr>
          <w:color w:val="231F20"/>
        </w:rPr>
        <w:t>por</w:t>
      </w:r>
      <w:r>
        <w:rPr>
          <w:color w:val="231F20"/>
          <w:spacing w:val="30"/>
        </w:rPr>
        <w:t> </w:t>
      </w:r>
      <w:r>
        <w:rPr>
          <w:color w:val="231F20"/>
        </w:rPr>
        <w:t>lo</w:t>
      </w:r>
      <w:r>
        <w:rPr>
          <w:color w:val="231F20"/>
          <w:spacing w:val="31"/>
        </w:rPr>
        <w:t> </w:t>
      </w:r>
      <w:r>
        <w:rPr>
          <w:color w:val="231F20"/>
        </w:rPr>
        <w:t>que</w:t>
      </w:r>
      <w:r>
        <w:rPr>
          <w:color w:val="231F20"/>
          <w:spacing w:val="30"/>
        </w:rPr>
        <w:t> </w:t>
      </w:r>
      <w:r>
        <w:rPr>
          <w:color w:val="231F20"/>
        </w:rPr>
        <w:t>prevalece</w:t>
      </w:r>
      <w:r>
        <w:rPr>
          <w:color w:val="231F20"/>
          <w:spacing w:val="30"/>
        </w:rPr>
        <w:t> </w:t>
      </w:r>
      <w:r>
        <w:rPr>
          <w:color w:val="231F20"/>
        </w:rPr>
        <w:t>la</w:t>
      </w:r>
      <w:r>
        <w:rPr>
          <w:color w:val="231F20"/>
          <w:spacing w:val="30"/>
        </w:rPr>
        <w:t> </w:t>
      </w:r>
      <w:r>
        <w:rPr>
          <w:color w:val="231F20"/>
        </w:rPr>
        <w:t>idea</w:t>
      </w:r>
      <w:r>
        <w:rPr>
          <w:color w:val="231F20"/>
          <w:spacing w:val="30"/>
        </w:rPr>
        <w:t> </w:t>
      </w:r>
      <w:r>
        <w:rPr>
          <w:color w:val="231F20"/>
        </w:rPr>
        <w:t>de</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agresión</w:t>
      </w:r>
      <w:r>
        <w:rPr>
          <w:color w:val="231F20"/>
          <w:spacing w:val="31"/>
        </w:rPr>
        <w:t> </w:t>
      </w:r>
      <w:r>
        <w:rPr>
          <w:color w:val="231F20"/>
        </w:rPr>
        <w:t>es</w:t>
      </w:r>
      <w:r>
        <w:rPr>
          <w:color w:val="231F20"/>
          <w:spacing w:val="30"/>
        </w:rPr>
        <w:t> </w:t>
      </w:r>
      <w:r>
        <w:rPr>
          <w:color w:val="231F20"/>
        </w:rPr>
        <w:t>una</w:t>
      </w:r>
    </w:p>
    <w:p>
      <w:pPr>
        <w:spacing w:after="0" w:line="247" w:lineRule="auto"/>
        <w:jc w:val="both"/>
        <w:sectPr>
          <w:headerReference w:type="default" r:id="rId647"/>
          <w:footerReference w:type="default" r:id="rId648"/>
          <w:pgSz w:w="7830" w:h="11910"/>
          <w:pgMar w:header="0" w:footer="424" w:top="500" w:bottom="620" w:left="880" w:right="900"/>
          <w:pgNumType w:start="289"/>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205"/>
      </w:pPr>
      <w:r>
        <w:rPr>
          <w:color w:val="231F20"/>
        </w:rPr>
        <w:t>forma de interacción aprendida y moldeada por el ambiente en el  que</w:t>
      </w:r>
      <w:r>
        <w:rPr>
          <w:color w:val="231F20"/>
          <w:spacing w:val="-6"/>
        </w:rPr>
        <w:t> </w:t>
      </w:r>
      <w:r>
        <w:rPr>
          <w:color w:val="231F20"/>
        </w:rPr>
        <w:t>el</w:t>
      </w:r>
      <w:r>
        <w:rPr>
          <w:color w:val="231F20"/>
          <w:spacing w:val="-7"/>
        </w:rPr>
        <w:t> </w:t>
      </w:r>
      <w:r>
        <w:rPr>
          <w:color w:val="231F20"/>
        </w:rPr>
        <w:t>individuo</w:t>
      </w:r>
      <w:r>
        <w:rPr>
          <w:color w:val="231F20"/>
          <w:spacing w:val="-6"/>
        </w:rPr>
        <w:t> </w:t>
      </w:r>
      <w:r>
        <w:rPr>
          <w:color w:val="231F20"/>
        </w:rPr>
        <w:t>se</w:t>
      </w:r>
      <w:r>
        <w:rPr>
          <w:color w:val="231F20"/>
          <w:spacing w:val="-6"/>
        </w:rPr>
        <w:t> </w:t>
      </w:r>
      <w:r>
        <w:rPr>
          <w:color w:val="231F20"/>
        </w:rPr>
        <w:t>desarrolla</w:t>
      </w:r>
      <w:r>
        <w:rPr>
          <w:color w:val="231F20"/>
          <w:spacing w:val="-6"/>
        </w:rPr>
        <w:t> </w:t>
      </w:r>
      <w:r>
        <w:rPr>
          <w:color w:val="231F20"/>
        </w:rPr>
        <w:t>(Mendoza,</w:t>
      </w:r>
      <w:r>
        <w:rPr>
          <w:color w:val="231F20"/>
          <w:spacing w:val="-7"/>
        </w:rPr>
        <w:t> </w:t>
      </w:r>
      <w:r>
        <w:rPr>
          <w:color w:val="231F20"/>
        </w:rPr>
        <w:t>2011:</w:t>
      </w:r>
      <w:r>
        <w:rPr>
          <w:color w:val="231F20"/>
          <w:spacing w:val="-7"/>
        </w:rPr>
        <w:t> </w:t>
      </w:r>
      <w:r>
        <w:rPr>
          <w:color w:val="231F20"/>
        </w:rPr>
        <w:t>13).</w:t>
      </w:r>
    </w:p>
    <w:p>
      <w:pPr>
        <w:pStyle w:val="BodyText"/>
        <w:spacing w:line="249" w:lineRule="auto" w:before="10"/>
        <w:ind w:left="102" w:right="107" w:firstLine="284"/>
        <w:jc w:val="both"/>
      </w:pPr>
      <w:r>
        <w:rPr>
          <w:color w:val="231F20"/>
        </w:rPr>
        <w:t>El </w:t>
      </w:r>
      <w:r>
        <w:rPr>
          <w:color w:val="231F20"/>
          <w:spacing w:val="2"/>
        </w:rPr>
        <w:t>origen </w:t>
      </w:r>
      <w:r>
        <w:rPr>
          <w:color w:val="231F20"/>
        </w:rPr>
        <w:t>de la </w:t>
      </w:r>
      <w:r>
        <w:rPr>
          <w:color w:val="231F20"/>
          <w:spacing w:val="2"/>
        </w:rPr>
        <w:t>violencia </w:t>
      </w:r>
      <w:r>
        <w:rPr>
          <w:color w:val="231F20"/>
        </w:rPr>
        <w:t>es </w:t>
      </w:r>
      <w:r>
        <w:rPr>
          <w:color w:val="231F20"/>
          <w:spacing w:val="3"/>
        </w:rPr>
        <w:t>multifactorial. </w:t>
      </w:r>
      <w:r>
        <w:rPr>
          <w:color w:val="231F20"/>
        </w:rPr>
        <w:t>Se </w:t>
      </w:r>
      <w:r>
        <w:rPr>
          <w:color w:val="231F20"/>
          <w:spacing w:val="2"/>
        </w:rPr>
        <w:t>han </w:t>
      </w:r>
      <w:r>
        <w:rPr>
          <w:color w:val="231F20"/>
          <w:spacing w:val="3"/>
        </w:rPr>
        <w:t>identificado </w:t>
      </w:r>
      <w:r>
        <w:rPr>
          <w:color w:val="231F20"/>
          <w:spacing w:val="2"/>
        </w:rPr>
        <w:t>algunos factores </w:t>
      </w:r>
      <w:r>
        <w:rPr>
          <w:color w:val="231F20"/>
          <w:spacing w:val="3"/>
        </w:rPr>
        <w:t>desencadenantes: </w:t>
      </w:r>
      <w:r>
        <w:rPr>
          <w:color w:val="231F20"/>
        </w:rPr>
        <w:t>a) </w:t>
      </w:r>
      <w:r>
        <w:rPr>
          <w:color w:val="231F20"/>
          <w:spacing w:val="2"/>
        </w:rPr>
        <w:t>individuales </w:t>
      </w:r>
      <w:r>
        <w:rPr>
          <w:color w:val="231F20"/>
          <w:spacing w:val="3"/>
        </w:rPr>
        <w:t>(hedonismo </w:t>
      </w:r>
      <w:r>
        <w:rPr>
          <w:color w:val="231F20"/>
          <w:spacing w:val="2"/>
        </w:rPr>
        <w:t>corporal, egoísmo narcisista, </w:t>
      </w:r>
      <w:r>
        <w:rPr>
          <w:color w:val="231F20"/>
          <w:spacing w:val="3"/>
        </w:rPr>
        <w:t>individualismo, </w:t>
      </w:r>
      <w:r>
        <w:rPr>
          <w:color w:val="231F20"/>
          <w:spacing w:val="2"/>
        </w:rPr>
        <w:t>crisis </w:t>
      </w:r>
      <w:r>
        <w:rPr>
          <w:color w:val="231F20"/>
        </w:rPr>
        <w:t>de </w:t>
      </w:r>
      <w:r>
        <w:rPr>
          <w:color w:val="231F20"/>
          <w:spacing w:val="2"/>
        </w:rPr>
        <w:t>valores </w:t>
      </w:r>
      <w:r>
        <w:rPr>
          <w:color w:val="231F20"/>
          <w:spacing w:val="3"/>
        </w:rPr>
        <w:t>–con predominio </w:t>
      </w:r>
      <w:r>
        <w:rPr>
          <w:color w:val="231F20"/>
        </w:rPr>
        <w:t>de </w:t>
      </w:r>
      <w:r>
        <w:rPr>
          <w:color w:val="231F20"/>
          <w:spacing w:val="2"/>
        </w:rPr>
        <w:t>poder, prestigio </w:t>
      </w:r>
      <w:r>
        <w:rPr>
          <w:color w:val="231F20"/>
        </w:rPr>
        <w:t>y </w:t>
      </w:r>
      <w:r>
        <w:rPr>
          <w:color w:val="231F20"/>
          <w:spacing w:val="2"/>
        </w:rPr>
        <w:t>lucro–, manejo inadecuado </w:t>
      </w:r>
      <w:r>
        <w:rPr>
          <w:color w:val="231F20"/>
        </w:rPr>
        <w:t>del </w:t>
      </w:r>
      <w:r>
        <w:rPr>
          <w:color w:val="231F20"/>
          <w:spacing w:val="3"/>
        </w:rPr>
        <w:t>tiempo, </w:t>
      </w:r>
      <w:r>
        <w:rPr>
          <w:color w:val="231F20"/>
          <w:spacing w:val="2"/>
        </w:rPr>
        <w:t>uso </w:t>
      </w:r>
      <w:r>
        <w:rPr>
          <w:color w:val="231F20"/>
        </w:rPr>
        <w:t>de </w:t>
      </w:r>
      <w:r>
        <w:rPr>
          <w:color w:val="231F20"/>
          <w:spacing w:val="2"/>
        </w:rPr>
        <w:t>drogas, depresión, baja </w:t>
      </w:r>
      <w:r>
        <w:rPr>
          <w:color w:val="231F20"/>
          <w:spacing w:val="3"/>
        </w:rPr>
        <w:t>autoestima, </w:t>
      </w:r>
      <w:r>
        <w:rPr>
          <w:color w:val="231F20"/>
          <w:spacing w:val="2"/>
        </w:rPr>
        <w:t>bajo </w:t>
      </w:r>
      <w:r>
        <w:rPr>
          <w:color w:val="231F20"/>
          <w:spacing w:val="3"/>
        </w:rPr>
        <w:t>autocon- </w:t>
      </w:r>
      <w:r>
        <w:rPr>
          <w:color w:val="231F20"/>
          <w:spacing w:val="2"/>
        </w:rPr>
        <w:t>trol, entre otros); </w:t>
      </w:r>
      <w:r>
        <w:rPr>
          <w:color w:val="231F20"/>
        </w:rPr>
        <w:t>b) </w:t>
      </w:r>
      <w:r>
        <w:rPr>
          <w:color w:val="231F20"/>
          <w:spacing w:val="2"/>
        </w:rPr>
        <w:t>interpersonales (debidos </w:t>
      </w:r>
      <w:r>
        <w:rPr>
          <w:color w:val="231F20"/>
        </w:rPr>
        <w:t>en la </w:t>
      </w:r>
      <w:r>
        <w:rPr>
          <w:color w:val="231F20"/>
          <w:spacing w:val="2"/>
        </w:rPr>
        <w:t>mayoría </w:t>
      </w:r>
      <w:r>
        <w:rPr>
          <w:color w:val="231F20"/>
        </w:rPr>
        <w:t>de </w:t>
      </w:r>
      <w:r>
        <w:rPr>
          <w:color w:val="231F20"/>
          <w:spacing w:val="2"/>
        </w:rPr>
        <w:t>las ocasiones </w:t>
      </w:r>
      <w:r>
        <w:rPr>
          <w:color w:val="231F20"/>
        </w:rPr>
        <w:t>a la </w:t>
      </w:r>
      <w:r>
        <w:rPr>
          <w:color w:val="231F20"/>
          <w:spacing w:val="2"/>
        </w:rPr>
        <w:t>falta </w:t>
      </w:r>
      <w:r>
        <w:rPr>
          <w:color w:val="231F20"/>
        </w:rPr>
        <w:t>de </w:t>
      </w:r>
      <w:r>
        <w:rPr>
          <w:color w:val="231F20"/>
          <w:spacing w:val="3"/>
        </w:rPr>
        <w:t>comunicación), sentimientos </w:t>
      </w:r>
      <w:r>
        <w:rPr>
          <w:color w:val="231F20"/>
        </w:rPr>
        <w:t>de </w:t>
      </w:r>
      <w:r>
        <w:rPr>
          <w:color w:val="231F20"/>
          <w:spacing w:val="2"/>
        </w:rPr>
        <w:t>rivalidad </w:t>
      </w:r>
      <w:r>
        <w:rPr>
          <w:color w:val="231F20"/>
        </w:rPr>
        <w:t>y </w:t>
      </w:r>
      <w:r>
        <w:rPr>
          <w:color w:val="231F20"/>
          <w:spacing w:val="3"/>
        </w:rPr>
        <w:t>competencia, </w:t>
      </w:r>
      <w:r>
        <w:rPr>
          <w:color w:val="231F20"/>
          <w:spacing w:val="2"/>
        </w:rPr>
        <w:t>crisis familiares); </w:t>
      </w:r>
      <w:r>
        <w:rPr>
          <w:color w:val="231F20"/>
        </w:rPr>
        <w:t>c) </w:t>
      </w:r>
      <w:r>
        <w:rPr>
          <w:color w:val="231F20"/>
          <w:spacing w:val="2"/>
        </w:rPr>
        <w:t>sociales </w:t>
      </w:r>
      <w:r>
        <w:rPr>
          <w:color w:val="231F20"/>
          <w:spacing w:val="3"/>
        </w:rPr>
        <w:t>(anomia, </w:t>
      </w:r>
      <w:r>
        <w:rPr>
          <w:color w:val="231F20"/>
          <w:spacing w:val="2"/>
        </w:rPr>
        <w:t>patriarcado machista); </w:t>
      </w:r>
      <w:r>
        <w:rPr>
          <w:color w:val="231F20"/>
        </w:rPr>
        <w:t>d) </w:t>
      </w:r>
      <w:r>
        <w:rPr>
          <w:color w:val="231F20"/>
          <w:spacing w:val="2"/>
        </w:rPr>
        <w:t>ambientales (ruptura </w:t>
      </w:r>
      <w:r>
        <w:rPr>
          <w:color w:val="231F20"/>
        </w:rPr>
        <w:t>con la </w:t>
      </w:r>
      <w:r>
        <w:rPr>
          <w:color w:val="231F20"/>
          <w:spacing w:val="2"/>
        </w:rPr>
        <w:t>naturaleza, escasez </w:t>
      </w:r>
      <w:r>
        <w:rPr>
          <w:color w:val="231F20"/>
        </w:rPr>
        <w:t>de </w:t>
      </w:r>
      <w:r>
        <w:rPr>
          <w:color w:val="231F20"/>
          <w:spacing w:val="2"/>
        </w:rPr>
        <w:t>espacio vital); </w:t>
      </w:r>
      <w:r>
        <w:rPr>
          <w:color w:val="231F20"/>
        </w:rPr>
        <w:t>e) </w:t>
      </w:r>
      <w:r>
        <w:rPr>
          <w:color w:val="231F20"/>
          <w:spacing w:val="3"/>
        </w:rPr>
        <w:t>socio-económicos </w:t>
      </w:r>
      <w:r>
        <w:rPr>
          <w:color w:val="231F20"/>
          <w:spacing w:val="2"/>
        </w:rPr>
        <w:t>(edad, sexo, baja </w:t>
      </w:r>
      <w:r>
        <w:rPr>
          <w:color w:val="231F20"/>
          <w:spacing w:val="3"/>
        </w:rPr>
        <w:t>supervisión </w:t>
      </w:r>
      <w:r>
        <w:rPr>
          <w:color w:val="231F20"/>
          <w:spacing w:val="2"/>
        </w:rPr>
        <w:t>parental, desigualdad, </w:t>
      </w:r>
      <w:r>
        <w:rPr>
          <w:color w:val="231F20"/>
          <w:spacing w:val="3"/>
        </w:rPr>
        <w:t>pobreza, </w:t>
      </w:r>
      <w:r>
        <w:rPr>
          <w:color w:val="231F20"/>
          <w:spacing w:val="2"/>
        </w:rPr>
        <w:t>estereotipos </w:t>
      </w:r>
      <w:r>
        <w:rPr>
          <w:color w:val="231F20"/>
        </w:rPr>
        <w:t>de </w:t>
      </w:r>
      <w:r>
        <w:rPr>
          <w:color w:val="231F20"/>
          <w:spacing w:val="2"/>
        </w:rPr>
        <w:t>género, asociación   </w:t>
      </w:r>
      <w:r>
        <w:rPr>
          <w:color w:val="231F20"/>
        </w:rPr>
        <w:t>a </w:t>
      </w:r>
      <w:r>
        <w:rPr>
          <w:color w:val="231F20"/>
          <w:spacing w:val="2"/>
        </w:rPr>
        <w:t>grupos </w:t>
      </w:r>
      <w:r>
        <w:rPr>
          <w:color w:val="231F20"/>
        </w:rPr>
        <w:t>de </w:t>
      </w:r>
      <w:r>
        <w:rPr>
          <w:color w:val="231F20"/>
          <w:spacing w:val="2"/>
        </w:rPr>
        <w:t>pares </w:t>
      </w:r>
      <w:r>
        <w:rPr>
          <w:color w:val="231F20"/>
        </w:rPr>
        <w:t>que </w:t>
      </w:r>
      <w:r>
        <w:rPr>
          <w:color w:val="231F20"/>
          <w:spacing w:val="2"/>
        </w:rPr>
        <w:t>validen </w:t>
      </w:r>
      <w:r>
        <w:rPr>
          <w:color w:val="231F20"/>
        </w:rPr>
        <w:t>la </w:t>
      </w:r>
      <w:r>
        <w:rPr>
          <w:color w:val="231F20"/>
          <w:spacing w:val="3"/>
        </w:rPr>
        <w:t>conducta </w:t>
      </w:r>
      <w:r>
        <w:rPr>
          <w:color w:val="231F20"/>
          <w:spacing w:val="2"/>
        </w:rPr>
        <w:t>violenta, validación cultural </w:t>
      </w:r>
      <w:r>
        <w:rPr>
          <w:color w:val="231F20"/>
        </w:rPr>
        <w:t>de la </w:t>
      </w:r>
      <w:r>
        <w:rPr>
          <w:color w:val="231F20"/>
          <w:spacing w:val="2"/>
        </w:rPr>
        <w:t>violencia); </w:t>
      </w:r>
      <w:r>
        <w:rPr>
          <w:color w:val="231F20"/>
        </w:rPr>
        <w:t>f) </w:t>
      </w:r>
      <w:r>
        <w:rPr>
          <w:color w:val="231F20"/>
          <w:spacing w:val="3"/>
        </w:rPr>
        <w:t>antecedentes </w:t>
      </w:r>
      <w:r>
        <w:rPr>
          <w:color w:val="231F20"/>
          <w:spacing w:val="2"/>
        </w:rPr>
        <w:t>familiares (por </w:t>
      </w:r>
      <w:r>
        <w:rPr>
          <w:color w:val="231F20"/>
        </w:rPr>
        <w:t>ser </w:t>
      </w:r>
      <w:r>
        <w:rPr>
          <w:color w:val="231F20"/>
          <w:spacing w:val="2"/>
        </w:rPr>
        <w:t>una </w:t>
      </w:r>
      <w:r>
        <w:rPr>
          <w:color w:val="231F20"/>
          <w:spacing w:val="3"/>
        </w:rPr>
        <w:t>conducta aprendida), </w:t>
      </w:r>
      <w:r>
        <w:rPr>
          <w:color w:val="231F20"/>
          <w:spacing w:val="2"/>
        </w:rPr>
        <w:t>entre</w:t>
      </w:r>
      <w:r>
        <w:rPr>
          <w:color w:val="231F20"/>
          <w:spacing w:val="30"/>
        </w:rPr>
        <w:t> </w:t>
      </w:r>
      <w:r>
        <w:rPr>
          <w:color w:val="231F20"/>
          <w:spacing w:val="2"/>
        </w:rPr>
        <w:t>otros.</w:t>
      </w:r>
    </w:p>
    <w:p>
      <w:pPr>
        <w:pStyle w:val="BodyText"/>
        <w:spacing w:line="249" w:lineRule="auto"/>
        <w:ind w:left="102" w:right="107" w:firstLine="284"/>
        <w:jc w:val="both"/>
      </w:pPr>
      <w:r>
        <w:rPr>
          <w:color w:val="231F20"/>
          <w:spacing w:val="3"/>
        </w:rPr>
        <w:t>Lo </w:t>
      </w:r>
      <w:r>
        <w:rPr>
          <w:color w:val="231F20"/>
          <w:spacing w:val="4"/>
        </w:rPr>
        <w:t>cierto </w:t>
      </w:r>
      <w:r>
        <w:rPr>
          <w:color w:val="231F20"/>
          <w:spacing w:val="2"/>
        </w:rPr>
        <w:t>es </w:t>
      </w:r>
      <w:r>
        <w:rPr>
          <w:color w:val="231F20"/>
          <w:spacing w:val="3"/>
        </w:rPr>
        <w:t>que </w:t>
      </w:r>
      <w:r>
        <w:rPr>
          <w:color w:val="231F20"/>
          <w:spacing w:val="5"/>
        </w:rPr>
        <w:t>históricamente </w:t>
      </w:r>
      <w:r>
        <w:rPr>
          <w:color w:val="231F20"/>
          <w:spacing w:val="2"/>
        </w:rPr>
        <w:t>el </w:t>
      </w:r>
      <w:r>
        <w:rPr>
          <w:color w:val="231F20"/>
          <w:spacing w:val="4"/>
        </w:rPr>
        <w:t>grupo </w:t>
      </w:r>
      <w:r>
        <w:rPr>
          <w:color w:val="231F20"/>
          <w:spacing w:val="3"/>
        </w:rPr>
        <w:t>de </w:t>
      </w:r>
      <w:r>
        <w:rPr>
          <w:color w:val="231F20"/>
          <w:spacing w:val="4"/>
        </w:rPr>
        <w:t>mujeres </w:t>
      </w:r>
      <w:r>
        <w:rPr>
          <w:color w:val="231F20"/>
        </w:rPr>
        <w:t>y </w:t>
      </w:r>
      <w:r>
        <w:rPr>
          <w:color w:val="231F20"/>
          <w:spacing w:val="5"/>
        </w:rPr>
        <w:t>niños  </w:t>
      </w:r>
      <w:r>
        <w:rPr>
          <w:color w:val="231F20"/>
          <w:spacing w:val="3"/>
        </w:rPr>
        <w:t>ha </w:t>
      </w:r>
      <w:r>
        <w:rPr>
          <w:color w:val="231F20"/>
          <w:spacing w:val="4"/>
        </w:rPr>
        <w:t>sido </w:t>
      </w:r>
      <w:r>
        <w:rPr>
          <w:color w:val="231F20"/>
          <w:spacing w:val="3"/>
        </w:rPr>
        <w:t>uno de los </w:t>
      </w:r>
      <w:r>
        <w:rPr>
          <w:color w:val="231F20"/>
          <w:spacing w:val="4"/>
        </w:rPr>
        <w:t>más identificados como grupos vulnerables </w:t>
      </w:r>
      <w:r>
        <w:rPr>
          <w:color w:val="231F20"/>
        </w:rPr>
        <w:t>y   a </w:t>
      </w:r>
      <w:r>
        <w:rPr>
          <w:color w:val="231F20"/>
          <w:spacing w:val="4"/>
        </w:rPr>
        <w:t>quienes </w:t>
      </w:r>
      <w:r>
        <w:rPr>
          <w:color w:val="231F20"/>
          <w:spacing w:val="2"/>
        </w:rPr>
        <w:t>se </w:t>
      </w:r>
      <w:r>
        <w:rPr>
          <w:color w:val="231F20"/>
          <w:spacing w:val="3"/>
        </w:rPr>
        <w:t>han </w:t>
      </w:r>
      <w:r>
        <w:rPr>
          <w:color w:val="231F20"/>
          <w:spacing w:val="4"/>
        </w:rPr>
        <w:t>dirigido </w:t>
      </w:r>
      <w:r>
        <w:rPr>
          <w:color w:val="231F20"/>
          <w:spacing w:val="3"/>
        </w:rPr>
        <w:t>una gran </w:t>
      </w:r>
      <w:r>
        <w:rPr>
          <w:color w:val="231F20"/>
          <w:spacing w:val="4"/>
        </w:rPr>
        <w:t>cantidad </w:t>
      </w:r>
      <w:r>
        <w:rPr>
          <w:color w:val="231F20"/>
          <w:spacing w:val="3"/>
        </w:rPr>
        <w:t>de </w:t>
      </w:r>
      <w:r>
        <w:rPr>
          <w:color w:val="231F20"/>
          <w:spacing w:val="4"/>
        </w:rPr>
        <w:t>esfuerzos, </w:t>
      </w:r>
      <w:r>
        <w:rPr>
          <w:color w:val="231F20"/>
        </w:rPr>
        <w:t>a </w:t>
      </w:r>
      <w:r>
        <w:rPr>
          <w:color w:val="231F20"/>
          <w:spacing w:val="4"/>
        </w:rPr>
        <w:t>través </w:t>
      </w:r>
      <w:r>
        <w:rPr>
          <w:color w:val="231F20"/>
          <w:spacing w:val="3"/>
        </w:rPr>
        <w:t>de </w:t>
      </w:r>
      <w:r>
        <w:rPr>
          <w:color w:val="231F20"/>
          <w:spacing w:val="4"/>
        </w:rPr>
        <w:t>organismos internacionales </w:t>
      </w:r>
      <w:r>
        <w:rPr>
          <w:color w:val="231F20"/>
          <w:spacing w:val="3"/>
        </w:rPr>
        <w:t>para </w:t>
      </w:r>
      <w:r>
        <w:rPr>
          <w:color w:val="231F20"/>
        </w:rPr>
        <w:t>la </w:t>
      </w:r>
      <w:r>
        <w:rPr>
          <w:color w:val="231F20"/>
          <w:spacing w:val="4"/>
        </w:rPr>
        <w:t>creación </w:t>
      </w:r>
      <w:r>
        <w:rPr>
          <w:color w:val="231F20"/>
        </w:rPr>
        <w:t>y </w:t>
      </w:r>
      <w:r>
        <w:rPr>
          <w:color w:val="231F20"/>
          <w:spacing w:val="4"/>
        </w:rPr>
        <w:t>ejercicio </w:t>
      </w:r>
      <w:r>
        <w:rPr>
          <w:color w:val="231F20"/>
          <w:spacing w:val="3"/>
        </w:rPr>
        <w:t>de </w:t>
      </w:r>
      <w:r>
        <w:rPr>
          <w:color w:val="231F20"/>
          <w:spacing w:val="4"/>
        </w:rPr>
        <w:t>normas </w:t>
      </w:r>
      <w:r>
        <w:rPr>
          <w:color w:val="231F20"/>
        </w:rPr>
        <w:t>y </w:t>
      </w:r>
      <w:r>
        <w:rPr>
          <w:color w:val="231F20"/>
          <w:spacing w:val="4"/>
        </w:rPr>
        <w:t>leyes, </w:t>
      </w:r>
      <w:r>
        <w:rPr>
          <w:color w:val="231F20"/>
          <w:spacing w:val="3"/>
        </w:rPr>
        <w:t>con el fin de </w:t>
      </w:r>
      <w:r>
        <w:rPr>
          <w:color w:val="231F20"/>
          <w:spacing w:val="4"/>
        </w:rPr>
        <w:t>propiciar ambientes saludables diri- gidos </w:t>
      </w:r>
      <w:r>
        <w:rPr>
          <w:color w:val="231F20"/>
        </w:rPr>
        <w:t>a </w:t>
      </w:r>
      <w:r>
        <w:rPr>
          <w:color w:val="231F20"/>
          <w:spacing w:val="4"/>
        </w:rPr>
        <w:t>estos grupos poblacionales. </w:t>
      </w:r>
      <w:r>
        <w:rPr>
          <w:color w:val="231F20"/>
          <w:spacing w:val="3"/>
        </w:rPr>
        <w:t>Sin </w:t>
      </w:r>
      <w:r>
        <w:rPr>
          <w:color w:val="231F20"/>
          <w:spacing w:val="4"/>
        </w:rPr>
        <w:t>embargo, existen otros sectores poblaciones </w:t>
      </w:r>
      <w:r>
        <w:rPr>
          <w:color w:val="231F20"/>
          <w:spacing w:val="3"/>
        </w:rPr>
        <w:t>que </w:t>
      </w:r>
      <w:r>
        <w:rPr>
          <w:color w:val="231F20"/>
          <w:spacing w:val="4"/>
        </w:rPr>
        <w:t>también </w:t>
      </w:r>
      <w:r>
        <w:rPr>
          <w:color w:val="231F20"/>
          <w:spacing w:val="3"/>
        </w:rPr>
        <w:t>son </w:t>
      </w:r>
      <w:r>
        <w:rPr>
          <w:color w:val="231F20"/>
          <w:spacing w:val="4"/>
        </w:rPr>
        <w:t>víctimas </w:t>
      </w:r>
      <w:r>
        <w:rPr>
          <w:color w:val="231F20"/>
          <w:spacing w:val="3"/>
        </w:rPr>
        <w:t>de este </w:t>
      </w:r>
      <w:r>
        <w:rPr>
          <w:color w:val="231F20"/>
          <w:spacing w:val="5"/>
        </w:rPr>
        <w:t>fenó- </w:t>
      </w:r>
      <w:r>
        <w:rPr>
          <w:color w:val="231F20"/>
          <w:spacing w:val="4"/>
        </w:rPr>
        <w:t>meno: </w:t>
      </w:r>
      <w:r>
        <w:rPr>
          <w:color w:val="231F20"/>
          <w:spacing w:val="3"/>
        </w:rPr>
        <w:t>los </w:t>
      </w:r>
      <w:r>
        <w:rPr>
          <w:color w:val="231F20"/>
          <w:spacing w:val="4"/>
        </w:rPr>
        <w:t>jóvenes. </w:t>
      </w:r>
      <w:r>
        <w:rPr>
          <w:color w:val="231F20"/>
          <w:spacing w:val="3"/>
        </w:rPr>
        <w:t>En </w:t>
      </w:r>
      <w:r>
        <w:rPr>
          <w:color w:val="231F20"/>
          <w:spacing w:val="4"/>
        </w:rPr>
        <w:t>Quintana Roo, </w:t>
      </w:r>
      <w:r>
        <w:rPr>
          <w:color w:val="231F20"/>
          <w:spacing w:val="3"/>
        </w:rPr>
        <w:t>de </w:t>
      </w:r>
      <w:r>
        <w:rPr>
          <w:color w:val="231F20"/>
          <w:spacing w:val="4"/>
        </w:rPr>
        <w:t>acuerdo </w:t>
      </w:r>
      <w:r>
        <w:rPr>
          <w:color w:val="231F20"/>
          <w:spacing w:val="3"/>
        </w:rPr>
        <w:t>con  </w:t>
      </w:r>
      <w:r>
        <w:rPr>
          <w:color w:val="231F20"/>
          <w:spacing w:val="2"/>
        </w:rPr>
        <w:t>el  </w:t>
      </w:r>
      <w:r>
        <w:rPr>
          <w:color w:val="231F20"/>
          <w:spacing w:val="4"/>
        </w:rPr>
        <w:t>Censo  </w:t>
      </w:r>
      <w:r>
        <w:rPr>
          <w:color w:val="231F20"/>
          <w:spacing w:val="3"/>
        </w:rPr>
        <w:t>de </w:t>
      </w:r>
      <w:r>
        <w:rPr>
          <w:color w:val="231F20"/>
          <w:spacing w:val="4"/>
        </w:rPr>
        <w:t>Población </w:t>
      </w:r>
      <w:r>
        <w:rPr>
          <w:color w:val="231F20"/>
          <w:spacing w:val="3"/>
        </w:rPr>
        <w:t>de </w:t>
      </w:r>
      <w:r>
        <w:rPr>
          <w:color w:val="231F20"/>
          <w:spacing w:val="4"/>
        </w:rPr>
        <w:t>2010, </w:t>
      </w:r>
      <w:r>
        <w:rPr>
          <w:color w:val="231F20"/>
          <w:spacing w:val="2"/>
        </w:rPr>
        <w:t>se </w:t>
      </w:r>
      <w:r>
        <w:rPr>
          <w:color w:val="231F20"/>
          <w:spacing w:val="4"/>
        </w:rPr>
        <w:t>registró </w:t>
      </w:r>
      <w:r>
        <w:rPr>
          <w:color w:val="231F20"/>
          <w:spacing w:val="3"/>
        </w:rPr>
        <w:t>un </w:t>
      </w:r>
      <w:r>
        <w:rPr>
          <w:color w:val="231F20"/>
          <w:spacing w:val="4"/>
        </w:rPr>
        <w:t>total </w:t>
      </w:r>
      <w:r>
        <w:rPr>
          <w:color w:val="231F20"/>
          <w:spacing w:val="2"/>
        </w:rPr>
        <w:t>de </w:t>
      </w:r>
      <w:r>
        <w:rPr>
          <w:color w:val="231F20"/>
        </w:rPr>
        <w:t>1 </w:t>
      </w:r>
      <w:r>
        <w:rPr>
          <w:color w:val="231F20"/>
          <w:spacing w:val="3"/>
        </w:rPr>
        <w:t>325 578 </w:t>
      </w:r>
      <w:r>
        <w:rPr>
          <w:color w:val="231F20"/>
          <w:spacing w:val="5"/>
        </w:rPr>
        <w:t>habitan- </w:t>
      </w:r>
      <w:r>
        <w:rPr>
          <w:color w:val="231F20"/>
          <w:spacing w:val="3"/>
        </w:rPr>
        <w:t>tes, </w:t>
      </w:r>
      <w:r>
        <w:rPr>
          <w:color w:val="231F20"/>
          <w:spacing w:val="2"/>
        </w:rPr>
        <w:t>de </w:t>
      </w:r>
      <w:r>
        <w:rPr>
          <w:color w:val="231F20"/>
          <w:spacing w:val="3"/>
        </w:rPr>
        <w:t>los </w:t>
      </w:r>
      <w:r>
        <w:rPr>
          <w:color w:val="231F20"/>
          <w:spacing w:val="4"/>
        </w:rPr>
        <w:t>cuales </w:t>
      </w:r>
      <w:r>
        <w:rPr>
          <w:color w:val="231F20"/>
          <w:spacing w:val="2"/>
        </w:rPr>
        <w:t>el </w:t>
      </w:r>
      <w:r>
        <w:rPr>
          <w:color w:val="231F20"/>
          <w:spacing w:val="3"/>
        </w:rPr>
        <w:t>16% </w:t>
      </w:r>
      <w:r>
        <w:rPr>
          <w:color w:val="231F20"/>
          <w:spacing w:val="4"/>
        </w:rPr>
        <w:t>cuenta </w:t>
      </w:r>
      <w:r>
        <w:rPr>
          <w:color w:val="231F20"/>
          <w:spacing w:val="3"/>
        </w:rPr>
        <w:t>con </w:t>
      </w:r>
      <w:r>
        <w:rPr>
          <w:color w:val="231F20"/>
          <w:spacing w:val="4"/>
        </w:rPr>
        <w:t>nivel </w:t>
      </w:r>
      <w:r>
        <w:rPr>
          <w:color w:val="231F20"/>
          <w:spacing w:val="2"/>
        </w:rPr>
        <w:t>de </w:t>
      </w:r>
      <w:r>
        <w:rPr>
          <w:color w:val="231F20"/>
          <w:spacing w:val="4"/>
        </w:rPr>
        <w:t>instrucción </w:t>
      </w:r>
      <w:r>
        <w:rPr>
          <w:color w:val="231F20"/>
          <w:spacing w:val="5"/>
        </w:rPr>
        <w:t>supe- </w:t>
      </w:r>
      <w:r>
        <w:rPr>
          <w:color w:val="231F20"/>
          <w:spacing w:val="4"/>
        </w:rPr>
        <w:t>rior. </w:t>
      </w:r>
      <w:r>
        <w:rPr>
          <w:color w:val="231F20"/>
          <w:spacing w:val="3"/>
        </w:rPr>
        <w:t>Lo </w:t>
      </w:r>
      <w:r>
        <w:rPr>
          <w:color w:val="231F20"/>
          <w:spacing w:val="4"/>
        </w:rPr>
        <w:t>anterior permite identificar </w:t>
      </w:r>
      <w:r>
        <w:rPr>
          <w:color w:val="231F20"/>
          <w:spacing w:val="2"/>
        </w:rPr>
        <w:t>la </w:t>
      </w:r>
      <w:r>
        <w:rPr>
          <w:color w:val="231F20"/>
          <w:spacing w:val="4"/>
        </w:rPr>
        <w:t>proporción </w:t>
      </w:r>
      <w:r>
        <w:rPr>
          <w:color w:val="231F20"/>
          <w:spacing w:val="3"/>
        </w:rPr>
        <w:t>de </w:t>
      </w:r>
      <w:r>
        <w:rPr>
          <w:color w:val="231F20"/>
          <w:spacing w:val="4"/>
        </w:rPr>
        <w:t>sujetos </w:t>
      </w:r>
      <w:r>
        <w:rPr>
          <w:color w:val="231F20"/>
          <w:spacing w:val="3"/>
        </w:rPr>
        <w:t>que </w:t>
      </w:r>
      <w:r>
        <w:rPr>
          <w:color w:val="231F20"/>
          <w:spacing w:val="2"/>
        </w:rPr>
        <w:t>se </w:t>
      </w:r>
      <w:r>
        <w:rPr>
          <w:color w:val="231F20"/>
          <w:spacing w:val="4"/>
        </w:rPr>
        <w:t>encuentran </w:t>
      </w:r>
      <w:r>
        <w:rPr>
          <w:color w:val="231F20"/>
          <w:spacing w:val="2"/>
        </w:rPr>
        <w:t>en </w:t>
      </w:r>
      <w:r>
        <w:rPr>
          <w:color w:val="231F20"/>
          <w:spacing w:val="4"/>
        </w:rPr>
        <w:t>contacto </w:t>
      </w:r>
      <w:r>
        <w:rPr>
          <w:color w:val="231F20"/>
          <w:spacing w:val="3"/>
        </w:rPr>
        <w:t>con </w:t>
      </w:r>
      <w:r>
        <w:rPr>
          <w:color w:val="231F20"/>
          <w:spacing w:val="2"/>
        </w:rPr>
        <w:t>el </w:t>
      </w:r>
      <w:r>
        <w:rPr>
          <w:color w:val="231F20"/>
          <w:spacing w:val="4"/>
        </w:rPr>
        <w:t>nivel universitario, </w:t>
      </w:r>
      <w:r>
        <w:rPr>
          <w:color w:val="231F20"/>
          <w:spacing w:val="2"/>
        </w:rPr>
        <w:t>el </w:t>
      </w:r>
      <w:r>
        <w:rPr>
          <w:color w:val="231F20"/>
          <w:spacing w:val="3"/>
        </w:rPr>
        <w:t>cual </w:t>
      </w:r>
      <w:r>
        <w:rPr>
          <w:color w:val="231F20"/>
          <w:spacing w:val="2"/>
        </w:rPr>
        <w:t>se </w:t>
      </w:r>
      <w:r>
        <w:rPr>
          <w:color w:val="231F20"/>
          <w:spacing w:val="3"/>
        </w:rPr>
        <w:t>ha </w:t>
      </w:r>
      <w:r>
        <w:rPr>
          <w:color w:val="231F20"/>
          <w:spacing w:val="4"/>
        </w:rPr>
        <w:t>descrito como </w:t>
      </w:r>
      <w:r>
        <w:rPr>
          <w:color w:val="231F20"/>
          <w:spacing w:val="2"/>
        </w:rPr>
        <w:t>un </w:t>
      </w:r>
      <w:r>
        <w:rPr>
          <w:color w:val="231F20"/>
          <w:spacing w:val="4"/>
        </w:rPr>
        <w:t>espacio </w:t>
      </w:r>
      <w:r>
        <w:rPr>
          <w:color w:val="231F20"/>
          <w:spacing w:val="2"/>
        </w:rPr>
        <w:t>en el </w:t>
      </w:r>
      <w:r>
        <w:rPr>
          <w:color w:val="231F20"/>
          <w:spacing w:val="3"/>
        </w:rPr>
        <w:t>que </w:t>
      </w:r>
      <w:r>
        <w:rPr>
          <w:color w:val="231F20"/>
          <w:spacing w:val="2"/>
        </w:rPr>
        <w:t>se </w:t>
      </w:r>
      <w:r>
        <w:rPr>
          <w:color w:val="231F20"/>
          <w:spacing w:val="4"/>
        </w:rPr>
        <w:t>puede producir </w:t>
      </w:r>
      <w:r>
        <w:rPr>
          <w:color w:val="231F20"/>
        </w:rPr>
        <w:t>y </w:t>
      </w:r>
      <w:r>
        <w:rPr>
          <w:color w:val="231F20"/>
          <w:spacing w:val="5"/>
        </w:rPr>
        <w:t>reprodu- </w:t>
      </w:r>
      <w:r>
        <w:rPr>
          <w:color w:val="231F20"/>
          <w:spacing w:val="3"/>
        </w:rPr>
        <w:t>cir </w:t>
      </w:r>
      <w:r>
        <w:rPr>
          <w:color w:val="231F20"/>
        </w:rPr>
        <w:t>la </w:t>
      </w:r>
      <w:r>
        <w:rPr>
          <w:color w:val="231F20"/>
          <w:spacing w:val="4"/>
        </w:rPr>
        <w:t>violencia, pero que también puede ubicarse como </w:t>
      </w:r>
      <w:r>
        <w:rPr>
          <w:color w:val="231F20"/>
          <w:spacing w:val="3"/>
        </w:rPr>
        <w:t>un área </w:t>
      </w:r>
      <w:r>
        <w:rPr>
          <w:color w:val="231F20"/>
          <w:spacing w:val="4"/>
        </w:rPr>
        <w:t>física </w:t>
      </w:r>
      <w:r>
        <w:rPr>
          <w:color w:val="231F20"/>
          <w:spacing w:val="3"/>
        </w:rPr>
        <w:t>que </w:t>
      </w:r>
      <w:r>
        <w:rPr>
          <w:color w:val="231F20"/>
          <w:spacing w:val="4"/>
        </w:rPr>
        <w:t>posibilite implantar estrategias para </w:t>
      </w:r>
      <w:r>
        <w:rPr>
          <w:color w:val="231F20"/>
          <w:spacing w:val="2"/>
        </w:rPr>
        <w:t>la </w:t>
      </w:r>
      <w:r>
        <w:rPr>
          <w:color w:val="231F20"/>
          <w:spacing w:val="4"/>
        </w:rPr>
        <w:t>detección </w:t>
      </w:r>
      <w:r>
        <w:rPr>
          <w:color w:val="231F20"/>
          <w:spacing w:val="5"/>
        </w:rPr>
        <w:t>opor- </w:t>
      </w:r>
      <w:r>
        <w:rPr>
          <w:color w:val="231F20"/>
          <w:spacing w:val="4"/>
        </w:rPr>
        <w:t>tuna </w:t>
      </w:r>
      <w:r>
        <w:rPr>
          <w:color w:val="231F20"/>
        </w:rPr>
        <w:t>y </w:t>
      </w:r>
      <w:r>
        <w:rPr>
          <w:color w:val="231F20"/>
          <w:spacing w:val="4"/>
        </w:rPr>
        <w:t>prevención, </w:t>
      </w:r>
      <w:r>
        <w:rPr>
          <w:color w:val="231F20"/>
        </w:rPr>
        <w:t>o </w:t>
      </w:r>
      <w:r>
        <w:rPr>
          <w:color w:val="231F20"/>
          <w:spacing w:val="2"/>
        </w:rPr>
        <w:t>en el </w:t>
      </w:r>
      <w:r>
        <w:rPr>
          <w:color w:val="231F20"/>
          <w:spacing w:val="3"/>
        </w:rPr>
        <w:t>caso </w:t>
      </w:r>
      <w:r>
        <w:rPr>
          <w:color w:val="231F20"/>
          <w:spacing w:val="2"/>
        </w:rPr>
        <w:t>de </w:t>
      </w:r>
      <w:r>
        <w:rPr>
          <w:color w:val="231F20"/>
          <w:spacing w:val="3"/>
        </w:rPr>
        <w:t>las </w:t>
      </w:r>
      <w:r>
        <w:rPr>
          <w:color w:val="231F20"/>
          <w:spacing w:val="4"/>
        </w:rPr>
        <w:t>universidades, </w:t>
      </w:r>
      <w:r>
        <w:rPr>
          <w:color w:val="231F20"/>
          <w:spacing w:val="2"/>
        </w:rPr>
        <w:t>un </w:t>
      </w:r>
      <w:r>
        <w:rPr>
          <w:color w:val="231F20"/>
          <w:spacing w:val="4"/>
        </w:rPr>
        <w:t>espacio para propiciar </w:t>
      </w:r>
      <w:r>
        <w:rPr>
          <w:color w:val="231F20"/>
          <w:spacing w:val="2"/>
        </w:rPr>
        <w:t>la </w:t>
      </w:r>
      <w:r>
        <w:rPr>
          <w:color w:val="231F20"/>
          <w:spacing w:val="4"/>
        </w:rPr>
        <w:t>cultura </w:t>
      </w:r>
      <w:r>
        <w:rPr>
          <w:color w:val="231F20"/>
          <w:spacing w:val="3"/>
        </w:rPr>
        <w:t>de </w:t>
      </w:r>
      <w:r>
        <w:rPr>
          <w:color w:val="231F20"/>
        </w:rPr>
        <w:t>la </w:t>
      </w:r>
      <w:r>
        <w:rPr>
          <w:color w:val="231F20"/>
          <w:spacing w:val="4"/>
        </w:rPr>
        <w:t>paz, </w:t>
      </w:r>
      <w:r>
        <w:rPr>
          <w:color w:val="231F20"/>
          <w:spacing w:val="3"/>
        </w:rPr>
        <w:t>los </w:t>
      </w:r>
      <w:r>
        <w:rPr>
          <w:color w:val="231F20"/>
          <w:spacing w:val="4"/>
        </w:rPr>
        <w:t>valores prosociales </w:t>
      </w:r>
      <w:r>
        <w:rPr>
          <w:color w:val="231F20"/>
        </w:rPr>
        <w:t>y </w:t>
      </w:r>
      <w:r>
        <w:rPr>
          <w:color w:val="231F20"/>
          <w:spacing w:val="3"/>
        </w:rPr>
        <w:t>las </w:t>
      </w:r>
      <w:r>
        <w:rPr>
          <w:color w:val="231F20"/>
          <w:spacing w:val="4"/>
        </w:rPr>
        <w:t>normas </w:t>
      </w:r>
      <w:r>
        <w:rPr>
          <w:color w:val="231F20"/>
          <w:spacing w:val="3"/>
        </w:rPr>
        <w:t>de </w:t>
      </w:r>
      <w:r>
        <w:rPr>
          <w:color w:val="231F20"/>
          <w:spacing w:val="4"/>
        </w:rPr>
        <w:t>convivencia. </w:t>
      </w:r>
      <w:r>
        <w:rPr>
          <w:color w:val="231F20"/>
          <w:spacing w:val="3"/>
        </w:rPr>
        <w:t>Las </w:t>
      </w:r>
      <w:r>
        <w:rPr>
          <w:color w:val="231F20"/>
          <w:spacing w:val="4"/>
        </w:rPr>
        <w:t>formas </w:t>
      </w:r>
      <w:r>
        <w:rPr>
          <w:color w:val="231F20"/>
          <w:spacing w:val="3"/>
        </w:rPr>
        <w:t>de </w:t>
      </w:r>
      <w:r>
        <w:rPr>
          <w:color w:val="231F20"/>
          <w:spacing w:val="4"/>
        </w:rPr>
        <w:t>violencia </w:t>
      </w:r>
      <w:r>
        <w:rPr>
          <w:color w:val="231F20"/>
        </w:rPr>
        <w:t>a </w:t>
      </w:r>
      <w:r>
        <w:rPr>
          <w:color w:val="231F20"/>
          <w:spacing w:val="3"/>
        </w:rPr>
        <w:t>las que </w:t>
      </w:r>
      <w:r>
        <w:rPr>
          <w:color w:val="231F20"/>
          <w:spacing w:val="5"/>
        </w:rPr>
        <w:t>posi- </w:t>
      </w:r>
      <w:r>
        <w:rPr>
          <w:color w:val="231F20"/>
          <w:spacing w:val="4"/>
        </w:rPr>
        <w:t>blemente </w:t>
      </w:r>
      <w:r>
        <w:rPr>
          <w:color w:val="231F20"/>
          <w:spacing w:val="2"/>
        </w:rPr>
        <w:t>se </w:t>
      </w:r>
      <w:r>
        <w:rPr>
          <w:color w:val="231F20"/>
          <w:spacing w:val="4"/>
        </w:rPr>
        <w:t>encuentran expuestos </w:t>
      </w:r>
      <w:r>
        <w:rPr>
          <w:color w:val="231F20"/>
          <w:spacing w:val="3"/>
        </w:rPr>
        <w:t>los  </w:t>
      </w:r>
      <w:r>
        <w:rPr>
          <w:color w:val="231F20"/>
          <w:spacing w:val="4"/>
        </w:rPr>
        <w:t>estudiantes </w:t>
      </w:r>
      <w:r>
        <w:rPr>
          <w:color w:val="231F20"/>
          <w:spacing w:val="5"/>
        </w:rPr>
        <w:t>universitarios </w:t>
      </w:r>
      <w:r>
        <w:rPr>
          <w:color w:val="231F20"/>
          <w:spacing w:val="2"/>
        </w:rPr>
        <w:t>se </w:t>
      </w:r>
      <w:r>
        <w:rPr>
          <w:color w:val="231F20"/>
          <w:spacing w:val="4"/>
        </w:rPr>
        <w:t>localizan mejor </w:t>
      </w:r>
      <w:r>
        <w:rPr>
          <w:color w:val="231F20"/>
          <w:spacing w:val="2"/>
        </w:rPr>
        <w:t>en </w:t>
      </w:r>
      <w:r>
        <w:rPr>
          <w:color w:val="231F20"/>
        </w:rPr>
        <w:t>la </w:t>
      </w:r>
      <w:r>
        <w:rPr>
          <w:color w:val="231F20"/>
          <w:spacing w:val="4"/>
        </w:rPr>
        <w:t>siguiente</w:t>
      </w:r>
      <w:r>
        <w:rPr>
          <w:color w:val="231F20"/>
          <w:spacing w:val="-16"/>
        </w:rPr>
        <w:t> </w:t>
      </w:r>
      <w:r>
        <w:rPr>
          <w:color w:val="231F20"/>
          <w:spacing w:val="4"/>
        </w:rPr>
        <w:t>tabla.</w:t>
      </w:r>
    </w:p>
    <w:p>
      <w:pPr>
        <w:spacing w:after="0" w:line="249" w:lineRule="auto"/>
        <w:jc w:val="both"/>
        <w:sectPr>
          <w:headerReference w:type="default" r:id="rId649"/>
          <w:footerReference w:type="default" r:id="rId650"/>
          <w:pgSz w:w="7830" w:h="11910"/>
          <w:pgMar w:header="0" w:footer="424" w:top="500" w:bottom="620" w:left="920" w:right="880"/>
          <w:pgNumType w:start="290"/>
        </w:sectPr>
      </w:pPr>
    </w:p>
    <w:p>
      <w:pPr>
        <w:spacing w:before="46"/>
        <w:ind w:left="1599" w:right="1603"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before="106"/>
        <w:ind w:left="1599" w:right="1603" w:firstLine="0"/>
        <w:jc w:val="center"/>
        <w:rPr>
          <w:b/>
          <w:sz w:val="19"/>
        </w:rPr>
      </w:pPr>
      <w:r>
        <w:rPr>
          <w:b/>
          <w:color w:val="231F20"/>
          <w:w w:val="105"/>
          <w:sz w:val="19"/>
        </w:rPr>
        <w:t>Tabla 2. Formas de violencia</w:t>
      </w:r>
    </w:p>
    <w:p>
      <w:pPr>
        <w:pStyle w:val="BodyText"/>
        <w:spacing w:before="5"/>
        <w:rPr>
          <w:b/>
          <w:sz w:val="6"/>
        </w:rPr>
      </w:pPr>
    </w:p>
    <w:tbl>
      <w:tblPr>
        <w:tblW w:w="0" w:type="auto"/>
        <w:jc w:val="left"/>
        <w:tblInd w:w="10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22"/>
        <w:gridCol w:w="4526"/>
      </w:tblGrid>
      <w:tr>
        <w:trPr>
          <w:trHeight w:val="422" w:hRule="exact"/>
        </w:trPr>
        <w:tc>
          <w:tcPr>
            <w:tcW w:w="1522" w:type="dxa"/>
          </w:tcPr>
          <w:p>
            <w:pPr>
              <w:pStyle w:val="TableParagraph"/>
              <w:spacing w:before="86"/>
              <w:ind w:left="433"/>
              <w:rPr>
                <w:b/>
                <w:sz w:val="19"/>
              </w:rPr>
            </w:pPr>
            <w:r>
              <w:rPr>
                <w:b/>
                <w:color w:val="231F20"/>
                <w:sz w:val="19"/>
              </w:rPr>
              <w:t>Formas</w:t>
            </w:r>
          </w:p>
        </w:tc>
        <w:tc>
          <w:tcPr>
            <w:tcW w:w="4526" w:type="dxa"/>
          </w:tcPr>
          <w:p>
            <w:pPr>
              <w:pStyle w:val="TableParagraph"/>
              <w:spacing w:before="86"/>
              <w:ind w:left="1838" w:right="1839"/>
              <w:jc w:val="center"/>
              <w:rPr>
                <w:b/>
                <w:sz w:val="19"/>
              </w:rPr>
            </w:pPr>
            <w:r>
              <w:rPr>
                <w:b/>
                <w:color w:val="231F20"/>
                <w:w w:val="105"/>
                <w:sz w:val="19"/>
              </w:rPr>
              <w:t>Ejemplos</w:t>
            </w:r>
          </w:p>
        </w:tc>
      </w:tr>
      <w:tr>
        <w:trPr>
          <w:trHeight w:val="754" w:hRule="exact"/>
        </w:trPr>
        <w:tc>
          <w:tcPr>
            <w:tcW w:w="1522" w:type="dxa"/>
          </w:tcPr>
          <w:p>
            <w:pPr>
              <w:pStyle w:val="TableParagraph"/>
              <w:spacing w:before="53"/>
              <w:ind w:left="139"/>
              <w:rPr>
                <w:b/>
                <w:sz w:val="19"/>
              </w:rPr>
            </w:pPr>
            <w:r>
              <w:rPr>
                <w:b/>
                <w:color w:val="231F20"/>
                <w:w w:val="105"/>
                <w:sz w:val="19"/>
              </w:rPr>
              <w:t>Simbólica</w:t>
            </w:r>
          </w:p>
        </w:tc>
        <w:tc>
          <w:tcPr>
            <w:tcW w:w="4526" w:type="dxa"/>
          </w:tcPr>
          <w:p>
            <w:pPr>
              <w:pStyle w:val="TableParagraph"/>
              <w:spacing w:line="218" w:lineRule="auto" w:before="69"/>
              <w:ind w:left="139" w:right="137"/>
              <w:jc w:val="both"/>
              <w:rPr>
                <w:sz w:val="19"/>
              </w:rPr>
            </w:pPr>
            <w:r>
              <w:rPr>
                <w:color w:val="231F20"/>
                <w:sz w:val="19"/>
              </w:rPr>
              <w:t>Fomentar ideas o imágenes negativas que humillan, degradan o encierran en estereotipos a una persona o grupo.</w:t>
            </w:r>
          </w:p>
        </w:tc>
      </w:tr>
      <w:tr>
        <w:trPr>
          <w:trHeight w:val="1752" w:hRule="exact"/>
        </w:trPr>
        <w:tc>
          <w:tcPr>
            <w:tcW w:w="1522" w:type="dxa"/>
          </w:tcPr>
          <w:p>
            <w:pPr>
              <w:pStyle w:val="TableParagraph"/>
              <w:spacing w:before="53"/>
              <w:ind w:left="139"/>
              <w:rPr>
                <w:b/>
                <w:sz w:val="19"/>
              </w:rPr>
            </w:pPr>
            <w:r>
              <w:rPr>
                <w:b/>
                <w:color w:val="231F20"/>
                <w:w w:val="105"/>
                <w:sz w:val="19"/>
              </w:rPr>
              <w:t>Psicológica</w:t>
            </w:r>
          </w:p>
        </w:tc>
        <w:tc>
          <w:tcPr>
            <w:tcW w:w="4526" w:type="dxa"/>
          </w:tcPr>
          <w:p>
            <w:pPr>
              <w:pStyle w:val="TableParagraph"/>
              <w:spacing w:line="196" w:lineRule="exact" w:before="73"/>
              <w:ind w:left="139" w:right="137"/>
              <w:jc w:val="both"/>
              <w:rPr>
                <w:sz w:val="19"/>
              </w:rPr>
            </w:pPr>
            <w:r>
              <w:rPr>
                <w:color w:val="231F20"/>
                <w:sz w:val="19"/>
              </w:rPr>
              <w:t>Ignorar a alguien, hacerle sentir menos o sin impor- tancia.</w:t>
            </w:r>
          </w:p>
          <w:p>
            <w:pPr>
              <w:pStyle w:val="TableParagraph"/>
              <w:spacing w:line="218" w:lineRule="auto" w:before="1"/>
              <w:ind w:left="139" w:right="135"/>
              <w:jc w:val="both"/>
              <w:rPr>
                <w:sz w:val="19"/>
              </w:rPr>
            </w:pPr>
            <w:r>
              <w:rPr>
                <w:color w:val="231F20"/>
                <w:sz w:val="19"/>
              </w:rPr>
              <w:t>Insultar, desaprobar con frecuencia, hacer bromas  sobre los asuntos que son importantes para una per- sona.</w:t>
            </w:r>
          </w:p>
          <w:p>
            <w:pPr>
              <w:pStyle w:val="TableParagraph"/>
              <w:spacing w:before="2"/>
              <w:ind w:left="0"/>
              <w:rPr>
                <w:b/>
                <w:sz w:val="18"/>
              </w:rPr>
            </w:pPr>
          </w:p>
          <w:p>
            <w:pPr>
              <w:pStyle w:val="TableParagraph"/>
              <w:spacing w:line="196" w:lineRule="exact"/>
              <w:ind w:left="139" w:right="138"/>
              <w:jc w:val="both"/>
              <w:rPr>
                <w:sz w:val="19"/>
              </w:rPr>
            </w:pPr>
            <w:r>
              <w:rPr>
                <w:color w:val="231F20"/>
                <w:sz w:val="19"/>
              </w:rPr>
              <w:t>Limitar la libertad o la iniciativa de alguien controlan- do su comportamiento y actividades.</w:t>
            </w:r>
          </w:p>
        </w:tc>
      </w:tr>
      <w:tr>
        <w:trPr>
          <w:trHeight w:val="955" w:hRule="exact"/>
        </w:trPr>
        <w:tc>
          <w:tcPr>
            <w:tcW w:w="1522" w:type="dxa"/>
          </w:tcPr>
          <w:p>
            <w:pPr>
              <w:pStyle w:val="TableParagraph"/>
              <w:spacing w:before="53"/>
              <w:ind w:left="139"/>
              <w:rPr>
                <w:b/>
                <w:sz w:val="19"/>
              </w:rPr>
            </w:pPr>
            <w:r>
              <w:rPr>
                <w:b/>
                <w:color w:val="231F20"/>
                <w:sz w:val="19"/>
              </w:rPr>
              <w:t>Sexual</w:t>
            </w:r>
          </w:p>
        </w:tc>
        <w:tc>
          <w:tcPr>
            <w:tcW w:w="4526" w:type="dxa"/>
          </w:tcPr>
          <w:p>
            <w:pPr>
              <w:pStyle w:val="TableParagraph"/>
              <w:spacing w:line="202" w:lineRule="exact" w:before="69"/>
              <w:ind w:left="139" w:right="87"/>
              <w:rPr>
                <w:sz w:val="19"/>
              </w:rPr>
            </w:pPr>
            <w:r>
              <w:rPr>
                <w:color w:val="231F20"/>
                <w:sz w:val="19"/>
              </w:rPr>
              <w:t>Hostigar, ofender, denigrar y no respetar la integridad sexual de la pareja o novio.</w:t>
            </w:r>
          </w:p>
          <w:p>
            <w:pPr>
              <w:pStyle w:val="TableParagraph"/>
              <w:spacing w:line="196" w:lineRule="exact" w:before="4"/>
              <w:ind w:left="139" w:right="87"/>
              <w:rPr>
                <w:sz w:val="19"/>
              </w:rPr>
            </w:pPr>
            <w:r>
              <w:rPr>
                <w:color w:val="231F20"/>
                <w:sz w:val="19"/>
              </w:rPr>
              <w:t>Obligar o instigar a tener prácticas sexuales de las que no está convencida.</w:t>
            </w:r>
          </w:p>
        </w:tc>
      </w:tr>
      <w:tr>
        <w:trPr>
          <w:trHeight w:val="955" w:hRule="exact"/>
        </w:trPr>
        <w:tc>
          <w:tcPr>
            <w:tcW w:w="1522" w:type="dxa"/>
          </w:tcPr>
          <w:p>
            <w:pPr>
              <w:pStyle w:val="TableParagraph"/>
              <w:spacing w:before="53"/>
              <w:ind w:left="139"/>
              <w:rPr>
                <w:b/>
                <w:sz w:val="19"/>
              </w:rPr>
            </w:pPr>
            <w:r>
              <w:rPr>
                <w:b/>
                <w:color w:val="231F20"/>
                <w:w w:val="105"/>
                <w:sz w:val="19"/>
              </w:rPr>
              <w:t>Física</w:t>
            </w:r>
          </w:p>
        </w:tc>
        <w:tc>
          <w:tcPr>
            <w:tcW w:w="4526" w:type="dxa"/>
          </w:tcPr>
          <w:p>
            <w:pPr>
              <w:pStyle w:val="TableParagraph"/>
              <w:spacing w:line="210" w:lineRule="exact" w:before="53"/>
              <w:ind w:left="139"/>
              <w:jc w:val="both"/>
              <w:rPr>
                <w:sz w:val="19"/>
              </w:rPr>
            </w:pPr>
            <w:r>
              <w:rPr>
                <w:color w:val="231F20"/>
                <w:sz w:val="19"/>
              </w:rPr>
              <w:t>Infligir castigo corporal, criticar, empujar, golpear.</w:t>
            </w:r>
          </w:p>
          <w:p>
            <w:pPr>
              <w:pStyle w:val="TableParagraph"/>
              <w:spacing w:line="218" w:lineRule="auto" w:before="7"/>
              <w:ind w:left="139" w:right="136"/>
              <w:jc w:val="both"/>
              <w:rPr>
                <w:sz w:val="19"/>
              </w:rPr>
            </w:pPr>
            <w:r>
              <w:rPr>
                <w:color w:val="231F20"/>
                <w:sz w:val="19"/>
              </w:rPr>
              <w:t>De manera indirecta, pegar a la pared, azotar la puerta, acelerar la velocidad de un vehículo, algo con el fin de asustar.</w:t>
            </w:r>
          </w:p>
        </w:tc>
      </w:tr>
      <w:tr>
        <w:trPr>
          <w:trHeight w:val="754" w:hRule="exact"/>
        </w:trPr>
        <w:tc>
          <w:tcPr>
            <w:tcW w:w="1522" w:type="dxa"/>
          </w:tcPr>
          <w:p>
            <w:pPr>
              <w:pStyle w:val="TableParagraph"/>
              <w:spacing w:before="53"/>
              <w:ind w:left="139"/>
              <w:rPr>
                <w:b/>
                <w:sz w:val="19"/>
              </w:rPr>
            </w:pPr>
            <w:r>
              <w:rPr>
                <w:b/>
                <w:color w:val="231F20"/>
                <w:w w:val="105"/>
                <w:sz w:val="19"/>
              </w:rPr>
              <w:t>Económica</w:t>
            </w:r>
          </w:p>
        </w:tc>
        <w:tc>
          <w:tcPr>
            <w:tcW w:w="4526" w:type="dxa"/>
          </w:tcPr>
          <w:p>
            <w:pPr>
              <w:pStyle w:val="TableParagraph"/>
              <w:spacing w:line="218" w:lineRule="auto" w:before="69"/>
              <w:ind w:left="139" w:right="136"/>
              <w:jc w:val="both"/>
              <w:rPr>
                <w:sz w:val="19"/>
              </w:rPr>
            </w:pPr>
            <w:r>
              <w:rPr>
                <w:color w:val="231F20"/>
                <w:sz w:val="19"/>
              </w:rPr>
              <w:t>No darle protección social, explotarla, no pagarle un salario justo, imponer condiciones que no respeten la dignidad humana.</w:t>
            </w:r>
          </w:p>
        </w:tc>
      </w:tr>
    </w:tbl>
    <w:p>
      <w:pPr>
        <w:pStyle w:val="BodyText"/>
        <w:spacing w:before="5"/>
        <w:rPr>
          <w:b/>
          <w:sz w:val="7"/>
        </w:rPr>
      </w:pPr>
    </w:p>
    <w:p>
      <w:pPr>
        <w:spacing w:before="77"/>
        <w:ind w:left="233" w:right="0" w:firstLine="0"/>
        <w:jc w:val="left"/>
        <w:rPr>
          <w:sz w:val="17"/>
        </w:rPr>
      </w:pPr>
      <w:r>
        <w:rPr>
          <w:color w:val="231F20"/>
          <w:sz w:val="17"/>
        </w:rPr>
        <w:t>Fuente: Hartog, 2011, 21</w:t>
      </w:r>
    </w:p>
    <w:p>
      <w:pPr>
        <w:pStyle w:val="BodyText"/>
        <w:spacing w:before="2"/>
        <w:rPr>
          <w:sz w:val="23"/>
        </w:rPr>
      </w:pPr>
    </w:p>
    <w:p>
      <w:pPr>
        <w:pStyle w:val="BodyText"/>
        <w:spacing w:line="249" w:lineRule="auto"/>
        <w:ind w:left="233" w:right="234" w:firstLine="284"/>
        <w:jc w:val="both"/>
      </w:pPr>
      <w:r>
        <w:rPr>
          <w:color w:val="231F20"/>
        </w:rPr>
        <w:t>En el caso particular de las relaciones de pareja, estas son con- sideradas un área importante en la vida de los jóvenes, dado que pueden llegar a constituirse esos ensayos como formas de relacio- narse en pareja en el futuro. En este sentido, hablar de violencia como la expresión física, escrita, verbal o gestual de un individuo, grupo o institución, nos remite a un campo controvertido de dis- cusión teórica, en el que se puede echar mano de diversas corrien- tes para su análisis: biologicista, socio-biológica y social. La vio- lencia no es un fenómeno netamente biológico, más bien es cultu- ral. Se puede analizar la violencia como una manifestación del desequilibrio del poder en función de la raza, etnia, clase social, género, edad, religión, orientación sexual, escolaridad, entre  otros.</w:t>
      </w:r>
    </w:p>
    <w:p>
      <w:pPr>
        <w:spacing w:after="0" w:line="249" w:lineRule="auto"/>
        <w:jc w:val="both"/>
        <w:sectPr>
          <w:headerReference w:type="default" r:id="rId651"/>
          <w:footerReference w:type="default" r:id="rId652"/>
          <w:pgSz w:w="7830" w:h="11910"/>
          <w:pgMar w:header="0" w:footer="424" w:top="500" w:bottom="620" w:left="760" w:right="780"/>
          <w:pgNumType w:start="291"/>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04"/>
      </w:pPr>
      <w:r>
        <w:rPr>
          <w:color w:val="231F20"/>
        </w:rPr>
        <w:t>En la relaciones hombre-mujer se puede explicar a partir de la identidad genérica en un entorno patriarcal asimétrico y violento.</w:t>
      </w:r>
    </w:p>
    <w:p>
      <w:pPr>
        <w:pStyle w:val="BodyText"/>
        <w:spacing w:line="249" w:lineRule="auto" w:before="1"/>
        <w:ind w:left="102" w:right="105" w:firstLine="284"/>
        <w:jc w:val="both"/>
      </w:pPr>
      <w:r>
        <w:rPr>
          <w:color w:val="231F20"/>
        </w:rPr>
        <w:t>El poder se ha abordado desde diversas disciplinas, con dife- rentes sentidos al ser ejercido y abordado. En este documento se considerará como un elemento de la estructura y la organización social vivido dentro de la cotidianidad; como capacidad y modo de dirigir las acciones de los otros, modo de acción y relación de individuos, parejas o colectivos y como una condición que no posee, sino que se ejerce en íntima relación con las nociones de dominio, enajenación y exclusión.</w:t>
      </w:r>
    </w:p>
    <w:p>
      <w:pPr>
        <w:pStyle w:val="BodyText"/>
        <w:spacing w:line="249" w:lineRule="auto"/>
        <w:ind w:left="102" w:right="106" w:firstLine="284"/>
        <w:jc w:val="both"/>
      </w:pPr>
      <w:r>
        <w:rPr>
          <w:color w:val="231F20"/>
        </w:rPr>
        <w:t>En la </w:t>
      </w:r>
      <w:r>
        <w:rPr>
          <w:color w:val="231F20"/>
          <w:spacing w:val="2"/>
        </w:rPr>
        <w:t>escuela, </w:t>
      </w:r>
      <w:r>
        <w:rPr>
          <w:color w:val="231F20"/>
        </w:rPr>
        <w:t>y </w:t>
      </w:r>
      <w:r>
        <w:rPr>
          <w:color w:val="231F20"/>
          <w:spacing w:val="2"/>
        </w:rPr>
        <w:t>particularmente </w:t>
      </w:r>
      <w:r>
        <w:rPr>
          <w:color w:val="231F20"/>
        </w:rPr>
        <w:t>en la </w:t>
      </w:r>
      <w:r>
        <w:rPr>
          <w:color w:val="231F20"/>
          <w:spacing w:val="2"/>
        </w:rPr>
        <w:t>universidad, </w:t>
      </w:r>
      <w:r>
        <w:rPr>
          <w:color w:val="231F20"/>
        </w:rPr>
        <w:t>se </w:t>
      </w:r>
      <w:r>
        <w:rPr>
          <w:color w:val="231F20"/>
          <w:spacing w:val="2"/>
        </w:rPr>
        <w:t>originan </w:t>
      </w:r>
      <w:r>
        <w:rPr>
          <w:color w:val="231F20"/>
        </w:rPr>
        <w:t>y se </w:t>
      </w:r>
      <w:r>
        <w:rPr>
          <w:color w:val="231F20"/>
          <w:spacing w:val="2"/>
        </w:rPr>
        <w:t>perpetúan una gran cantidad </w:t>
      </w:r>
      <w:r>
        <w:rPr>
          <w:color w:val="231F20"/>
        </w:rPr>
        <w:t>de </w:t>
      </w:r>
      <w:r>
        <w:rPr>
          <w:color w:val="231F20"/>
          <w:spacing w:val="3"/>
        </w:rPr>
        <w:t>fenómenos </w:t>
      </w:r>
      <w:r>
        <w:rPr>
          <w:color w:val="231F20"/>
          <w:spacing w:val="2"/>
        </w:rPr>
        <w:t>sociales, entre ellos  </w:t>
      </w:r>
      <w:r>
        <w:rPr>
          <w:color w:val="231F20"/>
        </w:rPr>
        <w:t>la</w:t>
      </w:r>
      <w:r>
        <w:rPr>
          <w:color w:val="231F20"/>
          <w:spacing w:val="-5"/>
        </w:rPr>
        <w:t> </w:t>
      </w:r>
      <w:r>
        <w:rPr>
          <w:color w:val="231F20"/>
          <w:spacing w:val="2"/>
        </w:rPr>
        <w:t>violencia.</w:t>
      </w:r>
      <w:r>
        <w:rPr>
          <w:color w:val="231F20"/>
          <w:spacing w:val="-5"/>
        </w:rPr>
        <w:t> </w:t>
      </w:r>
      <w:r>
        <w:rPr>
          <w:color w:val="231F20"/>
          <w:spacing w:val="2"/>
        </w:rPr>
        <w:t>Las</w:t>
      </w:r>
      <w:r>
        <w:rPr>
          <w:color w:val="231F20"/>
          <w:spacing w:val="-5"/>
        </w:rPr>
        <w:t> </w:t>
      </w:r>
      <w:r>
        <w:rPr>
          <w:color w:val="231F20"/>
          <w:spacing w:val="3"/>
        </w:rPr>
        <w:t>manifestaciones</w:t>
      </w:r>
      <w:r>
        <w:rPr>
          <w:color w:val="231F20"/>
          <w:spacing w:val="-5"/>
        </w:rPr>
        <w:t> </w:t>
      </w:r>
      <w:r>
        <w:rPr>
          <w:color w:val="231F20"/>
          <w:spacing w:val="2"/>
        </w:rPr>
        <w:t>francas</w:t>
      </w:r>
      <w:r>
        <w:rPr>
          <w:color w:val="231F20"/>
          <w:spacing w:val="-5"/>
        </w:rPr>
        <w:t> </w:t>
      </w:r>
      <w:r>
        <w:rPr>
          <w:color w:val="231F20"/>
        </w:rPr>
        <w:t>de</w:t>
      </w:r>
      <w:r>
        <w:rPr>
          <w:color w:val="231F20"/>
          <w:spacing w:val="-5"/>
        </w:rPr>
        <w:t> </w:t>
      </w:r>
      <w:r>
        <w:rPr>
          <w:color w:val="231F20"/>
          <w:spacing w:val="2"/>
        </w:rPr>
        <w:t>agresividad</w:t>
      </w:r>
      <w:r>
        <w:rPr>
          <w:color w:val="231F20"/>
          <w:spacing w:val="-4"/>
        </w:rPr>
        <w:t> </w:t>
      </w:r>
      <w:r>
        <w:rPr>
          <w:color w:val="231F20"/>
        </w:rPr>
        <w:t>y</w:t>
      </w:r>
      <w:r>
        <w:rPr>
          <w:color w:val="231F20"/>
          <w:spacing w:val="-5"/>
        </w:rPr>
        <w:t> </w:t>
      </w:r>
      <w:r>
        <w:rPr>
          <w:color w:val="231F20"/>
          <w:spacing w:val="2"/>
        </w:rPr>
        <w:t>violencia </w:t>
      </w:r>
      <w:r>
        <w:rPr>
          <w:color w:val="231F20"/>
        </w:rPr>
        <w:t>en </w:t>
      </w:r>
      <w:r>
        <w:rPr>
          <w:color w:val="231F20"/>
          <w:spacing w:val="2"/>
        </w:rPr>
        <w:t>los espacios educativos están </w:t>
      </w:r>
      <w:r>
        <w:rPr>
          <w:color w:val="231F20"/>
        </w:rPr>
        <w:t>en </w:t>
      </w:r>
      <w:r>
        <w:rPr>
          <w:color w:val="231F20"/>
          <w:spacing w:val="3"/>
        </w:rPr>
        <w:t>aumento </w:t>
      </w:r>
      <w:r>
        <w:rPr>
          <w:color w:val="231F20"/>
        </w:rPr>
        <w:t>y </w:t>
      </w:r>
      <w:r>
        <w:rPr>
          <w:color w:val="231F20"/>
          <w:spacing w:val="2"/>
        </w:rPr>
        <w:t>podrían </w:t>
      </w:r>
      <w:r>
        <w:rPr>
          <w:color w:val="231F20"/>
        </w:rPr>
        <w:t>ser </w:t>
      </w:r>
      <w:r>
        <w:rPr>
          <w:color w:val="231F20"/>
          <w:spacing w:val="2"/>
        </w:rPr>
        <w:t>consi- deradas </w:t>
      </w:r>
      <w:r>
        <w:rPr>
          <w:color w:val="231F20"/>
          <w:spacing w:val="3"/>
        </w:rPr>
        <w:t>como </w:t>
      </w:r>
      <w:r>
        <w:rPr>
          <w:color w:val="231F20"/>
        </w:rPr>
        <w:t>un </w:t>
      </w:r>
      <w:r>
        <w:rPr>
          <w:color w:val="231F20"/>
          <w:spacing w:val="2"/>
        </w:rPr>
        <w:t>reflejo </w:t>
      </w:r>
      <w:r>
        <w:rPr>
          <w:color w:val="231F20"/>
        </w:rPr>
        <w:t>de la </w:t>
      </w:r>
      <w:r>
        <w:rPr>
          <w:color w:val="231F20"/>
          <w:spacing w:val="2"/>
        </w:rPr>
        <w:t>situación que </w:t>
      </w:r>
      <w:r>
        <w:rPr>
          <w:color w:val="231F20"/>
          <w:spacing w:val="3"/>
        </w:rPr>
        <w:t>actualmente </w:t>
      </w:r>
      <w:r>
        <w:rPr>
          <w:color w:val="231F20"/>
        </w:rPr>
        <w:t>vive la </w:t>
      </w:r>
      <w:r>
        <w:rPr>
          <w:color w:val="231F20"/>
          <w:spacing w:val="2"/>
        </w:rPr>
        <w:t>sociedad. </w:t>
      </w:r>
      <w:r>
        <w:rPr>
          <w:color w:val="231F20"/>
        </w:rPr>
        <w:t>En las </w:t>
      </w:r>
      <w:r>
        <w:rPr>
          <w:color w:val="231F20"/>
          <w:spacing w:val="2"/>
        </w:rPr>
        <w:t>instituciones educativas </w:t>
      </w:r>
      <w:r>
        <w:rPr>
          <w:color w:val="231F20"/>
        </w:rPr>
        <w:t>se </w:t>
      </w:r>
      <w:r>
        <w:rPr>
          <w:color w:val="231F20"/>
          <w:spacing w:val="2"/>
        </w:rPr>
        <w:t>puede quebrantar </w:t>
      </w:r>
      <w:r>
        <w:rPr>
          <w:color w:val="231F20"/>
        </w:rPr>
        <w:t>la </w:t>
      </w:r>
      <w:r>
        <w:rPr>
          <w:color w:val="231F20"/>
          <w:spacing w:val="2"/>
        </w:rPr>
        <w:t>convivencia escolar sana, </w:t>
      </w:r>
      <w:r>
        <w:rPr>
          <w:color w:val="231F20"/>
        </w:rPr>
        <w:t>al </w:t>
      </w:r>
      <w:r>
        <w:rPr>
          <w:color w:val="231F20"/>
          <w:spacing w:val="3"/>
        </w:rPr>
        <w:t>punto </w:t>
      </w:r>
      <w:r>
        <w:rPr>
          <w:color w:val="231F20"/>
        </w:rPr>
        <w:t>de </w:t>
      </w:r>
      <w:r>
        <w:rPr>
          <w:color w:val="231F20"/>
          <w:spacing w:val="2"/>
        </w:rPr>
        <w:t>complicar </w:t>
      </w:r>
      <w:r>
        <w:rPr>
          <w:color w:val="231F20"/>
        </w:rPr>
        <w:t>el </w:t>
      </w:r>
      <w:r>
        <w:rPr>
          <w:color w:val="231F20"/>
          <w:spacing w:val="2"/>
        </w:rPr>
        <w:t>proceso </w:t>
      </w:r>
      <w:r>
        <w:rPr>
          <w:color w:val="231F20"/>
        </w:rPr>
        <w:t>de </w:t>
      </w:r>
      <w:r>
        <w:rPr>
          <w:color w:val="231F20"/>
          <w:spacing w:val="3"/>
        </w:rPr>
        <w:t>formación </w:t>
      </w:r>
      <w:r>
        <w:rPr>
          <w:color w:val="231F20"/>
        </w:rPr>
        <w:t>de </w:t>
      </w:r>
      <w:r>
        <w:rPr>
          <w:color w:val="231F20"/>
          <w:spacing w:val="2"/>
        </w:rPr>
        <w:t>los </w:t>
      </w:r>
      <w:r>
        <w:rPr>
          <w:color w:val="231F20"/>
          <w:spacing w:val="3"/>
        </w:rPr>
        <w:t>alumnos. </w:t>
      </w:r>
      <w:r>
        <w:rPr>
          <w:color w:val="231F20"/>
        </w:rPr>
        <w:t>La </w:t>
      </w:r>
      <w:r>
        <w:rPr>
          <w:color w:val="231F20"/>
          <w:spacing w:val="2"/>
        </w:rPr>
        <w:t>violencia escolar </w:t>
      </w:r>
      <w:r>
        <w:rPr>
          <w:color w:val="231F20"/>
        </w:rPr>
        <w:t>ha </w:t>
      </w:r>
      <w:r>
        <w:rPr>
          <w:color w:val="231F20"/>
          <w:spacing w:val="2"/>
        </w:rPr>
        <w:t>ido </w:t>
      </w:r>
      <w:r>
        <w:rPr>
          <w:color w:val="231F20"/>
        </w:rPr>
        <w:t>en </w:t>
      </w:r>
      <w:r>
        <w:rPr>
          <w:color w:val="231F20"/>
          <w:spacing w:val="3"/>
        </w:rPr>
        <w:t>aumento  </w:t>
      </w:r>
      <w:r>
        <w:rPr>
          <w:color w:val="231F20"/>
        </w:rPr>
        <w:t>y ha </w:t>
      </w:r>
      <w:r>
        <w:rPr>
          <w:color w:val="231F20"/>
          <w:spacing w:val="2"/>
        </w:rPr>
        <w:t>involucrado </w:t>
      </w:r>
      <w:r>
        <w:rPr>
          <w:color w:val="231F20"/>
        </w:rPr>
        <w:t>a </w:t>
      </w:r>
      <w:r>
        <w:rPr>
          <w:color w:val="231F20"/>
          <w:spacing w:val="3"/>
        </w:rPr>
        <w:t>protagonistas </w:t>
      </w:r>
      <w:r>
        <w:rPr>
          <w:color w:val="231F20"/>
          <w:spacing w:val="2"/>
        </w:rPr>
        <w:t>cada </w:t>
      </w:r>
      <w:r>
        <w:rPr>
          <w:color w:val="231F20"/>
        </w:rPr>
        <w:t>vez </w:t>
      </w:r>
      <w:r>
        <w:rPr>
          <w:color w:val="231F20"/>
          <w:spacing w:val="2"/>
        </w:rPr>
        <w:t>más jóvenes. </w:t>
      </w:r>
      <w:r>
        <w:rPr>
          <w:color w:val="231F20"/>
        </w:rPr>
        <w:t>La </w:t>
      </w:r>
      <w:r>
        <w:rPr>
          <w:color w:val="231F20"/>
          <w:spacing w:val="3"/>
        </w:rPr>
        <w:t>violen- </w:t>
      </w:r>
      <w:r>
        <w:rPr>
          <w:color w:val="231F20"/>
        </w:rPr>
        <w:t>cia se </w:t>
      </w:r>
      <w:r>
        <w:rPr>
          <w:color w:val="231F20"/>
          <w:spacing w:val="2"/>
        </w:rPr>
        <w:t>presenta </w:t>
      </w:r>
      <w:r>
        <w:rPr>
          <w:color w:val="231F20"/>
        </w:rPr>
        <w:t>a </w:t>
      </w:r>
      <w:r>
        <w:rPr>
          <w:color w:val="231F20"/>
          <w:spacing w:val="2"/>
        </w:rPr>
        <w:t>diario </w:t>
      </w:r>
      <w:r>
        <w:rPr>
          <w:color w:val="231F20"/>
        </w:rPr>
        <w:t>en las </w:t>
      </w:r>
      <w:r>
        <w:rPr>
          <w:color w:val="231F20"/>
          <w:spacing w:val="2"/>
        </w:rPr>
        <w:t>escuelas expresada </w:t>
      </w:r>
      <w:r>
        <w:rPr>
          <w:color w:val="231F20"/>
        </w:rPr>
        <w:t>en </w:t>
      </w:r>
      <w:r>
        <w:rPr>
          <w:color w:val="231F20"/>
          <w:spacing w:val="2"/>
        </w:rPr>
        <w:t>eventos sutiles </w:t>
      </w:r>
      <w:r>
        <w:rPr>
          <w:color w:val="231F20"/>
          <w:spacing w:val="3"/>
        </w:rPr>
        <w:t>como pequeñas </w:t>
      </w:r>
      <w:r>
        <w:rPr>
          <w:color w:val="231F20"/>
          <w:spacing w:val="2"/>
        </w:rPr>
        <w:t>agresiones, burlas, ironía, hasta francos eventos </w:t>
      </w:r>
      <w:r>
        <w:rPr>
          <w:color w:val="231F20"/>
        </w:rPr>
        <w:t>de </w:t>
      </w:r>
      <w:r>
        <w:rPr>
          <w:color w:val="231F20"/>
          <w:spacing w:val="2"/>
        </w:rPr>
        <w:t>violencia física entre </w:t>
      </w:r>
      <w:r>
        <w:rPr>
          <w:color w:val="231F20"/>
          <w:spacing w:val="3"/>
        </w:rPr>
        <w:t>alumnos. </w:t>
      </w:r>
      <w:r>
        <w:rPr>
          <w:color w:val="231F20"/>
        </w:rPr>
        <w:t>El </w:t>
      </w:r>
      <w:r>
        <w:rPr>
          <w:color w:val="231F20"/>
          <w:spacing w:val="3"/>
        </w:rPr>
        <w:t>modelo </w:t>
      </w:r>
      <w:r>
        <w:rPr>
          <w:color w:val="231F20"/>
        </w:rPr>
        <w:t>de </w:t>
      </w:r>
      <w:r>
        <w:rPr>
          <w:color w:val="231F20"/>
          <w:spacing w:val="2"/>
        </w:rPr>
        <w:t>familia también ejerce </w:t>
      </w:r>
      <w:r>
        <w:rPr>
          <w:color w:val="231F20"/>
        </w:rPr>
        <w:t>su </w:t>
      </w:r>
      <w:r>
        <w:rPr>
          <w:color w:val="231F20"/>
          <w:spacing w:val="2"/>
        </w:rPr>
        <w:t>influencia pues resulta, según </w:t>
      </w:r>
      <w:r>
        <w:rPr>
          <w:color w:val="231F20"/>
          <w:spacing w:val="3"/>
        </w:rPr>
        <w:t>Mendoza </w:t>
      </w:r>
      <w:r>
        <w:rPr>
          <w:color w:val="231F20"/>
          <w:spacing w:val="2"/>
        </w:rPr>
        <w:t>(2011), </w:t>
      </w:r>
      <w:r>
        <w:rPr>
          <w:color w:val="231F20"/>
        </w:rPr>
        <w:t>un </w:t>
      </w:r>
      <w:r>
        <w:rPr>
          <w:color w:val="231F20"/>
          <w:spacing w:val="2"/>
        </w:rPr>
        <w:t>facilitador </w:t>
      </w:r>
      <w:r>
        <w:rPr>
          <w:color w:val="231F20"/>
        </w:rPr>
        <w:t>de la </w:t>
      </w:r>
      <w:r>
        <w:rPr>
          <w:color w:val="231F20"/>
          <w:spacing w:val="3"/>
        </w:rPr>
        <w:t>conducta </w:t>
      </w:r>
      <w:r>
        <w:rPr>
          <w:color w:val="231F20"/>
          <w:spacing w:val="2"/>
        </w:rPr>
        <w:t>agresiva, </w:t>
      </w:r>
      <w:r>
        <w:rPr>
          <w:color w:val="231F20"/>
        </w:rPr>
        <w:t>ya </w:t>
      </w:r>
      <w:r>
        <w:rPr>
          <w:color w:val="231F20"/>
          <w:spacing w:val="2"/>
        </w:rPr>
        <w:t>que </w:t>
      </w:r>
      <w:r>
        <w:rPr>
          <w:color w:val="231F20"/>
        </w:rPr>
        <w:t>el </w:t>
      </w:r>
      <w:r>
        <w:rPr>
          <w:color w:val="231F20"/>
          <w:spacing w:val="2"/>
        </w:rPr>
        <w:t>clima socio-familiar interviene </w:t>
      </w:r>
      <w:r>
        <w:rPr>
          <w:color w:val="231F20"/>
        </w:rPr>
        <w:t>en la </w:t>
      </w:r>
      <w:r>
        <w:rPr>
          <w:color w:val="231F20"/>
          <w:spacing w:val="3"/>
        </w:rPr>
        <w:t>formación </w:t>
      </w:r>
      <w:r>
        <w:rPr>
          <w:color w:val="231F20"/>
        </w:rPr>
        <w:t>y </w:t>
      </w:r>
      <w:r>
        <w:rPr>
          <w:color w:val="231F20"/>
          <w:spacing w:val="2"/>
        </w:rPr>
        <w:t>desarrollo </w:t>
      </w:r>
      <w:r>
        <w:rPr>
          <w:color w:val="231F20"/>
        </w:rPr>
        <w:t>de las </w:t>
      </w:r>
      <w:r>
        <w:rPr>
          <w:color w:val="231F20"/>
          <w:spacing w:val="3"/>
        </w:rPr>
        <w:t>conductas </w:t>
      </w:r>
      <w:r>
        <w:rPr>
          <w:color w:val="231F20"/>
          <w:spacing w:val="2"/>
        </w:rPr>
        <w:t>agresivas. Las variables </w:t>
      </w:r>
      <w:r>
        <w:rPr>
          <w:color w:val="231F20"/>
          <w:spacing w:val="3"/>
        </w:rPr>
        <w:t>se </w:t>
      </w:r>
      <w:r>
        <w:rPr>
          <w:color w:val="231F20"/>
          <w:spacing w:val="2"/>
        </w:rPr>
        <w:t>manifiestan directamente </w:t>
      </w:r>
      <w:r>
        <w:rPr>
          <w:color w:val="231F20"/>
        </w:rPr>
        <w:t>en el </w:t>
      </w:r>
      <w:r>
        <w:rPr>
          <w:color w:val="231F20"/>
          <w:spacing w:val="2"/>
        </w:rPr>
        <w:t>desarrollo </w:t>
      </w:r>
      <w:r>
        <w:rPr>
          <w:color w:val="231F20"/>
        </w:rPr>
        <w:t>de las </w:t>
      </w:r>
      <w:r>
        <w:rPr>
          <w:color w:val="231F20"/>
          <w:spacing w:val="2"/>
        </w:rPr>
        <w:t>expresiones </w:t>
      </w:r>
      <w:r>
        <w:rPr>
          <w:color w:val="231F20"/>
          <w:spacing w:val="3"/>
        </w:rPr>
        <w:t>más </w:t>
      </w:r>
      <w:r>
        <w:rPr>
          <w:color w:val="231F20"/>
          <w:spacing w:val="2"/>
        </w:rPr>
        <w:t>violentas, </w:t>
      </w:r>
      <w:r>
        <w:rPr>
          <w:color w:val="231F20"/>
        </w:rPr>
        <w:t>en la </w:t>
      </w:r>
      <w:r>
        <w:rPr>
          <w:color w:val="231F20"/>
          <w:spacing w:val="3"/>
        </w:rPr>
        <w:t>formación </w:t>
      </w:r>
      <w:r>
        <w:rPr>
          <w:color w:val="231F20"/>
        </w:rPr>
        <w:t>de </w:t>
      </w:r>
      <w:r>
        <w:rPr>
          <w:color w:val="231F20"/>
          <w:spacing w:val="2"/>
        </w:rPr>
        <w:t>valores morales </w:t>
      </w:r>
      <w:r>
        <w:rPr>
          <w:color w:val="231F20"/>
        </w:rPr>
        <w:t>y </w:t>
      </w:r>
      <w:r>
        <w:rPr>
          <w:color w:val="231F20"/>
          <w:spacing w:val="2"/>
        </w:rPr>
        <w:t>roles sociales. Al- </w:t>
      </w:r>
      <w:r>
        <w:rPr>
          <w:color w:val="231F20"/>
          <w:spacing w:val="3"/>
        </w:rPr>
        <w:t>gunos </w:t>
      </w:r>
      <w:r>
        <w:rPr>
          <w:color w:val="231F20"/>
          <w:spacing w:val="2"/>
        </w:rPr>
        <w:t>ejemplos </w:t>
      </w:r>
      <w:r>
        <w:rPr>
          <w:color w:val="231F20"/>
        </w:rPr>
        <w:t>de </w:t>
      </w:r>
      <w:r>
        <w:rPr>
          <w:color w:val="231F20"/>
          <w:spacing w:val="2"/>
        </w:rPr>
        <w:t>estas variables</w:t>
      </w:r>
      <w:r>
        <w:rPr>
          <w:color w:val="231F20"/>
          <w:spacing w:val="-10"/>
        </w:rPr>
        <w:t> </w:t>
      </w:r>
      <w:r>
        <w:rPr>
          <w:color w:val="231F20"/>
          <w:spacing w:val="2"/>
        </w:rPr>
        <w:t>son:</w:t>
      </w:r>
    </w:p>
    <w:p>
      <w:pPr>
        <w:pStyle w:val="ListParagraph"/>
        <w:numPr>
          <w:ilvl w:val="1"/>
          <w:numId w:val="16"/>
        </w:numPr>
        <w:tabs>
          <w:tab w:pos="822" w:val="left" w:leader="none"/>
          <w:tab w:pos="823" w:val="left" w:leader="none"/>
        </w:tabs>
        <w:spacing w:line="241" w:lineRule="exact" w:before="0" w:after="0"/>
        <w:ind w:left="821" w:right="0" w:hanging="359"/>
        <w:jc w:val="left"/>
        <w:rPr>
          <w:sz w:val="21"/>
        </w:rPr>
      </w:pPr>
      <w:r>
        <w:rPr>
          <w:color w:val="231F20"/>
          <w:sz w:val="21"/>
        </w:rPr>
        <w:t>Ausencia   de   marcos   de   referencia   de</w:t>
      </w:r>
      <w:r>
        <w:rPr>
          <w:color w:val="231F20"/>
          <w:spacing w:val="29"/>
          <w:sz w:val="21"/>
        </w:rPr>
        <w:t> </w:t>
      </w:r>
      <w:r>
        <w:rPr>
          <w:color w:val="231F20"/>
          <w:sz w:val="21"/>
        </w:rPr>
        <w:t>comportamiento</w:t>
      </w:r>
    </w:p>
    <w:p>
      <w:pPr>
        <w:pStyle w:val="BodyText"/>
        <w:spacing w:line="247" w:lineRule="auto" w:before="12"/>
        <w:ind w:left="822" w:right="104"/>
      </w:pPr>
      <w:r>
        <w:rPr>
          <w:color w:val="231F20"/>
        </w:rPr>
        <w:t>social y familiar que propician prácticas de disciplina inconsistentes o exageradamente punitivas.</w:t>
      </w:r>
    </w:p>
    <w:p>
      <w:pPr>
        <w:pStyle w:val="ListParagraph"/>
        <w:numPr>
          <w:ilvl w:val="1"/>
          <w:numId w:val="16"/>
        </w:numPr>
        <w:tabs>
          <w:tab w:pos="821" w:val="left" w:leader="none"/>
          <w:tab w:pos="822" w:val="left" w:leader="none"/>
        </w:tabs>
        <w:spacing w:line="243" w:lineRule="exact" w:before="0" w:after="0"/>
        <w:ind w:left="821" w:right="0" w:hanging="359"/>
        <w:jc w:val="left"/>
        <w:rPr>
          <w:sz w:val="21"/>
        </w:rPr>
      </w:pPr>
      <w:r>
        <w:rPr>
          <w:color w:val="231F20"/>
          <w:sz w:val="21"/>
        </w:rPr>
        <w:t>Rechazo,</w:t>
      </w:r>
      <w:r>
        <w:rPr>
          <w:color w:val="231F20"/>
          <w:spacing w:val="39"/>
          <w:sz w:val="21"/>
        </w:rPr>
        <w:t> </w:t>
      </w:r>
      <w:r>
        <w:rPr>
          <w:color w:val="231F20"/>
          <w:sz w:val="21"/>
        </w:rPr>
        <w:t>actitud</w:t>
      </w:r>
      <w:r>
        <w:rPr>
          <w:color w:val="231F20"/>
          <w:spacing w:val="40"/>
          <w:sz w:val="21"/>
        </w:rPr>
        <w:t> </w:t>
      </w:r>
      <w:r>
        <w:rPr>
          <w:color w:val="231F20"/>
          <w:sz w:val="21"/>
        </w:rPr>
        <w:t>negativa,</w:t>
      </w:r>
      <w:r>
        <w:rPr>
          <w:color w:val="231F20"/>
          <w:spacing w:val="39"/>
          <w:sz w:val="21"/>
        </w:rPr>
        <w:t> </w:t>
      </w:r>
      <w:r>
        <w:rPr>
          <w:color w:val="231F20"/>
          <w:sz w:val="21"/>
        </w:rPr>
        <w:t>así</w:t>
      </w:r>
      <w:r>
        <w:rPr>
          <w:color w:val="231F20"/>
          <w:spacing w:val="39"/>
          <w:sz w:val="21"/>
        </w:rPr>
        <w:t> </w:t>
      </w:r>
      <w:r>
        <w:rPr>
          <w:color w:val="231F20"/>
          <w:sz w:val="21"/>
        </w:rPr>
        <w:t>como</w:t>
      </w:r>
      <w:r>
        <w:rPr>
          <w:color w:val="231F20"/>
          <w:spacing w:val="40"/>
          <w:sz w:val="21"/>
        </w:rPr>
        <w:t> </w:t>
      </w:r>
      <w:r>
        <w:rPr>
          <w:color w:val="231F20"/>
          <w:sz w:val="21"/>
        </w:rPr>
        <w:t>el</w:t>
      </w:r>
      <w:r>
        <w:rPr>
          <w:color w:val="231F20"/>
          <w:spacing w:val="39"/>
          <w:sz w:val="21"/>
        </w:rPr>
        <w:t> </w:t>
      </w:r>
      <w:r>
        <w:rPr>
          <w:color w:val="231F20"/>
          <w:sz w:val="21"/>
        </w:rPr>
        <w:t>temperamento</w:t>
      </w:r>
      <w:r>
        <w:rPr>
          <w:color w:val="231F20"/>
          <w:spacing w:val="40"/>
          <w:sz w:val="21"/>
        </w:rPr>
        <w:t> </w:t>
      </w:r>
      <w:r>
        <w:rPr>
          <w:color w:val="231F20"/>
          <w:sz w:val="21"/>
        </w:rPr>
        <w:t>del</w:t>
      </w:r>
    </w:p>
    <w:p>
      <w:pPr>
        <w:pStyle w:val="BodyText"/>
        <w:spacing w:line="238" w:lineRule="exact" w:before="7"/>
        <w:ind w:left="821" w:right="104"/>
      </w:pPr>
      <w:r>
        <w:rPr>
          <w:color w:val="231F20"/>
        </w:rPr>
        <w:t>joven en su interacción con la dinámica familiar.</w:t>
      </w:r>
    </w:p>
    <w:p>
      <w:pPr>
        <w:pStyle w:val="ListParagraph"/>
        <w:numPr>
          <w:ilvl w:val="1"/>
          <w:numId w:val="16"/>
        </w:numPr>
        <w:tabs>
          <w:tab w:pos="821" w:val="left" w:leader="none"/>
          <w:tab w:pos="822" w:val="left" w:leader="none"/>
        </w:tabs>
        <w:spacing w:line="247" w:lineRule="auto" w:before="0" w:after="0"/>
        <w:ind w:left="821" w:right="107" w:hanging="359"/>
        <w:jc w:val="left"/>
        <w:rPr>
          <w:sz w:val="21"/>
        </w:rPr>
      </w:pPr>
      <w:r>
        <w:rPr>
          <w:color w:val="231F20"/>
          <w:sz w:val="21"/>
        </w:rPr>
        <w:t>Refuerzo positivo de la agresividad, empleo de la violencia física como práctica</w:t>
      </w:r>
      <w:r>
        <w:rPr>
          <w:color w:val="231F20"/>
          <w:spacing w:val="-15"/>
          <w:sz w:val="21"/>
        </w:rPr>
        <w:t> </w:t>
      </w:r>
      <w:r>
        <w:rPr>
          <w:color w:val="231F20"/>
          <w:sz w:val="21"/>
        </w:rPr>
        <w:t>aceptable.</w:t>
      </w:r>
    </w:p>
    <w:p>
      <w:pPr>
        <w:pStyle w:val="ListParagraph"/>
        <w:numPr>
          <w:ilvl w:val="1"/>
          <w:numId w:val="16"/>
        </w:numPr>
        <w:tabs>
          <w:tab w:pos="821" w:val="left" w:leader="none"/>
          <w:tab w:pos="822" w:val="left" w:leader="none"/>
        </w:tabs>
        <w:spacing w:line="243" w:lineRule="exact" w:before="0" w:after="0"/>
        <w:ind w:left="821" w:right="0" w:hanging="359"/>
        <w:jc w:val="left"/>
        <w:rPr>
          <w:sz w:val="21"/>
        </w:rPr>
      </w:pPr>
      <w:r>
        <w:rPr>
          <w:color w:val="231F20"/>
          <w:sz w:val="21"/>
        </w:rPr>
        <w:t>Aislamiento  social  de  la  familia  con  manifestación    </w:t>
      </w:r>
      <w:r>
        <w:rPr>
          <w:color w:val="231F20"/>
          <w:spacing w:val="30"/>
          <w:sz w:val="21"/>
        </w:rPr>
        <w:t> </w:t>
      </w:r>
      <w:r>
        <w:rPr>
          <w:color w:val="231F20"/>
          <w:sz w:val="21"/>
        </w:rPr>
        <w:t>de</w:t>
      </w:r>
    </w:p>
    <w:p>
      <w:pPr>
        <w:pStyle w:val="BodyText"/>
        <w:spacing w:line="238" w:lineRule="exact" w:before="7"/>
        <w:ind w:left="821" w:right="104"/>
      </w:pPr>
      <w:r>
        <w:rPr>
          <w:color w:val="231F20"/>
        </w:rPr>
        <w:t>conductas antisociales.</w:t>
      </w:r>
    </w:p>
    <w:p>
      <w:pPr>
        <w:pStyle w:val="ListParagraph"/>
        <w:numPr>
          <w:ilvl w:val="1"/>
          <w:numId w:val="16"/>
        </w:numPr>
        <w:tabs>
          <w:tab w:pos="821" w:val="left" w:leader="none"/>
          <w:tab w:pos="822" w:val="left" w:leader="none"/>
        </w:tabs>
        <w:spacing w:line="247" w:lineRule="auto" w:before="0" w:after="0"/>
        <w:ind w:left="821" w:right="109" w:hanging="359"/>
        <w:jc w:val="left"/>
        <w:rPr>
          <w:sz w:val="21"/>
        </w:rPr>
      </w:pPr>
      <w:r>
        <w:rPr>
          <w:color w:val="231F20"/>
          <w:sz w:val="21"/>
        </w:rPr>
        <w:t>Exposición continúa de violencia trasmitida en los medios  de comunicación (Mendoza, 2011:</w:t>
      </w:r>
      <w:r>
        <w:rPr>
          <w:color w:val="231F20"/>
          <w:spacing w:val="-15"/>
          <w:sz w:val="21"/>
        </w:rPr>
        <w:t> </w:t>
      </w:r>
      <w:r>
        <w:rPr>
          <w:color w:val="231F20"/>
          <w:sz w:val="21"/>
        </w:rPr>
        <w:t>14).</w:t>
      </w:r>
    </w:p>
    <w:p>
      <w:pPr>
        <w:spacing w:after="0" w:line="247" w:lineRule="auto"/>
        <w:jc w:val="left"/>
        <w:rPr>
          <w:sz w:val="21"/>
        </w:rPr>
        <w:sectPr>
          <w:headerReference w:type="default" r:id="rId653"/>
          <w:footerReference w:type="default" r:id="rId654"/>
          <w:pgSz w:w="7830" w:h="11910"/>
          <w:pgMar w:header="0" w:footer="424" w:top="500" w:bottom="620" w:left="920" w:right="880"/>
          <w:pgNumType w:start="292"/>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13" w:right="116" w:firstLine="284"/>
        <w:jc w:val="both"/>
      </w:pPr>
      <w:r>
        <w:rPr>
          <w:color w:val="231F20"/>
        </w:rPr>
        <w:t>Un </w:t>
      </w:r>
      <w:r>
        <w:rPr>
          <w:color w:val="231F20"/>
          <w:spacing w:val="3"/>
        </w:rPr>
        <w:t>componente importante </w:t>
      </w:r>
      <w:r>
        <w:rPr>
          <w:color w:val="231F20"/>
        </w:rPr>
        <w:t>en la </w:t>
      </w:r>
      <w:r>
        <w:rPr>
          <w:color w:val="231F20"/>
          <w:spacing w:val="3"/>
        </w:rPr>
        <w:t>comprensión </w:t>
      </w:r>
      <w:r>
        <w:rPr>
          <w:color w:val="231F20"/>
        </w:rPr>
        <w:t>de la </w:t>
      </w:r>
      <w:r>
        <w:rPr>
          <w:color w:val="231F20"/>
          <w:spacing w:val="2"/>
        </w:rPr>
        <w:t>génesis </w:t>
      </w:r>
      <w:r>
        <w:rPr>
          <w:color w:val="231F20"/>
        </w:rPr>
        <w:t>y </w:t>
      </w:r>
      <w:r>
        <w:rPr>
          <w:color w:val="231F20"/>
          <w:spacing w:val="2"/>
        </w:rPr>
        <w:t>análisis </w:t>
      </w:r>
      <w:r>
        <w:rPr>
          <w:color w:val="231F20"/>
        </w:rPr>
        <w:t>de la </w:t>
      </w:r>
      <w:r>
        <w:rPr>
          <w:color w:val="231F20"/>
          <w:spacing w:val="3"/>
        </w:rPr>
        <w:t>concepción </w:t>
      </w:r>
      <w:r>
        <w:rPr>
          <w:color w:val="231F20"/>
        </w:rPr>
        <w:t>de la </w:t>
      </w:r>
      <w:r>
        <w:rPr>
          <w:color w:val="231F20"/>
          <w:spacing w:val="2"/>
        </w:rPr>
        <w:t>violencia </w:t>
      </w:r>
      <w:r>
        <w:rPr>
          <w:color w:val="231F20"/>
        </w:rPr>
        <w:t>en el </w:t>
      </w:r>
      <w:r>
        <w:rPr>
          <w:color w:val="231F20"/>
          <w:spacing w:val="2"/>
        </w:rPr>
        <w:t>ámbito universitario </w:t>
      </w:r>
      <w:r>
        <w:rPr>
          <w:color w:val="231F20"/>
        </w:rPr>
        <w:t>es el </w:t>
      </w:r>
      <w:r>
        <w:rPr>
          <w:color w:val="231F20"/>
          <w:spacing w:val="2"/>
        </w:rPr>
        <w:t>arquetipo tradicional </w:t>
      </w:r>
      <w:r>
        <w:rPr>
          <w:color w:val="231F20"/>
        </w:rPr>
        <w:t>de la </w:t>
      </w:r>
      <w:r>
        <w:rPr>
          <w:color w:val="231F20"/>
          <w:spacing w:val="2"/>
        </w:rPr>
        <w:t>masculinidad </w:t>
      </w:r>
      <w:r>
        <w:rPr>
          <w:color w:val="231F20"/>
        </w:rPr>
        <w:t>(se ha </w:t>
      </w:r>
      <w:r>
        <w:rPr>
          <w:color w:val="231F20"/>
          <w:spacing w:val="2"/>
        </w:rPr>
        <w:t>señalado que   </w:t>
      </w:r>
      <w:r>
        <w:rPr>
          <w:color w:val="231F20"/>
        </w:rPr>
        <w:t>el </w:t>
      </w:r>
      <w:r>
        <w:rPr>
          <w:color w:val="231F20"/>
          <w:spacing w:val="2"/>
        </w:rPr>
        <w:t>maltrato </w:t>
      </w:r>
      <w:r>
        <w:rPr>
          <w:color w:val="231F20"/>
        </w:rPr>
        <w:t>a las </w:t>
      </w:r>
      <w:r>
        <w:rPr>
          <w:color w:val="231F20"/>
          <w:spacing w:val="2"/>
        </w:rPr>
        <w:t>hijas </w:t>
      </w:r>
      <w:r>
        <w:rPr>
          <w:color w:val="231F20"/>
        </w:rPr>
        <w:t>e </w:t>
      </w:r>
      <w:r>
        <w:rPr>
          <w:color w:val="231F20"/>
          <w:spacing w:val="2"/>
        </w:rPr>
        <w:t>hijos </w:t>
      </w:r>
      <w:r>
        <w:rPr>
          <w:color w:val="231F20"/>
        </w:rPr>
        <w:t>y a las </w:t>
      </w:r>
      <w:r>
        <w:rPr>
          <w:color w:val="231F20"/>
          <w:spacing w:val="2"/>
        </w:rPr>
        <w:t>mujeres constituye una </w:t>
      </w:r>
      <w:r>
        <w:rPr>
          <w:color w:val="231F20"/>
          <w:spacing w:val="3"/>
        </w:rPr>
        <w:t>con- </w:t>
      </w:r>
      <w:r>
        <w:rPr>
          <w:color w:val="231F20"/>
          <w:spacing w:val="2"/>
        </w:rPr>
        <w:t>ducta secular que durante </w:t>
      </w:r>
      <w:r>
        <w:rPr>
          <w:color w:val="231F20"/>
          <w:spacing w:val="3"/>
        </w:rPr>
        <w:t>demasiado </w:t>
      </w:r>
      <w:r>
        <w:rPr>
          <w:color w:val="231F20"/>
          <w:spacing w:val="2"/>
        </w:rPr>
        <w:t>tiempo </w:t>
      </w:r>
      <w:r>
        <w:rPr>
          <w:color w:val="231F20"/>
        </w:rPr>
        <w:t>ha </w:t>
      </w:r>
      <w:r>
        <w:rPr>
          <w:color w:val="231F20"/>
          <w:spacing w:val="2"/>
        </w:rPr>
        <w:t>sido tolerada </w:t>
      </w:r>
      <w:r>
        <w:rPr>
          <w:color w:val="231F20"/>
        </w:rPr>
        <w:t>en </w:t>
      </w:r>
      <w:r>
        <w:rPr>
          <w:color w:val="231F20"/>
          <w:spacing w:val="3"/>
        </w:rPr>
        <w:t>nombre </w:t>
      </w:r>
      <w:r>
        <w:rPr>
          <w:color w:val="231F20"/>
        </w:rPr>
        <w:t>de un </w:t>
      </w:r>
      <w:r>
        <w:rPr>
          <w:color w:val="231F20"/>
          <w:spacing w:val="2"/>
        </w:rPr>
        <w:t>orden natural, </w:t>
      </w:r>
      <w:r>
        <w:rPr>
          <w:color w:val="231F20"/>
        </w:rPr>
        <w:t>el </w:t>
      </w:r>
      <w:r>
        <w:rPr>
          <w:color w:val="231F20"/>
          <w:spacing w:val="2"/>
        </w:rPr>
        <w:t>cual otorga </w:t>
      </w:r>
      <w:r>
        <w:rPr>
          <w:color w:val="231F20"/>
        </w:rPr>
        <w:t>a </w:t>
      </w:r>
      <w:r>
        <w:rPr>
          <w:color w:val="231F20"/>
          <w:spacing w:val="2"/>
        </w:rPr>
        <w:t>los </w:t>
      </w:r>
      <w:r>
        <w:rPr>
          <w:color w:val="231F20"/>
          <w:spacing w:val="3"/>
        </w:rPr>
        <w:t>hombres </w:t>
      </w:r>
      <w:r>
        <w:rPr>
          <w:color w:val="231F20"/>
        </w:rPr>
        <w:t>un </w:t>
      </w:r>
      <w:r>
        <w:rPr>
          <w:color w:val="231F20"/>
          <w:spacing w:val="4"/>
        </w:rPr>
        <w:t>po-  </w:t>
      </w:r>
      <w:r>
        <w:rPr>
          <w:color w:val="231F20"/>
          <w:spacing w:val="2"/>
        </w:rPr>
        <w:t>der </w:t>
      </w:r>
      <w:r>
        <w:rPr>
          <w:color w:val="231F20"/>
        </w:rPr>
        <w:t>sin </w:t>
      </w:r>
      <w:r>
        <w:rPr>
          <w:color w:val="231F20"/>
          <w:spacing w:val="2"/>
        </w:rPr>
        <w:t>límites sobre </w:t>
      </w:r>
      <w:r>
        <w:rPr>
          <w:color w:val="231F20"/>
        </w:rPr>
        <w:t>las </w:t>
      </w:r>
      <w:r>
        <w:rPr>
          <w:color w:val="231F20"/>
          <w:spacing w:val="2"/>
        </w:rPr>
        <w:t>mujeres </w:t>
      </w:r>
      <w:r>
        <w:rPr>
          <w:color w:val="231F20"/>
        </w:rPr>
        <w:t>y </w:t>
      </w:r>
      <w:r>
        <w:rPr>
          <w:color w:val="231F20"/>
          <w:spacing w:val="2"/>
        </w:rPr>
        <w:t>considera </w:t>
      </w:r>
      <w:r>
        <w:rPr>
          <w:color w:val="231F20"/>
        </w:rPr>
        <w:t>el </w:t>
      </w:r>
      <w:r>
        <w:rPr>
          <w:color w:val="231F20"/>
          <w:spacing w:val="3"/>
        </w:rPr>
        <w:t>menosprecio </w:t>
      </w:r>
      <w:r>
        <w:rPr>
          <w:color w:val="231F20"/>
        </w:rPr>
        <w:t>y la </w:t>
      </w:r>
      <w:r>
        <w:rPr>
          <w:color w:val="231F20"/>
          <w:spacing w:val="2"/>
        </w:rPr>
        <w:t>violencia hacia </w:t>
      </w:r>
      <w:r>
        <w:rPr>
          <w:color w:val="231F20"/>
        </w:rPr>
        <w:t>las </w:t>
      </w:r>
      <w:r>
        <w:rPr>
          <w:color w:val="231F20"/>
          <w:spacing w:val="2"/>
        </w:rPr>
        <w:t>hijas </w:t>
      </w:r>
      <w:r>
        <w:rPr>
          <w:color w:val="231F20"/>
        </w:rPr>
        <w:t>y la </w:t>
      </w:r>
      <w:r>
        <w:rPr>
          <w:color w:val="231F20"/>
          <w:spacing w:val="2"/>
        </w:rPr>
        <w:t>esposa </w:t>
      </w:r>
      <w:r>
        <w:rPr>
          <w:color w:val="231F20"/>
          <w:spacing w:val="3"/>
        </w:rPr>
        <w:t>como </w:t>
      </w:r>
      <w:r>
        <w:rPr>
          <w:color w:val="231F20"/>
        </w:rPr>
        <w:t>un </w:t>
      </w:r>
      <w:r>
        <w:rPr>
          <w:color w:val="231F20"/>
          <w:spacing w:val="2"/>
        </w:rPr>
        <w:t>derecho </w:t>
      </w:r>
      <w:r>
        <w:rPr>
          <w:color w:val="231F20"/>
        </w:rPr>
        <w:t>–e </w:t>
      </w:r>
      <w:r>
        <w:rPr>
          <w:color w:val="231F20"/>
          <w:spacing w:val="2"/>
        </w:rPr>
        <w:t>incluso </w:t>
      </w:r>
      <w:r>
        <w:rPr>
          <w:color w:val="231F20"/>
          <w:spacing w:val="3"/>
        </w:rPr>
        <w:t>como </w:t>
      </w:r>
      <w:r>
        <w:rPr>
          <w:color w:val="231F20"/>
        </w:rPr>
        <w:t>un </w:t>
      </w:r>
      <w:r>
        <w:rPr>
          <w:color w:val="231F20"/>
          <w:spacing w:val="2"/>
        </w:rPr>
        <w:t>deber– del padre </w:t>
      </w:r>
      <w:r>
        <w:rPr>
          <w:color w:val="231F20"/>
        </w:rPr>
        <w:t>y </w:t>
      </w:r>
      <w:r>
        <w:rPr>
          <w:color w:val="231F20"/>
          <w:spacing w:val="2"/>
        </w:rPr>
        <w:t>del esposo que nadie discutía). Sin</w:t>
      </w:r>
      <w:r>
        <w:rPr>
          <w:color w:val="231F20"/>
          <w:spacing w:val="56"/>
        </w:rPr>
        <w:t> </w:t>
      </w:r>
      <w:r>
        <w:rPr>
          <w:color w:val="231F20"/>
          <w:spacing w:val="3"/>
        </w:rPr>
        <w:t>embargo, </w:t>
      </w:r>
      <w:r>
        <w:rPr>
          <w:color w:val="231F20"/>
        </w:rPr>
        <w:t>no </w:t>
      </w:r>
      <w:r>
        <w:rPr>
          <w:color w:val="231F20"/>
          <w:spacing w:val="2"/>
        </w:rPr>
        <w:t>existe una esencia masculina que </w:t>
      </w:r>
      <w:r>
        <w:rPr>
          <w:color w:val="231F20"/>
          <w:spacing w:val="3"/>
        </w:rPr>
        <w:t>condene </w:t>
      </w:r>
      <w:r>
        <w:rPr>
          <w:color w:val="231F20"/>
        </w:rPr>
        <w:t>a </w:t>
      </w:r>
      <w:r>
        <w:rPr>
          <w:color w:val="231F20"/>
          <w:spacing w:val="2"/>
        </w:rPr>
        <w:t>los hom- bres </w:t>
      </w:r>
      <w:r>
        <w:rPr>
          <w:color w:val="231F20"/>
        </w:rPr>
        <w:t>a </w:t>
      </w:r>
      <w:r>
        <w:rPr>
          <w:color w:val="231F20"/>
          <w:spacing w:val="3"/>
        </w:rPr>
        <w:t>formas </w:t>
      </w:r>
      <w:r>
        <w:rPr>
          <w:color w:val="231F20"/>
        </w:rPr>
        <w:t>de </w:t>
      </w:r>
      <w:r>
        <w:rPr>
          <w:color w:val="231F20"/>
          <w:spacing w:val="2"/>
        </w:rPr>
        <w:t>violencia contra </w:t>
      </w:r>
      <w:r>
        <w:rPr>
          <w:color w:val="231F20"/>
        </w:rPr>
        <w:t>la </w:t>
      </w:r>
      <w:r>
        <w:rPr>
          <w:color w:val="231F20"/>
          <w:spacing w:val="2"/>
        </w:rPr>
        <w:t>mujer, sino son </w:t>
      </w:r>
      <w:r>
        <w:rPr>
          <w:color w:val="231F20"/>
          <w:spacing w:val="3"/>
        </w:rPr>
        <w:t>formas </w:t>
      </w:r>
      <w:r>
        <w:rPr>
          <w:color w:val="231F20"/>
        </w:rPr>
        <w:t>de ser </w:t>
      </w:r>
      <w:r>
        <w:rPr>
          <w:color w:val="231F20"/>
          <w:spacing w:val="3"/>
        </w:rPr>
        <w:t>hombres </w:t>
      </w:r>
      <w:r>
        <w:rPr>
          <w:color w:val="231F20"/>
        </w:rPr>
        <w:t>que se </w:t>
      </w:r>
      <w:r>
        <w:rPr>
          <w:color w:val="231F20"/>
          <w:spacing w:val="3"/>
        </w:rPr>
        <w:t>fundamentan </w:t>
      </w:r>
      <w:r>
        <w:rPr>
          <w:color w:val="231F20"/>
        </w:rPr>
        <w:t>en </w:t>
      </w:r>
      <w:r>
        <w:rPr>
          <w:color w:val="231F20"/>
          <w:spacing w:val="2"/>
        </w:rPr>
        <w:t>diversas </w:t>
      </w:r>
      <w:r>
        <w:rPr>
          <w:color w:val="231F20"/>
          <w:spacing w:val="3"/>
        </w:rPr>
        <w:t>formas </w:t>
      </w:r>
      <w:r>
        <w:rPr>
          <w:color w:val="231F20"/>
        </w:rPr>
        <w:t>de </w:t>
      </w:r>
      <w:r>
        <w:rPr>
          <w:color w:val="231F20"/>
          <w:spacing w:val="3"/>
        </w:rPr>
        <w:t>dominación </w:t>
      </w:r>
      <w:r>
        <w:rPr>
          <w:color w:val="231F20"/>
          <w:spacing w:val="2"/>
        </w:rPr>
        <w:t>sustentadas </w:t>
      </w:r>
      <w:r>
        <w:rPr>
          <w:color w:val="231F20"/>
        </w:rPr>
        <w:t>en </w:t>
      </w:r>
      <w:r>
        <w:rPr>
          <w:color w:val="231F20"/>
          <w:spacing w:val="2"/>
        </w:rPr>
        <w:t>una división sexual </w:t>
      </w:r>
      <w:r>
        <w:rPr>
          <w:color w:val="231F20"/>
        </w:rPr>
        <w:t>de las </w:t>
      </w:r>
      <w:r>
        <w:rPr>
          <w:color w:val="231F20"/>
          <w:spacing w:val="2"/>
        </w:rPr>
        <w:t>tareas </w:t>
      </w:r>
      <w:r>
        <w:rPr>
          <w:color w:val="231F20"/>
        </w:rPr>
        <w:t>y </w:t>
      </w:r>
      <w:r>
        <w:rPr>
          <w:color w:val="231F20"/>
          <w:spacing w:val="2"/>
        </w:rPr>
        <w:t>expectativas, </w:t>
      </w:r>
      <w:r>
        <w:rPr>
          <w:color w:val="231F20"/>
          <w:spacing w:val="3"/>
        </w:rPr>
        <w:t>en </w:t>
      </w:r>
      <w:r>
        <w:rPr>
          <w:color w:val="231F20"/>
          <w:spacing w:val="2"/>
        </w:rPr>
        <w:t>función del sexo </w:t>
      </w:r>
      <w:r>
        <w:rPr>
          <w:color w:val="231F20"/>
        </w:rPr>
        <w:t>de las</w:t>
      </w:r>
      <w:r>
        <w:rPr>
          <w:color w:val="231F20"/>
          <w:spacing w:val="17"/>
        </w:rPr>
        <w:t> </w:t>
      </w:r>
      <w:r>
        <w:rPr>
          <w:color w:val="231F20"/>
          <w:spacing w:val="3"/>
        </w:rPr>
        <w:t>personas.</w:t>
      </w:r>
    </w:p>
    <w:p>
      <w:pPr>
        <w:pStyle w:val="BodyText"/>
        <w:spacing w:line="249" w:lineRule="auto"/>
        <w:ind w:left="113" w:right="116" w:firstLine="284"/>
        <w:jc w:val="both"/>
      </w:pPr>
      <w:r>
        <w:rPr>
          <w:color w:val="231F20"/>
        </w:rPr>
        <w:t>En </w:t>
      </w:r>
      <w:r>
        <w:rPr>
          <w:color w:val="231F20"/>
          <w:spacing w:val="2"/>
        </w:rPr>
        <w:t>este sentido, Elizabeth Badinter señala </w:t>
      </w:r>
      <w:r>
        <w:rPr>
          <w:color w:val="231F20"/>
        </w:rPr>
        <w:t>que no </w:t>
      </w:r>
      <w:r>
        <w:rPr>
          <w:color w:val="231F20"/>
          <w:spacing w:val="2"/>
        </w:rPr>
        <w:t>hay una masculinidad única, </w:t>
      </w:r>
      <w:r>
        <w:rPr>
          <w:color w:val="231F20"/>
        </w:rPr>
        <w:t>ni un </w:t>
      </w:r>
      <w:r>
        <w:rPr>
          <w:color w:val="231F20"/>
          <w:spacing w:val="2"/>
        </w:rPr>
        <w:t>modelo masculino universal </w:t>
      </w:r>
      <w:r>
        <w:rPr>
          <w:color w:val="231F20"/>
        </w:rPr>
        <w:t>y </w:t>
      </w:r>
      <w:r>
        <w:rPr>
          <w:color w:val="231F20"/>
          <w:spacing w:val="2"/>
        </w:rPr>
        <w:t>válido</w:t>
      </w:r>
      <w:r>
        <w:rPr>
          <w:color w:val="231F20"/>
          <w:spacing w:val="56"/>
        </w:rPr>
        <w:t> </w:t>
      </w:r>
      <w:r>
        <w:rPr>
          <w:color w:val="231F20"/>
          <w:spacing w:val="2"/>
        </w:rPr>
        <w:t>para cualquier lugar, sino una diversidad </w:t>
      </w:r>
      <w:r>
        <w:rPr>
          <w:color w:val="231F20"/>
          <w:spacing w:val="3"/>
        </w:rPr>
        <w:t>heterogénea </w:t>
      </w:r>
      <w:r>
        <w:rPr>
          <w:color w:val="231F20"/>
        </w:rPr>
        <w:t>de </w:t>
      </w:r>
      <w:r>
        <w:rPr>
          <w:color w:val="231F20"/>
          <w:spacing w:val="3"/>
        </w:rPr>
        <w:t>identida- </w:t>
      </w:r>
      <w:r>
        <w:rPr>
          <w:color w:val="231F20"/>
          <w:spacing w:val="2"/>
        </w:rPr>
        <w:t>des masculinas </w:t>
      </w:r>
      <w:r>
        <w:rPr>
          <w:color w:val="231F20"/>
        </w:rPr>
        <w:t>y </w:t>
      </w:r>
      <w:r>
        <w:rPr>
          <w:color w:val="231F20"/>
          <w:spacing w:val="3"/>
        </w:rPr>
        <w:t>maneras </w:t>
      </w:r>
      <w:r>
        <w:rPr>
          <w:color w:val="231F20"/>
        </w:rPr>
        <w:t>de ser </w:t>
      </w:r>
      <w:r>
        <w:rPr>
          <w:color w:val="231F20"/>
          <w:spacing w:val="3"/>
        </w:rPr>
        <w:t>hombre. </w:t>
      </w:r>
      <w:r>
        <w:rPr>
          <w:color w:val="231F20"/>
        </w:rPr>
        <w:t>La </w:t>
      </w:r>
      <w:r>
        <w:rPr>
          <w:color w:val="231F20"/>
          <w:spacing w:val="2"/>
        </w:rPr>
        <w:t>versión </w:t>
      </w:r>
      <w:r>
        <w:rPr>
          <w:color w:val="231F20"/>
          <w:spacing w:val="3"/>
        </w:rPr>
        <w:t>dominante </w:t>
      </w:r>
      <w:r>
        <w:rPr>
          <w:color w:val="231F20"/>
        </w:rPr>
        <w:t>de la </w:t>
      </w:r>
      <w:r>
        <w:rPr>
          <w:color w:val="231F20"/>
          <w:spacing w:val="2"/>
        </w:rPr>
        <w:t>identidad masculina </w:t>
      </w:r>
      <w:r>
        <w:rPr>
          <w:color w:val="231F20"/>
        </w:rPr>
        <w:t>no </w:t>
      </w:r>
      <w:r>
        <w:rPr>
          <w:color w:val="231F20"/>
          <w:spacing w:val="2"/>
        </w:rPr>
        <w:t>constituye una esencia, sino una </w:t>
      </w:r>
      <w:r>
        <w:rPr>
          <w:color w:val="231F20"/>
          <w:spacing w:val="3"/>
        </w:rPr>
        <w:t>ideolo- </w:t>
      </w:r>
      <w:r>
        <w:rPr>
          <w:color w:val="231F20"/>
        </w:rPr>
        <w:t>gía de </w:t>
      </w:r>
      <w:r>
        <w:rPr>
          <w:color w:val="231F20"/>
          <w:spacing w:val="2"/>
        </w:rPr>
        <w:t>poder </w:t>
      </w:r>
      <w:r>
        <w:rPr>
          <w:color w:val="231F20"/>
        </w:rPr>
        <w:t>y </w:t>
      </w:r>
      <w:r>
        <w:rPr>
          <w:color w:val="231F20"/>
          <w:spacing w:val="2"/>
        </w:rPr>
        <w:t>opresión hacia </w:t>
      </w:r>
      <w:r>
        <w:rPr>
          <w:color w:val="231F20"/>
        </w:rPr>
        <w:t>las </w:t>
      </w:r>
      <w:r>
        <w:rPr>
          <w:color w:val="231F20"/>
          <w:spacing w:val="2"/>
        </w:rPr>
        <w:t>mujeres para justificar </w:t>
      </w:r>
      <w:r>
        <w:rPr>
          <w:color w:val="231F20"/>
        </w:rPr>
        <w:t>la </w:t>
      </w:r>
      <w:r>
        <w:rPr>
          <w:color w:val="231F20"/>
          <w:spacing w:val="3"/>
        </w:rPr>
        <w:t>domina- </w:t>
      </w:r>
      <w:r>
        <w:rPr>
          <w:color w:val="231F20"/>
          <w:spacing w:val="2"/>
        </w:rPr>
        <w:t>ción masculina </w:t>
      </w:r>
      <w:r>
        <w:rPr>
          <w:color w:val="231F20"/>
        </w:rPr>
        <w:t>y la </w:t>
      </w:r>
      <w:r>
        <w:rPr>
          <w:color w:val="231F20"/>
          <w:spacing w:val="2"/>
        </w:rPr>
        <w:t>identidad masculina; </w:t>
      </w:r>
      <w:r>
        <w:rPr>
          <w:color w:val="231F20"/>
        </w:rPr>
        <w:t>no </w:t>
      </w:r>
      <w:r>
        <w:rPr>
          <w:color w:val="231F20"/>
          <w:spacing w:val="3"/>
        </w:rPr>
        <w:t>obstante, </w:t>
      </w:r>
      <w:r>
        <w:rPr>
          <w:color w:val="231F20"/>
        </w:rPr>
        <w:t>se </w:t>
      </w:r>
      <w:r>
        <w:rPr>
          <w:color w:val="231F20"/>
          <w:spacing w:val="2"/>
        </w:rPr>
        <w:t>puede cambiar este </w:t>
      </w:r>
      <w:r>
        <w:rPr>
          <w:color w:val="231F20"/>
          <w:spacing w:val="3"/>
        </w:rPr>
        <w:t>modelo. </w:t>
      </w:r>
      <w:r>
        <w:rPr>
          <w:color w:val="231F20"/>
        </w:rPr>
        <w:t>En </w:t>
      </w:r>
      <w:r>
        <w:rPr>
          <w:color w:val="231F20"/>
          <w:spacing w:val="2"/>
        </w:rPr>
        <w:t>este </w:t>
      </w:r>
      <w:r>
        <w:rPr>
          <w:color w:val="231F20"/>
          <w:spacing w:val="3"/>
        </w:rPr>
        <w:t>mismo </w:t>
      </w:r>
      <w:r>
        <w:rPr>
          <w:color w:val="231F20"/>
          <w:spacing w:val="2"/>
        </w:rPr>
        <w:t>sentido, </w:t>
      </w:r>
      <w:r>
        <w:rPr>
          <w:color w:val="231F20"/>
        </w:rPr>
        <w:t>la </w:t>
      </w:r>
      <w:r>
        <w:rPr>
          <w:color w:val="231F20"/>
          <w:spacing w:val="2"/>
        </w:rPr>
        <w:t>universidad tam- bién </w:t>
      </w:r>
      <w:r>
        <w:rPr>
          <w:color w:val="231F20"/>
        </w:rPr>
        <w:t>es un </w:t>
      </w:r>
      <w:r>
        <w:rPr>
          <w:color w:val="231F20"/>
          <w:spacing w:val="3"/>
        </w:rPr>
        <w:t>ambiente </w:t>
      </w:r>
      <w:r>
        <w:rPr>
          <w:color w:val="231F20"/>
        </w:rPr>
        <w:t>en el que se </w:t>
      </w:r>
      <w:r>
        <w:rPr>
          <w:color w:val="231F20"/>
          <w:spacing w:val="2"/>
        </w:rPr>
        <w:t>observan </w:t>
      </w:r>
      <w:r>
        <w:rPr>
          <w:color w:val="231F20"/>
          <w:spacing w:val="3"/>
        </w:rPr>
        <w:t>fenómenos violentos aparentemente </w:t>
      </w:r>
      <w:r>
        <w:rPr>
          <w:color w:val="231F20"/>
          <w:spacing w:val="2"/>
        </w:rPr>
        <w:t>más sutiles, </w:t>
      </w:r>
      <w:r>
        <w:rPr>
          <w:color w:val="231F20"/>
          <w:spacing w:val="3"/>
        </w:rPr>
        <w:t>muchos </w:t>
      </w:r>
      <w:r>
        <w:rPr>
          <w:color w:val="231F20"/>
        </w:rPr>
        <w:t>de </w:t>
      </w:r>
      <w:r>
        <w:rPr>
          <w:color w:val="231F20"/>
          <w:spacing w:val="2"/>
        </w:rPr>
        <w:t>ellos ocurren durante </w:t>
      </w:r>
      <w:r>
        <w:rPr>
          <w:color w:val="231F20"/>
        </w:rPr>
        <w:t>el </w:t>
      </w:r>
      <w:r>
        <w:rPr>
          <w:color w:val="231F20"/>
          <w:spacing w:val="2"/>
        </w:rPr>
        <w:t>noviazgo.</w:t>
      </w:r>
    </w:p>
    <w:p>
      <w:pPr>
        <w:pStyle w:val="BodyText"/>
        <w:spacing w:line="249" w:lineRule="auto"/>
        <w:ind w:left="113" w:right="116" w:firstLine="284"/>
        <w:jc w:val="both"/>
      </w:pPr>
      <w:r>
        <w:rPr>
          <w:color w:val="231F20"/>
        </w:rPr>
        <w:t>La violencia en el noviazgo se ha considerado un severo pro- blema por sus daños sociales, físicos, mentales y de salud para quienes viven esta situación. Este tipo de violencia se identificó como un problema social a partir de los estudios de Kanin (1950), quien documentó que el 30% de las estudiantes de la población de estudio tuvo amenazas o relaciones sexuales forzadas durante el noviazgo. A su vez, las investigaciones de Makepeace (1980) arro- jaron que el 20% de la muestra de estudiantes vivió violencia en la etapa del noviazgo. En estudios más recientes se documenta que cerca de 50% de las mujeres en relación de noviazgo han sufrido violencia. Sin embargo, existe otra investigación que logran docu- mentar prevalencias de 9 a 38.2 por ciento.</w:t>
      </w:r>
    </w:p>
    <w:p>
      <w:pPr>
        <w:pStyle w:val="BodyText"/>
        <w:spacing w:line="247" w:lineRule="auto"/>
        <w:ind w:left="113" w:right="117" w:firstLine="284"/>
        <w:jc w:val="both"/>
      </w:pPr>
      <w:r>
        <w:rPr>
          <w:color w:val="231F20"/>
        </w:rPr>
        <w:t>En síntesis, uno de los puntos que se debe tener en particular consideración es el de  la  definición operacional de  violencia,   así</w:t>
      </w:r>
    </w:p>
    <w:p>
      <w:pPr>
        <w:spacing w:after="0" w:line="247" w:lineRule="auto"/>
        <w:jc w:val="both"/>
        <w:sectPr>
          <w:headerReference w:type="default" r:id="rId655"/>
          <w:footerReference w:type="default" r:id="rId656"/>
          <w:pgSz w:w="7830" w:h="11910"/>
          <w:pgMar w:header="0" w:footer="424" w:top="500" w:bottom="620" w:left="880" w:right="900"/>
          <w:pgNumType w:start="293"/>
        </w:sectPr>
      </w:pPr>
    </w:p>
    <w:p>
      <w:pPr>
        <w:spacing w:before="46"/>
        <w:ind w:left="3" w:right="9"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06"/>
        <w:jc w:val="both"/>
      </w:pPr>
      <w:r>
        <w:rPr>
          <w:color w:val="231F20"/>
          <w:spacing w:val="3"/>
        </w:rPr>
        <w:t>como </w:t>
      </w:r>
      <w:r>
        <w:rPr>
          <w:color w:val="231F20"/>
          <w:spacing w:val="2"/>
        </w:rPr>
        <w:t>los </w:t>
      </w:r>
      <w:r>
        <w:rPr>
          <w:color w:val="231F20"/>
          <w:spacing w:val="3"/>
        </w:rPr>
        <w:t>parámetros </w:t>
      </w:r>
      <w:r>
        <w:rPr>
          <w:color w:val="231F20"/>
          <w:spacing w:val="2"/>
        </w:rPr>
        <w:t>para medirla, </w:t>
      </w:r>
      <w:r>
        <w:rPr>
          <w:color w:val="231F20"/>
        </w:rPr>
        <w:t>lo </w:t>
      </w:r>
      <w:r>
        <w:rPr>
          <w:color w:val="231F20"/>
          <w:spacing w:val="2"/>
        </w:rPr>
        <w:t>que </w:t>
      </w:r>
      <w:r>
        <w:rPr>
          <w:color w:val="231F20"/>
        </w:rPr>
        <w:t>tal vez </w:t>
      </w:r>
      <w:r>
        <w:rPr>
          <w:color w:val="231F20"/>
          <w:spacing w:val="2"/>
        </w:rPr>
        <w:t>logre explicar las prevalencias </w:t>
      </w:r>
      <w:r>
        <w:rPr>
          <w:color w:val="231F20"/>
        </w:rPr>
        <w:t>tan </w:t>
      </w:r>
      <w:r>
        <w:rPr>
          <w:color w:val="231F20"/>
          <w:spacing w:val="2"/>
        </w:rPr>
        <w:t>diferentes entre estudios. Parte </w:t>
      </w:r>
      <w:r>
        <w:rPr>
          <w:color w:val="231F20"/>
        </w:rPr>
        <w:t>de  </w:t>
      </w:r>
      <w:r>
        <w:rPr>
          <w:color w:val="231F20"/>
          <w:spacing w:val="2"/>
        </w:rPr>
        <w:t>los resultados  </w:t>
      </w:r>
      <w:r>
        <w:rPr>
          <w:color w:val="231F20"/>
        </w:rPr>
        <w:t>de </w:t>
      </w:r>
      <w:r>
        <w:rPr>
          <w:color w:val="231F20"/>
          <w:spacing w:val="2"/>
        </w:rPr>
        <w:t>estos estudios permiten hacer vinculaciones entre </w:t>
      </w:r>
      <w:r>
        <w:rPr>
          <w:color w:val="231F20"/>
        </w:rPr>
        <w:t>la </w:t>
      </w:r>
      <w:r>
        <w:rPr>
          <w:color w:val="231F20"/>
          <w:spacing w:val="3"/>
        </w:rPr>
        <w:t>conducta </w:t>
      </w:r>
      <w:r>
        <w:rPr>
          <w:color w:val="231F20"/>
          <w:spacing w:val="2"/>
        </w:rPr>
        <w:t>violenta </w:t>
      </w:r>
      <w:r>
        <w:rPr>
          <w:color w:val="231F20"/>
        </w:rPr>
        <w:t>en el </w:t>
      </w:r>
      <w:r>
        <w:rPr>
          <w:color w:val="231F20"/>
          <w:spacing w:val="2"/>
        </w:rPr>
        <w:t>noviazgo </w:t>
      </w:r>
      <w:r>
        <w:rPr>
          <w:color w:val="231F20"/>
        </w:rPr>
        <w:t>y </w:t>
      </w:r>
      <w:r>
        <w:rPr>
          <w:color w:val="231F20"/>
          <w:spacing w:val="2"/>
        </w:rPr>
        <w:t>otros factores </w:t>
      </w:r>
      <w:r>
        <w:rPr>
          <w:color w:val="231F20"/>
          <w:spacing w:val="3"/>
        </w:rPr>
        <w:t>como: </w:t>
      </w:r>
      <w:r>
        <w:rPr>
          <w:color w:val="231F20"/>
          <w:spacing w:val="2"/>
        </w:rPr>
        <w:t>depresión, baja autoestima, </w:t>
      </w:r>
      <w:r>
        <w:rPr>
          <w:color w:val="231F20"/>
          <w:spacing w:val="3"/>
        </w:rPr>
        <w:t>consumo </w:t>
      </w:r>
      <w:r>
        <w:rPr>
          <w:color w:val="231F20"/>
          <w:spacing w:val="2"/>
        </w:rPr>
        <w:t>del alcohol, inicio </w:t>
      </w:r>
      <w:r>
        <w:rPr>
          <w:color w:val="231F20"/>
          <w:spacing w:val="3"/>
        </w:rPr>
        <w:t>temprano </w:t>
      </w:r>
      <w:r>
        <w:rPr>
          <w:color w:val="231F20"/>
        </w:rPr>
        <w:t>de </w:t>
      </w:r>
      <w:r>
        <w:rPr>
          <w:color w:val="231F20"/>
          <w:spacing w:val="2"/>
        </w:rPr>
        <w:t>relaciones sexuales </w:t>
      </w:r>
      <w:r>
        <w:rPr>
          <w:color w:val="231F20"/>
        </w:rPr>
        <w:t>y </w:t>
      </w:r>
      <w:r>
        <w:rPr>
          <w:color w:val="231F20"/>
          <w:spacing w:val="2"/>
        </w:rPr>
        <w:t>bajo </w:t>
      </w:r>
      <w:r>
        <w:rPr>
          <w:color w:val="231F20"/>
          <w:spacing w:val="3"/>
        </w:rPr>
        <w:t>rendimiento </w:t>
      </w:r>
      <w:r>
        <w:rPr>
          <w:color w:val="231F20"/>
          <w:spacing w:val="2"/>
        </w:rPr>
        <w:t>escolar. </w:t>
      </w:r>
      <w:r>
        <w:rPr>
          <w:color w:val="231F20"/>
        </w:rPr>
        <w:t>La </w:t>
      </w:r>
      <w:r>
        <w:rPr>
          <w:color w:val="231F20"/>
          <w:spacing w:val="2"/>
        </w:rPr>
        <w:t>literatura permite inferir </w:t>
      </w:r>
      <w:r>
        <w:rPr>
          <w:color w:val="231F20"/>
        </w:rPr>
        <w:t>que la </w:t>
      </w:r>
      <w:r>
        <w:rPr>
          <w:color w:val="231F20"/>
          <w:spacing w:val="2"/>
        </w:rPr>
        <w:t>violencia </w:t>
      </w:r>
      <w:r>
        <w:rPr>
          <w:color w:val="231F20"/>
        </w:rPr>
        <w:t>en el </w:t>
      </w:r>
      <w:r>
        <w:rPr>
          <w:color w:val="231F20"/>
          <w:spacing w:val="2"/>
        </w:rPr>
        <w:t>noviazgo </w:t>
      </w:r>
      <w:r>
        <w:rPr>
          <w:color w:val="231F20"/>
          <w:spacing w:val="3"/>
        </w:rPr>
        <w:t>puede </w:t>
      </w:r>
      <w:r>
        <w:rPr>
          <w:color w:val="231F20"/>
        </w:rPr>
        <w:t>ser un </w:t>
      </w:r>
      <w:r>
        <w:rPr>
          <w:color w:val="231F20"/>
          <w:spacing w:val="3"/>
        </w:rPr>
        <w:t>precursor </w:t>
      </w:r>
      <w:r>
        <w:rPr>
          <w:color w:val="231F20"/>
        </w:rPr>
        <w:t>de </w:t>
      </w:r>
      <w:r>
        <w:rPr>
          <w:color w:val="231F20"/>
          <w:spacing w:val="2"/>
        </w:rPr>
        <w:t>una </w:t>
      </w:r>
      <w:r>
        <w:rPr>
          <w:color w:val="231F20"/>
          <w:spacing w:val="3"/>
        </w:rPr>
        <w:t>conducta </w:t>
      </w:r>
      <w:r>
        <w:rPr>
          <w:color w:val="231F20"/>
          <w:spacing w:val="2"/>
        </w:rPr>
        <w:t>violenta </w:t>
      </w:r>
      <w:r>
        <w:rPr>
          <w:color w:val="231F20"/>
        </w:rPr>
        <w:t>en </w:t>
      </w:r>
      <w:r>
        <w:rPr>
          <w:color w:val="231F20"/>
          <w:spacing w:val="2"/>
        </w:rPr>
        <w:t>una relación</w:t>
      </w:r>
      <w:r>
        <w:rPr>
          <w:color w:val="231F20"/>
          <w:spacing w:val="5"/>
        </w:rPr>
        <w:t> </w:t>
      </w:r>
      <w:r>
        <w:rPr>
          <w:color w:val="231F20"/>
          <w:spacing w:val="2"/>
        </w:rPr>
        <w:t>marital.</w:t>
      </w:r>
    </w:p>
    <w:p>
      <w:pPr>
        <w:pStyle w:val="BodyText"/>
        <w:spacing w:line="247" w:lineRule="auto"/>
        <w:ind w:left="102" w:right="105" w:firstLine="284"/>
        <w:jc w:val="both"/>
      </w:pPr>
      <w:r>
        <w:rPr>
          <w:color w:val="231F20"/>
        </w:rPr>
        <w:t>El </w:t>
      </w:r>
      <w:r>
        <w:rPr>
          <w:color w:val="231F20"/>
          <w:spacing w:val="2"/>
        </w:rPr>
        <w:t>análisis parte </w:t>
      </w:r>
      <w:r>
        <w:rPr>
          <w:color w:val="231F20"/>
        </w:rPr>
        <w:t>de que se </w:t>
      </w:r>
      <w:r>
        <w:rPr>
          <w:color w:val="231F20"/>
          <w:spacing w:val="2"/>
        </w:rPr>
        <w:t>trata </w:t>
      </w:r>
      <w:r>
        <w:rPr>
          <w:color w:val="231F20"/>
        </w:rPr>
        <w:t>de un </w:t>
      </w:r>
      <w:r>
        <w:rPr>
          <w:color w:val="231F20"/>
          <w:spacing w:val="2"/>
        </w:rPr>
        <w:t>evento predecible, </w:t>
      </w:r>
      <w:r>
        <w:rPr>
          <w:color w:val="231F20"/>
        </w:rPr>
        <w:t>y </w:t>
      </w:r>
      <w:r>
        <w:rPr>
          <w:color w:val="231F20"/>
          <w:spacing w:val="2"/>
        </w:rPr>
        <w:t>por   </w:t>
      </w:r>
      <w:r>
        <w:rPr>
          <w:color w:val="231F20"/>
        </w:rPr>
        <w:t>lo </w:t>
      </w:r>
      <w:r>
        <w:rPr>
          <w:color w:val="231F20"/>
          <w:spacing w:val="2"/>
        </w:rPr>
        <w:t>tanto prevenible para controlarlo </w:t>
      </w:r>
      <w:r>
        <w:rPr>
          <w:color w:val="231F20"/>
        </w:rPr>
        <w:t>y </w:t>
      </w:r>
      <w:r>
        <w:rPr>
          <w:color w:val="231F20"/>
          <w:spacing w:val="2"/>
        </w:rPr>
        <w:t>contribuir </w:t>
      </w:r>
      <w:r>
        <w:rPr>
          <w:color w:val="231F20"/>
        </w:rPr>
        <w:t>a su </w:t>
      </w:r>
      <w:r>
        <w:rPr>
          <w:color w:val="231F20"/>
          <w:spacing w:val="3"/>
        </w:rPr>
        <w:t>disminución. </w:t>
      </w:r>
      <w:r>
        <w:rPr>
          <w:color w:val="231F20"/>
          <w:spacing w:val="2"/>
        </w:rPr>
        <w:t>Esto implica identificar </w:t>
      </w:r>
      <w:r>
        <w:rPr>
          <w:color w:val="231F20"/>
          <w:spacing w:val="3"/>
        </w:rPr>
        <w:t>grupos </w:t>
      </w:r>
      <w:r>
        <w:rPr>
          <w:color w:val="231F20"/>
          <w:spacing w:val="2"/>
        </w:rPr>
        <w:t>con </w:t>
      </w:r>
      <w:r>
        <w:rPr>
          <w:color w:val="231F20"/>
          <w:spacing w:val="3"/>
        </w:rPr>
        <w:t>mayor </w:t>
      </w:r>
      <w:r>
        <w:rPr>
          <w:color w:val="231F20"/>
          <w:spacing w:val="2"/>
        </w:rPr>
        <w:t>vulnerabilidad </w:t>
      </w:r>
      <w:r>
        <w:rPr>
          <w:color w:val="231F20"/>
        </w:rPr>
        <w:t>y </w:t>
      </w:r>
      <w:r>
        <w:rPr>
          <w:color w:val="231F20"/>
          <w:spacing w:val="2"/>
        </w:rPr>
        <w:t>estra- tegias específicas, considerando </w:t>
      </w:r>
      <w:r>
        <w:rPr>
          <w:color w:val="231F20"/>
        </w:rPr>
        <w:t>el </w:t>
      </w:r>
      <w:r>
        <w:rPr>
          <w:color w:val="231F20"/>
          <w:spacing w:val="2"/>
        </w:rPr>
        <w:t>contexto </w:t>
      </w:r>
      <w:r>
        <w:rPr>
          <w:color w:val="231F20"/>
        </w:rPr>
        <w:t>en </w:t>
      </w:r>
      <w:r>
        <w:rPr>
          <w:color w:val="231F20"/>
          <w:spacing w:val="2"/>
        </w:rPr>
        <w:t>que </w:t>
      </w:r>
      <w:r>
        <w:rPr>
          <w:color w:val="231F20"/>
        </w:rPr>
        <w:t>se </w:t>
      </w:r>
      <w:r>
        <w:rPr>
          <w:color w:val="231F20"/>
          <w:spacing w:val="3"/>
        </w:rPr>
        <w:t>implantarán </w:t>
      </w:r>
      <w:r>
        <w:rPr>
          <w:color w:val="231F20"/>
          <w:spacing w:val="2"/>
        </w:rPr>
        <w:t>para prevenir </w:t>
      </w:r>
      <w:r>
        <w:rPr>
          <w:color w:val="231F20"/>
        </w:rPr>
        <w:t>y </w:t>
      </w:r>
      <w:r>
        <w:rPr>
          <w:color w:val="231F20"/>
          <w:spacing w:val="2"/>
        </w:rPr>
        <w:t>atender </w:t>
      </w:r>
      <w:r>
        <w:rPr>
          <w:color w:val="231F20"/>
        </w:rPr>
        <w:t>a </w:t>
      </w:r>
      <w:r>
        <w:rPr>
          <w:color w:val="231F20"/>
          <w:spacing w:val="2"/>
        </w:rPr>
        <w:t>los sujetos</w:t>
      </w:r>
      <w:r>
        <w:rPr>
          <w:color w:val="231F20"/>
          <w:spacing w:val="17"/>
        </w:rPr>
        <w:t> </w:t>
      </w:r>
      <w:r>
        <w:rPr>
          <w:color w:val="231F20"/>
          <w:spacing w:val="2"/>
        </w:rPr>
        <w:t>afectados.</w:t>
      </w:r>
    </w:p>
    <w:p>
      <w:pPr>
        <w:pStyle w:val="BodyText"/>
        <w:spacing w:line="249" w:lineRule="auto" w:before="1"/>
        <w:ind w:left="102" w:right="106" w:firstLine="284"/>
        <w:jc w:val="both"/>
      </w:pPr>
      <w:r>
        <w:rPr>
          <w:color w:val="231F20"/>
        </w:rPr>
        <w:t>Si se </w:t>
      </w:r>
      <w:r>
        <w:rPr>
          <w:color w:val="231F20"/>
          <w:spacing w:val="2"/>
        </w:rPr>
        <w:t>toma </w:t>
      </w:r>
      <w:r>
        <w:rPr>
          <w:color w:val="231F20"/>
        </w:rPr>
        <w:t>en </w:t>
      </w:r>
      <w:r>
        <w:rPr>
          <w:color w:val="231F20"/>
          <w:spacing w:val="2"/>
        </w:rPr>
        <w:t>cuenta </w:t>
      </w:r>
      <w:r>
        <w:rPr>
          <w:color w:val="231F20"/>
        </w:rPr>
        <w:t>que la </w:t>
      </w:r>
      <w:r>
        <w:rPr>
          <w:color w:val="231F20"/>
          <w:spacing w:val="2"/>
        </w:rPr>
        <w:t>población estudiantil </w:t>
      </w:r>
      <w:r>
        <w:rPr>
          <w:color w:val="231F20"/>
        </w:rPr>
        <w:t>de la </w:t>
      </w:r>
      <w:r>
        <w:rPr>
          <w:color w:val="231F20"/>
          <w:spacing w:val="3"/>
        </w:rPr>
        <w:t>Univer- </w:t>
      </w:r>
      <w:r>
        <w:rPr>
          <w:color w:val="231F20"/>
          <w:spacing w:val="2"/>
        </w:rPr>
        <w:t>sidad </w:t>
      </w:r>
      <w:r>
        <w:rPr>
          <w:color w:val="231F20"/>
        </w:rPr>
        <w:t>de </w:t>
      </w:r>
      <w:r>
        <w:rPr>
          <w:color w:val="231F20"/>
          <w:spacing w:val="3"/>
        </w:rPr>
        <w:t>Quintana </w:t>
      </w:r>
      <w:r>
        <w:rPr>
          <w:color w:val="231F20"/>
          <w:spacing w:val="2"/>
        </w:rPr>
        <w:t>Roo </w:t>
      </w:r>
      <w:r>
        <w:rPr>
          <w:color w:val="231F20"/>
        </w:rPr>
        <w:t>es </w:t>
      </w:r>
      <w:r>
        <w:rPr>
          <w:color w:val="231F20"/>
          <w:spacing w:val="2"/>
        </w:rPr>
        <w:t>una </w:t>
      </w:r>
      <w:r>
        <w:rPr>
          <w:color w:val="231F20"/>
          <w:spacing w:val="3"/>
        </w:rPr>
        <w:t>población </w:t>
      </w:r>
      <w:r>
        <w:rPr>
          <w:color w:val="231F20"/>
          <w:spacing w:val="2"/>
        </w:rPr>
        <w:t>joven </w:t>
      </w:r>
      <w:r>
        <w:rPr>
          <w:color w:val="231F20"/>
        </w:rPr>
        <w:t>y </w:t>
      </w:r>
      <w:r>
        <w:rPr>
          <w:color w:val="231F20"/>
          <w:spacing w:val="2"/>
        </w:rPr>
        <w:t>que </w:t>
      </w:r>
      <w:r>
        <w:rPr>
          <w:color w:val="231F20"/>
        </w:rPr>
        <w:t>es </w:t>
      </w:r>
      <w:r>
        <w:rPr>
          <w:color w:val="231F20"/>
          <w:spacing w:val="2"/>
        </w:rPr>
        <w:t>suscepti-  ble </w:t>
      </w:r>
      <w:r>
        <w:rPr>
          <w:color w:val="231F20"/>
        </w:rPr>
        <w:t>de </w:t>
      </w:r>
      <w:r>
        <w:rPr>
          <w:color w:val="231F20"/>
          <w:spacing w:val="2"/>
        </w:rPr>
        <w:t>participar </w:t>
      </w:r>
      <w:r>
        <w:rPr>
          <w:color w:val="231F20"/>
        </w:rPr>
        <w:t>en </w:t>
      </w:r>
      <w:r>
        <w:rPr>
          <w:color w:val="231F20"/>
          <w:spacing w:val="3"/>
        </w:rPr>
        <w:t>hechos </w:t>
      </w:r>
      <w:r>
        <w:rPr>
          <w:color w:val="231F20"/>
          <w:spacing w:val="2"/>
        </w:rPr>
        <w:t>violentos, resulta trascendente saber  </w:t>
      </w:r>
      <w:r>
        <w:rPr>
          <w:color w:val="231F20"/>
        </w:rPr>
        <w:t>qué </w:t>
      </w:r>
      <w:r>
        <w:rPr>
          <w:color w:val="231F20"/>
          <w:spacing w:val="2"/>
        </w:rPr>
        <w:t>está </w:t>
      </w:r>
      <w:r>
        <w:rPr>
          <w:color w:val="231F20"/>
          <w:spacing w:val="3"/>
        </w:rPr>
        <w:t>pasando, </w:t>
      </w:r>
      <w:r>
        <w:rPr>
          <w:color w:val="231F20"/>
          <w:spacing w:val="2"/>
        </w:rPr>
        <w:t>pues </w:t>
      </w:r>
      <w:r>
        <w:rPr>
          <w:color w:val="231F20"/>
          <w:spacing w:val="3"/>
        </w:rPr>
        <w:t>independientemente </w:t>
      </w:r>
      <w:r>
        <w:rPr>
          <w:color w:val="231F20"/>
        </w:rPr>
        <w:t>de las </w:t>
      </w:r>
      <w:r>
        <w:rPr>
          <w:color w:val="231F20"/>
          <w:spacing w:val="2"/>
        </w:rPr>
        <w:t>cifras </w:t>
      </w:r>
      <w:r>
        <w:rPr>
          <w:color w:val="231F20"/>
        </w:rPr>
        <w:t>y de </w:t>
      </w:r>
      <w:r>
        <w:rPr>
          <w:color w:val="231F20"/>
          <w:spacing w:val="2"/>
        </w:rPr>
        <w:t>los múltiples ejemplos que puede ocasionar </w:t>
      </w:r>
      <w:r>
        <w:rPr>
          <w:color w:val="231F20"/>
        </w:rPr>
        <w:t>la </w:t>
      </w:r>
      <w:r>
        <w:rPr>
          <w:color w:val="231F20"/>
          <w:spacing w:val="2"/>
        </w:rPr>
        <w:t>violencia </w:t>
      </w:r>
      <w:r>
        <w:rPr>
          <w:color w:val="231F20"/>
        </w:rPr>
        <w:t>en las </w:t>
      </w:r>
      <w:r>
        <w:rPr>
          <w:color w:val="231F20"/>
          <w:spacing w:val="2"/>
        </w:rPr>
        <w:t>escuelas </w:t>
      </w:r>
      <w:r>
        <w:rPr>
          <w:color w:val="231F20"/>
        </w:rPr>
        <w:t>y en las </w:t>
      </w:r>
      <w:r>
        <w:rPr>
          <w:color w:val="231F20"/>
          <w:spacing w:val="2"/>
        </w:rPr>
        <w:t>universidades, </w:t>
      </w:r>
      <w:r>
        <w:rPr>
          <w:color w:val="231F20"/>
        </w:rPr>
        <w:t>lo </w:t>
      </w:r>
      <w:r>
        <w:rPr>
          <w:color w:val="231F20"/>
          <w:spacing w:val="2"/>
        </w:rPr>
        <w:t>que parece evidente </w:t>
      </w:r>
      <w:r>
        <w:rPr>
          <w:color w:val="231F20"/>
        </w:rPr>
        <w:t>es </w:t>
      </w:r>
      <w:r>
        <w:rPr>
          <w:color w:val="231F20"/>
          <w:spacing w:val="2"/>
        </w:rPr>
        <w:t>que </w:t>
      </w:r>
      <w:r>
        <w:rPr>
          <w:color w:val="231F20"/>
        </w:rPr>
        <w:t>se </w:t>
      </w:r>
      <w:r>
        <w:rPr>
          <w:color w:val="231F20"/>
          <w:spacing w:val="2"/>
        </w:rPr>
        <w:t>está </w:t>
      </w:r>
      <w:r>
        <w:rPr>
          <w:color w:val="231F20"/>
          <w:spacing w:val="3"/>
        </w:rPr>
        <w:t>con- </w:t>
      </w:r>
      <w:r>
        <w:rPr>
          <w:color w:val="231F20"/>
          <w:spacing w:val="2"/>
        </w:rPr>
        <w:t>virtiendo </w:t>
      </w:r>
      <w:r>
        <w:rPr>
          <w:color w:val="231F20"/>
        </w:rPr>
        <w:t>en </w:t>
      </w:r>
      <w:r>
        <w:rPr>
          <w:color w:val="231F20"/>
          <w:spacing w:val="3"/>
        </w:rPr>
        <w:t>problema </w:t>
      </w:r>
      <w:r>
        <w:rPr>
          <w:color w:val="231F20"/>
          <w:spacing w:val="2"/>
        </w:rPr>
        <w:t>central del sistema educativo. Los </w:t>
      </w:r>
      <w:r>
        <w:rPr>
          <w:color w:val="231F20"/>
          <w:spacing w:val="3"/>
        </w:rPr>
        <w:t>diferen- </w:t>
      </w:r>
      <w:r>
        <w:rPr>
          <w:color w:val="231F20"/>
        </w:rPr>
        <w:t>tes </w:t>
      </w:r>
      <w:r>
        <w:rPr>
          <w:color w:val="231F20"/>
          <w:spacing w:val="2"/>
        </w:rPr>
        <w:t>episodios </w:t>
      </w:r>
      <w:r>
        <w:rPr>
          <w:color w:val="231F20"/>
        </w:rPr>
        <w:t>de </w:t>
      </w:r>
      <w:r>
        <w:rPr>
          <w:color w:val="231F20"/>
          <w:spacing w:val="2"/>
        </w:rPr>
        <w:t>violencia </w:t>
      </w:r>
      <w:r>
        <w:rPr>
          <w:color w:val="231F20"/>
        </w:rPr>
        <w:t>no </w:t>
      </w:r>
      <w:r>
        <w:rPr>
          <w:color w:val="231F20"/>
          <w:spacing w:val="2"/>
        </w:rPr>
        <w:t>brotan </w:t>
      </w:r>
      <w:r>
        <w:rPr>
          <w:color w:val="231F20"/>
          <w:spacing w:val="3"/>
        </w:rPr>
        <w:t>espontáneamente </w:t>
      </w:r>
      <w:r>
        <w:rPr>
          <w:color w:val="231F20"/>
        </w:rPr>
        <w:t>de las </w:t>
      </w:r>
      <w:r>
        <w:rPr>
          <w:color w:val="231F20"/>
          <w:spacing w:val="3"/>
        </w:rPr>
        <w:t>es- </w:t>
      </w:r>
      <w:r>
        <w:rPr>
          <w:color w:val="231F20"/>
          <w:spacing w:val="2"/>
        </w:rPr>
        <w:t>cuelas, sino que son </w:t>
      </w:r>
      <w:r>
        <w:rPr>
          <w:color w:val="231F20"/>
        </w:rPr>
        <w:t>fiel </w:t>
      </w:r>
      <w:r>
        <w:rPr>
          <w:color w:val="231F20"/>
          <w:spacing w:val="2"/>
        </w:rPr>
        <w:t>reflejo </w:t>
      </w:r>
      <w:r>
        <w:rPr>
          <w:color w:val="231F20"/>
        </w:rPr>
        <w:t>de la </w:t>
      </w:r>
      <w:r>
        <w:rPr>
          <w:color w:val="231F20"/>
          <w:spacing w:val="2"/>
        </w:rPr>
        <w:t>sociedad </w:t>
      </w:r>
      <w:r>
        <w:rPr>
          <w:color w:val="231F20"/>
        </w:rPr>
        <w:t>en la </w:t>
      </w:r>
      <w:r>
        <w:rPr>
          <w:color w:val="231F20"/>
          <w:spacing w:val="2"/>
        </w:rPr>
        <w:t>que </w:t>
      </w:r>
      <w:r>
        <w:rPr>
          <w:color w:val="231F20"/>
        </w:rPr>
        <w:t>se </w:t>
      </w:r>
      <w:r>
        <w:rPr>
          <w:color w:val="231F20"/>
          <w:spacing w:val="3"/>
        </w:rPr>
        <w:t>encuen- </w:t>
      </w:r>
      <w:r>
        <w:rPr>
          <w:color w:val="231F20"/>
          <w:spacing w:val="2"/>
        </w:rPr>
        <w:t>tran </w:t>
      </w:r>
      <w:r>
        <w:rPr>
          <w:color w:val="231F20"/>
          <w:spacing w:val="3"/>
        </w:rPr>
        <w:t>conviviendo </w:t>
      </w:r>
      <w:r>
        <w:rPr>
          <w:color w:val="231F20"/>
          <w:spacing w:val="2"/>
        </w:rPr>
        <w:t>los jóvenes. Entre los factores contextuales </w:t>
      </w:r>
      <w:r>
        <w:rPr>
          <w:color w:val="231F20"/>
        </w:rPr>
        <w:t>y </w:t>
      </w:r>
      <w:r>
        <w:rPr>
          <w:color w:val="231F20"/>
          <w:spacing w:val="2"/>
        </w:rPr>
        <w:t>ambientales </w:t>
      </w:r>
      <w:r>
        <w:rPr>
          <w:color w:val="231F20"/>
        </w:rPr>
        <w:t>se </w:t>
      </w:r>
      <w:r>
        <w:rPr>
          <w:color w:val="231F20"/>
          <w:spacing w:val="2"/>
        </w:rPr>
        <w:t>encuentran los </w:t>
      </w:r>
      <w:r>
        <w:rPr>
          <w:color w:val="231F20"/>
          <w:spacing w:val="3"/>
        </w:rPr>
        <w:t>medios </w:t>
      </w:r>
      <w:r>
        <w:rPr>
          <w:color w:val="231F20"/>
        </w:rPr>
        <w:t>de </w:t>
      </w:r>
      <w:r>
        <w:rPr>
          <w:color w:val="231F20"/>
          <w:spacing w:val="3"/>
        </w:rPr>
        <w:t>comunicación, </w:t>
      </w:r>
      <w:r>
        <w:rPr>
          <w:color w:val="231F20"/>
          <w:spacing w:val="2"/>
        </w:rPr>
        <w:t>los cuales tienden </w:t>
      </w:r>
      <w:r>
        <w:rPr>
          <w:color w:val="231F20"/>
        </w:rPr>
        <w:t>a </w:t>
      </w:r>
      <w:r>
        <w:rPr>
          <w:color w:val="231F20"/>
          <w:spacing w:val="2"/>
        </w:rPr>
        <w:t>desinhibir </w:t>
      </w:r>
      <w:r>
        <w:rPr>
          <w:color w:val="231F20"/>
        </w:rPr>
        <w:t>las </w:t>
      </w:r>
      <w:r>
        <w:rPr>
          <w:color w:val="231F20"/>
          <w:spacing w:val="2"/>
        </w:rPr>
        <w:t>tendencias agresivas (Bandura, 1977), </w:t>
      </w:r>
      <w:r>
        <w:rPr>
          <w:color w:val="231F20"/>
        </w:rPr>
        <w:t>y, si les es </w:t>
      </w:r>
      <w:r>
        <w:rPr>
          <w:color w:val="231F20"/>
          <w:spacing w:val="2"/>
        </w:rPr>
        <w:t>habitual </w:t>
      </w:r>
      <w:r>
        <w:rPr>
          <w:color w:val="231F20"/>
        </w:rPr>
        <w:t>,se </w:t>
      </w:r>
      <w:r>
        <w:rPr>
          <w:color w:val="231F20"/>
          <w:spacing w:val="2"/>
        </w:rPr>
        <w:t>insensibilizan </w:t>
      </w:r>
      <w:r>
        <w:rPr>
          <w:color w:val="231F20"/>
        </w:rPr>
        <w:t>las </w:t>
      </w:r>
      <w:r>
        <w:rPr>
          <w:color w:val="231F20"/>
          <w:spacing w:val="2"/>
        </w:rPr>
        <w:t>tendencias agresivas </w:t>
      </w:r>
      <w:r>
        <w:rPr>
          <w:color w:val="231F20"/>
          <w:spacing w:val="3"/>
        </w:rPr>
        <w:t>(Donners- </w:t>
      </w:r>
      <w:r>
        <w:rPr>
          <w:color w:val="231F20"/>
          <w:spacing w:val="2"/>
        </w:rPr>
        <w:t>tein, Linz </w:t>
      </w:r>
      <w:r>
        <w:rPr>
          <w:color w:val="231F20"/>
        </w:rPr>
        <w:t>y </w:t>
      </w:r>
      <w:r>
        <w:rPr>
          <w:color w:val="231F20"/>
          <w:spacing w:val="3"/>
        </w:rPr>
        <w:t>Penrod, </w:t>
      </w:r>
      <w:r>
        <w:rPr>
          <w:color w:val="231F20"/>
          <w:spacing w:val="2"/>
        </w:rPr>
        <w:t>1987); </w:t>
      </w:r>
      <w:r>
        <w:rPr>
          <w:color w:val="231F20"/>
        </w:rPr>
        <w:t>la </w:t>
      </w:r>
      <w:r>
        <w:rPr>
          <w:color w:val="231F20"/>
          <w:spacing w:val="3"/>
        </w:rPr>
        <w:t>pobreza </w:t>
      </w:r>
      <w:r>
        <w:rPr>
          <w:color w:val="231F20"/>
        </w:rPr>
        <w:t>o </w:t>
      </w:r>
      <w:r>
        <w:rPr>
          <w:color w:val="231F20"/>
          <w:spacing w:val="2"/>
        </w:rPr>
        <w:t>una situación desfavoreci- </w:t>
      </w:r>
      <w:r>
        <w:rPr>
          <w:color w:val="231F20"/>
        </w:rPr>
        <w:t>da  o  el  </w:t>
      </w:r>
      <w:r>
        <w:rPr>
          <w:color w:val="231F20"/>
          <w:spacing w:val="2"/>
        </w:rPr>
        <w:t>grupo  </w:t>
      </w:r>
      <w:r>
        <w:rPr>
          <w:color w:val="231F20"/>
        </w:rPr>
        <w:t>de  </w:t>
      </w:r>
      <w:r>
        <w:rPr>
          <w:color w:val="231F20"/>
          <w:spacing w:val="2"/>
        </w:rPr>
        <w:t>iguales  (Elliot,  1995);  factores</w:t>
      </w:r>
      <w:r>
        <w:rPr>
          <w:color w:val="231F20"/>
          <w:spacing w:val="-10"/>
        </w:rPr>
        <w:t> </w:t>
      </w:r>
      <w:r>
        <w:rPr>
          <w:color w:val="231F20"/>
          <w:spacing w:val="3"/>
        </w:rPr>
        <w:t>psicogenéticos</w:t>
      </w:r>
    </w:p>
    <w:p>
      <w:pPr>
        <w:pStyle w:val="BodyText"/>
        <w:spacing w:line="248" w:lineRule="exact"/>
        <w:ind w:left="102"/>
        <w:jc w:val="both"/>
      </w:pPr>
      <w:r>
        <w:rPr>
          <w:color w:val="231F20"/>
        </w:rPr>
        <w:t>(Smith y  otros</w:t>
      </w:r>
      <w:r>
        <w:rPr>
          <w:rFonts w:ascii="Segoe UI"/>
          <w:i/>
          <w:color w:val="231F20"/>
        </w:rPr>
        <w:t>, </w:t>
      </w:r>
      <w:r>
        <w:rPr>
          <w:color w:val="231F20"/>
        </w:rPr>
        <w:t>1999), por ejemplo: ausencia de  afecto o    calidez</w:t>
      </w:r>
    </w:p>
    <w:p>
      <w:pPr>
        <w:pStyle w:val="BodyText"/>
        <w:spacing w:line="247" w:lineRule="auto" w:before="5"/>
        <w:ind w:left="102" w:right="108"/>
        <w:jc w:val="both"/>
      </w:pPr>
      <w:r>
        <w:rPr>
          <w:color w:val="231F20"/>
          <w:spacing w:val="3"/>
        </w:rPr>
        <w:t>emocional </w:t>
      </w:r>
      <w:r>
        <w:rPr>
          <w:color w:val="231F20"/>
          <w:spacing w:val="2"/>
        </w:rPr>
        <w:t>entre los padres </w:t>
      </w:r>
      <w:r>
        <w:rPr>
          <w:color w:val="231F20"/>
        </w:rPr>
        <w:t>o la </w:t>
      </w:r>
      <w:r>
        <w:rPr>
          <w:color w:val="231F20"/>
          <w:spacing w:val="2"/>
        </w:rPr>
        <w:t>propia familia; </w:t>
      </w:r>
      <w:r>
        <w:rPr>
          <w:color w:val="231F20"/>
        </w:rPr>
        <w:t>la </w:t>
      </w:r>
      <w:r>
        <w:rPr>
          <w:color w:val="231F20"/>
          <w:spacing w:val="2"/>
        </w:rPr>
        <w:t>existencia </w:t>
      </w:r>
      <w:r>
        <w:rPr>
          <w:color w:val="231F20"/>
        </w:rPr>
        <w:t>o </w:t>
      </w:r>
      <w:r>
        <w:rPr>
          <w:color w:val="231F20"/>
          <w:spacing w:val="3"/>
        </w:rPr>
        <w:t>uso </w:t>
      </w:r>
      <w:r>
        <w:rPr>
          <w:color w:val="231F20"/>
        </w:rPr>
        <w:t>de la </w:t>
      </w:r>
      <w:r>
        <w:rPr>
          <w:color w:val="231F20"/>
          <w:spacing w:val="2"/>
        </w:rPr>
        <w:t>violencia física </w:t>
      </w:r>
      <w:r>
        <w:rPr>
          <w:color w:val="231F20"/>
        </w:rPr>
        <w:t>o </w:t>
      </w:r>
      <w:r>
        <w:rPr>
          <w:color w:val="231F20"/>
          <w:spacing w:val="2"/>
        </w:rPr>
        <w:t>psicológica dentro del grupo familiar </w:t>
      </w:r>
      <w:r>
        <w:rPr>
          <w:color w:val="231F20"/>
        </w:rPr>
        <w:t>y la </w:t>
      </w:r>
      <w:r>
        <w:rPr>
          <w:color w:val="231F20"/>
          <w:spacing w:val="2"/>
        </w:rPr>
        <w:t>ausencia </w:t>
      </w:r>
      <w:r>
        <w:rPr>
          <w:color w:val="231F20"/>
        </w:rPr>
        <w:t>de </w:t>
      </w:r>
      <w:r>
        <w:rPr>
          <w:color w:val="231F20"/>
          <w:spacing w:val="3"/>
        </w:rPr>
        <w:t>normas </w:t>
      </w:r>
      <w:r>
        <w:rPr>
          <w:color w:val="231F20"/>
        </w:rPr>
        <w:t>o </w:t>
      </w:r>
      <w:r>
        <w:rPr>
          <w:color w:val="231F20"/>
          <w:spacing w:val="2"/>
        </w:rPr>
        <w:t>controles por parte </w:t>
      </w:r>
      <w:r>
        <w:rPr>
          <w:color w:val="231F20"/>
        </w:rPr>
        <w:t>de  </w:t>
      </w:r>
      <w:r>
        <w:rPr>
          <w:color w:val="231F20"/>
          <w:spacing w:val="2"/>
        </w:rPr>
        <w:t>los padres, </w:t>
      </w:r>
      <w:r>
        <w:rPr>
          <w:color w:val="231F20"/>
          <w:spacing w:val="3"/>
        </w:rPr>
        <w:t>como </w:t>
      </w:r>
      <w:r>
        <w:rPr>
          <w:color w:val="231F20"/>
        </w:rPr>
        <w:t>se  ha </w:t>
      </w:r>
      <w:r>
        <w:rPr>
          <w:color w:val="231F20"/>
          <w:spacing w:val="2"/>
        </w:rPr>
        <w:t>explicado con anterioridad. </w:t>
      </w:r>
      <w:r>
        <w:rPr>
          <w:color w:val="231F20"/>
          <w:spacing w:val="3"/>
        </w:rPr>
        <w:t>Finalmente, </w:t>
      </w:r>
      <w:r>
        <w:rPr>
          <w:color w:val="231F20"/>
          <w:spacing w:val="2"/>
        </w:rPr>
        <w:t>véase </w:t>
      </w:r>
      <w:r>
        <w:rPr>
          <w:color w:val="231F20"/>
        </w:rPr>
        <w:t>en el </w:t>
      </w:r>
      <w:r>
        <w:rPr>
          <w:color w:val="231F20"/>
          <w:spacing w:val="2"/>
        </w:rPr>
        <w:t>esquema siguiente</w:t>
      </w:r>
      <w:r>
        <w:rPr>
          <w:color w:val="231F20"/>
          <w:spacing w:val="-9"/>
        </w:rPr>
        <w:t> </w:t>
      </w:r>
      <w:r>
        <w:rPr>
          <w:color w:val="231F20"/>
        </w:rPr>
        <w:t>la</w:t>
      </w:r>
      <w:r>
        <w:rPr>
          <w:color w:val="231F20"/>
          <w:spacing w:val="-9"/>
        </w:rPr>
        <w:t> </w:t>
      </w:r>
      <w:r>
        <w:rPr>
          <w:color w:val="231F20"/>
          <w:spacing w:val="2"/>
        </w:rPr>
        <w:t>escalada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2"/>
        </w:rPr>
        <w:t>agresión.</w:t>
      </w:r>
    </w:p>
    <w:p>
      <w:pPr>
        <w:spacing w:after="0" w:line="247" w:lineRule="auto"/>
        <w:jc w:val="both"/>
        <w:sectPr>
          <w:headerReference w:type="default" r:id="rId657"/>
          <w:footerReference w:type="default" r:id="rId658"/>
          <w:pgSz w:w="7830" w:h="11910"/>
          <w:pgMar w:header="0" w:footer="424" w:top="500" w:bottom="620" w:left="920" w:right="880"/>
          <w:pgNumType w:start="294"/>
        </w:sectPr>
      </w:pPr>
    </w:p>
    <w:p>
      <w:pPr>
        <w:spacing w:before="46"/>
        <w:ind w:left="1597" w:right="1564"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8"/>
        <w:rPr>
          <w:sz w:val="22"/>
        </w:rPr>
      </w:pPr>
    </w:p>
    <w:p>
      <w:pPr>
        <w:spacing w:before="0"/>
        <w:ind w:left="1597" w:right="1563" w:firstLine="0"/>
        <w:jc w:val="center"/>
        <w:rPr>
          <w:b/>
          <w:sz w:val="19"/>
        </w:rPr>
      </w:pPr>
      <w:r>
        <w:rPr/>
        <w:drawing>
          <wp:anchor distT="0" distB="0" distL="0" distR="0" allowOverlap="1" layoutInCell="1" locked="0" behindDoc="0" simplePos="0" relativeHeight="2584">
            <wp:simplePos x="0" y="0"/>
            <wp:positionH relativeFrom="page">
              <wp:posOffset>881675</wp:posOffset>
            </wp:positionH>
            <wp:positionV relativeFrom="paragraph">
              <wp:posOffset>223772</wp:posOffset>
            </wp:positionV>
            <wp:extent cx="3159721" cy="1509331"/>
            <wp:effectExtent l="0" t="0" r="0" b="0"/>
            <wp:wrapTopAndBottom/>
            <wp:docPr id="45" name="image23.png" descr=""/>
            <wp:cNvGraphicFramePr>
              <a:graphicFrameLocks noChangeAspect="1"/>
            </wp:cNvGraphicFramePr>
            <a:graphic>
              <a:graphicData uri="http://schemas.openxmlformats.org/drawingml/2006/picture">
                <pic:pic>
                  <pic:nvPicPr>
                    <pic:cNvPr id="46" name="image23.png"/>
                    <pic:cNvPicPr/>
                  </pic:nvPicPr>
                  <pic:blipFill>
                    <a:blip r:embed="rId661" cstate="print"/>
                    <a:stretch>
                      <a:fillRect/>
                    </a:stretch>
                  </pic:blipFill>
                  <pic:spPr>
                    <a:xfrm>
                      <a:off x="0" y="0"/>
                      <a:ext cx="3159721" cy="1509331"/>
                    </a:xfrm>
                    <a:prstGeom prst="rect">
                      <a:avLst/>
                    </a:prstGeom>
                  </pic:spPr>
                </pic:pic>
              </a:graphicData>
            </a:graphic>
          </wp:anchor>
        </w:drawing>
      </w:r>
      <w:r>
        <w:rPr>
          <w:b/>
          <w:color w:val="231F20"/>
          <w:sz w:val="19"/>
        </w:rPr>
        <w:t>Figura 1. Escalada de la  agresión</w:t>
      </w:r>
    </w:p>
    <w:p>
      <w:pPr>
        <w:spacing w:before="111"/>
        <w:ind w:left="0" w:right="197" w:firstLine="0"/>
        <w:jc w:val="right"/>
        <w:rPr>
          <w:sz w:val="17"/>
        </w:rPr>
      </w:pPr>
      <w:r>
        <w:rPr>
          <w:color w:val="231F20"/>
          <w:sz w:val="17"/>
        </w:rPr>
        <w:t>Fuente: Mendoza, 2011, 20</w:t>
      </w:r>
    </w:p>
    <w:p>
      <w:pPr>
        <w:pStyle w:val="BodyText"/>
        <w:spacing w:before="1"/>
        <w:rPr>
          <w:sz w:val="23"/>
        </w:rPr>
      </w:pPr>
    </w:p>
    <w:p>
      <w:pPr>
        <w:pStyle w:val="BodyText"/>
        <w:spacing w:line="249" w:lineRule="auto" w:before="1"/>
        <w:ind w:left="233" w:right="196" w:firstLine="284"/>
        <w:jc w:val="both"/>
      </w:pPr>
      <w:r>
        <w:rPr>
          <w:color w:val="231F20"/>
          <w:spacing w:val="3"/>
        </w:rPr>
        <w:t>En </w:t>
      </w:r>
      <w:r>
        <w:rPr>
          <w:color w:val="231F20"/>
          <w:spacing w:val="4"/>
        </w:rPr>
        <w:t>síntesis, </w:t>
      </w:r>
      <w:r>
        <w:rPr>
          <w:color w:val="231F20"/>
          <w:spacing w:val="2"/>
        </w:rPr>
        <w:t>en </w:t>
      </w:r>
      <w:r>
        <w:rPr>
          <w:color w:val="231F20"/>
          <w:spacing w:val="3"/>
        </w:rPr>
        <w:t>los </w:t>
      </w:r>
      <w:r>
        <w:rPr>
          <w:color w:val="231F20"/>
          <w:spacing w:val="4"/>
        </w:rPr>
        <w:t>jóvenes entre </w:t>
      </w:r>
      <w:r>
        <w:rPr>
          <w:color w:val="231F20"/>
          <w:spacing w:val="3"/>
        </w:rPr>
        <w:t>los </w:t>
      </w:r>
      <w:r>
        <w:rPr>
          <w:color w:val="231F20"/>
          <w:spacing w:val="2"/>
        </w:rPr>
        <w:t>18 </w:t>
      </w:r>
      <w:r>
        <w:rPr>
          <w:color w:val="231F20"/>
        </w:rPr>
        <w:t>y </w:t>
      </w:r>
      <w:r>
        <w:rPr>
          <w:color w:val="231F20"/>
          <w:spacing w:val="2"/>
        </w:rPr>
        <w:t>22 </w:t>
      </w:r>
      <w:r>
        <w:rPr>
          <w:color w:val="231F20"/>
          <w:spacing w:val="4"/>
        </w:rPr>
        <w:t>años </w:t>
      </w:r>
      <w:r>
        <w:rPr>
          <w:color w:val="231F20"/>
          <w:spacing w:val="3"/>
        </w:rPr>
        <w:t>de </w:t>
      </w:r>
      <w:r>
        <w:rPr>
          <w:color w:val="231F20"/>
          <w:spacing w:val="4"/>
        </w:rPr>
        <w:t>edad, </w:t>
      </w:r>
      <w:r>
        <w:rPr>
          <w:color w:val="231F20"/>
          <w:spacing w:val="3"/>
        </w:rPr>
        <w:t>las </w:t>
      </w:r>
      <w:r>
        <w:rPr>
          <w:color w:val="231F20"/>
          <w:spacing w:val="4"/>
        </w:rPr>
        <w:t>causas </w:t>
      </w:r>
      <w:r>
        <w:rPr>
          <w:color w:val="231F20"/>
          <w:spacing w:val="3"/>
        </w:rPr>
        <w:t>de </w:t>
      </w:r>
      <w:r>
        <w:rPr>
          <w:color w:val="231F20"/>
        </w:rPr>
        <w:t>la </w:t>
      </w:r>
      <w:r>
        <w:rPr>
          <w:color w:val="231F20"/>
          <w:spacing w:val="4"/>
        </w:rPr>
        <w:t>violencia son, </w:t>
      </w:r>
      <w:r>
        <w:rPr>
          <w:color w:val="231F20"/>
          <w:spacing w:val="2"/>
        </w:rPr>
        <w:t>en </w:t>
      </w:r>
      <w:r>
        <w:rPr>
          <w:color w:val="231F20"/>
          <w:spacing w:val="4"/>
        </w:rPr>
        <w:t>opinión </w:t>
      </w:r>
      <w:r>
        <w:rPr>
          <w:color w:val="231F20"/>
          <w:spacing w:val="3"/>
        </w:rPr>
        <w:t>de </w:t>
      </w:r>
      <w:r>
        <w:rPr>
          <w:color w:val="231F20"/>
          <w:spacing w:val="5"/>
        </w:rPr>
        <w:t>Mendoza </w:t>
      </w:r>
      <w:r>
        <w:rPr>
          <w:color w:val="231F20"/>
          <w:spacing w:val="4"/>
        </w:rPr>
        <w:t>(2011), </w:t>
      </w:r>
      <w:r>
        <w:rPr>
          <w:color w:val="231F20"/>
          <w:spacing w:val="3"/>
        </w:rPr>
        <w:t>ser </w:t>
      </w:r>
      <w:r>
        <w:rPr>
          <w:color w:val="231F20"/>
        </w:rPr>
        <w:t>o </w:t>
      </w:r>
      <w:r>
        <w:rPr>
          <w:color w:val="231F20"/>
          <w:spacing w:val="4"/>
        </w:rPr>
        <w:t>haber sido victimizado. Presenciar actos </w:t>
      </w:r>
      <w:r>
        <w:rPr>
          <w:color w:val="231F20"/>
          <w:spacing w:val="3"/>
        </w:rPr>
        <w:t>de </w:t>
      </w:r>
      <w:r>
        <w:rPr>
          <w:color w:val="231F20"/>
          <w:spacing w:val="4"/>
        </w:rPr>
        <w:t>violencia </w:t>
      </w:r>
      <w:r>
        <w:rPr>
          <w:color w:val="231F20"/>
          <w:spacing w:val="2"/>
        </w:rPr>
        <w:t>en </w:t>
      </w:r>
      <w:r>
        <w:rPr>
          <w:color w:val="231F20"/>
          <w:spacing w:val="3"/>
        </w:rPr>
        <w:t>sus </w:t>
      </w:r>
      <w:r>
        <w:rPr>
          <w:color w:val="231F20"/>
          <w:spacing w:val="5"/>
        </w:rPr>
        <w:t>pro- </w:t>
      </w:r>
      <w:r>
        <w:rPr>
          <w:color w:val="231F20"/>
          <w:spacing w:val="4"/>
        </w:rPr>
        <w:t>pios hogares propicia depresión, ansiedad, dificultades </w:t>
      </w:r>
      <w:r>
        <w:rPr>
          <w:color w:val="231F20"/>
          <w:spacing w:val="3"/>
        </w:rPr>
        <w:t>de </w:t>
      </w:r>
      <w:r>
        <w:rPr>
          <w:color w:val="231F20"/>
          <w:spacing w:val="5"/>
        </w:rPr>
        <w:t>apren- </w:t>
      </w:r>
      <w:r>
        <w:rPr>
          <w:color w:val="231F20"/>
          <w:spacing w:val="4"/>
        </w:rPr>
        <w:t>dizaje </w:t>
      </w:r>
      <w:r>
        <w:rPr>
          <w:color w:val="231F20"/>
        </w:rPr>
        <w:t>e </w:t>
      </w:r>
      <w:r>
        <w:rPr>
          <w:color w:val="231F20"/>
          <w:spacing w:val="4"/>
        </w:rPr>
        <w:t>incremento </w:t>
      </w:r>
      <w:r>
        <w:rPr>
          <w:color w:val="231F20"/>
          <w:spacing w:val="3"/>
        </w:rPr>
        <w:t>de </w:t>
      </w:r>
      <w:r>
        <w:rPr>
          <w:color w:val="231F20"/>
        </w:rPr>
        <w:t>la </w:t>
      </w:r>
      <w:r>
        <w:rPr>
          <w:color w:val="231F20"/>
          <w:spacing w:val="4"/>
        </w:rPr>
        <w:t>posibilidad </w:t>
      </w:r>
      <w:r>
        <w:rPr>
          <w:color w:val="231F20"/>
          <w:spacing w:val="3"/>
        </w:rPr>
        <w:t>de </w:t>
      </w:r>
      <w:r>
        <w:rPr>
          <w:color w:val="231F20"/>
          <w:spacing w:val="4"/>
        </w:rPr>
        <w:t>desarrollar </w:t>
      </w:r>
      <w:r>
        <w:rPr>
          <w:color w:val="231F20"/>
          <w:spacing w:val="5"/>
        </w:rPr>
        <w:t>conductas </w:t>
      </w:r>
      <w:r>
        <w:rPr>
          <w:color w:val="231F20"/>
          <w:spacing w:val="4"/>
        </w:rPr>
        <w:t>antisociales;así como consumir violencia </w:t>
      </w:r>
      <w:r>
        <w:rPr>
          <w:color w:val="231F20"/>
        </w:rPr>
        <w:t>a </w:t>
      </w:r>
      <w:r>
        <w:rPr>
          <w:color w:val="231F20"/>
          <w:spacing w:val="4"/>
        </w:rPr>
        <w:t>través </w:t>
      </w:r>
      <w:r>
        <w:rPr>
          <w:color w:val="231F20"/>
          <w:spacing w:val="3"/>
        </w:rPr>
        <w:t>de los </w:t>
      </w:r>
      <w:r>
        <w:rPr>
          <w:color w:val="231F20"/>
          <w:spacing w:val="4"/>
        </w:rPr>
        <w:t>medios </w:t>
      </w:r>
      <w:r>
        <w:rPr>
          <w:color w:val="231F20"/>
          <w:spacing w:val="3"/>
        </w:rPr>
        <w:t>de </w:t>
      </w:r>
      <w:r>
        <w:rPr>
          <w:color w:val="231F20"/>
          <w:spacing w:val="4"/>
        </w:rPr>
        <w:t>comunicación </w:t>
      </w:r>
      <w:r>
        <w:rPr>
          <w:color w:val="231F20"/>
          <w:spacing w:val="3"/>
        </w:rPr>
        <w:t>–se </w:t>
      </w:r>
      <w:r>
        <w:rPr>
          <w:color w:val="231F20"/>
          <w:spacing w:val="4"/>
        </w:rPr>
        <w:t>calcula </w:t>
      </w:r>
      <w:r>
        <w:rPr>
          <w:color w:val="231F20"/>
          <w:spacing w:val="3"/>
        </w:rPr>
        <w:t>que </w:t>
      </w:r>
      <w:r>
        <w:rPr>
          <w:color w:val="231F20"/>
          <w:spacing w:val="4"/>
        </w:rPr>
        <w:t>para </w:t>
      </w:r>
      <w:r>
        <w:rPr>
          <w:color w:val="231F20"/>
          <w:spacing w:val="3"/>
        </w:rPr>
        <w:t>los </w:t>
      </w:r>
      <w:r>
        <w:rPr>
          <w:color w:val="231F20"/>
          <w:spacing w:val="2"/>
        </w:rPr>
        <w:t>18 </w:t>
      </w:r>
      <w:r>
        <w:rPr>
          <w:color w:val="231F20"/>
          <w:spacing w:val="4"/>
        </w:rPr>
        <w:t>años </w:t>
      </w:r>
      <w:r>
        <w:rPr>
          <w:color w:val="231F20"/>
          <w:spacing w:val="3"/>
        </w:rPr>
        <w:t>de </w:t>
      </w:r>
      <w:r>
        <w:rPr>
          <w:color w:val="231F20"/>
          <w:spacing w:val="4"/>
        </w:rPr>
        <w:t>edad </w:t>
      </w:r>
      <w:r>
        <w:rPr>
          <w:color w:val="231F20"/>
          <w:spacing w:val="5"/>
        </w:rPr>
        <w:t>un </w:t>
      </w:r>
      <w:r>
        <w:rPr>
          <w:color w:val="231F20"/>
          <w:spacing w:val="4"/>
        </w:rPr>
        <w:t>individuo </w:t>
      </w:r>
      <w:r>
        <w:rPr>
          <w:color w:val="231F20"/>
          <w:spacing w:val="3"/>
        </w:rPr>
        <w:t>ha visto </w:t>
      </w:r>
      <w:r>
        <w:rPr>
          <w:color w:val="231F20"/>
          <w:spacing w:val="2"/>
        </w:rPr>
        <w:t>en </w:t>
      </w:r>
      <w:r>
        <w:rPr>
          <w:color w:val="231F20"/>
          <w:spacing w:val="4"/>
        </w:rPr>
        <w:t>promedio </w:t>
      </w:r>
      <w:r>
        <w:rPr>
          <w:color w:val="231F20"/>
          <w:spacing w:val="3"/>
        </w:rPr>
        <w:t>200 mil </w:t>
      </w:r>
      <w:r>
        <w:rPr>
          <w:color w:val="231F20"/>
          <w:spacing w:val="4"/>
        </w:rPr>
        <w:t>actos violentos </w:t>
      </w:r>
      <w:r>
        <w:rPr>
          <w:color w:val="231F20"/>
          <w:spacing w:val="2"/>
        </w:rPr>
        <w:t>en </w:t>
      </w:r>
      <w:r>
        <w:rPr>
          <w:color w:val="231F20"/>
        </w:rPr>
        <w:t>la </w:t>
      </w:r>
      <w:r>
        <w:rPr>
          <w:color w:val="231F20"/>
          <w:spacing w:val="4"/>
        </w:rPr>
        <w:t>televisión, cine, videojuegos, periódicos (Knox, </w:t>
      </w:r>
      <w:r>
        <w:rPr>
          <w:color w:val="231F20"/>
          <w:spacing w:val="3"/>
        </w:rPr>
        <w:t>cit. </w:t>
      </w:r>
      <w:r>
        <w:rPr>
          <w:color w:val="231F20"/>
          <w:spacing w:val="4"/>
        </w:rPr>
        <w:t>por </w:t>
      </w:r>
      <w:r>
        <w:rPr>
          <w:color w:val="231F20"/>
          <w:spacing w:val="6"/>
        </w:rPr>
        <w:t>Mendo-</w:t>
      </w:r>
      <w:r>
        <w:rPr>
          <w:color w:val="231F20"/>
          <w:spacing w:val="64"/>
        </w:rPr>
        <w:t> </w:t>
      </w:r>
      <w:r>
        <w:rPr>
          <w:color w:val="231F20"/>
          <w:spacing w:val="3"/>
        </w:rPr>
        <w:t>za, </w:t>
      </w:r>
      <w:r>
        <w:rPr>
          <w:color w:val="231F20"/>
          <w:spacing w:val="4"/>
        </w:rPr>
        <w:t>2011, 17)–;y </w:t>
      </w:r>
      <w:r>
        <w:rPr>
          <w:color w:val="231F20"/>
          <w:spacing w:val="2"/>
        </w:rPr>
        <w:t>el </w:t>
      </w:r>
      <w:r>
        <w:rPr>
          <w:color w:val="231F20"/>
          <w:spacing w:val="5"/>
        </w:rPr>
        <w:t>consumo </w:t>
      </w:r>
      <w:r>
        <w:rPr>
          <w:color w:val="231F20"/>
          <w:spacing w:val="3"/>
        </w:rPr>
        <w:t>de </w:t>
      </w:r>
      <w:r>
        <w:rPr>
          <w:color w:val="231F20"/>
          <w:spacing w:val="4"/>
        </w:rPr>
        <w:t>alcohol </w:t>
      </w:r>
      <w:r>
        <w:rPr>
          <w:color w:val="231F20"/>
        </w:rPr>
        <w:t>y </w:t>
      </w:r>
      <w:r>
        <w:rPr>
          <w:color w:val="231F20"/>
          <w:spacing w:val="4"/>
        </w:rPr>
        <w:t>drogas, </w:t>
      </w:r>
      <w:r>
        <w:rPr>
          <w:color w:val="231F20"/>
        </w:rPr>
        <w:t>lo </w:t>
      </w:r>
      <w:r>
        <w:rPr>
          <w:color w:val="231F20"/>
          <w:spacing w:val="4"/>
        </w:rPr>
        <w:t>que provoca </w:t>
      </w:r>
      <w:r>
        <w:rPr>
          <w:color w:val="231F20"/>
          <w:spacing w:val="2"/>
        </w:rPr>
        <w:t>en el </w:t>
      </w:r>
      <w:r>
        <w:rPr>
          <w:color w:val="231F20"/>
          <w:spacing w:val="4"/>
        </w:rPr>
        <w:t>sistema nervioso central </w:t>
      </w:r>
      <w:r>
        <w:rPr>
          <w:color w:val="231F20"/>
        </w:rPr>
        <w:t>la </w:t>
      </w:r>
      <w:r>
        <w:rPr>
          <w:color w:val="231F20"/>
          <w:spacing w:val="4"/>
        </w:rPr>
        <w:t>desinhibición </w:t>
      </w:r>
      <w:r>
        <w:rPr>
          <w:color w:val="231F20"/>
          <w:spacing w:val="3"/>
        </w:rPr>
        <w:t>de </w:t>
      </w:r>
      <w:r>
        <w:rPr>
          <w:color w:val="231F20"/>
        </w:rPr>
        <w:t>la </w:t>
      </w:r>
      <w:r>
        <w:rPr>
          <w:color w:val="231F20"/>
          <w:spacing w:val="4"/>
        </w:rPr>
        <w:t>conducta. </w:t>
      </w:r>
      <w:r>
        <w:rPr>
          <w:color w:val="231F20"/>
          <w:spacing w:val="3"/>
        </w:rPr>
        <w:t>La </w:t>
      </w:r>
      <w:r>
        <w:rPr>
          <w:color w:val="231F20"/>
          <w:spacing w:val="4"/>
        </w:rPr>
        <w:t>persona actúa </w:t>
      </w:r>
      <w:r>
        <w:rPr>
          <w:color w:val="231F20"/>
          <w:spacing w:val="3"/>
        </w:rPr>
        <w:t>sin </w:t>
      </w:r>
      <w:r>
        <w:rPr>
          <w:color w:val="231F20"/>
          <w:spacing w:val="2"/>
        </w:rPr>
        <w:t>el </w:t>
      </w:r>
      <w:r>
        <w:rPr>
          <w:color w:val="231F20"/>
          <w:spacing w:val="4"/>
        </w:rPr>
        <w:t>bloqueo </w:t>
      </w:r>
      <w:r>
        <w:rPr>
          <w:color w:val="231F20"/>
          <w:spacing w:val="3"/>
        </w:rPr>
        <w:t>del </w:t>
      </w:r>
      <w:r>
        <w:rPr>
          <w:color w:val="231F20"/>
          <w:spacing w:val="4"/>
        </w:rPr>
        <w:t>control </w:t>
      </w:r>
      <w:r>
        <w:rPr>
          <w:color w:val="231F20"/>
        </w:rPr>
        <w:t>y la </w:t>
      </w:r>
      <w:r>
        <w:rPr>
          <w:color w:val="231F20"/>
          <w:spacing w:val="4"/>
        </w:rPr>
        <w:t>modulación. </w:t>
      </w:r>
      <w:r>
        <w:rPr>
          <w:color w:val="231F20"/>
          <w:spacing w:val="3"/>
        </w:rPr>
        <w:t>El </w:t>
      </w:r>
      <w:r>
        <w:rPr>
          <w:color w:val="231F20"/>
          <w:spacing w:val="4"/>
        </w:rPr>
        <w:t>pertenecer </w:t>
      </w:r>
      <w:r>
        <w:rPr>
          <w:color w:val="231F20"/>
        </w:rPr>
        <w:t>a </w:t>
      </w:r>
      <w:r>
        <w:rPr>
          <w:color w:val="231F20"/>
          <w:spacing w:val="4"/>
        </w:rPr>
        <w:t>pandillas </w:t>
      </w:r>
      <w:r>
        <w:rPr>
          <w:color w:val="231F20"/>
        </w:rPr>
        <w:t>o </w:t>
      </w:r>
      <w:r>
        <w:rPr>
          <w:color w:val="231F20"/>
          <w:spacing w:val="4"/>
        </w:rPr>
        <w:t>tribus urbanas tales como </w:t>
      </w:r>
      <w:r>
        <w:rPr>
          <w:color w:val="231F20"/>
          <w:spacing w:val="3"/>
        </w:rPr>
        <w:t>los </w:t>
      </w:r>
      <w:r>
        <w:rPr>
          <w:color w:val="231F20"/>
          <w:spacing w:val="4"/>
        </w:rPr>
        <w:t>rockeros, patinetos, emos, etcétera quienes pueden llevarlos </w:t>
      </w:r>
      <w:r>
        <w:rPr>
          <w:color w:val="231F20"/>
        </w:rPr>
        <w:t>a </w:t>
      </w:r>
      <w:r>
        <w:rPr>
          <w:color w:val="231F20"/>
          <w:spacing w:val="5"/>
        </w:rPr>
        <w:t>comportarse </w:t>
      </w:r>
      <w:r>
        <w:rPr>
          <w:color w:val="231F20"/>
          <w:spacing w:val="3"/>
        </w:rPr>
        <w:t>de </w:t>
      </w:r>
      <w:r>
        <w:rPr>
          <w:color w:val="231F20"/>
          <w:spacing w:val="4"/>
        </w:rPr>
        <w:t>manera agresiva </w:t>
      </w:r>
      <w:r>
        <w:rPr>
          <w:color w:val="231F20"/>
        </w:rPr>
        <w:t>o </w:t>
      </w:r>
      <w:r>
        <w:rPr>
          <w:color w:val="231F20"/>
          <w:spacing w:val="3"/>
        </w:rPr>
        <w:t>ser </w:t>
      </w:r>
      <w:r>
        <w:rPr>
          <w:color w:val="231F20"/>
          <w:spacing w:val="4"/>
        </w:rPr>
        <w:t>víctimas </w:t>
      </w:r>
      <w:r>
        <w:rPr>
          <w:color w:val="231F20"/>
          <w:spacing w:val="3"/>
        </w:rPr>
        <w:t>de </w:t>
      </w:r>
      <w:r>
        <w:rPr>
          <w:color w:val="231F20"/>
          <w:spacing w:val="4"/>
        </w:rPr>
        <w:t>agresiones como </w:t>
      </w:r>
      <w:r>
        <w:rPr>
          <w:color w:val="231F20"/>
          <w:spacing w:val="3"/>
        </w:rPr>
        <w:t>los </w:t>
      </w:r>
      <w:r>
        <w:rPr>
          <w:color w:val="231F20"/>
          <w:spacing w:val="4"/>
        </w:rPr>
        <w:t>emos,   </w:t>
      </w:r>
      <w:r>
        <w:rPr>
          <w:color w:val="231F20"/>
        </w:rPr>
        <w:t>a </w:t>
      </w:r>
      <w:r>
        <w:rPr>
          <w:color w:val="231F20"/>
          <w:spacing w:val="4"/>
        </w:rPr>
        <w:t>quienes </w:t>
      </w:r>
      <w:r>
        <w:rPr>
          <w:color w:val="231F20"/>
          <w:spacing w:val="2"/>
        </w:rPr>
        <w:t>se </w:t>
      </w:r>
      <w:r>
        <w:rPr>
          <w:color w:val="231F20"/>
          <w:spacing w:val="3"/>
        </w:rPr>
        <w:t>ha </w:t>
      </w:r>
      <w:r>
        <w:rPr>
          <w:color w:val="231F20"/>
          <w:spacing w:val="5"/>
        </w:rPr>
        <w:t>documentado </w:t>
      </w:r>
      <w:r>
        <w:rPr>
          <w:color w:val="231F20"/>
          <w:spacing w:val="3"/>
        </w:rPr>
        <w:t>las </w:t>
      </w:r>
      <w:r>
        <w:rPr>
          <w:color w:val="231F20"/>
          <w:spacing w:val="4"/>
        </w:rPr>
        <w:t>formas </w:t>
      </w:r>
      <w:r>
        <w:rPr>
          <w:color w:val="231F20"/>
          <w:spacing w:val="3"/>
        </w:rPr>
        <w:t>de </w:t>
      </w:r>
      <w:r>
        <w:rPr>
          <w:color w:val="231F20"/>
          <w:spacing w:val="4"/>
        </w:rPr>
        <w:t>intimidación </w:t>
      </w:r>
      <w:r>
        <w:rPr>
          <w:color w:val="231F20"/>
        </w:rPr>
        <w:t>a  </w:t>
      </w:r>
      <w:r>
        <w:rPr>
          <w:color w:val="231F20"/>
          <w:spacing w:val="3"/>
        </w:rPr>
        <w:t>las  que </w:t>
      </w:r>
      <w:r>
        <w:rPr>
          <w:color w:val="231F20"/>
          <w:spacing w:val="4"/>
        </w:rPr>
        <w:t>están</w:t>
      </w:r>
      <w:r>
        <w:rPr>
          <w:color w:val="231F20"/>
          <w:spacing w:val="17"/>
        </w:rPr>
        <w:t> </w:t>
      </w:r>
      <w:r>
        <w:rPr>
          <w:color w:val="231F20"/>
          <w:spacing w:val="4"/>
        </w:rPr>
        <w:t>expuestos.</w:t>
      </w:r>
    </w:p>
    <w:p>
      <w:pPr>
        <w:pStyle w:val="BodyText"/>
        <w:spacing w:before="1"/>
        <w:rPr>
          <w:sz w:val="23"/>
        </w:rPr>
      </w:pPr>
    </w:p>
    <w:p>
      <w:pPr>
        <w:spacing w:before="0"/>
        <w:ind w:left="1596" w:right="1564" w:firstLine="0"/>
        <w:jc w:val="center"/>
        <w:rPr>
          <w:b/>
          <w:sz w:val="19"/>
        </w:rPr>
      </w:pPr>
      <w:r>
        <w:rPr>
          <w:b/>
          <w:color w:val="231F20"/>
          <w:w w:val="105"/>
          <w:sz w:val="19"/>
        </w:rPr>
        <w:t>Tabla 3. Tipos de intimidación</w:t>
      </w:r>
    </w:p>
    <w:p>
      <w:pPr>
        <w:pStyle w:val="BodyText"/>
        <w:rPr>
          <w:b/>
          <w:sz w:val="11"/>
        </w:rPr>
      </w:pPr>
    </w:p>
    <w:tbl>
      <w:tblPr>
        <w:tblW w:w="0" w:type="auto"/>
        <w:jc w:val="left"/>
        <w:tblInd w:w="11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664"/>
        <w:gridCol w:w="3336"/>
      </w:tblGrid>
      <w:tr>
        <w:trPr>
          <w:trHeight w:val="442" w:hRule="exact"/>
        </w:trPr>
        <w:tc>
          <w:tcPr>
            <w:tcW w:w="2664" w:type="dxa"/>
          </w:tcPr>
          <w:p>
            <w:pPr>
              <w:pStyle w:val="TableParagraph"/>
              <w:spacing w:before="82"/>
              <w:ind w:left="1006" w:right="1006"/>
              <w:jc w:val="center"/>
              <w:rPr>
                <w:b/>
                <w:sz w:val="19"/>
              </w:rPr>
            </w:pPr>
            <w:r>
              <w:rPr>
                <w:b/>
                <w:color w:val="231F20"/>
                <w:sz w:val="19"/>
              </w:rPr>
              <w:t>Directa</w:t>
            </w:r>
          </w:p>
        </w:tc>
        <w:tc>
          <w:tcPr>
            <w:tcW w:w="3336" w:type="dxa"/>
          </w:tcPr>
          <w:p>
            <w:pPr>
              <w:pStyle w:val="TableParagraph"/>
              <w:spacing w:before="82"/>
              <w:ind w:left="1268" w:right="1269"/>
              <w:jc w:val="center"/>
              <w:rPr>
                <w:b/>
                <w:sz w:val="19"/>
              </w:rPr>
            </w:pPr>
            <w:r>
              <w:rPr>
                <w:b/>
                <w:color w:val="231F20"/>
                <w:sz w:val="19"/>
              </w:rPr>
              <w:t>Indirecta</w:t>
            </w:r>
          </w:p>
        </w:tc>
      </w:tr>
      <w:tr>
        <w:trPr>
          <w:trHeight w:val="1056" w:hRule="exact"/>
        </w:trPr>
        <w:tc>
          <w:tcPr>
            <w:tcW w:w="2664" w:type="dxa"/>
          </w:tcPr>
          <w:p>
            <w:pPr>
              <w:pStyle w:val="TableParagraph"/>
              <w:spacing w:line="273" w:lineRule="auto" w:before="82"/>
              <w:ind w:left="105" w:right="26"/>
              <w:rPr>
                <w:sz w:val="19"/>
              </w:rPr>
            </w:pPr>
            <w:r>
              <w:rPr>
                <w:color w:val="231F20"/>
                <w:sz w:val="19"/>
              </w:rPr>
              <w:t>Golpear en grupo o él mismo a un alumno.</w:t>
            </w:r>
          </w:p>
        </w:tc>
        <w:tc>
          <w:tcPr>
            <w:tcW w:w="3336" w:type="dxa"/>
          </w:tcPr>
          <w:p>
            <w:pPr>
              <w:pStyle w:val="TableParagraph"/>
              <w:spacing w:line="273" w:lineRule="auto" w:before="82"/>
              <w:ind w:hanging="1"/>
              <w:rPr>
                <w:sz w:val="19"/>
              </w:rPr>
            </w:pPr>
            <w:r>
              <w:rPr>
                <w:color w:val="231F20"/>
                <w:sz w:val="19"/>
              </w:rPr>
              <w:t>Esconderle sus cosas para hacerlo de- sesperar.</w:t>
            </w:r>
          </w:p>
          <w:p>
            <w:pPr>
              <w:pStyle w:val="TableParagraph"/>
              <w:spacing w:before="121"/>
              <w:rPr>
                <w:sz w:val="19"/>
              </w:rPr>
            </w:pPr>
            <w:r>
              <w:rPr>
                <w:color w:val="231F20"/>
                <w:sz w:val="19"/>
              </w:rPr>
              <w:t>Ponerle algo indeseable en su comida.</w:t>
            </w:r>
          </w:p>
        </w:tc>
      </w:tr>
    </w:tbl>
    <w:p>
      <w:pPr>
        <w:spacing w:after="0"/>
        <w:rPr>
          <w:sz w:val="19"/>
        </w:rPr>
        <w:sectPr>
          <w:headerReference w:type="default" r:id="rId659"/>
          <w:footerReference w:type="default" r:id="rId660"/>
          <w:pgSz w:w="7830" w:h="11910"/>
          <w:pgMar w:header="0" w:footer="424" w:top="500" w:bottom="620" w:left="760" w:right="820"/>
          <w:pgNumType w:start="295"/>
        </w:sectPr>
      </w:pPr>
    </w:p>
    <w:p>
      <w:pPr>
        <w:spacing w:before="46"/>
        <w:ind w:left="730"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spacing w:before="8"/>
        <w:rPr>
          <w:sz w:val="15"/>
        </w:rPr>
      </w:pPr>
      <w:r>
        <w:rPr/>
        <w:pict>
          <v:group style="position:absolute;margin-left:45.3405pt;margin-top:11.000226pt;width:300.5pt;height:199.5pt;mso-position-horizontal-relative:page;mso-position-vertical-relative:paragraph;z-index:2656;mso-wrap-distance-left:0;mso-wrap-distance-right:0" coordorigin="907,220" coordsize="6010,3990">
            <v:line style="position:absolute" from="917,230" to="3571,230" stroked="true" strokeweight=".48pt" strokecolor="#231f20"/>
            <v:line style="position:absolute" from="3581,230" to="6907,230" stroked="true" strokeweight=".48pt" strokecolor="#231f20"/>
            <v:line style="position:absolute" from="912,225" to="912,4204" stroked="true" strokeweight=".481pt" strokecolor="#231f20"/>
            <v:line style="position:absolute" from="917,4199" to="3571,4199" stroked="true" strokeweight=".481pt" strokecolor="#231f20"/>
            <v:line style="position:absolute" from="3576,225" to="3576,4204" stroked="true" strokeweight=".481pt" strokecolor="#231f20"/>
            <v:line style="position:absolute" from="3581,4199" to="6907,4199" stroked="true" strokeweight=".481pt" strokecolor="#231f20"/>
            <v:line style="position:absolute" from="6912,225" to="6912,4204" stroked="true" strokeweight=".48pt" strokecolor="#231f20"/>
            <v:shape style="position:absolute;left:912;top:230;width:2664;height:3970" type="#_x0000_t202" filled="false" stroked="false">
              <v:textbox inset="0,0,0,0">
                <w:txbxContent>
                  <w:p>
                    <w:pPr>
                      <w:spacing w:line="273" w:lineRule="auto" w:before="29"/>
                      <w:ind w:left="110" w:right="157" w:firstLine="0"/>
                      <w:jc w:val="left"/>
                      <w:rPr>
                        <w:sz w:val="19"/>
                      </w:rPr>
                    </w:pPr>
                    <w:r>
                      <w:rPr>
                        <w:color w:val="231F20"/>
                        <w:sz w:val="19"/>
                      </w:rPr>
                      <w:t>Ridiculizar, ironizar, mofarse de alguien en particular.</w:t>
                    </w:r>
                  </w:p>
                  <w:p>
                    <w:pPr>
                      <w:spacing w:line="405" w:lineRule="auto" w:before="121"/>
                      <w:ind w:left="110" w:right="811" w:firstLine="0"/>
                      <w:jc w:val="left"/>
                      <w:rPr>
                        <w:sz w:val="19"/>
                      </w:rPr>
                    </w:pPr>
                    <w:r>
                      <w:rPr>
                        <w:color w:val="231F20"/>
                        <w:sz w:val="19"/>
                      </w:rPr>
                      <w:t>Amenazar. Extorsionar.</w:t>
                    </w:r>
                  </w:p>
                  <w:p>
                    <w:pPr>
                      <w:spacing w:line="273" w:lineRule="auto" w:before="10"/>
                      <w:ind w:left="110" w:right="157" w:firstLine="0"/>
                      <w:jc w:val="left"/>
                      <w:rPr>
                        <w:sz w:val="19"/>
                      </w:rPr>
                    </w:pPr>
                    <w:r>
                      <w:rPr>
                        <w:color w:val="231F20"/>
                        <w:sz w:val="19"/>
                      </w:rPr>
                      <w:t>Dar una patada, empujón cuando “pasa” un  compañero.</w:t>
                    </w:r>
                  </w:p>
                  <w:p>
                    <w:pPr>
                      <w:spacing w:line="405" w:lineRule="auto" w:before="121"/>
                      <w:ind w:left="110" w:right="157" w:firstLine="0"/>
                      <w:jc w:val="left"/>
                      <w:rPr>
                        <w:sz w:val="19"/>
                      </w:rPr>
                    </w:pPr>
                    <w:r>
                      <w:rPr>
                        <w:color w:val="231F20"/>
                        <w:sz w:val="19"/>
                      </w:rPr>
                      <w:t>Poner apodos despectivos. Hacer señas groseras.</w:t>
                    </w:r>
                  </w:p>
                  <w:p>
                    <w:pPr>
                      <w:spacing w:line="273" w:lineRule="auto" w:before="6"/>
                      <w:ind w:left="110" w:right="0" w:firstLine="0"/>
                      <w:jc w:val="left"/>
                      <w:rPr>
                        <w:sz w:val="19"/>
                      </w:rPr>
                    </w:pPr>
                    <w:r>
                      <w:rPr>
                        <w:color w:val="231F20"/>
                        <w:sz w:val="19"/>
                      </w:rPr>
                      <w:t>Hacer muecas o ruidos despec- tivos.</w:t>
                    </w:r>
                  </w:p>
                  <w:p>
                    <w:pPr>
                      <w:tabs>
                        <w:tab w:pos="2159" w:val="left" w:leader="none"/>
                      </w:tabs>
                      <w:spacing w:line="273" w:lineRule="auto" w:before="121"/>
                      <w:ind w:left="110" w:right="331" w:firstLine="0"/>
                      <w:jc w:val="left"/>
                      <w:rPr>
                        <w:sz w:val="19"/>
                      </w:rPr>
                    </w:pPr>
                    <w:r>
                      <w:rPr>
                        <w:color w:val="231F20"/>
                        <w:sz w:val="19"/>
                      </w:rPr>
                      <w:t>Destruirle</w:t>
                    </w:r>
                    <w:r>
                      <w:rPr>
                        <w:color w:val="231F20"/>
                        <w:spacing w:val="7"/>
                        <w:sz w:val="19"/>
                      </w:rPr>
                      <w:t> </w:t>
                    </w:r>
                    <w:r>
                      <w:rPr>
                        <w:color w:val="231F20"/>
                        <w:sz w:val="19"/>
                      </w:rPr>
                      <w:t>o</w:t>
                    </w:r>
                    <w:r>
                      <w:rPr>
                        <w:color w:val="231F20"/>
                        <w:spacing w:val="8"/>
                        <w:sz w:val="19"/>
                      </w:rPr>
                      <w:t> </w:t>
                    </w:r>
                    <w:r>
                      <w:rPr>
                        <w:color w:val="231F20"/>
                        <w:sz w:val="19"/>
                      </w:rPr>
                      <w:t>esconderle</w:t>
                      <w:tab/>
                      <w:t>su trabajo.</w:t>
                    </w:r>
                  </w:p>
                </w:txbxContent>
              </v:textbox>
              <w10:wrap type="none"/>
            </v:shape>
            <v:shape style="position:absolute;left:3576;top:230;width:3336;height:3970" type="#_x0000_t202" filled="false" stroked="false">
              <v:textbox inset="0,0,0,0">
                <w:txbxContent>
                  <w:p>
                    <w:pPr>
                      <w:spacing w:line="273" w:lineRule="auto" w:before="29"/>
                      <w:ind w:left="105" w:right="11" w:firstLine="0"/>
                      <w:jc w:val="left"/>
                      <w:rPr>
                        <w:sz w:val="19"/>
                      </w:rPr>
                    </w:pPr>
                    <w:r>
                      <w:rPr>
                        <w:color w:val="231F20"/>
                        <w:sz w:val="19"/>
                      </w:rPr>
                      <w:t>Ponerse de acuerdo para ignorarlo o hacerle la “ley del hielo”.</w:t>
                    </w:r>
                  </w:p>
                  <w:p>
                    <w:pPr>
                      <w:spacing w:line="405" w:lineRule="auto" w:before="121"/>
                      <w:ind w:left="105" w:right="11" w:firstLine="0"/>
                      <w:jc w:val="left"/>
                      <w:rPr>
                        <w:sz w:val="19"/>
                      </w:rPr>
                    </w:pPr>
                    <w:r>
                      <w:rPr>
                        <w:color w:val="231F20"/>
                        <w:sz w:val="19"/>
                      </w:rPr>
                      <w:t>Escribir notas anónimas o de rechazo. Excluirlo del grupo.</w:t>
                    </w:r>
                  </w:p>
                  <w:p>
                    <w:pPr>
                      <w:spacing w:line="405" w:lineRule="auto" w:before="10"/>
                      <w:ind w:left="105" w:right="1190" w:firstLine="0"/>
                      <w:jc w:val="left"/>
                      <w:rPr>
                        <w:sz w:val="19"/>
                      </w:rPr>
                    </w:pPr>
                    <w:r>
                      <w:rPr>
                        <w:color w:val="231F20"/>
                        <w:sz w:val="19"/>
                      </w:rPr>
                      <w:t>Difundir rumores. Divulgar sus confidencias. Hablar mal de su familia. Enviar </w:t>
                    </w:r>
                    <w:r>
                      <w:rPr>
                        <w:i/>
                        <w:color w:val="231F20"/>
                        <w:sz w:val="19"/>
                      </w:rPr>
                      <w:t>mns </w:t>
                    </w:r>
                    <w:r>
                      <w:rPr>
                        <w:color w:val="231F20"/>
                        <w:sz w:val="19"/>
                      </w:rPr>
                      <w:t>ofensivos.</w:t>
                    </w:r>
                  </w:p>
                  <w:p>
                    <w:pPr>
                      <w:spacing w:line="405" w:lineRule="auto" w:before="6"/>
                      <w:ind w:left="105" w:right="11" w:firstLine="0"/>
                      <w:jc w:val="left"/>
                      <w:rPr>
                        <w:sz w:val="19"/>
                      </w:rPr>
                    </w:pPr>
                    <w:r>
                      <w:rPr>
                        <w:color w:val="231F20"/>
                        <w:sz w:val="19"/>
                      </w:rPr>
                      <w:t>Difundir fotos poco favorecedoras. Utilizar el sarcasmo.</w:t>
                    </w:r>
                  </w:p>
                  <w:p>
                    <w:pPr>
                      <w:spacing w:before="6"/>
                      <w:ind w:left="105" w:right="11" w:firstLine="0"/>
                      <w:jc w:val="left"/>
                      <w:rPr>
                        <w:sz w:val="19"/>
                      </w:rPr>
                    </w:pPr>
                    <w:r>
                      <w:rPr>
                        <w:color w:val="231F20"/>
                        <w:sz w:val="19"/>
                      </w:rPr>
                      <w:t>Ridiculizar a alguien delante del grupo.</w:t>
                    </w:r>
                  </w:p>
                </w:txbxContent>
              </v:textbox>
              <w10:wrap type="none"/>
            </v:shape>
            <w10:wrap type="topAndBottom"/>
          </v:group>
        </w:pict>
      </w:r>
    </w:p>
    <w:p>
      <w:pPr>
        <w:spacing w:before="129"/>
        <w:ind w:left="222" w:right="0" w:firstLine="0"/>
        <w:jc w:val="both"/>
        <w:rPr>
          <w:sz w:val="17"/>
        </w:rPr>
      </w:pPr>
      <w:r>
        <w:rPr>
          <w:color w:val="231F20"/>
          <w:sz w:val="17"/>
        </w:rPr>
        <w:t>Fuente: Rincón, 2011, 28</w:t>
      </w:r>
    </w:p>
    <w:p>
      <w:pPr>
        <w:pStyle w:val="BodyText"/>
        <w:spacing w:before="2"/>
        <w:rPr>
          <w:sz w:val="23"/>
        </w:rPr>
      </w:pPr>
    </w:p>
    <w:p>
      <w:pPr>
        <w:pStyle w:val="BodyText"/>
        <w:spacing w:line="249" w:lineRule="auto"/>
        <w:ind w:left="221" w:right="188" w:firstLine="284"/>
        <w:jc w:val="both"/>
      </w:pPr>
      <w:r>
        <w:rPr>
          <w:color w:val="231F20"/>
          <w:spacing w:val="2"/>
        </w:rPr>
        <w:t>Para Hartog </w:t>
      </w:r>
      <w:r>
        <w:rPr>
          <w:color w:val="231F20"/>
        </w:rPr>
        <w:t>a </w:t>
      </w:r>
      <w:r>
        <w:rPr>
          <w:color w:val="231F20"/>
          <w:spacing w:val="2"/>
        </w:rPr>
        <w:t>través </w:t>
      </w:r>
      <w:r>
        <w:rPr>
          <w:color w:val="231F20"/>
        </w:rPr>
        <w:t>de la </w:t>
      </w:r>
      <w:r>
        <w:rPr>
          <w:color w:val="231F20"/>
          <w:spacing w:val="2"/>
        </w:rPr>
        <w:t>cognición social </w:t>
      </w:r>
      <w:r>
        <w:rPr>
          <w:color w:val="231F20"/>
        </w:rPr>
        <w:t>se </w:t>
      </w:r>
      <w:r>
        <w:rPr>
          <w:color w:val="231F20"/>
          <w:spacing w:val="2"/>
        </w:rPr>
        <w:t>define </w:t>
      </w:r>
      <w:r>
        <w:rPr>
          <w:color w:val="231F20"/>
        </w:rPr>
        <w:t>el </w:t>
      </w:r>
      <w:r>
        <w:rPr>
          <w:color w:val="231F20"/>
          <w:spacing w:val="2"/>
        </w:rPr>
        <w:t>proceso por </w:t>
      </w:r>
      <w:r>
        <w:rPr>
          <w:color w:val="231F20"/>
        </w:rPr>
        <w:t>el </w:t>
      </w:r>
      <w:r>
        <w:rPr>
          <w:color w:val="231F20"/>
          <w:spacing w:val="2"/>
        </w:rPr>
        <w:t>cual </w:t>
      </w:r>
      <w:r>
        <w:rPr>
          <w:color w:val="231F20"/>
        </w:rPr>
        <w:t>el </w:t>
      </w:r>
      <w:r>
        <w:rPr>
          <w:color w:val="231F20"/>
          <w:spacing w:val="2"/>
        </w:rPr>
        <w:t>individuo percibe, descodifica, interpreta </w:t>
      </w:r>
      <w:r>
        <w:rPr>
          <w:color w:val="231F20"/>
        </w:rPr>
        <w:t>y </w:t>
      </w:r>
      <w:r>
        <w:rPr>
          <w:color w:val="231F20"/>
          <w:spacing w:val="2"/>
        </w:rPr>
        <w:t>reacciona </w:t>
      </w:r>
      <w:r>
        <w:rPr>
          <w:color w:val="231F20"/>
        </w:rPr>
        <w:t>a </w:t>
      </w:r>
      <w:r>
        <w:rPr>
          <w:color w:val="231F20"/>
          <w:spacing w:val="2"/>
        </w:rPr>
        <w:t>una situación </w:t>
      </w:r>
      <w:r>
        <w:rPr>
          <w:color w:val="231F20"/>
        </w:rPr>
        <w:t>de </w:t>
      </w:r>
      <w:r>
        <w:rPr>
          <w:color w:val="231F20"/>
          <w:spacing w:val="2"/>
        </w:rPr>
        <w:t>interacción social. Malinterpretar los </w:t>
      </w:r>
      <w:r>
        <w:rPr>
          <w:color w:val="231F20"/>
          <w:spacing w:val="3"/>
        </w:rPr>
        <w:t>hechos,</w:t>
      </w:r>
      <w:r>
        <w:rPr>
          <w:color w:val="231F20"/>
          <w:spacing w:val="58"/>
        </w:rPr>
        <w:t> </w:t>
      </w:r>
      <w:r>
        <w:rPr>
          <w:color w:val="231F20"/>
          <w:spacing w:val="2"/>
        </w:rPr>
        <w:t>dar otro significado </w:t>
      </w:r>
      <w:r>
        <w:rPr>
          <w:color w:val="231F20"/>
        </w:rPr>
        <w:t>o </w:t>
      </w:r>
      <w:r>
        <w:rPr>
          <w:color w:val="231F20"/>
          <w:spacing w:val="2"/>
        </w:rPr>
        <w:t>reaccionar </w:t>
      </w:r>
      <w:r>
        <w:rPr>
          <w:color w:val="231F20"/>
        </w:rPr>
        <w:t>de </w:t>
      </w:r>
      <w:r>
        <w:rPr>
          <w:color w:val="231F20"/>
          <w:spacing w:val="3"/>
        </w:rPr>
        <w:t>manera </w:t>
      </w:r>
      <w:r>
        <w:rPr>
          <w:color w:val="231F20"/>
        </w:rPr>
        <w:t>no </w:t>
      </w:r>
      <w:r>
        <w:rPr>
          <w:color w:val="231F20"/>
          <w:spacing w:val="3"/>
        </w:rPr>
        <w:t>adecuada </w:t>
      </w:r>
      <w:r>
        <w:rPr>
          <w:color w:val="231F20"/>
          <w:spacing w:val="2"/>
        </w:rPr>
        <w:t>son ge- </w:t>
      </w:r>
      <w:r>
        <w:rPr>
          <w:color w:val="231F20"/>
          <w:spacing w:val="3"/>
        </w:rPr>
        <w:t>neradores </w:t>
      </w:r>
      <w:r>
        <w:rPr>
          <w:color w:val="231F20"/>
        </w:rPr>
        <w:t>de la </w:t>
      </w:r>
      <w:r>
        <w:rPr>
          <w:color w:val="231F20"/>
          <w:spacing w:val="2"/>
        </w:rPr>
        <w:t>escalada </w:t>
      </w:r>
      <w:r>
        <w:rPr>
          <w:color w:val="231F20"/>
        </w:rPr>
        <w:t>de la </w:t>
      </w:r>
      <w:r>
        <w:rPr>
          <w:color w:val="231F20"/>
          <w:spacing w:val="2"/>
        </w:rPr>
        <w:t>violencia. </w:t>
      </w:r>
      <w:r>
        <w:rPr>
          <w:color w:val="231F20"/>
          <w:spacing w:val="3"/>
        </w:rPr>
        <w:t>Moscovici </w:t>
      </w:r>
      <w:r>
        <w:rPr>
          <w:color w:val="231F20"/>
          <w:spacing w:val="2"/>
        </w:rPr>
        <w:t>señala que los estereotipos, prejuicios, discriminación, exclusión social, estigma- tización, categorización, cognición social, representación social </w:t>
      </w:r>
      <w:r>
        <w:rPr>
          <w:color w:val="231F20"/>
        </w:rPr>
        <w:t>y </w:t>
      </w:r>
      <w:r>
        <w:rPr>
          <w:color w:val="231F20"/>
          <w:spacing w:val="2"/>
        </w:rPr>
        <w:t>atribución, </w:t>
      </w:r>
      <w:r>
        <w:rPr>
          <w:color w:val="231F20"/>
        </w:rPr>
        <w:t>tan </w:t>
      </w:r>
      <w:r>
        <w:rPr>
          <w:color w:val="231F20"/>
          <w:spacing w:val="2"/>
        </w:rPr>
        <w:t>solo </w:t>
      </w:r>
      <w:r>
        <w:rPr>
          <w:color w:val="231F20"/>
        </w:rPr>
        <w:t>en el </w:t>
      </w:r>
      <w:r>
        <w:rPr>
          <w:color w:val="231F20"/>
          <w:spacing w:val="2"/>
        </w:rPr>
        <w:t>hecho </w:t>
      </w:r>
      <w:r>
        <w:rPr>
          <w:color w:val="231F20"/>
        </w:rPr>
        <w:t>de la </w:t>
      </w:r>
      <w:r>
        <w:rPr>
          <w:color w:val="231F20"/>
          <w:spacing w:val="2"/>
        </w:rPr>
        <w:t>discriminación </w:t>
      </w:r>
      <w:r>
        <w:rPr>
          <w:color w:val="231F20"/>
        </w:rPr>
        <w:t>se </w:t>
      </w:r>
      <w:r>
        <w:rPr>
          <w:color w:val="231F20"/>
          <w:spacing w:val="3"/>
        </w:rPr>
        <w:t>ponen </w:t>
      </w:r>
      <w:r>
        <w:rPr>
          <w:color w:val="231F20"/>
        </w:rPr>
        <w:t>de </w:t>
      </w:r>
      <w:r>
        <w:rPr>
          <w:color w:val="231F20"/>
          <w:spacing w:val="2"/>
        </w:rPr>
        <w:t>manifiesto </w:t>
      </w:r>
      <w:r>
        <w:rPr>
          <w:color w:val="231F20"/>
        </w:rPr>
        <w:t>en las </w:t>
      </w:r>
      <w:r>
        <w:rPr>
          <w:color w:val="231F20"/>
          <w:spacing w:val="2"/>
        </w:rPr>
        <w:t>diversas creencias religiosas, </w:t>
      </w:r>
      <w:r>
        <w:rPr>
          <w:color w:val="231F20"/>
        </w:rPr>
        <w:t>el </w:t>
      </w:r>
      <w:r>
        <w:rPr>
          <w:color w:val="231F20"/>
          <w:spacing w:val="2"/>
        </w:rPr>
        <w:t>nivel </w:t>
      </w:r>
      <w:r>
        <w:rPr>
          <w:color w:val="231F20"/>
        </w:rPr>
        <w:t>de </w:t>
      </w:r>
      <w:r>
        <w:rPr>
          <w:color w:val="231F20"/>
          <w:spacing w:val="2"/>
        </w:rPr>
        <w:t>belleza, </w:t>
      </w:r>
      <w:r>
        <w:rPr>
          <w:color w:val="231F20"/>
        </w:rPr>
        <w:t>las </w:t>
      </w:r>
      <w:r>
        <w:rPr>
          <w:color w:val="231F20"/>
          <w:spacing w:val="2"/>
        </w:rPr>
        <w:t>diferencias </w:t>
      </w:r>
      <w:r>
        <w:rPr>
          <w:color w:val="231F20"/>
        </w:rPr>
        <w:t>de </w:t>
      </w:r>
      <w:r>
        <w:rPr>
          <w:color w:val="231F20"/>
          <w:spacing w:val="2"/>
        </w:rPr>
        <w:t>ideas, </w:t>
      </w:r>
      <w:r>
        <w:rPr>
          <w:color w:val="231F20"/>
        </w:rPr>
        <w:t>el</w:t>
      </w:r>
      <w:r>
        <w:rPr>
          <w:color w:val="231F20"/>
          <w:spacing w:val="-26"/>
        </w:rPr>
        <w:t> </w:t>
      </w:r>
      <w:r>
        <w:rPr>
          <w:color w:val="231F20"/>
          <w:spacing w:val="2"/>
        </w:rPr>
        <w:t>género.</w:t>
      </w:r>
    </w:p>
    <w:p>
      <w:pPr>
        <w:pStyle w:val="BodyText"/>
        <w:spacing w:before="7"/>
      </w:pPr>
    </w:p>
    <w:p>
      <w:pPr>
        <w:spacing w:before="0"/>
        <w:ind w:left="221" w:right="0" w:firstLine="0"/>
        <w:jc w:val="both"/>
        <w:rPr>
          <w:i/>
          <w:sz w:val="21"/>
        </w:rPr>
      </w:pPr>
      <w:r>
        <w:rPr>
          <w:i/>
          <w:color w:val="231F20"/>
          <w:w w:val="80"/>
          <w:sz w:val="21"/>
        </w:rPr>
        <w:t>Percepción de la violencia</w:t>
      </w:r>
    </w:p>
    <w:p>
      <w:pPr>
        <w:pStyle w:val="BodyText"/>
        <w:spacing w:before="6"/>
        <w:rPr>
          <w:i/>
        </w:rPr>
      </w:pPr>
    </w:p>
    <w:p>
      <w:pPr>
        <w:pStyle w:val="BodyText"/>
        <w:spacing w:line="244" w:lineRule="auto"/>
        <w:ind w:left="221" w:right="186"/>
        <w:jc w:val="both"/>
      </w:pPr>
      <w:r>
        <w:rPr>
          <w:color w:val="231F20"/>
        </w:rPr>
        <w:t>Respecto a la formación de los estudiantes universitarios y la per- cepción de la violencia, Larrañaga y otros (2009) señalan que los estudiantes trabajan en las dos aceras del problema de la violencia: con las personas que han sufrido violencia, pero también con las personas que la han suministrado, es decir, con las personas violen- tas. Socialmente las actitudes ante las personas que han sufrido la violencia son muy positivas y abiertas, con potenciación de ayuda y comprensión. Sin  embargo, se cuestionan  dichos autores: qué  pasa</w:t>
      </w:r>
    </w:p>
    <w:p>
      <w:pPr>
        <w:spacing w:after="0" w:line="244" w:lineRule="auto"/>
        <w:jc w:val="both"/>
        <w:sectPr>
          <w:headerReference w:type="default" r:id="rId662"/>
          <w:footerReference w:type="default" r:id="rId663"/>
          <w:pgSz w:w="7830" w:h="11910"/>
          <w:pgMar w:header="0" w:footer="424" w:top="500" w:bottom="620" w:left="800" w:right="800"/>
          <w:pgNumType w:start="296"/>
        </w:sectPr>
      </w:pPr>
    </w:p>
    <w:p>
      <w:pPr>
        <w:spacing w:before="43"/>
        <w:ind w:left="1488" w:right="116" w:firstLine="0"/>
        <w:jc w:val="left"/>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spacing w:before="7"/>
        <w:rPr>
          <w:rFonts w:ascii="Cambria"/>
        </w:rPr>
      </w:pPr>
    </w:p>
    <w:p>
      <w:pPr>
        <w:pStyle w:val="BodyText"/>
        <w:spacing w:line="242" w:lineRule="auto" w:before="1"/>
        <w:ind w:left="113" w:right="116"/>
        <w:rPr>
          <w:rFonts w:ascii="Cambria" w:hAnsi="Cambria"/>
        </w:rPr>
      </w:pPr>
      <w:r>
        <w:rPr>
          <w:rFonts w:ascii="Cambria" w:hAnsi="Cambria"/>
          <w:color w:val="231F20"/>
        </w:rPr>
        <w:t>con las otras personas y cuál es el posicionamiento ante aquellas </w:t>
      </w:r>
      <w:r>
        <w:rPr>
          <w:rFonts w:ascii="Cambria" w:hAnsi="Cambria"/>
          <w:color w:val="231F20"/>
          <w:w w:val="95"/>
        </w:rPr>
        <w:t>personas que generan la violencia.</w:t>
      </w:r>
    </w:p>
    <w:p>
      <w:pPr>
        <w:pStyle w:val="BodyText"/>
        <w:spacing w:line="244" w:lineRule="auto" w:before="10"/>
        <w:ind w:left="113" w:right="116" w:firstLine="284"/>
        <w:jc w:val="both"/>
        <w:rPr>
          <w:rFonts w:ascii="Cambria" w:hAnsi="Cambria"/>
        </w:rPr>
      </w:pPr>
      <w:r>
        <w:rPr>
          <w:rFonts w:ascii="Cambria" w:hAnsi="Cambria"/>
          <w:color w:val="231F20"/>
          <w:w w:val="95"/>
        </w:rPr>
        <w:t>Un </w:t>
      </w:r>
      <w:r>
        <w:rPr>
          <w:rFonts w:ascii="Cambria" w:hAnsi="Cambria"/>
          <w:color w:val="231F20"/>
          <w:spacing w:val="3"/>
          <w:w w:val="95"/>
        </w:rPr>
        <w:t>planteamiento contradictorio, </w:t>
      </w:r>
      <w:r>
        <w:rPr>
          <w:rFonts w:ascii="Cambria" w:hAnsi="Cambria"/>
          <w:color w:val="231F20"/>
          <w:spacing w:val="2"/>
          <w:w w:val="95"/>
        </w:rPr>
        <w:t>señalan Larrañaga </w:t>
      </w:r>
      <w:r>
        <w:rPr>
          <w:rFonts w:ascii="Cambria" w:hAnsi="Cambria"/>
          <w:color w:val="231F20"/>
          <w:w w:val="95"/>
        </w:rPr>
        <w:t>y </w:t>
      </w:r>
      <w:r>
        <w:rPr>
          <w:rFonts w:ascii="Cambria" w:hAnsi="Cambria"/>
          <w:color w:val="231F20"/>
          <w:spacing w:val="2"/>
          <w:w w:val="95"/>
        </w:rPr>
        <w:t>otros </w:t>
      </w:r>
      <w:r>
        <w:rPr>
          <w:rFonts w:ascii="Cambria" w:hAnsi="Cambria"/>
          <w:color w:val="231F20"/>
          <w:w w:val="95"/>
        </w:rPr>
        <w:t>de la </w:t>
      </w:r>
      <w:r>
        <w:rPr>
          <w:rFonts w:ascii="Cambria" w:hAnsi="Cambria"/>
          <w:color w:val="231F20"/>
          <w:spacing w:val="3"/>
          <w:w w:val="95"/>
        </w:rPr>
        <w:t>enseñanza </w:t>
      </w:r>
      <w:r>
        <w:rPr>
          <w:rFonts w:ascii="Cambria" w:hAnsi="Cambria"/>
          <w:color w:val="231F20"/>
          <w:spacing w:val="2"/>
          <w:w w:val="95"/>
        </w:rPr>
        <w:t>universitaria, </w:t>
      </w:r>
      <w:r>
        <w:rPr>
          <w:rFonts w:ascii="Cambria" w:hAnsi="Cambria"/>
          <w:color w:val="231F20"/>
          <w:w w:val="95"/>
        </w:rPr>
        <w:t>es si </w:t>
      </w:r>
      <w:r>
        <w:rPr>
          <w:rFonts w:ascii="Cambria" w:hAnsi="Cambria"/>
          <w:color w:val="231F20"/>
          <w:spacing w:val="2"/>
          <w:w w:val="95"/>
        </w:rPr>
        <w:t>los estudios universitarios deben </w:t>
      </w:r>
      <w:r>
        <w:rPr>
          <w:rFonts w:ascii="Cambria" w:hAnsi="Cambria"/>
          <w:color w:val="231F20"/>
          <w:spacing w:val="2"/>
        </w:rPr>
        <w:t>preparar</w:t>
      </w:r>
      <w:r>
        <w:rPr>
          <w:rFonts w:ascii="Cambria" w:hAnsi="Cambria"/>
          <w:color w:val="231F20"/>
          <w:spacing w:val="-6"/>
        </w:rPr>
        <w:t> </w:t>
      </w:r>
      <w:r>
        <w:rPr>
          <w:rFonts w:ascii="Cambria" w:hAnsi="Cambria"/>
          <w:color w:val="231F20"/>
        </w:rPr>
        <w:t>a</w:t>
      </w:r>
      <w:r>
        <w:rPr>
          <w:rFonts w:ascii="Cambria" w:hAnsi="Cambria"/>
          <w:color w:val="231F20"/>
          <w:spacing w:val="-6"/>
        </w:rPr>
        <w:t> </w:t>
      </w:r>
      <w:r>
        <w:rPr>
          <w:rFonts w:ascii="Cambria" w:hAnsi="Cambria"/>
          <w:color w:val="231F20"/>
        </w:rPr>
        <w:t>sus</w:t>
      </w:r>
      <w:r>
        <w:rPr>
          <w:rFonts w:ascii="Cambria" w:hAnsi="Cambria"/>
          <w:color w:val="231F20"/>
          <w:spacing w:val="-6"/>
        </w:rPr>
        <w:t> </w:t>
      </w:r>
      <w:r>
        <w:rPr>
          <w:rFonts w:ascii="Cambria" w:hAnsi="Cambria"/>
          <w:color w:val="231F20"/>
          <w:spacing w:val="2"/>
        </w:rPr>
        <w:t>egresados</w:t>
      </w:r>
      <w:r>
        <w:rPr>
          <w:rFonts w:ascii="Cambria" w:hAnsi="Cambria"/>
          <w:color w:val="231F20"/>
          <w:spacing w:val="-6"/>
        </w:rPr>
        <w:t> </w:t>
      </w:r>
      <w:r>
        <w:rPr>
          <w:rFonts w:ascii="Cambria" w:hAnsi="Cambria"/>
          <w:color w:val="231F20"/>
        </w:rPr>
        <w:t>en</w:t>
      </w:r>
      <w:r>
        <w:rPr>
          <w:rFonts w:ascii="Cambria" w:hAnsi="Cambria"/>
          <w:color w:val="231F20"/>
          <w:spacing w:val="-6"/>
        </w:rPr>
        <w:t> </w:t>
      </w:r>
      <w:r>
        <w:rPr>
          <w:rFonts w:ascii="Cambria" w:hAnsi="Cambria"/>
          <w:color w:val="231F20"/>
          <w:spacing w:val="2"/>
        </w:rPr>
        <w:t>una</w:t>
      </w:r>
      <w:r>
        <w:rPr>
          <w:rFonts w:ascii="Cambria" w:hAnsi="Cambria"/>
          <w:color w:val="231F20"/>
          <w:spacing w:val="-6"/>
        </w:rPr>
        <w:t> </w:t>
      </w:r>
      <w:r>
        <w:rPr>
          <w:rFonts w:ascii="Cambria" w:hAnsi="Cambria"/>
          <w:color w:val="231F20"/>
          <w:spacing w:val="2"/>
        </w:rPr>
        <w:t>serie</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spacing w:val="3"/>
        </w:rPr>
        <w:t>competencias</w:t>
      </w:r>
      <w:r>
        <w:rPr>
          <w:rFonts w:ascii="Cambria" w:hAnsi="Cambria"/>
          <w:color w:val="231F20"/>
          <w:spacing w:val="-6"/>
        </w:rPr>
        <w:t> </w:t>
      </w:r>
      <w:r>
        <w:rPr>
          <w:rFonts w:ascii="Cambria" w:hAnsi="Cambria"/>
          <w:color w:val="231F20"/>
          <w:spacing w:val="2"/>
        </w:rPr>
        <w:t>para</w:t>
      </w:r>
      <w:r>
        <w:rPr>
          <w:rFonts w:ascii="Cambria" w:hAnsi="Cambria"/>
          <w:color w:val="231F20"/>
          <w:spacing w:val="-6"/>
        </w:rPr>
        <w:t> </w:t>
      </w:r>
      <w:r>
        <w:rPr>
          <w:rFonts w:ascii="Cambria" w:hAnsi="Cambria"/>
          <w:color w:val="231F20"/>
          <w:spacing w:val="2"/>
        </w:rPr>
        <w:t>una satisfactoria</w:t>
      </w:r>
      <w:r>
        <w:rPr>
          <w:rFonts w:ascii="Cambria" w:hAnsi="Cambria"/>
          <w:color w:val="231F20"/>
          <w:spacing w:val="-11"/>
        </w:rPr>
        <w:t> </w:t>
      </w:r>
      <w:r>
        <w:rPr>
          <w:rFonts w:ascii="Cambria" w:hAnsi="Cambria"/>
          <w:color w:val="231F20"/>
          <w:spacing w:val="3"/>
        </w:rPr>
        <w:t>incorporación</w:t>
      </w:r>
      <w:r>
        <w:rPr>
          <w:rFonts w:ascii="Cambria" w:hAnsi="Cambria"/>
          <w:color w:val="231F20"/>
          <w:spacing w:val="-11"/>
        </w:rPr>
        <w:t> </w:t>
      </w:r>
      <w:r>
        <w:rPr>
          <w:rFonts w:ascii="Cambria" w:hAnsi="Cambria"/>
          <w:color w:val="231F20"/>
        </w:rPr>
        <w:t>al</w:t>
      </w:r>
      <w:r>
        <w:rPr>
          <w:rFonts w:ascii="Cambria" w:hAnsi="Cambria"/>
          <w:color w:val="231F20"/>
          <w:spacing w:val="-11"/>
        </w:rPr>
        <w:t> </w:t>
      </w:r>
      <w:r>
        <w:rPr>
          <w:rFonts w:ascii="Cambria" w:hAnsi="Cambria"/>
          <w:color w:val="231F20"/>
          <w:spacing w:val="2"/>
        </w:rPr>
        <w:t>mundo</w:t>
      </w:r>
      <w:r>
        <w:rPr>
          <w:rFonts w:ascii="Cambria" w:hAnsi="Cambria"/>
          <w:color w:val="231F20"/>
          <w:spacing w:val="-11"/>
        </w:rPr>
        <w:t> </w:t>
      </w:r>
      <w:r>
        <w:rPr>
          <w:rFonts w:ascii="Cambria" w:hAnsi="Cambria"/>
          <w:color w:val="231F20"/>
          <w:spacing w:val="2"/>
        </w:rPr>
        <w:t>laboral,</w:t>
      </w:r>
      <w:r>
        <w:rPr>
          <w:rFonts w:ascii="Cambria" w:hAnsi="Cambria"/>
          <w:color w:val="231F20"/>
          <w:spacing w:val="-11"/>
        </w:rPr>
        <w:t> </w:t>
      </w:r>
      <w:r>
        <w:rPr>
          <w:rFonts w:ascii="Cambria" w:hAnsi="Cambria"/>
          <w:color w:val="231F20"/>
          <w:spacing w:val="2"/>
        </w:rPr>
        <w:t>corriendo</w:t>
      </w:r>
      <w:r>
        <w:rPr>
          <w:rFonts w:ascii="Cambria" w:hAnsi="Cambria"/>
          <w:color w:val="231F20"/>
          <w:spacing w:val="-11"/>
        </w:rPr>
        <w:t> </w:t>
      </w:r>
      <w:r>
        <w:rPr>
          <w:rFonts w:ascii="Cambria" w:hAnsi="Cambria"/>
          <w:color w:val="231F20"/>
        </w:rPr>
        <w:t>el</w:t>
      </w:r>
      <w:r>
        <w:rPr>
          <w:rFonts w:ascii="Cambria" w:hAnsi="Cambria"/>
          <w:color w:val="231F20"/>
          <w:spacing w:val="-11"/>
        </w:rPr>
        <w:t> </w:t>
      </w:r>
      <w:r>
        <w:rPr>
          <w:rFonts w:ascii="Cambria" w:hAnsi="Cambria"/>
          <w:color w:val="231F20"/>
          <w:spacing w:val="2"/>
        </w:rPr>
        <w:t>riesgo </w:t>
      </w:r>
      <w:r>
        <w:rPr>
          <w:rFonts w:ascii="Cambria" w:hAnsi="Cambria"/>
          <w:color w:val="231F20"/>
        </w:rPr>
        <w:t>de </w:t>
      </w:r>
      <w:r>
        <w:rPr>
          <w:rFonts w:ascii="Cambria" w:hAnsi="Cambria"/>
          <w:color w:val="231F20"/>
          <w:spacing w:val="2"/>
        </w:rPr>
        <w:t>dejar </w:t>
      </w:r>
      <w:r>
        <w:rPr>
          <w:rFonts w:ascii="Cambria" w:hAnsi="Cambria"/>
          <w:color w:val="231F20"/>
        </w:rPr>
        <w:t>en </w:t>
      </w:r>
      <w:r>
        <w:rPr>
          <w:rFonts w:ascii="Cambria" w:hAnsi="Cambria"/>
          <w:color w:val="231F20"/>
          <w:spacing w:val="3"/>
        </w:rPr>
        <w:t>segundo </w:t>
      </w:r>
      <w:r>
        <w:rPr>
          <w:rFonts w:ascii="Cambria" w:hAnsi="Cambria"/>
          <w:color w:val="231F20"/>
          <w:spacing w:val="2"/>
        </w:rPr>
        <w:t>plano </w:t>
      </w:r>
      <w:r>
        <w:rPr>
          <w:rFonts w:ascii="Cambria" w:hAnsi="Cambria"/>
          <w:color w:val="231F20"/>
        </w:rPr>
        <w:t>la </w:t>
      </w:r>
      <w:r>
        <w:rPr>
          <w:rFonts w:ascii="Cambria" w:hAnsi="Cambria"/>
          <w:color w:val="231F20"/>
          <w:spacing w:val="3"/>
        </w:rPr>
        <w:t>formación humanista </w:t>
      </w:r>
      <w:r>
        <w:rPr>
          <w:rFonts w:ascii="Cambria" w:hAnsi="Cambria"/>
          <w:color w:val="231F20"/>
          <w:spacing w:val="2"/>
        </w:rPr>
        <w:t>que tiende </w:t>
      </w:r>
      <w:r>
        <w:rPr>
          <w:rFonts w:ascii="Cambria" w:hAnsi="Cambria"/>
          <w:color w:val="231F20"/>
        </w:rPr>
        <w:t>a </w:t>
      </w:r>
      <w:r>
        <w:rPr>
          <w:rFonts w:ascii="Cambria" w:hAnsi="Cambria"/>
          <w:color w:val="231F20"/>
          <w:spacing w:val="2"/>
        </w:rPr>
        <w:t>tener</w:t>
      </w:r>
      <w:r>
        <w:rPr>
          <w:rFonts w:ascii="Cambria" w:hAnsi="Cambria"/>
          <w:color w:val="231F20"/>
          <w:spacing w:val="-21"/>
        </w:rPr>
        <w:t> </w:t>
      </w:r>
      <w:r>
        <w:rPr>
          <w:rFonts w:ascii="Cambria" w:hAnsi="Cambria"/>
          <w:color w:val="231F20"/>
          <w:spacing w:val="3"/>
        </w:rPr>
        <w:t>mayor</w:t>
      </w:r>
      <w:r>
        <w:rPr>
          <w:rFonts w:ascii="Cambria" w:hAnsi="Cambria"/>
          <w:color w:val="231F20"/>
          <w:spacing w:val="-21"/>
        </w:rPr>
        <w:t> </w:t>
      </w:r>
      <w:r>
        <w:rPr>
          <w:rFonts w:ascii="Cambria" w:hAnsi="Cambria"/>
          <w:color w:val="231F20"/>
          <w:spacing w:val="2"/>
        </w:rPr>
        <w:t>hincapié</w:t>
      </w:r>
      <w:r>
        <w:rPr>
          <w:rFonts w:ascii="Cambria" w:hAnsi="Cambria"/>
          <w:color w:val="231F20"/>
          <w:spacing w:val="-21"/>
        </w:rPr>
        <w:t> </w:t>
      </w:r>
      <w:r>
        <w:rPr>
          <w:rFonts w:ascii="Cambria" w:hAnsi="Cambria"/>
          <w:color w:val="231F20"/>
        </w:rPr>
        <w:t>no</w:t>
      </w:r>
      <w:r>
        <w:rPr>
          <w:rFonts w:ascii="Cambria" w:hAnsi="Cambria"/>
          <w:color w:val="231F20"/>
          <w:spacing w:val="-21"/>
        </w:rPr>
        <w:t> </w:t>
      </w:r>
      <w:r>
        <w:rPr>
          <w:rFonts w:ascii="Cambria" w:hAnsi="Cambria"/>
          <w:color w:val="231F20"/>
          <w:spacing w:val="2"/>
        </w:rPr>
        <w:t>solo</w:t>
      </w:r>
      <w:r>
        <w:rPr>
          <w:rFonts w:ascii="Cambria" w:hAnsi="Cambria"/>
          <w:color w:val="231F20"/>
          <w:spacing w:val="-21"/>
        </w:rPr>
        <w:t> </w:t>
      </w:r>
      <w:r>
        <w:rPr>
          <w:rFonts w:ascii="Cambria" w:hAnsi="Cambria"/>
          <w:color w:val="231F20"/>
        </w:rPr>
        <w:t>en</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spacing w:val="2"/>
        </w:rPr>
        <w:t>preparación</w:t>
      </w:r>
      <w:r>
        <w:rPr>
          <w:rFonts w:ascii="Cambria" w:hAnsi="Cambria"/>
          <w:color w:val="231F20"/>
          <w:spacing w:val="-21"/>
        </w:rPr>
        <w:t> </w:t>
      </w:r>
      <w:r>
        <w:rPr>
          <w:rFonts w:ascii="Cambria" w:hAnsi="Cambria"/>
          <w:color w:val="231F20"/>
          <w:spacing w:val="2"/>
        </w:rPr>
        <w:t>cognitiva</w:t>
      </w:r>
      <w:r>
        <w:rPr>
          <w:rFonts w:ascii="Cambria" w:hAnsi="Cambria"/>
          <w:color w:val="231F20"/>
          <w:spacing w:val="-21"/>
        </w:rPr>
        <w:t> </w:t>
      </w:r>
      <w:r>
        <w:rPr>
          <w:rFonts w:ascii="Cambria" w:hAnsi="Cambria"/>
          <w:color w:val="231F20"/>
          <w:spacing w:val="2"/>
        </w:rPr>
        <w:t>del</w:t>
      </w:r>
      <w:r>
        <w:rPr>
          <w:rFonts w:ascii="Cambria" w:hAnsi="Cambria"/>
          <w:color w:val="231F20"/>
          <w:spacing w:val="-21"/>
        </w:rPr>
        <w:t> </w:t>
      </w:r>
      <w:r>
        <w:rPr>
          <w:rFonts w:ascii="Cambria" w:hAnsi="Cambria"/>
          <w:color w:val="231F20"/>
          <w:spacing w:val="2"/>
        </w:rPr>
        <w:t>estu- </w:t>
      </w:r>
      <w:r>
        <w:rPr>
          <w:rFonts w:ascii="Cambria" w:hAnsi="Cambria"/>
          <w:color w:val="231F20"/>
          <w:spacing w:val="2"/>
          <w:w w:val="95"/>
        </w:rPr>
        <w:t>diante, sino </w:t>
      </w:r>
      <w:r>
        <w:rPr>
          <w:rFonts w:ascii="Cambria" w:hAnsi="Cambria"/>
          <w:color w:val="231F20"/>
          <w:w w:val="95"/>
        </w:rPr>
        <w:t>en </w:t>
      </w:r>
      <w:r>
        <w:rPr>
          <w:rFonts w:ascii="Cambria" w:hAnsi="Cambria"/>
          <w:color w:val="231F20"/>
          <w:spacing w:val="2"/>
          <w:w w:val="95"/>
        </w:rPr>
        <w:t>actitudes, valores </w:t>
      </w:r>
      <w:r>
        <w:rPr>
          <w:rFonts w:ascii="Cambria" w:hAnsi="Cambria"/>
          <w:color w:val="231F20"/>
          <w:w w:val="95"/>
        </w:rPr>
        <w:t>e </w:t>
      </w:r>
      <w:r>
        <w:rPr>
          <w:rFonts w:ascii="Cambria" w:hAnsi="Cambria"/>
          <w:color w:val="231F20"/>
          <w:spacing w:val="2"/>
          <w:w w:val="95"/>
        </w:rPr>
        <w:t>incluso creencias </w:t>
      </w:r>
      <w:r>
        <w:rPr>
          <w:rFonts w:ascii="Cambria" w:hAnsi="Cambria"/>
          <w:color w:val="231F20"/>
          <w:spacing w:val="3"/>
          <w:w w:val="95"/>
        </w:rPr>
        <w:t>epistemológi- </w:t>
      </w:r>
      <w:r>
        <w:rPr>
          <w:rFonts w:ascii="Cambria" w:hAnsi="Cambria"/>
          <w:color w:val="231F20"/>
          <w:w w:val="95"/>
        </w:rPr>
        <w:t>cas </w:t>
      </w:r>
      <w:r>
        <w:rPr>
          <w:rFonts w:ascii="Cambria" w:hAnsi="Cambria"/>
          <w:color w:val="231F20"/>
          <w:spacing w:val="2"/>
          <w:w w:val="95"/>
        </w:rPr>
        <w:t>respecto </w:t>
      </w:r>
      <w:r>
        <w:rPr>
          <w:rFonts w:ascii="Cambria" w:hAnsi="Cambria"/>
          <w:color w:val="231F20"/>
          <w:w w:val="95"/>
        </w:rPr>
        <w:t>a su </w:t>
      </w:r>
      <w:r>
        <w:rPr>
          <w:rFonts w:ascii="Cambria" w:hAnsi="Cambria"/>
          <w:color w:val="231F20"/>
          <w:spacing w:val="2"/>
          <w:w w:val="95"/>
        </w:rPr>
        <w:t>intervención </w:t>
      </w:r>
      <w:r>
        <w:rPr>
          <w:rFonts w:ascii="Cambria" w:hAnsi="Cambria"/>
          <w:color w:val="231F20"/>
          <w:spacing w:val="3"/>
          <w:w w:val="95"/>
        </w:rPr>
        <w:t>como </w:t>
      </w:r>
      <w:r>
        <w:rPr>
          <w:rFonts w:ascii="Cambria" w:hAnsi="Cambria"/>
          <w:color w:val="231F20"/>
          <w:spacing w:val="2"/>
          <w:w w:val="95"/>
        </w:rPr>
        <w:t>profesionista </w:t>
      </w:r>
      <w:r>
        <w:rPr>
          <w:rFonts w:ascii="Cambria" w:hAnsi="Cambria"/>
          <w:color w:val="231F20"/>
          <w:w w:val="95"/>
        </w:rPr>
        <w:t>de </w:t>
      </w:r>
      <w:r>
        <w:rPr>
          <w:rFonts w:ascii="Cambria" w:hAnsi="Cambria"/>
          <w:color w:val="231F20"/>
          <w:spacing w:val="2"/>
          <w:w w:val="95"/>
        </w:rPr>
        <w:t>una determi- nada</w:t>
      </w:r>
      <w:r>
        <w:rPr>
          <w:rFonts w:ascii="Cambria" w:hAnsi="Cambria"/>
          <w:color w:val="231F20"/>
          <w:spacing w:val="-10"/>
          <w:w w:val="95"/>
        </w:rPr>
        <w:t> </w:t>
      </w:r>
      <w:r>
        <w:rPr>
          <w:rFonts w:ascii="Cambria" w:hAnsi="Cambria"/>
          <w:color w:val="231F20"/>
          <w:spacing w:val="3"/>
          <w:w w:val="95"/>
        </w:rPr>
        <w:t>profesión.</w:t>
      </w:r>
    </w:p>
    <w:p>
      <w:pPr>
        <w:pStyle w:val="BodyText"/>
        <w:spacing w:line="242" w:lineRule="auto"/>
        <w:ind w:left="113" w:right="115" w:firstLine="284"/>
        <w:jc w:val="both"/>
        <w:rPr>
          <w:rFonts w:ascii="Cambria" w:hAnsi="Cambria"/>
        </w:rPr>
      </w:pPr>
      <w:r>
        <w:rPr>
          <w:rFonts w:ascii="Cambria" w:hAnsi="Cambria"/>
          <w:color w:val="231F20"/>
        </w:rPr>
        <w:t>De acuerdo con Larrañaga y otros, las atribuciones son infe- rencias que hacen las personas sobre las causas de una conducta, </w:t>
      </w:r>
      <w:r>
        <w:rPr>
          <w:rFonts w:ascii="Cambria" w:hAnsi="Cambria"/>
          <w:color w:val="231F20"/>
          <w:w w:val="95"/>
        </w:rPr>
        <w:t>fundamentalmente sociales en el sentido de que la atribución sub- raya las creencias compartidas culturalmente. Las razones por las que las personas se comportan violentamente serían:</w:t>
      </w:r>
    </w:p>
    <w:p>
      <w:pPr>
        <w:pStyle w:val="BodyText"/>
        <w:spacing w:before="4"/>
        <w:rPr>
          <w:rFonts w:ascii="Cambria"/>
        </w:rPr>
      </w:pPr>
    </w:p>
    <w:p>
      <w:pPr>
        <w:pStyle w:val="ListParagraph"/>
        <w:numPr>
          <w:ilvl w:val="0"/>
          <w:numId w:val="17"/>
        </w:numPr>
        <w:tabs>
          <w:tab w:pos="827" w:val="left" w:leader="none"/>
          <w:tab w:pos="828" w:val="left" w:leader="none"/>
        </w:tabs>
        <w:spacing w:line="240" w:lineRule="auto" w:before="0" w:after="0"/>
        <w:ind w:left="827" w:right="0" w:hanging="357"/>
        <w:jc w:val="left"/>
        <w:rPr>
          <w:sz w:val="21"/>
        </w:rPr>
      </w:pPr>
      <w:r>
        <w:rPr>
          <w:color w:val="231F20"/>
          <w:sz w:val="21"/>
        </w:rPr>
        <w:t>Sentirse a disgusto en esta</w:t>
      </w:r>
      <w:r>
        <w:rPr>
          <w:color w:val="231F20"/>
          <w:spacing w:val="-9"/>
          <w:sz w:val="21"/>
        </w:rPr>
        <w:t> </w:t>
      </w:r>
      <w:r>
        <w:rPr>
          <w:color w:val="231F20"/>
          <w:sz w:val="21"/>
        </w:rPr>
        <w:t>sociedad</w:t>
      </w:r>
    </w:p>
    <w:p>
      <w:pPr>
        <w:pStyle w:val="ListParagraph"/>
        <w:numPr>
          <w:ilvl w:val="0"/>
          <w:numId w:val="17"/>
        </w:numPr>
        <w:tabs>
          <w:tab w:pos="828" w:val="left" w:leader="none"/>
        </w:tabs>
        <w:spacing w:line="240" w:lineRule="auto" w:before="61" w:after="0"/>
        <w:ind w:left="827" w:right="0" w:hanging="357"/>
        <w:jc w:val="left"/>
        <w:rPr>
          <w:sz w:val="21"/>
        </w:rPr>
      </w:pPr>
      <w:r>
        <w:rPr>
          <w:color w:val="231F20"/>
          <w:sz w:val="21"/>
        </w:rPr>
        <w:t>Por el gusto de hacer algo</w:t>
      </w:r>
      <w:r>
        <w:rPr>
          <w:color w:val="231F20"/>
          <w:spacing w:val="-4"/>
          <w:sz w:val="21"/>
        </w:rPr>
        <w:t> </w:t>
      </w:r>
      <w:r>
        <w:rPr>
          <w:color w:val="231F20"/>
          <w:sz w:val="21"/>
        </w:rPr>
        <w:t>antisocial</w:t>
      </w:r>
    </w:p>
    <w:p>
      <w:pPr>
        <w:pStyle w:val="ListParagraph"/>
        <w:numPr>
          <w:ilvl w:val="0"/>
          <w:numId w:val="17"/>
        </w:numPr>
        <w:tabs>
          <w:tab w:pos="827" w:val="left" w:leader="none"/>
          <w:tab w:pos="828" w:val="left" w:leader="none"/>
        </w:tabs>
        <w:spacing w:line="240" w:lineRule="auto" w:before="65" w:after="0"/>
        <w:ind w:left="827" w:right="0" w:hanging="357"/>
        <w:jc w:val="left"/>
        <w:rPr>
          <w:sz w:val="21"/>
        </w:rPr>
      </w:pPr>
      <w:r>
        <w:rPr>
          <w:color w:val="231F20"/>
          <w:sz w:val="21"/>
        </w:rPr>
        <w:t>Para calmar los</w:t>
      </w:r>
      <w:r>
        <w:rPr>
          <w:color w:val="231F20"/>
          <w:spacing w:val="-5"/>
          <w:sz w:val="21"/>
        </w:rPr>
        <w:t> </w:t>
      </w:r>
      <w:r>
        <w:rPr>
          <w:color w:val="231F20"/>
          <w:sz w:val="21"/>
        </w:rPr>
        <w:t>nervios</w:t>
      </w:r>
    </w:p>
    <w:p>
      <w:pPr>
        <w:pStyle w:val="ListParagraph"/>
        <w:numPr>
          <w:ilvl w:val="0"/>
          <w:numId w:val="17"/>
        </w:numPr>
        <w:tabs>
          <w:tab w:pos="828" w:val="left" w:leader="none"/>
        </w:tabs>
        <w:spacing w:line="240" w:lineRule="auto" w:before="61" w:after="0"/>
        <w:ind w:left="827" w:right="0" w:hanging="357"/>
        <w:jc w:val="left"/>
        <w:rPr>
          <w:sz w:val="21"/>
        </w:rPr>
      </w:pPr>
      <w:r>
        <w:rPr>
          <w:color w:val="231F20"/>
          <w:sz w:val="21"/>
        </w:rPr>
        <w:t>Por</w:t>
      </w:r>
      <w:r>
        <w:rPr>
          <w:color w:val="231F20"/>
          <w:spacing w:val="15"/>
          <w:sz w:val="21"/>
        </w:rPr>
        <w:t> </w:t>
      </w:r>
      <w:r>
        <w:rPr>
          <w:color w:val="231F20"/>
          <w:sz w:val="21"/>
        </w:rPr>
        <w:t>diversión</w:t>
      </w:r>
    </w:p>
    <w:p>
      <w:pPr>
        <w:pStyle w:val="ListParagraph"/>
        <w:numPr>
          <w:ilvl w:val="0"/>
          <w:numId w:val="17"/>
        </w:numPr>
        <w:tabs>
          <w:tab w:pos="827" w:val="left" w:leader="none"/>
          <w:tab w:pos="828" w:val="left" w:leader="none"/>
        </w:tabs>
        <w:spacing w:line="240" w:lineRule="auto" w:before="65" w:after="0"/>
        <w:ind w:left="827" w:right="0" w:hanging="357"/>
        <w:jc w:val="left"/>
        <w:rPr>
          <w:sz w:val="21"/>
        </w:rPr>
      </w:pPr>
      <w:r>
        <w:rPr>
          <w:color w:val="231F20"/>
          <w:sz w:val="21"/>
        </w:rPr>
        <w:t>Porque lo hacen los</w:t>
      </w:r>
      <w:r>
        <w:rPr>
          <w:color w:val="231F20"/>
          <w:spacing w:val="17"/>
          <w:sz w:val="21"/>
        </w:rPr>
        <w:t> </w:t>
      </w:r>
      <w:r>
        <w:rPr>
          <w:color w:val="231F20"/>
          <w:sz w:val="21"/>
        </w:rPr>
        <w:t>amigos</w:t>
      </w:r>
    </w:p>
    <w:p>
      <w:pPr>
        <w:pStyle w:val="ListParagraph"/>
        <w:numPr>
          <w:ilvl w:val="0"/>
          <w:numId w:val="17"/>
        </w:numPr>
        <w:tabs>
          <w:tab w:pos="828" w:val="left" w:leader="none"/>
          <w:tab w:pos="829" w:val="left" w:leader="none"/>
        </w:tabs>
        <w:spacing w:line="240" w:lineRule="auto" w:before="61" w:after="0"/>
        <w:ind w:left="828" w:right="0" w:hanging="357"/>
        <w:jc w:val="left"/>
        <w:rPr>
          <w:sz w:val="21"/>
        </w:rPr>
      </w:pPr>
      <w:r>
        <w:rPr>
          <w:color w:val="231F20"/>
          <w:sz w:val="21"/>
        </w:rPr>
        <w:t>Porque tiene dificultades en el</w:t>
      </w:r>
      <w:r>
        <w:rPr>
          <w:color w:val="231F20"/>
          <w:spacing w:val="7"/>
          <w:sz w:val="21"/>
        </w:rPr>
        <w:t> </w:t>
      </w:r>
      <w:r>
        <w:rPr>
          <w:color w:val="231F20"/>
          <w:sz w:val="21"/>
        </w:rPr>
        <w:t>trabajo</w:t>
      </w:r>
    </w:p>
    <w:p>
      <w:pPr>
        <w:pStyle w:val="ListParagraph"/>
        <w:numPr>
          <w:ilvl w:val="0"/>
          <w:numId w:val="17"/>
        </w:numPr>
        <w:tabs>
          <w:tab w:pos="829" w:val="left" w:leader="none"/>
        </w:tabs>
        <w:spacing w:line="240" w:lineRule="auto" w:before="65" w:after="0"/>
        <w:ind w:left="828" w:right="0" w:hanging="357"/>
        <w:jc w:val="left"/>
        <w:rPr>
          <w:sz w:val="21"/>
        </w:rPr>
      </w:pPr>
      <w:r>
        <w:rPr>
          <w:color w:val="231F20"/>
          <w:sz w:val="21"/>
        </w:rPr>
        <w:t>Porque tiene dificultades en la</w:t>
      </w:r>
      <w:r>
        <w:rPr>
          <w:color w:val="231F20"/>
          <w:spacing w:val="-28"/>
          <w:sz w:val="21"/>
        </w:rPr>
        <w:t> </w:t>
      </w:r>
      <w:r>
        <w:rPr>
          <w:color w:val="231F20"/>
          <w:sz w:val="21"/>
        </w:rPr>
        <w:t>familia</w:t>
      </w:r>
    </w:p>
    <w:p>
      <w:pPr>
        <w:pStyle w:val="ListParagraph"/>
        <w:numPr>
          <w:ilvl w:val="0"/>
          <w:numId w:val="17"/>
        </w:numPr>
        <w:tabs>
          <w:tab w:pos="829" w:val="left" w:leader="none"/>
        </w:tabs>
        <w:spacing w:line="240" w:lineRule="auto" w:before="70" w:after="0"/>
        <w:ind w:left="828" w:right="0" w:hanging="357"/>
        <w:jc w:val="left"/>
        <w:rPr>
          <w:rFonts w:ascii="Cambria"/>
          <w:sz w:val="21"/>
        </w:rPr>
      </w:pPr>
      <w:r>
        <w:rPr>
          <w:rFonts w:ascii="Cambria"/>
          <w:color w:val="231F20"/>
          <w:w w:val="90"/>
          <w:sz w:val="21"/>
        </w:rPr>
        <w:t>Por</w:t>
      </w:r>
      <w:r>
        <w:rPr>
          <w:rFonts w:ascii="Cambria"/>
          <w:color w:val="231F20"/>
          <w:spacing w:val="39"/>
          <w:w w:val="90"/>
          <w:sz w:val="21"/>
        </w:rPr>
        <w:t> </w:t>
      </w:r>
      <w:r>
        <w:rPr>
          <w:rFonts w:ascii="Cambria"/>
          <w:color w:val="231F20"/>
          <w:w w:val="90"/>
          <w:sz w:val="21"/>
        </w:rPr>
        <w:t>inseguridad</w:t>
      </w:r>
    </w:p>
    <w:p>
      <w:pPr>
        <w:pStyle w:val="BodyText"/>
        <w:spacing w:before="7"/>
        <w:rPr>
          <w:rFonts w:ascii="Cambria"/>
        </w:rPr>
      </w:pPr>
    </w:p>
    <w:p>
      <w:pPr>
        <w:pStyle w:val="BodyText"/>
        <w:spacing w:line="244" w:lineRule="auto"/>
        <w:ind w:left="113" w:right="116" w:firstLine="284"/>
        <w:jc w:val="both"/>
        <w:rPr>
          <w:rFonts w:ascii="Cambria" w:hAnsi="Cambria"/>
        </w:rPr>
      </w:pPr>
      <w:r>
        <w:rPr>
          <w:rFonts w:ascii="Cambria" w:hAnsi="Cambria"/>
          <w:color w:val="231F20"/>
          <w:spacing w:val="2"/>
        </w:rPr>
        <w:t>Igualmente, siguiendo con Larrañaga </w:t>
      </w:r>
      <w:r>
        <w:rPr>
          <w:rFonts w:ascii="Cambria" w:hAnsi="Cambria"/>
          <w:color w:val="231F20"/>
          <w:sz w:val="20"/>
        </w:rPr>
        <w:t>y </w:t>
      </w:r>
      <w:r>
        <w:rPr>
          <w:rFonts w:ascii="Cambria" w:hAnsi="Cambria"/>
          <w:color w:val="231F20"/>
          <w:spacing w:val="2"/>
          <w:sz w:val="20"/>
        </w:rPr>
        <w:t>Yubero </w:t>
      </w:r>
      <w:r>
        <w:rPr>
          <w:rFonts w:ascii="Cambria" w:hAnsi="Cambria"/>
          <w:color w:val="231F20"/>
          <w:spacing w:val="2"/>
        </w:rPr>
        <w:t>(2002), </w:t>
      </w:r>
      <w:r>
        <w:rPr>
          <w:rFonts w:ascii="Cambria" w:hAnsi="Cambria"/>
          <w:color w:val="231F20"/>
        </w:rPr>
        <w:t>las</w:t>
      </w:r>
      <w:r>
        <w:rPr>
          <w:rFonts w:ascii="Cambria" w:hAnsi="Cambria"/>
          <w:color w:val="231F20"/>
          <w:spacing w:val="-21"/>
        </w:rPr>
        <w:t> </w:t>
      </w:r>
      <w:r>
        <w:rPr>
          <w:rFonts w:ascii="Cambria" w:hAnsi="Cambria"/>
          <w:color w:val="231F20"/>
        </w:rPr>
        <w:t>re- </w:t>
      </w:r>
      <w:r>
        <w:rPr>
          <w:rFonts w:ascii="Cambria" w:hAnsi="Cambria"/>
          <w:color w:val="231F20"/>
          <w:spacing w:val="3"/>
        </w:rPr>
        <w:t>presentaciones</w:t>
      </w:r>
      <w:r>
        <w:rPr>
          <w:rFonts w:ascii="Cambria" w:hAnsi="Cambria"/>
          <w:color w:val="231F20"/>
          <w:spacing w:val="-11"/>
        </w:rPr>
        <w:t> </w:t>
      </w:r>
      <w:r>
        <w:rPr>
          <w:rFonts w:ascii="Cambria" w:hAnsi="Cambria"/>
          <w:color w:val="231F20"/>
          <w:spacing w:val="2"/>
        </w:rPr>
        <w:t>sociales</w:t>
      </w:r>
      <w:r>
        <w:rPr>
          <w:rFonts w:ascii="Cambria" w:hAnsi="Cambria"/>
          <w:color w:val="231F20"/>
          <w:spacing w:val="-11"/>
        </w:rPr>
        <w:t> </w:t>
      </w:r>
      <w:r>
        <w:rPr>
          <w:rFonts w:ascii="Cambria" w:hAnsi="Cambria"/>
          <w:color w:val="231F20"/>
        </w:rPr>
        <w:t>se</w:t>
      </w:r>
      <w:r>
        <w:rPr>
          <w:rFonts w:ascii="Cambria" w:hAnsi="Cambria"/>
          <w:color w:val="231F20"/>
          <w:spacing w:val="-11"/>
        </w:rPr>
        <w:t> </w:t>
      </w:r>
      <w:r>
        <w:rPr>
          <w:rFonts w:ascii="Cambria" w:hAnsi="Cambria"/>
          <w:color w:val="231F20"/>
          <w:spacing w:val="2"/>
        </w:rPr>
        <w:t>manifiestan</w:t>
      </w:r>
      <w:r>
        <w:rPr>
          <w:rFonts w:ascii="Cambria" w:hAnsi="Cambria"/>
          <w:color w:val="231F20"/>
          <w:spacing w:val="-11"/>
        </w:rPr>
        <w:t> </w:t>
      </w:r>
      <w:r>
        <w:rPr>
          <w:rFonts w:ascii="Cambria" w:hAnsi="Cambria"/>
          <w:color w:val="231F20"/>
          <w:spacing w:val="2"/>
        </w:rPr>
        <w:t>por</w:t>
      </w:r>
      <w:r>
        <w:rPr>
          <w:rFonts w:ascii="Cambria" w:hAnsi="Cambria"/>
          <w:color w:val="231F20"/>
          <w:spacing w:val="-11"/>
        </w:rPr>
        <w:t> </w:t>
      </w:r>
      <w:r>
        <w:rPr>
          <w:rFonts w:ascii="Cambria" w:hAnsi="Cambria"/>
          <w:color w:val="231F20"/>
          <w:spacing w:val="2"/>
        </w:rPr>
        <w:t>parte</w:t>
      </w:r>
      <w:r>
        <w:rPr>
          <w:rFonts w:ascii="Cambria" w:hAnsi="Cambria"/>
          <w:color w:val="231F20"/>
          <w:spacing w:val="-10"/>
        </w:rPr>
        <w:t> </w:t>
      </w:r>
      <w:r>
        <w:rPr>
          <w:rFonts w:ascii="Cambria" w:hAnsi="Cambria"/>
          <w:color w:val="231F20"/>
        </w:rPr>
        <w:t>de</w:t>
      </w:r>
      <w:r>
        <w:rPr>
          <w:rFonts w:ascii="Cambria" w:hAnsi="Cambria"/>
          <w:color w:val="231F20"/>
          <w:spacing w:val="-11"/>
        </w:rPr>
        <w:t> </w:t>
      </w:r>
      <w:r>
        <w:rPr>
          <w:rFonts w:ascii="Cambria" w:hAnsi="Cambria"/>
          <w:color w:val="231F20"/>
        </w:rPr>
        <w:t>las</w:t>
      </w:r>
      <w:r>
        <w:rPr>
          <w:rFonts w:ascii="Cambria" w:hAnsi="Cambria"/>
          <w:color w:val="231F20"/>
          <w:spacing w:val="-11"/>
        </w:rPr>
        <w:t> </w:t>
      </w:r>
      <w:r>
        <w:rPr>
          <w:rFonts w:ascii="Cambria" w:hAnsi="Cambria"/>
          <w:color w:val="231F20"/>
          <w:spacing w:val="3"/>
        </w:rPr>
        <w:t>personas </w:t>
      </w:r>
      <w:r>
        <w:rPr>
          <w:rFonts w:ascii="Cambria" w:hAnsi="Cambria"/>
          <w:color w:val="231F20"/>
          <w:w w:val="95"/>
        </w:rPr>
        <w:t>que </w:t>
      </w:r>
      <w:r>
        <w:rPr>
          <w:rFonts w:ascii="Cambria" w:hAnsi="Cambria"/>
          <w:color w:val="231F20"/>
          <w:spacing w:val="2"/>
          <w:w w:val="95"/>
        </w:rPr>
        <w:t>abstraen estructuras </w:t>
      </w:r>
      <w:r>
        <w:rPr>
          <w:rFonts w:ascii="Cambria" w:hAnsi="Cambria"/>
          <w:color w:val="231F20"/>
          <w:w w:val="95"/>
        </w:rPr>
        <w:t>de </w:t>
      </w:r>
      <w:r>
        <w:rPr>
          <w:rFonts w:ascii="Cambria" w:hAnsi="Cambria"/>
          <w:color w:val="231F20"/>
          <w:spacing w:val="3"/>
          <w:w w:val="95"/>
        </w:rPr>
        <w:t>conocimiento </w:t>
      </w:r>
      <w:r>
        <w:rPr>
          <w:rFonts w:ascii="Cambria" w:hAnsi="Cambria"/>
          <w:color w:val="231F20"/>
          <w:w w:val="95"/>
        </w:rPr>
        <w:t>de sus </w:t>
      </w:r>
      <w:r>
        <w:rPr>
          <w:rFonts w:ascii="Cambria" w:hAnsi="Cambria"/>
          <w:color w:val="231F20"/>
          <w:spacing w:val="2"/>
          <w:w w:val="95"/>
        </w:rPr>
        <w:t>experiencias </w:t>
      </w:r>
      <w:r>
        <w:rPr>
          <w:rFonts w:ascii="Cambria" w:hAnsi="Cambria"/>
          <w:color w:val="231F20"/>
          <w:w w:val="95"/>
        </w:rPr>
        <w:t>y/o </w:t>
      </w:r>
      <w:r>
        <w:rPr>
          <w:rFonts w:ascii="Cambria" w:hAnsi="Cambria"/>
          <w:color w:val="231F20"/>
          <w:spacing w:val="3"/>
          <w:w w:val="95"/>
        </w:rPr>
        <w:t>información,</w:t>
      </w:r>
      <w:r>
        <w:rPr>
          <w:rFonts w:ascii="Cambria" w:hAnsi="Cambria"/>
          <w:color w:val="231F20"/>
          <w:spacing w:val="-7"/>
          <w:w w:val="95"/>
        </w:rPr>
        <w:t> </w:t>
      </w:r>
      <w:r>
        <w:rPr>
          <w:rFonts w:ascii="Cambria" w:hAnsi="Cambria"/>
          <w:color w:val="231F20"/>
          <w:w w:val="95"/>
        </w:rPr>
        <w:t>las</w:t>
      </w:r>
      <w:r>
        <w:rPr>
          <w:rFonts w:ascii="Cambria" w:hAnsi="Cambria"/>
          <w:color w:val="231F20"/>
          <w:spacing w:val="-7"/>
          <w:w w:val="95"/>
        </w:rPr>
        <w:t> </w:t>
      </w:r>
      <w:r>
        <w:rPr>
          <w:rFonts w:ascii="Cambria" w:hAnsi="Cambria"/>
          <w:color w:val="231F20"/>
          <w:spacing w:val="2"/>
          <w:w w:val="95"/>
        </w:rPr>
        <w:t>cuales</w:t>
      </w:r>
      <w:r>
        <w:rPr>
          <w:rFonts w:ascii="Cambria" w:hAnsi="Cambria"/>
          <w:color w:val="231F20"/>
          <w:spacing w:val="-7"/>
          <w:w w:val="95"/>
        </w:rPr>
        <w:t> </w:t>
      </w:r>
      <w:r>
        <w:rPr>
          <w:rFonts w:ascii="Cambria" w:hAnsi="Cambria"/>
          <w:color w:val="231F20"/>
          <w:spacing w:val="2"/>
          <w:w w:val="95"/>
        </w:rPr>
        <w:t>reflejan</w:t>
      </w:r>
      <w:r>
        <w:rPr>
          <w:rFonts w:ascii="Cambria" w:hAnsi="Cambria"/>
          <w:color w:val="231F20"/>
          <w:spacing w:val="-6"/>
          <w:w w:val="95"/>
        </w:rPr>
        <w:t> </w:t>
      </w:r>
      <w:r>
        <w:rPr>
          <w:rFonts w:ascii="Cambria" w:hAnsi="Cambria"/>
          <w:color w:val="231F20"/>
          <w:w w:val="95"/>
        </w:rPr>
        <w:t>las</w:t>
      </w:r>
      <w:r>
        <w:rPr>
          <w:rFonts w:ascii="Cambria" w:hAnsi="Cambria"/>
          <w:color w:val="231F20"/>
          <w:spacing w:val="-7"/>
          <w:w w:val="95"/>
        </w:rPr>
        <w:t> </w:t>
      </w:r>
      <w:r>
        <w:rPr>
          <w:rFonts w:ascii="Cambria" w:hAnsi="Cambria"/>
          <w:color w:val="231F20"/>
          <w:spacing w:val="2"/>
          <w:w w:val="95"/>
        </w:rPr>
        <w:t>asociaciones</w:t>
      </w:r>
      <w:r>
        <w:rPr>
          <w:rFonts w:ascii="Cambria" w:hAnsi="Cambria"/>
          <w:color w:val="231F20"/>
          <w:spacing w:val="-7"/>
          <w:w w:val="95"/>
        </w:rPr>
        <w:t> </w:t>
      </w:r>
      <w:r>
        <w:rPr>
          <w:rFonts w:ascii="Cambria" w:hAnsi="Cambria"/>
          <w:color w:val="231F20"/>
          <w:spacing w:val="2"/>
          <w:w w:val="95"/>
        </w:rPr>
        <w:t>entre</w:t>
      </w:r>
      <w:r>
        <w:rPr>
          <w:rFonts w:ascii="Cambria" w:hAnsi="Cambria"/>
          <w:color w:val="231F20"/>
          <w:spacing w:val="-6"/>
          <w:w w:val="95"/>
        </w:rPr>
        <w:t> </w:t>
      </w:r>
      <w:r>
        <w:rPr>
          <w:rFonts w:ascii="Cambria" w:hAnsi="Cambria"/>
          <w:color w:val="231F20"/>
          <w:spacing w:val="2"/>
          <w:w w:val="95"/>
        </w:rPr>
        <w:t>atributos</w:t>
      </w:r>
      <w:r>
        <w:rPr>
          <w:rFonts w:ascii="Cambria" w:hAnsi="Cambria"/>
          <w:color w:val="231F20"/>
          <w:spacing w:val="-7"/>
          <w:w w:val="95"/>
        </w:rPr>
        <w:t> </w:t>
      </w:r>
      <w:r>
        <w:rPr>
          <w:rFonts w:ascii="Cambria" w:hAnsi="Cambria"/>
          <w:color w:val="231F20"/>
          <w:spacing w:val="2"/>
          <w:w w:val="95"/>
        </w:rPr>
        <w:t>que </w:t>
      </w:r>
      <w:r>
        <w:rPr>
          <w:rFonts w:ascii="Cambria" w:hAnsi="Cambria"/>
          <w:color w:val="231F20"/>
          <w:w w:val="95"/>
        </w:rPr>
        <w:t>se </w:t>
      </w:r>
      <w:r>
        <w:rPr>
          <w:rFonts w:ascii="Cambria" w:hAnsi="Cambria"/>
          <w:color w:val="231F20"/>
          <w:spacing w:val="2"/>
          <w:w w:val="95"/>
        </w:rPr>
        <w:t>dan </w:t>
      </w:r>
      <w:r>
        <w:rPr>
          <w:rFonts w:ascii="Cambria" w:hAnsi="Cambria"/>
          <w:color w:val="231F20"/>
          <w:w w:val="95"/>
        </w:rPr>
        <w:t>en la </w:t>
      </w:r>
      <w:r>
        <w:rPr>
          <w:rFonts w:ascii="Cambria" w:hAnsi="Cambria"/>
          <w:color w:val="231F20"/>
          <w:spacing w:val="2"/>
          <w:w w:val="95"/>
        </w:rPr>
        <w:t>realidad social. </w:t>
      </w:r>
      <w:r>
        <w:rPr>
          <w:rFonts w:ascii="Cambria" w:hAnsi="Cambria"/>
          <w:color w:val="231F20"/>
          <w:spacing w:val="3"/>
          <w:w w:val="95"/>
        </w:rPr>
        <w:t>Asimismo, </w:t>
      </w:r>
      <w:r>
        <w:rPr>
          <w:rFonts w:ascii="Cambria" w:hAnsi="Cambria"/>
          <w:color w:val="231F20"/>
          <w:w w:val="95"/>
        </w:rPr>
        <w:t>las </w:t>
      </w:r>
      <w:r>
        <w:rPr>
          <w:rFonts w:ascii="Cambria" w:hAnsi="Cambria"/>
          <w:color w:val="231F20"/>
          <w:spacing w:val="3"/>
          <w:w w:val="95"/>
        </w:rPr>
        <w:t>personas </w:t>
      </w:r>
      <w:r>
        <w:rPr>
          <w:rFonts w:ascii="Cambria" w:hAnsi="Cambria"/>
          <w:color w:val="231F20"/>
          <w:spacing w:val="2"/>
          <w:w w:val="95"/>
        </w:rPr>
        <w:t>son</w:t>
      </w:r>
      <w:r>
        <w:rPr>
          <w:rFonts w:ascii="Cambria" w:hAnsi="Cambria"/>
          <w:color w:val="231F20"/>
          <w:spacing w:val="-26"/>
          <w:w w:val="95"/>
        </w:rPr>
        <w:t> </w:t>
      </w:r>
      <w:r>
        <w:rPr>
          <w:rFonts w:ascii="Cambria" w:hAnsi="Cambria"/>
          <w:color w:val="231F20"/>
          <w:spacing w:val="3"/>
          <w:w w:val="95"/>
        </w:rPr>
        <w:t>portadoras </w:t>
      </w:r>
      <w:r>
        <w:rPr>
          <w:rFonts w:ascii="Cambria" w:hAnsi="Cambria"/>
          <w:color w:val="231F20"/>
          <w:w w:val="95"/>
        </w:rPr>
        <w:t>de un </w:t>
      </w:r>
      <w:r>
        <w:rPr>
          <w:rFonts w:ascii="Cambria" w:hAnsi="Cambria"/>
          <w:color w:val="231F20"/>
          <w:spacing w:val="3"/>
          <w:w w:val="95"/>
        </w:rPr>
        <w:t>conjunto </w:t>
      </w:r>
      <w:r>
        <w:rPr>
          <w:rFonts w:ascii="Cambria" w:hAnsi="Cambria"/>
          <w:color w:val="231F20"/>
          <w:w w:val="95"/>
        </w:rPr>
        <w:t>de </w:t>
      </w:r>
      <w:r>
        <w:rPr>
          <w:rFonts w:ascii="Cambria" w:hAnsi="Cambria"/>
          <w:color w:val="231F20"/>
          <w:spacing w:val="3"/>
          <w:w w:val="95"/>
        </w:rPr>
        <w:t>representaciones </w:t>
      </w:r>
      <w:r>
        <w:rPr>
          <w:rFonts w:ascii="Cambria" w:hAnsi="Cambria"/>
          <w:color w:val="231F20"/>
          <w:spacing w:val="2"/>
          <w:w w:val="95"/>
        </w:rPr>
        <w:t>sociales que </w:t>
      </w:r>
      <w:r>
        <w:rPr>
          <w:rFonts w:ascii="Cambria" w:hAnsi="Cambria"/>
          <w:color w:val="231F20"/>
          <w:w w:val="95"/>
        </w:rPr>
        <w:t>las </w:t>
      </w:r>
      <w:r>
        <w:rPr>
          <w:rFonts w:ascii="Cambria" w:hAnsi="Cambria"/>
          <w:color w:val="231F20"/>
          <w:spacing w:val="3"/>
          <w:w w:val="95"/>
        </w:rPr>
        <w:t>disponen </w:t>
      </w:r>
      <w:r>
        <w:rPr>
          <w:rFonts w:ascii="Cambria" w:hAnsi="Cambria"/>
          <w:color w:val="231F20"/>
          <w:w w:val="95"/>
        </w:rPr>
        <w:t>en la </w:t>
      </w:r>
      <w:r>
        <w:rPr>
          <w:rFonts w:ascii="Cambria" w:hAnsi="Cambria"/>
          <w:color w:val="231F20"/>
          <w:spacing w:val="3"/>
        </w:rPr>
        <w:t>forma</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spacing w:val="2"/>
        </w:rPr>
        <w:t>analizar</w:t>
      </w:r>
      <w:r>
        <w:rPr>
          <w:rFonts w:ascii="Cambria" w:hAnsi="Cambria"/>
          <w:color w:val="231F20"/>
          <w:spacing w:val="-16"/>
        </w:rPr>
        <w:t> </w:t>
      </w:r>
      <w:r>
        <w:rPr>
          <w:rFonts w:ascii="Cambria" w:hAnsi="Cambria"/>
          <w:color w:val="231F20"/>
        </w:rPr>
        <w:t>y</w:t>
      </w:r>
      <w:r>
        <w:rPr>
          <w:rFonts w:ascii="Cambria" w:hAnsi="Cambria"/>
          <w:color w:val="231F20"/>
          <w:spacing w:val="-16"/>
        </w:rPr>
        <w:t> </w:t>
      </w:r>
      <w:r>
        <w:rPr>
          <w:rFonts w:ascii="Cambria" w:hAnsi="Cambria"/>
          <w:color w:val="231F20"/>
          <w:spacing w:val="2"/>
        </w:rPr>
        <w:t>evaluar</w:t>
      </w:r>
      <w:r>
        <w:rPr>
          <w:rFonts w:ascii="Cambria" w:hAnsi="Cambria"/>
          <w:color w:val="231F20"/>
          <w:spacing w:val="-16"/>
        </w:rPr>
        <w:t> </w:t>
      </w:r>
      <w:r>
        <w:rPr>
          <w:rFonts w:ascii="Cambria" w:hAnsi="Cambria"/>
          <w:color w:val="231F20"/>
        </w:rPr>
        <w:t>las</w:t>
      </w:r>
      <w:r>
        <w:rPr>
          <w:rFonts w:ascii="Cambria" w:hAnsi="Cambria"/>
          <w:color w:val="231F20"/>
          <w:spacing w:val="-16"/>
        </w:rPr>
        <w:t> </w:t>
      </w:r>
      <w:r>
        <w:rPr>
          <w:rFonts w:ascii="Cambria" w:hAnsi="Cambria"/>
          <w:color w:val="231F20"/>
          <w:spacing w:val="2"/>
        </w:rPr>
        <w:t>situaciones.</w:t>
      </w:r>
      <w:r>
        <w:rPr>
          <w:rFonts w:ascii="Cambria" w:hAnsi="Cambria"/>
          <w:color w:val="231F20"/>
          <w:spacing w:val="-16"/>
        </w:rPr>
        <w:t> </w:t>
      </w:r>
      <w:r>
        <w:rPr>
          <w:rFonts w:ascii="Cambria" w:hAnsi="Cambria"/>
          <w:color w:val="231F20"/>
          <w:spacing w:val="2"/>
        </w:rPr>
        <w:t>Pueden</w:t>
      </w:r>
      <w:r>
        <w:rPr>
          <w:rFonts w:ascii="Cambria" w:hAnsi="Cambria"/>
          <w:color w:val="231F20"/>
          <w:spacing w:val="-15"/>
        </w:rPr>
        <w:t> </w:t>
      </w:r>
      <w:r>
        <w:rPr>
          <w:rFonts w:ascii="Cambria" w:hAnsi="Cambria"/>
          <w:color w:val="231F20"/>
          <w:spacing w:val="3"/>
        </w:rPr>
        <w:t>determinar</w:t>
      </w:r>
      <w:r>
        <w:rPr>
          <w:rFonts w:ascii="Cambria" w:hAnsi="Cambria"/>
          <w:color w:val="231F20"/>
          <w:spacing w:val="-16"/>
        </w:rPr>
        <w:t> </w:t>
      </w:r>
      <w:r>
        <w:rPr>
          <w:rFonts w:ascii="Cambria" w:hAnsi="Cambria"/>
          <w:color w:val="231F20"/>
        </w:rPr>
        <w:t>la </w:t>
      </w:r>
      <w:r>
        <w:rPr>
          <w:rFonts w:ascii="Cambria" w:hAnsi="Cambria"/>
          <w:color w:val="231F20"/>
          <w:spacing w:val="3"/>
        </w:rPr>
        <w:t>conducta </w:t>
      </w:r>
      <w:r>
        <w:rPr>
          <w:rFonts w:ascii="Cambria" w:hAnsi="Cambria"/>
          <w:color w:val="231F20"/>
          <w:spacing w:val="2"/>
        </w:rPr>
        <w:t>social que </w:t>
      </w:r>
      <w:r>
        <w:rPr>
          <w:rFonts w:ascii="Cambria" w:hAnsi="Cambria"/>
          <w:color w:val="231F20"/>
        </w:rPr>
        <w:t>se lleva a </w:t>
      </w:r>
      <w:r>
        <w:rPr>
          <w:rFonts w:ascii="Cambria" w:hAnsi="Cambria"/>
          <w:color w:val="231F20"/>
          <w:spacing w:val="2"/>
        </w:rPr>
        <w:t>cabo, </w:t>
      </w:r>
      <w:r>
        <w:rPr>
          <w:rFonts w:ascii="Cambria" w:hAnsi="Cambria"/>
          <w:color w:val="231F20"/>
        </w:rPr>
        <w:t>ya que </w:t>
      </w:r>
      <w:r>
        <w:rPr>
          <w:rFonts w:ascii="Cambria" w:hAnsi="Cambria"/>
          <w:color w:val="231F20"/>
          <w:spacing w:val="2"/>
        </w:rPr>
        <w:t>todo </w:t>
      </w:r>
      <w:r>
        <w:rPr>
          <w:rFonts w:ascii="Cambria" w:hAnsi="Cambria"/>
          <w:color w:val="231F20"/>
        </w:rPr>
        <w:t>es </w:t>
      </w:r>
      <w:r>
        <w:rPr>
          <w:rFonts w:ascii="Cambria" w:hAnsi="Cambria"/>
          <w:color w:val="231F20"/>
          <w:spacing w:val="3"/>
        </w:rPr>
        <w:t>producto </w:t>
      </w:r>
      <w:r>
        <w:rPr>
          <w:rFonts w:ascii="Cambria" w:hAnsi="Cambria"/>
          <w:color w:val="231F20"/>
          <w:spacing w:val="4"/>
        </w:rPr>
        <w:t>de </w:t>
      </w:r>
      <w:r>
        <w:rPr>
          <w:rFonts w:ascii="Cambria" w:hAnsi="Cambria"/>
          <w:color w:val="231F20"/>
          <w:spacing w:val="2"/>
        </w:rPr>
        <w:t>una actividad constructiva guiada por </w:t>
      </w:r>
      <w:r>
        <w:rPr>
          <w:rFonts w:ascii="Cambria" w:hAnsi="Cambria"/>
          <w:color w:val="231F20"/>
        </w:rPr>
        <w:t>las </w:t>
      </w:r>
      <w:r>
        <w:rPr>
          <w:rFonts w:ascii="Cambria" w:hAnsi="Cambria"/>
          <w:color w:val="231F20"/>
          <w:spacing w:val="2"/>
        </w:rPr>
        <w:t>ideas </w:t>
      </w:r>
      <w:r>
        <w:rPr>
          <w:rFonts w:ascii="Cambria" w:hAnsi="Cambria"/>
          <w:color w:val="231F20"/>
        </w:rPr>
        <w:t>de la </w:t>
      </w:r>
      <w:r>
        <w:rPr>
          <w:rFonts w:ascii="Cambria" w:hAnsi="Cambria"/>
          <w:color w:val="231F20"/>
          <w:spacing w:val="3"/>
        </w:rPr>
        <w:t>persona. Ejemplos</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spacing w:val="2"/>
        </w:rPr>
        <w:t>ello</w:t>
      </w:r>
      <w:r>
        <w:rPr>
          <w:rFonts w:ascii="Cambria" w:hAnsi="Cambria"/>
          <w:color w:val="231F20"/>
          <w:spacing w:val="-21"/>
        </w:rPr>
        <w:t> </w:t>
      </w:r>
      <w:r>
        <w:rPr>
          <w:rFonts w:ascii="Cambria" w:hAnsi="Cambria"/>
          <w:color w:val="231F20"/>
          <w:spacing w:val="2"/>
        </w:rPr>
        <w:t>serían</w:t>
      </w:r>
      <w:r>
        <w:rPr>
          <w:rFonts w:ascii="Cambria" w:hAnsi="Cambria"/>
          <w:color w:val="231F20"/>
          <w:spacing w:val="-21"/>
        </w:rPr>
        <w:t> </w:t>
      </w:r>
      <w:r>
        <w:rPr>
          <w:rFonts w:ascii="Cambria" w:hAnsi="Cambria"/>
          <w:color w:val="231F20"/>
        </w:rPr>
        <w:t>los</w:t>
      </w:r>
      <w:r>
        <w:rPr>
          <w:rFonts w:ascii="Cambria" w:hAnsi="Cambria"/>
          <w:color w:val="231F20"/>
          <w:spacing w:val="-21"/>
        </w:rPr>
        <w:t> </w:t>
      </w:r>
      <w:r>
        <w:rPr>
          <w:rFonts w:ascii="Cambria" w:hAnsi="Cambria"/>
          <w:color w:val="231F20"/>
          <w:spacing w:val="2"/>
        </w:rPr>
        <w:t>siguientes</w:t>
      </w:r>
      <w:r>
        <w:rPr>
          <w:rFonts w:ascii="Cambria" w:hAnsi="Cambria"/>
          <w:color w:val="231F20"/>
          <w:spacing w:val="-21"/>
        </w:rPr>
        <w:t> </w:t>
      </w:r>
      <w:r>
        <w:rPr>
          <w:rFonts w:ascii="Cambria" w:hAnsi="Cambria"/>
          <w:color w:val="231F20"/>
          <w:spacing w:val="2"/>
        </w:rPr>
        <w:t>adjetivos</w:t>
      </w:r>
      <w:r>
        <w:rPr>
          <w:rFonts w:ascii="Cambria" w:hAnsi="Cambria"/>
          <w:color w:val="231F20"/>
          <w:spacing w:val="-21"/>
        </w:rPr>
        <w:t> </w:t>
      </w:r>
      <w:r>
        <w:rPr>
          <w:rFonts w:ascii="Cambria" w:hAnsi="Cambria"/>
          <w:color w:val="231F20"/>
          <w:spacing w:val="2"/>
        </w:rPr>
        <w:t>que</w:t>
      </w:r>
      <w:r>
        <w:rPr>
          <w:rFonts w:ascii="Cambria" w:hAnsi="Cambria"/>
          <w:color w:val="231F20"/>
          <w:spacing w:val="-21"/>
        </w:rPr>
        <w:t> </w:t>
      </w:r>
      <w:r>
        <w:rPr>
          <w:rFonts w:ascii="Cambria" w:hAnsi="Cambria"/>
          <w:color w:val="231F20"/>
          <w:spacing w:val="2"/>
        </w:rPr>
        <w:t>caracterizan</w:t>
      </w:r>
      <w:r>
        <w:rPr>
          <w:rFonts w:ascii="Cambria" w:hAnsi="Cambria"/>
          <w:color w:val="231F20"/>
          <w:spacing w:val="-21"/>
        </w:rPr>
        <w:t> </w:t>
      </w:r>
      <w:r>
        <w:rPr>
          <w:rFonts w:ascii="Cambria" w:hAnsi="Cambria"/>
          <w:color w:val="231F20"/>
        </w:rPr>
        <w:t>a </w:t>
      </w:r>
      <w:r>
        <w:rPr>
          <w:rFonts w:ascii="Cambria" w:hAnsi="Cambria"/>
          <w:color w:val="231F20"/>
          <w:spacing w:val="2"/>
          <w:w w:val="95"/>
        </w:rPr>
        <w:t>una</w:t>
      </w:r>
      <w:r>
        <w:rPr>
          <w:rFonts w:ascii="Cambria" w:hAnsi="Cambria"/>
          <w:color w:val="231F20"/>
          <w:spacing w:val="-21"/>
          <w:w w:val="95"/>
        </w:rPr>
        <w:t> </w:t>
      </w:r>
      <w:r>
        <w:rPr>
          <w:rFonts w:ascii="Cambria" w:hAnsi="Cambria"/>
          <w:color w:val="231F20"/>
          <w:spacing w:val="3"/>
          <w:w w:val="95"/>
        </w:rPr>
        <w:t>persona</w:t>
      </w:r>
      <w:r>
        <w:rPr>
          <w:rFonts w:ascii="Cambria" w:hAnsi="Cambria"/>
          <w:color w:val="231F20"/>
          <w:spacing w:val="-21"/>
          <w:w w:val="95"/>
        </w:rPr>
        <w:t> </w:t>
      </w:r>
      <w:r>
        <w:rPr>
          <w:rFonts w:ascii="Cambria" w:hAnsi="Cambria"/>
          <w:color w:val="231F20"/>
          <w:spacing w:val="2"/>
          <w:w w:val="95"/>
        </w:rPr>
        <w:t>violenta:</w:t>
      </w:r>
    </w:p>
    <w:p>
      <w:pPr>
        <w:spacing w:after="0" w:line="244" w:lineRule="auto"/>
        <w:jc w:val="both"/>
        <w:rPr>
          <w:rFonts w:ascii="Cambria" w:hAnsi="Cambria"/>
        </w:rPr>
        <w:sectPr>
          <w:headerReference w:type="default" r:id="rId664"/>
          <w:footerReference w:type="default" r:id="rId665"/>
          <w:pgSz w:w="7830" w:h="11910"/>
          <w:pgMar w:header="0" w:footer="424" w:top="500" w:bottom="620" w:left="880" w:right="900"/>
          <w:pgNumType w:start="297"/>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rPr>
          <w:sz w:val="16"/>
        </w:rPr>
      </w:pPr>
    </w:p>
    <w:p>
      <w:pPr>
        <w:pStyle w:val="BodyText"/>
        <w:spacing w:before="8"/>
        <w:rPr>
          <w:sz w:val="13"/>
        </w:rPr>
      </w:pPr>
    </w:p>
    <w:p>
      <w:pPr>
        <w:pStyle w:val="BodyText"/>
        <w:ind w:left="462" w:right="104"/>
      </w:pPr>
      <w:r>
        <w:rPr>
          <w:rFonts w:ascii="Wingdings" w:hAnsi="Wingdings"/>
          <w:color w:val="231F20"/>
          <w:w w:val="90"/>
        </w:rPr>
        <w:t></w:t>
      </w:r>
      <w:r>
        <w:rPr>
          <w:color w:val="231F20"/>
          <w:w w:val="90"/>
        </w:rPr>
        <w:t>   </w:t>
      </w:r>
      <w:r>
        <w:rPr>
          <w:color w:val="231F20"/>
          <w:w w:val="95"/>
        </w:rPr>
        <w:t>Inconformista</w:t>
      </w:r>
    </w:p>
    <w:p>
      <w:pPr>
        <w:pStyle w:val="BodyText"/>
        <w:spacing w:before="8"/>
        <w:ind w:left="462" w:right="104"/>
      </w:pPr>
      <w:r>
        <w:rPr>
          <w:rFonts w:ascii="Wingdings" w:hAnsi="Wingdings"/>
          <w:color w:val="231F20"/>
          <w:w w:val="90"/>
        </w:rPr>
        <w:t></w:t>
      </w:r>
      <w:r>
        <w:rPr>
          <w:color w:val="231F20"/>
          <w:w w:val="90"/>
        </w:rPr>
        <w:t>  Infeliz</w:t>
      </w:r>
    </w:p>
    <w:p>
      <w:pPr>
        <w:pStyle w:val="BodyText"/>
        <w:spacing w:before="8"/>
        <w:ind w:left="462" w:right="104"/>
      </w:pPr>
      <w:r>
        <w:rPr>
          <w:rFonts w:ascii="Wingdings" w:hAnsi="Wingdings"/>
          <w:color w:val="231F20"/>
          <w:w w:val="90"/>
        </w:rPr>
        <w:t></w:t>
      </w:r>
      <w:r>
        <w:rPr>
          <w:color w:val="231F20"/>
          <w:w w:val="90"/>
        </w:rPr>
        <w:t>  </w:t>
      </w:r>
      <w:r>
        <w:rPr>
          <w:color w:val="231F20"/>
          <w:w w:val="95"/>
        </w:rPr>
        <w:t>Enfermo</w:t>
      </w:r>
    </w:p>
    <w:p>
      <w:pPr>
        <w:pStyle w:val="BodyText"/>
        <w:spacing w:before="8"/>
        <w:ind w:left="462" w:right="104"/>
      </w:pPr>
      <w:r>
        <w:rPr>
          <w:rFonts w:ascii="Wingdings" w:hAnsi="Wingdings"/>
          <w:color w:val="231F20"/>
          <w:w w:val="90"/>
        </w:rPr>
        <w:t></w:t>
      </w:r>
      <w:r>
        <w:rPr>
          <w:color w:val="231F20"/>
          <w:w w:val="90"/>
        </w:rPr>
        <w:t>   Divertido</w:t>
      </w:r>
    </w:p>
    <w:p>
      <w:pPr>
        <w:pStyle w:val="BodyText"/>
        <w:spacing w:before="13"/>
        <w:ind w:left="462" w:right="104"/>
      </w:pPr>
      <w:r>
        <w:rPr>
          <w:rFonts w:ascii="Wingdings" w:hAnsi="Wingdings"/>
          <w:color w:val="231F20"/>
          <w:w w:val="90"/>
        </w:rPr>
        <w:t></w:t>
      </w:r>
      <w:r>
        <w:rPr>
          <w:color w:val="231F20"/>
          <w:w w:val="90"/>
        </w:rPr>
        <w:t>   Marginado</w:t>
      </w:r>
    </w:p>
    <w:p>
      <w:pPr>
        <w:pStyle w:val="BodyText"/>
        <w:spacing w:before="8"/>
        <w:ind w:left="462" w:right="104"/>
      </w:pPr>
      <w:r>
        <w:rPr>
          <w:rFonts w:ascii="Wingdings" w:hAnsi="Wingdings"/>
          <w:color w:val="231F20"/>
          <w:w w:val="90"/>
        </w:rPr>
        <w:t></w:t>
      </w:r>
      <w:r>
        <w:rPr>
          <w:color w:val="231F20"/>
          <w:w w:val="90"/>
        </w:rPr>
        <w:t>  </w:t>
      </w:r>
      <w:r>
        <w:rPr>
          <w:color w:val="231F20"/>
          <w:w w:val="95"/>
        </w:rPr>
        <w:t>Moderno</w:t>
      </w:r>
    </w:p>
    <w:p>
      <w:pPr>
        <w:pStyle w:val="BodyText"/>
        <w:spacing w:before="8"/>
        <w:ind w:left="462" w:right="104"/>
      </w:pPr>
      <w:r>
        <w:rPr>
          <w:rFonts w:ascii="Wingdings" w:hAnsi="Wingdings"/>
          <w:color w:val="231F20"/>
          <w:w w:val="90"/>
        </w:rPr>
        <w:t></w:t>
      </w:r>
      <w:r>
        <w:rPr>
          <w:color w:val="231F20"/>
          <w:w w:val="90"/>
        </w:rPr>
        <w:t>  Valiente</w:t>
      </w:r>
    </w:p>
    <w:p>
      <w:pPr>
        <w:pStyle w:val="BodyText"/>
        <w:spacing w:before="8"/>
        <w:ind w:left="462" w:right="104"/>
      </w:pPr>
      <w:r>
        <w:rPr>
          <w:rFonts w:ascii="Wingdings" w:hAnsi="Wingdings"/>
          <w:color w:val="231F20"/>
          <w:w w:val="90"/>
        </w:rPr>
        <w:t></w:t>
      </w:r>
      <w:r>
        <w:rPr>
          <w:color w:val="231F20"/>
          <w:w w:val="90"/>
        </w:rPr>
        <w:t>  Víctima</w:t>
      </w:r>
    </w:p>
    <w:p>
      <w:pPr>
        <w:pStyle w:val="BodyText"/>
        <w:spacing w:before="8"/>
        <w:ind w:left="462" w:right="104"/>
      </w:pPr>
      <w:r>
        <w:rPr>
          <w:rFonts w:ascii="Wingdings" w:hAnsi="Wingdings"/>
          <w:color w:val="231F20"/>
          <w:w w:val="90"/>
        </w:rPr>
        <w:t></w:t>
      </w:r>
      <w:r>
        <w:rPr>
          <w:color w:val="231F20"/>
          <w:w w:val="90"/>
        </w:rPr>
        <w:t>  Liberado</w:t>
      </w:r>
    </w:p>
    <w:p>
      <w:pPr>
        <w:pStyle w:val="BodyText"/>
        <w:spacing w:before="8"/>
        <w:ind w:left="462" w:right="104"/>
      </w:pPr>
      <w:r>
        <w:rPr>
          <w:rFonts w:ascii="Wingdings" w:hAnsi="Wingdings"/>
          <w:color w:val="231F20"/>
          <w:w w:val="90"/>
        </w:rPr>
        <w:t></w:t>
      </w:r>
      <w:r>
        <w:rPr>
          <w:color w:val="231F20"/>
          <w:w w:val="90"/>
        </w:rPr>
        <w:t>   Delincuente</w:t>
      </w:r>
    </w:p>
    <w:p>
      <w:pPr>
        <w:pStyle w:val="BodyText"/>
        <w:spacing w:before="4"/>
        <w:rPr>
          <w:sz w:val="22"/>
        </w:rPr>
      </w:pPr>
    </w:p>
    <w:p>
      <w:pPr>
        <w:pStyle w:val="BodyText"/>
        <w:spacing w:line="249" w:lineRule="auto" w:before="1"/>
        <w:ind w:left="101" w:right="107" w:firstLine="284"/>
        <w:jc w:val="both"/>
      </w:pPr>
      <w:r>
        <w:rPr>
          <w:color w:val="231F20"/>
          <w:spacing w:val="4"/>
        </w:rPr>
        <w:t>Finalmente, </w:t>
      </w:r>
      <w:r>
        <w:rPr>
          <w:color w:val="231F20"/>
        </w:rPr>
        <w:t>y </w:t>
      </w:r>
      <w:r>
        <w:rPr>
          <w:color w:val="231F20"/>
          <w:spacing w:val="2"/>
        </w:rPr>
        <w:t>de </w:t>
      </w:r>
      <w:r>
        <w:rPr>
          <w:color w:val="231F20"/>
          <w:spacing w:val="4"/>
        </w:rPr>
        <w:t>acuerdo </w:t>
      </w:r>
      <w:r>
        <w:rPr>
          <w:color w:val="231F20"/>
          <w:spacing w:val="3"/>
        </w:rPr>
        <w:t>con los </w:t>
      </w:r>
      <w:r>
        <w:rPr>
          <w:color w:val="231F20"/>
          <w:spacing w:val="4"/>
        </w:rPr>
        <w:t>mismos autores Larrañaga </w:t>
      </w:r>
      <w:r>
        <w:rPr>
          <w:color w:val="231F20"/>
          <w:sz w:val="20"/>
        </w:rPr>
        <w:t>y </w:t>
      </w:r>
      <w:r>
        <w:rPr>
          <w:color w:val="231F20"/>
          <w:spacing w:val="4"/>
          <w:sz w:val="20"/>
        </w:rPr>
        <w:t>Yubero </w:t>
      </w:r>
      <w:r>
        <w:rPr>
          <w:color w:val="231F20"/>
          <w:spacing w:val="4"/>
        </w:rPr>
        <w:t>(2002), </w:t>
      </w:r>
      <w:r>
        <w:rPr>
          <w:color w:val="231F20"/>
        </w:rPr>
        <w:t>la </w:t>
      </w:r>
      <w:r>
        <w:rPr>
          <w:color w:val="231F20"/>
          <w:spacing w:val="4"/>
        </w:rPr>
        <w:t>actitud implica </w:t>
      </w:r>
      <w:r>
        <w:rPr>
          <w:color w:val="231F20"/>
          <w:spacing w:val="3"/>
        </w:rPr>
        <w:t>una </w:t>
      </w:r>
      <w:r>
        <w:rPr>
          <w:color w:val="231F20"/>
          <w:spacing w:val="4"/>
        </w:rPr>
        <w:t>asociación entre </w:t>
      </w:r>
      <w:r>
        <w:rPr>
          <w:color w:val="231F20"/>
          <w:spacing w:val="2"/>
        </w:rPr>
        <w:t>un </w:t>
      </w:r>
      <w:r>
        <w:rPr>
          <w:color w:val="231F20"/>
          <w:spacing w:val="4"/>
        </w:rPr>
        <w:t>objeto social </w:t>
      </w:r>
      <w:r>
        <w:rPr>
          <w:color w:val="231F20"/>
        </w:rPr>
        <w:t>y </w:t>
      </w:r>
      <w:r>
        <w:rPr>
          <w:color w:val="231F20"/>
          <w:spacing w:val="3"/>
        </w:rPr>
        <w:t>una </w:t>
      </w:r>
      <w:r>
        <w:rPr>
          <w:color w:val="231F20"/>
          <w:spacing w:val="4"/>
        </w:rPr>
        <w:t>evaluación determinada, </w:t>
      </w:r>
      <w:r>
        <w:rPr>
          <w:color w:val="231F20"/>
          <w:spacing w:val="3"/>
        </w:rPr>
        <w:t>esta </w:t>
      </w:r>
      <w:r>
        <w:rPr>
          <w:color w:val="231F20"/>
          <w:spacing w:val="2"/>
        </w:rPr>
        <w:t>se  </w:t>
      </w:r>
      <w:r>
        <w:rPr>
          <w:color w:val="231F20"/>
          <w:spacing w:val="4"/>
        </w:rPr>
        <w:t>analiza </w:t>
      </w:r>
      <w:r>
        <w:rPr>
          <w:color w:val="231F20"/>
          <w:spacing w:val="2"/>
        </w:rPr>
        <w:t>en  </w:t>
      </w:r>
      <w:r>
        <w:rPr>
          <w:color w:val="231F20"/>
          <w:spacing w:val="4"/>
        </w:rPr>
        <w:t>función </w:t>
      </w:r>
      <w:r>
        <w:rPr>
          <w:color w:val="231F20"/>
          <w:spacing w:val="3"/>
        </w:rPr>
        <w:t>de sus tres </w:t>
      </w:r>
      <w:r>
        <w:rPr>
          <w:color w:val="231F20"/>
          <w:spacing w:val="4"/>
        </w:rPr>
        <w:t>componentes: cognitivo, afectivo </w:t>
      </w:r>
      <w:r>
        <w:rPr>
          <w:color w:val="231F20"/>
        </w:rPr>
        <w:t>y </w:t>
      </w:r>
      <w:r>
        <w:rPr>
          <w:color w:val="231F20"/>
          <w:spacing w:val="4"/>
        </w:rPr>
        <w:t>conductual. </w:t>
      </w:r>
      <w:r>
        <w:rPr>
          <w:color w:val="231F20"/>
          <w:spacing w:val="3"/>
        </w:rPr>
        <w:t>El </w:t>
      </w:r>
      <w:r>
        <w:rPr>
          <w:color w:val="231F20"/>
          <w:spacing w:val="4"/>
        </w:rPr>
        <w:t>último </w:t>
      </w:r>
      <w:r>
        <w:rPr>
          <w:color w:val="231F20"/>
          <w:spacing w:val="3"/>
        </w:rPr>
        <w:t>de ellos </w:t>
      </w:r>
      <w:r>
        <w:rPr>
          <w:color w:val="231F20"/>
          <w:spacing w:val="2"/>
        </w:rPr>
        <w:t>es </w:t>
      </w:r>
      <w:r>
        <w:rPr>
          <w:color w:val="231F20"/>
        </w:rPr>
        <w:t>la </w:t>
      </w:r>
      <w:r>
        <w:rPr>
          <w:color w:val="231F20"/>
          <w:spacing w:val="4"/>
        </w:rPr>
        <w:t>tendencia, disposición </w:t>
      </w:r>
      <w:r>
        <w:rPr>
          <w:color w:val="231F20"/>
        </w:rPr>
        <w:t>e </w:t>
      </w:r>
      <w:r>
        <w:rPr>
          <w:color w:val="231F20"/>
          <w:spacing w:val="4"/>
        </w:rPr>
        <w:t>intención </w:t>
      </w:r>
      <w:r>
        <w:rPr>
          <w:color w:val="231F20"/>
          <w:spacing w:val="3"/>
        </w:rPr>
        <w:t>de </w:t>
      </w:r>
      <w:r>
        <w:rPr>
          <w:color w:val="231F20"/>
          <w:spacing w:val="6"/>
        </w:rPr>
        <w:t>con- </w:t>
      </w:r>
      <w:r>
        <w:rPr>
          <w:color w:val="231F20"/>
          <w:spacing w:val="4"/>
        </w:rPr>
        <w:t>ducta hacia </w:t>
      </w:r>
      <w:r>
        <w:rPr>
          <w:color w:val="231F20"/>
          <w:spacing w:val="3"/>
        </w:rPr>
        <w:t>un </w:t>
      </w:r>
      <w:r>
        <w:rPr>
          <w:color w:val="231F20"/>
          <w:spacing w:val="4"/>
        </w:rPr>
        <w:t>objeto, por ejemplo, </w:t>
      </w:r>
      <w:r>
        <w:rPr>
          <w:color w:val="231F20"/>
          <w:spacing w:val="2"/>
        </w:rPr>
        <w:t>si se </w:t>
      </w:r>
      <w:r>
        <w:rPr>
          <w:color w:val="231F20"/>
          <w:spacing w:val="3"/>
        </w:rPr>
        <w:t>les </w:t>
      </w:r>
      <w:r>
        <w:rPr>
          <w:color w:val="231F20"/>
          <w:spacing w:val="4"/>
        </w:rPr>
        <w:t>pregunta </w:t>
      </w:r>
      <w:r>
        <w:rPr>
          <w:color w:val="231F20"/>
        </w:rPr>
        <w:t>a </w:t>
      </w:r>
      <w:r>
        <w:rPr>
          <w:color w:val="231F20"/>
          <w:spacing w:val="3"/>
        </w:rPr>
        <w:t>los </w:t>
      </w:r>
      <w:r>
        <w:rPr>
          <w:color w:val="231F20"/>
          <w:spacing w:val="4"/>
        </w:rPr>
        <w:t>estu- diantes sobre </w:t>
      </w:r>
      <w:r>
        <w:rPr>
          <w:color w:val="231F20"/>
        </w:rPr>
        <w:t>la </w:t>
      </w:r>
      <w:r>
        <w:rPr>
          <w:color w:val="231F20"/>
          <w:spacing w:val="4"/>
        </w:rPr>
        <w:t>conducta </w:t>
      </w:r>
      <w:r>
        <w:rPr>
          <w:color w:val="231F20"/>
          <w:spacing w:val="3"/>
        </w:rPr>
        <w:t>que les </w:t>
      </w:r>
      <w:r>
        <w:rPr>
          <w:color w:val="231F20"/>
          <w:spacing w:val="4"/>
        </w:rPr>
        <w:t>disgustaríarealizar </w:t>
      </w:r>
      <w:r>
        <w:rPr>
          <w:color w:val="231F20"/>
          <w:spacing w:val="3"/>
        </w:rPr>
        <w:t>con una </w:t>
      </w:r>
      <w:r>
        <w:rPr>
          <w:color w:val="231F20"/>
          <w:spacing w:val="4"/>
        </w:rPr>
        <w:t>persona violenta </w:t>
      </w:r>
      <w:r>
        <w:rPr>
          <w:color w:val="231F20"/>
          <w:spacing w:val="5"/>
        </w:rPr>
        <w:t>podríamos </w:t>
      </w:r>
      <w:r>
        <w:rPr>
          <w:color w:val="231F20"/>
          <w:spacing w:val="4"/>
        </w:rPr>
        <w:t>conocer </w:t>
      </w:r>
      <w:r>
        <w:rPr>
          <w:color w:val="231F20"/>
          <w:spacing w:val="3"/>
        </w:rPr>
        <w:t>qué </w:t>
      </w:r>
      <w:r>
        <w:rPr>
          <w:color w:val="231F20"/>
          <w:spacing w:val="4"/>
        </w:rPr>
        <w:t>conducta cognitiva </w:t>
      </w:r>
      <w:r>
        <w:rPr>
          <w:color w:val="231F20"/>
          <w:spacing w:val="5"/>
        </w:rPr>
        <w:t>los </w:t>
      </w:r>
      <w:r>
        <w:rPr>
          <w:color w:val="231F20"/>
          <w:spacing w:val="4"/>
        </w:rPr>
        <w:t>definiría. </w:t>
      </w:r>
      <w:r>
        <w:rPr>
          <w:color w:val="231F20"/>
          <w:spacing w:val="3"/>
        </w:rPr>
        <w:t>Por </w:t>
      </w:r>
      <w:r>
        <w:rPr>
          <w:color w:val="231F20"/>
          <w:spacing w:val="2"/>
        </w:rPr>
        <w:t>su </w:t>
      </w:r>
      <w:r>
        <w:rPr>
          <w:color w:val="231F20"/>
          <w:spacing w:val="4"/>
        </w:rPr>
        <w:t>parte, </w:t>
      </w:r>
      <w:r>
        <w:rPr>
          <w:color w:val="231F20"/>
        </w:rPr>
        <w:t>la </w:t>
      </w:r>
      <w:r>
        <w:rPr>
          <w:color w:val="231F20"/>
          <w:spacing w:val="4"/>
        </w:rPr>
        <w:t>actitud afectiva </w:t>
      </w:r>
      <w:r>
        <w:rPr>
          <w:color w:val="231F20"/>
          <w:spacing w:val="2"/>
        </w:rPr>
        <w:t>se </w:t>
      </w:r>
      <w:r>
        <w:rPr>
          <w:color w:val="231F20"/>
          <w:spacing w:val="4"/>
        </w:rPr>
        <w:t>constituye </w:t>
      </w:r>
      <w:r>
        <w:rPr>
          <w:color w:val="231F20"/>
          <w:spacing w:val="3"/>
        </w:rPr>
        <w:t>por los </w:t>
      </w:r>
      <w:r>
        <w:rPr>
          <w:color w:val="231F20"/>
          <w:spacing w:val="4"/>
        </w:rPr>
        <w:t>sentimientos </w:t>
      </w:r>
      <w:r>
        <w:rPr>
          <w:color w:val="231F20"/>
          <w:spacing w:val="3"/>
        </w:rPr>
        <w:t>que </w:t>
      </w:r>
      <w:r>
        <w:rPr>
          <w:color w:val="231F20"/>
          <w:spacing w:val="2"/>
        </w:rPr>
        <w:t>un </w:t>
      </w:r>
      <w:r>
        <w:rPr>
          <w:color w:val="231F20"/>
          <w:spacing w:val="4"/>
        </w:rPr>
        <w:t>objeto despierta, </w:t>
      </w:r>
      <w:r>
        <w:rPr>
          <w:color w:val="231F20"/>
        </w:rPr>
        <w:t>y </w:t>
      </w:r>
      <w:r>
        <w:rPr>
          <w:color w:val="231F20"/>
          <w:spacing w:val="4"/>
        </w:rPr>
        <w:t>estos podrían </w:t>
      </w:r>
      <w:r>
        <w:rPr>
          <w:color w:val="231F20"/>
          <w:spacing w:val="3"/>
        </w:rPr>
        <w:t>ser </w:t>
      </w:r>
      <w:r>
        <w:rPr>
          <w:color w:val="231F20"/>
          <w:spacing w:val="2"/>
        </w:rPr>
        <w:t>el </w:t>
      </w:r>
      <w:r>
        <w:rPr>
          <w:color w:val="231F20"/>
          <w:spacing w:val="5"/>
        </w:rPr>
        <w:t>mie- </w:t>
      </w:r>
      <w:r>
        <w:rPr>
          <w:color w:val="231F20"/>
          <w:spacing w:val="3"/>
        </w:rPr>
        <w:t>do, </w:t>
      </w:r>
      <w:r>
        <w:rPr>
          <w:color w:val="231F20"/>
          <w:spacing w:val="2"/>
        </w:rPr>
        <w:t>el </w:t>
      </w:r>
      <w:r>
        <w:rPr>
          <w:color w:val="231F20"/>
          <w:spacing w:val="4"/>
        </w:rPr>
        <w:t>rechazo, </w:t>
      </w:r>
      <w:r>
        <w:rPr>
          <w:color w:val="231F20"/>
        </w:rPr>
        <w:t>la </w:t>
      </w:r>
      <w:r>
        <w:rPr>
          <w:color w:val="231F20"/>
          <w:spacing w:val="4"/>
        </w:rPr>
        <w:t>ayuda, </w:t>
      </w:r>
      <w:r>
        <w:rPr>
          <w:color w:val="231F20"/>
        </w:rPr>
        <w:t>la </w:t>
      </w:r>
      <w:r>
        <w:rPr>
          <w:color w:val="231F20"/>
          <w:spacing w:val="4"/>
        </w:rPr>
        <w:t>indiferencia, </w:t>
      </w:r>
      <w:r>
        <w:rPr>
          <w:color w:val="231F20"/>
        </w:rPr>
        <w:t>la </w:t>
      </w:r>
      <w:r>
        <w:rPr>
          <w:color w:val="231F20"/>
          <w:spacing w:val="4"/>
        </w:rPr>
        <w:t>lástima, </w:t>
      </w:r>
      <w:r>
        <w:rPr>
          <w:color w:val="231F20"/>
        </w:rPr>
        <w:t>la </w:t>
      </w:r>
      <w:r>
        <w:rPr>
          <w:color w:val="231F20"/>
          <w:spacing w:val="4"/>
        </w:rPr>
        <w:t>compasión, incluso podría generar rabia, malestar </w:t>
      </w:r>
      <w:r>
        <w:rPr>
          <w:color w:val="231F20"/>
        </w:rPr>
        <w:t>u </w:t>
      </w:r>
      <w:r>
        <w:rPr>
          <w:color w:val="231F20"/>
          <w:spacing w:val="4"/>
        </w:rPr>
        <w:t>otra respuesta agresiva.  </w:t>
      </w:r>
      <w:r>
        <w:rPr>
          <w:color w:val="231F20"/>
          <w:spacing w:val="3"/>
        </w:rPr>
        <w:t>El </w:t>
      </w:r>
      <w:r>
        <w:rPr>
          <w:color w:val="231F20"/>
          <w:spacing w:val="4"/>
        </w:rPr>
        <w:t>componente cognitivo actitudinal representa </w:t>
      </w:r>
      <w:r>
        <w:rPr>
          <w:color w:val="231F20"/>
          <w:spacing w:val="3"/>
        </w:rPr>
        <w:t>las </w:t>
      </w:r>
      <w:r>
        <w:rPr>
          <w:color w:val="231F20"/>
          <w:spacing w:val="4"/>
        </w:rPr>
        <w:t>ideas </w:t>
      </w:r>
      <w:r>
        <w:rPr>
          <w:color w:val="231F20"/>
          <w:spacing w:val="3"/>
        </w:rPr>
        <w:t>de </w:t>
      </w:r>
      <w:r>
        <w:rPr>
          <w:color w:val="231F20"/>
        </w:rPr>
        <w:t>la </w:t>
      </w:r>
      <w:r>
        <w:rPr>
          <w:color w:val="231F20"/>
          <w:spacing w:val="4"/>
        </w:rPr>
        <w:t>persona sobre </w:t>
      </w:r>
      <w:r>
        <w:rPr>
          <w:color w:val="231F20"/>
          <w:spacing w:val="2"/>
        </w:rPr>
        <w:t>el </w:t>
      </w:r>
      <w:r>
        <w:rPr>
          <w:color w:val="231F20"/>
          <w:spacing w:val="4"/>
        </w:rPr>
        <w:t>objeto </w:t>
      </w:r>
      <w:r>
        <w:rPr>
          <w:color w:val="231F20"/>
          <w:spacing w:val="3"/>
        </w:rPr>
        <w:t>de </w:t>
      </w:r>
      <w:r>
        <w:rPr>
          <w:color w:val="231F20"/>
          <w:spacing w:val="2"/>
        </w:rPr>
        <w:t>la </w:t>
      </w:r>
      <w:r>
        <w:rPr>
          <w:color w:val="231F20"/>
          <w:spacing w:val="4"/>
        </w:rPr>
        <w:t>actitud misma, podría considerarse  </w:t>
      </w:r>
      <w:r>
        <w:rPr>
          <w:color w:val="231F20"/>
          <w:spacing w:val="2"/>
        </w:rPr>
        <w:t>en </w:t>
      </w:r>
      <w:r>
        <w:rPr>
          <w:color w:val="231F20"/>
          <w:spacing w:val="3"/>
        </w:rPr>
        <w:t>este </w:t>
      </w:r>
      <w:r>
        <w:rPr>
          <w:color w:val="231F20"/>
          <w:spacing w:val="2"/>
        </w:rPr>
        <w:t>si </w:t>
      </w:r>
      <w:r>
        <w:rPr>
          <w:color w:val="231F20"/>
          <w:spacing w:val="3"/>
        </w:rPr>
        <w:t>los </w:t>
      </w:r>
      <w:r>
        <w:rPr>
          <w:color w:val="231F20"/>
          <w:spacing w:val="4"/>
        </w:rPr>
        <w:t>estudiantes universitarios concluyen </w:t>
      </w:r>
      <w:r>
        <w:rPr>
          <w:color w:val="231F20"/>
          <w:spacing w:val="3"/>
        </w:rPr>
        <w:t>que las </w:t>
      </w:r>
      <w:r>
        <w:rPr>
          <w:color w:val="231F20"/>
          <w:spacing w:val="5"/>
        </w:rPr>
        <w:t>perso- </w:t>
      </w:r>
      <w:r>
        <w:rPr>
          <w:color w:val="231F20"/>
          <w:spacing w:val="3"/>
        </w:rPr>
        <w:t>nas </w:t>
      </w:r>
      <w:r>
        <w:rPr>
          <w:color w:val="231F20"/>
          <w:spacing w:val="4"/>
        </w:rPr>
        <w:t>violentas </w:t>
      </w:r>
      <w:r>
        <w:rPr>
          <w:color w:val="231F20"/>
          <w:spacing w:val="2"/>
        </w:rPr>
        <w:t>se </w:t>
      </w:r>
      <w:r>
        <w:rPr>
          <w:color w:val="231F20"/>
          <w:spacing w:val="4"/>
        </w:rPr>
        <w:t>presentan</w:t>
      </w:r>
      <w:r>
        <w:rPr>
          <w:color w:val="231F20"/>
          <w:spacing w:val="35"/>
        </w:rPr>
        <w:t> </w:t>
      </w:r>
      <w:r>
        <w:rPr>
          <w:color w:val="231F20"/>
          <w:spacing w:val="4"/>
        </w:rPr>
        <w:t>como:</w:t>
      </w:r>
    </w:p>
    <w:p>
      <w:pPr>
        <w:pStyle w:val="BodyText"/>
        <w:spacing w:before="8"/>
        <w:rPr>
          <w:sz w:val="20"/>
        </w:rPr>
      </w:pPr>
    </w:p>
    <w:p>
      <w:pPr>
        <w:pStyle w:val="ListParagraph"/>
        <w:numPr>
          <w:ilvl w:val="1"/>
          <w:numId w:val="16"/>
        </w:numPr>
        <w:tabs>
          <w:tab w:pos="821" w:val="left" w:leader="none"/>
          <w:tab w:pos="822" w:val="left" w:leader="none"/>
        </w:tabs>
        <w:spacing w:line="253" w:lineRule="exact" w:before="0" w:after="0"/>
        <w:ind w:left="821" w:right="0" w:hanging="359"/>
        <w:jc w:val="left"/>
        <w:rPr>
          <w:sz w:val="21"/>
        </w:rPr>
      </w:pPr>
      <w:r>
        <w:rPr>
          <w:color w:val="231F20"/>
          <w:sz w:val="21"/>
        </w:rPr>
        <w:t>Víctimas de</w:t>
      </w:r>
      <w:r>
        <w:rPr>
          <w:color w:val="231F20"/>
          <w:spacing w:val="-20"/>
          <w:sz w:val="21"/>
        </w:rPr>
        <w:t> </w:t>
      </w:r>
      <w:r>
        <w:rPr>
          <w:color w:val="231F20"/>
          <w:sz w:val="21"/>
        </w:rPr>
        <w:t>situaciones</w:t>
      </w:r>
    </w:p>
    <w:p>
      <w:pPr>
        <w:pStyle w:val="ListParagraph"/>
        <w:numPr>
          <w:ilvl w:val="1"/>
          <w:numId w:val="16"/>
        </w:numPr>
        <w:tabs>
          <w:tab w:pos="821" w:val="left" w:leader="none"/>
          <w:tab w:pos="822" w:val="left" w:leader="none"/>
        </w:tabs>
        <w:spacing w:line="250" w:lineRule="exact" w:before="0" w:after="0"/>
        <w:ind w:left="821" w:right="0" w:hanging="359"/>
        <w:jc w:val="left"/>
        <w:rPr>
          <w:sz w:val="21"/>
        </w:rPr>
      </w:pPr>
      <w:r>
        <w:rPr>
          <w:color w:val="231F20"/>
          <w:sz w:val="21"/>
        </w:rPr>
        <w:t>Asociales</w:t>
      </w:r>
    </w:p>
    <w:p>
      <w:pPr>
        <w:pStyle w:val="ListParagraph"/>
        <w:numPr>
          <w:ilvl w:val="1"/>
          <w:numId w:val="16"/>
        </w:numPr>
        <w:tabs>
          <w:tab w:pos="821" w:val="left" w:leader="none"/>
          <w:tab w:pos="822" w:val="left" w:leader="none"/>
        </w:tabs>
        <w:spacing w:line="250" w:lineRule="exact" w:before="0" w:after="0"/>
        <w:ind w:left="821" w:right="0" w:hanging="360"/>
        <w:jc w:val="left"/>
        <w:rPr>
          <w:sz w:val="21"/>
        </w:rPr>
      </w:pPr>
      <w:r>
        <w:rPr>
          <w:color w:val="231F20"/>
          <w:sz w:val="21"/>
        </w:rPr>
        <w:t>Víctimas de una</w:t>
      </w:r>
      <w:r>
        <w:rPr>
          <w:color w:val="231F20"/>
          <w:spacing w:val="9"/>
          <w:sz w:val="21"/>
        </w:rPr>
        <w:t> </w:t>
      </w:r>
      <w:r>
        <w:rPr>
          <w:color w:val="231F20"/>
          <w:sz w:val="21"/>
        </w:rPr>
        <w:t>enfermedad</w:t>
      </w:r>
    </w:p>
    <w:p>
      <w:pPr>
        <w:pStyle w:val="ListParagraph"/>
        <w:numPr>
          <w:ilvl w:val="1"/>
          <w:numId w:val="16"/>
        </w:numPr>
        <w:tabs>
          <w:tab w:pos="821" w:val="left" w:leader="none"/>
          <w:tab w:pos="822" w:val="left" w:leader="none"/>
        </w:tabs>
        <w:spacing w:line="250" w:lineRule="exact" w:before="0" w:after="0"/>
        <w:ind w:left="821" w:right="0" w:hanging="360"/>
        <w:jc w:val="left"/>
        <w:rPr>
          <w:sz w:val="21"/>
        </w:rPr>
      </w:pPr>
      <w:r>
        <w:rPr>
          <w:color w:val="231F20"/>
          <w:sz w:val="21"/>
        </w:rPr>
        <w:t>Delincuentes</w:t>
      </w:r>
    </w:p>
    <w:p>
      <w:pPr>
        <w:pStyle w:val="ListParagraph"/>
        <w:numPr>
          <w:ilvl w:val="1"/>
          <w:numId w:val="16"/>
        </w:numPr>
        <w:tabs>
          <w:tab w:pos="821" w:val="left" w:leader="none"/>
          <w:tab w:pos="822" w:val="left" w:leader="none"/>
        </w:tabs>
        <w:spacing w:line="253" w:lineRule="exact" w:before="0" w:after="0"/>
        <w:ind w:left="821" w:right="0" w:hanging="360"/>
        <w:jc w:val="left"/>
        <w:rPr>
          <w:sz w:val="21"/>
        </w:rPr>
      </w:pPr>
      <w:r>
        <w:rPr>
          <w:color w:val="231F20"/>
          <w:sz w:val="21"/>
        </w:rPr>
        <w:t>Personas corrientes que tienen ese</w:t>
      </w:r>
      <w:r>
        <w:rPr>
          <w:color w:val="231F20"/>
          <w:spacing w:val="49"/>
          <w:sz w:val="21"/>
        </w:rPr>
        <w:t> </w:t>
      </w:r>
      <w:r>
        <w:rPr>
          <w:color w:val="231F20"/>
          <w:sz w:val="21"/>
        </w:rPr>
        <w:t>problema</w:t>
      </w:r>
    </w:p>
    <w:p>
      <w:pPr>
        <w:pStyle w:val="BodyText"/>
        <w:spacing w:before="9"/>
        <w:rPr>
          <w:sz w:val="32"/>
        </w:rPr>
      </w:pPr>
    </w:p>
    <w:p>
      <w:pPr>
        <w:pStyle w:val="BodyText"/>
        <w:spacing w:line="247" w:lineRule="auto"/>
        <w:ind w:left="101" w:right="108" w:firstLine="284"/>
        <w:jc w:val="both"/>
      </w:pPr>
      <w:r>
        <w:rPr>
          <w:color w:val="231F20"/>
        </w:rPr>
        <w:t>Otras formas de expresión de violencia por parte de los estu- diantes son los grupos de trabajo o las representaciones estudianti- les,  las  marchas  estudiantiles,  escribir  mensajes  en  las paredes,</w:t>
      </w:r>
    </w:p>
    <w:p>
      <w:pPr>
        <w:spacing w:after="0" w:line="247" w:lineRule="auto"/>
        <w:jc w:val="both"/>
        <w:sectPr>
          <w:headerReference w:type="default" r:id="rId666"/>
          <w:footerReference w:type="default" r:id="rId667"/>
          <w:pgSz w:w="7830" w:h="11910"/>
          <w:pgMar w:header="0" w:footer="424" w:top="500" w:bottom="620" w:left="920" w:right="880"/>
          <w:pgNumType w:start="298"/>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13" w:right="116"/>
        <w:jc w:val="both"/>
      </w:pPr>
      <w:r>
        <w:rPr>
          <w:color w:val="231F20"/>
          <w:spacing w:val="2"/>
        </w:rPr>
        <w:t>gritar frente </w:t>
      </w:r>
      <w:r>
        <w:rPr>
          <w:color w:val="231F20"/>
        </w:rPr>
        <w:t>a las </w:t>
      </w:r>
      <w:r>
        <w:rPr>
          <w:color w:val="231F20"/>
          <w:spacing w:val="2"/>
        </w:rPr>
        <w:t>oficinas </w:t>
      </w:r>
      <w:r>
        <w:rPr>
          <w:color w:val="231F20"/>
        </w:rPr>
        <w:t>de las </w:t>
      </w:r>
      <w:r>
        <w:rPr>
          <w:color w:val="231F20"/>
          <w:spacing w:val="2"/>
        </w:rPr>
        <w:t>autoridades, </w:t>
      </w:r>
      <w:r>
        <w:rPr>
          <w:color w:val="231F20"/>
          <w:spacing w:val="3"/>
        </w:rPr>
        <w:t>amenazar </w:t>
      </w:r>
      <w:r>
        <w:rPr>
          <w:color w:val="231F20"/>
          <w:spacing w:val="2"/>
        </w:rPr>
        <w:t>con dañar </w:t>
      </w:r>
      <w:r>
        <w:rPr>
          <w:color w:val="231F20"/>
        </w:rPr>
        <w:t>a </w:t>
      </w:r>
      <w:r>
        <w:rPr>
          <w:color w:val="231F20"/>
          <w:spacing w:val="2"/>
        </w:rPr>
        <w:t>otros, </w:t>
      </w:r>
      <w:r>
        <w:rPr>
          <w:color w:val="231F20"/>
          <w:spacing w:val="3"/>
        </w:rPr>
        <w:t>romper </w:t>
      </w:r>
      <w:r>
        <w:rPr>
          <w:color w:val="231F20"/>
          <w:spacing w:val="2"/>
        </w:rPr>
        <w:t>vidrios </w:t>
      </w:r>
      <w:r>
        <w:rPr>
          <w:color w:val="231F20"/>
        </w:rPr>
        <w:t>en la </w:t>
      </w:r>
      <w:r>
        <w:rPr>
          <w:color w:val="231F20"/>
          <w:spacing w:val="2"/>
        </w:rPr>
        <w:t>universidad, dañar sillas, equipamiento </w:t>
      </w:r>
      <w:r>
        <w:rPr>
          <w:color w:val="231F20"/>
        </w:rPr>
        <w:t>o </w:t>
      </w:r>
      <w:r>
        <w:rPr>
          <w:color w:val="231F20"/>
          <w:spacing w:val="2"/>
        </w:rPr>
        <w:t>infraestructura, enfrentar </w:t>
      </w:r>
      <w:r>
        <w:rPr>
          <w:color w:val="231F20"/>
        </w:rPr>
        <w:t>a la </w:t>
      </w:r>
      <w:r>
        <w:rPr>
          <w:color w:val="231F20"/>
          <w:spacing w:val="2"/>
        </w:rPr>
        <w:t>policía con piedras, usar </w:t>
      </w:r>
      <w:r>
        <w:rPr>
          <w:color w:val="231F20"/>
        </w:rPr>
        <w:t>gas </w:t>
      </w:r>
      <w:r>
        <w:rPr>
          <w:color w:val="231F20"/>
          <w:spacing w:val="2"/>
        </w:rPr>
        <w:t>pi- mienta, prender fuego. Todas </w:t>
      </w:r>
      <w:r>
        <w:rPr>
          <w:color w:val="231F20"/>
        </w:rPr>
        <w:t>ellas son </w:t>
      </w:r>
      <w:r>
        <w:rPr>
          <w:color w:val="231F20"/>
          <w:spacing w:val="2"/>
        </w:rPr>
        <w:t>formas </w:t>
      </w:r>
      <w:r>
        <w:rPr>
          <w:color w:val="231F20"/>
        </w:rPr>
        <w:t>de </w:t>
      </w:r>
      <w:r>
        <w:rPr>
          <w:color w:val="231F20"/>
          <w:spacing w:val="2"/>
        </w:rPr>
        <w:t>expresar </w:t>
      </w:r>
      <w:r>
        <w:rPr>
          <w:color w:val="231F20"/>
        </w:rPr>
        <w:t>la </w:t>
      </w:r>
      <w:r>
        <w:rPr>
          <w:color w:val="231F20"/>
          <w:spacing w:val="4"/>
        </w:rPr>
        <w:t>in- </w:t>
      </w:r>
      <w:r>
        <w:rPr>
          <w:color w:val="231F20"/>
          <w:spacing w:val="3"/>
        </w:rPr>
        <w:t>conformidad, </w:t>
      </w:r>
      <w:r>
        <w:rPr>
          <w:color w:val="231F20"/>
          <w:spacing w:val="2"/>
        </w:rPr>
        <w:t>pues </w:t>
      </w:r>
      <w:r>
        <w:rPr>
          <w:color w:val="231F20"/>
        </w:rPr>
        <w:t>se </w:t>
      </w:r>
      <w:r>
        <w:rPr>
          <w:color w:val="231F20"/>
          <w:spacing w:val="2"/>
        </w:rPr>
        <w:t>cree </w:t>
      </w:r>
      <w:r>
        <w:rPr>
          <w:color w:val="231F20"/>
        </w:rPr>
        <w:t>que </w:t>
      </w:r>
      <w:r>
        <w:rPr>
          <w:color w:val="231F20"/>
          <w:spacing w:val="2"/>
        </w:rPr>
        <w:t>los </w:t>
      </w:r>
      <w:r>
        <w:rPr>
          <w:color w:val="231F20"/>
          <w:spacing w:val="3"/>
        </w:rPr>
        <w:t>hechos </w:t>
      </w:r>
      <w:r>
        <w:rPr>
          <w:color w:val="231F20"/>
          <w:spacing w:val="2"/>
        </w:rPr>
        <w:t>violentos tienen una</w:t>
      </w:r>
      <w:r>
        <w:rPr>
          <w:color w:val="231F20"/>
          <w:spacing w:val="56"/>
        </w:rPr>
        <w:t> </w:t>
      </w:r>
      <w:r>
        <w:rPr>
          <w:color w:val="231F20"/>
          <w:spacing w:val="3"/>
        </w:rPr>
        <w:t>mayor </w:t>
      </w:r>
      <w:r>
        <w:rPr>
          <w:color w:val="231F20"/>
          <w:spacing w:val="2"/>
        </w:rPr>
        <w:t>repercusión </w:t>
      </w:r>
      <w:r>
        <w:rPr>
          <w:color w:val="231F20"/>
        </w:rPr>
        <w:t>en las </w:t>
      </w:r>
      <w:r>
        <w:rPr>
          <w:color w:val="231F20"/>
          <w:spacing w:val="2"/>
        </w:rPr>
        <w:t>autoridades </w:t>
      </w:r>
      <w:r>
        <w:rPr>
          <w:color w:val="231F20"/>
        </w:rPr>
        <w:t>en la </w:t>
      </w:r>
      <w:r>
        <w:rPr>
          <w:color w:val="231F20"/>
          <w:spacing w:val="3"/>
        </w:rPr>
        <w:t>medida </w:t>
      </w:r>
      <w:r>
        <w:rPr>
          <w:color w:val="231F20"/>
        </w:rPr>
        <w:t>en </w:t>
      </w:r>
      <w:r>
        <w:rPr>
          <w:color w:val="231F20"/>
          <w:spacing w:val="2"/>
        </w:rPr>
        <w:t>que </w:t>
      </w:r>
      <w:r>
        <w:rPr>
          <w:color w:val="231F20"/>
        </w:rPr>
        <w:t>son </w:t>
      </w:r>
      <w:r>
        <w:rPr>
          <w:color w:val="231F20"/>
          <w:spacing w:val="3"/>
        </w:rPr>
        <w:t>más </w:t>
      </w:r>
      <w:r>
        <w:rPr>
          <w:color w:val="231F20"/>
          <w:spacing w:val="2"/>
        </w:rPr>
        <w:t>intensos </w:t>
      </w:r>
      <w:r>
        <w:rPr>
          <w:color w:val="231F20"/>
        </w:rPr>
        <w:t>o</w:t>
      </w:r>
      <w:r>
        <w:rPr>
          <w:color w:val="231F20"/>
          <w:spacing w:val="4"/>
        </w:rPr>
        <w:t> </w:t>
      </w:r>
      <w:r>
        <w:rPr>
          <w:color w:val="231F20"/>
          <w:spacing w:val="2"/>
        </w:rPr>
        <w:t>graves.</w:t>
      </w:r>
    </w:p>
    <w:p>
      <w:pPr>
        <w:pStyle w:val="BodyText"/>
        <w:spacing w:line="247" w:lineRule="auto"/>
        <w:ind w:left="113" w:right="237" w:firstLine="284"/>
      </w:pPr>
      <w:r>
        <w:rPr>
          <w:color w:val="231F20"/>
          <w:spacing w:val="2"/>
        </w:rPr>
        <w:t>De todo </w:t>
      </w:r>
      <w:r>
        <w:rPr>
          <w:color w:val="231F20"/>
        </w:rPr>
        <w:t>lo </w:t>
      </w:r>
      <w:r>
        <w:rPr>
          <w:color w:val="231F20"/>
          <w:spacing w:val="2"/>
        </w:rPr>
        <w:t>anterior </w:t>
      </w:r>
      <w:r>
        <w:rPr>
          <w:color w:val="231F20"/>
        </w:rPr>
        <w:t>se </w:t>
      </w:r>
      <w:r>
        <w:rPr>
          <w:color w:val="231F20"/>
          <w:spacing w:val="2"/>
        </w:rPr>
        <w:t>desprendió </w:t>
      </w:r>
      <w:r>
        <w:rPr>
          <w:color w:val="231F20"/>
        </w:rPr>
        <w:t>el </w:t>
      </w:r>
      <w:r>
        <w:rPr>
          <w:color w:val="231F20"/>
          <w:spacing w:val="2"/>
        </w:rPr>
        <w:t>realizar esta investigación   </w:t>
      </w:r>
      <w:r>
        <w:rPr>
          <w:color w:val="231F20"/>
        </w:rPr>
        <w:t>a </w:t>
      </w:r>
      <w:r>
        <w:rPr>
          <w:color w:val="231F20"/>
          <w:spacing w:val="2"/>
        </w:rPr>
        <w:t>partir </w:t>
      </w:r>
      <w:r>
        <w:rPr>
          <w:color w:val="231F20"/>
        </w:rPr>
        <w:t>de las </w:t>
      </w:r>
      <w:r>
        <w:rPr>
          <w:color w:val="231F20"/>
          <w:spacing w:val="2"/>
        </w:rPr>
        <w:t>siguientes preguntas </w:t>
      </w:r>
      <w:r>
        <w:rPr>
          <w:color w:val="231F20"/>
        </w:rPr>
        <w:t>y </w:t>
      </w:r>
      <w:r>
        <w:rPr>
          <w:color w:val="231F20"/>
          <w:spacing w:val="2"/>
        </w:rPr>
        <w:t>objetivos </w:t>
      </w:r>
      <w:r>
        <w:rPr>
          <w:color w:val="231F20"/>
        </w:rPr>
        <w:t>de</w:t>
      </w:r>
      <w:r>
        <w:rPr>
          <w:color w:val="231F20"/>
          <w:spacing w:val="-9"/>
        </w:rPr>
        <w:t> </w:t>
      </w:r>
      <w:r>
        <w:rPr>
          <w:color w:val="231F20"/>
          <w:spacing w:val="2"/>
        </w:rPr>
        <w:t>investigación:</w:t>
      </w:r>
    </w:p>
    <w:p>
      <w:pPr>
        <w:pStyle w:val="BodyText"/>
        <w:spacing w:before="9"/>
      </w:pPr>
    </w:p>
    <w:p>
      <w:pPr>
        <w:spacing w:before="0"/>
        <w:ind w:left="113" w:right="0" w:firstLine="0"/>
        <w:jc w:val="both"/>
        <w:rPr>
          <w:i/>
          <w:sz w:val="21"/>
        </w:rPr>
      </w:pPr>
      <w:r>
        <w:rPr>
          <w:i/>
          <w:color w:val="231F20"/>
          <w:w w:val="80"/>
          <w:sz w:val="21"/>
        </w:rPr>
        <w:t>Preguntas de investigación</w:t>
      </w:r>
    </w:p>
    <w:p>
      <w:pPr>
        <w:pStyle w:val="BodyText"/>
        <w:spacing w:before="1"/>
        <w:rPr>
          <w:i/>
        </w:rPr>
      </w:pPr>
    </w:p>
    <w:p>
      <w:pPr>
        <w:pStyle w:val="ListParagraph"/>
        <w:numPr>
          <w:ilvl w:val="1"/>
          <w:numId w:val="16"/>
        </w:numPr>
        <w:tabs>
          <w:tab w:pos="834" w:val="left" w:leader="none"/>
        </w:tabs>
        <w:spacing w:line="247" w:lineRule="auto" w:before="0" w:after="0"/>
        <w:ind w:left="833" w:right="118" w:hanging="360"/>
        <w:jc w:val="both"/>
        <w:rPr>
          <w:sz w:val="21"/>
        </w:rPr>
      </w:pPr>
      <w:r>
        <w:rPr>
          <w:color w:val="231F20"/>
          <w:sz w:val="21"/>
        </w:rPr>
        <w:t>¿Qué tan perceptivos son los estudiantes universitarios de   su propia violencia o de las de sus compañeros de</w:t>
      </w:r>
      <w:r>
        <w:rPr>
          <w:color w:val="231F20"/>
          <w:spacing w:val="-8"/>
          <w:sz w:val="21"/>
        </w:rPr>
        <w:t> </w:t>
      </w:r>
      <w:r>
        <w:rPr>
          <w:color w:val="231F20"/>
          <w:sz w:val="21"/>
        </w:rPr>
        <w:t>clases?</w:t>
      </w:r>
    </w:p>
    <w:p>
      <w:pPr>
        <w:pStyle w:val="ListParagraph"/>
        <w:numPr>
          <w:ilvl w:val="1"/>
          <w:numId w:val="16"/>
        </w:numPr>
        <w:tabs>
          <w:tab w:pos="833" w:val="left" w:leader="none"/>
          <w:tab w:pos="834" w:val="left" w:leader="none"/>
        </w:tabs>
        <w:spacing w:line="243" w:lineRule="exact" w:before="0" w:after="0"/>
        <w:ind w:left="833" w:right="0" w:hanging="360"/>
        <w:jc w:val="left"/>
        <w:rPr>
          <w:sz w:val="21"/>
        </w:rPr>
      </w:pPr>
      <w:r>
        <w:rPr>
          <w:color w:val="231F20"/>
          <w:sz w:val="21"/>
        </w:rPr>
        <w:t>¿Cuáles son las características que mejor representan a  </w:t>
      </w:r>
      <w:r>
        <w:rPr>
          <w:color w:val="231F20"/>
          <w:spacing w:val="1"/>
          <w:sz w:val="21"/>
        </w:rPr>
        <w:t> </w:t>
      </w:r>
      <w:r>
        <w:rPr>
          <w:color w:val="231F20"/>
          <w:sz w:val="21"/>
        </w:rPr>
        <w:t>una</w:t>
      </w:r>
    </w:p>
    <w:p>
      <w:pPr>
        <w:pStyle w:val="BodyText"/>
        <w:spacing w:line="238" w:lineRule="exact" w:before="7"/>
        <w:ind w:left="833" w:right="116"/>
      </w:pPr>
      <w:r>
        <w:rPr>
          <w:color w:val="231F20"/>
        </w:rPr>
        <w:t>persona violenta?, ¿cómo se le adjetiviza?</w:t>
      </w:r>
    </w:p>
    <w:p>
      <w:pPr>
        <w:pStyle w:val="ListParagraph"/>
        <w:numPr>
          <w:ilvl w:val="1"/>
          <w:numId w:val="16"/>
        </w:numPr>
        <w:tabs>
          <w:tab w:pos="833" w:val="left" w:leader="none"/>
        </w:tabs>
        <w:spacing w:line="249" w:lineRule="auto" w:before="0" w:after="0"/>
        <w:ind w:left="832" w:right="119" w:hanging="359"/>
        <w:jc w:val="both"/>
        <w:rPr>
          <w:sz w:val="21"/>
        </w:rPr>
      </w:pPr>
      <w:r>
        <w:rPr>
          <w:color w:val="231F20"/>
          <w:sz w:val="21"/>
        </w:rPr>
        <w:t>¿Qué tanto se aceptan o se rechazan las manifestaciones de violencia?, ¿qué reacción produce la violencia en las personas?</w:t>
      </w:r>
    </w:p>
    <w:p>
      <w:pPr>
        <w:pStyle w:val="BodyText"/>
        <w:spacing w:before="7"/>
      </w:pPr>
    </w:p>
    <w:p>
      <w:pPr>
        <w:spacing w:before="0"/>
        <w:ind w:left="112" w:right="0" w:firstLine="0"/>
        <w:jc w:val="both"/>
        <w:rPr>
          <w:i/>
          <w:sz w:val="21"/>
        </w:rPr>
      </w:pPr>
      <w:r>
        <w:rPr>
          <w:i/>
          <w:color w:val="231F20"/>
          <w:w w:val="80"/>
          <w:sz w:val="21"/>
        </w:rPr>
        <w:t>Objetivos de investigación</w:t>
      </w:r>
    </w:p>
    <w:p>
      <w:pPr>
        <w:pStyle w:val="BodyText"/>
        <w:spacing w:before="1"/>
        <w:rPr>
          <w:i/>
        </w:rPr>
      </w:pPr>
    </w:p>
    <w:p>
      <w:pPr>
        <w:pStyle w:val="ListParagraph"/>
        <w:numPr>
          <w:ilvl w:val="1"/>
          <w:numId w:val="16"/>
        </w:numPr>
        <w:tabs>
          <w:tab w:pos="833" w:val="left" w:leader="none"/>
        </w:tabs>
        <w:spacing w:line="247" w:lineRule="auto" w:before="0" w:after="0"/>
        <w:ind w:left="832" w:right="119" w:hanging="360"/>
        <w:jc w:val="both"/>
        <w:rPr>
          <w:sz w:val="21"/>
        </w:rPr>
      </w:pPr>
      <w:r>
        <w:rPr>
          <w:color w:val="231F20"/>
          <w:sz w:val="21"/>
        </w:rPr>
        <w:t>Distinguir la percepción y vivencia de la violencia entre los estudiantes</w:t>
      </w:r>
      <w:r>
        <w:rPr>
          <w:color w:val="231F20"/>
          <w:spacing w:val="-8"/>
          <w:sz w:val="21"/>
        </w:rPr>
        <w:t> </w:t>
      </w:r>
      <w:r>
        <w:rPr>
          <w:color w:val="231F20"/>
          <w:sz w:val="21"/>
        </w:rPr>
        <w:t>universitarios.</w:t>
      </w:r>
    </w:p>
    <w:p>
      <w:pPr>
        <w:pStyle w:val="ListParagraph"/>
        <w:numPr>
          <w:ilvl w:val="1"/>
          <w:numId w:val="16"/>
        </w:numPr>
        <w:tabs>
          <w:tab w:pos="832" w:val="left" w:leader="none"/>
          <w:tab w:pos="833" w:val="left" w:leader="none"/>
        </w:tabs>
        <w:spacing w:line="243" w:lineRule="exact" w:before="0" w:after="0"/>
        <w:ind w:left="832" w:right="0" w:hanging="360"/>
        <w:jc w:val="left"/>
        <w:rPr>
          <w:sz w:val="21"/>
        </w:rPr>
      </w:pPr>
      <w:r>
        <w:rPr>
          <w:color w:val="231F20"/>
          <w:sz w:val="21"/>
        </w:rPr>
        <w:t>Valorizar la categorización inmediata de forma  </w:t>
      </w:r>
      <w:r>
        <w:rPr>
          <w:color w:val="231F20"/>
          <w:spacing w:val="27"/>
          <w:sz w:val="21"/>
        </w:rPr>
        <w:t> </w:t>
      </w:r>
      <w:r>
        <w:rPr>
          <w:color w:val="231F20"/>
          <w:sz w:val="21"/>
        </w:rPr>
        <w:t>automática</w:t>
      </w:r>
    </w:p>
    <w:p>
      <w:pPr>
        <w:pStyle w:val="BodyText"/>
        <w:spacing w:line="247" w:lineRule="auto" w:before="7"/>
        <w:ind w:left="832" w:right="116"/>
      </w:pPr>
      <w:r>
        <w:rPr>
          <w:color w:val="231F20"/>
        </w:rPr>
        <w:t>que realizan los estudiantes universitarios ante una persona violenta.</w:t>
      </w:r>
    </w:p>
    <w:p>
      <w:pPr>
        <w:pStyle w:val="ListParagraph"/>
        <w:numPr>
          <w:ilvl w:val="1"/>
          <w:numId w:val="16"/>
        </w:numPr>
        <w:tabs>
          <w:tab w:pos="832" w:val="left" w:leader="none"/>
          <w:tab w:pos="833" w:val="left" w:leader="none"/>
        </w:tabs>
        <w:spacing w:line="243" w:lineRule="exact" w:before="0" w:after="0"/>
        <w:ind w:left="832" w:right="0" w:hanging="360"/>
        <w:jc w:val="left"/>
        <w:rPr>
          <w:sz w:val="21"/>
        </w:rPr>
      </w:pPr>
      <w:r>
        <w:rPr>
          <w:color w:val="231F20"/>
          <w:sz w:val="21"/>
        </w:rPr>
        <w:t>Aproximarse  a  las  creencias,  actitudes  y  prácticas    </w:t>
      </w:r>
      <w:r>
        <w:rPr>
          <w:color w:val="231F20"/>
          <w:spacing w:val="13"/>
          <w:sz w:val="21"/>
        </w:rPr>
        <w:t> </w:t>
      </w:r>
      <w:r>
        <w:rPr>
          <w:color w:val="231F20"/>
          <w:sz w:val="21"/>
        </w:rPr>
        <w:t>que</w:t>
      </w:r>
    </w:p>
    <w:p>
      <w:pPr>
        <w:pStyle w:val="BodyText"/>
        <w:spacing w:line="252" w:lineRule="auto" w:before="7"/>
        <w:ind w:left="832" w:right="237"/>
      </w:pPr>
      <w:r>
        <w:rPr>
          <w:color w:val="231F20"/>
        </w:rPr>
        <w:t>pudieran tener los estudiantes frente a los actos violentos   de su medio o entorno</w:t>
      </w:r>
      <w:r>
        <w:rPr>
          <w:color w:val="231F20"/>
          <w:spacing w:val="47"/>
        </w:rPr>
        <w:t> </w:t>
      </w:r>
      <w:r>
        <w:rPr>
          <w:color w:val="231F20"/>
        </w:rPr>
        <w:t>escolar.</w:t>
      </w:r>
    </w:p>
    <w:p>
      <w:pPr>
        <w:pStyle w:val="BodyText"/>
        <w:spacing w:before="4"/>
      </w:pPr>
    </w:p>
    <w:p>
      <w:pPr>
        <w:pStyle w:val="BodyText"/>
        <w:spacing w:before="1"/>
        <w:ind w:left="112"/>
        <w:jc w:val="both"/>
      </w:pPr>
      <w:r>
        <w:rPr>
          <w:color w:val="231F20"/>
        </w:rPr>
        <w:t>RESULTADOS</w:t>
      </w:r>
    </w:p>
    <w:p>
      <w:pPr>
        <w:pStyle w:val="BodyText"/>
        <w:spacing w:before="3"/>
        <w:rPr>
          <w:sz w:val="20"/>
        </w:rPr>
      </w:pPr>
    </w:p>
    <w:p>
      <w:pPr>
        <w:pStyle w:val="BodyText"/>
        <w:spacing w:line="244" w:lineRule="auto"/>
        <w:ind w:left="112" w:right="117"/>
        <w:jc w:val="both"/>
      </w:pPr>
      <w:r>
        <w:rPr>
          <w:color w:val="231F20"/>
        </w:rPr>
        <w:t>Las siguientes tablas muestran los principales descriptivos y resulta- dos por género, por programa educativo y por divisiónacadémica</w:t>
      </w:r>
      <w:r>
        <w:rPr>
          <w:i/>
          <w:color w:val="231F20"/>
        </w:rPr>
        <w:t>, </w:t>
      </w:r>
      <w:r>
        <w:rPr>
          <w:color w:val="231F20"/>
        </w:rPr>
        <w:t>respectivamente.</w:t>
      </w:r>
    </w:p>
    <w:p>
      <w:pPr>
        <w:pStyle w:val="BodyText"/>
        <w:spacing w:line="249" w:lineRule="auto" w:before="13"/>
        <w:ind w:left="112" w:right="121" w:firstLine="284"/>
        <w:jc w:val="both"/>
      </w:pPr>
      <w:r>
        <w:rPr>
          <w:color w:val="231F20"/>
        </w:rPr>
        <w:t>En promedio las mujeres entrevistadas tienen 21.05 años, mientras que los hombres 21.43 años. El 96% de las mujeres y el 97% de los hombres practican una religión. El porcentaje más  alto</w:t>
      </w:r>
    </w:p>
    <w:p>
      <w:pPr>
        <w:spacing w:after="0" w:line="249" w:lineRule="auto"/>
        <w:jc w:val="both"/>
        <w:sectPr>
          <w:headerReference w:type="default" r:id="rId668"/>
          <w:footerReference w:type="default" r:id="rId669"/>
          <w:pgSz w:w="7830" w:h="11910"/>
          <w:pgMar w:header="0" w:footer="424" w:top="500" w:bottom="620" w:left="880" w:right="900"/>
          <w:pgNumType w:start="299"/>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rPr>
          <w:sz w:val="20"/>
        </w:rPr>
      </w:pPr>
    </w:p>
    <w:p>
      <w:pPr>
        <w:pStyle w:val="BodyText"/>
        <w:spacing w:line="247" w:lineRule="auto"/>
        <w:ind w:left="102" w:right="107"/>
        <w:jc w:val="both"/>
      </w:pPr>
      <w:r>
        <w:rPr>
          <w:color w:val="231F20"/>
        </w:rPr>
        <w:t>de asignaturas reprobadas se presenta en los hombres, en la edu- cación superior.</w:t>
      </w:r>
    </w:p>
    <w:p>
      <w:pPr>
        <w:pStyle w:val="BodyText"/>
        <w:spacing w:line="247" w:lineRule="auto" w:before="1"/>
        <w:ind w:left="102" w:right="107" w:firstLine="283"/>
        <w:jc w:val="both"/>
      </w:pPr>
      <w:r>
        <w:rPr>
          <w:color w:val="231F20"/>
        </w:rPr>
        <w:t>Cuando se realizó el análisis por división académica, los pro- medios de edad fueron similares: 22.24 en DCI, 21.25 en DCPH  y</w:t>
      </w:r>
    </w:p>
    <w:p>
      <w:pPr>
        <w:pStyle w:val="BodyText"/>
        <w:spacing w:line="249" w:lineRule="auto" w:before="1"/>
        <w:ind w:left="102" w:right="107"/>
        <w:jc w:val="both"/>
      </w:pPr>
      <w:r>
        <w:rPr>
          <w:color w:val="231F20"/>
          <w:spacing w:val="2"/>
        </w:rPr>
        <w:t>21.04 </w:t>
      </w:r>
      <w:r>
        <w:rPr>
          <w:color w:val="231F20"/>
        </w:rPr>
        <w:t>en </w:t>
      </w:r>
      <w:r>
        <w:rPr>
          <w:color w:val="231F20"/>
          <w:spacing w:val="3"/>
        </w:rPr>
        <w:t>DCS. </w:t>
      </w:r>
      <w:r>
        <w:rPr>
          <w:color w:val="231F20"/>
        </w:rPr>
        <w:t>El </w:t>
      </w:r>
      <w:r>
        <w:rPr>
          <w:color w:val="231F20"/>
          <w:spacing w:val="3"/>
        </w:rPr>
        <w:t>promedio </w:t>
      </w:r>
      <w:r>
        <w:rPr>
          <w:color w:val="231F20"/>
          <w:spacing w:val="2"/>
        </w:rPr>
        <w:t>más </w:t>
      </w:r>
      <w:r>
        <w:rPr>
          <w:color w:val="231F20"/>
        </w:rPr>
        <w:t>alto de </w:t>
      </w:r>
      <w:r>
        <w:rPr>
          <w:color w:val="231F20"/>
          <w:spacing w:val="2"/>
        </w:rPr>
        <w:t>asignaturas </w:t>
      </w:r>
      <w:r>
        <w:rPr>
          <w:color w:val="231F20"/>
          <w:spacing w:val="3"/>
        </w:rPr>
        <w:t>reprobadas </w:t>
      </w:r>
      <w:r>
        <w:rPr>
          <w:color w:val="231F20"/>
        </w:rPr>
        <w:t>se </w:t>
      </w:r>
      <w:r>
        <w:rPr>
          <w:color w:val="231F20"/>
          <w:spacing w:val="2"/>
        </w:rPr>
        <w:t>presentó entre estudiantes adscritos </w:t>
      </w:r>
      <w:r>
        <w:rPr>
          <w:color w:val="231F20"/>
        </w:rPr>
        <w:t>a la </w:t>
      </w:r>
      <w:r>
        <w:rPr>
          <w:color w:val="231F20"/>
          <w:spacing w:val="3"/>
        </w:rPr>
        <w:t>DCI </w:t>
      </w:r>
      <w:r>
        <w:rPr>
          <w:color w:val="231F20"/>
          <w:spacing w:val="2"/>
        </w:rPr>
        <w:t>con </w:t>
      </w:r>
      <w:r>
        <w:rPr>
          <w:color w:val="231F20"/>
        </w:rPr>
        <w:t>4.84 </w:t>
      </w:r>
      <w:r>
        <w:rPr>
          <w:color w:val="231F20"/>
          <w:spacing w:val="3"/>
        </w:rPr>
        <w:t>asignaturas reprobadas </w:t>
      </w:r>
      <w:r>
        <w:rPr>
          <w:color w:val="231F20"/>
        </w:rPr>
        <w:t>en </w:t>
      </w:r>
      <w:r>
        <w:rPr>
          <w:color w:val="231F20"/>
          <w:spacing w:val="3"/>
        </w:rPr>
        <w:t>promedio. </w:t>
      </w:r>
      <w:r>
        <w:rPr>
          <w:color w:val="231F20"/>
        </w:rPr>
        <w:t>Al </w:t>
      </w:r>
      <w:r>
        <w:rPr>
          <w:color w:val="231F20"/>
          <w:spacing w:val="2"/>
        </w:rPr>
        <w:t>estratificar por </w:t>
      </w:r>
      <w:r>
        <w:rPr>
          <w:color w:val="231F20"/>
          <w:spacing w:val="3"/>
        </w:rPr>
        <w:t>programa </w:t>
      </w:r>
      <w:r>
        <w:rPr>
          <w:color w:val="231F20"/>
          <w:spacing w:val="2"/>
        </w:rPr>
        <w:t>educativo,  </w:t>
      </w:r>
      <w:r>
        <w:rPr>
          <w:color w:val="231F20"/>
        </w:rPr>
        <w:t>los </w:t>
      </w:r>
      <w:r>
        <w:rPr>
          <w:color w:val="231F20"/>
          <w:spacing w:val="2"/>
        </w:rPr>
        <w:t>resultados </w:t>
      </w:r>
      <w:r>
        <w:rPr>
          <w:color w:val="231F20"/>
          <w:spacing w:val="3"/>
        </w:rPr>
        <w:t>mostraron </w:t>
      </w:r>
      <w:r>
        <w:rPr>
          <w:color w:val="231F20"/>
        </w:rPr>
        <w:t>que </w:t>
      </w:r>
      <w:r>
        <w:rPr>
          <w:color w:val="231F20"/>
          <w:spacing w:val="2"/>
        </w:rPr>
        <w:t>los estudiantes </w:t>
      </w:r>
      <w:r>
        <w:rPr>
          <w:color w:val="231F20"/>
        </w:rPr>
        <w:t>de la </w:t>
      </w:r>
      <w:r>
        <w:rPr>
          <w:color w:val="231F20"/>
          <w:spacing w:val="2"/>
        </w:rPr>
        <w:t>Licenciatura </w:t>
      </w:r>
      <w:r>
        <w:rPr>
          <w:color w:val="231F20"/>
          <w:spacing w:val="3"/>
        </w:rPr>
        <w:t>en </w:t>
      </w:r>
      <w:r>
        <w:rPr>
          <w:color w:val="231F20"/>
          <w:spacing w:val="2"/>
        </w:rPr>
        <w:t>Derecho arrojaron </w:t>
      </w:r>
      <w:r>
        <w:rPr>
          <w:color w:val="231F20"/>
        </w:rPr>
        <w:t>el </w:t>
      </w:r>
      <w:r>
        <w:rPr>
          <w:color w:val="231F20"/>
          <w:spacing w:val="2"/>
        </w:rPr>
        <w:t>promedio más </w:t>
      </w:r>
      <w:r>
        <w:rPr>
          <w:color w:val="231F20"/>
        </w:rPr>
        <w:t>bajo de </w:t>
      </w:r>
      <w:r>
        <w:rPr>
          <w:color w:val="231F20"/>
          <w:spacing w:val="2"/>
        </w:rPr>
        <w:t>edad </w:t>
      </w:r>
      <w:r>
        <w:rPr>
          <w:color w:val="231F20"/>
        </w:rPr>
        <w:t>y los </w:t>
      </w:r>
      <w:r>
        <w:rPr>
          <w:color w:val="231F20"/>
          <w:spacing w:val="2"/>
        </w:rPr>
        <w:t>estudiantes </w:t>
      </w:r>
      <w:r>
        <w:rPr>
          <w:color w:val="231F20"/>
        </w:rPr>
        <w:t>que </w:t>
      </w:r>
      <w:r>
        <w:rPr>
          <w:color w:val="231F20"/>
          <w:spacing w:val="2"/>
        </w:rPr>
        <w:t>más asignaturas reprueban son los </w:t>
      </w:r>
      <w:r>
        <w:rPr>
          <w:color w:val="231F20"/>
        </w:rPr>
        <w:t>de </w:t>
      </w:r>
      <w:r>
        <w:rPr>
          <w:color w:val="231F20"/>
          <w:spacing w:val="2"/>
        </w:rPr>
        <w:t>Ingeniería </w:t>
      </w:r>
      <w:r>
        <w:rPr>
          <w:color w:val="231F20"/>
          <w:spacing w:val="3"/>
        </w:rPr>
        <w:t>Ambiental </w:t>
      </w:r>
      <w:r>
        <w:rPr>
          <w:color w:val="231F20"/>
        </w:rPr>
        <w:t>e </w:t>
      </w:r>
      <w:r>
        <w:rPr>
          <w:color w:val="231F20"/>
          <w:spacing w:val="2"/>
        </w:rPr>
        <w:t>Ingeniería </w:t>
      </w:r>
      <w:r>
        <w:rPr>
          <w:color w:val="231F20"/>
        </w:rPr>
        <w:t>en</w:t>
      </w:r>
      <w:r>
        <w:rPr>
          <w:color w:val="231F20"/>
          <w:spacing w:val="-5"/>
        </w:rPr>
        <w:t> </w:t>
      </w:r>
      <w:r>
        <w:rPr>
          <w:color w:val="231F20"/>
          <w:spacing w:val="2"/>
        </w:rPr>
        <w:t>Redes.</w:t>
      </w:r>
    </w:p>
    <w:p>
      <w:pPr>
        <w:pStyle w:val="BodyText"/>
        <w:spacing w:line="249" w:lineRule="auto"/>
        <w:ind w:left="102" w:right="107" w:firstLine="284"/>
        <w:jc w:val="both"/>
      </w:pPr>
      <w:r>
        <w:rPr>
          <w:color w:val="231F20"/>
          <w:spacing w:val="2"/>
        </w:rPr>
        <w:t>Las Tablas </w:t>
      </w:r>
      <w:r>
        <w:rPr>
          <w:color w:val="231F20"/>
        </w:rPr>
        <w:t>2 y 3 </w:t>
      </w:r>
      <w:r>
        <w:rPr>
          <w:color w:val="231F20"/>
          <w:spacing w:val="2"/>
        </w:rPr>
        <w:t>muestran los resultados </w:t>
      </w:r>
      <w:r>
        <w:rPr>
          <w:color w:val="231F20"/>
          <w:spacing w:val="3"/>
        </w:rPr>
        <w:t>obtenidos </w:t>
      </w:r>
      <w:r>
        <w:rPr>
          <w:color w:val="231F20"/>
        </w:rPr>
        <w:t>al </w:t>
      </w:r>
      <w:r>
        <w:rPr>
          <w:color w:val="231F20"/>
          <w:spacing w:val="2"/>
        </w:rPr>
        <w:t>conside- </w:t>
      </w:r>
      <w:r>
        <w:rPr>
          <w:color w:val="231F20"/>
        </w:rPr>
        <w:t>rar </w:t>
      </w:r>
      <w:r>
        <w:rPr>
          <w:color w:val="231F20"/>
          <w:spacing w:val="3"/>
        </w:rPr>
        <w:t>tópicos </w:t>
      </w:r>
      <w:r>
        <w:rPr>
          <w:color w:val="231F20"/>
          <w:spacing w:val="2"/>
        </w:rPr>
        <w:t>cuando </w:t>
      </w:r>
      <w:r>
        <w:rPr>
          <w:color w:val="231F20"/>
        </w:rPr>
        <w:t>el </w:t>
      </w:r>
      <w:r>
        <w:rPr>
          <w:color w:val="231F20"/>
          <w:spacing w:val="2"/>
        </w:rPr>
        <w:t>entrevistado </w:t>
      </w:r>
      <w:r>
        <w:rPr>
          <w:color w:val="231F20"/>
        </w:rPr>
        <w:t>fue </w:t>
      </w:r>
      <w:r>
        <w:rPr>
          <w:color w:val="231F20"/>
          <w:spacing w:val="2"/>
        </w:rPr>
        <w:t>víctima </w:t>
      </w:r>
      <w:r>
        <w:rPr>
          <w:color w:val="231F20"/>
        </w:rPr>
        <w:t>de </w:t>
      </w:r>
      <w:r>
        <w:rPr>
          <w:color w:val="231F20"/>
          <w:spacing w:val="2"/>
        </w:rPr>
        <w:t>acoso </w:t>
      </w:r>
      <w:r>
        <w:rPr>
          <w:color w:val="231F20"/>
        </w:rPr>
        <w:t>y fue </w:t>
      </w:r>
      <w:r>
        <w:rPr>
          <w:color w:val="231F20"/>
          <w:spacing w:val="3"/>
        </w:rPr>
        <w:t>aco- </w:t>
      </w:r>
      <w:r>
        <w:rPr>
          <w:color w:val="231F20"/>
          <w:spacing w:val="2"/>
        </w:rPr>
        <w:t>sador. </w:t>
      </w:r>
      <w:r>
        <w:rPr>
          <w:color w:val="231F20"/>
        </w:rPr>
        <w:t>En la </w:t>
      </w:r>
      <w:r>
        <w:rPr>
          <w:color w:val="231F20"/>
          <w:spacing w:val="2"/>
        </w:rPr>
        <w:t>Tabla </w:t>
      </w:r>
      <w:r>
        <w:rPr>
          <w:color w:val="231F20"/>
        </w:rPr>
        <w:t>2 </w:t>
      </w:r>
      <w:r>
        <w:rPr>
          <w:color w:val="231F20"/>
          <w:spacing w:val="3"/>
        </w:rPr>
        <w:t>consideramos </w:t>
      </w:r>
      <w:r>
        <w:rPr>
          <w:color w:val="231F20"/>
        </w:rPr>
        <w:t>las </w:t>
      </w:r>
      <w:r>
        <w:rPr>
          <w:color w:val="231F20"/>
          <w:spacing w:val="2"/>
        </w:rPr>
        <w:t>categorías: </w:t>
      </w:r>
      <w:r>
        <w:rPr>
          <w:color w:val="231F20"/>
          <w:spacing w:val="3"/>
        </w:rPr>
        <w:t>“nunca </w:t>
      </w:r>
      <w:r>
        <w:rPr>
          <w:color w:val="231F20"/>
        </w:rPr>
        <w:t>he sido </w:t>
      </w:r>
      <w:r>
        <w:rPr>
          <w:color w:val="231F20"/>
          <w:spacing w:val="3"/>
        </w:rPr>
        <w:t>acosado”, </w:t>
      </w:r>
      <w:r>
        <w:rPr>
          <w:color w:val="231F20"/>
        </w:rPr>
        <w:t>“en </w:t>
      </w:r>
      <w:r>
        <w:rPr>
          <w:color w:val="231F20"/>
          <w:spacing w:val="2"/>
        </w:rPr>
        <w:t>ocasiones </w:t>
      </w:r>
      <w:r>
        <w:rPr>
          <w:color w:val="231F20"/>
        </w:rPr>
        <w:t>he sido </w:t>
      </w:r>
      <w:r>
        <w:rPr>
          <w:color w:val="231F20"/>
          <w:spacing w:val="2"/>
        </w:rPr>
        <w:t>acosado” </w:t>
      </w:r>
      <w:r>
        <w:rPr>
          <w:color w:val="231F20"/>
        </w:rPr>
        <w:t>y </w:t>
      </w:r>
      <w:r>
        <w:rPr>
          <w:color w:val="231F20"/>
          <w:spacing w:val="3"/>
        </w:rPr>
        <w:t>“siempre </w:t>
      </w:r>
      <w:r>
        <w:rPr>
          <w:color w:val="231F20"/>
        </w:rPr>
        <w:t>he </w:t>
      </w:r>
      <w:r>
        <w:rPr>
          <w:color w:val="231F20"/>
          <w:spacing w:val="2"/>
        </w:rPr>
        <w:t>sido </w:t>
      </w:r>
      <w:r>
        <w:rPr>
          <w:color w:val="231F20"/>
          <w:spacing w:val="3"/>
        </w:rPr>
        <w:t>aco- </w:t>
      </w:r>
      <w:r>
        <w:rPr>
          <w:color w:val="231F20"/>
          <w:spacing w:val="2"/>
        </w:rPr>
        <w:t>sado”; mientras que </w:t>
      </w:r>
      <w:r>
        <w:rPr>
          <w:color w:val="231F20"/>
        </w:rPr>
        <w:t>en la </w:t>
      </w:r>
      <w:r>
        <w:rPr>
          <w:color w:val="231F20"/>
          <w:spacing w:val="2"/>
        </w:rPr>
        <w:t>Tabla </w:t>
      </w:r>
      <w:r>
        <w:rPr>
          <w:color w:val="231F20"/>
        </w:rPr>
        <w:t>3: </w:t>
      </w:r>
      <w:r>
        <w:rPr>
          <w:color w:val="231F20"/>
          <w:spacing w:val="3"/>
        </w:rPr>
        <w:t>“nunca </w:t>
      </w:r>
      <w:r>
        <w:rPr>
          <w:color w:val="231F20"/>
        </w:rPr>
        <w:t>he </w:t>
      </w:r>
      <w:r>
        <w:rPr>
          <w:color w:val="231F20"/>
          <w:spacing w:val="2"/>
        </w:rPr>
        <w:t>participado </w:t>
      </w:r>
      <w:r>
        <w:rPr>
          <w:color w:val="231F20"/>
          <w:spacing w:val="3"/>
        </w:rPr>
        <w:t>como acosador”, </w:t>
      </w:r>
      <w:r>
        <w:rPr>
          <w:color w:val="231F20"/>
        </w:rPr>
        <w:t>“en </w:t>
      </w:r>
      <w:r>
        <w:rPr>
          <w:color w:val="231F20"/>
          <w:spacing w:val="2"/>
        </w:rPr>
        <w:t>ocasiones </w:t>
      </w:r>
      <w:r>
        <w:rPr>
          <w:color w:val="231F20"/>
        </w:rPr>
        <w:t>he </w:t>
      </w:r>
      <w:r>
        <w:rPr>
          <w:color w:val="231F20"/>
          <w:spacing w:val="2"/>
        </w:rPr>
        <w:t>participado </w:t>
      </w:r>
      <w:r>
        <w:rPr>
          <w:color w:val="231F20"/>
          <w:spacing w:val="3"/>
        </w:rPr>
        <w:t>como </w:t>
      </w:r>
      <w:r>
        <w:rPr>
          <w:color w:val="231F20"/>
          <w:spacing w:val="2"/>
        </w:rPr>
        <w:t>acosador” </w:t>
      </w:r>
      <w:r>
        <w:rPr>
          <w:color w:val="231F20"/>
        </w:rPr>
        <w:t>y </w:t>
      </w:r>
      <w:r>
        <w:rPr>
          <w:color w:val="231F20"/>
          <w:spacing w:val="3"/>
        </w:rPr>
        <w:t>“siem- </w:t>
      </w:r>
      <w:r>
        <w:rPr>
          <w:color w:val="231F20"/>
          <w:spacing w:val="2"/>
        </w:rPr>
        <w:t>pre </w:t>
      </w:r>
      <w:r>
        <w:rPr>
          <w:color w:val="231F20"/>
        </w:rPr>
        <w:t>he </w:t>
      </w:r>
      <w:r>
        <w:rPr>
          <w:color w:val="231F20"/>
          <w:spacing w:val="2"/>
        </w:rPr>
        <w:t>participado </w:t>
      </w:r>
      <w:r>
        <w:rPr>
          <w:color w:val="231F20"/>
          <w:spacing w:val="3"/>
        </w:rPr>
        <w:t>como </w:t>
      </w:r>
      <w:r>
        <w:rPr>
          <w:color w:val="231F20"/>
          <w:spacing w:val="2"/>
        </w:rPr>
        <w:t>acosador”. Las acciones consideradas </w:t>
      </w:r>
      <w:r>
        <w:rPr>
          <w:color w:val="231F20"/>
        </w:rPr>
        <w:t>en </w:t>
      </w:r>
      <w:r>
        <w:rPr>
          <w:color w:val="231F20"/>
          <w:spacing w:val="3"/>
        </w:rPr>
        <w:t>ambas </w:t>
      </w:r>
      <w:r>
        <w:rPr>
          <w:color w:val="231F20"/>
          <w:spacing w:val="2"/>
        </w:rPr>
        <w:t>tablas fueron: acoso </w:t>
      </w:r>
      <w:r>
        <w:rPr>
          <w:color w:val="231F20"/>
        </w:rPr>
        <w:t>a </w:t>
      </w:r>
      <w:r>
        <w:rPr>
          <w:color w:val="231F20"/>
          <w:spacing w:val="2"/>
        </w:rPr>
        <w:t>alguien físicamente </w:t>
      </w:r>
      <w:r>
        <w:rPr>
          <w:color w:val="231F20"/>
        </w:rPr>
        <w:t>de </w:t>
      </w:r>
      <w:r>
        <w:rPr>
          <w:color w:val="231F20"/>
          <w:spacing w:val="3"/>
        </w:rPr>
        <w:t>forma directa, </w:t>
      </w:r>
      <w:r>
        <w:rPr>
          <w:color w:val="231F20"/>
          <w:spacing w:val="2"/>
        </w:rPr>
        <w:t>acoso </w:t>
      </w:r>
      <w:r>
        <w:rPr>
          <w:color w:val="231F20"/>
        </w:rPr>
        <w:t>a </w:t>
      </w:r>
      <w:r>
        <w:rPr>
          <w:color w:val="231F20"/>
          <w:spacing w:val="2"/>
        </w:rPr>
        <w:t>alguien físicamente </w:t>
      </w:r>
      <w:r>
        <w:rPr>
          <w:color w:val="231F20"/>
        </w:rPr>
        <w:t>de </w:t>
      </w:r>
      <w:r>
        <w:rPr>
          <w:color w:val="231F20"/>
          <w:spacing w:val="3"/>
        </w:rPr>
        <w:t>forma </w:t>
      </w:r>
      <w:r>
        <w:rPr>
          <w:color w:val="231F20"/>
          <w:spacing w:val="2"/>
        </w:rPr>
        <w:t>indirecta, acoso </w:t>
      </w:r>
      <w:r>
        <w:rPr>
          <w:color w:val="231F20"/>
        </w:rPr>
        <w:t>a </w:t>
      </w:r>
      <w:r>
        <w:rPr>
          <w:color w:val="231F20"/>
          <w:spacing w:val="2"/>
        </w:rPr>
        <w:t>alguien</w:t>
      </w:r>
      <w:r>
        <w:rPr>
          <w:color w:val="231F20"/>
          <w:spacing w:val="56"/>
        </w:rPr>
        <w:t> </w:t>
      </w:r>
      <w:r>
        <w:rPr>
          <w:color w:val="231F20"/>
          <w:spacing w:val="3"/>
        </w:rPr>
        <w:t>verbalmente </w:t>
      </w:r>
      <w:r>
        <w:rPr>
          <w:color w:val="231F20"/>
        </w:rPr>
        <w:t>de </w:t>
      </w:r>
      <w:r>
        <w:rPr>
          <w:color w:val="231F20"/>
          <w:spacing w:val="3"/>
        </w:rPr>
        <w:t>forma </w:t>
      </w:r>
      <w:r>
        <w:rPr>
          <w:color w:val="231F20"/>
          <w:spacing w:val="2"/>
        </w:rPr>
        <w:t>directa, acoso </w:t>
      </w:r>
      <w:r>
        <w:rPr>
          <w:color w:val="231F20"/>
        </w:rPr>
        <w:t>a </w:t>
      </w:r>
      <w:r>
        <w:rPr>
          <w:color w:val="231F20"/>
          <w:spacing w:val="2"/>
        </w:rPr>
        <w:t>alguien </w:t>
      </w:r>
      <w:r>
        <w:rPr>
          <w:color w:val="231F20"/>
          <w:spacing w:val="3"/>
        </w:rPr>
        <w:t>verbalmente </w:t>
      </w:r>
      <w:r>
        <w:rPr>
          <w:color w:val="231F20"/>
        </w:rPr>
        <w:t>de </w:t>
      </w:r>
      <w:r>
        <w:rPr>
          <w:color w:val="231F20"/>
          <w:spacing w:val="3"/>
        </w:rPr>
        <w:t>forma </w:t>
      </w:r>
      <w:r>
        <w:rPr>
          <w:color w:val="231F20"/>
          <w:spacing w:val="2"/>
        </w:rPr>
        <w:t>indirecta, acoso </w:t>
      </w:r>
      <w:r>
        <w:rPr>
          <w:color w:val="231F20"/>
        </w:rPr>
        <w:t>a </w:t>
      </w:r>
      <w:r>
        <w:rPr>
          <w:color w:val="231F20"/>
          <w:spacing w:val="2"/>
        </w:rPr>
        <w:t>alguien </w:t>
      </w:r>
      <w:r>
        <w:rPr>
          <w:color w:val="231F20"/>
          <w:spacing w:val="3"/>
        </w:rPr>
        <w:t>mediante </w:t>
      </w:r>
      <w:r>
        <w:rPr>
          <w:color w:val="231F20"/>
        </w:rPr>
        <w:t>la </w:t>
      </w:r>
      <w:r>
        <w:rPr>
          <w:color w:val="231F20"/>
          <w:spacing w:val="2"/>
        </w:rPr>
        <w:t>exclusión.</w:t>
      </w:r>
    </w:p>
    <w:p>
      <w:pPr>
        <w:pStyle w:val="BodyText"/>
        <w:spacing w:line="249" w:lineRule="auto"/>
        <w:ind w:left="102" w:right="105" w:firstLine="284"/>
        <w:jc w:val="both"/>
      </w:pPr>
      <w:r>
        <w:rPr>
          <w:color w:val="231F20"/>
        </w:rPr>
        <w:t>La </w:t>
      </w:r>
      <w:r>
        <w:rPr>
          <w:color w:val="231F20"/>
          <w:spacing w:val="2"/>
        </w:rPr>
        <w:t>Tabla </w:t>
      </w:r>
      <w:r>
        <w:rPr>
          <w:color w:val="231F20"/>
        </w:rPr>
        <w:t>3 </w:t>
      </w:r>
      <w:r>
        <w:rPr>
          <w:color w:val="231F20"/>
          <w:spacing w:val="2"/>
        </w:rPr>
        <w:t>muestra los resultados </w:t>
      </w:r>
      <w:r>
        <w:rPr>
          <w:color w:val="231F20"/>
          <w:spacing w:val="3"/>
        </w:rPr>
        <w:t>obtenidos </w:t>
      </w:r>
      <w:r>
        <w:rPr>
          <w:color w:val="231F20"/>
          <w:spacing w:val="2"/>
        </w:rPr>
        <w:t>para los </w:t>
      </w:r>
      <w:r>
        <w:rPr>
          <w:color w:val="231F20"/>
          <w:spacing w:val="3"/>
        </w:rPr>
        <w:t>cuestio- namientos </w:t>
      </w:r>
      <w:r>
        <w:rPr>
          <w:color w:val="231F20"/>
        </w:rPr>
        <w:t>que </w:t>
      </w:r>
      <w:r>
        <w:rPr>
          <w:color w:val="231F20"/>
          <w:spacing w:val="2"/>
        </w:rPr>
        <w:t>consideran </w:t>
      </w:r>
      <w:r>
        <w:rPr>
          <w:color w:val="231F20"/>
        </w:rPr>
        <w:t>las </w:t>
      </w:r>
      <w:r>
        <w:rPr>
          <w:color w:val="231F20"/>
          <w:spacing w:val="2"/>
        </w:rPr>
        <w:t>acciones donde los entrevistados fueron víctimas </w:t>
      </w:r>
      <w:r>
        <w:rPr>
          <w:color w:val="231F20"/>
        </w:rPr>
        <w:t>de </w:t>
      </w:r>
      <w:r>
        <w:rPr>
          <w:color w:val="231F20"/>
          <w:spacing w:val="2"/>
        </w:rPr>
        <w:t>acoso. </w:t>
      </w:r>
      <w:r>
        <w:rPr>
          <w:color w:val="231F20"/>
        </w:rPr>
        <w:t>Se </w:t>
      </w:r>
      <w:r>
        <w:rPr>
          <w:color w:val="231F20"/>
          <w:spacing w:val="2"/>
        </w:rPr>
        <w:t>puede observar </w:t>
      </w:r>
      <w:r>
        <w:rPr>
          <w:color w:val="231F20"/>
        </w:rPr>
        <w:t>que en </w:t>
      </w:r>
      <w:r>
        <w:rPr>
          <w:color w:val="231F20"/>
          <w:spacing w:val="2"/>
        </w:rPr>
        <w:t>general </w:t>
      </w:r>
      <w:r>
        <w:rPr>
          <w:color w:val="231F20"/>
        </w:rPr>
        <w:t>el </w:t>
      </w:r>
      <w:r>
        <w:rPr>
          <w:color w:val="231F20"/>
          <w:spacing w:val="2"/>
        </w:rPr>
        <w:t>género </w:t>
      </w:r>
      <w:r>
        <w:rPr>
          <w:color w:val="231F20"/>
          <w:spacing w:val="3"/>
        </w:rPr>
        <w:t>femenino </w:t>
      </w:r>
      <w:r>
        <w:rPr>
          <w:color w:val="231F20"/>
          <w:spacing w:val="2"/>
        </w:rPr>
        <w:t>reportó </w:t>
      </w:r>
      <w:r>
        <w:rPr>
          <w:color w:val="231F20"/>
          <w:spacing w:val="3"/>
        </w:rPr>
        <w:t>menores </w:t>
      </w:r>
      <w:r>
        <w:rPr>
          <w:color w:val="231F20"/>
          <w:spacing w:val="2"/>
        </w:rPr>
        <w:t>porcentajes </w:t>
      </w:r>
      <w:r>
        <w:rPr>
          <w:color w:val="231F20"/>
        </w:rPr>
        <w:t>al </w:t>
      </w:r>
      <w:r>
        <w:rPr>
          <w:color w:val="231F20"/>
          <w:spacing w:val="2"/>
        </w:rPr>
        <w:t>hecho </w:t>
      </w:r>
      <w:r>
        <w:rPr>
          <w:color w:val="231F20"/>
        </w:rPr>
        <w:t>de ser </w:t>
      </w:r>
      <w:r>
        <w:rPr>
          <w:color w:val="231F20"/>
          <w:spacing w:val="2"/>
        </w:rPr>
        <w:t>víctima </w:t>
      </w:r>
      <w:r>
        <w:rPr>
          <w:color w:val="231F20"/>
        </w:rPr>
        <w:t>de </w:t>
      </w:r>
      <w:r>
        <w:rPr>
          <w:color w:val="231F20"/>
          <w:spacing w:val="2"/>
        </w:rPr>
        <w:t>conductas </w:t>
      </w:r>
      <w:r>
        <w:rPr>
          <w:color w:val="231F20"/>
          <w:spacing w:val="3"/>
        </w:rPr>
        <w:t>acosadoras, </w:t>
      </w:r>
      <w:r>
        <w:rPr>
          <w:color w:val="231F20"/>
          <w:spacing w:val="2"/>
        </w:rPr>
        <w:t>con respecto </w:t>
      </w:r>
      <w:r>
        <w:rPr>
          <w:color w:val="231F20"/>
        </w:rPr>
        <w:t>al </w:t>
      </w:r>
      <w:r>
        <w:rPr>
          <w:color w:val="231F20"/>
          <w:spacing w:val="2"/>
        </w:rPr>
        <w:t>género </w:t>
      </w:r>
      <w:r>
        <w:rPr>
          <w:color w:val="231F20"/>
          <w:spacing w:val="3"/>
        </w:rPr>
        <w:t>mascu- </w:t>
      </w:r>
      <w:r>
        <w:rPr>
          <w:color w:val="231F20"/>
          <w:spacing w:val="2"/>
        </w:rPr>
        <w:t>lino, </w:t>
      </w:r>
      <w:r>
        <w:rPr>
          <w:color w:val="231F20"/>
          <w:spacing w:val="3"/>
        </w:rPr>
        <w:t>aunque </w:t>
      </w:r>
      <w:r>
        <w:rPr>
          <w:color w:val="231F20"/>
          <w:spacing w:val="2"/>
        </w:rPr>
        <w:t>tales diferencias </w:t>
      </w:r>
      <w:r>
        <w:rPr>
          <w:color w:val="231F20"/>
        </w:rPr>
        <w:t>no </w:t>
      </w:r>
      <w:r>
        <w:rPr>
          <w:color w:val="231F20"/>
          <w:spacing w:val="2"/>
        </w:rPr>
        <w:t>fueron significativas. </w:t>
      </w:r>
      <w:r>
        <w:rPr>
          <w:color w:val="231F20"/>
        </w:rPr>
        <w:t>Sin </w:t>
      </w:r>
      <w:r>
        <w:rPr>
          <w:color w:val="231F20"/>
          <w:spacing w:val="3"/>
        </w:rPr>
        <w:t>embar- </w:t>
      </w:r>
      <w:r>
        <w:rPr>
          <w:color w:val="231F20"/>
          <w:spacing w:val="2"/>
        </w:rPr>
        <w:t>go, </w:t>
      </w:r>
      <w:r>
        <w:rPr>
          <w:color w:val="231F20"/>
        </w:rPr>
        <w:t>en la </w:t>
      </w:r>
      <w:r>
        <w:rPr>
          <w:color w:val="231F20"/>
          <w:spacing w:val="2"/>
        </w:rPr>
        <w:t>categoría </w:t>
      </w:r>
      <w:r>
        <w:rPr>
          <w:color w:val="231F20"/>
        </w:rPr>
        <w:t>“en </w:t>
      </w:r>
      <w:r>
        <w:rPr>
          <w:color w:val="231F20"/>
          <w:spacing w:val="2"/>
        </w:rPr>
        <w:t>ocasiones” para </w:t>
      </w:r>
      <w:r>
        <w:rPr>
          <w:color w:val="231F20"/>
        </w:rPr>
        <w:t>la </w:t>
      </w:r>
      <w:r>
        <w:rPr>
          <w:color w:val="231F20"/>
          <w:spacing w:val="2"/>
        </w:rPr>
        <w:t>acción “fui acosado ver- </w:t>
      </w:r>
      <w:r>
        <w:rPr>
          <w:color w:val="231F20"/>
          <w:spacing w:val="3"/>
        </w:rPr>
        <w:t>balmente </w:t>
      </w:r>
      <w:r>
        <w:rPr>
          <w:color w:val="231F20"/>
        </w:rPr>
        <w:t>de </w:t>
      </w:r>
      <w:r>
        <w:rPr>
          <w:color w:val="231F20"/>
          <w:spacing w:val="3"/>
        </w:rPr>
        <w:t>forma </w:t>
      </w:r>
      <w:r>
        <w:rPr>
          <w:color w:val="231F20"/>
          <w:spacing w:val="2"/>
        </w:rPr>
        <w:t>indirecta”, </w:t>
      </w:r>
      <w:r>
        <w:rPr>
          <w:color w:val="231F20"/>
        </w:rPr>
        <w:t>el </w:t>
      </w:r>
      <w:r>
        <w:rPr>
          <w:color w:val="231F20"/>
          <w:spacing w:val="2"/>
        </w:rPr>
        <w:t>género </w:t>
      </w:r>
      <w:r>
        <w:rPr>
          <w:color w:val="231F20"/>
          <w:spacing w:val="3"/>
        </w:rPr>
        <w:t>femenino </w:t>
      </w:r>
      <w:r>
        <w:rPr>
          <w:color w:val="231F20"/>
          <w:spacing w:val="2"/>
        </w:rPr>
        <w:t>reportó haber sido víctima </w:t>
      </w:r>
      <w:r>
        <w:rPr>
          <w:color w:val="231F20"/>
        </w:rPr>
        <w:t>de </w:t>
      </w:r>
      <w:r>
        <w:rPr>
          <w:color w:val="231F20"/>
          <w:spacing w:val="2"/>
        </w:rPr>
        <w:t>acoso </w:t>
      </w:r>
      <w:r>
        <w:rPr>
          <w:color w:val="231F20"/>
        </w:rPr>
        <w:t>en </w:t>
      </w:r>
      <w:r>
        <w:rPr>
          <w:color w:val="231F20"/>
          <w:spacing w:val="3"/>
        </w:rPr>
        <w:t>mayor </w:t>
      </w:r>
      <w:r>
        <w:rPr>
          <w:color w:val="231F20"/>
          <w:spacing w:val="2"/>
        </w:rPr>
        <w:t>porcentaje, </w:t>
      </w:r>
      <w:r>
        <w:rPr>
          <w:color w:val="231F20"/>
          <w:spacing w:val="3"/>
        </w:rPr>
        <w:t>comparando </w:t>
      </w:r>
      <w:r>
        <w:rPr>
          <w:color w:val="231F20"/>
          <w:spacing w:val="2"/>
        </w:rPr>
        <w:t>con </w:t>
      </w:r>
      <w:r>
        <w:rPr>
          <w:color w:val="231F20"/>
          <w:spacing w:val="3"/>
        </w:rPr>
        <w:t>el </w:t>
      </w:r>
      <w:r>
        <w:rPr>
          <w:color w:val="231F20"/>
          <w:spacing w:val="2"/>
        </w:rPr>
        <w:t>género </w:t>
      </w:r>
      <w:r>
        <w:rPr>
          <w:color w:val="231F20"/>
          <w:spacing w:val="3"/>
        </w:rPr>
        <w:t>masculino, </w:t>
      </w:r>
      <w:r>
        <w:rPr>
          <w:color w:val="231F20"/>
        </w:rPr>
        <w:t>el 25% de </w:t>
      </w:r>
      <w:r>
        <w:rPr>
          <w:color w:val="231F20"/>
          <w:spacing w:val="2"/>
        </w:rPr>
        <w:t>los </w:t>
      </w:r>
      <w:r>
        <w:rPr>
          <w:color w:val="231F20"/>
          <w:spacing w:val="3"/>
        </w:rPr>
        <w:t>hombres </w:t>
      </w:r>
      <w:r>
        <w:rPr>
          <w:color w:val="231F20"/>
        </w:rPr>
        <w:t>y el 29% de las </w:t>
      </w:r>
      <w:r>
        <w:rPr>
          <w:color w:val="231F20"/>
          <w:spacing w:val="2"/>
        </w:rPr>
        <w:t>mujeres </w:t>
      </w:r>
      <w:r>
        <w:rPr>
          <w:color w:val="231F20"/>
        </w:rPr>
        <w:t>(p – </w:t>
      </w:r>
      <w:r>
        <w:rPr>
          <w:color w:val="231F20"/>
          <w:spacing w:val="2"/>
        </w:rPr>
        <w:t>valor&lt; 0.05, </w:t>
      </w:r>
      <w:r>
        <w:rPr>
          <w:color w:val="231F20"/>
        </w:rPr>
        <w:t>t – </w:t>
      </w:r>
      <w:r>
        <w:rPr>
          <w:color w:val="231F20"/>
          <w:spacing w:val="2"/>
        </w:rPr>
        <w:t>estudiante). </w:t>
      </w:r>
      <w:r>
        <w:rPr>
          <w:color w:val="231F20"/>
        </w:rPr>
        <w:t>Al </w:t>
      </w:r>
      <w:r>
        <w:rPr>
          <w:color w:val="231F20"/>
          <w:spacing w:val="2"/>
        </w:rPr>
        <w:t>estratificar por división, los mayores porcentajes </w:t>
      </w:r>
      <w:r>
        <w:rPr>
          <w:color w:val="231F20"/>
        </w:rPr>
        <w:t>en </w:t>
      </w:r>
      <w:r>
        <w:rPr>
          <w:color w:val="231F20"/>
          <w:spacing w:val="2"/>
        </w:rPr>
        <w:t>relación </w:t>
      </w:r>
      <w:r>
        <w:rPr>
          <w:color w:val="231F20"/>
        </w:rPr>
        <w:t>a ser </w:t>
      </w:r>
      <w:r>
        <w:rPr>
          <w:color w:val="231F20"/>
          <w:spacing w:val="2"/>
        </w:rPr>
        <w:t>víctimas </w:t>
      </w:r>
      <w:r>
        <w:rPr>
          <w:color w:val="231F20"/>
        </w:rPr>
        <w:t>de </w:t>
      </w:r>
      <w:r>
        <w:rPr>
          <w:color w:val="231F20"/>
          <w:spacing w:val="2"/>
        </w:rPr>
        <w:t>algún </w:t>
      </w:r>
      <w:r>
        <w:rPr>
          <w:color w:val="231F20"/>
        </w:rPr>
        <w:t>tipo de </w:t>
      </w:r>
      <w:r>
        <w:rPr>
          <w:color w:val="231F20"/>
          <w:spacing w:val="2"/>
        </w:rPr>
        <w:t>acoso </w:t>
      </w:r>
      <w:r>
        <w:rPr>
          <w:color w:val="231F20"/>
        </w:rPr>
        <w:t>se </w:t>
      </w:r>
      <w:r>
        <w:rPr>
          <w:color w:val="231F20"/>
          <w:spacing w:val="3"/>
        </w:rPr>
        <w:t>presentaron </w:t>
      </w:r>
      <w:r>
        <w:rPr>
          <w:color w:val="231F20"/>
        </w:rPr>
        <w:t>en la </w:t>
      </w:r>
      <w:r>
        <w:rPr>
          <w:color w:val="231F20"/>
          <w:spacing w:val="2"/>
        </w:rPr>
        <w:t>División </w:t>
      </w:r>
      <w:r>
        <w:rPr>
          <w:color w:val="231F20"/>
        </w:rPr>
        <w:t>de </w:t>
      </w:r>
      <w:r>
        <w:rPr>
          <w:color w:val="231F20"/>
          <w:spacing w:val="2"/>
        </w:rPr>
        <w:t>Ciencias </w:t>
      </w:r>
      <w:r>
        <w:rPr>
          <w:color w:val="231F20"/>
        </w:rPr>
        <w:t>de la </w:t>
      </w:r>
      <w:r>
        <w:rPr>
          <w:color w:val="231F20"/>
          <w:spacing w:val="2"/>
        </w:rPr>
        <w:t>Salud (cate- goría </w:t>
      </w:r>
      <w:r>
        <w:rPr>
          <w:color w:val="231F20"/>
        </w:rPr>
        <w:t>“en </w:t>
      </w:r>
      <w:r>
        <w:rPr>
          <w:color w:val="231F20"/>
          <w:spacing w:val="2"/>
        </w:rPr>
        <w:t>ocasiones”); </w:t>
      </w:r>
      <w:r>
        <w:rPr>
          <w:color w:val="231F20"/>
        </w:rPr>
        <w:t>en </w:t>
      </w:r>
      <w:r>
        <w:rPr>
          <w:color w:val="231F20"/>
          <w:spacing w:val="2"/>
        </w:rPr>
        <w:t>segundo lugar, </w:t>
      </w:r>
      <w:r>
        <w:rPr>
          <w:color w:val="231F20"/>
        </w:rPr>
        <w:t>a la </w:t>
      </w:r>
      <w:r>
        <w:rPr>
          <w:color w:val="231F20"/>
          <w:spacing w:val="2"/>
        </w:rPr>
        <w:t>División </w:t>
      </w:r>
      <w:r>
        <w:rPr>
          <w:color w:val="231F20"/>
        </w:rPr>
        <w:t>de </w:t>
      </w:r>
      <w:r>
        <w:rPr>
          <w:color w:val="231F20"/>
          <w:spacing w:val="2"/>
        </w:rPr>
        <w:t>Ciencias   </w:t>
      </w:r>
      <w:r>
        <w:rPr>
          <w:color w:val="231F20"/>
        </w:rPr>
        <w:t>e </w:t>
      </w:r>
      <w:r>
        <w:rPr>
          <w:color w:val="231F20"/>
          <w:spacing w:val="2"/>
        </w:rPr>
        <w:t>Ingeniería; </w:t>
      </w:r>
      <w:r>
        <w:rPr>
          <w:color w:val="231F20"/>
        </w:rPr>
        <w:t>y, </w:t>
      </w:r>
      <w:r>
        <w:rPr>
          <w:color w:val="231F20"/>
          <w:spacing w:val="2"/>
        </w:rPr>
        <w:t>finalmente, </w:t>
      </w:r>
      <w:r>
        <w:rPr>
          <w:color w:val="231F20"/>
        </w:rPr>
        <w:t>a la </w:t>
      </w:r>
      <w:r>
        <w:rPr>
          <w:color w:val="231F20"/>
          <w:spacing w:val="2"/>
        </w:rPr>
        <w:t>División </w:t>
      </w:r>
      <w:r>
        <w:rPr>
          <w:color w:val="231F20"/>
        </w:rPr>
        <w:t>de </w:t>
      </w:r>
      <w:r>
        <w:rPr>
          <w:color w:val="231F20"/>
          <w:spacing w:val="2"/>
        </w:rPr>
        <w:t>Ciencias Políticas </w:t>
      </w:r>
      <w:r>
        <w:rPr>
          <w:color w:val="231F20"/>
        </w:rPr>
        <w:t>y </w:t>
      </w:r>
      <w:r>
        <w:rPr>
          <w:color w:val="231F20"/>
          <w:spacing w:val="3"/>
        </w:rPr>
        <w:t>Humanidades.</w:t>
      </w:r>
      <w:r>
        <w:rPr>
          <w:color w:val="231F20"/>
          <w:spacing w:val="29"/>
        </w:rPr>
        <w:t> </w:t>
      </w:r>
      <w:r>
        <w:rPr>
          <w:color w:val="231F20"/>
          <w:spacing w:val="2"/>
        </w:rPr>
        <w:t>Esto</w:t>
      </w:r>
      <w:r>
        <w:rPr>
          <w:color w:val="231F20"/>
          <w:spacing w:val="30"/>
        </w:rPr>
        <w:t> </w:t>
      </w:r>
      <w:r>
        <w:rPr>
          <w:color w:val="231F20"/>
          <w:spacing w:val="2"/>
        </w:rPr>
        <w:t>sugiere</w:t>
      </w:r>
      <w:r>
        <w:rPr>
          <w:color w:val="231F20"/>
          <w:spacing w:val="30"/>
        </w:rPr>
        <w:t> </w:t>
      </w:r>
      <w:r>
        <w:rPr>
          <w:color w:val="231F20"/>
        </w:rPr>
        <w:t>que</w:t>
      </w:r>
      <w:r>
        <w:rPr>
          <w:color w:val="231F20"/>
          <w:spacing w:val="30"/>
        </w:rPr>
        <w:t> </w:t>
      </w:r>
      <w:r>
        <w:rPr>
          <w:color w:val="231F20"/>
        </w:rPr>
        <w:t>los</w:t>
      </w:r>
      <w:r>
        <w:rPr>
          <w:color w:val="231F20"/>
          <w:spacing w:val="30"/>
        </w:rPr>
        <w:t> </w:t>
      </w:r>
      <w:r>
        <w:rPr>
          <w:color w:val="231F20"/>
          <w:spacing w:val="2"/>
        </w:rPr>
        <w:t>estudiantes</w:t>
      </w:r>
      <w:r>
        <w:rPr>
          <w:color w:val="231F20"/>
          <w:spacing w:val="30"/>
        </w:rPr>
        <w:t> </w:t>
      </w:r>
      <w:r>
        <w:rPr>
          <w:color w:val="231F20"/>
        </w:rPr>
        <w:t>de</w:t>
      </w:r>
      <w:r>
        <w:rPr>
          <w:color w:val="231F20"/>
          <w:spacing w:val="30"/>
        </w:rPr>
        <w:t> </w:t>
      </w:r>
      <w:r>
        <w:rPr>
          <w:color w:val="231F20"/>
          <w:spacing w:val="2"/>
        </w:rPr>
        <w:t>Ciencias</w:t>
      </w:r>
      <w:r>
        <w:rPr>
          <w:color w:val="231F20"/>
          <w:spacing w:val="30"/>
        </w:rPr>
        <w:t> </w:t>
      </w:r>
      <w:r>
        <w:rPr>
          <w:color w:val="231F20"/>
        </w:rPr>
        <w:t>de</w:t>
      </w:r>
      <w:r>
        <w:rPr>
          <w:color w:val="231F20"/>
          <w:spacing w:val="30"/>
        </w:rPr>
        <w:t> </w:t>
      </w:r>
      <w:r>
        <w:rPr>
          <w:color w:val="231F20"/>
        </w:rPr>
        <w:t>la</w:t>
      </w:r>
    </w:p>
    <w:p>
      <w:pPr>
        <w:spacing w:after="0" w:line="249" w:lineRule="auto"/>
        <w:jc w:val="both"/>
        <w:sectPr>
          <w:headerReference w:type="default" r:id="rId670"/>
          <w:footerReference w:type="default" r:id="rId671"/>
          <w:pgSz w:w="7830" w:h="11910"/>
          <w:pgMar w:header="0" w:footer="424" w:top="500" w:bottom="620" w:left="920" w:right="880"/>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13" w:right="120"/>
        <w:jc w:val="both"/>
      </w:pPr>
      <w:r>
        <w:rPr>
          <w:color w:val="231F20"/>
          <w:spacing w:val="2"/>
        </w:rPr>
        <w:t>Salud son más </w:t>
      </w:r>
      <w:r>
        <w:rPr>
          <w:color w:val="231F20"/>
          <w:spacing w:val="3"/>
        </w:rPr>
        <w:t>propensos </w:t>
      </w:r>
      <w:r>
        <w:rPr>
          <w:color w:val="231F20"/>
        </w:rPr>
        <w:t>a ser </w:t>
      </w:r>
      <w:r>
        <w:rPr>
          <w:color w:val="231F20"/>
          <w:spacing w:val="2"/>
        </w:rPr>
        <w:t>víctimas </w:t>
      </w:r>
      <w:r>
        <w:rPr>
          <w:color w:val="231F20"/>
        </w:rPr>
        <w:t>de </w:t>
      </w:r>
      <w:r>
        <w:rPr>
          <w:color w:val="231F20"/>
          <w:spacing w:val="2"/>
        </w:rPr>
        <w:t>acoso, respecto </w:t>
      </w:r>
      <w:r>
        <w:rPr>
          <w:color w:val="231F20"/>
        </w:rPr>
        <w:t>a la  </w:t>
      </w:r>
      <w:r>
        <w:rPr>
          <w:color w:val="231F20"/>
          <w:spacing w:val="3"/>
        </w:rPr>
        <w:t>DCI </w:t>
      </w:r>
      <w:r>
        <w:rPr>
          <w:color w:val="231F20"/>
        </w:rPr>
        <w:t>y la</w:t>
      </w:r>
      <w:r>
        <w:rPr>
          <w:color w:val="231F20"/>
          <w:spacing w:val="36"/>
        </w:rPr>
        <w:t> </w:t>
      </w:r>
      <w:r>
        <w:rPr>
          <w:color w:val="231F20"/>
          <w:spacing w:val="3"/>
        </w:rPr>
        <w:t>DCPH.</w:t>
      </w:r>
    </w:p>
    <w:p>
      <w:pPr>
        <w:pStyle w:val="BodyText"/>
        <w:spacing w:line="249" w:lineRule="auto" w:before="1"/>
        <w:ind w:left="113" w:right="115" w:firstLine="284"/>
        <w:jc w:val="both"/>
      </w:pPr>
      <w:r>
        <w:rPr>
          <w:color w:val="231F20"/>
        </w:rPr>
        <w:t>Cuando se revisaron los resultados por rango de edad se ob- servó que los jóvenes de entre 19 y 22 años son víctimas de acoso en mayor porcentaje. Las pruebas estadísticas fueron significativas al comparar los grupos de edad p &lt; 0.01 en ambas  pruebas).</w:t>
      </w:r>
    </w:p>
    <w:p>
      <w:pPr>
        <w:pStyle w:val="BodyText"/>
        <w:rPr>
          <w:sz w:val="22"/>
        </w:rPr>
      </w:pPr>
    </w:p>
    <w:p>
      <w:pPr>
        <w:pStyle w:val="BodyText"/>
        <w:spacing w:before="5"/>
        <w:rPr>
          <w:sz w:val="20"/>
        </w:rPr>
      </w:pPr>
    </w:p>
    <w:p>
      <w:pPr>
        <w:pStyle w:val="BodyText"/>
        <w:ind w:left="113"/>
        <w:jc w:val="both"/>
      </w:pPr>
      <w:r>
        <w:rPr>
          <w:color w:val="231F20"/>
          <w:w w:val="105"/>
        </w:rPr>
        <w:t>CONCLUSIONES</w:t>
      </w:r>
    </w:p>
    <w:p>
      <w:pPr>
        <w:pStyle w:val="BodyText"/>
        <w:spacing w:before="3"/>
        <w:rPr>
          <w:sz w:val="20"/>
        </w:rPr>
      </w:pPr>
    </w:p>
    <w:p>
      <w:pPr>
        <w:pStyle w:val="BodyText"/>
        <w:spacing w:line="247" w:lineRule="auto"/>
        <w:ind w:left="113" w:right="118"/>
        <w:jc w:val="both"/>
      </w:pPr>
      <w:r>
        <w:rPr>
          <w:color w:val="231F20"/>
        </w:rPr>
        <w:t>Los resultados de este estudio reflejan un elevado grado de acuerdo general entre los estudiantes universitarios de las tres divisiones académicas, apoyando la influencia del contexto socio-cultural don- de se encuentran inmersos. Esta homogeneidad de respuesta  va  unida a peculiaridades específicas de los estudiantes de cada pro- grama educativo.</w:t>
      </w:r>
    </w:p>
    <w:p>
      <w:pPr>
        <w:spacing w:after="0" w:line="247" w:lineRule="auto"/>
        <w:jc w:val="both"/>
        <w:sectPr>
          <w:headerReference w:type="default" r:id="rId672"/>
          <w:footerReference w:type="default" r:id="rId673"/>
          <w:pgSz w:w="7830" w:h="11910"/>
          <w:pgMar w:header="0" w:footer="424" w:top="500" w:bottom="620" w:left="880" w:right="900"/>
          <w:pgNumType w:start="301"/>
        </w:sectPr>
      </w:pPr>
    </w:p>
    <w:p>
      <w:pPr>
        <w:spacing w:before="46"/>
        <w:ind w:left="1019" w:right="1325"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rPr>
          <w:sz w:val="16"/>
        </w:rPr>
      </w:pPr>
    </w:p>
    <w:p>
      <w:pPr>
        <w:spacing w:before="119"/>
        <w:ind w:left="1018" w:right="1325" w:firstLine="0"/>
        <w:jc w:val="center"/>
        <w:rPr>
          <w:b/>
          <w:sz w:val="19"/>
        </w:rPr>
      </w:pPr>
      <w:r>
        <w:rPr>
          <w:b/>
          <w:color w:val="231F20"/>
          <w:sz w:val="19"/>
        </w:rPr>
        <w:t>Tabla 1</w:t>
      </w:r>
    </w:p>
    <w:p>
      <w:pPr>
        <w:pStyle w:val="BodyText"/>
        <w:ind w:left="104"/>
        <w:rPr>
          <w:sz w:val="20"/>
        </w:rPr>
      </w:pPr>
      <w:r>
        <w:rPr>
          <w:sz w:val="20"/>
        </w:rPr>
        <w:drawing>
          <wp:inline distT="0" distB="0" distL="0" distR="0">
            <wp:extent cx="4389543" cy="4971573"/>
            <wp:effectExtent l="0" t="0" r="0" b="0"/>
            <wp:docPr id="47" name="image24.png" descr=""/>
            <wp:cNvGraphicFramePr>
              <a:graphicFrameLocks noChangeAspect="1"/>
            </wp:cNvGraphicFramePr>
            <a:graphic>
              <a:graphicData uri="http://schemas.openxmlformats.org/drawingml/2006/picture">
                <pic:pic>
                  <pic:nvPicPr>
                    <pic:cNvPr id="48" name="image24.png"/>
                    <pic:cNvPicPr/>
                  </pic:nvPicPr>
                  <pic:blipFill>
                    <a:blip r:embed="rId676" cstate="print"/>
                    <a:stretch>
                      <a:fillRect/>
                    </a:stretch>
                  </pic:blipFill>
                  <pic:spPr>
                    <a:xfrm>
                      <a:off x="0" y="0"/>
                      <a:ext cx="4389543" cy="4971573"/>
                    </a:xfrm>
                    <a:prstGeom prst="rect">
                      <a:avLst/>
                    </a:prstGeom>
                  </pic:spPr>
                </pic:pic>
              </a:graphicData>
            </a:graphic>
          </wp:inline>
        </w:drawing>
      </w:r>
      <w:r>
        <w:rPr>
          <w:sz w:val="20"/>
        </w:rPr>
      </w:r>
    </w:p>
    <w:p>
      <w:pPr>
        <w:spacing w:after="0"/>
        <w:rPr>
          <w:sz w:val="20"/>
        </w:rPr>
        <w:sectPr>
          <w:headerReference w:type="default" r:id="rId674"/>
          <w:footerReference w:type="default" r:id="rId675"/>
          <w:pgSz w:w="7830" w:h="11910"/>
          <w:pgMar w:header="0" w:footer="424" w:top="500" w:bottom="620" w:left="480" w:right="140"/>
          <w:pgNumType w:start="302"/>
        </w:sectPr>
      </w:pPr>
    </w:p>
    <w:p>
      <w:pPr>
        <w:spacing w:before="46"/>
        <w:ind w:left="1499" w:right="1883"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rPr>
          <w:sz w:val="16"/>
        </w:rPr>
      </w:pPr>
    </w:p>
    <w:p>
      <w:pPr>
        <w:pStyle w:val="BodyText"/>
        <w:spacing w:before="11"/>
        <w:rPr>
          <w:sz w:val="14"/>
        </w:rPr>
      </w:pPr>
    </w:p>
    <w:p>
      <w:pPr>
        <w:spacing w:before="0"/>
        <w:ind w:left="1499" w:right="1883" w:firstLine="0"/>
        <w:jc w:val="center"/>
        <w:rPr>
          <w:b/>
          <w:sz w:val="19"/>
        </w:rPr>
      </w:pPr>
      <w:r>
        <w:rPr>
          <w:b/>
          <w:color w:val="231F20"/>
          <w:sz w:val="19"/>
        </w:rPr>
        <w:t>Tabla 2.</w:t>
      </w:r>
    </w:p>
    <w:p>
      <w:pPr>
        <w:pStyle w:val="BodyText"/>
        <w:ind w:left="116"/>
        <w:rPr>
          <w:sz w:val="20"/>
        </w:rPr>
      </w:pPr>
      <w:r>
        <w:rPr>
          <w:sz w:val="20"/>
        </w:rPr>
        <w:drawing>
          <wp:inline distT="0" distB="0" distL="0" distR="0">
            <wp:extent cx="3921941" cy="4688871"/>
            <wp:effectExtent l="0" t="0" r="0" b="0"/>
            <wp:docPr id="49" name="image25.png" descr=""/>
            <wp:cNvGraphicFramePr>
              <a:graphicFrameLocks noChangeAspect="1"/>
            </wp:cNvGraphicFramePr>
            <a:graphic>
              <a:graphicData uri="http://schemas.openxmlformats.org/drawingml/2006/picture">
                <pic:pic>
                  <pic:nvPicPr>
                    <pic:cNvPr id="50" name="image25.png"/>
                    <pic:cNvPicPr/>
                  </pic:nvPicPr>
                  <pic:blipFill>
                    <a:blip r:embed="rId679" cstate="print"/>
                    <a:stretch>
                      <a:fillRect/>
                    </a:stretch>
                  </pic:blipFill>
                  <pic:spPr>
                    <a:xfrm>
                      <a:off x="0" y="0"/>
                      <a:ext cx="3921941" cy="4688871"/>
                    </a:xfrm>
                    <a:prstGeom prst="rect">
                      <a:avLst/>
                    </a:prstGeom>
                  </pic:spPr>
                </pic:pic>
              </a:graphicData>
            </a:graphic>
          </wp:inline>
        </w:drawing>
      </w:r>
      <w:r>
        <w:rPr>
          <w:sz w:val="20"/>
        </w:rPr>
      </w:r>
    </w:p>
    <w:p>
      <w:pPr>
        <w:spacing w:after="0"/>
        <w:rPr>
          <w:sz w:val="20"/>
        </w:rPr>
        <w:sectPr>
          <w:headerReference w:type="default" r:id="rId677"/>
          <w:footerReference w:type="default" r:id="rId678"/>
          <w:pgSz w:w="7830" w:h="11910"/>
          <w:pgMar w:header="0" w:footer="424" w:top="500" w:bottom="620" w:left="860" w:right="500"/>
          <w:pgNumType w:start="303"/>
        </w:sectPr>
      </w:pPr>
    </w:p>
    <w:p>
      <w:pPr>
        <w:spacing w:before="46"/>
        <w:ind w:left="599" w:right="925"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rPr>
          <w:sz w:val="16"/>
        </w:rPr>
      </w:pPr>
    </w:p>
    <w:p>
      <w:pPr>
        <w:spacing w:before="119"/>
        <w:ind w:left="599" w:right="924" w:firstLine="0"/>
        <w:jc w:val="center"/>
        <w:rPr>
          <w:b/>
          <w:sz w:val="19"/>
        </w:rPr>
      </w:pPr>
      <w:r>
        <w:rPr>
          <w:b/>
          <w:color w:val="231F20"/>
          <w:sz w:val="19"/>
        </w:rPr>
        <w:t>Tabla 3.</w:t>
      </w:r>
    </w:p>
    <w:p>
      <w:pPr>
        <w:pStyle w:val="BodyText"/>
        <w:ind w:left="104"/>
        <w:rPr>
          <w:sz w:val="20"/>
        </w:rPr>
      </w:pPr>
      <w:r>
        <w:rPr>
          <w:sz w:val="20"/>
        </w:rPr>
        <w:drawing>
          <wp:inline distT="0" distB="0" distL="0" distR="0">
            <wp:extent cx="3919728" cy="4882896"/>
            <wp:effectExtent l="0" t="0" r="0" b="0"/>
            <wp:docPr id="51" name="image26.png" descr=""/>
            <wp:cNvGraphicFramePr>
              <a:graphicFrameLocks noChangeAspect="1"/>
            </wp:cNvGraphicFramePr>
            <a:graphic>
              <a:graphicData uri="http://schemas.openxmlformats.org/drawingml/2006/picture">
                <pic:pic>
                  <pic:nvPicPr>
                    <pic:cNvPr id="52" name="image26.png"/>
                    <pic:cNvPicPr/>
                  </pic:nvPicPr>
                  <pic:blipFill>
                    <a:blip r:embed="rId682" cstate="print"/>
                    <a:stretch>
                      <a:fillRect/>
                    </a:stretch>
                  </pic:blipFill>
                  <pic:spPr>
                    <a:xfrm>
                      <a:off x="0" y="0"/>
                      <a:ext cx="3919728" cy="4882896"/>
                    </a:xfrm>
                    <a:prstGeom prst="rect">
                      <a:avLst/>
                    </a:prstGeom>
                  </pic:spPr>
                </pic:pic>
              </a:graphicData>
            </a:graphic>
          </wp:inline>
        </w:drawing>
      </w:r>
      <w:r>
        <w:rPr>
          <w:sz w:val="20"/>
        </w:rPr>
      </w:r>
    </w:p>
    <w:p>
      <w:pPr>
        <w:spacing w:after="0"/>
        <w:rPr>
          <w:sz w:val="20"/>
        </w:rPr>
        <w:sectPr>
          <w:headerReference w:type="default" r:id="rId680"/>
          <w:footerReference w:type="default" r:id="rId681"/>
          <w:pgSz w:w="7830" w:h="11910"/>
          <w:pgMar w:header="0" w:footer="424" w:top="500" w:bottom="620" w:left="900" w:right="540"/>
          <w:pgNumType w:start="304"/>
        </w:sectPr>
      </w:pPr>
    </w:p>
    <w:p>
      <w:pPr>
        <w:spacing w:before="46"/>
        <w:ind w:left="22" w:right="9"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spacing w:before="0"/>
        <w:ind w:left="113" w:right="104" w:firstLine="0"/>
        <w:jc w:val="left"/>
        <w:rPr>
          <w:sz w:val="17"/>
        </w:rPr>
      </w:pPr>
      <w:r>
        <w:rPr>
          <w:color w:val="231F20"/>
          <w:w w:val="105"/>
          <w:sz w:val="21"/>
        </w:rPr>
        <w:t>R</w:t>
      </w:r>
      <w:r>
        <w:rPr>
          <w:color w:val="231F20"/>
          <w:w w:val="105"/>
          <w:sz w:val="17"/>
        </w:rPr>
        <w:t>EFERENCIAS</w:t>
      </w:r>
    </w:p>
    <w:p>
      <w:pPr>
        <w:pStyle w:val="BodyText"/>
        <w:spacing w:line="247" w:lineRule="auto" w:before="128"/>
        <w:ind w:left="833" w:right="104" w:hanging="720"/>
      </w:pPr>
      <w:r>
        <w:rPr>
          <w:color w:val="231F20"/>
        </w:rPr>
        <w:t>Amórtegui-Osorio, Diana. (2005). Violencia en el ámbito universitario: El caso de la Universidad Nacional de </w:t>
      </w:r>
      <w:r>
        <w:rPr>
          <w:color w:val="231F20"/>
          <w:w w:val="95"/>
        </w:rPr>
        <w:t>Colombia. </w:t>
      </w:r>
      <w:r>
        <w:rPr>
          <w:i/>
          <w:color w:val="231F20"/>
          <w:w w:val="95"/>
        </w:rPr>
        <w:t>Revista de Salud Pública. 7</w:t>
      </w:r>
      <w:r>
        <w:rPr>
          <w:color w:val="231F20"/>
          <w:w w:val="95"/>
        </w:rPr>
        <w:t>(2), 157-165.</w:t>
      </w:r>
    </w:p>
    <w:p>
      <w:pPr>
        <w:spacing w:line="238" w:lineRule="exact" w:before="0"/>
        <w:ind w:left="113" w:right="104" w:firstLine="0"/>
        <w:jc w:val="left"/>
        <w:rPr>
          <w:i/>
          <w:sz w:val="21"/>
        </w:rPr>
      </w:pPr>
      <w:r>
        <w:rPr>
          <w:color w:val="231F20"/>
          <w:w w:val="90"/>
          <w:sz w:val="21"/>
        </w:rPr>
        <w:t>Bordieu, Pierre. (2008). </w:t>
      </w:r>
      <w:r>
        <w:rPr>
          <w:i/>
          <w:color w:val="231F20"/>
          <w:w w:val="90"/>
          <w:sz w:val="21"/>
        </w:rPr>
        <w:t>Los herederos. Los estudiantes y la cultura.</w:t>
      </w:r>
    </w:p>
    <w:p>
      <w:pPr>
        <w:pStyle w:val="BodyText"/>
        <w:spacing w:before="8"/>
        <w:ind w:left="833" w:right="104"/>
      </w:pPr>
      <w:r>
        <w:rPr>
          <w:color w:val="231F20"/>
        </w:rPr>
        <w:t>México DF: Siglo XXI.</w:t>
      </w:r>
    </w:p>
    <w:p>
      <w:pPr>
        <w:spacing w:line="247" w:lineRule="auto" w:before="3"/>
        <w:ind w:left="833" w:right="86" w:hanging="720"/>
        <w:jc w:val="left"/>
        <w:rPr>
          <w:i/>
          <w:sz w:val="21"/>
        </w:rPr>
      </w:pPr>
      <w:r>
        <w:rPr>
          <w:color w:val="231F20"/>
          <w:sz w:val="21"/>
        </w:rPr>
        <w:t>Burgués, Ana, Oliver, Esther, Redondo, Gisela y Ángela Serrano. (2006). Investigaciones mundiales sobre violencia de género en la universidad. </w:t>
      </w:r>
      <w:r>
        <w:rPr>
          <w:i/>
          <w:color w:val="231F20"/>
          <w:sz w:val="21"/>
        </w:rPr>
        <w:t>Convergencia con Europa y cambio en la </w:t>
      </w:r>
      <w:r>
        <w:rPr>
          <w:i/>
          <w:color w:val="231F20"/>
          <w:w w:val="85"/>
          <w:sz w:val="21"/>
        </w:rPr>
        <w:t>universidad. XI Conferencia de Sociología de la Educación.</w:t>
      </w:r>
    </w:p>
    <w:p>
      <w:pPr>
        <w:pStyle w:val="BodyText"/>
        <w:spacing w:before="1"/>
        <w:ind w:left="833" w:right="104"/>
      </w:pPr>
      <w:r>
        <w:rPr>
          <w:color w:val="231F20"/>
          <w:w w:val="95"/>
        </w:rPr>
        <w:t>Valencia: Alzira.</w:t>
      </w:r>
    </w:p>
    <w:p>
      <w:pPr>
        <w:pStyle w:val="BodyText"/>
        <w:spacing w:line="244" w:lineRule="auto" w:before="3"/>
        <w:ind w:left="833" w:right="104" w:hanging="721"/>
      </w:pPr>
      <w:r>
        <w:rPr>
          <w:color w:val="231F20"/>
        </w:rPr>
        <w:t>Gázquez, José, Lucas, Francisca, Palenzuela, María del Mar y Pérez, María del Carmen. (2008). Percepción de alumnado universitario sobre el origen de la violencia escolar.</w:t>
      </w:r>
    </w:p>
    <w:p>
      <w:pPr>
        <w:spacing w:before="3"/>
        <w:ind w:left="833" w:right="104" w:firstLine="0"/>
        <w:jc w:val="left"/>
        <w:rPr>
          <w:sz w:val="21"/>
        </w:rPr>
      </w:pPr>
      <w:r>
        <w:rPr>
          <w:i/>
          <w:color w:val="231F20"/>
          <w:w w:val="90"/>
          <w:sz w:val="21"/>
        </w:rPr>
        <w:t>European Journal of Education and Psychology</w:t>
      </w:r>
      <w:r>
        <w:rPr>
          <w:color w:val="231F20"/>
          <w:w w:val="90"/>
          <w:sz w:val="21"/>
        </w:rPr>
        <w:t>, </w:t>
      </w:r>
      <w:r>
        <w:rPr>
          <w:i/>
          <w:color w:val="231F20"/>
          <w:w w:val="90"/>
          <w:sz w:val="21"/>
        </w:rPr>
        <w:t>1</w:t>
      </w:r>
      <w:r>
        <w:rPr>
          <w:color w:val="231F20"/>
          <w:w w:val="90"/>
          <w:sz w:val="21"/>
        </w:rPr>
        <w:t>. 69-80.</w:t>
      </w:r>
    </w:p>
    <w:p>
      <w:pPr>
        <w:spacing w:line="247" w:lineRule="auto" w:before="3"/>
        <w:ind w:left="113" w:right="163" w:hanging="1"/>
        <w:jc w:val="left"/>
        <w:rPr>
          <w:sz w:val="21"/>
        </w:rPr>
      </w:pPr>
      <w:r>
        <w:rPr>
          <w:color w:val="231F20"/>
          <w:w w:val="95"/>
          <w:sz w:val="21"/>
        </w:rPr>
        <w:t>Hartog, Guitté. (2011). </w:t>
      </w:r>
      <w:r>
        <w:rPr>
          <w:i/>
          <w:color w:val="231F20"/>
          <w:w w:val="95"/>
          <w:sz w:val="21"/>
        </w:rPr>
        <w:t>Discriminación y violencia. </w:t>
      </w:r>
      <w:r>
        <w:rPr>
          <w:color w:val="231F20"/>
          <w:w w:val="95"/>
          <w:sz w:val="21"/>
        </w:rPr>
        <w:t>México DF: Trillas. </w:t>
      </w:r>
      <w:r>
        <w:rPr>
          <w:color w:val="231F20"/>
          <w:sz w:val="21"/>
        </w:rPr>
        <w:t>Larrañaga, Elisa, Martínez, Isabel y Yubero, Santiago. (2002).</w:t>
      </w:r>
    </w:p>
    <w:p>
      <w:pPr>
        <w:spacing w:line="247" w:lineRule="auto" w:before="0"/>
        <w:ind w:left="833" w:right="151" w:firstLine="0"/>
        <w:jc w:val="left"/>
        <w:rPr>
          <w:sz w:val="21"/>
        </w:rPr>
      </w:pPr>
      <w:r>
        <w:rPr>
          <w:color w:val="231F20"/>
          <w:sz w:val="21"/>
        </w:rPr>
        <w:t>Formación de los jovenes universitarios y percepcion de la </w:t>
      </w:r>
      <w:r>
        <w:rPr>
          <w:color w:val="231F20"/>
          <w:w w:val="95"/>
          <w:sz w:val="21"/>
        </w:rPr>
        <w:t>violencia. </w:t>
      </w:r>
      <w:r>
        <w:rPr>
          <w:i/>
          <w:color w:val="231F20"/>
          <w:w w:val="95"/>
          <w:sz w:val="21"/>
        </w:rPr>
        <w:t>Alternativas. Cuadernos de Trabajo Social, 10, </w:t>
      </w:r>
      <w:r>
        <w:rPr>
          <w:color w:val="231F20"/>
          <w:w w:val="95"/>
          <w:sz w:val="21"/>
        </w:rPr>
        <w:t>445- </w:t>
      </w:r>
      <w:r>
        <w:rPr>
          <w:color w:val="231F20"/>
          <w:sz w:val="21"/>
        </w:rPr>
        <w:t>457.</w:t>
      </w:r>
    </w:p>
    <w:p>
      <w:pPr>
        <w:spacing w:line="238" w:lineRule="exact" w:before="0"/>
        <w:ind w:left="113" w:right="104" w:firstLine="0"/>
        <w:jc w:val="left"/>
        <w:rPr>
          <w:i/>
          <w:sz w:val="21"/>
        </w:rPr>
      </w:pPr>
      <w:r>
        <w:rPr>
          <w:color w:val="231F20"/>
          <w:w w:val="95"/>
          <w:sz w:val="21"/>
        </w:rPr>
        <w:t>Mendoza-Estrada, María Teresa. (2011). </w:t>
      </w:r>
      <w:r>
        <w:rPr>
          <w:i/>
          <w:color w:val="231F20"/>
          <w:w w:val="95"/>
          <w:sz w:val="21"/>
        </w:rPr>
        <w:t>La violencia en la escuela.</w:t>
      </w:r>
    </w:p>
    <w:p>
      <w:pPr>
        <w:pStyle w:val="BodyText"/>
        <w:spacing w:before="8"/>
        <w:ind w:left="833" w:right="104"/>
      </w:pPr>
      <w:r>
        <w:rPr>
          <w:color w:val="231F20"/>
        </w:rPr>
        <w:t>México DF: Trillas .</w:t>
      </w:r>
    </w:p>
    <w:p>
      <w:pPr>
        <w:spacing w:line="247" w:lineRule="auto" w:before="3"/>
        <w:ind w:left="833" w:right="104" w:hanging="720"/>
        <w:jc w:val="left"/>
        <w:rPr>
          <w:sz w:val="21"/>
        </w:rPr>
      </w:pPr>
      <w:r>
        <w:rPr>
          <w:color w:val="231F20"/>
          <w:sz w:val="21"/>
        </w:rPr>
        <w:t>Peiró I., Gregori. (2009). Violencia y valores en las aulas </w:t>
      </w:r>
      <w:r>
        <w:rPr>
          <w:color w:val="231F20"/>
          <w:w w:val="95"/>
          <w:sz w:val="21"/>
        </w:rPr>
        <w:t>universitarias. </w:t>
      </w:r>
      <w:r>
        <w:rPr>
          <w:i/>
          <w:color w:val="231F20"/>
          <w:w w:val="95"/>
          <w:sz w:val="21"/>
        </w:rPr>
        <w:t>Salud, arte y cuidado, 2, </w:t>
      </w:r>
      <w:r>
        <w:rPr>
          <w:color w:val="231F20"/>
          <w:w w:val="95"/>
          <w:sz w:val="21"/>
        </w:rPr>
        <w:t>22-30.</w:t>
      </w:r>
    </w:p>
    <w:p>
      <w:pPr>
        <w:spacing w:line="247" w:lineRule="auto" w:before="0"/>
        <w:ind w:left="834" w:right="104" w:hanging="721"/>
        <w:jc w:val="left"/>
        <w:rPr>
          <w:sz w:val="21"/>
        </w:rPr>
      </w:pPr>
      <w:r>
        <w:rPr>
          <w:color w:val="231F20"/>
          <w:w w:val="96"/>
          <w:sz w:val="21"/>
        </w:rPr>
        <w:t>R</w:t>
      </w:r>
      <w:r>
        <w:rPr>
          <w:color w:val="231F20"/>
          <w:w w:val="84"/>
          <w:sz w:val="21"/>
        </w:rPr>
        <w:t>i</w:t>
      </w:r>
      <w:r>
        <w:rPr>
          <w:color w:val="231F20"/>
          <w:w w:val="104"/>
          <w:sz w:val="21"/>
        </w:rPr>
        <w:t>n</w:t>
      </w:r>
      <w:r>
        <w:rPr>
          <w:color w:val="231F20"/>
          <w:w w:val="96"/>
          <w:sz w:val="21"/>
        </w:rPr>
        <w:t>c</w:t>
      </w:r>
      <w:r>
        <w:rPr>
          <w:color w:val="231F20"/>
          <w:w w:val="104"/>
          <w:sz w:val="21"/>
        </w:rPr>
        <w:t>ón</w:t>
      </w:r>
      <w:r>
        <w:rPr>
          <w:color w:val="231F20"/>
          <w:w w:val="90"/>
          <w:sz w:val="21"/>
        </w:rPr>
        <w:t>,</w:t>
      </w:r>
      <w:r>
        <w:rPr>
          <w:color w:val="231F20"/>
          <w:sz w:val="21"/>
        </w:rPr>
        <w:t> </w:t>
      </w:r>
      <w:r>
        <w:rPr>
          <w:color w:val="231F20"/>
          <w:w w:val="96"/>
          <w:sz w:val="21"/>
        </w:rPr>
        <w:t>M</w:t>
      </w:r>
      <w:r>
        <w:rPr>
          <w:color w:val="231F20"/>
          <w:w w:val="94"/>
          <w:sz w:val="21"/>
        </w:rPr>
        <w:t>a</w:t>
      </w:r>
      <w:r>
        <w:rPr>
          <w:color w:val="231F20"/>
          <w:w w:val="103"/>
          <w:sz w:val="21"/>
        </w:rPr>
        <w:t>r</w:t>
      </w:r>
      <w:r>
        <w:rPr>
          <w:color w:val="231F20"/>
          <w:w w:val="84"/>
          <w:sz w:val="21"/>
        </w:rPr>
        <w:t>í</w:t>
      </w:r>
      <w:r>
        <w:rPr>
          <w:color w:val="231F20"/>
          <w:w w:val="94"/>
          <w:sz w:val="21"/>
        </w:rPr>
        <w:t>a</w:t>
      </w:r>
      <w:r>
        <w:rPr>
          <w:color w:val="231F20"/>
          <w:sz w:val="21"/>
        </w:rPr>
        <w:t> </w:t>
      </w:r>
      <w:r>
        <w:rPr>
          <w:color w:val="231F20"/>
          <w:w w:val="109"/>
          <w:sz w:val="21"/>
        </w:rPr>
        <w:t>G</w:t>
      </w:r>
      <w:r>
        <w:rPr>
          <w:color w:val="231F20"/>
          <w:w w:val="97"/>
          <w:sz w:val="21"/>
        </w:rPr>
        <w:t>ua</w:t>
      </w:r>
      <w:r>
        <w:rPr>
          <w:color w:val="231F20"/>
          <w:w w:val="102"/>
          <w:sz w:val="21"/>
        </w:rPr>
        <w:t>d</w:t>
      </w:r>
      <w:r>
        <w:rPr>
          <w:color w:val="231F20"/>
          <w:w w:val="94"/>
          <w:sz w:val="21"/>
        </w:rPr>
        <w:t>a</w:t>
      </w:r>
      <w:r>
        <w:rPr>
          <w:color w:val="231F20"/>
          <w:w w:val="84"/>
          <w:sz w:val="21"/>
        </w:rPr>
        <w:t>l</w:t>
      </w:r>
      <w:r>
        <w:rPr>
          <w:color w:val="231F20"/>
          <w:w w:val="102"/>
          <w:sz w:val="21"/>
        </w:rPr>
        <w:t>up</w:t>
      </w:r>
      <w:r>
        <w:rPr>
          <w:color w:val="231F20"/>
          <w:w w:val="96"/>
          <w:sz w:val="21"/>
        </w:rPr>
        <w:t>e</w:t>
      </w:r>
      <w:r>
        <w:rPr>
          <w:color w:val="231F20"/>
          <w:w w:val="90"/>
          <w:sz w:val="21"/>
        </w:rPr>
        <w:t>.</w:t>
      </w:r>
      <w:r>
        <w:rPr>
          <w:color w:val="231F20"/>
          <w:sz w:val="21"/>
        </w:rPr>
        <w:t> </w:t>
      </w:r>
      <w:r>
        <w:rPr>
          <w:color w:val="231F20"/>
          <w:w w:val="90"/>
          <w:sz w:val="21"/>
        </w:rPr>
        <w:t>(</w:t>
      </w:r>
      <w:r>
        <w:rPr>
          <w:color w:val="231F20"/>
          <w:w w:val="95"/>
          <w:sz w:val="21"/>
        </w:rPr>
        <w:t>2011)</w:t>
      </w:r>
      <w:r>
        <w:rPr>
          <w:color w:val="231F20"/>
          <w:w w:val="90"/>
          <w:sz w:val="21"/>
        </w:rPr>
        <w:t>.</w:t>
      </w:r>
      <w:r>
        <w:rPr>
          <w:color w:val="231F20"/>
          <w:sz w:val="21"/>
        </w:rPr>
        <w:t> </w:t>
      </w:r>
      <w:r>
        <w:rPr>
          <w:i/>
          <w:color w:val="231F20"/>
          <w:w w:val="94"/>
          <w:sz w:val="21"/>
        </w:rPr>
        <w:t>B</w:t>
      </w:r>
      <w:r>
        <w:rPr>
          <w:i/>
          <w:color w:val="231F20"/>
          <w:w w:val="87"/>
          <w:sz w:val="21"/>
        </w:rPr>
        <w:t>u</w:t>
      </w:r>
      <w:r>
        <w:rPr>
          <w:i/>
          <w:color w:val="231F20"/>
          <w:w w:val="79"/>
          <w:sz w:val="21"/>
        </w:rPr>
        <w:t>lly</w:t>
      </w:r>
      <w:r>
        <w:rPr>
          <w:i/>
          <w:color w:val="231F20"/>
          <w:w w:val="86"/>
          <w:sz w:val="21"/>
        </w:rPr>
        <w:t>in</w:t>
      </w:r>
      <w:r>
        <w:rPr>
          <w:i/>
          <w:color w:val="231F20"/>
          <w:w w:val="66"/>
          <w:sz w:val="21"/>
        </w:rPr>
        <w:t>g</w:t>
      </w:r>
      <w:r>
        <w:rPr>
          <w:i/>
          <w:color w:val="231F20"/>
          <w:w w:val="90"/>
          <w:sz w:val="21"/>
        </w:rPr>
        <w:t>.</w:t>
      </w:r>
      <w:r>
        <w:rPr>
          <w:i/>
          <w:color w:val="231F20"/>
          <w:sz w:val="21"/>
        </w:rPr>
        <w:t> </w:t>
      </w:r>
      <w:r>
        <w:rPr>
          <w:i/>
          <w:color w:val="231F20"/>
          <w:w w:val="128"/>
          <w:sz w:val="21"/>
        </w:rPr>
        <w:t>A</w:t>
      </w:r>
      <w:r>
        <w:rPr>
          <w:i/>
          <w:color w:val="231F20"/>
          <w:w w:val="62"/>
          <w:sz w:val="21"/>
        </w:rPr>
        <w:t>c</w:t>
      </w:r>
      <w:r>
        <w:rPr>
          <w:i/>
          <w:color w:val="231F20"/>
          <w:w w:val="74"/>
          <w:sz w:val="21"/>
        </w:rPr>
        <w:t>os</w:t>
      </w:r>
      <w:r>
        <w:rPr>
          <w:i/>
          <w:color w:val="231F20"/>
          <w:w w:val="72"/>
          <w:sz w:val="21"/>
        </w:rPr>
        <w:t>o</w:t>
      </w:r>
      <w:r>
        <w:rPr>
          <w:i/>
          <w:color w:val="231F20"/>
          <w:sz w:val="21"/>
        </w:rPr>
        <w:t> </w:t>
      </w:r>
      <w:r>
        <w:rPr>
          <w:i/>
          <w:color w:val="231F20"/>
          <w:w w:val="67"/>
          <w:sz w:val="21"/>
        </w:rPr>
        <w:t>e</w:t>
      </w:r>
      <w:r>
        <w:rPr>
          <w:i/>
          <w:color w:val="231F20"/>
          <w:w w:val="77"/>
          <w:sz w:val="21"/>
        </w:rPr>
        <w:t>s</w:t>
      </w:r>
      <w:r>
        <w:rPr>
          <w:i/>
          <w:color w:val="231F20"/>
          <w:w w:val="62"/>
          <w:sz w:val="21"/>
        </w:rPr>
        <w:t>c</w:t>
      </w:r>
      <w:r>
        <w:rPr>
          <w:i/>
          <w:color w:val="231F20"/>
          <w:w w:val="75"/>
          <w:sz w:val="21"/>
        </w:rPr>
        <w:t>ol</w:t>
      </w:r>
      <w:r>
        <w:rPr>
          <w:i/>
          <w:color w:val="231F20"/>
          <w:w w:val="83"/>
          <w:sz w:val="21"/>
        </w:rPr>
        <w:t>a</w:t>
      </w:r>
      <w:r>
        <w:rPr>
          <w:i/>
          <w:color w:val="231F20"/>
          <w:w w:val="79"/>
          <w:sz w:val="21"/>
        </w:rPr>
        <w:t>r</w:t>
      </w:r>
      <w:r>
        <w:rPr>
          <w:i/>
          <w:color w:val="231F20"/>
          <w:w w:val="90"/>
          <w:sz w:val="21"/>
        </w:rPr>
        <w:t>.</w:t>
      </w:r>
      <w:r>
        <w:rPr>
          <w:i/>
          <w:color w:val="231F20"/>
          <w:sz w:val="21"/>
        </w:rPr>
        <w:t> </w:t>
      </w:r>
      <w:r>
        <w:rPr>
          <w:color w:val="231F20"/>
          <w:w w:val="96"/>
          <w:sz w:val="21"/>
        </w:rPr>
        <w:t>M</w:t>
      </w:r>
      <w:r>
        <w:rPr>
          <w:color w:val="231F20"/>
          <w:w w:val="96"/>
          <w:sz w:val="21"/>
        </w:rPr>
        <w:t>é</w:t>
      </w:r>
      <w:r>
        <w:rPr>
          <w:color w:val="231F20"/>
          <w:w w:val="94"/>
          <w:sz w:val="21"/>
        </w:rPr>
        <w:t>x</w:t>
      </w:r>
      <w:r>
        <w:rPr>
          <w:color w:val="231F20"/>
          <w:w w:val="92"/>
          <w:sz w:val="21"/>
        </w:rPr>
        <w:t>ic</w:t>
      </w:r>
      <w:r>
        <w:rPr>
          <w:color w:val="231F20"/>
          <w:w w:val="104"/>
          <w:sz w:val="21"/>
        </w:rPr>
        <w:t>o</w:t>
      </w:r>
      <w:r>
        <w:rPr>
          <w:color w:val="231F20"/>
          <w:w w:val="80"/>
          <w:sz w:val="21"/>
        </w:rPr>
        <w:t>: </w:t>
      </w:r>
      <w:r>
        <w:rPr>
          <w:color w:val="231F20"/>
          <w:sz w:val="21"/>
        </w:rPr>
        <w:t>Trillas.</w:t>
      </w:r>
    </w:p>
    <w:p>
      <w:pPr>
        <w:pStyle w:val="BodyText"/>
        <w:spacing w:line="244" w:lineRule="auto" w:before="1"/>
        <w:ind w:left="833" w:right="104" w:hanging="719"/>
      </w:pPr>
      <w:r>
        <w:rPr>
          <w:color w:val="231F20"/>
        </w:rPr>
        <w:t>Sánchez-Olvera, Alma Rosa y Solís-Solís, María de Jesús. (2009). Las huellas de la violencia en el noviazgo: Estudiantes universitarios y trayectorias escolares de las FES Acatlán. </w:t>
      </w:r>
      <w:r>
        <w:rPr>
          <w:i/>
          <w:color w:val="231F20"/>
        </w:rPr>
        <w:t>x </w:t>
      </w:r>
      <w:r>
        <w:rPr>
          <w:i/>
          <w:color w:val="231F20"/>
          <w:w w:val="90"/>
        </w:rPr>
        <w:t>congreso de investigación educativa. </w:t>
      </w:r>
      <w:r>
        <w:rPr>
          <w:color w:val="231F20"/>
          <w:w w:val="90"/>
        </w:rPr>
        <w:t>México DF: COMIE.</w:t>
      </w:r>
    </w:p>
    <w:p>
      <w:pPr>
        <w:spacing w:after="0" w:line="244" w:lineRule="auto"/>
        <w:sectPr>
          <w:headerReference w:type="default" r:id="rId683"/>
          <w:footerReference w:type="default" r:id="rId684"/>
          <w:pgSz w:w="7830" w:h="11910"/>
          <w:pgMar w:header="0" w:footer="424" w:top="500" w:bottom="620" w:left="880" w:right="920"/>
          <w:pgNumType w:start="305"/>
        </w:sectPr>
      </w:pPr>
    </w:p>
    <w:p>
      <w:pPr>
        <w:pStyle w:val="BodyText"/>
        <w:rPr>
          <w:sz w:val="20"/>
        </w:rPr>
      </w:pPr>
      <w:r>
        <w:rPr/>
        <w:pict>
          <v:shape style="position:absolute;margin-left:74.355003pt;margin-top:413.243011pt;width:69pt;height:42pt;mso-position-horizontal-relative:page;mso-position-vertical-relative:page;z-index:-482560" type="#_x0000_t202" filled="false" stroked="false">
            <v:textbox inset="0,0,0,0">
              <w:txbxContent>
                <w:p>
                  <w:pPr>
                    <w:pStyle w:val="BodyText"/>
                    <w:rPr>
                      <w:sz w:val="18"/>
                    </w:rPr>
                  </w:pPr>
                </w:p>
                <w:p>
                  <w:pPr>
                    <w:pStyle w:val="BodyText"/>
                    <w:rPr>
                      <w:sz w:val="18"/>
                    </w:rPr>
                  </w:pPr>
                </w:p>
                <w:p>
                  <w:pPr>
                    <w:spacing w:before="120"/>
                    <w:ind w:left="431" w:right="0" w:firstLine="0"/>
                    <w:jc w:val="left"/>
                    <w:rPr>
                      <w:sz w:val="17"/>
                    </w:rPr>
                  </w:pPr>
                  <w:r>
                    <w:rPr>
                      <w:color w:val="231F20"/>
                      <w:w w:val="105"/>
                      <w:sz w:val="17"/>
                    </w:rPr>
                    <w:t>306</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after="1"/>
        <w:rPr>
          <w:sz w:val="22"/>
        </w:rPr>
      </w:pPr>
    </w:p>
    <w:p>
      <w:pPr>
        <w:pStyle w:val="BodyText"/>
        <w:ind w:left="427"/>
        <w:rPr>
          <w:sz w:val="20"/>
        </w:rPr>
      </w:pPr>
      <w:r>
        <w:rPr>
          <w:sz w:val="20"/>
        </w:rPr>
        <w:pict>
          <v:group style="width:69pt;height:42pt;mso-position-horizontal-relative:char;mso-position-vertical-relative:line" coordorigin="0,0" coordsize="1380,840">
            <v:rect style="position:absolute;left:0;top:0;width:1380;height:840" filled="true" fillcolor="#ffffff" stroked="false">
              <v:fill type="solid"/>
            </v:rect>
          </v:group>
        </w:pict>
      </w:r>
      <w:r>
        <w:rPr>
          <w:sz w:val="20"/>
        </w:rPr>
      </w:r>
    </w:p>
    <w:p>
      <w:pPr>
        <w:spacing w:after="0"/>
        <w:rPr>
          <w:sz w:val="20"/>
        </w:rPr>
        <w:sectPr>
          <w:headerReference w:type="default" r:id="rId685"/>
          <w:footerReference w:type="default" r:id="rId686"/>
          <w:pgSz w:w="7830" w:h="11910"/>
          <w:pgMar w:header="0" w:footer="0" w:top="1100" w:bottom="280" w:left="1060" w:right="1060"/>
        </w:sectPr>
      </w:pPr>
    </w:p>
    <w:p>
      <w:pPr>
        <w:pStyle w:val="BodyText"/>
        <w:ind w:left="483"/>
        <w:rPr>
          <w:sz w:val="20"/>
        </w:rPr>
      </w:pPr>
      <w:r>
        <w:rPr>
          <w:sz w:val="20"/>
        </w:rPr>
        <w:pict>
          <v:group style="width:261pt;height:36pt;mso-position-horizontal-relative:char;mso-position-vertical-relative:line" coordorigin="0,0" coordsize="5220,720">
            <v:rect style="position:absolute;left:0;top:0;width:5220;height:720" filled="true" fillcolor="#ffffff" stroked="false">
              <v:fill type="solid"/>
            </v:rect>
          </v:group>
        </w:pict>
      </w:r>
      <w:r>
        <w:rPr>
          <w:sz w:val="20"/>
        </w:rPr>
      </w:r>
    </w:p>
    <w:p>
      <w:pPr>
        <w:pStyle w:val="Heading2"/>
        <w:spacing w:line="316" w:lineRule="exact" w:before="7"/>
        <w:ind w:left="113" w:right="116"/>
        <w:rPr>
          <w:rFonts w:ascii="Arial" w:hAnsi="Arial"/>
          <w:sz w:val="28"/>
        </w:rPr>
      </w:pPr>
      <w:r>
        <w:rPr/>
        <w:pict>
          <v:shape style="position:absolute;margin-left:68.191002pt;margin-top:-37.030384pt;width:261pt;height:36pt;mso-position-horizontal-relative:page;mso-position-vertical-relative:paragraph;z-index:-482488" type="#_x0000_t202" filled="false" stroked="false">
            <v:textbox inset="0,0,0,0">
              <w:txbxContent>
                <w:p>
                  <w:pPr>
                    <w:spacing w:before="121"/>
                    <w:ind w:left="1004" w:right="0" w:firstLine="0"/>
                    <w:jc w:val="left"/>
                    <w:rPr>
                      <w:sz w:val="13"/>
                    </w:rPr>
                  </w:pPr>
                  <w:r>
                    <w:rPr>
                      <w:color w:val="231F20"/>
                      <w:sz w:val="16"/>
                    </w:rPr>
                    <w:t>E</w:t>
                  </w:r>
                  <w:r>
                    <w:rPr>
                      <w:color w:val="231F20"/>
                      <w:sz w:val="13"/>
                    </w:rPr>
                    <w:t>STUDIOS SOBRE VIOLENCIA EN LA EDUCACIÓN</w:t>
                  </w:r>
                </w:p>
              </w:txbxContent>
            </v:textbox>
            <w10:wrap type="none"/>
          </v:shape>
        </w:pict>
      </w:r>
      <w:r>
        <w:rPr>
          <w:rFonts w:ascii="Arial" w:hAnsi="Arial"/>
          <w:color w:val="231F20"/>
          <w:sz w:val="28"/>
        </w:rPr>
        <w:t>D</w:t>
      </w:r>
      <w:r>
        <w:rPr>
          <w:color w:val="231F20"/>
        </w:rPr>
        <w:t>ISCRIMINACIÓN HACIA </w:t>
      </w:r>
      <w:r>
        <w:rPr>
          <w:rFonts w:ascii="Georgia" w:hAnsi="Georgia"/>
          <w:color w:val="231F20"/>
        </w:rPr>
        <w:t>LA POBLACIÓN INDÍGEN</w:t>
      </w:r>
      <w:r>
        <w:rPr>
          <w:rFonts w:ascii="Corbel" w:hAnsi="Corbel"/>
          <w:color w:val="231F20"/>
        </w:rPr>
        <w:t>A </w:t>
      </w:r>
      <w:r>
        <w:rPr>
          <w:rFonts w:ascii="Georgia" w:hAnsi="Georgia"/>
          <w:color w:val="231F20"/>
        </w:rPr>
        <w:t>EN EL NIVEL DE EDUCACIÓ</w:t>
      </w:r>
      <w:r>
        <w:rPr>
          <w:color w:val="231F20"/>
        </w:rPr>
        <w:t>N SUPERIOR</w:t>
      </w:r>
      <w:r>
        <w:rPr>
          <w:rFonts w:ascii="Arial" w:hAnsi="Arial"/>
          <w:color w:val="231F20"/>
          <w:sz w:val="28"/>
        </w:rPr>
        <w:t>:</w:t>
      </w:r>
    </w:p>
    <w:p>
      <w:pPr>
        <w:spacing w:before="52"/>
        <w:ind w:left="113" w:right="0" w:firstLine="0"/>
        <w:jc w:val="both"/>
        <w:rPr>
          <w:b/>
          <w:sz w:val="21"/>
        </w:rPr>
      </w:pPr>
      <w:r>
        <w:rPr>
          <w:b/>
          <w:color w:val="231F20"/>
          <w:w w:val="105"/>
          <w:sz w:val="21"/>
        </w:rPr>
        <w:t>EL CASO DE LOS ESTUDIANTES DE LA UABJO</w:t>
      </w:r>
    </w:p>
    <w:p>
      <w:pPr>
        <w:pStyle w:val="BodyText"/>
        <w:spacing w:before="5"/>
        <w:rPr>
          <w:b/>
          <w:sz w:val="29"/>
        </w:rPr>
      </w:pPr>
    </w:p>
    <w:p>
      <w:pPr>
        <w:pStyle w:val="BodyText"/>
        <w:spacing w:line="242" w:lineRule="auto" w:before="1"/>
        <w:ind w:left="113" w:right="2169"/>
        <w:rPr>
          <w:sz w:val="17"/>
        </w:rPr>
      </w:pPr>
      <w:r>
        <w:rPr>
          <w:color w:val="231F20"/>
        </w:rPr>
        <w:t>Virginia Guadalupe Reyes de la Cruz</w:t>
      </w:r>
      <w:r>
        <w:rPr>
          <w:color w:val="231F20"/>
          <w:sz w:val="17"/>
        </w:rPr>
        <w:t>* </w:t>
      </w:r>
      <w:r>
        <w:rPr>
          <w:color w:val="231F20"/>
        </w:rPr>
        <w:t>Arturo Ruiz-López</w:t>
      </w:r>
      <w:r>
        <w:rPr>
          <w:color w:val="231F20"/>
          <w:sz w:val="17"/>
        </w:rPr>
        <w:t>**</w:t>
      </w:r>
    </w:p>
    <w:p>
      <w:pPr>
        <w:pStyle w:val="BodyText"/>
        <w:spacing w:before="6"/>
        <w:ind w:left="113"/>
        <w:jc w:val="both"/>
        <w:rPr>
          <w:sz w:val="17"/>
        </w:rPr>
      </w:pPr>
      <w:r>
        <w:rPr>
          <w:color w:val="231F20"/>
        </w:rPr>
        <w:t>Ana Margarita Alvarado-Juárez</w:t>
      </w:r>
      <w:r>
        <w:rPr>
          <w:color w:val="231F20"/>
          <w:sz w:val="17"/>
        </w:rPr>
        <w:t>***</w:t>
      </w:r>
    </w:p>
    <w:p>
      <w:pPr>
        <w:pStyle w:val="BodyText"/>
        <w:rPr>
          <w:sz w:val="22"/>
        </w:rPr>
      </w:pPr>
    </w:p>
    <w:p>
      <w:pPr>
        <w:pStyle w:val="BodyText"/>
        <w:rPr>
          <w:sz w:val="22"/>
        </w:rPr>
      </w:pPr>
    </w:p>
    <w:p>
      <w:pPr>
        <w:pStyle w:val="BodyText"/>
        <w:rPr>
          <w:sz w:val="22"/>
        </w:rPr>
      </w:pPr>
    </w:p>
    <w:p>
      <w:pPr>
        <w:pStyle w:val="BodyText"/>
        <w:spacing w:before="7"/>
        <w:rPr>
          <w:sz w:val="23"/>
        </w:rPr>
      </w:pPr>
    </w:p>
    <w:p>
      <w:pPr>
        <w:pStyle w:val="BodyText"/>
        <w:ind w:left="113"/>
        <w:jc w:val="both"/>
      </w:pPr>
      <w:r>
        <w:rPr>
          <w:color w:val="231F20"/>
        </w:rPr>
        <w:t>Resumen</w:t>
      </w:r>
    </w:p>
    <w:p>
      <w:pPr>
        <w:pStyle w:val="BodyText"/>
        <w:spacing w:line="244" w:lineRule="auto" w:before="8"/>
        <w:ind w:left="113" w:right="115"/>
        <w:jc w:val="both"/>
      </w:pPr>
      <w:r>
        <w:rPr>
          <w:color w:val="231F20"/>
        </w:rPr>
        <w:t>El presente artículo aborda el tema de la violencia desde un enfoque de discriminación a la que se enfrenta la población indígena en la Universidad Autónoma “Benito Juárez” de Oaxaca (UABJO), a partir de la Política Educativa en el nivel Superior del Programa de Apoyo a Estudiantes Indígenas. Para ello se parte desde los concep- tos de discriminación, discriminación institucional, social, interper- sonal y en el aula que permite situar a Oaxaca como principal actor en este tema, por ser un estado con mayor población indígena y dar cuenta de esa realidad</w:t>
      </w:r>
      <w:r>
        <w:rPr>
          <w:color w:val="231F20"/>
          <w:spacing w:val="-21"/>
        </w:rPr>
        <w:t> </w:t>
      </w:r>
      <w:r>
        <w:rPr>
          <w:color w:val="231F20"/>
        </w:rPr>
        <w:t>educativa.</w:t>
      </w:r>
    </w:p>
    <w:p>
      <w:pPr>
        <w:pStyle w:val="BodyText"/>
        <w:spacing w:before="6"/>
      </w:pPr>
    </w:p>
    <w:p>
      <w:pPr>
        <w:pStyle w:val="BodyText"/>
        <w:spacing w:line="247" w:lineRule="auto" w:before="1"/>
        <w:ind w:left="113" w:right="116"/>
      </w:pPr>
      <w:r>
        <w:rPr>
          <w:color w:val="231F20"/>
        </w:rPr>
        <w:t>Palabras clave: violencia, discriminación, política pública y pobla- ción indígena.</w:t>
      </w:r>
    </w:p>
    <w:p>
      <w:pPr>
        <w:pStyle w:val="BodyText"/>
        <w:rPr>
          <w:sz w:val="22"/>
        </w:rPr>
      </w:pPr>
    </w:p>
    <w:p>
      <w:pPr>
        <w:pStyle w:val="BodyText"/>
        <w:spacing w:before="7"/>
        <w:rPr>
          <w:sz w:val="20"/>
        </w:rPr>
      </w:pPr>
    </w:p>
    <w:p>
      <w:pPr>
        <w:pStyle w:val="BodyText"/>
        <w:spacing w:line="247" w:lineRule="auto"/>
        <w:ind w:left="113" w:right="116"/>
      </w:pPr>
      <w:r>
        <w:rPr>
          <w:color w:val="231F20"/>
        </w:rPr>
        <w:t>Discrimination against the indigenous population at the level of higher education: the case of students UABJO.</w:t>
      </w:r>
    </w:p>
    <w:p>
      <w:pPr>
        <w:pStyle w:val="BodyText"/>
        <w:spacing w:before="4"/>
      </w:pPr>
    </w:p>
    <w:p>
      <w:pPr>
        <w:pStyle w:val="BodyText"/>
        <w:ind w:left="113"/>
        <w:jc w:val="both"/>
      </w:pPr>
      <w:r>
        <w:rPr>
          <w:color w:val="231F20"/>
        </w:rPr>
        <w:t>Abstract</w:t>
      </w:r>
    </w:p>
    <w:p>
      <w:pPr>
        <w:pStyle w:val="BodyText"/>
        <w:spacing w:line="244" w:lineRule="auto" w:before="8"/>
        <w:ind w:left="113" w:right="116"/>
        <w:jc w:val="both"/>
      </w:pPr>
      <w:r>
        <w:rPr>
          <w:color w:val="231F20"/>
        </w:rPr>
        <w:t>The present article addresses the issue of violence from focus of discrimination to that faces the indigenous population in the Au- tonomous University “Benito Juarez” of Oaxaca (UABJO), recover- ing  the  Support  Program  for  Indigenous  Students  as Educational</w:t>
      </w:r>
    </w:p>
    <w:p>
      <w:pPr>
        <w:pStyle w:val="BodyText"/>
        <w:spacing w:before="2"/>
        <w:rPr>
          <w:sz w:val="22"/>
        </w:rPr>
      </w:pPr>
      <w:r>
        <w:rPr/>
        <w:pict>
          <v:line style="position:absolute;mso-position-horizontal-relative:page;mso-position-vertical-relative:paragraph;z-index:2752;mso-wrap-distance-left:0;mso-wrap-distance-right:0" from="49.669998pt,14.988199pt" to="193.669998pt,14.988199pt" stroked="true" strokeweight=".48pt" strokecolor="#231f20">
            <w10:wrap type="topAndBottom"/>
          </v:line>
        </w:pict>
      </w:r>
    </w:p>
    <w:p>
      <w:pPr>
        <w:spacing w:before="89"/>
        <w:ind w:left="113" w:right="116" w:firstLine="0"/>
        <w:jc w:val="left"/>
        <w:rPr>
          <w:sz w:val="14"/>
        </w:rPr>
      </w:pPr>
      <w:r>
        <w:rPr>
          <w:color w:val="231F20"/>
          <w:position w:val="-4"/>
          <w:sz w:val="17"/>
        </w:rPr>
        <w:t>*</w:t>
      </w:r>
      <w:r>
        <w:rPr>
          <w:color w:val="231F20"/>
          <w:sz w:val="14"/>
        </w:rPr>
        <w:t>Es profesora-investigadora adscrita a la Universidad Autónoma “Benito Juárez” de Oaxaca, México.</w:t>
      </w:r>
    </w:p>
    <w:p>
      <w:pPr>
        <w:spacing w:before="27"/>
        <w:ind w:left="113" w:right="116" w:firstLine="0"/>
        <w:jc w:val="left"/>
        <w:rPr>
          <w:sz w:val="14"/>
        </w:rPr>
      </w:pPr>
      <w:r>
        <w:rPr>
          <w:color w:val="231F20"/>
          <w:position w:val="-4"/>
          <w:sz w:val="17"/>
        </w:rPr>
        <w:t>**</w:t>
      </w:r>
      <w:r>
        <w:rPr>
          <w:color w:val="231F20"/>
          <w:sz w:val="14"/>
        </w:rPr>
        <w:t>Es profesor-investigador adscrito a la Universidad Autónoma “Benito Juárez” de Oaxaca, México.</w:t>
      </w:r>
    </w:p>
    <w:p>
      <w:pPr>
        <w:spacing w:before="32"/>
        <w:ind w:left="113" w:right="116" w:firstLine="0"/>
        <w:jc w:val="left"/>
        <w:rPr>
          <w:sz w:val="14"/>
        </w:rPr>
      </w:pPr>
      <w:r>
        <w:rPr>
          <w:color w:val="231F20"/>
          <w:w w:val="95"/>
          <w:position w:val="-4"/>
          <w:sz w:val="17"/>
        </w:rPr>
        <w:t>***</w:t>
      </w:r>
      <w:r>
        <w:rPr>
          <w:color w:val="231F20"/>
          <w:w w:val="95"/>
          <w:sz w:val="14"/>
        </w:rPr>
        <w:t>Es profesora-investigadora adscrita a la Universidad Autónoma “Benito Juárez” de Oaxaca, México.</w:t>
      </w:r>
    </w:p>
    <w:p>
      <w:pPr>
        <w:spacing w:after="0"/>
        <w:jc w:val="left"/>
        <w:rPr>
          <w:sz w:val="14"/>
        </w:rPr>
        <w:sectPr>
          <w:headerReference w:type="default" r:id="rId687"/>
          <w:footerReference w:type="default" r:id="rId688"/>
          <w:pgSz w:w="7830" w:h="11910"/>
          <w:pgMar w:header="0" w:footer="424" w:top="420" w:bottom="620" w:left="880" w:right="900"/>
          <w:pgNumType w:start="307"/>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07"/>
        <w:jc w:val="both"/>
      </w:pPr>
      <w:r>
        <w:rPr>
          <w:color w:val="231F20"/>
        </w:rPr>
        <w:t>Policy at the level superior but not really has achieved the integra- tion if no that they have been segmented. To do this we start from the concepts of discrimination, institutional, social, interpersonal discrimination and in the classroom that allows placing Oaxaca as a principal actor in this issue, by to be a state with largest indigenous population and account for participation in the educational</w:t>
      </w:r>
      <w:r>
        <w:rPr>
          <w:color w:val="231F20"/>
          <w:spacing w:val="48"/>
        </w:rPr>
        <w:t> </w:t>
      </w:r>
      <w:r>
        <w:rPr>
          <w:color w:val="231F20"/>
        </w:rPr>
        <w:t>reality.</w:t>
      </w:r>
    </w:p>
    <w:p>
      <w:pPr>
        <w:pStyle w:val="BodyText"/>
        <w:spacing w:before="4"/>
      </w:pPr>
    </w:p>
    <w:p>
      <w:pPr>
        <w:pStyle w:val="BodyText"/>
        <w:spacing w:line="247" w:lineRule="auto"/>
        <w:ind w:left="102" w:right="107"/>
        <w:jc w:val="both"/>
      </w:pPr>
      <w:r>
        <w:rPr>
          <w:color w:val="231F20"/>
        </w:rPr>
        <w:t>Keywords: violence, discrimination, educational policy and popula- tion indigenous.</w:t>
      </w:r>
    </w:p>
    <w:p>
      <w:pPr>
        <w:pStyle w:val="BodyText"/>
        <w:spacing w:before="7"/>
        <w:rPr>
          <w:sz w:val="22"/>
        </w:rPr>
      </w:pPr>
    </w:p>
    <w:p>
      <w:pPr>
        <w:pStyle w:val="BodyText"/>
        <w:ind w:left="102"/>
        <w:jc w:val="both"/>
      </w:pPr>
      <w:r>
        <w:rPr>
          <w:color w:val="231F20"/>
          <w:w w:val="105"/>
        </w:rPr>
        <w:t>INTRODUCCIÓN</w:t>
      </w:r>
    </w:p>
    <w:p>
      <w:pPr>
        <w:pStyle w:val="BodyText"/>
        <w:spacing w:before="1"/>
      </w:pPr>
    </w:p>
    <w:p>
      <w:pPr>
        <w:pStyle w:val="BodyText"/>
        <w:spacing w:line="247" w:lineRule="auto" w:before="1"/>
        <w:ind w:left="101" w:right="106"/>
        <w:jc w:val="both"/>
      </w:pPr>
      <w:r>
        <w:rPr>
          <w:color w:val="231F20"/>
        </w:rPr>
        <w:t>En el marco del proyecto colectivo Violencia y universidad de la  Red de Cuerpos Académicos se planteó el objetivo de develar los procesos contradictorios que se generan en las universidades, ya sea por las propias políticas educativas o por un excesivo manejo de la autoridad universitaria que refuerza una violencia en forma evidente o simbólica entre los propios sujetos de la educación, entre estu- diantes, profesores, o entre estos y las autoridades. Surgió la inquie- tud por parte de los integrantes del cuerpo  académico  Estudios  sobre la Sociedad Rural de la Universidad Autónoma “Benito Juá- rez” de Oaxaca de emprender el proyecto denominado “Formas de violencia simbólica hacia los estudiantes indígenas universitarios”, el cual se planteó el objetivo de hacer una revisión general de la dis- criminación que recibe la población indígena, y de manera particular de analizar la situación de violencia que viven los estudiantes indí- genas, los cuales llegan a cursar sus diferentes licenciaturas en la UABJO. Con este objetivo emprendimos nuestra investigación tomando como unidad de análisis a la Unidad Académica de Aten- ción a Estudiantes Indígenas, considerando que es la instancia que atiende</w:t>
      </w:r>
      <w:r>
        <w:rPr>
          <w:color w:val="231F20"/>
          <w:spacing w:val="-8"/>
        </w:rPr>
        <w:t> </w:t>
      </w:r>
      <w:r>
        <w:rPr>
          <w:color w:val="231F20"/>
        </w:rPr>
        <w:t>y</w:t>
      </w:r>
      <w:r>
        <w:rPr>
          <w:color w:val="231F20"/>
          <w:spacing w:val="-8"/>
        </w:rPr>
        <w:t> </w:t>
      </w:r>
      <w:r>
        <w:rPr>
          <w:color w:val="231F20"/>
        </w:rPr>
        <w:t>vigila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indígena</w:t>
      </w:r>
      <w:r>
        <w:rPr>
          <w:color w:val="231F20"/>
          <w:spacing w:val="-8"/>
        </w:rPr>
        <w:t> </w:t>
      </w:r>
      <w:r>
        <w:rPr>
          <w:color w:val="231F20"/>
        </w:rPr>
        <w:t>que</w:t>
      </w:r>
      <w:r>
        <w:rPr>
          <w:color w:val="231F20"/>
          <w:spacing w:val="-8"/>
        </w:rPr>
        <w:t> </w:t>
      </w:r>
      <w:r>
        <w:rPr>
          <w:color w:val="231F20"/>
        </w:rPr>
        <w:t>cursa</w:t>
      </w:r>
      <w:r>
        <w:rPr>
          <w:color w:val="231F20"/>
          <w:spacing w:val="-8"/>
        </w:rPr>
        <w:t> </w:t>
      </w:r>
      <w:r>
        <w:rPr>
          <w:color w:val="231F20"/>
        </w:rPr>
        <w:t>la</w:t>
      </w:r>
      <w:r>
        <w:rPr>
          <w:color w:val="231F20"/>
          <w:spacing w:val="-8"/>
        </w:rPr>
        <w:t> </w:t>
      </w:r>
      <w:r>
        <w:rPr>
          <w:color w:val="231F20"/>
        </w:rPr>
        <w:t>universidad.</w:t>
      </w:r>
    </w:p>
    <w:p>
      <w:pPr>
        <w:pStyle w:val="BodyText"/>
        <w:spacing w:line="249" w:lineRule="auto" w:before="10"/>
        <w:ind w:left="102" w:right="106" w:firstLine="284"/>
        <w:jc w:val="both"/>
      </w:pPr>
      <w:r>
        <w:rPr>
          <w:color w:val="231F20"/>
        </w:rPr>
        <w:t>En </w:t>
      </w:r>
      <w:r>
        <w:rPr>
          <w:color w:val="231F20"/>
          <w:spacing w:val="2"/>
        </w:rPr>
        <w:t>este sentido, </w:t>
      </w:r>
      <w:r>
        <w:rPr>
          <w:color w:val="231F20"/>
          <w:spacing w:val="3"/>
        </w:rPr>
        <w:t>consideramos </w:t>
      </w:r>
      <w:r>
        <w:rPr>
          <w:color w:val="231F20"/>
          <w:spacing w:val="2"/>
        </w:rPr>
        <w:t>pertinente </w:t>
      </w:r>
      <w:r>
        <w:rPr>
          <w:color w:val="231F20"/>
          <w:spacing w:val="3"/>
        </w:rPr>
        <w:t>abordar </w:t>
      </w:r>
      <w:r>
        <w:rPr>
          <w:color w:val="231F20"/>
        </w:rPr>
        <w:t>la </w:t>
      </w:r>
      <w:r>
        <w:rPr>
          <w:color w:val="231F20"/>
          <w:spacing w:val="2"/>
        </w:rPr>
        <w:t>violencia desde </w:t>
      </w:r>
      <w:r>
        <w:rPr>
          <w:color w:val="231F20"/>
        </w:rPr>
        <w:t>la </w:t>
      </w:r>
      <w:r>
        <w:rPr>
          <w:color w:val="231F20"/>
          <w:spacing w:val="2"/>
        </w:rPr>
        <w:t>discriminación, </w:t>
      </w:r>
      <w:r>
        <w:rPr>
          <w:color w:val="231F20"/>
        </w:rPr>
        <w:t>la </w:t>
      </w:r>
      <w:r>
        <w:rPr>
          <w:color w:val="231F20"/>
          <w:spacing w:val="2"/>
        </w:rPr>
        <w:t>cual </w:t>
      </w:r>
      <w:r>
        <w:rPr>
          <w:color w:val="231F20"/>
        </w:rPr>
        <w:t>ha </w:t>
      </w:r>
      <w:r>
        <w:rPr>
          <w:color w:val="231F20"/>
          <w:spacing w:val="2"/>
        </w:rPr>
        <w:t>sido analizada </w:t>
      </w:r>
      <w:r>
        <w:rPr>
          <w:color w:val="231F20"/>
        </w:rPr>
        <w:t>en </w:t>
      </w:r>
      <w:r>
        <w:rPr>
          <w:color w:val="231F20"/>
          <w:spacing w:val="3"/>
        </w:rPr>
        <w:t>educación </w:t>
      </w:r>
      <w:r>
        <w:rPr>
          <w:color w:val="231F20"/>
          <w:spacing w:val="2"/>
        </w:rPr>
        <w:t>básica, aunque hace falta </w:t>
      </w:r>
      <w:r>
        <w:rPr>
          <w:color w:val="231F20"/>
          <w:spacing w:val="3"/>
        </w:rPr>
        <w:t>mucha </w:t>
      </w:r>
      <w:r>
        <w:rPr>
          <w:color w:val="231F20"/>
          <w:spacing w:val="2"/>
        </w:rPr>
        <w:t>investigación </w:t>
      </w:r>
      <w:r>
        <w:rPr>
          <w:color w:val="231F20"/>
        </w:rPr>
        <w:t>al </w:t>
      </w:r>
      <w:r>
        <w:rPr>
          <w:color w:val="231F20"/>
          <w:spacing w:val="2"/>
        </w:rPr>
        <w:t>respecto  para tratar </w:t>
      </w:r>
      <w:r>
        <w:rPr>
          <w:color w:val="231F20"/>
        </w:rPr>
        <w:t>de </w:t>
      </w:r>
      <w:r>
        <w:rPr>
          <w:color w:val="231F20"/>
          <w:spacing w:val="2"/>
        </w:rPr>
        <w:t>entender </w:t>
      </w:r>
      <w:r>
        <w:rPr>
          <w:color w:val="231F20"/>
          <w:spacing w:val="3"/>
        </w:rPr>
        <w:t>cómo </w:t>
      </w:r>
      <w:r>
        <w:rPr>
          <w:color w:val="231F20"/>
        </w:rPr>
        <w:t>se </w:t>
      </w:r>
      <w:r>
        <w:rPr>
          <w:color w:val="231F20"/>
          <w:spacing w:val="2"/>
        </w:rPr>
        <w:t>vive esta situación </w:t>
      </w:r>
      <w:r>
        <w:rPr>
          <w:color w:val="231F20"/>
        </w:rPr>
        <w:t>en el </w:t>
      </w:r>
      <w:r>
        <w:rPr>
          <w:color w:val="231F20"/>
          <w:spacing w:val="2"/>
        </w:rPr>
        <w:t>nivel superior,   </w:t>
      </w:r>
      <w:r>
        <w:rPr>
          <w:color w:val="231F20"/>
        </w:rPr>
        <w:t>y de </w:t>
      </w:r>
      <w:r>
        <w:rPr>
          <w:color w:val="231F20"/>
          <w:spacing w:val="2"/>
        </w:rPr>
        <w:t>esta </w:t>
      </w:r>
      <w:r>
        <w:rPr>
          <w:color w:val="231F20"/>
          <w:spacing w:val="3"/>
        </w:rPr>
        <w:t>forma </w:t>
      </w:r>
      <w:r>
        <w:rPr>
          <w:color w:val="231F20"/>
          <w:spacing w:val="2"/>
        </w:rPr>
        <w:t>dar cuenta </w:t>
      </w:r>
      <w:r>
        <w:rPr>
          <w:color w:val="231F20"/>
        </w:rPr>
        <w:t>de </w:t>
      </w:r>
      <w:r>
        <w:rPr>
          <w:color w:val="231F20"/>
          <w:spacing w:val="2"/>
        </w:rPr>
        <w:t>qué </w:t>
      </w:r>
      <w:r>
        <w:rPr>
          <w:color w:val="231F20"/>
        </w:rPr>
        <w:t>se ha </w:t>
      </w:r>
      <w:r>
        <w:rPr>
          <w:color w:val="231F20"/>
          <w:spacing w:val="2"/>
        </w:rPr>
        <w:t>hecho </w:t>
      </w:r>
      <w:r>
        <w:rPr>
          <w:color w:val="231F20"/>
        </w:rPr>
        <w:t>a </w:t>
      </w:r>
      <w:r>
        <w:rPr>
          <w:color w:val="231F20"/>
          <w:spacing w:val="2"/>
        </w:rPr>
        <w:t>nivel </w:t>
      </w:r>
      <w:r>
        <w:rPr>
          <w:color w:val="231F20"/>
          <w:spacing w:val="3"/>
        </w:rPr>
        <w:t>institucional </w:t>
      </w:r>
      <w:r>
        <w:rPr>
          <w:color w:val="231F20"/>
          <w:spacing w:val="2"/>
        </w:rPr>
        <w:t>para apoyar </w:t>
      </w:r>
      <w:r>
        <w:rPr>
          <w:color w:val="231F20"/>
        </w:rPr>
        <w:t>a la </w:t>
      </w:r>
      <w:r>
        <w:rPr>
          <w:color w:val="231F20"/>
          <w:spacing w:val="2"/>
        </w:rPr>
        <w:t>población indígena </w:t>
      </w:r>
      <w:r>
        <w:rPr>
          <w:color w:val="231F20"/>
        </w:rPr>
        <w:t>en </w:t>
      </w:r>
      <w:r>
        <w:rPr>
          <w:color w:val="231F20"/>
          <w:spacing w:val="2"/>
        </w:rPr>
        <w:t>nuestro</w:t>
      </w:r>
      <w:r>
        <w:rPr>
          <w:color w:val="231F20"/>
          <w:spacing w:val="24"/>
        </w:rPr>
        <w:t> </w:t>
      </w:r>
      <w:r>
        <w:rPr>
          <w:color w:val="231F20"/>
          <w:spacing w:val="2"/>
        </w:rPr>
        <w:t>país.</w:t>
      </w:r>
    </w:p>
    <w:p>
      <w:pPr>
        <w:pStyle w:val="BodyText"/>
        <w:spacing w:line="247" w:lineRule="auto"/>
        <w:ind w:left="102" w:right="107" w:firstLine="283"/>
        <w:jc w:val="both"/>
      </w:pPr>
      <w:r>
        <w:rPr>
          <w:color w:val="231F20"/>
          <w:spacing w:val="3"/>
        </w:rPr>
        <w:t>Partimos </w:t>
      </w:r>
      <w:r>
        <w:rPr>
          <w:color w:val="231F20"/>
        </w:rPr>
        <w:t>de </w:t>
      </w:r>
      <w:r>
        <w:rPr>
          <w:color w:val="231F20"/>
          <w:spacing w:val="2"/>
        </w:rPr>
        <w:t>una revisión general </w:t>
      </w:r>
      <w:r>
        <w:rPr>
          <w:color w:val="231F20"/>
        </w:rPr>
        <w:t>de lo </w:t>
      </w:r>
      <w:r>
        <w:rPr>
          <w:color w:val="231F20"/>
          <w:spacing w:val="2"/>
        </w:rPr>
        <w:t>que </w:t>
      </w:r>
      <w:r>
        <w:rPr>
          <w:color w:val="231F20"/>
        </w:rPr>
        <w:t>se </w:t>
      </w:r>
      <w:r>
        <w:rPr>
          <w:color w:val="231F20"/>
          <w:spacing w:val="2"/>
        </w:rPr>
        <w:t>entiende por </w:t>
      </w:r>
      <w:r>
        <w:rPr>
          <w:color w:val="231F20"/>
          <w:spacing w:val="3"/>
        </w:rPr>
        <w:t>dis- </w:t>
      </w:r>
      <w:r>
        <w:rPr>
          <w:color w:val="231F20"/>
          <w:spacing w:val="2"/>
        </w:rPr>
        <w:t>criminación </w:t>
      </w:r>
      <w:r>
        <w:rPr>
          <w:color w:val="231F20"/>
        </w:rPr>
        <w:t>y </w:t>
      </w:r>
      <w:r>
        <w:rPr>
          <w:color w:val="231F20"/>
          <w:spacing w:val="2"/>
        </w:rPr>
        <w:t>otras categorías relacionadas </w:t>
      </w:r>
      <w:r>
        <w:rPr>
          <w:color w:val="231F20"/>
          <w:spacing w:val="3"/>
        </w:rPr>
        <w:t>como </w:t>
      </w:r>
      <w:r>
        <w:rPr>
          <w:color w:val="231F20"/>
          <w:spacing w:val="2"/>
        </w:rPr>
        <w:t>racismo </w:t>
      </w:r>
      <w:r>
        <w:rPr>
          <w:color w:val="231F20"/>
        </w:rPr>
        <w:t>y </w:t>
      </w:r>
      <w:r>
        <w:rPr>
          <w:color w:val="231F20"/>
          <w:spacing w:val="50"/>
        </w:rPr>
        <w:t> </w:t>
      </w:r>
      <w:r>
        <w:rPr>
          <w:color w:val="231F20"/>
          <w:spacing w:val="3"/>
        </w:rPr>
        <w:t>xeno-</w:t>
      </w:r>
    </w:p>
    <w:p>
      <w:pPr>
        <w:spacing w:after="0" w:line="247" w:lineRule="auto"/>
        <w:jc w:val="both"/>
        <w:sectPr>
          <w:headerReference w:type="default" r:id="rId689"/>
          <w:footerReference w:type="default" r:id="rId690"/>
          <w:pgSz w:w="7830" w:h="11910"/>
          <w:pgMar w:header="0" w:footer="424" w:top="500" w:bottom="620" w:left="920" w:right="880"/>
          <w:pgNumType w:start="308"/>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13" w:right="116"/>
        <w:jc w:val="both"/>
      </w:pPr>
      <w:r>
        <w:rPr>
          <w:color w:val="231F20"/>
          <w:spacing w:val="2"/>
        </w:rPr>
        <w:t>fobia para </w:t>
      </w:r>
      <w:r>
        <w:rPr>
          <w:color w:val="231F20"/>
          <w:spacing w:val="3"/>
        </w:rPr>
        <w:t>poder </w:t>
      </w:r>
      <w:r>
        <w:rPr>
          <w:color w:val="231F20"/>
          <w:spacing w:val="2"/>
        </w:rPr>
        <w:t>ubicar </w:t>
      </w:r>
      <w:r>
        <w:rPr>
          <w:color w:val="231F20"/>
        </w:rPr>
        <w:t>lo que se ha </w:t>
      </w:r>
      <w:r>
        <w:rPr>
          <w:color w:val="231F20"/>
          <w:spacing w:val="2"/>
        </w:rPr>
        <w:t>llamado discriminación insti- tucional, para </w:t>
      </w:r>
      <w:r>
        <w:rPr>
          <w:color w:val="231F20"/>
          <w:spacing w:val="3"/>
        </w:rPr>
        <w:t>posteriormente </w:t>
      </w:r>
      <w:r>
        <w:rPr>
          <w:color w:val="231F20"/>
          <w:spacing w:val="2"/>
        </w:rPr>
        <w:t>hacer </w:t>
      </w:r>
      <w:r>
        <w:rPr>
          <w:color w:val="231F20"/>
        </w:rPr>
        <w:t>un </w:t>
      </w:r>
      <w:r>
        <w:rPr>
          <w:color w:val="231F20"/>
          <w:spacing w:val="2"/>
        </w:rPr>
        <w:t>análisis cuantitativo </w:t>
      </w:r>
      <w:r>
        <w:rPr>
          <w:color w:val="231F20"/>
        </w:rPr>
        <w:t>de la </w:t>
      </w:r>
      <w:r>
        <w:rPr>
          <w:color w:val="231F20"/>
          <w:spacing w:val="2"/>
        </w:rPr>
        <w:t>población estudiantil </w:t>
      </w:r>
      <w:r>
        <w:rPr>
          <w:color w:val="231F20"/>
        </w:rPr>
        <w:t>que se </w:t>
      </w:r>
      <w:r>
        <w:rPr>
          <w:color w:val="231F20"/>
          <w:spacing w:val="2"/>
        </w:rPr>
        <w:t>encuentra </w:t>
      </w:r>
      <w:r>
        <w:rPr>
          <w:color w:val="231F20"/>
        </w:rPr>
        <w:t>en la </w:t>
      </w:r>
      <w:r>
        <w:rPr>
          <w:color w:val="231F20"/>
          <w:spacing w:val="2"/>
        </w:rPr>
        <w:t>universidad por géne- ro, grupo étnico </w:t>
      </w:r>
      <w:r>
        <w:rPr>
          <w:color w:val="231F20"/>
        </w:rPr>
        <w:t>y </w:t>
      </w:r>
      <w:r>
        <w:rPr>
          <w:color w:val="231F20"/>
          <w:spacing w:val="2"/>
        </w:rPr>
        <w:t>carrera, para,en seguida, pasar </w:t>
      </w:r>
      <w:r>
        <w:rPr>
          <w:color w:val="231F20"/>
        </w:rPr>
        <w:t>al </w:t>
      </w:r>
      <w:r>
        <w:rPr>
          <w:color w:val="231F20"/>
          <w:spacing w:val="2"/>
        </w:rPr>
        <w:t>dato cualitati- vo, tratando </w:t>
      </w:r>
      <w:r>
        <w:rPr>
          <w:color w:val="231F20"/>
        </w:rPr>
        <w:t>de </w:t>
      </w:r>
      <w:r>
        <w:rPr>
          <w:color w:val="231F20"/>
          <w:spacing w:val="2"/>
        </w:rPr>
        <w:t>recuperar </w:t>
      </w:r>
      <w:r>
        <w:rPr>
          <w:color w:val="231F20"/>
        </w:rPr>
        <w:t>la </w:t>
      </w:r>
      <w:r>
        <w:rPr>
          <w:color w:val="231F20"/>
          <w:spacing w:val="2"/>
        </w:rPr>
        <w:t>situación </w:t>
      </w:r>
      <w:r>
        <w:rPr>
          <w:color w:val="231F20"/>
        </w:rPr>
        <w:t>de </w:t>
      </w:r>
      <w:r>
        <w:rPr>
          <w:color w:val="231F20"/>
          <w:spacing w:val="2"/>
        </w:rPr>
        <w:t>violencia </w:t>
      </w:r>
      <w:r>
        <w:rPr>
          <w:color w:val="231F20"/>
        </w:rPr>
        <w:t>que  </w:t>
      </w:r>
      <w:r>
        <w:rPr>
          <w:color w:val="231F20"/>
          <w:spacing w:val="3"/>
        </w:rPr>
        <w:t>enfrentan  </w:t>
      </w:r>
      <w:r>
        <w:rPr>
          <w:color w:val="231F20"/>
          <w:spacing w:val="2"/>
        </w:rPr>
        <w:t>los estudiantes </w:t>
      </w:r>
      <w:r>
        <w:rPr>
          <w:color w:val="231F20"/>
        </w:rPr>
        <w:t>en </w:t>
      </w:r>
      <w:r>
        <w:rPr>
          <w:color w:val="231F20"/>
          <w:spacing w:val="2"/>
        </w:rPr>
        <w:t>los diferentes </w:t>
      </w:r>
      <w:r>
        <w:rPr>
          <w:color w:val="231F20"/>
          <w:spacing w:val="3"/>
        </w:rPr>
        <w:t>ámbitos </w:t>
      </w:r>
      <w:r>
        <w:rPr>
          <w:color w:val="231F20"/>
          <w:spacing w:val="2"/>
        </w:rPr>
        <w:t>institucionales </w:t>
      </w:r>
      <w:r>
        <w:rPr>
          <w:color w:val="231F20"/>
        </w:rPr>
        <w:t>y de </w:t>
      </w:r>
      <w:r>
        <w:rPr>
          <w:color w:val="231F20"/>
          <w:spacing w:val="2"/>
        </w:rPr>
        <w:t>rela- ciones</w:t>
      </w:r>
      <w:r>
        <w:rPr>
          <w:color w:val="231F20"/>
          <w:spacing w:val="-2"/>
        </w:rPr>
        <w:t> </w:t>
      </w:r>
      <w:r>
        <w:rPr>
          <w:color w:val="231F20"/>
          <w:spacing w:val="2"/>
        </w:rPr>
        <w:t>personales.</w:t>
      </w:r>
    </w:p>
    <w:p>
      <w:pPr>
        <w:pStyle w:val="BodyText"/>
        <w:spacing w:line="247" w:lineRule="auto"/>
        <w:ind w:left="113" w:right="115" w:firstLine="284"/>
        <w:jc w:val="both"/>
      </w:pPr>
      <w:r>
        <w:rPr>
          <w:color w:val="231F20"/>
        </w:rPr>
        <w:t>El </w:t>
      </w:r>
      <w:r>
        <w:rPr>
          <w:color w:val="231F20"/>
          <w:spacing w:val="2"/>
        </w:rPr>
        <w:t>artículo </w:t>
      </w:r>
      <w:r>
        <w:rPr>
          <w:color w:val="231F20"/>
        </w:rPr>
        <w:t>que </w:t>
      </w:r>
      <w:r>
        <w:rPr>
          <w:color w:val="231F20"/>
          <w:spacing w:val="3"/>
        </w:rPr>
        <w:t>presentamos </w:t>
      </w:r>
      <w:r>
        <w:rPr>
          <w:color w:val="231F20"/>
        </w:rPr>
        <w:t>a </w:t>
      </w:r>
      <w:r>
        <w:rPr>
          <w:color w:val="231F20"/>
          <w:spacing w:val="2"/>
        </w:rPr>
        <w:t>continuación </w:t>
      </w:r>
      <w:r>
        <w:rPr>
          <w:color w:val="231F20"/>
        </w:rPr>
        <w:t>lo </w:t>
      </w:r>
      <w:r>
        <w:rPr>
          <w:color w:val="231F20"/>
          <w:spacing w:val="3"/>
        </w:rPr>
        <w:t>hemos dividido</w:t>
      </w:r>
      <w:r>
        <w:rPr>
          <w:color w:val="231F20"/>
          <w:spacing w:val="58"/>
        </w:rPr>
        <w:t> </w:t>
      </w:r>
      <w:r>
        <w:rPr>
          <w:color w:val="231F20"/>
        </w:rPr>
        <w:t>en </w:t>
      </w:r>
      <w:r>
        <w:rPr>
          <w:color w:val="231F20"/>
          <w:spacing w:val="2"/>
        </w:rPr>
        <w:t>tres </w:t>
      </w:r>
      <w:r>
        <w:rPr>
          <w:color w:val="231F20"/>
          <w:spacing w:val="3"/>
        </w:rPr>
        <w:t>apartados fundamentales: </w:t>
      </w:r>
      <w:r>
        <w:rPr>
          <w:color w:val="231F20"/>
        </w:rPr>
        <w:t>el </w:t>
      </w:r>
      <w:r>
        <w:rPr>
          <w:color w:val="231F20"/>
          <w:spacing w:val="2"/>
        </w:rPr>
        <w:t>primero </w:t>
      </w:r>
      <w:r>
        <w:rPr>
          <w:color w:val="231F20"/>
        </w:rPr>
        <w:t>se ha </w:t>
      </w:r>
      <w:r>
        <w:rPr>
          <w:color w:val="231F20"/>
          <w:spacing w:val="3"/>
        </w:rPr>
        <w:t>enfocado al </w:t>
      </w:r>
      <w:r>
        <w:rPr>
          <w:color w:val="231F20"/>
          <w:spacing w:val="2"/>
        </w:rPr>
        <w:t>aspecto </w:t>
      </w:r>
      <w:r>
        <w:rPr>
          <w:color w:val="231F20"/>
        </w:rPr>
        <w:t>que </w:t>
      </w:r>
      <w:r>
        <w:rPr>
          <w:color w:val="231F20"/>
          <w:spacing w:val="3"/>
        </w:rPr>
        <w:t>enmarca </w:t>
      </w:r>
      <w:r>
        <w:rPr>
          <w:color w:val="231F20"/>
        </w:rPr>
        <w:t>las </w:t>
      </w:r>
      <w:r>
        <w:rPr>
          <w:color w:val="231F20"/>
          <w:spacing w:val="3"/>
        </w:rPr>
        <w:t>formas </w:t>
      </w:r>
      <w:r>
        <w:rPr>
          <w:color w:val="231F20"/>
        </w:rPr>
        <w:t>de </w:t>
      </w:r>
      <w:r>
        <w:rPr>
          <w:color w:val="231F20"/>
          <w:spacing w:val="2"/>
        </w:rPr>
        <w:t>violencia </w:t>
      </w:r>
      <w:r>
        <w:rPr>
          <w:color w:val="231F20"/>
        </w:rPr>
        <w:t>que se  </w:t>
      </w:r>
      <w:r>
        <w:rPr>
          <w:color w:val="231F20"/>
          <w:spacing w:val="3"/>
        </w:rPr>
        <w:t>presentan </w:t>
      </w:r>
      <w:r>
        <w:rPr>
          <w:color w:val="231F20"/>
          <w:spacing w:val="2"/>
        </w:rPr>
        <w:t>desde </w:t>
      </w:r>
      <w:r>
        <w:rPr>
          <w:color w:val="231F20"/>
        </w:rPr>
        <w:t>la </w:t>
      </w:r>
      <w:r>
        <w:rPr>
          <w:color w:val="231F20"/>
          <w:spacing w:val="2"/>
        </w:rPr>
        <w:t>discriminación; </w:t>
      </w:r>
      <w:r>
        <w:rPr>
          <w:color w:val="231F20"/>
          <w:spacing w:val="3"/>
        </w:rPr>
        <w:t>después, </w:t>
      </w:r>
      <w:r>
        <w:rPr>
          <w:color w:val="231F20"/>
        </w:rPr>
        <w:t>se </w:t>
      </w:r>
      <w:r>
        <w:rPr>
          <w:color w:val="231F20"/>
          <w:spacing w:val="3"/>
        </w:rPr>
        <w:t>aborda </w:t>
      </w:r>
      <w:r>
        <w:rPr>
          <w:color w:val="231F20"/>
        </w:rPr>
        <w:t>el </w:t>
      </w:r>
      <w:r>
        <w:rPr>
          <w:color w:val="231F20"/>
          <w:spacing w:val="3"/>
        </w:rPr>
        <w:t>programa </w:t>
      </w:r>
      <w:r>
        <w:rPr>
          <w:color w:val="231F20"/>
        </w:rPr>
        <w:t>de la </w:t>
      </w:r>
      <w:r>
        <w:rPr>
          <w:color w:val="231F20"/>
          <w:spacing w:val="2"/>
        </w:rPr>
        <w:t>Uni- dad Académica </w:t>
      </w:r>
      <w:r>
        <w:rPr>
          <w:color w:val="231F20"/>
        </w:rPr>
        <w:t>de </w:t>
      </w:r>
      <w:r>
        <w:rPr>
          <w:color w:val="231F20"/>
          <w:spacing w:val="2"/>
        </w:rPr>
        <w:t>Atención </w:t>
      </w:r>
      <w:r>
        <w:rPr>
          <w:color w:val="231F20"/>
        </w:rPr>
        <w:t>a </w:t>
      </w:r>
      <w:r>
        <w:rPr>
          <w:color w:val="231F20"/>
          <w:spacing w:val="3"/>
        </w:rPr>
        <w:t>Estudiantes </w:t>
      </w:r>
      <w:r>
        <w:rPr>
          <w:color w:val="231F20"/>
          <w:spacing w:val="2"/>
        </w:rPr>
        <w:t>Indígenas, </w:t>
      </w:r>
      <w:r>
        <w:rPr>
          <w:color w:val="231F20"/>
          <w:spacing w:val="3"/>
        </w:rPr>
        <w:t>enmarcado</w:t>
      </w:r>
      <w:r>
        <w:rPr>
          <w:color w:val="231F20"/>
          <w:spacing w:val="58"/>
        </w:rPr>
        <w:t> </w:t>
      </w:r>
      <w:r>
        <w:rPr>
          <w:color w:val="231F20"/>
        </w:rPr>
        <w:t>en la </w:t>
      </w:r>
      <w:r>
        <w:rPr>
          <w:color w:val="231F20"/>
          <w:spacing w:val="2"/>
        </w:rPr>
        <w:t>política pública que </w:t>
      </w:r>
      <w:r>
        <w:rPr>
          <w:color w:val="231F20"/>
        </w:rPr>
        <w:t>le </w:t>
      </w:r>
      <w:r>
        <w:rPr>
          <w:color w:val="231F20"/>
          <w:spacing w:val="2"/>
        </w:rPr>
        <w:t>dio origen para </w:t>
      </w:r>
      <w:r>
        <w:rPr>
          <w:color w:val="231F20"/>
        </w:rPr>
        <w:t>ver </w:t>
      </w:r>
      <w:r>
        <w:rPr>
          <w:color w:val="231F20"/>
          <w:spacing w:val="3"/>
        </w:rPr>
        <w:t>cómo </w:t>
      </w:r>
      <w:r>
        <w:rPr>
          <w:color w:val="231F20"/>
        </w:rPr>
        <w:t>ha </w:t>
      </w:r>
      <w:r>
        <w:rPr>
          <w:color w:val="231F20"/>
          <w:spacing w:val="3"/>
        </w:rPr>
        <w:t>funciona- </w:t>
      </w:r>
      <w:r>
        <w:rPr>
          <w:color w:val="231F20"/>
          <w:spacing w:val="2"/>
        </w:rPr>
        <w:t>do; </w:t>
      </w:r>
      <w:r>
        <w:rPr>
          <w:color w:val="231F20"/>
        </w:rPr>
        <w:t>y </w:t>
      </w:r>
      <w:r>
        <w:rPr>
          <w:color w:val="231F20"/>
          <w:spacing w:val="3"/>
        </w:rPr>
        <w:t>cerramos </w:t>
      </w:r>
      <w:r>
        <w:rPr>
          <w:color w:val="231F20"/>
          <w:spacing w:val="2"/>
        </w:rPr>
        <w:t>con </w:t>
      </w:r>
      <w:r>
        <w:rPr>
          <w:color w:val="231F20"/>
        </w:rPr>
        <w:t>el </w:t>
      </w:r>
      <w:r>
        <w:rPr>
          <w:color w:val="231F20"/>
          <w:spacing w:val="2"/>
        </w:rPr>
        <w:t>aspecto del análisis </w:t>
      </w:r>
      <w:r>
        <w:rPr>
          <w:color w:val="231F20"/>
        </w:rPr>
        <w:t>de la </w:t>
      </w:r>
      <w:r>
        <w:rPr>
          <w:color w:val="231F20"/>
          <w:spacing w:val="3"/>
        </w:rPr>
        <w:t>información reco- </w:t>
      </w:r>
      <w:r>
        <w:rPr>
          <w:color w:val="231F20"/>
          <w:spacing w:val="2"/>
        </w:rPr>
        <w:t>pilada </w:t>
      </w:r>
      <w:r>
        <w:rPr>
          <w:color w:val="231F20"/>
        </w:rPr>
        <w:t>en </w:t>
      </w:r>
      <w:r>
        <w:rPr>
          <w:color w:val="231F20"/>
          <w:spacing w:val="3"/>
        </w:rPr>
        <w:t>campo, </w:t>
      </w:r>
      <w:r>
        <w:rPr>
          <w:color w:val="231F20"/>
        </w:rPr>
        <w:t>el </w:t>
      </w:r>
      <w:r>
        <w:rPr>
          <w:color w:val="231F20"/>
          <w:spacing w:val="2"/>
        </w:rPr>
        <w:t>cual nos permite relacionar los dos </w:t>
      </w:r>
      <w:r>
        <w:rPr>
          <w:color w:val="231F20"/>
          <w:spacing w:val="3"/>
        </w:rPr>
        <w:t>primeros apartados </w:t>
      </w:r>
      <w:r>
        <w:rPr>
          <w:color w:val="231F20"/>
        </w:rPr>
        <w:t>y </w:t>
      </w:r>
      <w:r>
        <w:rPr>
          <w:color w:val="231F20"/>
          <w:spacing w:val="2"/>
        </w:rPr>
        <w:t>puntualizar los </w:t>
      </w:r>
      <w:r>
        <w:rPr>
          <w:color w:val="231F20"/>
          <w:spacing w:val="3"/>
        </w:rPr>
        <w:t>primeros </w:t>
      </w:r>
      <w:r>
        <w:rPr>
          <w:color w:val="231F20"/>
          <w:spacing w:val="2"/>
        </w:rPr>
        <w:t>hallazgos </w:t>
      </w:r>
      <w:r>
        <w:rPr>
          <w:color w:val="231F20"/>
        </w:rPr>
        <w:t>de la</w:t>
      </w:r>
      <w:r>
        <w:rPr>
          <w:color w:val="231F20"/>
          <w:spacing w:val="-32"/>
        </w:rPr>
        <w:t> </w:t>
      </w:r>
      <w:r>
        <w:rPr>
          <w:color w:val="231F20"/>
          <w:spacing w:val="2"/>
        </w:rPr>
        <w:t>investigación.</w:t>
      </w:r>
    </w:p>
    <w:p>
      <w:pPr>
        <w:pStyle w:val="BodyText"/>
        <w:spacing w:before="2"/>
        <w:rPr>
          <w:sz w:val="22"/>
        </w:rPr>
      </w:pPr>
    </w:p>
    <w:p>
      <w:pPr>
        <w:pStyle w:val="BodyText"/>
        <w:spacing w:line="247" w:lineRule="auto"/>
        <w:ind w:left="113" w:right="117"/>
        <w:jc w:val="both"/>
      </w:pPr>
      <w:r>
        <w:rPr>
          <w:color w:val="231F20"/>
          <w:w w:val="105"/>
        </w:rPr>
        <w:t>DISCRIMINACIÓN HACIA LA POBLACIÓN INDÍGENA: INSTITUCIONAL, SOCIAL E INDIVIDUAL</w:t>
      </w:r>
    </w:p>
    <w:p>
      <w:pPr>
        <w:pStyle w:val="BodyText"/>
        <w:spacing w:before="6"/>
        <w:rPr>
          <w:sz w:val="20"/>
        </w:rPr>
      </w:pPr>
    </w:p>
    <w:p>
      <w:pPr>
        <w:pStyle w:val="BodyText"/>
        <w:spacing w:line="244" w:lineRule="auto"/>
        <w:ind w:left="113" w:right="115"/>
        <w:jc w:val="both"/>
      </w:pPr>
      <w:r>
        <w:rPr>
          <w:color w:val="231F20"/>
        </w:rPr>
        <w:t>Para poder entender la problemática de la discriminación y ubicarla en el campo de la educación superior es necesario hacer una revi- sión general de los tipos de discriminación que se viven en nuestra sociedad por cuestiones de raza, de etnia, de cultura, etc. De igual forma, es útil adentrarnos a lo que se ha denominado discrimina- ción institucional, observando cómo a partir de los servicios institu- cionales, la política y la legislación enfocados a la población indíge- na, contiene en sus planteamientos y acciones la  discriminación. Todo esto da cuenta de la discriminación social que se vive cotidia- namente en diferentes contextos. El análisis del trabajo finaliza con  la discriminación dentro de los espacios escolares a partir de la in- teracción</w:t>
      </w:r>
      <w:r>
        <w:rPr>
          <w:color w:val="231F20"/>
          <w:spacing w:val="21"/>
        </w:rPr>
        <w:t> </w:t>
      </w:r>
      <w:r>
        <w:rPr>
          <w:color w:val="231F20"/>
        </w:rPr>
        <w:t>maestro-alumno.</w:t>
      </w:r>
    </w:p>
    <w:p>
      <w:pPr>
        <w:pStyle w:val="BodyText"/>
        <w:spacing w:before="3"/>
        <w:rPr>
          <w:sz w:val="23"/>
        </w:rPr>
      </w:pPr>
    </w:p>
    <w:p>
      <w:pPr>
        <w:spacing w:before="0"/>
        <w:ind w:left="113" w:right="0" w:firstLine="0"/>
        <w:jc w:val="both"/>
        <w:rPr>
          <w:i/>
          <w:sz w:val="21"/>
        </w:rPr>
      </w:pPr>
      <w:r>
        <w:rPr>
          <w:i/>
          <w:color w:val="231F20"/>
          <w:w w:val="85"/>
          <w:sz w:val="21"/>
        </w:rPr>
        <w:t>Tipos de discriminación</w:t>
      </w:r>
    </w:p>
    <w:p>
      <w:pPr>
        <w:pStyle w:val="BodyText"/>
        <w:spacing w:before="1"/>
        <w:rPr>
          <w:i/>
        </w:rPr>
      </w:pPr>
    </w:p>
    <w:p>
      <w:pPr>
        <w:pStyle w:val="BodyText"/>
        <w:spacing w:line="244" w:lineRule="auto" w:before="1"/>
        <w:ind w:left="113" w:right="117"/>
        <w:jc w:val="both"/>
      </w:pPr>
      <w:r>
        <w:rPr>
          <w:color w:val="231F20"/>
        </w:rPr>
        <w:t>Para poder entender este concepto tenemos en primer término una definición simple de discriminación: “Diferenciar, distinguir, separar una cosa de otra”, la cual no implica solo valoración negativa, sino puede  ser  inclusive  positiva.  También  se  define  como  “acción y</w:t>
      </w:r>
    </w:p>
    <w:p>
      <w:pPr>
        <w:spacing w:after="0" w:line="244" w:lineRule="auto"/>
        <w:jc w:val="both"/>
        <w:sectPr>
          <w:headerReference w:type="default" r:id="rId691"/>
          <w:footerReference w:type="default" r:id="rId692"/>
          <w:pgSz w:w="7830" w:h="11910"/>
          <w:pgMar w:header="0" w:footer="424" w:top="500" w:bottom="620" w:left="880" w:right="900"/>
          <w:pgNumType w:start="309"/>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4" w:lineRule="auto"/>
        <w:ind w:left="102" w:right="107"/>
        <w:jc w:val="both"/>
      </w:pPr>
      <w:r>
        <w:rPr>
          <w:color w:val="231F20"/>
        </w:rPr>
        <w:t>efecto de discriminar” o como “dar trato de inferioridad a una per- sona o colectividad por motivos raciales, religiosos, políticos, etcéte- ra” (DRAE).Esta forma de ver y entender la discriminación es la   que ha generado problemas sociales, ya que a partir de los prejuicios que se tienen en relación al otro, surgen problemas de discrimina- ción por pertenecer a una etnia, una clase social, por preferencias sexuales, por cuestiones culturales, lingüísticas, “raciales”, por las características individuales, por religión, la edad, el género y la filia- ción política, entre otras cuestiones. Aquí podemos decir que hay  dos razones que conducen a esta actitud: una es que ocurre de for-  ma inconsciente, ya sea por ignorancia o por desconocimiento de la problemática; y otra, de forma consciente, que es más grave</w:t>
      </w:r>
      <w:r>
        <w:rPr>
          <w:color w:val="231F20"/>
          <w:spacing w:val="9"/>
        </w:rPr>
        <w:t> </w:t>
      </w:r>
      <w:r>
        <w:rPr>
          <w:color w:val="231F20"/>
        </w:rPr>
        <w:t>aún:</w:t>
      </w:r>
    </w:p>
    <w:p>
      <w:pPr>
        <w:pStyle w:val="BodyText"/>
        <w:spacing w:before="3"/>
        <w:rPr>
          <w:sz w:val="23"/>
        </w:rPr>
      </w:pPr>
    </w:p>
    <w:p>
      <w:pPr>
        <w:pStyle w:val="ListParagraph"/>
        <w:numPr>
          <w:ilvl w:val="0"/>
          <w:numId w:val="18"/>
        </w:numPr>
        <w:tabs>
          <w:tab w:pos="822" w:val="left" w:leader="none"/>
          <w:tab w:pos="823" w:val="left" w:leader="none"/>
        </w:tabs>
        <w:spacing w:line="247" w:lineRule="exact" w:before="0" w:after="0"/>
        <w:ind w:left="822" w:right="0" w:hanging="360"/>
        <w:jc w:val="left"/>
        <w:rPr>
          <w:sz w:val="21"/>
        </w:rPr>
      </w:pPr>
      <w:r>
        <w:rPr>
          <w:color w:val="231F20"/>
          <w:sz w:val="21"/>
        </w:rPr>
        <w:t>El</w:t>
      </w:r>
      <w:r>
        <w:rPr>
          <w:color w:val="231F20"/>
          <w:spacing w:val="6"/>
          <w:sz w:val="21"/>
        </w:rPr>
        <w:t> </w:t>
      </w:r>
      <w:r>
        <w:rPr>
          <w:color w:val="231F20"/>
          <w:sz w:val="21"/>
        </w:rPr>
        <w:t>racismo</w:t>
      </w:r>
    </w:p>
    <w:p>
      <w:pPr>
        <w:pStyle w:val="BodyText"/>
        <w:spacing w:line="247" w:lineRule="auto"/>
        <w:ind w:left="101" w:right="108"/>
        <w:jc w:val="both"/>
      </w:pPr>
      <w:r>
        <w:rPr>
          <w:color w:val="231F20"/>
        </w:rPr>
        <w:t>El racismo se entiende como una ideología basada en la superiori- dad de una raza o etnia sobre otra, es decir, el menosprecio a un grupo diferente al propio por catalogarse como una raza o etnia superior. En nuestro contexto latinoamericano esto fue muy eviden- te desde la Conquista, ya que los conquistadores se consideraron  una “raza superior”, por tal motivo generaron un proceso de geno- cidio y etnocidio contra los nativos durante todo el periodo colo-  nial. En otros contextos este fenómeno se manifiesta de manera diferente, por ejemplo a los sujetos que pertenecen a los grupos minoritarios se les prohíbe el acceso a ciertos espacios o servicios, hoteles, restaurantes,</w:t>
      </w:r>
      <w:r>
        <w:rPr>
          <w:color w:val="231F20"/>
          <w:spacing w:val="6"/>
        </w:rPr>
        <w:t> </w:t>
      </w:r>
      <w:r>
        <w:rPr>
          <w:color w:val="231F20"/>
        </w:rPr>
        <w:t>etc.</w:t>
      </w:r>
    </w:p>
    <w:p>
      <w:pPr>
        <w:pStyle w:val="BodyText"/>
        <w:rPr>
          <w:sz w:val="22"/>
        </w:rPr>
      </w:pPr>
    </w:p>
    <w:p>
      <w:pPr>
        <w:pStyle w:val="BodyText"/>
        <w:spacing w:before="4"/>
        <w:rPr>
          <w:sz w:val="22"/>
        </w:rPr>
      </w:pPr>
    </w:p>
    <w:p>
      <w:pPr>
        <w:pStyle w:val="ListParagraph"/>
        <w:numPr>
          <w:ilvl w:val="0"/>
          <w:numId w:val="18"/>
        </w:numPr>
        <w:tabs>
          <w:tab w:pos="821" w:val="left" w:leader="none"/>
          <w:tab w:pos="822" w:val="left" w:leader="none"/>
        </w:tabs>
        <w:spacing w:line="247" w:lineRule="exact" w:before="0" w:after="0"/>
        <w:ind w:left="821" w:right="0" w:hanging="359"/>
        <w:jc w:val="left"/>
        <w:rPr>
          <w:sz w:val="21"/>
        </w:rPr>
      </w:pPr>
      <w:r>
        <w:rPr>
          <w:color w:val="231F20"/>
          <w:sz w:val="21"/>
        </w:rPr>
        <w:t>Por</w:t>
      </w:r>
      <w:r>
        <w:rPr>
          <w:color w:val="231F20"/>
          <w:spacing w:val="-10"/>
          <w:sz w:val="21"/>
        </w:rPr>
        <w:t> </w:t>
      </w:r>
      <w:r>
        <w:rPr>
          <w:color w:val="231F20"/>
          <w:sz w:val="21"/>
        </w:rPr>
        <w:t>cuestiones</w:t>
      </w:r>
      <w:r>
        <w:rPr>
          <w:color w:val="231F20"/>
          <w:spacing w:val="-10"/>
          <w:sz w:val="21"/>
        </w:rPr>
        <w:t> </w:t>
      </w:r>
      <w:r>
        <w:rPr>
          <w:color w:val="231F20"/>
          <w:sz w:val="21"/>
        </w:rPr>
        <w:t>étnicas,</w:t>
      </w:r>
      <w:r>
        <w:rPr>
          <w:color w:val="231F20"/>
          <w:spacing w:val="-11"/>
          <w:sz w:val="21"/>
        </w:rPr>
        <w:t> </w:t>
      </w:r>
      <w:r>
        <w:rPr>
          <w:color w:val="231F20"/>
          <w:sz w:val="21"/>
        </w:rPr>
        <w:t>culturales</w:t>
      </w:r>
      <w:r>
        <w:rPr>
          <w:color w:val="231F20"/>
          <w:spacing w:val="-10"/>
          <w:sz w:val="21"/>
        </w:rPr>
        <w:t> </w:t>
      </w:r>
      <w:r>
        <w:rPr>
          <w:color w:val="231F20"/>
          <w:sz w:val="21"/>
        </w:rPr>
        <w:t>y</w:t>
      </w:r>
      <w:r>
        <w:rPr>
          <w:color w:val="231F20"/>
          <w:spacing w:val="-11"/>
          <w:sz w:val="21"/>
        </w:rPr>
        <w:t> </w:t>
      </w:r>
      <w:r>
        <w:rPr>
          <w:color w:val="231F20"/>
          <w:sz w:val="21"/>
        </w:rPr>
        <w:t>lingüísticas</w:t>
      </w:r>
    </w:p>
    <w:p>
      <w:pPr>
        <w:pStyle w:val="BodyText"/>
        <w:spacing w:line="247" w:lineRule="auto"/>
        <w:ind w:left="101" w:right="108"/>
        <w:jc w:val="both"/>
      </w:pPr>
      <w:r>
        <w:rPr>
          <w:color w:val="231F20"/>
        </w:rPr>
        <w:t>Para el caso de la población indígena tres aspectos son relevantes a considerar para demostrar la discriminación: la pertenencia étnica, la cultura y la lengua. Desde tiempos de la Conquista y de la coloniza- ción se ha manifestado este tipo de discriminación, sobre todo hacia la población indígena por pertenecer a una etnia y poseer una cultu- ra, una lengua y tradiciones diferentes a la cultura occidental. Por ello, se les ha considerado inferiores frente a los blancos.</w:t>
      </w:r>
    </w:p>
    <w:p>
      <w:pPr>
        <w:pStyle w:val="BodyText"/>
        <w:spacing w:line="249" w:lineRule="auto" w:before="10"/>
        <w:ind w:left="101" w:right="109" w:firstLine="283"/>
        <w:jc w:val="both"/>
      </w:pPr>
      <w:r>
        <w:rPr>
          <w:color w:val="231F20"/>
        </w:rPr>
        <w:t>En cuanto a la cultura indígena se ha considerado que al no estar dentro de los cánones de la visión occidental lo que practican son costumbres y tradiciones, por lo tanto sus saberes locales no son conocimientos, porque no entran en la lógica del saber científico.</w:t>
      </w:r>
    </w:p>
    <w:p>
      <w:pPr>
        <w:spacing w:after="0" w:line="249" w:lineRule="auto"/>
        <w:jc w:val="both"/>
        <w:sectPr>
          <w:headerReference w:type="default" r:id="rId693"/>
          <w:footerReference w:type="default" r:id="rId694"/>
          <w:pgSz w:w="7830" w:h="11910"/>
          <w:pgMar w:header="0" w:footer="424" w:top="500" w:bottom="620" w:left="920" w:right="880"/>
          <w:pgNumType w:start="310"/>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12" w:right="116" w:firstLine="284"/>
        <w:jc w:val="both"/>
      </w:pPr>
      <w:r>
        <w:rPr>
          <w:color w:val="231F20"/>
        </w:rPr>
        <w:t>En </w:t>
      </w:r>
      <w:r>
        <w:rPr>
          <w:color w:val="231F20"/>
          <w:spacing w:val="2"/>
        </w:rPr>
        <w:t>cuanto </w:t>
      </w:r>
      <w:r>
        <w:rPr>
          <w:color w:val="231F20"/>
        </w:rPr>
        <w:t>a la </w:t>
      </w:r>
      <w:r>
        <w:rPr>
          <w:color w:val="231F20"/>
          <w:spacing w:val="2"/>
        </w:rPr>
        <w:t>lengua indígena, esta </w:t>
      </w:r>
      <w:r>
        <w:rPr>
          <w:color w:val="231F20"/>
        </w:rPr>
        <w:t>no </w:t>
      </w:r>
      <w:r>
        <w:rPr>
          <w:color w:val="231F20"/>
          <w:spacing w:val="2"/>
        </w:rPr>
        <w:t>está </w:t>
      </w:r>
      <w:r>
        <w:rPr>
          <w:color w:val="231F20"/>
          <w:spacing w:val="3"/>
        </w:rPr>
        <w:t>considerada como </w:t>
      </w:r>
      <w:r>
        <w:rPr>
          <w:color w:val="231F20"/>
          <w:spacing w:val="2"/>
        </w:rPr>
        <w:t>lengua </w:t>
      </w:r>
      <w:r>
        <w:rPr>
          <w:color w:val="231F20"/>
        </w:rPr>
        <w:t>de </w:t>
      </w:r>
      <w:r>
        <w:rPr>
          <w:color w:val="231F20"/>
          <w:spacing w:val="2"/>
        </w:rPr>
        <w:t>interacción </w:t>
      </w:r>
      <w:r>
        <w:rPr>
          <w:color w:val="231F20"/>
        </w:rPr>
        <w:t>en </w:t>
      </w:r>
      <w:r>
        <w:rPr>
          <w:color w:val="231F20"/>
          <w:spacing w:val="2"/>
        </w:rPr>
        <w:t>diferentes </w:t>
      </w:r>
      <w:r>
        <w:rPr>
          <w:color w:val="231F20"/>
          <w:spacing w:val="3"/>
        </w:rPr>
        <w:t>ámbitos comunicativos. </w:t>
      </w:r>
      <w:r>
        <w:rPr>
          <w:color w:val="231F20"/>
        </w:rPr>
        <w:t>En el </w:t>
      </w:r>
      <w:r>
        <w:rPr>
          <w:color w:val="231F20"/>
          <w:spacing w:val="2"/>
        </w:rPr>
        <w:t>espacio escolar </w:t>
      </w:r>
      <w:r>
        <w:rPr>
          <w:color w:val="231F20"/>
        </w:rPr>
        <w:t>no es </w:t>
      </w:r>
      <w:r>
        <w:rPr>
          <w:color w:val="231F20"/>
          <w:spacing w:val="2"/>
        </w:rPr>
        <w:t>utilizada </w:t>
      </w:r>
      <w:r>
        <w:rPr>
          <w:color w:val="231F20"/>
          <w:spacing w:val="3"/>
        </w:rPr>
        <w:t>como </w:t>
      </w:r>
      <w:r>
        <w:rPr>
          <w:color w:val="231F20"/>
          <w:spacing w:val="2"/>
        </w:rPr>
        <w:t>lengua </w:t>
      </w:r>
      <w:r>
        <w:rPr>
          <w:color w:val="231F20"/>
        </w:rPr>
        <w:t>de </w:t>
      </w:r>
      <w:r>
        <w:rPr>
          <w:color w:val="231F20"/>
          <w:spacing w:val="2"/>
        </w:rPr>
        <w:t>instrucción. </w:t>
      </w:r>
      <w:r>
        <w:rPr>
          <w:color w:val="231F20"/>
          <w:spacing w:val="3"/>
        </w:rPr>
        <w:t>Todo </w:t>
      </w:r>
      <w:r>
        <w:rPr>
          <w:color w:val="231F20"/>
          <w:spacing w:val="2"/>
        </w:rPr>
        <w:t>esto </w:t>
      </w:r>
      <w:r>
        <w:rPr>
          <w:color w:val="231F20"/>
        </w:rPr>
        <w:t>da </w:t>
      </w:r>
      <w:r>
        <w:rPr>
          <w:color w:val="231F20"/>
          <w:spacing w:val="2"/>
        </w:rPr>
        <w:t>lugar </w:t>
      </w:r>
      <w:r>
        <w:rPr>
          <w:color w:val="231F20"/>
        </w:rPr>
        <w:t>a </w:t>
      </w:r>
      <w:r>
        <w:rPr>
          <w:color w:val="231F20"/>
          <w:spacing w:val="2"/>
        </w:rPr>
        <w:t>que </w:t>
      </w:r>
      <w:r>
        <w:rPr>
          <w:color w:val="231F20"/>
        </w:rPr>
        <w:t>sea </w:t>
      </w:r>
      <w:r>
        <w:rPr>
          <w:color w:val="231F20"/>
          <w:spacing w:val="2"/>
        </w:rPr>
        <w:t>una lengua </w:t>
      </w:r>
      <w:r>
        <w:rPr>
          <w:color w:val="231F20"/>
          <w:spacing w:val="3"/>
        </w:rPr>
        <w:t>subordinada </w:t>
      </w:r>
      <w:r>
        <w:rPr>
          <w:color w:val="231F20"/>
        </w:rPr>
        <w:t>a la </w:t>
      </w:r>
      <w:r>
        <w:rPr>
          <w:color w:val="231F20"/>
          <w:spacing w:val="2"/>
        </w:rPr>
        <w:t>lengua oficial. </w:t>
      </w:r>
      <w:r>
        <w:rPr>
          <w:color w:val="231F20"/>
          <w:spacing w:val="3"/>
        </w:rPr>
        <w:t>Además, </w:t>
      </w:r>
      <w:r>
        <w:rPr>
          <w:color w:val="231F20"/>
        </w:rPr>
        <w:t>a las </w:t>
      </w:r>
      <w:r>
        <w:rPr>
          <w:color w:val="231F20"/>
          <w:spacing w:val="2"/>
        </w:rPr>
        <w:t>lenguas originarias </w:t>
      </w:r>
      <w:r>
        <w:rPr>
          <w:color w:val="231F20"/>
        </w:rPr>
        <w:t>se les ha </w:t>
      </w:r>
      <w:r>
        <w:rPr>
          <w:color w:val="231F20"/>
          <w:spacing w:val="2"/>
        </w:rPr>
        <w:t>considerado </w:t>
      </w:r>
      <w:r>
        <w:rPr>
          <w:color w:val="231F20"/>
          <w:spacing w:val="3"/>
        </w:rPr>
        <w:t>como len- </w:t>
      </w:r>
      <w:r>
        <w:rPr>
          <w:color w:val="231F20"/>
          <w:spacing w:val="2"/>
        </w:rPr>
        <w:t>guas ágrafas, </w:t>
      </w:r>
      <w:r>
        <w:rPr>
          <w:color w:val="231F20"/>
        </w:rPr>
        <w:t>sin </w:t>
      </w:r>
      <w:r>
        <w:rPr>
          <w:color w:val="231F20"/>
          <w:spacing w:val="2"/>
        </w:rPr>
        <w:t>alfabeto, </w:t>
      </w:r>
      <w:r>
        <w:rPr>
          <w:color w:val="231F20"/>
        </w:rPr>
        <w:t>sin </w:t>
      </w:r>
      <w:r>
        <w:rPr>
          <w:color w:val="231F20"/>
          <w:spacing w:val="2"/>
        </w:rPr>
        <w:t>literatura, estas </w:t>
      </w:r>
      <w:r>
        <w:rPr>
          <w:color w:val="231F20"/>
        </w:rPr>
        <w:t>se </w:t>
      </w:r>
      <w:r>
        <w:rPr>
          <w:color w:val="231F20"/>
          <w:spacing w:val="2"/>
        </w:rPr>
        <w:t>ubican dentro </w:t>
      </w:r>
      <w:r>
        <w:rPr>
          <w:color w:val="231F20"/>
        </w:rPr>
        <w:t>de   la </w:t>
      </w:r>
      <w:r>
        <w:rPr>
          <w:color w:val="231F20"/>
          <w:spacing w:val="2"/>
        </w:rPr>
        <w:t>categoría </w:t>
      </w:r>
      <w:r>
        <w:rPr>
          <w:color w:val="231F20"/>
        </w:rPr>
        <w:t>de </w:t>
      </w:r>
      <w:r>
        <w:rPr>
          <w:color w:val="231F20"/>
          <w:spacing w:val="2"/>
        </w:rPr>
        <w:t>dialectos. Por </w:t>
      </w:r>
      <w:r>
        <w:rPr>
          <w:color w:val="231F20"/>
        </w:rPr>
        <w:t>lo </w:t>
      </w:r>
      <w:r>
        <w:rPr>
          <w:color w:val="231F20"/>
          <w:spacing w:val="2"/>
        </w:rPr>
        <w:t>tanto, </w:t>
      </w:r>
      <w:r>
        <w:rPr>
          <w:color w:val="231F20"/>
        </w:rPr>
        <w:t>el </w:t>
      </w:r>
      <w:r>
        <w:rPr>
          <w:color w:val="231F20"/>
          <w:spacing w:val="2"/>
        </w:rPr>
        <w:t>sujeto </w:t>
      </w:r>
      <w:r>
        <w:rPr>
          <w:color w:val="231F20"/>
          <w:spacing w:val="3"/>
        </w:rPr>
        <w:t>portador </w:t>
      </w:r>
      <w:r>
        <w:rPr>
          <w:color w:val="231F20"/>
        </w:rPr>
        <w:t>de </w:t>
      </w:r>
      <w:r>
        <w:rPr>
          <w:color w:val="231F20"/>
          <w:spacing w:val="2"/>
        </w:rPr>
        <w:t>esta lengua </w:t>
      </w:r>
      <w:r>
        <w:rPr>
          <w:color w:val="231F20"/>
        </w:rPr>
        <w:t>la </w:t>
      </w:r>
      <w:r>
        <w:rPr>
          <w:color w:val="231F20"/>
          <w:spacing w:val="2"/>
        </w:rPr>
        <w:t>usa solo </w:t>
      </w:r>
      <w:r>
        <w:rPr>
          <w:color w:val="231F20"/>
          <w:spacing w:val="3"/>
        </w:rPr>
        <w:t>como </w:t>
      </w:r>
      <w:r>
        <w:rPr>
          <w:color w:val="231F20"/>
          <w:spacing w:val="2"/>
        </w:rPr>
        <w:t>“lengua </w:t>
      </w:r>
      <w:r>
        <w:rPr>
          <w:color w:val="231F20"/>
          <w:spacing w:val="3"/>
        </w:rPr>
        <w:t>doméstica”, </w:t>
      </w:r>
      <w:r>
        <w:rPr>
          <w:color w:val="231F20"/>
        </w:rPr>
        <w:t>ya </w:t>
      </w:r>
      <w:r>
        <w:rPr>
          <w:color w:val="231F20"/>
          <w:spacing w:val="2"/>
        </w:rPr>
        <w:t>que </w:t>
      </w:r>
      <w:r>
        <w:rPr>
          <w:color w:val="231F20"/>
        </w:rPr>
        <w:t>si la </w:t>
      </w:r>
      <w:r>
        <w:rPr>
          <w:color w:val="231F20"/>
          <w:spacing w:val="2"/>
        </w:rPr>
        <w:t>maneja frente </w:t>
      </w:r>
      <w:r>
        <w:rPr>
          <w:color w:val="231F20"/>
        </w:rPr>
        <w:t>a </w:t>
      </w:r>
      <w:r>
        <w:rPr>
          <w:color w:val="231F20"/>
          <w:spacing w:val="2"/>
        </w:rPr>
        <w:t>“otros” </w:t>
      </w:r>
      <w:r>
        <w:rPr>
          <w:color w:val="231F20"/>
        </w:rPr>
        <w:t>es</w:t>
      </w:r>
      <w:r>
        <w:rPr>
          <w:color w:val="231F20"/>
          <w:spacing w:val="36"/>
        </w:rPr>
        <w:t> </w:t>
      </w:r>
      <w:r>
        <w:rPr>
          <w:color w:val="231F20"/>
          <w:spacing w:val="3"/>
        </w:rPr>
        <w:t>discriminado.</w:t>
      </w:r>
    </w:p>
    <w:p>
      <w:pPr>
        <w:pStyle w:val="BodyText"/>
        <w:spacing w:before="7"/>
      </w:pPr>
    </w:p>
    <w:p>
      <w:pPr>
        <w:spacing w:before="0"/>
        <w:ind w:left="112" w:right="0" w:firstLine="0"/>
        <w:jc w:val="both"/>
        <w:rPr>
          <w:i/>
          <w:sz w:val="21"/>
        </w:rPr>
      </w:pPr>
      <w:r>
        <w:rPr>
          <w:i/>
          <w:color w:val="231F20"/>
          <w:w w:val="85"/>
          <w:sz w:val="21"/>
        </w:rPr>
        <w:t>Discriminación institucional, social e interpersonal hacia la población indígena</w:t>
      </w:r>
    </w:p>
    <w:p>
      <w:pPr>
        <w:pStyle w:val="BodyText"/>
        <w:spacing w:before="1"/>
        <w:rPr>
          <w:i/>
        </w:rPr>
      </w:pPr>
    </w:p>
    <w:p>
      <w:pPr>
        <w:pStyle w:val="BodyText"/>
        <w:spacing w:line="247" w:lineRule="auto" w:before="1"/>
        <w:ind w:left="112" w:right="117"/>
        <w:jc w:val="both"/>
      </w:pPr>
      <w:r>
        <w:rPr>
          <w:color w:val="231F20"/>
        </w:rPr>
        <w:t>En este apartado tratamos de desarrollar tres formas en las cuales se concreta la discriminación institucional: a) en los servicios que el Estado ofrece a través de políticas públicas e instituciones; b) en la toma de decisiones a través de la política indigenista, y c) en la legis- lación. Para poder entender de qué estamos hablando habría que definir qué entendemos por discriminación institucional. Al respec- to, retomando a Rodolfo Stavenhagen, se enuncia que la discrimina- ción institucional es el trato diferenciado que prevalece en el fun- cionamiento de las instituciones públicas o privadas hacia los miembros de determinadas minorías y grupos sociales a partir de criterios étnicos y raciales (Stavenhagen: 2001).</w:t>
      </w:r>
    </w:p>
    <w:p>
      <w:pPr>
        <w:spacing w:before="10"/>
        <w:ind w:left="112" w:right="0" w:firstLine="0"/>
        <w:jc w:val="both"/>
        <w:rPr>
          <w:i/>
          <w:sz w:val="21"/>
        </w:rPr>
      </w:pPr>
      <w:r>
        <w:rPr>
          <w:i/>
          <w:color w:val="231F20"/>
          <w:w w:val="85"/>
          <w:sz w:val="21"/>
        </w:rPr>
        <w:t>Discriminación institucional</w:t>
      </w:r>
    </w:p>
    <w:p>
      <w:pPr>
        <w:pStyle w:val="BodyText"/>
        <w:spacing w:before="4"/>
        <w:rPr>
          <w:i/>
          <w:sz w:val="22"/>
        </w:rPr>
      </w:pPr>
    </w:p>
    <w:p>
      <w:pPr>
        <w:pStyle w:val="ListParagraph"/>
        <w:numPr>
          <w:ilvl w:val="0"/>
          <w:numId w:val="19"/>
        </w:numPr>
        <w:tabs>
          <w:tab w:pos="322" w:val="left" w:leader="none"/>
        </w:tabs>
        <w:spacing w:line="241" w:lineRule="exact" w:before="1" w:after="0"/>
        <w:ind w:left="321" w:right="0" w:hanging="209"/>
        <w:jc w:val="both"/>
        <w:rPr>
          <w:sz w:val="21"/>
        </w:rPr>
      </w:pPr>
      <w:r>
        <w:rPr>
          <w:color w:val="231F20"/>
          <w:sz w:val="21"/>
        </w:rPr>
        <w:t>Servicios e</w:t>
      </w:r>
      <w:r>
        <w:rPr>
          <w:color w:val="231F20"/>
          <w:spacing w:val="-26"/>
          <w:sz w:val="21"/>
        </w:rPr>
        <w:t> </w:t>
      </w:r>
      <w:r>
        <w:rPr>
          <w:color w:val="231F20"/>
          <w:sz w:val="21"/>
        </w:rPr>
        <w:t>instituciones</w:t>
      </w:r>
    </w:p>
    <w:p>
      <w:pPr>
        <w:pStyle w:val="BodyText"/>
        <w:spacing w:line="244" w:lineRule="auto"/>
        <w:ind w:left="112" w:right="115"/>
        <w:jc w:val="both"/>
      </w:pPr>
      <w:r>
        <w:rPr>
          <w:color w:val="231F20"/>
          <w:spacing w:val="3"/>
        </w:rPr>
        <w:t>Al </w:t>
      </w:r>
      <w:r>
        <w:rPr>
          <w:color w:val="231F20"/>
          <w:spacing w:val="4"/>
        </w:rPr>
        <w:t>respecto </w:t>
      </w:r>
      <w:r>
        <w:rPr>
          <w:color w:val="231F20"/>
          <w:spacing w:val="5"/>
        </w:rPr>
        <w:t>podemos </w:t>
      </w:r>
      <w:r>
        <w:rPr>
          <w:color w:val="231F20"/>
          <w:spacing w:val="4"/>
        </w:rPr>
        <w:t>enunciar </w:t>
      </w:r>
      <w:r>
        <w:rPr>
          <w:color w:val="231F20"/>
          <w:spacing w:val="3"/>
        </w:rPr>
        <w:t>una </w:t>
      </w:r>
      <w:r>
        <w:rPr>
          <w:color w:val="231F20"/>
          <w:spacing w:val="4"/>
        </w:rPr>
        <w:t>diversidad </w:t>
      </w:r>
      <w:r>
        <w:rPr>
          <w:color w:val="231F20"/>
          <w:spacing w:val="2"/>
        </w:rPr>
        <w:t>de </w:t>
      </w:r>
      <w:r>
        <w:rPr>
          <w:color w:val="231F20"/>
          <w:spacing w:val="4"/>
        </w:rPr>
        <w:t>situaciones </w:t>
      </w:r>
      <w:r>
        <w:rPr>
          <w:color w:val="231F20"/>
          <w:spacing w:val="2"/>
        </w:rPr>
        <w:t>en  </w:t>
      </w:r>
      <w:r>
        <w:rPr>
          <w:color w:val="231F20"/>
          <w:spacing w:val="3"/>
        </w:rPr>
        <w:t>las </w:t>
      </w:r>
      <w:r>
        <w:rPr>
          <w:color w:val="231F20"/>
          <w:spacing w:val="4"/>
        </w:rPr>
        <w:t>que </w:t>
      </w:r>
      <w:r>
        <w:rPr>
          <w:color w:val="231F20"/>
          <w:spacing w:val="2"/>
        </w:rPr>
        <w:t>se </w:t>
      </w:r>
      <w:r>
        <w:rPr>
          <w:color w:val="231F20"/>
          <w:spacing w:val="4"/>
        </w:rPr>
        <w:t>manifiesta </w:t>
      </w:r>
      <w:r>
        <w:rPr>
          <w:color w:val="231F20"/>
          <w:spacing w:val="3"/>
        </w:rPr>
        <w:t>este tipo de </w:t>
      </w:r>
      <w:r>
        <w:rPr>
          <w:color w:val="231F20"/>
          <w:spacing w:val="4"/>
        </w:rPr>
        <w:t>discriminación. Por cuestiones  </w:t>
      </w:r>
      <w:r>
        <w:rPr>
          <w:color w:val="231F20"/>
          <w:spacing w:val="3"/>
        </w:rPr>
        <w:t>de </w:t>
      </w:r>
      <w:r>
        <w:rPr>
          <w:color w:val="231F20"/>
          <w:spacing w:val="4"/>
        </w:rPr>
        <w:t>tiempo </w:t>
      </w:r>
      <w:r>
        <w:rPr>
          <w:color w:val="231F20"/>
          <w:spacing w:val="3"/>
        </w:rPr>
        <w:t>solo </w:t>
      </w:r>
      <w:r>
        <w:rPr>
          <w:color w:val="231F20"/>
          <w:spacing w:val="5"/>
        </w:rPr>
        <w:t>abordaremos </w:t>
      </w:r>
      <w:r>
        <w:rPr>
          <w:color w:val="231F20"/>
        </w:rPr>
        <w:t>lo </w:t>
      </w:r>
      <w:r>
        <w:rPr>
          <w:color w:val="231F20"/>
          <w:spacing w:val="4"/>
        </w:rPr>
        <w:t>relacionado </w:t>
      </w:r>
      <w:r>
        <w:rPr>
          <w:color w:val="231F20"/>
          <w:spacing w:val="2"/>
        </w:rPr>
        <w:t>al </w:t>
      </w:r>
      <w:r>
        <w:rPr>
          <w:color w:val="231F20"/>
          <w:spacing w:val="4"/>
        </w:rPr>
        <w:t>aspecto </w:t>
      </w:r>
      <w:r>
        <w:rPr>
          <w:color w:val="231F20"/>
          <w:spacing w:val="5"/>
        </w:rPr>
        <w:t>educativo. </w:t>
      </w:r>
      <w:r>
        <w:rPr>
          <w:color w:val="231F20"/>
          <w:spacing w:val="3"/>
        </w:rPr>
        <w:t>Es </w:t>
      </w:r>
      <w:r>
        <w:rPr>
          <w:color w:val="231F20"/>
          <w:spacing w:val="4"/>
        </w:rPr>
        <w:t>necesario aclarar </w:t>
      </w:r>
      <w:r>
        <w:rPr>
          <w:color w:val="231F20"/>
          <w:spacing w:val="3"/>
        </w:rPr>
        <w:t>que </w:t>
      </w:r>
      <w:r>
        <w:rPr>
          <w:color w:val="231F20"/>
          <w:spacing w:val="2"/>
        </w:rPr>
        <w:t>no </w:t>
      </w:r>
      <w:r>
        <w:rPr>
          <w:color w:val="231F20"/>
          <w:spacing w:val="3"/>
        </w:rPr>
        <w:t>solo </w:t>
      </w:r>
      <w:r>
        <w:rPr>
          <w:color w:val="231F20"/>
          <w:spacing w:val="4"/>
        </w:rPr>
        <w:t>hacen </w:t>
      </w:r>
      <w:r>
        <w:rPr>
          <w:color w:val="231F20"/>
          <w:spacing w:val="3"/>
        </w:rPr>
        <w:t>falta </w:t>
      </w:r>
      <w:r>
        <w:rPr>
          <w:color w:val="231F20"/>
          <w:spacing w:val="4"/>
        </w:rPr>
        <w:t>espacios educativos, </w:t>
      </w:r>
      <w:r>
        <w:rPr>
          <w:color w:val="231F20"/>
          <w:spacing w:val="3"/>
        </w:rPr>
        <w:t>sino </w:t>
      </w:r>
      <w:r>
        <w:rPr>
          <w:color w:val="231F20"/>
          <w:spacing w:val="4"/>
        </w:rPr>
        <w:t>también </w:t>
      </w:r>
      <w:r>
        <w:rPr>
          <w:color w:val="231F20"/>
        </w:rPr>
        <w:t>la </w:t>
      </w:r>
      <w:r>
        <w:rPr>
          <w:color w:val="231F20"/>
          <w:spacing w:val="4"/>
        </w:rPr>
        <w:t>accesibilidad </w:t>
      </w:r>
      <w:r>
        <w:rPr>
          <w:color w:val="231F20"/>
        </w:rPr>
        <w:t>a </w:t>
      </w:r>
      <w:r>
        <w:rPr>
          <w:color w:val="231F20"/>
          <w:spacing w:val="4"/>
        </w:rPr>
        <w:t>estos </w:t>
      </w:r>
      <w:r>
        <w:rPr>
          <w:color w:val="231F20"/>
          <w:spacing w:val="2"/>
        </w:rPr>
        <w:t>es </w:t>
      </w:r>
      <w:r>
        <w:rPr>
          <w:color w:val="231F20"/>
          <w:spacing w:val="4"/>
        </w:rPr>
        <w:t>complicada; además </w:t>
      </w:r>
      <w:r>
        <w:rPr>
          <w:color w:val="231F20"/>
          <w:spacing w:val="3"/>
        </w:rPr>
        <w:t>de que no </w:t>
      </w:r>
      <w:r>
        <w:rPr>
          <w:color w:val="231F20"/>
          <w:spacing w:val="2"/>
        </w:rPr>
        <w:t>se </w:t>
      </w:r>
      <w:r>
        <w:rPr>
          <w:color w:val="231F20"/>
          <w:spacing w:val="4"/>
        </w:rPr>
        <w:t>cuentan </w:t>
      </w:r>
      <w:r>
        <w:rPr>
          <w:color w:val="231F20"/>
          <w:spacing w:val="3"/>
        </w:rPr>
        <w:t>con los </w:t>
      </w:r>
      <w:r>
        <w:rPr>
          <w:color w:val="231F20"/>
          <w:spacing w:val="4"/>
        </w:rPr>
        <w:t>materiales educativos suficientes </w:t>
      </w:r>
      <w:r>
        <w:rPr>
          <w:color w:val="231F20"/>
        </w:rPr>
        <w:t>y </w:t>
      </w:r>
      <w:r>
        <w:rPr>
          <w:color w:val="231F20"/>
          <w:spacing w:val="4"/>
        </w:rPr>
        <w:t>adecuados (libros, programas educativos, etc.). </w:t>
      </w:r>
      <w:r>
        <w:rPr>
          <w:color w:val="231F20"/>
          <w:spacing w:val="3"/>
        </w:rPr>
        <w:t>En </w:t>
      </w:r>
      <w:r>
        <w:rPr>
          <w:color w:val="231F20"/>
          <w:spacing w:val="2"/>
        </w:rPr>
        <w:t>el </w:t>
      </w:r>
      <w:r>
        <w:rPr>
          <w:color w:val="231F20"/>
          <w:spacing w:val="4"/>
        </w:rPr>
        <w:t>mismo sentido tenemos </w:t>
      </w:r>
      <w:r>
        <w:rPr>
          <w:color w:val="231F20"/>
        </w:rPr>
        <w:t>la </w:t>
      </w:r>
      <w:r>
        <w:rPr>
          <w:color w:val="231F20"/>
          <w:spacing w:val="4"/>
        </w:rPr>
        <w:t>pertinencia </w:t>
      </w:r>
      <w:r>
        <w:rPr>
          <w:color w:val="231F20"/>
        </w:rPr>
        <w:t>y la </w:t>
      </w:r>
      <w:r>
        <w:rPr>
          <w:color w:val="231F20"/>
          <w:spacing w:val="4"/>
        </w:rPr>
        <w:t>calidad </w:t>
      </w:r>
      <w:r>
        <w:rPr>
          <w:color w:val="231F20"/>
          <w:spacing w:val="3"/>
        </w:rPr>
        <w:t>de </w:t>
      </w:r>
      <w:r>
        <w:rPr>
          <w:color w:val="231F20"/>
        </w:rPr>
        <w:t>la </w:t>
      </w:r>
      <w:r>
        <w:rPr>
          <w:color w:val="231F20"/>
          <w:spacing w:val="4"/>
        </w:rPr>
        <w:t>educación </w:t>
      </w:r>
      <w:r>
        <w:rPr>
          <w:color w:val="231F20"/>
          <w:spacing w:val="3"/>
        </w:rPr>
        <w:t>que </w:t>
      </w:r>
      <w:r>
        <w:rPr>
          <w:color w:val="231F20"/>
          <w:spacing w:val="2"/>
        </w:rPr>
        <w:t>se </w:t>
      </w:r>
      <w:r>
        <w:rPr>
          <w:color w:val="231F20"/>
          <w:spacing w:val="4"/>
        </w:rPr>
        <w:t>ofrecen </w:t>
      </w:r>
      <w:r>
        <w:rPr>
          <w:color w:val="231F20"/>
        </w:rPr>
        <w:t>a </w:t>
      </w:r>
      <w:r>
        <w:rPr>
          <w:color w:val="231F20"/>
          <w:spacing w:val="2"/>
        </w:rPr>
        <w:t>la </w:t>
      </w:r>
      <w:r>
        <w:rPr>
          <w:color w:val="231F20"/>
          <w:spacing w:val="4"/>
        </w:rPr>
        <w:t>población indígena; por ejemplo, </w:t>
      </w:r>
      <w:r>
        <w:rPr>
          <w:color w:val="231F20"/>
          <w:spacing w:val="2"/>
        </w:rPr>
        <w:t>el </w:t>
      </w:r>
      <w:r>
        <w:rPr>
          <w:color w:val="231F20"/>
          <w:spacing w:val="4"/>
        </w:rPr>
        <w:t>modelo </w:t>
      </w:r>
      <w:r>
        <w:rPr>
          <w:color w:val="231F20"/>
          <w:spacing w:val="3"/>
        </w:rPr>
        <w:t>de edu- </w:t>
      </w:r>
      <w:r>
        <w:rPr>
          <w:color w:val="231F20"/>
          <w:spacing w:val="4"/>
        </w:rPr>
        <w:t>cación intercultural bilingüe dirigido </w:t>
      </w:r>
      <w:r>
        <w:rPr>
          <w:color w:val="231F20"/>
          <w:spacing w:val="3"/>
        </w:rPr>
        <w:t>solo </w:t>
      </w:r>
      <w:r>
        <w:rPr>
          <w:color w:val="231F20"/>
        </w:rPr>
        <w:t>a la </w:t>
      </w:r>
      <w:r>
        <w:rPr>
          <w:color w:val="231F20"/>
          <w:spacing w:val="4"/>
        </w:rPr>
        <w:t>población indígena </w:t>
      </w:r>
      <w:r>
        <w:rPr>
          <w:color w:val="231F20"/>
          <w:spacing w:val="2"/>
        </w:rPr>
        <w:t>en </w:t>
      </w:r>
      <w:r>
        <w:rPr>
          <w:color w:val="231F20"/>
          <w:spacing w:val="4"/>
        </w:rPr>
        <w:t>nivel básico, </w:t>
      </w:r>
      <w:r>
        <w:rPr>
          <w:color w:val="231F20"/>
          <w:spacing w:val="3"/>
        </w:rPr>
        <w:t>con </w:t>
      </w:r>
      <w:r>
        <w:rPr>
          <w:color w:val="231F20"/>
          <w:spacing w:val="4"/>
        </w:rPr>
        <w:t>profesores </w:t>
      </w:r>
      <w:r>
        <w:rPr>
          <w:color w:val="231F20"/>
          <w:spacing w:val="3"/>
        </w:rPr>
        <w:t>que </w:t>
      </w:r>
      <w:r>
        <w:rPr>
          <w:color w:val="231F20"/>
          <w:spacing w:val="2"/>
        </w:rPr>
        <w:t>no </w:t>
      </w:r>
      <w:r>
        <w:rPr>
          <w:color w:val="231F20"/>
          <w:spacing w:val="4"/>
        </w:rPr>
        <w:t>tienen </w:t>
      </w:r>
      <w:r>
        <w:rPr>
          <w:color w:val="231F20"/>
          <w:spacing w:val="2"/>
        </w:rPr>
        <w:t>la </w:t>
      </w:r>
      <w:r>
        <w:rPr>
          <w:color w:val="231F20"/>
          <w:spacing w:val="4"/>
        </w:rPr>
        <w:t>formación </w:t>
      </w:r>
      <w:r>
        <w:rPr>
          <w:color w:val="231F20"/>
          <w:spacing w:val="5"/>
        </w:rPr>
        <w:t>ade- </w:t>
      </w:r>
      <w:r>
        <w:rPr>
          <w:color w:val="231F20"/>
          <w:spacing w:val="4"/>
        </w:rPr>
        <w:t>cuada, </w:t>
      </w:r>
      <w:r>
        <w:rPr>
          <w:color w:val="231F20"/>
        </w:rPr>
        <w:t>o </w:t>
      </w:r>
      <w:r>
        <w:rPr>
          <w:color w:val="231F20"/>
          <w:spacing w:val="2"/>
        </w:rPr>
        <w:t>en su </w:t>
      </w:r>
      <w:r>
        <w:rPr>
          <w:color w:val="231F20"/>
          <w:spacing w:val="3"/>
        </w:rPr>
        <w:t>caso solo </w:t>
      </w:r>
      <w:r>
        <w:rPr>
          <w:color w:val="231F20"/>
          <w:spacing w:val="4"/>
        </w:rPr>
        <w:t>reciben una capacitación breve para después desempeñarse como</w:t>
      </w:r>
      <w:r>
        <w:rPr>
          <w:color w:val="231F20"/>
          <w:spacing w:val="47"/>
        </w:rPr>
        <w:t> </w:t>
      </w:r>
      <w:r>
        <w:rPr>
          <w:color w:val="231F20"/>
          <w:spacing w:val="4"/>
        </w:rPr>
        <w:t>docentes.</w:t>
      </w:r>
    </w:p>
    <w:p>
      <w:pPr>
        <w:spacing w:after="0" w:line="244" w:lineRule="auto"/>
        <w:jc w:val="both"/>
        <w:sectPr>
          <w:headerReference w:type="default" r:id="rId695"/>
          <w:footerReference w:type="default" r:id="rId696"/>
          <w:pgSz w:w="7830" w:h="11910"/>
          <w:pgMar w:header="0" w:footer="424" w:top="500" w:bottom="620" w:left="880" w:right="900"/>
          <w:pgNumType w:start="311"/>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06" w:firstLine="284"/>
        <w:jc w:val="both"/>
      </w:pPr>
      <w:r>
        <w:rPr>
          <w:color w:val="231F20"/>
        </w:rPr>
        <w:t>Aunado a lo anterior, tenemos que la forma de evaluación de la educación a través de la prueba ENLACE es una forma de discri- minación, así lo ha reconocido el propio Consejo Nacional para Prevenir la Discriminación (CONAPRED). Unos profesores del estado de Chiapas manifiestan lo siguiente:</w:t>
      </w:r>
    </w:p>
    <w:p>
      <w:pPr>
        <w:pStyle w:val="BodyText"/>
        <w:spacing w:before="9"/>
        <w:rPr>
          <w:sz w:val="23"/>
        </w:rPr>
      </w:pPr>
    </w:p>
    <w:p>
      <w:pPr>
        <w:spacing w:line="273" w:lineRule="auto" w:before="0"/>
        <w:ind w:left="810" w:right="156" w:firstLine="0"/>
        <w:jc w:val="both"/>
        <w:rPr>
          <w:sz w:val="19"/>
        </w:rPr>
      </w:pPr>
      <w:r>
        <w:rPr>
          <w:color w:val="231F20"/>
          <w:sz w:val="19"/>
        </w:rPr>
        <w:t>Del análisis de las evidencias recabadas por el CONAPRED se tiene la convicción de que en el presente caso, en el área de la Secretaría de Educación Pública, responsable de diseñar e im- plementar la primera versión de la prueba ENLACE como un medio de evaluación estandarizado en todo el país, se generó un acto de discriminación indirecta (s.m.), en razón de que en su momento se omitió adecuar dicha evaluación (reactivos aplica- dos) a las necesidades, características propias y a la diversidad cultural de los pueblos y comunidades indígenas, y consecuente- mente evaluar los efectos que ocasionaría a dicho grupo de po- blación (</w:t>
      </w:r>
      <w:r>
        <w:rPr>
          <w:color w:val="231F20"/>
          <w:sz w:val="20"/>
        </w:rPr>
        <w:t>CONAPRED, 2011:36</w:t>
      </w:r>
      <w:r>
        <w:rPr>
          <w:color w:val="231F20"/>
          <w:sz w:val="19"/>
        </w:rPr>
        <w:t>).</w:t>
      </w:r>
    </w:p>
    <w:p>
      <w:pPr>
        <w:pStyle w:val="BodyText"/>
        <w:rPr>
          <w:sz w:val="20"/>
        </w:rPr>
      </w:pPr>
    </w:p>
    <w:p>
      <w:pPr>
        <w:pStyle w:val="BodyText"/>
        <w:rPr>
          <w:sz w:val="22"/>
        </w:rPr>
      </w:pPr>
    </w:p>
    <w:p>
      <w:pPr>
        <w:pStyle w:val="BodyText"/>
        <w:spacing w:line="247" w:lineRule="auto"/>
        <w:ind w:left="102" w:right="106" w:firstLine="284"/>
        <w:jc w:val="both"/>
      </w:pPr>
      <w:r>
        <w:rPr>
          <w:color w:val="231F20"/>
        </w:rPr>
        <w:t>La </w:t>
      </w:r>
      <w:r>
        <w:rPr>
          <w:color w:val="231F20"/>
          <w:spacing w:val="2"/>
        </w:rPr>
        <w:t>prueba </w:t>
      </w:r>
      <w:r>
        <w:rPr>
          <w:color w:val="231F20"/>
          <w:spacing w:val="3"/>
        </w:rPr>
        <w:t>ENLACE </w:t>
      </w:r>
      <w:r>
        <w:rPr>
          <w:color w:val="231F20"/>
        </w:rPr>
        <w:t>es una </w:t>
      </w:r>
      <w:r>
        <w:rPr>
          <w:color w:val="231F20"/>
          <w:spacing w:val="2"/>
        </w:rPr>
        <w:t>prueba estándar aplicada </w:t>
      </w:r>
      <w:r>
        <w:rPr>
          <w:color w:val="231F20"/>
        </w:rPr>
        <w:t>por </w:t>
      </w:r>
      <w:r>
        <w:rPr>
          <w:color w:val="231F20"/>
          <w:spacing w:val="2"/>
        </w:rPr>
        <w:t>igual   </w:t>
      </w:r>
      <w:r>
        <w:rPr>
          <w:color w:val="231F20"/>
        </w:rPr>
        <w:t>a </w:t>
      </w:r>
      <w:r>
        <w:rPr>
          <w:color w:val="231F20"/>
          <w:spacing w:val="3"/>
        </w:rPr>
        <w:t>personas </w:t>
      </w:r>
      <w:r>
        <w:rPr>
          <w:color w:val="231F20"/>
          <w:spacing w:val="2"/>
        </w:rPr>
        <w:t>desiguales </w:t>
      </w:r>
      <w:r>
        <w:rPr>
          <w:color w:val="231F20"/>
        </w:rPr>
        <w:t>en </w:t>
      </w:r>
      <w:r>
        <w:rPr>
          <w:color w:val="231F20"/>
          <w:spacing w:val="2"/>
        </w:rPr>
        <w:t>cuanto </w:t>
      </w:r>
      <w:r>
        <w:rPr>
          <w:color w:val="231F20"/>
        </w:rPr>
        <w:t>a </w:t>
      </w:r>
      <w:r>
        <w:rPr>
          <w:color w:val="231F20"/>
          <w:spacing w:val="2"/>
        </w:rPr>
        <w:t>cultura, lengua, </w:t>
      </w:r>
      <w:r>
        <w:rPr>
          <w:color w:val="231F20"/>
          <w:spacing w:val="3"/>
        </w:rPr>
        <w:t>formas </w:t>
      </w:r>
      <w:r>
        <w:rPr>
          <w:color w:val="231F20"/>
        </w:rPr>
        <w:t>de </w:t>
      </w:r>
      <w:r>
        <w:rPr>
          <w:color w:val="231F20"/>
          <w:spacing w:val="2"/>
        </w:rPr>
        <w:t>aprendizaje, </w:t>
      </w:r>
      <w:r>
        <w:rPr>
          <w:color w:val="231F20"/>
          <w:spacing w:val="3"/>
        </w:rPr>
        <w:t>contenidos, problemáticas, </w:t>
      </w:r>
      <w:r>
        <w:rPr>
          <w:color w:val="231F20"/>
          <w:spacing w:val="2"/>
        </w:rPr>
        <w:t>etc., </w:t>
      </w:r>
      <w:r>
        <w:rPr>
          <w:color w:val="231F20"/>
        </w:rPr>
        <w:t>lo que al </w:t>
      </w:r>
      <w:r>
        <w:rPr>
          <w:color w:val="231F20"/>
          <w:spacing w:val="2"/>
        </w:rPr>
        <w:t>final genera resultados negativos </w:t>
      </w:r>
      <w:r>
        <w:rPr>
          <w:color w:val="231F20"/>
        </w:rPr>
        <w:t>en </w:t>
      </w:r>
      <w:r>
        <w:rPr>
          <w:color w:val="231F20"/>
          <w:spacing w:val="2"/>
        </w:rPr>
        <w:t>cuanto </w:t>
      </w:r>
      <w:r>
        <w:rPr>
          <w:color w:val="231F20"/>
        </w:rPr>
        <w:t>al </w:t>
      </w:r>
      <w:r>
        <w:rPr>
          <w:color w:val="231F20"/>
          <w:spacing w:val="3"/>
        </w:rPr>
        <w:t>aprendizaje </w:t>
      </w:r>
      <w:r>
        <w:rPr>
          <w:color w:val="231F20"/>
        </w:rPr>
        <w:t>de </w:t>
      </w:r>
      <w:r>
        <w:rPr>
          <w:color w:val="231F20"/>
          <w:spacing w:val="2"/>
        </w:rPr>
        <w:t>los </w:t>
      </w:r>
      <w:r>
        <w:rPr>
          <w:color w:val="231F20"/>
          <w:spacing w:val="3"/>
        </w:rPr>
        <w:t>niños </w:t>
      </w:r>
      <w:r>
        <w:rPr>
          <w:color w:val="231F20"/>
          <w:spacing w:val="2"/>
        </w:rPr>
        <w:t>indíge- nas </w:t>
      </w:r>
      <w:r>
        <w:rPr>
          <w:color w:val="231F20"/>
        </w:rPr>
        <w:t>del </w:t>
      </w:r>
      <w:r>
        <w:rPr>
          <w:color w:val="231F20"/>
          <w:spacing w:val="2"/>
        </w:rPr>
        <w:t>país, </w:t>
      </w:r>
      <w:r>
        <w:rPr>
          <w:color w:val="231F20"/>
        </w:rPr>
        <w:t>que </w:t>
      </w:r>
      <w:r>
        <w:rPr>
          <w:color w:val="231F20"/>
          <w:spacing w:val="2"/>
        </w:rPr>
        <w:t>ocupan siempre los últimos lugares </w:t>
      </w:r>
      <w:r>
        <w:rPr>
          <w:color w:val="231F20"/>
        </w:rPr>
        <w:t>en </w:t>
      </w:r>
      <w:r>
        <w:rPr>
          <w:color w:val="231F20"/>
          <w:spacing w:val="2"/>
        </w:rPr>
        <w:t>cuanto </w:t>
      </w:r>
      <w:r>
        <w:rPr>
          <w:color w:val="231F20"/>
        </w:rPr>
        <w:t>a </w:t>
      </w:r>
      <w:r>
        <w:rPr>
          <w:color w:val="231F20"/>
          <w:spacing w:val="3"/>
        </w:rPr>
        <w:t>aprovechamiento </w:t>
      </w:r>
      <w:r>
        <w:rPr>
          <w:color w:val="231F20"/>
          <w:spacing w:val="2"/>
        </w:rPr>
        <w:t>escolar (Resultados prueba </w:t>
      </w:r>
      <w:r>
        <w:rPr>
          <w:color w:val="231F20"/>
          <w:spacing w:val="3"/>
        </w:rPr>
        <w:t>ENLACE 2011, </w:t>
      </w:r>
      <w:r>
        <w:rPr>
          <w:color w:val="231F20"/>
          <w:spacing w:val="2"/>
        </w:rPr>
        <w:t>básica </w:t>
      </w:r>
      <w:r>
        <w:rPr>
          <w:color w:val="231F20"/>
        </w:rPr>
        <w:t>y </w:t>
      </w:r>
      <w:r>
        <w:rPr>
          <w:color w:val="231F20"/>
          <w:spacing w:val="2"/>
        </w:rPr>
        <w:t>media superior, </w:t>
      </w:r>
      <w:r>
        <w:rPr>
          <w:color w:val="231F20"/>
          <w:spacing w:val="3"/>
        </w:rPr>
        <w:t>septiembre </w:t>
      </w:r>
      <w:r>
        <w:rPr>
          <w:color w:val="231F20"/>
        </w:rPr>
        <w:t>9,</w:t>
      </w:r>
      <w:r>
        <w:rPr>
          <w:color w:val="231F20"/>
          <w:spacing w:val="-34"/>
        </w:rPr>
        <w:t> </w:t>
      </w:r>
      <w:r>
        <w:rPr>
          <w:color w:val="231F20"/>
          <w:spacing w:val="2"/>
        </w:rPr>
        <w:t>2011).</w:t>
      </w:r>
    </w:p>
    <w:p>
      <w:pPr>
        <w:pStyle w:val="BodyText"/>
        <w:spacing w:line="249" w:lineRule="auto" w:before="1"/>
        <w:ind w:left="101" w:right="107" w:firstLine="284"/>
        <w:jc w:val="both"/>
      </w:pPr>
      <w:r>
        <w:rPr>
          <w:color w:val="231F20"/>
        </w:rPr>
        <w:t>Un </w:t>
      </w:r>
      <w:r>
        <w:rPr>
          <w:color w:val="231F20"/>
          <w:spacing w:val="2"/>
        </w:rPr>
        <w:t>elemento más puesto </w:t>
      </w:r>
      <w:r>
        <w:rPr>
          <w:color w:val="231F20"/>
        </w:rPr>
        <w:t>en la </w:t>
      </w:r>
      <w:r>
        <w:rPr>
          <w:color w:val="231F20"/>
          <w:spacing w:val="2"/>
        </w:rPr>
        <w:t>palestra </w:t>
      </w:r>
      <w:r>
        <w:rPr>
          <w:color w:val="231F20"/>
        </w:rPr>
        <w:t>de </w:t>
      </w:r>
      <w:r>
        <w:rPr>
          <w:color w:val="231F20"/>
          <w:spacing w:val="2"/>
        </w:rPr>
        <w:t>esta </w:t>
      </w:r>
      <w:r>
        <w:rPr>
          <w:color w:val="231F20"/>
          <w:spacing w:val="3"/>
        </w:rPr>
        <w:t>problemática</w:t>
      </w:r>
      <w:r>
        <w:rPr>
          <w:color w:val="231F20"/>
          <w:spacing w:val="58"/>
        </w:rPr>
        <w:t> </w:t>
      </w:r>
      <w:r>
        <w:rPr>
          <w:color w:val="231F20"/>
          <w:spacing w:val="2"/>
        </w:rPr>
        <w:t>tiene que ver con los </w:t>
      </w:r>
      <w:r>
        <w:rPr>
          <w:color w:val="231F20"/>
          <w:spacing w:val="3"/>
        </w:rPr>
        <w:t>programas compensatorios </w:t>
      </w:r>
      <w:r>
        <w:rPr>
          <w:color w:val="231F20"/>
          <w:spacing w:val="2"/>
        </w:rPr>
        <w:t>aplicados </w:t>
      </w:r>
      <w:r>
        <w:rPr>
          <w:color w:val="231F20"/>
        </w:rPr>
        <w:t>a </w:t>
      </w:r>
      <w:r>
        <w:rPr>
          <w:color w:val="231F20"/>
          <w:spacing w:val="3"/>
        </w:rPr>
        <w:t>estu- </w:t>
      </w:r>
      <w:r>
        <w:rPr>
          <w:color w:val="231F20"/>
          <w:spacing w:val="2"/>
        </w:rPr>
        <w:t>diantes que tienen </w:t>
      </w:r>
      <w:r>
        <w:rPr>
          <w:color w:val="231F20"/>
          <w:spacing w:val="3"/>
        </w:rPr>
        <w:t>problemas </w:t>
      </w:r>
      <w:r>
        <w:rPr>
          <w:color w:val="231F20"/>
        </w:rPr>
        <w:t>de </w:t>
      </w:r>
      <w:r>
        <w:rPr>
          <w:color w:val="231F20"/>
          <w:spacing w:val="2"/>
        </w:rPr>
        <w:t>aprendizaje escolar. Este tipo </w:t>
      </w:r>
      <w:r>
        <w:rPr>
          <w:color w:val="231F20"/>
        </w:rPr>
        <w:t>de </w:t>
      </w:r>
      <w:r>
        <w:rPr>
          <w:color w:val="231F20"/>
          <w:spacing w:val="3"/>
        </w:rPr>
        <w:t>programas retoman </w:t>
      </w:r>
      <w:r>
        <w:rPr>
          <w:color w:val="231F20"/>
        </w:rPr>
        <w:t>la </w:t>
      </w:r>
      <w:r>
        <w:rPr>
          <w:color w:val="231F20"/>
          <w:spacing w:val="2"/>
        </w:rPr>
        <w:t>“hipótesis </w:t>
      </w:r>
      <w:r>
        <w:rPr>
          <w:color w:val="231F20"/>
        </w:rPr>
        <w:t>del </w:t>
      </w:r>
      <w:r>
        <w:rPr>
          <w:color w:val="231F20"/>
          <w:spacing w:val="2"/>
        </w:rPr>
        <w:t>déficit” </w:t>
      </w:r>
      <w:r>
        <w:rPr>
          <w:color w:val="231F20"/>
        </w:rPr>
        <w:t>de </w:t>
      </w:r>
      <w:r>
        <w:rPr>
          <w:color w:val="231F20"/>
          <w:spacing w:val="2"/>
        </w:rPr>
        <w:t>Bernstein (1993).   </w:t>
      </w:r>
      <w:r>
        <w:rPr>
          <w:color w:val="231F20"/>
        </w:rPr>
        <w:t>A </w:t>
      </w:r>
      <w:r>
        <w:rPr>
          <w:color w:val="231F20"/>
          <w:spacing w:val="2"/>
        </w:rPr>
        <w:t>partir </w:t>
      </w:r>
      <w:r>
        <w:rPr>
          <w:color w:val="231F20"/>
        </w:rPr>
        <w:t>de </w:t>
      </w:r>
      <w:r>
        <w:rPr>
          <w:color w:val="231F20"/>
          <w:spacing w:val="2"/>
        </w:rPr>
        <w:t>este presupuesto </w:t>
      </w:r>
      <w:r>
        <w:rPr>
          <w:color w:val="231F20"/>
        </w:rPr>
        <w:t>se dice que </w:t>
      </w:r>
      <w:r>
        <w:rPr>
          <w:color w:val="231F20"/>
          <w:spacing w:val="2"/>
        </w:rPr>
        <w:t>para nuestro contexto indígena existe </w:t>
      </w:r>
      <w:r>
        <w:rPr>
          <w:color w:val="231F20"/>
        </w:rPr>
        <w:t>un </w:t>
      </w:r>
      <w:r>
        <w:rPr>
          <w:color w:val="231F20"/>
          <w:spacing w:val="3"/>
        </w:rPr>
        <w:t>problema </w:t>
      </w:r>
      <w:r>
        <w:rPr>
          <w:color w:val="231F20"/>
        </w:rPr>
        <w:t>de </w:t>
      </w:r>
      <w:r>
        <w:rPr>
          <w:color w:val="231F20"/>
          <w:spacing w:val="2"/>
        </w:rPr>
        <w:t>déficit cultural </w:t>
      </w:r>
      <w:r>
        <w:rPr>
          <w:color w:val="231F20"/>
        </w:rPr>
        <w:t>y </w:t>
      </w:r>
      <w:r>
        <w:rPr>
          <w:color w:val="231F20"/>
          <w:spacing w:val="2"/>
        </w:rPr>
        <w:t>lingüístico; por </w:t>
      </w:r>
      <w:r>
        <w:rPr>
          <w:color w:val="231F20"/>
        </w:rPr>
        <w:t>lo </w:t>
      </w:r>
      <w:r>
        <w:rPr>
          <w:color w:val="231F20"/>
          <w:spacing w:val="2"/>
        </w:rPr>
        <w:t>tanto, hay que brindarles </w:t>
      </w:r>
      <w:r>
        <w:rPr>
          <w:color w:val="231F20"/>
          <w:spacing w:val="3"/>
        </w:rPr>
        <w:t>apoyos </w:t>
      </w:r>
      <w:r>
        <w:rPr>
          <w:color w:val="231F20"/>
          <w:spacing w:val="2"/>
        </w:rPr>
        <w:t>“extraordinarios” para mejorar </w:t>
      </w:r>
      <w:r>
        <w:rPr>
          <w:color w:val="231F20"/>
        </w:rPr>
        <w:t>su </w:t>
      </w:r>
      <w:r>
        <w:rPr>
          <w:color w:val="231F20"/>
          <w:spacing w:val="3"/>
        </w:rPr>
        <w:t>aprovechamiento.</w:t>
      </w:r>
    </w:p>
    <w:p>
      <w:pPr>
        <w:pStyle w:val="BodyText"/>
        <w:spacing w:line="247" w:lineRule="auto"/>
        <w:ind w:left="101" w:right="112" w:firstLine="284"/>
        <w:jc w:val="both"/>
      </w:pPr>
      <w:r>
        <w:rPr>
          <w:color w:val="231F20"/>
        </w:rPr>
        <w:t>Para terminar podemos enunciar dos hechos que se  suman  a este tipo de discriminación: la infraestructura y el presupuesto de operación para la educación encaminada para las poblaciones indí- genas. En este rubro entre 2010 y 2011 hubo decremento conside- rable en tres de las dependencias que atienden a la población   indí-</w:t>
      </w:r>
    </w:p>
    <w:p>
      <w:pPr>
        <w:spacing w:after="0" w:line="247" w:lineRule="auto"/>
        <w:jc w:val="both"/>
        <w:sectPr>
          <w:headerReference w:type="default" r:id="rId697"/>
          <w:footerReference w:type="default" r:id="rId698"/>
          <w:pgSz w:w="7830" w:h="11910"/>
          <w:pgMar w:header="0" w:footer="424" w:top="500" w:bottom="620" w:left="920" w:right="880"/>
          <w:pgNumType w:start="312"/>
        </w:sectPr>
      </w:pPr>
    </w:p>
    <w:p>
      <w:pPr>
        <w:spacing w:before="46"/>
        <w:ind w:left="1488" w:right="104"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13" w:right="205"/>
      </w:pPr>
      <w:r>
        <w:rPr>
          <w:color w:val="231F20"/>
        </w:rPr>
        <w:t>gena en el campo educativo, como se puede observar en la si- guiente cita:</w:t>
      </w:r>
    </w:p>
    <w:p>
      <w:pPr>
        <w:pStyle w:val="BodyText"/>
        <w:spacing w:before="4"/>
        <w:rPr>
          <w:sz w:val="23"/>
        </w:rPr>
      </w:pPr>
    </w:p>
    <w:p>
      <w:pPr>
        <w:spacing w:line="273" w:lineRule="auto" w:before="1"/>
        <w:ind w:left="821" w:right="144" w:firstLine="0"/>
        <w:jc w:val="both"/>
        <w:rPr>
          <w:sz w:val="19"/>
        </w:rPr>
      </w:pPr>
      <w:r>
        <w:rPr>
          <w:color w:val="231F20"/>
          <w:sz w:val="19"/>
        </w:rPr>
        <w:t>Así, mientras el gasto total que tiene un impacto sobre los pue- blos indígenas dentro [de] la vertiente educativa, es decir, los programas de la Coordinación General de Educación Intercultu- ral Bilingüe, la Dirección General de Educación Indígena, el Ins- tituto Nacional de las Lenguas Indígenas y el Consejo Nacional   de Fomento Educativo, aumenta aproximadamente en 2.5%, en relación a la asignación del año pasado. Dicho aumento se trans- forma en decrecimiento cuando se extrae del análisis el programa Oportunidades del Consejo Nacional de Fomento Educativo. En realidad, al analizar individualmente los presupuestos propuestos para la Coordinación General de Educación Intercultural Bilin- güe, la Dirección General de Educación Indígena y el Instituto Nacional de las Lenguas Indígenas, se detectan decrecimientos    de 13.4%, 17.4% y 0.3%, respectivamente. Al sumar los niveles de gasto de estas tres unidades responsables se observa una im- portante contracción de real de 14.5%, respecto a lo presupues- tado en 2010 (</w:t>
      </w:r>
      <w:r>
        <w:rPr>
          <w:color w:val="231F20"/>
          <w:sz w:val="20"/>
        </w:rPr>
        <w:t>Centro de Estudios de las Finanzas Públicas, 2011:3-4</w:t>
      </w:r>
      <w:r>
        <w:rPr>
          <w:color w:val="231F20"/>
          <w:sz w:val="19"/>
        </w:rPr>
        <w:t>).</w:t>
      </w:r>
    </w:p>
    <w:p>
      <w:pPr>
        <w:pStyle w:val="BodyText"/>
        <w:spacing w:before="10"/>
        <w:rPr>
          <w:sz w:val="19"/>
        </w:rPr>
      </w:pPr>
    </w:p>
    <w:p>
      <w:pPr>
        <w:pStyle w:val="BodyText"/>
        <w:spacing w:line="247" w:lineRule="auto"/>
        <w:ind w:left="113" w:right="98" w:firstLine="284"/>
        <w:jc w:val="both"/>
      </w:pPr>
      <w:r>
        <w:rPr>
          <w:color w:val="231F20"/>
        </w:rPr>
        <w:t>Un elemento más es la invisibilidad de la población indígena en los libros de texto (véase el libro de </w:t>
      </w:r>
      <w:r>
        <w:rPr>
          <w:i/>
          <w:color w:val="231F20"/>
        </w:rPr>
        <w:t>Ciencias Sociales </w:t>
      </w:r>
      <w:r>
        <w:rPr>
          <w:color w:val="231F20"/>
        </w:rPr>
        <w:t>de 4°, SEP, 1992, p. 72). En este mismo sentido Treviño (2005) dice:</w:t>
      </w:r>
    </w:p>
    <w:p>
      <w:pPr>
        <w:pStyle w:val="BodyText"/>
        <w:spacing w:before="4"/>
        <w:rPr>
          <w:sz w:val="23"/>
        </w:rPr>
      </w:pPr>
    </w:p>
    <w:p>
      <w:pPr>
        <w:spacing w:line="276" w:lineRule="auto" w:before="0"/>
        <w:ind w:left="821" w:right="144" w:firstLine="0"/>
        <w:jc w:val="both"/>
        <w:rPr>
          <w:sz w:val="19"/>
        </w:rPr>
      </w:pPr>
      <w:r>
        <w:rPr>
          <w:color w:val="231F20"/>
          <w:sz w:val="19"/>
        </w:rPr>
        <w:t>El libro oficial de lecturas de español en primer grado de México es también un ejemplo donde se estereotipa por omisión, pues     de las 39 lecturas que incluye, solamente una se refiere a la po- blación indígena del país. El resto de las lecturas son en su mayo- ría de corte urbano y europeizante, a pesar de las ricas tradiciones mitológicas de los pueblos indígenas</w:t>
      </w:r>
      <w:r>
        <w:rPr>
          <w:color w:val="231F20"/>
          <w:spacing w:val="-3"/>
          <w:sz w:val="19"/>
        </w:rPr>
        <w:t> </w:t>
      </w:r>
      <w:r>
        <w:rPr>
          <w:color w:val="231F20"/>
          <w:sz w:val="19"/>
        </w:rPr>
        <w:t>mexicanos.</w:t>
      </w:r>
    </w:p>
    <w:p>
      <w:pPr>
        <w:pStyle w:val="BodyText"/>
        <w:spacing w:line="223" w:lineRule="exact"/>
        <w:ind w:left="113" w:firstLine="284"/>
        <w:jc w:val="both"/>
      </w:pPr>
      <w:r>
        <w:rPr>
          <w:color w:val="231F20"/>
        </w:rPr>
        <w:t>Esta forma de  ver  o  de  presentar al  indígena no  se manifiesta</w:t>
      </w:r>
    </w:p>
    <w:p>
      <w:pPr>
        <w:pStyle w:val="BodyText"/>
        <w:spacing w:line="247" w:lineRule="auto" w:before="8"/>
        <w:ind w:left="113" w:right="240"/>
      </w:pPr>
      <w:r>
        <w:rPr>
          <w:color w:val="231F20"/>
          <w:spacing w:val="3"/>
        </w:rPr>
        <w:t>únicamente </w:t>
      </w:r>
      <w:r>
        <w:rPr>
          <w:color w:val="231F20"/>
        </w:rPr>
        <w:t>en el </w:t>
      </w:r>
      <w:r>
        <w:rPr>
          <w:color w:val="231F20"/>
          <w:spacing w:val="2"/>
        </w:rPr>
        <w:t>contexto </w:t>
      </w:r>
      <w:r>
        <w:rPr>
          <w:color w:val="231F20"/>
          <w:spacing w:val="3"/>
        </w:rPr>
        <w:t>mexicano. </w:t>
      </w:r>
      <w:r>
        <w:rPr>
          <w:color w:val="231F20"/>
        </w:rPr>
        <w:t>El </w:t>
      </w:r>
      <w:r>
        <w:rPr>
          <w:color w:val="231F20"/>
          <w:spacing w:val="3"/>
        </w:rPr>
        <w:t>mismo </w:t>
      </w:r>
      <w:r>
        <w:rPr>
          <w:color w:val="231F20"/>
          <w:spacing w:val="2"/>
        </w:rPr>
        <w:t>autor, </w:t>
      </w:r>
      <w:r>
        <w:rPr>
          <w:color w:val="231F20"/>
          <w:spacing w:val="3"/>
        </w:rPr>
        <w:t>retomando    </w:t>
      </w:r>
      <w:r>
        <w:rPr>
          <w:color w:val="231F20"/>
        </w:rPr>
        <w:t>a </w:t>
      </w:r>
      <w:r>
        <w:rPr>
          <w:color w:val="231F20"/>
          <w:spacing w:val="3"/>
        </w:rPr>
        <w:t>Hopenahyn </w:t>
      </w:r>
      <w:r>
        <w:rPr>
          <w:color w:val="231F20"/>
        </w:rPr>
        <w:t>y </w:t>
      </w:r>
      <w:r>
        <w:rPr>
          <w:color w:val="231F20"/>
          <w:spacing w:val="2"/>
        </w:rPr>
        <w:t>Bello,</w:t>
      </w:r>
      <w:r>
        <w:rPr>
          <w:color w:val="231F20"/>
          <w:spacing w:val="-22"/>
        </w:rPr>
        <w:t> </w:t>
      </w:r>
      <w:r>
        <w:rPr>
          <w:color w:val="231F20"/>
          <w:spacing w:val="2"/>
        </w:rPr>
        <w:t>dice:</w:t>
      </w:r>
    </w:p>
    <w:p>
      <w:pPr>
        <w:pStyle w:val="BodyText"/>
        <w:spacing w:before="4"/>
        <w:rPr>
          <w:sz w:val="23"/>
        </w:rPr>
      </w:pPr>
    </w:p>
    <w:p>
      <w:pPr>
        <w:spacing w:line="273" w:lineRule="auto" w:before="0"/>
        <w:ind w:left="821" w:right="145" w:firstLine="0"/>
        <w:jc w:val="both"/>
        <w:rPr>
          <w:sz w:val="19"/>
        </w:rPr>
      </w:pPr>
      <w:r>
        <w:rPr>
          <w:color w:val="231F20"/>
          <w:sz w:val="19"/>
        </w:rPr>
        <w:t>En América Latina los contenidos curriculares han perpetuado la reproducción social y cultural, transmitiendo generacionalmente “contenidos y formas de conocimiento sobre indígenas y    negros</w:t>
      </w:r>
    </w:p>
    <w:p>
      <w:pPr>
        <w:spacing w:after="0" w:line="273" w:lineRule="auto"/>
        <w:jc w:val="both"/>
        <w:rPr>
          <w:sz w:val="19"/>
        </w:rPr>
        <w:sectPr>
          <w:headerReference w:type="default" r:id="rId699"/>
          <w:footerReference w:type="default" r:id="rId700"/>
          <w:pgSz w:w="7830" w:h="11910"/>
          <w:pgMar w:header="0" w:footer="424" w:top="500" w:bottom="620" w:left="880" w:right="920"/>
          <w:pgNumType w:start="313"/>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3" w:lineRule="auto" w:before="111"/>
        <w:ind w:left="810" w:right="157" w:hanging="1"/>
        <w:jc w:val="both"/>
        <w:rPr>
          <w:sz w:val="19"/>
        </w:rPr>
      </w:pPr>
      <w:r>
        <w:rPr>
          <w:color w:val="231F20"/>
          <w:sz w:val="19"/>
        </w:rPr>
        <w:t>que no solo los desvalorizaban, sino que construían su imagen como figuras del pasado, sin existencia real en el presen- te(Hopenahyn y Bello, 2001:11).</w:t>
      </w:r>
    </w:p>
    <w:p>
      <w:pPr>
        <w:pStyle w:val="BodyText"/>
        <w:spacing w:before="2"/>
        <w:rPr>
          <w:sz w:val="20"/>
        </w:rPr>
      </w:pPr>
    </w:p>
    <w:p>
      <w:pPr>
        <w:pStyle w:val="BodyText"/>
        <w:spacing w:line="249" w:lineRule="auto"/>
        <w:ind w:left="102" w:right="108" w:firstLine="284"/>
        <w:jc w:val="both"/>
      </w:pPr>
      <w:r>
        <w:rPr>
          <w:color w:val="231F20"/>
        </w:rPr>
        <w:t>Pero no solo esta situación se presenta en los medios impresos, sino también en los medios masivos visuales, donde se hacen visi- bles las imágenes denigrantes de la población indígena, o, en el mejor de los casos, se folkloriza. Es hasta recientemente que em- piezan a tener presencia la cultura y la lengua indígenas en los medios. Sin embargo, el estereotipo dominante pertenece justa- mente a la cultura dominante.</w:t>
      </w:r>
    </w:p>
    <w:p>
      <w:pPr>
        <w:pStyle w:val="BodyText"/>
        <w:spacing w:before="7"/>
      </w:pPr>
    </w:p>
    <w:p>
      <w:pPr>
        <w:pStyle w:val="ListParagraph"/>
        <w:numPr>
          <w:ilvl w:val="0"/>
          <w:numId w:val="19"/>
        </w:numPr>
        <w:tabs>
          <w:tab w:pos="279" w:val="left" w:leader="none"/>
        </w:tabs>
        <w:spacing w:line="238" w:lineRule="exact" w:before="0" w:after="0"/>
        <w:ind w:left="278" w:right="0" w:hanging="177"/>
        <w:jc w:val="both"/>
        <w:rPr>
          <w:sz w:val="21"/>
        </w:rPr>
      </w:pPr>
      <w:r>
        <w:rPr>
          <w:color w:val="231F20"/>
          <w:sz w:val="21"/>
        </w:rPr>
        <w:t>La política</w:t>
      </w:r>
      <w:r>
        <w:rPr>
          <w:color w:val="231F20"/>
          <w:spacing w:val="-33"/>
          <w:sz w:val="21"/>
        </w:rPr>
        <w:t> </w:t>
      </w:r>
      <w:r>
        <w:rPr>
          <w:color w:val="231F20"/>
          <w:sz w:val="21"/>
        </w:rPr>
        <w:t>indigenista</w:t>
      </w:r>
    </w:p>
    <w:p>
      <w:pPr>
        <w:pStyle w:val="BodyText"/>
        <w:spacing w:line="247" w:lineRule="auto"/>
        <w:ind w:left="101" w:right="105"/>
        <w:jc w:val="both"/>
      </w:pPr>
      <w:r>
        <w:rPr>
          <w:color w:val="231F20"/>
        </w:rPr>
        <w:t>La relación Estado-comunidades indígenas se estableció a partir de  la política indigenista. Durante los años veinte se caracterizó por ser asimilacionista y durante los treinta por una serie de políticas de integración desde una perspectiva paternalista, en la cual a los indí- genas se le miraba como menores de edad. Por su parte, las políticas indigenistas se determinaron desde las esferas del poder, sin consul- tar a la población indígena sobre su desarrollo. Estas políticas gira- ron básicamente sobre dos rubros: la tierra y la educación. Es hasta los años ochenta cuando se incorporaron las demandas y las necesi- dades de los pueblos originarios en el Plan Nacional de Desarrollo (Carmona-Lara, 1998). Hoy en día, a partir de las movilizaciones sociales; por ejemplo, a partir del levantamiento zapatista, se habla de la autodeterminación de los pueblos originarios; aun así, en los hechos, la realidad sigue siendo la misma. Tenemos el caso del pro- yecto hidroeléctrico en el Paso de la Reyna, en la costa oaxaqueña, donde no se toma en cuenta la opinión de la población para la cons- trucción de obra, la cual afecta los intereses de las comunidades originarias.</w:t>
      </w:r>
    </w:p>
    <w:p>
      <w:pPr>
        <w:pStyle w:val="BodyText"/>
        <w:spacing w:line="249" w:lineRule="auto" w:before="10"/>
        <w:ind w:left="101" w:right="107" w:firstLine="284"/>
        <w:jc w:val="both"/>
      </w:pPr>
      <w:r>
        <w:rPr>
          <w:color w:val="231F20"/>
        </w:rPr>
        <w:t>Actualmente, las políticas encaminadas hacia las comunidades indígenas se han diversificado. No obstante, no son suficientes ni responden a cabalidad a los intereses de estas poblaciones. Para evidenciar esta afirmación abordaremos lo relacionado a la política educativa, que es el tema que nos interesa en esta ocasión.</w:t>
      </w:r>
    </w:p>
    <w:p>
      <w:pPr>
        <w:pStyle w:val="BodyText"/>
        <w:spacing w:line="247" w:lineRule="auto"/>
        <w:ind w:left="101" w:right="110" w:firstLine="284"/>
        <w:jc w:val="both"/>
      </w:pPr>
      <w:r>
        <w:rPr>
          <w:color w:val="231F20"/>
        </w:rPr>
        <w:t>En cuanto a la educación para las comunidades indígenas se implementó en los años veinte un modelo en donde se planteó el uso exclusivo del español para la enseñanza-aprendizaje,   después</w:t>
      </w:r>
    </w:p>
    <w:p>
      <w:pPr>
        <w:spacing w:after="0" w:line="247" w:lineRule="auto"/>
        <w:jc w:val="both"/>
        <w:sectPr>
          <w:headerReference w:type="default" r:id="rId701"/>
          <w:footerReference w:type="default" r:id="rId702"/>
          <w:pgSz w:w="7830" w:h="11910"/>
          <w:pgMar w:header="0" w:footer="424" w:top="500" w:bottom="620" w:left="920" w:right="880"/>
          <w:pgNumType w:start="314"/>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12" w:right="116"/>
        <w:jc w:val="both"/>
      </w:pPr>
      <w:r>
        <w:rPr>
          <w:color w:val="231F20"/>
        </w:rPr>
        <w:t>de </w:t>
      </w:r>
      <w:r>
        <w:rPr>
          <w:color w:val="231F20"/>
          <w:spacing w:val="2"/>
        </w:rPr>
        <w:t>los fracasos </w:t>
      </w:r>
      <w:r>
        <w:rPr>
          <w:color w:val="231F20"/>
        </w:rPr>
        <w:t>de </w:t>
      </w:r>
      <w:r>
        <w:rPr>
          <w:color w:val="231F20"/>
          <w:spacing w:val="2"/>
        </w:rPr>
        <w:t>este </w:t>
      </w:r>
      <w:r>
        <w:rPr>
          <w:color w:val="231F20"/>
          <w:spacing w:val="3"/>
        </w:rPr>
        <w:t>modelo </w:t>
      </w:r>
      <w:r>
        <w:rPr>
          <w:color w:val="231F20"/>
        </w:rPr>
        <w:t>se </w:t>
      </w:r>
      <w:r>
        <w:rPr>
          <w:color w:val="231F20"/>
          <w:spacing w:val="2"/>
        </w:rPr>
        <w:t>dio paso </w:t>
      </w:r>
      <w:r>
        <w:rPr>
          <w:color w:val="231F20"/>
        </w:rPr>
        <w:t>al </w:t>
      </w:r>
      <w:r>
        <w:rPr>
          <w:color w:val="231F20"/>
          <w:spacing w:val="2"/>
        </w:rPr>
        <w:t>uso </w:t>
      </w:r>
      <w:r>
        <w:rPr>
          <w:color w:val="231F20"/>
        </w:rPr>
        <w:t>de la </w:t>
      </w:r>
      <w:r>
        <w:rPr>
          <w:color w:val="231F20"/>
          <w:spacing w:val="2"/>
        </w:rPr>
        <w:t>lengua indí- gena previo </w:t>
      </w:r>
      <w:r>
        <w:rPr>
          <w:color w:val="231F20"/>
        </w:rPr>
        <w:t>a la </w:t>
      </w:r>
      <w:r>
        <w:rPr>
          <w:color w:val="231F20"/>
          <w:spacing w:val="3"/>
        </w:rPr>
        <w:t>enseñanza </w:t>
      </w:r>
      <w:r>
        <w:rPr>
          <w:color w:val="231F20"/>
        </w:rPr>
        <w:t>del </w:t>
      </w:r>
      <w:r>
        <w:rPr>
          <w:color w:val="231F20"/>
          <w:spacing w:val="2"/>
        </w:rPr>
        <w:t>español. </w:t>
      </w:r>
      <w:r>
        <w:rPr>
          <w:color w:val="231F20"/>
        </w:rPr>
        <w:t>El </w:t>
      </w:r>
      <w:r>
        <w:rPr>
          <w:color w:val="231F20"/>
          <w:spacing w:val="2"/>
        </w:rPr>
        <w:t>objetivo </w:t>
      </w:r>
      <w:r>
        <w:rPr>
          <w:color w:val="231F20"/>
          <w:spacing w:val="3"/>
        </w:rPr>
        <w:t>subyacente </w:t>
      </w:r>
      <w:r>
        <w:rPr>
          <w:color w:val="231F20"/>
        </w:rPr>
        <w:t>en </w:t>
      </w:r>
      <w:r>
        <w:rPr>
          <w:color w:val="231F20"/>
          <w:spacing w:val="2"/>
        </w:rPr>
        <w:t>todo </w:t>
      </w:r>
      <w:r>
        <w:rPr>
          <w:color w:val="231F20"/>
          <w:spacing w:val="3"/>
        </w:rPr>
        <w:t>momento </w:t>
      </w:r>
      <w:r>
        <w:rPr>
          <w:color w:val="231F20"/>
        </w:rPr>
        <w:t>era </w:t>
      </w:r>
      <w:r>
        <w:rPr>
          <w:color w:val="231F20"/>
          <w:spacing w:val="2"/>
        </w:rPr>
        <w:t>construir </w:t>
      </w:r>
      <w:r>
        <w:rPr>
          <w:color w:val="231F20"/>
        </w:rPr>
        <w:t>un  </w:t>
      </w:r>
      <w:r>
        <w:rPr>
          <w:color w:val="231F20"/>
          <w:spacing w:val="3"/>
        </w:rPr>
        <w:t>Estado-nación </w:t>
      </w:r>
      <w:r>
        <w:rPr>
          <w:color w:val="231F20"/>
          <w:spacing w:val="2"/>
        </w:rPr>
        <w:t>con una sola </w:t>
      </w:r>
      <w:r>
        <w:rPr>
          <w:color w:val="231F20"/>
          <w:spacing w:val="3"/>
        </w:rPr>
        <w:t>len-</w:t>
      </w:r>
      <w:r>
        <w:rPr>
          <w:color w:val="231F20"/>
          <w:spacing w:val="58"/>
        </w:rPr>
        <w:t> </w:t>
      </w:r>
      <w:r>
        <w:rPr>
          <w:color w:val="231F20"/>
          <w:spacing w:val="2"/>
        </w:rPr>
        <w:t>gua </w:t>
      </w:r>
      <w:r>
        <w:rPr>
          <w:color w:val="231F20"/>
        </w:rPr>
        <w:t>y </w:t>
      </w:r>
      <w:r>
        <w:rPr>
          <w:color w:val="231F20"/>
          <w:spacing w:val="2"/>
        </w:rPr>
        <w:t>una sola cultura. </w:t>
      </w:r>
      <w:r>
        <w:rPr>
          <w:color w:val="231F20"/>
        </w:rPr>
        <w:t>Es </w:t>
      </w:r>
      <w:r>
        <w:rPr>
          <w:color w:val="231F20"/>
          <w:spacing w:val="2"/>
        </w:rPr>
        <w:t>hasta los años sesenta cuando </w:t>
      </w:r>
      <w:r>
        <w:rPr>
          <w:color w:val="231F20"/>
        </w:rPr>
        <w:t>se </w:t>
      </w:r>
      <w:r>
        <w:rPr>
          <w:color w:val="231F20"/>
          <w:spacing w:val="2"/>
        </w:rPr>
        <w:t>empie- </w:t>
      </w:r>
      <w:r>
        <w:rPr>
          <w:color w:val="231F20"/>
        </w:rPr>
        <w:t>za a </w:t>
      </w:r>
      <w:r>
        <w:rPr>
          <w:color w:val="231F20"/>
          <w:spacing w:val="2"/>
        </w:rPr>
        <w:t>plantear una política </w:t>
      </w:r>
      <w:r>
        <w:rPr>
          <w:color w:val="231F20"/>
        </w:rPr>
        <w:t>de </w:t>
      </w:r>
      <w:r>
        <w:rPr>
          <w:color w:val="231F20"/>
          <w:spacing w:val="2"/>
        </w:rPr>
        <w:t>reclutamiento </w:t>
      </w:r>
      <w:r>
        <w:rPr>
          <w:color w:val="231F20"/>
        </w:rPr>
        <w:t>de </w:t>
      </w:r>
      <w:r>
        <w:rPr>
          <w:color w:val="231F20"/>
          <w:spacing w:val="3"/>
        </w:rPr>
        <w:t>personal </w:t>
      </w:r>
      <w:r>
        <w:rPr>
          <w:color w:val="231F20"/>
        </w:rPr>
        <w:t>de las </w:t>
      </w:r>
      <w:r>
        <w:rPr>
          <w:color w:val="231F20"/>
          <w:spacing w:val="3"/>
        </w:rPr>
        <w:t>pro- </w:t>
      </w:r>
      <w:r>
        <w:rPr>
          <w:color w:val="231F20"/>
          <w:spacing w:val="2"/>
        </w:rPr>
        <w:t>pias </w:t>
      </w:r>
      <w:r>
        <w:rPr>
          <w:color w:val="231F20"/>
          <w:spacing w:val="3"/>
        </w:rPr>
        <w:t>comunidades </w:t>
      </w:r>
      <w:r>
        <w:rPr>
          <w:color w:val="231F20"/>
          <w:spacing w:val="2"/>
        </w:rPr>
        <w:t>indígenas para </w:t>
      </w:r>
      <w:r>
        <w:rPr>
          <w:color w:val="231F20"/>
          <w:spacing w:val="3"/>
        </w:rPr>
        <w:t>desempeñarse como </w:t>
      </w:r>
      <w:r>
        <w:rPr>
          <w:color w:val="231F20"/>
          <w:spacing w:val="2"/>
        </w:rPr>
        <w:t>docentes </w:t>
      </w:r>
      <w:r>
        <w:rPr>
          <w:color w:val="231F20"/>
        </w:rPr>
        <w:t>en sus </w:t>
      </w:r>
      <w:r>
        <w:rPr>
          <w:color w:val="231F20"/>
          <w:spacing w:val="2"/>
        </w:rPr>
        <w:t>propias regiones. </w:t>
      </w:r>
      <w:r>
        <w:rPr>
          <w:color w:val="231F20"/>
          <w:spacing w:val="3"/>
        </w:rPr>
        <w:t>Actualmente </w:t>
      </w:r>
      <w:r>
        <w:rPr>
          <w:color w:val="231F20"/>
        </w:rPr>
        <w:t>se </w:t>
      </w:r>
      <w:r>
        <w:rPr>
          <w:color w:val="231F20"/>
          <w:spacing w:val="2"/>
        </w:rPr>
        <w:t>tiene </w:t>
      </w:r>
      <w:r>
        <w:rPr>
          <w:color w:val="231F20"/>
        </w:rPr>
        <w:t>un </w:t>
      </w:r>
      <w:r>
        <w:rPr>
          <w:color w:val="231F20"/>
          <w:spacing w:val="3"/>
        </w:rPr>
        <w:t>modelo </w:t>
      </w:r>
      <w:r>
        <w:rPr>
          <w:color w:val="231F20"/>
          <w:spacing w:val="2"/>
        </w:rPr>
        <w:t>intercultural bilingüe, </w:t>
      </w:r>
      <w:r>
        <w:rPr>
          <w:color w:val="231F20"/>
        </w:rPr>
        <w:t>que </w:t>
      </w:r>
      <w:r>
        <w:rPr>
          <w:color w:val="231F20"/>
          <w:spacing w:val="2"/>
        </w:rPr>
        <w:t>tiene </w:t>
      </w:r>
      <w:r>
        <w:rPr>
          <w:color w:val="231F20"/>
        </w:rPr>
        <w:t>sus </w:t>
      </w:r>
      <w:r>
        <w:rPr>
          <w:color w:val="231F20"/>
          <w:spacing w:val="2"/>
        </w:rPr>
        <w:t>antecedentes </w:t>
      </w:r>
      <w:r>
        <w:rPr>
          <w:color w:val="231F20"/>
        </w:rPr>
        <w:t>en </w:t>
      </w:r>
      <w:r>
        <w:rPr>
          <w:color w:val="231F20"/>
          <w:spacing w:val="2"/>
        </w:rPr>
        <w:t>1992, </w:t>
      </w:r>
      <w:r>
        <w:rPr>
          <w:color w:val="231F20"/>
        </w:rPr>
        <w:t>a </w:t>
      </w:r>
      <w:r>
        <w:rPr>
          <w:color w:val="231F20"/>
          <w:spacing w:val="2"/>
        </w:rPr>
        <w:t>partir </w:t>
      </w:r>
      <w:r>
        <w:rPr>
          <w:color w:val="231F20"/>
        </w:rPr>
        <w:t>de la </w:t>
      </w:r>
      <w:r>
        <w:rPr>
          <w:color w:val="231F20"/>
          <w:spacing w:val="2"/>
        </w:rPr>
        <w:t>modifi- cación del </w:t>
      </w:r>
      <w:r>
        <w:rPr>
          <w:color w:val="231F20"/>
        </w:rPr>
        <w:t>4º </w:t>
      </w:r>
      <w:r>
        <w:rPr>
          <w:color w:val="231F20"/>
          <w:spacing w:val="3"/>
        </w:rPr>
        <w:t>informe </w:t>
      </w:r>
      <w:r>
        <w:rPr>
          <w:color w:val="231F20"/>
          <w:spacing w:val="2"/>
        </w:rPr>
        <w:t>constitucional, </w:t>
      </w:r>
      <w:r>
        <w:rPr>
          <w:color w:val="231F20"/>
        </w:rPr>
        <w:t>y </w:t>
      </w:r>
      <w:r>
        <w:rPr>
          <w:color w:val="231F20"/>
          <w:spacing w:val="3"/>
        </w:rPr>
        <w:t>posteriormente </w:t>
      </w:r>
      <w:r>
        <w:rPr>
          <w:color w:val="231F20"/>
          <w:spacing w:val="2"/>
        </w:rPr>
        <w:t>con </w:t>
      </w:r>
      <w:r>
        <w:rPr>
          <w:color w:val="231F20"/>
        </w:rPr>
        <w:t>la </w:t>
      </w:r>
      <w:r>
        <w:rPr>
          <w:color w:val="231F20"/>
          <w:spacing w:val="3"/>
        </w:rPr>
        <w:t>crea- </w:t>
      </w:r>
      <w:r>
        <w:rPr>
          <w:color w:val="231F20"/>
          <w:spacing w:val="2"/>
        </w:rPr>
        <w:t>ción </w:t>
      </w:r>
      <w:r>
        <w:rPr>
          <w:color w:val="231F20"/>
        </w:rPr>
        <w:t>de la </w:t>
      </w:r>
      <w:r>
        <w:rPr>
          <w:color w:val="231F20"/>
          <w:spacing w:val="3"/>
        </w:rPr>
        <w:t>Coordinación General </w:t>
      </w:r>
      <w:r>
        <w:rPr>
          <w:color w:val="231F20"/>
        </w:rPr>
        <w:t>de </w:t>
      </w:r>
      <w:r>
        <w:rPr>
          <w:color w:val="231F20"/>
          <w:spacing w:val="3"/>
        </w:rPr>
        <w:t>Educación </w:t>
      </w:r>
      <w:r>
        <w:rPr>
          <w:color w:val="231F20"/>
          <w:spacing w:val="2"/>
        </w:rPr>
        <w:t>Intercultural Bilin- </w:t>
      </w:r>
      <w:r>
        <w:rPr>
          <w:color w:val="231F20"/>
        </w:rPr>
        <w:t>güe en el </w:t>
      </w:r>
      <w:r>
        <w:rPr>
          <w:color w:val="231F20"/>
          <w:spacing w:val="2"/>
        </w:rPr>
        <w:t>año 2001, con </w:t>
      </w:r>
      <w:r>
        <w:rPr>
          <w:color w:val="231F20"/>
        </w:rPr>
        <w:t>el </w:t>
      </w:r>
      <w:r>
        <w:rPr>
          <w:color w:val="231F20"/>
          <w:spacing w:val="2"/>
        </w:rPr>
        <w:t>que </w:t>
      </w:r>
      <w:r>
        <w:rPr>
          <w:color w:val="231F20"/>
        </w:rPr>
        <w:t>se </w:t>
      </w:r>
      <w:r>
        <w:rPr>
          <w:color w:val="231F20"/>
          <w:spacing w:val="2"/>
        </w:rPr>
        <w:t>busca una educación más </w:t>
      </w:r>
      <w:r>
        <w:rPr>
          <w:color w:val="231F20"/>
        </w:rPr>
        <w:t>iguali- </w:t>
      </w:r>
      <w:r>
        <w:rPr>
          <w:color w:val="231F20"/>
          <w:spacing w:val="2"/>
        </w:rPr>
        <w:t>taria, </w:t>
      </w:r>
      <w:r>
        <w:rPr>
          <w:color w:val="231F20"/>
        </w:rPr>
        <w:t>de </w:t>
      </w:r>
      <w:r>
        <w:rPr>
          <w:color w:val="231F20"/>
          <w:spacing w:val="2"/>
        </w:rPr>
        <w:t>respeto </w:t>
      </w:r>
      <w:r>
        <w:rPr>
          <w:color w:val="231F20"/>
        </w:rPr>
        <w:t>a la </w:t>
      </w:r>
      <w:r>
        <w:rPr>
          <w:color w:val="231F20"/>
          <w:spacing w:val="2"/>
        </w:rPr>
        <w:t>diversidad </w:t>
      </w:r>
      <w:r>
        <w:rPr>
          <w:color w:val="231F20"/>
        </w:rPr>
        <w:t>y </w:t>
      </w:r>
      <w:r>
        <w:rPr>
          <w:color w:val="231F20"/>
          <w:spacing w:val="2"/>
        </w:rPr>
        <w:t>pertinente </w:t>
      </w:r>
      <w:r>
        <w:rPr>
          <w:color w:val="231F20"/>
        </w:rPr>
        <w:t>a las </w:t>
      </w:r>
      <w:r>
        <w:rPr>
          <w:color w:val="231F20"/>
          <w:spacing w:val="2"/>
        </w:rPr>
        <w:t>características </w:t>
      </w:r>
      <w:r>
        <w:rPr>
          <w:color w:val="231F20"/>
        </w:rPr>
        <w:t>de </w:t>
      </w:r>
      <w:r>
        <w:rPr>
          <w:color w:val="231F20"/>
          <w:spacing w:val="2"/>
        </w:rPr>
        <w:t>los </w:t>
      </w:r>
      <w:r>
        <w:rPr>
          <w:color w:val="231F20"/>
          <w:spacing w:val="3"/>
        </w:rPr>
        <w:t>grupos </w:t>
      </w:r>
      <w:r>
        <w:rPr>
          <w:color w:val="231F20"/>
          <w:spacing w:val="2"/>
        </w:rPr>
        <w:t>originarios. </w:t>
      </w:r>
      <w:r>
        <w:rPr>
          <w:color w:val="231F20"/>
        </w:rPr>
        <w:t>A </w:t>
      </w:r>
      <w:r>
        <w:rPr>
          <w:color w:val="231F20"/>
          <w:spacing w:val="2"/>
        </w:rPr>
        <w:t>pesar </w:t>
      </w:r>
      <w:r>
        <w:rPr>
          <w:color w:val="231F20"/>
        </w:rPr>
        <w:t>de </w:t>
      </w:r>
      <w:r>
        <w:rPr>
          <w:color w:val="231F20"/>
          <w:spacing w:val="2"/>
        </w:rPr>
        <w:t>ello, </w:t>
      </w:r>
      <w:r>
        <w:rPr>
          <w:color w:val="231F20"/>
        </w:rPr>
        <w:t>las </w:t>
      </w:r>
      <w:r>
        <w:rPr>
          <w:color w:val="231F20"/>
          <w:spacing w:val="2"/>
        </w:rPr>
        <w:t>críticas están dirigidas </w:t>
      </w:r>
      <w:r>
        <w:rPr>
          <w:color w:val="231F20"/>
        </w:rPr>
        <w:t>a la </w:t>
      </w:r>
      <w:r>
        <w:rPr>
          <w:color w:val="231F20"/>
          <w:spacing w:val="2"/>
        </w:rPr>
        <w:t>pertinencia </w:t>
      </w:r>
      <w:r>
        <w:rPr>
          <w:color w:val="231F20"/>
        </w:rPr>
        <w:t>de </w:t>
      </w:r>
      <w:r>
        <w:rPr>
          <w:color w:val="231F20"/>
          <w:spacing w:val="2"/>
        </w:rPr>
        <w:t>este </w:t>
      </w:r>
      <w:r>
        <w:rPr>
          <w:color w:val="231F20"/>
          <w:spacing w:val="3"/>
        </w:rPr>
        <w:t>modelo </w:t>
      </w:r>
      <w:r>
        <w:rPr>
          <w:color w:val="231F20"/>
        </w:rPr>
        <w:t>y al </w:t>
      </w:r>
      <w:r>
        <w:rPr>
          <w:color w:val="231F20"/>
          <w:spacing w:val="2"/>
        </w:rPr>
        <w:t>por qué </w:t>
      </w:r>
      <w:r>
        <w:rPr>
          <w:color w:val="231F20"/>
        </w:rPr>
        <w:t>solo </w:t>
      </w:r>
      <w:r>
        <w:rPr>
          <w:color w:val="231F20"/>
          <w:spacing w:val="2"/>
        </w:rPr>
        <w:t>está dirigido </w:t>
      </w:r>
      <w:r>
        <w:rPr>
          <w:color w:val="231F20"/>
        </w:rPr>
        <w:t>a </w:t>
      </w:r>
      <w:r>
        <w:rPr>
          <w:color w:val="231F20"/>
          <w:spacing w:val="2"/>
        </w:rPr>
        <w:t>las </w:t>
      </w:r>
      <w:r>
        <w:rPr>
          <w:color w:val="231F20"/>
          <w:spacing w:val="3"/>
        </w:rPr>
        <w:t>comunidades </w:t>
      </w:r>
      <w:r>
        <w:rPr>
          <w:color w:val="231F20"/>
          <w:spacing w:val="2"/>
        </w:rPr>
        <w:t>indígenas, </w:t>
      </w:r>
      <w:r>
        <w:rPr>
          <w:color w:val="231F20"/>
        </w:rPr>
        <w:t>ya </w:t>
      </w:r>
      <w:r>
        <w:rPr>
          <w:color w:val="231F20"/>
          <w:spacing w:val="2"/>
        </w:rPr>
        <w:t>que toda </w:t>
      </w:r>
      <w:r>
        <w:rPr>
          <w:color w:val="231F20"/>
        </w:rPr>
        <w:t>la </w:t>
      </w:r>
      <w:r>
        <w:rPr>
          <w:color w:val="231F20"/>
          <w:spacing w:val="2"/>
        </w:rPr>
        <w:t>sociedad requiere una edu- cación con </w:t>
      </w:r>
      <w:r>
        <w:rPr>
          <w:color w:val="231F20"/>
        </w:rPr>
        <w:t>un </w:t>
      </w:r>
      <w:r>
        <w:rPr>
          <w:color w:val="231F20"/>
          <w:spacing w:val="3"/>
        </w:rPr>
        <w:t>enfoque </w:t>
      </w:r>
      <w:r>
        <w:rPr>
          <w:color w:val="231F20"/>
          <w:spacing w:val="2"/>
        </w:rPr>
        <w:t>intercultural para </w:t>
      </w:r>
      <w:r>
        <w:rPr>
          <w:color w:val="231F20"/>
        </w:rPr>
        <w:t>vivir y </w:t>
      </w:r>
      <w:r>
        <w:rPr>
          <w:color w:val="231F20"/>
          <w:spacing w:val="2"/>
        </w:rPr>
        <w:t>convivir </w:t>
      </w:r>
      <w:r>
        <w:rPr>
          <w:color w:val="231F20"/>
        </w:rPr>
        <w:t>en la </w:t>
      </w:r>
      <w:r>
        <w:rPr>
          <w:color w:val="231F20"/>
          <w:spacing w:val="2"/>
        </w:rPr>
        <w:t>diversidad.</w:t>
      </w:r>
    </w:p>
    <w:p>
      <w:pPr>
        <w:pStyle w:val="BodyText"/>
        <w:rPr>
          <w:sz w:val="22"/>
        </w:rPr>
      </w:pPr>
    </w:p>
    <w:p>
      <w:pPr>
        <w:pStyle w:val="ListParagraph"/>
        <w:numPr>
          <w:ilvl w:val="0"/>
          <w:numId w:val="19"/>
        </w:numPr>
        <w:tabs>
          <w:tab w:pos="269" w:val="left" w:leader="none"/>
        </w:tabs>
        <w:spacing w:line="238" w:lineRule="exact" w:before="0" w:after="0"/>
        <w:ind w:left="268" w:right="0" w:hanging="156"/>
        <w:jc w:val="both"/>
        <w:rPr>
          <w:sz w:val="21"/>
        </w:rPr>
      </w:pPr>
      <w:r>
        <w:rPr>
          <w:color w:val="231F20"/>
          <w:sz w:val="21"/>
        </w:rPr>
        <w:t>Legislación</w:t>
      </w:r>
    </w:p>
    <w:p>
      <w:pPr>
        <w:pStyle w:val="BodyText"/>
        <w:spacing w:line="244" w:lineRule="auto"/>
        <w:ind w:left="112" w:right="115"/>
        <w:jc w:val="both"/>
      </w:pPr>
      <w:r>
        <w:rPr>
          <w:color w:val="231F20"/>
        </w:rPr>
        <w:t>En términos de legislación se reconocen los derechos individuales:   el derecho a la vida, a la salud, a la libertad de expresión, etc., tanto en la Constitución Política Mexicana como en la Declaración de los Derechos Humanos y en otros organismos internacionales como la Organización Internacional del Trabajo (OIT). Tenemos así la mo- dificación al artículo 4º.Constitucional en 1992, en el que se recono- ce que: "La nación mexicana tiene una composición pluricultural sustentada originalmente en sus pueblos indígenas". Y se agrega:  "La Ley protegerá y promoverá el desarrollo de sus lenguas, cultu- ras, usos, costumbres, recursos y formas específicas de</w:t>
      </w:r>
      <w:r>
        <w:rPr>
          <w:color w:val="231F20"/>
          <w:spacing w:val="36"/>
        </w:rPr>
        <w:t> </w:t>
      </w:r>
      <w:r>
        <w:rPr>
          <w:color w:val="231F20"/>
        </w:rPr>
        <w:t>organización</w:t>
      </w:r>
    </w:p>
    <w:p>
      <w:pPr>
        <w:spacing w:line="247" w:lineRule="exact" w:before="0"/>
        <w:ind w:left="112" w:right="0" w:firstLine="0"/>
        <w:jc w:val="both"/>
        <w:rPr>
          <w:sz w:val="21"/>
        </w:rPr>
      </w:pPr>
      <w:r>
        <w:rPr>
          <w:color w:val="231F20"/>
          <w:sz w:val="21"/>
        </w:rPr>
        <w:t>social (…)" (</w:t>
      </w:r>
      <w:r>
        <w:rPr>
          <w:color w:val="231F20"/>
          <w:sz w:val="20"/>
        </w:rPr>
        <w:t>Diario Oficial de la Federación, 1992:5</w:t>
      </w:r>
      <w:r>
        <w:rPr>
          <w:color w:val="231F20"/>
          <w:sz w:val="21"/>
        </w:rPr>
        <w:t>)</w:t>
      </w:r>
      <w:r>
        <w:rPr>
          <w:rFonts w:ascii="Segoe UI" w:hAnsi="Segoe UI"/>
          <w:i/>
          <w:color w:val="231F20"/>
          <w:sz w:val="21"/>
        </w:rPr>
        <w:t>. </w:t>
      </w:r>
      <w:r>
        <w:rPr>
          <w:color w:val="231F20"/>
          <w:sz w:val="21"/>
        </w:rPr>
        <w:t>Aunado a   esto,</w:t>
      </w:r>
    </w:p>
    <w:p>
      <w:pPr>
        <w:pStyle w:val="BodyText"/>
        <w:spacing w:line="241" w:lineRule="exact"/>
        <w:ind w:left="113"/>
        <w:jc w:val="both"/>
      </w:pPr>
      <w:r>
        <w:rPr>
          <w:color w:val="231F20"/>
        </w:rPr>
        <w:t>tenemos para el caso de Oaxaca lo siguiente:</w:t>
      </w:r>
    </w:p>
    <w:p>
      <w:pPr>
        <w:pStyle w:val="BodyText"/>
        <w:spacing w:before="3"/>
        <w:rPr>
          <w:sz w:val="25"/>
        </w:rPr>
      </w:pPr>
    </w:p>
    <w:p>
      <w:pPr>
        <w:spacing w:line="273" w:lineRule="auto" w:before="0"/>
        <w:ind w:left="821" w:right="165" w:firstLine="0"/>
        <w:jc w:val="both"/>
        <w:rPr>
          <w:sz w:val="19"/>
        </w:rPr>
      </w:pPr>
      <w:r>
        <w:rPr>
          <w:color w:val="231F20"/>
          <w:sz w:val="19"/>
        </w:rPr>
        <w:t>(…) el Estado reconoce a los pueblos y comunidades indígenas sus formas de organización social, política y de gobierno, sus sis- temas normativos internos, la jurisdicción que tendrán en sus te- rritorios, el acceso a los recursos naturales de sus tierras y territo- rios. Su participación en el quehacer educativo y en los planes y programas de desarrollo(...)” (Constitución Política de Oaxaca de 1990, con adiciones constitucionales de 1995,</w:t>
      </w:r>
      <w:r>
        <w:rPr>
          <w:color w:val="231F20"/>
          <w:spacing w:val="-5"/>
          <w:sz w:val="19"/>
        </w:rPr>
        <w:t> </w:t>
      </w:r>
      <w:r>
        <w:rPr>
          <w:color w:val="231F20"/>
          <w:sz w:val="19"/>
        </w:rPr>
        <w:t>Art.16).</w:t>
      </w:r>
    </w:p>
    <w:p>
      <w:pPr>
        <w:spacing w:after="0" w:line="273" w:lineRule="auto"/>
        <w:jc w:val="both"/>
        <w:rPr>
          <w:sz w:val="19"/>
        </w:rPr>
        <w:sectPr>
          <w:headerReference w:type="default" r:id="rId703"/>
          <w:footerReference w:type="default" r:id="rId704"/>
          <w:pgSz w:w="7830" w:h="11910"/>
          <w:pgMar w:header="0" w:footer="424" w:top="500" w:bottom="620" w:left="880" w:right="900"/>
          <w:pgNumType w:start="315"/>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0" w:firstLine="284"/>
        <w:jc w:val="both"/>
      </w:pPr>
      <w:r>
        <w:rPr>
          <w:color w:val="231F20"/>
        </w:rPr>
        <w:t>En este marco se establece la Ley General de Educación en el estado de Oaxaca. En su artículo 7º se aclara lo siguiente:</w:t>
      </w:r>
    </w:p>
    <w:p>
      <w:pPr>
        <w:spacing w:line="271" w:lineRule="auto" w:before="19"/>
        <w:ind w:left="810" w:right="154" w:firstLine="0"/>
        <w:jc w:val="both"/>
        <w:rPr>
          <w:sz w:val="19"/>
        </w:rPr>
      </w:pPr>
      <w:r>
        <w:rPr>
          <w:color w:val="231F20"/>
          <w:sz w:val="19"/>
        </w:rPr>
        <w:t>Es</w:t>
      </w:r>
      <w:r>
        <w:rPr>
          <w:color w:val="231F20"/>
          <w:spacing w:val="-10"/>
          <w:sz w:val="19"/>
        </w:rPr>
        <w:t> </w:t>
      </w:r>
      <w:r>
        <w:rPr>
          <w:color w:val="231F20"/>
          <w:sz w:val="19"/>
        </w:rPr>
        <w:t>obligación</w:t>
      </w:r>
      <w:r>
        <w:rPr>
          <w:color w:val="231F20"/>
          <w:spacing w:val="-9"/>
          <w:sz w:val="19"/>
        </w:rPr>
        <w:t> </w:t>
      </w:r>
      <w:r>
        <w:rPr>
          <w:color w:val="231F20"/>
          <w:sz w:val="19"/>
        </w:rPr>
        <w:t>del</w:t>
      </w:r>
      <w:r>
        <w:rPr>
          <w:color w:val="231F20"/>
          <w:spacing w:val="-10"/>
          <w:sz w:val="19"/>
        </w:rPr>
        <w:t> </w:t>
      </w:r>
      <w:r>
        <w:rPr>
          <w:color w:val="231F20"/>
          <w:sz w:val="19"/>
        </w:rPr>
        <w:t>estado</w:t>
      </w:r>
      <w:r>
        <w:rPr>
          <w:color w:val="231F20"/>
          <w:spacing w:val="-9"/>
          <w:sz w:val="19"/>
        </w:rPr>
        <w:t> </w:t>
      </w:r>
      <w:r>
        <w:rPr>
          <w:color w:val="231F20"/>
          <w:sz w:val="19"/>
        </w:rPr>
        <w:t>impartir</w:t>
      </w:r>
      <w:r>
        <w:rPr>
          <w:color w:val="231F20"/>
          <w:spacing w:val="-10"/>
          <w:sz w:val="19"/>
        </w:rPr>
        <w:t> </w:t>
      </w:r>
      <w:r>
        <w:rPr>
          <w:color w:val="231F20"/>
          <w:sz w:val="19"/>
        </w:rPr>
        <w:t>educación</w:t>
      </w:r>
      <w:r>
        <w:rPr>
          <w:color w:val="231F20"/>
          <w:spacing w:val="-9"/>
          <w:sz w:val="19"/>
        </w:rPr>
        <w:t> </w:t>
      </w:r>
      <w:r>
        <w:rPr>
          <w:color w:val="231F20"/>
          <w:sz w:val="19"/>
        </w:rPr>
        <w:t>bilingüe</w:t>
      </w:r>
      <w:r>
        <w:rPr>
          <w:color w:val="231F20"/>
          <w:spacing w:val="-10"/>
          <w:sz w:val="19"/>
        </w:rPr>
        <w:t> </w:t>
      </w:r>
      <w:r>
        <w:rPr>
          <w:color w:val="231F20"/>
          <w:sz w:val="19"/>
        </w:rPr>
        <w:t>e</w:t>
      </w:r>
      <w:r>
        <w:rPr>
          <w:color w:val="231F20"/>
          <w:spacing w:val="-10"/>
          <w:sz w:val="19"/>
        </w:rPr>
        <w:t> </w:t>
      </w:r>
      <w:r>
        <w:rPr>
          <w:color w:val="231F20"/>
          <w:sz w:val="19"/>
        </w:rPr>
        <w:t>intercultural a todos los pueblos indígenas, con planes y programas de estudio que integren conocimientos, tecnologías y sistemas de valores co- rrespondientes a las culturas de la entidad. Esta enseñanza deberá impartirse en su lengua materna y en español como segunda </w:t>
      </w:r>
      <w:r>
        <w:rPr>
          <w:color w:val="231F20"/>
          <w:spacing w:val="-3"/>
          <w:sz w:val="19"/>
        </w:rPr>
        <w:t>len- </w:t>
      </w:r>
      <w:r>
        <w:rPr>
          <w:color w:val="231F20"/>
          <w:sz w:val="19"/>
        </w:rPr>
        <w:t>gua. Para la demás población se incorporarán los planes y progra- mas de estudio contenidos, de las culturas étnicas de la región y la entidad (Ley Estatal de Educación Pública de Oaxaca, </w:t>
      </w:r>
      <w:r>
        <w:rPr>
          <w:color w:val="231F20"/>
          <w:sz w:val="20"/>
        </w:rPr>
        <w:t>Decreto No. 296. Ley Estatal de Educación,</w:t>
      </w:r>
      <w:r>
        <w:rPr>
          <w:color w:val="231F20"/>
          <w:spacing w:val="8"/>
          <w:sz w:val="20"/>
        </w:rPr>
        <w:t> </w:t>
      </w:r>
      <w:r>
        <w:rPr>
          <w:color w:val="231F20"/>
          <w:sz w:val="20"/>
        </w:rPr>
        <w:t>1995</w:t>
      </w:r>
      <w:r>
        <w:rPr>
          <w:color w:val="231F20"/>
          <w:sz w:val="19"/>
        </w:rPr>
        <w:t>).</w:t>
      </w:r>
    </w:p>
    <w:p>
      <w:pPr>
        <w:pStyle w:val="BodyText"/>
        <w:spacing w:before="1"/>
        <w:rPr>
          <w:sz w:val="20"/>
        </w:rPr>
      </w:pPr>
    </w:p>
    <w:p>
      <w:pPr>
        <w:pStyle w:val="BodyText"/>
        <w:spacing w:line="247" w:lineRule="auto"/>
        <w:ind w:left="102" w:right="109" w:firstLine="284"/>
        <w:jc w:val="both"/>
      </w:pPr>
      <w:r>
        <w:rPr>
          <w:color w:val="231F20"/>
        </w:rPr>
        <w:t>Sin embargo, se sigue dando un trato diferenciado a la población indígena,</w:t>
      </w:r>
      <w:r>
        <w:rPr>
          <w:color w:val="231F20"/>
          <w:spacing w:val="-12"/>
        </w:rPr>
        <w:t> </w:t>
      </w:r>
      <w:r>
        <w:rPr>
          <w:color w:val="231F20"/>
        </w:rPr>
        <w:t>en</w:t>
      </w:r>
      <w:r>
        <w:rPr>
          <w:color w:val="231F20"/>
          <w:spacing w:val="-11"/>
        </w:rPr>
        <w:t> </w:t>
      </w:r>
      <w:r>
        <w:rPr>
          <w:color w:val="231F20"/>
        </w:rPr>
        <w:t>términos</w:t>
      </w:r>
      <w:r>
        <w:rPr>
          <w:color w:val="231F20"/>
          <w:spacing w:val="-12"/>
        </w:rPr>
        <w:t> </w:t>
      </w:r>
      <w:r>
        <w:rPr>
          <w:color w:val="231F20"/>
        </w:rPr>
        <w:t>de</w:t>
      </w:r>
      <w:r>
        <w:rPr>
          <w:color w:val="231F20"/>
          <w:spacing w:val="-12"/>
        </w:rPr>
        <w:t> </w:t>
      </w:r>
      <w:r>
        <w:rPr>
          <w:color w:val="231F20"/>
        </w:rPr>
        <w:t>una</w:t>
      </w:r>
      <w:r>
        <w:rPr>
          <w:color w:val="231F20"/>
          <w:spacing w:val="-11"/>
        </w:rPr>
        <w:t> </w:t>
      </w:r>
      <w:r>
        <w:rPr>
          <w:color w:val="231F20"/>
        </w:rPr>
        <w:t>educación</w:t>
      </w:r>
      <w:r>
        <w:rPr>
          <w:color w:val="231F20"/>
          <w:spacing w:val="-11"/>
        </w:rPr>
        <w:t> </w:t>
      </w:r>
      <w:r>
        <w:rPr>
          <w:color w:val="231F20"/>
        </w:rPr>
        <w:t>con</w:t>
      </w:r>
      <w:r>
        <w:rPr>
          <w:color w:val="231F20"/>
          <w:spacing w:val="-11"/>
        </w:rPr>
        <w:t> </w:t>
      </w:r>
      <w:r>
        <w:rPr>
          <w:color w:val="231F20"/>
        </w:rPr>
        <w:t>pertinencia</w:t>
      </w:r>
      <w:r>
        <w:rPr>
          <w:color w:val="231F20"/>
          <w:spacing w:val="-12"/>
        </w:rPr>
        <w:t> </w:t>
      </w:r>
      <w:r>
        <w:rPr>
          <w:color w:val="231F20"/>
        </w:rPr>
        <w:t>y</w:t>
      </w:r>
      <w:r>
        <w:rPr>
          <w:color w:val="231F20"/>
          <w:spacing w:val="-12"/>
        </w:rPr>
        <w:t> </w:t>
      </w:r>
      <w:r>
        <w:rPr>
          <w:color w:val="231F20"/>
        </w:rPr>
        <w:t>calidad</w:t>
      </w:r>
      <w:r>
        <w:rPr>
          <w:color w:val="231F20"/>
          <w:spacing w:val="-11"/>
        </w:rPr>
        <w:t> </w:t>
      </w:r>
      <w:r>
        <w:rPr>
          <w:color w:val="231F20"/>
        </w:rPr>
        <w:t>para las comunidades indígenas, la ausencia de la lengua originaria en las aulas. Por ejemplo, para los encarcelados el procesamiento es más largo</w:t>
      </w:r>
      <w:r>
        <w:rPr>
          <w:color w:val="231F20"/>
          <w:spacing w:val="-10"/>
        </w:rPr>
        <w:t> </w:t>
      </w:r>
      <w:r>
        <w:rPr>
          <w:color w:val="231F20"/>
        </w:rPr>
        <w:t>por</w:t>
      </w:r>
      <w:r>
        <w:rPr>
          <w:color w:val="231F20"/>
          <w:spacing w:val="-11"/>
        </w:rPr>
        <w:t> </w:t>
      </w:r>
      <w:r>
        <w:rPr>
          <w:color w:val="231F20"/>
        </w:rPr>
        <w:t>el</w:t>
      </w:r>
      <w:r>
        <w:rPr>
          <w:color w:val="231F20"/>
          <w:spacing w:val="-11"/>
        </w:rPr>
        <w:t> </w:t>
      </w:r>
      <w:r>
        <w:rPr>
          <w:color w:val="231F20"/>
        </w:rPr>
        <w:t>hecho</w:t>
      </w:r>
      <w:r>
        <w:rPr>
          <w:color w:val="231F20"/>
          <w:spacing w:val="-10"/>
        </w:rPr>
        <w:t> </w:t>
      </w:r>
      <w:r>
        <w:rPr>
          <w:color w:val="231F20"/>
        </w:rPr>
        <w:t>de</w:t>
      </w:r>
      <w:r>
        <w:rPr>
          <w:color w:val="231F20"/>
          <w:spacing w:val="-10"/>
        </w:rPr>
        <w:t> </w:t>
      </w:r>
      <w:r>
        <w:rPr>
          <w:color w:val="231F20"/>
        </w:rPr>
        <w:t>no</w:t>
      </w:r>
      <w:r>
        <w:rPr>
          <w:color w:val="231F20"/>
          <w:spacing w:val="-10"/>
        </w:rPr>
        <w:t> </w:t>
      </w:r>
      <w:r>
        <w:rPr>
          <w:color w:val="231F20"/>
        </w:rPr>
        <w:t>hablar</w:t>
      </w:r>
      <w:r>
        <w:rPr>
          <w:color w:val="231F20"/>
          <w:spacing w:val="-11"/>
        </w:rPr>
        <w:t> </w:t>
      </w:r>
      <w:r>
        <w:rPr>
          <w:color w:val="231F20"/>
        </w:rPr>
        <w:t>la</w:t>
      </w:r>
      <w:r>
        <w:rPr>
          <w:color w:val="231F20"/>
          <w:spacing w:val="-11"/>
        </w:rPr>
        <w:t> </w:t>
      </w:r>
      <w:r>
        <w:rPr>
          <w:color w:val="231F20"/>
        </w:rPr>
        <w:t>lengua</w:t>
      </w:r>
      <w:r>
        <w:rPr>
          <w:color w:val="231F20"/>
          <w:spacing w:val="-11"/>
        </w:rPr>
        <w:t> </w:t>
      </w:r>
      <w:r>
        <w:rPr>
          <w:color w:val="231F20"/>
        </w:rPr>
        <w:t>franca.</w:t>
      </w:r>
    </w:p>
    <w:p>
      <w:pPr>
        <w:pStyle w:val="BodyText"/>
        <w:spacing w:line="247" w:lineRule="auto" w:before="6"/>
        <w:ind w:left="102" w:right="107" w:firstLine="284"/>
        <w:jc w:val="both"/>
      </w:pPr>
      <w:r>
        <w:rPr>
          <w:color w:val="231F20"/>
        </w:rPr>
        <w:t>En lo que se refiere a los derechos colectivos (Kymlinka, 1996) hace falta mucho por hacer: demandar una educación desde los intereses de las comunidades originarias, maestros,  contenidos, etc.; hacer efectiva la autodeterminación de los pueblos para defi- nir proyectos que realmente respondan a sus intereses y no pro- yectos supranacionales (como presas hidroeléctricas); mantener la identidad como grupo; la protección de sus territorios, etc. Si bien es cierto, que hay dos elementos que resaltar, los ejidos y la pro- piedad comunal como derechos colectivos, con la modificación al informe 27 constitucional de 1992 se trastoca este derecho.</w:t>
      </w:r>
    </w:p>
    <w:p>
      <w:pPr>
        <w:pStyle w:val="BodyText"/>
        <w:spacing w:before="9"/>
      </w:pPr>
    </w:p>
    <w:p>
      <w:pPr>
        <w:spacing w:before="0"/>
        <w:ind w:left="102" w:right="0" w:firstLine="0"/>
        <w:jc w:val="both"/>
        <w:rPr>
          <w:i/>
          <w:sz w:val="21"/>
        </w:rPr>
      </w:pPr>
      <w:r>
        <w:rPr>
          <w:i/>
          <w:color w:val="231F20"/>
          <w:w w:val="80"/>
          <w:sz w:val="21"/>
        </w:rPr>
        <w:t>Discriminación  social</w:t>
      </w:r>
    </w:p>
    <w:p>
      <w:pPr>
        <w:pStyle w:val="BodyText"/>
        <w:spacing w:before="6"/>
        <w:rPr>
          <w:i/>
        </w:rPr>
      </w:pPr>
    </w:p>
    <w:p>
      <w:pPr>
        <w:pStyle w:val="BodyText"/>
        <w:spacing w:line="247" w:lineRule="auto"/>
        <w:ind w:left="102" w:right="106" w:hanging="1"/>
        <w:jc w:val="both"/>
      </w:pPr>
      <w:r>
        <w:rPr>
          <w:color w:val="231F20"/>
        </w:rPr>
        <w:t>Como hemos mencionado más arriba, la discriminación social im- pacta fuertemente a la sociedad en general, pero en particular a la población indígena. Así tenemos que la sociedad nacional, hegemó- nica, dominante, que discrimina a la sociedad indígena por su len- gua, por su cultura, por su forma de vestir, etc. Algunas preguntas generales son: ¿qué hacer para revertir esta situación?, ¿qué papel debe jugar la educación?, ¿qué papel deben jugar los medios masi- vos de comunicación en este proceso?, ¿qué papel deben jugar las</w:t>
      </w:r>
    </w:p>
    <w:p>
      <w:pPr>
        <w:spacing w:after="0" w:line="247" w:lineRule="auto"/>
        <w:jc w:val="both"/>
        <w:sectPr>
          <w:headerReference w:type="default" r:id="rId705"/>
          <w:footerReference w:type="default" r:id="rId706"/>
          <w:pgSz w:w="7830" w:h="11910"/>
          <w:pgMar w:header="0" w:footer="424" w:top="500" w:bottom="620" w:left="920" w:right="880"/>
          <w:pgNumType w:start="316"/>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13" w:right="120"/>
        <w:jc w:val="both"/>
      </w:pPr>
      <w:r>
        <w:rPr>
          <w:color w:val="231F20"/>
        </w:rPr>
        <w:t>mismas comunidades, para dar lugar a sociedades más justas, más democráticas, que sepan reconocer y vivir en la diversidad?</w:t>
      </w:r>
    </w:p>
    <w:p>
      <w:pPr>
        <w:pStyle w:val="BodyText"/>
        <w:spacing w:line="249" w:lineRule="auto" w:before="10"/>
        <w:ind w:left="113" w:right="118" w:firstLine="284"/>
        <w:jc w:val="both"/>
      </w:pPr>
      <w:r>
        <w:rPr>
          <w:color w:val="231F20"/>
          <w:spacing w:val="3"/>
        </w:rPr>
        <w:t>Desafortunadamente </w:t>
      </w:r>
      <w:r>
        <w:rPr>
          <w:color w:val="231F20"/>
        </w:rPr>
        <w:t>la </w:t>
      </w:r>
      <w:r>
        <w:rPr>
          <w:color w:val="231F20"/>
          <w:spacing w:val="2"/>
        </w:rPr>
        <w:t>discriminación </w:t>
      </w:r>
      <w:r>
        <w:rPr>
          <w:color w:val="231F20"/>
        </w:rPr>
        <w:t>no </w:t>
      </w:r>
      <w:r>
        <w:rPr>
          <w:color w:val="231F20"/>
          <w:spacing w:val="2"/>
        </w:rPr>
        <w:t>solo </w:t>
      </w:r>
      <w:r>
        <w:rPr>
          <w:color w:val="231F20"/>
        </w:rPr>
        <w:t>se </w:t>
      </w:r>
      <w:r>
        <w:rPr>
          <w:color w:val="231F20"/>
          <w:spacing w:val="2"/>
        </w:rPr>
        <w:t>presenta </w:t>
      </w:r>
      <w:r>
        <w:rPr>
          <w:color w:val="231F20"/>
        </w:rPr>
        <w:t>en    el </w:t>
      </w:r>
      <w:r>
        <w:rPr>
          <w:color w:val="231F20"/>
          <w:spacing w:val="2"/>
        </w:rPr>
        <w:t>nivel </w:t>
      </w:r>
      <w:r>
        <w:rPr>
          <w:color w:val="231F20"/>
          <w:spacing w:val="3"/>
        </w:rPr>
        <w:t>mencionado, </w:t>
      </w:r>
      <w:r>
        <w:rPr>
          <w:color w:val="231F20"/>
          <w:spacing w:val="2"/>
        </w:rPr>
        <w:t>sino también </w:t>
      </w:r>
      <w:r>
        <w:rPr>
          <w:color w:val="231F20"/>
        </w:rPr>
        <w:t>se </w:t>
      </w:r>
      <w:r>
        <w:rPr>
          <w:color w:val="231F20"/>
          <w:spacing w:val="2"/>
        </w:rPr>
        <w:t>manifiesta </w:t>
      </w:r>
      <w:r>
        <w:rPr>
          <w:color w:val="231F20"/>
        </w:rPr>
        <w:t>de  </w:t>
      </w:r>
      <w:r>
        <w:rPr>
          <w:color w:val="231F20"/>
          <w:spacing w:val="2"/>
        </w:rPr>
        <w:t>una etnia </w:t>
      </w:r>
      <w:r>
        <w:rPr>
          <w:color w:val="231F20"/>
        </w:rPr>
        <w:t>a  </w:t>
      </w:r>
      <w:r>
        <w:rPr>
          <w:color w:val="231F20"/>
          <w:spacing w:val="2"/>
        </w:rPr>
        <w:t>otra, </w:t>
      </w:r>
      <w:r>
        <w:rPr>
          <w:color w:val="231F20"/>
        </w:rPr>
        <w:t>de un </w:t>
      </w:r>
      <w:r>
        <w:rPr>
          <w:color w:val="231F20"/>
          <w:spacing w:val="2"/>
        </w:rPr>
        <w:t>pueblo </w:t>
      </w:r>
      <w:r>
        <w:rPr>
          <w:color w:val="231F20"/>
        </w:rPr>
        <w:t>a </w:t>
      </w:r>
      <w:r>
        <w:rPr>
          <w:color w:val="231F20"/>
          <w:spacing w:val="2"/>
        </w:rPr>
        <w:t>otro, </w:t>
      </w:r>
      <w:r>
        <w:rPr>
          <w:color w:val="231F20"/>
        </w:rPr>
        <w:t>de la </w:t>
      </w:r>
      <w:r>
        <w:rPr>
          <w:color w:val="231F20"/>
          <w:spacing w:val="3"/>
        </w:rPr>
        <w:t>misma </w:t>
      </w:r>
      <w:r>
        <w:rPr>
          <w:color w:val="231F20"/>
          <w:spacing w:val="2"/>
        </w:rPr>
        <w:t>etnia </w:t>
      </w:r>
      <w:r>
        <w:rPr>
          <w:color w:val="231F20"/>
        </w:rPr>
        <w:t>y </w:t>
      </w:r>
      <w:r>
        <w:rPr>
          <w:color w:val="231F20"/>
          <w:spacing w:val="2"/>
        </w:rPr>
        <w:t>dentro </w:t>
      </w:r>
      <w:r>
        <w:rPr>
          <w:color w:val="231F20"/>
        </w:rPr>
        <w:t>de la </w:t>
      </w:r>
      <w:r>
        <w:rPr>
          <w:color w:val="231F20"/>
          <w:spacing w:val="3"/>
        </w:rPr>
        <w:t>misma comunidad </w:t>
      </w:r>
      <w:r>
        <w:rPr>
          <w:color w:val="231F20"/>
        </w:rPr>
        <w:t>ya sea </w:t>
      </w:r>
      <w:r>
        <w:rPr>
          <w:color w:val="231F20"/>
          <w:spacing w:val="2"/>
        </w:rPr>
        <w:t>por </w:t>
      </w:r>
      <w:r>
        <w:rPr>
          <w:color w:val="231F20"/>
        </w:rPr>
        <w:t>la </w:t>
      </w:r>
      <w:r>
        <w:rPr>
          <w:color w:val="231F20"/>
          <w:spacing w:val="2"/>
        </w:rPr>
        <w:t>religión, </w:t>
      </w:r>
      <w:r>
        <w:rPr>
          <w:color w:val="231F20"/>
        </w:rPr>
        <w:t>la </w:t>
      </w:r>
      <w:r>
        <w:rPr>
          <w:color w:val="231F20"/>
          <w:spacing w:val="2"/>
        </w:rPr>
        <w:t>situación </w:t>
      </w:r>
      <w:r>
        <w:rPr>
          <w:color w:val="231F20"/>
          <w:spacing w:val="3"/>
        </w:rPr>
        <w:t>económica,</w:t>
      </w:r>
      <w:r>
        <w:rPr>
          <w:color w:val="231F20"/>
          <w:spacing w:val="-20"/>
        </w:rPr>
        <w:t> </w:t>
      </w:r>
      <w:r>
        <w:rPr>
          <w:color w:val="231F20"/>
          <w:spacing w:val="3"/>
        </w:rPr>
        <w:t>etc.</w:t>
      </w:r>
    </w:p>
    <w:p>
      <w:pPr>
        <w:pStyle w:val="BodyText"/>
        <w:spacing w:before="7"/>
      </w:pPr>
    </w:p>
    <w:p>
      <w:pPr>
        <w:spacing w:before="0"/>
        <w:ind w:left="113" w:right="0" w:firstLine="0"/>
        <w:jc w:val="both"/>
        <w:rPr>
          <w:i/>
          <w:sz w:val="21"/>
        </w:rPr>
      </w:pPr>
      <w:r>
        <w:rPr>
          <w:i/>
          <w:color w:val="231F20"/>
          <w:w w:val="85"/>
          <w:sz w:val="21"/>
        </w:rPr>
        <w:t>Discriminación en el aula</w:t>
      </w:r>
    </w:p>
    <w:p>
      <w:pPr>
        <w:pStyle w:val="BodyText"/>
        <w:spacing w:before="1"/>
        <w:rPr>
          <w:i/>
        </w:rPr>
      </w:pPr>
    </w:p>
    <w:p>
      <w:pPr>
        <w:pStyle w:val="BodyText"/>
        <w:spacing w:line="244" w:lineRule="auto" w:before="1"/>
        <w:ind w:left="113" w:right="116"/>
        <w:jc w:val="both"/>
      </w:pPr>
      <w:r>
        <w:rPr>
          <w:color w:val="231F20"/>
        </w:rPr>
        <w:t>El enfoque etnográfico nos puede ayudar teórica y metodológica- mente para dar cuenta de lo que ocurre en el aula en términos de discriminación a partir de las interacciones que se dan en ella. Aquí podemos mencionar dos aspectos relevantes que pueden dar cuenta de cómo se vive este fenómeno en el aula: por un lado, las formas sutiles utilizadas durante el proceso de interacción, como trato dife- renciado, ubicación dentro del aula, carga de trabajo, mayores o menores oportunidades de participación, y también formas más explicitas, como prohibir que se hable la lengua indígena.</w:t>
      </w:r>
    </w:p>
    <w:p>
      <w:pPr>
        <w:pStyle w:val="BodyText"/>
        <w:spacing w:line="249" w:lineRule="auto" w:before="18"/>
        <w:ind w:left="112" w:right="116" w:firstLine="284"/>
        <w:jc w:val="both"/>
      </w:pPr>
      <w:r>
        <w:rPr>
          <w:color w:val="231F20"/>
          <w:spacing w:val="2"/>
        </w:rPr>
        <w:t>Algunos autores (Díaz-Aguado </w:t>
      </w:r>
      <w:r>
        <w:rPr>
          <w:color w:val="231F20"/>
        </w:rPr>
        <w:t>y </w:t>
      </w:r>
      <w:r>
        <w:rPr>
          <w:color w:val="231F20"/>
          <w:spacing w:val="2"/>
        </w:rPr>
        <w:t>Andrés, 1994) han </w:t>
      </w:r>
      <w:r>
        <w:rPr>
          <w:color w:val="231F20"/>
          <w:spacing w:val="3"/>
        </w:rPr>
        <w:t>menciona- </w:t>
      </w:r>
      <w:r>
        <w:rPr>
          <w:color w:val="231F20"/>
        </w:rPr>
        <w:t>do </w:t>
      </w:r>
      <w:r>
        <w:rPr>
          <w:color w:val="231F20"/>
          <w:spacing w:val="2"/>
        </w:rPr>
        <w:t>que existen tres líneas </w:t>
      </w:r>
      <w:r>
        <w:rPr>
          <w:color w:val="231F20"/>
        </w:rPr>
        <w:t>de </w:t>
      </w:r>
      <w:r>
        <w:rPr>
          <w:color w:val="231F20"/>
          <w:spacing w:val="2"/>
        </w:rPr>
        <w:t>investigación que nos </w:t>
      </w:r>
      <w:r>
        <w:rPr>
          <w:color w:val="231F20"/>
          <w:spacing w:val="3"/>
        </w:rPr>
        <w:t>pueden ayudar   </w:t>
      </w:r>
      <w:r>
        <w:rPr>
          <w:color w:val="231F20"/>
        </w:rPr>
        <w:t>a </w:t>
      </w:r>
      <w:r>
        <w:rPr>
          <w:color w:val="231F20"/>
          <w:spacing w:val="3"/>
        </w:rPr>
        <w:t>entender </w:t>
      </w:r>
      <w:r>
        <w:rPr>
          <w:color w:val="231F20"/>
          <w:spacing w:val="2"/>
        </w:rPr>
        <w:t>esta </w:t>
      </w:r>
      <w:r>
        <w:rPr>
          <w:color w:val="231F20"/>
          <w:spacing w:val="3"/>
        </w:rPr>
        <w:t>problemática: </w:t>
      </w:r>
      <w:r>
        <w:rPr>
          <w:color w:val="231F20"/>
          <w:spacing w:val="2"/>
        </w:rPr>
        <w:t>por </w:t>
      </w:r>
      <w:r>
        <w:rPr>
          <w:color w:val="231F20"/>
        </w:rPr>
        <w:t>un </w:t>
      </w:r>
      <w:r>
        <w:rPr>
          <w:color w:val="231F20"/>
          <w:spacing w:val="2"/>
        </w:rPr>
        <w:t>lado, </w:t>
      </w:r>
      <w:r>
        <w:rPr>
          <w:color w:val="231F20"/>
        </w:rPr>
        <w:t>las </w:t>
      </w:r>
      <w:r>
        <w:rPr>
          <w:color w:val="231F20"/>
          <w:spacing w:val="2"/>
        </w:rPr>
        <w:t>expectativas </w:t>
      </w:r>
      <w:r>
        <w:rPr>
          <w:color w:val="231F20"/>
        </w:rPr>
        <w:t>que </w:t>
      </w:r>
      <w:r>
        <w:rPr>
          <w:color w:val="231F20"/>
          <w:spacing w:val="2"/>
        </w:rPr>
        <w:t>tienen los </w:t>
      </w:r>
      <w:r>
        <w:rPr>
          <w:color w:val="231F20"/>
          <w:spacing w:val="3"/>
        </w:rPr>
        <w:t>maestros </w:t>
      </w:r>
      <w:r>
        <w:rPr>
          <w:color w:val="231F20"/>
        </w:rPr>
        <w:t>de </w:t>
      </w:r>
      <w:r>
        <w:rPr>
          <w:color w:val="231F20"/>
          <w:spacing w:val="2"/>
        </w:rPr>
        <w:t>sus </w:t>
      </w:r>
      <w:r>
        <w:rPr>
          <w:color w:val="231F20"/>
          <w:spacing w:val="3"/>
        </w:rPr>
        <w:t>alumnos, </w:t>
      </w:r>
      <w:r>
        <w:rPr>
          <w:color w:val="231F20"/>
        </w:rPr>
        <w:t>el </w:t>
      </w:r>
      <w:r>
        <w:rPr>
          <w:color w:val="231F20"/>
          <w:spacing w:val="2"/>
        </w:rPr>
        <w:t>currículum oculto </w:t>
      </w:r>
      <w:r>
        <w:rPr>
          <w:color w:val="231F20"/>
        </w:rPr>
        <w:t>y la </w:t>
      </w:r>
      <w:r>
        <w:rPr>
          <w:color w:val="231F20"/>
          <w:spacing w:val="2"/>
        </w:rPr>
        <w:t>pre- sencia </w:t>
      </w:r>
      <w:r>
        <w:rPr>
          <w:color w:val="231F20"/>
        </w:rPr>
        <w:t>de </w:t>
      </w:r>
      <w:r>
        <w:rPr>
          <w:color w:val="231F20"/>
          <w:spacing w:val="3"/>
        </w:rPr>
        <w:t>minorías </w:t>
      </w:r>
      <w:r>
        <w:rPr>
          <w:color w:val="231F20"/>
          <w:spacing w:val="2"/>
        </w:rPr>
        <w:t>lingüísticas </w:t>
      </w:r>
      <w:r>
        <w:rPr>
          <w:color w:val="231F20"/>
        </w:rPr>
        <w:t>y </w:t>
      </w:r>
      <w:r>
        <w:rPr>
          <w:color w:val="231F20"/>
          <w:spacing w:val="2"/>
        </w:rPr>
        <w:t>culturales dentro del aula. </w:t>
      </w:r>
      <w:r>
        <w:rPr>
          <w:color w:val="231F20"/>
        </w:rPr>
        <w:t>En </w:t>
      </w:r>
      <w:r>
        <w:rPr>
          <w:color w:val="231F20"/>
          <w:spacing w:val="2"/>
        </w:rPr>
        <w:t>este sentido, </w:t>
      </w:r>
      <w:r>
        <w:rPr>
          <w:color w:val="231F20"/>
        </w:rPr>
        <w:t>es </w:t>
      </w:r>
      <w:r>
        <w:rPr>
          <w:color w:val="231F20"/>
          <w:spacing w:val="3"/>
        </w:rPr>
        <w:t>importante </w:t>
      </w:r>
      <w:r>
        <w:rPr>
          <w:color w:val="231F20"/>
          <w:spacing w:val="2"/>
        </w:rPr>
        <w:t>señalar </w:t>
      </w:r>
      <w:r>
        <w:rPr>
          <w:color w:val="231F20"/>
        </w:rPr>
        <w:t>que la </w:t>
      </w:r>
      <w:r>
        <w:rPr>
          <w:color w:val="231F20"/>
          <w:spacing w:val="2"/>
        </w:rPr>
        <w:t>calidad </w:t>
      </w:r>
      <w:r>
        <w:rPr>
          <w:color w:val="231F20"/>
        </w:rPr>
        <w:t>de la </w:t>
      </w:r>
      <w:r>
        <w:rPr>
          <w:color w:val="231F20"/>
          <w:spacing w:val="2"/>
        </w:rPr>
        <w:t>educación </w:t>
      </w:r>
      <w:r>
        <w:rPr>
          <w:color w:val="231F20"/>
        </w:rPr>
        <w:t>de- </w:t>
      </w:r>
      <w:r>
        <w:rPr>
          <w:color w:val="231F20"/>
          <w:spacing w:val="2"/>
        </w:rPr>
        <w:t>pende </w:t>
      </w:r>
      <w:r>
        <w:rPr>
          <w:color w:val="231F20"/>
        </w:rPr>
        <w:t>de las </w:t>
      </w:r>
      <w:r>
        <w:rPr>
          <w:color w:val="231F20"/>
          <w:spacing w:val="2"/>
        </w:rPr>
        <w:t>interrelaciones personales </w:t>
      </w:r>
      <w:r>
        <w:rPr>
          <w:color w:val="231F20"/>
        </w:rPr>
        <w:t>que se </w:t>
      </w:r>
      <w:r>
        <w:rPr>
          <w:color w:val="231F20"/>
          <w:spacing w:val="2"/>
        </w:rPr>
        <w:t>establezcan </w:t>
      </w:r>
      <w:r>
        <w:rPr>
          <w:color w:val="231F20"/>
        </w:rPr>
        <w:t>en el  </w:t>
      </w:r>
      <w:r>
        <w:rPr>
          <w:color w:val="231F20"/>
          <w:spacing w:val="2"/>
        </w:rPr>
        <w:t>aula: </w:t>
      </w:r>
      <w:r>
        <w:rPr>
          <w:color w:val="231F20"/>
          <w:spacing w:val="3"/>
        </w:rPr>
        <w:t>cuando </w:t>
      </w:r>
      <w:r>
        <w:rPr>
          <w:color w:val="231F20"/>
          <w:spacing w:val="2"/>
        </w:rPr>
        <w:t>estas son adecuadas, hay apoyo </w:t>
      </w:r>
      <w:r>
        <w:rPr>
          <w:color w:val="231F20"/>
        </w:rPr>
        <w:t>y </w:t>
      </w:r>
      <w:r>
        <w:rPr>
          <w:color w:val="231F20"/>
          <w:spacing w:val="2"/>
        </w:rPr>
        <w:t>motivación </w:t>
      </w:r>
      <w:r>
        <w:rPr>
          <w:color w:val="231F20"/>
        </w:rPr>
        <w:t>en el </w:t>
      </w:r>
      <w:r>
        <w:rPr>
          <w:color w:val="231F20"/>
          <w:spacing w:val="2"/>
        </w:rPr>
        <w:t>aprendizaje; </w:t>
      </w:r>
      <w:r>
        <w:rPr>
          <w:color w:val="231F20"/>
          <w:spacing w:val="3"/>
        </w:rPr>
        <w:t>cuando </w:t>
      </w:r>
      <w:r>
        <w:rPr>
          <w:color w:val="231F20"/>
          <w:spacing w:val="2"/>
        </w:rPr>
        <w:t>son </w:t>
      </w:r>
      <w:r>
        <w:rPr>
          <w:color w:val="231F20"/>
        </w:rPr>
        <w:t>en  </w:t>
      </w:r>
      <w:r>
        <w:rPr>
          <w:color w:val="231F20"/>
          <w:spacing w:val="2"/>
        </w:rPr>
        <w:t>sentido contrario, afectan </w:t>
      </w:r>
      <w:r>
        <w:rPr>
          <w:color w:val="231F20"/>
        </w:rPr>
        <w:t>el  </w:t>
      </w:r>
      <w:r>
        <w:rPr>
          <w:color w:val="231F20"/>
          <w:spacing w:val="2"/>
        </w:rPr>
        <w:t>proceso  </w:t>
      </w:r>
      <w:r>
        <w:rPr>
          <w:color w:val="231F20"/>
        </w:rPr>
        <w:t>de </w:t>
      </w:r>
      <w:r>
        <w:rPr>
          <w:color w:val="231F20"/>
          <w:spacing w:val="2"/>
        </w:rPr>
        <w:t>aprendizaje (Ruiz,</w:t>
      </w:r>
      <w:r>
        <w:rPr>
          <w:color w:val="231F20"/>
          <w:spacing w:val="-36"/>
        </w:rPr>
        <w:t> </w:t>
      </w:r>
      <w:r>
        <w:rPr>
          <w:color w:val="231F20"/>
          <w:spacing w:val="2"/>
        </w:rPr>
        <w:t>2007).</w:t>
      </w:r>
    </w:p>
    <w:p>
      <w:pPr>
        <w:pStyle w:val="BodyText"/>
        <w:spacing w:line="247" w:lineRule="auto"/>
        <w:ind w:left="112" w:right="120" w:firstLine="283"/>
        <w:jc w:val="both"/>
      </w:pPr>
      <w:r>
        <w:rPr>
          <w:color w:val="231F20"/>
        </w:rPr>
        <w:t>En cuanto al trato que el docente brinda a los alumnos, Díaz- Aguado y Andrés dicen:</w:t>
      </w:r>
    </w:p>
    <w:p>
      <w:pPr>
        <w:pStyle w:val="BodyText"/>
        <w:spacing w:before="3"/>
        <w:rPr>
          <w:sz w:val="23"/>
        </w:rPr>
      </w:pPr>
    </w:p>
    <w:p>
      <w:pPr>
        <w:spacing w:line="273" w:lineRule="auto" w:before="0"/>
        <w:ind w:left="821" w:right="166" w:firstLine="0"/>
        <w:jc w:val="both"/>
        <w:rPr>
          <w:sz w:val="19"/>
        </w:rPr>
      </w:pPr>
      <w:r>
        <w:rPr>
          <w:color w:val="231F20"/>
          <w:sz w:val="19"/>
        </w:rPr>
        <w:t>La cualidad de la interacción que el profesor mantiene en clase con los alumnos de altas y bajas expectativas parece diferir fundamentalmente en: la atención que  les  presta, la  dificultad de las preguntas que les dirige, el tiempo que les deja para res- ponder y la adecuación del refuerzo que les proporciona (Díaz- Aguado, 1994).</w:t>
      </w:r>
    </w:p>
    <w:p>
      <w:pPr>
        <w:spacing w:after="0" w:line="273" w:lineRule="auto"/>
        <w:jc w:val="both"/>
        <w:rPr>
          <w:sz w:val="19"/>
        </w:rPr>
        <w:sectPr>
          <w:headerReference w:type="default" r:id="rId707"/>
          <w:footerReference w:type="default" r:id="rId708"/>
          <w:pgSz w:w="7830" w:h="11910"/>
          <w:pgMar w:header="0" w:footer="424" w:top="500" w:bottom="620" w:left="880" w:right="900"/>
          <w:pgNumType w:start="317"/>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1" w:right="108" w:firstLine="284"/>
        <w:jc w:val="both"/>
      </w:pPr>
      <w:r>
        <w:rPr>
          <w:color w:val="231F20"/>
        </w:rPr>
        <w:t>En cuanto a la ubicación de los estudiantes en el aula, las mis- mas autoras dicen:</w:t>
      </w:r>
    </w:p>
    <w:p>
      <w:pPr>
        <w:pStyle w:val="BodyText"/>
        <w:spacing w:before="4"/>
        <w:rPr>
          <w:sz w:val="23"/>
        </w:rPr>
      </w:pPr>
    </w:p>
    <w:p>
      <w:pPr>
        <w:spacing w:line="276" w:lineRule="auto" w:before="1"/>
        <w:ind w:left="810" w:right="156" w:firstLine="0"/>
        <w:jc w:val="both"/>
        <w:rPr>
          <w:sz w:val="19"/>
        </w:rPr>
      </w:pPr>
      <w:r>
        <w:rPr>
          <w:color w:val="231F20"/>
          <w:sz w:val="19"/>
        </w:rPr>
        <w:t>Los profesores discriminatorios suelen colocar en las zonas de atención preferente a los alumnos "brillantes" y en zonas margi- nales a los alumnos de bajas expectativas (Rist, 1971; Díaz- Aguado, Baraja y Royo, 1996), con lo cual favorece[n] la atención y participación de aquellos y dificulta[n] la de estos. (Díaz- Aguado, 2003: 43).</w:t>
      </w:r>
    </w:p>
    <w:p>
      <w:pPr>
        <w:pStyle w:val="BodyText"/>
        <w:rPr>
          <w:sz w:val="20"/>
        </w:rPr>
      </w:pPr>
    </w:p>
    <w:p>
      <w:pPr>
        <w:pStyle w:val="BodyText"/>
        <w:spacing w:line="247" w:lineRule="auto"/>
        <w:ind w:left="101" w:right="107" w:firstLine="284"/>
        <w:jc w:val="both"/>
      </w:pPr>
      <w:r>
        <w:rPr>
          <w:color w:val="231F20"/>
        </w:rPr>
        <w:t>Pero tenemos casos en los que los profesores con la idea de no discriminar a los estudiantes, en el entendido de que todos son iguales y que no hay diferencia entre ellos, suelen caer en lo que Jordan (citado en Díaz-Aguado, 2003) ha denominado la </w:t>
      </w:r>
      <w:r>
        <w:rPr>
          <w:rFonts w:ascii="Arial" w:hAnsi="Arial"/>
          <w:i/>
          <w:color w:val="231F20"/>
        </w:rPr>
        <w:t>“</w:t>
      </w:r>
      <w:r>
        <w:rPr>
          <w:color w:val="231F20"/>
        </w:rPr>
        <w:t>ilusión del trato igualitario</w:t>
      </w:r>
      <w:r>
        <w:rPr>
          <w:rFonts w:ascii="Arial" w:hAnsi="Arial"/>
          <w:i/>
          <w:color w:val="231F20"/>
        </w:rPr>
        <w:t>”</w:t>
      </w:r>
      <w:r>
        <w:rPr>
          <w:color w:val="231F20"/>
        </w:rPr>
        <w:t>, esto es en una forma de no mostrar descono- cimiento de cómo darle tratamiento a un grupo  heterogéneo.</w:t>
      </w:r>
    </w:p>
    <w:p>
      <w:pPr>
        <w:pStyle w:val="BodyText"/>
        <w:spacing w:line="249" w:lineRule="auto" w:before="1"/>
        <w:ind w:left="101" w:right="110" w:firstLine="284"/>
        <w:jc w:val="both"/>
      </w:pPr>
      <w:r>
        <w:rPr>
          <w:color w:val="231F20"/>
        </w:rPr>
        <w:t>Como se puede ver, la discriminación que se presenta a nivel micro, a nivel de la interacciones, afecta el proceso aprendizaje, la actitud y la participación de los alumnos; por lo tanto, es necesario hacerla visible para mejorar las relaciones que se presentan en el aula, beneficiando los estudiantes.</w:t>
      </w:r>
    </w:p>
    <w:p>
      <w:pPr>
        <w:pStyle w:val="BodyText"/>
        <w:spacing w:before="7"/>
      </w:pPr>
    </w:p>
    <w:p>
      <w:pPr>
        <w:pStyle w:val="BodyText"/>
        <w:spacing w:line="247" w:lineRule="auto"/>
        <w:ind w:left="101" w:right="110"/>
        <w:jc w:val="both"/>
      </w:pPr>
      <w:r>
        <w:rPr>
          <w:color w:val="231F20"/>
          <w:w w:val="105"/>
        </w:rPr>
        <w:t>MARCO DEL PROGRAMA DE APOYO A ESTUDIANTES INDÍGENAS</w:t>
      </w:r>
    </w:p>
    <w:p>
      <w:pPr>
        <w:pStyle w:val="BodyText"/>
        <w:spacing w:before="6"/>
        <w:rPr>
          <w:sz w:val="20"/>
        </w:rPr>
      </w:pPr>
    </w:p>
    <w:p>
      <w:pPr>
        <w:pStyle w:val="BodyText"/>
        <w:spacing w:line="247" w:lineRule="auto"/>
        <w:ind w:left="101" w:right="108"/>
        <w:jc w:val="both"/>
      </w:pPr>
      <w:r>
        <w:rPr>
          <w:color w:val="231F20"/>
        </w:rPr>
        <w:t>El crecimiento de la matrícula en el nivel superior en México ha ido en aumento, por ejemplo, en 1960 un total de 28,100  estudiantes  que cursaban este nivel pasó a 2, 322,800 para el año 2000, según la Asociación Nacional de Universidades e Instituciones de Educación Superior (ANUIES, 2006: 43). En el último periodo evaluado del ciclo 2004-2005, se estimó por la asociación que la matrícula de educación superior se había situado en 2, 431,800 estudiantes, lo  que representaba un aumento del 4.4 % con respecto al ciclo ante- rior. Esta tendencia sostenida en el aumento de matrícula posibilitó mirar qué estaba sucediendo con los grupos indígenas y con las mujeres, ya que representan una población importante en el país. Es en este marco de revisión cuantitativa que cobra algunos matices la educación superior, en cuanto a la atención con grupos que históri- camente</w:t>
      </w:r>
      <w:r>
        <w:rPr>
          <w:color w:val="231F20"/>
          <w:spacing w:val="34"/>
        </w:rPr>
        <w:t> </w:t>
      </w:r>
      <w:r>
        <w:rPr>
          <w:color w:val="231F20"/>
        </w:rPr>
        <w:t>han</w:t>
      </w:r>
      <w:r>
        <w:rPr>
          <w:color w:val="231F20"/>
          <w:spacing w:val="34"/>
        </w:rPr>
        <w:t> </w:t>
      </w:r>
      <w:r>
        <w:rPr>
          <w:color w:val="231F20"/>
        </w:rPr>
        <w:t>sido</w:t>
      </w:r>
      <w:r>
        <w:rPr>
          <w:color w:val="231F20"/>
          <w:spacing w:val="34"/>
        </w:rPr>
        <w:t> </w:t>
      </w:r>
      <w:r>
        <w:rPr>
          <w:color w:val="231F20"/>
        </w:rPr>
        <w:t>invisibilizados</w:t>
      </w:r>
      <w:r>
        <w:rPr>
          <w:color w:val="231F20"/>
          <w:spacing w:val="33"/>
        </w:rPr>
        <w:t> </w:t>
      </w:r>
      <w:r>
        <w:rPr>
          <w:color w:val="231F20"/>
        </w:rPr>
        <w:t>este</w:t>
      </w:r>
      <w:r>
        <w:rPr>
          <w:color w:val="231F20"/>
          <w:spacing w:val="34"/>
        </w:rPr>
        <w:t> </w:t>
      </w:r>
      <w:r>
        <w:rPr>
          <w:color w:val="231F20"/>
        </w:rPr>
        <w:t>nivel</w:t>
      </w:r>
      <w:r>
        <w:rPr>
          <w:color w:val="231F20"/>
          <w:spacing w:val="33"/>
        </w:rPr>
        <w:t> </w:t>
      </w:r>
      <w:r>
        <w:rPr>
          <w:color w:val="231F20"/>
        </w:rPr>
        <w:t>educativo,</w:t>
      </w:r>
      <w:r>
        <w:rPr>
          <w:color w:val="231F20"/>
          <w:spacing w:val="32"/>
        </w:rPr>
        <w:t> </w:t>
      </w:r>
      <w:r>
        <w:rPr>
          <w:color w:val="231F20"/>
        </w:rPr>
        <w:t>y</w:t>
      </w:r>
      <w:r>
        <w:rPr>
          <w:color w:val="231F20"/>
          <w:spacing w:val="34"/>
        </w:rPr>
        <w:t> </w:t>
      </w:r>
      <w:r>
        <w:rPr>
          <w:color w:val="231F20"/>
        </w:rPr>
        <w:t>es</w:t>
      </w:r>
      <w:r>
        <w:rPr>
          <w:color w:val="231F20"/>
          <w:spacing w:val="33"/>
        </w:rPr>
        <w:t> </w:t>
      </w:r>
      <w:r>
        <w:rPr>
          <w:color w:val="231F20"/>
        </w:rPr>
        <w:t>en</w:t>
      </w:r>
      <w:r>
        <w:rPr>
          <w:color w:val="231F20"/>
          <w:spacing w:val="34"/>
        </w:rPr>
        <w:t> </w:t>
      </w:r>
      <w:r>
        <w:rPr>
          <w:color w:val="231F20"/>
        </w:rPr>
        <w:t>los</w:t>
      </w:r>
    </w:p>
    <w:p>
      <w:pPr>
        <w:spacing w:after="0" w:line="247" w:lineRule="auto"/>
        <w:jc w:val="both"/>
        <w:sectPr>
          <w:headerReference w:type="default" r:id="rId709"/>
          <w:footerReference w:type="default" r:id="rId710"/>
          <w:pgSz w:w="7830" w:h="11910"/>
          <w:pgMar w:header="0" w:footer="424" w:top="500" w:bottom="620" w:left="920" w:right="880"/>
          <w:pgNumType w:start="318"/>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13" w:right="116"/>
      </w:pPr>
      <w:r>
        <w:rPr>
          <w:color w:val="231F20"/>
        </w:rPr>
        <w:t>grupos étnicos en los cuales nos situamos para comentar más am- pliamente respecto al asunto.</w:t>
      </w:r>
    </w:p>
    <w:p>
      <w:pPr>
        <w:pStyle w:val="BodyText"/>
        <w:spacing w:line="249" w:lineRule="auto" w:before="10"/>
        <w:ind w:left="112" w:right="115" w:firstLine="284"/>
        <w:jc w:val="both"/>
      </w:pPr>
      <w:r>
        <w:rPr>
          <w:color w:val="231F20"/>
          <w:spacing w:val="2"/>
        </w:rPr>
        <w:t>México </w:t>
      </w:r>
      <w:r>
        <w:rPr>
          <w:color w:val="231F20"/>
        </w:rPr>
        <w:t>es un </w:t>
      </w:r>
      <w:r>
        <w:rPr>
          <w:color w:val="231F20"/>
          <w:spacing w:val="2"/>
        </w:rPr>
        <w:t>país </w:t>
      </w:r>
      <w:r>
        <w:rPr>
          <w:color w:val="231F20"/>
          <w:spacing w:val="3"/>
        </w:rPr>
        <w:t>extremadamente </w:t>
      </w:r>
      <w:r>
        <w:rPr>
          <w:color w:val="231F20"/>
          <w:spacing w:val="2"/>
        </w:rPr>
        <w:t>plural </w:t>
      </w:r>
      <w:r>
        <w:rPr>
          <w:color w:val="231F20"/>
        </w:rPr>
        <w:t>en </w:t>
      </w:r>
      <w:r>
        <w:rPr>
          <w:color w:val="231F20"/>
          <w:spacing w:val="2"/>
        </w:rPr>
        <w:t>cuanto </w:t>
      </w:r>
      <w:r>
        <w:rPr>
          <w:color w:val="231F20"/>
        </w:rPr>
        <w:t>a la </w:t>
      </w:r>
      <w:r>
        <w:rPr>
          <w:color w:val="231F20"/>
          <w:spacing w:val="3"/>
        </w:rPr>
        <w:t>pobla- </w:t>
      </w:r>
      <w:r>
        <w:rPr>
          <w:color w:val="231F20"/>
          <w:spacing w:val="2"/>
        </w:rPr>
        <w:t>ción con </w:t>
      </w:r>
      <w:r>
        <w:rPr>
          <w:color w:val="231F20"/>
        </w:rPr>
        <w:t>la </w:t>
      </w:r>
      <w:r>
        <w:rPr>
          <w:color w:val="231F20"/>
          <w:spacing w:val="2"/>
        </w:rPr>
        <w:t>que cuenta. </w:t>
      </w:r>
      <w:r>
        <w:rPr>
          <w:color w:val="231F20"/>
        </w:rPr>
        <w:t>A lo </w:t>
      </w:r>
      <w:r>
        <w:rPr>
          <w:color w:val="231F20"/>
          <w:spacing w:val="2"/>
        </w:rPr>
        <w:t>largo </w:t>
      </w:r>
      <w:r>
        <w:rPr>
          <w:color w:val="231F20"/>
        </w:rPr>
        <w:t>de la </w:t>
      </w:r>
      <w:r>
        <w:rPr>
          <w:color w:val="231F20"/>
          <w:spacing w:val="2"/>
        </w:rPr>
        <w:t>República Mexicana </w:t>
      </w:r>
      <w:r>
        <w:rPr>
          <w:color w:val="231F20"/>
        </w:rPr>
        <w:t>se </w:t>
      </w:r>
      <w:r>
        <w:rPr>
          <w:color w:val="231F20"/>
          <w:spacing w:val="2"/>
        </w:rPr>
        <w:t>extienden </w:t>
      </w:r>
      <w:r>
        <w:rPr>
          <w:color w:val="231F20"/>
        </w:rPr>
        <w:t>un </w:t>
      </w:r>
      <w:r>
        <w:rPr>
          <w:color w:val="231F20"/>
          <w:spacing w:val="2"/>
        </w:rPr>
        <w:t>gran </w:t>
      </w:r>
      <w:r>
        <w:rPr>
          <w:color w:val="231F20"/>
          <w:spacing w:val="3"/>
        </w:rPr>
        <w:t>número </w:t>
      </w:r>
      <w:r>
        <w:rPr>
          <w:color w:val="231F20"/>
        </w:rPr>
        <w:t>de </w:t>
      </w:r>
      <w:r>
        <w:rPr>
          <w:color w:val="231F20"/>
          <w:spacing w:val="2"/>
        </w:rPr>
        <w:t>etnias asentadas </w:t>
      </w:r>
      <w:r>
        <w:rPr>
          <w:color w:val="231F20"/>
        </w:rPr>
        <w:t>en </w:t>
      </w:r>
      <w:r>
        <w:rPr>
          <w:color w:val="231F20"/>
          <w:spacing w:val="2"/>
        </w:rPr>
        <w:t>los </w:t>
      </w:r>
      <w:r>
        <w:rPr>
          <w:color w:val="231F20"/>
          <w:spacing w:val="3"/>
        </w:rPr>
        <w:t>distintos </w:t>
      </w:r>
      <w:r>
        <w:rPr>
          <w:color w:val="231F20"/>
          <w:spacing w:val="2"/>
        </w:rPr>
        <w:t>estados. </w:t>
      </w:r>
      <w:r>
        <w:rPr>
          <w:color w:val="231F20"/>
        </w:rPr>
        <w:t>En el xii </w:t>
      </w:r>
      <w:r>
        <w:rPr>
          <w:color w:val="231F20"/>
          <w:spacing w:val="2"/>
        </w:rPr>
        <w:t>Censo </w:t>
      </w:r>
      <w:r>
        <w:rPr>
          <w:color w:val="231F20"/>
          <w:spacing w:val="3"/>
        </w:rPr>
        <w:t>General </w:t>
      </w:r>
      <w:r>
        <w:rPr>
          <w:color w:val="231F20"/>
        </w:rPr>
        <w:t>de </w:t>
      </w:r>
      <w:r>
        <w:rPr>
          <w:color w:val="231F20"/>
          <w:spacing w:val="2"/>
        </w:rPr>
        <w:t>Población </w:t>
      </w:r>
      <w:r>
        <w:rPr>
          <w:color w:val="231F20"/>
        </w:rPr>
        <w:t>y </w:t>
      </w:r>
      <w:r>
        <w:rPr>
          <w:color w:val="231F20"/>
          <w:spacing w:val="2"/>
        </w:rPr>
        <w:t>Vivienda 2000, </w:t>
      </w:r>
      <w:r>
        <w:rPr>
          <w:color w:val="231F20"/>
          <w:spacing w:val="3"/>
        </w:rPr>
        <w:t>se </w:t>
      </w:r>
      <w:r>
        <w:rPr>
          <w:color w:val="231F20"/>
          <w:spacing w:val="2"/>
        </w:rPr>
        <w:t>registraron </w:t>
      </w:r>
      <w:r>
        <w:rPr>
          <w:color w:val="231F20"/>
        </w:rPr>
        <w:t>85 </w:t>
      </w:r>
      <w:r>
        <w:rPr>
          <w:color w:val="231F20"/>
          <w:spacing w:val="2"/>
        </w:rPr>
        <w:t>lenguas </w:t>
      </w:r>
      <w:r>
        <w:rPr>
          <w:color w:val="231F20"/>
          <w:spacing w:val="3"/>
        </w:rPr>
        <w:t>indígenas, </w:t>
      </w:r>
      <w:r>
        <w:rPr>
          <w:color w:val="231F20"/>
          <w:spacing w:val="2"/>
        </w:rPr>
        <w:t>algunas </w:t>
      </w:r>
      <w:r>
        <w:rPr>
          <w:color w:val="231F20"/>
        </w:rPr>
        <w:t>de las </w:t>
      </w:r>
      <w:r>
        <w:rPr>
          <w:color w:val="231F20"/>
          <w:spacing w:val="2"/>
        </w:rPr>
        <w:t>cuales pueden agruparse por </w:t>
      </w:r>
      <w:r>
        <w:rPr>
          <w:color w:val="231F20"/>
        </w:rPr>
        <w:t>su </w:t>
      </w:r>
      <w:r>
        <w:rPr>
          <w:color w:val="231F20"/>
          <w:spacing w:val="2"/>
        </w:rPr>
        <w:t>afinidad </w:t>
      </w:r>
      <w:r>
        <w:rPr>
          <w:color w:val="231F20"/>
        </w:rPr>
        <w:t>y </w:t>
      </w:r>
      <w:r>
        <w:rPr>
          <w:color w:val="231F20"/>
          <w:spacing w:val="2"/>
        </w:rPr>
        <w:t>son indicativas </w:t>
      </w:r>
      <w:r>
        <w:rPr>
          <w:color w:val="231F20"/>
        </w:rPr>
        <w:t>de </w:t>
      </w:r>
      <w:r>
        <w:rPr>
          <w:color w:val="231F20"/>
          <w:spacing w:val="2"/>
        </w:rPr>
        <w:t>cada etnia; tam- biénarrojó </w:t>
      </w:r>
      <w:r>
        <w:rPr>
          <w:color w:val="231F20"/>
        </w:rPr>
        <w:t>que </w:t>
      </w:r>
      <w:r>
        <w:rPr>
          <w:color w:val="231F20"/>
          <w:spacing w:val="2"/>
        </w:rPr>
        <w:t>existen </w:t>
      </w:r>
      <w:r>
        <w:rPr>
          <w:color w:val="231F20"/>
        </w:rPr>
        <w:t>15.7 </w:t>
      </w:r>
      <w:r>
        <w:rPr>
          <w:color w:val="231F20"/>
          <w:spacing w:val="2"/>
        </w:rPr>
        <w:t>millones </w:t>
      </w:r>
      <w:r>
        <w:rPr>
          <w:color w:val="231F20"/>
        </w:rPr>
        <w:t>de </w:t>
      </w:r>
      <w:r>
        <w:rPr>
          <w:color w:val="231F20"/>
          <w:spacing w:val="3"/>
        </w:rPr>
        <w:t>personas </w:t>
      </w:r>
      <w:r>
        <w:rPr>
          <w:color w:val="231F20"/>
        </w:rPr>
        <w:t>que se  </w:t>
      </w:r>
      <w:r>
        <w:rPr>
          <w:color w:val="231F20"/>
          <w:spacing w:val="2"/>
        </w:rPr>
        <w:t>conside- </w:t>
      </w:r>
      <w:r>
        <w:rPr>
          <w:color w:val="231F20"/>
        </w:rPr>
        <w:t>ran </w:t>
      </w:r>
      <w:r>
        <w:rPr>
          <w:color w:val="231F20"/>
          <w:spacing w:val="3"/>
        </w:rPr>
        <w:t>indígenas, </w:t>
      </w:r>
      <w:r>
        <w:rPr>
          <w:color w:val="231F20"/>
        </w:rPr>
        <w:t>de </w:t>
      </w:r>
      <w:r>
        <w:rPr>
          <w:color w:val="231F20"/>
          <w:spacing w:val="2"/>
        </w:rPr>
        <w:t>los cuales </w:t>
      </w:r>
      <w:r>
        <w:rPr>
          <w:color w:val="231F20"/>
        </w:rPr>
        <w:t>6.6 </w:t>
      </w:r>
      <w:r>
        <w:rPr>
          <w:color w:val="231F20"/>
          <w:spacing w:val="2"/>
        </w:rPr>
        <w:t>millones son hablantes </w:t>
      </w:r>
      <w:r>
        <w:rPr>
          <w:color w:val="231F20"/>
        </w:rPr>
        <w:t>de </w:t>
      </w:r>
      <w:r>
        <w:rPr>
          <w:color w:val="231F20"/>
          <w:spacing w:val="2"/>
        </w:rPr>
        <w:t>lengua indígena </w:t>
      </w:r>
      <w:r>
        <w:rPr>
          <w:color w:val="231F20"/>
        </w:rPr>
        <w:t>y 9.1 </w:t>
      </w:r>
      <w:r>
        <w:rPr>
          <w:color w:val="231F20"/>
          <w:spacing w:val="2"/>
        </w:rPr>
        <w:t>millones </w:t>
      </w:r>
      <w:r>
        <w:rPr>
          <w:color w:val="231F20"/>
        </w:rPr>
        <w:t>no </w:t>
      </w:r>
      <w:r>
        <w:rPr>
          <w:color w:val="231F20"/>
          <w:spacing w:val="2"/>
        </w:rPr>
        <w:t>hablan lengua indígena: </w:t>
      </w:r>
      <w:r>
        <w:rPr>
          <w:color w:val="231F20"/>
        </w:rPr>
        <w:t>en </w:t>
      </w:r>
      <w:r>
        <w:rPr>
          <w:color w:val="231F20"/>
          <w:spacing w:val="2"/>
        </w:rPr>
        <w:t>total, </w:t>
      </w:r>
      <w:r>
        <w:rPr>
          <w:color w:val="231F20"/>
          <w:spacing w:val="4"/>
        </w:rPr>
        <w:t>400   </w:t>
      </w:r>
      <w:r>
        <w:rPr>
          <w:color w:val="231F20"/>
          <w:spacing w:val="2"/>
        </w:rPr>
        <w:t>mil </w:t>
      </w:r>
      <w:r>
        <w:rPr>
          <w:color w:val="231F20"/>
        </w:rPr>
        <w:t>de los </w:t>
      </w:r>
      <w:r>
        <w:rPr>
          <w:color w:val="231F20"/>
          <w:spacing w:val="2"/>
        </w:rPr>
        <w:t>hablantes </w:t>
      </w:r>
      <w:r>
        <w:rPr>
          <w:color w:val="231F20"/>
        </w:rPr>
        <w:t>de </w:t>
      </w:r>
      <w:r>
        <w:rPr>
          <w:color w:val="231F20"/>
          <w:spacing w:val="2"/>
        </w:rPr>
        <w:t>lengua indígena </w:t>
      </w:r>
      <w:r>
        <w:rPr>
          <w:color w:val="231F20"/>
        </w:rPr>
        <w:t>no se </w:t>
      </w:r>
      <w:r>
        <w:rPr>
          <w:color w:val="231F20"/>
          <w:spacing w:val="2"/>
        </w:rPr>
        <w:t>consideran indígenas </w:t>
      </w:r>
      <w:r>
        <w:rPr>
          <w:color w:val="231F20"/>
          <w:spacing w:val="3"/>
        </w:rPr>
        <w:t>(INEGI,</w:t>
      </w:r>
      <w:r>
        <w:rPr>
          <w:color w:val="231F20"/>
          <w:spacing w:val="28"/>
        </w:rPr>
        <w:t> </w:t>
      </w:r>
      <w:r>
        <w:rPr>
          <w:color w:val="231F20"/>
          <w:spacing w:val="2"/>
        </w:rPr>
        <w:t>2000).</w:t>
      </w:r>
    </w:p>
    <w:p>
      <w:pPr>
        <w:pStyle w:val="BodyText"/>
        <w:spacing w:line="249" w:lineRule="auto"/>
        <w:ind w:left="112" w:right="116" w:firstLine="284"/>
        <w:jc w:val="both"/>
      </w:pPr>
      <w:r>
        <w:rPr>
          <w:color w:val="231F20"/>
        </w:rPr>
        <w:t>En este sentido, en el aspecto educativo, se había señalado que   en México la matrícula iba en aumento, pero no así la de los grupos étnicos y de la población en general, ya que de 100 jóvenes en edad de estudiar, solo 23 lograban ingresar al sistema de educación supe- rior. Esto ubicaba a México en una situación de desventaja en Amé- rica Latina: mientras que México presentaba tasas de cobertura del 23%, países similares en desarrollo como Argentina, Chile y </w:t>
      </w:r>
      <w:r>
        <w:rPr>
          <w:color w:val="231F20"/>
          <w:spacing w:val="2"/>
        </w:rPr>
        <w:t>Uru- </w:t>
      </w:r>
      <w:r>
        <w:rPr>
          <w:color w:val="231F20"/>
        </w:rPr>
        <w:t>guay, por ejemplo, reportaban, en 1999, tasas de cobertura del 36%, 29%, 28%, respectivamente (ANUIES:</w:t>
      </w:r>
      <w:r>
        <w:rPr>
          <w:color w:val="231F20"/>
          <w:spacing w:val="-22"/>
        </w:rPr>
        <w:t> </w:t>
      </w:r>
      <w:r>
        <w:rPr>
          <w:color w:val="231F20"/>
        </w:rPr>
        <w:t>2006;44).</w:t>
      </w:r>
    </w:p>
    <w:p>
      <w:pPr>
        <w:pStyle w:val="BodyText"/>
        <w:spacing w:line="247" w:lineRule="auto"/>
        <w:ind w:left="112" w:right="117" w:firstLine="284"/>
        <w:jc w:val="both"/>
      </w:pPr>
      <w:r>
        <w:rPr>
          <w:color w:val="231F20"/>
        </w:rPr>
        <w:t>En el análisis que se hace del Programa para la Modernización Educativa 1989-2004 (PME) y el Programa de Desarrollo Educa- tivo 1995-2000 (PDE) se señala según la ANUIES que:</w:t>
      </w:r>
    </w:p>
    <w:p>
      <w:pPr>
        <w:pStyle w:val="BodyText"/>
        <w:spacing w:before="2"/>
        <w:rPr>
          <w:sz w:val="23"/>
        </w:rPr>
      </w:pPr>
    </w:p>
    <w:p>
      <w:pPr>
        <w:spacing w:line="273" w:lineRule="auto" w:before="1"/>
        <w:ind w:left="822" w:right="116" w:firstLine="284"/>
        <w:jc w:val="both"/>
        <w:rPr>
          <w:sz w:val="19"/>
        </w:rPr>
      </w:pPr>
      <w:r>
        <w:rPr>
          <w:color w:val="231F20"/>
          <w:sz w:val="19"/>
        </w:rPr>
        <w:t>El acelerado crecimiento de la década de los setenta redundó en un deterioro de la calidad de la educación. Este crecimiento representó un logro en materia de cobertura educativa, pero re- basó la capacidad de respuesta de muchas instituciones por la rapidez del proceso: este análisis implicó nuevas acciones para acercar la educación superior a todas y todos aquellos que estu- vieran en condiciones de cursarla. Como respuesta se impulsa- ron políticas que permitieran un crecimiento de la educación superior (Flores-Crespo y Barrón, 2006: 44).</w:t>
      </w:r>
    </w:p>
    <w:p>
      <w:pPr>
        <w:pStyle w:val="BodyText"/>
        <w:spacing w:before="2"/>
        <w:rPr>
          <w:sz w:val="20"/>
        </w:rPr>
      </w:pPr>
    </w:p>
    <w:p>
      <w:pPr>
        <w:pStyle w:val="BodyText"/>
        <w:spacing w:line="247" w:lineRule="auto" w:before="1"/>
        <w:ind w:left="113" w:right="114" w:firstLine="283"/>
        <w:jc w:val="both"/>
      </w:pPr>
      <w:r>
        <w:rPr>
          <w:color w:val="231F20"/>
        </w:rPr>
        <w:t>Otro análisis que deriva del crecimiento de matrícula en el nivel superior es el relacionado al acceso por entidad federativa, en el cual estados como Nuevo León, Tamaulipas, Nayarit y el   Distrito</w:t>
      </w:r>
    </w:p>
    <w:p>
      <w:pPr>
        <w:spacing w:after="0" w:line="247" w:lineRule="auto"/>
        <w:jc w:val="both"/>
        <w:sectPr>
          <w:headerReference w:type="default" r:id="rId711"/>
          <w:footerReference w:type="default" r:id="rId712"/>
          <w:pgSz w:w="7830" w:h="11910"/>
          <w:pgMar w:header="0" w:footer="424" w:top="500" w:bottom="620" w:left="880" w:right="900"/>
          <w:pgNumType w:start="319"/>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07"/>
        <w:jc w:val="both"/>
      </w:pPr>
      <w:r>
        <w:rPr>
          <w:color w:val="231F20"/>
        </w:rPr>
        <w:t>Federal registran tasas de cobertura mayores al 25%, mientras que otras entidades presentan una matrícula de cobertura de 15%, destacan entre ellas Hidalgo, Estado de México, Veracruz, Oaxaca, Michoacán, Guanajuato, entre otras. Esta relación de cobertura en términos regionales, según la ANUIES, se sitúa en las condiciones sociales y económicas que enfrentan los estados. Debido a esto se presenta la disparidad en las formas de atención, ya que, según Paula Louzano, en el sistema educativo las desigualdades se en- cuentran relacionadas frecuentemente a factores que se relacionan con el género, edad, raza, etnicidad, geografía y clases sociales (Louzano, 2001 citado por Flores-Crespo y Barrón, 2006:45), lo cual daba como consecuencia en el mapa mexicano una disparidad en las formas de acceso a la educación y representaba una hetero- geneidad en la calidad otorgada para el nivel superior.</w:t>
      </w:r>
    </w:p>
    <w:p>
      <w:pPr>
        <w:pStyle w:val="BodyText"/>
        <w:spacing w:line="249" w:lineRule="auto"/>
        <w:ind w:left="101" w:right="108" w:firstLine="284"/>
        <w:jc w:val="both"/>
      </w:pPr>
      <w:r>
        <w:rPr>
          <w:color w:val="231F20"/>
        </w:rPr>
        <w:t>Otro análisis que se realizó fue el de relacionar tasas de cobertura y población indígena en algunos estados de la República Mexicana, encontrándose que Oaxaca representaba la mayor población indígena en el país y era la entidad que menos cobertura presentaba en térmi- nos porcentuales. Por ello, de este análisis presentado por la  ANUIES se propusieron algunas estrategias que se encaminaban a la diversificación de la educación en el nivel superior como promotora de equidad, y es entonces cuando surgen las Universidades Tecnoló- gicas (UT) en 1991, como parte de las acciones que darían paso a la diversificación</w:t>
      </w:r>
      <w:r>
        <w:rPr>
          <w:color w:val="231F20"/>
          <w:spacing w:val="-14"/>
        </w:rPr>
        <w:t> </w:t>
      </w:r>
      <w:r>
        <w:rPr>
          <w:color w:val="231F20"/>
        </w:rPr>
        <w:t>y</w:t>
      </w:r>
      <w:r>
        <w:rPr>
          <w:color w:val="231F20"/>
          <w:spacing w:val="-14"/>
        </w:rPr>
        <w:t> </w:t>
      </w:r>
      <w:r>
        <w:rPr>
          <w:color w:val="231F20"/>
        </w:rPr>
        <w:t>expansión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servicios</w:t>
      </w:r>
      <w:r>
        <w:rPr>
          <w:color w:val="231F20"/>
          <w:spacing w:val="-14"/>
        </w:rPr>
        <w:t> </w:t>
      </w:r>
      <w:r>
        <w:rPr>
          <w:color w:val="231F20"/>
        </w:rPr>
        <w:t>educativos,</w:t>
      </w:r>
      <w:r>
        <w:rPr>
          <w:color w:val="231F20"/>
          <w:spacing w:val="-15"/>
        </w:rPr>
        <w:t> </w:t>
      </w:r>
      <w:r>
        <w:rPr>
          <w:color w:val="231F20"/>
        </w:rPr>
        <w:t>algunos</w:t>
      </w:r>
      <w:r>
        <w:rPr>
          <w:color w:val="231F20"/>
          <w:spacing w:val="-14"/>
        </w:rPr>
        <w:t> </w:t>
      </w:r>
      <w:r>
        <w:rPr>
          <w:color w:val="231F20"/>
        </w:rPr>
        <w:t>de</w:t>
      </w:r>
      <w:r>
        <w:rPr>
          <w:color w:val="231F20"/>
          <w:spacing w:val="-14"/>
        </w:rPr>
        <w:t> </w:t>
      </w:r>
      <w:r>
        <w:rPr>
          <w:color w:val="231F20"/>
        </w:rPr>
        <w:t>los propósitos que se plantearon</w:t>
      </w:r>
      <w:r>
        <w:rPr>
          <w:color w:val="231F20"/>
          <w:spacing w:val="-27"/>
        </w:rPr>
        <w:t> </w:t>
      </w:r>
      <w:r>
        <w:rPr>
          <w:color w:val="231F20"/>
        </w:rPr>
        <w:t>eran:</w:t>
      </w:r>
    </w:p>
    <w:p>
      <w:pPr>
        <w:pStyle w:val="BodyText"/>
        <w:spacing w:before="3"/>
        <w:rPr>
          <w:sz w:val="20"/>
        </w:rPr>
      </w:pPr>
    </w:p>
    <w:p>
      <w:pPr>
        <w:pStyle w:val="ListParagraph"/>
        <w:numPr>
          <w:ilvl w:val="1"/>
          <w:numId w:val="19"/>
        </w:numPr>
        <w:tabs>
          <w:tab w:pos="822" w:val="left" w:leader="none"/>
        </w:tabs>
        <w:spacing w:line="247" w:lineRule="auto" w:before="0" w:after="0"/>
        <w:ind w:left="821" w:right="110" w:hanging="360"/>
        <w:jc w:val="both"/>
        <w:rPr>
          <w:sz w:val="21"/>
        </w:rPr>
      </w:pPr>
      <w:r>
        <w:rPr>
          <w:color w:val="231F20"/>
          <w:sz w:val="21"/>
        </w:rPr>
        <w:t>Ofrecer estudios de nivel posbachillerato con mayores oportunidades de empleo y con una menor inversión educativa</w:t>
      </w:r>
      <w:r>
        <w:rPr>
          <w:color w:val="231F20"/>
          <w:spacing w:val="-17"/>
          <w:sz w:val="21"/>
        </w:rPr>
        <w:t> </w:t>
      </w:r>
      <w:r>
        <w:rPr>
          <w:color w:val="231F20"/>
          <w:sz w:val="21"/>
        </w:rPr>
        <w:t>pública</w:t>
      </w:r>
      <w:r>
        <w:rPr>
          <w:color w:val="231F20"/>
          <w:spacing w:val="-17"/>
          <w:sz w:val="21"/>
        </w:rPr>
        <w:t> </w:t>
      </w:r>
      <w:r>
        <w:rPr>
          <w:color w:val="231F20"/>
          <w:sz w:val="21"/>
        </w:rPr>
        <w:t>y</w:t>
      </w:r>
      <w:r>
        <w:rPr>
          <w:color w:val="231F20"/>
          <w:spacing w:val="-17"/>
          <w:sz w:val="21"/>
        </w:rPr>
        <w:t> </w:t>
      </w:r>
      <w:r>
        <w:rPr>
          <w:color w:val="231F20"/>
          <w:sz w:val="21"/>
        </w:rPr>
        <w:t>familiar,</w:t>
      </w:r>
      <w:r>
        <w:rPr>
          <w:color w:val="231F20"/>
          <w:spacing w:val="-18"/>
          <w:sz w:val="21"/>
        </w:rPr>
        <w:t> </w:t>
      </w:r>
      <w:r>
        <w:rPr>
          <w:color w:val="231F20"/>
          <w:sz w:val="21"/>
        </w:rPr>
        <w:t>y</w:t>
      </w:r>
    </w:p>
    <w:p>
      <w:pPr>
        <w:pStyle w:val="ListParagraph"/>
        <w:numPr>
          <w:ilvl w:val="1"/>
          <w:numId w:val="19"/>
        </w:numPr>
        <w:tabs>
          <w:tab w:pos="822" w:val="left" w:leader="none"/>
        </w:tabs>
        <w:spacing w:line="247" w:lineRule="auto" w:before="0" w:after="0"/>
        <w:ind w:left="821" w:right="110" w:hanging="360"/>
        <w:jc w:val="both"/>
        <w:rPr>
          <w:sz w:val="21"/>
        </w:rPr>
      </w:pPr>
      <w:r>
        <w:rPr>
          <w:color w:val="231F20"/>
          <w:sz w:val="21"/>
        </w:rPr>
        <w:t>Contribuir a lograr un mejor equilibrio del sistema  educativo abriendo opciones que diversifiquen cualitativa y cuantitativamente la oferta de estudios superiores (SEP, 1991:14,</w:t>
      </w:r>
      <w:r>
        <w:rPr>
          <w:color w:val="231F20"/>
          <w:spacing w:val="-8"/>
          <w:sz w:val="21"/>
        </w:rPr>
        <w:t> </w:t>
      </w:r>
      <w:r>
        <w:rPr>
          <w:color w:val="231F20"/>
          <w:sz w:val="21"/>
        </w:rPr>
        <w:t>citado</w:t>
      </w:r>
      <w:r>
        <w:rPr>
          <w:color w:val="231F20"/>
          <w:spacing w:val="-8"/>
          <w:sz w:val="21"/>
        </w:rPr>
        <w:t> </w:t>
      </w:r>
      <w:r>
        <w:rPr>
          <w:color w:val="231F20"/>
          <w:sz w:val="21"/>
        </w:rPr>
        <w:t>en</w:t>
      </w:r>
      <w:r>
        <w:rPr>
          <w:color w:val="231F20"/>
          <w:spacing w:val="-8"/>
          <w:sz w:val="21"/>
        </w:rPr>
        <w:t> </w:t>
      </w:r>
      <w:r>
        <w:rPr>
          <w:color w:val="231F20"/>
          <w:sz w:val="21"/>
        </w:rPr>
        <w:t>Flores</w:t>
      </w:r>
      <w:r>
        <w:rPr>
          <w:color w:val="231F20"/>
          <w:spacing w:val="-8"/>
          <w:sz w:val="21"/>
        </w:rPr>
        <w:t> </w:t>
      </w:r>
      <w:r>
        <w:rPr>
          <w:color w:val="231F20"/>
          <w:sz w:val="21"/>
        </w:rPr>
        <w:t>y</w:t>
      </w:r>
      <w:r>
        <w:rPr>
          <w:color w:val="231F20"/>
          <w:spacing w:val="-8"/>
          <w:sz w:val="21"/>
        </w:rPr>
        <w:t> </w:t>
      </w:r>
      <w:r>
        <w:rPr>
          <w:color w:val="231F20"/>
          <w:sz w:val="21"/>
        </w:rPr>
        <w:t>Barrón,</w:t>
      </w:r>
      <w:r>
        <w:rPr>
          <w:color w:val="231F20"/>
          <w:spacing w:val="-8"/>
          <w:sz w:val="21"/>
        </w:rPr>
        <w:t> </w:t>
      </w:r>
      <w:r>
        <w:rPr>
          <w:color w:val="231F20"/>
          <w:sz w:val="21"/>
        </w:rPr>
        <w:t>2006:</w:t>
      </w:r>
      <w:r>
        <w:rPr>
          <w:color w:val="231F20"/>
          <w:spacing w:val="-8"/>
          <w:sz w:val="21"/>
        </w:rPr>
        <w:t> </w:t>
      </w:r>
      <w:r>
        <w:rPr>
          <w:color w:val="231F20"/>
          <w:sz w:val="21"/>
        </w:rPr>
        <w:t>47).</w:t>
      </w:r>
    </w:p>
    <w:p>
      <w:pPr>
        <w:pStyle w:val="BodyText"/>
        <w:spacing w:before="9"/>
      </w:pPr>
    </w:p>
    <w:p>
      <w:pPr>
        <w:pStyle w:val="BodyText"/>
        <w:spacing w:line="247" w:lineRule="auto"/>
        <w:ind w:left="101" w:right="110" w:firstLine="284"/>
        <w:jc w:val="both"/>
      </w:pPr>
      <w:r>
        <w:rPr>
          <w:color w:val="231F20"/>
        </w:rPr>
        <w:t>Otro caso también fue el de las universidades politécnicas, ya que de acuerdo con la SEP, con el desarrollo de este subsistema se avanza en el “logro de la equidad educativa”, pues estas universi- dades contribuyen a “ampliar la oferta en zonas y regiones con bajas tasas de cobertura, además establecen esquemas para    incre-</w:t>
      </w:r>
    </w:p>
    <w:p>
      <w:pPr>
        <w:spacing w:after="0" w:line="247" w:lineRule="auto"/>
        <w:jc w:val="both"/>
        <w:sectPr>
          <w:headerReference w:type="default" r:id="rId713"/>
          <w:footerReference w:type="default" r:id="rId714"/>
          <w:pgSz w:w="7830" w:h="11910"/>
          <w:pgMar w:header="0" w:footer="424" w:top="500" w:bottom="620" w:left="920" w:right="880"/>
          <w:pgNumType w:start="320"/>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13" w:right="120"/>
        <w:jc w:val="both"/>
      </w:pPr>
      <w:r>
        <w:rPr>
          <w:color w:val="231F20"/>
        </w:rPr>
        <w:t>mentar las posibilidades de acceso, movilidad, permanencia y ter- minación satisfactoria de sus estudiantes” (SEP, 2003, citado en Flores y Barrón, 2006: 49).</w:t>
      </w:r>
    </w:p>
    <w:p>
      <w:pPr>
        <w:pStyle w:val="BodyText"/>
        <w:spacing w:line="249" w:lineRule="auto" w:before="1"/>
        <w:ind w:left="113" w:right="116" w:firstLine="284"/>
        <w:jc w:val="both"/>
      </w:pPr>
      <w:r>
        <w:rPr>
          <w:color w:val="231F20"/>
        </w:rPr>
        <w:t>Al igual que la creación de las otras universidades, en el año  2006, como parte de las políticas que atienden a la población indí- gena, se crean las universidades interculturales, las cuales tienen como propósito principal ampliar la oferta de educación universita- ria a las zonas pobladas mayoritariamente por indígenas, aunque  toda la población estudiantil de diferentes grupos étnicos  podría tener acceso, por eso le llamaron “interculturales”. En este sentido,  se dijo</w:t>
      </w:r>
      <w:r>
        <w:rPr>
          <w:color w:val="231F20"/>
          <w:spacing w:val="-13"/>
        </w:rPr>
        <w:t> </w:t>
      </w:r>
      <w:r>
        <w:rPr>
          <w:color w:val="231F20"/>
        </w:rPr>
        <w:t>que:</w:t>
      </w:r>
    </w:p>
    <w:p>
      <w:pPr>
        <w:pStyle w:val="BodyText"/>
        <w:spacing w:before="1"/>
        <w:rPr>
          <w:sz w:val="23"/>
        </w:rPr>
      </w:pPr>
    </w:p>
    <w:p>
      <w:pPr>
        <w:spacing w:line="273" w:lineRule="auto" w:before="0"/>
        <w:ind w:left="821" w:right="165" w:firstLine="0"/>
        <w:jc w:val="both"/>
        <w:rPr>
          <w:sz w:val="19"/>
        </w:rPr>
      </w:pPr>
      <w:r>
        <w:rPr>
          <w:color w:val="231F20"/>
          <w:sz w:val="19"/>
        </w:rPr>
        <w:t>las nuevas instituciones educativas diseñadas a partir de los prin- cipios del enfoque intercultural contribuirán al rescate y a la difu- sión de expresiones culturales diversas y trabajarían por estable- cer estrechos vínculos de comunicación directa entre las culturas ancestrales con el mundo moderno. Esto contribuirá a que los pueblos indígenas establezcan –en una relación paritaria– víncu- los de colaboración y contribución al  conocimiento  científico que, a través de una visión crítica y creativa, facilite la generación de propuestas de desarrollo adecuadas a su cultura, tradiciones, expectativas e intereses, y a que se mantengan en contacto diná- mico con otras culturas del mundo (Red de Universidades Inter- culturales, 2011).</w:t>
      </w:r>
    </w:p>
    <w:p>
      <w:pPr>
        <w:pStyle w:val="BodyText"/>
        <w:spacing w:before="3"/>
        <w:rPr>
          <w:sz w:val="20"/>
        </w:rPr>
      </w:pPr>
    </w:p>
    <w:p>
      <w:pPr>
        <w:pStyle w:val="BodyText"/>
        <w:spacing w:line="247" w:lineRule="auto"/>
        <w:ind w:left="113" w:right="116" w:firstLine="284"/>
        <w:jc w:val="both"/>
      </w:pPr>
      <w:r>
        <w:rPr>
          <w:color w:val="231F20"/>
          <w:spacing w:val="2"/>
        </w:rPr>
        <w:t>Otra acción </w:t>
      </w:r>
      <w:r>
        <w:rPr>
          <w:color w:val="231F20"/>
          <w:spacing w:val="3"/>
        </w:rPr>
        <w:t>implementada básicamente </w:t>
      </w:r>
      <w:r>
        <w:rPr>
          <w:color w:val="231F20"/>
          <w:spacing w:val="2"/>
        </w:rPr>
        <w:t>hacia </w:t>
      </w:r>
      <w:r>
        <w:rPr>
          <w:color w:val="231F20"/>
        </w:rPr>
        <w:t>la </w:t>
      </w:r>
      <w:r>
        <w:rPr>
          <w:color w:val="231F20"/>
          <w:spacing w:val="2"/>
        </w:rPr>
        <w:t>población </w:t>
      </w:r>
      <w:r>
        <w:rPr>
          <w:color w:val="231F20"/>
          <w:spacing w:val="3"/>
        </w:rPr>
        <w:t>in- </w:t>
      </w:r>
      <w:r>
        <w:rPr>
          <w:color w:val="231F20"/>
          <w:spacing w:val="2"/>
        </w:rPr>
        <w:t>dígena fue </w:t>
      </w:r>
      <w:r>
        <w:rPr>
          <w:color w:val="231F20"/>
        </w:rPr>
        <w:t>la </w:t>
      </w:r>
      <w:r>
        <w:rPr>
          <w:color w:val="231F20"/>
          <w:spacing w:val="2"/>
        </w:rPr>
        <w:t>creación del </w:t>
      </w:r>
      <w:r>
        <w:rPr>
          <w:color w:val="231F20"/>
          <w:spacing w:val="3"/>
        </w:rPr>
        <w:t>Programa </w:t>
      </w:r>
      <w:r>
        <w:rPr>
          <w:color w:val="231F20"/>
        </w:rPr>
        <w:t>de </w:t>
      </w:r>
      <w:r>
        <w:rPr>
          <w:color w:val="231F20"/>
          <w:spacing w:val="3"/>
        </w:rPr>
        <w:t>Apoyo </w:t>
      </w:r>
      <w:r>
        <w:rPr>
          <w:color w:val="231F20"/>
        </w:rPr>
        <w:t>a </w:t>
      </w:r>
      <w:r>
        <w:rPr>
          <w:color w:val="231F20"/>
          <w:spacing w:val="3"/>
        </w:rPr>
        <w:t>Estudiantes </w:t>
      </w:r>
      <w:r>
        <w:rPr>
          <w:color w:val="231F20"/>
          <w:spacing w:val="2"/>
        </w:rPr>
        <w:t>Indí- genas </w:t>
      </w:r>
      <w:r>
        <w:rPr>
          <w:color w:val="231F20"/>
        </w:rPr>
        <w:t>en </w:t>
      </w:r>
      <w:r>
        <w:rPr>
          <w:color w:val="231F20"/>
          <w:spacing w:val="2"/>
        </w:rPr>
        <w:t>Instituciones </w:t>
      </w:r>
      <w:r>
        <w:rPr>
          <w:color w:val="231F20"/>
        </w:rPr>
        <w:t>de </w:t>
      </w:r>
      <w:r>
        <w:rPr>
          <w:color w:val="231F20"/>
          <w:spacing w:val="2"/>
        </w:rPr>
        <w:t>Educación Superior, creado </w:t>
      </w:r>
      <w:r>
        <w:rPr>
          <w:color w:val="231F20"/>
        </w:rPr>
        <w:t>en </w:t>
      </w:r>
      <w:r>
        <w:rPr>
          <w:color w:val="231F20"/>
          <w:spacing w:val="2"/>
        </w:rPr>
        <w:t>2001 por  </w:t>
      </w:r>
      <w:r>
        <w:rPr>
          <w:color w:val="231F20"/>
        </w:rPr>
        <w:t>la </w:t>
      </w:r>
      <w:r>
        <w:rPr>
          <w:color w:val="231F20"/>
          <w:spacing w:val="3"/>
        </w:rPr>
        <w:t>ANUIES </w:t>
      </w:r>
      <w:r>
        <w:rPr>
          <w:color w:val="231F20"/>
          <w:spacing w:val="2"/>
        </w:rPr>
        <w:t>con siete objetivos</w:t>
      </w:r>
      <w:r>
        <w:rPr>
          <w:color w:val="231F20"/>
          <w:spacing w:val="5"/>
        </w:rPr>
        <w:t> </w:t>
      </w:r>
      <w:r>
        <w:rPr>
          <w:color w:val="231F20"/>
          <w:spacing w:val="2"/>
        </w:rPr>
        <w:t>específicos:</w:t>
      </w:r>
    </w:p>
    <w:p>
      <w:pPr>
        <w:pStyle w:val="BodyText"/>
        <w:spacing w:before="2"/>
        <w:rPr>
          <w:sz w:val="22"/>
        </w:rPr>
      </w:pPr>
    </w:p>
    <w:p>
      <w:pPr>
        <w:pStyle w:val="ListParagraph"/>
        <w:numPr>
          <w:ilvl w:val="0"/>
          <w:numId w:val="20"/>
        </w:numPr>
        <w:tabs>
          <w:tab w:pos="471" w:val="left" w:leader="none"/>
        </w:tabs>
        <w:spacing w:line="247" w:lineRule="auto" w:before="0" w:after="0"/>
        <w:ind w:left="470" w:right="116" w:hanging="357"/>
        <w:jc w:val="both"/>
        <w:rPr>
          <w:sz w:val="21"/>
        </w:rPr>
      </w:pPr>
      <w:r>
        <w:rPr>
          <w:color w:val="231F20"/>
          <w:sz w:val="21"/>
        </w:rPr>
        <w:t>Incrementar la presencia de los estudiantes indígenas en la ma- trícula de las instituciones de educación</w:t>
      </w:r>
      <w:r>
        <w:rPr>
          <w:color w:val="231F20"/>
          <w:spacing w:val="-5"/>
          <w:sz w:val="21"/>
        </w:rPr>
        <w:t> </w:t>
      </w:r>
      <w:r>
        <w:rPr>
          <w:color w:val="231F20"/>
          <w:sz w:val="21"/>
        </w:rPr>
        <w:t>superior.</w:t>
      </w:r>
    </w:p>
    <w:p>
      <w:pPr>
        <w:pStyle w:val="ListParagraph"/>
        <w:numPr>
          <w:ilvl w:val="0"/>
          <w:numId w:val="20"/>
        </w:numPr>
        <w:tabs>
          <w:tab w:pos="471" w:val="left" w:leader="none"/>
        </w:tabs>
        <w:spacing w:line="247" w:lineRule="auto" w:before="1" w:after="0"/>
        <w:ind w:left="470" w:right="118" w:hanging="357"/>
        <w:jc w:val="both"/>
        <w:rPr>
          <w:sz w:val="21"/>
        </w:rPr>
      </w:pPr>
      <w:r>
        <w:rPr>
          <w:color w:val="231F20"/>
          <w:sz w:val="21"/>
        </w:rPr>
        <w:t>Ampliar las posibilidades de buen desempeño académico de los estudiantes indígenas en el nivel licenciatura y propiciar su acce- so a estudios de</w:t>
      </w:r>
      <w:r>
        <w:rPr>
          <w:color w:val="231F20"/>
          <w:spacing w:val="22"/>
          <w:sz w:val="21"/>
        </w:rPr>
        <w:t> </w:t>
      </w:r>
      <w:r>
        <w:rPr>
          <w:color w:val="231F20"/>
          <w:sz w:val="21"/>
        </w:rPr>
        <w:t>posgrado.</w:t>
      </w:r>
    </w:p>
    <w:p>
      <w:pPr>
        <w:pStyle w:val="ListParagraph"/>
        <w:numPr>
          <w:ilvl w:val="0"/>
          <w:numId w:val="20"/>
        </w:numPr>
        <w:tabs>
          <w:tab w:pos="471" w:val="left" w:leader="none"/>
        </w:tabs>
        <w:spacing w:line="247" w:lineRule="auto" w:before="1" w:after="0"/>
        <w:ind w:left="470" w:right="118" w:hanging="357"/>
        <w:jc w:val="both"/>
        <w:rPr>
          <w:sz w:val="21"/>
        </w:rPr>
      </w:pPr>
      <w:r>
        <w:rPr>
          <w:color w:val="231F20"/>
          <w:sz w:val="21"/>
        </w:rPr>
        <w:t>Garantizar su permanencia e incrementar y mejorar las tasas de </w:t>
      </w:r>
      <w:r>
        <w:rPr>
          <w:color w:val="231F20"/>
          <w:w w:val="95"/>
          <w:sz w:val="21"/>
        </w:rPr>
        <w:t>eficiencia</w:t>
      </w:r>
      <w:r>
        <w:rPr>
          <w:color w:val="231F20"/>
          <w:spacing w:val="44"/>
          <w:w w:val="95"/>
          <w:sz w:val="21"/>
        </w:rPr>
        <w:t> </w:t>
      </w:r>
      <w:r>
        <w:rPr>
          <w:color w:val="231F20"/>
          <w:w w:val="95"/>
          <w:sz w:val="21"/>
        </w:rPr>
        <w:t>terminal.</w:t>
      </w:r>
    </w:p>
    <w:p>
      <w:pPr>
        <w:spacing w:after="0" w:line="247" w:lineRule="auto"/>
        <w:jc w:val="both"/>
        <w:rPr>
          <w:sz w:val="21"/>
        </w:rPr>
        <w:sectPr>
          <w:headerReference w:type="default" r:id="rId715"/>
          <w:footerReference w:type="default" r:id="rId716"/>
          <w:pgSz w:w="7830" w:h="11910"/>
          <w:pgMar w:header="0" w:footer="424" w:top="500" w:bottom="620" w:left="880" w:right="900"/>
          <w:pgNumType w:start="321"/>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ListParagraph"/>
        <w:numPr>
          <w:ilvl w:val="0"/>
          <w:numId w:val="20"/>
        </w:numPr>
        <w:tabs>
          <w:tab w:pos="460" w:val="left" w:leader="none"/>
        </w:tabs>
        <w:spacing w:line="247" w:lineRule="auto" w:before="92" w:after="0"/>
        <w:ind w:left="459" w:right="107" w:hanging="357"/>
        <w:jc w:val="both"/>
        <w:rPr>
          <w:sz w:val="21"/>
        </w:rPr>
      </w:pPr>
      <w:r>
        <w:rPr>
          <w:color w:val="231F20"/>
          <w:sz w:val="21"/>
        </w:rPr>
        <w:t>Propiciar cambios en las políticas institucionales y en la comu- nidad para garantizar la igualdad de oportunidades de los indí- genas.</w:t>
      </w:r>
    </w:p>
    <w:p>
      <w:pPr>
        <w:pStyle w:val="ListParagraph"/>
        <w:numPr>
          <w:ilvl w:val="0"/>
          <w:numId w:val="20"/>
        </w:numPr>
        <w:tabs>
          <w:tab w:pos="460" w:val="left" w:leader="none"/>
        </w:tabs>
        <w:spacing w:line="247" w:lineRule="auto" w:before="1" w:after="0"/>
        <w:ind w:left="459" w:right="107" w:hanging="357"/>
        <w:jc w:val="both"/>
        <w:rPr>
          <w:sz w:val="21"/>
        </w:rPr>
      </w:pPr>
      <w:r>
        <w:rPr>
          <w:color w:val="231F20"/>
          <w:sz w:val="21"/>
        </w:rPr>
        <w:t>Reforzar en la comunidad universitaria el reconocimiento y respeto por la diversidad</w:t>
      </w:r>
      <w:r>
        <w:rPr>
          <w:color w:val="231F20"/>
          <w:spacing w:val="1"/>
          <w:sz w:val="21"/>
        </w:rPr>
        <w:t> </w:t>
      </w:r>
      <w:r>
        <w:rPr>
          <w:color w:val="231F20"/>
          <w:sz w:val="21"/>
        </w:rPr>
        <w:t>cultural.</w:t>
      </w:r>
    </w:p>
    <w:p>
      <w:pPr>
        <w:pStyle w:val="ListParagraph"/>
        <w:numPr>
          <w:ilvl w:val="0"/>
          <w:numId w:val="20"/>
        </w:numPr>
        <w:tabs>
          <w:tab w:pos="460" w:val="left" w:leader="none"/>
        </w:tabs>
        <w:spacing w:line="247" w:lineRule="auto" w:before="6" w:after="0"/>
        <w:ind w:left="459" w:right="110" w:hanging="357"/>
        <w:jc w:val="both"/>
        <w:rPr>
          <w:sz w:val="21"/>
        </w:rPr>
      </w:pPr>
      <w:r>
        <w:rPr>
          <w:color w:val="231F20"/>
          <w:sz w:val="21"/>
        </w:rPr>
        <w:t>Vincular a los estudiantes indígenas con las comunidades, a través de programas de servicio social y difusión de la</w:t>
      </w:r>
      <w:r>
        <w:rPr>
          <w:color w:val="231F20"/>
          <w:spacing w:val="-32"/>
          <w:sz w:val="21"/>
        </w:rPr>
        <w:t> </w:t>
      </w:r>
      <w:r>
        <w:rPr>
          <w:color w:val="231F20"/>
          <w:sz w:val="21"/>
        </w:rPr>
        <w:t>cultura.</w:t>
      </w:r>
    </w:p>
    <w:p>
      <w:pPr>
        <w:pStyle w:val="ListParagraph"/>
        <w:numPr>
          <w:ilvl w:val="0"/>
          <w:numId w:val="20"/>
        </w:numPr>
        <w:tabs>
          <w:tab w:pos="460" w:val="left" w:leader="none"/>
        </w:tabs>
        <w:spacing w:line="247" w:lineRule="auto" w:before="1" w:after="0"/>
        <w:ind w:left="459" w:right="109" w:hanging="357"/>
        <w:jc w:val="both"/>
        <w:rPr>
          <w:sz w:val="21"/>
        </w:rPr>
      </w:pPr>
      <w:r>
        <w:rPr>
          <w:color w:val="231F20"/>
          <w:sz w:val="21"/>
        </w:rPr>
        <w:t>Fomentar proyectos de investigación en torno a la problemática indígena.</w:t>
      </w:r>
    </w:p>
    <w:p>
      <w:pPr>
        <w:pStyle w:val="BodyText"/>
        <w:spacing w:before="9"/>
      </w:pPr>
    </w:p>
    <w:p>
      <w:pPr>
        <w:pStyle w:val="BodyText"/>
        <w:spacing w:line="247" w:lineRule="auto"/>
        <w:ind w:left="102" w:right="109" w:firstLine="283"/>
        <w:jc w:val="both"/>
      </w:pPr>
      <w:r>
        <w:rPr>
          <w:color w:val="231F20"/>
          <w:spacing w:val="2"/>
        </w:rPr>
        <w:t>Generar una estrategia </w:t>
      </w:r>
      <w:r>
        <w:rPr>
          <w:color w:val="231F20"/>
        </w:rPr>
        <w:t>de </w:t>
      </w:r>
      <w:r>
        <w:rPr>
          <w:color w:val="231F20"/>
          <w:spacing w:val="3"/>
        </w:rPr>
        <w:t>acción </w:t>
      </w:r>
      <w:r>
        <w:rPr>
          <w:color w:val="231F20"/>
          <w:spacing w:val="2"/>
        </w:rPr>
        <w:t>afirmativa </w:t>
      </w:r>
      <w:r>
        <w:rPr>
          <w:color w:val="231F20"/>
        </w:rPr>
        <w:t>en la </w:t>
      </w:r>
      <w:r>
        <w:rPr>
          <w:color w:val="231F20"/>
          <w:spacing w:val="2"/>
        </w:rPr>
        <w:t>educación </w:t>
      </w:r>
      <w:r>
        <w:rPr>
          <w:color w:val="231F20"/>
        </w:rPr>
        <w:t>de </w:t>
      </w:r>
      <w:r>
        <w:rPr>
          <w:color w:val="231F20"/>
          <w:spacing w:val="2"/>
        </w:rPr>
        <w:t>nivel superior, orientada hacia una población tradicionalmente marginada como </w:t>
      </w:r>
      <w:r>
        <w:rPr>
          <w:color w:val="231F20"/>
        </w:rPr>
        <w:t>es la de </w:t>
      </w:r>
      <w:r>
        <w:rPr>
          <w:color w:val="231F20"/>
          <w:spacing w:val="2"/>
        </w:rPr>
        <w:t>origen indígena, </w:t>
      </w:r>
      <w:r>
        <w:rPr>
          <w:color w:val="231F20"/>
        </w:rPr>
        <w:t>fue el </w:t>
      </w:r>
      <w:r>
        <w:rPr>
          <w:color w:val="231F20"/>
          <w:spacing w:val="2"/>
        </w:rPr>
        <w:t>propósito </w:t>
      </w:r>
      <w:r>
        <w:rPr>
          <w:color w:val="231F20"/>
        </w:rPr>
        <w:t>del </w:t>
      </w:r>
      <w:r>
        <w:rPr>
          <w:color w:val="231F20"/>
          <w:spacing w:val="3"/>
        </w:rPr>
        <w:t>Programa </w:t>
      </w:r>
      <w:r>
        <w:rPr>
          <w:color w:val="231F20"/>
        </w:rPr>
        <w:t>de </w:t>
      </w:r>
      <w:r>
        <w:rPr>
          <w:color w:val="231F20"/>
          <w:spacing w:val="3"/>
        </w:rPr>
        <w:t>Apoyo </w:t>
      </w:r>
      <w:r>
        <w:rPr>
          <w:color w:val="231F20"/>
          <w:spacing w:val="2"/>
        </w:rPr>
        <w:t>para Estudiantes Indígenas </w:t>
      </w:r>
      <w:r>
        <w:rPr>
          <w:color w:val="231F20"/>
        </w:rPr>
        <w:t>en  </w:t>
      </w:r>
      <w:r>
        <w:rPr>
          <w:color w:val="231F20"/>
          <w:spacing w:val="2"/>
        </w:rPr>
        <w:t>instituciones  </w:t>
      </w:r>
      <w:r>
        <w:rPr>
          <w:color w:val="231F20"/>
        </w:rPr>
        <w:t>de </w:t>
      </w:r>
      <w:r>
        <w:rPr>
          <w:color w:val="231F20"/>
          <w:spacing w:val="3"/>
        </w:rPr>
        <w:t>Educación Superior, impulsado </w:t>
      </w:r>
      <w:r>
        <w:rPr>
          <w:color w:val="231F20"/>
          <w:spacing w:val="2"/>
        </w:rPr>
        <w:t>por </w:t>
      </w:r>
      <w:r>
        <w:rPr>
          <w:color w:val="231F20"/>
        </w:rPr>
        <w:t>la </w:t>
      </w:r>
      <w:r>
        <w:rPr>
          <w:color w:val="231F20"/>
          <w:spacing w:val="2"/>
        </w:rPr>
        <w:t>Asociación </w:t>
      </w:r>
      <w:r>
        <w:rPr>
          <w:color w:val="231F20"/>
          <w:spacing w:val="3"/>
        </w:rPr>
        <w:t>Nacional </w:t>
      </w:r>
      <w:r>
        <w:rPr>
          <w:color w:val="231F20"/>
        </w:rPr>
        <w:t>de </w:t>
      </w:r>
      <w:r>
        <w:rPr>
          <w:color w:val="231F20"/>
          <w:spacing w:val="3"/>
        </w:rPr>
        <w:t>Universidades </w:t>
      </w:r>
      <w:r>
        <w:rPr>
          <w:color w:val="231F20"/>
        </w:rPr>
        <w:t>e </w:t>
      </w:r>
      <w:r>
        <w:rPr>
          <w:color w:val="231F20"/>
          <w:spacing w:val="3"/>
        </w:rPr>
        <w:t>Instituciones </w:t>
      </w:r>
      <w:r>
        <w:rPr>
          <w:color w:val="231F20"/>
        </w:rPr>
        <w:t>de </w:t>
      </w:r>
      <w:r>
        <w:rPr>
          <w:color w:val="231F20"/>
          <w:spacing w:val="2"/>
        </w:rPr>
        <w:t>Educación Superior </w:t>
      </w:r>
      <w:r>
        <w:rPr>
          <w:color w:val="231F20"/>
          <w:spacing w:val="3"/>
        </w:rPr>
        <w:t>(ANUIES) </w:t>
      </w:r>
      <w:r>
        <w:rPr>
          <w:color w:val="231F20"/>
        </w:rPr>
        <w:t>y la </w:t>
      </w:r>
      <w:r>
        <w:rPr>
          <w:color w:val="231F20"/>
          <w:spacing w:val="3"/>
        </w:rPr>
        <w:t>Fundación</w:t>
      </w:r>
      <w:r>
        <w:rPr>
          <w:color w:val="231F20"/>
          <w:spacing w:val="20"/>
        </w:rPr>
        <w:t> </w:t>
      </w:r>
      <w:r>
        <w:rPr>
          <w:color w:val="231F20"/>
          <w:spacing w:val="3"/>
        </w:rPr>
        <w:t>Ford.</w:t>
      </w:r>
    </w:p>
    <w:p>
      <w:pPr>
        <w:pStyle w:val="BodyText"/>
        <w:spacing w:line="247" w:lineRule="auto" w:before="6"/>
        <w:ind w:left="102" w:right="107" w:firstLine="284"/>
        <w:jc w:val="both"/>
      </w:pPr>
      <w:r>
        <w:rPr>
          <w:color w:val="231F20"/>
        </w:rPr>
        <w:t>Para la Fundación Ford, el Programa de Apoyo a Estudiantes Indígenas forma parte del </w:t>
      </w:r>
      <w:r>
        <w:rPr>
          <w:i/>
          <w:color w:val="231F20"/>
        </w:rPr>
        <w:t>Pathways to Higher Education</w:t>
      </w:r>
      <w:r>
        <w:rPr>
          <w:color w:val="231F20"/>
        </w:rPr>
        <w:t>, un progra- ma de cobertura mundial dirigido a estudiantes provenientes de grupos sociales marginados, como la raza negra en el caso del Brasil, el origen campesino en Asia o indígenas para el caso de América Latina. Según los países y sus condiciones, se ha trabaja- do en la construcción de programas que alienten la inclusión de personas y grupos que históricamente han sido excluidos de la educación superior. De allí nuestro interés por estudiar la forma como ha operado en la UABJO, analizando sus alcances.</w:t>
      </w:r>
    </w:p>
    <w:p>
      <w:pPr>
        <w:pStyle w:val="BodyText"/>
        <w:rPr>
          <w:sz w:val="22"/>
        </w:rPr>
      </w:pPr>
    </w:p>
    <w:p>
      <w:pPr>
        <w:pStyle w:val="BodyText"/>
        <w:spacing w:before="10"/>
      </w:pPr>
    </w:p>
    <w:p>
      <w:pPr>
        <w:spacing w:before="1"/>
        <w:ind w:left="102" w:right="104" w:firstLine="0"/>
        <w:jc w:val="left"/>
        <w:rPr>
          <w:i/>
          <w:sz w:val="21"/>
        </w:rPr>
      </w:pPr>
      <w:r>
        <w:rPr>
          <w:i/>
          <w:color w:val="231F20"/>
          <w:spacing w:val="2"/>
          <w:w w:val="102"/>
          <w:sz w:val="21"/>
        </w:rPr>
        <w:t>U</w:t>
      </w:r>
      <w:r>
        <w:rPr>
          <w:i/>
          <w:color w:val="231F20"/>
          <w:spacing w:val="1"/>
          <w:w w:val="86"/>
          <w:sz w:val="21"/>
        </w:rPr>
        <w:t>n</w:t>
      </w:r>
      <w:r>
        <w:rPr>
          <w:i/>
          <w:color w:val="231F20"/>
          <w:w w:val="86"/>
          <w:sz w:val="21"/>
        </w:rPr>
        <w:t>i</w:t>
      </w:r>
      <w:r>
        <w:rPr>
          <w:i/>
          <w:color w:val="231F20"/>
          <w:spacing w:val="1"/>
          <w:w w:val="83"/>
          <w:sz w:val="21"/>
        </w:rPr>
        <w:t>da</w:t>
      </w:r>
      <w:r>
        <w:rPr>
          <w:i/>
          <w:color w:val="231F20"/>
          <w:w w:val="83"/>
          <w:sz w:val="21"/>
        </w:rPr>
        <w:t>d</w:t>
      </w:r>
      <w:r>
        <w:rPr>
          <w:i/>
          <w:color w:val="231F20"/>
          <w:spacing w:val="4"/>
          <w:sz w:val="21"/>
        </w:rPr>
        <w:t> </w:t>
      </w:r>
      <w:r>
        <w:rPr>
          <w:i/>
          <w:color w:val="231F20"/>
          <w:spacing w:val="1"/>
          <w:w w:val="76"/>
          <w:sz w:val="21"/>
        </w:rPr>
        <w:t>d</w:t>
      </w:r>
      <w:r>
        <w:rPr>
          <w:i/>
          <w:color w:val="231F20"/>
          <w:w w:val="76"/>
          <w:sz w:val="21"/>
        </w:rPr>
        <w:t>e</w:t>
      </w:r>
      <w:r>
        <w:rPr>
          <w:i/>
          <w:color w:val="231F20"/>
          <w:spacing w:val="3"/>
          <w:sz w:val="21"/>
        </w:rPr>
        <w:t> </w:t>
      </w:r>
      <w:r>
        <w:rPr>
          <w:i/>
          <w:color w:val="231F20"/>
          <w:spacing w:val="3"/>
          <w:w w:val="128"/>
          <w:sz w:val="21"/>
        </w:rPr>
        <w:t>A</w:t>
      </w:r>
      <w:r>
        <w:rPr>
          <w:i/>
          <w:color w:val="231F20"/>
          <w:w w:val="92"/>
          <w:sz w:val="21"/>
        </w:rPr>
        <w:t>t</w:t>
      </w:r>
      <w:r>
        <w:rPr>
          <w:i/>
          <w:color w:val="231F20"/>
          <w:spacing w:val="1"/>
          <w:w w:val="67"/>
          <w:sz w:val="21"/>
        </w:rPr>
        <w:t>e</w:t>
      </w:r>
      <w:r>
        <w:rPr>
          <w:i/>
          <w:color w:val="231F20"/>
          <w:spacing w:val="1"/>
          <w:w w:val="76"/>
          <w:sz w:val="21"/>
        </w:rPr>
        <w:t>nc</w:t>
      </w:r>
      <w:r>
        <w:rPr>
          <w:i/>
          <w:color w:val="231F20"/>
          <w:w w:val="84"/>
          <w:sz w:val="21"/>
        </w:rPr>
        <w:t>i</w:t>
      </w:r>
      <w:r>
        <w:rPr>
          <w:i/>
          <w:color w:val="231F20"/>
          <w:spacing w:val="1"/>
          <w:w w:val="72"/>
          <w:sz w:val="21"/>
        </w:rPr>
        <w:t>ó</w:t>
      </w:r>
      <w:r>
        <w:rPr>
          <w:i/>
          <w:color w:val="231F20"/>
          <w:w w:val="87"/>
          <w:sz w:val="21"/>
        </w:rPr>
        <w:t>n</w:t>
      </w:r>
      <w:r>
        <w:rPr>
          <w:i/>
          <w:color w:val="231F20"/>
          <w:spacing w:val="4"/>
          <w:sz w:val="21"/>
        </w:rPr>
        <w:t> </w:t>
      </w:r>
      <w:r>
        <w:rPr>
          <w:i/>
          <w:color w:val="231F20"/>
          <w:spacing w:val="3"/>
          <w:w w:val="128"/>
          <w:sz w:val="21"/>
        </w:rPr>
        <w:t>A</w:t>
      </w:r>
      <w:r>
        <w:rPr>
          <w:i/>
          <w:color w:val="231F20"/>
          <w:spacing w:val="1"/>
          <w:w w:val="62"/>
          <w:sz w:val="21"/>
        </w:rPr>
        <w:t>c</w:t>
      </w:r>
      <w:r>
        <w:rPr>
          <w:i/>
          <w:color w:val="231F20"/>
          <w:spacing w:val="1"/>
          <w:w w:val="78"/>
          <w:sz w:val="21"/>
        </w:rPr>
        <w:t>adé</w:t>
      </w:r>
      <w:r>
        <w:rPr>
          <w:i/>
          <w:color w:val="231F20"/>
          <w:spacing w:val="2"/>
          <w:w w:val="89"/>
          <w:sz w:val="21"/>
        </w:rPr>
        <w:t>m</w:t>
      </w:r>
      <w:r>
        <w:rPr>
          <w:i/>
          <w:color w:val="231F20"/>
          <w:w w:val="84"/>
          <w:sz w:val="21"/>
        </w:rPr>
        <w:t>i</w:t>
      </w:r>
      <w:r>
        <w:rPr>
          <w:i/>
          <w:color w:val="231F20"/>
          <w:spacing w:val="1"/>
          <w:w w:val="62"/>
          <w:sz w:val="21"/>
        </w:rPr>
        <w:t>c</w:t>
      </w:r>
      <w:r>
        <w:rPr>
          <w:i/>
          <w:color w:val="231F20"/>
          <w:w w:val="83"/>
          <w:sz w:val="21"/>
        </w:rPr>
        <w:t>a</w:t>
      </w:r>
      <w:r>
        <w:rPr>
          <w:i/>
          <w:color w:val="231F20"/>
          <w:spacing w:val="4"/>
          <w:sz w:val="21"/>
        </w:rPr>
        <w:t> </w:t>
      </w:r>
      <w:r>
        <w:rPr>
          <w:i/>
          <w:color w:val="231F20"/>
          <w:w w:val="83"/>
          <w:sz w:val="21"/>
        </w:rPr>
        <w:t>a</w:t>
      </w:r>
      <w:r>
        <w:rPr>
          <w:i/>
          <w:color w:val="231F20"/>
          <w:spacing w:val="4"/>
          <w:sz w:val="21"/>
        </w:rPr>
        <w:t> </w:t>
      </w:r>
      <w:r>
        <w:rPr>
          <w:i/>
          <w:color w:val="231F20"/>
          <w:spacing w:val="2"/>
          <w:w w:val="115"/>
          <w:sz w:val="21"/>
        </w:rPr>
        <w:t>E</w:t>
      </w:r>
      <w:r>
        <w:rPr>
          <w:i/>
          <w:color w:val="231F20"/>
          <w:spacing w:val="1"/>
          <w:w w:val="77"/>
          <w:sz w:val="21"/>
        </w:rPr>
        <w:t>s</w:t>
      </w:r>
      <w:r>
        <w:rPr>
          <w:i/>
          <w:color w:val="231F20"/>
          <w:w w:val="92"/>
          <w:sz w:val="21"/>
        </w:rPr>
        <w:t>t</w:t>
      </w:r>
      <w:r>
        <w:rPr>
          <w:i/>
          <w:color w:val="231F20"/>
          <w:spacing w:val="1"/>
          <w:w w:val="85"/>
          <w:sz w:val="21"/>
        </w:rPr>
        <w:t>ud</w:t>
      </w:r>
      <w:r>
        <w:rPr>
          <w:i/>
          <w:color w:val="231F20"/>
          <w:w w:val="85"/>
          <w:sz w:val="21"/>
        </w:rPr>
        <w:t>i</w:t>
      </w:r>
      <w:r>
        <w:rPr>
          <w:i/>
          <w:color w:val="231F20"/>
          <w:spacing w:val="1"/>
          <w:w w:val="87"/>
          <w:sz w:val="21"/>
        </w:rPr>
        <w:t>an</w:t>
      </w:r>
      <w:r>
        <w:rPr>
          <w:i/>
          <w:color w:val="231F20"/>
          <w:w w:val="87"/>
          <w:sz w:val="21"/>
        </w:rPr>
        <w:t>t</w:t>
      </w:r>
      <w:r>
        <w:rPr>
          <w:i/>
          <w:color w:val="231F20"/>
          <w:spacing w:val="1"/>
          <w:w w:val="67"/>
          <w:sz w:val="21"/>
        </w:rPr>
        <w:t>e</w:t>
      </w:r>
      <w:r>
        <w:rPr>
          <w:i/>
          <w:color w:val="231F20"/>
          <w:w w:val="77"/>
          <w:sz w:val="21"/>
        </w:rPr>
        <w:t>s</w:t>
      </w:r>
      <w:r>
        <w:rPr>
          <w:i/>
          <w:color w:val="231F20"/>
          <w:spacing w:val="3"/>
          <w:sz w:val="21"/>
        </w:rPr>
        <w:t> </w:t>
      </w:r>
      <w:r>
        <w:rPr>
          <w:i/>
          <w:color w:val="231F20"/>
          <w:spacing w:val="1"/>
          <w:w w:val="99"/>
          <w:sz w:val="21"/>
        </w:rPr>
        <w:t>I</w:t>
      </w:r>
      <w:r>
        <w:rPr>
          <w:i/>
          <w:color w:val="231F20"/>
          <w:spacing w:val="1"/>
          <w:w w:val="85"/>
          <w:sz w:val="21"/>
        </w:rPr>
        <w:t>nd</w:t>
      </w:r>
      <w:r>
        <w:rPr>
          <w:i/>
          <w:color w:val="231F20"/>
          <w:w w:val="85"/>
          <w:sz w:val="21"/>
        </w:rPr>
        <w:t>í</w:t>
      </w:r>
      <w:r>
        <w:rPr>
          <w:i/>
          <w:color w:val="231F20"/>
          <w:spacing w:val="1"/>
          <w:w w:val="66"/>
          <w:sz w:val="21"/>
        </w:rPr>
        <w:t>g</w:t>
      </w:r>
      <w:r>
        <w:rPr>
          <w:i/>
          <w:color w:val="231F20"/>
          <w:spacing w:val="1"/>
          <w:w w:val="67"/>
          <w:sz w:val="21"/>
        </w:rPr>
        <w:t>e</w:t>
      </w:r>
      <w:r>
        <w:rPr>
          <w:i/>
          <w:color w:val="231F20"/>
          <w:spacing w:val="1"/>
          <w:w w:val="83"/>
          <w:sz w:val="21"/>
        </w:rPr>
        <w:t>nas</w:t>
      </w:r>
      <w:r>
        <w:rPr>
          <w:i/>
          <w:color w:val="231F20"/>
          <w:spacing w:val="1"/>
          <w:w w:val="76"/>
          <w:sz w:val="21"/>
        </w:rPr>
        <w:t>d</w:t>
      </w:r>
      <w:r>
        <w:rPr>
          <w:i/>
          <w:color w:val="231F20"/>
          <w:w w:val="76"/>
          <w:sz w:val="21"/>
        </w:rPr>
        <w:t>e</w:t>
      </w:r>
      <w:r>
        <w:rPr>
          <w:i/>
          <w:color w:val="231F20"/>
          <w:spacing w:val="3"/>
          <w:sz w:val="21"/>
        </w:rPr>
        <w:t> </w:t>
      </w:r>
      <w:r>
        <w:rPr>
          <w:i/>
          <w:color w:val="231F20"/>
          <w:spacing w:val="2"/>
          <w:w w:val="96"/>
          <w:sz w:val="21"/>
        </w:rPr>
        <w:t>O</w:t>
      </w:r>
      <w:r>
        <w:rPr>
          <w:i/>
          <w:color w:val="231F20"/>
          <w:spacing w:val="1"/>
          <w:w w:val="98"/>
          <w:sz w:val="21"/>
        </w:rPr>
        <w:t>a</w:t>
      </w:r>
      <w:r>
        <w:rPr>
          <w:i/>
          <w:color w:val="231F20"/>
          <w:spacing w:val="2"/>
          <w:w w:val="98"/>
          <w:sz w:val="21"/>
        </w:rPr>
        <w:t>x</w:t>
      </w:r>
      <w:r>
        <w:rPr>
          <w:i/>
          <w:color w:val="231F20"/>
          <w:spacing w:val="1"/>
          <w:w w:val="73"/>
          <w:sz w:val="21"/>
        </w:rPr>
        <w:t>ac</w:t>
      </w:r>
      <w:r>
        <w:rPr>
          <w:i/>
          <w:color w:val="231F20"/>
          <w:w w:val="83"/>
          <w:sz w:val="21"/>
        </w:rPr>
        <w:t>a</w:t>
      </w:r>
    </w:p>
    <w:p>
      <w:pPr>
        <w:pStyle w:val="BodyText"/>
        <w:spacing w:before="1"/>
        <w:rPr>
          <w:i/>
        </w:rPr>
      </w:pPr>
    </w:p>
    <w:p>
      <w:pPr>
        <w:pStyle w:val="BodyText"/>
        <w:spacing w:line="244" w:lineRule="auto" w:before="1"/>
        <w:ind w:left="102" w:right="106" w:hanging="1"/>
        <w:jc w:val="both"/>
      </w:pPr>
      <w:r>
        <w:rPr>
          <w:color w:val="231F20"/>
        </w:rPr>
        <w:t>Antes de adentrarnos en la Unidad de Atención Académica a Estu- diantes Indígenas, queremos hacer un paréntesis para señalar que en el contexto de las políticas educativas que se implementan por parte de las instituciones educativas, para nosotros era interesante obser- var cómo se desarrollaban las relaciones y los apoyos para el impul- so de las mismas, ya que por el corte del estudio se consideró de   vital</w:t>
      </w:r>
      <w:r>
        <w:rPr>
          <w:color w:val="231F20"/>
          <w:spacing w:val="-18"/>
        </w:rPr>
        <w:t> </w:t>
      </w:r>
      <w:r>
        <w:rPr>
          <w:color w:val="231F20"/>
        </w:rPr>
        <w:t>importancia.</w:t>
      </w:r>
    </w:p>
    <w:p>
      <w:pPr>
        <w:spacing w:after="0" w:line="244" w:lineRule="auto"/>
        <w:jc w:val="both"/>
        <w:sectPr>
          <w:headerReference w:type="default" r:id="rId717"/>
          <w:footerReference w:type="default" r:id="rId718"/>
          <w:pgSz w:w="7830" w:h="11910"/>
          <w:pgMar w:header="0" w:footer="424" w:top="500" w:bottom="620" w:left="920" w:right="880"/>
          <w:pgNumType w:start="322"/>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13" w:right="116" w:firstLine="284"/>
        <w:jc w:val="both"/>
      </w:pPr>
      <w:r>
        <w:rPr>
          <w:color w:val="231F20"/>
        </w:rPr>
        <w:t>El </w:t>
      </w:r>
      <w:r>
        <w:rPr>
          <w:color w:val="231F20"/>
          <w:spacing w:val="2"/>
        </w:rPr>
        <w:t>estudio </w:t>
      </w:r>
      <w:r>
        <w:rPr>
          <w:color w:val="231F20"/>
        </w:rPr>
        <w:t>que </w:t>
      </w:r>
      <w:r>
        <w:rPr>
          <w:color w:val="231F20"/>
          <w:spacing w:val="3"/>
        </w:rPr>
        <w:t>presentamos </w:t>
      </w:r>
      <w:r>
        <w:rPr>
          <w:color w:val="231F20"/>
        </w:rPr>
        <w:t>lo </w:t>
      </w:r>
      <w:r>
        <w:rPr>
          <w:color w:val="231F20"/>
          <w:spacing w:val="2"/>
        </w:rPr>
        <w:t>dividimos </w:t>
      </w:r>
      <w:r>
        <w:rPr>
          <w:color w:val="231F20"/>
        </w:rPr>
        <w:t>en </w:t>
      </w:r>
      <w:r>
        <w:rPr>
          <w:color w:val="231F20"/>
          <w:spacing w:val="2"/>
        </w:rPr>
        <w:t>dos grandes fases  </w:t>
      </w:r>
      <w:r>
        <w:rPr>
          <w:color w:val="231F20"/>
        </w:rPr>
        <w:t>en el </w:t>
      </w:r>
      <w:r>
        <w:rPr>
          <w:color w:val="231F20"/>
          <w:spacing w:val="2"/>
        </w:rPr>
        <w:t>proceso </w:t>
      </w:r>
      <w:r>
        <w:rPr>
          <w:color w:val="231F20"/>
        </w:rPr>
        <w:t>de la </w:t>
      </w:r>
      <w:r>
        <w:rPr>
          <w:color w:val="231F20"/>
          <w:spacing w:val="2"/>
        </w:rPr>
        <w:t>investigación: </w:t>
      </w:r>
      <w:r>
        <w:rPr>
          <w:color w:val="231F20"/>
        </w:rPr>
        <w:t>la </w:t>
      </w:r>
      <w:r>
        <w:rPr>
          <w:color w:val="231F20"/>
          <w:spacing w:val="2"/>
        </w:rPr>
        <w:t>primera estuvo </w:t>
      </w:r>
      <w:r>
        <w:rPr>
          <w:color w:val="231F20"/>
          <w:spacing w:val="3"/>
        </w:rPr>
        <w:t>enfocada </w:t>
      </w:r>
      <w:r>
        <w:rPr>
          <w:color w:val="231F20"/>
        </w:rPr>
        <w:t>en la </w:t>
      </w:r>
      <w:r>
        <w:rPr>
          <w:color w:val="231F20"/>
          <w:spacing w:val="2"/>
        </w:rPr>
        <w:t>revisión </w:t>
      </w:r>
      <w:r>
        <w:rPr>
          <w:color w:val="231F20"/>
        </w:rPr>
        <w:t>de la </w:t>
      </w:r>
      <w:r>
        <w:rPr>
          <w:color w:val="231F20"/>
          <w:spacing w:val="2"/>
        </w:rPr>
        <w:t>literatura </w:t>
      </w:r>
      <w:r>
        <w:rPr>
          <w:color w:val="231F20"/>
        </w:rPr>
        <w:t>y </w:t>
      </w:r>
      <w:r>
        <w:rPr>
          <w:color w:val="231F20"/>
          <w:spacing w:val="2"/>
        </w:rPr>
        <w:t>sobre todo </w:t>
      </w:r>
      <w:r>
        <w:rPr>
          <w:color w:val="231F20"/>
        </w:rPr>
        <w:t>en la </w:t>
      </w:r>
      <w:r>
        <w:rPr>
          <w:color w:val="231F20"/>
          <w:spacing w:val="3"/>
        </w:rPr>
        <w:t>reconstrucción </w:t>
      </w:r>
      <w:r>
        <w:rPr>
          <w:color w:val="231F20"/>
          <w:spacing w:val="2"/>
        </w:rPr>
        <w:t>histórica </w:t>
      </w:r>
      <w:r>
        <w:rPr>
          <w:color w:val="231F20"/>
        </w:rPr>
        <w:t>de </w:t>
      </w:r>
      <w:r>
        <w:rPr>
          <w:color w:val="231F20"/>
          <w:spacing w:val="3"/>
        </w:rPr>
        <w:t>cómo </w:t>
      </w:r>
      <w:r>
        <w:rPr>
          <w:color w:val="231F20"/>
        </w:rPr>
        <w:t>llega a la </w:t>
      </w:r>
      <w:r>
        <w:rPr>
          <w:color w:val="231F20"/>
          <w:spacing w:val="3"/>
        </w:rPr>
        <w:t>UABJO </w:t>
      </w:r>
      <w:r>
        <w:rPr>
          <w:color w:val="231F20"/>
          <w:spacing w:val="2"/>
        </w:rPr>
        <w:t>esta </w:t>
      </w:r>
      <w:r>
        <w:rPr>
          <w:color w:val="231F20"/>
          <w:spacing w:val="3"/>
        </w:rPr>
        <w:t>unidad. </w:t>
      </w:r>
      <w:r>
        <w:rPr>
          <w:color w:val="231F20"/>
        </w:rPr>
        <w:t>Se </w:t>
      </w:r>
      <w:r>
        <w:rPr>
          <w:color w:val="231F20"/>
          <w:spacing w:val="2"/>
        </w:rPr>
        <w:t>hizo una revisión </w:t>
      </w:r>
      <w:r>
        <w:rPr>
          <w:color w:val="231F20"/>
        </w:rPr>
        <w:t>de las </w:t>
      </w:r>
      <w:r>
        <w:rPr>
          <w:color w:val="231F20"/>
          <w:spacing w:val="2"/>
        </w:rPr>
        <w:t>diversas </w:t>
      </w:r>
      <w:r>
        <w:rPr>
          <w:color w:val="231F20"/>
          <w:spacing w:val="3"/>
        </w:rPr>
        <w:t>convocatorias </w:t>
      </w:r>
      <w:r>
        <w:rPr>
          <w:color w:val="231F20"/>
        </w:rPr>
        <w:t>se </w:t>
      </w:r>
      <w:r>
        <w:rPr>
          <w:color w:val="231F20"/>
          <w:spacing w:val="2"/>
        </w:rPr>
        <w:t>habían </w:t>
      </w:r>
      <w:r>
        <w:rPr>
          <w:color w:val="231F20"/>
          <w:spacing w:val="3"/>
        </w:rPr>
        <w:t>presentado </w:t>
      </w:r>
      <w:r>
        <w:rPr>
          <w:color w:val="231F20"/>
          <w:spacing w:val="2"/>
        </w:rPr>
        <w:t>para </w:t>
      </w:r>
      <w:r>
        <w:rPr>
          <w:color w:val="231F20"/>
          <w:spacing w:val="3"/>
        </w:rPr>
        <w:t>implementarla, además </w:t>
      </w:r>
      <w:r>
        <w:rPr>
          <w:color w:val="231F20"/>
        </w:rPr>
        <w:t>de que se </w:t>
      </w:r>
      <w:r>
        <w:rPr>
          <w:color w:val="231F20"/>
          <w:spacing w:val="2"/>
        </w:rPr>
        <w:t>buscó </w:t>
      </w:r>
      <w:r>
        <w:rPr>
          <w:color w:val="231F20"/>
          <w:spacing w:val="3"/>
        </w:rPr>
        <w:t>información </w:t>
      </w:r>
      <w:r>
        <w:rPr>
          <w:color w:val="231F20"/>
          <w:spacing w:val="2"/>
        </w:rPr>
        <w:t>sobre </w:t>
      </w:r>
      <w:r>
        <w:rPr>
          <w:color w:val="231F20"/>
        </w:rPr>
        <w:t>la </w:t>
      </w:r>
      <w:r>
        <w:rPr>
          <w:color w:val="231F20"/>
          <w:spacing w:val="2"/>
        </w:rPr>
        <w:t>base </w:t>
      </w:r>
      <w:r>
        <w:rPr>
          <w:color w:val="231F20"/>
        </w:rPr>
        <w:t>de </w:t>
      </w:r>
      <w:r>
        <w:rPr>
          <w:color w:val="231F20"/>
          <w:spacing w:val="2"/>
        </w:rPr>
        <w:t>datos insti- tucional con población indígena; </w:t>
      </w:r>
      <w:r>
        <w:rPr>
          <w:color w:val="231F20"/>
        </w:rPr>
        <w:t>la </w:t>
      </w:r>
      <w:r>
        <w:rPr>
          <w:color w:val="231F20"/>
          <w:spacing w:val="2"/>
        </w:rPr>
        <w:t>segunda fase </w:t>
      </w:r>
      <w:r>
        <w:rPr>
          <w:color w:val="231F20"/>
        </w:rPr>
        <w:t>se </w:t>
      </w:r>
      <w:r>
        <w:rPr>
          <w:color w:val="231F20"/>
          <w:spacing w:val="2"/>
        </w:rPr>
        <w:t>caracterizó por </w:t>
      </w:r>
      <w:r>
        <w:rPr>
          <w:color w:val="231F20"/>
        </w:rPr>
        <w:t>el </w:t>
      </w:r>
      <w:r>
        <w:rPr>
          <w:color w:val="231F20"/>
          <w:spacing w:val="2"/>
        </w:rPr>
        <w:t>trabajo </w:t>
      </w:r>
      <w:r>
        <w:rPr>
          <w:color w:val="231F20"/>
        </w:rPr>
        <w:t>de </w:t>
      </w:r>
      <w:r>
        <w:rPr>
          <w:color w:val="231F20"/>
          <w:spacing w:val="3"/>
        </w:rPr>
        <w:t>campo </w:t>
      </w:r>
      <w:r>
        <w:rPr>
          <w:color w:val="231F20"/>
          <w:spacing w:val="2"/>
        </w:rPr>
        <w:t>con </w:t>
      </w:r>
      <w:r>
        <w:rPr>
          <w:color w:val="231F20"/>
          <w:spacing w:val="3"/>
        </w:rPr>
        <w:t>grupos </w:t>
      </w:r>
      <w:r>
        <w:rPr>
          <w:color w:val="231F20"/>
          <w:spacing w:val="2"/>
        </w:rPr>
        <w:t>focales, entrevistas </w:t>
      </w:r>
      <w:r>
        <w:rPr>
          <w:color w:val="231F20"/>
        </w:rPr>
        <w:t>a </w:t>
      </w:r>
      <w:r>
        <w:rPr>
          <w:color w:val="231F20"/>
          <w:spacing w:val="2"/>
        </w:rPr>
        <w:t>estudiantes </w:t>
      </w:r>
      <w:r>
        <w:rPr>
          <w:color w:val="231F20"/>
        </w:rPr>
        <w:t>y </w:t>
      </w:r>
      <w:r>
        <w:rPr>
          <w:color w:val="231F20"/>
          <w:spacing w:val="2"/>
        </w:rPr>
        <w:t>autoridades </w:t>
      </w:r>
      <w:r>
        <w:rPr>
          <w:color w:val="231F20"/>
        </w:rPr>
        <w:t>que </w:t>
      </w:r>
      <w:r>
        <w:rPr>
          <w:color w:val="231F20"/>
          <w:spacing w:val="3"/>
        </w:rPr>
        <w:t>componen </w:t>
      </w:r>
      <w:r>
        <w:rPr>
          <w:color w:val="231F20"/>
        </w:rPr>
        <w:t>a la </w:t>
      </w:r>
      <w:r>
        <w:rPr>
          <w:color w:val="231F20"/>
          <w:spacing w:val="2"/>
        </w:rPr>
        <w:t>unidad, </w:t>
      </w:r>
      <w:r>
        <w:rPr>
          <w:color w:val="231F20"/>
        </w:rPr>
        <w:t>y se </w:t>
      </w:r>
      <w:r>
        <w:rPr>
          <w:color w:val="231F20"/>
          <w:spacing w:val="2"/>
        </w:rPr>
        <w:t>realizaron </w:t>
      </w:r>
      <w:r>
        <w:rPr>
          <w:color w:val="231F20"/>
          <w:spacing w:val="3"/>
        </w:rPr>
        <w:t>observacio- </w:t>
      </w:r>
      <w:r>
        <w:rPr>
          <w:color w:val="231F20"/>
          <w:spacing w:val="2"/>
        </w:rPr>
        <w:t>nes </w:t>
      </w:r>
      <w:r>
        <w:rPr>
          <w:color w:val="231F20"/>
        </w:rPr>
        <w:t>en </w:t>
      </w:r>
      <w:r>
        <w:rPr>
          <w:color w:val="231F20"/>
          <w:spacing w:val="2"/>
        </w:rPr>
        <w:t>los diferentes espacios </w:t>
      </w:r>
      <w:r>
        <w:rPr>
          <w:color w:val="231F20"/>
        </w:rPr>
        <w:t>en </w:t>
      </w:r>
      <w:r>
        <w:rPr>
          <w:color w:val="231F20"/>
          <w:spacing w:val="2"/>
        </w:rPr>
        <w:t>los </w:t>
      </w:r>
      <w:r>
        <w:rPr>
          <w:color w:val="231F20"/>
        </w:rPr>
        <w:t>que </w:t>
      </w:r>
      <w:r>
        <w:rPr>
          <w:color w:val="231F20"/>
          <w:spacing w:val="2"/>
        </w:rPr>
        <w:t>conviven los estudiantes indígenas </w:t>
      </w:r>
      <w:r>
        <w:rPr>
          <w:color w:val="231F20"/>
        </w:rPr>
        <w:t>en la </w:t>
      </w:r>
      <w:r>
        <w:rPr>
          <w:color w:val="231F20"/>
          <w:spacing w:val="2"/>
        </w:rPr>
        <w:t>universidad. Con esta </w:t>
      </w:r>
      <w:r>
        <w:rPr>
          <w:color w:val="231F20"/>
          <w:spacing w:val="3"/>
        </w:rPr>
        <w:t>información presentamos </w:t>
      </w:r>
      <w:r>
        <w:rPr>
          <w:color w:val="231F20"/>
        </w:rPr>
        <w:t>el </w:t>
      </w:r>
      <w:r>
        <w:rPr>
          <w:color w:val="231F20"/>
          <w:spacing w:val="2"/>
        </w:rPr>
        <w:t>siguiente análisis que, </w:t>
      </w:r>
      <w:r>
        <w:rPr>
          <w:color w:val="231F20"/>
          <w:spacing w:val="3"/>
        </w:rPr>
        <w:t>como señalábamos </w:t>
      </w:r>
      <w:r>
        <w:rPr>
          <w:color w:val="231F20"/>
          <w:spacing w:val="2"/>
        </w:rPr>
        <w:t>líneas arriba, </w:t>
      </w:r>
      <w:r>
        <w:rPr>
          <w:color w:val="231F20"/>
        </w:rPr>
        <w:t>lo </w:t>
      </w:r>
      <w:r>
        <w:rPr>
          <w:color w:val="231F20"/>
          <w:spacing w:val="3"/>
        </w:rPr>
        <w:t>circuns- </w:t>
      </w:r>
      <w:r>
        <w:rPr>
          <w:color w:val="231F20"/>
          <w:spacing w:val="2"/>
        </w:rPr>
        <w:t>cribimos </w:t>
      </w:r>
      <w:r>
        <w:rPr>
          <w:color w:val="231F20"/>
        </w:rPr>
        <w:t>en un </w:t>
      </w:r>
      <w:r>
        <w:rPr>
          <w:color w:val="231F20"/>
          <w:spacing w:val="3"/>
        </w:rPr>
        <w:t>enfoque </w:t>
      </w:r>
      <w:r>
        <w:rPr>
          <w:color w:val="231F20"/>
        </w:rPr>
        <w:t>de </w:t>
      </w:r>
      <w:r>
        <w:rPr>
          <w:color w:val="231F20"/>
          <w:spacing w:val="2"/>
        </w:rPr>
        <w:t>discriminación desde </w:t>
      </w:r>
      <w:r>
        <w:rPr>
          <w:color w:val="231F20"/>
        </w:rPr>
        <w:t>la  </w:t>
      </w:r>
      <w:r>
        <w:rPr>
          <w:color w:val="231F20"/>
          <w:spacing w:val="3"/>
        </w:rPr>
        <w:t>forma </w:t>
      </w:r>
      <w:r>
        <w:rPr>
          <w:color w:val="231F20"/>
        </w:rPr>
        <w:t>en  </w:t>
      </w:r>
      <w:r>
        <w:rPr>
          <w:color w:val="231F20"/>
          <w:spacing w:val="2"/>
        </w:rPr>
        <w:t>que </w:t>
      </w:r>
      <w:r>
        <w:rPr>
          <w:color w:val="231F20"/>
        </w:rPr>
        <w:t>se </w:t>
      </w:r>
      <w:r>
        <w:rPr>
          <w:color w:val="231F20"/>
          <w:spacing w:val="2"/>
        </w:rPr>
        <w:t>puede percibir </w:t>
      </w:r>
      <w:r>
        <w:rPr>
          <w:color w:val="231F20"/>
        </w:rPr>
        <w:t>la </w:t>
      </w:r>
      <w:r>
        <w:rPr>
          <w:color w:val="231F20"/>
          <w:spacing w:val="2"/>
        </w:rPr>
        <w:t>violencia por parte </w:t>
      </w:r>
      <w:r>
        <w:rPr>
          <w:color w:val="231F20"/>
        </w:rPr>
        <w:t>de las</w:t>
      </w:r>
      <w:r>
        <w:rPr>
          <w:color w:val="231F20"/>
          <w:spacing w:val="23"/>
        </w:rPr>
        <w:t> </w:t>
      </w:r>
      <w:r>
        <w:rPr>
          <w:color w:val="231F20"/>
          <w:spacing w:val="2"/>
        </w:rPr>
        <w:t>instituciones.</w:t>
      </w:r>
    </w:p>
    <w:p>
      <w:pPr>
        <w:pStyle w:val="BodyText"/>
        <w:spacing w:line="249" w:lineRule="auto"/>
        <w:ind w:left="112" w:right="117" w:firstLine="284"/>
        <w:jc w:val="both"/>
      </w:pPr>
      <w:r>
        <w:rPr>
          <w:color w:val="231F20"/>
          <w:spacing w:val="3"/>
        </w:rPr>
        <w:t>Desde </w:t>
      </w:r>
      <w:r>
        <w:rPr>
          <w:color w:val="231F20"/>
          <w:spacing w:val="2"/>
        </w:rPr>
        <w:t>que inició </w:t>
      </w:r>
      <w:r>
        <w:rPr>
          <w:color w:val="231F20"/>
          <w:spacing w:val="3"/>
        </w:rPr>
        <w:t>formalmente </w:t>
      </w:r>
      <w:r>
        <w:rPr>
          <w:color w:val="231F20"/>
        </w:rPr>
        <w:t>el </w:t>
      </w:r>
      <w:r>
        <w:rPr>
          <w:color w:val="231F20"/>
          <w:spacing w:val="2"/>
        </w:rPr>
        <w:t>programa </w:t>
      </w:r>
      <w:r>
        <w:rPr>
          <w:color w:val="231F20"/>
        </w:rPr>
        <w:t>a </w:t>
      </w:r>
      <w:r>
        <w:rPr>
          <w:color w:val="231F20"/>
          <w:spacing w:val="2"/>
        </w:rPr>
        <w:t>nivel nacional </w:t>
      </w:r>
      <w:r>
        <w:rPr>
          <w:color w:val="231F20"/>
        </w:rPr>
        <w:t>en  el </w:t>
      </w:r>
      <w:r>
        <w:rPr>
          <w:color w:val="231F20"/>
          <w:spacing w:val="2"/>
        </w:rPr>
        <w:t>2002, </w:t>
      </w:r>
      <w:r>
        <w:rPr>
          <w:color w:val="231F20"/>
        </w:rPr>
        <w:t>se </w:t>
      </w:r>
      <w:r>
        <w:rPr>
          <w:color w:val="231F20"/>
          <w:spacing w:val="2"/>
        </w:rPr>
        <w:t>invitó </w:t>
      </w:r>
      <w:r>
        <w:rPr>
          <w:color w:val="231F20"/>
        </w:rPr>
        <w:t>a </w:t>
      </w:r>
      <w:r>
        <w:rPr>
          <w:color w:val="231F20"/>
          <w:spacing w:val="2"/>
        </w:rPr>
        <w:t>participar </w:t>
      </w:r>
      <w:r>
        <w:rPr>
          <w:color w:val="231F20"/>
        </w:rPr>
        <w:t>a 37 </w:t>
      </w:r>
      <w:r>
        <w:rPr>
          <w:color w:val="231F20"/>
          <w:spacing w:val="2"/>
        </w:rPr>
        <w:t>instituciones </w:t>
      </w:r>
      <w:r>
        <w:rPr>
          <w:color w:val="231F20"/>
        </w:rPr>
        <w:t>de </w:t>
      </w:r>
      <w:r>
        <w:rPr>
          <w:color w:val="231F20"/>
          <w:spacing w:val="2"/>
        </w:rPr>
        <w:t>educación supe- rior dentro </w:t>
      </w:r>
      <w:r>
        <w:rPr>
          <w:color w:val="231F20"/>
        </w:rPr>
        <w:t>de las que se </w:t>
      </w:r>
      <w:r>
        <w:rPr>
          <w:color w:val="231F20"/>
          <w:spacing w:val="3"/>
        </w:rPr>
        <w:t>encontraba </w:t>
      </w:r>
      <w:r>
        <w:rPr>
          <w:color w:val="231F20"/>
        </w:rPr>
        <w:t>la </w:t>
      </w:r>
      <w:r>
        <w:rPr>
          <w:color w:val="231F20"/>
          <w:spacing w:val="3"/>
        </w:rPr>
        <w:t>Universidad Autónoma </w:t>
      </w:r>
      <w:r>
        <w:rPr>
          <w:color w:val="231F20"/>
          <w:spacing w:val="2"/>
        </w:rPr>
        <w:t>“Benito Juárez” </w:t>
      </w:r>
      <w:r>
        <w:rPr>
          <w:color w:val="231F20"/>
        </w:rPr>
        <w:t>de </w:t>
      </w:r>
      <w:r>
        <w:rPr>
          <w:color w:val="231F20"/>
          <w:spacing w:val="2"/>
        </w:rPr>
        <w:t>Oaxaca </w:t>
      </w:r>
      <w:r>
        <w:rPr>
          <w:color w:val="231F20"/>
          <w:spacing w:val="3"/>
        </w:rPr>
        <w:t>(UABJO), </w:t>
      </w:r>
      <w:r>
        <w:rPr>
          <w:color w:val="231F20"/>
          <w:spacing w:val="2"/>
        </w:rPr>
        <w:t>pero según los datos </w:t>
      </w:r>
      <w:r>
        <w:rPr>
          <w:color w:val="231F20"/>
        </w:rPr>
        <w:t>de la </w:t>
      </w:r>
      <w:r>
        <w:rPr>
          <w:color w:val="231F20"/>
          <w:spacing w:val="3"/>
        </w:rPr>
        <w:t>ANUIES </w:t>
      </w:r>
      <w:r>
        <w:rPr>
          <w:color w:val="231F20"/>
          <w:spacing w:val="2"/>
        </w:rPr>
        <w:t>solo </w:t>
      </w:r>
      <w:r>
        <w:rPr>
          <w:color w:val="231F20"/>
          <w:spacing w:val="3"/>
        </w:rPr>
        <w:t>respondieron </w:t>
      </w:r>
      <w:r>
        <w:rPr>
          <w:color w:val="231F20"/>
          <w:spacing w:val="2"/>
        </w:rPr>
        <w:t>trece </w:t>
      </w:r>
      <w:r>
        <w:rPr>
          <w:color w:val="231F20"/>
        </w:rPr>
        <w:t>y se </w:t>
      </w:r>
      <w:r>
        <w:rPr>
          <w:color w:val="231F20"/>
          <w:spacing w:val="2"/>
        </w:rPr>
        <w:t>seleccionaron seis, </w:t>
      </w:r>
      <w:r>
        <w:rPr>
          <w:color w:val="231F20"/>
        </w:rPr>
        <w:t>las </w:t>
      </w:r>
      <w:r>
        <w:rPr>
          <w:color w:val="231F20"/>
          <w:spacing w:val="3"/>
        </w:rPr>
        <w:t>cua- </w:t>
      </w:r>
      <w:r>
        <w:rPr>
          <w:color w:val="231F20"/>
        </w:rPr>
        <w:t>les </w:t>
      </w:r>
      <w:r>
        <w:rPr>
          <w:color w:val="231F20"/>
          <w:spacing w:val="3"/>
        </w:rPr>
        <w:t>fueronla </w:t>
      </w:r>
      <w:r>
        <w:rPr>
          <w:color w:val="231F20"/>
          <w:spacing w:val="2"/>
        </w:rPr>
        <w:t>Universidad Tecnológica </w:t>
      </w:r>
      <w:r>
        <w:rPr>
          <w:color w:val="231F20"/>
        </w:rPr>
        <w:t>de </w:t>
      </w:r>
      <w:r>
        <w:rPr>
          <w:color w:val="231F20"/>
          <w:spacing w:val="2"/>
        </w:rPr>
        <w:t>Tula-Tepeji, </w:t>
      </w:r>
      <w:r>
        <w:rPr>
          <w:color w:val="231F20"/>
        </w:rPr>
        <w:t>la </w:t>
      </w:r>
      <w:r>
        <w:rPr>
          <w:color w:val="231F20"/>
          <w:spacing w:val="2"/>
        </w:rPr>
        <w:t>Universi- dad Pedagógica Nacional, </w:t>
      </w:r>
      <w:r>
        <w:rPr>
          <w:color w:val="231F20"/>
        </w:rPr>
        <w:t>la </w:t>
      </w:r>
      <w:r>
        <w:rPr>
          <w:color w:val="231F20"/>
          <w:spacing w:val="2"/>
        </w:rPr>
        <w:t>Universidad </w:t>
      </w:r>
      <w:r>
        <w:rPr>
          <w:color w:val="231F20"/>
          <w:spacing w:val="3"/>
        </w:rPr>
        <w:t>Autónoma </w:t>
      </w:r>
      <w:r>
        <w:rPr>
          <w:color w:val="231F20"/>
          <w:spacing w:val="2"/>
        </w:rPr>
        <w:t>del Estado </w:t>
      </w:r>
      <w:r>
        <w:rPr>
          <w:color w:val="231F20"/>
        </w:rPr>
        <w:t>de </w:t>
      </w:r>
      <w:r>
        <w:rPr>
          <w:color w:val="231F20"/>
          <w:spacing w:val="2"/>
        </w:rPr>
        <w:t>México, </w:t>
      </w:r>
      <w:r>
        <w:rPr>
          <w:color w:val="231F20"/>
        </w:rPr>
        <w:t>la </w:t>
      </w:r>
      <w:r>
        <w:rPr>
          <w:color w:val="231F20"/>
          <w:spacing w:val="2"/>
        </w:rPr>
        <w:t>Universidad </w:t>
      </w:r>
      <w:r>
        <w:rPr>
          <w:color w:val="231F20"/>
          <w:spacing w:val="3"/>
        </w:rPr>
        <w:t>Autónoma Chapingo, </w:t>
      </w:r>
      <w:r>
        <w:rPr>
          <w:color w:val="231F20"/>
        </w:rPr>
        <w:t>la </w:t>
      </w:r>
      <w:r>
        <w:rPr>
          <w:color w:val="231F20"/>
          <w:spacing w:val="2"/>
        </w:rPr>
        <w:t>Universidad </w:t>
      </w:r>
      <w:r>
        <w:rPr>
          <w:color w:val="231F20"/>
          <w:spacing w:val="3"/>
        </w:rPr>
        <w:t>Vera- </w:t>
      </w:r>
      <w:r>
        <w:rPr>
          <w:color w:val="231F20"/>
          <w:spacing w:val="2"/>
        </w:rPr>
        <w:t>cruzana </w:t>
      </w:r>
      <w:r>
        <w:rPr>
          <w:color w:val="231F20"/>
        </w:rPr>
        <w:t>y el </w:t>
      </w:r>
      <w:r>
        <w:rPr>
          <w:color w:val="231F20"/>
          <w:spacing w:val="2"/>
        </w:rPr>
        <w:t>Instituto Tecnológico </w:t>
      </w:r>
      <w:r>
        <w:rPr>
          <w:color w:val="231F20"/>
        </w:rPr>
        <w:t>de </w:t>
      </w:r>
      <w:r>
        <w:rPr>
          <w:color w:val="231F20"/>
          <w:spacing w:val="2"/>
        </w:rPr>
        <w:t>Tuxtla Gutiérrez. </w:t>
      </w:r>
      <w:r>
        <w:rPr>
          <w:color w:val="231F20"/>
        </w:rPr>
        <w:t>Es </w:t>
      </w:r>
      <w:r>
        <w:rPr>
          <w:color w:val="231F20"/>
          <w:spacing w:val="2"/>
        </w:rPr>
        <w:t>sor- </w:t>
      </w:r>
      <w:r>
        <w:rPr>
          <w:color w:val="231F20"/>
          <w:spacing w:val="3"/>
        </w:rPr>
        <w:t>prendente </w:t>
      </w:r>
      <w:r>
        <w:rPr>
          <w:color w:val="231F20"/>
        </w:rPr>
        <w:t>ver </w:t>
      </w:r>
      <w:r>
        <w:rPr>
          <w:color w:val="231F20"/>
          <w:spacing w:val="3"/>
        </w:rPr>
        <w:t>cómo </w:t>
      </w:r>
      <w:r>
        <w:rPr>
          <w:color w:val="231F20"/>
        </w:rPr>
        <w:t>en </w:t>
      </w:r>
      <w:r>
        <w:rPr>
          <w:color w:val="231F20"/>
          <w:spacing w:val="2"/>
        </w:rPr>
        <w:t>los datos analizados por </w:t>
      </w:r>
      <w:r>
        <w:rPr>
          <w:color w:val="231F20"/>
        </w:rPr>
        <w:t>la </w:t>
      </w:r>
      <w:r>
        <w:rPr>
          <w:color w:val="231F20"/>
          <w:spacing w:val="3"/>
        </w:rPr>
        <w:t>ANUIES, Oa- </w:t>
      </w:r>
      <w:r>
        <w:rPr>
          <w:color w:val="231F20"/>
          <w:spacing w:val="2"/>
        </w:rPr>
        <w:t>xaca que </w:t>
      </w:r>
      <w:r>
        <w:rPr>
          <w:color w:val="231F20"/>
          <w:spacing w:val="3"/>
        </w:rPr>
        <w:t>ocupaba </w:t>
      </w:r>
      <w:r>
        <w:rPr>
          <w:color w:val="231F20"/>
        </w:rPr>
        <w:t>el </w:t>
      </w:r>
      <w:r>
        <w:rPr>
          <w:color w:val="231F20"/>
          <w:spacing w:val="2"/>
        </w:rPr>
        <w:t>primer lugar </w:t>
      </w:r>
      <w:r>
        <w:rPr>
          <w:color w:val="231F20"/>
        </w:rPr>
        <w:t>en </w:t>
      </w:r>
      <w:r>
        <w:rPr>
          <w:color w:val="231F20"/>
          <w:spacing w:val="2"/>
        </w:rPr>
        <w:t>tener población indígena </w:t>
      </w:r>
      <w:r>
        <w:rPr>
          <w:color w:val="231F20"/>
          <w:spacing w:val="4"/>
        </w:rPr>
        <w:t>no </w:t>
      </w:r>
      <w:r>
        <w:rPr>
          <w:color w:val="231F20"/>
          <w:spacing w:val="2"/>
        </w:rPr>
        <w:t>haya </w:t>
      </w:r>
      <w:r>
        <w:rPr>
          <w:color w:val="231F20"/>
        </w:rPr>
        <w:t>sido </w:t>
      </w:r>
      <w:r>
        <w:rPr>
          <w:color w:val="231F20"/>
          <w:spacing w:val="2"/>
        </w:rPr>
        <w:t>una </w:t>
      </w:r>
      <w:r>
        <w:rPr>
          <w:color w:val="231F20"/>
        </w:rPr>
        <w:t>de las </w:t>
      </w:r>
      <w:r>
        <w:rPr>
          <w:color w:val="231F20"/>
          <w:spacing w:val="2"/>
        </w:rPr>
        <w:t>primeras </w:t>
      </w:r>
      <w:r>
        <w:rPr>
          <w:color w:val="231F20"/>
        </w:rPr>
        <w:t>en </w:t>
      </w:r>
      <w:r>
        <w:rPr>
          <w:color w:val="231F20"/>
          <w:spacing w:val="2"/>
        </w:rPr>
        <w:t>generar una </w:t>
      </w:r>
      <w:r>
        <w:rPr>
          <w:color w:val="231F20"/>
          <w:spacing w:val="3"/>
        </w:rPr>
        <w:t>oportunidad </w:t>
      </w:r>
      <w:r>
        <w:rPr>
          <w:color w:val="231F20"/>
          <w:spacing w:val="2"/>
        </w:rPr>
        <w:t>para los jóvenes indígenas, </w:t>
      </w:r>
      <w:r>
        <w:rPr>
          <w:color w:val="231F20"/>
        </w:rPr>
        <w:t>y no </w:t>
      </w:r>
      <w:r>
        <w:rPr>
          <w:color w:val="231F20"/>
          <w:spacing w:val="3"/>
        </w:rPr>
        <w:t>porque </w:t>
      </w:r>
      <w:r>
        <w:rPr>
          <w:color w:val="231F20"/>
        </w:rPr>
        <w:t>no </w:t>
      </w:r>
      <w:r>
        <w:rPr>
          <w:color w:val="231F20"/>
          <w:spacing w:val="2"/>
        </w:rPr>
        <w:t>pasara </w:t>
      </w:r>
      <w:r>
        <w:rPr>
          <w:color w:val="231F20"/>
        </w:rPr>
        <w:t>su </w:t>
      </w:r>
      <w:r>
        <w:rPr>
          <w:color w:val="231F20"/>
          <w:spacing w:val="3"/>
        </w:rPr>
        <w:t>propuesta, </w:t>
      </w:r>
      <w:r>
        <w:rPr>
          <w:color w:val="231F20"/>
          <w:spacing w:val="2"/>
        </w:rPr>
        <w:t>sino </w:t>
      </w:r>
      <w:r>
        <w:rPr>
          <w:color w:val="231F20"/>
        </w:rPr>
        <w:t>de </w:t>
      </w:r>
      <w:r>
        <w:rPr>
          <w:color w:val="231F20"/>
          <w:spacing w:val="2"/>
        </w:rPr>
        <w:t>acuerdo </w:t>
      </w:r>
      <w:r>
        <w:rPr>
          <w:color w:val="231F20"/>
        </w:rPr>
        <w:t>a </w:t>
      </w:r>
      <w:r>
        <w:rPr>
          <w:color w:val="231F20"/>
          <w:spacing w:val="2"/>
        </w:rPr>
        <w:t>nuestra investigación, </w:t>
      </w:r>
      <w:r>
        <w:rPr>
          <w:color w:val="231F20"/>
        </w:rPr>
        <w:t>no </w:t>
      </w:r>
      <w:r>
        <w:rPr>
          <w:color w:val="231F20"/>
          <w:spacing w:val="3"/>
        </w:rPr>
        <w:t>respondió </w:t>
      </w:r>
      <w:r>
        <w:rPr>
          <w:color w:val="231F20"/>
        </w:rPr>
        <w:t>a la </w:t>
      </w:r>
      <w:r>
        <w:rPr>
          <w:color w:val="231F20"/>
          <w:spacing w:val="2"/>
        </w:rPr>
        <w:t>invitación reali- zada, según </w:t>
      </w:r>
      <w:r>
        <w:rPr>
          <w:color w:val="231F20"/>
        </w:rPr>
        <w:t>el </w:t>
      </w:r>
      <w:r>
        <w:rPr>
          <w:color w:val="231F20"/>
          <w:spacing w:val="2"/>
        </w:rPr>
        <w:t>actual director </w:t>
      </w:r>
      <w:r>
        <w:rPr>
          <w:color w:val="231F20"/>
        </w:rPr>
        <w:t>de la </w:t>
      </w:r>
      <w:r>
        <w:rPr>
          <w:color w:val="231F20"/>
          <w:spacing w:val="2"/>
        </w:rPr>
        <w:t>unidad </w:t>
      </w:r>
      <w:r>
        <w:rPr>
          <w:color w:val="231F20"/>
        </w:rPr>
        <w:t>en la</w:t>
      </w:r>
      <w:r>
        <w:rPr>
          <w:color w:val="231F20"/>
          <w:spacing w:val="6"/>
        </w:rPr>
        <w:t> </w:t>
      </w:r>
      <w:r>
        <w:rPr>
          <w:color w:val="231F20"/>
          <w:spacing w:val="3"/>
        </w:rPr>
        <w:t>UABJO.</w:t>
      </w:r>
    </w:p>
    <w:p>
      <w:pPr>
        <w:pStyle w:val="BodyText"/>
        <w:spacing w:line="247" w:lineRule="auto" w:before="3"/>
        <w:ind w:left="112" w:right="115" w:firstLine="284"/>
        <w:jc w:val="both"/>
      </w:pPr>
      <w:r>
        <w:rPr>
          <w:color w:val="231F20"/>
        </w:rPr>
        <w:t>Es hasta la tercera convocatoria que la UABJO logra ingresar al programa en el año 2007, período del rector c.p.c. Francisco Mar- tínez Neri, quién inauguró las oficinas de la Unidad de Atención Académica a Estudiantes Indígenas. En ese entonces el rector señaló la necesidad de tomar conciencia de la gran responsabilidad que se tiene con los jóvenes indígenas oaxaqueños y manifestó lo siguiente: “Necesitamos apoyarlos para que concluyan su prepara- ción profesional y no regresen a sus comunidades con aspiraciones truncadas”.</w:t>
      </w:r>
    </w:p>
    <w:p>
      <w:pPr>
        <w:spacing w:after="0" w:line="247" w:lineRule="auto"/>
        <w:jc w:val="both"/>
        <w:sectPr>
          <w:headerReference w:type="default" r:id="rId719"/>
          <w:footerReference w:type="default" r:id="rId720"/>
          <w:pgSz w:w="7830" w:h="11910"/>
          <w:pgMar w:header="0" w:footer="424" w:top="500" w:bottom="620" w:left="880" w:right="900"/>
          <w:pgNumType w:start="323"/>
        </w:sectPr>
      </w:pPr>
    </w:p>
    <w:p>
      <w:pPr>
        <w:spacing w:before="46"/>
        <w:ind w:left="3" w:right="9"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0" w:firstLine="284"/>
        <w:jc w:val="both"/>
      </w:pPr>
      <w:r>
        <w:rPr>
          <w:color w:val="231F20"/>
        </w:rPr>
        <w:t>El </w:t>
      </w:r>
      <w:r>
        <w:rPr>
          <w:color w:val="231F20"/>
          <w:spacing w:val="2"/>
        </w:rPr>
        <w:t>área </w:t>
      </w:r>
      <w:r>
        <w:rPr>
          <w:color w:val="231F20"/>
        </w:rPr>
        <w:t>de </w:t>
      </w:r>
      <w:r>
        <w:rPr>
          <w:color w:val="231F20"/>
          <w:spacing w:val="2"/>
        </w:rPr>
        <w:t>Atención </w:t>
      </w:r>
      <w:r>
        <w:rPr>
          <w:color w:val="231F20"/>
        </w:rPr>
        <w:t>a </w:t>
      </w:r>
      <w:r>
        <w:rPr>
          <w:color w:val="231F20"/>
          <w:spacing w:val="2"/>
        </w:rPr>
        <w:t>Estudiantes Indígenas </w:t>
      </w:r>
      <w:r>
        <w:rPr>
          <w:color w:val="231F20"/>
        </w:rPr>
        <w:t>se </w:t>
      </w:r>
      <w:r>
        <w:rPr>
          <w:color w:val="231F20"/>
          <w:spacing w:val="2"/>
        </w:rPr>
        <w:t>ubicaba </w:t>
      </w:r>
      <w:r>
        <w:rPr>
          <w:color w:val="231F20"/>
        </w:rPr>
        <w:t>en ese </w:t>
      </w:r>
      <w:r>
        <w:rPr>
          <w:color w:val="231F20"/>
          <w:spacing w:val="3"/>
        </w:rPr>
        <w:t>entonces </w:t>
      </w:r>
      <w:r>
        <w:rPr>
          <w:color w:val="231F20"/>
        </w:rPr>
        <w:t>en las </w:t>
      </w:r>
      <w:r>
        <w:rPr>
          <w:color w:val="231F20"/>
          <w:spacing w:val="2"/>
        </w:rPr>
        <w:t>oficinas </w:t>
      </w:r>
      <w:r>
        <w:rPr>
          <w:color w:val="231F20"/>
        </w:rPr>
        <w:t>de la </w:t>
      </w:r>
      <w:r>
        <w:rPr>
          <w:color w:val="231F20"/>
          <w:spacing w:val="2"/>
        </w:rPr>
        <w:t>Secretaría </w:t>
      </w:r>
      <w:r>
        <w:rPr>
          <w:color w:val="231F20"/>
          <w:spacing w:val="3"/>
        </w:rPr>
        <w:t>Académica </w:t>
      </w:r>
      <w:r>
        <w:rPr>
          <w:color w:val="231F20"/>
        </w:rPr>
        <w:t>de la </w:t>
      </w:r>
      <w:r>
        <w:rPr>
          <w:color w:val="231F20"/>
          <w:spacing w:val="2"/>
        </w:rPr>
        <w:t>antigua rectoría. Fue puesta </w:t>
      </w:r>
      <w:r>
        <w:rPr>
          <w:color w:val="231F20"/>
        </w:rPr>
        <w:t>en </w:t>
      </w:r>
      <w:r>
        <w:rPr>
          <w:color w:val="231F20"/>
          <w:spacing w:val="3"/>
        </w:rPr>
        <w:t>funcionamiento </w:t>
      </w:r>
      <w:r>
        <w:rPr>
          <w:color w:val="231F20"/>
          <w:spacing w:val="2"/>
        </w:rPr>
        <w:t>luego </w:t>
      </w:r>
      <w:r>
        <w:rPr>
          <w:color w:val="231F20"/>
        </w:rPr>
        <w:t>de </w:t>
      </w:r>
      <w:r>
        <w:rPr>
          <w:color w:val="231F20"/>
          <w:spacing w:val="2"/>
        </w:rPr>
        <w:t>llevarse </w:t>
      </w:r>
      <w:r>
        <w:rPr>
          <w:color w:val="231F20"/>
        </w:rPr>
        <w:t>a </w:t>
      </w:r>
      <w:r>
        <w:rPr>
          <w:color w:val="231F20"/>
          <w:spacing w:val="2"/>
        </w:rPr>
        <w:t>cabo  una </w:t>
      </w:r>
      <w:r>
        <w:rPr>
          <w:color w:val="231F20"/>
          <w:spacing w:val="3"/>
        </w:rPr>
        <w:t>ceremonia </w:t>
      </w:r>
      <w:r>
        <w:rPr>
          <w:color w:val="231F20"/>
          <w:spacing w:val="2"/>
        </w:rPr>
        <w:t>llena </w:t>
      </w:r>
      <w:r>
        <w:rPr>
          <w:color w:val="231F20"/>
        </w:rPr>
        <w:t>de </w:t>
      </w:r>
      <w:r>
        <w:rPr>
          <w:color w:val="231F20"/>
          <w:spacing w:val="2"/>
        </w:rPr>
        <w:t>colorido, bailes regionales </w:t>
      </w:r>
      <w:r>
        <w:rPr>
          <w:color w:val="231F20"/>
        </w:rPr>
        <w:t>y </w:t>
      </w:r>
      <w:r>
        <w:rPr>
          <w:color w:val="231F20"/>
          <w:spacing w:val="3"/>
        </w:rPr>
        <w:t>gastronomía </w:t>
      </w:r>
      <w:r>
        <w:rPr>
          <w:color w:val="231F20"/>
          <w:spacing w:val="2"/>
        </w:rPr>
        <w:t>oaxaqueña. </w:t>
      </w:r>
      <w:r>
        <w:rPr>
          <w:color w:val="231F20"/>
        </w:rPr>
        <w:t>Al </w:t>
      </w:r>
      <w:r>
        <w:rPr>
          <w:color w:val="231F20"/>
          <w:spacing w:val="2"/>
        </w:rPr>
        <w:t>año </w:t>
      </w:r>
      <w:r>
        <w:rPr>
          <w:color w:val="231F20"/>
        </w:rPr>
        <w:t>de su </w:t>
      </w:r>
      <w:r>
        <w:rPr>
          <w:color w:val="231F20"/>
          <w:spacing w:val="3"/>
        </w:rPr>
        <w:t>funcionamiento, </w:t>
      </w:r>
      <w:r>
        <w:rPr>
          <w:color w:val="231F20"/>
        </w:rPr>
        <w:t>fue </w:t>
      </w:r>
      <w:r>
        <w:rPr>
          <w:color w:val="231F20"/>
          <w:spacing w:val="2"/>
        </w:rPr>
        <w:t>trasladada </w:t>
      </w:r>
      <w:r>
        <w:rPr>
          <w:color w:val="231F20"/>
        </w:rPr>
        <w:t>a la </w:t>
      </w:r>
      <w:r>
        <w:rPr>
          <w:color w:val="231F20"/>
          <w:spacing w:val="2"/>
        </w:rPr>
        <w:t>planta baja </w:t>
      </w:r>
      <w:r>
        <w:rPr>
          <w:color w:val="231F20"/>
        </w:rPr>
        <w:t>de la </w:t>
      </w:r>
      <w:r>
        <w:rPr>
          <w:color w:val="231F20"/>
          <w:spacing w:val="2"/>
        </w:rPr>
        <w:t>biblioteca “Benito Juárez” </w:t>
      </w:r>
      <w:r>
        <w:rPr>
          <w:color w:val="231F20"/>
        </w:rPr>
        <w:t>de </w:t>
      </w:r>
      <w:r>
        <w:rPr>
          <w:color w:val="231F20"/>
          <w:spacing w:val="2"/>
        </w:rPr>
        <w:t>Ciudad Universitaria (Fotografía </w:t>
      </w:r>
      <w:r>
        <w:rPr>
          <w:color w:val="231F20"/>
        </w:rPr>
        <w:t>1), en la </w:t>
      </w:r>
      <w:r>
        <w:rPr>
          <w:color w:val="231F20"/>
          <w:spacing w:val="2"/>
        </w:rPr>
        <w:t>cual </w:t>
      </w:r>
      <w:r>
        <w:rPr>
          <w:color w:val="231F20"/>
        </w:rPr>
        <w:t>se </w:t>
      </w:r>
      <w:r>
        <w:rPr>
          <w:color w:val="231F20"/>
          <w:spacing w:val="2"/>
        </w:rPr>
        <w:t>encuentra </w:t>
      </w:r>
      <w:r>
        <w:rPr>
          <w:color w:val="231F20"/>
          <w:spacing w:val="3"/>
        </w:rPr>
        <w:t>funcionando </w:t>
      </w:r>
      <w:r>
        <w:rPr>
          <w:color w:val="231F20"/>
          <w:spacing w:val="2"/>
        </w:rPr>
        <w:t>actualmente </w:t>
      </w:r>
      <w:r>
        <w:rPr>
          <w:color w:val="231F20"/>
        </w:rPr>
        <w:t>y </w:t>
      </w:r>
      <w:r>
        <w:rPr>
          <w:color w:val="231F20"/>
          <w:spacing w:val="2"/>
        </w:rPr>
        <w:t>cuenta con </w:t>
      </w:r>
      <w:r>
        <w:rPr>
          <w:color w:val="231F20"/>
          <w:spacing w:val="3"/>
        </w:rPr>
        <w:t>mayor </w:t>
      </w:r>
      <w:r>
        <w:rPr>
          <w:color w:val="231F20"/>
          <w:spacing w:val="2"/>
        </w:rPr>
        <w:t>espacio para </w:t>
      </w:r>
      <w:r>
        <w:rPr>
          <w:color w:val="231F20"/>
        </w:rPr>
        <w:t>el </w:t>
      </w:r>
      <w:r>
        <w:rPr>
          <w:color w:val="231F20"/>
          <w:spacing w:val="2"/>
        </w:rPr>
        <w:t>desarrollo </w:t>
      </w:r>
      <w:r>
        <w:rPr>
          <w:color w:val="231F20"/>
        </w:rPr>
        <w:t>de</w:t>
      </w:r>
      <w:r>
        <w:rPr>
          <w:color w:val="231F20"/>
          <w:spacing w:val="1"/>
        </w:rPr>
        <w:t> </w:t>
      </w:r>
      <w:r>
        <w:rPr>
          <w:color w:val="231F20"/>
          <w:spacing w:val="2"/>
        </w:rPr>
        <w:t>actividades.</w:t>
      </w:r>
    </w:p>
    <w:p>
      <w:pPr>
        <w:pStyle w:val="BodyText"/>
        <w:spacing w:before="8"/>
        <w:rPr>
          <w:sz w:val="32"/>
        </w:rPr>
      </w:pPr>
    </w:p>
    <w:p>
      <w:pPr>
        <w:spacing w:before="1"/>
        <w:ind w:left="1810" w:right="104" w:firstLine="0"/>
        <w:jc w:val="left"/>
        <w:rPr>
          <w:b/>
          <w:sz w:val="19"/>
        </w:rPr>
      </w:pPr>
      <w:r>
        <w:rPr>
          <w:b/>
          <w:color w:val="231F20"/>
          <w:sz w:val="19"/>
        </w:rPr>
        <w:t>Fotografía 1. Vista de la  Unidad</w:t>
      </w:r>
    </w:p>
    <w:p>
      <w:pPr>
        <w:pStyle w:val="BodyText"/>
        <w:spacing w:before="1"/>
        <w:rPr>
          <w:b/>
          <w:sz w:val="28"/>
        </w:rPr>
      </w:pPr>
      <w:r>
        <w:rPr/>
        <w:drawing>
          <wp:anchor distT="0" distB="0" distL="0" distR="0" allowOverlap="1" layoutInCell="1" locked="0" behindDoc="0" simplePos="0" relativeHeight="2800">
            <wp:simplePos x="0" y="0"/>
            <wp:positionH relativeFrom="page">
              <wp:posOffset>1156100</wp:posOffset>
            </wp:positionH>
            <wp:positionV relativeFrom="paragraph">
              <wp:posOffset>230132</wp:posOffset>
            </wp:positionV>
            <wp:extent cx="2683100" cy="2048256"/>
            <wp:effectExtent l="0" t="0" r="0" b="0"/>
            <wp:wrapTopAndBottom/>
            <wp:docPr id="53" name="image27.png" descr=""/>
            <wp:cNvGraphicFramePr>
              <a:graphicFrameLocks noChangeAspect="1"/>
            </wp:cNvGraphicFramePr>
            <a:graphic>
              <a:graphicData uri="http://schemas.openxmlformats.org/drawingml/2006/picture">
                <pic:pic>
                  <pic:nvPicPr>
                    <pic:cNvPr id="54" name="image27.png"/>
                    <pic:cNvPicPr/>
                  </pic:nvPicPr>
                  <pic:blipFill>
                    <a:blip r:embed="rId723" cstate="print"/>
                    <a:stretch>
                      <a:fillRect/>
                    </a:stretch>
                  </pic:blipFill>
                  <pic:spPr>
                    <a:xfrm>
                      <a:off x="0" y="0"/>
                      <a:ext cx="2683100" cy="2048256"/>
                    </a:xfrm>
                    <a:prstGeom prst="rect">
                      <a:avLst/>
                    </a:prstGeom>
                  </pic:spPr>
                </pic:pic>
              </a:graphicData>
            </a:graphic>
          </wp:anchor>
        </w:drawing>
      </w:r>
    </w:p>
    <w:p>
      <w:pPr>
        <w:spacing w:before="100"/>
        <w:ind w:left="1824" w:right="104" w:firstLine="0"/>
        <w:jc w:val="left"/>
        <w:rPr>
          <w:sz w:val="19"/>
        </w:rPr>
      </w:pPr>
      <w:r>
        <w:rPr>
          <w:color w:val="231F20"/>
          <w:sz w:val="19"/>
        </w:rPr>
        <w:t>Fotografía: Arturo Ruiz López</w:t>
      </w:r>
    </w:p>
    <w:p>
      <w:pPr>
        <w:pStyle w:val="BodyText"/>
        <w:spacing w:line="249" w:lineRule="auto" w:before="175"/>
        <w:ind w:left="102" w:right="107" w:firstLine="284"/>
        <w:jc w:val="both"/>
      </w:pPr>
      <w:r>
        <w:rPr>
          <w:color w:val="231F20"/>
          <w:spacing w:val="2"/>
        </w:rPr>
        <w:t>Cabe señalar que durante los </w:t>
      </w:r>
      <w:r>
        <w:rPr>
          <w:color w:val="231F20"/>
          <w:spacing w:val="3"/>
        </w:rPr>
        <w:t>primeros </w:t>
      </w:r>
      <w:r>
        <w:rPr>
          <w:color w:val="231F20"/>
          <w:spacing w:val="2"/>
        </w:rPr>
        <w:t>años </w:t>
      </w:r>
      <w:r>
        <w:rPr>
          <w:color w:val="231F20"/>
        </w:rPr>
        <w:t>de la </w:t>
      </w:r>
      <w:r>
        <w:rPr>
          <w:color w:val="231F20"/>
          <w:spacing w:val="2"/>
        </w:rPr>
        <w:t>unidad, </w:t>
      </w:r>
      <w:r>
        <w:rPr>
          <w:color w:val="231F20"/>
          <w:spacing w:val="3"/>
        </w:rPr>
        <w:t>se </w:t>
      </w:r>
      <w:r>
        <w:rPr>
          <w:color w:val="231F20"/>
          <w:spacing w:val="2"/>
        </w:rPr>
        <w:t>sentaron </w:t>
      </w:r>
      <w:r>
        <w:rPr>
          <w:color w:val="231F20"/>
        </w:rPr>
        <w:t>las </w:t>
      </w:r>
      <w:r>
        <w:rPr>
          <w:color w:val="231F20"/>
          <w:spacing w:val="2"/>
        </w:rPr>
        <w:t>bases para </w:t>
      </w:r>
      <w:r>
        <w:rPr>
          <w:color w:val="231F20"/>
        </w:rPr>
        <w:t>su </w:t>
      </w:r>
      <w:r>
        <w:rPr>
          <w:color w:val="231F20"/>
          <w:spacing w:val="2"/>
        </w:rPr>
        <w:t>impulso. Los objetivos </w:t>
      </w:r>
      <w:r>
        <w:rPr>
          <w:color w:val="231F20"/>
        </w:rPr>
        <w:t>que se </w:t>
      </w:r>
      <w:r>
        <w:rPr>
          <w:color w:val="231F20"/>
          <w:spacing w:val="3"/>
        </w:rPr>
        <w:t>trazaron </w:t>
      </w:r>
      <w:r>
        <w:rPr>
          <w:color w:val="231F20"/>
          <w:spacing w:val="2"/>
        </w:rPr>
        <w:t>fueron tres </w:t>
      </w:r>
      <w:r>
        <w:rPr>
          <w:color w:val="231F20"/>
          <w:spacing w:val="3"/>
        </w:rPr>
        <w:t>básicamente: </w:t>
      </w:r>
      <w:r>
        <w:rPr>
          <w:color w:val="231F20"/>
        </w:rPr>
        <w:t>a) </w:t>
      </w:r>
      <w:r>
        <w:rPr>
          <w:color w:val="231F20"/>
          <w:spacing w:val="3"/>
        </w:rPr>
        <w:t>incrementar </w:t>
      </w:r>
      <w:r>
        <w:rPr>
          <w:color w:val="231F20"/>
        </w:rPr>
        <w:t>el </w:t>
      </w:r>
      <w:r>
        <w:rPr>
          <w:color w:val="231F20"/>
          <w:spacing w:val="2"/>
        </w:rPr>
        <w:t>ingreso </w:t>
      </w:r>
      <w:r>
        <w:rPr>
          <w:color w:val="231F20"/>
        </w:rPr>
        <w:t>y la </w:t>
      </w:r>
      <w:r>
        <w:rPr>
          <w:color w:val="231F20"/>
          <w:spacing w:val="3"/>
        </w:rPr>
        <w:t>permanen- </w:t>
      </w:r>
      <w:r>
        <w:rPr>
          <w:color w:val="231F20"/>
        </w:rPr>
        <w:t>cia de la </w:t>
      </w:r>
      <w:r>
        <w:rPr>
          <w:color w:val="231F20"/>
          <w:spacing w:val="2"/>
        </w:rPr>
        <w:t>población indígena </w:t>
      </w:r>
      <w:r>
        <w:rPr>
          <w:color w:val="231F20"/>
        </w:rPr>
        <w:t>en la </w:t>
      </w:r>
      <w:r>
        <w:rPr>
          <w:color w:val="231F20"/>
          <w:spacing w:val="2"/>
        </w:rPr>
        <w:t>universidad; </w:t>
      </w:r>
      <w:r>
        <w:rPr>
          <w:color w:val="231F20"/>
        </w:rPr>
        <w:t>b) </w:t>
      </w:r>
      <w:r>
        <w:rPr>
          <w:color w:val="231F20"/>
          <w:spacing w:val="3"/>
        </w:rPr>
        <w:t>promover </w:t>
      </w:r>
      <w:r>
        <w:rPr>
          <w:color w:val="231F20"/>
        </w:rPr>
        <w:t>la </w:t>
      </w:r>
      <w:r>
        <w:rPr>
          <w:color w:val="231F20"/>
          <w:spacing w:val="2"/>
        </w:rPr>
        <w:t>interculturalidad, </w:t>
      </w:r>
      <w:r>
        <w:rPr>
          <w:color w:val="231F20"/>
        </w:rPr>
        <w:t>y c) </w:t>
      </w:r>
      <w:r>
        <w:rPr>
          <w:color w:val="231F20"/>
          <w:spacing w:val="2"/>
        </w:rPr>
        <w:t>desarrollar </w:t>
      </w:r>
      <w:r>
        <w:rPr>
          <w:color w:val="231F20"/>
          <w:spacing w:val="3"/>
        </w:rPr>
        <w:t>programas </w:t>
      </w:r>
      <w:r>
        <w:rPr>
          <w:color w:val="231F20"/>
        </w:rPr>
        <w:t>de </w:t>
      </w:r>
      <w:r>
        <w:rPr>
          <w:color w:val="231F20"/>
          <w:spacing w:val="2"/>
        </w:rPr>
        <w:t>tutorías para los estudiantes. Respecto </w:t>
      </w:r>
      <w:r>
        <w:rPr>
          <w:color w:val="231F20"/>
        </w:rPr>
        <w:t>a </w:t>
      </w:r>
      <w:r>
        <w:rPr>
          <w:color w:val="231F20"/>
          <w:spacing w:val="2"/>
        </w:rPr>
        <w:t>los dos </w:t>
      </w:r>
      <w:r>
        <w:rPr>
          <w:color w:val="231F20"/>
          <w:spacing w:val="3"/>
        </w:rPr>
        <w:t>primeros </w:t>
      </w:r>
      <w:r>
        <w:rPr>
          <w:color w:val="231F20"/>
          <w:spacing w:val="2"/>
        </w:rPr>
        <w:t>objetivos, </w:t>
      </w:r>
      <w:r>
        <w:rPr>
          <w:color w:val="231F20"/>
        </w:rPr>
        <w:t>se </w:t>
      </w:r>
      <w:r>
        <w:rPr>
          <w:color w:val="231F20"/>
          <w:spacing w:val="2"/>
        </w:rPr>
        <w:t>puede decir </w:t>
      </w:r>
      <w:r>
        <w:rPr>
          <w:color w:val="231F20"/>
        </w:rPr>
        <w:t>que se </w:t>
      </w:r>
      <w:r>
        <w:rPr>
          <w:color w:val="231F20"/>
          <w:spacing w:val="2"/>
        </w:rPr>
        <w:t>cubrieron </w:t>
      </w:r>
      <w:r>
        <w:rPr>
          <w:color w:val="231F20"/>
        </w:rPr>
        <w:t>al cien </w:t>
      </w:r>
      <w:r>
        <w:rPr>
          <w:color w:val="231F20"/>
          <w:spacing w:val="2"/>
        </w:rPr>
        <w:t>por ciento </w:t>
      </w:r>
      <w:r>
        <w:rPr>
          <w:color w:val="231F20"/>
        </w:rPr>
        <w:t>en sus </w:t>
      </w:r>
      <w:r>
        <w:rPr>
          <w:color w:val="231F20"/>
          <w:spacing w:val="3"/>
        </w:rPr>
        <w:t>primeros </w:t>
      </w:r>
      <w:r>
        <w:rPr>
          <w:color w:val="231F20"/>
          <w:spacing w:val="2"/>
        </w:rPr>
        <w:t>años. </w:t>
      </w:r>
      <w:r>
        <w:rPr>
          <w:color w:val="231F20"/>
        </w:rPr>
        <w:t>Se </w:t>
      </w:r>
      <w:r>
        <w:rPr>
          <w:color w:val="231F20"/>
          <w:spacing w:val="2"/>
        </w:rPr>
        <w:t>reali- zaron cada </w:t>
      </w:r>
      <w:r>
        <w:rPr>
          <w:color w:val="231F20"/>
        </w:rPr>
        <w:t>fin de </w:t>
      </w:r>
      <w:r>
        <w:rPr>
          <w:color w:val="231F20"/>
          <w:spacing w:val="2"/>
        </w:rPr>
        <w:t>mes </w:t>
      </w:r>
      <w:r>
        <w:rPr>
          <w:color w:val="231F20"/>
          <w:spacing w:val="3"/>
        </w:rPr>
        <w:t>exposiciones </w:t>
      </w:r>
      <w:r>
        <w:rPr>
          <w:color w:val="231F20"/>
          <w:spacing w:val="2"/>
        </w:rPr>
        <w:t>culturales, </w:t>
      </w:r>
      <w:r>
        <w:rPr>
          <w:color w:val="231F20"/>
        </w:rPr>
        <w:t>en las </w:t>
      </w:r>
      <w:r>
        <w:rPr>
          <w:color w:val="231F20"/>
          <w:spacing w:val="2"/>
        </w:rPr>
        <w:t>cuales cada cultura </w:t>
      </w:r>
      <w:r>
        <w:rPr>
          <w:color w:val="231F20"/>
          <w:spacing w:val="3"/>
        </w:rPr>
        <w:t>presentaba </w:t>
      </w:r>
      <w:r>
        <w:rPr>
          <w:color w:val="231F20"/>
          <w:spacing w:val="2"/>
        </w:rPr>
        <w:t>sus </w:t>
      </w:r>
      <w:r>
        <w:rPr>
          <w:color w:val="231F20"/>
          <w:spacing w:val="3"/>
        </w:rPr>
        <w:t>aportaciones gastronómicas </w:t>
      </w:r>
      <w:r>
        <w:rPr>
          <w:color w:val="231F20"/>
        </w:rPr>
        <w:t>y su </w:t>
      </w:r>
      <w:r>
        <w:rPr>
          <w:color w:val="231F20"/>
          <w:spacing w:val="3"/>
        </w:rPr>
        <w:t>indumen- </w:t>
      </w:r>
      <w:r>
        <w:rPr>
          <w:color w:val="231F20"/>
          <w:spacing w:val="2"/>
        </w:rPr>
        <w:t>taria </w:t>
      </w:r>
      <w:r>
        <w:rPr>
          <w:color w:val="231F20"/>
          <w:spacing w:val="3"/>
        </w:rPr>
        <w:t>principalmente, </w:t>
      </w:r>
      <w:r>
        <w:rPr>
          <w:color w:val="231F20"/>
        </w:rPr>
        <w:t>lo </w:t>
      </w:r>
      <w:r>
        <w:rPr>
          <w:color w:val="231F20"/>
          <w:spacing w:val="2"/>
        </w:rPr>
        <w:t>cual permitía </w:t>
      </w:r>
      <w:r>
        <w:rPr>
          <w:color w:val="231F20"/>
        </w:rPr>
        <w:t>la </w:t>
      </w:r>
      <w:r>
        <w:rPr>
          <w:color w:val="231F20"/>
          <w:spacing w:val="3"/>
        </w:rPr>
        <w:t>convivencia </w:t>
      </w:r>
      <w:r>
        <w:rPr>
          <w:color w:val="231F20"/>
          <w:spacing w:val="2"/>
        </w:rPr>
        <w:t>entre los </w:t>
      </w:r>
      <w:r>
        <w:rPr>
          <w:color w:val="231F20"/>
          <w:spacing w:val="3"/>
        </w:rPr>
        <w:t>jó- </w:t>
      </w:r>
      <w:r>
        <w:rPr>
          <w:color w:val="231F20"/>
          <w:spacing w:val="2"/>
        </w:rPr>
        <w:t>venes </w:t>
      </w:r>
      <w:r>
        <w:rPr>
          <w:color w:val="231F20"/>
        </w:rPr>
        <w:t>de </w:t>
      </w:r>
      <w:r>
        <w:rPr>
          <w:color w:val="231F20"/>
          <w:spacing w:val="2"/>
        </w:rPr>
        <w:t>diferentes culturas </w:t>
      </w:r>
      <w:r>
        <w:rPr>
          <w:color w:val="231F20"/>
        </w:rPr>
        <w:t>que </w:t>
      </w:r>
      <w:r>
        <w:rPr>
          <w:color w:val="231F20"/>
          <w:spacing w:val="2"/>
        </w:rPr>
        <w:t>interactuaban </w:t>
      </w:r>
      <w:r>
        <w:rPr>
          <w:color w:val="231F20"/>
        </w:rPr>
        <w:t>en </w:t>
      </w:r>
      <w:r>
        <w:rPr>
          <w:color w:val="231F20"/>
          <w:spacing w:val="2"/>
        </w:rPr>
        <w:t>esos espacios. </w:t>
      </w:r>
      <w:r>
        <w:rPr>
          <w:color w:val="231F20"/>
          <w:spacing w:val="3"/>
        </w:rPr>
        <w:t>Asimismo, </w:t>
      </w:r>
      <w:r>
        <w:rPr>
          <w:color w:val="231F20"/>
        </w:rPr>
        <w:t>el </w:t>
      </w:r>
      <w:r>
        <w:rPr>
          <w:color w:val="231F20"/>
          <w:spacing w:val="2"/>
        </w:rPr>
        <w:t>hecho </w:t>
      </w:r>
      <w:r>
        <w:rPr>
          <w:color w:val="231F20"/>
        </w:rPr>
        <w:t>de </w:t>
      </w:r>
      <w:r>
        <w:rPr>
          <w:color w:val="231F20"/>
          <w:spacing w:val="2"/>
        </w:rPr>
        <w:t>que gran parte </w:t>
      </w:r>
      <w:r>
        <w:rPr>
          <w:color w:val="231F20"/>
        </w:rPr>
        <w:t>de </w:t>
      </w:r>
      <w:r>
        <w:rPr>
          <w:color w:val="231F20"/>
          <w:spacing w:val="2"/>
        </w:rPr>
        <w:t>los estudiantes </w:t>
      </w:r>
      <w:r>
        <w:rPr>
          <w:color w:val="231F20"/>
        </w:rPr>
        <w:t>se </w:t>
      </w:r>
      <w:r>
        <w:rPr>
          <w:color w:val="231F20"/>
          <w:spacing w:val="52"/>
        </w:rPr>
        <w:t> </w:t>
      </w:r>
      <w:r>
        <w:rPr>
          <w:color w:val="231F20"/>
          <w:spacing w:val="3"/>
        </w:rPr>
        <w:t>encon-</w:t>
      </w:r>
    </w:p>
    <w:p>
      <w:pPr>
        <w:spacing w:after="0" w:line="249" w:lineRule="auto"/>
        <w:jc w:val="both"/>
        <w:sectPr>
          <w:headerReference w:type="default" r:id="rId721"/>
          <w:footerReference w:type="default" r:id="rId722"/>
          <w:pgSz w:w="7830" w:h="11910"/>
          <w:pgMar w:header="0" w:footer="424" w:top="500" w:bottom="620" w:left="920" w:right="880"/>
          <w:pgNumType w:start="324"/>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13" w:right="550"/>
      </w:pPr>
      <w:r>
        <w:rPr>
          <w:color w:val="231F20"/>
        </w:rPr>
        <w:t>traran en la casa del estudiante, permitía crear un colectivo más sólido y evitar la deserción escolar.</w:t>
      </w:r>
    </w:p>
    <w:p>
      <w:pPr>
        <w:pStyle w:val="BodyText"/>
        <w:spacing w:line="249" w:lineRule="auto" w:before="1"/>
        <w:ind w:left="113" w:right="115" w:firstLine="284"/>
        <w:jc w:val="both"/>
      </w:pPr>
      <w:r>
        <w:rPr>
          <w:color w:val="231F20"/>
        </w:rPr>
        <w:t>Respecto al tercer objetivo, que consistía en las tutorías se pre- sentó un problema, mismo que continúa siendo su talón de Aqui- les, porque no se ha podido dar un seguimiento efectivo a los estudiantes. Sin embargo, la unidad ha implementado estrategias como son los cursos preventivos, correctivos y extracurriculares que tienen como objetivo ayudar a los educandos con las asignatu- ras que más se les dificultan. En este semestre, septiembre 2011- febrero 2012, se solicitaron 12 cursos por parte de los estudiantes, dentro de los cuales se destacan inglés para principiantes, interme- dios y avanzados; cursos de algunos programas computacionales que más se les dificultan, según las carreras que cursan, y anatomía dental, entre otros que se están desarrollando. Solo hubo un curso que se canceló por no responder a las expectativas de los estudian- tes, este fue el de docencia en enfermería, ya que los jóvenes pen- saron que era para aprender a inyectar, y realizar algunas prácticas relacionadas con la licenciatura y no era ese el enfoque.</w:t>
      </w:r>
    </w:p>
    <w:p>
      <w:pPr>
        <w:pStyle w:val="BodyText"/>
        <w:spacing w:line="247" w:lineRule="auto"/>
        <w:ind w:left="113" w:right="116" w:firstLine="284"/>
        <w:jc w:val="both"/>
      </w:pPr>
      <w:r>
        <w:rPr>
          <w:color w:val="231F20"/>
        </w:rPr>
        <w:t>La </w:t>
      </w:r>
      <w:r>
        <w:rPr>
          <w:color w:val="231F20"/>
          <w:spacing w:val="2"/>
        </w:rPr>
        <w:t>unidad </w:t>
      </w:r>
      <w:r>
        <w:rPr>
          <w:color w:val="231F20"/>
        </w:rPr>
        <w:t>en su </w:t>
      </w:r>
      <w:r>
        <w:rPr>
          <w:color w:val="231F20"/>
          <w:spacing w:val="2"/>
        </w:rPr>
        <w:t>periodo </w:t>
      </w:r>
      <w:r>
        <w:rPr>
          <w:color w:val="231F20"/>
        </w:rPr>
        <w:t>de </w:t>
      </w:r>
      <w:r>
        <w:rPr>
          <w:color w:val="231F20"/>
          <w:spacing w:val="2"/>
        </w:rPr>
        <w:t>existencia </w:t>
      </w:r>
      <w:r>
        <w:rPr>
          <w:color w:val="231F20"/>
        </w:rPr>
        <w:t>ha </w:t>
      </w:r>
      <w:r>
        <w:rPr>
          <w:color w:val="231F20"/>
          <w:spacing w:val="2"/>
        </w:rPr>
        <w:t>tenido dos directores:  </w:t>
      </w:r>
      <w:r>
        <w:rPr>
          <w:color w:val="231F20"/>
        </w:rPr>
        <w:t>la </w:t>
      </w:r>
      <w:r>
        <w:rPr>
          <w:color w:val="231F20"/>
          <w:spacing w:val="2"/>
        </w:rPr>
        <w:t>primera </w:t>
      </w:r>
      <w:r>
        <w:rPr>
          <w:color w:val="231F20"/>
        </w:rPr>
        <w:t>fue la </w:t>
      </w:r>
      <w:r>
        <w:rPr>
          <w:color w:val="231F20"/>
          <w:spacing w:val="2"/>
        </w:rPr>
        <w:t>Dra. Hía Márquez </w:t>
      </w:r>
      <w:r>
        <w:rPr>
          <w:color w:val="231F20"/>
          <w:spacing w:val="3"/>
        </w:rPr>
        <w:t>Coronado, </w:t>
      </w:r>
      <w:r>
        <w:rPr>
          <w:color w:val="231F20"/>
          <w:spacing w:val="2"/>
        </w:rPr>
        <w:t>quien impulsó </w:t>
      </w:r>
      <w:r>
        <w:rPr>
          <w:color w:val="231F20"/>
        </w:rPr>
        <w:t>las </w:t>
      </w:r>
      <w:r>
        <w:rPr>
          <w:color w:val="231F20"/>
          <w:spacing w:val="2"/>
        </w:rPr>
        <w:t>actividades culturales </w:t>
      </w:r>
      <w:r>
        <w:rPr>
          <w:color w:val="231F20"/>
        </w:rPr>
        <w:t>de </w:t>
      </w:r>
      <w:r>
        <w:rPr>
          <w:color w:val="231F20"/>
          <w:spacing w:val="2"/>
        </w:rPr>
        <w:t>cada mes </w:t>
      </w:r>
      <w:r>
        <w:rPr>
          <w:color w:val="231F20"/>
        </w:rPr>
        <w:t>y </w:t>
      </w:r>
      <w:r>
        <w:rPr>
          <w:color w:val="231F20"/>
          <w:spacing w:val="2"/>
        </w:rPr>
        <w:t>coadyuvó </w:t>
      </w:r>
      <w:r>
        <w:rPr>
          <w:color w:val="231F20"/>
        </w:rPr>
        <w:t>a </w:t>
      </w:r>
      <w:r>
        <w:rPr>
          <w:color w:val="231F20"/>
          <w:spacing w:val="2"/>
        </w:rPr>
        <w:t>relacionar </w:t>
      </w:r>
      <w:r>
        <w:rPr>
          <w:color w:val="231F20"/>
          <w:spacing w:val="3"/>
        </w:rPr>
        <w:t>alum- </w:t>
      </w:r>
      <w:r>
        <w:rPr>
          <w:color w:val="231F20"/>
          <w:spacing w:val="2"/>
        </w:rPr>
        <w:t>nos </w:t>
      </w:r>
      <w:r>
        <w:rPr>
          <w:color w:val="231F20"/>
        </w:rPr>
        <w:t>de </w:t>
      </w:r>
      <w:r>
        <w:rPr>
          <w:color w:val="231F20"/>
          <w:spacing w:val="2"/>
        </w:rPr>
        <w:t>diferentes licenciaturas; </w:t>
      </w:r>
      <w:r>
        <w:rPr>
          <w:color w:val="231F20"/>
        </w:rPr>
        <w:t>el </w:t>
      </w:r>
      <w:r>
        <w:rPr>
          <w:color w:val="231F20"/>
          <w:spacing w:val="2"/>
        </w:rPr>
        <w:t>segundo director </w:t>
      </w:r>
      <w:r>
        <w:rPr>
          <w:color w:val="231F20"/>
        </w:rPr>
        <w:t>fue el </w:t>
      </w:r>
      <w:r>
        <w:rPr>
          <w:color w:val="231F20"/>
          <w:spacing w:val="2"/>
        </w:rPr>
        <w:t>Lic. Abel Luna, quien </w:t>
      </w:r>
      <w:r>
        <w:rPr>
          <w:color w:val="231F20"/>
        </w:rPr>
        <w:t>fue </w:t>
      </w:r>
      <w:r>
        <w:rPr>
          <w:color w:val="231F20"/>
          <w:spacing w:val="2"/>
        </w:rPr>
        <w:t>alumno </w:t>
      </w:r>
      <w:r>
        <w:rPr>
          <w:color w:val="231F20"/>
        </w:rPr>
        <w:t>de la </w:t>
      </w:r>
      <w:r>
        <w:rPr>
          <w:color w:val="231F20"/>
          <w:spacing w:val="2"/>
        </w:rPr>
        <w:t>universidad </w:t>
      </w:r>
      <w:r>
        <w:rPr>
          <w:color w:val="231F20"/>
        </w:rPr>
        <w:t>y </w:t>
      </w:r>
      <w:r>
        <w:rPr>
          <w:color w:val="231F20"/>
          <w:spacing w:val="2"/>
        </w:rPr>
        <w:t>estuvo viviendo </w:t>
      </w:r>
      <w:r>
        <w:rPr>
          <w:color w:val="231F20"/>
        </w:rPr>
        <w:t>en la </w:t>
      </w:r>
      <w:r>
        <w:rPr>
          <w:color w:val="231F20"/>
          <w:spacing w:val="2"/>
        </w:rPr>
        <w:t>Casa del Estudiante </w:t>
      </w:r>
      <w:r>
        <w:rPr>
          <w:color w:val="231F20"/>
        </w:rPr>
        <w:t>en  el </w:t>
      </w:r>
      <w:r>
        <w:rPr>
          <w:color w:val="231F20"/>
          <w:spacing w:val="2"/>
        </w:rPr>
        <w:t>periodo </w:t>
      </w:r>
      <w:r>
        <w:rPr>
          <w:color w:val="231F20"/>
        </w:rPr>
        <w:t>de la </w:t>
      </w:r>
      <w:r>
        <w:rPr>
          <w:color w:val="231F20"/>
          <w:spacing w:val="2"/>
        </w:rPr>
        <w:t>pasada administración </w:t>
      </w:r>
      <w:r>
        <w:rPr>
          <w:color w:val="231F20"/>
          <w:spacing w:val="4"/>
        </w:rPr>
        <w:t>de   </w:t>
      </w:r>
      <w:r>
        <w:rPr>
          <w:color w:val="231F20"/>
        </w:rPr>
        <w:t>la </w:t>
      </w:r>
      <w:r>
        <w:rPr>
          <w:color w:val="231F20"/>
          <w:spacing w:val="2"/>
        </w:rPr>
        <w:t>unidad. </w:t>
      </w:r>
      <w:r>
        <w:rPr>
          <w:color w:val="231F20"/>
        </w:rPr>
        <w:t>Su </w:t>
      </w:r>
      <w:r>
        <w:rPr>
          <w:color w:val="231F20"/>
          <w:spacing w:val="2"/>
        </w:rPr>
        <w:t>administración </w:t>
      </w:r>
      <w:r>
        <w:rPr>
          <w:color w:val="231F20"/>
          <w:spacing w:val="3"/>
        </w:rPr>
        <w:t>comienza </w:t>
      </w:r>
      <w:r>
        <w:rPr>
          <w:color w:val="231F20"/>
        </w:rPr>
        <w:t>en el </w:t>
      </w:r>
      <w:r>
        <w:rPr>
          <w:color w:val="231F20"/>
          <w:spacing w:val="2"/>
        </w:rPr>
        <w:t>año 2008. </w:t>
      </w:r>
      <w:r>
        <w:rPr>
          <w:color w:val="231F20"/>
        </w:rPr>
        <w:t>Él  </w:t>
      </w:r>
      <w:r>
        <w:rPr>
          <w:color w:val="231F20"/>
          <w:spacing w:val="2"/>
        </w:rPr>
        <w:t>señala </w:t>
      </w:r>
      <w:r>
        <w:rPr>
          <w:color w:val="231F20"/>
        </w:rPr>
        <w:t>que se </w:t>
      </w:r>
      <w:r>
        <w:rPr>
          <w:color w:val="231F20"/>
          <w:spacing w:val="3"/>
        </w:rPr>
        <w:t>encontraban </w:t>
      </w:r>
      <w:r>
        <w:rPr>
          <w:color w:val="231F20"/>
          <w:spacing w:val="2"/>
        </w:rPr>
        <w:t>inscritos </w:t>
      </w:r>
      <w:r>
        <w:rPr>
          <w:color w:val="231F20"/>
        </w:rPr>
        <w:t>60 </w:t>
      </w:r>
      <w:r>
        <w:rPr>
          <w:color w:val="231F20"/>
          <w:spacing w:val="2"/>
        </w:rPr>
        <w:t>estudiantes cuando ingresó </w:t>
      </w:r>
      <w:r>
        <w:rPr>
          <w:color w:val="231F20"/>
        </w:rPr>
        <w:t>a la </w:t>
      </w:r>
      <w:r>
        <w:rPr>
          <w:color w:val="231F20"/>
          <w:spacing w:val="2"/>
        </w:rPr>
        <w:t>unidad, aunque </w:t>
      </w:r>
      <w:r>
        <w:rPr>
          <w:color w:val="231F20"/>
        </w:rPr>
        <w:t>en la </w:t>
      </w:r>
      <w:r>
        <w:rPr>
          <w:color w:val="231F20"/>
          <w:spacing w:val="2"/>
        </w:rPr>
        <w:t>universidad </w:t>
      </w:r>
      <w:r>
        <w:rPr>
          <w:color w:val="231F20"/>
        </w:rPr>
        <w:t>el </w:t>
      </w:r>
      <w:r>
        <w:rPr>
          <w:color w:val="231F20"/>
          <w:spacing w:val="3"/>
        </w:rPr>
        <w:t>número </w:t>
      </w:r>
      <w:r>
        <w:rPr>
          <w:color w:val="231F20"/>
        </w:rPr>
        <w:t>de </w:t>
      </w:r>
      <w:r>
        <w:rPr>
          <w:color w:val="231F20"/>
          <w:spacing w:val="2"/>
        </w:rPr>
        <w:t>estudiantes indíge- nas </w:t>
      </w:r>
      <w:r>
        <w:rPr>
          <w:color w:val="231F20"/>
        </w:rPr>
        <w:t>era</w:t>
      </w:r>
      <w:r>
        <w:rPr>
          <w:color w:val="231F20"/>
          <w:spacing w:val="-5"/>
        </w:rPr>
        <w:t> </w:t>
      </w:r>
      <w:r>
        <w:rPr>
          <w:color w:val="231F20"/>
          <w:spacing w:val="3"/>
        </w:rPr>
        <w:t>mayor.</w:t>
      </w:r>
    </w:p>
    <w:p>
      <w:pPr>
        <w:pStyle w:val="BodyText"/>
        <w:spacing w:line="249" w:lineRule="auto" w:before="1"/>
        <w:ind w:left="113" w:right="115" w:firstLine="284"/>
        <w:jc w:val="both"/>
      </w:pPr>
      <w:r>
        <w:rPr>
          <w:color w:val="231F20"/>
        </w:rPr>
        <w:t>Al </w:t>
      </w:r>
      <w:r>
        <w:rPr>
          <w:color w:val="231F20"/>
          <w:spacing w:val="2"/>
        </w:rPr>
        <w:t>semestre </w:t>
      </w:r>
      <w:r>
        <w:rPr>
          <w:color w:val="231F20"/>
          <w:spacing w:val="3"/>
        </w:rPr>
        <w:t>febrero-agosto </w:t>
      </w:r>
      <w:r>
        <w:rPr>
          <w:color w:val="231F20"/>
          <w:spacing w:val="2"/>
        </w:rPr>
        <w:t>del 2011, </w:t>
      </w:r>
      <w:r>
        <w:rPr>
          <w:color w:val="231F20"/>
        </w:rPr>
        <w:t>la </w:t>
      </w:r>
      <w:r>
        <w:rPr>
          <w:color w:val="231F20"/>
          <w:spacing w:val="2"/>
        </w:rPr>
        <w:t>matrícula </w:t>
      </w:r>
      <w:r>
        <w:rPr>
          <w:color w:val="231F20"/>
        </w:rPr>
        <w:t>de </w:t>
      </w:r>
      <w:r>
        <w:rPr>
          <w:color w:val="231F20"/>
          <w:spacing w:val="2"/>
        </w:rPr>
        <w:t>población indígena </w:t>
      </w:r>
      <w:r>
        <w:rPr>
          <w:color w:val="231F20"/>
        </w:rPr>
        <w:t>en la </w:t>
      </w:r>
      <w:r>
        <w:rPr>
          <w:color w:val="231F20"/>
          <w:spacing w:val="3"/>
        </w:rPr>
        <w:t>UABJO </w:t>
      </w:r>
      <w:r>
        <w:rPr>
          <w:color w:val="231F20"/>
          <w:spacing w:val="2"/>
        </w:rPr>
        <w:t>por género </w:t>
      </w:r>
      <w:r>
        <w:rPr>
          <w:color w:val="231F20"/>
        </w:rPr>
        <w:t>se </w:t>
      </w:r>
      <w:r>
        <w:rPr>
          <w:color w:val="231F20"/>
          <w:spacing w:val="3"/>
        </w:rPr>
        <w:t>encontraba compuesta </w:t>
      </w:r>
      <w:r>
        <w:rPr>
          <w:color w:val="231F20"/>
          <w:spacing w:val="4"/>
        </w:rPr>
        <w:t>por </w:t>
      </w:r>
      <w:r>
        <w:rPr>
          <w:color w:val="231F20"/>
          <w:spacing w:val="3"/>
        </w:rPr>
        <w:t>1055 hombres </w:t>
      </w:r>
      <w:r>
        <w:rPr>
          <w:color w:val="231F20"/>
        </w:rPr>
        <w:t>y </w:t>
      </w:r>
      <w:r>
        <w:rPr>
          <w:color w:val="231F20"/>
          <w:spacing w:val="3"/>
        </w:rPr>
        <w:t>1069 </w:t>
      </w:r>
      <w:r>
        <w:rPr>
          <w:color w:val="231F20"/>
          <w:spacing w:val="2"/>
        </w:rPr>
        <w:t>mujeres, con </w:t>
      </w:r>
      <w:r>
        <w:rPr>
          <w:color w:val="231F20"/>
        </w:rPr>
        <w:t>un </w:t>
      </w:r>
      <w:r>
        <w:rPr>
          <w:color w:val="231F20"/>
          <w:spacing w:val="2"/>
        </w:rPr>
        <w:t>total </w:t>
      </w:r>
      <w:r>
        <w:rPr>
          <w:color w:val="231F20"/>
        </w:rPr>
        <w:t>de </w:t>
      </w:r>
      <w:r>
        <w:rPr>
          <w:color w:val="231F20"/>
          <w:spacing w:val="3"/>
        </w:rPr>
        <w:t>2124 alumnos </w:t>
      </w:r>
      <w:r>
        <w:rPr>
          <w:color w:val="231F20"/>
          <w:spacing w:val="2"/>
        </w:rPr>
        <w:t>ins- critos, según </w:t>
      </w:r>
      <w:r>
        <w:rPr>
          <w:color w:val="231F20"/>
        </w:rPr>
        <w:t>el </w:t>
      </w:r>
      <w:r>
        <w:rPr>
          <w:color w:val="231F20"/>
          <w:spacing w:val="2"/>
        </w:rPr>
        <w:t>área </w:t>
      </w:r>
      <w:r>
        <w:rPr>
          <w:color w:val="231F20"/>
        </w:rPr>
        <w:t>de </w:t>
      </w:r>
      <w:r>
        <w:rPr>
          <w:color w:val="231F20"/>
          <w:spacing w:val="2"/>
        </w:rPr>
        <w:t>transparencia. Mientras </w:t>
      </w:r>
      <w:r>
        <w:rPr>
          <w:color w:val="231F20"/>
        </w:rPr>
        <w:t>que la </w:t>
      </w:r>
      <w:r>
        <w:rPr>
          <w:color w:val="231F20"/>
          <w:spacing w:val="2"/>
        </w:rPr>
        <w:t>Unidad </w:t>
      </w:r>
      <w:r>
        <w:rPr>
          <w:color w:val="231F20"/>
        </w:rPr>
        <w:t>de </w:t>
      </w:r>
      <w:r>
        <w:rPr>
          <w:color w:val="231F20"/>
          <w:spacing w:val="2"/>
        </w:rPr>
        <w:t>Atención </w:t>
      </w:r>
      <w:r>
        <w:rPr>
          <w:color w:val="231F20"/>
        </w:rPr>
        <w:t>a </w:t>
      </w:r>
      <w:r>
        <w:rPr>
          <w:color w:val="231F20"/>
          <w:spacing w:val="2"/>
        </w:rPr>
        <w:t>Estudiantes Indígenas tenía registrada una población    </w:t>
      </w:r>
      <w:r>
        <w:rPr>
          <w:color w:val="231F20"/>
        </w:rPr>
        <w:t>de 223 </w:t>
      </w:r>
      <w:r>
        <w:rPr>
          <w:color w:val="231F20"/>
          <w:spacing w:val="3"/>
        </w:rPr>
        <w:t>hombres </w:t>
      </w:r>
      <w:r>
        <w:rPr>
          <w:color w:val="231F20"/>
        </w:rPr>
        <w:t>y 293 </w:t>
      </w:r>
      <w:r>
        <w:rPr>
          <w:color w:val="231F20"/>
          <w:spacing w:val="2"/>
        </w:rPr>
        <w:t>mujeres, los cuales hacen </w:t>
      </w:r>
      <w:r>
        <w:rPr>
          <w:color w:val="231F20"/>
        </w:rPr>
        <w:t>un </w:t>
      </w:r>
      <w:r>
        <w:rPr>
          <w:color w:val="231F20"/>
          <w:spacing w:val="2"/>
        </w:rPr>
        <w:t>total </w:t>
      </w:r>
      <w:r>
        <w:rPr>
          <w:color w:val="231F20"/>
        </w:rPr>
        <w:t>de 516 </w:t>
      </w:r>
      <w:r>
        <w:rPr>
          <w:color w:val="231F20"/>
          <w:spacing w:val="3"/>
        </w:rPr>
        <w:t>alumnos atendidos. </w:t>
      </w:r>
      <w:r>
        <w:rPr>
          <w:color w:val="231F20"/>
        </w:rPr>
        <w:t>La </w:t>
      </w:r>
      <w:r>
        <w:rPr>
          <w:color w:val="231F20"/>
          <w:spacing w:val="2"/>
        </w:rPr>
        <w:t>unidad atiende </w:t>
      </w:r>
      <w:r>
        <w:rPr>
          <w:color w:val="231F20"/>
          <w:spacing w:val="3"/>
        </w:rPr>
        <w:t>solamente </w:t>
      </w:r>
      <w:r>
        <w:rPr>
          <w:color w:val="231F20"/>
        </w:rPr>
        <w:t>al </w:t>
      </w:r>
      <w:r>
        <w:rPr>
          <w:color w:val="231F20"/>
          <w:spacing w:val="2"/>
        </w:rPr>
        <w:t>24.29 </w:t>
      </w:r>
      <w:r>
        <w:rPr>
          <w:color w:val="231F20"/>
        </w:rPr>
        <w:t>% de la </w:t>
      </w:r>
      <w:r>
        <w:rPr>
          <w:color w:val="231F20"/>
          <w:spacing w:val="2"/>
        </w:rPr>
        <w:t>población estudiantil indígena </w:t>
      </w:r>
      <w:r>
        <w:rPr>
          <w:color w:val="231F20"/>
        </w:rPr>
        <w:t>que </w:t>
      </w:r>
      <w:r>
        <w:rPr>
          <w:color w:val="231F20"/>
          <w:spacing w:val="2"/>
        </w:rPr>
        <w:t>ingresa </w:t>
      </w:r>
      <w:r>
        <w:rPr>
          <w:color w:val="231F20"/>
        </w:rPr>
        <w:t>a la</w:t>
      </w:r>
      <w:r>
        <w:rPr>
          <w:color w:val="231F20"/>
          <w:spacing w:val="-23"/>
        </w:rPr>
        <w:t> </w:t>
      </w:r>
      <w:r>
        <w:rPr>
          <w:color w:val="231F20"/>
          <w:spacing w:val="2"/>
        </w:rPr>
        <w:t>universidad.</w:t>
      </w:r>
    </w:p>
    <w:p>
      <w:pPr>
        <w:pStyle w:val="BodyText"/>
        <w:spacing w:line="247" w:lineRule="auto"/>
        <w:ind w:left="113" w:right="117" w:firstLine="284"/>
        <w:jc w:val="both"/>
      </w:pPr>
      <w:r>
        <w:rPr>
          <w:color w:val="231F20"/>
        </w:rPr>
        <w:t>En una entrevista realizada al Lic. Abel, este señala que estas cifras siempre se han manifestado en la universidad. Esto se puede relacionar a  dos factores: el  primero es  debido a  la  falta de   ads-</w:t>
      </w:r>
    </w:p>
    <w:p>
      <w:pPr>
        <w:spacing w:after="0" w:line="247" w:lineRule="auto"/>
        <w:jc w:val="both"/>
        <w:sectPr>
          <w:headerReference w:type="default" r:id="rId724"/>
          <w:footerReference w:type="default" r:id="rId725"/>
          <w:pgSz w:w="7830" w:h="11910"/>
          <w:pgMar w:header="0" w:footer="424" w:top="500" w:bottom="620" w:left="880" w:right="900"/>
          <w:pgNumType w:start="325"/>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1" w:right="107"/>
        <w:jc w:val="both"/>
      </w:pPr>
      <w:r>
        <w:rPr>
          <w:color w:val="231F20"/>
          <w:spacing w:val="2"/>
        </w:rPr>
        <w:t>cripción </w:t>
      </w:r>
      <w:r>
        <w:rPr>
          <w:color w:val="231F20"/>
        </w:rPr>
        <w:t>e </w:t>
      </w:r>
      <w:r>
        <w:rPr>
          <w:color w:val="231F20"/>
          <w:spacing w:val="2"/>
        </w:rPr>
        <w:t>identificación que conlleva </w:t>
      </w:r>
      <w:r>
        <w:rPr>
          <w:color w:val="231F20"/>
        </w:rPr>
        <w:t>a la </w:t>
      </w:r>
      <w:r>
        <w:rPr>
          <w:color w:val="231F20"/>
          <w:spacing w:val="2"/>
        </w:rPr>
        <w:t>falta </w:t>
      </w:r>
      <w:r>
        <w:rPr>
          <w:color w:val="231F20"/>
        </w:rPr>
        <w:t>de </w:t>
      </w:r>
      <w:r>
        <w:rPr>
          <w:color w:val="231F20"/>
          <w:spacing w:val="2"/>
        </w:rPr>
        <w:t>interés por parte </w:t>
      </w:r>
      <w:r>
        <w:rPr>
          <w:color w:val="231F20"/>
        </w:rPr>
        <w:t>de </w:t>
      </w:r>
      <w:r>
        <w:rPr>
          <w:color w:val="231F20"/>
          <w:spacing w:val="2"/>
        </w:rPr>
        <w:t>los estudiantes para acercarse </w:t>
      </w:r>
      <w:r>
        <w:rPr>
          <w:color w:val="231F20"/>
        </w:rPr>
        <w:t>y </w:t>
      </w:r>
      <w:r>
        <w:rPr>
          <w:color w:val="231F20"/>
          <w:spacing w:val="2"/>
        </w:rPr>
        <w:t>darse </w:t>
      </w:r>
      <w:r>
        <w:rPr>
          <w:color w:val="231F20"/>
        </w:rPr>
        <w:t>de alta en la </w:t>
      </w:r>
      <w:r>
        <w:rPr>
          <w:color w:val="231F20"/>
          <w:spacing w:val="2"/>
        </w:rPr>
        <w:t>unidad para recibir </w:t>
      </w:r>
      <w:r>
        <w:rPr>
          <w:color w:val="231F20"/>
        </w:rPr>
        <w:t>el </w:t>
      </w:r>
      <w:r>
        <w:rPr>
          <w:color w:val="231F20"/>
          <w:spacing w:val="3"/>
        </w:rPr>
        <w:t>apoyo, </w:t>
      </w:r>
      <w:r>
        <w:rPr>
          <w:color w:val="231F20"/>
        </w:rPr>
        <w:t>y la </w:t>
      </w:r>
      <w:r>
        <w:rPr>
          <w:color w:val="231F20"/>
          <w:spacing w:val="2"/>
        </w:rPr>
        <w:t>otra está </w:t>
      </w:r>
      <w:r>
        <w:rPr>
          <w:color w:val="231F20"/>
          <w:spacing w:val="3"/>
        </w:rPr>
        <w:t>relacionada </w:t>
      </w:r>
      <w:r>
        <w:rPr>
          <w:color w:val="231F20"/>
          <w:spacing w:val="2"/>
        </w:rPr>
        <w:t>con </w:t>
      </w:r>
      <w:r>
        <w:rPr>
          <w:color w:val="231F20"/>
        </w:rPr>
        <w:t>la </w:t>
      </w:r>
      <w:r>
        <w:rPr>
          <w:color w:val="231F20"/>
          <w:spacing w:val="2"/>
        </w:rPr>
        <w:t>falta </w:t>
      </w:r>
      <w:r>
        <w:rPr>
          <w:color w:val="231F20"/>
        </w:rPr>
        <w:t>de </w:t>
      </w:r>
      <w:r>
        <w:rPr>
          <w:color w:val="231F20"/>
          <w:spacing w:val="3"/>
        </w:rPr>
        <w:t>difusión </w:t>
      </w:r>
      <w:r>
        <w:rPr>
          <w:color w:val="231F20"/>
        </w:rPr>
        <w:t>de la </w:t>
      </w:r>
      <w:r>
        <w:rPr>
          <w:color w:val="231F20"/>
          <w:spacing w:val="3"/>
        </w:rPr>
        <w:t>unidad.</w:t>
      </w:r>
    </w:p>
    <w:p>
      <w:pPr>
        <w:pStyle w:val="BodyText"/>
        <w:spacing w:line="249" w:lineRule="auto" w:before="1"/>
        <w:ind w:left="102" w:right="104" w:firstLine="284"/>
        <w:jc w:val="both"/>
      </w:pPr>
      <w:r>
        <w:rPr>
          <w:color w:val="231F20"/>
          <w:spacing w:val="2"/>
        </w:rPr>
        <w:t>De acuerdo </w:t>
      </w:r>
      <w:r>
        <w:rPr>
          <w:color w:val="231F20"/>
        </w:rPr>
        <w:t>con las </w:t>
      </w:r>
      <w:r>
        <w:rPr>
          <w:color w:val="231F20"/>
          <w:spacing w:val="2"/>
        </w:rPr>
        <w:t>entrevistas realizadas, </w:t>
      </w:r>
      <w:r>
        <w:rPr>
          <w:color w:val="231F20"/>
        </w:rPr>
        <w:t>la </w:t>
      </w:r>
      <w:r>
        <w:rPr>
          <w:color w:val="231F20"/>
          <w:spacing w:val="2"/>
        </w:rPr>
        <w:t>que </w:t>
      </w:r>
      <w:r>
        <w:rPr>
          <w:color w:val="231F20"/>
        </w:rPr>
        <w:t>se </w:t>
      </w:r>
      <w:r>
        <w:rPr>
          <w:color w:val="231F20"/>
          <w:spacing w:val="2"/>
        </w:rPr>
        <w:t>privilegia según los estudiantes </w:t>
      </w:r>
      <w:r>
        <w:rPr>
          <w:color w:val="231F20"/>
        </w:rPr>
        <w:t>es la </w:t>
      </w:r>
      <w:r>
        <w:rPr>
          <w:color w:val="231F20"/>
          <w:spacing w:val="2"/>
        </w:rPr>
        <w:t>falta </w:t>
      </w:r>
      <w:r>
        <w:rPr>
          <w:color w:val="231F20"/>
        </w:rPr>
        <w:t>de </w:t>
      </w:r>
      <w:r>
        <w:rPr>
          <w:color w:val="231F20"/>
          <w:spacing w:val="2"/>
        </w:rPr>
        <w:t>difusión, </w:t>
      </w:r>
      <w:r>
        <w:rPr>
          <w:color w:val="231F20"/>
        </w:rPr>
        <w:t>ya que </w:t>
      </w:r>
      <w:r>
        <w:rPr>
          <w:color w:val="231F20"/>
          <w:spacing w:val="2"/>
        </w:rPr>
        <w:t>según </w:t>
      </w:r>
      <w:r>
        <w:rPr>
          <w:color w:val="231F20"/>
          <w:spacing w:val="3"/>
        </w:rPr>
        <w:t>testimo- </w:t>
      </w:r>
      <w:r>
        <w:rPr>
          <w:color w:val="231F20"/>
          <w:spacing w:val="2"/>
        </w:rPr>
        <w:t>nio </w:t>
      </w:r>
      <w:r>
        <w:rPr>
          <w:color w:val="231F20"/>
        </w:rPr>
        <w:t>de </w:t>
      </w:r>
      <w:r>
        <w:rPr>
          <w:color w:val="231F20"/>
          <w:spacing w:val="2"/>
        </w:rPr>
        <w:t>los </w:t>
      </w:r>
      <w:r>
        <w:rPr>
          <w:color w:val="231F20"/>
          <w:spacing w:val="3"/>
        </w:rPr>
        <w:t>alumnos, </w:t>
      </w:r>
      <w:r>
        <w:rPr>
          <w:color w:val="231F20"/>
          <w:spacing w:val="2"/>
        </w:rPr>
        <w:t>los </w:t>
      </w:r>
      <w:r>
        <w:rPr>
          <w:color w:val="231F20"/>
        </w:rPr>
        <w:t>que </w:t>
      </w:r>
      <w:r>
        <w:rPr>
          <w:color w:val="231F20"/>
          <w:spacing w:val="2"/>
        </w:rPr>
        <w:t>han entrado </w:t>
      </w:r>
      <w:r>
        <w:rPr>
          <w:color w:val="231F20"/>
        </w:rPr>
        <w:t>es </w:t>
      </w:r>
      <w:r>
        <w:rPr>
          <w:color w:val="231F20"/>
          <w:spacing w:val="2"/>
        </w:rPr>
        <w:t>porque han tenido </w:t>
      </w:r>
      <w:r>
        <w:rPr>
          <w:color w:val="231F20"/>
        </w:rPr>
        <w:t>un </w:t>
      </w:r>
      <w:r>
        <w:rPr>
          <w:color w:val="231F20"/>
          <w:spacing w:val="2"/>
        </w:rPr>
        <w:t>contacto cercano con algún </w:t>
      </w:r>
      <w:r>
        <w:rPr>
          <w:color w:val="231F20"/>
          <w:spacing w:val="3"/>
        </w:rPr>
        <w:t>miembro </w:t>
      </w:r>
      <w:r>
        <w:rPr>
          <w:color w:val="231F20"/>
        </w:rPr>
        <w:t>de la </w:t>
      </w:r>
      <w:r>
        <w:rPr>
          <w:color w:val="231F20"/>
          <w:spacing w:val="2"/>
        </w:rPr>
        <w:t>unidad, </w:t>
      </w:r>
      <w:r>
        <w:rPr>
          <w:color w:val="231F20"/>
        </w:rPr>
        <w:t>que al </w:t>
      </w:r>
      <w:r>
        <w:rPr>
          <w:color w:val="231F20"/>
          <w:spacing w:val="2"/>
        </w:rPr>
        <w:t>enterar-  </w:t>
      </w:r>
      <w:r>
        <w:rPr>
          <w:color w:val="231F20"/>
        </w:rPr>
        <w:t>se de su </w:t>
      </w:r>
      <w:r>
        <w:rPr>
          <w:color w:val="231F20"/>
          <w:spacing w:val="2"/>
        </w:rPr>
        <w:t>condición </w:t>
      </w:r>
      <w:r>
        <w:rPr>
          <w:color w:val="231F20"/>
          <w:spacing w:val="3"/>
        </w:rPr>
        <w:t>económica </w:t>
      </w:r>
      <w:r>
        <w:rPr>
          <w:color w:val="231F20"/>
        </w:rPr>
        <w:t>y </w:t>
      </w:r>
      <w:r>
        <w:rPr>
          <w:color w:val="231F20"/>
          <w:spacing w:val="2"/>
        </w:rPr>
        <w:t>étnica los invitan </w:t>
      </w:r>
      <w:r>
        <w:rPr>
          <w:color w:val="231F20"/>
        </w:rPr>
        <w:t>a </w:t>
      </w:r>
      <w:r>
        <w:rPr>
          <w:color w:val="231F20"/>
          <w:spacing w:val="2"/>
        </w:rPr>
        <w:t>sumarse </w:t>
      </w:r>
      <w:r>
        <w:rPr>
          <w:color w:val="231F20"/>
          <w:spacing w:val="3"/>
        </w:rPr>
        <w:t>al grupo. </w:t>
      </w:r>
      <w:r>
        <w:rPr>
          <w:color w:val="231F20"/>
        </w:rPr>
        <w:t>En </w:t>
      </w:r>
      <w:r>
        <w:rPr>
          <w:color w:val="231F20"/>
          <w:spacing w:val="2"/>
        </w:rPr>
        <w:t>este sentido, </w:t>
      </w:r>
      <w:r>
        <w:rPr>
          <w:color w:val="231F20"/>
        </w:rPr>
        <w:t>un </w:t>
      </w:r>
      <w:r>
        <w:rPr>
          <w:color w:val="231F20"/>
          <w:spacing w:val="3"/>
        </w:rPr>
        <w:t>alumno</w:t>
      </w:r>
      <w:r>
        <w:rPr>
          <w:color w:val="231F20"/>
          <w:spacing w:val="45"/>
        </w:rPr>
        <w:t> </w:t>
      </w:r>
      <w:r>
        <w:rPr>
          <w:color w:val="231F20"/>
          <w:spacing w:val="2"/>
        </w:rPr>
        <w:t>señalaba:</w:t>
      </w:r>
    </w:p>
    <w:p>
      <w:pPr>
        <w:pStyle w:val="BodyText"/>
        <w:spacing w:before="1"/>
        <w:rPr>
          <w:sz w:val="23"/>
        </w:rPr>
      </w:pPr>
    </w:p>
    <w:p>
      <w:pPr>
        <w:spacing w:line="276" w:lineRule="auto" w:before="0"/>
        <w:ind w:left="810" w:right="156" w:firstLine="0"/>
        <w:jc w:val="both"/>
        <w:rPr>
          <w:sz w:val="19"/>
        </w:rPr>
      </w:pPr>
      <w:r>
        <w:rPr>
          <w:color w:val="231F20"/>
          <w:sz w:val="19"/>
        </w:rPr>
        <w:t>Yo ya estaba a punto de dejar la escuela, pues se me hacía muy cansado viajar diario, estudiar y gastaba mucho, además que no podía realizar trabajos en equipo y un día me encontré a una compañera y le comenté y ella me ayudó. Por eso yo estoy aquí. Así ahora yo cuando me encuentro con alguien le digo e invito para que venga a estar con nosotros y podamos seguir adelante, sobre todo con los de mi  comunidad.</w:t>
      </w:r>
    </w:p>
    <w:p>
      <w:pPr>
        <w:pStyle w:val="BodyText"/>
        <w:rPr>
          <w:sz w:val="20"/>
        </w:rPr>
      </w:pPr>
    </w:p>
    <w:p>
      <w:pPr>
        <w:pStyle w:val="BodyText"/>
        <w:spacing w:line="247" w:lineRule="auto"/>
        <w:ind w:left="101" w:right="107" w:firstLine="284"/>
        <w:jc w:val="both"/>
      </w:pPr>
      <w:r>
        <w:rPr>
          <w:color w:val="231F20"/>
        </w:rPr>
        <w:t>La </w:t>
      </w:r>
      <w:r>
        <w:rPr>
          <w:color w:val="231F20"/>
          <w:spacing w:val="2"/>
        </w:rPr>
        <w:t>entrevista anterior </w:t>
      </w:r>
      <w:r>
        <w:rPr>
          <w:color w:val="231F20"/>
        </w:rPr>
        <w:t>se </w:t>
      </w:r>
      <w:r>
        <w:rPr>
          <w:color w:val="231F20"/>
          <w:spacing w:val="2"/>
        </w:rPr>
        <w:t>realizó </w:t>
      </w:r>
      <w:r>
        <w:rPr>
          <w:color w:val="231F20"/>
        </w:rPr>
        <w:t>en la </w:t>
      </w:r>
      <w:r>
        <w:rPr>
          <w:color w:val="231F20"/>
          <w:spacing w:val="2"/>
        </w:rPr>
        <w:t>Casa del Estudiante Indí- gena </w:t>
      </w:r>
      <w:r>
        <w:rPr>
          <w:color w:val="231F20"/>
        </w:rPr>
        <w:t>el 12 de </w:t>
      </w:r>
      <w:r>
        <w:rPr>
          <w:color w:val="231F20"/>
          <w:spacing w:val="3"/>
        </w:rPr>
        <w:t>septiembre </w:t>
      </w:r>
      <w:r>
        <w:rPr>
          <w:color w:val="231F20"/>
        </w:rPr>
        <w:t>de </w:t>
      </w:r>
      <w:r>
        <w:rPr>
          <w:color w:val="231F20"/>
          <w:spacing w:val="2"/>
        </w:rPr>
        <w:t>2011, </w:t>
      </w:r>
      <w:r>
        <w:rPr>
          <w:color w:val="231F20"/>
        </w:rPr>
        <w:t>en </w:t>
      </w:r>
      <w:r>
        <w:rPr>
          <w:color w:val="231F20"/>
          <w:spacing w:val="2"/>
        </w:rPr>
        <w:t>Oaxaca. </w:t>
      </w:r>
      <w:r>
        <w:rPr>
          <w:color w:val="231F20"/>
        </w:rPr>
        <w:t>En </w:t>
      </w:r>
      <w:r>
        <w:rPr>
          <w:color w:val="231F20"/>
          <w:spacing w:val="2"/>
        </w:rPr>
        <w:t>este orden </w:t>
      </w:r>
      <w:r>
        <w:rPr>
          <w:color w:val="231F20"/>
        </w:rPr>
        <w:t>de </w:t>
      </w:r>
      <w:r>
        <w:rPr>
          <w:color w:val="231F20"/>
          <w:spacing w:val="2"/>
        </w:rPr>
        <w:t>ideas, </w:t>
      </w:r>
      <w:r>
        <w:rPr>
          <w:color w:val="231F20"/>
        </w:rPr>
        <w:t>ha </w:t>
      </w:r>
      <w:r>
        <w:rPr>
          <w:color w:val="231F20"/>
          <w:spacing w:val="2"/>
        </w:rPr>
        <w:t>sido </w:t>
      </w:r>
      <w:r>
        <w:rPr>
          <w:color w:val="231F20"/>
        </w:rPr>
        <w:t>a </w:t>
      </w:r>
      <w:r>
        <w:rPr>
          <w:color w:val="231F20"/>
          <w:spacing w:val="2"/>
        </w:rPr>
        <w:t>través </w:t>
      </w:r>
      <w:r>
        <w:rPr>
          <w:color w:val="231F20"/>
        </w:rPr>
        <w:t>de la </w:t>
      </w:r>
      <w:r>
        <w:rPr>
          <w:color w:val="231F20"/>
          <w:spacing w:val="2"/>
        </w:rPr>
        <w:t>Casa del </w:t>
      </w:r>
      <w:r>
        <w:rPr>
          <w:color w:val="231F20"/>
          <w:spacing w:val="3"/>
        </w:rPr>
        <w:t>Estudiante </w:t>
      </w:r>
      <w:r>
        <w:rPr>
          <w:color w:val="231F20"/>
          <w:spacing w:val="2"/>
        </w:rPr>
        <w:t>Indígena </w:t>
      </w:r>
      <w:r>
        <w:rPr>
          <w:color w:val="231F20"/>
          <w:spacing w:val="3"/>
        </w:rPr>
        <w:t>donde </w:t>
      </w:r>
      <w:r>
        <w:rPr>
          <w:color w:val="231F20"/>
          <w:spacing w:val="58"/>
        </w:rPr>
        <w:t> </w:t>
      </w:r>
      <w:r>
        <w:rPr>
          <w:color w:val="231F20"/>
          <w:spacing w:val="2"/>
        </w:rPr>
        <w:t>los </w:t>
      </w:r>
      <w:r>
        <w:rPr>
          <w:color w:val="231F20"/>
          <w:spacing w:val="3"/>
        </w:rPr>
        <w:t>alumnos </w:t>
      </w:r>
      <w:r>
        <w:rPr>
          <w:color w:val="231F20"/>
          <w:spacing w:val="2"/>
        </w:rPr>
        <w:t>han logrado </w:t>
      </w:r>
      <w:r>
        <w:rPr>
          <w:color w:val="231F20"/>
          <w:spacing w:val="3"/>
        </w:rPr>
        <w:t>combatir </w:t>
      </w:r>
      <w:r>
        <w:rPr>
          <w:color w:val="231F20"/>
        </w:rPr>
        <w:t>las </w:t>
      </w:r>
      <w:r>
        <w:rPr>
          <w:color w:val="231F20"/>
          <w:spacing w:val="2"/>
        </w:rPr>
        <w:t>principales causas que </w:t>
      </w:r>
      <w:r>
        <w:rPr>
          <w:color w:val="231F20"/>
          <w:spacing w:val="3"/>
        </w:rPr>
        <w:t>en- </w:t>
      </w:r>
      <w:r>
        <w:rPr>
          <w:color w:val="231F20"/>
          <w:spacing w:val="2"/>
        </w:rPr>
        <w:t>frentan por </w:t>
      </w:r>
      <w:r>
        <w:rPr>
          <w:color w:val="231F20"/>
        </w:rPr>
        <w:t>sus </w:t>
      </w:r>
      <w:r>
        <w:rPr>
          <w:color w:val="231F20"/>
          <w:spacing w:val="2"/>
        </w:rPr>
        <w:t>diferencias étnicas, </w:t>
      </w:r>
      <w:r>
        <w:rPr>
          <w:color w:val="231F20"/>
          <w:spacing w:val="3"/>
        </w:rPr>
        <w:t>además </w:t>
      </w:r>
      <w:r>
        <w:rPr>
          <w:color w:val="231F20"/>
        </w:rPr>
        <w:t>de la </w:t>
      </w:r>
      <w:r>
        <w:rPr>
          <w:color w:val="231F20"/>
          <w:spacing w:val="2"/>
        </w:rPr>
        <w:t>precaria situación </w:t>
      </w:r>
      <w:r>
        <w:rPr>
          <w:color w:val="231F20"/>
          <w:spacing w:val="3"/>
        </w:rPr>
        <w:t>económica, </w:t>
      </w:r>
      <w:r>
        <w:rPr>
          <w:color w:val="231F20"/>
        </w:rPr>
        <w:t>la </w:t>
      </w:r>
      <w:r>
        <w:rPr>
          <w:color w:val="231F20"/>
          <w:spacing w:val="2"/>
        </w:rPr>
        <w:t>deficiente </w:t>
      </w:r>
      <w:r>
        <w:rPr>
          <w:color w:val="231F20"/>
          <w:spacing w:val="3"/>
        </w:rPr>
        <w:t>preparación </w:t>
      </w:r>
      <w:r>
        <w:rPr>
          <w:color w:val="231F20"/>
          <w:spacing w:val="2"/>
        </w:rPr>
        <w:t>académica,el aislamiento, </w:t>
      </w:r>
      <w:r>
        <w:rPr>
          <w:color w:val="231F20"/>
          <w:spacing w:val="3"/>
        </w:rPr>
        <w:t>compartir </w:t>
      </w:r>
      <w:r>
        <w:rPr>
          <w:color w:val="231F20"/>
          <w:spacing w:val="2"/>
        </w:rPr>
        <w:t>trabajo </w:t>
      </w:r>
      <w:r>
        <w:rPr>
          <w:color w:val="231F20"/>
        </w:rPr>
        <w:t>y </w:t>
      </w:r>
      <w:r>
        <w:rPr>
          <w:color w:val="231F20"/>
          <w:spacing w:val="2"/>
        </w:rPr>
        <w:t>estudio, </w:t>
      </w:r>
      <w:r>
        <w:rPr>
          <w:color w:val="231F20"/>
        </w:rPr>
        <w:t>las </w:t>
      </w:r>
      <w:r>
        <w:rPr>
          <w:color w:val="231F20"/>
          <w:spacing w:val="2"/>
        </w:rPr>
        <w:t>bajas aspiraciones </w:t>
      </w:r>
      <w:r>
        <w:rPr>
          <w:color w:val="231F20"/>
        </w:rPr>
        <w:t>y, </w:t>
      </w:r>
      <w:r>
        <w:rPr>
          <w:color w:val="231F20"/>
          <w:spacing w:val="2"/>
        </w:rPr>
        <w:t>sobre </w:t>
      </w:r>
      <w:r>
        <w:rPr>
          <w:color w:val="231F20"/>
          <w:spacing w:val="3"/>
        </w:rPr>
        <w:t>todo, </w:t>
      </w:r>
      <w:r>
        <w:rPr>
          <w:color w:val="231F20"/>
        </w:rPr>
        <w:t>el </w:t>
      </w:r>
      <w:r>
        <w:rPr>
          <w:color w:val="231F20"/>
          <w:spacing w:val="3"/>
        </w:rPr>
        <w:t>racismo, </w:t>
      </w:r>
      <w:r>
        <w:rPr>
          <w:color w:val="231F20"/>
        </w:rPr>
        <w:t>que </w:t>
      </w:r>
      <w:r>
        <w:rPr>
          <w:color w:val="231F20"/>
          <w:spacing w:val="2"/>
        </w:rPr>
        <w:t>algunos estudios realizados por Mac and Ghaiill, </w:t>
      </w:r>
      <w:r>
        <w:rPr>
          <w:color w:val="231F20"/>
        </w:rPr>
        <w:t>en </w:t>
      </w:r>
      <w:r>
        <w:rPr>
          <w:color w:val="231F20"/>
          <w:spacing w:val="3"/>
        </w:rPr>
        <w:t>1995 </w:t>
      </w:r>
      <w:r>
        <w:rPr>
          <w:color w:val="231F20"/>
        </w:rPr>
        <w:t>en </w:t>
      </w:r>
      <w:r>
        <w:rPr>
          <w:color w:val="231F20"/>
          <w:spacing w:val="2"/>
        </w:rPr>
        <w:t>Inglaterra, </w:t>
      </w:r>
      <w:r>
        <w:rPr>
          <w:color w:val="231F20"/>
        </w:rPr>
        <w:t>y </w:t>
      </w:r>
      <w:r>
        <w:rPr>
          <w:color w:val="231F20"/>
          <w:spacing w:val="2"/>
        </w:rPr>
        <w:t>por Wrigth,en </w:t>
      </w:r>
      <w:r>
        <w:rPr>
          <w:color w:val="231F20"/>
          <w:spacing w:val="3"/>
        </w:rPr>
        <w:t>Estados Unidos </w:t>
      </w:r>
      <w:r>
        <w:rPr>
          <w:color w:val="231F20"/>
        </w:rPr>
        <w:t>en el </w:t>
      </w:r>
      <w:r>
        <w:rPr>
          <w:color w:val="231F20"/>
          <w:spacing w:val="3"/>
        </w:rPr>
        <w:t>mismo </w:t>
      </w:r>
      <w:r>
        <w:rPr>
          <w:color w:val="231F20"/>
          <w:spacing w:val="2"/>
        </w:rPr>
        <w:t>año, coincidían </w:t>
      </w:r>
      <w:r>
        <w:rPr>
          <w:color w:val="231F20"/>
        </w:rPr>
        <w:t>en</w:t>
      </w:r>
      <w:r>
        <w:rPr>
          <w:color w:val="231F20"/>
          <w:spacing w:val="-6"/>
        </w:rPr>
        <w:t> </w:t>
      </w:r>
      <w:r>
        <w:rPr>
          <w:color w:val="231F20"/>
          <w:spacing w:val="2"/>
        </w:rPr>
        <w:t>señalar.</w:t>
      </w:r>
    </w:p>
    <w:p>
      <w:pPr>
        <w:pStyle w:val="BodyText"/>
        <w:spacing w:line="247" w:lineRule="auto" w:before="6"/>
        <w:ind w:left="101" w:right="108" w:firstLine="284"/>
        <w:jc w:val="both"/>
      </w:pPr>
      <w:r>
        <w:rPr>
          <w:color w:val="231F20"/>
        </w:rPr>
        <w:t>Lo </w:t>
      </w:r>
      <w:r>
        <w:rPr>
          <w:color w:val="231F20"/>
          <w:spacing w:val="2"/>
        </w:rPr>
        <w:t>señalado tanto </w:t>
      </w:r>
      <w:r>
        <w:rPr>
          <w:color w:val="231F20"/>
        </w:rPr>
        <w:t>por el </w:t>
      </w:r>
      <w:r>
        <w:rPr>
          <w:color w:val="231F20"/>
          <w:spacing w:val="2"/>
        </w:rPr>
        <w:t>director, como por </w:t>
      </w:r>
      <w:r>
        <w:rPr>
          <w:color w:val="231F20"/>
        </w:rPr>
        <w:t>el </w:t>
      </w:r>
      <w:r>
        <w:rPr>
          <w:color w:val="231F20"/>
          <w:spacing w:val="2"/>
        </w:rPr>
        <w:t>testimonio del alumno </w:t>
      </w:r>
      <w:r>
        <w:rPr>
          <w:color w:val="231F20"/>
        </w:rPr>
        <w:t>con el </w:t>
      </w:r>
      <w:r>
        <w:rPr>
          <w:color w:val="231F20"/>
          <w:spacing w:val="2"/>
        </w:rPr>
        <w:t>cual varios coinciden, </w:t>
      </w:r>
      <w:r>
        <w:rPr>
          <w:color w:val="231F20"/>
        </w:rPr>
        <w:t>es la </w:t>
      </w:r>
      <w:r>
        <w:rPr>
          <w:color w:val="231F20"/>
          <w:spacing w:val="2"/>
        </w:rPr>
        <w:t>falta </w:t>
      </w:r>
      <w:r>
        <w:rPr>
          <w:color w:val="231F20"/>
        </w:rPr>
        <w:t>de </w:t>
      </w:r>
      <w:r>
        <w:rPr>
          <w:color w:val="231F20"/>
          <w:spacing w:val="2"/>
        </w:rPr>
        <w:t>difusión acerca </w:t>
      </w:r>
      <w:r>
        <w:rPr>
          <w:color w:val="231F20"/>
        </w:rPr>
        <w:t>de </w:t>
      </w:r>
      <w:r>
        <w:rPr>
          <w:color w:val="231F20"/>
          <w:spacing w:val="2"/>
        </w:rPr>
        <w:t>los servicios que presta </w:t>
      </w:r>
      <w:r>
        <w:rPr>
          <w:color w:val="231F20"/>
        </w:rPr>
        <w:t>la </w:t>
      </w:r>
      <w:r>
        <w:rPr>
          <w:color w:val="231F20"/>
          <w:spacing w:val="2"/>
        </w:rPr>
        <w:t>unidad, por </w:t>
      </w:r>
      <w:r>
        <w:rPr>
          <w:color w:val="231F20"/>
        </w:rPr>
        <w:t>lo que </w:t>
      </w:r>
      <w:r>
        <w:rPr>
          <w:color w:val="231F20"/>
          <w:spacing w:val="2"/>
        </w:rPr>
        <w:t>quedaría </w:t>
      </w:r>
      <w:r>
        <w:rPr>
          <w:color w:val="231F20"/>
        </w:rPr>
        <w:t>la </w:t>
      </w:r>
      <w:r>
        <w:rPr>
          <w:color w:val="231F20"/>
          <w:spacing w:val="2"/>
        </w:rPr>
        <w:t>duda </w:t>
      </w:r>
      <w:r>
        <w:rPr>
          <w:color w:val="231F20"/>
        </w:rPr>
        <w:t>y </w:t>
      </w:r>
      <w:r>
        <w:rPr>
          <w:color w:val="231F20"/>
          <w:spacing w:val="2"/>
        </w:rPr>
        <w:t>nos </w:t>
      </w:r>
      <w:r>
        <w:rPr>
          <w:color w:val="231F20"/>
          <w:spacing w:val="3"/>
        </w:rPr>
        <w:t>preguntamos: </w:t>
      </w:r>
      <w:r>
        <w:rPr>
          <w:color w:val="231F20"/>
        </w:rPr>
        <w:t>¿es </w:t>
      </w:r>
      <w:r>
        <w:rPr>
          <w:color w:val="231F20"/>
          <w:spacing w:val="2"/>
        </w:rPr>
        <w:t>esto una </w:t>
      </w:r>
      <w:r>
        <w:rPr>
          <w:color w:val="231F20"/>
          <w:spacing w:val="3"/>
        </w:rPr>
        <w:t>forma </w:t>
      </w:r>
      <w:r>
        <w:rPr>
          <w:color w:val="231F20"/>
        </w:rPr>
        <w:t>de </w:t>
      </w:r>
      <w:r>
        <w:rPr>
          <w:color w:val="231F20"/>
          <w:spacing w:val="2"/>
        </w:rPr>
        <w:t>violencia hacia los </w:t>
      </w:r>
      <w:r>
        <w:rPr>
          <w:color w:val="231F20"/>
          <w:spacing w:val="3"/>
        </w:rPr>
        <w:t>estu- </w:t>
      </w:r>
      <w:r>
        <w:rPr>
          <w:color w:val="231F20"/>
          <w:spacing w:val="2"/>
        </w:rPr>
        <w:t>diantes?, ¿por qué </w:t>
      </w:r>
      <w:r>
        <w:rPr>
          <w:color w:val="231F20"/>
        </w:rPr>
        <w:t>no se </w:t>
      </w:r>
      <w:r>
        <w:rPr>
          <w:color w:val="231F20"/>
          <w:spacing w:val="3"/>
        </w:rPr>
        <w:t>difunden </w:t>
      </w:r>
      <w:r>
        <w:rPr>
          <w:color w:val="231F20"/>
          <w:spacing w:val="2"/>
        </w:rPr>
        <w:t>los servicios que </w:t>
      </w:r>
      <w:r>
        <w:rPr>
          <w:color w:val="231F20"/>
        </w:rPr>
        <w:t>se </w:t>
      </w:r>
      <w:r>
        <w:rPr>
          <w:color w:val="231F20"/>
          <w:spacing w:val="2"/>
        </w:rPr>
        <w:t>prestan?, </w:t>
      </w:r>
      <w:r>
        <w:rPr>
          <w:color w:val="231F20"/>
        </w:rPr>
        <w:t>¿es </w:t>
      </w:r>
      <w:r>
        <w:rPr>
          <w:color w:val="231F20"/>
          <w:spacing w:val="2"/>
        </w:rPr>
        <w:t>una omisión </w:t>
      </w:r>
      <w:r>
        <w:rPr>
          <w:color w:val="231F20"/>
        </w:rPr>
        <w:t>de </w:t>
      </w:r>
      <w:r>
        <w:rPr>
          <w:color w:val="231F20"/>
          <w:spacing w:val="2"/>
        </w:rPr>
        <w:t>quiénes ocupan los puestos </w:t>
      </w:r>
      <w:r>
        <w:rPr>
          <w:color w:val="231F20"/>
        </w:rPr>
        <w:t>de </w:t>
      </w:r>
      <w:r>
        <w:rPr>
          <w:color w:val="231F20"/>
          <w:spacing w:val="2"/>
        </w:rPr>
        <w:t>autoridad?, ¿cuáles son los </w:t>
      </w:r>
      <w:r>
        <w:rPr>
          <w:color w:val="231F20"/>
          <w:spacing w:val="3"/>
        </w:rPr>
        <w:t>elementos </w:t>
      </w:r>
      <w:r>
        <w:rPr>
          <w:color w:val="231F20"/>
        </w:rPr>
        <w:t>que </w:t>
      </w:r>
      <w:r>
        <w:rPr>
          <w:color w:val="231F20"/>
          <w:spacing w:val="2"/>
        </w:rPr>
        <w:t>intervienen para </w:t>
      </w:r>
      <w:r>
        <w:rPr>
          <w:color w:val="231F20"/>
        </w:rPr>
        <w:t>que  </w:t>
      </w:r>
      <w:r>
        <w:rPr>
          <w:color w:val="231F20"/>
          <w:spacing w:val="2"/>
        </w:rPr>
        <w:t>este </w:t>
      </w:r>
      <w:r>
        <w:rPr>
          <w:color w:val="231F20"/>
          <w:spacing w:val="3"/>
        </w:rPr>
        <w:t>programa </w:t>
      </w:r>
      <w:r>
        <w:rPr>
          <w:color w:val="231F20"/>
        </w:rPr>
        <w:t>no  se  dé a </w:t>
      </w:r>
      <w:r>
        <w:rPr>
          <w:color w:val="231F20"/>
          <w:spacing w:val="3"/>
        </w:rPr>
        <w:t>conocer </w:t>
      </w:r>
      <w:r>
        <w:rPr>
          <w:color w:val="231F20"/>
        </w:rPr>
        <w:t>en la </w:t>
      </w:r>
      <w:r>
        <w:rPr>
          <w:color w:val="231F20"/>
          <w:spacing w:val="3"/>
        </w:rPr>
        <w:t>UABJO?, </w:t>
      </w:r>
      <w:r>
        <w:rPr>
          <w:color w:val="231F20"/>
          <w:spacing w:val="2"/>
        </w:rPr>
        <w:t>entre otras que </w:t>
      </w:r>
      <w:r>
        <w:rPr>
          <w:color w:val="231F20"/>
          <w:spacing w:val="3"/>
        </w:rPr>
        <w:t>pueden </w:t>
      </w:r>
      <w:r>
        <w:rPr>
          <w:color w:val="231F20"/>
          <w:spacing w:val="2"/>
        </w:rPr>
        <w:t>estar </w:t>
      </w:r>
      <w:r>
        <w:rPr>
          <w:color w:val="231F20"/>
          <w:spacing w:val="3"/>
        </w:rPr>
        <w:t>relacio- </w:t>
      </w:r>
      <w:r>
        <w:rPr>
          <w:color w:val="231F20"/>
          <w:spacing w:val="2"/>
        </w:rPr>
        <w:t>nadas </w:t>
      </w:r>
      <w:r>
        <w:rPr>
          <w:color w:val="231F20"/>
        </w:rPr>
        <w:t>a </w:t>
      </w:r>
      <w:r>
        <w:rPr>
          <w:color w:val="231F20"/>
          <w:spacing w:val="2"/>
        </w:rPr>
        <w:t>una </w:t>
      </w:r>
      <w:r>
        <w:rPr>
          <w:color w:val="231F20"/>
          <w:spacing w:val="3"/>
        </w:rPr>
        <w:t>forma </w:t>
      </w:r>
      <w:r>
        <w:rPr>
          <w:color w:val="231F20"/>
        </w:rPr>
        <w:t>de </w:t>
      </w:r>
      <w:r>
        <w:rPr>
          <w:color w:val="231F20"/>
          <w:spacing w:val="2"/>
        </w:rPr>
        <w:t>discriminación institucional, </w:t>
      </w:r>
      <w:r>
        <w:rPr>
          <w:color w:val="231F20"/>
          <w:spacing w:val="3"/>
        </w:rPr>
        <w:t>como </w:t>
      </w:r>
      <w:r>
        <w:rPr>
          <w:color w:val="231F20"/>
        </w:rPr>
        <w:t>se </w:t>
      </w:r>
      <w:r>
        <w:rPr>
          <w:color w:val="231F20"/>
          <w:spacing w:val="2"/>
        </w:rPr>
        <w:t>señala más</w:t>
      </w:r>
      <w:r>
        <w:rPr>
          <w:color w:val="231F20"/>
          <w:spacing w:val="-6"/>
        </w:rPr>
        <w:t> </w:t>
      </w:r>
      <w:r>
        <w:rPr>
          <w:color w:val="231F20"/>
          <w:spacing w:val="2"/>
        </w:rPr>
        <w:t>arriba.</w:t>
      </w:r>
    </w:p>
    <w:p>
      <w:pPr>
        <w:spacing w:after="0" w:line="247" w:lineRule="auto"/>
        <w:jc w:val="both"/>
        <w:sectPr>
          <w:headerReference w:type="default" r:id="rId726"/>
          <w:footerReference w:type="default" r:id="rId727"/>
          <w:pgSz w:w="7830" w:h="11910"/>
          <w:pgMar w:header="0" w:footer="424" w:top="500" w:bottom="620" w:left="920" w:right="880"/>
          <w:pgNumType w:start="326"/>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13" w:right="116" w:firstLine="284"/>
        <w:jc w:val="both"/>
      </w:pPr>
      <w:r>
        <w:rPr>
          <w:color w:val="231F20"/>
        </w:rPr>
        <w:t>Ahora bien, la Casa del Estudiante Indígena se fundó en 1998   por un grupo de estudiantes activos, en los cuales el liderazgo aflo- raba, pero en el trayecto se encontraron con que habían dos grupos: los que tenían reglas y los que querían la casa para hacer sus grupos de diversión. Llegó un momento en el que se dispersaron, por lo    que algunos decidieron reorientar el proyecto y fundarla. Estos liderazgos de los jóvenes han marcado la dinámica de los grupos étnicos en la universidad. Sin embargo, hoy se encuentra el proyecto en crisis y eso de alguna manera entorpece el</w:t>
      </w:r>
      <w:r>
        <w:rPr>
          <w:color w:val="231F20"/>
          <w:spacing w:val="19"/>
        </w:rPr>
        <w:t> </w:t>
      </w:r>
      <w:r>
        <w:rPr>
          <w:color w:val="231F20"/>
        </w:rPr>
        <w:t>funcionamiento.</w:t>
      </w:r>
    </w:p>
    <w:p>
      <w:pPr>
        <w:pStyle w:val="BodyText"/>
        <w:spacing w:before="1"/>
        <w:rPr>
          <w:sz w:val="23"/>
        </w:rPr>
      </w:pPr>
    </w:p>
    <w:p>
      <w:pPr>
        <w:spacing w:before="1"/>
        <w:ind w:left="564" w:right="287" w:firstLine="0"/>
        <w:jc w:val="center"/>
        <w:rPr>
          <w:b/>
          <w:sz w:val="19"/>
        </w:rPr>
      </w:pPr>
      <w:r>
        <w:rPr>
          <w:b/>
          <w:color w:val="231F20"/>
          <w:sz w:val="19"/>
        </w:rPr>
        <w:t>Fotografía 2. La casa  universitaria</w:t>
      </w:r>
    </w:p>
    <w:p>
      <w:pPr>
        <w:pStyle w:val="BodyText"/>
        <w:spacing w:before="6"/>
        <w:rPr>
          <w:b/>
          <w:sz w:val="19"/>
        </w:rPr>
      </w:pPr>
      <w:r>
        <w:rPr/>
        <w:drawing>
          <wp:anchor distT="0" distB="0" distL="0" distR="0" allowOverlap="1" layoutInCell="1" locked="0" behindDoc="0" simplePos="0" relativeHeight="2824">
            <wp:simplePos x="0" y="0"/>
            <wp:positionH relativeFrom="page">
              <wp:posOffset>956443</wp:posOffset>
            </wp:positionH>
            <wp:positionV relativeFrom="paragraph">
              <wp:posOffset>167360</wp:posOffset>
            </wp:positionV>
            <wp:extent cx="3324559" cy="2190273"/>
            <wp:effectExtent l="0" t="0" r="0" b="0"/>
            <wp:wrapTopAndBottom/>
            <wp:docPr id="55" name="image28.png" descr=""/>
            <wp:cNvGraphicFramePr>
              <a:graphicFrameLocks noChangeAspect="1"/>
            </wp:cNvGraphicFramePr>
            <a:graphic>
              <a:graphicData uri="http://schemas.openxmlformats.org/drawingml/2006/picture">
                <pic:pic>
                  <pic:nvPicPr>
                    <pic:cNvPr id="56" name="image28.png"/>
                    <pic:cNvPicPr/>
                  </pic:nvPicPr>
                  <pic:blipFill>
                    <a:blip r:embed="rId730" cstate="print"/>
                    <a:stretch>
                      <a:fillRect/>
                    </a:stretch>
                  </pic:blipFill>
                  <pic:spPr>
                    <a:xfrm>
                      <a:off x="0" y="0"/>
                      <a:ext cx="3324559" cy="2190273"/>
                    </a:xfrm>
                    <a:prstGeom prst="rect">
                      <a:avLst/>
                    </a:prstGeom>
                  </pic:spPr>
                </pic:pic>
              </a:graphicData>
            </a:graphic>
          </wp:anchor>
        </w:drawing>
      </w:r>
    </w:p>
    <w:p>
      <w:pPr>
        <w:pStyle w:val="BodyText"/>
        <w:spacing w:before="10"/>
        <w:rPr>
          <w:b/>
          <w:sz w:val="17"/>
        </w:rPr>
      </w:pPr>
    </w:p>
    <w:p>
      <w:pPr>
        <w:spacing w:before="0"/>
        <w:ind w:left="563" w:right="287" w:firstLine="0"/>
        <w:jc w:val="center"/>
        <w:rPr>
          <w:sz w:val="19"/>
        </w:rPr>
      </w:pPr>
      <w:r>
        <w:rPr>
          <w:color w:val="231F20"/>
          <w:sz w:val="19"/>
        </w:rPr>
        <w:t>Fotografía: Arturo Ruiz López</w:t>
      </w:r>
    </w:p>
    <w:p>
      <w:pPr>
        <w:pStyle w:val="BodyText"/>
        <w:rPr>
          <w:sz w:val="20"/>
        </w:rPr>
      </w:pPr>
    </w:p>
    <w:p>
      <w:pPr>
        <w:pStyle w:val="BodyText"/>
        <w:spacing w:before="11"/>
        <w:rPr>
          <w:sz w:val="16"/>
        </w:rPr>
      </w:pPr>
    </w:p>
    <w:p>
      <w:pPr>
        <w:pStyle w:val="BodyText"/>
        <w:spacing w:line="249" w:lineRule="auto"/>
        <w:ind w:left="113" w:right="116" w:firstLine="284"/>
        <w:jc w:val="both"/>
      </w:pPr>
      <w:r>
        <w:rPr>
          <w:color w:val="231F20"/>
        </w:rPr>
        <w:t>Según los estudiantes, el inmueble les ha servido para estar en comunidad, ayudarse y orientarse en las formas como deben de transitar por la institución superior, aunque ellos niegan que exista una discriminación en la mayoría de las entrevistas. Siempre ter- minan señalando que sufrieron cuando estaban en el nivel bachi- llerato, aun cuando algunos cursaron el nivel medio superior en las preparatorias de la misma universidad. Este hecho que se presenta debe de analizarse con mayor detenimiento, pues como se señala- ba en el primer apartado del trabajo, las formas de violencia han cambiado y no son las mismas que se presentan desde hace   veinte</w:t>
      </w:r>
    </w:p>
    <w:p>
      <w:pPr>
        <w:spacing w:after="0" w:line="249" w:lineRule="auto"/>
        <w:jc w:val="both"/>
        <w:sectPr>
          <w:headerReference w:type="default" r:id="rId728"/>
          <w:footerReference w:type="default" r:id="rId729"/>
          <w:pgSz w:w="7830" w:h="11910"/>
          <w:pgMar w:header="0" w:footer="424" w:top="500" w:bottom="620" w:left="880" w:right="900"/>
          <w:pgNumType w:start="327"/>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1"/>
        <w:jc w:val="both"/>
      </w:pPr>
      <w:r>
        <w:rPr>
          <w:color w:val="231F20"/>
        </w:rPr>
        <w:t>o treinta años a las de la actualidad. Existen formas veladas y de invisibilidad que son producto de la discriminación, concepto que hemos acuñado en este trabajo y que en el tercer apartado del trabajo retomaremos más  profundamente.</w:t>
      </w:r>
    </w:p>
    <w:p>
      <w:pPr>
        <w:pStyle w:val="BodyText"/>
        <w:spacing w:line="249" w:lineRule="auto" w:before="1"/>
        <w:ind w:left="102" w:right="107" w:firstLine="284"/>
        <w:jc w:val="both"/>
      </w:pPr>
      <w:r>
        <w:rPr>
          <w:color w:val="231F20"/>
        </w:rPr>
        <w:t>La </w:t>
      </w:r>
      <w:r>
        <w:rPr>
          <w:color w:val="231F20"/>
          <w:spacing w:val="2"/>
        </w:rPr>
        <w:t>Casa del Estudiante Indígena funciona </w:t>
      </w:r>
      <w:r>
        <w:rPr>
          <w:color w:val="231F20"/>
        </w:rPr>
        <w:t>con </w:t>
      </w:r>
      <w:r>
        <w:rPr>
          <w:color w:val="231F20"/>
          <w:spacing w:val="2"/>
        </w:rPr>
        <w:t>apoyo </w:t>
      </w:r>
      <w:r>
        <w:rPr>
          <w:color w:val="231F20"/>
        </w:rPr>
        <w:t>de la </w:t>
      </w:r>
      <w:r>
        <w:rPr>
          <w:color w:val="231F20"/>
          <w:spacing w:val="2"/>
        </w:rPr>
        <w:t>uni- versidad </w:t>
      </w:r>
      <w:r>
        <w:rPr>
          <w:color w:val="231F20"/>
        </w:rPr>
        <w:t>y de los </w:t>
      </w:r>
      <w:r>
        <w:rPr>
          <w:color w:val="231F20"/>
          <w:spacing w:val="3"/>
        </w:rPr>
        <w:t>mismos </w:t>
      </w:r>
      <w:r>
        <w:rPr>
          <w:color w:val="231F20"/>
          <w:spacing w:val="2"/>
        </w:rPr>
        <w:t>estudiantes, quienes </w:t>
      </w:r>
      <w:r>
        <w:rPr>
          <w:color w:val="231F20"/>
        </w:rPr>
        <w:t>van </w:t>
      </w:r>
      <w:r>
        <w:rPr>
          <w:color w:val="231F20"/>
          <w:spacing w:val="3"/>
        </w:rPr>
        <w:t>buscando sus- </w:t>
      </w:r>
      <w:r>
        <w:rPr>
          <w:color w:val="231F20"/>
          <w:spacing w:val="2"/>
        </w:rPr>
        <w:t>tento </w:t>
      </w:r>
      <w:r>
        <w:rPr>
          <w:color w:val="231F20"/>
        </w:rPr>
        <w:t>a </w:t>
      </w:r>
      <w:r>
        <w:rPr>
          <w:color w:val="231F20"/>
          <w:spacing w:val="2"/>
        </w:rPr>
        <w:t>través </w:t>
      </w:r>
      <w:r>
        <w:rPr>
          <w:color w:val="231F20"/>
        </w:rPr>
        <w:t>de  </w:t>
      </w:r>
      <w:r>
        <w:rPr>
          <w:color w:val="231F20"/>
          <w:spacing w:val="2"/>
        </w:rPr>
        <w:t>distintas organizaciones </w:t>
      </w:r>
      <w:r>
        <w:rPr>
          <w:color w:val="231F20"/>
        </w:rPr>
        <w:t>o  </w:t>
      </w:r>
      <w:r>
        <w:rPr>
          <w:color w:val="231F20"/>
          <w:spacing w:val="3"/>
        </w:rPr>
        <w:t>personas conocidas</w:t>
      </w:r>
      <w:r>
        <w:rPr>
          <w:color w:val="231F20"/>
          <w:spacing w:val="58"/>
        </w:rPr>
        <w:t> </w:t>
      </w:r>
      <w:r>
        <w:rPr>
          <w:color w:val="231F20"/>
        </w:rPr>
        <w:t>que </w:t>
      </w:r>
      <w:r>
        <w:rPr>
          <w:color w:val="231F20"/>
          <w:spacing w:val="2"/>
        </w:rPr>
        <w:t>creen </w:t>
      </w:r>
      <w:r>
        <w:rPr>
          <w:color w:val="231F20"/>
        </w:rPr>
        <w:t>que  </w:t>
      </w:r>
      <w:r>
        <w:rPr>
          <w:color w:val="231F20"/>
          <w:spacing w:val="2"/>
        </w:rPr>
        <w:t>puedan apoyarlos con los gastos. De igual </w:t>
      </w:r>
      <w:r>
        <w:rPr>
          <w:color w:val="231F20"/>
          <w:spacing w:val="3"/>
        </w:rPr>
        <w:t>forma,</w:t>
      </w:r>
      <w:r>
        <w:rPr>
          <w:color w:val="231F20"/>
          <w:spacing w:val="58"/>
        </w:rPr>
        <w:t> </w:t>
      </w:r>
      <w:r>
        <w:rPr>
          <w:color w:val="231F20"/>
          <w:spacing w:val="2"/>
        </w:rPr>
        <w:t>los </w:t>
      </w:r>
      <w:r>
        <w:rPr>
          <w:color w:val="231F20"/>
          <w:spacing w:val="3"/>
        </w:rPr>
        <w:t>muebles </w:t>
      </w:r>
      <w:r>
        <w:rPr>
          <w:color w:val="231F20"/>
          <w:spacing w:val="2"/>
        </w:rPr>
        <w:t>con los que </w:t>
      </w:r>
      <w:r>
        <w:rPr>
          <w:color w:val="231F20"/>
          <w:spacing w:val="3"/>
        </w:rPr>
        <w:t>cuentan, </w:t>
      </w:r>
      <w:r>
        <w:rPr>
          <w:color w:val="231F20"/>
        </w:rPr>
        <w:t>en </w:t>
      </w:r>
      <w:r>
        <w:rPr>
          <w:color w:val="231F20"/>
          <w:spacing w:val="2"/>
        </w:rPr>
        <w:t>palabras </w:t>
      </w:r>
      <w:r>
        <w:rPr>
          <w:color w:val="231F20"/>
        </w:rPr>
        <w:t>de </w:t>
      </w:r>
      <w:r>
        <w:rPr>
          <w:color w:val="231F20"/>
          <w:spacing w:val="2"/>
        </w:rPr>
        <w:t>ellos, </w:t>
      </w:r>
      <w:r>
        <w:rPr>
          <w:color w:val="231F20"/>
          <w:spacing w:val="3"/>
        </w:rPr>
        <w:t>muchos son donados. </w:t>
      </w:r>
      <w:r>
        <w:rPr>
          <w:color w:val="231F20"/>
          <w:spacing w:val="2"/>
        </w:rPr>
        <w:t>Viven </w:t>
      </w:r>
      <w:r>
        <w:rPr>
          <w:color w:val="231F20"/>
        </w:rPr>
        <w:t>en la </w:t>
      </w:r>
      <w:r>
        <w:rPr>
          <w:color w:val="231F20"/>
          <w:spacing w:val="2"/>
        </w:rPr>
        <w:t>casa alrededor </w:t>
      </w:r>
      <w:r>
        <w:rPr>
          <w:color w:val="231F20"/>
        </w:rPr>
        <w:t>de 55 </w:t>
      </w:r>
      <w:r>
        <w:rPr>
          <w:color w:val="231F20"/>
          <w:spacing w:val="3"/>
        </w:rPr>
        <w:t>personas, </w:t>
      </w:r>
      <w:r>
        <w:rPr>
          <w:color w:val="231F20"/>
          <w:spacing w:val="2"/>
        </w:rPr>
        <w:t>los cuales dan </w:t>
      </w:r>
      <w:r>
        <w:rPr>
          <w:color w:val="231F20"/>
        </w:rPr>
        <w:t>un </w:t>
      </w:r>
      <w:r>
        <w:rPr>
          <w:color w:val="231F20"/>
          <w:spacing w:val="2"/>
        </w:rPr>
        <w:t>aporte </w:t>
      </w:r>
      <w:r>
        <w:rPr>
          <w:color w:val="231F20"/>
          <w:spacing w:val="3"/>
        </w:rPr>
        <w:t>mensual </w:t>
      </w:r>
      <w:r>
        <w:rPr>
          <w:color w:val="231F20"/>
        </w:rPr>
        <w:t>de 500 </w:t>
      </w:r>
      <w:r>
        <w:rPr>
          <w:color w:val="231F20"/>
          <w:spacing w:val="2"/>
        </w:rPr>
        <w:t>pesos </w:t>
      </w:r>
      <w:r>
        <w:rPr>
          <w:color w:val="231F20"/>
          <w:spacing w:val="3"/>
        </w:rPr>
        <w:t>aproximadamente, </w:t>
      </w:r>
      <w:r>
        <w:rPr>
          <w:color w:val="231F20"/>
          <w:spacing w:val="2"/>
        </w:rPr>
        <w:t>con los cuales </w:t>
      </w:r>
      <w:r>
        <w:rPr>
          <w:color w:val="231F20"/>
        </w:rPr>
        <w:t>se </w:t>
      </w:r>
      <w:r>
        <w:rPr>
          <w:color w:val="231F20"/>
          <w:spacing w:val="2"/>
        </w:rPr>
        <w:t>cubren </w:t>
      </w:r>
      <w:r>
        <w:rPr>
          <w:color w:val="231F20"/>
        </w:rPr>
        <w:t>las </w:t>
      </w:r>
      <w:r>
        <w:rPr>
          <w:color w:val="231F20"/>
          <w:spacing w:val="2"/>
        </w:rPr>
        <w:t>cuotas </w:t>
      </w:r>
      <w:r>
        <w:rPr>
          <w:color w:val="231F20"/>
        </w:rPr>
        <w:t>de </w:t>
      </w:r>
      <w:r>
        <w:rPr>
          <w:color w:val="231F20"/>
          <w:spacing w:val="3"/>
        </w:rPr>
        <w:t>alimentación, </w:t>
      </w:r>
      <w:r>
        <w:rPr>
          <w:color w:val="231F20"/>
        </w:rPr>
        <w:t>luz y </w:t>
      </w:r>
      <w:r>
        <w:rPr>
          <w:color w:val="231F20"/>
          <w:spacing w:val="2"/>
        </w:rPr>
        <w:t>agua. Están </w:t>
      </w:r>
      <w:r>
        <w:rPr>
          <w:color w:val="231F20"/>
          <w:spacing w:val="3"/>
        </w:rPr>
        <w:t>acomoda- </w:t>
      </w:r>
      <w:r>
        <w:rPr>
          <w:color w:val="231F20"/>
          <w:spacing w:val="2"/>
        </w:rPr>
        <w:t>dos </w:t>
      </w:r>
      <w:r>
        <w:rPr>
          <w:color w:val="231F20"/>
        </w:rPr>
        <w:t>en </w:t>
      </w:r>
      <w:r>
        <w:rPr>
          <w:color w:val="231F20"/>
          <w:spacing w:val="2"/>
        </w:rPr>
        <w:t>cuartos </w:t>
      </w:r>
      <w:r>
        <w:rPr>
          <w:color w:val="231F20"/>
        </w:rPr>
        <w:t>de </w:t>
      </w:r>
      <w:r>
        <w:rPr>
          <w:color w:val="231F20"/>
          <w:spacing w:val="2"/>
        </w:rPr>
        <w:t>cinco </w:t>
      </w:r>
      <w:r>
        <w:rPr>
          <w:color w:val="231F20"/>
          <w:spacing w:val="3"/>
        </w:rPr>
        <w:t>personas, </w:t>
      </w:r>
      <w:r>
        <w:rPr>
          <w:color w:val="231F20"/>
          <w:spacing w:val="2"/>
        </w:rPr>
        <w:t>divididos entre </w:t>
      </w:r>
      <w:r>
        <w:rPr>
          <w:color w:val="231F20"/>
          <w:spacing w:val="3"/>
        </w:rPr>
        <w:t>hombres </w:t>
      </w:r>
      <w:r>
        <w:rPr>
          <w:color w:val="231F20"/>
        </w:rPr>
        <w:t>y </w:t>
      </w:r>
      <w:r>
        <w:rPr>
          <w:color w:val="231F20"/>
          <w:spacing w:val="2"/>
        </w:rPr>
        <w:t>muje- res. </w:t>
      </w:r>
      <w:r>
        <w:rPr>
          <w:color w:val="231F20"/>
        </w:rPr>
        <w:t>La </w:t>
      </w:r>
      <w:r>
        <w:rPr>
          <w:color w:val="231F20"/>
          <w:spacing w:val="2"/>
        </w:rPr>
        <w:t>casa con </w:t>
      </w:r>
      <w:r>
        <w:rPr>
          <w:color w:val="231F20"/>
        </w:rPr>
        <w:t>la que </w:t>
      </w:r>
      <w:r>
        <w:rPr>
          <w:color w:val="231F20"/>
          <w:spacing w:val="2"/>
        </w:rPr>
        <w:t>cuentan </w:t>
      </w:r>
      <w:r>
        <w:rPr>
          <w:color w:val="231F20"/>
        </w:rPr>
        <w:t>es </w:t>
      </w:r>
      <w:r>
        <w:rPr>
          <w:color w:val="231F20"/>
          <w:spacing w:val="2"/>
        </w:rPr>
        <w:t>rentada, </w:t>
      </w:r>
      <w:r>
        <w:rPr>
          <w:color w:val="231F20"/>
          <w:spacing w:val="3"/>
        </w:rPr>
        <w:t>debido </w:t>
      </w:r>
      <w:r>
        <w:rPr>
          <w:color w:val="231F20"/>
        </w:rPr>
        <w:t>a que </w:t>
      </w:r>
      <w:r>
        <w:rPr>
          <w:color w:val="231F20"/>
          <w:spacing w:val="3"/>
        </w:rPr>
        <w:t>depen- </w:t>
      </w:r>
      <w:r>
        <w:rPr>
          <w:color w:val="231F20"/>
          <w:spacing w:val="2"/>
        </w:rPr>
        <w:t>diendo </w:t>
      </w:r>
      <w:r>
        <w:rPr>
          <w:color w:val="231F20"/>
        </w:rPr>
        <w:t>de la </w:t>
      </w:r>
      <w:r>
        <w:rPr>
          <w:color w:val="231F20"/>
          <w:spacing w:val="2"/>
        </w:rPr>
        <w:t>cantidad </w:t>
      </w:r>
      <w:r>
        <w:rPr>
          <w:color w:val="231F20"/>
        </w:rPr>
        <w:t>de </w:t>
      </w:r>
      <w:r>
        <w:rPr>
          <w:color w:val="231F20"/>
          <w:spacing w:val="2"/>
        </w:rPr>
        <w:t>estudiantes que lleguen </w:t>
      </w:r>
      <w:r>
        <w:rPr>
          <w:color w:val="231F20"/>
        </w:rPr>
        <w:t>a </w:t>
      </w:r>
      <w:r>
        <w:rPr>
          <w:color w:val="231F20"/>
          <w:spacing w:val="2"/>
        </w:rPr>
        <w:t>solicitar </w:t>
      </w:r>
      <w:r>
        <w:rPr>
          <w:color w:val="231F20"/>
        </w:rPr>
        <w:t>su </w:t>
      </w:r>
      <w:r>
        <w:rPr>
          <w:color w:val="231F20"/>
          <w:spacing w:val="3"/>
        </w:rPr>
        <w:t>in- </w:t>
      </w:r>
      <w:r>
        <w:rPr>
          <w:color w:val="231F20"/>
          <w:spacing w:val="2"/>
        </w:rPr>
        <w:t>greso </w:t>
      </w:r>
      <w:r>
        <w:rPr>
          <w:color w:val="231F20"/>
        </w:rPr>
        <w:t>a la </w:t>
      </w:r>
      <w:r>
        <w:rPr>
          <w:color w:val="231F20"/>
          <w:spacing w:val="2"/>
        </w:rPr>
        <w:t>casa, </w:t>
      </w:r>
      <w:r>
        <w:rPr>
          <w:color w:val="231F20"/>
        </w:rPr>
        <w:t>se </w:t>
      </w:r>
      <w:r>
        <w:rPr>
          <w:color w:val="231F20"/>
          <w:spacing w:val="2"/>
        </w:rPr>
        <w:t>buscará </w:t>
      </w:r>
      <w:r>
        <w:rPr>
          <w:color w:val="231F20"/>
        </w:rPr>
        <w:t>un </w:t>
      </w:r>
      <w:r>
        <w:rPr>
          <w:color w:val="231F20"/>
          <w:spacing w:val="3"/>
        </w:rPr>
        <w:t>inmueble </w:t>
      </w:r>
      <w:r>
        <w:rPr>
          <w:color w:val="231F20"/>
          <w:spacing w:val="2"/>
        </w:rPr>
        <w:t>más apto. </w:t>
      </w:r>
      <w:r>
        <w:rPr>
          <w:color w:val="231F20"/>
          <w:spacing w:val="3"/>
        </w:rPr>
        <w:t>Aunque </w:t>
      </w:r>
      <w:r>
        <w:rPr>
          <w:color w:val="231F20"/>
          <w:spacing w:val="2"/>
        </w:rPr>
        <w:t>existen hoy </w:t>
      </w:r>
      <w:r>
        <w:rPr>
          <w:color w:val="231F20"/>
        </w:rPr>
        <w:t>en día </w:t>
      </w:r>
      <w:r>
        <w:rPr>
          <w:color w:val="231F20"/>
          <w:spacing w:val="2"/>
        </w:rPr>
        <w:t>solicitudes para ingresar </w:t>
      </w:r>
      <w:r>
        <w:rPr>
          <w:color w:val="231F20"/>
        </w:rPr>
        <w:t>no se </w:t>
      </w:r>
      <w:r>
        <w:rPr>
          <w:color w:val="231F20"/>
          <w:spacing w:val="2"/>
        </w:rPr>
        <w:t>tienen los espacios, </w:t>
      </w:r>
      <w:r>
        <w:rPr>
          <w:color w:val="231F20"/>
        </w:rPr>
        <w:t>lo  </w:t>
      </w:r>
      <w:r>
        <w:rPr>
          <w:color w:val="231F20"/>
          <w:spacing w:val="2"/>
        </w:rPr>
        <w:t>cual </w:t>
      </w:r>
      <w:r>
        <w:rPr>
          <w:color w:val="231F20"/>
        </w:rPr>
        <w:t>ha </w:t>
      </w:r>
      <w:r>
        <w:rPr>
          <w:color w:val="231F20"/>
          <w:spacing w:val="3"/>
        </w:rPr>
        <w:t>provocado </w:t>
      </w:r>
      <w:r>
        <w:rPr>
          <w:color w:val="231F20"/>
          <w:spacing w:val="2"/>
        </w:rPr>
        <w:t>que varios </w:t>
      </w:r>
      <w:r>
        <w:rPr>
          <w:color w:val="231F20"/>
          <w:spacing w:val="3"/>
        </w:rPr>
        <w:t>alumnos </w:t>
      </w:r>
      <w:r>
        <w:rPr>
          <w:color w:val="231F20"/>
        </w:rPr>
        <w:t>se </w:t>
      </w:r>
      <w:r>
        <w:rPr>
          <w:color w:val="231F20"/>
          <w:spacing w:val="3"/>
        </w:rPr>
        <w:t>encuentren </w:t>
      </w:r>
      <w:r>
        <w:rPr>
          <w:color w:val="231F20"/>
        </w:rPr>
        <w:t>en lista de </w:t>
      </w:r>
      <w:r>
        <w:rPr>
          <w:color w:val="231F20"/>
          <w:spacing w:val="2"/>
        </w:rPr>
        <w:t>espera, sobre todo </w:t>
      </w:r>
      <w:r>
        <w:rPr>
          <w:color w:val="231F20"/>
        </w:rPr>
        <w:t>en </w:t>
      </w:r>
      <w:r>
        <w:rPr>
          <w:color w:val="231F20"/>
          <w:spacing w:val="2"/>
        </w:rPr>
        <w:t>este último </w:t>
      </w:r>
      <w:r>
        <w:rPr>
          <w:color w:val="231F20"/>
          <w:spacing w:val="5"/>
        </w:rPr>
        <w:t> </w:t>
      </w:r>
      <w:r>
        <w:rPr>
          <w:color w:val="231F20"/>
          <w:spacing w:val="2"/>
        </w:rPr>
        <w:t>semestre.</w:t>
      </w:r>
    </w:p>
    <w:p>
      <w:pPr>
        <w:pStyle w:val="BodyText"/>
        <w:spacing w:line="247" w:lineRule="auto"/>
        <w:ind w:left="102" w:right="106" w:firstLine="284"/>
        <w:jc w:val="both"/>
      </w:pPr>
      <w:r>
        <w:rPr>
          <w:color w:val="231F20"/>
        </w:rPr>
        <w:t>La creación de la Casa Universitaria Indígena permite que los es- tudiantes se relacionen de una manera más libre y amena. Todos los entrevistados mencionaron que la convivencia que llevan en la casa les agrada mucho, debido también a que varios estudiantes estuvie- ron rentando solos antes de llegar a la casa, por lo que al estar en  esta sintieron el apoyo de sus demás compañeros y se sintieron acompañados. La dinámica que se lleva dentro de la casa permite que los habitantes se presten dinero y se apoyen</w:t>
      </w:r>
      <w:r>
        <w:rPr>
          <w:color w:val="231F20"/>
          <w:spacing w:val="52"/>
        </w:rPr>
        <w:t> </w:t>
      </w:r>
      <w:r>
        <w:rPr>
          <w:color w:val="231F20"/>
        </w:rPr>
        <w:t>moralmente.</w:t>
      </w:r>
    </w:p>
    <w:p>
      <w:pPr>
        <w:pStyle w:val="BodyText"/>
        <w:spacing w:line="249" w:lineRule="auto" w:before="1"/>
        <w:ind w:left="102" w:right="107" w:firstLine="283"/>
        <w:jc w:val="both"/>
      </w:pPr>
      <w:r>
        <w:rPr>
          <w:color w:val="231F20"/>
        </w:rPr>
        <w:t>Sus </w:t>
      </w:r>
      <w:r>
        <w:rPr>
          <w:color w:val="231F20"/>
          <w:spacing w:val="2"/>
        </w:rPr>
        <w:t>inquilinos son estudiantes </w:t>
      </w:r>
      <w:r>
        <w:rPr>
          <w:color w:val="231F20"/>
          <w:spacing w:val="3"/>
        </w:rPr>
        <w:t>provenientes </w:t>
      </w:r>
      <w:r>
        <w:rPr>
          <w:color w:val="231F20"/>
        </w:rPr>
        <w:t>de las </w:t>
      </w:r>
      <w:r>
        <w:rPr>
          <w:color w:val="231F20"/>
          <w:spacing w:val="2"/>
        </w:rPr>
        <w:t>distintas </w:t>
      </w:r>
      <w:r>
        <w:rPr>
          <w:color w:val="231F20"/>
          <w:spacing w:val="4"/>
        </w:rPr>
        <w:t>po- </w:t>
      </w:r>
      <w:r>
        <w:rPr>
          <w:color w:val="231F20"/>
          <w:spacing w:val="2"/>
        </w:rPr>
        <w:t>blaciones </w:t>
      </w:r>
      <w:r>
        <w:rPr>
          <w:color w:val="231F20"/>
        </w:rPr>
        <w:t>del </w:t>
      </w:r>
      <w:r>
        <w:rPr>
          <w:color w:val="231F20"/>
          <w:spacing w:val="2"/>
        </w:rPr>
        <w:t>estado </w:t>
      </w:r>
      <w:r>
        <w:rPr>
          <w:color w:val="231F20"/>
        </w:rPr>
        <w:t>de </w:t>
      </w:r>
      <w:r>
        <w:rPr>
          <w:color w:val="231F20"/>
          <w:spacing w:val="2"/>
        </w:rPr>
        <w:t>Oaxaca. Hay una gran diversidad </w:t>
      </w:r>
      <w:r>
        <w:rPr>
          <w:color w:val="231F20"/>
        </w:rPr>
        <w:t>de </w:t>
      </w:r>
      <w:r>
        <w:rPr>
          <w:color w:val="231F20"/>
          <w:spacing w:val="3"/>
        </w:rPr>
        <w:t>etnias conviviendo. </w:t>
      </w:r>
      <w:r>
        <w:rPr>
          <w:color w:val="231F20"/>
          <w:spacing w:val="2"/>
        </w:rPr>
        <w:t>Trece </w:t>
      </w:r>
      <w:r>
        <w:rPr>
          <w:color w:val="231F20"/>
          <w:spacing w:val="3"/>
        </w:rPr>
        <w:t>grupos </w:t>
      </w:r>
      <w:r>
        <w:rPr>
          <w:color w:val="231F20"/>
          <w:spacing w:val="2"/>
        </w:rPr>
        <w:t>étnicos </w:t>
      </w:r>
      <w:r>
        <w:rPr>
          <w:color w:val="231F20"/>
        </w:rPr>
        <w:t>se </w:t>
      </w:r>
      <w:r>
        <w:rPr>
          <w:color w:val="231F20"/>
          <w:spacing w:val="3"/>
        </w:rPr>
        <w:t>encuentran </w:t>
      </w:r>
      <w:r>
        <w:rPr>
          <w:color w:val="231F20"/>
          <w:spacing w:val="2"/>
        </w:rPr>
        <w:t>presentes </w:t>
      </w:r>
      <w:r>
        <w:rPr>
          <w:color w:val="231F20"/>
        </w:rPr>
        <w:t>en </w:t>
      </w:r>
      <w:r>
        <w:rPr>
          <w:color w:val="231F20"/>
          <w:spacing w:val="2"/>
        </w:rPr>
        <w:t>este espacio. Los jóvenes opinan que </w:t>
      </w:r>
      <w:r>
        <w:rPr>
          <w:color w:val="231F20"/>
          <w:spacing w:val="3"/>
        </w:rPr>
        <w:t>aunque </w:t>
      </w:r>
      <w:r>
        <w:rPr>
          <w:color w:val="231F20"/>
          <w:spacing w:val="2"/>
        </w:rPr>
        <w:t>provienen </w:t>
      </w:r>
      <w:r>
        <w:rPr>
          <w:color w:val="231F20"/>
        </w:rPr>
        <w:t>de </w:t>
      </w:r>
      <w:r>
        <w:rPr>
          <w:color w:val="231F20"/>
          <w:spacing w:val="2"/>
        </w:rPr>
        <w:t>distintas</w:t>
      </w:r>
      <w:r>
        <w:rPr>
          <w:color w:val="231F20"/>
          <w:spacing w:val="56"/>
        </w:rPr>
        <w:t> </w:t>
      </w:r>
      <w:r>
        <w:rPr>
          <w:color w:val="231F20"/>
          <w:spacing w:val="2"/>
        </w:rPr>
        <w:t>partes </w:t>
      </w:r>
      <w:r>
        <w:rPr>
          <w:color w:val="231F20"/>
        </w:rPr>
        <w:t>y sus </w:t>
      </w:r>
      <w:r>
        <w:rPr>
          <w:color w:val="231F20"/>
          <w:spacing w:val="2"/>
        </w:rPr>
        <w:t>lenguas son diferentes, existe una identidad por parte  </w:t>
      </w:r>
      <w:r>
        <w:rPr>
          <w:color w:val="231F20"/>
        </w:rPr>
        <w:t>de </w:t>
      </w:r>
      <w:r>
        <w:rPr>
          <w:color w:val="231F20"/>
          <w:spacing w:val="2"/>
        </w:rPr>
        <w:t>ellos </w:t>
      </w:r>
      <w:r>
        <w:rPr>
          <w:color w:val="231F20"/>
          <w:spacing w:val="3"/>
        </w:rPr>
        <w:t>como comunidad </w:t>
      </w:r>
      <w:r>
        <w:rPr>
          <w:color w:val="231F20"/>
          <w:spacing w:val="2"/>
        </w:rPr>
        <w:t>indígena, </w:t>
      </w:r>
      <w:r>
        <w:rPr>
          <w:color w:val="231F20"/>
        </w:rPr>
        <w:t>lo </w:t>
      </w:r>
      <w:r>
        <w:rPr>
          <w:color w:val="231F20"/>
          <w:spacing w:val="2"/>
        </w:rPr>
        <w:t>cual coloca </w:t>
      </w:r>
      <w:r>
        <w:rPr>
          <w:color w:val="231F20"/>
        </w:rPr>
        <w:t>a la </w:t>
      </w:r>
      <w:r>
        <w:rPr>
          <w:color w:val="231F20"/>
          <w:spacing w:val="2"/>
        </w:rPr>
        <w:t>casa </w:t>
      </w:r>
      <w:r>
        <w:rPr>
          <w:color w:val="231F20"/>
          <w:spacing w:val="3"/>
        </w:rPr>
        <w:t>como </w:t>
      </w:r>
      <w:r>
        <w:rPr>
          <w:color w:val="231F20"/>
          <w:spacing w:val="2"/>
        </w:rPr>
        <w:t>aquella </w:t>
      </w:r>
      <w:r>
        <w:rPr>
          <w:color w:val="231F20"/>
          <w:spacing w:val="3"/>
        </w:rPr>
        <w:t>generadora </w:t>
      </w:r>
      <w:r>
        <w:rPr>
          <w:color w:val="231F20"/>
        </w:rPr>
        <w:t>de </w:t>
      </w:r>
      <w:r>
        <w:rPr>
          <w:color w:val="231F20"/>
          <w:spacing w:val="2"/>
        </w:rPr>
        <w:t>relaciones interculturales </w:t>
      </w:r>
      <w:r>
        <w:rPr>
          <w:color w:val="231F20"/>
        </w:rPr>
        <w:t>en </w:t>
      </w:r>
      <w:r>
        <w:rPr>
          <w:color w:val="231F20"/>
          <w:spacing w:val="2"/>
        </w:rPr>
        <w:t>los </w:t>
      </w:r>
      <w:r>
        <w:rPr>
          <w:color w:val="231F20"/>
          <w:spacing w:val="3"/>
        </w:rPr>
        <w:t>ámbitos </w:t>
      </w:r>
      <w:r>
        <w:rPr>
          <w:color w:val="231F20"/>
        </w:rPr>
        <w:t>de  la </w:t>
      </w:r>
      <w:r>
        <w:rPr>
          <w:color w:val="231F20"/>
          <w:spacing w:val="2"/>
        </w:rPr>
        <w:t>vida cotidiana </w:t>
      </w:r>
      <w:r>
        <w:rPr>
          <w:color w:val="231F20"/>
        </w:rPr>
        <w:t>de </w:t>
      </w:r>
      <w:r>
        <w:rPr>
          <w:color w:val="231F20"/>
          <w:spacing w:val="2"/>
        </w:rPr>
        <w:t>los </w:t>
      </w:r>
      <w:r>
        <w:rPr>
          <w:color w:val="231F20"/>
          <w:spacing w:val="3"/>
        </w:rPr>
        <w:t>alumnos </w:t>
      </w:r>
      <w:r>
        <w:rPr>
          <w:color w:val="231F20"/>
          <w:spacing w:val="2"/>
        </w:rPr>
        <w:t>universitarios, </w:t>
      </w:r>
      <w:r>
        <w:rPr>
          <w:color w:val="231F20"/>
          <w:spacing w:val="3"/>
        </w:rPr>
        <w:t>compartiendo </w:t>
      </w:r>
      <w:r>
        <w:rPr>
          <w:color w:val="231F20"/>
        </w:rPr>
        <w:t>un  fin </w:t>
      </w:r>
      <w:r>
        <w:rPr>
          <w:color w:val="231F20"/>
          <w:spacing w:val="3"/>
        </w:rPr>
        <w:t>común: </w:t>
      </w:r>
      <w:r>
        <w:rPr>
          <w:color w:val="231F20"/>
          <w:spacing w:val="2"/>
        </w:rPr>
        <w:t>concluir </w:t>
      </w:r>
      <w:r>
        <w:rPr>
          <w:color w:val="231F20"/>
        </w:rPr>
        <w:t>sus </w:t>
      </w:r>
      <w:r>
        <w:rPr>
          <w:color w:val="231F20"/>
          <w:spacing w:val="2"/>
        </w:rPr>
        <w:t>estudios </w:t>
      </w:r>
      <w:r>
        <w:rPr>
          <w:color w:val="231F20"/>
        </w:rPr>
        <w:t>de </w:t>
      </w:r>
      <w:r>
        <w:rPr>
          <w:color w:val="231F20"/>
          <w:spacing w:val="2"/>
        </w:rPr>
        <w:t>nivel</w:t>
      </w:r>
      <w:r>
        <w:rPr>
          <w:color w:val="231F20"/>
          <w:spacing w:val="32"/>
        </w:rPr>
        <w:t> </w:t>
      </w:r>
      <w:r>
        <w:rPr>
          <w:color w:val="231F20"/>
          <w:spacing w:val="2"/>
        </w:rPr>
        <w:t>superior.</w:t>
      </w:r>
    </w:p>
    <w:p>
      <w:pPr>
        <w:pStyle w:val="BodyText"/>
        <w:spacing w:line="247" w:lineRule="auto"/>
        <w:ind w:left="102" w:right="111" w:firstLine="284"/>
        <w:jc w:val="both"/>
      </w:pPr>
      <w:r>
        <w:rPr>
          <w:color w:val="231F20"/>
          <w:spacing w:val="2"/>
        </w:rPr>
        <w:t>Por otra parte, </w:t>
      </w:r>
      <w:r>
        <w:rPr>
          <w:color w:val="231F20"/>
          <w:spacing w:val="3"/>
        </w:rPr>
        <w:t>como </w:t>
      </w:r>
      <w:r>
        <w:rPr>
          <w:color w:val="231F20"/>
          <w:spacing w:val="2"/>
        </w:rPr>
        <w:t>una estrategia </w:t>
      </w:r>
      <w:r>
        <w:rPr>
          <w:color w:val="231F20"/>
        </w:rPr>
        <w:t>de </w:t>
      </w:r>
      <w:r>
        <w:rPr>
          <w:color w:val="231F20"/>
          <w:spacing w:val="2"/>
        </w:rPr>
        <w:t>sobrevivencia </w:t>
      </w:r>
      <w:r>
        <w:rPr>
          <w:color w:val="231F20"/>
        </w:rPr>
        <w:t>de la </w:t>
      </w:r>
      <w:r>
        <w:rPr>
          <w:color w:val="231F20"/>
          <w:spacing w:val="2"/>
        </w:rPr>
        <w:t>Casa del </w:t>
      </w:r>
      <w:r>
        <w:rPr>
          <w:color w:val="231F20"/>
          <w:spacing w:val="3"/>
        </w:rPr>
        <w:t>Estudiante </w:t>
      </w:r>
      <w:r>
        <w:rPr>
          <w:color w:val="231F20"/>
          <w:spacing w:val="2"/>
        </w:rPr>
        <w:t>Indígena los estudiantes decidieron </w:t>
      </w:r>
      <w:r>
        <w:rPr>
          <w:color w:val="231F20"/>
          <w:spacing w:val="3"/>
        </w:rPr>
        <w:t>formarse como </w:t>
      </w:r>
      <w:r>
        <w:rPr>
          <w:color w:val="231F20"/>
          <w:spacing w:val="2"/>
        </w:rPr>
        <w:t>asociación </w:t>
      </w:r>
      <w:r>
        <w:rPr>
          <w:color w:val="231F20"/>
        </w:rPr>
        <w:t>civil en el </w:t>
      </w:r>
      <w:r>
        <w:rPr>
          <w:color w:val="231F20"/>
          <w:spacing w:val="2"/>
        </w:rPr>
        <w:t>2007. </w:t>
      </w:r>
      <w:r>
        <w:rPr>
          <w:color w:val="231F20"/>
        </w:rPr>
        <w:t>El </w:t>
      </w:r>
      <w:r>
        <w:rPr>
          <w:color w:val="231F20"/>
          <w:spacing w:val="2"/>
        </w:rPr>
        <w:t>objetivo </w:t>
      </w:r>
      <w:r>
        <w:rPr>
          <w:color w:val="231F20"/>
        </w:rPr>
        <w:t>fue </w:t>
      </w:r>
      <w:r>
        <w:rPr>
          <w:color w:val="231F20"/>
          <w:spacing w:val="2"/>
        </w:rPr>
        <w:t>buscar </w:t>
      </w:r>
      <w:r>
        <w:rPr>
          <w:color w:val="231F20"/>
          <w:spacing w:val="54"/>
        </w:rPr>
        <w:t> </w:t>
      </w:r>
      <w:r>
        <w:rPr>
          <w:color w:val="231F20"/>
          <w:spacing w:val="3"/>
        </w:rPr>
        <w:t>financiamiento,</w:t>
      </w:r>
    </w:p>
    <w:p>
      <w:pPr>
        <w:spacing w:after="0" w:line="247" w:lineRule="auto"/>
        <w:jc w:val="both"/>
        <w:sectPr>
          <w:headerReference w:type="default" r:id="rId731"/>
          <w:footerReference w:type="default" r:id="rId732"/>
          <w:pgSz w:w="7830" w:h="11910"/>
          <w:pgMar w:header="0" w:footer="424" w:top="500" w:bottom="620" w:left="920" w:right="880"/>
          <w:pgNumType w:start="328"/>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13" w:right="115"/>
        <w:jc w:val="both"/>
      </w:pPr>
      <w:r>
        <w:rPr>
          <w:color w:val="231F20"/>
        </w:rPr>
        <w:t>mismo que hasta hace unos meses se logró a través de la CDI, por medio del financiamiento para albergues escolares, otorgándose 25 becas a estudiantes. La universidad apoya con el 35% de la renta y el resto es la aportación mensual de los estudiantes. Cabe señalar que entre vivienda y manutención el estudiante indígena gasta en promedio $600.00 al mes.</w:t>
      </w:r>
    </w:p>
    <w:p>
      <w:pPr>
        <w:pStyle w:val="BodyText"/>
        <w:spacing w:line="249" w:lineRule="auto"/>
        <w:ind w:left="112" w:right="116" w:firstLine="284"/>
        <w:jc w:val="both"/>
      </w:pPr>
      <w:r>
        <w:rPr>
          <w:color w:val="231F20"/>
          <w:spacing w:val="2"/>
        </w:rPr>
        <w:t>Los problemas mayores </w:t>
      </w:r>
      <w:r>
        <w:rPr>
          <w:color w:val="231F20"/>
        </w:rPr>
        <w:t>que </w:t>
      </w:r>
      <w:r>
        <w:rPr>
          <w:color w:val="231F20"/>
          <w:spacing w:val="2"/>
        </w:rPr>
        <w:t>enfrentan </w:t>
      </w:r>
      <w:r>
        <w:rPr>
          <w:color w:val="231F20"/>
        </w:rPr>
        <w:t>los </w:t>
      </w:r>
      <w:r>
        <w:rPr>
          <w:color w:val="231F20"/>
          <w:spacing w:val="2"/>
        </w:rPr>
        <w:t>estudiantes indíge- nas </w:t>
      </w:r>
      <w:r>
        <w:rPr>
          <w:color w:val="231F20"/>
        </w:rPr>
        <w:t>de la </w:t>
      </w:r>
      <w:r>
        <w:rPr>
          <w:color w:val="231F20"/>
          <w:spacing w:val="3"/>
        </w:rPr>
        <w:t>UABJO </w:t>
      </w:r>
      <w:r>
        <w:rPr>
          <w:color w:val="231F20"/>
          <w:spacing w:val="2"/>
        </w:rPr>
        <w:t>están relacionados con los aspectos </w:t>
      </w:r>
      <w:r>
        <w:rPr>
          <w:color w:val="231F20"/>
          <w:spacing w:val="3"/>
        </w:rPr>
        <w:t>económico, </w:t>
      </w:r>
      <w:r>
        <w:rPr>
          <w:color w:val="231F20"/>
          <w:spacing w:val="2"/>
        </w:rPr>
        <w:t>social </w:t>
      </w:r>
      <w:r>
        <w:rPr>
          <w:color w:val="231F20"/>
        </w:rPr>
        <w:t>y </w:t>
      </w:r>
      <w:r>
        <w:rPr>
          <w:color w:val="231F20"/>
          <w:spacing w:val="2"/>
        </w:rPr>
        <w:t>lingüístico. Por </w:t>
      </w:r>
      <w:r>
        <w:rPr>
          <w:color w:val="231F20"/>
        </w:rPr>
        <w:t>su </w:t>
      </w:r>
      <w:r>
        <w:rPr>
          <w:color w:val="231F20"/>
          <w:spacing w:val="2"/>
        </w:rPr>
        <w:t>parte, </w:t>
      </w:r>
      <w:r>
        <w:rPr>
          <w:color w:val="231F20"/>
        </w:rPr>
        <w:t>el </w:t>
      </w:r>
      <w:r>
        <w:rPr>
          <w:color w:val="231F20"/>
          <w:spacing w:val="2"/>
        </w:rPr>
        <w:t>director </w:t>
      </w:r>
      <w:r>
        <w:rPr>
          <w:color w:val="231F20"/>
        </w:rPr>
        <w:t>de la </w:t>
      </w:r>
      <w:r>
        <w:rPr>
          <w:color w:val="231F20"/>
          <w:spacing w:val="2"/>
        </w:rPr>
        <w:t>institución </w:t>
      </w:r>
      <w:r>
        <w:rPr>
          <w:color w:val="231F20"/>
          <w:spacing w:val="3"/>
        </w:rPr>
        <w:t>opina </w:t>
      </w:r>
      <w:r>
        <w:rPr>
          <w:color w:val="231F20"/>
        </w:rPr>
        <w:t>lo </w:t>
      </w:r>
      <w:r>
        <w:rPr>
          <w:color w:val="231F20"/>
          <w:spacing w:val="2"/>
        </w:rPr>
        <w:t>siguiente: “ellos hacen sus cuentas mal </w:t>
      </w:r>
      <w:r>
        <w:rPr>
          <w:color w:val="231F20"/>
        </w:rPr>
        <w:t>y, </w:t>
      </w:r>
      <w:r>
        <w:rPr>
          <w:color w:val="231F20"/>
          <w:spacing w:val="3"/>
        </w:rPr>
        <w:t>cuando </w:t>
      </w:r>
      <w:r>
        <w:rPr>
          <w:color w:val="231F20"/>
        </w:rPr>
        <w:t>ya </w:t>
      </w:r>
      <w:r>
        <w:rPr>
          <w:color w:val="231F20"/>
          <w:spacing w:val="2"/>
        </w:rPr>
        <w:t>están aquí, los </w:t>
      </w:r>
      <w:r>
        <w:rPr>
          <w:color w:val="231F20"/>
          <w:spacing w:val="3"/>
        </w:rPr>
        <w:t>números </w:t>
      </w:r>
      <w:r>
        <w:rPr>
          <w:color w:val="231F20"/>
        </w:rPr>
        <w:t>no </w:t>
      </w:r>
      <w:r>
        <w:rPr>
          <w:color w:val="231F20"/>
          <w:spacing w:val="2"/>
        </w:rPr>
        <w:t>salen, </w:t>
      </w:r>
      <w:r>
        <w:rPr>
          <w:color w:val="231F20"/>
        </w:rPr>
        <w:t>y </w:t>
      </w:r>
      <w:r>
        <w:rPr>
          <w:color w:val="231F20"/>
          <w:spacing w:val="2"/>
        </w:rPr>
        <w:t>carecen </w:t>
      </w:r>
      <w:r>
        <w:rPr>
          <w:color w:val="231F20"/>
        </w:rPr>
        <w:t>de un </w:t>
      </w:r>
      <w:r>
        <w:rPr>
          <w:color w:val="231F20"/>
          <w:spacing w:val="2"/>
        </w:rPr>
        <w:t>tejido social </w:t>
      </w:r>
      <w:r>
        <w:rPr>
          <w:color w:val="231F20"/>
        </w:rPr>
        <w:t>en el que </w:t>
      </w:r>
      <w:r>
        <w:rPr>
          <w:color w:val="231F20"/>
          <w:spacing w:val="2"/>
        </w:rPr>
        <w:t>pue- dan ellos apoyarse, sobre todo </w:t>
      </w:r>
      <w:r>
        <w:rPr>
          <w:color w:val="231F20"/>
          <w:spacing w:val="3"/>
        </w:rPr>
        <w:t>cuando </w:t>
      </w:r>
      <w:r>
        <w:rPr>
          <w:color w:val="231F20"/>
          <w:spacing w:val="2"/>
        </w:rPr>
        <w:t>vienen solos”. </w:t>
      </w:r>
      <w:r>
        <w:rPr>
          <w:color w:val="231F20"/>
          <w:spacing w:val="3"/>
        </w:rPr>
        <w:t>Algunos </w:t>
      </w:r>
      <w:r>
        <w:rPr>
          <w:color w:val="231F20"/>
          <w:spacing w:val="2"/>
        </w:rPr>
        <w:t>jóvenes </w:t>
      </w:r>
      <w:r>
        <w:rPr>
          <w:color w:val="231F20"/>
        </w:rPr>
        <w:t>en lo </w:t>
      </w:r>
      <w:r>
        <w:rPr>
          <w:color w:val="231F20"/>
          <w:spacing w:val="2"/>
        </w:rPr>
        <w:t>que </w:t>
      </w:r>
      <w:r>
        <w:rPr>
          <w:color w:val="231F20"/>
          <w:spacing w:val="3"/>
        </w:rPr>
        <w:t>encuentran </w:t>
      </w:r>
      <w:r>
        <w:rPr>
          <w:color w:val="231F20"/>
          <w:spacing w:val="2"/>
        </w:rPr>
        <w:t>cuarto </w:t>
      </w:r>
      <w:r>
        <w:rPr>
          <w:color w:val="231F20"/>
        </w:rPr>
        <w:t>se </w:t>
      </w:r>
      <w:r>
        <w:rPr>
          <w:color w:val="231F20"/>
          <w:spacing w:val="3"/>
        </w:rPr>
        <w:t>quedan </w:t>
      </w:r>
      <w:r>
        <w:rPr>
          <w:color w:val="231F20"/>
        </w:rPr>
        <w:t>en la </w:t>
      </w:r>
      <w:r>
        <w:rPr>
          <w:color w:val="231F20"/>
          <w:spacing w:val="2"/>
        </w:rPr>
        <w:t>central ca- mionera, porque </w:t>
      </w:r>
      <w:r>
        <w:rPr>
          <w:color w:val="231F20"/>
        </w:rPr>
        <w:t>ya no les </w:t>
      </w:r>
      <w:r>
        <w:rPr>
          <w:color w:val="231F20"/>
          <w:spacing w:val="2"/>
        </w:rPr>
        <w:t>alcanza </w:t>
      </w:r>
      <w:r>
        <w:rPr>
          <w:color w:val="231F20"/>
        </w:rPr>
        <w:t>el </w:t>
      </w:r>
      <w:r>
        <w:rPr>
          <w:color w:val="231F20"/>
          <w:spacing w:val="2"/>
        </w:rPr>
        <w:t>dinero </w:t>
      </w:r>
      <w:r>
        <w:rPr>
          <w:color w:val="231F20"/>
        </w:rPr>
        <w:t>y eso es una </w:t>
      </w:r>
      <w:r>
        <w:rPr>
          <w:color w:val="231F20"/>
          <w:spacing w:val="2"/>
        </w:rPr>
        <w:t>condición </w:t>
      </w:r>
      <w:r>
        <w:rPr>
          <w:color w:val="231F20"/>
        </w:rPr>
        <w:t>de </w:t>
      </w:r>
      <w:r>
        <w:rPr>
          <w:color w:val="231F20"/>
          <w:spacing w:val="2"/>
        </w:rPr>
        <w:t>mala administración del </w:t>
      </w:r>
      <w:r>
        <w:rPr>
          <w:color w:val="231F20"/>
          <w:spacing w:val="3"/>
        </w:rPr>
        <w:t>presupuesto. </w:t>
      </w:r>
      <w:r>
        <w:rPr>
          <w:color w:val="231F20"/>
          <w:spacing w:val="2"/>
        </w:rPr>
        <w:t>Por eso, para </w:t>
      </w:r>
      <w:r>
        <w:rPr>
          <w:color w:val="231F20"/>
        </w:rPr>
        <w:t>el  </w:t>
      </w:r>
      <w:r>
        <w:rPr>
          <w:color w:val="231F20"/>
          <w:spacing w:val="2"/>
        </w:rPr>
        <w:t>2011 existe una </w:t>
      </w:r>
      <w:r>
        <w:rPr>
          <w:color w:val="231F20"/>
          <w:spacing w:val="3"/>
        </w:rPr>
        <w:t>campaña </w:t>
      </w:r>
      <w:r>
        <w:rPr>
          <w:color w:val="231F20"/>
          <w:spacing w:val="2"/>
        </w:rPr>
        <w:t>para visitar </w:t>
      </w:r>
      <w:r>
        <w:rPr>
          <w:color w:val="231F20"/>
        </w:rPr>
        <w:t>60 </w:t>
      </w:r>
      <w:r>
        <w:rPr>
          <w:color w:val="231F20"/>
          <w:spacing w:val="3"/>
        </w:rPr>
        <w:t>comunidades </w:t>
      </w:r>
      <w:r>
        <w:rPr>
          <w:color w:val="231F20"/>
          <w:spacing w:val="2"/>
        </w:rPr>
        <w:t>que cuenten con bachillerato por parte </w:t>
      </w:r>
      <w:r>
        <w:rPr>
          <w:color w:val="231F20"/>
        </w:rPr>
        <w:t>de </w:t>
      </w:r>
      <w:r>
        <w:rPr>
          <w:color w:val="231F20"/>
          <w:spacing w:val="2"/>
        </w:rPr>
        <w:t>los estudiantes </w:t>
      </w:r>
      <w:r>
        <w:rPr>
          <w:color w:val="231F20"/>
        </w:rPr>
        <w:t>de la </w:t>
      </w:r>
      <w:r>
        <w:rPr>
          <w:color w:val="231F20"/>
          <w:spacing w:val="2"/>
        </w:rPr>
        <w:t>casa. </w:t>
      </w:r>
      <w:r>
        <w:rPr>
          <w:color w:val="231F20"/>
        </w:rPr>
        <w:t>El </w:t>
      </w:r>
      <w:r>
        <w:rPr>
          <w:color w:val="231F20"/>
          <w:spacing w:val="2"/>
        </w:rPr>
        <w:t>objetivo </w:t>
      </w:r>
      <w:r>
        <w:rPr>
          <w:color w:val="231F20"/>
        </w:rPr>
        <w:t>de </w:t>
      </w:r>
      <w:r>
        <w:rPr>
          <w:color w:val="231F20"/>
          <w:spacing w:val="2"/>
        </w:rPr>
        <w:t>esto </w:t>
      </w:r>
      <w:r>
        <w:rPr>
          <w:color w:val="231F20"/>
        </w:rPr>
        <w:t>es </w:t>
      </w:r>
      <w:r>
        <w:rPr>
          <w:color w:val="231F20"/>
          <w:spacing w:val="2"/>
        </w:rPr>
        <w:t>difundir los </w:t>
      </w:r>
      <w:r>
        <w:rPr>
          <w:color w:val="231F20"/>
          <w:spacing w:val="3"/>
        </w:rPr>
        <w:t>apoyos, </w:t>
      </w:r>
      <w:r>
        <w:rPr>
          <w:color w:val="231F20"/>
        </w:rPr>
        <w:t>las </w:t>
      </w:r>
      <w:r>
        <w:rPr>
          <w:color w:val="231F20"/>
          <w:spacing w:val="2"/>
        </w:rPr>
        <w:t>becas </w:t>
      </w:r>
      <w:r>
        <w:rPr>
          <w:color w:val="231F20"/>
        </w:rPr>
        <w:t>y la </w:t>
      </w:r>
      <w:r>
        <w:rPr>
          <w:color w:val="231F20"/>
          <w:spacing w:val="2"/>
        </w:rPr>
        <w:t>Casa del </w:t>
      </w:r>
      <w:r>
        <w:rPr>
          <w:color w:val="231F20"/>
          <w:spacing w:val="3"/>
        </w:rPr>
        <w:t>Estudiante In- </w:t>
      </w:r>
      <w:r>
        <w:rPr>
          <w:color w:val="231F20"/>
          <w:spacing w:val="2"/>
        </w:rPr>
        <w:t>dígena</w:t>
      </w:r>
      <w:r>
        <w:rPr>
          <w:color w:val="231F20"/>
          <w:spacing w:val="-21"/>
        </w:rPr>
        <w:t> </w:t>
      </w:r>
      <w:r>
        <w:rPr>
          <w:color w:val="231F20"/>
          <w:spacing w:val="2"/>
        </w:rPr>
        <w:t>Universitario.</w:t>
      </w:r>
    </w:p>
    <w:p>
      <w:pPr>
        <w:pStyle w:val="BodyText"/>
        <w:spacing w:line="247" w:lineRule="auto"/>
        <w:ind w:left="113" w:right="117" w:firstLine="284"/>
        <w:jc w:val="both"/>
      </w:pPr>
      <w:r>
        <w:rPr>
          <w:color w:val="231F20"/>
          <w:spacing w:val="2"/>
        </w:rPr>
        <w:t>Para cerrar este apartado, solo </w:t>
      </w:r>
      <w:r>
        <w:rPr>
          <w:color w:val="231F20"/>
          <w:spacing w:val="3"/>
        </w:rPr>
        <w:t>queremos </w:t>
      </w:r>
      <w:r>
        <w:rPr>
          <w:color w:val="231F20"/>
          <w:spacing w:val="2"/>
        </w:rPr>
        <w:t>hacer alusión </w:t>
      </w:r>
      <w:r>
        <w:rPr>
          <w:color w:val="231F20"/>
        </w:rPr>
        <w:t>a </w:t>
      </w:r>
      <w:r>
        <w:rPr>
          <w:color w:val="231F20"/>
          <w:spacing w:val="2"/>
        </w:rPr>
        <w:t>que </w:t>
      </w:r>
      <w:r>
        <w:rPr>
          <w:color w:val="231F20"/>
          <w:spacing w:val="3"/>
        </w:rPr>
        <w:t>durante </w:t>
      </w:r>
      <w:r>
        <w:rPr>
          <w:color w:val="231F20"/>
          <w:spacing w:val="2"/>
        </w:rPr>
        <w:t>los cuatro años </w:t>
      </w:r>
      <w:r>
        <w:rPr>
          <w:color w:val="231F20"/>
        </w:rPr>
        <w:t>de </w:t>
      </w:r>
      <w:r>
        <w:rPr>
          <w:color w:val="231F20"/>
          <w:spacing w:val="3"/>
        </w:rPr>
        <w:t>funcionamiento </w:t>
      </w:r>
      <w:r>
        <w:rPr>
          <w:color w:val="231F20"/>
          <w:spacing w:val="2"/>
        </w:rPr>
        <w:t>que </w:t>
      </w:r>
      <w:r>
        <w:rPr>
          <w:color w:val="231F20"/>
        </w:rPr>
        <w:t>lleva la </w:t>
      </w:r>
      <w:r>
        <w:rPr>
          <w:color w:val="231F20"/>
          <w:spacing w:val="2"/>
        </w:rPr>
        <w:t>unidad, </w:t>
      </w:r>
      <w:r>
        <w:rPr>
          <w:color w:val="231F20"/>
        </w:rPr>
        <w:t>se ha </w:t>
      </w:r>
      <w:r>
        <w:rPr>
          <w:color w:val="231F20"/>
          <w:spacing w:val="2"/>
        </w:rPr>
        <w:t>avanzado </w:t>
      </w:r>
      <w:r>
        <w:rPr>
          <w:color w:val="231F20"/>
          <w:spacing w:val="3"/>
        </w:rPr>
        <w:t>poco, </w:t>
      </w:r>
      <w:r>
        <w:rPr>
          <w:color w:val="231F20"/>
          <w:spacing w:val="2"/>
        </w:rPr>
        <w:t>pues </w:t>
      </w:r>
      <w:r>
        <w:rPr>
          <w:color w:val="231F20"/>
        </w:rPr>
        <w:t>en el </w:t>
      </w:r>
      <w:r>
        <w:rPr>
          <w:color w:val="231F20"/>
          <w:spacing w:val="2"/>
        </w:rPr>
        <w:t>2008 </w:t>
      </w:r>
      <w:r>
        <w:rPr>
          <w:color w:val="231F20"/>
        </w:rPr>
        <w:t>se </w:t>
      </w:r>
      <w:r>
        <w:rPr>
          <w:color w:val="231F20"/>
          <w:spacing w:val="2"/>
        </w:rPr>
        <w:t>acabó </w:t>
      </w:r>
      <w:r>
        <w:rPr>
          <w:color w:val="231F20"/>
        </w:rPr>
        <w:t>el </w:t>
      </w:r>
      <w:r>
        <w:rPr>
          <w:color w:val="231F20"/>
          <w:spacing w:val="2"/>
        </w:rPr>
        <w:t>financiamiento </w:t>
      </w:r>
      <w:r>
        <w:rPr>
          <w:color w:val="231F20"/>
        </w:rPr>
        <w:t>de    la </w:t>
      </w:r>
      <w:r>
        <w:rPr>
          <w:color w:val="231F20"/>
          <w:spacing w:val="3"/>
        </w:rPr>
        <w:t>fundación Ford, </w:t>
      </w:r>
      <w:r>
        <w:rPr>
          <w:color w:val="231F20"/>
          <w:spacing w:val="2"/>
        </w:rPr>
        <w:t>por </w:t>
      </w:r>
      <w:r>
        <w:rPr>
          <w:color w:val="231F20"/>
        </w:rPr>
        <w:t>lo </w:t>
      </w:r>
      <w:r>
        <w:rPr>
          <w:color w:val="231F20"/>
          <w:spacing w:val="2"/>
        </w:rPr>
        <w:t>que operó con </w:t>
      </w:r>
      <w:r>
        <w:rPr>
          <w:color w:val="231F20"/>
          <w:spacing w:val="3"/>
        </w:rPr>
        <w:t>pocos </w:t>
      </w:r>
      <w:r>
        <w:rPr>
          <w:color w:val="231F20"/>
          <w:spacing w:val="2"/>
        </w:rPr>
        <w:t>recursos, </w:t>
      </w:r>
      <w:r>
        <w:rPr>
          <w:color w:val="231F20"/>
          <w:spacing w:val="3"/>
        </w:rPr>
        <w:t>siendo </w:t>
      </w:r>
      <w:r>
        <w:rPr>
          <w:color w:val="231F20"/>
          <w:spacing w:val="2"/>
        </w:rPr>
        <w:t>subsidiada </w:t>
      </w:r>
      <w:r>
        <w:rPr>
          <w:color w:val="231F20"/>
          <w:spacing w:val="3"/>
        </w:rPr>
        <w:t>principalmente </w:t>
      </w:r>
      <w:r>
        <w:rPr>
          <w:color w:val="231F20"/>
        </w:rPr>
        <w:t>en </w:t>
      </w:r>
      <w:r>
        <w:rPr>
          <w:color w:val="231F20"/>
          <w:spacing w:val="2"/>
        </w:rPr>
        <w:t>papelería </w:t>
      </w:r>
      <w:r>
        <w:rPr>
          <w:color w:val="231F20"/>
        </w:rPr>
        <w:t>y  </w:t>
      </w:r>
      <w:r>
        <w:rPr>
          <w:color w:val="231F20"/>
          <w:spacing w:val="2"/>
        </w:rPr>
        <w:t>gastos  administrativos por </w:t>
      </w:r>
      <w:r>
        <w:rPr>
          <w:color w:val="231F20"/>
        </w:rPr>
        <w:t>la </w:t>
      </w:r>
      <w:r>
        <w:rPr>
          <w:color w:val="231F20"/>
          <w:spacing w:val="2"/>
        </w:rPr>
        <w:t>universidad. </w:t>
      </w:r>
      <w:r>
        <w:rPr>
          <w:color w:val="231F20"/>
        </w:rPr>
        <w:t>Sin </w:t>
      </w:r>
      <w:r>
        <w:rPr>
          <w:color w:val="231F20"/>
          <w:spacing w:val="3"/>
        </w:rPr>
        <w:t>embargo, </w:t>
      </w:r>
      <w:r>
        <w:rPr>
          <w:color w:val="231F20"/>
        </w:rPr>
        <w:t>en </w:t>
      </w:r>
      <w:r>
        <w:rPr>
          <w:color w:val="231F20"/>
          <w:spacing w:val="2"/>
        </w:rPr>
        <w:t>este año </w:t>
      </w:r>
      <w:r>
        <w:rPr>
          <w:color w:val="231F20"/>
        </w:rPr>
        <w:t>se  </w:t>
      </w:r>
      <w:r>
        <w:rPr>
          <w:color w:val="231F20"/>
          <w:spacing w:val="2"/>
        </w:rPr>
        <w:t>logró </w:t>
      </w:r>
      <w:r>
        <w:rPr>
          <w:color w:val="231F20"/>
        </w:rPr>
        <w:t>un  </w:t>
      </w:r>
      <w:r>
        <w:rPr>
          <w:color w:val="231F20"/>
          <w:spacing w:val="2"/>
        </w:rPr>
        <w:t>apoyo  por parte </w:t>
      </w:r>
      <w:r>
        <w:rPr>
          <w:color w:val="231F20"/>
        </w:rPr>
        <w:t>de la </w:t>
      </w:r>
      <w:r>
        <w:rPr>
          <w:color w:val="231F20"/>
          <w:spacing w:val="3"/>
        </w:rPr>
        <w:t>ANUIES </w:t>
      </w:r>
      <w:r>
        <w:rPr>
          <w:color w:val="231F20"/>
        </w:rPr>
        <w:t>y del </w:t>
      </w:r>
      <w:r>
        <w:rPr>
          <w:color w:val="231F20"/>
          <w:spacing w:val="2"/>
        </w:rPr>
        <w:t>Banco Mundial </w:t>
      </w:r>
      <w:r>
        <w:rPr>
          <w:color w:val="231F20"/>
          <w:spacing w:val="3"/>
        </w:rPr>
        <w:t>(BM) </w:t>
      </w:r>
      <w:r>
        <w:rPr>
          <w:color w:val="231F20"/>
          <w:spacing w:val="2"/>
        </w:rPr>
        <w:t>para seguir </w:t>
      </w:r>
      <w:r>
        <w:rPr>
          <w:color w:val="231F20"/>
          <w:spacing w:val="3"/>
        </w:rPr>
        <w:t>operando.</w:t>
      </w:r>
    </w:p>
    <w:p>
      <w:pPr>
        <w:pStyle w:val="BodyText"/>
        <w:spacing w:line="249" w:lineRule="auto" w:before="1"/>
        <w:ind w:left="113" w:right="115" w:firstLine="284"/>
        <w:jc w:val="both"/>
      </w:pPr>
      <w:r>
        <w:rPr>
          <w:color w:val="231F20"/>
          <w:spacing w:val="2"/>
        </w:rPr>
        <w:t>Otro logro </w:t>
      </w:r>
      <w:r>
        <w:rPr>
          <w:color w:val="231F20"/>
        </w:rPr>
        <w:t>que se ha </w:t>
      </w:r>
      <w:r>
        <w:rPr>
          <w:color w:val="231F20"/>
          <w:spacing w:val="2"/>
        </w:rPr>
        <w:t>tenido </w:t>
      </w:r>
      <w:r>
        <w:rPr>
          <w:color w:val="231F20"/>
        </w:rPr>
        <w:t>es el </w:t>
      </w:r>
      <w:r>
        <w:rPr>
          <w:color w:val="231F20"/>
          <w:spacing w:val="2"/>
        </w:rPr>
        <w:t>ingreso </w:t>
      </w:r>
      <w:r>
        <w:rPr>
          <w:color w:val="231F20"/>
        </w:rPr>
        <w:t>de </w:t>
      </w:r>
      <w:r>
        <w:rPr>
          <w:color w:val="231F20"/>
          <w:spacing w:val="2"/>
        </w:rPr>
        <w:t>más </w:t>
      </w:r>
      <w:r>
        <w:rPr>
          <w:color w:val="231F20"/>
          <w:spacing w:val="3"/>
        </w:rPr>
        <w:t>alumnos </w:t>
      </w:r>
      <w:r>
        <w:rPr>
          <w:color w:val="231F20"/>
          <w:spacing w:val="2"/>
        </w:rPr>
        <w:t>indí- genas </w:t>
      </w:r>
      <w:r>
        <w:rPr>
          <w:color w:val="231F20"/>
        </w:rPr>
        <w:t>a la </w:t>
      </w:r>
      <w:r>
        <w:rPr>
          <w:color w:val="231F20"/>
          <w:spacing w:val="2"/>
        </w:rPr>
        <w:t>universidad, </w:t>
      </w:r>
      <w:r>
        <w:rPr>
          <w:color w:val="231F20"/>
          <w:spacing w:val="3"/>
        </w:rPr>
        <w:t>mismos </w:t>
      </w:r>
      <w:r>
        <w:rPr>
          <w:color w:val="231F20"/>
          <w:spacing w:val="2"/>
        </w:rPr>
        <w:t>que </w:t>
      </w:r>
      <w:r>
        <w:rPr>
          <w:color w:val="231F20"/>
        </w:rPr>
        <w:t>se </w:t>
      </w:r>
      <w:r>
        <w:rPr>
          <w:color w:val="231F20"/>
          <w:spacing w:val="2"/>
        </w:rPr>
        <w:t>han impulsado desde los cursos </w:t>
      </w:r>
      <w:r>
        <w:rPr>
          <w:color w:val="231F20"/>
        </w:rPr>
        <w:t>y </w:t>
      </w:r>
      <w:r>
        <w:rPr>
          <w:color w:val="231F20"/>
          <w:spacing w:val="2"/>
        </w:rPr>
        <w:t>orientación que </w:t>
      </w:r>
      <w:r>
        <w:rPr>
          <w:color w:val="231F20"/>
        </w:rPr>
        <w:t>se </w:t>
      </w:r>
      <w:r>
        <w:rPr>
          <w:color w:val="231F20"/>
          <w:spacing w:val="3"/>
        </w:rPr>
        <w:t>proporcionan </w:t>
      </w:r>
      <w:r>
        <w:rPr>
          <w:color w:val="231F20"/>
        </w:rPr>
        <w:t>a </w:t>
      </w:r>
      <w:r>
        <w:rPr>
          <w:color w:val="231F20"/>
          <w:spacing w:val="2"/>
        </w:rPr>
        <w:t>los estudiantes </w:t>
      </w:r>
      <w:r>
        <w:rPr>
          <w:color w:val="231F20"/>
        </w:rPr>
        <w:t>en </w:t>
      </w:r>
      <w:r>
        <w:rPr>
          <w:color w:val="231F20"/>
          <w:spacing w:val="3"/>
        </w:rPr>
        <w:t>los </w:t>
      </w:r>
      <w:r>
        <w:rPr>
          <w:color w:val="231F20"/>
          <w:spacing w:val="2"/>
        </w:rPr>
        <w:t>bachilleratos, Por otra parte, </w:t>
      </w:r>
      <w:r>
        <w:rPr>
          <w:color w:val="231F20"/>
        </w:rPr>
        <w:t>las </w:t>
      </w:r>
      <w:r>
        <w:rPr>
          <w:color w:val="231F20"/>
          <w:spacing w:val="2"/>
        </w:rPr>
        <w:t>acciones afirmativas </w:t>
      </w:r>
      <w:r>
        <w:rPr>
          <w:color w:val="231F20"/>
        </w:rPr>
        <w:t>que se </w:t>
      </w:r>
      <w:r>
        <w:rPr>
          <w:color w:val="231F20"/>
          <w:spacing w:val="2"/>
        </w:rPr>
        <w:t>otor- </w:t>
      </w:r>
      <w:r>
        <w:rPr>
          <w:color w:val="231F20"/>
        </w:rPr>
        <w:t>gan </w:t>
      </w:r>
      <w:r>
        <w:rPr>
          <w:color w:val="231F20"/>
          <w:spacing w:val="2"/>
        </w:rPr>
        <w:t>por </w:t>
      </w:r>
      <w:r>
        <w:rPr>
          <w:color w:val="231F20"/>
        </w:rPr>
        <w:t>la </w:t>
      </w:r>
      <w:r>
        <w:rPr>
          <w:color w:val="231F20"/>
          <w:spacing w:val="2"/>
        </w:rPr>
        <w:t>beca </w:t>
      </w:r>
      <w:r>
        <w:rPr>
          <w:color w:val="231F20"/>
          <w:spacing w:val="3"/>
        </w:rPr>
        <w:t>PRONABES, </w:t>
      </w:r>
      <w:r>
        <w:rPr>
          <w:color w:val="231F20"/>
          <w:spacing w:val="2"/>
        </w:rPr>
        <w:t>han dado </w:t>
      </w:r>
      <w:r>
        <w:rPr>
          <w:color w:val="231F20"/>
          <w:spacing w:val="3"/>
        </w:rPr>
        <w:t>como </w:t>
      </w:r>
      <w:r>
        <w:rPr>
          <w:color w:val="231F20"/>
          <w:spacing w:val="2"/>
        </w:rPr>
        <w:t>resultado </w:t>
      </w:r>
      <w:r>
        <w:rPr>
          <w:color w:val="231F20"/>
        </w:rPr>
        <w:t>que </w:t>
      </w:r>
      <w:r>
        <w:rPr>
          <w:color w:val="231F20"/>
          <w:spacing w:val="2"/>
        </w:rPr>
        <w:t>cada  día </w:t>
      </w:r>
      <w:r>
        <w:rPr>
          <w:color w:val="231F20"/>
        </w:rPr>
        <w:t>se </w:t>
      </w:r>
      <w:r>
        <w:rPr>
          <w:color w:val="231F20"/>
          <w:spacing w:val="2"/>
        </w:rPr>
        <w:t>afilien más </w:t>
      </w:r>
      <w:r>
        <w:rPr>
          <w:color w:val="231F20"/>
          <w:spacing w:val="3"/>
        </w:rPr>
        <w:t>alumnos </w:t>
      </w:r>
      <w:r>
        <w:rPr>
          <w:color w:val="231F20"/>
          <w:spacing w:val="2"/>
        </w:rPr>
        <w:t>indígenas </w:t>
      </w:r>
      <w:r>
        <w:rPr>
          <w:color w:val="231F20"/>
        </w:rPr>
        <w:t>a la </w:t>
      </w:r>
      <w:r>
        <w:rPr>
          <w:color w:val="231F20"/>
          <w:spacing w:val="2"/>
        </w:rPr>
        <w:t>unidad, </w:t>
      </w:r>
      <w:r>
        <w:rPr>
          <w:color w:val="231F20"/>
        </w:rPr>
        <w:t>lo </w:t>
      </w:r>
      <w:r>
        <w:rPr>
          <w:color w:val="231F20"/>
          <w:spacing w:val="2"/>
        </w:rPr>
        <w:t>cual </w:t>
      </w:r>
      <w:r>
        <w:rPr>
          <w:color w:val="231F20"/>
          <w:spacing w:val="3"/>
        </w:rPr>
        <w:t>podría </w:t>
      </w:r>
      <w:r>
        <w:rPr>
          <w:color w:val="231F20"/>
          <w:spacing w:val="2"/>
        </w:rPr>
        <w:t>cuestionarse </w:t>
      </w:r>
      <w:r>
        <w:rPr>
          <w:color w:val="231F20"/>
        </w:rPr>
        <w:t>y </w:t>
      </w:r>
      <w:r>
        <w:rPr>
          <w:color w:val="231F20"/>
          <w:spacing w:val="2"/>
        </w:rPr>
        <w:t>hablar </w:t>
      </w:r>
      <w:r>
        <w:rPr>
          <w:color w:val="231F20"/>
        </w:rPr>
        <w:t>de </w:t>
      </w:r>
      <w:r>
        <w:rPr>
          <w:color w:val="231F20"/>
          <w:spacing w:val="2"/>
        </w:rPr>
        <w:t>identidades que </w:t>
      </w:r>
      <w:r>
        <w:rPr>
          <w:color w:val="231F20"/>
        </w:rPr>
        <w:t>se </w:t>
      </w:r>
      <w:r>
        <w:rPr>
          <w:color w:val="231F20"/>
          <w:spacing w:val="2"/>
        </w:rPr>
        <w:t>desplazan por </w:t>
      </w:r>
      <w:r>
        <w:rPr>
          <w:color w:val="231F20"/>
          <w:spacing w:val="3"/>
        </w:rPr>
        <w:t>propios </w:t>
      </w:r>
      <w:r>
        <w:rPr>
          <w:color w:val="231F20"/>
          <w:spacing w:val="2"/>
        </w:rPr>
        <w:t>intereses, </w:t>
      </w:r>
      <w:r>
        <w:rPr>
          <w:color w:val="231F20"/>
        </w:rPr>
        <w:t>es </w:t>
      </w:r>
      <w:r>
        <w:rPr>
          <w:color w:val="231F20"/>
          <w:spacing w:val="2"/>
        </w:rPr>
        <w:t>decir, juegan roles </w:t>
      </w:r>
      <w:r>
        <w:rPr>
          <w:color w:val="231F20"/>
        </w:rPr>
        <w:t>de </w:t>
      </w:r>
      <w:r>
        <w:rPr>
          <w:color w:val="231F20"/>
          <w:spacing w:val="2"/>
        </w:rPr>
        <w:t>acuerdo </w:t>
      </w:r>
      <w:r>
        <w:rPr>
          <w:color w:val="231F20"/>
        </w:rPr>
        <w:t>a lo </w:t>
      </w:r>
      <w:r>
        <w:rPr>
          <w:color w:val="231F20"/>
          <w:spacing w:val="2"/>
        </w:rPr>
        <w:t>que </w:t>
      </w:r>
      <w:r>
        <w:rPr>
          <w:color w:val="231F20"/>
        </w:rPr>
        <w:t>les </w:t>
      </w:r>
      <w:r>
        <w:rPr>
          <w:color w:val="231F20"/>
          <w:spacing w:val="3"/>
        </w:rPr>
        <w:t>pueda favo- </w:t>
      </w:r>
      <w:r>
        <w:rPr>
          <w:color w:val="231F20"/>
          <w:spacing w:val="2"/>
        </w:rPr>
        <w:t>recer, pues una característica </w:t>
      </w:r>
      <w:r>
        <w:rPr>
          <w:color w:val="231F20"/>
        </w:rPr>
        <w:t>de la </w:t>
      </w:r>
      <w:r>
        <w:rPr>
          <w:color w:val="231F20"/>
          <w:spacing w:val="2"/>
        </w:rPr>
        <w:t>unidad </w:t>
      </w:r>
      <w:r>
        <w:rPr>
          <w:color w:val="231F20"/>
        </w:rPr>
        <w:t>es que no </w:t>
      </w:r>
      <w:r>
        <w:rPr>
          <w:color w:val="231F20"/>
          <w:spacing w:val="3"/>
        </w:rPr>
        <w:t>necesariamen- </w:t>
      </w:r>
      <w:r>
        <w:rPr>
          <w:color w:val="231F20"/>
        </w:rPr>
        <w:t>te se </w:t>
      </w:r>
      <w:r>
        <w:rPr>
          <w:color w:val="231F20"/>
          <w:spacing w:val="2"/>
        </w:rPr>
        <w:t>tiene que hablar una lengua indígena, sino solo adscribirse</w:t>
      </w:r>
      <w:r>
        <w:rPr>
          <w:color w:val="231F20"/>
          <w:spacing w:val="56"/>
        </w:rPr>
        <w:t> </w:t>
      </w:r>
      <w:r>
        <w:rPr>
          <w:color w:val="231F20"/>
          <w:spacing w:val="3"/>
        </w:rPr>
        <w:t>como </w:t>
      </w:r>
      <w:r>
        <w:rPr>
          <w:color w:val="231F20"/>
          <w:spacing w:val="2"/>
        </w:rPr>
        <w:t>indígena </w:t>
      </w:r>
      <w:r>
        <w:rPr>
          <w:color w:val="231F20"/>
        </w:rPr>
        <w:t>o </w:t>
      </w:r>
      <w:r>
        <w:rPr>
          <w:color w:val="231F20"/>
          <w:spacing w:val="3"/>
        </w:rPr>
        <w:t>formar </w:t>
      </w:r>
      <w:r>
        <w:rPr>
          <w:color w:val="231F20"/>
          <w:spacing w:val="2"/>
        </w:rPr>
        <w:t>parte </w:t>
      </w:r>
      <w:r>
        <w:rPr>
          <w:color w:val="231F20"/>
        </w:rPr>
        <w:t>de un </w:t>
      </w:r>
      <w:r>
        <w:rPr>
          <w:color w:val="231F20"/>
          <w:spacing w:val="2"/>
        </w:rPr>
        <w:t>grupo étnico </w:t>
      </w:r>
      <w:r>
        <w:rPr>
          <w:color w:val="231F20"/>
        </w:rPr>
        <w:t>de </w:t>
      </w:r>
      <w:r>
        <w:rPr>
          <w:color w:val="231F20"/>
          <w:spacing w:val="46"/>
        </w:rPr>
        <w:t> </w:t>
      </w:r>
      <w:r>
        <w:rPr>
          <w:color w:val="231F20"/>
          <w:spacing w:val="2"/>
        </w:rPr>
        <w:t>Oaxaca.</w:t>
      </w:r>
    </w:p>
    <w:p>
      <w:pPr>
        <w:spacing w:after="0" w:line="249" w:lineRule="auto"/>
        <w:jc w:val="both"/>
        <w:sectPr>
          <w:headerReference w:type="default" r:id="rId733"/>
          <w:footerReference w:type="default" r:id="rId734"/>
          <w:pgSz w:w="7830" w:h="11910"/>
          <w:pgMar w:header="0" w:footer="424" w:top="500" w:bottom="620" w:left="880" w:right="900"/>
          <w:pgNumType w:start="329"/>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07" w:firstLine="284"/>
        <w:jc w:val="both"/>
      </w:pPr>
      <w:r>
        <w:rPr>
          <w:color w:val="231F20"/>
        </w:rPr>
        <w:t>El mayor problema que se ha enfrentado es la falta de institu- cionalización, pues cualquier rector podría hacer desaparecer la unidad y por eso no lograron avanzar en estos años. Si esto lo traducimos a lo que representa la discriminación, esa falta de apo- yo y esa falta de institucionalización son un componente funda- mental en los que se puede observar cómo la política universitaria no brinda a los estudiantes indígenas la cobertura requerida y los apoyos necesarios.</w:t>
      </w:r>
    </w:p>
    <w:p>
      <w:pPr>
        <w:pStyle w:val="BodyText"/>
        <w:spacing w:before="8"/>
        <w:rPr>
          <w:sz w:val="20"/>
        </w:rPr>
      </w:pPr>
    </w:p>
    <w:p>
      <w:pPr>
        <w:pStyle w:val="BodyText"/>
        <w:spacing w:line="247" w:lineRule="auto" w:before="1"/>
        <w:ind w:left="102" w:right="108" w:hanging="1"/>
        <w:jc w:val="both"/>
      </w:pPr>
      <w:r>
        <w:rPr>
          <w:color w:val="231F20"/>
        </w:rPr>
        <w:t>LA DISCRIMINACIÓN COMO FORMA DE VIOLENCIA EN LOSUNIVERSITARIOS</w:t>
      </w:r>
    </w:p>
    <w:p>
      <w:pPr>
        <w:pStyle w:val="BodyText"/>
        <w:spacing w:before="6"/>
        <w:rPr>
          <w:sz w:val="20"/>
        </w:rPr>
      </w:pPr>
    </w:p>
    <w:p>
      <w:pPr>
        <w:pStyle w:val="BodyText"/>
        <w:spacing w:line="247" w:lineRule="auto"/>
        <w:ind w:left="102" w:right="106"/>
        <w:jc w:val="both"/>
      </w:pPr>
      <w:r>
        <w:rPr>
          <w:color w:val="231F20"/>
        </w:rPr>
        <w:t>A la luz de las definiciones vertidas más arriba y el contexto en el cual se desarrolla la unidad, analicemos lo que sucede con los jóve- nes indígenas en los espacios universitarios. En primer lugar, es necesario enfatizar que los estudiantes universitarios indígenas re- conocen la existencia de diferentes tipos de violencia hacia ellos: “como bien sabemos, la violencia está en distintos campos: violen- cia física, emocional y psicológica”(S. B. C., entrevista personal, 12 de septiembre de 2011).</w:t>
      </w:r>
    </w:p>
    <w:p>
      <w:pPr>
        <w:pStyle w:val="BodyText"/>
        <w:spacing w:line="247" w:lineRule="auto" w:before="15"/>
        <w:ind w:left="102" w:right="107" w:firstLine="284"/>
        <w:jc w:val="both"/>
      </w:pPr>
      <w:r>
        <w:rPr>
          <w:color w:val="231F20"/>
          <w:spacing w:val="3"/>
        </w:rPr>
        <w:t>Cuando </w:t>
      </w:r>
      <w:r>
        <w:rPr>
          <w:color w:val="231F20"/>
          <w:spacing w:val="2"/>
        </w:rPr>
        <w:t>los estudiantes llegan </w:t>
      </w:r>
      <w:r>
        <w:rPr>
          <w:color w:val="231F20"/>
        </w:rPr>
        <w:t>de </w:t>
      </w:r>
      <w:r>
        <w:rPr>
          <w:color w:val="231F20"/>
          <w:spacing w:val="2"/>
        </w:rPr>
        <w:t>sus </w:t>
      </w:r>
      <w:r>
        <w:rPr>
          <w:color w:val="231F20"/>
          <w:spacing w:val="3"/>
        </w:rPr>
        <w:t>comunidades </w:t>
      </w:r>
      <w:r>
        <w:rPr>
          <w:color w:val="231F20"/>
          <w:spacing w:val="2"/>
        </w:rPr>
        <w:t>hacia </w:t>
      </w:r>
      <w:r>
        <w:rPr>
          <w:color w:val="231F20"/>
        </w:rPr>
        <w:t>la </w:t>
      </w:r>
      <w:r>
        <w:rPr>
          <w:color w:val="231F20"/>
          <w:spacing w:val="2"/>
        </w:rPr>
        <w:t>ciu- dad, han percibido que los habitantes </w:t>
      </w:r>
      <w:r>
        <w:rPr>
          <w:color w:val="231F20"/>
          <w:spacing w:val="3"/>
        </w:rPr>
        <w:t>urbanos </w:t>
      </w:r>
      <w:r>
        <w:rPr>
          <w:color w:val="231F20"/>
          <w:spacing w:val="2"/>
        </w:rPr>
        <w:t>los reciben  </w:t>
      </w:r>
      <w:r>
        <w:rPr>
          <w:color w:val="231F20"/>
          <w:spacing w:val="3"/>
        </w:rPr>
        <w:t>con </w:t>
      </w:r>
      <w:r>
        <w:rPr>
          <w:color w:val="231F20"/>
          <w:spacing w:val="2"/>
        </w:rPr>
        <w:t>cierto grado </w:t>
      </w:r>
      <w:r>
        <w:rPr>
          <w:color w:val="231F20"/>
        </w:rPr>
        <w:t>de </w:t>
      </w:r>
      <w:r>
        <w:rPr>
          <w:color w:val="231F20"/>
          <w:spacing w:val="2"/>
        </w:rPr>
        <w:t>discriminación. Así, </w:t>
      </w:r>
      <w:r>
        <w:rPr>
          <w:color w:val="231F20"/>
        </w:rPr>
        <w:t>a “las </w:t>
      </w:r>
      <w:r>
        <w:rPr>
          <w:color w:val="231F20"/>
          <w:spacing w:val="3"/>
        </w:rPr>
        <w:t>personas provenientes </w:t>
      </w:r>
      <w:r>
        <w:rPr>
          <w:color w:val="231F20"/>
        </w:rPr>
        <w:t>de </w:t>
      </w:r>
      <w:r>
        <w:rPr>
          <w:color w:val="231F20"/>
          <w:spacing w:val="3"/>
        </w:rPr>
        <w:t>pueblos </w:t>
      </w:r>
      <w:r>
        <w:rPr>
          <w:color w:val="231F20"/>
          <w:spacing w:val="2"/>
        </w:rPr>
        <w:t>indígenas </w:t>
      </w:r>
      <w:r>
        <w:rPr>
          <w:color w:val="231F20"/>
          <w:spacing w:val="3"/>
        </w:rPr>
        <w:t>muchas </w:t>
      </w:r>
      <w:r>
        <w:rPr>
          <w:color w:val="231F20"/>
          <w:spacing w:val="2"/>
        </w:rPr>
        <w:t>veces nos discriminan por </w:t>
      </w:r>
      <w:r>
        <w:rPr>
          <w:color w:val="231F20"/>
        </w:rPr>
        <w:t>el </w:t>
      </w:r>
      <w:r>
        <w:rPr>
          <w:color w:val="231F20"/>
          <w:spacing w:val="2"/>
        </w:rPr>
        <w:t>dialecto </w:t>
      </w:r>
      <w:r>
        <w:rPr>
          <w:color w:val="231F20"/>
        </w:rPr>
        <w:t>o </w:t>
      </w:r>
      <w:r>
        <w:rPr>
          <w:color w:val="231F20"/>
          <w:spacing w:val="2"/>
        </w:rPr>
        <w:t>por </w:t>
      </w:r>
      <w:r>
        <w:rPr>
          <w:color w:val="231F20"/>
        </w:rPr>
        <w:t>la </w:t>
      </w:r>
      <w:r>
        <w:rPr>
          <w:color w:val="231F20"/>
          <w:spacing w:val="3"/>
        </w:rPr>
        <w:t>forma </w:t>
      </w:r>
      <w:r>
        <w:rPr>
          <w:color w:val="231F20"/>
        </w:rPr>
        <w:t>de </w:t>
      </w:r>
      <w:r>
        <w:rPr>
          <w:color w:val="231F20"/>
          <w:spacing w:val="2"/>
        </w:rPr>
        <w:t>vestir” (P. </w:t>
      </w:r>
      <w:r>
        <w:rPr>
          <w:color w:val="231F20"/>
        </w:rPr>
        <w:t>H. </w:t>
      </w:r>
      <w:r>
        <w:rPr>
          <w:color w:val="231F20"/>
          <w:spacing w:val="2"/>
        </w:rPr>
        <w:t>H., entrevista personal, </w:t>
      </w:r>
      <w:r>
        <w:rPr>
          <w:color w:val="231F20"/>
        </w:rPr>
        <w:t>12 de </w:t>
      </w:r>
      <w:r>
        <w:rPr>
          <w:color w:val="231F20"/>
          <w:spacing w:val="3"/>
        </w:rPr>
        <w:t>sep- </w:t>
      </w:r>
      <w:r>
        <w:rPr>
          <w:color w:val="231F20"/>
          <w:spacing w:val="2"/>
        </w:rPr>
        <w:t>tiembre </w:t>
      </w:r>
      <w:r>
        <w:rPr>
          <w:color w:val="231F20"/>
        </w:rPr>
        <w:t>de</w:t>
      </w:r>
      <w:r>
        <w:rPr>
          <w:color w:val="231F20"/>
          <w:spacing w:val="-1"/>
        </w:rPr>
        <w:t> </w:t>
      </w:r>
      <w:r>
        <w:rPr>
          <w:color w:val="231F20"/>
          <w:spacing w:val="2"/>
        </w:rPr>
        <w:t>2011).</w:t>
      </w:r>
    </w:p>
    <w:p>
      <w:pPr>
        <w:pStyle w:val="BodyText"/>
        <w:spacing w:line="249" w:lineRule="auto" w:before="1"/>
        <w:ind w:left="101" w:right="110" w:firstLine="284"/>
        <w:jc w:val="both"/>
      </w:pPr>
      <w:r>
        <w:rPr>
          <w:color w:val="231F20"/>
          <w:spacing w:val="2"/>
        </w:rPr>
        <w:t>De acuerdo </w:t>
      </w:r>
      <w:r>
        <w:rPr>
          <w:color w:val="231F20"/>
        </w:rPr>
        <w:t>con los </w:t>
      </w:r>
      <w:r>
        <w:rPr>
          <w:color w:val="231F20"/>
          <w:spacing w:val="2"/>
        </w:rPr>
        <w:t>testimonios </w:t>
      </w:r>
      <w:r>
        <w:rPr>
          <w:color w:val="231F20"/>
        </w:rPr>
        <w:t>de los </w:t>
      </w:r>
      <w:r>
        <w:rPr>
          <w:color w:val="231F20"/>
          <w:spacing w:val="2"/>
        </w:rPr>
        <w:t>jóvenes indígenas, esta apreciación </w:t>
      </w:r>
      <w:r>
        <w:rPr>
          <w:color w:val="231F20"/>
        </w:rPr>
        <w:t>no se </w:t>
      </w:r>
      <w:r>
        <w:rPr>
          <w:color w:val="231F20"/>
          <w:spacing w:val="2"/>
        </w:rPr>
        <w:t>puede generalizar para </w:t>
      </w:r>
      <w:r>
        <w:rPr>
          <w:color w:val="231F20"/>
          <w:spacing w:val="3"/>
        </w:rPr>
        <w:t>todos </w:t>
      </w:r>
      <w:r>
        <w:rPr>
          <w:color w:val="231F20"/>
          <w:spacing w:val="2"/>
        </w:rPr>
        <w:t>los habitantes </w:t>
      </w:r>
      <w:r>
        <w:rPr>
          <w:color w:val="231F20"/>
        </w:rPr>
        <w:t>de la </w:t>
      </w:r>
      <w:r>
        <w:rPr>
          <w:color w:val="231F20"/>
          <w:spacing w:val="2"/>
        </w:rPr>
        <w:t>ciudad, </w:t>
      </w:r>
      <w:r>
        <w:rPr>
          <w:color w:val="231F20"/>
        </w:rPr>
        <w:t>ya </w:t>
      </w:r>
      <w:r>
        <w:rPr>
          <w:color w:val="231F20"/>
          <w:spacing w:val="2"/>
        </w:rPr>
        <w:t>que algunas </w:t>
      </w:r>
      <w:r>
        <w:rPr>
          <w:color w:val="231F20"/>
          <w:spacing w:val="3"/>
        </w:rPr>
        <w:t>personas reconocen </w:t>
      </w:r>
      <w:r>
        <w:rPr>
          <w:color w:val="231F20"/>
          <w:spacing w:val="2"/>
        </w:rPr>
        <w:t>que varios indígenas han tenido </w:t>
      </w:r>
      <w:r>
        <w:rPr>
          <w:color w:val="231F20"/>
        </w:rPr>
        <w:t>un </w:t>
      </w:r>
      <w:r>
        <w:rPr>
          <w:color w:val="231F20"/>
          <w:spacing w:val="2"/>
        </w:rPr>
        <w:t>papel </w:t>
      </w:r>
      <w:r>
        <w:rPr>
          <w:color w:val="231F20"/>
          <w:spacing w:val="3"/>
        </w:rPr>
        <w:t>importante </w:t>
      </w:r>
      <w:r>
        <w:rPr>
          <w:color w:val="231F20"/>
        </w:rPr>
        <w:t>en la </w:t>
      </w:r>
      <w:r>
        <w:rPr>
          <w:color w:val="231F20"/>
          <w:spacing w:val="2"/>
        </w:rPr>
        <w:t>historia </w:t>
      </w:r>
      <w:r>
        <w:rPr>
          <w:color w:val="231F20"/>
        </w:rPr>
        <w:t>de </w:t>
      </w:r>
      <w:r>
        <w:rPr>
          <w:color w:val="231F20"/>
          <w:spacing w:val="2"/>
        </w:rPr>
        <w:t>México, </w:t>
      </w:r>
      <w:r>
        <w:rPr>
          <w:color w:val="231F20"/>
          <w:spacing w:val="3"/>
        </w:rPr>
        <w:t>como    </w:t>
      </w:r>
      <w:r>
        <w:rPr>
          <w:color w:val="231F20"/>
          <w:spacing w:val="2"/>
        </w:rPr>
        <w:t>por ejemplo: “Benito Juárez, Porfirio Díaz, </w:t>
      </w:r>
      <w:r>
        <w:rPr>
          <w:color w:val="231F20"/>
          <w:spacing w:val="3"/>
        </w:rPr>
        <w:t>Vasconcelos </w:t>
      </w:r>
      <w:r>
        <w:rPr>
          <w:color w:val="231F20"/>
          <w:spacing w:val="2"/>
        </w:rPr>
        <w:t>quienes han </w:t>
      </w:r>
      <w:r>
        <w:rPr>
          <w:color w:val="231F20"/>
        </w:rPr>
        <w:t>sido </w:t>
      </w:r>
      <w:r>
        <w:rPr>
          <w:color w:val="231F20"/>
          <w:spacing w:val="2"/>
        </w:rPr>
        <w:t>ilustres </w:t>
      </w:r>
      <w:r>
        <w:rPr>
          <w:color w:val="231F20"/>
          <w:spacing w:val="3"/>
        </w:rPr>
        <w:t>oaxaqueños </w:t>
      </w:r>
      <w:r>
        <w:rPr>
          <w:color w:val="231F20"/>
        </w:rPr>
        <w:t>que </w:t>
      </w:r>
      <w:r>
        <w:rPr>
          <w:color w:val="231F20"/>
          <w:spacing w:val="2"/>
        </w:rPr>
        <w:t>han salido adelante </w:t>
      </w:r>
      <w:r>
        <w:rPr>
          <w:color w:val="231F20"/>
        </w:rPr>
        <w:t>y </w:t>
      </w:r>
      <w:r>
        <w:rPr>
          <w:color w:val="231F20"/>
          <w:spacing w:val="2"/>
        </w:rPr>
        <w:t>han puesto </w:t>
      </w:r>
      <w:r>
        <w:rPr>
          <w:color w:val="231F20"/>
        </w:rPr>
        <w:t>en alto el </w:t>
      </w:r>
      <w:r>
        <w:rPr>
          <w:color w:val="231F20"/>
          <w:spacing w:val="3"/>
        </w:rPr>
        <w:t>nombre </w:t>
      </w:r>
      <w:r>
        <w:rPr>
          <w:color w:val="231F20"/>
        </w:rPr>
        <w:t>de </w:t>
      </w:r>
      <w:r>
        <w:rPr>
          <w:color w:val="231F20"/>
          <w:spacing w:val="2"/>
        </w:rPr>
        <w:t>nuestro estado” (A. </w:t>
      </w:r>
      <w:r>
        <w:rPr>
          <w:color w:val="231F20"/>
        </w:rPr>
        <w:t>S. </w:t>
      </w:r>
      <w:r>
        <w:rPr>
          <w:color w:val="231F20"/>
          <w:spacing w:val="2"/>
        </w:rPr>
        <w:t>L., entrevista personal, </w:t>
      </w:r>
      <w:r>
        <w:rPr>
          <w:color w:val="231F20"/>
        </w:rPr>
        <w:t>12 de </w:t>
      </w:r>
      <w:r>
        <w:rPr>
          <w:color w:val="231F20"/>
          <w:spacing w:val="2"/>
        </w:rPr>
        <w:t>septiembre </w:t>
      </w:r>
      <w:r>
        <w:rPr>
          <w:color w:val="231F20"/>
        </w:rPr>
        <w:t>de</w:t>
      </w:r>
      <w:r>
        <w:rPr>
          <w:color w:val="231F20"/>
          <w:spacing w:val="15"/>
        </w:rPr>
        <w:t> </w:t>
      </w:r>
      <w:r>
        <w:rPr>
          <w:color w:val="231F20"/>
          <w:spacing w:val="2"/>
        </w:rPr>
        <w:t>2011).</w:t>
      </w:r>
    </w:p>
    <w:p>
      <w:pPr>
        <w:pStyle w:val="BodyText"/>
        <w:spacing w:line="247" w:lineRule="auto"/>
        <w:ind w:left="101" w:right="108" w:firstLine="284"/>
        <w:jc w:val="both"/>
      </w:pPr>
      <w:r>
        <w:rPr>
          <w:color w:val="231F20"/>
        </w:rPr>
        <w:t>En </w:t>
      </w:r>
      <w:r>
        <w:rPr>
          <w:color w:val="231F20"/>
          <w:spacing w:val="2"/>
        </w:rPr>
        <w:t>este sentido, los jóvenes consideran </w:t>
      </w:r>
      <w:r>
        <w:rPr>
          <w:color w:val="231F20"/>
        </w:rPr>
        <w:t>que la </w:t>
      </w:r>
      <w:r>
        <w:rPr>
          <w:color w:val="231F20"/>
          <w:spacing w:val="2"/>
        </w:rPr>
        <w:t>violencia </w:t>
      </w:r>
      <w:r>
        <w:rPr>
          <w:color w:val="231F20"/>
        </w:rPr>
        <w:t>es ejer- </w:t>
      </w:r>
      <w:r>
        <w:rPr>
          <w:color w:val="231F20"/>
          <w:spacing w:val="2"/>
        </w:rPr>
        <w:t>cida por una parte </w:t>
      </w:r>
      <w:r>
        <w:rPr>
          <w:color w:val="231F20"/>
        </w:rPr>
        <w:t>de la </w:t>
      </w:r>
      <w:r>
        <w:rPr>
          <w:color w:val="231F20"/>
          <w:spacing w:val="2"/>
        </w:rPr>
        <w:t>población </w:t>
      </w:r>
      <w:r>
        <w:rPr>
          <w:color w:val="231F20"/>
        </w:rPr>
        <w:t>de </w:t>
      </w:r>
      <w:r>
        <w:rPr>
          <w:color w:val="231F20"/>
          <w:spacing w:val="2"/>
        </w:rPr>
        <w:t>quienes han recibido </w:t>
      </w:r>
      <w:r>
        <w:rPr>
          <w:color w:val="231F20"/>
          <w:spacing w:val="3"/>
        </w:rPr>
        <w:t>maltra- </w:t>
      </w:r>
      <w:r>
        <w:rPr>
          <w:color w:val="231F20"/>
          <w:spacing w:val="2"/>
        </w:rPr>
        <w:t>to, </w:t>
      </w:r>
      <w:r>
        <w:rPr>
          <w:color w:val="231F20"/>
          <w:spacing w:val="3"/>
        </w:rPr>
        <w:t>aunque </w:t>
      </w:r>
      <w:r>
        <w:rPr>
          <w:color w:val="231F20"/>
          <w:spacing w:val="2"/>
        </w:rPr>
        <w:t>también </w:t>
      </w:r>
      <w:r>
        <w:rPr>
          <w:color w:val="231F20"/>
          <w:spacing w:val="3"/>
        </w:rPr>
        <w:t>reconocen </w:t>
      </w:r>
      <w:r>
        <w:rPr>
          <w:color w:val="231F20"/>
          <w:spacing w:val="2"/>
        </w:rPr>
        <w:t>que </w:t>
      </w:r>
      <w:r>
        <w:rPr>
          <w:color w:val="231F20"/>
        </w:rPr>
        <w:t>sí </w:t>
      </w:r>
      <w:r>
        <w:rPr>
          <w:color w:val="231F20"/>
          <w:spacing w:val="2"/>
        </w:rPr>
        <w:t>hay  quienes los respetan  </w:t>
      </w:r>
      <w:r>
        <w:rPr>
          <w:color w:val="231F20"/>
        </w:rPr>
        <w:t>y  </w:t>
      </w:r>
      <w:r>
        <w:rPr>
          <w:color w:val="231F20"/>
          <w:spacing w:val="2"/>
        </w:rPr>
        <w:t>los valoran: “puede decirse que hay una mitad </w:t>
      </w:r>
      <w:r>
        <w:rPr>
          <w:color w:val="231F20"/>
        </w:rPr>
        <w:t>y </w:t>
      </w:r>
      <w:r>
        <w:rPr>
          <w:color w:val="231F20"/>
          <w:spacing w:val="2"/>
        </w:rPr>
        <w:t>mitad </w:t>
      </w:r>
      <w:r>
        <w:rPr>
          <w:color w:val="231F20"/>
          <w:spacing w:val="3"/>
        </w:rPr>
        <w:t>porque hay </w:t>
      </w:r>
      <w:r>
        <w:rPr>
          <w:color w:val="231F20"/>
          <w:spacing w:val="2"/>
        </w:rPr>
        <w:t>gente que piensa que los indígenas </w:t>
      </w:r>
      <w:r>
        <w:rPr>
          <w:color w:val="231F20"/>
        </w:rPr>
        <w:t>no </w:t>
      </w:r>
      <w:r>
        <w:rPr>
          <w:color w:val="231F20"/>
          <w:spacing w:val="2"/>
        </w:rPr>
        <w:t>saben </w:t>
      </w:r>
      <w:r>
        <w:rPr>
          <w:color w:val="231F20"/>
        </w:rPr>
        <w:t>o no </w:t>
      </w:r>
      <w:r>
        <w:rPr>
          <w:color w:val="231F20"/>
          <w:spacing w:val="2"/>
        </w:rPr>
        <w:t>pueden </w:t>
      </w:r>
      <w:r>
        <w:rPr>
          <w:color w:val="231F20"/>
        </w:rPr>
        <w:t>y la   </w:t>
      </w:r>
      <w:r>
        <w:rPr>
          <w:color w:val="231F20"/>
          <w:spacing w:val="3"/>
        </w:rPr>
        <w:t> </w:t>
      </w:r>
      <w:r>
        <w:rPr>
          <w:color w:val="231F20"/>
          <w:spacing w:val="2"/>
        </w:rPr>
        <w:t>otra</w:t>
      </w:r>
    </w:p>
    <w:p>
      <w:pPr>
        <w:spacing w:after="0" w:line="247" w:lineRule="auto"/>
        <w:jc w:val="both"/>
        <w:sectPr>
          <w:headerReference w:type="default" r:id="rId735"/>
          <w:footerReference w:type="default" r:id="rId736"/>
          <w:pgSz w:w="7830" w:h="11910"/>
          <w:pgMar w:header="0" w:footer="424" w:top="500" w:bottom="620" w:left="920" w:right="880"/>
          <w:pgNumType w:start="330"/>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13" w:right="121"/>
        <w:jc w:val="both"/>
      </w:pPr>
      <w:r>
        <w:rPr>
          <w:color w:val="231F20"/>
        </w:rPr>
        <w:t>mitad de personas dice que los indígenas sí pueden y es ahí donde está la dicotomía entre las formas de pensar”(A. S. L., entrevista personal, 12 de septiembrede 2011).</w:t>
      </w:r>
    </w:p>
    <w:p>
      <w:pPr>
        <w:pStyle w:val="BodyText"/>
        <w:spacing w:line="249" w:lineRule="auto" w:before="1"/>
        <w:ind w:left="112" w:right="115" w:firstLine="284"/>
        <w:jc w:val="both"/>
      </w:pPr>
      <w:r>
        <w:rPr>
          <w:color w:val="231F20"/>
          <w:spacing w:val="2"/>
        </w:rPr>
        <w:t>Por otra parte, </w:t>
      </w:r>
      <w:r>
        <w:rPr>
          <w:color w:val="231F20"/>
        </w:rPr>
        <w:t>en la </w:t>
      </w:r>
      <w:r>
        <w:rPr>
          <w:color w:val="231F20"/>
          <w:spacing w:val="2"/>
        </w:rPr>
        <w:t>escuela los jóvenes indígenas han percibi- </w:t>
      </w:r>
      <w:r>
        <w:rPr>
          <w:color w:val="231F20"/>
        </w:rPr>
        <w:t>do </w:t>
      </w:r>
      <w:r>
        <w:rPr>
          <w:color w:val="231F20"/>
          <w:spacing w:val="2"/>
        </w:rPr>
        <w:t>una </w:t>
      </w:r>
      <w:r>
        <w:rPr>
          <w:color w:val="231F20"/>
          <w:spacing w:val="3"/>
        </w:rPr>
        <w:t>forma </w:t>
      </w:r>
      <w:r>
        <w:rPr>
          <w:color w:val="231F20"/>
        </w:rPr>
        <w:t>de </w:t>
      </w:r>
      <w:r>
        <w:rPr>
          <w:color w:val="231F20"/>
          <w:spacing w:val="2"/>
        </w:rPr>
        <w:t>violencia </w:t>
      </w:r>
      <w:r>
        <w:rPr>
          <w:color w:val="231F20"/>
        </w:rPr>
        <w:t>y </w:t>
      </w:r>
      <w:r>
        <w:rPr>
          <w:color w:val="231F20"/>
          <w:spacing w:val="2"/>
        </w:rPr>
        <w:t>discriminación. </w:t>
      </w:r>
      <w:r>
        <w:rPr>
          <w:color w:val="231F20"/>
        </w:rPr>
        <w:t>Un </w:t>
      </w:r>
      <w:r>
        <w:rPr>
          <w:color w:val="231F20"/>
          <w:spacing w:val="2"/>
        </w:rPr>
        <w:t>estudiante </w:t>
      </w:r>
      <w:r>
        <w:rPr>
          <w:color w:val="231F20"/>
          <w:spacing w:val="3"/>
        </w:rPr>
        <w:t>comen- </w:t>
      </w:r>
      <w:r>
        <w:rPr>
          <w:color w:val="231F20"/>
        </w:rPr>
        <w:t>ta </w:t>
      </w:r>
      <w:r>
        <w:rPr>
          <w:color w:val="231F20"/>
          <w:spacing w:val="2"/>
        </w:rPr>
        <w:t>que </w:t>
      </w:r>
      <w:r>
        <w:rPr>
          <w:color w:val="231F20"/>
        </w:rPr>
        <w:t>en </w:t>
      </w:r>
      <w:r>
        <w:rPr>
          <w:color w:val="231F20"/>
          <w:spacing w:val="2"/>
        </w:rPr>
        <w:t>una clase, cursando </w:t>
      </w:r>
      <w:r>
        <w:rPr>
          <w:color w:val="231F20"/>
        </w:rPr>
        <w:t>el </w:t>
      </w:r>
      <w:r>
        <w:rPr>
          <w:color w:val="231F20"/>
          <w:spacing w:val="2"/>
        </w:rPr>
        <w:t>bachillerato, </w:t>
      </w:r>
      <w:r>
        <w:rPr>
          <w:color w:val="231F20"/>
        </w:rPr>
        <w:t>en la </w:t>
      </w:r>
      <w:r>
        <w:rPr>
          <w:color w:val="231F20"/>
          <w:spacing w:val="2"/>
        </w:rPr>
        <w:t>materia </w:t>
      </w:r>
      <w:r>
        <w:rPr>
          <w:color w:val="231F20"/>
        </w:rPr>
        <w:t>de </w:t>
      </w:r>
      <w:r>
        <w:rPr>
          <w:color w:val="231F20"/>
          <w:spacing w:val="3"/>
        </w:rPr>
        <w:t>his- </w:t>
      </w:r>
      <w:r>
        <w:rPr>
          <w:color w:val="231F20"/>
          <w:spacing w:val="2"/>
        </w:rPr>
        <w:t>toria, </w:t>
      </w:r>
      <w:r>
        <w:rPr>
          <w:color w:val="231F20"/>
        </w:rPr>
        <w:t>un </w:t>
      </w:r>
      <w:r>
        <w:rPr>
          <w:color w:val="231F20"/>
          <w:spacing w:val="3"/>
        </w:rPr>
        <w:t>compañero </w:t>
      </w:r>
      <w:r>
        <w:rPr>
          <w:color w:val="231F20"/>
        </w:rPr>
        <w:t>le </w:t>
      </w:r>
      <w:r>
        <w:rPr>
          <w:color w:val="231F20"/>
          <w:spacing w:val="2"/>
        </w:rPr>
        <w:t>dijo: “Tú </w:t>
      </w:r>
      <w:r>
        <w:rPr>
          <w:color w:val="231F20"/>
        </w:rPr>
        <w:t>no </w:t>
      </w:r>
      <w:r>
        <w:rPr>
          <w:color w:val="231F20"/>
          <w:spacing w:val="2"/>
        </w:rPr>
        <w:t>deberías estar aquí, </w:t>
      </w:r>
      <w:r>
        <w:rPr>
          <w:color w:val="231F20"/>
          <w:spacing w:val="3"/>
        </w:rPr>
        <w:t>porque los </w:t>
      </w:r>
      <w:r>
        <w:rPr>
          <w:color w:val="231F20"/>
          <w:spacing w:val="2"/>
        </w:rPr>
        <w:t>indígenas deben estar </w:t>
      </w:r>
      <w:r>
        <w:rPr>
          <w:color w:val="231F20"/>
        </w:rPr>
        <w:t>en el </w:t>
      </w:r>
      <w:r>
        <w:rPr>
          <w:color w:val="231F20"/>
          <w:spacing w:val="3"/>
        </w:rPr>
        <w:t>campo trabajando. </w:t>
      </w:r>
      <w:r>
        <w:rPr>
          <w:color w:val="231F20"/>
          <w:spacing w:val="2"/>
        </w:rPr>
        <w:t>Ellos </w:t>
      </w:r>
      <w:r>
        <w:rPr>
          <w:color w:val="231F20"/>
        </w:rPr>
        <w:t>no </w:t>
      </w:r>
      <w:r>
        <w:rPr>
          <w:color w:val="231F20"/>
          <w:spacing w:val="2"/>
        </w:rPr>
        <w:t>tienen </w:t>
      </w:r>
      <w:r>
        <w:rPr>
          <w:color w:val="231F20"/>
          <w:spacing w:val="4"/>
        </w:rPr>
        <w:t>por </w:t>
      </w:r>
      <w:r>
        <w:rPr>
          <w:color w:val="231F20"/>
        </w:rPr>
        <w:t>qué </w:t>
      </w:r>
      <w:r>
        <w:rPr>
          <w:color w:val="231F20"/>
          <w:spacing w:val="2"/>
        </w:rPr>
        <w:t>estudiar”. </w:t>
      </w:r>
      <w:r>
        <w:rPr>
          <w:color w:val="231F20"/>
        </w:rPr>
        <w:t>El </w:t>
      </w:r>
      <w:r>
        <w:rPr>
          <w:color w:val="231F20"/>
          <w:spacing w:val="2"/>
        </w:rPr>
        <w:t>joven </w:t>
      </w:r>
      <w:r>
        <w:rPr>
          <w:color w:val="231F20"/>
        </w:rPr>
        <w:t>que </w:t>
      </w:r>
      <w:r>
        <w:rPr>
          <w:color w:val="231F20"/>
          <w:spacing w:val="2"/>
        </w:rPr>
        <w:t>recibió </w:t>
      </w:r>
      <w:r>
        <w:rPr>
          <w:color w:val="231F20"/>
        </w:rPr>
        <w:t>la </w:t>
      </w:r>
      <w:r>
        <w:rPr>
          <w:color w:val="231F20"/>
          <w:spacing w:val="2"/>
        </w:rPr>
        <w:t>agresión piensa </w:t>
      </w:r>
      <w:r>
        <w:rPr>
          <w:color w:val="231F20"/>
        </w:rPr>
        <w:t>que </w:t>
      </w:r>
      <w:r>
        <w:rPr>
          <w:color w:val="231F20"/>
          <w:spacing w:val="2"/>
        </w:rPr>
        <w:t>este tipo </w:t>
      </w:r>
      <w:r>
        <w:rPr>
          <w:color w:val="231F20"/>
        </w:rPr>
        <w:t>de </w:t>
      </w:r>
      <w:r>
        <w:rPr>
          <w:color w:val="231F20"/>
          <w:spacing w:val="2"/>
        </w:rPr>
        <w:t>actitudes tienen </w:t>
      </w:r>
      <w:r>
        <w:rPr>
          <w:color w:val="231F20"/>
        </w:rPr>
        <w:t>su </w:t>
      </w:r>
      <w:r>
        <w:rPr>
          <w:color w:val="231F20"/>
          <w:spacing w:val="2"/>
        </w:rPr>
        <w:t>origen </w:t>
      </w:r>
      <w:r>
        <w:rPr>
          <w:color w:val="231F20"/>
        </w:rPr>
        <w:t>en la </w:t>
      </w:r>
      <w:r>
        <w:rPr>
          <w:color w:val="231F20"/>
          <w:spacing w:val="2"/>
        </w:rPr>
        <w:t>ignorancia. </w:t>
      </w:r>
      <w:r>
        <w:rPr>
          <w:color w:val="231F20"/>
          <w:spacing w:val="3"/>
        </w:rPr>
        <w:t>Sobre </w:t>
      </w:r>
      <w:r>
        <w:rPr>
          <w:color w:val="231F20"/>
        </w:rPr>
        <w:t>la </w:t>
      </w:r>
      <w:r>
        <w:rPr>
          <w:color w:val="231F20"/>
          <w:spacing w:val="3"/>
        </w:rPr>
        <w:t>situación </w:t>
      </w:r>
      <w:r>
        <w:rPr>
          <w:color w:val="231F20"/>
          <w:spacing w:val="2"/>
        </w:rPr>
        <w:t>narrada </w:t>
      </w:r>
      <w:r>
        <w:rPr>
          <w:color w:val="231F20"/>
        </w:rPr>
        <w:t>él </w:t>
      </w:r>
      <w:r>
        <w:rPr>
          <w:color w:val="231F20"/>
          <w:spacing w:val="2"/>
        </w:rPr>
        <w:t>sostiene </w:t>
      </w:r>
      <w:r>
        <w:rPr>
          <w:color w:val="231F20"/>
        </w:rPr>
        <w:t>lo </w:t>
      </w:r>
      <w:r>
        <w:rPr>
          <w:color w:val="231F20"/>
          <w:spacing w:val="2"/>
        </w:rPr>
        <w:t>siguiente: “Pobre chavo. No sabe </w:t>
      </w:r>
      <w:r>
        <w:rPr>
          <w:color w:val="231F20"/>
        </w:rPr>
        <w:t>lo </w:t>
      </w:r>
      <w:r>
        <w:rPr>
          <w:color w:val="231F20"/>
          <w:spacing w:val="2"/>
        </w:rPr>
        <w:t>que está diciendo. No sabe </w:t>
      </w:r>
      <w:r>
        <w:rPr>
          <w:color w:val="231F20"/>
        </w:rPr>
        <w:t>de </w:t>
      </w:r>
      <w:r>
        <w:rPr>
          <w:color w:val="231F20"/>
          <w:spacing w:val="3"/>
        </w:rPr>
        <w:t>dónde </w:t>
      </w:r>
      <w:r>
        <w:rPr>
          <w:color w:val="231F20"/>
          <w:spacing w:val="2"/>
        </w:rPr>
        <w:t>trasciende </w:t>
      </w:r>
      <w:r>
        <w:rPr>
          <w:color w:val="231F20"/>
        </w:rPr>
        <w:t>su </w:t>
      </w:r>
      <w:r>
        <w:rPr>
          <w:color w:val="231F20"/>
          <w:spacing w:val="2"/>
        </w:rPr>
        <w:t>familia, todo </w:t>
      </w:r>
      <w:r>
        <w:rPr>
          <w:color w:val="231F20"/>
        </w:rPr>
        <w:t>lo </w:t>
      </w:r>
      <w:r>
        <w:rPr>
          <w:color w:val="231F20"/>
          <w:spacing w:val="2"/>
        </w:rPr>
        <w:t>que </w:t>
      </w:r>
      <w:r>
        <w:rPr>
          <w:color w:val="231F20"/>
        </w:rPr>
        <w:t>es </w:t>
      </w:r>
      <w:r>
        <w:rPr>
          <w:color w:val="231F20"/>
          <w:spacing w:val="2"/>
        </w:rPr>
        <w:t>histórico </w:t>
      </w:r>
      <w:r>
        <w:rPr>
          <w:color w:val="231F20"/>
        </w:rPr>
        <w:t>en </w:t>
      </w:r>
      <w:r>
        <w:rPr>
          <w:color w:val="231F20"/>
          <w:spacing w:val="2"/>
        </w:rPr>
        <w:t>él”(A. </w:t>
      </w:r>
      <w:r>
        <w:rPr>
          <w:color w:val="231F20"/>
        </w:rPr>
        <w:t>S. </w:t>
      </w:r>
      <w:r>
        <w:rPr>
          <w:color w:val="231F20"/>
          <w:spacing w:val="2"/>
        </w:rPr>
        <w:t>L., entrevista personal, </w:t>
      </w:r>
      <w:r>
        <w:rPr>
          <w:color w:val="231F20"/>
        </w:rPr>
        <w:t>12 de </w:t>
      </w:r>
      <w:r>
        <w:rPr>
          <w:color w:val="231F20"/>
          <w:spacing w:val="3"/>
        </w:rPr>
        <w:t>septiembre </w:t>
      </w:r>
      <w:r>
        <w:rPr>
          <w:color w:val="231F20"/>
        </w:rPr>
        <w:t>de </w:t>
      </w:r>
      <w:r>
        <w:rPr>
          <w:color w:val="231F20"/>
          <w:spacing w:val="2"/>
        </w:rPr>
        <w:t>2011). Este señalamiento </w:t>
      </w:r>
      <w:r>
        <w:rPr>
          <w:color w:val="231F20"/>
        </w:rPr>
        <w:t>que </w:t>
      </w:r>
      <w:r>
        <w:rPr>
          <w:color w:val="231F20"/>
          <w:spacing w:val="2"/>
        </w:rPr>
        <w:t>realiza </w:t>
      </w:r>
      <w:r>
        <w:rPr>
          <w:color w:val="231F20"/>
        </w:rPr>
        <w:t>el </w:t>
      </w:r>
      <w:r>
        <w:rPr>
          <w:color w:val="231F20"/>
          <w:spacing w:val="2"/>
        </w:rPr>
        <w:t>alumno justificando </w:t>
      </w:r>
      <w:r>
        <w:rPr>
          <w:color w:val="231F20"/>
        </w:rPr>
        <w:t>la </w:t>
      </w:r>
      <w:r>
        <w:rPr>
          <w:color w:val="231F20"/>
          <w:spacing w:val="2"/>
        </w:rPr>
        <w:t>actitud del otro, nos </w:t>
      </w:r>
      <w:r>
        <w:rPr>
          <w:color w:val="231F20"/>
        </w:rPr>
        <w:t>lleva a </w:t>
      </w:r>
      <w:r>
        <w:rPr>
          <w:color w:val="231F20"/>
          <w:spacing w:val="2"/>
        </w:rPr>
        <w:t>relacionar </w:t>
      </w:r>
      <w:r>
        <w:rPr>
          <w:color w:val="231F20"/>
        </w:rPr>
        <w:t>lo que </w:t>
      </w:r>
      <w:r>
        <w:rPr>
          <w:color w:val="231F20"/>
          <w:spacing w:val="3"/>
        </w:rPr>
        <w:t>señalábamos </w:t>
      </w:r>
      <w:r>
        <w:rPr>
          <w:color w:val="231F20"/>
        </w:rPr>
        <w:t>en el </w:t>
      </w:r>
      <w:r>
        <w:rPr>
          <w:color w:val="231F20"/>
          <w:spacing w:val="2"/>
        </w:rPr>
        <w:t>apartado primero del artículo, </w:t>
      </w:r>
      <w:r>
        <w:rPr>
          <w:color w:val="231F20"/>
        </w:rPr>
        <w:t>en el </w:t>
      </w:r>
      <w:r>
        <w:rPr>
          <w:color w:val="231F20"/>
          <w:spacing w:val="2"/>
        </w:rPr>
        <w:t>cual </w:t>
      </w:r>
      <w:r>
        <w:rPr>
          <w:color w:val="231F20"/>
        </w:rPr>
        <w:t>se </w:t>
      </w:r>
      <w:r>
        <w:rPr>
          <w:color w:val="231F20"/>
          <w:spacing w:val="2"/>
        </w:rPr>
        <w:t>alude </w:t>
      </w:r>
      <w:r>
        <w:rPr>
          <w:color w:val="231F20"/>
        </w:rPr>
        <w:t>a que </w:t>
      </w:r>
      <w:r>
        <w:rPr>
          <w:color w:val="231F20"/>
          <w:spacing w:val="2"/>
        </w:rPr>
        <w:t>por </w:t>
      </w:r>
      <w:r>
        <w:rPr>
          <w:color w:val="231F20"/>
        </w:rPr>
        <w:t>la </w:t>
      </w:r>
      <w:r>
        <w:rPr>
          <w:color w:val="231F20"/>
          <w:spacing w:val="3"/>
        </w:rPr>
        <w:t>igno- </w:t>
      </w:r>
      <w:r>
        <w:rPr>
          <w:color w:val="231F20"/>
          <w:spacing w:val="2"/>
        </w:rPr>
        <w:t>rancia existen </w:t>
      </w:r>
      <w:r>
        <w:rPr>
          <w:color w:val="231F20"/>
          <w:spacing w:val="3"/>
        </w:rPr>
        <w:t>formas discriminatorias </w:t>
      </w:r>
      <w:r>
        <w:rPr>
          <w:color w:val="231F20"/>
        </w:rPr>
        <w:t>que se van </w:t>
      </w:r>
      <w:r>
        <w:rPr>
          <w:color w:val="231F20"/>
          <w:spacing w:val="3"/>
        </w:rPr>
        <w:t>reproduciendo, </w:t>
      </w:r>
      <w:r>
        <w:rPr>
          <w:color w:val="231F20"/>
          <w:spacing w:val="2"/>
        </w:rPr>
        <w:t>pero </w:t>
      </w:r>
      <w:r>
        <w:rPr>
          <w:color w:val="231F20"/>
        </w:rPr>
        <w:t>al </w:t>
      </w:r>
      <w:r>
        <w:rPr>
          <w:color w:val="231F20"/>
          <w:spacing w:val="3"/>
        </w:rPr>
        <w:t>mismo tiempo, </w:t>
      </w:r>
      <w:r>
        <w:rPr>
          <w:color w:val="231F20"/>
        </w:rPr>
        <w:t>el </w:t>
      </w:r>
      <w:r>
        <w:rPr>
          <w:color w:val="231F20"/>
          <w:spacing w:val="2"/>
        </w:rPr>
        <w:t>hecho </w:t>
      </w:r>
      <w:r>
        <w:rPr>
          <w:color w:val="231F20"/>
        </w:rPr>
        <w:t>de </w:t>
      </w:r>
      <w:r>
        <w:rPr>
          <w:color w:val="231F20"/>
          <w:spacing w:val="2"/>
        </w:rPr>
        <w:t>apuntar </w:t>
      </w:r>
      <w:r>
        <w:rPr>
          <w:color w:val="231F20"/>
        </w:rPr>
        <w:t>que </w:t>
      </w:r>
      <w:r>
        <w:rPr>
          <w:color w:val="231F20"/>
          <w:spacing w:val="2"/>
        </w:rPr>
        <w:t>los indígenas </w:t>
      </w:r>
      <w:r>
        <w:rPr>
          <w:color w:val="231F20"/>
          <w:spacing w:val="3"/>
        </w:rPr>
        <w:t>se </w:t>
      </w:r>
      <w:r>
        <w:rPr>
          <w:color w:val="231F20"/>
          <w:spacing w:val="2"/>
        </w:rPr>
        <w:t>articulan </w:t>
      </w:r>
      <w:r>
        <w:rPr>
          <w:color w:val="231F20"/>
        </w:rPr>
        <w:t>al </w:t>
      </w:r>
      <w:r>
        <w:rPr>
          <w:color w:val="231F20"/>
          <w:spacing w:val="3"/>
        </w:rPr>
        <w:t>campo </w:t>
      </w:r>
      <w:r>
        <w:rPr>
          <w:color w:val="231F20"/>
        </w:rPr>
        <w:t>es </w:t>
      </w:r>
      <w:r>
        <w:rPr>
          <w:color w:val="231F20"/>
          <w:spacing w:val="2"/>
        </w:rPr>
        <w:t>una construcción detrás </w:t>
      </w:r>
      <w:r>
        <w:rPr>
          <w:color w:val="231F20"/>
        </w:rPr>
        <w:t>de sus </w:t>
      </w:r>
      <w:r>
        <w:rPr>
          <w:color w:val="231F20"/>
          <w:spacing w:val="2"/>
        </w:rPr>
        <w:t>reflexiones  </w:t>
      </w:r>
      <w:r>
        <w:rPr>
          <w:color w:val="231F20"/>
        </w:rPr>
        <w:t>que </w:t>
      </w:r>
      <w:r>
        <w:rPr>
          <w:color w:val="231F20"/>
          <w:spacing w:val="2"/>
        </w:rPr>
        <w:t>valdría </w:t>
      </w:r>
      <w:r>
        <w:rPr>
          <w:color w:val="231F20"/>
        </w:rPr>
        <w:t>la </w:t>
      </w:r>
      <w:r>
        <w:rPr>
          <w:color w:val="231F20"/>
          <w:spacing w:val="2"/>
        </w:rPr>
        <w:t>pena indagar </w:t>
      </w:r>
      <w:r>
        <w:rPr>
          <w:color w:val="231F20"/>
        </w:rPr>
        <w:t>en </w:t>
      </w:r>
      <w:r>
        <w:rPr>
          <w:color w:val="231F20"/>
          <w:spacing w:val="2"/>
        </w:rPr>
        <w:t>dónde </w:t>
      </w:r>
      <w:r>
        <w:rPr>
          <w:color w:val="231F20"/>
        </w:rPr>
        <w:t>se </w:t>
      </w:r>
      <w:r>
        <w:rPr>
          <w:color w:val="231F20"/>
          <w:spacing w:val="2"/>
        </w:rPr>
        <w:t>construyó dicho </w:t>
      </w:r>
      <w:r>
        <w:rPr>
          <w:color w:val="231F20"/>
          <w:spacing w:val="3"/>
        </w:rPr>
        <w:t>conoci- </w:t>
      </w:r>
      <w:r>
        <w:rPr>
          <w:color w:val="231F20"/>
          <w:spacing w:val="2"/>
        </w:rPr>
        <w:t>miento: </w:t>
      </w:r>
      <w:r>
        <w:rPr>
          <w:color w:val="231F20"/>
        </w:rPr>
        <w:t>la </w:t>
      </w:r>
      <w:r>
        <w:rPr>
          <w:color w:val="231F20"/>
          <w:spacing w:val="2"/>
        </w:rPr>
        <w:t>respuesta está </w:t>
      </w:r>
      <w:r>
        <w:rPr>
          <w:color w:val="231F20"/>
        </w:rPr>
        <w:t>en </w:t>
      </w:r>
      <w:r>
        <w:rPr>
          <w:color w:val="231F20"/>
          <w:spacing w:val="2"/>
        </w:rPr>
        <w:t>los libros </w:t>
      </w:r>
      <w:r>
        <w:rPr>
          <w:color w:val="231F20"/>
        </w:rPr>
        <w:t>de </w:t>
      </w:r>
      <w:r>
        <w:rPr>
          <w:color w:val="231F20"/>
          <w:spacing w:val="2"/>
        </w:rPr>
        <w:t>texto, </w:t>
      </w:r>
      <w:r>
        <w:rPr>
          <w:color w:val="231F20"/>
        </w:rPr>
        <w:t>ya que en </w:t>
      </w:r>
      <w:r>
        <w:rPr>
          <w:color w:val="231F20"/>
          <w:spacing w:val="2"/>
        </w:rPr>
        <w:t>ellos </w:t>
      </w:r>
      <w:r>
        <w:rPr>
          <w:color w:val="231F20"/>
        </w:rPr>
        <w:t>el </w:t>
      </w:r>
      <w:r>
        <w:rPr>
          <w:color w:val="231F20"/>
          <w:spacing w:val="2"/>
        </w:rPr>
        <w:t>indígena figura </w:t>
      </w:r>
      <w:r>
        <w:rPr>
          <w:color w:val="231F20"/>
          <w:spacing w:val="3"/>
        </w:rPr>
        <w:t>muy</w:t>
      </w:r>
      <w:r>
        <w:rPr>
          <w:color w:val="231F20"/>
          <w:spacing w:val="-13"/>
        </w:rPr>
        <w:t> </w:t>
      </w:r>
      <w:r>
        <w:rPr>
          <w:color w:val="231F20"/>
          <w:spacing w:val="3"/>
        </w:rPr>
        <w:t>poco.</w:t>
      </w:r>
    </w:p>
    <w:p>
      <w:pPr>
        <w:pStyle w:val="BodyText"/>
        <w:spacing w:line="247" w:lineRule="auto"/>
        <w:ind w:left="113" w:right="116" w:firstLine="284"/>
        <w:jc w:val="both"/>
      </w:pPr>
      <w:r>
        <w:rPr>
          <w:color w:val="231F20"/>
        </w:rPr>
        <w:t>Además de este tipo de violencia entre pares, también encon- tramos ciertas formas de discriminación desde los profesores uni- versitarios hacia sus estudiantes. Al respecto, una alumna comenta su experiencia mientras se encontraba en el salón de clases:</w:t>
      </w:r>
    </w:p>
    <w:p>
      <w:pPr>
        <w:spacing w:line="271" w:lineRule="auto" w:before="17"/>
        <w:ind w:left="822" w:right="115" w:firstLine="284"/>
        <w:jc w:val="both"/>
        <w:rPr>
          <w:sz w:val="19"/>
        </w:rPr>
      </w:pPr>
      <w:r>
        <w:rPr>
          <w:color w:val="231F20"/>
          <w:spacing w:val="2"/>
          <w:sz w:val="19"/>
        </w:rPr>
        <w:t>Cuando apenas llegué </w:t>
      </w:r>
      <w:r>
        <w:rPr>
          <w:color w:val="231F20"/>
          <w:sz w:val="19"/>
        </w:rPr>
        <w:t>a la </w:t>
      </w:r>
      <w:r>
        <w:rPr>
          <w:color w:val="231F20"/>
          <w:spacing w:val="2"/>
          <w:sz w:val="19"/>
        </w:rPr>
        <w:t>universidad, </w:t>
      </w:r>
      <w:r>
        <w:rPr>
          <w:color w:val="231F20"/>
          <w:sz w:val="19"/>
        </w:rPr>
        <w:t>una </w:t>
      </w:r>
      <w:r>
        <w:rPr>
          <w:color w:val="231F20"/>
          <w:spacing w:val="2"/>
          <w:sz w:val="19"/>
        </w:rPr>
        <w:t>compañera pasó   </w:t>
      </w:r>
      <w:r>
        <w:rPr>
          <w:color w:val="231F20"/>
          <w:sz w:val="19"/>
        </w:rPr>
        <w:t>a </w:t>
      </w:r>
      <w:r>
        <w:rPr>
          <w:color w:val="231F20"/>
          <w:spacing w:val="2"/>
          <w:sz w:val="19"/>
        </w:rPr>
        <w:t>exponer </w:t>
      </w:r>
      <w:r>
        <w:rPr>
          <w:color w:val="231F20"/>
          <w:sz w:val="19"/>
        </w:rPr>
        <w:t>y </w:t>
      </w:r>
      <w:r>
        <w:rPr>
          <w:color w:val="231F20"/>
          <w:spacing w:val="2"/>
          <w:sz w:val="19"/>
        </w:rPr>
        <w:t>como </w:t>
      </w:r>
      <w:r>
        <w:rPr>
          <w:color w:val="231F20"/>
          <w:sz w:val="19"/>
        </w:rPr>
        <w:t>no </w:t>
      </w:r>
      <w:r>
        <w:rPr>
          <w:color w:val="231F20"/>
          <w:spacing w:val="2"/>
          <w:sz w:val="19"/>
        </w:rPr>
        <w:t>podía explicar. </w:t>
      </w:r>
      <w:r>
        <w:rPr>
          <w:color w:val="231F20"/>
          <w:sz w:val="19"/>
        </w:rPr>
        <w:t>El </w:t>
      </w:r>
      <w:r>
        <w:rPr>
          <w:color w:val="231F20"/>
          <w:spacing w:val="2"/>
          <w:sz w:val="19"/>
        </w:rPr>
        <w:t>profesor </w:t>
      </w:r>
      <w:r>
        <w:rPr>
          <w:color w:val="231F20"/>
          <w:sz w:val="19"/>
        </w:rPr>
        <w:t>le dijo que se </w:t>
      </w:r>
      <w:r>
        <w:rPr>
          <w:color w:val="231F20"/>
          <w:spacing w:val="2"/>
          <w:sz w:val="19"/>
        </w:rPr>
        <w:t>civilizara, </w:t>
      </w:r>
      <w:r>
        <w:rPr>
          <w:color w:val="231F20"/>
          <w:sz w:val="19"/>
        </w:rPr>
        <w:t>que no le </w:t>
      </w:r>
      <w:r>
        <w:rPr>
          <w:color w:val="231F20"/>
          <w:spacing w:val="2"/>
          <w:sz w:val="19"/>
        </w:rPr>
        <w:t>entendía </w:t>
      </w:r>
      <w:r>
        <w:rPr>
          <w:color w:val="231F20"/>
          <w:sz w:val="19"/>
        </w:rPr>
        <w:t>lo que </w:t>
      </w:r>
      <w:r>
        <w:rPr>
          <w:color w:val="231F20"/>
          <w:spacing w:val="2"/>
          <w:sz w:val="19"/>
        </w:rPr>
        <w:t>estaba hablando, porque nosotros traemos </w:t>
      </w:r>
      <w:r>
        <w:rPr>
          <w:color w:val="231F20"/>
          <w:sz w:val="19"/>
        </w:rPr>
        <w:t>el </w:t>
      </w:r>
      <w:r>
        <w:rPr>
          <w:color w:val="231F20"/>
          <w:spacing w:val="2"/>
          <w:sz w:val="19"/>
        </w:rPr>
        <w:t>tono </w:t>
      </w:r>
      <w:r>
        <w:rPr>
          <w:color w:val="231F20"/>
          <w:sz w:val="19"/>
        </w:rPr>
        <w:t>de </w:t>
      </w:r>
      <w:r>
        <w:rPr>
          <w:color w:val="231F20"/>
          <w:spacing w:val="2"/>
          <w:sz w:val="19"/>
        </w:rPr>
        <w:t>nuestro dialecto. Entonces </w:t>
      </w:r>
      <w:r>
        <w:rPr>
          <w:color w:val="231F20"/>
          <w:sz w:val="19"/>
        </w:rPr>
        <w:t>la </w:t>
      </w:r>
      <w:r>
        <w:rPr>
          <w:color w:val="231F20"/>
          <w:spacing w:val="3"/>
          <w:sz w:val="19"/>
        </w:rPr>
        <w:t>rega-  </w:t>
      </w:r>
      <w:r>
        <w:rPr>
          <w:color w:val="231F20"/>
          <w:sz w:val="19"/>
        </w:rPr>
        <w:t>ñó y le dijo que </w:t>
      </w:r>
      <w:r>
        <w:rPr>
          <w:color w:val="231F20"/>
          <w:spacing w:val="2"/>
          <w:sz w:val="19"/>
        </w:rPr>
        <w:t>debería aprender más </w:t>
      </w:r>
      <w:r>
        <w:rPr>
          <w:color w:val="231F20"/>
          <w:sz w:val="19"/>
        </w:rPr>
        <w:t>el </w:t>
      </w:r>
      <w:r>
        <w:rPr>
          <w:color w:val="231F20"/>
          <w:spacing w:val="2"/>
          <w:sz w:val="19"/>
        </w:rPr>
        <w:t>español(M. </w:t>
      </w:r>
      <w:r>
        <w:rPr>
          <w:color w:val="231F20"/>
          <w:sz w:val="19"/>
        </w:rPr>
        <w:t>M. </w:t>
      </w:r>
      <w:r>
        <w:rPr>
          <w:color w:val="231F20"/>
          <w:spacing w:val="4"/>
          <w:sz w:val="19"/>
        </w:rPr>
        <w:t>M. </w:t>
      </w:r>
      <w:r>
        <w:rPr>
          <w:color w:val="231F20"/>
          <w:spacing w:val="2"/>
          <w:sz w:val="19"/>
        </w:rPr>
        <w:t>L.,</w:t>
      </w:r>
      <w:r>
        <w:rPr>
          <w:color w:val="231F20"/>
          <w:spacing w:val="2"/>
          <w:sz w:val="21"/>
        </w:rPr>
        <w:t>entrevista personal, </w:t>
      </w:r>
      <w:r>
        <w:rPr>
          <w:color w:val="231F20"/>
          <w:sz w:val="19"/>
        </w:rPr>
        <w:t>29 de </w:t>
      </w:r>
      <w:r>
        <w:rPr>
          <w:color w:val="231F20"/>
          <w:spacing w:val="2"/>
          <w:sz w:val="19"/>
        </w:rPr>
        <w:t>septiembre </w:t>
      </w:r>
      <w:r>
        <w:rPr>
          <w:color w:val="231F20"/>
          <w:sz w:val="19"/>
        </w:rPr>
        <w:t>de</w:t>
      </w:r>
      <w:r>
        <w:rPr>
          <w:color w:val="231F20"/>
          <w:spacing w:val="20"/>
          <w:sz w:val="19"/>
        </w:rPr>
        <w:t> </w:t>
      </w:r>
      <w:r>
        <w:rPr>
          <w:color w:val="231F20"/>
          <w:spacing w:val="2"/>
          <w:sz w:val="19"/>
        </w:rPr>
        <w:t>2011).</w:t>
      </w:r>
    </w:p>
    <w:p>
      <w:pPr>
        <w:pStyle w:val="BodyText"/>
        <w:spacing w:line="219" w:lineRule="exact"/>
        <w:ind w:left="397"/>
      </w:pPr>
      <w:r>
        <w:rPr>
          <w:color w:val="231F20"/>
          <w:w w:val="90"/>
        </w:rPr>
        <w:t>.</w:t>
      </w:r>
    </w:p>
    <w:p>
      <w:pPr>
        <w:pStyle w:val="BodyText"/>
        <w:ind w:left="113" w:right="117" w:firstLine="284"/>
        <w:jc w:val="both"/>
      </w:pPr>
      <w:r>
        <w:rPr>
          <w:color w:val="231F20"/>
        </w:rPr>
        <w:t>En este caso también resalta la falta de estrategias didácticas que incluyan a los estudiantes indígenas en un espacio multicultural. La misma estudiante continúa su relato:</w:t>
      </w:r>
    </w:p>
    <w:p>
      <w:pPr>
        <w:pStyle w:val="BodyText"/>
        <w:spacing w:before="2"/>
        <w:rPr>
          <w:sz w:val="23"/>
        </w:rPr>
      </w:pPr>
    </w:p>
    <w:p>
      <w:pPr>
        <w:spacing w:line="273" w:lineRule="auto" w:before="0"/>
        <w:ind w:left="821" w:right="237" w:firstLine="0"/>
        <w:jc w:val="left"/>
        <w:rPr>
          <w:sz w:val="19"/>
        </w:rPr>
      </w:pPr>
      <w:r>
        <w:rPr>
          <w:color w:val="231F20"/>
          <w:sz w:val="19"/>
        </w:rPr>
        <w:t>(…) el profesor era bien presumido, bien creído. No nos expli- caba bien, piensa que todos tienen la misma formación que él o</w:t>
      </w:r>
    </w:p>
    <w:p>
      <w:pPr>
        <w:spacing w:after="0" w:line="273" w:lineRule="auto"/>
        <w:jc w:val="left"/>
        <w:rPr>
          <w:sz w:val="19"/>
        </w:rPr>
        <w:sectPr>
          <w:headerReference w:type="default" r:id="rId737"/>
          <w:footerReference w:type="default" r:id="rId738"/>
          <w:pgSz w:w="7830" w:h="11910"/>
          <w:pgMar w:header="0" w:footer="424" w:top="500" w:bottom="620" w:left="880" w:right="900"/>
          <w:pgNumType w:start="331"/>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3" w:lineRule="auto" w:before="111"/>
        <w:ind w:left="810" w:right="155" w:firstLine="0"/>
        <w:jc w:val="both"/>
        <w:rPr>
          <w:sz w:val="19"/>
        </w:rPr>
      </w:pPr>
      <w:r>
        <w:rPr>
          <w:color w:val="231F20"/>
          <w:sz w:val="19"/>
        </w:rPr>
        <w:t>que saben lo mismo que él, que ya sabemos palabras más técni- cas, pero no, porque si está enseñando es porque él sabe (M. M.</w:t>
      </w:r>
    </w:p>
    <w:p>
      <w:pPr>
        <w:spacing w:before="1"/>
        <w:ind w:left="810" w:right="0" w:firstLine="0"/>
        <w:jc w:val="both"/>
        <w:rPr>
          <w:sz w:val="19"/>
        </w:rPr>
      </w:pPr>
      <w:r>
        <w:rPr>
          <w:color w:val="231F20"/>
          <w:sz w:val="19"/>
        </w:rPr>
        <w:t>M. L.,entrevista personal, 29 de septiembre de 2011).</w:t>
      </w:r>
    </w:p>
    <w:p>
      <w:pPr>
        <w:pStyle w:val="BodyText"/>
        <w:spacing w:before="11"/>
      </w:pPr>
    </w:p>
    <w:p>
      <w:pPr>
        <w:pStyle w:val="BodyText"/>
        <w:spacing w:line="249" w:lineRule="auto"/>
        <w:ind w:left="102" w:right="107" w:firstLine="283"/>
        <w:jc w:val="both"/>
      </w:pPr>
      <w:r>
        <w:rPr>
          <w:color w:val="231F20"/>
          <w:spacing w:val="2"/>
        </w:rPr>
        <w:t>Las formas </w:t>
      </w:r>
      <w:r>
        <w:rPr>
          <w:color w:val="231F20"/>
        </w:rPr>
        <w:t>de </w:t>
      </w:r>
      <w:r>
        <w:rPr>
          <w:color w:val="231F20"/>
          <w:spacing w:val="2"/>
        </w:rPr>
        <w:t>comunicación oral excluyen </w:t>
      </w:r>
      <w:r>
        <w:rPr>
          <w:color w:val="231F20"/>
        </w:rPr>
        <w:t>a </w:t>
      </w:r>
      <w:r>
        <w:rPr>
          <w:color w:val="231F20"/>
          <w:spacing w:val="2"/>
        </w:rPr>
        <w:t>los estudiantes </w:t>
      </w:r>
      <w:r>
        <w:rPr>
          <w:color w:val="231F20"/>
          <w:spacing w:val="3"/>
        </w:rPr>
        <w:t>in- </w:t>
      </w:r>
      <w:r>
        <w:rPr>
          <w:color w:val="231F20"/>
          <w:spacing w:val="2"/>
        </w:rPr>
        <w:t>dígenas, </w:t>
      </w:r>
      <w:r>
        <w:rPr>
          <w:color w:val="231F20"/>
        </w:rPr>
        <w:t>que  </w:t>
      </w:r>
      <w:r>
        <w:rPr>
          <w:color w:val="231F20"/>
          <w:spacing w:val="2"/>
        </w:rPr>
        <w:t>también observan </w:t>
      </w:r>
      <w:r>
        <w:rPr>
          <w:color w:val="231F20"/>
          <w:spacing w:val="3"/>
        </w:rPr>
        <w:t>elementos </w:t>
      </w:r>
      <w:r>
        <w:rPr>
          <w:color w:val="231F20"/>
          <w:spacing w:val="2"/>
        </w:rPr>
        <w:t>discriminatorios desde  </w:t>
      </w:r>
      <w:r>
        <w:rPr>
          <w:color w:val="231F20"/>
        </w:rPr>
        <w:t>la </w:t>
      </w:r>
      <w:r>
        <w:rPr>
          <w:color w:val="231F20"/>
          <w:spacing w:val="3"/>
        </w:rPr>
        <w:t>comunicación </w:t>
      </w:r>
      <w:r>
        <w:rPr>
          <w:color w:val="231F20"/>
          <w:spacing w:val="2"/>
        </w:rPr>
        <w:t>escrita; </w:t>
      </w:r>
      <w:r>
        <w:rPr>
          <w:color w:val="231F20"/>
        </w:rPr>
        <w:t>en </w:t>
      </w:r>
      <w:r>
        <w:rPr>
          <w:color w:val="231F20"/>
          <w:spacing w:val="2"/>
        </w:rPr>
        <w:t>este sentido, </w:t>
      </w:r>
      <w:r>
        <w:rPr>
          <w:color w:val="231F20"/>
        </w:rPr>
        <w:t>un </w:t>
      </w:r>
      <w:r>
        <w:rPr>
          <w:color w:val="231F20"/>
          <w:spacing w:val="2"/>
        </w:rPr>
        <w:t>alumno nos </w:t>
      </w:r>
      <w:r>
        <w:rPr>
          <w:color w:val="231F20"/>
          <w:spacing w:val="3"/>
        </w:rPr>
        <w:t>comparte </w:t>
      </w:r>
      <w:r>
        <w:rPr>
          <w:color w:val="231F20"/>
        </w:rPr>
        <w:t>lo</w:t>
      </w:r>
      <w:r>
        <w:rPr>
          <w:color w:val="231F20"/>
          <w:spacing w:val="-22"/>
        </w:rPr>
        <w:t> </w:t>
      </w:r>
      <w:r>
        <w:rPr>
          <w:color w:val="231F20"/>
          <w:spacing w:val="2"/>
        </w:rPr>
        <w:t>siguiente:</w:t>
      </w:r>
    </w:p>
    <w:p>
      <w:pPr>
        <w:pStyle w:val="BodyText"/>
        <w:spacing w:before="2"/>
        <w:rPr>
          <w:sz w:val="23"/>
        </w:rPr>
      </w:pPr>
    </w:p>
    <w:p>
      <w:pPr>
        <w:spacing w:line="273" w:lineRule="auto" w:before="0"/>
        <w:ind w:left="810" w:right="157" w:firstLine="0"/>
        <w:jc w:val="both"/>
        <w:rPr>
          <w:sz w:val="19"/>
        </w:rPr>
      </w:pPr>
      <w:r>
        <w:rPr>
          <w:color w:val="231F20"/>
          <w:sz w:val="19"/>
        </w:rPr>
        <w:t>(…) aunque todos hablemos español, no dominamos bien las re- glas gramaticales, porque es como cuando hablas otro idioma, es diferente a tu lengua materna, se complica un poco, bueno. Creo que al menos es parte de esa educación tradicional (A. S. L., en- trevista personal, 12 de septiembre de 2011).</w:t>
      </w:r>
    </w:p>
    <w:p>
      <w:pPr>
        <w:pStyle w:val="BodyText"/>
        <w:spacing w:before="4"/>
        <w:rPr>
          <w:sz w:val="19"/>
        </w:rPr>
      </w:pPr>
    </w:p>
    <w:p>
      <w:pPr>
        <w:pStyle w:val="BodyText"/>
        <w:spacing w:line="249" w:lineRule="auto" w:before="1"/>
        <w:ind w:left="102" w:right="108" w:firstLine="284"/>
        <w:jc w:val="both"/>
      </w:pPr>
      <w:r>
        <w:rPr>
          <w:color w:val="231F20"/>
          <w:spacing w:val="2"/>
        </w:rPr>
        <w:t>Algo </w:t>
      </w:r>
      <w:r>
        <w:rPr>
          <w:color w:val="231F20"/>
        </w:rPr>
        <w:t>que </w:t>
      </w:r>
      <w:r>
        <w:rPr>
          <w:color w:val="231F20"/>
          <w:spacing w:val="2"/>
        </w:rPr>
        <w:t>tiene </w:t>
      </w:r>
      <w:r>
        <w:rPr>
          <w:color w:val="231F20"/>
        </w:rPr>
        <w:t>que </w:t>
      </w:r>
      <w:r>
        <w:rPr>
          <w:color w:val="231F20"/>
          <w:spacing w:val="2"/>
        </w:rPr>
        <w:t>quedar claro </w:t>
      </w:r>
      <w:r>
        <w:rPr>
          <w:color w:val="231F20"/>
        </w:rPr>
        <w:t>es el </w:t>
      </w:r>
      <w:r>
        <w:rPr>
          <w:color w:val="231F20"/>
          <w:spacing w:val="2"/>
        </w:rPr>
        <w:t>hecho </w:t>
      </w:r>
      <w:r>
        <w:rPr>
          <w:color w:val="231F20"/>
        </w:rPr>
        <w:t>de que no se </w:t>
      </w:r>
      <w:r>
        <w:rPr>
          <w:color w:val="231F20"/>
          <w:spacing w:val="2"/>
        </w:rPr>
        <w:t>trata   </w:t>
      </w:r>
      <w:r>
        <w:rPr>
          <w:color w:val="231F20"/>
        </w:rPr>
        <w:t>de </w:t>
      </w:r>
      <w:r>
        <w:rPr>
          <w:color w:val="231F20"/>
          <w:spacing w:val="2"/>
        </w:rPr>
        <w:t>dejar pasar </w:t>
      </w:r>
      <w:r>
        <w:rPr>
          <w:color w:val="231F20"/>
          <w:spacing w:val="3"/>
        </w:rPr>
        <w:t>todo, </w:t>
      </w:r>
      <w:r>
        <w:rPr>
          <w:color w:val="231F20"/>
        </w:rPr>
        <w:t>o </w:t>
      </w:r>
      <w:r>
        <w:rPr>
          <w:color w:val="231F20"/>
          <w:spacing w:val="3"/>
        </w:rPr>
        <w:t>porque </w:t>
      </w:r>
      <w:r>
        <w:rPr>
          <w:color w:val="231F20"/>
        </w:rPr>
        <w:t>es </w:t>
      </w:r>
      <w:r>
        <w:rPr>
          <w:color w:val="231F20"/>
          <w:spacing w:val="2"/>
        </w:rPr>
        <w:t>indígena, por </w:t>
      </w:r>
      <w:r>
        <w:rPr>
          <w:color w:val="231F20"/>
        </w:rPr>
        <w:t>lo </w:t>
      </w:r>
      <w:r>
        <w:rPr>
          <w:color w:val="231F20"/>
          <w:spacing w:val="2"/>
        </w:rPr>
        <w:t>tanto </w:t>
      </w:r>
      <w:r>
        <w:rPr>
          <w:color w:val="231F20"/>
        </w:rPr>
        <w:t>no </w:t>
      </w:r>
      <w:r>
        <w:rPr>
          <w:color w:val="231F20"/>
          <w:spacing w:val="2"/>
        </w:rPr>
        <w:t>hay que exigirle, por </w:t>
      </w:r>
      <w:r>
        <w:rPr>
          <w:color w:val="231F20"/>
        </w:rPr>
        <w:t>el </w:t>
      </w:r>
      <w:r>
        <w:rPr>
          <w:color w:val="231F20"/>
          <w:spacing w:val="2"/>
        </w:rPr>
        <w:t>contrario, habría que manifestarle que tiene </w:t>
      </w:r>
      <w:r>
        <w:rPr>
          <w:color w:val="231F20"/>
        </w:rPr>
        <w:t>la </w:t>
      </w:r>
      <w:r>
        <w:rPr>
          <w:color w:val="231F20"/>
          <w:spacing w:val="2"/>
        </w:rPr>
        <w:t>ca- pacidad </w:t>
      </w:r>
      <w:r>
        <w:rPr>
          <w:color w:val="231F20"/>
          <w:spacing w:val="3"/>
        </w:rPr>
        <w:t>como </w:t>
      </w:r>
      <w:r>
        <w:rPr>
          <w:color w:val="231F20"/>
          <w:spacing w:val="2"/>
        </w:rPr>
        <w:t>cualquier otra </w:t>
      </w:r>
      <w:r>
        <w:rPr>
          <w:color w:val="231F20"/>
          <w:spacing w:val="3"/>
        </w:rPr>
        <w:t>persona </w:t>
      </w:r>
      <w:r>
        <w:rPr>
          <w:color w:val="231F20"/>
          <w:spacing w:val="2"/>
        </w:rPr>
        <w:t>para poder </w:t>
      </w:r>
      <w:r>
        <w:rPr>
          <w:color w:val="231F20"/>
          <w:spacing w:val="3"/>
        </w:rPr>
        <w:t>desempeñarse </w:t>
      </w:r>
      <w:r>
        <w:rPr>
          <w:color w:val="231F20"/>
        </w:rPr>
        <w:t>en  el </w:t>
      </w:r>
      <w:r>
        <w:rPr>
          <w:color w:val="231F20"/>
          <w:spacing w:val="2"/>
        </w:rPr>
        <w:t>ámbito académico</w:t>
      </w:r>
      <w:r>
        <w:rPr>
          <w:color w:val="231F20"/>
          <w:spacing w:val="-6"/>
        </w:rPr>
        <w:t> </w:t>
      </w:r>
      <w:r>
        <w:rPr>
          <w:color w:val="231F20"/>
          <w:spacing w:val="2"/>
        </w:rPr>
        <w:t>universitario.</w:t>
      </w:r>
    </w:p>
    <w:p>
      <w:pPr>
        <w:pStyle w:val="BodyText"/>
        <w:spacing w:line="247" w:lineRule="auto"/>
        <w:ind w:left="102" w:right="108" w:firstLine="284"/>
        <w:jc w:val="both"/>
      </w:pPr>
      <w:r>
        <w:rPr>
          <w:color w:val="231F20"/>
        </w:rPr>
        <w:t>En cuanto a los espacios administrativos, específicamente en la Unidad de Atención Académica a Estudiantes Indígenas de Oaxa- ca, el trato que reciben los estudiantes indígenas es de respeto y de apoyo, así como lo manifiesta una alumna:</w:t>
      </w:r>
    </w:p>
    <w:p>
      <w:pPr>
        <w:pStyle w:val="BodyText"/>
        <w:spacing w:before="6"/>
        <w:rPr>
          <w:sz w:val="22"/>
        </w:rPr>
      </w:pPr>
    </w:p>
    <w:p>
      <w:pPr>
        <w:spacing w:line="273" w:lineRule="auto" w:before="0"/>
        <w:ind w:left="810" w:right="157" w:firstLine="0"/>
        <w:jc w:val="both"/>
        <w:rPr>
          <w:sz w:val="19"/>
        </w:rPr>
      </w:pPr>
      <w:r>
        <w:rPr>
          <w:color w:val="231F20"/>
          <w:sz w:val="19"/>
        </w:rPr>
        <w:t>(…) estamos inscritas en la Unidad de Atención Académica a Es- tudiantes Indígenas, ahí en el sótano de la Biblioteca Central, y pues ahí nos informan de todo, por ejemplo, de las becas, de los cursos y de la bolsa de trabajo (G. G. M., entrevista personal, 29 de septiembre de 2011).</w:t>
      </w:r>
    </w:p>
    <w:p>
      <w:pPr>
        <w:pStyle w:val="BodyText"/>
        <w:spacing w:before="4"/>
        <w:rPr>
          <w:sz w:val="19"/>
        </w:rPr>
      </w:pPr>
    </w:p>
    <w:p>
      <w:pPr>
        <w:pStyle w:val="BodyText"/>
        <w:spacing w:line="249" w:lineRule="auto"/>
        <w:ind w:left="102" w:right="107" w:firstLine="284"/>
        <w:jc w:val="both"/>
      </w:pPr>
      <w:r>
        <w:rPr>
          <w:color w:val="231F20"/>
        </w:rPr>
        <w:t>En lo referente a los apoyos que reciben los estudiantes, algu- nos de ellos son beneficiarios por su pertenencia étnica, por ejem- plo, un alumno comenta lo siguiente:</w:t>
      </w:r>
    </w:p>
    <w:p>
      <w:pPr>
        <w:pStyle w:val="BodyText"/>
        <w:spacing w:before="4"/>
        <w:rPr>
          <w:sz w:val="22"/>
        </w:rPr>
      </w:pPr>
    </w:p>
    <w:p>
      <w:pPr>
        <w:spacing w:line="273" w:lineRule="auto" w:before="0"/>
        <w:ind w:left="810" w:right="158" w:firstLine="0"/>
        <w:jc w:val="both"/>
        <w:rPr>
          <w:sz w:val="19"/>
        </w:rPr>
      </w:pPr>
      <w:r>
        <w:rPr>
          <w:color w:val="231F20"/>
          <w:sz w:val="19"/>
        </w:rPr>
        <w:t>En mi </w:t>
      </w:r>
      <w:r>
        <w:rPr>
          <w:color w:val="231F20"/>
          <w:spacing w:val="2"/>
          <w:sz w:val="19"/>
        </w:rPr>
        <w:t>escuela </w:t>
      </w:r>
      <w:r>
        <w:rPr>
          <w:color w:val="231F20"/>
          <w:sz w:val="19"/>
        </w:rPr>
        <w:t>me </w:t>
      </w:r>
      <w:r>
        <w:rPr>
          <w:color w:val="231F20"/>
          <w:spacing w:val="2"/>
          <w:sz w:val="19"/>
        </w:rPr>
        <w:t>dieron beca </w:t>
      </w:r>
      <w:r>
        <w:rPr>
          <w:color w:val="231F20"/>
          <w:sz w:val="19"/>
        </w:rPr>
        <w:t>de </w:t>
      </w:r>
      <w:r>
        <w:rPr>
          <w:color w:val="231F20"/>
          <w:spacing w:val="2"/>
          <w:sz w:val="19"/>
        </w:rPr>
        <w:t>alimentos, </w:t>
      </w:r>
      <w:r>
        <w:rPr>
          <w:color w:val="231F20"/>
          <w:sz w:val="19"/>
        </w:rPr>
        <w:t>no tanto por el </w:t>
      </w:r>
      <w:r>
        <w:rPr>
          <w:color w:val="231F20"/>
          <w:spacing w:val="2"/>
          <w:sz w:val="19"/>
        </w:rPr>
        <w:t>promedio porque </w:t>
      </w:r>
      <w:r>
        <w:rPr>
          <w:color w:val="231F20"/>
          <w:sz w:val="19"/>
        </w:rPr>
        <w:t>yo </w:t>
      </w:r>
      <w:r>
        <w:rPr>
          <w:color w:val="231F20"/>
          <w:spacing w:val="2"/>
          <w:sz w:val="19"/>
        </w:rPr>
        <w:t>tengo promedio </w:t>
      </w:r>
      <w:r>
        <w:rPr>
          <w:color w:val="231F20"/>
          <w:sz w:val="19"/>
        </w:rPr>
        <w:t>de 8, sino </w:t>
      </w:r>
      <w:r>
        <w:rPr>
          <w:color w:val="231F20"/>
          <w:spacing w:val="2"/>
          <w:sz w:val="19"/>
        </w:rPr>
        <w:t>porque hablo   </w:t>
      </w:r>
      <w:r>
        <w:rPr>
          <w:color w:val="231F20"/>
          <w:sz w:val="19"/>
        </w:rPr>
        <w:t>una </w:t>
      </w:r>
      <w:r>
        <w:rPr>
          <w:color w:val="231F20"/>
          <w:spacing w:val="2"/>
          <w:sz w:val="19"/>
        </w:rPr>
        <w:t>lengua, porque </w:t>
      </w:r>
      <w:r>
        <w:rPr>
          <w:color w:val="231F20"/>
          <w:sz w:val="19"/>
        </w:rPr>
        <w:t>soy un </w:t>
      </w:r>
      <w:r>
        <w:rPr>
          <w:color w:val="231F20"/>
          <w:spacing w:val="2"/>
          <w:sz w:val="19"/>
        </w:rPr>
        <w:t>indígena. Entonces </w:t>
      </w:r>
      <w:r>
        <w:rPr>
          <w:color w:val="231F20"/>
          <w:sz w:val="19"/>
        </w:rPr>
        <w:t>me </w:t>
      </w:r>
      <w:r>
        <w:rPr>
          <w:color w:val="231F20"/>
          <w:spacing w:val="2"/>
          <w:sz w:val="19"/>
        </w:rPr>
        <w:t>dieron </w:t>
      </w:r>
      <w:r>
        <w:rPr>
          <w:color w:val="231F20"/>
          <w:sz w:val="19"/>
        </w:rPr>
        <w:t>un  </w:t>
      </w:r>
      <w:r>
        <w:rPr>
          <w:color w:val="231F20"/>
          <w:spacing w:val="2"/>
          <w:sz w:val="19"/>
        </w:rPr>
        <w:t>poco más, porque </w:t>
      </w:r>
      <w:r>
        <w:rPr>
          <w:color w:val="231F20"/>
          <w:sz w:val="19"/>
        </w:rPr>
        <w:t>yo  </w:t>
      </w:r>
      <w:r>
        <w:rPr>
          <w:color w:val="231F20"/>
          <w:spacing w:val="2"/>
          <w:sz w:val="19"/>
        </w:rPr>
        <w:t>expliqué </w:t>
      </w:r>
      <w:r>
        <w:rPr>
          <w:color w:val="231F20"/>
          <w:sz w:val="19"/>
        </w:rPr>
        <w:t>que  soy  de  una  </w:t>
      </w:r>
      <w:r>
        <w:rPr>
          <w:color w:val="231F20"/>
          <w:spacing w:val="2"/>
          <w:sz w:val="19"/>
        </w:rPr>
        <w:t>comunidad,</w:t>
      </w:r>
      <w:r>
        <w:rPr>
          <w:color w:val="231F20"/>
          <w:spacing w:val="13"/>
          <w:sz w:val="19"/>
        </w:rPr>
        <w:t> </w:t>
      </w:r>
      <w:r>
        <w:rPr>
          <w:color w:val="231F20"/>
          <w:sz w:val="19"/>
        </w:rPr>
        <w:t>eso</w:t>
      </w:r>
    </w:p>
    <w:p>
      <w:pPr>
        <w:spacing w:after="0" w:line="273" w:lineRule="auto"/>
        <w:jc w:val="both"/>
        <w:rPr>
          <w:sz w:val="19"/>
        </w:rPr>
        <w:sectPr>
          <w:headerReference w:type="default" r:id="rId739"/>
          <w:footerReference w:type="default" r:id="rId740"/>
          <w:pgSz w:w="7830" w:h="11910"/>
          <w:pgMar w:header="0" w:footer="424" w:top="500" w:bottom="620" w:left="920" w:right="880"/>
          <w:pgNumType w:start="332"/>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line="273" w:lineRule="auto" w:before="111"/>
        <w:ind w:left="821" w:right="165" w:hanging="1"/>
        <w:jc w:val="both"/>
        <w:rPr>
          <w:sz w:val="19"/>
        </w:rPr>
      </w:pPr>
      <w:r>
        <w:rPr>
          <w:color w:val="231F20"/>
          <w:sz w:val="19"/>
        </w:rPr>
        <w:t>me abrió más el campo (A. S. L., entrevista personal, 12 de sep- tiembre de 2011).</w:t>
      </w:r>
    </w:p>
    <w:p>
      <w:pPr>
        <w:pStyle w:val="BodyText"/>
        <w:spacing w:before="4"/>
        <w:rPr>
          <w:sz w:val="19"/>
        </w:rPr>
      </w:pPr>
    </w:p>
    <w:p>
      <w:pPr>
        <w:pStyle w:val="BodyText"/>
        <w:spacing w:line="249" w:lineRule="auto"/>
        <w:ind w:left="113" w:right="115" w:firstLine="284"/>
        <w:jc w:val="both"/>
      </w:pPr>
      <w:r>
        <w:rPr>
          <w:color w:val="231F20"/>
        </w:rPr>
        <w:t>Por otra parte, algunos jóvenes indígenas reconocen no haber  sido víctimas de la discriminación. Sin embargo, toman distancia de sus compañeros, como estrategia para no sufrir agresiones. Una manera de hacerlo consiste en no adentrarse en las relaciones per- sonales, principalmente entre compañeros de  origen  urbano:  “yo casi no doy muchos detalles míos, para no entrar en chismes o co-  sas que puedan pasar”(I. R. </w:t>
      </w:r>
      <w:r>
        <w:rPr>
          <w:color w:val="231F20"/>
          <w:spacing w:val="2"/>
        </w:rPr>
        <w:t>L., entrevista personal, </w:t>
      </w:r>
      <w:r>
        <w:rPr>
          <w:color w:val="231F20"/>
        </w:rPr>
        <w:t>12 de </w:t>
      </w:r>
      <w:r>
        <w:rPr>
          <w:color w:val="231F20"/>
          <w:spacing w:val="2"/>
        </w:rPr>
        <w:t>septiem- bre </w:t>
      </w:r>
      <w:r>
        <w:rPr>
          <w:color w:val="231F20"/>
        </w:rPr>
        <w:t>de </w:t>
      </w:r>
      <w:r>
        <w:rPr>
          <w:color w:val="231F20"/>
          <w:spacing w:val="2"/>
        </w:rPr>
        <w:t>2011). </w:t>
      </w:r>
      <w:r>
        <w:rPr>
          <w:color w:val="231F20"/>
        </w:rPr>
        <w:t>Esta forma de aislamiento social es una forma de autodefensa, les permite no verse vulnerables, pero al mismo tiem- po les resta posibilidades de socialización; es una forma de auto- marginación que consideramos es producto de un proceso histórico más amplio y complejo, procesos históricos de exclusión y margina- ción de la que han sido víctimas los grupos indígenas, y que se si- guen reproduciendo socialmente en el siglo</w:t>
      </w:r>
      <w:r>
        <w:rPr>
          <w:color w:val="231F20"/>
          <w:spacing w:val="-11"/>
        </w:rPr>
        <w:t> </w:t>
      </w:r>
      <w:r>
        <w:rPr>
          <w:color w:val="231F20"/>
        </w:rPr>
        <w:t>xxi.</w:t>
      </w:r>
    </w:p>
    <w:p>
      <w:pPr>
        <w:pStyle w:val="BodyText"/>
        <w:spacing w:line="249" w:lineRule="auto"/>
        <w:ind w:left="113" w:right="115" w:firstLine="284"/>
        <w:jc w:val="both"/>
      </w:pPr>
      <w:r>
        <w:rPr>
          <w:color w:val="231F20"/>
          <w:spacing w:val="2"/>
        </w:rPr>
        <w:t>Otra </w:t>
      </w:r>
      <w:r>
        <w:rPr>
          <w:color w:val="231F20"/>
        </w:rPr>
        <w:t>de las </w:t>
      </w:r>
      <w:r>
        <w:rPr>
          <w:color w:val="231F20"/>
          <w:spacing w:val="2"/>
        </w:rPr>
        <w:t>estrategias </w:t>
      </w:r>
      <w:r>
        <w:rPr>
          <w:color w:val="231F20"/>
        </w:rPr>
        <w:t>que </w:t>
      </w:r>
      <w:r>
        <w:rPr>
          <w:color w:val="231F20"/>
          <w:spacing w:val="2"/>
        </w:rPr>
        <w:t>siguen los estudiantes indígenas </w:t>
      </w:r>
      <w:r>
        <w:rPr>
          <w:color w:val="231F20"/>
        </w:rPr>
        <w:t>es la de </w:t>
      </w:r>
      <w:r>
        <w:rPr>
          <w:color w:val="231F20"/>
          <w:spacing w:val="2"/>
        </w:rPr>
        <w:t>integrarse </w:t>
      </w:r>
      <w:r>
        <w:rPr>
          <w:color w:val="231F20"/>
        </w:rPr>
        <w:t>en </w:t>
      </w:r>
      <w:r>
        <w:rPr>
          <w:color w:val="231F20"/>
          <w:spacing w:val="3"/>
        </w:rPr>
        <w:t>grupos </w:t>
      </w:r>
      <w:r>
        <w:rPr>
          <w:color w:val="231F20"/>
        </w:rPr>
        <w:t>de </w:t>
      </w:r>
      <w:r>
        <w:rPr>
          <w:color w:val="231F20"/>
          <w:spacing w:val="2"/>
        </w:rPr>
        <w:t>paisanos tanto </w:t>
      </w:r>
      <w:r>
        <w:rPr>
          <w:color w:val="231F20"/>
        </w:rPr>
        <w:t>en el </w:t>
      </w:r>
      <w:r>
        <w:rPr>
          <w:color w:val="231F20"/>
          <w:spacing w:val="2"/>
        </w:rPr>
        <w:t>ámbito escolar  </w:t>
      </w:r>
      <w:r>
        <w:rPr>
          <w:color w:val="231F20"/>
          <w:spacing w:val="3"/>
        </w:rPr>
        <w:t>como </w:t>
      </w:r>
      <w:r>
        <w:rPr>
          <w:color w:val="231F20"/>
          <w:spacing w:val="2"/>
        </w:rPr>
        <w:t>fuera </w:t>
      </w:r>
      <w:r>
        <w:rPr>
          <w:color w:val="231F20"/>
        </w:rPr>
        <w:t>de la </w:t>
      </w:r>
      <w:r>
        <w:rPr>
          <w:color w:val="231F20"/>
          <w:spacing w:val="2"/>
        </w:rPr>
        <w:t>universidad. De esta </w:t>
      </w:r>
      <w:r>
        <w:rPr>
          <w:color w:val="231F20"/>
          <w:spacing w:val="3"/>
        </w:rPr>
        <w:t>manera, </w:t>
      </w:r>
      <w:r>
        <w:rPr>
          <w:color w:val="231F20"/>
        </w:rPr>
        <w:t>es  </w:t>
      </w:r>
      <w:r>
        <w:rPr>
          <w:color w:val="231F20"/>
          <w:spacing w:val="3"/>
        </w:rPr>
        <w:t>común </w:t>
      </w:r>
      <w:r>
        <w:rPr>
          <w:color w:val="231F20"/>
        </w:rPr>
        <w:t>ver  </w:t>
      </w:r>
      <w:r>
        <w:rPr>
          <w:color w:val="231F20"/>
          <w:spacing w:val="3"/>
        </w:rPr>
        <w:t>en</w:t>
      </w:r>
      <w:r>
        <w:rPr>
          <w:color w:val="231F20"/>
          <w:spacing w:val="58"/>
        </w:rPr>
        <w:t> </w:t>
      </w:r>
      <w:r>
        <w:rPr>
          <w:color w:val="231F20"/>
          <w:spacing w:val="2"/>
        </w:rPr>
        <w:t>los salones </w:t>
      </w:r>
      <w:r>
        <w:rPr>
          <w:color w:val="231F20"/>
        </w:rPr>
        <w:t>de </w:t>
      </w:r>
      <w:r>
        <w:rPr>
          <w:color w:val="231F20"/>
          <w:spacing w:val="2"/>
        </w:rPr>
        <w:t>clases </w:t>
      </w:r>
      <w:r>
        <w:rPr>
          <w:color w:val="231F20"/>
        </w:rPr>
        <w:t>a </w:t>
      </w:r>
      <w:r>
        <w:rPr>
          <w:color w:val="231F20"/>
          <w:spacing w:val="3"/>
        </w:rPr>
        <w:t>grupos </w:t>
      </w:r>
      <w:r>
        <w:rPr>
          <w:color w:val="231F20"/>
        </w:rPr>
        <w:t>de </w:t>
      </w:r>
      <w:r>
        <w:rPr>
          <w:color w:val="231F20"/>
          <w:spacing w:val="2"/>
        </w:rPr>
        <w:t>amigos </w:t>
      </w:r>
      <w:r>
        <w:rPr>
          <w:color w:val="231F20"/>
          <w:spacing w:val="3"/>
        </w:rPr>
        <w:t>provenientes </w:t>
      </w:r>
      <w:r>
        <w:rPr>
          <w:color w:val="231F20"/>
        </w:rPr>
        <w:t>de </w:t>
      </w:r>
      <w:r>
        <w:rPr>
          <w:color w:val="231F20"/>
          <w:spacing w:val="3"/>
        </w:rPr>
        <w:t>grupos </w:t>
      </w:r>
      <w:r>
        <w:rPr>
          <w:color w:val="231F20"/>
          <w:spacing w:val="2"/>
        </w:rPr>
        <w:t>indígenas:</w:t>
      </w:r>
    </w:p>
    <w:p>
      <w:pPr>
        <w:pStyle w:val="BodyText"/>
        <w:spacing w:before="2"/>
        <w:rPr>
          <w:sz w:val="22"/>
        </w:rPr>
      </w:pPr>
    </w:p>
    <w:p>
      <w:pPr>
        <w:spacing w:line="273" w:lineRule="auto" w:before="1"/>
        <w:ind w:left="821" w:right="164" w:firstLine="0"/>
        <w:jc w:val="both"/>
        <w:rPr>
          <w:sz w:val="19"/>
        </w:rPr>
      </w:pPr>
      <w:r>
        <w:rPr>
          <w:color w:val="231F20"/>
          <w:sz w:val="19"/>
        </w:rPr>
        <w:t>(…) yo conozco compañeros que son de la región mixteca, de    los mixes y de la costa, entonces convivimos bien, no hay ningún problema entre nosotros, yo en mi salón me explayo, a veces es- toy hablando zapoteco, porque también hay otra compañera  de    la Sierra Norte, ella no lo habla pero al menos le entiende, enton- ces, yo a veces me estoy explayando ahí en el salón, y sí, a veces en ocasiones me dicen: es que tú te la pasas hablando en zapote-  co y no te entendemos (A. S. L., entrevista personal, 12 de sep- tiembre de 2011).</w:t>
      </w:r>
    </w:p>
    <w:p>
      <w:pPr>
        <w:pStyle w:val="BodyText"/>
        <w:spacing w:before="4"/>
        <w:rPr>
          <w:sz w:val="19"/>
        </w:rPr>
      </w:pPr>
    </w:p>
    <w:p>
      <w:pPr>
        <w:pStyle w:val="BodyText"/>
        <w:spacing w:line="247" w:lineRule="auto" w:before="1"/>
        <w:ind w:left="113" w:right="118" w:firstLine="284"/>
        <w:jc w:val="both"/>
      </w:pPr>
      <w:r>
        <w:rPr>
          <w:color w:val="231F20"/>
          <w:spacing w:val="2"/>
        </w:rPr>
        <w:t>Fuera </w:t>
      </w:r>
      <w:r>
        <w:rPr>
          <w:color w:val="231F20"/>
        </w:rPr>
        <w:t>de la </w:t>
      </w:r>
      <w:r>
        <w:rPr>
          <w:color w:val="231F20"/>
          <w:spacing w:val="2"/>
        </w:rPr>
        <w:t>universidad, </w:t>
      </w:r>
      <w:r>
        <w:rPr>
          <w:color w:val="231F20"/>
          <w:spacing w:val="3"/>
        </w:rPr>
        <w:t>encontramos alumnos </w:t>
      </w:r>
      <w:r>
        <w:rPr>
          <w:color w:val="231F20"/>
          <w:spacing w:val="2"/>
        </w:rPr>
        <w:t>que viven </w:t>
      </w:r>
      <w:r>
        <w:rPr>
          <w:color w:val="231F20"/>
        </w:rPr>
        <w:t>en la </w:t>
      </w:r>
      <w:r>
        <w:rPr>
          <w:color w:val="231F20"/>
          <w:spacing w:val="2"/>
        </w:rPr>
        <w:t>Casa </w:t>
      </w:r>
      <w:r>
        <w:rPr>
          <w:color w:val="231F20"/>
        </w:rPr>
        <w:t>del </w:t>
      </w:r>
      <w:r>
        <w:rPr>
          <w:color w:val="231F20"/>
          <w:spacing w:val="2"/>
        </w:rPr>
        <w:t>Estudiante Indígena </w:t>
      </w:r>
      <w:r>
        <w:rPr>
          <w:color w:val="231F20"/>
        </w:rPr>
        <w:t>y se </w:t>
      </w:r>
      <w:r>
        <w:rPr>
          <w:color w:val="231F20"/>
          <w:spacing w:val="2"/>
        </w:rPr>
        <w:t>nota </w:t>
      </w:r>
      <w:r>
        <w:rPr>
          <w:color w:val="231F20"/>
        </w:rPr>
        <w:t>un </w:t>
      </w:r>
      <w:r>
        <w:rPr>
          <w:color w:val="231F20"/>
          <w:spacing w:val="3"/>
        </w:rPr>
        <w:t>ambiente </w:t>
      </w:r>
      <w:r>
        <w:rPr>
          <w:color w:val="231F20"/>
        </w:rPr>
        <w:t>de </w:t>
      </w:r>
      <w:r>
        <w:rPr>
          <w:color w:val="231F20"/>
          <w:spacing w:val="2"/>
        </w:rPr>
        <w:t>solidaridad   </w:t>
      </w:r>
      <w:r>
        <w:rPr>
          <w:color w:val="231F20"/>
        </w:rPr>
        <w:t>y</w:t>
      </w:r>
      <w:r>
        <w:rPr>
          <w:color w:val="231F20"/>
          <w:spacing w:val="-9"/>
        </w:rPr>
        <w:t> </w:t>
      </w:r>
      <w:r>
        <w:rPr>
          <w:color w:val="231F20"/>
          <w:spacing w:val="3"/>
        </w:rPr>
        <w:t>compañerismo:</w:t>
      </w:r>
    </w:p>
    <w:p>
      <w:pPr>
        <w:pStyle w:val="BodyText"/>
        <w:spacing w:before="6"/>
        <w:rPr>
          <w:sz w:val="22"/>
        </w:rPr>
      </w:pPr>
    </w:p>
    <w:p>
      <w:pPr>
        <w:spacing w:line="273" w:lineRule="auto" w:before="0"/>
        <w:ind w:left="821" w:right="165" w:firstLine="0"/>
        <w:jc w:val="both"/>
        <w:rPr>
          <w:sz w:val="19"/>
        </w:rPr>
      </w:pPr>
      <w:r>
        <w:rPr>
          <w:color w:val="231F20"/>
          <w:sz w:val="19"/>
        </w:rPr>
        <w:t>(…) aquí todo está tranquilo, convivimos bien. No hay ningún problema entre nosotros, se siente un ambiente de respeto. Esta</w:t>
      </w:r>
    </w:p>
    <w:p>
      <w:pPr>
        <w:spacing w:after="0" w:line="273" w:lineRule="auto"/>
        <w:jc w:val="both"/>
        <w:rPr>
          <w:sz w:val="19"/>
        </w:rPr>
        <w:sectPr>
          <w:headerReference w:type="default" r:id="rId741"/>
          <w:footerReference w:type="default" r:id="rId742"/>
          <w:pgSz w:w="7830" w:h="11910"/>
          <w:pgMar w:header="0" w:footer="424" w:top="500" w:bottom="620" w:left="880" w:right="900"/>
          <w:pgNumType w:start="333"/>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6" w:lineRule="auto" w:before="111"/>
        <w:ind w:left="810" w:right="156" w:firstLine="0"/>
        <w:jc w:val="both"/>
        <w:rPr>
          <w:sz w:val="19"/>
        </w:rPr>
      </w:pPr>
      <w:r>
        <w:rPr>
          <w:color w:val="231F20"/>
          <w:sz w:val="19"/>
        </w:rPr>
        <w:t>mezcla cultural nos hace unirnos y buscar un objetivo común pa- ra todos. Por ejemplo, nosotros aquí trabajamos en conjunto pa-  ra cocinar, nos entremezclamos entre todos y nos llevamos bien    y tratamos de que la gente vea que nosotros como estudiantes indígenas y como gente de comunidad podemos organizarnos aunque seamos de distintas comunidades (A. S. L., entrevista personal, 12 de septiembre de</w:t>
      </w:r>
      <w:r>
        <w:rPr>
          <w:color w:val="231F20"/>
          <w:spacing w:val="16"/>
          <w:sz w:val="19"/>
        </w:rPr>
        <w:t> </w:t>
      </w:r>
      <w:r>
        <w:rPr>
          <w:color w:val="231F20"/>
          <w:sz w:val="19"/>
        </w:rPr>
        <w:t>2011).</w:t>
      </w:r>
    </w:p>
    <w:p>
      <w:pPr>
        <w:pStyle w:val="BodyText"/>
        <w:spacing w:before="2"/>
        <w:rPr>
          <w:sz w:val="19"/>
        </w:rPr>
      </w:pPr>
    </w:p>
    <w:p>
      <w:pPr>
        <w:pStyle w:val="BodyText"/>
        <w:spacing w:line="247" w:lineRule="auto"/>
        <w:ind w:left="102" w:right="106" w:firstLine="284"/>
        <w:jc w:val="both"/>
      </w:pPr>
      <w:r>
        <w:rPr>
          <w:color w:val="231F20"/>
        </w:rPr>
        <w:t>Es </w:t>
      </w:r>
      <w:r>
        <w:rPr>
          <w:color w:val="231F20"/>
          <w:spacing w:val="3"/>
        </w:rPr>
        <w:t>importante mencionar </w:t>
      </w:r>
      <w:r>
        <w:rPr>
          <w:color w:val="231F20"/>
        </w:rPr>
        <w:t>que </w:t>
      </w:r>
      <w:r>
        <w:rPr>
          <w:color w:val="231F20"/>
          <w:spacing w:val="2"/>
        </w:rPr>
        <w:t>los </w:t>
      </w:r>
      <w:r>
        <w:rPr>
          <w:color w:val="231F20"/>
          <w:spacing w:val="3"/>
        </w:rPr>
        <w:t>alumnos </w:t>
      </w:r>
      <w:r>
        <w:rPr>
          <w:color w:val="231F20"/>
        </w:rPr>
        <w:t>de </w:t>
      </w:r>
      <w:r>
        <w:rPr>
          <w:color w:val="231F20"/>
          <w:spacing w:val="2"/>
        </w:rPr>
        <w:t>nuevo ingreso </w:t>
      </w:r>
      <w:r>
        <w:rPr>
          <w:color w:val="231F20"/>
        </w:rPr>
        <w:t>en  la </w:t>
      </w:r>
      <w:r>
        <w:rPr>
          <w:color w:val="231F20"/>
          <w:spacing w:val="3"/>
        </w:rPr>
        <w:t>UABJO muchas </w:t>
      </w:r>
      <w:r>
        <w:rPr>
          <w:color w:val="231F20"/>
          <w:spacing w:val="2"/>
        </w:rPr>
        <w:t>veces </w:t>
      </w:r>
      <w:r>
        <w:rPr>
          <w:color w:val="231F20"/>
        </w:rPr>
        <w:t>no </w:t>
      </w:r>
      <w:r>
        <w:rPr>
          <w:color w:val="231F20"/>
          <w:spacing w:val="3"/>
        </w:rPr>
        <w:t>conocen </w:t>
      </w:r>
      <w:r>
        <w:rPr>
          <w:color w:val="231F20"/>
        </w:rPr>
        <w:t>la </w:t>
      </w:r>
      <w:r>
        <w:rPr>
          <w:color w:val="231F20"/>
          <w:spacing w:val="2"/>
        </w:rPr>
        <w:t>Casa del </w:t>
      </w:r>
      <w:r>
        <w:rPr>
          <w:color w:val="231F20"/>
          <w:spacing w:val="3"/>
        </w:rPr>
        <w:t>Estudiante </w:t>
      </w:r>
      <w:r>
        <w:rPr>
          <w:color w:val="231F20"/>
        </w:rPr>
        <w:t>Indí- </w:t>
      </w:r>
      <w:r>
        <w:rPr>
          <w:color w:val="231F20"/>
          <w:spacing w:val="2"/>
        </w:rPr>
        <w:t>gena </w:t>
      </w:r>
      <w:r>
        <w:rPr>
          <w:color w:val="231F20"/>
        </w:rPr>
        <w:t>y </w:t>
      </w:r>
      <w:r>
        <w:rPr>
          <w:color w:val="231F20"/>
          <w:spacing w:val="2"/>
        </w:rPr>
        <w:t>son los </w:t>
      </w:r>
      <w:r>
        <w:rPr>
          <w:color w:val="231F20"/>
          <w:spacing w:val="3"/>
        </w:rPr>
        <w:t>compañeros </w:t>
      </w:r>
      <w:r>
        <w:rPr>
          <w:color w:val="231F20"/>
        </w:rPr>
        <w:t>de </w:t>
      </w:r>
      <w:r>
        <w:rPr>
          <w:color w:val="231F20"/>
          <w:spacing w:val="2"/>
        </w:rPr>
        <w:t>otros semestres quienes </w:t>
      </w:r>
      <w:r>
        <w:rPr>
          <w:color w:val="231F20"/>
          <w:spacing w:val="3"/>
        </w:rPr>
        <w:t>informan </w:t>
      </w:r>
      <w:r>
        <w:rPr>
          <w:color w:val="231F20"/>
          <w:spacing w:val="2"/>
        </w:rPr>
        <w:t>sobre esta casa. Esta alternativa </w:t>
      </w:r>
      <w:r>
        <w:rPr>
          <w:color w:val="231F20"/>
        </w:rPr>
        <w:t>es  </w:t>
      </w:r>
      <w:r>
        <w:rPr>
          <w:color w:val="231F20"/>
          <w:spacing w:val="2"/>
        </w:rPr>
        <w:t>una ventaja para los </w:t>
      </w:r>
      <w:r>
        <w:rPr>
          <w:color w:val="231F20"/>
          <w:spacing w:val="3"/>
        </w:rPr>
        <w:t>jóvenes</w:t>
      </w:r>
      <w:r>
        <w:rPr>
          <w:color w:val="231F20"/>
          <w:spacing w:val="58"/>
        </w:rPr>
        <w:t> </w:t>
      </w:r>
      <w:r>
        <w:rPr>
          <w:color w:val="231F20"/>
        </w:rPr>
        <w:t>que </w:t>
      </w:r>
      <w:r>
        <w:rPr>
          <w:color w:val="231F20"/>
          <w:spacing w:val="2"/>
        </w:rPr>
        <w:t>vienen </w:t>
      </w:r>
      <w:r>
        <w:rPr>
          <w:color w:val="231F20"/>
        </w:rPr>
        <w:t>de  </w:t>
      </w:r>
      <w:r>
        <w:rPr>
          <w:color w:val="231F20"/>
          <w:spacing w:val="2"/>
        </w:rPr>
        <w:t>otras </w:t>
      </w:r>
      <w:r>
        <w:rPr>
          <w:color w:val="231F20"/>
          <w:spacing w:val="3"/>
        </w:rPr>
        <w:t>comunidades </w:t>
      </w:r>
      <w:r>
        <w:rPr>
          <w:color w:val="231F20"/>
          <w:spacing w:val="2"/>
        </w:rPr>
        <w:t>porque disponen </w:t>
      </w:r>
      <w:r>
        <w:rPr>
          <w:color w:val="231F20"/>
        </w:rPr>
        <w:t>de  </w:t>
      </w:r>
      <w:r>
        <w:rPr>
          <w:color w:val="231F20"/>
          <w:spacing w:val="2"/>
        </w:rPr>
        <w:t>servicios  </w:t>
      </w:r>
      <w:r>
        <w:rPr>
          <w:color w:val="231F20"/>
        </w:rPr>
        <w:t>que no </w:t>
      </w:r>
      <w:r>
        <w:rPr>
          <w:color w:val="231F20"/>
          <w:spacing w:val="2"/>
        </w:rPr>
        <w:t>tendrían </w:t>
      </w:r>
      <w:r>
        <w:rPr>
          <w:color w:val="231F20"/>
        </w:rPr>
        <w:t>si </w:t>
      </w:r>
      <w:r>
        <w:rPr>
          <w:color w:val="231F20"/>
          <w:spacing w:val="2"/>
        </w:rPr>
        <w:t>vivieran solos, además </w:t>
      </w:r>
      <w:r>
        <w:rPr>
          <w:color w:val="231F20"/>
        </w:rPr>
        <w:t>de la </w:t>
      </w:r>
      <w:r>
        <w:rPr>
          <w:color w:val="231F20"/>
          <w:spacing w:val="3"/>
        </w:rPr>
        <w:t>convivencia </w:t>
      </w:r>
      <w:r>
        <w:rPr>
          <w:color w:val="231F20"/>
          <w:spacing w:val="2"/>
        </w:rPr>
        <w:t>coti- diana que </w:t>
      </w:r>
      <w:r>
        <w:rPr>
          <w:color w:val="231F20"/>
        </w:rPr>
        <w:t>en </w:t>
      </w:r>
      <w:r>
        <w:rPr>
          <w:color w:val="231F20"/>
          <w:spacing w:val="2"/>
        </w:rPr>
        <w:t>cierta </w:t>
      </w:r>
      <w:r>
        <w:rPr>
          <w:color w:val="231F20"/>
          <w:spacing w:val="3"/>
        </w:rPr>
        <w:t>medida </w:t>
      </w:r>
      <w:r>
        <w:rPr>
          <w:color w:val="231F20"/>
          <w:spacing w:val="2"/>
        </w:rPr>
        <w:t>los</w:t>
      </w:r>
      <w:r>
        <w:rPr>
          <w:color w:val="231F20"/>
          <w:spacing w:val="-1"/>
        </w:rPr>
        <w:t> </w:t>
      </w:r>
      <w:r>
        <w:rPr>
          <w:color w:val="231F20"/>
          <w:spacing w:val="2"/>
        </w:rPr>
        <w:t>motiva.</w:t>
      </w:r>
    </w:p>
    <w:p>
      <w:pPr>
        <w:pStyle w:val="BodyText"/>
        <w:spacing w:before="1"/>
        <w:ind w:left="386" w:right="104"/>
      </w:pPr>
      <w:r>
        <w:rPr>
          <w:color w:val="231F20"/>
        </w:rPr>
        <w:t>Al respecto, un estudiante nos relata:</w:t>
      </w:r>
    </w:p>
    <w:p>
      <w:pPr>
        <w:pStyle w:val="BodyText"/>
        <w:spacing w:before="11"/>
        <w:rPr>
          <w:sz w:val="23"/>
        </w:rPr>
      </w:pPr>
    </w:p>
    <w:p>
      <w:pPr>
        <w:spacing w:line="268" w:lineRule="auto" w:before="0"/>
        <w:ind w:left="811" w:right="107" w:firstLine="284"/>
        <w:jc w:val="both"/>
        <w:rPr>
          <w:sz w:val="19"/>
        </w:rPr>
      </w:pPr>
      <w:r>
        <w:rPr>
          <w:color w:val="231F20"/>
          <w:sz w:val="19"/>
        </w:rPr>
        <w:t>Una amiga me dijo que había una oportunidad en la Casa del Estudiante Indígena. Fue una opción, una oportunidad para seguir, porque yo estaba en cuarto semestre y ya no quería seguir en la es- cuela, fue un gran apoyo(A. S. L., </w:t>
      </w:r>
      <w:r>
        <w:rPr>
          <w:color w:val="231F20"/>
          <w:sz w:val="21"/>
        </w:rPr>
        <w:t>entrevista personal, </w:t>
      </w:r>
      <w:r>
        <w:rPr>
          <w:color w:val="231F20"/>
          <w:sz w:val="19"/>
        </w:rPr>
        <w:t>12 de septiembre de 2011).</w:t>
      </w:r>
    </w:p>
    <w:p>
      <w:pPr>
        <w:pStyle w:val="BodyText"/>
        <w:spacing w:before="6"/>
        <w:rPr>
          <w:sz w:val="20"/>
        </w:rPr>
      </w:pPr>
    </w:p>
    <w:p>
      <w:pPr>
        <w:pStyle w:val="BodyText"/>
        <w:spacing w:line="247" w:lineRule="auto" w:before="1"/>
        <w:ind w:left="102" w:right="107" w:firstLine="284"/>
        <w:jc w:val="both"/>
      </w:pPr>
      <w:r>
        <w:rPr>
          <w:color w:val="231F20"/>
        </w:rPr>
        <w:t>Cuando los jóvenes llegan por primera vez a la Casa del Estu- diante Indígena son apoyados por los demás habitantes de la casa, quienes explican el funcionamiento de esta. Están atentos a las necesidades de los nuevos inquilinos hasta que llegan a sentirse en un ambiente comunitario.</w:t>
      </w:r>
    </w:p>
    <w:p>
      <w:pPr>
        <w:pStyle w:val="BodyText"/>
        <w:spacing w:line="249" w:lineRule="auto" w:before="1"/>
        <w:ind w:left="102" w:right="111" w:firstLine="284"/>
        <w:jc w:val="both"/>
      </w:pPr>
      <w:r>
        <w:rPr>
          <w:color w:val="231F20"/>
        </w:rPr>
        <w:t>De esta manera, los estudiantes indígenas mientras asisten a la universidad se encuentran inmersos en una serie de situaciones rodeadas algunas de actitudes discriminatorias y otras de solidari- dad, apoyo y compañerismo.</w:t>
      </w:r>
    </w:p>
    <w:p>
      <w:pPr>
        <w:pStyle w:val="BodyText"/>
        <w:spacing w:before="8"/>
        <w:rPr>
          <w:sz w:val="20"/>
        </w:rPr>
      </w:pPr>
    </w:p>
    <w:p>
      <w:pPr>
        <w:pStyle w:val="BodyText"/>
        <w:spacing w:before="1"/>
        <w:ind w:left="102"/>
        <w:jc w:val="both"/>
      </w:pPr>
      <w:r>
        <w:rPr>
          <w:color w:val="231F20"/>
        </w:rPr>
        <w:t>CONCLUSIONES  PRELIMINARES</w:t>
      </w:r>
    </w:p>
    <w:p>
      <w:pPr>
        <w:pStyle w:val="BodyText"/>
        <w:spacing w:before="1"/>
      </w:pPr>
    </w:p>
    <w:p>
      <w:pPr>
        <w:pStyle w:val="BodyText"/>
        <w:spacing w:line="247" w:lineRule="auto" w:before="1"/>
        <w:ind w:left="102" w:right="107"/>
        <w:jc w:val="both"/>
      </w:pPr>
      <w:r>
        <w:rPr>
          <w:color w:val="231F20"/>
        </w:rPr>
        <w:t>Este trabajo nos ha permitido observar empíricamente que la discri- minación es un fenómeno histórico que requiere un tratamiento es- pecial, pero que al mismo tiempo ha ido variando a lo largo de la historia,</w:t>
      </w:r>
      <w:r>
        <w:rPr>
          <w:color w:val="231F20"/>
          <w:spacing w:val="-12"/>
        </w:rPr>
        <w:t> </w:t>
      </w:r>
      <w:r>
        <w:rPr>
          <w:color w:val="231F20"/>
        </w:rPr>
        <w:t>ya</w:t>
      </w:r>
      <w:r>
        <w:rPr>
          <w:color w:val="231F20"/>
          <w:spacing w:val="-12"/>
        </w:rPr>
        <w:t> </w:t>
      </w:r>
      <w:r>
        <w:rPr>
          <w:color w:val="231F20"/>
        </w:rPr>
        <w:t>que</w:t>
      </w:r>
      <w:r>
        <w:rPr>
          <w:color w:val="231F20"/>
          <w:spacing w:val="-12"/>
        </w:rPr>
        <w:t> </w:t>
      </w:r>
      <w:r>
        <w:rPr>
          <w:color w:val="231F20"/>
        </w:rPr>
        <w:t>actualmente</w:t>
      </w:r>
      <w:r>
        <w:rPr>
          <w:color w:val="231F20"/>
          <w:spacing w:val="-12"/>
        </w:rPr>
        <w:t> </w:t>
      </w:r>
      <w:r>
        <w:rPr>
          <w:color w:val="231F20"/>
        </w:rPr>
        <w:t>podríamos</w:t>
      </w:r>
      <w:r>
        <w:rPr>
          <w:color w:val="231F20"/>
          <w:spacing w:val="-12"/>
        </w:rPr>
        <w:t> </w:t>
      </w:r>
      <w:r>
        <w:rPr>
          <w:color w:val="231F20"/>
        </w:rPr>
        <w:t>señalar</w:t>
      </w:r>
      <w:r>
        <w:rPr>
          <w:color w:val="231F20"/>
          <w:spacing w:val="-12"/>
        </w:rPr>
        <w:t> </w:t>
      </w:r>
      <w:r>
        <w:rPr>
          <w:color w:val="231F20"/>
        </w:rPr>
        <w:t>que</w:t>
      </w:r>
      <w:r>
        <w:rPr>
          <w:color w:val="231F20"/>
          <w:spacing w:val="-10"/>
        </w:rPr>
        <w:t> </w:t>
      </w:r>
      <w:r>
        <w:rPr>
          <w:color w:val="231F20"/>
        </w:rPr>
        <w:t>se</w:t>
      </w:r>
      <w:r>
        <w:rPr>
          <w:color w:val="231F20"/>
          <w:spacing w:val="-12"/>
        </w:rPr>
        <w:t> </w:t>
      </w:r>
      <w:r>
        <w:rPr>
          <w:color w:val="231F20"/>
        </w:rPr>
        <w:t>presenta</w:t>
      </w:r>
      <w:r>
        <w:rPr>
          <w:color w:val="231F20"/>
          <w:spacing w:val="-12"/>
        </w:rPr>
        <w:t> </w:t>
      </w:r>
      <w:r>
        <w:rPr>
          <w:color w:val="231F20"/>
        </w:rPr>
        <w:t>de</w:t>
      </w:r>
      <w:r>
        <w:rPr>
          <w:color w:val="231F20"/>
          <w:spacing w:val="-12"/>
        </w:rPr>
        <w:t> </w:t>
      </w:r>
      <w:r>
        <w:rPr>
          <w:color w:val="231F20"/>
        </w:rPr>
        <w:t>una</w:t>
      </w:r>
    </w:p>
    <w:p>
      <w:pPr>
        <w:spacing w:after="0" w:line="247" w:lineRule="auto"/>
        <w:jc w:val="both"/>
        <w:sectPr>
          <w:headerReference w:type="default" r:id="rId743"/>
          <w:footerReference w:type="default" r:id="rId744"/>
          <w:pgSz w:w="7830" w:h="11910"/>
          <w:pgMar w:header="0" w:footer="424" w:top="500" w:bottom="620" w:left="920" w:right="880"/>
          <w:pgNumType w:start="334"/>
        </w:sectPr>
      </w:pPr>
    </w:p>
    <w:p>
      <w:pPr>
        <w:spacing w:before="46"/>
        <w:ind w:left="1488" w:right="116"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4" w:lineRule="auto"/>
        <w:ind w:left="113" w:right="119"/>
        <w:jc w:val="both"/>
      </w:pPr>
      <w:r>
        <w:rPr>
          <w:color w:val="231F20"/>
        </w:rPr>
        <w:t>manera muy sutil, lo cual debería estudiarse con más detenimiento y desde una dimensión más cualitativa que permita ver los procesos e interacciones que ocurren a nivel de espacios específicos.</w:t>
      </w:r>
    </w:p>
    <w:p>
      <w:pPr>
        <w:pStyle w:val="BodyText"/>
        <w:spacing w:line="247" w:lineRule="auto" w:before="18"/>
        <w:ind w:left="113" w:right="120" w:firstLine="284"/>
        <w:jc w:val="both"/>
      </w:pPr>
      <w:r>
        <w:rPr>
          <w:color w:val="231F20"/>
        </w:rPr>
        <w:t>El </w:t>
      </w:r>
      <w:r>
        <w:rPr>
          <w:color w:val="231F20"/>
          <w:spacing w:val="2"/>
        </w:rPr>
        <w:t>hecho </w:t>
      </w:r>
      <w:r>
        <w:rPr>
          <w:color w:val="231F20"/>
        </w:rPr>
        <w:t>de </w:t>
      </w:r>
      <w:r>
        <w:rPr>
          <w:color w:val="231F20"/>
          <w:spacing w:val="2"/>
        </w:rPr>
        <w:t>pertenecer </w:t>
      </w:r>
      <w:r>
        <w:rPr>
          <w:color w:val="231F20"/>
        </w:rPr>
        <w:t>a un  </w:t>
      </w:r>
      <w:r>
        <w:rPr>
          <w:color w:val="231F20"/>
          <w:spacing w:val="2"/>
        </w:rPr>
        <w:t>sector violentado históricamente  </w:t>
      </w:r>
      <w:r>
        <w:rPr>
          <w:color w:val="231F20"/>
        </w:rPr>
        <w:t>ha </w:t>
      </w:r>
      <w:r>
        <w:rPr>
          <w:color w:val="231F20"/>
          <w:spacing w:val="3"/>
        </w:rPr>
        <w:t>provocado </w:t>
      </w:r>
      <w:r>
        <w:rPr>
          <w:color w:val="231F20"/>
        </w:rPr>
        <w:t>que se viva </w:t>
      </w:r>
      <w:r>
        <w:rPr>
          <w:color w:val="231F20"/>
          <w:spacing w:val="3"/>
        </w:rPr>
        <w:t>como </w:t>
      </w:r>
      <w:r>
        <w:rPr>
          <w:color w:val="231F20"/>
        </w:rPr>
        <w:t>algo </w:t>
      </w:r>
      <w:r>
        <w:rPr>
          <w:color w:val="231F20"/>
          <w:spacing w:val="2"/>
        </w:rPr>
        <w:t>cotidiano </w:t>
      </w:r>
      <w:r>
        <w:rPr>
          <w:color w:val="231F20"/>
        </w:rPr>
        <w:t>y se le </w:t>
      </w:r>
      <w:r>
        <w:rPr>
          <w:color w:val="231F20"/>
          <w:spacing w:val="2"/>
        </w:rPr>
        <w:t>otorgue </w:t>
      </w:r>
      <w:r>
        <w:rPr>
          <w:color w:val="231F20"/>
        </w:rPr>
        <w:t>un </w:t>
      </w:r>
      <w:r>
        <w:rPr>
          <w:color w:val="231F20"/>
          <w:spacing w:val="2"/>
        </w:rPr>
        <w:t>valor </w:t>
      </w:r>
      <w:r>
        <w:rPr>
          <w:color w:val="231F20"/>
        </w:rPr>
        <w:t>de </w:t>
      </w:r>
      <w:r>
        <w:rPr>
          <w:color w:val="231F20"/>
          <w:spacing w:val="2"/>
        </w:rPr>
        <w:t>naturalidad, </w:t>
      </w:r>
      <w:r>
        <w:rPr>
          <w:color w:val="231F20"/>
          <w:spacing w:val="3"/>
        </w:rPr>
        <w:t>combinada </w:t>
      </w:r>
      <w:r>
        <w:rPr>
          <w:color w:val="231F20"/>
          <w:spacing w:val="2"/>
        </w:rPr>
        <w:t>con </w:t>
      </w:r>
      <w:r>
        <w:rPr>
          <w:color w:val="231F20"/>
        </w:rPr>
        <w:t>la </w:t>
      </w:r>
      <w:r>
        <w:rPr>
          <w:color w:val="231F20"/>
          <w:spacing w:val="2"/>
        </w:rPr>
        <w:t>sutileza </w:t>
      </w:r>
      <w:r>
        <w:rPr>
          <w:color w:val="231F20"/>
        </w:rPr>
        <w:t>que ha </w:t>
      </w:r>
      <w:r>
        <w:rPr>
          <w:color w:val="231F20"/>
          <w:spacing w:val="2"/>
        </w:rPr>
        <w:t>cobrado </w:t>
      </w:r>
      <w:r>
        <w:rPr>
          <w:color w:val="231F20"/>
        </w:rPr>
        <w:t>en </w:t>
      </w:r>
      <w:r>
        <w:rPr>
          <w:color w:val="231F20"/>
          <w:spacing w:val="2"/>
        </w:rPr>
        <w:t>los últimos años, por </w:t>
      </w:r>
      <w:r>
        <w:rPr>
          <w:color w:val="231F20"/>
        </w:rPr>
        <w:t>lo que las </w:t>
      </w:r>
      <w:r>
        <w:rPr>
          <w:color w:val="231F20"/>
          <w:spacing w:val="2"/>
        </w:rPr>
        <w:t>nuevas </w:t>
      </w:r>
      <w:r>
        <w:rPr>
          <w:color w:val="231F20"/>
          <w:spacing w:val="3"/>
        </w:rPr>
        <w:t>generacionesno </w:t>
      </w:r>
      <w:r>
        <w:rPr>
          <w:color w:val="231F20"/>
          <w:spacing w:val="2"/>
        </w:rPr>
        <w:t>identifican </w:t>
      </w:r>
      <w:r>
        <w:rPr>
          <w:color w:val="231F20"/>
        </w:rPr>
        <w:t>las </w:t>
      </w:r>
      <w:r>
        <w:rPr>
          <w:color w:val="231F20"/>
          <w:spacing w:val="3"/>
        </w:rPr>
        <w:t>formas </w:t>
      </w:r>
      <w:r>
        <w:rPr>
          <w:color w:val="231F20"/>
        </w:rPr>
        <w:t>de </w:t>
      </w:r>
      <w:r>
        <w:rPr>
          <w:color w:val="231F20"/>
          <w:spacing w:val="2"/>
        </w:rPr>
        <w:t>discriminación que viven </w:t>
      </w:r>
      <w:r>
        <w:rPr>
          <w:color w:val="231F20"/>
          <w:spacing w:val="3"/>
        </w:rPr>
        <w:t>actualmente, </w:t>
      </w:r>
      <w:r>
        <w:rPr>
          <w:color w:val="231F20"/>
        </w:rPr>
        <w:t>y, si lo </w:t>
      </w:r>
      <w:r>
        <w:rPr>
          <w:color w:val="231F20"/>
          <w:spacing w:val="2"/>
        </w:rPr>
        <w:t>hacen, tratan </w:t>
      </w:r>
      <w:r>
        <w:rPr>
          <w:color w:val="231F20"/>
        </w:rPr>
        <w:t>de</w:t>
      </w:r>
      <w:r>
        <w:rPr>
          <w:color w:val="231F20"/>
          <w:spacing w:val="-21"/>
        </w:rPr>
        <w:t> </w:t>
      </w:r>
      <w:r>
        <w:rPr>
          <w:color w:val="231F20"/>
          <w:spacing w:val="2"/>
        </w:rPr>
        <w:t>justificarlas.</w:t>
      </w:r>
    </w:p>
    <w:p>
      <w:pPr>
        <w:pStyle w:val="BodyText"/>
        <w:spacing w:line="249" w:lineRule="auto" w:before="1"/>
        <w:ind w:left="113" w:right="116" w:firstLine="284"/>
        <w:jc w:val="both"/>
      </w:pPr>
      <w:r>
        <w:rPr>
          <w:color w:val="231F20"/>
          <w:spacing w:val="2"/>
        </w:rPr>
        <w:t>Aunado </w:t>
      </w:r>
      <w:r>
        <w:rPr>
          <w:color w:val="231F20"/>
        </w:rPr>
        <w:t>a  </w:t>
      </w:r>
      <w:r>
        <w:rPr>
          <w:color w:val="231F20"/>
          <w:spacing w:val="2"/>
        </w:rPr>
        <w:t>ello, </w:t>
      </w:r>
      <w:r>
        <w:rPr>
          <w:color w:val="231F20"/>
          <w:spacing w:val="3"/>
        </w:rPr>
        <w:t>notamos </w:t>
      </w:r>
      <w:r>
        <w:rPr>
          <w:color w:val="231F20"/>
          <w:spacing w:val="2"/>
        </w:rPr>
        <w:t>una autoexclusión para convivir </w:t>
      </w:r>
      <w:r>
        <w:rPr>
          <w:color w:val="231F20"/>
          <w:spacing w:val="3"/>
        </w:rPr>
        <w:t>con</w:t>
      </w:r>
      <w:r>
        <w:rPr>
          <w:color w:val="231F20"/>
          <w:spacing w:val="58"/>
        </w:rPr>
        <w:t> </w:t>
      </w:r>
      <w:r>
        <w:rPr>
          <w:color w:val="231F20"/>
        </w:rPr>
        <w:t>las </w:t>
      </w:r>
      <w:r>
        <w:rPr>
          <w:color w:val="231F20"/>
          <w:spacing w:val="3"/>
        </w:rPr>
        <w:t>personas </w:t>
      </w:r>
      <w:r>
        <w:rPr>
          <w:color w:val="231F20"/>
          <w:spacing w:val="2"/>
        </w:rPr>
        <w:t>que </w:t>
      </w:r>
      <w:r>
        <w:rPr>
          <w:color w:val="231F20"/>
        </w:rPr>
        <w:t>no </w:t>
      </w:r>
      <w:r>
        <w:rPr>
          <w:color w:val="231F20"/>
          <w:spacing w:val="2"/>
        </w:rPr>
        <w:t>pertenecen </w:t>
      </w:r>
      <w:r>
        <w:rPr>
          <w:color w:val="231F20"/>
        </w:rPr>
        <w:t>a su </w:t>
      </w:r>
      <w:r>
        <w:rPr>
          <w:color w:val="231F20"/>
          <w:spacing w:val="2"/>
        </w:rPr>
        <w:t>grupo social </w:t>
      </w:r>
      <w:r>
        <w:rPr>
          <w:color w:val="231F20"/>
        </w:rPr>
        <w:t>o </w:t>
      </w:r>
      <w:r>
        <w:rPr>
          <w:color w:val="231F20"/>
          <w:spacing w:val="2"/>
        </w:rPr>
        <w:t>étnico, </w:t>
      </w:r>
      <w:r>
        <w:rPr>
          <w:color w:val="231F20"/>
        </w:rPr>
        <w:t>lo </w:t>
      </w:r>
      <w:r>
        <w:rPr>
          <w:color w:val="231F20"/>
          <w:spacing w:val="2"/>
        </w:rPr>
        <w:t>que puede </w:t>
      </w:r>
      <w:r>
        <w:rPr>
          <w:color w:val="231F20"/>
          <w:spacing w:val="3"/>
        </w:rPr>
        <w:t>entenderse </w:t>
      </w:r>
      <w:r>
        <w:rPr>
          <w:color w:val="231F20"/>
        </w:rPr>
        <w:t>de </w:t>
      </w:r>
      <w:r>
        <w:rPr>
          <w:color w:val="231F20"/>
          <w:spacing w:val="2"/>
        </w:rPr>
        <w:t>dos </w:t>
      </w:r>
      <w:r>
        <w:rPr>
          <w:color w:val="231F20"/>
          <w:spacing w:val="3"/>
        </w:rPr>
        <w:t>formas: </w:t>
      </w:r>
      <w:r>
        <w:rPr>
          <w:color w:val="231F20"/>
        </w:rPr>
        <w:t>la </w:t>
      </w:r>
      <w:r>
        <w:rPr>
          <w:color w:val="231F20"/>
          <w:spacing w:val="2"/>
        </w:rPr>
        <w:t>primera relacionada </w:t>
      </w:r>
      <w:r>
        <w:rPr>
          <w:color w:val="231F20"/>
        </w:rPr>
        <w:t>a la </w:t>
      </w:r>
      <w:r>
        <w:rPr>
          <w:color w:val="231F20"/>
          <w:spacing w:val="3"/>
        </w:rPr>
        <w:t>auto- </w:t>
      </w:r>
      <w:r>
        <w:rPr>
          <w:color w:val="231F20"/>
          <w:spacing w:val="2"/>
        </w:rPr>
        <w:t>discriminación, pero que </w:t>
      </w:r>
      <w:r>
        <w:rPr>
          <w:color w:val="231F20"/>
          <w:spacing w:val="3"/>
        </w:rPr>
        <w:t>responde </w:t>
      </w:r>
      <w:r>
        <w:rPr>
          <w:color w:val="231F20"/>
        </w:rPr>
        <w:t>de </w:t>
      </w:r>
      <w:r>
        <w:rPr>
          <w:color w:val="231F20"/>
          <w:spacing w:val="2"/>
        </w:rPr>
        <w:t>alguna </w:t>
      </w:r>
      <w:r>
        <w:rPr>
          <w:color w:val="231F20"/>
          <w:spacing w:val="3"/>
        </w:rPr>
        <w:t>forma </w:t>
      </w:r>
      <w:r>
        <w:rPr>
          <w:color w:val="231F20"/>
        </w:rPr>
        <w:t>a </w:t>
      </w:r>
      <w:r>
        <w:rPr>
          <w:color w:val="231F20"/>
          <w:spacing w:val="2"/>
        </w:rPr>
        <w:t>este proceso histórico hacia </w:t>
      </w:r>
      <w:r>
        <w:rPr>
          <w:color w:val="231F20"/>
        </w:rPr>
        <w:t>la </w:t>
      </w:r>
      <w:r>
        <w:rPr>
          <w:color w:val="231F20"/>
          <w:spacing w:val="2"/>
        </w:rPr>
        <w:t>población indígena; </w:t>
      </w:r>
      <w:r>
        <w:rPr>
          <w:color w:val="231F20"/>
        </w:rPr>
        <w:t>y la </w:t>
      </w:r>
      <w:r>
        <w:rPr>
          <w:color w:val="231F20"/>
          <w:spacing w:val="2"/>
        </w:rPr>
        <w:t>segunda podría también estar relacionada con </w:t>
      </w:r>
      <w:r>
        <w:rPr>
          <w:color w:val="231F20"/>
        </w:rPr>
        <w:t>un </w:t>
      </w:r>
      <w:r>
        <w:rPr>
          <w:color w:val="231F20"/>
          <w:spacing w:val="3"/>
        </w:rPr>
        <w:t>mecanismo </w:t>
      </w:r>
      <w:r>
        <w:rPr>
          <w:color w:val="231F20"/>
        </w:rPr>
        <w:t>de</w:t>
      </w:r>
      <w:r>
        <w:rPr>
          <w:color w:val="231F20"/>
          <w:spacing w:val="21"/>
        </w:rPr>
        <w:t> </w:t>
      </w:r>
      <w:r>
        <w:rPr>
          <w:color w:val="231F20"/>
          <w:spacing w:val="3"/>
        </w:rPr>
        <w:t>defensa.</w:t>
      </w:r>
    </w:p>
    <w:p>
      <w:pPr>
        <w:pStyle w:val="BodyText"/>
        <w:spacing w:line="249" w:lineRule="auto"/>
        <w:ind w:left="113" w:right="115" w:firstLine="283"/>
        <w:jc w:val="both"/>
      </w:pPr>
      <w:r>
        <w:rPr>
          <w:color w:val="231F20"/>
          <w:spacing w:val="2"/>
        </w:rPr>
        <w:t>Por otro lado, </w:t>
      </w:r>
      <w:r>
        <w:rPr>
          <w:color w:val="231F20"/>
        </w:rPr>
        <w:t>la </w:t>
      </w:r>
      <w:r>
        <w:rPr>
          <w:color w:val="231F20"/>
          <w:spacing w:val="2"/>
        </w:rPr>
        <w:t>educación institucionalizada </w:t>
      </w:r>
      <w:r>
        <w:rPr>
          <w:color w:val="231F20"/>
        </w:rPr>
        <w:t>ha </w:t>
      </w:r>
      <w:r>
        <w:rPr>
          <w:color w:val="231F20"/>
          <w:spacing w:val="2"/>
        </w:rPr>
        <w:t>jugado </w:t>
      </w:r>
      <w:r>
        <w:rPr>
          <w:color w:val="231F20"/>
        </w:rPr>
        <w:t>un </w:t>
      </w:r>
      <w:r>
        <w:rPr>
          <w:color w:val="231F20"/>
          <w:spacing w:val="3"/>
        </w:rPr>
        <w:t>pa- </w:t>
      </w:r>
      <w:r>
        <w:rPr>
          <w:color w:val="231F20"/>
          <w:spacing w:val="2"/>
        </w:rPr>
        <w:t>pel </w:t>
      </w:r>
      <w:r>
        <w:rPr>
          <w:color w:val="231F20"/>
          <w:spacing w:val="3"/>
        </w:rPr>
        <w:t>importante </w:t>
      </w:r>
      <w:r>
        <w:rPr>
          <w:color w:val="231F20"/>
        </w:rPr>
        <w:t>en </w:t>
      </w:r>
      <w:r>
        <w:rPr>
          <w:color w:val="231F20"/>
          <w:spacing w:val="2"/>
        </w:rPr>
        <w:t>esta construcción </w:t>
      </w:r>
      <w:r>
        <w:rPr>
          <w:color w:val="231F20"/>
        </w:rPr>
        <w:t>de la  </w:t>
      </w:r>
      <w:r>
        <w:rPr>
          <w:color w:val="231F20"/>
          <w:spacing w:val="2"/>
        </w:rPr>
        <w:t>discriminación, </w:t>
      </w:r>
      <w:r>
        <w:rPr>
          <w:color w:val="231F20"/>
        </w:rPr>
        <w:t>ya  que  ha </w:t>
      </w:r>
      <w:r>
        <w:rPr>
          <w:color w:val="231F20"/>
          <w:spacing w:val="3"/>
        </w:rPr>
        <w:t>implementado modelos </w:t>
      </w:r>
      <w:r>
        <w:rPr>
          <w:color w:val="231F20"/>
          <w:spacing w:val="2"/>
        </w:rPr>
        <w:t>educativos </w:t>
      </w:r>
      <w:r>
        <w:rPr>
          <w:color w:val="231F20"/>
        </w:rPr>
        <w:t>que van  en  </w:t>
      </w:r>
      <w:r>
        <w:rPr>
          <w:color w:val="231F20"/>
          <w:spacing w:val="2"/>
        </w:rPr>
        <w:t>detrimento </w:t>
      </w:r>
      <w:r>
        <w:rPr>
          <w:color w:val="231F20"/>
        </w:rPr>
        <w:t>de  las </w:t>
      </w:r>
      <w:r>
        <w:rPr>
          <w:color w:val="231F20"/>
          <w:spacing w:val="2"/>
        </w:rPr>
        <w:t>identidades </w:t>
      </w:r>
      <w:r>
        <w:rPr>
          <w:color w:val="231F20"/>
        </w:rPr>
        <w:t>de </w:t>
      </w:r>
      <w:r>
        <w:rPr>
          <w:color w:val="231F20"/>
          <w:spacing w:val="2"/>
        </w:rPr>
        <w:t>los </w:t>
      </w:r>
      <w:r>
        <w:rPr>
          <w:color w:val="231F20"/>
          <w:spacing w:val="3"/>
        </w:rPr>
        <w:t>grupos </w:t>
      </w:r>
      <w:r>
        <w:rPr>
          <w:color w:val="231F20"/>
          <w:spacing w:val="2"/>
        </w:rPr>
        <w:t>étnicos, pero que </w:t>
      </w:r>
      <w:r>
        <w:rPr>
          <w:color w:val="231F20"/>
        </w:rPr>
        <w:t>a su  vez </w:t>
      </w:r>
      <w:r>
        <w:rPr>
          <w:color w:val="231F20"/>
          <w:spacing w:val="2"/>
        </w:rPr>
        <w:t>también  han sectorizado </w:t>
      </w:r>
      <w:r>
        <w:rPr>
          <w:color w:val="231F20"/>
        </w:rPr>
        <w:t>a la </w:t>
      </w:r>
      <w:r>
        <w:rPr>
          <w:color w:val="231F20"/>
          <w:spacing w:val="3"/>
        </w:rPr>
        <w:t>educación. </w:t>
      </w:r>
      <w:r>
        <w:rPr>
          <w:color w:val="231F20"/>
        </w:rPr>
        <w:t>Un </w:t>
      </w:r>
      <w:r>
        <w:rPr>
          <w:color w:val="231F20"/>
          <w:spacing w:val="2"/>
        </w:rPr>
        <w:t>ejemplo </w:t>
      </w:r>
      <w:r>
        <w:rPr>
          <w:color w:val="231F20"/>
        </w:rPr>
        <w:t>es el </w:t>
      </w:r>
      <w:r>
        <w:rPr>
          <w:color w:val="231F20"/>
          <w:spacing w:val="3"/>
        </w:rPr>
        <w:t>modelo </w:t>
      </w:r>
      <w:r>
        <w:rPr>
          <w:color w:val="231F20"/>
        </w:rPr>
        <w:t>de </w:t>
      </w:r>
      <w:r>
        <w:rPr>
          <w:color w:val="231F20"/>
          <w:spacing w:val="2"/>
        </w:rPr>
        <w:t>inter- culturalidad que </w:t>
      </w:r>
      <w:r>
        <w:rPr>
          <w:color w:val="231F20"/>
        </w:rPr>
        <w:t>no se </w:t>
      </w:r>
      <w:r>
        <w:rPr>
          <w:color w:val="231F20"/>
          <w:spacing w:val="2"/>
        </w:rPr>
        <w:t>imparte </w:t>
      </w:r>
      <w:r>
        <w:rPr>
          <w:color w:val="231F20"/>
        </w:rPr>
        <w:t>en </w:t>
      </w:r>
      <w:r>
        <w:rPr>
          <w:color w:val="231F20"/>
          <w:spacing w:val="3"/>
        </w:rPr>
        <w:t>todos </w:t>
      </w:r>
      <w:r>
        <w:rPr>
          <w:color w:val="231F20"/>
          <w:spacing w:val="2"/>
        </w:rPr>
        <w:t>los </w:t>
      </w:r>
      <w:r>
        <w:rPr>
          <w:color w:val="231F20"/>
          <w:spacing w:val="3"/>
        </w:rPr>
        <w:t>contextos </w:t>
      </w:r>
      <w:r>
        <w:rPr>
          <w:color w:val="231F20"/>
          <w:spacing w:val="2"/>
        </w:rPr>
        <w:t>educativos, sino </w:t>
      </w:r>
      <w:r>
        <w:rPr>
          <w:color w:val="231F20"/>
        </w:rPr>
        <w:t>que </w:t>
      </w:r>
      <w:r>
        <w:rPr>
          <w:color w:val="231F20"/>
          <w:spacing w:val="2"/>
        </w:rPr>
        <w:t>solo </w:t>
      </w:r>
      <w:r>
        <w:rPr>
          <w:color w:val="231F20"/>
        </w:rPr>
        <w:t>se </w:t>
      </w:r>
      <w:r>
        <w:rPr>
          <w:color w:val="231F20"/>
          <w:spacing w:val="2"/>
        </w:rPr>
        <w:t>aplica </w:t>
      </w:r>
      <w:r>
        <w:rPr>
          <w:color w:val="231F20"/>
        </w:rPr>
        <w:t>a </w:t>
      </w:r>
      <w:r>
        <w:rPr>
          <w:color w:val="231F20"/>
          <w:spacing w:val="2"/>
        </w:rPr>
        <w:t>los indígenas. </w:t>
      </w:r>
      <w:r>
        <w:rPr>
          <w:color w:val="231F20"/>
          <w:spacing w:val="3"/>
        </w:rPr>
        <w:t>Cuando todos debemos </w:t>
      </w:r>
      <w:r>
        <w:rPr>
          <w:color w:val="231F20"/>
          <w:spacing w:val="2"/>
        </w:rPr>
        <w:t>participar </w:t>
      </w:r>
      <w:r>
        <w:rPr>
          <w:color w:val="231F20"/>
        </w:rPr>
        <w:t>en la </w:t>
      </w:r>
      <w:r>
        <w:rPr>
          <w:color w:val="231F20"/>
          <w:spacing w:val="2"/>
        </w:rPr>
        <w:t>construcción </w:t>
      </w:r>
      <w:r>
        <w:rPr>
          <w:color w:val="231F20"/>
        </w:rPr>
        <w:t>de </w:t>
      </w:r>
      <w:r>
        <w:rPr>
          <w:color w:val="231F20"/>
          <w:spacing w:val="2"/>
        </w:rPr>
        <w:t>una sociedad intercultural, </w:t>
      </w:r>
      <w:r>
        <w:rPr>
          <w:color w:val="231F20"/>
        </w:rPr>
        <w:t>el </w:t>
      </w:r>
      <w:r>
        <w:rPr>
          <w:color w:val="231F20"/>
          <w:spacing w:val="4"/>
        </w:rPr>
        <w:t>Es- </w:t>
      </w:r>
      <w:r>
        <w:rPr>
          <w:color w:val="231F20"/>
          <w:spacing w:val="2"/>
        </w:rPr>
        <w:t>tado debe hacer una buena revisión </w:t>
      </w:r>
      <w:r>
        <w:rPr>
          <w:color w:val="231F20"/>
        </w:rPr>
        <w:t>de sus </w:t>
      </w:r>
      <w:r>
        <w:rPr>
          <w:color w:val="231F20"/>
          <w:spacing w:val="2"/>
        </w:rPr>
        <w:t>políticas públicas, sobre todo </w:t>
      </w:r>
      <w:r>
        <w:rPr>
          <w:color w:val="231F20"/>
        </w:rPr>
        <w:t>en el </w:t>
      </w:r>
      <w:r>
        <w:rPr>
          <w:color w:val="231F20"/>
          <w:spacing w:val="3"/>
        </w:rPr>
        <w:t>campo </w:t>
      </w:r>
      <w:r>
        <w:rPr>
          <w:color w:val="231F20"/>
          <w:spacing w:val="2"/>
        </w:rPr>
        <w:t>educativo, para que </w:t>
      </w:r>
      <w:r>
        <w:rPr>
          <w:color w:val="231F20"/>
        </w:rPr>
        <w:t>no se </w:t>
      </w:r>
      <w:r>
        <w:rPr>
          <w:color w:val="231F20"/>
          <w:spacing w:val="2"/>
        </w:rPr>
        <w:t>genere desde este</w:t>
      </w:r>
      <w:r>
        <w:rPr>
          <w:color w:val="231F20"/>
          <w:spacing w:val="56"/>
        </w:rPr>
        <w:t> </w:t>
      </w:r>
      <w:r>
        <w:rPr>
          <w:color w:val="231F20"/>
          <w:spacing w:val="2"/>
        </w:rPr>
        <w:t>espacio </w:t>
      </w:r>
      <w:r>
        <w:rPr>
          <w:color w:val="231F20"/>
        </w:rPr>
        <w:t>la</w:t>
      </w:r>
      <w:r>
        <w:rPr>
          <w:color w:val="231F20"/>
          <w:spacing w:val="-26"/>
        </w:rPr>
        <w:t> </w:t>
      </w:r>
      <w:r>
        <w:rPr>
          <w:color w:val="231F20"/>
          <w:spacing w:val="2"/>
        </w:rPr>
        <w:t>discriminación.</w:t>
      </w:r>
    </w:p>
    <w:p>
      <w:pPr>
        <w:pStyle w:val="BodyText"/>
        <w:spacing w:line="247" w:lineRule="auto"/>
        <w:ind w:left="113" w:right="119" w:firstLine="284"/>
        <w:jc w:val="both"/>
      </w:pPr>
      <w:r>
        <w:rPr>
          <w:color w:val="231F20"/>
        </w:rPr>
        <w:t>Como hallazgo también de la investigación, encontramos que existen en las prácticas educativas actitudes discriminatorias hacia los jóvenes indígenas por hablar una lengua diferente a la oficial y que tiene que ver con los tonos y ritmos de habla, así como en las formas de expresión escrita.</w:t>
      </w:r>
    </w:p>
    <w:p>
      <w:pPr>
        <w:pStyle w:val="BodyText"/>
        <w:spacing w:line="247" w:lineRule="auto" w:before="1"/>
        <w:ind w:left="113" w:right="115" w:firstLine="284"/>
        <w:jc w:val="both"/>
      </w:pPr>
      <w:r>
        <w:rPr>
          <w:color w:val="231F20"/>
        </w:rPr>
        <w:t>En </w:t>
      </w:r>
      <w:r>
        <w:rPr>
          <w:color w:val="231F20"/>
          <w:spacing w:val="2"/>
        </w:rPr>
        <w:t>este sentido, </w:t>
      </w:r>
      <w:r>
        <w:rPr>
          <w:color w:val="231F20"/>
        </w:rPr>
        <w:t>se </w:t>
      </w:r>
      <w:r>
        <w:rPr>
          <w:color w:val="231F20"/>
          <w:spacing w:val="2"/>
        </w:rPr>
        <w:t>sugiere </w:t>
      </w:r>
      <w:r>
        <w:rPr>
          <w:color w:val="231F20"/>
        </w:rPr>
        <w:t>que la </w:t>
      </w:r>
      <w:r>
        <w:rPr>
          <w:color w:val="231F20"/>
          <w:spacing w:val="2"/>
        </w:rPr>
        <w:t>unidad </w:t>
      </w:r>
      <w:r>
        <w:rPr>
          <w:color w:val="231F20"/>
          <w:spacing w:val="3"/>
        </w:rPr>
        <w:t>responsable </w:t>
      </w:r>
      <w:r>
        <w:rPr>
          <w:color w:val="231F20"/>
        </w:rPr>
        <w:t>de </w:t>
      </w:r>
      <w:r>
        <w:rPr>
          <w:color w:val="231F20"/>
          <w:spacing w:val="3"/>
        </w:rPr>
        <w:t>apoyar  </w:t>
      </w:r>
      <w:r>
        <w:rPr>
          <w:color w:val="231F20"/>
        </w:rPr>
        <w:t>a </w:t>
      </w:r>
      <w:r>
        <w:rPr>
          <w:color w:val="231F20"/>
          <w:spacing w:val="2"/>
        </w:rPr>
        <w:t>los estudiantes indígenas </w:t>
      </w:r>
      <w:r>
        <w:rPr>
          <w:color w:val="231F20"/>
          <w:spacing w:val="3"/>
        </w:rPr>
        <w:t>implemente </w:t>
      </w:r>
      <w:r>
        <w:rPr>
          <w:color w:val="231F20"/>
          <w:spacing w:val="2"/>
        </w:rPr>
        <w:t>acciones para superar este </w:t>
      </w:r>
      <w:r>
        <w:rPr>
          <w:color w:val="231F20"/>
          <w:spacing w:val="3"/>
        </w:rPr>
        <w:t>problema </w:t>
      </w:r>
      <w:r>
        <w:rPr>
          <w:color w:val="231F20"/>
        </w:rPr>
        <w:t>que </w:t>
      </w:r>
      <w:r>
        <w:rPr>
          <w:color w:val="231F20"/>
          <w:spacing w:val="2"/>
        </w:rPr>
        <w:t>enfrentan los estudiantes </w:t>
      </w:r>
      <w:r>
        <w:rPr>
          <w:color w:val="231F20"/>
        </w:rPr>
        <w:t>en la </w:t>
      </w:r>
      <w:r>
        <w:rPr>
          <w:color w:val="231F20"/>
          <w:spacing w:val="2"/>
        </w:rPr>
        <w:t>universidad, </w:t>
      </w:r>
      <w:r>
        <w:rPr>
          <w:color w:val="231F20"/>
        </w:rPr>
        <w:t>y que es un </w:t>
      </w:r>
      <w:r>
        <w:rPr>
          <w:color w:val="231F20"/>
          <w:spacing w:val="3"/>
        </w:rPr>
        <w:t>común denominador </w:t>
      </w:r>
      <w:r>
        <w:rPr>
          <w:color w:val="231F20"/>
        </w:rPr>
        <w:t>en </w:t>
      </w:r>
      <w:r>
        <w:rPr>
          <w:color w:val="231F20"/>
          <w:spacing w:val="2"/>
        </w:rPr>
        <w:t>todos los estudiantes </w:t>
      </w:r>
      <w:r>
        <w:rPr>
          <w:color w:val="231F20"/>
          <w:spacing w:val="45"/>
        </w:rPr>
        <w:t> </w:t>
      </w:r>
      <w:r>
        <w:rPr>
          <w:color w:val="231F20"/>
          <w:spacing w:val="2"/>
        </w:rPr>
        <w:t>entrevistados.</w:t>
      </w:r>
    </w:p>
    <w:p>
      <w:pPr>
        <w:pStyle w:val="BodyText"/>
        <w:spacing w:line="249" w:lineRule="auto" w:before="1"/>
        <w:ind w:left="113" w:right="117" w:firstLine="284"/>
        <w:jc w:val="both"/>
      </w:pPr>
      <w:r>
        <w:rPr>
          <w:color w:val="231F20"/>
        </w:rPr>
        <w:t>La atención a la población indígena es insuficiente y discrimi- natoria porque no hay una norma que permita el buen funciona- miento de la unidad y que tenga independencia en la estructura universitaria.  Asimismo,  no  existen  los  recursos  económicos  y</w:t>
      </w:r>
    </w:p>
    <w:p>
      <w:pPr>
        <w:spacing w:after="0" w:line="249" w:lineRule="auto"/>
        <w:jc w:val="both"/>
        <w:sectPr>
          <w:headerReference w:type="default" r:id="rId745"/>
          <w:footerReference w:type="default" r:id="rId746"/>
          <w:pgSz w:w="7830" w:h="11910"/>
          <w:pgMar w:header="0" w:footer="424" w:top="500" w:bottom="620" w:left="880" w:right="900"/>
          <w:pgNumType w:start="335"/>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1" w:right="108"/>
        <w:jc w:val="both"/>
      </w:pPr>
      <w:r>
        <w:rPr>
          <w:color w:val="231F20"/>
          <w:spacing w:val="3"/>
        </w:rPr>
        <w:t>humanos </w:t>
      </w:r>
      <w:r>
        <w:rPr>
          <w:color w:val="231F20"/>
          <w:spacing w:val="2"/>
        </w:rPr>
        <w:t>suficientes para impulsar </w:t>
      </w:r>
      <w:r>
        <w:rPr>
          <w:color w:val="231F20"/>
        </w:rPr>
        <w:t>un </w:t>
      </w:r>
      <w:r>
        <w:rPr>
          <w:color w:val="231F20"/>
          <w:spacing w:val="2"/>
        </w:rPr>
        <w:t>trabajo serio </w:t>
      </w:r>
      <w:r>
        <w:rPr>
          <w:color w:val="231F20"/>
        </w:rPr>
        <w:t>que </w:t>
      </w:r>
      <w:r>
        <w:rPr>
          <w:color w:val="231F20"/>
          <w:spacing w:val="2"/>
        </w:rPr>
        <w:t>coadyuve   </w:t>
      </w:r>
      <w:r>
        <w:rPr>
          <w:color w:val="231F20"/>
        </w:rPr>
        <w:t>al </w:t>
      </w:r>
      <w:r>
        <w:rPr>
          <w:color w:val="231F20"/>
          <w:spacing w:val="2"/>
        </w:rPr>
        <w:t>objetivo por </w:t>
      </w:r>
      <w:r>
        <w:rPr>
          <w:color w:val="231F20"/>
        </w:rPr>
        <w:t>la que </w:t>
      </w:r>
      <w:r>
        <w:rPr>
          <w:color w:val="231F20"/>
          <w:spacing w:val="2"/>
        </w:rPr>
        <w:t>fue creada esta instancia, que </w:t>
      </w:r>
      <w:r>
        <w:rPr>
          <w:color w:val="231F20"/>
        </w:rPr>
        <w:t>es la </w:t>
      </w:r>
      <w:r>
        <w:rPr>
          <w:color w:val="231F20"/>
          <w:spacing w:val="3"/>
        </w:rPr>
        <w:t>perma- </w:t>
      </w:r>
      <w:r>
        <w:rPr>
          <w:color w:val="231F20"/>
          <w:spacing w:val="2"/>
        </w:rPr>
        <w:t>nencia, </w:t>
      </w:r>
      <w:r>
        <w:rPr>
          <w:color w:val="231F20"/>
        </w:rPr>
        <w:t>el </w:t>
      </w:r>
      <w:r>
        <w:rPr>
          <w:color w:val="231F20"/>
          <w:spacing w:val="2"/>
        </w:rPr>
        <w:t>seguimiento </w:t>
      </w:r>
      <w:r>
        <w:rPr>
          <w:color w:val="231F20"/>
        </w:rPr>
        <w:t>de </w:t>
      </w:r>
      <w:r>
        <w:rPr>
          <w:color w:val="231F20"/>
          <w:spacing w:val="2"/>
        </w:rPr>
        <w:t>estudiantes </w:t>
      </w:r>
      <w:r>
        <w:rPr>
          <w:color w:val="231F20"/>
        </w:rPr>
        <w:t>y la </w:t>
      </w:r>
      <w:r>
        <w:rPr>
          <w:color w:val="231F20"/>
          <w:spacing w:val="2"/>
        </w:rPr>
        <w:t>calidad </w:t>
      </w:r>
      <w:r>
        <w:rPr>
          <w:color w:val="231F20"/>
        </w:rPr>
        <w:t>en la </w:t>
      </w:r>
      <w:r>
        <w:rPr>
          <w:color w:val="231F20"/>
          <w:spacing w:val="3"/>
        </w:rPr>
        <w:t>formación</w:t>
      </w:r>
      <w:r>
        <w:rPr>
          <w:color w:val="231F20"/>
          <w:spacing w:val="58"/>
        </w:rPr>
        <w:t> </w:t>
      </w:r>
      <w:r>
        <w:rPr>
          <w:color w:val="231F20"/>
        </w:rPr>
        <w:t>de </w:t>
      </w:r>
      <w:r>
        <w:rPr>
          <w:color w:val="231F20"/>
          <w:spacing w:val="2"/>
        </w:rPr>
        <w:t>los jóvenes</w:t>
      </w:r>
      <w:r>
        <w:rPr>
          <w:color w:val="231F20"/>
          <w:spacing w:val="-12"/>
        </w:rPr>
        <w:t> </w:t>
      </w:r>
      <w:r>
        <w:rPr>
          <w:color w:val="231F20"/>
          <w:spacing w:val="2"/>
        </w:rPr>
        <w:t>indígenas.</w:t>
      </w:r>
    </w:p>
    <w:p>
      <w:pPr>
        <w:pStyle w:val="BodyText"/>
        <w:spacing w:line="249" w:lineRule="auto" w:before="1"/>
        <w:ind w:left="101" w:right="107" w:firstLine="284"/>
        <w:jc w:val="both"/>
      </w:pPr>
      <w:r>
        <w:rPr>
          <w:color w:val="231F20"/>
          <w:spacing w:val="2"/>
        </w:rPr>
        <w:t>Los estudiantes indígenas tanto </w:t>
      </w:r>
      <w:r>
        <w:rPr>
          <w:color w:val="231F20"/>
        </w:rPr>
        <w:t>en la </w:t>
      </w:r>
      <w:r>
        <w:rPr>
          <w:color w:val="231F20"/>
          <w:spacing w:val="2"/>
        </w:rPr>
        <w:t>casa universitaria como   </w:t>
      </w:r>
      <w:r>
        <w:rPr>
          <w:color w:val="231F20"/>
        </w:rPr>
        <w:t>en la </w:t>
      </w:r>
      <w:r>
        <w:rPr>
          <w:color w:val="231F20"/>
          <w:spacing w:val="2"/>
        </w:rPr>
        <w:t>unidad carecen </w:t>
      </w:r>
      <w:r>
        <w:rPr>
          <w:color w:val="231F20"/>
        </w:rPr>
        <w:t>de </w:t>
      </w:r>
      <w:r>
        <w:rPr>
          <w:color w:val="231F20"/>
          <w:spacing w:val="2"/>
        </w:rPr>
        <w:t>una infraestructura </w:t>
      </w:r>
      <w:r>
        <w:rPr>
          <w:color w:val="231F20"/>
          <w:spacing w:val="3"/>
        </w:rPr>
        <w:t>adecuada </w:t>
      </w:r>
      <w:r>
        <w:rPr>
          <w:color w:val="231F20"/>
          <w:spacing w:val="2"/>
        </w:rPr>
        <w:t>para poder desarrollar sus actividades académicas, recreativas </w:t>
      </w:r>
      <w:r>
        <w:rPr>
          <w:color w:val="231F20"/>
        </w:rPr>
        <w:t>y de </w:t>
      </w:r>
      <w:r>
        <w:rPr>
          <w:color w:val="231F20"/>
          <w:spacing w:val="3"/>
        </w:rPr>
        <w:t>conviven- </w:t>
      </w:r>
      <w:r>
        <w:rPr>
          <w:color w:val="231F20"/>
        </w:rPr>
        <w:t>cia, </w:t>
      </w:r>
      <w:r>
        <w:rPr>
          <w:color w:val="231F20"/>
          <w:spacing w:val="2"/>
        </w:rPr>
        <w:t>que </w:t>
      </w:r>
      <w:r>
        <w:rPr>
          <w:color w:val="231F20"/>
        </w:rPr>
        <w:t>les </w:t>
      </w:r>
      <w:r>
        <w:rPr>
          <w:color w:val="231F20"/>
          <w:spacing w:val="2"/>
        </w:rPr>
        <w:t>permitan desarrollar sus </w:t>
      </w:r>
      <w:r>
        <w:rPr>
          <w:color w:val="231F20"/>
          <w:spacing w:val="3"/>
        </w:rPr>
        <w:t>capacidades </w:t>
      </w:r>
      <w:r>
        <w:rPr>
          <w:color w:val="231F20"/>
          <w:spacing w:val="2"/>
        </w:rPr>
        <w:t>intelectuales, </w:t>
      </w:r>
      <w:r>
        <w:rPr>
          <w:color w:val="231F20"/>
          <w:spacing w:val="3"/>
        </w:rPr>
        <w:t>emocionales</w:t>
      </w:r>
      <w:r>
        <w:rPr>
          <w:color w:val="231F20"/>
          <w:spacing w:val="-22"/>
        </w:rPr>
        <w:t> </w:t>
      </w:r>
      <w:r>
        <w:rPr>
          <w:color w:val="231F20"/>
        </w:rPr>
        <w:t>y</w:t>
      </w:r>
      <w:r>
        <w:rPr>
          <w:color w:val="231F20"/>
          <w:spacing w:val="-22"/>
        </w:rPr>
        <w:t> </w:t>
      </w:r>
      <w:r>
        <w:rPr>
          <w:color w:val="231F20"/>
          <w:spacing w:val="2"/>
        </w:rPr>
        <w:t>lúdicas.</w:t>
      </w:r>
    </w:p>
    <w:p>
      <w:pPr>
        <w:pStyle w:val="BodyText"/>
        <w:spacing w:line="247" w:lineRule="auto"/>
        <w:ind w:left="101" w:right="110" w:firstLine="284"/>
        <w:jc w:val="both"/>
      </w:pPr>
      <w:r>
        <w:rPr>
          <w:color w:val="231F20"/>
        </w:rPr>
        <w:t>Un </w:t>
      </w:r>
      <w:r>
        <w:rPr>
          <w:color w:val="231F20"/>
          <w:spacing w:val="2"/>
        </w:rPr>
        <w:t>hallazgo </w:t>
      </w:r>
      <w:r>
        <w:rPr>
          <w:color w:val="231F20"/>
          <w:spacing w:val="3"/>
        </w:rPr>
        <w:t>importante </w:t>
      </w:r>
      <w:r>
        <w:rPr>
          <w:color w:val="231F20"/>
          <w:spacing w:val="2"/>
        </w:rPr>
        <w:t>dentro del proyecto con </w:t>
      </w:r>
      <w:r>
        <w:rPr>
          <w:color w:val="231F20"/>
        </w:rPr>
        <w:t>el </w:t>
      </w:r>
      <w:r>
        <w:rPr>
          <w:color w:val="231F20"/>
          <w:spacing w:val="2"/>
        </w:rPr>
        <w:t>cual quisié- </w:t>
      </w:r>
      <w:r>
        <w:rPr>
          <w:color w:val="231F20"/>
          <w:spacing w:val="3"/>
        </w:rPr>
        <w:t>ramos </w:t>
      </w:r>
      <w:r>
        <w:rPr>
          <w:color w:val="231F20"/>
          <w:spacing w:val="2"/>
        </w:rPr>
        <w:t>cerrar </w:t>
      </w:r>
      <w:r>
        <w:rPr>
          <w:color w:val="231F20"/>
        </w:rPr>
        <w:t>el </w:t>
      </w:r>
      <w:r>
        <w:rPr>
          <w:color w:val="231F20"/>
          <w:spacing w:val="2"/>
        </w:rPr>
        <w:t>artículo </w:t>
      </w:r>
      <w:r>
        <w:rPr>
          <w:color w:val="231F20"/>
        </w:rPr>
        <w:t>es la </w:t>
      </w:r>
      <w:r>
        <w:rPr>
          <w:color w:val="231F20"/>
          <w:spacing w:val="2"/>
        </w:rPr>
        <w:t>estrategia </w:t>
      </w:r>
      <w:r>
        <w:rPr>
          <w:color w:val="231F20"/>
        </w:rPr>
        <w:t>de </w:t>
      </w:r>
      <w:r>
        <w:rPr>
          <w:color w:val="231F20"/>
          <w:spacing w:val="2"/>
        </w:rPr>
        <w:t>vincularse entre los </w:t>
      </w:r>
      <w:r>
        <w:rPr>
          <w:color w:val="231F20"/>
          <w:spacing w:val="3"/>
        </w:rPr>
        <w:t>mismos </w:t>
      </w:r>
      <w:r>
        <w:rPr>
          <w:color w:val="231F20"/>
          <w:spacing w:val="2"/>
        </w:rPr>
        <w:t>alumnos indígenas </w:t>
      </w:r>
      <w:r>
        <w:rPr>
          <w:color w:val="231F20"/>
        </w:rPr>
        <w:t>que han </w:t>
      </w:r>
      <w:r>
        <w:rPr>
          <w:color w:val="231F20"/>
          <w:spacing w:val="2"/>
        </w:rPr>
        <w:t>enfrentado </w:t>
      </w:r>
      <w:r>
        <w:rPr>
          <w:color w:val="231F20"/>
        </w:rPr>
        <w:t>una </w:t>
      </w:r>
      <w:r>
        <w:rPr>
          <w:color w:val="231F20"/>
          <w:spacing w:val="2"/>
        </w:rPr>
        <w:t>situación </w:t>
      </w:r>
      <w:r>
        <w:rPr>
          <w:color w:val="231F20"/>
          <w:spacing w:val="3"/>
        </w:rPr>
        <w:t>de </w:t>
      </w:r>
      <w:r>
        <w:rPr>
          <w:color w:val="231F20"/>
          <w:spacing w:val="2"/>
        </w:rPr>
        <w:t>violencia, generando espacios </w:t>
      </w:r>
      <w:r>
        <w:rPr>
          <w:color w:val="231F20"/>
        </w:rPr>
        <w:t>de </w:t>
      </w:r>
      <w:r>
        <w:rPr>
          <w:color w:val="231F20"/>
          <w:spacing w:val="2"/>
        </w:rPr>
        <w:t>comunalidad </w:t>
      </w:r>
      <w:r>
        <w:rPr>
          <w:color w:val="231F20"/>
        </w:rPr>
        <w:t>que </w:t>
      </w:r>
      <w:r>
        <w:rPr>
          <w:color w:val="231F20"/>
          <w:spacing w:val="3"/>
        </w:rPr>
        <w:t>rompen </w:t>
      </w:r>
      <w:r>
        <w:rPr>
          <w:color w:val="231F20"/>
          <w:spacing w:val="2"/>
        </w:rPr>
        <w:t>con </w:t>
      </w:r>
      <w:r>
        <w:rPr>
          <w:color w:val="231F20"/>
        </w:rPr>
        <w:t>el </w:t>
      </w:r>
      <w:r>
        <w:rPr>
          <w:color w:val="231F20"/>
          <w:spacing w:val="3"/>
        </w:rPr>
        <w:t>binomio </w:t>
      </w:r>
      <w:r>
        <w:rPr>
          <w:color w:val="231F20"/>
          <w:spacing w:val="2"/>
        </w:rPr>
        <w:t>victimario-víctima, porque para </w:t>
      </w:r>
      <w:r>
        <w:rPr>
          <w:color w:val="231F20"/>
        </w:rPr>
        <w:t>que </w:t>
      </w:r>
      <w:r>
        <w:rPr>
          <w:color w:val="231F20"/>
          <w:spacing w:val="2"/>
        </w:rPr>
        <w:t>exista </w:t>
      </w:r>
      <w:r>
        <w:rPr>
          <w:color w:val="231F20"/>
        </w:rPr>
        <w:t>la </w:t>
      </w:r>
      <w:r>
        <w:rPr>
          <w:color w:val="231F20"/>
          <w:spacing w:val="2"/>
        </w:rPr>
        <w:t>violencia debe existir una relación </w:t>
      </w:r>
      <w:r>
        <w:rPr>
          <w:color w:val="231F20"/>
        </w:rPr>
        <w:t>de </w:t>
      </w:r>
      <w:r>
        <w:rPr>
          <w:color w:val="231F20"/>
          <w:spacing w:val="2"/>
        </w:rPr>
        <w:t>dos. Esto implica </w:t>
      </w:r>
      <w:r>
        <w:rPr>
          <w:color w:val="231F20"/>
        </w:rPr>
        <w:t>que la </w:t>
      </w:r>
      <w:r>
        <w:rPr>
          <w:color w:val="231F20"/>
          <w:spacing w:val="2"/>
        </w:rPr>
        <w:t>violencia puede dejar </w:t>
      </w:r>
      <w:r>
        <w:rPr>
          <w:color w:val="231F20"/>
        </w:rPr>
        <w:t>de </w:t>
      </w:r>
      <w:r>
        <w:rPr>
          <w:color w:val="231F20"/>
          <w:spacing w:val="2"/>
        </w:rPr>
        <w:t>generarse siempre </w:t>
      </w:r>
      <w:r>
        <w:rPr>
          <w:color w:val="231F20"/>
        </w:rPr>
        <w:t>y </w:t>
      </w:r>
      <w:r>
        <w:rPr>
          <w:color w:val="231F20"/>
          <w:spacing w:val="2"/>
        </w:rPr>
        <w:t>cuando una parte asuma una visión crítica </w:t>
      </w:r>
      <w:r>
        <w:rPr>
          <w:color w:val="231F20"/>
        </w:rPr>
        <w:t>y </w:t>
      </w:r>
      <w:r>
        <w:rPr>
          <w:color w:val="231F20"/>
          <w:spacing w:val="2"/>
        </w:rPr>
        <w:t>constructiva, </w:t>
      </w:r>
      <w:r>
        <w:rPr>
          <w:color w:val="231F20"/>
        </w:rPr>
        <w:t>al </w:t>
      </w:r>
      <w:r>
        <w:rPr>
          <w:color w:val="231F20"/>
          <w:spacing w:val="3"/>
        </w:rPr>
        <w:t>menos </w:t>
      </w:r>
      <w:r>
        <w:rPr>
          <w:color w:val="231F20"/>
        </w:rPr>
        <w:t>en </w:t>
      </w:r>
      <w:r>
        <w:rPr>
          <w:color w:val="231F20"/>
          <w:spacing w:val="2"/>
        </w:rPr>
        <w:t>los espacios</w:t>
      </w:r>
      <w:r>
        <w:rPr>
          <w:color w:val="231F20"/>
          <w:spacing w:val="-17"/>
        </w:rPr>
        <w:t> </w:t>
      </w:r>
      <w:r>
        <w:rPr>
          <w:color w:val="231F20"/>
          <w:spacing w:val="2"/>
        </w:rPr>
        <w:t>educativos.</w:t>
      </w:r>
    </w:p>
    <w:p>
      <w:pPr>
        <w:pStyle w:val="BodyText"/>
        <w:rPr>
          <w:sz w:val="22"/>
        </w:rPr>
      </w:pPr>
    </w:p>
    <w:p>
      <w:pPr>
        <w:pStyle w:val="BodyText"/>
        <w:spacing w:before="3"/>
        <w:rPr>
          <w:sz w:val="30"/>
        </w:rPr>
      </w:pPr>
    </w:p>
    <w:p>
      <w:pPr>
        <w:spacing w:before="0"/>
        <w:ind w:left="101" w:right="104" w:firstLine="0"/>
        <w:jc w:val="left"/>
        <w:rPr>
          <w:sz w:val="17"/>
        </w:rPr>
      </w:pPr>
      <w:r>
        <w:rPr>
          <w:color w:val="231F20"/>
          <w:w w:val="105"/>
          <w:sz w:val="21"/>
        </w:rPr>
        <w:t>R</w:t>
      </w:r>
      <w:r>
        <w:rPr>
          <w:color w:val="231F20"/>
          <w:w w:val="105"/>
          <w:sz w:val="17"/>
        </w:rPr>
        <w:t>EFERENCIAS</w:t>
      </w:r>
    </w:p>
    <w:p>
      <w:pPr>
        <w:spacing w:line="247" w:lineRule="auto" w:before="126"/>
        <w:ind w:left="822" w:right="104" w:hanging="720"/>
        <w:jc w:val="left"/>
        <w:rPr>
          <w:i/>
          <w:sz w:val="21"/>
        </w:rPr>
      </w:pPr>
      <w:r>
        <w:rPr>
          <w:color w:val="231F20"/>
          <w:sz w:val="21"/>
        </w:rPr>
        <w:t>Asociación Nacional de Universidades e Instituciones de Educación </w:t>
      </w:r>
      <w:r>
        <w:rPr>
          <w:color w:val="231F20"/>
          <w:w w:val="90"/>
          <w:sz w:val="21"/>
        </w:rPr>
        <w:t>Superior. (2006). </w:t>
      </w:r>
      <w:r>
        <w:rPr>
          <w:i/>
          <w:color w:val="231F20"/>
          <w:w w:val="90"/>
          <w:sz w:val="21"/>
        </w:rPr>
        <w:t>Colección Biblioteca de la Educación superior.</w:t>
      </w:r>
    </w:p>
    <w:p>
      <w:pPr>
        <w:pStyle w:val="BodyText"/>
        <w:spacing w:line="238" w:lineRule="exact"/>
        <w:ind w:left="822" w:right="104"/>
      </w:pPr>
      <w:r>
        <w:rPr>
          <w:color w:val="231F20"/>
        </w:rPr>
        <w:t>México: ANUIES.</w:t>
      </w:r>
    </w:p>
    <w:p>
      <w:pPr>
        <w:spacing w:before="8"/>
        <w:ind w:left="102" w:right="104" w:firstLine="0"/>
        <w:jc w:val="left"/>
        <w:rPr>
          <w:sz w:val="21"/>
        </w:rPr>
      </w:pPr>
      <w:r>
        <w:rPr>
          <w:color w:val="231F20"/>
          <w:w w:val="95"/>
          <w:sz w:val="21"/>
        </w:rPr>
        <w:t>Basil, B. (1993). </w:t>
      </w:r>
      <w:r>
        <w:rPr>
          <w:i/>
          <w:color w:val="231F20"/>
          <w:w w:val="95"/>
          <w:sz w:val="21"/>
        </w:rPr>
        <w:t>Clase, código y control. </w:t>
      </w:r>
      <w:r>
        <w:rPr>
          <w:color w:val="231F20"/>
          <w:w w:val="95"/>
          <w:sz w:val="21"/>
        </w:rPr>
        <w:t>Madrid: Morata.</w:t>
      </w:r>
    </w:p>
    <w:p>
      <w:pPr>
        <w:pStyle w:val="BodyText"/>
        <w:spacing w:line="244" w:lineRule="auto" w:before="3"/>
        <w:ind w:left="811" w:right="84" w:hanging="709"/>
      </w:pPr>
      <w:r>
        <w:rPr>
          <w:color w:val="231F20"/>
        </w:rPr>
        <w:t>Carmona-Lara, María del Carmen. Notas para el análisis del derecho indígena: Las relaciones de interdependencia entre las co- munidades indígenas y la administración pública en México. </w:t>
      </w:r>
      <w:r>
        <w:rPr>
          <w:i/>
          <w:color w:val="231F20"/>
          <w:w w:val="90"/>
        </w:rPr>
        <w:t>Cuadernos del Instituto de Investigaciones Jurídicas. 3</w:t>
      </w:r>
      <w:r>
        <w:rPr>
          <w:color w:val="231F20"/>
          <w:w w:val="90"/>
        </w:rPr>
        <w:t>(7). (1998, </w:t>
      </w:r>
      <w:r>
        <w:rPr>
          <w:color w:val="231F20"/>
        </w:rPr>
        <w:t>enero-abril). México DF: UNAM.</w:t>
      </w:r>
    </w:p>
    <w:p>
      <w:pPr>
        <w:pStyle w:val="BodyText"/>
        <w:spacing w:line="244" w:lineRule="auto" w:before="3"/>
        <w:ind w:left="822" w:right="205" w:hanging="720"/>
      </w:pPr>
      <w:r>
        <w:rPr>
          <w:color w:val="231F20"/>
        </w:rPr>
        <w:t>Centro de Estudios de las Finanzas Públicas. (s.f.). Recursos propuestos para la comisión nacional para el desarrollo de los pueblos indígenas, proyecto de presupuesto de egresos de la federación 2011. </w:t>
      </w:r>
      <w:r>
        <w:rPr>
          <w:i/>
          <w:color w:val="231F20"/>
        </w:rPr>
        <w:t>Nota informativa. </w:t>
      </w:r>
      <w:r>
        <w:rPr>
          <w:color w:val="231F20"/>
        </w:rPr>
        <w:t>(2010, 30 de septiembre).</w:t>
      </w:r>
    </w:p>
    <w:p>
      <w:pPr>
        <w:pStyle w:val="BodyText"/>
        <w:spacing w:line="247" w:lineRule="auto" w:before="3"/>
        <w:ind w:left="822" w:right="104" w:hanging="720"/>
      </w:pPr>
      <w:r>
        <w:rPr>
          <w:color w:val="231F20"/>
        </w:rPr>
        <w:t>Consejo Nacional para Prevenir la Discriminación (CONAPRED) </w:t>
      </w:r>
      <w:r>
        <w:rPr>
          <w:color w:val="231F20"/>
          <w:w w:val="90"/>
        </w:rPr>
        <w:t>(</w:t>
      </w:r>
      <w:r>
        <w:rPr>
          <w:color w:val="231F20"/>
          <w:w w:val="96"/>
        </w:rPr>
        <w:t>2011</w:t>
      </w:r>
      <w:r>
        <w:rPr>
          <w:color w:val="231F20"/>
          <w:w w:val="90"/>
        </w:rPr>
        <w:t>)</w:t>
      </w:r>
      <w:r>
        <w:rPr>
          <w:color w:val="231F20"/>
          <w:w w:val="89"/>
        </w:rPr>
        <w:t>.</w:t>
      </w:r>
      <w:r>
        <w:rPr>
          <w:color w:val="231F20"/>
        </w:rPr>
        <w:t> </w:t>
      </w:r>
      <w:r>
        <w:rPr>
          <w:color w:val="231F20"/>
          <w:w w:val="96"/>
        </w:rPr>
        <w:t>R</w:t>
      </w:r>
      <w:r>
        <w:rPr>
          <w:color w:val="231F20"/>
          <w:w w:val="96"/>
        </w:rPr>
        <w:t>e</w:t>
      </w:r>
      <w:r>
        <w:rPr>
          <w:color w:val="231F20"/>
          <w:w w:val="96"/>
        </w:rPr>
        <w:t>s</w:t>
      </w:r>
      <w:r>
        <w:rPr>
          <w:color w:val="231F20"/>
          <w:w w:val="104"/>
        </w:rPr>
        <w:t>o</w:t>
      </w:r>
      <w:r>
        <w:rPr>
          <w:color w:val="231F20"/>
          <w:w w:val="95"/>
        </w:rPr>
        <w:t>lu</w:t>
      </w:r>
      <w:r>
        <w:rPr>
          <w:color w:val="231F20"/>
          <w:w w:val="96"/>
        </w:rPr>
        <w:t>c</w:t>
      </w:r>
      <w:r>
        <w:rPr>
          <w:color w:val="231F20"/>
          <w:w w:val="97"/>
        </w:rPr>
        <w:t>ió</w:t>
      </w:r>
      <w:r>
        <w:rPr>
          <w:color w:val="231F20"/>
          <w:w w:val="104"/>
        </w:rPr>
        <w:t>n</w:t>
      </w:r>
      <w:r>
        <w:rPr>
          <w:color w:val="231F20"/>
        </w:rPr>
        <w:t> </w:t>
      </w:r>
      <w:r>
        <w:rPr>
          <w:color w:val="231F20"/>
          <w:w w:val="104"/>
        </w:rPr>
        <w:t>po</w:t>
      </w:r>
      <w:r>
        <w:rPr>
          <w:color w:val="231F20"/>
          <w:w w:val="103"/>
        </w:rPr>
        <w:t>r</w:t>
      </w:r>
      <w:r>
        <w:rPr>
          <w:color w:val="231F20"/>
        </w:rPr>
        <w:t> </w:t>
      </w:r>
      <w:r>
        <w:rPr>
          <w:color w:val="231F20"/>
          <w:w w:val="102"/>
        </w:rPr>
        <w:t>d</w:t>
      </w:r>
      <w:r>
        <w:rPr>
          <w:color w:val="231F20"/>
          <w:w w:val="91"/>
        </w:rPr>
        <w:t>is</w:t>
      </w:r>
      <w:r>
        <w:rPr>
          <w:color w:val="231F20"/>
          <w:w w:val="104"/>
        </w:rPr>
        <w:t>po</w:t>
      </w:r>
      <w:r>
        <w:rPr>
          <w:color w:val="231F20"/>
          <w:w w:val="96"/>
        </w:rPr>
        <w:t>s</w:t>
      </w:r>
      <w:r>
        <w:rPr>
          <w:color w:val="231F20"/>
          <w:w w:val="92"/>
        </w:rPr>
        <w:t>ic</w:t>
      </w:r>
      <w:r>
        <w:rPr>
          <w:color w:val="231F20"/>
          <w:w w:val="97"/>
        </w:rPr>
        <w:t>ió</w:t>
      </w:r>
      <w:r>
        <w:rPr>
          <w:color w:val="231F20"/>
          <w:w w:val="104"/>
        </w:rPr>
        <w:t>n</w:t>
      </w:r>
      <w:r>
        <w:rPr>
          <w:color w:val="231F20"/>
          <w:w w:val="80"/>
        </w:rPr>
        <w:t>:</w:t>
      </w:r>
      <w:r>
        <w:rPr>
          <w:color w:val="231F20"/>
        </w:rPr>
        <w:t> </w:t>
      </w:r>
      <w:r>
        <w:rPr>
          <w:color w:val="231F20"/>
          <w:w w:val="96"/>
        </w:rPr>
        <w:t>1</w:t>
      </w:r>
      <w:r>
        <w:rPr>
          <w:color w:val="231F20"/>
          <w:w w:val="185"/>
        </w:rPr>
        <w:t>/</w:t>
      </w:r>
      <w:r>
        <w:rPr>
          <w:color w:val="231F20"/>
          <w:w w:val="96"/>
        </w:rPr>
        <w:t>2011</w:t>
      </w:r>
      <w:r>
        <w:rPr>
          <w:color w:val="231F20"/>
          <w:w w:val="89"/>
        </w:rPr>
        <w:t>.</w:t>
      </w:r>
      <w:r>
        <w:rPr>
          <w:color w:val="231F20"/>
        </w:rPr>
        <w:t> </w:t>
      </w:r>
      <w:r>
        <w:rPr>
          <w:color w:val="231F20"/>
          <w:w w:val="96"/>
        </w:rPr>
        <w:t>M</w:t>
      </w:r>
      <w:r>
        <w:rPr>
          <w:color w:val="231F20"/>
          <w:w w:val="96"/>
        </w:rPr>
        <w:t>é</w:t>
      </w:r>
      <w:r>
        <w:rPr>
          <w:color w:val="231F20"/>
          <w:w w:val="94"/>
        </w:rPr>
        <w:t>x</w:t>
      </w:r>
      <w:r>
        <w:rPr>
          <w:color w:val="231F20"/>
          <w:w w:val="92"/>
        </w:rPr>
        <w:t>ic</w:t>
      </w:r>
      <w:r>
        <w:rPr>
          <w:color w:val="231F20"/>
          <w:w w:val="104"/>
        </w:rPr>
        <w:t>o</w:t>
      </w:r>
      <w:r>
        <w:rPr>
          <w:color w:val="231F20"/>
          <w:w w:val="89"/>
        </w:rPr>
        <w:t>,</w:t>
      </w:r>
      <w:r>
        <w:rPr>
          <w:color w:val="231F20"/>
        </w:rPr>
        <w:t> </w:t>
      </w:r>
      <w:r>
        <w:rPr>
          <w:color w:val="231F20"/>
          <w:w w:val="97"/>
        </w:rPr>
        <w:t>C</w:t>
      </w:r>
      <w:r>
        <w:rPr>
          <w:color w:val="231F20"/>
          <w:w w:val="104"/>
        </w:rPr>
        <w:t>on</w:t>
      </w:r>
      <w:r>
        <w:rPr>
          <w:color w:val="231F20"/>
          <w:w w:val="96"/>
        </w:rPr>
        <w:t>- </w:t>
      </w:r>
      <w:r>
        <w:rPr>
          <w:color w:val="231F20"/>
        </w:rPr>
        <w:t>sejo Nacional para Prevenir la Discriminación, p. 36. Obte- nido de</w:t>
      </w:r>
    </w:p>
    <w:p>
      <w:pPr>
        <w:spacing w:after="0" w:line="247" w:lineRule="auto"/>
        <w:sectPr>
          <w:headerReference w:type="default" r:id="rId747"/>
          <w:footerReference w:type="default" r:id="rId748"/>
          <w:pgSz w:w="7830" w:h="11910"/>
          <w:pgMar w:header="0" w:footer="424" w:top="500" w:bottom="620" w:left="920" w:right="880"/>
          <w:pgNumType w:start="336"/>
        </w:sectPr>
      </w:pPr>
    </w:p>
    <w:p>
      <w:pPr>
        <w:spacing w:before="46"/>
        <w:ind w:left="1488" w:right="104"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833" w:right="104"/>
      </w:pPr>
      <w:hyperlink r:id="rId751">
        <w:r>
          <w:rPr>
            <w:color w:val="231F20"/>
            <w:w w:val="104"/>
            <w:u w:val="single" w:color="231F20"/>
          </w:rPr>
          <w:t>h</w:t>
        </w:r>
        <w:r>
          <w:rPr>
            <w:color w:val="231F20"/>
            <w:w w:val="107"/>
            <w:u w:val="single" w:color="231F20"/>
          </w:rPr>
          <w:t>tt</w:t>
        </w:r>
        <w:r>
          <w:rPr>
            <w:color w:val="231F20"/>
            <w:w w:val="104"/>
            <w:u w:val="single" w:color="231F20"/>
          </w:rPr>
          <w:t>p</w:t>
        </w:r>
        <w:r>
          <w:rPr>
            <w:color w:val="231F20"/>
            <w:w w:val="80"/>
            <w:u w:val="single" w:color="231F20"/>
          </w:rPr>
          <w:t>:</w:t>
        </w:r>
        <w:r>
          <w:rPr>
            <w:color w:val="231F20"/>
            <w:w w:val="185"/>
            <w:u w:val="single" w:color="231F20"/>
          </w:rPr>
          <w:t>//</w:t>
        </w:r>
        <w:r>
          <w:rPr>
            <w:color w:val="231F20"/>
            <w:w w:val="94"/>
            <w:u w:val="single" w:color="231F20"/>
          </w:rPr>
          <w:t>www</w:t>
        </w:r>
        <w:r>
          <w:rPr>
            <w:color w:val="231F20"/>
            <w:w w:val="89"/>
            <w:u w:val="single" w:color="231F20"/>
          </w:rPr>
          <w:t>.</w:t>
        </w:r>
        <w:r>
          <w:rPr>
            <w:color w:val="231F20"/>
            <w:w w:val="96"/>
            <w:u w:val="single" w:color="231F20"/>
          </w:rPr>
          <w:t>c</w:t>
        </w:r>
        <w:r>
          <w:rPr>
            <w:color w:val="231F20"/>
            <w:w w:val="104"/>
            <w:u w:val="single" w:color="231F20"/>
          </w:rPr>
          <w:t>on</w:t>
        </w:r>
        <w:r>
          <w:rPr>
            <w:color w:val="231F20"/>
            <w:w w:val="94"/>
            <w:u w:val="single" w:color="231F20"/>
          </w:rPr>
          <w:t>a</w:t>
        </w:r>
        <w:r>
          <w:rPr>
            <w:color w:val="231F20"/>
            <w:w w:val="104"/>
            <w:u w:val="single" w:color="231F20"/>
          </w:rPr>
          <w:t>p</w:t>
        </w:r>
        <w:r>
          <w:rPr>
            <w:color w:val="231F20"/>
            <w:w w:val="103"/>
            <w:u w:val="single" w:color="231F20"/>
          </w:rPr>
          <w:t>r</w:t>
        </w:r>
        <w:r>
          <w:rPr>
            <w:color w:val="231F20"/>
            <w:w w:val="96"/>
            <w:u w:val="single" w:color="231F20"/>
          </w:rPr>
          <w:t>e</w:t>
        </w:r>
        <w:r>
          <w:rPr>
            <w:color w:val="231F20"/>
            <w:w w:val="102"/>
            <w:u w:val="single" w:color="231F20"/>
          </w:rPr>
          <w:t>d</w:t>
        </w:r>
        <w:r>
          <w:rPr>
            <w:color w:val="231F20"/>
            <w:w w:val="89"/>
            <w:u w:val="single" w:color="231F20"/>
          </w:rPr>
          <w:t>.</w:t>
        </w:r>
        <w:r>
          <w:rPr>
            <w:color w:val="231F20"/>
            <w:w w:val="104"/>
            <w:u w:val="single" w:color="231F20"/>
          </w:rPr>
          <w:t>o</w:t>
        </w:r>
        <w:r>
          <w:rPr>
            <w:color w:val="231F20"/>
            <w:w w:val="103"/>
            <w:u w:val="single" w:color="231F20"/>
          </w:rPr>
          <w:t>r</w:t>
        </w:r>
        <w:r>
          <w:rPr>
            <w:color w:val="231F20"/>
            <w:w w:val="92"/>
            <w:u w:val="single" w:color="231F20"/>
          </w:rPr>
          <w:t>g</w:t>
        </w:r>
        <w:r>
          <w:rPr>
            <w:color w:val="231F20"/>
            <w:w w:val="89"/>
            <w:u w:val="single" w:color="231F20"/>
          </w:rPr>
          <w:t>.</w:t>
        </w:r>
        <w:r>
          <w:rPr>
            <w:color w:val="231F20"/>
            <w:w w:val="101"/>
            <w:u w:val="single" w:color="231F20"/>
          </w:rPr>
          <w:t>m</w:t>
        </w:r>
        <w:r>
          <w:rPr>
            <w:color w:val="231F20"/>
            <w:w w:val="126"/>
            <w:u w:val="single" w:color="231F20"/>
          </w:rPr>
          <w:t>x/</w:t>
        </w:r>
        <w:r>
          <w:rPr>
            <w:color w:val="231F20"/>
            <w:w w:val="98"/>
            <w:u w:val="single" w:color="231F20"/>
          </w:rPr>
          <w:t>us</w:t>
        </w:r>
        <w:r>
          <w:rPr>
            <w:color w:val="231F20"/>
            <w:w w:val="96"/>
            <w:u w:val="single" w:color="231F20"/>
          </w:rPr>
          <w:t>e</w:t>
        </w:r>
        <w:r>
          <w:rPr>
            <w:color w:val="231F20"/>
            <w:w w:val="103"/>
            <w:u w:val="single" w:color="231F20"/>
          </w:rPr>
          <w:t>r</w:t>
        </w:r>
        <w:r>
          <w:rPr>
            <w:color w:val="231F20"/>
            <w:w w:val="99"/>
            <w:u w:val="single" w:color="231F20"/>
          </w:rPr>
          <w:t>f</w:t>
        </w:r>
        <w:r>
          <w:rPr>
            <w:color w:val="231F20"/>
            <w:w w:val="84"/>
            <w:u w:val="single" w:color="231F20"/>
          </w:rPr>
          <w:t>il</w:t>
        </w:r>
        <w:r>
          <w:rPr>
            <w:color w:val="231F20"/>
            <w:w w:val="96"/>
            <w:u w:val="single" w:color="231F20"/>
          </w:rPr>
          <w:t>e</w:t>
        </w:r>
        <w:r>
          <w:rPr>
            <w:color w:val="231F20"/>
            <w:w w:val="96"/>
            <w:u w:val="single" w:color="231F20"/>
          </w:rPr>
          <w:t>s</w:t>
        </w:r>
        <w:r>
          <w:rPr>
            <w:color w:val="231F20"/>
            <w:w w:val="185"/>
            <w:u w:val="single" w:color="231F20"/>
          </w:rPr>
          <w:t>/</w:t>
        </w:r>
        <w:r>
          <w:rPr>
            <w:color w:val="231F20"/>
            <w:w w:val="99"/>
            <w:u w:val="single" w:color="231F20"/>
          </w:rPr>
          <w:t>f</w:t>
        </w:r>
        <w:r>
          <w:rPr>
            <w:color w:val="231F20"/>
            <w:w w:val="84"/>
            <w:u w:val="single" w:color="231F20"/>
          </w:rPr>
          <w:t>il</w:t>
        </w:r>
        <w:r>
          <w:rPr>
            <w:color w:val="231F20"/>
            <w:w w:val="96"/>
            <w:u w:val="single" w:color="231F20"/>
          </w:rPr>
          <w:t>e</w:t>
        </w:r>
        <w:r>
          <w:rPr>
            <w:color w:val="231F20"/>
            <w:w w:val="96"/>
            <w:u w:val="single" w:color="231F20"/>
          </w:rPr>
          <w:t>s</w:t>
        </w:r>
        <w:r>
          <w:rPr>
            <w:color w:val="231F20"/>
            <w:w w:val="185"/>
            <w:u w:val="single" w:color="231F20"/>
          </w:rPr>
          <w:t>/</w:t>
        </w:r>
        <w:r>
          <w:rPr>
            <w:color w:val="231F20"/>
            <w:w w:val="96"/>
            <w:u w:val="single" w:color="231F20"/>
          </w:rPr>
          <w:t>R</w:t>
        </w:r>
        <w:r>
          <w:rPr>
            <w:color w:val="231F20"/>
            <w:w w:val="104"/>
            <w:u w:val="single" w:color="231F20"/>
          </w:rPr>
          <w:t>P</w:t>
        </w:r>
        <w:r>
          <w:rPr>
            <w:color w:val="231F20"/>
            <w:w w:val="109"/>
            <w:u w:val="single" w:color="231F20"/>
          </w:rPr>
          <w:t>D</w:t>
        </w:r>
        <w:r>
          <w:rPr>
            <w:color w:val="231F20"/>
            <w:w w:val="102"/>
            <w:u w:val="single" w:color="231F20"/>
          </w:rPr>
          <w:t>_</w:t>
        </w:r>
        <w:r>
          <w:rPr>
            <w:color w:val="231F20"/>
            <w:w w:val="98"/>
            <w:u w:val="single" w:color="231F20"/>
          </w:rPr>
          <w:t>01_</w:t>
        </w:r>
        <w:r>
          <w:rPr>
            <w:color w:val="231F20"/>
            <w:w w:val="96"/>
            <w:u w:val="single" w:color="231F20"/>
          </w:rPr>
          <w:t>201</w:t>
        </w:r>
      </w:hyperlink>
      <w:r>
        <w:rPr>
          <w:color w:val="231F20"/>
          <w:w w:val="96"/>
        </w:rPr>
        <w:t> </w:t>
      </w:r>
      <w:r>
        <w:rPr>
          <w:color w:val="231F20"/>
          <w:u w:val="single" w:color="231F20"/>
        </w:rPr>
        <w:t>1_Accs_VP(2).pdf</w:t>
      </w:r>
      <w:r>
        <w:rPr>
          <w:color w:val="231F20"/>
        </w:rPr>
        <w:t>, consultado el día 2 de octubre de 2011).</w:t>
      </w:r>
    </w:p>
    <w:p>
      <w:pPr>
        <w:spacing w:line="247" w:lineRule="auto" w:before="0"/>
        <w:ind w:left="833" w:right="104" w:hanging="721"/>
        <w:jc w:val="left"/>
        <w:rPr>
          <w:sz w:val="21"/>
        </w:rPr>
      </w:pPr>
      <w:r>
        <w:rPr>
          <w:color w:val="231F20"/>
          <w:sz w:val="21"/>
        </w:rPr>
        <w:t>Confluencia Nota del Boletín Informativo. </w:t>
      </w:r>
      <w:r>
        <w:rPr>
          <w:i/>
          <w:color w:val="231F20"/>
          <w:sz w:val="21"/>
        </w:rPr>
        <w:t>Ser y quehacer de la </w:t>
      </w:r>
      <w:r>
        <w:rPr>
          <w:i/>
          <w:color w:val="231F20"/>
          <w:sz w:val="21"/>
        </w:rPr>
        <w:t>educación superior en México</w:t>
      </w:r>
      <w:r>
        <w:rPr>
          <w:color w:val="231F20"/>
          <w:sz w:val="21"/>
        </w:rPr>
        <w:t>. (2007, abril-mayo). </w:t>
      </w:r>
      <w:r>
        <w:rPr>
          <w:i/>
          <w:color w:val="231F20"/>
          <w:sz w:val="21"/>
        </w:rPr>
        <w:t>1</w:t>
      </w:r>
      <w:r>
        <w:rPr>
          <w:color w:val="231F20"/>
          <w:sz w:val="21"/>
        </w:rPr>
        <w:t>(153). Obtenido de </w:t>
      </w:r>
      <w:hyperlink r:id="rId752">
        <w:r>
          <w:rPr>
            <w:color w:val="231F20"/>
            <w:w w:val="104"/>
            <w:sz w:val="21"/>
          </w:rPr>
          <w:t>h</w:t>
        </w:r>
        <w:r>
          <w:rPr>
            <w:color w:val="231F20"/>
            <w:w w:val="107"/>
            <w:sz w:val="21"/>
          </w:rPr>
          <w:t>tt</w:t>
        </w:r>
        <w:r>
          <w:rPr>
            <w:color w:val="231F20"/>
            <w:w w:val="104"/>
            <w:sz w:val="21"/>
          </w:rPr>
          <w:t>p</w:t>
        </w:r>
        <w:r>
          <w:rPr>
            <w:color w:val="231F20"/>
            <w:w w:val="80"/>
            <w:sz w:val="21"/>
          </w:rPr>
          <w:t>:</w:t>
        </w:r>
        <w:r>
          <w:rPr>
            <w:color w:val="231F20"/>
            <w:w w:val="185"/>
            <w:sz w:val="21"/>
          </w:rPr>
          <w:t>//</w:t>
        </w:r>
        <w:r>
          <w:rPr>
            <w:color w:val="231F20"/>
            <w:w w:val="104"/>
            <w:sz w:val="21"/>
          </w:rPr>
          <w:t>p</w:t>
        </w:r>
        <w:r>
          <w:rPr>
            <w:color w:val="231F20"/>
            <w:w w:val="102"/>
            <w:sz w:val="21"/>
          </w:rPr>
          <w:t>ub</w:t>
        </w:r>
        <w:r>
          <w:rPr>
            <w:color w:val="231F20"/>
            <w:w w:val="84"/>
            <w:sz w:val="21"/>
          </w:rPr>
          <w:t>li</w:t>
        </w:r>
        <w:r>
          <w:rPr>
            <w:color w:val="231F20"/>
            <w:w w:val="96"/>
            <w:sz w:val="21"/>
          </w:rPr>
          <w:t>c</w:t>
        </w:r>
        <w:r>
          <w:rPr>
            <w:color w:val="231F20"/>
            <w:w w:val="94"/>
            <w:sz w:val="21"/>
          </w:rPr>
          <w:t>a</w:t>
        </w:r>
        <w:r>
          <w:rPr>
            <w:color w:val="231F20"/>
            <w:w w:val="96"/>
            <w:sz w:val="21"/>
          </w:rPr>
          <w:t>c</w:t>
        </w:r>
        <w:r>
          <w:rPr>
            <w:color w:val="231F20"/>
            <w:w w:val="84"/>
            <w:sz w:val="21"/>
          </w:rPr>
          <w:t>i</w:t>
        </w:r>
        <w:r>
          <w:rPr>
            <w:color w:val="231F20"/>
            <w:w w:val="104"/>
            <w:sz w:val="21"/>
          </w:rPr>
          <w:t>on</w:t>
        </w:r>
        <w:r>
          <w:rPr>
            <w:color w:val="231F20"/>
            <w:w w:val="96"/>
            <w:sz w:val="21"/>
          </w:rPr>
          <w:t>e</w:t>
        </w:r>
        <w:r>
          <w:rPr>
            <w:color w:val="231F20"/>
            <w:w w:val="96"/>
            <w:sz w:val="21"/>
          </w:rPr>
          <w:t>s</w:t>
        </w:r>
        <w:r>
          <w:rPr>
            <w:color w:val="231F20"/>
            <w:w w:val="90"/>
            <w:sz w:val="21"/>
          </w:rPr>
          <w:t>.</w:t>
        </w:r>
        <w:r>
          <w:rPr>
            <w:color w:val="231F20"/>
            <w:w w:val="94"/>
            <w:sz w:val="21"/>
          </w:rPr>
          <w:t>a</w:t>
        </w:r>
        <w:r>
          <w:rPr>
            <w:color w:val="231F20"/>
            <w:w w:val="104"/>
            <w:sz w:val="21"/>
          </w:rPr>
          <w:t>n</w:t>
        </w:r>
        <w:r>
          <w:rPr>
            <w:color w:val="231F20"/>
            <w:w w:val="95"/>
            <w:sz w:val="21"/>
          </w:rPr>
          <w:t>ui</w:t>
        </w:r>
        <w:r>
          <w:rPr>
            <w:color w:val="231F20"/>
            <w:w w:val="96"/>
            <w:sz w:val="21"/>
          </w:rPr>
          <w:t>e</w:t>
        </w:r>
        <w:r>
          <w:rPr>
            <w:color w:val="231F20"/>
            <w:w w:val="96"/>
            <w:sz w:val="21"/>
          </w:rPr>
          <w:t>s</w:t>
        </w:r>
        <w:r>
          <w:rPr>
            <w:color w:val="231F20"/>
            <w:w w:val="90"/>
            <w:sz w:val="21"/>
          </w:rPr>
          <w:t>.</w:t>
        </w:r>
        <w:r>
          <w:rPr>
            <w:color w:val="231F20"/>
            <w:w w:val="101"/>
            <w:sz w:val="21"/>
          </w:rPr>
          <w:t>m</w:t>
        </w:r>
        <w:r>
          <w:rPr>
            <w:color w:val="231F20"/>
            <w:w w:val="126"/>
            <w:sz w:val="21"/>
          </w:rPr>
          <w:t>x/</w:t>
        </w:r>
        <w:r>
          <w:rPr>
            <w:color w:val="231F20"/>
            <w:w w:val="104"/>
            <w:sz w:val="21"/>
          </w:rPr>
          <w:t>p</w:t>
        </w:r>
        <w:r>
          <w:rPr>
            <w:color w:val="231F20"/>
            <w:w w:val="102"/>
            <w:sz w:val="21"/>
          </w:rPr>
          <w:t>d</w:t>
        </w:r>
        <w:r>
          <w:rPr>
            <w:color w:val="231F20"/>
            <w:w w:val="99"/>
            <w:sz w:val="21"/>
          </w:rPr>
          <w:t>f</w:t>
        </w:r>
        <w:r>
          <w:rPr>
            <w:color w:val="231F20"/>
            <w:w w:val="96"/>
            <w:sz w:val="21"/>
          </w:rPr>
          <w:t>s</w:t>
        </w:r>
        <w:r>
          <w:rPr>
            <w:color w:val="231F20"/>
            <w:w w:val="185"/>
            <w:sz w:val="21"/>
          </w:rPr>
          <w:t>/</w:t>
        </w:r>
        <w:r>
          <w:rPr>
            <w:color w:val="231F20"/>
            <w:w w:val="96"/>
            <w:sz w:val="21"/>
          </w:rPr>
          <w:t>c</w:t>
        </w:r>
        <w:r>
          <w:rPr>
            <w:color w:val="231F20"/>
            <w:w w:val="104"/>
            <w:sz w:val="21"/>
          </w:rPr>
          <w:t>on</w:t>
        </w:r>
        <w:r>
          <w:rPr>
            <w:color w:val="231F20"/>
            <w:w w:val="99"/>
            <w:sz w:val="21"/>
          </w:rPr>
          <w:t>f</w:t>
        </w:r>
        <w:r>
          <w:rPr>
            <w:color w:val="231F20"/>
            <w:w w:val="84"/>
            <w:sz w:val="21"/>
          </w:rPr>
          <w:t>l</w:t>
        </w:r>
        <w:r>
          <w:rPr>
            <w:color w:val="231F20"/>
            <w:w w:val="98"/>
            <w:sz w:val="21"/>
          </w:rPr>
          <w:t>ue</w:t>
        </w:r>
        <w:r>
          <w:rPr>
            <w:color w:val="231F20"/>
            <w:w w:val="104"/>
            <w:sz w:val="21"/>
          </w:rPr>
          <w:t>n</w:t>
        </w:r>
        <w:r>
          <w:rPr>
            <w:color w:val="231F20"/>
            <w:w w:val="96"/>
            <w:sz w:val="21"/>
          </w:rPr>
          <w:t>c</w:t>
        </w:r>
        <w:r>
          <w:rPr>
            <w:color w:val="231F20"/>
            <w:w w:val="84"/>
            <w:sz w:val="21"/>
          </w:rPr>
          <w:t>i</w:t>
        </w:r>
        <w:r>
          <w:rPr>
            <w:color w:val="231F20"/>
            <w:w w:val="94"/>
            <w:sz w:val="21"/>
          </w:rPr>
          <w:t>a</w:t>
        </w:r>
        <w:r>
          <w:rPr>
            <w:color w:val="231F20"/>
            <w:w w:val="96"/>
            <w:sz w:val="21"/>
          </w:rPr>
          <w:t>s</w:t>
        </w:r>
        <w:r>
          <w:rPr>
            <w:color w:val="231F20"/>
            <w:w w:val="185"/>
            <w:sz w:val="21"/>
          </w:rPr>
          <w:t>/</w:t>
        </w:r>
        <w:r>
          <w:rPr>
            <w:color w:val="231F20"/>
            <w:w w:val="97"/>
            <w:sz w:val="21"/>
          </w:rPr>
          <w:t>C</w:t>
        </w:r>
        <w:r>
          <w:rPr>
            <w:color w:val="231F20"/>
            <w:w w:val="104"/>
            <w:sz w:val="21"/>
          </w:rPr>
          <w:t>on</w:t>
        </w:r>
        <w:r>
          <w:rPr>
            <w:color w:val="231F20"/>
            <w:w w:val="99"/>
            <w:sz w:val="21"/>
          </w:rPr>
          <w:t>f</w:t>
        </w:r>
        <w:r>
          <w:rPr>
            <w:color w:val="231F20"/>
            <w:w w:val="84"/>
            <w:sz w:val="21"/>
          </w:rPr>
          <w:t>l</w:t>
        </w:r>
        <w:r>
          <w:rPr>
            <w:color w:val="231F20"/>
            <w:w w:val="100"/>
            <w:sz w:val="21"/>
          </w:rPr>
          <w:t>u</w:t>
        </w:r>
      </w:hyperlink>
      <w:r>
        <w:rPr>
          <w:color w:val="231F20"/>
          <w:w w:val="100"/>
          <w:sz w:val="21"/>
        </w:rPr>
        <w:t> </w:t>
      </w:r>
      <w:r>
        <w:rPr>
          <w:color w:val="231F20"/>
          <w:sz w:val="21"/>
        </w:rPr>
        <w:t>encia153.pdf</w:t>
      </w:r>
    </w:p>
    <w:p>
      <w:pPr>
        <w:spacing w:line="247" w:lineRule="auto" w:before="0"/>
        <w:ind w:left="822" w:right="104" w:hanging="709"/>
        <w:jc w:val="left"/>
        <w:rPr>
          <w:i/>
          <w:sz w:val="21"/>
        </w:rPr>
      </w:pPr>
      <w:r>
        <w:rPr>
          <w:color w:val="231F20"/>
          <w:w w:val="95"/>
          <w:sz w:val="21"/>
        </w:rPr>
        <w:t>Congreso</w:t>
      </w:r>
      <w:r>
        <w:rPr>
          <w:color w:val="231F20"/>
          <w:spacing w:val="-17"/>
          <w:w w:val="95"/>
          <w:sz w:val="21"/>
        </w:rPr>
        <w:t> </w:t>
      </w:r>
      <w:r>
        <w:rPr>
          <w:color w:val="231F20"/>
          <w:w w:val="95"/>
          <w:sz w:val="21"/>
        </w:rPr>
        <w:t>de</w:t>
      </w:r>
      <w:r>
        <w:rPr>
          <w:color w:val="231F20"/>
          <w:spacing w:val="-17"/>
          <w:w w:val="95"/>
          <w:sz w:val="21"/>
        </w:rPr>
        <w:t> </w:t>
      </w:r>
      <w:r>
        <w:rPr>
          <w:color w:val="231F20"/>
          <w:w w:val="95"/>
          <w:sz w:val="21"/>
        </w:rPr>
        <w:t>la</w:t>
      </w:r>
      <w:r>
        <w:rPr>
          <w:color w:val="231F20"/>
          <w:spacing w:val="-17"/>
          <w:w w:val="95"/>
          <w:sz w:val="21"/>
        </w:rPr>
        <w:t> </w:t>
      </w:r>
      <w:r>
        <w:rPr>
          <w:color w:val="231F20"/>
          <w:w w:val="95"/>
          <w:sz w:val="21"/>
        </w:rPr>
        <w:t>Unión.</w:t>
      </w:r>
      <w:r>
        <w:rPr>
          <w:color w:val="231F20"/>
          <w:spacing w:val="-18"/>
          <w:w w:val="95"/>
          <w:sz w:val="21"/>
        </w:rPr>
        <w:t> </w:t>
      </w:r>
      <w:r>
        <w:rPr>
          <w:color w:val="231F20"/>
          <w:w w:val="95"/>
          <w:sz w:val="21"/>
        </w:rPr>
        <w:t>(2007).</w:t>
      </w:r>
      <w:r>
        <w:rPr>
          <w:color w:val="231F20"/>
          <w:spacing w:val="-18"/>
          <w:w w:val="95"/>
          <w:sz w:val="21"/>
        </w:rPr>
        <w:t> </w:t>
      </w:r>
      <w:r>
        <w:rPr>
          <w:i/>
          <w:color w:val="231F20"/>
          <w:w w:val="95"/>
          <w:sz w:val="21"/>
        </w:rPr>
        <w:t>Ley</w:t>
      </w:r>
      <w:r>
        <w:rPr>
          <w:i/>
          <w:color w:val="231F20"/>
          <w:spacing w:val="-17"/>
          <w:w w:val="95"/>
          <w:sz w:val="21"/>
        </w:rPr>
        <w:t> </w:t>
      </w:r>
      <w:r>
        <w:rPr>
          <w:i/>
          <w:color w:val="231F20"/>
          <w:w w:val="95"/>
          <w:sz w:val="21"/>
        </w:rPr>
        <w:t>Federal</w:t>
      </w:r>
      <w:r>
        <w:rPr>
          <w:i/>
          <w:color w:val="231F20"/>
          <w:spacing w:val="-18"/>
          <w:w w:val="95"/>
          <w:sz w:val="21"/>
        </w:rPr>
        <w:t> </w:t>
      </w:r>
      <w:r>
        <w:rPr>
          <w:i/>
          <w:color w:val="231F20"/>
          <w:w w:val="95"/>
          <w:sz w:val="21"/>
        </w:rPr>
        <w:t>para</w:t>
      </w:r>
      <w:r>
        <w:rPr>
          <w:i/>
          <w:color w:val="231F20"/>
          <w:spacing w:val="-17"/>
          <w:w w:val="95"/>
          <w:sz w:val="21"/>
        </w:rPr>
        <w:t> </w:t>
      </w:r>
      <w:r>
        <w:rPr>
          <w:i/>
          <w:color w:val="231F20"/>
          <w:w w:val="95"/>
          <w:sz w:val="21"/>
        </w:rPr>
        <w:t>Prevenir</w:t>
      </w:r>
      <w:r>
        <w:rPr>
          <w:i/>
          <w:color w:val="231F20"/>
          <w:spacing w:val="-18"/>
          <w:w w:val="95"/>
          <w:sz w:val="21"/>
        </w:rPr>
        <w:t> </w:t>
      </w:r>
      <w:r>
        <w:rPr>
          <w:i/>
          <w:color w:val="231F20"/>
          <w:w w:val="95"/>
          <w:sz w:val="21"/>
        </w:rPr>
        <w:t>y</w:t>
      </w:r>
      <w:r>
        <w:rPr>
          <w:i/>
          <w:color w:val="231F20"/>
          <w:spacing w:val="-17"/>
          <w:w w:val="95"/>
          <w:sz w:val="21"/>
        </w:rPr>
        <w:t> </w:t>
      </w:r>
      <w:r>
        <w:rPr>
          <w:i/>
          <w:color w:val="231F20"/>
          <w:w w:val="95"/>
          <w:sz w:val="21"/>
        </w:rPr>
        <w:t>eliminar</w:t>
      </w:r>
      <w:r>
        <w:rPr>
          <w:i/>
          <w:color w:val="231F20"/>
          <w:spacing w:val="-18"/>
          <w:w w:val="95"/>
          <w:sz w:val="21"/>
        </w:rPr>
        <w:t> </w:t>
      </w:r>
      <w:r>
        <w:rPr>
          <w:i/>
          <w:color w:val="231F20"/>
          <w:w w:val="95"/>
          <w:sz w:val="21"/>
        </w:rPr>
        <w:t>la </w:t>
      </w:r>
      <w:r>
        <w:rPr>
          <w:i/>
          <w:color w:val="231F20"/>
          <w:w w:val="90"/>
          <w:sz w:val="21"/>
        </w:rPr>
        <w:t>discriminación. Art.</w:t>
      </w:r>
      <w:r>
        <w:rPr>
          <w:i/>
          <w:color w:val="231F20"/>
          <w:spacing w:val="-38"/>
          <w:w w:val="90"/>
          <w:sz w:val="21"/>
        </w:rPr>
        <w:t> </w:t>
      </w:r>
      <w:r>
        <w:rPr>
          <w:i/>
          <w:color w:val="231F20"/>
          <w:w w:val="90"/>
          <w:sz w:val="21"/>
        </w:rPr>
        <w:t>4.</w:t>
      </w:r>
    </w:p>
    <w:p>
      <w:pPr>
        <w:pStyle w:val="BodyText"/>
        <w:spacing w:line="247" w:lineRule="auto"/>
        <w:ind w:left="822" w:right="104" w:hanging="709"/>
      </w:pPr>
      <w:r>
        <w:rPr>
          <w:color w:val="231F20"/>
        </w:rPr>
        <w:t>Decreto No. 296. Ley Estatal de Educación, 1995. Periódico Oficial del Estado de Oaxaca, 9 de noviembre de 1995.</w:t>
      </w:r>
    </w:p>
    <w:p>
      <w:pPr>
        <w:spacing w:line="247" w:lineRule="auto" w:before="0"/>
        <w:ind w:left="822" w:right="104" w:hanging="710"/>
        <w:jc w:val="left"/>
        <w:rPr>
          <w:sz w:val="21"/>
        </w:rPr>
      </w:pPr>
      <w:r>
        <w:rPr>
          <w:color w:val="231F20"/>
          <w:sz w:val="21"/>
        </w:rPr>
        <w:t>Diario</w:t>
      </w:r>
      <w:r>
        <w:rPr>
          <w:color w:val="231F20"/>
          <w:spacing w:val="-31"/>
          <w:sz w:val="21"/>
        </w:rPr>
        <w:t> </w:t>
      </w:r>
      <w:r>
        <w:rPr>
          <w:color w:val="231F20"/>
          <w:sz w:val="21"/>
        </w:rPr>
        <w:t>Oficial</w:t>
      </w:r>
      <w:r>
        <w:rPr>
          <w:color w:val="231F20"/>
          <w:spacing w:val="-31"/>
          <w:sz w:val="21"/>
        </w:rPr>
        <w:t> </w:t>
      </w:r>
      <w:r>
        <w:rPr>
          <w:color w:val="231F20"/>
          <w:sz w:val="21"/>
        </w:rPr>
        <w:t>de</w:t>
      </w:r>
      <w:r>
        <w:rPr>
          <w:color w:val="231F20"/>
          <w:spacing w:val="-31"/>
          <w:sz w:val="21"/>
        </w:rPr>
        <w:t> </w:t>
      </w:r>
      <w:r>
        <w:rPr>
          <w:color w:val="231F20"/>
          <w:sz w:val="21"/>
        </w:rPr>
        <w:t>la</w:t>
      </w:r>
      <w:r>
        <w:rPr>
          <w:color w:val="231F20"/>
          <w:spacing w:val="-31"/>
          <w:sz w:val="21"/>
        </w:rPr>
        <w:t> </w:t>
      </w:r>
      <w:r>
        <w:rPr>
          <w:color w:val="231F20"/>
          <w:sz w:val="21"/>
        </w:rPr>
        <w:t>Federación</w:t>
      </w:r>
      <w:r>
        <w:rPr>
          <w:color w:val="231F20"/>
          <w:spacing w:val="-31"/>
          <w:sz w:val="21"/>
        </w:rPr>
        <w:t> </w:t>
      </w:r>
      <w:r>
        <w:rPr>
          <w:color w:val="231F20"/>
          <w:sz w:val="21"/>
        </w:rPr>
        <w:t>(1992).</w:t>
      </w:r>
      <w:r>
        <w:rPr>
          <w:color w:val="231F20"/>
          <w:spacing w:val="-30"/>
          <w:sz w:val="21"/>
        </w:rPr>
        <w:t> </w:t>
      </w:r>
      <w:r>
        <w:rPr>
          <w:i/>
          <w:color w:val="231F20"/>
          <w:sz w:val="21"/>
        </w:rPr>
        <w:t>Decreto</w:t>
      </w:r>
      <w:r>
        <w:rPr>
          <w:i/>
          <w:color w:val="231F20"/>
          <w:spacing w:val="-31"/>
          <w:sz w:val="21"/>
        </w:rPr>
        <w:t> </w:t>
      </w:r>
      <w:r>
        <w:rPr>
          <w:i/>
          <w:color w:val="231F20"/>
          <w:sz w:val="21"/>
        </w:rPr>
        <w:t>por</w:t>
      </w:r>
      <w:r>
        <w:rPr>
          <w:i/>
          <w:color w:val="231F20"/>
          <w:spacing w:val="-31"/>
          <w:sz w:val="21"/>
        </w:rPr>
        <w:t> </w:t>
      </w:r>
      <w:r>
        <w:rPr>
          <w:i/>
          <w:color w:val="231F20"/>
          <w:sz w:val="21"/>
        </w:rPr>
        <w:t>el</w:t>
      </w:r>
      <w:r>
        <w:rPr>
          <w:i/>
          <w:color w:val="231F20"/>
          <w:spacing w:val="-31"/>
          <w:sz w:val="21"/>
        </w:rPr>
        <w:t> </w:t>
      </w:r>
      <w:r>
        <w:rPr>
          <w:i/>
          <w:color w:val="231F20"/>
          <w:sz w:val="21"/>
        </w:rPr>
        <w:t>que</w:t>
      </w:r>
      <w:r>
        <w:rPr>
          <w:i/>
          <w:color w:val="231F20"/>
          <w:spacing w:val="-31"/>
          <w:sz w:val="21"/>
        </w:rPr>
        <w:t> </w:t>
      </w:r>
      <w:r>
        <w:rPr>
          <w:i/>
          <w:color w:val="231F20"/>
          <w:sz w:val="21"/>
        </w:rPr>
        <w:t>se</w:t>
      </w:r>
      <w:r>
        <w:rPr>
          <w:i/>
          <w:color w:val="231F20"/>
          <w:spacing w:val="-31"/>
          <w:sz w:val="21"/>
        </w:rPr>
        <w:t> </w:t>
      </w:r>
      <w:r>
        <w:rPr>
          <w:i/>
          <w:color w:val="231F20"/>
          <w:sz w:val="21"/>
        </w:rPr>
        <w:t>reforma</w:t>
      </w:r>
      <w:r>
        <w:rPr>
          <w:i/>
          <w:color w:val="231F20"/>
          <w:spacing w:val="-31"/>
          <w:sz w:val="21"/>
        </w:rPr>
        <w:t> </w:t>
      </w:r>
      <w:r>
        <w:rPr>
          <w:i/>
          <w:color w:val="231F20"/>
          <w:sz w:val="21"/>
        </w:rPr>
        <w:t>el </w:t>
      </w:r>
      <w:r>
        <w:rPr>
          <w:i/>
          <w:color w:val="231F20"/>
          <w:w w:val="90"/>
          <w:sz w:val="21"/>
        </w:rPr>
        <w:t>Artículo</w:t>
      </w:r>
      <w:r>
        <w:rPr>
          <w:i/>
          <w:color w:val="231F20"/>
          <w:spacing w:val="-15"/>
          <w:w w:val="90"/>
          <w:sz w:val="21"/>
        </w:rPr>
        <w:t> </w:t>
      </w:r>
      <w:r>
        <w:rPr>
          <w:i/>
          <w:color w:val="231F20"/>
          <w:w w:val="90"/>
          <w:sz w:val="21"/>
        </w:rPr>
        <w:t>4o.</w:t>
      </w:r>
      <w:r>
        <w:rPr>
          <w:i/>
          <w:color w:val="231F20"/>
          <w:spacing w:val="-15"/>
          <w:w w:val="90"/>
          <w:sz w:val="21"/>
        </w:rPr>
        <w:t> </w:t>
      </w:r>
      <w:r>
        <w:rPr>
          <w:i/>
          <w:color w:val="231F20"/>
          <w:w w:val="90"/>
          <w:sz w:val="21"/>
        </w:rPr>
        <w:t>de</w:t>
      </w:r>
      <w:r>
        <w:rPr>
          <w:i/>
          <w:color w:val="231F20"/>
          <w:spacing w:val="-15"/>
          <w:w w:val="90"/>
          <w:sz w:val="21"/>
        </w:rPr>
        <w:t> </w:t>
      </w:r>
      <w:r>
        <w:rPr>
          <w:i/>
          <w:color w:val="231F20"/>
          <w:w w:val="90"/>
          <w:sz w:val="21"/>
        </w:rPr>
        <w:t>la</w:t>
      </w:r>
      <w:r>
        <w:rPr>
          <w:i/>
          <w:color w:val="231F20"/>
          <w:spacing w:val="-15"/>
          <w:w w:val="90"/>
          <w:sz w:val="21"/>
        </w:rPr>
        <w:t> </w:t>
      </w:r>
      <w:r>
        <w:rPr>
          <w:i/>
          <w:color w:val="231F20"/>
          <w:w w:val="90"/>
          <w:sz w:val="21"/>
        </w:rPr>
        <w:t>Constitución</w:t>
      </w:r>
      <w:r>
        <w:rPr>
          <w:i/>
          <w:color w:val="231F20"/>
          <w:spacing w:val="-14"/>
          <w:w w:val="90"/>
          <w:sz w:val="21"/>
        </w:rPr>
        <w:t> </w:t>
      </w:r>
      <w:r>
        <w:rPr>
          <w:i/>
          <w:color w:val="231F20"/>
          <w:w w:val="90"/>
          <w:sz w:val="21"/>
        </w:rPr>
        <w:t>Política</w:t>
      </w:r>
      <w:r>
        <w:rPr>
          <w:i/>
          <w:color w:val="231F20"/>
          <w:spacing w:val="-15"/>
          <w:w w:val="90"/>
          <w:sz w:val="21"/>
        </w:rPr>
        <w:t> </w:t>
      </w:r>
      <w:r>
        <w:rPr>
          <w:i/>
          <w:color w:val="231F20"/>
          <w:w w:val="90"/>
          <w:sz w:val="21"/>
        </w:rPr>
        <w:t>de</w:t>
      </w:r>
      <w:r>
        <w:rPr>
          <w:i/>
          <w:color w:val="231F20"/>
          <w:spacing w:val="-15"/>
          <w:w w:val="90"/>
          <w:sz w:val="21"/>
        </w:rPr>
        <w:t> </w:t>
      </w:r>
      <w:r>
        <w:rPr>
          <w:i/>
          <w:color w:val="231F20"/>
          <w:w w:val="90"/>
          <w:sz w:val="21"/>
        </w:rPr>
        <w:t>los</w:t>
      </w:r>
      <w:r>
        <w:rPr>
          <w:i/>
          <w:color w:val="231F20"/>
          <w:spacing w:val="-15"/>
          <w:w w:val="90"/>
          <w:sz w:val="21"/>
        </w:rPr>
        <w:t> </w:t>
      </w:r>
      <w:r>
        <w:rPr>
          <w:i/>
          <w:color w:val="231F20"/>
          <w:w w:val="90"/>
          <w:sz w:val="21"/>
        </w:rPr>
        <w:t>Estados</w:t>
      </w:r>
      <w:r>
        <w:rPr>
          <w:i/>
          <w:color w:val="231F20"/>
          <w:spacing w:val="-15"/>
          <w:w w:val="90"/>
          <w:sz w:val="21"/>
        </w:rPr>
        <w:t> </w:t>
      </w:r>
      <w:r>
        <w:rPr>
          <w:i/>
          <w:color w:val="231F20"/>
          <w:w w:val="90"/>
          <w:sz w:val="21"/>
        </w:rPr>
        <w:t>Unidos</w:t>
      </w:r>
      <w:r>
        <w:rPr>
          <w:i/>
          <w:color w:val="231F20"/>
          <w:spacing w:val="-15"/>
          <w:w w:val="90"/>
          <w:sz w:val="21"/>
        </w:rPr>
        <w:t> </w:t>
      </w:r>
      <w:r>
        <w:rPr>
          <w:i/>
          <w:color w:val="231F20"/>
          <w:w w:val="90"/>
          <w:sz w:val="21"/>
        </w:rPr>
        <w:t>Mexi- </w:t>
      </w:r>
      <w:r>
        <w:rPr>
          <w:i/>
          <w:color w:val="231F20"/>
          <w:sz w:val="21"/>
        </w:rPr>
        <w:t>canos</w:t>
      </w:r>
      <w:r>
        <w:rPr>
          <w:color w:val="231F20"/>
          <w:sz w:val="21"/>
        </w:rPr>
        <w:t>. México, Diario Oficial de la Federación, 28 de enero de</w:t>
      </w:r>
      <w:r>
        <w:rPr>
          <w:color w:val="231F20"/>
          <w:spacing w:val="-12"/>
          <w:sz w:val="21"/>
        </w:rPr>
        <w:t> </w:t>
      </w:r>
      <w:r>
        <w:rPr>
          <w:color w:val="231F20"/>
          <w:sz w:val="21"/>
        </w:rPr>
        <w:t>1992.</w:t>
      </w:r>
    </w:p>
    <w:p>
      <w:pPr>
        <w:spacing w:line="242" w:lineRule="auto" w:before="1"/>
        <w:ind w:left="833" w:right="104" w:hanging="720"/>
        <w:jc w:val="left"/>
        <w:rPr>
          <w:i/>
          <w:sz w:val="21"/>
        </w:rPr>
      </w:pPr>
      <w:r>
        <w:rPr>
          <w:color w:val="231F20"/>
          <w:w w:val="95"/>
          <w:sz w:val="21"/>
        </w:rPr>
        <w:t>Díaz-Aguado, María José y Andrés, María Teresa. (1994). </w:t>
      </w:r>
      <w:r>
        <w:rPr>
          <w:i/>
          <w:color w:val="231F20"/>
          <w:w w:val="95"/>
          <w:sz w:val="21"/>
        </w:rPr>
        <w:t>Educación </w:t>
      </w:r>
      <w:r>
        <w:rPr>
          <w:i/>
          <w:color w:val="231F20"/>
          <w:w w:val="80"/>
          <w:sz w:val="21"/>
        </w:rPr>
        <w:t>intercultural y aprendizaje cooperativo en contextos   heterogéneos.</w:t>
      </w:r>
    </w:p>
    <w:p>
      <w:pPr>
        <w:pStyle w:val="BodyText"/>
        <w:spacing w:line="244" w:lineRule="auto" w:before="6"/>
        <w:ind w:left="833" w:right="104"/>
      </w:pPr>
      <w:r>
        <w:rPr>
          <w:color w:val="231F20"/>
          <w:w w:val="105"/>
        </w:rPr>
        <w:t>España. Obtenido de </w:t>
      </w:r>
      <w:hyperlink r:id="rId753">
        <w:r>
          <w:rPr>
            <w:color w:val="231F20"/>
            <w:spacing w:val="2"/>
            <w:w w:val="104"/>
          </w:rPr>
          <w:t>h</w:t>
        </w:r>
        <w:r>
          <w:rPr>
            <w:color w:val="231F20"/>
            <w:spacing w:val="1"/>
            <w:w w:val="107"/>
          </w:rPr>
          <w:t>tt</w:t>
        </w:r>
        <w:r>
          <w:rPr>
            <w:color w:val="231F20"/>
            <w:spacing w:val="2"/>
            <w:w w:val="104"/>
          </w:rPr>
          <w:t>p</w:t>
        </w:r>
        <w:r>
          <w:rPr>
            <w:color w:val="231F20"/>
            <w:w w:val="133"/>
          </w:rPr>
          <w:t>:</w:t>
        </w:r>
        <w:r>
          <w:rPr>
            <w:color w:val="231F20"/>
            <w:spacing w:val="2"/>
            <w:w w:val="133"/>
          </w:rPr>
          <w:t>/</w:t>
        </w:r>
        <w:r>
          <w:rPr>
            <w:color w:val="231F20"/>
            <w:spacing w:val="2"/>
            <w:w w:val="185"/>
          </w:rPr>
          <w:t>/</w:t>
        </w:r>
        <w:r>
          <w:rPr>
            <w:color w:val="231F20"/>
            <w:spacing w:val="2"/>
            <w:w w:val="94"/>
          </w:rPr>
          <w:t>www</w:t>
        </w:r>
        <w:r>
          <w:rPr>
            <w:color w:val="231F20"/>
            <w:w w:val="92"/>
          </w:rPr>
          <w:t>.</w:t>
        </w:r>
        <w:r>
          <w:rPr>
            <w:color w:val="231F20"/>
            <w:spacing w:val="1"/>
            <w:w w:val="92"/>
          </w:rPr>
          <w:t>a</w:t>
        </w:r>
        <w:r>
          <w:rPr>
            <w:color w:val="231F20"/>
            <w:spacing w:val="1"/>
            <w:w w:val="100"/>
          </w:rPr>
          <w:t>u</w:t>
        </w:r>
        <w:r>
          <w:rPr>
            <w:color w:val="231F20"/>
            <w:w w:val="90"/>
          </w:rPr>
          <w:t>l</w:t>
        </w:r>
        <w:r>
          <w:rPr>
            <w:color w:val="231F20"/>
            <w:spacing w:val="1"/>
            <w:w w:val="90"/>
          </w:rPr>
          <w:t>a</w:t>
        </w:r>
        <w:r>
          <w:rPr>
            <w:color w:val="231F20"/>
            <w:w w:val="97"/>
          </w:rPr>
          <w:t>i</w:t>
        </w:r>
        <w:r>
          <w:rPr>
            <w:color w:val="231F20"/>
            <w:spacing w:val="2"/>
            <w:w w:val="97"/>
          </w:rPr>
          <w:t>n</w:t>
        </w:r>
        <w:r>
          <w:rPr>
            <w:color w:val="231F20"/>
            <w:spacing w:val="1"/>
            <w:w w:val="107"/>
          </w:rPr>
          <w:t>t</w:t>
        </w:r>
        <w:r>
          <w:rPr>
            <w:color w:val="231F20"/>
            <w:spacing w:val="1"/>
            <w:w w:val="96"/>
          </w:rPr>
          <w:t>e</w:t>
        </w:r>
        <w:r>
          <w:rPr>
            <w:color w:val="231F20"/>
            <w:spacing w:val="1"/>
            <w:w w:val="103"/>
          </w:rPr>
          <w:t>r</w:t>
        </w:r>
        <w:r>
          <w:rPr>
            <w:color w:val="231F20"/>
            <w:spacing w:val="1"/>
            <w:w w:val="96"/>
          </w:rPr>
          <w:t>c</w:t>
        </w:r>
        <w:r>
          <w:rPr>
            <w:color w:val="231F20"/>
            <w:spacing w:val="1"/>
            <w:w w:val="100"/>
          </w:rPr>
          <w:t>u</w:t>
        </w:r>
        <w:r>
          <w:rPr>
            <w:color w:val="231F20"/>
            <w:w w:val="96"/>
          </w:rPr>
          <w:t>l</w:t>
        </w:r>
        <w:r>
          <w:rPr>
            <w:color w:val="231F20"/>
            <w:spacing w:val="1"/>
            <w:w w:val="96"/>
          </w:rPr>
          <w:t>t</w:t>
        </w:r>
        <w:r>
          <w:rPr>
            <w:color w:val="231F20"/>
            <w:spacing w:val="1"/>
            <w:w w:val="100"/>
          </w:rPr>
          <w:t>u</w:t>
        </w:r>
        <w:r>
          <w:rPr>
            <w:color w:val="231F20"/>
            <w:spacing w:val="1"/>
            <w:w w:val="103"/>
          </w:rPr>
          <w:t>r</w:t>
        </w:r>
        <w:r>
          <w:rPr>
            <w:color w:val="231F20"/>
            <w:spacing w:val="1"/>
            <w:w w:val="94"/>
          </w:rPr>
          <w:t>a</w:t>
        </w:r>
        <w:r>
          <w:rPr>
            <w:color w:val="231F20"/>
            <w:w w:val="95"/>
          </w:rPr>
          <w:t>l.</w:t>
        </w:r>
        <w:r>
          <w:rPr>
            <w:color w:val="231F20"/>
            <w:spacing w:val="2"/>
            <w:w w:val="95"/>
          </w:rPr>
          <w:t>o</w:t>
        </w:r>
        <w:r>
          <w:rPr>
            <w:color w:val="231F20"/>
            <w:spacing w:val="1"/>
            <w:w w:val="103"/>
          </w:rPr>
          <w:t>r</w:t>
        </w:r>
        <w:r>
          <w:rPr>
            <w:color w:val="231F20"/>
            <w:spacing w:val="1"/>
            <w:w w:val="92"/>
          </w:rPr>
          <w:t>g</w:t>
        </w:r>
        <w:r>
          <w:rPr>
            <w:color w:val="231F20"/>
            <w:spacing w:val="2"/>
            <w:w w:val="185"/>
          </w:rPr>
          <w:t>/</w:t>
        </w:r>
        <w:r>
          <w:rPr>
            <w:color w:val="231F20"/>
            <w:spacing w:val="1"/>
            <w:w w:val="109"/>
          </w:rPr>
          <w:t>I</w:t>
        </w:r>
        <w:r>
          <w:rPr>
            <w:color w:val="231F20"/>
            <w:spacing w:val="3"/>
            <w:w w:val="96"/>
          </w:rPr>
          <w:t>M</w:t>
        </w:r>
        <w:r>
          <w:rPr>
            <w:color w:val="231F20"/>
            <w:spacing w:val="3"/>
            <w:w w:val="109"/>
          </w:rPr>
          <w:t>G</w:t>
        </w:r>
        <w:r>
          <w:rPr>
            <w:color w:val="231F20"/>
            <w:spacing w:val="2"/>
            <w:w w:val="185"/>
          </w:rPr>
          <w:t>/</w:t>
        </w:r>
        <w:r>
          <w:rPr>
            <w:color w:val="231F20"/>
            <w:spacing w:val="2"/>
            <w:w w:val="104"/>
          </w:rPr>
          <w:t>p</w:t>
        </w:r>
        <w:r>
          <w:rPr>
            <w:color w:val="231F20"/>
            <w:spacing w:val="2"/>
            <w:w w:val="102"/>
          </w:rPr>
          <w:t>d</w:t>
        </w:r>
        <w:r>
          <w:rPr>
            <w:color w:val="231F20"/>
            <w:spacing w:val="1"/>
            <w:w w:val="99"/>
          </w:rPr>
          <w:t>f</w:t>
        </w:r>
        <w:r>
          <w:rPr>
            <w:color w:val="231F20"/>
            <w:spacing w:val="2"/>
            <w:w w:val="185"/>
          </w:rPr>
          <w:t>/</w:t>
        </w:r>
        <w:r>
          <w:rPr>
            <w:color w:val="231F20"/>
            <w:spacing w:val="2"/>
            <w:w w:val="102"/>
          </w:rPr>
          <w:t>d</w:t>
        </w:r>
        <w:r>
          <w:rPr>
            <w:color w:val="231F20"/>
            <w:w w:val="90"/>
          </w:rPr>
          <w:t>i</w:t>
        </w:r>
        <w:r>
          <w:rPr>
            <w:color w:val="231F20"/>
            <w:spacing w:val="1"/>
            <w:w w:val="90"/>
          </w:rPr>
          <w:t>a</w:t>
        </w:r>
        <w:r>
          <w:rPr>
            <w:color w:val="231F20"/>
            <w:spacing w:val="1"/>
            <w:w w:val="99"/>
          </w:rPr>
          <w:t>z</w:t>
        </w:r>
        <w:r>
          <w:rPr>
            <w:color w:val="231F20"/>
            <w:w w:val="96"/>
          </w:rPr>
          <w:t>-</w:t>
        </w:r>
      </w:hyperlink>
      <w:r>
        <w:rPr>
          <w:color w:val="231F20"/>
          <w:w w:val="96"/>
        </w:rPr>
        <w:t> </w:t>
      </w:r>
      <w:r>
        <w:rPr>
          <w:color w:val="231F20"/>
          <w:w w:val="105"/>
        </w:rPr>
        <w:t>aguado.pdf,</w:t>
      </w:r>
      <w:r>
        <w:rPr>
          <w:color w:val="231F20"/>
          <w:spacing w:val="-30"/>
          <w:w w:val="105"/>
        </w:rPr>
        <w:t> </w:t>
      </w:r>
      <w:r>
        <w:rPr>
          <w:color w:val="231F20"/>
          <w:w w:val="105"/>
        </w:rPr>
        <w:t>consultada</w:t>
      </w:r>
      <w:r>
        <w:rPr>
          <w:color w:val="231F20"/>
          <w:spacing w:val="-29"/>
          <w:w w:val="105"/>
        </w:rPr>
        <w:t> </w:t>
      </w:r>
      <w:r>
        <w:rPr>
          <w:color w:val="231F20"/>
          <w:w w:val="105"/>
        </w:rPr>
        <w:t>el</w:t>
      </w:r>
      <w:r>
        <w:rPr>
          <w:color w:val="231F20"/>
          <w:spacing w:val="-30"/>
          <w:w w:val="105"/>
        </w:rPr>
        <w:t> </w:t>
      </w:r>
      <w:r>
        <w:rPr>
          <w:color w:val="231F20"/>
          <w:w w:val="105"/>
        </w:rPr>
        <w:t>día</w:t>
      </w:r>
      <w:r>
        <w:rPr>
          <w:color w:val="231F20"/>
          <w:spacing w:val="-29"/>
          <w:w w:val="105"/>
        </w:rPr>
        <w:t> </w:t>
      </w:r>
      <w:r>
        <w:rPr>
          <w:color w:val="231F20"/>
          <w:w w:val="105"/>
        </w:rPr>
        <w:t>25</w:t>
      </w:r>
      <w:r>
        <w:rPr>
          <w:color w:val="231F20"/>
          <w:spacing w:val="-29"/>
          <w:w w:val="105"/>
        </w:rPr>
        <w:t> </w:t>
      </w:r>
      <w:r>
        <w:rPr>
          <w:color w:val="231F20"/>
          <w:w w:val="105"/>
        </w:rPr>
        <w:t>de</w:t>
      </w:r>
      <w:r>
        <w:rPr>
          <w:color w:val="231F20"/>
          <w:spacing w:val="-29"/>
          <w:w w:val="105"/>
        </w:rPr>
        <w:t> </w:t>
      </w:r>
      <w:r>
        <w:rPr>
          <w:color w:val="231F20"/>
          <w:w w:val="105"/>
        </w:rPr>
        <w:t>septiembre</w:t>
      </w:r>
      <w:r>
        <w:rPr>
          <w:color w:val="231F20"/>
          <w:spacing w:val="-30"/>
          <w:w w:val="105"/>
        </w:rPr>
        <w:t> </w:t>
      </w:r>
      <w:r>
        <w:rPr>
          <w:color w:val="231F20"/>
          <w:w w:val="105"/>
        </w:rPr>
        <w:t>de</w:t>
      </w:r>
      <w:r>
        <w:rPr>
          <w:color w:val="231F20"/>
          <w:spacing w:val="-29"/>
          <w:w w:val="105"/>
        </w:rPr>
        <w:t> </w:t>
      </w:r>
      <w:r>
        <w:rPr>
          <w:color w:val="231F20"/>
          <w:w w:val="105"/>
        </w:rPr>
        <w:t>2011.</w:t>
      </w:r>
    </w:p>
    <w:p>
      <w:pPr>
        <w:pStyle w:val="BodyText"/>
        <w:spacing w:line="240" w:lineRule="exact"/>
        <w:ind w:left="113" w:right="104"/>
      </w:pPr>
      <w:r>
        <w:rPr>
          <w:color w:val="231F20"/>
        </w:rPr>
        <w:t>Diccionario de la Real Academia de la Lengua Española. (s.f.).</w:t>
      </w:r>
    </w:p>
    <w:p>
      <w:pPr>
        <w:pStyle w:val="BodyText"/>
        <w:spacing w:before="8"/>
        <w:ind w:left="833" w:right="104"/>
      </w:pPr>
      <w:r>
        <w:rPr>
          <w:color w:val="231F20"/>
          <w:spacing w:val="3"/>
          <w:w w:val="111"/>
        </w:rPr>
        <w:t>O</w:t>
      </w:r>
      <w:r>
        <w:rPr>
          <w:color w:val="231F20"/>
          <w:spacing w:val="2"/>
          <w:w w:val="104"/>
        </w:rPr>
        <w:t>b</w:t>
      </w:r>
      <w:r>
        <w:rPr>
          <w:color w:val="231F20"/>
          <w:spacing w:val="1"/>
          <w:w w:val="107"/>
        </w:rPr>
        <w:t>t</w:t>
      </w:r>
      <w:r>
        <w:rPr>
          <w:color w:val="231F20"/>
          <w:spacing w:val="1"/>
          <w:w w:val="96"/>
        </w:rPr>
        <w:t>e</w:t>
      </w:r>
      <w:r>
        <w:rPr>
          <w:color w:val="231F20"/>
          <w:spacing w:val="2"/>
          <w:w w:val="104"/>
        </w:rPr>
        <w:t>n</w:t>
      </w:r>
      <w:r>
        <w:rPr>
          <w:color w:val="231F20"/>
          <w:w w:val="84"/>
        </w:rPr>
        <w:t>i</w:t>
      </w:r>
      <w:r>
        <w:rPr>
          <w:color w:val="231F20"/>
          <w:spacing w:val="2"/>
          <w:w w:val="102"/>
        </w:rPr>
        <w:t>d</w:t>
      </w:r>
      <w:r>
        <w:rPr>
          <w:color w:val="231F20"/>
          <w:w w:val="104"/>
        </w:rPr>
        <w:t>o</w:t>
      </w:r>
      <w:r>
        <w:rPr>
          <w:color w:val="231F20"/>
          <w:spacing w:val="4"/>
        </w:rPr>
        <w:t> </w:t>
      </w:r>
      <w:r>
        <w:rPr>
          <w:color w:val="231F20"/>
          <w:spacing w:val="2"/>
          <w:w w:val="102"/>
        </w:rPr>
        <w:t>d</w:t>
      </w:r>
      <w:r>
        <w:rPr>
          <w:color w:val="231F20"/>
          <w:w w:val="96"/>
        </w:rPr>
        <w:t>e</w:t>
      </w:r>
      <w:r>
        <w:rPr>
          <w:color w:val="231F20"/>
          <w:spacing w:val="4"/>
        </w:rPr>
        <w:t> </w:t>
      </w:r>
      <w:hyperlink r:id="rId754">
        <w:r>
          <w:rPr>
            <w:color w:val="231F20"/>
            <w:spacing w:val="2"/>
            <w:w w:val="104"/>
          </w:rPr>
          <w:t>h</w:t>
        </w:r>
        <w:r>
          <w:rPr>
            <w:color w:val="231F20"/>
            <w:spacing w:val="1"/>
            <w:w w:val="107"/>
          </w:rPr>
          <w:t>tt</w:t>
        </w:r>
        <w:r>
          <w:rPr>
            <w:color w:val="231F20"/>
            <w:spacing w:val="2"/>
            <w:w w:val="104"/>
          </w:rPr>
          <w:t>p</w:t>
        </w:r>
        <w:r>
          <w:rPr>
            <w:color w:val="231F20"/>
            <w:w w:val="80"/>
          </w:rPr>
          <w:t>:</w:t>
        </w:r>
        <w:r>
          <w:rPr>
            <w:color w:val="231F20"/>
            <w:spacing w:val="2"/>
            <w:w w:val="185"/>
          </w:rPr>
          <w:t>//</w:t>
        </w:r>
        <w:r>
          <w:rPr>
            <w:color w:val="231F20"/>
            <w:spacing w:val="2"/>
            <w:w w:val="94"/>
          </w:rPr>
          <w:t>www</w:t>
        </w:r>
        <w:r>
          <w:rPr>
            <w:color w:val="231F20"/>
            <w:w w:val="90"/>
          </w:rPr>
          <w:t>.</w:t>
        </w:r>
        <w:r>
          <w:rPr>
            <w:color w:val="231F20"/>
            <w:spacing w:val="1"/>
            <w:w w:val="103"/>
          </w:rPr>
          <w:t>r</w:t>
        </w:r>
        <w:r>
          <w:rPr>
            <w:color w:val="231F20"/>
            <w:spacing w:val="1"/>
            <w:w w:val="94"/>
          </w:rPr>
          <w:t>a</w:t>
        </w:r>
        <w:r>
          <w:rPr>
            <w:color w:val="231F20"/>
            <w:spacing w:val="1"/>
            <w:w w:val="96"/>
          </w:rPr>
          <w:t>e</w:t>
        </w:r>
        <w:r>
          <w:rPr>
            <w:color w:val="231F20"/>
            <w:w w:val="90"/>
          </w:rPr>
          <w:t>.</w:t>
        </w:r>
        <w:r>
          <w:rPr>
            <w:color w:val="231F20"/>
            <w:spacing w:val="1"/>
            <w:w w:val="96"/>
          </w:rPr>
          <w:t>e</w:t>
        </w:r>
        <w:r>
          <w:rPr>
            <w:color w:val="231F20"/>
            <w:w w:val="96"/>
          </w:rPr>
          <w:t>s</w:t>
        </w:r>
      </w:hyperlink>
    </w:p>
    <w:p>
      <w:pPr>
        <w:spacing w:line="244" w:lineRule="auto" w:before="8"/>
        <w:ind w:left="833" w:right="104" w:hanging="720"/>
        <w:jc w:val="left"/>
        <w:rPr>
          <w:sz w:val="21"/>
        </w:rPr>
      </w:pPr>
      <w:r>
        <w:rPr>
          <w:color w:val="231F20"/>
          <w:sz w:val="21"/>
        </w:rPr>
        <w:t>Flores-Crespo,</w:t>
      </w:r>
      <w:r>
        <w:rPr>
          <w:color w:val="231F20"/>
          <w:spacing w:val="-20"/>
          <w:sz w:val="21"/>
        </w:rPr>
        <w:t> </w:t>
      </w:r>
      <w:r>
        <w:rPr>
          <w:color w:val="231F20"/>
          <w:sz w:val="21"/>
        </w:rPr>
        <w:t>Pedro</w:t>
      </w:r>
      <w:r>
        <w:rPr>
          <w:color w:val="231F20"/>
          <w:spacing w:val="-19"/>
          <w:sz w:val="21"/>
        </w:rPr>
        <w:t> </w:t>
      </w:r>
      <w:r>
        <w:rPr>
          <w:color w:val="231F20"/>
          <w:sz w:val="21"/>
        </w:rPr>
        <w:t>y</w:t>
      </w:r>
      <w:r>
        <w:rPr>
          <w:color w:val="231F20"/>
          <w:spacing w:val="-19"/>
          <w:sz w:val="21"/>
        </w:rPr>
        <w:t> </w:t>
      </w:r>
      <w:r>
        <w:rPr>
          <w:color w:val="231F20"/>
          <w:sz w:val="21"/>
        </w:rPr>
        <w:t>Barrón,</w:t>
      </w:r>
      <w:r>
        <w:rPr>
          <w:color w:val="231F20"/>
          <w:spacing w:val="-20"/>
          <w:sz w:val="21"/>
        </w:rPr>
        <w:t> </w:t>
      </w:r>
      <w:r>
        <w:rPr>
          <w:color w:val="231F20"/>
          <w:sz w:val="21"/>
        </w:rPr>
        <w:t>Juan</w:t>
      </w:r>
      <w:r>
        <w:rPr>
          <w:color w:val="231F20"/>
          <w:spacing w:val="-19"/>
          <w:sz w:val="21"/>
        </w:rPr>
        <w:t> </w:t>
      </w:r>
      <w:r>
        <w:rPr>
          <w:color w:val="231F20"/>
          <w:sz w:val="21"/>
        </w:rPr>
        <w:t>Carlos.</w:t>
      </w:r>
      <w:r>
        <w:rPr>
          <w:color w:val="231F20"/>
          <w:spacing w:val="-20"/>
          <w:sz w:val="21"/>
        </w:rPr>
        <w:t> </w:t>
      </w:r>
      <w:r>
        <w:rPr>
          <w:color w:val="231F20"/>
          <w:sz w:val="21"/>
        </w:rPr>
        <w:t>(2006).</w:t>
      </w:r>
      <w:r>
        <w:rPr>
          <w:color w:val="231F20"/>
          <w:spacing w:val="-20"/>
          <w:sz w:val="21"/>
        </w:rPr>
        <w:t> </w:t>
      </w:r>
      <w:r>
        <w:rPr>
          <w:i/>
          <w:color w:val="231F20"/>
          <w:sz w:val="21"/>
        </w:rPr>
        <w:t>El</w:t>
      </w:r>
      <w:r>
        <w:rPr>
          <w:i/>
          <w:color w:val="231F20"/>
          <w:spacing w:val="-20"/>
          <w:sz w:val="21"/>
        </w:rPr>
        <w:t> </w:t>
      </w:r>
      <w:r>
        <w:rPr>
          <w:i/>
          <w:color w:val="231F20"/>
          <w:sz w:val="21"/>
        </w:rPr>
        <w:t>programa</w:t>
      </w:r>
      <w:r>
        <w:rPr>
          <w:i/>
          <w:color w:val="231F20"/>
          <w:spacing w:val="-19"/>
          <w:sz w:val="21"/>
        </w:rPr>
        <w:t> </w:t>
      </w:r>
      <w:r>
        <w:rPr>
          <w:i/>
          <w:color w:val="231F20"/>
          <w:sz w:val="21"/>
        </w:rPr>
        <w:t>de </w:t>
      </w:r>
      <w:r>
        <w:rPr>
          <w:i/>
          <w:color w:val="231F20"/>
          <w:w w:val="85"/>
          <w:sz w:val="21"/>
        </w:rPr>
        <w:t>apoyo</w:t>
      </w:r>
      <w:r>
        <w:rPr>
          <w:i/>
          <w:color w:val="231F20"/>
          <w:spacing w:val="-14"/>
          <w:w w:val="85"/>
          <w:sz w:val="21"/>
        </w:rPr>
        <w:t> </w:t>
      </w:r>
      <w:r>
        <w:rPr>
          <w:i/>
          <w:color w:val="231F20"/>
          <w:w w:val="85"/>
          <w:sz w:val="21"/>
        </w:rPr>
        <w:t>a</w:t>
      </w:r>
      <w:r>
        <w:rPr>
          <w:i/>
          <w:color w:val="231F20"/>
          <w:spacing w:val="-14"/>
          <w:w w:val="85"/>
          <w:sz w:val="21"/>
        </w:rPr>
        <w:t> </w:t>
      </w:r>
      <w:r>
        <w:rPr>
          <w:i/>
          <w:color w:val="231F20"/>
          <w:w w:val="85"/>
          <w:sz w:val="21"/>
        </w:rPr>
        <w:t>estudiantes</w:t>
      </w:r>
      <w:r>
        <w:rPr>
          <w:i/>
          <w:color w:val="231F20"/>
          <w:spacing w:val="-14"/>
          <w:w w:val="85"/>
          <w:sz w:val="21"/>
        </w:rPr>
        <w:t> </w:t>
      </w:r>
      <w:r>
        <w:rPr>
          <w:i/>
          <w:color w:val="231F20"/>
          <w:w w:val="85"/>
          <w:sz w:val="21"/>
        </w:rPr>
        <w:t>indígenas</w:t>
      </w:r>
      <w:r>
        <w:rPr>
          <w:i/>
          <w:color w:val="231F20"/>
          <w:spacing w:val="-14"/>
          <w:w w:val="85"/>
          <w:sz w:val="21"/>
        </w:rPr>
        <w:t> </w:t>
      </w:r>
      <w:r>
        <w:rPr>
          <w:i/>
          <w:color w:val="231F20"/>
          <w:w w:val="85"/>
          <w:sz w:val="21"/>
        </w:rPr>
        <w:t>¿nivelador</w:t>
      </w:r>
      <w:r>
        <w:rPr>
          <w:i/>
          <w:color w:val="231F20"/>
          <w:spacing w:val="-14"/>
          <w:w w:val="85"/>
          <w:sz w:val="21"/>
        </w:rPr>
        <w:t> </w:t>
      </w:r>
      <w:r>
        <w:rPr>
          <w:i/>
          <w:color w:val="231F20"/>
          <w:w w:val="85"/>
          <w:sz w:val="21"/>
        </w:rPr>
        <w:t>académico</w:t>
      </w:r>
      <w:r>
        <w:rPr>
          <w:i/>
          <w:color w:val="231F20"/>
          <w:spacing w:val="-14"/>
          <w:w w:val="85"/>
          <w:sz w:val="21"/>
        </w:rPr>
        <w:t> </w:t>
      </w:r>
      <w:r>
        <w:rPr>
          <w:i/>
          <w:color w:val="231F20"/>
          <w:w w:val="85"/>
          <w:sz w:val="21"/>
        </w:rPr>
        <w:t>o</w:t>
      </w:r>
      <w:r>
        <w:rPr>
          <w:i/>
          <w:color w:val="231F20"/>
          <w:spacing w:val="-14"/>
          <w:w w:val="85"/>
          <w:sz w:val="21"/>
        </w:rPr>
        <w:t> </w:t>
      </w:r>
      <w:r>
        <w:rPr>
          <w:i/>
          <w:color w:val="231F20"/>
          <w:w w:val="85"/>
          <w:sz w:val="21"/>
        </w:rPr>
        <w:t>impulsor</w:t>
      </w:r>
      <w:r>
        <w:rPr>
          <w:i/>
          <w:color w:val="231F20"/>
          <w:spacing w:val="-14"/>
          <w:w w:val="85"/>
          <w:sz w:val="21"/>
        </w:rPr>
        <w:t> </w:t>
      </w:r>
      <w:r>
        <w:rPr>
          <w:i/>
          <w:color w:val="231F20"/>
          <w:w w:val="85"/>
          <w:sz w:val="21"/>
        </w:rPr>
        <w:t>de</w:t>
      </w:r>
      <w:r>
        <w:rPr>
          <w:i/>
          <w:color w:val="231F20"/>
          <w:spacing w:val="-14"/>
          <w:w w:val="85"/>
          <w:sz w:val="21"/>
        </w:rPr>
        <w:t> </w:t>
      </w:r>
      <w:r>
        <w:rPr>
          <w:i/>
          <w:color w:val="231F20"/>
          <w:w w:val="85"/>
          <w:sz w:val="21"/>
        </w:rPr>
        <w:t>la </w:t>
      </w:r>
      <w:r>
        <w:rPr>
          <w:i/>
          <w:color w:val="231F20"/>
          <w:sz w:val="21"/>
        </w:rPr>
        <w:t>interculturalidad? </w:t>
      </w:r>
      <w:r>
        <w:rPr>
          <w:color w:val="231F20"/>
          <w:sz w:val="21"/>
        </w:rPr>
        <w:t>ANUIES, Colección Biblioteca de la educación superior.</w:t>
      </w:r>
      <w:r>
        <w:rPr>
          <w:color w:val="231F20"/>
          <w:spacing w:val="-8"/>
          <w:sz w:val="21"/>
        </w:rPr>
        <w:t> </w:t>
      </w:r>
      <w:r>
        <w:rPr>
          <w:color w:val="231F20"/>
          <w:sz w:val="21"/>
        </w:rPr>
        <w:t>México.</w:t>
      </w:r>
    </w:p>
    <w:p>
      <w:pPr>
        <w:spacing w:line="242" w:lineRule="auto" w:before="3"/>
        <w:ind w:left="833" w:right="104" w:hanging="721"/>
        <w:jc w:val="left"/>
        <w:rPr>
          <w:sz w:val="21"/>
        </w:rPr>
      </w:pPr>
      <w:r>
        <w:rPr>
          <w:color w:val="231F20"/>
          <w:w w:val="90"/>
          <w:sz w:val="21"/>
        </w:rPr>
        <w:t>Kymlinka, Will. (1996). </w:t>
      </w:r>
      <w:r>
        <w:rPr>
          <w:i/>
          <w:color w:val="231F20"/>
          <w:w w:val="90"/>
          <w:sz w:val="21"/>
        </w:rPr>
        <w:t>Ciudadanía multicultural. Una teoría liberal a los </w:t>
      </w:r>
      <w:r>
        <w:rPr>
          <w:i/>
          <w:color w:val="231F20"/>
          <w:w w:val="90"/>
          <w:sz w:val="21"/>
        </w:rPr>
        <w:t>derechos de las minorías. </w:t>
      </w:r>
      <w:r>
        <w:rPr>
          <w:color w:val="231F20"/>
          <w:w w:val="90"/>
          <w:sz w:val="21"/>
        </w:rPr>
        <w:t>Barcelona: Paidós.</w:t>
      </w:r>
    </w:p>
    <w:p>
      <w:pPr>
        <w:pStyle w:val="BodyText"/>
        <w:spacing w:line="247" w:lineRule="auto" w:before="6"/>
        <w:ind w:left="833" w:right="104" w:hanging="720"/>
      </w:pPr>
      <w:r>
        <w:rPr>
          <w:color w:val="231F20"/>
        </w:rPr>
        <w:t>Mac an Ghaill, Máirtín. (1995). Más allá de la norma blanca. El uso de métodos cualitativos en el estudio de la escolaridad de la juventud negra en Inglaterra. </w:t>
      </w:r>
      <w:r>
        <w:rPr>
          <w:i/>
          <w:color w:val="231F20"/>
        </w:rPr>
        <w:t>Género,cultura y etnia en la </w:t>
      </w:r>
      <w:r>
        <w:rPr>
          <w:i/>
          <w:color w:val="231F20"/>
          <w:w w:val="74"/>
        </w:rPr>
        <w:t>escu</w:t>
      </w:r>
      <w:r>
        <w:rPr>
          <w:i/>
          <w:color w:val="231F20"/>
          <w:w w:val="72"/>
        </w:rPr>
        <w:t>el</w:t>
      </w:r>
      <w:r>
        <w:rPr>
          <w:i/>
          <w:color w:val="231F20"/>
          <w:w w:val="83"/>
        </w:rPr>
        <w:t>a</w:t>
      </w:r>
      <w:r>
        <w:rPr>
          <w:i/>
          <w:color w:val="231F20"/>
          <w:w w:val="90"/>
        </w:rPr>
        <w:t>.</w:t>
      </w:r>
      <w:r>
        <w:rPr>
          <w:i/>
          <w:color w:val="231F20"/>
        </w:rPr>
        <w:t> </w:t>
      </w:r>
      <w:r>
        <w:rPr>
          <w:color w:val="231F20"/>
          <w:w w:val="110"/>
        </w:rPr>
        <w:t>E</w:t>
      </w:r>
      <w:r>
        <w:rPr>
          <w:color w:val="231F20"/>
          <w:w w:val="96"/>
        </w:rPr>
        <w:t>s</w:t>
      </w:r>
      <w:r>
        <w:rPr>
          <w:color w:val="231F20"/>
          <w:w w:val="104"/>
        </w:rPr>
        <w:t>p</w:t>
      </w:r>
      <w:r>
        <w:rPr>
          <w:color w:val="231F20"/>
          <w:w w:val="99"/>
        </w:rPr>
        <w:t>añ</w:t>
      </w:r>
      <w:r>
        <w:rPr>
          <w:color w:val="231F20"/>
          <w:w w:val="89"/>
        </w:rPr>
        <w:t>a:</w:t>
      </w:r>
      <w:r>
        <w:rPr>
          <w:color w:val="231F20"/>
        </w:rPr>
        <w:t> </w:t>
      </w:r>
      <w:r>
        <w:rPr>
          <w:color w:val="231F20"/>
          <w:w w:val="104"/>
        </w:rPr>
        <w:t>P</w:t>
      </w:r>
      <w:r>
        <w:rPr>
          <w:color w:val="231F20"/>
          <w:w w:val="90"/>
        </w:rPr>
        <w:t>ai</w:t>
      </w:r>
      <w:r>
        <w:rPr>
          <w:color w:val="231F20"/>
          <w:w w:val="102"/>
        </w:rPr>
        <w:t>d</w:t>
      </w:r>
      <w:r>
        <w:rPr>
          <w:color w:val="231F20"/>
          <w:w w:val="104"/>
        </w:rPr>
        <w:t>ó</w:t>
      </w:r>
      <w:r>
        <w:rPr>
          <w:color w:val="231F20"/>
          <w:w w:val="96"/>
        </w:rPr>
        <w:t>s</w:t>
      </w:r>
      <w:r>
        <w:rPr>
          <w:color w:val="231F20"/>
          <w:w w:val="185"/>
        </w:rPr>
        <w:t>/</w:t>
      </w:r>
      <w:r>
        <w:rPr>
          <w:color w:val="231F20"/>
          <w:w w:val="96"/>
        </w:rPr>
        <w:t>M</w:t>
      </w:r>
      <w:r>
        <w:rPr>
          <w:color w:val="231F20"/>
          <w:w w:val="84"/>
        </w:rPr>
        <w:t>i</w:t>
      </w:r>
      <w:r>
        <w:rPr>
          <w:color w:val="231F20"/>
          <w:w w:val="104"/>
        </w:rPr>
        <w:t>n</w:t>
      </w:r>
      <w:r>
        <w:rPr>
          <w:color w:val="231F20"/>
          <w:w w:val="84"/>
        </w:rPr>
        <w:t>i</w:t>
      </w:r>
      <w:r>
        <w:rPr>
          <w:color w:val="231F20"/>
          <w:w w:val="101"/>
        </w:rPr>
        <w:t>st</w:t>
      </w:r>
      <w:r>
        <w:rPr>
          <w:color w:val="231F20"/>
          <w:w w:val="95"/>
        </w:rPr>
        <w:t>eri</w:t>
      </w:r>
      <w:r>
        <w:rPr>
          <w:color w:val="231F20"/>
          <w:w w:val="104"/>
        </w:rPr>
        <w:t>o</w:t>
      </w:r>
      <w:r>
        <w:rPr>
          <w:color w:val="231F20"/>
        </w:rPr>
        <w:t> </w:t>
      </w:r>
      <w:r>
        <w:rPr>
          <w:color w:val="231F20"/>
          <w:w w:val="102"/>
        </w:rPr>
        <w:t>d</w:t>
      </w:r>
      <w:r>
        <w:rPr>
          <w:color w:val="231F20"/>
          <w:w w:val="96"/>
        </w:rPr>
        <w:t>e</w:t>
      </w:r>
      <w:r>
        <w:rPr>
          <w:color w:val="231F20"/>
        </w:rPr>
        <w:t> </w:t>
      </w:r>
      <w:r>
        <w:rPr>
          <w:color w:val="231F20"/>
          <w:w w:val="110"/>
        </w:rPr>
        <w:t>E</w:t>
      </w:r>
      <w:r>
        <w:rPr>
          <w:color w:val="231F20"/>
          <w:w w:val="102"/>
        </w:rPr>
        <w:t>d</w:t>
      </w:r>
      <w:r>
        <w:rPr>
          <w:color w:val="231F20"/>
          <w:w w:val="100"/>
        </w:rPr>
        <w:t>u</w:t>
      </w:r>
      <w:r>
        <w:rPr>
          <w:color w:val="231F20"/>
          <w:w w:val="95"/>
        </w:rPr>
        <w:t>ca</w:t>
      </w:r>
      <w:r>
        <w:rPr>
          <w:color w:val="231F20"/>
          <w:w w:val="92"/>
        </w:rPr>
        <w:t>ci</w:t>
      </w:r>
      <w:r>
        <w:rPr>
          <w:color w:val="231F20"/>
          <w:w w:val="104"/>
        </w:rPr>
        <w:t>ón</w:t>
      </w:r>
      <w:r>
        <w:rPr>
          <w:color w:val="231F20"/>
        </w:rPr>
        <w:t> </w:t>
      </w:r>
      <w:r>
        <w:rPr>
          <w:color w:val="231F20"/>
          <w:w w:val="85"/>
        </w:rPr>
        <w:t>y</w:t>
      </w:r>
      <w:r>
        <w:rPr>
          <w:color w:val="231F20"/>
        </w:rPr>
        <w:t> </w:t>
      </w:r>
      <w:r>
        <w:rPr>
          <w:color w:val="231F20"/>
          <w:w w:val="97"/>
        </w:rPr>
        <w:t>C</w:t>
      </w:r>
      <w:r>
        <w:rPr>
          <w:color w:val="231F20"/>
          <w:w w:val="84"/>
        </w:rPr>
        <w:t>i</w:t>
      </w:r>
      <w:r>
        <w:rPr>
          <w:color w:val="231F20"/>
          <w:w w:val="100"/>
        </w:rPr>
        <w:t>en</w:t>
      </w:r>
      <w:r>
        <w:rPr>
          <w:color w:val="231F20"/>
          <w:w w:val="92"/>
        </w:rPr>
        <w:t>ci</w:t>
      </w:r>
      <w:r>
        <w:rPr>
          <w:color w:val="231F20"/>
          <w:w w:val="94"/>
        </w:rPr>
        <w:t>a</w:t>
      </w:r>
      <w:r>
        <w:rPr>
          <w:color w:val="231F20"/>
          <w:w w:val="90"/>
        </w:rPr>
        <w:t>.</w:t>
      </w:r>
    </w:p>
    <w:p>
      <w:pPr>
        <w:spacing w:line="247" w:lineRule="auto" w:before="0"/>
        <w:ind w:left="822" w:right="240" w:hanging="709"/>
        <w:jc w:val="left"/>
        <w:rPr>
          <w:sz w:val="24"/>
        </w:rPr>
      </w:pPr>
      <w:r>
        <w:rPr>
          <w:color w:val="231F20"/>
          <w:sz w:val="21"/>
        </w:rPr>
        <w:t>Marchant, Jaime. “Ensayo sobre la discriminación y el derecho a la igualdad”, Chile. </w:t>
      </w:r>
      <w:r>
        <w:rPr>
          <w:color w:val="231F20"/>
          <w:sz w:val="24"/>
        </w:rPr>
        <w:t>Programa de Apoyo a Estudiantes Indígenas en instituciones de educación superior.</w:t>
      </w:r>
    </w:p>
    <w:p>
      <w:pPr>
        <w:pStyle w:val="Heading1"/>
        <w:spacing w:line="237" w:lineRule="auto"/>
        <w:ind w:left="822" w:right="316"/>
        <w:jc w:val="left"/>
      </w:pPr>
      <w:r>
        <w:rPr>
          <w:color w:val="231F20"/>
        </w:rPr>
        <w:t>Memorias de Experiencias. (2001). ANUIES. Recuperado </w:t>
      </w:r>
      <w:hyperlink r:id="rId755">
        <w:r>
          <w:rPr>
            <w:color w:val="231F20"/>
          </w:rPr>
          <w:t>de http://cenei.uqroo.mx/paei/paei.pdf</w:t>
        </w:r>
      </w:hyperlink>
    </w:p>
    <w:p>
      <w:pPr>
        <w:spacing w:line="242" w:lineRule="auto" w:before="0"/>
        <w:ind w:left="833" w:right="104" w:hanging="720"/>
        <w:jc w:val="left"/>
        <w:rPr>
          <w:sz w:val="21"/>
        </w:rPr>
      </w:pPr>
      <w:r>
        <w:rPr>
          <w:color w:val="231F20"/>
          <w:w w:val="90"/>
          <w:sz w:val="21"/>
        </w:rPr>
        <w:t>Rodríguez, Jesús. (2006). </w:t>
      </w:r>
      <w:r>
        <w:rPr>
          <w:i/>
          <w:color w:val="231F20"/>
          <w:w w:val="90"/>
          <w:sz w:val="21"/>
        </w:rPr>
        <w:t>Un marco teórico para la discriminación</w:t>
      </w:r>
      <w:r>
        <w:rPr>
          <w:color w:val="231F20"/>
          <w:w w:val="90"/>
          <w:sz w:val="21"/>
        </w:rPr>
        <w:t>. </w:t>
      </w:r>
      <w:r>
        <w:rPr>
          <w:color w:val="231F20"/>
          <w:sz w:val="21"/>
        </w:rPr>
        <w:t>Colección Estudios. </w:t>
      </w:r>
      <w:r>
        <w:rPr>
          <w:i/>
          <w:color w:val="231F20"/>
          <w:sz w:val="21"/>
        </w:rPr>
        <w:t>2</w:t>
      </w:r>
      <w:r>
        <w:rPr>
          <w:color w:val="231F20"/>
          <w:sz w:val="21"/>
        </w:rPr>
        <w:t>. México DF:  CONAPRED.</w:t>
      </w:r>
    </w:p>
    <w:p>
      <w:pPr>
        <w:spacing w:after="0" w:line="242" w:lineRule="auto"/>
        <w:jc w:val="left"/>
        <w:rPr>
          <w:sz w:val="21"/>
        </w:rPr>
        <w:sectPr>
          <w:headerReference w:type="default" r:id="rId749"/>
          <w:footerReference w:type="default" r:id="rId750"/>
          <w:pgSz w:w="7830" w:h="11910"/>
          <w:pgMar w:header="0" w:footer="424" w:top="500" w:bottom="620" w:left="880" w:right="920"/>
          <w:pgNumType w:start="337"/>
        </w:sectPr>
      </w:pPr>
    </w:p>
    <w:p>
      <w:pPr>
        <w:spacing w:before="46"/>
        <w:ind w:left="610"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4" w:lineRule="auto"/>
        <w:ind w:left="822" w:right="116" w:hanging="720"/>
      </w:pPr>
      <w:r>
        <w:rPr>
          <w:color w:val="231F20"/>
        </w:rPr>
        <w:t>Stavenhagen, Rodolfo. (2001). El derecho de sobrevivencia: la lucha de los pueblos indígenas en América Latina contra el </w:t>
      </w:r>
      <w:r>
        <w:rPr>
          <w:color w:val="231F20"/>
          <w:spacing w:val="2"/>
        </w:rPr>
        <w:t>ra- </w:t>
      </w:r>
      <w:r>
        <w:rPr>
          <w:color w:val="231F20"/>
          <w:w w:val="95"/>
        </w:rPr>
        <w:t>cismo</w:t>
      </w:r>
      <w:r>
        <w:rPr>
          <w:color w:val="231F20"/>
          <w:spacing w:val="-11"/>
          <w:w w:val="95"/>
        </w:rPr>
        <w:t> </w:t>
      </w:r>
      <w:r>
        <w:rPr>
          <w:color w:val="231F20"/>
          <w:w w:val="95"/>
        </w:rPr>
        <w:t>y</w:t>
      </w:r>
      <w:r>
        <w:rPr>
          <w:color w:val="231F20"/>
          <w:spacing w:val="-11"/>
          <w:w w:val="95"/>
        </w:rPr>
        <w:t> </w:t>
      </w:r>
      <w:r>
        <w:rPr>
          <w:color w:val="231F20"/>
          <w:w w:val="95"/>
        </w:rPr>
        <w:t>la</w:t>
      </w:r>
      <w:r>
        <w:rPr>
          <w:color w:val="231F20"/>
          <w:spacing w:val="-11"/>
          <w:w w:val="95"/>
        </w:rPr>
        <w:t> </w:t>
      </w:r>
      <w:r>
        <w:rPr>
          <w:color w:val="231F20"/>
          <w:w w:val="95"/>
        </w:rPr>
        <w:t>discriminación,</w:t>
      </w:r>
      <w:r>
        <w:rPr>
          <w:color w:val="231F20"/>
          <w:spacing w:val="-11"/>
          <w:w w:val="95"/>
        </w:rPr>
        <w:t> </w:t>
      </w:r>
      <w:r>
        <w:rPr>
          <w:color w:val="231F20"/>
          <w:w w:val="95"/>
        </w:rPr>
        <w:t>en</w:t>
      </w:r>
      <w:r>
        <w:rPr>
          <w:color w:val="231F20"/>
          <w:spacing w:val="-11"/>
          <w:w w:val="95"/>
        </w:rPr>
        <w:t> </w:t>
      </w:r>
      <w:r>
        <w:rPr>
          <w:i/>
          <w:color w:val="231F20"/>
          <w:w w:val="95"/>
        </w:rPr>
        <w:t>Reunión</w:t>
      </w:r>
      <w:r>
        <w:rPr>
          <w:i/>
          <w:color w:val="231F20"/>
          <w:spacing w:val="-11"/>
          <w:w w:val="95"/>
        </w:rPr>
        <w:t> </w:t>
      </w:r>
      <w:r>
        <w:rPr>
          <w:i/>
          <w:color w:val="231F20"/>
          <w:w w:val="95"/>
        </w:rPr>
        <w:t>de</w:t>
      </w:r>
      <w:r>
        <w:rPr>
          <w:i/>
          <w:color w:val="231F20"/>
          <w:spacing w:val="-11"/>
          <w:w w:val="95"/>
        </w:rPr>
        <w:t> </w:t>
      </w:r>
      <w:r>
        <w:rPr>
          <w:i/>
          <w:color w:val="231F20"/>
          <w:w w:val="95"/>
        </w:rPr>
        <w:t>Expertas</w:t>
      </w:r>
      <w:r>
        <w:rPr>
          <w:i/>
          <w:color w:val="231F20"/>
          <w:spacing w:val="-11"/>
          <w:w w:val="95"/>
        </w:rPr>
        <w:t> </w:t>
      </w:r>
      <w:r>
        <w:rPr>
          <w:i/>
          <w:color w:val="231F20"/>
          <w:w w:val="95"/>
        </w:rPr>
        <w:t>sobre</w:t>
      </w:r>
      <w:r>
        <w:rPr>
          <w:i/>
          <w:color w:val="231F20"/>
          <w:spacing w:val="-11"/>
          <w:w w:val="95"/>
        </w:rPr>
        <w:t> </w:t>
      </w:r>
      <w:r>
        <w:rPr>
          <w:i/>
          <w:color w:val="231F20"/>
          <w:w w:val="95"/>
        </w:rPr>
        <w:t>Racis- </w:t>
      </w:r>
      <w:r>
        <w:rPr>
          <w:i/>
          <w:color w:val="231F20"/>
        </w:rPr>
        <w:t>mo</w:t>
      </w:r>
      <w:r>
        <w:rPr>
          <w:i/>
          <w:color w:val="231F20"/>
          <w:spacing w:val="-14"/>
        </w:rPr>
        <w:t> </w:t>
      </w:r>
      <w:r>
        <w:rPr>
          <w:i/>
          <w:color w:val="231F20"/>
        </w:rPr>
        <w:t>y</w:t>
      </w:r>
      <w:r>
        <w:rPr>
          <w:i/>
          <w:color w:val="231F20"/>
          <w:spacing w:val="-14"/>
        </w:rPr>
        <w:t> </w:t>
      </w:r>
      <w:r>
        <w:rPr>
          <w:i/>
          <w:color w:val="231F20"/>
        </w:rPr>
        <w:t>Género</w:t>
      </w:r>
      <w:r>
        <w:rPr>
          <w:color w:val="231F20"/>
        </w:rPr>
        <w:t>.</w:t>
      </w:r>
      <w:r>
        <w:rPr>
          <w:color w:val="231F20"/>
          <w:spacing w:val="-14"/>
        </w:rPr>
        <w:t> </w:t>
      </w:r>
      <w:r>
        <w:rPr>
          <w:color w:val="231F20"/>
        </w:rPr>
        <w:t>Santiago</w:t>
      </w:r>
      <w:r>
        <w:rPr>
          <w:color w:val="231F20"/>
          <w:spacing w:val="-14"/>
        </w:rPr>
        <w:t> </w:t>
      </w:r>
      <w:r>
        <w:rPr>
          <w:color w:val="231F20"/>
        </w:rPr>
        <w:t>de</w:t>
      </w:r>
      <w:r>
        <w:rPr>
          <w:color w:val="231F20"/>
          <w:spacing w:val="-14"/>
        </w:rPr>
        <w:t> </w:t>
      </w:r>
      <w:r>
        <w:rPr>
          <w:color w:val="231F20"/>
        </w:rPr>
        <w:t>Chile,</w:t>
      </w:r>
      <w:r>
        <w:rPr>
          <w:color w:val="231F20"/>
          <w:spacing w:val="-14"/>
        </w:rPr>
        <w:t> </w:t>
      </w:r>
      <w:r>
        <w:rPr>
          <w:color w:val="231F20"/>
        </w:rPr>
        <w:t>4</w:t>
      </w:r>
      <w:r>
        <w:rPr>
          <w:color w:val="231F20"/>
          <w:spacing w:val="-14"/>
        </w:rPr>
        <w:t> </w:t>
      </w:r>
      <w:r>
        <w:rPr>
          <w:color w:val="231F20"/>
        </w:rPr>
        <w:t>y</w:t>
      </w:r>
      <w:r>
        <w:rPr>
          <w:color w:val="231F20"/>
          <w:spacing w:val="-14"/>
        </w:rPr>
        <w:t> </w:t>
      </w:r>
      <w:r>
        <w:rPr>
          <w:color w:val="231F20"/>
        </w:rPr>
        <w:t>5</w:t>
      </w:r>
      <w:r>
        <w:rPr>
          <w:color w:val="231F20"/>
          <w:spacing w:val="-14"/>
        </w:rPr>
        <w:t> </w:t>
      </w:r>
      <w:r>
        <w:rPr>
          <w:color w:val="231F20"/>
        </w:rPr>
        <w:t>de</w:t>
      </w:r>
      <w:r>
        <w:rPr>
          <w:color w:val="231F20"/>
          <w:spacing w:val="-14"/>
        </w:rPr>
        <w:t> </w:t>
      </w:r>
      <w:r>
        <w:rPr>
          <w:color w:val="231F20"/>
        </w:rPr>
        <w:t>junio</w:t>
      </w:r>
      <w:r>
        <w:rPr>
          <w:color w:val="231F20"/>
          <w:spacing w:val="-14"/>
        </w:rPr>
        <w:t> </w:t>
      </w:r>
      <w:r>
        <w:rPr>
          <w:color w:val="231F20"/>
        </w:rPr>
        <w:t>de</w:t>
      </w:r>
      <w:r>
        <w:rPr>
          <w:color w:val="231F20"/>
          <w:spacing w:val="-14"/>
        </w:rPr>
        <w:t> </w:t>
      </w:r>
      <w:r>
        <w:rPr>
          <w:color w:val="231F20"/>
        </w:rPr>
        <w:t>2001.</w:t>
      </w:r>
      <w:r>
        <w:rPr>
          <w:color w:val="231F20"/>
          <w:spacing w:val="-14"/>
        </w:rPr>
        <w:t> </w:t>
      </w:r>
      <w:r>
        <w:rPr>
          <w:color w:val="231F20"/>
        </w:rPr>
        <w:t>San- tiago de Chile, Comisión Económica para América Latina y el Caribe/ Instituto Interamericano de Derechos Humanos, en </w:t>
      </w:r>
      <w:hyperlink r:id="rId758">
        <w:r>
          <w:rPr>
            <w:color w:val="231F20"/>
            <w:spacing w:val="2"/>
            <w:w w:val="104"/>
          </w:rPr>
          <w:t>h</w:t>
        </w:r>
        <w:r>
          <w:rPr>
            <w:color w:val="231F20"/>
            <w:spacing w:val="1"/>
            <w:w w:val="107"/>
          </w:rPr>
          <w:t>tt</w:t>
        </w:r>
        <w:r>
          <w:rPr>
            <w:color w:val="231F20"/>
            <w:spacing w:val="2"/>
            <w:w w:val="104"/>
          </w:rPr>
          <w:t>p</w:t>
        </w:r>
        <w:r>
          <w:rPr>
            <w:color w:val="231F20"/>
            <w:w w:val="133"/>
          </w:rPr>
          <w:t>:</w:t>
        </w:r>
        <w:r>
          <w:rPr>
            <w:color w:val="231F20"/>
            <w:spacing w:val="2"/>
            <w:w w:val="133"/>
          </w:rPr>
          <w:t>/</w:t>
        </w:r>
        <w:r>
          <w:rPr>
            <w:color w:val="231F20"/>
            <w:spacing w:val="2"/>
            <w:w w:val="185"/>
          </w:rPr>
          <w:t>/</w:t>
        </w:r>
        <w:r>
          <w:rPr>
            <w:color w:val="231F20"/>
            <w:spacing w:val="2"/>
            <w:w w:val="94"/>
          </w:rPr>
          <w:t>www</w:t>
        </w:r>
        <w:r>
          <w:rPr>
            <w:color w:val="231F20"/>
            <w:w w:val="94"/>
          </w:rPr>
          <w:t>.</w:t>
        </w:r>
        <w:r>
          <w:rPr>
            <w:color w:val="231F20"/>
            <w:spacing w:val="1"/>
            <w:w w:val="94"/>
          </w:rPr>
          <w:t>c</w:t>
        </w:r>
        <w:r>
          <w:rPr>
            <w:color w:val="231F20"/>
            <w:spacing w:val="1"/>
            <w:w w:val="96"/>
          </w:rPr>
          <w:t>e</w:t>
        </w:r>
        <w:r>
          <w:rPr>
            <w:color w:val="231F20"/>
            <w:spacing w:val="2"/>
            <w:w w:val="104"/>
          </w:rPr>
          <w:t>p</w:t>
        </w:r>
        <w:r>
          <w:rPr>
            <w:color w:val="231F20"/>
            <w:spacing w:val="1"/>
            <w:w w:val="94"/>
          </w:rPr>
          <w:t>a</w:t>
        </w:r>
        <w:r>
          <w:rPr>
            <w:color w:val="231F20"/>
            <w:w w:val="95"/>
          </w:rPr>
          <w:t>l.</w:t>
        </w:r>
        <w:r>
          <w:rPr>
            <w:color w:val="231F20"/>
            <w:spacing w:val="2"/>
            <w:w w:val="95"/>
          </w:rPr>
          <w:t>o</w:t>
        </w:r>
        <w:r>
          <w:rPr>
            <w:color w:val="231F20"/>
            <w:spacing w:val="1"/>
            <w:w w:val="103"/>
          </w:rPr>
          <w:t>r</w:t>
        </w:r>
        <w:r>
          <w:rPr>
            <w:color w:val="231F20"/>
            <w:spacing w:val="1"/>
            <w:w w:val="92"/>
          </w:rPr>
          <w:t>g</w:t>
        </w:r>
        <w:r>
          <w:rPr>
            <w:color w:val="231F20"/>
            <w:spacing w:val="2"/>
            <w:w w:val="185"/>
          </w:rPr>
          <w:t>/</w:t>
        </w:r>
        <w:r>
          <w:rPr>
            <w:color w:val="231F20"/>
            <w:spacing w:val="3"/>
            <w:w w:val="101"/>
          </w:rPr>
          <w:t>m</w:t>
        </w:r>
        <w:r>
          <w:rPr>
            <w:color w:val="231F20"/>
            <w:spacing w:val="1"/>
            <w:w w:val="100"/>
          </w:rPr>
          <w:t>u</w:t>
        </w:r>
        <w:r>
          <w:rPr>
            <w:color w:val="231F20"/>
            <w:w w:val="92"/>
          </w:rPr>
          <w:t>j</w:t>
        </w:r>
        <w:r>
          <w:rPr>
            <w:color w:val="231F20"/>
            <w:spacing w:val="1"/>
            <w:w w:val="92"/>
          </w:rPr>
          <w:t>e</w:t>
        </w:r>
        <w:r>
          <w:rPr>
            <w:color w:val="231F20"/>
            <w:spacing w:val="1"/>
            <w:w w:val="103"/>
          </w:rPr>
          <w:t>r</w:t>
        </w:r>
        <w:r>
          <w:rPr>
            <w:color w:val="231F20"/>
            <w:spacing w:val="2"/>
            <w:w w:val="185"/>
          </w:rPr>
          <w:t>/</w:t>
        </w:r>
        <w:r>
          <w:rPr>
            <w:color w:val="231F20"/>
            <w:spacing w:val="2"/>
            <w:w w:val="104"/>
          </w:rPr>
          <w:t>p</w:t>
        </w:r>
        <w:r>
          <w:rPr>
            <w:color w:val="231F20"/>
            <w:spacing w:val="1"/>
            <w:w w:val="100"/>
          </w:rPr>
          <w:t>u</w:t>
        </w:r>
        <w:r>
          <w:rPr>
            <w:color w:val="231F20"/>
            <w:spacing w:val="2"/>
            <w:w w:val="104"/>
          </w:rPr>
          <w:t>b</w:t>
        </w:r>
        <w:r>
          <w:rPr>
            <w:color w:val="231F20"/>
            <w:w w:val="89"/>
          </w:rPr>
          <w:t>li</w:t>
        </w:r>
        <w:r>
          <w:rPr>
            <w:color w:val="231F20"/>
            <w:spacing w:val="1"/>
            <w:w w:val="89"/>
          </w:rPr>
          <w:t>c</w:t>
        </w:r>
        <w:r>
          <w:rPr>
            <w:color w:val="231F20"/>
            <w:spacing w:val="1"/>
            <w:w w:val="94"/>
          </w:rPr>
          <w:t>a</w:t>
        </w:r>
        <w:r>
          <w:rPr>
            <w:color w:val="231F20"/>
            <w:spacing w:val="1"/>
            <w:w w:val="96"/>
          </w:rPr>
          <w:t>c</w:t>
        </w:r>
        <w:r>
          <w:rPr>
            <w:color w:val="231F20"/>
            <w:w w:val="97"/>
          </w:rPr>
          <w:t>i</w:t>
        </w:r>
        <w:r>
          <w:rPr>
            <w:color w:val="231F20"/>
            <w:spacing w:val="2"/>
            <w:w w:val="97"/>
          </w:rPr>
          <w:t>o</w:t>
        </w:r>
        <w:r>
          <w:rPr>
            <w:color w:val="231F20"/>
            <w:spacing w:val="2"/>
            <w:w w:val="104"/>
          </w:rPr>
          <w:t>n</w:t>
        </w:r>
        <w:r>
          <w:rPr>
            <w:color w:val="231F20"/>
            <w:spacing w:val="1"/>
            <w:w w:val="96"/>
          </w:rPr>
          <w:t>e</w:t>
        </w:r>
        <w:r>
          <w:rPr>
            <w:color w:val="231F20"/>
            <w:spacing w:val="1"/>
            <w:w w:val="96"/>
          </w:rPr>
          <w:t>s</w:t>
        </w:r>
        <w:r>
          <w:rPr>
            <w:color w:val="231F20"/>
            <w:spacing w:val="2"/>
            <w:w w:val="185"/>
          </w:rPr>
          <w:t>/</w:t>
        </w:r>
        <w:r>
          <w:rPr>
            <w:color w:val="231F20"/>
            <w:spacing w:val="1"/>
            <w:w w:val="96"/>
          </w:rPr>
          <w:t>s</w:t>
        </w:r>
        <w:r>
          <w:rPr>
            <w:color w:val="231F20"/>
            <w:w w:val="97"/>
          </w:rPr>
          <w:t>i</w:t>
        </w:r>
        <w:r>
          <w:rPr>
            <w:color w:val="231F20"/>
            <w:spacing w:val="2"/>
            <w:w w:val="97"/>
          </w:rPr>
          <w:t>n</w:t>
        </w:r>
        <w:r>
          <w:rPr>
            <w:color w:val="231F20"/>
            <w:spacing w:val="1"/>
            <w:w w:val="96"/>
          </w:rPr>
          <w:t>s</w:t>
        </w:r>
        <w:r>
          <w:rPr>
            <w:color w:val="231F20"/>
            <w:w w:val="89"/>
          </w:rPr>
          <w:t>i</w:t>
        </w:r>
        <w:r>
          <w:rPr>
            <w:color w:val="231F20"/>
            <w:spacing w:val="1"/>
            <w:w w:val="89"/>
          </w:rPr>
          <w:t>g</w:t>
        </w:r>
        <w:r>
          <w:rPr>
            <w:color w:val="231F20"/>
            <w:w w:val="90"/>
          </w:rPr>
          <w:t>l</w:t>
        </w:r>
        <w:r>
          <w:rPr>
            <w:color w:val="231F20"/>
            <w:spacing w:val="1"/>
            <w:w w:val="90"/>
          </w:rPr>
          <w:t>a</w:t>
        </w:r>
        <w:r>
          <w:rPr>
            <w:color w:val="231F20"/>
            <w:spacing w:val="2"/>
            <w:w w:val="185"/>
          </w:rPr>
          <w:t>/</w:t>
        </w:r>
        <w:r>
          <w:rPr>
            <w:color w:val="231F20"/>
            <w:spacing w:val="1"/>
            <w:w w:val="94"/>
          </w:rPr>
          <w:t>x</w:t>
        </w:r>
        <w:r>
          <w:rPr>
            <w:color w:val="231F20"/>
            <w:spacing w:val="3"/>
            <w:w w:val="101"/>
          </w:rPr>
          <w:t>m</w:t>
        </w:r>
        <w:r>
          <w:rPr>
            <w:color w:val="231F20"/>
            <w:w w:val="134"/>
          </w:rPr>
          <w:t>l/</w:t>
        </w:r>
      </w:hyperlink>
      <w:r>
        <w:rPr>
          <w:color w:val="231F20"/>
          <w:w w:val="134"/>
        </w:rPr>
        <w:t> </w:t>
      </w:r>
      <w:r>
        <w:rPr>
          <w:color w:val="231F20"/>
        </w:rPr>
        <w:t>6/6826/sobrevivencia_stavenhagen.PDF, consultada el día 30 de septiembre de</w:t>
      </w:r>
      <w:r>
        <w:rPr>
          <w:color w:val="231F20"/>
          <w:spacing w:val="3"/>
        </w:rPr>
        <w:t> </w:t>
      </w:r>
      <w:r>
        <w:rPr>
          <w:color w:val="231F20"/>
        </w:rPr>
        <w:t>2011.</w:t>
      </w:r>
    </w:p>
    <w:p>
      <w:pPr>
        <w:spacing w:line="244" w:lineRule="auto" w:before="3"/>
        <w:ind w:left="810" w:right="174" w:hanging="709"/>
        <w:jc w:val="left"/>
        <w:rPr>
          <w:sz w:val="21"/>
        </w:rPr>
      </w:pPr>
      <w:r>
        <w:rPr>
          <w:color w:val="231F20"/>
          <w:w w:val="95"/>
          <w:sz w:val="21"/>
        </w:rPr>
        <w:t>Treviño,</w:t>
      </w:r>
      <w:r>
        <w:rPr>
          <w:color w:val="231F20"/>
          <w:spacing w:val="-26"/>
          <w:w w:val="95"/>
          <w:sz w:val="21"/>
        </w:rPr>
        <w:t> </w:t>
      </w:r>
      <w:r>
        <w:rPr>
          <w:color w:val="231F20"/>
          <w:w w:val="95"/>
          <w:sz w:val="21"/>
        </w:rPr>
        <w:t>Ernesto</w:t>
      </w:r>
      <w:r>
        <w:rPr>
          <w:color w:val="231F20"/>
          <w:spacing w:val="-25"/>
          <w:w w:val="95"/>
          <w:sz w:val="21"/>
        </w:rPr>
        <w:t> </w:t>
      </w:r>
      <w:r>
        <w:rPr>
          <w:color w:val="231F20"/>
          <w:w w:val="95"/>
          <w:sz w:val="21"/>
        </w:rPr>
        <w:t>(2005):</w:t>
      </w:r>
      <w:r>
        <w:rPr>
          <w:color w:val="231F20"/>
          <w:spacing w:val="-26"/>
          <w:w w:val="95"/>
          <w:sz w:val="21"/>
        </w:rPr>
        <w:t> </w:t>
      </w:r>
      <w:r>
        <w:rPr>
          <w:i/>
          <w:color w:val="231F20"/>
          <w:w w:val="95"/>
          <w:sz w:val="21"/>
        </w:rPr>
        <w:t>Políticas</w:t>
      </w:r>
      <w:r>
        <w:rPr>
          <w:i/>
          <w:color w:val="231F20"/>
          <w:spacing w:val="-26"/>
          <w:w w:val="95"/>
          <w:sz w:val="21"/>
        </w:rPr>
        <w:t> </w:t>
      </w:r>
      <w:r>
        <w:rPr>
          <w:i/>
          <w:color w:val="231F20"/>
          <w:w w:val="95"/>
          <w:sz w:val="21"/>
        </w:rPr>
        <w:t>educativas</w:t>
      </w:r>
      <w:r>
        <w:rPr>
          <w:i/>
          <w:color w:val="231F20"/>
          <w:spacing w:val="-26"/>
          <w:w w:val="95"/>
          <w:sz w:val="21"/>
        </w:rPr>
        <w:t> </w:t>
      </w:r>
      <w:r>
        <w:rPr>
          <w:i/>
          <w:color w:val="231F20"/>
          <w:w w:val="95"/>
          <w:sz w:val="21"/>
        </w:rPr>
        <w:t>de</w:t>
      </w:r>
      <w:r>
        <w:rPr>
          <w:i/>
          <w:color w:val="231F20"/>
          <w:spacing w:val="-26"/>
          <w:w w:val="95"/>
          <w:sz w:val="21"/>
        </w:rPr>
        <w:t> </w:t>
      </w:r>
      <w:r>
        <w:rPr>
          <w:i/>
          <w:color w:val="231F20"/>
          <w:w w:val="95"/>
          <w:sz w:val="21"/>
        </w:rPr>
        <w:t>atención</w:t>
      </w:r>
      <w:r>
        <w:rPr>
          <w:i/>
          <w:color w:val="231F20"/>
          <w:spacing w:val="-25"/>
          <w:w w:val="95"/>
          <w:sz w:val="21"/>
        </w:rPr>
        <w:t> </w:t>
      </w:r>
      <w:r>
        <w:rPr>
          <w:i/>
          <w:color w:val="231F20"/>
          <w:w w:val="95"/>
          <w:sz w:val="21"/>
        </w:rPr>
        <w:t>a</w:t>
      </w:r>
      <w:r>
        <w:rPr>
          <w:i/>
          <w:color w:val="231F20"/>
          <w:spacing w:val="-25"/>
          <w:w w:val="95"/>
          <w:sz w:val="21"/>
        </w:rPr>
        <w:t> </w:t>
      </w:r>
      <w:r>
        <w:rPr>
          <w:i/>
          <w:color w:val="231F20"/>
          <w:w w:val="95"/>
          <w:sz w:val="21"/>
        </w:rPr>
        <w:t>la</w:t>
      </w:r>
      <w:r>
        <w:rPr>
          <w:i/>
          <w:color w:val="231F20"/>
          <w:spacing w:val="-25"/>
          <w:w w:val="95"/>
          <w:sz w:val="21"/>
        </w:rPr>
        <w:t> </w:t>
      </w:r>
      <w:r>
        <w:rPr>
          <w:i/>
          <w:color w:val="231F20"/>
          <w:w w:val="95"/>
          <w:sz w:val="21"/>
        </w:rPr>
        <w:t>diversidad </w:t>
      </w:r>
      <w:r>
        <w:rPr>
          <w:i/>
          <w:color w:val="231F20"/>
          <w:w w:val="95"/>
          <w:sz w:val="21"/>
        </w:rPr>
        <w:t>cultural</w:t>
      </w:r>
      <w:r>
        <w:rPr>
          <w:i/>
          <w:color w:val="231F20"/>
          <w:spacing w:val="-31"/>
          <w:w w:val="95"/>
          <w:sz w:val="21"/>
        </w:rPr>
        <w:t> </w:t>
      </w:r>
      <w:r>
        <w:rPr>
          <w:i/>
          <w:color w:val="231F20"/>
          <w:w w:val="95"/>
          <w:sz w:val="21"/>
        </w:rPr>
        <w:t>Brasil,</w:t>
      </w:r>
      <w:r>
        <w:rPr>
          <w:i/>
          <w:color w:val="231F20"/>
          <w:spacing w:val="-31"/>
          <w:w w:val="95"/>
          <w:sz w:val="21"/>
        </w:rPr>
        <w:t> </w:t>
      </w:r>
      <w:r>
        <w:rPr>
          <w:i/>
          <w:color w:val="231F20"/>
          <w:w w:val="95"/>
          <w:sz w:val="21"/>
        </w:rPr>
        <w:t>Chile,</w:t>
      </w:r>
      <w:r>
        <w:rPr>
          <w:i/>
          <w:color w:val="231F20"/>
          <w:spacing w:val="-31"/>
          <w:w w:val="95"/>
          <w:sz w:val="21"/>
        </w:rPr>
        <w:t> </w:t>
      </w:r>
      <w:r>
        <w:rPr>
          <w:i/>
          <w:color w:val="231F20"/>
          <w:w w:val="95"/>
          <w:sz w:val="21"/>
        </w:rPr>
        <w:t>Colombia,</w:t>
      </w:r>
      <w:r>
        <w:rPr>
          <w:i/>
          <w:color w:val="231F20"/>
          <w:spacing w:val="-31"/>
          <w:w w:val="95"/>
          <w:sz w:val="21"/>
        </w:rPr>
        <w:t> </w:t>
      </w:r>
      <w:r>
        <w:rPr>
          <w:i/>
          <w:color w:val="231F20"/>
          <w:w w:val="95"/>
          <w:sz w:val="21"/>
        </w:rPr>
        <w:t>México</w:t>
      </w:r>
      <w:r>
        <w:rPr>
          <w:i/>
          <w:color w:val="231F20"/>
          <w:spacing w:val="-30"/>
          <w:w w:val="95"/>
          <w:sz w:val="21"/>
        </w:rPr>
        <w:t> </w:t>
      </w:r>
      <w:r>
        <w:rPr>
          <w:i/>
          <w:color w:val="231F20"/>
          <w:w w:val="95"/>
          <w:sz w:val="21"/>
        </w:rPr>
        <w:t>y</w:t>
      </w:r>
      <w:r>
        <w:rPr>
          <w:i/>
          <w:color w:val="231F20"/>
          <w:spacing w:val="-30"/>
          <w:w w:val="95"/>
          <w:sz w:val="21"/>
        </w:rPr>
        <w:t> </w:t>
      </w:r>
      <w:r>
        <w:rPr>
          <w:i/>
          <w:color w:val="231F20"/>
          <w:w w:val="95"/>
          <w:sz w:val="21"/>
        </w:rPr>
        <w:t>Perú</w:t>
      </w:r>
      <w:r>
        <w:rPr>
          <w:color w:val="231F20"/>
          <w:w w:val="95"/>
          <w:sz w:val="21"/>
        </w:rPr>
        <w:t>.</w:t>
      </w:r>
      <w:r>
        <w:rPr>
          <w:color w:val="231F20"/>
          <w:spacing w:val="-31"/>
          <w:w w:val="95"/>
          <w:sz w:val="21"/>
        </w:rPr>
        <w:t> </w:t>
      </w:r>
      <w:r>
        <w:rPr>
          <w:i/>
          <w:color w:val="231F20"/>
          <w:w w:val="95"/>
          <w:sz w:val="21"/>
        </w:rPr>
        <w:t>1</w:t>
      </w:r>
      <w:r>
        <w:rPr>
          <w:color w:val="231F20"/>
          <w:w w:val="95"/>
          <w:sz w:val="21"/>
        </w:rPr>
        <w:t>.</w:t>
      </w:r>
      <w:r>
        <w:rPr>
          <w:color w:val="231F20"/>
          <w:spacing w:val="-31"/>
          <w:w w:val="95"/>
          <w:sz w:val="21"/>
        </w:rPr>
        <w:t> </w:t>
      </w:r>
      <w:r>
        <w:rPr>
          <w:color w:val="231F20"/>
          <w:w w:val="95"/>
          <w:sz w:val="21"/>
        </w:rPr>
        <w:t>Santiago,</w:t>
      </w:r>
      <w:r>
        <w:rPr>
          <w:color w:val="231F20"/>
          <w:spacing w:val="-31"/>
          <w:w w:val="95"/>
          <w:sz w:val="21"/>
        </w:rPr>
        <w:t> </w:t>
      </w:r>
      <w:r>
        <w:rPr>
          <w:color w:val="231F20"/>
          <w:w w:val="95"/>
          <w:sz w:val="21"/>
        </w:rPr>
        <w:t>Chi- </w:t>
      </w:r>
      <w:r>
        <w:rPr>
          <w:color w:val="231F20"/>
          <w:sz w:val="21"/>
        </w:rPr>
        <w:t>le: Oficina Regional de Educación de la UNESCO para América Latina y el Caribe OREALC;</w:t>
      </w:r>
      <w:r>
        <w:rPr>
          <w:color w:val="231F20"/>
          <w:spacing w:val="20"/>
          <w:sz w:val="21"/>
        </w:rPr>
        <w:t> </w:t>
      </w:r>
      <w:r>
        <w:rPr>
          <w:color w:val="231F20"/>
          <w:sz w:val="21"/>
        </w:rPr>
        <w:t>UNESCO.</w:t>
      </w:r>
    </w:p>
    <w:p>
      <w:pPr>
        <w:spacing w:line="244" w:lineRule="auto" w:before="3"/>
        <w:ind w:left="821" w:right="227" w:hanging="720"/>
        <w:jc w:val="left"/>
        <w:rPr>
          <w:sz w:val="21"/>
        </w:rPr>
      </w:pPr>
      <w:r>
        <w:rPr>
          <w:color w:val="231F20"/>
          <w:sz w:val="21"/>
        </w:rPr>
        <w:t>Wrigth, Cecile. (1995). Procesos escolares: un estudio etnográfico. </w:t>
      </w:r>
      <w:r>
        <w:rPr>
          <w:i/>
          <w:color w:val="231F20"/>
          <w:w w:val="95"/>
          <w:sz w:val="21"/>
        </w:rPr>
        <w:t>Género,</w:t>
      </w:r>
      <w:r>
        <w:rPr>
          <w:i/>
          <w:color w:val="231F20"/>
          <w:spacing w:val="-28"/>
          <w:w w:val="95"/>
          <w:sz w:val="21"/>
        </w:rPr>
        <w:t> </w:t>
      </w:r>
      <w:r>
        <w:rPr>
          <w:i/>
          <w:color w:val="231F20"/>
          <w:w w:val="95"/>
          <w:sz w:val="21"/>
        </w:rPr>
        <w:t>cultura</w:t>
      </w:r>
      <w:r>
        <w:rPr>
          <w:i/>
          <w:color w:val="231F20"/>
          <w:spacing w:val="-28"/>
          <w:w w:val="95"/>
          <w:sz w:val="21"/>
        </w:rPr>
        <w:t> </w:t>
      </w:r>
      <w:r>
        <w:rPr>
          <w:i/>
          <w:color w:val="231F20"/>
          <w:w w:val="95"/>
          <w:sz w:val="21"/>
        </w:rPr>
        <w:t>y</w:t>
      </w:r>
      <w:r>
        <w:rPr>
          <w:i/>
          <w:color w:val="231F20"/>
          <w:spacing w:val="-28"/>
          <w:w w:val="95"/>
          <w:sz w:val="21"/>
        </w:rPr>
        <w:t> </w:t>
      </w:r>
      <w:r>
        <w:rPr>
          <w:i/>
          <w:color w:val="231F20"/>
          <w:w w:val="95"/>
          <w:sz w:val="21"/>
        </w:rPr>
        <w:t>etnia</w:t>
      </w:r>
      <w:r>
        <w:rPr>
          <w:i/>
          <w:color w:val="231F20"/>
          <w:spacing w:val="-28"/>
          <w:w w:val="95"/>
          <w:sz w:val="21"/>
        </w:rPr>
        <w:t> </w:t>
      </w:r>
      <w:r>
        <w:rPr>
          <w:i/>
          <w:color w:val="231F20"/>
          <w:w w:val="95"/>
          <w:sz w:val="21"/>
        </w:rPr>
        <w:t>en</w:t>
      </w:r>
      <w:r>
        <w:rPr>
          <w:i/>
          <w:color w:val="231F20"/>
          <w:spacing w:val="-28"/>
          <w:w w:val="95"/>
          <w:sz w:val="21"/>
        </w:rPr>
        <w:t> </w:t>
      </w:r>
      <w:r>
        <w:rPr>
          <w:i/>
          <w:color w:val="231F20"/>
          <w:w w:val="95"/>
          <w:sz w:val="21"/>
        </w:rPr>
        <w:t>la</w:t>
      </w:r>
      <w:r>
        <w:rPr>
          <w:i/>
          <w:color w:val="231F20"/>
          <w:spacing w:val="-28"/>
          <w:w w:val="95"/>
          <w:sz w:val="21"/>
        </w:rPr>
        <w:t> </w:t>
      </w:r>
      <w:r>
        <w:rPr>
          <w:i/>
          <w:color w:val="231F20"/>
          <w:w w:val="95"/>
          <w:sz w:val="21"/>
        </w:rPr>
        <w:t>escuela.</w:t>
      </w:r>
      <w:r>
        <w:rPr>
          <w:i/>
          <w:color w:val="231F20"/>
          <w:spacing w:val="-28"/>
          <w:w w:val="95"/>
          <w:sz w:val="21"/>
        </w:rPr>
        <w:t> </w:t>
      </w:r>
      <w:r>
        <w:rPr>
          <w:color w:val="231F20"/>
          <w:w w:val="95"/>
          <w:sz w:val="21"/>
        </w:rPr>
        <w:t>Madrid:</w:t>
      </w:r>
      <w:r>
        <w:rPr>
          <w:color w:val="231F20"/>
          <w:spacing w:val="-28"/>
          <w:w w:val="95"/>
          <w:sz w:val="21"/>
        </w:rPr>
        <w:t> </w:t>
      </w:r>
      <w:r>
        <w:rPr>
          <w:color w:val="231F20"/>
          <w:w w:val="95"/>
          <w:sz w:val="21"/>
        </w:rPr>
        <w:t>Paidós;</w:t>
      </w:r>
      <w:r>
        <w:rPr>
          <w:color w:val="231F20"/>
          <w:spacing w:val="-28"/>
          <w:w w:val="95"/>
          <w:sz w:val="21"/>
        </w:rPr>
        <w:t> </w:t>
      </w:r>
      <w:r>
        <w:rPr>
          <w:color w:val="231F20"/>
          <w:w w:val="95"/>
          <w:sz w:val="21"/>
        </w:rPr>
        <w:t>Ministerio </w:t>
      </w:r>
      <w:r>
        <w:rPr>
          <w:color w:val="231F20"/>
          <w:sz w:val="21"/>
        </w:rPr>
        <w:t>de Educación y</w:t>
      </w:r>
      <w:r>
        <w:rPr>
          <w:color w:val="231F20"/>
          <w:spacing w:val="-13"/>
          <w:sz w:val="21"/>
        </w:rPr>
        <w:t> </w:t>
      </w:r>
      <w:r>
        <w:rPr>
          <w:color w:val="231F20"/>
          <w:sz w:val="21"/>
        </w:rPr>
        <w:t>Ciencia.</w:t>
      </w:r>
    </w:p>
    <w:p>
      <w:pPr>
        <w:spacing w:after="0" w:line="244" w:lineRule="auto"/>
        <w:jc w:val="left"/>
        <w:rPr>
          <w:sz w:val="21"/>
        </w:rPr>
        <w:sectPr>
          <w:headerReference w:type="default" r:id="rId756"/>
          <w:footerReference w:type="default" r:id="rId757"/>
          <w:pgSz w:w="7830" w:h="11910"/>
          <w:pgMar w:header="0" w:footer="424" w:top="500" w:bottom="620" w:left="920" w:right="880"/>
          <w:pgNumType w:start="338"/>
        </w:sectPr>
      </w:pPr>
    </w:p>
    <w:p>
      <w:pPr>
        <w:pStyle w:val="BodyText"/>
        <w:spacing w:before="4"/>
        <w:rPr>
          <w:sz w:val="17"/>
        </w:rPr>
      </w:pPr>
    </w:p>
    <w:p>
      <w:pPr>
        <w:spacing w:after="0"/>
        <w:rPr>
          <w:sz w:val="17"/>
        </w:rPr>
        <w:sectPr>
          <w:headerReference w:type="default" r:id="rId759"/>
          <w:footerReference w:type="default" r:id="rId760"/>
          <w:pgSz w:w="7830" w:h="11910"/>
          <w:pgMar w:header="0" w:footer="0" w:top="1100" w:bottom="280" w:left="1060" w:right="1060"/>
        </w:sectPr>
      </w:pPr>
    </w:p>
    <w:p>
      <w:pPr>
        <w:pStyle w:val="Heading2"/>
        <w:spacing w:line="124" w:lineRule="auto" w:before="189"/>
        <w:ind w:right="104"/>
        <w:rPr>
          <w:rFonts w:ascii="Georgia" w:hAnsi="Georgia"/>
        </w:rPr>
      </w:pPr>
      <w:r>
        <w:rPr>
          <w:rFonts w:ascii="Georgia" w:hAnsi="Georgia"/>
          <w:color w:val="231F20"/>
          <w:sz w:val="28"/>
        </w:rPr>
        <w:t>E</w:t>
      </w:r>
      <w:r>
        <w:rPr>
          <w:color w:val="231F20"/>
        </w:rPr>
        <w:t>XPRESIONES DE LA VIO</w:t>
      </w:r>
      <w:r>
        <w:rPr>
          <w:rFonts w:ascii="Georgia" w:hAnsi="Georgia"/>
          <w:color w:val="231F20"/>
        </w:rPr>
        <w:t>LENCIA EN LA </w:t>
      </w:r>
      <w:r>
        <w:rPr>
          <w:color w:val="231F20"/>
          <w:sz w:val="28"/>
        </w:rPr>
        <w:t>UABJO. </w:t>
      </w:r>
      <w:r>
        <w:rPr>
          <w:rFonts w:ascii="Microsoft YaHei" w:hAnsi="Microsoft YaHei"/>
          <w:color w:val="231F20"/>
          <w:sz w:val="28"/>
        </w:rPr>
        <w:t>R</w:t>
      </w:r>
      <w:r>
        <w:rPr>
          <w:color w:val="231F20"/>
        </w:rPr>
        <w:t>EPORTE  DE  INVESTIGAC</w:t>
      </w:r>
      <w:r>
        <w:rPr>
          <w:rFonts w:ascii="Georgia" w:hAnsi="Georgia"/>
          <w:color w:val="231F20"/>
        </w:rPr>
        <w:t>IÓN</w:t>
      </w:r>
    </w:p>
    <w:p>
      <w:pPr>
        <w:pStyle w:val="BodyText"/>
        <w:spacing w:before="2"/>
        <w:rPr>
          <w:rFonts w:ascii="Georgia"/>
          <w:b/>
          <w:sz w:val="24"/>
        </w:rPr>
      </w:pPr>
    </w:p>
    <w:p>
      <w:pPr>
        <w:pStyle w:val="BodyText"/>
        <w:spacing w:line="244" w:lineRule="auto"/>
        <w:ind w:left="122" w:right="3725"/>
        <w:rPr>
          <w:sz w:val="17"/>
        </w:rPr>
      </w:pPr>
      <w:r>
        <w:rPr>
          <w:color w:val="231F20"/>
        </w:rPr>
        <w:t>Carlos Sorroza-Polo</w:t>
      </w:r>
      <w:r>
        <w:rPr>
          <w:color w:val="231F20"/>
          <w:sz w:val="17"/>
        </w:rPr>
        <w:t>* </w:t>
      </w:r>
      <w:r>
        <w:rPr>
          <w:color w:val="231F20"/>
        </w:rPr>
        <w:t>Olga J. Montes-García</w:t>
      </w:r>
      <w:r>
        <w:rPr>
          <w:color w:val="231F20"/>
          <w:sz w:val="17"/>
        </w:rPr>
        <w:t>** </w:t>
      </w:r>
      <w:r>
        <w:rPr>
          <w:color w:val="231F20"/>
        </w:rPr>
        <w:t>Néstor Montes-García</w:t>
      </w:r>
      <w:r>
        <w:rPr>
          <w:color w:val="231F20"/>
          <w:sz w:val="17"/>
        </w:rPr>
        <w:t>***</w:t>
      </w:r>
    </w:p>
    <w:p>
      <w:pPr>
        <w:pStyle w:val="BodyText"/>
        <w:spacing w:line="242" w:lineRule="auto" w:before="3"/>
        <w:ind w:left="122" w:right="2632"/>
        <w:rPr>
          <w:sz w:val="17"/>
        </w:rPr>
      </w:pPr>
      <w:r>
        <w:rPr>
          <w:color w:val="231F20"/>
        </w:rPr>
        <w:t>Sara Montserrat Herrera-Cerqueda</w:t>
      </w:r>
      <w:r>
        <w:rPr>
          <w:color w:val="231F20"/>
          <w:sz w:val="17"/>
        </w:rPr>
        <w:t>**** </w:t>
      </w:r>
      <w:r>
        <w:rPr>
          <w:color w:val="231F20"/>
        </w:rPr>
        <w:t>Ilse Montserrat López</w:t>
      </w:r>
      <w:r>
        <w:rPr>
          <w:color w:val="231F20"/>
          <w:sz w:val="17"/>
        </w:rPr>
        <w:t>*****</w:t>
      </w:r>
    </w:p>
    <w:p>
      <w:pPr>
        <w:pStyle w:val="BodyText"/>
        <w:spacing w:before="3"/>
        <w:rPr>
          <w:sz w:val="24"/>
        </w:rPr>
      </w:pPr>
    </w:p>
    <w:p>
      <w:pPr>
        <w:pStyle w:val="BodyText"/>
        <w:ind w:left="122" w:right="104"/>
      </w:pPr>
      <w:r>
        <w:rPr>
          <w:color w:val="231F20"/>
        </w:rPr>
        <w:t>Resumen</w:t>
      </w:r>
    </w:p>
    <w:p>
      <w:pPr>
        <w:pStyle w:val="BodyText"/>
        <w:spacing w:line="244" w:lineRule="auto" w:before="8"/>
        <w:ind w:left="122" w:right="116"/>
        <w:jc w:val="both"/>
      </w:pPr>
      <w:r>
        <w:rPr>
          <w:color w:val="231F20"/>
        </w:rPr>
        <w:t>Este trabajo analiza las diversas situaciones de violencia que han vivido los estudiantes de la UABJO, no solo dentro de la institución sino fuera de ella, aunque se enfoca más a la desarrollada dentro de la institución y que proviene de diferentes actores: de los novios o novias, de los profesores, de los directivos, de los grupos porriles. Este tema no ha sido estudiado a pesar de la importancia que tiene    y de que es, por desgracia, frecuente en el campus universitario. En el trabajo se hace una descripción sobre el abordaje teórico y meto- dológico que sustentó la</w:t>
      </w:r>
      <w:r>
        <w:rPr>
          <w:color w:val="231F20"/>
          <w:spacing w:val="-15"/>
        </w:rPr>
        <w:t> </w:t>
      </w:r>
      <w:r>
        <w:rPr>
          <w:color w:val="231F20"/>
        </w:rPr>
        <w:t>investigación.</w:t>
      </w:r>
    </w:p>
    <w:p>
      <w:pPr>
        <w:pStyle w:val="BodyText"/>
        <w:spacing w:before="6"/>
      </w:pPr>
    </w:p>
    <w:p>
      <w:pPr>
        <w:pStyle w:val="BodyText"/>
        <w:spacing w:line="496" w:lineRule="auto" w:before="1"/>
        <w:ind w:left="122" w:right="1152"/>
      </w:pPr>
      <w:r>
        <w:rPr>
          <w:color w:val="231F20"/>
        </w:rPr>
        <w:t>Palabras clave: violencia, universidad, estudiantes. Expressions of violence in the UABJO</w:t>
      </w:r>
    </w:p>
    <w:p>
      <w:pPr>
        <w:pStyle w:val="BodyText"/>
        <w:rPr>
          <w:sz w:val="20"/>
        </w:rPr>
      </w:pPr>
    </w:p>
    <w:p>
      <w:pPr>
        <w:pStyle w:val="BodyText"/>
        <w:spacing w:before="9"/>
        <w:rPr>
          <w:sz w:val="14"/>
        </w:rPr>
      </w:pPr>
      <w:r>
        <w:rPr/>
        <w:pict>
          <v:line style="position:absolute;mso-position-horizontal-relative:page;mso-position-vertical-relative:paragraph;z-index:2848;mso-wrap-distance-left:0;mso-wrap-distance-right:0" from="51.110001pt,10.727552pt" to="195.110001pt,10.727552pt" stroked="true" strokeweight=".481pt" strokecolor="#231f20">
            <w10:wrap type="topAndBottom"/>
          </v:line>
        </w:pict>
      </w:r>
    </w:p>
    <w:p>
      <w:pPr>
        <w:spacing w:line="273" w:lineRule="auto" w:before="89"/>
        <w:ind w:left="122" w:right="104" w:firstLine="0"/>
        <w:jc w:val="left"/>
        <w:rPr>
          <w:sz w:val="14"/>
        </w:rPr>
      </w:pPr>
      <w:r>
        <w:rPr>
          <w:color w:val="231F20"/>
          <w:position w:val="-4"/>
          <w:sz w:val="17"/>
        </w:rPr>
        <w:t>*</w:t>
      </w:r>
      <w:r>
        <w:rPr>
          <w:color w:val="231F20"/>
          <w:sz w:val="14"/>
        </w:rPr>
        <w:t>Profesor-investigador</w:t>
      </w:r>
      <w:r>
        <w:rPr>
          <w:color w:val="231F20"/>
          <w:spacing w:val="-11"/>
          <w:sz w:val="14"/>
        </w:rPr>
        <w:t> </w:t>
      </w:r>
      <w:r>
        <w:rPr>
          <w:color w:val="231F20"/>
          <w:sz w:val="14"/>
        </w:rPr>
        <w:t>de</w:t>
      </w:r>
      <w:r>
        <w:rPr>
          <w:color w:val="231F20"/>
          <w:spacing w:val="-11"/>
          <w:sz w:val="14"/>
        </w:rPr>
        <w:t> </w:t>
      </w:r>
      <w:r>
        <w:rPr>
          <w:color w:val="231F20"/>
          <w:sz w:val="14"/>
        </w:rPr>
        <w:t>la</w:t>
      </w:r>
      <w:r>
        <w:rPr>
          <w:color w:val="231F20"/>
          <w:spacing w:val="-11"/>
          <w:sz w:val="14"/>
        </w:rPr>
        <w:t> </w:t>
      </w:r>
      <w:r>
        <w:rPr>
          <w:color w:val="231F20"/>
          <w:sz w:val="14"/>
        </w:rPr>
        <w:t>Universidad</w:t>
      </w:r>
      <w:r>
        <w:rPr>
          <w:color w:val="231F20"/>
          <w:spacing w:val="-11"/>
          <w:sz w:val="14"/>
        </w:rPr>
        <w:t> </w:t>
      </w:r>
      <w:r>
        <w:rPr>
          <w:color w:val="231F20"/>
          <w:sz w:val="14"/>
        </w:rPr>
        <w:t>Autónoma</w:t>
      </w:r>
      <w:r>
        <w:rPr>
          <w:color w:val="231F20"/>
          <w:spacing w:val="-11"/>
          <w:sz w:val="14"/>
        </w:rPr>
        <w:t> </w:t>
      </w:r>
      <w:r>
        <w:rPr>
          <w:color w:val="231F20"/>
          <w:sz w:val="14"/>
        </w:rPr>
        <w:t>“Benito</w:t>
      </w:r>
      <w:r>
        <w:rPr>
          <w:color w:val="231F20"/>
          <w:spacing w:val="-11"/>
          <w:sz w:val="14"/>
        </w:rPr>
        <w:t> </w:t>
      </w:r>
      <w:r>
        <w:rPr>
          <w:color w:val="231F20"/>
          <w:sz w:val="14"/>
        </w:rPr>
        <w:t>Juárez”</w:t>
      </w:r>
      <w:r>
        <w:rPr>
          <w:color w:val="231F20"/>
          <w:spacing w:val="-11"/>
          <w:sz w:val="14"/>
        </w:rPr>
        <w:t> </w:t>
      </w:r>
      <w:r>
        <w:rPr>
          <w:color w:val="231F20"/>
          <w:sz w:val="14"/>
        </w:rPr>
        <w:t>de</w:t>
      </w:r>
      <w:r>
        <w:rPr>
          <w:color w:val="231F20"/>
          <w:spacing w:val="-11"/>
          <w:sz w:val="14"/>
        </w:rPr>
        <w:t> </w:t>
      </w:r>
      <w:r>
        <w:rPr>
          <w:color w:val="231F20"/>
          <w:sz w:val="14"/>
        </w:rPr>
        <w:t>Oaxaca,</w:t>
      </w:r>
      <w:r>
        <w:rPr>
          <w:color w:val="231F20"/>
          <w:spacing w:val="-11"/>
          <w:sz w:val="14"/>
        </w:rPr>
        <w:t> </w:t>
      </w:r>
      <w:r>
        <w:rPr>
          <w:color w:val="231F20"/>
          <w:sz w:val="14"/>
        </w:rPr>
        <w:t>y</w:t>
      </w:r>
      <w:r>
        <w:rPr>
          <w:color w:val="231F20"/>
          <w:spacing w:val="-11"/>
          <w:sz w:val="14"/>
        </w:rPr>
        <w:t> </w:t>
      </w:r>
      <w:r>
        <w:rPr>
          <w:color w:val="231F20"/>
          <w:sz w:val="14"/>
        </w:rPr>
        <w:t>candidato</w:t>
      </w:r>
      <w:r>
        <w:rPr>
          <w:color w:val="231F20"/>
          <w:spacing w:val="-11"/>
          <w:sz w:val="14"/>
        </w:rPr>
        <w:t> </w:t>
      </w:r>
      <w:r>
        <w:rPr>
          <w:color w:val="231F20"/>
          <w:sz w:val="14"/>
        </w:rPr>
        <w:t>a</w:t>
      </w:r>
      <w:r>
        <w:rPr>
          <w:color w:val="231F20"/>
          <w:spacing w:val="-11"/>
          <w:sz w:val="14"/>
        </w:rPr>
        <w:t> </w:t>
      </w:r>
      <w:r>
        <w:rPr>
          <w:color w:val="231F20"/>
          <w:sz w:val="14"/>
        </w:rPr>
        <w:t>Doctor</w:t>
      </w:r>
      <w:r>
        <w:rPr>
          <w:color w:val="231F20"/>
          <w:spacing w:val="-11"/>
          <w:sz w:val="14"/>
        </w:rPr>
        <w:t> </w:t>
      </w:r>
      <w:r>
        <w:rPr>
          <w:color w:val="231F20"/>
          <w:sz w:val="14"/>
        </w:rPr>
        <w:t>en Economía</w:t>
      </w:r>
      <w:r>
        <w:rPr>
          <w:color w:val="231F20"/>
          <w:spacing w:val="-12"/>
          <w:sz w:val="14"/>
        </w:rPr>
        <w:t> </w:t>
      </w:r>
      <w:r>
        <w:rPr>
          <w:color w:val="231F20"/>
          <w:sz w:val="14"/>
        </w:rPr>
        <w:t>por</w:t>
      </w:r>
      <w:r>
        <w:rPr>
          <w:color w:val="231F20"/>
          <w:spacing w:val="-12"/>
          <w:sz w:val="14"/>
        </w:rPr>
        <w:t> </w:t>
      </w:r>
      <w:r>
        <w:rPr>
          <w:color w:val="231F20"/>
          <w:sz w:val="14"/>
        </w:rPr>
        <w:t>la</w:t>
      </w:r>
      <w:r>
        <w:rPr>
          <w:color w:val="231F20"/>
          <w:spacing w:val="-12"/>
          <w:sz w:val="14"/>
        </w:rPr>
        <w:t> </w:t>
      </w:r>
      <w:r>
        <w:rPr>
          <w:color w:val="231F20"/>
          <w:sz w:val="14"/>
        </w:rPr>
        <w:t>UNAM.</w:t>
      </w:r>
      <w:r>
        <w:rPr>
          <w:color w:val="231F20"/>
          <w:spacing w:val="-12"/>
          <w:sz w:val="14"/>
        </w:rPr>
        <w:t> </w:t>
      </w:r>
      <w:r>
        <w:rPr>
          <w:color w:val="231F20"/>
          <w:sz w:val="14"/>
        </w:rPr>
        <w:t>Se</w:t>
      </w:r>
      <w:r>
        <w:rPr>
          <w:color w:val="231F20"/>
          <w:spacing w:val="-12"/>
          <w:sz w:val="14"/>
        </w:rPr>
        <w:t> </w:t>
      </w:r>
      <w:r>
        <w:rPr>
          <w:color w:val="231F20"/>
          <w:sz w:val="14"/>
        </w:rPr>
        <w:t>dedica</w:t>
      </w:r>
      <w:r>
        <w:rPr>
          <w:color w:val="231F20"/>
          <w:spacing w:val="-12"/>
          <w:sz w:val="14"/>
        </w:rPr>
        <w:t> </w:t>
      </w:r>
      <w:r>
        <w:rPr>
          <w:color w:val="231F20"/>
          <w:sz w:val="14"/>
        </w:rPr>
        <w:t>a</w:t>
      </w:r>
      <w:r>
        <w:rPr>
          <w:color w:val="231F20"/>
          <w:spacing w:val="-12"/>
          <w:sz w:val="14"/>
        </w:rPr>
        <w:t> </w:t>
      </w:r>
      <w:r>
        <w:rPr>
          <w:color w:val="231F20"/>
          <w:sz w:val="14"/>
        </w:rPr>
        <w:t>la</w:t>
      </w:r>
      <w:r>
        <w:rPr>
          <w:color w:val="231F20"/>
          <w:spacing w:val="-12"/>
          <w:sz w:val="14"/>
        </w:rPr>
        <w:t> </w:t>
      </w:r>
      <w:r>
        <w:rPr>
          <w:color w:val="231F20"/>
          <w:sz w:val="14"/>
        </w:rPr>
        <w:t>siguientes</w:t>
      </w:r>
      <w:r>
        <w:rPr>
          <w:color w:val="231F20"/>
          <w:spacing w:val="-12"/>
          <w:sz w:val="14"/>
        </w:rPr>
        <w:t> </w:t>
      </w:r>
      <w:r>
        <w:rPr>
          <w:color w:val="231F20"/>
          <w:sz w:val="14"/>
        </w:rPr>
        <w:t>líneas</w:t>
      </w:r>
      <w:r>
        <w:rPr>
          <w:color w:val="231F20"/>
          <w:spacing w:val="-12"/>
          <w:sz w:val="14"/>
        </w:rPr>
        <w:t> </w:t>
      </w:r>
      <w:r>
        <w:rPr>
          <w:color w:val="231F20"/>
          <w:sz w:val="14"/>
        </w:rPr>
        <w:t>de</w:t>
      </w:r>
      <w:r>
        <w:rPr>
          <w:color w:val="231F20"/>
          <w:spacing w:val="-12"/>
          <w:sz w:val="14"/>
        </w:rPr>
        <w:t> </w:t>
      </w:r>
      <w:r>
        <w:rPr>
          <w:color w:val="231F20"/>
          <w:sz w:val="14"/>
        </w:rPr>
        <w:t>investigación:</w:t>
      </w:r>
      <w:r>
        <w:rPr>
          <w:color w:val="231F20"/>
          <w:spacing w:val="-12"/>
          <w:sz w:val="14"/>
        </w:rPr>
        <w:t> </w:t>
      </w:r>
      <w:r>
        <w:rPr>
          <w:color w:val="231F20"/>
          <w:sz w:val="14"/>
        </w:rPr>
        <w:t>educación,</w:t>
      </w:r>
      <w:r>
        <w:rPr>
          <w:color w:val="231F20"/>
          <w:spacing w:val="-12"/>
          <w:sz w:val="14"/>
        </w:rPr>
        <w:t> </w:t>
      </w:r>
      <w:r>
        <w:rPr>
          <w:color w:val="231F20"/>
          <w:sz w:val="14"/>
        </w:rPr>
        <w:t>violencia,</w:t>
      </w:r>
      <w:r>
        <w:rPr>
          <w:color w:val="231F20"/>
          <w:spacing w:val="-12"/>
          <w:sz w:val="14"/>
        </w:rPr>
        <w:t> </w:t>
      </w:r>
      <w:r>
        <w:rPr>
          <w:color w:val="231F20"/>
          <w:sz w:val="14"/>
        </w:rPr>
        <w:t>pobreza,</w:t>
      </w:r>
    </w:p>
    <w:p>
      <w:pPr>
        <w:spacing w:before="67"/>
        <w:ind w:left="122" w:right="104" w:firstLine="0"/>
        <w:jc w:val="left"/>
        <w:rPr>
          <w:sz w:val="14"/>
        </w:rPr>
      </w:pPr>
      <w:r>
        <w:rPr>
          <w:color w:val="231F20"/>
          <w:sz w:val="14"/>
        </w:rPr>
        <w:t>desarrollo regional. Jubilado a partir de julio 2014.</w:t>
      </w:r>
    </w:p>
    <w:p>
      <w:pPr>
        <w:spacing w:line="278" w:lineRule="auto" w:before="83"/>
        <w:ind w:left="122" w:right="104" w:firstLine="0"/>
        <w:jc w:val="left"/>
        <w:rPr>
          <w:sz w:val="14"/>
        </w:rPr>
      </w:pPr>
      <w:r>
        <w:rPr>
          <w:color w:val="231F20"/>
          <w:position w:val="-4"/>
          <w:sz w:val="17"/>
        </w:rPr>
        <w:t>**</w:t>
      </w:r>
      <w:r>
        <w:rPr>
          <w:color w:val="231F20"/>
          <w:sz w:val="14"/>
        </w:rPr>
        <w:t>Profesora-investigadora</w:t>
      </w:r>
      <w:r>
        <w:rPr>
          <w:color w:val="231F20"/>
          <w:spacing w:val="-13"/>
          <w:sz w:val="14"/>
        </w:rPr>
        <w:t> </w:t>
      </w:r>
      <w:r>
        <w:rPr>
          <w:color w:val="231F20"/>
          <w:sz w:val="14"/>
        </w:rPr>
        <w:t>de</w:t>
      </w:r>
      <w:r>
        <w:rPr>
          <w:color w:val="231F20"/>
          <w:spacing w:val="-13"/>
          <w:sz w:val="14"/>
        </w:rPr>
        <w:t> </w:t>
      </w:r>
      <w:r>
        <w:rPr>
          <w:color w:val="231F20"/>
          <w:sz w:val="14"/>
        </w:rPr>
        <w:t>la</w:t>
      </w:r>
      <w:r>
        <w:rPr>
          <w:color w:val="231F20"/>
          <w:spacing w:val="-13"/>
          <w:sz w:val="14"/>
        </w:rPr>
        <w:t> </w:t>
      </w:r>
      <w:r>
        <w:rPr>
          <w:color w:val="231F20"/>
          <w:sz w:val="14"/>
        </w:rPr>
        <w:t>Universidad</w:t>
      </w:r>
      <w:r>
        <w:rPr>
          <w:color w:val="231F20"/>
          <w:spacing w:val="-13"/>
          <w:sz w:val="14"/>
        </w:rPr>
        <w:t> </w:t>
      </w:r>
      <w:r>
        <w:rPr>
          <w:color w:val="231F20"/>
          <w:sz w:val="14"/>
        </w:rPr>
        <w:t>Autónoma</w:t>
      </w:r>
      <w:r>
        <w:rPr>
          <w:color w:val="231F20"/>
          <w:spacing w:val="-13"/>
          <w:sz w:val="14"/>
        </w:rPr>
        <w:t> </w:t>
      </w:r>
      <w:r>
        <w:rPr>
          <w:color w:val="231F20"/>
          <w:sz w:val="14"/>
        </w:rPr>
        <w:t>“Benito</w:t>
      </w:r>
      <w:r>
        <w:rPr>
          <w:color w:val="231F20"/>
          <w:spacing w:val="-13"/>
          <w:sz w:val="14"/>
        </w:rPr>
        <w:t> </w:t>
      </w:r>
      <w:r>
        <w:rPr>
          <w:color w:val="231F20"/>
          <w:sz w:val="14"/>
        </w:rPr>
        <w:t>Juárez”</w:t>
      </w:r>
      <w:r>
        <w:rPr>
          <w:color w:val="231F20"/>
          <w:spacing w:val="-13"/>
          <w:sz w:val="14"/>
        </w:rPr>
        <w:t> </w:t>
      </w:r>
      <w:r>
        <w:rPr>
          <w:color w:val="231F20"/>
          <w:sz w:val="14"/>
        </w:rPr>
        <w:t>de</w:t>
      </w:r>
      <w:r>
        <w:rPr>
          <w:color w:val="231F20"/>
          <w:spacing w:val="-13"/>
          <w:sz w:val="14"/>
        </w:rPr>
        <w:t> </w:t>
      </w:r>
      <w:r>
        <w:rPr>
          <w:color w:val="231F20"/>
          <w:sz w:val="14"/>
        </w:rPr>
        <w:t>Oaxaca,</w:t>
      </w:r>
      <w:r>
        <w:rPr>
          <w:color w:val="231F20"/>
          <w:spacing w:val="-13"/>
          <w:sz w:val="14"/>
        </w:rPr>
        <w:t> </w:t>
      </w:r>
      <w:r>
        <w:rPr>
          <w:color w:val="231F20"/>
          <w:sz w:val="14"/>
        </w:rPr>
        <w:t>doctora</w:t>
      </w:r>
      <w:r>
        <w:rPr>
          <w:color w:val="231F20"/>
          <w:spacing w:val="-13"/>
          <w:sz w:val="14"/>
        </w:rPr>
        <w:t> </w:t>
      </w:r>
      <w:r>
        <w:rPr>
          <w:color w:val="231F20"/>
          <w:sz w:val="14"/>
        </w:rPr>
        <w:t>en</w:t>
      </w:r>
      <w:r>
        <w:rPr>
          <w:color w:val="231F20"/>
          <w:spacing w:val="-13"/>
          <w:sz w:val="14"/>
        </w:rPr>
        <w:t> </w:t>
      </w:r>
      <w:r>
        <w:rPr>
          <w:color w:val="231F20"/>
          <w:sz w:val="14"/>
        </w:rPr>
        <w:t>Antropo- logía</w:t>
      </w:r>
      <w:r>
        <w:rPr>
          <w:color w:val="231F20"/>
          <w:spacing w:val="-7"/>
          <w:sz w:val="14"/>
        </w:rPr>
        <w:t> </w:t>
      </w:r>
      <w:r>
        <w:rPr>
          <w:color w:val="231F20"/>
          <w:sz w:val="14"/>
        </w:rPr>
        <w:t>por</w:t>
      </w:r>
      <w:r>
        <w:rPr>
          <w:color w:val="231F20"/>
          <w:spacing w:val="-7"/>
          <w:sz w:val="14"/>
        </w:rPr>
        <w:t> </w:t>
      </w:r>
      <w:r>
        <w:rPr>
          <w:color w:val="231F20"/>
          <w:sz w:val="14"/>
        </w:rPr>
        <w:t>la</w:t>
      </w:r>
      <w:r>
        <w:rPr>
          <w:color w:val="231F20"/>
          <w:spacing w:val="-7"/>
          <w:sz w:val="14"/>
        </w:rPr>
        <w:t> </w:t>
      </w:r>
      <w:r>
        <w:rPr>
          <w:color w:val="231F20"/>
          <w:sz w:val="14"/>
        </w:rPr>
        <w:t>UNAM,</w:t>
      </w:r>
      <w:r>
        <w:rPr>
          <w:color w:val="231F20"/>
          <w:spacing w:val="-7"/>
          <w:sz w:val="14"/>
        </w:rPr>
        <w:t> </w:t>
      </w:r>
      <w:r>
        <w:rPr>
          <w:color w:val="231F20"/>
          <w:sz w:val="14"/>
        </w:rPr>
        <w:t>hasta</w:t>
      </w:r>
      <w:r>
        <w:rPr>
          <w:color w:val="231F20"/>
          <w:spacing w:val="-7"/>
          <w:sz w:val="14"/>
        </w:rPr>
        <w:t> </w:t>
      </w:r>
      <w:r>
        <w:rPr>
          <w:color w:val="231F20"/>
          <w:sz w:val="14"/>
        </w:rPr>
        <w:t>2014</w:t>
      </w:r>
      <w:r>
        <w:rPr>
          <w:color w:val="231F20"/>
          <w:spacing w:val="-7"/>
          <w:sz w:val="14"/>
        </w:rPr>
        <w:t> </w:t>
      </w:r>
      <w:r>
        <w:rPr>
          <w:color w:val="231F20"/>
          <w:sz w:val="14"/>
        </w:rPr>
        <w:t>integrante</w:t>
      </w:r>
      <w:r>
        <w:rPr>
          <w:color w:val="231F20"/>
          <w:spacing w:val="-7"/>
          <w:sz w:val="14"/>
        </w:rPr>
        <w:t> </w:t>
      </w:r>
      <w:r>
        <w:rPr>
          <w:color w:val="231F20"/>
          <w:sz w:val="14"/>
        </w:rPr>
        <w:t>del</w:t>
      </w:r>
      <w:r>
        <w:rPr>
          <w:color w:val="231F20"/>
          <w:spacing w:val="-7"/>
          <w:sz w:val="14"/>
        </w:rPr>
        <w:t> </w:t>
      </w:r>
      <w:r>
        <w:rPr>
          <w:color w:val="231F20"/>
          <w:sz w:val="14"/>
        </w:rPr>
        <w:t>SNI,</w:t>
      </w:r>
      <w:r>
        <w:rPr>
          <w:color w:val="231F20"/>
          <w:spacing w:val="-7"/>
          <w:sz w:val="14"/>
        </w:rPr>
        <w:t> </w:t>
      </w:r>
      <w:r>
        <w:rPr>
          <w:color w:val="231F20"/>
          <w:sz w:val="14"/>
        </w:rPr>
        <w:t>y</w:t>
      </w:r>
      <w:r>
        <w:rPr>
          <w:color w:val="231F20"/>
          <w:spacing w:val="-7"/>
          <w:sz w:val="14"/>
        </w:rPr>
        <w:t> </w:t>
      </w:r>
      <w:r>
        <w:rPr>
          <w:color w:val="231F20"/>
          <w:sz w:val="14"/>
        </w:rPr>
        <w:t>profesora</w:t>
      </w:r>
      <w:r>
        <w:rPr>
          <w:color w:val="231F20"/>
          <w:spacing w:val="-7"/>
          <w:sz w:val="14"/>
        </w:rPr>
        <w:t> </w:t>
      </w:r>
      <w:r>
        <w:rPr>
          <w:color w:val="231F20"/>
          <w:sz w:val="14"/>
        </w:rPr>
        <w:t>perfil</w:t>
      </w:r>
      <w:r>
        <w:rPr>
          <w:color w:val="231F20"/>
          <w:spacing w:val="-7"/>
          <w:sz w:val="14"/>
        </w:rPr>
        <w:t> </w:t>
      </w:r>
      <w:r>
        <w:rPr>
          <w:color w:val="231F20"/>
          <w:sz w:val="14"/>
        </w:rPr>
        <w:t>PROMEP.</w:t>
      </w:r>
      <w:r>
        <w:rPr>
          <w:color w:val="231F20"/>
          <w:spacing w:val="-7"/>
          <w:sz w:val="14"/>
        </w:rPr>
        <w:t> </w:t>
      </w:r>
      <w:r>
        <w:rPr>
          <w:color w:val="231F20"/>
          <w:sz w:val="14"/>
        </w:rPr>
        <w:t>Sus</w:t>
      </w:r>
      <w:r>
        <w:rPr>
          <w:color w:val="231F20"/>
          <w:spacing w:val="-7"/>
          <w:sz w:val="14"/>
        </w:rPr>
        <w:t> </w:t>
      </w:r>
      <w:r>
        <w:rPr>
          <w:color w:val="231F20"/>
          <w:sz w:val="14"/>
        </w:rPr>
        <w:t>líneas</w:t>
      </w:r>
      <w:r>
        <w:rPr>
          <w:color w:val="231F20"/>
          <w:spacing w:val="-7"/>
          <w:sz w:val="14"/>
        </w:rPr>
        <w:t> </w:t>
      </w:r>
      <w:r>
        <w:rPr>
          <w:color w:val="231F20"/>
          <w:sz w:val="14"/>
        </w:rPr>
        <w:t>de</w:t>
      </w:r>
      <w:r>
        <w:rPr>
          <w:color w:val="231F20"/>
          <w:spacing w:val="-7"/>
          <w:sz w:val="14"/>
        </w:rPr>
        <w:t> </w:t>
      </w:r>
      <w:r>
        <w:rPr>
          <w:color w:val="231F20"/>
          <w:sz w:val="14"/>
        </w:rPr>
        <w:t>investiga-</w:t>
      </w:r>
    </w:p>
    <w:p>
      <w:pPr>
        <w:spacing w:line="364" w:lineRule="auto" w:before="63"/>
        <w:ind w:left="122" w:right="104" w:firstLine="0"/>
        <w:jc w:val="left"/>
        <w:rPr>
          <w:sz w:val="14"/>
        </w:rPr>
      </w:pPr>
      <w:r>
        <w:rPr>
          <w:color w:val="231F20"/>
          <w:sz w:val="14"/>
        </w:rPr>
        <w:t>ción son: cultura, identidad, relaciones interétnicas, educación y violencia. Jubilada a partir de octubre 2014.</w:t>
      </w:r>
    </w:p>
    <w:p>
      <w:pPr>
        <w:spacing w:line="273" w:lineRule="auto" w:before="8"/>
        <w:ind w:left="122" w:right="104" w:firstLine="0"/>
        <w:jc w:val="left"/>
        <w:rPr>
          <w:sz w:val="14"/>
        </w:rPr>
      </w:pPr>
      <w:r>
        <w:rPr>
          <w:color w:val="231F20"/>
          <w:position w:val="-4"/>
          <w:sz w:val="17"/>
        </w:rPr>
        <w:t>***</w:t>
      </w:r>
      <w:r>
        <w:rPr>
          <w:color w:val="231F20"/>
          <w:sz w:val="14"/>
        </w:rPr>
        <w:t>Profesor-investigador</w:t>
      </w:r>
      <w:r>
        <w:rPr>
          <w:color w:val="231F20"/>
          <w:spacing w:val="-17"/>
          <w:sz w:val="14"/>
        </w:rPr>
        <w:t> </w:t>
      </w:r>
      <w:r>
        <w:rPr>
          <w:color w:val="231F20"/>
          <w:sz w:val="14"/>
        </w:rPr>
        <w:t>de</w:t>
      </w:r>
      <w:r>
        <w:rPr>
          <w:color w:val="231F20"/>
          <w:spacing w:val="-17"/>
          <w:sz w:val="14"/>
        </w:rPr>
        <w:t> </w:t>
      </w:r>
      <w:r>
        <w:rPr>
          <w:color w:val="231F20"/>
          <w:sz w:val="14"/>
        </w:rPr>
        <w:t>la</w:t>
      </w:r>
      <w:r>
        <w:rPr>
          <w:color w:val="231F20"/>
          <w:spacing w:val="-17"/>
          <w:sz w:val="14"/>
        </w:rPr>
        <w:t> </w:t>
      </w:r>
      <w:r>
        <w:rPr>
          <w:color w:val="231F20"/>
          <w:sz w:val="14"/>
        </w:rPr>
        <w:t>Universidad</w:t>
      </w:r>
      <w:r>
        <w:rPr>
          <w:color w:val="231F20"/>
          <w:spacing w:val="-17"/>
          <w:sz w:val="14"/>
        </w:rPr>
        <w:t> </w:t>
      </w:r>
      <w:r>
        <w:rPr>
          <w:color w:val="231F20"/>
          <w:sz w:val="14"/>
        </w:rPr>
        <w:t>Autónoma</w:t>
      </w:r>
      <w:r>
        <w:rPr>
          <w:color w:val="231F20"/>
          <w:spacing w:val="-17"/>
          <w:sz w:val="14"/>
        </w:rPr>
        <w:t> </w:t>
      </w:r>
      <w:r>
        <w:rPr>
          <w:color w:val="231F20"/>
          <w:sz w:val="14"/>
        </w:rPr>
        <w:t>“Benito</w:t>
      </w:r>
      <w:r>
        <w:rPr>
          <w:color w:val="231F20"/>
          <w:spacing w:val="-17"/>
          <w:sz w:val="14"/>
        </w:rPr>
        <w:t> </w:t>
      </w:r>
      <w:r>
        <w:rPr>
          <w:color w:val="231F20"/>
          <w:sz w:val="14"/>
        </w:rPr>
        <w:t>Juárez”</w:t>
      </w:r>
      <w:r>
        <w:rPr>
          <w:color w:val="231F20"/>
          <w:spacing w:val="-17"/>
          <w:sz w:val="14"/>
        </w:rPr>
        <w:t> </w:t>
      </w:r>
      <w:r>
        <w:rPr>
          <w:color w:val="231F20"/>
          <w:sz w:val="14"/>
        </w:rPr>
        <w:t>de</w:t>
      </w:r>
      <w:r>
        <w:rPr>
          <w:color w:val="231F20"/>
          <w:spacing w:val="-17"/>
          <w:sz w:val="14"/>
        </w:rPr>
        <w:t> </w:t>
      </w:r>
      <w:r>
        <w:rPr>
          <w:color w:val="231F20"/>
          <w:sz w:val="14"/>
        </w:rPr>
        <w:t>Oaxaca,</w:t>
      </w:r>
      <w:r>
        <w:rPr>
          <w:color w:val="231F20"/>
          <w:spacing w:val="-17"/>
          <w:sz w:val="14"/>
        </w:rPr>
        <w:t> </w:t>
      </w:r>
      <w:r>
        <w:rPr>
          <w:color w:val="231F20"/>
          <w:sz w:val="14"/>
        </w:rPr>
        <w:t>candidato</w:t>
      </w:r>
      <w:r>
        <w:rPr>
          <w:color w:val="231F20"/>
          <w:spacing w:val="-17"/>
          <w:sz w:val="14"/>
        </w:rPr>
        <w:t> </w:t>
      </w:r>
      <w:r>
        <w:rPr>
          <w:color w:val="231F20"/>
          <w:sz w:val="14"/>
        </w:rPr>
        <w:t>a</w:t>
      </w:r>
      <w:r>
        <w:rPr>
          <w:color w:val="231F20"/>
          <w:spacing w:val="-17"/>
          <w:sz w:val="14"/>
        </w:rPr>
        <w:t> </w:t>
      </w:r>
      <w:r>
        <w:rPr>
          <w:color w:val="231F20"/>
          <w:sz w:val="14"/>
        </w:rPr>
        <w:t>Doctor</w:t>
      </w:r>
      <w:r>
        <w:rPr>
          <w:color w:val="231F20"/>
          <w:spacing w:val="-17"/>
          <w:sz w:val="14"/>
        </w:rPr>
        <w:t> </w:t>
      </w:r>
      <w:r>
        <w:rPr>
          <w:color w:val="231F20"/>
          <w:sz w:val="14"/>
        </w:rPr>
        <w:t>en Sociología</w:t>
      </w:r>
      <w:r>
        <w:rPr>
          <w:color w:val="231F20"/>
          <w:spacing w:val="-17"/>
          <w:sz w:val="14"/>
        </w:rPr>
        <w:t> </w:t>
      </w:r>
      <w:r>
        <w:rPr>
          <w:color w:val="231F20"/>
          <w:sz w:val="14"/>
        </w:rPr>
        <w:t>por</w:t>
      </w:r>
      <w:r>
        <w:rPr>
          <w:color w:val="231F20"/>
          <w:spacing w:val="-17"/>
          <w:sz w:val="14"/>
        </w:rPr>
        <w:t> </w:t>
      </w:r>
      <w:r>
        <w:rPr>
          <w:color w:val="231F20"/>
          <w:sz w:val="14"/>
        </w:rPr>
        <w:t>la</w:t>
      </w:r>
      <w:r>
        <w:rPr>
          <w:color w:val="231F20"/>
          <w:spacing w:val="-17"/>
          <w:sz w:val="14"/>
        </w:rPr>
        <w:t> </w:t>
      </w:r>
      <w:r>
        <w:rPr>
          <w:color w:val="231F20"/>
          <w:sz w:val="14"/>
        </w:rPr>
        <w:t>UNAM</w:t>
      </w:r>
      <w:r>
        <w:rPr>
          <w:color w:val="231F20"/>
          <w:spacing w:val="-17"/>
          <w:sz w:val="14"/>
        </w:rPr>
        <w:t> </w:t>
      </w:r>
      <w:r>
        <w:rPr>
          <w:color w:val="231F20"/>
          <w:sz w:val="14"/>
        </w:rPr>
        <w:t>y</w:t>
      </w:r>
      <w:r>
        <w:rPr>
          <w:color w:val="231F20"/>
          <w:spacing w:val="-17"/>
          <w:sz w:val="14"/>
        </w:rPr>
        <w:t> </w:t>
      </w:r>
      <w:r>
        <w:rPr>
          <w:color w:val="231F20"/>
          <w:sz w:val="14"/>
        </w:rPr>
        <w:t>maestro</w:t>
      </w:r>
      <w:r>
        <w:rPr>
          <w:color w:val="231F20"/>
          <w:spacing w:val="-17"/>
          <w:sz w:val="14"/>
        </w:rPr>
        <w:t> </w:t>
      </w:r>
      <w:r>
        <w:rPr>
          <w:color w:val="231F20"/>
          <w:sz w:val="14"/>
        </w:rPr>
        <w:t>en</w:t>
      </w:r>
      <w:r>
        <w:rPr>
          <w:color w:val="231F20"/>
          <w:spacing w:val="-17"/>
          <w:sz w:val="14"/>
        </w:rPr>
        <w:t> </w:t>
      </w:r>
      <w:r>
        <w:rPr>
          <w:color w:val="231F20"/>
          <w:sz w:val="14"/>
        </w:rPr>
        <w:t>Sociología.</w:t>
      </w:r>
      <w:r>
        <w:rPr>
          <w:color w:val="231F20"/>
          <w:spacing w:val="-17"/>
          <w:sz w:val="14"/>
        </w:rPr>
        <w:t> </w:t>
      </w:r>
      <w:r>
        <w:rPr>
          <w:color w:val="231F20"/>
          <w:sz w:val="14"/>
        </w:rPr>
        <w:t>Sus</w:t>
      </w:r>
      <w:r>
        <w:rPr>
          <w:color w:val="231F20"/>
          <w:spacing w:val="-17"/>
          <w:sz w:val="14"/>
        </w:rPr>
        <w:t> </w:t>
      </w:r>
      <w:r>
        <w:rPr>
          <w:color w:val="231F20"/>
          <w:sz w:val="14"/>
        </w:rPr>
        <w:t>líneas</w:t>
      </w:r>
      <w:r>
        <w:rPr>
          <w:color w:val="231F20"/>
          <w:spacing w:val="-17"/>
          <w:sz w:val="14"/>
        </w:rPr>
        <w:t> </w:t>
      </w:r>
      <w:r>
        <w:rPr>
          <w:color w:val="231F20"/>
          <w:sz w:val="14"/>
        </w:rPr>
        <w:t>de</w:t>
      </w:r>
      <w:r>
        <w:rPr>
          <w:color w:val="231F20"/>
          <w:spacing w:val="-17"/>
          <w:sz w:val="14"/>
        </w:rPr>
        <w:t> </w:t>
      </w:r>
      <w:r>
        <w:rPr>
          <w:color w:val="231F20"/>
          <w:sz w:val="14"/>
        </w:rPr>
        <w:t>investigación</w:t>
      </w:r>
      <w:r>
        <w:rPr>
          <w:color w:val="231F20"/>
          <w:spacing w:val="-17"/>
          <w:sz w:val="14"/>
        </w:rPr>
        <w:t> </w:t>
      </w:r>
      <w:r>
        <w:rPr>
          <w:color w:val="231F20"/>
          <w:sz w:val="14"/>
        </w:rPr>
        <w:t>son:</w:t>
      </w:r>
      <w:r>
        <w:rPr>
          <w:color w:val="231F20"/>
          <w:spacing w:val="-17"/>
          <w:sz w:val="14"/>
        </w:rPr>
        <w:t> </w:t>
      </w:r>
      <w:r>
        <w:rPr>
          <w:color w:val="231F20"/>
          <w:sz w:val="14"/>
        </w:rPr>
        <w:t>universidad,</w:t>
      </w:r>
      <w:r>
        <w:rPr>
          <w:color w:val="231F20"/>
          <w:spacing w:val="-17"/>
          <w:sz w:val="14"/>
        </w:rPr>
        <w:t> </w:t>
      </w:r>
      <w:r>
        <w:rPr>
          <w:color w:val="231F20"/>
          <w:sz w:val="14"/>
        </w:rPr>
        <w:t>relaciones</w:t>
      </w:r>
    </w:p>
    <w:p>
      <w:pPr>
        <w:spacing w:before="67"/>
        <w:ind w:left="122" w:right="104" w:firstLine="0"/>
        <w:jc w:val="left"/>
        <w:rPr>
          <w:sz w:val="14"/>
        </w:rPr>
      </w:pPr>
      <w:r>
        <w:rPr>
          <w:color w:val="231F20"/>
          <w:sz w:val="14"/>
        </w:rPr>
        <w:t>de poder, violencia. Jubilado a partir de noviembre de 2014.</w:t>
      </w:r>
    </w:p>
    <w:p>
      <w:pPr>
        <w:spacing w:before="83"/>
        <w:ind w:left="122" w:right="104" w:firstLine="0"/>
        <w:jc w:val="left"/>
        <w:rPr>
          <w:sz w:val="14"/>
        </w:rPr>
      </w:pPr>
      <w:r>
        <w:rPr>
          <w:color w:val="231F20"/>
          <w:w w:val="95"/>
          <w:position w:val="-4"/>
          <w:sz w:val="17"/>
        </w:rPr>
        <w:t>****</w:t>
      </w:r>
      <w:r>
        <w:rPr>
          <w:color w:val="231F20"/>
          <w:w w:val="95"/>
          <w:sz w:val="14"/>
        </w:rPr>
        <w:t>Se desempeña como asistente de investigación; es pasante de la licenciatura en Ciencias Sociales.</w:t>
      </w:r>
    </w:p>
    <w:p>
      <w:pPr>
        <w:spacing w:before="32"/>
        <w:ind w:left="122" w:right="104" w:firstLine="0"/>
        <w:jc w:val="left"/>
        <w:rPr>
          <w:sz w:val="14"/>
        </w:rPr>
      </w:pPr>
      <w:r>
        <w:rPr>
          <w:color w:val="231F20"/>
          <w:w w:val="95"/>
          <w:position w:val="-4"/>
          <w:sz w:val="17"/>
        </w:rPr>
        <w:t>*****</w:t>
      </w:r>
      <w:r>
        <w:rPr>
          <w:color w:val="231F20"/>
          <w:w w:val="95"/>
          <w:sz w:val="14"/>
        </w:rPr>
        <w:t>Se desempeña como asistente de investigación; es pasante de la licenciatura en Ciencias Sociales.</w:t>
      </w:r>
    </w:p>
    <w:p>
      <w:pPr>
        <w:spacing w:after="0"/>
        <w:jc w:val="left"/>
        <w:rPr>
          <w:sz w:val="14"/>
        </w:rPr>
        <w:sectPr>
          <w:headerReference w:type="default" r:id="rId761"/>
          <w:footerReference w:type="default" r:id="rId762"/>
          <w:pgSz w:w="7830" w:h="11910"/>
          <w:pgMar w:header="0" w:footer="424" w:top="1100" w:bottom="620" w:left="900" w:right="900"/>
          <w:pgNumType w:start="34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ind w:left="102"/>
        <w:jc w:val="both"/>
      </w:pPr>
      <w:r>
        <w:rPr>
          <w:color w:val="231F20"/>
        </w:rPr>
        <w:t>Abstract</w:t>
      </w:r>
    </w:p>
    <w:p>
      <w:pPr>
        <w:pStyle w:val="BodyText"/>
        <w:spacing w:line="244" w:lineRule="auto" w:before="8"/>
        <w:ind w:left="102" w:right="114"/>
        <w:jc w:val="both"/>
      </w:pPr>
      <w:r>
        <w:rPr>
          <w:color w:val="231F20"/>
        </w:rPr>
        <w:t>This paper discusses the various situations of violence that have  lived students at the UABJO, not only within the organization but outside it, although it focuses more on the developed within the institution and coming from different actors boyfriends or girl- friends, teachers, managers, the porriles groups. This issue has not been studied in spite of the importance and that is, unfortunately, often on campus. The paper includes a description of the theoreti-  cal and methodological approach that supported the research is  done.</w:t>
      </w:r>
    </w:p>
    <w:p>
      <w:pPr>
        <w:pStyle w:val="BodyText"/>
        <w:spacing w:before="6"/>
      </w:pPr>
    </w:p>
    <w:p>
      <w:pPr>
        <w:pStyle w:val="BodyText"/>
        <w:spacing w:before="1"/>
        <w:ind w:left="102"/>
        <w:jc w:val="both"/>
      </w:pPr>
      <w:r>
        <w:rPr>
          <w:color w:val="231F20"/>
        </w:rPr>
        <w:t>Keywords: violence, university, students</w:t>
      </w:r>
    </w:p>
    <w:p>
      <w:pPr>
        <w:pStyle w:val="BodyText"/>
        <w:rPr>
          <w:sz w:val="22"/>
        </w:rPr>
      </w:pPr>
    </w:p>
    <w:p>
      <w:pPr>
        <w:pStyle w:val="BodyText"/>
        <w:rPr>
          <w:sz w:val="22"/>
        </w:rPr>
      </w:pPr>
    </w:p>
    <w:p>
      <w:pPr>
        <w:pStyle w:val="BodyText"/>
        <w:spacing w:before="1"/>
        <w:rPr>
          <w:sz w:val="23"/>
        </w:rPr>
      </w:pPr>
    </w:p>
    <w:p>
      <w:pPr>
        <w:pStyle w:val="BodyText"/>
        <w:ind w:left="102"/>
        <w:jc w:val="both"/>
      </w:pPr>
      <w:r>
        <w:rPr>
          <w:color w:val="231F20"/>
          <w:w w:val="105"/>
        </w:rPr>
        <w:t>INTRODUCCIÓN</w:t>
      </w:r>
    </w:p>
    <w:p>
      <w:pPr>
        <w:pStyle w:val="BodyText"/>
        <w:spacing w:before="1"/>
      </w:pPr>
    </w:p>
    <w:p>
      <w:pPr>
        <w:pStyle w:val="BodyText"/>
        <w:spacing w:line="247" w:lineRule="auto" w:before="1"/>
        <w:ind w:left="102" w:right="114"/>
        <w:jc w:val="both"/>
      </w:pPr>
      <w:r>
        <w:rPr>
          <w:color w:val="231F20"/>
        </w:rPr>
        <w:t>El siglo xx se caracterizó por estar marcado por la violencia y por nuevas formas de ejercerla. La guerra mundial implicó un cambio. La lucha no se llevó a cabo en el campo de batalla únicamente. La sociedad civil sufrió los efectos, como nunca antes en la historia de la humanidad (Hobsbawm, 1995). En este momento la tecnología estuvo al servicio de la ideología del odio, del exterminio. A esta guerra le siguieron otras más, igual o más crueles que ella. Sin em- bargo, las guerras no fueron las únicas expresiones de la violencia. Hay otras que no por ser menos evidentes, son menos  dolorosas.</w:t>
      </w:r>
    </w:p>
    <w:p>
      <w:pPr>
        <w:pStyle w:val="BodyText"/>
        <w:spacing w:line="249" w:lineRule="auto" w:before="10"/>
        <w:ind w:left="102" w:right="115" w:firstLine="284"/>
        <w:jc w:val="both"/>
      </w:pPr>
      <w:r>
        <w:rPr>
          <w:color w:val="231F20"/>
          <w:spacing w:val="2"/>
        </w:rPr>
        <w:t>Algunas </w:t>
      </w:r>
      <w:r>
        <w:rPr>
          <w:color w:val="231F20"/>
        </w:rPr>
        <w:t>de las </w:t>
      </w:r>
      <w:r>
        <w:rPr>
          <w:color w:val="231F20"/>
          <w:spacing w:val="2"/>
        </w:rPr>
        <w:t>situaciones que enfrenta </w:t>
      </w:r>
      <w:r>
        <w:rPr>
          <w:color w:val="231F20"/>
        </w:rPr>
        <w:t>la </w:t>
      </w:r>
      <w:r>
        <w:rPr>
          <w:color w:val="231F20"/>
          <w:spacing w:val="2"/>
        </w:rPr>
        <w:t>sociedad </w:t>
      </w:r>
      <w:r>
        <w:rPr>
          <w:color w:val="231F20"/>
          <w:spacing w:val="3"/>
        </w:rPr>
        <w:t>contempo- </w:t>
      </w:r>
      <w:r>
        <w:rPr>
          <w:color w:val="231F20"/>
          <w:spacing w:val="2"/>
        </w:rPr>
        <w:t>ránea son </w:t>
      </w:r>
      <w:r>
        <w:rPr>
          <w:color w:val="231F20"/>
        </w:rPr>
        <w:t>el </w:t>
      </w:r>
      <w:r>
        <w:rPr>
          <w:color w:val="231F20"/>
          <w:spacing w:val="2"/>
        </w:rPr>
        <w:t>maltrato </w:t>
      </w:r>
      <w:r>
        <w:rPr>
          <w:color w:val="231F20"/>
        </w:rPr>
        <w:t>a </w:t>
      </w:r>
      <w:r>
        <w:rPr>
          <w:color w:val="231F20"/>
          <w:spacing w:val="2"/>
        </w:rPr>
        <w:t>los niños, </w:t>
      </w:r>
      <w:r>
        <w:rPr>
          <w:color w:val="231F20"/>
        </w:rPr>
        <w:t>a </w:t>
      </w:r>
      <w:r>
        <w:rPr>
          <w:color w:val="231F20"/>
          <w:spacing w:val="2"/>
        </w:rPr>
        <w:t>los ancianos, </w:t>
      </w:r>
      <w:r>
        <w:rPr>
          <w:color w:val="231F20"/>
        </w:rPr>
        <w:t>a las </w:t>
      </w:r>
      <w:r>
        <w:rPr>
          <w:color w:val="231F20"/>
          <w:spacing w:val="2"/>
        </w:rPr>
        <w:t>mujeres, </w:t>
      </w:r>
      <w:r>
        <w:rPr>
          <w:color w:val="231F20"/>
        </w:rPr>
        <w:t>a   las </w:t>
      </w:r>
      <w:r>
        <w:rPr>
          <w:color w:val="231F20"/>
          <w:spacing w:val="2"/>
        </w:rPr>
        <w:t>etnias </w:t>
      </w:r>
      <w:r>
        <w:rPr>
          <w:color w:val="231F20"/>
          <w:spacing w:val="3"/>
        </w:rPr>
        <w:t>dominadas </w:t>
      </w:r>
      <w:r>
        <w:rPr>
          <w:color w:val="231F20"/>
        </w:rPr>
        <w:t>y a </w:t>
      </w:r>
      <w:r>
        <w:rPr>
          <w:color w:val="231F20"/>
          <w:spacing w:val="2"/>
        </w:rPr>
        <w:t>todo aquel que </w:t>
      </w:r>
      <w:r>
        <w:rPr>
          <w:color w:val="231F20"/>
        </w:rPr>
        <w:t>es </w:t>
      </w:r>
      <w:r>
        <w:rPr>
          <w:color w:val="231F20"/>
          <w:spacing w:val="2"/>
        </w:rPr>
        <w:t>diferente </w:t>
      </w:r>
      <w:r>
        <w:rPr>
          <w:color w:val="231F20"/>
        </w:rPr>
        <w:t>al </w:t>
      </w:r>
      <w:r>
        <w:rPr>
          <w:color w:val="231F20"/>
          <w:spacing w:val="3"/>
        </w:rPr>
        <w:t>dominante. </w:t>
      </w:r>
      <w:r>
        <w:rPr>
          <w:color w:val="231F20"/>
          <w:spacing w:val="2"/>
        </w:rPr>
        <w:t>Dichas situaciones </w:t>
      </w:r>
      <w:r>
        <w:rPr>
          <w:color w:val="231F20"/>
        </w:rPr>
        <w:t>se </w:t>
      </w:r>
      <w:r>
        <w:rPr>
          <w:color w:val="231F20"/>
          <w:spacing w:val="2"/>
        </w:rPr>
        <w:t>reproducen </w:t>
      </w:r>
      <w:r>
        <w:rPr>
          <w:color w:val="231F20"/>
        </w:rPr>
        <w:t>día a </w:t>
      </w:r>
      <w:r>
        <w:rPr>
          <w:color w:val="231F20"/>
          <w:spacing w:val="2"/>
        </w:rPr>
        <w:t>día </w:t>
      </w:r>
      <w:r>
        <w:rPr>
          <w:color w:val="231F20"/>
        </w:rPr>
        <w:t>y las </w:t>
      </w:r>
      <w:r>
        <w:rPr>
          <w:color w:val="231F20"/>
          <w:spacing w:val="2"/>
        </w:rPr>
        <w:t>nuevas </w:t>
      </w:r>
      <w:r>
        <w:rPr>
          <w:color w:val="231F20"/>
          <w:spacing w:val="3"/>
        </w:rPr>
        <w:t>generacio- </w:t>
      </w:r>
      <w:r>
        <w:rPr>
          <w:color w:val="231F20"/>
          <w:spacing w:val="2"/>
        </w:rPr>
        <w:t>nes aprenden </w:t>
      </w:r>
      <w:r>
        <w:rPr>
          <w:color w:val="231F20"/>
        </w:rPr>
        <w:t>no </w:t>
      </w:r>
      <w:r>
        <w:rPr>
          <w:color w:val="231F20"/>
          <w:spacing w:val="2"/>
        </w:rPr>
        <w:t>solo </w:t>
      </w:r>
      <w:r>
        <w:rPr>
          <w:color w:val="231F20"/>
        </w:rPr>
        <w:t>a vivir en la </w:t>
      </w:r>
      <w:r>
        <w:rPr>
          <w:color w:val="231F20"/>
          <w:spacing w:val="2"/>
        </w:rPr>
        <w:t>violencia, sino </w:t>
      </w:r>
      <w:r>
        <w:rPr>
          <w:color w:val="231F20"/>
        </w:rPr>
        <w:t>a </w:t>
      </w:r>
      <w:r>
        <w:rPr>
          <w:color w:val="231F20"/>
          <w:spacing w:val="2"/>
        </w:rPr>
        <w:t>ejercerla. Pue- </w:t>
      </w:r>
      <w:r>
        <w:rPr>
          <w:color w:val="231F20"/>
        </w:rPr>
        <w:t>de </w:t>
      </w:r>
      <w:r>
        <w:rPr>
          <w:color w:val="231F20"/>
          <w:spacing w:val="2"/>
        </w:rPr>
        <w:t>parecer que </w:t>
      </w:r>
      <w:r>
        <w:rPr>
          <w:color w:val="231F20"/>
        </w:rPr>
        <w:t>la </w:t>
      </w:r>
      <w:r>
        <w:rPr>
          <w:color w:val="231F20"/>
          <w:spacing w:val="2"/>
        </w:rPr>
        <w:t>violencia </w:t>
      </w:r>
      <w:r>
        <w:rPr>
          <w:color w:val="231F20"/>
        </w:rPr>
        <w:t>es </w:t>
      </w:r>
      <w:r>
        <w:rPr>
          <w:color w:val="231F20"/>
          <w:spacing w:val="2"/>
        </w:rPr>
        <w:t>una condición innata </w:t>
      </w:r>
      <w:r>
        <w:rPr>
          <w:color w:val="231F20"/>
        </w:rPr>
        <w:t>en el ser </w:t>
      </w:r>
      <w:r>
        <w:rPr>
          <w:color w:val="231F20"/>
          <w:spacing w:val="3"/>
        </w:rPr>
        <w:t>hu- </w:t>
      </w:r>
      <w:r>
        <w:rPr>
          <w:color w:val="231F20"/>
          <w:spacing w:val="2"/>
        </w:rPr>
        <w:t>mano, pero aceptar </w:t>
      </w:r>
      <w:r>
        <w:rPr>
          <w:color w:val="231F20"/>
        </w:rPr>
        <w:t>lo  </w:t>
      </w:r>
      <w:r>
        <w:rPr>
          <w:color w:val="231F20"/>
          <w:spacing w:val="2"/>
        </w:rPr>
        <w:t>anterior </w:t>
      </w:r>
      <w:r>
        <w:rPr>
          <w:color w:val="231F20"/>
        </w:rPr>
        <w:t>es </w:t>
      </w:r>
      <w:r>
        <w:rPr>
          <w:color w:val="231F20"/>
          <w:spacing w:val="2"/>
        </w:rPr>
        <w:t>claudicar ante </w:t>
      </w:r>
      <w:r>
        <w:rPr>
          <w:color w:val="231F20"/>
        </w:rPr>
        <w:t>ella. </w:t>
      </w:r>
      <w:r>
        <w:rPr>
          <w:color w:val="231F20"/>
          <w:spacing w:val="3"/>
        </w:rPr>
        <w:t>Pensamos</w:t>
      </w:r>
      <w:r>
        <w:rPr>
          <w:color w:val="231F20"/>
          <w:spacing w:val="58"/>
        </w:rPr>
        <w:t> </w:t>
      </w:r>
      <w:r>
        <w:rPr>
          <w:color w:val="231F20"/>
        </w:rPr>
        <w:t>que es </w:t>
      </w:r>
      <w:r>
        <w:rPr>
          <w:color w:val="231F20"/>
          <w:spacing w:val="2"/>
        </w:rPr>
        <w:t>posible enfrentarla, disminuirla, pero para </w:t>
      </w:r>
      <w:r>
        <w:rPr>
          <w:color w:val="231F20"/>
        </w:rPr>
        <w:t>ello es </w:t>
      </w:r>
      <w:r>
        <w:rPr>
          <w:color w:val="231F20"/>
          <w:spacing w:val="2"/>
        </w:rPr>
        <w:t>necesario </w:t>
      </w:r>
      <w:r>
        <w:rPr>
          <w:color w:val="231F20"/>
          <w:spacing w:val="3"/>
        </w:rPr>
        <w:t>conocer </w:t>
      </w:r>
      <w:r>
        <w:rPr>
          <w:color w:val="231F20"/>
        </w:rPr>
        <w:t>la </w:t>
      </w:r>
      <w:r>
        <w:rPr>
          <w:color w:val="231F20"/>
          <w:spacing w:val="2"/>
        </w:rPr>
        <w:t>realidad que enfrenta cada país, cada institución, cada lugar </w:t>
      </w:r>
      <w:r>
        <w:rPr>
          <w:color w:val="231F20"/>
        </w:rPr>
        <w:t>en </w:t>
      </w:r>
      <w:r>
        <w:rPr>
          <w:color w:val="231F20"/>
          <w:spacing w:val="2"/>
        </w:rPr>
        <w:t>este</w:t>
      </w:r>
      <w:r>
        <w:rPr>
          <w:color w:val="231F20"/>
          <w:spacing w:val="6"/>
        </w:rPr>
        <w:t> </w:t>
      </w:r>
      <w:r>
        <w:rPr>
          <w:color w:val="231F20"/>
          <w:spacing w:val="2"/>
        </w:rPr>
        <w:t>aspecto.</w:t>
      </w:r>
    </w:p>
    <w:p>
      <w:pPr>
        <w:pStyle w:val="BodyText"/>
        <w:spacing w:line="247" w:lineRule="auto"/>
        <w:ind w:left="102" w:right="115" w:firstLine="284"/>
        <w:jc w:val="both"/>
      </w:pPr>
      <w:r>
        <w:rPr>
          <w:color w:val="231F20"/>
        </w:rPr>
        <w:t>La Universidad Autónoma “Benito Juárez” de Oaxaca no ha sido inmune a los actos de violencia. Es común leer en los perió- dicos  locales  los  enfrentamientos entre  grupos diferentes  de po-</w:t>
      </w:r>
    </w:p>
    <w:p>
      <w:pPr>
        <w:spacing w:after="0" w:line="247" w:lineRule="auto"/>
        <w:jc w:val="both"/>
        <w:sectPr>
          <w:headerReference w:type="default" r:id="rId763"/>
          <w:footerReference w:type="default" r:id="rId764"/>
          <w:pgSz w:w="7830" w:h="11910"/>
          <w:pgMar w:header="0" w:footer="424" w:top="500" w:bottom="620" w:left="920" w:right="900"/>
          <w:pgNumType w:start="34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4"/>
        <w:jc w:val="both"/>
      </w:pPr>
      <w:r>
        <w:rPr>
          <w:color w:val="231F20"/>
        </w:rPr>
        <w:t>rros. La toma de las instalaciones universitarias es también algo cotidiano. Pero la situación más alarmante es la violencia que vive diariamente la comunidad universitaria. En este nivel micro se expresa la violencia que vive el país y el mundo en general.</w:t>
      </w:r>
    </w:p>
    <w:p>
      <w:pPr>
        <w:pStyle w:val="BodyText"/>
        <w:spacing w:line="249" w:lineRule="auto" w:before="1"/>
        <w:ind w:left="102" w:right="115" w:firstLine="284"/>
        <w:jc w:val="both"/>
      </w:pPr>
      <w:r>
        <w:rPr>
          <w:color w:val="231F20"/>
          <w:spacing w:val="3"/>
        </w:rPr>
        <w:t>Asimismo, consideramos </w:t>
      </w:r>
      <w:r>
        <w:rPr>
          <w:color w:val="231F20"/>
        </w:rPr>
        <w:t>que la </w:t>
      </w:r>
      <w:r>
        <w:rPr>
          <w:color w:val="231F20"/>
          <w:spacing w:val="2"/>
        </w:rPr>
        <w:t>violencia </w:t>
      </w:r>
      <w:r>
        <w:rPr>
          <w:color w:val="231F20"/>
        </w:rPr>
        <w:t>es </w:t>
      </w:r>
      <w:r>
        <w:rPr>
          <w:color w:val="231F20"/>
          <w:spacing w:val="2"/>
        </w:rPr>
        <w:t>una </w:t>
      </w:r>
      <w:r>
        <w:rPr>
          <w:color w:val="231F20"/>
          <w:spacing w:val="3"/>
        </w:rPr>
        <w:t>problemática </w:t>
      </w:r>
      <w:r>
        <w:rPr>
          <w:color w:val="231F20"/>
        </w:rPr>
        <w:t>que </w:t>
      </w:r>
      <w:r>
        <w:rPr>
          <w:color w:val="231F20"/>
          <w:spacing w:val="2"/>
        </w:rPr>
        <w:t>debe enfrentarse, </w:t>
      </w:r>
      <w:r>
        <w:rPr>
          <w:color w:val="231F20"/>
        </w:rPr>
        <w:t>y </w:t>
      </w:r>
      <w:r>
        <w:rPr>
          <w:color w:val="231F20"/>
          <w:spacing w:val="2"/>
        </w:rPr>
        <w:t>para </w:t>
      </w:r>
      <w:r>
        <w:rPr>
          <w:color w:val="231F20"/>
        </w:rPr>
        <w:t>ello es </w:t>
      </w:r>
      <w:r>
        <w:rPr>
          <w:color w:val="231F20"/>
          <w:spacing w:val="2"/>
        </w:rPr>
        <w:t>necesario </w:t>
      </w:r>
      <w:r>
        <w:rPr>
          <w:color w:val="231F20"/>
          <w:spacing w:val="3"/>
        </w:rPr>
        <w:t>conocer </w:t>
      </w:r>
      <w:r>
        <w:rPr>
          <w:color w:val="231F20"/>
        </w:rPr>
        <w:t>sus </w:t>
      </w:r>
      <w:r>
        <w:rPr>
          <w:color w:val="231F20"/>
          <w:spacing w:val="2"/>
        </w:rPr>
        <w:t>diversas manifestaciones, </w:t>
      </w:r>
      <w:r>
        <w:rPr>
          <w:color w:val="231F20"/>
        </w:rPr>
        <w:t>así </w:t>
      </w:r>
      <w:r>
        <w:rPr>
          <w:color w:val="231F20"/>
          <w:spacing w:val="3"/>
        </w:rPr>
        <w:t>como </w:t>
      </w:r>
      <w:r>
        <w:rPr>
          <w:color w:val="231F20"/>
        </w:rPr>
        <w:t>la </w:t>
      </w:r>
      <w:r>
        <w:rPr>
          <w:color w:val="231F20"/>
          <w:spacing w:val="3"/>
        </w:rPr>
        <w:t>forma </w:t>
      </w:r>
      <w:r>
        <w:rPr>
          <w:color w:val="231F20"/>
        </w:rPr>
        <w:t>en </w:t>
      </w:r>
      <w:r>
        <w:rPr>
          <w:color w:val="231F20"/>
          <w:spacing w:val="2"/>
        </w:rPr>
        <w:t>que </w:t>
      </w:r>
      <w:r>
        <w:rPr>
          <w:color w:val="231F20"/>
        </w:rPr>
        <w:t>es </w:t>
      </w:r>
      <w:r>
        <w:rPr>
          <w:color w:val="231F20"/>
          <w:spacing w:val="2"/>
        </w:rPr>
        <w:t>percibida </w:t>
      </w:r>
      <w:r>
        <w:rPr>
          <w:color w:val="231F20"/>
        </w:rPr>
        <w:t>y  </w:t>
      </w:r>
      <w:r>
        <w:rPr>
          <w:color w:val="231F20"/>
          <w:spacing w:val="2"/>
        </w:rPr>
        <w:t>vivida por los estudiantes. </w:t>
      </w:r>
      <w:r>
        <w:rPr>
          <w:color w:val="231F20"/>
        </w:rPr>
        <w:t>Es </w:t>
      </w:r>
      <w:r>
        <w:rPr>
          <w:color w:val="231F20"/>
          <w:spacing w:val="2"/>
        </w:rPr>
        <w:t>indispensable </w:t>
      </w:r>
      <w:r>
        <w:rPr>
          <w:color w:val="231F20"/>
          <w:spacing w:val="3"/>
        </w:rPr>
        <w:t>también, </w:t>
      </w:r>
      <w:r>
        <w:rPr>
          <w:color w:val="231F20"/>
          <w:spacing w:val="2"/>
        </w:rPr>
        <w:t>tener claro quiénes son </w:t>
      </w:r>
      <w:r>
        <w:rPr>
          <w:color w:val="231F20"/>
        </w:rPr>
        <w:t>las </w:t>
      </w:r>
      <w:r>
        <w:rPr>
          <w:color w:val="231F20"/>
          <w:spacing w:val="3"/>
        </w:rPr>
        <w:t>personas </w:t>
      </w:r>
      <w:r>
        <w:rPr>
          <w:color w:val="231F20"/>
          <w:spacing w:val="2"/>
        </w:rPr>
        <w:t>más vulnerables </w:t>
      </w:r>
      <w:r>
        <w:rPr>
          <w:color w:val="231F20"/>
        </w:rPr>
        <w:t>al </w:t>
      </w:r>
      <w:r>
        <w:rPr>
          <w:color w:val="231F20"/>
          <w:spacing w:val="3"/>
        </w:rPr>
        <w:t>momento </w:t>
      </w:r>
      <w:r>
        <w:rPr>
          <w:color w:val="231F20"/>
        </w:rPr>
        <w:t>de </w:t>
      </w:r>
      <w:r>
        <w:rPr>
          <w:color w:val="231F20"/>
          <w:spacing w:val="2"/>
        </w:rPr>
        <w:t>sufrir actos </w:t>
      </w:r>
      <w:r>
        <w:rPr>
          <w:color w:val="231F20"/>
          <w:spacing w:val="3"/>
        </w:rPr>
        <w:t>vio- </w:t>
      </w:r>
      <w:r>
        <w:rPr>
          <w:color w:val="231F20"/>
          <w:spacing w:val="2"/>
        </w:rPr>
        <w:t>lentos. Por ello, </w:t>
      </w:r>
      <w:r>
        <w:rPr>
          <w:color w:val="231F20"/>
        </w:rPr>
        <w:t>en </w:t>
      </w:r>
      <w:r>
        <w:rPr>
          <w:color w:val="231F20"/>
          <w:spacing w:val="2"/>
        </w:rPr>
        <w:t>este </w:t>
      </w:r>
      <w:r>
        <w:rPr>
          <w:color w:val="231F20"/>
          <w:spacing w:val="3"/>
        </w:rPr>
        <w:t>documento presentamos </w:t>
      </w:r>
      <w:r>
        <w:rPr>
          <w:color w:val="231F20"/>
          <w:spacing w:val="2"/>
        </w:rPr>
        <w:t>los resultados </w:t>
      </w:r>
      <w:r>
        <w:rPr>
          <w:color w:val="231F20"/>
        </w:rPr>
        <w:t>de  la </w:t>
      </w:r>
      <w:r>
        <w:rPr>
          <w:color w:val="231F20"/>
          <w:spacing w:val="2"/>
        </w:rPr>
        <w:t>investigación “La violencia </w:t>
      </w:r>
      <w:r>
        <w:rPr>
          <w:color w:val="231F20"/>
        </w:rPr>
        <w:t>en la </w:t>
      </w:r>
      <w:r>
        <w:rPr>
          <w:color w:val="231F20"/>
          <w:spacing w:val="3"/>
        </w:rPr>
        <w:t>UABJO”,desarrollada </w:t>
      </w:r>
      <w:r>
        <w:rPr>
          <w:color w:val="231F20"/>
          <w:spacing w:val="2"/>
        </w:rPr>
        <w:t>por </w:t>
      </w:r>
      <w:r>
        <w:rPr>
          <w:color w:val="231F20"/>
        </w:rPr>
        <w:t>el </w:t>
      </w:r>
      <w:r>
        <w:rPr>
          <w:color w:val="231F20"/>
          <w:spacing w:val="2"/>
        </w:rPr>
        <w:t>cuerpo académico </w:t>
      </w:r>
      <w:r>
        <w:rPr>
          <w:color w:val="231F20"/>
          <w:spacing w:val="3"/>
        </w:rPr>
        <w:t>Estudios </w:t>
      </w:r>
      <w:r>
        <w:rPr>
          <w:color w:val="231F20"/>
          <w:spacing w:val="2"/>
        </w:rPr>
        <w:t>sobre </w:t>
      </w:r>
      <w:r>
        <w:rPr>
          <w:color w:val="231F20"/>
        </w:rPr>
        <w:t>la </w:t>
      </w:r>
      <w:r>
        <w:rPr>
          <w:color w:val="231F20"/>
          <w:spacing w:val="2"/>
        </w:rPr>
        <w:t>Universidad. </w:t>
      </w:r>
      <w:r>
        <w:rPr>
          <w:color w:val="231F20"/>
          <w:spacing w:val="3"/>
        </w:rPr>
        <w:t>Partimos </w:t>
      </w:r>
      <w:r>
        <w:rPr>
          <w:color w:val="231F20"/>
        </w:rPr>
        <w:t>de la </w:t>
      </w:r>
      <w:r>
        <w:rPr>
          <w:color w:val="231F20"/>
          <w:spacing w:val="2"/>
        </w:rPr>
        <w:t>idea</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spacing w:val="2"/>
        </w:rPr>
        <w:t>violencia</w:t>
      </w:r>
      <w:r>
        <w:rPr>
          <w:color w:val="231F20"/>
          <w:spacing w:val="-5"/>
        </w:rPr>
        <w:t> </w:t>
      </w:r>
      <w:r>
        <w:rPr>
          <w:color w:val="231F20"/>
          <w:spacing w:val="2"/>
        </w:rPr>
        <w:t>puede</w:t>
      </w:r>
      <w:r>
        <w:rPr>
          <w:color w:val="231F20"/>
          <w:spacing w:val="-5"/>
        </w:rPr>
        <w:t> </w:t>
      </w:r>
      <w:r>
        <w:rPr>
          <w:color w:val="231F20"/>
          <w:spacing w:val="2"/>
        </w:rPr>
        <w:t>visualizarse</w:t>
      </w:r>
      <w:r>
        <w:rPr>
          <w:color w:val="231F20"/>
          <w:spacing w:val="-5"/>
        </w:rPr>
        <w:t> </w:t>
      </w:r>
      <w:r>
        <w:rPr>
          <w:color w:val="231F20"/>
        </w:rPr>
        <w:t>y</w:t>
      </w:r>
      <w:r>
        <w:rPr>
          <w:color w:val="231F20"/>
          <w:spacing w:val="-5"/>
        </w:rPr>
        <w:t> </w:t>
      </w:r>
      <w:r>
        <w:rPr>
          <w:color w:val="231F20"/>
          <w:spacing w:val="2"/>
        </w:rPr>
        <w:t>prevenirse.</w:t>
      </w:r>
    </w:p>
    <w:p>
      <w:pPr>
        <w:pStyle w:val="BodyText"/>
        <w:rPr>
          <w:sz w:val="22"/>
        </w:rPr>
      </w:pPr>
    </w:p>
    <w:p>
      <w:pPr>
        <w:pStyle w:val="BodyText"/>
        <w:spacing w:before="3"/>
      </w:pPr>
    </w:p>
    <w:p>
      <w:pPr>
        <w:pStyle w:val="BodyText"/>
        <w:spacing w:before="1"/>
        <w:ind w:left="102"/>
        <w:jc w:val="both"/>
      </w:pPr>
      <w:r>
        <w:rPr>
          <w:color w:val="231F20"/>
          <w:w w:val="105"/>
        </w:rPr>
        <w:t>METODOLOGÍA</w:t>
      </w:r>
    </w:p>
    <w:p>
      <w:pPr>
        <w:pStyle w:val="BodyText"/>
        <w:spacing w:before="6"/>
      </w:pPr>
    </w:p>
    <w:p>
      <w:pPr>
        <w:pStyle w:val="BodyText"/>
        <w:spacing w:line="244" w:lineRule="auto"/>
        <w:ind w:left="102" w:right="116"/>
        <w:jc w:val="both"/>
      </w:pPr>
      <w:r>
        <w:rPr>
          <w:color w:val="231F20"/>
        </w:rPr>
        <w:t>Iniciaremos este apartado con una reflexión sobre la construcción del conocimiento. En las ciencias sociales existen diversos enfoques para generar el conocimiento. Entendemos por </w:t>
      </w:r>
      <w:r>
        <w:rPr>
          <w:color w:val="231F20"/>
          <w:spacing w:val="39"/>
        </w:rPr>
        <w:t> </w:t>
      </w:r>
      <w:r>
        <w:rPr>
          <w:color w:val="231F20"/>
        </w:rPr>
        <w:t>enfoque</w:t>
      </w:r>
    </w:p>
    <w:p>
      <w:pPr>
        <w:pStyle w:val="BodyText"/>
        <w:spacing w:before="4"/>
      </w:pPr>
    </w:p>
    <w:p>
      <w:pPr>
        <w:spacing w:line="247" w:lineRule="auto" w:before="0"/>
        <w:ind w:left="811" w:right="116" w:firstLine="284"/>
        <w:jc w:val="both"/>
        <w:rPr>
          <w:sz w:val="19"/>
        </w:rPr>
      </w:pPr>
      <w:r>
        <w:rPr>
          <w:color w:val="231F20"/>
          <w:sz w:val="19"/>
        </w:rPr>
        <w:t>Un modo determinado de construcción de conocimiento en </w:t>
      </w:r>
      <w:r>
        <w:rPr>
          <w:color w:val="231F20"/>
          <w:spacing w:val="1"/>
          <w:w w:val="97"/>
          <w:sz w:val="19"/>
        </w:rPr>
        <w:t>e</w:t>
      </w:r>
      <w:r>
        <w:rPr>
          <w:color w:val="231F20"/>
          <w:w w:val="85"/>
          <w:sz w:val="19"/>
        </w:rPr>
        <w:t>l</w:t>
      </w:r>
      <w:r>
        <w:rPr>
          <w:color w:val="231F20"/>
          <w:sz w:val="19"/>
        </w:rPr>
        <w:t> </w:t>
      </w:r>
      <w:r>
        <w:rPr>
          <w:color w:val="231F20"/>
          <w:spacing w:val="-14"/>
          <w:sz w:val="19"/>
        </w:rPr>
        <w:t> </w:t>
      </w:r>
      <w:r>
        <w:rPr>
          <w:color w:val="231F20"/>
          <w:spacing w:val="1"/>
          <w:w w:val="100"/>
          <w:sz w:val="19"/>
        </w:rPr>
        <w:t>qu</w:t>
      </w:r>
      <w:r>
        <w:rPr>
          <w:color w:val="231F20"/>
          <w:w w:val="100"/>
          <w:sz w:val="19"/>
        </w:rPr>
        <w:t>e</w:t>
      </w:r>
      <w:r>
        <w:rPr>
          <w:color w:val="231F20"/>
          <w:sz w:val="19"/>
        </w:rPr>
        <w:t> </w:t>
      </w:r>
      <w:r>
        <w:rPr>
          <w:color w:val="231F20"/>
          <w:spacing w:val="-13"/>
          <w:sz w:val="19"/>
        </w:rPr>
        <w:t> </w:t>
      </w:r>
      <w:r>
        <w:rPr>
          <w:color w:val="231F20"/>
          <w:spacing w:val="1"/>
          <w:w w:val="97"/>
          <w:sz w:val="19"/>
        </w:rPr>
        <w:t>c</w:t>
      </w:r>
      <w:r>
        <w:rPr>
          <w:color w:val="231F20"/>
          <w:spacing w:val="1"/>
          <w:w w:val="105"/>
          <w:sz w:val="19"/>
        </w:rPr>
        <w:t>on</w:t>
      </w:r>
      <w:r>
        <w:rPr>
          <w:color w:val="231F20"/>
          <w:spacing w:val="1"/>
          <w:w w:val="100"/>
          <w:sz w:val="19"/>
        </w:rPr>
        <w:t>f</w:t>
      </w:r>
      <w:r>
        <w:rPr>
          <w:color w:val="231F20"/>
          <w:w w:val="85"/>
          <w:sz w:val="19"/>
        </w:rPr>
        <w:t>l</w:t>
      </w:r>
      <w:r>
        <w:rPr>
          <w:color w:val="231F20"/>
          <w:spacing w:val="1"/>
          <w:w w:val="93"/>
          <w:sz w:val="19"/>
        </w:rPr>
        <w:t>uy</w:t>
      </w:r>
      <w:r>
        <w:rPr>
          <w:color w:val="231F20"/>
          <w:w w:val="97"/>
          <w:sz w:val="19"/>
        </w:rPr>
        <w:t>e</w:t>
      </w:r>
      <w:r>
        <w:rPr>
          <w:color w:val="231F20"/>
          <w:sz w:val="19"/>
        </w:rPr>
        <w:t> </w:t>
      </w:r>
      <w:r>
        <w:rPr>
          <w:color w:val="231F20"/>
          <w:spacing w:val="-13"/>
          <w:sz w:val="19"/>
        </w:rPr>
        <w:t> </w:t>
      </w:r>
      <w:r>
        <w:rPr>
          <w:color w:val="231F20"/>
          <w:spacing w:val="1"/>
          <w:w w:val="86"/>
          <w:sz w:val="19"/>
        </w:rPr>
        <w:t>y</w:t>
      </w:r>
      <w:r>
        <w:rPr>
          <w:color w:val="231F20"/>
          <w:spacing w:val="1"/>
          <w:w w:val="186"/>
          <w:sz w:val="19"/>
        </w:rPr>
        <w:t>/</w:t>
      </w:r>
      <w:r>
        <w:rPr>
          <w:color w:val="231F20"/>
          <w:w w:val="105"/>
          <w:sz w:val="19"/>
        </w:rPr>
        <w:t>o</w:t>
      </w:r>
      <w:r>
        <w:rPr>
          <w:color w:val="231F20"/>
          <w:sz w:val="19"/>
        </w:rPr>
        <w:t> </w:t>
      </w:r>
      <w:r>
        <w:rPr>
          <w:color w:val="231F20"/>
          <w:spacing w:val="-13"/>
          <w:sz w:val="19"/>
        </w:rPr>
        <w:t> </w:t>
      </w:r>
      <w:r>
        <w:rPr>
          <w:color w:val="231F20"/>
          <w:spacing w:val="1"/>
          <w:w w:val="97"/>
          <w:sz w:val="19"/>
        </w:rPr>
        <w:t>s</w:t>
      </w:r>
      <w:r>
        <w:rPr>
          <w:color w:val="231F20"/>
          <w:w w:val="97"/>
          <w:sz w:val="19"/>
        </w:rPr>
        <w:t>e</w:t>
      </w:r>
      <w:r>
        <w:rPr>
          <w:color w:val="231F20"/>
          <w:sz w:val="19"/>
        </w:rPr>
        <w:t> </w:t>
      </w:r>
      <w:r>
        <w:rPr>
          <w:color w:val="231F20"/>
          <w:spacing w:val="-13"/>
          <w:sz w:val="19"/>
        </w:rPr>
        <w:t> </w:t>
      </w:r>
      <w:r>
        <w:rPr>
          <w:color w:val="231F20"/>
          <w:w w:val="85"/>
          <w:sz w:val="19"/>
        </w:rPr>
        <w:t>i</w:t>
      </w:r>
      <w:r>
        <w:rPr>
          <w:color w:val="231F20"/>
          <w:spacing w:val="1"/>
          <w:w w:val="105"/>
          <w:sz w:val="19"/>
        </w:rPr>
        <w:t>n</w:t>
      </w:r>
      <w:r>
        <w:rPr>
          <w:color w:val="231F20"/>
          <w:w w:val="108"/>
          <w:sz w:val="19"/>
        </w:rPr>
        <w:t>t</w:t>
      </w:r>
      <w:r>
        <w:rPr>
          <w:color w:val="231F20"/>
          <w:spacing w:val="1"/>
          <w:w w:val="97"/>
          <w:sz w:val="19"/>
        </w:rPr>
        <w:t>e</w:t>
      </w:r>
      <w:r>
        <w:rPr>
          <w:color w:val="231F20"/>
          <w:spacing w:val="1"/>
          <w:w w:val="103"/>
          <w:sz w:val="19"/>
        </w:rPr>
        <w:t>rr</w:t>
      </w:r>
      <w:r>
        <w:rPr>
          <w:color w:val="231F20"/>
          <w:spacing w:val="1"/>
          <w:w w:val="97"/>
          <w:sz w:val="19"/>
        </w:rPr>
        <w:t>e</w:t>
      </w:r>
      <w:r>
        <w:rPr>
          <w:color w:val="231F20"/>
          <w:w w:val="85"/>
          <w:sz w:val="19"/>
        </w:rPr>
        <w:t>l</w:t>
      </w:r>
      <w:r>
        <w:rPr>
          <w:color w:val="231F20"/>
          <w:spacing w:val="1"/>
          <w:w w:val="96"/>
          <w:sz w:val="19"/>
        </w:rPr>
        <w:t>ac</w:t>
      </w:r>
      <w:r>
        <w:rPr>
          <w:color w:val="231F20"/>
          <w:w w:val="85"/>
          <w:sz w:val="19"/>
        </w:rPr>
        <w:t>i</w:t>
      </w:r>
      <w:r>
        <w:rPr>
          <w:color w:val="231F20"/>
          <w:spacing w:val="1"/>
          <w:w w:val="105"/>
          <w:sz w:val="19"/>
        </w:rPr>
        <w:t>on</w:t>
      </w:r>
      <w:r>
        <w:rPr>
          <w:color w:val="231F20"/>
          <w:spacing w:val="1"/>
          <w:w w:val="100"/>
          <w:sz w:val="19"/>
        </w:rPr>
        <w:t>a</w:t>
      </w:r>
      <w:r>
        <w:rPr>
          <w:color w:val="231F20"/>
          <w:w w:val="100"/>
          <w:sz w:val="19"/>
        </w:rPr>
        <w:t>n</w:t>
      </w:r>
      <w:r>
        <w:rPr>
          <w:color w:val="231F20"/>
          <w:sz w:val="19"/>
        </w:rPr>
        <w:t> </w:t>
      </w:r>
      <w:r>
        <w:rPr>
          <w:color w:val="231F20"/>
          <w:spacing w:val="-13"/>
          <w:sz w:val="19"/>
        </w:rPr>
        <w:t> </w:t>
      </w:r>
      <w:r>
        <w:rPr>
          <w:color w:val="231F20"/>
          <w:spacing w:val="1"/>
          <w:w w:val="97"/>
          <w:sz w:val="19"/>
        </w:rPr>
        <w:t>c</w:t>
      </w:r>
      <w:r>
        <w:rPr>
          <w:color w:val="231F20"/>
          <w:w w:val="85"/>
          <w:sz w:val="19"/>
        </w:rPr>
        <w:t>i</w:t>
      </w:r>
      <w:r>
        <w:rPr>
          <w:color w:val="231F20"/>
          <w:spacing w:val="1"/>
          <w:w w:val="97"/>
          <w:sz w:val="19"/>
        </w:rPr>
        <w:t>e</w:t>
      </w:r>
      <w:r>
        <w:rPr>
          <w:color w:val="231F20"/>
          <w:spacing w:val="1"/>
          <w:w w:val="103"/>
          <w:sz w:val="19"/>
        </w:rPr>
        <w:t>r</w:t>
      </w:r>
      <w:r>
        <w:rPr>
          <w:color w:val="231F20"/>
          <w:w w:val="108"/>
          <w:sz w:val="19"/>
        </w:rPr>
        <w:t>t</w:t>
      </w:r>
      <w:r>
        <w:rPr>
          <w:color w:val="231F20"/>
          <w:spacing w:val="1"/>
          <w:w w:val="95"/>
          <w:sz w:val="19"/>
        </w:rPr>
        <w:t>a</w:t>
      </w:r>
      <w:r>
        <w:rPr>
          <w:color w:val="231F20"/>
          <w:w w:val="95"/>
          <w:sz w:val="19"/>
        </w:rPr>
        <w:t>s</w:t>
      </w:r>
      <w:r>
        <w:rPr>
          <w:color w:val="231F20"/>
          <w:sz w:val="19"/>
        </w:rPr>
        <w:t> </w:t>
      </w:r>
      <w:r>
        <w:rPr>
          <w:color w:val="231F20"/>
          <w:spacing w:val="-14"/>
          <w:sz w:val="19"/>
        </w:rPr>
        <w:t> </w:t>
      </w:r>
      <w:r>
        <w:rPr>
          <w:color w:val="231F20"/>
          <w:spacing w:val="1"/>
          <w:w w:val="97"/>
          <w:sz w:val="19"/>
        </w:rPr>
        <w:t>c</w:t>
      </w:r>
      <w:r>
        <w:rPr>
          <w:color w:val="231F20"/>
          <w:spacing w:val="1"/>
          <w:w w:val="105"/>
          <w:sz w:val="19"/>
        </w:rPr>
        <w:t>on</w:t>
      </w:r>
      <w:r>
        <w:rPr>
          <w:color w:val="231F20"/>
          <w:spacing w:val="1"/>
          <w:w w:val="97"/>
          <w:sz w:val="19"/>
        </w:rPr>
        <w:t>ce</w:t>
      </w:r>
      <w:r>
        <w:rPr>
          <w:color w:val="231F20"/>
          <w:spacing w:val="1"/>
          <w:w w:val="105"/>
          <w:sz w:val="19"/>
        </w:rPr>
        <w:t>p</w:t>
      </w:r>
      <w:r>
        <w:rPr>
          <w:color w:val="231F20"/>
          <w:spacing w:val="1"/>
          <w:w w:val="97"/>
          <w:sz w:val="19"/>
        </w:rPr>
        <w:t>c</w:t>
      </w:r>
      <w:r>
        <w:rPr>
          <w:color w:val="231F20"/>
          <w:w w:val="85"/>
          <w:sz w:val="19"/>
        </w:rPr>
        <w:t>i</w:t>
      </w:r>
      <w:r>
        <w:rPr>
          <w:color w:val="231F20"/>
          <w:spacing w:val="1"/>
          <w:w w:val="105"/>
          <w:sz w:val="19"/>
        </w:rPr>
        <w:t>on</w:t>
      </w:r>
      <w:r>
        <w:rPr>
          <w:color w:val="231F20"/>
          <w:spacing w:val="1"/>
          <w:w w:val="97"/>
          <w:sz w:val="19"/>
        </w:rPr>
        <w:t>e</w:t>
      </w:r>
      <w:r>
        <w:rPr>
          <w:color w:val="231F20"/>
          <w:w w:val="97"/>
          <w:sz w:val="19"/>
        </w:rPr>
        <w:t>s</w:t>
      </w:r>
      <w:r>
        <w:rPr>
          <w:color w:val="231F20"/>
          <w:sz w:val="19"/>
        </w:rPr>
        <w:t> </w:t>
      </w:r>
      <w:r>
        <w:rPr>
          <w:color w:val="231F20"/>
          <w:spacing w:val="-14"/>
          <w:sz w:val="19"/>
        </w:rPr>
        <w:t> </w:t>
      </w:r>
      <w:r>
        <w:rPr>
          <w:color w:val="231F20"/>
          <w:spacing w:val="1"/>
          <w:w w:val="103"/>
          <w:sz w:val="19"/>
        </w:rPr>
        <w:t>d</w:t>
      </w:r>
      <w:r>
        <w:rPr>
          <w:color w:val="231F20"/>
          <w:spacing w:val="1"/>
          <w:w w:val="97"/>
          <w:sz w:val="19"/>
        </w:rPr>
        <w:t>e</w:t>
      </w:r>
      <w:r>
        <w:rPr>
          <w:color w:val="231F20"/>
          <w:w w:val="85"/>
          <w:sz w:val="19"/>
        </w:rPr>
        <w:t>l </w:t>
      </w:r>
      <w:r>
        <w:rPr>
          <w:color w:val="231F20"/>
          <w:sz w:val="19"/>
        </w:rPr>
        <w:t>mundo social, de sus fundamentos teóricos, de los criterios epis- temológicos, metodológicos y empíricos que se ponen en  juego  en un proceso de investigación (Achilli,</w:t>
      </w:r>
      <w:r>
        <w:rPr>
          <w:color w:val="231F20"/>
          <w:spacing w:val="-30"/>
          <w:sz w:val="19"/>
        </w:rPr>
        <w:t> </w:t>
      </w:r>
      <w:r>
        <w:rPr>
          <w:color w:val="231F20"/>
          <w:sz w:val="19"/>
        </w:rPr>
        <w:t>2005:30).</w:t>
      </w:r>
    </w:p>
    <w:p>
      <w:pPr>
        <w:pStyle w:val="BodyText"/>
        <w:spacing w:before="9"/>
      </w:pPr>
    </w:p>
    <w:p>
      <w:pPr>
        <w:pStyle w:val="BodyText"/>
        <w:spacing w:line="244" w:lineRule="auto"/>
        <w:ind w:left="102" w:right="113" w:firstLine="284"/>
        <w:jc w:val="both"/>
      </w:pPr>
      <w:r>
        <w:rPr>
          <w:color w:val="231F20"/>
        </w:rPr>
        <w:t>El enfoque metodológico del que se partió considera que la in- vestigación social implica una interrelación de elementos epistemo- lógicos, teóricos y empíricos. Es decir, que implica en primer lugar, concepciones acerca de cómo se genera el conocimiento; en segun- do lugar, la propuesta teórica que guía la investigación; y por últi- mo, derivado de lo anterior, la forma en que debe acercarse a la realidad, es decir, la construcción de los indicadores que permitirán conocer la realidad. En este sentido concebimos que no hay una autonomía del campo metodológico respecto al  teórico.</w:t>
      </w:r>
    </w:p>
    <w:p>
      <w:pPr>
        <w:pStyle w:val="BodyText"/>
        <w:spacing w:line="247" w:lineRule="auto" w:before="18"/>
        <w:ind w:left="102" w:right="114" w:firstLine="284"/>
        <w:jc w:val="both"/>
      </w:pPr>
      <w:r>
        <w:rPr>
          <w:color w:val="231F20"/>
        </w:rPr>
        <w:t>Por ello, para poder estudiar la violencia dentro de la UABJO, tuvimos que definir primeramente qué es la violencia y si la defi- nición abarcaría cualquier temporalidad y espacialidad, o bien, si la violencia  está  determinada por  los  dos  parámetros anteriores: el</w:t>
      </w:r>
    </w:p>
    <w:p>
      <w:pPr>
        <w:spacing w:after="0" w:line="247" w:lineRule="auto"/>
        <w:jc w:val="both"/>
        <w:sectPr>
          <w:headerReference w:type="default" r:id="rId765"/>
          <w:footerReference w:type="default" r:id="rId766"/>
          <w:pgSz w:w="7830" w:h="11910"/>
          <w:pgMar w:header="0" w:footer="424" w:top="500" w:bottom="620" w:left="920" w:right="900"/>
          <w:pgNumType w:start="34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4"/>
        <w:jc w:val="both"/>
      </w:pPr>
      <w:r>
        <w:rPr>
          <w:color w:val="231F20"/>
        </w:rPr>
        <w:t>tiempo y el espacio. Decidimos que el concepto violencia, al igual que otros, debería ser concebido como histórico, es decir, deter- minado por el tiempo y el espacio, lo que implicó enfatizar al mundo social como complejo, contradictorio y en permanente movimiento. Esta postura requiere de una lógica de investigación en la que no se disocien las concepciones teóricas y empíricas. La definición utilizada fue pensada y analizada por el equipo de in- vestigación desde la realidad que vivimos: la de Oaxaca, para así poder interpretar la realidad y entender el sentido de los conoci- mientos locales, en este caso, de los acontecimientos locales: la realidad de la Universidad Autónoma “Benito Juárez” de Oaxaca, inserta en otras realidades: la propia del estado de Oaxaca y la del país. Para lograr ese enlace entre lo teórico y lo empírico, defini- mos los indicadores a utilizar, lo que llevó a determinar las técni- cas de investigación.</w:t>
      </w:r>
    </w:p>
    <w:p>
      <w:pPr>
        <w:pStyle w:val="BodyText"/>
        <w:spacing w:line="249" w:lineRule="auto"/>
        <w:ind w:left="101" w:right="115" w:firstLine="284"/>
        <w:jc w:val="both"/>
      </w:pPr>
      <w:r>
        <w:rPr>
          <w:color w:val="231F20"/>
          <w:spacing w:val="2"/>
        </w:rPr>
        <w:t>Debido </w:t>
      </w:r>
      <w:r>
        <w:rPr>
          <w:color w:val="231F20"/>
        </w:rPr>
        <w:t>a que la </w:t>
      </w:r>
      <w:r>
        <w:rPr>
          <w:color w:val="231F20"/>
          <w:spacing w:val="2"/>
        </w:rPr>
        <w:t>investigación </w:t>
      </w:r>
      <w:r>
        <w:rPr>
          <w:color w:val="231F20"/>
        </w:rPr>
        <w:t>se </w:t>
      </w:r>
      <w:r>
        <w:rPr>
          <w:color w:val="231F20"/>
          <w:spacing w:val="2"/>
        </w:rPr>
        <w:t>ubica </w:t>
      </w:r>
      <w:r>
        <w:rPr>
          <w:color w:val="231F20"/>
        </w:rPr>
        <w:t>en una </w:t>
      </w:r>
      <w:r>
        <w:rPr>
          <w:color w:val="231F20"/>
          <w:spacing w:val="2"/>
        </w:rPr>
        <w:t>institución </w:t>
      </w:r>
      <w:r>
        <w:rPr>
          <w:color w:val="231F20"/>
          <w:spacing w:val="3"/>
        </w:rPr>
        <w:t>de educación, </w:t>
      </w:r>
      <w:r>
        <w:rPr>
          <w:color w:val="231F20"/>
        </w:rPr>
        <w:t>en </w:t>
      </w:r>
      <w:r>
        <w:rPr>
          <w:color w:val="231F20"/>
          <w:spacing w:val="3"/>
        </w:rPr>
        <w:t>donde </w:t>
      </w:r>
      <w:r>
        <w:rPr>
          <w:color w:val="231F20"/>
        </w:rPr>
        <w:t>la </w:t>
      </w:r>
      <w:r>
        <w:rPr>
          <w:color w:val="231F20"/>
          <w:spacing w:val="2"/>
        </w:rPr>
        <w:t>violencia, </w:t>
      </w:r>
      <w:r>
        <w:rPr>
          <w:color w:val="231F20"/>
        </w:rPr>
        <w:t>si es </w:t>
      </w:r>
      <w:r>
        <w:rPr>
          <w:color w:val="231F20"/>
          <w:spacing w:val="2"/>
        </w:rPr>
        <w:t>que </w:t>
      </w:r>
      <w:r>
        <w:rPr>
          <w:color w:val="231F20"/>
        </w:rPr>
        <w:t>se </w:t>
      </w:r>
      <w:r>
        <w:rPr>
          <w:color w:val="231F20"/>
          <w:spacing w:val="2"/>
        </w:rPr>
        <w:t>da, </w:t>
      </w:r>
      <w:r>
        <w:rPr>
          <w:color w:val="231F20"/>
        </w:rPr>
        <w:t>es </w:t>
      </w:r>
      <w:r>
        <w:rPr>
          <w:color w:val="231F20"/>
          <w:spacing w:val="2"/>
        </w:rPr>
        <w:t>ejercida </w:t>
      </w:r>
      <w:r>
        <w:rPr>
          <w:color w:val="231F20"/>
        </w:rPr>
        <w:t>de </w:t>
      </w:r>
      <w:r>
        <w:rPr>
          <w:color w:val="231F20"/>
          <w:spacing w:val="2"/>
        </w:rPr>
        <w:t>manera ilegal </w:t>
      </w:r>
      <w:r>
        <w:rPr>
          <w:color w:val="231F20"/>
        </w:rPr>
        <w:t>y, por lo </w:t>
      </w:r>
      <w:r>
        <w:rPr>
          <w:color w:val="231F20"/>
          <w:spacing w:val="2"/>
        </w:rPr>
        <w:t>tanto, </w:t>
      </w:r>
      <w:r>
        <w:rPr>
          <w:color w:val="231F20"/>
        </w:rPr>
        <w:t>sus </w:t>
      </w:r>
      <w:r>
        <w:rPr>
          <w:color w:val="231F20"/>
          <w:spacing w:val="2"/>
        </w:rPr>
        <w:t>manifestaciones </w:t>
      </w:r>
      <w:r>
        <w:rPr>
          <w:color w:val="231F20"/>
        </w:rPr>
        <w:t>no son </w:t>
      </w:r>
      <w:r>
        <w:rPr>
          <w:color w:val="231F20"/>
          <w:spacing w:val="2"/>
        </w:rPr>
        <w:t>abiertas, pues </w:t>
      </w:r>
      <w:r>
        <w:rPr>
          <w:color w:val="231F20"/>
        </w:rPr>
        <w:t>no se </w:t>
      </w:r>
      <w:r>
        <w:rPr>
          <w:color w:val="231F20"/>
          <w:spacing w:val="2"/>
        </w:rPr>
        <w:t>trata </w:t>
      </w:r>
      <w:r>
        <w:rPr>
          <w:color w:val="231F20"/>
        </w:rPr>
        <w:t>de </w:t>
      </w:r>
      <w:r>
        <w:rPr>
          <w:color w:val="231F20"/>
          <w:spacing w:val="2"/>
        </w:rPr>
        <w:t>una guerra, </w:t>
      </w:r>
      <w:r>
        <w:rPr>
          <w:color w:val="231F20"/>
        </w:rPr>
        <w:t>en </w:t>
      </w:r>
      <w:r>
        <w:rPr>
          <w:color w:val="231F20"/>
          <w:spacing w:val="2"/>
        </w:rPr>
        <w:t>donde </w:t>
      </w:r>
      <w:r>
        <w:rPr>
          <w:color w:val="231F20"/>
        </w:rPr>
        <w:t>el uso de la </w:t>
      </w:r>
      <w:r>
        <w:rPr>
          <w:color w:val="231F20"/>
          <w:spacing w:val="2"/>
        </w:rPr>
        <w:t>violencia </w:t>
      </w:r>
      <w:r>
        <w:rPr>
          <w:color w:val="231F20"/>
        </w:rPr>
        <w:t>se </w:t>
      </w:r>
      <w:r>
        <w:rPr>
          <w:color w:val="231F20"/>
          <w:spacing w:val="2"/>
        </w:rPr>
        <w:t>haya expuesto </w:t>
      </w:r>
      <w:r>
        <w:rPr>
          <w:color w:val="231F20"/>
        </w:rPr>
        <w:t>y se </w:t>
      </w:r>
      <w:r>
        <w:rPr>
          <w:color w:val="231F20"/>
          <w:spacing w:val="2"/>
        </w:rPr>
        <w:t>puede observar </w:t>
      </w:r>
      <w:r>
        <w:rPr>
          <w:color w:val="231F20"/>
        </w:rPr>
        <w:t>e </w:t>
      </w:r>
      <w:r>
        <w:rPr>
          <w:color w:val="231F20"/>
          <w:spacing w:val="2"/>
        </w:rPr>
        <w:t>incluso grabar, tuvimos </w:t>
      </w:r>
      <w:r>
        <w:rPr>
          <w:color w:val="231F20"/>
        </w:rPr>
        <w:t>que </w:t>
      </w:r>
      <w:r>
        <w:rPr>
          <w:color w:val="231F20"/>
          <w:spacing w:val="2"/>
        </w:rPr>
        <w:t>definir </w:t>
      </w:r>
      <w:r>
        <w:rPr>
          <w:color w:val="231F20"/>
        </w:rPr>
        <w:t>la </w:t>
      </w:r>
      <w:r>
        <w:rPr>
          <w:color w:val="231F20"/>
          <w:spacing w:val="2"/>
        </w:rPr>
        <w:t>estrategia </w:t>
      </w:r>
      <w:r>
        <w:rPr>
          <w:color w:val="231F20"/>
          <w:spacing w:val="3"/>
        </w:rPr>
        <w:t>metodológica </w:t>
      </w:r>
      <w:r>
        <w:rPr>
          <w:color w:val="231F20"/>
          <w:spacing w:val="2"/>
        </w:rPr>
        <w:t>que </w:t>
      </w:r>
      <w:r>
        <w:rPr>
          <w:color w:val="231F20"/>
          <w:spacing w:val="3"/>
        </w:rPr>
        <w:t>respondiera </w:t>
      </w:r>
      <w:r>
        <w:rPr>
          <w:color w:val="231F20"/>
        </w:rPr>
        <w:t>a </w:t>
      </w:r>
      <w:r>
        <w:rPr>
          <w:color w:val="231F20"/>
          <w:spacing w:val="2"/>
        </w:rPr>
        <w:t>esta </w:t>
      </w:r>
      <w:r>
        <w:rPr>
          <w:color w:val="231F20"/>
          <w:spacing w:val="3"/>
        </w:rPr>
        <w:t>situación. Sabemos </w:t>
      </w:r>
      <w:r>
        <w:rPr>
          <w:color w:val="231F20"/>
        </w:rPr>
        <w:t>que </w:t>
      </w:r>
      <w:r>
        <w:rPr>
          <w:color w:val="231F20"/>
          <w:spacing w:val="3"/>
        </w:rPr>
        <w:t>pudimos tomar como </w:t>
      </w:r>
      <w:r>
        <w:rPr>
          <w:color w:val="231F20"/>
          <w:spacing w:val="2"/>
        </w:rPr>
        <w:t>indicadores </w:t>
      </w:r>
      <w:r>
        <w:rPr>
          <w:color w:val="231F20"/>
        </w:rPr>
        <w:t>de la </w:t>
      </w:r>
      <w:r>
        <w:rPr>
          <w:color w:val="231F20"/>
          <w:spacing w:val="2"/>
        </w:rPr>
        <w:t>violencia dentro </w:t>
      </w:r>
      <w:r>
        <w:rPr>
          <w:color w:val="231F20"/>
        </w:rPr>
        <w:t>de la </w:t>
      </w:r>
      <w:r>
        <w:rPr>
          <w:color w:val="231F20"/>
          <w:spacing w:val="3"/>
        </w:rPr>
        <w:t>UABJO </w:t>
      </w:r>
      <w:r>
        <w:rPr>
          <w:color w:val="231F20"/>
        </w:rPr>
        <w:t>las </w:t>
      </w:r>
      <w:r>
        <w:rPr>
          <w:color w:val="231F20"/>
          <w:spacing w:val="2"/>
        </w:rPr>
        <w:t>notas periodísticas, </w:t>
      </w:r>
      <w:r>
        <w:rPr>
          <w:color w:val="231F20"/>
        </w:rPr>
        <w:t>las </w:t>
      </w:r>
      <w:r>
        <w:rPr>
          <w:color w:val="231F20"/>
          <w:spacing w:val="3"/>
        </w:rPr>
        <w:t>demandas </w:t>
      </w:r>
      <w:r>
        <w:rPr>
          <w:color w:val="231F20"/>
          <w:spacing w:val="2"/>
        </w:rPr>
        <w:t>ante </w:t>
      </w:r>
      <w:r>
        <w:rPr>
          <w:color w:val="231F20"/>
          <w:spacing w:val="3"/>
        </w:rPr>
        <w:t>el </w:t>
      </w:r>
      <w:r>
        <w:rPr>
          <w:color w:val="231F20"/>
          <w:spacing w:val="2"/>
        </w:rPr>
        <w:t>Ministerio Público. </w:t>
      </w:r>
      <w:r>
        <w:rPr>
          <w:color w:val="231F20"/>
        </w:rPr>
        <w:t>Sin </w:t>
      </w:r>
      <w:r>
        <w:rPr>
          <w:color w:val="231F20"/>
          <w:spacing w:val="3"/>
        </w:rPr>
        <w:t>embargo, consideramos </w:t>
      </w:r>
      <w:r>
        <w:rPr>
          <w:color w:val="231F20"/>
          <w:spacing w:val="2"/>
        </w:rPr>
        <w:t>que esta </w:t>
      </w:r>
      <w:r>
        <w:rPr>
          <w:color w:val="231F20"/>
          <w:spacing w:val="3"/>
        </w:rPr>
        <w:t>informa- </w:t>
      </w:r>
      <w:r>
        <w:rPr>
          <w:color w:val="231F20"/>
          <w:spacing w:val="2"/>
        </w:rPr>
        <w:t>ción </w:t>
      </w:r>
      <w:r>
        <w:rPr>
          <w:color w:val="231F20"/>
        </w:rPr>
        <w:t>es </w:t>
      </w:r>
      <w:r>
        <w:rPr>
          <w:color w:val="231F20"/>
          <w:spacing w:val="3"/>
        </w:rPr>
        <w:t>muy </w:t>
      </w:r>
      <w:r>
        <w:rPr>
          <w:color w:val="231F20"/>
          <w:spacing w:val="2"/>
        </w:rPr>
        <w:t>general, pues </w:t>
      </w:r>
      <w:r>
        <w:rPr>
          <w:color w:val="231F20"/>
          <w:spacing w:val="3"/>
        </w:rPr>
        <w:t>pocos </w:t>
      </w:r>
      <w:r>
        <w:rPr>
          <w:color w:val="231F20"/>
          <w:spacing w:val="2"/>
        </w:rPr>
        <w:t>casos </w:t>
      </w:r>
      <w:r>
        <w:rPr>
          <w:color w:val="231F20"/>
        </w:rPr>
        <w:t>se </w:t>
      </w:r>
      <w:r>
        <w:rPr>
          <w:color w:val="231F20"/>
          <w:spacing w:val="3"/>
        </w:rPr>
        <w:t>demandan </w:t>
      </w:r>
      <w:r>
        <w:rPr>
          <w:color w:val="231F20"/>
          <w:spacing w:val="2"/>
        </w:rPr>
        <w:t>ante </w:t>
      </w:r>
      <w:r>
        <w:rPr>
          <w:color w:val="231F20"/>
        </w:rPr>
        <w:t>un </w:t>
      </w:r>
      <w:r>
        <w:rPr>
          <w:color w:val="231F20"/>
          <w:spacing w:val="2"/>
        </w:rPr>
        <w:t>MP </w:t>
      </w:r>
      <w:r>
        <w:rPr>
          <w:color w:val="231F20"/>
        </w:rPr>
        <w:t>y las </w:t>
      </w:r>
      <w:r>
        <w:rPr>
          <w:color w:val="231F20"/>
          <w:spacing w:val="2"/>
        </w:rPr>
        <w:t>notas periodistas aluden </w:t>
      </w:r>
      <w:r>
        <w:rPr>
          <w:color w:val="231F20"/>
        </w:rPr>
        <w:t>a </w:t>
      </w:r>
      <w:r>
        <w:rPr>
          <w:color w:val="231F20"/>
          <w:spacing w:val="2"/>
        </w:rPr>
        <w:t>los actos masivos </w:t>
      </w:r>
      <w:r>
        <w:rPr>
          <w:color w:val="231F20"/>
        </w:rPr>
        <w:t>de </w:t>
      </w:r>
      <w:r>
        <w:rPr>
          <w:color w:val="231F20"/>
          <w:spacing w:val="2"/>
        </w:rPr>
        <w:t>violencia </w:t>
      </w:r>
      <w:r>
        <w:rPr>
          <w:color w:val="231F20"/>
        </w:rPr>
        <w:t>y las </w:t>
      </w:r>
      <w:r>
        <w:rPr>
          <w:color w:val="231F20"/>
          <w:spacing w:val="2"/>
        </w:rPr>
        <w:t>expresiones </w:t>
      </w:r>
      <w:r>
        <w:rPr>
          <w:color w:val="231F20"/>
        </w:rPr>
        <w:t>de </w:t>
      </w:r>
      <w:r>
        <w:rPr>
          <w:color w:val="231F20"/>
          <w:spacing w:val="2"/>
        </w:rPr>
        <w:t>esta </w:t>
      </w:r>
      <w:r>
        <w:rPr>
          <w:color w:val="231F20"/>
        </w:rPr>
        <w:t>van </w:t>
      </w:r>
      <w:r>
        <w:rPr>
          <w:color w:val="231F20"/>
          <w:spacing w:val="2"/>
        </w:rPr>
        <w:t>más </w:t>
      </w:r>
      <w:r>
        <w:rPr>
          <w:color w:val="231F20"/>
        </w:rPr>
        <w:t>allá de </w:t>
      </w:r>
      <w:r>
        <w:rPr>
          <w:color w:val="231F20"/>
          <w:spacing w:val="2"/>
        </w:rPr>
        <w:t>estos actos, son actos </w:t>
      </w:r>
      <w:r>
        <w:rPr>
          <w:color w:val="231F20"/>
          <w:spacing w:val="3"/>
        </w:rPr>
        <w:t>cotidia- </w:t>
      </w:r>
      <w:r>
        <w:rPr>
          <w:color w:val="231F20"/>
          <w:spacing w:val="2"/>
        </w:rPr>
        <w:t>nos </w:t>
      </w:r>
      <w:r>
        <w:rPr>
          <w:color w:val="231F20"/>
        </w:rPr>
        <w:t>que </w:t>
      </w:r>
      <w:r>
        <w:rPr>
          <w:color w:val="231F20"/>
          <w:spacing w:val="2"/>
        </w:rPr>
        <w:t>pasan desapercibidos para </w:t>
      </w:r>
      <w:r>
        <w:rPr>
          <w:color w:val="231F20"/>
        </w:rPr>
        <w:t>las </w:t>
      </w:r>
      <w:r>
        <w:rPr>
          <w:color w:val="231F20"/>
          <w:spacing w:val="2"/>
        </w:rPr>
        <w:t>autoridades </w:t>
      </w:r>
      <w:r>
        <w:rPr>
          <w:color w:val="231F20"/>
        </w:rPr>
        <w:t>o </w:t>
      </w:r>
      <w:r>
        <w:rPr>
          <w:color w:val="231F20"/>
          <w:spacing w:val="2"/>
        </w:rPr>
        <w:t>bien, son </w:t>
      </w:r>
      <w:r>
        <w:rPr>
          <w:color w:val="231F20"/>
          <w:spacing w:val="3"/>
        </w:rPr>
        <w:t>tan </w:t>
      </w:r>
      <w:r>
        <w:rPr>
          <w:color w:val="231F20"/>
          <w:spacing w:val="2"/>
        </w:rPr>
        <w:t>cotidianos que </w:t>
      </w:r>
      <w:r>
        <w:rPr>
          <w:color w:val="231F20"/>
        </w:rPr>
        <w:t>se </w:t>
      </w:r>
      <w:r>
        <w:rPr>
          <w:color w:val="231F20"/>
          <w:spacing w:val="2"/>
        </w:rPr>
        <w:t>han vuelto </w:t>
      </w:r>
      <w:r>
        <w:rPr>
          <w:color w:val="231F20"/>
          <w:spacing w:val="3"/>
        </w:rPr>
        <w:t>“normales”. </w:t>
      </w:r>
      <w:r>
        <w:rPr>
          <w:color w:val="231F20"/>
          <w:spacing w:val="2"/>
        </w:rPr>
        <w:t>Por ello, </w:t>
      </w:r>
      <w:r>
        <w:rPr>
          <w:color w:val="231F20"/>
        </w:rPr>
        <w:t>se </w:t>
      </w:r>
      <w:r>
        <w:rPr>
          <w:color w:val="231F20"/>
          <w:spacing w:val="2"/>
        </w:rPr>
        <w:t>han conver- </w:t>
      </w:r>
      <w:r>
        <w:rPr>
          <w:color w:val="231F20"/>
        </w:rPr>
        <w:t>tido en </w:t>
      </w:r>
      <w:r>
        <w:rPr>
          <w:color w:val="231F20"/>
          <w:spacing w:val="2"/>
        </w:rPr>
        <w:t>una violencia </w:t>
      </w:r>
      <w:r>
        <w:rPr>
          <w:color w:val="231F20"/>
          <w:spacing w:val="3"/>
        </w:rPr>
        <w:t>mucho </w:t>
      </w:r>
      <w:r>
        <w:rPr>
          <w:color w:val="231F20"/>
          <w:spacing w:val="2"/>
        </w:rPr>
        <w:t>más </w:t>
      </w:r>
      <w:r>
        <w:rPr>
          <w:color w:val="231F20"/>
          <w:spacing w:val="3"/>
        </w:rPr>
        <w:t>importante </w:t>
      </w:r>
      <w:r>
        <w:rPr>
          <w:color w:val="231F20"/>
          <w:spacing w:val="2"/>
        </w:rPr>
        <w:t>que </w:t>
      </w:r>
      <w:r>
        <w:rPr>
          <w:color w:val="231F20"/>
        </w:rPr>
        <w:t>la </w:t>
      </w:r>
      <w:r>
        <w:rPr>
          <w:color w:val="231F20"/>
          <w:spacing w:val="2"/>
        </w:rPr>
        <w:t>masiva, pues  </w:t>
      </w:r>
      <w:r>
        <w:rPr>
          <w:color w:val="231F20"/>
        </w:rPr>
        <w:t>es </w:t>
      </w:r>
      <w:r>
        <w:rPr>
          <w:color w:val="231F20"/>
          <w:spacing w:val="2"/>
        </w:rPr>
        <w:t>imperceptible. </w:t>
      </w:r>
      <w:r>
        <w:rPr>
          <w:color w:val="231F20"/>
        </w:rPr>
        <w:t>Al </w:t>
      </w:r>
      <w:r>
        <w:rPr>
          <w:color w:val="231F20"/>
          <w:spacing w:val="2"/>
        </w:rPr>
        <w:t>respecto nos </w:t>
      </w:r>
      <w:r>
        <w:rPr>
          <w:color w:val="231F20"/>
          <w:spacing w:val="3"/>
        </w:rPr>
        <w:t>preguntamos: ¿cómo obtener </w:t>
      </w:r>
      <w:r>
        <w:rPr>
          <w:color w:val="231F20"/>
        </w:rPr>
        <w:t>la </w:t>
      </w:r>
      <w:r>
        <w:rPr>
          <w:color w:val="231F20"/>
          <w:spacing w:val="3"/>
        </w:rPr>
        <w:t>información </w:t>
      </w:r>
      <w:r>
        <w:rPr>
          <w:color w:val="231F20"/>
          <w:spacing w:val="2"/>
        </w:rPr>
        <w:t>sobre </w:t>
      </w:r>
      <w:r>
        <w:rPr>
          <w:color w:val="231F20"/>
        </w:rPr>
        <w:t>un </w:t>
      </w:r>
      <w:r>
        <w:rPr>
          <w:color w:val="231F20"/>
          <w:spacing w:val="2"/>
        </w:rPr>
        <w:t>tema </w:t>
      </w:r>
      <w:r>
        <w:rPr>
          <w:color w:val="231F20"/>
        </w:rPr>
        <w:t>tan </w:t>
      </w:r>
      <w:r>
        <w:rPr>
          <w:color w:val="231F20"/>
          <w:spacing w:val="2"/>
        </w:rPr>
        <w:t>delicado </w:t>
      </w:r>
      <w:r>
        <w:rPr>
          <w:color w:val="231F20"/>
          <w:spacing w:val="3"/>
        </w:rPr>
        <w:t>como </w:t>
      </w:r>
      <w:r>
        <w:rPr>
          <w:color w:val="231F20"/>
        </w:rPr>
        <w:t>la </w:t>
      </w:r>
      <w:r>
        <w:rPr>
          <w:color w:val="231F20"/>
          <w:spacing w:val="2"/>
        </w:rPr>
        <w:t>violencia?, </w:t>
      </w:r>
      <w:r>
        <w:rPr>
          <w:color w:val="231F20"/>
          <w:spacing w:val="3"/>
        </w:rPr>
        <w:t>¿có- </w:t>
      </w:r>
      <w:r>
        <w:rPr>
          <w:color w:val="231F20"/>
          <w:spacing w:val="2"/>
        </w:rPr>
        <w:t>mo lograr </w:t>
      </w:r>
      <w:r>
        <w:rPr>
          <w:color w:val="231F20"/>
        </w:rPr>
        <w:t>que los </w:t>
      </w:r>
      <w:r>
        <w:rPr>
          <w:color w:val="231F20"/>
          <w:spacing w:val="2"/>
        </w:rPr>
        <w:t>alumnos expusieran, </w:t>
      </w:r>
      <w:r>
        <w:rPr>
          <w:color w:val="231F20"/>
        </w:rPr>
        <w:t>si es </w:t>
      </w:r>
      <w:r>
        <w:rPr>
          <w:color w:val="231F20"/>
          <w:spacing w:val="2"/>
        </w:rPr>
        <w:t>que </w:t>
      </w:r>
      <w:r>
        <w:rPr>
          <w:color w:val="231F20"/>
        </w:rPr>
        <w:t>la han </w:t>
      </w:r>
      <w:r>
        <w:rPr>
          <w:color w:val="231F20"/>
          <w:spacing w:val="2"/>
        </w:rPr>
        <w:t>vivido, </w:t>
      </w:r>
      <w:r>
        <w:rPr>
          <w:color w:val="231F20"/>
        </w:rPr>
        <w:t>sus </w:t>
      </w:r>
      <w:r>
        <w:rPr>
          <w:color w:val="231F20"/>
          <w:spacing w:val="2"/>
        </w:rPr>
        <w:t>experiencias </w:t>
      </w:r>
      <w:r>
        <w:rPr>
          <w:color w:val="231F20"/>
        </w:rPr>
        <w:t>sin </w:t>
      </w:r>
      <w:r>
        <w:rPr>
          <w:color w:val="231F20"/>
          <w:spacing w:val="2"/>
        </w:rPr>
        <w:t>que pudieran estar </w:t>
      </w:r>
      <w:r>
        <w:rPr>
          <w:color w:val="231F20"/>
        </w:rPr>
        <w:t>en </w:t>
      </w:r>
      <w:r>
        <w:rPr>
          <w:color w:val="231F20"/>
          <w:spacing w:val="2"/>
        </w:rPr>
        <w:t>peligro por haber </w:t>
      </w:r>
      <w:r>
        <w:rPr>
          <w:color w:val="231F20"/>
          <w:spacing w:val="3"/>
        </w:rPr>
        <w:t>expresa- </w:t>
      </w:r>
      <w:r>
        <w:rPr>
          <w:color w:val="231F20"/>
        </w:rPr>
        <w:t>do a </w:t>
      </w:r>
      <w:r>
        <w:rPr>
          <w:color w:val="231F20"/>
          <w:spacing w:val="2"/>
        </w:rPr>
        <w:t>extraños esta situación? </w:t>
      </w:r>
      <w:r>
        <w:rPr>
          <w:color w:val="231F20"/>
          <w:spacing w:val="3"/>
        </w:rPr>
        <w:t>Consideramos </w:t>
      </w:r>
      <w:r>
        <w:rPr>
          <w:color w:val="231F20"/>
          <w:spacing w:val="2"/>
        </w:rPr>
        <w:t>que </w:t>
      </w:r>
      <w:r>
        <w:rPr>
          <w:color w:val="231F20"/>
        </w:rPr>
        <w:t>la </w:t>
      </w:r>
      <w:r>
        <w:rPr>
          <w:color w:val="231F20"/>
          <w:spacing w:val="2"/>
        </w:rPr>
        <w:t>aplicación </w:t>
      </w:r>
      <w:r>
        <w:rPr>
          <w:color w:val="231F20"/>
        </w:rPr>
        <w:t>de  un </w:t>
      </w:r>
      <w:r>
        <w:rPr>
          <w:color w:val="231F20"/>
          <w:spacing w:val="2"/>
        </w:rPr>
        <w:t>cuestionario permitiría </w:t>
      </w:r>
      <w:r>
        <w:rPr>
          <w:color w:val="231F20"/>
          <w:spacing w:val="3"/>
        </w:rPr>
        <w:t>obtener </w:t>
      </w:r>
      <w:r>
        <w:rPr>
          <w:color w:val="231F20"/>
        </w:rPr>
        <w:t>la </w:t>
      </w:r>
      <w:r>
        <w:rPr>
          <w:color w:val="231F20"/>
          <w:spacing w:val="3"/>
        </w:rPr>
        <w:t>información </w:t>
      </w:r>
      <w:r>
        <w:rPr>
          <w:color w:val="231F20"/>
          <w:spacing w:val="2"/>
        </w:rPr>
        <w:t>necesaria </w:t>
      </w:r>
      <w:r>
        <w:rPr>
          <w:color w:val="231F20"/>
        </w:rPr>
        <w:t>y que </w:t>
      </w:r>
      <w:r>
        <w:rPr>
          <w:color w:val="231F20"/>
          <w:spacing w:val="2"/>
        </w:rPr>
        <w:t>protegería </w:t>
      </w:r>
      <w:r>
        <w:rPr>
          <w:color w:val="231F20"/>
        </w:rPr>
        <w:t>la </w:t>
      </w:r>
      <w:r>
        <w:rPr>
          <w:color w:val="231F20"/>
          <w:spacing w:val="2"/>
        </w:rPr>
        <w:t>integridad física </w:t>
      </w:r>
      <w:r>
        <w:rPr>
          <w:color w:val="231F20"/>
        </w:rPr>
        <w:t>de </w:t>
      </w:r>
      <w:r>
        <w:rPr>
          <w:color w:val="231F20"/>
          <w:spacing w:val="2"/>
        </w:rPr>
        <w:t>los </w:t>
      </w:r>
      <w:r>
        <w:rPr>
          <w:color w:val="231F20"/>
          <w:spacing w:val="3"/>
        </w:rPr>
        <w:t>alumnos, </w:t>
      </w:r>
      <w:r>
        <w:rPr>
          <w:color w:val="231F20"/>
          <w:spacing w:val="2"/>
        </w:rPr>
        <w:t>pues sería</w:t>
      </w:r>
      <w:r>
        <w:rPr>
          <w:color w:val="231F20"/>
          <w:spacing w:val="-18"/>
        </w:rPr>
        <w:t> </w:t>
      </w:r>
      <w:r>
        <w:rPr>
          <w:color w:val="231F20"/>
          <w:spacing w:val="3"/>
        </w:rPr>
        <w:t>anónimo.</w:t>
      </w:r>
    </w:p>
    <w:p>
      <w:pPr>
        <w:pStyle w:val="BodyText"/>
        <w:spacing w:line="247" w:lineRule="auto"/>
        <w:ind w:left="101" w:right="119" w:firstLine="284"/>
        <w:jc w:val="both"/>
      </w:pPr>
      <w:r>
        <w:rPr>
          <w:color w:val="231F20"/>
        </w:rPr>
        <w:t>De esta manera, se aplicaron 701 cuestionarios a un número igualitario  de  alumnos.  Las  escuelas,  facultades  e  institutos en</w:t>
      </w:r>
    </w:p>
    <w:p>
      <w:pPr>
        <w:spacing w:after="0" w:line="247" w:lineRule="auto"/>
        <w:jc w:val="both"/>
        <w:sectPr>
          <w:headerReference w:type="default" r:id="rId767"/>
          <w:footerReference w:type="default" r:id="rId768"/>
          <w:pgSz w:w="7830" w:h="11910"/>
          <w:pgMar w:header="0" w:footer="424" w:top="500" w:bottom="620" w:left="920" w:right="900"/>
          <w:pgNumType w:start="34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5"/>
        <w:jc w:val="both"/>
      </w:pPr>
      <w:r>
        <w:rPr>
          <w:color w:val="231F20"/>
          <w:spacing w:val="3"/>
        </w:rPr>
        <w:t>donde </w:t>
      </w:r>
      <w:r>
        <w:rPr>
          <w:color w:val="231F20"/>
        </w:rPr>
        <w:t>se llevó a </w:t>
      </w:r>
      <w:r>
        <w:rPr>
          <w:color w:val="231F20"/>
          <w:spacing w:val="2"/>
        </w:rPr>
        <w:t>cabo esta tarea fueron: </w:t>
      </w:r>
      <w:r>
        <w:rPr>
          <w:color w:val="231F20"/>
          <w:spacing w:val="3"/>
        </w:rPr>
        <w:t>Enfermería, Economía, </w:t>
      </w:r>
      <w:r>
        <w:rPr>
          <w:color w:val="231F20"/>
          <w:spacing w:val="2"/>
        </w:rPr>
        <w:t>Veterinaria </w:t>
      </w:r>
      <w:r>
        <w:rPr>
          <w:color w:val="231F20"/>
        </w:rPr>
        <w:t>y </w:t>
      </w:r>
      <w:r>
        <w:rPr>
          <w:color w:val="231F20"/>
          <w:spacing w:val="3"/>
        </w:rPr>
        <w:t>Zootecnia, </w:t>
      </w:r>
      <w:r>
        <w:rPr>
          <w:color w:val="231F20"/>
          <w:spacing w:val="2"/>
        </w:rPr>
        <w:t>Ciencias, Arquitectura </w:t>
      </w:r>
      <w:r>
        <w:rPr>
          <w:color w:val="231F20"/>
        </w:rPr>
        <w:t>de </w:t>
      </w:r>
      <w:r>
        <w:rPr>
          <w:color w:val="231F20"/>
          <w:spacing w:val="2"/>
        </w:rPr>
        <w:t>C.U., </w:t>
      </w:r>
      <w:r>
        <w:rPr>
          <w:color w:val="231F20"/>
          <w:spacing w:val="3"/>
        </w:rPr>
        <w:t>Derecho   </w:t>
      </w:r>
      <w:r>
        <w:rPr>
          <w:color w:val="231F20"/>
        </w:rPr>
        <w:t>y</w:t>
      </w:r>
      <w:r>
        <w:rPr>
          <w:color w:val="231F20"/>
          <w:spacing w:val="-8"/>
        </w:rPr>
        <w:t> </w:t>
      </w:r>
      <w:r>
        <w:rPr>
          <w:color w:val="231F20"/>
          <w:spacing w:val="2"/>
        </w:rPr>
        <w:t>Ciencias</w:t>
      </w:r>
      <w:r>
        <w:rPr>
          <w:color w:val="231F20"/>
          <w:spacing w:val="-8"/>
        </w:rPr>
        <w:t> </w:t>
      </w:r>
      <w:r>
        <w:rPr>
          <w:color w:val="231F20"/>
          <w:spacing w:val="2"/>
        </w:rPr>
        <w:t>Sociales,</w:t>
      </w:r>
      <w:r>
        <w:rPr>
          <w:color w:val="231F20"/>
          <w:spacing w:val="-8"/>
        </w:rPr>
        <w:t> </w:t>
      </w:r>
      <w:r>
        <w:rPr>
          <w:color w:val="231F20"/>
          <w:spacing w:val="3"/>
        </w:rPr>
        <w:t>Contaduría</w:t>
      </w:r>
      <w:r>
        <w:rPr>
          <w:color w:val="231F20"/>
          <w:spacing w:val="-8"/>
        </w:rPr>
        <w:t> </w:t>
      </w:r>
      <w:r>
        <w:rPr>
          <w:color w:val="231F20"/>
        </w:rPr>
        <w:t>y</w:t>
      </w:r>
      <w:r>
        <w:rPr>
          <w:color w:val="231F20"/>
          <w:spacing w:val="-8"/>
        </w:rPr>
        <w:t> </w:t>
      </w:r>
      <w:r>
        <w:rPr>
          <w:color w:val="231F20"/>
          <w:spacing w:val="3"/>
        </w:rPr>
        <w:t>Administración,</w:t>
      </w:r>
      <w:r>
        <w:rPr>
          <w:color w:val="231F20"/>
          <w:spacing w:val="-8"/>
        </w:rPr>
        <w:t> </w:t>
      </w:r>
      <w:r>
        <w:rPr>
          <w:color w:val="231F20"/>
          <w:spacing w:val="2"/>
        </w:rPr>
        <w:t>Ciencias</w:t>
      </w:r>
      <w:r>
        <w:rPr>
          <w:color w:val="231F20"/>
          <w:spacing w:val="-8"/>
        </w:rPr>
        <w:t> </w:t>
      </w:r>
      <w:r>
        <w:rPr>
          <w:color w:val="231F20"/>
          <w:spacing w:val="2"/>
        </w:rPr>
        <w:t>Quími- cas, </w:t>
      </w:r>
      <w:r>
        <w:rPr>
          <w:color w:val="231F20"/>
          <w:spacing w:val="3"/>
        </w:rPr>
        <w:t>Odontología, </w:t>
      </w:r>
      <w:r>
        <w:rPr>
          <w:color w:val="231F20"/>
        </w:rPr>
        <w:t>y el </w:t>
      </w:r>
      <w:r>
        <w:rPr>
          <w:color w:val="231F20"/>
          <w:spacing w:val="2"/>
        </w:rPr>
        <w:t>Instituto </w:t>
      </w:r>
      <w:r>
        <w:rPr>
          <w:color w:val="231F20"/>
        </w:rPr>
        <w:t>de </w:t>
      </w:r>
      <w:r>
        <w:rPr>
          <w:color w:val="231F20"/>
          <w:spacing w:val="2"/>
        </w:rPr>
        <w:t>Ciencias </w:t>
      </w:r>
      <w:r>
        <w:rPr>
          <w:color w:val="231F20"/>
        </w:rPr>
        <w:t>de la</w:t>
      </w:r>
      <w:r>
        <w:rPr>
          <w:color w:val="231F20"/>
          <w:spacing w:val="26"/>
        </w:rPr>
        <w:t> </w:t>
      </w:r>
      <w:r>
        <w:rPr>
          <w:color w:val="231F20"/>
          <w:spacing w:val="3"/>
        </w:rPr>
        <w:t>Educación.</w:t>
      </w:r>
    </w:p>
    <w:p>
      <w:pPr>
        <w:pStyle w:val="BodyText"/>
        <w:spacing w:line="249" w:lineRule="auto" w:before="1"/>
        <w:ind w:left="101" w:right="114" w:firstLine="284"/>
        <w:jc w:val="both"/>
      </w:pPr>
      <w:r>
        <w:rPr>
          <w:color w:val="231F20"/>
        </w:rPr>
        <w:t>La </w:t>
      </w:r>
      <w:r>
        <w:rPr>
          <w:color w:val="231F20"/>
          <w:spacing w:val="2"/>
        </w:rPr>
        <w:t>estrategia para </w:t>
      </w:r>
      <w:r>
        <w:rPr>
          <w:color w:val="231F20"/>
        </w:rPr>
        <w:t>la </w:t>
      </w:r>
      <w:r>
        <w:rPr>
          <w:color w:val="231F20"/>
          <w:spacing w:val="2"/>
        </w:rPr>
        <w:t>aplicación </w:t>
      </w:r>
      <w:r>
        <w:rPr>
          <w:color w:val="231F20"/>
        </w:rPr>
        <w:t>del </w:t>
      </w:r>
      <w:r>
        <w:rPr>
          <w:color w:val="231F20"/>
          <w:spacing w:val="2"/>
        </w:rPr>
        <w:t>cuestionario </w:t>
      </w:r>
      <w:r>
        <w:rPr>
          <w:color w:val="231F20"/>
        </w:rPr>
        <w:t>fue la </w:t>
      </w:r>
      <w:r>
        <w:rPr>
          <w:color w:val="231F20"/>
          <w:spacing w:val="2"/>
        </w:rPr>
        <w:t>siguiente: </w:t>
      </w:r>
      <w:r>
        <w:rPr>
          <w:color w:val="231F20"/>
        </w:rPr>
        <w:t>se </w:t>
      </w:r>
      <w:r>
        <w:rPr>
          <w:color w:val="231F20"/>
          <w:spacing w:val="3"/>
        </w:rPr>
        <w:t>informó </w:t>
      </w:r>
      <w:r>
        <w:rPr>
          <w:color w:val="231F20"/>
        </w:rPr>
        <w:t>a </w:t>
      </w:r>
      <w:r>
        <w:rPr>
          <w:color w:val="231F20"/>
          <w:spacing w:val="2"/>
        </w:rPr>
        <w:t>los directores </w:t>
      </w:r>
      <w:r>
        <w:rPr>
          <w:color w:val="231F20"/>
        </w:rPr>
        <w:t>de </w:t>
      </w:r>
      <w:r>
        <w:rPr>
          <w:color w:val="231F20"/>
          <w:spacing w:val="2"/>
        </w:rPr>
        <w:t>cada una </w:t>
      </w:r>
      <w:r>
        <w:rPr>
          <w:color w:val="231F20"/>
        </w:rPr>
        <w:t>de las </w:t>
      </w:r>
      <w:r>
        <w:rPr>
          <w:color w:val="231F20"/>
          <w:spacing w:val="2"/>
        </w:rPr>
        <w:t>escuelas, </w:t>
      </w:r>
      <w:r>
        <w:rPr>
          <w:color w:val="231F20"/>
          <w:spacing w:val="3"/>
        </w:rPr>
        <w:t>facultades   </w:t>
      </w:r>
      <w:r>
        <w:rPr>
          <w:color w:val="231F20"/>
        </w:rPr>
        <w:t>e </w:t>
      </w:r>
      <w:r>
        <w:rPr>
          <w:color w:val="231F20"/>
          <w:spacing w:val="2"/>
        </w:rPr>
        <w:t>institutos </w:t>
      </w:r>
      <w:r>
        <w:rPr>
          <w:color w:val="231F20"/>
        </w:rPr>
        <w:t>de la </w:t>
      </w:r>
      <w:r>
        <w:rPr>
          <w:color w:val="231F20"/>
          <w:spacing w:val="2"/>
        </w:rPr>
        <w:t>investigación </w:t>
      </w:r>
      <w:r>
        <w:rPr>
          <w:color w:val="231F20"/>
        </w:rPr>
        <w:t>y se </w:t>
      </w:r>
      <w:r>
        <w:rPr>
          <w:color w:val="231F20"/>
          <w:spacing w:val="2"/>
        </w:rPr>
        <w:t>solicitó </w:t>
      </w:r>
      <w:r>
        <w:rPr>
          <w:color w:val="231F20"/>
        </w:rPr>
        <w:t>su </w:t>
      </w:r>
      <w:r>
        <w:rPr>
          <w:color w:val="231F20"/>
          <w:spacing w:val="2"/>
        </w:rPr>
        <w:t>apoyo para </w:t>
      </w:r>
      <w:r>
        <w:rPr>
          <w:color w:val="231F20"/>
        </w:rPr>
        <w:t>la apli- </w:t>
      </w:r>
      <w:r>
        <w:rPr>
          <w:color w:val="231F20"/>
          <w:spacing w:val="2"/>
        </w:rPr>
        <w:t>cación del cuestionario. Este apoyo consistió </w:t>
      </w:r>
      <w:r>
        <w:rPr>
          <w:color w:val="231F20"/>
        </w:rPr>
        <w:t>en </w:t>
      </w:r>
      <w:r>
        <w:rPr>
          <w:color w:val="231F20"/>
          <w:spacing w:val="3"/>
        </w:rPr>
        <w:t>informar </w:t>
      </w:r>
      <w:r>
        <w:rPr>
          <w:color w:val="231F20"/>
        </w:rPr>
        <w:t>a </w:t>
      </w:r>
      <w:r>
        <w:rPr>
          <w:color w:val="231F20"/>
          <w:spacing w:val="3"/>
        </w:rPr>
        <w:t>los profesores </w:t>
      </w:r>
      <w:r>
        <w:rPr>
          <w:color w:val="231F20"/>
        </w:rPr>
        <w:t>que se </w:t>
      </w:r>
      <w:r>
        <w:rPr>
          <w:color w:val="231F20"/>
          <w:spacing w:val="2"/>
        </w:rPr>
        <w:t>llevaría </w:t>
      </w:r>
      <w:r>
        <w:rPr>
          <w:color w:val="231F20"/>
        </w:rPr>
        <w:t>a </w:t>
      </w:r>
      <w:r>
        <w:rPr>
          <w:color w:val="231F20"/>
          <w:spacing w:val="2"/>
        </w:rPr>
        <w:t>cabo esta actividad, destinar </w:t>
      </w:r>
      <w:r>
        <w:rPr>
          <w:color w:val="231F20"/>
        </w:rPr>
        <w:t>un </w:t>
      </w:r>
      <w:r>
        <w:rPr>
          <w:color w:val="231F20"/>
          <w:spacing w:val="3"/>
        </w:rPr>
        <w:t>hora- </w:t>
      </w:r>
      <w:r>
        <w:rPr>
          <w:color w:val="231F20"/>
        </w:rPr>
        <w:t>rio y un </w:t>
      </w:r>
      <w:r>
        <w:rPr>
          <w:color w:val="231F20"/>
          <w:spacing w:val="2"/>
        </w:rPr>
        <w:t>aula para </w:t>
      </w:r>
      <w:r>
        <w:rPr>
          <w:color w:val="231F20"/>
        </w:rPr>
        <w:t>la </w:t>
      </w:r>
      <w:r>
        <w:rPr>
          <w:color w:val="231F20"/>
          <w:spacing w:val="2"/>
        </w:rPr>
        <w:t>aplicación del </w:t>
      </w:r>
      <w:r>
        <w:rPr>
          <w:color w:val="231F20"/>
          <w:spacing w:val="3"/>
        </w:rPr>
        <w:t>cuestionario, además </w:t>
      </w:r>
      <w:r>
        <w:rPr>
          <w:color w:val="231F20"/>
        </w:rPr>
        <w:t>de </w:t>
      </w:r>
      <w:r>
        <w:rPr>
          <w:color w:val="231F20"/>
          <w:spacing w:val="3"/>
        </w:rPr>
        <w:t>invitar </w:t>
      </w:r>
      <w:r>
        <w:rPr>
          <w:color w:val="231F20"/>
        </w:rPr>
        <w:t>a un </w:t>
      </w:r>
      <w:r>
        <w:rPr>
          <w:color w:val="231F20"/>
          <w:spacing w:val="3"/>
        </w:rPr>
        <w:t>determinado número </w:t>
      </w:r>
      <w:r>
        <w:rPr>
          <w:color w:val="231F20"/>
        </w:rPr>
        <w:t>de </w:t>
      </w:r>
      <w:r>
        <w:rPr>
          <w:color w:val="231F20"/>
          <w:spacing w:val="3"/>
        </w:rPr>
        <w:t>alumnos(en </w:t>
      </w:r>
      <w:r>
        <w:rPr>
          <w:color w:val="231F20"/>
          <w:spacing w:val="2"/>
        </w:rPr>
        <w:t>función del </w:t>
      </w:r>
      <w:r>
        <w:rPr>
          <w:color w:val="231F20"/>
          <w:spacing w:val="3"/>
        </w:rPr>
        <w:t>número </w:t>
      </w:r>
      <w:r>
        <w:rPr>
          <w:color w:val="231F20"/>
        </w:rPr>
        <w:t>de </w:t>
      </w:r>
      <w:r>
        <w:rPr>
          <w:color w:val="231F20"/>
          <w:spacing w:val="3"/>
        </w:rPr>
        <w:t>alumnos </w:t>
      </w:r>
      <w:r>
        <w:rPr>
          <w:color w:val="231F20"/>
          <w:spacing w:val="2"/>
        </w:rPr>
        <w:t>inscritos. </w:t>
      </w:r>
      <w:r>
        <w:rPr>
          <w:color w:val="231F20"/>
        </w:rPr>
        <w:t>Se </w:t>
      </w:r>
      <w:r>
        <w:rPr>
          <w:color w:val="231F20"/>
          <w:spacing w:val="2"/>
        </w:rPr>
        <w:t>pedía </w:t>
      </w:r>
      <w:r>
        <w:rPr>
          <w:color w:val="231F20"/>
        </w:rPr>
        <w:t>que </w:t>
      </w:r>
      <w:r>
        <w:rPr>
          <w:color w:val="231F20"/>
          <w:spacing w:val="2"/>
        </w:rPr>
        <w:t>fueran </w:t>
      </w:r>
      <w:r>
        <w:rPr>
          <w:color w:val="231F20"/>
        </w:rPr>
        <w:t>de  </w:t>
      </w:r>
      <w:r>
        <w:rPr>
          <w:color w:val="231F20"/>
          <w:spacing w:val="3"/>
        </w:rPr>
        <w:t>todos </w:t>
      </w:r>
      <w:r>
        <w:rPr>
          <w:color w:val="231F20"/>
          <w:spacing w:val="2"/>
        </w:rPr>
        <w:t>los semestres </w:t>
      </w:r>
      <w:r>
        <w:rPr>
          <w:color w:val="231F20"/>
        </w:rPr>
        <w:t>y  que se </w:t>
      </w:r>
      <w:r>
        <w:rPr>
          <w:color w:val="231F20"/>
          <w:spacing w:val="3"/>
        </w:rPr>
        <w:t>contemplara proporcionalmente </w:t>
      </w:r>
      <w:r>
        <w:rPr>
          <w:color w:val="231F20"/>
        </w:rPr>
        <w:t>a </w:t>
      </w:r>
      <w:r>
        <w:rPr>
          <w:color w:val="231F20"/>
          <w:spacing w:val="3"/>
        </w:rPr>
        <w:t>hombres </w:t>
      </w:r>
      <w:r>
        <w:rPr>
          <w:color w:val="231F20"/>
        </w:rPr>
        <w:t>y </w:t>
      </w:r>
      <w:r>
        <w:rPr>
          <w:color w:val="231F20"/>
          <w:spacing w:val="2"/>
        </w:rPr>
        <w:t>mujeres). </w:t>
      </w:r>
      <w:r>
        <w:rPr>
          <w:color w:val="231F20"/>
        </w:rPr>
        <w:t>El </w:t>
      </w:r>
      <w:r>
        <w:rPr>
          <w:color w:val="231F20"/>
          <w:spacing w:val="2"/>
        </w:rPr>
        <w:t>día indicado </w:t>
      </w:r>
      <w:r>
        <w:rPr>
          <w:color w:val="231F20"/>
        </w:rPr>
        <w:t>el </w:t>
      </w:r>
      <w:r>
        <w:rPr>
          <w:color w:val="231F20"/>
          <w:spacing w:val="2"/>
        </w:rPr>
        <w:t>equipo </w:t>
      </w:r>
      <w:r>
        <w:rPr>
          <w:color w:val="231F20"/>
        </w:rPr>
        <w:t>de </w:t>
      </w:r>
      <w:r>
        <w:rPr>
          <w:color w:val="231F20"/>
          <w:spacing w:val="2"/>
        </w:rPr>
        <w:t>investigadores </w:t>
      </w:r>
      <w:r>
        <w:rPr>
          <w:color w:val="231F20"/>
        </w:rPr>
        <w:t>llegó al </w:t>
      </w:r>
      <w:r>
        <w:rPr>
          <w:color w:val="231F20"/>
          <w:spacing w:val="2"/>
        </w:rPr>
        <w:t>aula </w:t>
      </w:r>
      <w:r>
        <w:rPr>
          <w:color w:val="231F20"/>
        </w:rPr>
        <w:t>o </w:t>
      </w:r>
      <w:r>
        <w:rPr>
          <w:color w:val="231F20"/>
          <w:spacing w:val="2"/>
        </w:rPr>
        <w:t>auditorio, </w:t>
      </w:r>
      <w:r>
        <w:rPr>
          <w:color w:val="231F20"/>
        </w:rPr>
        <w:t>y </w:t>
      </w:r>
      <w:r>
        <w:rPr>
          <w:color w:val="231F20"/>
          <w:spacing w:val="2"/>
        </w:rPr>
        <w:t>explicó </w:t>
      </w:r>
      <w:r>
        <w:rPr>
          <w:color w:val="231F20"/>
        </w:rPr>
        <w:t>a </w:t>
      </w:r>
      <w:r>
        <w:rPr>
          <w:color w:val="231F20"/>
          <w:spacing w:val="2"/>
        </w:rPr>
        <w:t>los </w:t>
      </w:r>
      <w:r>
        <w:rPr>
          <w:color w:val="231F20"/>
          <w:spacing w:val="3"/>
        </w:rPr>
        <w:t>alumnos </w:t>
      </w:r>
      <w:r>
        <w:rPr>
          <w:color w:val="231F20"/>
        </w:rPr>
        <w:t>la </w:t>
      </w:r>
      <w:r>
        <w:rPr>
          <w:color w:val="231F20"/>
          <w:spacing w:val="2"/>
        </w:rPr>
        <w:t>naturaleza </w:t>
      </w:r>
      <w:r>
        <w:rPr>
          <w:color w:val="231F20"/>
        </w:rPr>
        <w:t>de la </w:t>
      </w:r>
      <w:r>
        <w:rPr>
          <w:color w:val="231F20"/>
          <w:spacing w:val="2"/>
        </w:rPr>
        <w:t>investigación, </w:t>
      </w:r>
      <w:r>
        <w:rPr>
          <w:color w:val="231F20"/>
        </w:rPr>
        <w:t>su </w:t>
      </w:r>
      <w:r>
        <w:rPr>
          <w:color w:val="231F20"/>
          <w:spacing w:val="3"/>
        </w:rPr>
        <w:t>impor- </w:t>
      </w:r>
      <w:r>
        <w:rPr>
          <w:color w:val="231F20"/>
          <w:spacing w:val="2"/>
        </w:rPr>
        <w:t>tancia </w:t>
      </w:r>
      <w:r>
        <w:rPr>
          <w:color w:val="231F20"/>
        </w:rPr>
        <w:t>y, </w:t>
      </w:r>
      <w:r>
        <w:rPr>
          <w:color w:val="231F20"/>
          <w:spacing w:val="2"/>
        </w:rPr>
        <w:t>sobre todo, que </w:t>
      </w:r>
      <w:r>
        <w:rPr>
          <w:color w:val="231F20"/>
        </w:rPr>
        <w:t>era un </w:t>
      </w:r>
      <w:r>
        <w:rPr>
          <w:color w:val="231F20"/>
          <w:spacing w:val="2"/>
        </w:rPr>
        <w:t>cuestionario  </w:t>
      </w:r>
      <w:r>
        <w:rPr>
          <w:color w:val="231F20"/>
          <w:spacing w:val="3"/>
        </w:rPr>
        <w:t>anónimo,  </w:t>
      </w:r>
      <w:r>
        <w:rPr>
          <w:color w:val="231F20"/>
          <w:spacing w:val="2"/>
        </w:rPr>
        <w:t>por  </w:t>
      </w:r>
      <w:r>
        <w:rPr>
          <w:color w:val="231F20"/>
        </w:rPr>
        <w:t>lo </w:t>
      </w:r>
      <w:r>
        <w:rPr>
          <w:color w:val="231F20"/>
          <w:spacing w:val="2"/>
        </w:rPr>
        <w:t>tanto </w:t>
      </w:r>
      <w:r>
        <w:rPr>
          <w:color w:val="231F20"/>
        </w:rPr>
        <w:t>no </w:t>
      </w:r>
      <w:r>
        <w:rPr>
          <w:color w:val="231F20"/>
          <w:spacing w:val="2"/>
        </w:rPr>
        <w:t>corrían </w:t>
      </w:r>
      <w:r>
        <w:rPr>
          <w:color w:val="231F20"/>
        </w:rPr>
        <w:t>el </w:t>
      </w:r>
      <w:r>
        <w:rPr>
          <w:color w:val="231F20"/>
          <w:spacing w:val="2"/>
        </w:rPr>
        <w:t>riesgo </w:t>
      </w:r>
      <w:r>
        <w:rPr>
          <w:color w:val="231F20"/>
        </w:rPr>
        <w:t>de </w:t>
      </w:r>
      <w:r>
        <w:rPr>
          <w:color w:val="231F20"/>
          <w:spacing w:val="2"/>
        </w:rPr>
        <w:t>sufrir represalias por </w:t>
      </w:r>
      <w:r>
        <w:rPr>
          <w:color w:val="231F20"/>
          <w:spacing w:val="10"/>
        </w:rPr>
        <w:t> </w:t>
      </w:r>
      <w:r>
        <w:rPr>
          <w:color w:val="231F20"/>
          <w:spacing w:val="2"/>
        </w:rPr>
        <w:t>contestarlo.</w:t>
      </w:r>
    </w:p>
    <w:p>
      <w:pPr>
        <w:pStyle w:val="BodyText"/>
        <w:spacing w:line="247" w:lineRule="auto" w:before="3"/>
        <w:ind w:left="101" w:right="121" w:firstLine="284"/>
      </w:pPr>
      <w:r>
        <w:rPr>
          <w:color w:val="231F20"/>
        </w:rPr>
        <w:t>Utilizamos este procedimiento y no el de una muestra aleatoria debido a la naturaleza de la investigación:</w:t>
      </w:r>
    </w:p>
    <w:p>
      <w:pPr>
        <w:pStyle w:val="BodyText"/>
        <w:spacing w:before="5"/>
        <w:rPr>
          <w:sz w:val="20"/>
        </w:rPr>
      </w:pPr>
    </w:p>
    <w:p>
      <w:pPr>
        <w:pStyle w:val="ListParagraph"/>
        <w:numPr>
          <w:ilvl w:val="1"/>
          <w:numId w:val="20"/>
        </w:numPr>
        <w:tabs>
          <w:tab w:pos="821" w:val="left" w:leader="none"/>
          <w:tab w:pos="822" w:val="left" w:leader="none"/>
        </w:tabs>
        <w:spacing w:line="247" w:lineRule="auto" w:before="1" w:after="0"/>
        <w:ind w:left="821" w:right="119" w:hanging="360"/>
        <w:jc w:val="left"/>
        <w:rPr>
          <w:sz w:val="21"/>
        </w:rPr>
      </w:pPr>
      <w:r>
        <w:rPr>
          <w:color w:val="231F20"/>
          <w:sz w:val="21"/>
        </w:rPr>
        <w:t>Consideramos que el tema exigía de una respuesta voluntaria de los alumnos.</w:t>
      </w:r>
    </w:p>
    <w:p>
      <w:pPr>
        <w:pStyle w:val="ListParagraph"/>
        <w:numPr>
          <w:ilvl w:val="1"/>
          <w:numId w:val="20"/>
        </w:numPr>
        <w:tabs>
          <w:tab w:pos="820" w:val="left" w:leader="none"/>
          <w:tab w:pos="822" w:val="left" w:leader="none"/>
        </w:tabs>
        <w:spacing w:line="243" w:lineRule="exact" w:before="0" w:after="0"/>
        <w:ind w:left="821" w:right="0" w:hanging="360"/>
        <w:jc w:val="left"/>
        <w:rPr>
          <w:sz w:val="21"/>
        </w:rPr>
      </w:pPr>
      <w:r>
        <w:rPr>
          <w:color w:val="231F20"/>
          <w:sz w:val="21"/>
        </w:rPr>
        <w:t>La necesidad de contar con un clima tranquilo y</w:t>
      </w:r>
      <w:r>
        <w:rPr>
          <w:color w:val="231F20"/>
          <w:spacing w:val="40"/>
          <w:sz w:val="21"/>
        </w:rPr>
        <w:t> </w:t>
      </w:r>
      <w:r>
        <w:rPr>
          <w:color w:val="231F20"/>
          <w:sz w:val="21"/>
        </w:rPr>
        <w:t>respetuoso</w:t>
      </w:r>
    </w:p>
    <w:p>
      <w:pPr>
        <w:pStyle w:val="BodyText"/>
        <w:spacing w:line="247" w:lineRule="auto" w:before="7"/>
        <w:ind w:left="821" w:right="117"/>
        <w:jc w:val="both"/>
      </w:pPr>
      <w:r>
        <w:rPr>
          <w:color w:val="231F20"/>
        </w:rPr>
        <w:t>para los alumnos, así como de un espacio en donde pudieran, con confianza y comodidad, contestar las preguntas, sin tener la presión del encuestador o el temor a ser identificado.</w:t>
      </w:r>
    </w:p>
    <w:p>
      <w:pPr>
        <w:pStyle w:val="ListParagraph"/>
        <w:numPr>
          <w:ilvl w:val="1"/>
          <w:numId w:val="20"/>
        </w:numPr>
        <w:tabs>
          <w:tab w:pos="820" w:val="left" w:leader="none"/>
          <w:tab w:pos="822" w:val="left" w:leader="none"/>
        </w:tabs>
        <w:spacing w:line="243" w:lineRule="exact" w:before="0" w:after="0"/>
        <w:ind w:left="821" w:right="0" w:hanging="360"/>
        <w:jc w:val="left"/>
        <w:rPr>
          <w:sz w:val="21"/>
        </w:rPr>
      </w:pPr>
      <w:r>
        <w:rPr>
          <w:color w:val="231F20"/>
          <w:sz w:val="21"/>
        </w:rPr>
        <w:t>Siempre  estuvieron  presentes  por  lo  menos  uno  de  </w:t>
      </w:r>
      <w:r>
        <w:rPr>
          <w:color w:val="231F20"/>
          <w:spacing w:val="48"/>
          <w:sz w:val="21"/>
        </w:rPr>
        <w:t> </w:t>
      </w:r>
      <w:r>
        <w:rPr>
          <w:color w:val="231F20"/>
          <w:sz w:val="21"/>
        </w:rPr>
        <w:t>los</w:t>
      </w:r>
    </w:p>
    <w:p>
      <w:pPr>
        <w:pStyle w:val="BodyText"/>
        <w:spacing w:line="249" w:lineRule="auto" w:before="7"/>
        <w:ind w:left="821" w:right="117"/>
        <w:jc w:val="both"/>
      </w:pPr>
      <w:r>
        <w:rPr>
          <w:color w:val="231F20"/>
        </w:rPr>
        <w:t>investigadores, así como los asistentes de  investigación, con el fin de aclarar dudas, explicar algunas cuestiones y proporcionar confianza a los</w:t>
      </w:r>
      <w:r>
        <w:rPr>
          <w:color w:val="231F20"/>
          <w:spacing w:val="45"/>
        </w:rPr>
        <w:t> </w:t>
      </w:r>
      <w:r>
        <w:rPr>
          <w:color w:val="231F20"/>
        </w:rPr>
        <w:t>alumnos.</w:t>
      </w:r>
    </w:p>
    <w:p>
      <w:pPr>
        <w:pStyle w:val="ListParagraph"/>
        <w:numPr>
          <w:ilvl w:val="1"/>
          <w:numId w:val="20"/>
        </w:numPr>
        <w:tabs>
          <w:tab w:pos="820" w:val="left" w:leader="none"/>
          <w:tab w:pos="821" w:val="left" w:leader="none"/>
        </w:tabs>
        <w:spacing w:line="241" w:lineRule="exact" w:before="0" w:after="0"/>
        <w:ind w:left="820" w:right="0" w:hanging="359"/>
        <w:jc w:val="left"/>
        <w:rPr>
          <w:sz w:val="21"/>
        </w:rPr>
      </w:pPr>
      <w:r>
        <w:rPr>
          <w:color w:val="231F20"/>
          <w:sz w:val="21"/>
        </w:rPr>
        <w:t>Consideramos que esta técnica benefició al proyecto,  </w:t>
      </w:r>
      <w:r>
        <w:rPr>
          <w:color w:val="231F20"/>
          <w:spacing w:val="36"/>
          <w:sz w:val="21"/>
        </w:rPr>
        <w:t> </w:t>
      </w:r>
      <w:r>
        <w:rPr>
          <w:color w:val="231F20"/>
          <w:sz w:val="21"/>
        </w:rPr>
        <w:t>pues</w:t>
      </w:r>
    </w:p>
    <w:p>
      <w:pPr>
        <w:pStyle w:val="BodyText"/>
        <w:spacing w:line="247" w:lineRule="auto" w:before="7"/>
        <w:ind w:left="820" w:right="115"/>
        <w:jc w:val="both"/>
      </w:pPr>
      <w:r>
        <w:rPr>
          <w:color w:val="231F20"/>
        </w:rPr>
        <w:t>en un número considerable de casos, las respuestas fueron más allá de lo que el cuestionario preguntaba. Hay datos sobre experiencias de violencia que han vivido los alumnos. Si se hubiera optado por la aplicación del cuestionario </w:t>
      </w:r>
      <w:r>
        <w:rPr>
          <w:color w:val="231F20"/>
          <w:spacing w:val="2"/>
        </w:rPr>
        <w:t>por </w:t>
      </w:r>
      <w:r>
        <w:rPr>
          <w:color w:val="231F20"/>
        </w:rPr>
        <w:t>parte del encuestador no hubiéramos contado  con  toda  esta información, tampoco por medio de las entrevistas,  </w:t>
      </w:r>
      <w:r>
        <w:rPr>
          <w:color w:val="231F20"/>
          <w:spacing w:val="2"/>
        </w:rPr>
        <w:t> </w:t>
      </w:r>
      <w:r>
        <w:rPr>
          <w:color w:val="231F20"/>
        </w:rPr>
        <w:t>ya</w:t>
      </w:r>
    </w:p>
    <w:p>
      <w:pPr>
        <w:spacing w:after="0" w:line="247" w:lineRule="auto"/>
        <w:jc w:val="both"/>
        <w:sectPr>
          <w:headerReference w:type="default" r:id="rId769"/>
          <w:footerReference w:type="default" r:id="rId770"/>
          <w:pgSz w:w="7830" w:h="11910"/>
          <w:pgMar w:header="0" w:footer="424" w:top="500" w:bottom="620" w:left="920" w:right="900"/>
          <w:pgNumType w:start="344"/>
        </w:sectPr>
      </w:pPr>
    </w:p>
    <w:p>
      <w:pPr>
        <w:spacing w:before="43"/>
        <w:ind w:left="1463" w:right="121" w:firstLine="0"/>
        <w:jc w:val="left"/>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spacing w:before="10"/>
        <w:rPr>
          <w:rFonts w:ascii="Cambria"/>
          <w:sz w:val="22"/>
        </w:rPr>
      </w:pPr>
    </w:p>
    <w:p>
      <w:pPr>
        <w:pStyle w:val="BodyText"/>
        <w:spacing w:line="242" w:lineRule="auto"/>
        <w:ind w:left="822" w:right="113"/>
        <w:rPr>
          <w:rFonts w:ascii="Cambria"/>
        </w:rPr>
      </w:pPr>
      <w:r>
        <w:rPr>
          <w:rFonts w:ascii="Cambria"/>
          <w:color w:val="231F20"/>
        </w:rPr>
        <w:t>que</w:t>
      </w:r>
      <w:r>
        <w:rPr>
          <w:rFonts w:ascii="Cambria"/>
          <w:color w:val="231F20"/>
          <w:spacing w:val="-13"/>
        </w:rPr>
        <w:t> </w:t>
      </w:r>
      <w:r>
        <w:rPr>
          <w:rFonts w:ascii="Cambria"/>
          <w:color w:val="231F20"/>
        </w:rPr>
        <w:t>son</w:t>
      </w:r>
      <w:r>
        <w:rPr>
          <w:rFonts w:ascii="Cambria"/>
          <w:color w:val="231F20"/>
          <w:spacing w:val="-13"/>
        </w:rPr>
        <w:t> </w:t>
      </w:r>
      <w:r>
        <w:rPr>
          <w:rFonts w:ascii="Cambria"/>
          <w:color w:val="231F20"/>
        </w:rPr>
        <w:t>temas</w:t>
      </w:r>
      <w:r>
        <w:rPr>
          <w:rFonts w:ascii="Cambria"/>
          <w:color w:val="231F20"/>
          <w:spacing w:val="-13"/>
        </w:rPr>
        <w:t> </w:t>
      </w:r>
      <w:r>
        <w:rPr>
          <w:rFonts w:ascii="Cambria"/>
          <w:color w:val="231F20"/>
        </w:rPr>
        <w:t>muy</w:t>
      </w:r>
      <w:r>
        <w:rPr>
          <w:rFonts w:ascii="Cambria"/>
          <w:color w:val="231F20"/>
          <w:spacing w:val="-13"/>
        </w:rPr>
        <w:t> </w:t>
      </w:r>
      <w:r>
        <w:rPr>
          <w:rFonts w:ascii="Cambria"/>
          <w:color w:val="231F20"/>
        </w:rPr>
        <w:t>delicados</w:t>
      </w:r>
      <w:r>
        <w:rPr>
          <w:rFonts w:ascii="Cambria"/>
          <w:color w:val="231F20"/>
          <w:spacing w:val="-13"/>
        </w:rPr>
        <w:t> </w:t>
      </w:r>
      <w:r>
        <w:rPr>
          <w:rFonts w:ascii="Cambria"/>
          <w:color w:val="231F20"/>
        </w:rPr>
        <w:t>que</w:t>
      </w:r>
      <w:r>
        <w:rPr>
          <w:rFonts w:ascii="Cambria"/>
          <w:color w:val="231F20"/>
          <w:spacing w:val="-13"/>
        </w:rPr>
        <w:t> </w:t>
      </w:r>
      <w:r>
        <w:rPr>
          <w:rFonts w:ascii="Cambria"/>
          <w:color w:val="231F20"/>
        </w:rPr>
        <w:t>involucran</w:t>
      </w:r>
      <w:r>
        <w:rPr>
          <w:rFonts w:ascii="Cambria"/>
          <w:color w:val="231F20"/>
          <w:spacing w:val="-13"/>
        </w:rPr>
        <w:t> </w:t>
      </w:r>
      <w:r>
        <w:rPr>
          <w:rFonts w:ascii="Cambria"/>
          <w:color w:val="231F20"/>
        </w:rPr>
        <w:t>la</w:t>
      </w:r>
      <w:r>
        <w:rPr>
          <w:rFonts w:ascii="Cambria"/>
          <w:color w:val="231F20"/>
          <w:spacing w:val="-13"/>
        </w:rPr>
        <w:t> </w:t>
      </w:r>
      <w:r>
        <w:rPr>
          <w:rFonts w:ascii="Cambria"/>
          <w:color w:val="231F20"/>
        </w:rPr>
        <w:t>seguridad </w:t>
      </w:r>
      <w:r>
        <w:rPr>
          <w:rFonts w:ascii="Cambria"/>
          <w:color w:val="231F20"/>
          <w:w w:val="95"/>
        </w:rPr>
        <w:t>de los</w:t>
      </w:r>
      <w:r>
        <w:rPr>
          <w:rFonts w:ascii="Cambria"/>
          <w:color w:val="231F20"/>
          <w:spacing w:val="1"/>
          <w:w w:val="95"/>
        </w:rPr>
        <w:t> </w:t>
      </w:r>
      <w:r>
        <w:rPr>
          <w:rFonts w:ascii="Cambria"/>
          <w:color w:val="231F20"/>
          <w:w w:val="95"/>
        </w:rPr>
        <w:t>alumnos.</w:t>
      </w:r>
    </w:p>
    <w:p>
      <w:pPr>
        <w:pStyle w:val="ListParagraph"/>
        <w:numPr>
          <w:ilvl w:val="1"/>
          <w:numId w:val="20"/>
        </w:numPr>
        <w:tabs>
          <w:tab w:pos="822" w:val="left" w:leader="none"/>
        </w:tabs>
        <w:spacing w:line="242" w:lineRule="auto" w:before="0" w:after="0"/>
        <w:ind w:left="822" w:right="119" w:hanging="360"/>
        <w:jc w:val="both"/>
        <w:rPr>
          <w:rFonts w:ascii="Cambria"/>
          <w:sz w:val="21"/>
        </w:rPr>
      </w:pPr>
      <w:r>
        <w:rPr>
          <w:rFonts w:ascii="Cambria"/>
          <w:color w:val="231F20"/>
          <w:sz w:val="21"/>
        </w:rPr>
        <w:t>El</w:t>
      </w:r>
      <w:r>
        <w:rPr>
          <w:rFonts w:ascii="Cambria"/>
          <w:color w:val="231F20"/>
          <w:spacing w:val="-8"/>
          <w:sz w:val="21"/>
        </w:rPr>
        <w:t> </w:t>
      </w:r>
      <w:r>
        <w:rPr>
          <w:rFonts w:ascii="Cambria"/>
          <w:color w:val="231F20"/>
          <w:sz w:val="21"/>
        </w:rPr>
        <w:t>tiempo</w:t>
      </w:r>
      <w:r>
        <w:rPr>
          <w:rFonts w:ascii="Cambria"/>
          <w:color w:val="231F20"/>
          <w:spacing w:val="-7"/>
          <w:sz w:val="21"/>
        </w:rPr>
        <w:t> </w:t>
      </w:r>
      <w:r>
        <w:rPr>
          <w:rFonts w:ascii="Cambria"/>
          <w:color w:val="231F20"/>
          <w:sz w:val="21"/>
        </w:rPr>
        <w:t>dedicado</w:t>
      </w:r>
      <w:r>
        <w:rPr>
          <w:rFonts w:ascii="Cambria"/>
          <w:color w:val="231F20"/>
          <w:spacing w:val="-7"/>
          <w:sz w:val="21"/>
        </w:rPr>
        <w:t> </w:t>
      </w:r>
      <w:r>
        <w:rPr>
          <w:rFonts w:ascii="Cambria"/>
          <w:color w:val="231F20"/>
          <w:sz w:val="21"/>
        </w:rPr>
        <w:t>para</w:t>
      </w:r>
      <w:r>
        <w:rPr>
          <w:rFonts w:ascii="Cambria"/>
          <w:color w:val="231F20"/>
          <w:spacing w:val="-8"/>
          <w:sz w:val="21"/>
        </w:rPr>
        <w:t> </w:t>
      </w:r>
      <w:r>
        <w:rPr>
          <w:rFonts w:ascii="Cambria"/>
          <w:color w:val="231F20"/>
          <w:sz w:val="21"/>
        </w:rPr>
        <w:t>contestar</w:t>
      </w:r>
      <w:r>
        <w:rPr>
          <w:rFonts w:ascii="Cambria"/>
          <w:color w:val="231F20"/>
          <w:spacing w:val="-8"/>
          <w:sz w:val="21"/>
        </w:rPr>
        <w:t> </w:t>
      </w:r>
      <w:r>
        <w:rPr>
          <w:rFonts w:ascii="Cambria"/>
          <w:color w:val="231F20"/>
          <w:sz w:val="21"/>
        </w:rPr>
        <w:t>un</w:t>
      </w:r>
      <w:r>
        <w:rPr>
          <w:rFonts w:ascii="Cambria"/>
          <w:color w:val="231F20"/>
          <w:spacing w:val="-7"/>
          <w:sz w:val="21"/>
        </w:rPr>
        <w:t> </w:t>
      </w:r>
      <w:r>
        <w:rPr>
          <w:rFonts w:ascii="Cambria"/>
          <w:color w:val="231F20"/>
          <w:sz w:val="21"/>
        </w:rPr>
        <w:t>cuestionario</w:t>
      </w:r>
      <w:r>
        <w:rPr>
          <w:rFonts w:ascii="Cambria"/>
          <w:color w:val="231F20"/>
          <w:spacing w:val="-7"/>
          <w:sz w:val="21"/>
        </w:rPr>
        <w:t> </w:t>
      </w:r>
      <w:r>
        <w:rPr>
          <w:rFonts w:ascii="Cambria"/>
          <w:color w:val="231F20"/>
          <w:sz w:val="21"/>
        </w:rPr>
        <w:t>fue</w:t>
      </w:r>
      <w:r>
        <w:rPr>
          <w:rFonts w:ascii="Cambria"/>
          <w:color w:val="231F20"/>
          <w:spacing w:val="-7"/>
          <w:sz w:val="21"/>
        </w:rPr>
        <w:t> </w:t>
      </w:r>
      <w:r>
        <w:rPr>
          <w:rFonts w:ascii="Cambria"/>
          <w:color w:val="231F20"/>
          <w:sz w:val="21"/>
        </w:rPr>
        <w:t>de </w:t>
      </w:r>
      <w:r>
        <w:rPr>
          <w:rFonts w:ascii="Cambria"/>
          <w:color w:val="231F20"/>
          <w:w w:val="95"/>
          <w:sz w:val="21"/>
        </w:rPr>
        <w:t>aproximadamente</w:t>
      </w:r>
      <w:r>
        <w:rPr>
          <w:rFonts w:ascii="Cambria"/>
          <w:color w:val="231F20"/>
          <w:spacing w:val="-20"/>
          <w:w w:val="95"/>
          <w:sz w:val="21"/>
        </w:rPr>
        <w:t> </w:t>
      </w:r>
      <w:r>
        <w:rPr>
          <w:rFonts w:ascii="Cambria"/>
          <w:color w:val="231F20"/>
          <w:w w:val="95"/>
          <w:sz w:val="21"/>
        </w:rPr>
        <w:t>veinte</w:t>
      </w:r>
      <w:r>
        <w:rPr>
          <w:rFonts w:ascii="Cambria"/>
          <w:color w:val="231F20"/>
          <w:spacing w:val="-20"/>
          <w:w w:val="95"/>
          <w:sz w:val="21"/>
        </w:rPr>
        <w:t> </w:t>
      </w:r>
      <w:r>
        <w:rPr>
          <w:rFonts w:ascii="Cambria"/>
          <w:color w:val="231F20"/>
          <w:w w:val="95"/>
          <w:sz w:val="21"/>
        </w:rPr>
        <w:t>minutos.</w:t>
      </w:r>
    </w:p>
    <w:p>
      <w:pPr>
        <w:pStyle w:val="ListParagraph"/>
        <w:numPr>
          <w:ilvl w:val="1"/>
          <w:numId w:val="20"/>
        </w:numPr>
        <w:tabs>
          <w:tab w:pos="822" w:val="left" w:leader="none"/>
        </w:tabs>
        <w:spacing w:line="244" w:lineRule="auto" w:before="0" w:after="0"/>
        <w:ind w:left="821" w:right="117" w:hanging="360"/>
        <w:jc w:val="both"/>
        <w:rPr>
          <w:rFonts w:ascii="Cambria" w:hAnsi="Cambria"/>
          <w:sz w:val="21"/>
        </w:rPr>
      </w:pPr>
      <w:r>
        <w:rPr>
          <w:rFonts w:ascii="Cambria" w:hAnsi="Cambria"/>
          <w:color w:val="231F20"/>
          <w:sz w:val="21"/>
        </w:rPr>
        <w:t>Esta</w:t>
      </w:r>
      <w:r>
        <w:rPr>
          <w:rFonts w:ascii="Cambria" w:hAnsi="Cambria"/>
          <w:color w:val="231F20"/>
          <w:spacing w:val="-9"/>
          <w:sz w:val="21"/>
        </w:rPr>
        <w:t> </w:t>
      </w:r>
      <w:r>
        <w:rPr>
          <w:rFonts w:ascii="Cambria" w:hAnsi="Cambria"/>
          <w:color w:val="231F20"/>
          <w:sz w:val="21"/>
        </w:rPr>
        <w:t>forma</w:t>
      </w:r>
      <w:r>
        <w:rPr>
          <w:rFonts w:ascii="Cambria" w:hAnsi="Cambria"/>
          <w:color w:val="231F20"/>
          <w:spacing w:val="-9"/>
          <w:sz w:val="21"/>
        </w:rPr>
        <w:t> </w:t>
      </w:r>
      <w:r>
        <w:rPr>
          <w:rFonts w:ascii="Cambria" w:hAnsi="Cambria"/>
          <w:color w:val="231F20"/>
          <w:sz w:val="21"/>
        </w:rPr>
        <w:t>de</w:t>
      </w:r>
      <w:r>
        <w:rPr>
          <w:rFonts w:ascii="Cambria" w:hAnsi="Cambria"/>
          <w:color w:val="231F20"/>
          <w:spacing w:val="-9"/>
          <w:sz w:val="21"/>
        </w:rPr>
        <w:t> </w:t>
      </w:r>
      <w:r>
        <w:rPr>
          <w:rFonts w:ascii="Cambria" w:hAnsi="Cambria"/>
          <w:color w:val="231F20"/>
          <w:sz w:val="21"/>
        </w:rPr>
        <w:t>aplicar</w:t>
      </w:r>
      <w:r>
        <w:rPr>
          <w:rFonts w:ascii="Cambria" w:hAnsi="Cambria"/>
          <w:color w:val="231F20"/>
          <w:spacing w:val="-9"/>
          <w:sz w:val="21"/>
        </w:rPr>
        <w:t> </w:t>
      </w:r>
      <w:r>
        <w:rPr>
          <w:rFonts w:ascii="Cambria" w:hAnsi="Cambria"/>
          <w:color w:val="231F20"/>
          <w:sz w:val="21"/>
        </w:rPr>
        <w:t>un</w:t>
      </w:r>
      <w:r>
        <w:rPr>
          <w:rFonts w:ascii="Cambria" w:hAnsi="Cambria"/>
          <w:color w:val="231F20"/>
          <w:spacing w:val="-9"/>
          <w:sz w:val="21"/>
        </w:rPr>
        <w:t> </w:t>
      </w:r>
      <w:r>
        <w:rPr>
          <w:rFonts w:ascii="Cambria" w:hAnsi="Cambria"/>
          <w:color w:val="231F20"/>
          <w:sz w:val="21"/>
        </w:rPr>
        <w:t>cuestionario</w:t>
      </w:r>
      <w:r>
        <w:rPr>
          <w:rFonts w:ascii="Cambria" w:hAnsi="Cambria"/>
          <w:color w:val="231F20"/>
          <w:spacing w:val="-9"/>
          <w:sz w:val="21"/>
        </w:rPr>
        <w:t> </w:t>
      </w:r>
      <w:r>
        <w:rPr>
          <w:rFonts w:ascii="Cambria" w:hAnsi="Cambria"/>
          <w:color w:val="231F20"/>
          <w:sz w:val="21"/>
        </w:rPr>
        <w:t>se</w:t>
      </w:r>
      <w:r>
        <w:rPr>
          <w:rFonts w:ascii="Cambria" w:hAnsi="Cambria"/>
          <w:color w:val="231F20"/>
          <w:spacing w:val="-9"/>
          <w:sz w:val="21"/>
        </w:rPr>
        <w:t> </w:t>
      </w:r>
      <w:r>
        <w:rPr>
          <w:rFonts w:ascii="Cambria" w:hAnsi="Cambria"/>
          <w:color w:val="231F20"/>
          <w:sz w:val="21"/>
        </w:rPr>
        <w:t>inició</w:t>
      </w:r>
      <w:r>
        <w:rPr>
          <w:rFonts w:ascii="Cambria" w:hAnsi="Cambria"/>
          <w:color w:val="231F20"/>
          <w:spacing w:val="-9"/>
          <w:sz w:val="21"/>
        </w:rPr>
        <w:t> </w:t>
      </w:r>
      <w:r>
        <w:rPr>
          <w:rFonts w:ascii="Cambria" w:hAnsi="Cambria"/>
          <w:color w:val="231F20"/>
          <w:sz w:val="21"/>
        </w:rPr>
        <w:t>en</w:t>
      </w:r>
      <w:r>
        <w:rPr>
          <w:rFonts w:ascii="Cambria" w:hAnsi="Cambria"/>
          <w:color w:val="231F20"/>
          <w:spacing w:val="-9"/>
          <w:sz w:val="21"/>
        </w:rPr>
        <w:t> </w:t>
      </w:r>
      <w:r>
        <w:rPr>
          <w:rFonts w:ascii="Cambria" w:hAnsi="Cambria"/>
          <w:color w:val="231F20"/>
          <w:sz w:val="21"/>
        </w:rPr>
        <w:t>España, en el proyecto “Violencia de género en las universidades españolas”.</w:t>
      </w:r>
      <w:r>
        <w:rPr>
          <w:rFonts w:ascii="Cambria" w:hAnsi="Cambria"/>
          <w:color w:val="231F20"/>
          <w:spacing w:val="-8"/>
          <w:sz w:val="21"/>
        </w:rPr>
        <w:t> </w:t>
      </w:r>
      <w:r>
        <w:rPr>
          <w:rFonts w:ascii="Cambria" w:hAnsi="Cambria"/>
          <w:color w:val="231F20"/>
          <w:sz w:val="21"/>
        </w:rPr>
        <w:t>El</w:t>
      </w:r>
      <w:r>
        <w:rPr>
          <w:rFonts w:ascii="Cambria" w:hAnsi="Cambria"/>
          <w:color w:val="231F20"/>
          <w:spacing w:val="-8"/>
          <w:sz w:val="21"/>
        </w:rPr>
        <w:t> </w:t>
      </w:r>
      <w:r>
        <w:rPr>
          <w:rFonts w:ascii="Cambria" w:hAnsi="Cambria"/>
          <w:color w:val="231F20"/>
          <w:sz w:val="21"/>
        </w:rPr>
        <w:t>motivo</w:t>
      </w:r>
      <w:r>
        <w:rPr>
          <w:rFonts w:ascii="Cambria" w:hAnsi="Cambria"/>
          <w:color w:val="231F20"/>
          <w:spacing w:val="-7"/>
          <w:sz w:val="21"/>
        </w:rPr>
        <w:t> </w:t>
      </w:r>
      <w:r>
        <w:rPr>
          <w:rFonts w:ascii="Cambria" w:hAnsi="Cambria"/>
          <w:color w:val="231F20"/>
          <w:sz w:val="21"/>
        </w:rPr>
        <w:t>de</w:t>
      </w:r>
      <w:r>
        <w:rPr>
          <w:rFonts w:ascii="Cambria" w:hAnsi="Cambria"/>
          <w:color w:val="231F20"/>
          <w:spacing w:val="-7"/>
          <w:sz w:val="21"/>
        </w:rPr>
        <w:t> </w:t>
      </w:r>
      <w:r>
        <w:rPr>
          <w:rFonts w:ascii="Cambria" w:hAnsi="Cambria"/>
          <w:color w:val="231F20"/>
          <w:sz w:val="21"/>
        </w:rPr>
        <w:t>ello</w:t>
      </w:r>
      <w:r>
        <w:rPr>
          <w:rFonts w:ascii="Cambria" w:hAnsi="Cambria"/>
          <w:color w:val="231F20"/>
          <w:spacing w:val="-7"/>
          <w:sz w:val="21"/>
        </w:rPr>
        <w:t> </w:t>
      </w:r>
      <w:r>
        <w:rPr>
          <w:rFonts w:ascii="Cambria" w:hAnsi="Cambria"/>
          <w:color w:val="231F20"/>
          <w:sz w:val="21"/>
        </w:rPr>
        <w:t>fue</w:t>
      </w:r>
      <w:r>
        <w:rPr>
          <w:rFonts w:ascii="Cambria" w:hAnsi="Cambria"/>
          <w:color w:val="231F20"/>
          <w:spacing w:val="-7"/>
          <w:sz w:val="21"/>
        </w:rPr>
        <w:t> </w:t>
      </w:r>
      <w:r>
        <w:rPr>
          <w:rFonts w:ascii="Cambria" w:hAnsi="Cambria"/>
          <w:color w:val="231F20"/>
          <w:sz w:val="21"/>
        </w:rPr>
        <w:t>que</w:t>
      </w:r>
      <w:r>
        <w:rPr>
          <w:rFonts w:ascii="Cambria" w:hAnsi="Cambria"/>
          <w:color w:val="231F20"/>
          <w:spacing w:val="-7"/>
          <w:sz w:val="21"/>
        </w:rPr>
        <w:t> </w:t>
      </w:r>
      <w:r>
        <w:rPr>
          <w:rFonts w:ascii="Cambria" w:hAnsi="Cambria"/>
          <w:color w:val="231F20"/>
          <w:sz w:val="21"/>
        </w:rPr>
        <w:t>“las</w:t>
      </w:r>
      <w:r>
        <w:rPr>
          <w:rFonts w:ascii="Cambria" w:hAnsi="Cambria"/>
          <w:color w:val="231F20"/>
          <w:spacing w:val="-7"/>
          <w:sz w:val="21"/>
        </w:rPr>
        <w:t> </w:t>
      </w:r>
      <w:r>
        <w:rPr>
          <w:rFonts w:ascii="Cambria" w:hAnsi="Cambria"/>
          <w:color w:val="231F20"/>
          <w:sz w:val="21"/>
        </w:rPr>
        <w:t>personas</w:t>
      </w:r>
      <w:r>
        <w:rPr>
          <w:rFonts w:ascii="Cambria" w:hAnsi="Cambria"/>
          <w:color w:val="231F20"/>
          <w:spacing w:val="-7"/>
          <w:sz w:val="21"/>
        </w:rPr>
        <w:t> </w:t>
      </w:r>
      <w:r>
        <w:rPr>
          <w:rFonts w:ascii="Cambria" w:hAnsi="Cambria"/>
          <w:color w:val="231F20"/>
          <w:sz w:val="21"/>
        </w:rPr>
        <w:t>tienen la suficiente intimidad para que sus respuestas no estén condicionadas por la presión de otros/as compañeras o </w:t>
      </w:r>
      <w:r>
        <w:rPr>
          <w:rFonts w:ascii="Cambria" w:hAnsi="Cambria"/>
          <w:color w:val="231F20"/>
          <w:w w:val="95"/>
          <w:sz w:val="21"/>
        </w:rPr>
        <w:t>sentirse observado/a por el profesorado u otras personas” </w:t>
      </w:r>
      <w:r>
        <w:rPr>
          <w:rFonts w:ascii="Cambria" w:hAnsi="Cambria"/>
          <w:color w:val="231F20"/>
          <w:w w:val="90"/>
          <w:sz w:val="21"/>
        </w:rPr>
        <w:t>(Valls-Carol </w:t>
      </w:r>
      <w:r>
        <w:rPr>
          <w:rFonts w:ascii="Cambria" w:hAnsi="Cambria"/>
          <w:color w:val="231F20"/>
          <w:spacing w:val="12"/>
          <w:w w:val="90"/>
          <w:sz w:val="21"/>
        </w:rPr>
        <w:t> </w:t>
      </w:r>
      <w:r>
        <w:rPr>
          <w:rFonts w:ascii="Cambria" w:hAnsi="Cambria"/>
          <w:color w:val="231F20"/>
          <w:w w:val="90"/>
          <w:sz w:val="21"/>
        </w:rPr>
        <w:t>2008:13).</w:t>
      </w:r>
    </w:p>
    <w:p>
      <w:pPr>
        <w:pStyle w:val="ListParagraph"/>
        <w:numPr>
          <w:ilvl w:val="1"/>
          <w:numId w:val="20"/>
        </w:numPr>
        <w:tabs>
          <w:tab w:pos="822" w:val="left" w:leader="none"/>
        </w:tabs>
        <w:spacing w:line="242" w:lineRule="auto" w:before="0" w:after="0"/>
        <w:ind w:left="821" w:right="116" w:hanging="360"/>
        <w:jc w:val="both"/>
        <w:rPr>
          <w:rFonts w:ascii="Cambria" w:hAnsi="Cambria"/>
          <w:sz w:val="21"/>
        </w:rPr>
      </w:pPr>
      <w:r>
        <w:rPr>
          <w:rFonts w:ascii="Cambria" w:hAnsi="Cambria"/>
          <w:color w:val="231F20"/>
          <w:sz w:val="21"/>
        </w:rPr>
        <w:t>El cuestionario abarcó temas que van desde las percepciones de la violencia en la ciudad de Oaxaca, el barrio, la universidad y el hogar, hasta las situaciones de </w:t>
      </w:r>
      <w:r>
        <w:rPr>
          <w:rFonts w:ascii="Cambria" w:hAnsi="Cambria"/>
          <w:color w:val="231F20"/>
          <w:w w:val="95"/>
          <w:sz w:val="21"/>
        </w:rPr>
        <w:t>violencia que han vivido como</w:t>
      </w:r>
      <w:r>
        <w:rPr>
          <w:rFonts w:ascii="Cambria" w:hAnsi="Cambria"/>
          <w:color w:val="231F20"/>
          <w:spacing w:val="-18"/>
          <w:w w:val="95"/>
          <w:sz w:val="21"/>
        </w:rPr>
        <w:t> </w:t>
      </w:r>
      <w:r>
        <w:rPr>
          <w:rFonts w:ascii="Cambria" w:hAnsi="Cambria"/>
          <w:color w:val="231F20"/>
          <w:w w:val="95"/>
          <w:sz w:val="21"/>
        </w:rPr>
        <w:t>estudiantes.</w:t>
      </w:r>
    </w:p>
    <w:p>
      <w:pPr>
        <w:pStyle w:val="ListParagraph"/>
        <w:numPr>
          <w:ilvl w:val="1"/>
          <w:numId w:val="20"/>
        </w:numPr>
        <w:tabs>
          <w:tab w:pos="821" w:val="left" w:leader="none"/>
          <w:tab w:pos="822" w:val="left" w:leader="none"/>
        </w:tabs>
        <w:spacing w:line="480" w:lineRule="auto" w:before="0" w:after="0"/>
        <w:ind w:left="101" w:right="757" w:firstLine="360"/>
        <w:jc w:val="left"/>
        <w:rPr>
          <w:rFonts w:ascii="Cambria" w:hAnsi="Cambria"/>
          <w:sz w:val="21"/>
        </w:rPr>
      </w:pPr>
      <w:r>
        <w:rPr>
          <w:rFonts w:ascii="Cambria" w:hAnsi="Cambria"/>
          <w:color w:val="231F20"/>
          <w:sz w:val="21"/>
        </w:rPr>
        <w:t>La</w:t>
      </w:r>
      <w:r>
        <w:rPr>
          <w:rFonts w:ascii="Cambria" w:hAnsi="Cambria"/>
          <w:color w:val="231F20"/>
          <w:spacing w:val="-20"/>
          <w:sz w:val="21"/>
        </w:rPr>
        <w:t> </w:t>
      </w:r>
      <w:r>
        <w:rPr>
          <w:rFonts w:ascii="Cambria" w:hAnsi="Cambria"/>
          <w:color w:val="231F20"/>
          <w:sz w:val="21"/>
        </w:rPr>
        <w:t>información</w:t>
      </w:r>
      <w:r>
        <w:rPr>
          <w:rFonts w:ascii="Cambria" w:hAnsi="Cambria"/>
          <w:color w:val="231F20"/>
          <w:spacing w:val="-20"/>
          <w:sz w:val="21"/>
        </w:rPr>
        <w:t> </w:t>
      </w:r>
      <w:r>
        <w:rPr>
          <w:rFonts w:ascii="Cambria" w:hAnsi="Cambria"/>
          <w:color w:val="231F20"/>
          <w:sz w:val="21"/>
        </w:rPr>
        <w:t>fue</w:t>
      </w:r>
      <w:r>
        <w:rPr>
          <w:rFonts w:ascii="Cambria" w:hAnsi="Cambria"/>
          <w:color w:val="231F20"/>
          <w:spacing w:val="-20"/>
          <w:sz w:val="21"/>
        </w:rPr>
        <w:t> </w:t>
      </w:r>
      <w:r>
        <w:rPr>
          <w:rFonts w:ascii="Cambria" w:hAnsi="Cambria"/>
          <w:color w:val="231F20"/>
          <w:sz w:val="21"/>
        </w:rPr>
        <w:t>capturada</w:t>
      </w:r>
      <w:r>
        <w:rPr>
          <w:rFonts w:ascii="Cambria" w:hAnsi="Cambria"/>
          <w:color w:val="231F20"/>
          <w:spacing w:val="-20"/>
          <w:sz w:val="21"/>
        </w:rPr>
        <w:t> </w:t>
      </w:r>
      <w:r>
        <w:rPr>
          <w:rFonts w:ascii="Cambria" w:hAnsi="Cambria"/>
          <w:color w:val="231F20"/>
          <w:sz w:val="21"/>
        </w:rPr>
        <w:t>y</w:t>
      </w:r>
      <w:r>
        <w:rPr>
          <w:rFonts w:ascii="Cambria" w:hAnsi="Cambria"/>
          <w:color w:val="231F20"/>
          <w:spacing w:val="-20"/>
          <w:sz w:val="21"/>
        </w:rPr>
        <w:t> </w:t>
      </w:r>
      <w:r>
        <w:rPr>
          <w:rFonts w:ascii="Cambria" w:hAnsi="Cambria"/>
          <w:color w:val="231F20"/>
          <w:sz w:val="21"/>
        </w:rPr>
        <w:t>se</w:t>
      </w:r>
      <w:r>
        <w:rPr>
          <w:rFonts w:ascii="Cambria" w:hAnsi="Cambria"/>
          <w:color w:val="231F20"/>
          <w:spacing w:val="-20"/>
          <w:sz w:val="21"/>
        </w:rPr>
        <w:t> </w:t>
      </w:r>
      <w:r>
        <w:rPr>
          <w:rFonts w:ascii="Cambria" w:hAnsi="Cambria"/>
          <w:color w:val="231F20"/>
          <w:sz w:val="21"/>
        </w:rPr>
        <w:t>procesó</w:t>
      </w:r>
      <w:r>
        <w:rPr>
          <w:rFonts w:ascii="Cambria" w:hAnsi="Cambria"/>
          <w:color w:val="231F20"/>
          <w:spacing w:val="-20"/>
          <w:sz w:val="21"/>
        </w:rPr>
        <w:t> </w:t>
      </w:r>
      <w:r>
        <w:rPr>
          <w:rFonts w:ascii="Cambria" w:hAnsi="Cambria"/>
          <w:color w:val="231F20"/>
          <w:sz w:val="21"/>
        </w:rPr>
        <w:t>en</w:t>
      </w:r>
      <w:r>
        <w:rPr>
          <w:rFonts w:ascii="Cambria" w:hAnsi="Cambria"/>
          <w:color w:val="231F20"/>
          <w:spacing w:val="-20"/>
          <w:sz w:val="21"/>
        </w:rPr>
        <w:t> </w:t>
      </w:r>
      <w:r>
        <w:rPr>
          <w:rFonts w:ascii="Cambria" w:hAnsi="Cambria"/>
          <w:color w:val="231F20"/>
          <w:sz w:val="21"/>
        </w:rPr>
        <w:t>SPSS. UN    ACERCAMIENTO    AL    TÉRMINO    </w:t>
      </w:r>
      <w:r>
        <w:rPr>
          <w:rFonts w:ascii="Cambria" w:hAnsi="Cambria"/>
          <w:color w:val="231F20"/>
          <w:spacing w:val="26"/>
          <w:sz w:val="21"/>
        </w:rPr>
        <w:t> </w:t>
      </w:r>
      <w:r>
        <w:rPr>
          <w:rFonts w:ascii="Cambria" w:hAnsi="Cambria"/>
          <w:color w:val="231F20"/>
          <w:sz w:val="21"/>
        </w:rPr>
        <w:t>VIOLENCIA</w:t>
      </w:r>
    </w:p>
    <w:p>
      <w:pPr>
        <w:pStyle w:val="BodyText"/>
        <w:spacing w:line="242" w:lineRule="auto"/>
        <w:ind w:left="101" w:right="115"/>
        <w:jc w:val="both"/>
        <w:rPr>
          <w:rFonts w:ascii="Cambria" w:hAnsi="Cambria"/>
        </w:rPr>
      </w:pPr>
      <w:r>
        <w:rPr>
          <w:rFonts w:ascii="Cambria" w:hAnsi="Cambria"/>
          <w:color w:val="231F20"/>
        </w:rPr>
        <w:t>Para nosotros la violencia es un problema complejo, relacionado con esquemas de pensamiento y comportamientos conformados por</w:t>
      </w:r>
      <w:r>
        <w:rPr>
          <w:rFonts w:ascii="Cambria" w:hAnsi="Cambria"/>
          <w:color w:val="231F20"/>
          <w:spacing w:val="-12"/>
        </w:rPr>
        <w:t> </w:t>
      </w:r>
      <w:r>
        <w:rPr>
          <w:rFonts w:ascii="Cambria" w:hAnsi="Cambria"/>
          <w:color w:val="231F20"/>
        </w:rPr>
        <w:t>una</w:t>
      </w:r>
      <w:r>
        <w:rPr>
          <w:rFonts w:ascii="Cambria" w:hAnsi="Cambria"/>
          <w:color w:val="231F20"/>
          <w:spacing w:val="-12"/>
        </w:rPr>
        <w:t> </w:t>
      </w:r>
      <w:r>
        <w:rPr>
          <w:rFonts w:ascii="Cambria" w:hAnsi="Cambria"/>
          <w:color w:val="231F20"/>
        </w:rPr>
        <w:t>multitud</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factores.</w:t>
      </w:r>
      <w:r>
        <w:rPr>
          <w:rFonts w:ascii="Cambria" w:hAnsi="Cambria"/>
          <w:color w:val="231F20"/>
          <w:spacing w:val="-12"/>
        </w:rPr>
        <w:t> </w:t>
      </w:r>
      <w:r>
        <w:rPr>
          <w:rFonts w:ascii="Cambria" w:hAnsi="Cambria"/>
          <w:color w:val="231F20"/>
        </w:rPr>
        <w:t>Algunos</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estos</w:t>
      </w:r>
      <w:r>
        <w:rPr>
          <w:rFonts w:ascii="Cambria" w:hAnsi="Cambria"/>
          <w:color w:val="231F20"/>
          <w:spacing w:val="-12"/>
        </w:rPr>
        <w:t> </w:t>
      </w:r>
      <w:r>
        <w:rPr>
          <w:rFonts w:ascii="Cambria" w:hAnsi="Cambria"/>
          <w:color w:val="231F20"/>
        </w:rPr>
        <w:t>provienen</w:t>
      </w:r>
      <w:r>
        <w:rPr>
          <w:rFonts w:ascii="Cambria" w:hAnsi="Cambria"/>
          <w:color w:val="231F20"/>
          <w:spacing w:val="-12"/>
        </w:rPr>
        <w:t> </w:t>
      </w:r>
      <w:r>
        <w:rPr>
          <w:rFonts w:ascii="Cambria" w:hAnsi="Cambria"/>
          <w:color w:val="231F20"/>
        </w:rPr>
        <w:t>desde</w:t>
      </w:r>
      <w:r>
        <w:rPr>
          <w:rFonts w:ascii="Cambria" w:hAnsi="Cambria"/>
          <w:color w:val="231F20"/>
          <w:spacing w:val="-12"/>
        </w:rPr>
        <w:t> </w:t>
      </w:r>
      <w:r>
        <w:rPr>
          <w:rFonts w:ascii="Cambria" w:hAnsi="Cambria"/>
          <w:color w:val="231F20"/>
        </w:rPr>
        <w:t>la </w:t>
      </w:r>
      <w:r>
        <w:rPr>
          <w:rFonts w:ascii="Cambria" w:hAnsi="Cambria"/>
          <w:color w:val="231F20"/>
          <w:w w:val="95"/>
        </w:rPr>
        <w:t>familia, otros de los entornos barriales o comunitarios, algunos más traspasan</w:t>
      </w:r>
      <w:r>
        <w:rPr>
          <w:rFonts w:ascii="Cambria" w:hAnsi="Cambria"/>
          <w:color w:val="231F20"/>
          <w:spacing w:val="-5"/>
          <w:w w:val="95"/>
        </w:rPr>
        <w:t> </w:t>
      </w:r>
      <w:r>
        <w:rPr>
          <w:rFonts w:ascii="Cambria" w:hAnsi="Cambria"/>
          <w:color w:val="231F20"/>
          <w:w w:val="95"/>
        </w:rPr>
        <w:t>las</w:t>
      </w:r>
      <w:r>
        <w:rPr>
          <w:rFonts w:ascii="Cambria" w:hAnsi="Cambria"/>
          <w:color w:val="231F20"/>
          <w:spacing w:val="-6"/>
          <w:w w:val="95"/>
        </w:rPr>
        <w:t> </w:t>
      </w:r>
      <w:r>
        <w:rPr>
          <w:rFonts w:ascii="Cambria" w:hAnsi="Cambria"/>
          <w:color w:val="231F20"/>
          <w:w w:val="95"/>
        </w:rPr>
        <w:t>fronteras</w:t>
      </w:r>
      <w:r>
        <w:rPr>
          <w:rFonts w:ascii="Cambria" w:hAnsi="Cambria"/>
          <w:color w:val="231F20"/>
          <w:spacing w:val="-6"/>
          <w:w w:val="95"/>
        </w:rPr>
        <w:t> </w:t>
      </w:r>
      <w:r>
        <w:rPr>
          <w:rFonts w:ascii="Cambria" w:hAnsi="Cambria"/>
          <w:color w:val="231F20"/>
          <w:w w:val="95"/>
        </w:rPr>
        <w:t>nacionales.</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violencia</w:t>
      </w:r>
      <w:r>
        <w:rPr>
          <w:rFonts w:ascii="Cambria" w:hAnsi="Cambria"/>
          <w:color w:val="231F20"/>
          <w:spacing w:val="-6"/>
          <w:w w:val="95"/>
        </w:rPr>
        <w:t> </w:t>
      </w:r>
      <w:r>
        <w:rPr>
          <w:rFonts w:ascii="Cambria" w:hAnsi="Cambria"/>
          <w:color w:val="231F20"/>
          <w:w w:val="95"/>
        </w:rPr>
        <w:t>tiene</w:t>
      </w:r>
      <w:r>
        <w:rPr>
          <w:rFonts w:ascii="Cambria" w:hAnsi="Cambria"/>
          <w:color w:val="231F20"/>
          <w:spacing w:val="-6"/>
          <w:w w:val="95"/>
        </w:rPr>
        <w:t> </w:t>
      </w:r>
      <w:r>
        <w:rPr>
          <w:rFonts w:ascii="Cambria" w:hAnsi="Cambria"/>
          <w:color w:val="231F20"/>
          <w:w w:val="95"/>
        </w:rPr>
        <w:t>múltiples</w:t>
      </w:r>
      <w:r>
        <w:rPr>
          <w:rFonts w:ascii="Cambria" w:hAnsi="Cambria"/>
          <w:color w:val="231F20"/>
          <w:spacing w:val="-6"/>
          <w:w w:val="95"/>
        </w:rPr>
        <w:t> </w:t>
      </w:r>
      <w:r>
        <w:rPr>
          <w:rFonts w:ascii="Cambria" w:hAnsi="Cambria"/>
          <w:color w:val="231F20"/>
          <w:w w:val="95"/>
        </w:rPr>
        <w:t>caras </w:t>
      </w:r>
      <w:r>
        <w:rPr>
          <w:rFonts w:ascii="Cambria" w:hAnsi="Cambria"/>
          <w:color w:val="231F20"/>
        </w:rPr>
        <w:t>y</w:t>
      </w:r>
      <w:r>
        <w:rPr>
          <w:rFonts w:ascii="Cambria" w:hAnsi="Cambria"/>
          <w:color w:val="231F20"/>
          <w:spacing w:val="-13"/>
        </w:rPr>
        <w:t> </w:t>
      </w:r>
      <w:r>
        <w:rPr>
          <w:rFonts w:ascii="Cambria" w:hAnsi="Cambria"/>
          <w:color w:val="231F20"/>
        </w:rPr>
        <w:t>formas</w:t>
      </w:r>
      <w:r>
        <w:rPr>
          <w:rFonts w:ascii="Cambria" w:hAnsi="Cambria"/>
          <w:color w:val="231F20"/>
          <w:spacing w:val="-13"/>
        </w:rPr>
        <w:t> </w:t>
      </w:r>
      <w:r>
        <w:rPr>
          <w:rFonts w:ascii="Cambria" w:hAnsi="Cambria"/>
          <w:color w:val="231F20"/>
        </w:rPr>
        <w:t>de</w:t>
      </w:r>
      <w:r>
        <w:rPr>
          <w:rFonts w:ascii="Cambria" w:hAnsi="Cambria"/>
          <w:color w:val="231F20"/>
          <w:spacing w:val="-13"/>
        </w:rPr>
        <w:t> </w:t>
      </w:r>
      <w:r>
        <w:rPr>
          <w:rFonts w:ascii="Cambria" w:hAnsi="Cambria"/>
          <w:color w:val="231F20"/>
        </w:rPr>
        <w:t>expresión.</w:t>
      </w:r>
      <w:r>
        <w:rPr>
          <w:rFonts w:ascii="Cambria" w:hAnsi="Cambria"/>
          <w:color w:val="231F20"/>
          <w:spacing w:val="-14"/>
        </w:rPr>
        <w:t> </w:t>
      </w:r>
      <w:r>
        <w:rPr>
          <w:rFonts w:ascii="Cambria" w:hAnsi="Cambria"/>
          <w:color w:val="231F20"/>
        </w:rPr>
        <w:t>Está</w:t>
      </w:r>
      <w:r>
        <w:rPr>
          <w:rFonts w:ascii="Cambria" w:hAnsi="Cambria"/>
          <w:color w:val="231F20"/>
          <w:spacing w:val="-13"/>
        </w:rPr>
        <w:t> </w:t>
      </w:r>
      <w:r>
        <w:rPr>
          <w:rFonts w:ascii="Cambria" w:hAnsi="Cambria"/>
          <w:color w:val="231F20"/>
        </w:rPr>
        <w:t>claro</w:t>
      </w:r>
      <w:r>
        <w:rPr>
          <w:rFonts w:ascii="Cambria" w:hAnsi="Cambria"/>
          <w:color w:val="231F20"/>
          <w:spacing w:val="-13"/>
        </w:rPr>
        <w:t> </w:t>
      </w:r>
      <w:r>
        <w:rPr>
          <w:rFonts w:ascii="Cambria" w:hAnsi="Cambria"/>
          <w:color w:val="231F20"/>
        </w:rPr>
        <w:t>que</w:t>
      </w:r>
      <w:r>
        <w:rPr>
          <w:rFonts w:ascii="Cambria" w:hAnsi="Cambria"/>
          <w:color w:val="231F20"/>
          <w:spacing w:val="-13"/>
        </w:rPr>
        <w:t> </w:t>
      </w:r>
      <w:r>
        <w:rPr>
          <w:rFonts w:ascii="Cambria" w:hAnsi="Cambria"/>
          <w:color w:val="231F20"/>
        </w:rPr>
        <w:t>no</w:t>
      </w:r>
      <w:r>
        <w:rPr>
          <w:rFonts w:ascii="Cambria" w:hAnsi="Cambria"/>
          <w:color w:val="231F20"/>
          <w:spacing w:val="-13"/>
        </w:rPr>
        <w:t> </w:t>
      </w:r>
      <w:r>
        <w:rPr>
          <w:rFonts w:ascii="Cambria" w:hAnsi="Cambria"/>
          <w:color w:val="231F20"/>
        </w:rPr>
        <w:t>se</w:t>
      </w:r>
      <w:r>
        <w:rPr>
          <w:rFonts w:ascii="Cambria" w:hAnsi="Cambria"/>
          <w:color w:val="231F20"/>
          <w:spacing w:val="-13"/>
        </w:rPr>
        <w:t> </w:t>
      </w:r>
      <w:r>
        <w:rPr>
          <w:rFonts w:ascii="Cambria" w:hAnsi="Cambria"/>
          <w:color w:val="231F20"/>
        </w:rPr>
        <w:t>distribuye</w:t>
      </w:r>
      <w:r>
        <w:rPr>
          <w:rFonts w:ascii="Cambria" w:hAnsi="Cambria"/>
          <w:color w:val="231F20"/>
          <w:spacing w:val="-13"/>
        </w:rPr>
        <w:t> </w:t>
      </w:r>
      <w:r>
        <w:rPr>
          <w:rFonts w:ascii="Cambria" w:hAnsi="Cambria"/>
          <w:color w:val="231F20"/>
        </w:rPr>
        <w:t>de</w:t>
      </w:r>
      <w:r>
        <w:rPr>
          <w:rFonts w:ascii="Cambria" w:hAnsi="Cambria"/>
          <w:color w:val="231F20"/>
          <w:spacing w:val="-13"/>
        </w:rPr>
        <w:t> </w:t>
      </w:r>
      <w:r>
        <w:rPr>
          <w:rFonts w:ascii="Cambria" w:hAnsi="Cambria"/>
          <w:color w:val="231F20"/>
        </w:rPr>
        <w:t>la</w:t>
      </w:r>
      <w:r>
        <w:rPr>
          <w:rFonts w:ascii="Cambria" w:hAnsi="Cambria"/>
          <w:color w:val="231F20"/>
          <w:spacing w:val="-13"/>
        </w:rPr>
        <w:t> </w:t>
      </w:r>
      <w:r>
        <w:rPr>
          <w:rFonts w:ascii="Cambria" w:hAnsi="Cambria"/>
          <w:color w:val="231F20"/>
        </w:rPr>
        <w:t>misma forma</w:t>
      </w:r>
      <w:r>
        <w:rPr>
          <w:rFonts w:ascii="Cambria" w:hAnsi="Cambria"/>
          <w:color w:val="231F20"/>
          <w:spacing w:val="-8"/>
        </w:rPr>
        <w:t> </w:t>
      </w:r>
      <w:r>
        <w:rPr>
          <w:rFonts w:ascii="Cambria" w:hAnsi="Cambria"/>
          <w:color w:val="231F20"/>
        </w:rPr>
        <w:t>entre</w:t>
      </w:r>
      <w:r>
        <w:rPr>
          <w:rFonts w:ascii="Cambria" w:hAnsi="Cambria"/>
          <w:color w:val="231F20"/>
          <w:spacing w:val="-8"/>
        </w:rPr>
        <w:t> </w:t>
      </w:r>
      <w:r>
        <w:rPr>
          <w:rFonts w:ascii="Cambria" w:hAnsi="Cambria"/>
          <w:color w:val="231F20"/>
        </w:rPr>
        <w:t>los</w:t>
      </w:r>
      <w:r>
        <w:rPr>
          <w:rFonts w:ascii="Cambria" w:hAnsi="Cambria"/>
          <w:color w:val="231F20"/>
          <w:spacing w:val="-8"/>
        </w:rPr>
        <w:t> </w:t>
      </w:r>
      <w:r>
        <w:rPr>
          <w:rFonts w:ascii="Cambria" w:hAnsi="Cambria"/>
          <w:color w:val="231F20"/>
        </w:rPr>
        <w:t>diversos</w:t>
      </w:r>
      <w:r>
        <w:rPr>
          <w:rFonts w:ascii="Cambria" w:hAnsi="Cambria"/>
          <w:color w:val="231F20"/>
          <w:spacing w:val="-8"/>
        </w:rPr>
        <w:t> </w:t>
      </w:r>
      <w:r>
        <w:rPr>
          <w:rFonts w:ascii="Cambria" w:hAnsi="Cambria"/>
          <w:color w:val="231F20"/>
        </w:rPr>
        <w:t>grupos</w:t>
      </w:r>
      <w:r>
        <w:rPr>
          <w:rFonts w:ascii="Cambria" w:hAnsi="Cambria"/>
          <w:color w:val="231F20"/>
          <w:spacing w:val="-8"/>
        </w:rPr>
        <w:t> </w:t>
      </w:r>
      <w:r>
        <w:rPr>
          <w:rFonts w:ascii="Cambria" w:hAnsi="Cambria"/>
          <w:color w:val="231F20"/>
        </w:rPr>
        <w:t>sociales</w:t>
      </w:r>
      <w:r>
        <w:rPr>
          <w:rFonts w:ascii="Cambria" w:hAnsi="Cambria"/>
          <w:color w:val="231F20"/>
          <w:spacing w:val="-8"/>
        </w:rPr>
        <w:t> </w:t>
      </w:r>
      <w:r>
        <w:rPr>
          <w:rFonts w:ascii="Cambria" w:hAnsi="Cambria"/>
          <w:color w:val="231F20"/>
        </w:rPr>
        <w:t>y</w:t>
      </w:r>
      <w:r>
        <w:rPr>
          <w:rFonts w:ascii="Cambria" w:hAnsi="Cambria"/>
          <w:color w:val="231F20"/>
          <w:spacing w:val="-8"/>
        </w:rPr>
        <w:t> </w:t>
      </w:r>
      <w:r>
        <w:rPr>
          <w:rFonts w:ascii="Cambria" w:hAnsi="Cambria"/>
          <w:color w:val="231F20"/>
        </w:rPr>
        <w:t>que</w:t>
      </w:r>
      <w:r>
        <w:rPr>
          <w:rFonts w:ascii="Cambria" w:hAnsi="Cambria"/>
          <w:color w:val="231F20"/>
          <w:spacing w:val="-8"/>
        </w:rPr>
        <w:t> </w:t>
      </w:r>
      <w:r>
        <w:rPr>
          <w:rFonts w:ascii="Cambria" w:hAnsi="Cambria"/>
          <w:color w:val="231F20"/>
        </w:rPr>
        <w:t>su</w:t>
      </w:r>
      <w:r>
        <w:rPr>
          <w:rFonts w:ascii="Cambria" w:hAnsi="Cambria"/>
          <w:color w:val="231F20"/>
          <w:spacing w:val="-8"/>
        </w:rPr>
        <w:t> </w:t>
      </w:r>
      <w:r>
        <w:rPr>
          <w:rFonts w:ascii="Cambria" w:hAnsi="Cambria"/>
          <w:color w:val="231F20"/>
        </w:rPr>
        <w:t>concepción</w:t>
      </w:r>
      <w:r>
        <w:rPr>
          <w:rFonts w:ascii="Cambria" w:hAnsi="Cambria"/>
          <w:color w:val="231F20"/>
          <w:spacing w:val="-8"/>
        </w:rPr>
        <w:t> </w:t>
      </w:r>
      <w:r>
        <w:rPr>
          <w:rFonts w:ascii="Cambria" w:hAnsi="Cambria"/>
          <w:color w:val="231F20"/>
        </w:rPr>
        <w:t>está en función de variables culturales. Los costos de la violencia son tan altos que la Organización Mundial de la Salud (OMS) la</w:t>
      </w:r>
      <w:r>
        <w:rPr>
          <w:rFonts w:ascii="Cambria" w:hAnsi="Cambria"/>
          <w:color w:val="231F20"/>
          <w:spacing w:val="-26"/>
        </w:rPr>
        <w:t> </w:t>
      </w:r>
      <w:r>
        <w:rPr>
          <w:rFonts w:ascii="Cambria" w:hAnsi="Cambria"/>
          <w:color w:val="231F20"/>
        </w:rPr>
        <w:t>consi- dera</w:t>
      </w:r>
      <w:r>
        <w:rPr>
          <w:rFonts w:ascii="Cambria" w:hAnsi="Cambria"/>
          <w:color w:val="231F20"/>
          <w:spacing w:val="-23"/>
        </w:rPr>
        <w:t> </w:t>
      </w:r>
      <w:r>
        <w:rPr>
          <w:rFonts w:ascii="Cambria" w:hAnsi="Cambria"/>
          <w:color w:val="231F20"/>
        </w:rPr>
        <w:t>una</w:t>
      </w:r>
      <w:r>
        <w:rPr>
          <w:rFonts w:ascii="Cambria" w:hAnsi="Cambria"/>
          <w:color w:val="231F20"/>
          <w:spacing w:val="-23"/>
        </w:rPr>
        <w:t> </w:t>
      </w:r>
      <w:r>
        <w:rPr>
          <w:rFonts w:ascii="Cambria" w:hAnsi="Cambria"/>
          <w:color w:val="231F20"/>
        </w:rPr>
        <w:t>cuestión</w:t>
      </w:r>
      <w:r>
        <w:rPr>
          <w:rFonts w:ascii="Cambria" w:hAnsi="Cambria"/>
          <w:color w:val="231F20"/>
          <w:spacing w:val="-23"/>
        </w:rPr>
        <w:t> </w:t>
      </w:r>
      <w:r>
        <w:rPr>
          <w:rFonts w:ascii="Cambria" w:hAnsi="Cambria"/>
          <w:color w:val="231F20"/>
        </w:rPr>
        <w:t>de</w:t>
      </w:r>
      <w:r>
        <w:rPr>
          <w:rFonts w:ascii="Cambria" w:hAnsi="Cambria"/>
          <w:color w:val="231F20"/>
          <w:spacing w:val="-23"/>
        </w:rPr>
        <w:t> </w:t>
      </w:r>
      <w:r>
        <w:rPr>
          <w:rFonts w:ascii="Cambria" w:hAnsi="Cambria"/>
          <w:color w:val="231F20"/>
        </w:rPr>
        <w:t>salud</w:t>
      </w:r>
      <w:r>
        <w:rPr>
          <w:rFonts w:ascii="Cambria" w:hAnsi="Cambria"/>
          <w:color w:val="231F20"/>
          <w:spacing w:val="-23"/>
        </w:rPr>
        <w:t> </w:t>
      </w:r>
      <w:r>
        <w:rPr>
          <w:rFonts w:ascii="Cambria" w:hAnsi="Cambria"/>
          <w:color w:val="231F20"/>
        </w:rPr>
        <w:t>pública.</w:t>
      </w:r>
      <w:r>
        <w:rPr>
          <w:rFonts w:ascii="Cambria" w:hAnsi="Cambria"/>
          <w:color w:val="231F20"/>
          <w:spacing w:val="-23"/>
        </w:rPr>
        <w:t> </w:t>
      </w:r>
      <w:r>
        <w:rPr>
          <w:rFonts w:ascii="Cambria" w:hAnsi="Cambria"/>
          <w:color w:val="231F20"/>
        </w:rPr>
        <w:t>Este</w:t>
      </w:r>
      <w:r>
        <w:rPr>
          <w:rFonts w:ascii="Cambria" w:hAnsi="Cambria"/>
          <w:color w:val="231F20"/>
          <w:spacing w:val="-23"/>
        </w:rPr>
        <w:t> </w:t>
      </w:r>
      <w:r>
        <w:rPr>
          <w:rFonts w:ascii="Cambria" w:hAnsi="Cambria"/>
          <w:color w:val="231F20"/>
        </w:rPr>
        <w:t>organismo</w:t>
      </w:r>
      <w:r>
        <w:rPr>
          <w:rFonts w:ascii="Cambria" w:hAnsi="Cambria"/>
          <w:color w:val="231F20"/>
          <w:spacing w:val="-23"/>
        </w:rPr>
        <w:t> </w:t>
      </w:r>
      <w:r>
        <w:rPr>
          <w:rFonts w:ascii="Cambria" w:hAnsi="Cambria"/>
          <w:color w:val="231F20"/>
        </w:rPr>
        <w:t>la</w:t>
      </w:r>
      <w:r>
        <w:rPr>
          <w:rFonts w:ascii="Cambria" w:hAnsi="Cambria"/>
          <w:color w:val="231F20"/>
          <w:spacing w:val="-23"/>
        </w:rPr>
        <w:t> </w:t>
      </w:r>
      <w:r>
        <w:rPr>
          <w:rFonts w:ascii="Cambria" w:hAnsi="Cambria"/>
          <w:color w:val="231F20"/>
        </w:rPr>
        <w:t>define</w:t>
      </w:r>
      <w:r>
        <w:rPr>
          <w:rFonts w:ascii="Cambria" w:hAnsi="Cambria"/>
          <w:color w:val="231F20"/>
          <w:spacing w:val="-23"/>
        </w:rPr>
        <w:t> </w:t>
      </w:r>
      <w:r>
        <w:rPr>
          <w:rFonts w:ascii="Cambria" w:hAnsi="Cambria"/>
          <w:color w:val="231F20"/>
        </w:rPr>
        <w:t>“como un fenómeno sumamente difuso y complejo, cuya definición no puede</w:t>
      </w:r>
      <w:r>
        <w:rPr>
          <w:rFonts w:ascii="Cambria" w:hAnsi="Cambria"/>
          <w:color w:val="231F20"/>
          <w:spacing w:val="-10"/>
        </w:rPr>
        <w:t> </w:t>
      </w:r>
      <w:r>
        <w:rPr>
          <w:rFonts w:ascii="Cambria" w:hAnsi="Cambria"/>
          <w:color w:val="231F20"/>
        </w:rPr>
        <w:t>tener</w:t>
      </w:r>
      <w:r>
        <w:rPr>
          <w:rFonts w:ascii="Cambria" w:hAnsi="Cambria"/>
          <w:color w:val="231F20"/>
          <w:spacing w:val="-10"/>
        </w:rPr>
        <w:t> </w:t>
      </w:r>
      <w:r>
        <w:rPr>
          <w:rFonts w:ascii="Cambria" w:hAnsi="Cambria"/>
          <w:color w:val="231F20"/>
        </w:rPr>
        <w:t>exactitud</w:t>
      </w:r>
      <w:r>
        <w:rPr>
          <w:rFonts w:ascii="Cambria" w:hAnsi="Cambria"/>
          <w:color w:val="231F20"/>
          <w:spacing w:val="-9"/>
        </w:rPr>
        <w:t> </w:t>
      </w:r>
      <w:r>
        <w:rPr>
          <w:rFonts w:ascii="Cambria" w:hAnsi="Cambria"/>
          <w:color w:val="231F20"/>
        </w:rPr>
        <w:t>científica,</w:t>
      </w:r>
      <w:r>
        <w:rPr>
          <w:rFonts w:ascii="Cambria" w:hAnsi="Cambria"/>
          <w:color w:val="231F20"/>
          <w:spacing w:val="-10"/>
        </w:rPr>
        <w:t> </w:t>
      </w:r>
      <w:r>
        <w:rPr>
          <w:rFonts w:ascii="Cambria" w:hAnsi="Cambria"/>
          <w:color w:val="231F20"/>
        </w:rPr>
        <w:t>y</w:t>
      </w:r>
      <w:r>
        <w:rPr>
          <w:rFonts w:ascii="Cambria" w:hAnsi="Cambria"/>
          <w:color w:val="231F20"/>
          <w:spacing w:val="-10"/>
        </w:rPr>
        <w:t> </w:t>
      </w:r>
      <w:r>
        <w:rPr>
          <w:rFonts w:ascii="Cambria" w:hAnsi="Cambria"/>
          <w:color w:val="231F20"/>
        </w:rPr>
        <w:t>que</w:t>
      </w:r>
      <w:r>
        <w:rPr>
          <w:rFonts w:ascii="Cambria" w:hAnsi="Cambria"/>
          <w:color w:val="231F20"/>
          <w:spacing w:val="-10"/>
        </w:rPr>
        <w:t> </w:t>
      </w:r>
      <w:r>
        <w:rPr>
          <w:rFonts w:ascii="Cambria" w:hAnsi="Cambria"/>
          <w:color w:val="231F20"/>
        </w:rPr>
        <w:t>es</w:t>
      </w:r>
      <w:r>
        <w:rPr>
          <w:rFonts w:ascii="Cambria" w:hAnsi="Cambria"/>
          <w:color w:val="231F20"/>
          <w:spacing w:val="-10"/>
        </w:rPr>
        <w:t> </w:t>
      </w:r>
      <w:r>
        <w:rPr>
          <w:rFonts w:ascii="Cambria" w:hAnsi="Cambria"/>
          <w:color w:val="231F20"/>
        </w:rPr>
        <w:t>una</w:t>
      </w:r>
      <w:r>
        <w:rPr>
          <w:rFonts w:ascii="Cambria" w:hAnsi="Cambria"/>
          <w:color w:val="231F20"/>
          <w:spacing w:val="-10"/>
        </w:rPr>
        <w:t> </w:t>
      </w:r>
      <w:r>
        <w:rPr>
          <w:rFonts w:ascii="Cambria" w:hAnsi="Cambria"/>
          <w:color w:val="231F20"/>
        </w:rPr>
        <w:t>cuestión</w:t>
      </w:r>
      <w:r>
        <w:rPr>
          <w:rFonts w:ascii="Cambria" w:hAnsi="Cambria"/>
          <w:color w:val="231F20"/>
          <w:spacing w:val="-9"/>
        </w:rPr>
        <w:t> </w:t>
      </w:r>
      <w:r>
        <w:rPr>
          <w:rFonts w:ascii="Cambria" w:hAnsi="Cambria"/>
          <w:color w:val="231F20"/>
        </w:rPr>
        <w:t>de</w:t>
      </w:r>
      <w:r>
        <w:rPr>
          <w:rFonts w:ascii="Cambria" w:hAnsi="Cambria"/>
          <w:color w:val="231F20"/>
          <w:spacing w:val="-10"/>
        </w:rPr>
        <w:t> </w:t>
      </w:r>
      <w:r>
        <w:rPr>
          <w:rFonts w:ascii="Cambria" w:hAnsi="Cambria"/>
          <w:color w:val="231F20"/>
        </w:rPr>
        <w:t>aprecia- ción. La noción de lo que son los comportamientos aceptables e inaceptables, o de lo que constituye un daño, está influida por la cultura</w:t>
      </w:r>
      <w:r>
        <w:rPr>
          <w:rFonts w:ascii="Cambria" w:hAnsi="Cambria"/>
          <w:color w:val="231F20"/>
          <w:spacing w:val="-26"/>
        </w:rPr>
        <w:t> </w:t>
      </w:r>
      <w:r>
        <w:rPr>
          <w:rFonts w:ascii="Cambria" w:hAnsi="Cambria"/>
          <w:color w:val="231F20"/>
        </w:rPr>
        <w:t>y</w:t>
      </w:r>
      <w:r>
        <w:rPr>
          <w:rFonts w:ascii="Cambria" w:hAnsi="Cambria"/>
          <w:color w:val="231F20"/>
          <w:spacing w:val="-26"/>
        </w:rPr>
        <w:t> </w:t>
      </w:r>
      <w:r>
        <w:rPr>
          <w:rFonts w:ascii="Cambria" w:hAnsi="Cambria"/>
          <w:color w:val="231F20"/>
        </w:rPr>
        <w:t>sometida</w:t>
      </w:r>
      <w:r>
        <w:rPr>
          <w:rFonts w:ascii="Cambria" w:hAnsi="Cambria"/>
          <w:color w:val="231F20"/>
          <w:spacing w:val="-26"/>
        </w:rPr>
        <w:t> </w:t>
      </w:r>
      <w:r>
        <w:rPr>
          <w:rFonts w:ascii="Cambria" w:hAnsi="Cambria"/>
          <w:color w:val="231F20"/>
        </w:rPr>
        <w:t>a</w:t>
      </w:r>
      <w:r>
        <w:rPr>
          <w:rFonts w:ascii="Cambria" w:hAnsi="Cambria"/>
          <w:color w:val="231F20"/>
          <w:spacing w:val="-26"/>
        </w:rPr>
        <w:t> </w:t>
      </w:r>
      <w:r>
        <w:rPr>
          <w:rFonts w:ascii="Cambria" w:hAnsi="Cambria"/>
          <w:color w:val="231F20"/>
        </w:rPr>
        <w:t>una</w:t>
      </w:r>
      <w:r>
        <w:rPr>
          <w:rFonts w:ascii="Cambria" w:hAnsi="Cambria"/>
          <w:color w:val="231F20"/>
          <w:spacing w:val="-26"/>
        </w:rPr>
        <w:t> </w:t>
      </w:r>
      <w:r>
        <w:rPr>
          <w:rFonts w:ascii="Cambria" w:hAnsi="Cambria"/>
          <w:color w:val="231F20"/>
        </w:rPr>
        <w:t>continua</w:t>
      </w:r>
      <w:r>
        <w:rPr>
          <w:rFonts w:ascii="Cambria" w:hAnsi="Cambria"/>
          <w:color w:val="231F20"/>
          <w:spacing w:val="-26"/>
        </w:rPr>
        <w:t> </w:t>
      </w:r>
      <w:r>
        <w:rPr>
          <w:rFonts w:ascii="Cambria" w:hAnsi="Cambria"/>
          <w:color w:val="231F20"/>
        </w:rPr>
        <w:t>revisión</w:t>
      </w:r>
      <w:r>
        <w:rPr>
          <w:rFonts w:ascii="Cambria" w:hAnsi="Cambria"/>
          <w:color w:val="231F20"/>
          <w:spacing w:val="-26"/>
        </w:rPr>
        <w:t> </w:t>
      </w:r>
      <w:r>
        <w:rPr>
          <w:rFonts w:ascii="Cambria" w:hAnsi="Cambria"/>
          <w:color w:val="231F20"/>
        </w:rPr>
        <w:t>a</w:t>
      </w:r>
      <w:r>
        <w:rPr>
          <w:rFonts w:ascii="Cambria" w:hAnsi="Cambria"/>
          <w:color w:val="231F20"/>
          <w:spacing w:val="-26"/>
        </w:rPr>
        <w:t> </w:t>
      </w:r>
      <w:r>
        <w:rPr>
          <w:rFonts w:ascii="Cambria" w:hAnsi="Cambria"/>
          <w:color w:val="231F20"/>
        </w:rPr>
        <w:t>medida</w:t>
      </w:r>
      <w:r>
        <w:rPr>
          <w:rFonts w:ascii="Cambria" w:hAnsi="Cambria"/>
          <w:color w:val="231F20"/>
          <w:spacing w:val="-26"/>
        </w:rPr>
        <w:t> </w:t>
      </w:r>
      <w:r>
        <w:rPr>
          <w:rFonts w:ascii="Cambria" w:hAnsi="Cambria"/>
          <w:color w:val="231F20"/>
        </w:rPr>
        <w:t>que</w:t>
      </w:r>
      <w:r>
        <w:rPr>
          <w:rFonts w:ascii="Cambria" w:hAnsi="Cambria"/>
          <w:color w:val="231F20"/>
          <w:spacing w:val="-26"/>
        </w:rPr>
        <w:t> </w:t>
      </w:r>
      <w:r>
        <w:rPr>
          <w:rFonts w:ascii="Cambria" w:hAnsi="Cambria"/>
          <w:color w:val="231F20"/>
        </w:rPr>
        <w:t>los</w:t>
      </w:r>
      <w:r>
        <w:rPr>
          <w:rFonts w:ascii="Cambria" w:hAnsi="Cambria"/>
          <w:color w:val="231F20"/>
          <w:spacing w:val="-26"/>
        </w:rPr>
        <w:t> </w:t>
      </w:r>
      <w:r>
        <w:rPr>
          <w:rFonts w:ascii="Cambria" w:hAnsi="Cambria"/>
          <w:color w:val="231F20"/>
        </w:rPr>
        <w:t>valores y las normas sociales evolucionen”.(OMS 2002:4) Precisamente porque entendemos que la violencia es algo difuso y relativo, es </w:t>
      </w:r>
      <w:r>
        <w:rPr>
          <w:rFonts w:ascii="Cambria" w:hAnsi="Cambria"/>
          <w:color w:val="231F20"/>
          <w:w w:val="95"/>
        </w:rPr>
        <w:t>decir,</w:t>
      </w:r>
      <w:r>
        <w:rPr>
          <w:rFonts w:ascii="Cambria" w:hAnsi="Cambria"/>
          <w:color w:val="231F20"/>
          <w:spacing w:val="-5"/>
          <w:w w:val="95"/>
        </w:rPr>
        <w:t> </w:t>
      </w:r>
      <w:r>
        <w:rPr>
          <w:rFonts w:ascii="Cambria" w:hAnsi="Cambria"/>
          <w:color w:val="231F20"/>
          <w:w w:val="95"/>
        </w:rPr>
        <w:t>sus</w:t>
      </w:r>
      <w:r>
        <w:rPr>
          <w:rFonts w:ascii="Cambria" w:hAnsi="Cambria"/>
          <w:color w:val="231F20"/>
          <w:spacing w:val="-4"/>
          <w:w w:val="95"/>
        </w:rPr>
        <w:t> </w:t>
      </w:r>
      <w:r>
        <w:rPr>
          <w:rFonts w:ascii="Cambria" w:hAnsi="Cambria"/>
          <w:color w:val="231F20"/>
          <w:w w:val="95"/>
        </w:rPr>
        <w:t>manifestaciones</w:t>
      </w:r>
      <w:r>
        <w:rPr>
          <w:rFonts w:ascii="Cambria" w:hAnsi="Cambria"/>
          <w:color w:val="231F20"/>
          <w:spacing w:val="-4"/>
          <w:w w:val="95"/>
        </w:rPr>
        <w:t> </w:t>
      </w:r>
      <w:r>
        <w:rPr>
          <w:rFonts w:ascii="Cambria" w:hAnsi="Cambria"/>
          <w:color w:val="231F20"/>
          <w:w w:val="95"/>
        </w:rPr>
        <w:t>varían</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acuerdo</w:t>
      </w:r>
      <w:r>
        <w:rPr>
          <w:rFonts w:ascii="Cambria" w:hAnsi="Cambria"/>
          <w:color w:val="231F20"/>
          <w:spacing w:val="-4"/>
          <w:w w:val="95"/>
        </w:rPr>
        <w:t> </w:t>
      </w:r>
      <w:r>
        <w:rPr>
          <w:rFonts w:ascii="Cambria" w:hAnsi="Cambria"/>
          <w:color w:val="231F20"/>
          <w:w w:val="95"/>
        </w:rPr>
        <w:t>a</w:t>
      </w:r>
      <w:r>
        <w:rPr>
          <w:rFonts w:ascii="Cambria" w:hAnsi="Cambria"/>
          <w:color w:val="231F20"/>
          <w:spacing w:val="-4"/>
          <w:w w:val="95"/>
        </w:rPr>
        <w:t> </w:t>
      </w:r>
      <w:r>
        <w:rPr>
          <w:rFonts w:ascii="Cambria" w:hAnsi="Cambria"/>
          <w:color w:val="231F20"/>
          <w:w w:val="95"/>
        </w:rPr>
        <w:t>los</w:t>
      </w:r>
      <w:r>
        <w:rPr>
          <w:rFonts w:ascii="Cambria" w:hAnsi="Cambria"/>
          <w:color w:val="231F20"/>
          <w:spacing w:val="-4"/>
          <w:w w:val="95"/>
        </w:rPr>
        <w:t> </w:t>
      </w:r>
      <w:r>
        <w:rPr>
          <w:rFonts w:ascii="Cambria" w:hAnsi="Cambria"/>
          <w:color w:val="231F20"/>
          <w:w w:val="95"/>
        </w:rPr>
        <w:t>contextos</w:t>
      </w:r>
      <w:r>
        <w:rPr>
          <w:rFonts w:ascii="Cambria" w:hAnsi="Cambria"/>
          <w:color w:val="231F20"/>
          <w:spacing w:val="-4"/>
          <w:w w:val="95"/>
        </w:rPr>
        <w:t> </w:t>
      </w:r>
      <w:r>
        <w:rPr>
          <w:rFonts w:ascii="Cambria" w:hAnsi="Cambria"/>
          <w:color w:val="231F20"/>
          <w:w w:val="95"/>
        </w:rPr>
        <w:t>geográ- ficos, culturales y sociales, hemos incluido en el cuestionario que</w:t>
      </w:r>
      <w:r>
        <w:rPr>
          <w:rFonts w:ascii="Cambria" w:hAnsi="Cambria"/>
          <w:color w:val="231F20"/>
          <w:spacing w:val="37"/>
          <w:w w:val="95"/>
        </w:rPr>
        <w:t> </w:t>
      </w:r>
      <w:r>
        <w:rPr>
          <w:rFonts w:ascii="Cambria" w:hAnsi="Cambria"/>
          <w:color w:val="231F20"/>
          <w:w w:val="95"/>
        </w:rPr>
        <w:t>se</w:t>
      </w:r>
    </w:p>
    <w:p>
      <w:pPr>
        <w:spacing w:after="0" w:line="242" w:lineRule="auto"/>
        <w:jc w:val="both"/>
        <w:rPr>
          <w:rFonts w:ascii="Cambria" w:hAnsi="Cambria"/>
        </w:rPr>
        <w:sectPr>
          <w:headerReference w:type="default" r:id="rId771"/>
          <w:footerReference w:type="default" r:id="rId772"/>
          <w:pgSz w:w="7830" w:h="11910"/>
          <w:pgMar w:header="0" w:footer="424" w:top="500" w:bottom="620" w:left="920" w:right="900"/>
          <w:pgNumType w:start="34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210"/>
      </w:pPr>
      <w:r>
        <w:rPr>
          <w:color w:val="231F20"/>
        </w:rPr>
        <w:t>levantó las preguntas sobre el lugar de nacimiento, pues no todos   los estudiantes provienen del medio</w:t>
      </w:r>
      <w:r>
        <w:rPr>
          <w:color w:val="231F20"/>
          <w:spacing w:val="48"/>
        </w:rPr>
        <w:t> </w:t>
      </w:r>
      <w:r>
        <w:rPr>
          <w:color w:val="231F20"/>
        </w:rPr>
        <w:t>urbano.</w:t>
      </w:r>
    </w:p>
    <w:p>
      <w:pPr>
        <w:pStyle w:val="BodyText"/>
        <w:spacing w:line="249" w:lineRule="auto" w:before="10"/>
        <w:ind w:left="101" w:right="115" w:firstLine="284"/>
        <w:jc w:val="both"/>
      </w:pPr>
      <w:r>
        <w:rPr>
          <w:color w:val="231F20"/>
        </w:rPr>
        <w:t>La </w:t>
      </w:r>
      <w:r>
        <w:rPr>
          <w:color w:val="231F20"/>
          <w:spacing w:val="2"/>
        </w:rPr>
        <w:t>violencia tiene diversas aristas </w:t>
      </w:r>
      <w:r>
        <w:rPr>
          <w:color w:val="231F20"/>
        </w:rPr>
        <w:t>y </w:t>
      </w:r>
      <w:r>
        <w:rPr>
          <w:color w:val="231F20"/>
          <w:spacing w:val="2"/>
        </w:rPr>
        <w:t>expresiones. Esto depende del sujeto que ejerza </w:t>
      </w:r>
      <w:r>
        <w:rPr>
          <w:color w:val="231F20"/>
        </w:rPr>
        <w:t>la </w:t>
      </w:r>
      <w:r>
        <w:rPr>
          <w:color w:val="231F20"/>
          <w:spacing w:val="2"/>
        </w:rPr>
        <w:t>violencia, </w:t>
      </w:r>
      <w:r>
        <w:rPr>
          <w:color w:val="231F20"/>
        </w:rPr>
        <w:t>así </w:t>
      </w:r>
      <w:r>
        <w:rPr>
          <w:color w:val="231F20"/>
          <w:spacing w:val="3"/>
        </w:rPr>
        <w:t>como </w:t>
      </w:r>
      <w:r>
        <w:rPr>
          <w:color w:val="231F20"/>
        </w:rPr>
        <w:t>de sus </w:t>
      </w:r>
      <w:r>
        <w:rPr>
          <w:color w:val="231F20"/>
          <w:spacing w:val="3"/>
        </w:rPr>
        <w:t>propósitos. Partimos </w:t>
      </w:r>
      <w:r>
        <w:rPr>
          <w:color w:val="231F20"/>
        </w:rPr>
        <w:t>de la </w:t>
      </w:r>
      <w:r>
        <w:rPr>
          <w:color w:val="231F20"/>
          <w:spacing w:val="2"/>
        </w:rPr>
        <w:t>definición </w:t>
      </w:r>
      <w:r>
        <w:rPr>
          <w:color w:val="231F20"/>
        </w:rPr>
        <w:t>de </w:t>
      </w:r>
      <w:r>
        <w:rPr>
          <w:color w:val="231F20"/>
          <w:spacing w:val="2"/>
        </w:rPr>
        <w:t>violencia </w:t>
      </w:r>
      <w:r>
        <w:rPr>
          <w:color w:val="231F20"/>
          <w:spacing w:val="3"/>
        </w:rPr>
        <w:t>como </w:t>
      </w:r>
      <w:r>
        <w:rPr>
          <w:color w:val="231F20"/>
        </w:rPr>
        <w:t>“el </w:t>
      </w:r>
      <w:r>
        <w:rPr>
          <w:color w:val="231F20"/>
          <w:spacing w:val="2"/>
        </w:rPr>
        <w:t>uso deliberado </w:t>
      </w:r>
      <w:r>
        <w:rPr>
          <w:color w:val="231F20"/>
        </w:rPr>
        <w:t>de  la </w:t>
      </w:r>
      <w:r>
        <w:rPr>
          <w:color w:val="231F20"/>
          <w:spacing w:val="2"/>
        </w:rPr>
        <w:t>fuerzas física </w:t>
      </w:r>
      <w:r>
        <w:rPr>
          <w:color w:val="231F20"/>
        </w:rPr>
        <w:t>o el </w:t>
      </w:r>
      <w:r>
        <w:rPr>
          <w:color w:val="231F20"/>
          <w:spacing w:val="3"/>
        </w:rPr>
        <w:t>poder, </w:t>
      </w:r>
      <w:r>
        <w:rPr>
          <w:color w:val="231F20"/>
        </w:rPr>
        <w:t>ya sea en </w:t>
      </w:r>
      <w:r>
        <w:rPr>
          <w:color w:val="231F20"/>
          <w:spacing w:val="2"/>
        </w:rPr>
        <w:t>grado </w:t>
      </w:r>
      <w:r>
        <w:rPr>
          <w:color w:val="231F20"/>
        </w:rPr>
        <w:t>de </w:t>
      </w:r>
      <w:r>
        <w:rPr>
          <w:color w:val="231F20"/>
          <w:spacing w:val="3"/>
        </w:rPr>
        <w:t>amenaza </w:t>
      </w:r>
      <w:r>
        <w:rPr>
          <w:color w:val="231F20"/>
        </w:rPr>
        <w:t>o </w:t>
      </w:r>
      <w:r>
        <w:rPr>
          <w:color w:val="231F20"/>
          <w:spacing w:val="2"/>
        </w:rPr>
        <w:t>efectivo, contra uno </w:t>
      </w:r>
      <w:r>
        <w:rPr>
          <w:color w:val="231F20"/>
          <w:spacing w:val="3"/>
        </w:rPr>
        <w:t>mismo, </w:t>
      </w:r>
      <w:r>
        <w:rPr>
          <w:color w:val="231F20"/>
          <w:spacing w:val="2"/>
        </w:rPr>
        <w:t>contra otra </w:t>
      </w:r>
      <w:r>
        <w:rPr>
          <w:color w:val="231F20"/>
          <w:spacing w:val="3"/>
        </w:rPr>
        <w:t>persona </w:t>
      </w:r>
      <w:r>
        <w:rPr>
          <w:color w:val="231F20"/>
        </w:rPr>
        <w:t>o un </w:t>
      </w:r>
      <w:r>
        <w:rPr>
          <w:color w:val="231F20"/>
          <w:spacing w:val="2"/>
        </w:rPr>
        <w:t>grupo </w:t>
      </w:r>
      <w:r>
        <w:rPr>
          <w:color w:val="231F20"/>
        </w:rPr>
        <w:t>o </w:t>
      </w:r>
      <w:r>
        <w:rPr>
          <w:color w:val="231F20"/>
          <w:spacing w:val="3"/>
        </w:rPr>
        <w:t>comunidad, </w:t>
      </w:r>
      <w:r>
        <w:rPr>
          <w:color w:val="231F20"/>
        </w:rPr>
        <w:t>que </w:t>
      </w:r>
      <w:r>
        <w:rPr>
          <w:color w:val="231F20"/>
          <w:spacing w:val="2"/>
        </w:rPr>
        <w:t>cause </w:t>
      </w:r>
      <w:r>
        <w:rPr>
          <w:color w:val="231F20"/>
        </w:rPr>
        <w:t>o </w:t>
      </w:r>
      <w:r>
        <w:rPr>
          <w:color w:val="231F20"/>
          <w:spacing w:val="2"/>
        </w:rPr>
        <w:t>tenga </w:t>
      </w:r>
      <w:r>
        <w:rPr>
          <w:color w:val="231F20"/>
          <w:spacing w:val="3"/>
        </w:rPr>
        <w:t>muchas </w:t>
      </w:r>
      <w:r>
        <w:rPr>
          <w:color w:val="231F20"/>
          <w:spacing w:val="2"/>
        </w:rPr>
        <w:t>probabilidades </w:t>
      </w:r>
      <w:r>
        <w:rPr>
          <w:color w:val="231F20"/>
        </w:rPr>
        <w:t>de </w:t>
      </w:r>
      <w:r>
        <w:rPr>
          <w:color w:val="231F20"/>
          <w:spacing w:val="2"/>
        </w:rPr>
        <w:t>causar lesiones, muerte, daños psicológicos, trastornos </w:t>
      </w:r>
      <w:r>
        <w:rPr>
          <w:color w:val="231F20"/>
        </w:rPr>
        <w:t>del </w:t>
      </w:r>
      <w:r>
        <w:rPr>
          <w:color w:val="231F20"/>
          <w:spacing w:val="2"/>
        </w:rPr>
        <w:t>desarrollo </w:t>
      </w:r>
      <w:r>
        <w:rPr>
          <w:color w:val="231F20"/>
        </w:rPr>
        <w:t>o </w:t>
      </w:r>
      <w:r>
        <w:rPr>
          <w:color w:val="231F20"/>
          <w:spacing w:val="3"/>
        </w:rPr>
        <w:t>privacio- nes”(OMS, </w:t>
      </w:r>
      <w:r>
        <w:rPr>
          <w:color w:val="231F20"/>
          <w:spacing w:val="2"/>
        </w:rPr>
        <w:t>2002:</w:t>
      </w:r>
      <w:r>
        <w:rPr>
          <w:color w:val="231F20"/>
          <w:spacing w:val="-34"/>
        </w:rPr>
        <w:t> </w:t>
      </w:r>
      <w:r>
        <w:rPr>
          <w:color w:val="231F20"/>
        </w:rPr>
        <w:t>5).</w:t>
      </w:r>
    </w:p>
    <w:p>
      <w:pPr>
        <w:pStyle w:val="BodyText"/>
        <w:spacing w:before="3"/>
        <w:rPr>
          <w:sz w:val="20"/>
        </w:rPr>
      </w:pPr>
    </w:p>
    <w:p>
      <w:pPr>
        <w:pStyle w:val="ListParagraph"/>
        <w:numPr>
          <w:ilvl w:val="1"/>
          <w:numId w:val="20"/>
        </w:numPr>
        <w:tabs>
          <w:tab w:pos="822" w:val="left" w:leader="none"/>
        </w:tabs>
        <w:spacing w:line="249" w:lineRule="auto" w:before="0" w:after="0"/>
        <w:ind w:left="821" w:right="113" w:hanging="359"/>
        <w:jc w:val="both"/>
        <w:rPr>
          <w:sz w:val="21"/>
        </w:rPr>
      </w:pPr>
      <w:r>
        <w:rPr>
          <w:color w:val="231F20"/>
          <w:sz w:val="21"/>
        </w:rPr>
        <w:t>Lo que interesa es conocer la situación de violencia que existe en el campus universitario, en particular la ejercida contra los alumnos. Por ello, de la definición anterior tomaremos la que alude al uso deliberado de la fuerza física o el poder contra otra u otras personas. La violencia, en   este sentido, puede ejercerse de una persona a otra, de un grupo de personas a otro grupo de personas, es decir, de    un alumno, profesor o porro contra otro alumno (a), o de   un grupo de alumnos, porros o profesores  contra  otro  grupo de alumnos. A esta violencia se le ha denominado interpersonal, la cual a su vez se divide en dos  subcategorías:</w:t>
      </w:r>
    </w:p>
    <w:p>
      <w:pPr>
        <w:pStyle w:val="BodyText"/>
        <w:spacing w:before="3"/>
        <w:rPr>
          <w:sz w:val="20"/>
        </w:rPr>
      </w:pPr>
    </w:p>
    <w:p>
      <w:pPr>
        <w:pStyle w:val="ListParagraph"/>
        <w:numPr>
          <w:ilvl w:val="1"/>
          <w:numId w:val="20"/>
        </w:numPr>
        <w:tabs>
          <w:tab w:pos="822" w:val="left" w:leader="none"/>
        </w:tabs>
        <w:spacing w:line="249" w:lineRule="auto" w:before="0" w:after="0"/>
        <w:ind w:left="821" w:right="117" w:hanging="360"/>
        <w:jc w:val="both"/>
        <w:rPr>
          <w:sz w:val="21"/>
        </w:rPr>
      </w:pPr>
      <w:r>
        <w:rPr>
          <w:color w:val="231F20"/>
          <w:sz w:val="21"/>
        </w:rPr>
        <w:t>a) La violencia intrafamiliar o de pareja: “la mayor parte de los casos se produce entre miembros de la familia o compañeros sentimentales y suele acontecer en el hogar, aunque no exclusivamente” (OMS, 2002: 6). Comprende el maltrato a los niños, la violencia contra la pareja y contra  los</w:t>
      </w:r>
      <w:r>
        <w:rPr>
          <w:color w:val="231F20"/>
          <w:spacing w:val="-8"/>
          <w:sz w:val="21"/>
        </w:rPr>
        <w:t> </w:t>
      </w:r>
      <w:r>
        <w:rPr>
          <w:color w:val="231F20"/>
          <w:sz w:val="21"/>
        </w:rPr>
        <w:t>ancianos.</w:t>
      </w:r>
    </w:p>
    <w:p>
      <w:pPr>
        <w:pStyle w:val="BodyText"/>
        <w:spacing w:before="3"/>
        <w:rPr>
          <w:sz w:val="20"/>
        </w:rPr>
      </w:pPr>
    </w:p>
    <w:p>
      <w:pPr>
        <w:pStyle w:val="ListParagraph"/>
        <w:numPr>
          <w:ilvl w:val="1"/>
          <w:numId w:val="20"/>
        </w:numPr>
        <w:tabs>
          <w:tab w:pos="822" w:val="left" w:leader="none"/>
        </w:tabs>
        <w:spacing w:line="247" w:lineRule="auto" w:before="0" w:after="0"/>
        <w:ind w:left="821" w:right="116" w:hanging="360"/>
        <w:jc w:val="both"/>
        <w:rPr>
          <w:sz w:val="21"/>
        </w:rPr>
      </w:pPr>
      <w:r>
        <w:rPr>
          <w:color w:val="231F20"/>
          <w:sz w:val="21"/>
        </w:rPr>
        <w:t>b) La violencia comunitaria “que se produce entre  individuos no relacionados entre sí y que pueden conocerse o no, acontece generalmente fuera del hogar” (OMS, 2002: 6). En este grupo se considera la violencia entre jóvenes,   los actos violentos azarosos, las agresiones sexuales y las violaciones ejecutadas por extraños a las personas, la violencia que se ejerce en las escuelas, lugares de trabajo, centros de rehabilitación y</w:t>
      </w:r>
      <w:r>
        <w:rPr>
          <w:color w:val="231F20"/>
          <w:spacing w:val="-21"/>
          <w:sz w:val="21"/>
        </w:rPr>
        <w:t> </w:t>
      </w:r>
      <w:r>
        <w:rPr>
          <w:color w:val="231F20"/>
          <w:sz w:val="21"/>
        </w:rPr>
        <w:t>asilos.</w:t>
      </w:r>
    </w:p>
    <w:p>
      <w:pPr>
        <w:spacing w:after="0" w:line="247" w:lineRule="auto"/>
        <w:jc w:val="both"/>
        <w:rPr>
          <w:sz w:val="21"/>
        </w:rPr>
        <w:sectPr>
          <w:headerReference w:type="default" r:id="rId773"/>
          <w:footerReference w:type="default" r:id="rId774"/>
          <w:pgSz w:w="7830" w:h="11910"/>
          <w:pgMar w:header="0" w:footer="424" w:top="500" w:bottom="620" w:left="920" w:right="900"/>
          <w:pgNumType w:start="34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6" w:firstLine="228"/>
        <w:jc w:val="both"/>
      </w:pPr>
      <w:r>
        <w:rPr>
          <w:color w:val="231F20"/>
        </w:rPr>
        <w:t>Esta definición guió el desarrollo de la investigación, pues par- timos del hecho de que la violencia que sufren los alumnos de la UABJO es interpersonal. Es cierto que no todos los alumnos(as) han sufrido violencia, pero un número importante de ellos sí. Y como la violencia interpersonal se da tanto en el hogar como en otros espacios públicos, se trató de recuperar esta información a través de un cuestionario aplicado a un número de alumnos del  nivel superior, que varió de acuerdo con el total de alumnos ins- critos en cada una de las escuelas o facultades encuestadas.</w:t>
      </w:r>
    </w:p>
    <w:p>
      <w:pPr>
        <w:pStyle w:val="BodyText"/>
        <w:spacing w:line="249" w:lineRule="auto"/>
        <w:ind w:left="101" w:right="115" w:firstLine="284"/>
        <w:jc w:val="both"/>
      </w:pPr>
      <w:r>
        <w:rPr>
          <w:color w:val="231F20"/>
        </w:rPr>
        <w:t>En un primer momento se buscó conocer la percepción que los alumnos tienen de la violencia que se vive en la ciudad de Oaxaca. Desde la psicología se define a la percepción como “el proceso cognitivo de la conciencias que consiste en el reconocimiento, in- terpretación y significación para la elaboración de juicios en torno a las sensaciones obtenidas del ambiente físico y social, en el que intervienen otros procesos psíquicos, entre los que se encuentran el aprendizaje, la memoria y la simbolización” (Vargas- Melgarejo,1994:47). Aclaramos que la percepción no es un proceso lineal de estímulo-respuesta que opera sobre un sujeto pasivo; por    el contrario, en la conformación de la percepción está en juego una serie de procesos en interacción. En dichos procesos el sujeto y la sociedad poseen un papel importante en la conformación de las percepciones.</w:t>
      </w:r>
    </w:p>
    <w:p>
      <w:pPr>
        <w:pStyle w:val="BodyText"/>
        <w:spacing w:line="249" w:lineRule="auto"/>
        <w:ind w:left="101" w:right="115" w:firstLine="284"/>
        <w:jc w:val="both"/>
      </w:pPr>
      <w:r>
        <w:rPr>
          <w:color w:val="231F20"/>
        </w:rPr>
        <w:t>La percepción tiene como elemento importante el reconoci- miento de las experiencias cotidianas de los sujetos. Esto permite evocar experiencias y conocimientos adquiridos a lo largo de la vida y que son comparados con las nuevas experiencias. Al reco- nocer las experiencias cotidianas de los sujetos, se concibe a la percepción como un proceso  histórico,  dinámico,  que  depende del contexto cultural en que se encuentren, así como del tiempo. Las percepciones varían de acuerdo con el tiempo y en cada cultu- ra, reflejan a la cultura y al momento que esta vive.</w:t>
      </w:r>
    </w:p>
    <w:p>
      <w:pPr>
        <w:pStyle w:val="BodyText"/>
        <w:spacing w:line="247" w:lineRule="auto"/>
        <w:ind w:left="101" w:right="116" w:firstLine="284"/>
        <w:jc w:val="both"/>
      </w:pPr>
      <w:r>
        <w:rPr>
          <w:color w:val="231F20"/>
        </w:rPr>
        <w:t>Se recuperó el concepto anterior de percepción en algunas de las preguntas del cuestionario. La intención fue entender cómo los alumnos</w:t>
      </w:r>
      <w:r>
        <w:rPr>
          <w:color w:val="231F20"/>
          <w:spacing w:val="-8"/>
        </w:rPr>
        <w:t> </w:t>
      </w:r>
      <w:r>
        <w:rPr>
          <w:color w:val="231F20"/>
        </w:rPr>
        <w:t>perciben</w:t>
      </w:r>
      <w:r>
        <w:rPr>
          <w:color w:val="231F20"/>
          <w:spacing w:val="-8"/>
        </w:rPr>
        <w:t> </w:t>
      </w:r>
      <w:r>
        <w:rPr>
          <w:color w:val="231F20"/>
        </w:rPr>
        <w:t>la</w:t>
      </w:r>
      <w:r>
        <w:rPr>
          <w:color w:val="231F20"/>
          <w:spacing w:val="-8"/>
        </w:rPr>
        <w:t> </w:t>
      </w:r>
      <w:r>
        <w:rPr>
          <w:color w:val="231F20"/>
        </w:rPr>
        <w:t>violencia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ciudad,</w:t>
      </w:r>
      <w:r>
        <w:rPr>
          <w:color w:val="231F20"/>
          <w:spacing w:val="-9"/>
        </w:rPr>
        <w:t> </w:t>
      </w:r>
      <w:r>
        <w:rPr>
          <w:color w:val="231F20"/>
        </w:rPr>
        <w:t>en</w:t>
      </w:r>
      <w:r>
        <w:rPr>
          <w:color w:val="231F20"/>
          <w:spacing w:val="-8"/>
        </w:rPr>
        <w:t> </w:t>
      </w:r>
      <w:r>
        <w:rPr>
          <w:color w:val="231F20"/>
        </w:rPr>
        <w:t>el</w:t>
      </w:r>
      <w:r>
        <w:rPr>
          <w:color w:val="231F20"/>
          <w:spacing w:val="-9"/>
        </w:rPr>
        <w:t> </w:t>
      </w:r>
      <w:r>
        <w:rPr>
          <w:color w:val="231F20"/>
        </w:rPr>
        <w:t>barrio,</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Univer- sidad y en su familia. En sus respuestas se hallan las experiencias y conocimientos sobre esta problemática que tienen cada uno de los estudiantes y que reflejan, de una u otra forma, la realidad que se vive.</w:t>
      </w:r>
      <w:r>
        <w:rPr>
          <w:color w:val="231F20"/>
          <w:spacing w:val="-14"/>
        </w:rPr>
        <w:t> </w:t>
      </w:r>
      <w:r>
        <w:rPr>
          <w:color w:val="231F20"/>
        </w:rPr>
        <w:t>El</w:t>
      </w:r>
      <w:r>
        <w:rPr>
          <w:color w:val="231F20"/>
          <w:spacing w:val="-14"/>
        </w:rPr>
        <w:t> </w:t>
      </w:r>
      <w:r>
        <w:rPr>
          <w:color w:val="231F20"/>
        </w:rPr>
        <w:t>Cuadro</w:t>
      </w:r>
      <w:r>
        <w:rPr>
          <w:color w:val="231F20"/>
          <w:spacing w:val="-13"/>
        </w:rPr>
        <w:t> </w:t>
      </w:r>
      <w:r>
        <w:rPr>
          <w:color w:val="231F20"/>
        </w:rPr>
        <w:t>1</w:t>
      </w:r>
      <w:r>
        <w:rPr>
          <w:color w:val="231F20"/>
          <w:spacing w:val="-13"/>
        </w:rPr>
        <w:t> </w:t>
      </w:r>
      <w:r>
        <w:rPr>
          <w:color w:val="231F20"/>
        </w:rPr>
        <w:t>informa</w:t>
      </w:r>
      <w:r>
        <w:rPr>
          <w:color w:val="231F20"/>
          <w:spacing w:val="-14"/>
        </w:rPr>
        <w:t> </w:t>
      </w:r>
      <w:r>
        <w:rPr>
          <w:color w:val="231F20"/>
        </w:rPr>
        <w:t>sobre</w:t>
      </w:r>
      <w:r>
        <w:rPr>
          <w:color w:val="231F20"/>
          <w:spacing w:val="-13"/>
        </w:rPr>
        <w:t> </w:t>
      </w:r>
      <w:r>
        <w:rPr>
          <w:color w:val="231F20"/>
        </w:rPr>
        <w:t>la</w:t>
      </w:r>
      <w:r>
        <w:rPr>
          <w:color w:val="231F20"/>
          <w:spacing w:val="-14"/>
        </w:rPr>
        <w:t> </w:t>
      </w:r>
      <w:r>
        <w:rPr>
          <w:color w:val="231F20"/>
        </w:rPr>
        <w:t>percepción</w:t>
      </w:r>
      <w:r>
        <w:rPr>
          <w:color w:val="231F20"/>
          <w:spacing w:val="-13"/>
        </w:rPr>
        <w:t> </w:t>
      </w:r>
      <w:r>
        <w:rPr>
          <w:color w:val="231F20"/>
        </w:rPr>
        <w:t>de</w:t>
      </w:r>
      <w:r>
        <w:rPr>
          <w:color w:val="231F20"/>
          <w:spacing w:val="-13"/>
        </w:rPr>
        <w:t> </w:t>
      </w:r>
      <w:r>
        <w:rPr>
          <w:color w:val="231F20"/>
        </w:rPr>
        <w:t>la</w:t>
      </w:r>
      <w:r>
        <w:rPr>
          <w:color w:val="231F20"/>
          <w:spacing w:val="-14"/>
        </w:rPr>
        <w:t> </w:t>
      </w:r>
      <w:r>
        <w:rPr>
          <w:color w:val="231F20"/>
        </w:rPr>
        <w:t>violencia.</w:t>
      </w:r>
    </w:p>
    <w:p>
      <w:pPr>
        <w:spacing w:after="0" w:line="247" w:lineRule="auto"/>
        <w:jc w:val="both"/>
        <w:sectPr>
          <w:headerReference w:type="default" r:id="rId775"/>
          <w:footerReference w:type="default" r:id="rId776"/>
          <w:pgSz w:w="7830" w:h="11910"/>
          <w:pgMar w:header="0" w:footer="424" w:top="500" w:bottom="620" w:left="920" w:right="900"/>
          <w:pgNumType w:start="347"/>
        </w:sectPr>
      </w:pPr>
    </w:p>
    <w:p>
      <w:pPr>
        <w:spacing w:before="46"/>
        <w:ind w:left="160" w:right="57"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before="111"/>
        <w:ind w:left="160" w:right="58" w:firstLine="0"/>
        <w:jc w:val="center"/>
        <w:rPr>
          <w:b/>
          <w:sz w:val="19"/>
        </w:rPr>
      </w:pPr>
      <w:r>
        <w:rPr>
          <w:b/>
          <w:color w:val="231F20"/>
          <w:w w:val="105"/>
          <w:sz w:val="19"/>
        </w:rPr>
        <w:t>Cuadro 1. Niveles de violencia</w:t>
      </w:r>
    </w:p>
    <w:p>
      <w:pPr>
        <w:pStyle w:val="BodyText"/>
        <w:rPr>
          <w:b/>
          <w:sz w:val="11"/>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26"/>
        <w:gridCol w:w="1262"/>
        <w:gridCol w:w="1310"/>
        <w:gridCol w:w="1118"/>
        <w:gridCol w:w="749"/>
      </w:tblGrid>
      <w:tr>
        <w:trPr>
          <w:trHeight w:val="470" w:hRule="exact"/>
        </w:trPr>
        <w:tc>
          <w:tcPr>
            <w:tcW w:w="1426" w:type="dxa"/>
            <w:vMerge w:val="restart"/>
          </w:tcPr>
          <w:p>
            <w:pPr>
              <w:pStyle w:val="TableParagraph"/>
              <w:spacing w:before="1"/>
              <w:ind w:left="0"/>
              <w:rPr>
                <w:b/>
                <w:sz w:val="14"/>
              </w:rPr>
            </w:pPr>
          </w:p>
          <w:p>
            <w:pPr>
              <w:pStyle w:val="TableParagraph"/>
              <w:spacing w:line="247" w:lineRule="auto" w:before="1"/>
              <w:ind w:left="369" w:hanging="94"/>
              <w:rPr>
                <w:b/>
                <w:sz w:val="17"/>
              </w:rPr>
            </w:pPr>
            <w:r>
              <w:rPr>
                <w:b/>
                <w:color w:val="231F20"/>
                <w:w w:val="105"/>
                <w:sz w:val="17"/>
              </w:rPr>
              <w:t>Lugar de la violencia</w:t>
            </w:r>
          </w:p>
        </w:tc>
        <w:tc>
          <w:tcPr>
            <w:tcW w:w="4440" w:type="dxa"/>
            <w:gridSpan w:val="4"/>
          </w:tcPr>
          <w:p>
            <w:pPr>
              <w:pStyle w:val="TableParagraph"/>
              <w:spacing w:before="124"/>
              <w:ind w:left="1449"/>
              <w:rPr>
                <w:b/>
                <w:sz w:val="17"/>
              </w:rPr>
            </w:pPr>
            <w:r>
              <w:rPr>
                <w:b/>
                <w:color w:val="231F20"/>
                <w:w w:val="105"/>
                <w:sz w:val="17"/>
              </w:rPr>
              <w:t>Niveles de violencia</w:t>
            </w:r>
          </w:p>
        </w:tc>
      </w:tr>
      <w:tr>
        <w:trPr>
          <w:trHeight w:val="274" w:hRule="exact"/>
        </w:trPr>
        <w:tc>
          <w:tcPr>
            <w:tcW w:w="1426" w:type="dxa"/>
            <w:vMerge/>
          </w:tcPr>
          <w:p>
            <w:pPr/>
          </w:p>
        </w:tc>
        <w:tc>
          <w:tcPr>
            <w:tcW w:w="1262" w:type="dxa"/>
          </w:tcPr>
          <w:p>
            <w:pPr>
              <w:pStyle w:val="TableParagraph"/>
              <w:spacing w:line="190" w:lineRule="exact"/>
              <w:ind w:left="449" w:right="450"/>
              <w:jc w:val="center"/>
              <w:rPr>
                <w:b/>
                <w:sz w:val="17"/>
              </w:rPr>
            </w:pPr>
            <w:r>
              <w:rPr>
                <w:b/>
                <w:color w:val="231F20"/>
                <w:sz w:val="17"/>
              </w:rPr>
              <w:t>Alto</w:t>
            </w:r>
          </w:p>
        </w:tc>
        <w:tc>
          <w:tcPr>
            <w:tcW w:w="1310" w:type="dxa"/>
          </w:tcPr>
          <w:p>
            <w:pPr>
              <w:pStyle w:val="TableParagraph"/>
              <w:spacing w:line="190" w:lineRule="exact"/>
              <w:ind w:left="385" w:right="390"/>
              <w:jc w:val="center"/>
              <w:rPr>
                <w:b/>
                <w:sz w:val="17"/>
              </w:rPr>
            </w:pPr>
            <w:r>
              <w:rPr>
                <w:b/>
                <w:color w:val="231F20"/>
                <w:w w:val="105"/>
                <w:sz w:val="17"/>
              </w:rPr>
              <w:t>Medio</w:t>
            </w:r>
          </w:p>
        </w:tc>
        <w:tc>
          <w:tcPr>
            <w:tcW w:w="1118" w:type="dxa"/>
          </w:tcPr>
          <w:p>
            <w:pPr>
              <w:pStyle w:val="TableParagraph"/>
              <w:spacing w:line="190" w:lineRule="exact"/>
              <w:ind w:left="363" w:right="364"/>
              <w:jc w:val="center"/>
              <w:rPr>
                <w:b/>
                <w:sz w:val="17"/>
              </w:rPr>
            </w:pPr>
            <w:r>
              <w:rPr>
                <w:b/>
                <w:color w:val="231F20"/>
                <w:sz w:val="17"/>
              </w:rPr>
              <w:t>Bajo</w:t>
            </w:r>
          </w:p>
        </w:tc>
        <w:tc>
          <w:tcPr>
            <w:tcW w:w="749" w:type="dxa"/>
          </w:tcPr>
          <w:p>
            <w:pPr>
              <w:pStyle w:val="TableParagraph"/>
              <w:spacing w:line="190" w:lineRule="exact"/>
              <w:ind w:left="0" w:right="160"/>
              <w:jc w:val="right"/>
              <w:rPr>
                <w:b/>
                <w:sz w:val="17"/>
              </w:rPr>
            </w:pPr>
            <w:r>
              <w:rPr>
                <w:b/>
                <w:color w:val="231F20"/>
                <w:sz w:val="17"/>
              </w:rPr>
              <w:t>Total</w:t>
            </w:r>
          </w:p>
        </w:tc>
      </w:tr>
      <w:tr>
        <w:trPr>
          <w:trHeight w:val="322" w:hRule="exact"/>
        </w:trPr>
        <w:tc>
          <w:tcPr>
            <w:tcW w:w="1426" w:type="dxa"/>
          </w:tcPr>
          <w:p>
            <w:pPr>
              <w:pStyle w:val="TableParagraph"/>
              <w:spacing w:before="52"/>
              <w:ind w:left="105"/>
              <w:rPr>
                <w:sz w:val="17"/>
              </w:rPr>
            </w:pPr>
            <w:r>
              <w:rPr>
                <w:color w:val="231F20"/>
                <w:sz w:val="17"/>
              </w:rPr>
              <w:t>Oaxaca</w:t>
            </w:r>
          </w:p>
        </w:tc>
        <w:tc>
          <w:tcPr>
            <w:tcW w:w="1262" w:type="dxa"/>
          </w:tcPr>
          <w:p>
            <w:pPr>
              <w:pStyle w:val="TableParagraph"/>
              <w:spacing w:line="190" w:lineRule="exact"/>
              <w:ind w:left="449" w:right="451"/>
              <w:jc w:val="center"/>
              <w:rPr>
                <w:sz w:val="17"/>
              </w:rPr>
            </w:pPr>
            <w:r>
              <w:rPr>
                <w:color w:val="231F20"/>
                <w:sz w:val="17"/>
              </w:rPr>
              <w:t>57%</w:t>
            </w:r>
          </w:p>
        </w:tc>
        <w:tc>
          <w:tcPr>
            <w:tcW w:w="1310" w:type="dxa"/>
          </w:tcPr>
          <w:p>
            <w:pPr>
              <w:pStyle w:val="TableParagraph"/>
              <w:spacing w:line="190" w:lineRule="exact"/>
              <w:ind w:left="384" w:right="390"/>
              <w:jc w:val="center"/>
              <w:rPr>
                <w:sz w:val="17"/>
              </w:rPr>
            </w:pPr>
            <w:r>
              <w:rPr>
                <w:color w:val="231F20"/>
                <w:sz w:val="17"/>
              </w:rPr>
              <w:t>33%</w:t>
            </w:r>
          </w:p>
        </w:tc>
        <w:tc>
          <w:tcPr>
            <w:tcW w:w="1118" w:type="dxa"/>
          </w:tcPr>
          <w:p>
            <w:pPr>
              <w:pStyle w:val="TableParagraph"/>
              <w:spacing w:line="190" w:lineRule="exact"/>
              <w:ind w:left="363" w:right="364"/>
              <w:jc w:val="center"/>
              <w:rPr>
                <w:sz w:val="17"/>
              </w:rPr>
            </w:pPr>
            <w:r>
              <w:rPr>
                <w:color w:val="231F20"/>
                <w:sz w:val="17"/>
              </w:rPr>
              <w:t>10%</w:t>
            </w:r>
          </w:p>
        </w:tc>
        <w:tc>
          <w:tcPr>
            <w:tcW w:w="749" w:type="dxa"/>
          </w:tcPr>
          <w:p>
            <w:pPr>
              <w:pStyle w:val="TableParagraph"/>
              <w:spacing w:line="190" w:lineRule="exact"/>
              <w:ind w:left="0" w:right="165"/>
              <w:jc w:val="right"/>
              <w:rPr>
                <w:sz w:val="17"/>
              </w:rPr>
            </w:pPr>
            <w:r>
              <w:rPr>
                <w:color w:val="231F20"/>
                <w:sz w:val="17"/>
              </w:rPr>
              <w:t>100%</w:t>
            </w:r>
          </w:p>
        </w:tc>
      </w:tr>
      <w:tr>
        <w:trPr>
          <w:trHeight w:val="326" w:hRule="exact"/>
        </w:trPr>
        <w:tc>
          <w:tcPr>
            <w:tcW w:w="1426" w:type="dxa"/>
          </w:tcPr>
          <w:p>
            <w:pPr>
              <w:pStyle w:val="TableParagraph"/>
              <w:spacing w:before="52"/>
              <w:ind w:left="105"/>
              <w:rPr>
                <w:sz w:val="17"/>
              </w:rPr>
            </w:pPr>
            <w:r>
              <w:rPr>
                <w:color w:val="231F20"/>
                <w:sz w:val="17"/>
              </w:rPr>
              <w:t>Colonia o barrio</w:t>
            </w:r>
          </w:p>
        </w:tc>
        <w:tc>
          <w:tcPr>
            <w:tcW w:w="1262" w:type="dxa"/>
          </w:tcPr>
          <w:p>
            <w:pPr>
              <w:pStyle w:val="TableParagraph"/>
              <w:spacing w:line="195" w:lineRule="exact"/>
              <w:ind w:left="449" w:right="451"/>
              <w:jc w:val="center"/>
              <w:rPr>
                <w:sz w:val="17"/>
              </w:rPr>
            </w:pPr>
            <w:r>
              <w:rPr>
                <w:color w:val="231F20"/>
                <w:sz w:val="17"/>
              </w:rPr>
              <w:t>7%</w:t>
            </w:r>
          </w:p>
        </w:tc>
        <w:tc>
          <w:tcPr>
            <w:tcW w:w="1310" w:type="dxa"/>
          </w:tcPr>
          <w:p>
            <w:pPr>
              <w:pStyle w:val="TableParagraph"/>
              <w:spacing w:line="195" w:lineRule="exact"/>
              <w:ind w:left="384" w:right="390"/>
              <w:jc w:val="center"/>
              <w:rPr>
                <w:sz w:val="17"/>
              </w:rPr>
            </w:pPr>
            <w:r>
              <w:rPr>
                <w:color w:val="231F20"/>
                <w:sz w:val="17"/>
              </w:rPr>
              <w:t>33%</w:t>
            </w:r>
          </w:p>
        </w:tc>
        <w:tc>
          <w:tcPr>
            <w:tcW w:w="1118" w:type="dxa"/>
          </w:tcPr>
          <w:p>
            <w:pPr>
              <w:pStyle w:val="TableParagraph"/>
              <w:spacing w:line="195" w:lineRule="exact"/>
              <w:ind w:left="363" w:right="364"/>
              <w:jc w:val="center"/>
              <w:rPr>
                <w:sz w:val="17"/>
              </w:rPr>
            </w:pPr>
            <w:r>
              <w:rPr>
                <w:color w:val="231F20"/>
                <w:sz w:val="17"/>
              </w:rPr>
              <w:t>60%</w:t>
            </w:r>
          </w:p>
        </w:tc>
        <w:tc>
          <w:tcPr>
            <w:tcW w:w="749" w:type="dxa"/>
          </w:tcPr>
          <w:p>
            <w:pPr>
              <w:pStyle w:val="TableParagraph"/>
              <w:spacing w:line="195" w:lineRule="exact"/>
              <w:ind w:left="0" w:right="165"/>
              <w:jc w:val="right"/>
              <w:rPr>
                <w:sz w:val="17"/>
              </w:rPr>
            </w:pPr>
            <w:r>
              <w:rPr>
                <w:color w:val="231F20"/>
                <w:sz w:val="17"/>
              </w:rPr>
              <w:t>100%</w:t>
            </w:r>
          </w:p>
        </w:tc>
      </w:tr>
      <w:tr>
        <w:trPr>
          <w:trHeight w:val="336" w:hRule="exact"/>
        </w:trPr>
        <w:tc>
          <w:tcPr>
            <w:tcW w:w="1426" w:type="dxa"/>
          </w:tcPr>
          <w:p>
            <w:pPr>
              <w:pStyle w:val="TableParagraph"/>
              <w:spacing w:before="57"/>
              <w:ind w:left="105"/>
              <w:rPr>
                <w:sz w:val="17"/>
              </w:rPr>
            </w:pPr>
            <w:r>
              <w:rPr>
                <w:color w:val="231F20"/>
                <w:sz w:val="17"/>
              </w:rPr>
              <w:t>Universidad</w:t>
            </w:r>
          </w:p>
        </w:tc>
        <w:tc>
          <w:tcPr>
            <w:tcW w:w="1262" w:type="dxa"/>
          </w:tcPr>
          <w:p>
            <w:pPr>
              <w:pStyle w:val="TableParagraph"/>
              <w:spacing w:line="190" w:lineRule="exact"/>
              <w:ind w:left="449" w:right="451"/>
              <w:jc w:val="center"/>
              <w:rPr>
                <w:sz w:val="17"/>
              </w:rPr>
            </w:pPr>
            <w:r>
              <w:rPr>
                <w:color w:val="231F20"/>
                <w:sz w:val="17"/>
              </w:rPr>
              <w:t>19%</w:t>
            </w:r>
          </w:p>
        </w:tc>
        <w:tc>
          <w:tcPr>
            <w:tcW w:w="1310" w:type="dxa"/>
          </w:tcPr>
          <w:p>
            <w:pPr>
              <w:pStyle w:val="TableParagraph"/>
              <w:spacing w:line="190" w:lineRule="exact"/>
              <w:ind w:left="384" w:right="390"/>
              <w:jc w:val="center"/>
              <w:rPr>
                <w:sz w:val="17"/>
              </w:rPr>
            </w:pPr>
            <w:r>
              <w:rPr>
                <w:color w:val="231F20"/>
                <w:sz w:val="17"/>
              </w:rPr>
              <w:t>54%</w:t>
            </w:r>
          </w:p>
        </w:tc>
        <w:tc>
          <w:tcPr>
            <w:tcW w:w="1118" w:type="dxa"/>
          </w:tcPr>
          <w:p>
            <w:pPr>
              <w:pStyle w:val="TableParagraph"/>
              <w:spacing w:line="190" w:lineRule="exact"/>
              <w:ind w:left="363" w:right="364"/>
              <w:jc w:val="center"/>
              <w:rPr>
                <w:sz w:val="17"/>
              </w:rPr>
            </w:pPr>
            <w:r>
              <w:rPr>
                <w:color w:val="231F20"/>
                <w:sz w:val="17"/>
              </w:rPr>
              <w:t>27%</w:t>
            </w:r>
          </w:p>
        </w:tc>
        <w:tc>
          <w:tcPr>
            <w:tcW w:w="749" w:type="dxa"/>
          </w:tcPr>
          <w:p>
            <w:pPr>
              <w:pStyle w:val="TableParagraph"/>
              <w:spacing w:line="190" w:lineRule="exact"/>
              <w:ind w:left="0" w:right="165"/>
              <w:jc w:val="right"/>
              <w:rPr>
                <w:sz w:val="17"/>
              </w:rPr>
            </w:pPr>
            <w:r>
              <w:rPr>
                <w:color w:val="231F20"/>
                <w:sz w:val="17"/>
              </w:rPr>
              <w:t>100%</w:t>
            </w:r>
          </w:p>
        </w:tc>
      </w:tr>
      <w:tr>
        <w:trPr>
          <w:trHeight w:val="312" w:hRule="exact"/>
        </w:trPr>
        <w:tc>
          <w:tcPr>
            <w:tcW w:w="1426" w:type="dxa"/>
          </w:tcPr>
          <w:p>
            <w:pPr>
              <w:pStyle w:val="TableParagraph"/>
              <w:spacing w:before="43"/>
              <w:ind w:left="105"/>
              <w:rPr>
                <w:sz w:val="17"/>
              </w:rPr>
            </w:pPr>
            <w:r>
              <w:rPr>
                <w:color w:val="231F20"/>
                <w:sz w:val="17"/>
              </w:rPr>
              <w:t>Familia</w:t>
            </w:r>
          </w:p>
        </w:tc>
        <w:tc>
          <w:tcPr>
            <w:tcW w:w="1262" w:type="dxa"/>
          </w:tcPr>
          <w:p>
            <w:pPr>
              <w:pStyle w:val="TableParagraph"/>
              <w:spacing w:line="190" w:lineRule="exact"/>
              <w:ind w:left="449" w:right="451"/>
              <w:jc w:val="center"/>
              <w:rPr>
                <w:sz w:val="17"/>
              </w:rPr>
            </w:pPr>
            <w:r>
              <w:rPr>
                <w:color w:val="231F20"/>
                <w:sz w:val="17"/>
              </w:rPr>
              <w:t>20%</w:t>
            </w:r>
          </w:p>
        </w:tc>
        <w:tc>
          <w:tcPr>
            <w:tcW w:w="1310" w:type="dxa"/>
          </w:tcPr>
          <w:p>
            <w:pPr>
              <w:pStyle w:val="TableParagraph"/>
              <w:spacing w:line="190" w:lineRule="exact"/>
              <w:ind w:left="384" w:right="390"/>
              <w:jc w:val="center"/>
              <w:rPr>
                <w:sz w:val="17"/>
              </w:rPr>
            </w:pPr>
            <w:r>
              <w:rPr>
                <w:color w:val="231F20"/>
                <w:sz w:val="17"/>
              </w:rPr>
              <w:t>10%</w:t>
            </w:r>
          </w:p>
        </w:tc>
        <w:tc>
          <w:tcPr>
            <w:tcW w:w="1118" w:type="dxa"/>
          </w:tcPr>
          <w:p>
            <w:pPr>
              <w:pStyle w:val="TableParagraph"/>
              <w:spacing w:line="190" w:lineRule="exact"/>
              <w:ind w:left="363" w:right="364"/>
              <w:jc w:val="center"/>
              <w:rPr>
                <w:sz w:val="17"/>
              </w:rPr>
            </w:pPr>
            <w:r>
              <w:rPr>
                <w:color w:val="231F20"/>
                <w:sz w:val="17"/>
              </w:rPr>
              <w:t>70%</w:t>
            </w:r>
          </w:p>
        </w:tc>
        <w:tc>
          <w:tcPr>
            <w:tcW w:w="749" w:type="dxa"/>
          </w:tcPr>
          <w:p>
            <w:pPr>
              <w:pStyle w:val="TableParagraph"/>
              <w:spacing w:line="190" w:lineRule="exact"/>
              <w:ind w:left="0" w:right="165"/>
              <w:jc w:val="right"/>
              <w:rPr>
                <w:sz w:val="17"/>
              </w:rPr>
            </w:pPr>
            <w:r>
              <w:rPr>
                <w:color w:val="231F20"/>
                <w:sz w:val="17"/>
              </w:rPr>
              <w:t>100%</w:t>
            </w:r>
          </w:p>
        </w:tc>
      </w:tr>
    </w:tbl>
    <w:p>
      <w:pPr>
        <w:spacing w:line="307" w:lineRule="auto" w:before="43"/>
        <w:ind w:left="222" w:right="869" w:hanging="1"/>
        <w:jc w:val="left"/>
        <w:rPr>
          <w:sz w:val="17"/>
        </w:rPr>
      </w:pPr>
      <w:r>
        <w:rPr>
          <w:color w:val="231F20"/>
          <w:sz w:val="17"/>
        </w:rPr>
        <w:t>Fuente: Encuesta aplicada a los alumnos de nivel superior de la UABJO, junio-septiembre, 2011.</w:t>
      </w:r>
    </w:p>
    <w:p>
      <w:pPr>
        <w:pStyle w:val="BodyText"/>
        <w:spacing w:before="6"/>
        <w:rPr>
          <w:sz w:val="18"/>
        </w:rPr>
      </w:pPr>
    </w:p>
    <w:p>
      <w:pPr>
        <w:pStyle w:val="BodyText"/>
        <w:spacing w:line="249" w:lineRule="auto"/>
        <w:ind w:left="222" w:right="119" w:firstLine="284"/>
        <w:jc w:val="both"/>
      </w:pPr>
      <w:r>
        <w:rPr>
          <w:color w:val="231F20"/>
          <w:spacing w:val="3"/>
        </w:rPr>
        <w:t>Como mencionamos </w:t>
      </w:r>
      <w:r>
        <w:rPr>
          <w:color w:val="231F20"/>
        </w:rPr>
        <w:t>en </w:t>
      </w:r>
      <w:r>
        <w:rPr>
          <w:color w:val="231F20"/>
          <w:spacing w:val="2"/>
        </w:rPr>
        <w:t>líneas anteriores, </w:t>
      </w:r>
      <w:r>
        <w:rPr>
          <w:color w:val="231F20"/>
        </w:rPr>
        <w:t>la </w:t>
      </w:r>
      <w:r>
        <w:rPr>
          <w:color w:val="231F20"/>
          <w:spacing w:val="2"/>
        </w:rPr>
        <w:t>percepción evoca experiencias </w:t>
      </w:r>
      <w:r>
        <w:rPr>
          <w:color w:val="231F20"/>
        </w:rPr>
        <w:t>y </w:t>
      </w:r>
      <w:r>
        <w:rPr>
          <w:color w:val="231F20"/>
          <w:spacing w:val="3"/>
        </w:rPr>
        <w:t>conocimientos adquiridos anteriormente, </w:t>
      </w:r>
      <w:r>
        <w:rPr>
          <w:color w:val="231F20"/>
        </w:rPr>
        <w:t>y </w:t>
      </w:r>
      <w:r>
        <w:rPr>
          <w:color w:val="231F20"/>
          <w:spacing w:val="2"/>
        </w:rPr>
        <w:t>estos  son </w:t>
      </w:r>
      <w:r>
        <w:rPr>
          <w:color w:val="231F20"/>
          <w:spacing w:val="3"/>
        </w:rPr>
        <w:t>dinámicos </w:t>
      </w:r>
      <w:r>
        <w:rPr>
          <w:color w:val="231F20"/>
        </w:rPr>
        <w:t>y </w:t>
      </w:r>
      <w:r>
        <w:rPr>
          <w:color w:val="231F20"/>
          <w:spacing w:val="3"/>
        </w:rPr>
        <w:t>responden </w:t>
      </w:r>
      <w:r>
        <w:rPr>
          <w:color w:val="231F20"/>
        </w:rPr>
        <w:t>al </w:t>
      </w:r>
      <w:r>
        <w:rPr>
          <w:color w:val="231F20"/>
          <w:spacing w:val="2"/>
        </w:rPr>
        <w:t>contexto histórico </w:t>
      </w:r>
      <w:r>
        <w:rPr>
          <w:color w:val="231F20"/>
        </w:rPr>
        <w:t>y </w:t>
      </w:r>
      <w:r>
        <w:rPr>
          <w:color w:val="231F20"/>
          <w:spacing w:val="2"/>
        </w:rPr>
        <w:t>cultural deter- minado. </w:t>
      </w:r>
      <w:r>
        <w:rPr>
          <w:color w:val="231F20"/>
        </w:rPr>
        <w:t>En </w:t>
      </w:r>
      <w:r>
        <w:rPr>
          <w:color w:val="231F20"/>
          <w:spacing w:val="2"/>
        </w:rPr>
        <w:t>este sentido, </w:t>
      </w:r>
      <w:r>
        <w:rPr>
          <w:color w:val="231F20"/>
        </w:rPr>
        <w:t>un </w:t>
      </w:r>
      <w:r>
        <w:rPr>
          <w:color w:val="231F20"/>
          <w:spacing w:val="2"/>
        </w:rPr>
        <w:t>poco más </w:t>
      </w:r>
      <w:r>
        <w:rPr>
          <w:color w:val="231F20"/>
        </w:rPr>
        <w:t>de la </w:t>
      </w:r>
      <w:r>
        <w:rPr>
          <w:color w:val="231F20"/>
          <w:spacing w:val="2"/>
        </w:rPr>
        <w:t>mitad </w:t>
      </w:r>
      <w:r>
        <w:rPr>
          <w:color w:val="231F20"/>
        </w:rPr>
        <w:t>los </w:t>
      </w:r>
      <w:r>
        <w:rPr>
          <w:color w:val="231F20"/>
          <w:spacing w:val="3"/>
        </w:rPr>
        <w:t>alumnos encuestados </w:t>
      </w:r>
      <w:r>
        <w:rPr>
          <w:color w:val="231F20"/>
          <w:spacing w:val="2"/>
        </w:rPr>
        <w:t>percibe </w:t>
      </w:r>
      <w:r>
        <w:rPr>
          <w:color w:val="231F20"/>
        </w:rPr>
        <w:t>a la </w:t>
      </w:r>
      <w:r>
        <w:rPr>
          <w:color w:val="231F20"/>
          <w:spacing w:val="2"/>
        </w:rPr>
        <w:t>ciudad </w:t>
      </w:r>
      <w:r>
        <w:rPr>
          <w:color w:val="231F20"/>
        </w:rPr>
        <w:t>de </w:t>
      </w:r>
      <w:r>
        <w:rPr>
          <w:color w:val="231F20"/>
          <w:spacing w:val="2"/>
        </w:rPr>
        <w:t>Oaxaca con </w:t>
      </w:r>
      <w:r>
        <w:rPr>
          <w:color w:val="231F20"/>
        </w:rPr>
        <w:t>un alto </w:t>
      </w:r>
      <w:r>
        <w:rPr>
          <w:color w:val="231F20"/>
          <w:spacing w:val="2"/>
        </w:rPr>
        <w:t>nivel </w:t>
      </w:r>
      <w:r>
        <w:rPr>
          <w:color w:val="231F20"/>
        </w:rPr>
        <w:t>de </w:t>
      </w:r>
      <w:r>
        <w:rPr>
          <w:color w:val="231F20"/>
          <w:spacing w:val="2"/>
        </w:rPr>
        <w:t>violencia. Solo </w:t>
      </w:r>
      <w:r>
        <w:rPr>
          <w:color w:val="231F20"/>
        </w:rPr>
        <w:t>un </w:t>
      </w:r>
      <w:r>
        <w:rPr>
          <w:color w:val="231F20"/>
          <w:spacing w:val="2"/>
        </w:rPr>
        <w:t>porcentaje </w:t>
      </w:r>
      <w:r>
        <w:rPr>
          <w:color w:val="231F20"/>
        </w:rPr>
        <w:t>de </w:t>
      </w:r>
      <w:r>
        <w:rPr>
          <w:color w:val="231F20"/>
          <w:spacing w:val="2"/>
        </w:rPr>
        <w:t>estos piensa </w:t>
      </w:r>
      <w:r>
        <w:rPr>
          <w:color w:val="231F20"/>
        </w:rPr>
        <w:t>que el </w:t>
      </w:r>
      <w:r>
        <w:rPr>
          <w:color w:val="231F20"/>
          <w:spacing w:val="2"/>
        </w:rPr>
        <w:t>nivel </w:t>
      </w:r>
      <w:r>
        <w:rPr>
          <w:color w:val="231F20"/>
        </w:rPr>
        <w:t>es </w:t>
      </w:r>
      <w:r>
        <w:rPr>
          <w:color w:val="231F20"/>
          <w:spacing w:val="2"/>
        </w:rPr>
        <w:t>bajo </w:t>
      </w:r>
      <w:r>
        <w:rPr>
          <w:color w:val="231F20"/>
          <w:spacing w:val="3"/>
        </w:rPr>
        <w:t>(10%). </w:t>
      </w:r>
      <w:r>
        <w:rPr>
          <w:color w:val="231F20"/>
        </w:rPr>
        <w:t>En </w:t>
      </w:r>
      <w:r>
        <w:rPr>
          <w:color w:val="231F20"/>
          <w:spacing w:val="2"/>
        </w:rPr>
        <w:t>gran medida </w:t>
      </w:r>
      <w:r>
        <w:rPr>
          <w:color w:val="231F20"/>
        </w:rPr>
        <w:t>es </w:t>
      </w:r>
      <w:r>
        <w:rPr>
          <w:color w:val="231F20"/>
          <w:spacing w:val="2"/>
        </w:rPr>
        <w:t>cierto, </w:t>
      </w:r>
      <w:r>
        <w:rPr>
          <w:color w:val="231F20"/>
        </w:rPr>
        <w:t>en </w:t>
      </w:r>
      <w:r>
        <w:rPr>
          <w:color w:val="231F20"/>
          <w:spacing w:val="2"/>
        </w:rPr>
        <w:t>Oaxaca </w:t>
      </w:r>
      <w:r>
        <w:rPr>
          <w:color w:val="231F20"/>
        </w:rPr>
        <w:t>la </w:t>
      </w:r>
      <w:r>
        <w:rPr>
          <w:color w:val="231F20"/>
          <w:spacing w:val="2"/>
        </w:rPr>
        <w:t>violencia </w:t>
      </w:r>
      <w:r>
        <w:rPr>
          <w:color w:val="231F20"/>
        </w:rPr>
        <w:t>se ha </w:t>
      </w:r>
      <w:r>
        <w:rPr>
          <w:color w:val="231F20"/>
          <w:spacing w:val="3"/>
        </w:rPr>
        <w:t>incrementado mucho, </w:t>
      </w:r>
      <w:r>
        <w:rPr>
          <w:color w:val="231F20"/>
        </w:rPr>
        <w:t>ha </w:t>
      </w:r>
      <w:r>
        <w:rPr>
          <w:color w:val="231F20"/>
          <w:spacing w:val="2"/>
        </w:rPr>
        <w:t>dejado </w:t>
      </w:r>
      <w:r>
        <w:rPr>
          <w:color w:val="231F20"/>
        </w:rPr>
        <w:t>de ser la </w:t>
      </w:r>
      <w:r>
        <w:rPr>
          <w:color w:val="231F20"/>
          <w:spacing w:val="2"/>
        </w:rPr>
        <w:t>ciudad tranquila por </w:t>
      </w:r>
      <w:r>
        <w:rPr>
          <w:color w:val="231F20"/>
        </w:rPr>
        <w:t>la que se </w:t>
      </w:r>
      <w:r>
        <w:rPr>
          <w:color w:val="231F20"/>
          <w:spacing w:val="2"/>
        </w:rPr>
        <w:t>podía transitar. Claro, </w:t>
      </w:r>
      <w:r>
        <w:rPr>
          <w:color w:val="231F20"/>
        </w:rPr>
        <w:t>la </w:t>
      </w:r>
      <w:r>
        <w:rPr>
          <w:color w:val="231F20"/>
          <w:spacing w:val="3"/>
        </w:rPr>
        <w:t>comparación </w:t>
      </w:r>
      <w:r>
        <w:rPr>
          <w:color w:val="231F20"/>
        </w:rPr>
        <w:t>que se </w:t>
      </w:r>
      <w:r>
        <w:rPr>
          <w:color w:val="231F20"/>
          <w:spacing w:val="2"/>
        </w:rPr>
        <w:t>hace </w:t>
      </w:r>
      <w:r>
        <w:rPr>
          <w:color w:val="231F20"/>
        </w:rPr>
        <w:t>es en </w:t>
      </w:r>
      <w:r>
        <w:rPr>
          <w:color w:val="231F20"/>
          <w:spacing w:val="2"/>
        </w:rPr>
        <w:t>relación con </w:t>
      </w:r>
      <w:r>
        <w:rPr>
          <w:color w:val="231F20"/>
        </w:rPr>
        <w:t>la </w:t>
      </w:r>
      <w:r>
        <w:rPr>
          <w:color w:val="231F20"/>
          <w:spacing w:val="3"/>
        </w:rPr>
        <w:t>misma </w:t>
      </w:r>
      <w:r>
        <w:rPr>
          <w:color w:val="231F20"/>
          <w:spacing w:val="2"/>
        </w:rPr>
        <w:t>ciudad, con </w:t>
      </w:r>
      <w:r>
        <w:rPr>
          <w:color w:val="231F20"/>
        </w:rPr>
        <w:t>lo que </w:t>
      </w:r>
      <w:r>
        <w:rPr>
          <w:color w:val="231F20"/>
          <w:spacing w:val="2"/>
        </w:rPr>
        <w:t>cuentan </w:t>
      </w:r>
      <w:r>
        <w:rPr>
          <w:color w:val="231F20"/>
        </w:rPr>
        <w:t>sus </w:t>
      </w:r>
      <w:r>
        <w:rPr>
          <w:color w:val="231F20"/>
          <w:spacing w:val="2"/>
        </w:rPr>
        <w:t>padres </w:t>
      </w:r>
      <w:r>
        <w:rPr>
          <w:color w:val="231F20"/>
        </w:rPr>
        <w:t>o </w:t>
      </w:r>
      <w:r>
        <w:rPr>
          <w:color w:val="231F20"/>
          <w:spacing w:val="3"/>
        </w:rPr>
        <w:t>conocidos, </w:t>
      </w:r>
      <w:r>
        <w:rPr>
          <w:color w:val="231F20"/>
        </w:rPr>
        <w:t>o </w:t>
      </w:r>
      <w:r>
        <w:rPr>
          <w:color w:val="231F20"/>
          <w:spacing w:val="2"/>
        </w:rPr>
        <w:t>con </w:t>
      </w:r>
      <w:r>
        <w:rPr>
          <w:color w:val="231F20"/>
        </w:rPr>
        <w:t>la </w:t>
      </w:r>
      <w:r>
        <w:rPr>
          <w:color w:val="231F20"/>
          <w:spacing w:val="2"/>
        </w:rPr>
        <w:t>percepción que </w:t>
      </w:r>
      <w:r>
        <w:rPr>
          <w:color w:val="231F20"/>
        </w:rPr>
        <w:t>se </w:t>
      </w:r>
      <w:r>
        <w:rPr>
          <w:color w:val="231F20"/>
          <w:spacing w:val="2"/>
        </w:rPr>
        <w:t>han </w:t>
      </w:r>
      <w:r>
        <w:rPr>
          <w:color w:val="231F20"/>
          <w:spacing w:val="3"/>
        </w:rPr>
        <w:t>formado </w:t>
      </w:r>
      <w:r>
        <w:rPr>
          <w:color w:val="231F20"/>
        </w:rPr>
        <w:t>a </w:t>
      </w:r>
      <w:r>
        <w:rPr>
          <w:color w:val="231F20"/>
          <w:spacing w:val="2"/>
        </w:rPr>
        <w:t>través </w:t>
      </w:r>
      <w:r>
        <w:rPr>
          <w:color w:val="231F20"/>
        </w:rPr>
        <w:t>de su </w:t>
      </w:r>
      <w:r>
        <w:rPr>
          <w:color w:val="231F20"/>
          <w:spacing w:val="2"/>
        </w:rPr>
        <w:t>propia biografía. </w:t>
      </w:r>
      <w:r>
        <w:rPr>
          <w:color w:val="231F20"/>
        </w:rPr>
        <w:t>Si esa </w:t>
      </w:r>
      <w:r>
        <w:rPr>
          <w:color w:val="231F20"/>
          <w:spacing w:val="2"/>
        </w:rPr>
        <w:t>reflexión </w:t>
      </w:r>
      <w:r>
        <w:rPr>
          <w:color w:val="231F20"/>
        </w:rPr>
        <w:t>se </w:t>
      </w:r>
      <w:r>
        <w:rPr>
          <w:color w:val="231F20"/>
          <w:spacing w:val="2"/>
        </w:rPr>
        <w:t>hiciera </w:t>
      </w:r>
      <w:r>
        <w:rPr>
          <w:color w:val="231F20"/>
        </w:rPr>
        <w:t>en </w:t>
      </w:r>
      <w:r>
        <w:rPr>
          <w:color w:val="231F20"/>
          <w:spacing w:val="2"/>
        </w:rPr>
        <w:t>relación con las ciudades del norte del país, los resultados serían</w:t>
      </w:r>
      <w:r>
        <w:rPr>
          <w:color w:val="231F20"/>
          <w:spacing w:val="17"/>
        </w:rPr>
        <w:t> </w:t>
      </w:r>
      <w:r>
        <w:rPr>
          <w:color w:val="231F20"/>
          <w:spacing w:val="2"/>
        </w:rPr>
        <w:t>otros.</w:t>
      </w:r>
    </w:p>
    <w:p>
      <w:pPr>
        <w:pStyle w:val="BodyText"/>
        <w:spacing w:line="249" w:lineRule="auto"/>
        <w:ind w:left="222" w:right="115" w:firstLine="283"/>
        <w:jc w:val="both"/>
      </w:pPr>
      <w:r>
        <w:rPr>
          <w:color w:val="231F20"/>
        </w:rPr>
        <w:t>Es interesante observar cómo solo un 7% de alumnos conside- ró que el barrio donde viven es un lugar con un alto nivel de vio- lencia, mientras que el 60% de ellos considera que tiene un bajo nivel de violencia. Lo interesante es la percepción de violencia regular o media en el barrio, que agrupa al 33% de las percepcio- nes; si cuatro de cada diez estudiantes opinan que en su barrio se presentan situaciones de violencia, encontramos un clima de vio- lencia reconocido por un porcentaje importante de los  jóvenes.</w:t>
      </w:r>
    </w:p>
    <w:p>
      <w:pPr>
        <w:pStyle w:val="BodyText"/>
        <w:spacing w:line="247" w:lineRule="auto"/>
        <w:ind w:left="222" w:right="115" w:firstLine="284"/>
        <w:jc w:val="both"/>
      </w:pPr>
      <w:r>
        <w:rPr>
          <w:color w:val="231F20"/>
        </w:rPr>
        <w:t>Esta percepción aumenta con la que se tiene de la universidad; se incrementa</w:t>
      </w:r>
      <w:r>
        <w:rPr>
          <w:color w:val="231F20"/>
          <w:spacing w:val="-14"/>
        </w:rPr>
        <w:t> </w:t>
      </w:r>
      <w:r>
        <w:rPr>
          <w:color w:val="231F20"/>
        </w:rPr>
        <w:t>la</w:t>
      </w:r>
      <w:r>
        <w:rPr>
          <w:color w:val="231F20"/>
          <w:spacing w:val="-14"/>
        </w:rPr>
        <w:t> </w:t>
      </w:r>
      <w:r>
        <w:rPr>
          <w:color w:val="231F20"/>
        </w:rPr>
        <w:t>percepción</w:t>
      </w:r>
      <w:r>
        <w:rPr>
          <w:color w:val="231F20"/>
          <w:spacing w:val="-14"/>
        </w:rPr>
        <w:t> </w:t>
      </w:r>
      <w:r>
        <w:rPr>
          <w:color w:val="231F20"/>
        </w:rPr>
        <w:t>de</w:t>
      </w:r>
      <w:r>
        <w:rPr>
          <w:color w:val="231F20"/>
          <w:spacing w:val="-14"/>
        </w:rPr>
        <w:t> </w:t>
      </w:r>
      <w:r>
        <w:rPr>
          <w:color w:val="231F20"/>
        </w:rPr>
        <w:t>niveles</w:t>
      </w:r>
      <w:r>
        <w:rPr>
          <w:color w:val="231F20"/>
          <w:spacing w:val="-14"/>
        </w:rPr>
        <w:t> </w:t>
      </w:r>
      <w:r>
        <w:rPr>
          <w:color w:val="231F20"/>
        </w:rPr>
        <w:t>altos</w:t>
      </w:r>
      <w:r>
        <w:rPr>
          <w:color w:val="231F20"/>
          <w:spacing w:val="-14"/>
        </w:rPr>
        <w:t> </w:t>
      </w:r>
      <w:r>
        <w:rPr>
          <w:color w:val="231F20"/>
        </w:rPr>
        <w:t>y</w:t>
      </w:r>
      <w:r>
        <w:rPr>
          <w:color w:val="231F20"/>
          <w:spacing w:val="-14"/>
        </w:rPr>
        <w:t> </w:t>
      </w:r>
      <w:r>
        <w:rPr>
          <w:color w:val="231F20"/>
        </w:rPr>
        <w:t>regulares</w:t>
      </w:r>
      <w:r>
        <w:rPr>
          <w:color w:val="231F20"/>
          <w:spacing w:val="-14"/>
        </w:rPr>
        <w:t> </w:t>
      </w:r>
      <w:r>
        <w:rPr>
          <w:color w:val="231F20"/>
        </w:rPr>
        <w:t>de</w:t>
      </w:r>
      <w:r>
        <w:rPr>
          <w:color w:val="231F20"/>
          <w:spacing w:val="-14"/>
        </w:rPr>
        <w:t> </w:t>
      </w:r>
      <w:r>
        <w:rPr>
          <w:color w:val="231F20"/>
        </w:rPr>
        <w:t>violencia,</w:t>
      </w:r>
      <w:r>
        <w:rPr>
          <w:color w:val="231F20"/>
          <w:spacing w:val="-15"/>
        </w:rPr>
        <w:t> </w:t>
      </w:r>
      <w:r>
        <w:rPr>
          <w:color w:val="231F20"/>
        </w:rPr>
        <w:t>por lo cual casi siete de cada diez estudiantes manifiestan que existe un clima de violencia en dicha institución. El 19% del total de los en- cuestados manifestó que se dan niveles altos de violencia; si a   </w:t>
      </w:r>
      <w:r>
        <w:rPr>
          <w:color w:val="231F20"/>
          <w:spacing w:val="8"/>
        </w:rPr>
        <w:t> </w:t>
      </w:r>
      <w:r>
        <w:rPr>
          <w:color w:val="231F20"/>
        </w:rPr>
        <w:t>este</w:t>
      </w:r>
    </w:p>
    <w:p>
      <w:pPr>
        <w:spacing w:after="0" w:line="247" w:lineRule="auto"/>
        <w:jc w:val="both"/>
        <w:sectPr>
          <w:headerReference w:type="default" r:id="rId777"/>
          <w:footerReference w:type="default" r:id="rId778"/>
          <w:pgSz w:w="7830" w:h="11910"/>
          <w:pgMar w:header="0" w:footer="424" w:top="500" w:bottom="620" w:left="800" w:right="900"/>
          <w:pgNumType w:start="348"/>
        </w:sectPr>
      </w:pPr>
    </w:p>
    <w:p>
      <w:pPr>
        <w:spacing w:before="46"/>
        <w:ind w:left="1583" w:right="0"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222"/>
      </w:pPr>
      <w:r>
        <w:rPr>
          <w:color w:val="231F20"/>
        </w:rPr>
        <w:t>porcentaje</w:t>
      </w:r>
      <w:r>
        <w:rPr>
          <w:color w:val="231F20"/>
          <w:spacing w:val="-11"/>
        </w:rPr>
        <w:t> </w:t>
      </w:r>
      <w:r>
        <w:rPr>
          <w:color w:val="231F20"/>
        </w:rPr>
        <w:t>le</w:t>
      </w:r>
      <w:r>
        <w:rPr>
          <w:color w:val="231F20"/>
          <w:spacing w:val="-11"/>
        </w:rPr>
        <w:t> </w:t>
      </w:r>
      <w:r>
        <w:rPr>
          <w:color w:val="231F20"/>
        </w:rPr>
        <w:t>sumamos</w:t>
      </w:r>
      <w:r>
        <w:rPr>
          <w:color w:val="231F20"/>
          <w:spacing w:val="-12"/>
        </w:rPr>
        <w:t> </w:t>
      </w:r>
      <w:r>
        <w:rPr>
          <w:color w:val="231F20"/>
        </w:rPr>
        <w:t>los</w:t>
      </w:r>
      <w:r>
        <w:rPr>
          <w:color w:val="231F20"/>
          <w:spacing w:val="-12"/>
        </w:rPr>
        <w:t> </w:t>
      </w:r>
      <w:r>
        <w:rPr>
          <w:color w:val="231F20"/>
        </w:rPr>
        <w:t>que</w:t>
      </w:r>
      <w:r>
        <w:rPr>
          <w:color w:val="231F20"/>
          <w:spacing w:val="-11"/>
        </w:rPr>
        <w:t> </w:t>
      </w:r>
      <w:r>
        <w:rPr>
          <w:color w:val="231F20"/>
        </w:rPr>
        <w:t>consideran</w:t>
      </w:r>
      <w:r>
        <w:rPr>
          <w:color w:val="231F20"/>
          <w:spacing w:val="-11"/>
        </w:rPr>
        <w:t> </w:t>
      </w:r>
      <w:r>
        <w:rPr>
          <w:color w:val="231F20"/>
        </w:rPr>
        <w:t>que</w:t>
      </w:r>
      <w:r>
        <w:rPr>
          <w:color w:val="231F20"/>
          <w:spacing w:val="-11"/>
        </w:rPr>
        <w:t> </w:t>
      </w:r>
      <w:r>
        <w:rPr>
          <w:color w:val="231F20"/>
        </w:rPr>
        <w:t>el</w:t>
      </w:r>
      <w:r>
        <w:rPr>
          <w:color w:val="231F20"/>
          <w:spacing w:val="-12"/>
        </w:rPr>
        <w:t> </w:t>
      </w:r>
      <w:r>
        <w:rPr>
          <w:color w:val="231F20"/>
        </w:rPr>
        <w:t>nivel</w:t>
      </w:r>
      <w:r>
        <w:rPr>
          <w:color w:val="231F20"/>
          <w:spacing w:val="-12"/>
        </w:rPr>
        <w:t> </w:t>
      </w:r>
      <w:r>
        <w:rPr>
          <w:color w:val="231F20"/>
        </w:rPr>
        <w:t>de</w:t>
      </w:r>
      <w:r>
        <w:rPr>
          <w:color w:val="231F20"/>
          <w:spacing w:val="-11"/>
        </w:rPr>
        <w:t> </w:t>
      </w:r>
      <w:r>
        <w:rPr>
          <w:color w:val="231F20"/>
        </w:rPr>
        <w:t>violencia</w:t>
      </w:r>
      <w:r>
        <w:rPr>
          <w:color w:val="231F20"/>
          <w:spacing w:val="-12"/>
        </w:rPr>
        <w:t> </w:t>
      </w:r>
      <w:r>
        <w:rPr>
          <w:color w:val="231F20"/>
        </w:rPr>
        <w:t>es mediano,</w:t>
      </w:r>
      <w:r>
        <w:rPr>
          <w:color w:val="231F20"/>
          <w:spacing w:val="-12"/>
        </w:rPr>
        <w:t> </w:t>
      </w:r>
      <w:r>
        <w:rPr>
          <w:color w:val="231F20"/>
        </w:rPr>
        <w:t>se</w:t>
      </w:r>
      <w:r>
        <w:rPr>
          <w:color w:val="231F20"/>
          <w:spacing w:val="-11"/>
        </w:rPr>
        <w:t> </w:t>
      </w:r>
      <w:r>
        <w:rPr>
          <w:color w:val="231F20"/>
        </w:rPr>
        <w:t>tiene</w:t>
      </w:r>
      <w:r>
        <w:rPr>
          <w:color w:val="231F20"/>
          <w:spacing w:val="-11"/>
        </w:rPr>
        <w:t> </w:t>
      </w:r>
      <w:r>
        <w:rPr>
          <w:color w:val="231F20"/>
        </w:rPr>
        <w:t>que</w:t>
      </w:r>
      <w:r>
        <w:rPr>
          <w:color w:val="231F20"/>
          <w:spacing w:val="-11"/>
        </w:rPr>
        <w:t> </w:t>
      </w:r>
      <w:r>
        <w:rPr>
          <w:color w:val="231F20"/>
        </w:rPr>
        <w:t>para</w:t>
      </w:r>
      <w:r>
        <w:rPr>
          <w:color w:val="231F20"/>
          <w:spacing w:val="-12"/>
        </w:rPr>
        <w:t> </w:t>
      </w:r>
      <w:r>
        <w:rPr>
          <w:color w:val="231F20"/>
        </w:rPr>
        <w:t>un</w:t>
      </w:r>
      <w:r>
        <w:rPr>
          <w:color w:val="231F20"/>
          <w:spacing w:val="-11"/>
        </w:rPr>
        <w:t> </w:t>
      </w:r>
      <w:r>
        <w:rPr>
          <w:color w:val="231F20"/>
        </w:rPr>
        <w:t>73%</w:t>
      </w:r>
      <w:r>
        <w:rPr>
          <w:color w:val="231F20"/>
          <w:spacing w:val="-10"/>
        </w:rPr>
        <w:t> </w:t>
      </w:r>
      <w:r>
        <w:rPr>
          <w:color w:val="231F20"/>
        </w:rPr>
        <w:t>la</w:t>
      </w:r>
      <w:r>
        <w:rPr>
          <w:color w:val="231F20"/>
          <w:spacing w:val="-12"/>
        </w:rPr>
        <w:t> </w:t>
      </w:r>
      <w:r>
        <w:rPr>
          <w:color w:val="231F20"/>
        </w:rPr>
        <w:t>violencia</w:t>
      </w:r>
      <w:r>
        <w:rPr>
          <w:color w:val="231F20"/>
          <w:spacing w:val="-11"/>
        </w:rPr>
        <w:t> </w:t>
      </w:r>
      <w:r>
        <w:rPr>
          <w:color w:val="231F20"/>
        </w:rPr>
        <w:t>es</w:t>
      </w:r>
      <w:r>
        <w:rPr>
          <w:color w:val="231F20"/>
          <w:spacing w:val="-12"/>
        </w:rPr>
        <w:t> </w:t>
      </w:r>
      <w:r>
        <w:rPr>
          <w:color w:val="231F20"/>
        </w:rPr>
        <w:t>importante.</w:t>
      </w:r>
    </w:p>
    <w:p>
      <w:pPr>
        <w:pStyle w:val="BodyText"/>
        <w:spacing w:line="249" w:lineRule="auto" w:before="1"/>
        <w:ind w:left="222" w:right="213" w:firstLine="284"/>
        <w:jc w:val="both"/>
      </w:pPr>
      <w:r>
        <w:rPr>
          <w:color w:val="231F20"/>
          <w:spacing w:val="3"/>
        </w:rPr>
        <w:t>Como </w:t>
      </w:r>
      <w:r>
        <w:rPr>
          <w:color w:val="231F20"/>
        </w:rPr>
        <w:t>lo </w:t>
      </w:r>
      <w:r>
        <w:rPr>
          <w:color w:val="231F20"/>
          <w:spacing w:val="3"/>
        </w:rPr>
        <w:t>comentábamos </w:t>
      </w:r>
      <w:r>
        <w:rPr>
          <w:color w:val="231F20"/>
        </w:rPr>
        <w:t>en </w:t>
      </w:r>
      <w:r>
        <w:rPr>
          <w:color w:val="231F20"/>
          <w:spacing w:val="2"/>
        </w:rPr>
        <w:t>líneas anteriores, </w:t>
      </w:r>
      <w:r>
        <w:rPr>
          <w:color w:val="231F20"/>
        </w:rPr>
        <w:t>la </w:t>
      </w:r>
      <w:r>
        <w:rPr>
          <w:color w:val="231F20"/>
          <w:spacing w:val="2"/>
        </w:rPr>
        <w:t>violencia </w:t>
      </w:r>
      <w:r>
        <w:rPr>
          <w:color w:val="231F20"/>
        </w:rPr>
        <w:t>en la </w:t>
      </w:r>
      <w:r>
        <w:rPr>
          <w:color w:val="231F20"/>
          <w:spacing w:val="3"/>
        </w:rPr>
        <w:t>UABJO </w:t>
      </w:r>
      <w:r>
        <w:rPr>
          <w:color w:val="231F20"/>
        </w:rPr>
        <w:t>es un </w:t>
      </w:r>
      <w:r>
        <w:rPr>
          <w:color w:val="231F20"/>
          <w:spacing w:val="3"/>
        </w:rPr>
        <w:t>fenómeno cotidiano, </w:t>
      </w:r>
      <w:r>
        <w:rPr>
          <w:color w:val="231F20"/>
        </w:rPr>
        <w:t>si </w:t>
      </w:r>
      <w:r>
        <w:rPr>
          <w:color w:val="231F20"/>
          <w:spacing w:val="2"/>
        </w:rPr>
        <w:t>bien  </w:t>
      </w:r>
      <w:r>
        <w:rPr>
          <w:color w:val="231F20"/>
        </w:rPr>
        <w:t>no  es  </w:t>
      </w:r>
      <w:r>
        <w:rPr>
          <w:color w:val="231F20"/>
          <w:spacing w:val="3"/>
        </w:rPr>
        <w:t>homogéneo, </w:t>
      </w:r>
      <w:r>
        <w:rPr>
          <w:color w:val="231F20"/>
          <w:spacing w:val="2"/>
        </w:rPr>
        <w:t>pues hay facultades </w:t>
      </w:r>
      <w:r>
        <w:rPr>
          <w:color w:val="231F20"/>
        </w:rPr>
        <w:t>en </w:t>
      </w:r>
      <w:r>
        <w:rPr>
          <w:color w:val="231F20"/>
          <w:spacing w:val="2"/>
        </w:rPr>
        <w:t>donde </w:t>
      </w:r>
      <w:r>
        <w:rPr>
          <w:color w:val="231F20"/>
        </w:rPr>
        <w:t>es </w:t>
      </w:r>
      <w:r>
        <w:rPr>
          <w:color w:val="231F20"/>
          <w:spacing w:val="2"/>
        </w:rPr>
        <w:t>casi inexistente; existen otros</w:t>
      </w:r>
      <w:r>
        <w:rPr>
          <w:color w:val="231F20"/>
          <w:spacing w:val="56"/>
        </w:rPr>
        <w:t> </w:t>
      </w:r>
      <w:r>
        <w:rPr>
          <w:color w:val="231F20"/>
          <w:spacing w:val="2"/>
        </w:rPr>
        <w:t>espacios </w:t>
      </w:r>
      <w:r>
        <w:rPr>
          <w:color w:val="231F20"/>
        </w:rPr>
        <w:t>en </w:t>
      </w:r>
      <w:r>
        <w:rPr>
          <w:color w:val="231F20"/>
          <w:spacing w:val="3"/>
        </w:rPr>
        <w:t>donde </w:t>
      </w:r>
      <w:r>
        <w:rPr>
          <w:color w:val="231F20"/>
        </w:rPr>
        <w:t>las </w:t>
      </w:r>
      <w:r>
        <w:rPr>
          <w:color w:val="231F20"/>
          <w:spacing w:val="3"/>
        </w:rPr>
        <w:t>tomas </w:t>
      </w:r>
      <w:r>
        <w:rPr>
          <w:color w:val="231F20"/>
        </w:rPr>
        <w:t>de </w:t>
      </w:r>
      <w:r>
        <w:rPr>
          <w:color w:val="231F20"/>
          <w:spacing w:val="2"/>
        </w:rPr>
        <w:t>instalaciones, los saqueos, </w:t>
      </w:r>
      <w:r>
        <w:rPr>
          <w:color w:val="231F20"/>
        </w:rPr>
        <w:t>la </w:t>
      </w:r>
      <w:r>
        <w:rPr>
          <w:color w:val="231F20"/>
          <w:spacing w:val="3"/>
        </w:rPr>
        <w:t>ex- </w:t>
      </w:r>
      <w:r>
        <w:rPr>
          <w:color w:val="231F20"/>
          <w:spacing w:val="2"/>
        </w:rPr>
        <w:t>torsión </w:t>
      </w:r>
      <w:r>
        <w:rPr>
          <w:color w:val="231F20"/>
        </w:rPr>
        <w:t>y el </w:t>
      </w:r>
      <w:r>
        <w:rPr>
          <w:color w:val="231F20"/>
          <w:spacing w:val="2"/>
        </w:rPr>
        <w:t>acoso son </w:t>
      </w:r>
      <w:r>
        <w:rPr>
          <w:color w:val="231F20"/>
        </w:rPr>
        <w:t>la </w:t>
      </w:r>
      <w:r>
        <w:rPr>
          <w:color w:val="231F20"/>
          <w:spacing w:val="3"/>
        </w:rPr>
        <w:t>norma, </w:t>
      </w:r>
      <w:r>
        <w:rPr>
          <w:color w:val="231F20"/>
        </w:rPr>
        <w:t>lo </w:t>
      </w:r>
      <w:r>
        <w:rPr>
          <w:color w:val="231F20"/>
          <w:spacing w:val="2"/>
        </w:rPr>
        <w:t>cual incide </w:t>
      </w:r>
      <w:r>
        <w:rPr>
          <w:color w:val="231F20"/>
        </w:rPr>
        <w:t>en la </w:t>
      </w:r>
      <w:r>
        <w:rPr>
          <w:color w:val="231F20"/>
          <w:spacing w:val="3"/>
        </w:rPr>
        <w:t>formación </w:t>
      </w:r>
      <w:r>
        <w:rPr>
          <w:color w:val="231F20"/>
        </w:rPr>
        <w:t>de las </w:t>
      </w:r>
      <w:r>
        <w:rPr>
          <w:color w:val="231F20"/>
          <w:spacing w:val="3"/>
        </w:rPr>
        <w:t>percepciones </w:t>
      </w:r>
      <w:r>
        <w:rPr>
          <w:color w:val="231F20"/>
          <w:spacing w:val="2"/>
        </w:rPr>
        <w:t>entre los jóvenes universitarios.</w:t>
      </w:r>
    </w:p>
    <w:p>
      <w:pPr>
        <w:pStyle w:val="BodyText"/>
        <w:spacing w:line="247" w:lineRule="auto"/>
        <w:ind w:left="222" w:right="214" w:firstLine="284"/>
        <w:jc w:val="both"/>
      </w:pPr>
      <w:r>
        <w:rPr>
          <w:color w:val="231F20"/>
        </w:rPr>
        <w:t>Finalmente, se toca un espacio muy importante: el hogar, pues es aquí donde se forman los jóvenes. La literatura psicológica ha docu- mentado la influencia del ámbito familiar en la formación de seres violentos</w:t>
      </w:r>
      <w:r>
        <w:rPr>
          <w:color w:val="231F20"/>
          <w:spacing w:val="-8"/>
        </w:rPr>
        <w:t> </w:t>
      </w:r>
      <w:r>
        <w:rPr>
          <w:color w:val="231F20"/>
        </w:rPr>
        <w:t>o</w:t>
      </w:r>
      <w:r>
        <w:rPr>
          <w:color w:val="231F20"/>
          <w:spacing w:val="-8"/>
        </w:rPr>
        <w:t> </w:t>
      </w:r>
      <w:r>
        <w:rPr>
          <w:color w:val="231F20"/>
        </w:rPr>
        <w:t>tolerantes.</w:t>
      </w:r>
      <w:r>
        <w:rPr>
          <w:color w:val="231F20"/>
          <w:spacing w:val="-8"/>
        </w:rPr>
        <w:t> </w:t>
      </w:r>
      <w:r>
        <w:rPr>
          <w:color w:val="231F20"/>
        </w:rPr>
        <w:t>Una</w:t>
      </w:r>
      <w:r>
        <w:rPr>
          <w:color w:val="231F20"/>
          <w:spacing w:val="-8"/>
        </w:rPr>
        <w:t> </w:t>
      </w:r>
      <w:r>
        <w:rPr>
          <w:color w:val="231F20"/>
        </w:rPr>
        <w:t>quinta</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alumnos</w:t>
      </w:r>
      <w:r>
        <w:rPr>
          <w:color w:val="231F20"/>
          <w:spacing w:val="-8"/>
        </w:rPr>
        <w:t> </w:t>
      </w:r>
      <w:r>
        <w:rPr>
          <w:color w:val="231F20"/>
        </w:rPr>
        <w:t>considera</w:t>
      </w:r>
      <w:r>
        <w:rPr>
          <w:color w:val="231F20"/>
          <w:spacing w:val="-8"/>
        </w:rPr>
        <w:t> </w:t>
      </w:r>
      <w:r>
        <w:rPr>
          <w:color w:val="231F20"/>
        </w:rPr>
        <w:t>que sus hogares son violentos. En contraste, un 70% plantea que la vio- lencia en sus hogares es baja. En este caso casi no existen opiniones intermedias, o se tiene o no se tiene violencia en el hogar, lo cual es muy importante de conocer y atender, si se quiere trabajar para dis- minuir</w:t>
      </w:r>
      <w:r>
        <w:rPr>
          <w:color w:val="231F20"/>
          <w:spacing w:val="-29"/>
        </w:rPr>
        <w:t> </w:t>
      </w:r>
      <w:r>
        <w:rPr>
          <w:color w:val="231F20"/>
        </w:rPr>
        <w:t>la</w:t>
      </w:r>
      <w:r>
        <w:rPr>
          <w:color w:val="231F20"/>
          <w:spacing w:val="-29"/>
        </w:rPr>
        <w:t> </w:t>
      </w:r>
      <w:r>
        <w:rPr>
          <w:color w:val="231F20"/>
        </w:rPr>
        <w:t>violencia</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rPr>
        <w:t>dependencias</w:t>
      </w:r>
      <w:r>
        <w:rPr>
          <w:color w:val="231F20"/>
          <w:spacing w:val="-29"/>
        </w:rPr>
        <w:t> </w:t>
      </w:r>
      <w:r>
        <w:rPr>
          <w:color w:val="231F20"/>
        </w:rPr>
        <w:t>universitarias.</w:t>
      </w:r>
    </w:p>
    <w:p>
      <w:pPr>
        <w:pStyle w:val="BodyText"/>
        <w:spacing w:line="247" w:lineRule="auto" w:before="6"/>
        <w:ind w:left="222" w:right="215" w:firstLine="284"/>
        <w:jc w:val="both"/>
      </w:pPr>
      <w:r>
        <w:rPr>
          <w:color w:val="231F20"/>
        </w:rPr>
        <w:t>En el Cuadro 2, “Percepciones de la violencia por sexo”, des- glosamos la información que se proporcionó en el Cuadro 1 por sexo. Queremos conocer si la categoría sexo incide en las percep- ciones de la violencia.</w:t>
      </w:r>
    </w:p>
    <w:p>
      <w:pPr>
        <w:pStyle w:val="BodyText"/>
        <w:spacing w:before="3"/>
        <w:rPr>
          <w:sz w:val="23"/>
        </w:rPr>
      </w:pPr>
    </w:p>
    <w:p>
      <w:pPr>
        <w:spacing w:before="0"/>
        <w:ind w:left="506" w:right="0" w:firstLine="0"/>
        <w:jc w:val="left"/>
        <w:rPr>
          <w:b/>
          <w:sz w:val="19"/>
        </w:rPr>
      </w:pPr>
      <w:r>
        <w:rPr>
          <w:b/>
          <w:color w:val="231F20"/>
          <w:w w:val="105"/>
          <w:sz w:val="19"/>
        </w:rPr>
        <w:t>Cuadro 2. Percepciones de la violencia por sexo</w:t>
      </w:r>
    </w:p>
    <w:p>
      <w:pPr>
        <w:pStyle w:val="BodyText"/>
        <w:spacing w:before="3"/>
        <w:rPr>
          <w:b/>
          <w:sz w:val="22"/>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26"/>
        <w:gridCol w:w="994"/>
        <w:gridCol w:w="1046"/>
        <w:gridCol w:w="1291"/>
        <w:gridCol w:w="1142"/>
      </w:tblGrid>
      <w:tr>
        <w:trPr>
          <w:trHeight w:val="509" w:hRule="exact"/>
        </w:trPr>
        <w:tc>
          <w:tcPr>
            <w:tcW w:w="1526" w:type="dxa"/>
          </w:tcPr>
          <w:p>
            <w:pPr>
              <w:pStyle w:val="TableParagraph"/>
              <w:spacing w:before="4"/>
              <w:ind w:left="0"/>
              <w:rPr>
                <w:b/>
                <w:sz w:val="15"/>
              </w:rPr>
            </w:pPr>
          </w:p>
          <w:p>
            <w:pPr>
              <w:pStyle w:val="TableParagraph"/>
              <w:ind w:left="105"/>
              <w:rPr>
                <w:b/>
                <w:sz w:val="16"/>
              </w:rPr>
            </w:pPr>
            <w:r>
              <w:rPr>
                <w:b/>
                <w:color w:val="231F20"/>
                <w:sz w:val="16"/>
              </w:rPr>
              <w:t>Grado de violencia</w:t>
            </w:r>
          </w:p>
        </w:tc>
        <w:tc>
          <w:tcPr>
            <w:tcW w:w="994" w:type="dxa"/>
          </w:tcPr>
          <w:p>
            <w:pPr>
              <w:pStyle w:val="TableParagraph"/>
              <w:spacing w:before="4"/>
              <w:ind w:left="0"/>
              <w:rPr>
                <w:b/>
                <w:sz w:val="15"/>
              </w:rPr>
            </w:pPr>
          </w:p>
          <w:p>
            <w:pPr>
              <w:pStyle w:val="TableParagraph"/>
              <w:ind w:left="105"/>
              <w:rPr>
                <w:b/>
                <w:sz w:val="16"/>
              </w:rPr>
            </w:pPr>
            <w:r>
              <w:rPr>
                <w:b/>
                <w:color w:val="231F20"/>
                <w:sz w:val="16"/>
              </w:rPr>
              <w:t>Oaxaca</w:t>
            </w:r>
          </w:p>
        </w:tc>
        <w:tc>
          <w:tcPr>
            <w:tcW w:w="1046" w:type="dxa"/>
          </w:tcPr>
          <w:p>
            <w:pPr>
              <w:pStyle w:val="TableParagraph"/>
              <w:spacing w:line="326" w:lineRule="auto" w:before="52"/>
              <w:ind w:right="264" w:hanging="1"/>
              <w:rPr>
                <w:b/>
                <w:sz w:val="16"/>
              </w:rPr>
            </w:pPr>
            <w:r>
              <w:rPr>
                <w:b/>
                <w:color w:val="231F20"/>
                <w:sz w:val="16"/>
              </w:rPr>
              <w:t>Colonia o barrio</w:t>
            </w:r>
          </w:p>
        </w:tc>
        <w:tc>
          <w:tcPr>
            <w:tcW w:w="1291" w:type="dxa"/>
          </w:tcPr>
          <w:p>
            <w:pPr>
              <w:pStyle w:val="TableParagraph"/>
              <w:spacing w:before="4"/>
              <w:ind w:left="0"/>
              <w:rPr>
                <w:b/>
                <w:sz w:val="15"/>
              </w:rPr>
            </w:pPr>
          </w:p>
          <w:p>
            <w:pPr>
              <w:pStyle w:val="TableParagraph"/>
              <w:ind w:left="85" w:right="320"/>
              <w:jc w:val="center"/>
              <w:rPr>
                <w:b/>
                <w:sz w:val="16"/>
              </w:rPr>
            </w:pPr>
            <w:r>
              <w:rPr>
                <w:b/>
                <w:color w:val="231F20"/>
                <w:sz w:val="16"/>
              </w:rPr>
              <w:t>Universidad</w:t>
            </w:r>
          </w:p>
        </w:tc>
        <w:tc>
          <w:tcPr>
            <w:tcW w:w="1142" w:type="dxa"/>
          </w:tcPr>
          <w:p>
            <w:pPr>
              <w:pStyle w:val="TableParagraph"/>
              <w:spacing w:before="4"/>
              <w:ind w:left="0"/>
              <w:rPr>
                <w:b/>
                <w:sz w:val="15"/>
              </w:rPr>
            </w:pPr>
          </w:p>
          <w:p>
            <w:pPr>
              <w:pStyle w:val="TableParagraph"/>
              <w:ind w:left="384"/>
              <w:rPr>
                <w:b/>
                <w:sz w:val="16"/>
              </w:rPr>
            </w:pPr>
            <w:r>
              <w:rPr>
                <w:b/>
                <w:color w:val="231F20"/>
                <w:sz w:val="16"/>
              </w:rPr>
              <w:t>Familia</w:t>
            </w:r>
          </w:p>
        </w:tc>
      </w:tr>
      <w:tr>
        <w:trPr>
          <w:trHeight w:val="264" w:hRule="exact"/>
        </w:trPr>
        <w:tc>
          <w:tcPr>
            <w:tcW w:w="1526" w:type="dxa"/>
          </w:tcPr>
          <w:p>
            <w:pPr>
              <w:pStyle w:val="TableParagraph"/>
              <w:spacing w:before="52"/>
              <w:ind w:left="105"/>
              <w:rPr>
                <w:b/>
                <w:sz w:val="16"/>
              </w:rPr>
            </w:pPr>
            <w:r>
              <w:rPr>
                <w:b/>
                <w:color w:val="231F20"/>
                <w:sz w:val="16"/>
              </w:rPr>
              <w:t>HOMBRES</w:t>
            </w:r>
          </w:p>
        </w:tc>
        <w:tc>
          <w:tcPr>
            <w:tcW w:w="994" w:type="dxa"/>
          </w:tcPr>
          <w:p>
            <w:pPr/>
          </w:p>
        </w:tc>
        <w:tc>
          <w:tcPr>
            <w:tcW w:w="1046" w:type="dxa"/>
          </w:tcPr>
          <w:p>
            <w:pPr/>
          </w:p>
        </w:tc>
        <w:tc>
          <w:tcPr>
            <w:tcW w:w="1291" w:type="dxa"/>
          </w:tcPr>
          <w:p>
            <w:pPr/>
          </w:p>
        </w:tc>
        <w:tc>
          <w:tcPr>
            <w:tcW w:w="1142" w:type="dxa"/>
          </w:tcPr>
          <w:p>
            <w:pPr/>
          </w:p>
        </w:tc>
      </w:tr>
      <w:tr>
        <w:trPr>
          <w:trHeight w:val="259" w:hRule="exact"/>
        </w:trPr>
        <w:tc>
          <w:tcPr>
            <w:tcW w:w="1526" w:type="dxa"/>
          </w:tcPr>
          <w:p>
            <w:pPr>
              <w:pStyle w:val="TableParagraph"/>
              <w:spacing w:before="52"/>
              <w:ind w:left="389"/>
              <w:rPr>
                <w:sz w:val="16"/>
              </w:rPr>
            </w:pPr>
            <w:r>
              <w:rPr>
                <w:color w:val="231F20"/>
                <w:sz w:val="16"/>
              </w:rPr>
              <w:t>Alto</w:t>
            </w:r>
          </w:p>
        </w:tc>
        <w:tc>
          <w:tcPr>
            <w:tcW w:w="994" w:type="dxa"/>
          </w:tcPr>
          <w:p>
            <w:pPr>
              <w:pStyle w:val="TableParagraph"/>
              <w:spacing w:before="52"/>
              <w:ind w:left="389"/>
              <w:rPr>
                <w:sz w:val="16"/>
              </w:rPr>
            </w:pPr>
            <w:r>
              <w:rPr>
                <w:color w:val="231F20"/>
                <w:sz w:val="16"/>
              </w:rPr>
              <w:t>47.2%</w:t>
            </w:r>
          </w:p>
        </w:tc>
        <w:tc>
          <w:tcPr>
            <w:tcW w:w="1046" w:type="dxa"/>
          </w:tcPr>
          <w:p>
            <w:pPr>
              <w:pStyle w:val="TableParagraph"/>
              <w:spacing w:before="52"/>
              <w:ind w:left="384" w:right="264"/>
              <w:rPr>
                <w:sz w:val="16"/>
              </w:rPr>
            </w:pPr>
            <w:r>
              <w:rPr>
                <w:color w:val="231F20"/>
                <w:sz w:val="16"/>
              </w:rPr>
              <w:t>6.2%</w:t>
            </w:r>
          </w:p>
        </w:tc>
        <w:tc>
          <w:tcPr>
            <w:tcW w:w="1291" w:type="dxa"/>
          </w:tcPr>
          <w:p>
            <w:pPr>
              <w:pStyle w:val="TableParagraph"/>
              <w:spacing w:before="52"/>
              <w:ind w:left="85" w:right="194"/>
              <w:jc w:val="center"/>
              <w:rPr>
                <w:sz w:val="16"/>
              </w:rPr>
            </w:pPr>
            <w:r>
              <w:rPr>
                <w:color w:val="231F20"/>
                <w:sz w:val="16"/>
              </w:rPr>
              <w:t>18.2%</w:t>
            </w:r>
          </w:p>
        </w:tc>
        <w:tc>
          <w:tcPr>
            <w:tcW w:w="1142" w:type="dxa"/>
          </w:tcPr>
          <w:p>
            <w:pPr>
              <w:pStyle w:val="TableParagraph"/>
              <w:spacing w:before="52"/>
              <w:ind w:left="384"/>
              <w:rPr>
                <w:sz w:val="16"/>
              </w:rPr>
            </w:pPr>
            <w:r>
              <w:rPr>
                <w:color w:val="231F20"/>
                <w:sz w:val="16"/>
              </w:rPr>
              <w:t>27.5%</w:t>
            </w:r>
          </w:p>
        </w:tc>
      </w:tr>
      <w:tr>
        <w:trPr>
          <w:trHeight w:val="259" w:hRule="exact"/>
        </w:trPr>
        <w:tc>
          <w:tcPr>
            <w:tcW w:w="1526" w:type="dxa"/>
          </w:tcPr>
          <w:p>
            <w:pPr>
              <w:pStyle w:val="TableParagraph"/>
              <w:spacing w:before="52"/>
              <w:ind w:left="389"/>
              <w:rPr>
                <w:sz w:val="16"/>
              </w:rPr>
            </w:pPr>
            <w:r>
              <w:rPr>
                <w:color w:val="231F20"/>
                <w:sz w:val="16"/>
              </w:rPr>
              <w:t>Medio</w:t>
            </w:r>
          </w:p>
        </w:tc>
        <w:tc>
          <w:tcPr>
            <w:tcW w:w="994" w:type="dxa"/>
          </w:tcPr>
          <w:p>
            <w:pPr>
              <w:pStyle w:val="TableParagraph"/>
              <w:spacing w:before="52"/>
              <w:ind w:left="389"/>
              <w:rPr>
                <w:sz w:val="16"/>
              </w:rPr>
            </w:pPr>
            <w:r>
              <w:rPr>
                <w:color w:val="231F20"/>
                <w:sz w:val="16"/>
              </w:rPr>
              <w:t>39.3%</w:t>
            </w:r>
          </w:p>
        </w:tc>
        <w:tc>
          <w:tcPr>
            <w:tcW w:w="1046" w:type="dxa"/>
          </w:tcPr>
          <w:p>
            <w:pPr>
              <w:pStyle w:val="TableParagraph"/>
              <w:spacing w:before="52"/>
              <w:ind w:left="384"/>
              <w:rPr>
                <w:sz w:val="16"/>
              </w:rPr>
            </w:pPr>
            <w:r>
              <w:rPr>
                <w:color w:val="231F20"/>
                <w:sz w:val="16"/>
              </w:rPr>
              <w:t>30.3%</w:t>
            </w:r>
          </w:p>
        </w:tc>
        <w:tc>
          <w:tcPr>
            <w:tcW w:w="1291" w:type="dxa"/>
          </w:tcPr>
          <w:p>
            <w:pPr>
              <w:pStyle w:val="TableParagraph"/>
              <w:spacing w:before="52"/>
              <w:ind w:left="85" w:right="194"/>
              <w:jc w:val="center"/>
              <w:rPr>
                <w:sz w:val="16"/>
              </w:rPr>
            </w:pPr>
            <w:r>
              <w:rPr>
                <w:color w:val="231F20"/>
                <w:sz w:val="16"/>
              </w:rPr>
              <w:t>51.7%</w:t>
            </w:r>
          </w:p>
        </w:tc>
        <w:tc>
          <w:tcPr>
            <w:tcW w:w="1142" w:type="dxa"/>
          </w:tcPr>
          <w:p>
            <w:pPr>
              <w:pStyle w:val="TableParagraph"/>
              <w:spacing w:before="52"/>
              <w:ind w:left="384"/>
              <w:rPr>
                <w:sz w:val="16"/>
              </w:rPr>
            </w:pPr>
            <w:r>
              <w:rPr>
                <w:color w:val="231F20"/>
                <w:sz w:val="16"/>
              </w:rPr>
              <w:t>10.1%</w:t>
            </w:r>
          </w:p>
        </w:tc>
      </w:tr>
      <w:tr>
        <w:trPr>
          <w:trHeight w:val="259" w:hRule="exact"/>
        </w:trPr>
        <w:tc>
          <w:tcPr>
            <w:tcW w:w="1526" w:type="dxa"/>
          </w:tcPr>
          <w:p>
            <w:pPr>
              <w:pStyle w:val="TableParagraph"/>
              <w:spacing w:before="52"/>
              <w:ind w:left="389"/>
              <w:rPr>
                <w:sz w:val="16"/>
              </w:rPr>
            </w:pPr>
            <w:r>
              <w:rPr>
                <w:color w:val="231F20"/>
                <w:sz w:val="16"/>
              </w:rPr>
              <w:t>Bajo</w:t>
            </w:r>
          </w:p>
        </w:tc>
        <w:tc>
          <w:tcPr>
            <w:tcW w:w="994" w:type="dxa"/>
          </w:tcPr>
          <w:p>
            <w:pPr>
              <w:pStyle w:val="TableParagraph"/>
              <w:spacing w:before="52"/>
              <w:ind w:left="389"/>
              <w:rPr>
                <w:sz w:val="16"/>
              </w:rPr>
            </w:pPr>
            <w:r>
              <w:rPr>
                <w:color w:val="231F20"/>
                <w:sz w:val="16"/>
              </w:rPr>
              <w:t>13.5%</w:t>
            </w:r>
          </w:p>
        </w:tc>
        <w:tc>
          <w:tcPr>
            <w:tcW w:w="1046" w:type="dxa"/>
          </w:tcPr>
          <w:p>
            <w:pPr>
              <w:pStyle w:val="TableParagraph"/>
              <w:spacing w:before="52"/>
              <w:ind w:left="384"/>
              <w:rPr>
                <w:sz w:val="16"/>
              </w:rPr>
            </w:pPr>
            <w:r>
              <w:rPr>
                <w:color w:val="231F20"/>
                <w:sz w:val="16"/>
              </w:rPr>
              <w:t>63.5%</w:t>
            </w:r>
          </w:p>
        </w:tc>
        <w:tc>
          <w:tcPr>
            <w:tcW w:w="1291" w:type="dxa"/>
          </w:tcPr>
          <w:p>
            <w:pPr>
              <w:pStyle w:val="TableParagraph"/>
              <w:spacing w:before="52"/>
              <w:ind w:left="85" w:right="194"/>
              <w:jc w:val="center"/>
              <w:rPr>
                <w:sz w:val="16"/>
              </w:rPr>
            </w:pPr>
            <w:r>
              <w:rPr>
                <w:color w:val="231F20"/>
                <w:sz w:val="16"/>
              </w:rPr>
              <w:t>30.2%</w:t>
            </w:r>
          </w:p>
        </w:tc>
        <w:tc>
          <w:tcPr>
            <w:tcW w:w="1142" w:type="dxa"/>
          </w:tcPr>
          <w:p>
            <w:pPr>
              <w:pStyle w:val="TableParagraph"/>
              <w:spacing w:before="52"/>
              <w:ind w:left="384"/>
              <w:rPr>
                <w:sz w:val="16"/>
              </w:rPr>
            </w:pPr>
            <w:r>
              <w:rPr>
                <w:color w:val="231F20"/>
                <w:sz w:val="16"/>
              </w:rPr>
              <w:t>62.4</w:t>
            </w:r>
          </w:p>
        </w:tc>
      </w:tr>
      <w:tr>
        <w:trPr>
          <w:trHeight w:val="259" w:hRule="exact"/>
        </w:trPr>
        <w:tc>
          <w:tcPr>
            <w:tcW w:w="1526" w:type="dxa"/>
          </w:tcPr>
          <w:p>
            <w:pPr>
              <w:pStyle w:val="TableParagraph"/>
              <w:spacing w:before="52"/>
              <w:ind w:left="389"/>
              <w:rPr>
                <w:sz w:val="16"/>
              </w:rPr>
            </w:pPr>
            <w:r>
              <w:rPr>
                <w:color w:val="231F20"/>
                <w:sz w:val="16"/>
              </w:rPr>
              <w:t>Total</w:t>
            </w:r>
          </w:p>
        </w:tc>
        <w:tc>
          <w:tcPr>
            <w:tcW w:w="994" w:type="dxa"/>
          </w:tcPr>
          <w:p>
            <w:pPr>
              <w:pStyle w:val="TableParagraph"/>
              <w:spacing w:before="52"/>
              <w:ind w:left="0" w:right="114"/>
              <w:jc w:val="right"/>
              <w:rPr>
                <w:sz w:val="16"/>
              </w:rPr>
            </w:pPr>
            <w:r>
              <w:rPr>
                <w:color w:val="231F20"/>
                <w:w w:val="95"/>
                <w:sz w:val="16"/>
              </w:rPr>
              <w:t>100.0%</w:t>
            </w:r>
          </w:p>
        </w:tc>
        <w:tc>
          <w:tcPr>
            <w:tcW w:w="1046" w:type="dxa"/>
          </w:tcPr>
          <w:p>
            <w:pPr>
              <w:pStyle w:val="TableParagraph"/>
              <w:spacing w:before="52"/>
              <w:ind w:left="384"/>
              <w:rPr>
                <w:sz w:val="16"/>
              </w:rPr>
            </w:pPr>
            <w:r>
              <w:rPr>
                <w:color w:val="231F20"/>
                <w:sz w:val="16"/>
              </w:rPr>
              <w:t>100.0%</w:t>
            </w:r>
          </w:p>
        </w:tc>
        <w:tc>
          <w:tcPr>
            <w:tcW w:w="1291" w:type="dxa"/>
          </w:tcPr>
          <w:p>
            <w:pPr>
              <w:pStyle w:val="TableParagraph"/>
              <w:spacing w:before="52"/>
              <w:ind w:left="85" w:right="117"/>
              <w:jc w:val="center"/>
              <w:rPr>
                <w:sz w:val="16"/>
              </w:rPr>
            </w:pPr>
            <w:r>
              <w:rPr>
                <w:color w:val="231F20"/>
                <w:sz w:val="16"/>
              </w:rPr>
              <w:t>100.0%</w:t>
            </w:r>
          </w:p>
        </w:tc>
        <w:tc>
          <w:tcPr>
            <w:tcW w:w="1142" w:type="dxa"/>
          </w:tcPr>
          <w:p>
            <w:pPr>
              <w:pStyle w:val="TableParagraph"/>
              <w:spacing w:before="52"/>
              <w:ind w:left="384"/>
              <w:rPr>
                <w:sz w:val="16"/>
              </w:rPr>
            </w:pPr>
            <w:r>
              <w:rPr>
                <w:color w:val="231F20"/>
                <w:sz w:val="16"/>
              </w:rPr>
              <w:t>100.0%</w:t>
            </w:r>
          </w:p>
        </w:tc>
      </w:tr>
      <w:tr>
        <w:trPr>
          <w:trHeight w:val="259" w:hRule="exact"/>
        </w:trPr>
        <w:tc>
          <w:tcPr>
            <w:tcW w:w="1526" w:type="dxa"/>
          </w:tcPr>
          <w:p>
            <w:pPr>
              <w:pStyle w:val="TableParagraph"/>
              <w:spacing w:before="52"/>
              <w:ind w:left="389"/>
              <w:rPr>
                <w:b/>
                <w:sz w:val="16"/>
              </w:rPr>
            </w:pPr>
            <w:r>
              <w:rPr>
                <w:b/>
                <w:color w:val="231F20"/>
                <w:sz w:val="16"/>
              </w:rPr>
              <w:t>MUJERES</w:t>
            </w:r>
          </w:p>
        </w:tc>
        <w:tc>
          <w:tcPr>
            <w:tcW w:w="994" w:type="dxa"/>
          </w:tcPr>
          <w:p>
            <w:pPr/>
          </w:p>
        </w:tc>
        <w:tc>
          <w:tcPr>
            <w:tcW w:w="1046" w:type="dxa"/>
          </w:tcPr>
          <w:p>
            <w:pPr/>
          </w:p>
        </w:tc>
        <w:tc>
          <w:tcPr>
            <w:tcW w:w="1291" w:type="dxa"/>
          </w:tcPr>
          <w:p>
            <w:pPr/>
          </w:p>
        </w:tc>
        <w:tc>
          <w:tcPr>
            <w:tcW w:w="1142" w:type="dxa"/>
          </w:tcPr>
          <w:p>
            <w:pPr/>
          </w:p>
        </w:tc>
      </w:tr>
      <w:tr>
        <w:trPr>
          <w:trHeight w:val="264" w:hRule="exact"/>
        </w:trPr>
        <w:tc>
          <w:tcPr>
            <w:tcW w:w="1526" w:type="dxa"/>
          </w:tcPr>
          <w:p>
            <w:pPr>
              <w:pStyle w:val="TableParagraph"/>
              <w:spacing w:before="52"/>
              <w:ind w:left="389"/>
              <w:rPr>
                <w:sz w:val="16"/>
              </w:rPr>
            </w:pPr>
            <w:r>
              <w:rPr>
                <w:color w:val="231F20"/>
                <w:sz w:val="16"/>
              </w:rPr>
              <w:t>Alto</w:t>
            </w:r>
          </w:p>
        </w:tc>
        <w:tc>
          <w:tcPr>
            <w:tcW w:w="994" w:type="dxa"/>
          </w:tcPr>
          <w:p>
            <w:pPr>
              <w:pStyle w:val="TableParagraph"/>
              <w:spacing w:before="52"/>
              <w:ind w:left="389"/>
              <w:rPr>
                <w:sz w:val="16"/>
              </w:rPr>
            </w:pPr>
            <w:r>
              <w:rPr>
                <w:color w:val="231F20"/>
                <w:sz w:val="16"/>
              </w:rPr>
              <w:t>66.2%</w:t>
            </w:r>
          </w:p>
        </w:tc>
        <w:tc>
          <w:tcPr>
            <w:tcW w:w="1046" w:type="dxa"/>
          </w:tcPr>
          <w:p>
            <w:pPr>
              <w:pStyle w:val="TableParagraph"/>
              <w:spacing w:before="52"/>
              <w:ind w:left="384" w:right="264"/>
              <w:rPr>
                <w:sz w:val="16"/>
              </w:rPr>
            </w:pPr>
            <w:r>
              <w:rPr>
                <w:color w:val="231F20"/>
                <w:sz w:val="16"/>
              </w:rPr>
              <w:t>8.6%</w:t>
            </w:r>
          </w:p>
        </w:tc>
        <w:tc>
          <w:tcPr>
            <w:tcW w:w="1291" w:type="dxa"/>
          </w:tcPr>
          <w:p>
            <w:pPr>
              <w:pStyle w:val="TableParagraph"/>
              <w:spacing w:before="52"/>
              <w:ind w:left="85" w:right="194"/>
              <w:jc w:val="center"/>
              <w:rPr>
                <w:sz w:val="16"/>
              </w:rPr>
            </w:pPr>
            <w:r>
              <w:rPr>
                <w:color w:val="231F20"/>
                <w:sz w:val="16"/>
              </w:rPr>
              <w:t>20.0%</w:t>
            </w:r>
          </w:p>
        </w:tc>
        <w:tc>
          <w:tcPr>
            <w:tcW w:w="1142" w:type="dxa"/>
          </w:tcPr>
          <w:p>
            <w:pPr>
              <w:pStyle w:val="TableParagraph"/>
              <w:spacing w:before="52"/>
              <w:ind w:left="384"/>
              <w:rPr>
                <w:sz w:val="16"/>
              </w:rPr>
            </w:pPr>
            <w:r>
              <w:rPr>
                <w:color w:val="231F20"/>
                <w:sz w:val="16"/>
              </w:rPr>
              <w:t>13.9%</w:t>
            </w:r>
          </w:p>
        </w:tc>
      </w:tr>
      <w:tr>
        <w:trPr>
          <w:trHeight w:val="259" w:hRule="exact"/>
        </w:trPr>
        <w:tc>
          <w:tcPr>
            <w:tcW w:w="1526" w:type="dxa"/>
          </w:tcPr>
          <w:p>
            <w:pPr>
              <w:pStyle w:val="TableParagraph"/>
              <w:spacing w:before="52"/>
              <w:ind w:left="389"/>
              <w:rPr>
                <w:sz w:val="16"/>
              </w:rPr>
            </w:pPr>
            <w:r>
              <w:rPr>
                <w:color w:val="231F20"/>
                <w:sz w:val="16"/>
              </w:rPr>
              <w:t>Medio</w:t>
            </w:r>
          </w:p>
        </w:tc>
        <w:tc>
          <w:tcPr>
            <w:tcW w:w="994" w:type="dxa"/>
          </w:tcPr>
          <w:p>
            <w:pPr>
              <w:pStyle w:val="TableParagraph"/>
              <w:spacing w:before="52"/>
              <w:ind w:left="389"/>
              <w:rPr>
                <w:sz w:val="16"/>
              </w:rPr>
            </w:pPr>
            <w:r>
              <w:rPr>
                <w:color w:val="231F20"/>
                <w:sz w:val="16"/>
              </w:rPr>
              <w:t>27.6%</w:t>
            </w:r>
          </w:p>
        </w:tc>
        <w:tc>
          <w:tcPr>
            <w:tcW w:w="1046" w:type="dxa"/>
          </w:tcPr>
          <w:p>
            <w:pPr>
              <w:pStyle w:val="TableParagraph"/>
              <w:spacing w:before="52"/>
              <w:ind w:left="384"/>
              <w:rPr>
                <w:sz w:val="16"/>
              </w:rPr>
            </w:pPr>
            <w:r>
              <w:rPr>
                <w:color w:val="231F20"/>
                <w:sz w:val="16"/>
              </w:rPr>
              <w:t>35.6%</w:t>
            </w:r>
          </w:p>
        </w:tc>
        <w:tc>
          <w:tcPr>
            <w:tcW w:w="1291" w:type="dxa"/>
          </w:tcPr>
          <w:p>
            <w:pPr>
              <w:pStyle w:val="TableParagraph"/>
              <w:spacing w:before="52"/>
              <w:ind w:left="85" w:right="194"/>
              <w:jc w:val="center"/>
              <w:rPr>
                <w:sz w:val="16"/>
              </w:rPr>
            </w:pPr>
            <w:r>
              <w:rPr>
                <w:color w:val="231F20"/>
                <w:sz w:val="16"/>
              </w:rPr>
              <w:t>56.2%</w:t>
            </w:r>
          </w:p>
        </w:tc>
        <w:tc>
          <w:tcPr>
            <w:tcW w:w="1142" w:type="dxa"/>
          </w:tcPr>
          <w:p>
            <w:pPr>
              <w:pStyle w:val="TableParagraph"/>
              <w:spacing w:before="52"/>
              <w:ind w:left="384"/>
              <w:rPr>
                <w:sz w:val="16"/>
              </w:rPr>
            </w:pPr>
            <w:r>
              <w:rPr>
                <w:color w:val="231F20"/>
                <w:sz w:val="16"/>
              </w:rPr>
              <w:t>9.5%</w:t>
            </w:r>
          </w:p>
        </w:tc>
      </w:tr>
      <w:tr>
        <w:trPr>
          <w:trHeight w:val="259" w:hRule="exact"/>
        </w:trPr>
        <w:tc>
          <w:tcPr>
            <w:tcW w:w="1526" w:type="dxa"/>
          </w:tcPr>
          <w:p>
            <w:pPr>
              <w:pStyle w:val="TableParagraph"/>
              <w:spacing w:before="52"/>
              <w:ind w:left="389"/>
              <w:rPr>
                <w:sz w:val="16"/>
              </w:rPr>
            </w:pPr>
            <w:r>
              <w:rPr>
                <w:color w:val="231F20"/>
                <w:sz w:val="16"/>
              </w:rPr>
              <w:t>Bajo</w:t>
            </w:r>
          </w:p>
        </w:tc>
        <w:tc>
          <w:tcPr>
            <w:tcW w:w="994" w:type="dxa"/>
          </w:tcPr>
          <w:p>
            <w:pPr>
              <w:pStyle w:val="TableParagraph"/>
              <w:spacing w:before="52"/>
              <w:ind w:left="389"/>
              <w:rPr>
                <w:sz w:val="16"/>
              </w:rPr>
            </w:pPr>
            <w:r>
              <w:rPr>
                <w:color w:val="231F20"/>
                <w:sz w:val="16"/>
              </w:rPr>
              <w:t>6.2%</w:t>
            </w:r>
          </w:p>
        </w:tc>
        <w:tc>
          <w:tcPr>
            <w:tcW w:w="1046" w:type="dxa"/>
          </w:tcPr>
          <w:p>
            <w:pPr>
              <w:pStyle w:val="TableParagraph"/>
              <w:spacing w:before="52"/>
              <w:ind w:left="384"/>
              <w:rPr>
                <w:sz w:val="16"/>
              </w:rPr>
            </w:pPr>
            <w:r>
              <w:rPr>
                <w:color w:val="231F20"/>
                <w:sz w:val="16"/>
              </w:rPr>
              <w:t>55.8%</w:t>
            </w:r>
          </w:p>
        </w:tc>
        <w:tc>
          <w:tcPr>
            <w:tcW w:w="1291" w:type="dxa"/>
          </w:tcPr>
          <w:p>
            <w:pPr>
              <w:pStyle w:val="TableParagraph"/>
              <w:spacing w:before="52"/>
              <w:ind w:left="85" w:right="194"/>
              <w:jc w:val="center"/>
              <w:rPr>
                <w:sz w:val="16"/>
              </w:rPr>
            </w:pPr>
            <w:r>
              <w:rPr>
                <w:color w:val="231F20"/>
                <w:sz w:val="16"/>
              </w:rPr>
              <w:t>23.8%</w:t>
            </w:r>
          </w:p>
        </w:tc>
        <w:tc>
          <w:tcPr>
            <w:tcW w:w="1142" w:type="dxa"/>
          </w:tcPr>
          <w:p>
            <w:pPr>
              <w:pStyle w:val="TableParagraph"/>
              <w:spacing w:before="52"/>
              <w:ind w:left="384"/>
              <w:rPr>
                <w:sz w:val="16"/>
              </w:rPr>
            </w:pPr>
            <w:r>
              <w:rPr>
                <w:color w:val="231F20"/>
                <w:sz w:val="16"/>
              </w:rPr>
              <w:t>76.6%</w:t>
            </w:r>
          </w:p>
        </w:tc>
      </w:tr>
      <w:tr>
        <w:trPr>
          <w:trHeight w:val="259" w:hRule="exact"/>
        </w:trPr>
        <w:tc>
          <w:tcPr>
            <w:tcW w:w="1526" w:type="dxa"/>
          </w:tcPr>
          <w:p>
            <w:pPr>
              <w:pStyle w:val="TableParagraph"/>
              <w:spacing w:before="52"/>
              <w:ind w:left="389"/>
              <w:rPr>
                <w:sz w:val="16"/>
              </w:rPr>
            </w:pPr>
            <w:r>
              <w:rPr>
                <w:color w:val="231F20"/>
                <w:sz w:val="16"/>
              </w:rPr>
              <w:t>Total</w:t>
            </w:r>
          </w:p>
        </w:tc>
        <w:tc>
          <w:tcPr>
            <w:tcW w:w="994" w:type="dxa"/>
          </w:tcPr>
          <w:p>
            <w:pPr>
              <w:pStyle w:val="TableParagraph"/>
              <w:spacing w:before="52"/>
              <w:ind w:left="0" w:right="114"/>
              <w:jc w:val="right"/>
              <w:rPr>
                <w:sz w:val="16"/>
              </w:rPr>
            </w:pPr>
            <w:r>
              <w:rPr>
                <w:color w:val="231F20"/>
                <w:w w:val="95"/>
                <w:sz w:val="16"/>
              </w:rPr>
              <w:t>100.0%</w:t>
            </w:r>
          </w:p>
        </w:tc>
        <w:tc>
          <w:tcPr>
            <w:tcW w:w="1046" w:type="dxa"/>
          </w:tcPr>
          <w:p>
            <w:pPr>
              <w:pStyle w:val="TableParagraph"/>
              <w:spacing w:before="52"/>
              <w:ind w:left="384"/>
              <w:rPr>
                <w:sz w:val="16"/>
              </w:rPr>
            </w:pPr>
            <w:r>
              <w:rPr>
                <w:color w:val="231F20"/>
                <w:sz w:val="16"/>
              </w:rPr>
              <w:t>100.0%</w:t>
            </w:r>
          </w:p>
        </w:tc>
        <w:tc>
          <w:tcPr>
            <w:tcW w:w="1291" w:type="dxa"/>
          </w:tcPr>
          <w:p>
            <w:pPr>
              <w:pStyle w:val="TableParagraph"/>
              <w:spacing w:before="52"/>
              <w:ind w:left="85" w:right="117"/>
              <w:jc w:val="center"/>
              <w:rPr>
                <w:sz w:val="16"/>
              </w:rPr>
            </w:pPr>
            <w:r>
              <w:rPr>
                <w:color w:val="231F20"/>
                <w:sz w:val="16"/>
              </w:rPr>
              <w:t>100.0%</w:t>
            </w:r>
          </w:p>
        </w:tc>
        <w:tc>
          <w:tcPr>
            <w:tcW w:w="1142" w:type="dxa"/>
          </w:tcPr>
          <w:p>
            <w:pPr>
              <w:pStyle w:val="TableParagraph"/>
              <w:spacing w:before="52"/>
              <w:ind w:left="384"/>
              <w:rPr>
                <w:sz w:val="16"/>
              </w:rPr>
            </w:pPr>
            <w:r>
              <w:rPr>
                <w:color w:val="231F20"/>
                <w:sz w:val="16"/>
              </w:rPr>
              <w:t>100.0%</w:t>
            </w:r>
          </w:p>
        </w:tc>
      </w:tr>
    </w:tbl>
    <w:p>
      <w:pPr>
        <w:spacing w:line="307" w:lineRule="auto" w:before="43"/>
        <w:ind w:left="506" w:right="547" w:hanging="1"/>
        <w:jc w:val="left"/>
        <w:rPr>
          <w:sz w:val="17"/>
        </w:rPr>
      </w:pPr>
      <w:r>
        <w:rPr>
          <w:color w:val="231F20"/>
          <w:sz w:val="17"/>
        </w:rPr>
        <w:t>Fuente: Encuesta aplicada a los alumnos de nivel superior de la UABJO, junio-septiembre, 2011.</w:t>
      </w:r>
    </w:p>
    <w:p>
      <w:pPr>
        <w:spacing w:after="0" w:line="307" w:lineRule="auto"/>
        <w:jc w:val="left"/>
        <w:rPr>
          <w:sz w:val="17"/>
        </w:rPr>
        <w:sectPr>
          <w:headerReference w:type="default" r:id="rId779"/>
          <w:footerReference w:type="default" r:id="rId780"/>
          <w:pgSz w:w="7830" w:h="11910"/>
          <w:pgMar w:header="0" w:footer="424" w:top="500" w:bottom="620" w:left="800" w:right="800"/>
          <w:pgNumType w:start="34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4" w:firstLine="284"/>
        <w:jc w:val="both"/>
      </w:pPr>
      <w:r>
        <w:rPr>
          <w:color w:val="231F20"/>
          <w:spacing w:val="2"/>
        </w:rPr>
        <w:t>Para </w:t>
      </w:r>
      <w:r>
        <w:rPr>
          <w:color w:val="231F20"/>
        </w:rPr>
        <w:t>un </w:t>
      </w:r>
      <w:r>
        <w:rPr>
          <w:color w:val="231F20"/>
          <w:spacing w:val="2"/>
        </w:rPr>
        <w:t>47.2% </w:t>
      </w:r>
      <w:r>
        <w:rPr>
          <w:color w:val="231F20"/>
        </w:rPr>
        <w:t>de </w:t>
      </w:r>
      <w:r>
        <w:rPr>
          <w:color w:val="231F20"/>
          <w:spacing w:val="2"/>
        </w:rPr>
        <w:t>los </w:t>
      </w:r>
      <w:r>
        <w:rPr>
          <w:color w:val="231F20"/>
          <w:spacing w:val="3"/>
        </w:rPr>
        <w:t>alumnos </w:t>
      </w:r>
      <w:r>
        <w:rPr>
          <w:color w:val="231F20"/>
          <w:spacing w:val="2"/>
        </w:rPr>
        <w:t>varones </w:t>
      </w:r>
      <w:r>
        <w:rPr>
          <w:color w:val="231F20"/>
        </w:rPr>
        <w:t>de la </w:t>
      </w:r>
      <w:r>
        <w:rPr>
          <w:color w:val="231F20"/>
          <w:spacing w:val="3"/>
        </w:rPr>
        <w:t>UABJO, </w:t>
      </w:r>
      <w:r>
        <w:rPr>
          <w:color w:val="231F20"/>
        </w:rPr>
        <w:t>en la </w:t>
      </w:r>
      <w:r>
        <w:rPr>
          <w:color w:val="231F20"/>
          <w:spacing w:val="2"/>
        </w:rPr>
        <w:t>ciudad </w:t>
      </w:r>
      <w:r>
        <w:rPr>
          <w:color w:val="231F20"/>
        </w:rPr>
        <w:t>de </w:t>
      </w:r>
      <w:r>
        <w:rPr>
          <w:color w:val="231F20"/>
          <w:spacing w:val="2"/>
        </w:rPr>
        <w:t>Oaxaca </w:t>
      </w:r>
      <w:r>
        <w:rPr>
          <w:color w:val="231F20"/>
        </w:rPr>
        <w:t>se vive un </w:t>
      </w:r>
      <w:r>
        <w:rPr>
          <w:color w:val="231F20"/>
          <w:spacing w:val="2"/>
        </w:rPr>
        <w:t>nivel </w:t>
      </w:r>
      <w:r>
        <w:rPr>
          <w:color w:val="231F20"/>
        </w:rPr>
        <w:t>alto de </w:t>
      </w:r>
      <w:r>
        <w:rPr>
          <w:color w:val="231F20"/>
          <w:spacing w:val="2"/>
        </w:rPr>
        <w:t>violencia; 39.3% </w:t>
      </w:r>
      <w:r>
        <w:rPr>
          <w:color w:val="231F20"/>
          <w:spacing w:val="3"/>
        </w:rPr>
        <w:t>contes- </w:t>
      </w:r>
      <w:r>
        <w:rPr>
          <w:color w:val="231F20"/>
        </w:rPr>
        <w:t>tó </w:t>
      </w:r>
      <w:r>
        <w:rPr>
          <w:color w:val="231F20"/>
          <w:spacing w:val="2"/>
        </w:rPr>
        <w:t>que </w:t>
      </w:r>
      <w:r>
        <w:rPr>
          <w:color w:val="231F20"/>
        </w:rPr>
        <w:t>la </w:t>
      </w:r>
      <w:r>
        <w:rPr>
          <w:color w:val="231F20"/>
          <w:spacing w:val="2"/>
        </w:rPr>
        <w:t>violencia </w:t>
      </w:r>
      <w:r>
        <w:rPr>
          <w:color w:val="231F20"/>
        </w:rPr>
        <w:t>es </w:t>
      </w:r>
      <w:r>
        <w:rPr>
          <w:color w:val="231F20"/>
          <w:spacing w:val="2"/>
        </w:rPr>
        <w:t>mediana </w:t>
      </w:r>
      <w:r>
        <w:rPr>
          <w:color w:val="231F20"/>
        </w:rPr>
        <w:t>y </w:t>
      </w:r>
      <w:r>
        <w:rPr>
          <w:color w:val="231F20"/>
          <w:spacing w:val="2"/>
        </w:rPr>
        <w:t>solo </w:t>
      </w:r>
      <w:r>
        <w:rPr>
          <w:color w:val="231F20"/>
        </w:rPr>
        <w:t>un </w:t>
      </w:r>
      <w:r>
        <w:rPr>
          <w:color w:val="231F20"/>
          <w:spacing w:val="2"/>
        </w:rPr>
        <w:t>13.5%  planteó que </w:t>
      </w:r>
      <w:r>
        <w:rPr>
          <w:color w:val="231F20"/>
        </w:rPr>
        <w:t>es  </w:t>
      </w:r>
      <w:r>
        <w:rPr>
          <w:color w:val="231F20"/>
          <w:spacing w:val="2"/>
        </w:rPr>
        <w:t>baja. </w:t>
      </w:r>
      <w:r>
        <w:rPr>
          <w:color w:val="231F20"/>
        </w:rPr>
        <w:t>Es </w:t>
      </w:r>
      <w:r>
        <w:rPr>
          <w:color w:val="231F20"/>
          <w:spacing w:val="2"/>
        </w:rPr>
        <w:t>decir, más </w:t>
      </w:r>
      <w:r>
        <w:rPr>
          <w:color w:val="231F20"/>
        </w:rPr>
        <w:t>de </w:t>
      </w:r>
      <w:r>
        <w:rPr>
          <w:color w:val="231F20"/>
          <w:spacing w:val="2"/>
        </w:rPr>
        <w:t>dos terceras partes </w:t>
      </w:r>
      <w:r>
        <w:rPr>
          <w:color w:val="231F20"/>
        </w:rPr>
        <w:t>de </w:t>
      </w:r>
      <w:r>
        <w:rPr>
          <w:color w:val="231F20"/>
          <w:spacing w:val="2"/>
        </w:rPr>
        <w:t>los </w:t>
      </w:r>
      <w:r>
        <w:rPr>
          <w:color w:val="231F20"/>
          <w:spacing w:val="3"/>
        </w:rPr>
        <w:t>alumnos plantea- </w:t>
      </w:r>
      <w:r>
        <w:rPr>
          <w:color w:val="231F20"/>
          <w:spacing w:val="2"/>
        </w:rPr>
        <w:t>ron </w:t>
      </w:r>
      <w:r>
        <w:rPr>
          <w:color w:val="231F20"/>
        </w:rPr>
        <w:t>que se </w:t>
      </w:r>
      <w:r>
        <w:rPr>
          <w:color w:val="231F20"/>
          <w:spacing w:val="2"/>
        </w:rPr>
        <w:t>vive una violencia entre </w:t>
      </w:r>
      <w:r>
        <w:rPr>
          <w:color w:val="231F20"/>
          <w:spacing w:val="3"/>
        </w:rPr>
        <w:t>media </w:t>
      </w:r>
      <w:r>
        <w:rPr>
          <w:color w:val="231F20"/>
        </w:rPr>
        <w:t>y </w:t>
      </w:r>
      <w:r>
        <w:rPr>
          <w:color w:val="231F20"/>
          <w:spacing w:val="2"/>
        </w:rPr>
        <w:t>alta </w:t>
      </w:r>
      <w:r>
        <w:rPr>
          <w:color w:val="231F20"/>
        </w:rPr>
        <w:t>en la </w:t>
      </w:r>
      <w:r>
        <w:rPr>
          <w:color w:val="231F20"/>
          <w:spacing w:val="2"/>
        </w:rPr>
        <w:t>ciudad. </w:t>
      </w:r>
      <w:r>
        <w:rPr>
          <w:color w:val="231F20"/>
        </w:rPr>
        <w:t>La </w:t>
      </w:r>
      <w:r>
        <w:rPr>
          <w:color w:val="231F20"/>
          <w:spacing w:val="2"/>
        </w:rPr>
        <w:t>percepción </w:t>
      </w:r>
      <w:r>
        <w:rPr>
          <w:color w:val="231F20"/>
        </w:rPr>
        <w:t>de las </w:t>
      </w:r>
      <w:r>
        <w:rPr>
          <w:color w:val="231F20"/>
          <w:spacing w:val="2"/>
        </w:rPr>
        <w:t>alumnas </w:t>
      </w:r>
      <w:r>
        <w:rPr>
          <w:color w:val="231F20"/>
        </w:rPr>
        <w:t>es </w:t>
      </w:r>
      <w:r>
        <w:rPr>
          <w:color w:val="231F20"/>
          <w:spacing w:val="2"/>
        </w:rPr>
        <w:t>más </w:t>
      </w:r>
      <w:r>
        <w:rPr>
          <w:color w:val="231F20"/>
        </w:rPr>
        <w:t>alta que la de </w:t>
      </w:r>
      <w:r>
        <w:rPr>
          <w:color w:val="231F20"/>
          <w:spacing w:val="2"/>
        </w:rPr>
        <w:t>los varones, pues </w:t>
      </w:r>
      <w:r>
        <w:rPr>
          <w:color w:val="231F20"/>
        </w:rPr>
        <w:t>un </w:t>
      </w:r>
      <w:r>
        <w:rPr>
          <w:color w:val="231F20"/>
          <w:spacing w:val="2"/>
        </w:rPr>
        <w:t>93.8% aceptó </w:t>
      </w:r>
      <w:r>
        <w:rPr>
          <w:color w:val="231F20"/>
        </w:rPr>
        <w:t>que </w:t>
      </w:r>
      <w:r>
        <w:rPr>
          <w:color w:val="231F20"/>
          <w:spacing w:val="2"/>
        </w:rPr>
        <w:t>los niveles </w:t>
      </w:r>
      <w:r>
        <w:rPr>
          <w:color w:val="231F20"/>
        </w:rPr>
        <w:t>de </w:t>
      </w:r>
      <w:r>
        <w:rPr>
          <w:color w:val="231F20"/>
          <w:spacing w:val="2"/>
        </w:rPr>
        <w:t>violencia son entre </w:t>
      </w:r>
      <w:r>
        <w:rPr>
          <w:color w:val="231F20"/>
          <w:spacing w:val="3"/>
        </w:rPr>
        <w:t>medianos </w:t>
      </w:r>
      <w:r>
        <w:rPr>
          <w:color w:val="231F20"/>
        </w:rPr>
        <w:t>y </w:t>
      </w:r>
      <w:r>
        <w:rPr>
          <w:color w:val="231F20"/>
          <w:spacing w:val="2"/>
        </w:rPr>
        <w:t>altos </w:t>
      </w:r>
      <w:r>
        <w:rPr>
          <w:color w:val="231F20"/>
        </w:rPr>
        <w:t>y </w:t>
      </w:r>
      <w:r>
        <w:rPr>
          <w:color w:val="231F20"/>
          <w:spacing w:val="2"/>
        </w:rPr>
        <w:t>solo </w:t>
      </w:r>
      <w:r>
        <w:rPr>
          <w:color w:val="231F20"/>
        </w:rPr>
        <w:t>un 6.2% la ve </w:t>
      </w:r>
      <w:r>
        <w:rPr>
          <w:color w:val="231F20"/>
          <w:spacing w:val="3"/>
        </w:rPr>
        <w:t>como </w:t>
      </w:r>
      <w:r>
        <w:rPr>
          <w:color w:val="231F20"/>
          <w:spacing w:val="2"/>
        </w:rPr>
        <w:t>baja. Esta percepción refleja </w:t>
      </w:r>
      <w:r>
        <w:rPr>
          <w:color w:val="231F20"/>
        </w:rPr>
        <w:t>las </w:t>
      </w:r>
      <w:r>
        <w:rPr>
          <w:color w:val="231F20"/>
          <w:spacing w:val="2"/>
        </w:rPr>
        <w:t>experiencias cotidianas </w:t>
      </w:r>
      <w:r>
        <w:rPr>
          <w:color w:val="231F20"/>
        </w:rPr>
        <w:t>de </w:t>
      </w:r>
      <w:r>
        <w:rPr>
          <w:color w:val="231F20"/>
          <w:spacing w:val="2"/>
        </w:rPr>
        <w:t>los </w:t>
      </w:r>
      <w:r>
        <w:rPr>
          <w:color w:val="231F20"/>
          <w:spacing w:val="3"/>
        </w:rPr>
        <w:t>alumnos, </w:t>
      </w:r>
      <w:r>
        <w:rPr>
          <w:color w:val="231F20"/>
          <w:spacing w:val="2"/>
        </w:rPr>
        <w:t>que </w:t>
      </w:r>
      <w:r>
        <w:rPr>
          <w:color w:val="231F20"/>
          <w:spacing w:val="3"/>
        </w:rPr>
        <w:t>pueden </w:t>
      </w:r>
      <w:r>
        <w:rPr>
          <w:color w:val="231F20"/>
        </w:rPr>
        <w:t>ser de </w:t>
      </w:r>
      <w:r>
        <w:rPr>
          <w:color w:val="231F20"/>
          <w:spacing w:val="2"/>
        </w:rPr>
        <w:t>ellos </w:t>
      </w:r>
      <w:r>
        <w:rPr>
          <w:color w:val="231F20"/>
        </w:rPr>
        <w:t>o de </w:t>
      </w:r>
      <w:r>
        <w:rPr>
          <w:color w:val="231F20"/>
          <w:spacing w:val="3"/>
        </w:rPr>
        <w:t>personas </w:t>
      </w:r>
      <w:r>
        <w:rPr>
          <w:color w:val="231F20"/>
          <w:spacing w:val="2"/>
        </w:rPr>
        <w:t>cercanas </w:t>
      </w:r>
      <w:r>
        <w:rPr>
          <w:color w:val="231F20"/>
        </w:rPr>
        <w:t>a su </w:t>
      </w:r>
      <w:r>
        <w:rPr>
          <w:color w:val="231F20"/>
          <w:spacing w:val="2"/>
        </w:rPr>
        <w:t>núcleo familiar, </w:t>
      </w:r>
      <w:r>
        <w:rPr>
          <w:color w:val="231F20"/>
        </w:rPr>
        <w:t>así </w:t>
      </w:r>
      <w:r>
        <w:rPr>
          <w:color w:val="231F20"/>
          <w:spacing w:val="3"/>
        </w:rPr>
        <w:t>como </w:t>
      </w:r>
      <w:r>
        <w:rPr>
          <w:color w:val="231F20"/>
        </w:rPr>
        <w:t>de lo </w:t>
      </w:r>
      <w:r>
        <w:rPr>
          <w:color w:val="231F20"/>
          <w:spacing w:val="2"/>
        </w:rPr>
        <w:t>que </w:t>
      </w:r>
      <w:r>
        <w:rPr>
          <w:color w:val="231F20"/>
          <w:spacing w:val="3"/>
        </w:rPr>
        <w:t>difunden </w:t>
      </w:r>
      <w:r>
        <w:rPr>
          <w:color w:val="231F20"/>
          <w:spacing w:val="2"/>
        </w:rPr>
        <w:t>los </w:t>
      </w:r>
      <w:r>
        <w:rPr>
          <w:color w:val="231F20"/>
          <w:spacing w:val="3"/>
        </w:rPr>
        <w:t>medios </w:t>
      </w:r>
      <w:r>
        <w:rPr>
          <w:color w:val="231F20"/>
        </w:rPr>
        <w:t>de </w:t>
      </w:r>
      <w:r>
        <w:rPr>
          <w:color w:val="231F20"/>
          <w:spacing w:val="3"/>
        </w:rPr>
        <w:t>comunicación </w:t>
      </w:r>
      <w:r>
        <w:rPr>
          <w:color w:val="231F20"/>
          <w:spacing w:val="2"/>
        </w:rPr>
        <w:t>masiva. Refleja también las </w:t>
      </w:r>
      <w:r>
        <w:rPr>
          <w:color w:val="231F20"/>
          <w:spacing w:val="3"/>
        </w:rPr>
        <w:t>condiciones </w:t>
      </w:r>
      <w:r>
        <w:rPr>
          <w:color w:val="231F20"/>
          <w:spacing w:val="2"/>
        </w:rPr>
        <w:t>actuales </w:t>
      </w:r>
      <w:r>
        <w:rPr>
          <w:color w:val="231F20"/>
        </w:rPr>
        <w:t>en las </w:t>
      </w:r>
      <w:r>
        <w:rPr>
          <w:color w:val="231F20"/>
          <w:spacing w:val="2"/>
        </w:rPr>
        <w:t>que </w:t>
      </w:r>
      <w:r>
        <w:rPr>
          <w:color w:val="231F20"/>
        </w:rPr>
        <w:t>se </w:t>
      </w:r>
      <w:r>
        <w:rPr>
          <w:color w:val="231F20"/>
          <w:spacing w:val="2"/>
        </w:rPr>
        <w:t>vive, </w:t>
      </w:r>
      <w:r>
        <w:rPr>
          <w:color w:val="231F20"/>
        </w:rPr>
        <w:t>no solo en la </w:t>
      </w:r>
      <w:r>
        <w:rPr>
          <w:color w:val="231F20"/>
          <w:spacing w:val="2"/>
        </w:rPr>
        <w:t>ciudad </w:t>
      </w:r>
      <w:r>
        <w:rPr>
          <w:color w:val="231F20"/>
          <w:spacing w:val="3"/>
        </w:rPr>
        <w:t>sino </w:t>
      </w:r>
      <w:r>
        <w:rPr>
          <w:color w:val="231F20"/>
          <w:spacing w:val="2"/>
        </w:rPr>
        <w:t>también </w:t>
      </w:r>
      <w:r>
        <w:rPr>
          <w:color w:val="231F20"/>
        </w:rPr>
        <w:t>en el</w:t>
      </w:r>
      <w:r>
        <w:rPr>
          <w:color w:val="231F20"/>
          <w:spacing w:val="8"/>
        </w:rPr>
        <w:t> </w:t>
      </w:r>
      <w:r>
        <w:rPr>
          <w:color w:val="231F20"/>
          <w:spacing w:val="2"/>
        </w:rPr>
        <w:t>país.</w:t>
      </w:r>
    </w:p>
    <w:p>
      <w:pPr>
        <w:pStyle w:val="BodyText"/>
        <w:spacing w:line="249" w:lineRule="auto"/>
        <w:ind w:left="102" w:right="118" w:firstLine="283"/>
        <w:jc w:val="both"/>
      </w:pPr>
      <w:r>
        <w:rPr>
          <w:color w:val="231F20"/>
        </w:rPr>
        <w:t>En </w:t>
      </w:r>
      <w:r>
        <w:rPr>
          <w:color w:val="231F20"/>
          <w:spacing w:val="2"/>
        </w:rPr>
        <w:t>cuanto </w:t>
      </w:r>
      <w:r>
        <w:rPr>
          <w:color w:val="231F20"/>
        </w:rPr>
        <w:t>al </w:t>
      </w:r>
      <w:r>
        <w:rPr>
          <w:color w:val="231F20"/>
          <w:spacing w:val="2"/>
        </w:rPr>
        <w:t>nivel </w:t>
      </w:r>
      <w:r>
        <w:rPr>
          <w:color w:val="231F20"/>
        </w:rPr>
        <w:t>de </w:t>
      </w:r>
      <w:r>
        <w:rPr>
          <w:color w:val="231F20"/>
          <w:spacing w:val="2"/>
        </w:rPr>
        <w:t>violencia, </w:t>
      </w:r>
      <w:r>
        <w:rPr>
          <w:color w:val="231F20"/>
        </w:rPr>
        <w:t>en el </w:t>
      </w:r>
      <w:r>
        <w:rPr>
          <w:color w:val="231F20"/>
          <w:spacing w:val="2"/>
        </w:rPr>
        <w:t>barrio </w:t>
      </w:r>
      <w:r>
        <w:rPr>
          <w:color w:val="231F20"/>
        </w:rPr>
        <w:t>o </w:t>
      </w:r>
      <w:r>
        <w:rPr>
          <w:color w:val="231F20"/>
          <w:spacing w:val="2"/>
        </w:rPr>
        <w:t>colonia </w:t>
      </w:r>
      <w:r>
        <w:rPr>
          <w:color w:val="231F20"/>
        </w:rPr>
        <w:t>en </w:t>
      </w:r>
      <w:r>
        <w:rPr>
          <w:color w:val="231F20"/>
          <w:spacing w:val="3"/>
        </w:rPr>
        <w:t>donde </w:t>
      </w:r>
      <w:r>
        <w:rPr>
          <w:color w:val="231F20"/>
          <w:spacing w:val="2"/>
        </w:rPr>
        <w:t>viven, tanto </w:t>
      </w:r>
      <w:r>
        <w:rPr>
          <w:color w:val="231F20"/>
          <w:spacing w:val="3"/>
        </w:rPr>
        <w:t>alumnos como </w:t>
      </w:r>
      <w:r>
        <w:rPr>
          <w:color w:val="231F20"/>
          <w:spacing w:val="2"/>
        </w:rPr>
        <w:t>alumnas plantearon </w:t>
      </w:r>
      <w:r>
        <w:rPr>
          <w:color w:val="231F20"/>
        </w:rPr>
        <w:t>que es de </w:t>
      </w:r>
      <w:r>
        <w:rPr>
          <w:color w:val="231F20"/>
          <w:spacing w:val="2"/>
        </w:rPr>
        <w:t>medio </w:t>
      </w:r>
      <w:r>
        <w:rPr>
          <w:color w:val="231F20"/>
        </w:rPr>
        <w:t>a </w:t>
      </w:r>
      <w:r>
        <w:rPr>
          <w:color w:val="231F20"/>
          <w:spacing w:val="2"/>
        </w:rPr>
        <w:t>bajo. </w:t>
      </w:r>
      <w:r>
        <w:rPr>
          <w:color w:val="231F20"/>
          <w:spacing w:val="3"/>
        </w:rPr>
        <w:t>Pocos apuntaron </w:t>
      </w:r>
      <w:r>
        <w:rPr>
          <w:color w:val="231F20"/>
        </w:rPr>
        <w:t>de </w:t>
      </w:r>
      <w:r>
        <w:rPr>
          <w:color w:val="231F20"/>
          <w:spacing w:val="2"/>
        </w:rPr>
        <w:t>una violencia </w:t>
      </w:r>
      <w:r>
        <w:rPr>
          <w:color w:val="231F20"/>
        </w:rPr>
        <w:t>alta en el </w:t>
      </w:r>
      <w:r>
        <w:rPr>
          <w:color w:val="231F20"/>
          <w:spacing w:val="2"/>
        </w:rPr>
        <w:t>lugar </w:t>
      </w:r>
      <w:r>
        <w:rPr>
          <w:color w:val="231F20"/>
        </w:rPr>
        <w:t>en </w:t>
      </w:r>
      <w:r>
        <w:rPr>
          <w:color w:val="231F20"/>
          <w:spacing w:val="2"/>
        </w:rPr>
        <w:t>donde   </w:t>
      </w:r>
      <w:r>
        <w:rPr>
          <w:color w:val="231F20"/>
        </w:rPr>
        <w:t>se </w:t>
      </w:r>
      <w:r>
        <w:rPr>
          <w:color w:val="231F20"/>
          <w:spacing w:val="2"/>
        </w:rPr>
        <w:t>halla </w:t>
      </w:r>
      <w:r>
        <w:rPr>
          <w:color w:val="231F20"/>
        </w:rPr>
        <w:t>su </w:t>
      </w:r>
      <w:r>
        <w:rPr>
          <w:color w:val="231F20"/>
          <w:spacing w:val="2"/>
        </w:rPr>
        <w:t>casa, aunque debe </w:t>
      </w:r>
      <w:r>
        <w:rPr>
          <w:color w:val="231F20"/>
          <w:spacing w:val="3"/>
        </w:rPr>
        <w:t>mencionarse </w:t>
      </w:r>
      <w:r>
        <w:rPr>
          <w:color w:val="231F20"/>
        </w:rPr>
        <w:t>que la </w:t>
      </w:r>
      <w:r>
        <w:rPr>
          <w:color w:val="231F20"/>
          <w:spacing w:val="2"/>
        </w:rPr>
        <w:t>percepción </w:t>
      </w:r>
      <w:r>
        <w:rPr>
          <w:color w:val="231F20"/>
        </w:rPr>
        <w:t>de </w:t>
      </w:r>
      <w:r>
        <w:rPr>
          <w:color w:val="231F20"/>
          <w:spacing w:val="2"/>
        </w:rPr>
        <w:t>violencia por parte </w:t>
      </w:r>
      <w:r>
        <w:rPr>
          <w:color w:val="231F20"/>
        </w:rPr>
        <w:t>de las </w:t>
      </w:r>
      <w:r>
        <w:rPr>
          <w:color w:val="231F20"/>
          <w:spacing w:val="2"/>
        </w:rPr>
        <w:t>mujeres </w:t>
      </w:r>
      <w:r>
        <w:rPr>
          <w:color w:val="231F20"/>
        </w:rPr>
        <w:t>es </w:t>
      </w:r>
      <w:r>
        <w:rPr>
          <w:color w:val="231F20"/>
          <w:spacing w:val="2"/>
        </w:rPr>
        <w:t>más </w:t>
      </w:r>
      <w:r>
        <w:rPr>
          <w:color w:val="231F20"/>
        </w:rPr>
        <w:t>alta que la de </w:t>
      </w:r>
      <w:r>
        <w:rPr>
          <w:color w:val="231F20"/>
          <w:spacing w:val="2"/>
        </w:rPr>
        <w:t>los </w:t>
      </w:r>
      <w:r>
        <w:rPr>
          <w:color w:val="231F20"/>
          <w:spacing w:val="3"/>
        </w:rPr>
        <w:t>hom- bres.</w:t>
      </w:r>
    </w:p>
    <w:p>
      <w:pPr>
        <w:pStyle w:val="BodyText"/>
        <w:spacing w:line="247" w:lineRule="auto"/>
        <w:ind w:left="102" w:right="114" w:firstLine="284"/>
        <w:jc w:val="both"/>
      </w:pPr>
      <w:r>
        <w:rPr>
          <w:color w:val="231F20"/>
        </w:rPr>
        <w:t>Resultó interesante la percepción de violencia que tiene el alum- nado por parte de la universidad. En general, se percibe a esta como violenta; 69.9% de los hombres considera que la expresión está entre media y alta; para las mujeres es de 76.2%. Pocas mujeres (23.8%) conciben que el nivel de violencia es bajo; para los varones fue de 30.2%.</w:t>
      </w:r>
    </w:p>
    <w:p>
      <w:pPr>
        <w:pStyle w:val="BodyText"/>
        <w:spacing w:line="249" w:lineRule="auto" w:before="1"/>
        <w:ind w:left="102" w:right="115" w:firstLine="284"/>
        <w:jc w:val="both"/>
      </w:pPr>
      <w:r>
        <w:rPr>
          <w:color w:val="231F20"/>
        </w:rPr>
        <w:t>En los tres ámbitos mencionados (ciudad, barrio o colonia y universidad) las mujeres son más sensibles a situaciones de violen- cia que los hombres, lo cual puede estar relacionado con las per- cepciones históricas y culturales. Lo que es violento para la mujer, puede que no lo sea para los varones, aunque encaje en la defini- ción de violencia que proporcionamos al inicio de este trabajo.</w:t>
      </w:r>
    </w:p>
    <w:p>
      <w:pPr>
        <w:pStyle w:val="BodyText"/>
        <w:spacing w:line="247" w:lineRule="auto"/>
        <w:ind w:left="101" w:right="115" w:firstLine="284"/>
        <w:jc w:val="both"/>
      </w:pPr>
      <w:r>
        <w:rPr>
          <w:color w:val="231F20"/>
        </w:rPr>
        <w:t>Finalmente, se toca un espacio muy importante: el hogar, pues allí se forman los jóvenes. Y es precisamente en este ámbito don- de se presentan, de manera más evidente, percepciones diferentes de violencia entre hombres y mujeres Un porcentaje más alto de hombres concibe que hay violencia alta y media en los hogares (37.6%); en cambio, un 23.4% de mujeres afirmó que hay violen- cia alta y media en la familia. Hipotéticamente nos aventuramos a decir que están presentes los valores femeninos, aunque tal vez  de</w:t>
      </w:r>
    </w:p>
    <w:p>
      <w:pPr>
        <w:spacing w:after="0" w:line="247" w:lineRule="auto"/>
        <w:jc w:val="both"/>
        <w:sectPr>
          <w:headerReference w:type="default" r:id="rId781"/>
          <w:footerReference w:type="default" r:id="rId782"/>
          <w:pgSz w:w="7830" w:h="11910"/>
          <w:pgMar w:header="0" w:footer="424" w:top="500" w:bottom="620" w:left="920" w:right="900"/>
          <w:pgNumType w:start="350"/>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9"/>
        <w:jc w:val="both"/>
      </w:pPr>
      <w:r>
        <w:rPr>
          <w:color w:val="231F20"/>
        </w:rPr>
        <w:t>manera inconsciente, los cuales son transmitidos por las madres. Las actitudes violentas en el hogar son vistas como “normales” para una parte importante de las mujeres.</w:t>
      </w:r>
    </w:p>
    <w:p>
      <w:pPr>
        <w:pStyle w:val="BodyText"/>
        <w:spacing w:line="249" w:lineRule="auto" w:before="1"/>
        <w:ind w:left="102" w:right="115" w:firstLine="283"/>
        <w:jc w:val="both"/>
      </w:pPr>
      <w:r>
        <w:rPr>
          <w:color w:val="231F20"/>
        </w:rPr>
        <w:t>En una sociedad tradicional como Oaxaca, posiblemente influ- ye la cultura y la dominación patriarcal en la conciencia de las mujeres, así como el ejercicio más frecuente de violencia física, ejercida sobre los hombres.</w:t>
      </w:r>
    </w:p>
    <w:p>
      <w:pPr>
        <w:pStyle w:val="BodyText"/>
        <w:spacing w:line="247" w:lineRule="auto"/>
        <w:ind w:left="102" w:right="115" w:firstLine="283"/>
        <w:jc w:val="both"/>
      </w:pPr>
      <w:r>
        <w:rPr>
          <w:color w:val="231F20"/>
        </w:rPr>
        <w:t>El </w:t>
      </w:r>
      <w:r>
        <w:rPr>
          <w:color w:val="231F20"/>
          <w:spacing w:val="2"/>
        </w:rPr>
        <w:t>hecho </w:t>
      </w:r>
      <w:r>
        <w:rPr>
          <w:color w:val="231F20"/>
        </w:rPr>
        <w:t>de que </w:t>
      </w:r>
      <w:r>
        <w:rPr>
          <w:color w:val="231F20"/>
          <w:spacing w:val="2"/>
        </w:rPr>
        <w:t>una parte </w:t>
      </w:r>
      <w:r>
        <w:rPr>
          <w:color w:val="231F20"/>
        </w:rPr>
        <w:t>de </w:t>
      </w:r>
      <w:r>
        <w:rPr>
          <w:color w:val="231F20"/>
          <w:spacing w:val="3"/>
        </w:rPr>
        <w:t>hombres </w:t>
      </w:r>
      <w:r>
        <w:rPr>
          <w:color w:val="231F20"/>
          <w:spacing w:val="2"/>
        </w:rPr>
        <w:t>califican </w:t>
      </w:r>
      <w:r>
        <w:rPr>
          <w:color w:val="231F20"/>
        </w:rPr>
        <w:t>a la </w:t>
      </w:r>
      <w:r>
        <w:rPr>
          <w:color w:val="231F20"/>
          <w:spacing w:val="2"/>
        </w:rPr>
        <w:t>violencia fuera del hogar </w:t>
      </w:r>
      <w:r>
        <w:rPr>
          <w:color w:val="231F20"/>
          <w:spacing w:val="3"/>
        </w:rPr>
        <w:t>como </w:t>
      </w:r>
      <w:r>
        <w:rPr>
          <w:color w:val="231F20"/>
          <w:spacing w:val="2"/>
        </w:rPr>
        <w:t>baja, </w:t>
      </w:r>
      <w:r>
        <w:rPr>
          <w:color w:val="231F20"/>
        </w:rPr>
        <w:t>se </w:t>
      </w:r>
      <w:r>
        <w:rPr>
          <w:color w:val="231F20"/>
          <w:spacing w:val="2"/>
        </w:rPr>
        <w:t>debe </w:t>
      </w:r>
      <w:r>
        <w:rPr>
          <w:color w:val="231F20"/>
        </w:rPr>
        <w:t>a que </w:t>
      </w:r>
      <w:r>
        <w:rPr>
          <w:color w:val="231F20"/>
          <w:spacing w:val="2"/>
        </w:rPr>
        <w:t>para ellos </w:t>
      </w:r>
      <w:r>
        <w:rPr>
          <w:color w:val="231F20"/>
        </w:rPr>
        <w:t>la </w:t>
      </w:r>
      <w:r>
        <w:rPr>
          <w:color w:val="231F20"/>
          <w:spacing w:val="2"/>
        </w:rPr>
        <w:t>violencia </w:t>
      </w:r>
      <w:r>
        <w:rPr>
          <w:color w:val="231F20"/>
        </w:rPr>
        <w:t>es </w:t>
      </w:r>
      <w:r>
        <w:rPr>
          <w:color w:val="231F20"/>
          <w:spacing w:val="2"/>
        </w:rPr>
        <w:t>“parte </w:t>
      </w:r>
      <w:r>
        <w:rPr>
          <w:color w:val="231F20"/>
        </w:rPr>
        <w:t>de su </w:t>
      </w:r>
      <w:r>
        <w:rPr>
          <w:color w:val="231F20"/>
          <w:spacing w:val="2"/>
        </w:rPr>
        <w:t>ser”, </w:t>
      </w:r>
      <w:r>
        <w:rPr>
          <w:color w:val="231F20"/>
        </w:rPr>
        <w:t>de su </w:t>
      </w:r>
      <w:r>
        <w:rPr>
          <w:color w:val="231F20"/>
          <w:spacing w:val="2"/>
        </w:rPr>
        <w:t>cultura, </w:t>
      </w:r>
      <w:r>
        <w:rPr>
          <w:color w:val="231F20"/>
        </w:rPr>
        <w:t>así </w:t>
      </w:r>
      <w:r>
        <w:rPr>
          <w:color w:val="231F20"/>
          <w:spacing w:val="2"/>
        </w:rPr>
        <w:t>los </w:t>
      </w:r>
      <w:r>
        <w:rPr>
          <w:color w:val="231F20"/>
          <w:spacing w:val="3"/>
        </w:rPr>
        <w:t>formaron </w:t>
      </w:r>
      <w:r>
        <w:rPr>
          <w:color w:val="231F20"/>
        </w:rPr>
        <w:t>y así ven el </w:t>
      </w:r>
      <w:r>
        <w:rPr>
          <w:color w:val="231F20"/>
          <w:spacing w:val="4"/>
        </w:rPr>
        <w:t>mun- </w:t>
      </w:r>
      <w:r>
        <w:rPr>
          <w:color w:val="231F20"/>
          <w:spacing w:val="2"/>
        </w:rPr>
        <w:t>do. Las mujeres, </w:t>
      </w:r>
      <w:r>
        <w:rPr>
          <w:color w:val="231F20"/>
        </w:rPr>
        <w:t>en </w:t>
      </w:r>
      <w:r>
        <w:rPr>
          <w:color w:val="231F20"/>
          <w:spacing w:val="3"/>
        </w:rPr>
        <w:t>cambio, </w:t>
      </w:r>
      <w:r>
        <w:rPr>
          <w:color w:val="231F20"/>
          <w:spacing w:val="2"/>
        </w:rPr>
        <w:t>puede </w:t>
      </w:r>
      <w:r>
        <w:rPr>
          <w:color w:val="231F20"/>
        </w:rPr>
        <w:t>que </w:t>
      </w:r>
      <w:r>
        <w:rPr>
          <w:color w:val="231F20"/>
          <w:spacing w:val="2"/>
        </w:rPr>
        <w:t>vean </w:t>
      </w:r>
      <w:r>
        <w:rPr>
          <w:color w:val="231F20"/>
        </w:rPr>
        <w:t>a la </w:t>
      </w:r>
      <w:r>
        <w:rPr>
          <w:color w:val="231F20"/>
          <w:spacing w:val="2"/>
        </w:rPr>
        <w:t>violencia fuera  del hogar </w:t>
      </w:r>
      <w:r>
        <w:rPr>
          <w:color w:val="231F20"/>
          <w:spacing w:val="3"/>
        </w:rPr>
        <w:t>como </w:t>
      </w:r>
      <w:r>
        <w:rPr>
          <w:color w:val="231F20"/>
          <w:spacing w:val="2"/>
        </w:rPr>
        <w:t>alta, debido </w:t>
      </w:r>
      <w:r>
        <w:rPr>
          <w:color w:val="231F20"/>
        </w:rPr>
        <w:t>a </w:t>
      </w:r>
      <w:r>
        <w:rPr>
          <w:color w:val="231F20"/>
          <w:spacing w:val="2"/>
        </w:rPr>
        <w:t>que </w:t>
      </w:r>
      <w:r>
        <w:rPr>
          <w:color w:val="231F20"/>
        </w:rPr>
        <w:t>su </w:t>
      </w:r>
      <w:r>
        <w:rPr>
          <w:color w:val="231F20"/>
          <w:spacing w:val="3"/>
        </w:rPr>
        <w:t>formación </w:t>
      </w:r>
      <w:r>
        <w:rPr>
          <w:color w:val="231F20"/>
        </w:rPr>
        <w:t>les ha </w:t>
      </w:r>
      <w:r>
        <w:rPr>
          <w:color w:val="231F20"/>
          <w:spacing w:val="3"/>
        </w:rPr>
        <w:t>impedido </w:t>
      </w:r>
      <w:r>
        <w:rPr>
          <w:color w:val="231F20"/>
        </w:rPr>
        <w:t>salir </w:t>
      </w:r>
      <w:r>
        <w:rPr>
          <w:color w:val="231F20"/>
          <w:spacing w:val="2"/>
        </w:rPr>
        <w:t>con </w:t>
      </w:r>
      <w:r>
        <w:rPr>
          <w:color w:val="231F20"/>
        </w:rPr>
        <w:t>la </w:t>
      </w:r>
      <w:r>
        <w:rPr>
          <w:color w:val="231F20"/>
          <w:spacing w:val="3"/>
        </w:rPr>
        <w:t>misma </w:t>
      </w:r>
      <w:r>
        <w:rPr>
          <w:color w:val="231F20"/>
          <w:spacing w:val="2"/>
        </w:rPr>
        <w:t>frecuencia </w:t>
      </w:r>
      <w:r>
        <w:rPr>
          <w:color w:val="231F20"/>
        </w:rPr>
        <w:t>que </w:t>
      </w:r>
      <w:r>
        <w:rPr>
          <w:color w:val="231F20"/>
          <w:spacing w:val="2"/>
        </w:rPr>
        <w:t>los varones </w:t>
      </w:r>
      <w:r>
        <w:rPr>
          <w:color w:val="231F20"/>
        </w:rPr>
        <w:t>y </w:t>
      </w:r>
      <w:r>
        <w:rPr>
          <w:color w:val="231F20"/>
          <w:spacing w:val="2"/>
        </w:rPr>
        <w:t>convivir </w:t>
      </w:r>
      <w:r>
        <w:rPr>
          <w:color w:val="231F20"/>
        </w:rPr>
        <w:t>en </w:t>
      </w:r>
      <w:r>
        <w:rPr>
          <w:color w:val="231F20"/>
          <w:spacing w:val="2"/>
        </w:rPr>
        <w:t>situa- ciones similares </w:t>
      </w:r>
      <w:r>
        <w:rPr>
          <w:color w:val="231F20"/>
        </w:rPr>
        <w:t>a las de </w:t>
      </w:r>
      <w:r>
        <w:rPr>
          <w:color w:val="231F20"/>
          <w:spacing w:val="2"/>
        </w:rPr>
        <w:t>los </w:t>
      </w:r>
      <w:r>
        <w:rPr>
          <w:color w:val="231F20"/>
          <w:spacing w:val="3"/>
        </w:rPr>
        <w:t>hombres </w:t>
      </w:r>
      <w:r>
        <w:rPr>
          <w:color w:val="231F20"/>
        </w:rPr>
        <w:t>y, </w:t>
      </w:r>
      <w:r>
        <w:rPr>
          <w:color w:val="231F20"/>
          <w:spacing w:val="2"/>
        </w:rPr>
        <w:t>por </w:t>
      </w:r>
      <w:r>
        <w:rPr>
          <w:color w:val="231F20"/>
        </w:rPr>
        <w:t>lo </w:t>
      </w:r>
      <w:r>
        <w:rPr>
          <w:color w:val="231F20"/>
          <w:spacing w:val="2"/>
        </w:rPr>
        <w:t>tanto, </w:t>
      </w:r>
      <w:r>
        <w:rPr>
          <w:color w:val="231F20"/>
        </w:rPr>
        <w:t>la </w:t>
      </w:r>
      <w:r>
        <w:rPr>
          <w:color w:val="231F20"/>
          <w:spacing w:val="2"/>
        </w:rPr>
        <w:t>violencia </w:t>
      </w:r>
      <w:r>
        <w:rPr>
          <w:color w:val="231F20"/>
        </w:rPr>
        <w:t>que </w:t>
      </w:r>
      <w:r>
        <w:rPr>
          <w:color w:val="231F20"/>
          <w:spacing w:val="2"/>
        </w:rPr>
        <w:t>ven, </w:t>
      </w:r>
      <w:r>
        <w:rPr>
          <w:color w:val="231F20"/>
        </w:rPr>
        <w:t>que </w:t>
      </w:r>
      <w:r>
        <w:rPr>
          <w:color w:val="231F20"/>
          <w:spacing w:val="2"/>
        </w:rPr>
        <w:t>escuchan </w:t>
      </w:r>
      <w:r>
        <w:rPr>
          <w:color w:val="231F20"/>
        </w:rPr>
        <w:t>de </w:t>
      </w:r>
      <w:r>
        <w:rPr>
          <w:color w:val="231F20"/>
          <w:spacing w:val="2"/>
        </w:rPr>
        <w:t>otras </w:t>
      </w:r>
      <w:r>
        <w:rPr>
          <w:color w:val="231F20"/>
          <w:spacing w:val="3"/>
        </w:rPr>
        <w:t>personas, </w:t>
      </w:r>
      <w:r>
        <w:rPr>
          <w:color w:val="231F20"/>
        </w:rPr>
        <w:t>la </w:t>
      </w:r>
      <w:r>
        <w:rPr>
          <w:color w:val="231F20"/>
          <w:spacing w:val="2"/>
        </w:rPr>
        <w:t>conciben </w:t>
      </w:r>
      <w:r>
        <w:rPr>
          <w:color w:val="231F20"/>
          <w:spacing w:val="3"/>
        </w:rPr>
        <w:t>como </w:t>
      </w:r>
      <w:r>
        <w:rPr>
          <w:color w:val="231F20"/>
          <w:spacing w:val="12"/>
        </w:rPr>
        <w:t> </w:t>
      </w:r>
      <w:r>
        <w:rPr>
          <w:color w:val="231F20"/>
          <w:spacing w:val="2"/>
        </w:rPr>
        <w:t>alta.</w:t>
      </w:r>
    </w:p>
    <w:p>
      <w:pPr>
        <w:pStyle w:val="BodyText"/>
        <w:spacing w:before="3"/>
        <w:rPr>
          <w:sz w:val="23"/>
        </w:rPr>
      </w:pPr>
    </w:p>
    <w:p>
      <w:pPr>
        <w:spacing w:line="278" w:lineRule="auto" w:before="0"/>
        <w:ind w:left="101" w:right="118" w:firstLine="0"/>
        <w:jc w:val="center"/>
        <w:rPr>
          <w:b/>
          <w:sz w:val="19"/>
        </w:rPr>
      </w:pPr>
      <w:r>
        <w:rPr>
          <w:b/>
          <w:color w:val="231F20"/>
          <w:sz w:val="19"/>
        </w:rPr>
        <w:t>Cuadro 3. Experiencias de la violencia al interior de la UABJO por parte del novio(a), por grupos de edad y    sexo</w:t>
      </w:r>
    </w:p>
    <w:p>
      <w:pPr>
        <w:pStyle w:val="BodyText"/>
        <w:spacing w:before="4"/>
        <w:rPr>
          <w:b/>
          <w:sz w:val="19"/>
        </w:rPr>
      </w:pPr>
    </w:p>
    <w:tbl>
      <w:tblPr>
        <w:tblW w:w="0" w:type="auto"/>
        <w:jc w:val="left"/>
        <w:tblInd w:w="10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83"/>
        <w:gridCol w:w="1085"/>
        <w:gridCol w:w="1094"/>
        <w:gridCol w:w="1046"/>
        <w:gridCol w:w="1066"/>
      </w:tblGrid>
      <w:tr>
        <w:trPr>
          <w:trHeight w:val="346" w:hRule="exact"/>
        </w:trPr>
        <w:tc>
          <w:tcPr>
            <w:tcW w:w="1483" w:type="dxa"/>
            <w:vMerge w:val="restart"/>
          </w:tcPr>
          <w:p>
            <w:pPr>
              <w:pStyle w:val="TableParagraph"/>
              <w:spacing w:before="8"/>
              <w:ind w:left="0"/>
              <w:rPr>
                <w:b/>
                <w:sz w:val="18"/>
              </w:rPr>
            </w:pPr>
          </w:p>
          <w:p>
            <w:pPr>
              <w:pStyle w:val="TableParagraph"/>
              <w:spacing w:line="307" w:lineRule="auto"/>
              <w:ind w:left="304" w:right="160" w:hanging="146"/>
              <w:rPr>
                <w:b/>
                <w:sz w:val="17"/>
              </w:rPr>
            </w:pPr>
            <w:r>
              <w:rPr>
                <w:b/>
                <w:color w:val="231F20"/>
                <w:w w:val="105"/>
                <w:sz w:val="17"/>
              </w:rPr>
              <w:t>Experiencia de la violencia</w:t>
            </w:r>
          </w:p>
        </w:tc>
        <w:tc>
          <w:tcPr>
            <w:tcW w:w="2179" w:type="dxa"/>
            <w:gridSpan w:val="2"/>
          </w:tcPr>
          <w:p>
            <w:pPr>
              <w:pStyle w:val="TableParagraph"/>
              <w:spacing w:before="86"/>
              <w:ind w:left="482"/>
              <w:rPr>
                <w:b/>
                <w:sz w:val="17"/>
              </w:rPr>
            </w:pPr>
            <w:r>
              <w:rPr>
                <w:b/>
                <w:color w:val="231F20"/>
                <w:w w:val="105"/>
                <w:sz w:val="17"/>
              </w:rPr>
              <w:t>Grupos de edad</w:t>
            </w:r>
          </w:p>
        </w:tc>
        <w:tc>
          <w:tcPr>
            <w:tcW w:w="2112" w:type="dxa"/>
            <w:gridSpan w:val="2"/>
          </w:tcPr>
          <w:p>
            <w:pPr>
              <w:pStyle w:val="TableParagraph"/>
              <w:spacing w:before="86"/>
              <w:ind w:left="853" w:right="852"/>
              <w:jc w:val="center"/>
              <w:rPr>
                <w:b/>
                <w:sz w:val="17"/>
              </w:rPr>
            </w:pPr>
            <w:r>
              <w:rPr>
                <w:b/>
                <w:color w:val="231F20"/>
                <w:w w:val="105"/>
                <w:sz w:val="17"/>
              </w:rPr>
              <w:t>Sexo</w:t>
            </w:r>
          </w:p>
        </w:tc>
      </w:tr>
      <w:tr>
        <w:trPr>
          <w:trHeight w:val="514" w:hRule="exact"/>
        </w:trPr>
        <w:tc>
          <w:tcPr>
            <w:tcW w:w="1483" w:type="dxa"/>
            <w:vMerge/>
          </w:tcPr>
          <w:p>
            <w:pPr/>
          </w:p>
        </w:tc>
        <w:tc>
          <w:tcPr>
            <w:tcW w:w="1085" w:type="dxa"/>
          </w:tcPr>
          <w:p>
            <w:pPr>
              <w:pStyle w:val="TableParagraph"/>
              <w:spacing w:line="307" w:lineRule="auto" w:before="47"/>
              <w:ind w:left="358" w:right="187" w:hanging="160"/>
              <w:rPr>
                <w:b/>
                <w:sz w:val="17"/>
              </w:rPr>
            </w:pPr>
            <w:r>
              <w:rPr>
                <w:b/>
                <w:color w:val="231F20"/>
                <w:w w:val="105"/>
                <w:sz w:val="17"/>
              </w:rPr>
              <w:t>Hasta 20 años</w:t>
            </w:r>
          </w:p>
        </w:tc>
        <w:tc>
          <w:tcPr>
            <w:tcW w:w="1094" w:type="dxa"/>
          </w:tcPr>
          <w:p>
            <w:pPr>
              <w:pStyle w:val="TableParagraph"/>
              <w:spacing w:line="307" w:lineRule="auto" w:before="47"/>
              <w:ind w:left="384" w:right="196" w:hanging="186"/>
              <w:rPr>
                <w:b/>
                <w:sz w:val="17"/>
              </w:rPr>
            </w:pPr>
            <w:r>
              <w:rPr>
                <w:b/>
                <w:color w:val="231F20"/>
                <w:sz w:val="17"/>
              </w:rPr>
              <w:t>21 años y más</w:t>
            </w:r>
          </w:p>
        </w:tc>
        <w:tc>
          <w:tcPr>
            <w:tcW w:w="1046" w:type="dxa"/>
          </w:tcPr>
          <w:p>
            <w:pPr>
              <w:pStyle w:val="TableParagraph"/>
              <w:ind w:left="0"/>
              <w:rPr>
                <w:b/>
                <w:sz w:val="15"/>
              </w:rPr>
            </w:pPr>
          </w:p>
          <w:p>
            <w:pPr>
              <w:pStyle w:val="TableParagraph"/>
              <w:ind w:left="322" w:right="264"/>
              <w:rPr>
                <w:b/>
                <w:sz w:val="17"/>
              </w:rPr>
            </w:pPr>
            <w:r>
              <w:rPr>
                <w:b/>
                <w:color w:val="231F20"/>
                <w:w w:val="105"/>
                <w:sz w:val="17"/>
              </w:rPr>
              <w:t>Fem.</w:t>
            </w:r>
          </w:p>
        </w:tc>
        <w:tc>
          <w:tcPr>
            <w:tcW w:w="1066" w:type="dxa"/>
          </w:tcPr>
          <w:p>
            <w:pPr>
              <w:pStyle w:val="TableParagraph"/>
              <w:ind w:left="0"/>
              <w:rPr>
                <w:b/>
                <w:sz w:val="15"/>
              </w:rPr>
            </w:pPr>
          </w:p>
          <w:p>
            <w:pPr>
              <w:pStyle w:val="TableParagraph"/>
              <w:ind w:left="297"/>
              <w:rPr>
                <w:b/>
                <w:sz w:val="17"/>
              </w:rPr>
            </w:pPr>
            <w:r>
              <w:rPr>
                <w:b/>
                <w:color w:val="231F20"/>
                <w:w w:val="105"/>
                <w:sz w:val="17"/>
              </w:rPr>
              <w:t>Masc.</w:t>
            </w:r>
          </w:p>
        </w:tc>
      </w:tr>
      <w:tr>
        <w:trPr>
          <w:trHeight w:val="259" w:hRule="exact"/>
        </w:trPr>
        <w:tc>
          <w:tcPr>
            <w:tcW w:w="1483" w:type="dxa"/>
          </w:tcPr>
          <w:p>
            <w:pPr>
              <w:pStyle w:val="TableParagraph"/>
              <w:spacing w:before="43"/>
              <w:ind w:left="534" w:right="539"/>
              <w:jc w:val="center"/>
              <w:rPr>
                <w:sz w:val="17"/>
              </w:rPr>
            </w:pPr>
            <w:r>
              <w:rPr>
                <w:color w:val="231F20"/>
                <w:sz w:val="17"/>
              </w:rPr>
              <w:t>Sí</w:t>
            </w:r>
          </w:p>
        </w:tc>
        <w:tc>
          <w:tcPr>
            <w:tcW w:w="1085" w:type="dxa"/>
          </w:tcPr>
          <w:p>
            <w:pPr>
              <w:pStyle w:val="TableParagraph"/>
              <w:spacing w:before="43"/>
              <w:ind w:left="254" w:right="256"/>
              <w:jc w:val="center"/>
              <w:rPr>
                <w:sz w:val="17"/>
              </w:rPr>
            </w:pPr>
            <w:r>
              <w:rPr>
                <w:color w:val="231F20"/>
                <w:sz w:val="17"/>
              </w:rPr>
              <w:t>18.2%</w:t>
            </w:r>
          </w:p>
        </w:tc>
        <w:tc>
          <w:tcPr>
            <w:tcW w:w="1094" w:type="dxa"/>
          </w:tcPr>
          <w:p>
            <w:pPr>
              <w:pStyle w:val="TableParagraph"/>
              <w:spacing w:before="43"/>
              <w:ind w:left="0" w:right="322"/>
              <w:jc w:val="right"/>
              <w:rPr>
                <w:sz w:val="17"/>
              </w:rPr>
            </w:pPr>
            <w:r>
              <w:rPr>
                <w:color w:val="231F20"/>
                <w:w w:val="95"/>
                <w:sz w:val="17"/>
              </w:rPr>
              <w:t>17.5%</w:t>
            </w:r>
          </w:p>
        </w:tc>
        <w:tc>
          <w:tcPr>
            <w:tcW w:w="1046" w:type="dxa"/>
          </w:tcPr>
          <w:p>
            <w:pPr>
              <w:pStyle w:val="TableParagraph"/>
              <w:spacing w:before="43"/>
              <w:ind w:left="298"/>
              <w:rPr>
                <w:sz w:val="17"/>
              </w:rPr>
            </w:pPr>
            <w:r>
              <w:rPr>
                <w:color w:val="231F20"/>
                <w:sz w:val="17"/>
              </w:rPr>
              <w:t>19.8%</w:t>
            </w:r>
          </w:p>
        </w:tc>
        <w:tc>
          <w:tcPr>
            <w:tcW w:w="1066" w:type="dxa"/>
          </w:tcPr>
          <w:p>
            <w:pPr>
              <w:pStyle w:val="TableParagraph"/>
              <w:spacing w:before="43"/>
              <w:ind w:left="305"/>
              <w:rPr>
                <w:sz w:val="17"/>
              </w:rPr>
            </w:pPr>
            <w:r>
              <w:rPr>
                <w:color w:val="231F20"/>
                <w:sz w:val="17"/>
              </w:rPr>
              <w:t>15.9%</w:t>
            </w:r>
          </w:p>
        </w:tc>
      </w:tr>
      <w:tr>
        <w:trPr>
          <w:trHeight w:val="259" w:hRule="exact"/>
        </w:trPr>
        <w:tc>
          <w:tcPr>
            <w:tcW w:w="1483" w:type="dxa"/>
          </w:tcPr>
          <w:p>
            <w:pPr>
              <w:pStyle w:val="TableParagraph"/>
              <w:spacing w:before="43"/>
              <w:ind w:left="534" w:right="538"/>
              <w:jc w:val="center"/>
              <w:rPr>
                <w:sz w:val="17"/>
              </w:rPr>
            </w:pPr>
            <w:r>
              <w:rPr>
                <w:color w:val="231F20"/>
                <w:w w:val="110"/>
                <w:sz w:val="17"/>
              </w:rPr>
              <w:t>No</w:t>
            </w:r>
          </w:p>
        </w:tc>
        <w:tc>
          <w:tcPr>
            <w:tcW w:w="1085" w:type="dxa"/>
          </w:tcPr>
          <w:p>
            <w:pPr>
              <w:pStyle w:val="TableParagraph"/>
              <w:spacing w:before="43"/>
              <w:ind w:left="254" w:right="256"/>
              <w:jc w:val="center"/>
              <w:rPr>
                <w:sz w:val="17"/>
              </w:rPr>
            </w:pPr>
            <w:r>
              <w:rPr>
                <w:color w:val="231F20"/>
                <w:sz w:val="17"/>
              </w:rPr>
              <w:t>81.8%</w:t>
            </w:r>
          </w:p>
        </w:tc>
        <w:tc>
          <w:tcPr>
            <w:tcW w:w="1094" w:type="dxa"/>
          </w:tcPr>
          <w:p>
            <w:pPr>
              <w:pStyle w:val="TableParagraph"/>
              <w:spacing w:before="43"/>
              <w:ind w:left="0" w:right="322"/>
              <w:jc w:val="right"/>
              <w:rPr>
                <w:sz w:val="17"/>
              </w:rPr>
            </w:pPr>
            <w:r>
              <w:rPr>
                <w:color w:val="231F20"/>
                <w:w w:val="95"/>
                <w:sz w:val="17"/>
              </w:rPr>
              <w:t>82.5%</w:t>
            </w:r>
          </w:p>
        </w:tc>
        <w:tc>
          <w:tcPr>
            <w:tcW w:w="1046" w:type="dxa"/>
          </w:tcPr>
          <w:p>
            <w:pPr>
              <w:pStyle w:val="TableParagraph"/>
              <w:spacing w:before="43"/>
              <w:ind w:left="298"/>
              <w:rPr>
                <w:sz w:val="17"/>
              </w:rPr>
            </w:pPr>
            <w:r>
              <w:rPr>
                <w:color w:val="231F20"/>
                <w:sz w:val="17"/>
              </w:rPr>
              <w:t>80.2%</w:t>
            </w:r>
          </w:p>
        </w:tc>
        <w:tc>
          <w:tcPr>
            <w:tcW w:w="1066" w:type="dxa"/>
          </w:tcPr>
          <w:p>
            <w:pPr>
              <w:pStyle w:val="TableParagraph"/>
              <w:spacing w:before="43"/>
              <w:ind w:left="305"/>
              <w:rPr>
                <w:sz w:val="17"/>
              </w:rPr>
            </w:pPr>
            <w:r>
              <w:rPr>
                <w:color w:val="231F20"/>
                <w:sz w:val="17"/>
              </w:rPr>
              <w:t>84.1%</w:t>
            </w:r>
          </w:p>
        </w:tc>
      </w:tr>
      <w:tr>
        <w:trPr>
          <w:trHeight w:val="259" w:hRule="exact"/>
        </w:trPr>
        <w:tc>
          <w:tcPr>
            <w:tcW w:w="1483" w:type="dxa"/>
          </w:tcPr>
          <w:p>
            <w:pPr>
              <w:pStyle w:val="TableParagraph"/>
              <w:spacing w:before="43"/>
              <w:ind w:left="534" w:right="539"/>
              <w:jc w:val="center"/>
              <w:rPr>
                <w:sz w:val="17"/>
              </w:rPr>
            </w:pPr>
            <w:r>
              <w:rPr>
                <w:color w:val="231F20"/>
                <w:sz w:val="17"/>
              </w:rPr>
              <w:t>Total</w:t>
            </w:r>
          </w:p>
        </w:tc>
        <w:tc>
          <w:tcPr>
            <w:tcW w:w="1085" w:type="dxa"/>
          </w:tcPr>
          <w:p>
            <w:pPr>
              <w:pStyle w:val="TableParagraph"/>
              <w:spacing w:before="43"/>
              <w:ind w:left="254" w:right="256"/>
              <w:jc w:val="center"/>
              <w:rPr>
                <w:sz w:val="17"/>
              </w:rPr>
            </w:pPr>
            <w:r>
              <w:rPr>
                <w:color w:val="231F20"/>
                <w:sz w:val="17"/>
              </w:rPr>
              <w:t>100.0%</w:t>
            </w:r>
          </w:p>
        </w:tc>
        <w:tc>
          <w:tcPr>
            <w:tcW w:w="1094" w:type="dxa"/>
          </w:tcPr>
          <w:p>
            <w:pPr>
              <w:pStyle w:val="TableParagraph"/>
              <w:spacing w:before="43"/>
              <w:ind w:left="0" w:right="279"/>
              <w:jc w:val="right"/>
              <w:rPr>
                <w:sz w:val="17"/>
              </w:rPr>
            </w:pPr>
            <w:r>
              <w:rPr>
                <w:color w:val="231F20"/>
                <w:w w:val="95"/>
                <w:sz w:val="17"/>
              </w:rPr>
              <w:t>100.0%</w:t>
            </w:r>
          </w:p>
        </w:tc>
        <w:tc>
          <w:tcPr>
            <w:tcW w:w="1046" w:type="dxa"/>
          </w:tcPr>
          <w:p>
            <w:pPr>
              <w:pStyle w:val="TableParagraph"/>
              <w:spacing w:before="43"/>
              <w:ind w:left="256"/>
              <w:rPr>
                <w:sz w:val="17"/>
              </w:rPr>
            </w:pPr>
            <w:r>
              <w:rPr>
                <w:color w:val="231F20"/>
                <w:sz w:val="17"/>
              </w:rPr>
              <w:t>100.0%</w:t>
            </w:r>
          </w:p>
        </w:tc>
        <w:tc>
          <w:tcPr>
            <w:tcW w:w="1066" w:type="dxa"/>
          </w:tcPr>
          <w:p>
            <w:pPr>
              <w:pStyle w:val="TableParagraph"/>
              <w:spacing w:before="43"/>
              <w:ind w:left="263"/>
              <w:rPr>
                <w:sz w:val="17"/>
              </w:rPr>
            </w:pPr>
            <w:r>
              <w:rPr>
                <w:color w:val="231F20"/>
                <w:sz w:val="17"/>
              </w:rPr>
              <w:t>100.0%</w:t>
            </w:r>
          </w:p>
        </w:tc>
      </w:tr>
    </w:tbl>
    <w:p>
      <w:pPr>
        <w:spacing w:line="254" w:lineRule="auto" w:before="33"/>
        <w:ind w:left="102" w:right="869" w:hanging="1"/>
        <w:jc w:val="left"/>
        <w:rPr>
          <w:sz w:val="17"/>
        </w:rPr>
      </w:pPr>
      <w:r>
        <w:rPr>
          <w:color w:val="231F20"/>
          <w:sz w:val="17"/>
        </w:rPr>
        <w:t>Fuente: Encuesta aplicada a los alumnos de nivel superior de la UABJO, junio-septiembre, 2011.</w:t>
      </w:r>
    </w:p>
    <w:p>
      <w:pPr>
        <w:pStyle w:val="BodyText"/>
        <w:spacing w:before="2"/>
        <w:rPr>
          <w:sz w:val="22"/>
        </w:rPr>
      </w:pPr>
    </w:p>
    <w:p>
      <w:pPr>
        <w:pStyle w:val="BodyText"/>
        <w:spacing w:line="249" w:lineRule="auto"/>
        <w:ind w:left="102" w:right="115" w:firstLine="283"/>
        <w:jc w:val="both"/>
      </w:pPr>
      <w:r>
        <w:rPr>
          <w:color w:val="231F20"/>
        </w:rPr>
        <w:t>El Cuadro 3 informa sobre las experiencias violentas que han vi- vido los estudiantes por parte del novio o novia. Es relativamente bajo el porcentaje de este tipo de violencia y se presenta con mayor incidencia en los alumnos más jóvenes, que son, normalmente, los que recién han ingresado a la institución –18.2% de los alumnos menores de 20 años, frente a un 17.5% de alumnos mayores de 21–. La</w:t>
      </w:r>
      <w:r>
        <w:rPr>
          <w:color w:val="231F20"/>
          <w:spacing w:val="-7"/>
        </w:rPr>
        <w:t> </w:t>
      </w:r>
      <w:r>
        <w:rPr>
          <w:color w:val="231F20"/>
        </w:rPr>
        <w:t>diferencia</w:t>
      </w:r>
      <w:r>
        <w:rPr>
          <w:color w:val="231F20"/>
          <w:spacing w:val="-7"/>
        </w:rPr>
        <w:t> </w:t>
      </w:r>
      <w:r>
        <w:rPr>
          <w:color w:val="231F20"/>
        </w:rPr>
        <w:t>es</w:t>
      </w:r>
      <w:r>
        <w:rPr>
          <w:color w:val="231F20"/>
          <w:spacing w:val="-7"/>
        </w:rPr>
        <w:t> </w:t>
      </w:r>
      <w:r>
        <w:rPr>
          <w:color w:val="231F20"/>
        </w:rPr>
        <w:t>mínima.</w:t>
      </w:r>
      <w:r>
        <w:rPr>
          <w:color w:val="231F20"/>
          <w:spacing w:val="-7"/>
        </w:rPr>
        <w:t> </w:t>
      </w:r>
      <w:r>
        <w:rPr>
          <w:color w:val="231F20"/>
        </w:rPr>
        <w:t>Ahora,</w:t>
      </w:r>
      <w:r>
        <w:rPr>
          <w:color w:val="231F20"/>
          <w:spacing w:val="-7"/>
        </w:rPr>
        <w:t> </w:t>
      </w:r>
      <w:r>
        <w:rPr>
          <w:color w:val="231F20"/>
        </w:rPr>
        <w:t>en</w:t>
      </w:r>
      <w:r>
        <w:rPr>
          <w:color w:val="231F20"/>
          <w:spacing w:val="-7"/>
        </w:rPr>
        <w:t> </w:t>
      </w:r>
      <w:r>
        <w:rPr>
          <w:color w:val="231F20"/>
        </w:rPr>
        <w:t>cuanto</w:t>
      </w:r>
      <w:r>
        <w:rPr>
          <w:color w:val="231F20"/>
          <w:spacing w:val="-7"/>
        </w:rPr>
        <w:t> </w:t>
      </w:r>
      <w:r>
        <w:rPr>
          <w:color w:val="231F20"/>
        </w:rPr>
        <w:t>al</w:t>
      </w:r>
      <w:r>
        <w:rPr>
          <w:color w:val="231F20"/>
          <w:spacing w:val="-7"/>
        </w:rPr>
        <w:t> </w:t>
      </w:r>
      <w:r>
        <w:rPr>
          <w:color w:val="231F20"/>
        </w:rPr>
        <w:t>sexo,</w:t>
      </w:r>
      <w:r>
        <w:rPr>
          <w:color w:val="231F20"/>
          <w:spacing w:val="-7"/>
        </w:rPr>
        <w:t> </w:t>
      </w:r>
      <w:r>
        <w:rPr>
          <w:color w:val="231F20"/>
        </w:rPr>
        <w:t>sí</w:t>
      </w:r>
      <w:r>
        <w:rPr>
          <w:color w:val="231F20"/>
          <w:spacing w:val="-7"/>
        </w:rPr>
        <w:t> </w:t>
      </w:r>
      <w:r>
        <w:rPr>
          <w:color w:val="231F20"/>
        </w:rPr>
        <w:t>existen</w:t>
      </w:r>
      <w:r>
        <w:rPr>
          <w:color w:val="231F20"/>
          <w:spacing w:val="-7"/>
        </w:rPr>
        <w:t> </w:t>
      </w:r>
      <w:r>
        <w:rPr>
          <w:color w:val="231F20"/>
        </w:rPr>
        <w:t>diferen- cias importantes. Un 19.8% de mujeres aceptó haber sufrido violen- cia por parte de su novio o pareja; por otro lado, un 15.9% de los varones</w:t>
      </w:r>
      <w:r>
        <w:rPr>
          <w:color w:val="231F20"/>
          <w:spacing w:val="-7"/>
        </w:rPr>
        <w:t> </w:t>
      </w:r>
      <w:r>
        <w:rPr>
          <w:color w:val="231F20"/>
        </w:rPr>
        <w:t>afirmó</w:t>
      </w:r>
      <w:r>
        <w:rPr>
          <w:color w:val="231F20"/>
          <w:spacing w:val="-7"/>
        </w:rPr>
        <w:t> </w:t>
      </w:r>
      <w:r>
        <w:rPr>
          <w:color w:val="231F20"/>
        </w:rPr>
        <w:t>haber</w:t>
      </w:r>
      <w:r>
        <w:rPr>
          <w:color w:val="231F20"/>
          <w:spacing w:val="-8"/>
        </w:rPr>
        <w:t> </w:t>
      </w:r>
      <w:r>
        <w:rPr>
          <w:color w:val="231F20"/>
        </w:rPr>
        <w:t>vivido</w:t>
      </w:r>
      <w:r>
        <w:rPr>
          <w:color w:val="231F20"/>
          <w:spacing w:val="-7"/>
        </w:rPr>
        <w:t> </w:t>
      </w:r>
      <w:r>
        <w:rPr>
          <w:color w:val="231F20"/>
        </w:rPr>
        <w:t>la</w:t>
      </w:r>
      <w:r>
        <w:rPr>
          <w:color w:val="231F20"/>
          <w:spacing w:val="-7"/>
        </w:rPr>
        <w:t> </w:t>
      </w:r>
      <w:r>
        <w:rPr>
          <w:color w:val="231F20"/>
        </w:rPr>
        <w:t>violencia</w:t>
      </w:r>
      <w:r>
        <w:rPr>
          <w:color w:val="231F20"/>
          <w:spacing w:val="-7"/>
        </w:rPr>
        <w:t> </w:t>
      </w:r>
      <w:r>
        <w:rPr>
          <w:color w:val="231F20"/>
        </w:rPr>
        <w:t>por</w:t>
      </w:r>
      <w:r>
        <w:rPr>
          <w:color w:val="231F20"/>
          <w:spacing w:val="-8"/>
        </w:rPr>
        <w:t> </w:t>
      </w:r>
      <w:r>
        <w:rPr>
          <w:color w:val="231F20"/>
        </w:rPr>
        <w:t>parte</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compañera</w:t>
      </w:r>
      <w:r>
        <w:rPr>
          <w:color w:val="231F20"/>
          <w:spacing w:val="-7"/>
        </w:rPr>
        <w:t> </w:t>
      </w:r>
      <w:r>
        <w:rPr>
          <w:color w:val="231F20"/>
        </w:rPr>
        <w:t>o novia.  Este  dato  es  importante  porque  confirma  que  las</w:t>
      </w:r>
      <w:r>
        <w:rPr>
          <w:color w:val="231F20"/>
          <w:spacing w:val="-10"/>
        </w:rPr>
        <w:t> </w:t>
      </w:r>
      <w:r>
        <w:rPr>
          <w:color w:val="231F20"/>
        </w:rPr>
        <w:t>mujeres</w:t>
      </w:r>
    </w:p>
    <w:p>
      <w:pPr>
        <w:spacing w:after="0" w:line="249" w:lineRule="auto"/>
        <w:jc w:val="both"/>
        <w:sectPr>
          <w:headerReference w:type="default" r:id="rId783"/>
          <w:footerReference w:type="default" r:id="rId784"/>
          <w:pgSz w:w="7830" w:h="11910"/>
          <w:pgMar w:header="0" w:footer="424" w:top="500" w:bottom="620" w:left="920" w:right="900"/>
          <w:pgNumType w:start="351"/>
        </w:sectPr>
      </w:pPr>
    </w:p>
    <w:p>
      <w:pPr>
        <w:spacing w:before="46"/>
        <w:ind w:left="71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222" w:right="216"/>
        <w:jc w:val="both"/>
      </w:pPr>
      <w:r>
        <w:rPr>
          <w:color w:val="231F20"/>
        </w:rPr>
        <w:t>viven</w:t>
      </w:r>
      <w:r>
        <w:rPr>
          <w:color w:val="231F20"/>
          <w:spacing w:val="-8"/>
        </w:rPr>
        <w:t> </w:t>
      </w:r>
      <w:r>
        <w:rPr>
          <w:color w:val="231F20"/>
        </w:rPr>
        <w:t>con</w:t>
      </w:r>
      <w:r>
        <w:rPr>
          <w:color w:val="231F20"/>
          <w:spacing w:val="-8"/>
        </w:rPr>
        <w:t> </w:t>
      </w:r>
      <w:r>
        <w:rPr>
          <w:color w:val="231F20"/>
        </w:rPr>
        <w:t>más</w:t>
      </w:r>
      <w:r>
        <w:rPr>
          <w:color w:val="231F20"/>
          <w:spacing w:val="-9"/>
        </w:rPr>
        <w:t> </w:t>
      </w:r>
      <w:r>
        <w:rPr>
          <w:color w:val="231F20"/>
        </w:rPr>
        <w:t>frecuencia</w:t>
      </w:r>
      <w:r>
        <w:rPr>
          <w:color w:val="231F20"/>
          <w:spacing w:val="-9"/>
        </w:rPr>
        <w:t> </w:t>
      </w:r>
      <w:r>
        <w:rPr>
          <w:color w:val="231F20"/>
        </w:rPr>
        <w:t>situaciones</w:t>
      </w:r>
      <w:r>
        <w:rPr>
          <w:color w:val="231F20"/>
          <w:spacing w:val="-9"/>
        </w:rPr>
        <w:t> </w:t>
      </w:r>
      <w:r>
        <w:rPr>
          <w:color w:val="231F20"/>
        </w:rPr>
        <w:t>de</w:t>
      </w:r>
      <w:r>
        <w:rPr>
          <w:color w:val="231F20"/>
          <w:spacing w:val="-9"/>
        </w:rPr>
        <w:t> </w:t>
      </w:r>
      <w:r>
        <w:rPr>
          <w:color w:val="231F20"/>
        </w:rPr>
        <w:t>violencia</w:t>
      </w:r>
      <w:r>
        <w:rPr>
          <w:color w:val="231F20"/>
          <w:spacing w:val="-9"/>
        </w:rPr>
        <w:t> </w:t>
      </w:r>
      <w:r>
        <w:rPr>
          <w:color w:val="231F20"/>
        </w:rPr>
        <w:t>en</w:t>
      </w:r>
      <w:r>
        <w:rPr>
          <w:color w:val="231F20"/>
          <w:spacing w:val="-8"/>
        </w:rPr>
        <w:t> </w:t>
      </w:r>
      <w:r>
        <w:rPr>
          <w:color w:val="231F20"/>
        </w:rPr>
        <w:t>relación</w:t>
      </w:r>
      <w:r>
        <w:rPr>
          <w:color w:val="231F20"/>
          <w:spacing w:val="-8"/>
        </w:rPr>
        <w:t> </w:t>
      </w:r>
      <w:r>
        <w:rPr>
          <w:color w:val="231F20"/>
        </w:rPr>
        <w:t>con</w:t>
      </w:r>
      <w:r>
        <w:rPr>
          <w:color w:val="231F20"/>
          <w:spacing w:val="-8"/>
        </w:rPr>
        <w:t> </w:t>
      </w:r>
      <w:r>
        <w:rPr>
          <w:color w:val="231F20"/>
        </w:rPr>
        <w:t>los varones. En este caso, la quinta parte de las estudiantes encuestadas, repetimos, aseguró haber sido objeto de violencia por parte de sus novios.</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estamos</w:t>
      </w:r>
      <w:r>
        <w:rPr>
          <w:color w:val="231F20"/>
          <w:spacing w:val="-10"/>
        </w:rPr>
        <w:t> </w:t>
      </w:r>
      <w:r>
        <w:rPr>
          <w:color w:val="231F20"/>
        </w:rPr>
        <w:t>frente</w:t>
      </w:r>
      <w:r>
        <w:rPr>
          <w:color w:val="231F20"/>
          <w:spacing w:val="-9"/>
        </w:rPr>
        <w:t> </w:t>
      </w:r>
      <w:r>
        <w:rPr>
          <w:color w:val="231F20"/>
        </w:rPr>
        <w:t>a</w:t>
      </w:r>
      <w:r>
        <w:rPr>
          <w:color w:val="231F20"/>
          <w:spacing w:val="-10"/>
        </w:rPr>
        <w:t> </w:t>
      </w:r>
      <w:r>
        <w:rPr>
          <w:color w:val="231F20"/>
        </w:rPr>
        <w:t>un</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violencia</w:t>
      </w:r>
      <w:r>
        <w:rPr>
          <w:color w:val="231F20"/>
          <w:spacing w:val="-10"/>
        </w:rPr>
        <w:t> </w:t>
      </w:r>
      <w:r>
        <w:rPr>
          <w:color w:val="231F20"/>
        </w:rPr>
        <w:t>de</w:t>
      </w:r>
      <w:r>
        <w:rPr>
          <w:color w:val="231F20"/>
          <w:spacing w:val="-9"/>
        </w:rPr>
        <w:t> </w:t>
      </w:r>
      <w:r>
        <w:rPr>
          <w:color w:val="231F20"/>
        </w:rPr>
        <w:t>género.</w:t>
      </w:r>
    </w:p>
    <w:p>
      <w:pPr>
        <w:pStyle w:val="BodyText"/>
        <w:spacing w:before="10"/>
        <w:rPr>
          <w:sz w:val="20"/>
        </w:rPr>
      </w:pPr>
    </w:p>
    <w:p>
      <w:pPr>
        <w:spacing w:line="242" w:lineRule="auto" w:before="0"/>
        <w:ind w:left="1340" w:right="672" w:hanging="596"/>
        <w:jc w:val="left"/>
        <w:rPr>
          <w:b/>
          <w:sz w:val="19"/>
        </w:rPr>
      </w:pPr>
      <w:r>
        <w:rPr>
          <w:b/>
          <w:color w:val="231F20"/>
          <w:w w:val="105"/>
          <w:sz w:val="19"/>
        </w:rPr>
        <w:t>Cuadro 4. Experiencias de violencia por parte de grupos de compañeros por grupos de edad y sexo</w:t>
      </w:r>
    </w:p>
    <w:p>
      <w:pPr>
        <w:pStyle w:val="BodyText"/>
        <w:spacing w:before="10"/>
        <w:rPr>
          <w:b/>
          <w:sz w:val="20"/>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87"/>
        <w:gridCol w:w="1344"/>
        <w:gridCol w:w="1243"/>
        <w:gridCol w:w="950"/>
        <w:gridCol w:w="1075"/>
      </w:tblGrid>
      <w:tr>
        <w:trPr>
          <w:trHeight w:val="403" w:hRule="exact"/>
        </w:trPr>
        <w:tc>
          <w:tcPr>
            <w:tcW w:w="1387" w:type="dxa"/>
            <w:vMerge w:val="restart"/>
          </w:tcPr>
          <w:p>
            <w:pPr>
              <w:pStyle w:val="TableParagraph"/>
              <w:spacing w:before="10"/>
              <w:ind w:left="0"/>
              <w:rPr>
                <w:b/>
                <w:sz w:val="17"/>
              </w:rPr>
            </w:pPr>
          </w:p>
          <w:p>
            <w:pPr>
              <w:pStyle w:val="TableParagraph"/>
              <w:spacing w:line="307" w:lineRule="auto"/>
              <w:ind w:left="261" w:right="143" w:hanging="113"/>
              <w:rPr>
                <w:b/>
                <w:sz w:val="17"/>
              </w:rPr>
            </w:pPr>
            <w:r>
              <w:rPr>
                <w:b/>
                <w:color w:val="231F20"/>
                <w:w w:val="105"/>
                <w:sz w:val="17"/>
              </w:rPr>
              <w:t>Percepción de la violencia</w:t>
            </w:r>
          </w:p>
        </w:tc>
        <w:tc>
          <w:tcPr>
            <w:tcW w:w="2587" w:type="dxa"/>
            <w:gridSpan w:val="2"/>
          </w:tcPr>
          <w:p>
            <w:pPr>
              <w:pStyle w:val="TableParagraph"/>
              <w:spacing w:before="114"/>
              <w:ind w:left="684"/>
              <w:rPr>
                <w:b/>
                <w:sz w:val="17"/>
              </w:rPr>
            </w:pPr>
            <w:r>
              <w:rPr>
                <w:b/>
                <w:color w:val="231F20"/>
                <w:w w:val="105"/>
                <w:sz w:val="17"/>
              </w:rPr>
              <w:t>Grupos de edad</w:t>
            </w:r>
          </w:p>
        </w:tc>
        <w:tc>
          <w:tcPr>
            <w:tcW w:w="2026" w:type="dxa"/>
            <w:gridSpan w:val="2"/>
          </w:tcPr>
          <w:p>
            <w:pPr>
              <w:pStyle w:val="TableParagraph"/>
              <w:spacing w:before="114"/>
              <w:ind w:left="809" w:right="809"/>
              <w:jc w:val="center"/>
              <w:rPr>
                <w:b/>
                <w:sz w:val="17"/>
              </w:rPr>
            </w:pPr>
            <w:r>
              <w:rPr>
                <w:b/>
                <w:color w:val="231F20"/>
                <w:w w:val="105"/>
                <w:sz w:val="17"/>
              </w:rPr>
              <w:t>Sexo</w:t>
            </w:r>
          </w:p>
        </w:tc>
      </w:tr>
      <w:tr>
        <w:trPr>
          <w:trHeight w:val="432" w:hRule="exact"/>
        </w:trPr>
        <w:tc>
          <w:tcPr>
            <w:tcW w:w="1387" w:type="dxa"/>
            <w:vMerge/>
          </w:tcPr>
          <w:p>
            <w:pPr/>
          </w:p>
        </w:tc>
        <w:tc>
          <w:tcPr>
            <w:tcW w:w="1344" w:type="dxa"/>
          </w:tcPr>
          <w:p>
            <w:pPr>
              <w:pStyle w:val="TableParagraph"/>
              <w:spacing w:before="129"/>
              <w:ind w:left="168" w:right="172"/>
              <w:jc w:val="center"/>
              <w:rPr>
                <w:sz w:val="17"/>
              </w:rPr>
            </w:pPr>
            <w:r>
              <w:rPr>
                <w:color w:val="231F20"/>
                <w:sz w:val="17"/>
              </w:rPr>
              <w:t>Hasta 20 años</w:t>
            </w:r>
          </w:p>
        </w:tc>
        <w:tc>
          <w:tcPr>
            <w:tcW w:w="1243" w:type="dxa"/>
          </w:tcPr>
          <w:p>
            <w:pPr>
              <w:pStyle w:val="TableParagraph"/>
              <w:spacing w:before="129"/>
              <w:ind w:left="111" w:right="113"/>
              <w:jc w:val="center"/>
              <w:rPr>
                <w:sz w:val="17"/>
              </w:rPr>
            </w:pPr>
            <w:r>
              <w:rPr>
                <w:color w:val="231F20"/>
                <w:sz w:val="17"/>
              </w:rPr>
              <w:t>21 años y más</w:t>
            </w:r>
          </w:p>
        </w:tc>
        <w:tc>
          <w:tcPr>
            <w:tcW w:w="950" w:type="dxa"/>
          </w:tcPr>
          <w:p>
            <w:pPr>
              <w:pStyle w:val="TableParagraph"/>
              <w:spacing w:before="129"/>
              <w:ind w:left="187" w:right="188"/>
              <w:jc w:val="center"/>
              <w:rPr>
                <w:sz w:val="17"/>
              </w:rPr>
            </w:pPr>
            <w:r>
              <w:rPr>
                <w:color w:val="231F20"/>
                <w:sz w:val="17"/>
              </w:rPr>
              <w:t>Fem.</w:t>
            </w:r>
          </w:p>
        </w:tc>
        <w:tc>
          <w:tcPr>
            <w:tcW w:w="1075" w:type="dxa"/>
          </w:tcPr>
          <w:p>
            <w:pPr>
              <w:pStyle w:val="TableParagraph"/>
              <w:spacing w:before="129"/>
              <w:ind w:left="0" w:right="330"/>
              <w:jc w:val="right"/>
              <w:rPr>
                <w:sz w:val="17"/>
              </w:rPr>
            </w:pPr>
            <w:r>
              <w:rPr>
                <w:color w:val="231F20"/>
                <w:w w:val="95"/>
                <w:sz w:val="17"/>
              </w:rPr>
              <w:t>Masc.</w:t>
            </w:r>
          </w:p>
        </w:tc>
      </w:tr>
      <w:tr>
        <w:trPr>
          <w:trHeight w:val="259" w:hRule="exact"/>
        </w:trPr>
        <w:tc>
          <w:tcPr>
            <w:tcW w:w="1387" w:type="dxa"/>
          </w:tcPr>
          <w:p>
            <w:pPr>
              <w:pStyle w:val="TableParagraph"/>
              <w:spacing w:before="43"/>
              <w:ind w:left="488" w:right="488"/>
              <w:jc w:val="center"/>
              <w:rPr>
                <w:sz w:val="17"/>
              </w:rPr>
            </w:pPr>
            <w:r>
              <w:rPr>
                <w:color w:val="231F20"/>
                <w:sz w:val="17"/>
              </w:rPr>
              <w:t>Sí</w:t>
            </w:r>
          </w:p>
        </w:tc>
        <w:tc>
          <w:tcPr>
            <w:tcW w:w="1344" w:type="dxa"/>
          </w:tcPr>
          <w:p>
            <w:pPr>
              <w:pStyle w:val="TableParagraph"/>
              <w:spacing w:before="43"/>
              <w:ind w:left="168" w:right="172"/>
              <w:jc w:val="center"/>
              <w:rPr>
                <w:sz w:val="17"/>
              </w:rPr>
            </w:pPr>
            <w:r>
              <w:rPr>
                <w:color w:val="231F20"/>
                <w:sz w:val="17"/>
              </w:rPr>
              <w:t>5.2%</w:t>
            </w:r>
          </w:p>
        </w:tc>
        <w:tc>
          <w:tcPr>
            <w:tcW w:w="1243" w:type="dxa"/>
          </w:tcPr>
          <w:p>
            <w:pPr>
              <w:pStyle w:val="TableParagraph"/>
              <w:spacing w:before="43"/>
              <w:ind w:left="111" w:right="113"/>
              <w:jc w:val="center"/>
              <w:rPr>
                <w:sz w:val="17"/>
              </w:rPr>
            </w:pPr>
            <w:r>
              <w:rPr>
                <w:color w:val="231F20"/>
                <w:sz w:val="17"/>
              </w:rPr>
              <w:t>7.6%</w:t>
            </w:r>
          </w:p>
        </w:tc>
        <w:tc>
          <w:tcPr>
            <w:tcW w:w="950" w:type="dxa"/>
          </w:tcPr>
          <w:p>
            <w:pPr>
              <w:pStyle w:val="TableParagraph"/>
              <w:spacing w:before="43"/>
              <w:ind w:left="187" w:right="189"/>
              <w:jc w:val="center"/>
              <w:rPr>
                <w:sz w:val="17"/>
              </w:rPr>
            </w:pPr>
            <w:r>
              <w:rPr>
                <w:color w:val="231F20"/>
                <w:sz w:val="17"/>
              </w:rPr>
              <w:t>4.9%</w:t>
            </w:r>
          </w:p>
        </w:tc>
        <w:tc>
          <w:tcPr>
            <w:tcW w:w="1075" w:type="dxa"/>
          </w:tcPr>
          <w:p>
            <w:pPr>
              <w:pStyle w:val="TableParagraph"/>
              <w:spacing w:before="43"/>
              <w:ind w:left="0" w:right="355"/>
              <w:jc w:val="right"/>
              <w:rPr>
                <w:sz w:val="17"/>
              </w:rPr>
            </w:pPr>
            <w:r>
              <w:rPr>
                <w:color w:val="231F20"/>
                <w:sz w:val="17"/>
              </w:rPr>
              <w:t>8.8%</w:t>
            </w:r>
          </w:p>
        </w:tc>
      </w:tr>
      <w:tr>
        <w:trPr>
          <w:trHeight w:val="259" w:hRule="exact"/>
        </w:trPr>
        <w:tc>
          <w:tcPr>
            <w:tcW w:w="1387" w:type="dxa"/>
          </w:tcPr>
          <w:p>
            <w:pPr>
              <w:pStyle w:val="TableParagraph"/>
              <w:spacing w:before="43"/>
              <w:ind w:left="489" w:right="487"/>
              <w:jc w:val="center"/>
              <w:rPr>
                <w:sz w:val="17"/>
              </w:rPr>
            </w:pPr>
            <w:r>
              <w:rPr>
                <w:color w:val="231F20"/>
                <w:w w:val="110"/>
                <w:sz w:val="17"/>
              </w:rPr>
              <w:t>No</w:t>
            </w:r>
          </w:p>
        </w:tc>
        <w:tc>
          <w:tcPr>
            <w:tcW w:w="1344" w:type="dxa"/>
          </w:tcPr>
          <w:p>
            <w:pPr>
              <w:pStyle w:val="TableParagraph"/>
              <w:spacing w:before="43"/>
              <w:ind w:left="168" w:right="172"/>
              <w:jc w:val="center"/>
              <w:rPr>
                <w:sz w:val="17"/>
              </w:rPr>
            </w:pPr>
            <w:r>
              <w:rPr>
                <w:color w:val="231F20"/>
                <w:sz w:val="17"/>
              </w:rPr>
              <w:t>94.8%</w:t>
            </w:r>
          </w:p>
        </w:tc>
        <w:tc>
          <w:tcPr>
            <w:tcW w:w="1243" w:type="dxa"/>
          </w:tcPr>
          <w:p>
            <w:pPr>
              <w:pStyle w:val="TableParagraph"/>
              <w:spacing w:before="43"/>
              <w:ind w:left="111" w:right="113"/>
              <w:jc w:val="center"/>
              <w:rPr>
                <w:sz w:val="17"/>
              </w:rPr>
            </w:pPr>
            <w:r>
              <w:rPr>
                <w:color w:val="231F20"/>
                <w:sz w:val="17"/>
              </w:rPr>
              <w:t>92.4%</w:t>
            </w:r>
          </w:p>
        </w:tc>
        <w:tc>
          <w:tcPr>
            <w:tcW w:w="950" w:type="dxa"/>
          </w:tcPr>
          <w:p>
            <w:pPr>
              <w:pStyle w:val="TableParagraph"/>
              <w:spacing w:before="43"/>
              <w:ind w:left="187" w:right="189"/>
              <w:jc w:val="center"/>
              <w:rPr>
                <w:sz w:val="17"/>
              </w:rPr>
            </w:pPr>
            <w:r>
              <w:rPr>
                <w:color w:val="231F20"/>
                <w:sz w:val="17"/>
              </w:rPr>
              <w:t>95.1%</w:t>
            </w:r>
          </w:p>
        </w:tc>
        <w:tc>
          <w:tcPr>
            <w:tcW w:w="1075" w:type="dxa"/>
          </w:tcPr>
          <w:p>
            <w:pPr>
              <w:pStyle w:val="TableParagraph"/>
              <w:spacing w:before="43"/>
              <w:ind w:left="0" w:right="313"/>
              <w:jc w:val="right"/>
              <w:rPr>
                <w:sz w:val="17"/>
              </w:rPr>
            </w:pPr>
            <w:r>
              <w:rPr>
                <w:color w:val="231F20"/>
                <w:w w:val="95"/>
                <w:sz w:val="17"/>
              </w:rPr>
              <w:t>91.2%</w:t>
            </w:r>
          </w:p>
        </w:tc>
      </w:tr>
      <w:tr>
        <w:trPr>
          <w:trHeight w:val="264" w:hRule="exact"/>
        </w:trPr>
        <w:tc>
          <w:tcPr>
            <w:tcW w:w="1387" w:type="dxa"/>
          </w:tcPr>
          <w:p>
            <w:pPr>
              <w:pStyle w:val="TableParagraph"/>
              <w:spacing w:before="47"/>
              <w:ind w:left="489" w:right="488"/>
              <w:jc w:val="center"/>
              <w:rPr>
                <w:sz w:val="17"/>
              </w:rPr>
            </w:pPr>
            <w:r>
              <w:rPr>
                <w:color w:val="231F20"/>
                <w:sz w:val="17"/>
              </w:rPr>
              <w:t>Total</w:t>
            </w:r>
          </w:p>
        </w:tc>
        <w:tc>
          <w:tcPr>
            <w:tcW w:w="1344" w:type="dxa"/>
          </w:tcPr>
          <w:p>
            <w:pPr>
              <w:pStyle w:val="TableParagraph"/>
              <w:spacing w:before="47"/>
              <w:ind w:left="168" w:right="172"/>
              <w:jc w:val="center"/>
              <w:rPr>
                <w:sz w:val="17"/>
              </w:rPr>
            </w:pPr>
            <w:r>
              <w:rPr>
                <w:color w:val="231F20"/>
                <w:sz w:val="17"/>
              </w:rPr>
              <w:t>100.0%</w:t>
            </w:r>
          </w:p>
        </w:tc>
        <w:tc>
          <w:tcPr>
            <w:tcW w:w="1243" w:type="dxa"/>
          </w:tcPr>
          <w:p>
            <w:pPr>
              <w:pStyle w:val="TableParagraph"/>
              <w:spacing w:before="47"/>
              <w:ind w:left="111" w:right="113"/>
              <w:jc w:val="center"/>
              <w:rPr>
                <w:sz w:val="17"/>
              </w:rPr>
            </w:pPr>
            <w:r>
              <w:rPr>
                <w:color w:val="231F20"/>
                <w:sz w:val="17"/>
              </w:rPr>
              <w:t>100.0%</w:t>
            </w:r>
          </w:p>
        </w:tc>
        <w:tc>
          <w:tcPr>
            <w:tcW w:w="950" w:type="dxa"/>
          </w:tcPr>
          <w:p>
            <w:pPr>
              <w:pStyle w:val="TableParagraph"/>
              <w:spacing w:before="47"/>
              <w:ind w:left="187" w:right="189"/>
              <w:jc w:val="center"/>
              <w:rPr>
                <w:sz w:val="17"/>
              </w:rPr>
            </w:pPr>
            <w:r>
              <w:rPr>
                <w:color w:val="231F20"/>
                <w:sz w:val="17"/>
              </w:rPr>
              <w:t>100.0%</w:t>
            </w:r>
          </w:p>
        </w:tc>
        <w:tc>
          <w:tcPr>
            <w:tcW w:w="1075" w:type="dxa"/>
          </w:tcPr>
          <w:p>
            <w:pPr>
              <w:pStyle w:val="TableParagraph"/>
              <w:spacing w:before="47"/>
              <w:ind w:left="0" w:right="271"/>
              <w:jc w:val="right"/>
              <w:rPr>
                <w:sz w:val="17"/>
              </w:rPr>
            </w:pPr>
            <w:r>
              <w:rPr>
                <w:color w:val="231F20"/>
                <w:w w:val="95"/>
                <w:sz w:val="17"/>
              </w:rPr>
              <w:t>100.0%</w:t>
            </w:r>
          </w:p>
        </w:tc>
      </w:tr>
    </w:tbl>
    <w:p>
      <w:pPr>
        <w:pStyle w:val="BodyText"/>
        <w:spacing w:before="5"/>
        <w:rPr>
          <w:b/>
          <w:sz w:val="7"/>
        </w:rPr>
      </w:pPr>
    </w:p>
    <w:p>
      <w:pPr>
        <w:spacing w:line="307" w:lineRule="auto" w:before="77"/>
        <w:ind w:left="222" w:right="969" w:hanging="1"/>
        <w:jc w:val="left"/>
        <w:rPr>
          <w:sz w:val="17"/>
        </w:rPr>
      </w:pPr>
      <w:r>
        <w:rPr>
          <w:color w:val="231F20"/>
          <w:sz w:val="17"/>
        </w:rPr>
        <w:t>Fuente: Encuesta aplicada a los alumnos de nivel superior de la UABJO, junio-septiembre, 2011.</w:t>
      </w:r>
    </w:p>
    <w:p>
      <w:pPr>
        <w:pStyle w:val="BodyText"/>
        <w:spacing w:before="6"/>
        <w:rPr>
          <w:sz w:val="18"/>
        </w:rPr>
      </w:pPr>
    </w:p>
    <w:p>
      <w:pPr>
        <w:pStyle w:val="BodyText"/>
        <w:spacing w:line="249" w:lineRule="auto"/>
        <w:ind w:left="222" w:right="215" w:firstLine="284"/>
        <w:jc w:val="both"/>
      </w:pPr>
      <w:r>
        <w:rPr>
          <w:color w:val="231F20"/>
        </w:rPr>
        <w:t>Todavía</w:t>
      </w:r>
      <w:r>
        <w:rPr>
          <w:color w:val="231F20"/>
          <w:spacing w:val="-8"/>
        </w:rPr>
        <w:t> </w:t>
      </w:r>
      <w:r>
        <w:rPr>
          <w:color w:val="231F20"/>
        </w:rPr>
        <w:t>más</w:t>
      </w:r>
      <w:r>
        <w:rPr>
          <w:color w:val="231F20"/>
          <w:spacing w:val="-8"/>
        </w:rPr>
        <w:t> </w:t>
      </w:r>
      <w:r>
        <w:rPr>
          <w:color w:val="231F20"/>
        </w:rPr>
        <w:t>baja</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violencia</w:t>
      </w:r>
      <w:r>
        <w:rPr>
          <w:color w:val="231F20"/>
          <w:spacing w:val="-8"/>
        </w:rPr>
        <w:t> </w:t>
      </w:r>
      <w:r>
        <w:rPr>
          <w:color w:val="231F20"/>
        </w:rPr>
        <w:t>grupal</w:t>
      </w:r>
      <w:r>
        <w:rPr>
          <w:color w:val="231F20"/>
          <w:spacing w:val="-8"/>
        </w:rPr>
        <w:t> </w:t>
      </w:r>
      <w:r>
        <w:rPr>
          <w:color w:val="231F20"/>
        </w:rPr>
        <w:t>ejercida</w:t>
      </w:r>
      <w:r>
        <w:rPr>
          <w:color w:val="231F20"/>
          <w:spacing w:val="-8"/>
        </w:rPr>
        <w:t> </w:t>
      </w:r>
      <w:r>
        <w:rPr>
          <w:color w:val="231F20"/>
        </w:rPr>
        <w:t>en</w:t>
      </w:r>
      <w:r>
        <w:rPr>
          <w:color w:val="231F20"/>
          <w:spacing w:val="-8"/>
        </w:rPr>
        <w:t> </w:t>
      </w:r>
      <w:r>
        <w:rPr>
          <w:color w:val="231F20"/>
        </w:rPr>
        <w:t>contra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y los alumnos de la universidad. A diferencia de la violencia ejercida por un individuo sobre otro, el grupo más afectado es aquel de más de</w:t>
      </w:r>
      <w:r>
        <w:rPr>
          <w:color w:val="231F20"/>
          <w:spacing w:val="-13"/>
        </w:rPr>
        <w:t> </w:t>
      </w:r>
      <w:r>
        <w:rPr>
          <w:color w:val="231F20"/>
        </w:rPr>
        <w:t>21</w:t>
      </w:r>
      <w:r>
        <w:rPr>
          <w:color w:val="231F20"/>
          <w:spacing w:val="-13"/>
        </w:rPr>
        <w:t> </w:t>
      </w:r>
      <w:r>
        <w:rPr>
          <w:color w:val="231F20"/>
        </w:rPr>
        <w:t>años</w:t>
      </w:r>
      <w:r>
        <w:rPr>
          <w:color w:val="231F20"/>
          <w:spacing w:val="-13"/>
        </w:rPr>
        <w:t> </w:t>
      </w:r>
      <w:r>
        <w:rPr>
          <w:color w:val="231F20"/>
        </w:rPr>
        <w:t>(7.6%),</w:t>
      </w:r>
      <w:r>
        <w:rPr>
          <w:color w:val="231F20"/>
          <w:spacing w:val="-13"/>
        </w:rPr>
        <w:t> </w:t>
      </w:r>
      <w:r>
        <w:rPr>
          <w:color w:val="231F20"/>
        </w:rPr>
        <w:t>así</w:t>
      </w:r>
      <w:r>
        <w:rPr>
          <w:color w:val="231F20"/>
          <w:spacing w:val="-13"/>
        </w:rPr>
        <w:t> </w:t>
      </w:r>
      <w:r>
        <w:rPr>
          <w:color w:val="231F20"/>
        </w:rPr>
        <w:t>como</w:t>
      </w:r>
      <w:r>
        <w:rPr>
          <w:color w:val="231F20"/>
          <w:spacing w:val="-13"/>
        </w:rPr>
        <w:t> </w:t>
      </w:r>
      <w:r>
        <w:rPr>
          <w:color w:val="231F20"/>
        </w:rPr>
        <w:t>los</w:t>
      </w:r>
      <w:r>
        <w:rPr>
          <w:color w:val="231F20"/>
          <w:spacing w:val="-13"/>
        </w:rPr>
        <w:t> </w:t>
      </w:r>
      <w:r>
        <w:rPr>
          <w:color w:val="231F20"/>
        </w:rPr>
        <w:t>varones</w:t>
      </w:r>
      <w:r>
        <w:rPr>
          <w:color w:val="231F20"/>
          <w:spacing w:val="-13"/>
        </w:rPr>
        <w:t> </w:t>
      </w:r>
      <w:r>
        <w:rPr>
          <w:color w:val="231F20"/>
        </w:rPr>
        <w:t>(8.8%).</w:t>
      </w:r>
      <w:r>
        <w:rPr>
          <w:color w:val="231F20"/>
          <w:spacing w:val="-13"/>
        </w:rPr>
        <w:t> </w:t>
      </w:r>
      <w:r>
        <w:rPr>
          <w:color w:val="231F20"/>
        </w:rPr>
        <w:t>Se</w:t>
      </w:r>
      <w:r>
        <w:rPr>
          <w:color w:val="231F20"/>
          <w:spacing w:val="-13"/>
        </w:rPr>
        <w:t> </w:t>
      </w:r>
      <w:r>
        <w:rPr>
          <w:color w:val="231F20"/>
        </w:rPr>
        <w:t>trata,</w:t>
      </w:r>
      <w:r>
        <w:rPr>
          <w:color w:val="231F20"/>
          <w:spacing w:val="-13"/>
        </w:rPr>
        <w:t> </w:t>
      </w:r>
      <w:r>
        <w:rPr>
          <w:color w:val="231F20"/>
        </w:rPr>
        <w:t>posiblemen- te, de conflictos por conquista, por situaciones de control social, personalidades u opiniones contrapuestas; son espacios de “masculi- nidad”, por lo cual, los conflictos ocurren más entre estudiantes avanzados</w:t>
      </w:r>
      <w:r>
        <w:rPr>
          <w:color w:val="231F20"/>
          <w:spacing w:val="-11"/>
        </w:rPr>
        <w:t> </w:t>
      </w:r>
      <w:r>
        <w:rPr>
          <w:color w:val="231F20"/>
        </w:rPr>
        <w:t>y</w:t>
      </w:r>
      <w:r>
        <w:rPr>
          <w:color w:val="231F20"/>
          <w:spacing w:val="-10"/>
        </w:rPr>
        <w:t> </w:t>
      </w:r>
      <w:r>
        <w:rPr>
          <w:color w:val="231F20"/>
        </w:rPr>
        <w:t>entre</w:t>
      </w:r>
      <w:r>
        <w:rPr>
          <w:color w:val="231F20"/>
          <w:spacing w:val="-10"/>
        </w:rPr>
        <w:t> </w:t>
      </w:r>
      <w:r>
        <w:rPr>
          <w:color w:val="231F20"/>
        </w:rPr>
        <w:t>hombres,</w:t>
      </w:r>
      <w:r>
        <w:rPr>
          <w:color w:val="231F20"/>
          <w:spacing w:val="-11"/>
        </w:rPr>
        <w:t> </w:t>
      </w:r>
      <w:r>
        <w:rPr>
          <w:color w:val="231F20"/>
        </w:rPr>
        <w:t>más</w:t>
      </w:r>
      <w:r>
        <w:rPr>
          <w:color w:val="231F20"/>
          <w:spacing w:val="-11"/>
        </w:rPr>
        <w:t> </w:t>
      </w:r>
      <w:r>
        <w:rPr>
          <w:color w:val="231F20"/>
        </w:rPr>
        <w:t>que</w:t>
      </w:r>
      <w:r>
        <w:rPr>
          <w:color w:val="231F20"/>
          <w:spacing w:val="-10"/>
        </w:rPr>
        <w:t> </w:t>
      </w:r>
      <w:r>
        <w:rPr>
          <w:color w:val="231F20"/>
        </w:rPr>
        <w:t>en</w:t>
      </w:r>
      <w:r>
        <w:rPr>
          <w:color w:val="231F20"/>
          <w:spacing w:val="-10"/>
        </w:rPr>
        <w:t> </w:t>
      </w:r>
      <w:r>
        <w:rPr>
          <w:color w:val="231F20"/>
        </w:rPr>
        <w:t>las</w:t>
      </w:r>
      <w:r>
        <w:rPr>
          <w:color w:val="231F20"/>
          <w:spacing w:val="-11"/>
        </w:rPr>
        <w:t> </w:t>
      </w:r>
      <w:r>
        <w:rPr>
          <w:color w:val="231F20"/>
        </w:rPr>
        <w:t>mujeres.</w:t>
      </w:r>
    </w:p>
    <w:p>
      <w:pPr>
        <w:pStyle w:val="BodyText"/>
        <w:spacing w:before="1"/>
        <w:rPr>
          <w:sz w:val="23"/>
        </w:rPr>
      </w:pPr>
    </w:p>
    <w:p>
      <w:pPr>
        <w:spacing w:line="273" w:lineRule="auto" w:before="1"/>
        <w:ind w:left="2009" w:right="671" w:hanging="1242"/>
        <w:jc w:val="left"/>
        <w:rPr>
          <w:b/>
          <w:sz w:val="19"/>
        </w:rPr>
      </w:pPr>
      <w:r>
        <w:rPr>
          <w:b/>
          <w:color w:val="231F20"/>
          <w:w w:val="105"/>
          <w:sz w:val="19"/>
        </w:rPr>
        <w:t>Cuadro 5. Experiencias de violencia por parte de porros por grupos de edad y sexo</w:t>
      </w:r>
    </w:p>
    <w:p>
      <w:pPr>
        <w:pStyle w:val="BodyText"/>
        <w:spacing w:before="5"/>
        <w:rPr>
          <w:b/>
          <w:sz w:val="8"/>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74"/>
        <w:gridCol w:w="1176"/>
        <w:gridCol w:w="1234"/>
        <w:gridCol w:w="1008"/>
        <w:gridCol w:w="1008"/>
      </w:tblGrid>
      <w:tr>
        <w:trPr>
          <w:trHeight w:val="350" w:hRule="exact"/>
        </w:trPr>
        <w:tc>
          <w:tcPr>
            <w:tcW w:w="1574" w:type="dxa"/>
            <w:vMerge w:val="restart"/>
          </w:tcPr>
          <w:p>
            <w:pPr>
              <w:pStyle w:val="TableParagraph"/>
              <w:spacing w:before="8"/>
              <w:ind w:left="0"/>
              <w:rPr>
                <w:b/>
                <w:sz w:val="18"/>
              </w:rPr>
            </w:pPr>
          </w:p>
          <w:p>
            <w:pPr>
              <w:pStyle w:val="TableParagraph"/>
              <w:spacing w:line="312" w:lineRule="auto"/>
              <w:ind w:left="443" w:right="107" w:hanging="324"/>
              <w:rPr>
                <w:b/>
                <w:sz w:val="17"/>
              </w:rPr>
            </w:pPr>
            <w:r>
              <w:rPr>
                <w:b/>
                <w:color w:val="231F20"/>
                <w:w w:val="105"/>
                <w:sz w:val="17"/>
              </w:rPr>
              <w:t>Experiencia de la violencia</w:t>
            </w:r>
          </w:p>
        </w:tc>
        <w:tc>
          <w:tcPr>
            <w:tcW w:w="2410" w:type="dxa"/>
            <w:gridSpan w:val="2"/>
          </w:tcPr>
          <w:p>
            <w:pPr>
              <w:pStyle w:val="TableParagraph"/>
              <w:spacing w:before="86"/>
              <w:ind w:left="596"/>
              <w:rPr>
                <w:b/>
                <w:sz w:val="17"/>
              </w:rPr>
            </w:pPr>
            <w:r>
              <w:rPr>
                <w:b/>
                <w:color w:val="231F20"/>
                <w:w w:val="105"/>
                <w:sz w:val="17"/>
              </w:rPr>
              <w:t>Grupos de edad</w:t>
            </w:r>
          </w:p>
        </w:tc>
        <w:tc>
          <w:tcPr>
            <w:tcW w:w="2016" w:type="dxa"/>
            <w:gridSpan w:val="2"/>
          </w:tcPr>
          <w:p>
            <w:pPr>
              <w:pStyle w:val="TableParagraph"/>
              <w:spacing w:before="86"/>
              <w:ind w:left="804" w:right="804"/>
              <w:jc w:val="center"/>
              <w:rPr>
                <w:b/>
                <w:sz w:val="17"/>
              </w:rPr>
            </w:pPr>
            <w:r>
              <w:rPr>
                <w:b/>
                <w:color w:val="231F20"/>
                <w:w w:val="105"/>
                <w:sz w:val="17"/>
              </w:rPr>
              <w:t>Sexo</w:t>
            </w:r>
          </w:p>
        </w:tc>
      </w:tr>
      <w:tr>
        <w:trPr>
          <w:trHeight w:val="509" w:hRule="exact"/>
        </w:trPr>
        <w:tc>
          <w:tcPr>
            <w:tcW w:w="1574" w:type="dxa"/>
            <w:vMerge/>
          </w:tcPr>
          <w:p>
            <w:pPr/>
          </w:p>
        </w:tc>
        <w:tc>
          <w:tcPr>
            <w:tcW w:w="1176" w:type="dxa"/>
          </w:tcPr>
          <w:p>
            <w:pPr>
              <w:pStyle w:val="TableParagraph"/>
              <w:spacing w:line="307" w:lineRule="auto" w:before="43"/>
              <w:ind w:left="419" w:right="274" w:hanging="147"/>
              <w:rPr>
                <w:sz w:val="17"/>
              </w:rPr>
            </w:pPr>
            <w:r>
              <w:rPr>
                <w:color w:val="231F20"/>
                <w:sz w:val="17"/>
              </w:rPr>
              <w:t>Hasta 20 años</w:t>
            </w:r>
          </w:p>
        </w:tc>
        <w:tc>
          <w:tcPr>
            <w:tcW w:w="1234" w:type="dxa"/>
          </w:tcPr>
          <w:p>
            <w:pPr>
              <w:pStyle w:val="TableParagraph"/>
              <w:spacing w:before="6"/>
              <w:ind w:left="0"/>
              <w:rPr>
                <w:b/>
                <w:sz w:val="14"/>
              </w:rPr>
            </w:pPr>
          </w:p>
          <w:p>
            <w:pPr>
              <w:pStyle w:val="TableParagraph"/>
              <w:ind w:left="107" w:right="109"/>
              <w:jc w:val="center"/>
              <w:rPr>
                <w:sz w:val="17"/>
              </w:rPr>
            </w:pPr>
            <w:r>
              <w:rPr>
                <w:color w:val="231F20"/>
                <w:sz w:val="17"/>
              </w:rPr>
              <w:t>21 años y más</w:t>
            </w:r>
          </w:p>
        </w:tc>
        <w:tc>
          <w:tcPr>
            <w:tcW w:w="1008" w:type="dxa"/>
          </w:tcPr>
          <w:p>
            <w:pPr>
              <w:pStyle w:val="TableParagraph"/>
              <w:spacing w:before="6"/>
              <w:ind w:left="0"/>
              <w:rPr>
                <w:b/>
                <w:sz w:val="14"/>
              </w:rPr>
            </w:pPr>
          </w:p>
          <w:p>
            <w:pPr>
              <w:pStyle w:val="TableParagraph"/>
              <w:ind w:left="0" w:right="322"/>
              <w:jc w:val="right"/>
              <w:rPr>
                <w:sz w:val="17"/>
              </w:rPr>
            </w:pPr>
            <w:r>
              <w:rPr>
                <w:color w:val="231F20"/>
                <w:sz w:val="17"/>
              </w:rPr>
              <w:t>Fem.</w:t>
            </w:r>
          </w:p>
        </w:tc>
        <w:tc>
          <w:tcPr>
            <w:tcW w:w="1008" w:type="dxa"/>
          </w:tcPr>
          <w:p>
            <w:pPr>
              <w:pStyle w:val="TableParagraph"/>
              <w:spacing w:before="6"/>
              <w:ind w:left="0"/>
              <w:rPr>
                <w:b/>
                <w:sz w:val="14"/>
              </w:rPr>
            </w:pPr>
          </w:p>
          <w:p>
            <w:pPr>
              <w:pStyle w:val="TableParagraph"/>
              <w:ind w:left="216" w:right="217"/>
              <w:jc w:val="center"/>
              <w:rPr>
                <w:sz w:val="17"/>
              </w:rPr>
            </w:pPr>
            <w:r>
              <w:rPr>
                <w:color w:val="231F20"/>
                <w:sz w:val="17"/>
              </w:rPr>
              <w:t>Mas.</w:t>
            </w:r>
          </w:p>
        </w:tc>
      </w:tr>
      <w:tr>
        <w:trPr>
          <w:trHeight w:val="259" w:hRule="exact"/>
        </w:trPr>
        <w:tc>
          <w:tcPr>
            <w:tcW w:w="1574" w:type="dxa"/>
          </w:tcPr>
          <w:p>
            <w:pPr>
              <w:pStyle w:val="TableParagraph"/>
              <w:spacing w:before="43"/>
              <w:ind w:left="583" w:right="583"/>
              <w:jc w:val="center"/>
              <w:rPr>
                <w:sz w:val="17"/>
              </w:rPr>
            </w:pPr>
            <w:r>
              <w:rPr>
                <w:color w:val="231F20"/>
                <w:sz w:val="17"/>
              </w:rPr>
              <w:t>Sí</w:t>
            </w:r>
          </w:p>
        </w:tc>
        <w:tc>
          <w:tcPr>
            <w:tcW w:w="1176" w:type="dxa"/>
          </w:tcPr>
          <w:p>
            <w:pPr>
              <w:pStyle w:val="TableParagraph"/>
              <w:spacing w:before="43"/>
              <w:ind w:left="361" w:right="58"/>
              <w:rPr>
                <w:sz w:val="17"/>
              </w:rPr>
            </w:pPr>
            <w:r>
              <w:rPr>
                <w:color w:val="231F20"/>
                <w:sz w:val="17"/>
              </w:rPr>
              <w:t>29.6%</w:t>
            </w:r>
          </w:p>
        </w:tc>
        <w:tc>
          <w:tcPr>
            <w:tcW w:w="1234" w:type="dxa"/>
          </w:tcPr>
          <w:p>
            <w:pPr>
              <w:pStyle w:val="TableParagraph"/>
              <w:spacing w:before="43"/>
              <w:ind w:left="106" w:right="109"/>
              <w:jc w:val="center"/>
              <w:rPr>
                <w:sz w:val="17"/>
              </w:rPr>
            </w:pPr>
            <w:r>
              <w:rPr>
                <w:color w:val="231F20"/>
                <w:sz w:val="17"/>
              </w:rPr>
              <w:t>30.9%</w:t>
            </w:r>
          </w:p>
        </w:tc>
        <w:tc>
          <w:tcPr>
            <w:tcW w:w="1008" w:type="dxa"/>
          </w:tcPr>
          <w:p>
            <w:pPr>
              <w:pStyle w:val="TableParagraph"/>
              <w:spacing w:before="43"/>
              <w:ind w:left="0" w:right="279"/>
              <w:jc w:val="right"/>
              <w:rPr>
                <w:sz w:val="17"/>
              </w:rPr>
            </w:pPr>
            <w:r>
              <w:rPr>
                <w:color w:val="231F20"/>
                <w:w w:val="95"/>
                <w:sz w:val="17"/>
              </w:rPr>
              <w:t>30.9%</w:t>
            </w:r>
          </w:p>
        </w:tc>
        <w:tc>
          <w:tcPr>
            <w:tcW w:w="1008" w:type="dxa"/>
          </w:tcPr>
          <w:p>
            <w:pPr>
              <w:pStyle w:val="TableParagraph"/>
              <w:spacing w:before="43"/>
              <w:ind w:left="216" w:right="218"/>
              <w:jc w:val="center"/>
              <w:rPr>
                <w:sz w:val="17"/>
              </w:rPr>
            </w:pPr>
            <w:r>
              <w:rPr>
                <w:color w:val="231F20"/>
                <w:sz w:val="17"/>
              </w:rPr>
              <w:t>31.3%</w:t>
            </w:r>
          </w:p>
        </w:tc>
      </w:tr>
      <w:tr>
        <w:trPr>
          <w:trHeight w:val="259" w:hRule="exact"/>
        </w:trPr>
        <w:tc>
          <w:tcPr>
            <w:tcW w:w="1574" w:type="dxa"/>
          </w:tcPr>
          <w:p>
            <w:pPr>
              <w:pStyle w:val="TableParagraph"/>
              <w:spacing w:before="43"/>
              <w:ind w:left="583" w:right="583"/>
              <w:jc w:val="center"/>
              <w:rPr>
                <w:sz w:val="17"/>
              </w:rPr>
            </w:pPr>
            <w:r>
              <w:rPr>
                <w:color w:val="231F20"/>
                <w:w w:val="110"/>
                <w:sz w:val="17"/>
              </w:rPr>
              <w:t>No</w:t>
            </w:r>
          </w:p>
        </w:tc>
        <w:tc>
          <w:tcPr>
            <w:tcW w:w="1176" w:type="dxa"/>
          </w:tcPr>
          <w:p>
            <w:pPr>
              <w:pStyle w:val="TableParagraph"/>
              <w:spacing w:before="43"/>
              <w:ind w:left="361" w:right="58"/>
              <w:rPr>
                <w:sz w:val="17"/>
              </w:rPr>
            </w:pPr>
            <w:r>
              <w:rPr>
                <w:color w:val="231F20"/>
                <w:sz w:val="17"/>
              </w:rPr>
              <w:t>70.4%</w:t>
            </w:r>
          </w:p>
        </w:tc>
        <w:tc>
          <w:tcPr>
            <w:tcW w:w="1234" w:type="dxa"/>
          </w:tcPr>
          <w:p>
            <w:pPr>
              <w:pStyle w:val="TableParagraph"/>
              <w:spacing w:before="43"/>
              <w:ind w:left="106" w:right="109"/>
              <w:jc w:val="center"/>
              <w:rPr>
                <w:sz w:val="17"/>
              </w:rPr>
            </w:pPr>
            <w:r>
              <w:rPr>
                <w:color w:val="231F20"/>
                <w:sz w:val="17"/>
              </w:rPr>
              <w:t>69.1%</w:t>
            </w:r>
          </w:p>
        </w:tc>
        <w:tc>
          <w:tcPr>
            <w:tcW w:w="1008" w:type="dxa"/>
          </w:tcPr>
          <w:p>
            <w:pPr>
              <w:pStyle w:val="TableParagraph"/>
              <w:spacing w:before="43"/>
              <w:ind w:left="0" w:right="279"/>
              <w:jc w:val="right"/>
              <w:rPr>
                <w:sz w:val="17"/>
              </w:rPr>
            </w:pPr>
            <w:r>
              <w:rPr>
                <w:color w:val="231F20"/>
                <w:w w:val="95"/>
                <w:sz w:val="17"/>
              </w:rPr>
              <w:t>69.1%</w:t>
            </w:r>
          </w:p>
        </w:tc>
        <w:tc>
          <w:tcPr>
            <w:tcW w:w="1008" w:type="dxa"/>
          </w:tcPr>
          <w:p>
            <w:pPr>
              <w:pStyle w:val="TableParagraph"/>
              <w:spacing w:before="43"/>
              <w:ind w:left="216" w:right="218"/>
              <w:jc w:val="center"/>
              <w:rPr>
                <w:sz w:val="17"/>
              </w:rPr>
            </w:pPr>
            <w:r>
              <w:rPr>
                <w:color w:val="231F20"/>
                <w:sz w:val="17"/>
              </w:rPr>
              <w:t>68.7%</w:t>
            </w:r>
          </w:p>
        </w:tc>
      </w:tr>
      <w:tr>
        <w:trPr>
          <w:trHeight w:val="264" w:hRule="exact"/>
        </w:trPr>
        <w:tc>
          <w:tcPr>
            <w:tcW w:w="1574" w:type="dxa"/>
          </w:tcPr>
          <w:p>
            <w:pPr>
              <w:pStyle w:val="TableParagraph"/>
              <w:spacing w:before="43"/>
              <w:ind w:left="583" w:right="583"/>
              <w:jc w:val="center"/>
              <w:rPr>
                <w:sz w:val="17"/>
              </w:rPr>
            </w:pPr>
            <w:r>
              <w:rPr>
                <w:color w:val="231F20"/>
                <w:sz w:val="17"/>
              </w:rPr>
              <w:t>Total</w:t>
            </w:r>
          </w:p>
        </w:tc>
        <w:tc>
          <w:tcPr>
            <w:tcW w:w="1176" w:type="dxa"/>
          </w:tcPr>
          <w:p>
            <w:pPr>
              <w:pStyle w:val="TableParagraph"/>
              <w:spacing w:before="43"/>
              <w:ind w:left="318" w:right="58"/>
              <w:rPr>
                <w:sz w:val="17"/>
              </w:rPr>
            </w:pPr>
            <w:r>
              <w:rPr>
                <w:color w:val="231F20"/>
                <w:sz w:val="17"/>
              </w:rPr>
              <w:t>100.0%</w:t>
            </w:r>
          </w:p>
        </w:tc>
        <w:tc>
          <w:tcPr>
            <w:tcW w:w="1234" w:type="dxa"/>
          </w:tcPr>
          <w:p>
            <w:pPr>
              <w:pStyle w:val="TableParagraph"/>
              <w:spacing w:before="43"/>
              <w:ind w:left="106" w:right="109"/>
              <w:jc w:val="center"/>
              <w:rPr>
                <w:sz w:val="17"/>
              </w:rPr>
            </w:pPr>
            <w:r>
              <w:rPr>
                <w:color w:val="231F20"/>
                <w:sz w:val="17"/>
              </w:rPr>
              <w:t>100.0%</w:t>
            </w:r>
          </w:p>
        </w:tc>
        <w:tc>
          <w:tcPr>
            <w:tcW w:w="1008" w:type="dxa"/>
          </w:tcPr>
          <w:p>
            <w:pPr>
              <w:pStyle w:val="TableParagraph"/>
              <w:spacing w:before="43"/>
              <w:ind w:left="0" w:right="237"/>
              <w:jc w:val="right"/>
              <w:rPr>
                <w:sz w:val="17"/>
              </w:rPr>
            </w:pPr>
            <w:r>
              <w:rPr>
                <w:color w:val="231F20"/>
                <w:w w:val="95"/>
                <w:sz w:val="17"/>
              </w:rPr>
              <w:t>100.0%</w:t>
            </w:r>
          </w:p>
        </w:tc>
        <w:tc>
          <w:tcPr>
            <w:tcW w:w="1008" w:type="dxa"/>
          </w:tcPr>
          <w:p>
            <w:pPr>
              <w:pStyle w:val="TableParagraph"/>
              <w:spacing w:before="43"/>
              <w:ind w:left="216" w:right="218"/>
              <w:jc w:val="center"/>
              <w:rPr>
                <w:sz w:val="17"/>
              </w:rPr>
            </w:pPr>
            <w:r>
              <w:rPr>
                <w:color w:val="231F20"/>
                <w:sz w:val="17"/>
              </w:rPr>
              <w:t>100.0%</w:t>
            </w:r>
          </w:p>
        </w:tc>
      </w:tr>
    </w:tbl>
    <w:p>
      <w:pPr>
        <w:pStyle w:val="BodyText"/>
        <w:spacing w:before="5"/>
        <w:rPr>
          <w:b/>
          <w:sz w:val="7"/>
        </w:rPr>
      </w:pPr>
    </w:p>
    <w:p>
      <w:pPr>
        <w:spacing w:line="307" w:lineRule="auto" w:before="78"/>
        <w:ind w:left="222" w:right="969" w:hanging="1"/>
        <w:jc w:val="left"/>
        <w:rPr>
          <w:sz w:val="17"/>
        </w:rPr>
      </w:pPr>
      <w:r>
        <w:rPr>
          <w:color w:val="231F20"/>
          <w:sz w:val="17"/>
        </w:rPr>
        <w:t>Fuente: Encuesta aplicada a los alumnos de nivel superior de la UABJO, junio-septiembre, 2011.</w:t>
      </w:r>
    </w:p>
    <w:p>
      <w:pPr>
        <w:spacing w:after="0" w:line="307" w:lineRule="auto"/>
        <w:jc w:val="left"/>
        <w:rPr>
          <w:sz w:val="17"/>
        </w:rPr>
        <w:sectPr>
          <w:headerReference w:type="default" r:id="rId785"/>
          <w:footerReference w:type="default" r:id="rId786"/>
          <w:pgSz w:w="7830" w:h="11910"/>
          <w:pgMar w:header="0" w:footer="424" w:top="500" w:bottom="620" w:left="800" w:right="800"/>
          <w:pgNumType w:start="35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7" w:firstLine="284"/>
        <w:jc w:val="both"/>
      </w:pPr>
      <w:r>
        <w:rPr>
          <w:color w:val="231F20"/>
        </w:rPr>
        <w:t>Imanol Ordorika (2008) aborda el tema del porrismo en las Uni- versidades Mexicanas. Para él, este fenómeno tiene sus orígenes en 1933, “cuando los grupos católicos y conservadores opositores al régimen tomaron el control de la UNAM y de otras instituciones de educación</w:t>
      </w:r>
      <w:r>
        <w:rPr>
          <w:color w:val="231F20"/>
          <w:spacing w:val="-5"/>
        </w:rPr>
        <w:t> </w:t>
      </w:r>
      <w:r>
        <w:rPr>
          <w:color w:val="231F20"/>
        </w:rPr>
        <w:t>superior</w:t>
      </w:r>
      <w:r>
        <w:rPr>
          <w:color w:val="231F20"/>
          <w:spacing w:val="-6"/>
        </w:rPr>
        <w:t> </w:t>
      </w:r>
      <w:r>
        <w:rPr>
          <w:color w:val="231F20"/>
        </w:rPr>
        <w:t>(…)</w:t>
      </w:r>
      <w:r>
        <w:rPr>
          <w:color w:val="231F20"/>
          <w:spacing w:val="-6"/>
        </w:rPr>
        <w:t> </w:t>
      </w:r>
      <w:r>
        <w:rPr>
          <w:color w:val="231F20"/>
        </w:rPr>
        <w:t>desde</w:t>
      </w:r>
      <w:r>
        <w:rPr>
          <w:color w:val="231F20"/>
          <w:spacing w:val="-5"/>
        </w:rPr>
        <w:t> </w:t>
      </w:r>
      <w:r>
        <w:rPr>
          <w:color w:val="231F20"/>
        </w:rPr>
        <w:t>las</w:t>
      </w:r>
      <w:r>
        <w:rPr>
          <w:color w:val="231F20"/>
          <w:spacing w:val="-6"/>
        </w:rPr>
        <w:t> </w:t>
      </w:r>
      <w:r>
        <w:rPr>
          <w:color w:val="231F20"/>
        </w:rPr>
        <w:t>administraciones</w:t>
      </w:r>
      <w:r>
        <w:rPr>
          <w:color w:val="231F20"/>
          <w:spacing w:val="-6"/>
        </w:rPr>
        <w:t> </w:t>
      </w:r>
      <w:r>
        <w:rPr>
          <w:color w:val="231F20"/>
        </w:rPr>
        <w:t>de</w:t>
      </w:r>
      <w:r>
        <w:rPr>
          <w:color w:val="231F20"/>
          <w:spacing w:val="-5"/>
        </w:rPr>
        <w:t> </w:t>
      </w:r>
      <w:r>
        <w:rPr>
          <w:color w:val="231F20"/>
        </w:rPr>
        <w:t>estas</w:t>
      </w:r>
      <w:r>
        <w:rPr>
          <w:color w:val="231F20"/>
          <w:spacing w:val="-6"/>
        </w:rPr>
        <w:t> </w:t>
      </w:r>
      <w:r>
        <w:rPr>
          <w:color w:val="231F20"/>
        </w:rPr>
        <w:t>universi- dades, promovieron una práctica sistemática de violencia, amedren- tamiento y exclusión a partir de agrupaciones estudiantiles” (Ordori- ka, 2008: 461). Este describe la forma en que el porrismo se ha ex- presado desde 1933 hasta nuestros días, enfatiza que la forma de actuar de los porros es diferente en cada época. Para este autor, el porrismo está vinculado “a la dinámica del movimiento estudiantil popular,</w:t>
      </w:r>
      <w:r>
        <w:rPr>
          <w:color w:val="231F20"/>
          <w:spacing w:val="-10"/>
        </w:rPr>
        <w:t> </w:t>
      </w:r>
      <w:r>
        <w:rPr>
          <w:color w:val="231F20"/>
        </w:rPr>
        <w:t>con</w:t>
      </w:r>
      <w:r>
        <w:rPr>
          <w:color w:val="231F20"/>
          <w:spacing w:val="-9"/>
        </w:rPr>
        <w:t> </w:t>
      </w:r>
      <w:r>
        <w:rPr>
          <w:color w:val="231F20"/>
        </w:rPr>
        <w:t>el</w:t>
      </w:r>
      <w:r>
        <w:rPr>
          <w:color w:val="231F20"/>
          <w:spacing w:val="-10"/>
        </w:rPr>
        <w:t> </w:t>
      </w:r>
      <w:r>
        <w:rPr>
          <w:color w:val="231F20"/>
        </w:rPr>
        <w:t>fin</w:t>
      </w:r>
      <w:r>
        <w:rPr>
          <w:color w:val="231F20"/>
          <w:spacing w:val="-9"/>
        </w:rPr>
        <w:t> </w:t>
      </w:r>
      <w:r>
        <w:rPr>
          <w:color w:val="231F20"/>
        </w:rPr>
        <w:t>de</w:t>
      </w:r>
      <w:r>
        <w:rPr>
          <w:color w:val="231F20"/>
          <w:spacing w:val="-9"/>
        </w:rPr>
        <w:t> </w:t>
      </w:r>
      <w:r>
        <w:rPr>
          <w:color w:val="231F20"/>
        </w:rPr>
        <w:t>controlarlo,</w:t>
      </w:r>
      <w:r>
        <w:rPr>
          <w:color w:val="231F20"/>
          <w:spacing w:val="-10"/>
        </w:rPr>
        <w:t> </w:t>
      </w:r>
      <w:r>
        <w:rPr>
          <w:color w:val="231F20"/>
        </w:rPr>
        <w:t>golpearlo,</w:t>
      </w:r>
      <w:r>
        <w:rPr>
          <w:color w:val="231F20"/>
          <w:spacing w:val="-10"/>
        </w:rPr>
        <w:t> </w:t>
      </w:r>
      <w:r>
        <w:rPr>
          <w:color w:val="231F20"/>
        </w:rPr>
        <w:t>debilitarlo</w:t>
      </w:r>
      <w:r>
        <w:rPr>
          <w:color w:val="231F20"/>
          <w:spacing w:val="-9"/>
        </w:rPr>
        <w:t> </w:t>
      </w:r>
      <w:r>
        <w:rPr>
          <w:color w:val="231F20"/>
        </w:rPr>
        <w:t>o</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defec- to exterminarlo” (Ordorika, 2008: 461). Concibe al porrismo como una manifestación de delincuencia común en escuelas o facultades, que</w:t>
      </w:r>
      <w:r>
        <w:rPr>
          <w:color w:val="231F20"/>
          <w:spacing w:val="-10"/>
        </w:rPr>
        <w:t> </w:t>
      </w:r>
      <w:r>
        <w:rPr>
          <w:color w:val="231F20"/>
        </w:rPr>
        <w:t>en</w:t>
      </w:r>
      <w:r>
        <w:rPr>
          <w:color w:val="231F20"/>
          <w:spacing w:val="-9"/>
        </w:rPr>
        <w:t> </w:t>
      </w:r>
      <w:r>
        <w:rPr>
          <w:color w:val="231F20"/>
        </w:rPr>
        <w:t>ocasiones</w:t>
      </w:r>
      <w:r>
        <w:rPr>
          <w:color w:val="231F20"/>
          <w:spacing w:val="-10"/>
        </w:rPr>
        <w:t> </w:t>
      </w:r>
      <w:r>
        <w:rPr>
          <w:color w:val="231F20"/>
        </w:rPr>
        <w:t>está</w:t>
      </w:r>
      <w:r>
        <w:rPr>
          <w:color w:val="231F20"/>
          <w:spacing w:val="-10"/>
        </w:rPr>
        <w:t> </w:t>
      </w:r>
      <w:r>
        <w:rPr>
          <w:color w:val="231F20"/>
        </w:rPr>
        <w:t>vinculada</w:t>
      </w:r>
      <w:r>
        <w:rPr>
          <w:color w:val="231F20"/>
          <w:spacing w:val="-10"/>
        </w:rPr>
        <w:t> </w:t>
      </w:r>
      <w:r>
        <w:rPr>
          <w:color w:val="231F20"/>
        </w:rPr>
        <w:t>con</w:t>
      </w:r>
      <w:r>
        <w:rPr>
          <w:color w:val="231F20"/>
          <w:spacing w:val="-9"/>
        </w:rPr>
        <w:t> </w:t>
      </w:r>
      <w:r>
        <w:rPr>
          <w:color w:val="231F20"/>
        </w:rPr>
        <w:t>el</w:t>
      </w:r>
      <w:r>
        <w:rPr>
          <w:color w:val="231F20"/>
          <w:spacing w:val="-10"/>
        </w:rPr>
        <w:t> </w:t>
      </w:r>
      <w:r>
        <w:rPr>
          <w:color w:val="231F20"/>
        </w:rPr>
        <w:t>ejercicio</w:t>
      </w:r>
      <w:r>
        <w:rPr>
          <w:color w:val="231F20"/>
          <w:spacing w:val="-9"/>
        </w:rPr>
        <w:t> </w:t>
      </w:r>
      <w:r>
        <w:rPr>
          <w:color w:val="231F20"/>
        </w:rPr>
        <w:t>del</w:t>
      </w:r>
      <w:r>
        <w:rPr>
          <w:color w:val="231F20"/>
          <w:spacing w:val="-10"/>
        </w:rPr>
        <w:t> </w:t>
      </w:r>
      <w:r>
        <w:rPr>
          <w:color w:val="231F20"/>
        </w:rPr>
        <w:t>poder</w:t>
      </w:r>
      <w:r>
        <w:rPr>
          <w:color w:val="231F20"/>
          <w:spacing w:val="-10"/>
        </w:rPr>
        <w:t> </w:t>
      </w:r>
      <w:r>
        <w:rPr>
          <w:color w:val="231F20"/>
        </w:rPr>
        <w:t>en</w:t>
      </w:r>
      <w:r>
        <w:rPr>
          <w:color w:val="231F20"/>
          <w:spacing w:val="-9"/>
        </w:rPr>
        <w:t> </w:t>
      </w:r>
      <w:r>
        <w:rPr>
          <w:color w:val="231F20"/>
        </w:rPr>
        <w:t>las</w:t>
      </w:r>
      <w:r>
        <w:rPr>
          <w:color w:val="231F20"/>
          <w:spacing w:val="-10"/>
        </w:rPr>
        <w:t> </w:t>
      </w:r>
      <w:r>
        <w:rPr>
          <w:color w:val="231F20"/>
        </w:rPr>
        <w:t>insti- tuciones</w:t>
      </w:r>
      <w:r>
        <w:rPr>
          <w:color w:val="231F20"/>
          <w:spacing w:val="-15"/>
        </w:rPr>
        <w:t> </w:t>
      </w:r>
      <w:r>
        <w:rPr>
          <w:color w:val="231F20"/>
        </w:rPr>
        <w:t>de</w:t>
      </w:r>
      <w:r>
        <w:rPr>
          <w:color w:val="231F20"/>
          <w:spacing w:val="-15"/>
        </w:rPr>
        <w:t> </w:t>
      </w:r>
      <w:r>
        <w:rPr>
          <w:color w:val="231F20"/>
        </w:rPr>
        <w:t>educación</w:t>
      </w:r>
      <w:r>
        <w:rPr>
          <w:color w:val="231F20"/>
          <w:spacing w:val="-15"/>
        </w:rPr>
        <w:t> </w:t>
      </w:r>
      <w:r>
        <w:rPr>
          <w:color w:val="231F20"/>
        </w:rPr>
        <w:t>superior.</w:t>
      </w:r>
    </w:p>
    <w:p>
      <w:pPr>
        <w:pStyle w:val="BodyText"/>
        <w:spacing w:line="249" w:lineRule="auto"/>
        <w:ind w:left="101" w:right="114" w:firstLine="284"/>
        <w:jc w:val="both"/>
      </w:pPr>
      <w:r>
        <w:rPr>
          <w:color w:val="231F20"/>
          <w:spacing w:val="2"/>
        </w:rPr>
        <w:t>Para </w:t>
      </w:r>
      <w:r>
        <w:rPr>
          <w:color w:val="231F20"/>
        </w:rPr>
        <w:t>el </w:t>
      </w:r>
      <w:r>
        <w:rPr>
          <w:color w:val="231F20"/>
          <w:spacing w:val="2"/>
        </w:rPr>
        <w:t>caso </w:t>
      </w:r>
      <w:r>
        <w:rPr>
          <w:color w:val="231F20"/>
        </w:rPr>
        <w:t>de la </w:t>
      </w:r>
      <w:r>
        <w:rPr>
          <w:color w:val="231F20"/>
          <w:spacing w:val="2"/>
        </w:rPr>
        <w:t>Universidad </w:t>
      </w:r>
      <w:r>
        <w:rPr>
          <w:color w:val="231F20"/>
        </w:rPr>
        <w:t>de </w:t>
      </w:r>
      <w:r>
        <w:rPr>
          <w:color w:val="231F20"/>
          <w:spacing w:val="2"/>
        </w:rPr>
        <w:t>Oaxaca, los </w:t>
      </w:r>
      <w:r>
        <w:rPr>
          <w:color w:val="231F20"/>
          <w:spacing w:val="3"/>
        </w:rPr>
        <w:t>porros </w:t>
      </w:r>
      <w:r>
        <w:rPr>
          <w:color w:val="231F20"/>
          <w:spacing w:val="2"/>
        </w:rPr>
        <w:t>son </w:t>
      </w:r>
      <w:r>
        <w:rPr>
          <w:color w:val="231F20"/>
          <w:spacing w:val="3"/>
        </w:rPr>
        <w:t>gru- </w:t>
      </w:r>
      <w:r>
        <w:rPr>
          <w:color w:val="231F20"/>
          <w:spacing w:val="2"/>
        </w:rPr>
        <w:t>pos </w:t>
      </w:r>
      <w:r>
        <w:rPr>
          <w:color w:val="231F20"/>
        </w:rPr>
        <w:t>de </w:t>
      </w:r>
      <w:r>
        <w:rPr>
          <w:color w:val="231F20"/>
          <w:spacing w:val="2"/>
        </w:rPr>
        <w:t>choque </w:t>
      </w:r>
      <w:r>
        <w:rPr>
          <w:color w:val="231F20"/>
          <w:spacing w:val="3"/>
        </w:rPr>
        <w:t>compuestos </w:t>
      </w:r>
      <w:r>
        <w:rPr>
          <w:color w:val="231F20"/>
          <w:spacing w:val="2"/>
        </w:rPr>
        <w:t>por jóvenes </w:t>
      </w:r>
      <w:r>
        <w:rPr>
          <w:color w:val="231F20"/>
        </w:rPr>
        <w:t>que en </w:t>
      </w:r>
      <w:r>
        <w:rPr>
          <w:color w:val="231F20"/>
          <w:spacing w:val="2"/>
        </w:rPr>
        <w:t>algunas ocasiones están inscritos </w:t>
      </w:r>
      <w:r>
        <w:rPr>
          <w:color w:val="231F20"/>
        </w:rPr>
        <w:t>en </w:t>
      </w:r>
      <w:r>
        <w:rPr>
          <w:color w:val="231F20"/>
          <w:spacing w:val="2"/>
        </w:rPr>
        <w:t>alguna facultad </w:t>
      </w:r>
      <w:r>
        <w:rPr>
          <w:color w:val="231F20"/>
        </w:rPr>
        <w:t>o </w:t>
      </w:r>
      <w:r>
        <w:rPr>
          <w:color w:val="231F20"/>
          <w:spacing w:val="2"/>
        </w:rPr>
        <w:t>escuela </w:t>
      </w:r>
      <w:r>
        <w:rPr>
          <w:color w:val="231F20"/>
        </w:rPr>
        <w:t>de la </w:t>
      </w:r>
      <w:r>
        <w:rPr>
          <w:color w:val="231F20"/>
          <w:spacing w:val="2"/>
        </w:rPr>
        <w:t>universidad, pero </w:t>
      </w:r>
      <w:r>
        <w:rPr>
          <w:color w:val="231F20"/>
        </w:rPr>
        <w:t>no </w:t>
      </w:r>
      <w:r>
        <w:rPr>
          <w:color w:val="231F20"/>
          <w:spacing w:val="2"/>
        </w:rPr>
        <w:t>asisten </w:t>
      </w:r>
      <w:r>
        <w:rPr>
          <w:color w:val="231F20"/>
        </w:rPr>
        <w:t>a </w:t>
      </w:r>
      <w:r>
        <w:rPr>
          <w:color w:val="231F20"/>
          <w:spacing w:val="2"/>
        </w:rPr>
        <w:t>clases, </w:t>
      </w:r>
      <w:r>
        <w:rPr>
          <w:color w:val="231F20"/>
        </w:rPr>
        <w:t>y, en </w:t>
      </w:r>
      <w:r>
        <w:rPr>
          <w:color w:val="231F20"/>
          <w:spacing w:val="2"/>
        </w:rPr>
        <w:t>otras, son </w:t>
      </w:r>
      <w:r>
        <w:rPr>
          <w:color w:val="231F20"/>
          <w:spacing w:val="3"/>
        </w:rPr>
        <w:t>personas </w:t>
      </w:r>
      <w:r>
        <w:rPr>
          <w:color w:val="231F20"/>
          <w:spacing w:val="2"/>
        </w:rPr>
        <w:t>ajenas </w:t>
      </w:r>
      <w:r>
        <w:rPr>
          <w:color w:val="231F20"/>
        </w:rPr>
        <w:t>a ella. Lo que </w:t>
      </w:r>
      <w:r>
        <w:rPr>
          <w:color w:val="231F20"/>
          <w:spacing w:val="2"/>
        </w:rPr>
        <w:t>los caracteriza </w:t>
      </w:r>
      <w:r>
        <w:rPr>
          <w:color w:val="231F20"/>
        </w:rPr>
        <w:t>es el alto </w:t>
      </w:r>
      <w:r>
        <w:rPr>
          <w:color w:val="231F20"/>
          <w:spacing w:val="2"/>
        </w:rPr>
        <w:t>nivel </w:t>
      </w:r>
      <w:r>
        <w:rPr>
          <w:color w:val="231F20"/>
        </w:rPr>
        <w:t>de </w:t>
      </w:r>
      <w:r>
        <w:rPr>
          <w:color w:val="231F20"/>
          <w:spacing w:val="2"/>
        </w:rPr>
        <w:t>violencia que ejercen, </w:t>
      </w:r>
      <w:r>
        <w:rPr>
          <w:color w:val="231F20"/>
          <w:spacing w:val="3"/>
        </w:rPr>
        <w:t>además </w:t>
      </w:r>
      <w:r>
        <w:rPr>
          <w:color w:val="231F20"/>
          <w:spacing w:val="2"/>
        </w:rPr>
        <w:t>son </w:t>
      </w:r>
      <w:r>
        <w:rPr>
          <w:color w:val="231F20"/>
        </w:rPr>
        <w:t>el </w:t>
      </w:r>
      <w:r>
        <w:rPr>
          <w:color w:val="231F20"/>
          <w:spacing w:val="2"/>
        </w:rPr>
        <w:t>brazo intimidatorio, </w:t>
      </w:r>
      <w:r>
        <w:rPr>
          <w:color w:val="231F20"/>
        </w:rPr>
        <w:t>de </w:t>
      </w:r>
      <w:r>
        <w:rPr>
          <w:color w:val="231F20"/>
          <w:spacing w:val="2"/>
        </w:rPr>
        <w:t>fuerza </w:t>
      </w:r>
      <w:r>
        <w:rPr>
          <w:color w:val="231F20"/>
        </w:rPr>
        <w:t>y de </w:t>
      </w:r>
      <w:r>
        <w:rPr>
          <w:color w:val="231F20"/>
          <w:spacing w:val="3"/>
        </w:rPr>
        <w:t>control </w:t>
      </w:r>
      <w:r>
        <w:rPr>
          <w:color w:val="231F20"/>
        </w:rPr>
        <w:t>de </w:t>
      </w:r>
      <w:r>
        <w:rPr>
          <w:color w:val="231F20"/>
          <w:spacing w:val="2"/>
        </w:rPr>
        <w:t>los </w:t>
      </w:r>
      <w:r>
        <w:rPr>
          <w:color w:val="231F20"/>
          <w:spacing w:val="3"/>
        </w:rPr>
        <w:t>grupos </w:t>
      </w:r>
      <w:r>
        <w:rPr>
          <w:color w:val="231F20"/>
          <w:spacing w:val="2"/>
        </w:rPr>
        <w:t>que </w:t>
      </w:r>
      <w:r>
        <w:rPr>
          <w:color w:val="231F20"/>
        </w:rPr>
        <w:t>se </w:t>
      </w:r>
      <w:r>
        <w:rPr>
          <w:color w:val="231F20"/>
          <w:spacing w:val="2"/>
        </w:rPr>
        <w:t>disputan </w:t>
      </w:r>
      <w:r>
        <w:rPr>
          <w:color w:val="231F20"/>
        </w:rPr>
        <w:t>el </w:t>
      </w:r>
      <w:r>
        <w:rPr>
          <w:color w:val="231F20"/>
          <w:spacing w:val="3"/>
        </w:rPr>
        <w:t>control </w:t>
      </w:r>
      <w:r>
        <w:rPr>
          <w:color w:val="231F20"/>
        </w:rPr>
        <w:t>de la </w:t>
      </w:r>
      <w:r>
        <w:rPr>
          <w:color w:val="231F20"/>
          <w:spacing w:val="2"/>
        </w:rPr>
        <w:t>universidad, son los </w:t>
      </w:r>
      <w:r>
        <w:rPr>
          <w:color w:val="231F20"/>
          <w:spacing w:val="3"/>
        </w:rPr>
        <w:t>encargados </w:t>
      </w:r>
      <w:r>
        <w:rPr>
          <w:color w:val="231F20"/>
        </w:rPr>
        <w:t>de </w:t>
      </w:r>
      <w:r>
        <w:rPr>
          <w:color w:val="231F20"/>
          <w:spacing w:val="2"/>
        </w:rPr>
        <w:t>reali- </w:t>
      </w:r>
      <w:r>
        <w:rPr>
          <w:color w:val="231F20"/>
        </w:rPr>
        <w:t>zar las </w:t>
      </w:r>
      <w:r>
        <w:rPr>
          <w:color w:val="231F20"/>
          <w:spacing w:val="3"/>
        </w:rPr>
        <w:t>tomas </w:t>
      </w:r>
      <w:r>
        <w:rPr>
          <w:color w:val="231F20"/>
        </w:rPr>
        <w:t>de las </w:t>
      </w:r>
      <w:r>
        <w:rPr>
          <w:color w:val="231F20"/>
          <w:spacing w:val="2"/>
        </w:rPr>
        <w:t>instalaciones, </w:t>
      </w:r>
      <w:r>
        <w:rPr>
          <w:color w:val="231F20"/>
        </w:rPr>
        <w:t>de </w:t>
      </w:r>
      <w:r>
        <w:rPr>
          <w:color w:val="231F20"/>
          <w:spacing w:val="2"/>
        </w:rPr>
        <w:t>“sugerir” </w:t>
      </w:r>
      <w:r>
        <w:rPr>
          <w:color w:val="231F20"/>
        </w:rPr>
        <w:t>a </w:t>
      </w:r>
      <w:r>
        <w:rPr>
          <w:color w:val="231F20"/>
          <w:spacing w:val="2"/>
        </w:rPr>
        <w:t>los </w:t>
      </w:r>
      <w:r>
        <w:rPr>
          <w:color w:val="231F20"/>
          <w:spacing w:val="3"/>
        </w:rPr>
        <w:t>alumnos </w:t>
      </w:r>
      <w:r>
        <w:rPr>
          <w:color w:val="231F20"/>
          <w:spacing w:val="2"/>
        </w:rPr>
        <w:t>por </w:t>
      </w:r>
      <w:r>
        <w:rPr>
          <w:color w:val="231F20"/>
        </w:rPr>
        <w:t>qué </w:t>
      </w:r>
      <w:r>
        <w:rPr>
          <w:color w:val="231F20"/>
          <w:spacing w:val="2"/>
        </w:rPr>
        <w:t>candidato deben votar, </w:t>
      </w:r>
      <w:r>
        <w:rPr>
          <w:color w:val="231F20"/>
        </w:rPr>
        <w:t>de </w:t>
      </w:r>
      <w:r>
        <w:rPr>
          <w:color w:val="231F20"/>
          <w:spacing w:val="2"/>
        </w:rPr>
        <w:t>cancelar </w:t>
      </w:r>
      <w:r>
        <w:rPr>
          <w:color w:val="231F20"/>
        </w:rPr>
        <w:t>las </w:t>
      </w:r>
      <w:r>
        <w:rPr>
          <w:color w:val="231F20"/>
          <w:spacing w:val="2"/>
        </w:rPr>
        <w:t>elecciones </w:t>
      </w:r>
      <w:r>
        <w:rPr>
          <w:color w:val="231F20"/>
        </w:rPr>
        <w:t>de </w:t>
      </w:r>
      <w:r>
        <w:rPr>
          <w:color w:val="231F20"/>
          <w:spacing w:val="3"/>
        </w:rPr>
        <w:t>autorida- </w:t>
      </w:r>
      <w:r>
        <w:rPr>
          <w:color w:val="231F20"/>
          <w:spacing w:val="2"/>
        </w:rPr>
        <w:t>des </w:t>
      </w:r>
      <w:r>
        <w:rPr>
          <w:color w:val="231F20"/>
          <w:spacing w:val="3"/>
        </w:rPr>
        <w:t>cuando </w:t>
      </w:r>
      <w:r>
        <w:rPr>
          <w:color w:val="231F20"/>
        </w:rPr>
        <w:t>no </w:t>
      </w:r>
      <w:r>
        <w:rPr>
          <w:color w:val="231F20"/>
          <w:spacing w:val="3"/>
        </w:rPr>
        <w:t>convengan </w:t>
      </w:r>
      <w:r>
        <w:rPr>
          <w:color w:val="231F20"/>
        </w:rPr>
        <w:t>a su </w:t>
      </w:r>
      <w:r>
        <w:rPr>
          <w:color w:val="231F20"/>
          <w:spacing w:val="2"/>
        </w:rPr>
        <w:t>jefe, entre otras tareas; por ejem- plo, </w:t>
      </w:r>
      <w:r>
        <w:rPr>
          <w:color w:val="231F20"/>
        </w:rPr>
        <w:t>el 8 de </w:t>
      </w:r>
      <w:r>
        <w:rPr>
          <w:color w:val="231F20"/>
          <w:spacing w:val="3"/>
        </w:rPr>
        <w:t>noviembre </w:t>
      </w:r>
      <w:r>
        <w:rPr>
          <w:color w:val="231F20"/>
        </w:rPr>
        <w:t>de </w:t>
      </w:r>
      <w:r>
        <w:rPr>
          <w:color w:val="231F20"/>
          <w:spacing w:val="2"/>
        </w:rPr>
        <w:t>2011 </w:t>
      </w:r>
      <w:r>
        <w:rPr>
          <w:color w:val="231F20"/>
        </w:rPr>
        <w:t>se llevó a </w:t>
      </w:r>
      <w:r>
        <w:rPr>
          <w:color w:val="231F20"/>
          <w:spacing w:val="2"/>
        </w:rPr>
        <w:t>cabo </w:t>
      </w:r>
      <w:r>
        <w:rPr>
          <w:color w:val="231F20"/>
        </w:rPr>
        <w:t>la </w:t>
      </w:r>
      <w:r>
        <w:rPr>
          <w:color w:val="231F20"/>
          <w:spacing w:val="2"/>
        </w:rPr>
        <w:t>elección del </w:t>
      </w:r>
      <w:r>
        <w:rPr>
          <w:color w:val="231F20"/>
          <w:spacing w:val="3"/>
        </w:rPr>
        <w:t>co- </w:t>
      </w:r>
      <w:r>
        <w:rPr>
          <w:color w:val="231F20"/>
          <w:spacing w:val="2"/>
        </w:rPr>
        <w:t>mité ejecutivo del Sindicato Universitario </w:t>
      </w:r>
      <w:r>
        <w:rPr>
          <w:color w:val="231F20"/>
        </w:rPr>
        <w:t>de </w:t>
      </w:r>
      <w:r>
        <w:rPr>
          <w:color w:val="231F20"/>
          <w:spacing w:val="2"/>
        </w:rPr>
        <w:t>Maestros </w:t>
      </w:r>
      <w:r>
        <w:rPr>
          <w:color w:val="231F20"/>
          <w:spacing w:val="3"/>
        </w:rPr>
        <w:t>(SUMA), </w:t>
      </w:r>
      <w:r>
        <w:rPr>
          <w:color w:val="231F20"/>
          <w:spacing w:val="2"/>
        </w:rPr>
        <w:t>uno </w:t>
      </w:r>
      <w:r>
        <w:rPr>
          <w:color w:val="231F20"/>
        </w:rPr>
        <w:t>de </w:t>
      </w:r>
      <w:r>
        <w:rPr>
          <w:color w:val="231F20"/>
          <w:spacing w:val="2"/>
        </w:rPr>
        <w:t>los dos sindicatos </w:t>
      </w:r>
      <w:r>
        <w:rPr>
          <w:color w:val="231F20"/>
        </w:rPr>
        <w:t>de </w:t>
      </w:r>
      <w:r>
        <w:rPr>
          <w:color w:val="231F20"/>
          <w:spacing w:val="2"/>
        </w:rPr>
        <w:t>académicos. </w:t>
      </w:r>
      <w:r>
        <w:rPr>
          <w:color w:val="231F20"/>
        </w:rPr>
        <w:t>El  </w:t>
      </w:r>
      <w:r>
        <w:rPr>
          <w:color w:val="231F20"/>
          <w:spacing w:val="2"/>
        </w:rPr>
        <w:t>periódico  digital  </w:t>
      </w:r>
      <w:r>
        <w:rPr>
          <w:color w:val="231F20"/>
          <w:spacing w:val="3"/>
        </w:rPr>
        <w:t>ADN </w:t>
      </w:r>
      <w:r>
        <w:rPr>
          <w:color w:val="231F20"/>
          <w:spacing w:val="2"/>
        </w:rPr>
        <w:t>Sureste decía </w:t>
      </w:r>
      <w:r>
        <w:rPr>
          <w:color w:val="231F20"/>
        </w:rPr>
        <w:t>que la </w:t>
      </w:r>
      <w:r>
        <w:rPr>
          <w:color w:val="231F20"/>
          <w:spacing w:val="2"/>
        </w:rPr>
        <w:t>policía vigilaba </w:t>
      </w:r>
      <w:r>
        <w:rPr>
          <w:color w:val="231F20"/>
        </w:rPr>
        <w:t>el </w:t>
      </w:r>
      <w:r>
        <w:rPr>
          <w:color w:val="231F20"/>
          <w:spacing w:val="2"/>
        </w:rPr>
        <w:t>inmueble </w:t>
      </w:r>
      <w:r>
        <w:rPr>
          <w:color w:val="231F20"/>
          <w:spacing w:val="3"/>
        </w:rPr>
        <w:t>universita- </w:t>
      </w:r>
      <w:r>
        <w:rPr>
          <w:color w:val="231F20"/>
        </w:rPr>
        <w:t>rio en </w:t>
      </w:r>
      <w:r>
        <w:rPr>
          <w:color w:val="231F20"/>
          <w:spacing w:val="3"/>
        </w:rPr>
        <w:t>donde </w:t>
      </w:r>
      <w:r>
        <w:rPr>
          <w:color w:val="231F20"/>
        </w:rPr>
        <w:t>se </w:t>
      </w:r>
      <w:r>
        <w:rPr>
          <w:color w:val="231F20"/>
          <w:spacing w:val="2"/>
        </w:rPr>
        <w:t>llevaron </w:t>
      </w:r>
      <w:r>
        <w:rPr>
          <w:color w:val="231F20"/>
        </w:rPr>
        <w:t>a </w:t>
      </w:r>
      <w:r>
        <w:rPr>
          <w:color w:val="231F20"/>
          <w:spacing w:val="2"/>
        </w:rPr>
        <w:t>cabo </w:t>
      </w:r>
      <w:r>
        <w:rPr>
          <w:color w:val="231F20"/>
        </w:rPr>
        <w:t>las </w:t>
      </w:r>
      <w:r>
        <w:rPr>
          <w:color w:val="231F20"/>
          <w:spacing w:val="2"/>
        </w:rPr>
        <w:t>elecciones, puesto “que </w:t>
      </w:r>
      <w:r>
        <w:rPr>
          <w:color w:val="231F20"/>
        </w:rPr>
        <w:t>se </w:t>
      </w:r>
      <w:r>
        <w:rPr>
          <w:color w:val="231F20"/>
          <w:spacing w:val="3"/>
        </w:rPr>
        <w:t>encuentran grupos </w:t>
      </w:r>
      <w:r>
        <w:rPr>
          <w:color w:val="231F20"/>
        </w:rPr>
        <w:t>de </w:t>
      </w:r>
      <w:r>
        <w:rPr>
          <w:color w:val="231F20"/>
          <w:spacing w:val="3"/>
        </w:rPr>
        <w:t>porros </w:t>
      </w:r>
      <w:r>
        <w:rPr>
          <w:color w:val="231F20"/>
          <w:spacing w:val="2"/>
        </w:rPr>
        <w:t>que tratarán </w:t>
      </w:r>
      <w:r>
        <w:rPr>
          <w:color w:val="231F20"/>
        </w:rPr>
        <w:t>de </w:t>
      </w:r>
      <w:r>
        <w:rPr>
          <w:color w:val="231F20"/>
          <w:spacing w:val="2"/>
        </w:rPr>
        <w:t>boicotear </w:t>
      </w:r>
      <w:r>
        <w:rPr>
          <w:color w:val="231F20"/>
        </w:rPr>
        <w:t>la </w:t>
      </w:r>
      <w:r>
        <w:rPr>
          <w:color w:val="231F20"/>
          <w:spacing w:val="3"/>
        </w:rPr>
        <w:t>elección, </w:t>
      </w:r>
      <w:r>
        <w:rPr>
          <w:color w:val="231F20"/>
        </w:rPr>
        <w:t>de no ser </w:t>
      </w:r>
      <w:r>
        <w:rPr>
          <w:color w:val="231F20"/>
          <w:spacing w:val="2"/>
        </w:rPr>
        <w:t>favorable </w:t>
      </w:r>
      <w:r>
        <w:rPr>
          <w:color w:val="231F20"/>
        </w:rPr>
        <w:t>a </w:t>
      </w:r>
      <w:r>
        <w:rPr>
          <w:color w:val="231F20"/>
          <w:spacing w:val="2"/>
        </w:rPr>
        <w:t>sus respectivos </w:t>
      </w:r>
      <w:r>
        <w:rPr>
          <w:color w:val="231F20"/>
          <w:spacing w:val="3"/>
        </w:rPr>
        <w:t>candidatos”. </w:t>
      </w:r>
      <w:r>
        <w:rPr>
          <w:color w:val="231F20"/>
          <w:spacing w:val="2"/>
        </w:rPr>
        <w:t>Los </w:t>
      </w:r>
      <w:r>
        <w:rPr>
          <w:color w:val="231F20"/>
          <w:spacing w:val="3"/>
        </w:rPr>
        <w:t>porros </w:t>
      </w:r>
      <w:r>
        <w:rPr>
          <w:color w:val="231F20"/>
          <w:spacing w:val="2"/>
        </w:rPr>
        <w:t>también pueden </w:t>
      </w:r>
      <w:r>
        <w:rPr>
          <w:color w:val="231F20"/>
        </w:rPr>
        <w:t>ser </w:t>
      </w:r>
      <w:r>
        <w:rPr>
          <w:color w:val="231F20"/>
          <w:spacing w:val="2"/>
        </w:rPr>
        <w:t>parte </w:t>
      </w:r>
      <w:r>
        <w:rPr>
          <w:color w:val="231F20"/>
        </w:rPr>
        <w:t>de </w:t>
      </w:r>
      <w:r>
        <w:rPr>
          <w:color w:val="231F20"/>
          <w:spacing w:val="2"/>
        </w:rPr>
        <w:t>los grupos </w:t>
      </w:r>
      <w:r>
        <w:rPr>
          <w:color w:val="231F20"/>
        </w:rPr>
        <w:t>que </w:t>
      </w:r>
      <w:r>
        <w:rPr>
          <w:color w:val="231F20"/>
          <w:spacing w:val="2"/>
        </w:rPr>
        <w:t>luchan por controlar políticamente </w:t>
      </w:r>
      <w:r>
        <w:rPr>
          <w:color w:val="231F20"/>
        </w:rPr>
        <w:t>al </w:t>
      </w:r>
      <w:r>
        <w:rPr>
          <w:color w:val="231F20"/>
          <w:spacing w:val="2"/>
        </w:rPr>
        <w:t>estado </w:t>
      </w:r>
      <w:r>
        <w:rPr>
          <w:color w:val="231F20"/>
        </w:rPr>
        <w:t>de</w:t>
      </w:r>
      <w:r>
        <w:rPr>
          <w:color w:val="231F20"/>
          <w:spacing w:val="8"/>
        </w:rPr>
        <w:t> </w:t>
      </w:r>
      <w:r>
        <w:rPr>
          <w:color w:val="231F20"/>
          <w:spacing w:val="3"/>
        </w:rPr>
        <w:t>Oaxaca.</w:t>
      </w:r>
    </w:p>
    <w:p>
      <w:pPr>
        <w:pStyle w:val="BodyText"/>
        <w:spacing w:line="247" w:lineRule="auto"/>
        <w:ind w:left="102" w:right="115" w:firstLine="283"/>
        <w:jc w:val="both"/>
      </w:pPr>
      <w:r>
        <w:rPr>
          <w:color w:val="231F20"/>
        </w:rPr>
        <w:t>Los datos arrojados informan que el grupo más propenso a su- frir la violencia por parte de los porros es el mayor a los 21 años, (30.9%), aunque los alumnos menores de 20 años (29.6%) tam- bién  han  sido  objeto  de  violencia  por  parte  de  los  porros.  En</w:t>
      </w:r>
    </w:p>
    <w:p>
      <w:pPr>
        <w:spacing w:after="0" w:line="247" w:lineRule="auto"/>
        <w:jc w:val="both"/>
        <w:sectPr>
          <w:headerReference w:type="default" r:id="rId787"/>
          <w:footerReference w:type="default" r:id="rId788"/>
          <w:pgSz w:w="7830" w:h="11910"/>
          <w:pgMar w:header="0" w:footer="424" w:top="500" w:bottom="620" w:left="920" w:right="900"/>
          <w:pgNumType w:start="353"/>
        </w:sectPr>
      </w:pPr>
    </w:p>
    <w:p>
      <w:pPr>
        <w:spacing w:before="46"/>
        <w:ind w:left="565" w:right="562"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222" w:right="215"/>
        <w:jc w:val="both"/>
      </w:pPr>
      <w:r>
        <w:rPr>
          <w:color w:val="231F20"/>
        </w:rPr>
        <w:t>otras palabras, los alumnos de licenciatura están más expuestos a sufrir una agresión por parte de estos grupos, lo que lleva a pensar que existe una necesidad más grande de controlar las facultades: esta Universidad proporciona la enseñanza media superior, ade- más de la superior. Anteriormente, se impartía también la ense- ñanza secundaria. Otra característica es que las autoridades de las escuelas, facultades así como la rectoría, son elegidas mediante el voto universal, secreto y directo. Para conseguir el voto, los can- didatos realizan verdaderas campañas electorales, imitando las de las representantes populares. Los votos suelen obtenerse mediante regalos, comidas, noches de disco, o bien mediante la acción de convencimiento que llevan a cabo los porros.</w:t>
      </w:r>
    </w:p>
    <w:p>
      <w:pPr>
        <w:pStyle w:val="BodyText"/>
        <w:spacing w:line="247" w:lineRule="auto"/>
        <w:ind w:left="221" w:right="216" w:firstLine="284"/>
        <w:jc w:val="both"/>
      </w:pPr>
      <w:r>
        <w:rPr>
          <w:color w:val="231F20"/>
        </w:rPr>
        <w:t>En </w:t>
      </w:r>
      <w:r>
        <w:rPr>
          <w:color w:val="231F20"/>
          <w:spacing w:val="2"/>
        </w:rPr>
        <w:t>cuanto </w:t>
      </w:r>
      <w:r>
        <w:rPr>
          <w:color w:val="231F20"/>
        </w:rPr>
        <w:t>a la </w:t>
      </w:r>
      <w:r>
        <w:rPr>
          <w:color w:val="231F20"/>
          <w:spacing w:val="2"/>
        </w:rPr>
        <w:t>agresión por sexos, esta </w:t>
      </w:r>
      <w:r>
        <w:rPr>
          <w:color w:val="231F20"/>
        </w:rPr>
        <w:t>es </w:t>
      </w:r>
      <w:r>
        <w:rPr>
          <w:color w:val="231F20"/>
          <w:spacing w:val="2"/>
        </w:rPr>
        <w:t>similar. Tanto los</w:t>
      </w:r>
      <w:r>
        <w:rPr>
          <w:color w:val="231F20"/>
          <w:spacing w:val="56"/>
        </w:rPr>
        <w:t> </w:t>
      </w:r>
      <w:r>
        <w:rPr>
          <w:color w:val="231F20"/>
          <w:spacing w:val="3"/>
        </w:rPr>
        <w:t>hombres </w:t>
      </w:r>
      <w:r>
        <w:rPr>
          <w:color w:val="231F20"/>
          <w:spacing w:val="2"/>
        </w:rPr>
        <w:t>(31.3%), </w:t>
      </w:r>
      <w:r>
        <w:rPr>
          <w:color w:val="231F20"/>
          <w:spacing w:val="3"/>
        </w:rPr>
        <w:t>como </w:t>
      </w:r>
      <w:r>
        <w:rPr>
          <w:color w:val="231F20"/>
        </w:rPr>
        <w:t>las </w:t>
      </w:r>
      <w:r>
        <w:rPr>
          <w:color w:val="231F20"/>
          <w:spacing w:val="2"/>
        </w:rPr>
        <w:t>mujeres (30.9%) son agredidos  </w:t>
      </w:r>
      <w:r>
        <w:rPr>
          <w:color w:val="231F20"/>
          <w:spacing w:val="4"/>
        </w:rPr>
        <w:t>por </w:t>
      </w:r>
      <w:r>
        <w:rPr>
          <w:color w:val="231F20"/>
          <w:spacing w:val="2"/>
        </w:rPr>
        <w:t>este </w:t>
      </w:r>
      <w:r>
        <w:rPr>
          <w:color w:val="231F20"/>
          <w:spacing w:val="3"/>
        </w:rPr>
        <w:t>grupo. </w:t>
      </w:r>
      <w:r>
        <w:rPr>
          <w:color w:val="231F20"/>
        </w:rPr>
        <w:t>Se </w:t>
      </w:r>
      <w:r>
        <w:rPr>
          <w:color w:val="231F20"/>
          <w:spacing w:val="3"/>
        </w:rPr>
        <w:t>puede </w:t>
      </w:r>
      <w:r>
        <w:rPr>
          <w:color w:val="231F20"/>
          <w:spacing w:val="2"/>
        </w:rPr>
        <w:t>decir que casi una tercera parte </w:t>
      </w:r>
      <w:r>
        <w:rPr>
          <w:color w:val="231F20"/>
        </w:rPr>
        <w:t>de la </w:t>
      </w:r>
      <w:r>
        <w:rPr>
          <w:color w:val="231F20"/>
          <w:spacing w:val="3"/>
        </w:rPr>
        <w:t>pobla- </w:t>
      </w:r>
      <w:r>
        <w:rPr>
          <w:color w:val="231F20"/>
          <w:spacing w:val="2"/>
        </w:rPr>
        <w:t>ción </w:t>
      </w:r>
      <w:r>
        <w:rPr>
          <w:color w:val="231F20"/>
          <w:spacing w:val="3"/>
        </w:rPr>
        <w:t>encuestada </w:t>
      </w:r>
      <w:r>
        <w:rPr>
          <w:color w:val="231F20"/>
        </w:rPr>
        <w:t>ha </w:t>
      </w:r>
      <w:r>
        <w:rPr>
          <w:color w:val="231F20"/>
          <w:spacing w:val="2"/>
        </w:rPr>
        <w:t>vivido experiencias violentas por parte </w:t>
      </w:r>
      <w:r>
        <w:rPr>
          <w:color w:val="231F20"/>
        </w:rPr>
        <w:t>de </w:t>
      </w:r>
      <w:r>
        <w:rPr>
          <w:color w:val="231F20"/>
          <w:spacing w:val="2"/>
        </w:rPr>
        <w:t>los </w:t>
      </w:r>
      <w:r>
        <w:rPr>
          <w:color w:val="231F20"/>
          <w:spacing w:val="3"/>
        </w:rPr>
        <w:t>porros, </w:t>
      </w:r>
      <w:r>
        <w:rPr>
          <w:color w:val="231F20"/>
        </w:rPr>
        <w:t>lo </w:t>
      </w:r>
      <w:r>
        <w:rPr>
          <w:color w:val="231F20"/>
          <w:spacing w:val="2"/>
        </w:rPr>
        <w:t>cual refleja </w:t>
      </w:r>
      <w:r>
        <w:rPr>
          <w:color w:val="231F20"/>
        </w:rPr>
        <w:t>la </w:t>
      </w:r>
      <w:r>
        <w:rPr>
          <w:color w:val="231F20"/>
          <w:spacing w:val="2"/>
        </w:rPr>
        <w:t>realidad </w:t>
      </w:r>
      <w:r>
        <w:rPr>
          <w:color w:val="231F20"/>
        </w:rPr>
        <w:t>de </w:t>
      </w:r>
      <w:r>
        <w:rPr>
          <w:color w:val="231F20"/>
          <w:spacing w:val="2"/>
        </w:rPr>
        <w:t>esta Universidad.</w:t>
      </w:r>
    </w:p>
    <w:p>
      <w:pPr>
        <w:pStyle w:val="BodyText"/>
        <w:spacing w:line="247" w:lineRule="auto" w:before="6"/>
        <w:ind w:left="221" w:right="215" w:firstLine="284"/>
        <w:jc w:val="both"/>
      </w:pPr>
      <w:r>
        <w:rPr>
          <w:color w:val="231F20"/>
        </w:rPr>
        <w:t>Pero no solo los porros o los  compañeros ejercen  violencia, esta también es ejercida por profesores, autoridades u otros gru- pos. Enseguida presentamos los datos relacionados con la violen- cia ejercida por profesores hacia los alumnos.</w:t>
      </w:r>
    </w:p>
    <w:p>
      <w:pPr>
        <w:pStyle w:val="BodyText"/>
        <w:spacing w:before="3"/>
        <w:rPr>
          <w:sz w:val="23"/>
        </w:rPr>
      </w:pPr>
    </w:p>
    <w:p>
      <w:pPr>
        <w:spacing w:line="273" w:lineRule="auto" w:before="0"/>
        <w:ind w:left="566" w:right="562" w:firstLine="0"/>
        <w:jc w:val="center"/>
        <w:rPr>
          <w:b/>
          <w:sz w:val="19"/>
        </w:rPr>
      </w:pPr>
      <w:r>
        <w:rPr>
          <w:b/>
          <w:color w:val="231F20"/>
          <w:w w:val="105"/>
          <w:sz w:val="19"/>
        </w:rPr>
        <w:t>Cuadro 6. Experiencias de violencia por parte de profesores por grupos de edad y sexo</w:t>
      </w:r>
    </w:p>
    <w:p>
      <w:pPr>
        <w:pStyle w:val="BodyText"/>
        <w:spacing w:before="8"/>
        <w:rPr>
          <w:b/>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74"/>
        <w:gridCol w:w="1176"/>
        <w:gridCol w:w="1171"/>
        <w:gridCol w:w="1061"/>
        <w:gridCol w:w="1118"/>
      </w:tblGrid>
      <w:tr>
        <w:trPr>
          <w:trHeight w:val="634" w:hRule="exact"/>
        </w:trPr>
        <w:tc>
          <w:tcPr>
            <w:tcW w:w="1474" w:type="dxa"/>
            <w:vMerge w:val="restart"/>
          </w:tcPr>
          <w:p>
            <w:pPr>
              <w:pStyle w:val="TableParagraph"/>
              <w:ind w:left="0"/>
              <w:rPr>
                <w:b/>
                <w:sz w:val="18"/>
              </w:rPr>
            </w:pPr>
          </w:p>
          <w:p>
            <w:pPr>
              <w:pStyle w:val="TableParagraph"/>
              <w:spacing w:line="307" w:lineRule="auto" w:before="152"/>
              <w:ind w:left="304" w:right="187" w:hanging="113"/>
              <w:rPr>
                <w:b/>
                <w:sz w:val="17"/>
              </w:rPr>
            </w:pPr>
            <w:r>
              <w:rPr>
                <w:b/>
                <w:color w:val="231F20"/>
                <w:w w:val="105"/>
                <w:sz w:val="17"/>
              </w:rPr>
              <w:t>Percepción de la violencia</w:t>
            </w:r>
          </w:p>
        </w:tc>
        <w:tc>
          <w:tcPr>
            <w:tcW w:w="2347" w:type="dxa"/>
            <w:gridSpan w:val="2"/>
          </w:tcPr>
          <w:p>
            <w:pPr>
              <w:pStyle w:val="TableParagraph"/>
              <w:ind w:left="0"/>
              <w:rPr>
                <w:b/>
                <w:sz w:val="20"/>
              </w:rPr>
            </w:pPr>
          </w:p>
          <w:p>
            <w:pPr>
              <w:pStyle w:val="TableParagraph"/>
              <w:ind w:left="564"/>
              <w:rPr>
                <w:b/>
                <w:sz w:val="17"/>
              </w:rPr>
            </w:pPr>
            <w:r>
              <w:rPr>
                <w:b/>
                <w:color w:val="231F20"/>
                <w:w w:val="105"/>
                <w:sz w:val="17"/>
              </w:rPr>
              <w:t>Grupos de edad</w:t>
            </w:r>
          </w:p>
        </w:tc>
        <w:tc>
          <w:tcPr>
            <w:tcW w:w="2179" w:type="dxa"/>
            <w:gridSpan w:val="2"/>
          </w:tcPr>
          <w:p>
            <w:pPr>
              <w:pStyle w:val="TableParagraph"/>
              <w:ind w:left="0"/>
              <w:rPr>
                <w:b/>
                <w:sz w:val="20"/>
              </w:rPr>
            </w:pPr>
          </w:p>
          <w:p>
            <w:pPr>
              <w:pStyle w:val="TableParagraph"/>
              <w:ind w:left="886" w:right="886"/>
              <w:jc w:val="center"/>
              <w:rPr>
                <w:b/>
                <w:sz w:val="17"/>
              </w:rPr>
            </w:pPr>
            <w:r>
              <w:rPr>
                <w:b/>
                <w:color w:val="231F20"/>
                <w:w w:val="105"/>
                <w:sz w:val="17"/>
              </w:rPr>
              <w:t>Sexo</w:t>
            </w:r>
          </w:p>
        </w:tc>
      </w:tr>
      <w:tr>
        <w:trPr>
          <w:trHeight w:val="514" w:hRule="exact"/>
        </w:trPr>
        <w:tc>
          <w:tcPr>
            <w:tcW w:w="1474" w:type="dxa"/>
            <w:vMerge/>
          </w:tcPr>
          <w:p>
            <w:pPr/>
          </w:p>
        </w:tc>
        <w:tc>
          <w:tcPr>
            <w:tcW w:w="1176" w:type="dxa"/>
          </w:tcPr>
          <w:p>
            <w:pPr>
              <w:pStyle w:val="TableParagraph"/>
              <w:spacing w:line="307" w:lineRule="auto" w:before="43"/>
              <w:ind w:left="418" w:right="275" w:hanging="147"/>
              <w:rPr>
                <w:sz w:val="17"/>
              </w:rPr>
            </w:pPr>
            <w:r>
              <w:rPr>
                <w:color w:val="231F20"/>
                <w:sz w:val="17"/>
              </w:rPr>
              <w:t>Hasta 20 años</w:t>
            </w:r>
          </w:p>
        </w:tc>
        <w:tc>
          <w:tcPr>
            <w:tcW w:w="1171" w:type="dxa"/>
          </w:tcPr>
          <w:p>
            <w:pPr>
              <w:pStyle w:val="TableParagraph"/>
              <w:spacing w:line="307" w:lineRule="auto" w:before="43"/>
              <w:ind w:left="440" w:right="239" w:hanging="190"/>
              <w:rPr>
                <w:sz w:val="17"/>
              </w:rPr>
            </w:pPr>
            <w:r>
              <w:rPr>
                <w:color w:val="231F20"/>
                <w:sz w:val="17"/>
              </w:rPr>
              <w:t>21 años y más</w:t>
            </w:r>
          </w:p>
        </w:tc>
        <w:tc>
          <w:tcPr>
            <w:tcW w:w="1061" w:type="dxa"/>
          </w:tcPr>
          <w:p>
            <w:pPr>
              <w:pStyle w:val="TableParagraph"/>
              <w:spacing w:before="6"/>
              <w:ind w:left="0"/>
              <w:rPr>
                <w:b/>
                <w:sz w:val="14"/>
              </w:rPr>
            </w:pPr>
          </w:p>
          <w:p>
            <w:pPr>
              <w:pStyle w:val="TableParagraph"/>
              <w:ind w:left="242" w:right="242"/>
              <w:jc w:val="center"/>
              <w:rPr>
                <w:sz w:val="17"/>
              </w:rPr>
            </w:pPr>
            <w:r>
              <w:rPr>
                <w:color w:val="231F20"/>
                <w:sz w:val="17"/>
              </w:rPr>
              <w:t>Fem.</w:t>
            </w:r>
          </w:p>
        </w:tc>
        <w:tc>
          <w:tcPr>
            <w:tcW w:w="1118" w:type="dxa"/>
          </w:tcPr>
          <w:p>
            <w:pPr>
              <w:pStyle w:val="TableParagraph"/>
              <w:spacing w:before="6"/>
              <w:ind w:left="0"/>
              <w:rPr>
                <w:b/>
                <w:sz w:val="14"/>
              </w:rPr>
            </w:pPr>
          </w:p>
          <w:p>
            <w:pPr>
              <w:pStyle w:val="TableParagraph"/>
              <w:ind w:left="273" w:right="268"/>
              <w:jc w:val="center"/>
              <w:rPr>
                <w:sz w:val="17"/>
              </w:rPr>
            </w:pPr>
            <w:r>
              <w:rPr>
                <w:color w:val="231F20"/>
                <w:sz w:val="17"/>
              </w:rPr>
              <w:t>Masc.</w:t>
            </w:r>
          </w:p>
        </w:tc>
      </w:tr>
      <w:tr>
        <w:trPr>
          <w:trHeight w:val="259" w:hRule="exact"/>
        </w:trPr>
        <w:tc>
          <w:tcPr>
            <w:tcW w:w="1474" w:type="dxa"/>
          </w:tcPr>
          <w:p>
            <w:pPr>
              <w:pStyle w:val="TableParagraph"/>
              <w:spacing w:before="43"/>
              <w:ind w:left="641" w:right="640"/>
              <w:jc w:val="center"/>
              <w:rPr>
                <w:sz w:val="17"/>
              </w:rPr>
            </w:pPr>
            <w:r>
              <w:rPr>
                <w:color w:val="231F20"/>
                <w:sz w:val="17"/>
              </w:rPr>
              <w:t>Sí</w:t>
            </w:r>
          </w:p>
        </w:tc>
        <w:tc>
          <w:tcPr>
            <w:tcW w:w="1176" w:type="dxa"/>
          </w:tcPr>
          <w:p>
            <w:pPr>
              <w:pStyle w:val="TableParagraph"/>
              <w:spacing w:before="43"/>
              <w:ind w:left="401" w:right="58"/>
              <w:rPr>
                <w:sz w:val="17"/>
              </w:rPr>
            </w:pPr>
            <w:r>
              <w:rPr>
                <w:color w:val="231F20"/>
                <w:sz w:val="17"/>
              </w:rPr>
              <w:t>8.6%</w:t>
            </w:r>
          </w:p>
        </w:tc>
        <w:tc>
          <w:tcPr>
            <w:tcW w:w="1171" w:type="dxa"/>
          </w:tcPr>
          <w:p>
            <w:pPr>
              <w:pStyle w:val="TableParagraph"/>
              <w:spacing w:before="43"/>
              <w:ind w:left="298" w:right="299"/>
              <w:jc w:val="center"/>
              <w:rPr>
                <w:sz w:val="17"/>
              </w:rPr>
            </w:pPr>
            <w:r>
              <w:rPr>
                <w:color w:val="231F20"/>
                <w:sz w:val="17"/>
              </w:rPr>
              <w:t>12.0%</w:t>
            </w:r>
          </w:p>
        </w:tc>
        <w:tc>
          <w:tcPr>
            <w:tcW w:w="1061" w:type="dxa"/>
          </w:tcPr>
          <w:p>
            <w:pPr>
              <w:pStyle w:val="TableParagraph"/>
              <w:spacing w:before="43"/>
              <w:ind w:left="241" w:right="242"/>
              <w:jc w:val="center"/>
              <w:rPr>
                <w:sz w:val="17"/>
              </w:rPr>
            </w:pPr>
            <w:r>
              <w:rPr>
                <w:color w:val="231F20"/>
                <w:sz w:val="17"/>
              </w:rPr>
              <w:t>8.6%</w:t>
            </w:r>
          </w:p>
        </w:tc>
        <w:tc>
          <w:tcPr>
            <w:tcW w:w="1118" w:type="dxa"/>
          </w:tcPr>
          <w:p>
            <w:pPr>
              <w:pStyle w:val="TableParagraph"/>
              <w:spacing w:before="43"/>
              <w:ind w:left="273" w:right="270"/>
              <w:jc w:val="center"/>
              <w:rPr>
                <w:sz w:val="17"/>
              </w:rPr>
            </w:pPr>
            <w:r>
              <w:rPr>
                <w:color w:val="231F20"/>
                <w:sz w:val="17"/>
              </w:rPr>
              <w:t>10.9%</w:t>
            </w:r>
          </w:p>
        </w:tc>
      </w:tr>
      <w:tr>
        <w:trPr>
          <w:trHeight w:val="259" w:hRule="exact"/>
        </w:trPr>
        <w:tc>
          <w:tcPr>
            <w:tcW w:w="1474" w:type="dxa"/>
          </w:tcPr>
          <w:p>
            <w:pPr>
              <w:pStyle w:val="TableParagraph"/>
              <w:spacing w:before="43"/>
              <w:ind w:left="0" w:right="613"/>
              <w:jc w:val="right"/>
              <w:rPr>
                <w:sz w:val="17"/>
              </w:rPr>
            </w:pPr>
            <w:r>
              <w:rPr>
                <w:color w:val="231F20"/>
                <w:w w:val="110"/>
                <w:sz w:val="17"/>
              </w:rPr>
              <w:t>No</w:t>
            </w:r>
          </w:p>
        </w:tc>
        <w:tc>
          <w:tcPr>
            <w:tcW w:w="1176" w:type="dxa"/>
          </w:tcPr>
          <w:p>
            <w:pPr>
              <w:pStyle w:val="TableParagraph"/>
              <w:spacing w:before="43"/>
              <w:ind w:left="359" w:right="58"/>
              <w:rPr>
                <w:sz w:val="17"/>
              </w:rPr>
            </w:pPr>
            <w:r>
              <w:rPr>
                <w:color w:val="231F20"/>
                <w:sz w:val="17"/>
              </w:rPr>
              <w:t>91.4%</w:t>
            </w:r>
          </w:p>
        </w:tc>
        <w:tc>
          <w:tcPr>
            <w:tcW w:w="1171" w:type="dxa"/>
          </w:tcPr>
          <w:p>
            <w:pPr>
              <w:pStyle w:val="TableParagraph"/>
              <w:spacing w:before="43"/>
              <w:ind w:left="298" w:right="299"/>
              <w:jc w:val="center"/>
              <w:rPr>
                <w:sz w:val="17"/>
              </w:rPr>
            </w:pPr>
            <w:r>
              <w:rPr>
                <w:color w:val="231F20"/>
                <w:sz w:val="17"/>
              </w:rPr>
              <w:t>88.0%</w:t>
            </w:r>
          </w:p>
        </w:tc>
        <w:tc>
          <w:tcPr>
            <w:tcW w:w="1061" w:type="dxa"/>
          </w:tcPr>
          <w:p>
            <w:pPr>
              <w:pStyle w:val="TableParagraph"/>
              <w:spacing w:before="43"/>
              <w:ind w:left="241" w:right="242"/>
              <w:jc w:val="center"/>
              <w:rPr>
                <w:sz w:val="17"/>
              </w:rPr>
            </w:pPr>
            <w:r>
              <w:rPr>
                <w:color w:val="231F20"/>
                <w:sz w:val="17"/>
              </w:rPr>
              <w:t>91.4%</w:t>
            </w:r>
          </w:p>
        </w:tc>
        <w:tc>
          <w:tcPr>
            <w:tcW w:w="1118" w:type="dxa"/>
          </w:tcPr>
          <w:p>
            <w:pPr>
              <w:pStyle w:val="TableParagraph"/>
              <w:spacing w:before="43"/>
              <w:ind w:left="273" w:right="270"/>
              <w:jc w:val="center"/>
              <w:rPr>
                <w:sz w:val="17"/>
              </w:rPr>
            </w:pPr>
            <w:r>
              <w:rPr>
                <w:color w:val="231F20"/>
                <w:sz w:val="17"/>
              </w:rPr>
              <w:t>89-1%</w:t>
            </w:r>
          </w:p>
        </w:tc>
      </w:tr>
      <w:tr>
        <w:trPr>
          <w:trHeight w:val="259" w:hRule="exact"/>
        </w:trPr>
        <w:tc>
          <w:tcPr>
            <w:tcW w:w="1474" w:type="dxa"/>
          </w:tcPr>
          <w:p>
            <w:pPr>
              <w:pStyle w:val="TableParagraph"/>
              <w:spacing w:before="43"/>
              <w:ind w:left="0" w:right="544"/>
              <w:jc w:val="right"/>
              <w:rPr>
                <w:sz w:val="17"/>
              </w:rPr>
            </w:pPr>
            <w:r>
              <w:rPr>
                <w:color w:val="231F20"/>
                <w:sz w:val="17"/>
              </w:rPr>
              <w:t>Total</w:t>
            </w:r>
          </w:p>
        </w:tc>
        <w:tc>
          <w:tcPr>
            <w:tcW w:w="1176" w:type="dxa"/>
          </w:tcPr>
          <w:p>
            <w:pPr>
              <w:pStyle w:val="TableParagraph"/>
              <w:spacing w:before="43"/>
              <w:ind w:left="317" w:right="58"/>
              <w:rPr>
                <w:sz w:val="17"/>
              </w:rPr>
            </w:pPr>
            <w:r>
              <w:rPr>
                <w:color w:val="231F20"/>
                <w:sz w:val="17"/>
              </w:rPr>
              <w:t>100.0%</w:t>
            </w:r>
          </w:p>
        </w:tc>
        <w:tc>
          <w:tcPr>
            <w:tcW w:w="1171" w:type="dxa"/>
          </w:tcPr>
          <w:p>
            <w:pPr>
              <w:pStyle w:val="TableParagraph"/>
              <w:spacing w:before="43"/>
              <w:ind w:left="298" w:right="299"/>
              <w:jc w:val="center"/>
              <w:rPr>
                <w:sz w:val="17"/>
              </w:rPr>
            </w:pPr>
            <w:r>
              <w:rPr>
                <w:color w:val="231F20"/>
                <w:sz w:val="17"/>
              </w:rPr>
              <w:t>100.0%</w:t>
            </w:r>
          </w:p>
        </w:tc>
        <w:tc>
          <w:tcPr>
            <w:tcW w:w="1061" w:type="dxa"/>
          </w:tcPr>
          <w:p>
            <w:pPr>
              <w:pStyle w:val="TableParagraph"/>
              <w:spacing w:before="43"/>
              <w:ind w:left="241" w:right="242"/>
              <w:jc w:val="center"/>
              <w:rPr>
                <w:sz w:val="17"/>
              </w:rPr>
            </w:pPr>
            <w:r>
              <w:rPr>
                <w:color w:val="231F20"/>
                <w:sz w:val="17"/>
              </w:rPr>
              <w:t>100.0%</w:t>
            </w:r>
          </w:p>
        </w:tc>
        <w:tc>
          <w:tcPr>
            <w:tcW w:w="1118" w:type="dxa"/>
          </w:tcPr>
          <w:p>
            <w:pPr>
              <w:pStyle w:val="TableParagraph"/>
              <w:spacing w:before="43"/>
              <w:ind w:left="273" w:right="270"/>
              <w:jc w:val="center"/>
              <w:rPr>
                <w:sz w:val="17"/>
              </w:rPr>
            </w:pPr>
            <w:r>
              <w:rPr>
                <w:color w:val="231F20"/>
                <w:sz w:val="17"/>
              </w:rPr>
              <w:t>100.0%</w:t>
            </w:r>
          </w:p>
        </w:tc>
      </w:tr>
    </w:tbl>
    <w:p>
      <w:pPr>
        <w:pStyle w:val="BodyText"/>
        <w:spacing w:before="5"/>
        <w:rPr>
          <w:b/>
          <w:sz w:val="7"/>
        </w:rPr>
      </w:pPr>
    </w:p>
    <w:p>
      <w:pPr>
        <w:spacing w:line="307" w:lineRule="auto" w:before="77"/>
        <w:ind w:left="222" w:right="969" w:hanging="1"/>
        <w:jc w:val="left"/>
        <w:rPr>
          <w:sz w:val="17"/>
        </w:rPr>
      </w:pPr>
      <w:r>
        <w:rPr>
          <w:color w:val="231F20"/>
          <w:sz w:val="17"/>
        </w:rPr>
        <w:t>Fuente: Encuesta aplicada a los alumnos de nivel superior de la UABJO, junio-septiembre, 2011.</w:t>
      </w:r>
    </w:p>
    <w:p>
      <w:pPr>
        <w:pStyle w:val="BodyText"/>
        <w:spacing w:before="6"/>
        <w:rPr>
          <w:sz w:val="18"/>
        </w:rPr>
      </w:pPr>
    </w:p>
    <w:p>
      <w:pPr>
        <w:pStyle w:val="BodyText"/>
        <w:spacing w:line="249" w:lineRule="auto" w:before="1"/>
        <w:ind w:left="222" w:right="219" w:firstLine="284"/>
        <w:jc w:val="both"/>
      </w:pPr>
      <w:r>
        <w:rPr>
          <w:color w:val="231F20"/>
        </w:rPr>
        <w:t>Los datos revelan que esta forma de violencia no está generali- zada, por lo menos entre los alumnos encuestados, aunque sí está presente. Así, un 12.0% de los alumnos mayores de 21 años con</w:t>
      </w:r>
    </w:p>
    <w:p>
      <w:pPr>
        <w:spacing w:after="0" w:line="249" w:lineRule="auto"/>
        <w:jc w:val="both"/>
        <w:sectPr>
          <w:headerReference w:type="default" r:id="rId789"/>
          <w:footerReference w:type="default" r:id="rId790"/>
          <w:pgSz w:w="7830" w:h="11910"/>
          <w:pgMar w:header="0" w:footer="424" w:top="500" w:bottom="620" w:left="800" w:right="800"/>
          <w:pgNumType w:start="354"/>
        </w:sectPr>
      </w:pPr>
    </w:p>
    <w:p>
      <w:pPr>
        <w:spacing w:before="46"/>
        <w:ind w:left="160" w:right="57"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222" w:right="116"/>
        <w:jc w:val="both"/>
      </w:pPr>
      <w:r>
        <w:rPr>
          <w:color w:val="231F20"/>
        </w:rPr>
        <w:t>más tiempo que los más jóvenes en el ámbito universitario, aceptó que ha sufrido violencia por parte de los profesores. De  igual forma, los hombres presentan un porcentaje ligeramente más alto que las mujeres: 10.9%. Aunque es todavía pequeña esta violencia, está presente y puede incrementarse de no tomarse medidas.</w:t>
      </w:r>
    </w:p>
    <w:p>
      <w:pPr>
        <w:pStyle w:val="BodyText"/>
        <w:spacing w:line="247" w:lineRule="auto" w:before="6"/>
        <w:ind w:left="221" w:right="115" w:firstLine="284"/>
        <w:jc w:val="both"/>
      </w:pPr>
      <w:r>
        <w:rPr>
          <w:color w:val="231F20"/>
          <w:spacing w:val="2"/>
        </w:rPr>
        <w:t>Otro sector </w:t>
      </w:r>
      <w:r>
        <w:rPr>
          <w:color w:val="231F20"/>
        </w:rPr>
        <w:t>que </w:t>
      </w:r>
      <w:r>
        <w:rPr>
          <w:color w:val="231F20"/>
          <w:spacing w:val="2"/>
        </w:rPr>
        <w:t>suele ejercer violencia hacia los </w:t>
      </w:r>
      <w:r>
        <w:rPr>
          <w:color w:val="231F20"/>
          <w:spacing w:val="3"/>
        </w:rPr>
        <w:t>alumnos </w:t>
      </w:r>
      <w:r>
        <w:rPr>
          <w:color w:val="231F20"/>
        </w:rPr>
        <w:t>lo </w:t>
      </w:r>
      <w:r>
        <w:rPr>
          <w:color w:val="231F20"/>
          <w:spacing w:val="2"/>
        </w:rPr>
        <w:t>constituyen los </w:t>
      </w:r>
      <w:r>
        <w:rPr>
          <w:color w:val="231F20"/>
          <w:spacing w:val="3"/>
        </w:rPr>
        <w:t>funcionarios </w:t>
      </w:r>
      <w:r>
        <w:rPr>
          <w:color w:val="231F20"/>
          <w:spacing w:val="2"/>
        </w:rPr>
        <w:t>universitarios. Los </w:t>
      </w:r>
      <w:r>
        <w:rPr>
          <w:color w:val="231F20"/>
          <w:spacing w:val="3"/>
        </w:rPr>
        <w:t>funcionarios, </w:t>
      </w:r>
      <w:r>
        <w:rPr>
          <w:color w:val="231F20"/>
        </w:rPr>
        <w:t>en   su </w:t>
      </w:r>
      <w:r>
        <w:rPr>
          <w:color w:val="231F20"/>
          <w:spacing w:val="2"/>
        </w:rPr>
        <w:t>mayoría, son parte </w:t>
      </w:r>
      <w:r>
        <w:rPr>
          <w:color w:val="231F20"/>
        </w:rPr>
        <w:t>de la </w:t>
      </w:r>
      <w:r>
        <w:rPr>
          <w:color w:val="231F20"/>
          <w:spacing w:val="2"/>
        </w:rPr>
        <w:t>planta </w:t>
      </w:r>
      <w:r>
        <w:rPr>
          <w:color w:val="231F20"/>
          <w:spacing w:val="3"/>
        </w:rPr>
        <w:t>docente </w:t>
      </w:r>
      <w:r>
        <w:rPr>
          <w:color w:val="231F20"/>
        </w:rPr>
        <w:t>de la </w:t>
      </w:r>
      <w:r>
        <w:rPr>
          <w:color w:val="231F20"/>
          <w:spacing w:val="2"/>
        </w:rPr>
        <w:t>universidad </w:t>
      </w:r>
      <w:r>
        <w:rPr>
          <w:color w:val="231F20"/>
        </w:rPr>
        <w:t>y </w:t>
      </w:r>
      <w:r>
        <w:rPr>
          <w:color w:val="231F20"/>
          <w:spacing w:val="2"/>
        </w:rPr>
        <w:t>también pertenecen </w:t>
      </w:r>
      <w:r>
        <w:rPr>
          <w:color w:val="231F20"/>
        </w:rPr>
        <w:t>a </w:t>
      </w:r>
      <w:r>
        <w:rPr>
          <w:color w:val="231F20"/>
          <w:spacing w:val="2"/>
        </w:rPr>
        <w:t>alguno </w:t>
      </w:r>
      <w:r>
        <w:rPr>
          <w:color w:val="231F20"/>
        </w:rPr>
        <w:t>de </w:t>
      </w:r>
      <w:r>
        <w:rPr>
          <w:color w:val="231F20"/>
          <w:spacing w:val="2"/>
        </w:rPr>
        <w:t>los sindicatos académicos </w:t>
      </w:r>
      <w:r>
        <w:rPr>
          <w:color w:val="231F20"/>
          <w:spacing w:val="3"/>
        </w:rPr>
        <w:t>existen- </w:t>
      </w:r>
      <w:r>
        <w:rPr>
          <w:color w:val="231F20"/>
          <w:spacing w:val="2"/>
        </w:rPr>
        <w:t>tes. </w:t>
      </w:r>
      <w:r>
        <w:rPr>
          <w:color w:val="231F20"/>
          <w:spacing w:val="3"/>
        </w:rPr>
        <w:t>Como </w:t>
      </w:r>
      <w:r>
        <w:rPr>
          <w:color w:val="231F20"/>
          <w:spacing w:val="2"/>
        </w:rPr>
        <w:t>funcionarios tienen poder para tratar </w:t>
      </w:r>
      <w:r>
        <w:rPr>
          <w:color w:val="231F20"/>
        </w:rPr>
        <w:t>de </w:t>
      </w:r>
      <w:r>
        <w:rPr>
          <w:color w:val="231F20"/>
          <w:spacing w:val="2"/>
        </w:rPr>
        <w:t>encausar </w:t>
      </w:r>
      <w:r>
        <w:rPr>
          <w:color w:val="231F20"/>
        </w:rPr>
        <w:t>la </w:t>
      </w:r>
      <w:r>
        <w:rPr>
          <w:color w:val="231F20"/>
          <w:spacing w:val="2"/>
        </w:rPr>
        <w:t>escuela </w:t>
      </w:r>
      <w:r>
        <w:rPr>
          <w:color w:val="231F20"/>
        </w:rPr>
        <w:t>o </w:t>
      </w:r>
      <w:r>
        <w:rPr>
          <w:color w:val="231F20"/>
          <w:spacing w:val="2"/>
        </w:rPr>
        <w:t>facultad </w:t>
      </w:r>
      <w:r>
        <w:rPr>
          <w:color w:val="231F20"/>
        </w:rPr>
        <w:t>a la </w:t>
      </w:r>
      <w:r>
        <w:rPr>
          <w:color w:val="231F20"/>
          <w:spacing w:val="2"/>
        </w:rPr>
        <w:t>que </w:t>
      </w:r>
      <w:r>
        <w:rPr>
          <w:color w:val="231F20"/>
          <w:spacing w:val="3"/>
        </w:rPr>
        <w:t>pertenecen, </w:t>
      </w:r>
      <w:r>
        <w:rPr>
          <w:color w:val="231F20"/>
        </w:rPr>
        <w:t>y, si </w:t>
      </w:r>
      <w:r>
        <w:rPr>
          <w:color w:val="231F20"/>
          <w:spacing w:val="2"/>
        </w:rPr>
        <w:t>existe </w:t>
      </w:r>
      <w:r>
        <w:rPr>
          <w:color w:val="231F20"/>
          <w:spacing w:val="3"/>
        </w:rPr>
        <w:t>oposición, </w:t>
      </w:r>
      <w:r>
        <w:rPr>
          <w:color w:val="231F20"/>
          <w:spacing w:val="2"/>
        </w:rPr>
        <w:t>pue- den hacer </w:t>
      </w:r>
      <w:r>
        <w:rPr>
          <w:color w:val="231F20"/>
        </w:rPr>
        <w:t>uso de su </w:t>
      </w:r>
      <w:r>
        <w:rPr>
          <w:color w:val="231F20"/>
          <w:spacing w:val="2"/>
        </w:rPr>
        <w:t>poder. Los datos </w:t>
      </w:r>
      <w:r>
        <w:rPr>
          <w:color w:val="231F20"/>
        </w:rPr>
        <w:t>al </w:t>
      </w:r>
      <w:r>
        <w:rPr>
          <w:color w:val="231F20"/>
          <w:spacing w:val="2"/>
        </w:rPr>
        <w:t>respecto </w:t>
      </w:r>
      <w:r>
        <w:rPr>
          <w:color w:val="231F20"/>
          <w:spacing w:val="46"/>
        </w:rPr>
        <w:t> </w:t>
      </w:r>
      <w:r>
        <w:rPr>
          <w:color w:val="231F20"/>
          <w:spacing w:val="2"/>
        </w:rPr>
        <w:t>son:</w:t>
      </w:r>
    </w:p>
    <w:p>
      <w:pPr>
        <w:pStyle w:val="BodyText"/>
        <w:spacing w:before="3"/>
        <w:rPr>
          <w:sz w:val="23"/>
        </w:rPr>
      </w:pPr>
    </w:p>
    <w:p>
      <w:pPr>
        <w:spacing w:line="273" w:lineRule="auto" w:before="1"/>
        <w:ind w:left="160" w:right="55" w:firstLine="0"/>
        <w:jc w:val="center"/>
        <w:rPr>
          <w:b/>
          <w:sz w:val="19"/>
        </w:rPr>
      </w:pPr>
      <w:r>
        <w:rPr>
          <w:b/>
          <w:color w:val="231F20"/>
          <w:sz w:val="19"/>
        </w:rPr>
        <w:t>Cuadro 7. Experiencias de violencia por parte de funcionarios universitarios, por grupos de edad y   sexo</w:t>
      </w:r>
    </w:p>
    <w:p>
      <w:pPr>
        <w:pStyle w:val="BodyText"/>
        <w:spacing w:before="8"/>
        <w:rPr>
          <w:b/>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35"/>
        <w:gridCol w:w="1099"/>
        <w:gridCol w:w="1094"/>
        <w:gridCol w:w="1085"/>
        <w:gridCol w:w="1061"/>
      </w:tblGrid>
      <w:tr>
        <w:trPr>
          <w:trHeight w:val="638" w:hRule="exact"/>
        </w:trPr>
        <w:tc>
          <w:tcPr>
            <w:tcW w:w="1435" w:type="dxa"/>
            <w:vMerge w:val="restart"/>
          </w:tcPr>
          <w:p>
            <w:pPr>
              <w:pStyle w:val="TableParagraph"/>
              <w:ind w:left="0"/>
              <w:rPr>
                <w:b/>
                <w:sz w:val="18"/>
              </w:rPr>
            </w:pPr>
          </w:p>
          <w:p>
            <w:pPr>
              <w:pStyle w:val="TableParagraph"/>
              <w:spacing w:line="307" w:lineRule="auto" w:before="157"/>
              <w:ind w:left="285" w:right="167" w:hanging="113"/>
              <w:rPr>
                <w:b/>
                <w:sz w:val="17"/>
              </w:rPr>
            </w:pPr>
            <w:r>
              <w:rPr>
                <w:b/>
                <w:color w:val="231F20"/>
                <w:w w:val="105"/>
                <w:sz w:val="17"/>
              </w:rPr>
              <w:t>Percepción de la violencia</w:t>
            </w:r>
          </w:p>
        </w:tc>
        <w:tc>
          <w:tcPr>
            <w:tcW w:w="2194" w:type="dxa"/>
            <w:gridSpan w:val="2"/>
          </w:tcPr>
          <w:p>
            <w:pPr>
              <w:pStyle w:val="TableParagraph"/>
              <w:ind w:left="0"/>
              <w:rPr>
                <w:b/>
                <w:sz w:val="20"/>
              </w:rPr>
            </w:pPr>
          </w:p>
          <w:p>
            <w:pPr>
              <w:pStyle w:val="TableParagraph"/>
              <w:ind w:left="488"/>
              <w:rPr>
                <w:b/>
                <w:sz w:val="17"/>
              </w:rPr>
            </w:pPr>
            <w:r>
              <w:rPr>
                <w:b/>
                <w:color w:val="231F20"/>
                <w:w w:val="105"/>
                <w:sz w:val="17"/>
              </w:rPr>
              <w:t>Grupos de edad</w:t>
            </w:r>
          </w:p>
        </w:tc>
        <w:tc>
          <w:tcPr>
            <w:tcW w:w="2146" w:type="dxa"/>
            <w:gridSpan w:val="2"/>
          </w:tcPr>
          <w:p>
            <w:pPr>
              <w:pStyle w:val="TableParagraph"/>
              <w:ind w:left="0"/>
              <w:rPr>
                <w:b/>
                <w:sz w:val="20"/>
              </w:rPr>
            </w:pPr>
          </w:p>
          <w:p>
            <w:pPr>
              <w:pStyle w:val="TableParagraph"/>
              <w:ind w:left="871" w:right="867"/>
              <w:jc w:val="center"/>
              <w:rPr>
                <w:b/>
                <w:sz w:val="17"/>
              </w:rPr>
            </w:pPr>
            <w:r>
              <w:rPr>
                <w:b/>
                <w:color w:val="231F20"/>
                <w:w w:val="105"/>
                <w:sz w:val="17"/>
              </w:rPr>
              <w:t>Sexo</w:t>
            </w:r>
          </w:p>
        </w:tc>
      </w:tr>
      <w:tr>
        <w:trPr>
          <w:trHeight w:val="509" w:hRule="exact"/>
        </w:trPr>
        <w:tc>
          <w:tcPr>
            <w:tcW w:w="1435" w:type="dxa"/>
            <w:vMerge/>
          </w:tcPr>
          <w:p>
            <w:pPr/>
          </w:p>
        </w:tc>
        <w:tc>
          <w:tcPr>
            <w:tcW w:w="1099" w:type="dxa"/>
          </w:tcPr>
          <w:p>
            <w:pPr>
              <w:pStyle w:val="TableParagraph"/>
              <w:spacing w:line="307" w:lineRule="auto" w:before="43"/>
              <w:ind w:left="380" w:right="237" w:hanging="147"/>
              <w:rPr>
                <w:sz w:val="17"/>
              </w:rPr>
            </w:pPr>
            <w:r>
              <w:rPr>
                <w:color w:val="231F20"/>
                <w:sz w:val="17"/>
              </w:rPr>
              <w:t>Hasta 20 años</w:t>
            </w:r>
          </w:p>
        </w:tc>
        <w:tc>
          <w:tcPr>
            <w:tcW w:w="1094" w:type="dxa"/>
          </w:tcPr>
          <w:p>
            <w:pPr>
              <w:pStyle w:val="TableParagraph"/>
              <w:spacing w:line="307" w:lineRule="auto" w:before="43"/>
              <w:ind w:left="403" w:right="200" w:hanging="190"/>
              <w:rPr>
                <w:sz w:val="17"/>
              </w:rPr>
            </w:pPr>
            <w:r>
              <w:rPr>
                <w:color w:val="231F20"/>
                <w:sz w:val="17"/>
              </w:rPr>
              <w:t>21 años y más</w:t>
            </w:r>
          </w:p>
        </w:tc>
        <w:tc>
          <w:tcPr>
            <w:tcW w:w="1085" w:type="dxa"/>
          </w:tcPr>
          <w:p>
            <w:pPr>
              <w:pStyle w:val="TableParagraph"/>
              <w:spacing w:before="6"/>
              <w:ind w:left="0"/>
              <w:rPr>
                <w:b/>
                <w:sz w:val="14"/>
              </w:rPr>
            </w:pPr>
          </w:p>
          <w:p>
            <w:pPr>
              <w:pStyle w:val="TableParagraph"/>
              <w:ind w:left="0" w:right="356"/>
              <w:jc w:val="right"/>
              <w:rPr>
                <w:sz w:val="17"/>
              </w:rPr>
            </w:pPr>
            <w:r>
              <w:rPr>
                <w:color w:val="231F20"/>
                <w:sz w:val="17"/>
              </w:rPr>
              <w:t>Fem.</w:t>
            </w:r>
          </w:p>
        </w:tc>
        <w:tc>
          <w:tcPr>
            <w:tcW w:w="1061" w:type="dxa"/>
          </w:tcPr>
          <w:p>
            <w:pPr>
              <w:pStyle w:val="TableParagraph"/>
              <w:spacing w:before="6"/>
              <w:ind w:left="0"/>
              <w:rPr>
                <w:b/>
                <w:sz w:val="14"/>
              </w:rPr>
            </w:pPr>
          </w:p>
          <w:p>
            <w:pPr>
              <w:pStyle w:val="TableParagraph"/>
              <w:ind w:left="243" w:right="239"/>
              <w:jc w:val="center"/>
              <w:rPr>
                <w:sz w:val="17"/>
              </w:rPr>
            </w:pPr>
            <w:r>
              <w:rPr>
                <w:color w:val="231F20"/>
                <w:sz w:val="17"/>
              </w:rPr>
              <w:t>Masc.</w:t>
            </w:r>
          </w:p>
        </w:tc>
      </w:tr>
      <w:tr>
        <w:trPr>
          <w:trHeight w:val="259" w:hRule="exact"/>
        </w:trPr>
        <w:tc>
          <w:tcPr>
            <w:tcW w:w="1435" w:type="dxa"/>
          </w:tcPr>
          <w:p>
            <w:pPr>
              <w:pStyle w:val="TableParagraph"/>
              <w:spacing w:before="43"/>
              <w:ind w:left="621" w:right="621"/>
              <w:jc w:val="center"/>
              <w:rPr>
                <w:sz w:val="17"/>
              </w:rPr>
            </w:pPr>
            <w:r>
              <w:rPr>
                <w:color w:val="231F20"/>
                <w:sz w:val="17"/>
              </w:rPr>
              <w:t>Sí</w:t>
            </w:r>
          </w:p>
        </w:tc>
        <w:tc>
          <w:tcPr>
            <w:tcW w:w="1099" w:type="dxa"/>
          </w:tcPr>
          <w:p>
            <w:pPr>
              <w:pStyle w:val="TableParagraph"/>
              <w:spacing w:before="43"/>
              <w:ind w:left="260" w:right="264"/>
              <w:jc w:val="center"/>
              <w:rPr>
                <w:sz w:val="17"/>
              </w:rPr>
            </w:pPr>
            <w:r>
              <w:rPr>
                <w:color w:val="231F20"/>
                <w:sz w:val="17"/>
              </w:rPr>
              <w:t>4.4%</w:t>
            </w:r>
          </w:p>
        </w:tc>
        <w:tc>
          <w:tcPr>
            <w:tcW w:w="1094" w:type="dxa"/>
          </w:tcPr>
          <w:p>
            <w:pPr>
              <w:pStyle w:val="TableParagraph"/>
              <w:spacing w:before="43"/>
              <w:ind w:left="260" w:right="260"/>
              <w:jc w:val="center"/>
              <w:rPr>
                <w:sz w:val="17"/>
              </w:rPr>
            </w:pPr>
            <w:r>
              <w:rPr>
                <w:color w:val="231F20"/>
                <w:sz w:val="17"/>
              </w:rPr>
              <w:t>7.6%</w:t>
            </w:r>
          </w:p>
        </w:tc>
        <w:tc>
          <w:tcPr>
            <w:tcW w:w="1085" w:type="dxa"/>
          </w:tcPr>
          <w:p>
            <w:pPr>
              <w:pStyle w:val="TableParagraph"/>
              <w:spacing w:before="43"/>
              <w:ind w:left="0" w:right="355"/>
              <w:jc w:val="right"/>
              <w:rPr>
                <w:sz w:val="17"/>
              </w:rPr>
            </w:pPr>
            <w:r>
              <w:rPr>
                <w:color w:val="231F20"/>
                <w:sz w:val="17"/>
              </w:rPr>
              <w:t>5.4%</w:t>
            </w:r>
          </w:p>
        </w:tc>
        <w:tc>
          <w:tcPr>
            <w:tcW w:w="1061" w:type="dxa"/>
          </w:tcPr>
          <w:p>
            <w:pPr>
              <w:pStyle w:val="TableParagraph"/>
              <w:spacing w:before="43"/>
              <w:ind w:left="243" w:right="240"/>
              <w:jc w:val="center"/>
              <w:rPr>
                <w:sz w:val="17"/>
              </w:rPr>
            </w:pPr>
            <w:r>
              <w:rPr>
                <w:color w:val="231F20"/>
                <w:sz w:val="17"/>
              </w:rPr>
              <w:t>6.8%</w:t>
            </w:r>
          </w:p>
        </w:tc>
      </w:tr>
      <w:tr>
        <w:trPr>
          <w:trHeight w:val="259" w:hRule="exact"/>
        </w:trPr>
        <w:tc>
          <w:tcPr>
            <w:tcW w:w="1435" w:type="dxa"/>
          </w:tcPr>
          <w:p>
            <w:pPr>
              <w:pStyle w:val="TableParagraph"/>
              <w:spacing w:before="43"/>
              <w:ind w:left="598" w:right="167"/>
              <w:rPr>
                <w:sz w:val="17"/>
              </w:rPr>
            </w:pPr>
            <w:r>
              <w:rPr>
                <w:color w:val="231F20"/>
                <w:w w:val="110"/>
                <w:sz w:val="17"/>
              </w:rPr>
              <w:t>No</w:t>
            </w:r>
          </w:p>
        </w:tc>
        <w:tc>
          <w:tcPr>
            <w:tcW w:w="1099" w:type="dxa"/>
          </w:tcPr>
          <w:p>
            <w:pPr>
              <w:pStyle w:val="TableParagraph"/>
              <w:spacing w:before="43"/>
              <w:ind w:left="260" w:right="264"/>
              <w:jc w:val="center"/>
              <w:rPr>
                <w:sz w:val="17"/>
              </w:rPr>
            </w:pPr>
            <w:r>
              <w:rPr>
                <w:color w:val="231F20"/>
                <w:sz w:val="17"/>
              </w:rPr>
              <w:t>95.6%</w:t>
            </w:r>
          </w:p>
        </w:tc>
        <w:tc>
          <w:tcPr>
            <w:tcW w:w="1094" w:type="dxa"/>
          </w:tcPr>
          <w:p>
            <w:pPr>
              <w:pStyle w:val="TableParagraph"/>
              <w:spacing w:before="43"/>
              <w:ind w:left="260" w:right="260"/>
              <w:jc w:val="center"/>
              <w:rPr>
                <w:sz w:val="17"/>
              </w:rPr>
            </w:pPr>
            <w:r>
              <w:rPr>
                <w:color w:val="231F20"/>
                <w:sz w:val="17"/>
              </w:rPr>
              <w:t>92.4%</w:t>
            </w:r>
          </w:p>
        </w:tc>
        <w:tc>
          <w:tcPr>
            <w:tcW w:w="1085" w:type="dxa"/>
          </w:tcPr>
          <w:p>
            <w:pPr>
              <w:pStyle w:val="TableParagraph"/>
              <w:spacing w:before="43"/>
              <w:ind w:left="0" w:right="313"/>
              <w:jc w:val="right"/>
              <w:rPr>
                <w:sz w:val="17"/>
              </w:rPr>
            </w:pPr>
            <w:r>
              <w:rPr>
                <w:color w:val="231F20"/>
                <w:w w:val="95"/>
                <w:sz w:val="17"/>
              </w:rPr>
              <w:t>94.6%</w:t>
            </w:r>
          </w:p>
        </w:tc>
        <w:tc>
          <w:tcPr>
            <w:tcW w:w="1061" w:type="dxa"/>
          </w:tcPr>
          <w:p>
            <w:pPr>
              <w:pStyle w:val="TableParagraph"/>
              <w:spacing w:before="43"/>
              <w:ind w:left="243" w:right="240"/>
              <w:jc w:val="center"/>
              <w:rPr>
                <w:sz w:val="17"/>
              </w:rPr>
            </w:pPr>
            <w:r>
              <w:rPr>
                <w:color w:val="231F20"/>
                <w:sz w:val="17"/>
              </w:rPr>
              <w:t>93.6%</w:t>
            </w:r>
          </w:p>
        </w:tc>
      </w:tr>
      <w:tr>
        <w:trPr>
          <w:trHeight w:val="259" w:hRule="exact"/>
        </w:trPr>
        <w:tc>
          <w:tcPr>
            <w:tcW w:w="1435" w:type="dxa"/>
          </w:tcPr>
          <w:p>
            <w:pPr>
              <w:pStyle w:val="TableParagraph"/>
              <w:spacing w:before="43"/>
              <w:ind w:left="528" w:right="167"/>
              <w:rPr>
                <w:sz w:val="17"/>
              </w:rPr>
            </w:pPr>
            <w:r>
              <w:rPr>
                <w:color w:val="231F20"/>
                <w:sz w:val="17"/>
              </w:rPr>
              <w:t>Total</w:t>
            </w:r>
          </w:p>
        </w:tc>
        <w:tc>
          <w:tcPr>
            <w:tcW w:w="1099" w:type="dxa"/>
          </w:tcPr>
          <w:p>
            <w:pPr>
              <w:pStyle w:val="TableParagraph"/>
              <w:spacing w:before="43"/>
              <w:ind w:left="260" w:right="264"/>
              <w:jc w:val="center"/>
              <w:rPr>
                <w:sz w:val="17"/>
              </w:rPr>
            </w:pPr>
            <w:r>
              <w:rPr>
                <w:color w:val="231F20"/>
                <w:sz w:val="17"/>
              </w:rPr>
              <w:t>100.0%</w:t>
            </w:r>
          </w:p>
        </w:tc>
        <w:tc>
          <w:tcPr>
            <w:tcW w:w="1094" w:type="dxa"/>
          </w:tcPr>
          <w:p>
            <w:pPr>
              <w:pStyle w:val="TableParagraph"/>
              <w:spacing w:before="43"/>
              <w:ind w:left="260" w:right="260"/>
              <w:jc w:val="center"/>
              <w:rPr>
                <w:sz w:val="17"/>
              </w:rPr>
            </w:pPr>
            <w:r>
              <w:rPr>
                <w:color w:val="231F20"/>
                <w:sz w:val="17"/>
              </w:rPr>
              <w:t>100.0%</w:t>
            </w:r>
          </w:p>
        </w:tc>
        <w:tc>
          <w:tcPr>
            <w:tcW w:w="1085" w:type="dxa"/>
          </w:tcPr>
          <w:p>
            <w:pPr>
              <w:pStyle w:val="TableParagraph"/>
              <w:spacing w:before="43"/>
              <w:ind w:left="0" w:right="271"/>
              <w:jc w:val="right"/>
              <w:rPr>
                <w:sz w:val="17"/>
              </w:rPr>
            </w:pPr>
            <w:r>
              <w:rPr>
                <w:color w:val="231F20"/>
                <w:w w:val="95"/>
                <w:sz w:val="17"/>
              </w:rPr>
              <w:t>100.0%</w:t>
            </w:r>
          </w:p>
        </w:tc>
        <w:tc>
          <w:tcPr>
            <w:tcW w:w="1061" w:type="dxa"/>
          </w:tcPr>
          <w:p>
            <w:pPr>
              <w:pStyle w:val="TableParagraph"/>
              <w:spacing w:before="43"/>
              <w:ind w:left="243" w:right="240"/>
              <w:jc w:val="center"/>
              <w:rPr>
                <w:sz w:val="17"/>
              </w:rPr>
            </w:pPr>
            <w:r>
              <w:rPr>
                <w:color w:val="231F20"/>
                <w:sz w:val="17"/>
              </w:rPr>
              <w:t>100.0%</w:t>
            </w:r>
          </w:p>
        </w:tc>
      </w:tr>
    </w:tbl>
    <w:p>
      <w:pPr>
        <w:pStyle w:val="BodyText"/>
        <w:spacing w:before="5"/>
        <w:rPr>
          <w:b/>
          <w:sz w:val="7"/>
        </w:rPr>
      </w:pPr>
    </w:p>
    <w:p>
      <w:pPr>
        <w:spacing w:line="307" w:lineRule="auto" w:before="77"/>
        <w:ind w:left="222" w:right="869" w:hanging="1"/>
        <w:jc w:val="left"/>
        <w:rPr>
          <w:sz w:val="17"/>
        </w:rPr>
      </w:pPr>
      <w:r>
        <w:rPr>
          <w:color w:val="231F20"/>
          <w:sz w:val="17"/>
        </w:rPr>
        <w:t>Fuente: Encuesta aplicada a los alumnos de nivel superior de la UABJO, junio-septiembre, 2011.</w:t>
      </w:r>
    </w:p>
    <w:p>
      <w:pPr>
        <w:pStyle w:val="BodyText"/>
        <w:rPr>
          <w:sz w:val="19"/>
        </w:rPr>
      </w:pPr>
    </w:p>
    <w:p>
      <w:pPr>
        <w:pStyle w:val="BodyText"/>
        <w:spacing w:line="247" w:lineRule="auto"/>
        <w:ind w:left="222" w:right="115" w:firstLine="284"/>
        <w:jc w:val="both"/>
      </w:pPr>
      <w:r>
        <w:rPr>
          <w:color w:val="231F20"/>
          <w:spacing w:val="4"/>
        </w:rPr>
        <w:t>Como </w:t>
      </w:r>
      <w:r>
        <w:rPr>
          <w:color w:val="231F20"/>
          <w:spacing w:val="2"/>
        </w:rPr>
        <w:t>se </w:t>
      </w:r>
      <w:r>
        <w:rPr>
          <w:color w:val="231F20"/>
          <w:spacing w:val="3"/>
        </w:rPr>
        <w:t>decía </w:t>
      </w:r>
      <w:r>
        <w:rPr>
          <w:color w:val="231F20"/>
          <w:spacing w:val="2"/>
        </w:rPr>
        <w:t>en </w:t>
      </w:r>
      <w:r>
        <w:rPr>
          <w:color w:val="231F20"/>
          <w:spacing w:val="4"/>
        </w:rPr>
        <w:t>líneas anteriores, </w:t>
      </w:r>
      <w:r>
        <w:rPr>
          <w:color w:val="231F20"/>
        </w:rPr>
        <w:t>la </w:t>
      </w:r>
      <w:r>
        <w:rPr>
          <w:color w:val="231F20"/>
          <w:spacing w:val="4"/>
        </w:rPr>
        <w:t>violencia </w:t>
      </w:r>
      <w:r>
        <w:rPr>
          <w:color w:val="231F20"/>
          <w:spacing w:val="2"/>
        </w:rPr>
        <w:t>de </w:t>
      </w:r>
      <w:r>
        <w:rPr>
          <w:color w:val="231F20"/>
          <w:spacing w:val="5"/>
        </w:rPr>
        <w:t>funciona- </w:t>
      </w:r>
      <w:r>
        <w:rPr>
          <w:color w:val="231F20"/>
          <w:spacing w:val="4"/>
        </w:rPr>
        <w:t>rios hacia </w:t>
      </w:r>
      <w:r>
        <w:rPr>
          <w:color w:val="231F20"/>
          <w:spacing w:val="3"/>
        </w:rPr>
        <w:t>los </w:t>
      </w:r>
      <w:r>
        <w:rPr>
          <w:color w:val="231F20"/>
          <w:spacing w:val="4"/>
        </w:rPr>
        <w:t>alumnos puede presentarse </w:t>
      </w:r>
      <w:r>
        <w:rPr>
          <w:color w:val="231F20"/>
          <w:spacing w:val="2"/>
        </w:rPr>
        <w:t>y, </w:t>
      </w:r>
      <w:r>
        <w:rPr>
          <w:color w:val="231F20"/>
          <w:spacing w:val="3"/>
        </w:rPr>
        <w:t>de </w:t>
      </w:r>
      <w:r>
        <w:rPr>
          <w:color w:val="231F20"/>
          <w:spacing w:val="4"/>
        </w:rPr>
        <w:t>acuerdo </w:t>
      </w:r>
      <w:r>
        <w:rPr>
          <w:color w:val="231F20"/>
          <w:spacing w:val="3"/>
        </w:rPr>
        <w:t>con </w:t>
      </w:r>
      <w:r>
        <w:rPr>
          <w:color w:val="231F20"/>
          <w:spacing w:val="5"/>
        </w:rPr>
        <w:t>los </w:t>
      </w:r>
      <w:r>
        <w:rPr>
          <w:color w:val="231F20"/>
          <w:spacing w:val="4"/>
        </w:rPr>
        <w:t>datos </w:t>
      </w:r>
      <w:r>
        <w:rPr>
          <w:color w:val="231F20"/>
          <w:spacing w:val="3"/>
        </w:rPr>
        <w:t>de </w:t>
      </w:r>
      <w:r>
        <w:rPr>
          <w:color w:val="231F20"/>
        </w:rPr>
        <w:t>la </w:t>
      </w:r>
      <w:r>
        <w:rPr>
          <w:color w:val="231F20"/>
          <w:spacing w:val="4"/>
        </w:rPr>
        <w:t>encuesta, </w:t>
      </w:r>
      <w:r>
        <w:rPr>
          <w:color w:val="231F20"/>
          <w:spacing w:val="2"/>
        </w:rPr>
        <w:t>se </w:t>
      </w:r>
      <w:r>
        <w:rPr>
          <w:color w:val="231F20"/>
          <w:spacing w:val="4"/>
        </w:rPr>
        <w:t>presentan aunque  </w:t>
      </w:r>
      <w:r>
        <w:rPr>
          <w:color w:val="231F20"/>
          <w:spacing w:val="2"/>
        </w:rPr>
        <w:t>en  </w:t>
      </w:r>
      <w:r>
        <w:rPr>
          <w:color w:val="231F20"/>
          <w:spacing w:val="3"/>
        </w:rPr>
        <w:t>una  </w:t>
      </w:r>
      <w:r>
        <w:rPr>
          <w:color w:val="231F20"/>
          <w:spacing w:val="4"/>
        </w:rPr>
        <w:t>proporción baja. </w:t>
      </w:r>
      <w:r>
        <w:rPr>
          <w:color w:val="231F20"/>
          <w:spacing w:val="3"/>
        </w:rPr>
        <w:t>De </w:t>
      </w:r>
      <w:r>
        <w:rPr>
          <w:color w:val="231F20"/>
          <w:spacing w:val="2"/>
        </w:rPr>
        <w:t>la </w:t>
      </w:r>
      <w:r>
        <w:rPr>
          <w:color w:val="231F20"/>
          <w:spacing w:val="4"/>
        </w:rPr>
        <w:t>población </w:t>
      </w:r>
      <w:r>
        <w:rPr>
          <w:color w:val="231F20"/>
          <w:spacing w:val="3"/>
        </w:rPr>
        <w:t>de </w:t>
      </w:r>
      <w:r>
        <w:rPr>
          <w:color w:val="231F20"/>
          <w:spacing w:val="2"/>
        </w:rPr>
        <w:t>20 </w:t>
      </w:r>
      <w:r>
        <w:rPr>
          <w:color w:val="231F20"/>
          <w:spacing w:val="4"/>
        </w:rPr>
        <w:t>años, </w:t>
      </w:r>
      <w:r>
        <w:rPr>
          <w:color w:val="231F20"/>
          <w:spacing w:val="2"/>
        </w:rPr>
        <w:t>es </w:t>
      </w:r>
      <w:r>
        <w:rPr>
          <w:color w:val="231F20"/>
          <w:spacing w:val="4"/>
        </w:rPr>
        <w:t>decir, </w:t>
      </w:r>
      <w:r>
        <w:rPr>
          <w:color w:val="231F20"/>
          <w:spacing w:val="3"/>
        </w:rPr>
        <w:t>los que </w:t>
      </w:r>
      <w:r>
        <w:rPr>
          <w:color w:val="231F20"/>
          <w:spacing w:val="4"/>
        </w:rPr>
        <w:t>recién </w:t>
      </w:r>
      <w:r>
        <w:rPr>
          <w:color w:val="231F20"/>
          <w:spacing w:val="5"/>
        </w:rPr>
        <w:t>han </w:t>
      </w:r>
      <w:r>
        <w:rPr>
          <w:color w:val="231F20"/>
          <w:spacing w:val="4"/>
        </w:rPr>
        <w:t>ingresado </w:t>
      </w:r>
      <w:r>
        <w:rPr>
          <w:color w:val="231F20"/>
          <w:spacing w:val="2"/>
        </w:rPr>
        <w:t>al </w:t>
      </w:r>
      <w:r>
        <w:rPr>
          <w:color w:val="231F20"/>
          <w:spacing w:val="4"/>
        </w:rPr>
        <w:t>nivel superior, </w:t>
      </w:r>
      <w:r>
        <w:rPr>
          <w:color w:val="231F20"/>
          <w:spacing w:val="3"/>
        </w:rPr>
        <w:t>solo </w:t>
      </w:r>
      <w:r>
        <w:rPr>
          <w:color w:val="231F20"/>
          <w:spacing w:val="2"/>
        </w:rPr>
        <w:t>el </w:t>
      </w:r>
      <w:r>
        <w:rPr>
          <w:color w:val="231F20"/>
          <w:spacing w:val="3"/>
        </w:rPr>
        <w:t>4.4% </w:t>
      </w:r>
      <w:r>
        <w:rPr>
          <w:color w:val="231F20"/>
          <w:spacing w:val="2"/>
        </w:rPr>
        <w:t>ha </w:t>
      </w:r>
      <w:r>
        <w:rPr>
          <w:color w:val="231F20"/>
          <w:spacing w:val="4"/>
        </w:rPr>
        <w:t>vivido </w:t>
      </w:r>
      <w:r>
        <w:rPr>
          <w:color w:val="231F20"/>
          <w:spacing w:val="3"/>
        </w:rPr>
        <w:t>una </w:t>
      </w:r>
      <w:r>
        <w:rPr>
          <w:color w:val="231F20"/>
          <w:spacing w:val="5"/>
        </w:rPr>
        <w:t>experien- </w:t>
      </w:r>
      <w:r>
        <w:rPr>
          <w:color w:val="231F20"/>
          <w:spacing w:val="3"/>
        </w:rPr>
        <w:t>cia </w:t>
      </w:r>
      <w:r>
        <w:rPr>
          <w:color w:val="231F20"/>
          <w:spacing w:val="4"/>
        </w:rPr>
        <w:t>violenta por parte </w:t>
      </w:r>
      <w:r>
        <w:rPr>
          <w:color w:val="231F20"/>
          <w:spacing w:val="3"/>
        </w:rPr>
        <w:t>de este </w:t>
      </w:r>
      <w:r>
        <w:rPr>
          <w:color w:val="231F20"/>
          <w:spacing w:val="4"/>
        </w:rPr>
        <w:t>grupo. </w:t>
      </w:r>
      <w:r>
        <w:rPr>
          <w:color w:val="231F20"/>
          <w:spacing w:val="3"/>
        </w:rPr>
        <w:t>De los </w:t>
      </w:r>
      <w:r>
        <w:rPr>
          <w:color w:val="231F20"/>
          <w:spacing w:val="4"/>
        </w:rPr>
        <w:t>alumnos mayores </w:t>
      </w:r>
      <w:r>
        <w:rPr>
          <w:color w:val="231F20"/>
        </w:rPr>
        <w:t>a   </w:t>
      </w:r>
      <w:r>
        <w:rPr>
          <w:color w:val="231F20"/>
          <w:spacing w:val="2"/>
        </w:rPr>
        <w:t>21 </w:t>
      </w:r>
      <w:r>
        <w:rPr>
          <w:color w:val="231F20"/>
          <w:spacing w:val="4"/>
        </w:rPr>
        <w:t>años, </w:t>
      </w:r>
      <w:r>
        <w:rPr>
          <w:color w:val="231F20"/>
          <w:spacing w:val="2"/>
        </w:rPr>
        <w:t>el </w:t>
      </w:r>
      <w:r>
        <w:rPr>
          <w:color w:val="231F20"/>
          <w:spacing w:val="4"/>
        </w:rPr>
        <w:t>7.6%. </w:t>
      </w:r>
      <w:r>
        <w:rPr>
          <w:color w:val="231F20"/>
          <w:spacing w:val="3"/>
        </w:rPr>
        <w:t>Lo que </w:t>
      </w:r>
      <w:r>
        <w:rPr>
          <w:color w:val="231F20"/>
          <w:spacing w:val="4"/>
        </w:rPr>
        <w:t>expresa </w:t>
      </w:r>
      <w:r>
        <w:rPr>
          <w:color w:val="231F20"/>
          <w:spacing w:val="3"/>
        </w:rPr>
        <w:t>que </w:t>
      </w:r>
      <w:r>
        <w:rPr>
          <w:color w:val="231F20"/>
          <w:spacing w:val="2"/>
        </w:rPr>
        <w:t>el </w:t>
      </w:r>
      <w:r>
        <w:rPr>
          <w:color w:val="231F20"/>
          <w:spacing w:val="4"/>
        </w:rPr>
        <w:t>sector </w:t>
      </w:r>
      <w:r>
        <w:rPr>
          <w:color w:val="231F20"/>
          <w:spacing w:val="3"/>
        </w:rPr>
        <w:t>de </w:t>
      </w:r>
      <w:r>
        <w:rPr>
          <w:color w:val="231F20"/>
          <w:spacing w:val="4"/>
        </w:rPr>
        <w:t>alumnos </w:t>
      </w:r>
      <w:r>
        <w:rPr>
          <w:color w:val="231F20"/>
          <w:spacing w:val="3"/>
        </w:rPr>
        <w:t>que   </w:t>
      </w:r>
      <w:r>
        <w:rPr>
          <w:color w:val="231F20"/>
          <w:spacing w:val="2"/>
        </w:rPr>
        <w:t>se </w:t>
      </w:r>
      <w:r>
        <w:rPr>
          <w:color w:val="231F20"/>
          <w:spacing w:val="4"/>
        </w:rPr>
        <w:t>ubican </w:t>
      </w:r>
      <w:r>
        <w:rPr>
          <w:color w:val="231F20"/>
        </w:rPr>
        <w:t>a </w:t>
      </w:r>
      <w:r>
        <w:rPr>
          <w:color w:val="231F20"/>
          <w:spacing w:val="4"/>
        </w:rPr>
        <w:t>mitad </w:t>
      </w:r>
      <w:r>
        <w:rPr>
          <w:color w:val="231F20"/>
          <w:spacing w:val="3"/>
        </w:rPr>
        <w:t>de </w:t>
      </w:r>
      <w:r>
        <w:rPr>
          <w:color w:val="231F20"/>
        </w:rPr>
        <w:t>la </w:t>
      </w:r>
      <w:r>
        <w:rPr>
          <w:color w:val="231F20"/>
          <w:spacing w:val="4"/>
        </w:rPr>
        <w:t>carrera </w:t>
      </w:r>
      <w:r>
        <w:rPr>
          <w:color w:val="231F20"/>
          <w:spacing w:val="3"/>
        </w:rPr>
        <w:t>son los </w:t>
      </w:r>
      <w:r>
        <w:rPr>
          <w:color w:val="231F20"/>
          <w:spacing w:val="4"/>
        </w:rPr>
        <w:t>más </w:t>
      </w:r>
      <w:r>
        <w:rPr>
          <w:color w:val="231F20"/>
          <w:spacing w:val="5"/>
        </w:rPr>
        <w:t>propensos </w:t>
      </w:r>
      <w:r>
        <w:rPr>
          <w:color w:val="231F20"/>
        </w:rPr>
        <w:t>a </w:t>
      </w:r>
      <w:r>
        <w:rPr>
          <w:color w:val="231F20"/>
          <w:spacing w:val="3"/>
        </w:rPr>
        <w:t>ser </w:t>
      </w:r>
      <w:r>
        <w:rPr>
          <w:color w:val="231F20"/>
          <w:spacing w:val="5"/>
        </w:rPr>
        <w:t>vio- </w:t>
      </w:r>
      <w:r>
        <w:rPr>
          <w:color w:val="231F20"/>
          <w:spacing w:val="4"/>
        </w:rPr>
        <w:t>lentados por funcionarios. </w:t>
      </w:r>
      <w:r>
        <w:rPr>
          <w:color w:val="231F20"/>
          <w:spacing w:val="3"/>
        </w:rPr>
        <w:t>En </w:t>
      </w:r>
      <w:r>
        <w:rPr>
          <w:color w:val="231F20"/>
          <w:spacing w:val="4"/>
        </w:rPr>
        <w:t>cuanto </w:t>
      </w:r>
      <w:r>
        <w:rPr>
          <w:color w:val="231F20"/>
          <w:spacing w:val="2"/>
        </w:rPr>
        <w:t>al </w:t>
      </w:r>
      <w:r>
        <w:rPr>
          <w:color w:val="231F20"/>
          <w:spacing w:val="4"/>
        </w:rPr>
        <w:t>sexo, </w:t>
      </w:r>
      <w:r>
        <w:rPr>
          <w:color w:val="231F20"/>
          <w:spacing w:val="3"/>
        </w:rPr>
        <w:t>los </w:t>
      </w:r>
      <w:r>
        <w:rPr>
          <w:color w:val="231F20"/>
          <w:spacing w:val="5"/>
        </w:rPr>
        <w:t>hombres po- </w:t>
      </w:r>
      <w:r>
        <w:rPr>
          <w:color w:val="231F20"/>
          <w:spacing w:val="3"/>
        </w:rPr>
        <w:t>seen </w:t>
      </w:r>
      <w:r>
        <w:rPr>
          <w:color w:val="231F20"/>
          <w:spacing w:val="2"/>
        </w:rPr>
        <w:t>el </w:t>
      </w:r>
      <w:r>
        <w:rPr>
          <w:color w:val="231F20"/>
          <w:spacing w:val="4"/>
        </w:rPr>
        <w:t>porcentaje más alto:</w:t>
      </w:r>
      <w:r>
        <w:rPr>
          <w:color w:val="231F20"/>
          <w:spacing w:val="1"/>
        </w:rPr>
        <w:t> </w:t>
      </w:r>
      <w:r>
        <w:rPr>
          <w:color w:val="231F20"/>
          <w:spacing w:val="4"/>
        </w:rPr>
        <w:t>6.8%.</w:t>
      </w:r>
    </w:p>
    <w:p>
      <w:pPr>
        <w:pStyle w:val="BodyText"/>
        <w:spacing w:line="252" w:lineRule="auto" w:before="1"/>
        <w:ind w:left="222" w:right="119" w:firstLine="284"/>
        <w:jc w:val="both"/>
      </w:pPr>
      <w:r>
        <w:rPr>
          <w:color w:val="231F20"/>
        </w:rPr>
        <w:t>La universidad es el ámbito geográfico en donde confluyen personalidades diversas. Su nombre mismo lo dice: universidad, es</w:t>
      </w:r>
    </w:p>
    <w:p>
      <w:pPr>
        <w:spacing w:after="0" w:line="252" w:lineRule="auto"/>
        <w:jc w:val="both"/>
        <w:sectPr>
          <w:headerReference w:type="default" r:id="rId791"/>
          <w:footerReference w:type="default" r:id="rId792"/>
          <w:pgSz w:w="7830" w:h="11910"/>
          <w:pgMar w:header="0" w:footer="424" w:top="500" w:bottom="620" w:left="800" w:right="900"/>
          <w:pgNumType w:start="355"/>
        </w:sectPr>
      </w:pPr>
    </w:p>
    <w:p>
      <w:pPr>
        <w:spacing w:before="46"/>
        <w:ind w:left="565" w:right="562"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222" w:right="215"/>
        <w:jc w:val="both"/>
      </w:pPr>
      <w:r>
        <w:rPr>
          <w:color w:val="231F20"/>
          <w:spacing w:val="2"/>
        </w:rPr>
        <w:t>decir, universalidad. </w:t>
      </w:r>
      <w:r>
        <w:rPr>
          <w:color w:val="231F20"/>
        </w:rPr>
        <w:t>En </w:t>
      </w:r>
      <w:r>
        <w:rPr>
          <w:color w:val="231F20"/>
          <w:spacing w:val="2"/>
        </w:rPr>
        <w:t>este sentido, </w:t>
      </w:r>
      <w:r>
        <w:rPr>
          <w:color w:val="231F20"/>
        </w:rPr>
        <w:t>la </w:t>
      </w:r>
      <w:r>
        <w:rPr>
          <w:color w:val="231F20"/>
          <w:spacing w:val="2"/>
        </w:rPr>
        <w:t>Universidad </w:t>
      </w:r>
      <w:r>
        <w:rPr>
          <w:color w:val="231F20"/>
          <w:spacing w:val="3"/>
        </w:rPr>
        <w:t>Autónoma </w:t>
      </w:r>
      <w:r>
        <w:rPr>
          <w:color w:val="231F20"/>
          <w:spacing w:val="2"/>
        </w:rPr>
        <w:t>“Benito Juárez” </w:t>
      </w:r>
      <w:r>
        <w:rPr>
          <w:color w:val="231F20"/>
        </w:rPr>
        <w:t>de </w:t>
      </w:r>
      <w:r>
        <w:rPr>
          <w:color w:val="231F20"/>
          <w:spacing w:val="2"/>
        </w:rPr>
        <w:t>Oaxaca </w:t>
      </w:r>
      <w:r>
        <w:rPr>
          <w:color w:val="231F20"/>
        </w:rPr>
        <w:t>se </w:t>
      </w:r>
      <w:r>
        <w:rPr>
          <w:color w:val="231F20"/>
          <w:spacing w:val="2"/>
        </w:rPr>
        <w:t>ubica </w:t>
      </w:r>
      <w:r>
        <w:rPr>
          <w:color w:val="231F20"/>
        </w:rPr>
        <w:t>en un </w:t>
      </w:r>
      <w:r>
        <w:rPr>
          <w:color w:val="231F20"/>
          <w:spacing w:val="2"/>
        </w:rPr>
        <w:t>estado multicultural,</w:t>
      </w:r>
      <w:r>
        <w:rPr>
          <w:color w:val="231F20"/>
          <w:spacing w:val="56"/>
        </w:rPr>
        <w:t> </w:t>
      </w:r>
      <w:r>
        <w:rPr>
          <w:color w:val="231F20"/>
          <w:spacing w:val="2"/>
        </w:rPr>
        <w:t>multiétnico, habitado </w:t>
      </w:r>
      <w:r>
        <w:rPr>
          <w:color w:val="231F20"/>
        </w:rPr>
        <w:t>por 16 </w:t>
      </w:r>
      <w:r>
        <w:rPr>
          <w:color w:val="231F20"/>
          <w:spacing w:val="2"/>
        </w:rPr>
        <w:t>etnias </w:t>
      </w:r>
      <w:r>
        <w:rPr>
          <w:color w:val="231F20"/>
        </w:rPr>
        <w:t>de </w:t>
      </w:r>
      <w:r>
        <w:rPr>
          <w:color w:val="231F20"/>
          <w:spacing w:val="2"/>
        </w:rPr>
        <w:t>origen </w:t>
      </w:r>
      <w:r>
        <w:rPr>
          <w:color w:val="231F20"/>
          <w:spacing w:val="3"/>
        </w:rPr>
        <w:t>mesoamericano, </w:t>
      </w:r>
      <w:r>
        <w:rPr>
          <w:color w:val="231F20"/>
          <w:spacing w:val="2"/>
        </w:rPr>
        <w:t>más </w:t>
      </w:r>
      <w:r>
        <w:rPr>
          <w:color w:val="231F20"/>
        </w:rPr>
        <w:t>la </w:t>
      </w:r>
      <w:r>
        <w:rPr>
          <w:color w:val="231F20"/>
          <w:spacing w:val="2"/>
        </w:rPr>
        <w:t>etnia africana, </w:t>
      </w:r>
      <w:r>
        <w:rPr>
          <w:color w:val="231F20"/>
        </w:rPr>
        <w:t>así </w:t>
      </w:r>
      <w:r>
        <w:rPr>
          <w:color w:val="231F20"/>
          <w:spacing w:val="3"/>
        </w:rPr>
        <w:t>como </w:t>
      </w:r>
      <w:r>
        <w:rPr>
          <w:color w:val="231F20"/>
          <w:spacing w:val="2"/>
        </w:rPr>
        <w:t>los </w:t>
      </w:r>
      <w:r>
        <w:rPr>
          <w:color w:val="231F20"/>
          <w:spacing w:val="3"/>
        </w:rPr>
        <w:t>grupos </w:t>
      </w:r>
      <w:r>
        <w:rPr>
          <w:color w:val="231F20"/>
        </w:rPr>
        <w:t>de </w:t>
      </w:r>
      <w:r>
        <w:rPr>
          <w:color w:val="231F20"/>
          <w:spacing w:val="2"/>
        </w:rPr>
        <w:t>origen </w:t>
      </w:r>
      <w:r>
        <w:rPr>
          <w:color w:val="231F20"/>
          <w:spacing w:val="3"/>
        </w:rPr>
        <w:t>europeo </w:t>
      </w:r>
      <w:r>
        <w:rPr>
          <w:color w:val="231F20"/>
          <w:spacing w:val="2"/>
        </w:rPr>
        <w:t>que </w:t>
      </w:r>
      <w:r>
        <w:rPr>
          <w:color w:val="231F20"/>
        </w:rPr>
        <w:t>viven en el </w:t>
      </w:r>
      <w:r>
        <w:rPr>
          <w:color w:val="231F20"/>
          <w:spacing w:val="2"/>
        </w:rPr>
        <w:t>estado </w:t>
      </w:r>
      <w:r>
        <w:rPr>
          <w:color w:val="231F20"/>
        </w:rPr>
        <w:t>y la </w:t>
      </w:r>
      <w:r>
        <w:rPr>
          <w:color w:val="231F20"/>
          <w:spacing w:val="2"/>
        </w:rPr>
        <w:t>población mayoritaria </w:t>
      </w:r>
      <w:r>
        <w:rPr>
          <w:color w:val="231F20"/>
          <w:spacing w:val="3"/>
        </w:rPr>
        <w:t>denominada genéricamente </w:t>
      </w:r>
      <w:r>
        <w:rPr>
          <w:color w:val="231F20"/>
          <w:spacing w:val="2"/>
        </w:rPr>
        <w:t>mestiza. Esta diversidad étnica </w:t>
      </w:r>
      <w:r>
        <w:rPr>
          <w:color w:val="231F20"/>
        </w:rPr>
        <w:t>se </w:t>
      </w:r>
      <w:r>
        <w:rPr>
          <w:color w:val="231F20"/>
          <w:spacing w:val="2"/>
        </w:rPr>
        <w:t>manifiesta </w:t>
      </w:r>
      <w:r>
        <w:rPr>
          <w:color w:val="231F20"/>
        </w:rPr>
        <w:t>en la </w:t>
      </w:r>
      <w:r>
        <w:rPr>
          <w:color w:val="231F20"/>
          <w:spacing w:val="2"/>
        </w:rPr>
        <w:t>universidad. </w:t>
      </w:r>
      <w:r>
        <w:rPr>
          <w:color w:val="231F20"/>
        </w:rPr>
        <w:t>Un </w:t>
      </w:r>
      <w:r>
        <w:rPr>
          <w:color w:val="231F20"/>
          <w:spacing w:val="3"/>
        </w:rPr>
        <w:t>número importante </w:t>
      </w:r>
      <w:r>
        <w:rPr>
          <w:color w:val="231F20"/>
        </w:rPr>
        <w:t>de </w:t>
      </w:r>
      <w:r>
        <w:rPr>
          <w:color w:val="231F20"/>
          <w:spacing w:val="3"/>
        </w:rPr>
        <w:t>alumnos </w:t>
      </w:r>
      <w:r>
        <w:rPr>
          <w:color w:val="231F20"/>
          <w:spacing w:val="2"/>
        </w:rPr>
        <w:t>pertenece </w:t>
      </w:r>
      <w:r>
        <w:rPr>
          <w:color w:val="231F20"/>
        </w:rPr>
        <w:t>a </w:t>
      </w:r>
      <w:r>
        <w:rPr>
          <w:color w:val="231F20"/>
          <w:spacing w:val="2"/>
        </w:rPr>
        <w:t>alguna etnia </w:t>
      </w:r>
      <w:r>
        <w:rPr>
          <w:color w:val="231F20"/>
          <w:spacing w:val="3"/>
        </w:rPr>
        <w:t>mesoa- </w:t>
      </w:r>
      <w:r>
        <w:rPr>
          <w:color w:val="231F20"/>
          <w:spacing w:val="2"/>
        </w:rPr>
        <w:t>mericana. También, </w:t>
      </w:r>
      <w:r>
        <w:rPr>
          <w:color w:val="231F20"/>
        </w:rPr>
        <w:t>y </w:t>
      </w:r>
      <w:r>
        <w:rPr>
          <w:color w:val="231F20"/>
          <w:spacing w:val="2"/>
        </w:rPr>
        <w:t>como </w:t>
      </w:r>
      <w:r>
        <w:rPr>
          <w:color w:val="231F20"/>
        </w:rPr>
        <w:t>en </w:t>
      </w:r>
      <w:r>
        <w:rPr>
          <w:color w:val="231F20"/>
          <w:spacing w:val="2"/>
        </w:rPr>
        <w:t>todo espacio social, </w:t>
      </w:r>
      <w:r>
        <w:rPr>
          <w:color w:val="231F20"/>
        </w:rPr>
        <w:t>hay </w:t>
      </w:r>
      <w:r>
        <w:rPr>
          <w:color w:val="231F20"/>
          <w:spacing w:val="3"/>
        </w:rPr>
        <w:t>alumnos </w:t>
      </w:r>
      <w:r>
        <w:rPr>
          <w:color w:val="231F20"/>
          <w:spacing w:val="2"/>
        </w:rPr>
        <w:t>cuyas preferencias sexuales son diferentes </w:t>
      </w:r>
      <w:r>
        <w:rPr>
          <w:color w:val="231F20"/>
        </w:rPr>
        <w:t>a la </w:t>
      </w:r>
      <w:r>
        <w:rPr>
          <w:color w:val="231F20"/>
          <w:spacing w:val="2"/>
        </w:rPr>
        <w:t>mayoritaria. </w:t>
      </w:r>
      <w:r>
        <w:rPr>
          <w:color w:val="231F20"/>
        </w:rPr>
        <w:t>En su </w:t>
      </w:r>
      <w:r>
        <w:rPr>
          <w:color w:val="231F20"/>
          <w:spacing w:val="2"/>
        </w:rPr>
        <w:t>mayoría, </w:t>
      </w:r>
      <w:r>
        <w:rPr>
          <w:color w:val="231F20"/>
        </w:rPr>
        <w:t>los </w:t>
      </w:r>
      <w:r>
        <w:rPr>
          <w:color w:val="231F20"/>
          <w:spacing w:val="2"/>
        </w:rPr>
        <w:t>alumnos(as) </w:t>
      </w:r>
      <w:r>
        <w:rPr>
          <w:color w:val="231F20"/>
        </w:rPr>
        <w:t>de </w:t>
      </w:r>
      <w:r>
        <w:rPr>
          <w:color w:val="231F20"/>
          <w:spacing w:val="2"/>
        </w:rPr>
        <w:t>esta Universidad provienen </w:t>
      </w:r>
      <w:r>
        <w:rPr>
          <w:color w:val="231F20"/>
        </w:rPr>
        <w:t>de los </w:t>
      </w:r>
      <w:r>
        <w:rPr>
          <w:color w:val="231F20"/>
          <w:spacing w:val="2"/>
        </w:rPr>
        <w:t>estratos </w:t>
      </w:r>
      <w:r>
        <w:rPr>
          <w:color w:val="231F20"/>
          <w:spacing w:val="3"/>
        </w:rPr>
        <w:t>económicamente </w:t>
      </w:r>
      <w:r>
        <w:rPr>
          <w:color w:val="231F20"/>
          <w:spacing w:val="2"/>
        </w:rPr>
        <w:t>bajos. </w:t>
      </w:r>
      <w:r>
        <w:rPr>
          <w:color w:val="231F20"/>
          <w:spacing w:val="3"/>
        </w:rPr>
        <w:t>Quisimos conocer </w:t>
      </w:r>
      <w:r>
        <w:rPr>
          <w:color w:val="231F20"/>
        </w:rPr>
        <w:t>si </w:t>
      </w:r>
      <w:r>
        <w:rPr>
          <w:color w:val="231F20"/>
          <w:spacing w:val="2"/>
        </w:rPr>
        <w:t>los </w:t>
      </w:r>
      <w:r>
        <w:rPr>
          <w:color w:val="231F20"/>
          <w:spacing w:val="3"/>
        </w:rPr>
        <w:t>alumnos </w:t>
      </w:r>
      <w:r>
        <w:rPr>
          <w:color w:val="231F20"/>
        </w:rPr>
        <w:t>que se </w:t>
      </w:r>
      <w:r>
        <w:rPr>
          <w:color w:val="231F20"/>
          <w:spacing w:val="2"/>
        </w:rPr>
        <w:t>alejan </w:t>
      </w:r>
      <w:r>
        <w:rPr>
          <w:color w:val="231F20"/>
        </w:rPr>
        <w:t>del </w:t>
      </w:r>
      <w:r>
        <w:rPr>
          <w:color w:val="231F20"/>
          <w:spacing w:val="2"/>
        </w:rPr>
        <w:t>estereotipo </w:t>
      </w:r>
      <w:r>
        <w:rPr>
          <w:color w:val="231F20"/>
        </w:rPr>
        <w:t>del </w:t>
      </w:r>
      <w:r>
        <w:rPr>
          <w:color w:val="231F20"/>
          <w:spacing w:val="2"/>
        </w:rPr>
        <w:t>estudiante universitario </w:t>
      </w:r>
      <w:r>
        <w:rPr>
          <w:color w:val="231F20"/>
        </w:rPr>
        <w:t>y </w:t>
      </w:r>
      <w:r>
        <w:rPr>
          <w:color w:val="231F20"/>
          <w:spacing w:val="3"/>
        </w:rPr>
        <w:t>de </w:t>
      </w:r>
      <w:r>
        <w:rPr>
          <w:color w:val="231F20"/>
        </w:rPr>
        <w:t>lo   que se </w:t>
      </w:r>
      <w:r>
        <w:rPr>
          <w:color w:val="231F20"/>
          <w:spacing w:val="2"/>
        </w:rPr>
        <w:t>considera </w:t>
      </w:r>
      <w:r>
        <w:rPr>
          <w:color w:val="231F20"/>
          <w:spacing w:val="3"/>
        </w:rPr>
        <w:t>como “normal”, </w:t>
      </w:r>
      <w:r>
        <w:rPr>
          <w:color w:val="231F20"/>
          <w:spacing w:val="2"/>
        </w:rPr>
        <w:t>son afectados por </w:t>
      </w:r>
      <w:r>
        <w:rPr>
          <w:color w:val="231F20"/>
        </w:rPr>
        <w:t>la </w:t>
      </w:r>
      <w:r>
        <w:rPr>
          <w:color w:val="231F20"/>
          <w:spacing w:val="2"/>
        </w:rPr>
        <w:t>violencia. Los datos </w:t>
      </w:r>
      <w:r>
        <w:rPr>
          <w:color w:val="231F20"/>
        </w:rPr>
        <w:t>son los</w:t>
      </w:r>
      <w:r>
        <w:rPr>
          <w:color w:val="231F20"/>
          <w:spacing w:val="9"/>
        </w:rPr>
        <w:t> </w:t>
      </w:r>
      <w:r>
        <w:rPr>
          <w:color w:val="231F20"/>
          <w:spacing w:val="2"/>
        </w:rPr>
        <w:t>siguientes:</w:t>
      </w:r>
    </w:p>
    <w:p>
      <w:pPr>
        <w:pStyle w:val="BodyText"/>
        <w:spacing w:before="1"/>
        <w:rPr>
          <w:sz w:val="23"/>
        </w:rPr>
      </w:pPr>
    </w:p>
    <w:p>
      <w:pPr>
        <w:spacing w:before="0"/>
        <w:ind w:left="564" w:right="562" w:firstLine="0"/>
        <w:jc w:val="center"/>
        <w:rPr>
          <w:b/>
          <w:sz w:val="19"/>
        </w:rPr>
      </w:pPr>
      <w:r>
        <w:rPr>
          <w:b/>
          <w:color w:val="231F20"/>
          <w:w w:val="105"/>
          <w:sz w:val="19"/>
        </w:rPr>
        <w:t>Cuadro 8. Población susceptible de vivir la violencia</w:t>
      </w:r>
    </w:p>
    <w:p>
      <w:pPr>
        <w:pStyle w:val="BodyText"/>
        <w:rPr>
          <w:b/>
          <w:sz w:val="11"/>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52"/>
        <w:gridCol w:w="1445"/>
        <w:gridCol w:w="1512"/>
        <w:gridCol w:w="1291"/>
      </w:tblGrid>
      <w:tr>
        <w:trPr>
          <w:trHeight w:val="514" w:hRule="exact"/>
        </w:trPr>
        <w:tc>
          <w:tcPr>
            <w:tcW w:w="1752" w:type="dxa"/>
          </w:tcPr>
          <w:p>
            <w:pPr>
              <w:pStyle w:val="TableParagraph"/>
              <w:spacing w:before="47"/>
              <w:ind w:left="152" w:right="150"/>
              <w:jc w:val="center"/>
              <w:rPr>
                <w:b/>
                <w:sz w:val="17"/>
              </w:rPr>
            </w:pPr>
            <w:r>
              <w:rPr>
                <w:b/>
                <w:color w:val="231F20"/>
                <w:sz w:val="17"/>
              </w:rPr>
              <w:t>Grupo</w:t>
            </w:r>
          </w:p>
        </w:tc>
        <w:tc>
          <w:tcPr>
            <w:tcW w:w="1445" w:type="dxa"/>
          </w:tcPr>
          <w:p>
            <w:pPr>
              <w:pStyle w:val="TableParagraph"/>
              <w:spacing w:line="307" w:lineRule="auto" w:before="47"/>
              <w:ind w:left="605" w:right="152" w:hanging="438"/>
              <w:rPr>
                <w:b/>
                <w:sz w:val="17"/>
              </w:rPr>
            </w:pPr>
            <w:r>
              <w:rPr>
                <w:b/>
                <w:color w:val="231F20"/>
                <w:w w:val="105"/>
                <w:sz w:val="17"/>
              </w:rPr>
              <w:t>Mucha violen- cia</w:t>
            </w:r>
          </w:p>
        </w:tc>
        <w:tc>
          <w:tcPr>
            <w:tcW w:w="1512" w:type="dxa"/>
          </w:tcPr>
          <w:p>
            <w:pPr>
              <w:pStyle w:val="TableParagraph"/>
              <w:spacing w:before="47"/>
              <w:ind w:left="185" w:right="191"/>
              <w:jc w:val="center"/>
              <w:rPr>
                <w:b/>
                <w:sz w:val="17"/>
              </w:rPr>
            </w:pPr>
            <w:r>
              <w:rPr>
                <w:b/>
                <w:color w:val="231F20"/>
                <w:w w:val="105"/>
                <w:sz w:val="17"/>
              </w:rPr>
              <w:t>Poca violencia</w:t>
            </w:r>
          </w:p>
        </w:tc>
        <w:tc>
          <w:tcPr>
            <w:tcW w:w="1291" w:type="dxa"/>
          </w:tcPr>
          <w:p>
            <w:pPr>
              <w:pStyle w:val="TableParagraph"/>
              <w:spacing w:before="47"/>
              <w:ind w:left="0" w:right="435"/>
              <w:jc w:val="right"/>
              <w:rPr>
                <w:b/>
                <w:sz w:val="17"/>
              </w:rPr>
            </w:pPr>
            <w:r>
              <w:rPr>
                <w:b/>
                <w:color w:val="231F20"/>
                <w:sz w:val="17"/>
              </w:rPr>
              <w:t>Total</w:t>
            </w:r>
          </w:p>
        </w:tc>
      </w:tr>
      <w:tr>
        <w:trPr>
          <w:trHeight w:val="259" w:hRule="exact"/>
        </w:trPr>
        <w:tc>
          <w:tcPr>
            <w:tcW w:w="1752" w:type="dxa"/>
          </w:tcPr>
          <w:p>
            <w:pPr>
              <w:pStyle w:val="TableParagraph"/>
              <w:spacing w:before="43"/>
              <w:ind w:left="151" w:right="151"/>
              <w:jc w:val="center"/>
              <w:rPr>
                <w:sz w:val="17"/>
              </w:rPr>
            </w:pPr>
            <w:r>
              <w:rPr>
                <w:color w:val="231F20"/>
                <w:sz w:val="17"/>
              </w:rPr>
              <w:t>Indígenas</w:t>
            </w:r>
          </w:p>
        </w:tc>
        <w:tc>
          <w:tcPr>
            <w:tcW w:w="1445" w:type="dxa"/>
          </w:tcPr>
          <w:p>
            <w:pPr>
              <w:pStyle w:val="TableParagraph"/>
              <w:spacing w:before="43"/>
              <w:ind w:left="495" w:right="152"/>
              <w:rPr>
                <w:sz w:val="17"/>
              </w:rPr>
            </w:pPr>
            <w:r>
              <w:rPr>
                <w:color w:val="231F20"/>
                <w:sz w:val="17"/>
              </w:rPr>
              <w:t>63.0%</w:t>
            </w:r>
          </w:p>
        </w:tc>
        <w:tc>
          <w:tcPr>
            <w:tcW w:w="1512" w:type="dxa"/>
          </w:tcPr>
          <w:p>
            <w:pPr>
              <w:pStyle w:val="TableParagraph"/>
              <w:spacing w:before="43"/>
              <w:ind w:left="185" w:right="191"/>
              <w:jc w:val="center"/>
              <w:rPr>
                <w:sz w:val="17"/>
              </w:rPr>
            </w:pPr>
            <w:r>
              <w:rPr>
                <w:color w:val="231F20"/>
                <w:sz w:val="17"/>
              </w:rPr>
              <w:t>36.0%</w:t>
            </w:r>
          </w:p>
        </w:tc>
        <w:tc>
          <w:tcPr>
            <w:tcW w:w="1291" w:type="dxa"/>
          </w:tcPr>
          <w:p>
            <w:pPr>
              <w:pStyle w:val="TableParagraph"/>
              <w:spacing w:before="43"/>
              <w:ind w:left="0" w:right="439"/>
              <w:jc w:val="right"/>
              <w:rPr>
                <w:sz w:val="17"/>
              </w:rPr>
            </w:pPr>
            <w:r>
              <w:rPr>
                <w:color w:val="231F20"/>
                <w:sz w:val="17"/>
              </w:rPr>
              <w:t>100%</w:t>
            </w:r>
          </w:p>
        </w:tc>
      </w:tr>
      <w:tr>
        <w:trPr>
          <w:trHeight w:val="259" w:hRule="exact"/>
        </w:trPr>
        <w:tc>
          <w:tcPr>
            <w:tcW w:w="1752" w:type="dxa"/>
          </w:tcPr>
          <w:p>
            <w:pPr>
              <w:pStyle w:val="TableParagraph"/>
              <w:spacing w:before="43"/>
              <w:ind w:left="151" w:right="151"/>
              <w:jc w:val="center"/>
              <w:rPr>
                <w:sz w:val="17"/>
              </w:rPr>
            </w:pPr>
            <w:r>
              <w:rPr>
                <w:color w:val="231F20"/>
                <w:sz w:val="17"/>
              </w:rPr>
              <w:t>Alumnos pobres</w:t>
            </w:r>
          </w:p>
        </w:tc>
        <w:tc>
          <w:tcPr>
            <w:tcW w:w="1445" w:type="dxa"/>
          </w:tcPr>
          <w:p>
            <w:pPr>
              <w:pStyle w:val="TableParagraph"/>
              <w:spacing w:before="43"/>
              <w:ind w:left="557" w:right="152"/>
              <w:rPr>
                <w:sz w:val="17"/>
              </w:rPr>
            </w:pPr>
            <w:r>
              <w:rPr>
                <w:color w:val="231F20"/>
                <w:sz w:val="17"/>
              </w:rPr>
              <w:t>35%</w:t>
            </w:r>
          </w:p>
        </w:tc>
        <w:tc>
          <w:tcPr>
            <w:tcW w:w="1512" w:type="dxa"/>
          </w:tcPr>
          <w:p>
            <w:pPr>
              <w:pStyle w:val="TableParagraph"/>
              <w:spacing w:before="43"/>
              <w:ind w:left="185" w:right="191"/>
              <w:jc w:val="center"/>
              <w:rPr>
                <w:sz w:val="17"/>
              </w:rPr>
            </w:pPr>
            <w:r>
              <w:rPr>
                <w:color w:val="231F20"/>
                <w:sz w:val="17"/>
              </w:rPr>
              <w:t>65%</w:t>
            </w:r>
          </w:p>
        </w:tc>
        <w:tc>
          <w:tcPr>
            <w:tcW w:w="1291" w:type="dxa"/>
          </w:tcPr>
          <w:p>
            <w:pPr>
              <w:pStyle w:val="TableParagraph"/>
              <w:spacing w:before="43"/>
              <w:ind w:left="0" w:right="439"/>
              <w:jc w:val="right"/>
              <w:rPr>
                <w:sz w:val="17"/>
              </w:rPr>
            </w:pPr>
            <w:r>
              <w:rPr>
                <w:color w:val="231F20"/>
                <w:sz w:val="17"/>
              </w:rPr>
              <w:t>100%</w:t>
            </w:r>
          </w:p>
        </w:tc>
      </w:tr>
      <w:tr>
        <w:trPr>
          <w:trHeight w:val="259" w:hRule="exact"/>
        </w:trPr>
        <w:tc>
          <w:tcPr>
            <w:tcW w:w="1752" w:type="dxa"/>
          </w:tcPr>
          <w:p>
            <w:pPr>
              <w:pStyle w:val="TableParagraph"/>
              <w:spacing w:before="43"/>
              <w:ind w:left="152" w:right="151"/>
              <w:jc w:val="center"/>
              <w:rPr>
                <w:sz w:val="17"/>
              </w:rPr>
            </w:pPr>
            <w:r>
              <w:rPr>
                <w:color w:val="231F20"/>
                <w:sz w:val="17"/>
              </w:rPr>
              <w:t>Alumnos sin amigos</w:t>
            </w:r>
          </w:p>
        </w:tc>
        <w:tc>
          <w:tcPr>
            <w:tcW w:w="1445" w:type="dxa"/>
          </w:tcPr>
          <w:p>
            <w:pPr>
              <w:pStyle w:val="TableParagraph"/>
              <w:spacing w:before="43"/>
              <w:ind w:left="557" w:right="152"/>
              <w:rPr>
                <w:sz w:val="17"/>
              </w:rPr>
            </w:pPr>
            <w:r>
              <w:rPr>
                <w:color w:val="231F20"/>
                <w:sz w:val="17"/>
              </w:rPr>
              <w:t>42%</w:t>
            </w:r>
          </w:p>
        </w:tc>
        <w:tc>
          <w:tcPr>
            <w:tcW w:w="1512" w:type="dxa"/>
          </w:tcPr>
          <w:p>
            <w:pPr>
              <w:pStyle w:val="TableParagraph"/>
              <w:spacing w:before="43"/>
              <w:ind w:left="185" w:right="191"/>
              <w:jc w:val="center"/>
              <w:rPr>
                <w:sz w:val="17"/>
              </w:rPr>
            </w:pPr>
            <w:r>
              <w:rPr>
                <w:color w:val="231F20"/>
                <w:sz w:val="17"/>
              </w:rPr>
              <w:t>58%</w:t>
            </w:r>
          </w:p>
        </w:tc>
        <w:tc>
          <w:tcPr>
            <w:tcW w:w="1291" w:type="dxa"/>
          </w:tcPr>
          <w:p>
            <w:pPr>
              <w:pStyle w:val="TableParagraph"/>
              <w:spacing w:before="43"/>
              <w:ind w:left="0" w:right="439"/>
              <w:jc w:val="right"/>
              <w:rPr>
                <w:sz w:val="17"/>
              </w:rPr>
            </w:pPr>
            <w:r>
              <w:rPr>
                <w:color w:val="231F20"/>
                <w:sz w:val="17"/>
              </w:rPr>
              <w:t>100%</w:t>
            </w:r>
          </w:p>
        </w:tc>
      </w:tr>
      <w:tr>
        <w:trPr>
          <w:trHeight w:val="259" w:hRule="exact"/>
        </w:trPr>
        <w:tc>
          <w:tcPr>
            <w:tcW w:w="1752" w:type="dxa"/>
          </w:tcPr>
          <w:p>
            <w:pPr>
              <w:pStyle w:val="TableParagraph"/>
              <w:spacing w:before="43"/>
              <w:ind w:left="152" w:right="150"/>
              <w:jc w:val="center"/>
              <w:rPr>
                <w:sz w:val="17"/>
              </w:rPr>
            </w:pPr>
            <w:r>
              <w:rPr>
                <w:color w:val="231F20"/>
                <w:sz w:val="17"/>
              </w:rPr>
              <w:t>Homosexuales</w:t>
            </w:r>
          </w:p>
        </w:tc>
        <w:tc>
          <w:tcPr>
            <w:tcW w:w="1445" w:type="dxa"/>
          </w:tcPr>
          <w:p>
            <w:pPr>
              <w:pStyle w:val="TableParagraph"/>
              <w:spacing w:before="43"/>
              <w:ind w:left="557" w:right="152"/>
              <w:rPr>
                <w:sz w:val="17"/>
              </w:rPr>
            </w:pPr>
            <w:r>
              <w:rPr>
                <w:color w:val="231F20"/>
                <w:sz w:val="17"/>
              </w:rPr>
              <w:t>40%</w:t>
            </w:r>
          </w:p>
        </w:tc>
        <w:tc>
          <w:tcPr>
            <w:tcW w:w="1512" w:type="dxa"/>
          </w:tcPr>
          <w:p>
            <w:pPr>
              <w:pStyle w:val="TableParagraph"/>
              <w:spacing w:before="43"/>
              <w:ind w:left="185" w:right="191"/>
              <w:jc w:val="center"/>
              <w:rPr>
                <w:sz w:val="17"/>
              </w:rPr>
            </w:pPr>
            <w:r>
              <w:rPr>
                <w:color w:val="231F20"/>
                <w:sz w:val="17"/>
              </w:rPr>
              <w:t>60%</w:t>
            </w:r>
          </w:p>
        </w:tc>
        <w:tc>
          <w:tcPr>
            <w:tcW w:w="1291" w:type="dxa"/>
          </w:tcPr>
          <w:p>
            <w:pPr>
              <w:pStyle w:val="TableParagraph"/>
              <w:spacing w:before="43"/>
              <w:ind w:left="0" w:right="439"/>
              <w:jc w:val="right"/>
              <w:rPr>
                <w:sz w:val="17"/>
              </w:rPr>
            </w:pPr>
            <w:r>
              <w:rPr>
                <w:color w:val="231F20"/>
                <w:sz w:val="17"/>
              </w:rPr>
              <w:t>100%</w:t>
            </w:r>
          </w:p>
        </w:tc>
      </w:tr>
      <w:tr>
        <w:trPr>
          <w:trHeight w:val="264" w:hRule="exact"/>
        </w:trPr>
        <w:tc>
          <w:tcPr>
            <w:tcW w:w="1752" w:type="dxa"/>
          </w:tcPr>
          <w:p>
            <w:pPr>
              <w:pStyle w:val="TableParagraph"/>
              <w:spacing w:before="43"/>
              <w:ind w:left="152" w:right="151"/>
              <w:jc w:val="center"/>
              <w:rPr>
                <w:sz w:val="17"/>
              </w:rPr>
            </w:pPr>
            <w:r>
              <w:rPr>
                <w:color w:val="231F20"/>
                <w:sz w:val="17"/>
              </w:rPr>
              <w:t>Lesbianas</w:t>
            </w:r>
          </w:p>
        </w:tc>
        <w:tc>
          <w:tcPr>
            <w:tcW w:w="1445" w:type="dxa"/>
          </w:tcPr>
          <w:p>
            <w:pPr>
              <w:pStyle w:val="TableParagraph"/>
              <w:spacing w:before="43"/>
              <w:ind w:left="557" w:right="152"/>
              <w:rPr>
                <w:sz w:val="17"/>
              </w:rPr>
            </w:pPr>
            <w:r>
              <w:rPr>
                <w:color w:val="231F20"/>
                <w:sz w:val="17"/>
              </w:rPr>
              <w:t>38%</w:t>
            </w:r>
          </w:p>
        </w:tc>
        <w:tc>
          <w:tcPr>
            <w:tcW w:w="1512" w:type="dxa"/>
          </w:tcPr>
          <w:p>
            <w:pPr>
              <w:pStyle w:val="TableParagraph"/>
              <w:spacing w:before="43"/>
              <w:ind w:left="185" w:right="191"/>
              <w:jc w:val="center"/>
              <w:rPr>
                <w:sz w:val="17"/>
              </w:rPr>
            </w:pPr>
            <w:r>
              <w:rPr>
                <w:color w:val="231F20"/>
                <w:sz w:val="17"/>
              </w:rPr>
              <w:t>62%</w:t>
            </w:r>
          </w:p>
        </w:tc>
        <w:tc>
          <w:tcPr>
            <w:tcW w:w="1291" w:type="dxa"/>
          </w:tcPr>
          <w:p>
            <w:pPr>
              <w:pStyle w:val="TableParagraph"/>
              <w:spacing w:before="43"/>
              <w:ind w:left="0" w:right="439"/>
              <w:jc w:val="right"/>
              <w:rPr>
                <w:sz w:val="17"/>
              </w:rPr>
            </w:pPr>
            <w:r>
              <w:rPr>
                <w:color w:val="231F20"/>
                <w:sz w:val="17"/>
              </w:rPr>
              <w:t>100%</w:t>
            </w:r>
          </w:p>
        </w:tc>
      </w:tr>
    </w:tbl>
    <w:p>
      <w:pPr>
        <w:pStyle w:val="BodyText"/>
        <w:spacing w:before="5"/>
        <w:rPr>
          <w:b/>
          <w:sz w:val="7"/>
        </w:rPr>
      </w:pPr>
    </w:p>
    <w:p>
      <w:pPr>
        <w:spacing w:line="307" w:lineRule="auto" w:before="77"/>
        <w:ind w:left="222" w:right="969" w:hanging="1"/>
        <w:jc w:val="left"/>
        <w:rPr>
          <w:sz w:val="17"/>
        </w:rPr>
      </w:pPr>
      <w:r>
        <w:rPr>
          <w:color w:val="231F20"/>
          <w:sz w:val="17"/>
        </w:rPr>
        <w:t>Fuente: Encuesta aplicada a los alumnos de nivel superior de la UABJO, junio-septiembre, 2011.</w:t>
      </w:r>
    </w:p>
    <w:p>
      <w:pPr>
        <w:pStyle w:val="BodyText"/>
        <w:spacing w:before="6"/>
        <w:rPr>
          <w:sz w:val="18"/>
        </w:rPr>
      </w:pPr>
    </w:p>
    <w:p>
      <w:pPr>
        <w:pStyle w:val="BodyText"/>
        <w:spacing w:line="249" w:lineRule="auto" w:before="1"/>
        <w:ind w:left="222" w:right="214" w:firstLine="284"/>
        <w:jc w:val="both"/>
      </w:pPr>
      <w:r>
        <w:rPr>
          <w:color w:val="231F20"/>
          <w:spacing w:val="4"/>
        </w:rPr>
        <w:t>Indígena, término </w:t>
      </w:r>
      <w:r>
        <w:rPr>
          <w:color w:val="231F20"/>
          <w:spacing w:val="3"/>
        </w:rPr>
        <w:t>que </w:t>
      </w:r>
      <w:r>
        <w:rPr>
          <w:color w:val="231F20"/>
          <w:spacing w:val="2"/>
        </w:rPr>
        <w:t>en el </w:t>
      </w:r>
      <w:r>
        <w:rPr>
          <w:color w:val="231F20"/>
          <w:spacing w:val="4"/>
        </w:rPr>
        <w:t>siglo </w:t>
      </w:r>
      <w:r>
        <w:rPr>
          <w:color w:val="231F20"/>
          <w:spacing w:val="3"/>
        </w:rPr>
        <w:t>xix </w:t>
      </w:r>
      <w:r>
        <w:rPr>
          <w:color w:val="231F20"/>
          <w:spacing w:val="2"/>
        </w:rPr>
        <w:t>se </w:t>
      </w:r>
      <w:r>
        <w:rPr>
          <w:color w:val="231F20"/>
        </w:rPr>
        <w:t>le </w:t>
      </w:r>
      <w:r>
        <w:rPr>
          <w:color w:val="231F20"/>
          <w:spacing w:val="3"/>
        </w:rPr>
        <w:t>dio </w:t>
      </w:r>
      <w:r>
        <w:rPr>
          <w:color w:val="231F20"/>
        </w:rPr>
        <w:t>a la </w:t>
      </w:r>
      <w:r>
        <w:rPr>
          <w:color w:val="231F20"/>
          <w:spacing w:val="5"/>
        </w:rPr>
        <w:t>población </w:t>
      </w:r>
      <w:r>
        <w:rPr>
          <w:color w:val="231F20"/>
          <w:spacing w:val="4"/>
        </w:rPr>
        <w:t>descendiente </w:t>
      </w:r>
      <w:r>
        <w:rPr>
          <w:color w:val="231F20"/>
          <w:spacing w:val="3"/>
        </w:rPr>
        <w:t>de los </w:t>
      </w:r>
      <w:r>
        <w:rPr>
          <w:color w:val="231F20"/>
          <w:spacing w:val="4"/>
        </w:rPr>
        <w:t>antiguos pobladores </w:t>
      </w:r>
      <w:r>
        <w:rPr>
          <w:color w:val="231F20"/>
          <w:spacing w:val="3"/>
        </w:rPr>
        <w:t>de </w:t>
      </w:r>
      <w:r>
        <w:rPr>
          <w:color w:val="231F20"/>
          <w:spacing w:val="4"/>
        </w:rPr>
        <w:t>México, </w:t>
      </w:r>
      <w:r>
        <w:rPr>
          <w:color w:val="231F20"/>
        </w:rPr>
        <w:t>y </w:t>
      </w:r>
      <w:r>
        <w:rPr>
          <w:color w:val="231F20"/>
          <w:spacing w:val="3"/>
        </w:rPr>
        <w:t>que </w:t>
      </w:r>
      <w:r>
        <w:rPr>
          <w:color w:val="231F20"/>
          <w:spacing w:val="4"/>
        </w:rPr>
        <w:t>alude   </w:t>
      </w:r>
      <w:r>
        <w:rPr>
          <w:color w:val="231F20"/>
        </w:rPr>
        <w:t>a </w:t>
      </w:r>
      <w:r>
        <w:rPr>
          <w:color w:val="231F20"/>
          <w:spacing w:val="2"/>
        </w:rPr>
        <w:t>su </w:t>
      </w:r>
      <w:r>
        <w:rPr>
          <w:color w:val="231F20"/>
          <w:spacing w:val="4"/>
        </w:rPr>
        <w:t>condición </w:t>
      </w:r>
      <w:r>
        <w:rPr>
          <w:color w:val="231F20"/>
          <w:spacing w:val="3"/>
        </w:rPr>
        <w:t>de </w:t>
      </w:r>
      <w:r>
        <w:rPr>
          <w:color w:val="231F20"/>
          <w:spacing w:val="4"/>
        </w:rPr>
        <w:t>marginal </w:t>
      </w:r>
      <w:r>
        <w:rPr>
          <w:color w:val="231F20"/>
        </w:rPr>
        <w:t>y </w:t>
      </w:r>
      <w:r>
        <w:rPr>
          <w:color w:val="231F20"/>
          <w:spacing w:val="4"/>
        </w:rPr>
        <w:t>pobre, quiere decir indigente. </w:t>
      </w:r>
      <w:r>
        <w:rPr>
          <w:color w:val="231F20"/>
          <w:spacing w:val="5"/>
        </w:rPr>
        <w:t>Indí- </w:t>
      </w:r>
      <w:r>
        <w:rPr>
          <w:color w:val="231F20"/>
          <w:spacing w:val="4"/>
        </w:rPr>
        <w:t>gena </w:t>
      </w:r>
      <w:r>
        <w:rPr>
          <w:color w:val="231F20"/>
        </w:rPr>
        <w:t>o </w:t>
      </w:r>
      <w:r>
        <w:rPr>
          <w:color w:val="231F20"/>
          <w:spacing w:val="4"/>
        </w:rPr>
        <w:t>indio borra </w:t>
      </w:r>
      <w:r>
        <w:rPr>
          <w:color w:val="231F20"/>
          <w:spacing w:val="3"/>
        </w:rPr>
        <w:t>las </w:t>
      </w:r>
      <w:r>
        <w:rPr>
          <w:color w:val="231F20"/>
          <w:spacing w:val="4"/>
        </w:rPr>
        <w:t>diferencias que existen entre </w:t>
      </w:r>
      <w:r>
        <w:rPr>
          <w:color w:val="231F20"/>
          <w:spacing w:val="3"/>
        </w:rPr>
        <w:t>esta </w:t>
      </w:r>
      <w:r>
        <w:rPr>
          <w:color w:val="231F20"/>
          <w:spacing w:val="5"/>
        </w:rPr>
        <w:t>pobla- </w:t>
      </w:r>
      <w:r>
        <w:rPr>
          <w:color w:val="231F20"/>
          <w:spacing w:val="4"/>
        </w:rPr>
        <w:t>ción. </w:t>
      </w:r>
      <w:r>
        <w:rPr>
          <w:color w:val="231F20"/>
          <w:spacing w:val="3"/>
        </w:rPr>
        <w:t>Se </w:t>
      </w:r>
      <w:r>
        <w:rPr>
          <w:color w:val="231F20"/>
        </w:rPr>
        <w:t>le </w:t>
      </w:r>
      <w:r>
        <w:rPr>
          <w:color w:val="231F20"/>
          <w:spacing w:val="4"/>
        </w:rPr>
        <w:t>asocia </w:t>
      </w:r>
      <w:r>
        <w:rPr>
          <w:color w:val="231F20"/>
          <w:spacing w:val="3"/>
        </w:rPr>
        <w:t>con </w:t>
      </w:r>
      <w:r>
        <w:rPr>
          <w:color w:val="231F20"/>
        </w:rPr>
        <w:t>la </w:t>
      </w:r>
      <w:r>
        <w:rPr>
          <w:color w:val="231F20"/>
          <w:spacing w:val="4"/>
        </w:rPr>
        <w:t>pobreza, </w:t>
      </w:r>
      <w:r>
        <w:rPr>
          <w:color w:val="231F20"/>
        </w:rPr>
        <w:t>la </w:t>
      </w:r>
      <w:r>
        <w:rPr>
          <w:color w:val="231F20"/>
          <w:spacing w:val="4"/>
        </w:rPr>
        <w:t>ignorancia, </w:t>
      </w:r>
      <w:r>
        <w:rPr>
          <w:color w:val="231F20"/>
          <w:spacing w:val="2"/>
        </w:rPr>
        <w:t>el </w:t>
      </w:r>
      <w:r>
        <w:rPr>
          <w:color w:val="231F20"/>
          <w:spacing w:val="4"/>
        </w:rPr>
        <w:t>atraso. </w:t>
      </w:r>
      <w:r>
        <w:rPr>
          <w:color w:val="231F20"/>
          <w:spacing w:val="3"/>
        </w:rPr>
        <w:t>En </w:t>
      </w:r>
      <w:r>
        <w:rPr>
          <w:color w:val="231F20"/>
          <w:spacing w:val="4"/>
        </w:rPr>
        <w:t>Oaxaca existe </w:t>
      </w:r>
      <w:r>
        <w:rPr>
          <w:color w:val="231F20"/>
          <w:spacing w:val="2"/>
        </w:rPr>
        <w:t>un </w:t>
      </w:r>
      <w:r>
        <w:rPr>
          <w:color w:val="231F20"/>
          <w:spacing w:val="4"/>
        </w:rPr>
        <w:t>término despectivo para </w:t>
      </w:r>
      <w:r>
        <w:rPr>
          <w:color w:val="231F20"/>
          <w:spacing w:val="5"/>
        </w:rPr>
        <w:t>denominar </w:t>
      </w:r>
      <w:r>
        <w:rPr>
          <w:color w:val="231F20"/>
        </w:rPr>
        <w:t>a </w:t>
      </w:r>
      <w:r>
        <w:rPr>
          <w:color w:val="231F20"/>
          <w:spacing w:val="3"/>
        </w:rPr>
        <w:t>esta </w:t>
      </w:r>
      <w:r>
        <w:rPr>
          <w:color w:val="231F20"/>
          <w:spacing w:val="6"/>
        </w:rPr>
        <w:t>po-</w:t>
      </w:r>
      <w:r>
        <w:rPr>
          <w:color w:val="231F20"/>
          <w:spacing w:val="64"/>
        </w:rPr>
        <w:t> </w:t>
      </w:r>
      <w:r>
        <w:rPr>
          <w:color w:val="231F20"/>
          <w:spacing w:val="4"/>
        </w:rPr>
        <w:t>blación: “yope”, </w:t>
      </w:r>
      <w:r>
        <w:rPr>
          <w:color w:val="231F20"/>
          <w:spacing w:val="3"/>
        </w:rPr>
        <w:t>que </w:t>
      </w:r>
      <w:r>
        <w:rPr>
          <w:color w:val="231F20"/>
          <w:spacing w:val="4"/>
        </w:rPr>
        <w:t>significa atrasado, salvaje, inculto, tonto, necio. Oaxaca </w:t>
      </w:r>
      <w:r>
        <w:rPr>
          <w:color w:val="231F20"/>
          <w:spacing w:val="3"/>
        </w:rPr>
        <w:t>vive una </w:t>
      </w:r>
      <w:r>
        <w:rPr>
          <w:color w:val="231F20"/>
          <w:spacing w:val="4"/>
        </w:rPr>
        <w:t>situación colonial, como </w:t>
      </w:r>
      <w:r>
        <w:rPr>
          <w:color w:val="231F20"/>
          <w:spacing w:val="3"/>
        </w:rPr>
        <w:t>ha </w:t>
      </w:r>
      <w:r>
        <w:rPr>
          <w:color w:val="231F20"/>
          <w:spacing w:val="5"/>
        </w:rPr>
        <w:t>denominado </w:t>
      </w:r>
      <w:r>
        <w:rPr>
          <w:color w:val="231F20"/>
          <w:spacing w:val="4"/>
        </w:rPr>
        <w:t>Balandier (1978) </w:t>
      </w:r>
      <w:r>
        <w:rPr>
          <w:color w:val="231F20"/>
        </w:rPr>
        <w:t>a </w:t>
      </w:r>
      <w:r>
        <w:rPr>
          <w:color w:val="231F20"/>
          <w:spacing w:val="3"/>
        </w:rPr>
        <w:t>las </w:t>
      </w:r>
      <w:r>
        <w:rPr>
          <w:color w:val="231F20"/>
          <w:spacing w:val="4"/>
        </w:rPr>
        <w:t>sociedades que fueron colonizadas </w:t>
      </w:r>
      <w:r>
        <w:rPr>
          <w:color w:val="231F20"/>
        </w:rPr>
        <w:t>y </w:t>
      </w:r>
      <w:r>
        <w:rPr>
          <w:color w:val="231F20"/>
          <w:spacing w:val="6"/>
        </w:rPr>
        <w:t>que</w:t>
      </w:r>
      <w:r>
        <w:rPr>
          <w:color w:val="231F20"/>
          <w:spacing w:val="64"/>
        </w:rPr>
        <w:t> </w:t>
      </w:r>
      <w:r>
        <w:rPr>
          <w:color w:val="231F20"/>
          <w:spacing w:val="2"/>
        </w:rPr>
        <w:t>se </w:t>
      </w:r>
      <w:r>
        <w:rPr>
          <w:color w:val="231F20"/>
          <w:spacing w:val="4"/>
        </w:rPr>
        <w:t>caracterizan porque </w:t>
      </w:r>
      <w:r>
        <w:rPr>
          <w:color w:val="231F20"/>
          <w:spacing w:val="3"/>
        </w:rPr>
        <w:t>las </w:t>
      </w:r>
      <w:r>
        <w:rPr>
          <w:color w:val="231F20"/>
          <w:spacing w:val="4"/>
        </w:rPr>
        <w:t>elites, </w:t>
      </w:r>
      <w:r>
        <w:rPr>
          <w:color w:val="231F20"/>
          <w:spacing w:val="3"/>
        </w:rPr>
        <w:t>de </w:t>
      </w:r>
      <w:r>
        <w:rPr>
          <w:color w:val="231F20"/>
          <w:spacing w:val="4"/>
        </w:rPr>
        <w:t>origen extranjero, controlan  </w:t>
      </w:r>
      <w:r>
        <w:rPr>
          <w:color w:val="231F20"/>
        </w:rPr>
        <w:t>la </w:t>
      </w:r>
      <w:r>
        <w:rPr>
          <w:color w:val="231F20"/>
          <w:spacing w:val="4"/>
        </w:rPr>
        <w:t>economía </w:t>
      </w:r>
      <w:r>
        <w:rPr>
          <w:color w:val="231F20"/>
        </w:rPr>
        <w:t>y la </w:t>
      </w:r>
      <w:r>
        <w:rPr>
          <w:color w:val="231F20"/>
          <w:spacing w:val="4"/>
        </w:rPr>
        <w:t>política </w:t>
      </w:r>
      <w:r>
        <w:rPr>
          <w:color w:val="231F20"/>
          <w:spacing w:val="3"/>
        </w:rPr>
        <w:t>del </w:t>
      </w:r>
      <w:r>
        <w:rPr>
          <w:color w:val="231F20"/>
          <w:spacing w:val="4"/>
        </w:rPr>
        <w:t>lugar, legitiman </w:t>
      </w:r>
      <w:r>
        <w:rPr>
          <w:color w:val="231F20"/>
          <w:spacing w:val="3"/>
        </w:rPr>
        <w:t>esta </w:t>
      </w:r>
      <w:r>
        <w:rPr>
          <w:color w:val="231F20"/>
          <w:spacing w:val="4"/>
        </w:rPr>
        <w:t>posición </w:t>
      </w:r>
      <w:r>
        <w:rPr>
          <w:color w:val="231F20"/>
          <w:spacing w:val="6"/>
        </w:rPr>
        <w:t>por</w:t>
      </w:r>
      <w:r>
        <w:rPr>
          <w:color w:val="231F20"/>
          <w:spacing w:val="64"/>
        </w:rPr>
        <w:t> </w:t>
      </w:r>
      <w:r>
        <w:rPr>
          <w:color w:val="231F20"/>
          <w:spacing w:val="4"/>
        </w:rPr>
        <w:t>medio </w:t>
      </w:r>
      <w:r>
        <w:rPr>
          <w:color w:val="231F20"/>
          <w:spacing w:val="3"/>
        </w:rPr>
        <w:t>de </w:t>
      </w:r>
      <w:r>
        <w:rPr>
          <w:color w:val="231F20"/>
          <w:spacing w:val="2"/>
        </w:rPr>
        <w:t>un </w:t>
      </w:r>
      <w:r>
        <w:rPr>
          <w:color w:val="231F20"/>
          <w:spacing w:val="4"/>
        </w:rPr>
        <w:t>discurso racista </w:t>
      </w:r>
      <w:r>
        <w:rPr>
          <w:color w:val="231F20"/>
          <w:spacing w:val="5"/>
        </w:rPr>
        <w:t>(Montes-García, </w:t>
      </w:r>
      <w:r>
        <w:rPr>
          <w:color w:val="231F20"/>
          <w:spacing w:val="4"/>
        </w:rPr>
        <w:t>1998), </w:t>
      </w:r>
      <w:r>
        <w:rPr>
          <w:color w:val="231F20"/>
          <w:spacing w:val="2"/>
        </w:rPr>
        <w:t>en </w:t>
      </w:r>
      <w:r>
        <w:rPr>
          <w:color w:val="231F20"/>
          <w:spacing w:val="4"/>
        </w:rPr>
        <w:t>donde </w:t>
      </w:r>
      <w:r>
        <w:rPr>
          <w:color w:val="231F20"/>
          <w:spacing w:val="15"/>
        </w:rPr>
        <w:t> </w:t>
      </w:r>
      <w:r>
        <w:rPr>
          <w:color w:val="231F20"/>
        </w:rPr>
        <w:t>la</w:t>
      </w:r>
    </w:p>
    <w:p>
      <w:pPr>
        <w:spacing w:after="0" w:line="249" w:lineRule="auto"/>
        <w:jc w:val="both"/>
        <w:sectPr>
          <w:headerReference w:type="default" r:id="rId793"/>
          <w:footerReference w:type="default" r:id="rId794"/>
          <w:pgSz w:w="7830" w:h="11910"/>
          <w:pgMar w:header="0" w:footer="424" w:top="500" w:bottom="620" w:left="800" w:right="800"/>
          <w:pgNumType w:start="35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3"/>
        <w:jc w:val="both"/>
      </w:pPr>
      <w:r>
        <w:rPr>
          <w:color w:val="231F20"/>
          <w:spacing w:val="4"/>
        </w:rPr>
        <w:t>población originaria ocupa </w:t>
      </w:r>
      <w:r>
        <w:rPr>
          <w:color w:val="231F20"/>
          <w:spacing w:val="2"/>
        </w:rPr>
        <w:t>el </w:t>
      </w:r>
      <w:r>
        <w:rPr>
          <w:color w:val="231F20"/>
          <w:spacing w:val="4"/>
        </w:rPr>
        <w:t>lugar más </w:t>
      </w:r>
      <w:r>
        <w:rPr>
          <w:color w:val="231F20"/>
          <w:spacing w:val="3"/>
        </w:rPr>
        <w:t>bajo </w:t>
      </w:r>
      <w:r>
        <w:rPr>
          <w:color w:val="231F20"/>
          <w:spacing w:val="2"/>
        </w:rPr>
        <w:t>en </w:t>
      </w:r>
      <w:r>
        <w:rPr>
          <w:color w:val="231F20"/>
        </w:rPr>
        <w:t>la </w:t>
      </w:r>
      <w:r>
        <w:rPr>
          <w:color w:val="231F20"/>
          <w:spacing w:val="4"/>
        </w:rPr>
        <w:t>escala social. </w:t>
      </w:r>
      <w:r>
        <w:rPr>
          <w:color w:val="231F20"/>
          <w:spacing w:val="3"/>
        </w:rPr>
        <w:t>No </w:t>
      </w:r>
      <w:r>
        <w:rPr>
          <w:color w:val="231F20"/>
          <w:spacing w:val="4"/>
        </w:rPr>
        <w:t>obstante </w:t>
      </w:r>
      <w:r>
        <w:rPr>
          <w:color w:val="231F20"/>
        </w:rPr>
        <w:t>la </w:t>
      </w:r>
      <w:r>
        <w:rPr>
          <w:color w:val="231F20"/>
          <w:spacing w:val="3"/>
        </w:rPr>
        <w:t>visión que del </w:t>
      </w:r>
      <w:r>
        <w:rPr>
          <w:color w:val="231F20"/>
          <w:spacing w:val="4"/>
        </w:rPr>
        <w:t>indio </w:t>
      </w:r>
      <w:r>
        <w:rPr>
          <w:color w:val="231F20"/>
        </w:rPr>
        <w:t>o </w:t>
      </w:r>
      <w:r>
        <w:rPr>
          <w:color w:val="231F20"/>
          <w:spacing w:val="4"/>
        </w:rPr>
        <w:t>indígena tienen </w:t>
      </w:r>
      <w:r>
        <w:rPr>
          <w:color w:val="231F20"/>
          <w:spacing w:val="3"/>
        </w:rPr>
        <w:t>los </w:t>
      </w:r>
      <w:r>
        <w:rPr>
          <w:color w:val="231F20"/>
          <w:spacing w:val="5"/>
        </w:rPr>
        <w:t>diferen- </w:t>
      </w:r>
      <w:r>
        <w:rPr>
          <w:color w:val="231F20"/>
          <w:spacing w:val="3"/>
        </w:rPr>
        <w:t>tes </w:t>
      </w:r>
      <w:r>
        <w:rPr>
          <w:color w:val="231F20"/>
          <w:spacing w:val="4"/>
        </w:rPr>
        <w:t>grupos urbanos </w:t>
      </w:r>
      <w:r>
        <w:rPr>
          <w:color w:val="231F20"/>
          <w:spacing w:val="2"/>
        </w:rPr>
        <w:t>de </w:t>
      </w:r>
      <w:r>
        <w:rPr>
          <w:color w:val="231F20"/>
        </w:rPr>
        <w:t>la </w:t>
      </w:r>
      <w:r>
        <w:rPr>
          <w:color w:val="231F20"/>
          <w:spacing w:val="4"/>
        </w:rPr>
        <w:t>ciudad </w:t>
      </w:r>
      <w:r>
        <w:rPr>
          <w:color w:val="231F20"/>
          <w:spacing w:val="2"/>
        </w:rPr>
        <w:t>de </w:t>
      </w:r>
      <w:r>
        <w:rPr>
          <w:color w:val="231F20"/>
          <w:spacing w:val="4"/>
        </w:rPr>
        <w:t>Oaxaca, </w:t>
      </w:r>
      <w:r>
        <w:rPr>
          <w:color w:val="231F20"/>
          <w:spacing w:val="3"/>
        </w:rPr>
        <w:t>ellos han </w:t>
      </w:r>
      <w:r>
        <w:rPr>
          <w:color w:val="231F20"/>
          <w:spacing w:val="4"/>
        </w:rPr>
        <w:t>ingresado </w:t>
      </w:r>
      <w:r>
        <w:rPr>
          <w:color w:val="231F20"/>
        </w:rPr>
        <w:t>a la </w:t>
      </w:r>
      <w:r>
        <w:rPr>
          <w:color w:val="231F20"/>
          <w:spacing w:val="4"/>
        </w:rPr>
        <w:t>universidad para estudiar. </w:t>
      </w:r>
      <w:r>
        <w:rPr>
          <w:color w:val="231F20"/>
          <w:spacing w:val="2"/>
        </w:rPr>
        <w:t>Su </w:t>
      </w:r>
      <w:r>
        <w:rPr>
          <w:color w:val="231F20"/>
          <w:spacing w:val="4"/>
        </w:rPr>
        <w:t>paso por </w:t>
      </w:r>
      <w:r>
        <w:rPr>
          <w:color w:val="231F20"/>
          <w:spacing w:val="3"/>
        </w:rPr>
        <w:t>esta </w:t>
      </w:r>
      <w:r>
        <w:rPr>
          <w:color w:val="231F20"/>
          <w:spacing w:val="4"/>
        </w:rPr>
        <w:t>institución </w:t>
      </w:r>
      <w:r>
        <w:rPr>
          <w:color w:val="231F20"/>
          <w:spacing w:val="2"/>
        </w:rPr>
        <w:t>no </w:t>
      </w:r>
      <w:r>
        <w:rPr>
          <w:color w:val="231F20"/>
          <w:spacing w:val="6"/>
        </w:rPr>
        <w:t>ha </w:t>
      </w:r>
      <w:r>
        <w:rPr>
          <w:color w:val="231F20"/>
          <w:spacing w:val="3"/>
        </w:rPr>
        <w:t>sido fácil. Las </w:t>
      </w:r>
      <w:r>
        <w:rPr>
          <w:color w:val="231F20"/>
          <w:spacing w:val="4"/>
        </w:rPr>
        <w:t>más </w:t>
      </w:r>
      <w:r>
        <w:rPr>
          <w:color w:val="231F20"/>
          <w:spacing w:val="3"/>
        </w:rPr>
        <w:t>de las </w:t>
      </w:r>
      <w:r>
        <w:rPr>
          <w:color w:val="231F20"/>
          <w:spacing w:val="4"/>
        </w:rPr>
        <w:t>veces </w:t>
      </w:r>
      <w:r>
        <w:rPr>
          <w:color w:val="231F20"/>
          <w:spacing w:val="2"/>
        </w:rPr>
        <w:t>se </w:t>
      </w:r>
      <w:r>
        <w:rPr>
          <w:color w:val="231F20"/>
          <w:spacing w:val="3"/>
        </w:rPr>
        <w:t>ha </w:t>
      </w:r>
      <w:r>
        <w:rPr>
          <w:color w:val="231F20"/>
          <w:spacing w:val="4"/>
        </w:rPr>
        <w:t>ejercido </w:t>
      </w:r>
      <w:r>
        <w:rPr>
          <w:color w:val="231F20"/>
          <w:spacing w:val="3"/>
        </w:rPr>
        <w:t>una </w:t>
      </w:r>
      <w:r>
        <w:rPr>
          <w:color w:val="231F20"/>
          <w:spacing w:val="4"/>
        </w:rPr>
        <w:t>violencia </w:t>
      </w:r>
      <w:r>
        <w:rPr>
          <w:color w:val="231F20"/>
          <w:spacing w:val="5"/>
        </w:rPr>
        <w:t>sim- </w:t>
      </w:r>
      <w:r>
        <w:rPr>
          <w:color w:val="231F20"/>
          <w:spacing w:val="4"/>
        </w:rPr>
        <w:t>bólica hacia ellos: exclusión social, marginación, ignorarlos </w:t>
      </w:r>
      <w:r>
        <w:rPr>
          <w:color w:val="231F20"/>
        </w:rPr>
        <w:t>o </w:t>
      </w:r>
      <w:r>
        <w:rPr>
          <w:color w:val="231F20"/>
          <w:spacing w:val="4"/>
        </w:rPr>
        <w:t>bien </w:t>
      </w:r>
      <w:r>
        <w:rPr>
          <w:color w:val="231F20"/>
          <w:spacing w:val="2"/>
        </w:rPr>
        <w:t>la </w:t>
      </w:r>
      <w:r>
        <w:rPr>
          <w:color w:val="231F20"/>
          <w:spacing w:val="4"/>
        </w:rPr>
        <w:t>burla, </w:t>
      </w:r>
      <w:r>
        <w:rPr>
          <w:color w:val="231F20"/>
          <w:spacing w:val="3"/>
        </w:rPr>
        <w:t>las </w:t>
      </w:r>
      <w:r>
        <w:rPr>
          <w:color w:val="231F20"/>
          <w:spacing w:val="4"/>
        </w:rPr>
        <w:t>bromas pesadas, </w:t>
      </w:r>
      <w:r>
        <w:rPr>
          <w:color w:val="231F20"/>
          <w:spacing w:val="3"/>
        </w:rPr>
        <w:t>las </w:t>
      </w:r>
      <w:r>
        <w:rPr>
          <w:color w:val="231F20"/>
          <w:spacing w:val="4"/>
        </w:rPr>
        <w:t>agresiones físicas, </w:t>
      </w:r>
      <w:r>
        <w:rPr>
          <w:color w:val="231F20"/>
          <w:spacing w:val="2"/>
        </w:rPr>
        <w:t>el </w:t>
      </w:r>
      <w:r>
        <w:rPr>
          <w:color w:val="231F20"/>
          <w:spacing w:val="4"/>
        </w:rPr>
        <w:t>robo  </w:t>
      </w:r>
      <w:r>
        <w:rPr>
          <w:color w:val="231F20"/>
          <w:spacing w:val="3"/>
        </w:rPr>
        <w:t>de sus </w:t>
      </w:r>
      <w:r>
        <w:rPr>
          <w:color w:val="231F20"/>
          <w:spacing w:val="4"/>
        </w:rPr>
        <w:t>pertenencias. </w:t>
      </w:r>
      <w:r>
        <w:rPr>
          <w:color w:val="231F20"/>
          <w:spacing w:val="3"/>
        </w:rPr>
        <w:t>En tal </w:t>
      </w:r>
      <w:r>
        <w:rPr>
          <w:color w:val="231F20"/>
          <w:spacing w:val="4"/>
        </w:rPr>
        <w:t>sentido, </w:t>
      </w:r>
      <w:r>
        <w:rPr>
          <w:color w:val="231F20"/>
          <w:spacing w:val="3"/>
        </w:rPr>
        <w:t>ante </w:t>
      </w:r>
      <w:r>
        <w:rPr>
          <w:color w:val="231F20"/>
        </w:rPr>
        <w:t>la </w:t>
      </w:r>
      <w:r>
        <w:rPr>
          <w:color w:val="231F20"/>
          <w:spacing w:val="4"/>
        </w:rPr>
        <w:t>pregunta sobre </w:t>
      </w:r>
      <w:r>
        <w:rPr>
          <w:color w:val="231F20"/>
          <w:spacing w:val="3"/>
        </w:rPr>
        <w:t>qué </w:t>
      </w:r>
      <w:r>
        <w:rPr>
          <w:color w:val="231F20"/>
          <w:spacing w:val="4"/>
        </w:rPr>
        <w:t>grupos suelen </w:t>
      </w:r>
      <w:r>
        <w:rPr>
          <w:color w:val="231F20"/>
          <w:spacing w:val="3"/>
        </w:rPr>
        <w:t>ser los </w:t>
      </w:r>
      <w:r>
        <w:rPr>
          <w:color w:val="231F20"/>
          <w:spacing w:val="4"/>
        </w:rPr>
        <w:t>más agredidos, </w:t>
      </w:r>
      <w:r>
        <w:rPr>
          <w:color w:val="231F20"/>
          <w:spacing w:val="3"/>
        </w:rPr>
        <w:t>63.0% de los </w:t>
      </w:r>
      <w:r>
        <w:rPr>
          <w:color w:val="231F20"/>
          <w:spacing w:val="4"/>
        </w:rPr>
        <w:t>alumnos </w:t>
      </w:r>
      <w:r>
        <w:rPr>
          <w:color w:val="231F20"/>
          <w:spacing w:val="5"/>
        </w:rPr>
        <w:t>en- </w:t>
      </w:r>
      <w:r>
        <w:rPr>
          <w:color w:val="231F20"/>
          <w:spacing w:val="4"/>
        </w:rPr>
        <w:t>cuestados respondieron que </w:t>
      </w:r>
      <w:r>
        <w:rPr>
          <w:color w:val="231F20"/>
          <w:spacing w:val="3"/>
        </w:rPr>
        <w:t>son los </w:t>
      </w:r>
      <w:r>
        <w:rPr>
          <w:color w:val="231F20"/>
          <w:spacing w:val="4"/>
        </w:rPr>
        <w:t>indígenas. Esta respuesta confirma </w:t>
      </w:r>
      <w:r>
        <w:rPr>
          <w:color w:val="231F20"/>
        </w:rPr>
        <w:t>la </w:t>
      </w:r>
      <w:r>
        <w:rPr>
          <w:color w:val="231F20"/>
          <w:spacing w:val="4"/>
        </w:rPr>
        <w:t>situación </w:t>
      </w:r>
      <w:r>
        <w:rPr>
          <w:color w:val="231F20"/>
          <w:spacing w:val="3"/>
        </w:rPr>
        <w:t>de </w:t>
      </w:r>
      <w:r>
        <w:rPr>
          <w:color w:val="231F20"/>
          <w:spacing w:val="4"/>
        </w:rPr>
        <w:t>dominación </w:t>
      </w:r>
      <w:r>
        <w:rPr>
          <w:color w:val="231F20"/>
        </w:rPr>
        <w:t>y </w:t>
      </w:r>
      <w:r>
        <w:rPr>
          <w:color w:val="231F20"/>
          <w:spacing w:val="3"/>
        </w:rPr>
        <w:t>de </w:t>
      </w:r>
      <w:r>
        <w:rPr>
          <w:color w:val="231F20"/>
          <w:spacing w:val="4"/>
        </w:rPr>
        <w:t>racismo que </w:t>
      </w:r>
      <w:r>
        <w:rPr>
          <w:color w:val="231F20"/>
          <w:spacing w:val="2"/>
        </w:rPr>
        <w:t>se </w:t>
      </w:r>
      <w:r>
        <w:rPr>
          <w:color w:val="231F20"/>
          <w:spacing w:val="4"/>
        </w:rPr>
        <w:t>ejerce sobre </w:t>
      </w:r>
      <w:r>
        <w:rPr>
          <w:color w:val="231F20"/>
          <w:spacing w:val="3"/>
        </w:rPr>
        <w:t>esta </w:t>
      </w:r>
      <w:r>
        <w:rPr>
          <w:color w:val="231F20"/>
          <w:spacing w:val="4"/>
        </w:rPr>
        <w:t>población, </w:t>
      </w:r>
      <w:r>
        <w:rPr>
          <w:color w:val="231F20"/>
        </w:rPr>
        <w:t>y </w:t>
      </w:r>
      <w:r>
        <w:rPr>
          <w:color w:val="231F20"/>
          <w:spacing w:val="4"/>
        </w:rPr>
        <w:t>también </w:t>
      </w:r>
      <w:r>
        <w:rPr>
          <w:color w:val="231F20"/>
          <w:spacing w:val="3"/>
        </w:rPr>
        <w:t>de que </w:t>
      </w:r>
      <w:r>
        <w:rPr>
          <w:color w:val="231F20"/>
          <w:spacing w:val="4"/>
        </w:rPr>
        <w:t>Oaxaca </w:t>
      </w:r>
      <w:r>
        <w:rPr>
          <w:color w:val="231F20"/>
          <w:spacing w:val="3"/>
        </w:rPr>
        <w:t>vive una </w:t>
      </w:r>
      <w:r>
        <w:rPr>
          <w:color w:val="231F20"/>
          <w:spacing w:val="5"/>
        </w:rPr>
        <w:t>situa- </w:t>
      </w:r>
      <w:r>
        <w:rPr>
          <w:color w:val="231F20"/>
          <w:spacing w:val="3"/>
        </w:rPr>
        <w:t>ción </w:t>
      </w:r>
      <w:r>
        <w:rPr>
          <w:color w:val="231F20"/>
          <w:spacing w:val="4"/>
        </w:rPr>
        <w:t>colonial, </w:t>
      </w:r>
      <w:r>
        <w:rPr>
          <w:color w:val="231F20"/>
        </w:rPr>
        <w:t>a </w:t>
      </w:r>
      <w:r>
        <w:rPr>
          <w:color w:val="231F20"/>
          <w:spacing w:val="4"/>
        </w:rPr>
        <w:t>pesar </w:t>
      </w:r>
      <w:r>
        <w:rPr>
          <w:color w:val="231F20"/>
          <w:spacing w:val="3"/>
        </w:rPr>
        <w:t>de </w:t>
      </w:r>
      <w:r>
        <w:rPr>
          <w:color w:val="231F20"/>
          <w:spacing w:val="4"/>
        </w:rPr>
        <w:t>que hace </w:t>
      </w:r>
      <w:r>
        <w:rPr>
          <w:color w:val="231F20"/>
          <w:spacing w:val="3"/>
        </w:rPr>
        <w:t>201 </w:t>
      </w:r>
      <w:r>
        <w:rPr>
          <w:color w:val="231F20"/>
          <w:spacing w:val="4"/>
        </w:rPr>
        <w:t>años </w:t>
      </w:r>
      <w:r>
        <w:rPr>
          <w:color w:val="231F20"/>
          <w:spacing w:val="2"/>
        </w:rPr>
        <w:t>se </w:t>
      </w:r>
      <w:r>
        <w:rPr>
          <w:color w:val="231F20"/>
          <w:spacing w:val="3"/>
        </w:rPr>
        <w:t>inició </w:t>
      </w:r>
      <w:r>
        <w:rPr>
          <w:color w:val="231F20"/>
        </w:rPr>
        <w:t>la </w:t>
      </w:r>
      <w:r>
        <w:rPr>
          <w:color w:val="231F20"/>
          <w:spacing w:val="5"/>
        </w:rPr>
        <w:t>indepen- </w:t>
      </w:r>
      <w:r>
        <w:rPr>
          <w:color w:val="231F20"/>
          <w:spacing w:val="4"/>
        </w:rPr>
        <w:t>dencia </w:t>
      </w:r>
      <w:r>
        <w:rPr>
          <w:color w:val="231F20"/>
          <w:spacing w:val="3"/>
        </w:rPr>
        <w:t>del país, pues </w:t>
      </w:r>
      <w:r>
        <w:rPr>
          <w:color w:val="231F20"/>
          <w:spacing w:val="2"/>
        </w:rPr>
        <w:t>en </w:t>
      </w:r>
      <w:r>
        <w:rPr>
          <w:color w:val="231F20"/>
        </w:rPr>
        <w:t>la </w:t>
      </w:r>
      <w:r>
        <w:rPr>
          <w:color w:val="231F20"/>
          <w:spacing w:val="4"/>
        </w:rPr>
        <w:t>universidad </w:t>
      </w:r>
      <w:r>
        <w:rPr>
          <w:color w:val="231F20"/>
          <w:spacing w:val="2"/>
        </w:rPr>
        <w:t>la </w:t>
      </w:r>
      <w:r>
        <w:rPr>
          <w:color w:val="231F20"/>
          <w:spacing w:val="4"/>
        </w:rPr>
        <w:t>mayor parte </w:t>
      </w:r>
      <w:r>
        <w:rPr>
          <w:color w:val="231F20"/>
          <w:spacing w:val="3"/>
        </w:rPr>
        <w:t>de </w:t>
      </w:r>
      <w:r>
        <w:rPr>
          <w:color w:val="231F20"/>
          <w:spacing w:val="2"/>
        </w:rPr>
        <w:t>la </w:t>
      </w:r>
      <w:r>
        <w:rPr>
          <w:color w:val="231F20"/>
          <w:spacing w:val="6"/>
        </w:rPr>
        <w:t>po- </w:t>
      </w:r>
      <w:r>
        <w:rPr>
          <w:color w:val="231F20"/>
          <w:spacing w:val="4"/>
        </w:rPr>
        <w:t>blación estudiantil </w:t>
      </w:r>
      <w:r>
        <w:rPr>
          <w:color w:val="231F20"/>
        </w:rPr>
        <w:t>y </w:t>
      </w:r>
      <w:r>
        <w:rPr>
          <w:color w:val="231F20"/>
          <w:spacing w:val="4"/>
        </w:rPr>
        <w:t>docente, proviene </w:t>
      </w:r>
      <w:r>
        <w:rPr>
          <w:color w:val="231F20"/>
          <w:spacing w:val="3"/>
        </w:rPr>
        <w:t>de  los  </w:t>
      </w:r>
      <w:r>
        <w:rPr>
          <w:color w:val="231F20"/>
          <w:spacing w:val="4"/>
        </w:rPr>
        <w:t>sectores  medio bajo </w:t>
      </w:r>
      <w:r>
        <w:rPr>
          <w:color w:val="231F20"/>
        </w:rPr>
        <w:t>y</w:t>
      </w:r>
      <w:r>
        <w:rPr>
          <w:color w:val="231F20"/>
          <w:spacing w:val="-6"/>
        </w:rPr>
        <w:t> </w:t>
      </w:r>
      <w:r>
        <w:rPr>
          <w:color w:val="231F20"/>
          <w:spacing w:val="5"/>
        </w:rPr>
        <w:t>bajo.</w:t>
      </w:r>
    </w:p>
    <w:p>
      <w:pPr>
        <w:pStyle w:val="BodyText"/>
        <w:spacing w:line="249" w:lineRule="auto"/>
        <w:ind w:left="101" w:right="115" w:firstLine="284"/>
        <w:jc w:val="both"/>
      </w:pPr>
      <w:r>
        <w:rPr>
          <w:color w:val="231F20"/>
        </w:rPr>
        <w:t>El segundo grupo que los alumnos perciben como propensos a sufrir situaciones de violencia es el de los alumnos débiles, con un 43%, es decir, alumnos cuyo carácter les impide defenderse y que buscan eludir las situaciones difíciles. Para un 42% de los encuesta- dos, los alumnos sin amigos son otro grupo susceptible de sufrir violencia. Como en los ámbitos violentos o no violentos, las redes sociales</w:t>
      </w:r>
      <w:r>
        <w:rPr>
          <w:color w:val="231F20"/>
          <w:spacing w:val="-11"/>
        </w:rPr>
        <w:t> </w:t>
      </w:r>
      <w:r>
        <w:rPr>
          <w:color w:val="231F20"/>
        </w:rPr>
        <w:t>proporcionan</w:t>
      </w:r>
      <w:r>
        <w:rPr>
          <w:color w:val="231F20"/>
          <w:spacing w:val="-10"/>
        </w:rPr>
        <w:t> </w:t>
      </w:r>
      <w:r>
        <w:rPr>
          <w:color w:val="231F20"/>
        </w:rPr>
        <w:t>una</w:t>
      </w:r>
      <w:r>
        <w:rPr>
          <w:color w:val="231F20"/>
          <w:spacing w:val="-11"/>
        </w:rPr>
        <w:t> </w:t>
      </w:r>
      <w:r>
        <w:rPr>
          <w:color w:val="231F20"/>
        </w:rPr>
        <w:t>protección</w:t>
      </w:r>
      <w:r>
        <w:rPr>
          <w:color w:val="231F20"/>
          <w:spacing w:val="-10"/>
        </w:rPr>
        <w:t> </w:t>
      </w:r>
      <w:r>
        <w:rPr>
          <w:color w:val="231F20"/>
        </w:rPr>
        <w:t>para</w:t>
      </w:r>
      <w:r>
        <w:rPr>
          <w:color w:val="231F20"/>
          <w:spacing w:val="-11"/>
        </w:rPr>
        <w:t> </w:t>
      </w:r>
      <w:r>
        <w:rPr>
          <w:color w:val="231F20"/>
        </w:rPr>
        <w:t>los</w:t>
      </w:r>
      <w:r>
        <w:rPr>
          <w:color w:val="231F20"/>
          <w:spacing w:val="-11"/>
        </w:rPr>
        <w:t> </w:t>
      </w:r>
      <w:r>
        <w:rPr>
          <w:color w:val="231F20"/>
        </w:rPr>
        <w:t>recién</w:t>
      </w:r>
      <w:r>
        <w:rPr>
          <w:color w:val="231F20"/>
          <w:spacing w:val="-10"/>
        </w:rPr>
        <w:t> </w:t>
      </w:r>
      <w:r>
        <w:rPr>
          <w:color w:val="231F20"/>
        </w:rPr>
        <w:t>llegados,</w:t>
      </w:r>
      <w:r>
        <w:rPr>
          <w:color w:val="231F20"/>
          <w:spacing w:val="-11"/>
        </w:rPr>
        <w:t> </w:t>
      </w:r>
      <w:r>
        <w:rPr>
          <w:color w:val="231F20"/>
        </w:rPr>
        <w:t>en</w:t>
      </w:r>
      <w:r>
        <w:rPr>
          <w:color w:val="231F20"/>
          <w:spacing w:val="-10"/>
        </w:rPr>
        <w:t> </w:t>
      </w:r>
      <w:r>
        <w:rPr>
          <w:color w:val="231F20"/>
        </w:rPr>
        <w:t>este caso a la Universidad. Los alumnos sin amigos suelen ser los que recién han llegado a la ciudad a estudiar, que desconocen en mucho la dinámica universitaria. Y como no tienen amigos, fácilmente son violentados por los grupos de porros, por sus propios compañeros e incluso por los empleados y profesores universitarios; sirva como ejemplo una </w:t>
      </w:r>
      <w:r>
        <w:rPr>
          <w:color w:val="231F20"/>
          <w:spacing w:val="3"/>
        </w:rPr>
        <w:t>anécdota </w:t>
      </w:r>
      <w:r>
        <w:rPr>
          <w:color w:val="231F20"/>
        </w:rPr>
        <w:t>de </w:t>
      </w:r>
      <w:r>
        <w:rPr>
          <w:color w:val="231F20"/>
          <w:spacing w:val="2"/>
        </w:rPr>
        <w:t>esta situación, </w:t>
      </w:r>
      <w:r>
        <w:rPr>
          <w:color w:val="231F20"/>
          <w:spacing w:val="3"/>
        </w:rPr>
        <w:t>contada </w:t>
      </w:r>
      <w:r>
        <w:rPr>
          <w:color w:val="231F20"/>
        </w:rPr>
        <w:t>a </w:t>
      </w:r>
      <w:r>
        <w:rPr>
          <w:color w:val="231F20"/>
          <w:spacing w:val="2"/>
        </w:rPr>
        <w:t>una </w:t>
      </w:r>
      <w:r>
        <w:rPr>
          <w:color w:val="231F20"/>
        </w:rPr>
        <w:t>de las </w:t>
      </w:r>
      <w:r>
        <w:rPr>
          <w:color w:val="231F20"/>
          <w:spacing w:val="3"/>
        </w:rPr>
        <w:t>auto- </w:t>
      </w:r>
      <w:r>
        <w:rPr>
          <w:color w:val="231F20"/>
        </w:rPr>
        <w:t>ras de </w:t>
      </w:r>
      <w:r>
        <w:rPr>
          <w:color w:val="231F20"/>
          <w:spacing w:val="2"/>
        </w:rPr>
        <w:t>este artículo por </w:t>
      </w:r>
      <w:r>
        <w:rPr>
          <w:color w:val="231F20"/>
        </w:rPr>
        <w:t>un </w:t>
      </w:r>
      <w:r>
        <w:rPr>
          <w:color w:val="231F20"/>
          <w:spacing w:val="2"/>
        </w:rPr>
        <w:t>testigo del </w:t>
      </w:r>
      <w:r>
        <w:rPr>
          <w:color w:val="231F20"/>
          <w:spacing w:val="3"/>
        </w:rPr>
        <w:t>mismo: </w:t>
      </w:r>
      <w:r>
        <w:rPr>
          <w:color w:val="231F20"/>
        </w:rPr>
        <w:t>En la </w:t>
      </w:r>
      <w:r>
        <w:rPr>
          <w:color w:val="231F20"/>
          <w:spacing w:val="2"/>
        </w:rPr>
        <w:t>facultad </w:t>
      </w:r>
      <w:r>
        <w:rPr>
          <w:color w:val="231F20"/>
        </w:rPr>
        <w:t>de </w:t>
      </w:r>
      <w:r>
        <w:rPr>
          <w:color w:val="231F20"/>
          <w:spacing w:val="2"/>
        </w:rPr>
        <w:t>Derecho </w:t>
      </w:r>
      <w:r>
        <w:rPr>
          <w:color w:val="231F20"/>
        </w:rPr>
        <w:t>y </w:t>
      </w:r>
      <w:r>
        <w:rPr>
          <w:color w:val="231F20"/>
          <w:spacing w:val="2"/>
        </w:rPr>
        <w:t>Ciencias Sociales, </w:t>
      </w:r>
      <w:r>
        <w:rPr>
          <w:color w:val="231F20"/>
        </w:rPr>
        <w:t>un </w:t>
      </w:r>
      <w:r>
        <w:rPr>
          <w:color w:val="231F20"/>
          <w:spacing w:val="2"/>
        </w:rPr>
        <w:t>profesor exigió </w:t>
      </w:r>
      <w:r>
        <w:rPr>
          <w:color w:val="231F20"/>
        </w:rPr>
        <w:t>a los </w:t>
      </w:r>
      <w:r>
        <w:rPr>
          <w:color w:val="231F20"/>
          <w:spacing w:val="2"/>
        </w:rPr>
        <w:t>alumnos </w:t>
      </w:r>
      <w:r>
        <w:rPr>
          <w:color w:val="231F20"/>
          <w:spacing w:val="4"/>
        </w:rPr>
        <w:t>un </w:t>
      </w:r>
      <w:r>
        <w:rPr>
          <w:color w:val="231F20"/>
          <w:spacing w:val="2"/>
        </w:rPr>
        <w:t>par </w:t>
      </w:r>
      <w:r>
        <w:rPr>
          <w:color w:val="231F20"/>
        </w:rPr>
        <w:t>de </w:t>
      </w:r>
      <w:r>
        <w:rPr>
          <w:color w:val="231F20"/>
          <w:spacing w:val="2"/>
        </w:rPr>
        <w:t>chivas, </w:t>
      </w:r>
      <w:r>
        <w:rPr>
          <w:color w:val="231F20"/>
        </w:rPr>
        <w:t>si </w:t>
      </w:r>
      <w:r>
        <w:rPr>
          <w:color w:val="231F20"/>
          <w:spacing w:val="2"/>
        </w:rPr>
        <w:t>querían pasar </w:t>
      </w:r>
      <w:r>
        <w:rPr>
          <w:color w:val="231F20"/>
        </w:rPr>
        <w:t>el </w:t>
      </w:r>
      <w:r>
        <w:rPr>
          <w:color w:val="231F20"/>
          <w:spacing w:val="2"/>
        </w:rPr>
        <w:t>año. </w:t>
      </w:r>
      <w:r>
        <w:rPr>
          <w:color w:val="231F20"/>
        </w:rPr>
        <w:t>El </w:t>
      </w:r>
      <w:r>
        <w:rPr>
          <w:color w:val="231F20"/>
          <w:spacing w:val="3"/>
        </w:rPr>
        <w:t>profesor </w:t>
      </w:r>
      <w:r>
        <w:rPr>
          <w:color w:val="231F20"/>
        </w:rPr>
        <w:t>se </w:t>
      </w:r>
      <w:r>
        <w:rPr>
          <w:color w:val="231F20"/>
          <w:spacing w:val="2"/>
        </w:rPr>
        <w:t>refería </w:t>
      </w:r>
      <w:r>
        <w:rPr>
          <w:color w:val="231F20"/>
          <w:spacing w:val="3"/>
        </w:rPr>
        <w:t>al </w:t>
      </w:r>
      <w:r>
        <w:rPr>
          <w:color w:val="231F20"/>
          <w:spacing w:val="2"/>
        </w:rPr>
        <w:t>whisky Chivas Regal, pero </w:t>
      </w:r>
      <w:r>
        <w:rPr>
          <w:color w:val="231F20"/>
        </w:rPr>
        <w:t>un </w:t>
      </w:r>
      <w:r>
        <w:rPr>
          <w:color w:val="231F20"/>
          <w:spacing w:val="2"/>
        </w:rPr>
        <w:t>alumno recién llegado </w:t>
      </w:r>
      <w:r>
        <w:rPr>
          <w:color w:val="231F20"/>
        </w:rPr>
        <w:t>del </w:t>
      </w:r>
      <w:r>
        <w:rPr>
          <w:color w:val="231F20"/>
          <w:spacing w:val="3"/>
        </w:rPr>
        <w:t>campo, </w:t>
      </w:r>
      <w:r>
        <w:rPr>
          <w:color w:val="231F20"/>
          <w:spacing w:val="2"/>
        </w:rPr>
        <w:t>entendió que debía llevarle dos animales. </w:t>
      </w:r>
      <w:r>
        <w:rPr>
          <w:color w:val="231F20"/>
        </w:rPr>
        <w:t>Al </w:t>
      </w:r>
      <w:r>
        <w:rPr>
          <w:color w:val="231F20"/>
          <w:spacing w:val="2"/>
        </w:rPr>
        <w:t>poco tiempo este alumno </w:t>
      </w:r>
      <w:r>
        <w:rPr>
          <w:color w:val="231F20"/>
        </w:rPr>
        <w:t>le </w:t>
      </w:r>
      <w:r>
        <w:rPr>
          <w:color w:val="231F20"/>
          <w:spacing w:val="2"/>
        </w:rPr>
        <w:t>dice </w:t>
      </w:r>
      <w:r>
        <w:rPr>
          <w:color w:val="231F20"/>
        </w:rPr>
        <w:t>al </w:t>
      </w:r>
      <w:r>
        <w:rPr>
          <w:color w:val="231F20"/>
          <w:spacing w:val="3"/>
        </w:rPr>
        <w:t>profesor </w:t>
      </w:r>
      <w:r>
        <w:rPr>
          <w:color w:val="231F20"/>
        </w:rPr>
        <w:t>que ya </w:t>
      </w:r>
      <w:r>
        <w:rPr>
          <w:color w:val="231F20"/>
          <w:spacing w:val="2"/>
        </w:rPr>
        <w:t>tiene </w:t>
      </w:r>
      <w:r>
        <w:rPr>
          <w:color w:val="231F20"/>
        </w:rPr>
        <w:t>su  </w:t>
      </w:r>
      <w:r>
        <w:rPr>
          <w:color w:val="231F20"/>
          <w:spacing w:val="2"/>
        </w:rPr>
        <w:t>encargo, </w:t>
      </w:r>
      <w:r>
        <w:rPr>
          <w:color w:val="231F20"/>
        </w:rPr>
        <w:t>lo  </w:t>
      </w:r>
      <w:r>
        <w:rPr>
          <w:color w:val="231F20"/>
          <w:spacing w:val="2"/>
        </w:rPr>
        <w:t>hace </w:t>
      </w:r>
      <w:r>
        <w:rPr>
          <w:color w:val="231F20"/>
        </w:rPr>
        <w:t>salir </w:t>
      </w:r>
      <w:r>
        <w:rPr>
          <w:color w:val="231F20"/>
          <w:spacing w:val="2"/>
        </w:rPr>
        <w:t>del edifico </w:t>
      </w:r>
      <w:r>
        <w:rPr>
          <w:color w:val="231F20"/>
        </w:rPr>
        <w:t>y le </w:t>
      </w:r>
      <w:r>
        <w:rPr>
          <w:color w:val="231F20"/>
          <w:spacing w:val="3"/>
        </w:rPr>
        <w:t>muestra </w:t>
      </w:r>
      <w:r>
        <w:rPr>
          <w:color w:val="231F20"/>
        </w:rPr>
        <w:t>a </w:t>
      </w:r>
      <w:r>
        <w:rPr>
          <w:color w:val="231F20"/>
          <w:spacing w:val="2"/>
        </w:rPr>
        <w:t>los dos animales diciéndole “aquí está </w:t>
      </w:r>
      <w:r>
        <w:rPr>
          <w:color w:val="231F20"/>
        </w:rPr>
        <w:t>lo que </w:t>
      </w:r>
      <w:r>
        <w:rPr>
          <w:color w:val="231F20"/>
          <w:spacing w:val="2"/>
        </w:rPr>
        <w:t>usted me pidió”. </w:t>
      </w:r>
      <w:r>
        <w:rPr>
          <w:color w:val="231F20"/>
        </w:rPr>
        <w:t>La </w:t>
      </w:r>
      <w:r>
        <w:rPr>
          <w:color w:val="231F20"/>
          <w:spacing w:val="2"/>
        </w:rPr>
        <w:t>respuesta </w:t>
      </w:r>
      <w:r>
        <w:rPr>
          <w:color w:val="231F20"/>
        </w:rPr>
        <w:t>del </w:t>
      </w:r>
      <w:r>
        <w:rPr>
          <w:color w:val="231F20"/>
          <w:spacing w:val="3"/>
        </w:rPr>
        <w:t>profesor </w:t>
      </w:r>
      <w:r>
        <w:rPr>
          <w:color w:val="231F20"/>
          <w:spacing w:val="2"/>
        </w:rPr>
        <w:t>consistió </w:t>
      </w:r>
      <w:r>
        <w:rPr>
          <w:color w:val="231F20"/>
        </w:rPr>
        <w:t>en </w:t>
      </w:r>
      <w:r>
        <w:rPr>
          <w:color w:val="231F20"/>
          <w:spacing w:val="2"/>
        </w:rPr>
        <w:t>insul- tos </w:t>
      </w:r>
      <w:r>
        <w:rPr>
          <w:color w:val="231F20"/>
        </w:rPr>
        <w:t>al </w:t>
      </w:r>
      <w:r>
        <w:rPr>
          <w:color w:val="231F20"/>
          <w:spacing w:val="3"/>
        </w:rPr>
        <w:t>alumno </w:t>
      </w:r>
      <w:r>
        <w:rPr>
          <w:color w:val="231F20"/>
          <w:spacing w:val="2"/>
        </w:rPr>
        <w:t>por ser, según </w:t>
      </w:r>
      <w:r>
        <w:rPr>
          <w:color w:val="231F20"/>
        </w:rPr>
        <w:t>él,</w:t>
      </w:r>
      <w:r>
        <w:rPr>
          <w:color w:val="231F20"/>
          <w:spacing w:val="50"/>
        </w:rPr>
        <w:t> </w:t>
      </w:r>
      <w:r>
        <w:rPr>
          <w:color w:val="231F20"/>
          <w:spacing w:val="2"/>
        </w:rPr>
        <w:t>tonto.</w:t>
      </w:r>
    </w:p>
    <w:p>
      <w:pPr>
        <w:spacing w:after="0" w:line="249" w:lineRule="auto"/>
        <w:jc w:val="both"/>
        <w:sectPr>
          <w:headerReference w:type="default" r:id="rId795"/>
          <w:footerReference w:type="default" r:id="rId796"/>
          <w:pgSz w:w="7830" w:h="11910"/>
          <w:pgMar w:header="0" w:footer="424" w:top="500" w:bottom="620" w:left="920" w:right="900"/>
          <w:pgNumType w:start="357"/>
        </w:sectPr>
      </w:pPr>
    </w:p>
    <w:p>
      <w:pPr>
        <w:spacing w:before="46"/>
        <w:ind w:left="102" w:right="116"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8" w:firstLine="284"/>
        <w:jc w:val="both"/>
      </w:pPr>
      <w:r>
        <w:rPr>
          <w:color w:val="231F20"/>
        </w:rPr>
        <w:t>Por otro lado, los homosexuales y las lesbianas, que en otro momento histórico eran foco de violencia por parte de compañe- ros, representan el cuarto y quinto grupo en estar propensos a sufrirla. 40% de los alumnos consideró a los homosexuales como un grupo proclive a sufrir violencia; 38% de la muestra considera que las lesbianas pueden vivir situaciones violentas por su prefe- rencia sexual. Aunque el porcentaje de alumnos que considera a estos dos grupos proclives a sufrir ataques de violencia es inferior al 50%, no dejan de ser porcentajes altos y que expresan la intole- rancia hacia aquellos que son diferentes.</w:t>
      </w:r>
    </w:p>
    <w:p>
      <w:pPr>
        <w:pStyle w:val="BodyText"/>
        <w:spacing w:line="247" w:lineRule="auto"/>
        <w:ind w:left="102" w:right="115" w:firstLine="284"/>
        <w:jc w:val="both"/>
      </w:pPr>
      <w:r>
        <w:rPr>
          <w:color w:val="231F20"/>
          <w:spacing w:val="3"/>
        </w:rPr>
        <w:t>Dejamos </w:t>
      </w:r>
      <w:r>
        <w:rPr>
          <w:color w:val="231F20"/>
        </w:rPr>
        <w:t>las </w:t>
      </w:r>
      <w:r>
        <w:rPr>
          <w:color w:val="231F20"/>
          <w:spacing w:val="2"/>
        </w:rPr>
        <w:t>percepciones sobre </w:t>
      </w:r>
      <w:r>
        <w:rPr>
          <w:color w:val="231F20"/>
        </w:rPr>
        <w:t>la </w:t>
      </w:r>
      <w:r>
        <w:rPr>
          <w:color w:val="231F20"/>
          <w:spacing w:val="2"/>
        </w:rPr>
        <w:t>violencia </w:t>
      </w:r>
      <w:r>
        <w:rPr>
          <w:color w:val="231F20"/>
        </w:rPr>
        <w:t>que </w:t>
      </w:r>
      <w:r>
        <w:rPr>
          <w:color w:val="231F20"/>
          <w:spacing w:val="2"/>
        </w:rPr>
        <w:t>tienen los </w:t>
      </w:r>
      <w:r>
        <w:rPr>
          <w:color w:val="231F20"/>
          <w:spacing w:val="3"/>
        </w:rPr>
        <w:t>alumnos </w:t>
      </w:r>
      <w:r>
        <w:rPr>
          <w:color w:val="231F20"/>
          <w:spacing w:val="2"/>
        </w:rPr>
        <w:t>universitarios para pasar </w:t>
      </w:r>
      <w:r>
        <w:rPr>
          <w:color w:val="231F20"/>
        </w:rPr>
        <w:t>a las </w:t>
      </w:r>
      <w:r>
        <w:rPr>
          <w:color w:val="231F20"/>
          <w:spacing w:val="2"/>
        </w:rPr>
        <w:t>experiencias </w:t>
      </w:r>
      <w:r>
        <w:rPr>
          <w:color w:val="231F20"/>
        </w:rPr>
        <w:t>de la </w:t>
      </w:r>
      <w:r>
        <w:rPr>
          <w:color w:val="231F20"/>
          <w:spacing w:val="3"/>
        </w:rPr>
        <w:t>violen- </w:t>
      </w:r>
      <w:r>
        <w:rPr>
          <w:color w:val="231F20"/>
        </w:rPr>
        <w:t>cia. </w:t>
      </w:r>
      <w:r>
        <w:rPr>
          <w:color w:val="231F20"/>
          <w:spacing w:val="2"/>
        </w:rPr>
        <w:t>Esto permite observar </w:t>
      </w:r>
      <w:r>
        <w:rPr>
          <w:color w:val="231F20"/>
        </w:rPr>
        <w:t>la </w:t>
      </w:r>
      <w:r>
        <w:rPr>
          <w:color w:val="231F20"/>
          <w:spacing w:val="2"/>
        </w:rPr>
        <w:t>relación </w:t>
      </w:r>
      <w:r>
        <w:rPr>
          <w:color w:val="231F20"/>
        </w:rPr>
        <w:t>que </w:t>
      </w:r>
      <w:r>
        <w:rPr>
          <w:color w:val="231F20"/>
          <w:spacing w:val="2"/>
        </w:rPr>
        <w:t>existe entre percepción    </w:t>
      </w:r>
      <w:r>
        <w:rPr>
          <w:color w:val="231F20"/>
        </w:rPr>
        <w:t>y </w:t>
      </w:r>
      <w:r>
        <w:rPr>
          <w:color w:val="231F20"/>
          <w:spacing w:val="2"/>
        </w:rPr>
        <w:t>experiencia, </w:t>
      </w:r>
      <w:r>
        <w:rPr>
          <w:color w:val="231F20"/>
        </w:rPr>
        <w:t>así </w:t>
      </w:r>
      <w:r>
        <w:rPr>
          <w:color w:val="231F20"/>
          <w:spacing w:val="3"/>
        </w:rPr>
        <w:t>como </w:t>
      </w:r>
      <w:r>
        <w:rPr>
          <w:color w:val="231F20"/>
          <w:spacing w:val="2"/>
        </w:rPr>
        <w:t>evaluar </w:t>
      </w:r>
      <w:r>
        <w:rPr>
          <w:color w:val="231F20"/>
        </w:rPr>
        <w:t>el </w:t>
      </w:r>
      <w:r>
        <w:rPr>
          <w:color w:val="231F20"/>
          <w:spacing w:val="2"/>
        </w:rPr>
        <w:t>contexto </w:t>
      </w:r>
      <w:r>
        <w:rPr>
          <w:color w:val="231F20"/>
        </w:rPr>
        <w:t>de </w:t>
      </w:r>
      <w:r>
        <w:rPr>
          <w:color w:val="231F20"/>
          <w:spacing w:val="2"/>
        </w:rPr>
        <w:t>violencia </w:t>
      </w:r>
      <w:r>
        <w:rPr>
          <w:color w:val="231F20"/>
        </w:rPr>
        <w:t>y </w:t>
      </w:r>
      <w:r>
        <w:rPr>
          <w:color w:val="231F20"/>
          <w:spacing w:val="3"/>
        </w:rPr>
        <w:t>delin- </w:t>
      </w:r>
      <w:r>
        <w:rPr>
          <w:color w:val="231F20"/>
          <w:spacing w:val="2"/>
        </w:rPr>
        <w:t>cuencia que </w:t>
      </w:r>
      <w:r>
        <w:rPr>
          <w:color w:val="231F20"/>
        </w:rPr>
        <w:t>se </w:t>
      </w:r>
      <w:r>
        <w:rPr>
          <w:color w:val="231F20"/>
          <w:spacing w:val="2"/>
        </w:rPr>
        <w:t>presenta </w:t>
      </w:r>
      <w:r>
        <w:rPr>
          <w:color w:val="231F20"/>
        </w:rPr>
        <w:t>en la </w:t>
      </w:r>
      <w:r>
        <w:rPr>
          <w:color w:val="231F20"/>
          <w:spacing w:val="3"/>
        </w:rPr>
        <w:t>UABJO </w:t>
      </w:r>
      <w:r>
        <w:rPr>
          <w:color w:val="231F20"/>
        </w:rPr>
        <w:t>y la </w:t>
      </w:r>
      <w:r>
        <w:rPr>
          <w:color w:val="231F20"/>
          <w:spacing w:val="3"/>
        </w:rPr>
        <w:t>forma </w:t>
      </w:r>
      <w:r>
        <w:rPr>
          <w:color w:val="231F20"/>
        </w:rPr>
        <w:t>en </w:t>
      </w:r>
      <w:r>
        <w:rPr>
          <w:color w:val="231F20"/>
          <w:spacing w:val="2"/>
        </w:rPr>
        <w:t>que afecta </w:t>
      </w:r>
      <w:r>
        <w:rPr>
          <w:color w:val="231F20"/>
        </w:rPr>
        <w:t>a   </w:t>
      </w:r>
      <w:r>
        <w:rPr>
          <w:color w:val="231F20"/>
          <w:spacing w:val="2"/>
        </w:rPr>
        <w:t>los</w:t>
      </w:r>
      <w:r>
        <w:rPr>
          <w:color w:val="231F20"/>
          <w:spacing w:val="-7"/>
        </w:rPr>
        <w:t> </w:t>
      </w:r>
      <w:r>
        <w:rPr>
          <w:color w:val="231F20"/>
          <w:spacing w:val="3"/>
        </w:rPr>
        <w:t>alumnos.</w:t>
      </w:r>
    </w:p>
    <w:p>
      <w:pPr>
        <w:pStyle w:val="BodyText"/>
        <w:spacing w:before="8"/>
        <w:rPr>
          <w:sz w:val="23"/>
        </w:rPr>
      </w:pPr>
    </w:p>
    <w:p>
      <w:pPr>
        <w:spacing w:before="0"/>
        <w:ind w:left="102" w:right="115" w:firstLine="0"/>
        <w:jc w:val="center"/>
        <w:rPr>
          <w:b/>
          <w:sz w:val="19"/>
        </w:rPr>
      </w:pPr>
      <w:r>
        <w:rPr>
          <w:b/>
          <w:color w:val="231F20"/>
          <w:w w:val="105"/>
          <w:sz w:val="19"/>
        </w:rPr>
        <w:t>Cuadro 9. Tipos de agresión por sexo</w:t>
      </w:r>
    </w:p>
    <w:p>
      <w:pPr>
        <w:pStyle w:val="BodyText"/>
        <w:rPr>
          <w:b/>
          <w:sz w:val="11"/>
        </w:rPr>
      </w:pPr>
    </w:p>
    <w:tbl>
      <w:tblPr>
        <w:tblW w:w="0" w:type="auto"/>
        <w:jc w:val="left"/>
        <w:tblInd w:w="10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30"/>
        <w:gridCol w:w="979"/>
        <w:gridCol w:w="1104"/>
        <w:gridCol w:w="1162"/>
        <w:gridCol w:w="1099"/>
      </w:tblGrid>
      <w:tr>
        <w:trPr>
          <w:trHeight w:val="509" w:hRule="exact"/>
        </w:trPr>
        <w:tc>
          <w:tcPr>
            <w:tcW w:w="1430" w:type="dxa"/>
          </w:tcPr>
          <w:p>
            <w:pPr>
              <w:pStyle w:val="TableParagraph"/>
              <w:spacing w:line="307" w:lineRule="auto" w:before="43"/>
              <w:ind w:left="549" w:right="175" w:hanging="402"/>
              <w:rPr>
                <w:b/>
                <w:sz w:val="17"/>
              </w:rPr>
            </w:pPr>
            <w:r>
              <w:rPr>
                <w:b/>
                <w:color w:val="231F20"/>
                <w:w w:val="105"/>
                <w:sz w:val="17"/>
              </w:rPr>
              <w:t>Tipo de agre- sión</w:t>
            </w:r>
          </w:p>
        </w:tc>
        <w:tc>
          <w:tcPr>
            <w:tcW w:w="979" w:type="dxa"/>
          </w:tcPr>
          <w:p>
            <w:pPr>
              <w:pStyle w:val="TableParagraph"/>
              <w:spacing w:before="6"/>
              <w:ind w:left="0"/>
              <w:rPr>
                <w:b/>
                <w:sz w:val="14"/>
              </w:rPr>
            </w:pPr>
          </w:p>
          <w:p>
            <w:pPr>
              <w:pStyle w:val="TableParagraph"/>
              <w:ind w:left="305"/>
              <w:rPr>
                <w:b/>
                <w:sz w:val="17"/>
              </w:rPr>
            </w:pPr>
            <w:r>
              <w:rPr>
                <w:b/>
                <w:color w:val="231F20"/>
                <w:w w:val="105"/>
                <w:sz w:val="17"/>
              </w:rPr>
              <w:t>Sexo</w:t>
            </w:r>
          </w:p>
        </w:tc>
        <w:tc>
          <w:tcPr>
            <w:tcW w:w="1104" w:type="dxa"/>
          </w:tcPr>
          <w:p>
            <w:pPr>
              <w:pStyle w:val="TableParagraph"/>
              <w:spacing w:line="307" w:lineRule="auto" w:before="43"/>
              <w:ind w:left="171" w:right="159" w:firstLine="21"/>
              <w:rPr>
                <w:b/>
                <w:sz w:val="17"/>
              </w:rPr>
            </w:pPr>
            <w:r>
              <w:rPr>
                <w:b/>
                <w:color w:val="231F20"/>
                <w:w w:val="105"/>
                <w:sz w:val="17"/>
              </w:rPr>
              <w:t>Han sido agredidos</w:t>
            </w:r>
          </w:p>
        </w:tc>
        <w:tc>
          <w:tcPr>
            <w:tcW w:w="1162" w:type="dxa"/>
          </w:tcPr>
          <w:p>
            <w:pPr>
              <w:pStyle w:val="TableParagraph"/>
              <w:spacing w:line="307" w:lineRule="auto" w:before="43"/>
              <w:ind w:left="198" w:hanging="96"/>
              <w:rPr>
                <w:b/>
                <w:sz w:val="17"/>
              </w:rPr>
            </w:pPr>
            <w:r>
              <w:rPr>
                <w:b/>
                <w:color w:val="231F20"/>
                <w:w w:val="105"/>
                <w:sz w:val="17"/>
              </w:rPr>
              <w:t>No han sido agredidos</w:t>
            </w:r>
          </w:p>
        </w:tc>
        <w:tc>
          <w:tcPr>
            <w:tcW w:w="1099" w:type="dxa"/>
          </w:tcPr>
          <w:p>
            <w:pPr>
              <w:pStyle w:val="TableParagraph"/>
              <w:spacing w:before="6"/>
              <w:ind w:left="0"/>
              <w:rPr>
                <w:b/>
                <w:sz w:val="14"/>
              </w:rPr>
            </w:pPr>
          </w:p>
          <w:p>
            <w:pPr>
              <w:pStyle w:val="TableParagraph"/>
              <w:ind w:left="261" w:right="262"/>
              <w:jc w:val="center"/>
              <w:rPr>
                <w:b/>
                <w:sz w:val="17"/>
              </w:rPr>
            </w:pPr>
            <w:r>
              <w:rPr>
                <w:b/>
                <w:color w:val="231F20"/>
                <w:w w:val="105"/>
                <w:sz w:val="17"/>
              </w:rPr>
              <w:t>Total</w:t>
            </w:r>
          </w:p>
        </w:tc>
      </w:tr>
      <w:tr>
        <w:trPr>
          <w:trHeight w:val="259" w:hRule="exact"/>
        </w:trPr>
        <w:tc>
          <w:tcPr>
            <w:tcW w:w="1430" w:type="dxa"/>
          </w:tcPr>
          <w:p>
            <w:pPr>
              <w:pStyle w:val="TableParagraph"/>
              <w:spacing w:before="43"/>
              <w:ind w:left="139" w:right="140"/>
              <w:jc w:val="center"/>
              <w:rPr>
                <w:sz w:val="17"/>
              </w:rPr>
            </w:pPr>
            <w:r>
              <w:rPr>
                <w:color w:val="231F20"/>
                <w:sz w:val="17"/>
              </w:rPr>
              <w:t>Agresión física</w:t>
            </w:r>
          </w:p>
        </w:tc>
        <w:tc>
          <w:tcPr>
            <w:tcW w:w="979" w:type="dxa"/>
          </w:tcPr>
          <w:p>
            <w:pPr>
              <w:pStyle w:val="TableParagraph"/>
              <w:spacing w:before="43"/>
              <w:ind w:left="307"/>
              <w:rPr>
                <w:sz w:val="17"/>
              </w:rPr>
            </w:pPr>
            <w:r>
              <w:rPr>
                <w:color w:val="231F20"/>
                <w:sz w:val="17"/>
              </w:rPr>
              <w:t>Fem.</w:t>
            </w:r>
          </w:p>
        </w:tc>
        <w:tc>
          <w:tcPr>
            <w:tcW w:w="1104" w:type="dxa"/>
          </w:tcPr>
          <w:p>
            <w:pPr>
              <w:pStyle w:val="TableParagraph"/>
              <w:spacing w:before="43"/>
              <w:ind w:left="367" w:right="159"/>
              <w:rPr>
                <w:sz w:val="17"/>
              </w:rPr>
            </w:pPr>
            <w:r>
              <w:rPr>
                <w:color w:val="231F20"/>
                <w:sz w:val="17"/>
              </w:rPr>
              <w:t>6.9%</w:t>
            </w:r>
          </w:p>
        </w:tc>
        <w:tc>
          <w:tcPr>
            <w:tcW w:w="1162" w:type="dxa"/>
          </w:tcPr>
          <w:p>
            <w:pPr>
              <w:pStyle w:val="TableParagraph"/>
              <w:spacing w:before="43"/>
              <w:ind w:left="333" w:right="338"/>
              <w:jc w:val="center"/>
              <w:rPr>
                <w:sz w:val="17"/>
              </w:rPr>
            </w:pPr>
            <w:r>
              <w:rPr>
                <w:color w:val="231F20"/>
                <w:sz w:val="17"/>
              </w:rPr>
              <w:t>93.1%</w:t>
            </w:r>
          </w:p>
        </w:tc>
        <w:tc>
          <w:tcPr>
            <w:tcW w:w="1099" w:type="dxa"/>
          </w:tcPr>
          <w:p>
            <w:pPr>
              <w:pStyle w:val="TableParagraph"/>
              <w:spacing w:before="43"/>
              <w:ind w:left="261" w:right="263"/>
              <w:jc w:val="center"/>
              <w:rPr>
                <w:sz w:val="17"/>
              </w:rPr>
            </w:pPr>
            <w:r>
              <w:rPr>
                <w:color w:val="231F20"/>
                <w:sz w:val="17"/>
              </w:rPr>
              <w:t>100.0%</w:t>
            </w:r>
          </w:p>
        </w:tc>
      </w:tr>
      <w:tr>
        <w:trPr>
          <w:trHeight w:val="259" w:hRule="exact"/>
        </w:trPr>
        <w:tc>
          <w:tcPr>
            <w:tcW w:w="1430" w:type="dxa"/>
          </w:tcPr>
          <w:p>
            <w:pPr/>
          </w:p>
        </w:tc>
        <w:tc>
          <w:tcPr>
            <w:tcW w:w="979" w:type="dxa"/>
          </w:tcPr>
          <w:p>
            <w:pPr>
              <w:pStyle w:val="TableParagraph"/>
              <w:spacing w:before="43"/>
              <w:ind w:left="283"/>
              <w:rPr>
                <w:sz w:val="17"/>
              </w:rPr>
            </w:pPr>
            <w:r>
              <w:rPr>
                <w:color w:val="231F20"/>
                <w:sz w:val="17"/>
              </w:rPr>
              <w:t>Masc.</w:t>
            </w:r>
          </w:p>
        </w:tc>
        <w:tc>
          <w:tcPr>
            <w:tcW w:w="1104" w:type="dxa"/>
          </w:tcPr>
          <w:p>
            <w:pPr>
              <w:pStyle w:val="TableParagraph"/>
              <w:spacing w:before="43"/>
              <w:ind w:left="325" w:right="159"/>
              <w:rPr>
                <w:sz w:val="17"/>
              </w:rPr>
            </w:pPr>
            <w:r>
              <w:rPr>
                <w:color w:val="231F20"/>
                <w:sz w:val="17"/>
              </w:rPr>
              <w:t>16.8%</w:t>
            </w:r>
          </w:p>
        </w:tc>
        <w:tc>
          <w:tcPr>
            <w:tcW w:w="1162" w:type="dxa"/>
          </w:tcPr>
          <w:p>
            <w:pPr>
              <w:pStyle w:val="TableParagraph"/>
              <w:spacing w:before="43"/>
              <w:ind w:left="333" w:right="338"/>
              <w:jc w:val="center"/>
              <w:rPr>
                <w:sz w:val="17"/>
              </w:rPr>
            </w:pPr>
            <w:r>
              <w:rPr>
                <w:color w:val="231F20"/>
                <w:sz w:val="17"/>
              </w:rPr>
              <w:t>83.2%</w:t>
            </w:r>
          </w:p>
        </w:tc>
        <w:tc>
          <w:tcPr>
            <w:tcW w:w="1099" w:type="dxa"/>
          </w:tcPr>
          <w:p>
            <w:pPr>
              <w:pStyle w:val="TableParagraph"/>
              <w:spacing w:before="43"/>
              <w:ind w:left="261" w:right="263"/>
              <w:jc w:val="center"/>
              <w:rPr>
                <w:sz w:val="17"/>
              </w:rPr>
            </w:pPr>
            <w:r>
              <w:rPr>
                <w:color w:val="231F20"/>
                <w:sz w:val="17"/>
              </w:rPr>
              <w:t>100.0%</w:t>
            </w:r>
          </w:p>
        </w:tc>
      </w:tr>
      <w:tr>
        <w:trPr>
          <w:trHeight w:val="259" w:hRule="exact"/>
        </w:trPr>
        <w:tc>
          <w:tcPr>
            <w:tcW w:w="1430" w:type="dxa"/>
          </w:tcPr>
          <w:p>
            <w:pPr>
              <w:pStyle w:val="TableParagraph"/>
              <w:spacing w:before="43"/>
              <w:ind w:left="139" w:right="140"/>
              <w:jc w:val="center"/>
              <w:rPr>
                <w:sz w:val="17"/>
              </w:rPr>
            </w:pPr>
            <w:r>
              <w:rPr>
                <w:color w:val="231F20"/>
                <w:sz w:val="17"/>
              </w:rPr>
              <w:t>Agresión sexual</w:t>
            </w:r>
          </w:p>
        </w:tc>
        <w:tc>
          <w:tcPr>
            <w:tcW w:w="979" w:type="dxa"/>
          </w:tcPr>
          <w:p>
            <w:pPr>
              <w:pStyle w:val="TableParagraph"/>
              <w:spacing w:before="43"/>
              <w:ind w:left="307"/>
              <w:rPr>
                <w:sz w:val="17"/>
              </w:rPr>
            </w:pPr>
            <w:r>
              <w:rPr>
                <w:color w:val="231F20"/>
                <w:sz w:val="17"/>
              </w:rPr>
              <w:t>Fem.</w:t>
            </w:r>
          </w:p>
        </w:tc>
        <w:tc>
          <w:tcPr>
            <w:tcW w:w="1104" w:type="dxa"/>
          </w:tcPr>
          <w:p>
            <w:pPr>
              <w:pStyle w:val="TableParagraph"/>
              <w:spacing w:before="43"/>
              <w:ind w:left="367" w:right="159"/>
              <w:rPr>
                <w:sz w:val="17"/>
              </w:rPr>
            </w:pPr>
            <w:r>
              <w:rPr>
                <w:color w:val="231F20"/>
                <w:sz w:val="17"/>
              </w:rPr>
              <w:t>6.0%</w:t>
            </w:r>
          </w:p>
        </w:tc>
        <w:tc>
          <w:tcPr>
            <w:tcW w:w="1162" w:type="dxa"/>
          </w:tcPr>
          <w:p>
            <w:pPr>
              <w:pStyle w:val="TableParagraph"/>
              <w:spacing w:before="43"/>
              <w:ind w:left="333" w:right="338"/>
              <w:jc w:val="center"/>
              <w:rPr>
                <w:sz w:val="17"/>
              </w:rPr>
            </w:pPr>
            <w:r>
              <w:rPr>
                <w:color w:val="231F20"/>
                <w:sz w:val="17"/>
              </w:rPr>
              <w:t>94.0%</w:t>
            </w:r>
          </w:p>
        </w:tc>
        <w:tc>
          <w:tcPr>
            <w:tcW w:w="1099" w:type="dxa"/>
          </w:tcPr>
          <w:p>
            <w:pPr>
              <w:pStyle w:val="TableParagraph"/>
              <w:spacing w:before="43"/>
              <w:ind w:left="261" w:right="263"/>
              <w:jc w:val="center"/>
              <w:rPr>
                <w:sz w:val="17"/>
              </w:rPr>
            </w:pPr>
            <w:r>
              <w:rPr>
                <w:color w:val="231F20"/>
                <w:sz w:val="17"/>
              </w:rPr>
              <w:t>100.0%</w:t>
            </w:r>
          </w:p>
        </w:tc>
      </w:tr>
      <w:tr>
        <w:trPr>
          <w:trHeight w:val="264" w:hRule="exact"/>
        </w:trPr>
        <w:tc>
          <w:tcPr>
            <w:tcW w:w="1430" w:type="dxa"/>
          </w:tcPr>
          <w:p>
            <w:pPr/>
          </w:p>
        </w:tc>
        <w:tc>
          <w:tcPr>
            <w:tcW w:w="979" w:type="dxa"/>
          </w:tcPr>
          <w:p>
            <w:pPr>
              <w:pStyle w:val="TableParagraph"/>
              <w:spacing w:before="43"/>
              <w:ind w:left="283"/>
              <w:rPr>
                <w:sz w:val="17"/>
              </w:rPr>
            </w:pPr>
            <w:r>
              <w:rPr>
                <w:color w:val="231F20"/>
                <w:sz w:val="17"/>
              </w:rPr>
              <w:t>Masc.</w:t>
            </w:r>
          </w:p>
        </w:tc>
        <w:tc>
          <w:tcPr>
            <w:tcW w:w="1104" w:type="dxa"/>
          </w:tcPr>
          <w:p>
            <w:pPr>
              <w:pStyle w:val="TableParagraph"/>
              <w:spacing w:before="43"/>
              <w:ind w:left="367" w:right="159"/>
              <w:rPr>
                <w:sz w:val="17"/>
              </w:rPr>
            </w:pPr>
            <w:r>
              <w:rPr>
                <w:color w:val="231F20"/>
                <w:sz w:val="17"/>
              </w:rPr>
              <w:t>4.1%</w:t>
            </w:r>
          </w:p>
        </w:tc>
        <w:tc>
          <w:tcPr>
            <w:tcW w:w="1162" w:type="dxa"/>
          </w:tcPr>
          <w:p>
            <w:pPr>
              <w:pStyle w:val="TableParagraph"/>
              <w:spacing w:before="43"/>
              <w:ind w:left="333" w:right="338"/>
              <w:jc w:val="center"/>
              <w:rPr>
                <w:sz w:val="17"/>
              </w:rPr>
            </w:pPr>
            <w:r>
              <w:rPr>
                <w:color w:val="231F20"/>
                <w:sz w:val="17"/>
              </w:rPr>
              <w:t>95.9%</w:t>
            </w:r>
          </w:p>
        </w:tc>
        <w:tc>
          <w:tcPr>
            <w:tcW w:w="1099" w:type="dxa"/>
          </w:tcPr>
          <w:p>
            <w:pPr>
              <w:pStyle w:val="TableParagraph"/>
              <w:spacing w:before="43"/>
              <w:ind w:left="261" w:right="263"/>
              <w:jc w:val="center"/>
              <w:rPr>
                <w:sz w:val="17"/>
              </w:rPr>
            </w:pPr>
            <w:r>
              <w:rPr>
                <w:color w:val="231F20"/>
                <w:sz w:val="17"/>
              </w:rPr>
              <w:t>100.0%</w:t>
            </w:r>
          </w:p>
        </w:tc>
      </w:tr>
      <w:tr>
        <w:trPr>
          <w:trHeight w:val="509" w:hRule="exact"/>
        </w:trPr>
        <w:tc>
          <w:tcPr>
            <w:tcW w:w="1430" w:type="dxa"/>
          </w:tcPr>
          <w:p>
            <w:pPr>
              <w:pStyle w:val="TableParagraph"/>
              <w:spacing w:line="307" w:lineRule="auto" w:before="43"/>
              <w:ind w:left="452" w:right="220" w:hanging="230"/>
              <w:rPr>
                <w:sz w:val="17"/>
              </w:rPr>
            </w:pPr>
            <w:r>
              <w:rPr>
                <w:color w:val="231F20"/>
                <w:sz w:val="17"/>
              </w:rPr>
              <w:t>Agresión eco- nómica</w:t>
            </w:r>
          </w:p>
        </w:tc>
        <w:tc>
          <w:tcPr>
            <w:tcW w:w="979" w:type="dxa"/>
          </w:tcPr>
          <w:p>
            <w:pPr>
              <w:pStyle w:val="TableParagraph"/>
              <w:spacing w:before="43"/>
              <w:ind w:left="307"/>
              <w:rPr>
                <w:sz w:val="17"/>
              </w:rPr>
            </w:pPr>
            <w:r>
              <w:rPr>
                <w:color w:val="231F20"/>
                <w:sz w:val="17"/>
              </w:rPr>
              <w:t>Fem.</w:t>
            </w:r>
          </w:p>
        </w:tc>
        <w:tc>
          <w:tcPr>
            <w:tcW w:w="1104" w:type="dxa"/>
          </w:tcPr>
          <w:p>
            <w:pPr>
              <w:pStyle w:val="TableParagraph"/>
              <w:spacing w:before="43"/>
              <w:ind w:left="325" w:right="159"/>
              <w:rPr>
                <w:sz w:val="17"/>
              </w:rPr>
            </w:pPr>
            <w:r>
              <w:rPr>
                <w:color w:val="231F20"/>
                <w:sz w:val="17"/>
              </w:rPr>
              <w:t>16.0%</w:t>
            </w:r>
          </w:p>
        </w:tc>
        <w:tc>
          <w:tcPr>
            <w:tcW w:w="1162" w:type="dxa"/>
          </w:tcPr>
          <w:p>
            <w:pPr>
              <w:pStyle w:val="TableParagraph"/>
              <w:spacing w:before="43"/>
              <w:ind w:left="333" w:right="338"/>
              <w:jc w:val="center"/>
              <w:rPr>
                <w:sz w:val="17"/>
              </w:rPr>
            </w:pPr>
            <w:r>
              <w:rPr>
                <w:color w:val="231F20"/>
                <w:sz w:val="17"/>
              </w:rPr>
              <w:t>84.0%</w:t>
            </w:r>
          </w:p>
        </w:tc>
        <w:tc>
          <w:tcPr>
            <w:tcW w:w="1099" w:type="dxa"/>
          </w:tcPr>
          <w:p>
            <w:pPr>
              <w:pStyle w:val="TableParagraph"/>
              <w:spacing w:before="43"/>
              <w:ind w:left="261" w:right="263"/>
              <w:jc w:val="center"/>
              <w:rPr>
                <w:sz w:val="17"/>
              </w:rPr>
            </w:pPr>
            <w:r>
              <w:rPr>
                <w:color w:val="231F20"/>
                <w:sz w:val="17"/>
              </w:rPr>
              <w:t>100.0%</w:t>
            </w:r>
          </w:p>
        </w:tc>
      </w:tr>
      <w:tr>
        <w:trPr>
          <w:trHeight w:val="259" w:hRule="exact"/>
        </w:trPr>
        <w:tc>
          <w:tcPr>
            <w:tcW w:w="1430" w:type="dxa"/>
          </w:tcPr>
          <w:p>
            <w:pPr/>
          </w:p>
        </w:tc>
        <w:tc>
          <w:tcPr>
            <w:tcW w:w="979" w:type="dxa"/>
          </w:tcPr>
          <w:p>
            <w:pPr>
              <w:pStyle w:val="TableParagraph"/>
              <w:spacing w:before="43"/>
              <w:ind w:left="283"/>
              <w:rPr>
                <w:sz w:val="17"/>
              </w:rPr>
            </w:pPr>
            <w:r>
              <w:rPr>
                <w:color w:val="231F20"/>
                <w:sz w:val="17"/>
              </w:rPr>
              <w:t>Masc.</w:t>
            </w:r>
          </w:p>
        </w:tc>
        <w:tc>
          <w:tcPr>
            <w:tcW w:w="1104" w:type="dxa"/>
          </w:tcPr>
          <w:p>
            <w:pPr>
              <w:pStyle w:val="TableParagraph"/>
              <w:spacing w:before="43"/>
              <w:ind w:left="325" w:right="159"/>
              <w:rPr>
                <w:sz w:val="17"/>
              </w:rPr>
            </w:pPr>
            <w:r>
              <w:rPr>
                <w:color w:val="231F20"/>
                <w:sz w:val="17"/>
              </w:rPr>
              <w:t>21.8%</w:t>
            </w:r>
          </w:p>
        </w:tc>
        <w:tc>
          <w:tcPr>
            <w:tcW w:w="1162" w:type="dxa"/>
          </w:tcPr>
          <w:p>
            <w:pPr>
              <w:pStyle w:val="TableParagraph"/>
              <w:spacing w:before="43"/>
              <w:ind w:left="333" w:right="338"/>
              <w:jc w:val="center"/>
              <w:rPr>
                <w:sz w:val="17"/>
              </w:rPr>
            </w:pPr>
            <w:r>
              <w:rPr>
                <w:color w:val="231F20"/>
                <w:sz w:val="17"/>
              </w:rPr>
              <w:t>78.2%</w:t>
            </w:r>
          </w:p>
        </w:tc>
        <w:tc>
          <w:tcPr>
            <w:tcW w:w="1099" w:type="dxa"/>
          </w:tcPr>
          <w:p>
            <w:pPr>
              <w:pStyle w:val="TableParagraph"/>
              <w:spacing w:before="43"/>
              <w:ind w:left="261" w:right="263"/>
              <w:jc w:val="center"/>
              <w:rPr>
                <w:sz w:val="17"/>
              </w:rPr>
            </w:pPr>
            <w:r>
              <w:rPr>
                <w:color w:val="231F20"/>
                <w:sz w:val="17"/>
              </w:rPr>
              <w:t>100.0%</w:t>
            </w:r>
          </w:p>
        </w:tc>
      </w:tr>
      <w:tr>
        <w:trPr>
          <w:trHeight w:val="509" w:hRule="exact"/>
        </w:trPr>
        <w:tc>
          <w:tcPr>
            <w:tcW w:w="1430" w:type="dxa"/>
          </w:tcPr>
          <w:p>
            <w:pPr>
              <w:pStyle w:val="TableParagraph"/>
              <w:spacing w:line="307" w:lineRule="auto" w:before="43"/>
              <w:ind w:left="600" w:right="175" w:hanging="427"/>
              <w:rPr>
                <w:sz w:val="17"/>
              </w:rPr>
            </w:pPr>
            <w:r>
              <w:rPr>
                <w:color w:val="231F20"/>
                <w:sz w:val="17"/>
              </w:rPr>
              <w:t>Agresión mate- rial</w:t>
            </w:r>
          </w:p>
        </w:tc>
        <w:tc>
          <w:tcPr>
            <w:tcW w:w="979" w:type="dxa"/>
          </w:tcPr>
          <w:p>
            <w:pPr>
              <w:pStyle w:val="TableParagraph"/>
              <w:spacing w:before="43"/>
              <w:ind w:left="307"/>
              <w:rPr>
                <w:sz w:val="17"/>
              </w:rPr>
            </w:pPr>
            <w:r>
              <w:rPr>
                <w:color w:val="231F20"/>
                <w:sz w:val="17"/>
              </w:rPr>
              <w:t>Fem.</w:t>
            </w:r>
          </w:p>
        </w:tc>
        <w:tc>
          <w:tcPr>
            <w:tcW w:w="1104" w:type="dxa"/>
          </w:tcPr>
          <w:p>
            <w:pPr>
              <w:pStyle w:val="TableParagraph"/>
              <w:spacing w:before="43"/>
              <w:ind w:left="325" w:right="159"/>
              <w:rPr>
                <w:sz w:val="17"/>
              </w:rPr>
            </w:pPr>
            <w:r>
              <w:rPr>
                <w:color w:val="231F20"/>
                <w:sz w:val="17"/>
              </w:rPr>
              <w:t>18.3%</w:t>
            </w:r>
          </w:p>
        </w:tc>
        <w:tc>
          <w:tcPr>
            <w:tcW w:w="1162" w:type="dxa"/>
          </w:tcPr>
          <w:p>
            <w:pPr>
              <w:pStyle w:val="TableParagraph"/>
              <w:spacing w:before="43"/>
              <w:ind w:left="333" w:right="338"/>
              <w:jc w:val="center"/>
              <w:rPr>
                <w:sz w:val="17"/>
              </w:rPr>
            </w:pPr>
            <w:r>
              <w:rPr>
                <w:color w:val="231F20"/>
                <w:sz w:val="17"/>
              </w:rPr>
              <w:t>81.7%</w:t>
            </w:r>
          </w:p>
        </w:tc>
        <w:tc>
          <w:tcPr>
            <w:tcW w:w="1099" w:type="dxa"/>
          </w:tcPr>
          <w:p>
            <w:pPr>
              <w:pStyle w:val="TableParagraph"/>
              <w:spacing w:before="43"/>
              <w:ind w:left="261" w:right="263"/>
              <w:jc w:val="center"/>
              <w:rPr>
                <w:sz w:val="17"/>
              </w:rPr>
            </w:pPr>
            <w:r>
              <w:rPr>
                <w:color w:val="231F20"/>
                <w:sz w:val="17"/>
              </w:rPr>
              <w:t>100.0%</w:t>
            </w:r>
          </w:p>
        </w:tc>
      </w:tr>
      <w:tr>
        <w:trPr>
          <w:trHeight w:val="259" w:hRule="exact"/>
        </w:trPr>
        <w:tc>
          <w:tcPr>
            <w:tcW w:w="1430" w:type="dxa"/>
          </w:tcPr>
          <w:p>
            <w:pPr/>
          </w:p>
        </w:tc>
        <w:tc>
          <w:tcPr>
            <w:tcW w:w="979" w:type="dxa"/>
          </w:tcPr>
          <w:p>
            <w:pPr>
              <w:pStyle w:val="TableParagraph"/>
              <w:spacing w:before="43"/>
              <w:ind w:left="283"/>
              <w:rPr>
                <w:sz w:val="17"/>
              </w:rPr>
            </w:pPr>
            <w:r>
              <w:rPr>
                <w:color w:val="231F20"/>
                <w:sz w:val="17"/>
              </w:rPr>
              <w:t>Masc.</w:t>
            </w:r>
          </w:p>
        </w:tc>
        <w:tc>
          <w:tcPr>
            <w:tcW w:w="1104" w:type="dxa"/>
          </w:tcPr>
          <w:p>
            <w:pPr>
              <w:pStyle w:val="TableParagraph"/>
              <w:spacing w:before="43"/>
              <w:ind w:left="325" w:right="159"/>
              <w:rPr>
                <w:sz w:val="17"/>
              </w:rPr>
            </w:pPr>
            <w:r>
              <w:rPr>
                <w:color w:val="231F20"/>
                <w:sz w:val="17"/>
              </w:rPr>
              <w:t>19.5%</w:t>
            </w:r>
          </w:p>
        </w:tc>
        <w:tc>
          <w:tcPr>
            <w:tcW w:w="1162" w:type="dxa"/>
          </w:tcPr>
          <w:p>
            <w:pPr>
              <w:pStyle w:val="TableParagraph"/>
              <w:spacing w:before="43"/>
              <w:ind w:left="333" w:right="338"/>
              <w:jc w:val="center"/>
              <w:rPr>
                <w:sz w:val="17"/>
              </w:rPr>
            </w:pPr>
            <w:r>
              <w:rPr>
                <w:color w:val="231F20"/>
                <w:sz w:val="17"/>
              </w:rPr>
              <w:t>80.5%</w:t>
            </w:r>
          </w:p>
        </w:tc>
        <w:tc>
          <w:tcPr>
            <w:tcW w:w="1099" w:type="dxa"/>
          </w:tcPr>
          <w:p>
            <w:pPr>
              <w:pStyle w:val="TableParagraph"/>
              <w:spacing w:before="43"/>
              <w:ind w:left="261" w:right="263"/>
              <w:jc w:val="center"/>
              <w:rPr>
                <w:sz w:val="17"/>
              </w:rPr>
            </w:pPr>
            <w:r>
              <w:rPr>
                <w:color w:val="231F20"/>
                <w:sz w:val="17"/>
              </w:rPr>
              <w:t>100.0%</w:t>
            </w:r>
          </w:p>
        </w:tc>
      </w:tr>
      <w:tr>
        <w:trPr>
          <w:trHeight w:val="514" w:hRule="exact"/>
        </w:trPr>
        <w:tc>
          <w:tcPr>
            <w:tcW w:w="1430" w:type="dxa"/>
          </w:tcPr>
          <w:p>
            <w:pPr>
              <w:pStyle w:val="TableParagraph"/>
              <w:spacing w:line="312" w:lineRule="auto" w:before="43"/>
              <w:ind w:left="507" w:right="158" w:hanging="346"/>
              <w:rPr>
                <w:sz w:val="17"/>
              </w:rPr>
            </w:pPr>
            <w:r>
              <w:rPr>
                <w:color w:val="231F20"/>
                <w:sz w:val="17"/>
              </w:rPr>
              <w:t>Agresión psico- lógica</w:t>
            </w:r>
          </w:p>
        </w:tc>
        <w:tc>
          <w:tcPr>
            <w:tcW w:w="979" w:type="dxa"/>
          </w:tcPr>
          <w:p>
            <w:pPr>
              <w:pStyle w:val="TableParagraph"/>
              <w:spacing w:before="43"/>
              <w:ind w:left="307"/>
              <w:rPr>
                <w:sz w:val="17"/>
              </w:rPr>
            </w:pPr>
            <w:r>
              <w:rPr>
                <w:color w:val="231F20"/>
                <w:sz w:val="17"/>
              </w:rPr>
              <w:t>Fem.</w:t>
            </w:r>
          </w:p>
        </w:tc>
        <w:tc>
          <w:tcPr>
            <w:tcW w:w="1104" w:type="dxa"/>
          </w:tcPr>
          <w:p>
            <w:pPr>
              <w:pStyle w:val="TableParagraph"/>
              <w:spacing w:before="43"/>
              <w:ind w:left="325" w:right="159"/>
              <w:rPr>
                <w:sz w:val="17"/>
              </w:rPr>
            </w:pPr>
            <w:r>
              <w:rPr>
                <w:color w:val="231F20"/>
                <w:sz w:val="17"/>
              </w:rPr>
              <w:t>39.0%</w:t>
            </w:r>
          </w:p>
        </w:tc>
        <w:tc>
          <w:tcPr>
            <w:tcW w:w="1162" w:type="dxa"/>
          </w:tcPr>
          <w:p>
            <w:pPr>
              <w:pStyle w:val="TableParagraph"/>
              <w:spacing w:before="43"/>
              <w:ind w:left="333" w:right="338"/>
              <w:jc w:val="center"/>
              <w:rPr>
                <w:sz w:val="17"/>
              </w:rPr>
            </w:pPr>
            <w:r>
              <w:rPr>
                <w:color w:val="231F20"/>
                <w:sz w:val="17"/>
              </w:rPr>
              <w:t>61.0%</w:t>
            </w:r>
          </w:p>
        </w:tc>
        <w:tc>
          <w:tcPr>
            <w:tcW w:w="1099" w:type="dxa"/>
          </w:tcPr>
          <w:p>
            <w:pPr>
              <w:pStyle w:val="TableParagraph"/>
              <w:spacing w:before="43"/>
              <w:ind w:left="261" w:right="263"/>
              <w:jc w:val="center"/>
              <w:rPr>
                <w:sz w:val="17"/>
              </w:rPr>
            </w:pPr>
            <w:r>
              <w:rPr>
                <w:color w:val="231F20"/>
                <w:sz w:val="17"/>
              </w:rPr>
              <w:t>100.0%</w:t>
            </w:r>
          </w:p>
        </w:tc>
      </w:tr>
      <w:tr>
        <w:trPr>
          <w:trHeight w:val="259" w:hRule="exact"/>
        </w:trPr>
        <w:tc>
          <w:tcPr>
            <w:tcW w:w="1430" w:type="dxa"/>
          </w:tcPr>
          <w:p>
            <w:pPr/>
          </w:p>
        </w:tc>
        <w:tc>
          <w:tcPr>
            <w:tcW w:w="979" w:type="dxa"/>
          </w:tcPr>
          <w:p>
            <w:pPr>
              <w:pStyle w:val="TableParagraph"/>
              <w:spacing w:before="43"/>
              <w:ind w:left="283"/>
              <w:rPr>
                <w:sz w:val="17"/>
              </w:rPr>
            </w:pPr>
            <w:r>
              <w:rPr>
                <w:color w:val="231F20"/>
                <w:sz w:val="17"/>
              </w:rPr>
              <w:t>Masc.</w:t>
            </w:r>
          </w:p>
        </w:tc>
        <w:tc>
          <w:tcPr>
            <w:tcW w:w="1104" w:type="dxa"/>
          </w:tcPr>
          <w:p>
            <w:pPr>
              <w:pStyle w:val="TableParagraph"/>
              <w:spacing w:before="43"/>
              <w:ind w:left="325" w:right="159"/>
              <w:rPr>
                <w:sz w:val="17"/>
              </w:rPr>
            </w:pPr>
            <w:r>
              <w:rPr>
                <w:color w:val="231F20"/>
                <w:sz w:val="17"/>
              </w:rPr>
              <w:t>29.8%</w:t>
            </w:r>
          </w:p>
        </w:tc>
        <w:tc>
          <w:tcPr>
            <w:tcW w:w="1162" w:type="dxa"/>
          </w:tcPr>
          <w:p>
            <w:pPr>
              <w:pStyle w:val="TableParagraph"/>
              <w:spacing w:before="43"/>
              <w:ind w:left="333" w:right="338"/>
              <w:jc w:val="center"/>
              <w:rPr>
                <w:sz w:val="17"/>
              </w:rPr>
            </w:pPr>
            <w:r>
              <w:rPr>
                <w:color w:val="231F20"/>
                <w:sz w:val="17"/>
              </w:rPr>
              <w:t>70.2%</w:t>
            </w:r>
          </w:p>
        </w:tc>
        <w:tc>
          <w:tcPr>
            <w:tcW w:w="1099" w:type="dxa"/>
          </w:tcPr>
          <w:p>
            <w:pPr>
              <w:pStyle w:val="TableParagraph"/>
              <w:spacing w:before="43"/>
              <w:ind w:left="261" w:right="263"/>
              <w:jc w:val="center"/>
              <w:rPr>
                <w:sz w:val="17"/>
              </w:rPr>
            </w:pPr>
            <w:r>
              <w:rPr>
                <w:color w:val="231F20"/>
                <w:sz w:val="17"/>
              </w:rPr>
              <w:t>100.0%</w:t>
            </w:r>
          </w:p>
        </w:tc>
      </w:tr>
      <w:tr>
        <w:trPr>
          <w:trHeight w:val="259" w:hRule="exact"/>
        </w:trPr>
        <w:tc>
          <w:tcPr>
            <w:tcW w:w="1430" w:type="dxa"/>
          </w:tcPr>
          <w:p>
            <w:pPr>
              <w:pStyle w:val="TableParagraph"/>
              <w:spacing w:before="43"/>
              <w:ind w:left="138" w:right="140"/>
              <w:jc w:val="center"/>
              <w:rPr>
                <w:sz w:val="17"/>
              </w:rPr>
            </w:pPr>
            <w:r>
              <w:rPr>
                <w:color w:val="231F20"/>
                <w:sz w:val="17"/>
              </w:rPr>
              <w:t>Coerción</w:t>
            </w:r>
          </w:p>
        </w:tc>
        <w:tc>
          <w:tcPr>
            <w:tcW w:w="979" w:type="dxa"/>
          </w:tcPr>
          <w:p>
            <w:pPr>
              <w:pStyle w:val="TableParagraph"/>
              <w:spacing w:before="43"/>
              <w:ind w:left="307"/>
              <w:rPr>
                <w:sz w:val="17"/>
              </w:rPr>
            </w:pPr>
            <w:r>
              <w:rPr>
                <w:color w:val="231F20"/>
                <w:sz w:val="17"/>
              </w:rPr>
              <w:t>Fem.</w:t>
            </w:r>
          </w:p>
        </w:tc>
        <w:tc>
          <w:tcPr>
            <w:tcW w:w="1104" w:type="dxa"/>
          </w:tcPr>
          <w:p>
            <w:pPr>
              <w:pStyle w:val="TableParagraph"/>
              <w:spacing w:before="43"/>
              <w:ind w:left="325" w:right="159"/>
              <w:rPr>
                <w:sz w:val="17"/>
              </w:rPr>
            </w:pPr>
            <w:r>
              <w:rPr>
                <w:color w:val="231F20"/>
                <w:sz w:val="17"/>
              </w:rPr>
              <w:t>13.8%</w:t>
            </w:r>
          </w:p>
        </w:tc>
        <w:tc>
          <w:tcPr>
            <w:tcW w:w="1162" w:type="dxa"/>
          </w:tcPr>
          <w:p>
            <w:pPr>
              <w:pStyle w:val="TableParagraph"/>
              <w:spacing w:before="43"/>
              <w:ind w:left="333" w:right="338"/>
              <w:jc w:val="center"/>
              <w:rPr>
                <w:sz w:val="17"/>
              </w:rPr>
            </w:pPr>
            <w:r>
              <w:rPr>
                <w:color w:val="231F20"/>
                <w:sz w:val="17"/>
              </w:rPr>
              <w:t>86.2%</w:t>
            </w:r>
          </w:p>
        </w:tc>
        <w:tc>
          <w:tcPr>
            <w:tcW w:w="1099" w:type="dxa"/>
          </w:tcPr>
          <w:p>
            <w:pPr>
              <w:pStyle w:val="TableParagraph"/>
              <w:spacing w:before="43"/>
              <w:ind w:left="261" w:right="263"/>
              <w:jc w:val="center"/>
              <w:rPr>
                <w:sz w:val="17"/>
              </w:rPr>
            </w:pPr>
            <w:r>
              <w:rPr>
                <w:color w:val="231F20"/>
                <w:sz w:val="17"/>
              </w:rPr>
              <w:t>100.0%</w:t>
            </w:r>
          </w:p>
        </w:tc>
      </w:tr>
      <w:tr>
        <w:trPr>
          <w:trHeight w:val="259" w:hRule="exact"/>
        </w:trPr>
        <w:tc>
          <w:tcPr>
            <w:tcW w:w="1430" w:type="dxa"/>
          </w:tcPr>
          <w:p>
            <w:pPr/>
          </w:p>
        </w:tc>
        <w:tc>
          <w:tcPr>
            <w:tcW w:w="979" w:type="dxa"/>
          </w:tcPr>
          <w:p>
            <w:pPr>
              <w:pStyle w:val="TableParagraph"/>
              <w:spacing w:before="43"/>
              <w:ind w:left="283"/>
              <w:rPr>
                <w:sz w:val="17"/>
              </w:rPr>
            </w:pPr>
            <w:r>
              <w:rPr>
                <w:color w:val="231F20"/>
                <w:sz w:val="17"/>
              </w:rPr>
              <w:t>Masc.</w:t>
            </w:r>
          </w:p>
        </w:tc>
        <w:tc>
          <w:tcPr>
            <w:tcW w:w="1104" w:type="dxa"/>
          </w:tcPr>
          <w:p>
            <w:pPr>
              <w:pStyle w:val="TableParagraph"/>
              <w:spacing w:before="43"/>
              <w:ind w:left="325" w:right="159"/>
              <w:rPr>
                <w:sz w:val="17"/>
              </w:rPr>
            </w:pPr>
            <w:r>
              <w:rPr>
                <w:color w:val="231F20"/>
                <w:sz w:val="17"/>
              </w:rPr>
              <w:t>12.1%</w:t>
            </w:r>
          </w:p>
        </w:tc>
        <w:tc>
          <w:tcPr>
            <w:tcW w:w="1162" w:type="dxa"/>
          </w:tcPr>
          <w:p>
            <w:pPr>
              <w:pStyle w:val="TableParagraph"/>
              <w:spacing w:before="43"/>
              <w:ind w:left="333" w:right="338"/>
              <w:jc w:val="center"/>
              <w:rPr>
                <w:sz w:val="17"/>
              </w:rPr>
            </w:pPr>
            <w:r>
              <w:rPr>
                <w:color w:val="231F20"/>
                <w:sz w:val="17"/>
              </w:rPr>
              <w:t>87.9%</w:t>
            </w:r>
          </w:p>
        </w:tc>
        <w:tc>
          <w:tcPr>
            <w:tcW w:w="1099" w:type="dxa"/>
          </w:tcPr>
          <w:p>
            <w:pPr>
              <w:pStyle w:val="TableParagraph"/>
              <w:spacing w:before="43"/>
              <w:ind w:left="261" w:right="263"/>
              <w:jc w:val="center"/>
              <w:rPr>
                <w:sz w:val="17"/>
              </w:rPr>
            </w:pPr>
            <w:r>
              <w:rPr>
                <w:color w:val="231F20"/>
                <w:sz w:val="17"/>
              </w:rPr>
              <w:t>100.0%</w:t>
            </w:r>
          </w:p>
        </w:tc>
      </w:tr>
    </w:tbl>
    <w:p>
      <w:pPr>
        <w:pStyle w:val="BodyText"/>
        <w:spacing w:before="5"/>
        <w:rPr>
          <w:b/>
          <w:sz w:val="7"/>
        </w:rPr>
      </w:pPr>
    </w:p>
    <w:p>
      <w:pPr>
        <w:spacing w:line="307" w:lineRule="auto" w:before="77"/>
        <w:ind w:left="102" w:right="870" w:firstLine="0"/>
        <w:jc w:val="left"/>
        <w:rPr>
          <w:sz w:val="17"/>
        </w:rPr>
      </w:pPr>
      <w:r>
        <w:rPr>
          <w:color w:val="231F20"/>
          <w:sz w:val="17"/>
        </w:rPr>
        <w:t>Fuente: Encuesta aplicada a los alumnos de nivel superior de la UABJO, junio-septiembre, 2011.</w:t>
      </w:r>
    </w:p>
    <w:p>
      <w:pPr>
        <w:spacing w:after="0" w:line="307" w:lineRule="auto"/>
        <w:jc w:val="left"/>
        <w:rPr>
          <w:sz w:val="17"/>
        </w:rPr>
        <w:sectPr>
          <w:headerReference w:type="default" r:id="rId797"/>
          <w:footerReference w:type="default" r:id="rId798"/>
          <w:pgSz w:w="7830" w:h="11910"/>
          <w:pgMar w:header="0" w:footer="424" w:top="500" w:bottom="620" w:left="920" w:right="900"/>
          <w:pgNumType w:start="35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5" w:firstLine="284"/>
        <w:jc w:val="both"/>
      </w:pPr>
      <w:r>
        <w:rPr>
          <w:color w:val="231F20"/>
          <w:spacing w:val="2"/>
        </w:rPr>
        <w:t>Los datos del Cuadro </w:t>
      </w:r>
      <w:r>
        <w:rPr>
          <w:color w:val="231F20"/>
        </w:rPr>
        <w:t>9 </w:t>
      </w:r>
      <w:r>
        <w:rPr>
          <w:color w:val="231F20"/>
          <w:spacing w:val="2"/>
        </w:rPr>
        <w:t>indican </w:t>
      </w:r>
      <w:r>
        <w:rPr>
          <w:color w:val="231F20"/>
        </w:rPr>
        <w:t>los </w:t>
      </w:r>
      <w:r>
        <w:rPr>
          <w:color w:val="231F20"/>
          <w:spacing w:val="2"/>
        </w:rPr>
        <w:t>tipos </w:t>
      </w:r>
      <w:r>
        <w:rPr>
          <w:color w:val="231F20"/>
        </w:rPr>
        <w:t>de </w:t>
      </w:r>
      <w:r>
        <w:rPr>
          <w:color w:val="231F20"/>
          <w:spacing w:val="2"/>
        </w:rPr>
        <w:t>violencia </w:t>
      </w:r>
      <w:r>
        <w:rPr>
          <w:color w:val="231F20"/>
        </w:rPr>
        <w:t>que </w:t>
      </w:r>
      <w:r>
        <w:rPr>
          <w:color w:val="231F20"/>
          <w:spacing w:val="2"/>
        </w:rPr>
        <w:t>viven los estudiantes </w:t>
      </w:r>
      <w:r>
        <w:rPr>
          <w:color w:val="231F20"/>
        </w:rPr>
        <w:t>de la </w:t>
      </w:r>
      <w:r>
        <w:rPr>
          <w:color w:val="231F20"/>
          <w:spacing w:val="3"/>
        </w:rPr>
        <w:t>UABJO </w:t>
      </w:r>
      <w:r>
        <w:rPr>
          <w:color w:val="231F20"/>
          <w:spacing w:val="2"/>
        </w:rPr>
        <w:t>por sexo, </w:t>
      </w:r>
      <w:r>
        <w:rPr>
          <w:color w:val="231F20"/>
        </w:rPr>
        <w:t>al </w:t>
      </w:r>
      <w:r>
        <w:rPr>
          <w:color w:val="231F20"/>
          <w:spacing w:val="2"/>
        </w:rPr>
        <w:t>interior del </w:t>
      </w:r>
      <w:r>
        <w:rPr>
          <w:color w:val="231F20"/>
          <w:spacing w:val="3"/>
        </w:rPr>
        <w:t>campus </w:t>
      </w:r>
      <w:r>
        <w:rPr>
          <w:color w:val="231F20"/>
        </w:rPr>
        <w:t>uni- </w:t>
      </w:r>
      <w:r>
        <w:rPr>
          <w:color w:val="231F20"/>
          <w:spacing w:val="2"/>
        </w:rPr>
        <w:t>versitario. Estos datos reflejan </w:t>
      </w:r>
      <w:r>
        <w:rPr>
          <w:color w:val="231F20"/>
        </w:rPr>
        <w:t>el </w:t>
      </w:r>
      <w:r>
        <w:rPr>
          <w:color w:val="231F20"/>
          <w:spacing w:val="2"/>
        </w:rPr>
        <w:t>contexto particular, pues </w:t>
      </w:r>
      <w:r>
        <w:rPr>
          <w:color w:val="231F20"/>
        </w:rPr>
        <w:t>si </w:t>
      </w:r>
      <w:r>
        <w:rPr>
          <w:color w:val="231F20"/>
          <w:spacing w:val="2"/>
        </w:rPr>
        <w:t>los analizamos </w:t>
      </w:r>
      <w:r>
        <w:rPr>
          <w:color w:val="231F20"/>
        </w:rPr>
        <w:t>se </w:t>
      </w:r>
      <w:r>
        <w:rPr>
          <w:color w:val="231F20"/>
          <w:spacing w:val="2"/>
        </w:rPr>
        <w:t>observa </w:t>
      </w:r>
      <w:r>
        <w:rPr>
          <w:color w:val="231F20"/>
        </w:rPr>
        <w:t>que las </w:t>
      </w:r>
      <w:r>
        <w:rPr>
          <w:color w:val="231F20"/>
          <w:spacing w:val="2"/>
        </w:rPr>
        <w:t>mujeres presentan porcentajes </w:t>
      </w:r>
      <w:r>
        <w:rPr>
          <w:color w:val="231F20"/>
          <w:spacing w:val="3"/>
        </w:rPr>
        <w:t>más </w:t>
      </w:r>
      <w:r>
        <w:rPr>
          <w:color w:val="231F20"/>
          <w:spacing w:val="2"/>
        </w:rPr>
        <w:t>altos </w:t>
      </w:r>
      <w:r>
        <w:rPr>
          <w:color w:val="231F20"/>
        </w:rPr>
        <w:t>que </w:t>
      </w:r>
      <w:r>
        <w:rPr>
          <w:color w:val="231F20"/>
          <w:spacing w:val="2"/>
        </w:rPr>
        <w:t>los varones </w:t>
      </w:r>
      <w:r>
        <w:rPr>
          <w:color w:val="231F20"/>
        </w:rPr>
        <w:t>en la </w:t>
      </w:r>
      <w:r>
        <w:rPr>
          <w:color w:val="231F20"/>
          <w:spacing w:val="2"/>
        </w:rPr>
        <w:t>agresión sexual </w:t>
      </w:r>
      <w:r>
        <w:rPr>
          <w:color w:val="231F20"/>
        </w:rPr>
        <w:t>y </w:t>
      </w:r>
      <w:r>
        <w:rPr>
          <w:color w:val="231F20"/>
          <w:spacing w:val="2"/>
        </w:rPr>
        <w:t>psicológica; </w:t>
      </w:r>
      <w:r>
        <w:rPr>
          <w:color w:val="231F20"/>
        </w:rPr>
        <w:t>en </w:t>
      </w:r>
      <w:r>
        <w:rPr>
          <w:color w:val="231F20"/>
          <w:spacing w:val="2"/>
        </w:rPr>
        <w:t>cam- bio los </w:t>
      </w:r>
      <w:r>
        <w:rPr>
          <w:color w:val="231F20"/>
          <w:spacing w:val="3"/>
        </w:rPr>
        <w:t>hombres </w:t>
      </w:r>
      <w:r>
        <w:rPr>
          <w:color w:val="231F20"/>
          <w:spacing w:val="2"/>
        </w:rPr>
        <w:t>los presentan </w:t>
      </w:r>
      <w:r>
        <w:rPr>
          <w:color w:val="231F20"/>
        </w:rPr>
        <w:t>en la </w:t>
      </w:r>
      <w:r>
        <w:rPr>
          <w:color w:val="231F20"/>
          <w:spacing w:val="2"/>
        </w:rPr>
        <w:t>agresión física </w:t>
      </w:r>
      <w:r>
        <w:rPr>
          <w:color w:val="231F20"/>
        </w:rPr>
        <w:t>y </w:t>
      </w:r>
      <w:r>
        <w:rPr>
          <w:color w:val="231F20"/>
          <w:spacing w:val="3"/>
        </w:rPr>
        <w:t>económica.   </w:t>
      </w:r>
      <w:r>
        <w:rPr>
          <w:color w:val="231F20"/>
        </w:rPr>
        <w:t>Se </w:t>
      </w:r>
      <w:r>
        <w:rPr>
          <w:color w:val="231F20"/>
          <w:spacing w:val="2"/>
        </w:rPr>
        <w:t>puede hacer una lectura muy general, </w:t>
      </w:r>
      <w:r>
        <w:rPr>
          <w:color w:val="231F20"/>
        </w:rPr>
        <w:t>en el </w:t>
      </w:r>
      <w:r>
        <w:rPr>
          <w:color w:val="231F20"/>
          <w:spacing w:val="2"/>
        </w:rPr>
        <w:t>sentido </w:t>
      </w:r>
      <w:r>
        <w:rPr>
          <w:color w:val="231F20"/>
        </w:rPr>
        <w:t>de que </w:t>
      </w:r>
      <w:r>
        <w:rPr>
          <w:color w:val="231F20"/>
          <w:spacing w:val="2"/>
        </w:rPr>
        <w:t>por cuestiones culturales </w:t>
      </w:r>
      <w:r>
        <w:rPr>
          <w:color w:val="231F20"/>
        </w:rPr>
        <w:t>las </w:t>
      </w:r>
      <w:r>
        <w:rPr>
          <w:color w:val="231F20"/>
          <w:spacing w:val="2"/>
        </w:rPr>
        <w:t>mujeres son más agredidas </w:t>
      </w:r>
      <w:r>
        <w:rPr>
          <w:color w:val="231F20"/>
        </w:rPr>
        <w:t>y </w:t>
      </w:r>
      <w:r>
        <w:rPr>
          <w:color w:val="231F20"/>
          <w:spacing w:val="3"/>
        </w:rPr>
        <w:t>acosadas </w:t>
      </w:r>
      <w:r>
        <w:rPr>
          <w:color w:val="231F20"/>
          <w:spacing w:val="2"/>
        </w:rPr>
        <w:t>sexualmente </w:t>
      </w:r>
      <w:r>
        <w:rPr>
          <w:color w:val="231F20"/>
        </w:rPr>
        <w:t>que </w:t>
      </w:r>
      <w:r>
        <w:rPr>
          <w:color w:val="231F20"/>
          <w:spacing w:val="2"/>
        </w:rPr>
        <w:t>los varones </w:t>
      </w:r>
      <w:r>
        <w:rPr>
          <w:color w:val="231F20"/>
        </w:rPr>
        <w:t>y que </w:t>
      </w:r>
      <w:r>
        <w:rPr>
          <w:color w:val="231F20"/>
          <w:spacing w:val="3"/>
        </w:rPr>
        <w:t>también, </w:t>
      </w:r>
      <w:r>
        <w:rPr>
          <w:color w:val="231F20"/>
          <w:spacing w:val="2"/>
        </w:rPr>
        <w:t>por </w:t>
      </w:r>
      <w:r>
        <w:rPr>
          <w:color w:val="231F20"/>
        </w:rPr>
        <w:t>la </w:t>
      </w:r>
      <w:r>
        <w:rPr>
          <w:color w:val="231F20"/>
          <w:spacing w:val="3"/>
        </w:rPr>
        <w:t>formación </w:t>
      </w:r>
      <w:r>
        <w:rPr>
          <w:color w:val="231F20"/>
          <w:spacing w:val="2"/>
        </w:rPr>
        <w:t>cultural que </w:t>
      </w:r>
      <w:r>
        <w:rPr>
          <w:color w:val="231F20"/>
        </w:rPr>
        <w:t>se </w:t>
      </w:r>
      <w:r>
        <w:rPr>
          <w:color w:val="231F20"/>
          <w:spacing w:val="2"/>
        </w:rPr>
        <w:t>recibe </w:t>
      </w:r>
      <w:r>
        <w:rPr>
          <w:color w:val="231F20"/>
        </w:rPr>
        <w:t>en el </w:t>
      </w:r>
      <w:r>
        <w:rPr>
          <w:color w:val="231F20"/>
          <w:spacing w:val="2"/>
        </w:rPr>
        <w:t>hogar </w:t>
      </w:r>
      <w:r>
        <w:rPr>
          <w:color w:val="231F20"/>
        </w:rPr>
        <w:t>y en la </w:t>
      </w:r>
      <w:r>
        <w:rPr>
          <w:color w:val="231F20"/>
          <w:spacing w:val="2"/>
        </w:rPr>
        <w:t>sociedad </w:t>
      </w:r>
      <w:r>
        <w:rPr>
          <w:color w:val="231F20"/>
        </w:rPr>
        <w:t>en </w:t>
      </w:r>
      <w:r>
        <w:rPr>
          <w:color w:val="231F20"/>
          <w:spacing w:val="2"/>
        </w:rPr>
        <w:t>general, </w:t>
      </w:r>
      <w:r>
        <w:rPr>
          <w:color w:val="231F20"/>
        </w:rPr>
        <w:t>en </w:t>
      </w:r>
      <w:r>
        <w:rPr>
          <w:color w:val="231F20"/>
          <w:spacing w:val="3"/>
        </w:rPr>
        <w:t>donde </w:t>
      </w:r>
      <w:r>
        <w:rPr>
          <w:color w:val="231F20"/>
        </w:rPr>
        <w:t>se le </w:t>
      </w:r>
      <w:r>
        <w:rPr>
          <w:color w:val="231F20"/>
          <w:spacing w:val="2"/>
        </w:rPr>
        <w:t>adjudican, </w:t>
      </w:r>
      <w:r>
        <w:rPr>
          <w:color w:val="231F20"/>
          <w:spacing w:val="3"/>
        </w:rPr>
        <w:t>como </w:t>
      </w:r>
      <w:r>
        <w:rPr>
          <w:color w:val="231F20"/>
          <w:spacing w:val="2"/>
        </w:rPr>
        <w:t>características naturales, </w:t>
      </w:r>
      <w:r>
        <w:rPr>
          <w:color w:val="231F20"/>
        </w:rPr>
        <w:t>la </w:t>
      </w:r>
      <w:r>
        <w:rPr>
          <w:color w:val="231F20"/>
          <w:spacing w:val="2"/>
        </w:rPr>
        <w:t>sensibili- dad, </w:t>
      </w:r>
      <w:r>
        <w:rPr>
          <w:color w:val="231F20"/>
        </w:rPr>
        <w:t>la </w:t>
      </w:r>
      <w:r>
        <w:rPr>
          <w:color w:val="231F20"/>
          <w:spacing w:val="2"/>
        </w:rPr>
        <w:t>debilidad </w:t>
      </w:r>
      <w:r>
        <w:rPr>
          <w:color w:val="231F20"/>
        </w:rPr>
        <w:t>de </w:t>
      </w:r>
      <w:r>
        <w:rPr>
          <w:color w:val="231F20"/>
          <w:spacing w:val="2"/>
        </w:rPr>
        <w:t>carácter, </w:t>
      </w:r>
      <w:r>
        <w:rPr>
          <w:color w:val="231F20"/>
        </w:rPr>
        <w:t>la </w:t>
      </w:r>
      <w:r>
        <w:rPr>
          <w:color w:val="231F20"/>
          <w:spacing w:val="3"/>
        </w:rPr>
        <w:t>prudencia, </w:t>
      </w:r>
      <w:r>
        <w:rPr>
          <w:color w:val="231F20"/>
          <w:spacing w:val="2"/>
        </w:rPr>
        <w:t>etc., son más </w:t>
      </w:r>
      <w:r>
        <w:rPr>
          <w:color w:val="231F20"/>
          <w:spacing w:val="3"/>
        </w:rPr>
        <w:t>vulnera- </w:t>
      </w:r>
      <w:r>
        <w:rPr>
          <w:color w:val="231F20"/>
          <w:spacing w:val="2"/>
        </w:rPr>
        <w:t>bles </w:t>
      </w:r>
      <w:r>
        <w:rPr>
          <w:color w:val="231F20"/>
        </w:rPr>
        <w:t>a las </w:t>
      </w:r>
      <w:r>
        <w:rPr>
          <w:color w:val="231F20"/>
          <w:spacing w:val="3"/>
        </w:rPr>
        <w:t>amenazas </w:t>
      </w:r>
      <w:r>
        <w:rPr>
          <w:color w:val="231F20"/>
          <w:spacing w:val="2"/>
        </w:rPr>
        <w:t>psicológicas. </w:t>
      </w:r>
      <w:r>
        <w:rPr>
          <w:color w:val="231F20"/>
        </w:rPr>
        <w:t>En </w:t>
      </w:r>
      <w:r>
        <w:rPr>
          <w:color w:val="231F20"/>
          <w:spacing w:val="3"/>
        </w:rPr>
        <w:t>cambio, </w:t>
      </w:r>
      <w:r>
        <w:rPr>
          <w:color w:val="231F20"/>
        </w:rPr>
        <w:t>el </w:t>
      </w:r>
      <w:r>
        <w:rPr>
          <w:color w:val="231F20"/>
          <w:spacing w:val="3"/>
        </w:rPr>
        <w:t>hombre, cuyas </w:t>
      </w:r>
      <w:r>
        <w:rPr>
          <w:color w:val="231F20"/>
          <w:spacing w:val="2"/>
        </w:rPr>
        <w:t>cualidades socialmente aceptables </w:t>
      </w:r>
      <w:r>
        <w:rPr>
          <w:color w:val="231F20"/>
        </w:rPr>
        <w:t>y </w:t>
      </w:r>
      <w:r>
        <w:rPr>
          <w:color w:val="231F20"/>
          <w:spacing w:val="2"/>
        </w:rPr>
        <w:t>sobresalientes son </w:t>
      </w:r>
      <w:r>
        <w:rPr>
          <w:color w:val="231F20"/>
        </w:rPr>
        <w:t>la </w:t>
      </w:r>
      <w:r>
        <w:rPr>
          <w:color w:val="231F20"/>
          <w:spacing w:val="2"/>
        </w:rPr>
        <w:t>fuerza </w:t>
      </w:r>
      <w:r>
        <w:rPr>
          <w:color w:val="231F20"/>
        </w:rPr>
        <w:t>e </w:t>
      </w:r>
      <w:r>
        <w:rPr>
          <w:color w:val="231F20"/>
          <w:spacing w:val="3"/>
        </w:rPr>
        <w:t>independencia, </w:t>
      </w:r>
      <w:r>
        <w:rPr>
          <w:color w:val="231F20"/>
        </w:rPr>
        <w:t>vive </w:t>
      </w:r>
      <w:r>
        <w:rPr>
          <w:color w:val="231F20"/>
          <w:spacing w:val="2"/>
        </w:rPr>
        <w:t>situaciones </w:t>
      </w:r>
      <w:r>
        <w:rPr>
          <w:color w:val="231F20"/>
        </w:rPr>
        <w:t>de </w:t>
      </w:r>
      <w:r>
        <w:rPr>
          <w:color w:val="231F20"/>
          <w:spacing w:val="2"/>
        </w:rPr>
        <w:t>violencia física, </w:t>
      </w:r>
      <w:r>
        <w:rPr>
          <w:color w:val="231F20"/>
        </w:rPr>
        <w:t>lo </w:t>
      </w:r>
      <w:r>
        <w:rPr>
          <w:color w:val="231F20"/>
          <w:spacing w:val="3"/>
        </w:rPr>
        <w:t>mismo </w:t>
      </w:r>
      <w:r>
        <w:rPr>
          <w:color w:val="231F20"/>
          <w:spacing w:val="2"/>
        </w:rPr>
        <w:t>que </w:t>
      </w:r>
      <w:r>
        <w:rPr>
          <w:color w:val="231F20"/>
          <w:spacing w:val="3"/>
        </w:rPr>
        <w:t>económicas. </w:t>
      </w:r>
      <w:r>
        <w:rPr>
          <w:color w:val="231F20"/>
          <w:spacing w:val="2"/>
        </w:rPr>
        <w:t>Sin </w:t>
      </w:r>
      <w:r>
        <w:rPr>
          <w:color w:val="231F20"/>
          <w:spacing w:val="3"/>
        </w:rPr>
        <w:t>embargo, </w:t>
      </w:r>
      <w:r>
        <w:rPr>
          <w:color w:val="231F20"/>
        </w:rPr>
        <w:t>y en </w:t>
      </w:r>
      <w:r>
        <w:rPr>
          <w:color w:val="231F20"/>
          <w:spacing w:val="2"/>
        </w:rPr>
        <w:t>esto último radica </w:t>
      </w:r>
      <w:r>
        <w:rPr>
          <w:color w:val="231F20"/>
        </w:rPr>
        <w:t>la </w:t>
      </w:r>
      <w:r>
        <w:rPr>
          <w:color w:val="231F20"/>
          <w:spacing w:val="2"/>
        </w:rPr>
        <w:t>característica particular </w:t>
      </w:r>
      <w:r>
        <w:rPr>
          <w:color w:val="231F20"/>
        </w:rPr>
        <w:t>de </w:t>
      </w:r>
      <w:r>
        <w:rPr>
          <w:color w:val="231F20"/>
          <w:spacing w:val="2"/>
        </w:rPr>
        <w:t>esta Universidad, </w:t>
      </w:r>
      <w:r>
        <w:rPr>
          <w:color w:val="231F20"/>
        </w:rPr>
        <w:t>en </w:t>
      </w:r>
      <w:r>
        <w:rPr>
          <w:color w:val="231F20"/>
          <w:spacing w:val="3"/>
        </w:rPr>
        <w:t>ambos </w:t>
      </w:r>
      <w:r>
        <w:rPr>
          <w:color w:val="231F20"/>
          <w:spacing w:val="2"/>
        </w:rPr>
        <w:t>sexos </w:t>
      </w:r>
      <w:r>
        <w:rPr>
          <w:color w:val="231F20"/>
        </w:rPr>
        <w:t>se </w:t>
      </w:r>
      <w:r>
        <w:rPr>
          <w:color w:val="231F20"/>
          <w:spacing w:val="3"/>
        </w:rPr>
        <w:t>presentan, </w:t>
      </w:r>
      <w:r>
        <w:rPr>
          <w:color w:val="231F20"/>
          <w:spacing w:val="2"/>
        </w:rPr>
        <w:t>casi  </w:t>
      </w:r>
      <w:r>
        <w:rPr>
          <w:color w:val="231F20"/>
        </w:rPr>
        <w:t>en </w:t>
      </w:r>
      <w:r>
        <w:rPr>
          <w:color w:val="231F20"/>
          <w:spacing w:val="2"/>
        </w:rPr>
        <w:t>igual </w:t>
      </w:r>
      <w:r>
        <w:rPr>
          <w:color w:val="231F20"/>
          <w:spacing w:val="3"/>
        </w:rPr>
        <w:t>proporción, </w:t>
      </w:r>
      <w:r>
        <w:rPr>
          <w:color w:val="231F20"/>
        </w:rPr>
        <w:t>las </w:t>
      </w:r>
      <w:r>
        <w:rPr>
          <w:color w:val="231F20"/>
          <w:spacing w:val="2"/>
        </w:rPr>
        <w:t>agresiones materiales </w:t>
      </w:r>
      <w:r>
        <w:rPr>
          <w:color w:val="231F20"/>
        </w:rPr>
        <w:t>y la </w:t>
      </w:r>
      <w:r>
        <w:rPr>
          <w:color w:val="231F20"/>
          <w:spacing w:val="2"/>
        </w:rPr>
        <w:t>coerción. </w:t>
      </w:r>
      <w:r>
        <w:rPr>
          <w:color w:val="231F20"/>
          <w:spacing w:val="4"/>
        </w:rPr>
        <w:t>Por </w:t>
      </w:r>
      <w:r>
        <w:rPr>
          <w:color w:val="231F20"/>
          <w:spacing w:val="2"/>
        </w:rPr>
        <w:t>agresión material </w:t>
      </w:r>
      <w:r>
        <w:rPr>
          <w:color w:val="231F20"/>
        </w:rPr>
        <w:t>se </w:t>
      </w:r>
      <w:r>
        <w:rPr>
          <w:color w:val="231F20"/>
          <w:spacing w:val="2"/>
        </w:rPr>
        <w:t>entendió </w:t>
      </w:r>
      <w:r>
        <w:rPr>
          <w:color w:val="231F20"/>
        </w:rPr>
        <w:t>el </w:t>
      </w:r>
      <w:r>
        <w:rPr>
          <w:color w:val="231F20"/>
          <w:spacing w:val="2"/>
        </w:rPr>
        <w:t>robo </w:t>
      </w:r>
      <w:r>
        <w:rPr>
          <w:color w:val="231F20"/>
        </w:rPr>
        <w:t>de </w:t>
      </w:r>
      <w:r>
        <w:rPr>
          <w:color w:val="231F20"/>
          <w:spacing w:val="2"/>
        </w:rPr>
        <w:t>objetos </w:t>
      </w:r>
      <w:r>
        <w:rPr>
          <w:color w:val="231F20"/>
        </w:rPr>
        <w:t>y, </w:t>
      </w:r>
      <w:r>
        <w:rPr>
          <w:color w:val="231F20"/>
          <w:spacing w:val="3"/>
        </w:rPr>
        <w:t>como </w:t>
      </w:r>
      <w:r>
        <w:rPr>
          <w:color w:val="231F20"/>
          <w:spacing w:val="2"/>
        </w:rPr>
        <w:t>coerción, </w:t>
      </w:r>
      <w:r>
        <w:rPr>
          <w:color w:val="231F20"/>
        </w:rPr>
        <w:t>la </w:t>
      </w:r>
      <w:r>
        <w:rPr>
          <w:color w:val="231F20"/>
          <w:spacing w:val="2"/>
        </w:rPr>
        <w:t>acción </w:t>
      </w:r>
      <w:r>
        <w:rPr>
          <w:color w:val="231F20"/>
        </w:rPr>
        <w:t>de </w:t>
      </w:r>
      <w:r>
        <w:rPr>
          <w:color w:val="231F20"/>
          <w:spacing w:val="2"/>
        </w:rPr>
        <w:t>obligar </w:t>
      </w:r>
      <w:r>
        <w:rPr>
          <w:color w:val="231F20"/>
        </w:rPr>
        <w:t>a un </w:t>
      </w:r>
      <w:r>
        <w:rPr>
          <w:color w:val="231F20"/>
          <w:spacing w:val="2"/>
        </w:rPr>
        <w:t>sujeto </w:t>
      </w:r>
      <w:r>
        <w:rPr>
          <w:color w:val="231F20"/>
        </w:rPr>
        <w:t>a </w:t>
      </w:r>
      <w:r>
        <w:rPr>
          <w:color w:val="231F20"/>
          <w:spacing w:val="2"/>
        </w:rPr>
        <w:t>realizar alguna actividad </w:t>
      </w:r>
      <w:r>
        <w:rPr>
          <w:color w:val="231F20"/>
        </w:rPr>
        <w:t>en </w:t>
      </w:r>
      <w:r>
        <w:rPr>
          <w:color w:val="231F20"/>
          <w:spacing w:val="3"/>
        </w:rPr>
        <w:t>con- </w:t>
      </w:r>
      <w:r>
        <w:rPr>
          <w:color w:val="231F20"/>
        </w:rPr>
        <w:t>tra de su </w:t>
      </w:r>
      <w:r>
        <w:rPr>
          <w:color w:val="231F20"/>
          <w:spacing w:val="3"/>
        </w:rPr>
        <w:t>voluntad. </w:t>
      </w:r>
      <w:r>
        <w:rPr>
          <w:color w:val="231F20"/>
        </w:rPr>
        <w:t>El </w:t>
      </w:r>
      <w:r>
        <w:rPr>
          <w:color w:val="231F20"/>
          <w:spacing w:val="2"/>
        </w:rPr>
        <w:t>robo </w:t>
      </w:r>
      <w:r>
        <w:rPr>
          <w:color w:val="231F20"/>
        </w:rPr>
        <w:t>de </w:t>
      </w:r>
      <w:r>
        <w:rPr>
          <w:color w:val="231F20"/>
          <w:spacing w:val="2"/>
        </w:rPr>
        <w:t>objetos puede </w:t>
      </w:r>
      <w:r>
        <w:rPr>
          <w:color w:val="231F20"/>
          <w:spacing w:val="3"/>
        </w:rPr>
        <w:t>provenir </w:t>
      </w:r>
      <w:r>
        <w:rPr>
          <w:color w:val="231F20"/>
        </w:rPr>
        <w:t>de </w:t>
      </w:r>
      <w:r>
        <w:rPr>
          <w:color w:val="231F20"/>
          <w:spacing w:val="2"/>
        </w:rPr>
        <w:t>los </w:t>
      </w:r>
      <w:r>
        <w:rPr>
          <w:color w:val="231F20"/>
          <w:spacing w:val="4"/>
        </w:rPr>
        <w:t>po- </w:t>
      </w:r>
      <w:r>
        <w:rPr>
          <w:color w:val="231F20"/>
          <w:spacing w:val="2"/>
        </w:rPr>
        <w:t>rros; </w:t>
      </w:r>
      <w:r>
        <w:rPr>
          <w:color w:val="231F20"/>
        </w:rPr>
        <w:t>en </w:t>
      </w:r>
      <w:r>
        <w:rPr>
          <w:color w:val="231F20"/>
          <w:spacing w:val="3"/>
        </w:rPr>
        <w:t>cambio, </w:t>
      </w:r>
      <w:r>
        <w:rPr>
          <w:color w:val="231F20"/>
        </w:rPr>
        <w:t>la </w:t>
      </w:r>
      <w:r>
        <w:rPr>
          <w:color w:val="231F20"/>
          <w:spacing w:val="2"/>
        </w:rPr>
        <w:t>coerción </w:t>
      </w:r>
      <w:r>
        <w:rPr>
          <w:color w:val="231F20"/>
          <w:spacing w:val="3"/>
        </w:rPr>
        <w:t>proviene </w:t>
      </w:r>
      <w:r>
        <w:rPr>
          <w:color w:val="231F20"/>
        </w:rPr>
        <w:t>de </w:t>
      </w:r>
      <w:r>
        <w:rPr>
          <w:color w:val="231F20"/>
          <w:spacing w:val="2"/>
        </w:rPr>
        <w:t>porros, </w:t>
      </w:r>
      <w:r>
        <w:rPr>
          <w:color w:val="231F20"/>
        </w:rPr>
        <w:t>de </w:t>
      </w:r>
      <w:r>
        <w:rPr>
          <w:color w:val="231F20"/>
          <w:spacing w:val="2"/>
        </w:rPr>
        <w:t>los </w:t>
      </w:r>
      <w:r>
        <w:rPr>
          <w:color w:val="231F20"/>
          <w:spacing w:val="3"/>
        </w:rPr>
        <w:t>profesores, </w:t>
      </w:r>
      <w:r>
        <w:rPr>
          <w:color w:val="231F20"/>
        </w:rPr>
        <w:t>de </w:t>
      </w:r>
      <w:r>
        <w:rPr>
          <w:color w:val="231F20"/>
          <w:spacing w:val="2"/>
        </w:rPr>
        <w:t>los </w:t>
      </w:r>
      <w:r>
        <w:rPr>
          <w:color w:val="231F20"/>
          <w:spacing w:val="3"/>
        </w:rPr>
        <w:t>funcionarios. </w:t>
      </w:r>
      <w:r>
        <w:rPr>
          <w:color w:val="231F20"/>
          <w:spacing w:val="2"/>
        </w:rPr>
        <w:t>Los estudiantes </w:t>
      </w:r>
      <w:r>
        <w:rPr>
          <w:color w:val="231F20"/>
          <w:spacing w:val="3"/>
        </w:rPr>
        <w:t>manifestaron </w:t>
      </w:r>
      <w:r>
        <w:rPr>
          <w:color w:val="231F20"/>
          <w:spacing w:val="2"/>
        </w:rPr>
        <w:t>que tanto </w:t>
      </w:r>
      <w:r>
        <w:rPr>
          <w:color w:val="231F20"/>
          <w:spacing w:val="4"/>
        </w:rPr>
        <w:t>pro- </w:t>
      </w:r>
      <w:r>
        <w:rPr>
          <w:color w:val="231F20"/>
          <w:spacing w:val="2"/>
        </w:rPr>
        <w:t>fesores </w:t>
      </w:r>
      <w:r>
        <w:rPr>
          <w:color w:val="231F20"/>
          <w:spacing w:val="3"/>
        </w:rPr>
        <w:t>como </w:t>
      </w:r>
      <w:r>
        <w:rPr>
          <w:color w:val="231F20"/>
          <w:spacing w:val="2"/>
        </w:rPr>
        <w:t>funcionarios ejercen actos </w:t>
      </w:r>
      <w:r>
        <w:rPr>
          <w:color w:val="231F20"/>
        </w:rPr>
        <w:t>de </w:t>
      </w:r>
      <w:r>
        <w:rPr>
          <w:color w:val="231F20"/>
          <w:spacing w:val="2"/>
        </w:rPr>
        <w:t>violencia contra ellos. Uno </w:t>
      </w:r>
      <w:r>
        <w:rPr>
          <w:color w:val="231F20"/>
        </w:rPr>
        <w:t>de </w:t>
      </w:r>
      <w:r>
        <w:rPr>
          <w:color w:val="231F20"/>
          <w:spacing w:val="2"/>
        </w:rPr>
        <w:t>estos puede </w:t>
      </w:r>
      <w:r>
        <w:rPr>
          <w:color w:val="231F20"/>
        </w:rPr>
        <w:t>ser el </w:t>
      </w:r>
      <w:r>
        <w:rPr>
          <w:color w:val="231F20"/>
          <w:spacing w:val="2"/>
        </w:rPr>
        <w:t>obligarlos </w:t>
      </w:r>
      <w:r>
        <w:rPr>
          <w:color w:val="231F20"/>
        </w:rPr>
        <w:t>a </w:t>
      </w:r>
      <w:r>
        <w:rPr>
          <w:color w:val="231F20"/>
          <w:spacing w:val="2"/>
        </w:rPr>
        <w:t>votar por </w:t>
      </w:r>
      <w:r>
        <w:rPr>
          <w:color w:val="231F20"/>
          <w:spacing w:val="3"/>
        </w:rPr>
        <w:t>determinado </w:t>
      </w:r>
      <w:r>
        <w:rPr>
          <w:color w:val="231F20"/>
          <w:spacing w:val="2"/>
        </w:rPr>
        <w:t>candidato </w:t>
      </w:r>
      <w:r>
        <w:rPr>
          <w:color w:val="231F20"/>
        </w:rPr>
        <w:t>a </w:t>
      </w:r>
      <w:r>
        <w:rPr>
          <w:color w:val="231F20"/>
          <w:spacing w:val="2"/>
        </w:rPr>
        <w:t>director </w:t>
      </w:r>
      <w:r>
        <w:rPr>
          <w:color w:val="231F20"/>
        </w:rPr>
        <w:t>o </w:t>
      </w:r>
      <w:r>
        <w:rPr>
          <w:color w:val="231F20"/>
          <w:spacing w:val="2"/>
        </w:rPr>
        <w:t>rector, </w:t>
      </w:r>
      <w:r>
        <w:rPr>
          <w:color w:val="231F20"/>
        </w:rPr>
        <w:t>o de lo </w:t>
      </w:r>
      <w:r>
        <w:rPr>
          <w:color w:val="231F20"/>
          <w:spacing w:val="2"/>
        </w:rPr>
        <w:t>contrario pueden sufrir </w:t>
      </w:r>
      <w:r>
        <w:rPr>
          <w:color w:val="231F20"/>
        </w:rPr>
        <w:t>las </w:t>
      </w:r>
      <w:r>
        <w:rPr>
          <w:color w:val="231F20"/>
          <w:spacing w:val="3"/>
        </w:rPr>
        <w:t>consecuencias, </w:t>
      </w:r>
      <w:r>
        <w:rPr>
          <w:color w:val="231F20"/>
        </w:rPr>
        <w:t>y </w:t>
      </w:r>
      <w:r>
        <w:rPr>
          <w:color w:val="231F20"/>
          <w:spacing w:val="2"/>
        </w:rPr>
        <w:t>son </w:t>
      </w:r>
      <w:r>
        <w:rPr>
          <w:color w:val="231F20"/>
          <w:spacing w:val="3"/>
        </w:rPr>
        <w:t>normalmente </w:t>
      </w:r>
      <w:r>
        <w:rPr>
          <w:color w:val="231F20"/>
          <w:spacing w:val="2"/>
        </w:rPr>
        <w:t>los </w:t>
      </w:r>
      <w:r>
        <w:rPr>
          <w:color w:val="231F20"/>
          <w:spacing w:val="3"/>
        </w:rPr>
        <w:t>porros </w:t>
      </w:r>
      <w:r>
        <w:rPr>
          <w:color w:val="231F20"/>
          <w:spacing w:val="2"/>
        </w:rPr>
        <w:t>los encargados </w:t>
      </w:r>
      <w:r>
        <w:rPr>
          <w:color w:val="231F20"/>
        </w:rPr>
        <w:t>de </w:t>
      </w:r>
      <w:r>
        <w:rPr>
          <w:color w:val="231F20"/>
          <w:spacing w:val="2"/>
        </w:rPr>
        <w:t>“solicitar” </w:t>
      </w:r>
      <w:r>
        <w:rPr>
          <w:color w:val="231F20"/>
        </w:rPr>
        <w:t>el </w:t>
      </w:r>
      <w:r>
        <w:rPr>
          <w:color w:val="231F20"/>
          <w:spacing w:val="2"/>
        </w:rPr>
        <w:t>voto para determinado candidato: </w:t>
      </w:r>
      <w:r>
        <w:rPr>
          <w:color w:val="231F20"/>
        </w:rPr>
        <w:t>en </w:t>
      </w:r>
      <w:r>
        <w:rPr>
          <w:color w:val="231F20"/>
          <w:spacing w:val="2"/>
        </w:rPr>
        <w:t>esta universi- dad </w:t>
      </w:r>
      <w:r>
        <w:rPr>
          <w:color w:val="231F20"/>
        </w:rPr>
        <w:t>el </w:t>
      </w:r>
      <w:r>
        <w:rPr>
          <w:color w:val="231F20"/>
          <w:spacing w:val="2"/>
        </w:rPr>
        <w:t>rector </w:t>
      </w:r>
      <w:r>
        <w:rPr>
          <w:color w:val="231F20"/>
        </w:rPr>
        <w:t>y </w:t>
      </w:r>
      <w:r>
        <w:rPr>
          <w:color w:val="231F20"/>
          <w:spacing w:val="2"/>
        </w:rPr>
        <w:t>los directores </w:t>
      </w:r>
      <w:r>
        <w:rPr>
          <w:color w:val="231F20"/>
        </w:rPr>
        <w:t>de las </w:t>
      </w:r>
      <w:r>
        <w:rPr>
          <w:color w:val="231F20"/>
          <w:spacing w:val="2"/>
        </w:rPr>
        <w:t>escuelas </w:t>
      </w:r>
      <w:r>
        <w:rPr>
          <w:color w:val="231F20"/>
        </w:rPr>
        <w:t>y </w:t>
      </w:r>
      <w:r>
        <w:rPr>
          <w:color w:val="231F20"/>
          <w:spacing w:val="2"/>
        </w:rPr>
        <w:t>facultades </w:t>
      </w:r>
      <w:r>
        <w:rPr>
          <w:color w:val="231F20"/>
        </w:rPr>
        <w:t>se </w:t>
      </w:r>
      <w:r>
        <w:rPr>
          <w:color w:val="231F20"/>
          <w:spacing w:val="2"/>
        </w:rPr>
        <w:t>eligen mediante </w:t>
      </w:r>
      <w:r>
        <w:rPr>
          <w:color w:val="231F20"/>
        </w:rPr>
        <w:t>el </w:t>
      </w:r>
      <w:r>
        <w:rPr>
          <w:color w:val="231F20"/>
          <w:spacing w:val="2"/>
        </w:rPr>
        <w:t>voto universal, directo </w:t>
      </w:r>
      <w:r>
        <w:rPr>
          <w:color w:val="231F20"/>
        </w:rPr>
        <w:t>y </w:t>
      </w:r>
      <w:r>
        <w:rPr>
          <w:color w:val="231F20"/>
          <w:spacing w:val="2"/>
        </w:rPr>
        <w:t>secreto. </w:t>
      </w:r>
      <w:r>
        <w:rPr>
          <w:color w:val="231F20"/>
        </w:rPr>
        <w:t>Es </w:t>
      </w:r>
      <w:r>
        <w:rPr>
          <w:color w:val="231F20"/>
          <w:spacing w:val="2"/>
        </w:rPr>
        <w:t>decir, votan </w:t>
      </w:r>
      <w:r>
        <w:rPr>
          <w:color w:val="231F20"/>
          <w:spacing w:val="3"/>
        </w:rPr>
        <w:t>alumnos, profesores, personal </w:t>
      </w:r>
      <w:r>
        <w:rPr>
          <w:color w:val="231F20"/>
          <w:spacing w:val="2"/>
        </w:rPr>
        <w:t>administrativo </w:t>
      </w:r>
      <w:r>
        <w:rPr>
          <w:color w:val="231F20"/>
        </w:rPr>
        <w:t>y de </w:t>
      </w:r>
      <w:r>
        <w:rPr>
          <w:color w:val="231F20"/>
          <w:spacing w:val="2"/>
        </w:rPr>
        <w:t>intendencia. Estas elecciones son muy semejantes </w:t>
      </w:r>
      <w:r>
        <w:rPr>
          <w:color w:val="231F20"/>
        </w:rPr>
        <w:t>a las de </w:t>
      </w:r>
      <w:r>
        <w:rPr>
          <w:color w:val="231F20"/>
          <w:spacing w:val="2"/>
        </w:rPr>
        <w:t>los gobernantes </w:t>
      </w:r>
      <w:r>
        <w:rPr>
          <w:color w:val="231F20"/>
        </w:rPr>
        <w:t>o </w:t>
      </w:r>
      <w:r>
        <w:rPr>
          <w:color w:val="231F20"/>
          <w:spacing w:val="3"/>
        </w:rPr>
        <w:t>representantes populares, </w:t>
      </w:r>
      <w:r>
        <w:rPr>
          <w:color w:val="231F20"/>
          <w:spacing w:val="2"/>
        </w:rPr>
        <w:t>pues los diferentes grupos </w:t>
      </w:r>
      <w:r>
        <w:rPr>
          <w:color w:val="231F20"/>
        </w:rPr>
        <w:t>de </w:t>
      </w:r>
      <w:r>
        <w:rPr>
          <w:color w:val="231F20"/>
          <w:spacing w:val="3"/>
        </w:rPr>
        <w:t>poder </w:t>
      </w:r>
      <w:r>
        <w:rPr>
          <w:color w:val="231F20"/>
        </w:rPr>
        <w:t>que </w:t>
      </w:r>
      <w:r>
        <w:rPr>
          <w:color w:val="231F20"/>
          <w:spacing w:val="2"/>
        </w:rPr>
        <w:t>existen </w:t>
      </w:r>
      <w:r>
        <w:rPr>
          <w:color w:val="231F20"/>
        </w:rPr>
        <w:t>en la </w:t>
      </w:r>
      <w:r>
        <w:rPr>
          <w:color w:val="231F20"/>
          <w:spacing w:val="2"/>
        </w:rPr>
        <w:t>universidad, quieren </w:t>
      </w:r>
      <w:r>
        <w:rPr>
          <w:color w:val="231F20"/>
          <w:spacing w:val="3"/>
        </w:rPr>
        <w:t>imponer </w:t>
      </w:r>
      <w:r>
        <w:rPr>
          <w:color w:val="231F20"/>
        </w:rPr>
        <w:t>a su </w:t>
      </w:r>
      <w:r>
        <w:rPr>
          <w:color w:val="231F20"/>
          <w:spacing w:val="2"/>
        </w:rPr>
        <w:t>candidato </w:t>
      </w:r>
      <w:r>
        <w:rPr>
          <w:color w:val="231F20"/>
        </w:rPr>
        <w:t>y  </w:t>
      </w:r>
      <w:r>
        <w:rPr>
          <w:color w:val="231F20"/>
          <w:spacing w:val="2"/>
        </w:rPr>
        <w:t>para </w:t>
      </w:r>
      <w:r>
        <w:rPr>
          <w:color w:val="231F20"/>
        </w:rPr>
        <w:t>ello </w:t>
      </w:r>
      <w:r>
        <w:rPr>
          <w:color w:val="231F20"/>
          <w:spacing w:val="2"/>
        </w:rPr>
        <w:t>hacen uso </w:t>
      </w:r>
      <w:r>
        <w:rPr>
          <w:color w:val="231F20"/>
        </w:rPr>
        <w:t>de </w:t>
      </w:r>
      <w:r>
        <w:rPr>
          <w:color w:val="231F20"/>
          <w:spacing w:val="3"/>
        </w:rPr>
        <w:t>todos </w:t>
      </w:r>
      <w:r>
        <w:rPr>
          <w:color w:val="231F20"/>
          <w:spacing w:val="2"/>
        </w:rPr>
        <w:t>los </w:t>
      </w:r>
      <w:r>
        <w:rPr>
          <w:color w:val="231F20"/>
          <w:spacing w:val="3"/>
        </w:rPr>
        <w:t>métodos </w:t>
      </w:r>
      <w:r>
        <w:rPr>
          <w:color w:val="231F20"/>
          <w:spacing w:val="2"/>
        </w:rPr>
        <w:t>lícitos </w:t>
      </w:r>
      <w:r>
        <w:rPr>
          <w:color w:val="231F20"/>
        </w:rPr>
        <w:t>o </w:t>
      </w:r>
      <w:r>
        <w:rPr>
          <w:color w:val="231F20"/>
          <w:spacing w:val="2"/>
        </w:rPr>
        <w:t>ilícitos que los parti- dos políticos utilizan </w:t>
      </w:r>
      <w:r>
        <w:rPr>
          <w:color w:val="231F20"/>
        </w:rPr>
        <w:t>en las </w:t>
      </w:r>
      <w:r>
        <w:rPr>
          <w:color w:val="231F20"/>
          <w:spacing w:val="2"/>
        </w:rPr>
        <w:t>elecciones: </w:t>
      </w:r>
      <w:r>
        <w:rPr>
          <w:color w:val="231F20"/>
          <w:spacing w:val="3"/>
        </w:rPr>
        <w:t>compra </w:t>
      </w:r>
      <w:r>
        <w:rPr>
          <w:color w:val="231F20"/>
        </w:rPr>
        <w:t>de </w:t>
      </w:r>
      <w:r>
        <w:rPr>
          <w:color w:val="231F20"/>
          <w:spacing w:val="2"/>
        </w:rPr>
        <w:t>votos, </w:t>
      </w:r>
      <w:r>
        <w:rPr>
          <w:color w:val="231F20"/>
          <w:spacing w:val="3"/>
        </w:rPr>
        <w:t>amena- </w:t>
      </w:r>
      <w:r>
        <w:rPr>
          <w:color w:val="231F20"/>
          <w:spacing w:val="2"/>
        </w:rPr>
        <w:t>zas, regalos, fiestas, etc. </w:t>
      </w:r>
      <w:r>
        <w:rPr>
          <w:color w:val="231F20"/>
        </w:rPr>
        <w:t>En </w:t>
      </w:r>
      <w:r>
        <w:rPr>
          <w:color w:val="231F20"/>
          <w:spacing w:val="2"/>
        </w:rPr>
        <w:t>este </w:t>
      </w:r>
      <w:r>
        <w:rPr>
          <w:color w:val="231F20"/>
          <w:spacing w:val="3"/>
        </w:rPr>
        <w:t>contexto, </w:t>
      </w:r>
      <w:r>
        <w:rPr>
          <w:color w:val="231F20"/>
          <w:spacing w:val="2"/>
        </w:rPr>
        <w:t>son recurrentes las </w:t>
      </w:r>
      <w:r>
        <w:rPr>
          <w:color w:val="231F20"/>
          <w:spacing w:val="3"/>
        </w:rPr>
        <w:t>situaciones </w:t>
      </w:r>
      <w:r>
        <w:rPr>
          <w:color w:val="231F20"/>
        </w:rPr>
        <w:t>de </w:t>
      </w:r>
      <w:r>
        <w:rPr>
          <w:color w:val="231F20"/>
          <w:spacing w:val="2"/>
        </w:rPr>
        <w:t>violencia que viven los estudiantes universitarios </w:t>
      </w:r>
      <w:r>
        <w:rPr>
          <w:color w:val="231F20"/>
          <w:spacing w:val="46"/>
        </w:rPr>
        <w:t> </w:t>
      </w:r>
      <w:r>
        <w:rPr>
          <w:color w:val="231F20"/>
        </w:rPr>
        <w:t>y</w:t>
      </w:r>
    </w:p>
    <w:p>
      <w:pPr>
        <w:spacing w:after="0" w:line="249" w:lineRule="auto"/>
        <w:jc w:val="both"/>
        <w:sectPr>
          <w:headerReference w:type="default" r:id="rId799"/>
          <w:footerReference w:type="default" r:id="rId800"/>
          <w:pgSz w:w="7830" w:h="11910"/>
          <w:pgMar w:header="0" w:footer="424" w:top="500" w:bottom="620" w:left="920" w:right="900"/>
          <w:pgNumType w:start="35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304"/>
      </w:pPr>
      <w:r>
        <w:rPr>
          <w:color w:val="231F20"/>
        </w:rPr>
        <w:t>no es de </w:t>
      </w:r>
      <w:r>
        <w:rPr>
          <w:color w:val="231F20"/>
          <w:spacing w:val="2"/>
        </w:rPr>
        <w:t>extrañar </w:t>
      </w:r>
      <w:r>
        <w:rPr>
          <w:color w:val="231F20"/>
        </w:rPr>
        <w:t>que la </w:t>
      </w:r>
      <w:r>
        <w:rPr>
          <w:color w:val="231F20"/>
          <w:spacing w:val="2"/>
        </w:rPr>
        <w:t>violencia material </w:t>
      </w:r>
      <w:r>
        <w:rPr>
          <w:color w:val="231F20"/>
        </w:rPr>
        <w:t>y la </w:t>
      </w:r>
      <w:r>
        <w:rPr>
          <w:color w:val="231F20"/>
          <w:spacing w:val="2"/>
        </w:rPr>
        <w:t>coerción </w:t>
      </w:r>
      <w:r>
        <w:rPr>
          <w:color w:val="231F20"/>
        </w:rPr>
        <w:t>se viva   </w:t>
      </w:r>
      <w:r>
        <w:rPr>
          <w:color w:val="231F20"/>
          <w:spacing w:val="2"/>
        </w:rPr>
        <w:t>por igual </w:t>
      </w:r>
      <w:r>
        <w:rPr>
          <w:color w:val="231F20"/>
        </w:rPr>
        <w:t>en </w:t>
      </w:r>
      <w:r>
        <w:rPr>
          <w:color w:val="231F20"/>
          <w:spacing w:val="3"/>
        </w:rPr>
        <w:t>ambos</w:t>
      </w:r>
      <w:r>
        <w:rPr>
          <w:color w:val="231F20"/>
          <w:spacing w:val="10"/>
        </w:rPr>
        <w:t> </w:t>
      </w:r>
      <w:r>
        <w:rPr>
          <w:color w:val="231F20"/>
          <w:spacing w:val="2"/>
        </w:rPr>
        <w:t>sexos.</w:t>
      </w:r>
    </w:p>
    <w:p>
      <w:pPr>
        <w:pStyle w:val="BodyText"/>
        <w:spacing w:line="249" w:lineRule="auto" w:before="1"/>
        <w:ind w:left="102" w:right="115" w:firstLine="284"/>
        <w:jc w:val="both"/>
      </w:pPr>
      <w:r>
        <w:rPr>
          <w:color w:val="231F20"/>
        </w:rPr>
        <w:t>En relación con la situación de violencia que vive la UABJO, en un artículo, Imanol Ordorika (2008) informa que en 2005 hubo referencias periodísticas relacionadas a problemas de porrismo, por lo menos en ocho universidades públicas del país, entre ellas men- ciona a la UABJO. La violencia porril en esta universidad es tan evidente que se refleja en las notas periodísticas, en donde los gru- pos antagónicos de la UABJO se acusan mutuamente de controlar grupos porriles. El 8 de julio de 2005 el entonces rector de la UAB- JO, Martínez Neri, acusó a la dirigente, en ese momento, del Sindi- cato de Trabajadores Académicos de la Universidad de Oaxaca, de haber enviado a los porros a ocupar las instalaciones de rectoría (</w:t>
      </w:r>
      <w:r>
        <w:rPr>
          <w:i/>
          <w:color w:val="231F20"/>
        </w:rPr>
        <w:t>El </w:t>
      </w:r>
      <w:r>
        <w:rPr>
          <w:i/>
          <w:color w:val="231F20"/>
        </w:rPr>
        <w:t>Imparcial</w:t>
      </w:r>
      <w:r>
        <w:rPr>
          <w:color w:val="231F20"/>
        </w:rPr>
        <w:t>, 2005, 8 de julio). La respuesta de la dirigente sindical fue exigir al rector que proporcionara los nombres de los porros que saquearon las instalaciones universitarias, a su vez lo acusó de ser el promotor de los actos violentos al interior de la universidad (</w:t>
      </w:r>
      <w:r>
        <w:rPr>
          <w:i/>
          <w:color w:val="231F20"/>
        </w:rPr>
        <w:t>El </w:t>
      </w:r>
      <w:r>
        <w:rPr>
          <w:i/>
          <w:color w:val="231F20"/>
        </w:rPr>
        <w:t>Imparcial</w:t>
      </w:r>
      <w:r>
        <w:rPr>
          <w:color w:val="231F20"/>
        </w:rPr>
        <w:t>, 2005, 14 de julio). En esa ocasión fueron detenidos algu- nos jóvenes identificados como porros. Sin embargo, fueron libera- dos ya que el mismo rector pagó las fianzas(</w:t>
      </w:r>
      <w:r>
        <w:rPr>
          <w:i/>
          <w:color w:val="231F20"/>
        </w:rPr>
        <w:t>El Imparcial</w:t>
      </w:r>
      <w:r>
        <w:rPr>
          <w:color w:val="231F20"/>
        </w:rPr>
        <w:t>, 2005, 5 de septiembre). Debido a esta situación, la prensa local ha dicho reite- radamente que “la UABJO está sumergida en el fango de la agita- ción y el conflicto” y juega “un triste papel como arena de po- rros”(</w:t>
      </w:r>
      <w:r>
        <w:rPr>
          <w:i/>
          <w:color w:val="231F20"/>
        </w:rPr>
        <w:t>El Imparcial</w:t>
      </w:r>
      <w:r>
        <w:rPr>
          <w:color w:val="231F20"/>
        </w:rPr>
        <w:t>, 2005, 5 de septiembre).</w:t>
      </w:r>
    </w:p>
    <w:p>
      <w:pPr>
        <w:pStyle w:val="BodyText"/>
        <w:spacing w:line="249" w:lineRule="auto"/>
        <w:ind w:left="102" w:right="115" w:firstLine="284"/>
        <w:jc w:val="both"/>
      </w:pPr>
      <w:r>
        <w:rPr>
          <w:color w:val="231F20"/>
        </w:rPr>
        <w:t>Los diversos grupos porriles que existen en la UABJO respon- den a intereses de grupos tanto del interior como del exterior de la universidad, pues también por la prensa se ha denunciado la in- tromisión de funcionarios estatales en la UABJO, mediante el control de grupos de porros. En la actualidad las expresiones po- rriles se caracterizan por el incremento de las actividades pura- mente delictivas: robo, golpes, etc., y por la presencia de bandas y pandillas compuestas por personas ajenas a la comunidad univer- sitaria. Y estas bandas o grupos porriles venden sus servicios al mejor postor.</w:t>
      </w:r>
    </w:p>
    <w:p>
      <w:pPr>
        <w:pStyle w:val="BodyText"/>
        <w:spacing w:line="247" w:lineRule="auto"/>
        <w:ind w:left="102" w:right="119" w:firstLine="284"/>
        <w:jc w:val="both"/>
      </w:pPr>
      <w:r>
        <w:rPr>
          <w:color w:val="231F20"/>
        </w:rPr>
        <w:t>La </w:t>
      </w:r>
      <w:r>
        <w:rPr>
          <w:color w:val="231F20"/>
          <w:spacing w:val="2"/>
        </w:rPr>
        <w:t>presencia </w:t>
      </w:r>
      <w:r>
        <w:rPr>
          <w:color w:val="231F20"/>
        </w:rPr>
        <w:t>de </w:t>
      </w:r>
      <w:r>
        <w:rPr>
          <w:color w:val="231F20"/>
          <w:spacing w:val="2"/>
        </w:rPr>
        <w:t>grupos ajenos </w:t>
      </w:r>
      <w:r>
        <w:rPr>
          <w:color w:val="231F20"/>
        </w:rPr>
        <w:t>a la </w:t>
      </w:r>
      <w:r>
        <w:rPr>
          <w:color w:val="231F20"/>
          <w:spacing w:val="2"/>
        </w:rPr>
        <w:t>universidad </w:t>
      </w:r>
      <w:r>
        <w:rPr>
          <w:color w:val="231F20"/>
        </w:rPr>
        <w:t>y que </w:t>
      </w:r>
      <w:r>
        <w:rPr>
          <w:color w:val="231F20"/>
          <w:spacing w:val="2"/>
        </w:rPr>
        <w:t>actúan</w:t>
      </w:r>
      <w:r>
        <w:rPr>
          <w:color w:val="231F20"/>
          <w:spacing w:val="56"/>
        </w:rPr>
        <w:t> </w:t>
      </w:r>
      <w:r>
        <w:rPr>
          <w:color w:val="231F20"/>
          <w:spacing w:val="3"/>
        </w:rPr>
        <w:t>como mercenarios </w:t>
      </w:r>
      <w:r>
        <w:rPr>
          <w:color w:val="231F20"/>
        </w:rPr>
        <w:t>de </w:t>
      </w:r>
      <w:r>
        <w:rPr>
          <w:color w:val="231F20"/>
          <w:spacing w:val="2"/>
        </w:rPr>
        <w:t>los dirigentes </w:t>
      </w:r>
      <w:r>
        <w:rPr>
          <w:color w:val="231F20"/>
        </w:rPr>
        <w:t>de </w:t>
      </w:r>
      <w:r>
        <w:rPr>
          <w:color w:val="231F20"/>
          <w:spacing w:val="2"/>
        </w:rPr>
        <w:t>los </w:t>
      </w:r>
      <w:r>
        <w:rPr>
          <w:color w:val="231F20"/>
          <w:spacing w:val="3"/>
        </w:rPr>
        <w:t>grupos </w:t>
      </w:r>
      <w:r>
        <w:rPr>
          <w:color w:val="231F20"/>
        </w:rPr>
        <w:t>de </w:t>
      </w:r>
      <w:r>
        <w:rPr>
          <w:color w:val="231F20"/>
          <w:spacing w:val="3"/>
        </w:rPr>
        <w:t>poder </w:t>
      </w:r>
      <w:r>
        <w:rPr>
          <w:color w:val="231F20"/>
        </w:rPr>
        <w:t>al </w:t>
      </w:r>
      <w:r>
        <w:rPr>
          <w:color w:val="231F20"/>
          <w:spacing w:val="2"/>
        </w:rPr>
        <w:t>interior </w:t>
      </w:r>
      <w:r>
        <w:rPr>
          <w:color w:val="231F20"/>
        </w:rPr>
        <w:t>y </w:t>
      </w:r>
      <w:r>
        <w:rPr>
          <w:color w:val="231F20"/>
          <w:spacing w:val="2"/>
        </w:rPr>
        <w:t>fuera </w:t>
      </w:r>
      <w:r>
        <w:rPr>
          <w:color w:val="231F20"/>
        </w:rPr>
        <w:t>de la </w:t>
      </w:r>
      <w:r>
        <w:rPr>
          <w:color w:val="231F20"/>
          <w:spacing w:val="2"/>
        </w:rPr>
        <w:t>institución, </w:t>
      </w:r>
      <w:r>
        <w:rPr>
          <w:color w:val="231F20"/>
        </w:rPr>
        <w:t>ha </w:t>
      </w:r>
      <w:r>
        <w:rPr>
          <w:color w:val="231F20"/>
          <w:spacing w:val="2"/>
        </w:rPr>
        <w:t>llevado </w:t>
      </w:r>
      <w:r>
        <w:rPr>
          <w:color w:val="231F20"/>
        </w:rPr>
        <w:t>a la </w:t>
      </w:r>
      <w:r>
        <w:rPr>
          <w:color w:val="231F20"/>
          <w:spacing w:val="3"/>
        </w:rPr>
        <w:t>confusión </w:t>
      </w:r>
      <w:r>
        <w:rPr>
          <w:color w:val="231F20"/>
        </w:rPr>
        <w:t>en la </w:t>
      </w:r>
      <w:r>
        <w:rPr>
          <w:color w:val="231F20"/>
          <w:spacing w:val="2"/>
        </w:rPr>
        <w:t>definición </w:t>
      </w:r>
      <w:r>
        <w:rPr>
          <w:color w:val="231F20"/>
        </w:rPr>
        <w:t>de lo </w:t>
      </w:r>
      <w:r>
        <w:rPr>
          <w:color w:val="231F20"/>
          <w:spacing w:val="2"/>
        </w:rPr>
        <w:t>que </w:t>
      </w:r>
      <w:r>
        <w:rPr>
          <w:color w:val="231F20"/>
        </w:rPr>
        <w:t>es un  </w:t>
      </w:r>
      <w:r>
        <w:rPr>
          <w:color w:val="231F20"/>
          <w:spacing w:val="3"/>
        </w:rPr>
        <w:t>movimiento </w:t>
      </w:r>
      <w:r>
        <w:rPr>
          <w:color w:val="231F20"/>
          <w:spacing w:val="2"/>
        </w:rPr>
        <w:t>estudiantil </w:t>
      </w:r>
      <w:r>
        <w:rPr>
          <w:color w:val="231F20"/>
        </w:rPr>
        <w:t>y  el </w:t>
      </w:r>
      <w:r>
        <w:rPr>
          <w:color w:val="231F20"/>
          <w:spacing w:val="3"/>
        </w:rPr>
        <w:t>porrismo. </w:t>
      </w:r>
      <w:r>
        <w:rPr>
          <w:color w:val="231F20"/>
        </w:rPr>
        <w:t>Es </w:t>
      </w:r>
      <w:r>
        <w:rPr>
          <w:color w:val="231F20"/>
          <w:spacing w:val="2"/>
        </w:rPr>
        <w:t>frecuente </w:t>
      </w:r>
      <w:r>
        <w:rPr>
          <w:color w:val="231F20"/>
        </w:rPr>
        <w:t>que </w:t>
      </w:r>
      <w:r>
        <w:rPr>
          <w:color w:val="231F20"/>
          <w:spacing w:val="2"/>
        </w:rPr>
        <w:t>los grupos </w:t>
      </w:r>
      <w:r>
        <w:rPr>
          <w:color w:val="231F20"/>
        </w:rPr>
        <w:t>que se </w:t>
      </w:r>
      <w:r>
        <w:rPr>
          <w:color w:val="231F20"/>
          <w:spacing w:val="2"/>
        </w:rPr>
        <w:t>disputan </w:t>
      </w:r>
      <w:r>
        <w:rPr>
          <w:color w:val="231F20"/>
        </w:rPr>
        <w:t>el </w:t>
      </w:r>
      <w:r>
        <w:rPr>
          <w:color w:val="231F20"/>
          <w:spacing w:val="3"/>
        </w:rPr>
        <w:t>poder </w:t>
      </w:r>
      <w:r>
        <w:rPr>
          <w:color w:val="231F20"/>
          <w:spacing w:val="2"/>
        </w:rPr>
        <w:t>aludan </w:t>
      </w:r>
      <w:r>
        <w:rPr>
          <w:color w:val="231F20"/>
        </w:rPr>
        <w:t>al</w:t>
      </w:r>
    </w:p>
    <w:p>
      <w:pPr>
        <w:spacing w:after="0" w:line="247" w:lineRule="auto"/>
        <w:jc w:val="both"/>
        <w:sectPr>
          <w:headerReference w:type="default" r:id="rId801"/>
          <w:footerReference w:type="default" r:id="rId802"/>
          <w:pgSz w:w="7830" w:h="11910"/>
          <w:pgMar w:header="0" w:footer="424" w:top="500" w:bottom="620" w:left="920" w:right="900"/>
          <w:pgNumType w:start="360"/>
        </w:sectPr>
      </w:pPr>
    </w:p>
    <w:p>
      <w:pPr>
        <w:spacing w:before="46"/>
        <w:ind w:left="160" w:right="57"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221" w:right="115"/>
        <w:jc w:val="both"/>
      </w:pPr>
      <w:r>
        <w:rPr>
          <w:color w:val="231F20"/>
          <w:spacing w:val="2"/>
        </w:rPr>
        <w:t>otro </w:t>
      </w:r>
      <w:r>
        <w:rPr>
          <w:color w:val="231F20"/>
          <w:spacing w:val="3"/>
        </w:rPr>
        <w:t>como conformado </w:t>
      </w:r>
      <w:r>
        <w:rPr>
          <w:color w:val="231F20"/>
          <w:spacing w:val="2"/>
        </w:rPr>
        <w:t>por </w:t>
      </w:r>
      <w:r>
        <w:rPr>
          <w:color w:val="231F20"/>
          <w:spacing w:val="3"/>
        </w:rPr>
        <w:t>porros </w:t>
      </w:r>
      <w:r>
        <w:rPr>
          <w:color w:val="231F20"/>
        </w:rPr>
        <w:t>y se </w:t>
      </w:r>
      <w:r>
        <w:rPr>
          <w:color w:val="231F20"/>
          <w:spacing w:val="2"/>
        </w:rPr>
        <w:t>definan </w:t>
      </w:r>
      <w:r>
        <w:rPr>
          <w:color w:val="231F20"/>
          <w:spacing w:val="3"/>
        </w:rPr>
        <w:t>como </w:t>
      </w:r>
      <w:r>
        <w:rPr>
          <w:color w:val="231F20"/>
          <w:spacing w:val="2"/>
        </w:rPr>
        <w:t>los repre-</w:t>
      </w:r>
      <w:r>
        <w:rPr>
          <w:color w:val="231F20"/>
          <w:spacing w:val="56"/>
        </w:rPr>
        <w:t> </w:t>
      </w:r>
      <w:r>
        <w:rPr>
          <w:color w:val="231F20"/>
          <w:spacing w:val="2"/>
        </w:rPr>
        <w:t>sentantes </w:t>
      </w:r>
      <w:r>
        <w:rPr>
          <w:color w:val="231F20"/>
        </w:rPr>
        <w:t>de </w:t>
      </w:r>
      <w:r>
        <w:rPr>
          <w:color w:val="231F20"/>
          <w:spacing w:val="2"/>
        </w:rPr>
        <w:t>los intereses universitarios. </w:t>
      </w:r>
      <w:r>
        <w:rPr>
          <w:color w:val="231F20"/>
        </w:rPr>
        <w:t>A </w:t>
      </w:r>
      <w:r>
        <w:rPr>
          <w:color w:val="231F20"/>
          <w:spacing w:val="3"/>
        </w:rPr>
        <w:t>simple </w:t>
      </w:r>
      <w:r>
        <w:rPr>
          <w:color w:val="231F20"/>
          <w:spacing w:val="2"/>
        </w:rPr>
        <w:t>vista </w:t>
      </w:r>
      <w:r>
        <w:rPr>
          <w:color w:val="231F20"/>
        </w:rPr>
        <w:t>se </w:t>
      </w:r>
      <w:r>
        <w:rPr>
          <w:color w:val="231F20"/>
          <w:spacing w:val="2"/>
        </w:rPr>
        <w:t>vuelve difícil diferenciar quiénes son estudiantes </w:t>
      </w:r>
      <w:r>
        <w:rPr>
          <w:color w:val="231F20"/>
        </w:rPr>
        <w:t>y </w:t>
      </w:r>
      <w:r>
        <w:rPr>
          <w:color w:val="231F20"/>
          <w:spacing w:val="2"/>
        </w:rPr>
        <w:t>quiénes no. </w:t>
      </w:r>
      <w:r>
        <w:rPr>
          <w:color w:val="231F20"/>
        </w:rPr>
        <w:t>Lo que sí  es un </w:t>
      </w:r>
      <w:r>
        <w:rPr>
          <w:color w:val="231F20"/>
          <w:spacing w:val="2"/>
        </w:rPr>
        <w:t>hecho </w:t>
      </w:r>
      <w:r>
        <w:rPr>
          <w:color w:val="231F20"/>
        </w:rPr>
        <w:t>es la </w:t>
      </w:r>
      <w:r>
        <w:rPr>
          <w:color w:val="231F20"/>
          <w:spacing w:val="2"/>
        </w:rPr>
        <w:t>violencia que generan los </w:t>
      </w:r>
      <w:r>
        <w:rPr>
          <w:color w:val="231F20"/>
          <w:spacing w:val="3"/>
        </w:rPr>
        <w:t>grupos </w:t>
      </w:r>
      <w:r>
        <w:rPr>
          <w:color w:val="231F20"/>
          <w:spacing w:val="2"/>
        </w:rPr>
        <w:t>porriles </w:t>
      </w:r>
      <w:r>
        <w:rPr>
          <w:color w:val="231F20"/>
        </w:rPr>
        <w:t>al </w:t>
      </w:r>
      <w:r>
        <w:rPr>
          <w:color w:val="231F20"/>
          <w:spacing w:val="2"/>
        </w:rPr>
        <w:t>inte- rior </w:t>
      </w:r>
      <w:r>
        <w:rPr>
          <w:color w:val="231F20"/>
        </w:rPr>
        <w:t>de la </w:t>
      </w:r>
      <w:r>
        <w:rPr>
          <w:color w:val="231F20"/>
          <w:spacing w:val="3"/>
        </w:rPr>
        <w:t>UABJO, amenazando, golpeando </w:t>
      </w:r>
      <w:r>
        <w:rPr>
          <w:color w:val="231F20"/>
        </w:rPr>
        <w:t>y </w:t>
      </w:r>
      <w:r>
        <w:rPr>
          <w:color w:val="231F20"/>
          <w:spacing w:val="3"/>
        </w:rPr>
        <w:t>robando </w:t>
      </w:r>
      <w:r>
        <w:rPr>
          <w:color w:val="231F20"/>
        </w:rPr>
        <w:t>a </w:t>
      </w:r>
      <w:r>
        <w:rPr>
          <w:color w:val="231F20"/>
          <w:spacing w:val="2"/>
        </w:rPr>
        <w:t>los estu- diantes. Ellos son los </w:t>
      </w:r>
      <w:r>
        <w:rPr>
          <w:color w:val="231F20"/>
          <w:spacing w:val="3"/>
        </w:rPr>
        <w:t>encargados </w:t>
      </w:r>
      <w:r>
        <w:rPr>
          <w:color w:val="231F20"/>
        </w:rPr>
        <w:t>de las </w:t>
      </w:r>
      <w:r>
        <w:rPr>
          <w:color w:val="231F20"/>
          <w:spacing w:val="3"/>
        </w:rPr>
        <w:t>tomas </w:t>
      </w:r>
      <w:r>
        <w:rPr>
          <w:color w:val="231F20"/>
        </w:rPr>
        <w:t>de las </w:t>
      </w:r>
      <w:r>
        <w:rPr>
          <w:color w:val="231F20"/>
          <w:spacing w:val="3"/>
        </w:rPr>
        <w:t>instalaciones </w:t>
      </w:r>
      <w:r>
        <w:rPr>
          <w:color w:val="231F20"/>
          <w:spacing w:val="2"/>
        </w:rPr>
        <w:t>universitarias </w:t>
      </w:r>
      <w:r>
        <w:rPr>
          <w:color w:val="231F20"/>
        </w:rPr>
        <w:t>y de la </w:t>
      </w:r>
      <w:r>
        <w:rPr>
          <w:color w:val="231F20"/>
          <w:spacing w:val="2"/>
        </w:rPr>
        <w:t>destrucción </w:t>
      </w:r>
      <w:r>
        <w:rPr>
          <w:color w:val="231F20"/>
        </w:rPr>
        <w:t>del </w:t>
      </w:r>
      <w:r>
        <w:rPr>
          <w:color w:val="231F20"/>
          <w:spacing w:val="2"/>
        </w:rPr>
        <w:t>equipo </w:t>
      </w:r>
      <w:r>
        <w:rPr>
          <w:color w:val="231F20"/>
        </w:rPr>
        <w:t>de </w:t>
      </w:r>
      <w:r>
        <w:rPr>
          <w:color w:val="231F20"/>
          <w:spacing w:val="3"/>
        </w:rPr>
        <w:t>cómputo, </w:t>
      </w:r>
      <w:r>
        <w:rPr>
          <w:color w:val="231F20"/>
        </w:rPr>
        <w:t>del </w:t>
      </w:r>
      <w:r>
        <w:rPr>
          <w:color w:val="231F20"/>
          <w:spacing w:val="3"/>
        </w:rPr>
        <w:t>ma- </w:t>
      </w:r>
      <w:r>
        <w:rPr>
          <w:color w:val="231F20"/>
          <w:spacing w:val="2"/>
        </w:rPr>
        <w:t>terial bibliográfico, etc., </w:t>
      </w:r>
      <w:r>
        <w:rPr>
          <w:color w:val="231F20"/>
        </w:rPr>
        <w:t>así </w:t>
      </w:r>
      <w:r>
        <w:rPr>
          <w:color w:val="231F20"/>
          <w:spacing w:val="3"/>
        </w:rPr>
        <w:t>como </w:t>
      </w:r>
      <w:r>
        <w:rPr>
          <w:color w:val="231F20"/>
        </w:rPr>
        <w:t>de </w:t>
      </w:r>
      <w:r>
        <w:rPr>
          <w:color w:val="231F20"/>
          <w:spacing w:val="2"/>
        </w:rPr>
        <w:t>ejercer coerción sobre los </w:t>
      </w:r>
      <w:r>
        <w:rPr>
          <w:color w:val="231F20"/>
          <w:spacing w:val="3"/>
        </w:rPr>
        <w:t>alumnos, profesores, empleados, generando enfrentamientos con </w:t>
      </w:r>
      <w:r>
        <w:rPr>
          <w:color w:val="231F20"/>
          <w:spacing w:val="2"/>
        </w:rPr>
        <w:t>los </w:t>
      </w:r>
      <w:r>
        <w:rPr>
          <w:color w:val="231F20"/>
          <w:spacing w:val="3"/>
        </w:rPr>
        <w:t>grupos</w:t>
      </w:r>
      <w:r>
        <w:rPr>
          <w:color w:val="231F20"/>
          <w:spacing w:val="15"/>
        </w:rPr>
        <w:t> </w:t>
      </w:r>
      <w:r>
        <w:rPr>
          <w:color w:val="231F20"/>
          <w:spacing w:val="2"/>
        </w:rPr>
        <w:t>contrarios.</w:t>
      </w:r>
    </w:p>
    <w:p>
      <w:pPr>
        <w:pStyle w:val="BodyText"/>
        <w:spacing w:line="247" w:lineRule="auto"/>
        <w:ind w:left="221" w:right="119" w:firstLine="284"/>
        <w:jc w:val="both"/>
      </w:pPr>
      <w:r>
        <w:rPr>
          <w:color w:val="231F20"/>
          <w:spacing w:val="2"/>
        </w:rPr>
        <w:t>Enseguida </w:t>
      </w:r>
      <w:r>
        <w:rPr>
          <w:color w:val="231F20"/>
          <w:spacing w:val="3"/>
        </w:rPr>
        <w:t>presentamos </w:t>
      </w:r>
      <w:r>
        <w:rPr>
          <w:color w:val="231F20"/>
          <w:spacing w:val="2"/>
        </w:rPr>
        <w:t>los datos </w:t>
      </w:r>
      <w:r>
        <w:rPr>
          <w:color w:val="231F20"/>
        </w:rPr>
        <w:t>que </w:t>
      </w:r>
      <w:r>
        <w:rPr>
          <w:color w:val="231F20"/>
          <w:spacing w:val="3"/>
        </w:rPr>
        <w:t>informan </w:t>
      </w:r>
      <w:r>
        <w:rPr>
          <w:color w:val="231F20"/>
          <w:spacing w:val="2"/>
        </w:rPr>
        <w:t>sobre los tipos </w:t>
      </w:r>
      <w:r>
        <w:rPr>
          <w:color w:val="231F20"/>
        </w:rPr>
        <w:t>de </w:t>
      </w:r>
      <w:r>
        <w:rPr>
          <w:color w:val="231F20"/>
          <w:spacing w:val="2"/>
        </w:rPr>
        <w:t>agresores </w:t>
      </w:r>
      <w:r>
        <w:rPr>
          <w:color w:val="231F20"/>
        </w:rPr>
        <w:t>y </w:t>
      </w:r>
      <w:r>
        <w:rPr>
          <w:color w:val="231F20"/>
          <w:spacing w:val="2"/>
        </w:rPr>
        <w:t>actos físicos </w:t>
      </w:r>
      <w:r>
        <w:rPr>
          <w:color w:val="231F20"/>
        </w:rPr>
        <w:t>o </w:t>
      </w:r>
      <w:r>
        <w:rPr>
          <w:color w:val="231F20"/>
          <w:spacing w:val="2"/>
        </w:rPr>
        <w:t>materiales violentos ejercido sobre  los </w:t>
      </w:r>
      <w:r>
        <w:rPr>
          <w:color w:val="231F20"/>
          <w:spacing w:val="3"/>
        </w:rPr>
        <w:t>alumnos </w:t>
      </w:r>
      <w:r>
        <w:rPr>
          <w:color w:val="231F20"/>
        </w:rPr>
        <w:t>y </w:t>
      </w:r>
      <w:r>
        <w:rPr>
          <w:color w:val="231F20"/>
          <w:spacing w:val="2"/>
        </w:rPr>
        <w:t>familiares, con base </w:t>
      </w:r>
      <w:r>
        <w:rPr>
          <w:color w:val="231F20"/>
        </w:rPr>
        <w:t>en su </w:t>
      </w:r>
      <w:r>
        <w:rPr>
          <w:color w:val="231F20"/>
          <w:spacing w:val="2"/>
        </w:rPr>
        <w:t>frecuencia </w:t>
      </w:r>
      <w:r>
        <w:rPr>
          <w:color w:val="231F20"/>
          <w:spacing w:val="3"/>
        </w:rPr>
        <w:t>planteamos </w:t>
      </w:r>
      <w:r>
        <w:rPr>
          <w:color w:val="231F20"/>
          <w:spacing w:val="2"/>
        </w:rPr>
        <w:t>niveles</w:t>
      </w:r>
      <w:r>
        <w:rPr>
          <w:color w:val="231F20"/>
          <w:spacing w:val="-9"/>
        </w:rPr>
        <w:t> </w:t>
      </w:r>
      <w:r>
        <w:rPr>
          <w:color w:val="231F20"/>
          <w:spacing w:val="2"/>
        </w:rPr>
        <w:t>diferentes:</w:t>
      </w:r>
      <w:r>
        <w:rPr>
          <w:color w:val="231F20"/>
          <w:spacing w:val="-9"/>
        </w:rPr>
        <w:t> </w:t>
      </w:r>
      <w:r>
        <w:rPr>
          <w:color w:val="231F20"/>
        </w:rPr>
        <w:t>A</w:t>
      </w:r>
      <w:r>
        <w:rPr>
          <w:color w:val="231F20"/>
          <w:spacing w:val="-9"/>
        </w:rPr>
        <w:t> </w:t>
      </w:r>
      <w:r>
        <w:rPr>
          <w:color w:val="231F20"/>
          <w:spacing w:val="2"/>
        </w:rPr>
        <w:t>(alto)</w:t>
      </w:r>
      <w:r>
        <w:rPr>
          <w:color w:val="231F20"/>
          <w:spacing w:val="-10"/>
        </w:rPr>
        <w:t> </w:t>
      </w:r>
      <w:r>
        <w:rPr>
          <w:color w:val="231F20"/>
        </w:rPr>
        <w:t>R</w:t>
      </w:r>
      <w:r>
        <w:rPr>
          <w:color w:val="231F20"/>
          <w:spacing w:val="-9"/>
        </w:rPr>
        <w:t> </w:t>
      </w:r>
      <w:r>
        <w:rPr>
          <w:color w:val="231F20"/>
          <w:spacing w:val="2"/>
        </w:rPr>
        <w:t>(regular),</w:t>
      </w:r>
      <w:r>
        <w:rPr>
          <w:color w:val="231F20"/>
          <w:spacing w:val="-10"/>
        </w:rPr>
        <w:t> </w:t>
      </w:r>
      <w:r>
        <w:rPr>
          <w:color w:val="231F20"/>
        </w:rPr>
        <w:t>B</w:t>
      </w:r>
      <w:r>
        <w:rPr>
          <w:color w:val="231F20"/>
          <w:spacing w:val="-9"/>
        </w:rPr>
        <w:t> </w:t>
      </w:r>
      <w:r>
        <w:rPr>
          <w:color w:val="231F20"/>
          <w:spacing w:val="2"/>
        </w:rPr>
        <w:t>(bajo).</w:t>
      </w:r>
    </w:p>
    <w:p>
      <w:pPr>
        <w:pStyle w:val="BodyText"/>
        <w:spacing w:before="3"/>
        <w:rPr>
          <w:sz w:val="23"/>
        </w:rPr>
      </w:pPr>
    </w:p>
    <w:p>
      <w:pPr>
        <w:spacing w:line="273" w:lineRule="auto" w:before="0"/>
        <w:ind w:left="857" w:right="751" w:firstLine="0"/>
        <w:jc w:val="center"/>
        <w:rPr>
          <w:b/>
          <w:sz w:val="19"/>
        </w:rPr>
      </w:pPr>
      <w:r>
        <w:rPr>
          <w:b/>
          <w:color w:val="231F20"/>
          <w:sz w:val="19"/>
        </w:rPr>
        <w:t>Cuadro 10. Tipos de violencia y actos violentos sufridos   y grupos o personas </w:t>
      </w:r>
      <w:r>
        <w:rPr>
          <w:b/>
          <w:color w:val="231F20"/>
          <w:spacing w:val="35"/>
          <w:sz w:val="19"/>
        </w:rPr>
        <w:t> </w:t>
      </w:r>
      <w:r>
        <w:rPr>
          <w:b/>
          <w:color w:val="231F20"/>
          <w:sz w:val="19"/>
        </w:rPr>
        <w:t>agresoras</w:t>
      </w:r>
    </w:p>
    <w:p>
      <w:pPr>
        <w:pStyle w:val="BodyText"/>
        <w:spacing w:before="1" w:after="1"/>
        <w:rPr>
          <w:b/>
          <w:sz w:val="20"/>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70"/>
        <w:gridCol w:w="850"/>
        <w:gridCol w:w="912"/>
        <w:gridCol w:w="542"/>
        <w:gridCol w:w="907"/>
        <w:gridCol w:w="912"/>
      </w:tblGrid>
      <w:tr>
        <w:trPr>
          <w:trHeight w:val="662" w:hRule="exact"/>
        </w:trPr>
        <w:tc>
          <w:tcPr>
            <w:tcW w:w="1670" w:type="dxa"/>
          </w:tcPr>
          <w:p>
            <w:pPr>
              <w:pStyle w:val="TableParagraph"/>
              <w:spacing w:line="158" w:lineRule="exact" w:before="89"/>
              <w:ind w:left="127" w:right="123"/>
              <w:jc w:val="center"/>
              <w:rPr>
                <w:b/>
                <w:sz w:val="16"/>
              </w:rPr>
            </w:pPr>
            <w:r>
              <w:rPr>
                <w:b/>
                <w:color w:val="231F20"/>
                <w:w w:val="90"/>
                <w:sz w:val="16"/>
              </w:rPr>
              <w:t>Sujetos agresores del </w:t>
            </w:r>
            <w:r>
              <w:rPr>
                <w:b/>
                <w:color w:val="231F20"/>
                <w:sz w:val="16"/>
              </w:rPr>
              <w:t>estudiante o a su familia</w:t>
            </w:r>
          </w:p>
        </w:tc>
        <w:tc>
          <w:tcPr>
            <w:tcW w:w="850" w:type="dxa"/>
          </w:tcPr>
          <w:p>
            <w:pPr>
              <w:pStyle w:val="TableParagraph"/>
              <w:ind w:left="0"/>
              <w:rPr>
                <w:b/>
                <w:sz w:val="22"/>
              </w:rPr>
            </w:pPr>
          </w:p>
          <w:p>
            <w:pPr>
              <w:pStyle w:val="TableParagraph"/>
              <w:spacing w:before="1"/>
              <w:ind w:left="95" w:right="97"/>
              <w:jc w:val="center"/>
              <w:rPr>
                <w:b/>
                <w:sz w:val="16"/>
              </w:rPr>
            </w:pPr>
            <w:r>
              <w:rPr>
                <w:b/>
                <w:color w:val="231F20"/>
                <w:w w:val="90"/>
                <w:sz w:val="16"/>
              </w:rPr>
              <w:t>Femenino</w:t>
            </w:r>
          </w:p>
        </w:tc>
        <w:tc>
          <w:tcPr>
            <w:tcW w:w="912" w:type="dxa"/>
          </w:tcPr>
          <w:p>
            <w:pPr>
              <w:pStyle w:val="TableParagraph"/>
              <w:spacing w:before="6"/>
              <w:ind w:left="0"/>
              <w:rPr>
                <w:b/>
                <w:sz w:val="19"/>
              </w:rPr>
            </w:pPr>
          </w:p>
          <w:p>
            <w:pPr>
              <w:pStyle w:val="TableParagraph"/>
              <w:ind w:left="73" w:right="77"/>
              <w:jc w:val="center"/>
              <w:rPr>
                <w:b/>
                <w:sz w:val="16"/>
              </w:rPr>
            </w:pPr>
            <w:r>
              <w:rPr>
                <w:b/>
                <w:color w:val="231F20"/>
                <w:sz w:val="16"/>
              </w:rPr>
              <w:t>Masculino</w:t>
            </w:r>
          </w:p>
        </w:tc>
        <w:tc>
          <w:tcPr>
            <w:tcW w:w="542" w:type="dxa"/>
          </w:tcPr>
          <w:p>
            <w:pPr>
              <w:pStyle w:val="TableParagraph"/>
              <w:ind w:left="0"/>
              <w:rPr>
                <w:b/>
                <w:sz w:val="22"/>
              </w:rPr>
            </w:pPr>
          </w:p>
          <w:p>
            <w:pPr>
              <w:pStyle w:val="TableParagraph"/>
              <w:spacing w:before="1"/>
              <w:ind w:left="0" w:right="105"/>
              <w:jc w:val="right"/>
              <w:rPr>
                <w:b/>
                <w:sz w:val="16"/>
              </w:rPr>
            </w:pPr>
            <w:r>
              <w:rPr>
                <w:b/>
                <w:color w:val="231F20"/>
                <w:w w:val="85"/>
                <w:sz w:val="16"/>
              </w:rPr>
              <w:t>Total</w:t>
            </w:r>
          </w:p>
        </w:tc>
        <w:tc>
          <w:tcPr>
            <w:tcW w:w="907" w:type="dxa"/>
          </w:tcPr>
          <w:p>
            <w:pPr>
              <w:pStyle w:val="TableParagraph"/>
              <w:ind w:left="0"/>
              <w:rPr>
                <w:b/>
                <w:sz w:val="14"/>
              </w:rPr>
            </w:pPr>
          </w:p>
          <w:p>
            <w:pPr>
              <w:pStyle w:val="TableParagraph"/>
              <w:spacing w:line="164" w:lineRule="exact"/>
              <w:ind w:left="111" w:right="90" w:firstLine="20"/>
              <w:rPr>
                <w:b/>
                <w:sz w:val="16"/>
              </w:rPr>
            </w:pPr>
            <w:r>
              <w:rPr>
                <w:b/>
                <w:color w:val="231F20"/>
                <w:w w:val="90"/>
                <w:sz w:val="16"/>
              </w:rPr>
              <w:t>Diferencia entre sexos</w:t>
            </w:r>
          </w:p>
        </w:tc>
        <w:tc>
          <w:tcPr>
            <w:tcW w:w="912" w:type="dxa"/>
          </w:tcPr>
          <w:p>
            <w:pPr>
              <w:pStyle w:val="TableParagraph"/>
              <w:spacing w:line="158" w:lineRule="exact" w:before="89"/>
              <w:ind w:left="180" w:right="178" w:firstLine="13"/>
              <w:jc w:val="both"/>
              <w:rPr>
                <w:b/>
                <w:sz w:val="16"/>
              </w:rPr>
            </w:pPr>
            <w:r>
              <w:rPr>
                <w:b/>
                <w:color w:val="231F20"/>
                <w:w w:val="95"/>
                <w:sz w:val="16"/>
              </w:rPr>
              <w:t>Nivel de </w:t>
            </w:r>
            <w:r>
              <w:rPr>
                <w:b/>
                <w:color w:val="231F20"/>
                <w:w w:val="85"/>
                <w:sz w:val="16"/>
              </w:rPr>
              <w:t>violencia </w:t>
            </w:r>
            <w:r>
              <w:rPr>
                <w:b/>
                <w:color w:val="231F20"/>
                <w:sz w:val="16"/>
              </w:rPr>
              <w:t>general</w:t>
            </w:r>
          </w:p>
        </w:tc>
      </w:tr>
      <w:tr>
        <w:trPr>
          <w:trHeight w:val="413" w:hRule="exact"/>
        </w:trPr>
        <w:tc>
          <w:tcPr>
            <w:tcW w:w="1670" w:type="dxa"/>
          </w:tcPr>
          <w:p>
            <w:pPr>
              <w:pStyle w:val="TableParagraph"/>
              <w:spacing w:before="95"/>
              <w:ind w:left="124" w:right="123"/>
              <w:jc w:val="center"/>
              <w:rPr>
                <w:sz w:val="17"/>
              </w:rPr>
            </w:pPr>
            <w:r>
              <w:rPr>
                <w:color w:val="231F20"/>
                <w:sz w:val="17"/>
              </w:rPr>
              <w:t>Vecinos</w:t>
            </w:r>
          </w:p>
        </w:tc>
        <w:tc>
          <w:tcPr>
            <w:tcW w:w="850" w:type="dxa"/>
          </w:tcPr>
          <w:p>
            <w:pPr>
              <w:pStyle w:val="TableParagraph"/>
              <w:spacing w:before="95"/>
              <w:ind w:left="94" w:right="97"/>
              <w:jc w:val="center"/>
              <w:rPr>
                <w:sz w:val="17"/>
              </w:rPr>
            </w:pPr>
            <w:r>
              <w:rPr>
                <w:color w:val="231F20"/>
                <w:sz w:val="17"/>
              </w:rPr>
              <w:t>27.5%</w:t>
            </w:r>
          </w:p>
        </w:tc>
        <w:tc>
          <w:tcPr>
            <w:tcW w:w="912" w:type="dxa"/>
          </w:tcPr>
          <w:p>
            <w:pPr>
              <w:pStyle w:val="TableParagraph"/>
              <w:spacing w:before="95"/>
              <w:ind w:left="73" w:right="77"/>
              <w:jc w:val="center"/>
              <w:rPr>
                <w:sz w:val="17"/>
              </w:rPr>
            </w:pPr>
            <w:r>
              <w:rPr>
                <w:color w:val="231F20"/>
                <w:sz w:val="17"/>
              </w:rPr>
              <w:t>40.1%</w:t>
            </w:r>
          </w:p>
        </w:tc>
        <w:tc>
          <w:tcPr>
            <w:tcW w:w="542" w:type="dxa"/>
          </w:tcPr>
          <w:p>
            <w:pPr>
              <w:pStyle w:val="TableParagraph"/>
              <w:spacing w:line="190" w:lineRule="exact"/>
              <w:ind w:left="104" w:right="105"/>
              <w:jc w:val="center"/>
              <w:rPr>
                <w:sz w:val="17"/>
              </w:rPr>
            </w:pPr>
            <w:r>
              <w:rPr>
                <w:color w:val="231F20"/>
                <w:w w:val="95"/>
                <w:sz w:val="17"/>
              </w:rPr>
              <w:t>33.7</w:t>
            </w:r>
          </w:p>
          <w:p>
            <w:pPr>
              <w:pStyle w:val="TableParagraph"/>
              <w:spacing w:before="6"/>
              <w:ind w:left="0" w:right="1"/>
              <w:jc w:val="center"/>
              <w:rPr>
                <w:sz w:val="17"/>
              </w:rPr>
            </w:pPr>
            <w:r>
              <w:rPr>
                <w:color w:val="231F20"/>
                <w:w w:val="92"/>
                <w:sz w:val="17"/>
              </w:rPr>
              <w:t>%</w:t>
            </w:r>
          </w:p>
        </w:tc>
        <w:tc>
          <w:tcPr>
            <w:tcW w:w="907" w:type="dxa"/>
          </w:tcPr>
          <w:p>
            <w:pPr>
              <w:pStyle w:val="TableParagraph"/>
              <w:spacing w:before="95"/>
              <w:ind w:left="259" w:right="254"/>
              <w:jc w:val="center"/>
              <w:rPr>
                <w:sz w:val="17"/>
              </w:rPr>
            </w:pPr>
            <w:r>
              <w:rPr>
                <w:color w:val="231F20"/>
                <w:sz w:val="17"/>
              </w:rPr>
              <w:t>M&gt;F</w:t>
            </w:r>
          </w:p>
        </w:tc>
        <w:tc>
          <w:tcPr>
            <w:tcW w:w="912" w:type="dxa"/>
          </w:tcPr>
          <w:p>
            <w:pPr>
              <w:pStyle w:val="TableParagraph"/>
              <w:spacing w:before="95"/>
              <w:ind w:left="0"/>
              <w:jc w:val="center"/>
              <w:rPr>
                <w:sz w:val="17"/>
              </w:rPr>
            </w:pPr>
            <w:r>
              <w:rPr>
                <w:color w:val="231F20"/>
                <w:w w:val="88"/>
                <w:sz w:val="17"/>
              </w:rPr>
              <w:t>A</w:t>
            </w:r>
          </w:p>
        </w:tc>
      </w:tr>
      <w:tr>
        <w:trPr>
          <w:trHeight w:val="418" w:hRule="exact"/>
        </w:trPr>
        <w:tc>
          <w:tcPr>
            <w:tcW w:w="1670" w:type="dxa"/>
          </w:tcPr>
          <w:p>
            <w:pPr>
              <w:pStyle w:val="TableParagraph"/>
              <w:spacing w:before="95"/>
              <w:ind w:left="124" w:right="123"/>
              <w:jc w:val="center"/>
              <w:rPr>
                <w:sz w:val="17"/>
              </w:rPr>
            </w:pPr>
            <w:r>
              <w:rPr>
                <w:color w:val="231F20"/>
                <w:w w:val="90"/>
                <w:sz w:val="17"/>
              </w:rPr>
              <w:t>Banda o pandilla</w:t>
            </w:r>
          </w:p>
        </w:tc>
        <w:tc>
          <w:tcPr>
            <w:tcW w:w="850" w:type="dxa"/>
          </w:tcPr>
          <w:p>
            <w:pPr>
              <w:pStyle w:val="TableParagraph"/>
              <w:spacing w:before="95"/>
              <w:ind w:left="94" w:right="97"/>
              <w:jc w:val="center"/>
              <w:rPr>
                <w:sz w:val="17"/>
              </w:rPr>
            </w:pPr>
            <w:r>
              <w:rPr>
                <w:color w:val="231F20"/>
                <w:sz w:val="17"/>
              </w:rPr>
              <w:t>11.7%</w:t>
            </w:r>
          </w:p>
        </w:tc>
        <w:tc>
          <w:tcPr>
            <w:tcW w:w="912" w:type="dxa"/>
          </w:tcPr>
          <w:p>
            <w:pPr>
              <w:pStyle w:val="TableParagraph"/>
              <w:spacing w:before="95"/>
              <w:ind w:left="73" w:right="77"/>
              <w:jc w:val="center"/>
              <w:rPr>
                <w:sz w:val="17"/>
              </w:rPr>
            </w:pPr>
            <w:r>
              <w:rPr>
                <w:color w:val="231F20"/>
                <w:sz w:val="17"/>
              </w:rPr>
              <w:t>14,5%</w:t>
            </w:r>
          </w:p>
        </w:tc>
        <w:tc>
          <w:tcPr>
            <w:tcW w:w="542" w:type="dxa"/>
          </w:tcPr>
          <w:p>
            <w:pPr>
              <w:pStyle w:val="TableParagraph"/>
              <w:spacing w:line="190" w:lineRule="exact"/>
              <w:ind w:left="104" w:right="105"/>
              <w:jc w:val="center"/>
              <w:rPr>
                <w:sz w:val="17"/>
              </w:rPr>
            </w:pPr>
            <w:r>
              <w:rPr>
                <w:color w:val="231F20"/>
                <w:w w:val="95"/>
                <w:sz w:val="17"/>
              </w:rPr>
              <w:t>13.1</w:t>
            </w:r>
          </w:p>
          <w:p>
            <w:pPr>
              <w:pStyle w:val="TableParagraph"/>
              <w:spacing w:before="6"/>
              <w:ind w:left="0" w:right="1"/>
              <w:jc w:val="center"/>
              <w:rPr>
                <w:sz w:val="17"/>
              </w:rPr>
            </w:pPr>
            <w:r>
              <w:rPr>
                <w:color w:val="231F20"/>
                <w:w w:val="92"/>
                <w:sz w:val="17"/>
              </w:rPr>
              <w:t>%</w:t>
            </w:r>
          </w:p>
        </w:tc>
        <w:tc>
          <w:tcPr>
            <w:tcW w:w="907" w:type="dxa"/>
          </w:tcPr>
          <w:p>
            <w:pPr>
              <w:pStyle w:val="TableParagraph"/>
              <w:spacing w:before="95"/>
              <w:ind w:left="3"/>
              <w:jc w:val="center"/>
              <w:rPr>
                <w:sz w:val="17"/>
              </w:rPr>
            </w:pPr>
            <w:r>
              <w:rPr>
                <w:color w:val="231F20"/>
                <w:w w:val="111"/>
                <w:sz w:val="17"/>
              </w:rPr>
              <w:t>=</w:t>
            </w:r>
          </w:p>
        </w:tc>
        <w:tc>
          <w:tcPr>
            <w:tcW w:w="912" w:type="dxa"/>
          </w:tcPr>
          <w:p>
            <w:pPr>
              <w:pStyle w:val="TableParagraph"/>
              <w:spacing w:before="95"/>
              <w:ind w:left="0"/>
              <w:jc w:val="center"/>
              <w:rPr>
                <w:sz w:val="17"/>
              </w:rPr>
            </w:pPr>
            <w:r>
              <w:rPr>
                <w:color w:val="231F20"/>
                <w:w w:val="88"/>
                <w:sz w:val="17"/>
              </w:rPr>
              <w:t>R</w:t>
            </w:r>
          </w:p>
        </w:tc>
      </w:tr>
      <w:tr>
        <w:trPr>
          <w:trHeight w:val="216" w:hRule="exact"/>
        </w:trPr>
        <w:tc>
          <w:tcPr>
            <w:tcW w:w="1670" w:type="dxa"/>
          </w:tcPr>
          <w:p>
            <w:pPr>
              <w:pStyle w:val="TableParagraph"/>
              <w:spacing w:line="190" w:lineRule="exact"/>
              <w:ind w:left="124" w:right="123"/>
              <w:jc w:val="center"/>
              <w:rPr>
                <w:sz w:val="17"/>
              </w:rPr>
            </w:pPr>
            <w:r>
              <w:rPr>
                <w:color w:val="231F20"/>
                <w:w w:val="90"/>
                <w:sz w:val="17"/>
              </w:rPr>
              <w:t>Líder vecinal</w:t>
            </w:r>
          </w:p>
        </w:tc>
        <w:tc>
          <w:tcPr>
            <w:tcW w:w="850" w:type="dxa"/>
          </w:tcPr>
          <w:p>
            <w:pPr>
              <w:pStyle w:val="TableParagraph"/>
              <w:spacing w:line="190" w:lineRule="exact"/>
              <w:ind w:left="94" w:right="97"/>
              <w:jc w:val="center"/>
              <w:rPr>
                <w:sz w:val="17"/>
              </w:rPr>
            </w:pPr>
            <w:r>
              <w:rPr>
                <w:color w:val="231F20"/>
                <w:sz w:val="17"/>
              </w:rPr>
              <w:t>4.3%</w:t>
            </w:r>
          </w:p>
        </w:tc>
        <w:tc>
          <w:tcPr>
            <w:tcW w:w="912" w:type="dxa"/>
          </w:tcPr>
          <w:p>
            <w:pPr>
              <w:pStyle w:val="TableParagraph"/>
              <w:spacing w:line="190" w:lineRule="exact"/>
              <w:ind w:left="73" w:right="77"/>
              <w:jc w:val="center"/>
              <w:rPr>
                <w:sz w:val="17"/>
              </w:rPr>
            </w:pPr>
            <w:r>
              <w:rPr>
                <w:color w:val="231F20"/>
                <w:sz w:val="17"/>
              </w:rPr>
              <w:t>11.1%</w:t>
            </w:r>
          </w:p>
        </w:tc>
        <w:tc>
          <w:tcPr>
            <w:tcW w:w="542" w:type="dxa"/>
          </w:tcPr>
          <w:p>
            <w:pPr>
              <w:pStyle w:val="TableParagraph"/>
              <w:spacing w:line="190" w:lineRule="exact"/>
              <w:ind w:left="0" w:right="106"/>
              <w:jc w:val="right"/>
              <w:rPr>
                <w:sz w:val="17"/>
              </w:rPr>
            </w:pPr>
            <w:r>
              <w:rPr>
                <w:color w:val="231F20"/>
                <w:w w:val="90"/>
                <w:sz w:val="17"/>
              </w:rPr>
              <w:t>7.7%</w:t>
            </w:r>
          </w:p>
        </w:tc>
        <w:tc>
          <w:tcPr>
            <w:tcW w:w="907" w:type="dxa"/>
          </w:tcPr>
          <w:p>
            <w:pPr>
              <w:pStyle w:val="TableParagraph"/>
              <w:spacing w:line="190" w:lineRule="exact"/>
              <w:ind w:left="259" w:right="254"/>
              <w:jc w:val="center"/>
              <w:rPr>
                <w:sz w:val="17"/>
              </w:rPr>
            </w:pPr>
            <w:r>
              <w:rPr>
                <w:color w:val="231F20"/>
                <w:sz w:val="17"/>
              </w:rPr>
              <w:t>M&gt;F</w:t>
            </w:r>
          </w:p>
        </w:tc>
        <w:tc>
          <w:tcPr>
            <w:tcW w:w="912" w:type="dxa"/>
          </w:tcPr>
          <w:p>
            <w:pPr>
              <w:pStyle w:val="TableParagraph"/>
              <w:spacing w:line="190" w:lineRule="exact"/>
              <w:ind w:left="0"/>
              <w:jc w:val="center"/>
              <w:rPr>
                <w:sz w:val="17"/>
              </w:rPr>
            </w:pPr>
            <w:r>
              <w:rPr>
                <w:color w:val="231F20"/>
                <w:w w:val="86"/>
                <w:sz w:val="17"/>
              </w:rPr>
              <w:t>B</w:t>
            </w:r>
          </w:p>
        </w:tc>
      </w:tr>
      <w:tr>
        <w:trPr>
          <w:trHeight w:val="413" w:hRule="exact"/>
        </w:trPr>
        <w:tc>
          <w:tcPr>
            <w:tcW w:w="1670" w:type="dxa"/>
          </w:tcPr>
          <w:p>
            <w:pPr>
              <w:pStyle w:val="TableParagraph"/>
              <w:spacing w:before="95"/>
              <w:ind w:left="124" w:right="123"/>
              <w:jc w:val="center"/>
              <w:rPr>
                <w:sz w:val="17"/>
              </w:rPr>
            </w:pPr>
            <w:r>
              <w:rPr>
                <w:color w:val="231F20"/>
                <w:sz w:val="17"/>
              </w:rPr>
              <w:t>Delincuente</w:t>
            </w:r>
          </w:p>
        </w:tc>
        <w:tc>
          <w:tcPr>
            <w:tcW w:w="850" w:type="dxa"/>
          </w:tcPr>
          <w:p>
            <w:pPr>
              <w:pStyle w:val="TableParagraph"/>
              <w:spacing w:before="95"/>
              <w:ind w:left="94" w:right="97"/>
              <w:jc w:val="center"/>
              <w:rPr>
                <w:sz w:val="17"/>
              </w:rPr>
            </w:pPr>
            <w:r>
              <w:rPr>
                <w:color w:val="231F20"/>
                <w:sz w:val="17"/>
              </w:rPr>
              <w:t>19.2%</w:t>
            </w:r>
          </w:p>
        </w:tc>
        <w:tc>
          <w:tcPr>
            <w:tcW w:w="912" w:type="dxa"/>
          </w:tcPr>
          <w:p>
            <w:pPr>
              <w:pStyle w:val="TableParagraph"/>
              <w:spacing w:before="95"/>
              <w:ind w:left="73" w:right="77"/>
              <w:jc w:val="center"/>
              <w:rPr>
                <w:sz w:val="17"/>
              </w:rPr>
            </w:pPr>
            <w:r>
              <w:rPr>
                <w:color w:val="231F20"/>
                <w:sz w:val="17"/>
              </w:rPr>
              <w:t>16.2%</w:t>
            </w:r>
          </w:p>
        </w:tc>
        <w:tc>
          <w:tcPr>
            <w:tcW w:w="542" w:type="dxa"/>
          </w:tcPr>
          <w:p>
            <w:pPr>
              <w:pStyle w:val="TableParagraph"/>
              <w:spacing w:line="190" w:lineRule="exact"/>
              <w:ind w:left="104" w:right="105"/>
              <w:jc w:val="center"/>
              <w:rPr>
                <w:sz w:val="17"/>
              </w:rPr>
            </w:pPr>
            <w:r>
              <w:rPr>
                <w:color w:val="231F20"/>
                <w:w w:val="95"/>
                <w:sz w:val="17"/>
              </w:rPr>
              <w:t>17.7</w:t>
            </w:r>
          </w:p>
          <w:p>
            <w:pPr>
              <w:pStyle w:val="TableParagraph"/>
              <w:spacing w:before="6"/>
              <w:ind w:left="0" w:right="1"/>
              <w:jc w:val="center"/>
              <w:rPr>
                <w:sz w:val="17"/>
              </w:rPr>
            </w:pPr>
            <w:r>
              <w:rPr>
                <w:color w:val="231F20"/>
                <w:w w:val="92"/>
                <w:sz w:val="17"/>
              </w:rPr>
              <w:t>%</w:t>
            </w:r>
          </w:p>
        </w:tc>
        <w:tc>
          <w:tcPr>
            <w:tcW w:w="907" w:type="dxa"/>
          </w:tcPr>
          <w:p>
            <w:pPr>
              <w:pStyle w:val="TableParagraph"/>
              <w:spacing w:before="95"/>
              <w:ind w:left="3"/>
              <w:jc w:val="center"/>
              <w:rPr>
                <w:sz w:val="17"/>
              </w:rPr>
            </w:pPr>
            <w:r>
              <w:rPr>
                <w:color w:val="231F20"/>
                <w:w w:val="111"/>
                <w:sz w:val="17"/>
              </w:rPr>
              <w:t>=</w:t>
            </w:r>
          </w:p>
        </w:tc>
        <w:tc>
          <w:tcPr>
            <w:tcW w:w="912" w:type="dxa"/>
          </w:tcPr>
          <w:p>
            <w:pPr>
              <w:pStyle w:val="TableParagraph"/>
              <w:spacing w:before="95"/>
              <w:ind w:left="0"/>
              <w:jc w:val="center"/>
              <w:rPr>
                <w:sz w:val="17"/>
              </w:rPr>
            </w:pPr>
            <w:r>
              <w:rPr>
                <w:color w:val="231F20"/>
                <w:w w:val="88"/>
                <w:sz w:val="17"/>
              </w:rPr>
              <w:t>A</w:t>
            </w:r>
          </w:p>
        </w:tc>
      </w:tr>
      <w:tr>
        <w:trPr>
          <w:trHeight w:val="566" w:hRule="exact"/>
        </w:trPr>
        <w:tc>
          <w:tcPr>
            <w:tcW w:w="1670" w:type="dxa"/>
          </w:tcPr>
          <w:p>
            <w:pPr>
              <w:pStyle w:val="TableParagraph"/>
              <w:spacing w:line="235" w:lineRule="auto"/>
              <w:ind w:left="127" w:right="123"/>
              <w:jc w:val="center"/>
              <w:rPr>
                <w:b/>
                <w:sz w:val="16"/>
              </w:rPr>
            </w:pPr>
            <w:r>
              <w:rPr>
                <w:b/>
                <w:color w:val="231F20"/>
                <w:sz w:val="16"/>
              </w:rPr>
              <w:t>Actos de violencia </w:t>
            </w:r>
            <w:r>
              <w:rPr>
                <w:b/>
                <w:color w:val="231F20"/>
                <w:w w:val="90"/>
                <w:sz w:val="16"/>
              </w:rPr>
              <w:t>sufridos por el alumno </w:t>
            </w:r>
            <w:r>
              <w:rPr>
                <w:b/>
                <w:color w:val="231F20"/>
                <w:w w:val="95"/>
                <w:sz w:val="16"/>
              </w:rPr>
              <w:t>o su familia</w:t>
            </w:r>
          </w:p>
        </w:tc>
        <w:tc>
          <w:tcPr>
            <w:tcW w:w="850" w:type="dxa"/>
          </w:tcPr>
          <w:p>
            <w:pPr/>
          </w:p>
        </w:tc>
        <w:tc>
          <w:tcPr>
            <w:tcW w:w="912" w:type="dxa"/>
          </w:tcPr>
          <w:p>
            <w:pPr/>
          </w:p>
        </w:tc>
        <w:tc>
          <w:tcPr>
            <w:tcW w:w="542" w:type="dxa"/>
          </w:tcPr>
          <w:p>
            <w:pPr/>
          </w:p>
        </w:tc>
        <w:tc>
          <w:tcPr>
            <w:tcW w:w="907" w:type="dxa"/>
          </w:tcPr>
          <w:p>
            <w:pPr/>
          </w:p>
        </w:tc>
        <w:tc>
          <w:tcPr>
            <w:tcW w:w="912" w:type="dxa"/>
          </w:tcPr>
          <w:p>
            <w:pPr/>
          </w:p>
        </w:tc>
      </w:tr>
      <w:tr>
        <w:trPr>
          <w:trHeight w:val="413" w:hRule="exact"/>
        </w:trPr>
        <w:tc>
          <w:tcPr>
            <w:tcW w:w="1670" w:type="dxa"/>
          </w:tcPr>
          <w:p>
            <w:pPr>
              <w:pStyle w:val="TableParagraph"/>
              <w:spacing w:before="95"/>
              <w:ind w:left="124" w:right="123"/>
              <w:jc w:val="center"/>
              <w:rPr>
                <w:sz w:val="17"/>
              </w:rPr>
            </w:pPr>
            <w:r>
              <w:rPr>
                <w:color w:val="231F20"/>
                <w:sz w:val="17"/>
              </w:rPr>
              <w:t>Golpes</w:t>
            </w:r>
          </w:p>
        </w:tc>
        <w:tc>
          <w:tcPr>
            <w:tcW w:w="850" w:type="dxa"/>
          </w:tcPr>
          <w:p>
            <w:pPr>
              <w:pStyle w:val="TableParagraph"/>
              <w:spacing w:before="95"/>
              <w:ind w:left="94" w:right="97"/>
              <w:jc w:val="center"/>
              <w:rPr>
                <w:sz w:val="17"/>
              </w:rPr>
            </w:pPr>
            <w:r>
              <w:rPr>
                <w:color w:val="231F20"/>
                <w:sz w:val="17"/>
              </w:rPr>
              <w:t>21.8%</w:t>
            </w:r>
          </w:p>
        </w:tc>
        <w:tc>
          <w:tcPr>
            <w:tcW w:w="912" w:type="dxa"/>
          </w:tcPr>
          <w:p>
            <w:pPr>
              <w:pStyle w:val="TableParagraph"/>
              <w:spacing w:before="95"/>
              <w:ind w:left="73" w:right="77"/>
              <w:jc w:val="center"/>
              <w:rPr>
                <w:sz w:val="17"/>
              </w:rPr>
            </w:pPr>
            <w:r>
              <w:rPr>
                <w:color w:val="231F20"/>
                <w:sz w:val="17"/>
              </w:rPr>
              <w:t>30.7%</w:t>
            </w:r>
          </w:p>
        </w:tc>
        <w:tc>
          <w:tcPr>
            <w:tcW w:w="542" w:type="dxa"/>
          </w:tcPr>
          <w:p>
            <w:pPr>
              <w:pStyle w:val="TableParagraph"/>
              <w:spacing w:line="190" w:lineRule="exact"/>
              <w:ind w:left="104" w:right="105"/>
              <w:jc w:val="center"/>
              <w:rPr>
                <w:sz w:val="17"/>
              </w:rPr>
            </w:pPr>
            <w:r>
              <w:rPr>
                <w:color w:val="231F20"/>
                <w:w w:val="95"/>
                <w:sz w:val="17"/>
              </w:rPr>
              <w:t>26.2</w:t>
            </w:r>
          </w:p>
          <w:p>
            <w:pPr>
              <w:pStyle w:val="TableParagraph"/>
              <w:spacing w:before="6"/>
              <w:ind w:left="0" w:right="1"/>
              <w:jc w:val="center"/>
              <w:rPr>
                <w:sz w:val="17"/>
              </w:rPr>
            </w:pPr>
            <w:r>
              <w:rPr>
                <w:color w:val="231F20"/>
                <w:w w:val="92"/>
                <w:sz w:val="17"/>
              </w:rPr>
              <w:t>%</w:t>
            </w:r>
          </w:p>
        </w:tc>
        <w:tc>
          <w:tcPr>
            <w:tcW w:w="907" w:type="dxa"/>
          </w:tcPr>
          <w:p>
            <w:pPr>
              <w:pStyle w:val="TableParagraph"/>
              <w:spacing w:before="95"/>
              <w:ind w:left="259" w:right="254"/>
              <w:jc w:val="center"/>
              <w:rPr>
                <w:sz w:val="17"/>
              </w:rPr>
            </w:pPr>
            <w:r>
              <w:rPr>
                <w:color w:val="231F20"/>
                <w:sz w:val="17"/>
              </w:rPr>
              <w:t>M&gt;F</w:t>
            </w:r>
          </w:p>
        </w:tc>
        <w:tc>
          <w:tcPr>
            <w:tcW w:w="912" w:type="dxa"/>
          </w:tcPr>
          <w:p>
            <w:pPr>
              <w:pStyle w:val="TableParagraph"/>
              <w:spacing w:before="95"/>
              <w:ind w:left="0"/>
              <w:jc w:val="center"/>
              <w:rPr>
                <w:sz w:val="17"/>
              </w:rPr>
            </w:pPr>
            <w:r>
              <w:rPr>
                <w:color w:val="231F20"/>
                <w:w w:val="88"/>
                <w:sz w:val="17"/>
              </w:rPr>
              <w:t>A</w:t>
            </w:r>
          </w:p>
        </w:tc>
      </w:tr>
      <w:tr>
        <w:trPr>
          <w:trHeight w:val="418" w:hRule="exact"/>
        </w:trPr>
        <w:tc>
          <w:tcPr>
            <w:tcW w:w="1670" w:type="dxa"/>
          </w:tcPr>
          <w:p>
            <w:pPr>
              <w:pStyle w:val="TableParagraph"/>
              <w:spacing w:before="95"/>
              <w:ind w:left="124" w:right="123"/>
              <w:jc w:val="center"/>
              <w:rPr>
                <w:sz w:val="17"/>
              </w:rPr>
            </w:pPr>
            <w:r>
              <w:rPr>
                <w:color w:val="231F20"/>
                <w:sz w:val="17"/>
              </w:rPr>
              <w:t>Injurias</w:t>
            </w:r>
          </w:p>
        </w:tc>
        <w:tc>
          <w:tcPr>
            <w:tcW w:w="850" w:type="dxa"/>
          </w:tcPr>
          <w:p>
            <w:pPr>
              <w:pStyle w:val="TableParagraph"/>
              <w:spacing w:before="95"/>
              <w:ind w:left="94" w:right="97"/>
              <w:jc w:val="center"/>
              <w:rPr>
                <w:sz w:val="17"/>
              </w:rPr>
            </w:pPr>
            <w:r>
              <w:rPr>
                <w:color w:val="231F20"/>
                <w:sz w:val="17"/>
              </w:rPr>
              <w:t>15.2%</w:t>
            </w:r>
          </w:p>
        </w:tc>
        <w:tc>
          <w:tcPr>
            <w:tcW w:w="912" w:type="dxa"/>
          </w:tcPr>
          <w:p>
            <w:pPr>
              <w:pStyle w:val="TableParagraph"/>
              <w:spacing w:before="95"/>
              <w:ind w:left="73" w:right="77"/>
              <w:jc w:val="center"/>
              <w:rPr>
                <w:sz w:val="17"/>
              </w:rPr>
            </w:pPr>
            <w:r>
              <w:rPr>
                <w:color w:val="231F20"/>
                <w:sz w:val="17"/>
              </w:rPr>
              <w:t>16.8%</w:t>
            </w:r>
          </w:p>
        </w:tc>
        <w:tc>
          <w:tcPr>
            <w:tcW w:w="542" w:type="dxa"/>
          </w:tcPr>
          <w:p>
            <w:pPr>
              <w:pStyle w:val="TableParagraph"/>
              <w:spacing w:line="190" w:lineRule="exact"/>
              <w:ind w:left="104" w:right="105"/>
              <w:jc w:val="center"/>
              <w:rPr>
                <w:sz w:val="17"/>
              </w:rPr>
            </w:pPr>
            <w:r>
              <w:rPr>
                <w:color w:val="231F20"/>
                <w:w w:val="95"/>
                <w:sz w:val="17"/>
              </w:rPr>
              <w:t>16.0</w:t>
            </w:r>
          </w:p>
          <w:p>
            <w:pPr>
              <w:pStyle w:val="TableParagraph"/>
              <w:spacing w:before="11"/>
              <w:ind w:left="0" w:right="1"/>
              <w:jc w:val="center"/>
              <w:rPr>
                <w:sz w:val="17"/>
              </w:rPr>
            </w:pPr>
            <w:r>
              <w:rPr>
                <w:color w:val="231F20"/>
                <w:w w:val="92"/>
                <w:sz w:val="17"/>
              </w:rPr>
              <w:t>%</w:t>
            </w:r>
          </w:p>
        </w:tc>
        <w:tc>
          <w:tcPr>
            <w:tcW w:w="907" w:type="dxa"/>
          </w:tcPr>
          <w:p>
            <w:pPr>
              <w:pStyle w:val="TableParagraph"/>
              <w:spacing w:before="95"/>
              <w:ind w:left="3"/>
              <w:jc w:val="center"/>
              <w:rPr>
                <w:sz w:val="17"/>
              </w:rPr>
            </w:pPr>
            <w:r>
              <w:rPr>
                <w:color w:val="231F20"/>
                <w:w w:val="111"/>
                <w:sz w:val="17"/>
              </w:rPr>
              <w:t>=</w:t>
            </w:r>
          </w:p>
        </w:tc>
        <w:tc>
          <w:tcPr>
            <w:tcW w:w="912" w:type="dxa"/>
          </w:tcPr>
          <w:p>
            <w:pPr>
              <w:pStyle w:val="TableParagraph"/>
              <w:spacing w:before="95"/>
              <w:ind w:left="0"/>
              <w:jc w:val="center"/>
              <w:rPr>
                <w:sz w:val="17"/>
              </w:rPr>
            </w:pPr>
            <w:r>
              <w:rPr>
                <w:color w:val="231F20"/>
                <w:w w:val="88"/>
                <w:sz w:val="17"/>
              </w:rPr>
              <w:t>R</w:t>
            </w:r>
          </w:p>
        </w:tc>
      </w:tr>
      <w:tr>
        <w:trPr>
          <w:trHeight w:val="413" w:hRule="exact"/>
        </w:trPr>
        <w:tc>
          <w:tcPr>
            <w:tcW w:w="1670" w:type="dxa"/>
          </w:tcPr>
          <w:p>
            <w:pPr>
              <w:pStyle w:val="TableParagraph"/>
              <w:spacing w:before="95"/>
              <w:ind w:left="124" w:right="123"/>
              <w:jc w:val="center"/>
              <w:rPr>
                <w:sz w:val="17"/>
              </w:rPr>
            </w:pPr>
            <w:r>
              <w:rPr>
                <w:color w:val="231F20"/>
                <w:sz w:val="17"/>
              </w:rPr>
              <w:t>Robo/extorsión</w:t>
            </w:r>
          </w:p>
        </w:tc>
        <w:tc>
          <w:tcPr>
            <w:tcW w:w="850" w:type="dxa"/>
          </w:tcPr>
          <w:p>
            <w:pPr>
              <w:pStyle w:val="TableParagraph"/>
              <w:spacing w:before="95"/>
              <w:ind w:left="94" w:right="97"/>
              <w:jc w:val="center"/>
              <w:rPr>
                <w:sz w:val="17"/>
              </w:rPr>
            </w:pPr>
            <w:r>
              <w:rPr>
                <w:color w:val="231F20"/>
                <w:sz w:val="17"/>
              </w:rPr>
              <w:t>32.1%</w:t>
            </w:r>
          </w:p>
        </w:tc>
        <w:tc>
          <w:tcPr>
            <w:tcW w:w="912" w:type="dxa"/>
          </w:tcPr>
          <w:p>
            <w:pPr>
              <w:pStyle w:val="TableParagraph"/>
              <w:spacing w:before="95"/>
              <w:ind w:left="73" w:right="77"/>
              <w:jc w:val="center"/>
              <w:rPr>
                <w:sz w:val="17"/>
              </w:rPr>
            </w:pPr>
            <w:r>
              <w:rPr>
                <w:color w:val="231F20"/>
                <w:sz w:val="17"/>
              </w:rPr>
              <w:t>25.1%</w:t>
            </w:r>
          </w:p>
        </w:tc>
        <w:tc>
          <w:tcPr>
            <w:tcW w:w="542" w:type="dxa"/>
          </w:tcPr>
          <w:p>
            <w:pPr>
              <w:pStyle w:val="TableParagraph"/>
              <w:spacing w:line="190" w:lineRule="exact"/>
              <w:ind w:left="104" w:right="105"/>
              <w:jc w:val="center"/>
              <w:rPr>
                <w:sz w:val="17"/>
              </w:rPr>
            </w:pPr>
            <w:r>
              <w:rPr>
                <w:color w:val="231F20"/>
                <w:w w:val="95"/>
                <w:sz w:val="17"/>
              </w:rPr>
              <w:t>28.6</w:t>
            </w:r>
          </w:p>
          <w:p>
            <w:pPr>
              <w:pStyle w:val="TableParagraph"/>
              <w:spacing w:before="6"/>
              <w:ind w:left="0" w:right="1"/>
              <w:jc w:val="center"/>
              <w:rPr>
                <w:sz w:val="17"/>
              </w:rPr>
            </w:pPr>
            <w:r>
              <w:rPr>
                <w:color w:val="231F20"/>
                <w:w w:val="92"/>
                <w:sz w:val="17"/>
              </w:rPr>
              <w:t>%</w:t>
            </w:r>
          </w:p>
        </w:tc>
        <w:tc>
          <w:tcPr>
            <w:tcW w:w="907" w:type="dxa"/>
          </w:tcPr>
          <w:p>
            <w:pPr>
              <w:pStyle w:val="TableParagraph"/>
              <w:spacing w:before="95"/>
              <w:ind w:left="257" w:right="255"/>
              <w:jc w:val="center"/>
              <w:rPr>
                <w:sz w:val="17"/>
              </w:rPr>
            </w:pPr>
            <w:r>
              <w:rPr>
                <w:color w:val="231F20"/>
                <w:sz w:val="17"/>
              </w:rPr>
              <w:t>F&gt;M</w:t>
            </w:r>
          </w:p>
        </w:tc>
        <w:tc>
          <w:tcPr>
            <w:tcW w:w="912" w:type="dxa"/>
          </w:tcPr>
          <w:p>
            <w:pPr>
              <w:pStyle w:val="TableParagraph"/>
              <w:spacing w:before="95"/>
              <w:ind w:left="73" w:right="72"/>
              <w:jc w:val="center"/>
              <w:rPr>
                <w:sz w:val="17"/>
              </w:rPr>
            </w:pPr>
            <w:r>
              <w:rPr>
                <w:color w:val="231F20"/>
                <w:w w:val="95"/>
                <w:sz w:val="17"/>
              </w:rPr>
              <w:t>A*</w:t>
            </w:r>
          </w:p>
        </w:tc>
      </w:tr>
      <w:tr>
        <w:trPr>
          <w:trHeight w:val="418" w:hRule="exact"/>
        </w:trPr>
        <w:tc>
          <w:tcPr>
            <w:tcW w:w="1670" w:type="dxa"/>
          </w:tcPr>
          <w:p>
            <w:pPr>
              <w:pStyle w:val="TableParagraph"/>
              <w:spacing w:before="95"/>
              <w:ind w:left="124" w:right="123"/>
              <w:jc w:val="center"/>
              <w:rPr>
                <w:sz w:val="17"/>
              </w:rPr>
            </w:pPr>
            <w:r>
              <w:rPr>
                <w:color w:val="231F20"/>
                <w:sz w:val="17"/>
              </w:rPr>
              <w:t>Otro</w:t>
            </w:r>
          </w:p>
        </w:tc>
        <w:tc>
          <w:tcPr>
            <w:tcW w:w="850" w:type="dxa"/>
          </w:tcPr>
          <w:p>
            <w:pPr>
              <w:pStyle w:val="TableParagraph"/>
              <w:spacing w:before="95"/>
              <w:ind w:left="94" w:right="97"/>
              <w:jc w:val="center"/>
              <w:rPr>
                <w:sz w:val="17"/>
              </w:rPr>
            </w:pPr>
            <w:r>
              <w:rPr>
                <w:color w:val="231F20"/>
                <w:sz w:val="17"/>
              </w:rPr>
              <w:t>22.1%</w:t>
            </w:r>
          </w:p>
        </w:tc>
        <w:tc>
          <w:tcPr>
            <w:tcW w:w="912" w:type="dxa"/>
          </w:tcPr>
          <w:p>
            <w:pPr>
              <w:pStyle w:val="TableParagraph"/>
              <w:spacing w:before="95"/>
              <w:ind w:left="73" w:right="77"/>
              <w:jc w:val="center"/>
              <w:rPr>
                <w:sz w:val="17"/>
              </w:rPr>
            </w:pPr>
            <w:r>
              <w:rPr>
                <w:color w:val="231F20"/>
                <w:sz w:val="17"/>
              </w:rPr>
              <w:t>27.4%</w:t>
            </w:r>
          </w:p>
        </w:tc>
        <w:tc>
          <w:tcPr>
            <w:tcW w:w="542" w:type="dxa"/>
          </w:tcPr>
          <w:p>
            <w:pPr>
              <w:pStyle w:val="TableParagraph"/>
              <w:spacing w:line="190" w:lineRule="exact"/>
              <w:ind w:left="104" w:right="105"/>
              <w:jc w:val="center"/>
              <w:rPr>
                <w:sz w:val="17"/>
              </w:rPr>
            </w:pPr>
            <w:r>
              <w:rPr>
                <w:color w:val="231F20"/>
                <w:w w:val="95"/>
                <w:sz w:val="17"/>
              </w:rPr>
              <w:t>23.4</w:t>
            </w:r>
          </w:p>
          <w:p>
            <w:pPr>
              <w:pStyle w:val="TableParagraph"/>
              <w:spacing w:before="6"/>
              <w:ind w:left="0" w:right="1"/>
              <w:jc w:val="center"/>
              <w:rPr>
                <w:sz w:val="17"/>
              </w:rPr>
            </w:pPr>
            <w:r>
              <w:rPr>
                <w:color w:val="231F20"/>
                <w:w w:val="92"/>
                <w:sz w:val="17"/>
              </w:rPr>
              <w:t>%</w:t>
            </w:r>
          </w:p>
        </w:tc>
        <w:tc>
          <w:tcPr>
            <w:tcW w:w="907" w:type="dxa"/>
          </w:tcPr>
          <w:p>
            <w:pPr>
              <w:pStyle w:val="TableParagraph"/>
              <w:spacing w:before="95"/>
              <w:ind w:left="259" w:right="254"/>
              <w:jc w:val="center"/>
              <w:rPr>
                <w:sz w:val="17"/>
              </w:rPr>
            </w:pPr>
            <w:r>
              <w:rPr>
                <w:color w:val="231F20"/>
                <w:sz w:val="17"/>
              </w:rPr>
              <w:t>M&gt;F</w:t>
            </w:r>
          </w:p>
        </w:tc>
        <w:tc>
          <w:tcPr>
            <w:tcW w:w="912" w:type="dxa"/>
          </w:tcPr>
          <w:p>
            <w:pPr>
              <w:pStyle w:val="TableParagraph"/>
              <w:spacing w:before="95"/>
              <w:ind w:left="0"/>
              <w:jc w:val="center"/>
              <w:rPr>
                <w:sz w:val="17"/>
              </w:rPr>
            </w:pPr>
            <w:r>
              <w:rPr>
                <w:color w:val="231F20"/>
                <w:w w:val="88"/>
                <w:sz w:val="17"/>
              </w:rPr>
              <w:t>A</w:t>
            </w:r>
          </w:p>
        </w:tc>
      </w:tr>
    </w:tbl>
    <w:p>
      <w:pPr>
        <w:pStyle w:val="BodyText"/>
        <w:spacing w:before="5"/>
        <w:rPr>
          <w:b/>
          <w:sz w:val="7"/>
        </w:rPr>
      </w:pPr>
    </w:p>
    <w:p>
      <w:pPr>
        <w:spacing w:line="307" w:lineRule="auto" w:before="77"/>
        <w:ind w:left="222" w:right="869" w:hanging="1"/>
        <w:jc w:val="left"/>
        <w:rPr>
          <w:sz w:val="17"/>
        </w:rPr>
      </w:pPr>
      <w:r>
        <w:rPr>
          <w:color w:val="231F20"/>
          <w:sz w:val="17"/>
        </w:rPr>
        <w:t>Fuente: Encuesta aplicada a los alumnos de nivel superior de la UABJO, junio-septiembre, 2011.</w:t>
      </w:r>
    </w:p>
    <w:p>
      <w:pPr>
        <w:spacing w:after="0" w:line="307" w:lineRule="auto"/>
        <w:jc w:val="left"/>
        <w:rPr>
          <w:sz w:val="17"/>
        </w:rPr>
        <w:sectPr>
          <w:headerReference w:type="default" r:id="rId803"/>
          <w:footerReference w:type="default" r:id="rId804"/>
          <w:pgSz w:w="7830" w:h="11910"/>
          <w:pgMar w:header="0" w:footer="424" w:top="500" w:bottom="620" w:left="800" w:right="900"/>
          <w:pgNumType w:start="36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4" w:firstLine="284"/>
        <w:jc w:val="both"/>
      </w:pPr>
      <w:r>
        <w:rPr>
          <w:color w:val="231F20"/>
        </w:rPr>
        <w:t>En el Cuadro 10 se caracterizan dos situaciones de violencia: el actor o agresor que ejerció violencia contra el (la) alumno(a) o algún miembro de su familia, y el hecho o acto que constituyó la agresión.</w:t>
      </w:r>
    </w:p>
    <w:p>
      <w:pPr>
        <w:pStyle w:val="BodyText"/>
        <w:spacing w:line="249" w:lineRule="auto" w:before="1"/>
        <w:ind w:left="102" w:right="119" w:firstLine="284"/>
        <w:jc w:val="both"/>
      </w:pPr>
      <w:r>
        <w:rPr>
          <w:color w:val="231F20"/>
          <w:spacing w:val="2"/>
        </w:rPr>
        <w:t>Los hombres </w:t>
      </w:r>
      <w:r>
        <w:rPr>
          <w:color w:val="231F20"/>
        </w:rPr>
        <w:t>son </w:t>
      </w:r>
      <w:r>
        <w:rPr>
          <w:color w:val="231F20"/>
          <w:spacing w:val="2"/>
        </w:rPr>
        <w:t>más propensos </w:t>
      </w:r>
      <w:r>
        <w:rPr>
          <w:color w:val="231F20"/>
        </w:rPr>
        <w:t>a </w:t>
      </w:r>
      <w:r>
        <w:rPr>
          <w:color w:val="231F20"/>
          <w:spacing w:val="2"/>
        </w:rPr>
        <w:t>sufrir violencia física, indi- vidual </w:t>
      </w:r>
      <w:r>
        <w:rPr>
          <w:color w:val="231F20"/>
        </w:rPr>
        <w:t>y </w:t>
      </w:r>
      <w:r>
        <w:rPr>
          <w:color w:val="231F20"/>
          <w:spacing w:val="2"/>
        </w:rPr>
        <w:t>colectiva, mientras </w:t>
      </w:r>
      <w:r>
        <w:rPr>
          <w:color w:val="231F20"/>
        </w:rPr>
        <w:t>que las </w:t>
      </w:r>
      <w:r>
        <w:rPr>
          <w:color w:val="231F20"/>
          <w:spacing w:val="2"/>
        </w:rPr>
        <w:t>mujeres sufren más por </w:t>
      </w:r>
      <w:r>
        <w:rPr>
          <w:color w:val="231F20"/>
          <w:spacing w:val="3"/>
        </w:rPr>
        <w:t>robos</w:t>
      </w:r>
      <w:r>
        <w:rPr>
          <w:color w:val="231F20"/>
          <w:spacing w:val="58"/>
        </w:rPr>
        <w:t> </w:t>
      </w:r>
      <w:r>
        <w:rPr>
          <w:color w:val="231F20"/>
        </w:rPr>
        <w:t>y </w:t>
      </w:r>
      <w:r>
        <w:rPr>
          <w:color w:val="231F20"/>
          <w:spacing w:val="2"/>
        </w:rPr>
        <w:t>extorsión, ejercidos por agresores </w:t>
      </w:r>
      <w:r>
        <w:rPr>
          <w:color w:val="231F20"/>
        </w:rPr>
        <w:t>o </w:t>
      </w:r>
      <w:r>
        <w:rPr>
          <w:color w:val="231F20"/>
          <w:spacing w:val="2"/>
        </w:rPr>
        <w:t>delincuentes</w:t>
      </w:r>
      <w:r>
        <w:rPr>
          <w:color w:val="231F20"/>
          <w:spacing w:val="-10"/>
        </w:rPr>
        <w:t> </w:t>
      </w:r>
      <w:r>
        <w:rPr>
          <w:color w:val="231F20"/>
          <w:spacing w:val="2"/>
        </w:rPr>
        <w:t>individuales.</w:t>
      </w:r>
    </w:p>
    <w:p>
      <w:pPr>
        <w:pStyle w:val="BodyText"/>
        <w:spacing w:line="247" w:lineRule="auto"/>
        <w:ind w:left="102" w:right="117" w:firstLine="284"/>
        <w:jc w:val="both"/>
      </w:pPr>
      <w:r>
        <w:rPr>
          <w:color w:val="231F20"/>
          <w:spacing w:val="2"/>
        </w:rPr>
        <w:t>Los agresores más frecuentes son los vecinos, </w:t>
      </w:r>
      <w:r>
        <w:rPr>
          <w:color w:val="231F20"/>
        </w:rPr>
        <w:t>y en </w:t>
      </w:r>
      <w:r>
        <w:rPr>
          <w:color w:val="231F20"/>
          <w:spacing w:val="2"/>
        </w:rPr>
        <w:t>segundo término delincuentes, </w:t>
      </w:r>
      <w:r>
        <w:rPr>
          <w:color w:val="231F20"/>
        </w:rPr>
        <w:t>así </w:t>
      </w:r>
      <w:r>
        <w:rPr>
          <w:color w:val="231F20"/>
          <w:spacing w:val="3"/>
        </w:rPr>
        <w:t>como bandas </w:t>
      </w:r>
      <w:r>
        <w:rPr>
          <w:color w:val="231F20"/>
        </w:rPr>
        <w:t>y </w:t>
      </w:r>
      <w:r>
        <w:rPr>
          <w:color w:val="231F20"/>
          <w:spacing w:val="2"/>
        </w:rPr>
        <w:t>pandillas. Los </w:t>
      </w:r>
      <w:r>
        <w:rPr>
          <w:color w:val="231F20"/>
          <w:spacing w:val="3"/>
        </w:rPr>
        <w:t>conflictos </w:t>
      </w:r>
      <w:r>
        <w:rPr>
          <w:color w:val="231F20"/>
          <w:spacing w:val="2"/>
        </w:rPr>
        <w:t>vecinales, hipotéticamente, estarían más vinculados </w:t>
      </w:r>
      <w:r>
        <w:rPr>
          <w:color w:val="231F20"/>
        </w:rPr>
        <w:t>a la </w:t>
      </w:r>
      <w:r>
        <w:rPr>
          <w:color w:val="231F20"/>
          <w:spacing w:val="3"/>
        </w:rPr>
        <w:t>urbaniza- </w:t>
      </w:r>
      <w:r>
        <w:rPr>
          <w:color w:val="231F20"/>
          <w:spacing w:val="2"/>
        </w:rPr>
        <w:t>ción </w:t>
      </w:r>
      <w:r>
        <w:rPr>
          <w:color w:val="231F20"/>
          <w:spacing w:val="3"/>
        </w:rPr>
        <w:t>desordenada </w:t>
      </w:r>
      <w:r>
        <w:rPr>
          <w:color w:val="231F20"/>
        </w:rPr>
        <w:t>y a la </w:t>
      </w:r>
      <w:r>
        <w:rPr>
          <w:color w:val="231F20"/>
          <w:spacing w:val="2"/>
        </w:rPr>
        <w:t>baja cohesión social que </w:t>
      </w:r>
      <w:r>
        <w:rPr>
          <w:color w:val="231F20"/>
        </w:rPr>
        <w:t>se </w:t>
      </w:r>
      <w:r>
        <w:rPr>
          <w:color w:val="231F20"/>
          <w:spacing w:val="3"/>
        </w:rPr>
        <w:t>experimenta</w:t>
      </w:r>
      <w:r>
        <w:rPr>
          <w:color w:val="231F20"/>
          <w:spacing w:val="58"/>
        </w:rPr>
        <w:t> </w:t>
      </w:r>
      <w:r>
        <w:rPr>
          <w:color w:val="231F20"/>
        </w:rPr>
        <w:t>en </w:t>
      </w:r>
      <w:r>
        <w:rPr>
          <w:color w:val="231F20"/>
          <w:spacing w:val="2"/>
        </w:rPr>
        <w:t>algunas zonas </w:t>
      </w:r>
      <w:r>
        <w:rPr>
          <w:color w:val="231F20"/>
        </w:rPr>
        <w:t>de la </w:t>
      </w:r>
      <w:r>
        <w:rPr>
          <w:color w:val="231F20"/>
          <w:spacing w:val="2"/>
        </w:rPr>
        <w:t>ciudad </w:t>
      </w:r>
      <w:r>
        <w:rPr>
          <w:color w:val="231F20"/>
        </w:rPr>
        <w:t>de </w:t>
      </w:r>
      <w:r>
        <w:rPr>
          <w:color w:val="231F20"/>
          <w:spacing w:val="2"/>
        </w:rPr>
        <w:t>Oaxaca, mientras que los ataques por parte </w:t>
      </w:r>
      <w:r>
        <w:rPr>
          <w:color w:val="231F20"/>
        </w:rPr>
        <w:t>de </w:t>
      </w:r>
      <w:r>
        <w:rPr>
          <w:color w:val="231F20"/>
          <w:spacing w:val="2"/>
        </w:rPr>
        <w:t>delincuentes </w:t>
      </w:r>
      <w:r>
        <w:rPr>
          <w:color w:val="231F20"/>
        </w:rPr>
        <w:t>y de </w:t>
      </w:r>
      <w:r>
        <w:rPr>
          <w:color w:val="231F20"/>
          <w:spacing w:val="2"/>
        </w:rPr>
        <w:t>pandillas </w:t>
      </w:r>
      <w:r>
        <w:rPr>
          <w:color w:val="231F20"/>
        </w:rPr>
        <w:t>se </w:t>
      </w:r>
      <w:r>
        <w:rPr>
          <w:color w:val="231F20"/>
          <w:spacing w:val="2"/>
        </w:rPr>
        <w:t>asocian </w:t>
      </w:r>
      <w:r>
        <w:rPr>
          <w:color w:val="231F20"/>
          <w:spacing w:val="3"/>
        </w:rPr>
        <w:t>máscon </w:t>
      </w:r>
      <w:r>
        <w:rPr>
          <w:color w:val="231F20"/>
        </w:rPr>
        <w:t>la </w:t>
      </w:r>
      <w:r>
        <w:rPr>
          <w:color w:val="231F20"/>
          <w:spacing w:val="2"/>
        </w:rPr>
        <w:t>falta </w:t>
      </w:r>
      <w:r>
        <w:rPr>
          <w:color w:val="231F20"/>
        </w:rPr>
        <w:t>de </w:t>
      </w:r>
      <w:r>
        <w:rPr>
          <w:color w:val="231F20"/>
          <w:spacing w:val="3"/>
        </w:rPr>
        <w:t>oportunidades </w:t>
      </w:r>
      <w:r>
        <w:rPr>
          <w:color w:val="231F20"/>
        </w:rPr>
        <w:t>de </w:t>
      </w:r>
      <w:r>
        <w:rPr>
          <w:color w:val="231F20"/>
          <w:spacing w:val="3"/>
        </w:rPr>
        <w:t>empleo, </w:t>
      </w:r>
      <w:r>
        <w:rPr>
          <w:color w:val="231F20"/>
        </w:rPr>
        <w:t>de </w:t>
      </w:r>
      <w:r>
        <w:rPr>
          <w:color w:val="231F20"/>
          <w:spacing w:val="2"/>
        </w:rPr>
        <w:t>educación </w:t>
      </w:r>
      <w:r>
        <w:rPr>
          <w:color w:val="231F20"/>
        </w:rPr>
        <w:t>y a la </w:t>
      </w:r>
      <w:r>
        <w:rPr>
          <w:color w:val="231F20"/>
          <w:spacing w:val="3"/>
        </w:rPr>
        <w:t>pobreza </w:t>
      </w:r>
      <w:r>
        <w:rPr>
          <w:color w:val="231F20"/>
          <w:spacing w:val="2"/>
        </w:rPr>
        <w:t>que </w:t>
      </w:r>
      <w:r>
        <w:rPr>
          <w:color w:val="231F20"/>
        </w:rPr>
        <w:t>se </w:t>
      </w:r>
      <w:r>
        <w:rPr>
          <w:color w:val="231F20"/>
          <w:spacing w:val="2"/>
        </w:rPr>
        <w:t>presenta </w:t>
      </w:r>
      <w:r>
        <w:rPr>
          <w:color w:val="231F20"/>
        </w:rPr>
        <w:t>en la </w:t>
      </w:r>
      <w:r>
        <w:rPr>
          <w:color w:val="231F20"/>
          <w:spacing w:val="2"/>
        </w:rPr>
        <w:t>ciudad </w:t>
      </w:r>
      <w:r>
        <w:rPr>
          <w:color w:val="231F20"/>
        </w:rPr>
        <w:t>y en el</w:t>
      </w:r>
      <w:r>
        <w:rPr>
          <w:color w:val="231F20"/>
          <w:spacing w:val="9"/>
        </w:rPr>
        <w:t> </w:t>
      </w:r>
      <w:r>
        <w:rPr>
          <w:color w:val="231F20"/>
          <w:spacing w:val="2"/>
        </w:rPr>
        <w:t>país.</w:t>
      </w:r>
    </w:p>
    <w:p>
      <w:pPr>
        <w:pStyle w:val="BodyText"/>
        <w:spacing w:line="249" w:lineRule="auto" w:before="1"/>
        <w:ind w:left="102" w:right="114" w:firstLine="283"/>
        <w:jc w:val="both"/>
      </w:pPr>
      <w:r>
        <w:rPr>
          <w:color w:val="231F20"/>
        </w:rPr>
        <w:t>En </w:t>
      </w:r>
      <w:r>
        <w:rPr>
          <w:color w:val="231F20"/>
          <w:spacing w:val="2"/>
        </w:rPr>
        <w:t>esas condiciones </w:t>
      </w:r>
      <w:r>
        <w:rPr>
          <w:color w:val="231F20"/>
        </w:rPr>
        <w:t>no es </w:t>
      </w:r>
      <w:r>
        <w:rPr>
          <w:color w:val="231F20"/>
          <w:spacing w:val="2"/>
        </w:rPr>
        <w:t>difícil encontrar </w:t>
      </w:r>
      <w:r>
        <w:rPr>
          <w:color w:val="231F20"/>
        </w:rPr>
        <w:t>que </w:t>
      </w:r>
      <w:r>
        <w:rPr>
          <w:color w:val="231F20"/>
          <w:spacing w:val="2"/>
        </w:rPr>
        <w:t>los delitos más frecuentes sean </w:t>
      </w:r>
      <w:r>
        <w:rPr>
          <w:color w:val="231F20"/>
        </w:rPr>
        <w:t>el </w:t>
      </w:r>
      <w:r>
        <w:rPr>
          <w:color w:val="231F20"/>
          <w:spacing w:val="2"/>
        </w:rPr>
        <w:t>despojo directo </w:t>
      </w:r>
      <w:r>
        <w:rPr>
          <w:color w:val="231F20"/>
        </w:rPr>
        <w:t>a las </w:t>
      </w:r>
      <w:r>
        <w:rPr>
          <w:color w:val="231F20"/>
          <w:spacing w:val="3"/>
        </w:rPr>
        <w:t>personas, </w:t>
      </w:r>
      <w:r>
        <w:rPr>
          <w:color w:val="231F20"/>
        </w:rPr>
        <w:t>a </w:t>
      </w:r>
      <w:r>
        <w:rPr>
          <w:color w:val="231F20"/>
          <w:spacing w:val="2"/>
        </w:rPr>
        <w:t>través del </w:t>
      </w:r>
      <w:r>
        <w:rPr>
          <w:color w:val="231F20"/>
          <w:spacing w:val="3"/>
        </w:rPr>
        <w:t>robo  </w:t>
      </w:r>
      <w:r>
        <w:rPr>
          <w:color w:val="231F20"/>
        </w:rPr>
        <w:t>y la </w:t>
      </w:r>
      <w:r>
        <w:rPr>
          <w:color w:val="231F20"/>
          <w:spacing w:val="2"/>
        </w:rPr>
        <w:t>extorsión; mientras que, </w:t>
      </w:r>
      <w:r>
        <w:rPr>
          <w:color w:val="231F20"/>
        </w:rPr>
        <w:t>en </w:t>
      </w:r>
      <w:r>
        <w:rPr>
          <w:color w:val="231F20"/>
          <w:spacing w:val="3"/>
        </w:rPr>
        <w:t>segundo </w:t>
      </w:r>
      <w:r>
        <w:rPr>
          <w:color w:val="231F20"/>
          <w:spacing w:val="2"/>
        </w:rPr>
        <w:t>lugar, </w:t>
      </w:r>
      <w:r>
        <w:rPr>
          <w:color w:val="231F20"/>
        </w:rPr>
        <w:t>se </w:t>
      </w:r>
      <w:r>
        <w:rPr>
          <w:color w:val="231F20"/>
          <w:spacing w:val="2"/>
        </w:rPr>
        <w:t>presenten </w:t>
      </w:r>
      <w:r>
        <w:rPr>
          <w:color w:val="231F20"/>
        </w:rPr>
        <w:t>las </w:t>
      </w:r>
      <w:r>
        <w:rPr>
          <w:color w:val="231F20"/>
          <w:spacing w:val="2"/>
        </w:rPr>
        <w:t>agresiones verbales, </w:t>
      </w:r>
      <w:r>
        <w:rPr>
          <w:color w:val="231F20"/>
          <w:spacing w:val="3"/>
        </w:rPr>
        <w:t>como forma </w:t>
      </w:r>
      <w:r>
        <w:rPr>
          <w:color w:val="231F20"/>
        </w:rPr>
        <w:t>de </w:t>
      </w:r>
      <w:r>
        <w:rPr>
          <w:color w:val="231F20"/>
          <w:spacing w:val="2"/>
        </w:rPr>
        <w:t>violencia </w:t>
      </w:r>
      <w:r>
        <w:rPr>
          <w:color w:val="231F20"/>
        </w:rPr>
        <w:t>que </w:t>
      </w:r>
      <w:r>
        <w:rPr>
          <w:color w:val="231F20"/>
          <w:spacing w:val="2"/>
        </w:rPr>
        <w:t>muestra </w:t>
      </w:r>
      <w:r>
        <w:rPr>
          <w:color w:val="231F20"/>
          <w:spacing w:val="3"/>
        </w:rPr>
        <w:t>incapa- </w:t>
      </w:r>
      <w:r>
        <w:rPr>
          <w:color w:val="231F20"/>
          <w:spacing w:val="2"/>
        </w:rPr>
        <w:t>cidad </w:t>
      </w:r>
      <w:r>
        <w:rPr>
          <w:color w:val="231F20"/>
        </w:rPr>
        <w:t>de </w:t>
      </w:r>
      <w:r>
        <w:rPr>
          <w:color w:val="231F20"/>
          <w:spacing w:val="2"/>
        </w:rPr>
        <w:t>establecer </w:t>
      </w:r>
      <w:r>
        <w:rPr>
          <w:color w:val="231F20"/>
        </w:rPr>
        <w:t>y </w:t>
      </w:r>
      <w:r>
        <w:rPr>
          <w:color w:val="231F20"/>
          <w:spacing w:val="2"/>
        </w:rPr>
        <w:t>arreglar diferencias </w:t>
      </w:r>
      <w:r>
        <w:rPr>
          <w:color w:val="231F20"/>
        </w:rPr>
        <w:t>y </w:t>
      </w:r>
      <w:r>
        <w:rPr>
          <w:color w:val="231F20"/>
          <w:spacing w:val="2"/>
        </w:rPr>
        <w:t>controversias </w:t>
      </w:r>
      <w:r>
        <w:rPr>
          <w:color w:val="231F20"/>
        </w:rPr>
        <w:t>a </w:t>
      </w:r>
      <w:r>
        <w:rPr>
          <w:color w:val="231F20"/>
          <w:spacing w:val="3"/>
        </w:rPr>
        <w:t>través </w:t>
      </w:r>
      <w:r>
        <w:rPr>
          <w:color w:val="231F20"/>
          <w:spacing w:val="2"/>
        </w:rPr>
        <w:t>del</w:t>
      </w:r>
      <w:r>
        <w:rPr>
          <w:color w:val="231F20"/>
          <w:spacing w:val="-23"/>
        </w:rPr>
        <w:t> </w:t>
      </w:r>
      <w:r>
        <w:rPr>
          <w:color w:val="231F20"/>
          <w:spacing w:val="3"/>
        </w:rPr>
        <w:t>dialogo.</w:t>
      </w:r>
    </w:p>
    <w:p>
      <w:pPr>
        <w:pStyle w:val="BodyText"/>
        <w:rPr>
          <w:sz w:val="22"/>
        </w:rPr>
      </w:pPr>
    </w:p>
    <w:p>
      <w:pPr>
        <w:pStyle w:val="BodyText"/>
        <w:spacing w:before="3"/>
      </w:pPr>
    </w:p>
    <w:p>
      <w:pPr>
        <w:pStyle w:val="BodyText"/>
        <w:spacing w:before="1"/>
        <w:ind w:left="102"/>
        <w:jc w:val="both"/>
      </w:pPr>
      <w:r>
        <w:rPr>
          <w:color w:val="231F20"/>
          <w:w w:val="105"/>
        </w:rPr>
        <w:t>A MANERA DE CONCLUSIÓN</w:t>
      </w:r>
    </w:p>
    <w:p>
      <w:pPr>
        <w:pStyle w:val="BodyText"/>
        <w:spacing w:before="1"/>
      </w:pPr>
    </w:p>
    <w:p>
      <w:pPr>
        <w:pStyle w:val="BodyText"/>
        <w:spacing w:line="247" w:lineRule="auto" w:before="1"/>
        <w:ind w:left="101" w:right="115"/>
        <w:jc w:val="both"/>
      </w:pPr>
      <w:r>
        <w:rPr>
          <w:color w:val="231F20"/>
        </w:rPr>
        <w:t>Hemos mostrado aquí los datos más generales sobre la violencia   que día a día se vive en la Universidad Autónoma “Benito Juárez” de Oaxaca, así como la percepción sobre esta problemática  que tienen los alumnos encuestados. Si bien es cierto que la violencia es un fenómeno que acompaña a la humanidad, también lo es que hay momentos en que es menor, y otros en que sus distintas manifesta- ciones son más crudas. La violencia como lo expresamos al inicio  de este trabajo es cultural y contextual, por lo tanto puede que exis- tan actitudes, que en contextos sean violentas y aquí no se hayan considerado, o bien, que lo que hoy es violento hace años no haya sido.</w:t>
      </w:r>
    </w:p>
    <w:p>
      <w:pPr>
        <w:pStyle w:val="BodyText"/>
        <w:spacing w:line="249" w:lineRule="auto" w:before="10"/>
        <w:ind w:left="101" w:right="116" w:firstLine="284"/>
        <w:jc w:val="both"/>
      </w:pPr>
      <w:r>
        <w:rPr>
          <w:color w:val="231F20"/>
        </w:rPr>
        <w:t>En términos generales destaca la percepción de una violencia alta en la ciudad de Oaxaca y en la universidad; en cambio el ba- rrio o colonia, así como la familia son considerados como de   baja</w:t>
      </w:r>
    </w:p>
    <w:p>
      <w:pPr>
        <w:spacing w:after="0" w:line="249" w:lineRule="auto"/>
        <w:jc w:val="both"/>
        <w:sectPr>
          <w:headerReference w:type="default" r:id="rId805"/>
          <w:footerReference w:type="default" r:id="rId806"/>
          <w:pgSz w:w="7830" w:h="11910"/>
          <w:pgMar w:header="0" w:footer="424" w:top="500" w:bottom="620" w:left="920" w:right="900"/>
          <w:pgNumType w:start="36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3"/>
        <w:jc w:val="both"/>
      </w:pPr>
      <w:r>
        <w:rPr>
          <w:color w:val="231F20"/>
          <w:spacing w:val="2"/>
        </w:rPr>
        <w:t>violencia. Hay experiencias </w:t>
      </w:r>
      <w:r>
        <w:rPr>
          <w:color w:val="231F20"/>
        </w:rPr>
        <w:t>de </w:t>
      </w:r>
      <w:r>
        <w:rPr>
          <w:color w:val="231F20"/>
          <w:spacing w:val="2"/>
        </w:rPr>
        <w:t>violencia por parte </w:t>
      </w:r>
      <w:r>
        <w:rPr>
          <w:color w:val="231F20"/>
        </w:rPr>
        <w:t>de </w:t>
      </w:r>
      <w:r>
        <w:rPr>
          <w:color w:val="231F20"/>
          <w:spacing w:val="2"/>
        </w:rPr>
        <w:t>actores </w:t>
      </w:r>
      <w:r>
        <w:rPr>
          <w:color w:val="231F20"/>
        </w:rPr>
        <w:t>di- </w:t>
      </w:r>
      <w:r>
        <w:rPr>
          <w:color w:val="231F20"/>
          <w:spacing w:val="2"/>
        </w:rPr>
        <w:t>versos: </w:t>
      </w:r>
      <w:r>
        <w:rPr>
          <w:color w:val="231F20"/>
          <w:spacing w:val="3"/>
        </w:rPr>
        <w:t>alumno, </w:t>
      </w:r>
      <w:r>
        <w:rPr>
          <w:color w:val="231F20"/>
          <w:spacing w:val="2"/>
        </w:rPr>
        <w:t>grupo </w:t>
      </w:r>
      <w:r>
        <w:rPr>
          <w:color w:val="231F20"/>
        </w:rPr>
        <w:t>de </w:t>
      </w:r>
      <w:r>
        <w:rPr>
          <w:color w:val="231F20"/>
          <w:spacing w:val="3"/>
        </w:rPr>
        <w:t>alumnos, porros, profesores, funciona- </w:t>
      </w:r>
      <w:r>
        <w:rPr>
          <w:color w:val="231F20"/>
          <w:spacing w:val="2"/>
        </w:rPr>
        <w:t>rios universitarios contra los </w:t>
      </w:r>
      <w:r>
        <w:rPr>
          <w:color w:val="231F20"/>
          <w:spacing w:val="3"/>
        </w:rPr>
        <w:t>alumnos. Además, </w:t>
      </w:r>
      <w:r>
        <w:rPr>
          <w:color w:val="231F20"/>
        </w:rPr>
        <w:t>se </w:t>
      </w:r>
      <w:r>
        <w:rPr>
          <w:color w:val="231F20"/>
          <w:spacing w:val="2"/>
        </w:rPr>
        <w:t>detectó </w:t>
      </w:r>
      <w:r>
        <w:rPr>
          <w:color w:val="231F20"/>
        </w:rPr>
        <w:t>que </w:t>
      </w:r>
      <w:r>
        <w:rPr>
          <w:color w:val="231F20"/>
          <w:spacing w:val="3"/>
        </w:rPr>
        <w:t>el </w:t>
      </w:r>
      <w:r>
        <w:rPr>
          <w:color w:val="231F20"/>
          <w:spacing w:val="2"/>
        </w:rPr>
        <w:t>ejercicio </w:t>
      </w:r>
      <w:r>
        <w:rPr>
          <w:color w:val="231F20"/>
        </w:rPr>
        <w:t>de la </w:t>
      </w:r>
      <w:r>
        <w:rPr>
          <w:color w:val="231F20"/>
          <w:spacing w:val="2"/>
        </w:rPr>
        <w:t>violencia </w:t>
      </w:r>
      <w:r>
        <w:rPr>
          <w:color w:val="231F20"/>
        </w:rPr>
        <w:t>no es </w:t>
      </w:r>
      <w:r>
        <w:rPr>
          <w:color w:val="231F20"/>
          <w:spacing w:val="3"/>
        </w:rPr>
        <w:t>homogéneo: </w:t>
      </w:r>
      <w:r>
        <w:rPr>
          <w:color w:val="231F20"/>
          <w:spacing w:val="2"/>
        </w:rPr>
        <w:t>hay grupos </w:t>
      </w:r>
      <w:r>
        <w:rPr>
          <w:color w:val="231F20"/>
        </w:rPr>
        <w:t>que </w:t>
      </w:r>
      <w:r>
        <w:rPr>
          <w:color w:val="231F20"/>
          <w:spacing w:val="2"/>
        </w:rPr>
        <w:t>son </w:t>
      </w:r>
      <w:r>
        <w:rPr>
          <w:color w:val="231F20"/>
          <w:spacing w:val="56"/>
        </w:rPr>
        <w:t> </w:t>
      </w:r>
      <w:r>
        <w:rPr>
          <w:color w:val="231F20"/>
          <w:spacing w:val="2"/>
        </w:rPr>
        <w:t>más proclives </w:t>
      </w:r>
      <w:r>
        <w:rPr>
          <w:color w:val="231F20"/>
        </w:rPr>
        <w:t>a </w:t>
      </w:r>
      <w:r>
        <w:rPr>
          <w:color w:val="231F20"/>
          <w:spacing w:val="2"/>
        </w:rPr>
        <w:t>sufrirla. Las redes sociales, </w:t>
      </w:r>
      <w:r>
        <w:rPr>
          <w:color w:val="231F20"/>
        </w:rPr>
        <w:t>el </w:t>
      </w:r>
      <w:r>
        <w:rPr>
          <w:color w:val="231F20"/>
          <w:spacing w:val="3"/>
        </w:rPr>
        <w:t>conocimiento del </w:t>
      </w:r>
      <w:r>
        <w:rPr>
          <w:color w:val="231F20"/>
          <w:spacing w:val="2"/>
        </w:rPr>
        <w:t>medio </w:t>
      </w:r>
      <w:r>
        <w:rPr>
          <w:color w:val="231F20"/>
        </w:rPr>
        <w:t>y la </w:t>
      </w:r>
      <w:r>
        <w:rPr>
          <w:color w:val="231F20"/>
          <w:spacing w:val="2"/>
        </w:rPr>
        <w:t>edad </w:t>
      </w:r>
      <w:r>
        <w:rPr>
          <w:color w:val="231F20"/>
        </w:rPr>
        <w:t>son </w:t>
      </w:r>
      <w:r>
        <w:rPr>
          <w:color w:val="231F20"/>
          <w:spacing w:val="2"/>
        </w:rPr>
        <w:t>elementos que ayudan </w:t>
      </w:r>
      <w:r>
        <w:rPr>
          <w:color w:val="231F20"/>
        </w:rPr>
        <w:t>a </w:t>
      </w:r>
      <w:r>
        <w:rPr>
          <w:color w:val="231F20"/>
          <w:spacing w:val="2"/>
        </w:rPr>
        <w:t>escapar </w:t>
      </w:r>
      <w:r>
        <w:rPr>
          <w:color w:val="231F20"/>
        </w:rPr>
        <w:t>de </w:t>
      </w:r>
      <w:r>
        <w:rPr>
          <w:color w:val="231F20"/>
          <w:spacing w:val="2"/>
        </w:rPr>
        <w:t>estas </w:t>
      </w:r>
      <w:r>
        <w:rPr>
          <w:color w:val="231F20"/>
          <w:spacing w:val="3"/>
        </w:rPr>
        <w:t>si- </w:t>
      </w:r>
      <w:r>
        <w:rPr>
          <w:color w:val="231F20"/>
          <w:spacing w:val="2"/>
        </w:rPr>
        <w:t>tuaciones.</w:t>
      </w:r>
    </w:p>
    <w:p>
      <w:pPr>
        <w:pStyle w:val="BodyText"/>
        <w:spacing w:line="247" w:lineRule="auto"/>
        <w:ind w:left="102" w:right="114" w:firstLine="284"/>
        <w:jc w:val="both"/>
      </w:pPr>
      <w:r>
        <w:rPr>
          <w:color w:val="231F20"/>
          <w:spacing w:val="4"/>
        </w:rPr>
        <w:t>Ahora bien, </w:t>
      </w:r>
      <w:r>
        <w:rPr>
          <w:color w:val="231F20"/>
          <w:spacing w:val="2"/>
        </w:rPr>
        <w:t>en </w:t>
      </w:r>
      <w:r>
        <w:rPr>
          <w:color w:val="231F20"/>
        </w:rPr>
        <w:t>la </w:t>
      </w:r>
      <w:r>
        <w:rPr>
          <w:color w:val="231F20"/>
          <w:spacing w:val="4"/>
        </w:rPr>
        <w:t>UABJO </w:t>
      </w:r>
      <w:r>
        <w:rPr>
          <w:color w:val="231F20"/>
          <w:spacing w:val="2"/>
        </w:rPr>
        <w:t>se </w:t>
      </w:r>
      <w:r>
        <w:rPr>
          <w:color w:val="231F20"/>
          <w:spacing w:val="4"/>
        </w:rPr>
        <w:t>refleja </w:t>
      </w:r>
      <w:r>
        <w:rPr>
          <w:color w:val="231F20"/>
          <w:spacing w:val="2"/>
        </w:rPr>
        <w:t>en </w:t>
      </w:r>
      <w:r>
        <w:rPr>
          <w:color w:val="231F20"/>
          <w:spacing w:val="4"/>
        </w:rPr>
        <w:t>mucho </w:t>
      </w:r>
      <w:r>
        <w:rPr>
          <w:color w:val="231F20"/>
        </w:rPr>
        <w:t>la </w:t>
      </w:r>
      <w:r>
        <w:rPr>
          <w:color w:val="231F20"/>
          <w:spacing w:val="4"/>
        </w:rPr>
        <w:t>sociedad </w:t>
      </w:r>
      <w:r>
        <w:rPr>
          <w:color w:val="231F20"/>
          <w:spacing w:val="6"/>
        </w:rPr>
        <w:t>oa- </w:t>
      </w:r>
      <w:r>
        <w:rPr>
          <w:color w:val="231F20"/>
          <w:spacing w:val="4"/>
        </w:rPr>
        <w:t>xaqueña, una sociedad racista </w:t>
      </w:r>
      <w:r>
        <w:rPr>
          <w:color w:val="231F20"/>
        </w:rPr>
        <w:t>e  </w:t>
      </w:r>
      <w:r>
        <w:rPr>
          <w:color w:val="231F20"/>
          <w:spacing w:val="4"/>
        </w:rPr>
        <w:t>intolerante </w:t>
      </w:r>
      <w:r>
        <w:rPr>
          <w:color w:val="231F20"/>
          <w:spacing w:val="3"/>
        </w:rPr>
        <w:t>con </w:t>
      </w:r>
      <w:r>
        <w:rPr>
          <w:color w:val="231F20"/>
          <w:spacing w:val="4"/>
        </w:rPr>
        <w:t>todo aquel que   </w:t>
      </w:r>
      <w:r>
        <w:rPr>
          <w:color w:val="231F20"/>
          <w:spacing w:val="2"/>
        </w:rPr>
        <w:t>se </w:t>
      </w:r>
      <w:r>
        <w:rPr>
          <w:color w:val="231F20"/>
          <w:spacing w:val="3"/>
        </w:rPr>
        <w:t>sale de </w:t>
      </w:r>
      <w:r>
        <w:rPr>
          <w:color w:val="231F20"/>
        </w:rPr>
        <w:t>lo </w:t>
      </w:r>
      <w:r>
        <w:rPr>
          <w:color w:val="231F20"/>
          <w:spacing w:val="3"/>
        </w:rPr>
        <w:t>que </w:t>
      </w:r>
      <w:r>
        <w:rPr>
          <w:color w:val="231F20"/>
          <w:spacing w:val="2"/>
        </w:rPr>
        <w:t>se </w:t>
      </w:r>
      <w:r>
        <w:rPr>
          <w:color w:val="231F20"/>
          <w:spacing w:val="4"/>
        </w:rPr>
        <w:t>entiende socialmente por “normal”. </w:t>
      </w:r>
      <w:r>
        <w:rPr>
          <w:color w:val="231F20"/>
          <w:spacing w:val="3"/>
        </w:rPr>
        <w:t>De </w:t>
      </w:r>
      <w:r>
        <w:rPr>
          <w:color w:val="231F20"/>
          <w:spacing w:val="4"/>
        </w:rPr>
        <w:t>allí  </w:t>
      </w:r>
      <w:r>
        <w:rPr>
          <w:color w:val="231F20"/>
          <w:spacing w:val="3"/>
        </w:rPr>
        <w:t>que los </w:t>
      </w:r>
      <w:r>
        <w:rPr>
          <w:color w:val="231F20"/>
          <w:spacing w:val="4"/>
        </w:rPr>
        <w:t>indios, </w:t>
      </w:r>
      <w:r>
        <w:rPr>
          <w:color w:val="231F20"/>
          <w:spacing w:val="3"/>
        </w:rPr>
        <w:t>los </w:t>
      </w:r>
      <w:r>
        <w:rPr>
          <w:color w:val="231F20"/>
          <w:spacing w:val="4"/>
        </w:rPr>
        <w:t>alumnos débiles, aquellos </w:t>
      </w:r>
      <w:r>
        <w:rPr>
          <w:color w:val="231F20"/>
          <w:spacing w:val="3"/>
        </w:rPr>
        <w:t>que </w:t>
      </w:r>
      <w:r>
        <w:rPr>
          <w:color w:val="231F20"/>
          <w:spacing w:val="2"/>
        </w:rPr>
        <w:t>no </w:t>
      </w:r>
      <w:r>
        <w:rPr>
          <w:color w:val="231F20"/>
          <w:spacing w:val="4"/>
        </w:rPr>
        <w:t>tienen </w:t>
      </w:r>
      <w:r>
        <w:rPr>
          <w:color w:val="231F20"/>
          <w:spacing w:val="5"/>
        </w:rPr>
        <w:t>ami- </w:t>
      </w:r>
      <w:r>
        <w:rPr>
          <w:color w:val="231F20"/>
          <w:spacing w:val="4"/>
        </w:rPr>
        <w:t>gos, </w:t>
      </w:r>
      <w:r>
        <w:rPr>
          <w:color w:val="231F20"/>
          <w:spacing w:val="3"/>
        </w:rPr>
        <w:t>los </w:t>
      </w:r>
      <w:r>
        <w:rPr>
          <w:color w:val="231F20"/>
          <w:spacing w:val="4"/>
        </w:rPr>
        <w:t>homosexuales </w:t>
      </w:r>
      <w:r>
        <w:rPr>
          <w:color w:val="231F20"/>
        </w:rPr>
        <w:t>y </w:t>
      </w:r>
      <w:r>
        <w:rPr>
          <w:color w:val="231F20"/>
          <w:spacing w:val="3"/>
        </w:rPr>
        <w:t>las </w:t>
      </w:r>
      <w:r>
        <w:rPr>
          <w:color w:val="231F20"/>
          <w:spacing w:val="4"/>
        </w:rPr>
        <w:t>lesbianas, </w:t>
      </w:r>
      <w:r>
        <w:rPr>
          <w:color w:val="231F20"/>
          <w:spacing w:val="3"/>
        </w:rPr>
        <w:t>sean los </w:t>
      </w:r>
      <w:r>
        <w:rPr>
          <w:color w:val="231F20"/>
          <w:spacing w:val="4"/>
        </w:rPr>
        <w:t>más </w:t>
      </w:r>
      <w:r>
        <w:rPr>
          <w:color w:val="231F20"/>
          <w:spacing w:val="5"/>
        </w:rPr>
        <w:t>propensos </w:t>
      </w:r>
      <w:r>
        <w:rPr>
          <w:color w:val="231F20"/>
        </w:rPr>
        <w:t>a </w:t>
      </w:r>
      <w:r>
        <w:rPr>
          <w:color w:val="231F20"/>
          <w:spacing w:val="3"/>
        </w:rPr>
        <w:t>vivir</w:t>
      </w:r>
      <w:r>
        <w:rPr>
          <w:color w:val="231F20"/>
          <w:spacing w:val="-22"/>
        </w:rPr>
        <w:t> </w:t>
      </w:r>
      <w:r>
        <w:rPr>
          <w:color w:val="231F20"/>
        </w:rPr>
        <w:t>la</w:t>
      </w:r>
      <w:r>
        <w:rPr>
          <w:color w:val="231F20"/>
          <w:spacing w:val="-22"/>
        </w:rPr>
        <w:t> </w:t>
      </w:r>
      <w:r>
        <w:rPr>
          <w:color w:val="231F20"/>
          <w:spacing w:val="4"/>
        </w:rPr>
        <w:t>violencia.</w:t>
      </w:r>
    </w:p>
    <w:p>
      <w:pPr>
        <w:pStyle w:val="BodyText"/>
        <w:spacing w:line="249" w:lineRule="auto" w:before="1"/>
        <w:ind w:left="102" w:right="115" w:firstLine="284"/>
        <w:jc w:val="both"/>
      </w:pPr>
      <w:r>
        <w:rPr>
          <w:color w:val="231F20"/>
          <w:spacing w:val="3"/>
        </w:rPr>
        <w:t>Finalmente, queremos </w:t>
      </w:r>
      <w:r>
        <w:rPr>
          <w:color w:val="231F20"/>
          <w:spacing w:val="2"/>
        </w:rPr>
        <w:t>destacar </w:t>
      </w:r>
      <w:r>
        <w:rPr>
          <w:color w:val="231F20"/>
        </w:rPr>
        <w:t>un </w:t>
      </w:r>
      <w:r>
        <w:rPr>
          <w:color w:val="231F20"/>
          <w:spacing w:val="2"/>
        </w:rPr>
        <w:t>hecho particular: </w:t>
      </w:r>
      <w:r>
        <w:rPr>
          <w:color w:val="231F20"/>
        </w:rPr>
        <w:t>la </w:t>
      </w:r>
      <w:r>
        <w:rPr>
          <w:color w:val="231F20"/>
          <w:spacing w:val="3"/>
        </w:rPr>
        <w:t>presen- </w:t>
      </w:r>
      <w:r>
        <w:rPr>
          <w:color w:val="231F20"/>
        </w:rPr>
        <w:t>cia </w:t>
      </w:r>
      <w:r>
        <w:rPr>
          <w:color w:val="231F20"/>
          <w:spacing w:val="3"/>
        </w:rPr>
        <w:t>endémica </w:t>
      </w:r>
      <w:r>
        <w:rPr>
          <w:color w:val="231F20"/>
          <w:spacing w:val="2"/>
        </w:rPr>
        <w:t>del </w:t>
      </w:r>
      <w:r>
        <w:rPr>
          <w:color w:val="231F20"/>
          <w:spacing w:val="3"/>
        </w:rPr>
        <w:t>porrismo </w:t>
      </w:r>
      <w:r>
        <w:rPr>
          <w:color w:val="231F20"/>
        </w:rPr>
        <w:t>y sus </w:t>
      </w:r>
      <w:r>
        <w:rPr>
          <w:color w:val="231F20"/>
          <w:spacing w:val="2"/>
        </w:rPr>
        <w:t>nexos con los grupos </w:t>
      </w:r>
      <w:r>
        <w:rPr>
          <w:color w:val="231F20"/>
        </w:rPr>
        <w:t>de </w:t>
      </w:r>
      <w:r>
        <w:rPr>
          <w:color w:val="231F20"/>
          <w:spacing w:val="2"/>
        </w:rPr>
        <w:t>poder  </w:t>
      </w:r>
      <w:r>
        <w:rPr>
          <w:color w:val="231F20"/>
        </w:rPr>
        <w:t>que </w:t>
      </w:r>
      <w:r>
        <w:rPr>
          <w:color w:val="231F20"/>
          <w:spacing w:val="2"/>
        </w:rPr>
        <w:t>existen </w:t>
      </w:r>
      <w:r>
        <w:rPr>
          <w:color w:val="231F20"/>
        </w:rPr>
        <w:t>al </w:t>
      </w:r>
      <w:r>
        <w:rPr>
          <w:color w:val="231F20"/>
          <w:spacing w:val="2"/>
        </w:rPr>
        <w:t>interior </w:t>
      </w:r>
      <w:r>
        <w:rPr>
          <w:color w:val="231F20"/>
        </w:rPr>
        <w:t>de la </w:t>
      </w:r>
      <w:r>
        <w:rPr>
          <w:color w:val="231F20"/>
          <w:spacing w:val="2"/>
        </w:rPr>
        <w:t>universidad, pero también </w:t>
      </w:r>
      <w:r>
        <w:rPr>
          <w:color w:val="231F20"/>
        </w:rPr>
        <w:t>de </w:t>
      </w:r>
      <w:r>
        <w:rPr>
          <w:color w:val="231F20"/>
          <w:spacing w:val="3"/>
        </w:rPr>
        <w:t>agreso- </w:t>
      </w:r>
      <w:r>
        <w:rPr>
          <w:color w:val="231F20"/>
        </w:rPr>
        <w:t>res </w:t>
      </w:r>
      <w:r>
        <w:rPr>
          <w:color w:val="231F20"/>
          <w:spacing w:val="2"/>
        </w:rPr>
        <w:t>ajenos </w:t>
      </w:r>
      <w:r>
        <w:rPr>
          <w:color w:val="231F20"/>
        </w:rPr>
        <w:t>a la </w:t>
      </w:r>
      <w:r>
        <w:rPr>
          <w:color w:val="231F20"/>
          <w:spacing w:val="3"/>
        </w:rPr>
        <w:t>institución. </w:t>
      </w:r>
      <w:r>
        <w:rPr>
          <w:color w:val="231F20"/>
        </w:rPr>
        <w:t>Si </w:t>
      </w:r>
      <w:r>
        <w:rPr>
          <w:color w:val="231F20"/>
          <w:spacing w:val="2"/>
        </w:rPr>
        <w:t>bien </w:t>
      </w:r>
      <w:r>
        <w:rPr>
          <w:color w:val="231F20"/>
        </w:rPr>
        <w:t>es </w:t>
      </w:r>
      <w:r>
        <w:rPr>
          <w:color w:val="231F20"/>
          <w:spacing w:val="2"/>
        </w:rPr>
        <w:t>cierto </w:t>
      </w:r>
      <w:r>
        <w:rPr>
          <w:color w:val="231F20"/>
        </w:rPr>
        <w:t>que </w:t>
      </w:r>
      <w:r>
        <w:rPr>
          <w:color w:val="231F20"/>
          <w:spacing w:val="2"/>
        </w:rPr>
        <w:t>este </w:t>
      </w:r>
      <w:r>
        <w:rPr>
          <w:color w:val="231F20"/>
          <w:spacing w:val="3"/>
        </w:rPr>
        <w:t>fenómeno </w:t>
      </w:r>
      <w:r>
        <w:rPr>
          <w:color w:val="231F20"/>
          <w:spacing w:val="2"/>
        </w:rPr>
        <w:t>existe, desde los años sesenta </w:t>
      </w:r>
      <w:r>
        <w:rPr>
          <w:color w:val="231F20"/>
        </w:rPr>
        <w:t>en la </w:t>
      </w:r>
      <w:r>
        <w:rPr>
          <w:color w:val="231F20"/>
          <w:spacing w:val="2"/>
        </w:rPr>
        <w:t>universidad </w:t>
      </w:r>
      <w:r>
        <w:rPr>
          <w:color w:val="231F20"/>
        </w:rPr>
        <w:t>de </w:t>
      </w:r>
      <w:r>
        <w:rPr>
          <w:color w:val="231F20"/>
          <w:spacing w:val="2"/>
        </w:rPr>
        <w:t>Oaxaca, </w:t>
      </w:r>
      <w:r>
        <w:rPr>
          <w:color w:val="231F20"/>
          <w:spacing w:val="3"/>
        </w:rPr>
        <w:t>aunque </w:t>
      </w:r>
      <w:r>
        <w:rPr>
          <w:color w:val="231F20"/>
          <w:spacing w:val="2"/>
        </w:rPr>
        <w:t>con matices </w:t>
      </w:r>
      <w:r>
        <w:rPr>
          <w:color w:val="231F20"/>
        </w:rPr>
        <w:t>y </w:t>
      </w:r>
      <w:r>
        <w:rPr>
          <w:color w:val="231F20"/>
          <w:spacing w:val="3"/>
        </w:rPr>
        <w:t>formas </w:t>
      </w:r>
      <w:r>
        <w:rPr>
          <w:color w:val="231F20"/>
        </w:rPr>
        <w:t>de </w:t>
      </w:r>
      <w:r>
        <w:rPr>
          <w:color w:val="231F20"/>
          <w:spacing w:val="2"/>
        </w:rPr>
        <w:t>actuar muy diferentes, </w:t>
      </w:r>
      <w:r>
        <w:rPr>
          <w:color w:val="231F20"/>
        </w:rPr>
        <w:t>se ha </w:t>
      </w:r>
      <w:r>
        <w:rPr>
          <w:color w:val="231F20"/>
          <w:spacing w:val="2"/>
        </w:rPr>
        <w:t>agudizado, </w:t>
      </w:r>
      <w:r>
        <w:rPr>
          <w:color w:val="231F20"/>
        </w:rPr>
        <w:t>a </w:t>
      </w:r>
      <w:r>
        <w:rPr>
          <w:color w:val="231F20"/>
          <w:spacing w:val="2"/>
        </w:rPr>
        <w:t>partir </w:t>
      </w:r>
      <w:r>
        <w:rPr>
          <w:color w:val="231F20"/>
        </w:rPr>
        <w:t>del </w:t>
      </w:r>
      <w:r>
        <w:rPr>
          <w:color w:val="231F20"/>
          <w:spacing w:val="2"/>
        </w:rPr>
        <w:t>surgimiento </w:t>
      </w:r>
      <w:r>
        <w:rPr>
          <w:color w:val="231F20"/>
        </w:rPr>
        <w:t>del </w:t>
      </w:r>
      <w:r>
        <w:rPr>
          <w:color w:val="231F20"/>
          <w:spacing w:val="3"/>
        </w:rPr>
        <w:t>movimiento </w:t>
      </w:r>
      <w:r>
        <w:rPr>
          <w:color w:val="231F20"/>
          <w:spacing w:val="2"/>
        </w:rPr>
        <w:t>democrático </w:t>
      </w:r>
      <w:r>
        <w:rPr>
          <w:color w:val="231F20"/>
        </w:rPr>
        <w:t>a </w:t>
      </w:r>
      <w:r>
        <w:rPr>
          <w:color w:val="231F20"/>
          <w:spacing w:val="2"/>
        </w:rPr>
        <w:t>finales </w:t>
      </w:r>
      <w:r>
        <w:rPr>
          <w:color w:val="231F20"/>
        </w:rPr>
        <w:t>de la </w:t>
      </w:r>
      <w:r>
        <w:rPr>
          <w:color w:val="231F20"/>
          <w:spacing w:val="2"/>
        </w:rPr>
        <w:t>década </w:t>
      </w:r>
      <w:r>
        <w:rPr>
          <w:color w:val="231F20"/>
        </w:rPr>
        <w:t>de </w:t>
      </w:r>
      <w:r>
        <w:rPr>
          <w:color w:val="231F20"/>
          <w:spacing w:val="2"/>
        </w:rPr>
        <w:t>los setenta del </w:t>
      </w:r>
      <w:r>
        <w:rPr>
          <w:color w:val="231F20"/>
        </w:rPr>
        <w:t>siglo </w:t>
      </w:r>
      <w:r>
        <w:rPr>
          <w:color w:val="231F20"/>
          <w:spacing w:val="3"/>
        </w:rPr>
        <w:t>pasado. </w:t>
      </w:r>
      <w:r>
        <w:rPr>
          <w:color w:val="231F20"/>
          <w:spacing w:val="2"/>
        </w:rPr>
        <w:t>Con </w:t>
      </w:r>
      <w:r>
        <w:rPr>
          <w:color w:val="231F20"/>
        </w:rPr>
        <w:t>la </w:t>
      </w:r>
      <w:r>
        <w:rPr>
          <w:color w:val="231F20"/>
          <w:spacing w:val="3"/>
        </w:rPr>
        <w:t>promulgación </w:t>
      </w:r>
      <w:r>
        <w:rPr>
          <w:color w:val="231F20"/>
        </w:rPr>
        <w:t>de  </w:t>
      </w:r>
      <w:r>
        <w:rPr>
          <w:color w:val="231F20"/>
          <w:spacing w:val="2"/>
        </w:rPr>
        <w:t>una Ley Orgánica que </w:t>
      </w:r>
      <w:r>
        <w:rPr>
          <w:color w:val="231F20"/>
          <w:spacing w:val="3"/>
        </w:rPr>
        <w:t>aprobó </w:t>
      </w:r>
      <w:r>
        <w:rPr>
          <w:color w:val="231F20"/>
        </w:rPr>
        <w:t>la </w:t>
      </w:r>
      <w:r>
        <w:rPr>
          <w:color w:val="231F20"/>
          <w:spacing w:val="2"/>
        </w:rPr>
        <w:t>elección </w:t>
      </w:r>
      <w:r>
        <w:rPr>
          <w:color w:val="231F20"/>
        </w:rPr>
        <w:t>de las </w:t>
      </w:r>
      <w:r>
        <w:rPr>
          <w:color w:val="231F20"/>
          <w:spacing w:val="2"/>
        </w:rPr>
        <w:t>autoridades uni- versitarias por medio </w:t>
      </w:r>
      <w:r>
        <w:rPr>
          <w:color w:val="231F20"/>
        </w:rPr>
        <w:t>del </w:t>
      </w:r>
      <w:r>
        <w:rPr>
          <w:color w:val="231F20"/>
          <w:spacing w:val="2"/>
        </w:rPr>
        <w:t>voto directo, secreto </w:t>
      </w:r>
      <w:r>
        <w:rPr>
          <w:color w:val="231F20"/>
        </w:rPr>
        <w:t>e </w:t>
      </w:r>
      <w:r>
        <w:rPr>
          <w:color w:val="231F20"/>
          <w:spacing w:val="2"/>
        </w:rPr>
        <w:t>individual, </w:t>
      </w:r>
      <w:r>
        <w:rPr>
          <w:color w:val="231F20"/>
        </w:rPr>
        <w:t>el </w:t>
      </w:r>
      <w:r>
        <w:rPr>
          <w:color w:val="231F20"/>
          <w:spacing w:val="3"/>
        </w:rPr>
        <w:t>porrismo </w:t>
      </w:r>
      <w:r>
        <w:rPr>
          <w:color w:val="231F20"/>
        </w:rPr>
        <w:t>se </w:t>
      </w:r>
      <w:r>
        <w:rPr>
          <w:color w:val="231F20"/>
          <w:spacing w:val="3"/>
        </w:rPr>
        <w:t>incrementó, </w:t>
      </w:r>
      <w:r>
        <w:rPr>
          <w:color w:val="231F20"/>
          <w:spacing w:val="2"/>
        </w:rPr>
        <w:t>pues los </w:t>
      </w:r>
      <w:r>
        <w:rPr>
          <w:color w:val="231F20"/>
          <w:spacing w:val="3"/>
        </w:rPr>
        <w:t>porros </w:t>
      </w:r>
      <w:r>
        <w:rPr>
          <w:color w:val="231F20"/>
          <w:spacing w:val="2"/>
        </w:rPr>
        <w:t>ejercen presión, </w:t>
      </w:r>
      <w:r>
        <w:rPr>
          <w:color w:val="231F20"/>
          <w:spacing w:val="3"/>
        </w:rPr>
        <w:t>amena- </w:t>
      </w:r>
      <w:r>
        <w:rPr>
          <w:color w:val="231F20"/>
        </w:rPr>
        <w:t>zas y </w:t>
      </w:r>
      <w:r>
        <w:rPr>
          <w:color w:val="231F20"/>
          <w:spacing w:val="2"/>
        </w:rPr>
        <w:t>violencia para inducir </w:t>
      </w:r>
      <w:r>
        <w:rPr>
          <w:color w:val="231F20"/>
        </w:rPr>
        <w:t>el </w:t>
      </w:r>
      <w:r>
        <w:rPr>
          <w:color w:val="231F20"/>
          <w:spacing w:val="2"/>
        </w:rPr>
        <w:t>voto </w:t>
      </w:r>
      <w:r>
        <w:rPr>
          <w:color w:val="231F20"/>
        </w:rPr>
        <w:t>de la </w:t>
      </w:r>
      <w:r>
        <w:rPr>
          <w:color w:val="231F20"/>
          <w:spacing w:val="3"/>
        </w:rPr>
        <w:t>comunidad </w:t>
      </w:r>
      <w:r>
        <w:rPr>
          <w:color w:val="231F20"/>
          <w:spacing w:val="2"/>
        </w:rPr>
        <w:t>universitaria hacia determinado</w:t>
      </w:r>
      <w:r>
        <w:rPr>
          <w:color w:val="231F20"/>
          <w:spacing w:val="14"/>
        </w:rPr>
        <w:t> </w:t>
      </w:r>
      <w:r>
        <w:rPr>
          <w:color w:val="231F20"/>
          <w:spacing w:val="2"/>
        </w:rPr>
        <w:t>candidato.</w:t>
      </w:r>
    </w:p>
    <w:p>
      <w:pPr>
        <w:pStyle w:val="BodyText"/>
        <w:rPr>
          <w:sz w:val="22"/>
        </w:rPr>
      </w:pPr>
    </w:p>
    <w:p>
      <w:pPr>
        <w:pStyle w:val="BodyText"/>
        <w:rPr>
          <w:sz w:val="22"/>
        </w:rPr>
      </w:pPr>
    </w:p>
    <w:p>
      <w:pPr>
        <w:pStyle w:val="BodyText"/>
        <w:rPr>
          <w:sz w:val="22"/>
        </w:rPr>
      </w:pPr>
    </w:p>
    <w:p>
      <w:pPr>
        <w:pStyle w:val="BodyText"/>
        <w:spacing w:before="3"/>
        <w:rPr>
          <w:sz w:val="30"/>
        </w:rPr>
      </w:pPr>
    </w:p>
    <w:p>
      <w:pPr>
        <w:spacing w:before="0"/>
        <w:ind w:left="102" w:right="121" w:firstLine="0"/>
        <w:jc w:val="left"/>
        <w:rPr>
          <w:sz w:val="17"/>
        </w:rPr>
      </w:pPr>
      <w:r>
        <w:rPr>
          <w:color w:val="231F20"/>
          <w:w w:val="105"/>
          <w:sz w:val="21"/>
        </w:rPr>
        <w:t>R</w:t>
      </w:r>
      <w:r>
        <w:rPr>
          <w:color w:val="231F20"/>
          <w:w w:val="105"/>
          <w:sz w:val="17"/>
        </w:rPr>
        <w:t>EFERENCIAS</w:t>
      </w:r>
    </w:p>
    <w:p>
      <w:pPr>
        <w:spacing w:line="247" w:lineRule="auto" w:before="125"/>
        <w:ind w:left="822" w:right="196" w:hanging="721"/>
        <w:jc w:val="left"/>
        <w:rPr>
          <w:sz w:val="21"/>
        </w:rPr>
      </w:pPr>
      <w:r>
        <w:rPr>
          <w:color w:val="231F20"/>
          <w:sz w:val="21"/>
        </w:rPr>
        <w:t>Achilli, Elena Libia. (2005). </w:t>
      </w:r>
      <w:r>
        <w:rPr>
          <w:i/>
          <w:color w:val="231F20"/>
          <w:sz w:val="21"/>
        </w:rPr>
        <w:t>Investigar en Antropología Social. Los </w:t>
      </w:r>
      <w:r>
        <w:rPr>
          <w:i/>
          <w:color w:val="231F20"/>
          <w:w w:val="95"/>
          <w:sz w:val="21"/>
        </w:rPr>
        <w:t>desafios</w:t>
      </w:r>
      <w:r>
        <w:rPr>
          <w:i/>
          <w:color w:val="231F20"/>
          <w:spacing w:val="-13"/>
          <w:w w:val="95"/>
          <w:sz w:val="21"/>
        </w:rPr>
        <w:t> </w:t>
      </w:r>
      <w:r>
        <w:rPr>
          <w:i/>
          <w:color w:val="231F20"/>
          <w:w w:val="95"/>
          <w:sz w:val="21"/>
        </w:rPr>
        <w:t>de</w:t>
      </w:r>
      <w:r>
        <w:rPr>
          <w:i/>
          <w:color w:val="231F20"/>
          <w:spacing w:val="-13"/>
          <w:w w:val="95"/>
          <w:sz w:val="21"/>
        </w:rPr>
        <w:t> </w:t>
      </w:r>
      <w:r>
        <w:rPr>
          <w:i/>
          <w:color w:val="231F20"/>
          <w:w w:val="95"/>
          <w:sz w:val="21"/>
        </w:rPr>
        <w:t>transmitir</w:t>
      </w:r>
      <w:r>
        <w:rPr>
          <w:i/>
          <w:color w:val="231F20"/>
          <w:spacing w:val="-13"/>
          <w:w w:val="95"/>
          <w:sz w:val="21"/>
        </w:rPr>
        <w:t> </w:t>
      </w:r>
      <w:r>
        <w:rPr>
          <w:i/>
          <w:color w:val="231F20"/>
          <w:w w:val="95"/>
          <w:sz w:val="21"/>
        </w:rPr>
        <w:t>un</w:t>
      </w:r>
      <w:r>
        <w:rPr>
          <w:i/>
          <w:color w:val="231F20"/>
          <w:spacing w:val="-12"/>
          <w:w w:val="95"/>
          <w:sz w:val="21"/>
        </w:rPr>
        <w:t> </w:t>
      </w:r>
      <w:r>
        <w:rPr>
          <w:i/>
          <w:color w:val="231F20"/>
          <w:w w:val="95"/>
          <w:sz w:val="21"/>
        </w:rPr>
        <w:t>oficio</w:t>
      </w:r>
      <w:r>
        <w:rPr>
          <w:color w:val="231F20"/>
          <w:w w:val="95"/>
          <w:sz w:val="21"/>
        </w:rPr>
        <w:t>.</w:t>
      </w:r>
      <w:r>
        <w:rPr>
          <w:color w:val="231F20"/>
          <w:spacing w:val="-13"/>
          <w:w w:val="95"/>
          <w:sz w:val="21"/>
        </w:rPr>
        <w:t> </w:t>
      </w:r>
      <w:r>
        <w:rPr>
          <w:color w:val="231F20"/>
          <w:w w:val="95"/>
          <w:sz w:val="21"/>
        </w:rPr>
        <w:t>El</w:t>
      </w:r>
      <w:r>
        <w:rPr>
          <w:color w:val="231F20"/>
          <w:spacing w:val="-13"/>
          <w:w w:val="95"/>
          <w:sz w:val="21"/>
        </w:rPr>
        <w:t> </w:t>
      </w:r>
      <w:r>
        <w:rPr>
          <w:color w:val="231F20"/>
          <w:w w:val="95"/>
          <w:sz w:val="21"/>
        </w:rPr>
        <w:t>Rosario:</w:t>
      </w:r>
      <w:r>
        <w:rPr>
          <w:color w:val="231F20"/>
          <w:spacing w:val="-13"/>
          <w:w w:val="95"/>
          <w:sz w:val="21"/>
        </w:rPr>
        <w:t> </w:t>
      </w:r>
      <w:r>
        <w:rPr>
          <w:color w:val="231F20"/>
          <w:w w:val="95"/>
          <w:sz w:val="21"/>
        </w:rPr>
        <w:t>Centro</w:t>
      </w:r>
      <w:r>
        <w:rPr>
          <w:color w:val="231F20"/>
          <w:spacing w:val="-12"/>
          <w:w w:val="95"/>
          <w:sz w:val="21"/>
        </w:rPr>
        <w:t> </w:t>
      </w:r>
      <w:r>
        <w:rPr>
          <w:color w:val="231F20"/>
          <w:w w:val="95"/>
          <w:sz w:val="21"/>
        </w:rPr>
        <w:t>de</w:t>
      </w:r>
      <w:r>
        <w:rPr>
          <w:color w:val="231F20"/>
          <w:spacing w:val="-12"/>
          <w:w w:val="95"/>
          <w:sz w:val="21"/>
        </w:rPr>
        <w:t> </w:t>
      </w:r>
      <w:r>
        <w:rPr>
          <w:color w:val="231F20"/>
          <w:w w:val="95"/>
          <w:sz w:val="21"/>
        </w:rPr>
        <w:t>Estudios </w:t>
      </w:r>
      <w:r>
        <w:rPr>
          <w:color w:val="231F20"/>
          <w:sz w:val="21"/>
        </w:rPr>
        <w:t>Antropológicos, Facultad de Humanidades y Artes, Universidad del Rosario/Laborde </w:t>
      </w:r>
      <w:r>
        <w:rPr>
          <w:color w:val="231F20"/>
          <w:spacing w:val="10"/>
          <w:sz w:val="21"/>
        </w:rPr>
        <w:t> </w:t>
      </w:r>
      <w:r>
        <w:rPr>
          <w:color w:val="231F20"/>
          <w:sz w:val="21"/>
        </w:rPr>
        <w:t>Libros.</w:t>
      </w:r>
    </w:p>
    <w:p>
      <w:pPr>
        <w:spacing w:line="244" w:lineRule="auto" w:before="0"/>
        <w:ind w:left="822" w:right="210" w:hanging="720"/>
        <w:jc w:val="left"/>
        <w:rPr>
          <w:sz w:val="21"/>
        </w:rPr>
      </w:pPr>
      <w:r>
        <w:rPr>
          <w:color w:val="231F20"/>
          <w:w w:val="94"/>
          <w:sz w:val="21"/>
        </w:rPr>
        <w:t>B</w:t>
      </w:r>
      <w:r>
        <w:rPr>
          <w:color w:val="231F20"/>
          <w:w w:val="90"/>
          <w:sz w:val="21"/>
        </w:rPr>
        <w:t>al</w:t>
      </w:r>
      <w:r>
        <w:rPr>
          <w:color w:val="231F20"/>
          <w:w w:val="99"/>
          <w:sz w:val="21"/>
        </w:rPr>
        <w:t>an</w:t>
      </w:r>
      <w:r>
        <w:rPr>
          <w:color w:val="231F20"/>
          <w:w w:val="102"/>
          <w:sz w:val="21"/>
        </w:rPr>
        <w:t>d</w:t>
      </w:r>
      <w:r>
        <w:rPr>
          <w:color w:val="231F20"/>
          <w:w w:val="84"/>
          <w:sz w:val="21"/>
        </w:rPr>
        <w:t>i</w:t>
      </w:r>
      <w:r>
        <w:rPr>
          <w:color w:val="231F20"/>
          <w:w w:val="96"/>
          <w:sz w:val="21"/>
        </w:rPr>
        <w:t>e</w:t>
      </w:r>
      <w:r>
        <w:rPr>
          <w:color w:val="231F20"/>
          <w:w w:val="103"/>
          <w:sz w:val="21"/>
        </w:rPr>
        <w:t>r</w:t>
      </w:r>
      <w:r>
        <w:rPr>
          <w:color w:val="231F20"/>
          <w:w w:val="90"/>
          <w:sz w:val="21"/>
        </w:rPr>
        <w:t>,</w:t>
      </w:r>
      <w:r>
        <w:rPr>
          <w:color w:val="231F20"/>
          <w:sz w:val="21"/>
        </w:rPr>
        <w:t> </w:t>
      </w:r>
      <w:r>
        <w:rPr>
          <w:color w:val="231F20"/>
          <w:w w:val="109"/>
          <w:sz w:val="21"/>
        </w:rPr>
        <w:t>G</w:t>
      </w:r>
      <w:r>
        <w:rPr>
          <w:color w:val="231F20"/>
          <w:w w:val="96"/>
          <w:sz w:val="21"/>
        </w:rPr>
        <w:t>e</w:t>
      </w:r>
      <w:r>
        <w:rPr>
          <w:color w:val="231F20"/>
          <w:w w:val="104"/>
          <w:sz w:val="21"/>
        </w:rPr>
        <w:t>o</w:t>
      </w:r>
      <w:r>
        <w:rPr>
          <w:color w:val="231F20"/>
          <w:w w:val="103"/>
          <w:sz w:val="21"/>
        </w:rPr>
        <w:t>r</w:t>
      </w:r>
      <w:r>
        <w:rPr>
          <w:color w:val="231F20"/>
          <w:w w:val="94"/>
          <w:sz w:val="21"/>
        </w:rPr>
        <w:t>ge</w:t>
      </w:r>
      <w:r>
        <w:rPr>
          <w:color w:val="231F20"/>
          <w:w w:val="90"/>
          <w:sz w:val="21"/>
        </w:rPr>
        <w:t>.</w:t>
      </w:r>
      <w:r>
        <w:rPr>
          <w:color w:val="231F20"/>
          <w:sz w:val="21"/>
        </w:rPr>
        <w:t> </w:t>
      </w:r>
      <w:r>
        <w:rPr>
          <w:color w:val="231F20"/>
          <w:w w:val="90"/>
          <w:sz w:val="21"/>
        </w:rPr>
        <w:t>(</w:t>
      </w:r>
      <w:r>
        <w:rPr>
          <w:color w:val="231F20"/>
          <w:w w:val="95"/>
          <w:sz w:val="21"/>
        </w:rPr>
        <w:t>1978)</w:t>
      </w:r>
      <w:r>
        <w:rPr>
          <w:color w:val="231F20"/>
          <w:w w:val="90"/>
          <w:sz w:val="21"/>
        </w:rPr>
        <w:t>.</w:t>
      </w:r>
      <w:r>
        <w:rPr>
          <w:color w:val="231F20"/>
          <w:sz w:val="21"/>
        </w:rPr>
        <w:t> </w:t>
      </w:r>
      <w:r>
        <w:rPr>
          <w:i/>
          <w:color w:val="231F20"/>
          <w:w w:val="128"/>
          <w:sz w:val="21"/>
        </w:rPr>
        <w:t>A</w:t>
      </w:r>
      <w:r>
        <w:rPr>
          <w:i/>
          <w:color w:val="231F20"/>
          <w:w w:val="62"/>
          <w:sz w:val="21"/>
        </w:rPr>
        <w:t>c</w:t>
      </w:r>
      <w:r>
        <w:rPr>
          <w:i/>
          <w:color w:val="231F20"/>
          <w:w w:val="67"/>
          <w:sz w:val="21"/>
        </w:rPr>
        <w:t>e</w:t>
      </w:r>
      <w:r>
        <w:rPr>
          <w:i/>
          <w:color w:val="231F20"/>
          <w:w w:val="79"/>
          <w:sz w:val="21"/>
        </w:rPr>
        <w:t>r</w:t>
      </w:r>
      <w:r>
        <w:rPr>
          <w:i/>
          <w:color w:val="231F20"/>
          <w:w w:val="62"/>
          <w:sz w:val="21"/>
        </w:rPr>
        <w:t>c</w:t>
      </w:r>
      <w:r>
        <w:rPr>
          <w:i/>
          <w:color w:val="231F20"/>
          <w:w w:val="83"/>
          <w:sz w:val="21"/>
        </w:rPr>
        <w:t>a</w:t>
      </w:r>
      <w:r>
        <w:rPr>
          <w:i/>
          <w:color w:val="231F20"/>
          <w:sz w:val="21"/>
        </w:rPr>
        <w:t> </w:t>
      </w:r>
      <w:r>
        <w:rPr>
          <w:i/>
          <w:color w:val="231F20"/>
          <w:w w:val="83"/>
          <w:sz w:val="21"/>
        </w:rPr>
        <w:t>d</w:t>
      </w:r>
      <w:r>
        <w:rPr>
          <w:i/>
          <w:color w:val="231F20"/>
          <w:w w:val="67"/>
          <w:sz w:val="21"/>
        </w:rPr>
        <w:t>e</w:t>
      </w:r>
      <w:r>
        <w:rPr>
          <w:i/>
          <w:color w:val="231F20"/>
          <w:sz w:val="21"/>
        </w:rPr>
        <w:t> </w:t>
      </w:r>
      <w:r>
        <w:rPr>
          <w:i/>
          <w:color w:val="231F20"/>
          <w:w w:val="80"/>
          <w:sz w:val="21"/>
        </w:rPr>
        <w:t>l</w:t>
      </w:r>
      <w:r>
        <w:rPr>
          <w:i/>
          <w:color w:val="231F20"/>
          <w:w w:val="83"/>
          <w:sz w:val="21"/>
        </w:rPr>
        <w:t>a</w:t>
      </w:r>
      <w:r>
        <w:rPr>
          <w:i/>
          <w:color w:val="231F20"/>
          <w:sz w:val="21"/>
        </w:rPr>
        <w:t> </w:t>
      </w:r>
      <w:r>
        <w:rPr>
          <w:i/>
          <w:color w:val="231F20"/>
          <w:w w:val="77"/>
          <w:sz w:val="21"/>
        </w:rPr>
        <w:t>s</w:t>
      </w:r>
      <w:r>
        <w:rPr>
          <w:i/>
          <w:color w:val="231F20"/>
          <w:w w:val="88"/>
          <w:sz w:val="21"/>
        </w:rPr>
        <w:t>itu</w:t>
      </w:r>
      <w:r>
        <w:rPr>
          <w:i/>
          <w:color w:val="231F20"/>
          <w:w w:val="83"/>
          <w:sz w:val="21"/>
        </w:rPr>
        <w:t>a</w:t>
      </w:r>
      <w:r>
        <w:rPr>
          <w:i/>
          <w:color w:val="231F20"/>
          <w:w w:val="62"/>
          <w:sz w:val="21"/>
        </w:rPr>
        <w:t>c</w:t>
      </w:r>
      <w:r>
        <w:rPr>
          <w:i/>
          <w:color w:val="231F20"/>
          <w:w w:val="77"/>
          <w:sz w:val="21"/>
        </w:rPr>
        <w:t>ió</w:t>
      </w:r>
      <w:r>
        <w:rPr>
          <w:i/>
          <w:color w:val="231F20"/>
          <w:w w:val="87"/>
          <w:sz w:val="21"/>
        </w:rPr>
        <w:t>n</w:t>
      </w:r>
      <w:r>
        <w:rPr>
          <w:i/>
          <w:color w:val="231F20"/>
          <w:sz w:val="21"/>
        </w:rPr>
        <w:t> </w:t>
      </w:r>
      <w:r>
        <w:rPr>
          <w:i/>
          <w:color w:val="231F20"/>
          <w:w w:val="62"/>
          <w:sz w:val="21"/>
        </w:rPr>
        <w:t>c</w:t>
      </w:r>
      <w:r>
        <w:rPr>
          <w:i/>
          <w:color w:val="231F20"/>
          <w:w w:val="72"/>
          <w:sz w:val="21"/>
        </w:rPr>
        <w:t>o</w:t>
      </w:r>
      <w:r>
        <w:rPr>
          <w:i/>
          <w:color w:val="231F20"/>
          <w:w w:val="80"/>
          <w:sz w:val="21"/>
        </w:rPr>
        <w:t>l</w:t>
      </w:r>
      <w:r>
        <w:rPr>
          <w:i/>
          <w:color w:val="231F20"/>
          <w:w w:val="72"/>
          <w:sz w:val="21"/>
        </w:rPr>
        <w:t>o</w:t>
      </w:r>
      <w:r>
        <w:rPr>
          <w:i/>
          <w:color w:val="231F20"/>
          <w:w w:val="87"/>
          <w:sz w:val="21"/>
        </w:rPr>
        <w:t>n</w:t>
      </w:r>
      <w:r>
        <w:rPr>
          <w:i/>
          <w:color w:val="231F20"/>
          <w:w w:val="84"/>
          <w:sz w:val="21"/>
        </w:rPr>
        <w:t>ia</w:t>
      </w:r>
      <w:r>
        <w:rPr>
          <w:i/>
          <w:color w:val="231F20"/>
          <w:w w:val="80"/>
          <w:sz w:val="21"/>
        </w:rPr>
        <w:t>l</w:t>
      </w:r>
      <w:r>
        <w:rPr>
          <w:color w:val="231F20"/>
          <w:w w:val="90"/>
          <w:sz w:val="21"/>
        </w:rPr>
        <w:t>.</w:t>
      </w:r>
      <w:r>
        <w:rPr>
          <w:color w:val="231F20"/>
          <w:sz w:val="21"/>
        </w:rPr>
        <w:t> </w:t>
      </w:r>
      <w:r>
        <w:rPr>
          <w:color w:val="231F20"/>
          <w:w w:val="110"/>
          <w:sz w:val="21"/>
        </w:rPr>
        <w:t>E</w:t>
      </w:r>
      <w:r>
        <w:rPr>
          <w:color w:val="231F20"/>
          <w:w w:val="104"/>
          <w:sz w:val="21"/>
        </w:rPr>
        <w:t>n</w:t>
      </w:r>
      <w:r>
        <w:rPr>
          <w:color w:val="231F20"/>
          <w:sz w:val="21"/>
        </w:rPr>
        <w:t> </w:t>
      </w:r>
      <w:r>
        <w:rPr>
          <w:i/>
          <w:color w:val="231F20"/>
          <w:w w:val="115"/>
          <w:sz w:val="21"/>
        </w:rPr>
        <w:t>E</w:t>
      </w:r>
      <w:r>
        <w:rPr>
          <w:i/>
          <w:color w:val="231F20"/>
          <w:w w:val="83"/>
          <w:sz w:val="21"/>
        </w:rPr>
        <w:t>d</w:t>
      </w:r>
      <w:r>
        <w:rPr>
          <w:i/>
          <w:color w:val="231F20"/>
          <w:w w:val="84"/>
          <w:sz w:val="21"/>
        </w:rPr>
        <w:t>i</w:t>
      </w:r>
      <w:r>
        <w:rPr>
          <w:i/>
          <w:color w:val="231F20"/>
          <w:w w:val="62"/>
          <w:sz w:val="21"/>
        </w:rPr>
        <w:t>c</w:t>
      </w:r>
      <w:r>
        <w:rPr>
          <w:i/>
          <w:color w:val="231F20"/>
          <w:w w:val="84"/>
          <w:sz w:val="21"/>
        </w:rPr>
        <w:t>i</w:t>
      </w:r>
      <w:r>
        <w:rPr>
          <w:i/>
          <w:color w:val="231F20"/>
          <w:w w:val="80"/>
          <w:sz w:val="21"/>
        </w:rPr>
        <w:t>on</w:t>
      </w:r>
      <w:r>
        <w:rPr>
          <w:i/>
          <w:color w:val="231F20"/>
          <w:w w:val="67"/>
          <w:sz w:val="21"/>
        </w:rPr>
        <w:t>e</w:t>
      </w:r>
      <w:r>
        <w:rPr>
          <w:i/>
          <w:color w:val="231F20"/>
          <w:w w:val="77"/>
          <w:sz w:val="21"/>
        </w:rPr>
        <w:t>s</w:t>
      </w:r>
      <w:r>
        <w:rPr>
          <w:i/>
          <w:color w:val="231F20"/>
          <w:w w:val="77"/>
          <w:sz w:val="21"/>
        </w:rPr>
        <w:t> </w:t>
      </w:r>
      <w:r>
        <w:rPr>
          <w:i/>
          <w:color w:val="231F20"/>
          <w:sz w:val="21"/>
        </w:rPr>
        <w:t>del taller abierto. </w:t>
      </w:r>
      <w:r>
        <w:rPr>
          <w:color w:val="231F20"/>
          <w:sz w:val="21"/>
        </w:rPr>
        <w:t>México DF: Escuela Nacional de </w:t>
      </w:r>
      <w:r>
        <w:rPr>
          <w:color w:val="231F20"/>
          <w:w w:val="96"/>
          <w:sz w:val="21"/>
        </w:rPr>
        <w:t>A</w:t>
      </w:r>
      <w:r>
        <w:rPr>
          <w:color w:val="231F20"/>
          <w:w w:val="104"/>
          <w:sz w:val="21"/>
        </w:rPr>
        <w:t>n</w:t>
      </w:r>
      <w:r>
        <w:rPr>
          <w:color w:val="231F20"/>
          <w:w w:val="107"/>
          <w:sz w:val="21"/>
        </w:rPr>
        <w:t>t</w:t>
      </w:r>
      <w:r>
        <w:rPr>
          <w:color w:val="231F20"/>
          <w:w w:val="103"/>
          <w:sz w:val="21"/>
        </w:rPr>
        <w:t>r</w:t>
      </w:r>
      <w:r>
        <w:rPr>
          <w:color w:val="231F20"/>
          <w:w w:val="104"/>
          <w:sz w:val="21"/>
        </w:rPr>
        <w:t>opo</w:t>
      </w:r>
      <w:r>
        <w:rPr>
          <w:color w:val="231F20"/>
          <w:w w:val="97"/>
          <w:sz w:val="21"/>
        </w:rPr>
        <w:t>lo</w:t>
      </w:r>
      <w:r>
        <w:rPr>
          <w:color w:val="231F20"/>
          <w:w w:val="92"/>
          <w:sz w:val="21"/>
        </w:rPr>
        <w:t>g</w:t>
      </w:r>
      <w:r>
        <w:rPr>
          <w:color w:val="231F20"/>
          <w:w w:val="90"/>
          <w:sz w:val="21"/>
        </w:rPr>
        <w:t>ía</w:t>
      </w:r>
      <w:r>
        <w:rPr>
          <w:color w:val="231F20"/>
          <w:sz w:val="21"/>
        </w:rPr>
        <w:t> </w:t>
      </w:r>
      <w:r>
        <w:rPr>
          <w:color w:val="231F20"/>
          <w:w w:val="96"/>
          <w:sz w:val="21"/>
        </w:rPr>
        <w:t>e</w:t>
      </w:r>
      <w:r>
        <w:rPr>
          <w:color w:val="231F20"/>
          <w:sz w:val="21"/>
        </w:rPr>
        <w:t> </w:t>
      </w:r>
      <w:r>
        <w:rPr>
          <w:color w:val="231F20"/>
          <w:w w:val="108"/>
          <w:sz w:val="21"/>
        </w:rPr>
        <w:t>H</w:t>
      </w:r>
      <w:r>
        <w:rPr>
          <w:color w:val="231F20"/>
          <w:w w:val="91"/>
          <w:sz w:val="21"/>
        </w:rPr>
        <w:t>is</w:t>
      </w:r>
      <w:r>
        <w:rPr>
          <w:color w:val="231F20"/>
          <w:w w:val="107"/>
          <w:sz w:val="21"/>
        </w:rPr>
        <w:t>t</w:t>
      </w:r>
      <w:r>
        <w:rPr>
          <w:color w:val="231F20"/>
          <w:w w:val="104"/>
          <w:sz w:val="21"/>
        </w:rPr>
        <w:t>o</w:t>
      </w:r>
      <w:r>
        <w:rPr>
          <w:color w:val="231F20"/>
          <w:w w:val="103"/>
          <w:sz w:val="21"/>
        </w:rPr>
        <w:t>r</w:t>
      </w:r>
      <w:r>
        <w:rPr>
          <w:color w:val="231F20"/>
          <w:w w:val="90"/>
          <w:sz w:val="21"/>
        </w:rPr>
        <w:t>ia</w:t>
      </w:r>
      <w:r>
        <w:rPr>
          <w:color w:val="231F20"/>
          <w:w w:val="185"/>
          <w:sz w:val="21"/>
        </w:rPr>
        <w:t>/</w:t>
      </w:r>
      <w:r>
        <w:rPr>
          <w:color w:val="231F20"/>
          <w:w w:val="110"/>
          <w:sz w:val="21"/>
        </w:rPr>
        <w:t>E</w:t>
      </w:r>
      <w:r>
        <w:rPr>
          <w:color w:val="231F20"/>
          <w:w w:val="102"/>
          <w:sz w:val="21"/>
        </w:rPr>
        <w:t>d</w:t>
      </w:r>
      <w:r>
        <w:rPr>
          <w:color w:val="231F20"/>
          <w:w w:val="92"/>
          <w:sz w:val="21"/>
        </w:rPr>
        <w:t>ic</w:t>
      </w:r>
      <w:r>
        <w:rPr>
          <w:color w:val="231F20"/>
          <w:w w:val="97"/>
          <w:sz w:val="21"/>
        </w:rPr>
        <w:t>io</w:t>
      </w:r>
      <w:r>
        <w:rPr>
          <w:color w:val="231F20"/>
          <w:w w:val="104"/>
          <w:sz w:val="21"/>
        </w:rPr>
        <w:t>n</w:t>
      </w:r>
      <w:r>
        <w:rPr>
          <w:color w:val="231F20"/>
          <w:w w:val="96"/>
          <w:sz w:val="21"/>
        </w:rPr>
        <w:t>e</w:t>
      </w:r>
      <w:r>
        <w:rPr>
          <w:color w:val="231F20"/>
          <w:w w:val="96"/>
          <w:sz w:val="21"/>
        </w:rPr>
        <w:t>s</w:t>
      </w:r>
      <w:r>
        <w:rPr>
          <w:color w:val="231F20"/>
          <w:sz w:val="21"/>
        </w:rPr>
        <w:t> </w:t>
      </w:r>
      <w:r>
        <w:rPr>
          <w:color w:val="231F20"/>
          <w:w w:val="102"/>
          <w:sz w:val="21"/>
        </w:rPr>
        <w:t>d</w:t>
      </w:r>
      <w:r>
        <w:rPr>
          <w:color w:val="231F20"/>
          <w:w w:val="96"/>
          <w:sz w:val="21"/>
        </w:rPr>
        <w:t>e</w:t>
      </w:r>
      <w:r>
        <w:rPr>
          <w:color w:val="231F20"/>
          <w:w w:val="84"/>
          <w:sz w:val="21"/>
        </w:rPr>
        <w:t>l</w:t>
      </w:r>
      <w:r>
        <w:rPr>
          <w:color w:val="231F20"/>
          <w:sz w:val="21"/>
        </w:rPr>
        <w:t> </w:t>
      </w:r>
      <w:r>
        <w:rPr>
          <w:color w:val="231F20"/>
          <w:w w:val="103"/>
          <w:sz w:val="21"/>
        </w:rPr>
        <w:t>T</w:t>
      </w:r>
      <w:r>
        <w:rPr>
          <w:color w:val="231F20"/>
          <w:w w:val="94"/>
          <w:sz w:val="21"/>
        </w:rPr>
        <w:t>a</w:t>
      </w:r>
      <w:r>
        <w:rPr>
          <w:color w:val="231F20"/>
          <w:w w:val="89"/>
          <w:sz w:val="21"/>
        </w:rPr>
        <w:t>lle</w:t>
      </w:r>
      <w:r>
        <w:rPr>
          <w:color w:val="231F20"/>
          <w:w w:val="103"/>
          <w:sz w:val="21"/>
        </w:rPr>
        <w:t>r</w:t>
      </w:r>
      <w:r>
        <w:rPr>
          <w:color w:val="231F20"/>
          <w:sz w:val="21"/>
        </w:rPr>
        <w:t> </w:t>
      </w:r>
      <w:r>
        <w:rPr>
          <w:color w:val="231F20"/>
          <w:w w:val="96"/>
          <w:sz w:val="21"/>
        </w:rPr>
        <w:t>A</w:t>
      </w:r>
      <w:r>
        <w:rPr>
          <w:color w:val="231F20"/>
          <w:w w:val="104"/>
          <w:sz w:val="21"/>
        </w:rPr>
        <w:t>b</w:t>
      </w:r>
      <w:r>
        <w:rPr>
          <w:color w:val="231F20"/>
          <w:w w:val="92"/>
          <w:sz w:val="21"/>
        </w:rPr>
        <w:t>ie</w:t>
      </w:r>
      <w:r>
        <w:rPr>
          <w:color w:val="231F20"/>
          <w:w w:val="103"/>
          <w:sz w:val="21"/>
        </w:rPr>
        <w:t>r</w:t>
      </w:r>
      <w:r>
        <w:rPr>
          <w:color w:val="231F20"/>
          <w:w w:val="107"/>
          <w:sz w:val="21"/>
        </w:rPr>
        <w:t>t</w:t>
      </w:r>
      <w:r>
        <w:rPr>
          <w:color w:val="231F20"/>
          <w:w w:val="104"/>
          <w:sz w:val="21"/>
        </w:rPr>
        <w:t>o</w:t>
      </w:r>
      <w:r>
        <w:rPr>
          <w:color w:val="231F20"/>
          <w:w w:val="89"/>
          <w:sz w:val="21"/>
        </w:rPr>
        <w:t>.</w:t>
      </w:r>
    </w:p>
    <w:p>
      <w:pPr>
        <w:spacing w:after="0" w:line="244" w:lineRule="auto"/>
        <w:jc w:val="left"/>
        <w:rPr>
          <w:sz w:val="21"/>
        </w:rPr>
        <w:sectPr>
          <w:headerReference w:type="default" r:id="rId807"/>
          <w:footerReference w:type="default" r:id="rId808"/>
          <w:pgSz w:w="7830" w:h="11910"/>
          <w:pgMar w:header="0" w:footer="424" w:top="500" w:bottom="620" w:left="920" w:right="900"/>
          <w:pgNumType w:start="363"/>
        </w:sectPr>
      </w:pPr>
    </w:p>
    <w:p>
      <w:pPr>
        <w:spacing w:before="46"/>
        <w:ind w:left="564" w:right="561"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ind w:left="102"/>
      </w:pPr>
      <w:r>
        <w:rPr>
          <w:color w:val="231F20"/>
        </w:rPr>
        <w:t>Banchs, María A., Agudo-Guevara, Álvaro y Astorga, Leslie. (2007).</w:t>
      </w:r>
    </w:p>
    <w:p>
      <w:pPr>
        <w:spacing w:line="244" w:lineRule="auto" w:before="8"/>
        <w:ind w:left="822" w:right="302" w:firstLine="0"/>
        <w:jc w:val="left"/>
        <w:rPr>
          <w:sz w:val="21"/>
        </w:rPr>
      </w:pPr>
      <w:r>
        <w:rPr>
          <w:color w:val="231F20"/>
          <w:sz w:val="21"/>
        </w:rPr>
        <w:t>Espacios imaginarios, representaciones y memoria social. En Arruda, Ángela y de Alba, Martha. (Coords.). En </w:t>
      </w:r>
      <w:r>
        <w:rPr>
          <w:i/>
          <w:color w:val="231F20"/>
          <w:w w:val="85"/>
          <w:sz w:val="21"/>
        </w:rPr>
        <w:t>Espacios imaginarios y representaciones sociales. Aportes desde </w:t>
      </w:r>
      <w:r>
        <w:rPr>
          <w:i/>
          <w:color w:val="231F20"/>
          <w:w w:val="95"/>
          <w:sz w:val="21"/>
        </w:rPr>
        <w:t>América  Latina.  </w:t>
      </w:r>
      <w:r>
        <w:rPr>
          <w:color w:val="231F20"/>
          <w:w w:val="95"/>
          <w:sz w:val="21"/>
        </w:rPr>
        <w:t>Barcelona: Anthropos-UAM.</w:t>
      </w:r>
    </w:p>
    <w:p>
      <w:pPr>
        <w:spacing w:before="3"/>
        <w:ind w:left="102" w:right="0" w:firstLine="0"/>
        <w:jc w:val="left"/>
        <w:rPr>
          <w:sz w:val="21"/>
        </w:rPr>
      </w:pPr>
      <w:r>
        <w:rPr>
          <w:color w:val="231F20"/>
          <w:sz w:val="21"/>
        </w:rPr>
        <w:t>Hobsbawm, Eric. (1995). </w:t>
      </w:r>
      <w:r>
        <w:rPr>
          <w:i/>
          <w:color w:val="231F20"/>
          <w:sz w:val="21"/>
        </w:rPr>
        <w:t>Historia del siglo XX. </w:t>
      </w:r>
      <w:r>
        <w:rPr>
          <w:color w:val="231F20"/>
          <w:sz w:val="21"/>
        </w:rPr>
        <w:t>Barcelona: Crítica.</w:t>
      </w:r>
    </w:p>
    <w:p>
      <w:pPr>
        <w:pStyle w:val="BodyText"/>
        <w:spacing w:line="244" w:lineRule="auto" w:before="8"/>
        <w:ind w:left="822" w:hanging="720"/>
      </w:pPr>
      <w:r>
        <w:rPr>
          <w:color w:val="231F20"/>
        </w:rPr>
        <w:t>Montes-García, Olga. (1998). El indio visto por una oligarquía </w:t>
      </w:r>
      <w:r>
        <w:rPr>
          <w:color w:val="231F20"/>
          <w:w w:val="95"/>
        </w:rPr>
        <w:t>regional: el caso de Oaxaca. </w:t>
      </w:r>
      <w:r>
        <w:rPr>
          <w:i/>
          <w:color w:val="231F20"/>
          <w:w w:val="95"/>
        </w:rPr>
        <w:t>Ateliers de Caravelle. </w:t>
      </w:r>
      <w:r>
        <w:rPr>
          <w:color w:val="231F20"/>
          <w:w w:val="95"/>
        </w:rPr>
        <w:t>Francia: </w:t>
      </w:r>
      <w:r>
        <w:rPr>
          <w:color w:val="231F20"/>
        </w:rPr>
        <w:t>Universidad Tolouse-II.</w:t>
      </w:r>
    </w:p>
    <w:p>
      <w:pPr>
        <w:spacing w:line="247" w:lineRule="auto" w:before="0"/>
        <w:ind w:left="822" w:right="121" w:hanging="721"/>
        <w:jc w:val="left"/>
        <w:rPr>
          <w:sz w:val="21"/>
        </w:rPr>
      </w:pPr>
      <w:r>
        <w:rPr>
          <w:color w:val="231F20"/>
          <w:sz w:val="21"/>
        </w:rPr>
        <w:t>Ordorika, Imanol. (2005). Violencia y porrismo en la educación superior en México. </w:t>
      </w:r>
      <w:r>
        <w:rPr>
          <w:i/>
          <w:color w:val="231F20"/>
          <w:sz w:val="21"/>
        </w:rPr>
        <w:t>Anuario educativo mexicano; visión </w:t>
      </w:r>
      <w:r>
        <w:rPr>
          <w:i/>
          <w:color w:val="231F20"/>
          <w:sz w:val="21"/>
        </w:rPr>
        <w:t>retrospectiva.</w:t>
      </w:r>
      <w:r>
        <w:rPr>
          <w:i/>
          <w:color w:val="231F20"/>
          <w:spacing w:val="-26"/>
          <w:sz w:val="21"/>
        </w:rPr>
        <w:t> </w:t>
      </w:r>
      <w:r>
        <w:rPr>
          <w:color w:val="231F20"/>
          <w:sz w:val="21"/>
        </w:rPr>
        <w:t>México</w:t>
      </w:r>
      <w:r>
        <w:rPr>
          <w:color w:val="231F20"/>
          <w:spacing w:val="-26"/>
          <w:sz w:val="21"/>
        </w:rPr>
        <w:t> </w:t>
      </w:r>
      <w:r>
        <w:rPr>
          <w:color w:val="231F20"/>
          <w:sz w:val="21"/>
        </w:rPr>
        <w:t>DF:</w:t>
      </w:r>
      <w:r>
        <w:rPr>
          <w:color w:val="231F20"/>
          <w:spacing w:val="-26"/>
          <w:sz w:val="21"/>
        </w:rPr>
        <w:t> </w:t>
      </w:r>
      <w:r>
        <w:rPr>
          <w:color w:val="231F20"/>
          <w:sz w:val="21"/>
        </w:rPr>
        <w:t>UPN/Porrúa,</w:t>
      </w:r>
      <w:r>
        <w:rPr>
          <w:color w:val="231F20"/>
          <w:spacing w:val="-26"/>
          <w:sz w:val="21"/>
        </w:rPr>
        <w:t> </w:t>
      </w:r>
      <w:r>
        <w:rPr>
          <w:color w:val="231F20"/>
          <w:sz w:val="21"/>
        </w:rPr>
        <w:t>459-475.</w:t>
      </w:r>
      <w:r>
        <w:rPr>
          <w:color w:val="231F20"/>
          <w:spacing w:val="-26"/>
          <w:sz w:val="21"/>
        </w:rPr>
        <w:t> </w:t>
      </w:r>
      <w:r>
        <w:rPr>
          <w:color w:val="231F20"/>
          <w:sz w:val="21"/>
        </w:rPr>
        <w:t>Disponible en: </w:t>
      </w:r>
      <w:hyperlink r:id="rId811">
        <w:r>
          <w:rPr>
            <w:color w:val="231F20"/>
            <w:spacing w:val="2"/>
            <w:w w:val="104"/>
            <w:sz w:val="21"/>
          </w:rPr>
          <w:t>h</w:t>
        </w:r>
        <w:r>
          <w:rPr>
            <w:color w:val="231F20"/>
            <w:spacing w:val="1"/>
            <w:w w:val="107"/>
            <w:sz w:val="21"/>
          </w:rPr>
          <w:t>tt</w:t>
        </w:r>
        <w:r>
          <w:rPr>
            <w:color w:val="231F20"/>
            <w:spacing w:val="2"/>
            <w:w w:val="104"/>
            <w:sz w:val="21"/>
          </w:rPr>
          <w:t>p</w:t>
        </w:r>
        <w:r>
          <w:rPr>
            <w:color w:val="231F20"/>
            <w:w w:val="80"/>
            <w:sz w:val="21"/>
          </w:rPr>
          <w:t>:</w:t>
        </w:r>
        <w:r>
          <w:rPr>
            <w:color w:val="231F20"/>
            <w:spacing w:val="2"/>
            <w:w w:val="185"/>
            <w:sz w:val="21"/>
          </w:rPr>
          <w:t>//</w:t>
        </w:r>
        <w:r>
          <w:rPr>
            <w:color w:val="231F20"/>
            <w:spacing w:val="2"/>
            <w:w w:val="104"/>
            <w:sz w:val="21"/>
          </w:rPr>
          <w:t>b</w:t>
        </w:r>
        <w:r>
          <w:rPr>
            <w:color w:val="231F20"/>
            <w:w w:val="84"/>
            <w:sz w:val="21"/>
          </w:rPr>
          <w:t>i</w:t>
        </w:r>
        <w:r>
          <w:rPr>
            <w:color w:val="231F20"/>
            <w:spacing w:val="2"/>
            <w:w w:val="104"/>
            <w:sz w:val="21"/>
          </w:rPr>
          <w:t>b</w:t>
        </w:r>
        <w:r>
          <w:rPr>
            <w:color w:val="231F20"/>
            <w:w w:val="84"/>
            <w:sz w:val="21"/>
          </w:rPr>
          <w:t>li</w:t>
        </w:r>
        <w:r>
          <w:rPr>
            <w:color w:val="231F20"/>
            <w:spacing w:val="2"/>
            <w:w w:val="104"/>
            <w:sz w:val="21"/>
          </w:rPr>
          <w:t>o</w:t>
        </w:r>
        <w:r>
          <w:rPr>
            <w:color w:val="231F20"/>
            <w:spacing w:val="1"/>
            <w:w w:val="107"/>
            <w:sz w:val="21"/>
          </w:rPr>
          <w:t>t</w:t>
        </w:r>
        <w:r>
          <w:rPr>
            <w:color w:val="231F20"/>
            <w:spacing w:val="1"/>
            <w:w w:val="96"/>
            <w:sz w:val="21"/>
          </w:rPr>
          <w:t>ec</w:t>
        </w:r>
        <w:r>
          <w:rPr>
            <w:color w:val="231F20"/>
            <w:spacing w:val="1"/>
            <w:w w:val="94"/>
            <w:sz w:val="21"/>
          </w:rPr>
          <w:t>a</w:t>
        </w:r>
        <w:r>
          <w:rPr>
            <w:color w:val="231F20"/>
            <w:w w:val="90"/>
            <w:sz w:val="21"/>
          </w:rPr>
          <w:t>.</w:t>
        </w:r>
        <w:r>
          <w:rPr>
            <w:color w:val="231F20"/>
            <w:spacing w:val="2"/>
            <w:w w:val="102"/>
            <w:sz w:val="21"/>
          </w:rPr>
          <w:t>d</w:t>
        </w:r>
        <w:r>
          <w:rPr>
            <w:color w:val="231F20"/>
            <w:w w:val="84"/>
            <w:sz w:val="21"/>
          </w:rPr>
          <w:t>i</w:t>
        </w:r>
        <w:r>
          <w:rPr>
            <w:color w:val="231F20"/>
            <w:spacing w:val="2"/>
            <w:w w:val="104"/>
            <w:sz w:val="21"/>
          </w:rPr>
          <w:t>p</w:t>
        </w:r>
        <w:r>
          <w:rPr>
            <w:color w:val="231F20"/>
            <w:spacing w:val="2"/>
            <w:w w:val="103"/>
            <w:sz w:val="21"/>
          </w:rPr>
          <w:t>u</w:t>
        </w:r>
        <w:r>
          <w:rPr>
            <w:color w:val="231F20"/>
            <w:spacing w:val="1"/>
            <w:w w:val="103"/>
            <w:sz w:val="21"/>
          </w:rPr>
          <w:t>t</w:t>
        </w:r>
        <w:r>
          <w:rPr>
            <w:color w:val="231F20"/>
            <w:spacing w:val="1"/>
            <w:w w:val="94"/>
            <w:sz w:val="21"/>
          </w:rPr>
          <w:t>a</w:t>
        </w:r>
        <w:r>
          <w:rPr>
            <w:color w:val="231F20"/>
            <w:spacing w:val="2"/>
            <w:w w:val="102"/>
            <w:sz w:val="21"/>
          </w:rPr>
          <w:t>d</w:t>
        </w:r>
        <w:r>
          <w:rPr>
            <w:color w:val="231F20"/>
            <w:spacing w:val="2"/>
            <w:w w:val="104"/>
            <w:sz w:val="21"/>
          </w:rPr>
          <w:t>o</w:t>
        </w:r>
        <w:r>
          <w:rPr>
            <w:color w:val="231F20"/>
            <w:spacing w:val="1"/>
            <w:w w:val="96"/>
            <w:sz w:val="21"/>
          </w:rPr>
          <w:t>s</w:t>
        </w:r>
        <w:r>
          <w:rPr>
            <w:color w:val="231F20"/>
            <w:w w:val="90"/>
            <w:sz w:val="21"/>
          </w:rPr>
          <w:t>.</w:t>
        </w:r>
        <w:r>
          <w:rPr>
            <w:color w:val="231F20"/>
            <w:spacing w:val="1"/>
            <w:w w:val="92"/>
            <w:sz w:val="21"/>
          </w:rPr>
          <w:t>g</w:t>
        </w:r>
        <w:r>
          <w:rPr>
            <w:color w:val="231F20"/>
            <w:spacing w:val="2"/>
            <w:w w:val="104"/>
            <w:sz w:val="21"/>
          </w:rPr>
          <w:t>ob</w:t>
        </w:r>
        <w:r>
          <w:rPr>
            <w:color w:val="231F20"/>
            <w:w w:val="90"/>
            <w:sz w:val="21"/>
          </w:rPr>
          <w:t>.</w:t>
        </w:r>
        <w:r>
          <w:rPr>
            <w:color w:val="231F20"/>
            <w:spacing w:val="3"/>
            <w:w w:val="101"/>
            <w:sz w:val="21"/>
          </w:rPr>
          <w:t>m</w:t>
        </w:r>
        <w:r>
          <w:rPr>
            <w:color w:val="231F20"/>
            <w:spacing w:val="1"/>
            <w:w w:val="126"/>
            <w:sz w:val="21"/>
          </w:rPr>
          <w:t>x</w:t>
        </w:r>
        <w:r>
          <w:rPr>
            <w:color w:val="231F20"/>
            <w:spacing w:val="2"/>
            <w:w w:val="126"/>
            <w:sz w:val="21"/>
          </w:rPr>
          <w:t>/</w:t>
        </w:r>
        <w:r>
          <w:rPr>
            <w:color w:val="231F20"/>
            <w:w w:val="84"/>
            <w:sz w:val="21"/>
          </w:rPr>
          <w:t>j</w:t>
        </w:r>
        <w:r>
          <w:rPr>
            <w:color w:val="231F20"/>
            <w:spacing w:val="1"/>
            <w:w w:val="94"/>
            <w:sz w:val="21"/>
          </w:rPr>
          <w:t>a</w:t>
        </w:r>
        <w:r>
          <w:rPr>
            <w:color w:val="231F20"/>
            <w:spacing w:val="2"/>
            <w:w w:val="104"/>
            <w:sz w:val="21"/>
          </w:rPr>
          <w:t>n</w:t>
        </w:r>
        <w:r>
          <w:rPr>
            <w:color w:val="231F20"/>
            <w:w w:val="84"/>
            <w:sz w:val="21"/>
          </w:rPr>
          <w:t>i</w:t>
        </w:r>
        <w:r>
          <w:rPr>
            <w:color w:val="231F20"/>
            <w:spacing w:val="2"/>
            <w:w w:val="101"/>
            <w:sz w:val="21"/>
          </w:rPr>
          <w:t>u</w:t>
        </w:r>
        <w:r>
          <w:rPr>
            <w:color w:val="231F20"/>
            <w:spacing w:val="3"/>
            <w:w w:val="101"/>
            <w:sz w:val="21"/>
          </w:rPr>
          <w:t>m</w:t>
        </w:r>
        <w:r>
          <w:rPr>
            <w:color w:val="231F20"/>
            <w:spacing w:val="2"/>
            <w:w w:val="185"/>
            <w:sz w:val="21"/>
          </w:rPr>
          <w:t>/</w:t>
        </w:r>
        <w:r>
          <w:rPr>
            <w:color w:val="231F20"/>
            <w:spacing w:val="2"/>
            <w:w w:val="104"/>
            <w:sz w:val="21"/>
          </w:rPr>
          <w:t>b</w:t>
        </w:r>
        <w:r>
          <w:rPr>
            <w:color w:val="231F20"/>
            <w:spacing w:val="2"/>
            <w:w w:val="128"/>
            <w:sz w:val="21"/>
          </w:rPr>
          <w:t>v/</w:t>
        </w:r>
        <w:r>
          <w:rPr>
            <w:color w:val="231F20"/>
            <w:spacing w:val="1"/>
            <w:w w:val="96"/>
            <w:sz w:val="21"/>
          </w:rPr>
          <w:t>ce</w:t>
        </w:r>
        <w:r>
          <w:rPr>
            <w:color w:val="231F20"/>
            <w:spacing w:val="2"/>
            <w:w w:val="185"/>
            <w:sz w:val="21"/>
          </w:rPr>
          <w:t>/</w:t>
        </w:r>
        <w:r>
          <w:rPr>
            <w:color w:val="231F20"/>
            <w:spacing w:val="1"/>
            <w:w w:val="96"/>
            <w:sz w:val="21"/>
          </w:rPr>
          <w:t>s</w:t>
        </w:r>
        <w:r>
          <w:rPr>
            <w:color w:val="231F20"/>
            <w:spacing w:val="1"/>
            <w:w w:val="96"/>
            <w:sz w:val="21"/>
          </w:rPr>
          <w:t>c</w:t>
        </w:r>
        <w:r>
          <w:rPr>
            <w:color w:val="231F20"/>
            <w:spacing w:val="2"/>
            <w:w w:val="104"/>
            <w:sz w:val="21"/>
          </w:rPr>
          <w:t>p</w:t>
        </w:r>
        <w:r>
          <w:rPr>
            <w:color w:val="231F20"/>
            <w:spacing w:val="2"/>
            <w:w w:val="102"/>
            <w:sz w:val="21"/>
          </w:rPr>
          <w:t>d</w:t>
        </w:r>
        <w:r>
          <w:rPr>
            <w:color w:val="231F20"/>
            <w:w w:val="185"/>
            <w:sz w:val="21"/>
          </w:rPr>
          <w:t>/</w:t>
        </w:r>
      </w:hyperlink>
      <w:r>
        <w:rPr>
          <w:color w:val="231F20"/>
          <w:w w:val="185"/>
          <w:sz w:val="21"/>
        </w:rPr>
        <w:t> </w:t>
      </w:r>
      <w:r>
        <w:rPr>
          <w:color w:val="231F20"/>
          <w:sz w:val="21"/>
        </w:rPr>
        <w:t>LX/anuedu.pdf</w:t>
      </w:r>
    </w:p>
    <w:p>
      <w:pPr>
        <w:pStyle w:val="BodyText"/>
        <w:spacing w:line="242" w:lineRule="auto" w:before="1"/>
        <w:ind w:left="822" w:right="214" w:hanging="721"/>
      </w:pPr>
      <w:r>
        <w:rPr>
          <w:color w:val="231F20"/>
        </w:rPr>
        <w:t>Organización Mundial de la Salud. (2002). Informe mundial sobre la violencia y la salud. Washington, D.C.</w:t>
      </w:r>
    </w:p>
    <w:p>
      <w:pPr>
        <w:spacing w:line="244" w:lineRule="auto" w:before="6"/>
        <w:ind w:left="822" w:right="258" w:hanging="721"/>
        <w:jc w:val="left"/>
        <w:rPr>
          <w:sz w:val="21"/>
        </w:rPr>
      </w:pPr>
      <w:r>
        <w:rPr>
          <w:color w:val="231F20"/>
          <w:spacing w:val="2"/>
          <w:w w:val="96"/>
          <w:sz w:val="21"/>
        </w:rPr>
        <w:t>V</w:t>
      </w:r>
      <w:r>
        <w:rPr>
          <w:color w:val="231F20"/>
          <w:spacing w:val="1"/>
          <w:w w:val="94"/>
          <w:sz w:val="21"/>
        </w:rPr>
        <w:t>a</w:t>
      </w:r>
      <w:r>
        <w:rPr>
          <w:color w:val="231F20"/>
          <w:w w:val="89"/>
          <w:sz w:val="21"/>
        </w:rPr>
        <w:t>ll</w:t>
      </w:r>
      <w:r>
        <w:rPr>
          <w:color w:val="231F20"/>
          <w:spacing w:val="1"/>
          <w:w w:val="89"/>
          <w:sz w:val="21"/>
        </w:rPr>
        <w:t>s</w:t>
      </w:r>
      <w:r>
        <w:rPr>
          <w:color w:val="231F20"/>
          <w:spacing w:val="1"/>
          <w:w w:val="96"/>
          <w:sz w:val="21"/>
        </w:rPr>
        <w:t>-</w:t>
      </w:r>
      <w:r>
        <w:rPr>
          <w:color w:val="231F20"/>
          <w:spacing w:val="2"/>
          <w:w w:val="97"/>
          <w:sz w:val="21"/>
        </w:rPr>
        <w:t>C</w:t>
      </w:r>
      <w:r>
        <w:rPr>
          <w:color w:val="231F20"/>
          <w:spacing w:val="1"/>
          <w:w w:val="94"/>
          <w:sz w:val="21"/>
        </w:rPr>
        <w:t>a</w:t>
      </w:r>
      <w:r>
        <w:rPr>
          <w:color w:val="231F20"/>
          <w:spacing w:val="1"/>
          <w:w w:val="103"/>
          <w:sz w:val="21"/>
        </w:rPr>
        <w:t>r</w:t>
      </w:r>
      <w:r>
        <w:rPr>
          <w:color w:val="231F20"/>
          <w:spacing w:val="2"/>
          <w:w w:val="104"/>
          <w:sz w:val="21"/>
        </w:rPr>
        <w:t>o</w:t>
      </w:r>
      <w:r>
        <w:rPr>
          <w:color w:val="231F20"/>
          <w:w w:val="87"/>
          <w:sz w:val="21"/>
        </w:rPr>
        <w:t>l,</w:t>
      </w:r>
      <w:r>
        <w:rPr>
          <w:color w:val="231F20"/>
          <w:spacing w:val="3"/>
          <w:sz w:val="21"/>
        </w:rPr>
        <w:t> </w:t>
      </w:r>
      <w:r>
        <w:rPr>
          <w:color w:val="231F20"/>
          <w:spacing w:val="2"/>
          <w:w w:val="96"/>
          <w:sz w:val="21"/>
        </w:rPr>
        <w:t>R</w:t>
      </w:r>
      <w:r>
        <w:rPr>
          <w:color w:val="231F20"/>
          <w:spacing w:val="2"/>
          <w:w w:val="104"/>
          <w:sz w:val="21"/>
        </w:rPr>
        <w:t>o</w:t>
      </w:r>
      <w:r>
        <w:rPr>
          <w:color w:val="231F20"/>
          <w:spacing w:val="1"/>
          <w:w w:val="96"/>
          <w:sz w:val="21"/>
        </w:rPr>
        <w:t>s</w:t>
      </w:r>
      <w:r>
        <w:rPr>
          <w:color w:val="231F20"/>
          <w:spacing w:val="1"/>
          <w:w w:val="94"/>
          <w:sz w:val="21"/>
        </w:rPr>
        <w:t>a</w:t>
      </w:r>
      <w:r>
        <w:rPr>
          <w:color w:val="231F20"/>
          <w:w w:val="90"/>
          <w:sz w:val="21"/>
        </w:rPr>
        <w:t>.</w:t>
      </w:r>
      <w:r>
        <w:rPr>
          <w:color w:val="231F20"/>
          <w:spacing w:val="3"/>
          <w:sz w:val="21"/>
        </w:rPr>
        <w:t> </w:t>
      </w:r>
      <w:r>
        <w:rPr>
          <w:color w:val="231F20"/>
          <w:spacing w:val="1"/>
          <w:w w:val="90"/>
          <w:sz w:val="21"/>
        </w:rPr>
        <w:t>(</w:t>
      </w:r>
      <w:r>
        <w:rPr>
          <w:color w:val="231F20"/>
          <w:spacing w:val="1"/>
          <w:w w:val="95"/>
          <w:sz w:val="21"/>
        </w:rPr>
        <w:t>2008)</w:t>
      </w:r>
      <w:r>
        <w:rPr>
          <w:color w:val="231F20"/>
          <w:w w:val="90"/>
          <w:sz w:val="21"/>
        </w:rPr>
        <w:t>.</w:t>
      </w:r>
      <w:r>
        <w:rPr>
          <w:color w:val="231F20"/>
          <w:spacing w:val="3"/>
          <w:sz w:val="21"/>
        </w:rPr>
        <w:t> </w:t>
      </w:r>
      <w:r>
        <w:rPr>
          <w:i/>
          <w:color w:val="231F20"/>
          <w:spacing w:val="3"/>
          <w:w w:val="135"/>
          <w:sz w:val="21"/>
        </w:rPr>
        <w:t>V</w:t>
      </w:r>
      <w:r>
        <w:rPr>
          <w:i/>
          <w:color w:val="231F20"/>
          <w:w w:val="84"/>
          <w:sz w:val="21"/>
        </w:rPr>
        <w:t>i</w:t>
      </w:r>
      <w:r>
        <w:rPr>
          <w:i/>
          <w:color w:val="231F20"/>
          <w:spacing w:val="1"/>
          <w:w w:val="75"/>
          <w:sz w:val="21"/>
        </w:rPr>
        <w:t>o</w:t>
      </w:r>
      <w:r>
        <w:rPr>
          <w:i/>
          <w:color w:val="231F20"/>
          <w:w w:val="75"/>
          <w:sz w:val="21"/>
        </w:rPr>
        <w:t>l</w:t>
      </w:r>
      <w:r>
        <w:rPr>
          <w:i/>
          <w:color w:val="231F20"/>
          <w:spacing w:val="1"/>
          <w:w w:val="67"/>
          <w:sz w:val="21"/>
        </w:rPr>
        <w:t>e</w:t>
      </w:r>
      <w:r>
        <w:rPr>
          <w:i/>
          <w:color w:val="231F20"/>
          <w:spacing w:val="1"/>
          <w:w w:val="87"/>
          <w:sz w:val="21"/>
        </w:rPr>
        <w:t>n</w:t>
      </w:r>
      <w:r>
        <w:rPr>
          <w:i/>
          <w:color w:val="231F20"/>
          <w:spacing w:val="1"/>
          <w:w w:val="62"/>
          <w:sz w:val="21"/>
        </w:rPr>
        <w:t>c</w:t>
      </w:r>
      <w:r>
        <w:rPr>
          <w:i/>
          <w:color w:val="231F20"/>
          <w:w w:val="84"/>
          <w:sz w:val="21"/>
        </w:rPr>
        <w:t>i</w:t>
      </w:r>
      <w:r>
        <w:rPr>
          <w:i/>
          <w:color w:val="231F20"/>
          <w:w w:val="83"/>
          <w:sz w:val="21"/>
        </w:rPr>
        <w:t>a</w:t>
      </w:r>
      <w:r>
        <w:rPr>
          <w:i/>
          <w:color w:val="231F20"/>
          <w:spacing w:val="4"/>
          <w:sz w:val="21"/>
        </w:rPr>
        <w:t> </w:t>
      </w:r>
      <w:r>
        <w:rPr>
          <w:i/>
          <w:color w:val="231F20"/>
          <w:spacing w:val="1"/>
          <w:w w:val="83"/>
          <w:sz w:val="21"/>
        </w:rPr>
        <w:t>d</w:t>
      </w:r>
      <w:r>
        <w:rPr>
          <w:i/>
          <w:color w:val="231F20"/>
          <w:w w:val="67"/>
          <w:sz w:val="21"/>
        </w:rPr>
        <w:t>e</w:t>
      </w:r>
      <w:r>
        <w:rPr>
          <w:i/>
          <w:color w:val="231F20"/>
          <w:spacing w:val="3"/>
          <w:sz w:val="21"/>
        </w:rPr>
        <w:t> </w:t>
      </w:r>
      <w:r>
        <w:rPr>
          <w:i/>
          <w:color w:val="231F20"/>
          <w:spacing w:val="1"/>
          <w:w w:val="66"/>
          <w:sz w:val="21"/>
        </w:rPr>
        <w:t>gé</w:t>
      </w:r>
      <w:r>
        <w:rPr>
          <w:i/>
          <w:color w:val="231F20"/>
          <w:spacing w:val="1"/>
          <w:w w:val="87"/>
          <w:sz w:val="21"/>
        </w:rPr>
        <w:t>n</w:t>
      </w:r>
      <w:r>
        <w:rPr>
          <w:i/>
          <w:color w:val="231F20"/>
          <w:spacing w:val="1"/>
          <w:w w:val="67"/>
          <w:sz w:val="21"/>
        </w:rPr>
        <w:t>e</w:t>
      </w:r>
      <w:r>
        <w:rPr>
          <w:i/>
          <w:color w:val="231F20"/>
          <w:spacing w:val="1"/>
          <w:w w:val="75"/>
          <w:sz w:val="21"/>
        </w:rPr>
        <w:t>r</w:t>
      </w:r>
      <w:r>
        <w:rPr>
          <w:i/>
          <w:color w:val="231F20"/>
          <w:w w:val="75"/>
          <w:sz w:val="21"/>
        </w:rPr>
        <w:t>o</w:t>
      </w:r>
      <w:r>
        <w:rPr>
          <w:i/>
          <w:color w:val="231F20"/>
          <w:spacing w:val="3"/>
          <w:sz w:val="21"/>
        </w:rPr>
        <w:t> </w:t>
      </w:r>
      <w:r>
        <w:rPr>
          <w:i/>
          <w:color w:val="231F20"/>
          <w:spacing w:val="1"/>
          <w:w w:val="67"/>
          <w:sz w:val="21"/>
        </w:rPr>
        <w:t>e</w:t>
      </w:r>
      <w:r>
        <w:rPr>
          <w:i/>
          <w:color w:val="231F20"/>
          <w:w w:val="87"/>
          <w:sz w:val="21"/>
        </w:rPr>
        <w:t>n</w:t>
      </w:r>
      <w:r>
        <w:rPr>
          <w:i/>
          <w:color w:val="231F20"/>
          <w:spacing w:val="4"/>
          <w:sz w:val="21"/>
        </w:rPr>
        <w:t> </w:t>
      </w:r>
      <w:r>
        <w:rPr>
          <w:i/>
          <w:color w:val="231F20"/>
          <w:w w:val="80"/>
          <w:sz w:val="21"/>
        </w:rPr>
        <w:t>l</w:t>
      </w:r>
      <w:r>
        <w:rPr>
          <w:i/>
          <w:color w:val="231F20"/>
          <w:spacing w:val="1"/>
          <w:w w:val="83"/>
          <w:sz w:val="21"/>
        </w:rPr>
        <w:t>a</w:t>
      </w:r>
      <w:r>
        <w:rPr>
          <w:i/>
          <w:color w:val="231F20"/>
          <w:w w:val="77"/>
          <w:sz w:val="21"/>
        </w:rPr>
        <w:t>s</w:t>
      </w:r>
      <w:r>
        <w:rPr>
          <w:i/>
          <w:color w:val="231F20"/>
          <w:spacing w:val="3"/>
          <w:sz w:val="21"/>
        </w:rPr>
        <w:t> </w:t>
      </w:r>
      <w:r>
        <w:rPr>
          <w:i/>
          <w:color w:val="231F20"/>
          <w:spacing w:val="1"/>
          <w:w w:val="87"/>
          <w:sz w:val="21"/>
        </w:rPr>
        <w:t>un</w:t>
      </w:r>
      <w:r>
        <w:rPr>
          <w:i/>
          <w:color w:val="231F20"/>
          <w:w w:val="84"/>
          <w:sz w:val="21"/>
        </w:rPr>
        <w:t>i</w:t>
      </w:r>
      <w:r>
        <w:rPr>
          <w:i/>
          <w:color w:val="231F20"/>
          <w:spacing w:val="1"/>
          <w:w w:val="73"/>
          <w:sz w:val="21"/>
        </w:rPr>
        <w:t>ve</w:t>
      </w:r>
      <w:r>
        <w:rPr>
          <w:i/>
          <w:color w:val="231F20"/>
          <w:spacing w:val="1"/>
          <w:w w:val="78"/>
          <w:sz w:val="21"/>
        </w:rPr>
        <w:t>rs</w:t>
      </w:r>
      <w:r>
        <w:rPr>
          <w:i/>
          <w:color w:val="231F20"/>
          <w:w w:val="84"/>
          <w:sz w:val="21"/>
        </w:rPr>
        <w:t>i</w:t>
      </w:r>
      <w:r>
        <w:rPr>
          <w:i/>
          <w:color w:val="231F20"/>
          <w:spacing w:val="1"/>
          <w:w w:val="83"/>
          <w:sz w:val="21"/>
        </w:rPr>
        <w:t>dad</w:t>
      </w:r>
      <w:r>
        <w:rPr>
          <w:i/>
          <w:color w:val="231F20"/>
          <w:spacing w:val="1"/>
          <w:w w:val="67"/>
          <w:sz w:val="21"/>
        </w:rPr>
        <w:t>e</w:t>
      </w:r>
      <w:r>
        <w:rPr>
          <w:i/>
          <w:color w:val="231F20"/>
          <w:w w:val="77"/>
          <w:sz w:val="21"/>
        </w:rPr>
        <w:t>s</w:t>
      </w:r>
      <w:r>
        <w:rPr>
          <w:i/>
          <w:color w:val="231F20"/>
          <w:w w:val="77"/>
          <w:sz w:val="21"/>
        </w:rPr>
        <w:t> </w:t>
      </w:r>
      <w:r>
        <w:rPr>
          <w:i/>
          <w:color w:val="231F20"/>
          <w:sz w:val="21"/>
        </w:rPr>
        <w:t>españolas</w:t>
      </w:r>
      <w:r>
        <w:rPr>
          <w:color w:val="231F20"/>
          <w:sz w:val="21"/>
        </w:rPr>
        <w:t>.</w:t>
      </w:r>
      <w:r>
        <w:rPr>
          <w:color w:val="231F20"/>
          <w:spacing w:val="-33"/>
          <w:sz w:val="21"/>
        </w:rPr>
        <w:t> </w:t>
      </w:r>
      <w:r>
        <w:rPr>
          <w:color w:val="231F20"/>
          <w:sz w:val="21"/>
        </w:rPr>
        <w:t>Barcelona:</w:t>
      </w:r>
      <w:r>
        <w:rPr>
          <w:color w:val="231F20"/>
          <w:spacing w:val="-33"/>
          <w:sz w:val="21"/>
        </w:rPr>
        <w:t> </w:t>
      </w:r>
      <w:r>
        <w:rPr>
          <w:color w:val="231F20"/>
          <w:sz w:val="21"/>
        </w:rPr>
        <w:t>Universidad</w:t>
      </w:r>
      <w:r>
        <w:rPr>
          <w:color w:val="231F20"/>
          <w:spacing w:val="-33"/>
          <w:sz w:val="21"/>
        </w:rPr>
        <w:t> </w:t>
      </w:r>
      <w:r>
        <w:rPr>
          <w:color w:val="231F20"/>
          <w:sz w:val="21"/>
        </w:rPr>
        <w:t>de</w:t>
      </w:r>
      <w:r>
        <w:rPr>
          <w:color w:val="231F20"/>
          <w:spacing w:val="-33"/>
          <w:sz w:val="21"/>
        </w:rPr>
        <w:t> </w:t>
      </w:r>
      <w:r>
        <w:rPr>
          <w:color w:val="231F20"/>
          <w:sz w:val="21"/>
        </w:rPr>
        <w:t>Barcelona/Ministerio de</w:t>
      </w:r>
      <w:r>
        <w:rPr>
          <w:color w:val="231F20"/>
          <w:spacing w:val="-8"/>
          <w:sz w:val="21"/>
        </w:rPr>
        <w:t> </w:t>
      </w:r>
      <w:r>
        <w:rPr>
          <w:color w:val="231F20"/>
          <w:sz w:val="21"/>
        </w:rPr>
        <w:t>Igualdad.</w:t>
      </w:r>
    </w:p>
    <w:p>
      <w:pPr>
        <w:pStyle w:val="BodyText"/>
        <w:spacing w:line="247" w:lineRule="auto"/>
        <w:ind w:left="822" w:right="774" w:hanging="720"/>
      </w:pPr>
      <w:r>
        <w:rPr>
          <w:color w:val="231F20"/>
        </w:rPr>
        <w:t>Vargas-Melgarejo, Luz María. (1994). Sobre el concepto de percepción. </w:t>
      </w:r>
      <w:r>
        <w:rPr>
          <w:i/>
          <w:color w:val="231F20"/>
        </w:rPr>
        <w:t>Alteridades, 4</w:t>
      </w:r>
      <w:r>
        <w:rPr>
          <w:color w:val="231F20"/>
        </w:rPr>
        <w:t>(8)</w:t>
      </w:r>
      <w:r>
        <w:rPr>
          <w:i/>
          <w:color w:val="231F20"/>
        </w:rPr>
        <w:t>. </w:t>
      </w:r>
      <w:r>
        <w:rPr>
          <w:color w:val="231F20"/>
        </w:rPr>
        <w:t>México DF: UAM.</w:t>
      </w:r>
    </w:p>
    <w:p>
      <w:pPr>
        <w:spacing w:after="0" w:line="247" w:lineRule="auto"/>
        <w:sectPr>
          <w:headerReference w:type="default" r:id="rId809"/>
          <w:footerReference w:type="default" r:id="rId810"/>
          <w:pgSz w:w="7830" w:h="11910"/>
          <w:pgMar w:header="0" w:footer="424" w:top="500" w:bottom="620" w:left="920" w:right="920"/>
          <w:pgNumType w:start="364"/>
        </w:sectPr>
      </w:pPr>
    </w:p>
    <w:p>
      <w:pPr>
        <w:pStyle w:val="BodyText"/>
        <w:ind w:left="120"/>
        <w:rPr>
          <w:sz w:val="20"/>
        </w:rPr>
      </w:pPr>
      <w:r>
        <w:rPr>
          <w:sz w:val="20"/>
        </w:rPr>
        <w:pict>
          <v:group style="width:270pt;height:23.55pt;mso-position-horizontal-relative:char;mso-position-vertical-relative:line" coordorigin="0,0" coordsize="5400,471">
            <v:rect style="position:absolute;left:0;top:0;width:5400;height:471" filled="true" fillcolor="#ffffff" stroked="false">
              <v:fill type="solid"/>
            </v:rect>
          </v:group>
        </w:pict>
      </w:r>
      <w:r>
        <w:rPr>
          <w:sz w:val="20"/>
        </w:rPr>
      </w:r>
    </w:p>
    <w:p>
      <w:pPr>
        <w:pStyle w:val="BodyText"/>
        <w:spacing w:before="5"/>
      </w:pPr>
    </w:p>
    <w:p>
      <w:pPr>
        <w:pStyle w:val="Heading2"/>
        <w:spacing w:line="304" w:lineRule="exact" w:before="50"/>
        <w:ind w:right="104"/>
      </w:pPr>
      <w:r>
        <w:rPr/>
        <w:pict>
          <v:shape style="position:absolute;margin-left:51.041pt;margin-top:-37.887550pt;width:270pt;height:23.55pt;mso-position-horizontal-relative:page;mso-position-vertical-relative:paragraph;z-index:-482344" type="#_x0000_t202" filled="false" stroked="false">
            <v:textbox inset="0,0,0,0">
              <w:txbxContent>
                <w:p>
                  <w:pPr>
                    <w:pStyle w:val="BodyText"/>
                    <w:spacing w:before="7"/>
                    <w:rPr>
                      <w:sz w:val="16"/>
                    </w:rPr>
                  </w:pPr>
                </w:p>
                <w:p>
                  <w:pPr>
                    <w:spacing w:before="0"/>
                    <w:ind w:left="1362" w:right="0" w:firstLine="0"/>
                    <w:jc w:val="left"/>
                    <w:rPr>
                      <w:sz w:val="13"/>
                    </w:rPr>
                  </w:pPr>
                  <w:r>
                    <w:rPr>
                      <w:color w:val="231F20"/>
                      <w:sz w:val="16"/>
                    </w:rPr>
                    <w:t>E</w:t>
                  </w:r>
                  <w:r>
                    <w:rPr>
                      <w:color w:val="231F20"/>
                      <w:sz w:val="13"/>
                    </w:rPr>
                    <w:t>STUDIOS SOBRE VIOLENCIA EN LA EDUCACIÓN</w:t>
                  </w:r>
                </w:p>
              </w:txbxContent>
            </v:textbox>
            <w10:wrap type="none"/>
          </v:shape>
        </w:pict>
      </w:r>
      <w:r>
        <w:rPr>
          <w:rFonts w:ascii="Arial" w:hAnsi="Arial"/>
          <w:color w:val="231F20"/>
          <w:sz w:val="28"/>
        </w:rPr>
        <w:t>V</w:t>
      </w:r>
      <w:r>
        <w:rPr>
          <w:rFonts w:ascii="Georgia" w:hAnsi="Georgia"/>
          <w:color w:val="231F20"/>
        </w:rPr>
        <w:t>IOLENCIA POLÍTICA EN </w:t>
      </w:r>
      <w:r>
        <w:rPr>
          <w:color w:val="231F20"/>
        </w:rPr>
        <w:t>LA </w:t>
      </w:r>
      <w:r>
        <w:rPr>
          <w:color w:val="231F20"/>
          <w:sz w:val="28"/>
        </w:rPr>
        <w:t>U</w:t>
      </w:r>
      <w:r>
        <w:rPr>
          <w:color w:val="231F20"/>
        </w:rPr>
        <w:t>NIVERSIDAD</w:t>
      </w:r>
    </w:p>
    <w:p>
      <w:pPr>
        <w:spacing w:line="359" w:lineRule="exact" w:before="0"/>
        <w:ind w:left="122" w:right="104" w:firstLine="0"/>
        <w:jc w:val="left"/>
        <w:rPr>
          <w:b/>
          <w:sz w:val="21"/>
        </w:rPr>
      </w:pPr>
      <w:r>
        <w:rPr>
          <w:rFonts w:ascii="Corbel" w:hAnsi="Corbel"/>
          <w:b/>
          <w:color w:val="231F20"/>
          <w:sz w:val="28"/>
        </w:rPr>
        <w:t>A</w:t>
      </w:r>
      <w:r>
        <w:rPr>
          <w:rFonts w:ascii="Georgia" w:hAnsi="Georgia"/>
          <w:b/>
          <w:color w:val="231F20"/>
          <w:sz w:val="21"/>
        </w:rPr>
        <w:t>UTÓNOMA </w:t>
      </w:r>
      <w:r>
        <w:rPr>
          <w:rFonts w:ascii="Arial" w:hAnsi="Arial"/>
          <w:b/>
          <w:color w:val="231F20"/>
          <w:sz w:val="28"/>
        </w:rPr>
        <w:t>“B</w:t>
      </w:r>
      <w:r>
        <w:rPr>
          <w:rFonts w:ascii="Georgia" w:hAnsi="Georgia"/>
          <w:b/>
          <w:color w:val="231F20"/>
          <w:sz w:val="21"/>
        </w:rPr>
        <w:t>ENITO </w:t>
      </w:r>
      <w:r>
        <w:rPr>
          <w:rFonts w:ascii="Palatino Linotype" w:hAnsi="Palatino Linotype"/>
          <w:b/>
          <w:color w:val="231F20"/>
          <w:sz w:val="28"/>
        </w:rPr>
        <w:t>J</w:t>
      </w:r>
      <w:r>
        <w:rPr>
          <w:b/>
          <w:color w:val="231F20"/>
          <w:sz w:val="21"/>
        </w:rPr>
        <w:t>UÁREZ</w:t>
      </w:r>
      <w:r>
        <w:rPr>
          <w:rFonts w:ascii="Arial" w:hAnsi="Arial"/>
          <w:b/>
          <w:color w:val="231F20"/>
          <w:sz w:val="28"/>
        </w:rPr>
        <w:t>” </w:t>
      </w:r>
      <w:r>
        <w:rPr>
          <w:b/>
          <w:color w:val="231F20"/>
          <w:sz w:val="21"/>
        </w:rPr>
        <w:t>DE </w:t>
      </w:r>
      <w:r>
        <w:rPr>
          <w:rFonts w:ascii="Arial" w:hAnsi="Arial"/>
          <w:b/>
          <w:color w:val="231F20"/>
          <w:sz w:val="28"/>
        </w:rPr>
        <w:t>O</w:t>
      </w:r>
      <w:r>
        <w:rPr>
          <w:rFonts w:ascii="Corbel" w:hAnsi="Corbel"/>
          <w:b/>
          <w:color w:val="231F20"/>
          <w:sz w:val="21"/>
        </w:rPr>
        <w:t>A</w:t>
      </w:r>
      <w:r>
        <w:rPr>
          <w:b/>
          <w:color w:val="231F20"/>
          <w:sz w:val="21"/>
        </w:rPr>
        <w:t>XACA</w:t>
      </w:r>
    </w:p>
    <w:p>
      <w:pPr>
        <w:pStyle w:val="BodyText"/>
        <w:spacing w:before="8"/>
        <w:rPr>
          <w:b/>
          <w:sz w:val="25"/>
        </w:rPr>
      </w:pPr>
    </w:p>
    <w:p>
      <w:pPr>
        <w:pStyle w:val="BodyText"/>
        <w:ind w:left="122" w:right="104"/>
        <w:rPr>
          <w:sz w:val="17"/>
        </w:rPr>
      </w:pPr>
      <w:r>
        <w:rPr>
          <w:color w:val="231F20"/>
          <w:w w:val="95"/>
        </w:rPr>
        <w:t>Saúl Reyes-Sanabria</w:t>
      </w:r>
      <w:r>
        <w:rPr>
          <w:color w:val="231F20"/>
          <w:w w:val="95"/>
          <w:sz w:val="17"/>
        </w:rPr>
        <w:t>*</w:t>
      </w:r>
    </w:p>
    <w:p>
      <w:pPr>
        <w:pStyle w:val="BodyText"/>
        <w:spacing w:line="242" w:lineRule="auto" w:before="8"/>
        <w:ind w:left="122" w:right="2612" w:hanging="1"/>
        <w:rPr>
          <w:sz w:val="17"/>
        </w:rPr>
      </w:pPr>
      <w:r>
        <w:rPr>
          <w:color w:val="231F20"/>
        </w:rPr>
        <w:t>Tatiana Hernández-Saavedra</w:t>
      </w:r>
      <w:r>
        <w:rPr>
          <w:color w:val="231F20"/>
          <w:sz w:val="17"/>
        </w:rPr>
        <w:t>** </w:t>
      </w:r>
      <w:r>
        <w:rPr>
          <w:color w:val="231F20"/>
        </w:rPr>
        <w:t>Alejandro Arturo Jiménez-Martínez</w:t>
      </w:r>
      <w:r>
        <w:rPr>
          <w:color w:val="231F20"/>
          <w:sz w:val="17"/>
        </w:rPr>
        <w:t>***</w:t>
      </w:r>
    </w:p>
    <w:p>
      <w:pPr>
        <w:pStyle w:val="BodyText"/>
        <w:rPr>
          <w:sz w:val="22"/>
        </w:rPr>
      </w:pPr>
    </w:p>
    <w:p>
      <w:pPr>
        <w:pStyle w:val="BodyText"/>
        <w:rPr>
          <w:sz w:val="22"/>
        </w:rPr>
      </w:pPr>
    </w:p>
    <w:p>
      <w:pPr>
        <w:pStyle w:val="BodyText"/>
        <w:spacing w:before="8"/>
        <w:rPr>
          <w:sz w:val="23"/>
        </w:rPr>
      </w:pPr>
    </w:p>
    <w:p>
      <w:pPr>
        <w:pStyle w:val="BodyText"/>
        <w:ind w:left="122" w:right="104"/>
      </w:pPr>
      <w:r>
        <w:rPr>
          <w:color w:val="231F20"/>
        </w:rPr>
        <w:t>Resumen</w:t>
      </w:r>
    </w:p>
    <w:p>
      <w:pPr>
        <w:pStyle w:val="BodyText"/>
        <w:spacing w:line="247" w:lineRule="auto" w:before="8"/>
        <w:ind w:left="122" w:right="116"/>
        <w:jc w:val="both"/>
      </w:pPr>
      <w:r>
        <w:rPr>
          <w:color w:val="231F20"/>
        </w:rPr>
        <w:t>En este artículo abordamos los diferentes tipos de violencia que perciben estudiantes de la Universidad Autónoma “Benito Juárez”. Esto como resultado de un sondeo aplicado a los alumnos de diver- sas unidades académicas donde la violencia se plasma de diferentes formas. En tanto fenómeno social y organizacional, la violencia se vive al interior de la UABJO y fuera de ella.</w:t>
      </w:r>
    </w:p>
    <w:p>
      <w:pPr>
        <w:pStyle w:val="BodyText"/>
        <w:spacing w:before="4"/>
      </w:pPr>
    </w:p>
    <w:p>
      <w:pPr>
        <w:pStyle w:val="BodyText"/>
        <w:spacing w:line="242" w:lineRule="auto"/>
        <w:ind w:left="122" w:right="104"/>
      </w:pPr>
      <w:r>
        <w:rPr>
          <w:color w:val="231F20"/>
        </w:rPr>
        <w:t>Palabras clave: UABJO, violencia, violencia institucional, violencia estructural, violencia política, anomia.</w:t>
      </w:r>
    </w:p>
    <w:p>
      <w:pPr>
        <w:pStyle w:val="BodyText"/>
        <w:spacing w:before="2"/>
        <w:rPr>
          <w:sz w:val="22"/>
        </w:rPr>
      </w:pPr>
    </w:p>
    <w:p>
      <w:pPr>
        <w:pStyle w:val="BodyText"/>
        <w:spacing w:line="242" w:lineRule="auto"/>
        <w:ind w:left="122" w:right="104"/>
      </w:pPr>
      <w:r>
        <w:rPr>
          <w:color w:val="231F20"/>
        </w:rPr>
        <w:t>Political violence at the Universidad Autónoma "Benito Juárez" de Oaxaca</w:t>
      </w:r>
    </w:p>
    <w:p>
      <w:pPr>
        <w:pStyle w:val="BodyText"/>
        <w:spacing w:before="9"/>
      </w:pPr>
    </w:p>
    <w:p>
      <w:pPr>
        <w:pStyle w:val="BodyText"/>
        <w:ind w:left="122" w:right="104"/>
      </w:pPr>
      <w:r>
        <w:rPr>
          <w:color w:val="231F20"/>
        </w:rPr>
        <w:t>Abstract</w:t>
      </w:r>
    </w:p>
    <w:p>
      <w:pPr>
        <w:pStyle w:val="BodyText"/>
        <w:spacing w:line="247" w:lineRule="auto" w:before="8"/>
        <w:ind w:left="122" w:right="169" w:hanging="1"/>
      </w:pPr>
      <w:r>
        <w:rPr>
          <w:color w:val="231F20"/>
        </w:rPr>
        <w:t>Inthis paperwe address thedifferenttypes of violence that students  at the Universidad Autónoma"Benito Juárez" perceive. This is the resultofa surveyappliedto students invariousacademic departments where violenceis expressedin different ways.Asboth a social and organizationalphenomenon, violence is experienced within UABJO and</w:t>
      </w:r>
      <w:r>
        <w:rPr>
          <w:color w:val="231F20"/>
          <w:spacing w:val="14"/>
        </w:rPr>
        <w:t> </w:t>
      </w:r>
      <w:r>
        <w:rPr>
          <w:color w:val="231F20"/>
        </w:rPr>
        <w:t>beyond.</w:t>
      </w:r>
    </w:p>
    <w:p>
      <w:pPr>
        <w:pStyle w:val="BodyText"/>
        <w:spacing w:before="4"/>
      </w:pPr>
    </w:p>
    <w:p>
      <w:pPr>
        <w:pStyle w:val="BodyText"/>
        <w:spacing w:line="242" w:lineRule="auto"/>
        <w:ind w:left="123" w:right="104"/>
      </w:pPr>
      <w:r>
        <w:rPr>
          <w:color w:val="231F20"/>
        </w:rPr>
        <w:t>Keywords:UABJO, violence, institutional violence, structural vio- lence, political violence, anomie.</w:t>
      </w:r>
    </w:p>
    <w:p>
      <w:pPr>
        <w:pStyle w:val="BodyText"/>
        <w:spacing w:before="8"/>
        <w:rPr>
          <w:sz w:val="28"/>
        </w:rPr>
      </w:pPr>
      <w:r>
        <w:rPr/>
        <w:pict>
          <v:line style="position:absolute;mso-position-horizontal-relative:page;mso-position-vertical-relative:paragraph;z-index:2896;mso-wrap-distance-left:0;mso-wrap-distance-right:0" from="51.110001pt,18.699684pt" to="195.110001pt,18.699684pt" stroked="true" strokeweight=".48pt" strokecolor="#231f20">
            <w10:wrap type="topAndBottom"/>
          </v:line>
        </w:pict>
      </w:r>
    </w:p>
    <w:p>
      <w:pPr>
        <w:spacing w:before="89"/>
        <w:ind w:left="122" w:right="104" w:firstLine="0"/>
        <w:jc w:val="left"/>
        <w:rPr>
          <w:sz w:val="14"/>
        </w:rPr>
      </w:pPr>
      <w:r>
        <w:rPr>
          <w:color w:val="231F20"/>
          <w:position w:val="-4"/>
          <w:sz w:val="17"/>
        </w:rPr>
        <w:t>*</w:t>
      </w:r>
      <w:r>
        <w:rPr>
          <w:color w:val="231F20"/>
          <w:sz w:val="14"/>
        </w:rPr>
        <w:t>Profesor de Tiempo Completo en la Universidad Autónoma “Benito Juárez” de Oaxaca, México.</w:t>
      </w:r>
    </w:p>
    <w:p>
      <w:pPr>
        <w:spacing w:before="27"/>
        <w:ind w:left="122" w:right="104" w:firstLine="0"/>
        <w:jc w:val="left"/>
        <w:rPr>
          <w:sz w:val="14"/>
        </w:rPr>
      </w:pPr>
      <w:r>
        <w:rPr>
          <w:color w:val="231F20"/>
          <w:position w:val="-4"/>
          <w:sz w:val="17"/>
        </w:rPr>
        <w:t>**</w:t>
      </w:r>
      <w:r>
        <w:rPr>
          <w:color w:val="231F20"/>
          <w:sz w:val="14"/>
        </w:rPr>
        <w:t>Egresada de la Universidad Autónoma “Benito Juárez” de Oaxaca, México.</w:t>
      </w:r>
    </w:p>
    <w:p>
      <w:pPr>
        <w:spacing w:before="32"/>
        <w:ind w:left="122" w:right="104" w:firstLine="0"/>
        <w:jc w:val="left"/>
        <w:rPr>
          <w:sz w:val="14"/>
        </w:rPr>
      </w:pPr>
      <w:r>
        <w:rPr>
          <w:color w:val="231F20"/>
          <w:position w:val="-4"/>
          <w:sz w:val="17"/>
        </w:rPr>
        <w:t>***</w:t>
      </w:r>
      <w:r>
        <w:rPr>
          <w:color w:val="231F20"/>
          <w:sz w:val="14"/>
        </w:rPr>
        <w:t>Profesor de Tiempo Completo en la Universidad Autónoma “Benito Juárez” de Oaxaca, México.</w:t>
      </w:r>
    </w:p>
    <w:p>
      <w:pPr>
        <w:spacing w:after="0"/>
        <w:jc w:val="left"/>
        <w:rPr>
          <w:sz w:val="14"/>
        </w:rPr>
        <w:sectPr>
          <w:headerReference w:type="default" r:id="rId812"/>
          <w:footerReference w:type="default" r:id="rId813"/>
          <w:pgSz w:w="7830" w:h="11910"/>
          <w:pgMar w:header="0" w:footer="424" w:top="360" w:bottom="620" w:left="900" w:right="900"/>
          <w:pgNumType w:start="36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before="92"/>
        <w:ind w:left="102"/>
        <w:jc w:val="both"/>
      </w:pPr>
      <w:r>
        <w:rPr>
          <w:color w:val="231F20"/>
          <w:w w:val="105"/>
        </w:rPr>
        <w:t>INTRODUCCIÓN</w:t>
      </w:r>
    </w:p>
    <w:p>
      <w:pPr>
        <w:pStyle w:val="BodyText"/>
        <w:spacing w:before="1"/>
      </w:pPr>
    </w:p>
    <w:p>
      <w:pPr>
        <w:pStyle w:val="BodyText"/>
        <w:spacing w:line="247" w:lineRule="auto" w:before="1"/>
        <w:ind w:left="102" w:right="116"/>
        <w:jc w:val="both"/>
      </w:pPr>
      <w:r>
        <w:rPr>
          <w:color w:val="231F20"/>
        </w:rPr>
        <w:t>En este estudio nos centraremos en explicar los diferentes tipos de violencia que existen en la Universidad Autónoma “Benito Juárez” de Oaxaca (UABJO), por cuanto se ha manifestado en los últimos años como un fenómeno institucional normalizado y cotidiano. Se procura resaltar cómo una de las instituciones más relevantes de la entidad, está acompañada de una forma particular de violencia (co- lectiva y política), sin dejar de lado, la violencia de expresiones indi- viduales.</w:t>
      </w:r>
    </w:p>
    <w:p>
      <w:pPr>
        <w:pStyle w:val="BodyText"/>
        <w:spacing w:line="247" w:lineRule="auto" w:before="15"/>
        <w:ind w:left="102" w:right="116" w:firstLine="284"/>
        <w:jc w:val="both"/>
      </w:pPr>
      <w:r>
        <w:rPr>
          <w:color w:val="231F20"/>
        </w:rPr>
        <w:t>A </w:t>
      </w:r>
      <w:r>
        <w:rPr>
          <w:color w:val="231F20"/>
          <w:spacing w:val="2"/>
        </w:rPr>
        <w:t>partir </w:t>
      </w:r>
      <w:r>
        <w:rPr>
          <w:color w:val="231F20"/>
        </w:rPr>
        <w:t>de </w:t>
      </w:r>
      <w:r>
        <w:rPr>
          <w:color w:val="231F20"/>
          <w:spacing w:val="2"/>
        </w:rPr>
        <w:t>los resultados </w:t>
      </w:r>
      <w:r>
        <w:rPr>
          <w:color w:val="231F20"/>
        </w:rPr>
        <w:t>de un </w:t>
      </w:r>
      <w:r>
        <w:rPr>
          <w:color w:val="231F20"/>
          <w:spacing w:val="2"/>
        </w:rPr>
        <w:t>sondeo aplicado </w:t>
      </w:r>
      <w:r>
        <w:rPr>
          <w:color w:val="231F20"/>
        </w:rPr>
        <w:t>a </w:t>
      </w:r>
      <w:r>
        <w:rPr>
          <w:color w:val="231F20"/>
          <w:spacing w:val="2"/>
        </w:rPr>
        <w:t>los </w:t>
      </w:r>
      <w:r>
        <w:rPr>
          <w:color w:val="231F20"/>
          <w:spacing w:val="3"/>
        </w:rPr>
        <w:t>alumnos </w:t>
      </w:r>
      <w:r>
        <w:rPr>
          <w:color w:val="231F20"/>
        </w:rPr>
        <w:t>de </w:t>
      </w:r>
      <w:r>
        <w:rPr>
          <w:color w:val="231F20"/>
          <w:spacing w:val="2"/>
        </w:rPr>
        <w:t>diversos institutos, escuelas </w:t>
      </w:r>
      <w:r>
        <w:rPr>
          <w:color w:val="231F20"/>
        </w:rPr>
        <w:t>y </w:t>
      </w:r>
      <w:r>
        <w:rPr>
          <w:color w:val="231F20"/>
          <w:spacing w:val="2"/>
        </w:rPr>
        <w:t>facultades </w:t>
      </w:r>
      <w:r>
        <w:rPr>
          <w:color w:val="231F20"/>
        </w:rPr>
        <w:t>de la </w:t>
      </w:r>
      <w:r>
        <w:rPr>
          <w:color w:val="231F20"/>
          <w:spacing w:val="3"/>
        </w:rPr>
        <w:t>UABJO, </w:t>
      </w:r>
      <w:r>
        <w:rPr>
          <w:color w:val="231F20"/>
        </w:rPr>
        <w:t>se </w:t>
      </w:r>
      <w:r>
        <w:rPr>
          <w:color w:val="231F20"/>
          <w:spacing w:val="2"/>
        </w:rPr>
        <w:t>per- cibe que </w:t>
      </w:r>
      <w:r>
        <w:rPr>
          <w:color w:val="231F20"/>
        </w:rPr>
        <w:t>la </w:t>
      </w:r>
      <w:r>
        <w:rPr>
          <w:color w:val="231F20"/>
          <w:spacing w:val="2"/>
        </w:rPr>
        <w:t>experiencia </w:t>
      </w:r>
      <w:r>
        <w:rPr>
          <w:color w:val="231F20"/>
        </w:rPr>
        <w:t>de la </w:t>
      </w:r>
      <w:r>
        <w:rPr>
          <w:color w:val="231F20"/>
          <w:spacing w:val="2"/>
        </w:rPr>
        <w:t>violencia </w:t>
      </w:r>
      <w:r>
        <w:rPr>
          <w:color w:val="231F20"/>
        </w:rPr>
        <w:t>es un </w:t>
      </w:r>
      <w:r>
        <w:rPr>
          <w:color w:val="231F20"/>
          <w:spacing w:val="2"/>
        </w:rPr>
        <w:t>asunto cotidiano. </w:t>
      </w:r>
      <w:r>
        <w:rPr>
          <w:color w:val="231F20"/>
          <w:spacing w:val="3"/>
        </w:rPr>
        <w:t>Esta </w:t>
      </w:r>
      <w:r>
        <w:rPr>
          <w:color w:val="231F20"/>
        </w:rPr>
        <w:t>se </w:t>
      </w:r>
      <w:r>
        <w:rPr>
          <w:color w:val="231F20"/>
          <w:spacing w:val="2"/>
        </w:rPr>
        <w:t>muestra </w:t>
      </w:r>
      <w:r>
        <w:rPr>
          <w:color w:val="231F20"/>
          <w:spacing w:val="3"/>
        </w:rPr>
        <w:t>como </w:t>
      </w:r>
      <w:r>
        <w:rPr>
          <w:color w:val="231F20"/>
        </w:rPr>
        <w:t>un </w:t>
      </w:r>
      <w:r>
        <w:rPr>
          <w:color w:val="231F20"/>
          <w:spacing w:val="3"/>
        </w:rPr>
        <w:t>fenómeno </w:t>
      </w:r>
      <w:r>
        <w:rPr>
          <w:color w:val="231F20"/>
          <w:spacing w:val="2"/>
        </w:rPr>
        <w:t>social, por </w:t>
      </w:r>
      <w:r>
        <w:rPr>
          <w:color w:val="231F20"/>
        </w:rPr>
        <w:t>lo que  no  es  </w:t>
      </w:r>
      <w:r>
        <w:rPr>
          <w:color w:val="231F20"/>
          <w:spacing w:val="2"/>
        </w:rPr>
        <w:t>privativa </w:t>
      </w:r>
      <w:r>
        <w:rPr>
          <w:color w:val="231F20"/>
        </w:rPr>
        <w:t>de la </w:t>
      </w:r>
      <w:r>
        <w:rPr>
          <w:color w:val="231F20"/>
          <w:spacing w:val="2"/>
        </w:rPr>
        <w:t>universidad </w:t>
      </w:r>
      <w:r>
        <w:rPr>
          <w:color w:val="231F20"/>
        </w:rPr>
        <w:t>y se vive la </w:t>
      </w:r>
      <w:r>
        <w:rPr>
          <w:color w:val="231F20"/>
          <w:spacing w:val="2"/>
        </w:rPr>
        <w:t>violencia </w:t>
      </w:r>
      <w:r>
        <w:rPr>
          <w:color w:val="231F20"/>
        </w:rPr>
        <w:t>en la </w:t>
      </w:r>
      <w:r>
        <w:rPr>
          <w:color w:val="231F20"/>
          <w:spacing w:val="2"/>
        </w:rPr>
        <w:t>ciudad, </w:t>
      </w:r>
      <w:r>
        <w:rPr>
          <w:color w:val="231F20"/>
        </w:rPr>
        <w:t>en el </w:t>
      </w:r>
      <w:r>
        <w:rPr>
          <w:color w:val="231F20"/>
          <w:spacing w:val="2"/>
        </w:rPr>
        <w:t>barrio,  </w:t>
      </w:r>
      <w:r>
        <w:rPr>
          <w:color w:val="231F20"/>
        </w:rPr>
        <w:t>en las </w:t>
      </w:r>
      <w:r>
        <w:rPr>
          <w:color w:val="231F20"/>
          <w:spacing w:val="2"/>
        </w:rPr>
        <w:t>facultades, </w:t>
      </w:r>
      <w:r>
        <w:rPr>
          <w:color w:val="231F20"/>
        </w:rPr>
        <w:t>en la </w:t>
      </w:r>
      <w:r>
        <w:rPr>
          <w:color w:val="231F20"/>
          <w:spacing w:val="2"/>
        </w:rPr>
        <w:t>familia </w:t>
      </w:r>
      <w:r>
        <w:rPr>
          <w:color w:val="231F20"/>
        </w:rPr>
        <w:t>y </w:t>
      </w:r>
      <w:r>
        <w:rPr>
          <w:color w:val="231F20"/>
          <w:spacing w:val="2"/>
        </w:rPr>
        <w:t>con los </w:t>
      </w:r>
      <w:r>
        <w:rPr>
          <w:color w:val="231F20"/>
          <w:spacing w:val="3"/>
        </w:rPr>
        <w:t>alumnos. </w:t>
      </w:r>
      <w:r>
        <w:rPr>
          <w:color w:val="231F20"/>
        </w:rPr>
        <w:t>La </w:t>
      </w:r>
      <w:r>
        <w:rPr>
          <w:color w:val="231F20"/>
          <w:spacing w:val="3"/>
        </w:rPr>
        <w:t>conclusión   </w:t>
      </w:r>
      <w:r>
        <w:rPr>
          <w:color w:val="231F20"/>
        </w:rPr>
        <w:t>de </w:t>
      </w:r>
      <w:r>
        <w:rPr>
          <w:color w:val="231F20"/>
          <w:spacing w:val="2"/>
        </w:rPr>
        <w:t>este escrito </w:t>
      </w:r>
      <w:r>
        <w:rPr>
          <w:color w:val="231F20"/>
        </w:rPr>
        <w:t>es </w:t>
      </w:r>
      <w:r>
        <w:rPr>
          <w:color w:val="231F20"/>
          <w:spacing w:val="2"/>
        </w:rPr>
        <w:t>que </w:t>
      </w:r>
      <w:r>
        <w:rPr>
          <w:color w:val="231F20"/>
        </w:rPr>
        <w:t>en </w:t>
      </w:r>
      <w:r>
        <w:rPr>
          <w:color w:val="231F20"/>
          <w:spacing w:val="2"/>
        </w:rPr>
        <w:t>los últimos meses </w:t>
      </w:r>
      <w:r>
        <w:rPr>
          <w:color w:val="231F20"/>
        </w:rPr>
        <w:t>la </w:t>
      </w:r>
      <w:r>
        <w:rPr>
          <w:color w:val="231F20"/>
          <w:spacing w:val="2"/>
        </w:rPr>
        <w:t>violencia </w:t>
      </w:r>
      <w:r>
        <w:rPr>
          <w:color w:val="231F20"/>
        </w:rPr>
        <w:t>se </w:t>
      </w:r>
      <w:r>
        <w:rPr>
          <w:color w:val="231F20"/>
          <w:spacing w:val="2"/>
        </w:rPr>
        <w:t>vive </w:t>
      </w:r>
      <w:r>
        <w:rPr>
          <w:color w:val="231F20"/>
          <w:spacing w:val="3"/>
        </w:rPr>
        <w:t>como </w:t>
      </w:r>
      <w:r>
        <w:rPr>
          <w:color w:val="231F20"/>
        </w:rPr>
        <w:t>un </w:t>
      </w:r>
      <w:r>
        <w:rPr>
          <w:color w:val="231F20"/>
          <w:spacing w:val="3"/>
        </w:rPr>
        <w:t>fenómeno </w:t>
      </w:r>
      <w:r>
        <w:rPr>
          <w:color w:val="231F20"/>
          <w:spacing w:val="5"/>
        </w:rPr>
        <w:t> </w:t>
      </w:r>
      <w:r>
        <w:rPr>
          <w:color w:val="231F20"/>
          <w:spacing w:val="3"/>
        </w:rPr>
        <w:t>anómico.</w:t>
      </w:r>
    </w:p>
    <w:p>
      <w:pPr>
        <w:pStyle w:val="BodyText"/>
        <w:spacing w:before="2"/>
        <w:rPr>
          <w:sz w:val="22"/>
        </w:rPr>
      </w:pPr>
    </w:p>
    <w:p>
      <w:pPr>
        <w:pStyle w:val="BodyText"/>
        <w:ind w:left="102"/>
        <w:jc w:val="both"/>
      </w:pPr>
      <w:r>
        <w:rPr>
          <w:color w:val="231F20"/>
          <w:w w:val="105"/>
        </w:rPr>
        <w:t>METODOLOGÍA</w:t>
      </w:r>
    </w:p>
    <w:p>
      <w:pPr>
        <w:pStyle w:val="BodyText"/>
        <w:spacing w:before="1"/>
      </w:pPr>
    </w:p>
    <w:p>
      <w:pPr>
        <w:pStyle w:val="BodyText"/>
        <w:spacing w:line="244" w:lineRule="auto" w:before="1"/>
        <w:ind w:left="102" w:right="116"/>
        <w:jc w:val="both"/>
      </w:pPr>
      <w:r>
        <w:rPr>
          <w:color w:val="231F20"/>
        </w:rPr>
        <w:t>Nos interesó obtener la opinión de los estudiantes en la Universi-  dad Autónoma “Benito Juárez” de Oaxaca sobre la violencia, por lo cual se aplicó un cuestionario en diferentes facultades. Se aplicaron 706 cuestionarios a alumnos con la idea de realizar una segunda etapa de entrevistas, la cual ya no se realizó. Las escuelas, facultades e institutos en donde se aplicaron los cuestionarios fueron: Enfer- mería, Economía, Veterinaria y  Zootecnia, Ciencias, Arquitectura  de C.U., Derecho y Ciencias Sociales, Contaduría y Administración, Ciencias Químicas, Odontología y el Instituto de Ciencias de la Educación.</w:t>
      </w:r>
    </w:p>
    <w:p>
      <w:pPr>
        <w:pStyle w:val="BodyText"/>
        <w:spacing w:line="249" w:lineRule="auto" w:before="13"/>
        <w:ind w:left="102" w:right="115" w:firstLine="283"/>
        <w:jc w:val="both"/>
      </w:pPr>
      <w:r>
        <w:rPr>
          <w:color w:val="231F20"/>
          <w:spacing w:val="2"/>
        </w:rPr>
        <w:t>Para </w:t>
      </w:r>
      <w:r>
        <w:rPr>
          <w:color w:val="231F20"/>
        </w:rPr>
        <w:t>la </w:t>
      </w:r>
      <w:r>
        <w:rPr>
          <w:color w:val="231F20"/>
          <w:spacing w:val="2"/>
        </w:rPr>
        <w:t>aplicación </w:t>
      </w:r>
      <w:r>
        <w:rPr>
          <w:color w:val="231F20"/>
        </w:rPr>
        <w:t>del </w:t>
      </w:r>
      <w:r>
        <w:rPr>
          <w:color w:val="231F20"/>
          <w:spacing w:val="2"/>
        </w:rPr>
        <w:t>cuestionario </w:t>
      </w:r>
      <w:r>
        <w:rPr>
          <w:color w:val="231F20"/>
        </w:rPr>
        <w:t>se </w:t>
      </w:r>
      <w:r>
        <w:rPr>
          <w:color w:val="231F20"/>
          <w:spacing w:val="3"/>
        </w:rPr>
        <w:t>informó </w:t>
      </w:r>
      <w:r>
        <w:rPr>
          <w:color w:val="231F20"/>
        </w:rPr>
        <w:t>a </w:t>
      </w:r>
      <w:r>
        <w:rPr>
          <w:color w:val="231F20"/>
          <w:spacing w:val="2"/>
        </w:rPr>
        <w:t>los directores  </w:t>
      </w:r>
      <w:r>
        <w:rPr>
          <w:color w:val="231F20"/>
        </w:rPr>
        <w:t>de </w:t>
      </w:r>
      <w:r>
        <w:rPr>
          <w:color w:val="231F20"/>
          <w:spacing w:val="2"/>
        </w:rPr>
        <w:t>cada una </w:t>
      </w:r>
      <w:r>
        <w:rPr>
          <w:color w:val="231F20"/>
        </w:rPr>
        <w:t>de las </w:t>
      </w:r>
      <w:r>
        <w:rPr>
          <w:color w:val="231F20"/>
          <w:spacing w:val="2"/>
        </w:rPr>
        <w:t>escuelas, facultades </w:t>
      </w:r>
      <w:r>
        <w:rPr>
          <w:color w:val="231F20"/>
        </w:rPr>
        <w:t>e </w:t>
      </w:r>
      <w:r>
        <w:rPr>
          <w:color w:val="231F20"/>
          <w:spacing w:val="2"/>
        </w:rPr>
        <w:t>institutos </w:t>
      </w:r>
      <w:r>
        <w:rPr>
          <w:color w:val="231F20"/>
        </w:rPr>
        <w:t>de la </w:t>
      </w:r>
      <w:r>
        <w:rPr>
          <w:color w:val="231F20"/>
          <w:spacing w:val="3"/>
        </w:rPr>
        <w:t>investiga- </w:t>
      </w:r>
      <w:r>
        <w:rPr>
          <w:color w:val="231F20"/>
          <w:spacing w:val="2"/>
        </w:rPr>
        <w:t>ción </w:t>
      </w:r>
      <w:r>
        <w:rPr>
          <w:color w:val="231F20"/>
        </w:rPr>
        <w:t>y se </w:t>
      </w:r>
      <w:r>
        <w:rPr>
          <w:color w:val="231F20"/>
          <w:spacing w:val="2"/>
        </w:rPr>
        <w:t>solicitó </w:t>
      </w:r>
      <w:r>
        <w:rPr>
          <w:color w:val="231F20"/>
        </w:rPr>
        <w:t>su </w:t>
      </w:r>
      <w:r>
        <w:rPr>
          <w:color w:val="231F20"/>
          <w:spacing w:val="2"/>
        </w:rPr>
        <w:t>apoyo para que </w:t>
      </w:r>
      <w:r>
        <w:rPr>
          <w:color w:val="231F20"/>
        </w:rPr>
        <w:t>el </w:t>
      </w:r>
      <w:r>
        <w:rPr>
          <w:color w:val="231F20"/>
          <w:spacing w:val="2"/>
        </w:rPr>
        <w:t>cuestionario </w:t>
      </w:r>
      <w:r>
        <w:rPr>
          <w:color w:val="231F20"/>
        </w:rPr>
        <w:t>se </w:t>
      </w:r>
      <w:r>
        <w:rPr>
          <w:color w:val="231F20"/>
          <w:spacing w:val="2"/>
        </w:rPr>
        <w:t>aplicara. </w:t>
      </w:r>
      <w:r>
        <w:rPr>
          <w:color w:val="231F20"/>
        </w:rPr>
        <w:t>El </w:t>
      </w:r>
      <w:r>
        <w:rPr>
          <w:color w:val="231F20"/>
          <w:spacing w:val="2"/>
        </w:rPr>
        <w:t>apoyo consistió </w:t>
      </w:r>
      <w:r>
        <w:rPr>
          <w:color w:val="231F20"/>
        </w:rPr>
        <w:t>en </w:t>
      </w:r>
      <w:r>
        <w:rPr>
          <w:color w:val="231F20"/>
          <w:spacing w:val="3"/>
        </w:rPr>
        <w:t>informar </w:t>
      </w:r>
      <w:r>
        <w:rPr>
          <w:color w:val="231F20"/>
        </w:rPr>
        <w:t>a </w:t>
      </w:r>
      <w:r>
        <w:rPr>
          <w:color w:val="231F20"/>
          <w:spacing w:val="2"/>
        </w:rPr>
        <w:t>los </w:t>
      </w:r>
      <w:r>
        <w:rPr>
          <w:color w:val="231F20"/>
          <w:spacing w:val="3"/>
        </w:rPr>
        <w:t>profesores </w:t>
      </w:r>
      <w:r>
        <w:rPr>
          <w:color w:val="231F20"/>
        </w:rPr>
        <w:t>que se </w:t>
      </w:r>
      <w:r>
        <w:rPr>
          <w:color w:val="231F20"/>
          <w:spacing w:val="2"/>
        </w:rPr>
        <w:t>llevaría </w:t>
      </w:r>
      <w:r>
        <w:rPr>
          <w:color w:val="231F20"/>
        </w:rPr>
        <w:t>a </w:t>
      </w:r>
      <w:r>
        <w:rPr>
          <w:color w:val="231F20"/>
          <w:spacing w:val="2"/>
        </w:rPr>
        <w:t>cabo esta actividad, destinar </w:t>
      </w:r>
      <w:r>
        <w:rPr>
          <w:color w:val="231F20"/>
        </w:rPr>
        <w:t>un </w:t>
      </w:r>
      <w:r>
        <w:rPr>
          <w:color w:val="231F20"/>
          <w:spacing w:val="2"/>
        </w:rPr>
        <w:t>horario </w:t>
      </w:r>
      <w:r>
        <w:rPr>
          <w:color w:val="231F20"/>
        </w:rPr>
        <w:t>y un </w:t>
      </w:r>
      <w:r>
        <w:rPr>
          <w:color w:val="231F20"/>
          <w:spacing w:val="2"/>
        </w:rPr>
        <w:t>aula para </w:t>
      </w:r>
      <w:r>
        <w:rPr>
          <w:color w:val="231F20"/>
        </w:rPr>
        <w:t>la </w:t>
      </w:r>
      <w:r>
        <w:rPr>
          <w:color w:val="231F20"/>
          <w:spacing w:val="2"/>
        </w:rPr>
        <w:t>aplicación del cuestionario, </w:t>
      </w:r>
      <w:r>
        <w:rPr>
          <w:color w:val="231F20"/>
          <w:spacing w:val="3"/>
        </w:rPr>
        <w:t>además </w:t>
      </w:r>
      <w:r>
        <w:rPr>
          <w:color w:val="231F20"/>
        </w:rPr>
        <w:t>de </w:t>
      </w:r>
      <w:r>
        <w:rPr>
          <w:color w:val="231F20"/>
          <w:spacing w:val="2"/>
        </w:rPr>
        <w:t>invitar </w:t>
      </w:r>
      <w:r>
        <w:rPr>
          <w:color w:val="231F20"/>
        </w:rPr>
        <w:t>a un </w:t>
      </w:r>
      <w:r>
        <w:rPr>
          <w:color w:val="231F20"/>
          <w:spacing w:val="3"/>
        </w:rPr>
        <w:t>determinado número </w:t>
      </w:r>
      <w:r>
        <w:rPr>
          <w:color w:val="231F20"/>
        </w:rPr>
        <w:t>de </w:t>
      </w:r>
      <w:r>
        <w:rPr>
          <w:color w:val="231F20"/>
          <w:spacing w:val="3"/>
        </w:rPr>
        <w:t>alumnos. </w:t>
      </w:r>
      <w:r>
        <w:rPr>
          <w:color w:val="231F20"/>
          <w:spacing w:val="2"/>
        </w:rPr>
        <w:t>Los  criterios  para  </w:t>
      </w:r>
      <w:r>
        <w:rPr>
          <w:color w:val="231F20"/>
        </w:rPr>
        <w:t>que  </w:t>
      </w:r>
      <w:r>
        <w:rPr>
          <w:color w:val="231F20"/>
          <w:spacing w:val="2"/>
        </w:rPr>
        <w:t>los  </w:t>
      </w:r>
      <w:r>
        <w:rPr>
          <w:color w:val="231F20"/>
          <w:spacing w:val="3"/>
        </w:rPr>
        <w:t>alumnos  </w:t>
      </w:r>
      <w:r>
        <w:rPr>
          <w:color w:val="231F20"/>
          <w:spacing w:val="2"/>
        </w:rPr>
        <w:t>pudieran</w:t>
      </w:r>
      <w:r>
        <w:rPr>
          <w:color w:val="231F20"/>
          <w:spacing w:val="-5"/>
        </w:rPr>
        <w:t> </w:t>
      </w:r>
      <w:r>
        <w:rPr>
          <w:color w:val="231F20"/>
          <w:spacing w:val="2"/>
        </w:rPr>
        <w:t>contestar</w:t>
      </w:r>
    </w:p>
    <w:p>
      <w:pPr>
        <w:spacing w:after="0" w:line="249" w:lineRule="auto"/>
        <w:jc w:val="both"/>
        <w:sectPr>
          <w:headerReference w:type="default" r:id="rId814"/>
          <w:footerReference w:type="default" r:id="rId815"/>
          <w:pgSz w:w="7830" w:h="11910"/>
          <w:pgMar w:header="0" w:footer="424" w:top="500" w:bottom="620" w:left="920" w:right="900"/>
          <w:pgNumType w:start="36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9"/>
        <w:jc w:val="both"/>
      </w:pPr>
      <w:r>
        <w:rPr>
          <w:color w:val="231F20"/>
        </w:rPr>
        <w:t>los cuestionarios fueron que los alumnos fueran de diferentes semestres y que hubiera tanto hombres como  mujeres.</w:t>
      </w:r>
    </w:p>
    <w:p>
      <w:pPr>
        <w:pStyle w:val="BodyText"/>
        <w:spacing w:line="249" w:lineRule="auto" w:before="1"/>
        <w:ind w:left="102" w:right="114" w:firstLine="284"/>
        <w:jc w:val="both"/>
      </w:pPr>
      <w:r>
        <w:rPr>
          <w:color w:val="231F20"/>
        </w:rPr>
        <w:t>Cuando se aplicaban los cuestionarios, un equipo de aplicado- res llegaba a las facultades y explicaba a los alumnos sobre las características de la investigación. Se enfatizaba que se trataba de un cuestionario anónimo.</w:t>
      </w:r>
    </w:p>
    <w:p>
      <w:pPr>
        <w:pStyle w:val="BodyText"/>
        <w:spacing w:line="249" w:lineRule="auto"/>
        <w:ind w:left="101" w:right="115" w:firstLine="284"/>
        <w:jc w:val="both"/>
      </w:pPr>
      <w:r>
        <w:rPr>
          <w:color w:val="231F20"/>
        </w:rPr>
        <w:t>En ningún momento se pensó establecer una muestra, por lo que esta investigación no utilizó un muestreo aleatorio. La idea era esta- blecer un sondeo intencional que nos arrojara datos cuantitativos. El procedimiento consistió en establecer las condiciones para que los alumnos pudieran contestar cómodamente el cuestionario, debido al peligro que conlleva el contestarlo. Las condiciones fueron las si- guientes: 1) que los alumnos contestaran de manera voluntaria, 2) la necesidad de contar con un clima tranquilo y respetuoso para que los alumnos pudieran contestar las preguntas con comodidad y confian- za, 3) que estuvieran presentes uno o más responsables de la investi- gación, además de los asistentes de la investigación, ello con el pro- pósito de aclarar dudas de los alumnos, 4) la confianza que se brindó a</w:t>
      </w:r>
      <w:r>
        <w:rPr>
          <w:color w:val="231F20"/>
          <w:spacing w:val="-8"/>
        </w:rPr>
        <w:t> </w:t>
      </w:r>
      <w:r>
        <w:rPr>
          <w:color w:val="231F20"/>
        </w:rPr>
        <w:t>los</w:t>
      </w:r>
      <w:r>
        <w:rPr>
          <w:color w:val="231F20"/>
          <w:spacing w:val="-8"/>
        </w:rPr>
        <w:t> </w:t>
      </w:r>
      <w:r>
        <w:rPr>
          <w:color w:val="231F20"/>
        </w:rPr>
        <w:t>alumnos,</w:t>
      </w:r>
      <w:r>
        <w:rPr>
          <w:color w:val="231F20"/>
          <w:spacing w:val="-9"/>
        </w:rPr>
        <w:t> </w:t>
      </w:r>
      <w:r>
        <w:rPr>
          <w:color w:val="231F20"/>
        </w:rPr>
        <w:t>permitió</w:t>
      </w:r>
      <w:r>
        <w:rPr>
          <w:color w:val="231F20"/>
          <w:spacing w:val="-8"/>
        </w:rPr>
        <w:t> </w:t>
      </w:r>
      <w:r>
        <w:rPr>
          <w:color w:val="231F20"/>
        </w:rPr>
        <w:t>que</w:t>
      </w:r>
      <w:r>
        <w:rPr>
          <w:color w:val="231F20"/>
          <w:spacing w:val="-8"/>
        </w:rPr>
        <w:t> </w:t>
      </w:r>
      <w:r>
        <w:rPr>
          <w:color w:val="231F20"/>
        </w:rPr>
        <w:t>el</w:t>
      </w:r>
      <w:r>
        <w:rPr>
          <w:color w:val="231F20"/>
          <w:spacing w:val="-9"/>
        </w:rPr>
        <w:t> </w:t>
      </w:r>
      <w:r>
        <w:rPr>
          <w:color w:val="231F20"/>
        </w:rPr>
        <w:t>nivel</w:t>
      </w:r>
      <w:r>
        <w:rPr>
          <w:color w:val="231F20"/>
          <w:spacing w:val="-9"/>
        </w:rPr>
        <w:t> </w:t>
      </w:r>
      <w:r>
        <w:rPr>
          <w:color w:val="231F20"/>
        </w:rPr>
        <w:t>de</w:t>
      </w:r>
      <w:r>
        <w:rPr>
          <w:color w:val="231F20"/>
          <w:spacing w:val="-8"/>
        </w:rPr>
        <w:t> </w:t>
      </w:r>
      <w:r>
        <w:rPr>
          <w:color w:val="231F20"/>
        </w:rPr>
        <w:t>algunas</w:t>
      </w:r>
      <w:r>
        <w:rPr>
          <w:color w:val="231F20"/>
          <w:spacing w:val="-8"/>
        </w:rPr>
        <w:t> </w:t>
      </w:r>
      <w:r>
        <w:rPr>
          <w:color w:val="231F20"/>
        </w:rPr>
        <w:t>respuestas</w:t>
      </w:r>
      <w:r>
        <w:rPr>
          <w:color w:val="231F20"/>
          <w:spacing w:val="-8"/>
        </w:rPr>
        <w:t> </w:t>
      </w:r>
      <w:r>
        <w:rPr>
          <w:color w:val="231F20"/>
        </w:rPr>
        <w:t>fueran</w:t>
      </w:r>
      <w:r>
        <w:rPr>
          <w:color w:val="231F20"/>
          <w:spacing w:val="-8"/>
        </w:rPr>
        <w:t> </w:t>
      </w:r>
      <w:r>
        <w:rPr>
          <w:color w:val="231F20"/>
        </w:rPr>
        <w:t>más francas de lo que se esperaba, 5) se aplicaron los cuestionarios, 6) el tiempo dedicado para contestar los cuestionarios fue de aproxima- damente veinte minutos en las facultades, 7) la finalidad del cuestio- nario</w:t>
      </w:r>
      <w:r>
        <w:rPr>
          <w:color w:val="231F20"/>
          <w:spacing w:val="-8"/>
        </w:rPr>
        <w:t> </w:t>
      </w:r>
      <w:r>
        <w:rPr>
          <w:color w:val="231F20"/>
        </w:rPr>
        <w:t>era</w:t>
      </w:r>
      <w:r>
        <w:rPr>
          <w:color w:val="231F20"/>
          <w:spacing w:val="-9"/>
        </w:rPr>
        <w:t> </w:t>
      </w:r>
      <w:r>
        <w:rPr>
          <w:color w:val="231F20"/>
        </w:rPr>
        <w:t>obtener</w:t>
      </w:r>
      <w:r>
        <w:rPr>
          <w:color w:val="231F20"/>
          <w:spacing w:val="-9"/>
        </w:rPr>
        <w:t> </w:t>
      </w:r>
      <w:r>
        <w:rPr>
          <w:color w:val="231F20"/>
        </w:rPr>
        <w:t>la</w:t>
      </w:r>
      <w:r>
        <w:rPr>
          <w:color w:val="231F20"/>
          <w:spacing w:val="-9"/>
        </w:rPr>
        <w:t> </w:t>
      </w:r>
      <w:r>
        <w:rPr>
          <w:color w:val="231F20"/>
        </w:rPr>
        <w:t>opinión</w:t>
      </w:r>
      <w:r>
        <w:rPr>
          <w:color w:val="231F20"/>
          <w:spacing w:val="-8"/>
        </w:rPr>
        <w:t> </w:t>
      </w:r>
      <w:r>
        <w:rPr>
          <w:color w:val="231F20"/>
        </w:rPr>
        <w:t>de</w:t>
      </w:r>
      <w:r>
        <w:rPr>
          <w:color w:val="231F20"/>
          <w:spacing w:val="-8"/>
        </w:rPr>
        <w:t> </w:t>
      </w:r>
      <w:r>
        <w:rPr>
          <w:color w:val="231F20"/>
        </w:rPr>
        <w:t>la</w:t>
      </w:r>
      <w:r>
        <w:rPr>
          <w:color w:val="231F20"/>
          <w:spacing w:val="-9"/>
        </w:rPr>
        <w:t> </w:t>
      </w:r>
      <w:r>
        <w:rPr>
          <w:color w:val="231F20"/>
        </w:rPr>
        <w:t>violencia</w:t>
      </w:r>
      <w:r>
        <w:rPr>
          <w:color w:val="231F20"/>
          <w:spacing w:val="-9"/>
        </w:rPr>
        <w:t> </w:t>
      </w:r>
      <w:r>
        <w:rPr>
          <w:color w:val="231F20"/>
        </w:rPr>
        <w:t>en</w:t>
      </w:r>
      <w:r>
        <w:rPr>
          <w:color w:val="231F20"/>
          <w:spacing w:val="-8"/>
        </w:rPr>
        <w:t> </w:t>
      </w:r>
      <w:r>
        <w:rPr>
          <w:color w:val="231F20"/>
        </w:rPr>
        <w:t>la</w:t>
      </w:r>
      <w:r>
        <w:rPr>
          <w:color w:val="231F20"/>
          <w:spacing w:val="-9"/>
        </w:rPr>
        <w:t> </w:t>
      </w:r>
      <w:r>
        <w:rPr>
          <w:color w:val="231F20"/>
        </w:rPr>
        <w:t>ciudad</w:t>
      </w:r>
      <w:r>
        <w:rPr>
          <w:color w:val="231F20"/>
          <w:spacing w:val="-8"/>
        </w:rPr>
        <w:t> </w:t>
      </w:r>
      <w:r>
        <w:rPr>
          <w:color w:val="231F20"/>
        </w:rPr>
        <w:t>de</w:t>
      </w:r>
      <w:r>
        <w:rPr>
          <w:color w:val="231F20"/>
          <w:spacing w:val="-8"/>
        </w:rPr>
        <w:t> </w:t>
      </w:r>
      <w:r>
        <w:rPr>
          <w:color w:val="231F20"/>
        </w:rPr>
        <w:t>Oaxaca,</w:t>
      </w:r>
      <w:r>
        <w:rPr>
          <w:color w:val="231F20"/>
          <w:spacing w:val="-9"/>
        </w:rPr>
        <w:t> </w:t>
      </w:r>
      <w:r>
        <w:rPr>
          <w:color w:val="231F20"/>
        </w:rPr>
        <w:t>el barrio,</w:t>
      </w:r>
      <w:r>
        <w:rPr>
          <w:color w:val="231F20"/>
          <w:spacing w:val="-21"/>
        </w:rPr>
        <w:t> </w:t>
      </w:r>
      <w:r>
        <w:rPr>
          <w:color w:val="231F20"/>
        </w:rPr>
        <w:t>la</w:t>
      </w:r>
      <w:r>
        <w:rPr>
          <w:color w:val="231F20"/>
          <w:spacing w:val="-21"/>
        </w:rPr>
        <w:t> </w:t>
      </w:r>
      <w:r>
        <w:rPr>
          <w:color w:val="231F20"/>
        </w:rPr>
        <w:t>universidad,</w:t>
      </w:r>
      <w:r>
        <w:rPr>
          <w:color w:val="231F20"/>
          <w:spacing w:val="-21"/>
        </w:rPr>
        <w:t> </w:t>
      </w:r>
      <w:r>
        <w:rPr>
          <w:color w:val="231F20"/>
        </w:rPr>
        <w:t>la</w:t>
      </w:r>
      <w:r>
        <w:rPr>
          <w:color w:val="231F20"/>
          <w:spacing w:val="-21"/>
        </w:rPr>
        <w:t> </w:t>
      </w:r>
      <w:r>
        <w:rPr>
          <w:color w:val="231F20"/>
        </w:rPr>
        <w:t>familia,</w:t>
      </w:r>
      <w:r>
        <w:rPr>
          <w:color w:val="231F20"/>
          <w:spacing w:val="-21"/>
        </w:rPr>
        <w:t> </w:t>
      </w:r>
      <w:r>
        <w:rPr>
          <w:color w:val="231F20"/>
        </w:rPr>
        <w:t>enfatizando</w:t>
      </w:r>
      <w:r>
        <w:rPr>
          <w:color w:val="231F20"/>
          <w:spacing w:val="-21"/>
        </w:rPr>
        <w:t> </w:t>
      </w:r>
      <w:r>
        <w:rPr>
          <w:color w:val="231F20"/>
        </w:rPr>
        <w:t>las</w:t>
      </w:r>
      <w:r>
        <w:rPr>
          <w:color w:val="231F20"/>
          <w:spacing w:val="-21"/>
        </w:rPr>
        <w:t> </w:t>
      </w:r>
      <w:r>
        <w:rPr>
          <w:color w:val="231F20"/>
        </w:rPr>
        <w:t>diferentes</w:t>
      </w:r>
      <w:r>
        <w:rPr>
          <w:color w:val="231F20"/>
          <w:spacing w:val="-21"/>
        </w:rPr>
        <w:t> </w:t>
      </w:r>
      <w:r>
        <w:rPr>
          <w:color w:val="231F20"/>
        </w:rPr>
        <w:t>situaciones y</w:t>
      </w:r>
      <w:r>
        <w:rPr>
          <w:color w:val="231F20"/>
          <w:spacing w:val="-8"/>
        </w:rPr>
        <w:t> </w:t>
      </w:r>
      <w:r>
        <w:rPr>
          <w:color w:val="231F20"/>
        </w:rPr>
        <w:t>experiencias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violencia</w:t>
      </w:r>
      <w:r>
        <w:rPr>
          <w:color w:val="231F20"/>
          <w:spacing w:val="-8"/>
        </w:rPr>
        <w:t> </w:t>
      </w:r>
      <w:r>
        <w:rPr>
          <w:color w:val="231F20"/>
        </w:rPr>
        <w:t>vivida</w:t>
      </w:r>
      <w:r>
        <w:rPr>
          <w:color w:val="231F20"/>
          <w:spacing w:val="-8"/>
        </w:rPr>
        <w:t> </w:t>
      </w:r>
      <w:r>
        <w:rPr>
          <w:color w:val="231F20"/>
        </w:rPr>
        <w:t>como</w:t>
      </w:r>
      <w:r>
        <w:rPr>
          <w:color w:val="231F20"/>
          <w:spacing w:val="-7"/>
        </w:rPr>
        <w:t> </w:t>
      </w:r>
      <w:r>
        <w:rPr>
          <w:color w:val="231F20"/>
        </w:rPr>
        <w:t>estudiantes,</w:t>
      </w:r>
      <w:r>
        <w:rPr>
          <w:color w:val="231F20"/>
          <w:spacing w:val="-9"/>
        </w:rPr>
        <w:t> </w:t>
      </w:r>
      <w:r>
        <w:rPr>
          <w:color w:val="231F20"/>
        </w:rPr>
        <w:t>8)</w:t>
      </w:r>
      <w:r>
        <w:rPr>
          <w:color w:val="231F20"/>
          <w:spacing w:val="-8"/>
        </w:rPr>
        <w:t> </w:t>
      </w:r>
      <w:r>
        <w:rPr>
          <w:color w:val="231F20"/>
        </w:rPr>
        <w:t>la</w:t>
      </w:r>
      <w:r>
        <w:rPr>
          <w:color w:val="231F20"/>
          <w:spacing w:val="-8"/>
        </w:rPr>
        <w:t> </w:t>
      </w:r>
      <w:r>
        <w:rPr>
          <w:color w:val="231F20"/>
        </w:rPr>
        <w:t>informa- ción</w:t>
      </w:r>
      <w:r>
        <w:rPr>
          <w:color w:val="231F20"/>
          <w:spacing w:val="-12"/>
        </w:rPr>
        <w:t> </w:t>
      </w:r>
      <w:r>
        <w:rPr>
          <w:color w:val="231F20"/>
        </w:rPr>
        <w:t>fue</w:t>
      </w:r>
      <w:r>
        <w:rPr>
          <w:color w:val="231F20"/>
          <w:spacing w:val="-13"/>
        </w:rPr>
        <w:t> </w:t>
      </w:r>
      <w:r>
        <w:rPr>
          <w:color w:val="231F20"/>
        </w:rPr>
        <w:t>capturada</w:t>
      </w:r>
      <w:r>
        <w:rPr>
          <w:color w:val="231F20"/>
          <w:spacing w:val="-13"/>
        </w:rPr>
        <w:t> </w:t>
      </w:r>
      <w:r>
        <w:rPr>
          <w:color w:val="231F20"/>
        </w:rPr>
        <w:t>y</w:t>
      </w:r>
      <w:r>
        <w:rPr>
          <w:color w:val="231F20"/>
          <w:spacing w:val="-12"/>
        </w:rPr>
        <w:t> </w:t>
      </w:r>
      <w:r>
        <w:rPr>
          <w:color w:val="231F20"/>
        </w:rPr>
        <w:t>se</w:t>
      </w:r>
      <w:r>
        <w:rPr>
          <w:color w:val="231F20"/>
          <w:spacing w:val="-12"/>
        </w:rPr>
        <w:t> </w:t>
      </w:r>
      <w:r>
        <w:rPr>
          <w:color w:val="231F20"/>
        </w:rPr>
        <w:t>procesó</w:t>
      </w:r>
      <w:r>
        <w:rPr>
          <w:color w:val="231F20"/>
          <w:spacing w:val="-12"/>
        </w:rPr>
        <w:t> </w:t>
      </w:r>
      <w:r>
        <w:rPr>
          <w:color w:val="231F20"/>
        </w:rPr>
        <w:t>en</w:t>
      </w:r>
      <w:r>
        <w:rPr>
          <w:color w:val="231F20"/>
          <w:spacing w:val="-12"/>
        </w:rPr>
        <w:t> </w:t>
      </w:r>
      <w:r>
        <w:rPr>
          <w:color w:val="231F20"/>
        </w:rPr>
        <w:t>SPSS.</w:t>
      </w:r>
    </w:p>
    <w:p>
      <w:pPr>
        <w:pStyle w:val="BodyText"/>
        <w:rPr>
          <w:sz w:val="22"/>
        </w:rPr>
      </w:pPr>
    </w:p>
    <w:p>
      <w:pPr>
        <w:pStyle w:val="BodyText"/>
        <w:spacing w:before="3"/>
      </w:pPr>
    </w:p>
    <w:p>
      <w:pPr>
        <w:pStyle w:val="BodyText"/>
        <w:spacing w:before="1"/>
        <w:ind w:left="101"/>
        <w:jc w:val="both"/>
      </w:pPr>
      <w:r>
        <w:rPr>
          <w:color w:val="231F20"/>
        </w:rPr>
        <w:t>RESULTADOS  DE  LA ENCUESTA</w:t>
      </w:r>
    </w:p>
    <w:p>
      <w:pPr>
        <w:pStyle w:val="BodyText"/>
        <w:spacing w:before="6"/>
      </w:pPr>
    </w:p>
    <w:p>
      <w:pPr>
        <w:pStyle w:val="BodyText"/>
        <w:spacing w:line="244" w:lineRule="auto"/>
        <w:ind w:left="101" w:right="116"/>
        <w:jc w:val="both"/>
      </w:pPr>
      <w:r>
        <w:rPr>
          <w:color w:val="231F20"/>
        </w:rPr>
        <w:t>Las encuestas de la muestra final incluyen a Medicina, Veterinaria y Zootecnia, Ciencias y Economía; a las facultades de Idiomas, Dere- cho y Ciencias Sociales, Arquitectura C.U., Contaduría y Adminis- tración, Odontología, Ciencias Químicas y el Instituto de Ciencias de la Educación. Estas son carreras, escuelas o facultades que se   han caracterizado por sufrir diferentes formas de violencia al inte- rior de la universidad. La facultad que en prensa, radio, televisión o en algún medio de difusión masiva resulta como lugar de mayor situación</w:t>
      </w:r>
      <w:r>
        <w:rPr>
          <w:color w:val="231F20"/>
          <w:spacing w:val="-5"/>
        </w:rPr>
        <w:t> </w:t>
      </w:r>
      <w:r>
        <w:rPr>
          <w:color w:val="231F20"/>
        </w:rPr>
        <w:t>de</w:t>
      </w:r>
      <w:r>
        <w:rPr>
          <w:color w:val="231F20"/>
          <w:spacing w:val="-5"/>
        </w:rPr>
        <w:t> </w:t>
      </w:r>
      <w:r>
        <w:rPr>
          <w:color w:val="231F20"/>
        </w:rPr>
        <w:t>violencia,</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Facultad</w:t>
      </w:r>
      <w:r>
        <w:rPr>
          <w:color w:val="231F20"/>
          <w:spacing w:val="-5"/>
        </w:rPr>
        <w:t> </w:t>
      </w:r>
      <w:r>
        <w:rPr>
          <w:color w:val="231F20"/>
        </w:rPr>
        <w:t>de</w:t>
      </w:r>
      <w:r>
        <w:rPr>
          <w:color w:val="231F20"/>
          <w:spacing w:val="-5"/>
        </w:rPr>
        <w:t> </w:t>
      </w:r>
      <w:r>
        <w:rPr>
          <w:color w:val="231F20"/>
        </w:rPr>
        <w:t>Derecho</w:t>
      </w:r>
      <w:r>
        <w:rPr>
          <w:color w:val="231F20"/>
          <w:spacing w:val="-5"/>
        </w:rPr>
        <w:t> </w:t>
      </w:r>
      <w:r>
        <w:rPr>
          <w:color w:val="231F20"/>
        </w:rPr>
        <w:t>y</w:t>
      </w:r>
      <w:r>
        <w:rPr>
          <w:color w:val="231F20"/>
          <w:spacing w:val="-5"/>
        </w:rPr>
        <w:t> </w:t>
      </w:r>
      <w:r>
        <w:rPr>
          <w:color w:val="231F20"/>
        </w:rPr>
        <w:t>Ciencias</w:t>
      </w:r>
      <w:r>
        <w:rPr>
          <w:color w:val="231F20"/>
          <w:spacing w:val="-5"/>
        </w:rPr>
        <w:t> </w:t>
      </w:r>
      <w:r>
        <w:rPr>
          <w:color w:val="231F20"/>
        </w:rPr>
        <w:t>Sociales</w:t>
      </w:r>
    </w:p>
    <w:p>
      <w:pPr>
        <w:spacing w:after="0" w:line="244" w:lineRule="auto"/>
        <w:jc w:val="both"/>
        <w:sectPr>
          <w:headerReference w:type="default" r:id="rId816"/>
          <w:footerReference w:type="default" r:id="rId817"/>
          <w:pgSz w:w="7830" w:h="11910"/>
          <w:pgMar w:header="0" w:footer="424" w:top="500" w:bottom="620" w:left="920" w:right="900"/>
          <w:pgNumType w:start="36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16" w:hanging="1"/>
        <w:jc w:val="both"/>
      </w:pPr>
      <w:r>
        <w:rPr>
          <w:color w:val="231F20"/>
        </w:rPr>
        <w:t>(por la violencia por porros: como muestra véanse los Cuadros 2 y   3 de los anexos). En los resultados de este sondeo le siguen Arqui- tectura, Enfermería y Obstetricia donde también cuadro 2 y 3 de    los anexosse vive violencia por</w:t>
      </w:r>
      <w:r>
        <w:rPr>
          <w:color w:val="231F20"/>
          <w:spacing w:val="-4"/>
        </w:rPr>
        <w:t> </w:t>
      </w:r>
      <w:r>
        <w:rPr>
          <w:color w:val="231F20"/>
        </w:rPr>
        <w:t>porros.</w:t>
      </w:r>
    </w:p>
    <w:p>
      <w:pPr>
        <w:pStyle w:val="BodyText"/>
        <w:spacing w:line="249" w:lineRule="auto" w:before="10"/>
        <w:ind w:left="102" w:right="115" w:firstLine="284"/>
        <w:jc w:val="both"/>
      </w:pPr>
      <w:r>
        <w:rPr>
          <w:color w:val="231F20"/>
        </w:rPr>
        <w:t>El propósito inicial era conocer la opinión que los alumnos tienen de la violencia que se vive en la universidad, pero en el instrumento final se incluyeron preguntas sobre su opinión de la violencia en la ciudad de Oaxaca. Uno de los resultados de la en- cuesta es que muestra el abanico de violencia en sus diferentes formas, así como su reconocimiento y su cotidianeidad (resalta la experiencia de la violencia como parte de diferentes dimensiones de la vida social). Las respuestas muestran diferentes escenarios en donde los estudiantes viven la violencia: en la escuela, en la fami- lia, en el medio, en la pareja, con los amigos. Es por ello, que apa- rece el término “percepción” en algunas de las preguntas del cues- tionario. Con estos acotamientos, podemos iniciar con algunos antecedentes.</w:t>
      </w:r>
    </w:p>
    <w:p>
      <w:pPr>
        <w:pStyle w:val="BodyText"/>
        <w:rPr>
          <w:sz w:val="22"/>
        </w:rPr>
      </w:pPr>
    </w:p>
    <w:p>
      <w:pPr>
        <w:pStyle w:val="BodyText"/>
        <w:ind w:left="102"/>
        <w:jc w:val="both"/>
      </w:pPr>
      <w:r>
        <w:rPr>
          <w:color w:val="231F20"/>
        </w:rPr>
        <w:t>LA SOCIEDAD  </w:t>
      </w:r>
      <w:r>
        <w:rPr>
          <w:color w:val="231F20"/>
          <w:spacing w:val="2"/>
        </w:rPr>
        <w:t>MODERNA </w:t>
      </w:r>
      <w:r>
        <w:rPr>
          <w:color w:val="231F20"/>
        </w:rPr>
        <w:t>Y LA </w:t>
      </w:r>
      <w:r>
        <w:rPr>
          <w:color w:val="231F20"/>
          <w:spacing w:val="50"/>
        </w:rPr>
        <w:t> </w:t>
      </w:r>
      <w:r>
        <w:rPr>
          <w:color w:val="231F20"/>
        </w:rPr>
        <w:t>VIOLENCIA</w:t>
      </w:r>
    </w:p>
    <w:p>
      <w:pPr>
        <w:pStyle w:val="BodyText"/>
        <w:spacing w:before="1"/>
      </w:pPr>
    </w:p>
    <w:p>
      <w:pPr>
        <w:pStyle w:val="BodyText"/>
        <w:spacing w:line="244" w:lineRule="auto" w:before="1"/>
        <w:ind w:left="102" w:right="115"/>
        <w:jc w:val="both"/>
      </w:pPr>
      <w:r>
        <w:rPr>
          <w:color w:val="231F20"/>
        </w:rPr>
        <w:t>La sociedad industrial evolucionó vertiginosamente después de la Segunda Guerra Mundial. Antes de convertirse en lo que ahora conocemos como la sociedad digital, el capitalismo cambió en dife- rentes formas. La etapa que conocemos ahora es la etapa global que incluye una revolución en la forma de organizar el conocimiento.</w:t>
      </w:r>
    </w:p>
    <w:p>
      <w:pPr>
        <w:pStyle w:val="BodyText"/>
        <w:spacing w:line="247" w:lineRule="auto" w:before="18"/>
        <w:ind w:left="102" w:right="114" w:firstLine="284"/>
        <w:jc w:val="both"/>
      </w:pPr>
      <w:r>
        <w:rPr>
          <w:color w:val="231F20"/>
        </w:rPr>
        <w:t>Después de la Segunda Guerra Mundial tuvieron auge diferen- tes formas de organización del trabajo, principalmente el modelo fordista y el taylorista, los cuales estuvieron ligados con la estruc- tura social de la época, caracterizada por enarbolar la organización científica de la producción que ejercía una fuerte presión sobre la división y el control de la misma (Coriat, 1982: 123).</w:t>
      </w:r>
    </w:p>
    <w:p>
      <w:pPr>
        <w:pStyle w:val="BodyText"/>
        <w:spacing w:line="249" w:lineRule="auto"/>
        <w:ind w:left="102" w:right="116" w:firstLine="284"/>
        <w:jc w:val="both"/>
      </w:pPr>
      <w:r>
        <w:rPr>
          <w:color w:val="231F20"/>
        </w:rPr>
        <w:t>En </w:t>
      </w:r>
      <w:r>
        <w:rPr>
          <w:color w:val="231F20"/>
          <w:spacing w:val="2"/>
        </w:rPr>
        <w:t>los setentas, Benjamin Coriat denunciaba </w:t>
      </w:r>
      <w:r>
        <w:rPr>
          <w:color w:val="231F20"/>
        </w:rPr>
        <w:t>el </w:t>
      </w:r>
      <w:r>
        <w:rPr>
          <w:color w:val="231F20"/>
          <w:spacing w:val="2"/>
        </w:rPr>
        <w:t>“laborioso edi- </w:t>
      </w:r>
      <w:r>
        <w:rPr>
          <w:color w:val="231F20"/>
        </w:rPr>
        <w:t>ficio de </w:t>
      </w:r>
      <w:r>
        <w:rPr>
          <w:color w:val="231F20"/>
          <w:spacing w:val="3"/>
        </w:rPr>
        <w:t>dominación” </w:t>
      </w:r>
      <w:r>
        <w:rPr>
          <w:color w:val="231F20"/>
        </w:rPr>
        <w:t>que </w:t>
      </w:r>
      <w:r>
        <w:rPr>
          <w:color w:val="231F20"/>
          <w:spacing w:val="2"/>
        </w:rPr>
        <w:t>pendía sobre los trabajadores </w:t>
      </w:r>
      <w:r>
        <w:rPr>
          <w:color w:val="231F20"/>
        </w:rPr>
        <w:t>de las </w:t>
      </w:r>
      <w:r>
        <w:rPr>
          <w:color w:val="231F20"/>
          <w:spacing w:val="2"/>
        </w:rPr>
        <w:t>fábricas, también </w:t>
      </w:r>
      <w:r>
        <w:rPr>
          <w:color w:val="231F20"/>
        </w:rPr>
        <w:t>la </w:t>
      </w:r>
      <w:r>
        <w:rPr>
          <w:color w:val="231F20"/>
          <w:spacing w:val="2"/>
        </w:rPr>
        <w:t>“organización científica del trabajo” </w:t>
      </w:r>
      <w:r>
        <w:rPr>
          <w:color w:val="231F20"/>
        </w:rPr>
        <w:t>que </w:t>
      </w:r>
      <w:r>
        <w:rPr>
          <w:color w:val="231F20"/>
          <w:spacing w:val="3"/>
        </w:rPr>
        <w:t>des- </w:t>
      </w:r>
      <w:r>
        <w:rPr>
          <w:color w:val="231F20"/>
          <w:spacing w:val="2"/>
        </w:rPr>
        <w:t>cansaba </w:t>
      </w:r>
      <w:r>
        <w:rPr>
          <w:color w:val="231F20"/>
        </w:rPr>
        <w:t>en </w:t>
      </w:r>
      <w:r>
        <w:rPr>
          <w:color w:val="231F20"/>
          <w:spacing w:val="2"/>
        </w:rPr>
        <w:t>diferentes </w:t>
      </w:r>
      <w:r>
        <w:rPr>
          <w:color w:val="231F20"/>
          <w:spacing w:val="3"/>
        </w:rPr>
        <w:t>“instrumentos </w:t>
      </w:r>
      <w:r>
        <w:rPr>
          <w:color w:val="231F20"/>
        </w:rPr>
        <w:t>de </w:t>
      </w:r>
      <w:r>
        <w:rPr>
          <w:color w:val="231F20"/>
          <w:spacing w:val="2"/>
        </w:rPr>
        <w:t>división </w:t>
      </w:r>
      <w:r>
        <w:rPr>
          <w:color w:val="231F20"/>
        </w:rPr>
        <w:t>y </w:t>
      </w:r>
      <w:r>
        <w:rPr>
          <w:color w:val="231F20"/>
          <w:spacing w:val="3"/>
        </w:rPr>
        <w:t>control </w:t>
      </w:r>
      <w:r>
        <w:rPr>
          <w:color w:val="231F20"/>
          <w:spacing w:val="2"/>
        </w:rPr>
        <w:t>del trabajo”. </w:t>
      </w:r>
      <w:r>
        <w:rPr>
          <w:color w:val="231F20"/>
        </w:rPr>
        <w:t>En </w:t>
      </w:r>
      <w:r>
        <w:rPr>
          <w:color w:val="231F20"/>
          <w:spacing w:val="2"/>
        </w:rPr>
        <w:t>aquellos años, Coriat </w:t>
      </w:r>
      <w:r>
        <w:rPr>
          <w:color w:val="231F20"/>
        </w:rPr>
        <w:t>se </w:t>
      </w:r>
      <w:r>
        <w:rPr>
          <w:color w:val="231F20"/>
          <w:spacing w:val="2"/>
        </w:rPr>
        <w:t>refería </w:t>
      </w:r>
      <w:r>
        <w:rPr>
          <w:color w:val="231F20"/>
        </w:rPr>
        <w:t>a la </w:t>
      </w:r>
      <w:r>
        <w:rPr>
          <w:color w:val="231F20"/>
          <w:spacing w:val="2"/>
        </w:rPr>
        <w:t>fábrica-prisión </w:t>
      </w:r>
      <w:r>
        <w:rPr>
          <w:color w:val="231F20"/>
        </w:rPr>
        <w:t>y   al </w:t>
      </w:r>
      <w:r>
        <w:rPr>
          <w:color w:val="231F20"/>
          <w:spacing w:val="3"/>
        </w:rPr>
        <w:t>obrero-masa </w:t>
      </w:r>
      <w:r>
        <w:rPr>
          <w:color w:val="231F20"/>
        </w:rPr>
        <w:t>con la idea de que los </w:t>
      </w:r>
      <w:r>
        <w:rPr>
          <w:color w:val="231F20"/>
          <w:spacing w:val="2"/>
        </w:rPr>
        <w:t>procesos </w:t>
      </w:r>
      <w:r>
        <w:rPr>
          <w:color w:val="231F20"/>
        </w:rPr>
        <w:t>de </w:t>
      </w:r>
      <w:r>
        <w:rPr>
          <w:color w:val="231F20"/>
          <w:spacing w:val="2"/>
        </w:rPr>
        <w:t>control, enaje- nación  </w:t>
      </w:r>
      <w:r>
        <w:rPr>
          <w:color w:val="231F20"/>
        </w:rPr>
        <w:t>y  el  </w:t>
      </w:r>
      <w:r>
        <w:rPr>
          <w:color w:val="231F20"/>
          <w:spacing w:val="2"/>
        </w:rPr>
        <w:t>sentimiento  </w:t>
      </w:r>
      <w:r>
        <w:rPr>
          <w:color w:val="231F20"/>
        </w:rPr>
        <w:t>de  </w:t>
      </w:r>
      <w:r>
        <w:rPr>
          <w:color w:val="231F20"/>
          <w:spacing w:val="2"/>
        </w:rPr>
        <w:t>pérdida  </w:t>
      </w:r>
      <w:r>
        <w:rPr>
          <w:color w:val="231F20"/>
        </w:rPr>
        <w:t>del  </w:t>
      </w:r>
      <w:r>
        <w:rPr>
          <w:color w:val="231F20"/>
          <w:spacing w:val="3"/>
        </w:rPr>
        <w:t>control  </w:t>
      </w:r>
      <w:r>
        <w:rPr>
          <w:color w:val="231F20"/>
        </w:rPr>
        <w:t>del  </w:t>
      </w:r>
      <w:r>
        <w:rPr>
          <w:color w:val="231F20"/>
          <w:spacing w:val="2"/>
        </w:rPr>
        <w:t>proceso </w:t>
      </w:r>
      <w:r>
        <w:rPr>
          <w:color w:val="231F20"/>
          <w:spacing w:val="17"/>
        </w:rPr>
        <w:t> </w:t>
      </w:r>
      <w:r>
        <w:rPr>
          <w:color w:val="231F20"/>
        </w:rPr>
        <w:t>de</w:t>
      </w:r>
    </w:p>
    <w:p>
      <w:pPr>
        <w:spacing w:after="0" w:line="249" w:lineRule="auto"/>
        <w:jc w:val="both"/>
        <w:sectPr>
          <w:headerReference w:type="default" r:id="rId818"/>
          <w:footerReference w:type="default" r:id="rId819"/>
          <w:pgSz w:w="7830" w:h="11910"/>
          <w:pgMar w:header="0" w:footer="424" w:top="500" w:bottom="620" w:left="920" w:right="900"/>
          <w:pgNumType w:start="36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9"/>
        <w:jc w:val="both"/>
      </w:pPr>
      <w:r>
        <w:rPr>
          <w:color w:val="231F20"/>
        </w:rPr>
        <w:t>trabajo caracterizaban las formas de organización de la produc- ción del fordismo y el taylorismo (Coriat, 1982: 123).</w:t>
      </w:r>
    </w:p>
    <w:p>
      <w:pPr>
        <w:pStyle w:val="BodyText"/>
        <w:spacing w:line="249" w:lineRule="auto" w:before="1"/>
        <w:ind w:left="102" w:right="115" w:firstLine="284"/>
        <w:jc w:val="both"/>
      </w:pPr>
      <w:r>
        <w:rPr>
          <w:color w:val="231F20"/>
        </w:rPr>
        <w:t>El </w:t>
      </w:r>
      <w:r>
        <w:rPr>
          <w:color w:val="231F20"/>
          <w:spacing w:val="3"/>
        </w:rPr>
        <w:t>momento </w:t>
      </w:r>
      <w:r>
        <w:rPr>
          <w:color w:val="231F20"/>
          <w:spacing w:val="2"/>
        </w:rPr>
        <w:t>actual del capitalismo está ligado con </w:t>
      </w:r>
      <w:r>
        <w:rPr>
          <w:color w:val="231F20"/>
        </w:rPr>
        <w:t>la </w:t>
      </w:r>
      <w:r>
        <w:rPr>
          <w:color w:val="231F20"/>
          <w:spacing w:val="2"/>
        </w:rPr>
        <w:t>fase </w:t>
      </w:r>
      <w:r>
        <w:rPr>
          <w:color w:val="231F20"/>
        </w:rPr>
        <w:t>elec- </w:t>
      </w:r>
      <w:r>
        <w:rPr>
          <w:color w:val="231F20"/>
          <w:spacing w:val="2"/>
        </w:rPr>
        <w:t>trónica </w:t>
      </w:r>
      <w:r>
        <w:rPr>
          <w:color w:val="231F20"/>
        </w:rPr>
        <w:t>y el </w:t>
      </w:r>
      <w:r>
        <w:rPr>
          <w:color w:val="231F20"/>
          <w:spacing w:val="2"/>
        </w:rPr>
        <w:t>auge </w:t>
      </w:r>
      <w:r>
        <w:rPr>
          <w:color w:val="231F20"/>
        </w:rPr>
        <w:t>de la  </w:t>
      </w:r>
      <w:r>
        <w:rPr>
          <w:color w:val="231F20"/>
          <w:spacing w:val="2"/>
        </w:rPr>
        <w:t>robótica. </w:t>
      </w:r>
      <w:r>
        <w:rPr>
          <w:color w:val="231F20"/>
          <w:spacing w:val="3"/>
        </w:rPr>
        <w:t>Hubo cambios </w:t>
      </w:r>
      <w:r>
        <w:rPr>
          <w:color w:val="231F20"/>
          <w:spacing w:val="2"/>
        </w:rPr>
        <w:t>considerables </w:t>
      </w:r>
      <w:r>
        <w:rPr>
          <w:color w:val="231F20"/>
        </w:rPr>
        <w:t>y  </w:t>
      </w:r>
      <w:r>
        <w:rPr>
          <w:color w:val="231F20"/>
          <w:spacing w:val="2"/>
        </w:rPr>
        <w:t>una </w:t>
      </w:r>
      <w:r>
        <w:rPr>
          <w:color w:val="231F20"/>
          <w:spacing w:val="3"/>
        </w:rPr>
        <w:t>“metamorfosis </w:t>
      </w:r>
      <w:r>
        <w:rPr>
          <w:color w:val="231F20"/>
        </w:rPr>
        <w:t>de la </w:t>
      </w:r>
      <w:r>
        <w:rPr>
          <w:color w:val="231F20"/>
          <w:spacing w:val="2"/>
        </w:rPr>
        <w:t>división del trabajo” </w:t>
      </w:r>
      <w:r>
        <w:rPr>
          <w:color w:val="231F20"/>
        </w:rPr>
        <w:t>en la </w:t>
      </w:r>
      <w:r>
        <w:rPr>
          <w:color w:val="231F20"/>
          <w:spacing w:val="2"/>
        </w:rPr>
        <w:t>década </w:t>
      </w:r>
      <w:r>
        <w:rPr>
          <w:color w:val="231F20"/>
        </w:rPr>
        <w:t>de </w:t>
      </w:r>
      <w:r>
        <w:rPr>
          <w:color w:val="231F20"/>
          <w:spacing w:val="3"/>
        </w:rPr>
        <w:t>los ochenta. </w:t>
      </w:r>
      <w:r>
        <w:rPr>
          <w:color w:val="231F20"/>
        </w:rPr>
        <w:t>En </w:t>
      </w:r>
      <w:r>
        <w:rPr>
          <w:color w:val="231F20"/>
          <w:spacing w:val="2"/>
        </w:rPr>
        <w:t>los </w:t>
      </w:r>
      <w:r>
        <w:rPr>
          <w:color w:val="231F20"/>
          <w:spacing w:val="3"/>
        </w:rPr>
        <w:t>noventa, </w:t>
      </w:r>
      <w:r>
        <w:rPr>
          <w:color w:val="231F20"/>
        </w:rPr>
        <w:t>se </w:t>
      </w:r>
      <w:r>
        <w:rPr>
          <w:color w:val="231F20"/>
          <w:spacing w:val="2"/>
        </w:rPr>
        <w:t>dio también una “repartición modifi- cada </w:t>
      </w:r>
      <w:r>
        <w:rPr>
          <w:color w:val="231F20"/>
        </w:rPr>
        <w:t>de las </w:t>
      </w:r>
      <w:r>
        <w:rPr>
          <w:color w:val="231F20"/>
          <w:spacing w:val="2"/>
        </w:rPr>
        <w:t>tareas </w:t>
      </w:r>
      <w:r>
        <w:rPr>
          <w:color w:val="231F20"/>
        </w:rPr>
        <w:t>y las </w:t>
      </w:r>
      <w:r>
        <w:rPr>
          <w:color w:val="231F20"/>
          <w:spacing w:val="3"/>
        </w:rPr>
        <w:t>funciones, </w:t>
      </w:r>
      <w:r>
        <w:rPr>
          <w:color w:val="231F20"/>
        </w:rPr>
        <w:t>las </w:t>
      </w:r>
      <w:r>
        <w:rPr>
          <w:color w:val="231F20"/>
          <w:spacing w:val="2"/>
        </w:rPr>
        <w:t>exigencias </w:t>
      </w:r>
      <w:r>
        <w:rPr>
          <w:color w:val="231F20"/>
        </w:rPr>
        <w:t>de la </w:t>
      </w:r>
      <w:r>
        <w:rPr>
          <w:color w:val="231F20"/>
          <w:spacing w:val="3"/>
        </w:rPr>
        <w:t>búsqueda conjunta </w:t>
      </w:r>
      <w:r>
        <w:rPr>
          <w:color w:val="231F20"/>
        </w:rPr>
        <w:t>de </w:t>
      </w:r>
      <w:r>
        <w:rPr>
          <w:color w:val="231F20"/>
          <w:spacing w:val="2"/>
        </w:rPr>
        <w:t>integración </w:t>
      </w:r>
      <w:r>
        <w:rPr>
          <w:color w:val="231F20"/>
        </w:rPr>
        <w:t>y </w:t>
      </w:r>
      <w:r>
        <w:rPr>
          <w:color w:val="231F20"/>
          <w:spacing w:val="2"/>
        </w:rPr>
        <w:t>flexibilidad, </w:t>
      </w:r>
      <w:r>
        <w:rPr>
          <w:color w:val="231F20"/>
          <w:spacing w:val="3"/>
        </w:rPr>
        <w:t>apuntadas </w:t>
      </w:r>
      <w:r>
        <w:rPr>
          <w:color w:val="231F20"/>
          <w:spacing w:val="2"/>
        </w:rPr>
        <w:t>por </w:t>
      </w:r>
      <w:r>
        <w:rPr>
          <w:color w:val="231F20"/>
        </w:rPr>
        <w:t>la </w:t>
      </w:r>
      <w:r>
        <w:rPr>
          <w:color w:val="231F20"/>
          <w:spacing w:val="2"/>
        </w:rPr>
        <w:t>nueva trayectoria</w:t>
      </w:r>
      <w:r>
        <w:rPr>
          <w:color w:val="231F20"/>
          <w:spacing w:val="-13"/>
        </w:rPr>
        <w:t> </w:t>
      </w:r>
      <w:r>
        <w:rPr>
          <w:color w:val="231F20"/>
          <w:spacing w:val="2"/>
        </w:rPr>
        <w:t>tecnológica”.</w:t>
      </w:r>
      <w:r>
        <w:rPr>
          <w:color w:val="231F20"/>
          <w:spacing w:val="-14"/>
        </w:rPr>
        <w:t> </w:t>
      </w:r>
      <w:r>
        <w:rPr>
          <w:color w:val="231F20"/>
          <w:spacing w:val="2"/>
        </w:rPr>
        <w:t>(Coriat,</w:t>
      </w:r>
      <w:r>
        <w:rPr>
          <w:color w:val="231F20"/>
          <w:spacing w:val="-14"/>
        </w:rPr>
        <w:t> </w:t>
      </w:r>
      <w:r>
        <w:rPr>
          <w:color w:val="231F20"/>
          <w:spacing w:val="3"/>
        </w:rPr>
        <w:t>1992:</w:t>
      </w:r>
      <w:r>
        <w:rPr>
          <w:color w:val="231F20"/>
          <w:spacing w:val="-14"/>
        </w:rPr>
        <w:t> </w:t>
      </w:r>
      <w:r>
        <w:rPr>
          <w:color w:val="231F20"/>
          <w:spacing w:val="3"/>
        </w:rPr>
        <w:t>179)</w:t>
      </w:r>
    </w:p>
    <w:p>
      <w:pPr>
        <w:pStyle w:val="BodyText"/>
        <w:spacing w:line="247" w:lineRule="auto"/>
        <w:ind w:left="102" w:right="116" w:firstLine="284"/>
        <w:jc w:val="both"/>
      </w:pPr>
      <w:r>
        <w:rPr>
          <w:color w:val="231F20"/>
          <w:spacing w:val="2"/>
        </w:rPr>
        <w:t>Las exigencias </w:t>
      </w:r>
      <w:r>
        <w:rPr>
          <w:color w:val="231F20"/>
        </w:rPr>
        <w:t>y las </w:t>
      </w:r>
      <w:r>
        <w:rPr>
          <w:color w:val="231F20"/>
          <w:spacing w:val="2"/>
        </w:rPr>
        <w:t>presiones </w:t>
      </w:r>
      <w:r>
        <w:rPr>
          <w:color w:val="231F20"/>
        </w:rPr>
        <w:t>en la </w:t>
      </w:r>
      <w:r>
        <w:rPr>
          <w:color w:val="231F20"/>
          <w:spacing w:val="2"/>
        </w:rPr>
        <w:t>intensificación del trabajo siguieron los </w:t>
      </w:r>
      <w:r>
        <w:rPr>
          <w:color w:val="231F20"/>
          <w:spacing w:val="3"/>
        </w:rPr>
        <w:t>cánones </w:t>
      </w:r>
      <w:r>
        <w:rPr>
          <w:color w:val="231F20"/>
        </w:rPr>
        <w:t>de </w:t>
      </w:r>
      <w:r>
        <w:rPr>
          <w:color w:val="231F20"/>
          <w:spacing w:val="2"/>
        </w:rPr>
        <w:t>los </w:t>
      </w:r>
      <w:r>
        <w:rPr>
          <w:color w:val="231F20"/>
          <w:spacing w:val="3"/>
        </w:rPr>
        <w:t>primeros </w:t>
      </w:r>
      <w:r>
        <w:rPr>
          <w:color w:val="231F20"/>
          <w:spacing w:val="2"/>
        </w:rPr>
        <w:t>inicios </w:t>
      </w:r>
      <w:r>
        <w:rPr>
          <w:color w:val="231F20"/>
        </w:rPr>
        <w:t>de la </w:t>
      </w:r>
      <w:r>
        <w:rPr>
          <w:color w:val="231F20"/>
          <w:spacing w:val="3"/>
        </w:rPr>
        <w:t>Revolución </w:t>
      </w:r>
      <w:r>
        <w:rPr>
          <w:color w:val="231F20"/>
          <w:spacing w:val="2"/>
        </w:rPr>
        <w:t>Industrial (Marx, 1984). </w:t>
      </w:r>
      <w:r>
        <w:rPr>
          <w:color w:val="231F20"/>
          <w:spacing w:val="3"/>
        </w:rPr>
        <w:t>Empero, </w:t>
      </w:r>
      <w:r>
        <w:rPr>
          <w:color w:val="231F20"/>
        </w:rPr>
        <w:t>el </w:t>
      </w:r>
      <w:r>
        <w:rPr>
          <w:color w:val="231F20"/>
          <w:spacing w:val="2"/>
        </w:rPr>
        <w:t>trabajo </w:t>
      </w:r>
      <w:r>
        <w:rPr>
          <w:color w:val="231F20"/>
        </w:rPr>
        <w:t>en las  </w:t>
      </w:r>
      <w:r>
        <w:rPr>
          <w:color w:val="231F20"/>
          <w:spacing w:val="2"/>
        </w:rPr>
        <w:t>oficinas  </w:t>
      </w:r>
      <w:r>
        <w:rPr>
          <w:color w:val="231F20"/>
        </w:rPr>
        <w:t>no </w:t>
      </w:r>
      <w:r>
        <w:rPr>
          <w:color w:val="231F20"/>
          <w:spacing w:val="2"/>
        </w:rPr>
        <w:t>pudo desprenderse </w:t>
      </w:r>
      <w:r>
        <w:rPr>
          <w:color w:val="231F20"/>
        </w:rPr>
        <w:t>del </w:t>
      </w:r>
      <w:r>
        <w:rPr>
          <w:color w:val="231F20"/>
          <w:spacing w:val="2"/>
        </w:rPr>
        <w:t>carácter enajenante </w:t>
      </w:r>
      <w:r>
        <w:rPr>
          <w:color w:val="231F20"/>
        </w:rPr>
        <w:t>de  la  </w:t>
      </w:r>
      <w:r>
        <w:rPr>
          <w:color w:val="231F20"/>
          <w:spacing w:val="2"/>
        </w:rPr>
        <w:t>exteriorización  del trabajo </w:t>
      </w:r>
      <w:r>
        <w:rPr>
          <w:color w:val="231F20"/>
          <w:spacing w:val="3"/>
        </w:rPr>
        <w:t>moderno </w:t>
      </w:r>
      <w:r>
        <w:rPr>
          <w:color w:val="231F20"/>
          <w:spacing w:val="2"/>
        </w:rPr>
        <w:t>sobre </w:t>
      </w:r>
      <w:r>
        <w:rPr>
          <w:color w:val="231F20"/>
        </w:rPr>
        <w:t>el </w:t>
      </w:r>
      <w:r>
        <w:rPr>
          <w:color w:val="231F20"/>
          <w:spacing w:val="3"/>
        </w:rPr>
        <w:t>hombre </w:t>
      </w:r>
      <w:r>
        <w:rPr>
          <w:color w:val="231F20"/>
        </w:rPr>
        <w:t>en la </w:t>
      </w:r>
      <w:r>
        <w:rPr>
          <w:color w:val="231F20"/>
          <w:spacing w:val="2"/>
        </w:rPr>
        <w:t>actual sociedad digital, </w:t>
      </w:r>
      <w:r>
        <w:rPr>
          <w:color w:val="231F20"/>
        </w:rPr>
        <w:t>lo </w:t>
      </w:r>
      <w:r>
        <w:rPr>
          <w:color w:val="231F20"/>
          <w:spacing w:val="2"/>
        </w:rPr>
        <w:t>cual </w:t>
      </w:r>
      <w:r>
        <w:rPr>
          <w:color w:val="231F20"/>
          <w:spacing w:val="3"/>
        </w:rPr>
        <w:t>puede </w:t>
      </w:r>
      <w:r>
        <w:rPr>
          <w:color w:val="231F20"/>
          <w:spacing w:val="2"/>
        </w:rPr>
        <w:t>considerarse </w:t>
      </w:r>
      <w:r>
        <w:rPr>
          <w:color w:val="231F20"/>
        </w:rPr>
        <w:t>un </w:t>
      </w:r>
      <w:r>
        <w:rPr>
          <w:color w:val="231F20"/>
          <w:spacing w:val="3"/>
        </w:rPr>
        <w:t>antecedente </w:t>
      </w:r>
      <w:r>
        <w:rPr>
          <w:color w:val="231F20"/>
        </w:rPr>
        <w:t>de lo </w:t>
      </w:r>
      <w:r>
        <w:rPr>
          <w:color w:val="231F20"/>
          <w:spacing w:val="2"/>
        </w:rPr>
        <w:t>que sucede </w:t>
      </w:r>
      <w:r>
        <w:rPr>
          <w:color w:val="231F20"/>
        </w:rPr>
        <w:t>en </w:t>
      </w:r>
      <w:r>
        <w:rPr>
          <w:color w:val="231F20"/>
          <w:spacing w:val="2"/>
        </w:rPr>
        <w:t>diferentes sociedades posteriores </w:t>
      </w:r>
      <w:r>
        <w:rPr>
          <w:color w:val="231F20"/>
        </w:rPr>
        <w:t>a la </w:t>
      </w:r>
      <w:r>
        <w:rPr>
          <w:color w:val="231F20"/>
          <w:spacing w:val="3"/>
        </w:rPr>
        <w:t>Segunda Guerra</w:t>
      </w:r>
      <w:r>
        <w:rPr>
          <w:color w:val="231F20"/>
          <w:spacing w:val="-11"/>
        </w:rPr>
        <w:t> </w:t>
      </w:r>
      <w:r>
        <w:rPr>
          <w:color w:val="231F20"/>
          <w:spacing w:val="3"/>
        </w:rPr>
        <w:t>Mundial.</w:t>
      </w:r>
    </w:p>
    <w:p>
      <w:pPr>
        <w:pStyle w:val="BodyText"/>
        <w:spacing w:line="249" w:lineRule="auto" w:before="1"/>
        <w:ind w:left="102" w:right="118" w:firstLine="284"/>
        <w:jc w:val="both"/>
      </w:pPr>
      <w:r>
        <w:rPr>
          <w:color w:val="231F20"/>
        </w:rPr>
        <w:t>Lo que </w:t>
      </w:r>
      <w:r>
        <w:rPr>
          <w:color w:val="231F20"/>
          <w:spacing w:val="2"/>
        </w:rPr>
        <w:t>queremos enfatizar como antecedente </w:t>
      </w:r>
      <w:r>
        <w:rPr>
          <w:color w:val="231F20"/>
        </w:rPr>
        <w:t>son los </w:t>
      </w:r>
      <w:r>
        <w:rPr>
          <w:color w:val="231F20"/>
          <w:spacing w:val="2"/>
        </w:rPr>
        <w:t>cambios  </w:t>
      </w:r>
      <w:r>
        <w:rPr>
          <w:color w:val="231F20"/>
        </w:rPr>
        <w:t>en la </w:t>
      </w:r>
      <w:r>
        <w:rPr>
          <w:color w:val="231F20"/>
          <w:spacing w:val="2"/>
        </w:rPr>
        <w:t>organización del trabajo </w:t>
      </w:r>
      <w:r>
        <w:rPr>
          <w:color w:val="231F20"/>
        </w:rPr>
        <w:t>en la </w:t>
      </w:r>
      <w:r>
        <w:rPr>
          <w:color w:val="231F20"/>
          <w:spacing w:val="2"/>
        </w:rPr>
        <w:t>sociedad </w:t>
      </w:r>
      <w:r>
        <w:rPr>
          <w:color w:val="231F20"/>
          <w:spacing w:val="3"/>
        </w:rPr>
        <w:t>moderna. </w:t>
      </w:r>
      <w:r>
        <w:rPr>
          <w:color w:val="231F20"/>
        </w:rPr>
        <w:t>La </w:t>
      </w:r>
      <w:r>
        <w:rPr>
          <w:color w:val="231F20"/>
          <w:spacing w:val="2"/>
        </w:rPr>
        <w:t>socie- dad industrial evolucionó </w:t>
      </w:r>
      <w:r>
        <w:rPr>
          <w:color w:val="231F20"/>
        </w:rPr>
        <w:t>en las </w:t>
      </w:r>
      <w:r>
        <w:rPr>
          <w:color w:val="231F20"/>
          <w:spacing w:val="2"/>
        </w:rPr>
        <w:t>últimas décadas </w:t>
      </w:r>
      <w:r>
        <w:rPr>
          <w:color w:val="231F20"/>
        </w:rPr>
        <w:t>de ser </w:t>
      </w:r>
      <w:r>
        <w:rPr>
          <w:color w:val="231F20"/>
          <w:spacing w:val="2"/>
        </w:rPr>
        <w:t>una socie- dad del </w:t>
      </w:r>
      <w:r>
        <w:rPr>
          <w:color w:val="231F20"/>
          <w:spacing w:val="3"/>
        </w:rPr>
        <w:t>conocimiento </w:t>
      </w:r>
      <w:r>
        <w:rPr>
          <w:color w:val="231F20"/>
        </w:rPr>
        <w:t>en </w:t>
      </w:r>
      <w:r>
        <w:rPr>
          <w:color w:val="231F20"/>
          <w:spacing w:val="2"/>
        </w:rPr>
        <w:t>una sociedad digital. Esto trajo </w:t>
      </w:r>
      <w:r>
        <w:rPr>
          <w:color w:val="231F20"/>
          <w:spacing w:val="3"/>
        </w:rPr>
        <w:t>como consecuencia </w:t>
      </w:r>
      <w:r>
        <w:rPr>
          <w:color w:val="231F20"/>
          <w:spacing w:val="2"/>
        </w:rPr>
        <w:t>efectos </w:t>
      </w:r>
      <w:r>
        <w:rPr>
          <w:color w:val="231F20"/>
        </w:rPr>
        <w:t>en el </w:t>
      </w:r>
      <w:r>
        <w:rPr>
          <w:color w:val="231F20"/>
          <w:spacing w:val="3"/>
        </w:rPr>
        <w:t>mercado </w:t>
      </w:r>
      <w:r>
        <w:rPr>
          <w:color w:val="231F20"/>
        </w:rPr>
        <w:t>de </w:t>
      </w:r>
      <w:r>
        <w:rPr>
          <w:color w:val="231F20"/>
          <w:spacing w:val="2"/>
        </w:rPr>
        <w:t>trabajo, </w:t>
      </w:r>
      <w:r>
        <w:rPr>
          <w:color w:val="231F20"/>
        </w:rPr>
        <w:t>en las </w:t>
      </w:r>
      <w:r>
        <w:rPr>
          <w:color w:val="231F20"/>
          <w:spacing w:val="2"/>
        </w:rPr>
        <w:t>relaciones laborales </w:t>
      </w:r>
      <w:r>
        <w:rPr>
          <w:color w:val="231F20"/>
        </w:rPr>
        <w:t>en las </w:t>
      </w:r>
      <w:r>
        <w:rPr>
          <w:color w:val="231F20"/>
          <w:spacing w:val="3"/>
        </w:rPr>
        <w:t>empresas </w:t>
      </w:r>
      <w:r>
        <w:rPr>
          <w:color w:val="231F20"/>
        </w:rPr>
        <w:t>y </w:t>
      </w:r>
      <w:r>
        <w:rPr>
          <w:color w:val="231F20"/>
          <w:spacing w:val="3"/>
        </w:rPr>
        <w:t>cambios </w:t>
      </w:r>
      <w:r>
        <w:rPr>
          <w:color w:val="231F20"/>
        </w:rPr>
        <w:t>en las </w:t>
      </w:r>
      <w:r>
        <w:rPr>
          <w:color w:val="231F20"/>
          <w:spacing w:val="3"/>
        </w:rPr>
        <w:t>formas </w:t>
      </w:r>
      <w:r>
        <w:rPr>
          <w:color w:val="231F20"/>
        </w:rPr>
        <w:t>de</w:t>
      </w:r>
      <w:r>
        <w:rPr>
          <w:color w:val="231F20"/>
          <w:spacing w:val="6"/>
        </w:rPr>
        <w:t> </w:t>
      </w:r>
      <w:r>
        <w:rPr>
          <w:color w:val="231F20"/>
          <w:spacing w:val="3"/>
        </w:rPr>
        <w:t>empleo.</w:t>
      </w:r>
    </w:p>
    <w:p>
      <w:pPr>
        <w:pStyle w:val="BodyText"/>
        <w:spacing w:line="249" w:lineRule="auto"/>
        <w:ind w:left="102" w:right="115" w:firstLine="284"/>
        <w:jc w:val="both"/>
      </w:pPr>
      <w:r>
        <w:rPr>
          <w:color w:val="231F20"/>
          <w:spacing w:val="3"/>
        </w:rPr>
        <w:t>Sin </w:t>
      </w:r>
      <w:r>
        <w:rPr>
          <w:color w:val="231F20"/>
          <w:spacing w:val="4"/>
        </w:rPr>
        <w:t>embargo, estos </w:t>
      </w:r>
      <w:r>
        <w:rPr>
          <w:color w:val="231F20"/>
          <w:spacing w:val="3"/>
        </w:rPr>
        <w:t>no son los </w:t>
      </w:r>
      <w:r>
        <w:rPr>
          <w:color w:val="231F20"/>
          <w:spacing w:val="4"/>
        </w:rPr>
        <w:t>únicos factores generadores </w:t>
      </w:r>
      <w:r>
        <w:rPr>
          <w:color w:val="231F20"/>
          <w:spacing w:val="2"/>
        </w:rPr>
        <w:t>de </w:t>
      </w:r>
      <w:r>
        <w:rPr>
          <w:color w:val="231F20"/>
          <w:spacing w:val="4"/>
        </w:rPr>
        <w:t>violencia </w:t>
      </w:r>
      <w:r>
        <w:rPr>
          <w:color w:val="231F20"/>
          <w:spacing w:val="3"/>
        </w:rPr>
        <w:t>para </w:t>
      </w:r>
      <w:r>
        <w:rPr>
          <w:color w:val="231F20"/>
          <w:spacing w:val="2"/>
        </w:rPr>
        <w:t>el </w:t>
      </w:r>
      <w:r>
        <w:rPr>
          <w:color w:val="231F20"/>
          <w:spacing w:val="3"/>
        </w:rPr>
        <w:t>caso de </w:t>
      </w:r>
      <w:r>
        <w:rPr>
          <w:color w:val="231F20"/>
          <w:spacing w:val="4"/>
        </w:rPr>
        <w:t>Oaxaca. </w:t>
      </w:r>
      <w:r>
        <w:rPr>
          <w:color w:val="231F20"/>
          <w:spacing w:val="3"/>
        </w:rPr>
        <w:t>Por </w:t>
      </w:r>
      <w:r>
        <w:rPr>
          <w:color w:val="231F20"/>
          <w:spacing w:val="4"/>
        </w:rPr>
        <w:t>ejemplo, podemos </w:t>
      </w:r>
      <w:r>
        <w:rPr>
          <w:color w:val="231F20"/>
          <w:spacing w:val="3"/>
        </w:rPr>
        <w:t>incluir </w:t>
      </w:r>
      <w:r>
        <w:rPr>
          <w:color w:val="231F20"/>
          <w:spacing w:val="4"/>
        </w:rPr>
        <w:t>como </w:t>
      </w:r>
      <w:r>
        <w:rPr>
          <w:color w:val="231F20"/>
          <w:spacing w:val="3"/>
        </w:rPr>
        <w:t>un </w:t>
      </w:r>
      <w:r>
        <w:rPr>
          <w:color w:val="231F20"/>
          <w:spacing w:val="4"/>
        </w:rPr>
        <w:t>factor causal, </w:t>
      </w:r>
      <w:r>
        <w:rPr>
          <w:color w:val="231F20"/>
          <w:spacing w:val="2"/>
        </w:rPr>
        <w:t>en el </w:t>
      </w:r>
      <w:r>
        <w:rPr>
          <w:color w:val="231F20"/>
          <w:spacing w:val="3"/>
        </w:rPr>
        <w:t>caso del </w:t>
      </w:r>
      <w:r>
        <w:rPr>
          <w:color w:val="231F20"/>
          <w:spacing w:val="4"/>
        </w:rPr>
        <w:t>país, </w:t>
      </w:r>
      <w:r>
        <w:rPr>
          <w:color w:val="231F20"/>
          <w:spacing w:val="2"/>
        </w:rPr>
        <w:t>el </w:t>
      </w:r>
      <w:r>
        <w:rPr>
          <w:color w:val="231F20"/>
          <w:spacing w:val="4"/>
        </w:rPr>
        <w:t>pertenecer </w:t>
      </w:r>
      <w:r>
        <w:rPr>
          <w:color w:val="231F20"/>
        </w:rPr>
        <w:t>a la </w:t>
      </w:r>
      <w:r>
        <w:rPr>
          <w:color w:val="231F20"/>
          <w:spacing w:val="4"/>
        </w:rPr>
        <w:t>peri- feria </w:t>
      </w:r>
      <w:r>
        <w:rPr>
          <w:color w:val="231F20"/>
          <w:spacing w:val="3"/>
        </w:rPr>
        <w:t>de </w:t>
      </w:r>
      <w:r>
        <w:rPr>
          <w:color w:val="231F20"/>
        </w:rPr>
        <w:t>la </w:t>
      </w:r>
      <w:r>
        <w:rPr>
          <w:color w:val="231F20"/>
          <w:spacing w:val="5"/>
        </w:rPr>
        <w:t>economía-mundo; </w:t>
      </w:r>
      <w:r>
        <w:rPr>
          <w:color w:val="231F20"/>
          <w:spacing w:val="4"/>
        </w:rPr>
        <w:t>pues </w:t>
      </w:r>
      <w:r>
        <w:rPr>
          <w:color w:val="231F20"/>
          <w:spacing w:val="2"/>
        </w:rPr>
        <w:t>el </w:t>
      </w:r>
      <w:r>
        <w:rPr>
          <w:color w:val="231F20"/>
          <w:spacing w:val="4"/>
        </w:rPr>
        <w:t>estado cuenta </w:t>
      </w:r>
      <w:r>
        <w:rPr>
          <w:color w:val="231F20"/>
          <w:spacing w:val="3"/>
        </w:rPr>
        <w:t>con </w:t>
      </w:r>
      <w:r>
        <w:rPr>
          <w:color w:val="231F20"/>
          <w:spacing w:val="4"/>
        </w:rPr>
        <w:t>algunos </w:t>
      </w:r>
      <w:r>
        <w:rPr>
          <w:color w:val="231F20"/>
          <w:spacing w:val="3"/>
        </w:rPr>
        <w:t>de los </w:t>
      </w:r>
      <w:r>
        <w:rPr>
          <w:color w:val="231F20"/>
          <w:spacing w:val="4"/>
        </w:rPr>
        <w:t>municipios más marginados </w:t>
      </w:r>
      <w:r>
        <w:rPr>
          <w:color w:val="231F20"/>
          <w:spacing w:val="3"/>
        </w:rPr>
        <w:t>del país </w:t>
      </w:r>
      <w:r>
        <w:rPr>
          <w:color w:val="231F20"/>
          <w:spacing w:val="5"/>
        </w:rPr>
        <w:t>(DIGEPO, </w:t>
      </w:r>
      <w:r>
        <w:rPr>
          <w:color w:val="231F20"/>
          <w:spacing w:val="4"/>
        </w:rPr>
        <w:t>2007). </w:t>
      </w:r>
      <w:r>
        <w:rPr>
          <w:color w:val="231F20"/>
          <w:spacing w:val="3"/>
        </w:rPr>
        <w:t>En las </w:t>
      </w:r>
      <w:r>
        <w:rPr>
          <w:color w:val="231F20"/>
          <w:spacing w:val="4"/>
        </w:rPr>
        <w:t>páginas siguientes </w:t>
      </w:r>
      <w:r>
        <w:rPr>
          <w:color w:val="231F20"/>
          <w:spacing w:val="5"/>
        </w:rPr>
        <w:t>mostraremos </w:t>
      </w:r>
      <w:r>
        <w:rPr>
          <w:color w:val="231F20"/>
          <w:spacing w:val="2"/>
        </w:rPr>
        <w:t>el </w:t>
      </w:r>
      <w:r>
        <w:rPr>
          <w:color w:val="231F20"/>
          <w:spacing w:val="4"/>
        </w:rPr>
        <w:t>carácter propio </w:t>
      </w:r>
      <w:r>
        <w:rPr>
          <w:color w:val="231F20"/>
          <w:spacing w:val="3"/>
        </w:rPr>
        <w:t>de </w:t>
      </w:r>
      <w:r>
        <w:rPr>
          <w:color w:val="231F20"/>
        </w:rPr>
        <w:t>la </w:t>
      </w:r>
      <w:r>
        <w:rPr>
          <w:color w:val="231F20"/>
          <w:spacing w:val="5"/>
        </w:rPr>
        <w:t>evo- </w:t>
      </w:r>
      <w:r>
        <w:rPr>
          <w:color w:val="231F20"/>
          <w:spacing w:val="4"/>
        </w:rPr>
        <w:t>lución política </w:t>
      </w:r>
      <w:r>
        <w:rPr>
          <w:color w:val="231F20"/>
          <w:spacing w:val="3"/>
        </w:rPr>
        <w:t>de </w:t>
      </w:r>
      <w:r>
        <w:rPr>
          <w:color w:val="231F20"/>
        </w:rPr>
        <w:t>la </w:t>
      </w:r>
      <w:r>
        <w:rPr>
          <w:color w:val="231F20"/>
          <w:spacing w:val="4"/>
        </w:rPr>
        <w:t>identidad desde </w:t>
      </w:r>
      <w:r>
        <w:rPr>
          <w:color w:val="231F20"/>
        </w:rPr>
        <w:t>la </w:t>
      </w:r>
      <w:r>
        <w:rPr>
          <w:color w:val="231F20"/>
          <w:spacing w:val="4"/>
        </w:rPr>
        <w:t>segunda mitad </w:t>
      </w:r>
      <w:r>
        <w:rPr>
          <w:color w:val="231F20"/>
          <w:spacing w:val="3"/>
        </w:rPr>
        <w:t>del </w:t>
      </w:r>
      <w:r>
        <w:rPr>
          <w:color w:val="231F20"/>
          <w:spacing w:val="4"/>
        </w:rPr>
        <w:t>siglo pasado </w:t>
      </w:r>
      <w:r>
        <w:rPr>
          <w:color w:val="231F20"/>
          <w:spacing w:val="3"/>
        </w:rPr>
        <w:t>que </w:t>
      </w:r>
      <w:r>
        <w:rPr>
          <w:color w:val="231F20"/>
          <w:spacing w:val="2"/>
        </w:rPr>
        <w:t>la </w:t>
      </w:r>
      <w:r>
        <w:rPr>
          <w:color w:val="231F20"/>
          <w:spacing w:val="4"/>
        </w:rPr>
        <w:t>caracterizan como </w:t>
      </w:r>
      <w:r>
        <w:rPr>
          <w:color w:val="231F20"/>
          <w:spacing w:val="2"/>
        </w:rPr>
        <w:t>un </w:t>
      </w:r>
      <w:r>
        <w:rPr>
          <w:color w:val="231F20"/>
          <w:spacing w:val="4"/>
        </w:rPr>
        <w:t>estado </w:t>
      </w:r>
      <w:r>
        <w:rPr>
          <w:color w:val="231F20"/>
          <w:spacing w:val="5"/>
        </w:rPr>
        <w:t>convulsionado </w:t>
      </w:r>
      <w:r>
        <w:rPr>
          <w:color w:val="231F20"/>
          <w:spacing w:val="6"/>
        </w:rPr>
        <w:t>por </w:t>
      </w:r>
      <w:r>
        <w:rPr>
          <w:color w:val="231F20"/>
          <w:spacing w:val="64"/>
        </w:rPr>
        <w:t> </w:t>
      </w:r>
      <w:r>
        <w:rPr>
          <w:color w:val="231F20"/>
          <w:spacing w:val="2"/>
        </w:rPr>
        <w:t>un </w:t>
      </w:r>
      <w:r>
        <w:rPr>
          <w:color w:val="231F20"/>
          <w:spacing w:val="4"/>
        </w:rPr>
        <w:t>conjunto </w:t>
      </w:r>
      <w:r>
        <w:rPr>
          <w:color w:val="231F20"/>
          <w:spacing w:val="3"/>
        </w:rPr>
        <w:t>de </w:t>
      </w:r>
      <w:r>
        <w:rPr>
          <w:color w:val="231F20"/>
          <w:spacing w:val="4"/>
        </w:rPr>
        <w:t>actores </w:t>
      </w:r>
      <w:r>
        <w:rPr>
          <w:color w:val="231F20"/>
          <w:spacing w:val="2"/>
        </w:rPr>
        <w:t>en </w:t>
      </w:r>
      <w:r>
        <w:rPr>
          <w:color w:val="231F20"/>
          <w:spacing w:val="4"/>
        </w:rPr>
        <w:t>lucha por </w:t>
      </w:r>
      <w:r>
        <w:rPr>
          <w:color w:val="231F20"/>
          <w:spacing w:val="3"/>
        </w:rPr>
        <w:t>los </w:t>
      </w:r>
      <w:r>
        <w:rPr>
          <w:color w:val="231F20"/>
          <w:spacing w:val="4"/>
        </w:rPr>
        <w:t>recursos </w:t>
      </w:r>
      <w:r>
        <w:rPr>
          <w:color w:val="231F20"/>
        </w:rPr>
        <w:t>y </w:t>
      </w:r>
      <w:r>
        <w:rPr>
          <w:color w:val="231F20"/>
          <w:spacing w:val="3"/>
        </w:rPr>
        <w:t>los </w:t>
      </w:r>
      <w:r>
        <w:rPr>
          <w:color w:val="231F20"/>
          <w:spacing w:val="4"/>
        </w:rPr>
        <w:t>capitales políticos, </w:t>
      </w:r>
      <w:r>
        <w:rPr>
          <w:color w:val="231F20"/>
          <w:spacing w:val="5"/>
        </w:rPr>
        <w:t>económicos </w:t>
      </w:r>
      <w:r>
        <w:rPr>
          <w:color w:val="231F20"/>
        </w:rPr>
        <w:t>y </w:t>
      </w:r>
      <w:r>
        <w:rPr>
          <w:color w:val="231F20"/>
          <w:spacing w:val="3"/>
        </w:rPr>
        <w:t>de </w:t>
      </w:r>
      <w:r>
        <w:rPr>
          <w:color w:val="231F20"/>
          <w:spacing w:val="4"/>
        </w:rPr>
        <w:t>influencia </w:t>
      </w:r>
      <w:r>
        <w:rPr>
          <w:color w:val="231F20"/>
          <w:spacing w:val="2"/>
        </w:rPr>
        <w:t>en la </w:t>
      </w:r>
      <w:r>
        <w:rPr>
          <w:color w:val="231F20"/>
          <w:spacing w:val="4"/>
        </w:rPr>
        <w:t>sociedad</w:t>
      </w:r>
      <w:r>
        <w:rPr>
          <w:color w:val="231F20"/>
          <w:spacing w:val="-4"/>
        </w:rPr>
        <w:t> </w:t>
      </w:r>
      <w:r>
        <w:rPr>
          <w:color w:val="231F20"/>
          <w:spacing w:val="5"/>
        </w:rPr>
        <w:t>oaxaqueña.</w:t>
      </w:r>
    </w:p>
    <w:p>
      <w:pPr>
        <w:pStyle w:val="BodyText"/>
        <w:rPr>
          <w:sz w:val="22"/>
        </w:rPr>
      </w:pPr>
    </w:p>
    <w:p>
      <w:pPr>
        <w:pStyle w:val="BodyText"/>
        <w:spacing w:before="3"/>
      </w:pPr>
    </w:p>
    <w:p>
      <w:pPr>
        <w:spacing w:before="1"/>
        <w:ind w:left="102" w:right="0" w:firstLine="0"/>
        <w:jc w:val="both"/>
        <w:rPr>
          <w:i/>
          <w:sz w:val="21"/>
        </w:rPr>
      </w:pPr>
      <w:r>
        <w:rPr>
          <w:i/>
          <w:color w:val="231F20"/>
          <w:w w:val="85"/>
          <w:sz w:val="21"/>
        </w:rPr>
        <w:t>¿Qué es la violencia?</w:t>
      </w:r>
    </w:p>
    <w:p>
      <w:pPr>
        <w:pStyle w:val="BodyText"/>
        <w:spacing w:before="1"/>
        <w:rPr>
          <w:i/>
        </w:rPr>
      </w:pPr>
    </w:p>
    <w:p>
      <w:pPr>
        <w:pStyle w:val="BodyText"/>
        <w:spacing w:line="244" w:lineRule="auto" w:before="1"/>
        <w:ind w:left="102" w:right="113"/>
        <w:jc w:val="both"/>
      </w:pPr>
      <w:r>
        <w:rPr>
          <w:color w:val="231F20"/>
        </w:rPr>
        <w:t>Para entender el fenómeno de la violencia en la época actual, es importante reconocer que la violencia recorre la historia humana.   En</w:t>
      </w:r>
      <w:r>
        <w:rPr>
          <w:color w:val="231F20"/>
          <w:spacing w:val="29"/>
        </w:rPr>
        <w:t> </w:t>
      </w:r>
      <w:r>
        <w:rPr>
          <w:color w:val="231F20"/>
        </w:rPr>
        <w:t>este</w:t>
      </w:r>
      <w:r>
        <w:rPr>
          <w:color w:val="231F20"/>
          <w:spacing w:val="29"/>
        </w:rPr>
        <w:t> </w:t>
      </w:r>
      <w:r>
        <w:rPr>
          <w:color w:val="231F20"/>
        </w:rPr>
        <w:t>sentido,</w:t>
      </w:r>
      <w:r>
        <w:rPr>
          <w:color w:val="231F20"/>
          <w:spacing w:val="28"/>
        </w:rPr>
        <w:t> </w:t>
      </w:r>
      <w:r>
        <w:rPr>
          <w:color w:val="231F20"/>
        </w:rPr>
        <w:t>es</w:t>
      </w:r>
      <w:r>
        <w:rPr>
          <w:color w:val="231F20"/>
          <w:spacing w:val="29"/>
        </w:rPr>
        <w:t> </w:t>
      </w:r>
      <w:r>
        <w:rPr>
          <w:color w:val="231F20"/>
        </w:rPr>
        <w:t>una</w:t>
      </w:r>
      <w:r>
        <w:rPr>
          <w:color w:val="231F20"/>
          <w:spacing w:val="29"/>
        </w:rPr>
        <w:t> </w:t>
      </w:r>
      <w:r>
        <w:rPr>
          <w:color w:val="231F20"/>
        </w:rPr>
        <w:t>expresión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barbarie</w:t>
      </w:r>
      <w:r>
        <w:rPr>
          <w:color w:val="231F20"/>
          <w:spacing w:val="29"/>
        </w:rPr>
        <w:t> </w:t>
      </w:r>
      <w:r>
        <w:rPr>
          <w:color w:val="231F20"/>
        </w:rPr>
        <w:t>presente</w:t>
      </w:r>
      <w:r>
        <w:rPr>
          <w:color w:val="231F20"/>
          <w:spacing w:val="29"/>
        </w:rPr>
        <w:t> </w:t>
      </w:r>
      <w:r>
        <w:rPr>
          <w:color w:val="231F20"/>
        </w:rPr>
        <w:t>en</w:t>
      </w:r>
      <w:r>
        <w:rPr>
          <w:color w:val="231F20"/>
          <w:spacing w:val="29"/>
        </w:rPr>
        <w:t> </w:t>
      </w:r>
      <w:r>
        <w:rPr>
          <w:color w:val="231F20"/>
        </w:rPr>
        <w:t>dife-</w:t>
      </w:r>
    </w:p>
    <w:p>
      <w:pPr>
        <w:spacing w:after="0" w:line="244" w:lineRule="auto"/>
        <w:jc w:val="both"/>
        <w:sectPr>
          <w:headerReference w:type="default" r:id="rId820"/>
          <w:footerReference w:type="default" r:id="rId821"/>
          <w:pgSz w:w="7830" w:h="11910"/>
          <w:pgMar w:header="0" w:footer="424" w:top="500" w:bottom="620" w:left="920" w:right="900"/>
          <w:pgNumType w:start="36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4" w:lineRule="auto"/>
        <w:ind w:left="102" w:right="116"/>
        <w:jc w:val="both"/>
      </w:pPr>
      <w:r>
        <w:rPr>
          <w:color w:val="231F20"/>
        </w:rPr>
        <w:t>rentes civilizaciones (Morin, 2006), y entonces es un fenómeno mundial. Lo que hace a la violencia un fenómeno moderno son las formas en que se manifiesta; por ejemplo, las características que se manifiestan en una de las instituciones más importantes de la socie- dad contemporánea: la universidad.</w:t>
      </w:r>
    </w:p>
    <w:p>
      <w:pPr>
        <w:pStyle w:val="BodyText"/>
        <w:spacing w:line="249" w:lineRule="auto" w:before="18"/>
        <w:ind w:left="101" w:right="115" w:firstLine="284"/>
        <w:jc w:val="both"/>
      </w:pPr>
      <w:r>
        <w:rPr>
          <w:color w:val="231F20"/>
          <w:spacing w:val="2"/>
        </w:rPr>
        <w:t>Iniciaremos este artículo con una definición </w:t>
      </w:r>
      <w:r>
        <w:rPr>
          <w:color w:val="231F20"/>
        </w:rPr>
        <w:t>de </w:t>
      </w:r>
      <w:r>
        <w:rPr>
          <w:color w:val="231F20"/>
          <w:spacing w:val="2"/>
        </w:rPr>
        <w:t>violencia </w:t>
      </w:r>
      <w:r>
        <w:rPr>
          <w:color w:val="231F20"/>
          <w:spacing w:val="3"/>
        </w:rPr>
        <w:t>que </w:t>
      </w:r>
      <w:r>
        <w:rPr>
          <w:color w:val="231F20"/>
          <w:spacing w:val="2"/>
        </w:rPr>
        <w:t>nos permitirá llegar </w:t>
      </w:r>
      <w:r>
        <w:rPr>
          <w:color w:val="231F20"/>
        </w:rPr>
        <w:t>a las </w:t>
      </w:r>
      <w:r>
        <w:rPr>
          <w:color w:val="231F20"/>
          <w:spacing w:val="2"/>
        </w:rPr>
        <w:t>suposiciones más relevantes </w:t>
      </w:r>
      <w:r>
        <w:rPr>
          <w:color w:val="231F20"/>
        </w:rPr>
        <w:t>de </w:t>
      </w:r>
      <w:r>
        <w:rPr>
          <w:color w:val="231F20"/>
          <w:spacing w:val="2"/>
        </w:rPr>
        <w:t>este </w:t>
      </w:r>
      <w:r>
        <w:rPr>
          <w:color w:val="231F20"/>
          <w:spacing w:val="3"/>
        </w:rPr>
        <w:t>tra- </w:t>
      </w:r>
      <w:r>
        <w:rPr>
          <w:color w:val="231F20"/>
          <w:spacing w:val="2"/>
        </w:rPr>
        <w:t>bajo. </w:t>
      </w:r>
      <w:r>
        <w:rPr>
          <w:color w:val="231F20"/>
        </w:rPr>
        <w:t>La </w:t>
      </w:r>
      <w:r>
        <w:rPr>
          <w:color w:val="231F20"/>
          <w:spacing w:val="2"/>
        </w:rPr>
        <w:t>Organización Mundial </w:t>
      </w:r>
      <w:r>
        <w:rPr>
          <w:color w:val="231F20"/>
        </w:rPr>
        <w:t>de la </w:t>
      </w:r>
      <w:r>
        <w:rPr>
          <w:color w:val="231F20"/>
          <w:spacing w:val="2"/>
        </w:rPr>
        <w:t>Salud define violencia </w:t>
      </w:r>
      <w:r>
        <w:rPr>
          <w:color w:val="231F20"/>
          <w:spacing w:val="4"/>
        </w:rPr>
        <w:t>como: </w:t>
      </w:r>
      <w:r>
        <w:rPr>
          <w:color w:val="231F20"/>
          <w:spacing w:val="2"/>
        </w:rPr>
        <w:t>“El uso intencional </w:t>
      </w:r>
      <w:r>
        <w:rPr>
          <w:color w:val="231F20"/>
        </w:rPr>
        <w:t>de la </w:t>
      </w:r>
      <w:r>
        <w:rPr>
          <w:color w:val="231F20"/>
          <w:spacing w:val="2"/>
        </w:rPr>
        <w:t>fuerza </w:t>
      </w:r>
      <w:r>
        <w:rPr>
          <w:color w:val="231F20"/>
        </w:rPr>
        <w:t>o el </w:t>
      </w:r>
      <w:r>
        <w:rPr>
          <w:color w:val="231F20"/>
          <w:spacing w:val="2"/>
        </w:rPr>
        <w:t>poder físico, </w:t>
      </w:r>
      <w:r>
        <w:rPr>
          <w:color w:val="231F20"/>
        </w:rPr>
        <w:t>de </w:t>
      </w:r>
      <w:r>
        <w:rPr>
          <w:color w:val="231F20"/>
          <w:spacing w:val="2"/>
        </w:rPr>
        <w:t>hecho </w:t>
      </w:r>
      <w:r>
        <w:rPr>
          <w:color w:val="231F20"/>
        </w:rPr>
        <w:t>o </w:t>
      </w:r>
      <w:r>
        <w:rPr>
          <w:color w:val="231F20"/>
          <w:spacing w:val="4"/>
        </w:rPr>
        <w:t>co- </w:t>
      </w:r>
      <w:r>
        <w:rPr>
          <w:color w:val="231F20"/>
          <w:spacing w:val="2"/>
        </w:rPr>
        <w:t>mo amenaza, contra uno </w:t>
      </w:r>
      <w:r>
        <w:rPr>
          <w:color w:val="231F20"/>
          <w:spacing w:val="3"/>
        </w:rPr>
        <w:t>mismo, </w:t>
      </w:r>
      <w:r>
        <w:rPr>
          <w:color w:val="231F20"/>
          <w:spacing w:val="2"/>
        </w:rPr>
        <w:t>otra persona </w:t>
      </w:r>
      <w:r>
        <w:rPr>
          <w:color w:val="231F20"/>
        </w:rPr>
        <w:t>o un </w:t>
      </w:r>
      <w:r>
        <w:rPr>
          <w:color w:val="231F20"/>
          <w:spacing w:val="2"/>
        </w:rPr>
        <w:t>grupo </w:t>
      </w:r>
      <w:r>
        <w:rPr>
          <w:color w:val="231F20"/>
        </w:rPr>
        <w:t>o </w:t>
      </w:r>
      <w:r>
        <w:rPr>
          <w:color w:val="231F20"/>
          <w:spacing w:val="3"/>
        </w:rPr>
        <w:t>co- munidad, </w:t>
      </w:r>
      <w:r>
        <w:rPr>
          <w:color w:val="231F20"/>
          <w:spacing w:val="2"/>
        </w:rPr>
        <w:t>que cause </w:t>
      </w:r>
      <w:r>
        <w:rPr>
          <w:color w:val="231F20"/>
        </w:rPr>
        <w:t>o </w:t>
      </w:r>
      <w:r>
        <w:rPr>
          <w:color w:val="231F20"/>
          <w:spacing w:val="2"/>
        </w:rPr>
        <w:t>tenga </w:t>
      </w:r>
      <w:r>
        <w:rPr>
          <w:color w:val="231F20"/>
          <w:spacing w:val="3"/>
        </w:rPr>
        <w:t>muchas </w:t>
      </w:r>
      <w:r>
        <w:rPr>
          <w:color w:val="231F20"/>
          <w:spacing w:val="2"/>
        </w:rPr>
        <w:t>probabilidades </w:t>
      </w:r>
      <w:r>
        <w:rPr>
          <w:color w:val="231F20"/>
        </w:rPr>
        <w:t>de </w:t>
      </w:r>
      <w:r>
        <w:rPr>
          <w:color w:val="231F20"/>
          <w:spacing w:val="3"/>
        </w:rPr>
        <w:t>causar </w:t>
      </w:r>
      <w:r>
        <w:rPr>
          <w:color w:val="231F20"/>
          <w:spacing w:val="2"/>
        </w:rPr>
        <w:t>lesiones, </w:t>
      </w:r>
      <w:r>
        <w:rPr>
          <w:color w:val="231F20"/>
          <w:spacing w:val="3"/>
        </w:rPr>
        <w:t>muerte, daños </w:t>
      </w:r>
      <w:r>
        <w:rPr>
          <w:color w:val="231F20"/>
          <w:spacing w:val="2"/>
        </w:rPr>
        <w:t>psicológicos, </w:t>
      </w:r>
      <w:r>
        <w:rPr>
          <w:color w:val="231F20"/>
          <w:spacing w:val="3"/>
        </w:rPr>
        <w:t>trastornos </w:t>
      </w:r>
      <w:r>
        <w:rPr>
          <w:color w:val="231F20"/>
          <w:spacing w:val="2"/>
        </w:rPr>
        <w:t>del desarrollo </w:t>
      </w:r>
      <w:r>
        <w:rPr>
          <w:color w:val="231F20"/>
        </w:rPr>
        <w:t>o </w:t>
      </w:r>
      <w:r>
        <w:rPr>
          <w:color w:val="231F20"/>
          <w:spacing w:val="2"/>
        </w:rPr>
        <w:t>privaciones”</w:t>
      </w:r>
      <w:r>
        <w:rPr>
          <w:color w:val="231F20"/>
          <w:spacing w:val="-9"/>
        </w:rPr>
        <w:t> </w:t>
      </w:r>
      <w:r>
        <w:rPr>
          <w:color w:val="231F20"/>
          <w:spacing w:val="2"/>
        </w:rPr>
        <w:t>(Krug,</w:t>
      </w:r>
      <w:r>
        <w:rPr>
          <w:color w:val="231F20"/>
          <w:spacing w:val="-10"/>
        </w:rPr>
        <w:t> </w:t>
      </w:r>
      <w:r>
        <w:rPr>
          <w:color w:val="231F20"/>
          <w:spacing w:val="2"/>
        </w:rPr>
        <w:t>2003:</w:t>
      </w:r>
      <w:r>
        <w:rPr>
          <w:color w:val="231F20"/>
          <w:spacing w:val="-10"/>
        </w:rPr>
        <w:t> </w:t>
      </w:r>
      <w:r>
        <w:rPr>
          <w:color w:val="231F20"/>
        </w:rPr>
        <w:t>5).</w:t>
      </w:r>
      <w:r>
        <w:rPr>
          <w:color w:val="231F20"/>
          <w:spacing w:val="-10"/>
        </w:rPr>
        <w:t> </w:t>
      </w:r>
      <w:r>
        <w:rPr>
          <w:color w:val="231F20"/>
          <w:spacing w:val="2"/>
        </w:rPr>
        <w:t>Así,</w:t>
      </w:r>
    </w:p>
    <w:p>
      <w:pPr>
        <w:spacing w:line="271" w:lineRule="auto" w:before="17"/>
        <w:ind w:left="811" w:right="115" w:firstLine="284"/>
        <w:jc w:val="both"/>
        <w:rPr>
          <w:sz w:val="19"/>
        </w:rPr>
      </w:pPr>
      <w:r>
        <w:rPr>
          <w:color w:val="231F20"/>
          <w:sz w:val="19"/>
        </w:rPr>
        <w:t>la definición usada por la Organización Mundial de la Salud vincula la intención con la comisión del acto mismo, indepen- dientemente de las consecuencias que se producen (…) La in- clusión de la palabra ‘poder’, además de la frase ‘uso intencional de la fuerza física’, amplia la naturaleza de un acto de violencia como la comprensión convencional de la violencia para dar ca- bida a los actos que son resultado de una relación de poder, in- cluidas las amenazas y la intimidación (</w:t>
      </w:r>
      <w:r>
        <w:rPr>
          <w:color w:val="231F20"/>
          <w:sz w:val="21"/>
        </w:rPr>
        <w:t>Krug</w:t>
      </w:r>
      <w:r>
        <w:rPr>
          <w:color w:val="231F20"/>
          <w:sz w:val="19"/>
        </w:rPr>
        <w:t>, 2003: 5).</w:t>
      </w:r>
    </w:p>
    <w:p>
      <w:pPr>
        <w:pStyle w:val="BodyText"/>
        <w:spacing w:before="9"/>
        <w:rPr>
          <w:sz w:val="19"/>
        </w:rPr>
      </w:pPr>
    </w:p>
    <w:p>
      <w:pPr>
        <w:pStyle w:val="BodyText"/>
        <w:spacing w:line="249" w:lineRule="auto"/>
        <w:ind w:left="101" w:right="114" w:firstLine="284"/>
        <w:jc w:val="both"/>
      </w:pPr>
      <w:r>
        <w:rPr>
          <w:color w:val="231F20"/>
        </w:rPr>
        <w:t>La </w:t>
      </w:r>
      <w:r>
        <w:rPr>
          <w:color w:val="231F20"/>
          <w:spacing w:val="2"/>
        </w:rPr>
        <w:t>violencia </w:t>
      </w:r>
      <w:r>
        <w:rPr>
          <w:color w:val="231F20"/>
        </w:rPr>
        <w:t>en el </w:t>
      </w:r>
      <w:r>
        <w:rPr>
          <w:color w:val="231F20"/>
          <w:spacing w:val="2"/>
        </w:rPr>
        <w:t>siglo </w:t>
      </w:r>
      <w:r>
        <w:rPr>
          <w:color w:val="231F20"/>
        </w:rPr>
        <w:t>xxi se ha </w:t>
      </w:r>
      <w:r>
        <w:rPr>
          <w:color w:val="231F20"/>
          <w:spacing w:val="3"/>
        </w:rPr>
        <w:t>manifestado </w:t>
      </w:r>
      <w:r>
        <w:rPr>
          <w:color w:val="231F20"/>
        </w:rPr>
        <w:t>en </w:t>
      </w:r>
      <w:r>
        <w:rPr>
          <w:color w:val="231F20"/>
          <w:spacing w:val="3"/>
        </w:rPr>
        <w:t>diferentes formas </w:t>
      </w:r>
      <w:r>
        <w:rPr>
          <w:color w:val="231F20"/>
        </w:rPr>
        <w:t>que </w:t>
      </w:r>
      <w:r>
        <w:rPr>
          <w:color w:val="231F20"/>
          <w:spacing w:val="3"/>
        </w:rPr>
        <w:t>asombran </w:t>
      </w:r>
      <w:r>
        <w:rPr>
          <w:color w:val="231F20"/>
          <w:spacing w:val="2"/>
        </w:rPr>
        <w:t>por </w:t>
      </w:r>
      <w:r>
        <w:rPr>
          <w:color w:val="231F20"/>
        </w:rPr>
        <w:t>su </w:t>
      </w:r>
      <w:r>
        <w:rPr>
          <w:color w:val="231F20"/>
          <w:spacing w:val="2"/>
        </w:rPr>
        <w:t>virulencia </w:t>
      </w:r>
      <w:r>
        <w:rPr>
          <w:color w:val="231F20"/>
        </w:rPr>
        <w:t>y sus </w:t>
      </w:r>
      <w:r>
        <w:rPr>
          <w:color w:val="231F20"/>
          <w:spacing w:val="2"/>
        </w:rPr>
        <w:t>nuevas </w:t>
      </w:r>
      <w:r>
        <w:rPr>
          <w:color w:val="231F20"/>
          <w:spacing w:val="3"/>
        </w:rPr>
        <w:t>formas </w:t>
      </w:r>
      <w:r>
        <w:rPr>
          <w:color w:val="231F20"/>
        </w:rPr>
        <w:t>de </w:t>
      </w:r>
      <w:r>
        <w:rPr>
          <w:color w:val="231F20"/>
          <w:spacing w:val="2"/>
        </w:rPr>
        <w:t>ejercicio. Julieta Imberti, </w:t>
      </w:r>
      <w:r>
        <w:rPr>
          <w:color w:val="231F20"/>
          <w:spacing w:val="3"/>
        </w:rPr>
        <w:t>apoyada </w:t>
      </w:r>
      <w:r>
        <w:rPr>
          <w:color w:val="231F20"/>
        </w:rPr>
        <w:t>en la </w:t>
      </w:r>
      <w:r>
        <w:rPr>
          <w:color w:val="231F20"/>
          <w:spacing w:val="2"/>
        </w:rPr>
        <w:t>perspectiva </w:t>
      </w:r>
      <w:r>
        <w:rPr>
          <w:color w:val="231F20"/>
        </w:rPr>
        <w:t>de </w:t>
      </w:r>
      <w:r>
        <w:rPr>
          <w:color w:val="231F20"/>
          <w:spacing w:val="3"/>
        </w:rPr>
        <w:t>Morin, </w:t>
      </w:r>
      <w:r>
        <w:rPr>
          <w:color w:val="231F20"/>
          <w:spacing w:val="2"/>
        </w:rPr>
        <w:t>plantea </w:t>
      </w:r>
      <w:r>
        <w:rPr>
          <w:color w:val="231F20"/>
        </w:rPr>
        <w:t>que la </w:t>
      </w:r>
      <w:r>
        <w:rPr>
          <w:color w:val="231F20"/>
          <w:spacing w:val="2"/>
        </w:rPr>
        <w:t>violencia </w:t>
      </w:r>
      <w:r>
        <w:rPr>
          <w:color w:val="231F20"/>
        </w:rPr>
        <w:t>se </w:t>
      </w:r>
      <w:r>
        <w:rPr>
          <w:color w:val="231F20"/>
          <w:spacing w:val="2"/>
        </w:rPr>
        <w:t>explica desde siete diferentes ángulos con los cuales </w:t>
      </w:r>
      <w:r>
        <w:rPr>
          <w:color w:val="231F20"/>
        </w:rPr>
        <w:t>se </w:t>
      </w:r>
      <w:r>
        <w:rPr>
          <w:color w:val="231F20"/>
          <w:spacing w:val="3"/>
        </w:rPr>
        <w:t>puede </w:t>
      </w:r>
      <w:r>
        <w:rPr>
          <w:color w:val="231F20"/>
          <w:spacing w:val="2"/>
        </w:rPr>
        <w:t>construir una visión </w:t>
      </w:r>
      <w:r>
        <w:rPr>
          <w:color w:val="231F20"/>
        </w:rPr>
        <w:t>de la </w:t>
      </w:r>
      <w:r>
        <w:rPr>
          <w:color w:val="231F20"/>
          <w:spacing w:val="3"/>
        </w:rPr>
        <w:t>misma: </w:t>
      </w:r>
      <w:r>
        <w:rPr>
          <w:color w:val="231F20"/>
        </w:rPr>
        <w:t>1) </w:t>
      </w:r>
      <w:r>
        <w:rPr>
          <w:color w:val="231F20"/>
          <w:spacing w:val="4"/>
        </w:rPr>
        <w:t>La </w:t>
      </w:r>
      <w:r>
        <w:rPr>
          <w:color w:val="231F20"/>
          <w:spacing w:val="2"/>
        </w:rPr>
        <w:t>“fractura” mirador </w:t>
      </w:r>
      <w:r>
        <w:rPr>
          <w:color w:val="231F20"/>
        </w:rPr>
        <w:t>que </w:t>
      </w:r>
      <w:r>
        <w:rPr>
          <w:color w:val="231F20"/>
          <w:spacing w:val="2"/>
        </w:rPr>
        <w:t>remite </w:t>
      </w:r>
      <w:r>
        <w:rPr>
          <w:color w:val="231F20"/>
        </w:rPr>
        <w:t>a  </w:t>
      </w:r>
      <w:r>
        <w:rPr>
          <w:color w:val="231F20"/>
          <w:spacing w:val="2"/>
        </w:rPr>
        <w:t>los traumas </w:t>
      </w:r>
      <w:r>
        <w:rPr>
          <w:color w:val="231F20"/>
        </w:rPr>
        <w:t>de  </w:t>
      </w:r>
      <w:r>
        <w:rPr>
          <w:color w:val="231F20"/>
          <w:spacing w:val="2"/>
        </w:rPr>
        <w:t>una </w:t>
      </w:r>
      <w:r>
        <w:rPr>
          <w:color w:val="231F20"/>
          <w:spacing w:val="3"/>
        </w:rPr>
        <w:t>humanidad</w:t>
      </w:r>
      <w:r>
        <w:rPr>
          <w:color w:val="231F20"/>
          <w:spacing w:val="58"/>
        </w:rPr>
        <w:t> </w:t>
      </w:r>
      <w:r>
        <w:rPr>
          <w:color w:val="231F20"/>
        </w:rPr>
        <w:t>que se </w:t>
      </w:r>
      <w:r>
        <w:rPr>
          <w:color w:val="231F20"/>
          <w:spacing w:val="2"/>
        </w:rPr>
        <w:t>constituyó </w:t>
      </w:r>
      <w:r>
        <w:rPr>
          <w:color w:val="231F20"/>
        </w:rPr>
        <w:t>al </w:t>
      </w:r>
      <w:r>
        <w:rPr>
          <w:color w:val="231F20"/>
          <w:spacing w:val="2"/>
        </w:rPr>
        <w:t>abrigo </w:t>
      </w:r>
      <w:r>
        <w:rPr>
          <w:color w:val="231F20"/>
        </w:rPr>
        <w:t>de </w:t>
      </w:r>
      <w:r>
        <w:rPr>
          <w:color w:val="231F20"/>
          <w:spacing w:val="3"/>
        </w:rPr>
        <w:t>comunidades </w:t>
      </w:r>
      <w:r>
        <w:rPr>
          <w:color w:val="231F20"/>
          <w:spacing w:val="2"/>
        </w:rPr>
        <w:t>con fuertes lazos culturales </w:t>
      </w:r>
      <w:r>
        <w:rPr>
          <w:color w:val="231F20"/>
        </w:rPr>
        <w:t>y de </w:t>
      </w:r>
      <w:r>
        <w:rPr>
          <w:color w:val="231F20"/>
          <w:spacing w:val="2"/>
        </w:rPr>
        <w:t>pertenencia, pero que hoy padece </w:t>
      </w:r>
      <w:r>
        <w:rPr>
          <w:color w:val="231F20"/>
          <w:spacing w:val="3"/>
        </w:rPr>
        <w:t>orfandad; </w:t>
      </w:r>
      <w:r>
        <w:rPr>
          <w:color w:val="231F20"/>
        </w:rPr>
        <w:t>2) el </w:t>
      </w:r>
      <w:r>
        <w:rPr>
          <w:color w:val="231F20"/>
          <w:spacing w:val="3"/>
        </w:rPr>
        <w:t>“encuentro </w:t>
      </w:r>
      <w:r>
        <w:rPr>
          <w:color w:val="231F20"/>
          <w:spacing w:val="2"/>
        </w:rPr>
        <w:t>con </w:t>
      </w:r>
      <w:r>
        <w:rPr>
          <w:color w:val="231F20"/>
        </w:rPr>
        <w:t>el </w:t>
      </w:r>
      <w:r>
        <w:rPr>
          <w:color w:val="231F20"/>
          <w:spacing w:val="2"/>
        </w:rPr>
        <w:t>otro”, uno </w:t>
      </w:r>
      <w:r>
        <w:rPr>
          <w:color w:val="231F20"/>
        </w:rPr>
        <w:t>de </w:t>
      </w:r>
      <w:r>
        <w:rPr>
          <w:color w:val="231F20"/>
          <w:spacing w:val="2"/>
        </w:rPr>
        <w:t>los </w:t>
      </w:r>
      <w:r>
        <w:rPr>
          <w:color w:val="231F20"/>
          <w:spacing w:val="3"/>
        </w:rPr>
        <w:t>parámetros </w:t>
      </w:r>
      <w:r>
        <w:rPr>
          <w:color w:val="231F20"/>
          <w:spacing w:val="2"/>
        </w:rPr>
        <w:t>que nos permite observar </w:t>
      </w:r>
      <w:r>
        <w:rPr>
          <w:color w:val="231F20"/>
        </w:rPr>
        <w:t>la </w:t>
      </w:r>
      <w:r>
        <w:rPr>
          <w:color w:val="231F20"/>
          <w:spacing w:val="2"/>
        </w:rPr>
        <w:t>soledad </w:t>
      </w:r>
      <w:r>
        <w:rPr>
          <w:color w:val="231F20"/>
        </w:rPr>
        <w:t>que </w:t>
      </w:r>
      <w:r>
        <w:rPr>
          <w:color w:val="231F20"/>
          <w:spacing w:val="2"/>
        </w:rPr>
        <w:t>acosa </w:t>
      </w:r>
      <w:r>
        <w:rPr>
          <w:color w:val="231F20"/>
        </w:rPr>
        <w:t>al </w:t>
      </w:r>
      <w:r>
        <w:rPr>
          <w:color w:val="231F20"/>
          <w:spacing w:val="3"/>
        </w:rPr>
        <w:t>hombre contemporáneo, </w:t>
      </w:r>
      <w:r>
        <w:rPr>
          <w:color w:val="231F20"/>
        </w:rPr>
        <w:t>y </w:t>
      </w:r>
      <w:r>
        <w:rPr>
          <w:color w:val="231F20"/>
          <w:spacing w:val="2"/>
        </w:rPr>
        <w:t>las incidencias </w:t>
      </w:r>
      <w:r>
        <w:rPr>
          <w:color w:val="231F20"/>
        </w:rPr>
        <w:t>de tal </w:t>
      </w:r>
      <w:r>
        <w:rPr>
          <w:color w:val="231F20"/>
          <w:spacing w:val="2"/>
        </w:rPr>
        <w:t>situación </w:t>
      </w:r>
      <w:r>
        <w:rPr>
          <w:color w:val="231F20"/>
        </w:rPr>
        <w:t>en el </w:t>
      </w:r>
      <w:r>
        <w:rPr>
          <w:color w:val="231F20"/>
          <w:spacing w:val="3"/>
        </w:rPr>
        <w:t>comportamiento </w:t>
      </w:r>
      <w:r>
        <w:rPr>
          <w:color w:val="231F20"/>
          <w:spacing w:val="2"/>
        </w:rPr>
        <w:t>violento; </w:t>
      </w:r>
      <w:r>
        <w:rPr>
          <w:color w:val="231F20"/>
        </w:rPr>
        <w:t>3) la </w:t>
      </w:r>
      <w:r>
        <w:rPr>
          <w:color w:val="231F20"/>
          <w:spacing w:val="2"/>
        </w:rPr>
        <w:t>“sociedad neoliberal” </w:t>
      </w:r>
      <w:r>
        <w:rPr>
          <w:color w:val="231F20"/>
        </w:rPr>
        <w:t>y su </w:t>
      </w:r>
      <w:r>
        <w:rPr>
          <w:color w:val="231F20"/>
          <w:spacing w:val="2"/>
        </w:rPr>
        <w:t>frenético carnaval </w:t>
      </w:r>
      <w:r>
        <w:rPr>
          <w:color w:val="231F20"/>
          <w:spacing w:val="3"/>
        </w:rPr>
        <w:t>consumista, </w:t>
      </w:r>
      <w:r>
        <w:rPr>
          <w:color w:val="231F20"/>
          <w:spacing w:val="2"/>
        </w:rPr>
        <w:t>que expulsa </w:t>
      </w:r>
      <w:r>
        <w:rPr>
          <w:color w:val="231F20"/>
        </w:rPr>
        <w:t>y </w:t>
      </w:r>
      <w:r>
        <w:rPr>
          <w:color w:val="231F20"/>
          <w:spacing w:val="3"/>
        </w:rPr>
        <w:t>condena </w:t>
      </w:r>
      <w:r>
        <w:rPr>
          <w:color w:val="231F20"/>
        </w:rPr>
        <w:t>al </w:t>
      </w:r>
      <w:r>
        <w:rPr>
          <w:color w:val="231F20"/>
          <w:spacing w:val="2"/>
        </w:rPr>
        <w:t>olvido </w:t>
      </w:r>
      <w:r>
        <w:rPr>
          <w:color w:val="231F20"/>
        </w:rPr>
        <w:t>a </w:t>
      </w:r>
      <w:r>
        <w:rPr>
          <w:color w:val="231F20"/>
          <w:spacing w:val="2"/>
        </w:rPr>
        <w:t>quienes </w:t>
      </w:r>
      <w:r>
        <w:rPr>
          <w:color w:val="231F20"/>
        </w:rPr>
        <w:t>no </w:t>
      </w:r>
      <w:r>
        <w:rPr>
          <w:color w:val="231F20"/>
          <w:spacing w:val="3"/>
        </w:rPr>
        <w:t>cumplen </w:t>
      </w:r>
      <w:r>
        <w:rPr>
          <w:color w:val="231F20"/>
          <w:spacing w:val="2"/>
        </w:rPr>
        <w:t>con </w:t>
      </w:r>
      <w:r>
        <w:rPr>
          <w:color w:val="231F20"/>
        </w:rPr>
        <w:t>las  </w:t>
      </w:r>
      <w:r>
        <w:rPr>
          <w:color w:val="231F20"/>
          <w:spacing w:val="2"/>
        </w:rPr>
        <w:t>leyes del </w:t>
      </w:r>
      <w:r>
        <w:rPr>
          <w:color w:val="231F20"/>
          <w:spacing w:val="3"/>
        </w:rPr>
        <w:t>mercado; </w:t>
      </w:r>
      <w:r>
        <w:rPr>
          <w:color w:val="231F20"/>
        </w:rPr>
        <w:t>4) la </w:t>
      </w:r>
      <w:r>
        <w:rPr>
          <w:color w:val="231F20"/>
          <w:spacing w:val="2"/>
        </w:rPr>
        <w:t>“pasión neotribal” observada </w:t>
      </w:r>
      <w:r>
        <w:rPr>
          <w:color w:val="231F20"/>
        </w:rPr>
        <w:t>en </w:t>
      </w:r>
      <w:r>
        <w:rPr>
          <w:color w:val="231F20"/>
          <w:spacing w:val="2"/>
        </w:rPr>
        <w:t>los grupos </w:t>
      </w:r>
      <w:r>
        <w:rPr>
          <w:color w:val="231F20"/>
        </w:rPr>
        <w:t>de </w:t>
      </w:r>
      <w:r>
        <w:rPr>
          <w:color w:val="231F20"/>
          <w:spacing w:val="2"/>
        </w:rPr>
        <w:t>jóvenes </w:t>
      </w:r>
      <w:r>
        <w:rPr>
          <w:color w:val="231F20"/>
        </w:rPr>
        <w:t>en </w:t>
      </w:r>
      <w:r>
        <w:rPr>
          <w:color w:val="231F20"/>
          <w:spacing w:val="3"/>
        </w:rPr>
        <w:t>búsqueda </w:t>
      </w:r>
      <w:r>
        <w:rPr>
          <w:color w:val="231F20"/>
          <w:spacing w:val="2"/>
        </w:rPr>
        <w:t>rabiosa </w:t>
      </w:r>
      <w:r>
        <w:rPr>
          <w:color w:val="231F20"/>
        </w:rPr>
        <w:t>de </w:t>
      </w:r>
      <w:r>
        <w:rPr>
          <w:color w:val="231F20"/>
          <w:spacing w:val="2"/>
        </w:rPr>
        <w:t>identidad, pertenencia, valores </w:t>
      </w:r>
      <w:r>
        <w:rPr>
          <w:color w:val="231F20"/>
        </w:rPr>
        <w:t>y </w:t>
      </w:r>
      <w:r>
        <w:rPr>
          <w:color w:val="231F20"/>
          <w:spacing w:val="2"/>
        </w:rPr>
        <w:t>ritos; </w:t>
      </w:r>
      <w:r>
        <w:rPr>
          <w:color w:val="231F20"/>
        </w:rPr>
        <w:t>5) la </w:t>
      </w:r>
      <w:r>
        <w:rPr>
          <w:color w:val="231F20"/>
          <w:spacing w:val="2"/>
        </w:rPr>
        <w:t>“pérdida </w:t>
      </w:r>
      <w:r>
        <w:rPr>
          <w:color w:val="231F20"/>
        </w:rPr>
        <w:t>de lo </w:t>
      </w:r>
      <w:r>
        <w:rPr>
          <w:color w:val="231F20"/>
          <w:spacing w:val="2"/>
        </w:rPr>
        <w:t>sagrado” muestra </w:t>
      </w:r>
      <w:r>
        <w:rPr>
          <w:color w:val="231F20"/>
        </w:rPr>
        <w:t>que </w:t>
      </w:r>
      <w:r>
        <w:rPr>
          <w:color w:val="231F20"/>
          <w:spacing w:val="2"/>
        </w:rPr>
        <w:t>nuestras </w:t>
      </w:r>
      <w:r>
        <w:rPr>
          <w:color w:val="231F20"/>
          <w:spacing w:val="3"/>
        </w:rPr>
        <w:t>socieda- </w:t>
      </w:r>
      <w:r>
        <w:rPr>
          <w:color w:val="231F20"/>
          <w:spacing w:val="2"/>
        </w:rPr>
        <w:t>des,</w:t>
      </w:r>
      <w:r>
        <w:rPr>
          <w:color w:val="231F20"/>
          <w:spacing w:val="20"/>
        </w:rPr>
        <w:t> </w:t>
      </w:r>
      <w:r>
        <w:rPr>
          <w:color w:val="231F20"/>
        </w:rPr>
        <w:t>al</w:t>
      </w:r>
      <w:r>
        <w:rPr>
          <w:color w:val="231F20"/>
          <w:spacing w:val="20"/>
        </w:rPr>
        <w:t> </w:t>
      </w:r>
      <w:r>
        <w:rPr>
          <w:color w:val="231F20"/>
          <w:spacing w:val="2"/>
        </w:rPr>
        <w:t>olvidar</w:t>
      </w:r>
      <w:r>
        <w:rPr>
          <w:color w:val="231F20"/>
          <w:spacing w:val="21"/>
        </w:rPr>
        <w:t> </w:t>
      </w:r>
      <w:r>
        <w:rPr>
          <w:color w:val="231F20"/>
        </w:rPr>
        <w:t>el</w:t>
      </w:r>
      <w:r>
        <w:rPr>
          <w:color w:val="231F20"/>
          <w:spacing w:val="20"/>
        </w:rPr>
        <w:t> </w:t>
      </w:r>
      <w:r>
        <w:rPr>
          <w:color w:val="231F20"/>
          <w:spacing w:val="2"/>
        </w:rPr>
        <w:t>sentido</w:t>
      </w:r>
      <w:r>
        <w:rPr>
          <w:color w:val="231F20"/>
          <w:spacing w:val="22"/>
        </w:rPr>
        <w:t> </w:t>
      </w:r>
      <w:r>
        <w:rPr>
          <w:color w:val="231F20"/>
        </w:rPr>
        <w:t>de</w:t>
      </w:r>
      <w:r>
        <w:rPr>
          <w:color w:val="231F20"/>
          <w:spacing w:val="22"/>
        </w:rPr>
        <w:t> </w:t>
      </w:r>
      <w:r>
        <w:rPr>
          <w:color w:val="231F20"/>
        </w:rPr>
        <w:t>lo</w:t>
      </w:r>
      <w:r>
        <w:rPr>
          <w:color w:val="231F20"/>
          <w:spacing w:val="22"/>
        </w:rPr>
        <w:t> </w:t>
      </w:r>
      <w:r>
        <w:rPr>
          <w:color w:val="231F20"/>
          <w:spacing w:val="2"/>
        </w:rPr>
        <w:t>sagrado,</w:t>
      </w:r>
      <w:r>
        <w:rPr>
          <w:color w:val="231F20"/>
          <w:spacing w:val="20"/>
        </w:rPr>
        <w:t> </w:t>
      </w:r>
      <w:r>
        <w:rPr>
          <w:color w:val="231F20"/>
          <w:spacing w:val="3"/>
        </w:rPr>
        <w:t>quedaron</w:t>
      </w:r>
      <w:r>
        <w:rPr>
          <w:color w:val="231F20"/>
          <w:spacing w:val="22"/>
        </w:rPr>
        <w:t> </w:t>
      </w:r>
      <w:r>
        <w:rPr>
          <w:color w:val="231F20"/>
          <w:spacing w:val="2"/>
        </w:rPr>
        <w:t>expuestas</w:t>
      </w:r>
      <w:r>
        <w:rPr>
          <w:color w:val="231F20"/>
          <w:spacing w:val="21"/>
        </w:rPr>
        <w:t> </w:t>
      </w:r>
      <w:r>
        <w:rPr>
          <w:color w:val="231F20"/>
        </w:rPr>
        <w:t>a</w:t>
      </w:r>
      <w:r>
        <w:rPr>
          <w:color w:val="231F20"/>
          <w:spacing w:val="22"/>
        </w:rPr>
        <w:t> </w:t>
      </w:r>
      <w:r>
        <w:rPr>
          <w:color w:val="231F20"/>
          <w:spacing w:val="3"/>
        </w:rPr>
        <w:t>los</w:t>
      </w:r>
    </w:p>
    <w:p>
      <w:pPr>
        <w:spacing w:after="0" w:line="249" w:lineRule="auto"/>
        <w:jc w:val="both"/>
        <w:sectPr>
          <w:headerReference w:type="default" r:id="rId822"/>
          <w:footerReference w:type="default" r:id="rId823"/>
          <w:pgSz w:w="7830" w:h="11910"/>
          <w:pgMar w:header="0" w:footer="424" w:top="500" w:bottom="620" w:left="920" w:right="900"/>
          <w:pgNumType w:start="37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5"/>
        <w:jc w:val="both"/>
      </w:pPr>
      <w:r>
        <w:rPr>
          <w:color w:val="231F20"/>
        </w:rPr>
        <w:t>vientos que alimentan el fuego de la violencia; 6) “un mundo me- diático” que constituye el mirador que trata de descifrar la respon- sabilidad de los medios masivos de comunicación en la generación y agravamiento de la violencia; 7) la “anomia y crisis de valores” nos devela las consecuencias de un mundo en el que ciertas cos- tumbres tradicionales se quebraron (Imberti, 2006: 23).</w:t>
      </w:r>
    </w:p>
    <w:p>
      <w:pPr>
        <w:pStyle w:val="BodyText"/>
        <w:spacing w:line="249" w:lineRule="auto"/>
        <w:ind w:left="102" w:right="114" w:firstLine="284"/>
        <w:jc w:val="both"/>
      </w:pPr>
      <w:r>
        <w:rPr>
          <w:color w:val="231F20"/>
        </w:rPr>
        <w:t>En lo que </w:t>
      </w:r>
      <w:r>
        <w:rPr>
          <w:color w:val="231F20"/>
          <w:spacing w:val="2"/>
        </w:rPr>
        <w:t>sigue, </w:t>
      </w:r>
      <w:r>
        <w:rPr>
          <w:color w:val="231F20"/>
          <w:spacing w:val="3"/>
        </w:rPr>
        <w:t>intentaremos mostrar </w:t>
      </w:r>
      <w:r>
        <w:rPr>
          <w:color w:val="231F20"/>
        </w:rPr>
        <w:t>la </w:t>
      </w:r>
      <w:r>
        <w:rPr>
          <w:color w:val="231F20"/>
          <w:spacing w:val="2"/>
        </w:rPr>
        <w:t>fractura que existe </w:t>
      </w:r>
      <w:r>
        <w:rPr>
          <w:color w:val="231F20"/>
          <w:spacing w:val="3"/>
        </w:rPr>
        <w:t>al </w:t>
      </w:r>
      <w:r>
        <w:rPr>
          <w:color w:val="231F20"/>
          <w:spacing w:val="2"/>
        </w:rPr>
        <w:t>interior </w:t>
      </w:r>
      <w:r>
        <w:rPr>
          <w:color w:val="231F20"/>
        </w:rPr>
        <w:t>de las </w:t>
      </w:r>
      <w:r>
        <w:rPr>
          <w:color w:val="231F20"/>
          <w:spacing w:val="2"/>
        </w:rPr>
        <w:t>reglas </w:t>
      </w:r>
      <w:r>
        <w:rPr>
          <w:color w:val="231F20"/>
        </w:rPr>
        <w:t>de </w:t>
      </w:r>
      <w:r>
        <w:rPr>
          <w:color w:val="231F20"/>
          <w:spacing w:val="3"/>
        </w:rPr>
        <w:t>poder </w:t>
      </w:r>
      <w:r>
        <w:rPr>
          <w:color w:val="231F20"/>
        </w:rPr>
        <w:t>y </w:t>
      </w:r>
      <w:r>
        <w:rPr>
          <w:color w:val="231F20"/>
          <w:spacing w:val="2"/>
        </w:rPr>
        <w:t>convivencia </w:t>
      </w:r>
      <w:r>
        <w:rPr>
          <w:color w:val="231F20"/>
        </w:rPr>
        <w:t>a </w:t>
      </w:r>
      <w:r>
        <w:rPr>
          <w:color w:val="231F20"/>
          <w:spacing w:val="2"/>
        </w:rPr>
        <w:t>nivel social, </w:t>
      </w:r>
      <w:r>
        <w:rPr>
          <w:color w:val="231F20"/>
        </w:rPr>
        <w:t>de </w:t>
      </w:r>
      <w:r>
        <w:rPr>
          <w:color w:val="231F20"/>
          <w:spacing w:val="2"/>
        </w:rPr>
        <w:t>ahí </w:t>
      </w:r>
      <w:r>
        <w:rPr>
          <w:color w:val="231F20"/>
          <w:spacing w:val="3"/>
        </w:rPr>
        <w:t>estableceremos </w:t>
      </w:r>
      <w:r>
        <w:rPr>
          <w:color w:val="231F20"/>
        </w:rPr>
        <w:t>las </w:t>
      </w:r>
      <w:r>
        <w:rPr>
          <w:color w:val="231F20"/>
          <w:spacing w:val="2"/>
        </w:rPr>
        <w:t>diversas </w:t>
      </w:r>
      <w:r>
        <w:rPr>
          <w:color w:val="231F20"/>
          <w:spacing w:val="3"/>
        </w:rPr>
        <w:t>expresiones </w:t>
      </w:r>
      <w:r>
        <w:rPr>
          <w:color w:val="231F20"/>
        </w:rPr>
        <w:t>en </w:t>
      </w:r>
      <w:r>
        <w:rPr>
          <w:color w:val="231F20"/>
          <w:spacing w:val="3"/>
        </w:rPr>
        <w:t>ámbitos aparentemente </w:t>
      </w:r>
      <w:r>
        <w:rPr>
          <w:color w:val="231F20"/>
          <w:spacing w:val="2"/>
        </w:rPr>
        <w:t>más acordes </w:t>
      </w:r>
      <w:r>
        <w:rPr>
          <w:color w:val="231F20"/>
        </w:rPr>
        <w:t>a </w:t>
      </w:r>
      <w:r>
        <w:rPr>
          <w:color w:val="231F20"/>
          <w:spacing w:val="2"/>
        </w:rPr>
        <w:t>una sociedad integrada, como </w:t>
      </w:r>
      <w:r>
        <w:rPr>
          <w:color w:val="231F20"/>
        </w:rPr>
        <w:t>la </w:t>
      </w:r>
      <w:r>
        <w:rPr>
          <w:color w:val="231F20"/>
          <w:spacing w:val="2"/>
        </w:rPr>
        <w:t>familia, </w:t>
      </w:r>
      <w:r>
        <w:rPr>
          <w:color w:val="231F20"/>
        </w:rPr>
        <w:t>la </w:t>
      </w:r>
      <w:r>
        <w:rPr>
          <w:color w:val="231F20"/>
          <w:spacing w:val="2"/>
        </w:rPr>
        <w:t>escuela  </w:t>
      </w:r>
      <w:r>
        <w:rPr>
          <w:color w:val="231F20"/>
        </w:rPr>
        <w:t>o </w:t>
      </w:r>
      <w:r>
        <w:rPr>
          <w:color w:val="231F20"/>
          <w:spacing w:val="2"/>
        </w:rPr>
        <w:t>los grupos </w:t>
      </w:r>
      <w:r>
        <w:rPr>
          <w:color w:val="231F20"/>
        </w:rPr>
        <w:t>de </w:t>
      </w:r>
      <w:r>
        <w:rPr>
          <w:color w:val="231F20"/>
          <w:spacing w:val="2"/>
        </w:rPr>
        <w:t>amigos. </w:t>
      </w:r>
      <w:r>
        <w:rPr>
          <w:color w:val="231F20"/>
          <w:spacing w:val="3"/>
        </w:rPr>
        <w:t>También haremos </w:t>
      </w:r>
      <w:r>
        <w:rPr>
          <w:color w:val="231F20"/>
          <w:spacing w:val="2"/>
        </w:rPr>
        <w:t>una reflexión </w:t>
      </w:r>
      <w:r>
        <w:rPr>
          <w:color w:val="231F20"/>
        </w:rPr>
        <w:t>de </w:t>
      </w:r>
      <w:r>
        <w:rPr>
          <w:color w:val="231F20"/>
          <w:spacing w:val="2"/>
        </w:rPr>
        <w:t>carác- </w:t>
      </w:r>
      <w:r>
        <w:rPr>
          <w:color w:val="231F20"/>
        </w:rPr>
        <w:t>ter </w:t>
      </w:r>
      <w:r>
        <w:rPr>
          <w:color w:val="231F20"/>
          <w:spacing w:val="2"/>
        </w:rPr>
        <w:t>organizacional sobre </w:t>
      </w:r>
      <w:r>
        <w:rPr>
          <w:color w:val="231F20"/>
        </w:rPr>
        <w:t>la </w:t>
      </w:r>
      <w:r>
        <w:rPr>
          <w:color w:val="231F20"/>
          <w:spacing w:val="3"/>
        </w:rPr>
        <w:t>anomia </w:t>
      </w:r>
      <w:r>
        <w:rPr>
          <w:color w:val="231F20"/>
        </w:rPr>
        <w:t>y la </w:t>
      </w:r>
      <w:r>
        <w:rPr>
          <w:color w:val="231F20"/>
          <w:spacing w:val="2"/>
        </w:rPr>
        <w:t>crisis </w:t>
      </w:r>
      <w:r>
        <w:rPr>
          <w:color w:val="231F20"/>
        </w:rPr>
        <w:t>de </w:t>
      </w:r>
      <w:r>
        <w:rPr>
          <w:color w:val="231F20"/>
          <w:spacing w:val="2"/>
        </w:rPr>
        <w:t>valores que </w:t>
      </w:r>
      <w:r>
        <w:rPr>
          <w:color w:val="231F20"/>
          <w:spacing w:val="3"/>
        </w:rPr>
        <w:t>acom- </w:t>
      </w:r>
      <w:r>
        <w:rPr>
          <w:color w:val="231F20"/>
          <w:spacing w:val="2"/>
        </w:rPr>
        <w:t>pañan </w:t>
      </w:r>
      <w:r>
        <w:rPr>
          <w:color w:val="231F20"/>
        </w:rPr>
        <w:t>el </w:t>
      </w:r>
      <w:r>
        <w:rPr>
          <w:color w:val="231F20"/>
          <w:spacing w:val="3"/>
        </w:rPr>
        <w:t>resquebrajamiento </w:t>
      </w:r>
      <w:r>
        <w:rPr>
          <w:color w:val="231F20"/>
        </w:rPr>
        <w:t>de las </w:t>
      </w:r>
      <w:r>
        <w:rPr>
          <w:color w:val="231F20"/>
          <w:spacing w:val="2"/>
        </w:rPr>
        <w:t>instituciones sociales </w:t>
      </w:r>
      <w:r>
        <w:rPr>
          <w:color w:val="231F20"/>
        </w:rPr>
        <w:t>de la </w:t>
      </w:r>
      <w:r>
        <w:rPr>
          <w:color w:val="231F20"/>
          <w:spacing w:val="3"/>
        </w:rPr>
        <w:t>so- </w:t>
      </w:r>
      <w:r>
        <w:rPr>
          <w:color w:val="231F20"/>
          <w:spacing w:val="2"/>
        </w:rPr>
        <w:t>ciedad </w:t>
      </w:r>
      <w:r>
        <w:rPr>
          <w:color w:val="231F20"/>
          <w:spacing w:val="3"/>
        </w:rPr>
        <w:t>moderna</w:t>
      </w:r>
      <w:r>
        <w:rPr>
          <w:rFonts w:ascii="Arial" w:hAnsi="Arial"/>
          <w:b/>
          <w:color w:val="231F20"/>
          <w:spacing w:val="3"/>
        </w:rPr>
        <w:t>. </w:t>
      </w:r>
      <w:r>
        <w:rPr>
          <w:color w:val="231F20"/>
          <w:spacing w:val="2"/>
        </w:rPr>
        <w:t>Nuestro argumento </w:t>
      </w:r>
      <w:r>
        <w:rPr>
          <w:color w:val="231F20"/>
        </w:rPr>
        <w:t>es que la </w:t>
      </w:r>
      <w:r>
        <w:rPr>
          <w:color w:val="231F20"/>
          <w:spacing w:val="2"/>
        </w:rPr>
        <w:t>violencia tiene </w:t>
      </w:r>
      <w:r>
        <w:rPr>
          <w:color w:val="231F20"/>
          <w:spacing w:val="4"/>
        </w:rPr>
        <w:t>un </w:t>
      </w:r>
      <w:r>
        <w:rPr>
          <w:color w:val="231F20"/>
          <w:spacing w:val="3"/>
        </w:rPr>
        <w:t>fondo </w:t>
      </w:r>
      <w:r>
        <w:rPr>
          <w:color w:val="231F20"/>
          <w:spacing w:val="2"/>
        </w:rPr>
        <w:t>social </w:t>
      </w:r>
      <w:r>
        <w:rPr>
          <w:color w:val="231F20"/>
        </w:rPr>
        <w:t>que </w:t>
      </w:r>
      <w:r>
        <w:rPr>
          <w:color w:val="231F20"/>
          <w:spacing w:val="2"/>
        </w:rPr>
        <w:t>explica esta vorágine </w:t>
      </w:r>
      <w:r>
        <w:rPr>
          <w:color w:val="231F20"/>
        </w:rPr>
        <w:t>de </w:t>
      </w:r>
      <w:r>
        <w:rPr>
          <w:color w:val="231F20"/>
          <w:spacing w:val="3"/>
        </w:rPr>
        <w:t>cambios </w:t>
      </w:r>
      <w:r>
        <w:rPr>
          <w:color w:val="231F20"/>
        </w:rPr>
        <w:t>en el </w:t>
      </w:r>
      <w:r>
        <w:rPr>
          <w:color w:val="231F20"/>
          <w:spacing w:val="2"/>
        </w:rPr>
        <w:t>contexto  </w:t>
      </w:r>
      <w:r>
        <w:rPr>
          <w:color w:val="231F20"/>
        </w:rPr>
        <w:t>de la </w:t>
      </w:r>
      <w:r>
        <w:rPr>
          <w:color w:val="231F20"/>
          <w:spacing w:val="2"/>
        </w:rPr>
        <w:t>sociedad </w:t>
      </w:r>
      <w:r>
        <w:rPr>
          <w:color w:val="231F20"/>
          <w:spacing w:val="3"/>
        </w:rPr>
        <w:t>moderna, </w:t>
      </w:r>
      <w:r>
        <w:rPr>
          <w:color w:val="231F20"/>
        </w:rPr>
        <w:t>lo </w:t>
      </w:r>
      <w:r>
        <w:rPr>
          <w:color w:val="231F20"/>
          <w:spacing w:val="3"/>
        </w:rPr>
        <w:t>preocupante </w:t>
      </w:r>
      <w:r>
        <w:rPr>
          <w:color w:val="231F20"/>
          <w:spacing w:val="2"/>
        </w:rPr>
        <w:t>son </w:t>
      </w:r>
      <w:r>
        <w:rPr>
          <w:color w:val="231F20"/>
        </w:rPr>
        <w:t>las </w:t>
      </w:r>
      <w:r>
        <w:rPr>
          <w:color w:val="231F20"/>
          <w:spacing w:val="3"/>
        </w:rPr>
        <w:t>formas </w:t>
      </w:r>
      <w:r>
        <w:rPr>
          <w:color w:val="231F20"/>
          <w:spacing w:val="2"/>
        </w:rPr>
        <w:t>que </w:t>
      </w:r>
      <w:r>
        <w:rPr>
          <w:color w:val="231F20"/>
          <w:spacing w:val="4"/>
        </w:rPr>
        <w:t>adop- </w:t>
      </w:r>
      <w:r>
        <w:rPr>
          <w:color w:val="231F20"/>
        </w:rPr>
        <w:t>tan en </w:t>
      </w:r>
      <w:r>
        <w:rPr>
          <w:color w:val="231F20"/>
          <w:spacing w:val="2"/>
        </w:rPr>
        <w:t>tanto </w:t>
      </w:r>
      <w:r>
        <w:rPr>
          <w:color w:val="231F20"/>
          <w:spacing w:val="3"/>
        </w:rPr>
        <w:t>fenómeno </w:t>
      </w:r>
      <w:r>
        <w:rPr>
          <w:color w:val="231F20"/>
          <w:spacing w:val="2"/>
        </w:rPr>
        <w:t>político. </w:t>
      </w:r>
      <w:r>
        <w:rPr>
          <w:color w:val="231F20"/>
          <w:spacing w:val="3"/>
        </w:rPr>
        <w:t>Defenderemos </w:t>
      </w:r>
      <w:r>
        <w:rPr>
          <w:color w:val="231F20"/>
        </w:rPr>
        <w:t>el </w:t>
      </w:r>
      <w:r>
        <w:rPr>
          <w:color w:val="231F20"/>
          <w:spacing w:val="3"/>
        </w:rPr>
        <w:t>argumento </w:t>
      </w:r>
      <w:r>
        <w:rPr>
          <w:color w:val="231F20"/>
        </w:rPr>
        <w:t>de la </w:t>
      </w:r>
      <w:r>
        <w:rPr>
          <w:color w:val="231F20"/>
          <w:spacing w:val="2"/>
        </w:rPr>
        <w:t>violencia </w:t>
      </w:r>
      <w:r>
        <w:rPr>
          <w:color w:val="231F20"/>
        </w:rPr>
        <w:t>que se vive en las </w:t>
      </w:r>
      <w:r>
        <w:rPr>
          <w:color w:val="231F20"/>
          <w:spacing w:val="2"/>
        </w:rPr>
        <w:t>facultades como </w:t>
      </w:r>
      <w:r>
        <w:rPr>
          <w:color w:val="231F20"/>
        </w:rPr>
        <w:t>un </w:t>
      </w:r>
      <w:r>
        <w:rPr>
          <w:color w:val="231F20"/>
          <w:spacing w:val="3"/>
        </w:rPr>
        <w:t>fenómeno mo- </w:t>
      </w:r>
      <w:r>
        <w:rPr>
          <w:color w:val="231F20"/>
          <w:spacing w:val="2"/>
        </w:rPr>
        <w:t>derno ligado </w:t>
      </w:r>
      <w:r>
        <w:rPr>
          <w:color w:val="231F20"/>
        </w:rPr>
        <w:t>a </w:t>
      </w:r>
      <w:r>
        <w:rPr>
          <w:color w:val="231F20"/>
          <w:spacing w:val="2"/>
        </w:rPr>
        <w:t>una serie </w:t>
      </w:r>
      <w:r>
        <w:rPr>
          <w:color w:val="231F20"/>
        </w:rPr>
        <w:t>de </w:t>
      </w:r>
      <w:r>
        <w:rPr>
          <w:color w:val="231F20"/>
          <w:spacing w:val="3"/>
        </w:rPr>
        <w:t>cambios </w:t>
      </w:r>
      <w:r>
        <w:rPr>
          <w:color w:val="231F20"/>
        </w:rPr>
        <w:t>en la </w:t>
      </w:r>
      <w:r>
        <w:rPr>
          <w:color w:val="231F20"/>
          <w:spacing w:val="2"/>
        </w:rPr>
        <w:t>historia del estado </w:t>
      </w:r>
      <w:r>
        <w:rPr>
          <w:color w:val="231F20"/>
        </w:rPr>
        <w:t>de </w:t>
      </w:r>
      <w:r>
        <w:rPr>
          <w:color w:val="231F20"/>
          <w:spacing w:val="3"/>
        </w:rPr>
        <w:t>Oaxaca.</w:t>
      </w:r>
    </w:p>
    <w:p>
      <w:pPr>
        <w:pStyle w:val="BodyText"/>
        <w:rPr>
          <w:sz w:val="22"/>
        </w:rPr>
      </w:pPr>
    </w:p>
    <w:p>
      <w:pPr>
        <w:pStyle w:val="BodyText"/>
        <w:spacing w:before="3"/>
      </w:pPr>
    </w:p>
    <w:p>
      <w:pPr>
        <w:pStyle w:val="BodyText"/>
        <w:spacing w:before="1"/>
        <w:ind w:left="102"/>
        <w:jc w:val="both"/>
      </w:pPr>
      <w:r>
        <w:rPr>
          <w:color w:val="231F20"/>
        </w:rPr>
        <w:t>OAXACA, UN CASO</w:t>
      </w:r>
    </w:p>
    <w:p>
      <w:pPr>
        <w:pStyle w:val="BodyText"/>
        <w:spacing w:before="1"/>
      </w:pPr>
    </w:p>
    <w:p>
      <w:pPr>
        <w:pStyle w:val="BodyText"/>
        <w:spacing w:line="247" w:lineRule="auto" w:before="1"/>
        <w:ind w:left="102" w:right="115"/>
        <w:jc w:val="both"/>
      </w:pPr>
      <w:r>
        <w:rPr>
          <w:color w:val="231F20"/>
        </w:rPr>
        <w:t>La violencia refleja la forma en que se organiza la sociedad en la actualidad.Para Simmel (2010: 17) “Si toda interacción entre los hombres es socialización, entonces, el conflicto, que no puede re- ducirse lógicamente a un solo elemento, es una forma de socializa- ción, y de las más intensas”. Oaxaca ha sido definida por las estadís- ticas como uno de los estados más conflictivos en el país.</w:t>
      </w:r>
    </w:p>
    <w:p>
      <w:pPr>
        <w:pStyle w:val="BodyText"/>
        <w:spacing w:line="247" w:lineRule="auto" w:before="15"/>
        <w:ind w:left="102" w:right="115" w:firstLine="284"/>
        <w:jc w:val="both"/>
      </w:pPr>
      <w:r>
        <w:rPr>
          <w:color w:val="231F20"/>
          <w:spacing w:val="2"/>
        </w:rPr>
        <w:t>Para entender </w:t>
      </w:r>
      <w:r>
        <w:rPr>
          <w:color w:val="231F20"/>
        </w:rPr>
        <w:t>las </w:t>
      </w:r>
      <w:r>
        <w:rPr>
          <w:color w:val="231F20"/>
          <w:spacing w:val="2"/>
        </w:rPr>
        <w:t>diferentes </w:t>
      </w:r>
      <w:r>
        <w:rPr>
          <w:color w:val="231F20"/>
          <w:spacing w:val="3"/>
        </w:rPr>
        <w:t>formas </w:t>
      </w:r>
      <w:r>
        <w:rPr>
          <w:color w:val="231F20"/>
        </w:rPr>
        <w:t>de </w:t>
      </w:r>
      <w:r>
        <w:rPr>
          <w:color w:val="231F20"/>
          <w:spacing w:val="2"/>
        </w:rPr>
        <w:t>violencia que </w:t>
      </w:r>
      <w:r>
        <w:rPr>
          <w:color w:val="231F20"/>
        </w:rPr>
        <w:t>se </w:t>
      </w:r>
      <w:r>
        <w:rPr>
          <w:color w:val="231F20"/>
          <w:spacing w:val="2"/>
        </w:rPr>
        <w:t>viven  </w:t>
      </w:r>
      <w:r>
        <w:rPr>
          <w:color w:val="231F20"/>
        </w:rPr>
        <w:t>en la </w:t>
      </w:r>
      <w:r>
        <w:rPr>
          <w:color w:val="231F20"/>
          <w:spacing w:val="2"/>
        </w:rPr>
        <w:t>universidad </w:t>
      </w:r>
      <w:r>
        <w:rPr>
          <w:color w:val="231F20"/>
        </w:rPr>
        <w:t>es </w:t>
      </w:r>
      <w:r>
        <w:rPr>
          <w:color w:val="231F20"/>
          <w:spacing w:val="2"/>
        </w:rPr>
        <w:t>necesario hacer </w:t>
      </w:r>
      <w:r>
        <w:rPr>
          <w:color w:val="231F20"/>
        </w:rPr>
        <w:t>un </w:t>
      </w:r>
      <w:r>
        <w:rPr>
          <w:color w:val="231F20"/>
          <w:spacing w:val="2"/>
        </w:rPr>
        <w:t>análisis </w:t>
      </w:r>
      <w:r>
        <w:rPr>
          <w:color w:val="231F20"/>
        </w:rPr>
        <w:t>de </w:t>
      </w:r>
      <w:r>
        <w:rPr>
          <w:color w:val="231F20"/>
          <w:spacing w:val="2"/>
        </w:rPr>
        <w:t>los diferentes modos </w:t>
      </w:r>
      <w:r>
        <w:rPr>
          <w:color w:val="231F20"/>
        </w:rPr>
        <w:t>en que la </w:t>
      </w:r>
      <w:r>
        <w:rPr>
          <w:color w:val="231F20"/>
          <w:spacing w:val="2"/>
        </w:rPr>
        <w:t>violencia </w:t>
      </w:r>
      <w:r>
        <w:rPr>
          <w:color w:val="231F20"/>
        </w:rPr>
        <w:t>se vive en la </w:t>
      </w:r>
      <w:r>
        <w:rPr>
          <w:color w:val="231F20"/>
          <w:spacing w:val="2"/>
        </w:rPr>
        <w:t>entidad. </w:t>
      </w:r>
      <w:r>
        <w:rPr>
          <w:color w:val="231F20"/>
        </w:rPr>
        <w:t>La </w:t>
      </w:r>
      <w:r>
        <w:rPr>
          <w:color w:val="231F20"/>
          <w:spacing w:val="2"/>
        </w:rPr>
        <w:t>violencia </w:t>
      </w:r>
      <w:r>
        <w:rPr>
          <w:color w:val="231F20"/>
        </w:rPr>
        <w:t>se </w:t>
      </w:r>
      <w:r>
        <w:rPr>
          <w:color w:val="231F20"/>
          <w:spacing w:val="2"/>
        </w:rPr>
        <w:t>expresa socialmente </w:t>
      </w:r>
      <w:r>
        <w:rPr>
          <w:color w:val="231F20"/>
        </w:rPr>
        <w:t>y </w:t>
      </w:r>
      <w:r>
        <w:rPr>
          <w:color w:val="231F20"/>
          <w:spacing w:val="2"/>
        </w:rPr>
        <w:t>refleja </w:t>
      </w:r>
      <w:r>
        <w:rPr>
          <w:color w:val="231F20"/>
        </w:rPr>
        <w:t>el </w:t>
      </w:r>
      <w:r>
        <w:rPr>
          <w:color w:val="231F20"/>
          <w:spacing w:val="2"/>
        </w:rPr>
        <w:t>grado </w:t>
      </w:r>
      <w:r>
        <w:rPr>
          <w:color w:val="231F20"/>
        </w:rPr>
        <w:t>de </w:t>
      </w:r>
      <w:r>
        <w:rPr>
          <w:color w:val="231F20"/>
          <w:spacing w:val="3"/>
        </w:rPr>
        <w:t>reacomodo </w:t>
      </w:r>
      <w:r>
        <w:rPr>
          <w:color w:val="231F20"/>
        </w:rPr>
        <w:t>de </w:t>
      </w:r>
      <w:r>
        <w:rPr>
          <w:color w:val="231F20"/>
          <w:spacing w:val="2"/>
        </w:rPr>
        <w:t>los víncu- los entre </w:t>
      </w:r>
      <w:r>
        <w:rPr>
          <w:color w:val="231F20"/>
        </w:rPr>
        <w:t>las </w:t>
      </w:r>
      <w:r>
        <w:rPr>
          <w:color w:val="231F20"/>
          <w:spacing w:val="3"/>
        </w:rPr>
        <w:t>personas, </w:t>
      </w:r>
      <w:r>
        <w:rPr>
          <w:color w:val="231F20"/>
        </w:rPr>
        <w:t>en su </w:t>
      </w:r>
      <w:r>
        <w:rPr>
          <w:color w:val="231F20"/>
          <w:spacing w:val="3"/>
        </w:rPr>
        <w:t>forma </w:t>
      </w:r>
      <w:r>
        <w:rPr>
          <w:color w:val="231F20"/>
        </w:rPr>
        <w:t>de</w:t>
      </w:r>
      <w:r>
        <w:rPr>
          <w:color w:val="231F20"/>
          <w:spacing w:val="31"/>
        </w:rPr>
        <w:t> </w:t>
      </w:r>
      <w:r>
        <w:rPr>
          <w:color w:val="231F20"/>
          <w:spacing w:val="3"/>
        </w:rPr>
        <w:t>organización.</w:t>
      </w:r>
    </w:p>
    <w:p>
      <w:pPr>
        <w:pStyle w:val="BodyText"/>
        <w:spacing w:line="247" w:lineRule="auto" w:before="1"/>
        <w:ind w:left="102" w:right="117" w:firstLine="284"/>
        <w:jc w:val="both"/>
      </w:pPr>
      <w:r>
        <w:rPr>
          <w:color w:val="231F20"/>
        </w:rPr>
        <w:t>Estudios oaxaqueños definen la violencia como la “presión ejercida por fuerzas reconocibles contra quienes en estado de debilidad sufren las consecuencias” (Matus-Manzo, 2009: 344). Este autor identifica diferentes formas de violencia en la    entidad:</w:t>
      </w:r>
    </w:p>
    <w:p>
      <w:pPr>
        <w:spacing w:after="0" w:line="247" w:lineRule="auto"/>
        <w:jc w:val="both"/>
        <w:sectPr>
          <w:headerReference w:type="default" r:id="rId824"/>
          <w:footerReference w:type="default" r:id="rId825"/>
          <w:pgSz w:w="7830" w:h="11910"/>
          <w:pgMar w:header="0" w:footer="424" w:top="500" w:bottom="620" w:left="920" w:right="900"/>
          <w:pgNumType w:start="37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3"/>
        <w:jc w:val="both"/>
      </w:pPr>
      <w:r>
        <w:rPr>
          <w:color w:val="231F20"/>
        </w:rPr>
        <w:t>racial, coerción física, psicológica, económica y social. Matus- Manzo señala como dimensiones de la violencia la política, el caciquismo, los problemas electorales, los conflictos por la tierra, los movimientos estudiantiles y el narcotráfico. De modo que la violencia se vive en diferentes espacios: en la escuela, los munici- pios, la policía, por presiones políticas, por la religión (Matus- Manzo, 2009: 344).</w:t>
      </w:r>
    </w:p>
    <w:p>
      <w:pPr>
        <w:pStyle w:val="BodyText"/>
        <w:spacing w:line="249" w:lineRule="auto"/>
        <w:ind w:left="101" w:right="114" w:firstLine="284"/>
        <w:jc w:val="both"/>
      </w:pPr>
      <w:r>
        <w:rPr>
          <w:color w:val="231F20"/>
          <w:spacing w:val="2"/>
        </w:rPr>
        <w:t>De acuerdo </w:t>
      </w:r>
      <w:r>
        <w:rPr>
          <w:color w:val="231F20"/>
        </w:rPr>
        <w:t>a </w:t>
      </w:r>
      <w:r>
        <w:rPr>
          <w:color w:val="231F20"/>
          <w:spacing w:val="2"/>
        </w:rPr>
        <w:t>diferentes fuentes, </w:t>
      </w:r>
      <w:r>
        <w:rPr>
          <w:color w:val="231F20"/>
        </w:rPr>
        <w:t>el </w:t>
      </w:r>
      <w:r>
        <w:rPr>
          <w:color w:val="231F20"/>
          <w:spacing w:val="2"/>
        </w:rPr>
        <w:t>clima </w:t>
      </w:r>
      <w:r>
        <w:rPr>
          <w:color w:val="231F20"/>
        </w:rPr>
        <w:t>de </w:t>
      </w:r>
      <w:r>
        <w:rPr>
          <w:color w:val="231F20"/>
          <w:spacing w:val="2"/>
        </w:rPr>
        <w:t>violencia que </w:t>
      </w:r>
      <w:r>
        <w:rPr>
          <w:color w:val="231F20"/>
        </w:rPr>
        <w:t>se vive en la </w:t>
      </w:r>
      <w:r>
        <w:rPr>
          <w:color w:val="231F20"/>
          <w:spacing w:val="2"/>
        </w:rPr>
        <w:t>entidad </w:t>
      </w:r>
      <w:r>
        <w:rPr>
          <w:color w:val="231F20"/>
        </w:rPr>
        <w:t>es un </w:t>
      </w:r>
      <w:r>
        <w:rPr>
          <w:color w:val="231F20"/>
          <w:spacing w:val="3"/>
        </w:rPr>
        <w:t>fenómeno preocupante.El </w:t>
      </w:r>
      <w:r>
        <w:rPr>
          <w:color w:val="231F20"/>
          <w:spacing w:val="2"/>
        </w:rPr>
        <w:t>caso del </w:t>
      </w:r>
      <w:r>
        <w:rPr>
          <w:color w:val="231F20"/>
          <w:spacing w:val="3"/>
        </w:rPr>
        <w:t>2006,</w:t>
      </w:r>
      <w:r>
        <w:rPr>
          <w:color w:val="231F20"/>
          <w:spacing w:val="58"/>
        </w:rPr>
        <w:t> </w:t>
      </w:r>
      <w:r>
        <w:rPr>
          <w:color w:val="231F20"/>
        </w:rPr>
        <w:t>es el </w:t>
      </w:r>
      <w:r>
        <w:rPr>
          <w:color w:val="231F20"/>
          <w:spacing w:val="2"/>
        </w:rPr>
        <w:t>ejemplo más claro, pues “(…) </w:t>
      </w:r>
      <w:r>
        <w:rPr>
          <w:color w:val="231F20"/>
        </w:rPr>
        <w:t>el </w:t>
      </w:r>
      <w:r>
        <w:rPr>
          <w:color w:val="231F20"/>
          <w:spacing w:val="2"/>
        </w:rPr>
        <w:t>sistema </w:t>
      </w:r>
      <w:r>
        <w:rPr>
          <w:color w:val="231F20"/>
        </w:rPr>
        <w:t>de </w:t>
      </w:r>
      <w:r>
        <w:rPr>
          <w:color w:val="231F20"/>
          <w:spacing w:val="3"/>
        </w:rPr>
        <w:t>dominación </w:t>
      </w:r>
      <w:r>
        <w:rPr>
          <w:color w:val="231F20"/>
        </w:rPr>
        <w:t>re- </w:t>
      </w:r>
      <w:r>
        <w:rPr>
          <w:color w:val="231F20"/>
          <w:spacing w:val="2"/>
        </w:rPr>
        <w:t>gional </w:t>
      </w:r>
      <w:r>
        <w:rPr>
          <w:color w:val="231F20"/>
        </w:rPr>
        <w:t>llegó al </w:t>
      </w:r>
      <w:r>
        <w:rPr>
          <w:color w:val="231F20"/>
          <w:spacing w:val="2"/>
        </w:rPr>
        <w:t>2006 </w:t>
      </w:r>
      <w:r>
        <w:rPr>
          <w:color w:val="231F20"/>
        </w:rPr>
        <w:t>sin </w:t>
      </w:r>
      <w:r>
        <w:rPr>
          <w:color w:val="231F20"/>
          <w:spacing w:val="2"/>
        </w:rPr>
        <w:t>legitimidad </w:t>
      </w:r>
      <w:r>
        <w:rPr>
          <w:color w:val="231F20"/>
        </w:rPr>
        <w:t>y en </w:t>
      </w:r>
      <w:r>
        <w:rPr>
          <w:color w:val="231F20"/>
          <w:spacing w:val="2"/>
        </w:rPr>
        <w:t>una crisis </w:t>
      </w:r>
      <w:r>
        <w:rPr>
          <w:color w:val="231F20"/>
          <w:spacing w:val="3"/>
        </w:rPr>
        <w:t>profunda” </w:t>
      </w:r>
      <w:r>
        <w:rPr>
          <w:color w:val="231F20"/>
          <w:spacing w:val="2"/>
        </w:rPr>
        <w:t>(Vázquez, 2009: 13). Para Francisco  Javier </w:t>
      </w:r>
      <w:r>
        <w:rPr>
          <w:color w:val="231F20"/>
          <w:spacing w:val="3"/>
        </w:rPr>
        <w:t>Gómez </w:t>
      </w:r>
      <w:r>
        <w:rPr>
          <w:color w:val="231F20"/>
          <w:spacing w:val="2"/>
        </w:rPr>
        <w:t>Carpinteiro  “La emergencia </w:t>
      </w:r>
      <w:r>
        <w:rPr>
          <w:color w:val="231F20"/>
        </w:rPr>
        <w:t>de la </w:t>
      </w:r>
      <w:r>
        <w:rPr>
          <w:color w:val="231F20"/>
          <w:spacing w:val="3"/>
        </w:rPr>
        <w:t>APPO </w:t>
      </w:r>
      <w:r>
        <w:rPr>
          <w:color w:val="231F20"/>
          <w:spacing w:val="2"/>
        </w:rPr>
        <w:t>ocurrió </w:t>
      </w:r>
      <w:r>
        <w:rPr>
          <w:color w:val="231F20"/>
        </w:rPr>
        <w:t>en un </w:t>
      </w:r>
      <w:r>
        <w:rPr>
          <w:color w:val="231F20"/>
          <w:spacing w:val="3"/>
        </w:rPr>
        <w:t>momento cúspide </w:t>
      </w:r>
      <w:r>
        <w:rPr>
          <w:color w:val="231F20"/>
          <w:spacing w:val="2"/>
        </w:rPr>
        <w:t>del </w:t>
      </w:r>
      <w:r>
        <w:rPr>
          <w:color w:val="231F20"/>
          <w:spacing w:val="3"/>
        </w:rPr>
        <w:t>posautoritarismo, </w:t>
      </w:r>
      <w:r>
        <w:rPr>
          <w:color w:val="231F20"/>
          <w:spacing w:val="2"/>
        </w:rPr>
        <w:t>por </w:t>
      </w:r>
      <w:r>
        <w:rPr>
          <w:color w:val="231F20"/>
        </w:rPr>
        <w:t>lo </w:t>
      </w:r>
      <w:r>
        <w:rPr>
          <w:color w:val="231F20"/>
          <w:spacing w:val="3"/>
        </w:rPr>
        <w:t>menos </w:t>
      </w:r>
      <w:r>
        <w:rPr>
          <w:color w:val="231F20"/>
        </w:rPr>
        <w:t>tal </w:t>
      </w:r>
      <w:r>
        <w:rPr>
          <w:color w:val="231F20"/>
          <w:spacing w:val="3"/>
        </w:rPr>
        <w:t>como </w:t>
      </w:r>
      <w:r>
        <w:rPr>
          <w:color w:val="231F20"/>
          <w:spacing w:val="2"/>
        </w:rPr>
        <w:t>pudiera </w:t>
      </w:r>
      <w:r>
        <w:rPr>
          <w:color w:val="231F20"/>
        </w:rPr>
        <w:t>ser </w:t>
      </w:r>
      <w:r>
        <w:rPr>
          <w:color w:val="231F20"/>
          <w:spacing w:val="2"/>
        </w:rPr>
        <w:t>caracterizado por visiones académicas </w:t>
      </w:r>
      <w:r>
        <w:rPr>
          <w:color w:val="231F20"/>
        </w:rPr>
        <w:t>y </w:t>
      </w:r>
      <w:r>
        <w:rPr>
          <w:color w:val="231F20"/>
          <w:spacing w:val="2"/>
        </w:rPr>
        <w:t>políticas que han descrito </w:t>
      </w:r>
      <w:r>
        <w:rPr>
          <w:color w:val="231F20"/>
        </w:rPr>
        <w:t>la </w:t>
      </w:r>
      <w:r>
        <w:rPr>
          <w:color w:val="231F20"/>
          <w:spacing w:val="2"/>
        </w:rPr>
        <w:t>crisis </w:t>
      </w:r>
      <w:r>
        <w:rPr>
          <w:color w:val="231F20"/>
        </w:rPr>
        <w:t>y </w:t>
      </w:r>
      <w:r>
        <w:rPr>
          <w:color w:val="231F20"/>
          <w:spacing w:val="3"/>
        </w:rPr>
        <w:t>transformación </w:t>
      </w:r>
      <w:r>
        <w:rPr>
          <w:color w:val="231F20"/>
        </w:rPr>
        <w:t>del </w:t>
      </w:r>
      <w:r>
        <w:rPr>
          <w:color w:val="231F20"/>
          <w:spacing w:val="2"/>
        </w:rPr>
        <w:t>estado </w:t>
      </w:r>
      <w:r>
        <w:rPr>
          <w:color w:val="231F20"/>
          <w:spacing w:val="3"/>
        </w:rPr>
        <w:t>posrevolucionario </w:t>
      </w:r>
      <w:r>
        <w:rPr>
          <w:color w:val="231F20"/>
          <w:spacing w:val="2"/>
        </w:rPr>
        <w:t>mexicano basado </w:t>
      </w:r>
      <w:r>
        <w:rPr>
          <w:color w:val="231F20"/>
        </w:rPr>
        <w:t>en </w:t>
      </w:r>
      <w:r>
        <w:rPr>
          <w:color w:val="231F20"/>
          <w:spacing w:val="2"/>
        </w:rPr>
        <w:t>una ideología nacionalista </w:t>
      </w:r>
      <w:r>
        <w:rPr>
          <w:color w:val="231F20"/>
        </w:rPr>
        <w:t>y </w:t>
      </w:r>
      <w:r>
        <w:rPr>
          <w:color w:val="231F20"/>
          <w:spacing w:val="2"/>
        </w:rPr>
        <w:t>popular” (en Vázquez, 2009: 48). </w:t>
      </w:r>
      <w:r>
        <w:rPr>
          <w:color w:val="231F20"/>
        </w:rPr>
        <w:t>Un </w:t>
      </w:r>
      <w:r>
        <w:rPr>
          <w:color w:val="231F20"/>
          <w:spacing w:val="2"/>
        </w:rPr>
        <w:t>factor </w:t>
      </w:r>
      <w:r>
        <w:rPr>
          <w:color w:val="231F20"/>
        </w:rPr>
        <w:t>de </w:t>
      </w:r>
      <w:r>
        <w:rPr>
          <w:color w:val="231F20"/>
          <w:spacing w:val="2"/>
        </w:rPr>
        <w:t>violencia </w:t>
      </w:r>
      <w:r>
        <w:rPr>
          <w:color w:val="231F20"/>
        </w:rPr>
        <w:t>en la </w:t>
      </w:r>
      <w:r>
        <w:rPr>
          <w:color w:val="231F20"/>
          <w:spacing w:val="2"/>
        </w:rPr>
        <w:t>entidad </w:t>
      </w:r>
      <w:r>
        <w:rPr>
          <w:color w:val="231F20"/>
        </w:rPr>
        <w:t>es la </w:t>
      </w:r>
      <w:r>
        <w:rPr>
          <w:color w:val="231F20"/>
          <w:spacing w:val="2"/>
        </w:rPr>
        <w:t>ejercida por </w:t>
      </w:r>
      <w:r>
        <w:rPr>
          <w:color w:val="231F20"/>
        </w:rPr>
        <w:t>el </w:t>
      </w:r>
      <w:r>
        <w:rPr>
          <w:color w:val="231F20"/>
          <w:spacing w:val="2"/>
        </w:rPr>
        <w:t>Estado </w:t>
      </w:r>
      <w:r>
        <w:rPr>
          <w:color w:val="231F20"/>
          <w:spacing w:val="2"/>
          <w:w w:val="95"/>
        </w:rPr>
        <w:t>(Vázquez.</w:t>
      </w:r>
      <w:r>
        <w:rPr>
          <w:color w:val="231F20"/>
          <w:spacing w:val="35"/>
          <w:w w:val="95"/>
        </w:rPr>
        <w:t> </w:t>
      </w:r>
      <w:r>
        <w:rPr>
          <w:color w:val="231F20"/>
          <w:spacing w:val="2"/>
          <w:w w:val="95"/>
        </w:rPr>
        <w:t>2007).</w:t>
      </w:r>
    </w:p>
    <w:p>
      <w:pPr>
        <w:pStyle w:val="BodyText"/>
        <w:spacing w:before="7"/>
      </w:pPr>
    </w:p>
    <w:p>
      <w:pPr>
        <w:spacing w:before="0"/>
        <w:ind w:left="101" w:right="0" w:firstLine="0"/>
        <w:jc w:val="both"/>
        <w:rPr>
          <w:i/>
          <w:sz w:val="21"/>
        </w:rPr>
      </w:pPr>
      <w:r>
        <w:rPr>
          <w:i/>
          <w:color w:val="231F20"/>
          <w:w w:val="95"/>
          <w:sz w:val="21"/>
        </w:rPr>
        <w:t>La UABJO y la violencia</w:t>
      </w:r>
    </w:p>
    <w:p>
      <w:pPr>
        <w:pStyle w:val="BodyText"/>
        <w:spacing w:before="1"/>
        <w:rPr>
          <w:i/>
        </w:rPr>
      </w:pPr>
    </w:p>
    <w:p>
      <w:pPr>
        <w:pStyle w:val="BodyText"/>
        <w:spacing w:line="247" w:lineRule="auto" w:before="1"/>
        <w:ind w:left="101" w:right="116"/>
        <w:jc w:val="both"/>
      </w:pPr>
      <w:r>
        <w:rPr>
          <w:color w:val="231F20"/>
        </w:rPr>
        <w:t>Nos interesa en este escrito definir la violencia institucional en las facultades en su dimensión colectiva. Así, definiremos la violencia en la UABJO como un fenómeno de naturaleza organizativa rela- cionado con los cambios en las formas de poder y dominación al interior de la universidad que tiene antecedentes por las luchas de  los diferentes grupos al interior de la UABJO en distintas épocas y que se manifiestan por una falta de consenso en la distribución de  los recursos entre los distintos grupos de interés que se han dispu- tado el control y el dominio de los recursos económicos, la influen- cia política y el control directo de los espacios académicos y de poder al interior de la</w:t>
      </w:r>
      <w:r>
        <w:rPr>
          <w:color w:val="231F20"/>
          <w:spacing w:val="5"/>
        </w:rPr>
        <w:t> </w:t>
      </w:r>
      <w:r>
        <w:rPr>
          <w:color w:val="231F20"/>
        </w:rPr>
        <w:t>universidad.</w:t>
      </w:r>
    </w:p>
    <w:p>
      <w:pPr>
        <w:pStyle w:val="BodyText"/>
        <w:spacing w:line="249" w:lineRule="auto" w:before="10"/>
        <w:ind w:left="101" w:right="115" w:firstLine="283"/>
        <w:jc w:val="both"/>
      </w:pPr>
      <w:r>
        <w:rPr>
          <w:color w:val="231F20"/>
        </w:rPr>
        <w:t>La </w:t>
      </w:r>
      <w:r>
        <w:rPr>
          <w:color w:val="231F20"/>
          <w:spacing w:val="2"/>
        </w:rPr>
        <w:t>violencia </w:t>
      </w:r>
      <w:r>
        <w:rPr>
          <w:color w:val="231F20"/>
        </w:rPr>
        <w:t>que </w:t>
      </w:r>
      <w:r>
        <w:rPr>
          <w:color w:val="231F20"/>
          <w:spacing w:val="2"/>
        </w:rPr>
        <w:t>surge </w:t>
      </w:r>
      <w:r>
        <w:rPr>
          <w:color w:val="231F20"/>
        </w:rPr>
        <w:t>en </w:t>
      </w:r>
      <w:r>
        <w:rPr>
          <w:color w:val="231F20"/>
          <w:spacing w:val="3"/>
        </w:rPr>
        <w:t>momentos </w:t>
      </w:r>
      <w:r>
        <w:rPr>
          <w:color w:val="231F20"/>
        </w:rPr>
        <w:t>de </w:t>
      </w:r>
      <w:r>
        <w:rPr>
          <w:color w:val="231F20"/>
          <w:spacing w:val="2"/>
        </w:rPr>
        <w:t>fuerte tensión institu- cional tiene </w:t>
      </w:r>
      <w:r>
        <w:rPr>
          <w:color w:val="231F20"/>
        </w:rPr>
        <w:t>un </w:t>
      </w:r>
      <w:r>
        <w:rPr>
          <w:color w:val="231F20"/>
          <w:spacing w:val="3"/>
        </w:rPr>
        <w:t>antecedente </w:t>
      </w:r>
      <w:r>
        <w:rPr>
          <w:color w:val="231F20"/>
        </w:rPr>
        <w:t>en la </w:t>
      </w:r>
      <w:r>
        <w:rPr>
          <w:color w:val="231F20"/>
          <w:spacing w:val="2"/>
        </w:rPr>
        <w:t>vida política </w:t>
      </w:r>
      <w:r>
        <w:rPr>
          <w:color w:val="231F20"/>
          <w:spacing w:val="3"/>
        </w:rPr>
        <w:t>convulsionada </w:t>
      </w:r>
      <w:r>
        <w:rPr>
          <w:color w:val="231F20"/>
        </w:rPr>
        <w:t>de la </w:t>
      </w:r>
      <w:r>
        <w:rPr>
          <w:color w:val="231F20"/>
          <w:spacing w:val="2"/>
        </w:rPr>
        <w:t>universidad desde hace algunas décadas. Por ello,</w:t>
      </w:r>
      <w:r>
        <w:rPr>
          <w:color w:val="231F20"/>
          <w:spacing w:val="-37"/>
        </w:rPr>
        <w:t> </w:t>
      </w:r>
      <w:r>
        <w:rPr>
          <w:color w:val="231F20"/>
        </w:rPr>
        <w:t>la </w:t>
      </w:r>
      <w:r>
        <w:rPr>
          <w:color w:val="231F20"/>
          <w:spacing w:val="2"/>
        </w:rPr>
        <w:t>violencia tiene </w:t>
      </w:r>
      <w:r>
        <w:rPr>
          <w:color w:val="231F20"/>
        </w:rPr>
        <w:t>un </w:t>
      </w:r>
      <w:r>
        <w:rPr>
          <w:color w:val="231F20"/>
          <w:spacing w:val="2"/>
        </w:rPr>
        <w:t>carácter estructural </w:t>
      </w:r>
      <w:r>
        <w:rPr>
          <w:color w:val="231F20"/>
        </w:rPr>
        <w:t>y </w:t>
      </w:r>
      <w:r>
        <w:rPr>
          <w:color w:val="231F20"/>
          <w:spacing w:val="2"/>
        </w:rPr>
        <w:t>arraigado </w:t>
      </w:r>
      <w:r>
        <w:rPr>
          <w:color w:val="231F20"/>
        </w:rPr>
        <w:t>en la vida </w:t>
      </w:r>
      <w:r>
        <w:rPr>
          <w:color w:val="231F20"/>
          <w:spacing w:val="2"/>
        </w:rPr>
        <w:t>universitaria, </w:t>
      </w:r>
      <w:r>
        <w:rPr>
          <w:color w:val="231F20"/>
        </w:rPr>
        <w:t>de </w:t>
      </w:r>
      <w:r>
        <w:rPr>
          <w:color w:val="231F20"/>
          <w:spacing w:val="4"/>
        </w:rPr>
        <w:t>mo- </w:t>
      </w:r>
      <w:r>
        <w:rPr>
          <w:color w:val="231F20"/>
        </w:rPr>
        <w:t>do </w:t>
      </w:r>
      <w:r>
        <w:rPr>
          <w:color w:val="231F20"/>
          <w:spacing w:val="2"/>
        </w:rPr>
        <w:t>que </w:t>
      </w:r>
      <w:r>
        <w:rPr>
          <w:color w:val="231F20"/>
        </w:rPr>
        <w:t>se ha </w:t>
      </w:r>
      <w:r>
        <w:rPr>
          <w:color w:val="231F20"/>
          <w:spacing w:val="2"/>
        </w:rPr>
        <w:t>hecho cotidiana </w:t>
      </w:r>
      <w:r>
        <w:rPr>
          <w:color w:val="231F20"/>
        </w:rPr>
        <w:t>y, </w:t>
      </w:r>
      <w:r>
        <w:rPr>
          <w:color w:val="231F20"/>
          <w:spacing w:val="2"/>
        </w:rPr>
        <w:t>hasta cierto </w:t>
      </w:r>
      <w:r>
        <w:rPr>
          <w:color w:val="231F20"/>
          <w:spacing w:val="3"/>
        </w:rPr>
        <w:t>punto, </w:t>
      </w:r>
      <w:r>
        <w:rPr>
          <w:color w:val="231F20"/>
        </w:rPr>
        <w:t>se </w:t>
      </w:r>
      <w:r>
        <w:rPr>
          <w:color w:val="231F20"/>
          <w:spacing w:val="3"/>
        </w:rPr>
        <w:t>muestra como </w:t>
      </w:r>
      <w:r>
        <w:rPr>
          <w:color w:val="231F20"/>
        </w:rPr>
        <w:t>algo </w:t>
      </w:r>
      <w:r>
        <w:rPr>
          <w:color w:val="231F20"/>
          <w:spacing w:val="3"/>
        </w:rPr>
        <w:t>normal </w:t>
      </w:r>
      <w:r>
        <w:rPr>
          <w:color w:val="231F20"/>
        </w:rPr>
        <w:t>y a la </w:t>
      </w:r>
      <w:r>
        <w:rPr>
          <w:color w:val="231F20"/>
          <w:spacing w:val="2"/>
        </w:rPr>
        <w:t>que nos </w:t>
      </w:r>
      <w:r>
        <w:rPr>
          <w:color w:val="231F20"/>
          <w:spacing w:val="3"/>
        </w:rPr>
        <w:t>hemos </w:t>
      </w:r>
      <w:r>
        <w:rPr>
          <w:color w:val="231F20"/>
          <w:spacing w:val="6"/>
        </w:rPr>
        <w:t> </w:t>
      </w:r>
      <w:r>
        <w:rPr>
          <w:color w:val="231F20"/>
          <w:spacing w:val="3"/>
        </w:rPr>
        <w:t>acostumbrado.</w:t>
      </w:r>
    </w:p>
    <w:p>
      <w:pPr>
        <w:spacing w:after="0" w:line="249" w:lineRule="auto"/>
        <w:jc w:val="both"/>
        <w:sectPr>
          <w:headerReference w:type="default" r:id="rId826"/>
          <w:footerReference w:type="default" r:id="rId827"/>
          <w:pgSz w:w="7830" w:h="11910"/>
          <w:pgMar w:header="0" w:footer="424" w:top="500" w:bottom="620" w:left="920" w:right="900"/>
          <w:pgNumType w:start="37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6" w:firstLine="284"/>
        <w:jc w:val="both"/>
      </w:pPr>
      <w:r>
        <w:rPr>
          <w:color w:val="231F20"/>
        </w:rPr>
        <w:t>En los resultados de la encuesta realizada en la UABJO, pudi- mos encontrar la expresión de diferentes formas de violencia, que van desde intimidación, violencia física, violencia verbal, entre otras (véanse los Cuadros 1, 2 y 3 en los anexos). La violencia que abordaremos en este texto es la violencia vinculada con las dife- rentes formas de participación política en la UABJO que  está ligada con la disputa por grupos al interior de la universidad, en lo que se ha dado en llamar la “disputa por la universidad”. (Gonzá- lez-Rivera, 2009: 197)</w:t>
      </w:r>
    </w:p>
    <w:p>
      <w:pPr>
        <w:pStyle w:val="BodyText"/>
        <w:spacing w:line="249" w:lineRule="auto"/>
        <w:ind w:left="101" w:right="115" w:firstLine="284"/>
        <w:jc w:val="both"/>
      </w:pPr>
      <w:r>
        <w:rPr>
          <w:color w:val="231F20"/>
        </w:rPr>
        <w:t>La </w:t>
      </w:r>
      <w:r>
        <w:rPr>
          <w:color w:val="231F20"/>
          <w:spacing w:val="2"/>
        </w:rPr>
        <w:t>violencia </w:t>
      </w:r>
      <w:r>
        <w:rPr>
          <w:color w:val="231F20"/>
        </w:rPr>
        <w:t>que se vive </w:t>
      </w:r>
      <w:r>
        <w:rPr>
          <w:color w:val="231F20"/>
          <w:spacing w:val="2"/>
        </w:rPr>
        <w:t>está ligada </w:t>
      </w:r>
      <w:r>
        <w:rPr>
          <w:color w:val="231F20"/>
        </w:rPr>
        <w:t>a </w:t>
      </w:r>
      <w:r>
        <w:rPr>
          <w:color w:val="231F20"/>
          <w:spacing w:val="2"/>
        </w:rPr>
        <w:t>diferentes grupos </w:t>
      </w:r>
      <w:r>
        <w:rPr>
          <w:color w:val="231F20"/>
        </w:rPr>
        <w:t>de </w:t>
      </w:r>
      <w:r>
        <w:rPr>
          <w:color w:val="231F20"/>
          <w:spacing w:val="2"/>
        </w:rPr>
        <w:t>inte- </w:t>
      </w:r>
      <w:r>
        <w:rPr>
          <w:color w:val="231F20"/>
        </w:rPr>
        <w:t>rés que </w:t>
      </w:r>
      <w:r>
        <w:rPr>
          <w:color w:val="231F20"/>
          <w:spacing w:val="2"/>
        </w:rPr>
        <w:t>han </w:t>
      </w:r>
      <w:r>
        <w:rPr>
          <w:color w:val="231F20"/>
          <w:spacing w:val="3"/>
        </w:rPr>
        <w:t>normado </w:t>
      </w:r>
      <w:r>
        <w:rPr>
          <w:color w:val="231F20"/>
        </w:rPr>
        <w:t>la </w:t>
      </w:r>
      <w:r>
        <w:rPr>
          <w:color w:val="231F20"/>
          <w:spacing w:val="2"/>
        </w:rPr>
        <w:t>vida </w:t>
      </w:r>
      <w:r>
        <w:rPr>
          <w:color w:val="231F20"/>
          <w:spacing w:val="3"/>
        </w:rPr>
        <w:t>institucional </w:t>
      </w:r>
      <w:r>
        <w:rPr>
          <w:color w:val="231F20"/>
        </w:rPr>
        <w:t>y que </w:t>
      </w:r>
      <w:r>
        <w:rPr>
          <w:color w:val="231F20"/>
          <w:spacing w:val="3"/>
        </w:rPr>
        <w:t>conforman </w:t>
      </w:r>
      <w:r>
        <w:rPr>
          <w:color w:val="231F20"/>
        </w:rPr>
        <w:t>el </w:t>
      </w:r>
      <w:r>
        <w:rPr>
          <w:color w:val="231F20"/>
          <w:spacing w:val="2"/>
        </w:rPr>
        <w:t>escenario actual </w:t>
      </w:r>
      <w:r>
        <w:rPr>
          <w:color w:val="231F20"/>
        </w:rPr>
        <w:t>de la </w:t>
      </w:r>
      <w:r>
        <w:rPr>
          <w:color w:val="231F20"/>
          <w:spacing w:val="2"/>
        </w:rPr>
        <w:t>universidad. Así, </w:t>
      </w:r>
      <w:r>
        <w:rPr>
          <w:color w:val="231F20"/>
        </w:rPr>
        <w:t>la </w:t>
      </w:r>
      <w:r>
        <w:rPr>
          <w:color w:val="231F20"/>
          <w:spacing w:val="3"/>
        </w:rPr>
        <w:t>UABJO </w:t>
      </w:r>
      <w:r>
        <w:rPr>
          <w:color w:val="231F20"/>
        </w:rPr>
        <w:t>ha </w:t>
      </w:r>
      <w:r>
        <w:rPr>
          <w:color w:val="231F20"/>
          <w:spacing w:val="2"/>
        </w:rPr>
        <w:t>tenido </w:t>
      </w:r>
      <w:r>
        <w:rPr>
          <w:color w:val="231F20"/>
        </w:rPr>
        <w:t>en </w:t>
      </w:r>
      <w:r>
        <w:rPr>
          <w:color w:val="231F20"/>
          <w:spacing w:val="2"/>
        </w:rPr>
        <w:t>diferentes </w:t>
      </w:r>
      <w:r>
        <w:rPr>
          <w:color w:val="231F20"/>
          <w:spacing w:val="3"/>
        </w:rPr>
        <w:t>momentos </w:t>
      </w:r>
      <w:r>
        <w:rPr>
          <w:color w:val="231F20"/>
        </w:rPr>
        <w:t>de su </w:t>
      </w:r>
      <w:r>
        <w:rPr>
          <w:color w:val="231F20"/>
          <w:spacing w:val="2"/>
        </w:rPr>
        <w:t>historia disputas por </w:t>
      </w:r>
      <w:r>
        <w:rPr>
          <w:color w:val="231F20"/>
        </w:rPr>
        <w:t>el </w:t>
      </w:r>
      <w:r>
        <w:rPr>
          <w:color w:val="231F20"/>
          <w:spacing w:val="2"/>
        </w:rPr>
        <w:t>poder político    </w:t>
      </w:r>
      <w:r>
        <w:rPr>
          <w:color w:val="231F20"/>
        </w:rPr>
        <w:t>y así ha </w:t>
      </w:r>
      <w:r>
        <w:rPr>
          <w:color w:val="231F20"/>
          <w:spacing w:val="2"/>
        </w:rPr>
        <w:t>incurrido </w:t>
      </w:r>
      <w:r>
        <w:rPr>
          <w:color w:val="231F20"/>
        </w:rPr>
        <w:t>en </w:t>
      </w:r>
      <w:r>
        <w:rPr>
          <w:color w:val="231F20"/>
          <w:spacing w:val="3"/>
        </w:rPr>
        <w:t>periodos </w:t>
      </w:r>
      <w:r>
        <w:rPr>
          <w:color w:val="231F20"/>
        </w:rPr>
        <w:t>de </w:t>
      </w:r>
      <w:r>
        <w:rPr>
          <w:color w:val="231F20"/>
          <w:spacing w:val="2"/>
        </w:rPr>
        <w:t>fuerte debilitamiento </w:t>
      </w:r>
      <w:r>
        <w:rPr>
          <w:color w:val="231F20"/>
        </w:rPr>
        <w:t>de las re- glas de </w:t>
      </w:r>
      <w:r>
        <w:rPr>
          <w:color w:val="231F20"/>
          <w:spacing w:val="2"/>
        </w:rPr>
        <w:t>acceso </w:t>
      </w:r>
      <w:r>
        <w:rPr>
          <w:color w:val="231F20"/>
        </w:rPr>
        <w:t>al </w:t>
      </w:r>
      <w:r>
        <w:rPr>
          <w:color w:val="231F20"/>
          <w:spacing w:val="3"/>
        </w:rPr>
        <w:t>poder </w:t>
      </w:r>
      <w:r>
        <w:rPr>
          <w:color w:val="231F20"/>
        </w:rPr>
        <w:t>y a la </w:t>
      </w:r>
      <w:r>
        <w:rPr>
          <w:color w:val="231F20"/>
          <w:spacing w:val="2"/>
        </w:rPr>
        <w:t>administración </w:t>
      </w:r>
      <w:r>
        <w:rPr>
          <w:color w:val="231F20"/>
        </w:rPr>
        <w:t>de </w:t>
      </w:r>
      <w:r>
        <w:rPr>
          <w:color w:val="231F20"/>
          <w:spacing w:val="2"/>
        </w:rPr>
        <w:t>sus recursos, </w:t>
      </w:r>
      <w:r>
        <w:rPr>
          <w:color w:val="231F20"/>
        </w:rPr>
        <w:t>lle- </w:t>
      </w:r>
      <w:r>
        <w:rPr>
          <w:color w:val="231F20"/>
          <w:spacing w:val="2"/>
        </w:rPr>
        <w:t>gando </w:t>
      </w:r>
      <w:r>
        <w:rPr>
          <w:color w:val="231F20"/>
        </w:rPr>
        <w:t>a </w:t>
      </w:r>
      <w:r>
        <w:rPr>
          <w:color w:val="231F20"/>
          <w:spacing w:val="3"/>
        </w:rPr>
        <w:t>formas </w:t>
      </w:r>
      <w:r>
        <w:rPr>
          <w:color w:val="231F20"/>
          <w:spacing w:val="2"/>
        </w:rPr>
        <w:t>complejas </w:t>
      </w:r>
      <w:r>
        <w:rPr>
          <w:color w:val="231F20"/>
        </w:rPr>
        <w:t>de </w:t>
      </w:r>
      <w:r>
        <w:rPr>
          <w:color w:val="231F20"/>
          <w:spacing w:val="2"/>
        </w:rPr>
        <w:t>anarquía; incluso han existido </w:t>
      </w:r>
      <w:r>
        <w:rPr>
          <w:color w:val="231F20"/>
          <w:spacing w:val="4"/>
        </w:rPr>
        <w:t>mo- </w:t>
      </w:r>
      <w:r>
        <w:rPr>
          <w:color w:val="231F20"/>
          <w:spacing w:val="2"/>
        </w:rPr>
        <w:t>mentos </w:t>
      </w:r>
      <w:r>
        <w:rPr>
          <w:color w:val="231F20"/>
        </w:rPr>
        <w:t>de </w:t>
      </w:r>
      <w:r>
        <w:rPr>
          <w:color w:val="231F20"/>
          <w:spacing w:val="2"/>
        </w:rPr>
        <w:t>vacío </w:t>
      </w:r>
      <w:r>
        <w:rPr>
          <w:color w:val="231F20"/>
        </w:rPr>
        <w:t>de </w:t>
      </w:r>
      <w:r>
        <w:rPr>
          <w:color w:val="231F20"/>
          <w:spacing w:val="2"/>
        </w:rPr>
        <w:t>poder, </w:t>
      </w:r>
      <w:r>
        <w:rPr>
          <w:color w:val="231F20"/>
        </w:rPr>
        <w:t>las </w:t>
      </w:r>
      <w:r>
        <w:rPr>
          <w:color w:val="231F20"/>
          <w:spacing w:val="2"/>
        </w:rPr>
        <w:t>cuales </w:t>
      </w:r>
      <w:r>
        <w:rPr>
          <w:color w:val="231F20"/>
        </w:rPr>
        <w:t>han </w:t>
      </w:r>
      <w:r>
        <w:rPr>
          <w:color w:val="231F20"/>
          <w:spacing w:val="2"/>
        </w:rPr>
        <w:t>generado condiciones </w:t>
      </w:r>
      <w:r>
        <w:rPr>
          <w:color w:val="231F20"/>
          <w:spacing w:val="3"/>
        </w:rPr>
        <w:t>anómicas </w:t>
      </w:r>
      <w:r>
        <w:rPr>
          <w:color w:val="231F20"/>
        </w:rPr>
        <w:t>al </w:t>
      </w:r>
      <w:r>
        <w:rPr>
          <w:color w:val="231F20"/>
          <w:spacing w:val="2"/>
        </w:rPr>
        <w:t>interior </w:t>
      </w:r>
      <w:r>
        <w:rPr>
          <w:color w:val="231F20"/>
        </w:rPr>
        <w:t>de la </w:t>
      </w:r>
      <w:r>
        <w:rPr>
          <w:color w:val="231F20"/>
          <w:spacing w:val="2"/>
        </w:rPr>
        <w:t>vida</w:t>
      </w:r>
      <w:r>
        <w:rPr>
          <w:color w:val="231F20"/>
          <w:spacing w:val="-18"/>
        </w:rPr>
        <w:t> </w:t>
      </w:r>
      <w:r>
        <w:rPr>
          <w:color w:val="231F20"/>
          <w:spacing w:val="2"/>
        </w:rPr>
        <w:t>institucional.</w:t>
      </w:r>
    </w:p>
    <w:p>
      <w:pPr>
        <w:pStyle w:val="BodyText"/>
        <w:spacing w:line="249" w:lineRule="auto"/>
        <w:ind w:left="102" w:right="115" w:firstLine="283"/>
        <w:jc w:val="both"/>
      </w:pPr>
      <w:r>
        <w:rPr>
          <w:color w:val="231F20"/>
          <w:spacing w:val="2"/>
        </w:rPr>
        <w:t>Estudios sobre </w:t>
      </w:r>
      <w:r>
        <w:rPr>
          <w:color w:val="231F20"/>
        </w:rPr>
        <w:t>la </w:t>
      </w:r>
      <w:r>
        <w:rPr>
          <w:color w:val="231F20"/>
          <w:spacing w:val="3"/>
        </w:rPr>
        <w:t>UABJO </w:t>
      </w:r>
      <w:r>
        <w:rPr>
          <w:color w:val="231F20"/>
          <w:spacing w:val="2"/>
        </w:rPr>
        <w:t>han </w:t>
      </w:r>
      <w:r>
        <w:rPr>
          <w:color w:val="231F20"/>
          <w:spacing w:val="3"/>
        </w:rPr>
        <w:t>mostrado </w:t>
      </w:r>
      <w:r>
        <w:rPr>
          <w:color w:val="231F20"/>
        </w:rPr>
        <w:t>su </w:t>
      </w:r>
      <w:r>
        <w:rPr>
          <w:color w:val="231F20"/>
          <w:spacing w:val="3"/>
        </w:rPr>
        <w:t>convulsionada </w:t>
      </w:r>
      <w:r>
        <w:rPr>
          <w:color w:val="231F20"/>
        </w:rPr>
        <w:t>vida </w:t>
      </w:r>
      <w:r>
        <w:rPr>
          <w:color w:val="231F20"/>
          <w:spacing w:val="2"/>
        </w:rPr>
        <w:t>académica </w:t>
      </w:r>
      <w:r>
        <w:rPr>
          <w:color w:val="231F20"/>
        </w:rPr>
        <w:t>en </w:t>
      </w:r>
      <w:r>
        <w:rPr>
          <w:color w:val="231F20"/>
          <w:spacing w:val="2"/>
        </w:rPr>
        <w:t>diferentes </w:t>
      </w:r>
      <w:r>
        <w:rPr>
          <w:color w:val="231F20"/>
          <w:spacing w:val="3"/>
        </w:rPr>
        <w:t>momentos </w:t>
      </w:r>
      <w:r>
        <w:rPr>
          <w:color w:val="231F20"/>
        </w:rPr>
        <w:t>de su </w:t>
      </w:r>
      <w:r>
        <w:rPr>
          <w:color w:val="231F20"/>
          <w:spacing w:val="2"/>
        </w:rPr>
        <w:t>historia. Según Néstor </w:t>
      </w:r>
      <w:r>
        <w:rPr>
          <w:color w:val="231F20"/>
          <w:spacing w:val="3"/>
        </w:rPr>
        <w:t>Montes-García </w:t>
      </w:r>
      <w:r>
        <w:rPr>
          <w:color w:val="231F20"/>
          <w:spacing w:val="2"/>
        </w:rPr>
        <w:t>(2011:1): </w:t>
      </w:r>
      <w:r>
        <w:rPr>
          <w:color w:val="231F20"/>
        </w:rPr>
        <w:t>“en sus </w:t>
      </w:r>
      <w:r>
        <w:rPr>
          <w:color w:val="231F20"/>
          <w:spacing w:val="2"/>
        </w:rPr>
        <w:t>poco más </w:t>
      </w:r>
      <w:r>
        <w:rPr>
          <w:color w:val="231F20"/>
        </w:rPr>
        <w:t>de </w:t>
      </w:r>
      <w:r>
        <w:rPr>
          <w:color w:val="231F20"/>
          <w:spacing w:val="2"/>
        </w:rPr>
        <w:t>cincuenta años </w:t>
      </w:r>
      <w:r>
        <w:rPr>
          <w:color w:val="231F20"/>
        </w:rPr>
        <w:t>de </w:t>
      </w:r>
      <w:r>
        <w:rPr>
          <w:color w:val="231F20"/>
          <w:spacing w:val="2"/>
        </w:rPr>
        <w:t>vida institucional, </w:t>
      </w:r>
      <w:r>
        <w:rPr>
          <w:color w:val="231F20"/>
        </w:rPr>
        <w:t>la </w:t>
      </w:r>
      <w:r>
        <w:rPr>
          <w:color w:val="231F20"/>
          <w:spacing w:val="2"/>
        </w:rPr>
        <w:t>Universidad </w:t>
      </w:r>
      <w:r>
        <w:rPr>
          <w:color w:val="231F20"/>
        </w:rPr>
        <w:t>ha </w:t>
      </w:r>
      <w:r>
        <w:rPr>
          <w:color w:val="231F20"/>
          <w:spacing w:val="2"/>
        </w:rPr>
        <w:t>cambiado </w:t>
      </w:r>
      <w:r>
        <w:rPr>
          <w:color w:val="231F20"/>
        </w:rPr>
        <w:t>la </w:t>
      </w:r>
      <w:r>
        <w:rPr>
          <w:color w:val="231F20"/>
          <w:spacing w:val="2"/>
        </w:rPr>
        <w:t>Ley Orgánica </w:t>
      </w:r>
      <w:r>
        <w:rPr>
          <w:color w:val="231F20"/>
          <w:spacing w:val="3"/>
        </w:rPr>
        <w:t>en </w:t>
      </w:r>
      <w:r>
        <w:rPr>
          <w:color w:val="231F20"/>
          <w:spacing w:val="2"/>
        </w:rPr>
        <w:t>tres ocasiones. </w:t>
      </w:r>
      <w:r>
        <w:rPr>
          <w:color w:val="231F20"/>
        </w:rPr>
        <w:t>El </w:t>
      </w:r>
      <w:r>
        <w:rPr>
          <w:color w:val="231F20"/>
          <w:spacing w:val="2"/>
        </w:rPr>
        <w:t>primer cambio fue </w:t>
      </w:r>
      <w:r>
        <w:rPr>
          <w:color w:val="231F20"/>
        </w:rPr>
        <w:t>el 24 de </w:t>
      </w:r>
      <w:r>
        <w:rPr>
          <w:color w:val="231F20"/>
          <w:spacing w:val="2"/>
        </w:rPr>
        <w:t>agosto </w:t>
      </w:r>
      <w:r>
        <w:rPr>
          <w:color w:val="231F20"/>
        </w:rPr>
        <w:t>de </w:t>
      </w:r>
      <w:r>
        <w:rPr>
          <w:color w:val="231F20"/>
          <w:spacing w:val="3"/>
        </w:rPr>
        <w:t>1971; </w:t>
      </w:r>
      <w:r>
        <w:rPr>
          <w:color w:val="231F20"/>
        </w:rPr>
        <w:t>en esa </w:t>
      </w:r>
      <w:r>
        <w:rPr>
          <w:color w:val="231F20"/>
          <w:spacing w:val="2"/>
        </w:rPr>
        <w:t>fecha, </w:t>
      </w:r>
      <w:r>
        <w:rPr>
          <w:color w:val="231F20"/>
        </w:rPr>
        <w:t>la xlvii </w:t>
      </w:r>
      <w:r>
        <w:rPr>
          <w:color w:val="231F20"/>
          <w:spacing w:val="2"/>
        </w:rPr>
        <w:t>Legislatura del estado reformó </w:t>
      </w:r>
      <w:r>
        <w:rPr>
          <w:color w:val="231F20"/>
        </w:rPr>
        <w:t>la ley de </w:t>
      </w:r>
      <w:r>
        <w:rPr>
          <w:color w:val="231F20"/>
          <w:spacing w:val="3"/>
        </w:rPr>
        <w:t>1955 </w:t>
      </w:r>
      <w:r>
        <w:rPr>
          <w:color w:val="231F20"/>
        </w:rPr>
        <w:t>en </w:t>
      </w:r>
      <w:r>
        <w:rPr>
          <w:color w:val="231F20"/>
          <w:spacing w:val="2"/>
        </w:rPr>
        <w:t>dos aspectos: </w:t>
      </w:r>
      <w:r>
        <w:rPr>
          <w:color w:val="231F20"/>
        </w:rPr>
        <w:t>le </w:t>
      </w:r>
      <w:r>
        <w:rPr>
          <w:color w:val="231F20"/>
          <w:spacing w:val="2"/>
        </w:rPr>
        <w:t>otorgó </w:t>
      </w:r>
      <w:r>
        <w:rPr>
          <w:color w:val="231F20"/>
        </w:rPr>
        <w:t>la </w:t>
      </w:r>
      <w:r>
        <w:rPr>
          <w:color w:val="231F20"/>
          <w:spacing w:val="3"/>
        </w:rPr>
        <w:t>autonomía </w:t>
      </w:r>
      <w:r>
        <w:rPr>
          <w:color w:val="231F20"/>
        </w:rPr>
        <w:t>y le </w:t>
      </w:r>
      <w:r>
        <w:rPr>
          <w:color w:val="231F20"/>
          <w:spacing w:val="2"/>
        </w:rPr>
        <w:t>dio paridad </w:t>
      </w:r>
      <w:r>
        <w:rPr>
          <w:color w:val="231F20"/>
        </w:rPr>
        <w:t>a </w:t>
      </w:r>
      <w:r>
        <w:rPr>
          <w:color w:val="231F20"/>
          <w:spacing w:val="2"/>
        </w:rPr>
        <w:t>los estu- diantes </w:t>
      </w:r>
      <w:r>
        <w:rPr>
          <w:color w:val="231F20"/>
        </w:rPr>
        <w:t>en el </w:t>
      </w:r>
      <w:r>
        <w:rPr>
          <w:color w:val="231F20"/>
          <w:spacing w:val="2"/>
        </w:rPr>
        <w:t>Consejo Universitario. Con </w:t>
      </w:r>
      <w:r>
        <w:rPr>
          <w:color w:val="231F20"/>
        </w:rPr>
        <w:t>el </w:t>
      </w:r>
      <w:r>
        <w:rPr>
          <w:color w:val="231F20"/>
          <w:spacing w:val="3"/>
        </w:rPr>
        <w:t>segundo cambio, </w:t>
      </w:r>
      <w:r>
        <w:rPr>
          <w:color w:val="231F20"/>
        </w:rPr>
        <w:t>fe- </w:t>
      </w:r>
      <w:r>
        <w:rPr>
          <w:color w:val="231F20"/>
          <w:spacing w:val="2"/>
        </w:rPr>
        <w:t>chado </w:t>
      </w:r>
      <w:r>
        <w:rPr>
          <w:color w:val="231F20"/>
        </w:rPr>
        <w:t>el 20 de </w:t>
      </w:r>
      <w:r>
        <w:rPr>
          <w:color w:val="231F20"/>
          <w:spacing w:val="2"/>
        </w:rPr>
        <w:t>febrero </w:t>
      </w:r>
      <w:r>
        <w:rPr>
          <w:color w:val="231F20"/>
        </w:rPr>
        <w:t>de </w:t>
      </w:r>
      <w:r>
        <w:rPr>
          <w:color w:val="231F20"/>
          <w:spacing w:val="2"/>
        </w:rPr>
        <w:t>1978, </w:t>
      </w:r>
      <w:r>
        <w:rPr>
          <w:color w:val="231F20"/>
        </w:rPr>
        <w:t>la l </w:t>
      </w:r>
      <w:r>
        <w:rPr>
          <w:color w:val="231F20"/>
          <w:spacing w:val="2"/>
        </w:rPr>
        <w:t>Legislatura Constitucional del estado derogó </w:t>
      </w:r>
      <w:r>
        <w:rPr>
          <w:color w:val="231F20"/>
        </w:rPr>
        <w:t>la </w:t>
      </w:r>
      <w:r>
        <w:rPr>
          <w:color w:val="231F20"/>
          <w:spacing w:val="2"/>
        </w:rPr>
        <w:t>Ley </w:t>
      </w:r>
      <w:r>
        <w:rPr>
          <w:color w:val="231F20"/>
        </w:rPr>
        <w:t>de </w:t>
      </w:r>
      <w:r>
        <w:rPr>
          <w:color w:val="231F20"/>
          <w:spacing w:val="2"/>
        </w:rPr>
        <w:t>1955 </w:t>
      </w:r>
      <w:r>
        <w:rPr>
          <w:color w:val="231F20"/>
        </w:rPr>
        <w:t>y la </w:t>
      </w:r>
      <w:r>
        <w:rPr>
          <w:color w:val="231F20"/>
          <w:spacing w:val="3"/>
        </w:rPr>
        <w:t>reforma </w:t>
      </w:r>
      <w:r>
        <w:rPr>
          <w:color w:val="231F20"/>
        </w:rPr>
        <w:t>de </w:t>
      </w:r>
      <w:r>
        <w:rPr>
          <w:color w:val="231F20"/>
          <w:spacing w:val="2"/>
        </w:rPr>
        <w:t>1971 </w:t>
      </w:r>
      <w:r>
        <w:rPr>
          <w:color w:val="231F20"/>
        </w:rPr>
        <w:t>y </w:t>
      </w:r>
      <w:r>
        <w:rPr>
          <w:color w:val="231F20"/>
          <w:spacing w:val="3"/>
        </w:rPr>
        <w:t>promulgó  </w:t>
      </w:r>
      <w:r>
        <w:rPr>
          <w:color w:val="231F20"/>
          <w:spacing w:val="2"/>
        </w:rPr>
        <w:t>una nueva </w:t>
      </w:r>
      <w:r>
        <w:rPr>
          <w:color w:val="231F20"/>
        </w:rPr>
        <w:t>ley </w:t>
      </w:r>
      <w:r>
        <w:rPr>
          <w:color w:val="231F20"/>
          <w:spacing w:val="2"/>
        </w:rPr>
        <w:t>orgánica. </w:t>
      </w:r>
      <w:r>
        <w:rPr>
          <w:color w:val="231F20"/>
        </w:rPr>
        <w:t>El </w:t>
      </w:r>
      <w:r>
        <w:rPr>
          <w:color w:val="231F20"/>
          <w:spacing w:val="2"/>
        </w:rPr>
        <w:t>último cambio </w:t>
      </w:r>
      <w:r>
        <w:rPr>
          <w:color w:val="231F20"/>
        </w:rPr>
        <w:t>fue el 7 de </w:t>
      </w:r>
      <w:r>
        <w:rPr>
          <w:color w:val="231F20"/>
          <w:spacing w:val="2"/>
        </w:rPr>
        <w:t>marzo </w:t>
      </w:r>
      <w:r>
        <w:rPr>
          <w:color w:val="231F20"/>
        </w:rPr>
        <w:t>de </w:t>
      </w:r>
      <w:r>
        <w:rPr>
          <w:color w:val="231F20"/>
          <w:spacing w:val="2"/>
        </w:rPr>
        <w:t>1988,</w:t>
      </w:r>
      <w:r>
        <w:rPr>
          <w:color w:val="231F20"/>
          <w:spacing w:val="-4"/>
        </w:rPr>
        <w:t> </w:t>
      </w:r>
      <w:r>
        <w:rPr>
          <w:color w:val="231F20"/>
        </w:rPr>
        <w:t>y</w:t>
      </w:r>
      <w:r>
        <w:rPr>
          <w:color w:val="231F20"/>
          <w:spacing w:val="-3"/>
        </w:rPr>
        <w:t> </w:t>
      </w:r>
      <w:r>
        <w:rPr>
          <w:color w:val="231F20"/>
        </w:rPr>
        <w:t>la</w:t>
      </w:r>
      <w:r>
        <w:rPr>
          <w:color w:val="231F20"/>
          <w:spacing w:val="-4"/>
        </w:rPr>
        <w:t> </w:t>
      </w:r>
      <w:r>
        <w:rPr>
          <w:color w:val="231F20"/>
        </w:rPr>
        <w:t>liii</w:t>
      </w:r>
      <w:r>
        <w:rPr>
          <w:color w:val="231F20"/>
          <w:spacing w:val="-4"/>
        </w:rPr>
        <w:t> </w:t>
      </w:r>
      <w:r>
        <w:rPr>
          <w:color w:val="231F20"/>
          <w:spacing w:val="2"/>
        </w:rPr>
        <w:t>Legislatura</w:t>
      </w:r>
      <w:r>
        <w:rPr>
          <w:color w:val="231F20"/>
          <w:spacing w:val="-3"/>
        </w:rPr>
        <w:t> </w:t>
      </w:r>
      <w:r>
        <w:rPr>
          <w:color w:val="231F20"/>
          <w:spacing w:val="2"/>
        </w:rPr>
        <w:t>Constitucional</w:t>
      </w:r>
      <w:r>
        <w:rPr>
          <w:color w:val="231F20"/>
          <w:spacing w:val="-4"/>
        </w:rPr>
        <w:t> </w:t>
      </w:r>
      <w:r>
        <w:rPr>
          <w:color w:val="231F20"/>
          <w:spacing w:val="2"/>
        </w:rPr>
        <w:t>abrogó</w:t>
      </w:r>
      <w:r>
        <w:rPr>
          <w:color w:val="231F20"/>
          <w:spacing w:val="-3"/>
        </w:rPr>
        <w:t> </w:t>
      </w:r>
      <w:r>
        <w:rPr>
          <w:color w:val="231F20"/>
        </w:rPr>
        <w:t>la</w:t>
      </w:r>
      <w:r>
        <w:rPr>
          <w:color w:val="231F20"/>
          <w:spacing w:val="-3"/>
        </w:rPr>
        <w:t> </w:t>
      </w:r>
      <w:r>
        <w:rPr>
          <w:color w:val="231F20"/>
          <w:spacing w:val="2"/>
        </w:rPr>
        <w:t>Ley</w:t>
      </w:r>
      <w:r>
        <w:rPr>
          <w:color w:val="231F20"/>
          <w:spacing w:val="-3"/>
        </w:rPr>
        <w:t> </w:t>
      </w:r>
      <w:r>
        <w:rPr>
          <w:color w:val="231F20"/>
          <w:spacing w:val="2"/>
        </w:rPr>
        <w:t>Orgánica</w:t>
      </w:r>
      <w:r>
        <w:rPr>
          <w:color w:val="231F20"/>
          <w:spacing w:val="-3"/>
        </w:rPr>
        <w:t> </w:t>
      </w:r>
      <w:r>
        <w:rPr>
          <w:color w:val="231F20"/>
        </w:rPr>
        <w:t>de </w:t>
      </w:r>
      <w:r>
        <w:rPr>
          <w:color w:val="231F20"/>
          <w:spacing w:val="3"/>
        </w:rPr>
        <w:t>1978 </w:t>
      </w:r>
      <w:r>
        <w:rPr>
          <w:color w:val="231F20"/>
        </w:rPr>
        <w:t>y </w:t>
      </w:r>
      <w:r>
        <w:rPr>
          <w:color w:val="231F20"/>
          <w:spacing w:val="3"/>
        </w:rPr>
        <w:t>promulgó </w:t>
      </w:r>
      <w:r>
        <w:rPr>
          <w:color w:val="231F20"/>
        </w:rPr>
        <w:t>la que </w:t>
      </w:r>
      <w:r>
        <w:rPr>
          <w:color w:val="231F20"/>
          <w:spacing w:val="2"/>
        </w:rPr>
        <w:t>actualmente </w:t>
      </w:r>
      <w:r>
        <w:rPr>
          <w:color w:val="231F20"/>
        </w:rPr>
        <w:t>se </w:t>
      </w:r>
      <w:r>
        <w:rPr>
          <w:color w:val="231F20"/>
          <w:spacing w:val="2"/>
        </w:rPr>
        <w:t>encuentra</w:t>
      </w:r>
      <w:r>
        <w:rPr>
          <w:color w:val="231F20"/>
          <w:spacing w:val="10"/>
        </w:rPr>
        <w:t> </w:t>
      </w:r>
      <w:r>
        <w:rPr>
          <w:color w:val="231F20"/>
          <w:spacing w:val="2"/>
        </w:rPr>
        <w:t>vigente.</w:t>
      </w:r>
    </w:p>
    <w:p>
      <w:pPr>
        <w:pStyle w:val="BodyText"/>
        <w:spacing w:line="247" w:lineRule="auto"/>
        <w:ind w:left="102" w:right="115" w:firstLine="284"/>
        <w:jc w:val="both"/>
      </w:pPr>
      <w:r>
        <w:rPr>
          <w:color w:val="231F20"/>
          <w:spacing w:val="3"/>
        </w:rPr>
        <w:t>Asimismo, </w:t>
      </w:r>
      <w:r>
        <w:rPr>
          <w:color w:val="231F20"/>
        </w:rPr>
        <w:t>el </w:t>
      </w:r>
      <w:r>
        <w:rPr>
          <w:color w:val="231F20"/>
          <w:spacing w:val="2"/>
        </w:rPr>
        <w:t>ámbito educativo </w:t>
      </w:r>
      <w:r>
        <w:rPr>
          <w:color w:val="231F20"/>
        </w:rPr>
        <w:t>ha sido </w:t>
      </w:r>
      <w:r>
        <w:rPr>
          <w:color w:val="231F20"/>
          <w:spacing w:val="2"/>
        </w:rPr>
        <w:t>percibido por </w:t>
      </w:r>
      <w:r>
        <w:rPr>
          <w:color w:val="231F20"/>
        </w:rPr>
        <w:t>la </w:t>
      </w:r>
      <w:r>
        <w:rPr>
          <w:color w:val="231F20"/>
          <w:spacing w:val="2"/>
        </w:rPr>
        <w:t>socie- dad </w:t>
      </w:r>
      <w:r>
        <w:rPr>
          <w:color w:val="231F20"/>
          <w:spacing w:val="3"/>
        </w:rPr>
        <w:t>oaxaqueña como </w:t>
      </w:r>
      <w:r>
        <w:rPr>
          <w:color w:val="231F20"/>
          <w:spacing w:val="2"/>
        </w:rPr>
        <w:t>conflictivo. Desde los años setenta, </w:t>
      </w:r>
      <w:r>
        <w:rPr>
          <w:color w:val="231F20"/>
        </w:rPr>
        <w:t>la </w:t>
      </w:r>
      <w:r>
        <w:rPr>
          <w:color w:val="231F20"/>
          <w:spacing w:val="3"/>
        </w:rPr>
        <w:t>UAB- </w:t>
      </w:r>
      <w:r>
        <w:rPr>
          <w:color w:val="231F20"/>
        </w:rPr>
        <w:t>JO ha </w:t>
      </w:r>
      <w:r>
        <w:rPr>
          <w:color w:val="231F20"/>
          <w:spacing w:val="2"/>
        </w:rPr>
        <w:t>vivido </w:t>
      </w:r>
      <w:r>
        <w:rPr>
          <w:color w:val="231F20"/>
        </w:rPr>
        <w:t>un </w:t>
      </w:r>
      <w:r>
        <w:rPr>
          <w:color w:val="231F20"/>
          <w:spacing w:val="2"/>
        </w:rPr>
        <w:t>proceso </w:t>
      </w:r>
      <w:r>
        <w:rPr>
          <w:color w:val="231F20"/>
          <w:spacing w:val="3"/>
        </w:rPr>
        <w:t>inacabado </w:t>
      </w:r>
      <w:r>
        <w:rPr>
          <w:color w:val="231F20"/>
        </w:rPr>
        <w:t>de </w:t>
      </w:r>
      <w:r>
        <w:rPr>
          <w:color w:val="231F20"/>
          <w:spacing w:val="3"/>
        </w:rPr>
        <w:t>conflictos </w:t>
      </w:r>
      <w:r>
        <w:rPr>
          <w:color w:val="231F20"/>
          <w:spacing w:val="2"/>
        </w:rPr>
        <w:t>resultado </w:t>
      </w:r>
      <w:r>
        <w:rPr>
          <w:color w:val="231F20"/>
        </w:rPr>
        <w:t>de la </w:t>
      </w:r>
      <w:r>
        <w:rPr>
          <w:color w:val="231F20"/>
          <w:spacing w:val="2"/>
        </w:rPr>
        <w:t>lucha </w:t>
      </w:r>
      <w:r>
        <w:rPr>
          <w:color w:val="231F20"/>
        </w:rPr>
        <w:t>de </w:t>
      </w:r>
      <w:r>
        <w:rPr>
          <w:color w:val="231F20"/>
          <w:spacing w:val="3"/>
        </w:rPr>
        <w:t>poder </w:t>
      </w:r>
      <w:r>
        <w:rPr>
          <w:color w:val="231F20"/>
          <w:spacing w:val="2"/>
        </w:rPr>
        <w:t>interna.Algunos autores </w:t>
      </w:r>
      <w:r>
        <w:rPr>
          <w:color w:val="231F20"/>
          <w:spacing w:val="3"/>
        </w:rPr>
        <w:t>(González-Rivera, </w:t>
      </w:r>
      <w:r>
        <w:rPr>
          <w:color w:val="231F20"/>
          <w:spacing w:val="2"/>
        </w:rPr>
        <w:t>2009:195) señalan </w:t>
      </w:r>
      <w:r>
        <w:rPr>
          <w:color w:val="231F20"/>
        </w:rPr>
        <w:t>el </w:t>
      </w:r>
      <w:r>
        <w:rPr>
          <w:color w:val="231F20"/>
          <w:spacing w:val="2"/>
        </w:rPr>
        <w:t>periodo que </w:t>
      </w:r>
      <w:r>
        <w:rPr>
          <w:color w:val="231F20"/>
        </w:rPr>
        <w:t>va de </w:t>
      </w:r>
      <w:r>
        <w:rPr>
          <w:color w:val="231F20"/>
          <w:spacing w:val="2"/>
        </w:rPr>
        <w:t>1975 </w:t>
      </w:r>
      <w:r>
        <w:rPr>
          <w:color w:val="231F20"/>
        </w:rPr>
        <w:t>a </w:t>
      </w:r>
      <w:r>
        <w:rPr>
          <w:color w:val="231F20"/>
          <w:spacing w:val="3"/>
        </w:rPr>
        <w:t>1977 como </w:t>
      </w:r>
      <w:r>
        <w:rPr>
          <w:color w:val="231F20"/>
        </w:rPr>
        <w:t>el </w:t>
      </w:r>
      <w:r>
        <w:rPr>
          <w:color w:val="231F20"/>
          <w:spacing w:val="2"/>
        </w:rPr>
        <w:t>pe- riodo </w:t>
      </w:r>
      <w:r>
        <w:rPr>
          <w:color w:val="231F20"/>
        </w:rPr>
        <w:t>de </w:t>
      </w:r>
      <w:r>
        <w:rPr>
          <w:color w:val="231F20"/>
          <w:spacing w:val="3"/>
        </w:rPr>
        <w:t>“emergencia </w:t>
      </w:r>
      <w:r>
        <w:rPr>
          <w:color w:val="231F20"/>
        </w:rPr>
        <w:t>y el </w:t>
      </w:r>
      <w:r>
        <w:rPr>
          <w:color w:val="231F20"/>
          <w:spacing w:val="2"/>
        </w:rPr>
        <w:t>desarrollo del conflicto </w:t>
      </w:r>
      <w:r>
        <w:rPr>
          <w:color w:val="231F20"/>
          <w:spacing w:val="3"/>
        </w:rPr>
        <w:t>universitario”</w:t>
      </w:r>
      <w:r>
        <w:rPr>
          <w:color w:val="231F20"/>
          <w:spacing w:val="58"/>
        </w:rPr>
        <w:t> </w:t>
      </w:r>
      <w:r>
        <w:rPr>
          <w:color w:val="231F20"/>
        </w:rPr>
        <w:t>en el </w:t>
      </w:r>
      <w:r>
        <w:rPr>
          <w:color w:val="231F20"/>
          <w:spacing w:val="2"/>
        </w:rPr>
        <w:t>cual surgen corrientes ideológicas que </w:t>
      </w:r>
      <w:r>
        <w:rPr>
          <w:color w:val="231F20"/>
        </w:rPr>
        <w:t>se </w:t>
      </w:r>
      <w:r>
        <w:rPr>
          <w:color w:val="231F20"/>
          <w:spacing w:val="2"/>
        </w:rPr>
        <w:t>disputan </w:t>
      </w:r>
      <w:r>
        <w:rPr>
          <w:color w:val="231F20"/>
        </w:rPr>
        <w:t>el </w:t>
      </w:r>
      <w:r>
        <w:rPr>
          <w:color w:val="231F20"/>
          <w:spacing w:val="3"/>
        </w:rPr>
        <w:t>control </w:t>
      </w:r>
      <w:r>
        <w:rPr>
          <w:color w:val="231F20"/>
        </w:rPr>
        <w:t>de la</w:t>
      </w:r>
      <w:r>
        <w:rPr>
          <w:color w:val="231F20"/>
          <w:spacing w:val="-1"/>
        </w:rPr>
        <w:t> </w:t>
      </w:r>
      <w:r>
        <w:rPr>
          <w:color w:val="231F20"/>
          <w:spacing w:val="3"/>
        </w:rPr>
        <w:t>UABJO.</w:t>
      </w:r>
    </w:p>
    <w:p>
      <w:pPr>
        <w:spacing w:after="0" w:line="247" w:lineRule="auto"/>
        <w:jc w:val="both"/>
        <w:sectPr>
          <w:headerReference w:type="default" r:id="rId828"/>
          <w:footerReference w:type="default" r:id="rId829"/>
          <w:pgSz w:w="7830" w:h="11910"/>
          <w:pgMar w:header="0" w:footer="424" w:top="500" w:bottom="620" w:left="920" w:right="900"/>
          <w:pgNumType w:start="37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9" w:firstLine="284"/>
        <w:jc w:val="both"/>
      </w:pPr>
      <w:r>
        <w:rPr>
          <w:color w:val="231F20"/>
        </w:rPr>
        <w:t>Para la universidad, es de interés tratar de conocer la opinión que tienen los universitarios en torno al grado de violencia que se tiene cotidianamente. La violencia en la UABJO se expresa como un fenómeno de naturaleza organizacional y política.</w:t>
      </w:r>
    </w:p>
    <w:p>
      <w:pPr>
        <w:pStyle w:val="BodyText"/>
        <w:spacing w:line="249" w:lineRule="auto" w:before="1"/>
        <w:ind w:left="102" w:right="114" w:firstLine="284"/>
        <w:jc w:val="both"/>
      </w:pPr>
      <w:r>
        <w:rPr>
          <w:color w:val="231F20"/>
        </w:rPr>
        <w:t>Sin </w:t>
      </w:r>
      <w:r>
        <w:rPr>
          <w:color w:val="231F20"/>
          <w:spacing w:val="3"/>
        </w:rPr>
        <w:t>embargo, como hemos </w:t>
      </w:r>
      <w:r>
        <w:rPr>
          <w:color w:val="231F20"/>
          <w:spacing w:val="2"/>
        </w:rPr>
        <w:t>dicho </w:t>
      </w:r>
      <w:r>
        <w:rPr>
          <w:color w:val="231F20"/>
        </w:rPr>
        <w:t>en </w:t>
      </w:r>
      <w:r>
        <w:rPr>
          <w:color w:val="231F20"/>
          <w:spacing w:val="2"/>
        </w:rPr>
        <w:t>líneas anteriores, </w:t>
      </w:r>
      <w:r>
        <w:rPr>
          <w:color w:val="231F20"/>
        </w:rPr>
        <w:t>el </w:t>
      </w:r>
      <w:r>
        <w:rPr>
          <w:color w:val="231F20"/>
          <w:spacing w:val="3"/>
        </w:rPr>
        <w:t>fenó- </w:t>
      </w:r>
      <w:r>
        <w:rPr>
          <w:color w:val="231F20"/>
          <w:spacing w:val="2"/>
        </w:rPr>
        <w:t>meno </w:t>
      </w:r>
      <w:r>
        <w:rPr>
          <w:color w:val="231F20"/>
        </w:rPr>
        <w:t>de la </w:t>
      </w:r>
      <w:r>
        <w:rPr>
          <w:color w:val="231F20"/>
          <w:spacing w:val="2"/>
        </w:rPr>
        <w:t>violencia </w:t>
      </w:r>
      <w:r>
        <w:rPr>
          <w:color w:val="231F20"/>
        </w:rPr>
        <w:t>en la </w:t>
      </w:r>
      <w:r>
        <w:rPr>
          <w:color w:val="231F20"/>
          <w:spacing w:val="2"/>
        </w:rPr>
        <w:t>entidad </w:t>
      </w:r>
      <w:r>
        <w:rPr>
          <w:color w:val="231F20"/>
        </w:rPr>
        <w:t>es de </w:t>
      </w:r>
      <w:r>
        <w:rPr>
          <w:color w:val="231F20"/>
          <w:spacing w:val="2"/>
        </w:rPr>
        <w:t>naturaleza social </w:t>
      </w:r>
      <w:r>
        <w:rPr>
          <w:color w:val="231F20"/>
        </w:rPr>
        <w:t>y se </w:t>
      </w:r>
      <w:r>
        <w:rPr>
          <w:color w:val="231F20"/>
          <w:spacing w:val="3"/>
        </w:rPr>
        <w:t>encuentra </w:t>
      </w:r>
      <w:r>
        <w:rPr>
          <w:color w:val="231F20"/>
          <w:spacing w:val="2"/>
        </w:rPr>
        <w:t>claramente ligada </w:t>
      </w:r>
      <w:r>
        <w:rPr>
          <w:color w:val="231F20"/>
        </w:rPr>
        <w:t>a las </w:t>
      </w:r>
      <w:r>
        <w:rPr>
          <w:color w:val="231F20"/>
          <w:spacing w:val="3"/>
        </w:rPr>
        <w:t>condiciones </w:t>
      </w:r>
      <w:r>
        <w:rPr>
          <w:color w:val="231F20"/>
        </w:rPr>
        <w:t>de </w:t>
      </w:r>
      <w:r>
        <w:rPr>
          <w:color w:val="231F20"/>
          <w:spacing w:val="3"/>
        </w:rPr>
        <w:t>pobreza, </w:t>
      </w:r>
      <w:r>
        <w:rPr>
          <w:color w:val="231F20"/>
          <w:spacing w:val="2"/>
        </w:rPr>
        <w:t>margi- nalidad </w:t>
      </w:r>
      <w:r>
        <w:rPr>
          <w:color w:val="231F20"/>
        </w:rPr>
        <w:t>y </w:t>
      </w:r>
      <w:r>
        <w:rPr>
          <w:color w:val="231F20"/>
          <w:spacing w:val="2"/>
        </w:rPr>
        <w:t>exclusión socialA título </w:t>
      </w:r>
      <w:r>
        <w:rPr>
          <w:color w:val="231F20"/>
        </w:rPr>
        <w:t>de </w:t>
      </w:r>
      <w:r>
        <w:rPr>
          <w:color w:val="231F20"/>
          <w:spacing w:val="2"/>
        </w:rPr>
        <w:t>ejemplo, dos obras </w:t>
      </w:r>
      <w:r>
        <w:rPr>
          <w:color w:val="231F20"/>
          <w:spacing w:val="3"/>
        </w:rPr>
        <w:t>represen- </w:t>
      </w:r>
      <w:r>
        <w:rPr>
          <w:color w:val="231F20"/>
          <w:spacing w:val="2"/>
        </w:rPr>
        <w:t>tativas </w:t>
      </w:r>
      <w:r>
        <w:rPr>
          <w:color w:val="231F20"/>
        </w:rPr>
        <w:t>de la </w:t>
      </w:r>
      <w:r>
        <w:rPr>
          <w:color w:val="231F20"/>
          <w:spacing w:val="2"/>
        </w:rPr>
        <w:t>violencia </w:t>
      </w:r>
      <w:r>
        <w:rPr>
          <w:color w:val="231F20"/>
        </w:rPr>
        <w:t>de </w:t>
      </w:r>
      <w:r>
        <w:rPr>
          <w:color w:val="231F20"/>
          <w:spacing w:val="2"/>
        </w:rPr>
        <w:t>carácter caciquil </w:t>
      </w:r>
      <w:r>
        <w:rPr>
          <w:color w:val="231F20"/>
        </w:rPr>
        <w:t>en la </w:t>
      </w:r>
      <w:r>
        <w:rPr>
          <w:color w:val="231F20"/>
          <w:spacing w:val="2"/>
        </w:rPr>
        <w:t>entidad son los</w:t>
      </w:r>
      <w:r>
        <w:rPr>
          <w:color w:val="231F20"/>
          <w:spacing w:val="56"/>
        </w:rPr>
        <w:t> </w:t>
      </w:r>
      <w:r>
        <w:rPr>
          <w:color w:val="231F20"/>
          <w:spacing w:val="2"/>
        </w:rPr>
        <w:t>libros</w:t>
      </w:r>
      <w:r>
        <w:rPr>
          <w:color w:val="231F20"/>
          <w:spacing w:val="-7"/>
        </w:rPr>
        <w:t> </w:t>
      </w:r>
      <w:r>
        <w:rPr>
          <w:i/>
          <w:color w:val="231F20"/>
          <w:spacing w:val="2"/>
        </w:rPr>
        <w:t>Huatulqueños</w:t>
      </w:r>
      <w:r>
        <w:rPr>
          <w:color w:val="231F20"/>
          <w:spacing w:val="2"/>
        </w:rPr>
        <w:t>,</w:t>
      </w:r>
      <w:r>
        <w:rPr>
          <w:color w:val="231F20"/>
          <w:spacing w:val="-8"/>
        </w:rPr>
        <w:t> </w:t>
      </w:r>
      <w:r>
        <w:rPr>
          <w:color w:val="231F20"/>
        </w:rPr>
        <w:t>de</w:t>
      </w:r>
      <w:r>
        <w:rPr>
          <w:color w:val="231F20"/>
          <w:spacing w:val="-7"/>
        </w:rPr>
        <w:t> </w:t>
      </w:r>
      <w:r>
        <w:rPr>
          <w:color w:val="231F20"/>
          <w:spacing w:val="3"/>
        </w:rPr>
        <w:t>Leonardo</w:t>
      </w:r>
      <w:r>
        <w:rPr>
          <w:color w:val="231F20"/>
          <w:spacing w:val="-7"/>
        </w:rPr>
        <w:t> </w:t>
      </w:r>
      <w:r>
        <w:rPr>
          <w:color w:val="231F20"/>
          <w:spacing w:val="2"/>
        </w:rPr>
        <w:t>Da</w:t>
      </w:r>
      <w:r>
        <w:rPr>
          <w:color w:val="231F20"/>
          <w:spacing w:val="-7"/>
        </w:rPr>
        <w:t> </w:t>
      </w:r>
      <w:r>
        <w:rPr>
          <w:color w:val="231F20"/>
          <w:spacing w:val="2"/>
        </w:rPr>
        <w:t>Jandra,</w:t>
      </w:r>
      <w:r>
        <w:rPr>
          <w:color w:val="231F20"/>
          <w:spacing w:val="-8"/>
        </w:rPr>
        <w:t> </w:t>
      </w:r>
      <w:r>
        <w:rPr>
          <w:color w:val="231F20"/>
          <w:spacing w:val="2"/>
        </w:rPr>
        <w:t>y</w:t>
      </w:r>
      <w:r>
        <w:rPr>
          <w:i/>
          <w:color w:val="231F20"/>
          <w:spacing w:val="2"/>
        </w:rPr>
        <w:t>Viviré</w:t>
      </w:r>
      <w:r>
        <w:rPr>
          <w:i/>
          <w:color w:val="231F20"/>
          <w:spacing w:val="-8"/>
        </w:rPr>
        <w:t> </w:t>
      </w:r>
      <w:r>
        <w:rPr>
          <w:i/>
          <w:color w:val="231F20"/>
        </w:rPr>
        <w:t>si</w:t>
      </w:r>
      <w:r>
        <w:rPr>
          <w:i/>
          <w:color w:val="231F20"/>
          <w:spacing w:val="-8"/>
        </w:rPr>
        <w:t> </w:t>
      </w:r>
      <w:r>
        <w:rPr>
          <w:i/>
          <w:color w:val="231F20"/>
          <w:spacing w:val="2"/>
        </w:rPr>
        <w:t>Dios</w:t>
      </w:r>
      <w:r>
        <w:rPr>
          <w:i/>
          <w:color w:val="231F20"/>
          <w:spacing w:val="-8"/>
        </w:rPr>
        <w:t> </w:t>
      </w:r>
      <w:r>
        <w:rPr>
          <w:i/>
          <w:color w:val="231F20"/>
          <w:spacing w:val="2"/>
        </w:rPr>
        <w:t>quiere </w:t>
      </w:r>
      <w:r>
        <w:rPr>
          <w:color w:val="231F20"/>
          <w:spacing w:val="3"/>
        </w:rPr>
        <w:t>quemuestra </w:t>
      </w:r>
      <w:r>
        <w:rPr>
          <w:color w:val="231F20"/>
        </w:rPr>
        <w:t>las </w:t>
      </w:r>
      <w:r>
        <w:rPr>
          <w:color w:val="231F20"/>
          <w:spacing w:val="2"/>
        </w:rPr>
        <w:t>manifestaciones </w:t>
      </w:r>
      <w:r>
        <w:rPr>
          <w:color w:val="231F20"/>
        </w:rPr>
        <w:t>de la </w:t>
      </w:r>
      <w:r>
        <w:rPr>
          <w:color w:val="231F20"/>
          <w:spacing w:val="2"/>
        </w:rPr>
        <w:t>violencia física </w:t>
      </w:r>
      <w:r>
        <w:rPr>
          <w:color w:val="231F20"/>
        </w:rPr>
        <w:t>en la </w:t>
      </w:r>
      <w:r>
        <w:rPr>
          <w:color w:val="231F20"/>
          <w:spacing w:val="3"/>
        </w:rPr>
        <w:t>mixteca. </w:t>
      </w:r>
      <w:r>
        <w:rPr>
          <w:color w:val="231F20"/>
        </w:rPr>
        <w:t>El </w:t>
      </w:r>
      <w:r>
        <w:rPr>
          <w:color w:val="231F20"/>
          <w:spacing w:val="3"/>
        </w:rPr>
        <w:t>fenómeno </w:t>
      </w:r>
      <w:r>
        <w:rPr>
          <w:color w:val="231F20"/>
          <w:spacing w:val="2"/>
        </w:rPr>
        <w:t>del caciquismo </w:t>
      </w:r>
      <w:r>
        <w:rPr>
          <w:color w:val="231F20"/>
        </w:rPr>
        <w:t>y su </w:t>
      </w:r>
      <w:r>
        <w:rPr>
          <w:color w:val="231F20"/>
          <w:spacing w:val="2"/>
        </w:rPr>
        <w:t>violencia está </w:t>
      </w:r>
      <w:r>
        <w:rPr>
          <w:color w:val="231F20"/>
          <w:spacing w:val="3"/>
        </w:rPr>
        <w:t>documentado en </w:t>
      </w:r>
      <w:r>
        <w:rPr>
          <w:color w:val="231F20"/>
          <w:spacing w:val="2"/>
        </w:rPr>
        <w:t>diferentes regiones del estado, por ejemplo </w:t>
      </w:r>
      <w:r>
        <w:rPr>
          <w:color w:val="231F20"/>
        </w:rPr>
        <w:t>en la </w:t>
      </w:r>
      <w:r>
        <w:rPr>
          <w:color w:val="231F20"/>
          <w:spacing w:val="2"/>
        </w:rPr>
        <w:t>sierra norte </w:t>
      </w:r>
      <w:r>
        <w:rPr>
          <w:color w:val="231F20"/>
          <w:spacing w:val="3"/>
        </w:rPr>
        <w:t>(La- </w:t>
      </w:r>
      <w:r>
        <w:rPr>
          <w:color w:val="231F20"/>
          <w:spacing w:val="2"/>
          <w:w w:val="95"/>
        </w:rPr>
        <w:t>viada,</w:t>
      </w:r>
      <w:r>
        <w:rPr>
          <w:color w:val="231F20"/>
          <w:spacing w:val="14"/>
          <w:w w:val="95"/>
        </w:rPr>
        <w:t> </w:t>
      </w:r>
      <w:r>
        <w:rPr>
          <w:color w:val="231F20"/>
          <w:spacing w:val="2"/>
          <w:w w:val="95"/>
        </w:rPr>
        <w:t>1990).</w:t>
      </w:r>
    </w:p>
    <w:p>
      <w:pPr>
        <w:pStyle w:val="BodyText"/>
        <w:spacing w:before="7"/>
      </w:pPr>
    </w:p>
    <w:p>
      <w:pPr>
        <w:pStyle w:val="BodyText"/>
        <w:ind w:left="102"/>
        <w:jc w:val="both"/>
      </w:pPr>
      <w:r>
        <w:rPr>
          <w:color w:val="231F20"/>
          <w:w w:val="105"/>
        </w:rPr>
        <w:t>FORMAS DE VIOLENCIA</w:t>
      </w:r>
    </w:p>
    <w:p>
      <w:pPr>
        <w:pStyle w:val="BodyText"/>
        <w:spacing w:before="6"/>
      </w:pPr>
    </w:p>
    <w:p>
      <w:pPr>
        <w:pStyle w:val="BodyText"/>
        <w:spacing w:line="244" w:lineRule="auto"/>
        <w:ind w:left="102" w:right="115"/>
        <w:jc w:val="both"/>
      </w:pPr>
      <w:r>
        <w:rPr>
          <w:color w:val="231F20"/>
        </w:rPr>
        <w:t>Como hemos dicho, la violencia no es un fenómeno reciente, pero son importantes sus formas actuales. De acuerdo a lo que arroja la encuesta, la violencia se ha vuelto un fenómeno cotidiano; las pre- guntas aplicadas en diferentes facultades muestran que la violencia tiene diferentes formas: está ligada al caciquismo, a las venganzas, a las luchas sociales y, el que nos interesa en este estudio: a las luchas por el poder político.</w:t>
      </w:r>
    </w:p>
    <w:p>
      <w:pPr>
        <w:pStyle w:val="BodyText"/>
        <w:spacing w:line="249" w:lineRule="auto" w:before="13"/>
        <w:ind w:left="102" w:right="115" w:firstLine="284"/>
        <w:jc w:val="both"/>
      </w:pPr>
      <w:r>
        <w:rPr>
          <w:color w:val="231F20"/>
        </w:rPr>
        <w:t>La historia de la UABJO muestra los vínculos que tiene esta violencia con los engranes relevantes de su historia política anti- gua y reciente. En términos de juicios de valor, ello implicaría reconocer que existen condiciones políticas que se han normaliza- do y vuelto rutinarias (como las muertes de personajes, los golpes en comicios de las escuelas, intimidación a profesores y alumnos, disparos por armas de fuego, la entrada de jóvenes con lujo de violencia en las instalaciones de la universidad, entre otras).</w:t>
      </w:r>
    </w:p>
    <w:p>
      <w:pPr>
        <w:pStyle w:val="BodyText"/>
        <w:spacing w:line="249" w:lineRule="auto"/>
        <w:ind w:left="102" w:right="115" w:firstLine="284"/>
        <w:jc w:val="both"/>
      </w:pPr>
      <w:r>
        <w:rPr>
          <w:color w:val="231F20"/>
        </w:rPr>
        <w:t>Los resultados de la encuesta realizada en la universidad, arro- jan que los estudiantes viven estas formas de violencia. Los datos muestran que esta se vive a diferentes escalas. Así, se vive violen- cia familiar, social, sexual, discriminatoria, física, verbal, intimida- ciones, agresión directa (véanse los Cuadros 4-7 en  el  anexo), tanto al interior de la universidad como fuera de esta.</w:t>
      </w:r>
    </w:p>
    <w:p>
      <w:pPr>
        <w:spacing w:after="0" w:line="249" w:lineRule="auto"/>
        <w:jc w:val="both"/>
        <w:sectPr>
          <w:headerReference w:type="default" r:id="rId830"/>
          <w:footerReference w:type="default" r:id="rId831"/>
          <w:pgSz w:w="7830" w:h="11910"/>
          <w:pgMar w:header="0" w:footer="424" w:top="500" w:bottom="620" w:left="920" w:right="900"/>
          <w:pgNumType w:start="37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8" w:firstLine="284"/>
        <w:jc w:val="both"/>
      </w:pPr>
      <w:r>
        <w:rPr>
          <w:color w:val="231F20"/>
        </w:rPr>
        <w:t>Cabría señalar, sin embargo, que hay estudios que arguyen que la violencia es común en las escuelas mexicanas. Esto significa que no es privativo de la UABJO. Según Lajonquière y otros (2005:</w:t>
      </w:r>
    </w:p>
    <w:p>
      <w:pPr>
        <w:pStyle w:val="BodyText"/>
        <w:spacing w:line="249" w:lineRule="auto" w:before="1"/>
        <w:ind w:left="101" w:right="114"/>
        <w:jc w:val="both"/>
      </w:pPr>
      <w:r>
        <w:rPr>
          <w:color w:val="231F20"/>
        </w:rPr>
        <w:t>67) “para el caso de México, lo que es común en las escuelas son los actos de indisciplina, la intimidación entre compañeros, los actos de agresión y el incremento en el consumo de drogas”.</w:t>
      </w:r>
    </w:p>
    <w:p>
      <w:pPr>
        <w:pStyle w:val="BodyText"/>
        <w:spacing w:line="240" w:lineRule="exact"/>
        <w:ind w:left="385" w:right="121"/>
      </w:pPr>
      <w:r>
        <w:rPr>
          <w:color w:val="231F20"/>
        </w:rPr>
        <w:t>A continuación presentamos los datos de la encuesta.</w:t>
      </w:r>
    </w:p>
    <w:p>
      <w:pPr>
        <w:spacing w:before="8"/>
        <w:ind w:left="101" w:right="0" w:firstLine="0"/>
        <w:jc w:val="both"/>
        <w:rPr>
          <w:i/>
          <w:sz w:val="21"/>
        </w:rPr>
      </w:pPr>
      <w:r>
        <w:rPr>
          <w:i/>
          <w:color w:val="231F20"/>
          <w:spacing w:val="3"/>
          <w:w w:val="135"/>
          <w:sz w:val="21"/>
        </w:rPr>
        <w:t>V</w:t>
      </w:r>
      <w:r>
        <w:rPr>
          <w:i/>
          <w:color w:val="231F20"/>
          <w:w w:val="77"/>
          <w:sz w:val="21"/>
        </w:rPr>
        <w:t>i</w:t>
      </w:r>
      <w:r>
        <w:rPr>
          <w:i/>
          <w:color w:val="231F20"/>
          <w:spacing w:val="1"/>
          <w:w w:val="77"/>
          <w:sz w:val="21"/>
        </w:rPr>
        <w:t>o</w:t>
      </w:r>
      <w:r>
        <w:rPr>
          <w:i/>
          <w:color w:val="231F20"/>
          <w:w w:val="72"/>
          <w:sz w:val="21"/>
        </w:rPr>
        <w:t>l</w:t>
      </w:r>
      <w:r>
        <w:rPr>
          <w:i/>
          <w:color w:val="231F20"/>
          <w:spacing w:val="1"/>
          <w:w w:val="72"/>
          <w:sz w:val="21"/>
        </w:rPr>
        <w:t>e</w:t>
      </w:r>
      <w:r>
        <w:rPr>
          <w:i/>
          <w:color w:val="231F20"/>
          <w:spacing w:val="1"/>
          <w:w w:val="87"/>
          <w:sz w:val="21"/>
        </w:rPr>
        <w:t>n</w:t>
      </w:r>
      <w:r>
        <w:rPr>
          <w:i/>
          <w:color w:val="231F20"/>
          <w:spacing w:val="1"/>
          <w:w w:val="62"/>
          <w:sz w:val="21"/>
        </w:rPr>
        <w:t>c</w:t>
      </w:r>
      <w:r>
        <w:rPr>
          <w:i/>
          <w:color w:val="231F20"/>
          <w:w w:val="84"/>
          <w:sz w:val="21"/>
        </w:rPr>
        <w:t>ia</w:t>
      </w:r>
      <w:r>
        <w:rPr>
          <w:i/>
          <w:color w:val="231F20"/>
          <w:spacing w:val="4"/>
          <w:sz w:val="21"/>
        </w:rPr>
        <w:t> </w:t>
      </w:r>
      <w:r>
        <w:rPr>
          <w:i/>
          <w:color w:val="231F20"/>
          <w:spacing w:val="1"/>
          <w:w w:val="62"/>
          <w:sz w:val="21"/>
        </w:rPr>
        <w:t>c</w:t>
      </w:r>
      <w:r>
        <w:rPr>
          <w:i/>
          <w:color w:val="231F20"/>
          <w:spacing w:val="1"/>
          <w:w w:val="72"/>
          <w:sz w:val="21"/>
        </w:rPr>
        <w:t>o</w:t>
      </w:r>
      <w:r>
        <w:rPr>
          <w:i/>
          <w:color w:val="231F20"/>
          <w:w w:val="72"/>
          <w:sz w:val="21"/>
        </w:rPr>
        <w:t>l</w:t>
      </w:r>
      <w:r>
        <w:rPr>
          <w:i/>
          <w:color w:val="231F20"/>
          <w:spacing w:val="1"/>
          <w:w w:val="72"/>
          <w:sz w:val="21"/>
        </w:rPr>
        <w:t>e</w:t>
      </w:r>
      <w:r>
        <w:rPr>
          <w:i/>
          <w:color w:val="231F20"/>
          <w:spacing w:val="1"/>
          <w:w w:val="62"/>
          <w:sz w:val="21"/>
        </w:rPr>
        <w:t>c</w:t>
      </w:r>
      <w:r>
        <w:rPr>
          <w:i/>
          <w:color w:val="231F20"/>
          <w:w w:val="84"/>
          <w:sz w:val="21"/>
        </w:rPr>
        <w:t>ti</w:t>
      </w:r>
      <w:r>
        <w:rPr>
          <w:i/>
          <w:color w:val="231F20"/>
          <w:spacing w:val="1"/>
          <w:w w:val="84"/>
          <w:sz w:val="21"/>
        </w:rPr>
        <w:t>v</w:t>
      </w:r>
      <w:r>
        <w:rPr>
          <w:i/>
          <w:color w:val="231F20"/>
          <w:w w:val="83"/>
          <w:sz w:val="21"/>
        </w:rPr>
        <w:t>a</w:t>
      </w:r>
    </w:p>
    <w:p>
      <w:pPr>
        <w:pStyle w:val="BodyText"/>
        <w:spacing w:before="1"/>
        <w:rPr>
          <w:i/>
        </w:rPr>
      </w:pPr>
    </w:p>
    <w:p>
      <w:pPr>
        <w:pStyle w:val="BodyText"/>
        <w:spacing w:line="244" w:lineRule="auto" w:before="1"/>
        <w:ind w:left="101" w:right="118"/>
        <w:jc w:val="both"/>
      </w:pPr>
      <w:r>
        <w:rPr>
          <w:color w:val="231F20"/>
        </w:rPr>
        <w:t>La encuesta arroja que la violencia que prevalece al interior de la universidad es violencia colectiva y política. La violencia colectiva se define como:</w:t>
      </w:r>
    </w:p>
    <w:p>
      <w:pPr>
        <w:pStyle w:val="BodyText"/>
        <w:spacing w:before="9"/>
        <w:rPr>
          <w:sz w:val="24"/>
        </w:rPr>
      </w:pPr>
    </w:p>
    <w:p>
      <w:pPr>
        <w:spacing w:line="273" w:lineRule="auto" w:before="0"/>
        <w:ind w:left="810" w:right="165" w:firstLine="0"/>
        <w:jc w:val="both"/>
        <w:rPr>
          <w:sz w:val="19"/>
        </w:rPr>
      </w:pPr>
      <w:r>
        <w:rPr>
          <w:color w:val="231F20"/>
          <w:sz w:val="19"/>
        </w:rPr>
        <w:t>El uso de la violencia como instrumento por parte de personas  que se identifican a sí mismas como miembros de un grupo –ya sea transitorio o con una identidad más permanente– contra otro grupo o conjunto de individuos, para lograr objetivos políticos, económicos y sociales. (Krug, 2003:</w:t>
      </w:r>
      <w:r>
        <w:rPr>
          <w:color w:val="231F20"/>
          <w:spacing w:val="-31"/>
          <w:sz w:val="19"/>
        </w:rPr>
        <w:t> </w:t>
      </w:r>
      <w:r>
        <w:rPr>
          <w:color w:val="231F20"/>
          <w:sz w:val="19"/>
        </w:rPr>
        <w:t>235)</w:t>
      </w:r>
    </w:p>
    <w:p>
      <w:pPr>
        <w:pStyle w:val="BodyText"/>
        <w:spacing w:before="2"/>
        <w:rPr>
          <w:sz w:val="20"/>
        </w:rPr>
      </w:pPr>
    </w:p>
    <w:p>
      <w:pPr>
        <w:pStyle w:val="BodyText"/>
        <w:spacing w:line="249" w:lineRule="auto" w:before="1"/>
        <w:ind w:left="102" w:right="116" w:firstLine="284"/>
        <w:jc w:val="both"/>
      </w:pPr>
      <w:r>
        <w:rPr>
          <w:color w:val="231F20"/>
        </w:rPr>
        <w:t>La </w:t>
      </w:r>
      <w:r>
        <w:rPr>
          <w:color w:val="231F20"/>
          <w:spacing w:val="2"/>
        </w:rPr>
        <w:t>violencia infringida </w:t>
      </w:r>
      <w:r>
        <w:rPr>
          <w:color w:val="231F20"/>
        </w:rPr>
        <w:t>por </w:t>
      </w:r>
      <w:r>
        <w:rPr>
          <w:color w:val="231F20"/>
          <w:spacing w:val="2"/>
        </w:rPr>
        <w:t>grupos </w:t>
      </w:r>
      <w:r>
        <w:rPr>
          <w:color w:val="231F20"/>
        </w:rPr>
        <w:t>es </w:t>
      </w:r>
      <w:r>
        <w:rPr>
          <w:color w:val="231F20"/>
          <w:spacing w:val="2"/>
        </w:rPr>
        <w:t>política porque resulta también </w:t>
      </w:r>
      <w:r>
        <w:rPr>
          <w:color w:val="231F20"/>
        </w:rPr>
        <w:t>de la </w:t>
      </w:r>
      <w:r>
        <w:rPr>
          <w:color w:val="231F20"/>
          <w:spacing w:val="2"/>
        </w:rPr>
        <w:t>persistencia </w:t>
      </w:r>
      <w:r>
        <w:rPr>
          <w:color w:val="231F20"/>
        </w:rPr>
        <w:t>de </w:t>
      </w:r>
      <w:r>
        <w:rPr>
          <w:color w:val="231F20"/>
          <w:spacing w:val="2"/>
        </w:rPr>
        <w:t>intereses sectoriales, </w:t>
      </w:r>
      <w:r>
        <w:rPr>
          <w:color w:val="231F20"/>
          <w:spacing w:val="3"/>
        </w:rPr>
        <w:t>corporativiza- </w:t>
      </w:r>
      <w:r>
        <w:rPr>
          <w:color w:val="231F20"/>
          <w:spacing w:val="2"/>
        </w:rPr>
        <w:t>dos </w:t>
      </w:r>
      <w:r>
        <w:rPr>
          <w:color w:val="231F20"/>
        </w:rPr>
        <w:t>a </w:t>
      </w:r>
      <w:r>
        <w:rPr>
          <w:color w:val="231F20"/>
          <w:spacing w:val="3"/>
        </w:rPr>
        <w:t>grupos </w:t>
      </w:r>
      <w:r>
        <w:rPr>
          <w:color w:val="231F20"/>
        </w:rPr>
        <w:t>de </w:t>
      </w:r>
      <w:r>
        <w:rPr>
          <w:color w:val="231F20"/>
          <w:spacing w:val="2"/>
        </w:rPr>
        <w:t>interés </w:t>
      </w:r>
      <w:r>
        <w:rPr>
          <w:color w:val="231F20"/>
        </w:rPr>
        <w:t>al </w:t>
      </w:r>
      <w:r>
        <w:rPr>
          <w:color w:val="231F20"/>
          <w:spacing w:val="2"/>
        </w:rPr>
        <w:t>interior </w:t>
      </w:r>
      <w:r>
        <w:rPr>
          <w:color w:val="231F20"/>
        </w:rPr>
        <w:t>de la </w:t>
      </w:r>
      <w:r>
        <w:rPr>
          <w:color w:val="231F20"/>
          <w:spacing w:val="3"/>
        </w:rPr>
        <w:t>UABJO. </w:t>
      </w:r>
      <w:r>
        <w:rPr>
          <w:color w:val="231F20"/>
          <w:spacing w:val="2"/>
        </w:rPr>
        <w:t>Por </w:t>
      </w:r>
      <w:r>
        <w:rPr>
          <w:color w:val="231F20"/>
        </w:rPr>
        <w:t>lo </w:t>
      </w:r>
      <w:r>
        <w:rPr>
          <w:color w:val="231F20"/>
          <w:spacing w:val="2"/>
        </w:rPr>
        <w:t>que </w:t>
      </w:r>
      <w:r>
        <w:rPr>
          <w:color w:val="231F20"/>
          <w:spacing w:val="4"/>
        </w:rPr>
        <w:t>de </w:t>
      </w:r>
      <w:r>
        <w:rPr>
          <w:color w:val="231F20"/>
          <w:spacing w:val="2"/>
        </w:rPr>
        <w:t>acuerdo </w:t>
      </w:r>
      <w:r>
        <w:rPr>
          <w:color w:val="231F20"/>
        </w:rPr>
        <w:t>a </w:t>
      </w:r>
      <w:r>
        <w:rPr>
          <w:color w:val="231F20"/>
          <w:spacing w:val="2"/>
        </w:rPr>
        <w:t>los resultados </w:t>
      </w:r>
      <w:r>
        <w:rPr>
          <w:color w:val="231F20"/>
        </w:rPr>
        <w:t>de la </w:t>
      </w:r>
      <w:r>
        <w:rPr>
          <w:color w:val="231F20"/>
          <w:spacing w:val="2"/>
        </w:rPr>
        <w:t>encuesta realizada, </w:t>
      </w:r>
      <w:r>
        <w:rPr>
          <w:color w:val="231F20"/>
        </w:rPr>
        <w:t>se </w:t>
      </w:r>
      <w:r>
        <w:rPr>
          <w:color w:val="231F20"/>
          <w:spacing w:val="2"/>
        </w:rPr>
        <w:t>puede decir  </w:t>
      </w:r>
      <w:r>
        <w:rPr>
          <w:color w:val="231F20"/>
        </w:rPr>
        <w:t>que </w:t>
      </w:r>
      <w:r>
        <w:rPr>
          <w:color w:val="231F20"/>
          <w:spacing w:val="3"/>
        </w:rPr>
        <w:t>observamos </w:t>
      </w:r>
      <w:r>
        <w:rPr>
          <w:color w:val="231F20"/>
          <w:spacing w:val="2"/>
        </w:rPr>
        <w:t>violencia colectiva.De acuerdo </w:t>
      </w:r>
      <w:r>
        <w:rPr>
          <w:color w:val="231F20"/>
        </w:rPr>
        <w:t>con el </w:t>
      </w:r>
      <w:r>
        <w:rPr>
          <w:i/>
          <w:color w:val="231F20"/>
          <w:spacing w:val="2"/>
        </w:rPr>
        <w:t>Informe </w:t>
      </w:r>
      <w:r>
        <w:rPr>
          <w:i/>
          <w:color w:val="231F20"/>
          <w:spacing w:val="2"/>
          <w:w w:val="90"/>
        </w:rPr>
        <w:t>mundial</w:t>
      </w:r>
      <w:r>
        <w:rPr>
          <w:i/>
          <w:color w:val="231F20"/>
          <w:spacing w:val="-6"/>
          <w:w w:val="90"/>
        </w:rPr>
        <w:t> </w:t>
      </w:r>
      <w:r>
        <w:rPr>
          <w:i/>
          <w:color w:val="231F20"/>
          <w:spacing w:val="2"/>
          <w:w w:val="90"/>
        </w:rPr>
        <w:t>sobre</w:t>
      </w:r>
      <w:r>
        <w:rPr>
          <w:i/>
          <w:color w:val="231F20"/>
          <w:spacing w:val="-6"/>
          <w:w w:val="90"/>
        </w:rPr>
        <w:t> </w:t>
      </w:r>
      <w:r>
        <w:rPr>
          <w:i/>
          <w:color w:val="231F20"/>
          <w:w w:val="90"/>
        </w:rPr>
        <w:t>la</w:t>
      </w:r>
      <w:r>
        <w:rPr>
          <w:i/>
          <w:color w:val="231F20"/>
          <w:spacing w:val="-5"/>
          <w:w w:val="90"/>
        </w:rPr>
        <w:t> </w:t>
      </w:r>
      <w:r>
        <w:rPr>
          <w:i/>
          <w:color w:val="231F20"/>
          <w:spacing w:val="2"/>
          <w:w w:val="90"/>
        </w:rPr>
        <w:t>violencia</w:t>
      </w:r>
      <w:r>
        <w:rPr>
          <w:i/>
          <w:color w:val="231F20"/>
          <w:spacing w:val="-6"/>
          <w:w w:val="90"/>
        </w:rPr>
        <w:t> </w:t>
      </w:r>
      <w:r>
        <w:rPr>
          <w:i/>
          <w:color w:val="231F20"/>
          <w:w w:val="90"/>
        </w:rPr>
        <w:t>y</w:t>
      </w:r>
      <w:r>
        <w:rPr>
          <w:i/>
          <w:color w:val="231F20"/>
          <w:spacing w:val="-6"/>
          <w:w w:val="90"/>
        </w:rPr>
        <w:t> </w:t>
      </w:r>
      <w:r>
        <w:rPr>
          <w:i/>
          <w:color w:val="231F20"/>
          <w:w w:val="90"/>
        </w:rPr>
        <w:t>la</w:t>
      </w:r>
      <w:r>
        <w:rPr>
          <w:i/>
          <w:color w:val="231F20"/>
          <w:spacing w:val="-5"/>
          <w:w w:val="90"/>
        </w:rPr>
        <w:t> </w:t>
      </w:r>
      <w:r>
        <w:rPr>
          <w:i/>
          <w:color w:val="231F20"/>
          <w:spacing w:val="2"/>
          <w:w w:val="90"/>
        </w:rPr>
        <w:t>salud</w:t>
      </w:r>
      <w:r>
        <w:rPr>
          <w:i/>
          <w:color w:val="231F20"/>
          <w:spacing w:val="-5"/>
          <w:w w:val="90"/>
        </w:rPr>
        <w:t> </w:t>
      </w:r>
      <w:r>
        <w:rPr>
          <w:color w:val="231F20"/>
          <w:spacing w:val="2"/>
          <w:w w:val="90"/>
        </w:rPr>
        <w:t>(Krug,</w:t>
      </w:r>
      <w:r>
        <w:rPr>
          <w:color w:val="231F20"/>
          <w:spacing w:val="-6"/>
          <w:w w:val="90"/>
        </w:rPr>
        <w:t> </w:t>
      </w:r>
      <w:r>
        <w:rPr>
          <w:color w:val="231F20"/>
          <w:spacing w:val="2"/>
          <w:w w:val="90"/>
        </w:rPr>
        <w:t>2003:</w:t>
      </w:r>
      <w:r>
        <w:rPr>
          <w:color w:val="231F20"/>
          <w:spacing w:val="-6"/>
          <w:w w:val="90"/>
        </w:rPr>
        <w:t> </w:t>
      </w:r>
      <w:r>
        <w:rPr>
          <w:color w:val="231F20"/>
          <w:w w:val="90"/>
        </w:rPr>
        <w:t>5):</w:t>
      </w:r>
    </w:p>
    <w:p>
      <w:pPr>
        <w:pStyle w:val="BodyText"/>
        <w:spacing w:before="2"/>
        <w:rPr>
          <w:sz w:val="23"/>
        </w:rPr>
      </w:pPr>
    </w:p>
    <w:p>
      <w:pPr>
        <w:spacing w:line="273" w:lineRule="auto" w:before="0"/>
        <w:ind w:left="811" w:right="115" w:firstLine="284"/>
        <w:jc w:val="both"/>
        <w:rPr>
          <w:sz w:val="19"/>
        </w:rPr>
      </w:pPr>
      <w:r>
        <w:rPr>
          <w:color w:val="231F20"/>
          <w:sz w:val="19"/>
        </w:rPr>
        <w:t>La </w:t>
      </w:r>
      <w:r>
        <w:rPr>
          <w:color w:val="231F20"/>
          <w:spacing w:val="2"/>
          <w:sz w:val="19"/>
        </w:rPr>
        <w:t>violencia colectiva infringida para promover intereses sociales sectoriales incluye, </w:t>
      </w:r>
      <w:r>
        <w:rPr>
          <w:color w:val="231F20"/>
          <w:sz w:val="19"/>
        </w:rPr>
        <w:t>por </w:t>
      </w:r>
      <w:r>
        <w:rPr>
          <w:color w:val="231F20"/>
          <w:spacing w:val="2"/>
          <w:sz w:val="19"/>
        </w:rPr>
        <w:t>ejemplo, </w:t>
      </w:r>
      <w:r>
        <w:rPr>
          <w:color w:val="231F20"/>
          <w:sz w:val="19"/>
        </w:rPr>
        <w:t>los </w:t>
      </w:r>
      <w:r>
        <w:rPr>
          <w:color w:val="231F20"/>
          <w:spacing w:val="2"/>
          <w:sz w:val="19"/>
        </w:rPr>
        <w:t>actos delictivos </w:t>
      </w:r>
      <w:r>
        <w:rPr>
          <w:color w:val="231F20"/>
          <w:sz w:val="19"/>
        </w:rPr>
        <w:t>de odio </w:t>
      </w:r>
      <w:r>
        <w:rPr>
          <w:color w:val="231F20"/>
          <w:spacing w:val="2"/>
          <w:sz w:val="19"/>
        </w:rPr>
        <w:t>cometidos </w:t>
      </w:r>
      <w:r>
        <w:rPr>
          <w:color w:val="231F20"/>
          <w:sz w:val="19"/>
        </w:rPr>
        <w:t>por </w:t>
      </w:r>
      <w:r>
        <w:rPr>
          <w:color w:val="231F20"/>
          <w:spacing w:val="2"/>
          <w:sz w:val="19"/>
        </w:rPr>
        <w:t>grupos organizados, </w:t>
      </w:r>
      <w:r>
        <w:rPr>
          <w:color w:val="231F20"/>
          <w:sz w:val="19"/>
        </w:rPr>
        <w:t>las </w:t>
      </w:r>
      <w:r>
        <w:rPr>
          <w:color w:val="231F20"/>
          <w:spacing w:val="2"/>
          <w:sz w:val="19"/>
        </w:rPr>
        <w:t>acciones terroristas   </w:t>
      </w:r>
      <w:r>
        <w:rPr>
          <w:color w:val="231F20"/>
          <w:sz w:val="19"/>
        </w:rPr>
        <w:t>y la </w:t>
      </w:r>
      <w:r>
        <w:rPr>
          <w:color w:val="231F20"/>
          <w:spacing w:val="2"/>
          <w:sz w:val="19"/>
        </w:rPr>
        <w:t>violencia </w:t>
      </w:r>
      <w:r>
        <w:rPr>
          <w:color w:val="231F20"/>
          <w:sz w:val="19"/>
        </w:rPr>
        <w:t>de </w:t>
      </w:r>
      <w:r>
        <w:rPr>
          <w:color w:val="231F20"/>
          <w:spacing w:val="2"/>
          <w:sz w:val="19"/>
        </w:rPr>
        <w:t>masas. </w:t>
      </w:r>
      <w:r>
        <w:rPr>
          <w:color w:val="231F20"/>
          <w:sz w:val="19"/>
        </w:rPr>
        <w:t>La </w:t>
      </w:r>
      <w:r>
        <w:rPr>
          <w:color w:val="231F20"/>
          <w:spacing w:val="2"/>
          <w:sz w:val="19"/>
        </w:rPr>
        <w:t>violencia política incluye </w:t>
      </w:r>
      <w:r>
        <w:rPr>
          <w:color w:val="231F20"/>
          <w:sz w:val="19"/>
        </w:rPr>
        <w:t>la </w:t>
      </w:r>
      <w:r>
        <w:rPr>
          <w:color w:val="231F20"/>
          <w:spacing w:val="2"/>
          <w:sz w:val="19"/>
        </w:rPr>
        <w:t>guerra </w:t>
      </w:r>
      <w:r>
        <w:rPr>
          <w:color w:val="231F20"/>
          <w:sz w:val="19"/>
        </w:rPr>
        <w:t>y </w:t>
      </w:r>
      <w:r>
        <w:rPr>
          <w:color w:val="231F20"/>
          <w:spacing w:val="2"/>
          <w:sz w:val="19"/>
        </w:rPr>
        <w:t>otros conflictos violentos afines, </w:t>
      </w:r>
      <w:r>
        <w:rPr>
          <w:color w:val="231F20"/>
          <w:sz w:val="19"/>
        </w:rPr>
        <w:t>la </w:t>
      </w:r>
      <w:r>
        <w:rPr>
          <w:color w:val="231F20"/>
          <w:spacing w:val="2"/>
          <w:sz w:val="19"/>
        </w:rPr>
        <w:t>violencia </w:t>
      </w:r>
      <w:r>
        <w:rPr>
          <w:color w:val="231F20"/>
          <w:sz w:val="19"/>
        </w:rPr>
        <w:t>del </w:t>
      </w:r>
      <w:r>
        <w:rPr>
          <w:color w:val="231F20"/>
          <w:spacing w:val="2"/>
          <w:sz w:val="19"/>
        </w:rPr>
        <w:t>Estado </w:t>
      </w:r>
      <w:r>
        <w:rPr>
          <w:color w:val="231F20"/>
          <w:sz w:val="19"/>
        </w:rPr>
        <w:t>y </w:t>
      </w:r>
      <w:r>
        <w:rPr>
          <w:color w:val="231F20"/>
          <w:spacing w:val="2"/>
          <w:sz w:val="19"/>
        </w:rPr>
        <w:t>actos similares llevados </w:t>
      </w:r>
      <w:r>
        <w:rPr>
          <w:color w:val="231F20"/>
          <w:sz w:val="19"/>
        </w:rPr>
        <w:t>a </w:t>
      </w:r>
      <w:r>
        <w:rPr>
          <w:color w:val="231F20"/>
          <w:spacing w:val="2"/>
          <w:sz w:val="19"/>
        </w:rPr>
        <w:t>cabo </w:t>
      </w:r>
      <w:r>
        <w:rPr>
          <w:color w:val="231F20"/>
          <w:sz w:val="19"/>
        </w:rPr>
        <w:t>por </w:t>
      </w:r>
      <w:r>
        <w:rPr>
          <w:color w:val="231F20"/>
          <w:spacing w:val="2"/>
          <w:sz w:val="19"/>
        </w:rPr>
        <w:t>grupos más</w:t>
      </w:r>
      <w:r>
        <w:rPr>
          <w:color w:val="231F20"/>
          <w:spacing w:val="25"/>
          <w:sz w:val="19"/>
        </w:rPr>
        <w:t> </w:t>
      </w:r>
      <w:r>
        <w:rPr>
          <w:color w:val="231F20"/>
          <w:spacing w:val="2"/>
          <w:sz w:val="19"/>
        </w:rPr>
        <w:t>grandes.</w:t>
      </w:r>
    </w:p>
    <w:p>
      <w:pPr>
        <w:pStyle w:val="BodyText"/>
        <w:spacing w:before="3"/>
        <w:rPr>
          <w:sz w:val="20"/>
        </w:rPr>
      </w:pPr>
    </w:p>
    <w:p>
      <w:pPr>
        <w:pStyle w:val="BodyText"/>
        <w:ind w:left="386" w:right="121"/>
      </w:pPr>
      <w:r>
        <w:rPr>
          <w:color w:val="231F20"/>
        </w:rPr>
        <w:t>También se añade:</w:t>
      </w:r>
    </w:p>
    <w:p>
      <w:pPr>
        <w:pStyle w:val="BodyText"/>
        <w:rPr>
          <w:sz w:val="24"/>
        </w:rPr>
      </w:pPr>
    </w:p>
    <w:p>
      <w:pPr>
        <w:spacing w:line="276" w:lineRule="auto" w:before="0"/>
        <w:ind w:left="810" w:right="165" w:firstLine="0"/>
        <w:jc w:val="both"/>
        <w:rPr>
          <w:sz w:val="19"/>
        </w:rPr>
      </w:pPr>
      <w:r>
        <w:rPr>
          <w:color w:val="231F20"/>
          <w:sz w:val="19"/>
        </w:rPr>
        <w:t>La violencia colectiva se subdivide en violencia social, violencia política y violencia económica. A diferencia de las otras dos ca- tegorías generales, las subcategorías de la violencia colectiva   in-</w:t>
      </w:r>
    </w:p>
    <w:p>
      <w:pPr>
        <w:spacing w:after="0" w:line="276" w:lineRule="auto"/>
        <w:jc w:val="both"/>
        <w:rPr>
          <w:sz w:val="19"/>
        </w:rPr>
        <w:sectPr>
          <w:headerReference w:type="default" r:id="rId832"/>
          <w:footerReference w:type="default" r:id="rId833"/>
          <w:pgSz w:w="7830" w:h="11910"/>
          <w:pgMar w:header="0" w:footer="424" w:top="500" w:bottom="620" w:left="920" w:right="900"/>
          <w:pgNumType w:start="37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3" w:lineRule="auto" w:before="111"/>
        <w:ind w:left="810" w:right="140" w:firstLine="0"/>
        <w:jc w:val="left"/>
        <w:rPr>
          <w:sz w:val="19"/>
        </w:rPr>
      </w:pPr>
      <w:r>
        <w:rPr>
          <w:color w:val="231F20"/>
          <w:sz w:val="19"/>
        </w:rPr>
        <w:t>dican los posibles motivos de la violencia cometida por grupos más grandes de individuos o por el Estado (Krug, 2003: 7).</w:t>
      </w:r>
    </w:p>
    <w:p>
      <w:pPr>
        <w:pStyle w:val="BodyText"/>
        <w:spacing w:before="2"/>
        <w:rPr>
          <w:sz w:val="20"/>
        </w:rPr>
      </w:pPr>
    </w:p>
    <w:p>
      <w:pPr>
        <w:spacing w:before="0"/>
        <w:ind w:left="102" w:right="0" w:firstLine="0"/>
        <w:jc w:val="both"/>
        <w:rPr>
          <w:i/>
          <w:sz w:val="21"/>
        </w:rPr>
      </w:pPr>
      <w:r>
        <w:rPr>
          <w:i/>
          <w:color w:val="231F20"/>
          <w:spacing w:val="3"/>
          <w:w w:val="135"/>
          <w:sz w:val="21"/>
        </w:rPr>
        <w:t>V</w:t>
      </w:r>
      <w:r>
        <w:rPr>
          <w:i/>
          <w:color w:val="231F20"/>
          <w:w w:val="77"/>
          <w:sz w:val="21"/>
        </w:rPr>
        <w:t>i</w:t>
      </w:r>
      <w:r>
        <w:rPr>
          <w:i/>
          <w:color w:val="231F20"/>
          <w:spacing w:val="1"/>
          <w:w w:val="77"/>
          <w:sz w:val="21"/>
        </w:rPr>
        <w:t>o</w:t>
      </w:r>
      <w:r>
        <w:rPr>
          <w:i/>
          <w:color w:val="231F20"/>
          <w:w w:val="72"/>
          <w:sz w:val="21"/>
        </w:rPr>
        <w:t>l</w:t>
      </w:r>
      <w:r>
        <w:rPr>
          <w:i/>
          <w:color w:val="231F20"/>
          <w:spacing w:val="1"/>
          <w:w w:val="72"/>
          <w:sz w:val="21"/>
        </w:rPr>
        <w:t>e</w:t>
      </w:r>
      <w:r>
        <w:rPr>
          <w:i/>
          <w:color w:val="231F20"/>
          <w:spacing w:val="1"/>
          <w:w w:val="87"/>
          <w:sz w:val="21"/>
        </w:rPr>
        <w:t>n</w:t>
      </w:r>
      <w:r>
        <w:rPr>
          <w:i/>
          <w:color w:val="231F20"/>
          <w:spacing w:val="1"/>
          <w:w w:val="62"/>
          <w:sz w:val="21"/>
        </w:rPr>
        <w:t>c</w:t>
      </w:r>
      <w:r>
        <w:rPr>
          <w:i/>
          <w:color w:val="231F20"/>
          <w:w w:val="84"/>
          <w:sz w:val="21"/>
        </w:rPr>
        <w:t>i</w:t>
      </w:r>
      <w:r>
        <w:rPr>
          <w:i/>
          <w:color w:val="231F20"/>
          <w:w w:val="83"/>
          <w:sz w:val="21"/>
        </w:rPr>
        <w:t>a</w:t>
      </w:r>
      <w:r>
        <w:rPr>
          <w:i/>
          <w:color w:val="231F20"/>
          <w:spacing w:val="4"/>
          <w:sz w:val="21"/>
        </w:rPr>
        <w:t> </w:t>
      </w:r>
      <w:r>
        <w:rPr>
          <w:i/>
          <w:color w:val="231F20"/>
          <w:spacing w:val="1"/>
          <w:w w:val="83"/>
          <w:sz w:val="21"/>
        </w:rPr>
        <w:t>d</w:t>
      </w:r>
      <w:r>
        <w:rPr>
          <w:i/>
          <w:color w:val="231F20"/>
          <w:w w:val="67"/>
          <w:sz w:val="21"/>
        </w:rPr>
        <w:t>e</w:t>
      </w:r>
      <w:r>
        <w:rPr>
          <w:i/>
          <w:color w:val="231F20"/>
          <w:spacing w:val="3"/>
          <w:sz w:val="21"/>
        </w:rPr>
        <w:t> </w:t>
      </w:r>
      <w:r>
        <w:rPr>
          <w:i/>
          <w:color w:val="231F20"/>
          <w:spacing w:val="1"/>
          <w:w w:val="77"/>
          <w:sz w:val="21"/>
        </w:rPr>
        <w:t>gru</w:t>
      </w:r>
      <w:r>
        <w:rPr>
          <w:i/>
          <w:color w:val="231F20"/>
          <w:spacing w:val="1"/>
          <w:w w:val="83"/>
          <w:sz w:val="21"/>
        </w:rPr>
        <w:t>p</w:t>
      </w:r>
      <w:r>
        <w:rPr>
          <w:i/>
          <w:color w:val="231F20"/>
          <w:spacing w:val="1"/>
          <w:w w:val="74"/>
          <w:sz w:val="21"/>
        </w:rPr>
        <w:t>o</w:t>
      </w:r>
      <w:r>
        <w:rPr>
          <w:i/>
          <w:color w:val="231F20"/>
          <w:w w:val="74"/>
          <w:sz w:val="21"/>
        </w:rPr>
        <w:t>s</w:t>
      </w:r>
      <w:r>
        <w:rPr>
          <w:i/>
          <w:color w:val="231F20"/>
          <w:spacing w:val="3"/>
          <w:sz w:val="21"/>
        </w:rPr>
        <w:t> </w:t>
      </w:r>
      <w:r>
        <w:rPr>
          <w:i/>
          <w:color w:val="231F20"/>
          <w:spacing w:val="1"/>
          <w:w w:val="62"/>
          <w:sz w:val="21"/>
        </w:rPr>
        <w:t>c</w:t>
      </w:r>
      <w:r>
        <w:rPr>
          <w:i/>
          <w:color w:val="231F20"/>
          <w:spacing w:val="1"/>
          <w:w w:val="80"/>
          <w:sz w:val="21"/>
        </w:rPr>
        <w:t>on</w:t>
      </w:r>
      <w:r>
        <w:rPr>
          <w:i/>
          <w:color w:val="231F20"/>
          <w:w w:val="92"/>
          <w:sz w:val="21"/>
        </w:rPr>
        <w:t>t</w:t>
      </w:r>
      <w:r>
        <w:rPr>
          <w:i/>
          <w:color w:val="231F20"/>
          <w:spacing w:val="1"/>
          <w:w w:val="81"/>
          <w:sz w:val="21"/>
        </w:rPr>
        <w:t>r</w:t>
      </w:r>
      <w:r>
        <w:rPr>
          <w:i/>
          <w:color w:val="231F20"/>
          <w:w w:val="81"/>
          <w:sz w:val="21"/>
        </w:rPr>
        <w:t>a</w:t>
      </w:r>
      <w:r>
        <w:rPr>
          <w:i/>
          <w:color w:val="231F20"/>
          <w:spacing w:val="4"/>
          <w:sz w:val="21"/>
        </w:rPr>
        <w:t> </w:t>
      </w:r>
      <w:r>
        <w:rPr>
          <w:i/>
          <w:color w:val="231F20"/>
          <w:spacing w:val="1"/>
          <w:w w:val="67"/>
          <w:sz w:val="21"/>
        </w:rPr>
        <w:t>e</w:t>
      </w:r>
      <w:r>
        <w:rPr>
          <w:i/>
          <w:color w:val="231F20"/>
          <w:spacing w:val="1"/>
          <w:w w:val="77"/>
          <w:sz w:val="21"/>
        </w:rPr>
        <w:t>s</w:t>
      </w:r>
      <w:r>
        <w:rPr>
          <w:i/>
          <w:color w:val="231F20"/>
          <w:w w:val="92"/>
          <w:sz w:val="21"/>
        </w:rPr>
        <w:t>t</w:t>
      </w:r>
      <w:r>
        <w:rPr>
          <w:i/>
          <w:color w:val="231F20"/>
          <w:spacing w:val="1"/>
          <w:w w:val="87"/>
          <w:sz w:val="21"/>
        </w:rPr>
        <w:t>u</w:t>
      </w:r>
      <w:r>
        <w:rPr>
          <w:i/>
          <w:color w:val="231F20"/>
          <w:spacing w:val="1"/>
          <w:w w:val="83"/>
          <w:sz w:val="21"/>
        </w:rPr>
        <w:t>d</w:t>
      </w:r>
      <w:r>
        <w:rPr>
          <w:i/>
          <w:color w:val="231F20"/>
          <w:w w:val="84"/>
          <w:sz w:val="21"/>
        </w:rPr>
        <w:t>i</w:t>
      </w:r>
      <w:r>
        <w:rPr>
          <w:i/>
          <w:color w:val="231F20"/>
          <w:spacing w:val="1"/>
          <w:w w:val="83"/>
          <w:sz w:val="21"/>
        </w:rPr>
        <w:t>a</w:t>
      </w:r>
      <w:r>
        <w:rPr>
          <w:i/>
          <w:color w:val="231F20"/>
          <w:spacing w:val="1"/>
          <w:w w:val="87"/>
          <w:sz w:val="21"/>
        </w:rPr>
        <w:t>n</w:t>
      </w:r>
      <w:r>
        <w:rPr>
          <w:i/>
          <w:color w:val="231F20"/>
          <w:w w:val="92"/>
          <w:sz w:val="21"/>
        </w:rPr>
        <w:t>t</w:t>
      </w:r>
      <w:r>
        <w:rPr>
          <w:i/>
          <w:color w:val="231F20"/>
          <w:spacing w:val="1"/>
          <w:w w:val="67"/>
          <w:sz w:val="21"/>
        </w:rPr>
        <w:t>e</w:t>
      </w:r>
      <w:r>
        <w:rPr>
          <w:i/>
          <w:color w:val="231F20"/>
          <w:w w:val="77"/>
          <w:sz w:val="21"/>
        </w:rPr>
        <w:t>s</w:t>
      </w:r>
    </w:p>
    <w:p>
      <w:pPr>
        <w:pStyle w:val="BodyText"/>
        <w:spacing w:before="6"/>
        <w:rPr>
          <w:i/>
        </w:rPr>
      </w:pPr>
    </w:p>
    <w:p>
      <w:pPr>
        <w:pStyle w:val="BodyText"/>
        <w:spacing w:line="244" w:lineRule="auto"/>
        <w:ind w:left="102" w:right="116"/>
        <w:jc w:val="both"/>
      </w:pPr>
      <w:r>
        <w:rPr>
          <w:color w:val="231F20"/>
        </w:rPr>
        <w:t>La violencia tiene un origen social, más allá de la frontera escolar. También hemos especificado que la violencia que se vive en la UABJO también tiene origen en su historia política, tiene su propia lógica y sus propias reglas. En la encuesta realizada, encontramos también que existe violencia ejercida por grupos de compañeros en contra de estudiantes.</w:t>
      </w:r>
    </w:p>
    <w:p>
      <w:pPr>
        <w:pStyle w:val="BodyText"/>
        <w:spacing w:before="3"/>
        <w:rPr>
          <w:sz w:val="23"/>
        </w:rPr>
      </w:pPr>
    </w:p>
    <w:p>
      <w:pPr>
        <w:spacing w:before="0"/>
        <w:ind w:left="102" w:right="0" w:firstLine="0"/>
        <w:jc w:val="both"/>
        <w:rPr>
          <w:i/>
          <w:sz w:val="21"/>
        </w:rPr>
      </w:pPr>
      <w:r>
        <w:rPr>
          <w:i/>
          <w:color w:val="231F20"/>
          <w:w w:val="85"/>
          <w:sz w:val="21"/>
        </w:rPr>
        <w:t>Ataque explícito y violento</w:t>
      </w:r>
    </w:p>
    <w:p>
      <w:pPr>
        <w:pStyle w:val="BodyText"/>
        <w:spacing w:before="1"/>
        <w:rPr>
          <w:i/>
        </w:rPr>
      </w:pPr>
    </w:p>
    <w:p>
      <w:pPr>
        <w:pStyle w:val="BodyText"/>
        <w:spacing w:line="247" w:lineRule="auto" w:before="1"/>
        <w:ind w:left="102" w:right="116"/>
        <w:jc w:val="both"/>
      </w:pPr>
      <w:r>
        <w:rPr>
          <w:color w:val="231F20"/>
        </w:rPr>
        <w:t>Un grado de violencia evidente es cuando se dan una serie de agre- siones verbales y molestia física. Algunas veces la molestia física es a través de manifestaciones del deseo de comercio sexual o molestia sensual.</w:t>
      </w:r>
    </w:p>
    <w:p>
      <w:pPr>
        <w:pStyle w:val="BodyText"/>
        <w:rPr>
          <w:sz w:val="23"/>
        </w:rPr>
      </w:pPr>
    </w:p>
    <w:p>
      <w:pPr>
        <w:spacing w:before="0"/>
        <w:ind w:left="102" w:right="0" w:firstLine="0"/>
        <w:jc w:val="both"/>
        <w:rPr>
          <w:i/>
          <w:sz w:val="21"/>
        </w:rPr>
      </w:pPr>
      <w:r>
        <w:rPr>
          <w:i/>
          <w:color w:val="231F20"/>
          <w:spacing w:val="3"/>
          <w:w w:val="135"/>
          <w:sz w:val="21"/>
        </w:rPr>
        <w:t>V</w:t>
      </w:r>
      <w:r>
        <w:rPr>
          <w:i/>
          <w:color w:val="231F20"/>
          <w:w w:val="84"/>
          <w:sz w:val="21"/>
        </w:rPr>
        <w:t>i</w:t>
      </w:r>
      <w:r>
        <w:rPr>
          <w:i/>
          <w:color w:val="231F20"/>
          <w:spacing w:val="1"/>
          <w:w w:val="75"/>
          <w:sz w:val="21"/>
        </w:rPr>
        <w:t>o</w:t>
      </w:r>
      <w:r>
        <w:rPr>
          <w:i/>
          <w:color w:val="231F20"/>
          <w:w w:val="75"/>
          <w:sz w:val="21"/>
        </w:rPr>
        <w:t>l</w:t>
      </w:r>
      <w:r>
        <w:rPr>
          <w:i/>
          <w:color w:val="231F20"/>
          <w:spacing w:val="1"/>
          <w:w w:val="67"/>
          <w:sz w:val="21"/>
        </w:rPr>
        <w:t>e</w:t>
      </w:r>
      <w:r>
        <w:rPr>
          <w:i/>
          <w:color w:val="231F20"/>
          <w:spacing w:val="1"/>
          <w:w w:val="87"/>
          <w:sz w:val="21"/>
        </w:rPr>
        <w:t>n</w:t>
      </w:r>
      <w:r>
        <w:rPr>
          <w:i/>
          <w:color w:val="231F20"/>
          <w:spacing w:val="1"/>
          <w:w w:val="62"/>
          <w:sz w:val="21"/>
        </w:rPr>
        <w:t>c</w:t>
      </w:r>
      <w:r>
        <w:rPr>
          <w:i/>
          <w:color w:val="231F20"/>
          <w:w w:val="84"/>
          <w:sz w:val="21"/>
        </w:rPr>
        <w:t>i</w:t>
      </w:r>
      <w:r>
        <w:rPr>
          <w:i/>
          <w:color w:val="231F20"/>
          <w:w w:val="83"/>
          <w:sz w:val="21"/>
        </w:rPr>
        <w:t>a</w:t>
      </w:r>
      <w:r>
        <w:rPr>
          <w:i/>
          <w:color w:val="231F20"/>
          <w:spacing w:val="4"/>
          <w:sz w:val="21"/>
        </w:rPr>
        <w:t> </w:t>
      </w:r>
      <w:r>
        <w:rPr>
          <w:i/>
          <w:color w:val="231F20"/>
          <w:spacing w:val="1"/>
          <w:w w:val="83"/>
          <w:sz w:val="21"/>
        </w:rPr>
        <w:t>p</w:t>
      </w:r>
      <w:r>
        <w:rPr>
          <w:i/>
          <w:color w:val="231F20"/>
          <w:spacing w:val="1"/>
          <w:w w:val="75"/>
          <w:sz w:val="21"/>
        </w:rPr>
        <w:t>o</w:t>
      </w:r>
      <w:r>
        <w:rPr>
          <w:i/>
          <w:color w:val="231F20"/>
          <w:w w:val="75"/>
          <w:sz w:val="21"/>
        </w:rPr>
        <w:t>r</w:t>
      </w:r>
      <w:r>
        <w:rPr>
          <w:i/>
          <w:color w:val="231F20"/>
          <w:spacing w:val="3"/>
          <w:sz w:val="21"/>
        </w:rPr>
        <w:t> </w:t>
      </w:r>
      <w:r>
        <w:rPr>
          <w:i/>
          <w:color w:val="231F20"/>
          <w:spacing w:val="1"/>
          <w:w w:val="83"/>
          <w:sz w:val="21"/>
        </w:rPr>
        <w:t>p</w:t>
      </w:r>
      <w:r>
        <w:rPr>
          <w:i/>
          <w:color w:val="231F20"/>
          <w:spacing w:val="1"/>
          <w:w w:val="76"/>
          <w:sz w:val="21"/>
        </w:rPr>
        <w:t>orros</w:t>
      </w:r>
    </w:p>
    <w:p>
      <w:pPr>
        <w:pStyle w:val="BodyText"/>
        <w:spacing w:before="1"/>
        <w:rPr>
          <w:i/>
        </w:rPr>
      </w:pPr>
    </w:p>
    <w:p>
      <w:pPr>
        <w:pStyle w:val="BodyText"/>
        <w:spacing w:line="244" w:lineRule="auto" w:before="1"/>
        <w:ind w:left="101" w:right="116"/>
        <w:jc w:val="both"/>
      </w:pPr>
      <w:r>
        <w:rPr>
          <w:color w:val="231F20"/>
        </w:rPr>
        <w:t>El estudio arroja que los estudiantes de la encuesta han sufrido en algún momento violencia por parte de otros grupos de interés al interior de la universidad. Una de las formas de violencia que resul- taron en esta investigación es la que realizan grupos de jóvenes. Se trata de grupos de porros en la universidad, los cuales son un ele- mento del sistema universitario que ejerce algún tipo  de  acción sobre los estudiantes (véanse Cuadros 8 y 9).</w:t>
      </w:r>
    </w:p>
    <w:p>
      <w:pPr>
        <w:pStyle w:val="BodyText"/>
        <w:spacing w:line="244" w:lineRule="auto" w:before="3"/>
        <w:ind w:left="102" w:right="115" w:firstLine="284"/>
        <w:jc w:val="both"/>
      </w:pPr>
      <w:r>
        <w:rPr>
          <w:color w:val="231F20"/>
        </w:rPr>
        <w:t>Para mayor información sobre el tema de los porros puede con- sultarse a Ordorika (en Bertussi y González, 2009: 459-475) quien profundiza en el fenómeno del porrismo desde los años sesenta en adelante y presenta un breve estado del arte al respecto.</w:t>
      </w:r>
    </w:p>
    <w:p>
      <w:pPr>
        <w:pStyle w:val="BodyText"/>
        <w:rPr>
          <w:sz w:val="22"/>
        </w:rPr>
      </w:pPr>
    </w:p>
    <w:p>
      <w:pPr>
        <w:pStyle w:val="BodyText"/>
        <w:spacing w:before="11"/>
        <w:rPr>
          <w:sz w:val="22"/>
        </w:rPr>
      </w:pPr>
    </w:p>
    <w:p>
      <w:pPr>
        <w:pStyle w:val="BodyText"/>
        <w:ind w:left="102"/>
        <w:jc w:val="both"/>
      </w:pPr>
      <w:r>
        <w:rPr>
          <w:color w:val="231F20"/>
          <w:w w:val="105"/>
        </w:rPr>
        <w:t>EXPERIENCIA DE LA VIOLENCIA</w:t>
      </w:r>
    </w:p>
    <w:p>
      <w:pPr>
        <w:pStyle w:val="BodyText"/>
        <w:spacing w:before="1"/>
      </w:pPr>
    </w:p>
    <w:p>
      <w:pPr>
        <w:pStyle w:val="BodyText"/>
        <w:spacing w:line="244" w:lineRule="auto" w:before="1"/>
        <w:ind w:left="102" w:right="115"/>
        <w:jc w:val="both"/>
      </w:pPr>
      <w:r>
        <w:rPr>
          <w:color w:val="231F20"/>
        </w:rPr>
        <w:t>La</w:t>
      </w:r>
      <w:r>
        <w:rPr>
          <w:color w:val="231F20"/>
          <w:spacing w:val="-10"/>
        </w:rPr>
        <w:t> </w:t>
      </w:r>
      <w:r>
        <w:rPr>
          <w:color w:val="231F20"/>
        </w:rPr>
        <w:t>violencia</w:t>
      </w:r>
      <w:r>
        <w:rPr>
          <w:color w:val="231F20"/>
          <w:spacing w:val="-10"/>
        </w:rPr>
        <w:t> </w:t>
      </w:r>
      <w:r>
        <w:rPr>
          <w:color w:val="231F20"/>
        </w:rPr>
        <w:t>se</w:t>
      </w:r>
      <w:r>
        <w:rPr>
          <w:color w:val="231F20"/>
          <w:spacing w:val="-10"/>
        </w:rPr>
        <w:t> </w:t>
      </w:r>
      <w:r>
        <w:rPr>
          <w:color w:val="231F20"/>
        </w:rPr>
        <w:t>muestra</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experiencia</w:t>
      </w:r>
      <w:r>
        <w:rPr>
          <w:color w:val="231F20"/>
          <w:spacing w:val="-10"/>
        </w:rPr>
        <w:t> </w:t>
      </w:r>
      <w:r>
        <w:rPr>
          <w:color w:val="231F20"/>
        </w:rPr>
        <w:t>cotidiana</w:t>
      </w:r>
      <w:r>
        <w:rPr>
          <w:color w:val="231F20"/>
          <w:spacing w:val="-10"/>
        </w:rPr>
        <w:t> </w:t>
      </w:r>
      <w:r>
        <w:rPr>
          <w:color w:val="231F20"/>
        </w:rPr>
        <w:t>y</w:t>
      </w:r>
      <w:r>
        <w:rPr>
          <w:color w:val="231F20"/>
          <w:spacing w:val="-10"/>
        </w:rPr>
        <w:t> </w:t>
      </w:r>
      <w:r>
        <w:rPr>
          <w:color w:val="231F20"/>
        </w:rPr>
        <w:t>común.</w:t>
      </w:r>
      <w:r>
        <w:rPr>
          <w:color w:val="231F20"/>
          <w:spacing w:val="-11"/>
        </w:rPr>
        <w:t> </w:t>
      </w:r>
      <w:r>
        <w:rPr>
          <w:color w:val="231F20"/>
        </w:rPr>
        <w:t>No es un fenómeno aislado, tampoco es solamente constitutivo de gru- pos considerados violentos en la universidad. Como fenómeno</w:t>
      </w:r>
      <w:r>
        <w:rPr>
          <w:color w:val="231F20"/>
          <w:spacing w:val="50"/>
        </w:rPr>
        <w:t> </w:t>
      </w:r>
      <w:r>
        <w:rPr>
          <w:color w:val="231F20"/>
        </w:rPr>
        <w:t>coti-</w:t>
      </w:r>
    </w:p>
    <w:p>
      <w:pPr>
        <w:spacing w:after="0" w:line="244" w:lineRule="auto"/>
        <w:jc w:val="both"/>
        <w:sectPr>
          <w:headerReference w:type="default" r:id="rId834"/>
          <w:footerReference w:type="default" r:id="rId835"/>
          <w:pgSz w:w="7830" w:h="11910"/>
          <w:pgMar w:header="0" w:footer="424" w:top="500" w:bottom="620" w:left="920" w:right="900"/>
          <w:pgNumType w:start="37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6"/>
        <w:jc w:val="both"/>
      </w:pPr>
      <w:r>
        <w:rPr>
          <w:color w:val="231F20"/>
        </w:rPr>
        <w:t>diano, la experiencia de la violencia se expresa como una vivencia personal. Pocos de los estudiantes encuestados manifiestan no haber tenido alguna experiencia de la violencia al interior de la UABJO, ligada con violencia en la familia, o de madre y padre, por ejemplo.</w:t>
      </w:r>
    </w:p>
    <w:p>
      <w:pPr>
        <w:pStyle w:val="BodyText"/>
        <w:spacing w:line="249" w:lineRule="auto" w:before="10"/>
        <w:ind w:left="102" w:right="118" w:firstLine="284"/>
        <w:jc w:val="both"/>
      </w:pPr>
      <w:r>
        <w:rPr>
          <w:color w:val="231F20"/>
        </w:rPr>
        <w:t>En la experiencia de la violencia intervienen tanto profesores, como alumnos. Los estudiantes de diferentes facultades expresan que han sufrido violencia como robo, chantaje, coerción (véanse  los Cuadros 10-13).</w:t>
      </w:r>
    </w:p>
    <w:p>
      <w:pPr>
        <w:pStyle w:val="BodyText"/>
        <w:rPr>
          <w:sz w:val="22"/>
        </w:rPr>
      </w:pPr>
    </w:p>
    <w:p>
      <w:pPr>
        <w:pStyle w:val="BodyText"/>
        <w:spacing w:before="3"/>
      </w:pPr>
    </w:p>
    <w:p>
      <w:pPr>
        <w:pStyle w:val="BodyText"/>
        <w:spacing w:before="1"/>
        <w:ind w:left="102"/>
        <w:jc w:val="both"/>
      </w:pPr>
      <w:r>
        <w:rPr>
          <w:color w:val="231F20"/>
        </w:rPr>
        <w:t>POSIBLES CAUSAS</w:t>
      </w:r>
    </w:p>
    <w:p>
      <w:pPr>
        <w:pStyle w:val="BodyText"/>
        <w:spacing w:before="1"/>
      </w:pPr>
    </w:p>
    <w:p>
      <w:pPr>
        <w:pStyle w:val="BodyText"/>
        <w:spacing w:line="247" w:lineRule="auto" w:before="1"/>
        <w:ind w:left="102" w:right="116"/>
        <w:jc w:val="both"/>
      </w:pPr>
      <w:r>
        <w:rPr>
          <w:color w:val="231F20"/>
        </w:rPr>
        <w:t>El fenómeno de la violencia en nuestro tiempo tiene que ver con cambios en la sociedad moderna y en las relaciones de poder. Exis- ten en la sociedad actual nuevas formas de anomia y nuevos pro- blemas que enfrenta la escuela en tanto lugar donde confluyen dife- rentes miembros de la sociedad: alumnos, profesores, administrati- vos, directivos.</w:t>
      </w:r>
    </w:p>
    <w:p>
      <w:pPr>
        <w:pStyle w:val="BodyText"/>
        <w:spacing w:line="249" w:lineRule="auto" w:before="10"/>
        <w:ind w:left="102" w:right="113" w:firstLine="284"/>
        <w:jc w:val="both"/>
      </w:pPr>
      <w:r>
        <w:rPr>
          <w:color w:val="231F20"/>
        </w:rPr>
        <w:t>El </w:t>
      </w:r>
      <w:r>
        <w:rPr>
          <w:color w:val="231F20"/>
          <w:spacing w:val="2"/>
        </w:rPr>
        <w:t>concepto </w:t>
      </w:r>
      <w:r>
        <w:rPr>
          <w:color w:val="231F20"/>
        </w:rPr>
        <w:t>de </w:t>
      </w:r>
      <w:r>
        <w:rPr>
          <w:color w:val="231F20"/>
          <w:spacing w:val="3"/>
        </w:rPr>
        <w:t>anomia, </w:t>
      </w:r>
      <w:r>
        <w:rPr>
          <w:color w:val="231F20"/>
        </w:rPr>
        <w:t>de </w:t>
      </w:r>
      <w:r>
        <w:rPr>
          <w:color w:val="231F20"/>
          <w:spacing w:val="2"/>
        </w:rPr>
        <w:t>acuerdo </w:t>
      </w:r>
      <w:r>
        <w:rPr>
          <w:color w:val="231F20"/>
          <w:spacing w:val="3"/>
        </w:rPr>
        <w:t>como Durkheim, </w:t>
      </w:r>
      <w:r>
        <w:rPr>
          <w:color w:val="231F20"/>
        </w:rPr>
        <w:t>es el de- </w:t>
      </w:r>
      <w:r>
        <w:rPr>
          <w:color w:val="231F20"/>
          <w:spacing w:val="2"/>
        </w:rPr>
        <w:t>bilitamiento </w:t>
      </w:r>
      <w:r>
        <w:rPr>
          <w:color w:val="231F20"/>
        </w:rPr>
        <w:t>de </w:t>
      </w:r>
      <w:r>
        <w:rPr>
          <w:color w:val="231F20"/>
          <w:spacing w:val="2"/>
        </w:rPr>
        <w:t>los lazos sociales </w:t>
      </w:r>
      <w:r>
        <w:rPr>
          <w:color w:val="231F20"/>
        </w:rPr>
        <w:t>que </w:t>
      </w:r>
      <w:r>
        <w:rPr>
          <w:color w:val="231F20"/>
          <w:spacing w:val="2"/>
        </w:rPr>
        <w:t>establecen los individuos </w:t>
      </w:r>
      <w:r>
        <w:rPr>
          <w:color w:val="231F20"/>
          <w:spacing w:val="56"/>
        </w:rPr>
        <w:t> </w:t>
      </w:r>
      <w:r>
        <w:rPr>
          <w:color w:val="231F20"/>
          <w:spacing w:val="2"/>
        </w:rPr>
        <w:t>con </w:t>
      </w:r>
      <w:r>
        <w:rPr>
          <w:color w:val="231F20"/>
        </w:rPr>
        <w:t>la </w:t>
      </w:r>
      <w:r>
        <w:rPr>
          <w:color w:val="231F20"/>
          <w:spacing w:val="2"/>
        </w:rPr>
        <w:t>sociedad </w:t>
      </w:r>
      <w:r>
        <w:rPr>
          <w:color w:val="231F20"/>
        </w:rPr>
        <w:t>a la </w:t>
      </w:r>
      <w:r>
        <w:rPr>
          <w:color w:val="231F20"/>
          <w:spacing w:val="2"/>
        </w:rPr>
        <w:t>que </w:t>
      </w:r>
      <w:r>
        <w:rPr>
          <w:color w:val="231F20"/>
          <w:spacing w:val="3"/>
        </w:rPr>
        <w:t>pertenecen. </w:t>
      </w:r>
      <w:r>
        <w:rPr>
          <w:color w:val="231F20"/>
        </w:rPr>
        <w:t>La </w:t>
      </w:r>
      <w:r>
        <w:rPr>
          <w:color w:val="231F20"/>
          <w:spacing w:val="2"/>
        </w:rPr>
        <w:t>sociedad global está nece- sariamente ligada </w:t>
      </w:r>
      <w:r>
        <w:rPr>
          <w:color w:val="231F20"/>
        </w:rPr>
        <w:t>al </w:t>
      </w:r>
      <w:r>
        <w:rPr>
          <w:color w:val="231F20"/>
          <w:spacing w:val="2"/>
        </w:rPr>
        <w:t>desarrollo </w:t>
      </w:r>
      <w:r>
        <w:rPr>
          <w:color w:val="231F20"/>
        </w:rPr>
        <w:t>de la </w:t>
      </w:r>
      <w:r>
        <w:rPr>
          <w:color w:val="231F20"/>
          <w:spacing w:val="3"/>
        </w:rPr>
        <w:t>anomia </w:t>
      </w:r>
      <w:r>
        <w:rPr>
          <w:color w:val="231F20"/>
        </w:rPr>
        <w:t>y </w:t>
      </w:r>
      <w:r>
        <w:rPr>
          <w:color w:val="231F20"/>
          <w:spacing w:val="2"/>
        </w:rPr>
        <w:t>del individualismo. Entre otras cosas, </w:t>
      </w:r>
      <w:r>
        <w:rPr>
          <w:color w:val="231F20"/>
        </w:rPr>
        <w:t>se </w:t>
      </w:r>
      <w:r>
        <w:rPr>
          <w:color w:val="231F20"/>
          <w:spacing w:val="3"/>
        </w:rPr>
        <w:t>reconoce </w:t>
      </w:r>
      <w:r>
        <w:rPr>
          <w:color w:val="231F20"/>
        </w:rPr>
        <w:t>que la </w:t>
      </w:r>
      <w:r>
        <w:rPr>
          <w:color w:val="231F20"/>
          <w:spacing w:val="2"/>
        </w:rPr>
        <w:t>sociedad actual pese </w:t>
      </w:r>
      <w:r>
        <w:rPr>
          <w:color w:val="231F20"/>
        </w:rPr>
        <w:t>a </w:t>
      </w:r>
      <w:r>
        <w:rPr>
          <w:color w:val="231F20"/>
          <w:spacing w:val="3"/>
        </w:rPr>
        <w:t>tener </w:t>
      </w:r>
      <w:r>
        <w:rPr>
          <w:color w:val="231F20"/>
          <w:spacing w:val="2"/>
        </w:rPr>
        <w:t>una “profundización </w:t>
      </w:r>
      <w:r>
        <w:rPr>
          <w:color w:val="231F20"/>
        </w:rPr>
        <w:t>de las </w:t>
      </w:r>
      <w:r>
        <w:rPr>
          <w:color w:val="231F20"/>
          <w:spacing w:val="2"/>
        </w:rPr>
        <w:t>relaciones interpersonales”, </w:t>
      </w:r>
      <w:r>
        <w:rPr>
          <w:color w:val="231F20"/>
        </w:rPr>
        <w:t>es </w:t>
      </w:r>
      <w:r>
        <w:rPr>
          <w:color w:val="231F20"/>
          <w:spacing w:val="2"/>
        </w:rPr>
        <w:t>una organización social </w:t>
      </w:r>
      <w:r>
        <w:rPr>
          <w:color w:val="231F20"/>
        </w:rPr>
        <w:t>que aísla al </w:t>
      </w:r>
      <w:r>
        <w:rPr>
          <w:color w:val="231F20"/>
          <w:spacing w:val="2"/>
        </w:rPr>
        <w:t>individuo </w:t>
      </w:r>
      <w:r>
        <w:rPr>
          <w:color w:val="231F20"/>
        </w:rPr>
        <w:t>y </w:t>
      </w:r>
      <w:r>
        <w:rPr>
          <w:color w:val="231F20"/>
          <w:spacing w:val="2"/>
        </w:rPr>
        <w:t>muestra infructuosidad para establecer “lazos solidarios con algunos otros </w:t>
      </w:r>
      <w:r>
        <w:rPr>
          <w:color w:val="231F20"/>
          <w:spacing w:val="3"/>
        </w:rPr>
        <w:t>próximos” </w:t>
      </w:r>
      <w:r>
        <w:rPr>
          <w:color w:val="231F20"/>
          <w:spacing w:val="3"/>
          <w:w w:val="95"/>
        </w:rPr>
        <w:t>(Girola-Molina, </w:t>
      </w:r>
      <w:r>
        <w:rPr>
          <w:color w:val="231F20"/>
          <w:spacing w:val="2"/>
          <w:w w:val="95"/>
        </w:rPr>
        <w:t>2005:</w:t>
      </w:r>
      <w:r>
        <w:rPr>
          <w:color w:val="231F20"/>
          <w:spacing w:val="46"/>
          <w:w w:val="95"/>
        </w:rPr>
        <w:t> </w:t>
      </w:r>
      <w:r>
        <w:rPr>
          <w:color w:val="231F20"/>
          <w:spacing w:val="2"/>
          <w:w w:val="95"/>
        </w:rPr>
        <w:t>269).</w:t>
      </w:r>
    </w:p>
    <w:p>
      <w:pPr>
        <w:pStyle w:val="BodyText"/>
        <w:spacing w:line="247" w:lineRule="auto"/>
        <w:ind w:left="102" w:right="115" w:firstLine="284"/>
        <w:jc w:val="both"/>
      </w:pPr>
      <w:r>
        <w:rPr>
          <w:color w:val="231F20"/>
        </w:rPr>
        <w:t>Fenómenos de violencia al interior de la universidad se esta- blecen en un ámbito de fuerte competencia por los recursos (po- der, plazas, salarios, demandas sindicales) y en un ambiente de fuerte competencia.</w:t>
      </w:r>
    </w:p>
    <w:p>
      <w:pPr>
        <w:pStyle w:val="BodyText"/>
        <w:spacing w:line="247" w:lineRule="auto" w:before="6"/>
        <w:ind w:left="101" w:right="116" w:firstLine="284"/>
        <w:jc w:val="both"/>
      </w:pPr>
      <w:r>
        <w:rPr>
          <w:color w:val="231F20"/>
          <w:spacing w:val="2"/>
        </w:rPr>
        <w:t>Las pandemia del </w:t>
      </w:r>
      <w:r>
        <w:rPr>
          <w:color w:val="231F20"/>
        </w:rPr>
        <w:t>siglo xxi es la </w:t>
      </w:r>
      <w:r>
        <w:rPr>
          <w:color w:val="231F20"/>
          <w:spacing w:val="2"/>
        </w:rPr>
        <w:t>violencia </w:t>
      </w:r>
      <w:r>
        <w:rPr>
          <w:color w:val="231F20"/>
        </w:rPr>
        <w:t>en las </w:t>
      </w:r>
      <w:r>
        <w:rPr>
          <w:color w:val="231F20"/>
          <w:spacing w:val="2"/>
        </w:rPr>
        <w:t>escuelas </w:t>
      </w:r>
      <w:r>
        <w:rPr>
          <w:color w:val="231F20"/>
        </w:rPr>
        <w:t>en </w:t>
      </w:r>
      <w:r>
        <w:rPr>
          <w:color w:val="231F20"/>
          <w:spacing w:val="2"/>
        </w:rPr>
        <w:t>manifestaciones colectivas más crudas. </w:t>
      </w:r>
      <w:r>
        <w:rPr>
          <w:color w:val="231F20"/>
        </w:rPr>
        <w:t>El siglo xxi </w:t>
      </w:r>
      <w:r>
        <w:rPr>
          <w:color w:val="231F20"/>
          <w:spacing w:val="2"/>
        </w:rPr>
        <w:t>expresa </w:t>
      </w:r>
      <w:r>
        <w:rPr>
          <w:color w:val="231F20"/>
          <w:spacing w:val="3"/>
        </w:rPr>
        <w:t>formas anómicas </w:t>
      </w:r>
      <w:r>
        <w:rPr>
          <w:color w:val="231F20"/>
        </w:rPr>
        <w:t>de </w:t>
      </w:r>
      <w:r>
        <w:rPr>
          <w:color w:val="231F20"/>
          <w:spacing w:val="2"/>
        </w:rPr>
        <w:t>violencia, </w:t>
      </w:r>
      <w:r>
        <w:rPr>
          <w:color w:val="231F20"/>
          <w:spacing w:val="3"/>
        </w:rPr>
        <w:t>como </w:t>
      </w:r>
      <w:r>
        <w:rPr>
          <w:color w:val="231F20"/>
        </w:rPr>
        <w:t>el </w:t>
      </w:r>
      <w:r>
        <w:rPr>
          <w:i/>
          <w:color w:val="231F20"/>
          <w:spacing w:val="2"/>
        </w:rPr>
        <w:t>bullyng </w:t>
      </w:r>
      <w:r>
        <w:rPr>
          <w:color w:val="231F20"/>
        </w:rPr>
        <w:t>o el </w:t>
      </w:r>
      <w:r>
        <w:rPr>
          <w:i/>
          <w:color w:val="231F20"/>
          <w:spacing w:val="2"/>
        </w:rPr>
        <w:t>mobbing </w:t>
      </w:r>
      <w:r>
        <w:rPr>
          <w:color w:val="231F20"/>
          <w:spacing w:val="3"/>
        </w:rPr>
        <w:t>(Gramigna, </w:t>
      </w:r>
      <w:r>
        <w:rPr>
          <w:color w:val="231F20"/>
          <w:spacing w:val="2"/>
        </w:rPr>
        <w:t>2003: 205 </w:t>
      </w:r>
      <w:r>
        <w:rPr>
          <w:color w:val="231F20"/>
        </w:rPr>
        <w:t>y </w:t>
      </w:r>
      <w:r>
        <w:rPr>
          <w:color w:val="231F20"/>
          <w:spacing w:val="2"/>
        </w:rPr>
        <w:t>ss.). </w:t>
      </w:r>
      <w:r>
        <w:rPr>
          <w:color w:val="231F20"/>
        </w:rPr>
        <w:t>La </w:t>
      </w:r>
      <w:r>
        <w:rPr>
          <w:color w:val="231F20"/>
          <w:spacing w:val="3"/>
        </w:rPr>
        <w:t>anomia </w:t>
      </w:r>
      <w:r>
        <w:rPr>
          <w:color w:val="231F20"/>
        </w:rPr>
        <w:t>se </w:t>
      </w:r>
      <w:r>
        <w:rPr>
          <w:color w:val="231F20"/>
          <w:spacing w:val="2"/>
        </w:rPr>
        <w:t>plantea hoy </w:t>
      </w:r>
      <w:r>
        <w:rPr>
          <w:color w:val="231F20"/>
          <w:spacing w:val="3"/>
        </w:rPr>
        <w:t>como </w:t>
      </w:r>
      <w:r>
        <w:rPr>
          <w:color w:val="231F20"/>
          <w:spacing w:val="2"/>
        </w:rPr>
        <w:t>una condición </w:t>
      </w:r>
      <w:r>
        <w:rPr>
          <w:color w:val="231F20"/>
        </w:rPr>
        <w:t>de </w:t>
      </w:r>
      <w:r>
        <w:rPr>
          <w:color w:val="231F20"/>
          <w:spacing w:val="2"/>
        </w:rPr>
        <w:t>posibilidad </w:t>
      </w:r>
      <w:r>
        <w:rPr>
          <w:color w:val="231F20"/>
        </w:rPr>
        <w:t>de la </w:t>
      </w:r>
      <w:r>
        <w:rPr>
          <w:color w:val="231F20"/>
          <w:spacing w:val="2"/>
        </w:rPr>
        <w:t>sociedad </w:t>
      </w:r>
      <w:r>
        <w:rPr>
          <w:color w:val="231F20"/>
          <w:spacing w:val="3"/>
        </w:rPr>
        <w:t>postindustrial </w:t>
      </w:r>
      <w:r>
        <w:rPr>
          <w:color w:val="231F20"/>
        </w:rPr>
        <w:t>y </w:t>
      </w:r>
      <w:r>
        <w:rPr>
          <w:color w:val="231F20"/>
          <w:spacing w:val="2"/>
        </w:rPr>
        <w:t>que </w:t>
      </w:r>
      <w:r>
        <w:rPr>
          <w:color w:val="231F20"/>
        </w:rPr>
        <w:t>en el </w:t>
      </w:r>
      <w:r>
        <w:rPr>
          <w:color w:val="231F20"/>
          <w:spacing w:val="2"/>
        </w:rPr>
        <w:t>nuevo milenio </w:t>
      </w:r>
      <w:r>
        <w:rPr>
          <w:color w:val="231F20"/>
        </w:rPr>
        <w:t>se ha </w:t>
      </w:r>
      <w:r>
        <w:rPr>
          <w:color w:val="231F20"/>
          <w:spacing w:val="2"/>
        </w:rPr>
        <w:t>convertido </w:t>
      </w:r>
      <w:r>
        <w:rPr>
          <w:color w:val="231F20"/>
        </w:rPr>
        <w:t>en la </w:t>
      </w:r>
      <w:r>
        <w:rPr>
          <w:color w:val="231F20"/>
          <w:spacing w:val="2"/>
        </w:rPr>
        <w:t>nueva </w:t>
      </w:r>
      <w:r>
        <w:rPr>
          <w:color w:val="231F20"/>
          <w:spacing w:val="3"/>
        </w:rPr>
        <w:t>enfermedad </w:t>
      </w:r>
      <w:r>
        <w:rPr>
          <w:color w:val="231F20"/>
          <w:spacing w:val="2"/>
        </w:rPr>
        <w:t>social del </w:t>
      </w:r>
      <w:r>
        <w:rPr>
          <w:color w:val="231F20"/>
        </w:rPr>
        <w:t>siglo </w:t>
      </w:r>
      <w:r>
        <w:rPr>
          <w:color w:val="231F20"/>
          <w:spacing w:val="2"/>
        </w:rPr>
        <w:t>xxi. No   </w:t>
      </w:r>
      <w:r>
        <w:rPr>
          <w:color w:val="231F20"/>
        </w:rPr>
        <w:t>es </w:t>
      </w:r>
      <w:r>
        <w:rPr>
          <w:color w:val="231F20"/>
          <w:spacing w:val="2"/>
        </w:rPr>
        <w:t>privativa </w:t>
      </w:r>
      <w:r>
        <w:rPr>
          <w:color w:val="231F20"/>
        </w:rPr>
        <w:t>de las </w:t>
      </w:r>
      <w:r>
        <w:rPr>
          <w:color w:val="231F20"/>
          <w:spacing w:val="2"/>
        </w:rPr>
        <w:t>sociedades industriales; </w:t>
      </w:r>
      <w:r>
        <w:rPr>
          <w:color w:val="231F20"/>
        </w:rPr>
        <w:t>las </w:t>
      </w:r>
      <w:r>
        <w:rPr>
          <w:color w:val="231F20"/>
          <w:spacing w:val="2"/>
        </w:rPr>
        <w:t>sociedades que </w:t>
      </w:r>
      <w:r>
        <w:rPr>
          <w:color w:val="231F20"/>
        </w:rPr>
        <w:t>se </w:t>
      </w:r>
      <w:r>
        <w:rPr>
          <w:color w:val="231F20"/>
          <w:spacing w:val="3"/>
        </w:rPr>
        <w:t>encuentran </w:t>
      </w:r>
      <w:r>
        <w:rPr>
          <w:color w:val="231F20"/>
        </w:rPr>
        <w:t>a la </w:t>
      </w:r>
      <w:r>
        <w:rPr>
          <w:color w:val="231F20"/>
          <w:spacing w:val="2"/>
        </w:rPr>
        <w:t>orilla del </w:t>
      </w:r>
      <w:r>
        <w:rPr>
          <w:color w:val="231F20"/>
          <w:spacing w:val="3"/>
        </w:rPr>
        <w:t>sistema-mundo, </w:t>
      </w:r>
      <w:r>
        <w:rPr>
          <w:color w:val="231F20"/>
        </w:rPr>
        <w:t>con </w:t>
      </w:r>
      <w:r>
        <w:rPr>
          <w:color w:val="231F20"/>
          <w:spacing w:val="2"/>
        </w:rPr>
        <w:t>pobreza extrema   </w:t>
      </w:r>
      <w:r>
        <w:rPr>
          <w:color w:val="231F20"/>
          <w:spacing w:val="31"/>
        </w:rPr>
        <w:t> </w:t>
      </w:r>
      <w:r>
        <w:rPr>
          <w:color w:val="231F20"/>
        </w:rPr>
        <w:t>y</w:t>
      </w:r>
    </w:p>
    <w:p>
      <w:pPr>
        <w:spacing w:after="0" w:line="247" w:lineRule="auto"/>
        <w:jc w:val="both"/>
        <w:sectPr>
          <w:headerReference w:type="default" r:id="rId836"/>
          <w:footerReference w:type="default" r:id="rId837"/>
          <w:pgSz w:w="7830" w:h="11910"/>
          <w:pgMar w:header="0" w:footer="424" w:top="500" w:bottom="620" w:left="920" w:right="900"/>
          <w:pgNumType w:start="37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5"/>
        <w:jc w:val="both"/>
      </w:pPr>
      <w:r>
        <w:rPr>
          <w:color w:val="231F20"/>
        </w:rPr>
        <w:t>condiciones de marginalidad, también tienen problemas para esta- blecer relaciones consensadas de convivencia social. Viejos pro- blemas se unen a problemas nuevos con características nuevas. La violencia de la sociedad capitalista convivirá con el problema de la enajenación en la era digital, la alienación y el recrudecimiento de la anomia como problema estructural de la sociedad digital.</w:t>
      </w:r>
    </w:p>
    <w:p>
      <w:pPr>
        <w:pStyle w:val="BodyText"/>
        <w:spacing w:before="7"/>
      </w:pPr>
    </w:p>
    <w:p>
      <w:pPr>
        <w:spacing w:before="0"/>
        <w:ind w:left="101" w:right="0" w:firstLine="0"/>
        <w:jc w:val="both"/>
        <w:rPr>
          <w:i/>
          <w:sz w:val="21"/>
        </w:rPr>
      </w:pPr>
      <w:r>
        <w:rPr>
          <w:i/>
          <w:color w:val="231F20"/>
          <w:w w:val="85"/>
          <w:sz w:val="21"/>
        </w:rPr>
        <w:t>La identidad profesional</w:t>
      </w:r>
    </w:p>
    <w:p>
      <w:pPr>
        <w:pStyle w:val="BodyText"/>
        <w:spacing w:before="1"/>
        <w:rPr>
          <w:i/>
        </w:rPr>
      </w:pPr>
    </w:p>
    <w:p>
      <w:pPr>
        <w:pStyle w:val="BodyText"/>
        <w:spacing w:line="247" w:lineRule="auto" w:before="1"/>
        <w:ind w:left="101" w:right="114"/>
        <w:jc w:val="both"/>
      </w:pPr>
      <w:r>
        <w:rPr>
          <w:color w:val="231F20"/>
        </w:rPr>
        <w:t>Una de las características de la violencia en la universidad son los cambios en la identidad profesional y los sentidos de pertenencia.   Al ser el mercado de trabajo inestable, incierto y precario (salvo las contrataciones definitivas), esto tiene efectos en la identidad profe- sional de profesores y trabajadores administrativos. Es lógico que  los sentidos de pertenencia tengan un debilitamiento crucial, de modo que la identidad que puede tener un docente –o un trabaja-  dor administrativo– con su escuela o facultad tiende a</w:t>
      </w:r>
      <w:r>
        <w:rPr>
          <w:color w:val="231F20"/>
          <w:spacing w:val="29"/>
        </w:rPr>
        <w:t> </w:t>
      </w:r>
      <w:r>
        <w:rPr>
          <w:color w:val="231F20"/>
        </w:rPr>
        <w:t>fracturarse.</w:t>
      </w:r>
    </w:p>
    <w:p>
      <w:pPr>
        <w:pStyle w:val="BodyText"/>
        <w:spacing w:before="7"/>
        <w:rPr>
          <w:sz w:val="22"/>
        </w:rPr>
      </w:pPr>
    </w:p>
    <w:p>
      <w:pPr>
        <w:spacing w:before="0"/>
        <w:ind w:left="101" w:right="0" w:firstLine="0"/>
        <w:jc w:val="both"/>
        <w:rPr>
          <w:i/>
          <w:sz w:val="21"/>
        </w:rPr>
      </w:pPr>
      <w:r>
        <w:rPr>
          <w:i/>
          <w:color w:val="231F20"/>
          <w:w w:val="85"/>
          <w:sz w:val="21"/>
        </w:rPr>
        <w:t>Crisis de los sentidos de pertenencia</w:t>
      </w:r>
    </w:p>
    <w:p>
      <w:pPr>
        <w:pStyle w:val="BodyText"/>
        <w:spacing w:before="6"/>
        <w:rPr>
          <w:i/>
        </w:rPr>
      </w:pPr>
    </w:p>
    <w:p>
      <w:pPr>
        <w:pStyle w:val="BodyText"/>
        <w:spacing w:line="244" w:lineRule="auto"/>
        <w:ind w:left="101" w:right="114"/>
        <w:jc w:val="both"/>
      </w:pPr>
      <w:r>
        <w:rPr>
          <w:color w:val="231F20"/>
        </w:rPr>
        <w:t>Los fenómenos actuales de violencia en las facultades según la en- cuesta realizada, explican la “dificultad de instaurar una relación social significativa” entre los miembros de una comunidad escolar. El mismo proceso puede deberse a una crisis del sentido de perte- nencia que, más que considerarse un fenómeno apartado de sus referentes sociales, se convierte en un problema epidémico, pues se refiere más bien a una crisis social. El debilitamiento del sentido de pertenencia se puede observar, por ejemplo, cuando los diferentes académicos transitan de un sindicato a otro dependiendo la fortale- za del mismo en algún momento de la historia de la UABJO.</w:t>
      </w:r>
    </w:p>
    <w:p>
      <w:pPr>
        <w:pStyle w:val="BodyText"/>
        <w:spacing w:before="9"/>
        <w:rPr>
          <w:sz w:val="22"/>
        </w:rPr>
      </w:pPr>
    </w:p>
    <w:p>
      <w:pPr>
        <w:spacing w:before="0"/>
        <w:ind w:left="101" w:right="0" w:firstLine="0"/>
        <w:jc w:val="both"/>
        <w:rPr>
          <w:i/>
          <w:sz w:val="21"/>
        </w:rPr>
      </w:pPr>
      <w:r>
        <w:rPr>
          <w:i/>
          <w:color w:val="231F20"/>
          <w:w w:val="90"/>
          <w:sz w:val="21"/>
        </w:rPr>
        <w:t>El clima laboral</w:t>
      </w:r>
    </w:p>
    <w:p>
      <w:pPr>
        <w:pStyle w:val="BodyText"/>
        <w:spacing w:before="6"/>
        <w:rPr>
          <w:i/>
        </w:rPr>
      </w:pPr>
    </w:p>
    <w:p>
      <w:pPr>
        <w:pStyle w:val="BodyText"/>
        <w:spacing w:line="244" w:lineRule="auto"/>
        <w:ind w:left="101" w:right="117"/>
        <w:jc w:val="both"/>
      </w:pPr>
      <w:r>
        <w:rPr>
          <w:color w:val="231F20"/>
        </w:rPr>
        <w:t>El clima organizacional también es un elemento central para enten- der el fenómeno de la violencia en la UABJO. Una de las caracterís- ticas de un buen clima organizativo es su carácter relacional y per- formativo, cuando se rompe esta condición y el clima organizacio- nal se tensa, puede volverse anómico. Entonces los fenómenos de    la</w:t>
      </w:r>
      <w:r>
        <w:rPr>
          <w:color w:val="231F20"/>
          <w:spacing w:val="21"/>
        </w:rPr>
        <w:t> </w:t>
      </w:r>
      <w:r>
        <w:rPr>
          <w:color w:val="231F20"/>
        </w:rPr>
        <w:t>violencia</w:t>
      </w:r>
      <w:r>
        <w:rPr>
          <w:color w:val="231F20"/>
          <w:spacing w:val="21"/>
        </w:rPr>
        <w:t> </w:t>
      </w:r>
      <w:r>
        <w:rPr>
          <w:color w:val="231F20"/>
        </w:rPr>
        <w:t>tienen</w:t>
      </w:r>
      <w:r>
        <w:rPr>
          <w:color w:val="231F20"/>
          <w:spacing w:val="22"/>
        </w:rPr>
        <w:t> </w:t>
      </w:r>
      <w:r>
        <w:rPr>
          <w:color w:val="231F20"/>
        </w:rPr>
        <w:t>un</w:t>
      </w:r>
      <w:r>
        <w:rPr>
          <w:color w:val="231F20"/>
          <w:spacing w:val="22"/>
        </w:rPr>
        <w:t> </w:t>
      </w:r>
      <w:r>
        <w:rPr>
          <w:color w:val="231F20"/>
        </w:rPr>
        <w:t>carácter</w:t>
      </w:r>
      <w:r>
        <w:rPr>
          <w:color w:val="231F20"/>
          <w:spacing w:val="21"/>
        </w:rPr>
        <w:t> </w:t>
      </w:r>
      <w:r>
        <w:rPr>
          <w:color w:val="231F20"/>
        </w:rPr>
        <w:t>distinto.</w:t>
      </w:r>
      <w:r>
        <w:rPr>
          <w:color w:val="231F20"/>
          <w:spacing w:val="21"/>
        </w:rPr>
        <w:t> </w:t>
      </w:r>
      <w:r>
        <w:rPr>
          <w:color w:val="231F20"/>
        </w:rPr>
        <w:t>En</w:t>
      </w:r>
      <w:r>
        <w:rPr>
          <w:color w:val="231F20"/>
          <w:spacing w:val="22"/>
        </w:rPr>
        <w:t> </w:t>
      </w:r>
      <w:r>
        <w:rPr>
          <w:color w:val="231F20"/>
        </w:rPr>
        <w:t>los</w:t>
      </w:r>
      <w:r>
        <w:rPr>
          <w:color w:val="231F20"/>
          <w:spacing w:val="21"/>
        </w:rPr>
        <w:t> </w:t>
      </w:r>
      <w:r>
        <w:rPr>
          <w:color w:val="231F20"/>
        </w:rPr>
        <w:t>resultados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en-</w:t>
      </w:r>
    </w:p>
    <w:p>
      <w:pPr>
        <w:spacing w:after="0" w:line="244" w:lineRule="auto"/>
        <w:jc w:val="both"/>
        <w:sectPr>
          <w:headerReference w:type="default" r:id="rId838"/>
          <w:footerReference w:type="default" r:id="rId839"/>
          <w:pgSz w:w="7830" w:h="11910"/>
          <w:pgMar w:header="0" w:footer="424" w:top="500" w:bottom="620" w:left="920" w:right="900"/>
          <w:pgNumType w:start="37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4" w:lineRule="auto"/>
        <w:ind w:left="102" w:right="117"/>
        <w:jc w:val="both"/>
      </w:pPr>
      <w:r>
        <w:rPr>
          <w:color w:val="231F20"/>
        </w:rPr>
        <w:t>cuesta que estamos glosando, está claro que los profesores también sufren el fenómeno de la violencia, de acuerdo con la opinión de    los</w:t>
      </w:r>
      <w:r>
        <w:rPr>
          <w:color w:val="231F20"/>
          <w:spacing w:val="1"/>
        </w:rPr>
        <w:t> </w:t>
      </w:r>
      <w:r>
        <w:rPr>
          <w:color w:val="231F20"/>
        </w:rPr>
        <w:t>alumnos.</w:t>
      </w:r>
    </w:p>
    <w:p>
      <w:pPr>
        <w:pStyle w:val="BodyText"/>
        <w:spacing w:before="3"/>
        <w:rPr>
          <w:sz w:val="23"/>
        </w:rPr>
      </w:pPr>
    </w:p>
    <w:p>
      <w:pPr>
        <w:spacing w:before="0"/>
        <w:ind w:left="102" w:right="0" w:firstLine="0"/>
        <w:jc w:val="both"/>
        <w:rPr>
          <w:i/>
          <w:sz w:val="21"/>
        </w:rPr>
      </w:pPr>
      <w:r>
        <w:rPr>
          <w:i/>
          <w:color w:val="231F20"/>
          <w:w w:val="80"/>
          <w:sz w:val="21"/>
        </w:rPr>
        <w:t>Conflicto de roles</w:t>
      </w:r>
    </w:p>
    <w:p>
      <w:pPr>
        <w:pStyle w:val="BodyText"/>
        <w:spacing w:before="1"/>
        <w:rPr>
          <w:i/>
        </w:rPr>
      </w:pPr>
    </w:p>
    <w:p>
      <w:pPr>
        <w:pStyle w:val="BodyText"/>
        <w:spacing w:line="247" w:lineRule="auto" w:before="1"/>
        <w:ind w:left="102" w:right="114"/>
        <w:jc w:val="both"/>
      </w:pPr>
      <w:r>
        <w:rPr>
          <w:color w:val="231F20"/>
        </w:rPr>
        <w:t>Uno de los aspectos que son detonadores de violencia escolar en la UABJO es el conflicto de roles que puede generar la organización escolar. Al haber un debilitamiento de los sentidos de pertenencia, los roles establecidos se vuelven precarios, inestables. Los roles que se tenían también se vuelven precarios, se empiezan a socavar fun- ciones.</w:t>
      </w:r>
    </w:p>
    <w:p>
      <w:pPr>
        <w:pStyle w:val="BodyText"/>
        <w:rPr>
          <w:sz w:val="23"/>
        </w:rPr>
      </w:pPr>
    </w:p>
    <w:p>
      <w:pPr>
        <w:spacing w:before="0"/>
        <w:ind w:left="102" w:right="0" w:firstLine="0"/>
        <w:jc w:val="both"/>
        <w:rPr>
          <w:i/>
          <w:sz w:val="21"/>
        </w:rPr>
      </w:pPr>
      <w:r>
        <w:rPr>
          <w:i/>
          <w:color w:val="231F20"/>
          <w:w w:val="85"/>
          <w:sz w:val="21"/>
        </w:rPr>
        <w:t>Rotura del contrato social</w:t>
      </w:r>
    </w:p>
    <w:p>
      <w:pPr>
        <w:pStyle w:val="BodyText"/>
        <w:spacing w:before="1"/>
        <w:rPr>
          <w:i/>
        </w:rPr>
      </w:pPr>
    </w:p>
    <w:p>
      <w:pPr>
        <w:pStyle w:val="BodyText"/>
        <w:spacing w:line="247" w:lineRule="auto" w:before="1"/>
        <w:ind w:left="102" w:right="117"/>
        <w:jc w:val="both"/>
      </w:pPr>
      <w:r>
        <w:rPr>
          <w:color w:val="231F20"/>
        </w:rPr>
        <w:t>Sin duda los biólogos son quienes han entendido mejor la relevan- cia de contar con un medio ambiente adecuado. De acuerdo con palabras de Prigogine, el organismo funciona de acuerdo a su me- dio. Su medio lo define. Cuando el ambiente se deteriora, también  se deteriora la relación entre los miembros de ese ambien- </w:t>
      </w:r>
      <w:r>
        <w:rPr>
          <w:color w:val="231F20"/>
          <w:w w:val="95"/>
        </w:rPr>
        <w:t>te</w:t>
      </w:r>
      <w:r>
        <w:rPr>
          <w:color w:val="231F20"/>
          <w:w w:val="95"/>
          <w:sz w:val="20"/>
        </w:rPr>
        <w:t>(Prigogine, </w:t>
      </w:r>
      <w:r>
        <w:rPr>
          <w:color w:val="231F20"/>
          <w:spacing w:val="6"/>
          <w:w w:val="95"/>
          <w:sz w:val="20"/>
        </w:rPr>
        <w:t> </w:t>
      </w:r>
      <w:r>
        <w:rPr>
          <w:color w:val="231F20"/>
          <w:w w:val="95"/>
          <w:sz w:val="20"/>
        </w:rPr>
        <w:t>1997:69-71)</w:t>
      </w:r>
      <w:r>
        <w:rPr>
          <w:color w:val="231F20"/>
          <w:w w:val="95"/>
        </w:rPr>
        <w:t>.</w:t>
      </w:r>
    </w:p>
    <w:p>
      <w:pPr>
        <w:pStyle w:val="BodyText"/>
        <w:spacing w:line="249" w:lineRule="auto" w:before="10"/>
        <w:ind w:left="102" w:right="115" w:firstLine="284"/>
        <w:jc w:val="both"/>
      </w:pPr>
      <w:r>
        <w:rPr>
          <w:color w:val="231F20"/>
          <w:spacing w:val="2"/>
        </w:rPr>
        <w:t>Las razones para romper </w:t>
      </w:r>
      <w:r>
        <w:rPr>
          <w:color w:val="231F20"/>
        </w:rPr>
        <w:t>un </w:t>
      </w:r>
      <w:r>
        <w:rPr>
          <w:color w:val="231F20"/>
          <w:spacing w:val="2"/>
        </w:rPr>
        <w:t>contrato social </w:t>
      </w:r>
      <w:r>
        <w:rPr>
          <w:color w:val="231F20"/>
        </w:rPr>
        <w:t>y </w:t>
      </w:r>
      <w:r>
        <w:rPr>
          <w:color w:val="231F20"/>
          <w:spacing w:val="2"/>
        </w:rPr>
        <w:t>psicológico </w:t>
      </w:r>
      <w:r>
        <w:rPr>
          <w:color w:val="231F20"/>
        </w:rPr>
        <w:t>con  </w:t>
      </w:r>
      <w:r>
        <w:rPr>
          <w:color w:val="231F20"/>
          <w:spacing w:val="2"/>
        </w:rPr>
        <w:t>los </w:t>
      </w:r>
      <w:r>
        <w:rPr>
          <w:color w:val="231F20"/>
          <w:spacing w:val="3"/>
        </w:rPr>
        <w:t>demás miembros </w:t>
      </w:r>
      <w:r>
        <w:rPr>
          <w:color w:val="231F20"/>
        </w:rPr>
        <w:t>de las </w:t>
      </w:r>
      <w:r>
        <w:rPr>
          <w:color w:val="231F20"/>
          <w:spacing w:val="3"/>
        </w:rPr>
        <w:t>comunidades humanas </w:t>
      </w:r>
      <w:r>
        <w:rPr>
          <w:color w:val="231F20"/>
          <w:spacing w:val="2"/>
        </w:rPr>
        <w:t>tiene diferentes causas, pero </w:t>
      </w:r>
      <w:r>
        <w:rPr>
          <w:color w:val="231F20"/>
        </w:rPr>
        <w:t>es </w:t>
      </w:r>
      <w:r>
        <w:rPr>
          <w:color w:val="231F20"/>
          <w:spacing w:val="2"/>
        </w:rPr>
        <w:t>claro </w:t>
      </w:r>
      <w:r>
        <w:rPr>
          <w:color w:val="231F20"/>
        </w:rPr>
        <w:t>que las </w:t>
      </w:r>
      <w:r>
        <w:rPr>
          <w:color w:val="231F20"/>
          <w:spacing w:val="3"/>
        </w:rPr>
        <w:t>formas </w:t>
      </w:r>
      <w:r>
        <w:rPr>
          <w:color w:val="231F20"/>
        </w:rPr>
        <w:t>de </w:t>
      </w:r>
      <w:r>
        <w:rPr>
          <w:color w:val="231F20"/>
          <w:spacing w:val="2"/>
        </w:rPr>
        <w:t>aseguramiento </w:t>
      </w:r>
      <w:r>
        <w:rPr>
          <w:color w:val="231F20"/>
        </w:rPr>
        <w:t>de </w:t>
      </w:r>
      <w:r>
        <w:rPr>
          <w:color w:val="231F20"/>
          <w:spacing w:val="2"/>
        </w:rPr>
        <w:t>los </w:t>
      </w:r>
      <w:r>
        <w:rPr>
          <w:color w:val="231F20"/>
          <w:spacing w:val="3"/>
        </w:rPr>
        <w:t>espa- </w:t>
      </w:r>
      <w:r>
        <w:rPr>
          <w:color w:val="231F20"/>
          <w:spacing w:val="2"/>
        </w:rPr>
        <w:t>cios </w:t>
      </w:r>
      <w:r>
        <w:rPr>
          <w:color w:val="231F20"/>
        </w:rPr>
        <w:t>de </w:t>
      </w:r>
      <w:r>
        <w:rPr>
          <w:color w:val="231F20"/>
          <w:spacing w:val="3"/>
        </w:rPr>
        <w:t>poder </w:t>
      </w:r>
      <w:r>
        <w:rPr>
          <w:color w:val="231F20"/>
          <w:spacing w:val="2"/>
        </w:rPr>
        <w:t>rebasan </w:t>
      </w:r>
      <w:r>
        <w:rPr>
          <w:color w:val="231F20"/>
        </w:rPr>
        <w:t>las </w:t>
      </w:r>
      <w:r>
        <w:rPr>
          <w:color w:val="231F20"/>
          <w:spacing w:val="3"/>
        </w:rPr>
        <w:t>formas consensadas </w:t>
      </w:r>
      <w:r>
        <w:rPr>
          <w:color w:val="231F20"/>
        </w:rPr>
        <w:t>y </w:t>
      </w:r>
      <w:r>
        <w:rPr>
          <w:color w:val="231F20"/>
          <w:spacing w:val="3"/>
        </w:rPr>
        <w:t>comunicativas </w:t>
      </w:r>
      <w:r>
        <w:rPr>
          <w:color w:val="231F20"/>
          <w:spacing w:val="2"/>
        </w:rPr>
        <w:t>(acuerdos racionales) </w:t>
      </w:r>
      <w:r>
        <w:rPr>
          <w:color w:val="231F20"/>
        </w:rPr>
        <w:t>de </w:t>
      </w:r>
      <w:r>
        <w:rPr>
          <w:color w:val="231F20"/>
          <w:spacing w:val="2"/>
        </w:rPr>
        <w:t>administración </w:t>
      </w:r>
      <w:r>
        <w:rPr>
          <w:color w:val="231F20"/>
        </w:rPr>
        <w:t>del  </w:t>
      </w:r>
      <w:r>
        <w:rPr>
          <w:color w:val="231F20"/>
          <w:spacing w:val="2"/>
        </w:rPr>
        <w:t>poder. Esta pérdida  del </w:t>
      </w:r>
      <w:r>
        <w:rPr>
          <w:color w:val="231F20"/>
          <w:spacing w:val="3"/>
        </w:rPr>
        <w:t>consenso </w:t>
      </w:r>
      <w:r>
        <w:rPr>
          <w:color w:val="231F20"/>
          <w:spacing w:val="2"/>
        </w:rPr>
        <w:t>para administrar </w:t>
      </w:r>
      <w:r>
        <w:rPr>
          <w:color w:val="231F20"/>
        </w:rPr>
        <w:t>y </w:t>
      </w:r>
      <w:r>
        <w:rPr>
          <w:color w:val="231F20"/>
          <w:spacing w:val="2"/>
        </w:rPr>
        <w:t>repartir recursos </w:t>
      </w:r>
      <w:r>
        <w:rPr>
          <w:color w:val="231F20"/>
        </w:rPr>
        <w:t>lleva a </w:t>
      </w:r>
      <w:r>
        <w:rPr>
          <w:color w:val="231F20"/>
          <w:spacing w:val="3"/>
        </w:rPr>
        <w:t>formas </w:t>
      </w:r>
      <w:r>
        <w:rPr>
          <w:color w:val="231F20"/>
          <w:spacing w:val="2"/>
        </w:rPr>
        <w:t>extremas </w:t>
      </w:r>
      <w:r>
        <w:rPr>
          <w:color w:val="231F20"/>
        </w:rPr>
        <w:t>de </w:t>
      </w:r>
      <w:r>
        <w:rPr>
          <w:color w:val="231F20"/>
          <w:spacing w:val="2"/>
        </w:rPr>
        <w:t>negociación </w:t>
      </w:r>
      <w:r>
        <w:rPr>
          <w:color w:val="231F20"/>
        </w:rPr>
        <w:t>del </w:t>
      </w:r>
      <w:r>
        <w:rPr>
          <w:color w:val="231F20"/>
          <w:spacing w:val="2"/>
        </w:rPr>
        <w:t>contrato social entre los </w:t>
      </w:r>
      <w:r>
        <w:rPr>
          <w:color w:val="231F20"/>
          <w:spacing w:val="3"/>
        </w:rPr>
        <w:t>miembros </w:t>
      </w:r>
      <w:r>
        <w:rPr>
          <w:color w:val="231F20"/>
        </w:rPr>
        <w:t>de la </w:t>
      </w:r>
      <w:r>
        <w:rPr>
          <w:color w:val="231F20"/>
          <w:spacing w:val="3"/>
        </w:rPr>
        <w:t>comunidad, </w:t>
      </w:r>
      <w:r>
        <w:rPr>
          <w:color w:val="231F20"/>
        </w:rPr>
        <w:t>lo </w:t>
      </w:r>
      <w:r>
        <w:rPr>
          <w:color w:val="231F20"/>
          <w:spacing w:val="2"/>
        </w:rPr>
        <w:t>que </w:t>
      </w:r>
      <w:r>
        <w:rPr>
          <w:color w:val="231F20"/>
        </w:rPr>
        <w:t>lleva a la</w:t>
      </w:r>
      <w:r>
        <w:rPr>
          <w:color w:val="231F20"/>
          <w:spacing w:val="-31"/>
        </w:rPr>
        <w:t> </w:t>
      </w:r>
      <w:r>
        <w:rPr>
          <w:color w:val="231F20"/>
          <w:spacing w:val="2"/>
        </w:rPr>
        <w:t>violencia.</w:t>
      </w:r>
    </w:p>
    <w:p>
      <w:pPr>
        <w:pStyle w:val="BodyText"/>
        <w:spacing w:before="7"/>
      </w:pPr>
    </w:p>
    <w:p>
      <w:pPr>
        <w:spacing w:before="0"/>
        <w:ind w:left="102" w:right="0" w:firstLine="0"/>
        <w:jc w:val="both"/>
        <w:rPr>
          <w:i/>
          <w:sz w:val="21"/>
        </w:rPr>
      </w:pPr>
      <w:r>
        <w:rPr>
          <w:i/>
          <w:color w:val="231F20"/>
          <w:sz w:val="21"/>
        </w:rPr>
        <w:t>Extrañamiento</w:t>
      </w:r>
    </w:p>
    <w:p>
      <w:pPr>
        <w:pStyle w:val="BodyText"/>
        <w:spacing w:before="1"/>
        <w:rPr>
          <w:i/>
        </w:rPr>
      </w:pPr>
    </w:p>
    <w:p>
      <w:pPr>
        <w:pStyle w:val="BodyText"/>
        <w:spacing w:line="244" w:lineRule="auto" w:before="1"/>
        <w:ind w:left="102" w:right="114"/>
        <w:jc w:val="both"/>
      </w:pPr>
      <w:r>
        <w:rPr>
          <w:color w:val="231F20"/>
        </w:rPr>
        <w:t>Uno de los elementos que resurgen en el nuevo milenio con las nuevas formas de violencia es la aparición de nuevas formas de extrañeza. En la universidad pueden observarse problemas de ena- jenación de miembros de la comunidad escolar (los estudiantes, los docentes y los administrativos). Por ejemplo, ha habido deserción   en la universidad por las constantes tomas, paros o huelgas. Algu- nos</w:t>
      </w:r>
      <w:r>
        <w:rPr>
          <w:color w:val="231F20"/>
          <w:spacing w:val="41"/>
        </w:rPr>
        <w:t> </w:t>
      </w:r>
      <w:r>
        <w:rPr>
          <w:color w:val="231F20"/>
        </w:rPr>
        <w:t>estudiantes</w:t>
      </w:r>
      <w:r>
        <w:rPr>
          <w:color w:val="231F20"/>
          <w:spacing w:val="41"/>
        </w:rPr>
        <w:t> </w:t>
      </w:r>
      <w:r>
        <w:rPr>
          <w:color w:val="231F20"/>
        </w:rPr>
        <w:t>se</w:t>
      </w:r>
      <w:r>
        <w:rPr>
          <w:color w:val="231F20"/>
          <w:spacing w:val="41"/>
        </w:rPr>
        <w:t> </w:t>
      </w:r>
      <w:r>
        <w:rPr>
          <w:color w:val="231F20"/>
        </w:rPr>
        <w:t>han</w:t>
      </w:r>
      <w:r>
        <w:rPr>
          <w:color w:val="231F20"/>
          <w:spacing w:val="42"/>
        </w:rPr>
        <w:t> </w:t>
      </w:r>
      <w:r>
        <w:rPr>
          <w:color w:val="231F20"/>
        </w:rPr>
        <w:t>cambiado</w:t>
      </w:r>
      <w:r>
        <w:rPr>
          <w:color w:val="231F20"/>
          <w:spacing w:val="42"/>
        </w:rPr>
        <w:t> </w:t>
      </w:r>
      <w:r>
        <w:rPr>
          <w:color w:val="231F20"/>
        </w:rPr>
        <w:t>a</w:t>
      </w:r>
      <w:r>
        <w:rPr>
          <w:color w:val="231F20"/>
          <w:spacing w:val="41"/>
        </w:rPr>
        <w:t> </w:t>
      </w:r>
      <w:r>
        <w:rPr>
          <w:color w:val="231F20"/>
        </w:rPr>
        <w:t>otras</w:t>
      </w:r>
      <w:r>
        <w:rPr>
          <w:color w:val="231F20"/>
          <w:spacing w:val="41"/>
        </w:rPr>
        <w:t> </w:t>
      </w:r>
      <w:r>
        <w:rPr>
          <w:color w:val="231F20"/>
        </w:rPr>
        <w:t>universidades,</w:t>
      </w:r>
      <w:r>
        <w:rPr>
          <w:color w:val="231F20"/>
          <w:spacing w:val="40"/>
        </w:rPr>
        <w:t> </w:t>
      </w:r>
      <w:r>
        <w:rPr>
          <w:color w:val="231F20"/>
        </w:rPr>
        <w:t>donde</w:t>
      </w:r>
      <w:r>
        <w:rPr>
          <w:color w:val="231F20"/>
          <w:spacing w:val="41"/>
        </w:rPr>
        <w:t> </w:t>
      </w:r>
      <w:r>
        <w:rPr>
          <w:color w:val="231F20"/>
        </w:rPr>
        <w:t>se</w:t>
      </w:r>
    </w:p>
    <w:p>
      <w:pPr>
        <w:spacing w:after="0" w:line="244" w:lineRule="auto"/>
        <w:jc w:val="both"/>
        <w:sectPr>
          <w:headerReference w:type="default" r:id="rId840"/>
          <w:footerReference w:type="default" r:id="rId841"/>
          <w:pgSz w:w="7830" w:h="11910"/>
          <w:pgMar w:header="0" w:footer="424" w:top="500" w:bottom="620" w:left="920" w:right="900"/>
          <w:pgNumType w:start="37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16"/>
        <w:jc w:val="both"/>
      </w:pPr>
      <w:r>
        <w:rPr>
          <w:color w:val="231F20"/>
        </w:rPr>
        <w:t>asegura no existe el porrismo y la toma constante de escuelas y facultades.</w:t>
      </w:r>
    </w:p>
    <w:p>
      <w:pPr>
        <w:pStyle w:val="BodyText"/>
        <w:spacing w:line="249" w:lineRule="auto" w:before="10"/>
        <w:ind w:left="102" w:right="115" w:firstLine="284"/>
        <w:jc w:val="both"/>
      </w:pPr>
      <w:r>
        <w:rPr>
          <w:color w:val="231F20"/>
        </w:rPr>
        <w:t>La </w:t>
      </w:r>
      <w:r>
        <w:rPr>
          <w:color w:val="231F20"/>
          <w:spacing w:val="2"/>
        </w:rPr>
        <w:t>enajenación </w:t>
      </w:r>
      <w:r>
        <w:rPr>
          <w:color w:val="231F20"/>
        </w:rPr>
        <w:t>es un </w:t>
      </w:r>
      <w:r>
        <w:rPr>
          <w:color w:val="231F20"/>
          <w:spacing w:val="2"/>
        </w:rPr>
        <w:t>fenómeno </w:t>
      </w:r>
      <w:r>
        <w:rPr>
          <w:color w:val="231F20"/>
        </w:rPr>
        <w:t>que </w:t>
      </w:r>
      <w:r>
        <w:rPr>
          <w:color w:val="231F20"/>
          <w:spacing w:val="2"/>
        </w:rPr>
        <w:t>resulta del deterioro </w:t>
      </w:r>
      <w:r>
        <w:rPr>
          <w:color w:val="231F20"/>
          <w:spacing w:val="3"/>
        </w:rPr>
        <w:t>orga- </w:t>
      </w:r>
      <w:r>
        <w:rPr>
          <w:color w:val="231F20"/>
          <w:spacing w:val="2"/>
        </w:rPr>
        <w:t>nizativo. Esta resulta </w:t>
      </w:r>
      <w:r>
        <w:rPr>
          <w:color w:val="231F20"/>
        </w:rPr>
        <w:t>de </w:t>
      </w:r>
      <w:r>
        <w:rPr>
          <w:color w:val="231F20"/>
          <w:spacing w:val="3"/>
        </w:rPr>
        <w:t>condiciones </w:t>
      </w:r>
      <w:r>
        <w:rPr>
          <w:color w:val="231F20"/>
        </w:rPr>
        <w:t>de </w:t>
      </w:r>
      <w:r>
        <w:rPr>
          <w:color w:val="231F20"/>
          <w:spacing w:val="2"/>
        </w:rPr>
        <w:t>falta </w:t>
      </w:r>
      <w:r>
        <w:rPr>
          <w:color w:val="231F20"/>
        </w:rPr>
        <w:t>de </w:t>
      </w:r>
      <w:r>
        <w:rPr>
          <w:color w:val="231F20"/>
          <w:spacing w:val="3"/>
        </w:rPr>
        <w:t>consenso </w:t>
      </w:r>
      <w:r>
        <w:rPr>
          <w:color w:val="231F20"/>
        </w:rPr>
        <w:t>y </w:t>
      </w:r>
      <w:r>
        <w:rPr>
          <w:color w:val="231F20"/>
          <w:spacing w:val="3"/>
        </w:rPr>
        <w:t>en- </w:t>
      </w:r>
      <w:r>
        <w:rPr>
          <w:color w:val="231F20"/>
          <w:spacing w:val="2"/>
        </w:rPr>
        <w:t>tendimiento </w:t>
      </w:r>
      <w:r>
        <w:rPr>
          <w:color w:val="231F20"/>
          <w:spacing w:val="3"/>
        </w:rPr>
        <w:t>comunicativo </w:t>
      </w:r>
      <w:r>
        <w:rPr>
          <w:color w:val="231F20"/>
          <w:spacing w:val="2"/>
        </w:rPr>
        <w:t>entre los </w:t>
      </w:r>
      <w:r>
        <w:rPr>
          <w:color w:val="231F20"/>
          <w:spacing w:val="3"/>
        </w:rPr>
        <w:t>grupos </w:t>
      </w:r>
      <w:r>
        <w:rPr>
          <w:color w:val="231F20"/>
        </w:rPr>
        <w:t>de </w:t>
      </w:r>
      <w:r>
        <w:rPr>
          <w:color w:val="231F20"/>
          <w:spacing w:val="2"/>
        </w:rPr>
        <w:t>poder </w:t>
      </w:r>
      <w:r>
        <w:rPr>
          <w:color w:val="231F20"/>
        </w:rPr>
        <w:t>al </w:t>
      </w:r>
      <w:r>
        <w:rPr>
          <w:color w:val="231F20"/>
          <w:spacing w:val="2"/>
        </w:rPr>
        <w:t>interior </w:t>
      </w:r>
      <w:r>
        <w:rPr>
          <w:color w:val="231F20"/>
        </w:rPr>
        <w:t>de  la </w:t>
      </w:r>
      <w:r>
        <w:rPr>
          <w:color w:val="231F20"/>
          <w:spacing w:val="2"/>
        </w:rPr>
        <w:t>universidad. </w:t>
      </w:r>
      <w:r>
        <w:rPr>
          <w:color w:val="231F20"/>
          <w:spacing w:val="3"/>
        </w:rPr>
        <w:t>Emergen </w:t>
      </w:r>
      <w:r>
        <w:rPr>
          <w:color w:val="231F20"/>
        </w:rPr>
        <w:t>así </w:t>
      </w:r>
      <w:r>
        <w:rPr>
          <w:color w:val="231F20"/>
          <w:spacing w:val="2"/>
        </w:rPr>
        <w:t>nuevos vínculos identitarios (apari- ción </w:t>
      </w:r>
      <w:r>
        <w:rPr>
          <w:color w:val="231F20"/>
        </w:rPr>
        <w:t>de </w:t>
      </w:r>
      <w:r>
        <w:rPr>
          <w:color w:val="231F20"/>
          <w:spacing w:val="2"/>
        </w:rPr>
        <w:t>redes sociales por internet, </w:t>
      </w:r>
      <w:r>
        <w:rPr>
          <w:color w:val="231F20"/>
        </w:rPr>
        <w:t>el </w:t>
      </w:r>
      <w:r>
        <w:rPr>
          <w:color w:val="231F20"/>
          <w:spacing w:val="2"/>
        </w:rPr>
        <w:t>ciber, </w:t>
      </w:r>
      <w:r>
        <w:rPr>
          <w:color w:val="231F20"/>
        </w:rPr>
        <w:t>el </w:t>
      </w:r>
      <w:r>
        <w:rPr>
          <w:color w:val="231F20"/>
          <w:spacing w:val="2"/>
        </w:rPr>
        <w:t>chat) con </w:t>
      </w:r>
      <w:r>
        <w:rPr>
          <w:color w:val="231F20"/>
          <w:spacing w:val="3"/>
        </w:rPr>
        <w:t>nuevos </w:t>
      </w:r>
      <w:r>
        <w:rPr>
          <w:color w:val="231F20"/>
          <w:spacing w:val="2"/>
        </w:rPr>
        <w:t>actores (grupos </w:t>
      </w:r>
      <w:r>
        <w:rPr>
          <w:color w:val="231F20"/>
        </w:rPr>
        <w:t>de </w:t>
      </w:r>
      <w:r>
        <w:rPr>
          <w:color w:val="231F20"/>
          <w:spacing w:val="2"/>
        </w:rPr>
        <w:t>choque </w:t>
      </w:r>
      <w:r>
        <w:rPr>
          <w:color w:val="231F20"/>
        </w:rPr>
        <w:t>al </w:t>
      </w:r>
      <w:r>
        <w:rPr>
          <w:color w:val="231F20"/>
          <w:spacing w:val="2"/>
        </w:rPr>
        <w:t>interior </w:t>
      </w:r>
      <w:r>
        <w:rPr>
          <w:color w:val="231F20"/>
        </w:rPr>
        <w:t>de </w:t>
      </w:r>
      <w:r>
        <w:rPr>
          <w:color w:val="231F20"/>
          <w:spacing w:val="2"/>
        </w:rPr>
        <w:t>esta institución) </w:t>
      </w:r>
      <w:r>
        <w:rPr>
          <w:color w:val="231F20"/>
        </w:rPr>
        <w:t>y </w:t>
      </w:r>
      <w:r>
        <w:rPr>
          <w:color w:val="231F20"/>
          <w:spacing w:val="2"/>
        </w:rPr>
        <w:t>con </w:t>
      </w:r>
      <w:r>
        <w:rPr>
          <w:color w:val="231F20"/>
          <w:spacing w:val="3"/>
        </w:rPr>
        <w:t>personas </w:t>
      </w:r>
      <w:r>
        <w:rPr>
          <w:color w:val="231F20"/>
        </w:rPr>
        <w:t>que no </w:t>
      </w:r>
      <w:r>
        <w:rPr>
          <w:color w:val="231F20"/>
          <w:spacing w:val="2"/>
        </w:rPr>
        <w:t>estudian </w:t>
      </w:r>
      <w:r>
        <w:rPr>
          <w:color w:val="231F20"/>
        </w:rPr>
        <w:t>o </w:t>
      </w:r>
      <w:r>
        <w:rPr>
          <w:color w:val="231F20"/>
          <w:spacing w:val="2"/>
        </w:rPr>
        <w:t>trabajan </w:t>
      </w:r>
      <w:r>
        <w:rPr>
          <w:color w:val="231F20"/>
        </w:rPr>
        <w:t>en la </w:t>
      </w:r>
      <w:r>
        <w:rPr>
          <w:color w:val="231F20"/>
          <w:spacing w:val="3"/>
        </w:rPr>
        <w:t>UABJO, </w:t>
      </w:r>
      <w:r>
        <w:rPr>
          <w:color w:val="231F20"/>
          <w:spacing w:val="2"/>
        </w:rPr>
        <w:t>pero </w:t>
      </w:r>
      <w:r>
        <w:rPr>
          <w:color w:val="231F20"/>
        </w:rPr>
        <w:t>que </w:t>
      </w:r>
      <w:r>
        <w:rPr>
          <w:color w:val="231F20"/>
          <w:spacing w:val="3"/>
        </w:rPr>
        <w:t>irrumpen </w:t>
      </w:r>
      <w:r>
        <w:rPr>
          <w:color w:val="231F20"/>
        </w:rPr>
        <w:t>en</w:t>
      </w:r>
      <w:r>
        <w:rPr>
          <w:color w:val="231F20"/>
          <w:spacing w:val="2"/>
        </w:rPr>
        <w:t> </w:t>
      </w:r>
      <w:r>
        <w:rPr>
          <w:color w:val="231F20"/>
        </w:rPr>
        <w:t>ella.</w:t>
      </w:r>
    </w:p>
    <w:p>
      <w:pPr>
        <w:pStyle w:val="BodyText"/>
        <w:spacing w:before="7"/>
      </w:pPr>
    </w:p>
    <w:p>
      <w:pPr>
        <w:spacing w:before="0"/>
        <w:ind w:left="102" w:right="0" w:firstLine="0"/>
        <w:jc w:val="both"/>
        <w:rPr>
          <w:i/>
          <w:sz w:val="21"/>
        </w:rPr>
      </w:pPr>
      <w:r>
        <w:rPr>
          <w:i/>
          <w:color w:val="231F20"/>
          <w:w w:val="80"/>
          <w:sz w:val="21"/>
        </w:rPr>
        <w:t>Despersonalización  laboral</w:t>
      </w:r>
    </w:p>
    <w:p>
      <w:pPr>
        <w:pStyle w:val="BodyText"/>
        <w:spacing w:before="1"/>
        <w:rPr>
          <w:i/>
        </w:rPr>
      </w:pPr>
    </w:p>
    <w:p>
      <w:pPr>
        <w:pStyle w:val="BodyText"/>
        <w:spacing w:line="244" w:lineRule="auto" w:before="1"/>
        <w:ind w:left="102" w:right="116"/>
        <w:jc w:val="both"/>
      </w:pPr>
      <w:r>
        <w:rPr>
          <w:color w:val="231F20"/>
        </w:rPr>
        <w:t>La anomia llega a penetrar las relaciones entre los miembros de tal manera que los objetivos explícitos de la violencia están orientados  a generar la despersonalización de la misma, de modo que parece una acción natural y legítima de acceso a los recursos y la toma de decisiones al interior de la</w:t>
      </w:r>
      <w:r>
        <w:rPr>
          <w:color w:val="231F20"/>
          <w:spacing w:val="-26"/>
        </w:rPr>
        <w:t> </w:t>
      </w:r>
      <w:r>
        <w:rPr>
          <w:color w:val="231F20"/>
        </w:rPr>
        <w:t>universidad.</w:t>
      </w:r>
    </w:p>
    <w:p>
      <w:pPr>
        <w:pStyle w:val="BodyText"/>
        <w:spacing w:before="3"/>
        <w:rPr>
          <w:sz w:val="23"/>
        </w:rPr>
      </w:pPr>
    </w:p>
    <w:p>
      <w:pPr>
        <w:spacing w:before="0"/>
        <w:ind w:left="101" w:right="0" w:firstLine="0"/>
        <w:jc w:val="both"/>
        <w:rPr>
          <w:i/>
          <w:sz w:val="21"/>
        </w:rPr>
      </w:pPr>
      <w:r>
        <w:rPr>
          <w:i/>
          <w:color w:val="231F20"/>
          <w:w w:val="85"/>
          <w:sz w:val="21"/>
        </w:rPr>
        <w:t>Disfuncionalidad organizativa</w:t>
      </w:r>
    </w:p>
    <w:p>
      <w:pPr>
        <w:pStyle w:val="BodyText"/>
        <w:spacing w:before="1"/>
        <w:rPr>
          <w:i/>
        </w:rPr>
      </w:pPr>
    </w:p>
    <w:p>
      <w:pPr>
        <w:pStyle w:val="BodyText"/>
        <w:spacing w:line="247" w:lineRule="auto" w:before="1"/>
        <w:ind w:left="101" w:right="117"/>
        <w:jc w:val="both"/>
      </w:pPr>
      <w:r>
        <w:rPr>
          <w:color w:val="231F20"/>
        </w:rPr>
        <w:t>En este apartado analizaremos algunos de los hallazgos más impor- tantes de las reflexiones anteriores.</w:t>
      </w:r>
    </w:p>
    <w:p>
      <w:pPr>
        <w:pStyle w:val="BodyText"/>
        <w:spacing w:line="249" w:lineRule="auto" w:before="10"/>
        <w:ind w:left="101" w:right="115" w:firstLine="284"/>
        <w:jc w:val="both"/>
      </w:pPr>
      <w:r>
        <w:rPr>
          <w:color w:val="231F20"/>
        </w:rPr>
        <w:t>Para tratar de entender las razones por las que existe la violen- cia en las facultades, es necesario decir que en la actualidad esta se erige como una experiencia de vida. Es decir, puede coexistir en diferentes ámbitos. Hasta el menos imaginado, como la familia, se encuentra en crisis. (Gramigna, 2003: 186)</w:t>
      </w:r>
    </w:p>
    <w:p>
      <w:pPr>
        <w:pStyle w:val="BodyText"/>
        <w:spacing w:line="249" w:lineRule="auto"/>
        <w:ind w:left="101" w:right="114" w:firstLine="284"/>
        <w:jc w:val="both"/>
      </w:pPr>
      <w:r>
        <w:rPr>
          <w:color w:val="231F20"/>
        </w:rPr>
        <w:t>La </w:t>
      </w:r>
      <w:r>
        <w:rPr>
          <w:color w:val="231F20"/>
          <w:spacing w:val="2"/>
        </w:rPr>
        <w:t>historia </w:t>
      </w:r>
      <w:r>
        <w:rPr>
          <w:color w:val="231F20"/>
        </w:rPr>
        <w:t>de la </w:t>
      </w:r>
      <w:r>
        <w:rPr>
          <w:color w:val="231F20"/>
          <w:spacing w:val="3"/>
        </w:rPr>
        <w:t>UABJO </w:t>
      </w:r>
      <w:r>
        <w:rPr>
          <w:color w:val="231F20"/>
          <w:spacing w:val="2"/>
        </w:rPr>
        <w:t>tiene diferentes </w:t>
      </w:r>
      <w:r>
        <w:rPr>
          <w:color w:val="231F20"/>
          <w:spacing w:val="3"/>
        </w:rPr>
        <w:t>momentos. </w:t>
      </w:r>
      <w:r>
        <w:rPr>
          <w:color w:val="231F20"/>
          <w:spacing w:val="2"/>
        </w:rPr>
        <w:t>De </w:t>
      </w:r>
      <w:r>
        <w:rPr>
          <w:color w:val="231F20"/>
        </w:rPr>
        <w:t>he- </w:t>
      </w:r>
      <w:r>
        <w:rPr>
          <w:color w:val="231F20"/>
          <w:spacing w:val="2"/>
        </w:rPr>
        <w:t>cho, </w:t>
      </w:r>
      <w:r>
        <w:rPr>
          <w:color w:val="231F20"/>
        </w:rPr>
        <w:t>en </w:t>
      </w:r>
      <w:r>
        <w:rPr>
          <w:color w:val="231F20"/>
          <w:spacing w:val="2"/>
        </w:rPr>
        <w:t>algún </w:t>
      </w:r>
      <w:r>
        <w:rPr>
          <w:color w:val="231F20"/>
          <w:spacing w:val="3"/>
        </w:rPr>
        <w:t>momento </w:t>
      </w:r>
      <w:r>
        <w:rPr>
          <w:color w:val="231F20"/>
        </w:rPr>
        <w:t>ha </w:t>
      </w:r>
      <w:r>
        <w:rPr>
          <w:color w:val="231F20"/>
          <w:spacing w:val="2"/>
        </w:rPr>
        <w:t>sido </w:t>
      </w:r>
      <w:r>
        <w:rPr>
          <w:color w:val="231F20"/>
        </w:rPr>
        <w:t>un </w:t>
      </w:r>
      <w:r>
        <w:rPr>
          <w:color w:val="231F20"/>
          <w:spacing w:val="3"/>
        </w:rPr>
        <w:t>emblema </w:t>
      </w:r>
      <w:r>
        <w:rPr>
          <w:color w:val="231F20"/>
          <w:spacing w:val="2"/>
        </w:rPr>
        <w:t>nacional, pues </w:t>
      </w:r>
      <w:r>
        <w:rPr>
          <w:color w:val="231F20"/>
          <w:spacing w:val="3"/>
        </w:rPr>
        <w:t>tiene</w:t>
      </w:r>
      <w:r>
        <w:rPr>
          <w:color w:val="231F20"/>
          <w:spacing w:val="58"/>
        </w:rPr>
        <w:t> </w:t>
      </w:r>
      <w:r>
        <w:rPr>
          <w:color w:val="231F20"/>
        </w:rPr>
        <w:t>su </w:t>
      </w:r>
      <w:r>
        <w:rPr>
          <w:color w:val="231F20"/>
          <w:spacing w:val="2"/>
        </w:rPr>
        <w:t>origen </w:t>
      </w:r>
      <w:r>
        <w:rPr>
          <w:color w:val="231F20"/>
        </w:rPr>
        <w:t>en el </w:t>
      </w:r>
      <w:r>
        <w:rPr>
          <w:color w:val="231F20"/>
          <w:spacing w:val="2"/>
        </w:rPr>
        <w:t>bien </w:t>
      </w:r>
      <w:r>
        <w:rPr>
          <w:color w:val="231F20"/>
          <w:spacing w:val="3"/>
        </w:rPr>
        <w:t>conocido </w:t>
      </w:r>
      <w:r>
        <w:rPr>
          <w:color w:val="231F20"/>
          <w:spacing w:val="2"/>
        </w:rPr>
        <w:t>Instituto </w:t>
      </w:r>
      <w:r>
        <w:rPr>
          <w:color w:val="231F20"/>
        </w:rPr>
        <w:t>de </w:t>
      </w:r>
      <w:r>
        <w:rPr>
          <w:color w:val="231F20"/>
          <w:spacing w:val="2"/>
        </w:rPr>
        <w:t>Ciencias </w:t>
      </w:r>
      <w:r>
        <w:rPr>
          <w:color w:val="231F20"/>
        </w:rPr>
        <w:t>y </w:t>
      </w:r>
      <w:r>
        <w:rPr>
          <w:color w:val="231F20"/>
          <w:spacing w:val="2"/>
        </w:rPr>
        <w:t>Artes del Estado </w:t>
      </w:r>
      <w:r>
        <w:rPr>
          <w:color w:val="231F20"/>
        </w:rPr>
        <w:t>de </w:t>
      </w:r>
      <w:r>
        <w:rPr>
          <w:color w:val="231F20"/>
          <w:spacing w:val="2"/>
        </w:rPr>
        <w:t>Oaxaca </w:t>
      </w:r>
      <w:r>
        <w:rPr>
          <w:color w:val="231F20"/>
          <w:spacing w:val="3"/>
        </w:rPr>
        <w:t>(ICAEO), </w:t>
      </w:r>
      <w:r>
        <w:rPr>
          <w:color w:val="231F20"/>
          <w:spacing w:val="2"/>
        </w:rPr>
        <w:t>cuyo prestigio  político  </w:t>
      </w:r>
      <w:r>
        <w:rPr>
          <w:color w:val="231F20"/>
        </w:rPr>
        <w:t>se  </w:t>
      </w:r>
      <w:r>
        <w:rPr>
          <w:color w:val="231F20"/>
          <w:spacing w:val="2"/>
        </w:rPr>
        <w:t>debió  </w:t>
      </w:r>
      <w:r>
        <w:rPr>
          <w:color w:val="231F20"/>
        </w:rPr>
        <w:t>a que en </w:t>
      </w:r>
      <w:r>
        <w:rPr>
          <w:color w:val="231F20"/>
          <w:spacing w:val="2"/>
        </w:rPr>
        <w:t>esta institución </w:t>
      </w:r>
      <w:r>
        <w:rPr>
          <w:color w:val="231F20"/>
        </w:rPr>
        <w:t>se </w:t>
      </w:r>
      <w:r>
        <w:rPr>
          <w:color w:val="231F20"/>
          <w:spacing w:val="3"/>
        </w:rPr>
        <w:t>formaron </w:t>
      </w:r>
      <w:r>
        <w:rPr>
          <w:color w:val="231F20"/>
          <w:spacing w:val="2"/>
        </w:rPr>
        <w:t>liberales </w:t>
      </w:r>
      <w:r>
        <w:rPr>
          <w:color w:val="231F20"/>
          <w:spacing w:val="3"/>
        </w:rPr>
        <w:t>importantes durante   </w:t>
      </w:r>
      <w:r>
        <w:rPr>
          <w:color w:val="231F20"/>
        </w:rPr>
        <w:t>el siglo </w:t>
      </w:r>
      <w:r>
        <w:rPr>
          <w:color w:val="231F20"/>
          <w:spacing w:val="2"/>
        </w:rPr>
        <w:t>xix,de acuerdo con Jiménez, </w:t>
      </w:r>
      <w:r>
        <w:rPr>
          <w:color w:val="231F20"/>
        </w:rPr>
        <w:t>en el </w:t>
      </w:r>
      <w:r>
        <w:rPr>
          <w:color w:val="231F20"/>
          <w:spacing w:val="2"/>
        </w:rPr>
        <w:t>Instituto </w:t>
      </w:r>
      <w:r>
        <w:rPr>
          <w:color w:val="231F20"/>
        </w:rPr>
        <w:t>de </w:t>
      </w:r>
      <w:r>
        <w:rPr>
          <w:color w:val="231F20"/>
          <w:spacing w:val="2"/>
        </w:rPr>
        <w:t>Ciencias </w:t>
      </w:r>
      <w:r>
        <w:rPr>
          <w:color w:val="231F20"/>
        </w:rPr>
        <w:t>y </w:t>
      </w:r>
      <w:r>
        <w:rPr>
          <w:color w:val="231F20"/>
          <w:spacing w:val="2"/>
        </w:rPr>
        <w:t>Artes </w:t>
      </w:r>
      <w:r>
        <w:rPr>
          <w:color w:val="231F20"/>
        </w:rPr>
        <w:t>del </w:t>
      </w:r>
      <w:r>
        <w:rPr>
          <w:color w:val="231F20"/>
          <w:spacing w:val="2"/>
        </w:rPr>
        <w:t>Estado </w:t>
      </w:r>
      <w:r>
        <w:rPr>
          <w:color w:val="231F20"/>
        </w:rPr>
        <w:t>de </w:t>
      </w:r>
      <w:r>
        <w:rPr>
          <w:color w:val="231F20"/>
          <w:spacing w:val="2"/>
        </w:rPr>
        <w:t>Oaxaca </w:t>
      </w:r>
      <w:r>
        <w:rPr>
          <w:color w:val="231F20"/>
          <w:spacing w:val="3"/>
        </w:rPr>
        <w:t>(ICAEO) </w:t>
      </w:r>
      <w:r>
        <w:rPr>
          <w:color w:val="231F20"/>
        </w:rPr>
        <w:t>se </w:t>
      </w:r>
      <w:r>
        <w:rPr>
          <w:color w:val="231F20"/>
          <w:spacing w:val="3"/>
        </w:rPr>
        <w:t>formaron </w:t>
      </w:r>
      <w:r>
        <w:rPr>
          <w:color w:val="231F20"/>
          <w:spacing w:val="2"/>
        </w:rPr>
        <w:t>liberales </w:t>
      </w:r>
      <w:r>
        <w:rPr>
          <w:color w:val="231F20"/>
          <w:spacing w:val="3"/>
        </w:rPr>
        <w:t>como </w:t>
      </w:r>
      <w:r>
        <w:rPr>
          <w:color w:val="231F20"/>
          <w:spacing w:val="2"/>
        </w:rPr>
        <w:t>Benito Juárez, Porfirio Díaz, Miguel </w:t>
      </w:r>
      <w:r>
        <w:rPr>
          <w:color w:val="231F20"/>
          <w:spacing w:val="3"/>
        </w:rPr>
        <w:t>Méndez, </w:t>
      </w:r>
      <w:r>
        <w:rPr>
          <w:color w:val="231F20"/>
          <w:spacing w:val="2"/>
        </w:rPr>
        <w:t>Ignacio Mejía, Mar- cos Pérez, </w:t>
      </w:r>
      <w:r>
        <w:rPr>
          <w:color w:val="231F20"/>
          <w:spacing w:val="3"/>
        </w:rPr>
        <w:t>Manuel Dublain, </w:t>
      </w:r>
      <w:r>
        <w:rPr>
          <w:color w:val="231F20"/>
        </w:rPr>
        <w:t>lo </w:t>
      </w:r>
      <w:r>
        <w:rPr>
          <w:color w:val="231F20"/>
          <w:spacing w:val="2"/>
        </w:rPr>
        <w:t>que </w:t>
      </w:r>
      <w:r>
        <w:rPr>
          <w:color w:val="231F20"/>
        </w:rPr>
        <w:t>le </w:t>
      </w:r>
      <w:r>
        <w:rPr>
          <w:color w:val="231F20"/>
          <w:spacing w:val="2"/>
        </w:rPr>
        <w:t>brindó </w:t>
      </w:r>
      <w:r>
        <w:rPr>
          <w:color w:val="231F20"/>
        </w:rPr>
        <w:t>un </w:t>
      </w:r>
      <w:r>
        <w:rPr>
          <w:color w:val="231F20"/>
          <w:spacing w:val="3"/>
        </w:rPr>
        <w:t>importante “pres- </w:t>
      </w:r>
      <w:r>
        <w:rPr>
          <w:color w:val="231F20"/>
        </w:rPr>
        <w:t>tigio </w:t>
      </w:r>
      <w:r>
        <w:rPr>
          <w:color w:val="231F20"/>
          <w:spacing w:val="2"/>
        </w:rPr>
        <w:t>político durante </w:t>
      </w:r>
      <w:r>
        <w:rPr>
          <w:color w:val="231F20"/>
        </w:rPr>
        <w:t>el siglo xix” </w:t>
      </w:r>
      <w:r>
        <w:rPr>
          <w:color w:val="231F20"/>
          <w:spacing w:val="2"/>
        </w:rPr>
        <w:t>(Jiménez, 2010: </w:t>
      </w:r>
      <w:r>
        <w:rPr>
          <w:color w:val="231F20"/>
        </w:rPr>
        <w:t>2). Sin </w:t>
      </w:r>
      <w:r>
        <w:rPr>
          <w:color w:val="231F20"/>
          <w:spacing w:val="3"/>
        </w:rPr>
        <w:t>embargo, </w:t>
      </w:r>
      <w:r>
        <w:rPr>
          <w:color w:val="231F20"/>
          <w:spacing w:val="2"/>
        </w:rPr>
        <w:t>ahora presenta </w:t>
      </w:r>
      <w:r>
        <w:rPr>
          <w:color w:val="231F20"/>
          <w:spacing w:val="3"/>
        </w:rPr>
        <w:t>problemas </w:t>
      </w:r>
      <w:r>
        <w:rPr>
          <w:color w:val="231F20"/>
          <w:spacing w:val="2"/>
        </w:rPr>
        <w:t>políticos </w:t>
      </w:r>
      <w:r>
        <w:rPr>
          <w:color w:val="231F20"/>
        </w:rPr>
        <w:t>que  </w:t>
      </w:r>
      <w:r>
        <w:rPr>
          <w:color w:val="231F20"/>
          <w:spacing w:val="2"/>
        </w:rPr>
        <w:t>han rebasado </w:t>
      </w:r>
      <w:r>
        <w:rPr>
          <w:color w:val="231F20"/>
        </w:rPr>
        <w:t>el   </w:t>
      </w:r>
      <w:r>
        <w:rPr>
          <w:color w:val="231F20"/>
          <w:spacing w:val="47"/>
        </w:rPr>
        <w:t> </w:t>
      </w:r>
      <w:r>
        <w:rPr>
          <w:color w:val="231F20"/>
          <w:spacing w:val="2"/>
        </w:rPr>
        <w:t>contrato</w:t>
      </w:r>
    </w:p>
    <w:p>
      <w:pPr>
        <w:spacing w:after="0" w:line="249" w:lineRule="auto"/>
        <w:jc w:val="both"/>
        <w:sectPr>
          <w:headerReference w:type="default" r:id="rId842"/>
          <w:footerReference w:type="default" r:id="rId843"/>
          <w:pgSz w:w="7830" w:h="11910"/>
          <w:pgMar w:header="0" w:footer="424" w:top="500" w:bottom="620" w:left="920" w:right="900"/>
          <w:pgNumType w:start="38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5"/>
        <w:jc w:val="both"/>
      </w:pPr>
      <w:r>
        <w:rPr>
          <w:color w:val="231F20"/>
        </w:rPr>
        <w:t>social. De hecho, las actuales reglas y formas de lucha por el po- der han orillado a la concreción de formas colectivas de violencia ligada con grupos de interés.</w:t>
      </w:r>
    </w:p>
    <w:p>
      <w:pPr>
        <w:pStyle w:val="BodyText"/>
        <w:spacing w:line="249" w:lineRule="auto" w:before="1"/>
        <w:ind w:left="101" w:right="115" w:firstLine="284"/>
        <w:jc w:val="both"/>
      </w:pPr>
      <w:r>
        <w:rPr>
          <w:color w:val="231F20"/>
        </w:rPr>
        <w:t>La violencia que existe entre la institución y sus miembros ha preocupado a la opinión pública debido al deterioro de las rela- ciones solidarias entre los miembros de un orden social que adop- ta un modelo político deteriorado.</w:t>
      </w:r>
    </w:p>
    <w:p>
      <w:pPr>
        <w:pStyle w:val="BodyText"/>
        <w:spacing w:before="7"/>
      </w:pPr>
    </w:p>
    <w:p>
      <w:pPr>
        <w:spacing w:before="0"/>
        <w:ind w:left="101" w:right="0" w:firstLine="0"/>
        <w:jc w:val="both"/>
        <w:rPr>
          <w:i/>
          <w:sz w:val="21"/>
        </w:rPr>
      </w:pPr>
      <w:r>
        <w:rPr>
          <w:i/>
          <w:color w:val="231F20"/>
          <w:w w:val="85"/>
          <w:sz w:val="21"/>
        </w:rPr>
        <w:t>El deterioro organizativo</w:t>
      </w:r>
    </w:p>
    <w:p>
      <w:pPr>
        <w:pStyle w:val="BodyText"/>
        <w:spacing w:before="1"/>
        <w:rPr>
          <w:i/>
        </w:rPr>
      </w:pPr>
    </w:p>
    <w:p>
      <w:pPr>
        <w:pStyle w:val="BodyText"/>
        <w:spacing w:line="247" w:lineRule="auto" w:before="1"/>
        <w:ind w:left="101" w:right="114"/>
        <w:jc w:val="both"/>
      </w:pPr>
      <w:r>
        <w:rPr>
          <w:color w:val="231F20"/>
        </w:rPr>
        <w:t>Una de las características que observamos en la encuesta es que la violencia muestra un fuerte deterioro político-organizativo de la universidad. Si concebimos a las instituciones como sistemas regu- lados, podemos percibir la ausencia de canales de comunicación y  de acceso al poder, adecuados y socialmente aceptados. Se puede observar en la encuesta que los estudiantes no están de acuerdo con la existencia de las diferentes formas de violencia que hemos referi- do. Lo que puede observarse en esta institución es la separación entre el organismo y su medio, siguiendo la reflexión de aquellos que han insistido en la relevancia de considerar la institución escolar como un</w:t>
      </w:r>
      <w:r>
        <w:rPr>
          <w:color w:val="231F20"/>
          <w:spacing w:val="19"/>
        </w:rPr>
        <w:t> </w:t>
      </w:r>
      <w:r>
        <w:rPr>
          <w:color w:val="231F20"/>
        </w:rPr>
        <w:t>sistema.</w:t>
      </w:r>
    </w:p>
    <w:p>
      <w:pPr>
        <w:pStyle w:val="BodyText"/>
        <w:spacing w:line="249" w:lineRule="auto" w:before="10"/>
        <w:ind w:left="101" w:right="115" w:firstLine="284"/>
        <w:jc w:val="both"/>
      </w:pPr>
      <w:r>
        <w:rPr>
          <w:color w:val="231F20"/>
        </w:rPr>
        <w:t>La consecuencia de un clima organizativo deteriorado es la sepa- ración cada vez más grande entre el organismo y su ambiente, lo  que muestra el nivel de deterioro de las relaciones interpersonales. Cuando las organizaciones se deterioran, se vuelven disfuncionales   y pueden aparecer indicadores que reflejan que el  problema  del clima organizacional es mayor de lo que se</w:t>
      </w:r>
      <w:r>
        <w:rPr>
          <w:color w:val="231F20"/>
          <w:spacing w:val="-17"/>
        </w:rPr>
        <w:t> </w:t>
      </w:r>
      <w:r>
        <w:rPr>
          <w:color w:val="231F20"/>
        </w:rPr>
        <w:t>pensaba.</w:t>
      </w:r>
    </w:p>
    <w:p>
      <w:pPr>
        <w:pStyle w:val="BodyText"/>
        <w:spacing w:before="1"/>
        <w:rPr>
          <w:sz w:val="23"/>
        </w:rPr>
      </w:pPr>
    </w:p>
    <w:p>
      <w:pPr>
        <w:spacing w:line="273" w:lineRule="auto" w:before="0"/>
        <w:ind w:left="810" w:right="164" w:firstLine="0"/>
        <w:jc w:val="both"/>
        <w:rPr>
          <w:sz w:val="19"/>
        </w:rPr>
      </w:pPr>
      <w:r>
        <w:rPr>
          <w:i/>
          <w:color w:val="231F20"/>
          <w:w w:val="90"/>
          <w:sz w:val="19"/>
        </w:rPr>
        <w:t>We</w:t>
      </w:r>
      <w:r>
        <w:rPr>
          <w:i/>
          <w:color w:val="231F20"/>
          <w:spacing w:val="-10"/>
          <w:w w:val="90"/>
          <w:sz w:val="19"/>
        </w:rPr>
        <w:t> </w:t>
      </w:r>
      <w:r>
        <w:rPr>
          <w:i/>
          <w:color w:val="231F20"/>
          <w:w w:val="90"/>
          <w:sz w:val="19"/>
        </w:rPr>
        <w:t>must</w:t>
      </w:r>
      <w:r>
        <w:rPr>
          <w:i/>
          <w:color w:val="231F20"/>
          <w:spacing w:val="-10"/>
          <w:w w:val="90"/>
          <w:sz w:val="19"/>
        </w:rPr>
        <w:t> </w:t>
      </w:r>
      <w:r>
        <w:rPr>
          <w:i/>
          <w:color w:val="231F20"/>
          <w:w w:val="90"/>
          <w:sz w:val="19"/>
        </w:rPr>
        <w:t>not</w:t>
      </w:r>
      <w:r>
        <w:rPr>
          <w:i/>
          <w:color w:val="231F20"/>
          <w:spacing w:val="-10"/>
          <w:w w:val="90"/>
          <w:sz w:val="19"/>
        </w:rPr>
        <w:t> </w:t>
      </w:r>
      <w:r>
        <w:rPr>
          <w:i/>
          <w:color w:val="231F20"/>
          <w:w w:val="90"/>
          <w:sz w:val="19"/>
        </w:rPr>
        <w:t>make</w:t>
      </w:r>
      <w:r>
        <w:rPr>
          <w:i/>
          <w:color w:val="231F20"/>
          <w:spacing w:val="-10"/>
          <w:w w:val="90"/>
          <w:sz w:val="19"/>
        </w:rPr>
        <w:t> </w:t>
      </w:r>
      <w:r>
        <w:rPr>
          <w:i/>
          <w:color w:val="231F20"/>
          <w:w w:val="90"/>
          <w:sz w:val="19"/>
        </w:rPr>
        <w:t>the</w:t>
      </w:r>
      <w:r>
        <w:rPr>
          <w:i/>
          <w:color w:val="231F20"/>
          <w:spacing w:val="-10"/>
          <w:w w:val="90"/>
          <w:sz w:val="19"/>
        </w:rPr>
        <w:t> </w:t>
      </w:r>
      <w:r>
        <w:rPr>
          <w:i/>
          <w:color w:val="231F20"/>
          <w:w w:val="90"/>
          <w:sz w:val="19"/>
        </w:rPr>
        <w:t>error</w:t>
      </w:r>
      <w:r>
        <w:rPr>
          <w:i/>
          <w:color w:val="231F20"/>
          <w:spacing w:val="-10"/>
          <w:w w:val="90"/>
          <w:sz w:val="19"/>
        </w:rPr>
        <w:t> </w:t>
      </w:r>
      <w:r>
        <w:rPr>
          <w:i/>
          <w:color w:val="231F20"/>
          <w:w w:val="90"/>
          <w:sz w:val="19"/>
        </w:rPr>
        <w:t>of</w:t>
      </w:r>
      <w:r>
        <w:rPr>
          <w:i/>
          <w:color w:val="231F20"/>
          <w:spacing w:val="-10"/>
          <w:w w:val="90"/>
          <w:sz w:val="19"/>
        </w:rPr>
        <w:t> </w:t>
      </w:r>
      <w:r>
        <w:rPr>
          <w:i/>
          <w:color w:val="231F20"/>
          <w:w w:val="90"/>
          <w:sz w:val="19"/>
        </w:rPr>
        <w:t>treating</w:t>
      </w:r>
      <w:r>
        <w:rPr>
          <w:i/>
          <w:color w:val="231F20"/>
          <w:spacing w:val="-10"/>
          <w:w w:val="90"/>
          <w:sz w:val="19"/>
        </w:rPr>
        <w:t> </w:t>
      </w:r>
      <w:r>
        <w:rPr>
          <w:i/>
          <w:color w:val="231F20"/>
          <w:w w:val="90"/>
          <w:sz w:val="19"/>
        </w:rPr>
        <w:t>social</w:t>
      </w:r>
      <w:r>
        <w:rPr>
          <w:i/>
          <w:color w:val="231F20"/>
          <w:spacing w:val="-10"/>
          <w:w w:val="90"/>
          <w:sz w:val="19"/>
        </w:rPr>
        <w:t> </w:t>
      </w:r>
      <w:r>
        <w:rPr>
          <w:i/>
          <w:color w:val="231F20"/>
          <w:w w:val="90"/>
          <w:sz w:val="19"/>
        </w:rPr>
        <w:t>structure</w:t>
      </w:r>
      <w:r>
        <w:rPr>
          <w:i/>
          <w:color w:val="231F20"/>
          <w:spacing w:val="-10"/>
          <w:w w:val="90"/>
          <w:sz w:val="19"/>
        </w:rPr>
        <w:t> </w:t>
      </w:r>
      <w:r>
        <w:rPr>
          <w:i/>
          <w:color w:val="231F20"/>
          <w:w w:val="90"/>
          <w:sz w:val="19"/>
        </w:rPr>
        <w:t>and</w:t>
      </w:r>
      <w:r>
        <w:rPr>
          <w:i/>
          <w:color w:val="231F20"/>
          <w:spacing w:val="-10"/>
          <w:w w:val="90"/>
          <w:sz w:val="19"/>
        </w:rPr>
        <w:t> </w:t>
      </w:r>
      <w:r>
        <w:rPr>
          <w:i/>
          <w:color w:val="231F20"/>
          <w:w w:val="90"/>
          <w:sz w:val="19"/>
        </w:rPr>
        <w:t>cultura</w:t>
      </w:r>
      <w:r>
        <w:rPr>
          <w:i/>
          <w:color w:val="231F20"/>
          <w:spacing w:val="-10"/>
          <w:w w:val="90"/>
          <w:sz w:val="19"/>
        </w:rPr>
        <w:t> </w:t>
      </w:r>
      <w:r>
        <w:rPr>
          <w:i/>
          <w:color w:val="231F20"/>
          <w:w w:val="90"/>
          <w:sz w:val="19"/>
        </w:rPr>
        <w:t>as</w:t>
      </w:r>
      <w:r>
        <w:rPr>
          <w:i/>
          <w:color w:val="231F20"/>
          <w:spacing w:val="-10"/>
          <w:w w:val="90"/>
          <w:sz w:val="19"/>
        </w:rPr>
        <w:t> </w:t>
      </w:r>
      <w:r>
        <w:rPr>
          <w:i/>
          <w:color w:val="231F20"/>
          <w:w w:val="90"/>
          <w:sz w:val="19"/>
        </w:rPr>
        <w:t>self- </w:t>
      </w:r>
      <w:r>
        <w:rPr>
          <w:i/>
          <w:color w:val="231F20"/>
          <w:w w:val="90"/>
          <w:sz w:val="19"/>
        </w:rPr>
        <w:t>contained</w:t>
      </w:r>
      <w:r>
        <w:rPr>
          <w:i/>
          <w:color w:val="231F20"/>
          <w:spacing w:val="-18"/>
          <w:w w:val="90"/>
          <w:sz w:val="19"/>
        </w:rPr>
        <w:t> </w:t>
      </w:r>
      <w:r>
        <w:rPr>
          <w:i/>
          <w:color w:val="231F20"/>
          <w:w w:val="90"/>
          <w:sz w:val="19"/>
        </w:rPr>
        <w:t>entities.</w:t>
      </w:r>
      <w:r>
        <w:rPr>
          <w:i/>
          <w:color w:val="231F20"/>
          <w:spacing w:val="-18"/>
          <w:w w:val="90"/>
          <w:sz w:val="19"/>
        </w:rPr>
        <w:t> </w:t>
      </w:r>
      <w:r>
        <w:rPr>
          <w:i/>
          <w:color w:val="231F20"/>
          <w:w w:val="90"/>
          <w:sz w:val="19"/>
        </w:rPr>
        <w:t>Society</w:t>
      </w:r>
      <w:r>
        <w:rPr>
          <w:i/>
          <w:color w:val="231F20"/>
          <w:spacing w:val="-18"/>
          <w:w w:val="90"/>
          <w:sz w:val="19"/>
        </w:rPr>
        <w:t> </w:t>
      </w:r>
      <w:r>
        <w:rPr>
          <w:i/>
          <w:color w:val="231F20"/>
          <w:w w:val="90"/>
          <w:sz w:val="19"/>
        </w:rPr>
        <w:t>is</w:t>
      </w:r>
      <w:r>
        <w:rPr>
          <w:i/>
          <w:color w:val="231F20"/>
          <w:spacing w:val="-18"/>
          <w:w w:val="90"/>
          <w:sz w:val="19"/>
        </w:rPr>
        <w:t> </w:t>
      </w:r>
      <w:r>
        <w:rPr>
          <w:i/>
          <w:color w:val="231F20"/>
          <w:w w:val="90"/>
          <w:sz w:val="19"/>
        </w:rPr>
        <w:t>rooted</w:t>
      </w:r>
      <w:r>
        <w:rPr>
          <w:i/>
          <w:color w:val="231F20"/>
          <w:spacing w:val="-18"/>
          <w:w w:val="90"/>
          <w:sz w:val="19"/>
        </w:rPr>
        <w:t> </w:t>
      </w:r>
      <w:r>
        <w:rPr>
          <w:i/>
          <w:color w:val="231F20"/>
          <w:w w:val="90"/>
          <w:sz w:val="19"/>
        </w:rPr>
        <w:t>in</w:t>
      </w:r>
      <w:r>
        <w:rPr>
          <w:i/>
          <w:color w:val="231F20"/>
          <w:spacing w:val="-18"/>
          <w:w w:val="90"/>
          <w:sz w:val="19"/>
        </w:rPr>
        <w:t> </w:t>
      </w:r>
      <w:r>
        <w:rPr>
          <w:i/>
          <w:color w:val="231F20"/>
          <w:w w:val="90"/>
          <w:sz w:val="19"/>
        </w:rPr>
        <w:t>the</w:t>
      </w:r>
      <w:r>
        <w:rPr>
          <w:i/>
          <w:color w:val="231F20"/>
          <w:spacing w:val="-18"/>
          <w:w w:val="90"/>
          <w:sz w:val="19"/>
        </w:rPr>
        <w:t> </w:t>
      </w:r>
      <w:r>
        <w:rPr>
          <w:i/>
          <w:color w:val="231F20"/>
          <w:w w:val="90"/>
          <w:sz w:val="19"/>
        </w:rPr>
        <w:t>physical</w:t>
      </w:r>
      <w:r>
        <w:rPr>
          <w:i/>
          <w:color w:val="231F20"/>
          <w:spacing w:val="-18"/>
          <w:w w:val="90"/>
          <w:sz w:val="19"/>
        </w:rPr>
        <w:t> </w:t>
      </w:r>
      <w:r>
        <w:rPr>
          <w:i/>
          <w:color w:val="231F20"/>
          <w:w w:val="90"/>
          <w:sz w:val="19"/>
        </w:rPr>
        <w:t>makeup</w:t>
      </w:r>
      <w:r>
        <w:rPr>
          <w:i/>
          <w:color w:val="231F20"/>
          <w:spacing w:val="-18"/>
          <w:w w:val="90"/>
          <w:sz w:val="19"/>
        </w:rPr>
        <w:t> </w:t>
      </w:r>
      <w:r>
        <w:rPr>
          <w:i/>
          <w:color w:val="231F20"/>
          <w:w w:val="90"/>
          <w:sz w:val="19"/>
        </w:rPr>
        <w:t>and</w:t>
      </w:r>
      <w:r>
        <w:rPr>
          <w:i/>
          <w:color w:val="231F20"/>
          <w:spacing w:val="-18"/>
          <w:w w:val="90"/>
          <w:sz w:val="19"/>
        </w:rPr>
        <w:t> </w:t>
      </w:r>
      <w:r>
        <w:rPr>
          <w:i/>
          <w:color w:val="231F20"/>
          <w:w w:val="90"/>
          <w:sz w:val="19"/>
        </w:rPr>
        <w:t>needs</w:t>
      </w:r>
      <w:r>
        <w:rPr>
          <w:i/>
          <w:color w:val="231F20"/>
          <w:spacing w:val="-18"/>
          <w:w w:val="90"/>
          <w:sz w:val="19"/>
        </w:rPr>
        <w:t> </w:t>
      </w:r>
      <w:r>
        <w:rPr>
          <w:i/>
          <w:color w:val="231F20"/>
          <w:w w:val="90"/>
          <w:sz w:val="19"/>
        </w:rPr>
        <w:t>of</w:t>
      </w:r>
      <w:r>
        <w:rPr>
          <w:i/>
          <w:color w:val="231F20"/>
          <w:spacing w:val="-18"/>
          <w:w w:val="90"/>
          <w:sz w:val="19"/>
        </w:rPr>
        <w:t> </w:t>
      </w:r>
      <w:r>
        <w:rPr>
          <w:i/>
          <w:color w:val="231F20"/>
          <w:w w:val="90"/>
          <w:sz w:val="19"/>
        </w:rPr>
        <w:t>hu- man</w:t>
      </w:r>
      <w:r>
        <w:rPr>
          <w:i/>
          <w:color w:val="231F20"/>
          <w:spacing w:val="-11"/>
          <w:w w:val="90"/>
          <w:sz w:val="19"/>
        </w:rPr>
        <w:t> </w:t>
      </w:r>
      <w:r>
        <w:rPr>
          <w:i/>
          <w:color w:val="231F20"/>
          <w:w w:val="90"/>
          <w:sz w:val="19"/>
        </w:rPr>
        <w:t>beings,</w:t>
      </w:r>
      <w:r>
        <w:rPr>
          <w:i/>
          <w:color w:val="231F20"/>
          <w:spacing w:val="-11"/>
          <w:w w:val="90"/>
          <w:sz w:val="19"/>
        </w:rPr>
        <w:t> </w:t>
      </w:r>
      <w:r>
        <w:rPr>
          <w:i/>
          <w:color w:val="231F20"/>
          <w:w w:val="90"/>
          <w:sz w:val="19"/>
        </w:rPr>
        <w:t>and</w:t>
      </w:r>
      <w:r>
        <w:rPr>
          <w:i/>
          <w:color w:val="231F20"/>
          <w:spacing w:val="-11"/>
          <w:w w:val="90"/>
          <w:sz w:val="19"/>
        </w:rPr>
        <w:t> </w:t>
      </w:r>
      <w:r>
        <w:rPr>
          <w:i/>
          <w:color w:val="231F20"/>
          <w:w w:val="90"/>
          <w:sz w:val="19"/>
        </w:rPr>
        <w:t>culture</w:t>
      </w:r>
      <w:r>
        <w:rPr>
          <w:i/>
          <w:color w:val="231F20"/>
          <w:spacing w:val="-11"/>
          <w:w w:val="90"/>
          <w:sz w:val="19"/>
        </w:rPr>
        <w:t> </w:t>
      </w:r>
      <w:r>
        <w:rPr>
          <w:i/>
          <w:color w:val="231F20"/>
          <w:w w:val="90"/>
          <w:sz w:val="19"/>
        </w:rPr>
        <w:t>stems</w:t>
      </w:r>
      <w:r>
        <w:rPr>
          <w:i/>
          <w:color w:val="231F20"/>
          <w:spacing w:val="-11"/>
          <w:w w:val="90"/>
          <w:sz w:val="19"/>
        </w:rPr>
        <w:t> </w:t>
      </w:r>
      <w:r>
        <w:rPr>
          <w:i/>
          <w:color w:val="231F20"/>
          <w:w w:val="90"/>
          <w:sz w:val="19"/>
        </w:rPr>
        <w:t>from</w:t>
      </w:r>
      <w:r>
        <w:rPr>
          <w:i/>
          <w:color w:val="231F20"/>
          <w:spacing w:val="-11"/>
          <w:w w:val="90"/>
          <w:sz w:val="19"/>
        </w:rPr>
        <w:t> </w:t>
      </w:r>
      <w:r>
        <w:rPr>
          <w:i/>
          <w:color w:val="231F20"/>
          <w:w w:val="90"/>
          <w:sz w:val="19"/>
        </w:rPr>
        <w:t>the</w:t>
      </w:r>
      <w:r>
        <w:rPr>
          <w:i/>
          <w:color w:val="231F20"/>
          <w:spacing w:val="-11"/>
          <w:w w:val="90"/>
          <w:sz w:val="19"/>
        </w:rPr>
        <w:t> </w:t>
      </w:r>
      <w:r>
        <w:rPr>
          <w:i/>
          <w:color w:val="231F20"/>
          <w:w w:val="90"/>
          <w:sz w:val="19"/>
        </w:rPr>
        <w:t>special</w:t>
      </w:r>
      <w:r>
        <w:rPr>
          <w:i/>
          <w:color w:val="231F20"/>
          <w:spacing w:val="-11"/>
          <w:w w:val="90"/>
          <w:sz w:val="19"/>
        </w:rPr>
        <w:t> </w:t>
      </w:r>
      <w:r>
        <w:rPr>
          <w:i/>
          <w:color w:val="231F20"/>
          <w:w w:val="90"/>
          <w:sz w:val="19"/>
        </w:rPr>
        <w:t>psychological</w:t>
      </w:r>
      <w:r>
        <w:rPr>
          <w:i/>
          <w:color w:val="231F20"/>
          <w:spacing w:val="-11"/>
          <w:w w:val="90"/>
          <w:sz w:val="19"/>
        </w:rPr>
        <w:t> </w:t>
      </w:r>
      <w:r>
        <w:rPr>
          <w:i/>
          <w:color w:val="231F20"/>
          <w:w w:val="90"/>
          <w:sz w:val="19"/>
        </w:rPr>
        <w:t>and</w:t>
      </w:r>
      <w:r>
        <w:rPr>
          <w:i/>
          <w:color w:val="231F20"/>
          <w:spacing w:val="-11"/>
          <w:w w:val="90"/>
          <w:sz w:val="19"/>
        </w:rPr>
        <w:t> </w:t>
      </w:r>
      <w:r>
        <w:rPr>
          <w:i/>
          <w:color w:val="231F20"/>
          <w:w w:val="90"/>
          <w:sz w:val="19"/>
        </w:rPr>
        <w:t>physical equipment</w:t>
      </w:r>
      <w:r>
        <w:rPr>
          <w:i/>
          <w:color w:val="231F20"/>
          <w:spacing w:val="-12"/>
          <w:w w:val="90"/>
          <w:sz w:val="19"/>
        </w:rPr>
        <w:t> </w:t>
      </w:r>
      <w:r>
        <w:rPr>
          <w:i/>
          <w:color w:val="231F20"/>
          <w:w w:val="90"/>
          <w:sz w:val="19"/>
        </w:rPr>
        <w:t>of</w:t>
      </w:r>
      <w:r>
        <w:rPr>
          <w:i/>
          <w:color w:val="231F20"/>
          <w:spacing w:val="-13"/>
          <w:w w:val="90"/>
          <w:sz w:val="19"/>
        </w:rPr>
        <w:t> </w:t>
      </w:r>
      <w:r>
        <w:rPr>
          <w:i/>
          <w:color w:val="231F20"/>
          <w:w w:val="90"/>
          <w:sz w:val="19"/>
        </w:rPr>
        <w:t>the</w:t>
      </w:r>
      <w:r>
        <w:rPr>
          <w:i/>
          <w:color w:val="231F20"/>
          <w:spacing w:val="-12"/>
          <w:w w:val="90"/>
          <w:sz w:val="19"/>
        </w:rPr>
        <w:t> </w:t>
      </w:r>
      <w:r>
        <w:rPr>
          <w:i/>
          <w:color w:val="231F20"/>
          <w:w w:val="90"/>
          <w:sz w:val="19"/>
        </w:rPr>
        <w:t>species;</w:t>
      </w:r>
      <w:r>
        <w:rPr>
          <w:i/>
          <w:color w:val="231F20"/>
          <w:spacing w:val="-13"/>
          <w:w w:val="90"/>
          <w:sz w:val="19"/>
        </w:rPr>
        <w:t> </w:t>
      </w:r>
      <w:r>
        <w:rPr>
          <w:i/>
          <w:color w:val="231F20"/>
          <w:w w:val="90"/>
          <w:sz w:val="19"/>
        </w:rPr>
        <w:t>both</w:t>
      </w:r>
      <w:r>
        <w:rPr>
          <w:i/>
          <w:color w:val="231F20"/>
          <w:spacing w:val="-12"/>
          <w:w w:val="90"/>
          <w:sz w:val="19"/>
        </w:rPr>
        <w:t> </w:t>
      </w:r>
      <w:r>
        <w:rPr>
          <w:i/>
          <w:color w:val="231F20"/>
          <w:w w:val="90"/>
          <w:sz w:val="19"/>
        </w:rPr>
        <w:t>operate</w:t>
      </w:r>
      <w:r>
        <w:rPr>
          <w:i/>
          <w:color w:val="231F20"/>
          <w:spacing w:val="-12"/>
          <w:w w:val="90"/>
          <w:sz w:val="19"/>
        </w:rPr>
        <w:t> </w:t>
      </w:r>
      <w:r>
        <w:rPr>
          <w:i/>
          <w:color w:val="231F20"/>
          <w:w w:val="90"/>
          <w:sz w:val="19"/>
        </w:rPr>
        <w:t>in</w:t>
      </w:r>
      <w:r>
        <w:rPr>
          <w:i/>
          <w:color w:val="231F20"/>
          <w:spacing w:val="-12"/>
          <w:w w:val="90"/>
          <w:sz w:val="19"/>
        </w:rPr>
        <w:t> </w:t>
      </w:r>
      <w:r>
        <w:rPr>
          <w:i/>
          <w:color w:val="231F20"/>
          <w:w w:val="90"/>
          <w:sz w:val="19"/>
        </w:rPr>
        <w:t>relation</w:t>
      </w:r>
      <w:r>
        <w:rPr>
          <w:i/>
          <w:color w:val="231F20"/>
          <w:spacing w:val="-12"/>
          <w:w w:val="90"/>
          <w:sz w:val="19"/>
        </w:rPr>
        <w:t> </w:t>
      </w:r>
      <w:r>
        <w:rPr>
          <w:i/>
          <w:color w:val="231F20"/>
          <w:w w:val="90"/>
          <w:sz w:val="19"/>
        </w:rPr>
        <w:t>to</w:t>
      </w:r>
      <w:r>
        <w:rPr>
          <w:i/>
          <w:color w:val="231F20"/>
          <w:spacing w:val="-12"/>
          <w:w w:val="90"/>
          <w:sz w:val="19"/>
        </w:rPr>
        <w:t> </w:t>
      </w:r>
      <w:r>
        <w:rPr>
          <w:i/>
          <w:color w:val="231F20"/>
          <w:w w:val="90"/>
          <w:sz w:val="19"/>
        </w:rPr>
        <w:t>the</w:t>
      </w:r>
      <w:r>
        <w:rPr>
          <w:i/>
          <w:color w:val="231F20"/>
          <w:spacing w:val="-12"/>
          <w:w w:val="90"/>
          <w:sz w:val="19"/>
        </w:rPr>
        <w:t> </w:t>
      </w:r>
      <w:r>
        <w:rPr>
          <w:i/>
          <w:color w:val="231F20"/>
          <w:w w:val="90"/>
          <w:sz w:val="19"/>
        </w:rPr>
        <w:t>environment</w:t>
      </w:r>
      <w:r>
        <w:rPr>
          <w:i/>
          <w:color w:val="231F20"/>
          <w:spacing w:val="-12"/>
          <w:w w:val="90"/>
          <w:sz w:val="19"/>
        </w:rPr>
        <w:t> </w:t>
      </w:r>
      <w:r>
        <w:rPr>
          <w:i/>
          <w:color w:val="231F20"/>
          <w:w w:val="90"/>
          <w:sz w:val="19"/>
        </w:rPr>
        <w:t>of</w:t>
      </w:r>
      <w:r>
        <w:rPr>
          <w:i/>
          <w:color w:val="231F20"/>
          <w:spacing w:val="-13"/>
          <w:w w:val="90"/>
          <w:sz w:val="19"/>
        </w:rPr>
        <w:t> </w:t>
      </w:r>
      <w:r>
        <w:rPr>
          <w:i/>
          <w:color w:val="231F20"/>
          <w:w w:val="90"/>
          <w:sz w:val="19"/>
        </w:rPr>
        <w:t>the species;</w:t>
      </w:r>
      <w:r>
        <w:rPr>
          <w:i/>
          <w:color w:val="231F20"/>
          <w:spacing w:val="-20"/>
          <w:w w:val="90"/>
          <w:sz w:val="19"/>
        </w:rPr>
        <w:t> </w:t>
      </w:r>
      <w:r>
        <w:rPr>
          <w:i/>
          <w:color w:val="231F20"/>
          <w:w w:val="90"/>
          <w:sz w:val="19"/>
        </w:rPr>
        <w:t>both</w:t>
      </w:r>
      <w:r>
        <w:rPr>
          <w:i/>
          <w:color w:val="231F20"/>
          <w:spacing w:val="-19"/>
          <w:w w:val="90"/>
          <w:sz w:val="19"/>
        </w:rPr>
        <w:t> </w:t>
      </w:r>
      <w:r>
        <w:rPr>
          <w:i/>
          <w:color w:val="231F20"/>
          <w:w w:val="90"/>
          <w:sz w:val="19"/>
        </w:rPr>
        <w:t>operate</w:t>
      </w:r>
      <w:r>
        <w:rPr>
          <w:i/>
          <w:color w:val="231F20"/>
          <w:spacing w:val="-19"/>
          <w:w w:val="90"/>
          <w:sz w:val="19"/>
        </w:rPr>
        <w:t> </w:t>
      </w:r>
      <w:r>
        <w:rPr>
          <w:i/>
          <w:color w:val="231F20"/>
          <w:w w:val="90"/>
          <w:sz w:val="19"/>
        </w:rPr>
        <w:t>in</w:t>
      </w:r>
      <w:r>
        <w:rPr>
          <w:i/>
          <w:color w:val="231F20"/>
          <w:spacing w:val="-19"/>
          <w:w w:val="90"/>
          <w:sz w:val="19"/>
        </w:rPr>
        <w:t> </w:t>
      </w:r>
      <w:r>
        <w:rPr>
          <w:i/>
          <w:color w:val="231F20"/>
          <w:w w:val="90"/>
          <w:sz w:val="19"/>
        </w:rPr>
        <w:t>relation</w:t>
      </w:r>
      <w:r>
        <w:rPr>
          <w:i/>
          <w:color w:val="231F20"/>
          <w:spacing w:val="-19"/>
          <w:w w:val="90"/>
          <w:sz w:val="19"/>
        </w:rPr>
        <w:t> </w:t>
      </w:r>
      <w:r>
        <w:rPr>
          <w:i/>
          <w:color w:val="231F20"/>
          <w:w w:val="90"/>
          <w:sz w:val="19"/>
        </w:rPr>
        <w:t>to</w:t>
      </w:r>
      <w:r>
        <w:rPr>
          <w:i/>
          <w:color w:val="231F20"/>
          <w:spacing w:val="-19"/>
          <w:w w:val="90"/>
          <w:sz w:val="19"/>
        </w:rPr>
        <w:t> </w:t>
      </w:r>
      <w:r>
        <w:rPr>
          <w:i/>
          <w:color w:val="231F20"/>
          <w:w w:val="90"/>
          <w:sz w:val="19"/>
        </w:rPr>
        <w:t>the</w:t>
      </w:r>
      <w:r>
        <w:rPr>
          <w:i/>
          <w:color w:val="231F20"/>
          <w:spacing w:val="-19"/>
          <w:w w:val="90"/>
          <w:sz w:val="19"/>
        </w:rPr>
        <w:t> </w:t>
      </w:r>
      <w:r>
        <w:rPr>
          <w:i/>
          <w:color w:val="231F20"/>
          <w:w w:val="90"/>
          <w:sz w:val="19"/>
        </w:rPr>
        <w:t>environment</w:t>
      </w:r>
      <w:r>
        <w:rPr>
          <w:i/>
          <w:color w:val="231F20"/>
          <w:spacing w:val="-19"/>
          <w:w w:val="90"/>
          <w:sz w:val="19"/>
        </w:rPr>
        <w:t> </w:t>
      </w:r>
      <w:r>
        <w:rPr>
          <w:i/>
          <w:color w:val="231F20"/>
          <w:w w:val="90"/>
          <w:sz w:val="19"/>
        </w:rPr>
        <w:t>in</w:t>
      </w:r>
      <w:r>
        <w:rPr>
          <w:i/>
          <w:color w:val="231F20"/>
          <w:spacing w:val="-19"/>
          <w:w w:val="90"/>
          <w:sz w:val="19"/>
        </w:rPr>
        <w:t> </w:t>
      </w:r>
      <w:r>
        <w:rPr>
          <w:i/>
          <w:color w:val="231F20"/>
          <w:w w:val="90"/>
          <w:sz w:val="19"/>
        </w:rPr>
        <w:t>wich</w:t>
      </w:r>
      <w:r>
        <w:rPr>
          <w:i/>
          <w:color w:val="231F20"/>
          <w:spacing w:val="-19"/>
          <w:w w:val="90"/>
          <w:sz w:val="19"/>
        </w:rPr>
        <w:t> </w:t>
      </w:r>
      <w:r>
        <w:rPr>
          <w:i/>
          <w:color w:val="231F20"/>
          <w:w w:val="90"/>
          <w:sz w:val="19"/>
        </w:rPr>
        <w:t>we</w:t>
      </w:r>
      <w:r>
        <w:rPr>
          <w:i/>
          <w:color w:val="231F20"/>
          <w:spacing w:val="-19"/>
          <w:w w:val="90"/>
          <w:sz w:val="19"/>
        </w:rPr>
        <w:t> </w:t>
      </w:r>
      <w:r>
        <w:rPr>
          <w:i/>
          <w:color w:val="231F20"/>
          <w:w w:val="90"/>
          <w:sz w:val="19"/>
        </w:rPr>
        <w:t>live</w:t>
      </w:r>
      <w:r>
        <w:rPr>
          <w:i/>
          <w:color w:val="231F20"/>
          <w:spacing w:val="-20"/>
          <w:w w:val="90"/>
          <w:sz w:val="19"/>
        </w:rPr>
        <w:t> </w:t>
      </w:r>
      <w:r>
        <w:rPr>
          <w:color w:val="231F20"/>
          <w:w w:val="90"/>
          <w:sz w:val="19"/>
        </w:rPr>
        <w:t>(Downs, 1975: </w:t>
      </w:r>
      <w:r>
        <w:rPr>
          <w:color w:val="231F20"/>
          <w:spacing w:val="15"/>
          <w:w w:val="90"/>
          <w:sz w:val="19"/>
        </w:rPr>
        <w:t> </w:t>
      </w:r>
      <w:r>
        <w:rPr>
          <w:color w:val="231F20"/>
          <w:w w:val="90"/>
          <w:sz w:val="19"/>
        </w:rPr>
        <w:t>121).</w:t>
      </w:r>
    </w:p>
    <w:p>
      <w:pPr>
        <w:pStyle w:val="BodyText"/>
        <w:spacing w:before="2"/>
        <w:rPr>
          <w:sz w:val="20"/>
        </w:rPr>
      </w:pPr>
    </w:p>
    <w:p>
      <w:pPr>
        <w:pStyle w:val="BodyText"/>
        <w:spacing w:before="1"/>
        <w:ind w:left="102" w:right="3923"/>
        <w:jc w:val="center"/>
      </w:pPr>
      <w:r>
        <w:rPr>
          <w:color w:val="231F20"/>
        </w:rPr>
        <w:t>Después agrega:</w:t>
      </w:r>
    </w:p>
    <w:p>
      <w:pPr>
        <w:pStyle w:val="BodyText"/>
        <w:rPr>
          <w:sz w:val="24"/>
        </w:rPr>
      </w:pPr>
    </w:p>
    <w:p>
      <w:pPr>
        <w:spacing w:line="278" w:lineRule="auto" w:before="0"/>
        <w:ind w:left="810" w:right="166" w:firstLine="0"/>
        <w:jc w:val="both"/>
        <w:rPr>
          <w:i/>
          <w:sz w:val="19"/>
        </w:rPr>
      </w:pPr>
      <w:r>
        <w:rPr>
          <w:i/>
          <w:color w:val="231F20"/>
          <w:w w:val="90"/>
          <w:sz w:val="19"/>
          <w:u w:val="single" w:color="231F20"/>
        </w:rPr>
        <w:t>I</w:t>
      </w:r>
      <w:r>
        <w:rPr>
          <w:i/>
          <w:color w:val="231F20"/>
          <w:spacing w:val="-14"/>
          <w:w w:val="90"/>
          <w:sz w:val="19"/>
          <w:u w:val="single" w:color="231F20"/>
        </w:rPr>
        <w:t> </w:t>
      </w:r>
      <w:r>
        <w:rPr>
          <w:i/>
          <w:color w:val="231F20"/>
          <w:w w:val="90"/>
          <w:sz w:val="19"/>
          <w:u w:val="single" w:color="231F20"/>
        </w:rPr>
        <w:t>prefer</w:t>
      </w:r>
      <w:r>
        <w:rPr>
          <w:i/>
          <w:color w:val="231F20"/>
          <w:spacing w:val="-14"/>
          <w:w w:val="90"/>
          <w:sz w:val="19"/>
          <w:u w:val="single" w:color="231F20"/>
        </w:rPr>
        <w:t> </w:t>
      </w:r>
      <w:r>
        <w:rPr>
          <w:i/>
          <w:color w:val="231F20"/>
          <w:w w:val="90"/>
          <w:sz w:val="19"/>
          <w:u w:val="single" w:color="231F20"/>
        </w:rPr>
        <w:t>to</w:t>
      </w:r>
      <w:r>
        <w:rPr>
          <w:i/>
          <w:color w:val="231F20"/>
          <w:spacing w:val="-14"/>
          <w:w w:val="90"/>
          <w:sz w:val="19"/>
          <w:u w:val="single" w:color="231F20"/>
        </w:rPr>
        <w:t> </w:t>
      </w:r>
      <w:r>
        <w:rPr>
          <w:i/>
          <w:color w:val="231F20"/>
          <w:w w:val="90"/>
          <w:sz w:val="19"/>
          <w:u w:val="single" w:color="231F20"/>
        </w:rPr>
        <w:t>call</w:t>
      </w:r>
      <w:r>
        <w:rPr>
          <w:i/>
          <w:color w:val="231F20"/>
          <w:spacing w:val="-14"/>
          <w:w w:val="90"/>
          <w:sz w:val="19"/>
          <w:u w:val="single" w:color="231F20"/>
        </w:rPr>
        <w:t> </w:t>
      </w:r>
      <w:r>
        <w:rPr>
          <w:i/>
          <w:color w:val="231F20"/>
          <w:w w:val="90"/>
          <w:sz w:val="19"/>
          <w:u w:val="single" w:color="231F20"/>
        </w:rPr>
        <w:t>the</w:t>
      </w:r>
      <w:r>
        <w:rPr>
          <w:i/>
          <w:color w:val="231F20"/>
          <w:spacing w:val="-14"/>
          <w:w w:val="90"/>
          <w:sz w:val="19"/>
          <w:u w:val="single" w:color="231F20"/>
        </w:rPr>
        <w:t> </w:t>
      </w:r>
      <w:r>
        <w:rPr>
          <w:i/>
          <w:color w:val="231F20"/>
          <w:w w:val="90"/>
          <w:sz w:val="19"/>
          <w:u w:val="single" w:color="231F20"/>
        </w:rPr>
        <w:t>environment</w:t>
      </w:r>
      <w:r>
        <w:rPr>
          <w:i/>
          <w:color w:val="231F20"/>
          <w:spacing w:val="-14"/>
          <w:w w:val="90"/>
          <w:sz w:val="19"/>
          <w:u w:val="single" w:color="231F20"/>
        </w:rPr>
        <w:t> </w:t>
      </w:r>
      <w:r>
        <w:rPr>
          <w:i/>
          <w:color w:val="231F20"/>
          <w:w w:val="90"/>
          <w:sz w:val="19"/>
          <w:u w:val="single" w:color="231F20"/>
        </w:rPr>
        <w:t>(the</w:t>
      </w:r>
      <w:r>
        <w:rPr>
          <w:i/>
          <w:color w:val="231F20"/>
          <w:spacing w:val="-14"/>
          <w:w w:val="90"/>
          <w:sz w:val="19"/>
          <w:u w:val="single" w:color="231F20"/>
        </w:rPr>
        <w:t> </w:t>
      </w:r>
      <w:r>
        <w:rPr>
          <w:i/>
          <w:color w:val="231F20"/>
          <w:w w:val="90"/>
          <w:sz w:val="19"/>
          <w:u w:val="single" w:color="231F20"/>
        </w:rPr>
        <w:t>actual</w:t>
      </w:r>
      <w:r>
        <w:rPr>
          <w:i/>
          <w:color w:val="231F20"/>
          <w:spacing w:val="-14"/>
          <w:w w:val="90"/>
          <w:sz w:val="19"/>
          <w:u w:val="single" w:color="231F20"/>
        </w:rPr>
        <w:t> </w:t>
      </w:r>
      <w:r>
        <w:rPr>
          <w:i/>
          <w:color w:val="231F20"/>
          <w:w w:val="90"/>
          <w:sz w:val="19"/>
          <w:u w:val="single" w:color="231F20"/>
        </w:rPr>
        <w:t>land</w:t>
      </w:r>
      <w:r>
        <w:rPr>
          <w:i/>
          <w:color w:val="231F20"/>
          <w:spacing w:val="-14"/>
          <w:w w:val="90"/>
          <w:sz w:val="19"/>
          <w:u w:val="single" w:color="231F20"/>
        </w:rPr>
        <w:t> </w:t>
      </w:r>
      <w:r>
        <w:rPr>
          <w:i/>
          <w:color w:val="231F20"/>
          <w:w w:val="90"/>
          <w:sz w:val="19"/>
          <w:u w:val="single" w:color="231F20"/>
        </w:rPr>
        <w:t>and</w:t>
      </w:r>
      <w:r>
        <w:rPr>
          <w:i/>
          <w:color w:val="231F20"/>
          <w:spacing w:val="-14"/>
          <w:w w:val="90"/>
          <w:sz w:val="19"/>
          <w:u w:val="single" w:color="231F20"/>
        </w:rPr>
        <w:t> </w:t>
      </w:r>
      <w:r>
        <w:rPr>
          <w:i/>
          <w:color w:val="231F20"/>
          <w:w w:val="90"/>
          <w:sz w:val="19"/>
          <w:u w:val="single" w:color="231F20"/>
        </w:rPr>
        <w:t>resources</w:t>
      </w:r>
      <w:r>
        <w:rPr>
          <w:i/>
          <w:color w:val="231F20"/>
          <w:spacing w:val="-14"/>
          <w:w w:val="90"/>
          <w:sz w:val="19"/>
          <w:u w:val="single" w:color="231F20"/>
        </w:rPr>
        <w:t> </w:t>
      </w:r>
      <w:r>
        <w:rPr>
          <w:i/>
          <w:color w:val="231F20"/>
          <w:w w:val="90"/>
          <w:sz w:val="19"/>
          <w:u w:val="single" w:color="231F20"/>
        </w:rPr>
        <w:t>and</w:t>
      </w:r>
      <w:r>
        <w:rPr>
          <w:i/>
          <w:color w:val="231F20"/>
          <w:spacing w:val="-14"/>
          <w:w w:val="90"/>
          <w:sz w:val="19"/>
          <w:u w:val="single" w:color="231F20"/>
        </w:rPr>
        <w:t> </w:t>
      </w:r>
      <w:r>
        <w:rPr>
          <w:i/>
          <w:color w:val="231F20"/>
          <w:w w:val="90"/>
          <w:sz w:val="19"/>
          <w:u w:val="single" w:color="231F20"/>
        </w:rPr>
        <w:t>climate) </w:t>
      </w:r>
      <w:r>
        <w:rPr>
          <w:i/>
          <w:color w:val="231F20"/>
          <w:w w:val="85"/>
          <w:sz w:val="19"/>
          <w:u w:val="single" w:color="231F20"/>
        </w:rPr>
        <w:t>the surroundings, reserving the term environment for that especial </w:t>
      </w:r>
      <w:r>
        <w:rPr>
          <w:i/>
          <w:color w:val="231F20"/>
          <w:spacing w:val="35"/>
          <w:w w:val="85"/>
          <w:sz w:val="19"/>
          <w:u w:val="single" w:color="231F20"/>
        </w:rPr>
        <w:t> </w:t>
      </w:r>
      <w:r>
        <w:rPr>
          <w:i/>
          <w:color w:val="231F20"/>
          <w:w w:val="85"/>
          <w:sz w:val="19"/>
          <w:u w:val="single" w:color="231F20"/>
        </w:rPr>
        <w:t>situation</w:t>
      </w:r>
    </w:p>
    <w:p>
      <w:pPr>
        <w:spacing w:after="0" w:line="278" w:lineRule="auto"/>
        <w:jc w:val="both"/>
        <w:rPr>
          <w:sz w:val="19"/>
        </w:rPr>
        <w:sectPr>
          <w:headerReference w:type="default" r:id="rId844"/>
          <w:footerReference w:type="default" r:id="rId845"/>
          <w:pgSz w:w="7830" w:h="11910"/>
          <w:pgMar w:header="0" w:footer="424" w:top="500" w:bottom="620" w:left="920" w:right="900"/>
          <w:pgNumType w:start="38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3" w:lineRule="auto" w:before="111"/>
        <w:ind w:left="810" w:right="164" w:firstLine="0"/>
        <w:jc w:val="both"/>
        <w:rPr>
          <w:sz w:val="19"/>
        </w:rPr>
      </w:pPr>
      <w:r>
        <w:rPr>
          <w:i/>
          <w:color w:val="231F20"/>
          <w:w w:val="90"/>
          <w:sz w:val="19"/>
          <w:u w:val="single" w:color="231F20"/>
        </w:rPr>
        <w:t>created by man interacting in social and cultural situations. In short, the </w:t>
      </w:r>
      <w:r>
        <w:rPr>
          <w:i/>
          <w:color w:val="231F20"/>
          <w:w w:val="95"/>
          <w:sz w:val="19"/>
          <w:u w:val="single" w:color="231F20"/>
        </w:rPr>
        <w:t>human</w:t>
      </w:r>
      <w:r>
        <w:rPr>
          <w:i/>
          <w:color w:val="231F20"/>
          <w:spacing w:val="-19"/>
          <w:w w:val="95"/>
          <w:sz w:val="19"/>
          <w:u w:val="single" w:color="231F20"/>
        </w:rPr>
        <w:t> </w:t>
      </w:r>
      <w:r>
        <w:rPr>
          <w:i/>
          <w:color w:val="231F20"/>
          <w:w w:val="95"/>
          <w:sz w:val="19"/>
          <w:u w:val="single" w:color="231F20"/>
        </w:rPr>
        <w:t>environment</w:t>
      </w:r>
      <w:r>
        <w:rPr>
          <w:i/>
          <w:color w:val="231F20"/>
          <w:spacing w:val="-19"/>
          <w:w w:val="95"/>
          <w:sz w:val="19"/>
          <w:u w:val="single" w:color="231F20"/>
        </w:rPr>
        <w:t> </w:t>
      </w:r>
      <w:r>
        <w:rPr>
          <w:i/>
          <w:color w:val="231F20"/>
          <w:w w:val="95"/>
          <w:sz w:val="19"/>
          <w:u w:val="single" w:color="231F20"/>
        </w:rPr>
        <w:t>is</w:t>
      </w:r>
      <w:r>
        <w:rPr>
          <w:i/>
          <w:color w:val="231F20"/>
          <w:spacing w:val="-19"/>
          <w:w w:val="95"/>
          <w:sz w:val="19"/>
          <w:u w:val="single" w:color="231F20"/>
        </w:rPr>
        <w:t> </w:t>
      </w:r>
      <w:r>
        <w:rPr>
          <w:i/>
          <w:color w:val="231F20"/>
          <w:w w:val="95"/>
          <w:sz w:val="19"/>
          <w:u w:val="single" w:color="231F20"/>
        </w:rPr>
        <w:t>made</w:t>
      </w:r>
      <w:r>
        <w:rPr>
          <w:i/>
          <w:color w:val="231F20"/>
          <w:spacing w:val="-19"/>
          <w:w w:val="95"/>
          <w:sz w:val="19"/>
          <w:u w:val="single" w:color="231F20"/>
        </w:rPr>
        <w:t> </w:t>
      </w:r>
      <w:r>
        <w:rPr>
          <w:i/>
          <w:color w:val="231F20"/>
          <w:w w:val="95"/>
          <w:sz w:val="19"/>
          <w:u w:val="single" w:color="231F20"/>
        </w:rPr>
        <w:t>by</w:t>
      </w:r>
      <w:r>
        <w:rPr>
          <w:i/>
          <w:color w:val="231F20"/>
          <w:spacing w:val="-19"/>
          <w:w w:val="95"/>
          <w:sz w:val="19"/>
          <w:u w:val="single" w:color="231F20"/>
        </w:rPr>
        <w:t> </w:t>
      </w:r>
      <w:r>
        <w:rPr>
          <w:i/>
          <w:color w:val="231F20"/>
          <w:w w:val="95"/>
          <w:sz w:val="19"/>
          <w:u w:val="single" w:color="231F20"/>
        </w:rPr>
        <w:t>man</w:t>
      </w:r>
      <w:r>
        <w:rPr>
          <w:i/>
          <w:color w:val="231F20"/>
          <w:spacing w:val="-19"/>
          <w:w w:val="95"/>
          <w:sz w:val="19"/>
          <w:u w:val="single" w:color="231F20"/>
        </w:rPr>
        <w:t> </w:t>
      </w:r>
      <w:r>
        <w:rPr>
          <w:i/>
          <w:color w:val="231F20"/>
          <w:w w:val="95"/>
          <w:sz w:val="19"/>
          <w:u w:val="single" w:color="231F20"/>
        </w:rPr>
        <w:t>himself;</w:t>
      </w:r>
      <w:r>
        <w:rPr>
          <w:i/>
          <w:color w:val="231F20"/>
          <w:spacing w:val="-19"/>
          <w:w w:val="95"/>
          <w:sz w:val="19"/>
          <w:u w:val="single" w:color="231F20"/>
        </w:rPr>
        <w:t> </w:t>
      </w:r>
      <w:r>
        <w:rPr>
          <w:i/>
          <w:color w:val="231F20"/>
          <w:w w:val="95"/>
          <w:sz w:val="19"/>
          <w:u w:val="single" w:color="231F20"/>
        </w:rPr>
        <w:t>it</w:t>
      </w:r>
      <w:r>
        <w:rPr>
          <w:i/>
          <w:color w:val="231F20"/>
          <w:spacing w:val="-19"/>
          <w:w w:val="95"/>
          <w:sz w:val="19"/>
          <w:u w:val="single" w:color="231F20"/>
        </w:rPr>
        <w:t> </w:t>
      </w:r>
      <w:r>
        <w:rPr>
          <w:i/>
          <w:color w:val="231F20"/>
          <w:w w:val="95"/>
          <w:sz w:val="19"/>
          <w:u w:val="single" w:color="231F20"/>
        </w:rPr>
        <w:t>is</w:t>
      </w:r>
      <w:r>
        <w:rPr>
          <w:i/>
          <w:color w:val="231F20"/>
          <w:spacing w:val="-19"/>
          <w:w w:val="95"/>
          <w:sz w:val="19"/>
          <w:u w:val="single" w:color="231F20"/>
        </w:rPr>
        <w:t> </w:t>
      </w:r>
      <w:r>
        <w:rPr>
          <w:i/>
          <w:color w:val="231F20"/>
          <w:w w:val="95"/>
          <w:sz w:val="19"/>
          <w:u w:val="single" w:color="231F20"/>
        </w:rPr>
        <w:t>not</w:t>
      </w:r>
      <w:r>
        <w:rPr>
          <w:i/>
          <w:color w:val="231F20"/>
          <w:spacing w:val="-19"/>
          <w:w w:val="95"/>
          <w:sz w:val="19"/>
          <w:u w:val="single" w:color="231F20"/>
        </w:rPr>
        <w:t> </w:t>
      </w:r>
      <w:r>
        <w:rPr>
          <w:i/>
          <w:color w:val="231F20"/>
          <w:w w:val="95"/>
          <w:sz w:val="19"/>
          <w:u w:val="single" w:color="231F20"/>
        </w:rPr>
        <w:t>simply</w:t>
      </w:r>
      <w:r>
        <w:rPr>
          <w:i/>
          <w:color w:val="231F20"/>
          <w:spacing w:val="-19"/>
          <w:w w:val="95"/>
          <w:sz w:val="19"/>
          <w:u w:val="single" w:color="231F20"/>
        </w:rPr>
        <w:t> </w:t>
      </w:r>
      <w:r>
        <w:rPr>
          <w:i/>
          <w:color w:val="231F20"/>
          <w:w w:val="95"/>
          <w:sz w:val="19"/>
          <w:u w:val="single" w:color="231F20"/>
        </w:rPr>
        <w:t>provided</w:t>
      </w:r>
      <w:r>
        <w:rPr>
          <w:i/>
          <w:color w:val="231F20"/>
          <w:spacing w:val="-19"/>
          <w:w w:val="95"/>
          <w:sz w:val="19"/>
          <w:u w:val="single" w:color="231F20"/>
        </w:rPr>
        <w:t> </w:t>
      </w:r>
      <w:r>
        <w:rPr>
          <w:i/>
          <w:color w:val="231F20"/>
          <w:w w:val="95"/>
          <w:sz w:val="19"/>
          <w:u w:val="single" w:color="231F20"/>
        </w:rPr>
        <w:t>by </w:t>
      </w:r>
      <w:r>
        <w:rPr>
          <w:i/>
          <w:color w:val="231F20"/>
          <w:w w:val="90"/>
          <w:sz w:val="19"/>
          <w:u w:val="single" w:color="231F20"/>
        </w:rPr>
        <w:t>nature. Its most important elements are other human beings, not natural </w:t>
      </w:r>
      <w:r>
        <w:rPr>
          <w:i/>
          <w:color w:val="231F20"/>
          <w:w w:val="95"/>
          <w:sz w:val="19"/>
          <w:u w:val="single" w:color="231F20"/>
        </w:rPr>
        <w:t>features or events</w:t>
      </w:r>
      <w:r>
        <w:rPr>
          <w:color w:val="231F20"/>
          <w:w w:val="95"/>
          <w:sz w:val="19"/>
        </w:rPr>
        <w:t>(el subrayado es del autor) (Downs, 1975:</w:t>
      </w:r>
      <w:r>
        <w:rPr>
          <w:color w:val="231F20"/>
          <w:spacing w:val="-15"/>
          <w:w w:val="95"/>
          <w:sz w:val="19"/>
        </w:rPr>
        <w:t> </w:t>
      </w:r>
      <w:r>
        <w:rPr>
          <w:color w:val="231F20"/>
          <w:w w:val="95"/>
          <w:sz w:val="19"/>
        </w:rPr>
        <w:t>121).</w:t>
      </w:r>
    </w:p>
    <w:p>
      <w:pPr>
        <w:pStyle w:val="BodyText"/>
        <w:spacing w:before="7"/>
        <w:rPr>
          <w:sz w:val="14"/>
        </w:rPr>
      </w:pPr>
    </w:p>
    <w:p>
      <w:pPr>
        <w:spacing w:before="69"/>
        <w:ind w:left="102" w:right="0" w:firstLine="0"/>
        <w:jc w:val="both"/>
        <w:rPr>
          <w:i/>
          <w:sz w:val="21"/>
        </w:rPr>
      </w:pPr>
      <w:r>
        <w:rPr>
          <w:i/>
          <w:color w:val="231F20"/>
          <w:w w:val="85"/>
          <w:sz w:val="21"/>
        </w:rPr>
        <w:t>Socavamiento de la identidad</w:t>
      </w:r>
    </w:p>
    <w:p>
      <w:pPr>
        <w:pStyle w:val="BodyText"/>
        <w:spacing w:before="1"/>
        <w:rPr>
          <w:i/>
        </w:rPr>
      </w:pPr>
    </w:p>
    <w:p>
      <w:pPr>
        <w:pStyle w:val="BodyText"/>
        <w:spacing w:line="244" w:lineRule="auto" w:before="1"/>
        <w:ind w:left="102" w:right="115"/>
        <w:jc w:val="both"/>
      </w:pPr>
      <w:r>
        <w:rPr>
          <w:color w:val="231F20"/>
        </w:rPr>
        <w:t>La preocupación por el fenómeno de la violencia en las facultades provoca la disminución de la identidad de las personas en la univer- sidad. Esto ha propiciado la aparición de fuertes espacios anómicos (cafeterías, avenidas transitadas, las instalaciones de la rectoría, es- pacios para realizar comicios, algunas explanadas, las cafeterías, las oficinas de los directores o algunos pasillos al interior de la UAB- JO). El socavamiento de la identidad y la emergencia de espacios anómicos propicia que lugares que no eran anómicos comiencen a serlo (ejemplo de ello fue la quema del paraninfo de la institución o la aparición de actos de violencia graves en lugares públicos). De modo que la anomia rebasa su carácter meramente organizacional y se erige como un fenómeno de naturaleza política.</w:t>
      </w:r>
    </w:p>
    <w:p>
      <w:pPr>
        <w:pStyle w:val="BodyText"/>
        <w:spacing w:line="240" w:lineRule="exact"/>
        <w:ind w:left="386" w:right="121"/>
      </w:pPr>
      <w:r>
        <w:rPr>
          <w:color w:val="231F20"/>
        </w:rPr>
        <w:t>Para Girola-Molina:</w:t>
      </w:r>
    </w:p>
    <w:p>
      <w:pPr>
        <w:pStyle w:val="BodyText"/>
        <w:spacing w:before="3"/>
        <w:rPr>
          <w:sz w:val="22"/>
        </w:rPr>
      </w:pPr>
    </w:p>
    <w:p>
      <w:pPr>
        <w:spacing w:line="247" w:lineRule="auto" w:before="1"/>
        <w:ind w:left="811" w:right="114" w:firstLine="0"/>
        <w:jc w:val="both"/>
        <w:rPr>
          <w:sz w:val="19"/>
        </w:rPr>
      </w:pPr>
      <w:r>
        <w:rPr>
          <w:color w:val="231F20"/>
          <w:sz w:val="19"/>
        </w:rPr>
        <w:t>Hay procesos anómicos en la vida laboral y las actividades pro- ductivas, cuando no se respetan las normas que debieran facilitar  el logro de los objetivos de trabajo (…) Son anómicos también la impuntualidad, la inasistencia a una reunión programada con an- telación, a la que se ha asegurado que se va a acudir; el anunciar que se están realizando controles sanitarios y de calidad cuando  no es así (…) En la vida académica también hay anomia, cuando los estudiantes no estudian, los profesores no asisten a sus clases  o no enseñan con el rigor que deben, y cuando, como dice el tan- go, ‘es lo mismo un burro que un gran profesor’ (2005:</w:t>
      </w:r>
      <w:r>
        <w:rPr>
          <w:color w:val="231F20"/>
          <w:spacing w:val="19"/>
          <w:sz w:val="19"/>
        </w:rPr>
        <w:t> </w:t>
      </w:r>
      <w:r>
        <w:rPr>
          <w:color w:val="231F20"/>
          <w:sz w:val="19"/>
        </w:rPr>
        <w:t>125).</w:t>
      </w:r>
    </w:p>
    <w:p>
      <w:pPr>
        <w:pStyle w:val="BodyText"/>
      </w:pPr>
    </w:p>
    <w:p>
      <w:pPr>
        <w:pStyle w:val="BodyText"/>
        <w:spacing w:line="247" w:lineRule="auto"/>
        <w:ind w:left="102" w:right="104" w:firstLine="284"/>
      </w:pPr>
      <w:r>
        <w:rPr>
          <w:color w:val="231F20"/>
        </w:rPr>
        <w:t>Sin embargo, podemos quedarnos con las alentadoras palabras de Daniel Bell:</w:t>
      </w:r>
    </w:p>
    <w:p>
      <w:pPr>
        <w:pStyle w:val="BodyText"/>
        <w:spacing w:before="4"/>
        <w:rPr>
          <w:sz w:val="23"/>
        </w:rPr>
      </w:pPr>
    </w:p>
    <w:p>
      <w:pPr>
        <w:spacing w:line="276" w:lineRule="auto" w:before="1"/>
        <w:ind w:left="810" w:right="164" w:firstLine="0"/>
        <w:jc w:val="both"/>
        <w:rPr>
          <w:sz w:val="19"/>
        </w:rPr>
      </w:pPr>
      <w:r>
        <w:rPr>
          <w:color w:val="231F20"/>
          <w:sz w:val="19"/>
        </w:rPr>
        <w:t>Con todo, no desaparece la doble naturaleza del hombre mismo:  la agresión asesina derivada de un impulso primario, de arrebatar  y destruir, por un lado; y la busca del orden, en el arte y en la vi- da, como inclinación de la voluntad a la armonía, por el otro. Es- ta tensión, imposible de erradicar, define el mundo social y   </w:t>
      </w:r>
      <w:r>
        <w:rPr>
          <w:color w:val="231F20"/>
          <w:spacing w:val="10"/>
          <w:sz w:val="19"/>
        </w:rPr>
        <w:t> </w:t>
      </w:r>
      <w:r>
        <w:rPr>
          <w:color w:val="231F20"/>
          <w:sz w:val="19"/>
        </w:rPr>
        <w:t>per-</w:t>
      </w:r>
    </w:p>
    <w:p>
      <w:pPr>
        <w:spacing w:after="0" w:line="276" w:lineRule="auto"/>
        <w:jc w:val="both"/>
        <w:rPr>
          <w:sz w:val="19"/>
        </w:rPr>
        <w:sectPr>
          <w:headerReference w:type="default" r:id="rId846"/>
          <w:footerReference w:type="default" r:id="rId847"/>
          <w:pgSz w:w="7830" w:h="11910"/>
          <w:pgMar w:header="0" w:footer="424" w:top="500" w:bottom="620" w:left="920" w:right="900"/>
          <w:pgNumType w:start="38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line="273" w:lineRule="auto" w:before="111"/>
        <w:ind w:left="810" w:right="165" w:firstLine="0"/>
        <w:jc w:val="both"/>
        <w:rPr>
          <w:sz w:val="19"/>
        </w:rPr>
      </w:pPr>
      <w:r>
        <w:rPr>
          <w:color w:val="231F20"/>
          <w:sz w:val="19"/>
        </w:rPr>
        <w:t>mite una visión de la utopía que tal vez sea más realista que el es- tablecimiento del milenario inmediato sobre la tierra por el que    el hombre moderno se ha esforzado (2001:</w:t>
      </w:r>
      <w:r>
        <w:rPr>
          <w:color w:val="231F20"/>
          <w:spacing w:val="46"/>
          <w:sz w:val="19"/>
        </w:rPr>
        <w:t> </w:t>
      </w:r>
      <w:r>
        <w:rPr>
          <w:color w:val="231F20"/>
          <w:sz w:val="19"/>
        </w:rPr>
        <w:t>563).</w:t>
      </w:r>
    </w:p>
    <w:p>
      <w:pPr>
        <w:pStyle w:val="BodyText"/>
        <w:rPr>
          <w:sz w:val="20"/>
        </w:rPr>
      </w:pPr>
    </w:p>
    <w:p>
      <w:pPr>
        <w:pStyle w:val="BodyText"/>
        <w:spacing w:before="4"/>
        <w:rPr>
          <w:sz w:val="22"/>
        </w:rPr>
      </w:pPr>
    </w:p>
    <w:p>
      <w:pPr>
        <w:pStyle w:val="BodyText"/>
        <w:ind w:left="102" w:right="121"/>
      </w:pPr>
      <w:r>
        <w:rPr>
          <w:color w:val="231F20"/>
          <w:w w:val="105"/>
        </w:rPr>
        <w:t>CONCLUSIONES</w:t>
      </w:r>
    </w:p>
    <w:p>
      <w:pPr>
        <w:pStyle w:val="BodyText"/>
        <w:spacing w:before="1"/>
      </w:pPr>
    </w:p>
    <w:p>
      <w:pPr>
        <w:pStyle w:val="BodyText"/>
        <w:spacing w:line="244" w:lineRule="auto" w:before="1"/>
        <w:ind w:left="102" w:right="115"/>
        <w:jc w:val="both"/>
      </w:pPr>
      <w:r>
        <w:rPr>
          <w:color w:val="231F20"/>
        </w:rPr>
        <w:t>Las manifestaciones de violencia en la universidad derivan de una serie de condiciones sociales que reflejan formas nuevas, las cuales están presentes en nuestra sociedad y son un fenómeno mundial. A  la disputa por la institución le acompañan una serie de manifesta- ciones de violencia política y colectiva. Lo paradójico es que los estudiantes viven la violencia en otras células de la sociedad, como  la familia, con sus grupos de amigos o con sus padres. Se trata de formas anómicas porque no se consideran legítimas por quienes las viven, reflejando con ello una rotura del contrato social y un debili- tamiento de los lazos que nos vinculan como</w:t>
      </w:r>
      <w:r>
        <w:rPr>
          <w:color w:val="231F20"/>
          <w:spacing w:val="35"/>
        </w:rPr>
        <w:t> </w:t>
      </w:r>
      <w:r>
        <w:rPr>
          <w:color w:val="231F20"/>
        </w:rPr>
        <w:t>individuos.</w:t>
      </w:r>
    </w:p>
    <w:p>
      <w:pPr>
        <w:pStyle w:val="BodyText"/>
        <w:rPr>
          <w:sz w:val="22"/>
        </w:rPr>
      </w:pPr>
    </w:p>
    <w:p>
      <w:pPr>
        <w:pStyle w:val="BodyText"/>
        <w:rPr>
          <w:sz w:val="22"/>
        </w:rPr>
      </w:pPr>
    </w:p>
    <w:p>
      <w:pPr>
        <w:pStyle w:val="BodyText"/>
        <w:spacing w:before="6"/>
        <w:rPr>
          <w:sz w:val="20"/>
        </w:rPr>
      </w:pPr>
    </w:p>
    <w:p>
      <w:pPr>
        <w:spacing w:before="0"/>
        <w:ind w:left="102" w:right="121" w:firstLine="0"/>
        <w:jc w:val="left"/>
        <w:rPr>
          <w:sz w:val="17"/>
        </w:rPr>
      </w:pPr>
      <w:r>
        <w:rPr>
          <w:color w:val="231F20"/>
          <w:w w:val="105"/>
          <w:sz w:val="21"/>
        </w:rPr>
        <w:t>R</w:t>
      </w:r>
      <w:r>
        <w:rPr>
          <w:color w:val="231F20"/>
          <w:w w:val="105"/>
          <w:sz w:val="17"/>
        </w:rPr>
        <w:t>EFERENCIAS</w:t>
      </w:r>
    </w:p>
    <w:p>
      <w:pPr>
        <w:pStyle w:val="BodyText"/>
        <w:spacing w:before="4"/>
        <w:rPr>
          <w:sz w:val="32"/>
        </w:rPr>
      </w:pPr>
    </w:p>
    <w:p>
      <w:pPr>
        <w:spacing w:line="247" w:lineRule="auto" w:before="0"/>
        <w:ind w:left="822" w:right="121" w:hanging="665"/>
        <w:jc w:val="left"/>
        <w:rPr>
          <w:sz w:val="21"/>
        </w:rPr>
      </w:pPr>
      <w:r>
        <w:rPr>
          <w:color w:val="231F20"/>
          <w:sz w:val="21"/>
        </w:rPr>
        <w:t>Bailón-Corres, Moisés Jaime, Montes-García, Néstor, González- Rivera, Horacio Tomás, López-Cruz, Isaac Raúl y Hernán- </w:t>
      </w:r>
      <w:r>
        <w:rPr>
          <w:color w:val="231F20"/>
          <w:w w:val="95"/>
          <w:sz w:val="21"/>
        </w:rPr>
        <w:t>dez, Franco Gabriel. (2009). </w:t>
      </w:r>
      <w:r>
        <w:rPr>
          <w:i/>
          <w:color w:val="231F20"/>
          <w:w w:val="95"/>
          <w:sz w:val="21"/>
        </w:rPr>
        <w:t>Ensayos sobre historia, política, </w:t>
      </w:r>
      <w:r>
        <w:rPr>
          <w:i/>
          <w:color w:val="231F20"/>
          <w:w w:val="90"/>
          <w:sz w:val="21"/>
        </w:rPr>
        <w:t>educación y literatura de Oaxaca. </w:t>
      </w:r>
      <w:r>
        <w:rPr>
          <w:color w:val="231F20"/>
          <w:w w:val="90"/>
          <w:sz w:val="21"/>
        </w:rPr>
        <w:t>Oaxaca: IIHUABJO.</w:t>
      </w:r>
    </w:p>
    <w:p>
      <w:pPr>
        <w:spacing w:line="242" w:lineRule="auto" w:before="1"/>
        <w:ind w:left="822" w:right="121" w:hanging="721"/>
        <w:jc w:val="left"/>
        <w:rPr>
          <w:sz w:val="21"/>
        </w:rPr>
      </w:pPr>
      <w:r>
        <w:rPr>
          <w:color w:val="231F20"/>
          <w:w w:val="90"/>
          <w:sz w:val="21"/>
        </w:rPr>
        <w:t>Bell, Daniel (2001). </w:t>
      </w:r>
      <w:r>
        <w:rPr>
          <w:i/>
          <w:color w:val="231F20"/>
          <w:w w:val="90"/>
          <w:sz w:val="21"/>
        </w:rPr>
        <w:t>El advenimiento de la sociedad post-industrial. Un </w:t>
      </w:r>
      <w:r>
        <w:rPr>
          <w:i/>
          <w:color w:val="231F20"/>
          <w:w w:val="90"/>
          <w:sz w:val="21"/>
        </w:rPr>
        <w:t>intento de prognosis social. </w:t>
      </w:r>
      <w:r>
        <w:rPr>
          <w:color w:val="231F20"/>
          <w:w w:val="90"/>
          <w:sz w:val="21"/>
        </w:rPr>
        <w:t>Madrid: Alianza.</w:t>
      </w:r>
    </w:p>
    <w:p>
      <w:pPr>
        <w:spacing w:line="244" w:lineRule="auto" w:before="6"/>
        <w:ind w:left="822" w:right="121" w:hanging="721"/>
        <w:jc w:val="left"/>
        <w:rPr>
          <w:sz w:val="21"/>
        </w:rPr>
      </w:pPr>
      <w:r>
        <w:rPr>
          <w:color w:val="231F20"/>
          <w:w w:val="95"/>
          <w:sz w:val="21"/>
        </w:rPr>
        <w:t>Coriat, Benjamin. (1982). </w:t>
      </w:r>
      <w:r>
        <w:rPr>
          <w:i/>
          <w:color w:val="231F20"/>
          <w:w w:val="95"/>
          <w:sz w:val="21"/>
        </w:rPr>
        <w:t>El taller y el cronómetro. Ensayos sobre el </w:t>
      </w:r>
      <w:r>
        <w:rPr>
          <w:i/>
          <w:color w:val="231F20"/>
          <w:w w:val="90"/>
          <w:sz w:val="21"/>
        </w:rPr>
        <w:t>taylorismo,</w:t>
      </w:r>
      <w:r>
        <w:rPr>
          <w:i/>
          <w:color w:val="231F20"/>
          <w:spacing w:val="-14"/>
          <w:w w:val="90"/>
          <w:sz w:val="21"/>
        </w:rPr>
        <w:t> </w:t>
      </w:r>
      <w:r>
        <w:rPr>
          <w:i/>
          <w:color w:val="231F20"/>
          <w:w w:val="90"/>
          <w:sz w:val="21"/>
        </w:rPr>
        <w:t>el</w:t>
      </w:r>
      <w:r>
        <w:rPr>
          <w:i/>
          <w:color w:val="231F20"/>
          <w:spacing w:val="-14"/>
          <w:w w:val="90"/>
          <w:sz w:val="21"/>
        </w:rPr>
        <w:t> </w:t>
      </w:r>
      <w:r>
        <w:rPr>
          <w:i/>
          <w:color w:val="231F20"/>
          <w:w w:val="90"/>
          <w:sz w:val="21"/>
        </w:rPr>
        <w:t>fordismo</w:t>
      </w:r>
      <w:r>
        <w:rPr>
          <w:i/>
          <w:color w:val="231F20"/>
          <w:spacing w:val="-13"/>
          <w:w w:val="90"/>
          <w:sz w:val="21"/>
        </w:rPr>
        <w:t> </w:t>
      </w:r>
      <w:r>
        <w:rPr>
          <w:i/>
          <w:color w:val="231F20"/>
          <w:w w:val="90"/>
          <w:sz w:val="21"/>
        </w:rPr>
        <w:t>y</w:t>
      </w:r>
      <w:r>
        <w:rPr>
          <w:i/>
          <w:color w:val="231F20"/>
          <w:spacing w:val="-14"/>
          <w:w w:val="90"/>
          <w:sz w:val="21"/>
        </w:rPr>
        <w:t> </w:t>
      </w:r>
      <w:r>
        <w:rPr>
          <w:i/>
          <w:color w:val="231F20"/>
          <w:w w:val="90"/>
          <w:sz w:val="21"/>
        </w:rPr>
        <w:t>la</w:t>
      </w:r>
      <w:r>
        <w:rPr>
          <w:i/>
          <w:color w:val="231F20"/>
          <w:spacing w:val="-13"/>
          <w:w w:val="90"/>
          <w:sz w:val="21"/>
        </w:rPr>
        <w:t> </w:t>
      </w:r>
      <w:r>
        <w:rPr>
          <w:i/>
          <w:color w:val="231F20"/>
          <w:w w:val="90"/>
          <w:sz w:val="21"/>
        </w:rPr>
        <w:t>producción</w:t>
      </w:r>
      <w:r>
        <w:rPr>
          <w:i/>
          <w:color w:val="231F20"/>
          <w:spacing w:val="-13"/>
          <w:w w:val="90"/>
          <w:sz w:val="21"/>
        </w:rPr>
        <w:t> </w:t>
      </w:r>
      <w:r>
        <w:rPr>
          <w:i/>
          <w:color w:val="231F20"/>
          <w:w w:val="90"/>
          <w:sz w:val="21"/>
        </w:rPr>
        <w:t>en</w:t>
      </w:r>
      <w:r>
        <w:rPr>
          <w:i/>
          <w:color w:val="231F20"/>
          <w:spacing w:val="-13"/>
          <w:w w:val="90"/>
          <w:sz w:val="21"/>
        </w:rPr>
        <w:t> </w:t>
      </w:r>
      <w:r>
        <w:rPr>
          <w:i/>
          <w:color w:val="231F20"/>
          <w:w w:val="90"/>
          <w:sz w:val="21"/>
        </w:rPr>
        <w:t>masa.</w:t>
      </w:r>
      <w:r>
        <w:rPr>
          <w:i/>
          <w:color w:val="231F20"/>
          <w:spacing w:val="-14"/>
          <w:w w:val="90"/>
          <w:sz w:val="21"/>
        </w:rPr>
        <w:t> </w:t>
      </w:r>
      <w:r>
        <w:rPr>
          <w:color w:val="231F20"/>
          <w:w w:val="90"/>
          <w:sz w:val="21"/>
        </w:rPr>
        <w:t>México</w:t>
      </w:r>
      <w:r>
        <w:rPr>
          <w:color w:val="231F20"/>
          <w:spacing w:val="-13"/>
          <w:w w:val="90"/>
          <w:sz w:val="21"/>
        </w:rPr>
        <w:t> </w:t>
      </w:r>
      <w:r>
        <w:rPr>
          <w:color w:val="231F20"/>
          <w:w w:val="90"/>
          <w:sz w:val="21"/>
        </w:rPr>
        <w:t>DF:</w:t>
      </w:r>
      <w:r>
        <w:rPr>
          <w:color w:val="231F20"/>
          <w:spacing w:val="-14"/>
          <w:w w:val="90"/>
          <w:sz w:val="21"/>
        </w:rPr>
        <w:t> </w:t>
      </w:r>
      <w:r>
        <w:rPr>
          <w:color w:val="231F20"/>
          <w:w w:val="90"/>
          <w:sz w:val="21"/>
        </w:rPr>
        <w:t>Siglo </w:t>
      </w:r>
      <w:r>
        <w:rPr>
          <w:color w:val="231F20"/>
          <w:w w:val="95"/>
          <w:sz w:val="21"/>
        </w:rPr>
        <w:t>XXI.</w:t>
      </w:r>
    </w:p>
    <w:p>
      <w:pPr>
        <w:spacing w:line="247" w:lineRule="auto" w:before="0"/>
        <w:ind w:left="822" w:right="210" w:hanging="720"/>
        <w:jc w:val="left"/>
        <w:rPr>
          <w:sz w:val="21"/>
        </w:rPr>
      </w:pPr>
      <w:r>
        <w:rPr>
          <w:color w:val="231F20"/>
          <w:w w:val="95"/>
          <w:sz w:val="21"/>
        </w:rPr>
        <w:t>Coriat,</w:t>
      </w:r>
      <w:r>
        <w:rPr>
          <w:color w:val="231F20"/>
          <w:spacing w:val="-26"/>
          <w:w w:val="95"/>
          <w:sz w:val="21"/>
        </w:rPr>
        <w:t> </w:t>
      </w:r>
      <w:r>
        <w:rPr>
          <w:color w:val="231F20"/>
          <w:w w:val="95"/>
          <w:sz w:val="21"/>
        </w:rPr>
        <w:t>Benjamin.</w:t>
      </w:r>
      <w:r>
        <w:rPr>
          <w:color w:val="231F20"/>
          <w:spacing w:val="-26"/>
          <w:w w:val="95"/>
          <w:sz w:val="21"/>
        </w:rPr>
        <w:t> </w:t>
      </w:r>
      <w:r>
        <w:rPr>
          <w:color w:val="231F20"/>
          <w:w w:val="95"/>
          <w:sz w:val="21"/>
        </w:rPr>
        <w:t>(1992).</w:t>
      </w:r>
      <w:r>
        <w:rPr>
          <w:color w:val="231F20"/>
          <w:spacing w:val="-26"/>
          <w:w w:val="95"/>
          <w:sz w:val="21"/>
        </w:rPr>
        <w:t> </w:t>
      </w:r>
      <w:r>
        <w:rPr>
          <w:i/>
          <w:color w:val="231F20"/>
          <w:w w:val="95"/>
          <w:sz w:val="21"/>
        </w:rPr>
        <w:t>El</w:t>
      </w:r>
      <w:r>
        <w:rPr>
          <w:i/>
          <w:color w:val="231F20"/>
          <w:spacing w:val="-26"/>
          <w:w w:val="95"/>
          <w:sz w:val="21"/>
        </w:rPr>
        <w:t> </w:t>
      </w:r>
      <w:r>
        <w:rPr>
          <w:i/>
          <w:color w:val="231F20"/>
          <w:w w:val="95"/>
          <w:sz w:val="21"/>
        </w:rPr>
        <w:t>taller</w:t>
      </w:r>
      <w:r>
        <w:rPr>
          <w:i/>
          <w:color w:val="231F20"/>
          <w:spacing w:val="-26"/>
          <w:w w:val="95"/>
          <w:sz w:val="21"/>
        </w:rPr>
        <w:t> </w:t>
      </w:r>
      <w:r>
        <w:rPr>
          <w:i/>
          <w:color w:val="231F20"/>
          <w:w w:val="95"/>
          <w:sz w:val="21"/>
        </w:rPr>
        <w:t>y</w:t>
      </w:r>
      <w:r>
        <w:rPr>
          <w:i/>
          <w:color w:val="231F20"/>
          <w:spacing w:val="-26"/>
          <w:w w:val="95"/>
          <w:sz w:val="21"/>
        </w:rPr>
        <w:t> </w:t>
      </w:r>
      <w:r>
        <w:rPr>
          <w:i/>
          <w:color w:val="231F20"/>
          <w:w w:val="95"/>
          <w:sz w:val="21"/>
        </w:rPr>
        <w:t>el</w:t>
      </w:r>
      <w:r>
        <w:rPr>
          <w:i/>
          <w:color w:val="231F20"/>
          <w:spacing w:val="-26"/>
          <w:w w:val="95"/>
          <w:sz w:val="21"/>
        </w:rPr>
        <w:t> </w:t>
      </w:r>
      <w:r>
        <w:rPr>
          <w:i/>
          <w:color w:val="231F20"/>
          <w:w w:val="95"/>
          <w:sz w:val="21"/>
        </w:rPr>
        <w:t>robot.</w:t>
      </w:r>
      <w:r>
        <w:rPr>
          <w:i/>
          <w:color w:val="231F20"/>
          <w:spacing w:val="-26"/>
          <w:w w:val="95"/>
          <w:sz w:val="21"/>
        </w:rPr>
        <w:t> </w:t>
      </w:r>
      <w:r>
        <w:rPr>
          <w:i/>
          <w:color w:val="231F20"/>
          <w:w w:val="95"/>
          <w:sz w:val="21"/>
        </w:rPr>
        <w:t>Ensayos</w:t>
      </w:r>
      <w:r>
        <w:rPr>
          <w:i/>
          <w:color w:val="231F20"/>
          <w:spacing w:val="-26"/>
          <w:w w:val="95"/>
          <w:sz w:val="21"/>
        </w:rPr>
        <w:t> </w:t>
      </w:r>
      <w:r>
        <w:rPr>
          <w:i/>
          <w:color w:val="231F20"/>
          <w:w w:val="95"/>
          <w:sz w:val="21"/>
        </w:rPr>
        <w:t>sobre</w:t>
      </w:r>
      <w:r>
        <w:rPr>
          <w:i/>
          <w:color w:val="231F20"/>
          <w:spacing w:val="-26"/>
          <w:w w:val="95"/>
          <w:sz w:val="21"/>
        </w:rPr>
        <w:t> </w:t>
      </w:r>
      <w:r>
        <w:rPr>
          <w:i/>
          <w:color w:val="231F20"/>
          <w:w w:val="95"/>
          <w:sz w:val="21"/>
        </w:rPr>
        <w:t>el</w:t>
      </w:r>
      <w:r>
        <w:rPr>
          <w:i/>
          <w:color w:val="231F20"/>
          <w:spacing w:val="-26"/>
          <w:w w:val="95"/>
          <w:sz w:val="21"/>
        </w:rPr>
        <w:t> </w:t>
      </w:r>
      <w:r>
        <w:rPr>
          <w:i/>
          <w:color w:val="231F20"/>
          <w:w w:val="95"/>
          <w:sz w:val="21"/>
        </w:rPr>
        <w:t>fordismo</w:t>
      </w:r>
      <w:r>
        <w:rPr>
          <w:i/>
          <w:color w:val="231F20"/>
          <w:spacing w:val="-26"/>
          <w:w w:val="95"/>
          <w:sz w:val="21"/>
        </w:rPr>
        <w:t> </w:t>
      </w:r>
      <w:r>
        <w:rPr>
          <w:i/>
          <w:color w:val="231F20"/>
          <w:w w:val="95"/>
          <w:sz w:val="21"/>
        </w:rPr>
        <w:t>y </w:t>
      </w:r>
      <w:r>
        <w:rPr>
          <w:i/>
          <w:color w:val="231F20"/>
          <w:w w:val="95"/>
          <w:sz w:val="21"/>
        </w:rPr>
        <w:t>la</w:t>
      </w:r>
      <w:r>
        <w:rPr>
          <w:i/>
          <w:color w:val="231F20"/>
          <w:spacing w:val="-26"/>
          <w:w w:val="95"/>
          <w:sz w:val="21"/>
        </w:rPr>
        <w:t> </w:t>
      </w:r>
      <w:r>
        <w:rPr>
          <w:i/>
          <w:color w:val="231F20"/>
          <w:w w:val="95"/>
          <w:sz w:val="21"/>
        </w:rPr>
        <w:t>producción</w:t>
      </w:r>
      <w:r>
        <w:rPr>
          <w:i/>
          <w:color w:val="231F20"/>
          <w:spacing w:val="-26"/>
          <w:w w:val="95"/>
          <w:sz w:val="21"/>
        </w:rPr>
        <w:t> </w:t>
      </w:r>
      <w:r>
        <w:rPr>
          <w:i/>
          <w:color w:val="231F20"/>
          <w:w w:val="95"/>
          <w:sz w:val="21"/>
        </w:rPr>
        <w:t>en</w:t>
      </w:r>
      <w:r>
        <w:rPr>
          <w:i/>
          <w:color w:val="231F20"/>
          <w:spacing w:val="-26"/>
          <w:w w:val="95"/>
          <w:sz w:val="21"/>
        </w:rPr>
        <w:t> </w:t>
      </w:r>
      <w:r>
        <w:rPr>
          <w:i/>
          <w:color w:val="231F20"/>
          <w:w w:val="95"/>
          <w:sz w:val="21"/>
        </w:rPr>
        <w:t>masa</w:t>
      </w:r>
      <w:r>
        <w:rPr>
          <w:i/>
          <w:color w:val="231F20"/>
          <w:spacing w:val="-26"/>
          <w:w w:val="95"/>
          <w:sz w:val="21"/>
        </w:rPr>
        <w:t> </w:t>
      </w:r>
      <w:r>
        <w:rPr>
          <w:i/>
          <w:color w:val="231F20"/>
          <w:w w:val="95"/>
          <w:sz w:val="21"/>
        </w:rPr>
        <w:t>en</w:t>
      </w:r>
      <w:r>
        <w:rPr>
          <w:i/>
          <w:color w:val="231F20"/>
          <w:spacing w:val="-26"/>
          <w:w w:val="95"/>
          <w:sz w:val="21"/>
        </w:rPr>
        <w:t> </w:t>
      </w:r>
      <w:r>
        <w:rPr>
          <w:i/>
          <w:color w:val="231F20"/>
          <w:w w:val="95"/>
          <w:sz w:val="21"/>
        </w:rPr>
        <w:t>la</w:t>
      </w:r>
      <w:r>
        <w:rPr>
          <w:i/>
          <w:color w:val="231F20"/>
          <w:spacing w:val="-26"/>
          <w:w w:val="95"/>
          <w:sz w:val="21"/>
        </w:rPr>
        <w:t> </w:t>
      </w:r>
      <w:r>
        <w:rPr>
          <w:i/>
          <w:color w:val="231F20"/>
          <w:w w:val="95"/>
          <w:sz w:val="21"/>
        </w:rPr>
        <w:t>era</w:t>
      </w:r>
      <w:r>
        <w:rPr>
          <w:i/>
          <w:color w:val="231F20"/>
          <w:spacing w:val="-26"/>
          <w:w w:val="95"/>
          <w:sz w:val="21"/>
        </w:rPr>
        <w:t> </w:t>
      </w:r>
      <w:r>
        <w:rPr>
          <w:i/>
          <w:color w:val="231F20"/>
          <w:w w:val="95"/>
          <w:sz w:val="21"/>
        </w:rPr>
        <w:t>de</w:t>
      </w:r>
      <w:r>
        <w:rPr>
          <w:i/>
          <w:color w:val="231F20"/>
          <w:spacing w:val="-26"/>
          <w:w w:val="95"/>
          <w:sz w:val="21"/>
        </w:rPr>
        <w:t> </w:t>
      </w:r>
      <w:r>
        <w:rPr>
          <w:i/>
          <w:color w:val="231F20"/>
          <w:w w:val="95"/>
          <w:sz w:val="21"/>
        </w:rPr>
        <w:t>la</w:t>
      </w:r>
      <w:r>
        <w:rPr>
          <w:i/>
          <w:color w:val="231F20"/>
          <w:spacing w:val="-26"/>
          <w:w w:val="95"/>
          <w:sz w:val="21"/>
        </w:rPr>
        <w:t> </w:t>
      </w:r>
      <w:r>
        <w:rPr>
          <w:i/>
          <w:color w:val="231F20"/>
          <w:w w:val="95"/>
          <w:sz w:val="21"/>
        </w:rPr>
        <w:t>electrónica.</w:t>
      </w:r>
      <w:r>
        <w:rPr>
          <w:i/>
          <w:color w:val="231F20"/>
          <w:spacing w:val="-26"/>
          <w:w w:val="95"/>
          <w:sz w:val="21"/>
        </w:rPr>
        <w:t> </w:t>
      </w:r>
      <w:r>
        <w:rPr>
          <w:color w:val="231F20"/>
          <w:w w:val="95"/>
          <w:sz w:val="21"/>
        </w:rPr>
        <w:t>México</w:t>
      </w:r>
      <w:r>
        <w:rPr>
          <w:color w:val="231F20"/>
          <w:spacing w:val="-26"/>
          <w:w w:val="95"/>
          <w:sz w:val="21"/>
        </w:rPr>
        <w:t> </w:t>
      </w:r>
      <w:r>
        <w:rPr>
          <w:color w:val="231F20"/>
          <w:w w:val="95"/>
          <w:sz w:val="21"/>
        </w:rPr>
        <w:t>DF: Siglo</w:t>
      </w:r>
      <w:r>
        <w:rPr>
          <w:color w:val="231F20"/>
          <w:spacing w:val="22"/>
          <w:w w:val="95"/>
          <w:sz w:val="21"/>
        </w:rPr>
        <w:t> </w:t>
      </w:r>
      <w:r>
        <w:rPr>
          <w:color w:val="231F20"/>
          <w:w w:val="95"/>
          <w:sz w:val="21"/>
        </w:rPr>
        <w:t>XXI.</w:t>
      </w:r>
    </w:p>
    <w:p>
      <w:pPr>
        <w:pStyle w:val="BodyText"/>
        <w:spacing w:line="238" w:lineRule="exact"/>
        <w:ind w:left="102" w:right="121"/>
      </w:pPr>
      <w:r>
        <w:rPr>
          <w:color w:val="231F20"/>
        </w:rPr>
        <w:t>Dirección General de Población de Estado de Oaxaca.  (2007).</w:t>
      </w:r>
    </w:p>
    <w:p>
      <w:pPr>
        <w:spacing w:before="8"/>
        <w:ind w:left="822" w:right="0" w:firstLine="0"/>
        <w:jc w:val="both"/>
        <w:rPr>
          <w:sz w:val="21"/>
        </w:rPr>
      </w:pPr>
      <w:r>
        <w:rPr>
          <w:i/>
          <w:color w:val="231F20"/>
          <w:w w:val="90"/>
          <w:sz w:val="21"/>
        </w:rPr>
        <w:t>Índices municipales en Oaxaca. </w:t>
      </w:r>
      <w:r>
        <w:rPr>
          <w:color w:val="231F20"/>
          <w:w w:val="90"/>
          <w:sz w:val="21"/>
        </w:rPr>
        <w:t>Oaxaca.</w:t>
      </w:r>
    </w:p>
    <w:p>
      <w:pPr>
        <w:spacing w:line="247" w:lineRule="auto" w:before="3"/>
        <w:ind w:left="822" w:right="121" w:hanging="721"/>
        <w:jc w:val="left"/>
        <w:rPr>
          <w:sz w:val="21"/>
        </w:rPr>
      </w:pPr>
      <w:r>
        <w:rPr>
          <w:color w:val="231F20"/>
          <w:sz w:val="21"/>
        </w:rPr>
        <w:t>Downs,</w:t>
      </w:r>
      <w:r>
        <w:rPr>
          <w:color w:val="231F20"/>
          <w:spacing w:val="-22"/>
          <w:sz w:val="21"/>
        </w:rPr>
        <w:t> </w:t>
      </w:r>
      <w:r>
        <w:rPr>
          <w:color w:val="231F20"/>
          <w:sz w:val="21"/>
        </w:rPr>
        <w:t>James</w:t>
      </w:r>
      <w:r>
        <w:rPr>
          <w:color w:val="231F20"/>
          <w:spacing w:val="-22"/>
          <w:sz w:val="21"/>
        </w:rPr>
        <w:t> </w:t>
      </w:r>
      <w:r>
        <w:rPr>
          <w:color w:val="231F20"/>
          <w:sz w:val="21"/>
        </w:rPr>
        <w:t>F.</w:t>
      </w:r>
      <w:r>
        <w:rPr>
          <w:color w:val="231F20"/>
          <w:spacing w:val="-21"/>
          <w:sz w:val="21"/>
        </w:rPr>
        <w:t> </w:t>
      </w:r>
      <w:r>
        <w:rPr>
          <w:color w:val="231F20"/>
          <w:sz w:val="21"/>
        </w:rPr>
        <w:t>(1971).</w:t>
      </w:r>
      <w:r>
        <w:rPr>
          <w:color w:val="231F20"/>
          <w:spacing w:val="-22"/>
          <w:sz w:val="21"/>
        </w:rPr>
        <w:t> </w:t>
      </w:r>
      <w:r>
        <w:rPr>
          <w:i/>
          <w:color w:val="231F20"/>
          <w:sz w:val="21"/>
        </w:rPr>
        <w:t>Cultures</w:t>
      </w:r>
      <w:r>
        <w:rPr>
          <w:i/>
          <w:color w:val="231F20"/>
          <w:spacing w:val="-22"/>
          <w:sz w:val="21"/>
        </w:rPr>
        <w:t> </w:t>
      </w:r>
      <w:r>
        <w:rPr>
          <w:i/>
          <w:color w:val="231F20"/>
          <w:sz w:val="21"/>
        </w:rPr>
        <w:t>in</w:t>
      </w:r>
      <w:r>
        <w:rPr>
          <w:i/>
          <w:color w:val="231F20"/>
          <w:spacing w:val="-21"/>
          <w:sz w:val="21"/>
        </w:rPr>
        <w:t> </w:t>
      </w:r>
      <w:r>
        <w:rPr>
          <w:i/>
          <w:color w:val="231F20"/>
          <w:sz w:val="21"/>
        </w:rPr>
        <w:t>Crisis.</w:t>
      </w:r>
      <w:r>
        <w:rPr>
          <w:i/>
          <w:color w:val="231F20"/>
          <w:spacing w:val="-23"/>
          <w:sz w:val="21"/>
        </w:rPr>
        <w:t> </w:t>
      </w:r>
      <w:r>
        <w:rPr>
          <w:color w:val="231F20"/>
          <w:sz w:val="21"/>
        </w:rPr>
        <w:t>Los</w:t>
      </w:r>
      <w:r>
        <w:rPr>
          <w:color w:val="231F20"/>
          <w:spacing w:val="-22"/>
          <w:sz w:val="21"/>
        </w:rPr>
        <w:t> </w:t>
      </w:r>
      <w:r>
        <w:rPr>
          <w:color w:val="231F20"/>
          <w:sz w:val="21"/>
        </w:rPr>
        <w:t>Angeles:</w:t>
      </w:r>
      <w:r>
        <w:rPr>
          <w:color w:val="231F20"/>
          <w:spacing w:val="-22"/>
          <w:sz w:val="21"/>
        </w:rPr>
        <w:t> </w:t>
      </w:r>
      <w:r>
        <w:rPr>
          <w:color w:val="231F20"/>
          <w:sz w:val="21"/>
        </w:rPr>
        <w:t>Glencoe Press.</w:t>
      </w:r>
    </w:p>
    <w:p>
      <w:pPr>
        <w:spacing w:after="0" w:line="247" w:lineRule="auto"/>
        <w:jc w:val="left"/>
        <w:rPr>
          <w:sz w:val="21"/>
        </w:rPr>
        <w:sectPr>
          <w:headerReference w:type="default" r:id="rId848"/>
          <w:footerReference w:type="default" r:id="rId849"/>
          <w:pgSz w:w="7830" w:h="11910"/>
          <w:pgMar w:header="0" w:footer="424" w:top="500" w:bottom="620" w:left="920" w:right="900"/>
          <w:pgNumType w:start="383"/>
        </w:sectPr>
      </w:pPr>
    </w:p>
    <w:p>
      <w:pPr>
        <w:spacing w:before="46"/>
        <w:ind w:left="564" w:right="561"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spacing w:line="247" w:lineRule="auto" w:before="0"/>
        <w:ind w:left="822" w:right="730" w:hanging="721"/>
        <w:jc w:val="left"/>
        <w:rPr>
          <w:sz w:val="21"/>
        </w:rPr>
      </w:pPr>
      <w:r>
        <w:rPr>
          <w:color w:val="231F20"/>
          <w:w w:val="95"/>
          <w:sz w:val="21"/>
        </w:rPr>
        <w:t>Durkheim,</w:t>
      </w:r>
      <w:r>
        <w:rPr>
          <w:color w:val="231F20"/>
          <w:spacing w:val="-30"/>
          <w:w w:val="95"/>
          <w:sz w:val="21"/>
        </w:rPr>
        <w:t> </w:t>
      </w:r>
      <w:r>
        <w:rPr>
          <w:color w:val="231F20"/>
          <w:w w:val="95"/>
          <w:sz w:val="21"/>
        </w:rPr>
        <w:t>Émile.</w:t>
      </w:r>
      <w:r>
        <w:rPr>
          <w:color w:val="231F20"/>
          <w:spacing w:val="-30"/>
          <w:w w:val="95"/>
          <w:sz w:val="21"/>
        </w:rPr>
        <w:t> </w:t>
      </w:r>
      <w:r>
        <w:rPr>
          <w:color w:val="231F20"/>
          <w:w w:val="95"/>
          <w:sz w:val="21"/>
        </w:rPr>
        <w:t>(1976).</w:t>
      </w:r>
      <w:r>
        <w:rPr>
          <w:color w:val="231F20"/>
          <w:spacing w:val="-30"/>
          <w:w w:val="95"/>
          <w:sz w:val="21"/>
        </w:rPr>
        <w:t> </w:t>
      </w:r>
      <w:r>
        <w:rPr>
          <w:i/>
          <w:color w:val="231F20"/>
          <w:w w:val="95"/>
          <w:sz w:val="21"/>
        </w:rPr>
        <w:t>Educación</w:t>
      </w:r>
      <w:r>
        <w:rPr>
          <w:i/>
          <w:color w:val="231F20"/>
          <w:spacing w:val="-30"/>
          <w:w w:val="95"/>
          <w:sz w:val="21"/>
        </w:rPr>
        <w:t> </w:t>
      </w:r>
      <w:r>
        <w:rPr>
          <w:i/>
          <w:color w:val="231F20"/>
          <w:w w:val="95"/>
          <w:sz w:val="21"/>
        </w:rPr>
        <w:t>como</w:t>
      </w:r>
      <w:r>
        <w:rPr>
          <w:i/>
          <w:color w:val="231F20"/>
          <w:spacing w:val="-30"/>
          <w:w w:val="95"/>
          <w:sz w:val="21"/>
        </w:rPr>
        <w:t> </w:t>
      </w:r>
      <w:r>
        <w:rPr>
          <w:i/>
          <w:color w:val="231F20"/>
          <w:w w:val="95"/>
          <w:sz w:val="21"/>
        </w:rPr>
        <w:t>socialización.</w:t>
      </w:r>
      <w:r>
        <w:rPr>
          <w:i/>
          <w:color w:val="231F20"/>
          <w:spacing w:val="-30"/>
          <w:w w:val="95"/>
          <w:sz w:val="21"/>
        </w:rPr>
        <w:t> </w:t>
      </w:r>
      <w:r>
        <w:rPr>
          <w:color w:val="231F20"/>
          <w:w w:val="95"/>
          <w:sz w:val="21"/>
        </w:rPr>
        <w:t>México: </w:t>
      </w:r>
      <w:r>
        <w:rPr>
          <w:color w:val="231F20"/>
          <w:sz w:val="21"/>
        </w:rPr>
        <w:t>Ediciones</w:t>
      </w:r>
      <w:r>
        <w:rPr>
          <w:color w:val="231F20"/>
          <w:spacing w:val="-19"/>
          <w:sz w:val="21"/>
        </w:rPr>
        <w:t> </w:t>
      </w:r>
      <w:r>
        <w:rPr>
          <w:color w:val="231F20"/>
          <w:sz w:val="21"/>
        </w:rPr>
        <w:t>Sígueme.</w:t>
      </w:r>
    </w:p>
    <w:p>
      <w:pPr>
        <w:spacing w:line="247" w:lineRule="auto" w:before="0"/>
        <w:ind w:left="102" w:right="0" w:firstLine="0"/>
        <w:jc w:val="left"/>
        <w:rPr>
          <w:sz w:val="21"/>
        </w:rPr>
      </w:pPr>
      <w:r>
        <w:rPr>
          <w:color w:val="231F20"/>
          <w:sz w:val="21"/>
        </w:rPr>
        <w:t>Durkheim,</w:t>
      </w:r>
      <w:r>
        <w:rPr>
          <w:color w:val="231F20"/>
          <w:spacing w:val="-29"/>
          <w:sz w:val="21"/>
        </w:rPr>
        <w:t> </w:t>
      </w:r>
      <w:r>
        <w:rPr>
          <w:color w:val="231F20"/>
          <w:sz w:val="21"/>
        </w:rPr>
        <w:t>Émile.</w:t>
      </w:r>
      <w:r>
        <w:rPr>
          <w:color w:val="231F20"/>
          <w:spacing w:val="-29"/>
          <w:sz w:val="21"/>
        </w:rPr>
        <w:t> </w:t>
      </w:r>
      <w:r>
        <w:rPr>
          <w:color w:val="231F20"/>
          <w:sz w:val="21"/>
        </w:rPr>
        <w:t>(s.f.).</w:t>
      </w:r>
      <w:r>
        <w:rPr>
          <w:color w:val="231F20"/>
          <w:spacing w:val="-29"/>
          <w:sz w:val="21"/>
        </w:rPr>
        <w:t> </w:t>
      </w:r>
      <w:r>
        <w:rPr>
          <w:i/>
          <w:color w:val="231F20"/>
          <w:sz w:val="21"/>
        </w:rPr>
        <w:t>Educación</w:t>
      </w:r>
      <w:r>
        <w:rPr>
          <w:i/>
          <w:color w:val="231F20"/>
          <w:spacing w:val="-29"/>
          <w:sz w:val="21"/>
        </w:rPr>
        <w:t> </w:t>
      </w:r>
      <w:r>
        <w:rPr>
          <w:i/>
          <w:color w:val="231F20"/>
          <w:sz w:val="21"/>
        </w:rPr>
        <w:t>y</w:t>
      </w:r>
      <w:r>
        <w:rPr>
          <w:i/>
          <w:color w:val="231F20"/>
          <w:spacing w:val="-29"/>
          <w:sz w:val="21"/>
        </w:rPr>
        <w:t> </w:t>
      </w:r>
      <w:r>
        <w:rPr>
          <w:i/>
          <w:color w:val="231F20"/>
          <w:sz w:val="21"/>
        </w:rPr>
        <w:t>sociología.</w:t>
      </w:r>
      <w:r>
        <w:rPr>
          <w:i/>
          <w:color w:val="231F20"/>
          <w:spacing w:val="-29"/>
          <w:sz w:val="21"/>
        </w:rPr>
        <w:t> </w:t>
      </w:r>
      <w:r>
        <w:rPr>
          <w:color w:val="231F20"/>
          <w:sz w:val="21"/>
        </w:rPr>
        <w:t>México:</w:t>
      </w:r>
      <w:r>
        <w:rPr>
          <w:color w:val="231F20"/>
          <w:spacing w:val="-29"/>
          <w:sz w:val="21"/>
        </w:rPr>
        <w:t> </w:t>
      </w:r>
      <w:r>
        <w:rPr>
          <w:color w:val="231F20"/>
          <w:sz w:val="21"/>
        </w:rPr>
        <w:t>Colofón. </w:t>
      </w:r>
      <w:r>
        <w:rPr>
          <w:color w:val="231F20"/>
          <w:w w:val="95"/>
          <w:sz w:val="21"/>
        </w:rPr>
        <w:t>Fromm,</w:t>
      </w:r>
      <w:r>
        <w:rPr>
          <w:color w:val="231F20"/>
          <w:spacing w:val="-17"/>
          <w:w w:val="95"/>
          <w:sz w:val="21"/>
        </w:rPr>
        <w:t> </w:t>
      </w:r>
      <w:r>
        <w:rPr>
          <w:color w:val="231F20"/>
          <w:w w:val="95"/>
          <w:sz w:val="21"/>
        </w:rPr>
        <w:t>Erich.</w:t>
      </w:r>
      <w:r>
        <w:rPr>
          <w:color w:val="231F20"/>
          <w:spacing w:val="-17"/>
          <w:w w:val="95"/>
          <w:sz w:val="21"/>
        </w:rPr>
        <w:t> </w:t>
      </w:r>
      <w:r>
        <w:rPr>
          <w:color w:val="231F20"/>
          <w:w w:val="95"/>
          <w:sz w:val="21"/>
        </w:rPr>
        <w:t>(1985).</w:t>
      </w:r>
      <w:r>
        <w:rPr>
          <w:color w:val="231F20"/>
          <w:spacing w:val="-17"/>
          <w:w w:val="95"/>
          <w:sz w:val="21"/>
        </w:rPr>
        <w:t> </w:t>
      </w:r>
      <w:r>
        <w:rPr>
          <w:i/>
          <w:color w:val="231F20"/>
          <w:w w:val="95"/>
          <w:sz w:val="21"/>
        </w:rPr>
        <w:t>Anatomía</w:t>
      </w:r>
      <w:r>
        <w:rPr>
          <w:i/>
          <w:color w:val="231F20"/>
          <w:spacing w:val="-17"/>
          <w:w w:val="95"/>
          <w:sz w:val="21"/>
        </w:rPr>
        <w:t> </w:t>
      </w:r>
      <w:r>
        <w:rPr>
          <w:i/>
          <w:color w:val="231F20"/>
          <w:w w:val="95"/>
          <w:sz w:val="21"/>
        </w:rPr>
        <w:t>de</w:t>
      </w:r>
      <w:r>
        <w:rPr>
          <w:i/>
          <w:color w:val="231F20"/>
          <w:spacing w:val="-17"/>
          <w:w w:val="95"/>
          <w:sz w:val="21"/>
        </w:rPr>
        <w:t> </w:t>
      </w:r>
      <w:r>
        <w:rPr>
          <w:i/>
          <w:color w:val="231F20"/>
          <w:w w:val="95"/>
          <w:sz w:val="21"/>
        </w:rPr>
        <w:t>la</w:t>
      </w:r>
      <w:r>
        <w:rPr>
          <w:i/>
          <w:color w:val="231F20"/>
          <w:spacing w:val="-17"/>
          <w:w w:val="95"/>
          <w:sz w:val="21"/>
        </w:rPr>
        <w:t> </w:t>
      </w:r>
      <w:r>
        <w:rPr>
          <w:i/>
          <w:color w:val="231F20"/>
          <w:w w:val="95"/>
          <w:sz w:val="21"/>
        </w:rPr>
        <w:t>destructividad</w:t>
      </w:r>
      <w:r>
        <w:rPr>
          <w:i/>
          <w:color w:val="231F20"/>
          <w:spacing w:val="-17"/>
          <w:w w:val="95"/>
          <w:sz w:val="21"/>
        </w:rPr>
        <w:t> </w:t>
      </w:r>
      <w:r>
        <w:rPr>
          <w:i/>
          <w:color w:val="231F20"/>
          <w:w w:val="95"/>
          <w:sz w:val="21"/>
        </w:rPr>
        <w:t>humana.</w:t>
      </w:r>
      <w:r>
        <w:rPr>
          <w:i/>
          <w:color w:val="231F20"/>
          <w:spacing w:val="-16"/>
          <w:w w:val="95"/>
          <w:sz w:val="21"/>
        </w:rPr>
        <w:t> </w:t>
      </w:r>
      <w:r>
        <w:rPr>
          <w:color w:val="231F20"/>
          <w:w w:val="95"/>
          <w:sz w:val="21"/>
        </w:rPr>
        <w:t>México</w:t>
      </w:r>
    </w:p>
    <w:p>
      <w:pPr>
        <w:pStyle w:val="BodyText"/>
        <w:spacing w:line="238" w:lineRule="exact"/>
        <w:ind w:left="822" w:right="774"/>
      </w:pPr>
      <w:r>
        <w:rPr>
          <w:color w:val="231F20"/>
        </w:rPr>
        <w:t>DF: Siglo XXI.</w:t>
      </w:r>
    </w:p>
    <w:p>
      <w:pPr>
        <w:spacing w:line="247" w:lineRule="auto" w:before="8"/>
        <w:ind w:left="822" w:right="94" w:hanging="720"/>
        <w:jc w:val="left"/>
        <w:rPr>
          <w:i/>
          <w:sz w:val="21"/>
        </w:rPr>
      </w:pPr>
      <w:r>
        <w:rPr>
          <w:color w:val="231F20"/>
          <w:w w:val="90"/>
          <w:sz w:val="21"/>
        </w:rPr>
        <w:t>Girola-Molina, Lidia. (2005). </w:t>
      </w:r>
      <w:r>
        <w:rPr>
          <w:i/>
          <w:color w:val="231F20"/>
          <w:w w:val="90"/>
          <w:sz w:val="21"/>
        </w:rPr>
        <w:t>Anomia e individualismo. Del diagnóstico de </w:t>
      </w:r>
      <w:r>
        <w:rPr>
          <w:i/>
          <w:color w:val="231F20"/>
          <w:w w:val="85"/>
          <w:sz w:val="21"/>
        </w:rPr>
        <w:t>la modernidad de Durkheim al pensamiento contemporáneo.</w:t>
      </w:r>
    </w:p>
    <w:p>
      <w:pPr>
        <w:pStyle w:val="BodyText"/>
        <w:spacing w:line="238" w:lineRule="exact"/>
        <w:ind w:left="822" w:right="774"/>
      </w:pPr>
      <w:r>
        <w:rPr>
          <w:color w:val="231F20"/>
        </w:rPr>
        <w:t>Barcelona: Anthropos.</w:t>
      </w:r>
    </w:p>
    <w:p>
      <w:pPr>
        <w:spacing w:line="244" w:lineRule="auto" w:before="8"/>
        <w:ind w:left="822" w:right="94" w:hanging="720"/>
        <w:jc w:val="left"/>
        <w:rPr>
          <w:sz w:val="21"/>
        </w:rPr>
      </w:pPr>
      <w:r>
        <w:rPr>
          <w:color w:val="231F20"/>
          <w:sz w:val="21"/>
        </w:rPr>
        <w:t>Gónzalez-Rivera, Horacio. (2009). La disputa por la Universidad: la participación de los grupos y partidos politícos en el movimiento estudiantil universitario de Oaxaca (diciembre </w:t>
      </w:r>
      <w:r>
        <w:rPr>
          <w:color w:val="231F20"/>
          <w:w w:val="95"/>
          <w:sz w:val="21"/>
        </w:rPr>
        <w:t>de</w:t>
      </w:r>
      <w:r>
        <w:rPr>
          <w:color w:val="231F20"/>
          <w:spacing w:val="-16"/>
          <w:w w:val="95"/>
          <w:sz w:val="21"/>
        </w:rPr>
        <w:t> </w:t>
      </w:r>
      <w:r>
        <w:rPr>
          <w:color w:val="231F20"/>
          <w:w w:val="95"/>
          <w:sz w:val="21"/>
        </w:rPr>
        <w:t>1975</w:t>
      </w:r>
      <w:r>
        <w:rPr>
          <w:color w:val="231F20"/>
          <w:spacing w:val="-16"/>
          <w:w w:val="95"/>
          <w:sz w:val="21"/>
        </w:rPr>
        <w:t> </w:t>
      </w:r>
      <w:r>
        <w:rPr>
          <w:color w:val="231F20"/>
          <w:w w:val="95"/>
          <w:sz w:val="21"/>
        </w:rPr>
        <w:t>a</w:t>
      </w:r>
      <w:r>
        <w:rPr>
          <w:color w:val="231F20"/>
          <w:spacing w:val="-17"/>
          <w:w w:val="95"/>
          <w:sz w:val="21"/>
        </w:rPr>
        <w:t> </w:t>
      </w:r>
      <w:r>
        <w:rPr>
          <w:color w:val="231F20"/>
          <w:w w:val="95"/>
          <w:sz w:val="21"/>
        </w:rPr>
        <w:t>mayo</w:t>
      </w:r>
      <w:r>
        <w:rPr>
          <w:color w:val="231F20"/>
          <w:spacing w:val="-16"/>
          <w:w w:val="95"/>
          <w:sz w:val="21"/>
        </w:rPr>
        <w:t> </w:t>
      </w:r>
      <w:r>
        <w:rPr>
          <w:color w:val="231F20"/>
          <w:w w:val="95"/>
          <w:sz w:val="21"/>
        </w:rPr>
        <w:t>de</w:t>
      </w:r>
      <w:r>
        <w:rPr>
          <w:color w:val="231F20"/>
          <w:spacing w:val="-16"/>
          <w:w w:val="95"/>
          <w:sz w:val="21"/>
        </w:rPr>
        <w:t> </w:t>
      </w:r>
      <w:r>
        <w:rPr>
          <w:color w:val="231F20"/>
          <w:w w:val="95"/>
          <w:sz w:val="21"/>
        </w:rPr>
        <w:t>1977).</w:t>
      </w:r>
      <w:r>
        <w:rPr>
          <w:color w:val="231F20"/>
          <w:spacing w:val="-17"/>
          <w:w w:val="95"/>
          <w:sz w:val="21"/>
        </w:rPr>
        <w:t> </w:t>
      </w:r>
      <w:r>
        <w:rPr>
          <w:color w:val="231F20"/>
          <w:w w:val="95"/>
          <w:sz w:val="21"/>
        </w:rPr>
        <w:t>En</w:t>
      </w:r>
      <w:r>
        <w:rPr>
          <w:color w:val="231F20"/>
          <w:spacing w:val="-15"/>
          <w:w w:val="95"/>
          <w:sz w:val="21"/>
        </w:rPr>
        <w:t> </w:t>
      </w:r>
      <w:r>
        <w:rPr>
          <w:i/>
          <w:color w:val="231F20"/>
          <w:w w:val="95"/>
          <w:sz w:val="21"/>
        </w:rPr>
        <w:t>Ensayos</w:t>
      </w:r>
      <w:r>
        <w:rPr>
          <w:i/>
          <w:color w:val="231F20"/>
          <w:spacing w:val="-17"/>
          <w:w w:val="95"/>
          <w:sz w:val="21"/>
        </w:rPr>
        <w:t> </w:t>
      </w:r>
      <w:r>
        <w:rPr>
          <w:i/>
          <w:color w:val="231F20"/>
          <w:w w:val="95"/>
          <w:sz w:val="21"/>
        </w:rPr>
        <w:t>sobre</w:t>
      </w:r>
      <w:r>
        <w:rPr>
          <w:i/>
          <w:color w:val="231F20"/>
          <w:spacing w:val="-17"/>
          <w:w w:val="95"/>
          <w:sz w:val="21"/>
        </w:rPr>
        <w:t> </w:t>
      </w:r>
      <w:r>
        <w:rPr>
          <w:i/>
          <w:color w:val="231F20"/>
          <w:w w:val="95"/>
          <w:sz w:val="21"/>
        </w:rPr>
        <w:t>la</w:t>
      </w:r>
      <w:r>
        <w:rPr>
          <w:i/>
          <w:color w:val="231F20"/>
          <w:spacing w:val="-16"/>
          <w:w w:val="95"/>
          <w:sz w:val="21"/>
        </w:rPr>
        <w:t> </w:t>
      </w:r>
      <w:r>
        <w:rPr>
          <w:i/>
          <w:color w:val="231F20"/>
          <w:w w:val="95"/>
          <w:sz w:val="21"/>
        </w:rPr>
        <w:t>historia,</w:t>
      </w:r>
      <w:r>
        <w:rPr>
          <w:i/>
          <w:color w:val="231F20"/>
          <w:spacing w:val="-17"/>
          <w:w w:val="95"/>
          <w:sz w:val="21"/>
        </w:rPr>
        <w:t> </w:t>
      </w:r>
      <w:r>
        <w:rPr>
          <w:i/>
          <w:color w:val="231F20"/>
          <w:w w:val="95"/>
          <w:sz w:val="21"/>
        </w:rPr>
        <w:t>política, </w:t>
      </w:r>
      <w:r>
        <w:rPr>
          <w:i/>
          <w:color w:val="231F20"/>
          <w:w w:val="90"/>
          <w:sz w:val="21"/>
        </w:rPr>
        <w:t>educación y literatura de Oaxaca. </w:t>
      </w:r>
      <w:r>
        <w:rPr>
          <w:color w:val="231F20"/>
          <w:w w:val="90"/>
          <w:sz w:val="21"/>
        </w:rPr>
        <w:t>Oaxaca:</w:t>
      </w:r>
      <w:r>
        <w:rPr>
          <w:color w:val="231F20"/>
          <w:spacing w:val="42"/>
          <w:w w:val="90"/>
          <w:sz w:val="21"/>
        </w:rPr>
        <w:t> </w:t>
      </w:r>
      <w:r>
        <w:rPr>
          <w:color w:val="231F20"/>
          <w:w w:val="90"/>
          <w:sz w:val="21"/>
        </w:rPr>
        <w:t>IIHUABJO.</w:t>
      </w:r>
    </w:p>
    <w:p>
      <w:pPr>
        <w:spacing w:line="247" w:lineRule="auto" w:before="0"/>
        <w:ind w:left="822" w:right="40" w:hanging="721"/>
        <w:jc w:val="left"/>
        <w:rPr>
          <w:sz w:val="21"/>
        </w:rPr>
      </w:pPr>
      <w:r>
        <w:rPr>
          <w:color w:val="231F20"/>
          <w:w w:val="95"/>
          <w:sz w:val="21"/>
        </w:rPr>
        <w:t>Gramigna, Anita. (2003). </w:t>
      </w:r>
      <w:r>
        <w:rPr>
          <w:i/>
          <w:color w:val="231F20"/>
          <w:w w:val="95"/>
          <w:sz w:val="21"/>
        </w:rPr>
        <w:t>Manuale di pedagogía sociale. </w:t>
      </w:r>
      <w:r>
        <w:rPr>
          <w:color w:val="231F20"/>
          <w:w w:val="95"/>
          <w:sz w:val="21"/>
        </w:rPr>
        <w:t>Roma: Editore- </w:t>
      </w:r>
      <w:r>
        <w:rPr>
          <w:color w:val="231F20"/>
          <w:sz w:val="21"/>
        </w:rPr>
        <w:t>Scuola di Specializzaciones per L'insegnamento secondario.</w:t>
      </w:r>
    </w:p>
    <w:p>
      <w:pPr>
        <w:pStyle w:val="BodyText"/>
        <w:spacing w:line="242" w:lineRule="auto" w:before="1"/>
        <w:ind w:left="822" w:hanging="720"/>
      </w:pPr>
      <w:r>
        <w:rPr>
          <w:color w:val="231F20"/>
        </w:rPr>
        <w:t>Imberti, Julieta. (2006). Miradores sobre la violencia. En Imberti </w:t>
      </w:r>
      <w:r>
        <w:rPr>
          <w:color w:val="231F20"/>
          <w:w w:val="88"/>
        </w:rPr>
        <w:t>J</w:t>
      </w:r>
      <w:r>
        <w:rPr>
          <w:color w:val="231F20"/>
          <w:w w:val="100"/>
        </w:rPr>
        <w:t>u</w:t>
      </w:r>
      <w:r>
        <w:rPr>
          <w:color w:val="231F20"/>
          <w:w w:val="89"/>
        </w:rPr>
        <w:t>lie</w:t>
      </w:r>
      <w:r>
        <w:rPr>
          <w:color w:val="231F20"/>
          <w:w w:val="107"/>
        </w:rPr>
        <w:t>t</w:t>
      </w:r>
      <w:r>
        <w:rPr>
          <w:color w:val="231F20"/>
          <w:w w:val="94"/>
        </w:rPr>
        <w:t>a</w:t>
      </w:r>
      <w:r>
        <w:rPr>
          <w:color w:val="231F20"/>
          <w:w w:val="90"/>
        </w:rPr>
        <w:t>,</w:t>
      </w:r>
      <w:r>
        <w:rPr>
          <w:color w:val="231F20"/>
        </w:rPr>
        <w:t> </w:t>
      </w:r>
      <w:r>
        <w:rPr>
          <w:i/>
          <w:color w:val="231F20"/>
          <w:w w:val="135"/>
        </w:rPr>
        <w:t>V</w:t>
      </w:r>
      <w:r>
        <w:rPr>
          <w:i/>
          <w:color w:val="231F20"/>
          <w:w w:val="84"/>
        </w:rPr>
        <w:t>i</w:t>
      </w:r>
      <w:r>
        <w:rPr>
          <w:i/>
          <w:color w:val="231F20"/>
          <w:w w:val="75"/>
        </w:rPr>
        <w:t>ol</w:t>
      </w:r>
      <w:r>
        <w:rPr>
          <w:i/>
          <w:color w:val="231F20"/>
          <w:w w:val="67"/>
        </w:rPr>
        <w:t>e</w:t>
      </w:r>
      <w:r>
        <w:rPr>
          <w:i/>
          <w:color w:val="231F20"/>
          <w:w w:val="87"/>
        </w:rPr>
        <w:t>n</w:t>
      </w:r>
      <w:r>
        <w:rPr>
          <w:i/>
          <w:color w:val="231F20"/>
          <w:w w:val="62"/>
        </w:rPr>
        <w:t>c</w:t>
      </w:r>
      <w:r>
        <w:rPr>
          <w:i/>
          <w:color w:val="231F20"/>
          <w:w w:val="84"/>
        </w:rPr>
        <w:t>i</w:t>
      </w:r>
      <w:r>
        <w:rPr>
          <w:i/>
          <w:color w:val="231F20"/>
          <w:w w:val="83"/>
        </w:rPr>
        <w:t>a</w:t>
      </w:r>
      <w:r>
        <w:rPr>
          <w:i/>
          <w:color w:val="231F20"/>
        </w:rPr>
        <w:t> </w:t>
      </w:r>
      <w:r>
        <w:rPr>
          <w:i/>
          <w:color w:val="231F20"/>
          <w:w w:val="77"/>
        </w:rPr>
        <w:t>y</w:t>
      </w:r>
      <w:r>
        <w:rPr>
          <w:i/>
          <w:color w:val="231F20"/>
        </w:rPr>
        <w:t> </w:t>
      </w:r>
      <w:r>
        <w:rPr>
          <w:i/>
          <w:color w:val="231F20"/>
          <w:w w:val="67"/>
        </w:rPr>
        <w:t>e</w:t>
      </w:r>
      <w:r>
        <w:rPr>
          <w:i/>
          <w:color w:val="231F20"/>
          <w:w w:val="77"/>
        </w:rPr>
        <w:t>s</w:t>
      </w:r>
      <w:r>
        <w:rPr>
          <w:i/>
          <w:color w:val="231F20"/>
          <w:w w:val="62"/>
        </w:rPr>
        <w:t>c</w:t>
      </w:r>
      <w:r>
        <w:rPr>
          <w:i/>
          <w:color w:val="231F20"/>
          <w:w w:val="87"/>
        </w:rPr>
        <w:t>u</w:t>
      </w:r>
      <w:r>
        <w:rPr>
          <w:i/>
          <w:color w:val="231F20"/>
          <w:w w:val="67"/>
        </w:rPr>
        <w:t>e</w:t>
      </w:r>
      <w:r>
        <w:rPr>
          <w:i/>
          <w:color w:val="231F20"/>
          <w:w w:val="80"/>
        </w:rPr>
        <w:t>l</w:t>
      </w:r>
      <w:r>
        <w:rPr>
          <w:i/>
          <w:color w:val="231F20"/>
          <w:w w:val="83"/>
        </w:rPr>
        <w:t>a</w:t>
      </w:r>
      <w:r>
        <w:rPr>
          <w:i/>
          <w:color w:val="231F20"/>
          <w:w w:val="90"/>
        </w:rPr>
        <w:t>.</w:t>
      </w:r>
      <w:r>
        <w:rPr>
          <w:i/>
          <w:color w:val="231F20"/>
        </w:rPr>
        <w:t> </w:t>
      </w:r>
      <w:r>
        <w:rPr>
          <w:color w:val="231F20"/>
          <w:w w:val="94"/>
        </w:rPr>
        <w:t>B</w:t>
      </w:r>
      <w:r>
        <w:rPr>
          <w:color w:val="231F20"/>
          <w:w w:val="100"/>
        </w:rPr>
        <w:t>u</w:t>
      </w:r>
      <w:r>
        <w:rPr>
          <w:color w:val="231F20"/>
          <w:w w:val="96"/>
        </w:rPr>
        <w:t>e</w:t>
      </w:r>
      <w:r>
        <w:rPr>
          <w:color w:val="231F20"/>
          <w:w w:val="104"/>
        </w:rPr>
        <w:t>no</w:t>
      </w:r>
      <w:r>
        <w:rPr>
          <w:color w:val="231F20"/>
          <w:w w:val="96"/>
        </w:rPr>
        <w:t>s</w:t>
      </w:r>
      <w:r>
        <w:rPr>
          <w:color w:val="231F20"/>
        </w:rPr>
        <w:t> </w:t>
      </w:r>
      <w:r>
        <w:rPr>
          <w:color w:val="231F20"/>
          <w:w w:val="96"/>
        </w:rPr>
        <w:t>A</w:t>
      </w:r>
      <w:r>
        <w:rPr>
          <w:color w:val="231F20"/>
          <w:w w:val="94"/>
        </w:rPr>
        <w:t>ir</w:t>
      </w:r>
      <w:r>
        <w:rPr>
          <w:color w:val="231F20"/>
          <w:w w:val="96"/>
        </w:rPr>
        <w:t>e</w:t>
      </w:r>
      <w:r>
        <w:rPr>
          <w:color w:val="231F20"/>
          <w:w w:val="96"/>
        </w:rPr>
        <w:t>s</w:t>
      </w:r>
      <w:r>
        <w:rPr>
          <w:color w:val="231F20"/>
          <w:w w:val="80"/>
        </w:rPr>
        <w:t>:</w:t>
      </w:r>
      <w:r>
        <w:rPr>
          <w:color w:val="231F20"/>
        </w:rPr>
        <w:t> </w:t>
      </w:r>
      <w:r>
        <w:rPr>
          <w:color w:val="231F20"/>
          <w:w w:val="104"/>
        </w:rPr>
        <w:t>P</w:t>
      </w:r>
      <w:r>
        <w:rPr>
          <w:color w:val="231F20"/>
          <w:w w:val="94"/>
        </w:rPr>
        <w:t>a</w:t>
      </w:r>
      <w:r>
        <w:rPr>
          <w:color w:val="231F20"/>
          <w:w w:val="96"/>
        </w:rPr>
        <w:t>id</w:t>
      </w:r>
      <w:r>
        <w:rPr>
          <w:color w:val="231F20"/>
          <w:w w:val="104"/>
        </w:rPr>
        <w:t>ó</w:t>
      </w:r>
      <w:r>
        <w:rPr>
          <w:color w:val="231F20"/>
          <w:w w:val="96"/>
        </w:rPr>
        <w:t>s</w:t>
      </w:r>
      <w:r>
        <w:rPr>
          <w:color w:val="231F20"/>
          <w:w w:val="90"/>
        </w:rPr>
        <w:t>.</w:t>
      </w:r>
    </w:p>
    <w:p>
      <w:pPr>
        <w:pStyle w:val="BodyText"/>
        <w:spacing w:line="242" w:lineRule="auto" w:before="6"/>
        <w:ind w:left="102" w:right="135"/>
      </w:pPr>
      <w:r>
        <w:rPr>
          <w:color w:val="231F20"/>
        </w:rPr>
        <w:t>Jiménez Martínez, Alejandro Arturo, Cerna López Alba, Reyes Sanabria Saúl. (2010). El instituto de Ciencias y Artes del Estado de</w:t>
      </w:r>
    </w:p>
    <w:p>
      <w:pPr>
        <w:spacing w:line="244" w:lineRule="auto" w:before="6"/>
        <w:ind w:left="822" w:right="0" w:firstLine="0"/>
        <w:jc w:val="left"/>
        <w:rPr>
          <w:sz w:val="21"/>
        </w:rPr>
      </w:pPr>
      <w:r>
        <w:rPr>
          <w:color w:val="231F20"/>
          <w:sz w:val="21"/>
        </w:rPr>
        <w:t>Oaxaca en el Centenario de la Independencia 1910. En </w:t>
      </w:r>
      <w:r>
        <w:rPr>
          <w:i/>
          <w:color w:val="231F20"/>
          <w:sz w:val="21"/>
        </w:rPr>
        <w:t>XII </w:t>
      </w:r>
      <w:r>
        <w:rPr>
          <w:i/>
          <w:color w:val="231F20"/>
          <w:w w:val="95"/>
          <w:sz w:val="21"/>
        </w:rPr>
        <w:t>Encuentro Internacional de Historia de la Educación. </w:t>
      </w:r>
      <w:r>
        <w:rPr>
          <w:color w:val="231F20"/>
          <w:w w:val="95"/>
          <w:sz w:val="21"/>
        </w:rPr>
        <w:t>Morelia, </w:t>
      </w:r>
      <w:r>
        <w:rPr>
          <w:color w:val="231F20"/>
          <w:sz w:val="21"/>
        </w:rPr>
        <w:t>México.</w:t>
      </w:r>
    </w:p>
    <w:p>
      <w:pPr>
        <w:pStyle w:val="BodyText"/>
        <w:spacing w:line="244" w:lineRule="auto" w:before="3"/>
        <w:ind w:left="811" w:right="157" w:hanging="709"/>
      </w:pPr>
      <w:r>
        <w:rPr>
          <w:color w:val="231F20"/>
        </w:rPr>
        <w:t>Krug, Etienne G., Linda L. Dahlberg, James A. Mercy, Anthony B. </w:t>
      </w:r>
      <w:r>
        <w:rPr>
          <w:color w:val="231F20"/>
          <w:w w:val="95"/>
        </w:rPr>
        <w:t>Zwi</w:t>
      </w:r>
      <w:r>
        <w:rPr>
          <w:color w:val="231F20"/>
          <w:spacing w:val="-26"/>
          <w:w w:val="95"/>
        </w:rPr>
        <w:t> </w:t>
      </w:r>
      <w:r>
        <w:rPr>
          <w:color w:val="231F20"/>
          <w:w w:val="95"/>
        </w:rPr>
        <w:t>y</w:t>
      </w:r>
      <w:r>
        <w:rPr>
          <w:color w:val="231F20"/>
          <w:spacing w:val="-26"/>
          <w:w w:val="95"/>
        </w:rPr>
        <w:t> </w:t>
      </w:r>
      <w:r>
        <w:rPr>
          <w:color w:val="231F20"/>
          <w:w w:val="95"/>
        </w:rPr>
        <w:t>Rafael</w:t>
      </w:r>
      <w:r>
        <w:rPr>
          <w:color w:val="231F20"/>
          <w:spacing w:val="-26"/>
          <w:w w:val="95"/>
        </w:rPr>
        <w:t> </w:t>
      </w:r>
      <w:r>
        <w:rPr>
          <w:color w:val="231F20"/>
          <w:w w:val="95"/>
        </w:rPr>
        <w:t>Lozano.</w:t>
      </w:r>
      <w:r>
        <w:rPr>
          <w:color w:val="231F20"/>
          <w:spacing w:val="-26"/>
          <w:w w:val="95"/>
        </w:rPr>
        <w:t> </w:t>
      </w:r>
      <w:r>
        <w:rPr>
          <w:color w:val="231F20"/>
          <w:w w:val="95"/>
        </w:rPr>
        <w:t>(2003).</w:t>
      </w:r>
      <w:r>
        <w:rPr>
          <w:color w:val="231F20"/>
          <w:spacing w:val="-26"/>
          <w:w w:val="95"/>
        </w:rPr>
        <w:t> </w:t>
      </w:r>
      <w:r>
        <w:rPr>
          <w:i/>
          <w:color w:val="231F20"/>
          <w:w w:val="95"/>
        </w:rPr>
        <w:t>Informe</w:t>
      </w:r>
      <w:r>
        <w:rPr>
          <w:i/>
          <w:color w:val="231F20"/>
          <w:spacing w:val="-26"/>
          <w:w w:val="95"/>
        </w:rPr>
        <w:t> </w:t>
      </w:r>
      <w:r>
        <w:rPr>
          <w:i/>
          <w:color w:val="231F20"/>
          <w:w w:val="95"/>
        </w:rPr>
        <w:t>mundial</w:t>
      </w:r>
      <w:r>
        <w:rPr>
          <w:i/>
          <w:color w:val="231F20"/>
          <w:spacing w:val="-26"/>
          <w:w w:val="95"/>
        </w:rPr>
        <w:t> </w:t>
      </w:r>
      <w:r>
        <w:rPr>
          <w:i/>
          <w:color w:val="231F20"/>
          <w:w w:val="95"/>
        </w:rPr>
        <w:t>sobre</w:t>
      </w:r>
      <w:r>
        <w:rPr>
          <w:i/>
          <w:color w:val="231F20"/>
          <w:spacing w:val="-26"/>
          <w:w w:val="95"/>
        </w:rPr>
        <w:t> </w:t>
      </w:r>
      <w:r>
        <w:rPr>
          <w:i/>
          <w:color w:val="231F20"/>
          <w:w w:val="95"/>
        </w:rPr>
        <w:t>la</w:t>
      </w:r>
      <w:r>
        <w:rPr>
          <w:i/>
          <w:color w:val="231F20"/>
          <w:spacing w:val="-26"/>
          <w:w w:val="95"/>
        </w:rPr>
        <w:t> </w:t>
      </w:r>
      <w:r>
        <w:rPr>
          <w:i/>
          <w:color w:val="231F20"/>
          <w:w w:val="95"/>
        </w:rPr>
        <w:t>violencia </w:t>
      </w:r>
      <w:r>
        <w:rPr>
          <w:i/>
          <w:color w:val="231F20"/>
        </w:rPr>
        <w:t>y la salud</w:t>
      </w:r>
      <w:r>
        <w:rPr>
          <w:color w:val="231F20"/>
        </w:rPr>
        <w:t>. Washington, D.C.: Organización Panamericana de la Salud, disponible en </w:t>
      </w:r>
      <w:hyperlink r:id="rId852">
        <w:r>
          <w:rPr>
            <w:color w:val="231F20"/>
            <w:spacing w:val="2"/>
            <w:w w:val="104"/>
          </w:rPr>
          <w:t>h</w:t>
        </w:r>
        <w:r>
          <w:rPr>
            <w:color w:val="231F20"/>
            <w:spacing w:val="1"/>
            <w:w w:val="107"/>
          </w:rPr>
          <w:t>tt</w:t>
        </w:r>
        <w:r>
          <w:rPr>
            <w:color w:val="231F20"/>
            <w:spacing w:val="2"/>
            <w:w w:val="104"/>
          </w:rPr>
          <w:t>p</w:t>
        </w:r>
        <w:r>
          <w:rPr>
            <w:color w:val="231F20"/>
            <w:w w:val="80"/>
          </w:rPr>
          <w:t>:</w:t>
        </w:r>
        <w:r>
          <w:rPr>
            <w:color w:val="231F20"/>
            <w:spacing w:val="2"/>
            <w:w w:val="185"/>
          </w:rPr>
          <w:t>//</w:t>
        </w:r>
        <w:r>
          <w:rPr>
            <w:color w:val="231F20"/>
            <w:w w:val="84"/>
          </w:rPr>
          <w:t>i</w:t>
        </w:r>
        <w:r>
          <w:rPr>
            <w:color w:val="231F20"/>
            <w:spacing w:val="1"/>
            <w:w w:val="103"/>
          </w:rPr>
          <w:t>r</w:t>
        </w:r>
        <w:r>
          <w:rPr>
            <w:color w:val="231F20"/>
            <w:w w:val="84"/>
          </w:rPr>
          <w:t>i</w:t>
        </w:r>
        <w:r>
          <w:rPr>
            <w:color w:val="231F20"/>
            <w:spacing w:val="1"/>
            <w:w w:val="96"/>
          </w:rPr>
          <w:t>s</w:t>
        </w:r>
        <w:r>
          <w:rPr>
            <w:color w:val="231F20"/>
            <w:w w:val="90"/>
          </w:rPr>
          <w:t>.</w:t>
        </w:r>
        <w:r>
          <w:rPr>
            <w:color w:val="231F20"/>
            <w:spacing w:val="2"/>
            <w:w w:val="104"/>
          </w:rPr>
          <w:t>p</w:t>
        </w:r>
        <w:r>
          <w:rPr>
            <w:color w:val="231F20"/>
            <w:spacing w:val="1"/>
            <w:w w:val="94"/>
          </w:rPr>
          <w:t>a</w:t>
        </w:r>
        <w:r>
          <w:rPr>
            <w:color w:val="231F20"/>
            <w:spacing w:val="2"/>
            <w:w w:val="104"/>
          </w:rPr>
          <w:t>ho</w:t>
        </w:r>
        <w:r>
          <w:rPr>
            <w:color w:val="231F20"/>
            <w:w w:val="90"/>
          </w:rPr>
          <w:t>.</w:t>
        </w:r>
        <w:r>
          <w:rPr>
            <w:color w:val="231F20"/>
            <w:spacing w:val="2"/>
            <w:w w:val="104"/>
          </w:rPr>
          <w:t>o</w:t>
        </w:r>
        <w:r>
          <w:rPr>
            <w:color w:val="231F20"/>
            <w:spacing w:val="1"/>
            <w:w w:val="103"/>
          </w:rPr>
          <w:t>r</w:t>
        </w:r>
        <w:r>
          <w:rPr>
            <w:color w:val="231F20"/>
            <w:spacing w:val="1"/>
            <w:w w:val="92"/>
          </w:rPr>
          <w:t>g</w:t>
        </w:r>
        <w:r>
          <w:rPr>
            <w:color w:val="231F20"/>
            <w:spacing w:val="2"/>
            <w:w w:val="185"/>
          </w:rPr>
          <w:t>/</w:t>
        </w:r>
        <w:r>
          <w:rPr>
            <w:color w:val="231F20"/>
            <w:spacing w:val="1"/>
            <w:w w:val="98"/>
          </w:rPr>
          <w:t>x</w:t>
        </w:r>
        <w:r>
          <w:rPr>
            <w:color w:val="231F20"/>
            <w:spacing w:val="3"/>
            <w:w w:val="98"/>
          </w:rPr>
          <w:t>m</w:t>
        </w:r>
        <w:r>
          <w:rPr>
            <w:color w:val="231F20"/>
            <w:w w:val="84"/>
          </w:rPr>
          <w:t>l</w:t>
        </w:r>
        <w:r>
          <w:rPr>
            <w:color w:val="231F20"/>
            <w:spacing w:val="2"/>
            <w:w w:val="95"/>
          </w:rPr>
          <w:t>u</w:t>
        </w:r>
        <w:r>
          <w:rPr>
            <w:color w:val="231F20"/>
            <w:w w:val="95"/>
          </w:rPr>
          <w:t>i</w:t>
        </w:r>
        <w:r>
          <w:rPr>
            <w:color w:val="231F20"/>
            <w:spacing w:val="2"/>
            <w:w w:val="185"/>
          </w:rPr>
          <w:t>/</w:t>
        </w:r>
        <w:r>
          <w:rPr>
            <w:color w:val="231F20"/>
            <w:spacing w:val="2"/>
            <w:w w:val="104"/>
          </w:rPr>
          <w:t>b</w:t>
        </w:r>
        <w:r>
          <w:rPr>
            <w:color w:val="231F20"/>
            <w:w w:val="84"/>
          </w:rPr>
          <w:t>i</w:t>
        </w:r>
        <w:r>
          <w:rPr>
            <w:color w:val="231F20"/>
            <w:spacing w:val="1"/>
            <w:w w:val="107"/>
          </w:rPr>
          <w:t>t</w:t>
        </w:r>
        <w:r>
          <w:rPr>
            <w:color w:val="231F20"/>
            <w:spacing w:val="1"/>
            <w:w w:val="96"/>
          </w:rPr>
          <w:t>s</w:t>
        </w:r>
        <w:r>
          <w:rPr>
            <w:color w:val="231F20"/>
            <w:spacing w:val="1"/>
            <w:w w:val="107"/>
          </w:rPr>
          <w:t>t</w:t>
        </w:r>
        <w:r>
          <w:rPr>
            <w:color w:val="231F20"/>
            <w:spacing w:val="1"/>
            <w:w w:val="103"/>
          </w:rPr>
          <w:t>r</w:t>
        </w:r>
        <w:r>
          <w:rPr>
            <w:color w:val="231F20"/>
            <w:spacing w:val="1"/>
            <w:w w:val="96"/>
          </w:rPr>
          <w:t>e</w:t>
        </w:r>
        <w:r>
          <w:rPr>
            <w:color w:val="231F20"/>
            <w:spacing w:val="1"/>
            <w:w w:val="94"/>
          </w:rPr>
          <w:t>a</w:t>
        </w:r>
        <w:r>
          <w:rPr>
            <w:color w:val="231F20"/>
            <w:spacing w:val="3"/>
            <w:w w:val="101"/>
          </w:rPr>
          <w:t>m</w:t>
        </w:r>
        <w:r>
          <w:rPr>
            <w:color w:val="231F20"/>
            <w:spacing w:val="2"/>
            <w:w w:val="185"/>
          </w:rPr>
          <w:t>/</w:t>
        </w:r>
        <w:r>
          <w:rPr>
            <w:color w:val="231F20"/>
            <w:spacing w:val="2"/>
            <w:w w:val="104"/>
          </w:rPr>
          <w:t>h</w:t>
        </w:r>
        <w:r>
          <w:rPr>
            <w:color w:val="231F20"/>
            <w:spacing w:val="1"/>
            <w:w w:val="94"/>
          </w:rPr>
          <w:t>a</w:t>
        </w:r>
        <w:r>
          <w:rPr>
            <w:color w:val="231F20"/>
            <w:spacing w:val="2"/>
            <w:w w:val="104"/>
          </w:rPr>
          <w:t>n</w:t>
        </w:r>
        <w:r>
          <w:rPr>
            <w:color w:val="231F20"/>
            <w:spacing w:val="2"/>
            <w:w w:val="102"/>
          </w:rPr>
          <w:t>d</w:t>
        </w:r>
        <w:r>
          <w:rPr>
            <w:color w:val="231F20"/>
            <w:w w:val="84"/>
          </w:rPr>
          <w:t>l</w:t>
        </w:r>
        <w:r>
          <w:rPr>
            <w:color w:val="231F20"/>
            <w:spacing w:val="1"/>
            <w:w w:val="96"/>
          </w:rPr>
          <w:t>e</w:t>
        </w:r>
        <w:r>
          <w:rPr>
            <w:color w:val="231F20"/>
            <w:spacing w:val="2"/>
            <w:w w:val="185"/>
          </w:rPr>
          <w:t>/</w:t>
        </w:r>
        <w:r>
          <w:rPr>
            <w:color w:val="231F20"/>
            <w:spacing w:val="2"/>
            <w:w w:val="101"/>
          </w:rPr>
          <w:t>123456789/</w:t>
        </w:r>
      </w:hyperlink>
      <w:r>
        <w:rPr>
          <w:color w:val="231F20"/>
          <w:spacing w:val="2"/>
          <w:w w:val="101"/>
        </w:rPr>
        <w:t> </w:t>
      </w:r>
      <w:r>
        <w:rPr>
          <w:color w:val="231F20"/>
        </w:rPr>
        <w:t>725/9275315884.pdf?sequence=1</w:t>
      </w:r>
    </w:p>
    <w:p>
      <w:pPr>
        <w:pStyle w:val="BodyText"/>
        <w:spacing w:line="247" w:lineRule="auto" w:before="3"/>
        <w:ind w:left="822" w:hanging="720"/>
      </w:pPr>
      <w:r>
        <w:rPr>
          <w:color w:val="231F20"/>
        </w:rPr>
        <w:t>Lajonquière, Leandro de, Gutiérrez, Daniela, Kaplan, Carina, Spie- </w:t>
      </w:r>
      <w:r>
        <w:rPr>
          <w:color w:val="231F20"/>
          <w:w w:val="92"/>
        </w:rPr>
        <w:t>g</w:t>
      </w:r>
      <w:r>
        <w:rPr>
          <w:color w:val="231F20"/>
          <w:w w:val="96"/>
        </w:rPr>
        <w:t>e</w:t>
      </w:r>
      <w:r>
        <w:rPr>
          <w:color w:val="231F20"/>
          <w:w w:val="87"/>
        </w:rPr>
        <w:t>l,</w:t>
      </w:r>
      <w:r>
        <w:rPr>
          <w:color w:val="231F20"/>
        </w:rPr>
        <w:t> </w:t>
      </w:r>
      <w:r>
        <w:rPr>
          <w:color w:val="231F20"/>
          <w:w w:val="96"/>
        </w:rPr>
        <w:t>A</w:t>
      </w:r>
      <w:r>
        <w:rPr>
          <w:color w:val="231F20"/>
          <w:w w:val="92"/>
        </w:rPr>
        <w:t>le</w:t>
      </w:r>
      <w:r>
        <w:rPr>
          <w:color w:val="231F20"/>
          <w:w w:val="90"/>
        </w:rPr>
        <w:t>ja</w:t>
      </w:r>
      <w:r>
        <w:rPr>
          <w:color w:val="231F20"/>
          <w:w w:val="104"/>
        </w:rPr>
        <w:t>n</w:t>
      </w:r>
      <w:r>
        <w:rPr>
          <w:color w:val="231F20"/>
          <w:w w:val="102"/>
        </w:rPr>
        <w:t>d</w:t>
      </w:r>
      <w:r>
        <w:rPr>
          <w:color w:val="231F20"/>
          <w:w w:val="103"/>
        </w:rPr>
        <w:t>r</w:t>
      </w:r>
      <w:r>
        <w:rPr>
          <w:color w:val="231F20"/>
          <w:w w:val="104"/>
        </w:rPr>
        <w:t>o</w:t>
      </w:r>
      <w:r>
        <w:rPr>
          <w:color w:val="231F20"/>
          <w:w w:val="90"/>
        </w:rPr>
        <w:t>,</w:t>
      </w:r>
      <w:r>
        <w:rPr>
          <w:color w:val="231F20"/>
        </w:rPr>
        <w:t> </w:t>
      </w:r>
      <w:r>
        <w:rPr>
          <w:color w:val="231F20"/>
          <w:w w:val="109"/>
        </w:rPr>
        <w:t>D</w:t>
      </w:r>
      <w:r>
        <w:rPr>
          <w:color w:val="231F20"/>
          <w:w w:val="100"/>
        </w:rPr>
        <w:t>u</w:t>
      </w:r>
      <w:r>
        <w:rPr>
          <w:color w:val="231F20"/>
          <w:w w:val="103"/>
        </w:rPr>
        <w:t>r</w:t>
      </w:r>
      <w:r>
        <w:rPr>
          <w:color w:val="231F20"/>
          <w:w w:val="94"/>
        </w:rPr>
        <w:t>á</w:t>
      </w:r>
      <w:r>
        <w:rPr>
          <w:color w:val="231F20"/>
          <w:w w:val="104"/>
        </w:rPr>
        <w:t>n</w:t>
      </w:r>
      <w:r>
        <w:rPr>
          <w:color w:val="231F20"/>
          <w:w w:val="90"/>
        </w:rPr>
        <w:t>,</w:t>
      </w:r>
      <w:r>
        <w:rPr>
          <w:color w:val="231F20"/>
        </w:rPr>
        <w:t> </w:t>
      </w:r>
      <w:r>
        <w:rPr>
          <w:color w:val="231F20"/>
          <w:w w:val="96"/>
        </w:rPr>
        <w:t>M</w:t>
      </w:r>
      <w:r>
        <w:rPr>
          <w:color w:val="231F20"/>
          <w:w w:val="94"/>
        </w:rPr>
        <w:t>a</w:t>
      </w:r>
      <w:r>
        <w:rPr>
          <w:color w:val="231F20"/>
          <w:w w:val="94"/>
        </w:rPr>
        <w:t>x</w:t>
      </w:r>
      <w:r>
        <w:rPr>
          <w:color w:val="231F20"/>
          <w:w w:val="97"/>
        </w:rPr>
        <w:t>im</w:t>
      </w:r>
      <w:r>
        <w:rPr>
          <w:color w:val="231F20"/>
          <w:w w:val="88"/>
        </w:rPr>
        <w:t>ilia</w:t>
      </w:r>
      <w:r>
        <w:rPr>
          <w:color w:val="231F20"/>
          <w:w w:val="104"/>
        </w:rPr>
        <w:t>no</w:t>
      </w:r>
      <w:r>
        <w:rPr>
          <w:color w:val="231F20"/>
        </w:rPr>
        <w:t> </w:t>
      </w:r>
      <w:r>
        <w:rPr>
          <w:color w:val="231F20"/>
          <w:w w:val="96"/>
        </w:rPr>
        <w:t>e</w:t>
      </w:r>
      <w:r>
        <w:rPr>
          <w:color w:val="231F20"/>
          <w:w w:val="107"/>
        </w:rPr>
        <w:t>t</w:t>
      </w:r>
      <w:r>
        <w:rPr>
          <w:color w:val="231F20"/>
        </w:rPr>
        <w:t> </w:t>
      </w:r>
      <w:r>
        <w:rPr>
          <w:color w:val="231F20"/>
          <w:w w:val="94"/>
        </w:rPr>
        <w:t>a</w:t>
      </w:r>
      <w:r>
        <w:rPr>
          <w:color w:val="231F20"/>
          <w:w w:val="87"/>
        </w:rPr>
        <w:t>l.</w:t>
      </w:r>
      <w:r>
        <w:rPr>
          <w:color w:val="231F20"/>
        </w:rPr>
        <w:t> </w:t>
      </w:r>
      <w:r>
        <w:rPr>
          <w:color w:val="231F20"/>
          <w:w w:val="90"/>
        </w:rPr>
        <w:t>(</w:t>
      </w:r>
      <w:r>
        <w:rPr>
          <w:color w:val="231F20"/>
          <w:w w:val="95"/>
        </w:rPr>
        <w:t>2005)</w:t>
      </w:r>
      <w:r>
        <w:rPr>
          <w:color w:val="231F20"/>
          <w:w w:val="90"/>
        </w:rPr>
        <w:t>.</w:t>
      </w:r>
      <w:r>
        <w:rPr>
          <w:color w:val="231F20"/>
        </w:rPr>
        <w:t> </w:t>
      </w:r>
      <w:r>
        <w:rPr>
          <w:i/>
          <w:color w:val="231F20"/>
          <w:w w:val="135"/>
        </w:rPr>
        <w:t>V</w:t>
      </w:r>
      <w:r>
        <w:rPr>
          <w:i/>
          <w:color w:val="231F20"/>
          <w:w w:val="77"/>
        </w:rPr>
        <w:t>io</w:t>
      </w:r>
      <w:r>
        <w:rPr>
          <w:i/>
          <w:color w:val="231F20"/>
          <w:w w:val="72"/>
        </w:rPr>
        <w:t>le</w:t>
      </w:r>
      <w:r>
        <w:rPr>
          <w:i/>
          <w:color w:val="231F20"/>
          <w:w w:val="87"/>
        </w:rPr>
        <w:t>n</w:t>
      </w:r>
      <w:r>
        <w:rPr>
          <w:i/>
          <w:color w:val="231F20"/>
          <w:w w:val="62"/>
        </w:rPr>
        <w:t>c</w:t>
      </w:r>
      <w:r>
        <w:rPr>
          <w:i/>
          <w:color w:val="231F20"/>
          <w:w w:val="84"/>
        </w:rPr>
        <w:t>ia</w:t>
      </w:r>
      <w:r>
        <w:rPr>
          <w:i/>
          <w:color w:val="231F20"/>
          <w:w w:val="90"/>
        </w:rPr>
        <w:t>,</w:t>
      </w:r>
      <w:r>
        <w:rPr>
          <w:i/>
          <w:color w:val="231F20"/>
          <w:w w:val="90"/>
        </w:rPr>
        <w:t> </w:t>
      </w:r>
      <w:r>
        <w:rPr>
          <w:i/>
          <w:color w:val="231F20"/>
        </w:rPr>
        <w:t>medios y miedos. </w:t>
      </w:r>
      <w:r>
        <w:rPr>
          <w:color w:val="231F20"/>
        </w:rPr>
        <w:t>Buenos Aires: Ediciones Novedades Educativas.</w:t>
      </w:r>
    </w:p>
    <w:p>
      <w:pPr>
        <w:spacing w:line="238" w:lineRule="exact" w:before="0"/>
        <w:ind w:left="102" w:right="0" w:firstLine="0"/>
        <w:jc w:val="left"/>
        <w:rPr>
          <w:sz w:val="21"/>
        </w:rPr>
      </w:pPr>
      <w:r>
        <w:rPr>
          <w:color w:val="231F20"/>
          <w:w w:val="95"/>
          <w:sz w:val="21"/>
        </w:rPr>
        <w:t>Laviada, Íñigo. (1990). </w:t>
      </w:r>
      <w:r>
        <w:rPr>
          <w:i/>
          <w:color w:val="231F20"/>
          <w:w w:val="95"/>
          <w:sz w:val="21"/>
        </w:rPr>
        <w:t>Los caciques de la sierra. </w:t>
      </w:r>
      <w:r>
        <w:rPr>
          <w:color w:val="231F20"/>
          <w:w w:val="95"/>
          <w:sz w:val="21"/>
        </w:rPr>
        <w:t>México: Editorial Jus.</w:t>
      </w:r>
    </w:p>
    <w:p>
      <w:pPr>
        <w:spacing w:line="242" w:lineRule="auto" w:before="8"/>
        <w:ind w:left="822" w:right="0" w:hanging="721"/>
        <w:jc w:val="left"/>
        <w:rPr>
          <w:sz w:val="21"/>
        </w:rPr>
      </w:pPr>
      <w:r>
        <w:rPr>
          <w:color w:val="231F20"/>
          <w:w w:val="95"/>
          <w:sz w:val="21"/>
        </w:rPr>
        <w:t>Martínez-Vásquez, Víctor Raúl (2007). </w:t>
      </w:r>
      <w:r>
        <w:rPr>
          <w:i/>
          <w:color w:val="231F20"/>
          <w:w w:val="95"/>
          <w:sz w:val="21"/>
        </w:rPr>
        <w:t>Autoritarismo, movimiento </w:t>
      </w:r>
      <w:r>
        <w:rPr>
          <w:i/>
          <w:color w:val="231F20"/>
          <w:w w:val="95"/>
          <w:sz w:val="21"/>
        </w:rPr>
        <w:t>popular</w:t>
      </w:r>
      <w:r>
        <w:rPr>
          <w:i/>
          <w:color w:val="231F20"/>
          <w:spacing w:val="-30"/>
          <w:w w:val="95"/>
          <w:sz w:val="21"/>
        </w:rPr>
        <w:t> </w:t>
      </w:r>
      <w:r>
        <w:rPr>
          <w:i/>
          <w:color w:val="231F20"/>
          <w:w w:val="95"/>
          <w:sz w:val="21"/>
        </w:rPr>
        <w:t>y</w:t>
      </w:r>
      <w:r>
        <w:rPr>
          <w:i/>
          <w:color w:val="231F20"/>
          <w:spacing w:val="-30"/>
          <w:w w:val="95"/>
          <w:sz w:val="21"/>
        </w:rPr>
        <w:t> </w:t>
      </w:r>
      <w:r>
        <w:rPr>
          <w:i/>
          <w:color w:val="231F20"/>
          <w:w w:val="95"/>
          <w:sz w:val="21"/>
        </w:rPr>
        <w:t>crisis</w:t>
      </w:r>
      <w:r>
        <w:rPr>
          <w:i/>
          <w:color w:val="231F20"/>
          <w:spacing w:val="-30"/>
          <w:w w:val="95"/>
          <w:sz w:val="21"/>
        </w:rPr>
        <w:t> </w:t>
      </w:r>
      <w:r>
        <w:rPr>
          <w:i/>
          <w:color w:val="231F20"/>
          <w:w w:val="95"/>
          <w:sz w:val="21"/>
        </w:rPr>
        <w:t>política:</w:t>
      </w:r>
      <w:r>
        <w:rPr>
          <w:i/>
          <w:color w:val="231F20"/>
          <w:spacing w:val="-30"/>
          <w:w w:val="95"/>
          <w:sz w:val="21"/>
        </w:rPr>
        <w:t> </w:t>
      </w:r>
      <w:r>
        <w:rPr>
          <w:i/>
          <w:color w:val="231F20"/>
          <w:w w:val="95"/>
          <w:sz w:val="21"/>
        </w:rPr>
        <w:t>Oaxaca</w:t>
      </w:r>
      <w:r>
        <w:rPr>
          <w:i/>
          <w:color w:val="231F20"/>
          <w:spacing w:val="-30"/>
          <w:w w:val="95"/>
          <w:sz w:val="21"/>
        </w:rPr>
        <w:t> </w:t>
      </w:r>
      <w:r>
        <w:rPr>
          <w:i/>
          <w:color w:val="231F20"/>
          <w:w w:val="95"/>
          <w:sz w:val="21"/>
        </w:rPr>
        <w:t>2006.</w:t>
      </w:r>
      <w:r>
        <w:rPr>
          <w:i/>
          <w:color w:val="231F20"/>
          <w:spacing w:val="-30"/>
          <w:w w:val="95"/>
          <w:sz w:val="21"/>
        </w:rPr>
        <w:t> </w:t>
      </w:r>
      <w:r>
        <w:rPr>
          <w:color w:val="231F20"/>
          <w:w w:val="95"/>
          <w:sz w:val="21"/>
        </w:rPr>
        <w:t>Oaxaca:</w:t>
      </w:r>
      <w:r>
        <w:rPr>
          <w:color w:val="231F20"/>
          <w:spacing w:val="-30"/>
          <w:w w:val="95"/>
          <w:sz w:val="21"/>
        </w:rPr>
        <w:t> </w:t>
      </w:r>
      <w:r>
        <w:rPr>
          <w:color w:val="231F20"/>
          <w:w w:val="95"/>
          <w:sz w:val="21"/>
        </w:rPr>
        <w:t>IISUABJO.</w:t>
      </w:r>
    </w:p>
    <w:p>
      <w:pPr>
        <w:spacing w:line="242" w:lineRule="auto" w:before="6"/>
        <w:ind w:left="822" w:right="214" w:hanging="720"/>
        <w:jc w:val="left"/>
        <w:rPr>
          <w:i/>
          <w:sz w:val="21"/>
        </w:rPr>
      </w:pPr>
      <w:r>
        <w:rPr>
          <w:color w:val="231F20"/>
          <w:w w:val="95"/>
          <w:sz w:val="21"/>
        </w:rPr>
        <w:t>Martínez-Vásquez, Víctor Raúl (coord.). (2009). </w:t>
      </w:r>
      <w:r>
        <w:rPr>
          <w:i/>
          <w:color w:val="231F20"/>
          <w:w w:val="95"/>
          <w:sz w:val="21"/>
        </w:rPr>
        <w:t>La APPO: ¿Rebelión  </w:t>
      </w:r>
      <w:r>
        <w:rPr>
          <w:i/>
          <w:color w:val="231F20"/>
          <w:w w:val="85"/>
          <w:sz w:val="21"/>
        </w:rPr>
        <w:t>o</w:t>
      </w:r>
      <w:r>
        <w:rPr>
          <w:i/>
          <w:color w:val="231F20"/>
          <w:spacing w:val="-10"/>
          <w:w w:val="85"/>
          <w:sz w:val="21"/>
        </w:rPr>
        <w:t> </w:t>
      </w:r>
      <w:r>
        <w:rPr>
          <w:i/>
          <w:color w:val="231F20"/>
          <w:w w:val="85"/>
          <w:sz w:val="21"/>
        </w:rPr>
        <w:t>movimiento</w:t>
      </w:r>
      <w:r>
        <w:rPr>
          <w:i/>
          <w:color w:val="231F20"/>
          <w:spacing w:val="-10"/>
          <w:w w:val="85"/>
          <w:sz w:val="21"/>
        </w:rPr>
        <w:t> </w:t>
      </w:r>
      <w:r>
        <w:rPr>
          <w:i/>
          <w:color w:val="231F20"/>
          <w:w w:val="85"/>
          <w:sz w:val="21"/>
        </w:rPr>
        <w:t>social?</w:t>
      </w:r>
      <w:r>
        <w:rPr>
          <w:i/>
          <w:color w:val="231F20"/>
          <w:spacing w:val="-10"/>
          <w:w w:val="85"/>
          <w:sz w:val="21"/>
        </w:rPr>
        <w:t> </w:t>
      </w:r>
      <w:r>
        <w:rPr>
          <w:i/>
          <w:color w:val="231F20"/>
          <w:w w:val="85"/>
          <w:sz w:val="21"/>
        </w:rPr>
        <w:t>(nuevas</w:t>
      </w:r>
      <w:r>
        <w:rPr>
          <w:i/>
          <w:color w:val="231F20"/>
          <w:spacing w:val="-10"/>
          <w:w w:val="85"/>
          <w:sz w:val="21"/>
        </w:rPr>
        <w:t> </w:t>
      </w:r>
      <w:r>
        <w:rPr>
          <w:i/>
          <w:color w:val="231F20"/>
          <w:w w:val="85"/>
          <w:sz w:val="21"/>
        </w:rPr>
        <w:t>formas</w:t>
      </w:r>
      <w:r>
        <w:rPr>
          <w:i/>
          <w:color w:val="231F20"/>
          <w:spacing w:val="-10"/>
          <w:w w:val="85"/>
          <w:sz w:val="21"/>
        </w:rPr>
        <w:t> </w:t>
      </w:r>
      <w:r>
        <w:rPr>
          <w:i/>
          <w:color w:val="231F20"/>
          <w:w w:val="85"/>
          <w:sz w:val="21"/>
        </w:rPr>
        <w:t>de</w:t>
      </w:r>
      <w:r>
        <w:rPr>
          <w:i/>
          <w:color w:val="231F20"/>
          <w:spacing w:val="-10"/>
          <w:w w:val="85"/>
          <w:sz w:val="21"/>
        </w:rPr>
        <w:t> </w:t>
      </w:r>
      <w:r>
        <w:rPr>
          <w:i/>
          <w:color w:val="231F20"/>
          <w:w w:val="85"/>
          <w:sz w:val="21"/>
        </w:rPr>
        <w:t>expresión</w:t>
      </w:r>
      <w:r>
        <w:rPr>
          <w:i/>
          <w:color w:val="231F20"/>
          <w:spacing w:val="-10"/>
          <w:w w:val="85"/>
          <w:sz w:val="21"/>
        </w:rPr>
        <w:t> </w:t>
      </w:r>
      <w:r>
        <w:rPr>
          <w:i/>
          <w:color w:val="231F20"/>
          <w:w w:val="85"/>
          <w:sz w:val="21"/>
        </w:rPr>
        <w:t>ante</w:t>
      </w:r>
      <w:r>
        <w:rPr>
          <w:i/>
          <w:color w:val="231F20"/>
          <w:spacing w:val="-10"/>
          <w:w w:val="85"/>
          <w:sz w:val="21"/>
        </w:rPr>
        <w:t> </w:t>
      </w:r>
      <w:r>
        <w:rPr>
          <w:i/>
          <w:color w:val="231F20"/>
          <w:w w:val="85"/>
          <w:sz w:val="21"/>
        </w:rPr>
        <w:t>la</w:t>
      </w:r>
      <w:r>
        <w:rPr>
          <w:i/>
          <w:color w:val="231F20"/>
          <w:spacing w:val="-10"/>
          <w:w w:val="85"/>
          <w:sz w:val="21"/>
        </w:rPr>
        <w:t> </w:t>
      </w:r>
      <w:r>
        <w:rPr>
          <w:i/>
          <w:color w:val="231F20"/>
          <w:w w:val="85"/>
          <w:sz w:val="21"/>
        </w:rPr>
        <w:t>crisis).</w:t>
      </w:r>
    </w:p>
    <w:p>
      <w:pPr>
        <w:pStyle w:val="BodyText"/>
        <w:spacing w:before="6"/>
        <w:ind w:left="822" w:right="774"/>
      </w:pPr>
      <w:r>
        <w:rPr>
          <w:color w:val="231F20"/>
        </w:rPr>
        <w:t>Oaxaca: IISUABJO.</w:t>
      </w:r>
    </w:p>
    <w:p>
      <w:pPr>
        <w:spacing w:after="0"/>
        <w:sectPr>
          <w:headerReference w:type="default" r:id="rId850"/>
          <w:footerReference w:type="default" r:id="rId851"/>
          <w:pgSz w:w="7830" w:h="11910"/>
          <w:pgMar w:header="0" w:footer="424" w:top="500" w:bottom="620" w:left="920" w:right="920"/>
          <w:pgNumType w:start="384"/>
        </w:sectPr>
      </w:pPr>
    </w:p>
    <w:p>
      <w:pPr>
        <w:spacing w:before="46"/>
        <w:ind w:left="1463" w:right="63"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spacing w:line="247" w:lineRule="auto" w:before="0"/>
        <w:ind w:left="822" w:right="63" w:hanging="720"/>
        <w:jc w:val="left"/>
        <w:rPr>
          <w:sz w:val="21"/>
        </w:rPr>
      </w:pPr>
      <w:r>
        <w:rPr>
          <w:color w:val="231F20"/>
          <w:w w:val="95"/>
          <w:sz w:val="21"/>
        </w:rPr>
        <w:t>Marx,</w:t>
      </w:r>
      <w:r>
        <w:rPr>
          <w:color w:val="231F20"/>
          <w:spacing w:val="-26"/>
          <w:w w:val="95"/>
          <w:sz w:val="21"/>
        </w:rPr>
        <w:t> </w:t>
      </w:r>
      <w:r>
        <w:rPr>
          <w:color w:val="231F20"/>
          <w:w w:val="95"/>
          <w:sz w:val="21"/>
        </w:rPr>
        <w:t>Karl.</w:t>
      </w:r>
      <w:r>
        <w:rPr>
          <w:color w:val="231F20"/>
          <w:spacing w:val="-26"/>
          <w:w w:val="95"/>
          <w:sz w:val="21"/>
        </w:rPr>
        <w:t> </w:t>
      </w:r>
      <w:r>
        <w:rPr>
          <w:color w:val="231F20"/>
          <w:w w:val="95"/>
          <w:sz w:val="21"/>
        </w:rPr>
        <w:t>(1984).</w:t>
      </w:r>
      <w:r>
        <w:rPr>
          <w:color w:val="231F20"/>
          <w:spacing w:val="-26"/>
          <w:w w:val="95"/>
          <w:sz w:val="21"/>
        </w:rPr>
        <w:t> </w:t>
      </w:r>
      <w:r>
        <w:rPr>
          <w:i/>
          <w:color w:val="231F20"/>
          <w:w w:val="95"/>
          <w:sz w:val="21"/>
        </w:rPr>
        <w:t>EL</w:t>
      </w:r>
      <w:r>
        <w:rPr>
          <w:i/>
          <w:color w:val="231F20"/>
          <w:spacing w:val="-25"/>
          <w:w w:val="95"/>
          <w:sz w:val="21"/>
        </w:rPr>
        <w:t> </w:t>
      </w:r>
      <w:r>
        <w:rPr>
          <w:i/>
          <w:color w:val="231F20"/>
          <w:w w:val="95"/>
          <w:sz w:val="21"/>
        </w:rPr>
        <w:t>capital.</w:t>
      </w:r>
      <w:r>
        <w:rPr>
          <w:i/>
          <w:color w:val="231F20"/>
          <w:spacing w:val="-26"/>
          <w:w w:val="95"/>
          <w:sz w:val="21"/>
        </w:rPr>
        <w:t> </w:t>
      </w:r>
      <w:r>
        <w:rPr>
          <w:i/>
          <w:color w:val="231F20"/>
          <w:w w:val="95"/>
          <w:sz w:val="21"/>
        </w:rPr>
        <w:t>Crítica</w:t>
      </w:r>
      <w:r>
        <w:rPr>
          <w:i/>
          <w:color w:val="231F20"/>
          <w:spacing w:val="-25"/>
          <w:w w:val="95"/>
          <w:sz w:val="21"/>
        </w:rPr>
        <w:t> </w:t>
      </w:r>
      <w:r>
        <w:rPr>
          <w:i/>
          <w:color w:val="231F20"/>
          <w:w w:val="95"/>
          <w:sz w:val="21"/>
        </w:rPr>
        <w:t>de</w:t>
      </w:r>
      <w:r>
        <w:rPr>
          <w:i/>
          <w:color w:val="231F20"/>
          <w:spacing w:val="-26"/>
          <w:w w:val="95"/>
          <w:sz w:val="21"/>
        </w:rPr>
        <w:t> </w:t>
      </w:r>
      <w:r>
        <w:rPr>
          <w:i/>
          <w:color w:val="231F20"/>
          <w:w w:val="95"/>
          <w:sz w:val="21"/>
        </w:rPr>
        <w:t>la</w:t>
      </w:r>
      <w:r>
        <w:rPr>
          <w:i/>
          <w:color w:val="231F20"/>
          <w:spacing w:val="-25"/>
          <w:w w:val="95"/>
          <w:sz w:val="21"/>
        </w:rPr>
        <w:t> </w:t>
      </w:r>
      <w:r>
        <w:rPr>
          <w:i/>
          <w:color w:val="231F20"/>
          <w:w w:val="95"/>
          <w:sz w:val="21"/>
        </w:rPr>
        <w:t>economía</w:t>
      </w:r>
      <w:r>
        <w:rPr>
          <w:i/>
          <w:color w:val="231F20"/>
          <w:spacing w:val="-25"/>
          <w:w w:val="95"/>
          <w:sz w:val="21"/>
        </w:rPr>
        <w:t> </w:t>
      </w:r>
      <w:r>
        <w:rPr>
          <w:i/>
          <w:color w:val="231F20"/>
          <w:w w:val="95"/>
          <w:sz w:val="21"/>
        </w:rPr>
        <w:t>política.</w:t>
      </w:r>
      <w:r>
        <w:rPr>
          <w:i/>
          <w:color w:val="231F20"/>
          <w:spacing w:val="-26"/>
          <w:w w:val="95"/>
          <w:sz w:val="21"/>
        </w:rPr>
        <w:t> </w:t>
      </w:r>
      <w:r>
        <w:rPr>
          <w:color w:val="231F20"/>
          <w:w w:val="95"/>
          <w:sz w:val="21"/>
        </w:rPr>
        <w:t>México: </w:t>
      </w:r>
      <w:r>
        <w:rPr>
          <w:color w:val="231F20"/>
          <w:sz w:val="21"/>
        </w:rPr>
        <w:t>Fondo de Cultura </w:t>
      </w:r>
      <w:r>
        <w:rPr>
          <w:color w:val="231F20"/>
          <w:spacing w:val="7"/>
          <w:sz w:val="21"/>
        </w:rPr>
        <w:t> </w:t>
      </w:r>
      <w:r>
        <w:rPr>
          <w:color w:val="231F20"/>
          <w:sz w:val="21"/>
        </w:rPr>
        <w:t>Económica.</w:t>
      </w:r>
    </w:p>
    <w:p>
      <w:pPr>
        <w:spacing w:line="244" w:lineRule="auto" w:before="0"/>
        <w:ind w:left="822" w:right="63" w:hanging="720"/>
        <w:jc w:val="left"/>
        <w:rPr>
          <w:sz w:val="21"/>
        </w:rPr>
      </w:pPr>
      <w:r>
        <w:rPr>
          <w:color w:val="231F20"/>
          <w:sz w:val="21"/>
        </w:rPr>
        <w:t>Matus-Manzo, Manuel. (2009). Ensayos sobre cultura, el sueño y la </w:t>
      </w:r>
      <w:r>
        <w:rPr>
          <w:color w:val="231F20"/>
          <w:w w:val="90"/>
          <w:sz w:val="21"/>
        </w:rPr>
        <w:t>lectura. En </w:t>
      </w:r>
      <w:r>
        <w:rPr>
          <w:i/>
          <w:color w:val="231F20"/>
          <w:w w:val="90"/>
          <w:sz w:val="21"/>
        </w:rPr>
        <w:t>Ensayos sobre historia, política, educación y literatura </w:t>
      </w:r>
      <w:r>
        <w:rPr>
          <w:i/>
          <w:color w:val="231F20"/>
          <w:sz w:val="21"/>
        </w:rPr>
        <w:t>de Oaxaca. </w:t>
      </w:r>
      <w:r>
        <w:rPr>
          <w:color w:val="231F20"/>
          <w:sz w:val="21"/>
        </w:rPr>
        <w:t>Oaxaca: IIHUABJO.</w:t>
      </w:r>
    </w:p>
    <w:p>
      <w:pPr>
        <w:pStyle w:val="BodyText"/>
        <w:spacing w:line="247" w:lineRule="auto" w:before="3"/>
        <w:ind w:left="822" w:right="63" w:hanging="720"/>
        <w:rPr>
          <w:i/>
        </w:rPr>
      </w:pPr>
      <w:r>
        <w:rPr>
          <w:color w:val="231F20"/>
        </w:rPr>
        <w:t>Montes-García, Néstor. (2011). De instituto a universidad: cambio, retroceso o continuidad en la ley orgánica de 1995. </w:t>
      </w:r>
      <w:r>
        <w:rPr>
          <w:i/>
          <w:color w:val="231F20"/>
        </w:rPr>
        <w:t>2o.</w:t>
      </w:r>
    </w:p>
    <w:p>
      <w:pPr>
        <w:spacing w:line="247" w:lineRule="auto" w:before="0"/>
        <w:ind w:left="822" w:right="63" w:firstLine="0"/>
        <w:jc w:val="left"/>
        <w:rPr>
          <w:sz w:val="21"/>
        </w:rPr>
      </w:pPr>
      <w:r>
        <w:rPr>
          <w:i/>
          <w:color w:val="231F20"/>
          <w:w w:val="85"/>
          <w:sz w:val="21"/>
        </w:rPr>
        <w:t>Coloquio de Avances de Investigación: Licenciatura, Maestría y </w:t>
      </w:r>
      <w:r>
        <w:rPr>
          <w:i/>
          <w:color w:val="231F20"/>
          <w:w w:val="95"/>
          <w:sz w:val="21"/>
        </w:rPr>
        <w:t>Doctorado. </w:t>
      </w:r>
      <w:r>
        <w:rPr>
          <w:color w:val="231F20"/>
          <w:w w:val="95"/>
          <w:sz w:val="21"/>
        </w:rPr>
        <w:t>Oaxaca: ICEUABJO.</w:t>
      </w:r>
    </w:p>
    <w:p>
      <w:pPr>
        <w:spacing w:line="247" w:lineRule="auto" w:before="0"/>
        <w:ind w:left="811" w:right="63" w:hanging="709"/>
        <w:jc w:val="left"/>
        <w:rPr>
          <w:sz w:val="21"/>
        </w:rPr>
      </w:pPr>
      <w:r>
        <w:rPr>
          <w:color w:val="231F20"/>
          <w:w w:val="95"/>
          <w:sz w:val="21"/>
        </w:rPr>
        <w:t>Morin,</w:t>
      </w:r>
      <w:r>
        <w:rPr>
          <w:color w:val="231F20"/>
          <w:spacing w:val="-29"/>
          <w:w w:val="95"/>
          <w:sz w:val="21"/>
        </w:rPr>
        <w:t> </w:t>
      </w:r>
      <w:r>
        <w:rPr>
          <w:color w:val="231F20"/>
          <w:w w:val="95"/>
          <w:sz w:val="21"/>
        </w:rPr>
        <w:t>Edgar.</w:t>
      </w:r>
      <w:r>
        <w:rPr>
          <w:color w:val="231F20"/>
          <w:spacing w:val="-29"/>
          <w:w w:val="95"/>
          <w:sz w:val="21"/>
        </w:rPr>
        <w:t> </w:t>
      </w:r>
      <w:r>
        <w:rPr>
          <w:color w:val="231F20"/>
          <w:w w:val="95"/>
          <w:sz w:val="21"/>
        </w:rPr>
        <w:t>(2006).</w:t>
      </w:r>
      <w:r>
        <w:rPr>
          <w:color w:val="231F20"/>
          <w:spacing w:val="-29"/>
          <w:w w:val="95"/>
          <w:sz w:val="21"/>
        </w:rPr>
        <w:t> </w:t>
      </w:r>
      <w:r>
        <w:rPr>
          <w:i/>
          <w:color w:val="231F20"/>
          <w:w w:val="95"/>
          <w:sz w:val="21"/>
        </w:rPr>
        <w:t>Breve</w:t>
      </w:r>
      <w:r>
        <w:rPr>
          <w:i/>
          <w:color w:val="231F20"/>
          <w:spacing w:val="-29"/>
          <w:w w:val="95"/>
          <w:sz w:val="21"/>
        </w:rPr>
        <w:t> </w:t>
      </w:r>
      <w:r>
        <w:rPr>
          <w:i/>
          <w:color w:val="231F20"/>
          <w:w w:val="95"/>
          <w:sz w:val="21"/>
        </w:rPr>
        <w:t>historia</w:t>
      </w:r>
      <w:r>
        <w:rPr>
          <w:i/>
          <w:color w:val="231F20"/>
          <w:spacing w:val="-29"/>
          <w:w w:val="95"/>
          <w:sz w:val="21"/>
        </w:rPr>
        <w:t> </w:t>
      </w:r>
      <w:r>
        <w:rPr>
          <w:i/>
          <w:color w:val="231F20"/>
          <w:w w:val="95"/>
          <w:sz w:val="21"/>
        </w:rPr>
        <w:t>de</w:t>
      </w:r>
      <w:r>
        <w:rPr>
          <w:i/>
          <w:color w:val="231F20"/>
          <w:spacing w:val="-29"/>
          <w:w w:val="95"/>
          <w:sz w:val="21"/>
        </w:rPr>
        <w:t> </w:t>
      </w:r>
      <w:r>
        <w:rPr>
          <w:i/>
          <w:color w:val="231F20"/>
          <w:w w:val="95"/>
          <w:sz w:val="21"/>
        </w:rPr>
        <w:t>la</w:t>
      </w:r>
      <w:r>
        <w:rPr>
          <w:i/>
          <w:color w:val="231F20"/>
          <w:spacing w:val="-29"/>
          <w:w w:val="95"/>
          <w:sz w:val="21"/>
        </w:rPr>
        <w:t> </w:t>
      </w:r>
      <w:r>
        <w:rPr>
          <w:i/>
          <w:color w:val="231F20"/>
          <w:w w:val="95"/>
          <w:sz w:val="21"/>
        </w:rPr>
        <w:t>barbarie</w:t>
      </w:r>
      <w:r>
        <w:rPr>
          <w:i/>
          <w:color w:val="231F20"/>
          <w:spacing w:val="-29"/>
          <w:w w:val="95"/>
          <w:sz w:val="21"/>
        </w:rPr>
        <w:t> </w:t>
      </w:r>
      <w:r>
        <w:rPr>
          <w:i/>
          <w:color w:val="231F20"/>
          <w:w w:val="95"/>
          <w:sz w:val="21"/>
        </w:rPr>
        <w:t>en</w:t>
      </w:r>
      <w:r>
        <w:rPr>
          <w:i/>
          <w:color w:val="231F20"/>
          <w:spacing w:val="-29"/>
          <w:w w:val="95"/>
          <w:sz w:val="21"/>
        </w:rPr>
        <w:t> </w:t>
      </w:r>
      <w:r>
        <w:rPr>
          <w:i/>
          <w:color w:val="231F20"/>
          <w:w w:val="95"/>
          <w:sz w:val="21"/>
        </w:rPr>
        <w:t>Occidente.</w:t>
      </w:r>
      <w:r>
        <w:rPr>
          <w:i/>
          <w:color w:val="231F20"/>
          <w:spacing w:val="-29"/>
          <w:w w:val="95"/>
          <w:sz w:val="21"/>
        </w:rPr>
        <w:t> </w:t>
      </w:r>
      <w:r>
        <w:rPr>
          <w:color w:val="231F20"/>
          <w:w w:val="95"/>
          <w:sz w:val="21"/>
        </w:rPr>
        <w:t>Buenos Aires:</w:t>
      </w:r>
      <w:r>
        <w:rPr>
          <w:color w:val="231F20"/>
          <w:spacing w:val="34"/>
          <w:w w:val="95"/>
          <w:sz w:val="21"/>
        </w:rPr>
        <w:t> </w:t>
      </w:r>
      <w:r>
        <w:rPr>
          <w:color w:val="231F20"/>
          <w:w w:val="95"/>
          <w:sz w:val="21"/>
        </w:rPr>
        <w:t>Paidós.</w:t>
      </w:r>
    </w:p>
    <w:p>
      <w:pPr>
        <w:spacing w:line="247" w:lineRule="auto" w:before="0"/>
        <w:ind w:left="811" w:right="96" w:hanging="710"/>
        <w:jc w:val="left"/>
        <w:rPr>
          <w:sz w:val="21"/>
        </w:rPr>
      </w:pPr>
      <w:r>
        <w:rPr>
          <w:color w:val="231F20"/>
          <w:sz w:val="21"/>
        </w:rPr>
        <w:t>Ordorika, Immanol. (2005). Violencia y ‘porrismo’ en la educación superior en México. En G. T Bertussi y G. González </w:t>
      </w:r>
      <w:r>
        <w:rPr>
          <w:color w:val="231F20"/>
          <w:w w:val="90"/>
          <w:sz w:val="21"/>
        </w:rPr>
        <w:t>(coords), </w:t>
      </w:r>
      <w:r>
        <w:rPr>
          <w:i/>
          <w:color w:val="231F20"/>
          <w:w w:val="90"/>
          <w:sz w:val="21"/>
        </w:rPr>
        <w:t>Anuario educativo mexicano: visión retrospectiva</w:t>
      </w:r>
      <w:r>
        <w:rPr>
          <w:color w:val="231F20"/>
          <w:w w:val="90"/>
          <w:sz w:val="21"/>
        </w:rPr>
        <w:t>, 2005, </w:t>
      </w:r>
      <w:r>
        <w:rPr>
          <w:color w:val="231F20"/>
          <w:sz w:val="21"/>
        </w:rPr>
        <w:t>MéxicoDF: Miguel Ángel Porrúa, 2009.</w:t>
      </w:r>
    </w:p>
    <w:p>
      <w:pPr>
        <w:spacing w:line="242" w:lineRule="auto" w:before="1"/>
        <w:ind w:left="811" w:right="326" w:hanging="710"/>
        <w:jc w:val="left"/>
        <w:rPr>
          <w:sz w:val="21"/>
        </w:rPr>
      </w:pPr>
      <w:r>
        <w:rPr>
          <w:color w:val="231F20"/>
          <w:w w:val="95"/>
          <w:sz w:val="21"/>
        </w:rPr>
        <w:t>Prigogine, Ilya (1997). </w:t>
      </w:r>
      <w:r>
        <w:rPr>
          <w:i/>
          <w:color w:val="231F20"/>
          <w:w w:val="95"/>
          <w:sz w:val="21"/>
        </w:rPr>
        <w:t>El fin de las certidumbres</w:t>
      </w:r>
      <w:r>
        <w:rPr>
          <w:color w:val="231F20"/>
          <w:w w:val="95"/>
          <w:sz w:val="21"/>
        </w:rPr>
        <w:t>. Santiago de Chile: </w:t>
      </w:r>
      <w:r>
        <w:rPr>
          <w:color w:val="231F20"/>
          <w:sz w:val="21"/>
        </w:rPr>
        <w:t>Editorial Andrés Bello.</w:t>
      </w:r>
    </w:p>
    <w:p>
      <w:pPr>
        <w:spacing w:line="242" w:lineRule="auto" w:before="6"/>
        <w:ind w:left="822" w:right="63" w:hanging="721"/>
        <w:jc w:val="left"/>
        <w:rPr>
          <w:sz w:val="21"/>
        </w:rPr>
      </w:pPr>
      <w:r>
        <w:rPr>
          <w:color w:val="231F20"/>
          <w:w w:val="90"/>
          <w:sz w:val="21"/>
        </w:rPr>
        <w:t>Simmel, Georg. (2010). </w:t>
      </w:r>
      <w:r>
        <w:rPr>
          <w:i/>
          <w:color w:val="231F20"/>
          <w:w w:val="90"/>
          <w:sz w:val="21"/>
        </w:rPr>
        <w:t>EL conflicto. Sociología del antogonismo. </w:t>
      </w:r>
      <w:r>
        <w:rPr>
          <w:color w:val="231F20"/>
          <w:w w:val="90"/>
          <w:sz w:val="21"/>
        </w:rPr>
        <w:t>Madrid: </w:t>
      </w:r>
      <w:r>
        <w:rPr>
          <w:color w:val="231F20"/>
          <w:sz w:val="21"/>
        </w:rPr>
        <w:t>Ediciones Sequitur.</w:t>
      </w:r>
    </w:p>
    <w:p>
      <w:pPr>
        <w:spacing w:line="244" w:lineRule="auto" w:before="6"/>
        <w:ind w:left="822" w:right="173" w:hanging="720"/>
        <w:jc w:val="left"/>
        <w:rPr>
          <w:sz w:val="21"/>
        </w:rPr>
      </w:pPr>
      <w:r>
        <w:rPr>
          <w:color w:val="231F20"/>
          <w:sz w:val="21"/>
        </w:rPr>
        <w:t>Teresinha Bertussi, Guadalupe y González-Gómez, Gabriela. </w:t>
      </w:r>
      <w:r>
        <w:rPr>
          <w:color w:val="231F20"/>
          <w:w w:val="90"/>
          <w:sz w:val="21"/>
        </w:rPr>
        <w:t>(2005).</w:t>
      </w:r>
      <w:r>
        <w:rPr>
          <w:color w:val="231F20"/>
          <w:spacing w:val="-22"/>
          <w:w w:val="90"/>
          <w:sz w:val="21"/>
        </w:rPr>
        <w:t> </w:t>
      </w:r>
      <w:r>
        <w:rPr>
          <w:i/>
          <w:color w:val="231F20"/>
          <w:w w:val="90"/>
          <w:sz w:val="21"/>
        </w:rPr>
        <w:t>Anuario</w:t>
      </w:r>
      <w:r>
        <w:rPr>
          <w:i/>
          <w:color w:val="231F20"/>
          <w:spacing w:val="-22"/>
          <w:w w:val="90"/>
          <w:sz w:val="21"/>
        </w:rPr>
        <w:t> </w:t>
      </w:r>
      <w:r>
        <w:rPr>
          <w:i/>
          <w:color w:val="231F20"/>
          <w:w w:val="90"/>
          <w:sz w:val="21"/>
        </w:rPr>
        <w:t>educativo</w:t>
      </w:r>
      <w:r>
        <w:rPr>
          <w:i/>
          <w:color w:val="231F20"/>
          <w:spacing w:val="-22"/>
          <w:w w:val="90"/>
          <w:sz w:val="21"/>
        </w:rPr>
        <w:t> </w:t>
      </w:r>
      <w:r>
        <w:rPr>
          <w:i/>
          <w:color w:val="231F20"/>
          <w:w w:val="90"/>
          <w:sz w:val="21"/>
        </w:rPr>
        <w:t>mexicano:</w:t>
      </w:r>
      <w:r>
        <w:rPr>
          <w:i/>
          <w:color w:val="231F20"/>
          <w:spacing w:val="-22"/>
          <w:w w:val="90"/>
          <w:sz w:val="21"/>
        </w:rPr>
        <w:t> </w:t>
      </w:r>
      <w:r>
        <w:rPr>
          <w:i/>
          <w:color w:val="231F20"/>
          <w:w w:val="90"/>
          <w:sz w:val="21"/>
        </w:rPr>
        <w:t>visión</w:t>
      </w:r>
      <w:r>
        <w:rPr>
          <w:i/>
          <w:color w:val="231F20"/>
          <w:spacing w:val="-22"/>
          <w:w w:val="90"/>
          <w:sz w:val="21"/>
        </w:rPr>
        <w:t> </w:t>
      </w:r>
      <w:r>
        <w:rPr>
          <w:i/>
          <w:color w:val="231F20"/>
          <w:w w:val="90"/>
          <w:sz w:val="21"/>
        </w:rPr>
        <w:t>retrospectiva.</w:t>
      </w:r>
      <w:r>
        <w:rPr>
          <w:i/>
          <w:color w:val="231F20"/>
          <w:spacing w:val="-21"/>
          <w:w w:val="90"/>
          <w:sz w:val="21"/>
        </w:rPr>
        <w:t> </w:t>
      </w:r>
      <w:r>
        <w:rPr>
          <w:color w:val="231F20"/>
          <w:w w:val="90"/>
          <w:sz w:val="21"/>
        </w:rPr>
        <w:t>México </w:t>
      </w:r>
      <w:r>
        <w:rPr>
          <w:color w:val="231F20"/>
          <w:sz w:val="21"/>
        </w:rPr>
        <w:t>DF: Porrúa; UPN. Disponible en: </w:t>
      </w:r>
      <w:hyperlink r:id="rId811">
        <w:r>
          <w:rPr>
            <w:color w:val="231F20"/>
            <w:spacing w:val="2"/>
            <w:w w:val="104"/>
            <w:sz w:val="21"/>
          </w:rPr>
          <w:t>h</w:t>
        </w:r>
        <w:r>
          <w:rPr>
            <w:color w:val="231F20"/>
            <w:spacing w:val="1"/>
            <w:w w:val="107"/>
            <w:sz w:val="21"/>
          </w:rPr>
          <w:t>tt</w:t>
        </w:r>
        <w:r>
          <w:rPr>
            <w:color w:val="231F20"/>
            <w:spacing w:val="2"/>
            <w:w w:val="104"/>
            <w:sz w:val="21"/>
          </w:rPr>
          <w:t>p</w:t>
        </w:r>
        <w:r>
          <w:rPr>
            <w:color w:val="231F20"/>
            <w:w w:val="80"/>
            <w:sz w:val="21"/>
          </w:rPr>
          <w:t>:</w:t>
        </w:r>
        <w:r>
          <w:rPr>
            <w:color w:val="231F20"/>
            <w:spacing w:val="2"/>
            <w:w w:val="185"/>
            <w:sz w:val="21"/>
          </w:rPr>
          <w:t>//</w:t>
        </w:r>
        <w:r>
          <w:rPr>
            <w:color w:val="231F20"/>
            <w:spacing w:val="2"/>
            <w:w w:val="104"/>
            <w:sz w:val="21"/>
          </w:rPr>
          <w:t>b</w:t>
        </w:r>
        <w:r>
          <w:rPr>
            <w:color w:val="231F20"/>
            <w:w w:val="84"/>
            <w:sz w:val="21"/>
          </w:rPr>
          <w:t>i</w:t>
        </w:r>
        <w:r>
          <w:rPr>
            <w:color w:val="231F20"/>
            <w:spacing w:val="2"/>
            <w:w w:val="104"/>
            <w:sz w:val="21"/>
          </w:rPr>
          <w:t>b</w:t>
        </w:r>
        <w:r>
          <w:rPr>
            <w:color w:val="231F20"/>
            <w:w w:val="84"/>
            <w:sz w:val="21"/>
          </w:rPr>
          <w:t>li</w:t>
        </w:r>
        <w:r>
          <w:rPr>
            <w:color w:val="231F20"/>
            <w:spacing w:val="2"/>
            <w:w w:val="104"/>
            <w:sz w:val="21"/>
          </w:rPr>
          <w:t>o</w:t>
        </w:r>
        <w:r>
          <w:rPr>
            <w:color w:val="231F20"/>
            <w:spacing w:val="1"/>
            <w:w w:val="107"/>
            <w:sz w:val="21"/>
          </w:rPr>
          <w:t>t</w:t>
        </w:r>
        <w:r>
          <w:rPr>
            <w:color w:val="231F20"/>
            <w:spacing w:val="1"/>
            <w:w w:val="96"/>
            <w:sz w:val="21"/>
          </w:rPr>
          <w:t>ec</w:t>
        </w:r>
        <w:r>
          <w:rPr>
            <w:color w:val="231F20"/>
            <w:spacing w:val="1"/>
            <w:w w:val="94"/>
            <w:sz w:val="21"/>
          </w:rPr>
          <w:t>a</w:t>
        </w:r>
        <w:r>
          <w:rPr>
            <w:color w:val="231F20"/>
            <w:w w:val="89"/>
            <w:sz w:val="21"/>
          </w:rPr>
          <w:t>.</w:t>
        </w:r>
        <w:r>
          <w:rPr>
            <w:color w:val="231F20"/>
            <w:spacing w:val="2"/>
            <w:w w:val="102"/>
            <w:sz w:val="21"/>
          </w:rPr>
          <w:t>d</w:t>
        </w:r>
        <w:r>
          <w:rPr>
            <w:color w:val="231F20"/>
            <w:w w:val="84"/>
            <w:sz w:val="21"/>
          </w:rPr>
          <w:t>i</w:t>
        </w:r>
        <w:r>
          <w:rPr>
            <w:color w:val="231F20"/>
            <w:spacing w:val="2"/>
            <w:w w:val="104"/>
            <w:sz w:val="21"/>
          </w:rPr>
          <w:t>p</w:t>
        </w:r>
        <w:r>
          <w:rPr>
            <w:color w:val="231F20"/>
            <w:spacing w:val="2"/>
            <w:w w:val="103"/>
            <w:sz w:val="21"/>
          </w:rPr>
          <w:t>u</w:t>
        </w:r>
        <w:r>
          <w:rPr>
            <w:color w:val="231F20"/>
            <w:spacing w:val="1"/>
            <w:w w:val="103"/>
            <w:sz w:val="21"/>
          </w:rPr>
          <w:t>t</w:t>
        </w:r>
        <w:r>
          <w:rPr>
            <w:color w:val="231F20"/>
            <w:spacing w:val="1"/>
            <w:w w:val="94"/>
            <w:sz w:val="21"/>
          </w:rPr>
          <w:t>a</w:t>
        </w:r>
        <w:r>
          <w:rPr>
            <w:color w:val="231F20"/>
            <w:spacing w:val="2"/>
            <w:w w:val="102"/>
            <w:sz w:val="21"/>
          </w:rPr>
          <w:t>d</w:t>
        </w:r>
        <w:r>
          <w:rPr>
            <w:color w:val="231F20"/>
            <w:spacing w:val="2"/>
            <w:w w:val="104"/>
            <w:sz w:val="21"/>
          </w:rPr>
          <w:t>o</w:t>
        </w:r>
        <w:r>
          <w:rPr>
            <w:color w:val="231F20"/>
            <w:spacing w:val="1"/>
            <w:w w:val="96"/>
            <w:sz w:val="21"/>
          </w:rPr>
          <w:t>s</w:t>
        </w:r>
        <w:r>
          <w:rPr>
            <w:color w:val="231F20"/>
            <w:w w:val="89"/>
            <w:sz w:val="21"/>
          </w:rPr>
          <w:t>.</w:t>
        </w:r>
        <w:r>
          <w:rPr>
            <w:color w:val="231F20"/>
            <w:spacing w:val="1"/>
            <w:w w:val="92"/>
            <w:sz w:val="21"/>
          </w:rPr>
          <w:t>g</w:t>
        </w:r>
        <w:r>
          <w:rPr>
            <w:color w:val="231F20"/>
            <w:spacing w:val="2"/>
            <w:w w:val="104"/>
            <w:sz w:val="21"/>
          </w:rPr>
          <w:t>ob</w:t>
        </w:r>
        <w:r>
          <w:rPr>
            <w:color w:val="231F20"/>
            <w:w w:val="89"/>
            <w:sz w:val="21"/>
          </w:rPr>
          <w:t>.</w:t>
        </w:r>
        <w:r>
          <w:rPr>
            <w:color w:val="231F20"/>
            <w:spacing w:val="3"/>
            <w:w w:val="101"/>
            <w:sz w:val="21"/>
          </w:rPr>
          <w:t>m</w:t>
        </w:r>
        <w:r>
          <w:rPr>
            <w:color w:val="231F20"/>
            <w:spacing w:val="1"/>
            <w:w w:val="126"/>
            <w:sz w:val="21"/>
          </w:rPr>
          <w:t>x</w:t>
        </w:r>
        <w:r>
          <w:rPr>
            <w:color w:val="231F20"/>
            <w:spacing w:val="2"/>
            <w:w w:val="126"/>
            <w:sz w:val="21"/>
          </w:rPr>
          <w:t>/</w:t>
        </w:r>
        <w:r>
          <w:rPr>
            <w:color w:val="231F20"/>
            <w:w w:val="84"/>
            <w:sz w:val="21"/>
          </w:rPr>
          <w:t>j</w:t>
        </w:r>
        <w:r>
          <w:rPr>
            <w:color w:val="231F20"/>
            <w:spacing w:val="1"/>
            <w:w w:val="94"/>
            <w:sz w:val="21"/>
          </w:rPr>
          <w:t>a</w:t>
        </w:r>
        <w:r>
          <w:rPr>
            <w:color w:val="231F20"/>
            <w:spacing w:val="2"/>
            <w:w w:val="104"/>
            <w:sz w:val="21"/>
          </w:rPr>
          <w:t>n</w:t>
        </w:r>
        <w:r>
          <w:rPr>
            <w:color w:val="231F20"/>
            <w:w w:val="84"/>
            <w:sz w:val="21"/>
          </w:rPr>
          <w:t>i</w:t>
        </w:r>
        <w:r>
          <w:rPr>
            <w:color w:val="231F20"/>
            <w:spacing w:val="2"/>
            <w:w w:val="101"/>
            <w:sz w:val="21"/>
          </w:rPr>
          <w:t>u</w:t>
        </w:r>
        <w:r>
          <w:rPr>
            <w:color w:val="231F20"/>
            <w:spacing w:val="3"/>
            <w:w w:val="101"/>
            <w:sz w:val="21"/>
          </w:rPr>
          <w:t>m</w:t>
        </w:r>
        <w:r>
          <w:rPr>
            <w:color w:val="231F20"/>
            <w:spacing w:val="2"/>
            <w:w w:val="185"/>
            <w:sz w:val="21"/>
          </w:rPr>
          <w:t>/</w:t>
        </w:r>
        <w:r>
          <w:rPr>
            <w:color w:val="231F20"/>
            <w:spacing w:val="2"/>
            <w:w w:val="104"/>
            <w:sz w:val="21"/>
          </w:rPr>
          <w:t>b</w:t>
        </w:r>
        <w:r>
          <w:rPr>
            <w:color w:val="231F20"/>
            <w:spacing w:val="2"/>
            <w:w w:val="128"/>
            <w:sz w:val="21"/>
          </w:rPr>
          <w:t>v/</w:t>
        </w:r>
        <w:r>
          <w:rPr>
            <w:color w:val="231F20"/>
            <w:spacing w:val="1"/>
            <w:w w:val="96"/>
            <w:sz w:val="21"/>
          </w:rPr>
          <w:t>ce</w:t>
        </w:r>
        <w:r>
          <w:rPr>
            <w:color w:val="231F20"/>
            <w:spacing w:val="2"/>
            <w:w w:val="185"/>
            <w:sz w:val="21"/>
          </w:rPr>
          <w:t>/</w:t>
        </w:r>
        <w:r>
          <w:rPr>
            <w:color w:val="231F20"/>
            <w:spacing w:val="1"/>
            <w:w w:val="96"/>
            <w:sz w:val="21"/>
          </w:rPr>
          <w:t>s</w:t>
        </w:r>
        <w:r>
          <w:rPr>
            <w:color w:val="231F20"/>
            <w:spacing w:val="1"/>
            <w:w w:val="96"/>
            <w:sz w:val="21"/>
          </w:rPr>
          <w:t>c</w:t>
        </w:r>
        <w:r>
          <w:rPr>
            <w:color w:val="231F20"/>
            <w:spacing w:val="2"/>
            <w:w w:val="104"/>
            <w:sz w:val="21"/>
          </w:rPr>
          <w:t>p</w:t>
        </w:r>
        <w:r>
          <w:rPr>
            <w:color w:val="231F20"/>
            <w:spacing w:val="2"/>
            <w:w w:val="102"/>
            <w:sz w:val="21"/>
          </w:rPr>
          <w:t>d</w:t>
        </w:r>
        <w:r>
          <w:rPr>
            <w:color w:val="231F20"/>
            <w:w w:val="185"/>
            <w:sz w:val="21"/>
          </w:rPr>
          <w:t>/</w:t>
        </w:r>
      </w:hyperlink>
      <w:r>
        <w:rPr>
          <w:color w:val="231F20"/>
          <w:w w:val="185"/>
          <w:sz w:val="21"/>
        </w:rPr>
        <w:t> </w:t>
      </w:r>
      <w:r>
        <w:rPr>
          <w:color w:val="231F20"/>
          <w:sz w:val="21"/>
        </w:rPr>
        <w:t>LX/anuedu.pdf</w:t>
      </w:r>
    </w:p>
    <w:p>
      <w:pPr>
        <w:spacing w:after="0" w:line="244" w:lineRule="auto"/>
        <w:jc w:val="left"/>
        <w:rPr>
          <w:sz w:val="21"/>
        </w:rPr>
        <w:sectPr>
          <w:headerReference w:type="default" r:id="rId853"/>
          <w:footerReference w:type="default" r:id="rId854"/>
          <w:pgSz w:w="7830" w:h="11910"/>
          <w:pgMar w:header="0" w:footer="424" w:top="500" w:bottom="620" w:left="920" w:right="960"/>
          <w:pgNumType w:start="385"/>
        </w:sectPr>
      </w:pPr>
    </w:p>
    <w:p>
      <w:pPr>
        <w:spacing w:before="46"/>
        <w:ind w:left="102" w:right="116"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before="96"/>
        <w:ind w:left="84" w:right="118" w:firstLine="0"/>
        <w:jc w:val="center"/>
        <w:rPr>
          <w:rFonts w:ascii="Georgia"/>
          <w:i/>
          <w:sz w:val="21"/>
        </w:rPr>
      </w:pPr>
      <w:r>
        <w:rPr/>
        <w:drawing>
          <wp:anchor distT="0" distB="0" distL="0" distR="0" allowOverlap="1" layoutInCell="1" locked="0" behindDoc="1" simplePos="0" relativeHeight="267953135">
            <wp:simplePos x="0" y="0"/>
            <wp:positionH relativeFrom="page">
              <wp:posOffset>2150130</wp:posOffset>
            </wp:positionH>
            <wp:positionV relativeFrom="paragraph">
              <wp:posOffset>92586</wp:posOffset>
            </wp:positionV>
            <wp:extent cx="651499" cy="94847"/>
            <wp:effectExtent l="0" t="0" r="0" b="0"/>
            <wp:wrapNone/>
            <wp:docPr id="57" name="image29.png" descr=""/>
            <wp:cNvGraphicFramePr>
              <a:graphicFrameLocks noChangeAspect="1"/>
            </wp:cNvGraphicFramePr>
            <a:graphic>
              <a:graphicData uri="http://schemas.openxmlformats.org/drawingml/2006/picture">
                <pic:pic>
                  <pic:nvPicPr>
                    <pic:cNvPr id="58" name="image29.png"/>
                    <pic:cNvPicPr/>
                  </pic:nvPicPr>
                  <pic:blipFill>
                    <a:blip r:embed="rId857" cstate="print"/>
                    <a:stretch>
                      <a:fillRect/>
                    </a:stretch>
                  </pic:blipFill>
                  <pic:spPr>
                    <a:xfrm>
                      <a:off x="0" y="0"/>
                      <a:ext cx="651499" cy="94847"/>
                    </a:xfrm>
                    <a:prstGeom prst="rect">
                      <a:avLst/>
                    </a:prstGeom>
                  </pic:spPr>
                </pic:pic>
              </a:graphicData>
            </a:graphic>
          </wp:anchor>
        </w:drawing>
      </w:r>
      <w:r>
        <w:rPr>
          <w:rFonts w:ascii="Georgia"/>
          <w:i/>
          <w:color w:val="231F20"/>
          <w:w w:val="105"/>
          <w:sz w:val="21"/>
        </w:rPr>
        <w:t>ANEXOS</w:t>
      </w:r>
    </w:p>
    <w:p>
      <w:pPr>
        <w:pStyle w:val="BodyText"/>
        <w:spacing w:line="249" w:lineRule="auto" w:before="127"/>
        <w:ind w:left="101" w:right="112"/>
        <w:jc w:val="both"/>
      </w:pPr>
      <w:r>
        <w:rPr>
          <w:color w:val="231F20"/>
        </w:rPr>
        <w:t>Cabe </w:t>
      </w:r>
      <w:r>
        <w:rPr>
          <w:color w:val="231F20"/>
          <w:spacing w:val="-3"/>
        </w:rPr>
        <w:t>señalar </w:t>
      </w:r>
      <w:r>
        <w:rPr>
          <w:color w:val="231F20"/>
        </w:rPr>
        <w:t>que </w:t>
      </w:r>
      <w:r>
        <w:rPr>
          <w:color w:val="231F20"/>
          <w:spacing w:val="-2"/>
        </w:rPr>
        <w:t>los </w:t>
      </w:r>
      <w:r>
        <w:rPr>
          <w:color w:val="231F20"/>
          <w:spacing w:val="-3"/>
        </w:rPr>
        <w:t>totales </w:t>
      </w:r>
      <w:r>
        <w:rPr>
          <w:color w:val="231F20"/>
        </w:rPr>
        <w:t>de </w:t>
      </w:r>
      <w:r>
        <w:rPr>
          <w:color w:val="231F20"/>
          <w:spacing w:val="-3"/>
        </w:rPr>
        <w:t>cada </w:t>
      </w:r>
      <w:r>
        <w:rPr>
          <w:color w:val="231F20"/>
        </w:rPr>
        <w:t>uno de </w:t>
      </w:r>
      <w:r>
        <w:rPr>
          <w:color w:val="231F20"/>
          <w:spacing w:val="-2"/>
        </w:rPr>
        <w:t>los </w:t>
      </w:r>
      <w:r>
        <w:rPr>
          <w:color w:val="231F20"/>
          <w:spacing w:val="-3"/>
        </w:rPr>
        <w:t>cuadros </w:t>
      </w:r>
      <w:r>
        <w:rPr>
          <w:color w:val="231F20"/>
        </w:rPr>
        <w:t>se </w:t>
      </w:r>
      <w:r>
        <w:rPr>
          <w:color w:val="231F20"/>
          <w:spacing w:val="-3"/>
        </w:rPr>
        <w:t>refiere </w:t>
      </w:r>
      <w:r>
        <w:rPr>
          <w:color w:val="231F20"/>
        </w:rPr>
        <w:t>a </w:t>
      </w:r>
      <w:r>
        <w:rPr>
          <w:color w:val="231F20"/>
          <w:spacing w:val="-2"/>
        </w:rPr>
        <w:t>los </w:t>
      </w:r>
      <w:r>
        <w:rPr>
          <w:color w:val="231F20"/>
          <w:spacing w:val="-3"/>
        </w:rPr>
        <w:t>subtotales </w:t>
      </w:r>
      <w:r>
        <w:rPr>
          <w:color w:val="231F20"/>
        </w:rPr>
        <w:t>de cada una de </w:t>
      </w:r>
      <w:r>
        <w:rPr>
          <w:color w:val="231F20"/>
          <w:spacing w:val="-3"/>
        </w:rPr>
        <w:t>las preguntas </w:t>
      </w:r>
      <w:r>
        <w:rPr>
          <w:color w:val="231F20"/>
        </w:rPr>
        <w:t>del </w:t>
      </w:r>
      <w:r>
        <w:rPr>
          <w:color w:val="231F20"/>
          <w:spacing w:val="-3"/>
        </w:rPr>
        <w:t>instrumento, </w:t>
      </w:r>
      <w:r>
        <w:rPr>
          <w:color w:val="231F20"/>
        </w:rPr>
        <w:t>que </w:t>
      </w:r>
      <w:r>
        <w:rPr>
          <w:color w:val="231F20"/>
          <w:spacing w:val="-3"/>
        </w:rPr>
        <w:t>sumadas </w:t>
      </w:r>
      <w:r>
        <w:rPr>
          <w:color w:val="231F20"/>
        </w:rPr>
        <w:t>nos </w:t>
      </w:r>
      <w:r>
        <w:rPr>
          <w:color w:val="231F20"/>
          <w:spacing w:val="-3"/>
        </w:rPr>
        <w:t>arrojan </w:t>
      </w:r>
      <w:r>
        <w:rPr>
          <w:color w:val="231F20"/>
        </w:rPr>
        <w:t>el </w:t>
      </w:r>
      <w:r>
        <w:rPr>
          <w:color w:val="231F20"/>
          <w:spacing w:val="-3"/>
        </w:rPr>
        <w:t>total </w:t>
      </w:r>
      <w:r>
        <w:rPr>
          <w:color w:val="231F20"/>
        </w:rPr>
        <w:t>de </w:t>
      </w:r>
      <w:r>
        <w:rPr>
          <w:color w:val="231F20"/>
          <w:spacing w:val="-3"/>
        </w:rPr>
        <w:t>las respuestas (706). </w:t>
      </w:r>
      <w:r>
        <w:rPr>
          <w:color w:val="231F20"/>
        </w:rPr>
        <w:t>En el </w:t>
      </w:r>
      <w:r>
        <w:rPr>
          <w:color w:val="231F20"/>
          <w:spacing w:val="-3"/>
        </w:rPr>
        <w:t>Cuadro </w:t>
      </w:r>
      <w:r>
        <w:rPr>
          <w:color w:val="231F20"/>
        </w:rPr>
        <w:t>1, por </w:t>
      </w:r>
      <w:r>
        <w:rPr>
          <w:color w:val="231F20"/>
          <w:spacing w:val="-3"/>
        </w:rPr>
        <w:t>ejem- </w:t>
      </w:r>
      <w:r>
        <w:rPr>
          <w:color w:val="231F20"/>
        </w:rPr>
        <w:t>plo, 246 </w:t>
      </w:r>
      <w:r>
        <w:rPr>
          <w:color w:val="231F20"/>
          <w:spacing w:val="-3"/>
        </w:rPr>
        <w:t>corresponde </w:t>
      </w:r>
      <w:r>
        <w:rPr>
          <w:color w:val="231F20"/>
        </w:rPr>
        <w:t>a uno de </w:t>
      </w:r>
      <w:r>
        <w:rPr>
          <w:color w:val="231F20"/>
          <w:spacing w:val="-2"/>
        </w:rPr>
        <w:t>los </w:t>
      </w:r>
      <w:r>
        <w:rPr>
          <w:color w:val="231F20"/>
          <w:spacing w:val="-3"/>
        </w:rPr>
        <w:t>incisos </w:t>
      </w:r>
      <w:r>
        <w:rPr>
          <w:color w:val="231F20"/>
        </w:rPr>
        <w:t>del </w:t>
      </w:r>
      <w:r>
        <w:rPr>
          <w:color w:val="231F20"/>
          <w:spacing w:val="-3"/>
        </w:rPr>
        <w:t>total </w:t>
      </w:r>
      <w:r>
        <w:rPr>
          <w:color w:val="231F20"/>
        </w:rPr>
        <w:t>de </w:t>
      </w:r>
      <w:r>
        <w:rPr>
          <w:color w:val="231F20"/>
          <w:spacing w:val="-3"/>
        </w:rPr>
        <w:t>respuestas </w:t>
      </w:r>
      <w:r>
        <w:rPr>
          <w:color w:val="231F20"/>
        </w:rPr>
        <w:t>de la </w:t>
      </w:r>
      <w:r>
        <w:rPr>
          <w:color w:val="231F20"/>
          <w:spacing w:val="-3"/>
        </w:rPr>
        <w:t>pregunta </w:t>
      </w:r>
      <w:r>
        <w:rPr>
          <w:color w:val="231F20"/>
        </w:rPr>
        <w:t>número 11: “¿Qué </w:t>
      </w:r>
      <w:r>
        <w:rPr>
          <w:color w:val="231F20"/>
          <w:spacing w:val="-3"/>
        </w:rPr>
        <w:t>tipo </w:t>
      </w:r>
      <w:r>
        <w:rPr>
          <w:color w:val="231F20"/>
        </w:rPr>
        <w:t>de </w:t>
      </w:r>
      <w:r>
        <w:rPr>
          <w:color w:val="231F20"/>
          <w:spacing w:val="-3"/>
        </w:rPr>
        <w:t>violencia </w:t>
      </w:r>
      <w:r>
        <w:rPr>
          <w:color w:val="231F20"/>
        </w:rPr>
        <w:t>has </w:t>
      </w:r>
      <w:r>
        <w:rPr>
          <w:color w:val="231F20"/>
          <w:spacing w:val="-3"/>
        </w:rPr>
        <w:t>sufrido </w:t>
      </w:r>
      <w:r>
        <w:rPr>
          <w:color w:val="231F20"/>
        </w:rPr>
        <w:t>tú en la </w:t>
      </w:r>
      <w:r>
        <w:rPr>
          <w:color w:val="231F20"/>
          <w:spacing w:val="-4"/>
        </w:rPr>
        <w:t>uni- </w:t>
      </w:r>
      <w:r>
        <w:rPr>
          <w:color w:val="231F20"/>
          <w:spacing w:val="-3"/>
        </w:rPr>
        <w:t>versidad?”, cuyas respuestas posibles incluyen: </w:t>
      </w:r>
      <w:r>
        <w:rPr>
          <w:color w:val="231F20"/>
        </w:rPr>
        <w:t>1) </w:t>
      </w:r>
      <w:r>
        <w:rPr>
          <w:color w:val="231F20"/>
          <w:spacing w:val="-3"/>
        </w:rPr>
        <w:t>física, </w:t>
      </w:r>
      <w:r>
        <w:rPr>
          <w:color w:val="231F20"/>
        </w:rPr>
        <w:t>2) </w:t>
      </w:r>
      <w:r>
        <w:rPr>
          <w:color w:val="231F20"/>
          <w:spacing w:val="-3"/>
        </w:rPr>
        <w:t>agresión sexual</w:t>
      </w:r>
      <w:r>
        <w:rPr>
          <w:color w:val="231F20"/>
          <w:spacing w:val="-12"/>
        </w:rPr>
        <w:t> </w:t>
      </w:r>
      <w:r>
        <w:rPr>
          <w:color w:val="231F20"/>
          <w:spacing w:val="-3"/>
        </w:rPr>
        <w:t>(acoso,</w:t>
      </w:r>
      <w:r>
        <w:rPr>
          <w:color w:val="231F20"/>
          <w:spacing w:val="-12"/>
        </w:rPr>
        <w:t> </w:t>
      </w:r>
      <w:r>
        <w:rPr>
          <w:color w:val="231F20"/>
          <w:spacing w:val="-3"/>
        </w:rPr>
        <w:t>violación),</w:t>
      </w:r>
      <w:r>
        <w:rPr>
          <w:color w:val="231F20"/>
          <w:spacing w:val="-12"/>
        </w:rPr>
        <w:t> </w:t>
      </w:r>
      <w:r>
        <w:rPr>
          <w:color w:val="231F20"/>
        </w:rPr>
        <w:t>2)</w:t>
      </w:r>
      <w:r>
        <w:rPr>
          <w:color w:val="231F20"/>
          <w:spacing w:val="-12"/>
        </w:rPr>
        <w:t> </w:t>
      </w:r>
      <w:r>
        <w:rPr>
          <w:color w:val="231F20"/>
          <w:spacing w:val="-3"/>
        </w:rPr>
        <w:t>agresión</w:t>
      </w:r>
      <w:r>
        <w:rPr>
          <w:color w:val="231F20"/>
          <w:spacing w:val="-11"/>
        </w:rPr>
        <w:t> </w:t>
      </w:r>
      <w:r>
        <w:rPr>
          <w:color w:val="231F20"/>
          <w:spacing w:val="-3"/>
        </w:rPr>
        <w:t>económica</w:t>
      </w:r>
      <w:r>
        <w:rPr>
          <w:color w:val="231F20"/>
          <w:spacing w:val="-11"/>
        </w:rPr>
        <w:t> </w:t>
      </w:r>
      <w:r>
        <w:rPr>
          <w:color w:val="231F20"/>
          <w:spacing w:val="-3"/>
        </w:rPr>
        <w:t>(chantaje),</w:t>
      </w:r>
      <w:r>
        <w:rPr>
          <w:color w:val="231F20"/>
          <w:spacing w:val="-12"/>
        </w:rPr>
        <w:t> </w:t>
      </w:r>
      <w:r>
        <w:rPr>
          <w:color w:val="231F20"/>
        </w:rPr>
        <w:t>4)</w:t>
      </w:r>
      <w:r>
        <w:rPr>
          <w:color w:val="231F20"/>
          <w:spacing w:val="-12"/>
        </w:rPr>
        <w:t> </w:t>
      </w:r>
      <w:r>
        <w:rPr>
          <w:color w:val="231F20"/>
          <w:spacing w:val="-3"/>
        </w:rPr>
        <w:t>agresión material</w:t>
      </w:r>
      <w:r>
        <w:rPr>
          <w:color w:val="231F20"/>
          <w:spacing w:val="-12"/>
        </w:rPr>
        <w:t> </w:t>
      </w:r>
      <w:r>
        <w:rPr>
          <w:color w:val="231F20"/>
          <w:spacing w:val="-3"/>
        </w:rPr>
        <w:t>(robo),</w:t>
      </w:r>
      <w:r>
        <w:rPr>
          <w:color w:val="231F20"/>
          <w:spacing w:val="-12"/>
        </w:rPr>
        <w:t> </w:t>
      </w:r>
      <w:r>
        <w:rPr>
          <w:color w:val="231F20"/>
        </w:rPr>
        <w:t>5)</w:t>
      </w:r>
      <w:r>
        <w:rPr>
          <w:color w:val="231F20"/>
          <w:spacing w:val="-11"/>
        </w:rPr>
        <w:t> </w:t>
      </w:r>
      <w:r>
        <w:rPr>
          <w:color w:val="231F20"/>
          <w:spacing w:val="-3"/>
        </w:rPr>
        <w:t>agresión</w:t>
      </w:r>
      <w:r>
        <w:rPr>
          <w:color w:val="231F20"/>
          <w:spacing w:val="-11"/>
        </w:rPr>
        <w:t> </w:t>
      </w:r>
      <w:r>
        <w:rPr>
          <w:color w:val="231F20"/>
          <w:spacing w:val="-3"/>
        </w:rPr>
        <w:t>psicológica</w:t>
      </w:r>
      <w:r>
        <w:rPr>
          <w:color w:val="231F20"/>
          <w:spacing w:val="-11"/>
        </w:rPr>
        <w:t> </w:t>
      </w:r>
      <w:r>
        <w:rPr>
          <w:color w:val="231F20"/>
          <w:spacing w:val="-3"/>
        </w:rPr>
        <w:t>(insultos,</w:t>
      </w:r>
      <w:r>
        <w:rPr>
          <w:color w:val="231F20"/>
          <w:spacing w:val="-12"/>
        </w:rPr>
        <w:t> </w:t>
      </w:r>
      <w:r>
        <w:rPr>
          <w:color w:val="231F20"/>
          <w:spacing w:val="-3"/>
        </w:rPr>
        <w:t>intimidación,</w:t>
      </w:r>
      <w:r>
        <w:rPr>
          <w:color w:val="231F20"/>
          <w:spacing w:val="-12"/>
        </w:rPr>
        <w:t> </w:t>
      </w:r>
      <w:r>
        <w:rPr>
          <w:color w:val="231F20"/>
          <w:spacing w:val="-3"/>
        </w:rPr>
        <w:t>presión, etc.), </w:t>
      </w:r>
      <w:r>
        <w:rPr>
          <w:color w:val="231F20"/>
        </w:rPr>
        <w:t>6) </w:t>
      </w:r>
      <w:r>
        <w:rPr>
          <w:color w:val="231F20"/>
          <w:spacing w:val="-3"/>
        </w:rPr>
        <w:t>coerción (obligarte </w:t>
      </w:r>
      <w:r>
        <w:rPr>
          <w:color w:val="231F20"/>
        </w:rPr>
        <w:t>a </w:t>
      </w:r>
      <w:r>
        <w:rPr>
          <w:color w:val="231F20"/>
          <w:spacing w:val="-3"/>
        </w:rPr>
        <w:t>realizar alguna actividad contra </w:t>
      </w:r>
      <w:r>
        <w:rPr>
          <w:color w:val="231F20"/>
        </w:rPr>
        <w:t>tu </w:t>
      </w:r>
      <w:r>
        <w:rPr>
          <w:color w:val="231F20"/>
          <w:spacing w:val="-4"/>
        </w:rPr>
        <w:t>volun- </w:t>
      </w:r>
      <w:r>
        <w:rPr>
          <w:color w:val="231F20"/>
          <w:spacing w:val="-3"/>
        </w:rPr>
        <w:t>tad). </w:t>
      </w:r>
      <w:r>
        <w:rPr>
          <w:color w:val="231F20"/>
        </w:rPr>
        <w:t>La </w:t>
      </w:r>
      <w:r>
        <w:rPr>
          <w:color w:val="231F20"/>
          <w:spacing w:val="-3"/>
        </w:rPr>
        <w:t>opción </w:t>
      </w:r>
      <w:r>
        <w:rPr>
          <w:color w:val="231F20"/>
        </w:rPr>
        <w:t>6 en el </w:t>
      </w:r>
      <w:r>
        <w:rPr>
          <w:color w:val="231F20"/>
          <w:spacing w:val="-3"/>
        </w:rPr>
        <w:t>Cuadro </w:t>
      </w:r>
      <w:r>
        <w:rPr>
          <w:color w:val="231F20"/>
        </w:rPr>
        <w:t>1 </w:t>
      </w:r>
      <w:r>
        <w:rPr>
          <w:color w:val="231F20"/>
          <w:spacing w:val="-3"/>
        </w:rPr>
        <w:t>tiene </w:t>
      </w:r>
      <w:r>
        <w:rPr>
          <w:color w:val="231F20"/>
        </w:rPr>
        <w:t>un </w:t>
      </w:r>
      <w:r>
        <w:rPr>
          <w:color w:val="231F20"/>
          <w:spacing w:val="-3"/>
        </w:rPr>
        <w:t>total </w:t>
      </w:r>
      <w:r>
        <w:rPr>
          <w:color w:val="231F20"/>
        </w:rPr>
        <w:t>de 246 </w:t>
      </w:r>
      <w:r>
        <w:rPr>
          <w:color w:val="231F20"/>
          <w:spacing w:val="-3"/>
        </w:rPr>
        <w:t>respuestas </w:t>
      </w:r>
      <w:r>
        <w:rPr>
          <w:color w:val="231F20"/>
        </w:rPr>
        <w:t>de un </w:t>
      </w:r>
      <w:r>
        <w:rPr>
          <w:color w:val="231F20"/>
          <w:spacing w:val="-3"/>
        </w:rPr>
        <w:t>total</w:t>
      </w:r>
      <w:r>
        <w:rPr>
          <w:color w:val="231F20"/>
          <w:spacing w:val="-8"/>
        </w:rPr>
        <w:t> </w:t>
      </w:r>
      <w:r>
        <w:rPr>
          <w:color w:val="231F20"/>
        </w:rPr>
        <w:t>de</w:t>
      </w:r>
      <w:r>
        <w:rPr>
          <w:color w:val="231F20"/>
          <w:spacing w:val="-8"/>
        </w:rPr>
        <w:t> </w:t>
      </w:r>
      <w:r>
        <w:rPr>
          <w:color w:val="231F20"/>
        </w:rPr>
        <w:t>706</w:t>
      </w:r>
      <w:r>
        <w:rPr>
          <w:color w:val="231F20"/>
          <w:spacing w:val="-7"/>
        </w:rPr>
        <w:t> </w:t>
      </w:r>
      <w:r>
        <w:rPr>
          <w:color w:val="231F20"/>
        </w:rPr>
        <w:t>que</w:t>
      </w:r>
      <w:r>
        <w:rPr>
          <w:color w:val="231F20"/>
          <w:spacing w:val="-8"/>
        </w:rPr>
        <w:t> </w:t>
      </w:r>
      <w:r>
        <w:rPr>
          <w:color w:val="231F20"/>
        </w:rPr>
        <w:t>se</w:t>
      </w:r>
      <w:r>
        <w:rPr>
          <w:color w:val="231F20"/>
          <w:spacing w:val="-8"/>
        </w:rPr>
        <w:t> </w:t>
      </w:r>
      <w:r>
        <w:rPr>
          <w:color w:val="231F20"/>
          <w:spacing w:val="-3"/>
        </w:rPr>
        <w:t>distribuyen</w:t>
      </w:r>
      <w:r>
        <w:rPr>
          <w:color w:val="231F20"/>
          <w:spacing w:val="-7"/>
        </w:rPr>
        <w:t> </w:t>
      </w:r>
      <w:r>
        <w:rPr>
          <w:color w:val="231F20"/>
        </w:rPr>
        <w:t>en</w:t>
      </w:r>
      <w:r>
        <w:rPr>
          <w:color w:val="231F20"/>
          <w:spacing w:val="-7"/>
        </w:rPr>
        <w:t> </w:t>
      </w:r>
      <w:r>
        <w:rPr>
          <w:color w:val="231F20"/>
          <w:spacing w:val="-2"/>
        </w:rPr>
        <w:t>los</w:t>
      </w:r>
      <w:r>
        <w:rPr>
          <w:color w:val="231F20"/>
          <w:spacing w:val="-8"/>
        </w:rPr>
        <w:t> </w:t>
      </w:r>
      <w:r>
        <w:rPr>
          <w:color w:val="231F20"/>
        </w:rPr>
        <w:t>otros</w:t>
      </w:r>
      <w:r>
        <w:rPr>
          <w:color w:val="231F20"/>
          <w:spacing w:val="-8"/>
        </w:rPr>
        <w:t> </w:t>
      </w:r>
      <w:r>
        <w:rPr>
          <w:color w:val="231F20"/>
          <w:spacing w:val="-3"/>
        </w:rPr>
        <w:t>incisos.</w:t>
      </w:r>
      <w:r>
        <w:rPr>
          <w:color w:val="231F20"/>
          <w:spacing w:val="-8"/>
        </w:rPr>
        <w:t> </w:t>
      </w:r>
      <w:r>
        <w:rPr>
          <w:color w:val="231F20"/>
          <w:spacing w:val="-3"/>
        </w:rPr>
        <w:t>“Carrera”</w:t>
      </w:r>
      <w:r>
        <w:rPr>
          <w:color w:val="231F20"/>
          <w:spacing w:val="-7"/>
        </w:rPr>
        <w:t> </w:t>
      </w:r>
      <w:r>
        <w:rPr>
          <w:color w:val="231F20"/>
        </w:rPr>
        <w:t>se</w:t>
      </w:r>
      <w:r>
        <w:rPr>
          <w:color w:val="231F20"/>
          <w:spacing w:val="-8"/>
        </w:rPr>
        <w:t> </w:t>
      </w:r>
      <w:r>
        <w:rPr>
          <w:color w:val="231F20"/>
          <w:spacing w:val="-3"/>
        </w:rPr>
        <w:t>refiere </w:t>
      </w:r>
      <w:r>
        <w:rPr>
          <w:color w:val="231F20"/>
        </w:rPr>
        <w:t>a </w:t>
      </w:r>
      <w:r>
        <w:rPr>
          <w:color w:val="231F20"/>
          <w:spacing w:val="-2"/>
        </w:rPr>
        <w:t>los </w:t>
      </w:r>
      <w:r>
        <w:rPr>
          <w:color w:val="231F20"/>
        </w:rPr>
        <w:t>que no </w:t>
      </w:r>
      <w:r>
        <w:rPr>
          <w:color w:val="231F20"/>
          <w:spacing w:val="-3"/>
        </w:rPr>
        <w:t>respondieron </w:t>
      </w:r>
      <w:r>
        <w:rPr>
          <w:color w:val="231F20"/>
        </w:rPr>
        <w:t>qué </w:t>
      </w:r>
      <w:r>
        <w:rPr>
          <w:color w:val="231F20"/>
          <w:spacing w:val="-3"/>
        </w:rPr>
        <w:t>carrera</w:t>
      </w:r>
      <w:r>
        <w:rPr>
          <w:color w:val="231F20"/>
          <w:spacing w:val="-36"/>
        </w:rPr>
        <w:t> </w:t>
      </w:r>
      <w:r>
        <w:rPr>
          <w:color w:val="231F20"/>
          <w:spacing w:val="-3"/>
        </w:rPr>
        <w:t>cursan.</w:t>
      </w:r>
    </w:p>
    <w:p>
      <w:pPr>
        <w:spacing w:after="0" w:line="249" w:lineRule="auto"/>
        <w:jc w:val="both"/>
        <w:sectPr>
          <w:headerReference w:type="default" r:id="rId855"/>
          <w:footerReference w:type="default" r:id="rId856"/>
          <w:pgSz w:w="7830" w:h="11910"/>
          <w:pgMar w:header="0" w:footer="424" w:top="500" w:bottom="620" w:left="920" w:right="900"/>
          <w:pgNumType w:start="386"/>
        </w:sectPr>
      </w:pPr>
    </w:p>
    <w:p>
      <w:pPr>
        <w:spacing w:before="46"/>
        <w:ind w:left="1483" w:right="17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8"/>
        <w:rPr>
          <w:sz w:val="22"/>
        </w:rPr>
      </w:pPr>
    </w:p>
    <w:p>
      <w:pPr>
        <w:spacing w:line="247" w:lineRule="auto" w:before="0"/>
        <w:ind w:left="588" w:right="171" w:firstLine="465"/>
        <w:jc w:val="left"/>
        <w:rPr>
          <w:b/>
          <w:sz w:val="19"/>
        </w:rPr>
      </w:pPr>
      <w:r>
        <w:rPr>
          <w:b/>
          <w:color w:val="231F20"/>
          <w:w w:val="105"/>
          <w:sz w:val="19"/>
        </w:rPr>
        <w:t>Cuadro 1. Qué tipo de violencia has sufrido tú: agresion psicológica (insultos, intimidación, presión, etc.)</w:t>
      </w:r>
    </w:p>
    <w:p>
      <w:pPr>
        <w:pStyle w:val="BodyText"/>
        <w:spacing w:before="6" w:after="1"/>
        <w:rPr>
          <w:b/>
          <w:sz w:val="22"/>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843"/>
        <w:gridCol w:w="1752"/>
        <w:gridCol w:w="1368"/>
        <w:gridCol w:w="701"/>
      </w:tblGrid>
      <w:tr>
        <w:trPr>
          <w:trHeight w:val="552" w:hRule="exact"/>
        </w:trPr>
        <w:tc>
          <w:tcPr>
            <w:tcW w:w="1843" w:type="dxa"/>
            <w:vMerge w:val="restart"/>
          </w:tcPr>
          <w:p>
            <w:pPr/>
          </w:p>
        </w:tc>
        <w:tc>
          <w:tcPr>
            <w:tcW w:w="3120" w:type="dxa"/>
            <w:gridSpan w:val="2"/>
          </w:tcPr>
          <w:p>
            <w:pPr>
              <w:pStyle w:val="TableParagraph"/>
              <w:spacing w:line="168" w:lineRule="exact"/>
              <w:ind w:left="193" w:right="196"/>
              <w:jc w:val="center"/>
              <w:rPr>
                <w:b/>
                <w:sz w:val="16"/>
              </w:rPr>
            </w:pPr>
            <w:r>
              <w:rPr>
                <w:b/>
                <w:color w:val="231F20"/>
                <w:sz w:val="16"/>
              </w:rPr>
              <w:t>Qué tipo de violencia has sufrido tú:</w:t>
            </w:r>
          </w:p>
          <w:p>
            <w:pPr>
              <w:pStyle w:val="TableParagraph"/>
              <w:spacing w:line="178" w:lineRule="exact" w:before="6"/>
              <w:ind w:left="193" w:right="196"/>
              <w:jc w:val="center"/>
              <w:rPr>
                <w:b/>
                <w:sz w:val="16"/>
              </w:rPr>
            </w:pPr>
            <w:r>
              <w:rPr>
                <w:b/>
                <w:color w:val="231F20"/>
                <w:sz w:val="16"/>
              </w:rPr>
              <w:t>agresion psicológica (insultos, intimida- ción, presión, etc.) 1s,2n</w:t>
            </w:r>
          </w:p>
        </w:tc>
        <w:tc>
          <w:tcPr>
            <w:tcW w:w="701" w:type="dxa"/>
            <w:vMerge w:val="restart"/>
          </w:tcPr>
          <w:p>
            <w:pPr>
              <w:pStyle w:val="TableParagraph"/>
              <w:ind w:left="0"/>
              <w:rPr>
                <w:b/>
                <w:sz w:val="16"/>
              </w:rPr>
            </w:pPr>
          </w:p>
          <w:p>
            <w:pPr>
              <w:pStyle w:val="TableParagraph"/>
              <w:ind w:left="0"/>
              <w:rPr>
                <w:b/>
                <w:sz w:val="14"/>
              </w:rPr>
            </w:pPr>
          </w:p>
          <w:p>
            <w:pPr>
              <w:pStyle w:val="TableParagraph"/>
              <w:spacing w:line="331" w:lineRule="auto"/>
              <w:ind w:left="280" w:right="162" w:hanging="118"/>
              <w:rPr>
                <w:b/>
                <w:sz w:val="16"/>
              </w:rPr>
            </w:pPr>
            <w:r>
              <w:rPr>
                <w:b/>
                <w:color w:val="231F20"/>
                <w:w w:val="95"/>
                <w:sz w:val="16"/>
              </w:rPr>
              <w:t>Total </w:t>
            </w:r>
            <w:r>
              <w:rPr>
                <w:b/>
                <w:color w:val="231F20"/>
                <w:sz w:val="16"/>
              </w:rPr>
              <w:t>Sí</w:t>
            </w:r>
          </w:p>
        </w:tc>
      </w:tr>
      <w:tr>
        <w:trPr>
          <w:trHeight w:val="317" w:hRule="exact"/>
        </w:trPr>
        <w:tc>
          <w:tcPr>
            <w:tcW w:w="1843" w:type="dxa"/>
            <w:vMerge/>
          </w:tcPr>
          <w:p>
            <w:pPr/>
          </w:p>
        </w:tc>
        <w:tc>
          <w:tcPr>
            <w:tcW w:w="1752" w:type="dxa"/>
          </w:tcPr>
          <w:p>
            <w:pPr>
              <w:pStyle w:val="TableParagraph"/>
              <w:spacing w:before="47"/>
              <w:ind w:left="730" w:right="732"/>
              <w:jc w:val="center"/>
              <w:rPr>
                <w:b/>
                <w:sz w:val="16"/>
              </w:rPr>
            </w:pPr>
            <w:r>
              <w:rPr>
                <w:b/>
                <w:color w:val="231F20"/>
                <w:sz w:val="16"/>
              </w:rPr>
              <w:t>Sí</w:t>
            </w:r>
          </w:p>
        </w:tc>
        <w:tc>
          <w:tcPr>
            <w:tcW w:w="1368" w:type="dxa"/>
          </w:tcPr>
          <w:p>
            <w:pPr>
              <w:pStyle w:val="TableParagraph"/>
              <w:spacing w:before="47"/>
              <w:ind w:left="550" w:right="553"/>
              <w:jc w:val="center"/>
              <w:rPr>
                <w:b/>
                <w:sz w:val="16"/>
              </w:rPr>
            </w:pPr>
            <w:r>
              <w:rPr>
                <w:b/>
                <w:color w:val="231F20"/>
                <w:w w:val="110"/>
                <w:sz w:val="16"/>
              </w:rPr>
              <w:t>No</w:t>
            </w:r>
          </w:p>
        </w:tc>
        <w:tc>
          <w:tcPr>
            <w:tcW w:w="701" w:type="dxa"/>
            <w:vMerge/>
          </w:tcPr>
          <w:p>
            <w:pPr/>
          </w:p>
        </w:tc>
      </w:tr>
      <w:tr>
        <w:trPr>
          <w:trHeight w:val="349" w:hRule="exact"/>
        </w:trPr>
        <w:tc>
          <w:tcPr>
            <w:tcW w:w="1843" w:type="dxa"/>
            <w:tcBorders>
              <w:bottom w:val="nil"/>
            </w:tcBorders>
          </w:tcPr>
          <w:p>
            <w:pPr>
              <w:pStyle w:val="TableParagraph"/>
              <w:spacing w:before="114"/>
              <w:ind w:left="86" w:right="30"/>
              <w:rPr>
                <w:sz w:val="16"/>
              </w:rPr>
            </w:pPr>
            <w:r>
              <w:rPr>
                <w:color w:val="231F20"/>
                <w:sz w:val="16"/>
              </w:rPr>
              <w:t>Carrera</w:t>
            </w:r>
          </w:p>
        </w:tc>
        <w:tc>
          <w:tcPr>
            <w:tcW w:w="1752" w:type="dxa"/>
            <w:tcBorders>
              <w:bottom w:val="nil"/>
            </w:tcBorders>
          </w:tcPr>
          <w:p>
            <w:pPr>
              <w:pStyle w:val="TableParagraph"/>
              <w:spacing w:before="52"/>
              <w:ind w:left="730" w:right="732"/>
              <w:jc w:val="center"/>
              <w:rPr>
                <w:sz w:val="16"/>
              </w:rPr>
            </w:pPr>
            <w:r>
              <w:rPr>
                <w:color w:val="231F20"/>
                <w:sz w:val="16"/>
              </w:rPr>
              <w:t>11</w:t>
            </w:r>
          </w:p>
        </w:tc>
        <w:tc>
          <w:tcPr>
            <w:tcW w:w="1368" w:type="dxa"/>
            <w:tcBorders>
              <w:bottom w:val="nil"/>
            </w:tcBorders>
          </w:tcPr>
          <w:p>
            <w:pPr>
              <w:pStyle w:val="TableParagraph"/>
              <w:spacing w:before="52"/>
              <w:ind w:left="0" w:right="3"/>
              <w:jc w:val="center"/>
              <w:rPr>
                <w:sz w:val="16"/>
              </w:rPr>
            </w:pPr>
            <w:r>
              <w:rPr>
                <w:color w:val="231F20"/>
                <w:w w:val="92"/>
                <w:sz w:val="16"/>
              </w:rPr>
              <w:t>0</w:t>
            </w:r>
          </w:p>
        </w:tc>
        <w:tc>
          <w:tcPr>
            <w:tcW w:w="701" w:type="dxa"/>
            <w:tcBorders>
              <w:bottom w:val="nil"/>
            </w:tcBorders>
          </w:tcPr>
          <w:p>
            <w:pPr>
              <w:pStyle w:val="TableParagraph"/>
              <w:spacing w:before="52"/>
              <w:ind w:left="268" w:right="162"/>
              <w:rPr>
                <w:sz w:val="16"/>
              </w:rPr>
            </w:pPr>
            <w:r>
              <w:rPr>
                <w:color w:val="231F20"/>
                <w:sz w:val="16"/>
              </w:rPr>
              <w:t>11</w:t>
            </w:r>
          </w:p>
        </w:tc>
      </w:tr>
      <w:tr>
        <w:trPr>
          <w:trHeight w:val="312" w:hRule="exact"/>
        </w:trPr>
        <w:tc>
          <w:tcPr>
            <w:tcW w:w="1843" w:type="dxa"/>
            <w:tcBorders>
              <w:top w:val="nil"/>
              <w:bottom w:val="nil"/>
            </w:tcBorders>
          </w:tcPr>
          <w:p>
            <w:pPr>
              <w:pStyle w:val="TableParagraph"/>
              <w:spacing w:before="82"/>
              <w:ind w:left="86" w:right="30"/>
              <w:rPr>
                <w:sz w:val="16"/>
              </w:rPr>
            </w:pPr>
            <w:r>
              <w:rPr>
                <w:color w:val="231F20"/>
                <w:sz w:val="16"/>
              </w:rPr>
              <w:t>Administración</w:t>
            </w:r>
          </w:p>
        </w:tc>
        <w:tc>
          <w:tcPr>
            <w:tcW w:w="1752" w:type="dxa"/>
            <w:tcBorders>
              <w:top w:val="nil"/>
              <w:bottom w:val="nil"/>
            </w:tcBorders>
          </w:tcPr>
          <w:p>
            <w:pPr>
              <w:pStyle w:val="TableParagraph"/>
              <w:spacing w:before="15"/>
              <w:ind w:left="0" w:right="2"/>
              <w:jc w:val="center"/>
              <w:rPr>
                <w:sz w:val="16"/>
              </w:rPr>
            </w:pPr>
            <w:r>
              <w:rPr>
                <w:color w:val="231F20"/>
                <w:w w:val="92"/>
                <w:sz w:val="16"/>
              </w:rPr>
              <w:t>8</w:t>
            </w:r>
          </w:p>
        </w:tc>
        <w:tc>
          <w:tcPr>
            <w:tcW w:w="1368" w:type="dxa"/>
            <w:tcBorders>
              <w:top w:val="nil"/>
              <w:bottom w:val="nil"/>
            </w:tcBorders>
          </w:tcPr>
          <w:p>
            <w:pPr>
              <w:pStyle w:val="TableParagraph"/>
              <w:spacing w:before="15"/>
              <w:ind w:left="0" w:right="3"/>
              <w:jc w:val="center"/>
              <w:rPr>
                <w:sz w:val="16"/>
              </w:rPr>
            </w:pPr>
            <w:r>
              <w:rPr>
                <w:color w:val="231F20"/>
                <w:w w:val="92"/>
                <w:sz w:val="16"/>
              </w:rPr>
              <w:t>0</w:t>
            </w:r>
          </w:p>
        </w:tc>
        <w:tc>
          <w:tcPr>
            <w:tcW w:w="701" w:type="dxa"/>
            <w:tcBorders>
              <w:top w:val="nil"/>
              <w:bottom w:val="nil"/>
            </w:tcBorders>
          </w:tcPr>
          <w:p>
            <w:pPr>
              <w:pStyle w:val="TableParagraph"/>
              <w:spacing w:before="15"/>
              <w:ind w:left="305"/>
              <w:rPr>
                <w:sz w:val="16"/>
              </w:rPr>
            </w:pPr>
            <w:r>
              <w:rPr>
                <w:color w:val="231F20"/>
                <w:w w:val="92"/>
                <w:sz w:val="16"/>
              </w:rPr>
              <w:t>8</w:t>
            </w:r>
          </w:p>
        </w:tc>
      </w:tr>
      <w:tr>
        <w:trPr>
          <w:trHeight w:val="312" w:hRule="exact"/>
        </w:trPr>
        <w:tc>
          <w:tcPr>
            <w:tcW w:w="1843" w:type="dxa"/>
            <w:tcBorders>
              <w:top w:val="nil"/>
              <w:bottom w:val="nil"/>
            </w:tcBorders>
          </w:tcPr>
          <w:p>
            <w:pPr>
              <w:pStyle w:val="TableParagraph"/>
              <w:spacing w:before="82"/>
              <w:ind w:left="86" w:right="30"/>
              <w:rPr>
                <w:sz w:val="16"/>
              </w:rPr>
            </w:pPr>
            <w:r>
              <w:rPr>
                <w:color w:val="231F20"/>
                <w:sz w:val="16"/>
              </w:rPr>
              <w:t>Arquitectura</w:t>
            </w:r>
          </w:p>
        </w:tc>
        <w:tc>
          <w:tcPr>
            <w:tcW w:w="1752" w:type="dxa"/>
            <w:tcBorders>
              <w:top w:val="nil"/>
              <w:bottom w:val="nil"/>
            </w:tcBorders>
          </w:tcPr>
          <w:p>
            <w:pPr>
              <w:pStyle w:val="TableParagraph"/>
              <w:spacing w:before="15"/>
              <w:ind w:left="730" w:right="732"/>
              <w:jc w:val="center"/>
              <w:rPr>
                <w:sz w:val="16"/>
              </w:rPr>
            </w:pPr>
            <w:r>
              <w:rPr>
                <w:color w:val="231F20"/>
                <w:sz w:val="16"/>
              </w:rPr>
              <w:t>32</w:t>
            </w:r>
          </w:p>
        </w:tc>
        <w:tc>
          <w:tcPr>
            <w:tcW w:w="1368" w:type="dxa"/>
            <w:tcBorders>
              <w:top w:val="nil"/>
              <w:bottom w:val="nil"/>
            </w:tcBorders>
          </w:tcPr>
          <w:p>
            <w:pPr>
              <w:pStyle w:val="TableParagraph"/>
              <w:spacing w:before="15"/>
              <w:ind w:left="0" w:right="3"/>
              <w:jc w:val="center"/>
              <w:rPr>
                <w:sz w:val="16"/>
              </w:rPr>
            </w:pPr>
            <w:r>
              <w:rPr>
                <w:color w:val="231F20"/>
                <w:w w:val="92"/>
                <w:sz w:val="16"/>
              </w:rPr>
              <w:t>0</w:t>
            </w:r>
          </w:p>
        </w:tc>
        <w:tc>
          <w:tcPr>
            <w:tcW w:w="701" w:type="dxa"/>
            <w:tcBorders>
              <w:top w:val="nil"/>
              <w:bottom w:val="nil"/>
            </w:tcBorders>
          </w:tcPr>
          <w:p>
            <w:pPr>
              <w:pStyle w:val="TableParagraph"/>
              <w:spacing w:before="15"/>
              <w:ind w:left="268" w:right="162"/>
              <w:rPr>
                <w:sz w:val="16"/>
              </w:rPr>
            </w:pPr>
            <w:r>
              <w:rPr>
                <w:color w:val="231F20"/>
                <w:sz w:val="16"/>
              </w:rPr>
              <w:t>32</w:t>
            </w:r>
          </w:p>
        </w:tc>
      </w:tr>
      <w:tr>
        <w:trPr>
          <w:trHeight w:val="307" w:hRule="exact"/>
        </w:trPr>
        <w:tc>
          <w:tcPr>
            <w:tcW w:w="1843" w:type="dxa"/>
            <w:tcBorders>
              <w:top w:val="nil"/>
              <w:bottom w:val="nil"/>
            </w:tcBorders>
          </w:tcPr>
          <w:p>
            <w:pPr>
              <w:pStyle w:val="TableParagraph"/>
              <w:spacing w:before="77"/>
              <w:ind w:left="86" w:right="30"/>
              <w:rPr>
                <w:sz w:val="16"/>
              </w:rPr>
            </w:pPr>
            <w:r>
              <w:rPr>
                <w:color w:val="231F20"/>
                <w:sz w:val="16"/>
              </w:rPr>
              <w:t>Biología</w:t>
            </w:r>
          </w:p>
        </w:tc>
        <w:tc>
          <w:tcPr>
            <w:tcW w:w="1752" w:type="dxa"/>
            <w:tcBorders>
              <w:top w:val="nil"/>
              <w:bottom w:val="nil"/>
            </w:tcBorders>
          </w:tcPr>
          <w:p>
            <w:pPr>
              <w:pStyle w:val="TableParagraph"/>
              <w:spacing w:before="15"/>
              <w:ind w:left="730" w:right="732"/>
              <w:jc w:val="center"/>
              <w:rPr>
                <w:sz w:val="16"/>
              </w:rPr>
            </w:pPr>
            <w:r>
              <w:rPr>
                <w:color w:val="231F20"/>
                <w:sz w:val="16"/>
              </w:rPr>
              <w:t>13</w:t>
            </w:r>
          </w:p>
        </w:tc>
        <w:tc>
          <w:tcPr>
            <w:tcW w:w="1368" w:type="dxa"/>
            <w:tcBorders>
              <w:top w:val="nil"/>
              <w:bottom w:val="nil"/>
            </w:tcBorders>
          </w:tcPr>
          <w:p>
            <w:pPr>
              <w:pStyle w:val="TableParagraph"/>
              <w:spacing w:before="15"/>
              <w:ind w:left="0" w:right="3"/>
              <w:jc w:val="center"/>
              <w:rPr>
                <w:sz w:val="16"/>
              </w:rPr>
            </w:pPr>
            <w:r>
              <w:rPr>
                <w:color w:val="231F20"/>
                <w:w w:val="92"/>
                <w:sz w:val="16"/>
              </w:rPr>
              <w:t>0</w:t>
            </w:r>
          </w:p>
        </w:tc>
        <w:tc>
          <w:tcPr>
            <w:tcW w:w="701" w:type="dxa"/>
            <w:tcBorders>
              <w:top w:val="nil"/>
              <w:bottom w:val="nil"/>
            </w:tcBorders>
          </w:tcPr>
          <w:p>
            <w:pPr>
              <w:pStyle w:val="TableParagraph"/>
              <w:spacing w:before="15"/>
              <w:ind w:left="268" w:right="162"/>
              <w:rPr>
                <w:sz w:val="16"/>
              </w:rPr>
            </w:pPr>
            <w:r>
              <w:rPr>
                <w:color w:val="231F20"/>
                <w:sz w:val="16"/>
              </w:rPr>
              <w:t>13</w:t>
            </w:r>
          </w:p>
        </w:tc>
      </w:tr>
      <w:tr>
        <w:trPr>
          <w:trHeight w:val="312" w:hRule="exact"/>
        </w:trPr>
        <w:tc>
          <w:tcPr>
            <w:tcW w:w="1843" w:type="dxa"/>
            <w:tcBorders>
              <w:top w:val="nil"/>
              <w:bottom w:val="nil"/>
            </w:tcBorders>
          </w:tcPr>
          <w:p>
            <w:pPr>
              <w:pStyle w:val="TableParagraph"/>
              <w:spacing w:before="82"/>
              <w:ind w:left="86" w:right="30"/>
              <w:rPr>
                <w:sz w:val="16"/>
              </w:rPr>
            </w:pPr>
            <w:r>
              <w:rPr>
                <w:color w:val="231F20"/>
                <w:w w:val="95"/>
                <w:sz w:val="16"/>
              </w:rPr>
              <w:t>Ciencias de la Educación</w:t>
            </w:r>
          </w:p>
        </w:tc>
        <w:tc>
          <w:tcPr>
            <w:tcW w:w="1752" w:type="dxa"/>
            <w:tcBorders>
              <w:top w:val="nil"/>
              <w:bottom w:val="nil"/>
            </w:tcBorders>
          </w:tcPr>
          <w:p>
            <w:pPr>
              <w:pStyle w:val="TableParagraph"/>
              <w:spacing w:before="15"/>
              <w:ind w:left="730" w:right="732"/>
              <w:jc w:val="center"/>
              <w:rPr>
                <w:sz w:val="16"/>
              </w:rPr>
            </w:pPr>
            <w:r>
              <w:rPr>
                <w:color w:val="231F20"/>
                <w:sz w:val="16"/>
              </w:rPr>
              <w:t>15</w:t>
            </w:r>
          </w:p>
        </w:tc>
        <w:tc>
          <w:tcPr>
            <w:tcW w:w="1368" w:type="dxa"/>
            <w:tcBorders>
              <w:top w:val="nil"/>
              <w:bottom w:val="nil"/>
            </w:tcBorders>
          </w:tcPr>
          <w:p>
            <w:pPr>
              <w:pStyle w:val="TableParagraph"/>
              <w:spacing w:before="15"/>
              <w:ind w:left="0" w:right="3"/>
              <w:jc w:val="center"/>
              <w:rPr>
                <w:sz w:val="16"/>
              </w:rPr>
            </w:pPr>
            <w:r>
              <w:rPr>
                <w:color w:val="231F20"/>
                <w:w w:val="92"/>
                <w:sz w:val="16"/>
              </w:rPr>
              <w:t>0</w:t>
            </w:r>
          </w:p>
        </w:tc>
        <w:tc>
          <w:tcPr>
            <w:tcW w:w="701" w:type="dxa"/>
            <w:tcBorders>
              <w:top w:val="nil"/>
              <w:bottom w:val="nil"/>
            </w:tcBorders>
          </w:tcPr>
          <w:p>
            <w:pPr>
              <w:pStyle w:val="TableParagraph"/>
              <w:spacing w:before="15"/>
              <w:ind w:left="268" w:right="162"/>
              <w:rPr>
                <w:sz w:val="16"/>
              </w:rPr>
            </w:pPr>
            <w:r>
              <w:rPr>
                <w:color w:val="231F20"/>
                <w:sz w:val="16"/>
              </w:rPr>
              <w:t>15</w:t>
            </w:r>
          </w:p>
        </w:tc>
      </w:tr>
      <w:tr>
        <w:trPr>
          <w:trHeight w:val="307" w:hRule="exact"/>
        </w:trPr>
        <w:tc>
          <w:tcPr>
            <w:tcW w:w="1843" w:type="dxa"/>
            <w:tcBorders>
              <w:top w:val="nil"/>
              <w:bottom w:val="nil"/>
            </w:tcBorders>
          </w:tcPr>
          <w:p>
            <w:pPr>
              <w:pStyle w:val="TableParagraph"/>
              <w:spacing w:before="77"/>
              <w:ind w:left="86" w:right="30"/>
              <w:rPr>
                <w:sz w:val="16"/>
              </w:rPr>
            </w:pPr>
            <w:r>
              <w:rPr>
                <w:color w:val="231F20"/>
                <w:w w:val="95"/>
                <w:sz w:val="16"/>
              </w:rPr>
              <w:t>Cirujano dentista</w:t>
            </w:r>
          </w:p>
        </w:tc>
        <w:tc>
          <w:tcPr>
            <w:tcW w:w="1752" w:type="dxa"/>
            <w:tcBorders>
              <w:top w:val="nil"/>
              <w:bottom w:val="nil"/>
            </w:tcBorders>
          </w:tcPr>
          <w:p>
            <w:pPr>
              <w:pStyle w:val="TableParagraph"/>
              <w:spacing w:before="15"/>
              <w:ind w:left="730" w:right="732"/>
              <w:jc w:val="center"/>
              <w:rPr>
                <w:sz w:val="16"/>
              </w:rPr>
            </w:pPr>
            <w:r>
              <w:rPr>
                <w:color w:val="231F20"/>
                <w:sz w:val="16"/>
              </w:rPr>
              <w:t>14</w:t>
            </w:r>
          </w:p>
        </w:tc>
        <w:tc>
          <w:tcPr>
            <w:tcW w:w="1368" w:type="dxa"/>
            <w:tcBorders>
              <w:top w:val="nil"/>
              <w:bottom w:val="nil"/>
            </w:tcBorders>
          </w:tcPr>
          <w:p>
            <w:pPr>
              <w:pStyle w:val="TableParagraph"/>
              <w:spacing w:before="15"/>
              <w:ind w:left="0" w:right="3"/>
              <w:jc w:val="center"/>
              <w:rPr>
                <w:sz w:val="16"/>
              </w:rPr>
            </w:pPr>
            <w:r>
              <w:rPr>
                <w:color w:val="231F20"/>
                <w:w w:val="92"/>
                <w:sz w:val="16"/>
              </w:rPr>
              <w:t>2</w:t>
            </w:r>
          </w:p>
        </w:tc>
        <w:tc>
          <w:tcPr>
            <w:tcW w:w="701" w:type="dxa"/>
            <w:tcBorders>
              <w:top w:val="nil"/>
              <w:bottom w:val="nil"/>
            </w:tcBorders>
          </w:tcPr>
          <w:p>
            <w:pPr>
              <w:pStyle w:val="TableParagraph"/>
              <w:spacing w:before="15"/>
              <w:ind w:left="268" w:right="162"/>
              <w:rPr>
                <w:sz w:val="16"/>
              </w:rPr>
            </w:pPr>
            <w:r>
              <w:rPr>
                <w:color w:val="231F20"/>
                <w:sz w:val="16"/>
              </w:rPr>
              <w:t>16</w:t>
            </w:r>
          </w:p>
        </w:tc>
      </w:tr>
      <w:tr>
        <w:trPr>
          <w:trHeight w:val="312" w:hRule="exact"/>
        </w:trPr>
        <w:tc>
          <w:tcPr>
            <w:tcW w:w="1843" w:type="dxa"/>
            <w:tcBorders>
              <w:top w:val="nil"/>
              <w:bottom w:val="nil"/>
            </w:tcBorders>
          </w:tcPr>
          <w:p>
            <w:pPr>
              <w:pStyle w:val="TableParagraph"/>
              <w:spacing w:before="82"/>
              <w:ind w:left="86" w:right="30"/>
              <w:rPr>
                <w:sz w:val="16"/>
              </w:rPr>
            </w:pPr>
            <w:r>
              <w:rPr>
                <w:color w:val="231F20"/>
                <w:sz w:val="16"/>
              </w:rPr>
              <w:t>Computación</w:t>
            </w:r>
          </w:p>
        </w:tc>
        <w:tc>
          <w:tcPr>
            <w:tcW w:w="1752" w:type="dxa"/>
            <w:tcBorders>
              <w:top w:val="nil"/>
              <w:bottom w:val="nil"/>
            </w:tcBorders>
          </w:tcPr>
          <w:p>
            <w:pPr>
              <w:pStyle w:val="TableParagraph"/>
              <w:spacing w:before="15"/>
              <w:ind w:left="0" w:right="2"/>
              <w:jc w:val="center"/>
              <w:rPr>
                <w:sz w:val="16"/>
              </w:rPr>
            </w:pPr>
            <w:r>
              <w:rPr>
                <w:color w:val="231F20"/>
                <w:w w:val="92"/>
                <w:sz w:val="16"/>
              </w:rPr>
              <w:t>2</w:t>
            </w:r>
          </w:p>
        </w:tc>
        <w:tc>
          <w:tcPr>
            <w:tcW w:w="1368" w:type="dxa"/>
            <w:tcBorders>
              <w:top w:val="nil"/>
              <w:bottom w:val="nil"/>
            </w:tcBorders>
          </w:tcPr>
          <w:p>
            <w:pPr>
              <w:pStyle w:val="TableParagraph"/>
              <w:spacing w:before="15"/>
              <w:ind w:left="0" w:right="3"/>
              <w:jc w:val="center"/>
              <w:rPr>
                <w:sz w:val="16"/>
              </w:rPr>
            </w:pPr>
            <w:r>
              <w:rPr>
                <w:color w:val="231F20"/>
                <w:w w:val="92"/>
                <w:sz w:val="16"/>
              </w:rPr>
              <w:t>0</w:t>
            </w:r>
          </w:p>
        </w:tc>
        <w:tc>
          <w:tcPr>
            <w:tcW w:w="701" w:type="dxa"/>
            <w:tcBorders>
              <w:top w:val="nil"/>
              <w:bottom w:val="nil"/>
            </w:tcBorders>
          </w:tcPr>
          <w:p>
            <w:pPr>
              <w:pStyle w:val="TableParagraph"/>
              <w:spacing w:before="15"/>
              <w:ind w:left="305"/>
              <w:rPr>
                <w:sz w:val="16"/>
              </w:rPr>
            </w:pPr>
            <w:r>
              <w:rPr>
                <w:color w:val="231F20"/>
                <w:w w:val="92"/>
                <w:sz w:val="16"/>
              </w:rPr>
              <w:t>2</w:t>
            </w:r>
          </w:p>
        </w:tc>
      </w:tr>
      <w:tr>
        <w:trPr>
          <w:trHeight w:val="310" w:hRule="exact"/>
        </w:trPr>
        <w:tc>
          <w:tcPr>
            <w:tcW w:w="1843" w:type="dxa"/>
            <w:tcBorders>
              <w:top w:val="nil"/>
              <w:bottom w:val="nil"/>
            </w:tcBorders>
          </w:tcPr>
          <w:p>
            <w:pPr>
              <w:pStyle w:val="TableParagraph"/>
              <w:spacing w:before="77"/>
              <w:ind w:left="86" w:right="30"/>
              <w:rPr>
                <w:sz w:val="16"/>
              </w:rPr>
            </w:pPr>
            <w:r>
              <w:rPr>
                <w:color w:val="231F20"/>
                <w:w w:val="95"/>
                <w:sz w:val="16"/>
              </w:rPr>
              <w:t>Contaduría Pública</w:t>
            </w:r>
          </w:p>
        </w:tc>
        <w:tc>
          <w:tcPr>
            <w:tcW w:w="1752" w:type="dxa"/>
            <w:tcBorders>
              <w:top w:val="nil"/>
              <w:bottom w:val="nil"/>
            </w:tcBorders>
          </w:tcPr>
          <w:p>
            <w:pPr>
              <w:pStyle w:val="TableParagraph"/>
              <w:spacing w:before="15"/>
              <w:ind w:left="730" w:right="732"/>
              <w:jc w:val="center"/>
              <w:rPr>
                <w:sz w:val="16"/>
              </w:rPr>
            </w:pPr>
            <w:r>
              <w:rPr>
                <w:color w:val="231F20"/>
                <w:sz w:val="16"/>
              </w:rPr>
              <w:t>19</w:t>
            </w:r>
          </w:p>
        </w:tc>
        <w:tc>
          <w:tcPr>
            <w:tcW w:w="1368" w:type="dxa"/>
            <w:tcBorders>
              <w:top w:val="nil"/>
              <w:bottom w:val="nil"/>
            </w:tcBorders>
          </w:tcPr>
          <w:p>
            <w:pPr>
              <w:pStyle w:val="TableParagraph"/>
              <w:spacing w:before="15"/>
              <w:ind w:left="0" w:right="3"/>
              <w:jc w:val="center"/>
              <w:rPr>
                <w:sz w:val="16"/>
              </w:rPr>
            </w:pPr>
            <w:r>
              <w:rPr>
                <w:color w:val="231F20"/>
                <w:w w:val="92"/>
                <w:sz w:val="16"/>
              </w:rPr>
              <w:t>0</w:t>
            </w:r>
          </w:p>
        </w:tc>
        <w:tc>
          <w:tcPr>
            <w:tcW w:w="701" w:type="dxa"/>
            <w:tcBorders>
              <w:top w:val="nil"/>
              <w:bottom w:val="nil"/>
            </w:tcBorders>
          </w:tcPr>
          <w:p>
            <w:pPr>
              <w:pStyle w:val="TableParagraph"/>
              <w:spacing w:before="15"/>
              <w:ind w:left="268" w:right="162"/>
              <w:rPr>
                <w:sz w:val="16"/>
              </w:rPr>
            </w:pPr>
            <w:r>
              <w:rPr>
                <w:color w:val="231F20"/>
                <w:sz w:val="16"/>
              </w:rPr>
              <w:t>19</w:t>
            </w:r>
          </w:p>
        </w:tc>
      </w:tr>
      <w:tr>
        <w:trPr>
          <w:trHeight w:val="310" w:hRule="exact"/>
        </w:trPr>
        <w:tc>
          <w:tcPr>
            <w:tcW w:w="1843" w:type="dxa"/>
            <w:tcBorders>
              <w:top w:val="nil"/>
              <w:bottom w:val="nil"/>
            </w:tcBorders>
          </w:tcPr>
          <w:p>
            <w:pPr>
              <w:pStyle w:val="TableParagraph"/>
              <w:spacing w:before="80"/>
              <w:ind w:left="86" w:right="30"/>
              <w:rPr>
                <w:sz w:val="16"/>
              </w:rPr>
            </w:pPr>
            <w:r>
              <w:rPr>
                <w:color w:val="231F20"/>
                <w:sz w:val="16"/>
              </w:rPr>
              <w:t>Derecho</w:t>
            </w:r>
          </w:p>
        </w:tc>
        <w:tc>
          <w:tcPr>
            <w:tcW w:w="1752" w:type="dxa"/>
            <w:tcBorders>
              <w:top w:val="nil"/>
              <w:bottom w:val="nil"/>
            </w:tcBorders>
          </w:tcPr>
          <w:p>
            <w:pPr>
              <w:pStyle w:val="TableParagraph"/>
              <w:spacing w:before="17"/>
              <w:ind w:left="730" w:right="732"/>
              <w:jc w:val="center"/>
              <w:rPr>
                <w:sz w:val="16"/>
              </w:rPr>
            </w:pPr>
            <w:r>
              <w:rPr>
                <w:color w:val="231F20"/>
                <w:sz w:val="16"/>
              </w:rPr>
              <w:t>34</w:t>
            </w:r>
          </w:p>
        </w:tc>
        <w:tc>
          <w:tcPr>
            <w:tcW w:w="1368" w:type="dxa"/>
            <w:tcBorders>
              <w:top w:val="nil"/>
              <w:bottom w:val="nil"/>
            </w:tcBorders>
          </w:tcPr>
          <w:p>
            <w:pPr>
              <w:pStyle w:val="TableParagraph"/>
              <w:spacing w:before="17"/>
              <w:ind w:left="0" w:right="3"/>
              <w:jc w:val="center"/>
              <w:rPr>
                <w:sz w:val="16"/>
              </w:rPr>
            </w:pPr>
            <w:r>
              <w:rPr>
                <w:color w:val="231F20"/>
                <w:w w:val="92"/>
                <w:sz w:val="16"/>
              </w:rPr>
              <w:t>3</w:t>
            </w:r>
          </w:p>
        </w:tc>
        <w:tc>
          <w:tcPr>
            <w:tcW w:w="701" w:type="dxa"/>
            <w:tcBorders>
              <w:top w:val="nil"/>
              <w:bottom w:val="nil"/>
            </w:tcBorders>
          </w:tcPr>
          <w:p>
            <w:pPr>
              <w:pStyle w:val="TableParagraph"/>
              <w:spacing w:before="17"/>
              <w:ind w:left="268" w:right="162"/>
              <w:rPr>
                <w:sz w:val="16"/>
              </w:rPr>
            </w:pPr>
            <w:r>
              <w:rPr>
                <w:color w:val="231F20"/>
                <w:sz w:val="16"/>
              </w:rPr>
              <w:t>37</w:t>
            </w:r>
          </w:p>
        </w:tc>
      </w:tr>
      <w:tr>
        <w:trPr>
          <w:trHeight w:val="312" w:hRule="exact"/>
        </w:trPr>
        <w:tc>
          <w:tcPr>
            <w:tcW w:w="1843" w:type="dxa"/>
            <w:tcBorders>
              <w:top w:val="nil"/>
              <w:bottom w:val="nil"/>
            </w:tcBorders>
          </w:tcPr>
          <w:p>
            <w:pPr>
              <w:pStyle w:val="TableParagraph"/>
              <w:spacing w:before="82"/>
              <w:ind w:left="86" w:right="30"/>
              <w:rPr>
                <w:sz w:val="16"/>
              </w:rPr>
            </w:pPr>
            <w:r>
              <w:rPr>
                <w:color w:val="231F20"/>
                <w:sz w:val="16"/>
              </w:rPr>
              <w:t>Economía</w:t>
            </w:r>
          </w:p>
        </w:tc>
        <w:tc>
          <w:tcPr>
            <w:tcW w:w="1752" w:type="dxa"/>
            <w:tcBorders>
              <w:top w:val="nil"/>
              <w:bottom w:val="nil"/>
            </w:tcBorders>
          </w:tcPr>
          <w:p>
            <w:pPr>
              <w:pStyle w:val="TableParagraph"/>
              <w:spacing w:before="15"/>
              <w:ind w:left="0" w:right="2"/>
              <w:jc w:val="center"/>
              <w:rPr>
                <w:sz w:val="16"/>
              </w:rPr>
            </w:pPr>
            <w:r>
              <w:rPr>
                <w:color w:val="231F20"/>
                <w:w w:val="92"/>
                <w:sz w:val="16"/>
              </w:rPr>
              <w:t>8</w:t>
            </w:r>
          </w:p>
        </w:tc>
        <w:tc>
          <w:tcPr>
            <w:tcW w:w="1368" w:type="dxa"/>
            <w:tcBorders>
              <w:top w:val="nil"/>
              <w:bottom w:val="nil"/>
            </w:tcBorders>
          </w:tcPr>
          <w:p>
            <w:pPr>
              <w:pStyle w:val="TableParagraph"/>
              <w:spacing w:before="15"/>
              <w:ind w:left="0" w:right="3"/>
              <w:jc w:val="center"/>
              <w:rPr>
                <w:sz w:val="16"/>
              </w:rPr>
            </w:pPr>
            <w:r>
              <w:rPr>
                <w:color w:val="231F20"/>
                <w:w w:val="92"/>
                <w:sz w:val="16"/>
              </w:rPr>
              <w:t>0</w:t>
            </w:r>
          </w:p>
        </w:tc>
        <w:tc>
          <w:tcPr>
            <w:tcW w:w="701" w:type="dxa"/>
            <w:tcBorders>
              <w:top w:val="nil"/>
              <w:bottom w:val="nil"/>
            </w:tcBorders>
          </w:tcPr>
          <w:p>
            <w:pPr>
              <w:pStyle w:val="TableParagraph"/>
              <w:spacing w:before="15"/>
              <w:ind w:left="305"/>
              <w:rPr>
                <w:sz w:val="16"/>
              </w:rPr>
            </w:pPr>
            <w:r>
              <w:rPr>
                <w:color w:val="231F20"/>
                <w:w w:val="92"/>
                <w:sz w:val="16"/>
              </w:rPr>
              <w:t>8</w:t>
            </w:r>
          </w:p>
        </w:tc>
      </w:tr>
      <w:tr>
        <w:trPr>
          <w:trHeight w:val="307" w:hRule="exact"/>
        </w:trPr>
        <w:tc>
          <w:tcPr>
            <w:tcW w:w="1843" w:type="dxa"/>
            <w:tcBorders>
              <w:top w:val="nil"/>
              <w:bottom w:val="nil"/>
            </w:tcBorders>
          </w:tcPr>
          <w:p>
            <w:pPr>
              <w:pStyle w:val="TableParagraph"/>
              <w:spacing w:before="77"/>
              <w:ind w:left="86" w:right="30"/>
              <w:rPr>
                <w:sz w:val="16"/>
              </w:rPr>
            </w:pPr>
            <w:r>
              <w:rPr>
                <w:color w:val="231F20"/>
                <w:w w:val="95"/>
                <w:sz w:val="16"/>
              </w:rPr>
              <w:t>Enfermería y Obstetricia</w:t>
            </w:r>
          </w:p>
        </w:tc>
        <w:tc>
          <w:tcPr>
            <w:tcW w:w="1752" w:type="dxa"/>
            <w:tcBorders>
              <w:top w:val="nil"/>
              <w:bottom w:val="nil"/>
            </w:tcBorders>
          </w:tcPr>
          <w:p>
            <w:pPr>
              <w:pStyle w:val="TableParagraph"/>
              <w:spacing w:before="15"/>
              <w:ind w:left="730" w:right="732"/>
              <w:jc w:val="center"/>
              <w:rPr>
                <w:sz w:val="16"/>
              </w:rPr>
            </w:pPr>
            <w:r>
              <w:rPr>
                <w:color w:val="231F20"/>
                <w:sz w:val="16"/>
              </w:rPr>
              <w:t>27</w:t>
            </w:r>
          </w:p>
        </w:tc>
        <w:tc>
          <w:tcPr>
            <w:tcW w:w="1368" w:type="dxa"/>
            <w:tcBorders>
              <w:top w:val="nil"/>
              <w:bottom w:val="nil"/>
            </w:tcBorders>
          </w:tcPr>
          <w:p>
            <w:pPr>
              <w:pStyle w:val="TableParagraph"/>
              <w:spacing w:before="15"/>
              <w:ind w:left="0" w:right="3"/>
              <w:jc w:val="center"/>
              <w:rPr>
                <w:sz w:val="16"/>
              </w:rPr>
            </w:pPr>
            <w:r>
              <w:rPr>
                <w:color w:val="231F20"/>
                <w:w w:val="92"/>
                <w:sz w:val="16"/>
              </w:rPr>
              <w:t>0</w:t>
            </w:r>
          </w:p>
        </w:tc>
        <w:tc>
          <w:tcPr>
            <w:tcW w:w="701" w:type="dxa"/>
            <w:tcBorders>
              <w:top w:val="nil"/>
              <w:bottom w:val="nil"/>
            </w:tcBorders>
          </w:tcPr>
          <w:p>
            <w:pPr>
              <w:pStyle w:val="TableParagraph"/>
              <w:spacing w:before="15"/>
              <w:ind w:left="268" w:right="162"/>
              <w:rPr>
                <w:sz w:val="16"/>
              </w:rPr>
            </w:pPr>
            <w:r>
              <w:rPr>
                <w:color w:val="231F20"/>
                <w:sz w:val="16"/>
              </w:rPr>
              <w:t>27</w:t>
            </w:r>
          </w:p>
        </w:tc>
      </w:tr>
      <w:tr>
        <w:trPr>
          <w:trHeight w:val="312" w:hRule="exact"/>
        </w:trPr>
        <w:tc>
          <w:tcPr>
            <w:tcW w:w="1843" w:type="dxa"/>
            <w:tcBorders>
              <w:top w:val="nil"/>
              <w:bottom w:val="nil"/>
            </w:tcBorders>
          </w:tcPr>
          <w:p>
            <w:pPr>
              <w:pStyle w:val="TableParagraph"/>
              <w:spacing w:before="82"/>
              <w:ind w:left="86" w:right="30"/>
              <w:rPr>
                <w:sz w:val="16"/>
              </w:rPr>
            </w:pPr>
            <w:r>
              <w:rPr>
                <w:color w:val="231F20"/>
                <w:sz w:val="16"/>
              </w:rPr>
              <w:t>Física</w:t>
            </w:r>
          </w:p>
        </w:tc>
        <w:tc>
          <w:tcPr>
            <w:tcW w:w="1752" w:type="dxa"/>
            <w:tcBorders>
              <w:top w:val="nil"/>
              <w:bottom w:val="nil"/>
            </w:tcBorders>
          </w:tcPr>
          <w:p>
            <w:pPr>
              <w:pStyle w:val="TableParagraph"/>
              <w:spacing w:before="15"/>
              <w:ind w:left="0" w:right="2"/>
              <w:jc w:val="center"/>
              <w:rPr>
                <w:sz w:val="16"/>
              </w:rPr>
            </w:pPr>
            <w:r>
              <w:rPr>
                <w:color w:val="231F20"/>
                <w:w w:val="92"/>
                <w:sz w:val="16"/>
              </w:rPr>
              <w:t>3</w:t>
            </w:r>
          </w:p>
        </w:tc>
        <w:tc>
          <w:tcPr>
            <w:tcW w:w="1368" w:type="dxa"/>
            <w:tcBorders>
              <w:top w:val="nil"/>
              <w:bottom w:val="nil"/>
            </w:tcBorders>
          </w:tcPr>
          <w:p>
            <w:pPr>
              <w:pStyle w:val="TableParagraph"/>
              <w:spacing w:before="15"/>
              <w:ind w:left="0" w:right="3"/>
              <w:jc w:val="center"/>
              <w:rPr>
                <w:sz w:val="16"/>
              </w:rPr>
            </w:pPr>
            <w:r>
              <w:rPr>
                <w:color w:val="231F20"/>
                <w:w w:val="92"/>
                <w:sz w:val="16"/>
              </w:rPr>
              <w:t>0</w:t>
            </w:r>
          </w:p>
        </w:tc>
        <w:tc>
          <w:tcPr>
            <w:tcW w:w="701" w:type="dxa"/>
            <w:tcBorders>
              <w:top w:val="nil"/>
              <w:bottom w:val="nil"/>
            </w:tcBorders>
          </w:tcPr>
          <w:p>
            <w:pPr>
              <w:pStyle w:val="TableParagraph"/>
              <w:spacing w:before="15"/>
              <w:ind w:left="305"/>
              <w:rPr>
                <w:sz w:val="16"/>
              </w:rPr>
            </w:pPr>
            <w:r>
              <w:rPr>
                <w:color w:val="231F20"/>
                <w:w w:val="92"/>
                <w:sz w:val="16"/>
              </w:rPr>
              <w:t>3</w:t>
            </w:r>
          </w:p>
        </w:tc>
      </w:tr>
      <w:tr>
        <w:trPr>
          <w:trHeight w:val="276" w:hRule="exact"/>
        </w:trPr>
        <w:tc>
          <w:tcPr>
            <w:tcW w:w="1843" w:type="dxa"/>
            <w:tcBorders>
              <w:top w:val="nil"/>
              <w:bottom w:val="nil"/>
            </w:tcBorders>
          </w:tcPr>
          <w:p>
            <w:pPr>
              <w:pStyle w:val="TableParagraph"/>
              <w:spacing w:before="77"/>
              <w:ind w:left="86" w:right="30"/>
              <w:rPr>
                <w:sz w:val="16"/>
              </w:rPr>
            </w:pPr>
            <w:r>
              <w:rPr>
                <w:color w:val="231F20"/>
                <w:sz w:val="16"/>
              </w:rPr>
              <w:t>Matemáticas</w:t>
            </w:r>
          </w:p>
        </w:tc>
        <w:tc>
          <w:tcPr>
            <w:tcW w:w="1752" w:type="dxa"/>
            <w:tcBorders>
              <w:top w:val="nil"/>
              <w:bottom w:val="nil"/>
            </w:tcBorders>
          </w:tcPr>
          <w:p>
            <w:pPr>
              <w:pStyle w:val="TableParagraph"/>
              <w:spacing w:before="15"/>
              <w:ind w:left="0" w:right="2"/>
              <w:jc w:val="center"/>
              <w:rPr>
                <w:sz w:val="16"/>
              </w:rPr>
            </w:pPr>
            <w:r>
              <w:rPr>
                <w:color w:val="231F20"/>
                <w:w w:val="92"/>
                <w:sz w:val="16"/>
              </w:rPr>
              <w:t>1</w:t>
            </w:r>
          </w:p>
        </w:tc>
        <w:tc>
          <w:tcPr>
            <w:tcW w:w="1368" w:type="dxa"/>
            <w:tcBorders>
              <w:top w:val="nil"/>
              <w:bottom w:val="nil"/>
            </w:tcBorders>
          </w:tcPr>
          <w:p>
            <w:pPr>
              <w:pStyle w:val="TableParagraph"/>
              <w:spacing w:before="15"/>
              <w:ind w:left="0" w:right="3"/>
              <w:jc w:val="center"/>
              <w:rPr>
                <w:sz w:val="16"/>
              </w:rPr>
            </w:pPr>
            <w:r>
              <w:rPr>
                <w:color w:val="231F20"/>
                <w:w w:val="92"/>
                <w:sz w:val="16"/>
              </w:rPr>
              <w:t>0</w:t>
            </w:r>
          </w:p>
        </w:tc>
        <w:tc>
          <w:tcPr>
            <w:tcW w:w="701" w:type="dxa"/>
            <w:tcBorders>
              <w:top w:val="nil"/>
              <w:bottom w:val="nil"/>
            </w:tcBorders>
          </w:tcPr>
          <w:p>
            <w:pPr>
              <w:pStyle w:val="TableParagraph"/>
              <w:spacing w:before="15"/>
              <w:ind w:left="305"/>
              <w:rPr>
                <w:sz w:val="16"/>
              </w:rPr>
            </w:pPr>
            <w:r>
              <w:rPr>
                <w:color w:val="231F20"/>
                <w:w w:val="92"/>
                <w:sz w:val="16"/>
              </w:rPr>
              <w:t>1</w:t>
            </w:r>
          </w:p>
        </w:tc>
      </w:tr>
      <w:tr>
        <w:trPr>
          <w:trHeight w:val="391" w:hRule="exact"/>
        </w:trPr>
        <w:tc>
          <w:tcPr>
            <w:tcW w:w="1843" w:type="dxa"/>
            <w:tcBorders>
              <w:top w:val="nil"/>
              <w:bottom w:val="nil"/>
            </w:tcBorders>
          </w:tcPr>
          <w:p>
            <w:pPr>
              <w:pStyle w:val="TableParagraph"/>
              <w:spacing w:line="165" w:lineRule="exact"/>
              <w:ind w:left="86" w:right="30"/>
              <w:rPr>
                <w:sz w:val="16"/>
              </w:rPr>
            </w:pPr>
            <w:r>
              <w:rPr>
                <w:color w:val="231F20"/>
                <w:w w:val="95"/>
                <w:sz w:val="16"/>
              </w:rPr>
              <w:t>Medicina veterinaria y</w:t>
            </w:r>
          </w:p>
          <w:p>
            <w:pPr>
              <w:pStyle w:val="TableParagraph"/>
              <w:spacing w:line="181" w:lineRule="exact"/>
              <w:ind w:left="86" w:right="30"/>
              <w:rPr>
                <w:sz w:val="16"/>
              </w:rPr>
            </w:pPr>
            <w:r>
              <w:rPr>
                <w:color w:val="231F20"/>
                <w:sz w:val="16"/>
              </w:rPr>
              <w:t>Zootecnia</w:t>
            </w:r>
          </w:p>
        </w:tc>
        <w:tc>
          <w:tcPr>
            <w:tcW w:w="1752" w:type="dxa"/>
            <w:tcBorders>
              <w:top w:val="nil"/>
              <w:bottom w:val="nil"/>
            </w:tcBorders>
          </w:tcPr>
          <w:p>
            <w:pPr>
              <w:pStyle w:val="TableParagraph"/>
              <w:spacing w:before="75"/>
              <w:ind w:left="730" w:right="732"/>
              <w:jc w:val="center"/>
              <w:rPr>
                <w:sz w:val="16"/>
              </w:rPr>
            </w:pPr>
            <w:r>
              <w:rPr>
                <w:color w:val="231F20"/>
                <w:sz w:val="16"/>
              </w:rPr>
              <w:t>16</w:t>
            </w:r>
          </w:p>
        </w:tc>
        <w:tc>
          <w:tcPr>
            <w:tcW w:w="1368" w:type="dxa"/>
            <w:tcBorders>
              <w:top w:val="nil"/>
              <w:bottom w:val="nil"/>
            </w:tcBorders>
          </w:tcPr>
          <w:p>
            <w:pPr>
              <w:pStyle w:val="TableParagraph"/>
              <w:spacing w:before="75"/>
              <w:ind w:left="0" w:right="3"/>
              <w:jc w:val="center"/>
              <w:rPr>
                <w:sz w:val="16"/>
              </w:rPr>
            </w:pPr>
            <w:r>
              <w:rPr>
                <w:color w:val="231F20"/>
                <w:w w:val="92"/>
                <w:sz w:val="16"/>
              </w:rPr>
              <w:t>0</w:t>
            </w:r>
          </w:p>
        </w:tc>
        <w:tc>
          <w:tcPr>
            <w:tcW w:w="701" w:type="dxa"/>
            <w:tcBorders>
              <w:top w:val="nil"/>
              <w:bottom w:val="nil"/>
            </w:tcBorders>
          </w:tcPr>
          <w:p>
            <w:pPr>
              <w:pStyle w:val="TableParagraph"/>
              <w:spacing w:before="75"/>
              <w:ind w:left="268" w:right="162"/>
              <w:rPr>
                <w:sz w:val="16"/>
              </w:rPr>
            </w:pPr>
            <w:r>
              <w:rPr>
                <w:color w:val="231F20"/>
                <w:sz w:val="16"/>
              </w:rPr>
              <w:t>16</w:t>
            </w:r>
          </w:p>
        </w:tc>
      </w:tr>
      <w:tr>
        <w:trPr>
          <w:trHeight w:val="278" w:hRule="exact"/>
        </w:trPr>
        <w:tc>
          <w:tcPr>
            <w:tcW w:w="1843" w:type="dxa"/>
            <w:tcBorders>
              <w:top w:val="nil"/>
              <w:bottom w:val="nil"/>
            </w:tcBorders>
          </w:tcPr>
          <w:p>
            <w:pPr>
              <w:pStyle w:val="TableParagraph"/>
              <w:spacing w:before="82"/>
              <w:ind w:left="86" w:right="30"/>
              <w:rPr>
                <w:sz w:val="16"/>
              </w:rPr>
            </w:pPr>
            <w:r>
              <w:rPr>
                <w:color w:val="231F20"/>
                <w:sz w:val="16"/>
              </w:rPr>
              <w:t>Odontología</w:t>
            </w:r>
          </w:p>
        </w:tc>
        <w:tc>
          <w:tcPr>
            <w:tcW w:w="1752" w:type="dxa"/>
            <w:tcBorders>
              <w:top w:val="nil"/>
              <w:bottom w:val="nil"/>
            </w:tcBorders>
          </w:tcPr>
          <w:p>
            <w:pPr>
              <w:pStyle w:val="TableParagraph"/>
              <w:spacing w:before="15"/>
              <w:ind w:left="730" w:right="732"/>
              <w:jc w:val="center"/>
              <w:rPr>
                <w:sz w:val="16"/>
              </w:rPr>
            </w:pPr>
            <w:r>
              <w:rPr>
                <w:color w:val="231F20"/>
                <w:sz w:val="16"/>
              </w:rPr>
              <w:t>14</w:t>
            </w:r>
          </w:p>
        </w:tc>
        <w:tc>
          <w:tcPr>
            <w:tcW w:w="1368" w:type="dxa"/>
            <w:tcBorders>
              <w:top w:val="nil"/>
              <w:bottom w:val="nil"/>
            </w:tcBorders>
          </w:tcPr>
          <w:p>
            <w:pPr>
              <w:pStyle w:val="TableParagraph"/>
              <w:spacing w:before="15"/>
              <w:ind w:left="0" w:right="3"/>
              <w:jc w:val="center"/>
              <w:rPr>
                <w:sz w:val="16"/>
              </w:rPr>
            </w:pPr>
            <w:r>
              <w:rPr>
                <w:color w:val="231F20"/>
                <w:w w:val="92"/>
                <w:sz w:val="16"/>
              </w:rPr>
              <w:t>1</w:t>
            </w:r>
          </w:p>
        </w:tc>
        <w:tc>
          <w:tcPr>
            <w:tcW w:w="701" w:type="dxa"/>
            <w:tcBorders>
              <w:top w:val="nil"/>
              <w:bottom w:val="nil"/>
            </w:tcBorders>
          </w:tcPr>
          <w:p>
            <w:pPr>
              <w:pStyle w:val="TableParagraph"/>
              <w:spacing w:before="15"/>
              <w:ind w:left="268" w:right="162"/>
              <w:rPr>
                <w:sz w:val="16"/>
              </w:rPr>
            </w:pPr>
            <w:r>
              <w:rPr>
                <w:color w:val="231F20"/>
                <w:sz w:val="16"/>
              </w:rPr>
              <w:t>15</w:t>
            </w:r>
          </w:p>
        </w:tc>
      </w:tr>
      <w:tr>
        <w:trPr>
          <w:trHeight w:val="361" w:hRule="exact"/>
        </w:trPr>
        <w:tc>
          <w:tcPr>
            <w:tcW w:w="1843" w:type="dxa"/>
            <w:tcBorders>
              <w:top w:val="nil"/>
            </w:tcBorders>
          </w:tcPr>
          <w:p>
            <w:pPr>
              <w:pStyle w:val="TableParagraph"/>
              <w:spacing w:line="165" w:lineRule="exact"/>
              <w:ind w:left="86" w:right="30"/>
              <w:rPr>
                <w:sz w:val="16"/>
              </w:rPr>
            </w:pPr>
            <w:r>
              <w:rPr>
                <w:color w:val="231F20"/>
                <w:w w:val="95"/>
                <w:sz w:val="16"/>
              </w:rPr>
              <w:t>Químico Biólogo Farma-</w:t>
            </w:r>
          </w:p>
          <w:p>
            <w:pPr>
              <w:pStyle w:val="TableParagraph"/>
              <w:spacing w:line="183" w:lineRule="exact"/>
              <w:ind w:left="86" w:right="30"/>
              <w:rPr>
                <w:sz w:val="16"/>
              </w:rPr>
            </w:pPr>
            <w:r>
              <w:rPr>
                <w:color w:val="231F20"/>
                <w:sz w:val="16"/>
              </w:rPr>
              <w:t>céutico</w:t>
            </w:r>
          </w:p>
        </w:tc>
        <w:tc>
          <w:tcPr>
            <w:tcW w:w="1752" w:type="dxa"/>
            <w:tcBorders>
              <w:top w:val="nil"/>
            </w:tcBorders>
          </w:tcPr>
          <w:p>
            <w:pPr>
              <w:pStyle w:val="TableParagraph"/>
              <w:spacing w:before="72"/>
              <w:ind w:left="730" w:right="732"/>
              <w:jc w:val="center"/>
              <w:rPr>
                <w:sz w:val="16"/>
              </w:rPr>
            </w:pPr>
            <w:r>
              <w:rPr>
                <w:color w:val="231F20"/>
                <w:sz w:val="16"/>
              </w:rPr>
              <w:t>23</w:t>
            </w:r>
          </w:p>
        </w:tc>
        <w:tc>
          <w:tcPr>
            <w:tcW w:w="1368" w:type="dxa"/>
            <w:tcBorders>
              <w:top w:val="nil"/>
            </w:tcBorders>
          </w:tcPr>
          <w:p>
            <w:pPr>
              <w:pStyle w:val="TableParagraph"/>
              <w:spacing w:before="72"/>
              <w:ind w:left="0" w:right="3"/>
              <w:jc w:val="center"/>
              <w:rPr>
                <w:sz w:val="16"/>
              </w:rPr>
            </w:pPr>
            <w:r>
              <w:rPr>
                <w:color w:val="231F20"/>
                <w:w w:val="92"/>
                <w:sz w:val="16"/>
              </w:rPr>
              <w:t>0</w:t>
            </w:r>
          </w:p>
        </w:tc>
        <w:tc>
          <w:tcPr>
            <w:tcW w:w="701" w:type="dxa"/>
            <w:tcBorders>
              <w:top w:val="nil"/>
            </w:tcBorders>
          </w:tcPr>
          <w:p>
            <w:pPr>
              <w:pStyle w:val="TableParagraph"/>
              <w:spacing w:before="72"/>
              <w:ind w:left="268" w:right="162"/>
              <w:rPr>
                <w:sz w:val="16"/>
              </w:rPr>
            </w:pPr>
            <w:r>
              <w:rPr>
                <w:color w:val="231F20"/>
                <w:sz w:val="16"/>
              </w:rPr>
              <w:t>23</w:t>
            </w:r>
          </w:p>
        </w:tc>
      </w:tr>
      <w:tr>
        <w:trPr>
          <w:trHeight w:val="322" w:hRule="exact"/>
        </w:trPr>
        <w:tc>
          <w:tcPr>
            <w:tcW w:w="1843" w:type="dxa"/>
          </w:tcPr>
          <w:p>
            <w:pPr>
              <w:pStyle w:val="TableParagraph"/>
              <w:spacing w:before="52"/>
              <w:ind w:left="713" w:right="715"/>
              <w:jc w:val="center"/>
              <w:rPr>
                <w:b/>
                <w:sz w:val="16"/>
              </w:rPr>
            </w:pPr>
            <w:r>
              <w:rPr>
                <w:b/>
                <w:color w:val="231F20"/>
                <w:sz w:val="16"/>
              </w:rPr>
              <w:t>Total</w:t>
            </w:r>
          </w:p>
        </w:tc>
        <w:tc>
          <w:tcPr>
            <w:tcW w:w="1752" w:type="dxa"/>
          </w:tcPr>
          <w:p>
            <w:pPr>
              <w:pStyle w:val="TableParagraph"/>
              <w:spacing w:before="52"/>
              <w:ind w:left="730" w:right="732"/>
              <w:jc w:val="center"/>
              <w:rPr>
                <w:b/>
                <w:sz w:val="16"/>
              </w:rPr>
            </w:pPr>
            <w:r>
              <w:rPr>
                <w:b/>
                <w:color w:val="231F20"/>
                <w:sz w:val="16"/>
              </w:rPr>
              <w:t>240</w:t>
            </w:r>
          </w:p>
        </w:tc>
        <w:tc>
          <w:tcPr>
            <w:tcW w:w="1368" w:type="dxa"/>
          </w:tcPr>
          <w:p>
            <w:pPr>
              <w:pStyle w:val="TableParagraph"/>
              <w:spacing w:before="52"/>
              <w:ind w:left="0" w:right="3"/>
              <w:jc w:val="center"/>
              <w:rPr>
                <w:b/>
                <w:sz w:val="16"/>
              </w:rPr>
            </w:pPr>
            <w:r>
              <w:rPr>
                <w:b/>
                <w:color w:val="231F20"/>
                <w:w w:val="92"/>
                <w:sz w:val="16"/>
              </w:rPr>
              <w:t>6</w:t>
            </w:r>
          </w:p>
        </w:tc>
        <w:tc>
          <w:tcPr>
            <w:tcW w:w="701" w:type="dxa"/>
          </w:tcPr>
          <w:p>
            <w:pPr>
              <w:pStyle w:val="TableParagraph"/>
              <w:spacing w:before="52"/>
              <w:ind w:left="230" w:right="162"/>
              <w:rPr>
                <w:b/>
                <w:sz w:val="16"/>
              </w:rPr>
            </w:pPr>
            <w:r>
              <w:rPr>
                <w:b/>
                <w:color w:val="231F20"/>
                <w:sz w:val="16"/>
              </w:rPr>
              <w:t>246</w:t>
            </w:r>
          </w:p>
        </w:tc>
      </w:tr>
    </w:tbl>
    <w:p>
      <w:pPr>
        <w:spacing w:after="0"/>
        <w:rPr>
          <w:sz w:val="16"/>
        </w:rPr>
        <w:sectPr>
          <w:headerReference w:type="default" r:id="rId858"/>
          <w:footerReference w:type="default" r:id="rId859"/>
          <w:pgSz w:w="7830" w:h="11910"/>
          <w:pgMar w:header="0" w:footer="424" w:top="500" w:bottom="620" w:left="900" w:right="1020"/>
          <w:pgNumType w:start="387"/>
        </w:sectPr>
      </w:pPr>
    </w:p>
    <w:p>
      <w:pPr>
        <w:spacing w:before="46"/>
        <w:ind w:left="258" w:right="312"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3" w:lineRule="auto" w:before="111"/>
        <w:ind w:left="256" w:right="312" w:firstLine="0"/>
        <w:jc w:val="center"/>
        <w:rPr>
          <w:b/>
          <w:sz w:val="19"/>
        </w:rPr>
      </w:pPr>
      <w:r>
        <w:rPr>
          <w:b/>
          <w:color w:val="231F20"/>
          <w:w w:val="105"/>
          <w:sz w:val="19"/>
        </w:rPr>
        <w:t>Cuadro 2.Qué tipo de violencia ha sufrido alguno de tus amigos: agresión psicológica (insulto, intimidación, presión, etc.)</w:t>
      </w:r>
    </w:p>
    <w:p>
      <w:pPr>
        <w:pStyle w:val="BodyText"/>
        <w:spacing w:before="10"/>
        <w:rPr>
          <w:b/>
          <w:sz w:val="18"/>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87"/>
        <w:gridCol w:w="1925"/>
        <w:gridCol w:w="1190"/>
        <w:gridCol w:w="720"/>
      </w:tblGrid>
      <w:tr>
        <w:trPr>
          <w:trHeight w:val="624" w:hRule="exact"/>
        </w:trPr>
        <w:tc>
          <w:tcPr>
            <w:tcW w:w="1987" w:type="dxa"/>
            <w:vMerge w:val="restart"/>
            <w:tcBorders>
              <w:top w:val="single" w:sz="4" w:space="0" w:color="231F20"/>
              <w:left w:val="single" w:sz="4" w:space="0" w:color="231F20"/>
              <w:right w:val="single" w:sz="4" w:space="0" w:color="231F20"/>
            </w:tcBorders>
          </w:tcPr>
          <w:p>
            <w:pPr/>
          </w:p>
        </w:tc>
        <w:tc>
          <w:tcPr>
            <w:tcW w:w="3115" w:type="dxa"/>
            <w:gridSpan w:val="2"/>
            <w:tcBorders>
              <w:top w:val="single" w:sz="12" w:space="0" w:color="231F20"/>
              <w:left w:val="single" w:sz="4" w:space="0" w:color="231F20"/>
              <w:bottom w:val="single" w:sz="4" w:space="0" w:color="231F20"/>
              <w:right w:val="single" w:sz="2" w:space="0" w:color="231F20"/>
            </w:tcBorders>
          </w:tcPr>
          <w:p>
            <w:pPr>
              <w:pStyle w:val="TableParagraph"/>
              <w:spacing w:line="235" w:lineRule="auto" w:before="55"/>
              <w:ind w:left="115" w:right="118"/>
              <w:jc w:val="center"/>
              <w:rPr>
                <w:b/>
                <w:sz w:val="16"/>
              </w:rPr>
            </w:pPr>
            <w:r>
              <w:rPr>
                <w:b/>
                <w:color w:val="231F20"/>
                <w:sz w:val="16"/>
              </w:rPr>
              <w:t>Qué tipo de violencia hasufrido alguno de tus amigos: agresión psicológica (insulto, intimidación, presión,etc.) 1s,2n</w:t>
            </w:r>
          </w:p>
        </w:tc>
        <w:tc>
          <w:tcPr>
            <w:tcW w:w="720" w:type="dxa"/>
            <w:tcBorders>
              <w:top w:val="single" w:sz="12" w:space="0" w:color="231F20"/>
              <w:left w:val="single" w:sz="2" w:space="0" w:color="231F20"/>
              <w:bottom w:val="single" w:sz="4" w:space="0" w:color="231F20"/>
              <w:right w:val="single" w:sz="12" w:space="0" w:color="231F20"/>
            </w:tcBorders>
          </w:tcPr>
          <w:p>
            <w:pPr>
              <w:pStyle w:val="TableParagraph"/>
              <w:ind w:left="0"/>
              <w:rPr>
                <w:b/>
                <w:sz w:val="16"/>
              </w:rPr>
            </w:pPr>
          </w:p>
          <w:p>
            <w:pPr>
              <w:pStyle w:val="TableParagraph"/>
              <w:spacing w:before="137"/>
              <w:ind w:left="88"/>
              <w:rPr>
                <w:b/>
                <w:sz w:val="16"/>
              </w:rPr>
            </w:pPr>
            <w:r>
              <w:rPr>
                <w:b/>
                <w:color w:val="231F20"/>
                <w:sz w:val="16"/>
              </w:rPr>
              <w:t>Total</w:t>
            </w:r>
          </w:p>
        </w:tc>
      </w:tr>
      <w:tr>
        <w:trPr>
          <w:trHeight w:val="346" w:hRule="exact"/>
        </w:trPr>
        <w:tc>
          <w:tcPr>
            <w:tcW w:w="1987" w:type="dxa"/>
            <w:vMerge/>
            <w:tcBorders>
              <w:left w:val="single" w:sz="4" w:space="0" w:color="231F20"/>
              <w:bottom w:val="single" w:sz="4" w:space="0" w:color="231F20"/>
              <w:right w:val="single" w:sz="4" w:space="0" w:color="231F20"/>
            </w:tcBorders>
          </w:tcPr>
          <w:p>
            <w:pPr/>
          </w:p>
        </w:tc>
        <w:tc>
          <w:tcPr>
            <w:tcW w:w="1925" w:type="dxa"/>
            <w:tcBorders>
              <w:top w:val="single" w:sz="4" w:space="0" w:color="231F20"/>
              <w:left w:val="single" w:sz="4" w:space="0" w:color="231F20"/>
              <w:bottom w:val="single" w:sz="4" w:space="0" w:color="231F20"/>
              <w:right w:val="single" w:sz="4" w:space="0" w:color="231F20"/>
            </w:tcBorders>
          </w:tcPr>
          <w:p>
            <w:pPr>
              <w:pStyle w:val="TableParagraph"/>
              <w:spacing w:before="52"/>
              <w:ind w:left="816" w:right="817"/>
              <w:jc w:val="center"/>
              <w:rPr>
                <w:b/>
                <w:sz w:val="16"/>
              </w:rPr>
            </w:pPr>
            <w:r>
              <w:rPr>
                <w:b/>
                <w:color w:val="231F20"/>
                <w:sz w:val="16"/>
              </w:rPr>
              <w:t>Sí</w:t>
            </w:r>
          </w:p>
        </w:tc>
        <w:tc>
          <w:tcPr>
            <w:tcW w:w="1190" w:type="dxa"/>
            <w:tcBorders>
              <w:top w:val="single" w:sz="2" w:space="0" w:color="231F20"/>
              <w:left w:val="single" w:sz="4" w:space="0" w:color="231F20"/>
              <w:bottom w:val="single" w:sz="4" w:space="0" w:color="231F20"/>
              <w:right w:val="single" w:sz="4" w:space="0" w:color="231F20"/>
            </w:tcBorders>
          </w:tcPr>
          <w:p>
            <w:pPr>
              <w:pStyle w:val="TableParagraph"/>
              <w:spacing w:before="54"/>
              <w:ind w:left="0" w:right="481"/>
              <w:jc w:val="right"/>
              <w:rPr>
                <w:b/>
                <w:sz w:val="16"/>
              </w:rPr>
            </w:pPr>
            <w:r>
              <w:rPr>
                <w:b/>
                <w:color w:val="231F20"/>
                <w:w w:val="110"/>
                <w:sz w:val="16"/>
              </w:rPr>
              <w:t>No</w:t>
            </w:r>
          </w:p>
        </w:tc>
        <w:tc>
          <w:tcPr>
            <w:tcW w:w="720" w:type="dxa"/>
            <w:tcBorders>
              <w:top w:val="single" w:sz="4" w:space="0" w:color="231F20"/>
              <w:left w:val="single" w:sz="4" w:space="0" w:color="231F20"/>
              <w:bottom w:val="single" w:sz="4" w:space="0" w:color="231F20"/>
              <w:right w:val="single" w:sz="4" w:space="0" w:color="231F20"/>
            </w:tcBorders>
          </w:tcPr>
          <w:p>
            <w:pPr>
              <w:pStyle w:val="TableParagraph"/>
              <w:spacing w:before="52"/>
              <w:ind w:left="86"/>
              <w:rPr>
                <w:b/>
                <w:sz w:val="16"/>
              </w:rPr>
            </w:pPr>
            <w:r>
              <w:rPr>
                <w:b/>
                <w:color w:val="231F20"/>
                <w:sz w:val="16"/>
              </w:rPr>
              <w:t>Sí</w:t>
            </w:r>
          </w:p>
        </w:tc>
      </w:tr>
      <w:tr>
        <w:trPr>
          <w:trHeight w:val="486" w:hRule="exact"/>
        </w:trPr>
        <w:tc>
          <w:tcPr>
            <w:tcW w:w="1987" w:type="dxa"/>
            <w:tcBorders>
              <w:top w:val="single" w:sz="4" w:space="0" w:color="231F20"/>
              <w:left w:val="single" w:sz="4" w:space="0" w:color="231F20"/>
              <w:right w:val="single" w:sz="4" w:space="0" w:color="231F20"/>
            </w:tcBorders>
          </w:tcPr>
          <w:p>
            <w:pPr>
              <w:pStyle w:val="TableParagraph"/>
              <w:spacing w:before="6"/>
              <w:ind w:left="0"/>
              <w:rPr>
                <w:b/>
                <w:sz w:val="19"/>
              </w:rPr>
            </w:pPr>
          </w:p>
          <w:p>
            <w:pPr>
              <w:pStyle w:val="TableParagraph"/>
              <w:ind w:left="86"/>
              <w:rPr>
                <w:sz w:val="16"/>
              </w:rPr>
            </w:pPr>
            <w:r>
              <w:rPr>
                <w:color w:val="231F20"/>
                <w:sz w:val="16"/>
              </w:rPr>
              <w:t>Carrera</w:t>
            </w:r>
          </w:p>
        </w:tc>
        <w:tc>
          <w:tcPr>
            <w:tcW w:w="1925" w:type="dxa"/>
            <w:tcBorders>
              <w:top w:val="single" w:sz="4" w:space="0" w:color="231F20"/>
              <w:left w:val="single" w:sz="4" w:space="0" w:color="231F20"/>
              <w:right w:val="single" w:sz="4" w:space="0" w:color="231F20"/>
            </w:tcBorders>
          </w:tcPr>
          <w:p>
            <w:pPr>
              <w:pStyle w:val="TableParagraph"/>
              <w:spacing w:before="105"/>
              <w:ind w:left="817" w:right="817"/>
              <w:jc w:val="center"/>
              <w:rPr>
                <w:sz w:val="16"/>
              </w:rPr>
            </w:pPr>
            <w:r>
              <w:rPr>
                <w:color w:val="231F20"/>
                <w:sz w:val="16"/>
              </w:rPr>
              <w:t>14</w:t>
            </w:r>
          </w:p>
        </w:tc>
        <w:tc>
          <w:tcPr>
            <w:tcW w:w="1190" w:type="dxa"/>
            <w:tcBorders>
              <w:top w:val="single" w:sz="4" w:space="0" w:color="231F20"/>
              <w:left w:val="single" w:sz="4" w:space="0" w:color="231F20"/>
              <w:right w:val="single" w:sz="4" w:space="0" w:color="231F20"/>
            </w:tcBorders>
          </w:tcPr>
          <w:p>
            <w:pPr>
              <w:pStyle w:val="TableParagraph"/>
              <w:spacing w:before="105"/>
              <w:ind w:left="0" w:right="553"/>
              <w:jc w:val="right"/>
              <w:rPr>
                <w:sz w:val="16"/>
              </w:rPr>
            </w:pPr>
            <w:r>
              <w:rPr>
                <w:color w:val="231F20"/>
                <w:w w:val="92"/>
                <w:sz w:val="16"/>
              </w:rPr>
              <w:t>0</w:t>
            </w:r>
          </w:p>
        </w:tc>
        <w:tc>
          <w:tcPr>
            <w:tcW w:w="720" w:type="dxa"/>
            <w:tcBorders>
              <w:top w:val="single" w:sz="4" w:space="0" w:color="231F20"/>
              <w:left w:val="single" w:sz="4" w:space="0" w:color="231F20"/>
              <w:right w:val="single" w:sz="4" w:space="0" w:color="231F20"/>
            </w:tcBorders>
          </w:tcPr>
          <w:p>
            <w:pPr>
              <w:pStyle w:val="TableParagraph"/>
              <w:spacing w:before="105"/>
              <w:ind w:left="86"/>
              <w:rPr>
                <w:sz w:val="16"/>
              </w:rPr>
            </w:pPr>
            <w:r>
              <w:rPr>
                <w:color w:val="231F20"/>
                <w:sz w:val="16"/>
              </w:rPr>
              <w:t>14</w:t>
            </w:r>
          </w:p>
        </w:tc>
      </w:tr>
      <w:tr>
        <w:trPr>
          <w:trHeight w:val="418" w:hRule="exact"/>
        </w:trPr>
        <w:tc>
          <w:tcPr>
            <w:tcW w:w="1987" w:type="dxa"/>
            <w:tcBorders>
              <w:left w:val="single" w:sz="4" w:space="0" w:color="231F20"/>
              <w:right w:val="single" w:sz="4" w:space="0" w:color="231F20"/>
            </w:tcBorders>
          </w:tcPr>
          <w:p>
            <w:pPr>
              <w:pStyle w:val="TableParagraph"/>
              <w:ind w:left="0"/>
              <w:rPr>
                <w:b/>
                <w:sz w:val="14"/>
              </w:rPr>
            </w:pPr>
          </w:p>
          <w:p>
            <w:pPr>
              <w:pStyle w:val="TableParagraph"/>
              <w:ind w:left="86"/>
              <w:rPr>
                <w:sz w:val="16"/>
              </w:rPr>
            </w:pPr>
            <w:r>
              <w:rPr>
                <w:color w:val="231F20"/>
                <w:sz w:val="16"/>
              </w:rPr>
              <w:t>Administración</w:t>
            </w:r>
          </w:p>
        </w:tc>
        <w:tc>
          <w:tcPr>
            <w:tcW w:w="1925" w:type="dxa"/>
            <w:tcBorders>
              <w:left w:val="single" w:sz="4" w:space="0" w:color="231F20"/>
              <w:right w:val="single" w:sz="4" w:space="0" w:color="231F20"/>
            </w:tcBorders>
          </w:tcPr>
          <w:p>
            <w:pPr>
              <w:pStyle w:val="TableParagraph"/>
              <w:spacing w:before="41"/>
              <w:ind w:left="0"/>
              <w:jc w:val="center"/>
              <w:rPr>
                <w:sz w:val="16"/>
              </w:rPr>
            </w:pPr>
            <w:r>
              <w:rPr>
                <w:color w:val="231F20"/>
                <w:w w:val="92"/>
                <w:sz w:val="16"/>
              </w:rPr>
              <w:t>5</w:t>
            </w:r>
          </w:p>
        </w:tc>
        <w:tc>
          <w:tcPr>
            <w:tcW w:w="1190" w:type="dxa"/>
            <w:tcBorders>
              <w:left w:val="single" w:sz="4" w:space="0" w:color="231F20"/>
              <w:right w:val="single" w:sz="4" w:space="0" w:color="231F20"/>
            </w:tcBorders>
          </w:tcPr>
          <w:p>
            <w:pPr>
              <w:pStyle w:val="TableParagraph"/>
              <w:spacing w:before="41"/>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1"/>
              <w:ind w:left="86"/>
              <w:rPr>
                <w:sz w:val="16"/>
              </w:rPr>
            </w:pPr>
            <w:r>
              <w:rPr>
                <w:color w:val="231F20"/>
                <w:w w:val="92"/>
                <w:sz w:val="16"/>
              </w:rPr>
              <w:t>5</w:t>
            </w:r>
          </w:p>
        </w:tc>
      </w:tr>
      <w:tr>
        <w:trPr>
          <w:trHeight w:val="415" w:hRule="exact"/>
        </w:trPr>
        <w:tc>
          <w:tcPr>
            <w:tcW w:w="1987" w:type="dxa"/>
            <w:tcBorders>
              <w:left w:val="single" w:sz="4" w:space="0" w:color="231F20"/>
              <w:right w:val="single" w:sz="4" w:space="0" w:color="231F20"/>
            </w:tcBorders>
          </w:tcPr>
          <w:p>
            <w:pPr>
              <w:pStyle w:val="TableParagraph"/>
              <w:spacing w:before="7"/>
              <w:ind w:left="0"/>
              <w:rPr>
                <w:b/>
                <w:sz w:val="13"/>
              </w:rPr>
            </w:pPr>
          </w:p>
          <w:p>
            <w:pPr>
              <w:pStyle w:val="TableParagraph"/>
              <w:ind w:left="86"/>
              <w:rPr>
                <w:sz w:val="16"/>
              </w:rPr>
            </w:pPr>
            <w:r>
              <w:rPr>
                <w:color w:val="231F20"/>
                <w:sz w:val="16"/>
              </w:rPr>
              <w:t>Arquitectura</w:t>
            </w:r>
          </w:p>
        </w:tc>
        <w:tc>
          <w:tcPr>
            <w:tcW w:w="1925" w:type="dxa"/>
            <w:tcBorders>
              <w:left w:val="single" w:sz="4" w:space="0" w:color="231F20"/>
              <w:right w:val="single" w:sz="4" w:space="0" w:color="231F20"/>
            </w:tcBorders>
          </w:tcPr>
          <w:p>
            <w:pPr>
              <w:pStyle w:val="TableParagraph"/>
              <w:spacing w:before="41"/>
              <w:ind w:left="817" w:right="817"/>
              <w:jc w:val="center"/>
              <w:rPr>
                <w:sz w:val="16"/>
              </w:rPr>
            </w:pPr>
            <w:r>
              <w:rPr>
                <w:color w:val="231F20"/>
                <w:sz w:val="16"/>
              </w:rPr>
              <w:t>42</w:t>
            </w:r>
          </w:p>
        </w:tc>
        <w:tc>
          <w:tcPr>
            <w:tcW w:w="1190" w:type="dxa"/>
            <w:tcBorders>
              <w:left w:val="single" w:sz="4" w:space="0" w:color="231F20"/>
              <w:right w:val="single" w:sz="4" w:space="0" w:color="231F20"/>
            </w:tcBorders>
          </w:tcPr>
          <w:p>
            <w:pPr>
              <w:pStyle w:val="TableParagraph"/>
              <w:spacing w:before="41"/>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1"/>
              <w:ind w:left="86"/>
              <w:rPr>
                <w:sz w:val="16"/>
              </w:rPr>
            </w:pPr>
            <w:r>
              <w:rPr>
                <w:color w:val="231F20"/>
                <w:sz w:val="16"/>
              </w:rPr>
              <w:t>42</w:t>
            </w:r>
          </w:p>
        </w:tc>
      </w:tr>
      <w:tr>
        <w:trPr>
          <w:trHeight w:val="418" w:hRule="exact"/>
        </w:trPr>
        <w:tc>
          <w:tcPr>
            <w:tcW w:w="1987" w:type="dxa"/>
            <w:tcBorders>
              <w:left w:val="single" w:sz="4" w:space="0" w:color="231F20"/>
              <w:right w:val="single" w:sz="4" w:space="0" w:color="231F20"/>
            </w:tcBorders>
          </w:tcPr>
          <w:p>
            <w:pPr>
              <w:pStyle w:val="TableParagraph"/>
              <w:spacing w:before="9"/>
              <w:ind w:left="0"/>
              <w:rPr>
                <w:b/>
                <w:sz w:val="13"/>
              </w:rPr>
            </w:pPr>
          </w:p>
          <w:p>
            <w:pPr>
              <w:pStyle w:val="TableParagraph"/>
              <w:ind w:left="86"/>
              <w:rPr>
                <w:sz w:val="16"/>
              </w:rPr>
            </w:pPr>
            <w:r>
              <w:rPr>
                <w:color w:val="231F20"/>
                <w:sz w:val="16"/>
              </w:rPr>
              <w:t>Biología</w:t>
            </w:r>
          </w:p>
        </w:tc>
        <w:tc>
          <w:tcPr>
            <w:tcW w:w="1925" w:type="dxa"/>
            <w:tcBorders>
              <w:left w:val="single" w:sz="4" w:space="0" w:color="231F20"/>
              <w:right w:val="single" w:sz="4" w:space="0" w:color="231F20"/>
            </w:tcBorders>
          </w:tcPr>
          <w:p>
            <w:pPr>
              <w:pStyle w:val="TableParagraph"/>
              <w:spacing w:before="44"/>
              <w:ind w:left="817" w:right="817"/>
              <w:jc w:val="center"/>
              <w:rPr>
                <w:sz w:val="16"/>
              </w:rPr>
            </w:pPr>
            <w:r>
              <w:rPr>
                <w:color w:val="231F20"/>
                <w:sz w:val="16"/>
              </w:rPr>
              <w:t>21</w:t>
            </w:r>
          </w:p>
        </w:tc>
        <w:tc>
          <w:tcPr>
            <w:tcW w:w="1190" w:type="dxa"/>
            <w:tcBorders>
              <w:left w:val="single" w:sz="4" w:space="0" w:color="231F20"/>
              <w:right w:val="single" w:sz="4" w:space="0" w:color="231F20"/>
            </w:tcBorders>
          </w:tcPr>
          <w:p>
            <w:pPr>
              <w:pStyle w:val="TableParagraph"/>
              <w:spacing w:before="44"/>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4"/>
              <w:ind w:left="86"/>
              <w:rPr>
                <w:sz w:val="16"/>
              </w:rPr>
            </w:pPr>
            <w:r>
              <w:rPr>
                <w:color w:val="231F20"/>
                <w:sz w:val="16"/>
              </w:rPr>
              <w:t>21</w:t>
            </w:r>
          </w:p>
        </w:tc>
      </w:tr>
      <w:tr>
        <w:trPr>
          <w:trHeight w:val="415" w:hRule="exact"/>
        </w:trPr>
        <w:tc>
          <w:tcPr>
            <w:tcW w:w="1987" w:type="dxa"/>
            <w:tcBorders>
              <w:left w:val="single" w:sz="4" w:space="0" w:color="231F20"/>
              <w:right w:val="single" w:sz="4" w:space="0" w:color="231F20"/>
            </w:tcBorders>
          </w:tcPr>
          <w:p>
            <w:pPr>
              <w:pStyle w:val="TableParagraph"/>
              <w:spacing w:before="9"/>
              <w:ind w:left="0"/>
              <w:rPr>
                <w:b/>
                <w:sz w:val="13"/>
              </w:rPr>
            </w:pPr>
          </w:p>
          <w:p>
            <w:pPr>
              <w:pStyle w:val="TableParagraph"/>
              <w:ind w:left="86"/>
              <w:rPr>
                <w:sz w:val="16"/>
              </w:rPr>
            </w:pPr>
            <w:r>
              <w:rPr>
                <w:color w:val="231F20"/>
                <w:w w:val="95"/>
                <w:sz w:val="16"/>
              </w:rPr>
              <w:t>Ciencias de la Educación</w:t>
            </w:r>
          </w:p>
        </w:tc>
        <w:tc>
          <w:tcPr>
            <w:tcW w:w="1925" w:type="dxa"/>
            <w:tcBorders>
              <w:left w:val="single" w:sz="4" w:space="0" w:color="231F20"/>
              <w:right w:val="single" w:sz="4" w:space="0" w:color="231F20"/>
            </w:tcBorders>
          </w:tcPr>
          <w:p>
            <w:pPr>
              <w:pStyle w:val="TableParagraph"/>
              <w:spacing w:before="44"/>
              <w:ind w:left="817" w:right="817"/>
              <w:jc w:val="center"/>
              <w:rPr>
                <w:sz w:val="16"/>
              </w:rPr>
            </w:pPr>
            <w:r>
              <w:rPr>
                <w:color w:val="231F20"/>
                <w:sz w:val="16"/>
              </w:rPr>
              <w:t>23</w:t>
            </w:r>
          </w:p>
        </w:tc>
        <w:tc>
          <w:tcPr>
            <w:tcW w:w="1190" w:type="dxa"/>
            <w:tcBorders>
              <w:left w:val="single" w:sz="4" w:space="0" w:color="231F20"/>
              <w:right w:val="single" w:sz="4" w:space="0" w:color="231F20"/>
            </w:tcBorders>
          </w:tcPr>
          <w:p>
            <w:pPr>
              <w:pStyle w:val="TableParagraph"/>
              <w:spacing w:before="44"/>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4"/>
              <w:ind w:left="86"/>
              <w:rPr>
                <w:sz w:val="16"/>
              </w:rPr>
            </w:pPr>
            <w:r>
              <w:rPr>
                <w:color w:val="231F20"/>
                <w:sz w:val="16"/>
              </w:rPr>
              <w:t>23</w:t>
            </w:r>
          </w:p>
        </w:tc>
      </w:tr>
      <w:tr>
        <w:trPr>
          <w:trHeight w:val="418" w:hRule="exact"/>
        </w:trPr>
        <w:tc>
          <w:tcPr>
            <w:tcW w:w="1987" w:type="dxa"/>
            <w:tcBorders>
              <w:left w:val="single" w:sz="4" w:space="0" w:color="231F20"/>
              <w:right w:val="single" w:sz="4" w:space="0" w:color="231F20"/>
            </w:tcBorders>
          </w:tcPr>
          <w:p>
            <w:pPr>
              <w:pStyle w:val="TableParagraph"/>
              <w:ind w:left="0"/>
              <w:rPr>
                <w:b/>
                <w:sz w:val="14"/>
              </w:rPr>
            </w:pPr>
          </w:p>
          <w:p>
            <w:pPr>
              <w:pStyle w:val="TableParagraph"/>
              <w:ind w:left="86"/>
              <w:rPr>
                <w:sz w:val="16"/>
              </w:rPr>
            </w:pPr>
            <w:r>
              <w:rPr>
                <w:color w:val="231F20"/>
                <w:w w:val="95"/>
                <w:sz w:val="16"/>
              </w:rPr>
              <w:t>Cirujano dentista</w:t>
            </w:r>
          </w:p>
        </w:tc>
        <w:tc>
          <w:tcPr>
            <w:tcW w:w="1925" w:type="dxa"/>
            <w:tcBorders>
              <w:left w:val="single" w:sz="4" w:space="0" w:color="231F20"/>
              <w:right w:val="single" w:sz="4" w:space="0" w:color="231F20"/>
            </w:tcBorders>
          </w:tcPr>
          <w:p>
            <w:pPr>
              <w:pStyle w:val="TableParagraph"/>
              <w:spacing w:before="41"/>
              <w:ind w:left="817" w:right="817"/>
              <w:jc w:val="center"/>
              <w:rPr>
                <w:sz w:val="16"/>
              </w:rPr>
            </w:pPr>
            <w:r>
              <w:rPr>
                <w:color w:val="231F20"/>
                <w:sz w:val="16"/>
              </w:rPr>
              <w:t>14</w:t>
            </w:r>
          </w:p>
        </w:tc>
        <w:tc>
          <w:tcPr>
            <w:tcW w:w="1190" w:type="dxa"/>
            <w:tcBorders>
              <w:left w:val="single" w:sz="4" w:space="0" w:color="231F20"/>
              <w:right w:val="single" w:sz="4" w:space="0" w:color="231F20"/>
            </w:tcBorders>
          </w:tcPr>
          <w:p>
            <w:pPr>
              <w:pStyle w:val="TableParagraph"/>
              <w:spacing w:before="41"/>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1"/>
              <w:ind w:left="86"/>
              <w:rPr>
                <w:sz w:val="16"/>
              </w:rPr>
            </w:pPr>
            <w:r>
              <w:rPr>
                <w:color w:val="231F20"/>
                <w:sz w:val="16"/>
              </w:rPr>
              <w:t>14</w:t>
            </w:r>
          </w:p>
        </w:tc>
      </w:tr>
      <w:tr>
        <w:trPr>
          <w:trHeight w:val="418" w:hRule="exact"/>
        </w:trPr>
        <w:tc>
          <w:tcPr>
            <w:tcW w:w="1987" w:type="dxa"/>
            <w:tcBorders>
              <w:left w:val="single" w:sz="4" w:space="0" w:color="231F20"/>
              <w:right w:val="single" w:sz="4" w:space="0" w:color="231F20"/>
            </w:tcBorders>
          </w:tcPr>
          <w:p>
            <w:pPr>
              <w:pStyle w:val="TableParagraph"/>
              <w:ind w:left="0"/>
              <w:rPr>
                <w:b/>
                <w:sz w:val="14"/>
              </w:rPr>
            </w:pPr>
          </w:p>
          <w:p>
            <w:pPr>
              <w:pStyle w:val="TableParagraph"/>
              <w:ind w:left="86"/>
              <w:rPr>
                <w:sz w:val="16"/>
              </w:rPr>
            </w:pPr>
            <w:r>
              <w:rPr>
                <w:color w:val="231F20"/>
                <w:sz w:val="16"/>
              </w:rPr>
              <w:t>Computación</w:t>
            </w:r>
          </w:p>
        </w:tc>
        <w:tc>
          <w:tcPr>
            <w:tcW w:w="1925" w:type="dxa"/>
            <w:tcBorders>
              <w:left w:val="single" w:sz="4" w:space="0" w:color="231F20"/>
              <w:right w:val="single" w:sz="4" w:space="0" w:color="231F20"/>
            </w:tcBorders>
          </w:tcPr>
          <w:p>
            <w:pPr>
              <w:pStyle w:val="TableParagraph"/>
              <w:spacing w:before="41"/>
              <w:ind w:left="0"/>
              <w:jc w:val="center"/>
              <w:rPr>
                <w:sz w:val="16"/>
              </w:rPr>
            </w:pPr>
            <w:r>
              <w:rPr>
                <w:color w:val="231F20"/>
                <w:w w:val="92"/>
                <w:sz w:val="16"/>
              </w:rPr>
              <w:t>3</w:t>
            </w:r>
          </w:p>
        </w:tc>
        <w:tc>
          <w:tcPr>
            <w:tcW w:w="1190" w:type="dxa"/>
            <w:tcBorders>
              <w:left w:val="single" w:sz="4" w:space="0" w:color="231F20"/>
              <w:right w:val="single" w:sz="4" w:space="0" w:color="231F20"/>
            </w:tcBorders>
          </w:tcPr>
          <w:p>
            <w:pPr>
              <w:pStyle w:val="TableParagraph"/>
              <w:spacing w:before="41"/>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1"/>
              <w:ind w:left="86"/>
              <w:rPr>
                <w:sz w:val="16"/>
              </w:rPr>
            </w:pPr>
            <w:r>
              <w:rPr>
                <w:color w:val="231F20"/>
                <w:w w:val="92"/>
                <w:sz w:val="16"/>
              </w:rPr>
              <w:t>3</w:t>
            </w:r>
          </w:p>
        </w:tc>
      </w:tr>
      <w:tr>
        <w:trPr>
          <w:trHeight w:val="418" w:hRule="exact"/>
        </w:trPr>
        <w:tc>
          <w:tcPr>
            <w:tcW w:w="1987" w:type="dxa"/>
            <w:tcBorders>
              <w:left w:val="single" w:sz="4" w:space="0" w:color="231F20"/>
              <w:right w:val="single" w:sz="4" w:space="0" w:color="231F20"/>
            </w:tcBorders>
          </w:tcPr>
          <w:p>
            <w:pPr>
              <w:pStyle w:val="TableParagraph"/>
              <w:ind w:left="0"/>
              <w:rPr>
                <w:b/>
                <w:sz w:val="14"/>
              </w:rPr>
            </w:pPr>
          </w:p>
          <w:p>
            <w:pPr>
              <w:pStyle w:val="TableParagraph"/>
              <w:ind w:left="86"/>
              <w:rPr>
                <w:sz w:val="16"/>
              </w:rPr>
            </w:pPr>
            <w:r>
              <w:rPr>
                <w:color w:val="231F20"/>
                <w:w w:val="95"/>
                <w:sz w:val="16"/>
              </w:rPr>
              <w:t>Contaduría Pública</w:t>
            </w:r>
          </w:p>
        </w:tc>
        <w:tc>
          <w:tcPr>
            <w:tcW w:w="1925" w:type="dxa"/>
            <w:tcBorders>
              <w:left w:val="single" w:sz="4" w:space="0" w:color="231F20"/>
              <w:right w:val="single" w:sz="4" w:space="0" w:color="231F20"/>
            </w:tcBorders>
          </w:tcPr>
          <w:p>
            <w:pPr>
              <w:pStyle w:val="TableParagraph"/>
              <w:spacing w:before="41"/>
              <w:ind w:left="817" w:right="817"/>
              <w:jc w:val="center"/>
              <w:rPr>
                <w:sz w:val="16"/>
              </w:rPr>
            </w:pPr>
            <w:r>
              <w:rPr>
                <w:color w:val="231F20"/>
                <w:sz w:val="16"/>
              </w:rPr>
              <w:t>20</w:t>
            </w:r>
          </w:p>
        </w:tc>
        <w:tc>
          <w:tcPr>
            <w:tcW w:w="1190" w:type="dxa"/>
            <w:tcBorders>
              <w:left w:val="single" w:sz="4" w:space="0" w:color="231F20"/>
              <w:right w:val="single" w:sz="4" w:space="0" w:color="231F20"/>
            </w:tcBorders>
          </w:tcPr>
          <w:p>
            <w:pPr>
              <w:pStyle w:val="TableParagraph"/>
              <w:spacing w:before="41"/>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1"/>
              <w:ind w:left="86"/>
              <w:rPr>
                <w:sz w:val="16"/>
              </w:rPr>
            </w:pPr>
            <w:r>
              <w:rPr>
                <w:color w:val="231F20"/>
                <w:sz w:val="16"/>
              </w:rPr>
              <w:t>20</w:t>
            </w:r>
          </w:p>
        </w:tc>
      </w:tr>
      <w:tr>
        <w:trPr>
          <w:trHeight w:val="418" w:hRule="exact"/>
        </w:trPr>
        <w:tc>
          <w:tcPr>
            <w:tcW w:w="1987" w:type="dxa"/>
            <w:tcBorders>
              <w:left w:val="single" w:sz="4" w:space="0" w:color="231F20"/>
              <w:right w:val="single" w:sz="4" w:space="0" w:color="231F20"/>
            </w:tcBorders>
          </w:tcPr>
          <w:p>
            <w:pPr>
              <w:pStyle w:val="TableParagraph"/>
              <w:ind w:left="0"/>
              <w:rPr>
                <w:b/>
                <w:sz w:val="14"/>
              </w:rPr>
            </w:pPr>
          </w:p>
          <w:p>
            <w:pPr>
              <w:pStyle w:val="TableParagraph"/>
              <w:ind w:left="86"/>
              <w:rPr>
                <w:sz w:val="16"/>
              </w:rPr>
            </w:pPr>
            <w:r>
              <w:rPr>
                <w:color w:val="231F20"/>
                <w:sz w:val="16"/>
              </w:rPr>
              <w:t>Derecho</w:t>
            </w:r>
          </w:p>
        </w:tc>
        <w:tc>
          <w:tcPr>
            <w:tcW w:w="1925" w:type="dxa"/>
            <w:tcBorders>
              <w:left w:val="single" w:sz="4" w:space="0" w:color="231F20"/>
              <w:right w:val="single" w:sz="4" w:space="0" w:color="231F20"/>
            </w:tcBorders>
          </w:tcPr>
          <w:p>
            <w:pPr>
              <w:pStyle w:val="TableParagraph"/>
              <w:spacing w:before="41"/>
              <w:ind w:left="817" w:right="817"/>
              <w:jc w:val="center"/>
              <w:rPr>
                <w:sz w:val="16"/>
              </w:rPr>
            </w:pPr>
            <w:r>
              <w:rPr>
                <w:color w:val="231F20"/>
                <w:sz w:val="16"/>
              </w:rPr>
              <w:t>53</w:t>
            </w:r>
          </w:p>
        </w:tc>
        <w:tc>
          <w:tcPr>
            <w:tcW w:w="1190" w:type="dxa"/>
            <w:tcBorders>
              <w:left w:val="single" w:sz="4" w:space="0" w:color="231F20"/>
              <w:right w:val="single" w:sz="4" w:space="0" w:color="231F20"/>
            </w:tcBorders>
          </w:tcPr>
          <w:p>
            <w:pPr>
              <w:pStyle w:val="TableParagraph"/>
              <w:spacing w:before="41"/>
              <w:ind w:left="0" w:right="553"/>
              <w:jc w:val="right"/>
              <w:rPr>
                <w:sz w:val="16"/>
              </w:rPr>
            </w:pPr>
            <w:r>
              <w:rPr>
                <w:color w:val="231F20"/>
                <w:w w:val="92"/>
                <w:sz w:val="16"/>
              </w:rPr>
              <w:t>4</w:t>
            </w:r>
          </w:p>
        </w:tc>
        <w:tc>
          <w:tcPr>
            <w:tcW w:w="720" w:type="dxa"/>
            <w:tcBorders>
              <w:left w:val="single" w:sz="4" w:space="0" w:color="231F20"/>
              <w:right w:val="single" w:sz="4" w:space="0" w:color="231F20"/>
            </w:tcBorders>
          </w:tcPr>
          <w:p>
            <w:pPr>
              <w:pStyle w:val="TableParagraph"/>
              <w:spacing w:before="41"/>
              <w:ind w:left="86"/>
              <w:rPr>
                <w:sz w:val="16"/>
              </w:rPr>
            </w:pPr>
            <w:r>
              <w:rPr>
                <w:color w:val="231F20"/>
                <w:sz w:val="16"/>
              </w:rPr>
              <w:t>57</w:t>
            </w:r>
          </w:p>
        </w:tc>
      </w:tr>
      <w:tr>
        <w:trPr>
          <w:trHeight w:val="418" w:hRule="exact"/>
        </w:trPr>
        <w:tc>
          <w:tcPr>
            <w:tcW w:w="1987" w:type="dxa"/>
            <w:tcBorders>
              <w:left w:val="single" w:sz="4" w:space="0" w:color="231F20"/>
              <w:right w:val="single" w:sz="4" w:space="0" w:color="231F20"/>
            </w:tcBorders>
          </w:tcPr>
          <w:p>
            <w:pPr>
              <w:pStyle w:val="TableParagraph"/>
              <w:ind w:left="0"/>
              <w:rPr>
                <w:b/>
                <w:sz w:val="14"/>
              </w:rPr>
            </w:pPr>
          </w:p>
          <w:p>
            <w:pPr>
              <w:pStyle w:val="TableParagraph"/>
              <w:ind w:left="86"/>
              <w:rPr>
                <w:sz w:val="16"/>
              </w:rPr>
            </w:pPr>
            <w:r>
              <w:rPr>
                <w:color w:val="231F20"/>
                <w:sz w:val="16"/>
              </w:rPr>
              <w:t>Economía</w:t>
            </w:r>
          </w:p>
        </w:tc>
        <w:tc>
          <w:tcPr>
            <w:tcW w:w="1925" w:type="dxa"/>
            <w:tcBorders>
              <w:left w:val="single" w:sz="4" w:space="0" w:color="231F20"/>
              <w:right w:val="single" w:sz="4" w:space="0" w:color="231F20"/>
            </w:tcBorders>
          </w:tcPr>
          <w:p>
            <w:pPr>
              <w:pStyle w:val="TableParagraph"/>
              <w:spacing w:before="41"/>
              <w:ind w:left="817" w:right="817"/>
              <w:jc w:val="center"/>
              <w:rPr>
                <w:sz w:val="16"/>
              </w:rPr>
            </w:pPr>
            <w:r>
              <w:rPr>
                <w:color w:val="231F20"/>
                <w:sz w:val="16"/>
              </w:rPr>
              <w:t>13</w:t>
            </w:r>
          </w:p>
        </w:tc>
        <w:tc>
          <w:tcPr>
            <w:tcW w:w="1190" w:type="dxa"/>
            <w:tcBorders>
              <w:left w:val="single" w:sz="4" w:space="0" w:color="231F20"/>
              <w:right w:val="single" w:sz="4" w:space="0" w:color="231F20"/>
            </w:tcBorders>
          </w:tcPr>
          <w:p>
            <w:pPr>
              <w:pStyle w:val="TableParagraph"/>
              <w:spacing w:before="41"/>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1"/>
              <w:ind w:left="86"/>
              <w:rPr>
                <w:sz w:val="16"/>
              </w:rPr>
            </w:pPr>
            <w:r>
              <w:rPr>
                <w:color w:val="231F20"/>
                <w:sz w:val="16"/>
              </w:rPr>
              <w:t>13</w:t>
            </w:r>
          </w:p>
        </w:tc>
      </w:tr>
      <w:tr>
        <w:trPr>
          <w:trHeight w:val="415" w:hRule="exact"/>
        </w:trPr>
        <w:tc>
          <w:tcPr>
            <w:tcW w:w="1987" w:type="dxa"/>
            <w:tcBorders>
              <w:left w:val="single" w:sz="4" w:space="0" w:color="231F20"/>
              <w:right w:val="single" w:sz="4" w:space="0" w:color="231F20"/>
            </w:tcBorders>
          </w:tcPr>
          <w:p>
            <w:pPr>
              <w:pStyle w:val="TableParagraph"/>
              <w:spacing w:before="7"/>
              <w:ind w:left="0"/>
              <w:rPr>
                <w:b/>
                <w:sz w:val="13"/>
              </w:rPr>
            </w:pPr>
          </w:p>
          <w:p>
            <w:pPr>
              <w:pStyle w:val="TableParagraph"/>
              <w:ind w:left="86"/>
              <w:rPr>
                <w:sz w:val="16"/>
              </w:rPr>
            </w:pPr>
            <w:r>
              <w:rPr>
                <w:color w:val="231F20"/>
                <w:w w:val="95"/>
                <w:sz w:val="16"/>
              </w:rPr>
              <w:t>Enfermería y Obstetricia</w:t>
            </w:r>
          </w:p>
        </w:tc>
        <w:tc>
          <w:tcPr>
            <w:tcW w:w="1925" w:type="dxa"/>
            <w:tcBorders>
              <w:left w:val="single" w:sz="4" w:space="0" w:color="231F20"/>
              <w:right w:val="single" w:sz="4" w:space="0" w:color="231F20"/>
            </w:tcBorders>
          </w:tcPr>
          <w:p>
            <w:pPr>
              <w:pStyle w:val="TableParagraph"/>
              <w:spacing w:before="41"/>
              <w:ind w:left="817" w:right="817"/>
              <w:jc w:val="center"/>
              <w:rPr>
                <w:sz w:val="16"/>
              </w:rPr>
            </w:pPr>
            <w:r>
              <w:rPr>
                <w:color w:val="231F20"/>
                <w:sz w:val="16"/>
              </w:rPr>
              <w:t>26</w:t>
            </w:r>
          </w:p>
        </w:tc>
        <w:tc>
          <w:tcPr>
            <w:tcW w:w="1190" w:type="dxa"/>
            <w:tcBorders>
              <w:left w:val="single" w:sz="4" w:space="0" w:color="231F20"/>
              <w:right w:val="single" w:sz="4" w:space="0" w:color="231F20"/>
            </w:tcBorders>
          </w:tcPr>
          <w:p>
            <w:pPr>
              <w:pStyle w:val="TableParagraph"/>
              <w:spacing w:before="41"/>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1"/>
              <w:ind w:left="86"/>
              <w:rPr>
                <w:sz w:val="16"/>
              </w:rPr>
            </w:pPr>
            <w:r>
              <w:rPr>
                <w:color w:val="231F20"/>
                <w:sz w:val="16"/>
              </w:rPr>
              <w:t>26</w:t>
            </w:r>
          </w:p>
        </w:tc>
      </w:tr>
      <w:tr>
        <w:trPr>
          <w:trHeight w:val="418" w:hRule="exact"/>
        </w:trPr>
        <w:tc>
          <w:tcPr>
            <w:tcW w:w="1987" w:type="dxa"/>
            <w:tcBorders>
              <w:left w:val="single" w:sz="4" w:space="0" w:color="231F20"/>
              <w:right w:val="single" w:sz="4" w:space="0" w:color="231F20"/>
            </w:tcBorders>
          </w:tcPr>
          <w:p>
            <w:pPr>
              <w:pStyle w:val="TableParagraph"/>
              <w:spacing w:before="9"/>
              <w:ind w:left="0"/>
              <w:rPr>
                <w:b/>
                <w:sz w:val="13"/>
              </w:rPr>
            </w:pPr>
          </w:p>
          <w:p>
            <w:pPr>
              <w:pStyle w:val="TableParagraph"/>
              <w:ind w:left="86"/>
              <w:rPr>
                <w:sz w:val="16"/>
              </w:rPr>
            </w:pPr>
            <w:r>
              <w:rPr>
                <w:color w:val="231F20"/>
                <w:sz w:val="16"/>
              </w:rPr>
              <w:t>Física</w:t>
            </w:r>
          </w:p>
        </w:tc>
        <w:tc>
          <w:tcPr>
            <w:tcW w:w="1925" w:type="dxa"/>
            <w:tcBorders>
              <w:left w:val="single" w:sz="4" w:space="0" w:color="231F20"/>
              <w:right w:val="single" w:sz="4" w:space="0" w:color="231F20"/>
            </w:tcBorders>
          </w:tcPr>
          <w:p>
            <w:pPr>
              <w:pStyle w:val="TableParagraph"/>
              <w:spacing w:before="44"/>
              <w:ind w:left="0"/>
              <w:jc w:val="center"/>
              <w:rPr>
                <w:sz w:val="16"/>
              </w:rPr>
            </w:pPr>
            <w:r>
              <w:rPr>
                <w:color w:val="231F20"/>
                <w:w w:val="92"/>
                <w:sz w:val="16"/>
              </w:rPr>
              <w:t>3</w:t>
            </w:r>
          </w:p>
        </w:tc>
        <w:tc>
          <w:tcPr>
            <w:tcW w:w="1190" w:type="dxa"/>
            <w:tcBorders>
              <w:left w:val="single" w:sz="4" w:space="0" w:color="231F20"/>
              <w:right w:val="single" w:sz="4" w:space="0" w:color="231F20"/>
            </w:tcBorders>
          </w:tcPr>
          <w:p>
            <w:pPr>
              <w:pStyle w:val="TableParagraph"/>
              <w:spacing w:before="44"/>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4"/>
              <w:ind w:left="86"/>
              <w:rPr>
                <w:sz w:val="16"/>
              </w:rPr>
            </w:pPr>
            <w:r>
              <w:rPr>
                <w:color w:val="231F20"/>
                <w:w w:val="92"/>
                <w:sz w:val="16"/>
              </w:rPr>
              <w:t>3</w:t>
            </w:r>
          </w:p>
        </w:tc>
      </w:tr>
      <w:tr>
        <w:trPr>
          <w:trHeight w:val="386" w:hRule="exact"/>
        </w:trPr>
        <w:tc>
          <w:tcPr>
            <w:tcW w:w="1987" w:type="dxa"/>
            <w:tcBorders>
              <w:left w:val="single" w:sz="4" w:space="0" w:color="231F20"/>
              <w:right w:val="single" w:sz="4" w:space="0" w:color="231F20"/>
            </w:tcBorders>
          </w:tcPr>
          <w:p>
            <w:pPr>
              <w:pStyle w:val="TableParagraph"/>
              <w:spacing w:before="9"/>
              <w:ind w:left="0"/>
              <w:rPr>
                <w:b/>
                <w:sz w:val="13"/>
              </w:rPr>
            </w:pPr>
          </w:p>
          <w:p>
            <w:pPr>
              <w:pStyle w:val="TableParagraph"/>
              <w:ind w:left="86"/>
              <w:rPr>
                <w:sz w:val="16"/>
              </w:rPr>
            </w:pPr>
            <w:r>
              <w:rPr>
                <w:color w:val="231F20"/>
                <w:sz w:val="16"/>
              </w:rPr>
              <w:t>Matemáticas</w:t>
            </w:r>
          </w:p>
        </w:tc>
        <w:tc>
          <w:tcPr>
            <w:tcW w:w="1925" w:type="dxa"/>
            <w:tcBorders>
              <w:left w:val="single" w:sz="4" w:space="0" w:color="231F20"/>
              <w:right w:val="single" w:sz="4" w:space="0" w:color="231F20"/>
            </w:tcBorders>
          </w:tcPr>
          <w:p>
            <w:pPr>
              <w:pStyle w:val="TableParagraph"/>
              <w:spacing w:before="44"/>
              <w:ind w:left="0"/>
              <w:jc w:val="center"/>
              <w:rPr>
                <w:sz w:val="16"/>
              </w:rPr>
            </w:pPr>
            <w:r>
              <w:rPr>
                <w:color w:val="231F20"/>
                <w:w w:val="92"/>
                <w:sz w:val="16"/>
              </w:rPr>
              <w:t>1</w:t>
            </w:r>
          </w:p>
        </w:tc>
        <w:tc>
          <w:tcPr>
            <w:tcW w:w="1190" w:type="dxa"/>
            <w:tcBorders>
              <w:left w:val="single" w:sz="4" w:space="0" w:color="231F20"/>
              <w:right w:val="single" w:sz="4" w:space="0" w:color="231F20"/>
            </w:tcBorders>
          </w:tcPr>
          <w:p>
            <w:pPr>
              <w:pStyle w:val="TableParagraph"/>
              <w:spacing w:before="44"/>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4"/>
              <w:ind w:left="86"/>
              <w:rPr>
                <w:sz w:val="16"/>
              </w:rPr>
            </w:pPr>
            <w:r>
              <w:rPr>
                <w:color w:val="231F20"/>
                <w:w w:val="92"/>
                <w:sz w:val="16"/>
              </w:rPr>
              <w:t>1</w:t>
            </w:r>
          </w:p>
        </w:tc>
      </w:tr>
      <w:tr>
        <w:trPr>
          <w:trHeight w:val="446" w:hRule="exact"/>
        </w:trPr>
        <w:tc>
          <w:tcPr>
            <w:tcW w:w="1987" w:type="dxa"/>
            <w:tcBorders>
              <w:left w:val="single" w:sz="4" w:space="0" w:color="231F20"/>
              <w:right w:val="single" w:sz="4" w:space="0" w:color="231F20"/>
            </w:tcBorders>
          </w:tcPr>
          <w:p>
            <w:pPr>
              <w:pStyle w:val="TableParagraph"/>
              <w:spacing w:line="178" w:lineRule="exact" w:before="19"/>
              <w:ind w:left="86"/>
              <w:rPr>
                <w:sz w:val="16"/>
              </w:rPr>
            </w:pPr>
            <w:r>
              <w:rPr>
                <w:color w:val="231F20"/>
                <w:w w:val="95"/>
                <w:sz w:val="16"/>
              </w:rPr>
              <w:t>Medicina veterinaria y </w:t>
            </w:r>
            <w:r>
              <w:rPr>
                <w:color w:val="231F20"/>
                <w:sz w:val="16"/>
              </w:rPr>
              <w:t>Zootecnia</w:t>
            </w:r>
          </w:p>
        </w:tc>
        <w:tc>
          <w:tcPr>
            <w:tcW w:w="1925" w:type="dxa"/>
            <w:tcBorders>
              <w:left w:val="single" w:sz="4" w:space="0" w:color="231F20"/>
              <w:right w:val="single" w:sz="4" w:space="0" w:color="231F20"/>
            </w:tcBorders>
          </w:tcPr>
          <w:p>
            <w:pPr>
              <w:pStyle w:val="TableParagraph"/>
              <w:spacing w:before="70"/>
              <w:ind w:left="817" w:right="817"/>
              <w:jc w:val="center"/>
              <w:rPr>
                <w:sz w:val="16"/>
              </w:rPr>
            </w:pPr>
            <w:r>
              <w:rPr>
                <w:color w:val="231F20"/>
                <w:sz w:val="16"/>
              </w:rPr>
              <w:t>19</w:t>
            </w:r>
          </w:p>
        </w:tc>
        <w:tc>
          <w:tcPr>
            <w:tcW w:w="1190" w:type="dxa"/>
            <w:tcBorders>
              <w:left w:val="single" w:sz="4" w:space="0" w:color="231F20"/>
              <w:right w:val="single" w:sz="4" w:space="0" w:color="231F20"/>
            </w:tcBorders>
          </w:tcPr>
          <w:p>
            <w:pPr>
              <w:pStyle w:val="TableParagraph"/>
              <w:spacing w:before="70"/>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70"/>
              <w:ind w:left="86"/>
              <w:rPr>
                <w:sz w:val="16"/>
              </w:rPr>
            </w:pPr>
            <w:r>
              <w:rPr>
                <w:color w:val="231F20"/>
                <w:sz w:val="16"/>
              </w:rPr>
              <w:t>19</w:t>
            </w:r>
          </w:p>
        </w:tc>
      </w:tr>
      <w:tr>
        <w:trPr>
          <w:trHeight w:val="386" w:hRule="exact"/>
        </w:trPr>
        <w:tc>
          <w:tcPr>
            <w:tcW w:w="1987" w:type="dxa"/>
            <w:tcBorders>
              <w:left w:val="single" w:sz="4" w:space="0" w:color="231F20"/>
              <w:right w:val="single" w:sz="4" w:space="0" w:color="231F20"/>
            </w:tcBorders>
          </w:tcPr>
          <w:p>
            <w:pPr>
              <w:pStyle w:val="TableParagraph"/>
              <w:ind w:left="0"/>
              <w:rPr>
                <w:b/>
                <w:sz w:val="14"/>
              </w:rPr>
            </w:pPr>
          </w:p>
          <w:p>
            <w:pPr>
              <w:pStyle w:val="TableParagraph"/>
              <w:ind w:left="86"/>
              <w:rPr>
                <w:sz w:val="16"/>
              </w:rPr>
            </w:pPr>
            <w:r>
              <w:rPr>
                <w:color w:val="231F20"/>
                <w:sz w:val="16"/>
              </w:rPr>
              <w:t>Odontología</w:t>
            </w:r>
          </w:p>
        </w:tc>
        <w:tc>
          <w:tcPr>
            <w:tcW w:w="1925" w:type="dxa"/>
            <w:tcBorders>
              <w:left w:val="single" w:sz="4" w:space="0" w:color="231F20"/>
              <w:right w:val="single" w:sz="4" w:space="0" w:color="231F20"/>
            </w:tcBorders>
          </w:tcPr>
          <w:p>
            <w:pPr>
              <w:pStyle w:val="TableParagraph"/>
              <w:spacing w:before="41"/>
              <w:ind w:left="817" w:right="817"/>
              <w:jc w:val="center"/>
              <w:rPr>
                <w:sz w:val="16"/>
              </w:rPr>
            </w:pPr>
            <w:r>
              <w:rPr>
                <w:color w:val="231F20"/>
                <w:sz w:val="16"/>
              </w:rPr>
              <w:t>20</w:t>
            </w:r>
          </w:p>
        </w:tc>
        <w:tc>
          <w:tcPr>
            <w:tcW w:w="1190" w:type="dxa"/>
            <w:tcBorders>
              <w:left w:val="single" w:sz="4" w:space="0" w:color="231F20"/>
              <w:right w:val="single" w:sz="4" w:space="0" w:color="231F20"/>
            </w:tcBorders>
          </w:tcPr>
          <w:p>
            <w:pPr>
              <w:pStyle w:val="TableParagraph"/>
              <w:spacing w:before="41"/>
              <w:ind w:left="0" w:right="553"/>
              <w:jc w:val="right"/>
              <w:rPr>
                <w:sz w:val="16"/>
              </w:rPr>
            </w:pPr>
            <w:r>
              <w:rPr>
                <w:color w:val="231F20"/>
                <w:w w:val="92"/>
                <w:sz w:val="16"/>
              </w:rPr>
              <w:t>0</w:t>
            </w:r>
          </w:p>
        </w:tc>
        <w:tc>
          <w:tcPr>
            <w:tcW w:w="720" w:type="dxa"/>
            <w:tcBorders>
              <w:left w:val="single" w:sz="4" w:space="0" w:color="231F20"/>
              <w:right w:val="single" w:sz="4" w:space="0" w:color="231F20"/>
            </w:tcBorders>
          </w:tcPr>
          <w:p>
            <w:pPr>
              <w:pStyle w:val="TableParagraph"/>
              <w:spacing w:before="41"/>
              <w:ind w:left="86"/>
              <w:rPr>
                <w:sz w:val="16"/>
              </w:rPr>
            </w:pPr>
            <w:r>
              <w:rPr>
                <w:color w:val="231F20"/>
                <w:sz w:val="16"/>
              </w:rPr>
              <w:t>20</w:t>
            </w:r>
          </w:p>
        </w:tc>
      </w:tr>
      <w:tr>
        <w:trPr>
          <w:trHeight w:val="390" w:hRule="exact"/>
        </w:trPr>
        <w:tc>
          <w:tcPr>
            <w:tcW w:w="1987" w:type="dxa"/>
            <w:tcBorders>
              <w:left w:val="single" w:sz="4" w:space="0" w:color="231F20"/>
              <w:bottom w:val="single" w:sz="4" w:space="0" w:color="231F20"/>
              <w:right w:val="single" w:sz="4" w:space="0" w:color="231F20"/>
            </w:tcBorders>
          </w:tcPr>
          <w:p>
            <w:pPr>
              <w:pStyle w:val="TableParagraph"/>
              <w:spacing w:before="10"/>
              <w:ind w:left="86"/>
              <w:rPr>
                <w:sz w:val="16"/>
              </w:rPr>
            </w:pPr>
            <w:r>
              <w:rPr>
                <w:color w:val="231F20"/>
                <w:w w:val="95"/>
                <w:sz w:val="16"/>
              </w:rPr>
              <w:t>Químico Biólogo Farmacéu- </w:t>
            </w:r>
            <w:r>
              <w:rPr>
                <w:color w:val="231F20"/>
                <w:sz w:val="16"/>
              </w:rPr>
              <w:t>tico</w:t>
            </w:r>
          </w:p>
        </w:tc>
        <w:tc>
          <w:tcPr>
            <w:tcW w:w="1925" w:type="dxa"/>
            <w:tcBorders>
              <w:left w:val="single" w:sz="4" w:space="0" w:color="231F20"/>
              <w:bottom w:val="single" w:sz="4" w:space="0" w:color="231F20"/>
              <w:right w:val="single" w:sz="4" w:space="0" w:color="231F20"/>
            </w:tcBorders>
          </w:tcPr>
          <w:p>
            <w:pPr>
              <w:pStyle w:val="TableParagraph"/>
              <w:spacing w:before="72"/>
              <w:ind w:left="817" w:right="817"/>
              <w:jc w:val="center"/>
              <w:rPr>
                <w:sz w:val="16"/>
              </w:rPr>
            </w:pPr>
            <w:r>
              <w:rPr>
                <w:color w:val="231F20"/>
                <w:sz w:val="16"/>
              </w:rPr>
              <w:t>25</w:t>
            </w:r>
          </w:p>
        </w:tc>
        <w:tc>
          <w:tcPr>
            <w:tcW w:w="1190" w:type="dxa"/>
            <w:tcBorders>
              <w:left w:val="single" w:sz="4" w:space="0" w:color="231F20"/>
              <w:bottom w:val="single" w:sz="4" w:space="0" w:color="231F20"/>
              <w:right w:val="single" w:sz="4" w:space="0" w:color="231F20"/>
            </w:tcBorders>
          </w:tcPr>
          <w:p>
            <w:pPr>
              <w:pStyle w:val="TableParagraph"/>
              <w:spacing w:before="72"/>
              <w:ind w:left="0" w:right="553"/>
              <w:jc w:val="right"/>
              <w:rPr>
                <w:sz w:val="16"/>
              </w:rPr>
            </w:pPr>
            <w:r>
              <w:rPr>
                <w:color w:val="231F20"/>
                <w:w w:val="92"/>
                <w:sz w:val="16"/>
              </w:rPr>
              <w:t>0</w:t>
            </w:r>
          </w:p>
        </w:tc>
        <w:tc>
          <w:tcPr>
            <w:tcW w:w="720" w:type="dxa"/>
            <w:tcBorders>
              <w:left w:val="single" w:sz="4" w:space="0" w:color="231F20"/>
              <w:bottom w:val="single" w:sz="4" w:space="0" w:color="231F20"/>
              <w:right w:val="single" w:sz="4" w:space="0" w:color="231F20"/>
            </w:tcBorders>
          </w:tcPr>
          <w:p>
            <w:pPr>
              <w:pStyle w:val="TableParagraph"/>
              <w:spacing w:before="72"/>
              <w:ind w:left="86"/>
              <w:rPr>
                <w:sz w:val="16"/>
              </w:rPr>
            </w:pPr>
            <w:r>
              <w:rPr>
                <w:color w:val="231F20"/>
                <w:sz w:val="16"/>
              </w:rPr>
              <w:t>25</w:t>
            </w:r>
          </w:p>
        </w:tc>
      </w:tr>
      <w:tr>
        <w:trPr>
          <w:trHeight w:val="283" w:hRule="exact"/>
        </w:trPr>
        <w:tc>
          <w:tcPr>
            <w:tcW w:w="1987" w:type="dxa"/>
            <w:tcBorders>
              <w:top w:val="single" w:sz="4" w:space="0" w:color="231F20"/>
              <w:left w:val="single" w:sz="4" w:space="0" w:color="231F20"/>
              <w:bottom w:val="single" w:sz="4" w:space="0" w:color="231F20"/>
              <w:right w:val="single" w:sz="4" w:space="0" w:color="231F20"/>
            </w:tcBorders>
          </w:tcPr>
          <w:p>
            <w:pPr>
              <w:pStyle w:val="TableParagraph"/>
              <w:spacing w:line="169" w:lineRule="exact"/>
              <w:ind w:left="86"/>
              <w:rPr>
                <w:b/>
                <w:sz w:val="16"/>
              </w:rPr>
            </w:pPr>
            <w:r>
              <w:rPr>
                <w:b/>
                <w:color w:val="231F20"/>
                <w:sz w:val="16"/>
              </w:rPr>
              <w:t>Total</w:t>
            </w:r>
          </w:p>
        </w:tc>
        <w:tc>
          <w:tcPr>
            <w:tcW w:w="1925" w:type="dxa"/>
            <w:tcBorders>
              <w:top w:val="single" w:sz="4" w:space="0" w:color="231F20"/>
              <w:left w:val="single" w:sz="4" w:space="0" w:color="231F20"/>
              <w:bottom w:val="single" w:sz="4" w:space="0" w:color="231F20"/>
              <w:right w:val="single" w:sz="4" w:space="0" w:color="231F20"/>
            </w:tcBorders>
          </w:tcPr>
          <w:p>
            <w:pPr>
              <w:pStyle w:val="TableParagraph"/>
              <w:spacing w:before="33"/>
              <w:ind w:left="817" w:right="817"/>
              <w:jc w:val="center"/>
              <w:rPr>
                <w:b/>
                <w:sz w:val="16"/>
              </w:rPr>
            </w:pPr>
            <w:r>
              <w:rPr>
                <w:b/>
                <w:color w:val="231F20"/>
                <w:sz w:val="16"/>
              </w:rPr>
              <w:t>302</w:t>
            </w:r>
          </w:p>
        </w:tc>
        <w:tc>
          <w:tcPr>
            <w:tcW w:w="1190" w:type="dxa"/>
            <w:tcBorders>
              <w:top w:val="single" w:sz="4" w:space="0" w:color="231F20"/>
              <w:left w:val="single" w:sz="4" w:space="0" w:color="231F20"/>
              <w:bottom w:val="single" w:sz="4" w:space="0" w:color="231F20"/>
              <w:right w:val="single" w:sz="4" w:space="0" w:color="231F20"/>
            </w:tcBorders>
          </w:tcPr>
          <w:p>
            <w:pPr>
              <w:pStyle w:val="TableParagraph"/>
              <w:spacing w:before="33"/>
              <w:ind w:left="0" w:right="553"/>
              <w:jc w:val="right"/>
              <w:rPr>
                <w:b/>
                <w:sz w:val="16"/>
              </w:rPr>
            </w:pPr>
            <w:r>
              <w:rPr>
                <w:b/>
                <w:color w:val="231F20"/>
                <w:w w:val="92"/>
                <w:sz w:val="16"/>
              </w:rPr>
              <w:t>4</w:t>
            </w:r>
          </w:p>
        </w:tc>
        <w:tc>
          <w:tcPr>
            <w:tcW w:w="720" w:type="dxa"/>
            <w:tcBorders>
              <w:top w:val="single" w:sz="4" w:space="0" w:color="231F20"/>
              <w:left w:val="single" w:sz="4" w:space="0" w:color="231F20"/>
              <w:bottom w:val="single" w:sz="4" w:space="0" w:color="231F20"/>
              <w:right w:val="single" w:sz="4" w:space="0" w:color="231F20"/>
            </w:tcBorders>
          </w:tcPr>
          <w:p>
            <w:pPr>
              <w:pStyle w:val="TableParagraph"/>
              <w:spacing w:before="33"/>
              <w:ind w:left="86"/>
              <w:rPr>
                <w:b/>
                <w:sz w:val="16"/>
              </w:rPr>
            </w:pPr>
            <w:r>
              <w:rPr>
                <w:b/>
                <w:color w:val="231F20"/>
                <w:sz w:val="16"/>
              </w:rPr>
              <w:t>306</w:t>
            </w:r>
          </w:p>
        </w:tc>
      </w:tr>
    </w:tbl>
    <w:p>
      <w:pPr>
        <w:spacing w:after="0"/>
        <w:rPr>
          <w:sz w:val="16"/>
        </w:rPr>
        <w:sectPr>
          <w:headerReference w:type="default" r:id="rId860"/>
          <w:footerReference w:type="default" r:id="rId861"/>
          <w:pgSz w:w="7830" w:h="11910"/>
          <w:pgMar w:header="0" w:footer="424" w:top="500" w:bottom="620" w:left="900" w:right="840"/>
          <w:pgNumType w:start="388"/>
        </w:sectPr>
      </w:pPr>
    </w:p>
    <w:p>
      <w:pPr>
        <w:spacing w:before="46"/>
        <w:ind w:left="1472" w:right="1329"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8"/>
        <w:rPr>
          <w:sz w:val="22"/>
        </w:rPr>
      </w:pPr>
    </w:p>
    <w:p>
      <w:pPr>
        <w:spacing w:line="247" w:lineRule="auto" w:before="0"/>
        <w:ind w:left="635" w:right="490" w:hanging="1"/>
        <w:jc w:val="center"/>
        <w:rPr>
          <w:b/>
          <w:sz w:val="19"/>
        </w:rPr>
      </w:pPr>
      <w:r>
        <w:rPr>
          <w:b/>
          <w:color w:val="231F20"/>
          <w:sz w:val="19"/>
        </w:rPr>
        <w:t>Cuadro 3.Qué tipo de violencia has sufrido tú: coerción (obligarte a realizar alguna actividad contra tu   voluntad)</w:t>
      </w:r>
    </w:p>
    <w:p>
      <w:pPr>
        <w:pStyle w:val="BodyText"/>
        <w:rPr>
          <w:b/>
          <w:sz w:val="20"/>
        </w:rPr>
      </w:pPr>
    </w:p>
    <w:p>
      <w:pPr>
        <w:pStyle w:val="BodyText"/>
        <w:rPr>
          <w:b/>
          <w:sz w:val="13"/>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68"/>
        <w:gridCol w:w="1428"/>
        <w:gridCol w:w="1339"/>
        <w:gridCol w:w="895"/>
      </w:tblGrid>
      <w:tr>
        <w:trPr>
          <w:trHeight w:val="989" w:hRule="exact"/>
        </w:trPr>
        <w:tc>
          <w:tcPr>
            <w:tcW w:w="1968" w:type="dxa"/>
            <w:tcBorders>
              <w:top w:val="single" w:sz="12" w:space="0" w:color="231F20"/>
              <w:left w:val="single" w:sz="12" w:space="0" w:color="231F20"/>
              <w:bottom w:val="single" w:sz="12" w:space="0" w:color="231F20"/>
              <w:right w:val="single" w:sz="12" w:space="0" w:color="231F20"/>
            </w:tcBorders>
          </w:tcPr>
          <w:p>
            <w:pPr/>
          </w:p>
        </w:tc>
        <w:tc>
          <w:tcPr>
            <w:tcW w:w="2767" w:type="dxa"/>
            <w:gridSpan w:val="2"/>
            <w:tcBorders>
              <w:top w:val="single" w:sz="12" w:space="0" w:color="231F20"/>
              <w:left w:val="single" w:sz="12" w:space="0" w:color="231F20"/>
              <w:bottom w:val="single" w:sz="2" w:space="0" w:color="231F20"/>
              <w:right w:val="single" w:sz="2" w:space="0" w:color="231F20"/>
            </w:tcBorders>
          </w:tcPr>
          <w:p>
            <w:pPr>
              <w:pStyle w:val="TableParagraph"/>
              <w:spacing w:line="295" w:lineRule="auto" w:before="33"/>
              <w:ind w:left="114" w:right="126"/>
              <w:jc w:val="center"/>
              <w:rPr>
                <w:b/>
                <w:sz w:val="17"/>
              </w:rPr>
            </w:pPr>
            <w:r>
              <w:rPr>
                <w:b/>
                <w:color w:val="231F20"/>
                <w:w w:val="105"/>
                <w:sz w:val="17"/>
              </w:rPr>
              <w:t>Qué tipo de violencia has sufrido tú: coerción (obligarte a realizar alguna actividad contra tu voluntad) 1s,2n</w:t>
            </w:r>
          </w:p>
        </w:tc>
        <w:tc>
          <w:tcPr>
            <w:tcW w:w="895" w:type="dxa"/>
            <w:tcBorders>
              <w:top w:val="single" w:sz="12" w:space="0" w:color="231F20"/>
              <w:left w:val="single" w:sz="2" w:space="0" w:color="231F20"/>
              <w:bottom w:val="single" w:sz="2" w:space="0" w:color="231F20"/>
              <w:right w:val="single" w:sz="12" w:space="0" w:color="231F20"/>
            </w:tcBorders>
          </w:tcPr>
          <w:p>
            <w:pPr>
              <w:pStyle w:val="TableParagraph"/>
              <w:ind w:left="0"/>
              <w:rPr>
                <w:b/>
                <w:sz w:val="18"/>
              </w:rPr>
            </w:pPr>
          </w:p>
          <w:p>
            <w:pPr>
              <w:pStyle w:val="TableParagraph"/>
              <w:ind w:left="0"/>
              <w:rPr>
                <w:b/>
                <w:sz w:val="18"/>
              </w:rPr>
            </w:pPr>
          </w:p>
          <w:p>
            <w:pPr>
              <w:pStyle w:val="TableParagraph"/>
              <w:ind w:left="0"/>
              <w:rPr>
                <w:b/>
                <w:sz w:val="18"/>
              </w:rPr>
            </w:pPr>
          </w:p>
          <w:p>
            <w:pPr>
              <w:pStyle w:val="TableParagraph"/>
              <w:spacing w:before="132"/>
              <w:ind w:left="221" w:right="209"/>
              <w:jc w:val="center"/>
              <w:rPr>
                <w:b/>
                <w:sz w:val="17"/>
              </w:rPr>
            </w:pPr>
            <w:r>
              <w:rPr>
                <w:b/>
                <w:color w:val="231F20"/>
                <w:w w:val="105"/>
                <w:sz w:val="17"/>
              </w:rPr>
              <w:t>Total</w:t>
            </w:r>
          </w:p>
        </w:tc>
      </w:tr>
      <w:tr>
        <w:trPr>
          <w:trHeight w:val="302" w:hRule="exact"/>
        </w:trPr>
        <w:tc>
          <w:tcPr>
            <w:tcW w:w="1968" w:type="dxa"/>
            <w:tcBorders>
              <w:top w:val="single" w:sz="12" w:space="0" w:color="231F20"/>
              <w:left w:val="single" w:sz="12" w:space="0" w:color="231F20"/>
              <w:bottom w:val="single" w:sz="4" w:space="0" w:color="231F20"/>
              <w:right w:val="single" w:sz="12" w:space="0" w:color="231F20"/>
            </w:tcBorders>
          </w:tcPr>
          <w:p>
            <w:pPr/>
          </w:p>
        </w:tc>
        <w:tc>
          <w:tcPr>
            <w:tcW w:w="1428" w:type="dxa"/>
            <w:tcBorders>
              <w:top w:val="single" w:sz="2" w:space="0" w:color="231F20"/>
              <w:left w:val="single" w:sz="12" w:space="0" w:color="231F20"/>
              <w:bottom w:val="single" w:sz="4" w:space="0" w:color="231F20"/>
              <w:right w:val="single" w:sz="2" w:space="0" w:color="231F20"/>
            </w:tcBorders>
          </w:tcPr>
          <w:p>
            <w:pPr>
              <w:pStyle w:val="TableParagraph"/>
              <w:spacing w:before="88"/>
              <w:ind w:left="594" w:right="606"/>
              <w:jc w:val="center"/>
              <w:rPr>
                <w:b/>
                <w:sz w:val="17"/>
              </w:rPr>
            </w:pPr>
            <w:r>
              <w:rPr>
                <w:b/>
                <w:color w:val="231F20"/>
                <w:sz w:val="17"/>
              </w:rPr>
              <w:t>Sí</w:t>
            </w:r>
          </w:p>
        </w:tc>
        <w:tc>
          <w:tcPr>
            <w:tcW w:w="1339" w:type="dxa"/>
            <w:tcBorders>
              <w:top w:val="single" w:sz="2" w:space="0" w:color="231F20"/>
              <w:left w:val="single" w:sz="2" w:space="0" w:color="231F20"/>
              <w:bottom w:val="single" w:sz="4" w:space="0" w:color="231F20"/>
              <w:right w:val="single" w:sz="2" w:space="0" w:color="231F20"/>
            </w:tcBorders>
          </w:tcPr>
          <w:p>
            <w:pPr>
              <w:pStyle w:val="TableParagraph"/>
              <w:spacing w:before="88"/>
              <w:ind w:left="168" w:right="165"/>
              <w:jc w:val="center"/>
              <w:rPr>
                <w:b/>
                <w:sz w:val="17"/>
              </w:rPr>
            </w:pPr>
            <w:r>
              <w:rPr>
                <w:b/>
                <w:color w:val="231F20"/>
                <w:w w:val="115"/>
                <w:sz w:val="17"/>
              </w:rPr>
              <w:t>No</w:t>
            </w:r>
          </w:p>
        </w:tc>
        <w:tc>
          <w:tcPr>
            <w:tcW w:w="895" w:type="dxa"/>
            <w:tcBorders>
              <w:top w:val="single" w:sz="2" w:space="0" w:color="231F20"/>
              <w:left w:val="single" w:sz="2" w:space="0" w:color="231F20"/>
              <w:bottom w:val="single" w:sz="4" w:space="0" w:color="231F20"/>
              <w:right w:val="single" w:sz="12" w:space="0" w:color="231F20"/>
            </w:tcBorders>
          </w:tcPr>
          <w:p>
            <w:pPr>
              <w:pStyle w:val="TableParagraph"/>
              <w:spacing w:before="88"/>
              <w:ind w:left="220" w:right="209"/>
              <w:jc w:val="center"/>
              <w:rPr>
                <w:b/>
                <w:sz w:val="17"/>
              </w:rPr>
            </w:pPr>
            <w:r>
              <w:rPr>
                <w:b/>
                <w:color w:val="231F20"/>
                <w:sz w:val="17"/>
              </w:rPr>
              <w:t>Sí</w:t>
            </w:r>
          </w:p>
        </w:tc>
      </w:tr>
      <w:tr>
        <w:trPr>
          <w:trHeight w:val="270" w:hRule="exact"/>
        </w:trPr>
        <w:tc>
          <w:tcPr>
            <w:tcW w:w="1968" w:type="dxa"/>
            <w:tcBorders>
              <w:top w:val="single" w:sz="4" w:space="0" w:color="231F20"/>
              <w:left w:val="single" w:sz="4" w:space="0" w:color="231F20"/>
              <w:right w:val="single" w:sz="12" w:space="0" w:color="231F20"/>
            </w:tcBorders>
          </w:tcPr>
          <w:p>
            <w:pPr>
              <w:pStyle w:val="TableParagraph"/>
              <w:spacing w:before="33"/>
              <w:ind w:left="86"/>
              <w:rPr>
                <w:sz w:val="17"/>
              </w:rPr>
            </w:pPr>
            <w:r>
              <w:rPr>
                <w:color w:val="231F20"/>
                <w:sz w:val="17"/>
              </w:rPr>
              <w:t>Carrera</w:t>
            </w:r>
          </w:p>
        </w:tc>
        <w:tc>
          <w:tcPr>
            <w:tcW w:w="1428" w:type="dxa"/>
            <w:tcBorders>
              <w:top w:val="single" w:sz="4" w:space="0" w:color="231F20"/>
              <w:left w:val="single" w:sz="12" w:space="0" w:color="231F20"/>
              <w:right w:val="single" w:sz="2" w:space="0" w:color="231F20"/>
            </w:tcBorders>
          </w:tcPr>
          <w:p>
            <w:pPr>
              <w:pStyle w:val="TableParagraph"/>
              <w:spacing w:before="33"/>
              <w:ind w:left="0" w:right="12"/>
              <w:jc w:val="center"/>
              <w:rPr>
                <w:sz w:val="17"/>
              </w:rPr>
            </w:pPr>
            <w:r>
              <w:rPr>
                <w:color w:val="231F20"/>
                <w:w w:val="97"/>
                <w:sz w:val="17"/>
              </w:rPr>
              <w:t>2</w:t>
            </w:r>
          </w:p>
        </w:tc>
        <w:tc>
          <w:tcPr>
            <w:tcW w:w="1339" w:type="dxa"/>
            <w:tcBorders>
              <w:top w:val="single" w:sz="4" w:space="0" w:color="231F20"/>
              <w:left w:val="single" w:sz="2" w:space="0" w:color="231F20"/>
              <w:right w:val="single" w:sz="2" w:space="0" w:color="231F20"/>
            </w:tcBorders>
          </w:tcPr>
          <w:p>
            <w:pPr>
              <w:pStyle w:val="TableParagraph"/>
              <w:spacing w:before="33"/>
              <w:ind w:left="1"/>
              <w:jc w:val="center"/>
              <w:rPr>
                <w:sz w:val="17"/>
              </w:rPr>
            </w:pPr>
            <w:r>
              <w:rPr>
                <w:color w:val="231F20"/>
                <w:w w:val="97"/>
                <w:sz w:val="17"/>
              </w:rPr>
              <w:t>0</w:t>
            </w:r>
          </w:p>
        </w:tc>
        <w:tc>
          <w:tcPr>
            <w:tcW w:w="895" w:type="dxa"/>
            <w:tcBorders>
              <w:top w:val="single" w:sz="4" w:space="0" w:color="231F20"/>
              <w:left w:val="single" w:sz="2" w:space="0" w:color="231F20"/>
              <w:right w:val="single" w:sz="4" w:space="0" w:color="231F20"/>
            </w:tcBorders>
          </w:tcPr>
          <w:p>
            <w:pPr>
              <w:pStyle w:val="TableParagraph"/>
              <w:spacing w:before="33"/>
              <w:ind w:left="1"/>
              <w:jc w:val="center"/>
              <w:rPr>
                <w:sz w:val="17"/>
              </w:rPr>
            </w:pPr>
            <w:r>
              <w:rPr>
                <w:color w:val="231F20"/>
                <w:w w:val="97"/>
                <w:sz w:val="17"/>
              </w:rPr>
              <w:t>2</w:t>
            </w:r>
          </w:p>
        </w:tc>
      </w:tr>
      <w:tr>
        <w:trPr>
          <w:trHeight w:val="240" w:hRule="exact"/>
        </w:trPr>
        <w:tc>
          <w:tcPr>
            <w:tcW w:w="1968" w:type="dxa"/>
            <w:tcBorders>
              <w:left w:val="single" w:sz="4" w:space="0" w:color="231F20"/>
              <w:right w:val="single" w:sz="12" w:space="0" w:color="231F20"/>
            </w:tcBorders>
          </w:tcPr>
          <w:p>
            <w:pPr>
              <w:pStyle w:val="TableParagraph"/>
              <w:spacing w:before="8"/>
              <w:ind w:left="86"/>
              <w:rPr>
                <w:sz w:val="17"/>
              </w:rPr>
            </w:pPr>
            <w:r>
              <w:rPr>
                <w:color w:val="231F20"/>
                <w:sz w:val="17"/>
              </w:rPr>
              <w:t>Administración</w:t>
            </w:r>
          </w:p>
        </w:tc>
        <w:tc>
          <w:tcPr>
            <w:tcW w:w="1428" w:type="dxa"/>
            <w:tcBorders>
              <w:left w:val="single" w:sz="12" w:space="0" w:color="231F20"/>
              <w:right w:val="single" w:sz="2" w:space="0" w:color="231F20"/>
            </w:tcBorders>
          </w:tcPr>
          <w:p>
            <w:pPr>
              <w:pStyle w:val="TableParagraph"/>
              <w:spacing w:before="8"/>
              <w:ind w:left="0" w:right="12"/>
              <w:jc w:val="center"/>
              <w:rPr>
                <w:sz w:val="17"/>
              </w:rPr>
            </w:pPr>
            <w:r>
              <w:rPr>
                <w:color w:val="231F20"/>
                <w:w w:val="97"/>
                <w:sz w:val="17"/>
              </w:rPr>
              <w:t>4</w:t>
            </w:r>
          </w:p>
        </w:tc>
        <w:tc>
          <w:tcPr>
            <w:tcW w:w="1339" w:type="dxa"/>
            <w:tcBorders>
              <w:left w:val="single" w:sz="2" w:space="0" w:color="231F20"/>
              <w:right w:val="single" w:sz="2" w:space="0" w:color="231F20"/>
            </w:tcBorders>
          </w:tcPr>
          <w:p>
            <w:pPr>
              <w:pStyle w:val="TableParagraph"/>
              <w:spacing w:before="8"/>
              <w:ind w:left="1"/>
              <w:jc w:val="center"/>
              <w:rPr>
                <w:sz w:val="17"/>
              </w:rPr>
            </w:pPr>
            <w:r>
              <w:rPr>
                <w:color w:val="231F20"/>
                <w:w w:val="97"/>
                <w:sz w:val="17"/>
              </w:rPr>
              <w:t>0</w:t>
            </w:r>
          </w:p>
        </w:tc>
        <w:tc>
          <w:tcPr>
            <w:tcW w:w="895" w:type="dxa"/>
            <w:tcBorders>
              <w:left w:val="single" w:sz="2" w:space="0" w:color="231F20"/>
              <w:right w:val="single" w:sz="4" w:space="0" w:color="231F20"/>
            </w:tcBorders>
          </w:tcPr>
          <w:p>
            <w:pPr>
              <w:pStyle w:val="TableParagraph"/>
              <w:spacing w:before="8"/>
              <w:ind w:left="1"/>
              <w:jc w:val="center"/>
              <w:rPr>
                <w:sz w:val="17"/>
              </w:rPr>
            </w:pPr>
            <w:r>
              <w:rPr>
                <w:color w:val="231F20"/>
                <w:w w:val="97"/>
                <w:sz w:val="17"/>
              </w:rPr>
              <w:t>4</w:t>
            </w:r>
          </w:p>
        </w:tc>
      </w:tr>
      <w:tr>
        <w:trPr>
          <w:trHeight w:val="240" w:hRule="exact"/>
        </w:trPr>
        <w:tc>
          <w:tcPr>
            <w:tcW w:w="1968" w:type="dxa"/>
            <w:tcBorders>
              <w:left w:val="single" w:sz="4" w:space="0" w:color="231F20"/>
              <w:right w:val="single" w:sz="12" w:space="0" w:color="231F20"/>
            </w:tcBorders>
          </w:tcPr>
          <w:p>
            <w:pPr>
              <w:pStyle w:val="TableParagraph"/>
              <w:spacing w:before="8"/>
              <w:ind w:left="86"/>
              <w:rPr>
                <w:sz w:val="17"/>
              </w:rPr>
            </w:pPr>
            <w:r>
              <w:rPr>
                <w:color w:val="231F20"/>
                <w:sz w:val="17"/>
              </w:rPr>
              <w:t>Arquitectura</w:t>
            </w:r>
          </w:p>
        </w:tc>
        <w:tc>
          <w:tcPr>
            <w:tcW w:w="1428" w:type="dxa"/>
            <w:tcBorders>
              <w:left w:val="single" w:sz="12" w:space="0" w:color="231F20"/>
              <w:right w:val="single" w:sz="2" w:space="0" w:color="231F20"/>
            </w:tcBorders>
          </w:tcPr>
          <w:p>
            <w:pPr>
              <w:pStyle w:val="TableParagraph"/>
              <w:spacing w:before="8"/>
              <w:ind w:left="595" w:right="606"/>
              <w:jc w:val="center"/>
              <w:rPr>
                <w:sz w:val="17"/>
              </w:rPr>
            </w:pPr>
            <w:r>
              <w:rPr>
                <w:color w:val="231F20"/>
                <w:sz w:val="17"/>
              </w:rPr>
              <w:t>10</w:t>
            </w:r>
          </w:p>
        </w:tc>
        <w:tc>
          <w:tcPr>
            <w:tcW w:w="1339" w:type="dxa"/>
            <w:tcBorders>
              <w:left w:val="single" w:sz="2" w:space="0" w:color="231F20"/>
              <w:right w:val="single" w:sz="2" w:space="0" w:color="231F20"/>
            </w:tcBorders>
          </w:tcPr>
          <w:p>
            <w:pPr>
              <w:pStyle w:val="TableParagraph"/>
              <w:spacing w:before="8"/>
              <w:ind w:left="1"/>
              <w:jc w:val="center"/>
              <w:rPr>
                <w:sz w:val="17"/>
              </w:rPr>
            </w:pPr>
            <w:r>
              <w:rPr>
                <w:color w:val="231F20"/>
                <w:w w:val="97"/>
                <w:sz w:val="17"/>
              </w:rPr>
              <w:t>0</w:t>
            </w:r>
          </w:p>
        </w:tc>
        <w:tc>
          <w:tcPr>
            <w:tcW w:w="895" w:type="dxa"/>
            <w:tcBorders>
              <w:left w:val="single" w:sz="2" w:space="0" w:color="231F20"/>
              <w:right w:val="single" w:sz="4" w:space="0" w:color="231F20"/>
            </w:tcBorders>
          </w:tcPr>
          <w:p>
            <w:pPr>
              <w:pStyle w:val="TableParagraph"/>
              <w:spacing w:before="8"/>
              <w:ind w:left="340" w:right="338"/>
              <w:jc w:val="center"/>
              <w:rPr>
                <w:sz w:val="17"/>
              </w:rPr>
            </w:pPr>
            <w:r>
              <w:rPr>
                <w:color w:val="231F20"/>
                <w:sz w:val="17"/>
              </w:rPr>
              <w:t>10</w:t>
            </w:r>
          </w:p>
        </w:tc>
      </w:tr>
      <w:tr>
        <w:trPr>
          <w:trHeight w:val="240" w:hRule="exact"/>
        </w:trPr>
        <w:tc>
          <w:tcPr>
            <w:tcW w:w="1968" w:type="dxa"/>
            <w:tcBorders>
              <w:left w:val="single" w:sz="4" w:space="0" w:color="231F20"/>
              <w:right w:val="single" w:sz="12" w:space="0" w:color="231F20"/>
            </w:tcBorders>
          </w:tcPr>
          <w:p>
            <w:pPr>
              <w:pStyle w:val="TableParagraph"/>
              <w:spacing w:before="8"/>
              <w:ind w:left="86"/>
              <w:rPr>
                <w:sz w:val="17"/>
              </w:rPr>
            </w:pPr>
            <w:r>
              <w:rPr>
                <w:color w:val="231F20"/>
                <w:sz w:val="17"/>
              </w:rPr>
              <w:t>Ciencias de la Educación</w:t>
            </w:r>
          </w:p>
        </w:tc>
        <w:tc>
          <w:tcPr>
            <w:tcW w:w="1428" w:type="dxa"/>
            <w:tcBorders>
              <w:left w:val="single" w:sz="12" w:space="0" w:color="231F20"/>
              <w:right w:val="single" w:sz="2" w:space="0" w:color="231F20"/>
            </w:tcBorders>
          </w:tcPr>
          <w:p>
            <w:pPr>
              <w:pStyle w:val="TableParagraph"/>
              <w:spacing w:before="8"/>
              <w:ind w:left="0" w:right="12"/>
              <w:jc w:val="center"/>
              <w:rPr>
                <w:sz w:val="17"/>
              </w:rPr>
            </w:pPr>
            <w:r>
              <w:rPr>
                <w:color w:val="231F20"/>
                <w:w w:val="97"/>
                <w:sz w:val="17"/>
              </w:rPr>
              <w:t>8</w:t>
            </w:r>
          </w:p>
        </w:tc>
        <w:tc>
          <w:tcPr>
            <w:tcW w:w="1339" w:type="dxa"/>
            <w:tcBorders>
              <w:left w:val="single" w:sz="2" w:space="0" w:color="231F20"/>
              <w:right w:val="single" w:sz="2" w:space="0" w:color="231F20"/>
            </w:tcBorders>
          </w:tcPr>
          <w:p>
            <w:pPr>
              <w:pStyle w:val="TableParagraph"/>
              <w:spacing w:before="8"/>
              <w:ind w:left="1"/>
              <w:jc w:val="center"/>
              <w:rPr>
                <w:sz w:val="17"/>
              </w:rPr>
            </w:pPr>
            <w:r>
              <w:rPr>
                <w:color w:val="231F20"/>
                <w:w w:val="97"/>
                <w:sz w:val="17"/>
              </w:rPr>
              <w:t>0</w:t>
            </w:r>
          </w:p>
        </w:tc>
        <w:tc>
          <w:tcPr>
            <w:tcW w:w="895" w:type="dxa"/>
            <w:tcBorders>
              <w:left w:val="single" w:sz="2" w:space="0" w:color="231F20"/>
              <w:right w:val="single" w:sz="4" w:space="0" w:color="231F20"/>
            </w:tcBorders>
          </w:tcPr>
          <w:p>
            <w:pPr>
              <w:pStyle w:val="TableParagraph"/>
              <w:spacing w:before="8"/>
              <w:ind w:left="1"/>
              <w:jc w:val="center"/>
              <w:rPr>
                <w:sz w:val="17"/>
              </w:rPr>
            </w:pPr>
            <w:r>
              <w:rPr>
                <w:color w:val="231F20"/>
                <w:w w:val="97"/>
                <w:sz w:val="17"/>
              </w:rPr>
              <w:t>8</w:t>
            </w:r>
          </w:p>
        </w:tc>
      </w:tr>
      <w:tr>
        <w:trPr>
          <w:trHeight w:val="240" w:hRule="exact"/>
        </w:trPr>
        <w:tc>
          <w:tcPr>
            <w:tcW w:w="1968" w:type="dxa"/>
            <w:tcBorders>
              <w:left w:val="single" w:sz="4" w:space="0" w:color="231F20"/>
              <w:right w:val="single" w:sz="12" w:space="0" w:color="231F20"/>
            </w:tcBorders>
          </w:tcPr>
          <w:p>
            <w:pPr>
              <w:pStyle w:val="TableParagraph"/>
              <w:spacing w:before="8"/>
              <w:ind w:left="86"/>
              <w:rPr>
                <w:sz w:val="17"/>
              </w:rPr>
            </w:pPr>
            <w:r>
              <w:rPr>
                <w:color w:val="231F20"/>
                <w:sz w:val="17"/>
              </w:rPr>
              <w:t>Cirujano dentista</w:t>
            </w:r>
          </w:p>
        </w:tc>
        <w:tc>
          <w:tcPr>
            <w:tcW w:w="1428" w:type="dxa"/>
            <w:tcBorders>
              <w:left w:val="single" w:sz="12" w:space="0" w:color="231F20"/>
              <w:right w:val="single" w:sz="2" w:space="0" w:color="231F20"/>
            </w:tcBorders>
          </w:tcPr>
          <w:p>
            <w:pPr>
              <w:pStyle w:val="TableParagraph"/>
              <w:spacing w:before="8"/>
              <w:ind w:left="0" w:right="12"/>
              <w:jc w:val="center"/>
              <w:rPr>
                <w:sz w:val="17"/>
              </w:rPr>
            </w:pPr>
            <w:r>
              <w:rPr>
                <w:color w:val="231F20"/>
                <w:w w:val="97"/>
                <w:sz w:val="17"/>
              </w:rPr>
              <w:t>4</w:t>
            </w:r>
          </w:p>
        </w:tc>
        <w:tc>
          <w:tcPr>
            <w:tcW w:w="1339" w:type="dxa"/>
            <w:tcBorders>
              <w:left w:val="single" w:sz="2" w:space="0" w:color="231F20"/>
              <w:right w:val="single" w:sz="2" w:space="0" w:color="231F20"/>
            </w:tcBorders>
          </w:tcPr>
          <w:p>
            <w:pPr>
              <w:pStyle w:val="TableParagraph"/>
              <w:spacing w:before="8"/>
              <w:ind w:left="1"/>
              <w:jc w:val="center"/>
              <w:rPr>
                <w:sz w:val="17"/>
              </w:rPr>
            </w:pPr>
            <w:r>
              <w:rPr>
                <w:color w:val="231F20"/>
                <w:w w:val="97"/>
                <w:sz w:val="17"/>
              </w:rPr>
              <w:t>2</w:t>
            </w:r>
          </w:p>
        </w:tc>
        <w:tc>
          <w:tcPr>
            <w:tcW w:w="895" w:type="dxa"/>
            <w:tcBorders>
              <w:left w:val="single" w:sz="2" w:space="0" w:color="231F20"/>
              <w:right w:val="single" w:sz="4" w:space="0" w:color="231F20"/>
            </w:tcBorders>
          </w:tcPr>
          <w:p>
            <w:pPr>
              <w:pStyle w:val="TableParagraph"/>
              <w:spacing w:before="8"/>
              <w:ind w:left="1"/>
              <w:jc w:val="center"/>
              <w:rPr>
                <w:sz w:val="17"/>
              </w:rPr>
            </w:pPr>
            <w:r>
              <w:rPr>
                <w:color w:val="231F20"/>
                <w:w w:val="97"/>
                <w:sz w:val="17"/>
              </w:rPr>
              <w:t>6</w:t>
            </w:r>
          </w:p>
        </w:tc>
      </w:tr>
      <w:tr>
        <w:trPr>
          <w:trHeight w:val="240" w:hRule="exact"/>
        </w:trPr>
        <w:tc>
          <w:tcPr>
            <w:tcW w:w="1968" w:type="dxa"/>
            <w:tcBorders>
              <w:left w:val="single" w:sz="4" w:space="0" w:color="231F20"/>
              <w:right w:val="single" w:sz="12" w:space="0" w:color="231F20"/>
            </w:tcBorders>
          </w:tcPr>
          <w:p>
            <w:pPr>
              <w:pStyle w:val="TableParagraph"/>
              <w:spacing w:before="8"/>
              <w:ind w:left="86"/>
              <w:rPr>
                <w:sz w:val="17"/>
              </w:rPr>
            </w:pPr>
            <w:r>
              <w:rPr>
                <w:color w:val="231F20"/>
                <w:sz w:val="17"/>
              </w:rPr>
              <w:t>Computación</w:t>
            </w:r>
          </w:p>
        </w:tc>
        <w:tc>
          <w:tcPr>
            <w:tcW w:w="1428" w:type="dxa"/>
            <w:tcBorders>
              <w:left w:val="single" w:sz="12" w:space="0" w:color="231F20"/>
              <w:right w:val="single" w:sz="2" w:space="0" w:color="231F20"/>
            </w:tcBorders>
          </w:tcPr>
          <w:p>
            <w:pPr>
              <w:pStyle w:val="TableParagraph"/>
              <w:spacing w:before="8"/>
              <w:ind w:left="0" w:right="12"/>
              <w:jc w:val="center"/>
              <w:rPr>
                <w:sz w:val="17"/>
              </w:rPr>
            </w:pPr>
            <w:r>
              <w:rPr>
                <w:color w:val="231F20"/>
                <w:w w:val="97"/>
                <w:sz w:val="17"/>
              </w:rPr>
              <w:t>1</w:t>
            </w:r>
          </w:p>
        </w:tc>
        <w:tc>
          <w:tcPr>
            <w:tcW w:w="1339" w:type="dxa"/>
            <w:tcBorders>
              <w:left w:val="single" w:sz="2" w:space="0" w:color="231F20"/>
              <w:right w:val="single" w:sz="2" w:space="0" w:color="231F20"/>
            </w:tcBorders>
          </w:tcPr>
          <w:p>
            <w:pPr>
              <w:pStyle w:val="TableParagraph"/>
              <w:spacing w:before="8"/>
              <w:ind w:left="1"/>
              <w:jc w:val="center"/>
              <w:rPr>
                <w:sz w:val="17"/>
              </w:rPr>
            </w:pPr>
            <w:r>
              <w:rPr>
                <w:color w:val="231F20"/>
                <w:w w:val="97"/>
                <w:sz w:val="17"/>
              </w:rPr>
              <w:t>0</w:t>
            </w:r>
          </w:p>
        </w:tc>
        <w:tc>
          <w:tcPr>
            <w:tcW w:w="895" w:type="dxa"/>
            <w:tcBorders>
              <w:left w:val="single" w:sz="2" w:space="0" w:color="231F20"/>
              <w:right w:val="single" w:sz="4" w:space="0" w:color="231F20"/>
            </w:tcBorders>
          </w:tcPr>
          <w:p>
            <w:pPr>
              <w:pStyle w:val="TableParagraph"/>
              <w:spacing w:before="8"/>
              <w:ind w:left="1"/>
              <w:jc w:val="center"/>
              <w:rPr>
                <w:sz w:val="17"/>
              </w:rPr>
            </w:pPr>
            <w:r>
              <w:rPr>
                <w:color w:val="231F20"/>
                <w:w w:val="97"/>
                <w:sz w:val="17"/>
              </w:rPr>
              <w:t>1</w:t>
            </w:r>
          </w:p>
        </w:tc>
      </w:tr>
      <w:tr>
        <w:trPr>
          <w:trHeight w:val="240" w:hRule="exact"/>
        </w:trPr>
        <w:tc>
          <w:tcPr>
            <w:tcW w:w="1968" w:type="dxa"/>
            <w:tcBorders>
              <w:left w:val="single" w:sz="4" w:space="0" w:color="231F20"/>
              <w:right w:val="single" w:sz="12" w:space="0" w:color="231F20"/>
            </w:tcBorders>
          </w:tcPr>
          <w:p>
            <w:pPr>
              <w:pStyle w:val="TableParagraph"/>
              <w:spacing w:before="8"/>
              <w:ind w:left="86"/>
              <w:rPr>
                <w:sz w:val="17"/>
              </w:rPr>
            </w:pPr>
            <w:r>
              <w:rPr>
                <w:color w:val="231F20"/>
                <w:sz w:val="17"/>
              </w:rPr>
              <w:t>Contaduría Pública</w:t>
            </w:r>
          </w:p>
        </w:tc>
        <w:tc>
          <w:tcPr>
            <w:tcW w:w="1428" w:type="dxa"/>
            <w:tcBorders>
              <w:left w:val="single" w:sz="12" w:space="0" w:color="231F20"/>
              <w:right w:val="single" w:sz="2" w:space="0" w:color="231F20"/>
            </w:tcBorders>
          </w:tcPr>
          <w:p>
            <w:pPr>
              <w:pStyle w:val="TableParagraph"/>
              <w:spacing w:before="8"/>
              <w:ind w:left="595" w:right="606"/>
              <w:jc w:val="center"/>
              <w:rPr>
                <w:sz w:val="17"/>
              </w:rPr>
            </w:pPr>
            <w:r>
              <w:rPr>
                <w:color w:val="231F20"/>
                <w:sz w:val="17"/>
              </w:rPr>
              <w:t>13</w:t>
            </w:r>
          </w:p>
        </w:tc>
        <w:tc>
          <w:tcPr>
            <w:tcW w:w="1339" w:type="dxa"/>
            <w:tcBorders>
              <w:left w:val="single" w:sz="2" w:space="0" w:color="231F20"/>
              <w:right w:val="single" w:sz="2" w:space="0" w:color="231F20"/>
            </w:tcBorders>
          </w:tcPr>
          <w:p>
            <w:pPr>
              <w:pStyle w:val="TableParagraph"/>
              <w:spacing w:before="8"/>
              <w:ind w:left="1"/>
              <w:jc w:val="center"/>
              <w:rPr>
                <w:sz w:val="17"/>
              </w:rPr>
            </w:pPr>
            <w:r>
              <w:rPr>
                <w:color w:val="231F20"/>
                <w:w w:val="97"/>
                <w:sz w:val="17"/>
              </w:rPr>
              <w:t>1</w:t>
            </w:r>
          </w:p>
        </w:tc>
        <w:tc>
          <w:tcPr>
            <w:tcW w:w="895" w:type="dxa"/>
            <w:tcBorders>
              <w:left w:val="single" w:sz="2" w:space="0" w:color="231F20"/>
              <w:right w:val="single" w:sz="4" w:space="0" w:color="231F20"/>
            </w:tcBorders>
          </w:tcPr>
          <w:p>
            <w:pPr>
              <w:pStyle w:val="TableParagraph"/>
              <w:spacing w:before="8"/>
              <w:ind w:left="340" w:right="338"/>
              <w:jc w:val="center"/>
              <w:rPr>
                <w:sz w:val="17"/>
              </w:rPr>
            </w:pPr>
            <w:r>
              <w:rPr>
                <w:color w:val="231F20"/>
                <w:sz w:val="17"/>
              </w:rPr>
              <w:t>14</w:t>
            </w:r>
          </w:p>
        </w:tc>
      </w:tr>
      <w:tr>
        <w:trPr>
          <w:trHeight w:val="240" w:hRule="exact"/>
        </w:trPr>
        <w:tc>
          <w:tcPr>
            <w:tcW w:w="1968" w:type="dxa"/>
            <w:tcBorders>
              <w:left w:val="single" w:sz="4" w:space="0" w:color="231F20"/>
              <w:right w:val="single" w:sz="12" w:space="0" w:color="231F20"/>
            </w:tcBorders>
          </w:tcPr>
          <w:p>
            <w:pPr>
              <w:pStyle w:val="TableParagraph"/>
              <w:spacing w:before="8"/>
              <w:ind w:left="86"/>
              <w:rPr>
                <w:sz w:val="17"/>
              </w:rPr>
            </w:pPr>
            <w:r>
              <w:rPr>
                <w:color w:val="231F20"/>
                <w:w w:val="105"/>
                <w:sz w:val="17"/>
              </w:rPr>
              <w:t>Derecho</w:t>
            </w:r>
          </w:p>
        </w:tc>
        <w:tc>
          <w:tcPr>
            <w:tcW w:w="1428" w:type="dxa"/>
            <w:tcBorders>
              <w:left w:val="single" w:sz="12" w:space="0" w:color="231F20"/>
              <w:right w:val="single" w:sz="2" w:space="0" w:color="231F20"/>
            </w:tcBorders>
          </w:tcPr>
          <w:p>
            <w:pPr>
              <w:pStyle w:val="TableParagraph"/>
              <w:spacing w:before="8"/>
              <w:ind w:left="595" w:right="606"/>
              <w:jc w:val="center"/>
              <w:rPr>
                <w:sz w:val="17"/>
              </w:rPr>
            </w:pPr>
            <w:r>
              <w:rPr>
                <w:color w:val="231F20"/>
                <w:sz w:val="17"/>
              </w:rPr>
              <w:t>16</w:t>
            </w:r>
          </w:p>
        </w:tc>
        <w:tc>
          <w:tcPr>
            <w:tcW w:w="1339" w:type="dxa"/>
            <w:tcBorders>
              <w:left w:val="single" w:sz="2" w:space="0" w:color="231F20"/>
              <w:right w:val="single" w:sz="2" w:space="0" w:color="231F20"/>
            </w:tcBorders>
          </w:tcPr>
          <w:p>
            <w:pPr>
              <w:pStyle w:val="TableParagraph"/>
              <w:spacing w:before="8"/>
              <w:ind w:left="1"/>
              <w:jc w:val="center"/>
              <w:rPr>
                <w:sz w:val="17"/>
              </w:rPr>
            </w:pPr>
            <w:r>
              <w:rPr>
                <w:color w:val="231F20"/>
                <w:w w:val="97"/>
                <w:sz w:val="17"/>
              </w:rPr>
              <w:t>3</w:t>
            </w:r>
          </w:p>
        </w:tc>
        <w:tc>
          <w:tcPr>
            <w:tcW w:w="895" w:type="dxa"/>
            <w:tcBorders>
              <w:left w:val="single" w:sz="2" w:space="0" w:color="231F20"/>
              <w:right w:val="single" w:sz="4" w:space="0" w:color="231F20"/>
            </w:tcBorders>
          </w:tcPr>
          <w:p>
            <w:pPr>
              <w:pStyle w:val="TableParagraph"/>
              <w:spacing w:before="8"/>
              <w:ind w:left="340" w:right="338"/>
              <w:jc w:val="center"/>
              <w:rPr>
                <w:sz w:val="17"/>
              </w:rPr>
            </w:pPr>
            <w:r>
              <w:rPr>
                <w:color w:val="231F20"/>
                <w:sz w:val="17"/>
              </w:rPr>
              <w:t>19</w:t>
            </w:r>
          </w:p>
        </w:tc>
      </w:tr>
      <w:tr>
        <w:trPr>
          <w:trHeight w:val="240" w:hRule="exact"/>
        </w:trPr>
        <w:tc>
          <w:tcPr>
            <w:tcW w:w="1968" w:type="dxa"/>
            <w:tcBorders>
              <w:left w:val="single" w:sz="4" w:space="0" w:color="231F20"/>
              <w:right w:val="single" w:sz="12" w:space="0" w:color="231F20"/>
            </w:tcBorders>
          </w:tcPr>
          <w:p>
            <w:pPr>
              <w:pStyle w:val="TableParagraph"/>
              <w:spacing w:before="8"/>
              <w:ind w:left="86"/>
              <w:rPr>
                <w:sz w:val="17"/>
              </w:rPr>
            </w:pPr>
            <w:r>
              <w:rPr>
                <w:color w:val="231F20"/>
                <w:sz w:val="17"/>
              </w:rPr>
              <w:t>Economía</w:t>
            </w:r>
          </w:p>
        </w:tc>
        <w:tc>
          <w:tcPr>
            <w:tcW w:w="1428" w:type="dxa"/>
            <w:tcBorders>
              <w:left w:val="single" w:sz="12" w:space="0" w:color="231F20"/>
              <w:right w:val="single" w:sz="2" w:space="0" w:color="231F20"/>
            </w:tcBorders>
          </w:tcPr>
          <w:p>
            <w:pPr>
              <w:pStyle w:val="TableParagraph"/>
              <w:spacing w:before="8"/>
              <w:ind w:left="0" w:right="12"/>
              <w:jc w:val="center"/>
              <w:rPr>
                <w:sz w:val="17"/>
              </w:rPr>
            </w:pPr>
            <w:r>
              <w:rPr>
                <w:color w:val="231F20"/>
                <w:w w:val="97"/>
                <w:sz w:val="17"/>
              </w:rPr>
              <w:t>1</w:t>
            </w:r>
          </w:p>
        </w:tc>
        <w:tc>
          <w:tcPr>
            <w:tcW w:w="1339" w:type="dxa"/>
            <w:tcBorders>
              <w:left w:val="single" w:sz="2" w:space="0" w:color="231F20"/>
              <w:right w:val="single" w:sz="2" w:space="0" w:color="231F20"/>
            </w:tcBorders>
          </w:tcPr>
          <w:p>
            <w:pPr>
              <w:pStyle w:val="TableParagraph"/>
              <w:spacing w:before="8"/>
              <w:ind w:left="1"/>
              <w:jc w:val="center"/>
              <w:rPr>
                <w:sz w:val="17"/>
              </w:rPr>
            </w:pPr>
            <w:r>
              <w:rPr>
                <w:color w:val="231F20"/>
                <w:w w:val="97"/>
                <w:sz w:val="17"/>
              </w:rPr>
              <w:t>0</w:t>
            </w:r>
          </w:p>
        </w:tc>
        <w:tc>
          <w:tcPr>
            <w:tcW w:w="895" w:type="dxa"/>
            <w:tcBorders>
              <w:left w:val="single" w:sz="2" w:space="0" w:color="231F20"/>
              <w:right w:val="single" w:sz="4" w:space="0" w:color="231F20"/>
            </w:tcBorders>
          </w:tcPr>
          <w:p>
            <w:pPr>
              <w:pStyle w:val="TableParagraph"/>
              <w:spacing w:before="8"/>
              <w:ind w:left="1"/>
              <w:jc w:val="center"/>
              <w:rPr>
                <w:sz w:val="17"/>
              </w:rPr>
            </w:pPr>
            <w:r>
              <w:rPr>
                <w:color w:val="231F20"/>
                <w:w w:val="97"/>
                <w:sz w:val="17"/>
              </w:rPr>
              <w:t>1</w:t>
            </w:r>
          </w:p>
        </w:tc>
      </w:tr>
      <w:tr>
        <w:trPr>
          <w:trHeight w:val="240" w:hRule="exact"/>
        </w:trPr>
        <w:tc>
          <w:tcPr>
            <w:tcW w:w="1968" w:type="dxa"/>
            <w:tcBorders>
              <w:left w:val="single" w:sz="4" w:space="0" w:color="231F20"/>
              <w:right w:val="single" w:sz="12" w:space="0" w:color="231F20"/>
            </w:tcBorders>
          </w:tcPr>
          <w:p>
            <w:pPr>
              <w:pStyle w:val="TableParagraph"/>
              <w:spacing w:before="8"/>
              <w:ind w:left="86"/>
              <w:rPr>
                <w:sz w:val="17"/>
              </w:rPr>
            </w:pPr>
            <w:r>
              <w:rPr>
                <w:color w:val="231F20"/>
                <w:sz w:val="17"/>
              </w:rPr>
              <w:t>Enfermería y Obstetricia</w:t>
            </w:r>
          </w:p>
        </w:tc>
        <w:tc>
          <w:tcPr>
            <w:tcW w:w="1428" w:type="dxa"/>
            <w:tcBorders>
              <w:left w:val="single" w:sz="12" w:space="0" w:color="231F20"/>
              <w:right w:val="single" w:sz="2" w:space="0" w:color="231F20"/>
            </w:tcBorders>
          </w:tcPr>
          <w:p>
            <w:pPr>
              <w:pStyle w:val="TableParagraph"/>
              <w:spacing w:before="8"/>
              <w:ind w:left="0" w:right="12"/>
              <w:jc w:val="center"/>
              <w:rPr>
                <w:sz w:val="17"/>
              </w:rPr>
            </w:pPr>
            <w:r>
              <w:rPr>
                <w:color w:val="231F20"/>
                <w:w w:val="97"/>
                <w:sz w:val="17"/>
              </w:rPr>
              <w:t>9</w:t>
            </w:r>
          </w:p>
        </w:tc>
        <w:tc>
          <w:tcPr>
            <w:tcW w:w="1339" w:type="dxa"/>
            <w:tcBorders>
              <w:left w:val="single" w:sz="2" w:space="0" w:color="231F20"/>
              <w:right w:val="single" w:sz="2" w:space="0" w:color="231F20"/>
            </w:tcBorders>
          </w:tcPr>
          <w:p>
            <w:pPr>
              <w:pStyle w:val="TableParagraph"/>
              <w:spacing w:before="8"/>
              <w:ind w:left="1"/>
              <w:jc w:val="center"/>
              <w:rPr>
                <w:sz w:val="17"/>
              </w:rPr>
            </w:pPr>
            <w:r>
              <w:rPr>
                <w:color w:val="231F20"/>
                <w:w w:val="97"/>
                <w:sz w:val="17"/>
              </w:rPr>
              <w:t>0</w:t>
            </w:r>
          </w:p>
        </w:tc>
        <w:tc>
          <w:tcPr>
            <w:tcW w:w="895" w:type="dxa"/>
            <w:tcBorders>
              <w:left w:val="single" w:sz="2" w:space="0" w:color="231F20"/>
              <w:right w:val="single" w:sz="4" w:space="0" w:color="231F20"/>
            </w:tcBorders>
          </w:tcPr>
          <w:p>
            <w:pPr>
              <w:pStyle w:val="TableParagraph"/>
              <w:spacing w:before="8"/>
              <w:ind w:left="1"/>
              <w:jc w:val="center"/>
              <w:rPr>
                <w:sz w:val="17"/>
              </w:rPr>
            </w:pPr>
            <w:r>
              <w:rPr>
                <w:color w:val="231F20"/>
                <w:w w:val="97"/>
                <w:sz w:val="17"/>
              </w:rPr>
              <w:t>9</w:t>
            </w:r>
          </w:p>
        </w:tc>
      </w:tr>
      <w:tr>
        <w:trPr>
          <w:trHeight w:val="480" w:hRule="exact"/>
        </w:trPr>
        <w:tc>
          <w:tcPr>
            <w:tcW w:w="1968" w:type="dxa"/>
            <w:tcBorders>
              <w:left w:val="single" w:sz="4" w:space="0" w:color="231F20"/>
              <w:right w:val="single" w:sz="12" w:space="0" w:color="231F20"/>
            </w:tcBorders>
          </w:tcPr>
          <w:p>
            <w:pPr>
              <w:pStyle w:val="TableParagraph"/>
              <w:spacing w:line="295" w:lineRule="auto" w:before="8"/>
              <w:ind w:left="86"/>
              <w:rPr>
                <w:sz w:val="17"/>
              </w:rPr>
            </w:pPr>
            <w:r>
              <w:rPr>
                <w:color w:val="231F20"/>
                <w:sz w:val="17"/>
              </w:rPr>
              <w:t>Medicina Veterinaria y zootecnia</w:t>
            </w:r>
          </w:p>
        </w:tc>
        <w:tc>
          <w:tcPr>
            <w:tcW w:w="1428" w:type="dxa"/>
            <w:tcBorders>
              <w:left w:val="single" w:sz="12" w:space="0" w:color="231F20"/>
              <w:right w:val="single" w:sz="2" w:space="0" w:color="231F20"/>
            </w:tcBorders>
          </w:tcPr>
          <w:p>
            <w:pPr>
              <w:pStyle w:val="TableParagraph"/>
              <w:spacing w:before="128"/>
              <w:ind w:left="0" w:right="12"/>
              <w:jc w:val="center"/>
              <w:rPr>
                <w:sz w:val="17"/>
              </w:rPr>
            </w:pPr>
            <w:r>
              <w:rPr>
                <w:color w:val="231F20"/>
                <w:w w:val="97"/>
                <w:sz w:val="17"/>
              </w:rPr>
              <w:t>5</w:t>
            </w:r>
          </w:p>
        </w:tc>
        <w:tc>
          <w:tcPr>
            <w:tcW w:w="1339" w:type="dxa"/>
            <w:tcBorders>
              <w:left w:val="single" w:sz="2" w:space="0" w:color="231F20"/>
              <w:right w:val="single" w:sz="2" w:space="0" w:color="231F20"/>
            </w:tcBorders>
          </w:tcPr>
          <w:p>
            <w:pPr>
              <w:pStyle w:val="TableParagraph"/>
              <w:spacing w:before="128"/>
              <w:ind w:left="1"/>
              <w:jc w:val="center"/>
              <w:rPr>
                <w:sz w:val="17"/>
              </w:rPr>
            </w:pPr>
            <w:r>
              <w:rPr>
                <w:color w:val="231F20"/>
                <w:w w:val="97"/>
                <w:sz w:val="17"/>
              </w:rPr>
              <w:t>0</w:t>
            </w:r>
          </w:p>
        </w:tc>
        <w:tc>
          <w:tcPr>
            <w:tcW w:w="895" w:type="dxa"/>
            <w:tcBorders>
              <w:left w:val="single" w:sz="2" w:space="0" w:color="231F20"/>
              <w:right w:val="single" w:sz="4" w:space="0" w:color="231F20"/>
            </w:tcBorders>
          </w:tcPr>
          <w:p>
            <w:pPr>
              <w:pStyle w:val="TableParagraph"/>
              <w:spacing w:before="128"/>
              <w:ind w:left="1"/>
              <w:jc w:val="center"/>
              <w:rPr>
                <w:sz w:val="17"/>
              </w:rPr>
            </w:pPr>
            <w:r>
              <w:rPr>
                <w:color w:val="231F20"/>
                <w:w w:val="97"/>
                <w:sz w:val="17"/>
              </w:rPr>
              <w:t>5</w:t>
            </w:r>
          </w:p>
        </w:tc>
      </w:tr>
      <w:tr>
        <w:trPr>
          <w:trHeight w:val="240" w:hRule="exact"/>
        </w:trPr>
        <w:tc>
          <w:tcPr>
            <w:tcW w:w="1968" w:type="dxa"/>
            <w:tcBorders>
              <w:left w:val="single" w:sz="4" w:space="0" w:color="231F20"/>
              <w:right w:val="single" w:sz="12" w:space="0" w:color="231F20"/>
            </w:tcBorders>
          </w:tcPr>
          <w:p>
            <w:pPr>
              <w:pStyle w:val="TableParagraph"/>
              <w:spacing w:before="8"/>
              <w:ind w:left="86"/>
              <w:rPr>
                <w:sz w:val="17"/>
              </w:rPr>
            </w:pPr>
            <w:r>
              <w:rPr>
                <w:color w:val="231F20"/>
                <w:sz w:val="17"/>
              </w:rPr>
              <w:t>Odontología</w:t>
            </w:r>
          </w:p>
        </w:tc>
        <w:tc>
          <w:tcPr>
            <w:tcW w:w="1428" w:type="dxa"/>
            <w:tcBorders>
              <w:left w:val="single" w:sz="12" w:space="0" w:color="231F20"/>
              <w:right w:val="single" w:sz="2" w:space="0" w:color="231F20"/>
            </w:tcBorders>
          </w:tcPr>
          <w:p>
            <w:pPr>
              <w:pStyle w:val="TableParagraph"/>
              <w:spacing w:before="8"/>
              <w:ind w:left="595" w:right="606"/>
              <w:jc w:val="center"/>
              <w:rPr>
                <w:sz w:val="17"/>
              </w:rPr>
            </w:pPr>
            <w:r>
              <w:rPr>
                <w:color w:val="231F20"/>
                <w:sz w:val="17"/>
              </w:rPr>
              <w:t>10</w:t>
            </w:r>
          </w:p>
        </w:tc>
        <w:tc>
          <w:tcPr>
            <w:tcW w:w="1339" w:type="dxa"/>
            <w:tcBorders>
              <w:left w:val="single" w:sz="2" w:space="0" w:color="231F20"/>
              <w:right w:val="single" w:sz="2" w:space="0" w:color="231F20"/>
            </w:tcBorders>
          </w:tcPr>
          <w:p>
            <w:pPr>
              <w:pStyle w:val="TableParagraph"/>
              <w:spacing w:before="8"/>
              <w:ind w:left="1"/>
              <w:jc w:val="center"/>
              <w:rPr>
                <w:sz w:val="17"/>
              </w:rPr>
            </w:pPr>
            <w:r>
              <w:rPr>
                <w:color w:val="231F20"/>
                <w:w w:val="97"/>
                <w:sz w:val="17"/>
              </w:rPr>
              <w:t>1</w:t>
            </w:r>
          </w:p>
        </w:tc>
        <w:tc>
          <w:tcPr>
            <w:tcW w:w="895" w:type="dxa"/>
            <w:tcBorders>
              <w:left w:val="single" w:sz="2" w:space="0" w:color="231F20"/>
              <w:right w:val="single" w:sz="4" w:space="0" w:color="231F20"/>
            </w:tcBorders>
          </w:tcPr>
          <w:p>
            <w:pPr>
              <w:pStyle w:val="TableParagraph"/>
              <w:spacing w:before="8"/>
              <w:ind w:left="340" w:right="338"/>
              <w:jc w:val="center"/>
              <w:rPr>
                <w:sz w:val="17"/>
              </w:rPr>
            </w:pPr>
            <w:r>
              <w:rPr>
                <w:color w:val="231F20"/>
                <w:sz w:val="17"/>
              </w:rPr>
              <w:t>11</w:t>
            </w:r>
          </w:p>
        </w:tc>
      </w:tr>
      <w:tr>
        <w:trPr>
          <w:trHeight w:val="460" w:hRule="exact"/>
        </w:trPr>
        <w:tc>
          <w:tcPr>
            <w:tcW w:w="1968" w:type="dxa"/>
            <w:tcBorders>
              <w:left w:val="single" w:sz="4" w:space="0" w:color="231F20"/>
              <w:bottom w:val="single" w:sz="4" w:space="0" w:color="231F20"/>
              <w:right w:val="single" w:sz="12" w:space="0" w:color="231F20"/>
            </w:tcBorders>
          </w:tcPr>
          <w:p>
            <w:pPr>
              <w:pStyle w:val="TableParagraph"/>
              <w:spacing w:line="295" w:lineRule="auto" w:before="8"/>
              <w:ind w:left="86"/>
              <w:rPr>
                <w:sz w:val="17"/>
              </w:rPr>
            </w:pPr>
            <w:r>
              <w:rPr>
                <w:color w:val="231F20"/>
                <w:sz w:val="17"/>
              </w:rPr>
              <w:t>Químico Biólogo Farma- céutico</w:t>
            </w:r>
          </w:p>
        </w:tc>
        <w:tc>
          <w:tcPr>
            <w:tcW w:w="1428" w:type="dxa"/>
            <w:tcBorders>
              <w:left w:val="single" w:sz="12" w:space="0" w:color="231F20"/>
              <w:bottom w:val="single" w:sz="4" w:space="0" w:color="231F20"/>
              <w:right w:val="single" w:sz="2" w:space="0" w:color="231F20"/>
            </w:tcBorders>
          </w:tcPr>
          <w:p>
            <w:pPr>
              <w:pStyle w:val="TableParagraph"/>
              <w:spacing w:before="128"/>
              <w:ind w:left="0" w:right="12"/>
              <w:jc w:val="center"/>
              <w:rPr>
                <w:sz w:val="17"/>
              </w:rPr>
            </w:pPr>
            <w:r>
              <w:rPr>
                <w:color w:val="231F20"/>
                <w:w w:val="97"/>
                <w:sz w:val="17"/>
              </w:rPr>
              <w:t>6</w:t>
            </w:r>
          </w:p>
        </w:tc>
        <w:tc>
          <w:tcPr>
            <w:tcW w:w="1339" w:type="dxa"/>
            <w:tcBorders>
              <w:left w:val="single" w:sz="2" w:space="0" w:color="231F20"/>
              <w:bottom w:val="single" w:sz="4" w:space="0" w:color="231F20"/>
              <w:right w:val="single" w:sz="2" w:space="0" w:color="231F20"/>
            </w:tcBorders>
          </w:tcPr>
          <w:p>
            <w:pPr>
              <w:pStyle w:val="TableParagraph"/>
              <w:spacing w:before="128"/>
              <w:ind w:left="1"/>
              <w:jc w:val="center"/>
              <w:rPr>
                <w:sz w:val="17"/>
              </w:rPr>
            </w:pPr>
            <w:r>
              <w:rPr>
                <w:color w:val="231F20"/>
                <w:w w:val="97"/>
                <w:sz w:val="17"/>
              </w:rPr>
              <w:t>0</w:t>
            </w:r>
          </w:p>
        </w:tc>
        <w:tc>
          <w:tcPr>
            <w:tcW w:w="895" w:type="dxa"/>
            <w:tcBorders>
              <w:left w:val="single" w:sz="2" w:space="0" w:color="231F20"/>
              <w:bottom w:val="single" w:sz="4" w:space="0" w:color="231F20"/>
              <w:right w:val="single" w:sz="4" w:space="0" w:color="231F20"/>
            </w:tcBorders>
          </w:tcPr>
          <w:p>
            <w:pPr>
              <w:pStyle w:val="TableParagraph"/>
              <w:spacing w:before="128"/>
              <w:ind w:left="1"/>
              <w:jc w:val="center"/>
              <w:rPr>
                <w:sz w:val="17"/>
              </w:rPr>
            </w:pPr>
            <w:r>
              <w:rPr>
                <w:color w:val="231F20"/>
                <w:w w:val="97"/>
                <w:sz w:val="17"/>
              </w:rPr>
              <w:t>6</w:t>
            </w:r>
          </w:p>
        </w:tc>
      </w:tr>
      <w:tr>
        <w:trPr>
          <w:trHeight w:val="250" w:hRule="exact"/>
        </w:trPr>
        <w:tc>
          <w:tcPr>
            <w:tcW w:w="1968" w:type="dxa"/>
            <w:tcBorders>
              <w:top w:val="single" w:sz="4" w:space="0" w:color="231F20"/>
              <w:left w:val="single" w:sz="4" w:space="0" w:color="231F20"/>
              <w:bottom w:val="single" w:sz="4" w:space="0" w:color="231F20"/>
              <w:right w:val="single" w:sz="12" w:space="0" w:color="231F20"/>
            </w:tcBorders>
          </w:tcPr>
          <w:p>
            <w:pPr>
              <w:pStyle w:val="TableParagraph"/>
              <w:spacing w:before="33"/>
              <w:ind w:left="86"/>
              <w:rPr>
                <w:b/>
                <w:sz w:val="17"/>
              </w:rPr>
            </w:pPr>
            <w:r>
              <w:rPr>
                <w:b/>
                <w:color w:val="231F20"/>
                <w:w w:val="105"/>
                <w:sz w:val="17"/>
              </w:rPr>
              <w:t>Total</w:t>
            </w:r>
          </w:p>
        </w:tc>
        <w:tc>
          <w:tcPr>
            <w:tcW w:w="1428" w:type="dxa"/>
            <w:tcBorders>
              <w:top w:val="single" w:sz="4" w:space="0" w:color="231F20"/>
              <w:left w:val="single" w:sz="12" w:space="0" w:color="231F20"/>
              <w:bottom w:val="single" w:sz="4" w:space="0" w:color="231F20"/>
              <w:right w:val="single" w:sz="2" w:space="0" w:color="231F20"/>
            </w:tcBorders>
          </w:tcPr>
          <w:p>
            <w:pPr>
              <w:pStyle w:val="TableParagraph"/>
              <w:spacing w:before="33"/>
              <w:ind w:left="595" w:right="606"/>
              <w:jc w:val="center"/>
              <w:rPr>
                <w:b/>
                <w:sz w:val="17"/>
              </w:rPr>
            </w:pPr>
            <w:r>
              <w:rPr>
                <w:b/>
                <w:color w:val="231F20"/>
                <w:sz w:val="17"/>
              </w:rPr>
              <w:t>89</w:t>
            </w:r>
          </w:p>
        </w:tc>
        <w:tc>
          <w:tcPr>
            <w:tcW w:w="1339" w:type="dxa"/>
            <w:tcBorders>
              <w:top w:val="single" w:sz="4" w:space="0" w:color="231F20"/>
              <w:left w:val="single" w:sz="2" w:space="0" w:color="231F20"/>
              <w:bottom w:val="single" w:sz="4" w:space="0" w:color="231F20"/>
              <w:right w:val="single" w:sz="2" w:space="0" w:color="231F20"/>
            </w:tcBorders>
          </w:tcPr>
          <w:p>
            <w:pPr>
              <w:pStyle w:val="TableParagraph"/>
              <w:spacing w:before="33"/>
              <w:ind w:left="1"/>
              <w:jc w:val="center"/>
              <w:rPr>
                <w:b/>
                <w:sz w:val="17"/>
              </w:rPr>
            </w:pPr>
            <w:r>
              <w:rPr>
                <w:b/>
                <w:color w:val="231F20"/>
                <w:w w:val="97"/>
                <w:sz w:val="17"/>
              </w:rPr>
              <w:t>7</w:t>
            </w:r>
          </w:p>
        </w:tc>
        <w:tc>
          <w:tcPr>
            <w:tcW w:w="895" w:type="dxa"/>
            <w:tcBorders>
              <w:top w:val="single" w:sz="4" w:space="0" w:color="231F20"/>
              <w:left w:val="single" w:sz="2" w:space="0" w:color="231F20"/>
              <w:bottom w:val="single" w:sz="4" w:space="0" w:color="231F20"/>
              <w:right w:val="single" w:sz="4" w:space="0" w:color="231F20"/>
            </w:tcBorders>
          </w:tcPr>
          <w:p>
            <w:pPr>
              <w:pStyle w:val="TableParagraph"/>
              <w:spacing w:before="33"/>
              <w:ind w:left="340" w:right="338"/>
              <w:jc w:val="center"/>
              <w:rPr>
                <w:b/>
                <w:sz w:val="17"/>
              </w:rPr>
            </w:pPr>
            <w:r>
              <w:rPr>
                <w:b/>
                <w:color w:val="231F20"/>
                <w:sz w:val="17"/>
              </w:rPr>
              <w:t>96</w:t>
            </w:r>
          </w:p>
        </w:tc>
      </w:tr>
    </w:tbl>
    <w:p>
      <w:pPr>
        <w:spacing w:after="0"/>
        <w:jc w:val="center"/>
        <w:rPr>
          <w:sz w:val="17"/>
        </w:rPr>
        <w:sectPr>
          <w:headerReference w:type="default" r:id="rId862"/>
          <w:footerReference w:type="default" r:id="rId863"/>
          <w:pgSz w:w="7830" w:h="11910"/>
          <w:pgMar w:header="0" w:footer="424" w:top="500" w:bottom="620" w:left="900" w:right="1040"/>
          <w:pgNumType w:start="389"/>
        </w:sectPr>
      </w:pPr>
    </w:p>
    <w:p>
      <w:pPr>
        <w:spacing w:before="46"/>
        <w:ind w:left="102" w:right="79"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before="111"/>
        <w:ind w:left="102" w:right="81" w:firstLine="0"/>
        <w:jc w:val="center"/>
        <w:rPr>
          <w:b/>
          <w:sz w:val="19"/>
        </w:rPr>
      </w:pPr>
      <w:r>
        <w:rPr>
          <w:b/>
          <w:color w:val="231F20"/>
          <w:w w:val="105"/>
          <w:sz w:val="19"/>
        </w:rPr>
        <w:t>Cuadro 4.Qué tipo de violencia has sufrido tú: agresión física</w:t>
      </w:r>
    </w:p>
    <w:p>
      <w:pPr>
        <w:pStyle w:val="BodyText"/>
        <w:spacing w:before="5"/>
        <w:rPr>
          <w:b/>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05"/>
        <w:gridCol w:w="1001"/>
        <w:gridCol w:w="1090"/>
        <w:gridCol w:w="641"/>
      </w:tblGrid>
      <w:tr>
        <w:trPr>
          <w:trHeight w:val="768" w:hRule="exact"/>
        </w:trPr>
        <w:tc>
          <w:tcPr>
            <w:tcW w:w="3005" w:type="dxa"/>
            <w:tcBorders>
              <w:top w:val="single" w:sz="12" w:space="0" w:color="231F20"/>
              <w:left w:val="single" w:sz="12" w:space="0" w:color="231F20"/>
              <w:bottom w:val="single" w:sz="12" w:space="0" w:color="231F20"/>
              <w:right w:val="single" w:sz="12" w:space="0" w:color="231F20"/>
            </w:tcBorders>
          </w:tcPr>
          <w:p>
            <w:pPr/>
          </w:p>
        </w:tc>
        <w:tc>
          <w:tcPr>
            <w:tcW w:w="2090" w:type="dxa"/>
            <w:gridSpan w:val="2"/>
            <w:tcBorders>
              <w:top w:val="single" w:sz="12" w:space="0" w:color="231F20"/>
              <w:left w:val="single" w:sz="12" w:space="0" w:color="231F20"/>
              <w:bottom w:val="single" w:sz="2" w:space="0" w:color="231F20"/>
              <w:right w:val="single" w:sz="2" w:space="0" w:color="231F20"/>
            </w:tcBorders>
          </w:tcPr>
          <w:p>
            <w:pPr>
              <w:pStyle w:val="TableParagraph"/>
              <w:spacing w:line="295" w:lineRule="auto" w:before="52"/>
              <w:ind w:left="140" w:right="150" w:hanging="2"/>
              <w:jc w:val="center"/>
              <w:rPr>
                <w:b/>
                <w:sz w:val="17"/>
              </w:rPr>
            </w:pPr>
            <w:r>
              <w:rPr>
                <w:b/>
                <w:color w:val="231F20"/>
                <w:w w:val="105"/>
                <w:sz w:val="17"/>
              </w:rPr>
              <w:t>Qué tipo de violencia has sufrido tú:</w:t>
            </w:r>
            <w:r>
              <w:rPr>
                <w:b/>
                <w:color w:val="231F20"/>
                <w:spacing w:val="-28"/>
                <w:w w:val="105"/>
                <w:sz w:val="17"/>
              </w:rPr>
              <w:t> </w:t>
            </w:r>
            <w:r>
              <w:rPr>
                <w:b/>
                <w:color w:val="231F20"/>
                <w:w w:val="105"/>
                <w:sz w:val="17"/>
              </w:rPr>
              <w:t>agresión física 1s,</w:t>
            </w:r>
            <w:r>
              <w:rPr>
                <w:b/>
                <w:color w:val="231F20"/>
                <w:spacing w:val="-15"/>
                <w:w w:val="105"/>
                <w:sz w:val="17"/>
              </w:rPr>
              <w:t> </w:t>
            </w:r>
            <w:r>
              <w:rPr>
                <w:b/>
                <w:color w:val="231F20"/>
                <w:w w:val="105"/>
                <w:sz w:val="17"/>
              </w:rPr>
              <w:t>2n</w:t>
            </w:r>
          </w:p>
        </w:tc>
        <w:tc>
          <w:tcPr>
            <w:tcW w:w="641" w:type="dxa"/>
            <w:tcBorders>
              <w:top w:val="single" w:sz="12" w:space="0" w:color="231F20"/>
              <w:left w:val="single" w:sz="2" w:space="0" w:color="231F20"/>
              <w:bottom w:val="single" w:sz="2" w:space="0" w:color="231F20"/>
              <w:right w:val="single" w:sz="12" w:space="0" w:color="231F20"/>
            </w:tcBorders>
          </w:tcPr>
          <w:p>
            <w:pPr>
              <w:pStyle w:val="TableParagraph"/>
              <w:ind w:left="0"/>
              <w:rPr>
                <w:b/>
                <w:sz w:val="18"/>
              </w:rPr>
            </w:pPr>
          </w:p>
          <w:p>
            <w:pPr>
              <w:pStyle w:val="TableParagraph"/>
              <w:ind w:left="0"/>
              <w:rPr>
                <w:b/>
                <w:sz w:val="18"/>
              </w:rPr>
            </w:pPr>
          </w:p>
          <w:p>
            <w:pPr>
              <w:pStyle w:val="TableParagraph"/>
              <w:spacing w:before="118"/>
              <w:ind w:left="93" w:right="83"/>
              <w:jc w:val="center"/>
              <w:rPr>
                <w:b/>
                <w:sz w:val="17"/>
              </w:rPr>
            </w:pPr>
            <w:r>
              <w:rPr>
                <w:b/>
                <w:color w:val="231F20"/>
                <w:w w:val="105"/>
                <w:sz w:val="17"/>
              </w:rPr>
              <w:t>Total</w:t>
            </w:r>
          </w:p>
        </w:tc>
      </w:tr>
      <w:tr>
        <w:trPr>
          <w:trHeight w:val="758" w:hRule="exact"/>
        </w:trPr>
        <w:tc>
          <w:tcPr>
            <w:tcW w:w="3005" w:type="dxa"/>
            <w:tcBorders>
              <w:top w:val="single" w:sz="12" w:space="0" w:color="231F20"/>
              <w:left w:val="single" w:sz="12" w:space="0" w:color="231F20"/>
              <w:bottom w:val="single" w:sz="4" w:space="0" w:color="231F20"/>
              <w:right w:val="single" w:sz="12" w:space="0" w:color="231F20"/>
            </w:tcBorders>
          </w:tcPr>
          <w:p>
            <w:pPr/>
          </w:p>
        </w:tc>
        <w:tc>
          <w:tcPr>
            <w:tcW w:w="1001" w:type="dxa"/>
            <w:tcBorders>
              <w:top w:val="single" w:sz="2" w:space="0" w:color="231F20"/>
              <w:left w:val="single" w:sz="12" w:space="0" w:color="231F20"/>
              <w:bottom w:val="single" w:sz="12" w:space="0" w:color="231F20"/>
              <w:right w:val="single" w:sz="2" w:space="0" w:color="231F20"/>
            </w:tcBorders>
          </w:tcPr>
          <w:p>
            <w:pPr>
              <w:pStyle w:val="TableParagraph"/>
              <w:ind w:left="0"/>
              <w:rPr>
                <w:b/>
                <w:sz w:val="18"/>
              </w:rPr>
            </w:pPr>
          </w:p>
          <w:p>
            <w:pPr>
              <w:pStyle w:val="TableParagraph"/>
              <w:ind w:left="0"/>
              <w:rPr>
                <w:b/>
                <w:sz w:val="18"/>
              </w:rPr>
            </w:pPr>
          </w:p>
          <w:p>
            <w:pPr>
              <w:pStyle w:val="TableParagraph"/>
              <w:spacing w:before="130"/>
              <w:ind w:left="394" w:right="408"/>
              <w:jc w:val="center"/>
              <w:rPr>
                <w:b/>
                <w:sz w:val="17"/>
              </w:rPr>
            </w:pPr>
            <w:r>
              <w:rPr>
                <w:b/>
                <w:color w:val="231F20"/>
                <w:sz w:val="17"/>
              </w:rPr>
              <w:t>Sí</w:t>
            </w:r>
          </w:p>
        </w:tc>
        <w:tc>
          <w:tcPr>
            <w:tcW w:w="1090" w:type="dxa"/>
            <w:tcBorders>
              <w:top w:val="single" w:sz="2" w:space="0" w:color="231F20"/>
              <w:left w:val="single" w:sz="2" w:space="0" w:color="231F20"/>
              <w:bottom w:val="single" w:sz="12" w:space="0" w:color="231F20"/>
              <w:right w:val="single" w:sz="2" w:space="0" w:color="231F20"/>
            </w:tcBorders>
          </w:tcPr>
          <w:p>
            <w:pPr>
              <w:pStyle w:val="TableParagraph"/>
              <w:ind w:left="0"/>
              <w:rPr>
                <w:b/>
                <w:sz w:val="18"/>
              </w:rPr>
            </w:pPr>
          </w:p>
          <w:p>
            <w:pPr>
              <w:pStyle w:val="TableParagraph"/>
              <w:ind w:left="0"/>
              <w:rPr>
                <w:b/>
                <w:sz w:val="18"/>
              </w:rPr>
            </w:pPr>
          </w:p>
          <w:p>
            <w:pPr>
              <w:pStyle w:val="TableParagraph"/>
              <w:spacing w:before="130"/>
              <w:ind w:left="405" w:right="400"/>
              <w:jc w:val="center"/>
              <w:rPr>
                <w:b/>
                <w:sz w:val="17"/>
              </w:rPr>
            </w:pPr>
            <w:r>
              <w:rPr>
                <w:b/>
                <w:color w:val="231F20"/>
                <w:w w:val="115"/>
                <w:sz w:val="17"/>
              </w:rPr>
              <w:t>No</w:t>
            </w:r>
          </w:p>
        </w:tc>
        <w:tc>
          <w:tcPr>
            <w:tcW w:w="641" w:type="dxa"/>
            <w:tcBorders>
              <w:top w:val="single" w:sz="2" w:space="0" w:color="231F20"/>
              <w:left w:val="single" w:sz="2" w:space="0" w:color="231F20"/>
              <w:bottom w:val="single" w:sz="12" w:space="0" w:color="231F20"/>
              <w:right w:val="single" w:sz="12" w:space="0" w:color="231F20"/>
            </w:tcBorders>
          </w:tcPr>
          <w:p>
            <w:pPr>
              <w:pStyle w:val="TableParagraph"/>
              <w:ind w:left="0"/>
              <w:rPr>
                <w:b/>
                <w:sz w:val="18"/>
              </w:rPr>
            </w:pPr>
          </w:p>
          <w:p>
            <w:pPr>
              <w:pStyle w:val="TableParagraph"/>
              <w:ind w:left="0"/>
              <w:rPr>
                <w:b/>
                <w:sz w:val="18"/>
              </w:rPr>
            </w:pPr>
          </w:p>
          <w:p>
            <w:pPr>
              <w:pStyle w:val="TableParagraph"/>
              <w:spacing w:before="130"/>
              <w:ind w:left="91" w:right="83"/>
              <w:jc w:val="center"/>
              <w:rPr>
                <w:b/>
                <w:sz w:val="17"/>
              </w:rPr>
            </w:pPr>
            <w:r>
              <w:rPr>
                <w:b/>
                <w:color w:val="231F20"/>
                <w:sz w:val="17"/>
              </w:rPr>
              <w:t>Sí</w:t>
            </w:r>
          </w:p>
        </w:tc>
      </w:tr>
      <w:tr>
        <w:trPr>
          <w:trHeight w:val="313" w:hRule="exact"/>
        </w:trPr>
        <w:tc>
          <w:tcPr>
            <w:tcW w:w="3005" w:type="dxa"/>
            <w:tcBorders>
              <w:top w:val="single" w:sz="4" w:space="0" w:color="231F20"/>
              <w:left w:val="single" w:sz="4" w:space="0" w:color="231F20"/>
              <w:right w:val="single" w:sz="4" w:space="0" w:color="231F20"/>
            </w:tcBorders>
          </w:tcPr>
          <w:p>
            <w:pPr>
              <w:pStyle w:val="TableParagraph"/>
              <w:spacing w:before="52"/>
              <w:ind w:left="86"/>
              <w:rPr>
                <w:sz w:val="17"/>
              </w:rPr>
            </w:pPr>
            <w:r>
              <w:rPr>
                <w:color w:val="231F20"/>
                <w:sz w:val="17"/>
              </w:rPr>
              <w:t>Carrera</w:t>
            </w:r>
          </w:p>
        </w:tc>
        <w:tc>
          <w:tcPr>
            <w:tcW w:w="1001" w:type="dxa"/>
            <w:tcBorders>
              <w:top w:val="single" w:sz="12" w:space="0" w:color="231F20"/>
              <w:left w:val="single" w:sz="4" w:space="0" w:color="231F20"/>
              <w:right w:val="single" w:sz="2" w:space="0" w:color="231F20"/>
            </w:tcBorders>
          </w:tcPr>
          <w:p>
            <w:pPr>
              <w:pStyle w:val="TableParagraph"/>
              <w:spacing w:before="57"/>
              <w:ind w:left="0" w:right="4"/>
              <w:jc w:val="center"/>
              <w:rPr>
                <w:sz w:val="17"/>
              </w:rPr>
            </w:pPr>
            <w:r>
              <w:rPr>
                <w:color w:val="231F20"/>
                <w:w w:val="97"/>
                <w:sz w:val="17"/>
              </w:rPr>
              <w:t>4</w:t>
            </w:r>
          </w:p>
        </w:tc>
        <w:tc>
          <w:tcPr>
            <w:tcW w:w="1090" w:type="dxa"/>
            <w:tcBorders>
              <w:top w:val="single" w:sz="12" w:space="0" w:color="231F20"/>
              <w:left w:val="single" w:sz="2" w:space="0" w:color="231F20"/>
              <w:right w:val="single" w:sz="2" w:space="0" w:color="231F20"/>
            </w:tcBorders>
          </w:tcPr>
          <w:p>
            <w:pPr>
              <w:pStyle w:val="TableParagraph"/>
              <w:spacing w:before="57"/>
              <w:ind w:left="3"/>
              <w:jc w:val="center"/>
              <w:rPr>
                <w:sz w:val="17"/>
              </w:rPr>
            </w:pPr>
            <w:r>
              <w:rPr>
                <w:color w:val="231F20"/>
                <w:w w:val="97"/>
                <w:sz w:val="17"/>
              </w:rPr>
              <w:t>0</w:t>
            </w:r>
          </w:p>
        </w:tc>
        <w:tc>
          <w:tcPr>
            <w:tcW w:w="641" w:type="dxa"/>
            <w:tcBorders>
              <w:top w:val="single" w:sz="12" w:space="0" w:color="231F20"/>
              <w:left w:val="single" w:sz="2" w:space="0" w:color="231F20"/>
              <w:right w:val="single" w:sz="12" w:space="0" w:color="231F20"/>
            </w:tcBorders>
          </w:tcPr>
          <w:p>
            <w:pPr>
              <w:pStyle w:val="TableParagraph"/>
              <w:spacing w:before="57"/>
              <w:ind w:left="8"/>
              <w:jc w:val="center"/>
              <w:rPr>
                <w:sz w:val="17"/>
              </w:rPr>
            </w:pPr>
            <w:r>
              <w:rPr>
                <w:color w:val="231F20"/>
                <w:w w:val="97"/>
                <w:sz w:val="17"/>
              </w:rPr>
              <w:t>4</w:t>
            </w:r>
          </w:p>
        </w:tc>
      </w:tr>
      <w:tr>
        <w:trPr>
          <w:trHeight w:val="274" w:hRule="exact"/>
        </w:trPr>
        <w:tc>
          <w:tcPr>
            <w:tcW w:w="3005" w:type="dxa"/>
            <w:tcBorders>
              <w:left w:val="single" w:sz="4" w:space="0" w:color="231F20"/>
              <w:right w:val="single" w:sz="4" w:space="0" w:color="231F20"/>
            </w:tcBorders>
          </w:tcPr>
          <w:p>
            <w:pPr>
              <w:pStyle w:val="TableParagraph"/>
              <w:spacing w:before="18"/>
              <w:ind w:left="86"/>
              <w:rPr>
                <w:sz w:val="17"/>
              </w:rPr>
            </w:pPr>
            <w:r>
              <w:rPr>
                <w:color w:val="231F20"/>
                <w:sz w:val="17"/>
              </w:rPr>
              <w:t>Administración</w:t>
            </w:r>
          </w:p>
        </w:tc>
        <w:tc>
          <w:tcPr>
            <w:tcW w:w="1001" w:type="dxa"/>
            <w:tcBorders>
              <w:left w:val="single" w:sz="4" w:space="0" w:color="231F20"/>
              <w:right w:val="single" w:sz="2" w:space="0" w:color="231F20"/>
            </w:tcBorders>
          </w:tcPr>
          <w:p>
            <w:pPr>
              <w:pStyle w:val="TableParagraph"/>
              <w:spacing w:before="32"/>
              <w:ind w:left="0" w:right="4"/>
              <w:jc w:val="center"/>
              <w:rPr>
                <w:sz w:val="17"/>
              </w:rPr>
            </w:pPr>
            <w:r>
              <w:rPr>
                <w:color w:val="231F20"/>
                <w:w w:val="97"/>
                <w:sz w:val="17"/>
              </w:rPr>
              <w:t>3</w:t>
            </w:r>
          </w:p>
        </w:tc>
        <w:tc>
          <w:tcPr>
            <w:tcW w:w="1090" w:type="dxa"/>
            <w:tcBorders>
              <w:left w:val="single" w:sz="2" w:space="0" w:color="231F20"/>
              <w:right w:val="single" w:sz="2" w:space="0" w:color="231F20"/>
            </w:tcBorders>
          </w:tcPr>
          <w:p>
            <w:pPr>
              <w:pStyle w:val="TableParagraph"/>
              <w:spacing w:before="32"/>
              <w:ind w:left="3"/>
              <w:jc w:val="center"/>
              <w:rPr>
                <w:sz w:val="17"/>
              </w:rPr>
            </w:pPr>
            <w:r>
              <w:rPr>
                <w:color w:val="231F20"/>
                <w:w w:val="97"/>
                <w:sz w:val="17"/>
              </w:rPr>
              <w:t>0</w:t>
            </w:r>
          </w:p>
        </w:tc>
        <w:tc>
          <w:tcPr>
            <w:tcW w:w="641" w:type="dxa"/>
            <w:tcBorders>
              <w:left w:val="single" w:sz="2" w:space="0" w:color="231F20"/>
              <w:right w:val="single" w:sz="12" w:space="0" w:color="231F20"/>
            </w:tcBorders>
          </w:tcPr>
          <w:p>
            <w:pPr>
              <w:pStyle w:val="TableParagraph"/>
              <w:spacing w:before="32"/>
              <w:ind w:left="8"/>
              <w:jc w:val="center"/>
              <w:rPr>
                <w:sz w:val="17"/>
              </w:rPr>
            </w:pPr>
            <w:r>
              <w:rPr>
                <w:color w:val="231F20"/>
                <w:w w:val="97"/>
                <w:sz w:val="17"/>
              </w:rPr>
              <w:t>3</w:t>
            </w:r>
          </w:p>
        </w:tc>
      </w:tr>
      <w:tr>
        <w:trPr>
          <w:trHeight w:val="274" w:hRule="exact"/>
        </w:trPr>
        <w:tc>
          <w:tcPr>
            <w:tcW w:w="3005" w:type="dxa"/>
            <w:tcBorders>
              <w:left w:val="single" w:sz="4" w:space="0" w:color="231F20"/>
              <w:right w:val="single" w:sz="4" w:space="0" w:color="231F20"/>
            </w:tcBorders>
          </w:tcPr>
          <w:p>
            <w:pPr>
              <w:pStyle w:val="TableParagraph"/>
              <w:spacing w:before="18"/>
              <w:ind w:left="86"/>
              <w:rPr>
                <w:sz w:val="17"/>
              </w:rPr>
            </w:pPr>
            <w:r>
              <w:rPr>
                <w:color w:val="231F20"/>
                <w:sz w:val="17"/>
              </w:rPr>
              <w:t>Arquitectura</w:t>
            </w:r>
          </w:p>
        </w:tc>
        <w:tc>
          <w:tcPr>
            <w:tcW w:w="1001" w:type="dxa"/>
            <w:tcBorders>
              <w:left w:val="single" w:sz="4" w:space="0" w:color="231F20"/>
              <w:right w:val="single" w:sz="2" w:space="0" w:color="231F20"/>
            </w:tcBorders>
          </w:tcPr>
          <w:p>
            <w:pPr>
              <w:pStyle w:val="TableParagraph"/>
              <w:spacing w:before="32"/>
              <w:ind w:left="390" w:right="393"/>
              <w:jc w:val="center"/>
              <w:rPr>
                <w:sz w:val="17"/>
              </w:rPr>
            </w:pPr>
            <w:r>
              <w:rPr>
                <w:color w:val="231F20"/>
                <w:sz w:val="17"/>
              </w:rPr>
              <w:t>14</w:t>
            </w:r>
          </w:p>
        </w:tc>
        <w:tc>
          <w:tcPr>
            <w:tcW w:w="1090" w:type="dxa"/>
            <w:tcBorders>
              <w:left w:val="single" w:sz="2" w:space="0" w:color="231F20"/>
              <w:right w:val="single" w:sz="2" w:space="0" w:color="231F20"/>
            </w:tcBorders>
          </w:tcPr>
          <w:p>
            <w:pPr>
              <w:pStyle w:val="TableParagraph"/>
              <w:spacing w:before="32"/>
              <w:ind w:left="3"/>
              <w:jc w:val="center"/>
              <w:rPr>
                <w:sz w:val="17"/>
              </w:rPr>
            </w:pPr>
            <w:r>
              <w:rPr>
                <w:color w:val="231F20"/>
                <w:w w:val="97"/>
                <w:sz w:val="17"/>
              </w:rPr>
              <w:t>0</w:t>
            </w:r>
          </w:p>
        </w:tc>
        <w:tc>
          <w:tcPr>
            <w:tcW w:w="641" w:type="dxa"/>
            <w:tcBorders>
              <w:left w:val="single" w:sz="2" w:space="0" w:color="231F20"/>
              <w:right w:val="single" w:sz="12" w:space="0" w:color="231F20"/>
            </w:tcBorders>
          </w:tcPr>
          <w:p>
            <w:pPr>
              <w:pStyle w:val="TableParagraph"/>
              <w:spacing w:before="32"/>
              <w:ind w:left="92" w:right="83"/>
              <w:jc w:val="center"/>
              <w:rPr>
                <w:sz w:val="17"/>
              </w:rPr>
            </w:pPr>
            <w:r>
              <w:rPr>
                <w:color w:val="231F20"/>
                <w:sz w:val="17"/>
              </w:rPr>
              <w:t>14</w:t>
            </w:r>
          </w:p>
        </w:tc>
      </w:tr>
      <w:tr>
        <w:trPr>
          <w:trHeight w:val="274" w:hRule="exact"/>
        </w:trPr>
        <w:tc>
          <w:tcPr>
            <w:tcW w:w="3005" w:type="dxa"/>
            <w:tcBorders>
              <w:left w:val="single" w:sz="4" w:space="0" w:color="231F20"/>
              <w:right w:val="single" w:sz="4" w:space="0" w:color="231F20"/>
            </w:tcBorders>
          </w:tcPr>
          <w:p>
            <w:pPr>
              <w:pStyle w:val="TableParagraph"/>
              <w:spacing w:before="18"/>
              <w:ind w:left="86"/>
              <w:rPr>
                <w:sz w:val="17"/>
              </w:rPr>
            </w:pPr>
            <w:r>
              <w:rPr>
                <w:color w:val="231F20"/>
                <w:sz w:val="17"/>
              </w:rPr>
              <w:t>Biología</w:t>
            </w:r>
          </w:p>
        </w:tc>
        <w:tc>
          <w:tcPr>
            <w:tcW w:w="1001" w:type="dxa"/>
            <w:tcBorders>
              <w:left w:val="single" w:sz="4" w:space="0" w:color="231F20"/>
              <w:right w:val="single" w:sz="2" w:space="0" w:color="231F20"/>
            </w:tcBorders>
          </w:tcPr>
          <w:p>
            <w:pPr>
              <w:pStyle w:val="TableParagraph"/>
              <w:spacing w:before="32"/>
              <w:ind w:left="0" w:right="4"/>
              <w:jc w:val="center"/>
              <w:rPr>
                <w:sz w:val="17"/>
              </w:rPr>
            </w:pPr>
            <w:r>
              <w:rPr>
                <w:color w:val="231F20"/>
                <w:w w:val="97"/>
                <w:sz w:val="17"/>
              </w:rPr>
              <w:t>2</w:t>
            </w:r>
          </w:p>
        </w:tc>
        <w:tc>
          <w:tcPr>
            <w:tcW w:w="1090" w:type="dxa"/>
            <w:tcBorders>
              <w:left w:val="single" w:sz="2" w:space="0" w:color="231F20"/>
              <w:right w:val="single" w:sz="2" w:space="0" w:color="231F20"/>
            </w:tcBorders>
          </w:tcPr>
          <w:p>
            <w:pPr>
              <w:pStyle w:val="TableParagraph"/>
              <w:spacing w:before="32"/>
              <w:ind w:left="3"/>
              <w:jc w:val="center"/>
              <w:rPr>
                <w:sz w:val="17"/>
              </w:rPr>
            </w:pPr>
            <w:r>
              <w:rPr>
                <w:color w:val="231F20"/>
                <w:w w:val="97"/>
                <w:sz w:val="17"/>
              </w:rPr>
              <w:t>0</w:t>
            </w:r>
          </w:p>
        </w:tc>
        <w:tc>
          <w:tcPr>
            <w:tcW w:w="641" w:type="dxa"/>
            <w:tcBorders>
              <w:left w:val="single" w:sz="2" w:space="0" w:color="231F20"/>
              <w:right w:val="single" w:sz="12" w:space="0" w:color="231F20"/>
            </w:tcBorders>
          </w:tcPr>
          <w:p>
            <w:pPr>
              <w:pStyle w:val="TableParagraph"/>
              <w:spacing w:before="32"/>
              <w:ind w:left="8"/>
              <w:jc w:val="center"/>
              <w:rPr>
                <w:sz w:val="17"/>
              </w:rPr>
            </w:pPr>
            <w:r>
              <w:rPr>
                <w:color w:val="231F20"/>
                <w:w w:val="97"/>
                <w:sz w:val="17"/>
              </w:rPr>
              <w:t>2</w:t>
            </w:r>
          </w:p>
        </w:tc>
      </w:tr>
      <w:tr>
        <w:trPr>
          <w:trHeight w:val="271" w:hRule="exact"/>
        </w:trPr>
        <w:tc>
          <w:tcPr>
            <w:tcW w:w="3005" w:type="dxa"/>
            <w:tcBorders>
              <w:left w:val="single" w:sz="4" w:space="0" w:color="231F20"/>
              <w:right w:val="single" w:sz="4" w:space="0" w:color="231F20"/>
            </w:tcBorders>
          </w:tcPr>
          <w:p>
            <w:pPr>
              <w:pStyle w:val="TableParagraph"/>
              <w:spacing w:before="18"/>
              <w:ind w:left="86"/>
              <w:rPr>
                <w:sz w:val="17"/>
              </w:rPr>
            </w:pPr>
            <w:r>
              <w:rPr>
                <w:color w:val="231F20"/>
                <w:sz w:val="17"/>
              </w:rPr>
              <w:t>Ciencias de la Educación</w:t>
            </w:r>
          </w:p>
        </w:tc>
        <w:tc>
          <w:tcPr>
            <w:tcW w:w="1001" w:type="dxa"/>
            <w:tcBorders>
              <w:left w:val="single" w:sz="4" w:space="0" w:color="231F20"/>
              <w:right w:val="single" w:sz="2" w:space="0" w:color="231F20"/>
            </w:tcBorders>
          </w:tcPr>
          <w:p>
            <w:pPr>
              <w:pStyle w:val="TableParagraph"/>
              <w:spacing w:before="32"/>
              <w:ind w:left="0" w:right="4"/>
              <w:jc w:val="center"/>
              <w:rPr>
                <w:sz w:val="17"/>
              </w:rPr>
            </w:pPr>
            <w:r>
              <w:rPr>
                <w:color w:val="231F20"/>
                <w:w w:val="97"/>
                <w:sz w:val="17"/>
              </w:rPr>
              <w:t>5</w:t>
            </w:r>
          </w:p>
        </w:tc>
        <w:tc>
          <w:tcPr>
            <w:tcW w:w="1090" w:type="dxa"/>
            <w:tcBorders>
              <w:left w:val="single" w:sz="2" w:space="0" w:color="231F20"/>
              <w:right w:val="single" w:sz="2" w:space="0" w:color="231F20"/>
            </w:tcBorders>
          </w:tcPr>
          <w:p>
            <w:pPr>
              <w:pStyle w:val="TableParagraph"/>
              <w:spacing w:before="32"/>
              <w:ind w:left="3"/>
              <w:jc w:val="center"/>
              <w:rPr>
                <w:sz w:val="17"/>
              </w:rPr>
            </w:pPr>
            <w:r>
              <w:rPr>
                <w:color w:val="231F20"/>
                <w:w w:val="97"/>
                <w:sz w:val="17"/>
              </w:rPr>
              <w:t>0</w:t>
            </w:r>
          </w:p>
        </w:tc>
        <w:tc>
          <w:tcPr>
            <w:tcW w:w="641" w:type="dxa"/>
            <w:tcBorders>
              <w:left w:val="single" w:sz="2" w:space="0" w:color="231F20"/>
              <w:right w:val="single" w:sz="12" w:space="0" w:color="231F20"/>
            </w:tcBorders>
          </w:tcPr>
          <w:p>
            <w:pPr>
              <w:pStyle w:val="TableParagraph"/>
              <w:spacing w:before="32"/>
              <w:ind w:left="8"/>
              <w:jc w:val="center"/>
              <w:rPr>
                <w:sz w:val="17"/>
              </w:rPr>
            </w:pPr>
            <w:r>
              <w:rPr>
                <w:color w:val="231F20"/>
                <w:w w:val="97"/>
                <w:sz w:val="17"/>
              </w:rPr>
              <w:t>5</w:t>
            </w:r>
          </w:p>
        </w:tc>
      </w:tr>
      <w:tr>
        <w:trPr>
          <w:trHeight w:val="274" w:hRule="exact"/>
        </w:trPr>
        <w:tc>
          <w:tcPr>
            <w:tcW w:w="3005" w:type="dxa"/>
            <w:tcBorders>
              <w:left w:val="single" w:sz="4" w:space="0" w:color="231F20"/>
              <w:right w:val="single" w:sz="4" w:space="0" w:color="231F20"/>
            </w:tcBorders>
          </w:tcPr>
          <w:p>
            <w:pPr>
              <w:pStyle w:val="TableParagraph"/>
              <w:spacing w:before="15"/>
              <w:ind w:left="86"/>
              <w:rPr>
                <w:sz w:val="17"/>
              </w:rPr>
            </w:pPr>
            <w:r>
              <w:rPr>
                <w:color w:val="231F20"/>
                <w:sz w:val="17"/>
              </w:rPr>
              <w:t>Cirujano dentista</w:t>
            </w:r>
          </w:p>
        </w:tc>
        <w:tc>
          <w:tcPr>
            <w:tcW w:w="1001" w:type="dxa"/>
            <w:tcBorders>
              <w:left w:val="single" w:sz="4" w:space="0" w:color="231F20"/>
              <w:right w:val="single" w:sz="2" w:space="0" w:color="231F20"/>
            </w:tcBorders>
          </w:tcPr>
          <w:p>
            <w:pPr>
              <w:pStyle w:val="TableParagraph"/>
              <w:spacing w:before="35"/>
              <w:ind w:left="0" w:right="4"/>
              <w:jc w:val="center"/>
              <w:rPr>
                <w:sz w:val="17"/>
              </w:rPr>
            </w:pPr>
            <w:r>
              <w:rPr>
                <w:color w:val="231F20"/>
                <w:w w:val="97"/>
                <w:sz w:val="17"/>
              </w:rPr>
              <w:t>2</w:t>
            </w:r>
          </w:p>
        </w:tc>
        <w:tc>
          <w:tcPr>
            <w:tcW w:w="1090" w:type="dxa"/>
            <w:tcBorders>
              <w:left w:val="single" w:sz="2" w:space="0" w:color="231F20"/>
              <w:right w:val="single" w:sz="2" w:space="0" w:color="231F20"/>
            </w:tcBorders>
          </w:tcPr>
          <w:p>
            <w:pPr>
              <w:pStyle w:val="TableParagraph"/>
              <w:spacing w:before="35"/>
              <w:ind w:left="3"/>
              <w:jc w:val="center"/>
              <w:rPr>
                <w:sz w:val="17"/>
              </w:rPr>
            </w:pPr>
            <w:r>
              <w:rPr>
                <w:color w:val="231F20"/>
                <w:w w:val="97"/>
                <w:sz w:val="17"/>
              </w:rPr>
              <w:t>2</w:t>
            </w:r>
          </w:p>
        </w:tc>
        <w:tc>
          <w:tcPr>
            <w:tcW w:w="641" w:type="dxa"/>
            <w:tcBorders>
              <w:left w:val="single" w:sz="2" w:space="0" w:color="231F20"/>
              <w:right w:val="single" w:sz="12" w:space="0" w:color="231F20"/>
            </w:tcBorders>
          </w:tcPr>
          <w:p>
            <w:pPr>
              <w:pStyle w:val="TableParagraph"/>
              <w:spacing w:before="35"/>
              <w:ind w:left="8"/>
              <w:jc w:val="center"/>
              <w:rPr>
                <w:sz w:val="17"/>
              </w:rPr>
            </w:pPr>
            <w:r>
              <w:rPr>
                <w:color w:val="231F20"/>
                <w:w w:val="97"/>
                <w:sz w:val="17"/>
              </w:rPr>
              <w:t>4</w:t>
            </w:r>
          </w:p>
        </w:tc>
      </w:tr>
      <w:tr>
        <w:trPr>
          <w:trHeight w:val="274" w:hRule="exact"/>
        </w:trPr>
        <w:tc>
          <w:tcPr>
            <w:tcW w:w="3005" w:type="dxa"/>
            <w:tcBorders>
              <w:left w:val="single" w:sz="4" w:space="0" w:color="231F20"/>
              <w:right w:val="single" w:sz="4" w:space="0" w:color="231F20"/>
            </w:tcBorders>
          </w:tcPr>
          <w:p>
            <w:pPr>
              <w:pStyle w:val="TableParagraph"/>
              <w:spacing w:before="15"/>
              <w:ind w:left="86"/>
              <w:rPr>
                <w:sz w:val="17"/>
              </w:rPr>
            </w:pPr>
            <w:r>
              <w:rPr>
                <w:color w:val="231F20"/>
                <w:sz w:val="17"/>
              </w:rPr>
              <w:t>Computación</w:t>
            </w:r>
          </w:p>
        </w:tc>
        <w:tc>
          <w:tcPr>
            <w:tcW w:w="1001" w:type="dxa"/>
            <w:tcBorders>
              <w:left w:val="single" w:sz="4" w:space="0" w:color="231F20"/>
              <w:right w:val="single" w:sz="2" w:space="0" w:color="231F20"/>
            </w:tcBorders>
          </w:tcPr>
          <w:p>
            <w:pPr>
              <w:pStyle w:val="TableParagraph"/>
              <w:spacing w:before="35"/>
              <w:ind w:left="0" w:right="4"/>
              <w:jc w:val="center"/>
              <w:rPr>
                <w:sz w:val="17"/>
              </w:rPr>
            </w:pPr>
            <w:r>
              <w:rPr>
                <w:color w:val="231F20"/>
                <w:w w:val="97"/>
                <w:sz w:val="17"/>
              </w:rPr>
              <w:t>2</w:t>
            </w:r>
          </w:p>
        </w:tc>
        <w:tc>
          <w:tcPr>
            <w:tcW w:w="1090" w:type="dxa"/>
            <w:tcBorders>
              <w:left w:val="single" w:sz="2" w:space="0" w:color="231F20"/>
              <w:right w:val="single" w:sz="2" w:space="0" w:color="231F20"/>
            </w:tcBorders>
          </w:tcPr>
          <w:p>
            <w:pPr>
              <w:pStyle w:val="TableParagraph"/>
              <w:spacing w:before="35"/>
              <w:ind w:left="3"/>
              <w:jc w:val="center"/>
              <w:rPr>
                <w:sz w:val="17"/>
              </w:rPr>
            </w:pPr>
            <w:r>
              <w:rPr>
                <w:color w:val="231F20"/>
                <w:w w:val="97"/>
                <w:sz w:val="17"/>
              </w:rPr>
              <w:t>0</w:t>
            </w:r>
          </w:p>
        </w:tc>
        <w:tc>
          <w:tcPr>
            <w:tcW w:w="641" w:type="dxa"/>
            <w:tcBorders>
              <w:left w:val="single" w:sz="2" w:space="0" w:color="231F20"/>
              <w:right w:val="single" w:sz="12" w:space="0" w:color="231F20"/>
            </w:tcBorders>
          </w:tcPr>
          <w:p>
            <w:pPr>
              <w:pStyle w:val="TableParagraph"/>
              <w:spacing w:before="35"/>
              <w:ind w:left="8"/>
              <w:jc w:val="center"/>
              <w:rPr>
                <w:sz w:val="17"/>
              </w:rPr>
            </w:pPr>
            <w:r>
              <w:rPr>
                <w:color w:val="231F20"/>
                <w:w w:val="97"/>
                <w:sz w:val="17"/>
              </w:rPr>
              <w:t>2</w:t>
            </w:r>
          </w:p>
        </w:tc>
      </w:tr>
      <w:tr>
        <w:trPr>
          <w:trHeight w:val="274" w:hRule="exact"/>
        </w:trPr>
        <w:tc>
          <w:tcPr>
            <w:tcW w:w="3005" w:type="dxa"/>
            <w:tcBorders>
              <w:left w:val="single" w:sz="4" w:space="0" w:color="231F20"/>
              <w:right w:val="single" w:sz="4" w:space="0" w:color="231F20"/>
            </w:tcBorders>
          </w:tcPr>
          <w:p>
            <w:pPr>
              <w:pStyle w:val="TableParagraph"/>
              <w:spacing w:before="15"/>
              <w:ind w:left="86"/>
              <w:rPr>
                <w:sz w:val="17"/>
              </w:rPr>
            </w:pPr>
            <w:r>
              <w:rPr>
                <w:color w:val="231F20"/>
                <w:sz w:val="17"/>
              </w:rPr>
              <w:t>Contaduría Pública</w:t>
            </w:r>
          </w:p>
        </w:tc>
        <w:tc>
          <w:tcPr>
            <w:tcW w:w="1001" w:type="dxa"/>
            <w:tcBorders>
              <w:left w:val="single" w:sz="4" w:space="0" w:color="231F20"/>
              <w:right w:val="single" w:sz="2" w:space="0" w:color="231F20"/>
            </w:tcBorders>
          </w:tcPr>
          <w:p>
            <w:pPr>
              <w:pStyle w:val="TableParagraph"/>
              <w:spacing w:before="35"/>
              <w:ind w:left="0" w:right="4"/>
              <w:jc w:val="center"/>
              <w:rPr>
                <w:sz w:val="17"/>
              </w:rPr>
            </w:pPr>
            <w:r>
              <w:rPr>
                <w:color w:val="231F20"/>
                <w:w w:val="97"/>
                <w:sz w:val="17"/>
              </w:rPr>
              <w:t>9</w:t>
            </w:r>
          </w:p>
        </w:tc>
        <w:tc>
          <w:tcPr>
            <w:tcW w:w="1090" w:type="dxa"/>
            <w:tcBorders>
              <w:left w:val="single" w:sz="2" w:space="0" w:color="231F20"/>
              <w:right w:val="single" w:sz="2" w:space="0" w:color="231F20"/>
            </w:tcBorders>
          </w:tcPr>
          <w:p>
            <w:pPr>
              <w:pStyle w:val="TableParagraph"/>
              <w:spacing w:before="35"/>
              <w:ind w:left="3"/>
              <w:jc w:val="center"/>
              <w:rPr>
                <w:sz w:val="17"/>
              </w:rPr>
            </w:pPr>
            <w:r>
              <w:rPr>
                <w:color w:val="231F20"/>
                <w:w w:val="97"/>
                <w:sz w:val="17"/>
              </w:rPr>
              <w:t>0</w:t>
            </w:r>
          </w:p>
        </w:tc>
        <w:tc>
          <w:tcPr>
            <w:tcW w:w="641" w:type="dxa"/>
            <w:tcBorders>
              <w:left w:val="single" w:sz="2" w:space="0" w:color="231F20"/>
              <w:right w:val="single" w:sz="12" w:space="0" w:color="231F20"/>
            </w:tcBorders>
          </w:tcPr>
          <w:p>
            <w:pPr>
              <w:pStyle w:val="TableParagraph"/>
              <w:spacing w:before="35"/>
              <w:ind w:left="8"/>
              <w:jc w:val="center"/>
              <w:rPr>
                <w:sz w:val="17"/>
              </w:rPr>
            </w:pPr>
            <w:r>
              <w:rPr>
                <w:color w:val="231F20"/>
                <w:w w:val="97"/>
                <w:sz w:val="17"/>
              </w:rPr>
              <w:t>9</w:t>
            </w:r>
          </w:p>
        </w:tc>
      </w:tr>
      <w:tr>
        <w:trPr>
          <w:trHeight w:val="271" w:hRule="exact"/>
        </w:trPr>
        <w:tc>
          <w:tcPr>
            <w:tcW w:w="3005" w:type="dxa"/>
            <w:tcBorders>
              <w:left w:val="single" w:sz="4" w:space="0" w:color="231F20"/>
              <w:right w:val="single" w:sz="4" w:space="0" w:color="231F20"/>
            </w:tcBorders>
          </w:tcPr>
          <w:p>
            <w:pPr>
              <w:pStyle w:val="TableParagraph"/>
              <w:spacing w:before="15"/>
              <w:ind w:left="86"/>
              <w:rPr>
                <w:sz w:val="17"/>
              </w:rPr>
            </w:pPr>
            <w:r>
              <w:rPr>
                <w:color w:val="231F20"/>
                <w:w w:val="105"/>
                <w:sz w:val="17"/>
              </w:rPr>
              <w:t>Derecho</w:t>
            </w:r>
          </w:p>
        </w:tc>
        <w:tc>
          <w:tcPr>
            <w:tcW w:w="1001" w:type="dxa"/>
            <w:tcBorders>
              <w:left w:val="single" w:sz="4" w:space="0" w:color="231F20"/>
              <w:right w:val="single" w:sz="2" w:space="0" w:color="231F20"/>
            </w:tcBorders>
          </w:tcPr>
          <w:p>
            <w:pPr>
              <w:pStyle w:val="TableParagraph"/>
              <w:spacing w:before="30"/>
              <w:ind w:left="390" w:right="393"/>
              <w:jc w:val="center"/>
              <w:rPr>
                <w:sz w:val="17"/>
              </w:rPr>
            </w:pPr>
            <w:r>
              <w:rPr>
                <w:color w:val="231F20"/>
                <w:sz w:val="17"/>
              </w:rPr>
              <w:t>14</w:t>
            </w:r>
          </w:p>
        </w:tc>
        <w:tc>
          <w:tcPr>
            <w:tcW w:w="1090" w:type="dxa"/>
            <w:tcBorders>
              <w:left w:val="single" w:sz="2" w:space="0" w:color="231F20"/>
              <w:right w:val="single" w:sz="2" w:space="0" w:color="231F20"/>
            </w:tcBorders>
          </w:tcPr>
          <w:p>
            <w:pPr>
              <w:pStyle w:val="TableParagraph"/>
              <w:spacing w:before="30"/>
              <w:ind w:left="3"/>
              <w:jc w:val="center"/>
              <w:rPr>
                <w:sz w:val="17"/>
              </w:rPr>
            </w:pPr>
            <w:r>
              <w:rPr>
                <w:color w:val="231F20"/>
                <w:w w:val="97"/>
                <w:sz w:val="17"/>
              </w:rPr>
              <w:t>6</w:t>
            </w:r>
          </w:p>
        </w:tc>
        <w:tc>
          <w:tcPr>
            <w:tcW w:w="641" w:type="dxa"/>
            <w:tcBorders>
              <w:left w:val="single" w:sz="2" w:space="0" w:color="231F20"/>
              <w:right w:val="single" w:sz="12" w:space="0" w:color="231F20"/>
            </w:tcBorders>
          </w:tcPr>
          <w:p>
            <w:pPr>
              <w:pStyle w:val="TableParagraph"/>
              <w:spacing w:before="30"/>
              <w:ind w:left="92" w:right="83"/>
              <w:jc w:val="center"/>
              <w:rPr>
                <w:sz w:val="17"/>
              </w:rPr>
            </w:pPr>
            <w:r>
              <w:rPr>
                <w:color w:val="231F20"/>
                <w:sz w:val="17"/>
              </w:rPr>
              <w:t>20</w:t>
            </w:r>
          </w:p>
        </w:tc>
      </w:tr>
      <w:tr>
        <w:trPr>
          <w:trHeight w:val="274" w:hRule="exact"/>
        </w:trPr>
        <w:tc>
          <w:tcPr>
            <w:tcW w:w="3005" w:type="dxa"/>
            <w:tcBorders>
              <w:left w:val="single" w:sz="4" w:space="0" w:color="231F20"/>
              <w:right w:val="single" w:sz="4" w:space="0" w:color="231F20"/>
            </w:tcBorders>
          </w:tcPr>
          <w:p>
            <w:pPr>
              <w:pStyle w:val="TableParagraph"/>
              <w:spacing w:before="18"/>
              <w:ind w:left="86"/>
              <w:rPr>
                <w:sz w:val="17"/>
              </w:rPr>
            </w:pPr>
            <w:r>
              <w:rPr>
                <w:color w:val="231F20"/>
                <w:sz w:val="17"/>
              </w:rPr>
              <w:t>Economía</w:t>
            </w:r>
          </w:p>
        </w:tc>
        <w:tc>
          <w:tcPr>
            <w:tcW w:w="1001" w:type="dxa"/>
            <w:tcBorders>
              <w:left w:val="single" w:sz="4" w:space="0" w:color="231F20"/>
              <w:right w:val="single" w:sz="2" w:space="0" w:color="231F20"/>
            </w:tcBorders>
          </w:tcPr>
          <w:p>
            <w:pPr>
              <w:pStyle w:val="TableParagraph"/>
              <w:spacing w:before="32"/>
              <w:ind w:left="0" w:right="4"/>
              <w:jc w:val="center"/>
              <w:rPr>
                <w:sz w:val="17"/>
              </w:rPr>
            </w:pPr>
            <w:r>
              <w:rPr>
                <w:color w:val="231F20"/>
                <w:w w:val="97"/>
                <w:sz w:val="17"/>
              </w:rPr>
              <w:t>8</w:t>
            </w:r>
          </w:p>
        </w:tc>
        <w:tc>
          <w:tcPr>
            <w:tcW w:w="1090" w:type="dxa"/>
            <w:tcBorders>
              <w:left w:val="single" w:sz="2" w:space="0" w:color="231F20"/>
              <w:right w:val="single" w:sz="2" w:space="0" w:color="231F20"/>
            </w:tcBorders>
          </w:tcPr>
          <w:p>
            <w:pPr>
              <w:pStyle w:val="TableParagraph"/>
              <w:spacing w:before="32"/>
              <w:ind w:left="3"/>
              <w:jc w:val="center"/>
              <w:rPr>
                <w:sz w:val="17"/>
              </w:rPr>
            </w:pPr>
            <w:r>
              <w:rPr>
                <w:color w:val="231F20"/>
                <w:w w:val="97"/>
                <w:sz w:val="17"/>
              </w:rPr>
              <w:t>0</w:t>
            </w:r>
          </w:p>
        </w:tc>
        <w:tc>
          <w:tcPr>
            <w:tcW w:w="641" w:type="dxa"/>
            <w:tcBorders>
              <w:left w:val="single" w:sz="2" w:space="0" w:color="231F20"/>
              <w:right w:val="single" w:sz="12" w:space="0" w:color="231F20"/>
            </w:tcBorders>
          </w:tcPr>
          <w:p>
            <w:pPr>
              <w:pStyle w:val="TableParagraph"/>
              <w:spacing w:before="32"/>
              <w:ind w:left="8"/>
              <w:jc w:val="center"/>
              <w:rPr>
                <w:sz w:val="17"/>
              </w:rPr>
            </w:pPr>
            <w:r>
              <w:rPr>
                <w:color w:val="231F20"/>
                <w:w w:val="97"/>
                <w:sz w:val="17"/>
              </w:rPr>
              <w:t>8</w:t>
            </w:r>
          </w:p>
        </w:tc>
      </w:tr>
      <w:tr>
        <w:trPr>
          <w:trHeight w:val="274" w:hRule="exact"/>
        </w:trPr>
        <w:tc>
          <w:tcPr>
            <w:tcW w:w="3005" w:type="dxa"/>
            <w:tcBorders>
              <w:left w:val="single" w:sz="4" w:space="0" w:color="231F20"/>
              <w:right w:val="single" w:sz="4" w:space="0" w:color="231F20"/>
            </w:tcBorders>
          </w:tcPr>
          <w:p>
            <w:pPr>
              <w:pStyle w:val="TableParagraph"/>
              <w:spacing w:before="18"/>
              <w:ind w:left="86"/>
              <w:rPr>
                <w:sz w:val="17"/>
              </w:rPr>
            </w:pPr>
            <w:r>
              <w:rPr>
                <w:color w:val="231F20"/>
                <w:sz w:val="17"/>
              </w:rPr>
              <w:t>Enfermería y Obstetricia</w:t>
            </w:r>
          </w:p>
        </w:tc>
        <w:tc>
          <w:tcPr>
            <w:tcW w:w="1001" w:type="dxa"/>
            <w:tcBorders>
              <w:left w:val="single" w:sz="4" w:space="0" w:color="231F20"/>
              <w:right w:val="single" w:sz="2" w:space="0" w:color="231F20"/>
            </w:tcBorders>
          </w:tcPr>
          <w:p>
            <w:pPr>
              <w:pStyle w:val="TableParagraph"/>
              <w:spacing w:before="32"/>
              <w:ind w:left="0" w:right="4"/>
              <w:jc w:val="center"/>
              <w:rPr>
                <w:sz w:val="17"/>
              </w:rPr>
            </w:pPr>
            <w:r>
              <w:rPr>
                <w:color w:val="231F20"/>
                <w:w w:val="97"/>
                <w:sz w:val="17"/>
              </w:rPr>
              <w:t>3</w:t>
            </w:r>
          </w:p>
        </w:tc>
        <w:tc>
          <w:tcPr>
            <w:tcW w:w="1090" w:type="dxa"/>
            <w:tcBorders>
              <w:left w:val="single" w:sz="2" w:space="0" w:color="231F20"/>
              <w:right w:val="single" w:sz="2" w:space="0" w:color="231F20"/>
            </w:tcBorders>
          </w:tcPr>
          <w:p>
            <w:pPr>
              <w:pStyle w:val="TableParagraph"/>
              <w:spacing w:before="32"/>
              <w:ind w:left="3"/>
              <w:jc w:val="center"/>
              <w:rPr>
                <w:sz w:val="17"/>
              </w:rPr>
            </w:pPr>
            <w:r>
              <w:rPr>
                <w:color w:val="231F20"/>
                <w:w w:val="97"/>
                <w:sz w:val="17"/>
              </w:rPr>
              <w:t>0</w:t>
            </w:r>
          </w:p>
        </w:tc>
        <w:tc>
          <w:tcPr>
            <w:tcW w:w="641" w:type="dxa"/>
            <w:tcBorders>
              <w:left w:val="single" w:sz="2" w:space="0" w:color="231F20"/>
              <w:right w:val="single" w:sz="12" w:space="0" w:color="231F20"/>
            </w:tcBorders>
          </w:tcPr>
          <w:p>
            <w:pPr>
              <w:pStyle w:val="TableParagraph"/>
              <w:spacing w:before="32"/>
              <w:ind w:left="8"/>
              <w:jc w:val="center"/>
              <w:rPr>
                <w:sz w:val="17"/>
              </w:rPr>
            </w:pPr>
            <w:r>
              <w:rPr>
                <w:color w:val="231F20"/>
                <w:w w:val="97"/>
                <w:sz w:val="17"/>
              </w:rPr>
              <w:t>3</w:t>
            </w:r>
          </w:p>
        </w:tc>
      </w:tr>
      <w:tr>
        <w:trPr>
          <w:trHeight w:val="446" w:hRule="exact"/>
        </w:trPr>
        <w:tc>
          <w:tcPr>
            <w:tcW w:w="3005" w:type="dxa"/>
            <w:tcBorders>
              <w:left w:val="single" w:sz="4" w:space="0" w:color="231F20"/>
              <w:right w:val="single" w:sz="4" w:space="0" w:color="231F20"/>
            </w:tcBorders>
          </w:tcPr>
          <w:p>
            <w:pPr>
              <w:pStyle w:val="TableParagraph"/>
              <w:spacing w:before="18"/>
              <w:ind w:left="86"/>
              <w:rPr>
                <w:sz w:val="17"/>
              </w:rPr>
            </w:pPr>
            <w:r>
              <w:rPr>
                <w:color w:val="231F20"/>
                <w:sz w:val="17"/>
              </w:rPr>
              <w:t>Medicina veterinaria y Zootecnia</w:t>
            </w:r>
          </w:p>
        </w:tc>
        <w:tc>
          <w:tcPr>
            <w:tcW w:w="1001" w:type="dxa"/>
            <w:tcBorders>
              <w:left w:val="single" w:sz="4" w:space="0" w:color="231F20"/>
              <w:right w:val="single" w:sz="2" w:space="0" w:color="231F20"/>
            </w:tcBorders>
          </w:tcPr>
          <w:p>
            <w:pPr>
              <w:pStyle w:val="TableParagraph"/>
              <w:spacing w:before="147"/>
              <w:ind w:left="0" w:right="4"/>
              <w:jc w:val="center"/>
              <w:rPr>
                <w:sz w:val="17"/>
              </w:rPr>
            </w:pPr>
            <w:r>
              <w:rPr>
                <w:color w:val="231F20"/>
                <w:w w:val="97"/>
                <w:sz w:val="17"/>
              </w:rPr>
              <w:t>4</w:t>
            </w:r>
          </w:p>
        </w:tc>
        <w:tc>
          <w:tcPr>
            <w:tcW w:w="1090" w:type="dxa"/>
            <w:tcBorders>
              <w:left w:val="single" w:sz="2" w:space="0" w:color="231F20"/>
              <w:right w:val="single" w:sz="2" w:space="0" w:color="231F20"/>
            </w:tcBorders>
          </w:tcPr>
          <w:p>
            <w:pPr>
              <w:pStyle w:val="TableParagraph"/>
              <w:spacing w:before="147"/>
              <w:ind w:left="3"/>
              <w:jc w:val="center"/>
              <w:rPr>
                <w:sz w:val="17"/>
              </w:rPr>
            </w:pPr>
            <w:r>
              <w:rPr>
                <w:color w:val="231F20"/>
                <w:w w:val="97"/>
                <w:sz w:val="17"/>
              </w:rPr>
              <w:t>0</w:t>
            </w:r>
          </w:p>
        </w:tc>
        <w:tc>
          <w:tcPr>
            <w:tcW w:w="641" w:type="dxa"/>
            <w:tcBorders>
              <w:left w:val="single" w:sz="2" w:space="0" w:color="231F20"/>
              <w:right w:val="single" w:sz="12" w:space="0" w:color="231F20"/>
            </w:tcBorders>
          </w:tcPr>
          <w:p>
            <w:pPr>
              <w:pStyle w:val="TableParagraph"/>
              <w:spacing w:before="147"/>
              <w:ind w:left="8"/>
              <w:jc w:val="center"/>
              <w:rPr>
                <w:sz w:val="17"/>
              </w:rPr>
            </w:pPr>
            <w:r>
              <w:rPr>
                <w:color w:val="231F20"/>
                <w:w w:val="97"/>
                <w:sz w:val="17"/>
              </w:rPr>
              <w:t>4</w:t>
            </w:r>
          </w:p>
        </w:tc>
      </w:tr>
      <w:tr>
        <w:trPr>
          <w:trHeight w:val="334" w:hRule="exact"/>
        </w:trPr>
        <w:tc>
          <w:tcPr>
            <w:tcW w:w="3005" w:type="dxa"/>
            <w:tcBorders>
              <w:left w:val="single" w:sz="4" w:space="0" w:color="231F20"/>
              <w:right w:val="single" w:sz="4" w:space="0" w:color="231F20"/>
            </w:tcBorders>
          </w:tcPr>
          <w:p>
            <w:pPr>
              <w:pStyle w:val="TableParagraph"/>
              <w:spacing w:before="75"/>
              <w:ind w:left="86"/>
              <w:rPr>
                <w:sz w:val="17"/>
              </w:rPr>
            </w:pPr>
            <w:r>
              <w:rPr>
                <w:color w:val="231F20"/>
                <w:sz w:val="17"/>
              </w:rPr>
              <w:t>Odontología</w:t>
            </w:r>
          </w:p>
        </w:tc>
        <w:tc>
          <w:tcPr>
            <w:tcW w:w="1001" w:type="dxa"/>
            <w:tcBorders>
              <w:left w:val="single" w:sz="4" w:space="0" w:color="231F20"/>
              <w:right w:val="single" w:sz="2" w:space="0" w:color="231F20"/>
            </w:tcBorders>
          </w:tcPr>
          <w:p>
            <w:pPr>
              <w:pStyle w:val="TableParagraph"/>
              <w:spacing w:before="95"/>
              <w:ind w:left="0" w:right="4"/>
              <w:jc w:val="center"/>
              <w:rPr>
                <w:sz w:val="17"/>
              </w:rPr>
            </w:pPr>
            <w:r>
              <w:rPr>
                <w:color w:val="231F20"/>
                <w:w w:val="97"/>
                <w:sz w:val="17"/>
              </w:rPr>
              <w:t>8</w:t>
            </w:r>
          </w:p>
        </w:tc>
        <w:tc>
          <w:tcPr>
            <w:tcW w:w="1090" w:type="dxa"/>
            <w:tcBorders>
              <w:left w:val="single" w:sz="2" w:space="0" w:color="231F20"/>
              <w:right w:val="single" w:sz="2" w:space="0" w:color="231F20"/>
            </w:tcBorders>
          </w:tcPr>
          <w:p>
            <w:pPr>
              <w:pStyle w:val="TableParagraph"/>
              <w:spacing w:before="95"/>
              <w:ind w:left="3"/>
              <w:jc w:val="center"/>
              <w:rPr>
                <w:sz w:val="17"/>
              </w:rPr>
            </w:pPr>
            <w:r>
              <w:rPr>
                <w:color w:val="231F20"/>
                <w:w w:val="97"/>
                <w:sz w:val="17"/>
              </w:rPr>
              <w:t>2</w:t>
            </w:r>
          </w:p>
        </w:tc>
        <w:tc>
          <w:tcPr>
            <w:tcW w:w="641" w:type="dxa"/>
            <w:tcBorders>
              <w:left w:val="single" w:sz="2" w:space="0" w:color="231F20"/>
              <w:right w:val="single" w:sz="12" w:space="0" w:color="231F20"/>
            </w:tcBorders>
          </w:tcPr>
          <w:p>
            <w:pPr>
              <w:pStyle w:val="TableParagraph"/>
              <w:spacing w:before="95"/>
              <w:ind w:left="92" w:right="83"/>
              <w:jc w:val="center"/>
              <w:rPr>
                <w:sz w:val="17"/>
              </w:rPr>
            </w:pPr>
            <w:r>
              <w:rPr>
                <w:color w:val="231F20"/>
                <w:sz w:val="17"/>
              </w:rPr>
              <w:t>10</w:t>
            </w:r>
          </w:p>
        </w:tc>
      </w:tr>
      <w:tr>
        <w:trPr>
          <w:trHeight w:val="491" w:hRule="exact"/>
        </w:trPr>
        <w:tc>
          <w:tcPr>
            <w:tcW w:w="3005" w:type="dxa"/>
            <w:tcBorders>
              <w:left w:val="single" w:sz="4" w:space="0" w:color="231F20"/>
              <w:bottom w:val="single" w:sz="4" w:space="0" w:color="231F20"/>
              <w:right w:val="single" w:sz="4" w:space="0" w:color="231F20"/>
            </w:tcBorders>
          </w:tcPr>
          <w:p>
            <w:pPr>
              <w:pStyle w:val="TableParagraph"/>
              <w:spacing w:before="15"/>
              <w:ind w:left="86"/>
              <w:rPr>
                <w:sz w:val="17"/>
              </w:rPr>
            </w:pPr>
            <w:r>
              <w:rPr>
                <w:color w:val="231F20"/>
                <w:sz w:val="17"/>
              </w:rPr>
              <w:t>Químico Biólogo Farmacéutico</w:t>
            </w:r>
          </w:p>
        </w:tc>
        <w:tc>
          <w:tcPr>
            <w:tcW w:w="1001" w:type="dxa"/>
            <w:tcBorders>
              <w:left w:val="single" w:sz="4" w:space="0" w:color="231F20"/>
              <w:bottom w:val="single" w:sz="4" w:space="0" w:color="231F20"/>
              <w:right w:val="single" w:sz="2" w:space="0" w:color="231F20"/>
            </w:tcBorders>
          </w:tcPr>
          <w:p>
            <w:pPr>
              <w:pStyle w:val="TableParagraph"/>
              <w:spacing w:before="150"/>
              <w:ind w:left="0" w:right="4"/>
              <w:jc w:val="center"/>
              <w:rPr>
                <w:sz w:val="17"/>
              </w:rPr>
            </w:pPr>
            <w:r>
              <w:rPr>
                <w:color w:val="231F20"/>
                <w:w w:val="97"/>
                <w:sz w:val="17"/>
              </w:rPr>
              <w:t>5</w:t>
            </w:r>
          </w:p>
        </w:tc>
        <w:tc>
          <w:tcPr>
            <w:tcW w:w="1090" w:type="dxa"/>
            <w:tcBorders>
              <w:left w:val="single" w:sz="2" w:space="0" w:color="231F20"/>
              <w:bottom w:val="single" w:sz="4" w:space="0" w:color="231F20"/>
              <w:right w:val="single" w:sz="2" w:space="0" w:color="231F20"/>
            </w:tcBorders>
          </w:tcPr>
          <w:p>
            <w:pPr>
              <w:pStyle w:val="TableParagraph"/>
              <w:spacing w:before="150"/>
              <w:ind w:left="3"/>
              <w:jc w:val="center"/>
              <w:rPr>
                <w:sz w:val="17"/>
              </w:rPr>
            </w:pPr>
            <w:r>
              <w:rPr>
                <w:color w:val="231F20"/>
                <w:w w:val="97"/>
                <w:sz w:val="17"/>
              </w:rPr>
              <w:t>0</w:t>
            </w:r>
          </w:p>
        </w:tc>
        <w:tc>
          <w:tcPr>
            <w:tcW w:w="641" w:type="dxa"/>
            <w:tcBorders>
              <w:left w:val="single" w:sz="2" w:space="0" w:color="231F20"/>
              <w:bottom w:val="single" w:sz="4" w:space="0" w:color="231F20"/>
              <w:right w:val="single" w:sz="12" w:space="0" w:color="231F20"/>
            </w:tcBorders>
          </w:tcPr>
          <w:p>
            <w:pPr>
              <w:pStyle w:val="TableParagraph"/>
              <w:spacing w:before="150"/>
              <w:ind w:left="8"/>
              <w:jc w:val="center"/>
              <w:rPr>
                <w:sz w:val="17"/>
              </w:rPr>
            </w:pPr>
            <w:r>
              <w:rPr>
                <w:color w:val="231F20"/>
                <w:w w:val="97"/>
                <w:sz w:val="17"/>
              </w:rPr>
              <w:t>5</w:t>
            </w:r>
          </w:p>
        </w:tc>
      </w:tr>
      <w:tr>
        <w:trPr>
          <w:trHeight w:val="283" w:hRule="exact"/>
        </w:trPr>
        <w:tc>
          <w:tcPr>
            <w:tcW w:w="3005" w:type="dxa"/>
            <w:tcBorders>
              <w:top w:val="single" w:sz="4" w:space="0" w:color="231F20"/>
              <w:left w:val="single" w:sz="4" w:space="0" w:color="231F20"/>
              <w:bottom w:val="single" w:sz="4" w:space="0" w:color="231F20"/>
              <w:right w:val="single" w:sz="4" w:space="0" w:color="231F20"/>
            </w:tcBorders>
          </w:tcPr>
          <w:p>
            <w:pPr>
              <w:pStyle w:val="TableParagraph"/>
              <w:spacing w:before="33"/>
              <w:ind w:left="86"/>
              <w:rPr>
                <w:b/>
                <w:sz w:val="17"/>
              </w:rPr>
            </w:pPr>
            <w:r>
              <w:rPr>
                <w:b/>
                <w:color w:val="231F20"/>
                <w:w w:val="105"/>
                <w:sz w:val="17"/>
              </w:rPr>
              <w:t>Total</w:t>
            </w:r>
          </w:p>
        </w:tc>
        <w:tc>
          <w:tcPr>
            <w:tcW w:w="1001" w:type="dxa"/>
            <w:tcBorders>
              <w:top w:val="single" w:sz="4" w:space="0" w:color="231F20"/>
              <w:left w:val="single" w:sz="4" w:space="0" w:color="231F20"/>
              <w:bottom w:val="single" w:sz="4" w:space="0" w:color="231F20"/>
              <w:right w:val="single" w:sz="2" w:space="0" w:color="231F20"/>
            </w:tcBorders>
          </w:tcPr>
          <w:p>
            <w:pPr>
              <w:pStyle w:val="TableParagraph"/>
              <w:spacing w:before="52"/>
              <w:ind w:left="390" w:right="393"/>
              <w:jc w:val="center"/>
              <w:rPr>
                <w:b/>
                <w:sz w:val="17"/>
              </w:rPr>
            </w:pPr>
            <w:r>
              <w:rPr>
                <w:b/>
                <w:color w:val="231F20"/>
                <w:sz w:val="17"/>
              </w:rPr>
              <w:t>83</w:t>
            </w:r>
          </w:p>
        </w:tc>
        <w:tc>
          <w:tcPr>
            <w:tcW w:w="1090" w:type="dxa"/>
            <w:tcBorders>
              <w:top w:val="single" w:sz="4" w:space="0" w:color="231F20"/>
              <w:left w:val="single" w:sz="2" w:space="0" w:color="231F20"/>
              <w:bottom w:val="single" w:sz="4" w:space="0" w:color="231F20"/>
              <w:right w:val="single" w:sz="2" w:space="0" w:color="231F20"/>
            </w:tcBorders>
          </w:tcPr>
          <w:p>
            <w:pPr>
              <w:pStyle w:val="TableParagraph"/>
              <w:spacing w:before="52"/>
              <w:ind w:left="404" w:right="400"/>
              <w:jc w:val="center"/>
              <w:rPr>
                <w:b/>
                <w:sz w:val="17"/>
              </w:rPr>
            </w:pPr>
            <w:r>
              <w:rPr>
                <w:b/>
                <w:color w:val="231F20"/>
                <w:sz w:val="17"/>
              </w:rPr>
              <w:t>10</w:t>
            </w:r>
          </w:p>
        </w:tc>
        <w:tc>
          <w:tcPr>
            <w:tcW w:w="641" w:type="dxa"/>
            <w:tcBorders>
              <w:top w:val="single" w:sz="4" w:space="0" w:color="231F20"/>
              <w:left w:val="single" w:sz="2" w:space="0" w:color="231F20"/>
              <w:bottom w:val="single" w:sz="4" w:space="0" w:color="231F20"/>
              <w:right w:val="single" w:sz="4" w:space="0" w:color="231F20"/>
            </w:tcBorders>
          </w:tcPr>
          <w:p>
            <w:pPr>
              <w:pStyle w:val="TableParagraph"/>
              <w:spacing w:before="52"/>
              <w:ind w:left="211" w:right="211"/>
              <w:jc w:val="center"/>
              <w:rPr>
                <w:b/>
                <w:sz w:val="17"/>
              </w:rPr>
            </w:pPr>
            <w:r>
              <w:rPr>
                <w:b/>
                <w:color w:val="231F20"/>
                <w:sz w:val="17"/>
              </w:rPr>
              <w:t>93</w:t>
            </w:r>
          </w:p>
        </w:tc>
      </w:tr>
    </w:tbl>
    <w:p>
      <w:pPr>
        <w:spacing w:after="0"/>
        <w:jc w:val="center"/>
        <w:rPr>
          <w:sz w:val="17"/>
        </w:rPr>
        <w:sectPr>
          <w:headerReference w:type="default" r:id="rId864"/>
          <w:footerReference w:type="default" r:id="rId865"/>
          <w:pgSz w:w="7830" w:h="11910"/>
          <w:pgMar w:header="0" w:footer="424" w:top="500" w:bottom="620" w:left="900" w:right="920"/>
          <w:pgNumType w:start="390"/>
        </w:sectPr>
      </w:pPr>
    </w:p>
    <w:p>
      <w:pPr>
        <w:spacing w:before="46"/>
        <w:ind w:left="273" w:right="287"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line="273" w:lineRule="auto" w:before="111"/>
        <w:ind w:left="271" w:right="287" w:firstLine="0"/>
        <w:jc w:val="center"/>
        <w:rPr>
          <w:b/>
          <w:sz w:val="19"/>
        </w:rPr>
      </w:pPr>
      <w:r>
        <w:rPr>
          <w:b/>
          <w:color w:val="231F20"/>
          <w:w w:val="105"/>
          <w:sz w:val="19"/>
        </w:rPr>
        <w:t>Cuadro 5.Qué tipo de violencia ha sufrido alguno de tus amigos: agresión sexual (acoso, violación)</w:t>
      </w:r>
    </w:p>
    <w:p>
      <w:pPr>
        <w:pStyle w:val="BodyText"/>
        <w:spacing w:before="10"/>
        <w:rPr>
          <w:b/>
          <w:sz w:val="18"/>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96"/>
        <w:gridCol w:w="1620"/>
        <w:gridCol w:w="1531"/>
        <w:gridCol w:w="727"/>
      </w:tblGrid>
      <w:tr>
        <w:trPr>
          <w:trHeight w:val="754" w:hRule="exact"/>
        </w:trPr>
        <w:tc>
          <w:tcPr>
            <w:tcW w:w="1896" w:type="dxa"/>
            <w:tcBorders>
              <w:top w:val="single" w:sz="12" w:space="0" w:color="231F20"/>
              <w:left w:val="single" w:sz="12" w:space="0" w:color="231F20"/>
              <w:bottom w:val="single" w:sz="12" w:space="0" w:color="231F20"/>
              <w:right w:val="single" w:sz="12" w:space="0" w:color="231F20"/>
            </w:tcBorders>
          </w:tcPr>
          <w:p>
            <w:pPr/>
          </w:p>
        </w:tc>
        <w:tc>
          <w:tcPr>
            <w:tcW w:w="3151" w:type="dxa"/>
            <w:gridSpan w:val="2"/>
            <w:tcBorders>
              <w:top w:val="single" w:sz="12" w:space="0" w:color="231F20"/>
              <w:left w:val="single" w:sz="12" w:space="0" w:color="231F20"/>
              <w:bottom w:val="single" w:sz="2" w:space="0" w:color="231F20"/>
              <w:right w:val="single" w:sz="2" w:space="0" w:color="231F20"/>
            </w:tcBorders>
          </w:tcPr>
          <w:p>
            <w:pPr>
              <w:pStyle w:val="TableParagraph"/>
              <w:spacing w:line="295" w:lineRule="auto" w:before="38"/>
              <w:ind w:left="203" w:right="210" w:hanging="1"/>
              <w:jc w:val="center"/>
              <w:rPr>
                <w:b/>
                <w:sz w:val="17"/>
              </w:rPr>
            </w:pPr>
            <w:r>
              <w:rPr>
                <w:b/>
                <w:color w:val="231F20"/>
                <w:w w:val="105"/>
                <w:sz w:val="17"/>
              </w:rPr>
              <w:t>Qué tipo de violencia ha sufrido al- guno de tus amigos: agresiónsexual (acoso, violación)</w:t>
            </w:r>
          </w:p>
        </w:tc>
        <w:tc>
          <w:tcPr>
            <w:tcW w:w="727" w:type="dxa"/>
            <w:tcBorders>
              <w:top w:val="single" w:sz="12" w:space="0" w:color="231F20"/>
              <w:left w:val="single" w:sz="2" w:space="0" w:color="231F20"/>
              <w:bottom w:val="single" w:sz="2" w:space="0" w:color="231F20"/>
              <w:right w:val="single" w:sz="12" w:space="0" w:color="231F20"/>
            </w:tcBorders>
          </w:tcPr>
          <w:p>
            <w:pPr>
              <w:pStyle w:val="TableParagraph"/>
              <w:ind w:left="0"/>
              <w:rPr>
                <w:b/>
                <w:sz w:val="18"/>
              </w:rPr>
            </w:pPr>
          </w:p>
          <w:p>
            <w:pPr>
              <w:pStyle w:val="TableParagraph"/>
              <w:ind w:left="0"/>
              <w:rPr>
                <w:b/>
                <w:sz w:val="18"/>
              </w:rPr>
            </w:pPr>
          </w:p>
          <w:p>
            <w:pPr>
              <w:pStyle w:val="TableParagraph"/>
              <w:spacing w:before="104"/>
              <w:ind w:left="135" w:right="128"/>
              <w:jc w:val="center"/>
              <w:rPr>
                <w:b/>
                <w:sz w:val="17"/>
              </w:rPr>
            </w:pPr>
            <w:r>
              <w:rPr>
                <w:b/>
                <w:color w:val="231F20"/>
                <w:w w:val="105"/>
                <w:sz w:val="17"/>
              </w:rPr>
              <w:t>Total</w:t>
            </w:r>
          </w:p>
        </w:tc>
      </w:tr>
      <w:tr>
        <w:trPr>
          <w:trHeight w:val="384" w:hRule="exact"/>
        </w:trPr>
        <w:tc>
          <w:tcPr>
            <w:tcW w:w="1896" w:type="dxa"/>
            <w:tcBorders>
              <w:top w:val="single" w:sz="12" w:space="0" w:color="231F20"/>
              <w:left w:val="single" w:sz="12" w:space="0" w:color="231F20"/>
              <w:bottom w:val="single" w:sz="4" w:space="0" w:color="231F20"/>
              <w:right w:val="single" w:sz="12" w:space="0" w:color="231F20"/>
            </w:tcBorders>
          </w:tcPr>
          <w:p>
            <w:pPr/>
          </w:p>
        </w:tc>
        <w:tc>
          <w:tcPr>
            <w:tcW w:w="1620" w:type="dxa"/>
            <w:tcBorders>
              <w:top w:val="single" w:sz="2" w:space="0" w:color="231F20"/>
              <w:left w:val="single" w:sz="12" w:space="0" w:color="231F20"/>
              <w:bottom w:val="single" w:sz="12" w:space="0" w:color="231F20"/>
              <w:right w:val="single" w:sz="2" w:space="0" w:color="231F20"/>
            </w:tcBorders>
          </w:tcPr>
          <w:p>
            <w:pPr>
              <w:pStyle w:val="TableParagraph"/>
              <w:spacing w:before="160"/>
              <w:ind w:left="705" w:right="716"/>
              <w:jc w:val="center"/>
              <w:rPr>
                <w:b/>
                <w:sz w:val="17"/>
              </w:rPr>
            </w:pPr>
            <w:r>
              <w:rPr>
                <w:b/>
                <w:color w:val="231F20"/>
                <w:sz w:val="17"/>
              </w:rPr>
              <w:t>Sí</w:t>
            </w:r>
          </w:p>
        </w:tc>
        <w:tc>
          <w:tcPr>
            <w:tcW w:w="1531" w:type="dxa"/>
            <w:tcBorders>
              <w:top w:val="single" w:sz="2" w:space="0" w:color="231F20"/>
              <w:left w:val="single" w:sz="2" w:space="0" w:color="231F20"/>
              <w:bottom w:val="single" w:sz="12" w:space="0" w:color="231F20"/>
              <w:right w:val="single" w:sz="2" w:space="0" w:color="231F20"/>
            </w:tcBorders>
          </w:tcPr>
          <w:p>
            <w:pPr>
              <w:pStyle w:val="TableParagraph"/>
              <w:spacing w:before="160"/>
              <w:ind w:left="625" w:right="621"/>
              <w:jc w:val="center"/>
              <w:rPr>
                <w:b/>
                <w:sz w:val="17"/>
              </w:rPr>
            </w:pPr>
            <w:r>
              <w:rPr>
                <w:b/>
                <w:color w:val="231F20"/>
                <w:w w:val="115"/>
                <w:sz w:val="17"/>
              </w:rPr>
              <w:t>No</w:t>
            </w:r>
          </w:p>
        </w:tc>
        <w:tc>
          <w:tcPr>
            <w:tcW w:w="727" w:type="dxa"/>
            <w:tcBorders>
              <w:top w:val="single" w:sz="2" w:space="0" w:color="231F20"/>
              <w:left w:val="single" w:sz="2" w:space="0" w:color="231F20"/>
              <w:bottom w:val="single" w:sz="12" w:space="0" w:color="231F20"/>
              <w:right w:val="single" w:sz="12" w:space="0" w:color="231F20"/>
            </w:tcBorders>
          </w:tcPr>
          <w:p>
            <w:pPr>
              <w:pStyle w:val="TableParagraph"/>
              <w:spacing w:before="160"/>
              <w:ind w:left="134" w:right="128"/>
              <w:jc w:val="center"/>
              <w:rPr>
                <w:b/>
                <w:sz w:val="17"/>
              </w:rPr>
            </w:pPr>
            <w:r>
              <w:rPr>
                <w:b/>
                <w:color w:val="231F20"/>
                <w:sz w:val="17"/>
              </w:rPr>
              <w:t>Sí</w:t>
            </w:r>
          </w:p>
        </w:tc>
      </w:tr>
      <w:tr>
        <w:trPr>
          <w:trHeight w:val="308" w:hRule="exact"/>
        </w:trPr>
        <w:tc>
          <w:tcPr>
            <w:tcW w:w="1896" w:type="dxa"/>
            <w:tcBorders>
              <w:top w:val="single" w:sz="4" w:space="0" w:color="231F20"/>
              <w:left w:val="single" w:sz="4" w:space="0" w:color="231F20"/>
              <w:right w:val="single" w:sz="4" w:space="0" w:color="231F20"/>
            </w:tcBorders>
          </w:tcPr>
          <w:p>
            <w:pPr>
              <w:pStyle w:val="TableParagraph"/>
              <w:spacing w:before="43"/>
              <w:ind w:left="86" w:right="303"/>
              <w:rPr>
                <w:sz w:val="17"/>
              </w:rPr>
            </w:pPr>
            <w:r>
              <w:rPr>
                <w:color w:val="231F20"/>
                <w:sz w:val="17"/>
              </w:rPr>
              <w:t>Carrera</w:t>
            </w:r>
          </w:p>
        </w:tc>
        <w:tc>
          <w:tcPr>
            <w:tcW w:w="1620" w:type="dxa"/>
            <w:tcBorders>
              <w:top w:val="single" w:sz="12" w:space="0" w:color="231F20"/>
              <w:left w:val="single" w:sz="4" w:space="0" w:color="231F20"/>
              <w:right w:val="single" w:sz="2" w:space="0" w:color="231F20"/>
            </w:tcBorders>
          </w:tcPr>
          <w:p>
            <w:pPr>
              <w:pStyle w:val="TableParagraph"/>
              <w:spacing w:before="52"/>
              <w:ind w:left="0" w:right="2"/>
              <w:jc w:val="center"/>
              <w:rPr>
                <w:sz w:val="17"/>
              </w:rPr>
            </w:pPr>
            <w:r>
              <w:rPr>
                <w:color w:val="231F20"/>
                <w:w w:val="97"/>
                <w:sz w:val="17"/>
              </w:rPr>
              <w:t>2</w:t>
            </w:r>
          </w:p>
        </w:tc>
        <w:tc>
          <w:tcPr>
            <w:tcW w:w="1531" w:type="dxa"/>
            <w:tcBorders>
              <w:top w:val="single" w:sz="12" w:space="0" w:color="231F20"/>
              <w:left w:val="single" w:sz="2" w:space="0" w:color="231F20"/>
              <w:right w:val="single" w:sz="2" w:space="0" w:color="231F20"/>
            </w:tcBorders>
          </w:tcPr>
          <w:p>
            <w:pPr>
              <w:pStyle w:val="TableParagraph"/>
              <w:spacing w:before="52"/>
              <w:ind w:left="2"/>
              <w:jc w:val="center"/>
              <w:rPr>
                <w:sz w:val="17"/>
              </w:rPr>
            </w:pPr>
            <w:r>
              <w:rPr>
                <w:color w:val="231F20"/>
                <w:w w:val="97"/>
                <w:sz w:val="17"/>
              </w:rPr>
              <w:t>0</w:t>
            </w:r>
          </w:p>
        </w:tc>
        <w:tc>
          <w:tcPr>
            <w:tcW w:w="727" w:type="dxa"/>
            <w:tcBorders>
              <w:top w:val="single" w:sz="12" w:space="0" w:color="231F20"/>
              <w:left w:val="single" w:sz="2" w:space="0" w:color="231F20"/>
              <w:right w:val="single" w:sz="12" w:space="0" w:color="231F20"/>
            </w:tcBorders>
          </w:tcPr>
          <w:p>
            <w:pPr>
              <w:pStyle w:val="TableParagraph"/>
              <w:spacing w:before="52"/>
              <w:ind w:left="5"/>
              <w:jc w:val="center"/>
              <w:rPr>
                <w:sz w:val="17"/>
              </w:rPr>
            </w:pPr>
            <w:r>
              <w:rPr>
                <w:color w:val="231F20"/>
                <w:w w:val="97"/>
                <w:sz w:val="17"/>
              </w:rPr>
              <w:t>2</w:t>
            </w:r>
          </w:p>
        </w:tc>
      </w:tr>
      <w:tr>
        <w:trPr>
          <w:trHeight w:val="276" w:hRule="exact"/>
        </w:trPr>
        <w:tc>
          <w:tcPr>
            <w:tcW w:w="1896" w:type="dxa"/>
            <w:tcBorders>
              <w:left w:val="single" w:sz="4" w:space="0" w:color="231F20"/>
              <w:right w:val="single" w:sz="4" w:space="0" w:color="231F20"/>
            </w:tcBorders>
          </w:tcPr>
          <w:p>
            <w:pPr>
              <w:pStyle w:val="TableParagraph"/>
              <w:spacing w:before="18"/>
              <w:ind w:left="86" w:right="303"/>
              <w:rPr>
                <w:sz w:val="17"/>
              </w:rPr>
            </w:pPr>
            <w:r>
              <w:rPr>
                <w:color w:val="231F20"/>
                <w:sz w:val="17"/>
              </w:rPr>
              <w:t>Administración</w:t>
            </w:r>
          </w:p>
        </w:tc>
        <w:tc>
          <w:tcPr>
            <w:tcW w:w="1620" w:type="dxa"/>
            <w:tcBorders>
              <w:left w:val="single" w:sz="4" w:space="0" w:color="231F20"/>
              <w:right w:val="single" w:sz="2" w:space="0" w:color="231F20"/>
            </w:tcBorders>
          </w:tcPr>
          <w:p>
            <w:pPr>
              <w:pStyle w:val="TableParagraph"/>
              <w:spacing w:before="37"/>
              <w:ind w:left="0" w:right="2"/>
              <w:jc w:val="center"/>
              <w:rPr>
                <w:sz w:val="17"/>
              </w:rPr>
            </w:pPr>
            <w:r>
              <w:rPr>
                <w:color w:val="231F20"/>
                <w:w w:val="97"/>
                <w:sz w:val="17"/>
              </w:rPr>
              <w:t>1</w:t>
            </w:r>
          </w:p>
        </w:tc>
        <w:tc>
          <w:tcPr>
            <w:tcW w:w="1531" w:type="dxa"/>
            <w:tcBorders>
              <w:left w:val="single" w:sz="2" w:space="0" w:color="231F20"/>
              <w:right w:val="single" w:sz="2" w:space="0" w:color="231F20"/>
            </w:tcBorders>
          </w:tcPr>
          <w:p>
            <w:pPr>
              <w:pStyle w:val="TableParagraph"/>
              <w:spacing w:before="37"/>
              <w:ind w:left="2"/>
              <w:jc w:val="center"/>
              <w:rPr>
                <w:sz w:val="17"/>
              </w:rPr>
            </w:pPr>
            <w:r>
              <w:rPr>
                <w:color w:val="231F20"/>
                <w:w w:val="97"/>
                <w:sz w:val="17"/>
              </w:rPr>
              <w:t>0</w:t>
            </w:r>
          </w:p>
        </w:tc>
        <w:tc>
          <w:tcPr>
            <w:tcW w:w="727" w:type="dxa"/>
            <w:tcBorders>
              <w:left w:val="single" w:sz="2" w:space="0" w:color="231F20"/>
              <w:right w:val="single" w:sz="12" w:space="0" w:color="231F20"/>
            </w:tcBorders>
          </w:tcPr>
          <w:p>
            <w:pPr>
              <w:pStyle w:val="TableParagraph"/>
              <w:spacing w:before="37"/>
              <w:ind w:left="5"/>
              <w:jc w:val="center"/>
              <w:rPr>
                <w:sz w:val="17"/>
              </w:rPr>
            </w:pPr>
            <w:r>
              <w:rPr>
                <w:color w:val="231F20"/>
                <w:w w:val="97"/>
                <w:sz w:val="17"/>
              </w:rPr>
              <w:t>1</w:t>
            </w:r>
          </w:p>
        </w:tc>
      </w:tr>
      <w:tr>
        <w:trPr>
          <w:trHeight w:val="276" w:hRule="exact"/>
        </w:trPr>
        <w:tc>
          <w:tcPr>
            <w:tcW w:w="1896" w:type="dxa"/>
            <w:tcBorders>
              <w:left w:val="single" w:sz="4" w:space="0" w:color="231F20"/>
              <w:right w:val="single" w:sz="4" w:space="0" w:color="231F20"/>
            </w:tcBorders>
          </w:tcPr>
          <w:p>
            <w:pPr>
              <w:pStyle w:val="TableParagraph"/>
              <w:spacing w:before="15"/>
              <w:ind w:left="86" w:right="303"/>
              <w:rPr>
                <w:sz w:val="17"/>
              </w:rPr>
            </w:pPr>
            <w:r>
              <w:rPr>
                <w:color w:val="231F20"/>
                <w:sz w:val="17"/>
              </w:rPr>
              <w:t>Arquitectura</w:t>
            </w:r>
          </w:p>
        </w:tc>
        <w:tc>
          <w:tcPr>
            <w:tcW w:w="1620" w:type="dxa"/>
            <w:tcBorders>
              <w:left w:val="single" w:sz="4" w:space="0" w:color="231F20"/>
              <w:right w:val="single" w:sz="2" w:space="0" w:color="231F20"/>
            </w:tcBorders>
          </w:tcPr>
          <w:p>
            <w:pPr>
              <w:pStyle w:val="TableParagraph"/>
              <w:spacing w:before="35"/>
              <w:ind w:left="658" w:right="659"/>
              <w:jc w:val="center"/>
              <w:rPr>
                <w:sz w:val="17"/>
              </w:rPr>
            </w:pPr>
            <w:r>
              <w:rPr>
                <w:color w:val="231F20"/>
                <w:sz w:val="17"/>
              </w:rPr>
              <w:t>13</w:t>
            </w:r>
          </w:p>
        </w:tc>
        <w:tc>
          <w:tcPr>
            <w:tcW w:w="1531" w:type="dxa"/>
            <w:tcBorders>
              <w:left w:val="single" w:sz="2" w:space="0" w:color="231F20"/>
              <w:right w:val="single" w:sz="2" w:space="0" w:color="231F20"/>
            </w:tcBorders>
          </w:tcPr>
          <w:p>
            <w:pPr>
              <w:pStyle w:val="TableParagraph"/>
              <w:spacing w:before="35"/>
              <w:ind w:left="2"/>
              <w:jc w:val="center"/>
              <w:rPr>
                <w:sz w:val="17"/>
              </w:rPr>
            </w:pPr>
            <w:r>
              <w:rPr>
                <w:color w:val="231F20"/>
                <w:w w:val="97"/>
                <w:sz w:val="17"/>
              </w:rPr>
              <w:t>0</w:t>
            </w:r>
          </w:p>
        </w:tc>
        <w:tc>
          <w:tcPr>
            <w:tcW w:w="727" w:type="dxa"/>
            <w:tcBorders>
              <w:left w:val="single" w:sz="2" w:space="0" w:color="231F20"/>
              <w:right w:val="single" w:sz="12" w:space="0" w:color="231F20"/>
            </w:tcBorders>
          </w:tcPr>
          <w:p>
            <w:pPr>
              <w:pStyle w:val="TableParagraph"/>
              <w:spacing w:before="35"/>
              <w:ind w:left="134" w:right="128"/>
              <w:jc w:val="center"/>
              <w:rPr>
                <w:sz w:val="17"/>
              </w:rPr>
            </w:pPr>
            <w:r>
              <w:rPr>
                <w:color w:val="231F20"/>
                <w:sz w:val="17"/>
              </w:rPr>
              <w:t>13</w:t>
            </w:r>
          </w:p>
        </w:tc>
      </w:tr>
      <w:tr>
        <w:trPr>
          <w:trHeight w:val="276" w:hRule="exact"/>
        </w:trPr>
        <w:tc>
          <w:tcPr>
            <w:tcW w:w="1896" w:type="dxa"/>
            <w:tcBorders>
              <w:left w:val="single" w:sz="4" w:space="0" w:color="231F20"/>
              <w:right w:val="single" w:sz="4" w:space="0" w:color="231F20"/>
            </w:tcBorders>
          </w:tcPr>
          <w:p>
            <w:pPr>
              <w:pStyle w:val="TableParagraph"/>
              <w:spacing w:before="18"/>
              <w:ind w:left="86" w:right="303"/>
              <w:rPr>
                <w:sz w:val="17"/>
              </w:rPr>
            </w:pPr>
            <w:r>
              <w:rPr>
                <w:color w:val="231F20"/>
                <w:sz w:val="17"/>
              </w:rPr>
              <w:t>Biología</w:t>
            </w:r>
          </w:p>
        </w:tc>
        <w:tc>
          <w:tcPr>
            <w:tcW w:w="1620" w:type="dxa"/>
            <w:tcBorders>
              <w:left w:val="single" w:sz="4" w:space="0" w:color="231F20"/>
              <w:right w:val="single" w:sz="2" w:space="0" w:color="231F20"/>
            </w:tcBorders>
          </w:tcPr>
          <w:p>
            <w:pPr>
              <w:pStyle w:val="TableParagraph"/>
              <w:spacing w:before="37"/>
              <w:ind w:left="0" w:right="2"/>
              <w:jc w:val="center"/>
              <w:rPr>
                <w:sz w:val="17"/>
              </w:rPr>
            </w:pPr>
            <w:r>
              <w:rPr>
                <w:color w:val="231F20"/>
                <w:w w:val="97"/>
                <w:sz w:val="17"/>
              </w:rPr>
              <w:t>1</w:t>
            </w:r>
          </w:p>
        </w:tc>
        <w:tc>
          <w:tcPr>
            <w:tcW w:w="1531" w:type="dxa"/>
            <w:tcBorders>
              <w:left w:val="single" w:sz="2" w:space="0" w:color="231F20"/>
              <w:right w:val="single" w:sz="2" w:space="0" w:color="231F20"/>
            </w:tcBorders>
          </w:tcPr>
          <w:p>
            <w:pPr>
              <w:pStyle w:val="TableParagraph"/>
              <w:spacing w:before="37"/>
              <w:ind w:left="2"/>
              <w:jc w:val="center"/>
              <w:rPr>
                <w:sz w:val="17"/>
              </w:rPr>
            </w:pPr>
            <w:r>
              <w:rPr>
                <w:color w:val="231F20"/>
                <w:w w:val="97"/>
                <w:sz w:val="17"/>
              </w:rPr>
              <w:t>0</w:t>
            </w:r>
          </w:p>
        </w:tc>
        <w:tc>
          <w:tcPr>
            <w:tcW w:w="727" w:type="dxa"/>
            <w:tcBorders>
              <w:left w:val="single" w:sz="2" w:space="0" w:color="231F20"/>
              <w:right w:val="single" w:sz="12" w:space="0" w:color="231F20"/>
            </w:tcBorders>
          </w:tcPr>
          <w:p>
            <w:pPr>
              <w:pStyle w:val="TableParagraph"/>
              <w:spacing w:before="37"/>
              <w:ind w:left="5"/>
              <w:jc w:val="center"/>
              <w:rPr>
                <w:sz w:val="17"/>
              </w:rPr>
            </w:pPr>
            <w:r>
              <w:rPr>
                <w:color w:val="231F20"/>
                <w:w w:val="97"/>
                <w:sz w:val="17"/>
              </w:rPr>
              <w:t>1</w:t>
            </w:r>
          </w:p>
        </w:tc>
      </w:tr>
      <w:tr>
        <w:trPr>
          <w:trHeight w:val="487" w:hRule="exact"/>
        </w:trPr>
        <w:tc>
          <w:tcPr>
            <w:tcW w:w="1896" w:type="dxa"/>
            <w:tcBorders>
              <w:left w:val="single" w:sz="4" w:space="0" w:color="231F20"/>
              <w:right w:val="single" w:sz="4" w:space="0" w:color="231F20"/>
            </w:tcBorders>
          </w:tcPr>
          <w:p>
            <w:pPr>
              <w:pStyle w:val="TableParagraph"/>
              <w:spacing w:line="295" w:lineRule="auto" w:before="15"/>
              <w:ind w:left="86" w:right="303"/>
              <w:rPr>
                <w:sz w:val="17"/>
              </w:rPr>
            </w:pPr>
            <w:r>
              <w:rPr>
                <w:color w:val="231F20"/>
                <w:sz w:val="17"/>
              </w:rPr>
              <w:t>Ciencias de la Educa- ción</w:t>
            </w:r>
          </w:p>
        </w:tc>
        <w:tc>
          <w:tcPr>
            <w:tcW w:w="1620" w:type="dxa"/>
            <w:tcBorders>
              <w:left w:val="single" w:sz="4" w:space="0" w:color="231F20"/>
              <w:right w:val="single" w:sz="2" w:space="0" w:color="231F20"/>
            </w:tcBorders>
          </w:tcPr>
          <w:p>
            <w:pPr>
              <w:pStyle w:val="TableParagraph"/>
              <w:spacing w:before="135"/>
              <w:ind w:left="0" w:right="2"/>
              <w:jc w:val="center"/>
              <w:rPr>
                <w:sz w:val="17"/>
              </w:rPr>
            </w:pPr>
            <w:r>
              <w:rPr>
                <w:color w:val="231F20"/>
                <w:w w:val="97"/>
                <w:sz w:val="17"/>
              </w:rPr>
              <w:t>8</w:t>
            </w:r>
          </w:p>
        </w:tc>
        <w:tc>
          <w:tcPr>
            <w:tcW w:w="1531" w:type="dxa"/>
            <w:tcBorders>
              <w:left w:val="single" w:sz="2" w:space="0" w:color="231F20"/>
              <w:right w:val="single" w:sz="2" w:space="0" w:color="231F20"/>
            </w:tcBorders>
          </w:tcPr>
          <w:p>
            <w:pPr>
              <w:pStyle w:val="TableParagraph"/>
              <w:spacing w:before="135"/>
              <w:ind w:left="2"/>
              <w:jc w:val="center"/>
              <w:rPr>
                <w:sz w:val="17"/>
              </w:rPr>
            </w:pPr>
            <w:r>
              <w:rPr>
                <w:color w:val="231F20"/>
                <w:w w:val="97"/>
                <w:sz w:val="17"/>
              </w:rPr>
              <w:t>0</w:t>
            </w:r>
          </w:p>
        </w:tc>
        <w:tc>
          <w:tcPr>
            <w:tcW w:w="727" w:type="dxa"/>
            <w:tcBorders>
              <w:left w:val="single" w:sz="2" w:space="0" w:color="231F20"/>
              <w:right w:val="single" w:sz="12" w:space="0" w:color="231F20"/>
            </w:tcBorders>
          </w:tcPr>
          <w:p>
            <w:pPr>
              <w:pStyle w:val="TableParagraph"/>
              <w:spacing w:before="135"/>
              <w:ind w:left="5"/>
              <w:jc w:val="center"/>
              <w:rPr>
                <w:sz w:val="17"/>
              </w:rPr>
            </w:pPr>
            <w:r>
              <w:rPr>
                <w:color w:val="231F20"/>
                <w:w w:val="97"/>
                <w:sz w:val="17"/>
              </w:rPr>
              <w:t>8</w:t>
            </w:r>
          </w:p>
        </w:tc>
      </w:tr>
      <w:tr>
        <w:trPr>
          <w:trHeight w:val="269" w:hRule="exact"/>
        </w:trPr>
        <w:tc>
          <w:tcPr>
            <w:tcW w:w="1896" w:type="dxa"/>
            <w:tcBorders>
              <w:left w:val="single" w:sz="4" w:space="0" w:color="231F20"/>
              <w:right w:val="single" w:sz="4" w:space="0" w:color="231F20"/>
            </w:tcBorders>
          </w:tcPr>
          <w:p>
            <w:pPr>
              <w:pStyle w:val="TableParagraph"/>
              <w:spacing w:before="8"/>
              <w:ind w:left="86" w:right="303"/>
              <w:rPr>
                <w:sz w:val="17"/>
              </w:rPr>
            </w:pPr>
            <w:r>
              <w:rPr>
                <w:color w:val="231F20"/>
                <w:sz w:val="17"/>
              </w:rPr>
              <w:t>Cirujano dentista</w:t>
            </w:r>
          </w:p>
        </w:tc>
        <w:tc>
          <w:tcPr>
            <w:tcW w:w="1620" w:type="dxa"/>
            <w:tcBorders>
              <w:left w:val="single" w:sz="4" w:space="0" w:color="231F20"/>
              <w:right w:val="single" w:sz="2" w:space="0" w:color="231F20"/>
            </w:tcBorders>
          </w:tcPr>
          <w:p>
            <w:pPr>
              <w:pStyle w:val="TableParagraph"/>
              <w:spacing w:before="27"/>
              <w:ind w:left="0" w:right="2"/>
              <w:jc w:val="center"/>
              <w:rPr>
                <w:sz w:val="17"/>
              </w:rPr>
            </w:pPr>
            <w:r>
              <w:rPr>
                <w:color w:val="231F20"/>
                <w:w w:val="97"/>
                <w:sz w:val="17"/>
              </w:rPr>
              <w:t>7</w:t>
            </w:r>
          </w:p>
        </w:tc>
        <w:tc>
          <w:tcPr>
            <w:tcW w:w="1531" w:type="dxa"/>
            <w:tcBorders>
              <w:left w:val="single" w:sz="2" w:space="0" w:color="231F20"/>
              <w:right w:val="single" w:sz="2" w:space="0" w:color="231F20"/>
            </w:tcBorders>
          </w:tcPr>
          <w:p>
            <w:pPr>
              <w:pStyle w:val="TableParagraph"/>
              <w:spacing w:before="27"/>
              <w:ind w:left="2"/>
              <w:jc w:val="center"/>
              <w:rPr>
                <w:sz w:val="17"/>
              </w:rPr>
            </w:pPr>
            <w:r>
              <w:rPr>
                <w:color w:val="231F20"/>
                <w:w w:val="97"/>
                <w:sz w:val="17"/>
              </w:rPr>
              <w:t>0</w:t>
            </w:r>
          </w:p>
        </w:tc>
        <w:tc>
          <w:tcPr>
            <w:tcW w:w="727" w:type="dxa"/>
            <w:tcBorders>
              <w:left w:val="single" w:sz="2" w:space="0" w:color="231F20"/>
              <w:right w:val="single" w:sz="12" w:space="0" w:color="231F20"/>
            </w:tcBorders>
          </w:tcPr>
          <w:p>
            <w:pPr>
              <w:pStyle w:val="TableParagraph"/>
              <w:spacing w:before="27"/>
              <w:ind w:left="5"/>
              <w:jc w:val="center"/>
              <w:rPr>
                <w:sz w:val="17"/>
              </w:rPr>
            </w:pPr>
            <w:r>
              <w:rPr>
                <w:color w:val="231F20"/>
                <w:w w:val="97"/>
                <w:sz w:val="17"/>
              </w:rPr>
              <w:t>7</w:t>
            </w:r>
          </w:p>
        </w:tc>
      </w:tr>
      <w:tr>
        <w:trPr>
          <w:trHeight w:val="276" w:hRule="exact"/>
        </w:trPr>
        <w:tc>
          <w:tcPr>
            <w:tcW w:w="1896" w:type="dxa"/>
            <w:tcBorders>
              <w:left w:val="single" w:sz="4" w:space="0" w:color="231F20"/>
              <w:right w:val="single" w:sz="4" w:space="0" w:color="231F20"/>
            </w:tcBorders>
          </w:tcPr>
          <w:p>
            <w:pPr>
              <w:pStyle w:val="TableParagraph"/>
              <w:spacing w:before="18"/>
              <w:ind w:left="86" w:right="303"/>
              <w:rPr>
                <w:sz w:val="17"/>
              </w:rPr>
            </w:pPr>
            <w:r>
              <w:rPr>
                <w:color w:val="231F20"/>
                <w:sz w:val="17"/>
              </w:rPr>
              <w:t>Contaduría Pública</w:t>
            </w:r>
          </w:p>
        </w:tc>
        <w:tc>
          <w:tcPr>
            <w:tcW w:w="1620" w:type="dxa"/>
            <w:tcBorders>
              <w:left w:val="single" w:sz="4" w:space="0" w:color="231F20"/>
              <w:right w:val="single" w:sz="2" w:space="0" w:color="231F20"/>
            </w:tcBorders>
          </w:tcPr>
          <w:p>
            <w:pPr>
              <w:pStyle w:val="TableParagraph"/>
              <w:spacing w:before="37"/>
              <w:ind w:left="658" w:right="659"/>
              <w:jc w:val="center"/>
              <w:rPr>
                <w:sz w:val="17"/>
              </w:rPr>
            </w:pPr>
            <w:r>
              <w:rPr>
                <w:color w:val="231F20"/>
                <w:sz w:val="17"/>
              </w:rPr>
              <w:t>18</w:t>
            </w:r>
          </w:p>
        </w:tc>
        <w:tc>
          <w:tcPr>
            <w:tcW w:w="1531" w:type="dxa"/>
            <w:tcBorders>
              <w:left w:val="single" w:sz="2" w:space="0" w:color="231F20"/>
              <w:right w:val="single" w:sz="2" w:space="0" w:color="231F20"/>
            </w:tcBorders>
          </w:tcPr>
          <w:p>
            <w:pPr>
              <w:pStyle w:val="TableParagraph"/>
              <w:spacing w:before="37"/>
              <w:ind w:left="2"/>
              <w:jc w:val="center"/>
              <w:rPr>
                <w:sz w:val="17"/>
              </w:rPr>
            </w:pPr>
            <w:r>
              <w:rPr>
                <w:color w:val="231F20"/>
                <w:w w:val="97"/>
                <w:sz w:val="17"/>
              </w:rPr>
              <w:t>0</w:t>
            </w:r>
          </w:p>
        </w:tc>
        <w:tc>
          <w:tcPr>
            <w:tcW w:w="727" w:type="dxa"/>
            <w:tcBorders>
              <w:left w:val="single" w:sz="2" w:space="0" w:color="231F20"/>
              <w:right w:val="single" w:sz="12" w:space="0" w:color="231F20"/>
            </w:tcBorders>
          </w:tcPr>
          <w:p>
            <w:pPr>
              <w:pStyle w:val="TableParagraph"/>
              <w:spacing w:before="37"/>
              <w:ind w:left="134" w:right="128"/>
              <w:jc w:val="center"/>
              <w:rPr>
                <w:sz w:val="17"/>
              </w:rPr>
            </w:pPr>
            <w:r>
              <w:rPr>
                <w:color w:val="231F20"/>
                <w:sz w:val="17"/>
              </w:rPr>
              <w:t>18</w:t>
            </w:r>
          </w:p>
        </w:tc>
      </w:tr>
      <w:tr>
        <w:trPr>
          <w:trHeight w:val="276" w:hRule="exact"/>
        </w:trPr>
        <w:tc>
          <w:tcPr>
            <w:tcW w:w="1896" w:type="dxa"/>
            <w:tcBorders>
              <w:left w:val="single" w:sz="4" w:space="0" w:color="231F20"/>
              <w:right w:val="single" w:sz="4" w:space="0" w:color="231F20"/>
            </w:tcBorders>
          </w:tcPr>
          <w:p>
            <w:pPr>
              <w:pStyle w:val="TableParagraph"/>
              <w:spacing w:before="15"/>
              <w:ind w:left="86" w:right="303"/>
              <w:rPr>
                <w:sz w:val="17"/>
              </w:rPr>
            </w:pPr>
            <w:r>
              <w:rPr>
                <w:color w:val="231F20"/>
                <w:w w:val="105"/>
                <w:sz w:val="17"/>
              </w:rPr>
              <w:t>Derecho</w:t>
            </w:r>
          </w:p>
        </w:tc>
        <w:tc>
          <w:tcPr>
            <w:tcW w:w="1620" w:type="dxa"/>
            <w:tcBorders>
              <w:left w:val="single" w:sz="4" w:space="0" w:color="231F20"/>
              <w:right w:val="single" w:sz="2" w:space="0" w:color="231F20"/>
            </w:tcBorders>
          </w:tcPr>
          <w:p>
            <w:pPr>
              <w:pStyle w:val="TableParagraph"/>
              <w:spacing w:before="35"/>
              <w:ind w:left="658" w:right="659"/>
              <w:jc w:val="center"/>
              <w:rPr>
                <w:sz w:val="17"/>
              </w:rPr>
            </w:pPr>
            <w:r>
              <w:rPr>
                <w:color w:val="231F20"/>
                <w:sz w:val="17"/>
              </w:rPr>
              <w:t>31</w:t>
            </w:r>
          </w:p>
        </w:tc>
        <w:tc>
          <w:tcPr>
            <w:tcW w:w="1531" w:type="dxa"/>
            <w:tcBorders>
              <w:left w:val="single" w:sz="2" w:space="0" w:color="231F20"/>
              <w:right w:val="single" w:sz="2" w:space="0" w:color="231F20"/>
            </w:tcBorders>
          </w:tcPr>
          <w:p>
            <w:pPr>
              <w:pStyle w:val="TableParagraph"/>
              <w:spacing w:before="35"/>
              <w:ind w:left="2"/>
              <w:jc w:val="center"/>
              <w:rPr>
                <w:sz w:val="17"/>
              </w:rPr>
            </w:pPr>
            <w:r>
              <w:rPr>
                <w:color w:val="231F20"/>
                <w:w w:val="97"/>
                <w:sz w:val="17"/>
              </w:rPr>
              <w:t>6</w:t>
            </w:r>
          </w:p>
        </w:tc>
        <w:tc>
          <w:tcPr>
            <w:tcW w:w="727" w:type="dxa"/>
            <w:tcBorders>
              <w:left w:val="single" w:sz="2" w:space="0" w:color="231F20"/>
              <w:right w:val="single" w:sz="12" w:space="0" w:color="231F20"/>
            </w:tcBorders>
          </w:tcPr>
          <w:p>
            <w:pPr>
              <w:pStyle w:val="TableParagraph"/>
              <w:spacing w:before="35"/>
              <w:ind w:left="134" w:right="128"/>
              <w:jc w:val="center"/>
              <w:rPr>
                <w:sz w:val="17"/>
              </w:rPr>
            </w:pPr>
            <w:r>
              <w:rPr>
                <w:color w:val="231F20"/>
                <w:sz w:val="17"/>
              </w:rPr>
              <w:t>37</w:t>
            </w:r>
          </w:p>
        </w:tc>
      </w:tr>
      <w:tr>
        <w:trPr>
          <w:trHeight w:val="276" w:hRule="exact"/>
        </w:trPr>
        <w:tc>
          <w:tcPr>
            <w:tcW w:w="1896" w:type="dxa"/>
            <w:tcBorders>
              <w:left w:val="single" w:sz="4" w:space="0" w:color="231F20"/>
              <w:right w:val="single" w:sz="4" w:space="0" w:color="231F20"/>
            </w:tcBorders>
          </w:tcPr>
          <w:p>
            <w:pPr>
              <w:pStyle w:val="TableParagraph"/>
              <w:spacing w:before="18"/>
              <w:ind w:left="86" w:right="303"/>
              <w:rPr>
                <w:sz w:val="17"/>
              </w:rPr>
            </w:pPr>
            <w:r>
              <w:rPr>
                <w:color w:val="231F20"/>
                <w:sz w:val="17"/>
              </w:rPr>
              <w:t>Economía</w:t>
            </w:r>
          </w:p>
        </w:tc>
        <w:tc>
          <w:tcPr>
            <w:tcW w:w="1620" w:type="dxa"/>
            <w:tcBorders>
              <w:left w:val="single" w:sz="4" w:space="0" w:color="231F20"/>
              <w:right w:val="single" w:sz="2" w:space="0" w:color="231F20"/>
            </w:tcBorders>
          </w:tcPr>
          <w:p>
            <w:pPr>
              <w:pStyle w:val="TableParagraph"/>
              <w:spacing w:before="37"/>
              <w:ind w:left="0" w:right="2"/>
              <w:jc w:val="center"/>
              <w:rPr>
                <w:sz w:val="17"/>
              </w:rPr>
            </w:pPr>
            <w:r>
              <w:rPr>
                <w:color w:val="231F20"/>
                <w:w w:val="97"/>
                <w:sz w:val="17"/>
              </w:rPr>
              <w:t>3</w:t>
            </w:r>
          </w:p>
        </w:tc>
        <w:tc>
          <w:tcPr>
            <w:tcW w:w="1531" w:type="dxa"/>
            <w:tcBorders>
              <w:left w:val="single" w:sz="2" w:space="0" w:color="231F20"/>
              <w:right w:val="single" w:sz="2" w:space="0" w:color="231F20"/>
            </w:tcBorders>
          </w:tcPr>
          <w:p>
            <w:pPr>
              <w:pStyle w:val="TableParagraph"/>
              <w:spacing w:before="37"/>
              <w:ind w:left="2"/>
              <w:jc w:val="center"/>
              <w:rPr>
                <w:sz w:val="17"/>
              </w:rPr>
            </w:pPr>
            <w:r>
              <w:rPr>
                <w:color w:val="231F20"/>
                <w:w w:val="97"/>
                <w:sz w:val="17"/>
              </w:rPr>
              <w:t>0</w:t>
            </w:r>
          </w:p>
        </w:tc>
        <w:tc>
          <w:tcPr>
            <w:tcW w:w="727" w:type="dxa"/>
            <w:tcBorders>
              <w:left w:val="single" w:sz="2" w:space="0" w:color="231F20"/>
              <w:right w:val="single" w:sz="12" w:space="0" w:color="231F20"/>
            </w:tcBorders>
          </w:tcPr>
          <w:p>
            <w:pPr>
              <w:pStyle w:val="TableParagraph"/>
              <w:spacing w:before="37"/>
              <w:ind w:left="5"/>
              <w:jc w:val="center"/>
              <w:rPr>
                <w:sz w:val="17"/>
              </w:rPr>
            </w:pPr>
            <w:r>
              <w:rPr>
                <w:color w:val="231F20"/>
                <w:w w:val="97"/>
                <w:sz w:val="17"/>
              </w:rPr>
              <w:t>3</w:t>
            </w:r>
          </w:p>
        </w:tc>
      </w:tr>
      <w:tr>
        <w:trPr>
          <w:trHeight w:val="487" w:hRule="exact"/>
        </w:trPr>
        <w:tc>
          <w:tcPr>
            <w:tcW w:w="1896" w:type="dxa"/>
            <w:tcBorders>
              <w:left w:val="single" w:sz="4" w:space="0" w:color="231F20"/>
              <w:right w:val="single" w:sz="4" w:space="0" w:color="231F20"/>
            </w:tcBorders>
          </w:tcPr>
          <w:p>
            <w:pPr>
              <w:pStyle w:val="TableParagraph"/>
              <w:spacing w:line="295" w:lineRule="auto" w:before="15"/>
              <w:ind w:left="86" w:right="83"/>
              <w:rPr>
                <w:sz w:val="17"/>
              </w:rPr>
            </w:pPr>
            <w:r>
              <w:rPr>
                <w:color w:val="231F20"/>
                <w:sz w:val="17"/>
              </w:rPr>
              <w:t>Enfermería y Obstetri- cia</w:t>
            </w:r>
          </w:p>
        </w:tc>
        <w:tc>
          <w:tcPr>
            <w:tcW w:w="1620" w:type="dxa"/>
            <w:tcBorders>
              <w:left w:val="single" w:sz="4" w:space="0" w:color="231F20"/>
              <w:right w:val="single" w:sz="2" w:space="0" w:color="231F20"/>
            </w:tcBorders>
          </w:tcPr>
          <w:p>
            <w:pPr>
              <w:pStyle w:val="TableParagraph"/>
              <w:spacing w:before="135"/>
              <w:ind w:left="0" w:right="2"/>
              <w:jc w:val="center"/>
              <w:rPr>
                <w:sz w:val="17"/>
              </w:rPr>
            </w:pPr>
            <w:r>
              <w:rPr>
                <w:color w:val="231F20"/>
                <w:w w:val="97"/>
                <w:sz w:val="17"/>
              </w:rPr>
              <w:t>7</w:t>
            </w:r>
          </w:p>
        </w:tc>
        <w:tc>
          <w:tcPr>
            <w:tcW w:w="1531" w:type="dxa"/>
            <w:tcBorders>
              <w:left w:val="single" w:sz="2" w:space="0" w:color="231F20"/>
              <w:right w:val="single" w:sz="2" w:space="0" w:color="231F20"/>
            </w:tcBorders>
          </w:tcPr>
          <w:p>
            <w:pPr>
              <w:pStyle w:val="TableParagraph"/>
              <w:spacing w:before="135"/>
              <w:ind w:left="2"/>
              <w:jc w:val="center"/>
              <w:rPr>
                <w:sz w:val="17"/>
              </w:rPr>
            </w:pPr>
            <w:r>
              <w:rPr>
                <w:color w:val="231F20"/>
                <w:w w:val="97"/>
                <w:sz w:val="17"/>
              </w:rPr>
              <w:t>0</w:t>
            </w:r>
          </w:p>
        </w:tc>
        <w:tc>
          <w:tcPr>
            <w:tcW w:w="727" w:type="dxa"/>
            <w:tcBorders>
              <w:left w:val="single" w:sz="2" w:space="0" w:color="231F20"/>
              <w:right w:val="single" w:sz="12" w:space="0" w:color="231F20"/>
            </w:tcBorders>
          </w:tcPr>
          <w:p>
            <w:pPr>
              <w:pStyle w:val="TableParagraph"/>
              <w:spacing w:before="135"/>
              <w:ind w:left="5"/>
              <w:jc w:val="center"/>
              <w:rPr>
                <w:sz w:val="17"/>
              </w:rPr>
            </w:pPr>
            <w:r>
              <w:rPr>
                <w:color w:val="231F20"/>
                <w:w w:val="97"/>
                <w:sz w:val="17"/>
              </w:rPr>
              <w:t>7</w:t>
            </w:r>
          </w:p>
        </w:tc>
      </w:tr>
      <w:tr>
        <w:trPr>
          <w:trHeight w:val="269" w:hRule="exact"/>
        </w:trPr>
        <w:tc>
          <w:tcPr>
            <w:tcW w:w="1896" w:type="dxa"/>
            <w:tcBorders>
              <w:left w:val="single" w:sz="4" w:space="0" w:color="231F20"/>
              <w:right w:val="single" w:sz="4" w:space="0" w:color="231F20"/>
            </w:tcBorders>
          </w:tcPr>
          <w:p>
            <w:pPr>
              <w:pStyle w:val="TableParagraph"/>
              <w:spacing w:before="8"/>
              <w:ind w:left="86" w:right="303"/>
              <w:rPr>
                <w:sz w:val="17"/>
              </w:rPr>
            </w:pPr>
            <w:r>
              <w:rPr>
                <w:color w:val="231F20"/>
                <w:sz w:val="17"/>
              </w:rPr>
              <w:t>Física</w:t>
            </w:r>
          </w:p>
        </w:tc>
        <w:tc>
          <w:tcPr>
            <w:tcW w:w="1620" w:type="dxa"/>
            <w:tcBorders>
              <w:left w:val="single" w:sz="4" w:space="0" w:color="231F20"/>
              <w:right w:val="single" w:sz="2" w:space="0" w:color="231F20"/>
            </w:tcBorders>
          </w:tcPr>
          <w:p>
            <w:pPr>
              <w:pStyle w:val="TableParagraph"/>
              <w:spacing w:before="27"/>
              <w:ind w:left="0" w:right="2"/>
              <w:jc w:val="center"/>
              <w:rPr>
                <w:sz w:val="17"/>
              </w:rPr>
            </w:pPr>
            <w:r>
              <w:rPr>
                <w:color w:val="231F20"/>
                <w:w w:val="97"/>
                <w:sz w:val="17"/>
              </w:rPr>
              <w:t>2</w:t>
            </w:r>
          </w:p>
        </w:tc>
        <w:tc>
          <w:tcPr>
            <w:tcW w:w="1531" w:type="dxa"/>
            <w:tcBorders>
              <w:left w:val="single" w:sz="2" w:space="0" w:color="231F20"/>
              <w:right w:val="single" w:sz="2" w:space="0" w:color="231F20"/>
            </w:tcBorders>
          </w:tcPr>
          <w:p>
            <w:pPr>
              <w:pStyle w:val="TableParagraph"/>
              <w:spacing w:before="27"/>
              <w:ind w:left="2"/>
              <w:jc w:val="center"/>
              <w:rPr>
                <w:sz w:val="17"/>
              </w:rPr>
            </w:pPr>
            <w:r>
              <w:rPr>
                <w:color w:val="231F20"/>
                <w:w w:val="97"/>
                <w:sz w:val="17"/>
              </w:rPr>
              <w:t>0</w:t>
            </w:r>
          </w:p>
        </w:tc>
        <w:tc>
          <w:tcPr>
            <w:tcW w:w="727" w:type="dxa"/>
            <w:tcBorders>
              <w:left w:val="single" w:sz="2" w:space="0" w:color="231F20"/>
              <w:right w:val="single" w:sz="12" w:space="0" w:color="231F20"/>
            </w:tcBorders>
          </w:tcPr>
          <w:p>
            <w:pPr>
              <w:pStyle w:val="TableParagraph"/>
              <w:spacing w:before="27"/>
              <w:ind w:left="5"/>
              <w:jc w:val="center"/>
              <w:rPr>
                <w:sz w:val="17"/>
              </w:rPr>
            </w:pPr>
            <w:r>
              <w:rPr>
                <w:color w:val="231F20"/>
                <w:w w:val="97"/>
                <w:sz w:val="17"/>
              </w:rPr>
              <w:t>2</w:t>
            </w:r>
          </w:p>
        </w:tc>
      </w:tr>
      <w:tr>
        <w:trPr>
          <w:trHeight w:val="504" w:hRule="exact"/>
        </w:trPr>
        <w:tc>
          <w:tcPr>
            <w:tcW w:w="1896" w:type="dxa"/>
            <w:tcBorders>
              <w:left w:val="single" w:sz="4" w:space="0" w:color="231F20"/>
              <w:right w:val="single" w:sz="4" w:space="0" w:color="231F20"/>
            </w:tcBorders>
          </w:tcPr>
          <w:p>
            <w:pPr>
              <w:pStyle w:val="TableParagraph"/>
              <w:spacing w:line="295" w:lineRule="auto" w:before="18"/>
              <w:ind w:left="86" w:right="83"/>
              <w:rPr>
                <w:sz w:val="17"/>
              </w:rPr>
            </w:pPr>
            <w:r>
              <w:rPr>
                <w:color w:val="231F20"/>
                <w:sz w:val="17"/>
              </w:rPr>
              <w:t>Medicina veterinaria y Zootecnia</w:t>
            </w:r>
          </w:p>
        </w:tc>
        <w:tc>
          <w:tcPr>
            <w:tcW w:w="1620" w:type="dxa"/>
            <w:tcBorders>
              <w:left w:val="single" w:sz="4" w:space="0" w:color="231F20"/>
              <w:right w:val="single" w:sz="2" w:space="0" w:color="231F20"/>
            </w:tcBorders>
          </w:tcPr>
          <w:p>
            <w:pPr>
              <w:pStyle w:val="TableParagraph"/>
              <w:spacing w:before="152"/>
              <w:ind w:left="0" w:right="2"/>
              <w:jc w:val="center"/>
              <w:rPr>
                <w:sz w:val="17"/>
              </w:rPr>
            </w:pPr>
            <w:r>
              <w:rPr>
                <w:color w:val="231F20"/>
                <w:w w:val="97"/>
                <w:sz w:val="17"/>
              </w:rPr>
              <w:t>2</w:t>
            </w:r>
          </w:p>
        </w:tc>
        <w:tc>
          <w:tcPr>
            <w:tcW w:w="1531" w:type="dxa"/>
            <w:tcBorders>
              <w:left w:val="single" w:sz="2" w:space="0" w:color="231F20"/>
              <w:right w:val="single" w:sz="2" w:space="0" w:color="231F20"/>
            </w:tcBorders>
          </w:tcPr>
          <w:p>
            <w:pPr>
              <w:pStyle w:val="TableParagraph"/>
              <w:spacing w:before="152"/>
              <w:ind w:left="2"/>
              <w:jc w:val="center"/>
              <w:rPr>
                <w:sz w:val="17"/>
              </w:rPr>
            </w:pPr>
            <w:r>
              <w:rPr>
                <w:color w:val="231F20"/>
                <w:w w:val="97"/>
                <w:sz w:val="17"/>
              </w:rPr>
              <w:t>1</w:t>
            </w:r>
          </w:p>
        </w:tc>
        <w:tc>
          <w:tcPr>
            <w:tcW w:w="727" w:type="dxa"/>
            <w:tcBorders>
              <w:left w:val="single" w:sz="2" w:space="0" w:color="231F20"/>
              <w:right w:val="single" w:sz="12" w:space="0" w:color="231F20"/>
            </w:tcBorders>
          </w:tcPr>
          <w:p>
            <w:pPr>
              <w:pStyle w:val="TableParagraph"/>
              <w:spacing w:before="152"/>
              <w:ind w:left="5"/>
              <w:jc w:val="center"/>
              <w:rPr>
                <w:sz w:val="17"/>
              </w:rPr>
            </w:pPr>
            <w:r>
              <w:rPr>
                <w:color w:val="231F20"/>
                <w:w w:val="97"/>
                <w:sz w:val="17"/>
              </w:rPr>
              <w:t>3</w:t>
            </w:r>
          </w:p>
        </w:tc>
      </w:tr>
      <w:tr>
        <w:trPr>
          <w:trHeight w:val="283" w:hRule="exact"/>
        </w:trPr>
        <w:tc>
          <w:tcPr>
            <w:tcW w:w="1896" w:type="dxa"/>
            <w:tcBorders>
              <w:left w:val="single" w:sz="4" w:space="0" w:color="231F20"/>
              <w:right w:val="single" w:sz="4" w:space="0" w:color="231F20"/>
            </w:tcBorders>
          </w:tcPr>
          <w:p>
            <w:pPr>
              <w:pStyle w:val="TableParagraph"/>
              <w:spacing w:before="23"/>
              <w:ind w:left="86" w:right="303"/>
              <w:rPr>
                <w:sz w:val="17"/>
              </w:rPr>
            </w:pPr>
            <w:r>
              <w:rPr>
                <w:color w:val="231F20"/>
                <w:sz w:val="17"/>
              </w:rPr>
              <w:t>Odontología</w:t>
            </w:r>
          </w:p>
        </w:tc>
        <w:tc>
          <w:tcPr>
            <w:tcW w:w="1620" w:type="dxa"/>
            <w:tcBorders>
              <w:left w:val="single" w:sz="4" w:space="0" w:color="231F20"/>
              <w:right w:val="single" w:sz="2" w:space="0" w:color="231F20"/>
            </w:tcBorders>
          </w:tcPr>
          <w:p>
            <w:pPr>
              <w:pStyle w:val="TableParagraph"/>
              <w:spacing w:before="42"/>
              <w:ind w:left="0" w:right="2"/>
              <w:jc w:val="center"/>
              <w:rPr>
                <w:sz w:val="17"/>
              </w:rPr>
            </w:pPr>
            <w:r>
              <w:rPr>
                <w:color w:val="231F20"/>
                <w:w w:val="97"/>
                <w:sz w:val="17"/>
              </w:rPr>
              <w:t>9</w:t>
            </w:r>
          </w:p>
        </w:tc>
        <w:tc>
          <w:tcPr>
            <w:tcW w:w="1531" w:type="dxa"/>
            <w:tcBorders>
              <w:left w:val="single" w:sz="2" w:space="0" w:color="231F20"/>
              <w:right w:val="single" w:sz="2" w:space="0" w:color="231F20"/>
            </w:tcBorders>
          </w:tcPr>
          <w:p>
            <w:pPr>
              <w:pStyle w:val="TableParagraph"/>
              <w:spacing w:before="42"/>
              <w:ind w:left="2"/>
              <w:jc w:val="center"/>
              <w:rPr>
                <w:sz w:val="17"/>
              </w:rPr>
            </w:pPr>
            <w:r>
              <w:rPr>
                <w:color w:val="231F20"/>
                <w:w w:val="97"/>
                <w:sz w:val="17"/>
              </w:rPr>
              <w:t>0</w:t>
            </w:r>
          </w:p>
        </w:tc>
        <w:tc>
          <w:tcPr>
            <w:tcW w:w="727" w:type="dxa"/>
            <w:tcBorders>
              <w:left w:val="single" w:sz="2" w:space="0" w:color="231F20"/>
              <w:right w:val="single" w:sz="12" w:space="0" w:color="231F20"/>
            </w:tcBorders>
          </w:tcPr>
          <w:p>
            <w:pPr>
              <w:pStyle w:val="TableParagraph"/>
              <w:spacing w:before="42"/>
              <w:ind w:left="5"/>
              <w:jc w:val="center"/>
              <w:rPr>
                <w:sz w:val="17"/>
              </w:rPr>
            </w:pPr>
            <w:r>
              <w:rPr>
                <w:color w:val="231F20"/>
                <w:w w:val="97"/>
                <w:sz w:val="17"/>
              </w:rPr>
              <w:t>9</w:t>
            </w:r>
          </w:p>
        </w:tc>
      </w:tr>
      <w:tr>
        <w:trPr>
          <w:trHeight w:val="498" w:hRule="exact"/>
        </w:trPr>
        <w:tc>
          <w:tcPr>
            <w:tcW w:w="1896" w:type="dxa"/>
            <w:tcBorders>
              <w:left w:val="single" w:sz="4" w:space="0" w:color="231F20"/>
              <w:bottom w:val="single" w:sz="4" w:space="0" w:color="231F20"/>
              <w:right w:val="single" w:sz="4" w:space="0" w:color="231F20"/>
            </w:tcBorders>
          </w:tcPr>
          <w:p>
            <w:pPr>
              <w:pStyle w:val="TableParagraph"/>
              <w:spacing w:line="295" w:lineRule="auto" w:before="18"/>
              <w:ind w:left="86" w:right="83"/>
              <w:rPr>
                <w:sz w:val="17"/>
              </w:rPr>
            </w:pPr>
            <w:r>
              <w:rPr>
                <w:color w:val="231F20"/>
                <w:sz w:val="17"/>
              </w:rPr>
              <w:t>Químico Biólogo Far- macéutico</w:t>
            </w:r>
          </w:p>
        </w:tc>
        <w:tc>
          <w:tcPr>
            <w:tcW w:w="1620" w:type="dxa"/>
            <w:tcBorders>
              <w:left w:val="single" w:sz="4" w:space="0" w:color="231F20"/>
              <w:bottom w:val="single" w:sz="4" w:space="0" w:color="231F20"/>
              <w:right w:val="single" w:sz="2" w:space="0" w:color="231F20"/>
            </w:tcBorders>
          </w:tcPr>
          <w:p>
            <w:pPr>
              <w:pStyle w:val="TableParagraph"/>
              <w:spacing w:before="152"/>
              <w:ind w:left="0" w:right="2"/>
              <w:jc w:val="center"/>
              <w:rPr>
                <w:sz w:val="17"/>
              </w:rPr>
            </w:pPr>
            <w:r>
              <w:rPr>
                <w:color w:val="231F20"/>
                <w:w w:val="97"/>
                <w:sz w:val="17"/>
              </w:rPr>
              <w:t>9</w:t>
            </w:r>
          </w:p>
        </w:tc>
        <w:tc>
          <w:tcPr>
            <w:tcW w:w="1531" w:type="dxa"/>
            <w:tcBorders>
              <w:left w:val="single" w:sz="2" w:space="0" w:color="231F20"/>
              <w:bottom w:val="single" w:sz="4" w:space="0" w:color="231F20"/>
              <w:right w:val="single" w:sz="2" w:space="0" w:color="231F20"/>
            </w:tcBorders>
          </w:tcPr>
          <w:p>
            <w:pPr>
              <w:pStyle w:val="TableParagraph"/>
              <w:spacing w:before="152"/>
              <w:ind w:left="2"/>
              <w:jc w:val="center"/>
              <w:rPr>
                <w:sz w:val="17"/>
              </w:rPr>
            </w:pPr>
            <w:r>
              <w:rPr>
                <w:color w:val="231F20"/>
                <w:w w:val="97"/>
                <w:sz w:val="17"/>
              </w:rPr>
              <w:t>0</w:t>
            </w:r>
          </w:p>
        </w:tc>
        <w:tc>
          <w:tcPr>
            <w:tcW w:w="727" w:type="dxa"/>
            <w:tcBorders>
              <w:left w:val="single" w:sz="2" w:space="0" w:color="231F20"/>
              <w:bottom w:val="single" w:sz="4" w:space="0" w:color="231F20"/>
              <w:right w:val="single" w:sz="12" w:space="0" w:color="231F20"/>
            </w:tcBorders>
          </w:tcPr>
          <w:p>
            <w:pPr>
              <w:pStyle w:val="TableParagraph"/>
              <w:spacing w:before="152"/>
              <w:ind w:left="5"/>
              <w:jc w:val="center"/>
              <w:rPr>
                <w:sz w:val="17"/>
              </w:rPr>
            </w:pPr>
            <w:r>
              <w:rPr>
                <w:color w:val="231F20"/>
                <w:w w:val="97"/>
                <w:sz w:val="17"/>
              </w:rPr>
              <w:t>9</w:t>
            </w:r>
          </w:p>
        </w:tc>
      </w:tr>
      <w:tr>
        <w:trPr>
          <w:trHeight w:val="288" w:hRule="exact"/>
        </w:trPr>
        <w:tc>
          <w:tcPr>
            <w:tcW w:w="1896" w:type="dxa"/>
            <w:tcBorders>
              <w:top w:val="single" w:sz="4" w:space="0" w:color="231F20"/>
              <w:left w:val="single" w:sz="4" w:space="0" w:color="231F20"/>
              <w:bottom w:val="single" w:sz="4" w:space="0" w:color="231F20"/>
              <w:right w:val="single" w:sz="4" w:space="0" w:color="231F20"/>
            </w:tcBorders>
          </w:tcPr>
          <w:p>
            <w:pPr>
              <w:pStyle w:val="TableParagraph"/>
              <w:spacing w:before="33"/>
              <w:ind w:left="86" w:right="303"/>
              <w:rPr>
                <w:b/>
                <w:sz w:val="17"/>
              </w:rPr>
            </w:pPr>
            <w:r>
              <w:rPr>
                <w:b/>
                <w:color w:val="231F20"/>
                <w:w w:val="105"/>
                <w:sz w:val="17"/>
              </w:rPr>
              <w:t>Total</w:t>
            </w:r>
          </w:p>
        </w:tc>
        <w:tc>
          <w:tcPr>
            <w:tcW w:w="1620" w:type="dxa"/>
            <w:tcBorders>
              <w:top w:val="single" w:sz="4" w:space="0" w:color="231F20"/>
              <w:left w:val="single" w:sz="4" w:space="0" w:color="231F20"/>
              <w:bottom w:val="single" w:sz="4" w:space="0" w:color="231F20"/>
              <w:right w:val="single" w:sz="2" w:space="0" w:color="231F20"/>
            </w:tcBorders>
          </w:tcPr>
          <w:p>
            <w:pPr>
              <w:pStyle w:val="TableParagraph"/>
              <w:spacing w:before="52"/>
              <w:ind w:left="658" w:right="659"/>
              <w:jc w:val="center"/>
              <w:rPr>
                <w:b/>
                <w:sz w:val="17"/>
              </w:rPr>
            </w:pPr>
            <w:r>
              <w:rPr>
                <w:b/>
                <w:color w:val="231F20"/>
                <w:sz w:val="17"/>
              </w:rPr>
              <w:t>113</w:t>
            </w:r>
          </w:p>
        </w:tc>
        <w:tc>
          <w:tcPr>
            <w:tcW w:w="1531" w:type="dxa"/>
            <w:tcBorders>
              <w:top w:val="single" w:sz="4" w:space="0" w:color="231F20"/>
              <w:left w:val="single" w:sz="2" w:space="0" w:color="231F20"/>
              <w:bottom w:val="single" w:sz="4" w:space="0" w:color="231F20"/>
              <w:right w:val="single" w:sz="2" w:space="0" w:color="231F20"/>
            </w:tcBorders>
          </w:tcPr>
          <w:p>
            <w:pPr>
              <w:pStyle w:val="TableParagraph"/>
              <w:spacing w:before="52"/>
              <w:ind w:left="2"/>
              <w:jc w:val="center"/>
              <w:rPr>
                <w:b/>
                <w:sz w:val="17"/>
              </w:rPr>
            </w:pPr>
            <w:r>
              <w:rPr>
                <w:b/>
                <w:color w:val="231F20"/>
                <w:w w:val="97"/>
                <w:sz w:val="17"/>
              </w:rPr>
              <w:t>7</w:t>
            </w:r>
          </w:p>
        </w:tc>
        <w:tc>
          <w:tcPr>
            <w:tcW w:w="727" w:type="dxa"/>
            <w:tcBorders>
              <w:top w:val="single" w:sz="4" w:space="0" w:color="231F20"/>
              <w:left w:val="single" w:sz="2" w:space="0" w:color="231F20"/>
              <w:bottom w:val="single" w:sz="4" w:space="0" w:color="231F20"/>
              <w:right w:val="single" w:sz="4" w:space="0" w:color="231F20"/>
            </w:tcBorders>
          </w:tcPr>
          <w:p>
            <w:pPr>
              <w:pStyle w:val="TableParagraph"/>
              <w:spacing w:before="52"/>
              <w:ind w:left="128" w:right="129"/>
              <w:jc w:val="center"/>
              <w:rPr>
                <w:b/>
                <w:sz w:val="17"/>
              </w:rPr>
            </w:pPr>
            <w:r>
              <w:rPr>
                <w:b/>
                <w:color w:val="231F20"/>
                <w:sz w:val="17"/>
              </w:rPr>
              <w:t>120</w:t>
            </w:r>
          </w:p>
        </w:tc>
      </w:tr>
    </w:tbl>
    <w:p>
      <w:pPr>
        <w:spacing w:after="0"/>
        <w:jc w:val="center"/>
        <w:rPr>
          <w:sz w:val="17"/>
        </w:rPr>
        <w:sectPr>
          <w:headerReference w:type="default" r:id="rId866"/>
          <w:footerReference w:type="default" r:id="rId867"/>
          <w:pgSz w:w="7830" w:h="11910"/>
          <w:pgMar w:header="0" w:footer="424" w:top="500" w:bottom="620" w:left="900" w:right="880"/>
          <w:pgNumType w:start="391"/>
        </w:sectPr>
      </w:pPr>
    </w:p>
    <w:p>
      <w:pPr>
        <w:spacing w:before="46"/>
        <w:ind w:left="270" w:right="404"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3" w:lineRule="auto" w:before="111"/>
        <w:ind w:left="270" w:right="407" w:firstLine="0"/>
        <w:jc w:val="center"/>
        <w:rPr>
          <w:b/>
          <w:sz w:val="19"/>
        </w:rPr>
      </w:pPr>
      <w:r>
        <w:rPr>
          <w:b/>
          <w:color w:val="231F20"/>
          <w:w w:val="105"/>
          <w:sz w:val="19"/>
        </w:rPr>
        <w:t>Cuadro 6.Qué tipo de violencia ha sufrido alguno de tus amigos: agresión material (robo)</w:t>
      </w:r>
    </w:p>
    <w:p>
      <w:pPr>
        <w:pStyle w:val="BodyText"/>
        <w:spacing w:before="10"/>
        <w:rPr>
          <w:b/>
          <w:sz w:val="18"/>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07"/>
        <w:gridCol w:w="1486"/>
        <w:gridCol w:w="1685"/>
        <w:gridCol w:w="622"/>
      </w:tblGrid>
      <w:tr>
        <w:trPr>
          <w:trHeight w:val="874" w:hRule="exact"/>
        </w:trPr>
        <w:tc>
          <w:tcPr>
            <w:tcW w:w="2107" w:type="dxa"/>
            <w:tcBorders>
              <w:top w:val="single" w:sz="12" w:space="0" w:color="231F20"/>
              <w:left w:val="single" w:sz="12" w:space="0" w:color="231F20"/>
              <w:bottom w:val="single" w:sz="12" w:space="0" w:color="231F20"/>
              <w:right w:val="single" w:sz="12" w:space="0" w:color="231F20"/>
            </w:tcBorders>
          </w:tcPr>
          <w:p>
            <w:pPr/>
          </w:p>
        </w:tc>
        <w:tc>
          <w:tcPr>
            <w:tcW w:w="3170" w:type="dxa"/>
            <w:gridSpan w:val="2"/>
            <w:tcBorders>
              <w:top w:val="single" w:sz="12" w:space="0" w:color="231F20"/>
              <w:left w:val="single" w:sz="12" w:space="0" w:color="231F20"/>
              <w:bottom w:val="single" w:sz="2" w:space="0" w:color="231F20"/>
              <w:right w:val="single" w:sz="2" w:space="0" w:color="231F20"/>
            </w:tcBorders>
          </w:tcPr>
          <w:p>
            <w:pPr>
              <w:pStyle w:val="TableParagraph"/>
              <w:spacing w:line="295" w:lineRule="auto" w:before="158"/>
              <w:ind w:left="210" w:right="221" w:hanging="1"/>
              <w:jc w:val="center"/>
              <w:rPr>
                <w:b/>
                <w:sz w:val="17"/>
              </w:rPr>
            </w:pPr>
            <w:r>
              <w:rPr>
                <w:b/>
                <w:color w:val="231F20"/>
                <w:w w:val="105"/>
                <w:sz w:val="17"/>
              </w:rPr>
              <w:t>Qué tipo de violencia ha sufrido al- guno de tus amigos: agresión mate- </w:t>
            </w:r>
            <w:r>
              <w:rPr>
                <w:b/>
                <w:color w:val="231F20"/>
                <w:sz w:val="17"/>
              </w:rPr>
              <w:t>rial(robo) 1s,2n</w:t>
            </w:r>
          </w:p>
        </w:tc>
        <w:tc>
          <w:tcPr>
            <w:tcW w:w="622" w:type="dxa"/>
            <w:tcBorders>
              <w:top w:val="single" w:sz="12" w:space="0" w:color="231F20"/>
              <w:left w:val="single" w:sz="2" w:space="0" w:color="231F20"/>
              <w:bottom w:val="single" w:sz="2" w:space="0" w:color="231F20"/>
              <w:right w:val="single" w:sz="12" w:space="0" w:color="231F20"/>
            </w:tcBorders>
          </w:tcPr>
          <w:p>
            <w:pPr>
              <w:pStyle w:val="TableParagraph"/>
              <w:ind w:left="0"/>
              <w:rPr>
                <w:b/>
                <w:sz w:val="18"/>
              </w:rPr>
            </w:pPr>
          </w:p>
          <w:p>
            <w:pPr>
              <w:pStyle w:val="TableParagraph"/>
              <w:ind w:left="0"/>
              <w:rPr>
                <w:b/>
                <w:sz w:val="18"/>
              </w:rPr>
            </w:pPr>
          </w:p>
          <w:p>
            <w:pPr>
              <w:pStyle w:val="TableParagraph"/>
              <w:spacing w:before="5"/>
              <w:ind w:left="0"/>
              <w:rPr>
                <w:b/>
                <w:sz w:val="19"/>
              </w:rPr>
            </w:pPr>
          </w:p>
          <w:p>
            <w:pPr>
              <w:pStyle w:val="TableParagraph"/>
              <w:ind w:left="84" w:right="74"/>
              <w:jc w:val="center"/>
              <w:rPr>
                <w:b/>
                <w:sz w:val="17"/>
              </w:rPr>
            </w:pPr>
            <w:r>
              <w:rPr>
                <w:b/>
                <w:color w:val="231F20"/>
                <w:w w:val="105"/>
                <w:sz w:val="17"/>
              </w:rPr>
              <w:t>Total</w:t>
            </w:r>
          </w:p>
        </w:tc>
      </w:tr>
      <w:tr>
        <w:trPr>
          <w:trHeight w:val="398" w:hRule="exact"/>
        </w:trPr>
        <w:tc>
          <w:tcPr>
            <w:tcW w:w="2107" w:type="dxa"/>
            <w:tcBorders>
              <w:top w:val="single" w:sz="12" w:space="0" w:color="231F20"/>
              <w:left w:val="single" w:sz="12" w:space="0" w:color="231F20"/>
              <w:bottom w:val="single" w:sz="12" w:space="0" w:color="231F20"/>
              <w:right w:val="single" w:sz="12" w:space="0" w:color="231F20"/>
            </w:tcBorders>
          </w:tcPr>
          <w:p>
            <w:pPr/>
          </w:p>
        </w:tc>
        <w:tc>
          <w:tcPr>
            <w:tcW w:w="1486" w:type="dxa"/>
            <w:tcBorders>
              <w:top w:val="single" w:sz="2" w:space="0" w:color="231F20"/>
              <w:left w:val="single" w:sz="12" w:space="0" w:color="231F20"/>
              <w:bottom w:val="single" w:sz="12" w:space="0" w:color="231F20"/>
              <w:right w:val="single" w:sz="2" w:space="0" w:color="231F20"/>
            </w:tcBorders>
          </w:tcPr>
          <w:p>
            <w:pPr>
              <w:pStyle w:val="TableParagraph"/>
              <w:spacing w:before="2"/>
              <w:ind w:left="0"/>
              <w:rPr>
                <w:b/>
                <w:sz w:val="15"/>
              </w:rPr>
            </w:pPr>
          </w:p>
          <w:p>
            <w:pPr>
              <w:pStyle w:val="TableParagraph"/>
              <w:ind w:left="656"/>
              <w:rPr>
                <w:b/>
                <w:sz w:val="17"/>
              </w:rPr>
            </w:pPr>
            <w:r>
              <w:rPr>
                <w:b/>
                <w:color w:val="231F20"/>
                <w:sz w:val="17"/>
              </w:rPr>
              <w:t>Sí</w:t>
            </w:r>
          </w:p>
        </w:tc>
        <w:tc>
          <w:tcPr>
            <w:tcW w:w="1685" w:type="dxa"/>
            <w:tcBorders>
              <w:top w:val="single" w:sz="2" w:space="0" w:color="231F20"/>
              <w:left w:val="single" w:sz="2" w:space="0" w:color="231F20"/>
              <w:bottom w:val="single" w:sz="12" w:space="0" w:color="231F20"/>
              <w:right w:val="single" w:sz="2" w:space="0" w:color="231F20"/>
            </w:tcBorders>
          </w:tcPr>
          <w:p>
            <w:pPr>
              <w:pStyle w:val="TableParagraph"/>
              <w:spacing w:before="2"/>
              <w:ind w:left="0"/>
              <w:rPr>
                <w:b/>
                <w:sz w:val="15"/>
              </w:rPr>
            </w:pPr>
          </w:p>
          <w:p>
            <w:pPr>
              <w:pStyle w:val="TableParagraph"/>
              <w:ind w:left="701" w:right="699"/>
              <w:jc w:val="center"/>
              <w:rPr>
                <w:b/>
                <w:sz w:val="17"/>
              </w:rPr>
            </w:pPr>
            <w:r>
              <w:rPr>
                <w:b/>
                <w:color w:val="231F20"/>
                <w:w w:val="115"/>
                <w:sz w:val="17"/>
              </w:rPr>
              <w:t>No</w:t>
            </w:r>
          </w:p>
        </w:tc>
        <w:tc>
          <w:tcPr>
            <w:tcW w:w="622" w:type="dxa"/>
            <w:tcBorders>
              <w:top w:val="single" w:sz="2" w:space="0" w:color="231F20"/>
              <w:left w:val="single" w:sz="2" w:space="0" w:color="231F20"/>
              <w:bottom w:val="single" w:sz="12" w:space="0" w:color="231F20"/>
              <w:right w:val="single" w:sz="12" w:space="0" w:color="231F20"/>
            </w:tcBorders>
          </w:tcPr>
          <w:p>
            <w:pPr>
              <w:pStyle w:val="TableParagraph"/>
              <w:spacing w:before="2"/>
              <w:ind w:left="0"/>
              <w:rPr>
                <w:b/>
                <w:sz w:val="15"/>
              </w:rPr>
            </w:pPr>
          </w:p>
          <w:p>
            <w:pPr>
              <w:pStyle w:val="TableParagraph"/>
              <w:ind w:left="82" w:right="74"/>
              <w:jc w:val="center"/>
              <w:rPr>
                <w:b/>
                <w:sz w:val="17"/>
              </w:rPr>
            </w:pPr>
            <w:r>
              <w:rPr>
                <w:b/>
                <w:color w:val="231F20"/>
                <w:sz w:val="17"/>
              </w:rPr>
              <w:t>Sí</w:t>
            </w:r>
          </w:p>
        </w:tc>
      </w:tr>
      <w:tr>
        <w:trPr>
          <w:trHeight w:val="459" w:hRule="exact"/>
        </w:trPr>
        <w:tc>
          <w:tcPr>
            <w:tcW w:w="2107" w:type="dxa"/>
            <w:tcBorders>
              <w:top w:val="single" w:sz="12" w:space="0" w:color="231F20"/>
              <w:left w:val="single" w:sz="4" w:space="0" w:color="231F20"/>
              <w:right w:val="single" w:sz="4" w:space="0" w:color="231F20"/>
            </w:tcBorders>
          </w:tcPr>
          <w:p>
            <w:pPr>
              <w:pStyle w:val="TableParagraph"/>
              <w:spacing w:before="153"/>
              <w:ind w:left="86"/>
              <w:rPr>
                <w:sz w:val="17"/>
              </w:rPr>
            </w:pPr>
            <w:r>
              <w:rPr>
                <w:color w:val="231F20"/>
                <w:sz w:val="17"/>
              </w:rPr>
              <w:t>Carrera</w:t>
            </w:r>
          </w:p>
        </w:tc>
        <w:tc>
          <w:tcPr>
            <w:tcW w:w="1486" w:type="dxa"/>
            <w:tcBorders>
              <w:top w:val="single" w:sz="12" w:space="0" w:color="231F20"/>
              <w:left w:val="single" w:sz="4" w:space="0" w:color="231F20"/>
              <w:right w:val="single" w:sz="2" w:space="0" w:color="231F20"/>
            </w:tcBorders>
          </w:tcPr>
          <w:p>
            <w:pPr>
              <w:pStyle w:val="TableParagraph"/>
              <w:spacing w:before="153"/>
              <w:ind w:left="660"/>
              <w:rPr>
                <w:sz w:val="17"/>
              </w:rPr>
            </w:pPr>
            <w:r>
              <w:rPr>
                <w:color w:val="231F20"/>
                <w:sz w:val="17"/>
              </w:rPr>
              <w:t>10</w:t>
            </w:r>
          </w:p>
        </w:tc>
        <w:tc>
          <w:tcPr>
            <w:tcW w:w="1685" w:type="dxa"/>
            <w:tcBorders>
              <w:top w:val="single" w:sz="12" w:space="0" w:color="231F20"/>
              <w:left w:val="single" w:sz="2" w:space="0" w:color="231F20"/>
              <w:right w:val="single" w:sz="2" w:space="0" w:color="231F20"/>
            </w:tcBorders>
          </w:tcPr>
          <w:p>
            <w:pPr>
              <w:pStyle w:val="TableParagraph"/>
              <w:spacing w:before="153"/>
              <w:ind w:left="0"/>
              <w:jc w:val="center"/>
              <w:rPr>
                <w:sz w:val="17"/>
              </w:rPr>
            </w:pPr>
            <w:r>
              <w:rPr>
                <w:color w:val="231F20"/>
                <w:w w:val="97"/>
                <w:sz w:val="17"/>
              </w:rPr>
              <w:t>0</w:t>
            </w:r>
          </w:p>
        </w:tc>
        <w:tc>
          <w:tcPr>
            <w:tcW w:w="622" w:type="dxa"/>
            <w:tcBorders>
              <w:top w:val="single" w:sz="12" w:space="0" w:color="231F20"/>
              <w:left w:val="single" w:sz="2" w:space="0" w:color="231F20"/>
            </w:tcBorders>
          </w:tcPr>
          <w:p>
            <w:pPr>
              <w:pStyle w:val="TableParagraph"/>
              <w:spacing w:before="153"/>
              <w:ind w:left="203" w:right="205"/>
              <w:jc w:val="center"/>
              <w:rPr>
                <w:sz w:val="17"/>
              </w:rPr>
            </w:pPr>
            <w:r>
              <w:rPr>
                <w:color w:val="231F20"/>
                <w:sz w:val="17"/>
              </w:rPr>
              <w:t>10</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sz w:val="17"/>
              </w:rPr>
              <w:t>Administración</w:t>
            </w:r>
          </w:p>
        </w:tc>
        <w:tc>
          <w:tcPr>
            <w:tcW w:w="1486" w:type="dxa"/>
            <w:tcBorders>
              <w:left w:val="single" w:sz="4" w:space="0" w:color="231F20"/>
              <w:right w:val="single" w:sz="2" w:space="0" w:color="231F20"/>
            </w:tcBorders>
          </w:tcPr>
          <w:p>
            <w:pPr>
              <w:pStyle w:val="TableParagraph"/>
              <w:spacing w:before="68"/>
              <w:ind w:left="702"/>
              <w:rPr>
                <w:sz w:val="17"/>
              </w:rPr>
            </w:pPr>
            <w:r>
              <w:rPr>
                <w:color w:val="231F20"/>
                <w:w w:val="97"/>
                <w:sz w:val="17"/>
              </w:rPr>
              <w:t>7</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0</w:t>
            </w:r>
          </w:p>
        </w:tc>
        <w:tc>
          <w:tcPr>
            <w:tcW w:w="622" w:type="dxa"/>
            <w:tcBorders>
              <w:left w:val="single" w:sz="2" w:space="0" w:color="231F20"/>
            </w:tcBorders>
          </w:tcPr>
          <w:p>
            <w:pPr>
              <w:pStyle w:val="TableParagraph"/>
              <w:spacing w:before="68"/>
              <w:ind w:left="0" w:right="3"/>
              <w:jc w:val="center"/>
              <w:rPr>
                <w:sz w:val="17"/>
              </w:rPr>
            </w:pPr>
            <w:r>
              <w:rPr>
                <w:color w:val="231F20"/>
                <w:w w:val="97"/>
                <w:sz w:val="17"/>
              </w:rPr>
              <w:t>7</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sz w:val="17"/>
              </w:rPr>
              <w:t>Arquitectura</w:t>
            </w:r>
          </w:p>
        </w:tc>
        <w:tc>
          <w:tcPr>
            <w:tcW w:w="1486" w:type="dxa"/>
            <w:tcBorders>
              <w:left w:val="single" w:sz="4" w:space="0" w:color="231F20"/>
              <w:right w:val="single" w:sz="2" w:space="0" w:color="231F20"/>
            </w:tcBorders>
          </w:tcPr>
          <w:p>
            <w:pPr>
              <w:pStyle w:val="TableParagraph"/>
              <w:spacing w:before="68"/>
              <w:ind w:left="660"/>
              <w:rPr>
                <w:sz w:val="17"/>
              </w:rPr>
            </w:pPr>
            <w:r>
              <w:rPr>
                <w:color w:val="231F20"/>
                <w:sz w:val="17"/>
              </w:rPr>
              <w:t>42</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0</w:t>
            </w:r>
          </w:p>
        </w:tc>
        <w:tc>
          <w:tcPr>
            <w:tcW w:w="622" w:type="dxa"/>
            <w:tcBorders>
              <w:left w:val="single" w:sz="2" w:space="0" w:color="231F20"/>
            </w:tcBorders>
          </w:tcPr>
          <w:p>
            <w:pPr>
              <w:pStyle w:val="TableParagraph"/>
              <w:spacing w:before="68"/>
              <w:ind w:left="203" w:right="205"/>
              <w:jc w:val="center"/>
              <w:rPr>
                <w:sz w:val="17"/>
              </w:rPr>
            </w:pPr>
            <w:r>
              <w:rPr>
                <w:color w:val="231F20"/>
                <w:sz w:val="17"/>
              </w:rPr>
              <w:t>42</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sz w:val="17"/>
              </w:rPr>
              <w:t>Biología</w:t>
            </w:r>
          </w:p>
        </w:tc>
        <w:tc>
          <w:tcPr>
            <w:tcW w:w="1486" w:type="dxa"/>
            <w:tcBorders>
              <w:left w:val="single" w:sz="4" w:space="0" w:color="231F20"/>
              <w:right w:val="single" w:sz="2" w:space="0" w:color="231F20"/>
            </w:tcBorders>
          </w:tcPr>
          <w:p>
            <w:pPr>
              <w:pStyle w:val="TableParagraph"/>
              <w:spacing w:before="68"/>
              <w:ind w:left="702"/>
              <w:rPr>
                <w:sz w:val="17"/>
              </w:rPr>
            </w:pPr>
            <w:r>
              <w:rPr>
                <w:color w:val="231F20"/>
                <w:w w:val="97"/>
                <w:sz w:val="17"/>
              </w:rPr>
              <w:t>9</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0</w:t>
            </w:r>
          </w:p>
        </w:tc>
        <w:tc>
          <w:tcPr>
            <w:tcW w:w="622" w:type="dxa"/>
            <w:tcBorders>
              <w:left w:val="single" w:sz="2" w:space="0" w:color="231F20"/>
            </w:tcBorders>
          </w:tcPr>
          <w:p>
            <w:pPr>
              <w:pStyle w:val="TableParagraph"/>
              <w:spacing w:before="68"/>
              <w:ind w:left="0" w:right="3"/>
              <w:jc w:val="center"/>
              <w:rPr>
                <w:sz w:val="17"/>
              </w:rPr>
            </w:pPr>
            <w:r>
              <w:rPr>
                <w:color w:val="231F20"/>
                <w:w w:val="97"/>
                <w:sz w:val="17"/>
              </w:rPr>
              <w:t>9</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sz w:val="17"/>
              </w:rPr>
              <w:t>Ciencias de la Educación</w:t>
            </w:r>
          </w:p>
        </w:tc>
        <w:tc>
          <w:tcPr>
            <w:tcW w:w="1486" w:type="dxa"/>
            <w:tcBorders>
              <w:left w:val="single" w:sz="4" w:space="0" w:color="231F20"/>
              <w:right w:val="single" w:sz="2" w:space="0" w:color="231F20"/>
            </w:tcBorders>
          </w:tcPr>
          <w:p>
            <w:pPr>
              <w:pStyle w:val="TableParagraph"/>
              <w:spacing w:before="68"/>
              <w:ind w:left="660"/>
              <w:rPr>
                <w:sz w:val="17"/>
              </w:rPr>
            </w:pPr>
            <w:r>
              <w:rPr>
                <w:color w:val="231F20"/>
                <w:sz w:val="17"/>
              </w:rPr>
              <w:t>30</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0</w:t>
            </w:r>
          </w:p>
        </w:tc>
        <w:tc>
          <w:tcPr>
            <w:tcW w:w="622" w:type="dxa"/>
            <w:tcBorders>
              <w:left w:val="single" w:sz="2" w:space="0" w:color="231F20"/>
            </w:tcBorders>
          </w:tcPr>
          <w:p>
            <w:pPr>
              <w:pStyle w:val="TableParagraph"/>
              <w:spacing w:before="68"/>
              <w:ind w:left="203" w:right="205"/>
              <w:jc w:val="center"/>
              <w:rPr>
                <w:sz w:val="17"/>
              </w:rPr>
            </w:pPr>
            <w:r>
              <w:rPr>
                <w:color w:val="231F20"/>
                <w:sz w:val="17"/>
              </w:rPr>
              <w:t>30</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sz w:val="17"/>
              </w:rPr>
              <w:t>Cirujano dentista</w:t>
            </w:r>
          </w:p>
        </w:tc>
        <w:tc>
          <w:tcPr>
            <w:tcW w:w="1486" w:type="dxa"/>
            <w:tcBorders>
              <w:left w:val="single" w:sz="4" w:space="0" w:color="231F20"/>
              <w:right w:val="single" w:sz="2" w:space="0" w:color="231F20"/>
            </w:tcBorders>
          </w:tcPr>
          <w:p>
            <w:pPr>
              <w:pStyle w:val="TableParagraph"/>
              <w:spacing w:before="68"/>
              <w:ind w:left="660"/>
              <w:rPr>
                <w:sz w:val="17"/>
              </w:rPr>
            </w:pPr>
            <w:r>
              <w:rPr>
                <w:color w:val="231F20"/>
                <w:sz w:val="17"/>
              </w:rPr>
              <w:t>18</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0</w:t>
            </w:r>
          </w:p>
        </w:tc>
        <w:tc>
          <w:tcPr>
            <w:tcW w:w="622" w:type="dxa"/>
            <w:tcBorders>
              <w:left w:val="single" w:sz="2" w:space="0" w:color="231F20"/>
            </w:tcBorders>
          </w:tcPr>
          <w:p>
            <w:pPr>
              <w:pStyle w:val="TableParagraph"/>
              <w:spacing w:before="68"/>
              <w:ind w:left="203" w:right="205"/>
              <w:jc w:val="center"/>
              <w:rPr>
                <w:sz w:val="17"/>
              </w:rPr>
            </w:pPr>
            <w:r>
              <w:rPr>
                <w:color w:val="231F20"/>
                <w:sz w:val="17"/>
              </w:rPr>
              <w:t>18</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sz w:val="17"/>
              </w:rPr>
              <w:t>Computación</w:t>
            </w:r>
          </w:p>
        </w:tc>
        <w:tc>
          <w:tcPr>
            <w:tcW w:w="1486" w:type="dxa"/>
            <w:tcBorders>
              <w:left w:val="single" w:sz="4" w:space="0" w:color="231F20"/>
              <w:right w:val="single" w:sz="2" w:space="0" w:color="231F20"/>
            </w:tcBorders>
          </w:tcPr>
          <w:p>
            <w:pPr>
              <w:pStyle w:val="TableParagraph"/>
              <w:spacing w:before="68"/>
              <w:ind w:left="702"/>
              <w:rPr>
                <w:sz w:val="17"/>
              </w:rPr>
            </w:pPr>
            <w:r>
              <w:rPr>
                <w:color w:val="231F20"/>
                <w:w w:val="97"/>
                <w:sz w:val="17"/>
              </w:rPr>
              <w:t>8</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0</w:t>
            </w:r>
          </w:p>
        </w:tc>
        <w:tc>
          <w:tcPr>
            <w:tcW w:w="622" w:type="dxa"/>
            <w:tcBorders>
              <w:left w:val="single" w:sz="2" w:space="0" w:color="231F20"/>
            </w:tcBorders>
          </w:tcPr>
          <w:p>
            <w:pPr>
              <w:pStyle w:val="TableParagraph"/>
              <w:spacing w:before="68"/>
              <w:ind w:left="0" w:right="3"/>
              <w:jc w:val="center"/>
              <w:rPr>
                <w:sz w:val="17"/>
              </w:rPr>
            </w:pPr>
            <w:r>
              <w:rPr>
                <w:color w:val="231F20"/>
                <w:w w:val="97"/>
                <w:sz w:val="17"/>
              </w:rPr>
              <w:t>8</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sz w:val="17"/>
              </w:rPr>
              <w:t>Contaduría Pública</w:t>
            </w:r>
          </w:p>
        </w:tc>
        <w:tc>
          <w:tcPr>
            <w:tcW w:w="1486" w:type="dxa"/>
            <w:tcBorders>
              <w:left w:val="single" w:sz="4" w:space="0" w:color="231F20"/>
              <w:right w:val="single" w:sz="2" w:space="0" w:color="231F20"/>
            </w:tcBorders>
          </w:tcPr>
          <w:p>
            <w:pPr>
              <w:pStyle w:val="TableParagraph"/>
              <w:spacing w:before="68"/>
              <w:ind w:left="660"/>
              <w:rPr>
                <w:sz w:val="17"/>
              </w:rPr>
            </w:pPr>
            <w:r>
              <w:rPr>
                <w:color w:val="231F20"/>
                <w:sz w:val="17"/>
              </w:rPr>
              <w:t>32</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0</w:t>
            </w:r>
          </w:p>
        </w:tc>
        <w:tc>
          <w:tcPr>
            <w:tcW w:w="622" w:type="dxa"/>
            <w:tcBorders>
              <w:left w:val="single" w:sz="2" w:space="0" w:color="231F20"/>
            </w:tcBorders>
          </w:tcPr>
          <w:p>
            <w:pPr>
              <w:pStyle w:val="TableParagraph"/>
              <w:spacing w:before="68"/>
              <w:ind w:left="203" w:right="205"/>
              <w:jc w:val="center"/>
              <w:rPr>
                <w:sz w:val="17"/>
              </w:rPr>
            </w:pPr>
            <w:r>
              <w:rPr>
                <w:color w:val="231F20"/>
                <w:sz w:val="17"/>
              </w:rPr>
              <w:t>32</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w w:val="105"/>
                <w:sz w:val="17"/>
              </w:rPr>
              <w:t>Derecho</w:t>
            </w:r>
          </w:p>
        </w:tc>
        <w:tc>
          <w:tcPr>
            <w:tcW w:w="1486" w:type="dxa"/>
            <w:tcBorders>
              <w:left w:val="single" w:sz="4" w:space="0" w:color="231F20"/>
              <w:right w:val="single" w:sz="2" w:space="0" w:color="231F20"/>
            </w:tcBorders>
          </w:tcPr>
          <w:p>
            <w:pPr>
              <w:pStyle w:val="TableParagraph"/>
              <w:spacing w:before="68"/>
              <w:ind w:left="660"/>
              <w:rPr>
                <w:sz w:val="17"/>
              </w:rPr>
            </w:pPr>
            <w:r>
              <w:rPr>
                <w:color w:val="231F20"/>
                <w:sz w:val="17"/>
              </w:rPr>
              <w:t>36</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4</w:t>
            </w:r>
          </w:p>
        </w:tc>
        <w:tc>
          <w:tcPr>
            <w:tcW w:w="622" w:type="dxa"/>
            <w:tcBorders>
              <w:left w:val="single" w:sz="2" w:space="0" w:color="231F20"/>
            </w:tcBorders>
          </w:tcPr>
          <w:p>
            <w:pPr>
              <w:pStyle w:val="TableParagraph"/>
              <w:spacing w:before="68"/>
              <w:ind w:left="203" w:right="205"/>
              <w:jc w:val="center"/>
              <w:rPr>
                <w:sz w:val="17"/>
              </w:rPr>
            </w:pPr>
            <w:r>
              <w:rPr>
                <w:color w:val="231F20"/>
                <w:sz w:val="17"/>
              </w:rPr>
              <w:t>40</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sz w:val="17"/>
              </w:rPr>
              <w:t>Economía</w:t>
            </w:r>
          </w:p>
        </w:tc>
        <w:tc>
          <w:tcPr>
            <w:tcW w:w="1486" w:type="dxa"/>
            <w:tcBorders>
              <w:left w:val="single" w:sz="4" w:space="0" w:color="231F20"/>
              <w:right w:val="single" w:sz="2" w:space="0" w:color="231F20"/>
            </w:tcBorders>
          </w:tcPr>
          <w:p>
            <w:pPr>
              <w:pStyle w:val="TableParagraph"/>
              <w:spacing w:before="68"/>
              <w:ind w:left="702"/>
              <w:rPr>
                <w:sz w:val="17"/>
              </w:rPr>
            </w:pPr>
            <w:r>
              <w:rPr>
                <w:color w:val="231F20"/>
                <w:w w:val="97"/>
                <w:sz w:val="17"/>
              </w:rPr>
              <w:t>8</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0</w:t>
            </w:r>
          </w:p>
        </w:tc>
        <w:tc>
          <w:tcPr>
            <w:tcW w:w="622" w:type="dxa"/>
            <w:tcBorders>
              <w:left w:val="single" w:sz="2" w:space="0" w:color="231F20"/>
            </w:tcBorders>
          </w:tcPr>
          <w:p>
            <w:pPr>
              <w:pStyle w:val="TableParagraph"/>
              <w:spacing w:before="68"/>
              <w:ind w:left="0" w:right="3"/>
              <w:jc w:val="center"/>
              <w:rPr>
                <w:sz w:val="17"/>
              </w:rPr>
            </w:pPr>
            <w:r>
              <w:rPr>
                <w:color w:val="231F20"/>
                <w:w w:val="97"/>
                <w:sz w:val="17"/>
              </w:rPr>
              <w:t>8</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sz w:val="17"/>
              </w:rPr>
              <w:t>Enfermería y Obstetricia</w:t>
            </w:r>
          </w:p>
        </w:tc>
        <w:tc>
          <w:tcPr>
            <w:tcW w:w="1486" w:type="dxa"/>
            <w:tcBorders>
              <w:left w:val="single" w:sz="4" w:space="0" w:color="231F20"/>
              <w:right w:val="single" w:sz="2" w:space="0" w:color="231F20"/>
            </w:tcBorders>
          </w:tcPr>
          <w:p>
            <w:pPr>
              <w:pStyle w:val="TableParagraph"/>
              <w:spacing w:before="68"/>
              <w:ind w:left="660"/>
              <w:rPr>
                <w:sz w:val="17"/>
              </w:rPr>
            </w:pPr>
            <w:r>
              <w:rPr>
                <w:color w:val="231F20"/>
                <w:sz w:val="17"/>
              </w:rPr>
              <w:t>15</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0</w:t>
            </w:r>
          </w:p>
        </w:tc>
        <w:tc>
          <w:tcPr>
            <w:tcW w:w="622" w:type="dxa"/>
            <w:tcBorders>
              <w:left w:val="single" w:sz="2" w:space="0" w:color="231F20"/>
            </w:tcBorders>
          </w:tcPr>
          <w:p>
            <w:pPr>
              <w:pStyle w:val="TableParagraph"/>
              <w:spacing w:before="68"/>
              <w:ind w:left="203" w:right="205"/>
              <w:jc w:val="center"/>
              <w:rPr>
                <w:sz w:val="17"/>
              </w:rPr>
            </w:pPr>
            <w:r>
              <w:rPr>
                <w:color w:val="231F20"/>
                <w:sz w:val="17"/>
              </w:rPr>
              <w:t>15</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sz w:val="17"/>
              </w:rPr>
              <w:t>Física</w:t>
            </w:r>
          </w:p>
        </w:tc>
        <w:tc>
          <w:tcPr>
            <w:tcW w:w="1486" w:type="dxa"/>
            <w:tcBorders>
              <w:left w:val="single" w:sz="4" w:space="0" w:color="231F20"/>
              <w:right w:val="single" w:sz="2" w:space="0" w:color="231F20"/>
            </w:tcBorders>
          </w:tcPr>
          <w:p>
            <w:pPr>
              <w:pStyle w:val="TableParagraph"/>
              <w:spacing w:before="68"/>
              <w:ind w:left="702"/>
              <w:rPr>
                <w:sz w:val="17"/>
              </w:rPr>
            </w:pPr>
            <w:r>
              <w:rPr>
                <w:color w:val="231F20"/>
                <w:w w:val="97"/>
                <w:sz w:val="17"/>
              </w:rPr>
              <w:t>2</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0</w:t>
            </w:r>
          </w:p>
        </w:tc>
        <w:tc>
          <w:tcPr>
            <w:tcW w:w="622" w:type="dxa"/>
            <w:tcBorders>
              <w:left w:val="single" w:sz="2" w:space="0" w:color="231F20"/>
              <w:right w:val="single" w:sz="12" w:space="0" w:color="231F20"/>
            </w:tcBorders>
          </w:tcPr>
          <w:p>
            <w:pPr>
              <w:pStyle w:val="TableParagraph"/>
              <w:spacing w:before="68"/>
              <w:ind w:left="8"/>
              <w:jc w:val="center"/>
              <w:rPr>
                <w:sz w:val="17"/>
              </w:rPr>
            </w:pPr>
            <w:r>
              <w:rPr>
                <w:color w:val="231F20"/>
                <w:w w:val="97"/>
                <w:sz w:val="17"/>
              </w:rPr>
              <w:t>2</w:t>
            </w:r>
          </w:p>
        </w:tc>
      </w:tr>
      <w:tr>
        <w:trPr>
          <w:trHeight w:val="600" w:hRule="exact"/>
        </w:trPr>
        <w:tc>
          <w:tcPr>
            <w:tcW w:w="2107" w:type="dxa"/>
            <w:tcBorders>
              <w:left w:val="single" w:sz="4" w:space="0" w:color="231F20"/>
              <w:right w:val="single" w:sz="4" w:space="0" w:color="231F20"/>
            </w:tcBorders>
          </w:tcPr>
          <w:p>
            <w:pPr>
              <w:pStyle w:val="TableParagraph"/>
              <w:spacing w:line="295" w:lineRule="auto" w:before="68"/>
              <w:ind w:left="86"/>
              <w:rPr>
                <w:sz w:val="17"/>
              </w:rPr>
            </w:pPr>
            <w:r>
              <w:rPr>
                <w:color w:val="231F20"/>
                <w:sz w:val="17"/>
              </w:rPr>
              <w:t>Medicina veterinaria y Zootecnia</w:t>
            </w:r>
          </w:p>
        </w:tc>
        <w:tc>
          <w:tcPr>
            <w:tcW w:w="1486" w:type="dxa"/>
            <w:tcBorders>
              <w:left w:val="single" w:sz="4" w:space="0" w:color="231F20"/>
              <w:right w:val="single" w:sz="2" w:space="0" w:color="231F20"/>
            </w:tcBorders>
          </w:tcPr>
          <w:p>
            <w:pPr>
              <w:pStyle w:val="TableParagraph"/>
              <w:spacing w:before="4"/>
              <w:ind w:left="0"/>
              <w:rPr>
                <w:b/>
                <w:sz w:val="16"/>
              </w:rPr>
            </w:pPr>
          </w:p>
          <w:p>
            <w:pPr>
              <w:pStyle w:val="TableParagraph"/>
              <w:ind w:left="660"/>
              <w:rPr>
                <w:sz w:val="17"/>
              </w:rPr>
            </w:pPr>
            <w:r>
              <w:rPr>
                <w:color w:val="231F20"/>
                <w:sz w:val="17"/>
              </w:rPr>
              <w:t>18</w:t>
            </w:r>
          </w:p>
        </w:tc>
        <w:tc>
          <w:tcPr>
            <w:tcW w:w="1685" w:type="dxa"/>
            <w:tcBorders>
              <w:left w:val="single" w:sz="2" w:space="0" w:color="231F20"/>
              <w:right w:val="single" w:sz="2" w:space="0" w:color="231F20"/>
            </w:tcBorders>
          </w:tcPr>
          <w:p>
            <w:pPr>
              <w:pStyle w:val="TableParagraph"/>
              <w:spacing w:before="4"/>
              <w:ind w:left="0"/>
              <w:rPr>
                <w:b/>
                <w:sz w:val="16"/>
              </w:rPr>
            </w:pPr>
          </w:p>
          <w:p>
            <w:pPr>
              <w:pStyle w:val="TableParagraph"/>
              <w:ind w:left="0"/>
              <w:jc w:val="center"/>
              <w:rPr>
                <w:sz w:val="17"/>
              </w:rPr>
            </w:pPr>
            <w:r>
              <w:rPr>
                <w:color w:val="231F20"/>
                <w:w w:val="97"/>
                <w:sz w:val="17"/>
              </w:rPr>
              <w:t>0</w:t>
            </w:r>
          </w:p>
        </w:tc>
        <w:tc>
          <w:tcPr>
            <w:tcW w:w="622" w:type="dxa"/>
            <w:tcBorders>
              <w:left w:val="single" w:sz="2" w:space="0" w:color="231F20"/>
              <w:right w:val="single" w:sz="12" w:space="0" w:color="231F20"/>
            </w:tcBorders>
          </w:tcPr>
          <w:p>
            <w:pPr>
              <w:pStyle w:val="TableParagraph"/>
              <w:spacing w:before="4"/>
              <w:ind w:left="0"/>
              <w:rPr>
                <w:b/>
                <w:sz w:val="16"/>
              </w:rPr>
            </w:pPr>
          </w:p>
          <w:p>
            <w:pPr>
              <w:pStyle w:val="TableParagraph"/>
              <w:ind w:left="83" w:right="74"/>
              <w:jc w:val="center"/>
              <w:rPr>
                <w:sz w:val="17"/>
              </w:rPr>
            </w:pPr>
            <w:r>
              <w:rPr>
                <w:color w:val="231F20"/>
                <w:sz w:val="17"/>
              </w:rPr>
              <w:t>18</w:t>
            </w:r>
          </w:p>
        </w:tc>
      </w:tr>
      <w:tr>
        <w:trPr>
          <w:trHeight w:val="360" w:hRule="exact"/>
        </w:trPr>
        <w:tc>
          <w:tcPr>
            <w:tcW w:w="2107" w:type="dxa"/>
            <w:tcBorders>
              <w:left w:val="single" w:sz="4" w:space="0" w:color="231F20"/>
              <w:right w:val="single" w:sz="4" w:space="0" w:color="231F20"/>
            </w:tcBorders>
          </w:tcPr>
          <w:p>
            <w:pPr>
              <w:pStyle w:val="TableParagraph"/>
              <w:spacing w:before="68"/>
              <w:ind w:left="86"/>
              <w:rPr>
                <w:sz w:val="17"/>
              </w:rPr>
            </w:pPr>
            <w:r>
              <w:rPr>
                <w:color w:val="231F20"/>
                <w:sz w:val="17"/>
              </w:rPr>
              <w:t>Odontología</w:t>
            </w:r>
          </w:p>
        </w:tc>
        <w:tc>
          <w:tcPr>
            <w:tcW w:w="1486" w:type="dxa"/>
            <w:tcBorders>
              <w:left w:val="single" w:sz="4" w:space="0" w:color="231F20"/>
              <w:right w:val="single" w:sz="2" w:space="0" w:color="231F20"/>
            </w:tcBorders>
          </w:tcPr>
          <w:p>
            <w:pPr>
              <w:pStyle w:val="TableParagraph"/>
              <w:spacing w:before="68"/>
              <w:ind w:left="660"/>
              <w:rPr>
                <w:sz w:val="17"/>
              </w:rPr>
            </w:pPr>
            <w:r>
              <w:rPr>
                <w:color w:val="231F20"/>
                <w:sz w:val="17"/>
              </w:rPr>
              <w:t>18</w:t>
            </w:r>
          </w:p>
        </w:tc>
        <w:tc>
          <w:tcPr>
            <w:tcW w:w="1685" w:type="dxa"/>
            <w:tcBorders>
              <w:left w:val="single" w:sz="2" w:space="0" w:color="231F20"/>
              <w:right w:val="single" w:sz="2" w:space="0" w:color="231F20"/>
            </w:tcBorders>
          </w:tcPr>
          <w:p>
            <w:pPr>
              <w:pStyle w:val="TableParagraph"/>
              <w:spacing w:before="68"/>
              <w:ind w:left="0"/>
              <w:jc w:val="center"/>
              <w:rPr>
                <w:sz w:val="17"/>
              </w:rPr>
            </w:pPr>
            <w:r>
              <w:rPr>
                <w:color w:val="231F20"/>
                <w:w w:val="97"/>
                <w:sz w:val="17"/>
              </w:rPr>
              <w:t>0</w:t>
            </w:r>
          </w:p>
        </w:tc>
        <w:tc>
          <w:tcPr>
            <w:tcW w:w="622" w:type="dxa"/>
            <w:tcBorders>
              <w:left w:val="single" w:sz="2" w:space="0" w:color="231F20"/>
              <w:right w:val="single" w:sz="12" w:space="0" w:color="231F20"/>
            </w:tcBorders>
          </w:tcPr>
          <w:p>
            <w:pPr>
              <w:pStyle w:val="TableParagraph"/>
              <w:spacing w:before="68"/>
              <w:ind w:left="83" w:right="74"/>
              <w:jc w:val="center"/>
              <w:rPr>
                <w:sz w:val="17"/>
              </w:rPr>
            </w:pPr>
            <w:r>
              <w:rPr>
                <w:color w:val="231F20"/>
                <w:sz w:val="17"/>
              </w:rPr>
              <w:t>18</w:t>
            </w:r>
          </w:p>
        </w:tc>
      </w:tr>
      <w:tr>
        <w:trPr>
          <w:trHeight w:val="520" w:hRule="exact"/>
        </w:trPr>
        <w:tc>
          <w:tcPr>
            <w:tcW w:w="2107" w:type="dxa"/>
            <w:tcBorders>
              <w:left w:val="single" w:sz="4" w:space="0" w:color="231F20"/>
              <w:bottom w:val="single" w:sz="4" w:space="0" w:color="231F20"/>
              <w:right w:val="single" w:sz="4" w:space="0" w:color="231F20"/>
            </w:tcBorders>
          </w:tcPr>
          <w:p>
            <w:pPr>
              <w:pStyle w:val="TableParagraph"/>
              <w:spacing w:line="295" w:lineRule="auto" w:before="68"/>
              <w:ind w:left="86"/>
              <w:rPr>
                <w:sz w:val="17"/>
              </w:rPr>
            </w:pPr>
            <w:r>
              <w:rPr>
                <w:color w:val="231F20"/>
                <w:sz w:val="17"/>
              </w:rPr>
              <w:t>Químico Biólogo Farma- céutico</w:t>
            </w:r>
          </w:p>
        </w:tc>
        <w:tc>
          <w:tcPr>
            <w:tcW w:w="1486" w:type="dxa"/>
            <w:tcBorders>
              <w:left w:val="single" w:sz="4" w:space="0" w:color="231F20"/>
              <w:bottom w:val="single" w:sz="4" w:space="0" w:color="231F20"/>
              <w:right w:val="single" w:sz="2" w:space="0" w:color="231F20"/>
            </w:tcBorders>
          </w:tcPr>
          <w:p>
            <w:pPr>
              <w:pStyle w:val="TableParagraph"/>
              <w:spacing w:before="4"/>
              <w:ind w:left="0"/>
              <w:rPr>
                <w:b/>
                <w:sz w:val="16"/>
              </w:rPr>
            </w:pPr>
          </w:p>
          <w:p>
            <w:pPr>
              <w:pStyle w:val="TableParagraph"/>
              <w:ind w:left="660"/>
              <w:rPr>
                <w:sz w:val="17"/>
              </w:rPr>
            </w:pPr>
            <w:r>
              <w:rPr>
                <w:color w:val="231F20"/>
                <w:sz w:val="17"/>
              </w:rPr>
              <w:t>15</w:t>
            </w:r>
          </w:p>
        </w:tc>
        <w:tc>
          <w:tcPr>
            <w:tcW w:w="1685" w:type="dxa"/>
            <w:tcBorders>
              <w:left w:val="single" w:sz="2" w:space="0" w:color="231F20"/>
              <w:bottom w:val="single" w:sz="4" w:space="0" w:color="231F20"/>
              <w:right w:val="single" w:sz="2" w:space="0" w:color="231F20"/>
            </w:tcBorders>
          </w:tcPr>
          <w:p>
            <w:pPr>
              <w:pStyle w:val="TableParagraph"/>
              <w:spacing w:before="4"/>
              <w:ind w:left="0"/>
              <w:rPr>
                <w:b/>
                <w:sz w:val="16"/>
              </w:rPr>
            </w:pPr>
          </w:p>
          <w:p>
            <w:pPr>
              <w:pStyle w:val="TableParagraph"/>
              <w:ind w:left="0"/>
              <w:jc w:val="center"/>
              <w:rPr>
                <w:sz w:val="17"/>
              </w:rPr>
            </w:pPr>
            <w:r>
              <w:rPr>
                <w:color w:val="231F20"/>
                <w:w w:val="97"/>
                <w:sz w:val="17"/>
              </w:rPr>
              <w:t>1</w:t>
            </w:r>
          </w:p>
        </w:tc>
        <w:tc>
          <w:tcPr>
            <w:tcW w:w="622" w:type="dxa"/>
            <w:tcBorders>
              <w:left w:val="single" w:sz="2" w:space="0" w:color="231F20"/>
              <w:bottom w:val="single" w:sz="4" w:space="0" w:color="231F20"/>
              <w:right w:val="single" w:sz="12" w:space="0" w:color="231F20"/>
            </w:tcBorders>
          </w:tcPr>
          <w:p>
            <w:pPr>
              <w:pStyle w:val="TableParagraph"/>
              <w:spacing w:before="4"/>
              <w:ind w:left="0"/>
              <w:rPr>
                <w:b/>
                <w:sz w:val="16"/>
              </w:rPr>
            </w:pPr>
          </w:p>
          <w:p>
            <w:pPr>
              <w:pStyle w:val="TableParagraph"/>
              <w:ind w:left="83" w:right="74"/>
              <w:jc w:val="center"/>
              <w:rPr>
                <w:sz w:val="17"/>
              </w:rPr>
            </w:pPr>
            <w:r>
              <w:rPr>
                <w:color w:val="231F20"/>
                <w:sz w:val="17"/>
              </w:rPr>
              <w:t>16</w:t>
            </w:r>
          </w:p>
        </w:tc>
      </w:tr>
      <w:tr>
        <w:trPr>
          <w:trHeight w:val="374" w:hRule="exact"/>
        </w:trPr>
        <w:tc>
          <w:tcPr>
            <w:tcW w:w="2107" w:type="dxa"/>
            <w:tcBorders>
              <w:top w:val="single" w:sz="4" w:space="0" w:color="231F20"/>
              <w:left w:val="single" w:sz="4" w:space="0" w:color="231F20"/>
              <w:bottom w:val="single" w:sz="4" w:space="0" w:color="231F20"/>
              <w:right w:val="single" w:sz="4" w:space="0" w:color="231F20"/>
            </w:tcBorders>
          </w:tcPr>
          <w:p>
            <w:pPr>
              <w:pStyle w:val="TableParagraph"/>
              <w:spacing w:before="153"/>
              <w:ind w:left="86"/>
              <w:rPr>
                <w:b/>
                <w:sz w:val="17"/>
              </w:rPr>
            </w:pPr>
            <w:r>
              <w:rPr>
                <w:b/>
                <w:color w:val="231F20"/>
                <w:w w:val="105"/>
                <w:sz w:val="17"/>
              </w:rPr>
              <w:t>Total</w:t>
            </w:r>
          </w:p>
        </w:tc>
        <w:tc>
          <w:tcPr>
            <w:tcW w:w="1486" w:type="dxa"/>
            <w:tcBorders>
              <w:top w:val="single" w:sz="4" w:space="0" w:color="231F20"/>
              <w:left w:val="single" w:sz="4" w:space="0" w:color="231F20"/>
              <w:bottom w:val="single" w:sz="4" w:space="0" w:color="231F20"/>
              <w:right w:val="single" w:sz="2" w:space="0" w:color="231F20"/>
            </w:tcBorders>
          </w:tcPr>
          <w:p>
            <w:pPr>
              <w:pStyle w:val="TableParagraph"/>
              <w:spacing w:before="153"/>
              <w:ind w:left="610"/>
              <w:rPr>
                <w:b/>
                <w:sz w:val="17"/>
              </w:rPr>
            </w:pPr>
            <w:r>
              <w:rPr>
                <w:b/>
                <w:color w:val="231F20"/>
                <w:sz w:val="17"/>
              </w:rPr>
              <w:t>268</w:t>
            </w:r>
          </w:p>
        </w:tc>
        <w:tc>
          <w:tcPr>
            <w:tcW w:w="1685" w:type="dxa"/>
            <w:tcBorders>
              <w:top w:val="single" w:sz="4" w:space="0" w:color="231F20"/>
              <w:left w:val="single" w:sz="2" w:space="0" w:color="231F20"/>
              <w:bottom w:val="single" w:sz="4" w:space="0" w:color="231F20"/>
              <w:right w:val="single" w:sz="2" w:space="0" w:color="231F20"/>
            </w:tcBorders>
          </w:tcPr>
          <w:p>
            <w:pPr>
              <w:pStyle w:val="TableParagraph"/>
              <w:spacing w:before="153"/>
              <w:ind w:left="0"/>
              <w:jc w:val="center"/>
              <w:rPr>
                <w:b/>
                <w:sz w:val="17"/>
              </w:rPr>
            </w:pPr>
            <w:r>
              <w:rPr>
                <w:b/>
                <w:color w:val="231F20"/>
                <w:w w:val="97"/>
                <w:sz w:val="17"/>
              </w:rPr>
              <w:t>5</w:t>
            </w:r>
          </w:p>
        </w:tc>
        <w:tc>
          <w:tcPr>
            <w:tcW w:w="622" w:type="dxa"/>
            <w:tcBorders>
              <w:top w:val="single" w:sz="4" w:space="0" w:color="231F20"/>
              <w:left w:val="single" w:sz="2" w:space="0" w:color="231F20"/>
              <w:bottom w:val="single" w:sz="4" w:space="0" w:color="231F20"/>
              <w:right w:val="single" w:sz="4" w:space="0" w:color="231F20"/>
            </w:tcBorders>
          </w:tcPr>
          <w:p>
            <w:pPr>
              <w:pStyle w:val="TableParagraph"/>
              <w:spacing w:before="153"/>
              <w:ind w:left="159" w:right="159"/>
              <w:jc w:val="center"/>
              <w:rPr>
                <w:b/>
                <w:sz w:val="17"/>
              </w:rPr>
            </w:pPr>
            <w:r>
              <w:rPr>
                <w:b/>
                <w:color w:val="231F20"/>
                <w:sz w:val="17"/>
              </w:rPr>
              <w:t>273</w:t>
            </w:r>
          </w:p>
        </w:tc>
      </w:tr>
    </w:tbl>
    <w:p>
      <w:pPr>
        <w:spacing w:after="0"/>
        <w:jc w:val="center"/>
        <w:rPr>
          <w:sz w:val="17"/>
        </w:rPr>
        <w:sectPr>
          <w:headerReference w:type="default" r:id="rId868"/>
          <w:footerReference w:type="default" r:id="rId869"/>
          <w:pgSz w:w="7830" w:h="11910"/>
          <w:pgMar w:header="0" w:footer="424" w:top="500" w:bottom="620" w:left="900" w:right="760"/>
          <w:pgNumType w:start="392"/>
        </w:sectPr>
      </w:pPr>
    </w:p>
    <w:p>
      <w:pPr>
        <w:spacing w:before="46"/>
        <w:ind w:left="12" w:right="9"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line="273" w:lineRule="auto" w:before="111"/>
        <w:ind w:left="125" w:right="120" w:firstLine="0"/>
        <w:jc w:val="center"/>
        <w:rPr>
          <w:b/>
          <w:sz w:val="19"/>
        </w:rPr>
      </w:pPr>
      <w:r>
        <w:rPr>
          <w:b/>
          <w:color w:val="231F20"/>
          <w:w w:val="105"/>
          <w:sz w:val="19"/>
        </w:rPr>
        <w:t>Cuadro 7.Qué tipo de violencia has sufrido tú: agresión sexual (aco- so, violación)</w:t>
      </w:r>
    </w:p>
    <w:p>
      <w:pPr>
        <w:pStyle w:val="BodyText"/>
        <w:spacing w:before="10"/>
        <w:rPr>
          <w:b/>
          <w:sz w:val="18"/>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6"/>
        <w:gridCol w:w="1366"/>
        <w:gridCol w:w="1190"/>
        <w:gridCol w:w="823"/>
      </w:tblGrid>
      <w:tr>
        <w:trPr>
          <w:trHeight w:val="874" w:hRule="exact"/>
        </w:trPr>
        <w:tc>
          <w:tcPr>
            <w:tcW w:w="2376" w:type="dxa"/>
            <w:tcBorders>
              <w:top w:val="single" w:sz="12" w:space="0" w:color="231F20"/>
              <w:left w:val="single" w:sz="12" w:space="0" w:color="231F20"/>
              <w:bottom w:val="single" w:sz="12" w:space="0" w:color="231F20"/>
              <w:right w:val="single" w:sz="12" w:space="0" w:color="231F20"/>
            </w:tcBorders>
          </w:tcPr>
          <w:p>
            <w:pPr/>
          </w:p>
        </w:tc>
        <w:tc>
          <w:tcPr>
            <w:tcW w:w="2556" w:type="dxa"/>
            <w:gridSpan w:val="2"/>
            <w:tcBorders>
              <w:top w:val="single" w:sz="12" w:space="0" w:color="231F20"/>
              <w:left w:val="single" w:sz="12" w:space="0" w:color="231F20"/>
              <w:bottom w:val="single" w:sz="2" w:space="0" w:color="231F20"/>
              <w:right w:val="single" w:sz="2" w:space="0" w:color="231F20"/>
            </w:tcBorders>
          </w:tcPr>
          <w:p>
            <w:pPr>
              <w:pStyle w:val="TableParagraph"/>
              <w:spacing w:line="295" w:lineRule="auto" w:before="158"/>
              <w:ind w:left="262" w:right="272" w:hanging="2"/>
              <w:jc w:val="center"/>
              <w:rPr>
                <w:b/>
                <w:sz w:val="17"/>
              </w:rPr>
            </w:pPr>
            <w:r>
              <w:rPr>
                <w:b/>
                <w:color w:val="231F20"/>
                <w:w w:val="105"/>
                <w:sz w:val="17"/>
              </w:rPr>
              <w:t>Qué tipo de violencia has sufrido tú: agresión</w:t>
            </w:r>
            <w:r>
              <w:rPr>
                <w:b/>
                <w:color w:val="231F20"/>
                <w:spacing w:val="-24"/>
                <w:w w:val="105"/>
                <w:sz w:val="17"/>
              </w:rPr>
              <w:t> </w:t>
            </w:r>
            <w:r>
              <w:rPr>
                <w:b/>
                <w:color w:val="231F20"/>
                <w:w w:val="105"/>
                <w:sz w:val="17"/>
              </w:rPr>
              <w:t>sexual (acoso,</w:t>
            </w:r>
            <w:r>
              <w:rPr>
                <w:b/>
                <w:color w:val="231F20"/>
                <w:spacing w:val="24"/>
                <w:w w:val="105"/>
                <w:sz w:val="17"/>
              </w:rPr>
              <w:t> </w:t>
            </w:r>
            <w:r>
              <w:rPr>
                <w:b/>
                <w:color w:val="231F20"/>
                <w:w w:val="105"/>
                <w:sz w:val="17"/>
              </w:rPr>
              <w:t>violación)</w:t>
            </w:r>
          </w:p>
        </w:tc>
        <w:tc>
          <w:tcPr>
            <w:tcW w:w="823" w:type="dxa"/>
            <w:tcBorders>
              <w:top w:val="single" w:sz="12" w:space="0" w:color="231F20"/>
              <w:left w:val="single" w:sz="2" w:space="0" w:color="231F20"/>
              <w:bottom w:val="single" w:sz="2" w:space="0" w:color="231F20"/>
              <w:right w:val="single" w:sz="12" w:space="0" w:color="231F20"/>
            </w:tcBorders>
          </w:tcPr>
          <w:p>
            <w:pPr>
              <w:pStyle w:val="TableParagraph"/>
              <w:ind w:left="0"/>
              <w:rPr>
                <w:b/>
                <w:sz w:val="18"/>
              </w:rPr>
            </w:pPr>
          </w:p>
          <w:p>
            <w:pPr>
              <w:pStyle w:val="TableParagraph"/>
              <w:ind w:left="0"/>
              <w:rPr>
                <w:b/>
                <w:sz w:val="18"/>
              </w:rPr>
            </w:pPr>
          </w:p>
          <w:p>
            <w:pPr>
              <w:pStyle w:val="TableParagraph"/>
              <w:spacing w:before="5"/>
              <w:ind w:left="0"/>
              <w:rPr>
                <w:b/>
                <w:sz w:val="19"/>
              </w:rPr>
            </w:pPr>
          </w:p>
          <w:p>
            <w:pPr>
              <w:pStyle w:val="TableParagraph"/>
              <w:ind w:left="185" w:right="173"/>
              <w:jc w:val="center"/>
              <w:rPr>
                <w:b/>
                <w:sz w:val="17"/>
              </w:rPr>
            </w:pPr>
            <w:r>
              <w:rPr>
                <w:b/>
                <w:color w:val="231F20"/>
                <w:w w:val="105"/>
                <w:sz w:val="17"/>
              </w:rPr>
              <w:t>Total</w:t>
            </w:r>
          </w:p>
        </w:tc>
      </w:tr>
      <w:tr>
        <w:trPr>
          <w:trHeight w:val="854" w:hRule="exact"/>
        </w:trPr>
        <w:tc>
          <w:tcPr>
            <w:tcW w:w="2376" w:type="dxa"/>
            <w:tcBorders>
              <w:top w:val="single" w:sz="12" w:space="0" w:color="231F20"/>
              <w:left w:val="single" w:sz="12" w:space="0" w:color="231F20"/>
              <w:bottom w:val="single" w:sz="4" w:space="0" w:color="231F20"/>
              <w:right w:val="single" w:sz="12" w:space="0" w:color="231F20"/>
            </w:tcBorders>
          </w:tcPr>
          <w:p>
            <w:pPr/>
          </w:p>
        </w:tc>
        <w:tc>
          <w:tcPr>
            <w:tcW w:w="1366" w:type="dxa"/>
            <w:tcBorders>
              <w:top w:val="single" w:sz="2" w:space="0" w:color="231F20"/>
              <w:left w:val="single" w:sz="12" w:space="0" w:color="231F20"/>
              <w:bottom w:val="single" w:sz="12" w:space="0" w:color="231F20"/>
              <w:right w:val="single" w:sz="2" w:space="0" w:color="231F20"/>
            </w:tcBorders>
          </w:tcPr>
          <w:p>
            <w:pPr>
              <w:pStyle w:val="TableParagraph"/>
              <w:ind w:left="0"/>
              <w:rPr>
                <w:b/>
                <w:sz w:val="18"/>
              </w:rPr>
            </w:pPr>
          </w:p>
          <w:p>
            <w:pPr>
              <w:pStyle w:val="TableParagraph"/>
              <w:ind w:left="0"/>
              <w:rPr>
                <w:b/>
                <w:sz w:val="18"/>
              </w:rPr>
            </w:pPr>
          </w:p>
          <w:p>
            <w:pPr>
              <w:pStyle w:val="TableParagraph"/>
              <w:spacing w:before="8"/>
              <w:ind w:left="0"/>
              <w:rPr>
                <w:b/>
                <w:sz w:val="19"/>
              </w:rPr>
            </w:pPr>
          </w:p>
          <w:p>
            <w:pPr>
              <w:pStyle w:val="TableParagraph"/>
              <w:ind w:left="525" w:right="534"/>
              <w:jc w:val="center"/>
              <w:rPr>
                <w:b/>
                <w:sz w:val="17"/>
              </w:rPr>
            </w:pPr>
            <w:r>
              <w:rPr>
                <w:b/>
                <w:color w:val="231F20"/>
                <w:sz w:val="17"/>
              </w:rPr>
              <w:t>Sí</w:t>
            </w:r>
          </w:p>
        </w:tc>
        <w:tc>
          <w:tcPr>
            <w:tcW w:w="1190" w:type="dxa"/>
            <w:tcBorders>
              <w:top w:val="single" w:sz="2" w:space="0" w:color="231F20"/>
              <w:left w:val="single" w:sz="2" w:space="0" w:color="231F20"/>
              <w:bottom w:val="single" w:sz="12" w:space="0" w:color="231F20"/>
              <w:right w:val="single" w:sz="2" w:space="0" w:color="231F20"/>
            </w:tcBorders>
          </w:tcPr>
          <w:p>
            <w:pPr>
              <w:pStyle w:val="TableParagraph"/>
              <w:ind w:left="0"/>
              <w:rPr>
                <w:b/>
                <w:sz w:val="18"/>
              </w:rPr>
            </w:pPr>
          </w:p>
          <w:p>
            <w:pPr>
              <w:pStyle w:val="TableParagraph"/>
              <w:ind w:left="0"/>
              <w:rPr>
                <w:b/>
                <w:sz w:val="18"/>
              </w:rPr>
            </w:pPr>
          </w:p>
          <w:p>
            <w:pPr>
              <w:pStyle w:val="TableParagraph"/>
              <w:spacing w:before="8"/>
              <w:ind w:left="0"/>
              <w:rPr>
                <w:b/>
                <w:sz w:val="19"/>
              </w:rPr>
            </w:pPr>
          </w:p>
          <w:p>
            <w:pPr>
              <w:pStyle w:val="TableParagraph"/>
              <w:ind w:left="458" w:right="448"/>
              <w:jc w:val="center"/>
              <w:rPr>
                <w:b/>
                <w:sz w:val="17"/>
              </w:rPr>
            </w:pPr>
            <w:r>
              <w:rPr>
                <w:b/>
                <w:color w:val="231F20"/>
                <w:w w:val="115"/>
                <w:sz w:val="17"/>
              </w:rPr>
              <w:t>No</w:t>
            </w:r>
          </w:p>
        </w:tc>
        <w:tc>
          <w:tcPr>
            <w:tcW w:w="823" w:type="dxa"/>
            <w:tcBorders>
              <w:top w:val="single" w:sz="2" w:space="0" w:color="231F20"/>
              <w:left w:val="single" w:sz="2" w:space="0" w:color="231F20"/>
              <w:bottom w:val="single" w:sz="12" w:space="0" w:color="231F20"/>
              <w:right w:val="single" w:sz="12" w:space="0" w:color="231F20"/>
            </w:tcBorders>
          </w:tcPr>
          <w:p>
            <w:pPr>
              <w:pStyle w:val="TableParagraph"/>
              <w:ind w:left="0"/>
              <w:rPr>
                <w:b/>
                <w:sz w:val="18"/>
              </w:rPr>
            </w:pPr>
          </w:p>
          <w:p>
            <w:pPr>
              <w:pStyle w:val="TableParagraph"/>
              <w:ind w:left="0"/>
              <w:rPr>
                <w:b/>
                <w:sz w:val="18"/>
              </w:rPr>
            </w:pPr>
          </w:p>
          <w:p>
            <w:pPr>
              <w:pStyle w:val="TableParagraph"/>
              <w:spacing w:before="8"/>
              <w:ind w:left="0"/>
              <w:rPr>
                <w:b/>
                <w:sz w:val="19"/>
              </w:rPr>
            </w:pPr>
          </w:p>
          <w:p>
            <w:pPr>
              <w:pStyle w:val="TableParagraph"/>
              <w:ind w:left="184" w:right="173"/>
              <w:jc w:val="center"/>
              <w:rPr>
                <w:b/>
                <w:sz w:val="17"/>
              </w:rPr>
            </w:pPr>
            <w:r>
              <w:rPr>
                <w:b/>
                <w:color w:val="231F20"/>
                <w:sz w:val="17"/>
              </w:rPr>
              <w:t>Sí</w:t>
            </w:r>
          </w:p>
        </w:tc>
      </w:tr>
      <w:tr>
        <w:trPr>
          <w:trHeight w:val="469" w:hRule="exact"/>
        </w:trPr>
        <w:tc>
          <w:tcPr>
            <w:tcW w:w="2376" w:type="dxa"/>
            <w:tcBorders>
              <w:top w:val="single" w:sz="4" w:space="0" w:color="231F20"/>
              <w:left w:val="single" w:sz="4" w:space="0" w:color="231F20"/>
              <w:right w:val="single" w:sz="4" w:space="0" w:color="231F20"/>
            </w:tcBorders>
          </w:tcPr>
          <w:p>
            <w:pPr>
              <w:pStyle w:val="TableParagraph"/>
              <w:ind w:left="0"/>
              <w:rPr>
                <w:b/>
                <w:sz w:val="15"/>
              </w:rPr>
            </w:pPr>
          </w:p>
          <w:p>
            <w:pPr>
              <w:pStyle w:val="TableParagraph"/>
              <w:ind w:left="86" w:right="90"/>
              <w:rPr>
                <w:sz w:val="17"/>
              </w:rPr>
            </w:pPr>
            <w:r>
              <w:rPr>
                <w:color w:val="231F20"/>
                <w:sz w:val="17"/>
              </w:rPr>
              <w:t>Arquitectura</w:t>
            </w:r>
          </w:p>
        </w:tc>
        <w:tc>
          <w:tcPr>
            <w:tcW w:w="1366" w:type="dxa"/>
            <w:tcBorders>
              <w:top w:val="single" w:sz="12" w:space="0" w:color="231F20"/>
              <w:left w:val="single" w:sz="4" w:space="0" w:color="231F20"/>
              <w:right w:val="single" w:sz="2" w:space="0" w:color="231F20"/>
            </w:tcBorders>
          </w:tcPr>
          <w:p>
            <w:pPr>
              <w:pStyle w:val="TableParagraph"/>
              <w:spacing w:before="1"/>
              <w:ind w:left="0"/>
              <w:rPr>
                <w:b/>
                <w:sz w:val="14"/>
              </w:rPr>
            </w:pPr>
          </w:p>
          <w:p>
            <w:pPr>
              <w:pStyle w:val="TableParagraph"/>
              <w:spacing w:before="1"/>
              <w:ind w:left="0"/>
              <w:jc w:val="center"/>
              <w:rPr>
                <w:sz w:val="17"/>
              </w:rPr>
            </w:pPr>
            <w:r>
              <w:rPr>
                <w:color w:val="231F20"/>
                <w:w w:val="97"/>
                <w:sz w:val="17"/>
              </w:rPr>
              <w:t>8</w:t>
            </w:r>
          </w:p>
        </w:tc>
        <w:tc>
          <w:tcPr>
            <w:tcW w:w="1190" w:type="dxa"/>
            <w:tcBorders>
              <w:top w:val="single" w:sz="12" w:space="0" w:color="231F20"/>
              <w:left w:val="single" w:sz="2" w:space="0" w:color="231F20"/>
              <w:right w:val="single" w:sz="2" w:space="0" w:color="231F20"/>
            </w:tcBorders>
          </w:tcPr>
          <w:p>
            <w:pPr>
              <w:pStyle w:val="TableParagraph"/>
              <w:spacing w:before="1"/>
              <w:ind w:left="0"/>
              <w:rPr>
                <w:b/>
                <w:sz w:val="14"/>
              </w:rPr>
            </w:pPr>
          </w:p>
          <w:p>
            <w:pPr>
              <w:pStyle w:val="TableParagraph"/>
              <w:spacing w:before="1"/>
              <w:ind w:left="8"/>
              <w:jc w:val="center"/>
              <w:rPr>
                <w:sz w:val="17"/>
              </w:rPr>
            </w:pPr>
            <w:r>
              <w:rPr>
                <w:color w:val="231F20"/>
                <w:w w:val="97"/>
                <w:sz w:val="17"/>
              </w:rPr>
              <w:t>0</w:t>
            </w:r>
          </w:p>
        </w:tc>
        <w:tc>
          <w:tcPr>
            <w:tcW w:w="823" w:type="dxa"/>
            <w:tcBorders>
              <w:top w:val="single" w:sz="12" w:space="0" w:color="231F20"/>
              <w:left w:val="single" w:sz="2" w:space="0" w:color="231F20"/>
              <w:right w:val="single" w:sz="12" w:space="0" w:color="231F20"/>
            </w:tcBorders>
          </w:tcPr>
          <w:p>
            <w:pPr>
              <w:pStyle w:val="TableParagraph"/>
              <w:spacing w:before="1"/>
              <w:ind w:left="0"/>
              <w:rPr>
                <w:b/>
                <w:sz w:val="14"/>
              </w:rPr>
            </w:pPr>
          </w:p>
          <w:p>
            <w:pPr>
              <w:pStyle w:val="TableParagraph"/>
              <w:spacing w:before="1"/>
              <w:ind w:left="10"/>
              <w:jc w:val="center"/>
              <w:rPr>
                <w:sz w:val="17"/>
              </w:rPr>
            </w:pPr>
            <w:r>
              <w:rPr>
                <w:color w:val="231F20"/>
                <w:w w:val="97"/>
                <w:sz w:val="17"/>
              </w:rPr>
              <w:t>8</w:t>
            </w:r>
          </w:p>
        </w:tc>
      </w:tr>
      <w:tr>
        <w:trPr>
          <w:trHeight w:val="360" w:hRule="exact"/>
        </w:trPr>
        <w:tc>
          <w:tcPr>
            <w:tcW w:w="2376" w:type="dxa"/>
            <w:tcBorders>
              <w:left w:val="single" w:sz="4" w:space="0" w:color="231F20"/>
              <w:right w:val="single" w:sz="4" w:space="0" w:color="231F20"/>
            </w:tcBorders>
          </w:tcPr>
          <w:p>
            <w:pPr>
              <w:pStyle w:val="TableParagraph"/>
              <w:spacing w:before="68"/>
              <w:ind w:left="86" w:right="90"/>
              <w:rPr>
                <w:sz w:val="17"/>
              </w:rPr>
            </w:pPr>
            <w:r>
              <w:rPr>
                <w:color w:val="231F20"/>
                <w:sz w:val="17"/>
              </w:rPr>
              <w:t>Ciencias de la Educación</w:t>
            </w:r>
          </w:p>
        </w:tc>
        <w:tc>
          <w:tcPr>
            <w:tcW w:w="1366" w:type="dxa"/>
            <w:tcBorders>
              <w:left w:val="single" w:sz="4" w:space="0" w:color="231F20"/>
              <w:right w:val="single" w:sz="2" w:space="0" w:color="231F20"/>
            </w:tcBorders>
          </w:tcPr>
          <w:p>
            <w:pPr>
              <w:pStyle w:val="TableParagraph"/>
              <w:spacing w:before="68"/>
              <w:ind w:left="0"/>
              <w:jc w:val="center"/>
              <w:rPr>
                <w:sz w:val="17"/>
              </w:rPr>
            </w:pPr>
            <w:r>
              <w:rPr>
                <w:color w:val="231F20"/>
                <w:w w:val="97"/>
                <w:sz w:val="17"/>
              </w:rPr>
              <w:t>2</w:t>
            </w:r>
          </w:p>
        </w:tc>
        <w:tc>
          <w:tcPr>
            <w:tcW w:w="1190" w:type="dxa"/>
            <w:tcBorders>
              <w:left w:val="single" w:sz="2" w:space="0" w:color="231F20"/>
              <w:right w:val="single" w:sz="2" w:space="0" w:color="231F20"/>
            </w:tcBorders>
          </w:tcPr>
          <w:p>
            <w:pPr>
              <w:pStyle w:val="TableParagraph"/>
              <w:spacing w:before="68"/>
              <w:ind w:left="8"/>
              <w:jc w:val="center"/>
              <w:rPr>
                <w:sz w:val="17"/>
              </w:rPr>
            </w:pPr>
            <w:r>
              <w:rPr>
                <w:color w:val="231F20"/>
                <w:w w:val="97"/>
                <w:sz w:val="17"/>
              </w:rPr>
              <w:t>0</w:t>
            </w:r>
          </w:p>
        </w:tc>
        <w:tc>
          <w:tcPr>
            <w:tcW w:w="823" w:type="dxa"/>
            <w:tcBorders>
              <w:left w:val="single" w:sz="2" w:space="0" w:color="231F20"/>
              <w:right w:val="single" w:sz="12" w:space="0" w:color="231F20"/>
            </w:tcBorders>
          </w:tcPr>
          <w:p>
            <w:pPr>
              <w:pStyle w:val="TableParagraph"/>
              <w:spacing w:before="68"/>
              <w:ind w:left="10"/>
              <w:jc w:val="center"/>
              <w:rPr>
                <w:sz w:val="17"/>
              </w:rPr>
            </w:pPr>
            <w:r>
              <w:rPr>
                <w:color w:val="231F20"/>
                <w:w w:val="97"/>
                <w:sz w:val="17"/>
              </w:rPr>
              <w:t>2</w:t>
            </w:r>
          </w:p>
        </w:tc>
      </w:tr>
      <w:tr>
        <w:trPr>
          <w:trHeight w:val="360" w:hRule="exact"/>
        </w:trPr>
        <w:tc>
          <w:tcPr>
            <w:tcW w:w="2376" w:type="dxa"/>
            <w:tcBorders>
              <w:left w:val="single" w:sz="4" w:space="0" w:color="231F20"/>
              <w:right w:val="single" w:sz="4" w:space="0" w:color="231F20"/>
            </w:tcBorders>
          </w:tcPr>
          <w:p>
            <w:pPr>
              <w:pStyle w:val="TableParagraph"/>
              <w:spacing w:before="68"/>
              <w:ind w:left="86" w:right="90"/>
              <w:rPr>
                <w:sz w:val="17"/>
              </w:rPr>
            </w:pPr>
            <w:r>
              <w:rPr>
                <w:color w:val="231F20"/>
                <w:sz w:val="17"/>
              </w:rPr>
              <w:t>Cirujano dentista</w:t>
            </w:r>
          </w:p>
        </w:tc>
        <w:tc>
          <w:tcPr>
            <w:tcW w:w="1366" w:type="dxa"/>
            <w:tcBorders>
              <w:left w:val="single" w:sz="4" w:space="0" w:color="231F20"/>
              <w:right w:val="single" w:sz="2" w:space="0" w:color="231F20"/>
            </w:tcBorders>
          </w:tcPr>
          <w:p>
            <w:pPr>
              <w:pStyle w:val="TableParagraph"/>
              <w:spacing w:before="68"/>
              <w:ind w:left="0"/>
              <w:jc w:val="center"/>
              <w:rPr>
                <w:sz w:val="17"/>
              </w:rPr>
            </w:pPr>
            <w:r>
              <w:rPr>
                <w:color w:val="231F20"/>
                <w:w w:val="97"/>
                <w:sz w:val="17"/>
              </w:rPr>
              <w:t>1</w:t>
            </w:r>
          </w:p>
        </w:tc>
        <w:tc>
          <w:tcPr>
            <w:tcW w:w="1190" w:type="dxa"/>
            <w:tcBorders>
              <w:left w:val="single" w:sz="2" w:space="0" w:color="231F20"/>
              <w:right w:val="single" w:sz="2" w:space="0" w:color="231F20"/>
            </w:tcBorders>
          </w:tcPr>
          <w:p>
            <w:pPr>
              <w:pStyle w:val="TableParagraph"/>
              <w:spacing w:before="68"/>
              <w:ind w:left="8"/>
              <w:jc w:val="center"/>
              <w:rPr>
                <w:sz w:val="17"/>
              </w:rPr>
            </w:pPr>
            <w:r>
              <w:rPr>
                <w:color w:val="231F20"/>
                <w:w w:val="97"/>
                <w:sz w:val="17"/>
              </w:rPr>
              <w:t>2</w:t>
            </w:r>
          </w:p>
        </w:tc>
        <w:tc>
          <w:tcPr>
            <w:tcW w:w="823" w:type="dxa"/>
            <w:tcBorders>
              <w:left w:val="single" w:sz="2" w:space="0" w:color="231F20"/>
              <w:right w:val="single" w:sz="12" w:space="0" w:color="231F20"/>
            </w:tcBorders>
          </w:tcPr>
          <w:p>
            <w:pPr>
              <w:pStyle w:val="TableParagraph"/>
              <w:spacing w:before="68"/>
              <w:ind w:left="10"/>
              <w:jc w:val="center"/>
              <w:rPr>
                <w:sz w:val="17"/>
              </w:rPr>
            </w:pPr>
            <w:r>
              <w:rPr>
                <w:color w:val="231F20"/>
                <w:w w:val="97"/>
                <w:sz w:val="17"/>
              </w:rPr>
              <w:t>3</w:t>
            </w:r>
          </w:p>
        </w:tc>
      </w:tr>
      <w:tr>
        <w:trPr>
          <w:trHeight w:val="360" w:hRule="exact"/>
        </w:trPr>
        <w:tc>
          <w:tcPr>
            <w:tcW w:w="2376" w:type="dxa"/>
            <w:tcBorders>
              <w:left w:val="single" w:sz="4" w:space="0" w:color="231F20"/>
              <w:right w:val="single" w:sz="4" w:space="0" w:color="231F20"/>
            </w:tcBorders>
          </w:tcPr>
          <w:p>
            <w:pPr>
              <w:pStyle w:val="TableParagraph"/>
              <w:spacing w:before="68"/>
              <w:ind w:left="86" w:right="90"/>
              <w:rPr>
                <w:sz w:val="17"/>
              </w:rPr>
            </w:pPr>
            <w:r>
              <w:rPr>
                <w:color w:val="231F20"/>
                <w:sz w:val="17"/>
              </w:rPr>
              <w:t>Contaduría Pública</w:t>
            </w:r>
          </w:p>
        </w:tc>
        <w:tc>
          <w:tcPr>
            <w:tcW w:w="1366" w:type="dxa"/>
            <w:tcBorders>
              <w:left w:val="single" w:sz="4" w:space="0" w:color="231F20"/>
              <w:right w:val="single" w:sz="2" w:space="0" w:color="231F20"/>
            </w:tcBorders>
          </w:tcPr>
          <w:p>
            <w:pPr>
              <w:pStyle w:val="TableParagraph"/>
              <w:spacing w:before="68"/>
              <w:ind w:left="0"/>
              <w:jc w:val="center"/>
              <w:rPr>
                <w:sz w:val="17"/>
              </w:rPr>
            </w:pPr>
            <w:r>
              <w:rPr>
                <w:color w:val="231F20"/>
                <w:w w:val="97"/>
                <w:sz w:val="17"/>
              </w:rPr>
              <w:t>2</w:t>
            </w:r>
          </w:p>
        </w:tc>
        <w:tc>
          <w:tcPr>
            <w:tcW w:w="1190" w:type="dxa"/>
            <w:tcBorders>
              <w:left w:val="single" w:sz="2" w:space="0" w:color="231F20"/>
              <w:right w:val="single" w:sz="2" w:space="0" w:color="231F20"/>
            </w:tcBorders>
          </w:tcPr>
          <w:p>
            <w:pPr>
              <w:pStyle w:val="TableParagraph"/>
              <w:spacing w:before="68"/>
              <w:ind w:left="8"/>
              <w:jc w:val="center"/>
              <w:rPr>
                <w:sz w:val="17"/>
              </w:rPr>
            </w:pPr>
            <w:r>
              <w:rPr>
                <w:color w:val="231F20"/>
                <w:w w:val="97"/>
                <w:sz w:val="17"/>
              </w:rPr>
              <w:t>1</w:t>
            </w:r>
          </w:p>
        </w:tc>
        <w:tc>
          <w:tcPr>
            <w:tcW w:w="823" w:type="dxa"/>
            <w:tcBorders>
              <w:left w:val="single" w:sz="2" w:space="0" w:color="231F20"/>
              <w:right w:val="single" w:sz="12" w:space="0" w:color="231F20"/>
            </w:tcBorders>
          </w:tcPr>
          <w:p>
            <w:pPr>
              <w:pStyle w:val="TableParagraph"/>
              <w:spacing w:before="68"/>
              <w:ind w:left="10"/>
              <w:jc w:val="center"/>
              <w:rPr>
                <w:sz w:val="17"/>
              </w:rPr>
            </w:pPr>
            <w:r>
              <w:rPr>
                <w:color w:val="231F20"/>
                <w:w w:val="97"/>
                <w:sz w:val="17"/>
              </w:rPr>
              <w:t>3</w:t>
            </w:r>
          </w:p>
        </w:tc>
      </w:tr>
      <w:tr>
        <w:trPr>
          <w:trHeight w:val="360" w:hRule="exact"/>
        </w:trPr>
        <w:tc>
          <w:tcPr>
            <w:tcW w:w="2376" w:type="dxa"/>
            <w:tcBorders>
              <w:left w:val="single" w:sz="4" w:space="0" w:color="231F20"/>
              <w:right w:val="single" w:sz="4" w:space="0" w:color="231F20"/>
            </w:tcBorders>
          </w:tcPr>
          <w:p>
            <w:pPr>
              <w:pStyle w:val="TableParagraph"/>
              <w:spacing w:before="68"/>
              <w:ind w:left="86" w:right="90"/>
              <w:rPr>
                <w:sz w:val="17"/>
              </w:rPr>
            </w:pPr>
            <w:r>
              <w:rPr>
                <w:color w:val="231F20"/>
                <w:w w:val="105"/>
                <w:sz w:val="17"/>
              </w:rPr>
              <w:t>Derecho</w:t>
            </w:r>
          </w:p>
        </w:tc>
        <w:tc>
          <w:tcPr>
            <w:tcW w:w="1366" w:type="dxa"/>
            <w:tcBorders>
              <w:left w:val="single" w:sz="4" w:space="0" w:color="231F20"/>
              <w:right w:val="single" w:sz="2" w:space="0" w:color="231F20"/>
            </w:tcBorders>
          </w:tcPr>
          <w:p>
            <w:pPr>
              <w:pStyle w:val="TableParagraph"/>
              <w:spacing w:before="68"/>
              <w:ind w:left="550" w:right="551"/>
              <w:jc w:val="center"/>
              <w:rPr>
                <w:sz w:val="17"/>
              </w:rPr>
            </w:pPr>
            <w:r>
              <w:rPr>
                <w:color w:val="231F20"/>
                <w:sz w:val="17"/>
              </w:rPr>
              <w:t>11</w:t>
            </w:r>
          </w:p>
        </w:tc>
        <w:tc>
          <w:tcPr>
            <w:tcW w:w="1190" w:type="dxa"/>
            <w:tcBorders>
              <w:left w:val="single" w:sz="2" w:space="0" w:color="231F20"/>
              <w:right w:val="single" w:sz="2" w:space="0" w:color="231F20"/>
            </w:tcBorders>
          </w:tcPr>
          <w:p>
            <w:pPr>
              <w:pStyle w:val="TableParagraph"/>
              <w:spacing w:before="68"/>
              <w:ind w:left="8"/>
              <w:jc w:val="center"/>
              <w:rPr>
                <w:sz w:val="17"/>
              </w:rPr>
            </w:pPr>
            <w:r>
              <w:rPr>
                <w:color w:val="231F20"/>
                <w:w w:val="97"/>
                <w:sz w:val="17"/>
              </w:rPr>
              <w:t>2</w:t>
            </w:r>
          </w:p>
        </w:tc>
        <w:tc>
          <w:tcPr>
            <w:tcW w:w="823" w:type="dxa"/>
            <w:tcBorders>
              <w:left w:val="single" w:sz="2" w:space="0" w:color="231F20"/>
              <w:right w:val="single" w:sz="12" w:space="0" w:color="231F20"/>
            </w:tcBorders>
          </w:tcPr>
          <w:p>
            <w:pPr>
              <w:pStyle w:val="TableParagraph"/>
              <w:spacing w:before="68"/>
              <w:ind w:left="184" w:right="173"/>
              <w:jc w:val="center"/>
              <w:rPr>
                <w:sz w:val="17"/>
              </w:rPr>
            </w:pPr>
            <w:r>
              <w:rPr>
                <w:color w:val="231F20"/>
                <w:sz w:val="17"/>
              </w:rPr>
              <w:t>13</w:t>
            </w:r>
          </w:p>
        </w:tc>
      </w:tr>
      <w:tr>
        <w:trPr>
          <w:trHeight w:val="360" w:hRule="exact"/>
        </w:trPr>
        <w:tc>
          <w:tcPr>
            <w:tcW w:w="2376" w:type="dxa"/>
            <w:tcBorders>
              <w:left w:val="single" w:sz="4" w:space="0" w:color="231F20"/>
              <w:right w:val="single" w:sz="4" w:space="0" w:color="231F20"/>
            </w:tcBorders>
          </w:tcPr>
          <w:p>
            <w:pPr>
              <w:pStyle w:val="TableParagraph"/>
              <w:spacing w:before="68"/>
              <w:ind w:left="86" w:right="90"/>
              <w:rPr>
                <w:sz w:val="17"/>
              </w:rPr>
            </w:pPr>
            <w:r>
              <w:rPr>
                <w:color w:val="231F20"/>
                <w:sz w:val="17"/>
              </w:rPr>
              <w:t>Enfermería y Obstetricia</w:t>
            </w:r>
          </w:p>
        </w:tc>
        <w:tc>
          <w:tcPr>
            <w:tcW w:w="1366" w:type="dxa"/>
            <w:tcBorders>
              <w:left w:val="single" w:sz="4" w:space="0" w:color="231F20"/>
              <w:right w:val="single" w:sz="2" w:space="0" w:color="231F20"/>
            </w:tcBorders>
          </w:tcPr>
          <w:p>
            <w:pPr>
              <w:pStyle w:val="TableParagraph"/>
              <w:spacing w:before="68"/>
              <w:ind w:left="0"/>
              <w:jc w:val="center"/>
              <w:rPr>
                <w:sz w:val="17"/>
              </w:rPr>
            </w:pPr>
            <w:r>
              <w:rPr>
                <w:color w:val="231F20"/>
                <w:w w:val="97"/>
                <w:sz w:val="17"/>
              </w:rPr>
              <w:t>3</w:t>
            </w:r>
          </w:p>
        </w:tc>
        <w:tc>
          <w:tcPr>
            <w:tcW w:w="1190" w:type="dxa"/>
            <w:tcBorders>
              <w:left w:val="single" w:sz="2" w:space="0" w:color="231F20"/>
              <w:right w:val="single" w:sz="2" w:space="0" w:color="231F20"/>
            </w:tcBorders>
          </w:tcPr>
          <w:p>
            <w:pPr>
              <w:pStyle w:val="TableParagraph"/>
              <w:spacing w:before="68"/>
              <w:ind w:left="8"/>
              <w:jc w:val="center"/>
              <w:rPr>
                <w:sz w:val="17"/>
              </w:rPr>
            </w:pPr>
            <w:r>
              <w:rPr>
                <w:color w:val="231F20"/>
                <w:w w:val="97"/>
                <w:sz w:val="17"/>
              </w:rPr>
              <w:t>0</w:t>
            </w:r>
          </w:p>
        </w:tc>
        <w:tc>
          <w:tcPr>
            <w:tcW w:w="823" w:type="dxa"/>
            <w:tcBorders>
              <w:left w:val="single" w:sz="2" w:space="0" w:color="231F20"/>
              <w:right w:val="single" w:sz="12" w:space="0" w:color="231F20"/>
            </w:tcBorders>
          </w:tcPr>
          <w:p>
            <w:pPr>
              <w:pStyle w:val="TableParagraph"/>
              <w:spacing w:before="68"/>
              <w:ind w:left="10"/>
              <w:jc w:val="center"/>
              <w:rPr>
                <w:sz w:val="17"/>
              </w:rPr>
            </w:pPr>
            <w:r>
              <w:rPr>
                <w:color w:val="231F20"/>
                <w:w w:val="97"/>
                <w:sz w:val="17"/>
              </w:rPr>
              <w:t>3</w:t>
            </w:r>
          </w:p>
        </w:tc>
      </w:tr>
      <w:tr>
        <w:trPr>
          <w:trHeight w:val="360" w:hRule="exact"/>
        </w:trPr>
        <w:tc>
          <w:tcPr>
            <w:tcW w:w="2376" w:type="dxa"/>
            <w:tcBorders>
              <w:left w:val="single" w:sz="4" w:space="0" w:color="231F20"/>
              <w:right w:val="single" w:sz="4" w:space="0" w:color="231F20"/>
            </w:tcBorders>
          </w:tcPr>
          <w:p>
            <w:pPr>
              <w:pStyle w:val="TableParagraph"/>
              <w:spacing w:before="68"/>
              <w:ind w:left="86" w:right="90"/>
              <w:rPr>
                <w:sz w:val="17"/>
              </w:rPr>
            </w:pPr>
            <w:r>
              <w:rPr>
                <w:color w:val="231F20"/>
                <w:sz w:val="17"/>
              </w:rPr>
              <w:t>Física</w:t>
            </w:r>
          </w:p>
        </w:tc>
        <w:tc>
          <w:tcPr>
            <w:tcW w:w="1366" w:type="dxa"/>
            <w:tcBorders>
              <w:left w:val="single" w:sz="4" w:space="0" w:color="231F20"/>
              <w:right w:val="single" w:sz="2" w:space="0" w:color="231F20"/>
            </w:tcBorders>
          </w:tcPr>
          <w:p>
            <w:pPr>
              <w:pStyle w:val="TableParagraph"/>
              <w:spacing w:before="68"/>
              <w:ind w:left="0"/>
              <w:jc w:val="center"/>
              <w:rPr>
                <w:sz w:val="17"/>
              </w:rPr>
            </w:pPr>
            <w:r>
              <w:rPr>
                <w:color w:val="231F20"/>
                <w:w w:val="97"/>
                <w:sz w:val="17"/>
              </w:rPr>
              <w:t>1</w:t>
            </w:r>
          </w:p>
        </w:tc>
        <w:tc>
          <w:tcPr>
            <w:tcW w:w="1190" w:type="dxa"/>
            <w:tcBorders>
              <w:left w:val="single" w:sz="2" w:space="0" w:color="231F20"/>
              <w:right w:val="single" w:sz="2" w:space="0" w:color="231F20"/>
            </w:tcBorders>
          </w:tcPr>
          <w:p>
            <w:pPr>
              <w:pStyle w:val="TableParagraph"/>
              <w:spacing w:before="68"/>
              <w:ind w:left="8"/>
              <w:jc w:val="center"/>
              <w:rPr>
                <w:sz w:val="17"/>
              </w:rPr>
            </w:pPr>
            <w:r>
              <w:rPr>
                <w:color w:val="231F20"/>
                <w:w w:val="97"/>
                <w:sz w:val="17"/>
              </w:rPr>
              <w:t>0</w:t>
            </w:r>
          </w:p>
        </w:tc>
        <w:tc>
          <w:tcPr>
            <w:tcW w:w="823" w:type="dxa"/>
            <w:tcBorders>
              <w:left w:val="single" w:sz="2" w:space="0" w:color="231F20"/>
              <w:right w:val="single" w:sz="12" w:space="0" w:color="231F20"/>
            </w:tcBorders>
          </w:tcPr>
          <w:p>
            <w:pPr>
              <w:pStyle w:val="TableParagraph"/>
              <w:spacing w:before="68"/>
              <w:ind w:left="10"/>
              <w:jc w:val="center"/>
              <w:rPr>
                <w:sz w:val="17"/>
              </w:rPr>
            </w:pPr>
            <w:r>
              <w:rPr>
                <w:color w:val="231F20"/>
                <w:w w:val="97"/>
                <w:sz w:val="17"/>
              </w:rPr>
              <w:t>1</w:t>
            </w:r>
          </w:p>
        </w:tc>
      </w:tr>
      <w:tr>
        <w:trPr>
          <w:trHeight w:val="600" w:hRule="exact"/>
        </w:trPr>
        <w:tc>
          <w:tcPr>
            <w:tcW w:w="2376" w:type="dxa"/>
            <w:tcBorders>
              <w:left w:val="single" w:sz="4" w:space="0" w:color="231F20"/>
              <w:right w:val="single" w:sz="4" w:space="0" w:color="231F20"/>
            </w:tcBorders>
          </w:tcPr>
          <w:p>
            <w:pPr>
              <w:pStyle w:val="TableParagraph"/>
              <w:spacing w:line="295" w:lineRule="auto" w:before="68"/>
              <w:ind w:left="86" w:right="90"/>
              <w:rPr>
                <w:sz w:val="17"/>
              </w:rPr>
            </w:pPr>
            <w:r>
              <w:rPr>
                <w:color w:val="231F20"/>
                <w:sz w:val="17"/>
              </w:rPr>
              <w:t>Medicina veterinaria y Zootec- nia</w:t>
            </w:r>
          </w:p>
        </w:tc>
        <w:tc>
          <w:tcPr>
            <w:tcW w:w="1366" w:type="dxa"/>
            <w:tcBorders>
              <w:left w:val="single" w:sz="4" w:space="0" w:color="231F20"/>
              <w:right w:val="single" w:sz="2" w:space="0" w:color="231F20"/>
            </w:tcBorders>
          </w:tcPr>
          <w:p>
            <w:pPr>
              <w:pStyle w:val="TableParagraph"/>
              <w:spacing w:before="4"/>
              <w:ind w:left="0"/>
              <w:rPr>
                <w:b/>
                <w:sz w:val="16"/>
              </w:rPr>
            </w:pPr>
          </w:p>
          <w:p>
            <w:pPr>
              <w:pStyle w:val="TableParagraph"/>
              <w:ind w:left="0"/>
              <w:jc w:val="center"/>
              <w:rPr>
                <w:sz w:val="17"/>
              </w:rPr>
            </w:pPr>
            <w:r>
              <w:rPr>
                <w:color w:val="231F20"/>
                <w:w w:val="97"/>
                <w:sz w:val="17"/>
              </w:rPr>
              <w:t>1</w:t>
            </w:r>
          </w:p>
        </w:tc>
        <w:tc>
          <w:tcPr>
            <w:tcW w:w="1190" w:type="dxa"/>
            <w:tcBorders>
              <w:left w:val="single" w:sz="2" w:space="0" w:color="231F20"/>
              <w:right w:val="single" w:sz="2" w:space="0" w:color="231F20"/>
            </w:tcBorders>
          </w:tcPr>
          <w:p>
            <w:pPr>
              <w:pStyle w:val="TableParagraph"/>
              <w:spacing w:before="4"/>
              <w:ind w:left="0"/>
              <w:rPr>
                <w:b/>
                <w:sz w:val="16"/>
              </w:rPr>
            </w:pPr>
          </w:p>
          <w:p>
            <w:pPr>
              <w:pStyle w:val="TableParagraph"/>
              <w:ind w:left="8"/>
              <w:jc w:val="center"/>
              <w:rPr>
                <w:sz w:val="17"/>
              </w:rPr>
            </w:pPr>
            <w:r>
              <w:rPr>
                <w:color w:val="231F20"/>
                <w:w w:val="97"/>
                <w:sz w:val="17"/>
              </w:rPr>
              <w:t>0</w:t>
            </w:r>
          </w:p>
        </w:tc>
        <w:tc>
          <w:tcPr>
            <w:tcW w:w="823" w:type="dxa"/>
            <w:tcBorders>
              <w:left w:val="single" w:sz="2" w:space="0" w:color="231F20"/>
              <w:right w:val="single" w:sz="12" w:space="0" w:color="231F20"/>
            </w:tcBorders>
          </w:tcPr>
          <w:p>
            <w:pPr>
              <w:pStyle w:val="TableParagraph"/>
              <w:spacing w:before="4"/>
              <w:ind w:left="0"/>
              <w:rPr>
                <w:b/>
                <w:sz w:val="16"/>
              </w:rPr>
            </w:pPr>
          </w:p>
          <w:p>
            <w:pPr>
              <w:pStyle w:val="TableParagraph"/>
              <w:ind w:left="10"/>
              <w:jc w:val="center"/>
              <w:rPr>
                <w:sz w:val="17"/>
              </w:rPr>
            </w:pPr>
            <w:r>
              <w:rPr>
                <w:color w:val="231F20"/>
                <w:w w:val="97"/>
                <w:sz w:val="17"/>
              </w:rPr>
              <w:t>1</w:t>
            </w:r>
          </w:p>
        </w:tc>
      </w:tr>
      <w:tr>
        <w:trPr>
          <w:trHeight w:val="360" w:hRule="exact"/>
        </w:trPr>
        <w:tc>
          <w:tcPr>
            <w:tcW w:w="2376" w:type="dxa"/>
            <w:tcBorders>
              <w:left w:val="single" w:sz="4" w:space="0" w:color="231F20"/>
              <w:right w:val="single" w:sz="4" w:space="0" w:color="231F20"/>
            </w:tcBorders>
          </w:tcPr>
          <w:p>
            <w:pPr>
              <w:pStyle w:val="TableParagraph"/>
              <w:spacing w:before="68"/>
              <w:ind w:left="86" w:right="90"/>
              <w:rPr>
                <w:sz w:val="17"/>
              </w:rPr>
            </w:pPr>
            <w:r>
              <w:rPr>
                <w:color w:val="231F20"/>
                <w:sz w:val="17"/>
              </w:rPr>
              <w:t>Odontología</w:t>
            </w:r>
          </w:p>
        </w:tc>
        <w:tc>
          <w:tcPr>
            <w:tcW w:w="1366" w:type="dxa"/>
            <w:tcBorders>
              <w:left w:val="single" w:sz="4" w:space="0" w:color="231F20"/>
              <w:right w:val="single" w:sz="2" w:space="0" w:color="231F20"/>
            </w:tcBorders>
          </w:tcPr>
          <w:p>
            <w:pPr>
              <w:pStyle w:val="TableParagraph"/>
              <w:spacing w:before="68"/>
              <w:ind w:left="0"/>
              <w:jc w:val="center"/>
              <w:rPr>
                <w:sz w:val="17"/>
              </w:rPr>
            </w:pPr>
            <w:r>
              <w:rPr>
                <w:color w:val="231F20"/>
                <w:w w:val="97"/>
                <w:sz w:val="17"/>
              </w:rPr>
              <w:t>4</w:t>
            </w:r>
          </w:p>
        </w:tc>
        <w:tc>
          <w:tcPr>
            <w:tcW w:w="1190" w:type="dxa"/>
            <w:tcBorders>
              <w:left w:val="single" w:sz="2" w:space="0" w:color="231F20"/>
              <w:right w:val="single" w:sz="2" w:space="0" w:color="231F20"/>
            </w:tcBorders>
          </w:tcPr>
          <w:p>
            <w:pPr>
              <w:pStyle w:val="TableParagraph"/>
              <w:spacing w:before="68"/>
              <w:ind w:left="8"/>
              <w:jc w:val="center"/>
              <w:rPr>
                <w:sz w:val="17"/>
              </w:rPr>
            </w:pPr>
            <w:r>
              <w:rPr>
                <w:color w:val="231F20"/>
                <w:w w:val="97"/>
                <w:sz w:val="17"/>
              </w:rPr>
              <w:t>1</w:t>
            </w:r>
          </w:p>
        </w:tc>
        <w:tc>
          <w:tcPr>
            <w:tcW w:w="823" w:type="dxa"/>
            <w:tcBorders>
              <w:left w:val="single" w:sz="2" w:space="0" w:color="231F20"/>
              <w:right w:val="single" w:sz="12" w:space="0" w:color="231F20"/>
            </w:tcBorders>
          </w:tcPr>
          <w:p>
            <w:pPr>
              <w:pStyle w:val="TableParagraph"/>
              <w:spacing w:before="68"/>
              <w:ind w:left="10"/>
              <w:jc w:val="center"/>
              <w:rPr>
                <w:sz w:val="17"/>
              </w:rPr>
            </w:pPr>
            <w:r>
              <w:rPr>
                <w:color w:val="231F20"/>
                <w:w w:val="97"/>
                <w:sz w:val="17"/>
              </w:rPr>
              <w:t>5</w:t>
            </w:r>
          </w:p>
        </w:tc>
      </w:tr>
      <w:tr>
        <w:trPr>
          <w:trHeight w:val="520" w:hRule="exact"/>
        </w:trPr>
        <w:tc>
          <w:tcPr>
            <w:tcW w:w="2376" w:type="dxa"/>
            <w:tcBorders>
              <w:left w:val="single" w:sz="4" w:space="0" w:color="231F20"/>
              <w:bottom w:val="single" w:sz="4" w:space="0" w:color="231F20"/>
              <w:right w:val="single" w:sz="4" w:space="0" w:color="231F20"/>
            </w:tcBorders>
          </w:tcPr>
          <w:p>
            <w:pPr>
              <w:pStyle w:val="TableParagraph"/>
              <w:spacing w:line="295" w:lineRule="auto" w:before="68"/>
              <w:ind w:left="86" w:right="90"/>
              <w:rPr>
                <w:sz w:val="17"/>
              </w:rPr>
            </w:pPr>
            <w:r>
              <w:rPr>
                <w:color w:val="231F20"/>
                <w:sz w:val="17"/>
              </w:rPr>
              <w:t>Químico Biólogo Farmacéuti- co</w:t>
            </w:r>
          </w:p>
        </w:tc>
        <w:tc>
          <w:tcPr>
            <w:tcW w:w="1366" w:type="dxa"/>
            <w:tcBorders>
              <w:left w:val="single" w:sz="4" w:space="0" w:color="231F20"/>
              <w:bottom w:val="single" w:sz="4" w:space="0" w:color="231F20"/>
              <w:right w:val="single" w:sz="2" w:space="0" w:color="231F20"/>
            </w:tcBorders>
          </w:tcPr>
          <w:p>
            <w:pPr>
              <w:pStyle w:val="TableParagraph"/>
              <w:spacing w:before="4"/>
              <w:ind w:left="0"/>
              <w:rPr>
                <w:b/>
                <w:sz w:val="16"/>
              </w:rPr>
            </w:pPr>
          </w:p>
          <w:p>
            <w:pPr>
              <w:pStyle w:val="TableParagraph"/>
              <w:ind w:left="0"/>
              <w:jc w:val="center"/>
              <w:rPr>
                <w:sz w:val="17"/>
              </w:rPr>
            </w:pPr>
            <w:r>
              <w:rPr>
                <w:color w:val="231F20"/>
                <w:w w:val="97"/>
                <w:sz w:val="17"/>
              </w:rPr>
              <w:t>2</w:t>
            </w:r>
          </w:p>
        </w:tc>
        <w:tc>
          <w:tcPr>
            <w:tcW w:w="1190" w:type="dxa"/>
            <w:tcBorders>
              <w:left w:val="single" w:sz="2" w:space="0" w:color="231F20"/>
              <w:bottom w:val="single" w:sz="4" w:space="0" w:color="231F20"/>
              <w:right w:val="single" w:sz="2" w:space="0" w:color="231F20"/>
            </w:tcBorders>
          </w:tcPr>
          <w:p>
            <w:pPr>
              <w:pStyle w:val="TableParagraph"/>
              <w:spacing w:before="4"/>
              <w:ind w:left="0"/>
              <w:rPr>
                <w:b/>
                <w:sz w:val="16"/>
              </w:rPr>
            </w:pPr>
          </w:p>
          <w:p>
            <w:pPr>
              <w:pStyle w:val="TableParagraph"/>
              <w:ind w:left="8"/>
              <w:jc w:val="center"/>
              <w:rPr>
                <w:sz w:val="17"/>
              </w:rPr>
            </w:pPr>
            <w:r>
              <w:rPr>
                <w:color w:val="231F20"/>
                <w:w w:val="97"/>
                <w:sz w:val="17"/>
              </w:rPr>
              <w:t>0</w:t>
            </w:r>
          </w:p>
        </w:tc>
        <w:tc>
          <w:tcPr>
            <w:tcW w:w="823" w:type="dxa"/>
            <w:tcBorders>
              <w:left w:val="single" w:sz="2" w:space="0" w:color="231F20"/>
              <w:bottom w:val="single" w:sz="4" w:space="0" w:color="231F20"/>
              <w:right w:val="single" w:sz="12" w:space="0" w:color="231F20"/>
            </w:tcBorders>
          </w:tcPr>
          <w:p>
            <w:pPr>
              <w:pStyle w:val="TableParagraph"/>
              <w:spacing w:before="4"/>
              <w:ind w:left="0"/>
              <w:rPr>
                <w:b/>
                <w:sz w:val="16"/>
              </w:rPr>
            </w:pPr>
          </w:p>
          <w:p>
            <w:pPr>
              <w:pStyle w:val="TableParagraph"/>
              <w:ind w:left="10"/>
              <w:jc w:val="center"/>
              <w:rPr>
                <w:sz w:val="17"/>
              </w:rPr>
            </w:pPr>
            <w:r>
              <w:rPr>
                <w:color w:val="231F20"/>
                <w:w w:val="97"/>
                <w:sz w:val="17"/>
              </w:rPr>
              <w:t>2</w:t>
            </w:r>
          </w:p>
        </w:tc>
      </w:tr>
      <w:tr>
        <w:trPr>
          <w:trHeight w:val="370" w:hRule="exact"/>
        </w:trPr>
        <w:tc>
          <w:tcPr>
            <w:tcW w:w="2376" w:type="dxa"/>
            <w:tcBorders>
              <w:top w:val="single" w:sz="4" w:space="0" w:color="231F20"/>
              <w:left w:val="single" w:sz="4" w:space="0" w:color="231F20"/>
              <w:bottom w:val="single" w:sz="4" w:space="0" w:color="231F20"/>
              <w:right w:val="single" w:sz="4" w:space="0" w:color="231F20"/>
            </w:tcBorders>
          </w:tcPr>
          <w:p>
            <w:pPr>
              <w:pStyle w:val="TableParagraph"/>
              <w:spacing w:before="153"/>
              <w:ind w:left="86" w:right="90"/>
              <w:rPr>
                <w:b/>
                <w:sz w:val="17"/>
              </w:rPr>
            </w:pPr>
            <w:r>
              <w:rPr>
                <w:b/>
                <w:color w:val="231F20"/>
                <w:w w:val="105"/>
                <w:sz w:val="17"/>
              </w:rPr>
              <w:t>Total</w:t>
            </w:r>
          </w:p>
        </w:tc>
        <w:tc>
          <w:tcPr>
            <w:tcW w:w="1366" w:type="dxa"/>
            <w:tcBorders>
              <w:top w:val="single" w:sz="4" w:space="0" w:color="231F20"/>
              <w:left w:val="single" w:sz="4" w:space="0" w:color="231F20"/>
              <w:bottom w:val="single" w:sz="4" w:space="0" w:color="231F20"/>
              <w:right w:val="single" w:sz="2" w:space="0" w:color="231F20"/>
            </w:tcBorders>
          </w:tcPr>
          <w:p>
            <w:pPr>
              <w:pStyle w:val="TableParagraph"/>
              <w:spacing w:before="153"/>
              <w:ind w:left="550" w:right="551"/>
              <w:jc w:val="center"/>
              <w:rPr>
                <w:b/>
                <w:sz w:val="17"/>
              </w:rPr>
            </w:pPr>
            <w:r>
              <w:rPr>
                <w:b/>
                <w:color w:val="231F20"/>
                <w:sz w:val="17"/>
              </w:rPr>
              <w:t>35</w:t>
            </w:r>
          </w:p>
        </w:tc>
        <w:tc>
          <w:tcPr>
            <w:tcW w:w="1190" w:type="dxa"/>
            <w:tcBorders>
              <w:top w:val="single" w:sz="4" w:space="0" w:color="231F20"/>
              <w:left w:val="single" w:sz="2" w:space="0" w:color="231F20"/>
              <w:bottom w:val="single" w:sz="4" w:space="0" w:color="231F20"/>
              <w:right w:val="single" w:sz="2" w:space="0" w:color="231F20"/>
            </w:tcBorders>
          </w:tcPr>
          <w:p>
            <w:pPr>
              <w:pStyle w:val="TableParagraph"/>
              <w:spacing w:before="153"/>
              <w:ind w:left="8"/>
              <w:jc w:val="center"/>
              <w:rPr>
                <w:b/>
                <w:sz w:val="17"/>
              </w:rPr>
            </w:pPr>
            <w:r>
              <w:rPr>
                <w:b/>
                <w:color w:val="231F20"/>
                <w:w w:val="97"/>
                <w:sz w:val="17"/>
              </w:rPr>
              <w:t>6</w:t>
            </w:r>
          </w:p>
        </w:tc>
        <w:tc>
          <w:tcPr>
            <w:tcW w:w="823" w:type="dxa"/>
            <w:tcBorders>
              <w:top w:val="single" w:sz="4" w:space="0" w:color="231F20"/>
              <w:left w:val="single" w:sz="2" w:space="0" w:color="231F20"/>
              <w:bottom w:val="single" w:sz="4" w:space="0" w:color="231F20"/>
              <w:right w:val="single" w:sz="4" w:space="0" w:color="231F20"/>
            </w:tcBorders>
          </w:tcPr>
          <w:p>
            <w:pPr>
              <w:pStyle w:val="TableParagraph"/>
              <w:spacing w:before="153"/>
              <w:ind w:left="304" w:right="302"/>
              <w:jc w:val="center"/>
              <w:rPr>
                <w:b/>
                <w:sz w:val="17"/>
              </w:rPr>
            </w:pPr>
            <w:r>
              <w:rPr>
                <w:b/>
                <w:color w:val="231F20"/>
                <w:sz w:val="17"/>
              </w:rPr>
              <w:t>41</w:t>
            </w:r>
          </w:p>
        </w:tc>
      </w:tr>
    </w:tbl>
    <w:p>
      <w:pPr>
        <w:spacing w:after="0"/>
        <w:jc w:val="center"/>
        <w:rPr>
          <w:sz w:val="17"/>
        </w:rPr>
        <w:sectPr>
          <w:headerReference w:type="default" r:id="rId870"/>
          <w:footerReference w:type="default" r:id="rId871"/>
          <w:pgSz w:w="7830" w:h="11910"/>
          <w:pgMar w:header="0" w:footer="424" w:top="500" w:bottom="620" w:left="900" w:right="900"/>
          <w:pgNumType w:start="393"/>
        </w:sectPr>
      </w:pPr>
    </w:p>
    <w:p>
      <w:pPr>
        <w:spacing w:before="46"/>
        <w:ind w:left="584" w:right="421"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8"/>
        <w:rPr>
          <w:sz w:val="22"/>
        </w:rPr>
      </w:pPr>
    </w:p>
    <w:p>
      <w:pPr>
        <w:spacing w:before="0"/>
        <w:ind w:left="583" w:right="421" w:firstLine="0"/>
        <w:jc w:val="center"/>
        <w:rPr>
          <w:b/>
          <w:sz w:val="19"/>
        </w:rPr>
      </w:pPr>
      <w:r>
        <w:rPr>
          <w:b/>
          <w:color w:val="231F20"/>
          <w:sz w:val="19"/>
        </w:rPr>
        <w:t>Cuadro 8.Experiencia de violencia por parte de   porros</w:t>
      </w:r>
    </w:p>
    <w:p>
      <w:pPr>
        <w:pStyle w:val="BodyText"/>
        <w:spacing w:before="10"/>
        <w:rPr>
          <w:b/>
          <w:sz w:val="26"/>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87"/>
        <w:gridCol w:w="1658"/>
        <w:gridCol w:w="1248"/>
        <w:gridCol w:w="713"/>
      </w:tblGrid>
      <w:tr>
        <w:trPr>
          <w:trHeight w:val="634" w:hRule="exact"/>
        </w:trPr>
        <w:tc>
          <w:tcPr>
            <w:tcW w:w="1987" w:type="dxa"/>
            <w:tcBorders>
              <w:top w:val="single" w:sz="12" w:space="0" w:color="231F20"/>
              <w:left w:val="single" w:sz="12" w:space="0" w:color="231F20"/>
              <w:bottom w:val="single" w:sz="12" w:space="0" w:color="231F20"/>
              <w:right w:val="single" w:sz="12" w:space="0" w:color="231F20"/>
            </w:tcBorders>
          </w:tcPr>
          <w:p>
            <w:pPr/>
          </w:p>
        </w:tc>
        <w:tc>
          <w:tcPr>
            <w:tcW w:w="2906" w:type="dxa"/>
            <w:gridSpan w:val="2"/>
            <w:tcBorders>
              <w:top w:val="single" w:sz="12" w:space="0" w:color="231F20"/>
              <w:left w:val="single" w:sz="12" w:space="0" w:color="231F20"/>
              <w:bottom w:val="single" w:sz="2" w:space="0" w:color="231F20"/>
              <w:right w:val="single" w:sz="2" w:space="0" w:color="231F20"/>
            </w:tcBorders>
          </w:tcPr>
          <w:p>
            <w:pPr>
              <w:pStyle w:val="TableParagraph"/>
              <w:spacing w:line="295" w:lineRule="auto" w:before="158"/>
              <w:ind w:left="870" w:hanging="735"/>
              <w:rPr>
                <w:b/>
                <w:sz w:val="17"/>
              </w:rPr>
            </w:pPr>
            <w:r>
              <w:rPr>
                <w:b/>
                <w:color w:val="231F20"/>
                <w:w w:val="105"/>
                <w:sz w:val="17"/>
              </w:rPr>
              <w:t>Experiencia de violencia por parte de porros 1s,2n</w:t>
            </w:r>
          </w:p>
        </w:tc>
        <w:tc>
          <w:tcPr>
            <w:tcW w:w="713" w:type="dxa"/>
            <w:tcBorders>
              <w:top w:val="single" w:sz="12" w:space="0" w:color="231F20"/>
              <w:left w:val="single" w:sz="2" w:space="0" w:color="231F20"/>
              <w:bottom w:val="single" w:sz="2" w:space="0" w:color="231F20"/>
              <w:right w:val="single" w:sz="12" w:space="0" w:color="231F20"/>
            </w:tcBorders>
          </w:tcPr>
          <w:p>
            <w:pPr>
              <w:pStyle w:val="TableParagraph"/>
              <w:ind w:left="0"/>
              <w:rPr>
                <w:b/>
                <w:sz w:val="18"/>
              </w:rPr>
            </w:pPr>
          </w:p>
          <w:p>
            <w:pPr>
              <w:pStyle w:val="TableParagraph"/>
              <w:spacing w:before="7"/>
              <w:ind w:left="0"/>
              <w:rPr>
                <w:b/>
                <w:sz w:val="16"/>
              </w:rPr>
            </w:pPr>
          </w:p>
          <w:p>
            <w:pPr>
              <w:pStyle w:val="TableParagraph"/>
              <w:ind w:left="131" w:right="118"/>
              <w:jc w:val="center"/>
              <w:rPr>
                <w:b/>
                <w:sz w:val="17"/>
              </w:rPr>
            </w:pPr>
            <w:r>
              <w:rPr>
                <w:b/>
                <w:color w:val="231F20"/>
                <w:w w:val="105"/>
                <w:sz w:val="17"/>
              </w:rPr>
              <w:t>Total</w:t>
            </w:r>
          </w:p>
        </w:tc>
      </w:tr>
      <w:tr>
        <w:trPr>
          <w:trHeight w:val="634" w:hRule="exact"/>
        </w:trPr>
        <w:tc>
          <w:tcPr>
            <w:tcW w:w="1987" w:type="dxa"/>
            <w:tcBorders>
              <w:top w:val="single" w:sz="12" w:space="0" w:color="231F20"/>
              <w:left w:val="single" w:sz="12" w:space="0" w:color="231F20"/>
              <w:bottom w:val="single" w:sz="4" w:space="0" w:color="231F20"/>
              <w:right w:val="single" w:sz="12" w:space="0" w:color="231F20"/>
            </w:tcBorders>
          </w:tcPr>
          <w:p>
            <w:pPr/>
          </w:p>
        </w:tc>
        <w:tc>
          <w:tcPr>
            <w:tcW w:w="1658" w:type="dxa"/>
            <w:tcBorders>
              <w:top w:val="single" w:sz="2" w:space="0" w:color="231F20"/>
              <w:left w:val="single" w:sz="12" w:space="0" w:color="231F20"/>
              <w:bottom w:val="single" w:sz="12" w:space="0" w:color="231F20"/>
              <w:right w:val="single" w:sz="2" w:space="0" w:color="231F20"/>
            </w:tcBorders>
          </w:tcPr>
          <w:p>
            <w:pPr>
              <w:pStyle w:val="TableParagraph"/>
              <w:ind w:left="0"/>
              <w:rPr>
                <w:b/>
                <w:sz w:val="18"/>
              </w:rPr>
            </w:pPr>
          </w:p>
          <w:p>
            <w:pPr>
              <w:pStyle w:val="TableParagraph"/>
              <w:spacing w:before="7"/>
              <w:ind w:left="0"/>
              <w:rPr>
                <w:b/>
                <w:sz w:val="17"/>
              </w:rPr>
            </w:pPr>
          </w:p>
          <w:p>
            <w:pPr>
              <w:pStyle w:val="TableParagraph"/>
              <w:ind w:left="0" w:right="753"/>
              <w:jc w:val="right"/>
              <w:rPr>
                <w:b/>
                <w:sz w:val="17"/>
              </w:rPr>
            </w:pPr>
            <w:r>
              <w:rPr>
                <w:b/>
                <w:color w:val="231F20"/>
                <w:sz w:val="17"/>
              </w:rPr>
              <w:t>Sí</w:t>
            </w:r>
          </w:p>
        </w:tc>
        <w:tc>
          <w:tcPr>
            <w:tcW w:w="1248" w:type="dxa"/>
            <w:tcBorders>
              <w:top w:val="single" w:sz="2" w:space="0" w:color="231F20"/>
              <w:left w:val="single" w:sz="2" w:space="0" w:color="231F20"/>
              <w:bottom w:val="single" w:sz="12" w:space="0" w:color="231F20"/>
              <w:right w:val="single" w:sz="2" w:space="0" w:color="231F20"/>
            </w:tcBorders>
          </w:tcPr>
          <w:p>
            <w:pPr>
              <w:pStyle w:val="TableParagraph"/>
              <w:ind w:left="0"/>
              <w:rPr>
                <w:b/>
                <w:sz w:val="18"/>
              </w:rPr>
            </w:pPr>
          </w:p>
          <w:p>
            <w:pPr>
              <w:pStyle w:val="TableParagraph"/>
              <w:spacing w:before="7"/>
              <w:ind w:left="0"/>
              <w:rPr>
                <w:b/>
                <w:sz w:val="17"/>
              </w:rPr>
            </w:pPr>
          </w:p>
          <w:p>
            <w:pPr>
              <w:pStyle w:val="TableParagraph"/>
              <w:ind w:left="482" w:right="482"/>
              <w:jc w:val="center"/>
              <w:rPr>
                <w:b/>
                <w:sz w:val="17"/>
              </w:rPr>
            </w:pPr>
            <w:r>
              <w:rPr>
                <w:b/>
                <w:color w:val="231F20"/>
                <w:w w:val="115"/>
                <w:sz w:val="17"/>
              </w:rPr>
              <w:t>No</w:t>
            </w:r>
          </w:p>
        </w:tc>
        <w:tc>
          <w:tcPr>
            <w:tcW w:w="713" w:type="dxa"/>
            <w:tcBorders>
              <w:top w:val="single" w:sz="2" w:space="0" w:color="231F20"/>
              <w:left w:val="single" w:sz="2" w:space="0" w:color="231F20"/>
              <w:bottom w:val="single" w:sz="12" w:space="0" w:color="231F20"/>
              <w:right w:val="single" w:sz="12" w:space="0" w:color="231F20"/>
            </w:tcBorders>
          </w:tcPr>
          <w:p>
            <w:pPr>
              <w:pStyle w:val="TableParagraph"/>
              <w:ind w:left="0"/>
              <w:rPr>
                <w:b/>
                <w:sz w:val="18"/>
              </w:rPr>
            </w:pPr>
          </w:p>
          <w:p>
            <w:pPr>
              <w:pStyle w:val="TableParagraph"/>
              <w:spacing w:before="7"/>
              <w:ind w:left="0"/>
              <w:rPr>
                <w:b/>
                <w:sz w:val="17"/>
              </w:rPr>
            </w:pPr>
          </w:p>
          <w:p>
            <w:pPr>
              <w:pStyle w:val="TableParagraph"/>
              <w:ind w:left="129" w:right="118"/>
              <w:jc w:val="center"/>
              <w:rPr>
                <w:b/>
                <w:sz w:val="17"/>
              </w:rPr>
            </w:pPr>
            <w:r>
              <w:rPr>
                <w:b/>
                <w:color w:val="231F20"/>
                <w:sz w:val="17"/>
              </w:rPr>
              <w:t>Sí</w:t>
            </w:r>
          </w:p>
        </w:tc>
      </w:tr>
      <w:tr>
        <w:trPr>
          <w:trHeight w:val="298" w:hRule="exact"/>
        </w:trPr>
        <w:tc>
          <w:tcPr>
            <w:tcW w:w="1987" w:type="dxa"/>
            <w:tcBorders>
              <w:top w:val="single" w:sz="4" w:space="0" w:color="231F20"/>
              <w:left w:val="single" w:sz="4" w:space="0" w:color="231F20"/>
              <w:right w:val="single" w:sz="4" w:space="0" w:color="231F20"/>
            </w:tcBorders>
          </w:tcPr>
          <w:p>
            <w:pPr>
              <w:pStyle w:val="TableParagraph"/>
              <w:spacing w:before="43"/>
              <w:ind w:left="86"/>
              <w:rPr>
                <w:sz w:val="17"/>
              </w:rPr>
            </w:pPr>
            <w:r>
              <w:rPr>
                <w:color w:val="231F20"/>
                <w:sz w:val="17"/>
              </w:rPr>
              <w:t>Carrera</w:t>
            </w:r>
          </w:p>
        </w:tc>
        <w:tc>
          <w:tcPr>
            <w:tcW w:w="1658" w:type="dxa"/>
            <w:tcBorders>
              <w:top w:val="single" w:sz="12" w:space="0" w:color="231F20"/>
              <w:left w:val="single" w:sz="4" w:space="0" w:color="231F20"/>
              <w:right w:val="single" w:sz="2" w:space="0" w:color="231F20"/>
            </w:tcBorders>
          </w:tcPr>
          <w:p>
            <w:pPr>
              <w:pStyle w:val="TableParagraph"/>
              <w:spacing w:before="47"/>
              <w:ind w:left="0" w:right="782"/>
              <w:jc w:val="right"/>
              <w:rPr>
                <w:sz w:val="17"/>
              </w:rPr>
            </w:pPr>
            <w:r>
              <w:rPr>
                <w:color w:val="231F20"/>
                <w:w w:val="97"/>
                <w:sz w:val="17"/>
              </w:rPr>
              <w:t>5</w:t>
            </w:r>
          </w:p>
        </w:tc>
        <w:tc>
          <w:tcPr>
            <w:tcW w:w="1248" w:type="dxa"/>
            <w:tcBorders>
              <w:top w:val="single" w:sz="12" w:space="0" w:color="231F20"/>
              <w:left w:val="single" w:sz="2" w:space="0" w:color="231F20"/>
              <w:right w:val="single" w:sz="2" w:space="0" w:color="231F20"/>
            </w:tcBorders>
          </w:tcPr>
          <w:p>
            <w:pPr>
              <w:pStyle w:val="TableParagraph"/>
              <w:spacing w:before="47"/>
              <w:ind w:left="0" w:right="1"/>
              <w:jc w:val="center"/>
              <w:rPr>
                <w:sz w:val="17"/>
              </w:rPr>
            </w:pPr>
            <w:r>
              <w:rPr>
                <w:color w:val="231F20"/>
                <w:w w:val="97"/>
                <w:sz w:val="17"/>
              </w:rPr>
              <w:t>0</w:t>
            </w:r>
          </w:p>
        </w:tc>
        <w:tc>
          <w:tcPr>
            <w:tcW w:w="713" w:type="dxa"/>
            <w:tcBorders>
              <w:top w:val="single" w:sz="12" w:space="0" w:color="231F20"/>
              <w:left w:val="single" w:sz="2" w:space="0" w:color="231F20"/>
              <w:right w:val="single" w:sz="12" w:space="0" w:color="231F20"/>
            </w:tcBorders>
          </w:tcPr>
          <w:p>
            <w:pPr>
              <w:pStyle w:val="TableParagraph"/>
              <w:spacing w:before="47"/>
              <w:ind w:left="11"/>
              <w:jc w:val="center"/>
              <w:rPr>
                <w:sz w:val="17"/>
              </w:rPr>
            </w:pPr>
            <w:r>
              <w:rPr>
                <w:color w:val="231F20"/>
                <w:w w:val="97"/>
                <w:sz w:val="17"/>
              </w:rPr>
              <w:t>5</w:t>
            </w:r>
          </w:p>
        </w:tc>
      </w:tr>
      <w:tr>
        <w:trPr>
          <w:trHeight w:val="264" w:hRule="exact"/>
        </w:trPr>
        <w:tc>
          <w:tcPr>
            <w:tcW w:w="1987" w:type="dxa"/>
            <w:tcBorders>
              <w:left w:val="single" w:sz="4" w:space="0" w:color="231F20"/>
              <w:right w:val="single" w:sz="4" w:space="0" w:color="231F20"/>
            </w:tcBorders>
          </w:tcPr>
          <w:p>
            <w:pPr>
              <w:pStyle w:val="TableParagraph"/>
              <w:spacing w:before="13"/>
              <w:ind w:left="86"/>
              <w:rPr>
                <w:sz w:val="17"/>
              </w:rPr>
            </w:pPr>
            <w:r>
              <w:rPr>
                <w:color w:val="231F20"/>
                <w:sz w:val="17"/>
              </w:rPr>
              <w:t>Administración</w:t>
            </w:r>
          </w:p>
        </w:tc>
        <w:tc>
          <w:tcPr>
            <w:tcW w:w="1658" w:type="dxa"/>
            <w:tcBorders>
              <w:left w:val="single" w:sz="4" w:space="0" w:color="231F20"/>
              <w:right w:val="single" w:sz="2" w:space="0" w:color="231F20"/>
            </w:tcBorders>
          </w:tcPr>
          <w:p>
            <w:pPr>
              <w:pStyle w:val="TableParagraph"/>
              <w:spacing w:before="27"/>
              <w:ind w:left="0" w:right="782"/>
              <w:jc w:val="right"/>
              <w:rPr>
                <w:sz w:val="17"/>
              </w:rPr>
            </w:pPr>
            <w:r>
              <w:rPr>
                <w:color w:val="231F20"/>
                <w:w w:val="97"/>
                <w:sz w:val="17"/>
              </w:rPr>
              <w:t>8</w:t>
            </w:r>
          </w:p>
        </w:tc>
        <w:tc>
          <w:tcPr>
            <w:tcW w:w="1248" w:type="dxa"/>
            <w:tcBorders>
              <w:left w:val="single" w:sz="2" w:space="0" w:color="231F20"/>
              <w:right w:val="single" w:sz="2" w:space="0" w:color="231F20"/>
            </w:tcBorders>
          </w:tcPr>
          <w:p>
            <w:pPr>
              <w:pStyle w:val="TableParagraph"/>
              <w:spacing w:before="27"/>
              <w:ind w:left="0" w:right="1"/>
              <w:jc w:val="center"/>
              <w:rPr>
                <w:sz w:val="17"/>
              </w:rPr>
            </w:pPr>
            <w:r>
              <w:rPr>
                <w:color w:val="231F20"/>
                <w:w w:val="97"/>
                <w:sz w:val="17"/>
              </w:rPr>
              <w:t>0</w:t>
            </w:r>
          </w:p>
        </w:tc>
        <w:tc>
          <w:tcPr>
            <w:tcW w:w="713" w:type="dxa"/>
            <w:tcBorders>
              <w:left w:val="single" w:sz="2" w:space="0" w:color="231F20"/>
              <w:right w:val="single" w:sz="12" w:space="0" w:color="231F20"/>
            </w:tcBorders>
          </w:tcPr>
          <w:p>
            <w:pPr>
              <w:pStyle w:val="TableParagraph"/>
              <w:spacing w:before="27"/>
              <w:ind w:left="11"/>
              <w:jc w:val="center"/>
              <w:rPr>
                <w:sz w:val="17"/>
              </w:rPr>
            </w:pPr>
            <w:r>
              <w:rPr>
                <w:color w:val="231F20"/>
                <w:w w:val="97"/>
                <w:sz w:val="17"/>
              </w:rPr>
              <w:t>8</w:t>
            </w:r>
          </w:p>
        </w:tc>
      </w:tr>
      <w:tr>
        <w:trPr>
          <w:trHeight w:val="266" w:hRule="exact"/>
        </w:trPr>
        <w:tc>
          <w:tcPr>
            <w:tcW w:w="1987" w:type="dxa"/>
            <w:tcBorders>
              <w:left w:val="single" w:sz="4" w:space="0" w:color="231F20"/>
              <w:right w:val="single" w:sz="4" w:space="0" w:color="231F20"/>
            </w:tcBorders>
          </w:tcPr>
          <w:p>
            <w:pPr>
              <w:pStyle w:val="TableParagraph"/>
              <w:spacing w:before="13"/>
              <w:ind w:left="86"/>
              <w:rPr>
                <w:sz w:val="17"/>
              </w:rPr>
            </w:pPr>
            <w:r>
              <w:rPr>
                <w:color w:val="231F20"/>
                <w:sz w:val="17"/>
              </w:rPr>
              <w:t>Arquitectura</w:t>
            </w:r>
          </w:p>
        </w:tc>
        <w:tc>
          <w:tcPr>
            <w:tcW w:w="1658" w:type="dxa"/>
            <w:tcBorders>
              <w:left w:val="single" w:sz="4" w:space="0" w:color="231F20"/>
              <w:right w:val="single" w:sz="2" w:space="0" w:color="231F20"/>
            </w:tcBorders>
          </w:tcPr>
          <w:p>
            <w:pPr>
              <w:pStyle w:val="TableParagraph"/>
              <w:spacing w:before="27"/>
              <w:ind w:left="0" w:right="739"/>
              <w:jc w:val="right"/>
              <w:rPr>
                <w:sz w:val="17"/>
              </w:rPr>
            </w:pPr>
            <w:r>
              <w:rPr>
                <w:color w:val="231F20"/>
                <w:w w:val="95"/>
                <w:sz w:val="17"/>
              </w:rPr>
              <w:t>32</w:t>
            </w:r>
          </w:p>
        </w:tc>
        <w:tc>
          <w:tcPr>
            <w:tcW w:w="1248" w:type="dxa"/>
            <w:tcBorders>
              <w:left w:val="single" w:sz="2" w:space="0" w:color="231F20"/>
              <w:right w:val="single" w:sz="2" w:space="0" w:color="231F20"/>
            </w:tcBorders>
          </w:tcPr>
          <w:p>
            <w:pPr>
              <w:pStyle w:val="TableParagraph"/>
              <w:spacing w:before="27"/>
              <w:ind w:left="0" w:right="1"/>
              <w:jc w:val="center"/>
              <w:rPr>
                <w:sz w:val="17"/>
              </w:rPr>
            </w:pPr>
            <w:r>
              <w:rPr>
                <w:color w:val="231F20"/>
                <w:w w:val="97"/>
                <w:sz w:val="17"/>
              </w:rPr>
              <w:t>0</w:t>
            </w:r>
          </w:p>
        </w:tc>
        <w:tc>
          <w:tcPr>
            <w:tcW w:w="713" w:type="dxa"/>
            <w:tcBorders>
              <w:left w:val="single" w:sz="2" w:space="0" w:color="231F20"/>
              <w:right w:val="single" w:sz="12" w:space="0" w:color="231F20"/>
            </w:tcBorders>
          </w:tcPr>
          <w:p>
            <w:pPr>
              <w:pStyle w:val="TableParagraph"/>
              <w:spacing w:before="27"/>
              <w:ind w:left="130" w:right="118"/>
              <w:jc w:val="center"/>
              <w:rPr>
                <w:sz w:val="17"/>
              </w:rPr>
            </w:pPr>
            <w:r>
              <w:rPr>
                <w:color w:val="231F20"/>
                <w:sz w:val="17"/>
              </w:rPr>
              <w:t>32</w:t>
            </w:r>
          </w:p>
        </w:tc>
      </w:tr>
      <w:tr>
        <w:trPr>
          <w:trHeight w:val="264" w:hRule="exact"/>
        </w:trPr>
        <w:tc>
          <w:tcPr>
            <w:tcW w:w="1987" w:type="dxa"/>
            <w:tcBorders>
              <w:left w:val="single" w:sz="4" w:space="0" w:color="231F20"/>
              <w:right w:val="single" w:sz="4" w:space="0" w:color="231F20"/>
            </w:tcBorders>
          </w:tcPr>
          <w:p>
            <w:pPr>
              <w:pStyle w:val="TableParagraph"/>
              <w:spacing w:before="15"/>
              <w:ind w:left="86"/>
              <w:rPr>
                <w:sz w:val="17"/>
              </w:rPr>
            </w:pPr>
            <w:r>
              <w:rPr>
                <w:color w:val="231F20"/>
                <w:sz w:val="17"/>
              </w:rPr>
              <w:t>Biología</w:t>
            </w:r>
          </w:p>
        </w:tc>
        <w:tc>
          <w:tcPr>
            <w:tcW w:w="1658" w:type="dxa"/>
            <w:tcBorders>
              <w:left w:val="single" w:sz="4" w:space="0" w:color="231F20"/>
              <w:right w:val="single" w:sz="2" w:space="0" w:color="231F20"/>
            </w:tcBorders>
          </w:tcPr>
          <w:p>
            <w:pPr>
              <w:pStyle w:val="TableParagraph"/>
              <w:spacing w:before="25"/>
              <w:ind w:left="0" w:right="782"/>
              <w:jc w:val="right"/>
              <w:rPr>
                <w:sz w:val="17"/>
              </w:rPr>
            </w:pPr>
            <w:r>
              <w:rPr>
                <w:color w:val="231F20"/>
                <w:w w:val="97"/>
                <w:sz w:val="17"/>
              </w:rPr>
              <w:t>3</w:t>
            </w:r>
          </w:p>
        </w:tc>
        <w:tc>
          <w:tcPr>
            <w:tcW w:w="1248" w:type="dxa"/>
            <w:tcBorders>
              <w:left w:val="single" w:sz="2" w:space="0" w:color="231F20"/>
              <w:right w:val="single" w:sz="2" w:space="0" w:color="231F20"/>
            </w:tcBorders>
          </w:tcPr>
          <w:p>
            <w:pPr>
              <w:pStyle w:val="TableParagraph"/>
              <w:spacing w:before="25"/>
              <w:ind w:left="0" w:right="1"/>
              <w:jc w:val="center"/>
              <w:rPr>
                <w:sz w:val="17"/>
              </w:rPr>
            </w:pPr>
            <w:r>
              <w:rPr>
                <w:color w:val="231F20"/>
                <w:w w:val="97"/>
                <w:sz w:val="17"/>
              </w:rPr>
              <w:t>0</w:t>
            </w:r>
          </w:p>
        </w:tc>
        <w:tc>
          <w:tcPr>
            <w:tcW w:w="713" w:type="dxa"/>
            <w:tcBorders>
              <w:left w:val="single" w:sz="2" w:space="0" w:color="231F20"/>
              <w:right w:val="single" w:sz="12" w:space="0" w:color="231F20"/>
            </w:tcBorders>
          </w:tcPr>
          <w:p>
            <w:pPr>
              <w:pStyle w:val="TableParagraph"/>
              <w:spacing w:before="25"/>
              <w:ind w:left="11"/>
              <w:jc w:val="center"/>
              <w:rPr>
                <w:sz w:val="17"/>
              </w:rPr>
            </w:pPr>
            <w:r>
              <w:rPr>
                <w:color w:val="231F20"/>
                <w:w w:val="97"/>
                <w:sz w:val="17"/>
              </w:rPr>
              <w:t>3</w:t>
            </w:r>
          </w:p>
        </w:tc>
      </w:tr>
      <w:tr>
        <w:trPr>
          <w:trHeight w:val="264" w:hRule="exact"/>
        </w:trPr>
        <w:tc>
          <w:tcPr>
            <w:tcW w:w="1987" w:type="dxa"/>
            <w:tcBorders>
              <w:left w:val="single" w:sz="4" w:space="0" w:color="231F20"/>
              <w:right w:val="single" w:sz="4" w:space="0" w:color="231F20"/>
            </w:tcBorders>
          </w:tcPr>
          <w:p>
            <w:pPr>
              <w:pStyle w:val="TableParagraph"/>
              <w:spacing w:before="15"/>
              <w:ind w:left="86"/>
              <w:rPr>
                <w:sz w:val="17"/>
              </w:rPr>
            </w:pPr>
            <w:r>
              <w:rPr>
                <w:color w:val="231F20"/>
                <w:sz w:val="17"/>
              </w:rPr>
              <w:t>Ciencias de la Educación</w:t>
            </w:r>
          </w:p>
        </w:tc>
        <w:tc>
          <w:tcPr>
            <w:tcW w:w="1658" w:type="dxa"/>
            <w:tcBorders>
              <w:left w:val="single" w:sz="4" w:space="0" w:color="231F20"/>
              <w:right w:val="single" w:sz="2" w:space="0" w:color="231F20"/>
            </w:tcBorders>
          </w:tcPr>
          <w:p>
            <w:pPr>
              <w:pStyle w:val="TableParagraph"/>
              <w:spacing w:before="25"/>
              <w:ind w:left="0" w:right="739"/>
              <w:jc w:val="right"/>
              <w:rPr>
                <w:sz w:val="17"/>
              </w:rPr>
            </w:pPr>
            <w:r>
              <w:rPr>
                <w:color w:val="231F20"/>
                <w:w w:val="95"/>
                <w:sz w:val="17"/>
              </w:rPr>
              <w:t>10</w:t>
            </w:r>
          </w:p>
        </w:tc>
        <w:tc>
          <w:tcPr>
            <w:tcW w:w="1248" w:type="dxa"/>
            <w:tcBorders>
              <w:left w:val="single" w:sz="2" w:space="0" w:color="231F20"/>
              <w:right w:val="single" w:sz="2" w:space="0" w:color="231F20"/>
            </w:tcBorders>
          </w:tcPr>
          <w:p>
            <w:pPr>
              <w:pStyle w:val="TableParagraph"/>
              <w:spacing w:before="25"/>
              <w:ind w:left="0" w:right="1"/>
              <w:jc w:val="center"/>
              <w:rPr>
                <w:sz w:val="17"/>
              </w:rPr>
            </w:pPr>
            <w:r>
              <w:rPr>
                <w:color w:val="231F20"/>
                <w:w w:val="97"/>
                <w:sz w:val="17"/>
              </w:rPr>
              <w:t>0</w:t>
            </w:r>
          </w:p>
        </w:tc>
        <w:tc>
          <w:tcPr>
            <w:tcW w:w="713" w:type="dxa"/>
            <w:tcBorders>
              <w:left w:val="single" w:sz="2" w:space="0" w:color="231F20"/>
              <w:right w:val="single" w:sz="12" w:space="0" w:color="231F20"/>
            </w:tcBorders>
          </w:tcPr>
          <w:p>
            <w:pPr>
              <w:pStyle w:val="TableParagraph"/>
              <w:spacing w:before="25"/>
              <w:ind w:left="130" w:right="118"/>
              <w:jc w:val="center"/>
              <w:rPr>
                <w:sz w:val="17"/>
              </w:rPr>
            </w:pPr>
            <w:r>
              <w:rPr>
                <w:color w:val="231F20"/>
                <w:sz w:val="17"/>
              </w:rPr>
              <w:t>10</w:t>
            </w:r>
          </w:p>
        </w:tc>
      </w:tr>
      <w:tr>
        <w:trPr>
          <w:trHeight w:val="266" w:hRule="exact"/>
        </w:trPr>
        <w:tc>
          <w:tcPr>
            <w:tcW w:w="1987" w:type="dxa"/>
            <w:tcBorders>
              <w:left w:val="single" w:sz="4" w:space="0" w:color="231F20"/>
              <w:right w:val="single" w:sz="4" w:space="0" w:color="231F20"/>
            </w:tcBorders>
          </w:tcPr>
          <w:p>
            <w:pPr>
              <w:pStyle w:val="TableParagraph"/>
              <w:spacing w:before="15"/>
              <w:ind w:left="86"/>
              <w:rPr>
                <w:sz w:val="17"/>
              </w:rPr>
            </w:pPr>
            <w:r>
              <w:rPr>
                <w:color w:val="231F20"/>
                <w:sz w:val="17"/>
              </w:rPr>
              <w:t>Cirujano dentista</w:t>
            </w:r>
          </w:p>
        </w:tc>
        <w:tc>
          <w:tcPr>
            <w:tcW w:w="1658" w:type="dxa"/>
            <w:tcBorders>
              <w:left w:val="single" w:sz="4" w:space="0" w:color="231F20"/>
              <w:right w:val="single" w:sz="2" w:space="0" w:color="231F20"/>
            </w:tcBorders>
          </w:tcPr>
          <w:p>
            <w:pPr>
              <w:pStyle w:val="TableParagraph"/>
              <w:spacing w:before="30"/>
              <w:ind w:left="0" w:right="739"/>
              <w:jc w:val="right"/>
              <w:rPr>
                <w:sz w:val="17"/>
              </w:rPr>
            </w:pPr>
            <w:r>
              <w:rPr>
                <w:color w:val="231F20"/>
                <w:w w:val="95"/>
                <w:sz w:val="17"/>
              </w:rPr>
              <w:t>15</w:t>
            </w:r>
          </w:p>
        </w:tc>
        <w:tc>
          <w:tcPr>
            <w:tcW w:w="1248" w:type="dxa"/>
            <w:tcBorders>
              <w:left w:val="single" w:sz="2" w:space="0" w:color="231F20"/>
              <w:right w:val="single" w:sz="2" w:space="0" w:color="231F20"/>
            </w:tcBorders>
          </w:tcPr>
          <w:p>
            <w:pPr>
              <w:pStyle w:val="TableParagraph"/>
              <w:spacing w:before="30"/>
              <w:ind w:left="0" w:right="1"/>
              <w:jc w:val="center"/>
              <w:rPr>
                <w:sz w:val="17"/>
              </w:rPr>
            </w:pPr>
            <w:r>
              <w:rPr>
                <w:color w:val="231F20"/>
                <w:w w:val="97"/>
                <w:sz w:val="17"/>
              </w:rPr>
              <w:t>0</w:t>
            </w:r>
          </w:p>
        </w:tc>
        <w:tc>
          <w:tcPr>
            <w:tcW w:w="713" w:type="dxa"/>
            <w:tcBorders>
              <w:left w:val="single" w:sz="2" w:space="0" w:color="231F20"/>
              <w:right w:val="single" w:sz="12" w:space="0" w:color="231F20"/>
            </w:tcBorders>
          </w:tcPr>
          <w:p>
            <w:pPr>
              <w:pStyle w:val="TableParagraph"/>
              <w:spacing w:before="30"/>
              <w:ind w:left="130" w:right="118"/>
              <w:jc w:val="center"/>
              <w:rPr>
                <w:sz w:val="17"/>
              </w:rPr>
            </w:pPr>
            <w:r>
              <w:rPr>
                <w:color w:val="231F20"/>
                <w:sz w:val="17"/>
              </w:rPr>
              <w:t>15</w:t>
            </w:r>
          </w:p>
        </w:tc>
      </w:tr>
      <w:tr>
        <w:trPr>
          <w:trHeight w:val="264" w:hRule="exact"/>
        </w:trPr>
        <w:tc>
          <w:tcPr>
            <w:tcW w:w="1987" w:type="dxa"/>
            <w:tcBorders>
              <w:left w:val="single" w:sz="4" w:space="0" w:color="231F20"/>
              <w:right w:val="single" w:sz="4" w:space="0" w:color="231F20"/>
            </w:tcBorders>
          </w:tcPr>
          <w:p>
            <w:pPr>
              <w:pStyle w:val="TableParagraph"/>
              <w:spacing w:before="13"/>
              <w:ind w:left="86"/>
              <w:rPr>
                <w:sz w:val="17"/>
              </w:rPr>
            </w:pPr>
            <w:r>
              <w:rPr>
                <w:color w:val="231F20"/>
                <w:sz w:val="17"/>
              </w:rPr>
              <w:t>Computación</w:t>
            </w:r>
          </w:p>
        </w:tc>
        <w:tc>
          <w:tcPr>
            <w:tcW w:w="1658" w:type="dxa"/>
            <w:tcBorders>
              <w:left w:val="single" w:sz="4" w:space="0" w:color="231F20"/>
              <w:right w:val="single" w:sz="2" w:space="0" w:color="231F20"/>
            </w:tcBorders>
          </w:tcPr>
          <w:p>
            <w:pPr>
              <w:pStyle w:val="TableParagraph"/>
              <w:spacing w:before="27"/>
              <w:ind w:left="0" w:right="782"/>
              <w:jc w:val="right"/>
              <w:rPr>
                <w:sz w:val="17"/>
              </w:rPr>
            </w:pPr>
            <w:r>
              <w:rPr>
                <w:color w:val="231F20"/>
                <w:w w:val="97"/>
                <w:sz w:val="17"/>
              </w:rPr>
              <w:t>1</w:t>
            </w:r>
          </w:p>
        </w:tc>
        <w:tc>
          <w:tcPr>
            <w:tcW w:w="1248" w:type="dxa"/>
            <w:tcBorders>
              <w:left w:val="single" w:sz="2" w:space="0" w:color="231F20"/>
              <w:right w:val="single" w:sz="2" w:space="0" w:color="231F20"/>
            </w:tcBorders>
          </w:tcPr>
          <w:p>
            <w:pPr>
              <w:pStyle w:val="TableParagraph"/>
              <w:spacing w:before="27"/>
              <w:ind w:left="0" w:right="1"/>
              <w:jc w:val="center"/>
              <w:rPr>
                <w:sz w:val="17"/>
              </w:rPr>
            </w:pPr>
            <w:r>
              <w:rPr>
                <w:color w:val="231F20"/>
                <w:w w:val="97"/>
                <w:sz w:val="17"/>
              </w:rPr>
              <w:t>0</w:t>
            </w:r>
          </w:p>
        </w:tc>
        <w:tc>
          <w:tcPr>
            <w:tcW w:w="713" w:type="dxa"/>
            <w:tcBorders>
              <w:left w:val="single" w:sz="2" w:space="0" w:color="231F20"/>
              <w:right w:val="single" w:sz="12" w:space="0" w:color="231F20"/>
            </w:tcBorders>
          </w:tcPr>
          <w:p>
            <w:pPr>
              <w:pStyle w:val="TableParagraph"/>
              <w:spacing w:before="27"/>
              <w:ind w:left="11"/>
              <w:jc w:val="center"/>
              <w:rPr>
                <w:sz w:val="17"/>
              </w:rPr>
            </w:pPr>
            <w:r>
              <w:rPr>
                <w:color w:val="231F20"/>
                <w:w w:val="97"/>
                <w:sz w:val="17"/>
              </w:rPr>
              <w:t>1</w:t>
            </w:r>
          </w:p>
        </w:tc>
      </w:tr>
      <w:tr>
        <w:trPr>
          <w:trHeight w:val="266" w:hRule="exact"/>
        </w:trPr>
        <w:tc>
          <w:tcPr>
            <w:tcW w:w="1987" w:type="dxa"/>
            <w:tcBorders>
              <w:left w:val="single" w:sz="4" w:space="0" w:color="231F20"/>
              <w:right w:val="single" w:sz="4" w:space="0" w:color="231F20"/>
            </w:tcBorders>
          </w:tcPr>
          <w:p>
            <w:pPr>
              <w:pStyle w:val="TableParagraph"/>
              <w:spacing w:before="13"/>
              <w:ind w:left="86"/>
              <w:rPr>
                <w:sz w:val="17"/>
              </w:rPr>
            </w:pPr>
            <w:r>
              <w:rPr>
                <w:color w:val="231F20"/>
                <w:sz w:val="17"/>
              </w:rPr>
              <w:t>Contaduría Pública</w:t>
            </w:r>
          </w:p>
        </w:tc>
        <w:tc>
          <w:tcPr>
            <w:tcW w:w="1658" w:type="dxa"/>
            <w:tcBorders>
              <w:left w:val="single" w:sz="4" w:space="0" w:color="231F20"/>
              <w:right w:val="single" w:sz="2" w:space="0" w:color="231F20"/>
            </w:tcBorders>
          </w:tcPr>
          <w:p>
            <w:pPr>
              <w:pStyle w:val="TableParagraph"/>
              <w:spacing w:before="27"/>
              <w:ind w:left="0" w:right="739"/>
              <w:jc w:val="right"/>
              <w:rPr>
                <w:sz w:val="17"/>
              </w:rPr>
            </w:pPr>
            <w:r>
              <w:rPr>
                <w:color w:val="231F20"/>
                <w:w w:val="95"/>
                <w:sz w:val="17"/>
              </w:rPr>
              <w:t>14</w:t>
            </w:r>
          </w:p>
        </w:tc>
        <w:tc>
          <w:tcPr>
            <w:tcW w:w="1248" w:type="dxa"/>
            <w:tcBorders>
              <w:left w:val="single" w:sz="2" w:space="0" w:color="231F20"/>
              <w:right w:val="single" w:sz="2" w:space="0" w:color="231F20"/>
            </w:tcBorders>
          </w:tcPr>
          <w:p>
            <w:pPr>
              <w:pStyle w:val="TableParagraph"/>
              <w:spacing w:before="27"/>
              <w:ind w:left="0" w:right="1"/>
              <w:jc w:val="center"/>
              <w:rPr>
                <w:sz w:val="17"/>
              </w:rPr>
            </w:pPr>
            <w:r>
              <w:rPr>
                <w:color w:val="231F20"/>
                <w:w w:val="97"/>
                <w:sz w:val="17"/>
              </w:rPr>
              <w:t>0</w:t>
            </w:r>
          </w:p>
        </w:tc>
        <w:tc>
          <w:tcPr>
            <w:tcW w:w="713" w:type="dxa"/>
            <w:tcBorders>
              <w:left w:val="single" w:sz="2" w:space="0" w:color="231F20"/>
              <w:right w:val="single" w:sz="12" w:space="0" w:color="231F20"/>
            </w:tcBorders>
          </w:tcPr>
          <w:p>
            <w:pPr>
              <w:pStyle w:val="TableParagraph"/>
              <w:spacing w:before="27"/>
              <w:ind w:left="130" w:right="118"/>
              <w:jc w:val="center"/>
              <w:rPr>
                <w:sz w:val="17"/>
              </w:rPr>
            </w:pPr>
            <w:r>
              <w:rPr>
                <w:color w:val="231F20"/>
                <w:sz w:val="17"/>
              </w:rPr>
              <w:t>14</w:t>
            </w:r>
          </w:p>
        </w:tc>
      </w:tr>
      <w:tr>
        <w:trPr>
          <w:trHeight w:val="264" w:hRule="exact"/>
        </w:trPr>
        <w:tc>
          <w:tcPr>
            <w:tcW w:w="1987" w:type="dxa"/>
            <w:tcBorders>
              <w:left w:val="single" w:sz="4" w:space="0" w:color="231F20"/>
              <w:right w:val="single" w:sz="4" w:space="0" w:color="231F20"/>
            </w:tcBorders>
          </w:tcPr>
          <w:p>
            <w:pPr>
              <w:pStyle w:val="TableParagraph"/>
              <w:spacing w:before="15"/>
              <w:ind w:left="86"/>
              <w:rPr>
                <w:sz w:val="17"/>
              </w:rPr>
            </w:pPr>
            <w:r>
              <w:rPr>
                <w:color w:val="231F20"/>
                <w:w w:val="105"/>
                <w:sz w:val="17"/>
              </w:rPr>
              <w:t>Derecho</w:t>
            </w:r>
          </w:p>
        </w:tc>
        <w:tc>
          <w:tcPr>
            <w:tcW w:w="1658" w:type="dxa"/>
            <w:tcBorders>
              <w:left w:val="single" w:sz="4" w:space="0" w:color="231F20"/>
              <w:right w:val="single" w:sz="2" w:space="0" w:color="231F20"/>
            </w:tcBorders>
          </w:tcPr>
          <w:p>
            <w:pPr>
              <w:pStyle w:val="TableParagraph"/>
              <w:spacing w:before="25"/>
              <w:ind w:left="0" w:right="739"/>
              <w:jc w:val="right"/>
              <w:rPr>
                <w:sz w:val="17"/>
              </w:rPr>
            </w:pPr>
            <w:r>
              <w:rPr>
                <w:color w:val="231F20"/>
                <w:w w:val="95"/>
                <w:sz w:val="17"/>
              </w:rPr>
              <w:t>41</w:t>
            </w:r>
          </w:p>
        </w:tc>
        <w:tc>
          <w:tcPr>
            <w:tcW w:w="1248" w:type="dxa"/>
            <w:tcBorders>
              <w:left w:val="single" w:sz="2" w:space="0" w:color="231F20"/>
              <w:right w:val="single" w:sz="2" w:space="0" w:color="231F20"/>
            </w:tcBorders>
          </w:tcPr>
          <w:p>
            <w:pPr>
              <w:pStyle w:val="TableParagraph"/>
              <w:spacing w:before="25"/>
              <w:ind w:left="0" w:right="1"/>
              <w:jc w:val="center"/>
              <w:rPr>
                <w:sz w:val="17"/>
              </w:rPr>
            </w:pPr>
            <w:r>
              <w:rPr>
                <w:color w:val="231F20"/>
                <w:w w:val="97"/>
                <w:sz w:val="17"/>
              </w:rPr>
              <w:t>3</w:t>
            </w:r>
          </w:p>
        </w:tc>
        <w:tc>
          <w:tcPr>
            <w:tcW w:w="713" w:type="dxa"/>
            <w:tcBorders>
              <w:left w:val="single" w:sz="2" w:space="0" w:color="231F20"/>
              <w:right w:val="single" w:sz="12" w:space="0" w:color="231F20"/>
            </w:tcBorders>
          </w:tcPr>
          <w:p>
            <w:pPr>
              <w:pStyle w:val="TableParagraph"/>
              <w:spacing w:before="25"/>
              <w:ind w:left="130" w:right="118"/>
              <w:jc w:val="center"/>
              <w:rPr>
                <w:sz w:val="17"/>
              </w:rPr>
            </w:pPr>
            <w:r>
              <w:rPr>
                <w:color w:val="231F20"/>
                <w:sz w:val="17"/>
              </w:rPr>
              <w:t>44</w:t>
            </w:r>
          </w:p>
        </w:tc>
      </w:tr>
      <w:tr>
        <w:trPr>
          <w:trHeight w:val="264" w:hRule="exact"/>
        </w:trPr>
        <w:tc>
          <w:tcPr>
            <w:tcW w:w="1987" w:type="dxa"/>
            <w:tcBorders>
              <w:left w:val="single" w:sz="4" w:space="0" w:color="231F20"/>
              <w:right w:val="single" w:sz="4" w:space="0" w:color="231F20"/>
            </w:tcBorders>
          </w:tcPr>
          <w:p>
            <w:pPr>
              <w:pStyle w:val="TableParagraph"/>
              <w:spacing w:before="15"/>
              <w:ind w:left="86"/>
              <w:rPr>
                <w:sz w:val="17"/>
              </w:rPr>
            </w:pPr>
            <w:r>
              <w:rPr>
                <w:color w:val="231F20"/>
                <w:sz w:val="17"/>
              </w:rPr>
              <w:t>Economía</w:t>
            </w:r>
          </w:p>
        </w:tc>
        <w:tc>
          <w:tcPr>
            <w:tcW w:w="1658" w:type="dxa"/>
            <w:tcBorders>
              <w:left w:val="single" w:sz="4" w:space="0" w:color="231F20"/>
              <w:right w:val="single" w:sz="2" w:space="0" w:color="231F20"/>
            </w:tcBorders>
          </w:tcPr>
          <w:p>
            <w:pPr>
              <w:pStyle w:val="TableParagraph"/>
              <w:spacing w:before="25"/>
              <w:ind w:left="0" w:right="782"/>
              <w:jc w:val="right"/>
              <w:rPr>
                <w:sz w:val="17"/>
              </w:rPr>
            </w:pPr>
            <w:r>
              <w:rPr>
                <w:color w:val="231F20"/>
                <w:w w:val="97"/>
                <w:sz w:val="17"/>
              </w:rPr>
              <w:t>9</w:t>
            </w:r>
          </w:p>
        </w:tc>
        <w:tc>
          <w:tcPr>
            <w:tcW w:w="1248" w:type="dxa"/>
            <w:tcBorders>
              <w:left w:val="single" w:sz="2" w:space="0" w:color="231F20"/>
              <w:right w:val="single" w:sz="2" w:space="0" w:color="231F20"/>
            </w:tcBorders>
          </w:tcPr>
          <w:p>
            <w:pPr>
              <w:pStyle w:val="TableParagraph"/>
              <w:spacing w:before="25"/>
              <w:ind w:left="0" w:right="1"/>
              <w:jc w:val="center"/>
              <w:rPr>
                <w:sz w:val="17"/>
              </w:rPr>
            </w:pPr>
            <w:r>
              <w:rPr>
                <w:color w:val="231F20"/>
                <w:w w:val="97"/>
                <w:sz w:val="17"/>
              </w:rPr>
              <w:t>0</w:t>
            </w:r>
          </w:p>
        </w:tc>
        <w:tc>
          <w:tcPr>
            <w:tcW w:w="713" w:type="dxa"/>
            <w:tcBorders>
              <w:left w:val="single" w:sz="2" w:space="0" w:color="231F20"/>
              <w:right w:val="single" w:sz="12" w:space="0" w:color="231F20"/>
            </w:tcBorders>
          </w:tcPr>
          <w:p>
            <w:pPr>
              <w:pStyle w:val="TableParagraph"/>
              <w:spacing w:before="25"/>
              <w:ind w:left="11"/>
              <w:jc w:val="center"/>
              <w:rPr>
                <w:sz w:val="17"/>
              </w:rPr>
            </w:pPr>
            <w:r>
              <w:rPr>
                <w:color w:val="231F20"/>
                <w:w w:val="97"/>
                <w:sz w:val="17"/>
              </w:rPr>
              <w:t>9</w:t>
            </w:r>
          </w:p>
        </w:tc>
      </w:tr>
      <w:tr>
        <w:trPr>
          <w:trHeight w:val="266" w:hRule="exact"/>
        </w:trPr>
        <w:tc>
          <w:tcPr>
            <w:tcW w:w="1987" w:type="dxa"/>
            <w:tcBorders>
              <w:left w:val="single" w:sz="4" w:space="0" w:color="231F20"/>
              <w:right w:val="single" w:sz="4" w:space="0" w:color="231F20"/>
            </w:tcBorders>
          </w:tcPr>
          <w:p>
            <w:pPr>
              <w:pStyle w:val="TableParagraph"/>
              <w:spacing w:before="15"/>
              <w:ind w:left="86"/>
              <w:rPr>
                <w:sz w:val="17"/>
              </w:rPr>
            </w:pPr>
            <w:r>
              <w:rPr>
                <w:color w:val="231F20"/>
                <w:sz w:val="17"/>
              </w:rPr>
              <w:t>Enfermería y Obstetricia</w:t>
            </w:r>
          </w:p>
        </w:tc>
        <w:tc>
          <w:tcPr>
            <w:tcW w:w="1658" w:type="dxa"/>
            <w:tcBorders>
              <w:left w:val="single" w:sz="4" w:space="0" w:color="231F20"/>
              <w:right w:val="single" w:sz="2" w:space="0" w:color="231F20"/>
            </w:tcBorders>
          </w:tcPr>
          <w:p>
            <w:pPr>
              <w:pStyle w:val="TableParagraph"/>
              <w:spacing w:before="30"/>
              <w:ind w:left="0" w:right="739"/>
              <w:jc w:val="right"/>
              <w:rPr>
                <w:sz w:val="17"/>
              </w:rPr>
            </w:pPr>
            <w:r>
              <w:rPr>
                <w:color w:val="231F20"/>
                <w:w w:val="95"/>
                <w:sz w:val="17"/>
              </w:rPr>
              <w:t>32</w:t>
            </w:r>
          </w:p>
        </w:tc>
        <w:tc>
          <w:tcPr>
            <w:tcW w:w="1248" w:type="dxa"/>
            <w:tcBorders>
              <w:left w:val="single" w:sz="2" w:space="0" w:color="231F20"/>
              <w:right w:val="single" w:sz="2" w:space="0" w:color="231F20"/>
            </w:tcBorders>
          </w:tcPr>
          <w:p>
            <w:pPr>
              <w:pStyle w:val="TableParagraph"/>
              <w:spacing w:before="30"/>
              <w:ind w:left="0" w:right="1"/>
              <w:jc w:val="center"/>
              <w:rPr>
                <w:sz w:val="17"/>
              </w:rPr>
            </w:pPr>
            <w:r>
              <w:rPr>
                <w:color w:val="231F20"/>
                <w:w w:val="97"/>
                <w:sz w:val="17"/>
              </w:rPr>
              <w:t>1</w:t>
            </w:r>
          </w:p>
        </w:tc>
        <w:tc>
          <w:tcPr>
            <w:tcW w:w="713" w:type="dxa"/>
            <w:tcBorders>
              <w:left w:val="single" w:sz="2" w:space="0" w:color="231F20"/>
              <w:right w:val="single" w:sz="12" w:space="0" w:color="231F20"/>
            </w:tcBorders>
          </w:tcPr>
          <w:p>
            <w:pPr>
              <w:pStyle w:val="TableParagraph"/>
              <w:spacing w:before="30"/>
              <w:ind w:left="130" w:right="118"/>
              <w:jc w:val="center"/>
              <w:rPr>
                <w:sz w:val="17"/>
              </w:rPr>
            </w:pPr>
            <w:r>
              <w:rPr>
                <w:color w:val="231F20"/>
                <w:sz w:val="17"/>
              </w:rPr>
              <w:t>33</w:t>
            </w:r>
          </w:p>
        </w:tc>
      </w:tr>
      <w:tr>
        <w:trPr>
          <w:trHeight w:val="492" w:hRule="exact"/>
        </w:trPr>
        <w:tc>
          <w:tcPr>
            <w:tcW w:w="1987" w:type="dxa"/>
            <w:tcBorders>
              <w:left w:val="single" w:sz="4" w:space="0" w:color="231F20"/>
              <w:right w:val="single" w:sz="4" w:space="0" w:color="231F20"/>
            </w:tcBorders>
          </w:tcPr>
          <w:p>
            <w:pPr>
              <w:pStyle w:val="TableParagraph"/>
              <w:spacing w:line="295" w:lineRule="auto" w:before="13"/>
              <w:ind w:left="86"/>
              <w:rPr>
                <w:sz w:val="17"/>
              </w:rPr>
            </w:pPr>
            <w:r>
              <w:rPr>
                <w:color w:val="231F20"/>
                <w:sz w:val="17"/>
              </w:rPr>
              <w:t>Medicina veterinaria y Zootecnia</w:t>
            </w:r>
          </w:p>
        </w:tc>
        <w:tc>
          <w:tcPr>
            <w:tcW w:w="1658" w:type="dxa"/>
            <w:tcBorders>
              <w:left w:val="single" w:sz="4" w:space="0" w:color="231F20"/>
              <w:right w:val="single" w:sz="2" w:space="0" w:color="231F20"/>
            </w:tcBorders>
          </w:tcPr>
          <w:p>
            <w:pPr>
              <w:pStyle w:val="TableParagraph"/>
              <w:spacing w:before="138"/>
              <w:ind w:left="0" w:right="782"/>
              <w:jc w:val="right"/>
              <w:rPr>
                <w:sz w:val="17"/>
              </w:rPr>
            </w:pPr>
            <w:r>
              <w:rPr>
                <w:color w:val="231F20"/>
                <w:w w:val="97"/>
                <w:sz w:val="17"/>
              </w:rPr>
              <w:t>8</w:t>
            </w:r>
          </w:p>
        </w:tc>
        <w:tc>
          <w:tcPr>
            <w:tcW w:w="1248" w:type="dxa"/>
            <w:tcBorders>
              <w:left w:val="single" w:sz="2" w:space="0" w:color="231F20"/>
              <w:right w:val="single" w:sz="2" w:space="0" w:color="231F20"/>
            </w:tcBorders>
          </w:tcPr>
          <w:p>
            <w:pPr>
              <w:pStyle w:val="TableParagraph"/>
              <w:spacing w:before="138"/>
              <w:ind w:left="0" w:right="1"/>
              <w:jc w:val="center"/>
              <w:rPr>
                <w:sz w:val="17"/>
              </w:rPr>
            </w:pPr>
            <w:r>
              <w:rPr>
                <w:color w:val="231F20"/>
                <w:w w:val="97"/>
                <w:sz w:val="17"/>
              </w:rPr>
              <w:t>0</w:t>
            </w:r>
          </w:p>
        </w:tc>
        <w:tc>
          <w:tcPr>
            <w:tcW w:w="713" w:type="dxa"/>
            <w:tcBorders>
              <w:left w:val="single" w:sz="2" w:space="0" w:color="231F20"/>
              <w:right w:val="single" w:sz="12" w:space="0" w:color="231F20"/>
            </w:tcBorders>
          </w:tcPr>
          <w:p>
            <w:pPr>
              <w:pStyle w:val="TableParagraph"/>
              <w:spacing w:before="138"/>
              <w:ind w:left="11"/>
              <w:jc w:val="center"/>
              <w:rPr>
                <w:sz w:val="17"/>
              </w:rPr>
            </w:pPr>
            <w:r>
              <w:rPr>
                <w:color w:val="231F20"/>
                <w:w w:val="97"/>
                <w:sz w:val="17"/>
              </w:rPr>
              <w:t>8</w:t>
            </w:r>
          </w:p>
        </w:tc>
      </w:tr>
      <w:tr>
        <w:trPr>
          <w:trHeight w:val="264" w:hRule="exact"/>
        </w:trPr>
        <w:tc>
          <w:tcPr>
            <w:tcW w:w="1987" w:type="dxa"/>
            <w:tcBorders>
              <w:left w:val="single" w:sz="4" w:space="0" w:color="231F20"/>
              <w:right w:val="single" w:sz="4" w:space="0" w:color="231F20"/>
            </w:tcBorders>
          </w:tcPr>
          <w:p>
            <w:pPr>
              <w:pStyle w:val="TableParagraph"/>
              <w:spacing w:before="15"/>
              <w:ind w:left="86"/>
              <w:rPr>
                <w:sz w:val="17"/>
              </w:rPr>
            </w:pPr>
            <w:r>
              <w:rPr>
                <w:color w:val="231F20"/>
                <w:sz w:val="17"/>
              </w:rPr>
              <w:t>Odontología</w:t>
            </w:r>
          </w:p>
        </w:tc>
        <w:tc>
          <w:tcPr>
            <w:tcW w:w="1658" w:type="dxa"/>
            <w:tcBorders>
              <w:left w:val="single" w:sz="4" w:space="0" w:color="231F20"/>
              <w:right w:val="single" w:sz="2" w:space="0" w:color="231F20"/>
            </w:tcBorders>
          </w:tcPr>
          <w:p>
            <w:pPr>
              <w:pStyle w:val="TableParagraph"/>
              <w:spacing w:before="25"/>
              <w:ind w:left="0" w:right="739"/>
              <w:jc w:val="right"/>
              <w:rPr>
                <w:sz w:val="17"/>
              </w:rPr>
            </w:pPr>
            <w:r>
              <w:rPr>
                <w:color w:val="231F20"/>
                <w:w w:val="95"/>
                <w:sz w:val="17"/>
              </w:rPr>
              <w:t>26</w:t>
            </w:r>
          </w:p>
        </w:tc>
        <w:tc>
          <w:tcPr>
            <w:tcW w:w="1248" w:type="dxa"/>
            <w:tcBorders>
              <w:left w:val="single" w:sz="2" w:space="0" w:color="231F20"/>
              <w:right w:val="single" w:sz="2" w:space="0" w:color="231F20"/>
            </w:tcBorders>
          </w:tcPr>
          <w:p>
            <w:pPr>
              <w:pStyle w:val="TableParagraph"/>
              <w:spacing w:before="25"/>
              <w:ind w:left="0" w:right="1"/>
              <w:jc w:val="center"/>
              <w:rPr>
                <w:sz w:val="17"/>
              </w:rPr>
            </w:pPr>
            <w:r>
              <w:rPr>
                <w:color w:val="231F20"/>
                <w:w w:val="97"/>
                <w:sz w:val="17"/>
              </w:rPr>
              <w:t>0</w:t>
            </w:r>
          </w:p>
        </w:tc>
        <w:tc>
          <w:tcPr>
            <w:tcW w:w="713" w:type="dxa"/>
            <w:tcBorders>
              <w:left w:val="single" w:sz="2" w:space="0" w:color="231F20"/>
              <w:right w:val="single" w:sz="12" w:space="0" w:color="231F20"/>
            </w:tcBorders>
          </w:tcPr>
          <w:p>
            <w:pPr>
              <w:pStyle w:val="TableParagraph"/>
              <w:spacing w:before="25"/>
              <w:ind w:left="130" w:right="118"/>
              <w:jc w:val="center"/>
              <w:rPr>
                <w:sz w:val="17"/>
              </w:rPr>
            </w:pPr>
            <w:r>
              <w:rPr>
                <w:color w:val="231F20"/>
                <w:sz w:val="17"/>
              </w:rPr>
              <w:t>26</w:t>
            </w:r>
          </w:p>
        </w:tc>
      </w:tr>
      <w:tr>
        <w:trPr>
          <w:trHeight w:val="477" w:hRule="exact"/>
        </w:trPr>
        <w:tc>
          <w:tcPr>
            <w:tcW w:w="1987" w:type="dxa"/>
            <w:tcBorders>
              <w:left w:val="single" w:sz="4" w:space="0" w:color="231F20"/>
              <w:bottom w:val="single" w:sz="4" w:space="0" w:color="231F20"/>
              <w:right w:val="single" w:sz="4" w:space="0" w:color="231F20"/>
            </w:tcBorders>
          </w:tcPr>
          <w:p>
            <w:pPr>
              <w:pStyle w:val="TableParagraph"/>
              <w:spacing w:line="295" w:lineRule="auto" w:before="15"/>
              <w:ind w:left="86"/>
              <w:rPr>
                <w:sz w:val="17"/>
              </w:rPr>
            </w:pPr>
            <w:r>
              <w:rPr>
                <w:color w:val="231F20"/>
                <w:sz w:val="17"/>
              </w:rPr>
              <w:t>Químico Biólogo Farma- céutico</w:t>
            </w:r>
          </w:p>
        </w:tc>
        <w:tc>
          <w:tcPr>
            <w:tcW w:w="1658" w:type="dxa"/>
            <w:tcBorders>
              <w:left w:val="single" w:sz="4" w:space="0" w:color="231F20"/>
              <w:bottom w:val="single" w:sz="4" w:space="0" w:color="231F20"/>
              <w:right w:val="single" w:sz="2" w:space="0" w:color="231F20"/>
            </w:tcBorders>
          </w:tcPr>
          <w:p>
            <w:pPr>
              <w:pStyle w:val="TableParagraph"/>
              <w:spacing w:before="140"/>
              <w:ind w:left="0" w:right="739"/>
              <w:jc w:val="right"/>
              <w:rPr>
                <w:sz w:val="17"/>
              </w:rPr>
            </w:pPr>
            <w:r>
              <w:rPr>
                <w:color w:val="231F20"/>
                <w:w w:val="95"/>
                <w:sz w:val="17"/>
              </w:rPr>
              <w:t>15</w:t>
            </w:r>
          </w:p>
        </w:tc>
        <w:tc>
          <w:tcPr>
            <w:tcW w:w="1248" w:type="dxa"/>
            <w:tcBorders>
              <w:left w:val="single" w:sz="2" w:space="0" w:color="231F20"/>
              <w:bottom w:val="single" w:sz="4" w:space="0" w:color="231F20"/>
              <w:right w:val="single" w:sz="2" w:space="0" w:color="231F20"/>
            </w:tcBorders>
          </w:tcPr>
          <w:p>
            <w:pPr>
              <w:pStyle w:val="TableParagraph"/>
              <w:spacing w:before="140"/>
              <w:ind w:left="0" w:right="1"/>
              <w:jc w:val="center"/>
              <w:rPr>
                <w:sz w:val="17"/>
              </w:rPr>
            </w:pPr>
            <w:r>
              <w:rPr>
                <w:color w:val="231F20"/>
                <w:w w:val="97"/>
                <w:sz w:val="17"/>
              </w:rPr>
              <w:t>0</w:t>
            </w:r>
          </w:p>
        </w:tc>
        <w:tc>
          <w:tcPr>
            <w:tcW w:w="713" w:type="dxa"/>
            <w:tcBorders>
              <w:left w:val="single" w:sz="2" w:space="0" w:color="231F20"/>
              <w:bottom w:val="single" w:sz="4" w:space="0" w:color="231F20"/>
              <w:right w:val="single" w:sz="12" w:space="0" w:color="231F20"/>
            </w:tcBorders>
          </w:tcPr>
          <w:p>
            <w:pPr>
              <w:pStyle w:val="TableParagraph"/>
              <w:spacing w:before="140"/>
              <w:ind w:left="130" w:right="118"/>
              <w:jc w:val="center"/>
              <w:rPr>
                <w:sz w:val="17"/>
              </w:rPr>
            </w:pPr>
            <w:r>
              <w:rPr>
                <w:color w:val="231F20"/>
                <w:sz w:val="17"/>
              </w:rPr>
              <w:t>15</w:t>
            </w:r>
          </w:p>
        </w:tc>
      </w:tr>
      <w:tr>
        <w:trPr>
          <w:trHeight w:val="274" w:hRule="exact"/>
        </w:trPr>
        <w:tc>
          <w:tcPr>
            <w:tcW w:w="1987" w:type="dxa"/>
            <w:tcBorders>
              <w:top w:val="single" w:sz="4" w:space="0" w:color="231F20"/>
              <w:left w:val="single" w:sz="4" w:space="0" w:color="231F20"/>
              <w:bottom w:val="single" w:sz="4" w:space="0" w:color="231F20"/>
              <w:right w:val="single" w:sz="4" w:space="0" w:color="231F20"/>
            </w:tcBorders>
          </w:tcPr>
          <w:p>
            <w:pPr>
              <w:pStyle w:val="TableParagraph"/>
              <w:spacing w:before="33"/>
              <w:ind w:left="86"/>
              <w:rPr>
                <w:b/>
                <w:sz w:val="17"/>
              </w:rPr>
            </w:pPr>
            <w:r>
              <w:rPr>
                <w:b/>
                <w:color w:val="231F20"/>
                <w:w w:val="105"/>
                <w:sz w:val="17"/>
              </w:rPr>
              <w:t>Total</w:t>
            </w:r>
          </w:p>
        </w:tc>
        <w:tc>
          <w:tcPr>
            <w:tcW w:w="1658" w:type="dxa"/>
            <w:tcBorders>
              <w:top w:val="single" w:sz="4" w:space="0" w:color="231F20"/>
              <w:left w:val="single" w:sz="4" w:space="0" w:color="231F20"/>
              <w:bottom w:val="single" w:sz="4" w:space="0" w:color="231F20"/>
              <w:right w:val="single" w:sz="2" w:space="0" w:color="231F20"/>
            </w:tcBorders>
          </w:tcPr>
          <w:p>
            <w:pPr>
              <w:pStyle w:val="TableParagraph"/>
              <w:spacing w:before="47"/>
              <w:ind w:left="0" w:right="704"/>
              <w:jc w:val="right"/>
              <w:rPr>
                <w:b/>
                <w:sz w:val="17"/>
              </w:rPr>
            </w:pPr>
            <w:r>
              <w:rPr>
                <w:b/>
                <w:color w:val="231F20"/>
                <w:w w:val="90"/>
                <w:sz w:val="17"/>
              </w:rPr>
              <w:t>219</w:t>
            </w:r>
          </w:p>
        </w:tc>
        <w:tc>
          <w:tcPr>
            <w:tcW w:w="1248" w:type="dxa"/>
            <w:tcBorders>
              <w:top w:val="single" w:sz="4" w:space="0" w:color="231F20"/>
              <w:left w:val="single" w:sz="2" w:space="0" w:color="231F20"/>
              <w:bottom w:val="single" w:sz="4" w:space="0" w:color="231F20"/>
              <w:right w:val="single" w:sz="2" w:space="0" w:color="231F20"/>
            </w:tcBorders>
          </w:tcPr>
          <w:p>
            <w:pPr>
              <w:pStyle w:val="TableParagraph"/>
              <w:spacing w:before="47"/>
              <w:ind w:left="0" w:right="1"/>
              <w:jc w:val="center"/>
              <w:rPr>
                <w:b/>
                <w:sz w:val="17"/>
              </w:rPr>
            </w:pPr>
            <w:r>
              <w:rPr>
                <w:b/>
                <w:color w:val="231F20"/>
                <w:w w:val="97"/>
                <w:sz w:val="17"/>
              </w:rPr>
              <w:t>4</w:t>
            </w:r>
          </w:p>
        </w:tc>
        <w:tc>
          <w:tcPr>
            <w:tcW w:w="713" w:type="dxa"/>
            <w:tcBorders>
              <w:top w:val="single" w:sz="4" w:space="0" w:color="231F20"/>
              <w:left w:val="single" w:sz="2" w:space="0" w:color="231F20"/>
              <w:bottom w:val="single" w:sz="4" w:space="0" w:color="231F20"/>
              <w:right w:val="single" w:sz="4" w:space="0" w:color="231F20"/>
            </w:tcBorders>
          </w:tcPr>
          <w:p>
            <w:pPr>
              <w:pStyle w:val="TableParagraph"/>
              <w:spacing w:before="47"/>
              <w:ind w:left="206" w:right="204"/>
              <w:jc w:val="center"/>
              <w:rPr>
                <w:b/>
                <w:sz w:val="17"/>
              </w:rPr>
            </w:pPr>
            <w:r>
              <w:rPr>
                <w:b/>
                <w:color w:val="231F20"/>
                <w:sz w:val="17"/>
              </w:rPr>
              <w:t>223</w:t>
            </w:r>
          </w:p>
        </w:tc>
      </w:tr>
    </w:tbl>
    <w:p>
      <w:pPr>
        <w:spacing w:after="0"/>
        <w:jc w:val="center"/>
        <w:rPr>
          <w:sz w:val="17"/>
        </w:rPr>
        <w:sectPr>
          <w:headerReference w:type="default" r:id="rId872"/>
          <w:footerReference w:type="default" r:id="rId873"/>
          <w:pgSz w:w="7830" w:h="11910"/>
          <w:pgMar w:header="0" w:footer="424" w:top="500" w:bottom="620" w:left="900" w:right="1060"/>
          <w:pgNumType w:start="394"/>
        </w:sectPr>
      </w:pPr>
    </w:p>
    <w:p>
      <w:pPr>
        <w:spacing w:before="46"/>
        <w:ind w:left="258" w:right="312"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line="273" w:lineRule="auto" w:before="111"/>
        <w:ind w:left="258" w:right="312" w:firstLine="0"/>
        <w:jc w:val="center"/>
        <w:rPr>
          <w:b/>
          <w:sz w:val="19"/>
        </w:rPr>
      </w:pPr>
      <w:r>
        <w:rPr>
          <w:b/>
          <w:color w:val="231F20"/>
          <w:w w:val="105"/>
          <w:sz w:val="19"/>
        </w:rPr>
        <w:t>Cuadro 9.Sabes si algún compañero ha sufrido alguna situación de violencia por parte de porros</w:t>
      </w:r>
    </w:p>
    <w:p>
      <w:pPr>
        <w:pStyle w:val="BodyText"/>
        <w:spacing w:before="8"/>
        <w:rPr>
          <w:b/>
          <w:sz w:val="19"/>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6"/>
        <w:gridCol w:w="1654"/>
        <w:gridCol w:w="1354"/>
        <w:gridCol w:w="679"/>
      </w:tblGrid>
      <w:tr>
        <w:trPr>
          <w:trHeight w:val="970" w:hRule="exact"/>
        </w:trPr>
        <w:tc>
          <w:tcPr>
            <w:tcW w:w="2126" w:type="dxa"/>
            <w:tcBorders>
              <w:top w:val="single" w:sz="12" w:space="0" w:color="231F20"/>
              <w:left w:val="single" w:sz="12" w:space="0" w:color="231F20"/>
              <w:bottom w:val="single" w:sz="12" w:space="0" w:color="231F20"/>
              <w:right w:val="single" w:sz="12" w:space="0" w:color="231F20"/>
            </w:tcBorders>
          </w:tcPr>
          <w:p>
            <w:pPr/>
          </w:p>
        </w:tc>
        <w:tc>
          <w:tcPr>
            <w:tcW w:w="3007" w:type="dxa"/>
            <w:gridSpan w:val="2"/>
            <w:tcBorders>
              <w:top w:val="single" w:sz="12" w:space="0" w:color="231F20"/>
              <w:left w:val="single" w:sz="12" w:space="0" w:color="231F20"/>
              <w:bottom w:val="single" w:sz="2" w:space="0" w:color="231F20"/>
              <w:right w:val="single" w:sz="2" w:space="0" w:color="231F20"/>
            </w:tcBorders>
          </w:tcPr>
          <w:p>
            <w:pPr>
              <w:pStyle w:val="TableParagraph"/>
              <w:spacing w:before="1"/>
              <w:ind w:left="0"/>
              <w:rPr>
                <w:b/>
                <w:sz w:val="22"/>
              </w:rPr>
            </w:pPr>
          </w:p>
          <w:p>
            <w:pPr>
              <w:pStyle w:val="TableParagraph"/>
              <w:spacing w:line="295" w:lineRule="auto"/>
              <w:ind w:left="92" w:right="105"/>
              <w:jc w:val="center"/>
              <w:rPr>
                <w:b/>
                <w:sz w:val="17"/>
              </w:rPr>
            </w:pPr>
            <w:r>
              <w:rPr>
                <w:b/>
                <w:color w:val="231F20"/>
                <w:w w:val="105"/>
                <w:sz w:val="17"/>
              </w:rPr>
              <w:t>Sabes si algún compañero ha sufrido alguna situación de violencia</w:t>
            </w:r>
          </w:p>
          <w:p>
            <w:pPr>
              <w:pStyle w:val="TableParagraph"/>
              <w:spacing w:before="1"/>
              <w:ind w:left="92" w:right="62"/>
              <w:jc w:val="center"/>
              <w:rPr>
                <w:b/>
                <w:sz w:val="17"/>
              </w:rPr>
            </w:pPr>
            <w:r>
              <w:rPr>
                <w:b/>
                <w:color w:val="231F20"/>
                <w:sz w:val="17"/>
              </w:rPr>
              <w:t>por parte de porros 1s,2n</w:t>
            </w:r>
          </w:p>
        </w:tc>
        <w:tc>
          <w:tcPr>
            <w:tcW w:w="679" w:type="dxa"/>
            <w:tcBorders>
              <w:top w:val="single" w:sz="12" w:space="0" w:color="231F20"/>
              <w:left w:val="single" w:sz="2" w:space="0" w:color="231F20"/>
              <w:bottom w:val="single" w:sz="2" w:space="0" w:color="231F20"/>
              <w:right w:val="single" w:sz="12" w:space="0" w:color="231F20"/>
            </w:tcBorders>
          </w:tcPr>
          <w:p>
            <w:pPr>
              <w:pStyle w:val="TableParagraph"/>
              <w:ind w:left="0"/>
              <w:rPr>
                <w:b/>
                <w:sz w:val="18"/>
              </w:rPr>
            </w:pPr>
          </w:p>
          <w:p>
            <w:pPr>
              <w:pStyle w:val="TableParagraph"/>
              <w:ind w:left="0"/>
              <w:rPr>
                <w:b/>
                <w:sz w:val="18"/>
              </w:rPr>
            </w:pPr>
          </w:p>
          <w:p>
            <w:pPr>
              <w:pStyle w:val="TableParagraph"/>
              <w:ind w:left="0"/>
              <w:rPr>
                <w:b/>
                <w:sz w:val="18"/>
              </w:rPr>
            </w:pPr>
          </w:p>
          <w:p>
            <w:pPr>
              <w:pStyle w:val="TableParagraph"/>
              <w:spacing w:before="113"/>
              <w:ind w:left="113" w:right="102"/>
              <w:jc w:val="center"/>
              <w:rPr>
                <w:b/>
                <w:sz w:val="17"/>
              </w:rPr>
            </w:pPr>
            <w:r>
              <w:rPr>
                <w:b/>
                <w:color w:val="231F20"/>
                <w:w w:val="105"/>
                <w:sz w:val="17"/>
              </w:rPr>
              <w:t>Total</w:t>
            </w:r>
          </w:p>
        </w:tc>
      </w:tr>
      <w:tr>
        <w:trPr>
          <w:trHeight w:val="662" w:hRule="exact"/>
        </w:trPr>
        <w:tc>
          <w:tcPr>
            <w:tcW w:w="2126" w:type="dxa"/>
            <w:tcBorders>
              <w:top w:val="single" w:sz="12" w:space="0" w:color="231F20"/>
              <w:left w:val="single" w:sz="12" w:space="0" w:color="231F20"/>
              <w:bottom w:val="single" w:sz="4" w:space="0" w:color="231F20"/>
              <w:right w:val="single" w:sz="12" w:space="0" w:color="231F20"/>
            </w:tcBorders>
          </w:tcPr>
          <w:p>
            <w:pPr/>
          </w:p>
        </w:tc>
        <w:tc>
          <w:tcPr>
            <w:tcW w:w="1654" w:type="dxa"/>
            <w:tcBorders>
              <w:top w:val="single" w:sz="2" w:space="0" w:color="231F20"/>
              <w:left w:val="single" w:sz="12" w:space="0" w:color="231F20"/>
              <w:bottom w:val="single" w:sz="12" w:space="0" w:color="231F20"/>
              <w:right w:val="single" w:sz="2" w:space="0" w:color="231F20"/>
            </w:tcBorders>
          </w:tcPr>
          <w:p>
            <w:pPr>
              <w:pStyle w:val="TableParagraph"/>
              <w:ind w:left="0"/>
              <w:rPr>
                <w:b/>
                <w:sz w:val="18"/>
              </w:rPr>
            </w:pPr>
          </w:p>
          <w:p>
            <w:pPr>
              <w:pStyle w:val="TableParagraph"/>
              <w:spacing w:before="1"/>
              <w:ind w:left="0"/>
              <w:rPr>
                <w:b/>
                <w:sz w:val="20"/>
              </w:rPr>
            </w:pPr>
          </w:p>
          <w:p>
            <w:pPr>
              <w:pStyle w:val="TableParagraph"/>
              <w:spacing w:before="1"/>
              <w:ind w:left="722" w:right="732"/>
              <w:jc w:val="center"/>
              <w:rPr>
                <w:b/>
                <w:sz w:val="17"/>
              </w:rPr>
            </w:pPr>
            <w:r>
              <w:rPr>
                <w:b/>
                <w:color w:val="231F20"/>
                <w:sz w:val="17"/>
              </w:rPr>
              <w:t>Sí</w:t>
            </w:r>
          </w:p>
        </w:tc>
        <w:tc>
          <w:tcPr>
            <w:tcW w:w="1354" w:type="dxa"/>
            <w:tcBorders>
              <w:top w:val="single" w:sz="2" w:space="0" w:color="231F20"/>
              <w:left w:val="single" w:sz="2" w:space="0" w:color="231F20"/>
              <w:bottom w:val="single" w:sz="12" w:space="0" w:color="231F20"/>
              <w:right w:val="single" w:sz="2" w:space="0" w:color="231F20"/>
            </w:tcBorders>
          </w:tcPr>
          <w:p>
            <w:pPr>
              <w:pStyle w:val="TableParagraph"/>
              <w:ind w:left="0"/>
              <w:rPr>
                <w:b/>
                <w:sz w:val="18"/>
              </w:rPr>
            </w:pPr>
          </w:p>
          <w:p>
            <w:pPr>
              <w:pStyle w:val="TableParagraph"/>
              <w:spacing w:before="1"/>
              <w:ind w:left="0"/>
              <w:rPr>
                <w:b/>
                <w:sz w:val="20"/>
              </w:rPr>
            </w:pPr>
          </w:p>
          <w:p>
            <w:pPr>
              <w:pStyle w:val="TableParagraph"/>
              <w:spacing w:before="1"/>
              <w:ind w:left="535" w:right="534"/>
              <w:jc w:val="center"/>
              <w:rPr>
                <w:b/>
                <w:sz w:val="17"/>
              </w:rPr>
            </w:pPr>
            <w:r>
              <w:rPr>
                <w:b/>
                <w:color w:val="231F20"/>
                <w:w w:val="115"/>
                <w:sz w:val="17"/>
              </w:rPr>
              <w:t>No</w:t>
            </w:r>
          </w:p>
        </w:tc>
        <w:tc>
          <w:tcPr>
            <w:tcW w:w="679" w:type="dxa"/>
            <w:tcBorders>
              <w:top w:val="single" w:sz="2" w:space="0" w:color="231F20"/>
              <w:left w:val="single" w:sz="2" w:space="0" w:color="231F20"/>
              <w:bottom w:val="single" w:sz="12" w:space="0" w:color="231F20"/>
              <w:right w:val="single" w:sz="12" w:space="0" w:color="231F20"/>
            </w:tcBorders>
          </w:tcPr>
          <w:p>
            <w:pPr>
              <w:pStyle w:val="TableParagraph"/>
              <w:ind w:left="0"/>
              <w:rPr>
                <w:b/>
                <w:sz w:val="18"/>
              </w:rPr>
            </w:pPr>
          </w:p>
          <w:p>
            <w:pPr>
              <w:pStyle w:val="TableParagraph"/>
              <w:spacing w:before="1"/>
              <w:ind w:left="0"/>
              <w:rPr>
                <w:b/>
                <w:sz w:val="20"/>
              </w:rPr>
            </w:pPr>
          </w:p>
          <w:p>
            <w:pPr>
              <w:pStyle w:val="TableParagraph"/>
              <w:spacing w:before="1"/>
              <w:ind w:left="112" w:right="102"/>
              <w:jc w:val="center"/>
              <w:rPr>
                <w:b/>
                <w:sz w:val="17"/>
              </w:rPr>
            </w:pPr>
            <w:r>
              <w:rPr>
                <w:b/>
                <w:color w:val="231F20"/>
                <w:sz w:val="17"/>
              </w:rPr>
              <w:t>Sí</w:t>
            </w:r>
          </w:p>
        </w:tc>
      </w:tr>
      <w:tr>
        <w:trPr>
          <w:trHeight w:val="301" w:hRule="exact"/>
        </w:trPr>
        <w:tc>
          <w:tcPr>
            <w:tcW w:w="2126" w:type="dxa"/>
            <w:tcBorders>
              <w:top w:val="single" w:sz="4" w:space="0" w:color="231F20"/>
              <w:left w:val="single" w:sz="4" w:space="0" w:color="231F20"/>
              <w:right w:val="single" w:sz="4" w:space="0" w:color="231F20"/>
            </w:tcBorders>
          </w:tcPr>
          <w:p>
            <w:pPr>
              <w:pStyle w:val="TableParagraph"/>
              <w:spacing w:before="47"/>
              <w:ind w:left="86"/>
              <w:rPr>
                <w:sz w:val="17"/>
              </w:rPr>
            </w:pPr>
            <w:r>
              <w:rPr>
                <w:color w:val="231F20"/>
                <w:sz w:val="17"/>
              </w:rPr>
              <w:t>Carrera</w:t>
            </w:r>
          </w:p>
        </w:tc>
        <w:tc>
          <w:tcPr>
            <w:tcW w:w="1654" w:type="dxa"/>
            <w:tcBorders>
              <w:top w:val="single" w:sz="12" w:space="0" w:color="231F20"/>
              <w:left w:val="single" w:sz="4" w:space="0" w:color="231F20"/>
              <w:right w:val="single" w:sz="2" w:space="0" w:color="231F20"/>
            </w:tcBorders>
          </w:tcPr>
          <w:p>
            <w:pPr>
              <w:pStyle w:val="TableParagraph"/>
              <w:spacing w:before="47"/>
              <w:ind w:left="0" w:right="1"/>
              <w:jc w:val="center"/>
              <w:rPr>
                <w:sz w:val="17"/>
              </w:rPr>
            </w:pPr>
            <w:r>
              <w:rPr>
                <w:color w:val="231F20"/>
                <w:w w:val="97"/>
                <w:sz w:val="17"/>
              </w:rPr>
              <w:t>6</w:t>
            </w:r>
          </w:p>
        </w:tc>
        <w:tc>
          <w:tcPr>
            <w:tcW w:w="1354" w:type="dxa"/>
            <w:tcBorders>
              <w:top w:val="single" w:sz="12" w:space="0" w:color="231F20"/>
              <w:left w:val="single" w:sz="2" w:space="0" w:color="231F20"/>
              <w:right w:val="single" w:sz="2" w:space="0" w:color="231F20"/>
            </w:tcBorders>
          </w:tcPr>
          <w:p>
            <w:pPr>
              <w:pStyle w:val="TableParagraph"/>
              <w:spacing w:before="47"/>
              <w:ind w:left="0"/>
              <w:jc w:val="center"/>
              <w:rPr>
                <w:sz w:val="17"/>
              </w:rPr>
            </w:pPr>
            <w:r>
              <w:rPr>
                <w:color w:val="231F20"/>
                <w:w w:val="97"/>
                <w:sz w:val="17"/>
              </w:rPr>
              <w:t>0</w:t>
            </w:r>
          </w:p>
        </w:tc>
        <w:tc>
          <w:tcPr>
            <w:tcW w:w="679" w:type="dxa"/>
            <w:tcBorders>
              <w:top w:val="single" w:sz="12" w:space="0" w:color="231F20"/>
              <w:left w:val="single" w:sz="2" w:space="0" w:color="231F20"/>
              <w:right w:val="single" w:sz="12" w:space="0" w:color="231F20"/>
            </w:tcBorders>
          </w:tcPr>
          <w:p>
            <w:pPr>
              <w:pStyle w:val="TableParagraph"/>
              <w:spacing w:before="47"/>
              <w:ind w:left="9"/>
              <w:jc w:val="center"/>
              <w:rPr>
                <w:sz w:val="17"/>
              </w:rPr>
            </w:pPr>
            <w:r>
              <w:rPr>
                <w:color w:val="231F20"/>
                <w:w w:val="97"/>
                <w:sz w:val="17"/>
              </w:rPr>
              <w:t>6</w:t>
            </w:r>
          </w:p>
        </w:tc>
      </w:tr>
      <w:tr>
        <w:trPr>
          <w:trHeight w:val="264" w:hRule="exact"/>
        </w:trPr>
        <w:tc>
          <w:tcPr>
            <w:tcW w:w="2126" w:type="dxa"/>
            <w:tcBorders>
              <w:left w:val="single" w:sz="4" w:space="0" w:color="231F20"/>
              <w:right w:val="single" w:sz="4" w:space="0" w:color="231F20"/>
            </w:tcBorders>
          </w:tcPr>
          <w:p>
            <w:pPr>
              <w:pStyle w:val="TableParagraph"/>
              <w:spacing w:before="15"/>
              <w:ind w:left="86"/>
              <w:rPr>
                <w:sz w:val="17"/>
              </w:rPr>
            </w:pPr>
            <w:r>
              <w:rPr>
                <w:color w:val="231F20"/>
                <w:sz w:val="17"/>
              </w:rPr>
              <w:t>Administración</w:t>
            </w:r>
          </w:p>
        </w:tc>
        <w:tc>
          <w:tcPr>
            <w:tcW w:w="1654" w:type="dxa"/>
            <w:tcBorders>
              <w:left w:val="single" w:sz="4" w:space="0" w:color="231F20"/>
              <w:right w:val="single" w:sz="2" w:space="0" w:color="231F20"/>
            </w:tcBorders>
          </w:tcPr>
          <w:p>
            <w:pPr>
              <w:pStyle w:val="TableParagraph"/>
              <w:spacing w:before="25"/>
              <w:ind w:left="0" w:right="1"/>
              <w:jc w:val="center"/>
              <w:rPr>
                <w:sz w:val="17"/>
              </w:rPr>
            </w:pPr>
            <w:r>
              <w:rPr>
                <w:color w:val="231F20"/>
                <w:w w:val="97"/>
                <w:sz w:val="17"/>
              </w:rPr>
              <w:t>4</w:t>
            </w:r>
          </w:p>
        </w:tc>
        <w:tc>
          <w:tcPr>
            <w:tcW w:w="1354" w:type="dxa"/>
            <w:tcBorders>
              <w:left w:val="single" w:sz="2" w:space="0" w:color="231F20"/>
              <w:right w:val="single" w:sz="2" w:space="0" w:color="231F20"/>
            </w:tcBorders>
          </w:tcPr>
          <w:p>
            <w:pPr>
              <w:pStyle w:val="TableParagraph"/>
              <w:spacing w:before="25"/>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25"/>
              <w:ind w:left="9"/>
              <w:jc w:val="center"/>
              <w:rPr>
                <w:sz w:val="17"/>
              </w:rPr>
            </w:pPr>
            <w:r>
              <w:rPr>
                <w:color w:val="231F20"/>
                <w:w w:val="97"/>
                <w:sz w:val="17"/>
              </w:rPr>
              <w:t>4</w:t>
            </w:r>
          </w:p>
        </w:tc>
      </w:tr>
      <w:tr>
        <w:trPr>
          <w:trHeight w:val="266" w:hRule="exact"/>
        </w:trPr>
        <w:tc>
          <w:tcPr>
            <w:tcW w:w="2126" w:type="dxa"/>
            <w:tcBorders>
              <w:left w:val="single" w:sz="4" w:space="0" w:color="231F20"/>
              <w:right w:val="single" w:sz="4" w:space="0" w:color="231F20"/>
            </w:tcBorders>
          </w:tcPr>
          <w:p>
            <w:pPr>
              <w:pStyle w:val="TableParagraph"/>
              <w:spacing w:before="15"/>
              <w:ind w:left="86"/>
              <w:rPr>
                <w:sz w:val="17"/>
              </w:rPr>
            </w:pPr>
            <w:r>
              <w:rPr>
                <w:color w:val="231F20"/>
                <w:sz w:val="17"/>
              </w:rPr>
              <w:t>Arquitectura</w:t>
            </w:r>
          </w:p>
        </w:tc>
        <w:tc>
          <w:tcPr>
            <w:tcW w:w="1654" w:type="dxa"/>
            <w:tcBorders>
              <w:left w:val="single" w:sz="4" w:space="0" w:color="231F20"/>
              <w:right w:val="single" w:sz="2" w:space="0" w:color="231F20"/>
            </w:tcBorders>
          </w:tcPr>
          <w:p>
            <w:pPr>
              <w:pStyle w:val="TableParagraph"/>
              <w:spacing w:before="30"/>
              <w:ind w:left="412" w:right="412"/>
              <w:jc w:val="center"/>
              <w:rPr>
                <w:sz w:val="17"/>
              </w:rPr>
            </w:pPr>
            <w:r>
              <w:rPr>
                <w:color w:val="231F20"/>
                <w:sz w:val="17"/>
              </w:rPr>
              <w:t>32</w:t>
            </w:r>
          </w:p>
        </w:tc>
        <w:tc>
          <w:tcPr>
            <w:tcW w:w="1354" w:type="dxa"/>
            <w:tcBorders>
              <w:left w:val="single" w:sz="2" w:space="0" w:color="231F20"/>
              <w:right w:val="single" w:sz="2" w:space="0" w:color="231F20"/>
            </w:tcBorders>
          </w:tcPr>
          <w:p>
            <w:pPr>
              <w:pStyle w:val="TableParagraph"/>
              <w:spacing w:before="30"/>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30"/>
              <w:ind w:left="112" w:right="102"/>
              <w:jc w:val="center"/>
              <w:rPr>
                <w:sz w:val="17"/>
              </w:rPr>
            </w:pPr>
            <w:r>
              <w:rPr>
                <w:color w:val="231F20"/>
                <w:sz w:val="17"/>
              </w:rPr>
              <w:t>32</w:t>
            </w:r>
          </w:p>
        </w:tc>
      </w:tr>
      <w:tr>
        <w:trPr>
          <w:trHeight w:val="264" w:hRule="exact"/>
        </w:trPr>
        <w:tc>
          <w:tcPr>
            <w:tcW w:w="2126" w:type="dxa"/>
            <w:tcBorders>
              <w:left w:val="single" w:sz="4" w:space="0" w:color="231F20"/>
              <w:right w:val="single" w:sz="4" w:space="0" w:color="231F20"/>
            </w:tcBorders>
          </w:tcPr>
          <w:p>
            <w:pPr>
              <w:pStyle w:val="TableParagraph"/>
              <w:spacing w:before="13"/>
              <w:ind w:left="86"/>
              <w:rPr>
                <w:sz w:val="17"/>
              </w:rPr>
            </w:pPr>
            <w:r>
              <w:rPr>
                <w:color w:val="231F20"/>
                <w:sz w:val="17"/>
              </w:rPr>
              <w:t>Biología</w:t>
            </w:r>
          </w:p>
        </w:tc>
        <w:tc>
          <w:tcPr>
            <w:tcW w:w="1654" w:type="dxa"/>
            <w:tcBorders>
              <w:left w:val="single" w:sz="4" w:space="0" w:color="231F20"/>
              <w:right w:val="single" w:sz="2" w:space="0" w:color="231F20"/>
            </w:tcBorders>
          </w:tcPr>
          <w:p>
            <w:pPr>
              <w:pStyle w:val="TableParagraph"/>
              <w:spacing w:before="27"/>
              <w:ind w:left="0" w:right="1"/>
              <w:jc w:val="center"/>
              <w:rPr>
                <w:sz w:val="17"/>
              </w:rPr>
            </w:pPr>
            <w:r>
              <w:rPr>
                <w:color w:val="231F20"/>
                <w:w w:val="97"/>
                <w:sz w:val="17"/>
              </w:rPr>
              <w:t>6</w:t>
            </w:r>
          </w:p>
        </w:tc>
        <w:tc>
          <w:tcPr>
            <w:tcW w:w="1354"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27"/>
              <w:ind w:left="9"/>
              <w:jc w:val="center"/>
              <w:rPr>
                <w:sz w:val="17"/>
              </w:rPr>
            </w:pPr>
            <w:r>
              <w:rPr>
                <w:color w:val="231F20"/>
                <w:w w:val="97"/>
                <w:sz w:val="17"/>
              </w:rPr>
              <w:t>6</w:t>
            </w:r>
          </w:p>
        </w:tc>
      </w:tr>
      <w:tr>
        <w:trPr>
          <w:trHeight w:val="266" w:hRule="exact"/>
        </w:trPr>
        <w:tc>
          <w:tcPr>
            <w:tcW w:w="2126" w:type="dxa"/>
            <w:tcBorders>
              <w:left w:val="single" w:sz="4" w:space="0" w:color="231F20"/>
              <w:right w:val="single" w:sz="4" w:space="0" w:color="231F20"/>
            </w:tcBorders>
          </w:tcPr>
          <w:p>
            <w:pPr>
              <w:pStyle w:val="TableParagraph"/>
              <w:spacing w:before="13"/>
              <w:ind w:left="86"/>
              <w:rPr>
                <w:sz w:val="17"/>
              </w:rPr>
            </w:pPr>
            <w:r>
              <w:rPr>
                <w:color w:val="231F20"/>
                <w:sz w:val="17"/>
              </w:rPr>
              <w:t>Ciencias de la Educación</w:t>
            </w:r>
          </w:p>
        </w:tc>
        <w:tc>
          <w:tcPr>
            <w:tcW w:w="1654" w:type="dxa"/>
            <w:tcBorders>
              <w:left w:val="single" w:sz="4" w:space="0" w:color="231F20"/>
              <w:right w:val="single" w:sz="2" w:space="0" w:color="231F20"/>
            </w:tcBorders>
          </w:tcPr>
          <w:p>
            <w:pPr>
              <w:pStyle w:val="TableParagraph"/>
              <w:spacing w:before="27"/>
              <w:ind w:left="412" w:right="412"/>
              <w:jc w:val="center"/>
              <w:rPr>
                <w:sz w:val="17"/>
              </w:rPr>
            </w:pPr>
            <w:r>
              <w:rPr>
                <w:color w:val="231F20"/>
                <w:sz w:val="17"/>
              </w:rPr>
              <w:t>14</w:t>
            </w:r>
          </w:p>
        </w:tc>
        <w:tc>
          <w:tcPr>
            <w:tcW w:w="1354"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27"/>
              <w:ind w:left="112" w:right="102"/>
              <w:jc w:val="center"/>
              <w:rPr>
                <w:sz w:val="17"/>
              </w:rPr>
            </w:pPr>
            <w:r>
              <w:rPr>
                <w:color w:val="231F20"/>
                <w:sz w:val="17"/>
              </w:rPr>
              <w:t>14</w:t>
            </w:r>
          </w:p>
        </w:tc>
      </w:tr>
      <w:tr>
        <w:trPr>
          <w:trHeight w:val="264" w:hRule="exact"/>
        </w:trPr>
        <w:tc>
          <w:tcPr>
            <w:tcW w:w="2126" w:type="dxa"/>
            <w:tcBorders>
              <w:left w:val="single" w:sz="4" w:space="0" w:color="231F20"/>
              <w:right w:val="single" w:sz="4" w:space="0" w:color="231F20"/>
            </w:tcBorders>
          </w:tcPr>
          <w:p>
            <w:pPr>
              <w:pStyle w:val="TableParagraph"/>
              <w:spacing w:before="15"/>
              <w:ind w:left="86"/>
              <w:rPr>
                <w:sz w:val="17"/>
              </w:rPr>
            </w:pPr>
            <w:r>
              <w:rPr>
                <w:color w:val="231F20"/>
                <w:sz w:val="17"/>
              </w:rPr>
              <w:t>Cirujano dentista</w:t>
            </w:r>
          </w:p>
        </w:tc>
        <w:tc>
          <w:tcPr>
            <w:tcW w:w="1654" w:type="dxa"/>
            <w:tcBorders>
              <w:left w:val="single" w:sz="4" w:space="0" w:color="231F20"/>
              <w:right w:val="single" w:sz="2" w:space="0" w:color="231F20"/>
            </w:tcBorders>
          </w:tcPr>
          <w:p>
            <w:pPr>
              <w:pStyle w:val="TableParagraph"/>
              <w:spacing w:before="25"/>
              <w:ind w:left="412" w:right="412"/>
              <w:jc w:val="center"/>
              <w:rPr>
                <w:sz w:val="17"/>
              </w:rPr>
            </w:pPr>
            <w:r>
              <w:rPr>
                <w:color w:val="231F20"/>
                <w:sz w:val="17"/>
              </w:rPr>
              <w:t>13</w:t>
            </w:r>
          </w:p>
        </w:tc>
        <w:tc>
          <w:tcPr>
            <w:tcW w:w="1354" w:type="dxa"/>
            <w:tcBorders>
              <w:left w:val="single" w:sz="2" w:space="0" w:color="231F20"/>
              <w:right w:val="single" w:sz="2" w:space="0" w:color="231F20"/>
            </w:tcBorders>
          </w:tcPr>
          <w:p>
            <w:pPr>
              <w:pStyle w:val="TableParagraph"/>
              <w:spacing w:before="25"/>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25"/>
              <w:ind w:left="112" w:right="102"/>
              <w:jc w:val="center"/>
              <w:rPr>
                <w:sz w:val="17"/>
              </w:rPr>
            </w:pPr>
            <w:r>
              <w:rPr>
                <w:color w:val="231F20"/>
                <w:sz w:val="17"/>
              </w:rPr>
              <w:t>13</w:t>
            </w:r>
          </w:p>
        </w:tc>
      </w:tr>
      <w:tr>
        <w:trPr>
          <w:trHeight w:val="264" w:hRule="exact"/>
        </w:trPr>
        <w:tc>
          <w:tcPr>
            <w:tcW w:w="2126" w:type="dxa"/>
            <w:tcBorders>
              <w:left w:val="single" w:sz="4" w:space="0" w:color="231F20"/>
              <w:right w:val="single" w:sz="4" w:space="0" w:color="231F20"/>
            </w:tcBorders>
          </w:tcPr>
          <w:p>
            <w:pPr>
              <w:pStyle w:val="TableParagraph"/>
              <w:spacing w:before="15"/>
              <w:ind w:left="86"/>
              <w:rPr>
                <w:sz w:val="17"/>
              </w:rPr>
            </w:pPr>
            <w:r>
              <w:rPr>
                <w:color w:val="231F20"/>
                <w:sz w:val="17"/>
              </w:rPr>
              <w:t>Computación</w:t>
            </w:r>
          </w:p>
        </w:tc>
        <w:tc>
          <w:tcPr>
            <w:tcW w:w="1654" w:type="dxa"/>
            <w:tcBorders>
              <w:left w:val="single" w:sz="4" w:space="0" w:color="231F20"/>
              <w:right w:val="single" w:sz="2" w:space="0" w:color="231F20"/>
            </w:tcBorders>
          </w:tcPr>
          <w:p>
            <w:pPr>
              <w:pStyle w:val="TableParagraph"/>
              <w:spacing w:before="25"/>
              <w:ind w:left="0" w:right="1"/>
              <w:jc w:val="center"/>
              <w:rPr>
                <w:sz w:val="17"/>
              </w:rPr>
            </w:pPr>
            <w:r>
              <w:rPr>
                <w:color w:val="231F20"/>
                <w:w w:val="97"/>
                <w:sz w:val="17"/>
              </w:rPr>
              <w:t>4</w:t>
            </w:r>
          </w:p>
        </w:tc>
        <w:tc>
          <w:tcPr>
            <w:tcW w:w="1354" w:type="dxa"/>
            <w:tcBorders>
              <w:left w:val="single" w:sz="2" w:space="0" w:color="231F20"/>
              <w:right w:val="single" w:sz="2" w:space="0" w:color="231F20"/>
            </w:tcBorders>
          </w:tcPr>
          <w:p>
            <w:pPr>
              <w:pStyle w:val="TableParagraph"/>
              <w:spacing w:before="25"/>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25"/>
              <w:ind w:left="9"/>
              <w:jc w:val="center"/>
              <w:rPr>
                <w:sz w:val="17"/>
              </w:rPr>
            </w:pPr>
            <w:r>
              <w:rPr>
                <w:color w:val="231F20"/>
                <w:w w:val="97"/>
                <w:sz w:val="17"/>
              </w:rPr>
              <w:t>4</w:t>
            </w:r>
          </w:p>
        </w:tc>
      </w:tr>
      <w:tr>
        <w:trPr>
          <w:trHeight w:val="266" w:hRule="exact"/>
        </w:trPr>
        <w:tc>
          <w:tcPr>
            <w:tcW w:w="2126" w:type="dxa"/>
            <w:tcBorders>
              <w:left w:val="single" w:sz="4" w:space="0" w:color="231F20"/>
              <w:right w:val="single" w:sz="4" w:space="0" w:color="231F20"/>
            </w:tcBorders>
          </w:tcPr>
          <w:p>
            <w:pPr>
              <w:pStyle w:val="TableParagraph"/>
              <w:spacing w:before="15"/>
              <w:ind w:left="86"/>
              <w:rPr>
                <w:sz w:val="17"/>
              </w:rPr>
            </w:pPr>
            <w:r>
              <w:rPr>
                <w:color w:val="231F20"/>
                <w:sz w:val="17"/>
              </w:rPr>
              <w:t>Contaduría Pública</w:t>
            </w:r>
          </w:p>
        </w:tc>
        <w:tc>
          <w:tcPr>
            <w:tcW w:w="1654" w:type="dxa"/>
            <w:tcBorders>
              <w:left w:val="single" w:sz="4" w:space="0" w:color="231F20"/>
              <w:right w:val="single" w:sz="2" w:space="0" w:color="231F20"/>
            </w:tcBorders>
          </w:tcPr>
          <w:p>
            <w:pPr>
              <w:pStyle w:val="TableParagraph"/>
              <w:spacing w:before="30"/>
              <w:ind w:left="412" w:right="412"/>
              <w:jc w:val="center"/>
              <w:rPr>
                <w:sz w:val="17"/>
              </w:rPr>
            </w:pPr>
            <w:r>
              <w:rPr>
                <w:color w:val="231F20"/>
                <w:sz w:val="17"/>
              </w:rPr>
              <w:t>22</w:t>
            </w:r>
          </w:p>
        </w:tc>
        <w:tc>
          <w:tcPr>
            <w:tcW w:w="1354" w:type="dxa"/>
            <w:tcBorders>
              <w:left w:val="single" w:sz="2" w:space="0" w:color="231F20"/>
              <w:right w:val="single" w:sz="2" w:space="0" w:color="231F20"/>
            </w:tcBorders>
          </w:tcPr>
          <w:p>
            <w:pPr>
              <w:pStyle w:val="TableParagraph"/>
              <w:spacing w:before="30"/>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30"/>
              <w:ind w:left="112" w:right="102"/>
              <w:jc w:val="center"/>
              <w:rPr>
                <w:sz w:val="17"/>
              </w:rPr>
            </w:pPr>
            <w:r>
              <w:rPr>
                <w:color w:val="231F20"/>
                <w:sz w:val="17"/>
              </w:rPr>
              <w:t>22</w:t>
            </w:r>
          </w:p>
        </w:tc>
      </w:tr>
      <w:tr>
        <w:trPr>
          <w:trHeight w:val="264" w:hRule="exact"/>
        </w:trPr>
        <w:tc>
          <w:tcPr>
            <w:tcW w:w="2126" w:type="dxa"/>
            <w:tcBorders>
              <w:left w:val="single" w:sz="4" w:space="0" w:color="231F20"/>
              <w:right w:val="single" w:sz="4" w:space="0" w:color="231F20"/>
            </w:tcBorders>
          </w:tcPr>
          <w:p>
            <w:pPr>
              <w:pStyle w:val="TableParagraph"/>
              <w:spacing w:before="13"/>
              <w:ind w:left="86"/>
              <w:rPr>
                <w:sz w:val="17"/>
              </w:rPr>
            </w:pPr>
            <w:r>
              <w:rPr>
                <w:color w:val="231F20"/>
                <w:w w:val="105"/>
                <w:sz w:val="17"/>
              </w:rPr>
              <w:t>Derecho</w:t>
            </w:r>
          </w:p>
        </w:tc>
        <w:tc>
          <w:tcPr>
            <w:tcW w:w="1654" w:type="dxa"/>
            <w:tcBorders>
              <w:left w:val="single" w:sz="4" w:space="0" w:color="231F20"/>
              <w:right w:val="single" w:sz="2" w:space="0" w:color="231F20"/>
            </w:tcBorders>
          </w:tcPr>
          <w:p>
            <w:pPr>
              <w:pStyle w:val="TableParagraph"/>
              <w:spacing w:before="27"/>
              <w:ind w:left="412" w:right="412"/>
              <w:jc w:val="center"/>
              <w:rPr>
                <w:sz w:val="17"/>
              </w:rPr>
            </w:pPr>
            <w:r>
              <w:rPr>
                <w:color w:val="231F20"/>
                <w:sz w:val="17"/>
              </w:rPr>
              <w:t>61</w:t>
            </w:r>
          </w:p>
        </w:tc>
        <w:tc>
          <w:tcPr>
            <w:tcW w:w="1354"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4</w:t>
            </w:r>
          </w:p>
        </w:tc>
        <w:tc>
          <w:tcPr>
            <w:tcW w:w="679" w:type="dxa"/>
            <w:tcBorders>
              <w:left w:val="single" w:sz="2" w:space="0" w:color="231F20"/>
              <w:right w:val="single" w:sz="12" w:space="0" w:color="231F20"/>
            </w:tcBorders>
          </w:tcPr>
          <w:p>
            <w:pPr>
              <w:pStyle w:val="TableParagraph"/>
              <w:spacing w:before="27"/>
              <w:ind w:left="112" w:right="102"/>
              <w:jc w:val="center"/>
              <w:rPr>
                <w:sz w:val="17"/>
              </w:rPr>
            </w:pPr>
            <w:r>
              <w:rPr>
                <w:color w:val="231F20"/>
                <w:sz w:val="17"/>
              </w:rPr>
              <w:t>65</w:t>
            </w:r>
          </w:p>
        </w:tc>
      </w:tr>
      <w:tr>
        <w:trPr>
          <w:trHeight w:val="266" w:hRule="exact"/>
        </w:trPr>
        <w:tc>
          <w:tcPr>
            <w:tcW w:w="2126" w:type="dxa"/>
            <w:tcBorders>
              <w:left w:val="single" w:sz="4" w:space="0" w:color="231F20"/>
              <w:right w:val="single" w:sz="4" w:space="0" w:color="231F20"/>
            </w:tcBorders>
          </w:tcPr>
          <w:p>
            <w:pPr>
              <w:pStyle w:val="TableParagraph"/>
              <w:spacing w:before="13"/>
              <w:ind w:left="86"/>
              <w:rPr>
                <w:sz w:val="17"/>
              </w:rPr>
            </w:pPr>
            <w:r>
              <w:rPr>
                <w:color w:val="231F20"/>
                <w:sz w:val="17"/>
              </w:rPr>
              <w:t>Economía</w:t>
            </w:r>
          </w:p>
        </w:tc>
        <w:tc>
          <w:tcPr>
            <w:tcW w:w="1654" w:type="dxa"/>
            <w:tcBorders>
              <w:left w:val="single" w:sz="4" w:space="0" w:color="231F20"/>
              <w:right w:val="single" w:sz="2" w:space="0" w:color="231F20"/>
            </w:tcBorders>
          </w:tcPr>
          <w:p>
            <w:pPr>
              <w:pStyle w:val="TableParagraph"/>
              <w:spacing w:before="27"/>
              <w:ind w:left="412" w:right="412"/>
              <w:jc w:val="center"/>
              <w:rPr>
                <w:sz w:val="17"/>
              </w:rPr>
            </w:pPr>
            <w:r>
              <w:rPr>
                <w:color w:val="231F20"/>
                <w:sz w:val="17"/>
              </w:rPr>
              <w:t>11</w:t>
            </w:r>
          </w:p>
        </w:tc>
        <w:tc>
          <w:tcPr>
            <w:tcW w:w="1354"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27"/>
              <w:ind w:left="112" w:right="102"/>
              <w:jc w:val="center"/>
              <w:rPr>
                <w:sz w:val="17"/>
              </w:rPr>
            </w:pPr>
            <w:r>
              <w:rPr>
                <w:color w:val="231F20"/>
                <w:sz w:val="17"/>
              </w:rPr>
              <w:t>11</w:t>
            </w:r>
          </w:p>
        </w:tc>
      </w:tr>
      <w:tr>
        <w:trPr>
          <w:trHeight w:val="264" w:hRule="exact"/>
        </w:trPr>
        <w:tc>
          <w:tcPr>
            <w:tcW w:w="2126" w:type="dxa"/>
            <w:tcBorders>
              <w:left w:val="single" w:sz="4" w:space="0" w:color="231F20"/>
              <w:right w:val="single" w:sz="4" w:space="0" w:color="231F20"/>
            </w:tcBorders>
          </w:tcPr>
          <w:p>
            <w:pPr>
              <w:pStyle w:val="TableParagraph"/>
              <w:spacing w:before="15"/>
              <w:ind w:left="86"/>
              <w:rPr>
                <w:sz w:val="17"/>
              </w:rPr>
            </w:pPr>
            <w:r>
              <w:rPr>
                <w:color w:val="231F20"/>
                <w:sz w:val="17"/>
              </w:rPr>
              <w:t>Enfermería y Obstetricia</w:t>
            </w:r>
          </w:p>
        </w:tc>
        <w:tc>
          <w:tcPr>
            <w:tcW w:w="1654" w:type="dxa"/>
            <w:tcBorders>
              <w:left w:val="single" w:sz="4" w:space="0" w:color="231F20"/>
              <w:right w:val="single" w:sz="2" w:space="0" w:color="231F20"/>
            </w:tcBorders>
          </w:tcPr>
          <w:p>
            <w:pPr>
              <w:pStyle w:val="TableParagraph"/>
              <w:spacing w:before="25"/>
              <w:ind w:left="412" w:right="412"/>
              <w:jc w:val="center"/>
              <w:rPr>
                <w:sz w:val="17"/>
              </w:rPr>
            </w:pPr>
            <w:r>
              <w:rPr>
                <w:color w:val="231F20"/>
                <w:sz w:val="17"/>
              </w:rPr>
              <w:t>21</w:t>
            </w:r>
          </w:p>
        </w:tc>
        <w:tc>
          <w:tcPr>
            <w:tcW w:w="1354" w:type="dxa"/>
            <w:tcBorders>
              <w:left w:val="single" w:sz="2" w:space="0" w:color="231F20"/>
              <w:right w:val="single" w:sz="2" w:space="0" w:color="231F20"/>
            </w:tcBorders>
          </w:tcPr>
          <w:p>
            <w:pPr>
              <w:pStyle w:val="TableParagraph"/>
              <w:spacing w:before="25"/>
              <w:ind w:left="0"/>
              <w:jc w:val="center"/>
              <w:rPr>
                <w:sz w:val="17"/>
              </w:rPr>
            </w:pPr>
            <w:r>
              <w:rPr>
                <w:color w:val="231F20"/>
                <w:w w:val="97"/>
                <w:sz w:val="17"/>
              </w:rPr>
              <w:t>1</w:t>
            </w:r>
          </w:p>
        </w:tc>
        <w:tc>
          <w:tcPr>
            <w:tcW w:w="679" w:type="dxa"/>
            <w:tcBorders>
              <w:left w:val="single" w:sz="2" w:space="0" w:color="231F20"/>
              <w:right w:val="single" w:sz="12" w:space="0" w:color="231F20"/>
            </w:tcBorders>
          </w:tcPr>
          <w:p>
            <w:pPr>
              <w:pStyle w:val="TableParagraph"/>
              <w:spacing w:before="25"/>
              <w:ind w:left="112" w:right="102"/>
              <w:jc w:val="center"/>
              <w:rPr>
                <w:sz w:val="17"/>
              </w:rPr>
            </w:pPr>
            <w:r>
              <w:rPr>
                <w:color w:val="231F20"/>
                <w:sz w:val="17"/>
              </w:rPr>
              <w:t>22</w:t>
            </w:r>
          </w:p>
        </w:tc>
      </w:tr>
      <w:tr>
        <w:trPr>
          <w:trHeight w:val="266" w:hRule="exact"/>
        </w:trPr>
        <w:tc>
          <w:tcPr>
            <w:tcW w:w="2126" w:type="dxa"/>
            <w:tcBorders>
              <w:left w:val="single" w:sz="4" w:space="0" w:color="231F20"/>
              <w:right w:val="single" w:sz="4" w:space="0" w:color="231F20"/>
            </w:tcBorders>
          </w:tcPr>
          <w:p>
            <w:pPr>
              <w:pStyle w:val="TableParagraph"/>
              <w:spacing w:before="15"/>
              <w:ind w:left="86"/>
              <w:rPr>
                <w:sz w:val="17"/>
              </w:rPr>
            </w:pPr>
            <w:r>
              <w:rPr>
                <w:color w:val="231F20"/>
                <w:sz w:val="17"/>
              </w:rPr>
              <w:t>Física</w:t>
            </w:r>
          </w:p>
        </w:tc>
        <w:tc>
          <w:tcPr>
            <w:tcW w:w="1654" w:type="dxa"/>
            <w:tcBorders>
              <w:left w:val="single" w:sz="4" w:space="0" w:color="231F20"/>
              <w:right w:val="single" w:sz="2" w:space="0" w:color="231F20"/>
            </w:tcBorders>
          </w:tcPr>
          <w:p>
            <w:pPr>
              <w:pStyle w:val="TableParagraph"/>
              <w:spacing w:before="30"/>
              <w:ind w:left="0" w:right="1"/>
              <w:jc w:val="center"/>
              <w:rPr>
                <w:sz w:val="17"/>
              </w:rPr>
            </w:pPr>
            <w:r>
              <w:rPr>
                <w:color w:val="231F20"/>
                <w:w w:val="97"/>
                <w:sz w:val="17"/>
              </w:rPr>
              <w:t>2</w:t>
            </w:r>
          </w:p>
        </w:tc>
        <w:tc>
          <w:tcPr>
            <w:tcW w:w="1354" w:type="dxa"/>
            <w:tcBorders>
              <w:left w:val="single" w:sz="2" w:space="0" w:color="231F20"/>
              <w:right w:val="single" w:sz="2" w:space="0" w:color="231F20"/>
            </w:tcBorders>
          </w:tcPr>
          <w:p>
            <w:pPr>
              <w:pStyle w:val="TableParagraph"/>
              <w:spacing w:before="30"/>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30"/>
              <w:ind w:left="9"/>
              <w:jc w:val="center"/>
              <w:rPr>
                <w:sz w:val="17"/>
              </w:rPr>
            </w:pPr>
            <w:r>
              <w:rPr>
                <w:color w:val="231F20"/>
                <w:w w:val="97"/>
                <w:sz w:val="17"/>
              </w:rPr>
              <w:t>2</w:t>
            </w:r>
          </w:p>
        </w:tc>
      </w:tr>
      <w:tr>
        <w:trPr>
          <w:trHeight w:val="264" w:hRule="exact"/>
        </w:trPr>
        <w:tc>
          <w:tcPr>
            <w:tcW w:w="2126" w:type="dxa"/>
            <w:tcBorders>
              <w:left w:val="single" w:sz="4" w:space="0" w:color="231F20"/>
              <w:right w:val="single" w:sz="4" w:space="0" w:color="231F20"/>
            </w:tcBorders>
          </w:tcPr>
          <w:p>
            <w:pPr>
              <w:pStyle w:val="TableParagraph"/>
              <w:spacing w:before="13"/>
              <w:ind w:left="86"/>
              <w:rPr>
                <w:sz w:val="17"/>
              </w:rPr>
            </w:pPr>
            <w:r>
              <w:rPr>
                <w:color w:val="231F20"/>
                <w:sz w:val="17"/>
              </w:rPr>
              <w:t>Matemáticas</w:t>
            </w:r>
          </w:p>
        </w:tc>
        <w:tc>
          <w:tcPr>
            <w:tcW w:w="1654" w:type="dxa"/>
            <w:tcBorders>
              <w:left w:val="single" w:sz="4" w:space="0" w:color="231F20"/>
              <w:right w:val="single" w:sz="2" w:space="0" w:color="231F20"/>
            </w:tcBorders>
          </w:tcPr>
          <w:p>
            <w:pPr>
              <w:pStyle w:val="TableParagraph"/>
              <w:spacing w:before="27"/>
              <w:ind w:left="0" w:right="1"/>
              <w:jc w:val="center"/>
              <w:rPr>
                <w:sz w:val="17"/>
              </w:rPr>
            </w:pPr>
            <w:r>
              <w:rPr>
                <w:color w:val="231F20"/>
                <w:w w:val="97"/>
                <w:sz w:val="17"/>
              </w:rPr>
              <w:t>1</w:t>
            </w:r>
          </w:p>
        </w:tc>
        <w:tc>
          <w:tcPr>
            <w:tcW w:w="1354"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27"/>
              <w:ind w:left="9"/>
              <w:jc w:val="center"/>
              <w:rPr>
                <w:sz w:val="17"/>
              </w:rPr>
            </w:pPr>
            <w:r>
              <w:rPr>
                <w:color w:val="231F20"/>
                <w:w w:val="97"/>
                <w:sz w:val="17"/>
              </w:rPr>
              <w:t>1</w:t>
            </w:r>
          </w:p>
        </w:tc>
      </w:tr>
      <w:tr>
        <w:trPr>
          <w:trHeight w:val="490" w:hRule="exact"/>
        </w:trPr>
        <w:tc>
          <w:tcPr>
            <w:tcW w:w="2126" w:type="dxa"/>
            <w:tcBorders>
              <w:left w:val="single" w:sz="4" w:space="0" w:color="231F20"/>
              <w:right w:val="single" w:sz="4" w:space="0" w:color="231F20"/>
            </w:tcBorders>
          </w:tcPr>
          <w:p>
            <w:pPr>
              <w:pStyle w:val="TableParagraph"/>
              <w:spacing w:line="295" w:lineRule="auto" w:before="13"/>
              <w:ind w:left="86"/>
              <w:rPr>
                <w:sz w:val="17"/>
              </w:rPr>
            </w:pPr>
            <w:r>
              <w:rPr>
                <w:color w:val="231F20"/>
                <w:sz w:val="17"/>
              </w:rPr>
              <w:t>Medicina veterinaria y Zootecnia</w:t>
            </w:r>
          </w:p>
        </w:tc>
        <w:tc>
          <w:tcPr>
            <w:tcW w:w="1654" w:type="dxa"/>
            <w:tcBorders>
              <w:left w:val="single" w:sz="4" w:space="0" w:color="231F20"/>
              <w:right w:val="single" w:sz="2" w:space="0" w:color="231F20"/>
            </w:tcBorders>
          </w:tcPr>
          <w:p>
            <w:pPr>
              <w:pStyle w:val="TableParagraph"/>
              <w:spacing w:before="138"/>
              <w:ind w:left="0" w:right="1"/>
              <w:jc w:val="center"/>
              <w:rPr>
                <w:sz w:val="17"/>
              </w:rPr>
            </w:pPr>
            <w:r>
              <w:rPr>
                <w:color w:val="231F20"/>
                <w:w w:val="97"/>
                <w:sz w:val="17"/>
              </w:rPr>
              <w:t>8</w:t>
            </w:r>
          </w:p>
        </w:tc>
        <w:tc>
          <w:tcPr>
            <w:tcW w:w="1354" w:type="dxa"/>
            <w:tcBorders>
              <w:left w:val="single" w:sz="2" w:space="0" w:color="231F20"/>
              <w:right w:val="single" w:sz="2" w:space="0" w:color="231F20"/>
            </w:tcBorders>
          </w:tcPr>
          <w:p>
            <w:pPr>
              <w:pStyle w:val="TableParagraph"/>
              <w:spacing w:before="138"/>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138"/>
              <w:ind w:left="9"/>
              <w:jc w:val="center"/>
              <w:rPr>
                <w:sz w:val="17"/>
              </w:rPr>
            </w:pPr>
            <w:r>
              <w:rPr>
                <w:color w:val="231F20"/>
                <w:w w:val="97"/>
                <w:sz w:val="17"/>
              </w:rPr>
              <w:t>8</w:t>
            </w:r>
          </w:p>
        </w:tc>
      </w:tr>
      <w:tr>
        <w:trPr>
          <w:trHeight w:val="266" w:hRule="exact"/>
        </w:trPr>
        <w:tc>
          <w:tcPr>
            <w:tcW w:w="2126" w:type="dxa"/>
            <w:tcBorders>
              <w:left w:val="single" w:sz="4" w:space="0" w:color="231F20"/>
              <w:right w:val="single" w:sz="4" w:space="0" w:color="231F20"/>
            </w:tcBorders>
          </w:tcPr>
          <w:p>
            <w:pPr>
              <w:pStyle w:val="TableParagraph"/>
              <w:spacing w:before="13"/>
              <w:ind w:left="86"/>
              <w:rPr>
                <w:sz w:val="17"/>
              </w:rPr>
            </w:pPr>
            <w:r>
              <w:rPr>
                <w:color w:val="231F20"/>
                <w:sz w:val="17"/>
              </w:rPr>
              <w:t>Odontología</w:t>
            </w:r>
          </w:p>
        </w:tc>
        <w:tc>
          <w:tcPr>
            <w:tcW w:w="1654" w:type="dxa"/>
            <w:tcBorders>
              <w:left w:val="single" w:sz="4" w:space="0" w:color="231F20"/>
              <w:right w:val="single" w:sz="2" w:space="0" w:color="231F20"/>
            </w:tcBorders>
          </w:tcPr>
          <w:p>
            <w:pPr>
              <w:pStyle w:val="TableParagraph"/>
              <w:spacing w:before="27"/>
              <w:ind w:left="412" w:right="412"/>
              <w:jc w:val="center"/>
              <w:rPr>
                <w:sz w:val="17"/>
              </w:rPr>
            </w:pPr>
            <w:r>
              <w:rPr>
                <w:color w:val="231F20"/>
                <w:sz w:val="17"/>
              </w:rPr>
              <w:t>26</w:t>
            </w:r>
          </w:p>
        </w:tc>
        <w:tc>
          <w:tcPr>
            <w:tcW w:w="1354"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0</w:t>
            </w:r>
          </w:p>
        </w:tc>
        <w:tc>
          <w:tcPr>
            <w:tcW w:w="679" w:type="dxa"/>
            <w:tcBorders>
              <w:left w:val="single" w:sz="2" w:space="0" w:color="231F20"/>
              <w:right w:val="single" w:sz="12" w:space="0" w:color="231F20"/>
            </w:tcBorders>
          </w:tcPr>
          <w:p>
            <w:pPr>
              <w:pStyle w:val="TableParagraph"/>
              <w:spacing w:before="27"/>
              <w:ind w:left="112" w:right="102"/>
              <w:jc w:val="center"/>
              <w:rPr>
                <w:sz w:val="17"/>
              </w:rPr>
            </w:pPr>
            <w:r>
              <w:rPr>
                <w:color w:val="231F20"/>
                <w:sz w:val="17"/>
              </w:rPr>
              <w:t>26</w:t>
            </w:r>
          </w:p>
        </w:tc>
      </w:tr>
      <w:tr>
        <w:trPr>
          <w:trHeight w:val="477" w:hRule="exact"/>
        </w:trPr>
        <w:tc>
          <w:tcPr>
            <w:tcW w:w="2126" w:type="dxa"/>
            <w:tcBorders>
              <w:left w:val="single" w:sz="4" w:space="0" w:color="231F20"/>
              <w:bottom w:val="single" w:sz="4" w:space="0" w:color="231F20"/>
              <w:right w:val="single" w:sz="4" w:space="0" w:color="231F20"/>
            </w:tcBorders>
          </w:tcPr>
          <w:p>
            <w:pPr>
              <w:pStyle w:val="TableParagraph"/>
              <w:spacing w:line="295" w:lineRule="auto" w:before="15"/>
              <w:ind w:left="86"/>
              <w:rPr>
                <w:sz w:val="17"/>
              </w:rPr>
            </w:pPr>
            <w:r>
              <w:rPr>
                <w:color w:val="231F20"/>
                <w:sz w:val="17"/>
              </w:rPr>
              <w:t>Químico Biólogo Farma- céutico</w:t>
            </w:r>
          </w:p>
        </w:tc>
        <w:tc>
          <w:tcPr>
            <w:tcW w:w="1654" w:type="dxa"/>
            <w:tcBorders>
              <w:left w:val="single" w:sz="4" w:space="0" w:color="231F20"/>
              <w:bottom w:val="single" w:sz="4" w:space="0" w:color="231F20"/>
              <w:right w:val="single" w:sz="2" w:space="0" w:color="231F20"/>
            </w:tcBorders>
          </w:tcPr>
          <w:p>
            <w:pPr>
              <w:pStyle w:val="TableParagraph"/>
              <w:spacing w:before="140"/>
              <w:ind w:left="412" w:right="412"/>
              <w:jc w:val="center"/>
              <w:rPr>
                <w:sz w:val="17"/>
              </w:rPr>
            </w:pPr>
            <w:r>
              <w:rPr>
                <w:color w:val="231F20"/>
                <w:sz w:val="17"/>
              </w:rPr>
              <w:t>14</w:t>
            </w:r>
          </w:p>
        </w:tc>
        <w:tc>
          <w:tcPr>
            <w:tcW w:w="1354" w:type="dxa"/>
            <w:tcBorders>
              <w:left w:val="single" w:sz="2" w:space="0" w:color="231F20"/>
              <w:bottom w:val="single" w:sz="4" w:space="0" w:color="231F20"/>
              <w:right w:val="single" w:sz="2" w:space="0" w:color="231F20"/>
            </w:tcBorders>
          </w:tcPr>
          <w:p>
            <w:pPr>
              <w:pStyle w:val="TableParagraph"/>
              <w:spacing w:before="140"/>
              <w:ind w:left="0"/>
              <w:jc w:val="center"/>
              <w:rPr>
                <w:sz w:val="17"/>
              </w:rPr>
            </w:pPr>
            <w:r>
              <w:rPr>
                <w:color w:val="231F20"/>
                <w:w w:val="97"/>
                <w:sz w:val="17"/>
              </w:rPr>
              <w:t>0</w:t>
            </w:r>
          </w:p>
        </w:tc>
        <w:tc>
          <w:tcPr>
            <w:tcW w:w="679" w:type="dxa"/>
            <w:tcBorders>
              <w:left w:val="single" w:sz="2" w:space="0" w:color="231F20"/>
              <w:bottom w:val="single" w:sz="4" w:space="0" w:color="231F20"/>
              <w:right w:val="single" w:sz="12" w:space="0" w:color="231F20"/>
            </w:tcBorders>
          </w:tcPr>
          <w:p>
            <w:pPr>
              <w:pStyle w:val="TableParagraph"/>
              <w:spacing w:before="140"/>
              <w:ind w:left="112" w:right="102"/>
              <w:jc w:val="center"/>
              <w:rPr>
                <w:sz w:val="17"/>
              </w:rPr>
            </w:pPr>
            <w:r>
              <w:rPr>
                <w:color w:val="231F20"/>
                <w:sz w:val="17"/>
              </w:rPr>
              <w:t>14</w:t>
            </w:r>
          </w:p>
        </w:tc>
      </w:tr>
      <w:tr>
        <w:trPr>
          <w:trHeight w:val="274" w:hRule="exact"/>
        </w:trPr>
        <w:tc>
          <w:tcPr>
            <w:tcW w:w="2126" w:type="dxa"/>
            <w:tcBorders>
              <w:top w:val="single" w:sz="4" w:space="0" w:color="231F20"/>
              <w:left w:val="single" w:sz="4" w:space="0" w:color="231F20"/>
              <w:bottom w:val="single" w:sz="4" w:space="0" w:color="231F20"/>
              <w:right w:val="single" w:sz="4" w:space="0" w:color="231F20"/>
            </w:tcBorders>
          </w:tcPr>
          <w:p>
            <w:pPr>
              <w:pStyle w:val="TableParagraph"/>
              <w:spacing w:before="33"/>
              <w:ind w:left="86"/>
              <w:rPr>
                <w:b/>
                <w:sz w:val="17"/>
              </w:rPr>
            </w:pPr>
            <w:r>
              <w:rPr>
                <w:b/>
                <w:color w:val="231F20"/>
                <w:w w:val="105"/>
                <w:sz w:val="17"/>
              </w:rPr>
              <w:t>Total</w:t>
            </w:r>
          </w:p>
        </w:tc>
        <w:tc>
          <w:tcPr>
            <w:tcW w:w="1654" w:type="dxa"/>
            <w:tcBorders>
              <w:top w:val="single" w:sz="4" w:space="0" w:color="231F20"/>
              <w:left w:val="single" w:sz="4" w:space="0" w:color="231F20"/>
              <w:bottom w:val="single" w:sz="4" w:space="0" w:color="231F20"/>
              <w:right w:val="single" w:sz="2" w:space="0" w:color="231F20"/>
            </w:tcBorders>
          </w:tcPr>
          <w:p>
            <w:pPr>
              <w:pStyle w:val="TableParagraph"/>
              <w:spacing w:before="43"/>
              <w:ind w:left="412" w:right="412"/>
              <w:jc w:val="center"/>
              <w:rPr>
                <w:b/>
                <w:sz w:val="17"/>
              </w:rPr>
            </w:pPr>
            <w:r>
              <w:rPr>
                <w:b/>
                <w:color w:val="231F20"/>
                <w:sz w:val="17"/>
              </w:rPr>
              <w:t>245</w:t>
            </w:r>
          </w:p>
        </w:tc>
        <w:tc>
          <w:tcPr>
            <w:tcW w:w="1354" w:type="dxa"/>
            <w:tcBorders>
              <w:top w:val="single" w:sz="4" w:space="0" w:color="231F20"/>
              <w:left w:val="single" w:sz="2" w:space="0" w:color="231F20"/>
              <w:bottom w:val="single" w:sz="4" w:space="0" w:color="231F20"/>
              <w:right w:val="single" w:sz="2" w:space="0" w:color="231F20"/>
            </w:tcBorders>
          </w:tcPr>
          <w:p>
            <w:pPr>
              <w:pStyle w:val="TableParagraph"/>
              <w:spacing w:before="43"/>
              <w:ind w:left="0"/>
              <w:jc w:val="center"/>
              <w:rPr>
                <w:b/>
                <w:sz w:val="17"/>
              </w:rPr>
            </w:pPr>
            <w:r>
              <w:rPr>
                <w:b/>
                <w:color w:val="231F20"/>
                <w:w w:val="97"/>
                <w:sz w:val="17"/>
              </w:rPr>
              <w:t>5</w:t>
            </w:r>
          </w:p>
        </w:tc>
        <w:tc>
          <w:tcPr>
            <w:tcW w:w="679" w:type="dxa"/>
            <w:tcBorders>
              <w:top w:val="single" w:sz="4" w:space="0" w:color="231F20"/>
              <w:left w:val="single" w:sz="2" w:space="0" w:color="231F20"/>
              <w:bottom w:val="single" w:sz="4" w:space="0" w:color="231F20"/>
              <w:right w:val="single" w:sz="4" w:space="0" w:color="231F20"/>
            </w:tcBorders>
          </w:tcPr>
          <w:p>
            <w:pPr>
              <w:pStyle w:val="TableParagraph"/>
              <w:spacing w:before="43"/>
              <w:ind w:left="189" w:right="188"/>
              <w:jc w:val="center"/>
              <w:rPr>
                <w:b/>
                <w:sz w:val="17"/>
              </w:rPr>
            </w:pPr>
            <w:r>
              <w:rPr>
                <w:b/>
                <w:color w:val="231F20"/>
                <w:sz w:val="17"/>
              </w:rPr>
              <w:t>250</w:t>
            </w:r>
          </w:p>
        </w:tc>
      </w:tr>
    </w:tbl>
    <w:p>
      <w:pPr>
        <w:spacing w:after="0"/>
        <w:jc w:val="center"/>
        <w:rPr>
          <w:sz w:val="17"/>
        </w:rPr>
        <w:sectPr>
          <w:headerReference w:type="default" r:id="rId874"/>
          <w:footerReference w:type="default" r:id="rId875"/>
          <w:pgSz w:w="7830" w:h="11910"/>
          <w:pgMar w:header="0" w:footer="424" w:top="500" w:bottom="620" w:left="900" w:right="840"/>
          <w:pgNumType w:start="395"/>
        </w:sectPr>
      </w:pPr>
    </w:p>
    <w:p>
      <w:pPr>
        <w:spacing w:before="46"/>
        <w:ind w:left="585" w:right="659"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3" w:lineRule="auto" w:before="111"/>
        <w:ind w:left="995" w:right="1071" w:firstLine="0"/>
        <w:jc w:val="center"/>
        <w:rPr>
          <w:b/>
          <w:sz w:val="19"/>
        </w:rPr>
      </w:pPr>
      <w:r>
        <w:rPr>
          <w:b/>
          <w:color w:val="231F20"/>
          <w:w w:val="105"/>
          <w:sz w:val="19"/>
        </w:rPr>
        <w:t>Cuadro 10.Qué tipo de violencia has sufrido tú: agresión material (robo)</w:t>
      </w:r>
    </w:p>
    <w:p>
      <w:pPr>
        <w:pStyle w:val="BodyText"/>
        <w:spacing w:before="8"/>
        <w:rPr>
          <w:b/>
          <w:sz w:val="19"/>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2"/>
        <w:gridCol w:w="1404"/>
        <w:gridCol w:w="1488"/>
        <w:gridCol w:w="838"/>
      </w:tblGrid>
      <w:tr>
        <w:trPr>
          <w:trHeight w:val="710" w:hRule="exact"/>
        </w:trPr>
        <w:tc>
          <w:tcPr>
            <w:tcW w:w="2122" w:type="dxa"/>
            <w:tcBorders>
              <w:top w:val="single" w:sz="12" w:space="0" w:color="231F20"/>
              <w:left w:val="single" w:sz="12" w:space="0" w:color="231F20"/>
              <w:bottom w:val="single" w:sz="12" w:space="0" w:color="231F20"/>
              <w:right w:val="single" w:sz="12" w:space="0" w:color="231F20"/>
            </w:tcBorders>
          </w:tcPr>
          <w:p>
            <w:pPr/>
          </w:p>
        </w:tc>
        <w:tc>
          <w:tcPr>
            <w:tcW w:w="2892" w:type="dxa"/>
            <w:gridSpan w:val="2"/>
            <w:tcBorders>
              <w:top w:val="single" w:sz="12" w:space="0" w:color="231F20"/>
              <w:left w:val="single" w:sz="12" w:space="0" w:color="231F20"/>
              <w:bottom w:val="single" w:sz="2" w:space="0" w:color="231F20"/>
              <w:right w:val="single" w:sz="2" w:space="0" w:color="231F20"/>
            </w:tcBorders>
          </w:tcPr>
          <w:p>
            <w:pPr>
              <w:pStyle w:val="TableParagraph"/>
              <w:spacing w:before="4"/>
              <w:ind w:left="0"/>
              <w:rPr>
                <w:b/>
                <w:sz w:val="20"/>
              </w:rPr>
            </w:pPr>
          </w:p>
          <w:p>
            <w:pPr>
              <w:pStyle w:val="TableParagraph"/>
              <w:spacing w:line="295" w:lineRule="auto" w:before="1"/>
              <w:ind w:left="175" w:right="126" w:hanging="1"/>
              <w:rPr>
                <w:b/>
                <w:sz w:val="17"/>
              </w:rPr>
            </w:pPr>
            <w:r>
              <w:rPr>
                <w:b/>
                <w:color w:val="231F20"/>
                <w:w w:val="105"/>
                <w:sz w:val="17"/>
              </w:rPr>
              <w:t>Qué tipo de violencia has sufrido tú: agresión material (robo) 1s,2n</w:t>
            </w:r>
          </w:p>
        </w:tc>
        <w:tc>
          <w:tcPr>
            <w:tcW w:w="838" w:type="dxa"/>
            <w:tcBorders>
              <w:top w:val="single" w:sz="12" w:space="0" w:color="231F20"/>
              <w:left w:val="single" w:sz="2" w:space="0" w:color="231F20"/>
              <w:bottom w:val="single" w:sz="2" w:space="0" w:color="231F20"/>
              <w:right w:val="single" w:sz="12" w:space="0" w:color="231F20"/>
            </w:tcBorders>
          </w:tcPr>
          <w:p>
            <w:pPr>
              <w:pStyle w:val="TableParagraph"/>
              <w:ind w:left="0"/>
              <w:rPr>
                <w:b/>
                <w:sz w:val="20"/>
              </w:rPr>
            </w:pPr>
          </w:p>
          <w:p>
            <w:pPr>
              <w:pStyle w:val="TableParagraph"/>
              <w:spacing w:before="7"/>
              <w:ind w:left="0"/>
              <w:rPr>
                <w:b/>
                <w:sz w:val="19"/>
              </w:rPr>
            </w:pPr>
          </w:p>
          <w:p>
            <w:pPr>
              <w:pStyle w:val="TableParagraph"/>
              <w:ind w:left="178" w:right="169"/>
              <w:jc w:val="center"/>
              <w:rPr>
                <w:b/>
                <w:sz w:val="19"/>
              </w:rPr>
            </w:pPr>
            <w:r>
              <w:rPr>
                <w:b/>
                <w:color w:val="231F20"/>
                <w:sz w:val="19"/>
              </w:rPr>
              <w:t>Total</w:t>
            </w:r>
          </w:p>
        </w:tc>
      </w:tr>
      <w:tr>
        <w:trPr>
          <w:trHeight w:val="710" w:hRule="exact"/>
        </w:trPr>
        <w:tc>
          <w:tcPr>
            <w:tcW w:w="2122" w:type="dxa"/>
            <w:tcBorders>
              <w:top w:val="single" w:sz="12" w:space="0" w:color="231F20"/>
              <w:left w:val="single" w:sz="12" w:space="0" w:color="231F20"/>
              <w:bottom w:val="single" w:sz="12" w:space="0" w:color="231F20"/>
              <w:right w:val="single" w:sz="12" w:space="0" w:color="231F20"/>
            </w:tcBorders>
          </w:tcPr>
          <w:p>
            <w:pPr/>
          </w:p>
        </w:tc>
        <w:tc>
          <w:tcPr>
            <w:tcW w:w="1404" w:type="dxa"/>
            <w:tcBorders>
              <w:top w:val="single" w:sz="2" w:space="0" w:color="231F20"/>
              <w:left w:val="single" w:sz="12" w:space="0" w:color="231F20"/>
              <w:bottom w:val="single" w:sz="12" w:space="0" w:color="231F20"/>
              <w:right w:val="single" w:sz="2" w:space="0" w:color="231F20"/>
            </w:tcBorders>
          </w:tcPr>
          <w:p>
            <w:pPr>
              <w:pStyle w:val="TableParagraph"/>
              <w:ind w:left="0"/>
              <w:rPr>
                <w:b/>
                <w:sz w:val="20"/>
              </w:rPr>
            </w:pPr>
          </w:p>
          <w:p>
            <w:pPr>
              <w:pStyle w:val="TableParagraph"/>
              <w:spacing w:before="8"/>
              <w:ind w:left="0"/>
              <w:rPr>
                <w:b/>
                <w:sz w:val="20"/>
              </w:rPr>
            </w:pPr>
          </w:p>
          <w:p>
            <w:pPr>
              <w:pStyle w:val="TableParagraph"/>
              <w:ind w:left="0" w:right="620"/>
              <w:jc w:val="right"/>
              <w:rPr>
                <w:b/>
                <w:sz w:val="19"/>
              </w:rPr>
            </w:pPr>
            <w:r>
              <w:rPr>
                <w:b/>
                <w:color w:val="231F20"/>
                <w:sz w:val="19"/>
              </w:rPr>
              <w:t>Sí</w:t>
            </w:r>
          </w:p>
        </w:tc>
        <w:tc>
          <w:tcPr>
            <w:tcW w:w="1488" w:type="dxa"/>
            <w:tcBorders>
              <w:top w:val="single" w:sz="2" w:space="0" w:color="231F20"/>
              <w:left w:val="single" w:sz="2" w:space="0" w:color="231F20"/>
              <w:bottom w:val="single" w:sz="12" w:space="0" w:color="231F20"/>
              <w:right w:val="single" w:sz="2" w:space="0" w:color="231F20"/>
            </w:tcBorders>
          </w:tcPr>
          <w:p>
            <w:pPr>
              <w:pStyle w:val="TableParagraph"/>
              <w:ind w:left="0"/>
              <w:rPr>
                <w:b/>
                <w:sz w:val="20"/>
              </w:rPr>
            </w:pPr>
          </w:p>
          <w:p>
            <w:pPr>
              <w:pStyle w:val="TableParagraph"/>
              <w:spacing w:before="8"/>
              <w:ind w:left="0"/>
              <w:rPr>
                <w:b/>
                <w:sz w:val="20"/>
              </w:rPr>
            </w:pPr>
          </w:p>
          <w:p>
            <w:pPr>
              <w:pStyle w:val="TableParagraph"/>
              <w:ind w:left="587" w:right="588"/>
              <w:jc w:val="center"/>
              <w:rPr>
                <w:b/>
                <w:sz w:val="19"/>
              </w:rPr>
            </w:pPr>
            <w:r>
              <w:rPr>
                <w:b/>
                <w:color w:val="231F20"/>
                <w:w w:val="115"/>
                <w:sz w:val="19"/>
              </w:rPr>
              <w:t>No</w:t>
            </w:r>
          </w:p>
        </w:tc>
        <w:tc>
          <w:tcPr>
            <w:tcW w:w="838" w:type="dxa"/>
            <w:tcBorders>
              <w:top w:val="single" w:sz="2" w:space="0" w:color="231F20"/>
              <w:left w:val="single" w:sz="2" w:space="0" w:color="231F20"/>
              <w:bottom w:val="single" w:sz="12" w:space="0" w:color="231F20"/>
              <w:right w:val="single" w:sz="12" w:space="0" w:color="231F20"/>
            </w:tcBorders>
          </w:tcPr>
          <w:p>
            <w:pPr>
              <w:pStyle w:val="TableParagraph"/>
              <w:ind w:left="0"/>
              <w:rPr>
                <w:b/>
                <w:sz w:val="20"/>
              </w:rPr>
            </w:pPr>
          </w:p>
          <w:p>
            <w:pPr>
              <w:pStyle w:val="TableParagraph"/>
              <w:spacing w:before="8"/>
              <w:ind w:left="0"/>
              <w:rPr>
                <w:b/>
                <w:sz w:val="20"/>
              </w:rPr>
            </w:pPr>
          </w:p>
          <w:p>
            <w:pPr>
              <w:pStyle w:val="TableParagraph"/>
              <w:ind w:left="178" w:right="169"/>
              <w:jc w:val="center"/>
              <w:rPr>
                <w:b/>
                <w:sz w:val="19"/>
              </w:rPr>
            </w:pPr>
            <w:r>
              <w:rPr>
                <w:b/>
                <w:color w:val="231F20"/>
                <w:sz w:val="19"/>
              </w:rPr>
              <w:t>Sí</w:t>
            </w:r>
          </w:p>
        </w:tc>
      </w:tr>
      <w:tr>
        <w:trPr>
          <w:trHeight w:val="284" w:hRule="exact"/>
        </w:trPr>
        <w:tc>
          <w:tcPr>
            <w:tcW w:w="2122" w:type="dxa"/>
            <w:tcBorders>
              <w:top w:val="single" w:sz="12" w:space="0" w:color="231F20"/>
              <w:left w:val="single" w:sz="4" w:space="0" w:color="231F20"/>
              <w:right w:val="single" w:sz="4" w:space="0" w:color="231F20"/>
            </w:tcBorders>
          </w:tcPr>
          <w:p>
            <w:pPr>
              <w:pStyle w:val="TableParagraph"/>
              <w:spacing w:before="14"/>
              <w:ind w:left="86"/>
              <w:rPr>
                <w:sz w:val="19"/>
              </w:rPr>
            </w:pPr>
            <w:r>
              <w:rPr>
                <w:color w:val="231F20"/>
                <w:sz w:val="19"/>
              </w:rPr>
              <w:t>Carrera</w:t>
            </w:r>
          </w:p>
        </w:tc>
        <w:tc>
          <w:tcPr>
            <w:tcW w:w="1404" w:type="dxa"/>
            <w:tcBorders>
              <w:top w:val="single" w:sz="12" w:space="0" w:color="231F20"/>
              <w:left w:val="single" w:sz="4" w:space="0" w:color="231F20"/>
              <w:right w:val="single" w:sz="2" w:space="0" w:color="231F20"/>
            </w:tcBorders>
          </w:tcPr>
          <w:p>
            <w:pPr>
              <w:pStyle w:val="TableParagraph"/>
              <w:spacing w:before="19"/>
              <w:ind w:left="0" w:right="645"/>
              <w:jc w:val="right"/>
              <w:rPr>
                <w:sz w:val="19"/>
              </w:rPr>
            </w:pPr>
            <w:r>
              <w:rPr>
                <w:color w:val="231F20"/>
                <w:w w:val="97"/>
                <w:sz w:val="19"/>
              </w:rPr>
              <w:t>3</w:t>
            </w:r>
          </w:p>
        </w:tc>
        <w:tc>
          <w:tcPr>
            <w:tcW w:w="1488" w:type="dxa"/>
            <w:tcBorders>
              <w:top w:val="single" w:sz="12" w:space="0" w:color="231F20"/>
              <w:left w:val="single" w:sz="2" w:space="0" w:color="231F20"/>
              <w:right w:val="single" w:sz="2" w:space="0" w:color="231F20"/>
            </w:tcBorders>
          </w:tcPr>
          <w:p>
            <w:pPr>
              <w:pStyle w:val="TableParagraph"/>
              <w:spacing w:before="19"/>
              <w:ind w:left="0" w:right="1"/>
              <w:jc w:val="center"/>
              <w:rPr>
                <w:sz w:val="19"/>
              </w:rPr>
            </w:pPr>
            <w:r>
              <w:rPr>
                <w:color w:val="231F20"/>
                <w:w w:val="97"/>
                <w:sz w:val="19"/>
              </w:rPr>
              <w:t>0</w:t>
            </w:r>
          </w:p>
        </w:tc>
        <w:tc>
          <w:tcPr>
            <w:tcW w:w="838" w:type="dxa"/>
            <w:tcBorders>
              <w:top w:val="single" w:sz="12" w:space="0" w:color="231F20"/>
              <w:left w:val="single" w:sz="2" w:space="0" w:color="231F20"/>
              <w:right w:val="single" w:sz="12" w:space="0" w:color="231F20"/>
            </w:tcBorders>
          </w:tcPr>
          <w:p>
            <w:pPr>
              <w:pStyle w:val="TableParagraph"/>
              <w:spacing w:before="19"/>
              <w:ind w:left="9"/>
              <w:jc w:val="center"/>
              <w:rPr>
                <w:sz w:val="19"/>
              </w:rPr>
            </w:pPr>
            <w:r>
              <w:rPr>
                <w:color w:val="231F20"/>
                <w:w w:val="97"/>
                <w:sz w:val="19"/>
              </w:rPr>
              <w:t>3</w:t>
            </w:r>
          </w:p>
        </w:tc>
      </w:tr>
      <w:tr>
        <w:trPr>
          <w:trHeight w:val="252" w:hRule="exact"/>
        </w:trPr>
        <w:tc>
          <w:tcPr>
            <w:tcW w:w="2122" w:type="dxa"/>
            <w:tcBorders>
              <w:left w:val="single" w:sz="4" w:space="0" w:color="231F20"/>
              <w:right w:val="single" w:sz="4" w:space="0" w:color="231F20"/>
            </w:tcBorders>
          </w:tcPr>
          <w:p>
            <w:pPr>
              <w:pStyle w:val="TableParagraph"/>
              <w:spacing w:line="218" w:lineRule="exact"/>
              <w:ind w:left="86"/>
              <w:rPr>
                <w:sz w:val="19"/>
              </w:rPr>
            </w:pPr>
            <w:r>
              <w:rPr>
                <w:color w:val="231F20"/>
                <w:sz w:val="19"/>
              </w:rPr>
              <w:t>Administración</w:t>
            </w:r>
          </w:p>
        </w:tc>
        <w:tc>
          <w:tcPr>
            <w:tcW w:w="1404" w:type="dxa"/>
            <w:tcBorders>
              <w:left w:val="single" w:sz="4" w:space="0" w:color="231F20"/>
              <w:right w:val="single" w:sz="2" w:space="0" w:color="231F20"/>
            </w:tcBorders>
          </w:tcPr>
          <w:p>
            <w:pPr>
              <w:pStyle w:val="TableParagraph"/>
              <w:spacing w:before="4"/>
              <w:ind w:left="0" w:right="645"/>
              <w:jc w:val="right"/>
              <w:rPr>
                <w:sz w:val="19"/>
              </w:rPr>
            </w:pPr>
            <w:r>
              <w:rPr>
                <w:color w:val="231F20"/>
                <w:w w:val="97"/>
                <w:sz w:val="19"/>
              </w:rPr>
              <w:t>9</w:t>
            </w:r>
          </w:p>
        </w:tc>
        <w:tc>
          <w:tcPr>
            <w:tcW w:w="1488" w:type="dxa"/>
            <w:tcBorders>
              <w:left w:val="single" w:sz="2" w:space="0" w:color="231F20"/>
              <w:right w:val="single" w:sz="2" w:space="0" w:color="231F20"/>
            </w:tcBorders>
          </w:tcPr>
          <w:p>
            <w:pPr>
              <w:pStyle w:val="TableParagraph"/>
              <w:spacing w:before="4"/>
              <w:ind w:left="0" w:right="1"/>
              <w:jc w:val="center"/>
              <w:rPr>
                <w:sz w:val="19"/>
              </w:rPr>
            </w:pPr>
            <w:r>
              <w:rPr>
                <w:color w:val="231F20"/>
                <w:w w:val="97"/>
                <w:sz w:val="19"/>
              </w:rPr>
              <w:t>0</w:t>
            </w:r>
          </w:p>
        </w:tc>
        <w:tc>
          <w:tcPr>
            <w:tcW w:w="838" w:type="dxa"/>
            <w:tcBorders>
              <w:left w:val="single" w:sz="2" w:space="0" w:color="231F20"/>
              <w:right w:val="single" w:sz="12" w:space="0" w:color="231F20"/>
            </w:tcBorders>
          </w:tcPr>
          <w:p>
            <w:pPr>
              <w:pStyle w:val="TableParagraph"/>
              <w:spacing w:before="4"/>
              <w:ind w:left="9"/>
              <w:jc w:val="center"/>
              <w:rPr>
                <w:sz w:val="19"/>
              </w:rPr>
            </w:pPr>
            <w:r>
              <w:rPr>
                <w:color w:val="231F20"/>
                <w:w w:val="97"/>
                <w:sz w:val="19"/>
              </w:rPr>
              <w:t>9</w:t>
            </w:r>
          </w:p>
        </w:tc>
      </w:tr>
      <w:tr>
        <w:trPr>
          <w:trHeight w:val="252" w:hRule="exact"/>
        </w:trPr>
        <w:tc>
          <w:tcPr>
            <w:tcW w:w="2122" w:type="dxa"/>
            <w:tcBorders>
              <w:left w:val="single" w:sz="4" w:space="0" w:color="231F20"/>
              <w:right w:val="single" w:sz="4" w:space="0" w:color="231F20"/>
            </w:tcBorders>
          </w:tcPr>
          <w:p>
            <w:pPr>
              <w:pStyle w:val="TableParagraph"/>
              <w:spacing w:line="216" w:lineRule="exact"/>
              <w:ind w:left="86"/>
              <w:rPr>
                <w:sz w:val="19"/>
              </w:rPr>
            </w:pPr>
            <w:r>
              <w:rPr>
                <w:color w:val="231F20"/>
                <w:sz w:val="19"/>
              </w:rPr>
              <w:t>Arquitectura</w:t>
            </w:r>
          </w:p>
        </w:tc>
        <w:tc>
          <w:tcPr>
            <w:tcW w:w="1404" w:type="dxa"/>
            <w:tcBorders>
              <w:left w:val="single" w:sz="4" w:space="0" w:color="231F20"/>
              <w:right w:val="single" w:sz="2" w:space="0" w:color="231F20"/>
            </w:tcBorders>
          </w:tcPr>
          <w:p>
            <w:pPr>
              <w:pStyle w:val="TableParagraph"/>
              <w:spacing w:before="2"/>
              <w:ind w:left="0" w:right="598"/>
              <w:jc w:val="right"/>
              <w:rPr>
                <w:sz w:val="19"/>
              </w:rPr>
            </w:pPr>
            <w:r>
              <w:rPr>
                <w:color w:val="231F20"/>
                <w:w w:val="95"/>
                <w:sz w:val="19"/>
              </w:rPr>
              <w:t>23</w:t>
            </w:r>
          </w:p>
        </w:tc>
        <w:tc>
          <w:tcPr>
            <w:tcW w:w="1488" w:type="dxa"/>
            <w:tcBorders>
              <w:left w:val="single" w:sz="2" w:space="0" w:color="231F20"/>
              <w:right w:val="single" w:sz="2" w:space="0" w:color="231F20"/>
            </w:tcBorders>
          </w:tcPr>
          <w:p>
            <w:pPr>
              <w:pStyle w:val="TableParagraph"/>
              <w:spacing w:before="2"/>
              <w:ind w:left="0" w:right="1"/>
              <w:jc w:val="center"/>
              <w:rPr>
                <w:sz w:val="19"/>
              </w:rPr>
            </w:pPr>
            <w:r>
              <w:rPr>
                <w:color w:val="231F20"/>
                <w:w w:val="97"/>
                <w:sz w:val="19"/>
              </w:rPr>
              <w:t>0</w:t>
            </w:r>
          </w:p>
        </w:tc>
        <w:tc>
          <w:tcPr>
            <w:tcW w:w="838" w:type="dxa"/>
            <w:tcBorders>
              <w:left w:val="single" w:sz="2" w:space="0" w:color="231F20"/>
              <w:right w:val="single" w:sz="12" w:space="0" w:color="231F20"/>
            </w:tcBorders>
          </w:tcPr>
          <w:p>
            <w:pPr>
              <w:pStyle w:val="TableParagraph"/>
              <w:spacing w:before="2"/>
              <w:ind w:left="178" w:right="169"/>
              <w:jc w:val="center"/>
              <w:rPr>
                <w:sz w:val="19"/>
              </w:rPr>
            </w:pPr>
            <w:r>
              <w:rPr>
                <w:color w:val="231F20"/>
                <w:sz w:val="19"/>
              </w:rPr>
              <w:t>23</w:t>
            </w:r>
          </w:p>
        </w:tc>
      </w:tr>
      <w:tr>
        <w:trPr>
          <w:trHeight w:val="252" w:hRule="exact"/>
        </w:trPr>
        <w:tc>
          <w:tcPr>
            <w:tcW w:w="2122" w:type="dxa"/>
            <w:tcBorders>
              <w:left w:val="single" w:sz="4" w:space="0" w:color="231F20"/>
              <w:right w:val="single" w:sz="4" w:space="0" w:color="231F20"/>
            </w:tcBorders>
          </w:tcPr>
          <w:p>
            <w:pPr>
              <w:pStyle w:val="TableParagraph"/>
              <w:spacing w:line="218" w:lineRule="exact"/>
              <w:ind w:left="86"/>
              <w:rPr>
                <w:sz w:val="19"/>
              </w:rPr>
            </w:pPr>
            <w:r>
              <w:rPr>
                <w:color w:val="231F20"/>
                <w:sz w:val="19"/>
              </w:rPr>
              <w:t>Biología</w:t>
            </w:r>
          </w:p>
        </w:tc>
        <w:tc>
          <w:tcPr>
            <w:tcW w:w="1404" w:type="dxa"/>
            <w:tcBorders>
              <w:left w:val="single" w:sz="4" w:space="0" w:color="231F20"/>
              <w:right w:val="single" w:sz="2" w:space="0" w:color="231F20"/>
            </w:tcBorders>
          </w:tcPr>
          <w:p>
            <w:pPr>
              <w:pStyle w:val="TableParagraph"/>
              <w:spacing w:before="4"/>
              <w:ind w:left="0" w:right="645"/>
              <w:jc w:val="right"/>
              <w:rPr>
                <w:sz w:val="19"/>
              </w:rPr>
            </w:pPr>
            <w:r>
              <w:rPr>
                <w:color w:val="231F20"/>
                <w:w w:val="97"/>
                <w:sz w:val="19"/>
              </w:rPr>
              <w:t>7</w:t>
            </w:r>
          </w:p>
        </w:tc>
        <w:tc>
          <w:tcPr>
            <w:tcW w:w="1488" w:type="dxa"/>
            <w:tcBorders>
              <w:left w:val="single" w:sz="2" w:space="0" w:color="231F20"/>
              <w:right w:val="single" w:sz="2" w:space="0" w:color="231F20"/>
            </w:tcBorders>
          </w:tcPr>
          <w:p>
            <w:pPr>
              <w:pStyle w:val="TableParagraph"/>
              <w:spacing w:before="4"/>
              <w:ind w:left="0" w:right="1"/>
              <w:jc w:val="center"/>
              <w:rPr>
                <w:sz w:val="19"/>
              </w:rPr>
            </w:pPr>
            <w:r>
              <w:rPr>
                <w:color w:val="231F20"/>
                <w:w w:val="97"/>
                <w:sz w:val="19"/>
              </w:rPr>
              <w:t>0</w:t>
            </w:r>
          </w:p>
        </w:tc>
        <w:tc>
          <w:tcPr>
            <w:tcW w:w="838" w:type="dxa"/>
            <w:tcBorders>
              <w:left w:val="single" w:sz="2" w:space="0" w:color="231F20"/>
              <w:right w:val="single" w:sz="12" w:space="0" w:color="231F20"/>
            </w:tcBorders>
          </w:tcPr>
          <w:p>
            <w:pPr>
              <w:pStyle w:val="TableParagraph"/>
              <w:spacing w:before="4"/>
              <w:ind w:left="9"/>
              <w:jc w:val="center"/>
              <w:rPr>
                <w:sz w:val="19"/>
              </w:rPr>
            </w:pPr>
            <w:r>
              <w:rPr>
                <w:color w:val="231F20"/>
                <w:w w:val="97"/>
                <w:sz w:val="19"/>
              </w:rPr>
              <w:t>7</w:t>
            </w:r>
          </w:p>
        </w:tc>
      </w:tr>
      <w:tr>
        <w:trPr>
          <w:trHeight w:val="252" w:hRule="exact"/>
        </w:trPr>
        <w:tc>
          <w:tcPr>
            <w:tcW w:w="2122" w:type="dxa"/>
            <w:tcBorders>
              <w:left w:val="single" w:sz="4" w:space="0" w:color="231F20"/>
              <w:right w:val="single" w:sz="4" w:space="0" w:color="231F20"/>
            </w:tcBorders>
          </w:tcPr>
          <w:p>
            <w:pPr>
              <w:pStyle w:val="TableParagraph"/>
              <w:spacing w:line="216" w:lineRule="exact"/>
              <w:ind w:left="86"/>
              <w:rPr>
                <w:sz w:val="19"/>
              </w:rPr>
            </w:pPr>
            <w:r>
              <w:rPr>
                <w:color w:val="231F20"/>
                <w:sz w:val="19"/>
              </w:rPr>
              <w:t>Ciencias de la Educación</w:t>
            </w:r>
          </w:p>
        </w:tc>
        <w:tc>
          <w:tcPr>
            <w:tcW w:w="1404" w:type="dxa"/>
            <w:tcBorders>
              <w:left w:val="single" w:sz="4" w:space="0" w:color="231F20"/>
              <w:right w:val="single" w:sz="2" w:space="0" w:color="231F20"/>
            </w:tcBorders>
          </w:tcPr>
          <w:p>
            <w:pPr>
              <w:pStyle w:val="TableParagraph"/>
              <w:spacing w:before="2"/>
              <w:ind w:left="0" w:right="645"/>
              <w:jc w:val="right"/>
              <w:rPr>
                <w:sz w:val="19"/>
              </w:rPr>
            </w:pPr>
            <w:r>
              <w:rPr>
                <w:color w:val="231F20"/>
                <w:w w:val="97"/>
                <w:sz w:val="19"/>
              </w:rPr>
              <w:t>9</w:t>
            </w:r>
          </w:p>
        </w:tc>
        <w:tc>
          <w:tcPr>
            <w:tcW w:w="1488" w:type="dxa"/>
            <w:tcBorders>
              <w:left w:val="single" w:sz="2" w:space="0" w:color="231F20"/>
              <w:right w:val="single" w:sz="2" w:space="0" w:color="231F20"/>
            </w:tcBorders>
          </w:tcPr>
          <w:p>
            <w:pPr>
              <w:pStyle w:val="TableParagraph"/>
              <w:spacing w:before="2"/>
              <w:ind w:left="0" w:right="1"/>
              <w:jc w:val="center"/>
              <w:rPr>
                <w:sz w:val="19"/>
              </w:rPr>
            </w:pPr>
            <w:r>
              <w:rPr>
                <w:color w:val="231F20"/>
                <w:w w:val="97"/>
                <w:sz w:val="19"/>
              </w:rPr>
              <w:t>0</w:t>
            </w:r>
          </w:p>
        </w:tc>
        <w:tc>
          <w:tcPr>
            <w:tcW w:w="838" w:type="dxa"/>
            <w:tcBorders>
              <w:left w:val="single" w:sz="2" w:space="0" w:color="231F20"/>
              <w:right w:val="single" w:sz="12" w:space="0" w:color="231F20"/>
            </w:tcBorders>
          </w:tcPr>
          <w:p>
            <w:pPr>
              <w:pStyle w:val="TableParagraph"/>
              <w:spacing w:before="2"/>
              <w:ind w:left="9"/>
              <w:jc w:val="center"/>
              <w:rPr>
                <w:sz w:val="19"/>
              </w:rPr>
            </w:pPr>
            <w:r>
              <w:rPr>
                <w:color w:val="231F20"/>
                <w:w w:val="97"/>
                <w:sz w:val="19"/>
              </w:rPr>
              <w:t>9</w:t>
            </w:r>
          </w:p>
        </w:tc>
      </w:tr>
      <w:tr>
        <w:trPr>
          <w:trHeight w:val="252" w:hRule="exact"/>
        </w:trPr>
        <w:tc>
          <w:tcPr>
            <w:tcW w:w="2122" w:type="dxa"/>
            <w:tcBorders>
              <w:left w:val="single" w:sz="4" w:space="0" w:color="231F20"/>
              <w:right w:val="single" w:sz="4" w:space="0" w:color="231F20"/>
            </w:tcBorders>
          </w:tcPr>
          <w:p>
            <w:pPr>
              <w:pStyle w:val="TableParagraph"/>
              <w:spacing w:line="218" w:lineRule="exact"/>
              <w:ind w:left="86"/>
              <w:rPr>
                <w:sz w:val="19"/>
              </w:rPr>
            </w:pPr>
            <w:r>
              <w:rPr>
                <w:color w:val="231F20"/>
                <w:sz w:val="19"/>
              </w:rPr>
              <w:t>Cirujano dentista</w:t>
            </w:r>
          </w:p>
        </w:tc>
        <w:tc>
          <w:tcPr>
            <w:tcW w:w="1404" w:type="dxa"/>
            <w:tcBorders>
              <w:left w:val="single" w:sz="4" w:space="0" w:color="231F20"/>
              <w:right w:val="single" w:sz="2" w:space="0" w:color="231F20"/>
            </w:tcBorders>
          </w:tcPr>
          <w:p>
            <w:pPr>
              <w:pStyle w:val="TableParagraph"/>
              <w:spacing w:before="4"/>
              <w:ind w:left="0" w:right="645"/>
              <w:jc w:val="right"/>
              <w:rPr>
                <w:sz w:val="19"/>
              </w:rPr>
            </w:pPr>
            <w:r>
              <w:rPr>
                <w:color w:val="231F20"/>
                <w:w w:val="97"/>
                <w:sz w:val="19"/>
              </w:rPr>
              <w:t>9</w:t>
            </w:r>
          </w:p>
        </w:tc>
        <w:tc>
          <w:tcPr>
            <w:tcW w:w="1488" w:type="dxa"/>
            <w:tcBorders>
              <w:left w:val="single" w:sz="2" w:space="0" w:color="231F20"/>
              <w:right w:val="single" w:sz="2" w:space="0" w:color="231F20"/>
            </w:tcBorders>
          </w:tcPr>
          <w:p>
            <w:pPr>
              <w:pStyle w:val="TableParagraph"/>
              <w:spacing w:before="4"/>
              <w:ind w:left="0" w:right="1"/>
              <w:jc w:val="center"/>
              <w:rPr>
                <w:sz w:val="19"/>
              </w:rPr>
            </w:pPr>
            <w:r>
              <w:rPr>
                <w:color w:val="231F20"/>
                <w:w w:val="97"/>
                <w:sz w:val="19"/>
              </w:rPr>
              <w:t>2</w:t>
            </w:r>
          </w:p>
        </w:tc>
        <w:tc>
          <w:tcPr>
            <w:tcW w:w="838" w:type="dxa"/>
            <w:tcBorders>
              <w:left w:val="single" w:sz="2" w:space="0" w:color="231F20"/>
              <w:right w:val="single" w:sz="12" w:space="0" w:color="231F20"/>
            </w:tcBorders>
          </w:tcPr>
          <w:p>
            <w:pPr>
              <w:pStyle w:val="TableParagraph"/>
              <w:spacing w:before="4"/>
              <w:ind w:left="178" w:right="169"/>
              <w:jc w:val="center"/>
              <w:rPr>
                <w:sz w:val="19"/>
              </w:rPr>
            </w:pPr>
            <w:r>
              <w:rPr>
                <w:color w:val="231F20"/>
                <w:sz w:val="19"/>
              </w:rPr>
              <w:t>11</w:t>
            </w:r>
          </w:p>
        </w:tc>
      </w:tr>
      <w:tr>
        <w:trPr>
          <w:trHeight w:val="252" w:hRule="exact"/>
        </w:trPr>
        <w:tc>
          <w:tcPr>
            <w:tcW w:w="2122" w:type="dxa"/>
            <w:tcBorders>
              <w:left w:val="single" w:sz="4" w:space="0" w:color="231F20"/>
              <w:right w:val="single" w:sz="4" w:space="0" w:color="231F20"/>
            </w:tcBorders>
          </w:tcPr>
          <w:p>
            <w:pPr>
              <w:pStyle w:val="TableParagraph"/>
              <w:spacing w:line="216" w:lineRule="exact"/>
              <w:ind w:left="86"/>
              <w:rPr>
                <w:sz w:val="19"/>
              </w:rPr>
            </w:pPr>
            <w:r>
              <w:rPr>
                <w:color w:val="231F20"/>
                <w:sz w:val="19"/>
              </w:rPr>
              <w:t>Computación</w:t>
            </w:r>
          </w:p>
        </w:tc>
        <w:tc>
          <w:tcPr>
            <w:tcW w:w="1404" w:type="dxa"/>
            <w:tcBorders>
              <w:left w:val="single" w:sz="4" w:space="0" w:color="231F20"/>
              <w:right w:val="single" w:sz="2" w:space="0" w:color="231F20"/>
            </w:tcBorders>
          </w:tcPr>
          <w:p>
            <w:pPr>
              <w:pStyle w:val="TableParagraph"/>
              <w:spacing w:before="2"/>
              <w:ind w:left="0" w:right="645"/>
              <w:jc w:val="right"/>
              <w:rPr>
                <w:sz w:val="19"/>
              </w:rPr>
            </w:pPr>
            <w:r>
              <w:rPr>
                <w:color w:val="231F20"/>
                <w:w w:val="97"/>
                <w:sz w:val="19"/>
              </w:rPr>
              <w:t>2</w:t>
            </w:r>
          </w:p>
        </w:tc>
        <w:tc>
          <w:tcPr>
            <w:tcW w:w="1488" w:type="dxa"/>
            <w:tcBorders>
              <w:left w:val="single" w:sz="2" w:space="0" w:color="231F20"/>
              <w:right w:val="single" w:sz="2" w:space="0" w:color="231F20"/>
            </w:tcBorders>
          </w:tcPr>
          <w:p>
            <w:pPr>
              <w:pStyle w:val="TableParagraph"/>
              <w:spacing w:before="2"/>
              <w:ind w:left="0" w:right="1"/>
              <w:jc w:val="center"/>
              <w:rPr>
                <w:sz w:val="19"/>
              </w:rPr>
            </w:pPr>
            <w:r>
              <w:rPr>
                <w:color w:val="231F20"/>
                <w:w w:val="97"/>
                <w:sz w:val="19"/>
              </w:rPr>
              <w:t>0</w:t>
            </w:r>
          </w:p>
        </w:tc>
        <w:tc>
          <w:tcPr>
            <w:tcW w:w="838" w:type="dxa"/>
            <w:tcBorders>
              <w:left w:val="single" w:sz="2" w:space="0" w:color="231F20"/>
              <w:right w:val="single" w:sz="12" w:space="0" w:color="231F20"/>
            </w:tcBorders>
          </w:tcPr>
          <w:p>
            <w:pPr>
              <w:pStyle w:val="TableParagraph"/>
              <w:spacing w:before="2"/>
              <w:ind w:left="9"/>
              <w:jc w:val="center"/>
              <w:rPr>
                <w:sz w:val="19"/>
              </w:rPr>
            </w:pPr>
            <w:r>
              <w:rPr>
                <w:color w:val="231F20"/>
                <w:w w:val="97"/>
                <w:sz w:val="19"/>
              </w:rPr>
              <w:t>2</w:t>
            </w:r>
          </w:p>
        </w:tc>
      </w:tr>
      <w:tr>
        <w:trPr>
          <w:trHeight w:val="252" w:hRule="exact"/>
        </w:trPr>
        <w:tc>
          <w:tcPr>
            <w:tcW w:w="2122" w:type="dxa"/>
            <w:tcBorders>
              <w:left w:val="single" w:sz="4" w:space="0" w:color="231F20"/>
              <w:right w:val="single" w:sz="4" w:space="0" w:color="231F20"/>
            </w:tcBorders>
          </w:tcPr>
          <w:p>
            <w:pPr>
              <w:pStyle w:val="TableParagraph"/>
              <w:spacing w:line="218" w:lineRule="exact"/>
              <w:ind w:left="86"/>
              <w:rPr>
                <w:sz w:val="19"/>
              </w:rPr>
            </w:pPr>
            <w:r>
              <w:rPr>
                <w:color w:val="231F20"/>
                <w:sz w:val="19"/>
              </w:rPr>
              <w:t>Contaduría Pública</w:t>
            </w:r>
          </w:p>
        </w:tc>
        <w:tc>
          <w:tcPr>
            <w:tcW w:w="1404" w:type="dxa"/>
            <w:tcBorders>
              <w:left w:val="single" w:sz="4" w:space="0" w:color="231F20"/>
              <w:right w:val="single" w:sz="2" w:space="0" w:color="231F20"/>
            </w:tcBorders>
          </w:tcPr>
          <w:p>
            <w:pPr>
              <w:pStyle w:val="TableParagraph"/>
              <w:spacing w:before="4"/>
              <w:ind w:left="0" w:right="598"/>
              <w:jc w:val="right"/>
              <w:rPr>
                <w:sz w:val="19"/>
              </w:rPr>
            </w:pPr>
            <w:r>
              <w:rPr>
                <w:color w:val="231F20"/>
                <w:w w:val="95"/>
                <w:sz w:val="19"/>
              </w:rPr>
              <w:t>18</w:t>
            </w:r>
          </w:p>
        </w:tc>
        <w:tc>
          <w:tcPr>
            <w:tcW w:w="1488" w:type="dxa"/>
            <w:tcBorders>
              <w:left w:val="single" w:sz="2" w:space="0" w:color="231F20"/>
              <w:right w:val="single" w:sz="2" w:space="0" w:color="231F20"/>
            </w:tcBorders>
          </w:tcPr>
          <w:p>
            <w:pPr>
              <w:pStyle w:val="TableParagraph"/>
              <w:spacing w:before="4"/>
              <w:ind w:left="0" w:right="1"/>
              <w:jc w:val="center"/>
              <w:rPr>
                <w:sz w:val="19"/>
              </w:rPr>
            </w:pPr>
            <w:r>
              <w:rPr>
                <w:color w:val="231F20"/>
                <w:w w:val="97"/>
                <w:sz w:val="19"/>
              </w:rPr>
              <w:t>0</w:t>
            </w:r>
          </w:p>
        </w:tc>
        <w:tc>
          <w:tcPr>
            <w:tcW w:w="838" w:type="dxa"/>
            <w:tcBorders>
              <w:left w:val="single" w:sz="2" w:space="0" w:color="231F20"/>
              <w:right w:val="single" w:sz="12" w:space="0" w:color="231F20"/>
            </w:tcBorders>
          </w:tcPr>
          <w:p>
            <w:pPr>
              <w:pStyle w:val="TableParagraph"/>
              <w:spacing w:before="4"/>
              <w:ind w:left="178" w:right="169"/>
              <w:jc w:val="center"/>
              <w:rPr>
                <w:sz w:val="19"/>
              </w:rPr>
            </w:pPr>
            <w:r>
              <w:rPr>
                <w:color w:val="231F20"/>
                <w:sz w:val="19"/>
              </w:rPr>
              <w:t>18</w:t>
            </w:r>
          </w:p>
        </w:tc>
      </w:tr>
      <w:tr>
        <w:trPr>
          <w:trHeight w:val="252" w:hRule="exact"/>
        </w:trPr>
        <w:tc>
          <w:tcPr>
            <w:tcW w:w="2122" w:type="dxa"/>
            <w:tcBorders>
              <w:left w:val="single" w:sz="4" w:space="0" w:color="231F20"/>
              <w:right w:val="single" w:sz="4" w:space="0" w:color="231F20"/>
            </w:tcBorders>
          </w:tcPr>
          <w:p>
            <w:pPr>
              <w:pStyle w:val="TableParagraph"/>
              <w:spacing w:line="216" w:lineRule="exact"/>
              <w:ind w:left="86"/>
              <w:rPr>
                <w:sz w:val="19"/>
              </w:rPr>
            </w:pPr>
            <w:r>
              <w:rPr>
                <w:color w:val="231F20"/>
                <w:sz w:val="19"/>
              </w:rPr>
              <w:t>Derecho</w:t>
            </w:r>
          </w:p>
        </w:tc>
        <w:tc>
          <w:tcPr>
            <w:tcW w:w="1404" w:type="dxa"/>
            <w:tcBorders>
              <w:left w:val="single" w:sz="4" w:space="0" w:color="231F20"/>
              <w:right w:val="single" w:sz="2" w:space="0" w:color="231F20"/>
            </w:tcBorders>
          </w:tcPr>
          <w:p>
            <w:pPr>
              <w:pStyle w:val="TableParagraph"/>
              <w:spacing w:before="2"/>
              <w:ind w:left="0" w:right="645"/>
              <w:jc w:val="right"/>
              <w:rPr>
                <w:sz w:val="19"/>
              </w:rPr>
            </w:pPr>
            <w:r>
              <w:rPr>
                <w:color w:val="231F20"/>
                <w:w w:val="97"/>
                <w:sz w:val="19"/>
              </w:rPr>
              <w:t>9</w:t>
            </w:r>
          </w:p>
        </w:tc>
        <w:tc>
          <w:tcPr>
            <w:tcW w:w="1488" w:type="dxa"/>
            <w:tcBorders>
              <w:left w:val="single" w:sz="2" w:space="0" w:color="231F20"/>
              <w:right w:val="single" w:sz="2" w:space="0" w:color="231F20"/>
            </w:tcBorders>
          </w:tcPr>
          <w:p>
            <w:pPr>
              <w:pStyle w:val="TableParagraph"/>
              <w:spacing w:before="2"/>
              <w:ind w:left="0" w:right="1"/>
              <w:jc w:val="center"/>
              <w:rPr>
                <w:sz w:val="19"/>
              </w:rPr>
            </w:pPr>
            <w:r>
              <w:rPr>
                <w:color w:val="231F20"/>
                <w:w w:val="97"/>
                <w:sz w:val="19"/>
              </w:rPr>
              <w:t>5</w:t>
            </w:r>
          </w:p>
        </w:tc>
        <w:tc>
          <w:tcPr>
            <w:tcW w:w="838" w:type="dxa"/>
            <w:tcBorders>
              <w:left w:val="single" w:sz="2" w:space="0" w:color="231F20"/>
              <w:right w:val="single" w:sz="12" w:space="0" w:color="231F20"/>
            </w:tcBorders>
          </w:tcPr>
          <w:p>
            <w:pPr>
              <w:pStyle w:val="TableParagraph"/>
              <w:spacing w:before="2"/>
              <w:ind w:left="178" w:right="169"/>
              <w:jc w:val="center"/>
              <w:rPr>
                <w:sz w:val="19"/>
              </w:rPr>
            </w:pPr>
            <w:r>
              <w:rPr>
                <w:color w:val="231F20"/>
                <w:sz w:val="19"/>
              </w:rPr>
              <w:t>14</w:t>
            </w:r>
          </w:p>
        </w:tc>
      </w:tr>
      <w:tr>
        <w:trPr>
          <w:trHeight w:val="252" w:hRule="exact"/>
        </w:trPr>
        <w:tc>
          <w:tcPr>
            <w:tcW w:w="2122" w:type="dxa"/>
            <w:tcBorders>
              <w:left w:val="single" w:sz="4" w:space="0" w:color="231F20"/>
              <w:right w:val="single" w:sz="4" w:space="0" w:color="231F20"/>
            </w:tcBorders>
          </w:tcPr>
          <w:p>
            <w:pPr>
              <w:pStyle w:val="TableParagraph"/>
              <w:spacing w:line="218" w:lineRule="exact"/>
              <w:ind w:left="86"/>
              <w:rPr>
                <w:sz w:val="19"/>
              </w:rPr>
            </w:pPr>
            <w:r>
              <w:rPr>
                <w:color w:val="231F20"/>
                <w:sz w:val="19"/>
              </w:rPr>
              <w:t>Economía</w:t>
            </w:r>
          </w:p>
        </w:tc>
        <w:tc>
          <w:tcPr>
            <w:tcW w:w="1404" w:type="dxa"/>
            <w:tcBorders>
              <w:left w:val="single" w:sz="4" w:space="0" w:color="231F20"/>
              <w:right w:val="single" w:sz="2" w:space="0" w:color="231F20"/>
            </w:tcBorders>
          </w:tcPr>
          <w:p>
            <w:pPr>
              <w:pStyle w:val="TableParagraph"/>
              <w:spacing w:before="4"/>
              <w:ind w:left="0" w:right="645"/>
              <w:jc w:val="right"/>
              <w:rPr>
                <w:sz w:val="19"/>
              </w:rPr>
            </w:pPr>
            <w:r>
              <w:rPr>
                <w:color w:val="231F20"/>
                <w:w w:val="97"/>
                <w:sz w:val="19"/>
              </w:rPr>
              <w:t>3</w:t>
            </w:r>
          </w:p>
        </w:tc>
        <w:tc>
          <w:tcPr>
            <w:tcW w:w="1488" w:type="dxa"/>
            <w:tcBorders>
              <w:left w:val="single" w:sz="2" w:space="0" w:color="231F20"/>
              <w:right w:val="single" w:sz="2" w:space="0" w:color="231F20"/>
            </w:tcBorders>
          </w:tcPr>
          <w:p>
            <w:pPr>
              <w:pStyle w:val="TableParagraph"/>
              <w:spacing w:before="4"/>
              <w:ind w:left="0" w:right="1"/>
              <w:jc w:val="center"/>
              <w:rPr>
                <w:sz w:val="19"/>
              </w:rPr>
            </w:pPr>
            <w:r>
              <w:rPr>
                <w:color w:val="231F20"/>
                <w:w w:val="97"/>
                <w:sz w:val="19"/>
              </w:rPr>
              <w:t>0</w:t>
            </w:r>
          </w:p>
        </w:tc>
        <w:tc>
          <w:tcPr>
            <w:tcW w:w="838" w:type="dxa"/>
            <w:tcBorders>
              <w:left w:val="single" w:sz="2" w:space="0" w:color="231F20"/>
              <w:right w:val="single" w:sz="12" w:space="0" w:color="231F20"/>
            </w:tcBorders>
          </w:tcPr>
          <w:p>
            <w:pPr>
              <w:pStyle w:val="TableParagraph"/>
              <w:spacing w:before="4"/>
              <w:ind w:left="9"/>
              <w:jc w:val="center"/>
              <w:rPr>
                <w:sz w:val="19"/>
              </w:rPr>
            </w:pPr>
            <w:r>
              <w:rPr>
                <w:color w:val="231F20"/>
                <w:w w:val="97"/>
                <w:sz w:val="19"/>
              </w:rPr>
              <w:t>3</w:t>
            </w:r>
          </w:p>
        </w:tc>
      </w:tr>
      <w:tr>
        <w:trPr>
          <w:trHeight w:val="252" w:hRule="exact"/>
        </w:trPr>
        <w:tc>
          <w:tcPr>
            <w:tcW w:w="2122" w:type="dxa"/>
            <w:tcBorders>
              <w:left w:val="single" w:sz="4" w:space="0" w:color="231F20"/>
              <w:right w:val="single" w:sz="4" w:space="0" w:color="231F20"/>
            </w:tcBorders>
          </w:tcPr>
          <w:p>
            <w:pPr>
              <w:pStyle w:val="TableParagraph"/>
              <w:spacing w:line="216" w:lineRule="exact"/>
              <w:ind w:left="86"/>
              <w:rPr>
                <w:sz w:val="19"/>
              </w:rPr>
            </w:pPr>
            <w:r>
              <w:rPr>
                <w:color w:val="231F20"/>
                <w:sz w:val="19"/>
              </w:rPr>
              <w:t>Enfermería y Obstetricia</w:t>
            </w:r>
          </w:p>
        </w:tc>
        <w:tc>
          <w:tcPr>
            <w:tcW w:w="1404" w:type="dxa"/>
            <w:tcBorders>
              <w:left w:val="single" w:sz="4" w:space="0" w:color="231F20"/>
              <w:right w:val="single" w:sz="2" w:space="0" w:color="231F20"/>
            </w:tcBorders>
          </w:tcPr>
          <w:p>
            <w:pPr>
              <w:pStyle w:val="TableParagraph"/>
              <w:spacing w:before="2"/>
              <w:ind w:left="0" w:right="645"/>
              <w:jc w:val="right"/>
              <w:rPr>
                <w:sz w:val="19"/>
              </w:rPr>
            </w:pPr>
            <w:r>
              <w:rPr>
                <w:color w:val="231F20"/>
                <w:w w:val="97"/>
                <w:sz w:val="19"/>
              </w:rPr>
              <w:t>7</w:t>
            </w:r>
          </w:p>
        </w:tc>
        <w:tc>
          <w:tcPr>
            <w:tcW w:w="1488" w:type="dxa"/>
            <w:tcBorders>
              <w:left w:val="single" w:sz="2" w:space="0" w:color="231F20"/>
              <w:right w:val="single" w:sz="2" w:space="0" w:color="231F20"/>
            </w:tcBorders>
          </w:tcPr>
          <w:p>
            <w:pPr>
              <w:pStyle w:val="TableParagraph"/>
              <w:spacing w:before="2"/>
              <w:ind w:left="0" w:right="1"/>
              <w:jc w:val="center"/>
              <w:rPr>
                <w:sz w:val="19"/>
              </w:rPr>
            </w:pPr>
            <w:r>
              <w:rPr>
                <w:color w:val="231F20"/>
                <w:w w:val="97"/>
                <w:sz w:val="19"/>
              </w:rPr>
              <w:t>0</w:t>
            </w:r>
          </w:p>
        </w:tc>
        <w:tc>
          <w:tcPr>
            <w:tcW w:w="838" w:type="dxa"/>
            <w:tcBorders>
              <w:left w:val="single" w:sz="2" w:space="0" w:color="231F20"/>
              <w:right w:val="single" w:sz="12" w:space="0" w:color="231F20"/>
            </w:tcBorders>
          </w:tcPr>
          <w:p>
            <w:pPr>
              <w:pStyle w:val="TableParagraph"/>
              <w:spacing w:before="2"/>
              <w:ind w:left="9"/>
              <w:jc w:val="center"/>
              <w:rPr>
                <w:sz w:val="19"/>
              </w:rPr>
            </w:pPr>
            <w:r>
              <w:rPr>
                <w:color w:val="231F20"/>
                <w:w w:val="97"/>
                <w:sz w:val="19"/>
              </w:rPr>
              <w:t>7</w:t>
            </w:r>
          </w:p>
        </w:tc>
      </w:tr>
      <w:tr>
        <w:trPr>
          <w:trHeight w:val="252" w:hRule="exact"/>
        </w:trPr>
        <w:tc>
          <w:tcPr>
            <w:tcW w:w="2122" w:type="dxa"/>
            <w:tcBorders>
              <w:left w:val="single" w:sz="4" w:space="0" w:color="231F20"/>
              <w:right w:val="single" w:sz="4" w:space="0" w:color="231F20"/>
            </w:tcBorders>
          </w:tcPr>
          <w:p>
            <w:pPr>
              <w:pStyle w:val="TableParagraph"/>
              <w:spacing w:line="218" w:lineRule="exact"/>
              <w:ind w:left="86"/>
              <w:rPr>
                <w:sz w:val="19"/>
              </w:rPr>
            </w:pPr>
            <w:r>
              <w:rPr>
                <w:color w:val="231F20"/>
                <w:sz w:val="19"/>
              </w:rPr>
              <w:t>Física</w:t>
            </w:r>
          </w:p>
        </w:tc>
        <w:tc>
          <w:tcPr>
            <w:tcW w:w="1404" w:type="dxa"/>
            <w:tcBorders>
              <w:left w:val="single" w:sz="4" w:space="0" w:color="231F20"/>
              <w:right w:val="single" w:sz="2" w:space="0" w:color="231F20"/>
            </w:tcBorders>
          </w:tcPr>
          <w:p>
            <w:pPr>
              <w:pStyle w:val="TableParagraph"/>
              <w:spacing w:before="4"/>
              <w:ind w:left="0" w:right="645"/>
              <w:jc w:val="right"/>
              <w:rPr>
                <w:sz w:val="19"/>
              </w:rPr>
            </w:pPr>
            <w:r>
              <w:rPr>
                <w:color w:val="231F20"/>
                <w:w w:val="97"/>
                <w:sz w:val="19"/>
              </w:rPr>
              <w:t>1</w:t>
            </w:r>
          </w:p>
        </w:tc>
        <w:tc>
          <w:tcPr>
            <w:tcW w:w="1488" w:type="dxa"/>
            <w:tcBorders>
              <w:left w:val="single" w:sz="2" w:space="0" w:color="231F20"/>
              <w:right w:val="single" w:sz="2" w:space="0" w:color="231F20"/>
            </w:tcBorders>
          </w:tcPr>
          <w:p>
            <w:pPr>
              <w:pStyle w:val="TableParagraph"/>
              <w:spacing w:before="4"/>
              <w:ind w:left="0" w:right="1"/>
              <w:jc w:val="center"/>
              <w:rPr>
                <w:sz w:val="19"/>
              </w:rPr>
            </w:pPr>
            <w:r>
              <w:rPr>
                <w:color w:val="231F20"/>
                <w:w w:val="97"/>
                <w:sz w:val="19"/>
              </w:rPr>
              <w:t>0</w:t>
            </w:r>
          </w:p>
        </w:tc>
        <w:tc>
          <w:tcPr>
            <w:tcW w:w="838" w:type="dxa"/>
            <w:tcBorders>
              <w:left w:val="single" w:sz="2" w:space="0" w:color="231F20"/>
              <w:right w:val="single" w:sz="12" w:space="0" w:color="231F20"/>
            </w:tcBorders>
          </w:tcPr>
          <w:p>
            <w:pPr>
              <w:pStyle w:val="TableParagraph"/>
              <w:spacing w:before="4"/>
              <w:ind w:left="9"/>
              <w:jc w:val="center"/>
              <w:rPr>
                <w:sz w:val="19"/>
              </w:rPr>
            </w:pPr>
            <w:r>
              <w:rPr>
                <w:color w:val="231F20"/>
                <w:w w:val="97"/>
                <w:sz w:val="19"/>
              </w:rPr>
              <w:t>1</w:t>
            </w:r>
          </w:p>
        </w:tc>
      </w:tr>
      <w:tr>
        <w:trPr>
          <w:trHeight w:val="482" w:hRule="exact"/>
        </w:trPr>
        <w:tc>
          <w:tcPr>
            <w:tcW w:w="2122" w:type="dxa"/>
            <w:tcBorders>
              <w:left w:val="single" w:sz="4" w:space="0" w:color="231F20"/>
              <w:right w:val="single" w:sz="4" w:space="0" w:color="231F20"/>
            </w:tcBorders>
          </w:tcPr>
          <w:p>
            <w:pPr>
              <w:pStyle w:val="TableParagraph"/>
              <w:spacing w:line="264" w:lineRule="auto"/>
              <w:ind w:left="86"/>
              <w:rPr>
                <w:sz w:val="19"/>
              </w:rPr>
            </w:pPr>
            <w:r>
              <w:rPr>
                <w:color w:val="231F20"/>
                <w:sz w:val="19"/>
              </w:rPr>
              <w:t>Medicina veterinaria y Zootecnia</w:t>
            </w:r>
          </w:p>
        </w:tc>
        <w:tc>
          <w:tcPr>
            <w:tcW w:w="1404" w:type="dxa"/>
            <w:tcBorders>
              <w:left w:val="single" w:sz="4" w:space="0" w:color="231F20"/>
              <w:right w:val="single" w:sz="2" w:space="0" w:color="231F20"/>
            </w:tcBorders>
          </w:tcPr>
          <w:p>
            <w:pPr>
              <w:pStyle w:val="TableParagraph"/>
              <w:spacing w:before="117"/>
              <w:ind w:left="0" w:right="598"/>
              <w:jc w:val="right"/>
              <w:rPr>
                <w:sz w:val="19"/>
              </w:rPr>
            </w:pPr>
            <w:r>
              <w:rPr>
                <w:color w:val="231F20"/>
                <w:w w:val="95"/>
                <w:sz w:val="19"/>
              </w:rPr>
              <w:t>10</w:t>
            </w:r>
          </w:p>
        </w:tc>
        <w:tc>
          <w:tcPr>
            <w:tcW w:w="1488" w:type="dxa"/>
            <w:tcBorders>
              <w:left w:val="single" w:sz="2" w:space="0" w:color="231F20"/>
              <w:right w:val="single" w:sz="2" w:space="0" w:color="231F20"/>
            </w:tcBorders>
          </w:tcPr>
          <w:p>
            <w:pPr>
              <w:pStyle w:val="TableParagraph"/>
              <w:spacing w:before="117"/>
              <w:ind w:left="0" w:right="1"/>
              <w:jc w:val="center"/>
              <w:rPr>
                <w:sz w:val="19"/>
              </w:rPr>
            </w:pPr>
            <w:r>
              <w:rPr>
                <w:color w:val="231F20"/>
                <w:w w:val="97"/>
                <w:sz w:val="19"/>
              </w:rPr>
              <w:t>0</w:t>
            </w:r>
          </w:p>
        </w:tc>
        <w:tc>
          <w:tcPr>
            <w:tcW w:w="838" w:type="dxa"/>
            <w:tcBorders>
              <w:left w:val="single" w:sz="2" w:space="0" w:color="231F20"/>
              <w:right w:val="single" w:sz="12" w:space="0" w:color="231F20"/>
            </w:tcBorders>
          </w:tcPr>
          <w:p>
            <w:pPr>
              <w:pStyle w:val="TableParagraph"/>
              <w:spacing w:before="117"/>
              <w:ind w:left="178" w:right="169"/>
              <w:jc w:val="center"/>
              <w:rPr>
                <w:sz w:val="19"/>
              </w:rPr>
            </w:pPr>
            <w:r>
              <w:rPr>
                <w:color w:val="231F20"/>
                <w:sz w:val="19"/>
              </w:rPr>
              <w:t>10</w:t>
            </w:r>
          </w:p>
        </w:tc>
      </w:tr>
      <w:tr>
        <w:trPr>
          <w:trHeight w:val="250" w:hRule="exact"/>
        </w:trPr>
        <w:tc>
          <w:tcPr>
            <w:tcW w:w="2122" w:type="dxa"/>
            <w:tcBorders>
              <w:left w:val="single" w:sz="4" w:space="0" w:color="231F20"/>
              <w:right w:val="single" w:sz="4" w:space="0" w:color="231F20"/>
            </w:tcBorders>
          </w:tcPr>
          <w:p>
            <w:pPr>
              <w:pStyle w:val="TableParagraph"/>
              <w:spacing w:line="213" w:lineRule="exact"/>
              <w:ind w:left="86"/>
              <w:rPr>
                <w:sz w:val="19"/>
              </w:rPr>
            </w:pPr>
            <w:r>
              <w:rPr>
                <w:color w:val="231F20"/>
                <w:sz w:val="19"/>
              </w:rPr>
              <w:t>Odontología</w:t>
            </w:r>
          </w:p>
        </w:tc>
        <w:tc>
          <w:tcPr>
            <w:tcW w:w="1404" w:type="dxa"/>
            <w:tcBorders>
              <w:left w:val="single" w:sz="4" w:space="0" w:color="231F20"/>
              <w:right w:val="single" w:sz="2" w:space="0" w:color="231F20"/>
            </w:tcBorders>
          </w:tcPr>
          <w:p>
            <w:pPr>
              <w:pStyle w:val="TableParagraph"/>
              <w:spacing w:line="218" w:lineRule="exact"/>
              <w:ind w:left="0" w:right="598"/>
              <w:jc w:val="right"/>
              <w:rPr>
                <w:sz w:val="19"/>
              </w:rPr>
            </w:pPr>
            <w:r>
              <w:rPr>
                <w:color w:val="231F20"/>
                <w:w w:val="95"/>
                <w:sz w:val="19"/>
              </w:rPr>
              <w:t>13</w:t>
            </w:r>
          </w:p>
        </w:tc>
        <w:tc>
          <w:tcPr>
            <w:tcW w:w="1488" w:type="dxa"/>
            <w:tcBorders>
              <w:left w:val="single" w:sz="2" w:space="0" w:color="231F20"/>
              <w:right w:val="single" w:sz="2" w:space="0" w:color="231F20"/>
            </w:tcBorders>
          </w:tcPr>
          <w:p>
            <w:pPr>
              <w:pStyle w:val="TableParagraph"/>
              <w:spacing w:line="218" w:lineRule="exact"/>
              <w:ind w:left="0" w:right="1"/>
              <w:jc w:val="center"/>
              <w:rPr>
                <w:sz w:val="19"/>
              </w:rPr>
            </w:pPr>
            <w:r>
              <w:rPr>
                <w:color w:val="231F20"/>
                <w:w w:val="97"/>
                <w:sz w:val="19"/>
              </w:rPr>
              <w:t>1</w:t>
            </w:r>
          </w:p>
        </w:tc>
        <w:tc>
          <w:tcPr>
            <w:tcW w:w="838" w:type="dxa"/>
            <w:tcBorders>
              <w:left w:val="single" w:sz="2" w:space="0" w:color="231F20"/>
              <w:right w:val="single" w:sz="12" w:space="0" w:color="231F20"/>
            </w:tcBorders>
          </w:tcPr>
          <w:p>
            <w:pPr>
              <w:pStyle w:val="TableParagraph"/>
              <w:spacing w:line="218" w:lineRule="exact"/>
              <w:ind w:left="178" w:right="169"/>
              <w:jc w:val="center"/>
              <w:rPr>
                <w:sz w:val="19"/>
              </w:rPr>
            </w:pPr>
            <w:r>
              <w:rPr>
                <w:color w:val="231F20"/>
                <w:sz w:val="19"/>
              </w:rPr>
              <w:t>14</w:t>
            </w:r>
          </w:p>
        </w:tc>
      </w:tr>
      <w:tr>
        <w:trPr>
          <w:trHeight w:val="470" w:hRule="exact"/>
        </w:trPr>
        <w:tc>
          <w:tcPr>
            <w:tcW w:w="2122" w:type="dxa"/>
            <w:tcBorders>
              <w:left w:val="single" w:sz="4" w:space="0" w:color="231F20"/>
              <w:bottom w:val="single" w:sz="4" w:space="0" w:color="231F20"/>
              <w:right w:val="single" w:sz="4" w:space="0" w:color="231F20"/>
            </w:tcBorders>
          </w:tcPr>
          <w:p>
            <w:pPr>
              <w:pStyle w:val="TableParagraph"/>
              <w:spacing w:line="264" w:lineRule="auto"/>
              <w:ind w:left="86"/>
              <w:rPr>
                <w:sz w:val="19"/>
              </w:rPr>
            </w:pPr>
            <w:r>
              <w:rPr>
                <w:color w:val="231F20"/>
                <w:sz w:val="19"/>
              </w:rPr>
              <w:t>Químico Biólogo Far- macéutico</w:t>
            </w:r>
          </w:p>
        </w:tc>
        <w:tc>
          <w:tcPr>
            <w:tcW w:w="1404" w:type="dxa"/>
            <w:tcBorders>
              <w:left w:val="single" w:sz="4" w:space="0" w:color="231F20"/>
              <w:bottom w:val="single" w:sz="4" w:space="0" w:color="231F20"/>
              <w:right w:val="single" w:sz="2" w:space="0" w:color="231F20"/>
            </w:tcBorders>
          </w:tcPr>
          <w:p>
            <w:pPr>
              <w:pStyle w:val="TableParagraph"/>
              <w:spacing w:before="119"/>
              <w:ind w:left="0" w:right="645"/>
              <w:jc w:val="right"/>
              <w:rPr>
                <w:sz w:val="19"/>
              </w:rPr>
            </w:pPr>
            <w:r>
              <w:rPr>
                <w:color w:val="231F20"/>
                <w:w w:val="97"/>
                <w:sz w:val="19"/>
              </w:rPr>
              <w:t>8</w:t>
            </w:r>
          </w:p>
        </w:tc>
        <w:tc>
          <w:tcPr>
            <w:tcW w:w="1488" w:type="dxa"/>
            <w:tcBorders>
              <w:left w:val="single" w:sz="2" w:space="0" w:color="231F20"/>
              <w:bottom w:val="single" w:sz="4" w:space="0" w:color="231F20"/>
              <w:right w:val="single" w:sz="2" w:space="0" w:color="231F20"/>
            </w:tcBorders>
          </w:tcPr>
          <w:p>
            <w:pPr>
              <w:pStyle w:val="TableParagraph"/>
              <w:spacing w:before="119"/>
              <w:ind w:left="0" w:right="1"/>
              <w:jc w:val="center"/>
              <w:rPr>
                <w:sz w:val="19"/>
              </w:rPr>
            </w:pPr>
            <w:r>
              <w:rPr>
                <w:color w:val="231F20"/>
                <w:w w:val="97"/>
                <w:sz w:val="19"/>
              </w:rPr>
              <w:t>0</w:t>
            </w:r>
          </w:p>
        </w:tc>
        <w:tc>
          <w:tcPr>
            <w:tcW w:w="838" w:type="dxa"/>
            <w:tcBorders>
              <w:left w:val="single" w:sz="2" w:space="0" w:color="231F20"/>
              <w:bottom w:val="single" w:sz="4" w:space="0" w:color="231F20"/>
              <w:right w:val="single" w:sz="12" w:space="0" w:color="231F20"/>
            </w:tcBorders>
          </w:tcPr>
          <w:p>
            <w:pPr>
              <w:pStyle w:val="TableParagraph"/>
              <w:spacing w:before="119"/>
              <w:ind w:left="9"/>
              <w:jc w:val="center"/>
              <w:rPr>
                <w:sz w:val="19"/>
              </w:rPr>
            </w:pPr>
            <w:r>
              <w:rPr>
                <w:color w:val="231F20"/>
                <w:w w:val="97"/>
                <w:sz w:val="19"/>
              </w:rPr>
              <w:t>8</w:t>
            </w:r>
          </w:p>
        </w:tc>
      </w:tr>
      <w:tr>
        <w:trPr>
          <w:trHeight w:val="259" w:hRule="exact"/>
        </w:trPr>
        <w:tc>
          <w:tcPr>
            <w:tcW w:w="2122" w:type="dxa"/>
            <w:tcBorders>
              <w:top w:val="single" w:sz="4" w:space="0" w:color="231F20"/>
              <w:left w:val="single" w:sz="4" w:space="0" w:color="231F20"/>
              <w:bottom w:val="single" w:sz="4" w:space="0" w:color="231F20"/>
              <w:right w:val="single" w:sz="4" w:space="0" w:color="231F20"/>
            </w:tcBorders>
          </w:tcPr>
          <w:p>
            <w:pPr>
              <w:pStyle w:val="TableParagraph"/>
              <w:spacing w:before="14"/>
              <w:ind w:left="86"/>
              <w:rPr>
                <w:b/>
                <w:sz w:val="19"/>
              </w:rPr>
            </w:pPr>
            <w:r>
              <w:rPr>
                <w:b/>
                <w:color w:val="231F20"/>
                <w:sz w:val="19"/>
              </w:rPr>
              <w:t>Total</w:t>
            </w:r>
          </w:p>
        </w:tc>
        <w:tc>
          <w:tcPr>
            <w:tcW w:w="1404" w:type="dxa"/>
            <w:tcBorders>
              <w:top w:val="single" w:sz="4" w:space="0" w:color="231F20"/>
              <w:left w:val="single" w:sz="4" w:space="0" w:color="231F20"/>
              <w:bottom w:val="single" w:sz="4" w:space="0" w:color="231F20"/>
              <w:right w:val="single" w:sz="2" w:space="0" w:color="231F20"/>
            </w:tcBorders>
          </w:tcPr>
          <w:p>
            <w:pPr>
              <w:pStyle w:val="TableParagraph"/>
              <w:spacing w:before="19"/>
              <w:ind w:left="0" w:right="573"/>
              <w:jc w:val="right"/>
              <w:rPr>
                <w:b/>
                <w:sz w:val="19"/>
              </w:rPr>
            </w:pPr>
            <w:r>
              <w:rPr>
                <w:b/>
                <w:color w:val="231F20"/>
                <w:w w:val="85"/>
                <w:sz w:val="19"/>
              </w:rPr>
              <w:t>131</w:t>
            </w:r>
          </w:p>
        </w:tc>
        <w:tc>
          <w:tcPr>
            <w:tcW w:w="1488" w:type="dxa"/>
            <w:tcBorders>
              <w:top w:val="single" w:sz="4" w:space="0" w:color="231F20"/>
              <w:left w:val="single" w:sz="2" w:space="0" w:color="231F20"/>
              <w:bottom w:val="single" w:sz="4" w:space="0" w:color="231F20"/>
              <w:right w:val="single" w:sz="2" w:space="0" w:color="231F20"/>
            </w:tcBorders>
          </w:tcPr>
          <w:p>
            <w:pPr>
              <w:pStyle w:val="TableParagraph"/>
              <w:spacing w:before="19"/>
              <w:ind w:left="0" w:right="1"/>
              <w:jc w:val="center"/>
              <w:rPr>
                <w:b/>
                <w:sz w:val="19"/>
              </w:rPr>
            </w:pPr>
            <w:r>
              <w:rPr>
                <w:b/>
                <w:color w:val="231F20"/>
                <w:w w:val="97"/>
                <w:sz w:val="19"/>
              </w:rPr>
              <w:t>8</w:t>
            </w:r>
          </w:p>
        </w:tc>
        <w:tc>
          <w:tcPr>
            <w:tcW w:w="838" w:type="dxa"/>
            <w:tcBorders>
              <w:top w:val="single" w:sz="4" w:space="0" w:color="231F20"/>
              <w:left w:val="single" w:sz="2" w:space="0" w:color="231F20"/>
              <w:bottom w:val="single" w:sz="4" w:space="0" w:color="231F20"/>
              <w:right w:val="single" w:sz="4" w:space="0" w:color="231F20"/>
            </w:tcBorders>
          </w:tcPr>
          <w:p>
            <w:pPr>
              <w:pStyle w:val="TableParagraph"/>
              <w:spacing w:before="19"/>
              <w:ind w:left="252" w:right="252"/>
              <w:jc w:val="center"/>
              <w:rPr>
                <w:b/>
                <w:sz w:val="19"/>
              </w:rPr>
            </w:pPr>
            <w:r>
              <w:rPr>
                <w:b/>
                <w:color w:val="231F20"/>
                <w:sz w:val="19"/>
              </w:rPr>
              <w:t>139</w:t>
            </w:r>
          </w:p>
        </w:tc>
      </w:tr>
    </w:tbl>
    <w:p>
      <w:pPr>
        <w:spacing w:after="0"/>
        <w:jc w:val="center"/>
        <w:rPr>
          <w:sz w:val="19"/>
        </w:rPr>
        <w:sectPr>
          <w:headerReference w:type="default" r:id="rId876"/>
          <w:footerReference w:type="default" r:id="rId877"/>
          <w:pgSz w:w="7830" w:h="11910"/>
          <w:pgMar w:header="0" w:footer="424" w:top="500" w:bottom="620" w:left="900" w:right="820"/>
          <w:pgNumType w:start="396"/>
        </w:sectPr>
      </w:pPr>
    </w:p>
    <w:p>
      <w:pPr>
        <w:spacing w:before="46"/>
        <w:ind w:left="258" w:right="312"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line="273" w:lineRule="auto" w:before="111"/>
        <w:ind w:left="258" w:right="312" w:firstLine="0"/>
        <w:jc w:val="center"/>
        <w:rPr>
          <w:b/>
          <w:sz w:val="19"/>
        </w:rPr>
      </w:pPr>
      <w:r>
        <w:rPr>
          <w:b/>
          <w:color w:val="231F20"/>
          <w:sz w:val="19"/>
        </w:rPr>
        <w:t>Cuadro 11.Qué tipo de violencia has sufrido tú: agresión económica (chantaje)</w:t>
      </w:r>
    </w:p>
    <w:p>
      <w:pPr>
        <w:pStyle w:val="BodyText"/>
        <w:spacing w:before="10"/>
        <w:rPr>
          <w:b/>
          <w:sz w:val="18"/>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3"/>
        <w:gridCol w:w="1846"/>
        <w:gridCol w:w="1387"/>
        <w:gridCol w:w="737"/>
      </w:tblGrid>
      <w:tr>
        <w:trPr>
          <w:trHeight w:val="571" w:hRule="exact"/>
        </w:trPr>
        <w:tc>
          <w:tcPr>
            <w:tcW w:w="1843" w:type="dxa"/>
            <w:tcBorders>
              <w:top w:val="single" w:sz="12" w:space="0" w:color="231F20"/>
              <w:left w:val="single" w:sz="12" w:space="0" w:color="231F20"/>
              <w:bottom w:val="single" w:sz="12" w:space="0" w:color="231F20"/>
              <w:right w:val="single" w:sz="12" w:space="0" w:color="231F20"/>
            </w:tcBorders>
          </w:tcPr>
          <w:p>
            <w:pPr/>
          </w:p>
        </w:tc>
        <w:tc>
          <w:tcPr>
            <w:tcW w:w="3233" w:type="dxa"/>
            <w:gridSpan w:val="2"/>
            <w:tcBorders>
              <w:top w:val="single" w:sz="12" w:space="0" w:color="231F20"/>
              <w:left w:val="single" w:sz="12" w:space="0" w:color="231F20"/>
              <w:bottom w:val="single" w:sz="2" w:space="0" w:color="231F20"/>
              <w:right w:val="single" w:sz="2" w:space="0" w:color="231F20"/>
            </w:tcBorders>
          </w:tcPr>
          <w:p>
            <w:pPr>
              <w:pStyle w:val="TableParagraph"/>
              <w:spacing w:line="295" w:lineRule="auto" w:before="95"/>
              <w:ind w:left="220" w:right="217" w:firstLine="1"/>
              <w:rPr>
                <w:b/>
                <w:sz w:val="17"/>
              </w:rPr>
            </w:pPr>
            <w:r>
              <w:rPr>
                <w:b/>
                <w:color w:val="231F20"/>
                <w:w w:val="105"/>
                <w:sz w:val="17"/>
              </w:rPr>
              <w:t>Qué tipo de violencia has sufrido tú: agresión económica (chantaje) 1s,2n</w:t>
            </w:r>
          </w:p>
        </w:tc>
        <w:tc>
          <w:tcPr>
            <w:tcW w:w="737" w:type="dxa"/>
            <w:tcBorders>
              <w:top w:val="single" w:sz="12" w:space="0" w:color="231F20"/>
              <w:left w:val="single" w:sz="2" w:space="0" w:color="231F20"/>
              <w:bottom w:val="single" w:sz="2" w:space="0" w:color="231F20"/>
              <w:right w:val="single" w:sz="12" w:space="0" w:color="231F20"/>
            </w:tcBorders>
          </w:tcPr>
          <w:p>
            <w:pPr>
              <w:pStyle w:val="TableParagraph"/>
              <w:ind w:left="0"/>
              <w:rPr>
                <w:b/>
                <w:sz w:val="18"/>
              </w:rPr>
            </w:pPr>
          </w:p>
          <w:p>
            <w:pPr>
              <w:pStyle w:val="TableParagraph"/>
              <w:spacing w:before="128"/>
              <w:ind w:left="143" w:right="129"/>
              <w:jc w:val="center"/>
              <w:rPr>
                <w:b/>
                <w:sz w:val="17"/>
              </w:rPr>
            </w:pPr>
            <w:r>
              <w:rPr>
                <w:b/>
                <w:color w:val="231F20"/>
                <w:w w:val="105"/>
                <w:sz w:val="17"/>
              </w:rPr>
              <w:t>Total</w:t>
            </w:r>
          </w:p>
        </w:tc>
      </w:tr>
      <w:tr>
        <w:trPr>
          <w:trHeight w:val="854" w:hRule="exact"/>
        </w:trPr>
        <w:tc>
          <w:tcPr>
            <w:tcW w:w="1843" w:type="dxa"/>
            <w:tcBorders>
              <w:top w:val="single" w:sz="12" w:space="0" w:color="231F20"/>
              <w:left w:val="single" w:sz="12" w:space="0" w:color="231F20"/>
              <w:bottom w:val="single" w:sz="12" w:space="0" w:color="231F20"/>
              <w:right w:val="single" w:sz="12" w:space="0" w:color="231F20"/>
            </w:tcBorders>
          </w:tcPr>
          <w:p>
            <w:pPr/>
          </w:p>
        </w:tc>
        <w:tc>
          <w:tcPr>
            <w:tcW w:w="1846" w:type="dxa"/>
            <w:tcBorders>
              <w:top w:val="single" w:sz="2" w:space="0" w:color="231F20"/>
              <w:left w:val="single" w:sz="12" w:space="0" w:color="231F20"/>
              <w:bottom w:val="single" w:sz="12" w:space="0" w:color="231F20"/>
              <w:right w:val="single" w:sz="2" w:space="0" w:color="231F20"/>
            </w:tcBorders>
          </w:tcPr>
          <w:p>
            <w:pPr>
              <w:pStyle w:val="TableParagraph"/>
              <w:ind w:left="0"/>
              <w:rPr>
                <w:b/>
                <w:sz w:val="18"/>
              </w:rPr>
            </w:pPr>
          </w:p>
          <w:p>
            <w:pPr>
              <w:pStyle w:val="TableParagraph"/>
              <w:ind w:left="0"/>
              <w:rPr>
                <w:b/>
                <w:sz w:val="18"/>
              </w:rPr>
            </w:pPr>
          </w:p>
          <w:p>
            <w:pPr>
              <w:pStyle w:val="TableParagraph"/>
              <w:spacing w:before="9"/>
              <w:ind w:left="0"/>
              <w:rPr>
                <w:b/>
                <w:sz w:val="18"/>
              </w:rPr>
            </w:pPr>
          </w:p>
          <w:p>
            <w:pPr>
              <w:pStyle w:val="TableParagraph"/>
              <w:spacing w:before="1"/>
              <w:ind w:left="836"/>
              <w:rPr>
                <w:b/>
                <w:sz w:val="17"/>
              </w:rPr>
            </w:pPr>
            <w:r>
              <w:rPr>
                <w:b/>
                <w:color w:val="231F20"/>
                <w:sz w:val="17"/>
              </w:rPr>
              <w:t>Sí</w:t>
            </w:r>
          </w:p>
        </w:tc>
        <w:tc>
          <w:tcPr>
            <w:tcW w:w="1387" w:type="dxa"/>
            <w:tcBorders>
              <w:top w:val="single" w:sz="2" w:space="0" w:color="231F20"/>
              <w:left w:val="single" w:sz="2" w:space="0" w:color="231F20"/>
              <w:bottom w:val="single" w:sz="12" w:space="0" w:color="231F20"/>
              <w:right w:val="single" w:sz="2" w:space="0" w:color="231F20"/>
            </w:tcBorders>
          </w:tcPr>
          <w:p>
            <w:pPr>
              <w:pStyle w:val="TableParagraph"/>
              <w:ind w:left="0"/>
              <w:rPr>
                <w:b/>
                <w:sz w:val="18"/>
              </w:rPr>
            </w:pPr>
          </w:p>
          <w:p>
            <w:pPr>
              <w:pStyle w:val="TableParagraph"/>
              <w:ind w:left="0"/>
              <w:rPr>
                <w:b/>
                <w:sz w:val="18"/>
              </w:rPr>
            </w:pPr>
          </w:p>
          <w:p>
            <w:pPr>
              <w:pStyle w:val="TableParagraph"/>
              <w:spacing w:before="9"/>
              <w:ind w:left="0"/>
              <w:rPr>
                <w:b/>
                <w:sz w:val="18"/>
              </w:rPr>
            </w:pPr>
          </w:p>
          <w:p>
            <w:pPr>
              <w:pStyle w:val="TableParagraph"/>
              <w:spacing w:before="1"/>
              <w:ind w:left="551" w:right="551"/>
              <w:jc w:val="center"/>
              <w:rPr>
                <w:b/>
                <w:sz w:val="17"/>
              </w:rPr>
            </w:pPr>
            <w:r>
              <w:rPr>
                <w:b/>
                <w:color w:val="231F20"/>
                <w:w w:val="115"/>
                <w:sz w:val="17"/>
              </w:rPr>
              <w:t>No</w:t>
            </w:r>
          </w:p>
        </w:tc>
        <w:tc>
          <w:tcPr>
            <w:tcW w:w="737" w:type="dxa"/>
            <w:tcBorders>
              <w:top w:val="single" w:sz="2" w:space="0" w:color="231F20"/>
              <w:left w:val="single" w:sz="2" w:space="0" w:color="231F20"/>
              <w:bottom w:val="single" w:sz="12" w:space="0" w:color="231F20"/>
              <w:right w:val="single" w:sz="12" w:space="0" w:color="231F20"/>
            </w:tcBorders>
          </w:tcPr>
          <w:p>
            <w:pPr>
              <w:pStyle w:val="TableParagraph"/>
              <w:ind w:left="0"/>
              <w:rPr>
                <w:b/>
                <w:sz w:val="18"/>
              </w:rPr>
            </w:pPr>
          </w:p>
          <w:p>
            <w:pPr>
              <w:pStyle w:val="TableParagraph"/>
              <w:ind w:left="0"/>
              <w:rPr>
                <w:b/>
                <w:sz w:val="18"/>
              </w:rPr>
            </w:pPr>
          </w:p>
          <w:p>
            <w:pPr>
              <w:pStyle w:val="TableParagraph"/>
              <w:spacing w:before="9"/>
              <w:ind w:left="0"/>
              <w:rPr>
                <w:b/>
                <w:sz w:val="18"/>
              </w:rPr>
            </w:pPr>
          </w:p>
          <w:p>
            <w:pPr>
              <w:pStyle w:val="TableParagraph"/>
              <w:spacing w:before="1"/>
              <w:ind w:left="141" w:right="129"/>
              <w:jc w:val="center"/>
              <w:rPr>
                <w:b/>
                <w:sz w:val="17"/>
              </w:rPr>
            </w:pPr>
            <w:r>
              <w:rPr>
                <w:b/>
                <w:color w:val="231F20"/>
                <w:sz w:val="17"/>
              </w:rPr>
              <w:t>Sí</w:t>
            </w:r>
          </w:p>
        </w:tc>
      </w:tr>
      <w:tr>
        <w:trPr>
          <w:trHeight w:val="298" w:hRule="exact"/>
        </w:trPr>
        <w:tc>
          <w:tcPr>
            <w:tcW w:w="1843" w:type="dxa"/>
            <w:tcBorders>
              <w:top w:val="single" w:sz="12" w:space="0" w:color="231F20"/>
              <w:left w:val="single" w:sz="4" w:space="0" w:color="231F20"/>
              <w:right w:val="single" w:sz="4" w:space="0" w:color="231F20"/>
            </w:tcBorders>
          </w:tcPr>
          <w:p>
            <w:pPr>
              <w:pStyle w:val="TableParagraph"/>
              <w:spacing w:before="33"/>
              <w:ind w:left="86" w:right="30"/>
              <w:rPr>
                <w:sz w:val="17"/>
              </w:rPr>
            </w:pPr>
            <w:r>
              <w:rPr>
                <w:color w:val="231F20"/>
                <w:sz w:val="17"/>
              </w:rPr>
              <w:t>Carrera</w:t>
            </w:r>
          </w:p>
        </w:tc>
        <w:tc>
          <w:tcPr>
            <w:tcW w:w="1846" w:type="dxa"/>
            <w:tcBorders>
              <w:top w:val="single" w:sz="12" w:space="0" w:color="231F20"/>
              <w:left w:val="single" w:sz="4" w:space="0" w:color="231F20"/>
              <w:right w:val="single" w:sz="2" w:space="0" w:color="231F20"/>
            </w:tcBorders>
          </w:tcPr>
          <w:p>
            <w:pPr>
              <w:pStyle w:val="TableParagraph"/>
              <w:spacing w:before="47"/>
              <w:ind w:left="875"/>
              <w:rPr>
                <w:sz w:val="17"/>
              </w:rPr>
            </w:pPr>
            <w:r>
              <w:rPr>
                <w:color w:val="231F20"/>
                <w:w w:val="97"/>
                <w:sz w:val="17"/>
              </w:rPr>
              <w:t>1</w:t>
            </w:r>
          </w:p>
        </w:tc>
        <w:tc>
          <w:tcPr>
            <w:tcW w:w="1387" w:type="dxa"/>
            <w:tcBorders>
              <w:top w:val="single" w:sz="12" w:space="0" w:color="231F20"/>
              <w:left w:val="single" w:sz="2" w:space="0" w:color="231F20"/>
              <w:right w:val="single" w:sz="2" w:space="0" w:color="231F20"/>
            </w:tcBorders>
          </w:tcPr>
          <w:p>
            <w:pPr>
              <w:pStyle w:val="TableParagraph"/>
              <w:spacing w:before="47"/>
              <w:ind w:left="0"/>
              <w:jc w:val="center"/>
              <w:rPr>
                <w:sz w:val="17"/>
              </w:rPr>
            </w:pPr>
            <w:r>
              <w:rPr>
                <w:color w:val="231F20"/>
                <w:w w:val="97"/>
                <w:sz w:val="17"/>
              </w:rPr>
              <w:t>0</w:t>
            </w:r>
          </w:p>
        </w:tc>
        <w:tc>
          <w:tcPr>
            <w:tcW w:w="737" w:type="dxa"/>
            <w:tcBorders>
              <w:top w:val="single" w:sz="12" w:space="0" w:color="231F20"/>
              <w:left w:val="single" w:sz="2" w:space="0" w:color="231F20"/>
              <w:right w:val="single" w:sz="12" w:space="0" w:color="231F20"/>
            </w:tcBorders>
          </w:tcPr>
          <w:p>
            <w:pPr>
              <w:pStyle w:val="TableParagraph"/>
              <w:spacing w:before="47"/>
              <w:ind w:left="12"/>
              <w:jc w:val="center"/>
              <w:rPr>
                <w:sz w:val="17"/>
              </w:rPr>
            </w:pPr>
            <w:r>
              <w:rPr>
                <w:color w:val="231F20"/>
                <w:w w:val="97"/>
                <w:sz w:val="17"/>
              </w:rPr>
              <w:t>1</w:t>
            </w:r>
          </w:p>
        </w:tc>
      </w:tr>
      <w:tr>
        <w:trPr>
          <w:trHeight w:val="264"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sz w:val="17"/>
              </w:rPr>
              <w:t>Administración</w:t>
            </w:r>
          </w:p>
        </w:tc>
        <w:tc>
          <w:tcPr>
            <w:tcW w:w="1846" w:type="dxa"/>
            <w:tcBorders>
              <w:left w:val="single" w:sz="4" w:space="0" w:color="231F20"/>
              <w:right w:val="single" w:sz="2" w:space="0" w:color="231F20"/>
            </w:tcBorders>
          </w:tcPr>
          <w:p>
            <w:pPr>
              <w:pStyle w:val="TableParagraph"/>
              <w:spacing w:before="27"/>
              <w:ind w:left="875"/>
              <w:rPr>
                <w:sz w:val="17"/>
              </w:rPr>
            </w:pPr>
            <w:r>
              <w:rPr>
                <w:color w:val="231F20"/>
                <w:w w:val="97"/>
                <w:sz w:val="17"/>
              </w:rPr>
              <w:t>4</w:t>
            </w:r>
          </w:p>
        </w:tc>
        <w:tc>
          <w:tcPr>
            <w:tcW w:w="1387"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0</w:t>
            </w:r>
          </w:p>
        </w:tc>
        <w:tc>
          <w:tcPr>
            <w:tcW w:w="737" w:type="dxa"/>
            <w:tcBorders>
              <w:left w:val="single" w:sz="2" w:space="0" w:color="231F20"/>
              <w:right w:val="single" w:sz="12" w:space="0" w:color="231F20"/>
            </w:tcBorders>
          </w:tcPr>
          <w:p>
            <w:pPr>
              <w:pStyle w:val="TableParagraph"/>
              <w:spacing w:before="27"/>
              <w:ind w:left="12"/>
              <w:jc w:val="center"/>
              <w:rPr>
                <w:sz w:val="17"/>
              </w:rPr>
            </w:pPr>
            <w:r>
              <w:rPr>
                <w:color w:val="231F20"/>
                <w:w w:val="97"/>
                <w:sz w:val="17"/>
              </w:rPr>
              <w:t>4</w:t>
            </w:r>
          </w:p>
        </w:tc>
      </w:tr>
      <w:tr>
        <w:trPr>
          <w:trHeight w:val="264"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sz w:val="17"/>
              </w:rPr>
              <w:t>Arquitectura</w:t>
            </w:r>
          </w:p>
        </w:tc>
        <w:tc>
          <w:tcPr>
            <w:tcW w:w="1846" w:type="dxa"/>
            <w:tcBorders>
              <w:left w:val="single" w:sz="4" w:space="0" w:color="231F20"/>
              <w:right w:val="single" w:sz="2" w:space="0" w:color="231F20"/>
            </w:tcBorders>
          </w:tcPr>
          <w:p>
            <w:pPr>
              <w:pStyle w:val="TableParagraph"/>
              <w:spacing w:before="27"/>
              <w:ind w:left="833"/>
              <w:rPr>
                <w:sz w:val="17"/>
              </w:rPr>
            </w:pPr>
            <w:r>
              <w:rPr>
                <w:color w:val="231F20"/>
                <w:sz w:val="17"/>
              </w:rPr>
              <w:t>35</w:t>
            </w:r>
          </w:p>
        </w:tc>
        <w:tc>
          <w:tcPr>
            <w:tcW w:w="1387"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0</w:t>
            </w:r>
          </w:p>
        </w:tc>
        <w:tc>
          <w:tcPr>
            <w:tcW w:w="737" w:type="dxa"/>
            <w:tcBorders>
              <w:left w:val="single" w:sz="2" w:space="0" w:color="231F20"/>
              <w:right w:val="single" w:sz="12" w:space="0" w:color="231F20"/>
            </w:tcBorders>
          </w:tcPr>
          <w:p>
            <w:pPr>
              <w:pStyle w:val="TableParagraph"/>
              <w:spacing w:before="27"/>
              <w:ind w:left="142" w:right="129"/>
              <w:jc w:val="center"/>
              <w:rPr>
                <w:sz w:val="17"/>
              </w:rPr>
            </w:pPr>
            <w:r>
              <w:rPr>
                <w:color w:val="231F20"/>
                <w:sz w:val="17"/>
              </w:rPr>
              <w:t>35</w:t>
            </w:r>
          </w:p>
        </w:tc>
      </w:tr>
      <w:tr>
        <w:trPr>
          <w:trHeight w:val="264"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sz w:val="17"/>
              </w:rPr>
              <w:t>Biología</w:t>
            </w:r>
          </w:p>
        </w:tc>
        <w:tc>
          <w:tcPr>
            <w:tcW w:w="1846" w:type="dxa"/>
            <w:tcBorders>
              <w:left w:val="single" w:sz="4" w:space="0" w:color="231F20"/>
              <w:right w:val="single" w:sz="2" w:space="0" w:color="231F20"/>
            </w:tcBorders>
          </w:tcPr>
          <w:p>
            <w:pPr>
              <w:pStyle w:val="TableParagraph"/>
              <w:spacing w:before="27"/>
              <w:ind w:left="875"/>
              <w:rPr>
                <w:sz w:val="17"/>
              </w:rPr>
            </w:pPr>
            <w:r>
              <w:rPr>
                <w:color w:val="231F20"/>
                <w:w w:val="97"/>
                <w:sz w:val="17"/>
              </w:rPr>
              <w:t>1</w:t>
            </w:r>
          </w:p>
        </w:tc>
        <w:tc>
          <w:tcPr>
            <w:tcW w:w="1387"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0</w:t>
            </w:r>
          </w:p>
        </w:tc>
        <w:tc>
          <w:tcPr>
            <w:tcW w:w="737" w:type="dxa"/>
            <w:tcBorders>
              <w:left w:val="single" w:sz="2" w:space="0" w:color="231F20"/>
              <w:right w:val="single" w:sz="12" w:space="0" w:color="231F20"/>
            </w:tcBorders>
          </w:tcPr>
          <w:p>
            <w:pPr>
              <w:pStyle w:val="TableParagraph"/>
              <w:spacing w:before="27"/>
              <w:ind w:left="12"/>
              <w:jc w:val="center"/>
              <w:rPr>
                <w:sz w:val="17"/>
              </w:rPr>
            </w:pPr>
            <w:r>
              <w:rPr>
                <w:color w:val="231F20"/>
                <w:w w:val="97"/>
                <w:sz w:val="17"/>
              </w:rPr>
              <w:t>1</w:t>
            </w:r>
          </w:p>
        </w:tc>
      </w:tr>
      <w:tr>
        <w:trPr>
          <w:trHeight w:val="485" w:hRule="exact"/>
        </w:trPr>
        <w:tc>
          <w:tcPr>
            <w:tcW w:w="1843" w:type="dxa"/>
            <w:tcBorders>
              <w:left w:val="single" w:sz="4" w:space="0" w:color="231F20"/>
              <w:right w:val="single" w:sz="4" w:space="0" w:color="231F20"/>
            </w:tcBorders>
          </w:tcPr>
          <w:p>
            <w:pPr>
              <w:pStyle w:val="TableParagraph"/>
              <w:spacing w:line="295" w:lineRule="auto" w:before="13"/>
              <w:ind w:left="86" w:right="250"/>
              <w:rPr>
                <w:sz w:val="17"/>
              </w:rPr>
            </w:pPr>
            <w:r>
              <w:rPr>
                <w:color w:val="231F20"/>
                <w:sz w:val="17"/>
              </w:rPr>
              <w:t>Ciencias de la Educa- ción</w:t>
            </w:r>
          </w:p>
        </w:tc>
        <w:tc>
          <w:tcPr>
            <w:tcW w:w="1846" w:type="dxa"/>
            <w:tcBorders>
              <w:left w:val="single" w:sz="4" w:space="0" w:color="231F20"/>
              <w:right w:val="single" w:sz="2" w:space="0" w:color="231F20"/>
            </w:tcBorders>
          </w:tcPr>
          <w:p>
            <w:pPr>
              <w:pStyle w:val="TableParagraph"/>
              <w:spacing w:before="133"/>
              <w:ind w:left="875"/>
              <w:rPr>
                <w:sz w:val="17"/>
              </w:rPr>
            </w:pPr>
            <w:r>
              <w:rPr>
                <w:color w:val="231F20"/>
                <w:w w:val="97"/>
                <w:sz w:val="17"/>
              </w:rPr>
              <w:t>3</w:t>
            </w:r>
          </w:p>
        </w:tc>
        <w:tc>
          <w:tcPr>
            <w:tcW w:w="1387" w:type="dxa"/>
            <w:tcBorders>
              <w:left w:val="single" w:sz="2" w:space="0" w:color="231F20"/>
              <w:right w:val="single" w:sz="2" w:space="0" w:color="231F20"/>
            </w:tcBorders>
          </w:tcPr>
          <w:p>
            <w:pPr>
              <w:pStyle w:val="TableParagraph"/>
              <w:spacing w:before="133"/>
              <w:ind w:left="0"/>
              <w:jc w:val="center"/>
              <w:rPr>
                <w:sz w:val="17"/>
              </w:rPr>
            </w:pPr>
            <w:r>
              <w:rPr>
                <w:color w:val="231F20"/>
                <w:w w:val="97"/>
                <w:sz w:val="17"/>
              </w:rPr>
              <w:t>0</w:t>
            </w:r>
          </w:p>
        </w:tc>
        <w:tc>
          <w:tcPr>
            <w:tcW w:w="737" w:type="dxa"/>
            <w:tcBorders>
              <w:left w:val="single" w:sz="2" w:space="0" w:color="231F20"/>
              <w:right w:val="single" w:sz="12" w:space="0" w:color="231F20"/>
            </w:tcBorders>
          </w:tcPr>
          <w:p>
            <w:pPr>
              <w:pStyle w:val="TableParagraph"/>
              <w:spacing w:before="133"/>
              <w:ind w:left="12"/>
              <w:jc w:val="center"/>
              <w:rPr>
                <w:sz w:val="17"/>
              </w:rPr>
            </w:pPr>
            <w:r>
              <w:rPr>
                <w:color w:val="231F20"/>
                <w:w w:val="97"/>
                <w:sz w:val="17"/>
              </w:rPr>
              <w:t>3</w:t>
            </w:r>
          </w:p>
        </w:tc>
      </w:tr>
      <w:tr>
        <w:trPr>
          <w:trHeight w:val="259" w:hRule="exact"/>
        </w:trPr>
        <w:tc>
          <w:tcPr>
            <w:tcW w:w="1843" w:type="dxa"/>
            <w:tcBorders>
              <w:left w:val="single" w:sz="4" w:space="0" w:color="231F20"/>
              <w:right w:val="single" w:sz="4" w:space="0" w:color="231F20"/>
            </w:tcBorders>
          </w:tcPr>
          <w:p>
            <w:pPr>
              <w:pStyle w:val="TableParagraph"/>
              <w:spacing w:before="8"/>
              <w:ind w:left="86" w:right="30"/>
              <w:rPr>
                <w:sz w:val="17"/>
              </w:rPr>
            </w:pPr>
            <w:r>
              <w:rPr>
                <w:color w:val="231F20"/>
                <w:sz w:val="17"/>
              </w:rPr>
              <w:t>Cirujano dentista</w:t>
            </w:r>
          </w:p>
        </w:tc>
        <w:tc>
          <w:tcPr>
            <w:tcW w:w="1846" w:type="dxa"/>
            <w:tcBorders>
              <w:left w:val="single" w:sz="4" w:space="0" w:color="231F20"/>
              <w:right w:val="single" w:sz="2" w:space="0" w:color="231F20"/>
            </w:tcBorders>
          </w:tcPr>
          <w:p>
            <w:pPr>
              <w:pStyle w:val="TableParagraph"/>
              <w:spacing w:before="23"/>
              <w:ind w:left="833"/>
              <w:rPr>
                <w:sz w:val="17"/>
              </w:rPr>
            </w:pPr>
            <w:r>
              <w:rPr>
                <w:color w:val="231F20"/>
                <w:sz w:val="17"/>
              </w:rPr>
              <w:t>11</w:t>
            </w:r>
          </w:p>
        </w:tc>
        <w:tc>
          <w:tcPr>
            <w:tcW w:w="1387" w:type="dxa"/>
            <w:tcBorders>
              <w:left w:val="single" w:sz="2" w:space="0" w:color="231F20"/>
              <w:right w:val="single" w:sz="2" w:space="0" w:color="231F20"/>
            </w:tcBorders>
          </w:tcPr>
          <w:p>
            <w:pPr>
              <w:pStyle w:val="TableParagraph"/>
              <w:spacing w:before="23"/>
              <w:ind w:left="0"/>
              <w:jc w:val="center"/>
              <w:rPr>
                <w:sz w:val="17"/>
              </w:rPr>
            </w:pPr>
            <w:r>
              <w:rPr>
                <w:color w:val="231F20"/>
                <w:w w:val="97"/>
                <w:sz w:val="17"/>
              </w:rPr>
              <w:t>2</w:t>
            </w:r>
          </w:p>
        </w:tc>
        <w:tc>
          <w:tcPr>
            <w:tcW w:w="737" w:type="dxa"/>
            <w:tcBorders>
              <w:left w:val="single" w:sz="2" w:space="0" w:color="231F20"/>
              <w:right w:val="single" w:sz="12" w:space="0" w:color="231F20"/>
            </w:tcBorders>
          </w:tcPr>
          <w:p>
            <w:pPr>
              <w:pStyle w:val="TableParagraph"/>
              <w:spacing w:before="23"/>
              <w:ind w:left="142" w:right="129"/>
              <w:jc w:val="center"/>
              <w:rPr>
                <w:sz w:val="17"/>
              </w:rPr>
            </w:pPr>
            <w:r>
              <w:rPr>
                <w:color w:val="231F20"/>
                <w:sz w:val="17"/>
              </w:rPr>
              <w:t>13</w:t>
            </w:r>
          </w:p>
        </w:tc>
      </w:tr>
      <w:tr>
        <w:trPr>
          <w:trHeight w:val="264"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sz w:val="17"/>
              </w:rPr>
              <w:t>Contaduría Pública</w:t>
            </w:r>
          </w:p>
        </w:tc>
        <w:tc>
          <w:tcPr>
            <w:tcW w:w="1846" w:type="dxa"/>
            <w:tcBorders>
              <w:left w:val="single" w:sz="4" w:space="0" w:color="231F20"/>
              <w:right w:val="single" w:sz="2" w:space="0" w:color="231F20"/>
            </w:tcBorders>
          </w:tcPr>
          <w:p>
            <w:pPr>
              <w:pStyle w:val="TableParagraph"/>
              <w:spacing w:before="27"/>
              <w:ind w:left="833"/>
              <w:rPr>
                <w:sz w:val="17"/>
              </w:rPr>
            </w:pPr>
            <w:r>
              <w:rPr>
                <w:color w:val="231F20"/>
                <w:sz w:val="17"/>
              </w:rPr>
              <w:t>10</w:t>
            </w:r>
          </w:p>
        </w:tc>
        <w:tc>
          <w:tcPr>
            <w:tcW w:w="1387"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1</w:t>
            </w:r>
          </w:p>
        </w:tc>
        <w:tc>
          <w:tcPr>
            <w:tcW w:w="737" w:type="dxa"/>
            <w:tcBorders>
              <w:left w:val="single" w:sz="2" w:space="0" w:color="231F20"/>
              <w:right w:val="single" w:sz="12" w:space="0" w:color="231F20"/>
            </w:tcBorders>
          </w:tcPr>
          <w:p>
            <w:pPr>
              <w:pStyle w:val="TableParagraph"/>
              <w:spacing w:before="27"/>
              <w:ind w:left="142" w:right="129"/>
              <w:jc w:val="center"/>
              <w:rPr>
                <w:sz w:val="17"/>
              </w:rPr>
            </w:pPr>
            <w:r>
              <w:rPr>
                <w:color w:val="231F20"/>
                <w:sz w:val="17"/>
              </w:rPr>
              <w:t>11</w:t>
            </w:r>
          </w:p>
        </w:tc>
      </w:tr>
      <w:tr>
        <w:trPr>
          <w:trHeight w:val="264"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w w:val="105"/>
                <w:sz w:val="17"/>
              </w:rPr>
              <w:t>Derecho</w:t>
            </w:r>
          </w:p>
        </w:tc>
        <w:tc>
          <w:tcPr>
            <w:tcW w:w="1846" w:type="dxa"/>
            <w:tcBorders>
              <w:left w:val="single" w:sz="4" w:space="0" w:color="231F20"/>
              <w:right w:val="single" w:sz="2" w:space="0" w:color="231F20"/>
            </w:tcBorders>
          </w:tcPr>
          <w:p>
            <w:pPr>
              <w:pStyle w:val="TableParagraph"/>
              <w:spacing w:before="27"/>
              <w:ind w:left="833"/>
              <w:rPr>
                <w:sz w:val="17"/>
              </w:rPr>
            </w:pPr>
            <w:r>
              <w:rPr>
                <w:color w:val="231F20"/>
                <w:sz w:val="17"/>
              </w:rPr>
              <w:t>31</w:t>
            </w:r>
          </w:p>
        </w:tc>
        <w:tc>
          <w:tcPr>
            <w:tcW w:w="1387"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2</w:t>
            </w:r>
          </w:p>
        </w:tc>
        <w:tc>
          <w:tcPr>
            <w:tcW w:w="737" w:type="dxa"/>
            <w:tcBorders>
              <w:left w:val="single" w:sz="2" w:space="0" w:color="231F20"/>
              <w:right w:val="single" w:sz="12" w:space="0" w:color="231F20"/>
            </w:tcBorders>
          </w:tcPr>
          <w:p>
            <w:pPr>
              <w:pStyle w:val="TableParagraph"/>
              <w:spacing w:before="27"/>
              <w:ind w:left="142" w:right="129"/>
              <w:jc w:val="center"/>
              <w:rPr>
                <w:sz w:val="17"/>
              </w:rPr>
            </w:pPr>
            <w:r>
              <w:rPr>
                <w:color w:val="231F20"/>
                <w:sz w:val="17"/>
              </w:rPr>
              <w:t>33</w:t>
            </w:r>
          </w:p>
        </w:tc>
      </w:tr>
      <w:tr>
        <w:trPr>
          <w:trHeight w:val="264"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sz w:val="17"/>
              </w:rPr>
              <w:t>Economía</w:t>
            </w:r>
          </w:p>
        </w:tc>
        <w:tc>
          <w:tcPr>
            <w:tcW w:w="1846" w:type="dxa"/>
            <w:tcBorders>
              <w:left w:val="single" w:sz="4" w:space="0" w:color="231F20"/>
              <w:right w:val="single" w:sz="2" w:space="0" w:color="231F20"/>
            </w:tcBorders>
          </w:tcPr>
          <w:p>
            <w:pPr>
              <w:pStyle w:val="TableParagraph"/>
              <w:spacing w:before="27"/>
              <w:ind w:left="875"/>
              <w:rPr>
                <w:sz w:val="17"/>
              </w:rPr>
            </w:pPr>
            <w:r>
              <w:rPr>
                <w:color w:val="231F20"/>
                <w:w w:val="97"/>
                <w:sz w:val="17"/>
              </w:rPr>
              <w:t>2</w:t>
            </w:r>
          </w:p>
        </w:tc>
        <w:tc>
          <w:tcPr>
            <w:tcW w:w="1387" w:type="dxa"/>
            <w:tcBorders>
              <w:left w:val="single" w:sz="2" w:space="0" w:color="231F20"/>
              <w:right w:val="single" w:sz="2" w:space="0" w:color="231F20"/>
            </w:tcBorders>
          </w:tcPr>
          <w:p>
            <w:pPr>
              <w:pStyle w:val="TableParagraph"/>
              <w:spacing w:before="27"/>
              <w:ind w:left="0"/>
              <w:jc w:val="center"/>
              <w:rPr>
                <w:sz w:val="17"/>
              </w:rPr>
            </w:pPr>
            <w:r>
              <w:rPr>
                <w:color w:val="231F20"/>
                <w:w w:val="97"/>
                <w:sz w:val="17"/>
              </w:rPr>
              <w:t>0</w:t>
            </w:r>
          </w:p>
        </w:tc>
        <w:tc>
          <w:tcPr>
            <w:tcW w:w="737" w:type="dxa"/>
            <w:tcBorders>
              <w:left w:val="single" w:sz="2" w:space="0" w:color="231F20"/>
              <w:right w:val="single" w:sz="12" w:space="0" w:color="231F20"/>
            </w:tcBorders>
          </w:tcPr>
          <w:p>
            <w:pPr>
              <w:pStyle w:val="TableParagraph"/>
              <w:spacing w:before="27"/>
              <w:ind w:left="12"/>
              <w:jc w:val="center"/>
              <w:rPr>
                <w:sz w:val="17"/>
              </w:rPr>
            </w:pPr>
            <w:r>
              <w:rPr>
                <w:color w:val="231F20"/>
                <w:w w:val="97"/>
                <w:sz w:val="17"/>
              </w:rPr>
              <w:t>2</w:t>
            </w:r>
          </w:p>
        </w:tc>
      </w:tr>
      <w:tr>
        <w:trPr>
          <w:trHeight w:val="485" w:hRule="exact"/>
        </w:trPr>
        <w:tc>
          <w:tcPr>
            <w:tcW w:w="1843" w:type="dxa"/>
            <w:tcBorders>
              <w:left w:val="single" w:sz="4" w:space="0" w:color="231F20"/>
              <w:right w:val="single" w:sz="4" w:space="0" w:color="231F20"/>
            </w:tcBorders>
          </w:tcPr>
          <w:p>
            <w:pPr>
              <w:pStyle w:val="TableParagraph"/>
              <w:spacing w:line="295" w:lineRule="auto" w:before="13"/>
              <w:ind w:left="86" w:right="30"/>
              <w:rPr>
                <w:sz w:val="17"/>
              </w:rPr>
            </w:pPr>
            <w:r>
              <w:rPr>
                <w:color w:val="231F20"/>
                <w:sz w:val="17"/>
              </w:rPr>
              <w:t>Enfermería y Obstetri- cia</w:t>
            </w:r>
          </w:p>
        </w:tc>
        <w:tc>
          <w:tcPr>
            <w:tcW w:w="1846" w:type="dxa"/>
            <w:tcBorders>
              <w:left w:val="single" w:sz="4" w:space="0" w:color="231F20"/>
              <w:right w:val="single" w:sz="2" w:space="0" w:color="231F20"/>
            </w:tcBorders>
          </w:tcPr>
          <w:p>
            <w:pPr>
              <w:pStyle w:val="TableParagraph"/>
              <w:spacing w:before="133"/>
              <w:ind w:left="875"/>
              <w:rPr>
                <w:sz w:val="17"/>
              </w:rPr>
            </w:pPr>
            <w:r>
              <w:rPr>
                <w:color w:val="231F20"/>
                <w:w w:val="97"/>
                <w:sz w:val="17"/>
              </w:rPr>
              <w:t>8</w:t>
            </w:r>
          </w:p>
        </w:tc>
        <w:tc>
          <w:tcPr>
            <w:tcW w:w="1387" w:type="dxa"/>
            <w:tcBorders>
              <w:left w:val="single" w:sz="2" w:space="0" w:color="231F20"/>
              <w:right w:val="single" w:sz="2" w:space="0" w:color="231F20"/>
            </w:tcBorders>
          </w:tcPr>
          <w:p>
            <w:pPr>
              <w:pStyle w:val="TableParagraph"/>
              <w:spacing w:before="133"/>
              <w:ind w:left="0"/>
              <w:jc w:val="center"/>
              <w:rPr>
                <w:sz w:val="17"/>
              </w:rPr>
            </w:pPr>
            <w:r>
              <w:rPr>
                <w:color w:val="231F20"/>
                <w:w w:val="97"/>
                <w:sz w:val="17"/>
              </w:rPr>
              <w:t>2</w:t>
            </w:r>
          </w:p>
        </w:tc>
        <w:tc>
          <w:tcPr>
            <w:tcW w:w="737" w:type="dxa"/>
            <w:tcBorders>
              <w:left w:val="single" w:sz="2" w:space="0" w:color="231F20"/>
              <w:right w:val="single" w:sz="12" w:space="0" w:color="231F20"/>
            </w:tcBorders>
          </w:tcPr>
          <w:p>
            <w:pPr>
              <w:pStyle w:val="TableParagraph"/>
              <w:spacing w:before="133"/>
              <w:ind w:left="142" w:right="129"/>
              <w:jc w:val="center"/>
              <w:rPr>
                <w:sz w:val="17"/>
              </w:rPr>
            </w:pPr>
            <w:r>
              <w:rPr>
                <w:color w:val="231F20"/>
                <w:sz w:val="17"/>
              </w:rPr>
              <w:t>10</w:t>
            </w:r>
          </w:p>
        </w:tc>
      </w:tr>
      <w:tr>
        <w:trPr>
          <w:trHeight w:val="485" w:hRule="exact"/>
        </w:trPr>
        <w:tc>
          <w:tcPr>
            <w:tcW w:w="1843" w:type="dxa"/>
            <w:tcBorders>
              <w:left w:val="single" w:sz="4" w:space="0" w:color="231F20"/>
              <w:right w:val="single" w:sz="4" w:space="0" w:color="231F20"/>
            </w:tcBorders>
          </w:tcPr>
          <w:p>
            <w:pPr>
              <w:pStyle w:val="TableParagraph"/>
              <w:spacing w:line="295" w:lineRule="auto" w:before="8"/>
              <w:ind w:left="86" w:right="30"/>
              <w:rPr>
                <w:sz w:val="17"/>
              </w:rPr>
            </w:pPr>
            <w:r>
              <w:rPr>
                <w:color w:val="231F20"/>
                <w:sz w:val="17"/>
              </w:rPr>
              <w:t>Medicina veterinaria y Zootecnia</w:t>
            </w:r>
          </w:p>
        </w:tc>
        <w:tc>
          <w:tcPr>
            <w:tcW w:w="1846" w:type="dxa"/>
            <w:tcBorders>
              <w:left w:val="single" w:sz="4" w:space="0" w:color="231F20"/>
              <w:right w:val="single" w:sz="2" w:space="0" w:color="231F20"/>
            </w:tcBorders>
          </w:tcPr>
          <w:p>
            <w:pPr>
              <w:pStyle w:val="TableParagraph"/>
              <w:spacing w:before="133"/>
              <w:ind w:left="875"/>
              <w:rPr>
                <w:sz w:val="17"/>
              </w:rPr>
            </w:pPr>
            <w:r>
              <w:rPr>
                <w:color w:val="231F20"/>
                <w:w w:val="97"/>
                <w:sz w:val="17"/>
              </w:rPr>
              <w:t>7</w:t>
            </w:r>
          </w:p>
        </w:tc>
        <w:tc>
          <w:tcPr>
            <w:tcW w:w="1387" w:type="dxa"/>
            <w:tcBorders>
              <w:left w:val="single" w:sz="2" w:space="0" w:color="231F20"/>
              <w:right w:val="single" w:sz="2" w:space="0" w:color="231F20"/>
            </w:tcBorders>
          </w:tcPr>
          <w:p>
            <w:pPr>
              <w:pStyle w:val="TableParagraph"/>
              <w:spacing w:before="133"/>
              <w:ind w:left="0"/>
              <w:jc w:val="center"/>
              <w:rPr>
                <w:sz w:val="17"/>
              </w:rPr>
            </w:pPr>
            <w:r>
              <w:rPr>
                <w:color w:val="231F20"/>
                <w:w w:val="97"/>
                <w:sz w:val="17"/>
              </w:rPr>
              <w:t>0</w:t>
            </w:r>
          </w:p>
        </w:tc>
        <w:tc>
          <w:tcPr>
            <w:tcW w:w="737" w:type="dxa"/>
            <w:tcBorders>
              <w:left w:val="single" w:sz="2" w:space="0" w:color="231F20"/>
              <w:right w:val="single" w:sz="12" w:space="0" w:color="231F20"/>
            </w:tcBorders>
          </w:tcPr>
          <w:p>
            <w:pPr>
              <w:pStyle w:val="TableParagraph"/>
              <w:spacing w:before="133"/>
              <w:ind w:left="12"/>
              <w:jc w:val="center"/>
              <w:rPr>
                <w:sz w:val="17"/>
              </w:rPr>
            </w:pPr>
            <w:r>
              <w:rPr>
                <w:color w:val="231F20"/>
                <w:w w:val="97"/>
                <w:sz w:val="17"/>
              </w:rPr>
              <w:t>7</w:t>
            </w:r>
          </w:p>
        </w:tc>
      </w:tr>
      <w:tr>
        <w:trPr>
          <w:trHeight w:val="262"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sz w:val="17"/>
              </w:rPr>
              <w:t>Odontología</w:t>
            </w:r>
          </w:p>
        </w:tc>
        <w:tc>
          <w:tcPr>
            <w:tcW w:w="1846" w:type="dxa"/>
            <w:tcBorders>
              <w:left w:val="single" w:sz="4" w:space="0" w:color="231F20"/>
              <w:right w:val="single" w:sz="2" w:space="0" w:color="231F20"/>
            </w:tcBorders>
          </w:tcPr>
          <w:p>
            <w:pPr>
              <w:pStyle w:val="TableParagraph"/>
              <w:spacing w:before="23"/>
              <w:ind w:left="833"/>
              <w:rPr>
                <w:sz w:val="17"/>
              </w:rPr>
            </w:pPr>
            <w:r>
              <w:rPr>
                <w:color w:val="231F20"/>
                <w:sz w:val="17"/>
              </w:rPr>
              <w:t>14</w:t>
            </w:r>
          </w:p>
        </w:tc>
        <w:tc>
          <w:tcPr>
            <w:tcW w:w="1387" w:type="dxa"/>
            <w:tcBorders>
              <w:left w:val="single" w:sz="2" w:space="0" w:color="231F20"/>
              <w:right w:val="single" w:sz="2" w:space="0" w:color="231F20"/>
            </w:tcBorders>
          </w:tcPr>
          <w:p>
            <w:pPr>
              <w:pStyle w:val="TableParagraph"/>
              <w:spacing w:before="23"/>
              <w:ind w:left="0"/>
              <w:jc w:val="center"/>
              <w:rPr>
                <w:sz w:val="17"/>
              </w:rPr>
            </w:pPr>
            <w:r>
              <w:rPr>
                <w:color w:val="231F20"/>
                <w:w w:val="97"/>
                <w:sz w:val="17"/>
              </w:rPr>
              <w:t>1</w:t>
            </w:r>
          </w:p>
        </w:tc>
        <w:tc>
          <w:tcPr>
            <w:tcW w:w="737" w:type="dxa"/>
            <w:tcBorders>
              <w:left w:val="single" w:sz="2" w:space="0" w:color="231F20"/>
              <w:right w:val="single" w:sz="12" w:space="0" w:color="231F20"/>
            </w:tcBorders>
          </w:tcPr>
          <w:p>
            <w:pPr>
              <w:pStyle w:val="TableParagraph"/>
              <w:spacing w:before="23"/>
              <w:ind w:left="142" w:right="129"/>
              <w:jc w:val="center"/>
              <w:rPr>
                <w:sz w:val="17"/>
              </w:rPr>
            </w:pPr>
            <w:r>
              <w:rPr>
                <w:color w:val="231F20"/>
                <w:sz w:val="17"/>
              </w:rPr>
              <w:t>15</w:t>
            </w:r>
          </w:p>
        </w:tc>
      </w:tr>
      <w:tr>
        <w:trPr>
          <w:trHeight w:val="477" w:hRule="exact"/>
        </w:trPr>
        <w:tc>
          <w:tcPr>
            <w:tcW w:w="1843" w:type="dxa"/>
            <w:tcBorders>
              <w:left w:val="single" w:sz="4" w:space="0" w:color="231F20"/>
              <w:bottom w:val="single" w:sz="4" w:space="0" w:color="231F20"/>
              <w:right w:val="single" w:sz="4" w:space="0" w:color="231F20"/>
            </w:tcBorders>
          </w:tcPr>
          <w:p>
            <w:pPr>
              <w:pStyle w:val="TableParagraph"/>
              <w:spacing w:line="295" w:lineRule="auto" w:before="15"/>
              <w:ind w:left="86" w:right="30"/>
              <w:rPr>
                <w:sz w:val="17"/>
              </w:rPr>
            </w:pPr>
            <w:r>
              <w:rPr>
                <w:color w:val="231F20"/>
                <w:sz w:val="17"/>
              </w:rPr>
              <w:t>Químico Biólogo Farmacéutico</w:t>
            </w:r>
          </w:p>
        </w:tc>
        <w:tc>
          <w:tcPr>
            <w:tcW w:w="1846" w:type="dxa"/>
            <w:tcBorders>
              <w:left w:val="single" w:sz="4" w:space="0" w:color="231F20"/>
              <w:bottom w:val="single" w:sz="4" w:space="0" w:color="231F20"/>
              <w:right w:val="single" w:sz="2" w:space="0" w:color="231F20"/>
            </w:tcBorders>
          </w:tcPr>
          <w:p>
            <w:pPr>
              <w:pStyle w:val="TableParagraph"/>
              <w:spacing w:before="140"/>
              <w:ind w:left="875"/>
              <w:rPr>
                <w:sz w:val="17"/>
              </w:rPr>
            </w:pPr>
            <w:r>
              <w:rPr>
                <w:color w:val="231F20"/>
                <w:w w:val="97"/>
                <w:sz w:val="17"/>
              </w:rPr>
              <w:t>4</w:t>
            </w:r>
          </w:p>
        </w:tc>
        <w:tc>
          <w:tcPr>
            <w:tcW w:w="1387" w:type="dxa"/>
            <w:tcBorders>
              <w:left w:val="single" w:sz="2" w:space="0" w:color="231F20"/>
              <w:bottom w:val="single" w:sz="4" w:space="0" w:color="231F20"/>
              <w:right w:val="single" w:sz="2" w:space="0" w:color="231F20"/>
            </w:tcBorders>
          </w:tcPr>
          <w:p>
            <w:pPr>
              <w:pStyle w:val="TableParagraph"/>
              <w:spacing w:before="140"/>
              <w:ind w:left="0"/>
              <w:jc w:val="center"/>
              <w:rPr>
                <w:sz w:val="17"/>
              </w:rPr>
            </w:pPr>
            <w:r>
              <w:rPr>
                <w:color w:val="231F20"/>
                <w:w w:val="97"/>
                <w:sz w:val="17"/>
              </w:rPr>
              <w:t>0</w:t>
            </w:r>
          </w:p>
        </w:tc>
        <w:tc>
          <w:tcPr>
            <w:tcW w:w="737" w:type="dxa"/>
            <w:tcBorders>
              <w:left w:val="single" w:sz="2" w:space="0" w:color="231F20"/>
              <w:bottom w:val="single" w:sz="4" w:space="0" w:color="231F20"/>
              <w:right w:val="single" w:sz="12" w:space="0" w:color="231F20"/>
            </w:tcBorders>
          </w:tcPr>
          <w:p>
            <w:pPr>
              <w:pStyle w:val="TableParagraph"/>
              <w:spacing w:before="140"/>
              <w:ind w:left="12"/>
              <w:jc w:val="center"/>
              <w:rPr>
                <w:sz w:val="17"/>
              </w:rPr>
            </w:pPr>
            <w:r>
              <w:rPr>
                <w:color w:val="231F20"/>
                <w:w w:val="97"/>
                <w:sz w:val="17"/>
              </w:rPr>
              <w:t>4</w:t>
            </w:r>
          </w:p>
        </w:tc>
      </w:tr>
      <w:tr>
        <w:trPr>
          <w:trHeight w:val="274" w:hRule="exact"/>
        </w:trPr>
        <w:tc>
          <w:tcPr>
            <w:tcW w:w="1843" w:type="dxa"/>
            <w:tcBorders>
              <w:top w:val="single" w:sz="4" w:space="0" w:color="231F20"/>
              <w:left w:val="single" w:sz="4" w:space="0" w:color="231F20"/>
              <w:bottom w:val="single" w:sz="4" w:space="0" w:color="231F20"/>
              <w:right w:val="single" w:sz="4" w:space="0" w:color="231F20"/>
            </w:tcBorders>
          </w:tcPr>
          <w:p>
            <w:pPr>
              <w:pStyle w:val="TableParagraph"/>
              <w:spacing w:before="33"/>
              <w:ind w:left="86" w:right="30"/>
              <w:rPr>
                <w:b/>
                <w:sz w:val="17"/>
              </w:rPr>
            </w:pPr>
            <w:r>
              <w:rPr>
                <w:b/>
                <w:color w:val="231F20"/>
                <w:w w:val="105"/>
                <w:sz w:val="17"/>
              </w:rPr>
              <w:t>Total</w:t>
            </w:r>
          </w:p>
        </w:tc>
        <w:tc>
          <w:tcPr>
            <w:tcW w:w="1846" w:type="dxa"/>
            <w:tcBorders>
              <w:top w:val="single" w:sz="4" w:space="0" w:color="231F20"/>
              <w:left w:val="single" w:sz="4" w:space="0" w:color="231F20"/>
              <w:bottom w:val="single" w:sz="4" w:space="0" w:color="231F20"/>
              <w:right w:val="single" w:sz="2" w:space="0" w:color="231F20"/>
            </w:tcBorders>
          </w:tcPr>
          <w:p>
            <w:pPr>
              <w:pStyle w:val="TableParagraph"/>
              <w:spacing w:before="43"/>
              <w:ind w:left="803"/>
              <w:rPr>
                <w:b/>
                <w:sz w:val="17"/>
              </w:rPr>
            </w:pPr>
            <w:r>
              <w:rPr>
                <w:b/>
                <w:color w:val="231F20"/>
                <w:sz w:val="17"/>
              </w:rPr>
              <w:t>131</w:t>
            </w:r>
          </w:p>
        </w:tc>
        <w:tc>
          <w:tcPr>
            <w:tcW w:w="1387" w:type="dxa"/>
            <w:tcBorders>
              <w:top w:val="single" w:sz="4" w:space="0" w:color="231F20"/>
              <w:left w:val="single" w:sz="2" w:space="0" w:color="231F20"/>
              <w:bottom w:val="single" w:sz="4" w:space="0" w:color="231F20"/>
              <w:right w:val="single" w:sz="2" w:space="0" w:color="231F20"/>
            </w:tcBorders>
          </w:tcPr>
          <w:p>
            <w:pPr>
              <w:pStyle w:val="TableParagraph"/>
              <w:spacing w:before="43"/>
              <w:ind w:left="0"/>
              <w:jc w:val="center"/>
              <w:rPr>
                <w:b/>
                <w:sz w:val="17"/>
              </w:rPr>
            </w:pPr>
            <w:r>
              <w:rPr>
                <w:b/>
                <w:color w:val="231F20"/>
                <w:w w:val="97"/>
                <w:sz w:val="17"/>
              </w:rPr>
              <w:t>8</w:t>
            </w:r>
          </w:p>
        </w:tc>
        <w:tc>
          <w:tcPr>
            <w:tcW w:w="737" w:type="dxa"/>
            <w:tcBorders>
              <w:top w:val="single" w:sz="4" w:space="0" w:color="231F20"/>
              <w:left w:val="single" w:sz="2" w:space="0" w:color="231F20"/>
              <w:bottom w:val="single" w:sz="4" w:space="0" w:color="231F20"/>
              <w:right w:val="single" w:sz="4" w:space="0" w:color="231F20"/>
            </w:tcBorders>
          </w:tcPr>
          <w:p>
            <w:pPr>
              <w:pStyle w:val="TableParagraph"/>
              <w:spacing w:before="43"/>
              <w:ind w:left="218" w:right="216"/>
              <w:jc w:val="center"/>
              <w:rPr>
                <w:b/>
                <w:sz w:val="17"/>
              </w:rPr>
            </w:pPr>
            <w:r>
              <w:rPr>
                <w:b/>
                <w:color w:val="231F20"/>
                <w:sz w:val="17"/>
              </w:rPr>
              <w:t>139</w:t>
            </w:r>
          </w:p>
        </w:tc>
      </w:tr>
    </w:tbl>
    <w:p>
      <w:pPr>
        <w:spacing w:after="0"/>
        <w:jc w:val="center"/>
        <w:rPr>
          <w:sz w:val="17"/>
        </w:rPr>
        <w:sectPr>
          <w:headerReference w:type="default" r:id="rId878"/>
          <w:footerReference w:type="default" r:id="rId879"/>
          <w:pgSz w:w="7830" w:h="11910"/>
          <w:pgMar w:header="0" w:footer="424" w:top="500" w:bottom="620" w:left="900" w:right="840"/>
          <w:pgNumType w:start="397"/>
        </w:sectPr>
      </w:pPr>
    </w:p>
    <w:p>
      <w:pPr>
        <w:spacing w:before="46"/>
        <w:ind w:left="102" w:right="79"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line="273" w:lineRule="auto" w:before="111"/>
        <w:ind w:left="102" w:right="78" w:firstLine="0"/>
        <w:jc w:val="center"/>
        <w:rPr>
          <w:b/>
          <w:sz w:val="19"/>
        </w:rPr>
      </w:pPr>
      <w:r>
        <w:rPr>
          <w:b/>
          <w:color w:val="231F20"/>
          <w:w w:val="105"/>
          <w:sz w:val="19"/>
        </w:rPr>
        <w:t>Cuadro 12.Qué tipo de violencia ha sufrido alguno de tus amigos: agresión económica (chantaje)</w:t>
      </w:r>
    </w:p>
    <w:p>
      <w:pPr>
        <w:pStyle w:val="BodyText"/>
        <w:spacing w:before="10"/>
        <w:rPr>
          <w:b/>
          <w:sz w:val="18"/>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50"/>
        <w:gridCol w:w="1538"/>
        <w:gridCol w:w="1435"/>
        <w:gridCol w:w="718"/>
      </w:tblGrid>
      <w:tr>
        <w:trPr>
          <w:trHeight w:val="754" w:hRule="exact"/>
        </w:trPr>
        <w:tc>
          <w:tcPr>
            <w:tcW w:w="2050" w:type="dxa"/>
            <w:tcBorders>
              <w:top w:val="single" w:sz="12" w:space="0" w:color="231F20"/>
              <w:left w:val="single" w:sz="12" w:space="0" w:color="231F20"/>
              <w:bottom w:val="single" w:sz="12" w:space="0" w:color="231F20"/>
              <w:right w:val="single" w:sz="12" w:space="0" w:color="231F20"/>
            </w:tcBorders>
          </w:tcPr>
          <w:p>
            <w:pPr/>
          </w:p>
        </w:tc>
        <w:tc>
          <w:tcPr>
            <w:tcW w:w="2974" w:type="dxa"/>
            <w:gridSpan w:val="2"/>
            <w:tcBorders>
              <w:top w:val="single" w:sz="12" w:space="0" w:color="231F20"/>
              <w:left w:val="single" w:sz="12" w:space="0" w:color="231F20"/>
              <w:bottom w:val="single" w:sz="2" w:space="0" w:color="231F20"/>
              <w:right w:val="single" w:sz="2" w:space="0" w:color="231F20"/>
            </w:tcBorders>
          </w:tcPr>
          <w:p>
            <w:pPr>
              <w:pStyle w:val="TableParagraph"/>
              <w:spacing w:line="295" w:lineRule="auto" w:before="38"/>
              <w:ind w:left="254" w:right="267"/>
              <w:jc w:val="center"/>
              <w:rPr>
                <w:b/>
                <w:sz w:val="17"/>
              </w:rPr>
            </w:pPr>
            <w:r>
              <w:rPr>
                <w:b/>
                <w:color w:val="231F20"/>
                <w:w w:val="105"/>
                <w:sz w:val="17"/>
              </w:rPr>
              <w:t>Qué tipo de violencia ha sufrido alguno de tus amigos: agresión económica (chantaje )</w:t>
            </w:r>
          </w:p>
        </w:tc>
        <w:tc>
          <w:tcPr>
            <w:tcW w:w="718" w:type="dxa"/>
            <w:tcBorders>
              <w:top w:val="single" w:sz="12" w:space="0" w:color="231F20"/>
              <w:left w:val="single" w:sz="2" w:space="0" w:color="231F20"/>
              <w:bottom w:val="single" w:sz="2" w:space="0" w:color="231F20"/>
              <w:right w:val="single" w:sz="12" w:space="0" w:color="231F20"/>
            </w:tcBorders>
          </w:tcPr>
          <w:p>
            <w:pPr>
              <w:pStyle w:val="TableParagraph"/>
              <w:ind w:left="0"/>
              <w:rPr>
                <w:b/>
                <w:sz w:val="18"/>
              </w:rPr>
            </w:pPr>
          </w:p>
          <w:p>
            <w:pPr>
              <w:pStyle w:val="TableParagraph"/>
              <w:ind w:left="0"/>
              <w:rPr>
                <w:b/>
                <w:sz w:val="18"/>
              </w:rPr>
            </w:pPr>
          </w:p>
          <w:p>
            <w:pPr>
              <w:pStyle w:val="TableParagraph"/>
              <w:spacing w:before="104"/>
              <w:ind w:left="133" w:right="120"/>
              <w:jc w:val="center"/>
              <w:rPr>
                <w:b/>
                <w:sz w:val="17"/>
              </w:rPr>
            </w:pPr>
            <w:r>
              <w:rPr>
                <w:b/>
                <w:color w:val="231F20"/>
                <w:w w:val="105"/>
                <w:sz w:val="17"/>
              </w:rPr>
              <w:t>Total</w:t>
            </w:r>
          </w:p>
        </w:tc>
      </w:tr>
      <w:tr>
        <w:trPr>
          <w:trHeight w:val="418" w:hRule="exact"/>
        </w:trPr>
        <w:tc>
          <w:tcPr>
            <w:tcW w:w="2050" w:type="dxa"/>
            <w:tcBorders>
              <w:top w:val="single" w:sz="12" w:space="0" w:color="231F20"/>
              <w:left w:val="single" w:sz="12" w:space="0" w:color="231F20"/>
              <w:bottom w:val="single" w:sz="12" w:space="0" w:color="231F20"/>
              <w:right w:val="single" w:sz="12" w:space="0" w:color="231F20"/>
            </w:tcBorders>
          </w:tcPr>
          <w:p>
            <w:pPr/>
          </w:p>
        </w:tc>
        <w:tc>
          <w:tcPr>
            <w:tcW w:w="1538" w:type="dxa"/>
            <w:tcBorders>
              <w:top w:val="single" w:sz="2" w:space="0" w:color="231F20"/>
              <w:left w:val="single" w:sz="12" w:space="0" w:color="231F20"/>
              <w:bottom w:val="single" w:sz="12" w:space="0" w:color="231F20"/>
              <w:right w:val="single" w:sz="2" w:space="0" w:color="231F20"/>
            </w:tcBorders>
          </w:tcPr>
          <w:p>
            <w:pPr>
              <w:pStyle w:val="TableParagraph"/>
              <w:spacing w:before="10"/>
              <w:ind w:left="0"/>
              <w:rPr>
                <w:b/>
                <w:sz w:val="16"/>
              </w:rPr>
            </w:pPr>
          </w:p>
          <w:p>
            <w:pPr>
              <w:pStyle w:val="TableParagraph"/>
              <w:ind w:left="662" w:right="676"/>
              <w:jc w:val="center"/>
              <w:rPr>
                <w:b/>
                <w:sz w:val="17"/>
              </w:rPr>
            </w:pPr>
            <w:r>
              <w:rPr>
                <w:b/>
                <w:color w:val="231F20"/>
                <w:sz w:val="17"/>
              </w:rPr>
              <w:t>Sí</w:t>
            </w:r>
          </w:p>
        </w:tc>
        <w:tc>
          <w:tcPr>
            <w:tcW w:w="1435" w:type="dxa"/>
            <w:tcBorders>
              <w:top w:val="single" w:sz="2" w:space="0" w:color="231F20"/>
              <w:left w:val="single" w:sz="2" w:space="0" w:color="231F20"/>
              <w:bottom w:val="single" w:sz="12" w:space="0" w:color="231F20"/>
              <w:right w:val="single" w:sz="2" w:space="0" w:color="231F20"/>
            </w:tcBorders>
          </w:tcPr>
          <w:p>
            <w:pPr>
              <w:pStyle w:val="TableParagraph"/>
              <w:spacing w:before="10"/>
              <w:ind w:left="0"/>
              <w:rPr>
                <w:b/>
                <w:sz w:val="16"/>
              </w:rPr>
            </w:pPr>
          </w:p>
          <w:p>
            <w:pPr>
              <w:pStyle w:val="TableParagraph"/>
              <w:ind w:left="577" w:right="574"/>
              <w:jc w:val="center"/>
              <w:rPr>
                <w:b/>
                <w:sz w:val="17"/>
              </w:rPr>
            </w:pPr>
            <w:r>
              <w:rPr>
                <w:b/>
                <w:color w:val="231F20"/>
                <w:w w:val="115"/>
                <w:sz w:val="17"/>
              </w:rPr>
              <w:t>No</w:t>
            </w:r>
          </w:p>
        </w:tc>
        <w:tc>
          <w:tcPr>
            <w:tcW w:w="718" w:type="dxa"/>
            <w:tcBorders>
              <w:top w:val="single" w:sz="2" w:space="0" w:color="231F20"/>
              <w:left w:val="single" w:sz="2" w:space="0" w:color="231F20"/>
              <w:bottom w:val="single" w:sz="12" w:space="0" w:color="231F20"/>
              <w:right w:val="single" w:sz="12" w:space="0" w:color="231F20"/>
            </w:tcBorders>
          </w:tcPr>
          <w:p>
            <w:pPr>
              <w:pStyle w:val="TableParagraph"/>
              <w:spacing w:before="10"/>
              <w:ind w:left="0"/>
              <w:rPr>
                <w:b/>
                <w:sz w:val="16"/>
              </w:rPr>
            </w:pPr>
          </w:p>
          <w:p>
            <w:pPr>
              <w:pStyle w:val="TableParagraph"/>
              <w:ind w:left="131" w:right="120"/>
              <w:jc w:val="center"/>
              <w:rPr>
                <w:b/>
                <w:sz w:val="17"/>
              </w:rPr>
            </w:pPr>
            <w:r>
              <w:rPr>
                <w:b/>
                <w:color w:val="231F20"/>
                <w:sz w:val="17"/>
              </w:rPr>
              <w:t>Sí</w:t>
            </w:r>
          </w:p>
        </w:tc>
      </w:tr>
      <w:tr>
        <w:trPr>
          <w:trHeight w:val="298" w:hRule="exact"/>
        </w:trPr>
        <w:tc>
          <w:tcPr>
            <w:tcW w:w="2050" w:type="dxa"/>
            <w:tcBorders>
              <w:top w:val="single" w:sz="12" w:space="0" w:color="231F20"/>
              <w:left w:val="single" w:sz="4" w:space="0" w:color="231F20"/>
              <w:right w:val="single" w:sz="4" w:space="0" w:color="231F20"/>
            </w:tcBorders>
          </w:tcPr>
          <w:p>
            <w:pPr>
              <w:pStyle w:val="TableParagraph"/>
              <w:spacing w:before="33"/>
              <w:ind w:left="86"/>
              <w:rPr>
                <w:sz w:val="17"/>
              </w:rPr>
            </w:pPr>
            <w:r>
              <w:rPr>
                <w:color w:val="231F20"/>
                <w:sz w:val="17"/>
              </w:rPr>
              <w:t>Carrera</w:t>
            </w:r>
          </w:p>
        </w:tc>
        <w:tc>
          <w:tcPr>
            <w:tcW w:w="1538" w:type="dxa"/>
            <w:tcBorders>
              <w:top w:val="single" w:sz="12" w:space="0" w:color="231F20"/>
              <w:left w:val="single" w:sz="4" w:space="0" w:color="231F20"/>
              <w:right w:val="single" w:sz="2" w:space="0" w:color="231F20"/>
            </w:tcBorders>
          </w:tcPr>
          <w:p>
            <w:pPr>
              <w:pStyle w:val="TableParagraph"/>
              <w:spacing w:before="47"/>
              <w:ind w:left="8"/>
              <w:jc w:val="center"/>
              <w:rPr>
                <w:sz w:val="17"/>
              </w:rPr>
            </w:pPr>
            <w:r>
              <w:rPr>
                <w:color w:val="231F20"/>
                <w:w w:val="97"/>
                <w:sz w:val="17"/>
              </w:rPr>
              <w:t>6</w:t>
            </w:r>
          </w:p>
        </w:tc>
        <w:tc>
          <w:tcPr>
            <w:tcW w:w="1435" w:type="dxa"/>
            <w:tcBorders>
              <w:top w:val="single" w:sz="12" w:space="0" w:color="231F20"/>
              <w:left w:val="single" w:sz="2" w:space="0" w:color="231F20"/>
              <w:right w:val="single" w:sz="2" w:space="0" w:color="231F20"/>
            </w:tcBorders>
          </w:tcPr>
          <w:p>
            <w:pPr>
              <w:pStyle w:val="TableParagraph"/>
              <w:spacing w:before="47"/>
              <w:ind w:left="1"/>
              <w:jc w:val="center"/>
              <w:rPr>
                <w:sz w:val="17"/>
              </w:rPr>
            </w:pPr>
            <w:r>
              <w:rPr>
                <w:color w:val="231F20"/>
                <w:w w:val="97"/>
                <w:sz w:val="17"/>
              </w:rPr>
              <w:t>0</w:t>
            </w:r>
          </w:p>
        </w:tc>
        <w:tc>
          <w:tcPr>
            <w:tcW w:w="718" w:type="dxa"/>
            <w:tcBorders>
              <w:top w:val="single" w:sz="12" w:space="0" w:color="231F20"/>
              <w:left w:val="single" w:sz="2" w:space="0" w:color="231F20"/>
              <w:right w:val="single" w:sz="12" w:space="0" w:color="231F20"/>
            </w:tcBorders>
          </w:tcPr>
          <w:p>
            <w:pPr>
              <w:pStyle w:val="TableParagraph"/>
              <w:spacing w:before="47"/>
              <w:ind w:left="11"/>
              <w:jc w:val="center"/>
              <w:rPr>
                <w:sz w:val="17"/>
              </w:rPr>
            </w:pPr>
            <w:r>
              <w:rPr>
                <w:color w:val="231F20"/>
                <w:w w:val="97"/>
                <w:sz w:val="17"/>
              </w:rPr>
              <w:t>6</w:t>
            </w:r>
          </w:p>
        </w:tc>
      </w:tr>
      <w:tr>
        <w:trPr>
          <w:trHeight w:val="266" w:hRule="exact"/>
        </w:trPr>
        <w:tc>
          <w:tcPr>
            <w:tcW w:w="2050" w:type="dxa"/>
            <w:tcBorders>
              <w:left w:val="single" w:sz="4" w:space="0" w:color="231F20"/>
              <w:right w:val="single" w:sz="4" w:space="0" w:color="231F20"/>
            </w:tcBorders>
          </w:tcPr>
          <w:p>
            <w:pPr>
              <w:pStyle w:val="TableParagraph"/>
              <w:spacing w:before="13"/>
              <w:ind w:left="86"/>
              <w:rPr>
                <w:sz w:val="17"/>
              </w:rPr>
            </w:pPr>
            <w:r>
              <w:rPr>
                <w:color w:val="231F20"/>
                <w:sz w:val="17"/>
              </w:rPr>
              <w:t>Administración</w:t>
            </w:r>
          </w:p>
        </w:tc>
        <w:tc>
          <w:tcPr>
            <w:tcW w:w="1538" w:type="dxa"/>
            <w:tcBorders>
              <w:left w:val="single" w:sz="4" w:space="0" w:color="231F20"/>
              <w:right w:val="single" w:sz="2" w:space="0" w:color="231F20"/>
            </w:tcBorders>
          </w:tcPr>
          <w:p>
            <w:pPr>
              <w:pStyle w:val="TableParagraph"/>
              <w:spacing w:before="27"/>
              <w:ind w:left="8"/>
              <w:jc w:val="center"/>
              <w:rPr>
                <w:sz w:val="17"/>
              </w:rPr>
            </w:pPr>
            <w:r>
              <w:rPr>
                <w:color w:val="231F20"/>
                <w:w w:val="97"/>
                <w:sz w:val="17"/>
              </w:rPr>
              <w:t>6</w:t>
            </w:r>
          </w:p>
        </w:tc>
        <w:tc>
          <w:tcPr>
            <w:tcW w:w="1435" w:type="dxa"/>
            <w:tcBorders>
              <w:left w:val="single" w:sz="2" w:space="0" w:color="231F20"/>
              <w:right w:val="single" w:sz="2" w:space="0" w:color="231F20"/>
            </w:tcBorders>
          </w:tcPr>
          <w:p>
            <w:pPr>
              <w:pStyle w:val="TableParagraph"/>
              <w:spacing w:before="27"/>
              <w:ind w:left="1"/>
              <w:jc w:val="center"/>
              <w:rPr>
                <w:sz w:val="17"/>
              </w:rPr>
            </w:pPr>
            <w:r>
              <w:rPr>
                <w:color w:val="231F20"/>
                <w:w w:val="97"/>
                <w:sz w:val="17"/>
              </w:rPr>
              <w:t>0</w:t>
            </w:r>
          </w:p>
        </w:tc>
        <w:tc>
          <w:tcPr>
            <w:tcW w:w="718" w:type="dxa"/>
            <w:tcBorders>
              <w:left w:val="single" w:sz="2" w:space="0" w:color="231F20"/>
              <w:right w:val="single" w:sz="12" w:space="0" w:color="231F20"/>
            </w:tcBorders>
          </w:tcPr>
          <w:p>
            <w:pPr>
              <w:pStyle w:val="TableParagraph"/>
              <w:spacing w:before="27"/>
              <w:ind w:left="11"/>
              <w:jc w:val="center"/>
              <w:rPr>
                <w:sz w:val="17"/>
              </w:rPr>
            </w:pPr>
            <w:r>
              <w:rPr>
                <w:color w:val="231F20"/>
                <w:w w:val="97"/>
                <w:sz w:val="17"/>
              </w:rPr>
              <w:t>6</w:t>
            </w:r>
          </w:p>
        </w:tc>
      </w:tr>
      <w:tr>
        <w:trPr>
          <w:trHeight w:val="264" w:hRule="exact"/>
        </w:trPr>
        <w:tc>
          <w:tcPr>
            <w:tcW w:w="2050" w:type="dxa"/>
            <w:tcBorders>
              <w:left w:val="single" w:sz="4" w:space="0" w:color="231F20"/>
              <w:right w:val="single" w:sz="4" w:space="0" w:color="231F20"/>
            </w:tcBorders>
          </w:tcPr>
          <w:p>
            <w:pPr>
              <w:pStyle w:val="TableParagraph"/>
              <w:spacing w:before="15"/>
              <w:ind w:left="86"/>
              <w:rPr>
                <w:sz w:val="17"/>
              </w:rPr>
            </w:pPr>
            <w:r>
              <w:rPr>
                <w:color w:val="231F20"/>
                <w:sz w:val="17"/>
              </w:rPr>
              <w:t>Arquitectura</w:t>
            </w:r>
          </w:p>
        </w:tc>
        <w:tc>
          <w:tcPr>
            <w:tcW w:w="1538" w:type="dxa"/>
            <w:tcBorders>
              <w:left w:val="single" w:sz="4" w:space="0" w:color="231F20"/>
              <w:right w:val="single" w:sz="2" w:space="0" w:color="231F20"/>
            </w:tcBorders>
          </w:tcPr>
          <w:p>
            <w:pPr>
              <w:pStyle w:val="TableParagraph"/>
              <w:spacing w:before="25"/>
              <w:ind w:left="616" w:right="607"/>
              <w:jc w:val="center"/>
              <w:rPr>
                <w:sz w:val="17"/>
              </w:rPr>
            </w:pPr>
            <w:r>
              <w:rPr>
                <w:color w:val="231F20"/>
                <w:sz w:val="17"/>
              </w:rPr>
              <w:t>38</w:t>
            </w:r>
          </w:p>
        </w:tc>
        <w:tc>
          <w:tcPr>
            <w:tcW w:w="1435" w:type="dxa"/>
            <w:tcBorders>
              <w:left w:val="single" w:sz="2" w:space="0" w:color="231F20"/>
              <w:right w:val="single" w:sz="2" w:space="0" w:color="231F20"/>
            </w:tcBorders>
          </w:tcPr>
          <w:p>
            <w:pPr>
              <w:pStyle w:val="TableParagraph"/>
              <w:spacing w:before="25"/>
              <w:ind w:left="1"/>
              <w:jc w:val="center"/>
              <w:rPr>
                <w:sz w:val="17"/>
              </w:rPr>
            </w:pPr>
            <w:r>
              <w:rPr>
                <w:color w:val="231F20"/>
                <w:w w:val="97"/>
                <w:sz w:val="17"/>
              </w:rPr>
              <w:t>0</w:t>
            </w:r>
          </w:p>
        </w:tc>
        <w:tc>
          <w:tcPr>
            <w:tcW w:w="718" w:type="dxa"/>
            <w:tcBorders>
              <w:left w:val="single" w:sz="2" w:space="0" w:color="231F20"/>
              <w:right w:val="single" w:sz="12" w:space="0" w:color="231F20"/>
            </w:tcBorders>
          </w:tcPr>
          <w:p>
            <w:pPr>
              <w:pStyle w:val="TableParagraph"/>
              <w:spacing w:before="25"/>
              <w:ind w:left="132" w:right="120"/>
              <w:jc w:val="center"/>
              <w:rPr>
                <w:sz w:val="17"/>
              </w:rPr>
            </w:pPr>
            <w:r>
              <w:rPr>
                <w:color w:val="231F20"/>
                <w:sz w:val="17"/>
              </w:rPr>
              <w:t>38</w:t>
            </w:r>
          </w:p>
        </w:tc>
      </w:tr>
      <w:tr>
        <w:trPr>
          <w:trHeight w:val="269" w:hRule="exact"/>
        </w:trPr>
        <w:tc>
          <w:tcPr>
            <w:tcW w:w="2050" w:type="dxa"/>
            <w:tcBorders>
              <w:left w:val="single" w:sz="4" w:space="0" w:color="231F20"/>
              <w:right w:val="single" w:sz="4" w:space="0" w:color="231F20"/>
            </w:tcBorders>
          </w:tcPr>
          <w:p>
            <w:pPr>
              <w:pStyle w:val="TableParagraph"/>
              <w:spacing w:before="15"/>
              <w:ind w:left="86"/>
              <w:rPr>
                <w:sz w:val="17"/>
              </w:rPr>
            </w:pPr>
            <w:r>
              <w:rPr>
                <w:color w:val="231F20"/>
                <w:sz w:val="17"/>
              </w:rPr>
              <w:t>Biología</w:t>
            </w:r>
          </w:p>
        </w:tc>
        <w:tc>
          <w:tcPr>
            <w:tcW w:w="1538" w:type="dxa"/>
            <w:tcBorders>
              <w:left w:val="single" w:sz="4" w:space="0" w:color="231F20"/>
              <w:right w:val="single" w:sz="2" w:space="0" w:color="231F20"/>
            </w:tcBorders>
          </w:tcPr>
          <w:p>
            <w:pPr>
              <w:pStyle w:val="TableParagraph"/>
              <w:spacing w:before="30"/>
              <w:ind w:left="8"/>
              <w:jc w:val="center"/>
              <w:rPr>
                <w:sz w:val="17"/>
              </w:rPr>
            </w:pPr>
            <w:r>
              <w:rPr>
                <w:color w:val="231F20"/>
                <w:w w:val="97"/>
                <w:sz w:val="17"/>
              </w:rPr>
              <w:t>3</w:t>
            </w:r>
          </w:p>
        </w:tc>
        <w:tc>
          <w:tcPr>
            <w:tcW w:w="1435" w:type="dxa"/>
            <w:tcBorders>
              <w:left w:val="single" w:sz="2" w:space="0" w:color="231F20"/>
              <w:right w:val="single" w:sz="2" w:space="0" w:color="231F20"/>
            </w:tcBorders>
          </w:tcPr>
          <w:p>
            <w:pPr>
              <w:pStyle w:val="TableParagraph"/>
              <w:spacing w:before="30"/>
              <w:ind w:left="1"/>
              <w:jc w:val="center"/>
              <w:rPr>
                <w:sz w:val="17"/>
              </w:rPr>
            </w:pPr>
            <w:r>
              <w:rPr>
                <w:color w:val="231F20"/>
                <w:w w:val="97"/>
                <w:sz w:val="17"/>
              </w:rPr>
              <w:t>0</w:t>
            </w:r>
          </w:p>
        </w:tc>
        <w:tc>
          <w:tcPr>
            <w:tcW w:w="718" w:type="dxa"/>
            <w:tcBorders>
              <w:left w:val="single" w:sz="2" w:space="0" w:color="231F20"/>
              <w:right w:val="single" w:sz="12" w:space="0" w:color="231F20"/>
            </w:tcBorders>
          </w:tcPr>
          <w:p>
            <w:pPr>
              <w:pStyle w:val="TableParagraph"/>
              <w:spacing w:before="30"/>
              <w:ind w:left="11"/>
              <w:jc w:val="center"/>
              <w:rPr>
                <w:sz w:val="17"/>
              </w:rPr>
            </w:pPr>
            <w:r>
              <w:rPr>
                <w:color w:val="231F20"/>
                <w:w w:val="97"/>
                <w:sz w:val="17"/>
              </w:rPr>
              <w:t>3</w:t>
            </w:r>
          </w:p>
        </w:tc>
      </w:tr>
      <w:tr>
        <w:trPr>
          <w:trHeight w:val="264" w:hRule="exact"/>
        </w:trPr>
        <w:tc>
          <w:tcPr>
            <w:tcW w:w="2050" w:type="dxa"/>
            <w:tcBorders>
              <w:left w:val="single" w:sz="4" w:space="0" w:color="231F20"/>
              <w:right w:val="single" w:sz="4" w:space="0" w:color="231F20"/>
            </w:tcBorders>
          </w:tcPr>
          <w:p>
            <w:pPr>
              <w:pStyle w:val="TableParagraph"/>
              <w:spacing w:before="15"/>
              <w:ind w:left="86"/>
              <w:rPr>
                <w:sz w:val="17"/>
              </w:rPr>
            </w:pPr>
            <w:r>
              <w:rPr>
                <w:color w:val="231F20"/>
                <w:sz w:val="17"/>
              </w:rPr>
              <w:t>Ciencias de la Educación</w:t>
            </w:r>
          </w:p>
        </w:tc>
        <w:tc>
          <w:tcPr>
            <w:tcW w:w="1538" w:type="dxa"/>
            <w:tcBorders>
              <w:left w:val="single" w:sz="4" w:space="0" w:color="231F20"/>
              <w:right w:val="single" w:sz="2" w:space="0" w:color="231F20"/>
            </w:tcBorders>
          </w:tcPr>
          <w:p>
            <w:pPr>
              <w:pStyle w:val="TableParagraph"/>
              <w:spacing w:before="25"/>
              <w:ind w:left="8"/>
              <w:jc w:val="center"/>
              <w:rPr>
                <w:sz w:val="17"/>
              </w:rPr>
            </w:pPr>
            <w:r>
              <w:rPr>
                <w:color w:val="231F20"/>
                <w:w w:val="97"/>
                <w:sz w:val="17"/>
              </w:rPr>
              <w:t>6</w:t>
            </w:r>
          </w:p>
        </w:tc>
        <w:tc>
          <w:tcPr>
            <w:tcW w:w="1435" w:type="dxa"/>
            <w:tcBorders>
              <w:left w:val="single" w:sz="2" w:space="0" w:color="231F20"/>
              <w:right w:val="single" w:sz="2" w:space="0" w:color="231F20"/>
            </w:tcBorders>
          </w:tcPr>
          <w:p>
            <w:pPr>
              <w:pStyle w:val="TableParagraph"/>
              <w:spacing w:before="25"/>
              <w:ind w:left="1"/>
              <w:jc w:val="center"/>
              <w:rPr>
                <w:sz w:val="17"/>
              </w:rPr>
            </w:pPr>
            <w:r>
              <w:rPr>
                <w:color w:val="231F20"/>
                <w:w w:val="97"/>
                <w:sz w:val="17"/>
              </w:rPr>
              <w:t>0</w:t>
            </w:r>
          </w:p>
        </w:tc>
        <w:tc>
          <w:tcPr>
            <w:tcW w:w="718" w:type="dxa"/>
            <w:tcBorders>
              <w:left w:val="single" w:sz="2" w:space="0" w:color="231F20"/>
              <w:right w:val="single" w:sz="12" w:space="0" w:color="231F20"/>
            </w:tcBorders>
          </w:tcPr>
          <w:p>
            <w:pPr>
              <w:pStyle w:val="TableParagraph"/>
              <w:spacing w:before="25"/>
              <w:ind w:left="11"/>
              <w:jc w:val="center"/>
              <w:rPr>
                <w:sz w:val="17"/>
              </w:rPr>
            </w:pPr>
            <w:r>
              <w:rPr>
                <w:color w:val="231F20"/>
                <w:w w:val="97"/>
                <w:sz w:val="17"/>
              </w:rPr>
              <w:t>6</w:t>
            </w:r>
          </w:p>
        </w:tc>
      </w:tr>
      <w:tr>
        <w:trPr>
          <w:trHeight w:val="266" w:hRule="exact"/>
        </w:trPr>
        <w:tc>
          <w:tcPr>
            <w:tcW w:w="2050" w:type="dxa"/>
            <w:tcBorders>
              <w:left w:val="single" w:sz="4" w:space="0" w:color="231F20"/>
              <w:right w:val="single" w:sz="4" w:space="0" w:color="231F20"/>
            </w:tcBorders>
          </w:tcPr>
          <w:p>
            <w:pPr>
              <w:pStyle w:val="TableParagraph"/>
              <w:spacing w:before="15"/>
              <w:ind w:left="86"/>
              <w:rPr>
                <w:sz w:val="17"/>
              </w:rPr>
            </w:pPr>
            <w:r>
              <w:rPr>
                <w:color w:val="231F20"/>
                <w:sz w:val="17"/>
              </w:rPr>
              <w:t>Cirujano dentista</w:t>
            </w:r>
          </w:p>
        </w:tc>
        <w:tc>
          <w:tcPr>
            <w:tcW w:w="1538" w:type="dxa"/>
            <w:tcBorders>
              <w:left w:val="single" w:sz="4" w:space="0" w:color="231F20"/>
              <w:right w:val="single" w:sz="2" w:space="0" w:color="231F20"/>
            </w:tcBorders>
          </w:tcPr>
          <w:p>
            <w:pPr>
              <w:pStyle w:val="TableParagraph"/>
              <w:spacing w:before="30"/>
              <w:ind w:left="616" w:right="607"/>
              <w:jc w:val="center"/>
              <w:rPr>
                <w:sz w:val="17"/>
              </w:rPr>
            </w:pPr>
            <w:r>
              <w:rPr>
                <w:color w:val="231F20"/>
                <w:sz w:val="17"/>
              </w:rPr>
              <w:t>10</w:t>
            </w:r>
          </w:p>
        </w:tc>
        <w:tc>
          <w:tcPr>
            <w:tcW w:w="1435" w:type="dxa"/>
            <w:tcBorders>
              <w:left w:val="single" w:sz="2" w:space="0" w:color="231F20"/>
              <w:right w:val="single" w:sz="2" w:space="0" w:color="231F20"/>
            </w:tcBorders>
          </w:tcPr>
          <w:p>
            <w:pPr>
              <w:pStyle w:val="TableParagraph"/>
              <w:spacing w:before="30"/>
              <w:ind w:left="1"/>
              <w:jc w:val="center"/>
              <w:rPr>
                <w:sz w:val="17"/>
              </w:rPr>
            </w:pPr>
            <w:r>
              <w:rPr>
                <w:color w:val="231F20"/>
                <w:w w:val="97"/>
                <w:sz w:val="17"/>
              </w:rPr>
              <w:t>0</w:t>
            </w:r>
          </w:p>
        </w:tc>
        <w:tc>
          <w:tcPr>
            <w:tcW w:w="718" w:type="dxa"/>
            <w:tcBorders>
              <w:left w:val="single" w:sz="2" w:space="0" w:color="231F20"/>
              <w:right w:val="single" w:sz="12" w:space="0" w:color="231F20"/>
            </w:tcBorders>
          </w:tcPr>
          <w:p>
            <w:pPr>
              <w:pStyle w:val="TableParagraph"/>
              <w:spacing w:before="30"/>
              <w:ind w:left="132" w:right="120"/>
              <w:jc w:val="center"/>
              <w:rPr>
                <w:sz w:val="17"/>
              </w:rPr>
            </w:pPr>
            <w:r>
              <w:rPr>
                <w:color w:val="231F20"/>
                <w:sz w:val="17"/>
              </w:rPr>
              <w:t>10</w:t>
            </w:r>
          </w:p>
        </w:tc>
      </w:tr>
      <w:tr>
        <w:trPr>
          <w:trHeight w:val="266" w:hRule="exact"/>
        </w:trPr>
        <w:tc>
          <w:tcPr>
            <w:tcW w:w="2050" w:type="dxa"/>
            <w:tcBorders>
              <w:left w:val="single" w:sz="4" w:space="0" w:color="231F20"/>
              <w:right w:val="single" w:sz="4" w:space="0" w:color="231F20"/>
            </w:tcBorders>
          </w:tcPr>
          <w:p>
            <w:pPr>
              <w:pStyle w:val="TableParagraph"/>
              <w:spacing w:before="13"/>
              <w:ind w:left="86"/>
              <w:rPr>
                <w:sz w:val="17"/>
              </w:rPr>
            </w:pPr>
            <w:r>
              <w:rPr>
                <w:color w:val="231F20"/>
                <w:sz w:val="17"/>
              </w:rPr>
              <w:t>Computación</w:t>
            </w:r>
          </w:p>
        </w:tc>
        <w:tc>
          <w:tcPr>
            <w:tcW w:w="1538" w:type="dxa"/>
            <w:tcBorders>
              <w:left w:val="single" w:sz="4" w:space="0" w:color="231F20"/>
              <w:right w:val="single" w:sz="2" w:space="0" w:color="231F20"/>
            </w:tcBorders>
          </w:tcPr>
          <w:p>
            <w:pPr>
              <w:pStyle w:val="TableParagraph"/>
              <w:spacing w:before="27"/>
              <w:ind w:left="8"/>
              <w:jc w:val="center"/>
              <w:rPr>
                <w:sz w:val="17"/>
              </w:rPr>
            </w:pPr>
            <w:r>
              <w:rPr>
                <w:color w:val="231F20"/>
                <w:w w:val="97"/>
                <w:sz w:val="17"/>
              </w:rPr>
              <w:t>3</w:t>
            </w:r>
          </w:p>
        </w:tc>
        <w:tc>
          <w:tcPr>
            <w:tcW w:w="1435" w:type="dxa"/>
            <w:tcBorders>
              <w:left w:val="single" w:sz="2" w:space="0" w:color="231F20"/>
              <w:right w:val="single" w:sz="2" w:space="0" w:color="231F20"/>
            </w:tcBorders>
          </w:tcPr>
          <w:p>
            <w:pPr>
              <w:pStyle w:val="TableParagraph"/>
              <w:spacing w:before="27"/>
              <w:ind w:left="1"/>
              <w:jc w:val="center"/>
              <w:rPr>
                <w:sz w:val="17"/>
              </w:rPr>
            </w:pPr>
            <w:r>
              <w:rPr>
                <w:color w:val="231F20"/>
                <w:w w:val="97"/>
                <w:sz w:val="17"/>
              </w:rPr>
              <w:t>0</w:t>
            </w:r>
          </w:p>
        </w:tc>
        <w:tc>
          <w:tcPr>
            <w:tcW w:w="718" w:type="dxa"/>
            <w:tcBorders>
              <w:left w:val="single" w:sz="2" w:space="0" w:color="231F20"/>
              <w:right w:val="single" w:sz="12" w:space="0" w:color="231F20"/>
            </w:tcBorders>
          </w:tcPr>
          <w:p>
            <w:pPr>
              <w:pStyle w:val="TableParagraph"/>
              <w:spacing w:before="27"/>
              <w:ind w:left="11"/>
              <w:jc w:val="center"/>
              <w:rPr>
                <w:sz w:val="17"/>
              </w:rPr>
            </w:pPr>
            <w:r>
              <w:rPr>
                <w:color w:val="231F20"/>
                <w:w w:val="97"/>
                <w:sz w:val="17"/>
              </w:rPr>
              <w:t>3</w:t>
            </w:r>
          </w:p>
        </w:tc>
      </w:tr>
      <w:tr>
        <w:trPr>
          <w:trHeight w:val="266" w:hRule="exact"/>
        </w:trPr>
        <w:tc>
          <w:tcPr>
            <w:tcW w:w="2050" w:type="dxa"/>
            <w:tcBorders>
              <w:left w:val="single" w:sz="4" w:space="0" w:color="231F20"/>
              <w:right w:val="single" w:sz="4" w:space="0" w:color="231F20"/>
            </w:tcBorders>
          </w:tcPr>
          <w:p>
            <w:pPr>
              <w:pStyle w:val="TableParagraph"/>
              <w:spacing w:before="15"/>
              <w:ind w:left="86"/>
              <w:rPr>
                <w:sz w:val="17"/>
              </w:rPr>
            </w:pPr>
            <w:r>
              <w:rPr>
                <w:color w:val="231F20"/>
                <w:sz w:val="17"/>
              </w:rPr>
              <w:t>Contaduría Pública</w:t>
            </w:r>
          </w:p>
        </w:tc>
        <w:tc>
          <w:tcPr>
            <w:tcW w:w="1538" w:type="dxa"/>
            <w:tcBorders>
              <w:left w:val="single" w:sz="4" w:space="0" w:color="231F20"/>
              <w:right w:val="single" w:sz="2" w:space="0" w:color="231F20"/>
            </w:tcBorders>
          </w:tcPr>
          <w:p>
            <w:pPr>
              <w:pStyle w:val="TableParagraph"/>
              <w:spacing w:before="30"/>
              <w:ind w:left="616" w:right="607"/>
              <w:jc w:val="center"/>
              <w:rPr>
                <w:sz w:val="17"/>
              </w:rPr>
            </w:pPr>
            <w:r>
              <w:rPr>
                <w:color w:val="231F20"/>
                <w:sz w:val="17"/>
              </w:rPr>
              <w:t>21</w:t>
            </w:r>
          </w:p>
        </w:tc>
        <w:tc>
          <w:tcPr>
            <w:tcW w:w="1435" w:type="dxa"/>
            <w:tcBorders>
              <w:left w:val="single" w:sz="2" w:space="0" w:color="231F20"/>
              <w:right w:val="single" w:sz="2" w:space="0" w:color="231F20"/>
            </w:tcBorders>
          </w:tcPr>
          <w:p>
            <w:pPr>
              <w:pStyle w:val="TableParagraph"/>
              <w:spacing w:before="30"/>
              <w:ind w:left="1"/>
              <w:jc w:val="center"/>
              <w:rPr>
                <w:sz w:val="17"/>
              </w:rPr>
            </w:pPr>
            <w:r>
              <w:rPr>
                <w:color w:val="231F20"/>
                <w:w w:val="97"/>
                <w:sz w:val="17"/>
              </w:rPr>
              <w:t>0</w:t>
            </w:r>
          </w:p>
        </w:tc>
        <w:tc>
          <w:tcPr>
            <w:tcW w:w="718" w:type="dxa"/>
            <w:tcBorders>
              <w:left w:val="single" w:sz="2" w:space="0" w:color="231F20"/>
              <w:right w:val="single" w:sz="12" w:space="0" w:color="231F20"/>
            </w:tcBorders>
          </w:tcPr>
          <w:p>
            <w:pPr>
              <w:pStyle w:val="TableParagraph"/>
              <w:spacing w:before="30"/>
              <w:ind w:left="132" w:right="120"/>
              <w:jc w:val="center"/>
              <w:rPr>
                <w:sz w:val="17"/>
              </w:rPr>
            </w:pPr>
            <w:r>
              <w:rPr>
                <w:color w:val="231F20"/>
                <w:sz w:val="17"/>
              </w:rPr>
              <w:t>21</w:t>
            </w:r>
          </w:p>
        </w:tc>
      </w:tr>
      <w:tr>
        <w:trPr>
          <w:trHeight w:val="266" w:hRule="exact"/>
        </w:trPr>
        <w:tc>
          <w:tcPr>
            <w:tcW w:w="2050" w:type="dxa"/>
            <w:tcBorders>
              <w:left w:val="single" w:sz="4" w:space="0" w:color="231F20"/>
              <w:right w:val="single" w:sz="4" w:space="0" w:color="231F20"/>
            </w:tcBorders>
          </w:tcPr>
          <w:p>
            <w:pPr>
              <w:pStyle w:val="TableParagraph"/>
              <w:spacing w:before="13"/>
              <w:ind w:left="86"/>
              <w:rPr>
                <w:sz w:val="17"/>
              </w:rPr>
            </w:pPr>
            <w:r>
              <w:rPr>
                <w:color w:val="231F20"/>
                <w:w w:val="105"/>
                <w:sz w:val="17"/>
              </w:rPr>
              <w:t>Derecho</w:t>
            </w:r>
          </w:p>
        </w:tc>
        <w:tc>
          <w:tcPr>
            <w:tcW w:w="1538" w:type="dxa"/>
            <w:tcBorders>
              <w:left w:val="single" w:sz="4" w:space="0" w:color="231F20"/>
              <w:right w:val="single" w:sz="2" w:space="0" w:color="231F20"/>
            </w:tcBorders>
          </w:tcPr>
          <w:p>
            <w:pPr>
              <w:pStyle w:val="TableParagraph"/>
              <w:spacing w:before="27"/>
              <w:ind w:left="616" w:right="607"/>
              <w:jc w:val="center"/>
              <w:rPr>
                <w:sz w:val="17"/>
              </w:rPr>
            </w:pPr>
            <w:r>
              <w:rPr>
                <w:color w:val="231F20"/>
                <w:sz w:val="17"/>
              </w:rPr>
              <w:t>53</w:t>
            </w:r>
          </w:p>
        </w:tc>
        <w:tc>
          <w:tcPr>
            <w:tcW w:w="1435" w:type="dxa"/>
            <w:tcBorders>
              <w:left w:val="single" w:sz="2" w:space="0" w:color="231F20"/>
              <w:right w:val="single" w:sz="2" w:space="0" w:color="231F20"/>
            </w:tcBorders>
          </w:tcPr>
          <w:p>
            <w:pPr>
              <w:pStyle w:val="TableParagraph"/>
              <w:spacing w:before="27"/>
              <w:ind w:left="1"/>
              <w:jc w:val="center"/>
              <w:rPr>
                <w:sz w:val="17"/>
              </w:rPr>
            </w:pPr>
            <w:r>
              <w:rPr>
                <w:color w:val="231F20"/>
                <w:w w:val="97"/>
                <w:sz w:val="17"/>
              </w:rPr>
              <w:t>2</w:t>
            </w:r>
          </w:p>
        </w:tc>
        <w:tc>
          <w:tcPr>
            <w:tcW w:w="718" w:type="dxa"/>
            <w:tcBorders>
              <w:left w:val="single" w:sz="2" w:space="0" w:color="231F20"/>
              <w:right w:val="single" w:sz="12" w:space="0" w:color="231F20"/>
            </w:tcBorders>
          </w:tcPr>
          <w:p>
            <w:pPr>
              <w:pStyle w:val="TableParagraph"/>
              <w:spacing w:before="27"/>
              <w:ind w:left="132" w:right="120"/>
              <w:jc w:val="center"/>
              <w:rPr>
                <w:sz w:val="17"/>
              </w:rPr>
            </w:pPr>
            <w:r>
              <w:rPr>
                <w:color w:val="231F20"/>
                <w:sz w:val="17"/>
              </w:rPr>
              <w:t>55</w:t>
            </w:r>
          </w:p>
        </w:tc>
      </w:tr>
      <w:tr>
        <w:trPr>
          <w:trHeight w:val="264" w:hRule="exact"/>
        </w:trPr>
        <w:tc>
          <w:tcPr>
            <w:tcW w:w="2050" w:type="dxa"/>
            <w:tcBorders>
              <w:left w:val="single" w:sz="4" w:space="0" w:color="231F20"/>
              <w:right w:val="single" w:sz="4" w:space="0" w:color="231F20"/>
            </w:tcBorders>
          </w:tcPr>
          <w:p>
            <w:pPr>
              <w:pStyle w:val="TableParagraph"/>
              <w:spacing w:before="15"/>
              <w:ind w:left="86"/>
              <w:rPr>
                <w:sz w:val="17"/>
              </w:rPr>
            </w:pPr>
            <w:r>
              <w:rPr>
                <w:color w:val="231F20"/>
                <w:sz w:val="17"/>
              </w:rPr>
              <w:t>Economía</w:t>
            </w:r>
          </w:p>
        </w:tc>
        <w:tc>
          <w:tcPr>
            <w:tcW w:w="1538" w:type="dxa"/>
            <w:tcBorders>
              <w:left w:val="single" w:sz="4" w:space="0" w:color="231F20"/>
              <w:right w:val="single" w:sz="2" w:space="0" w:color="231F20"/>
            </w:tcBorders>
          </w:tcPr>
          <w:p>
            <w:pPr>
              <w:pStyle w:val="TableParagraph"/>
              <w:spacing w:before="25"/>
              <w:ind w:left="8"/>
              <w:jc w:val="center"/>
              <w:rPr>
                <w:sz w:val="17"/>
              </w:rPr>
            </w:pPr>
            <w:r>
              <w:rPr>
                <w:color w:val="231F20"/>
                <w:w w:val="97"/>
                <w:sz w:val="17"/>
              </w:rPr>
              <w:t>5</w:t>
            </w:r>
          </w:p>
        </w:tc>
        <w:tc>
          <w:tcPr>
            <w:tcW w:w="1435" w:type="dxa"/>
            <w:tcBorders>
              <w:left w:val="single" w:sz="2" w:space="0" w:color="231F20"/>
              <w:right w:val="single" w:sz="2" w:space="0" w:color="231F20"/>
            </w:tcBorders>
          </w:tcPr>
          <w:p>
            <w:pPr>
              <w:pStyle w:val="TableParagraph"/>
              <w:spacing w:before="25"/>
              <w:ind w:left="1"/>
              <w:jc w:val="center"/>
              <w:rPr>
                <w:sz w:val="17"/>
              </w:rPr>
            </w:pPr>
            <w:r>
              <w:rPr>
                <w:color w:val="231F20"/>
                <w:w w:val="97"/>
                <w:sz w:val="17"/>
              </w:rPr>
              <w:t>0</w:t>
            </w:r>
          </w:p>
        </w:tc>
        <w:tc>
          <w:tcPr>
            <w:tcW w:w="718" w:type="dxa"/>
            <w:tcBorders>
              <w:left w:val="single" w:sz="2" w:space="0" w:color="231F20"/>
              <w:right w:val="single" w:sz="12" w:space="0" w:color="231F20"/>
            </w:tcBorders>
          </w:tcPr>
          <w:p>
            <w:pPr>
              <w:pStyle w:val="TableParagraph"/>
              <w:spacing w:before="25"/>
              <w:ind w:left="11"/>
              <w:jc w:val="center"/>
              <w:rPr>
                <w:sz w:val="17"/>
              </w:rPr>
            </w:pPr>
            <w:r>
              <w:rPr>
                <w:color w:val="231F20"/>
                <w:w w:val="97"/>
                <w:sz w:val="17"/>
              </w:rPr>
              <w:t>5</w:t>
            </w:r>
          </w:p>
        </w:tc>
      </w:tr>
      <w:tr>
        <w:trPr>
          <w:trHeight w:val="266" w:hRule="exact"/>
        </w:trPr>
        <w:tc>
          <w:tcPr>
            <w:tcW w:w="2050" w:type="dxa"/>
            <w:tcBorders>
              <w:left w:val="single" w:sz="4" w:space="0" w:color="231F20"/>
              <w:right w:val="single" w:sz="4" w:space="0" w:color="231F20"/>
            </w:tcBorders>
          </w:tcPr>
          <w:p>
            <w:pPr>
              <w:pStyle w:val="TableParagraph"/>
              <w:spacing w:before="15"/>
              <w:ind w:left="86"/>
              <w:rPr>
                <w:sz w:val="17"/>
              </w:rPr>
            </w:pPr>
            <w:r>
              <w:rPr>
                <w:color w:val="231F20"/>
                <w:sz w:val="17"/>
              </w:rPr>
              <w:t>Enfermería y Obstetricia</w:t>
            </w:r>
          </w:p>
        </w:tc>
        <w:tc>
          <w:tcPr>
            <w:tcW w:w="1538" w:type="dxa"/>
            <w:tcBorders>
              <w:left w:val="single" w:sz="4" w:space="0" w:color="231F20"/>
              <w:right w:val="single" w:sz="2" w:space="0" w:color="231F20"/>
            </w:tcBorders>
          </w:tcPr>
          <w:p>
            <w:pPr>
              <w:pStyle w:val="TableParagraph"/>
              <w:spacing w:before="30"/>
              <w:ind w:left="616" w:right="607"/>
              <w:jc w:val="center"/>
              <w:rPr>
                <w:sz w:val="17"/>
              </w:rPr>
            </w:pPr>
            <w:r>
              <w:rPr>
                <w:color w:val="231F20"/>
                <w:sz w:val="17"/>
              </w:rPr>
              <w:t>15</w:t>
            </w:r>
          </w:p>
        </w:tc>
        <w:tc>
          <w:tcPr>
            <w:tcW w:w="1435" w:type="dxa"/>
            <w:tcBorders>
              <w:left w:val="single" w:sz="2" w:space="0" w:color="231F20"/>
              <w:right w:val="single" w:sz="2" w:space="0" w:color="231F20"/>
            </w:tcBorders>
          </w:tcPr>
          <w:p>
            <w:pPr>
              <w:pStyle w:val="TableParagraph"/>
              <w:spacing w:before="30"/>
              <w:ind w:left="1"/>
              <w:jc w:val="center"/>
              <w:rPr>
                <w:sz w:val="17"/>
              </w:rPr>
            </w:pPr>
            <w:r>
              <w:rPr>
                <w:color w:val="231F20"/>
                <w:w w:val="97"/>
                <w:sz w:val="17"/>
              </w:rPr>
              <w:t>1</w:t>
            </w:r>
          </w:p>
        </w:tc>
        <w:tc>
          <w:tcPr>
            <w:tcW w:w="718" w:type="dxa"/>
            <w:tcBorders>
              <w:left w:val="single" w:sz="2" w:space="0" w:color="231F20"/>
              <w:right w:val="single" w:sz="12" w:space="0" w:color="231F20"/>
            </w:tcBorders>
          </w:tcPr>
          <w:p>
            <w:pPr>
              <w:pStyle w:val="TableParagraph"/>
              <w:spacing w:before="30"/>
              <w:ind w:left="132" w:right="120"/>
              <w:jc w:val="center"/>
              <w:rPr>
                <w:sz w:val="17"/>
              </w:rPr>
            </w:pPr>
            <w:r>
              <w:rPr>
                <w:color w:val="231F20"/>
                <w:sz w:val="17"/>
              </w:rPr>
              <w:t>16</w:t>
            </w:r>
          </w:p>
        </w:tc>
      </w:tr>
      <w:tr>
        <w:trPr>
          <w:trHeight w:val="266" w:hRule="exact"/>
        </w:trPr>
        <w:tc>
          <w:tcPr>
            <w:tcW w:w="2050" w:type="dxa"/>
            <w:tcBorders>
              <w:left w:val="single" w:sz="4" w:space="0" w:color="231F20"/>
              <w:right w:val="single" w:sz="4" w:space="0" w:color="231F20"/>
            </w:tcBorders>
          </w:tcPr>
          <w:p>
            <w:pPr>
              <w:pStyle w:val="TableParagraph"/>
              <w:spacing w:before="13"/>
              <w:ind w:left="86"/>
              <w:rPr>
                <w:sz w:val="17"/>
              </w:rPr>
            </w:pPr>
            <w:r>
              <w:rPr>
                <w:color w:val="231F20"/>
                <w:sz w:val="17"/>
              </w:rPr>
              <w:t>Física</w:t>
            </w:r>
          </w:p>
        </w:tc>
        <w:tc>
          <w:tcPr>
            <w:tcW w:w="1538" w:type="dxa"/>
            <w:tcBorders>
              <w:left w:val="single" w:sz="4" w:space="0" w:color="231F20"/>
              <w:right w:val="single" w:sz="2" w:space="0" w:color="231F20"/>
            </w:tcBorders>
          </w:tcPr>
          <w:p>
            <w:pPr>
              <w:pStyle w:val="TableParagraph"/>
              <w:spacing w:before="27"/>
              <w:ind w:left="8"/>
              <w:jc w:val="center"/>
              <w:rPr>
                <w:sz w:val="17"/>
              </w:rPr>
            </w:pPr>
            <w:r>
              <w:rPr>
                <w:color w:val="231F20"/>
                <w:w w:val="97"/>
                <w:sz w:val="17"/>
              </w:rPr>
              <w:t>1</w:t>
            </w:r>
          </w:p>
        </w:tc>
        <w:tc>
          <w:tcPr>
            <w:tcW w:w="1435" w:type="dxa"/>
            <w:tcBorders>
              <w:left w:val="single" w:sz="2" w:space="0" w:color="231F20"/>
              <w:right w:val="single" w:sz="2" w:space="0" w:color="231F20"/>
            </w:tcBorders>
          </w:tcPr>
          <w:p>
            <w:pPr>
              <w:pStyle w:val="TableParagraph"/>
              <w:spacing w:before="27"/>
              <w:ind w:left="1"/>
              <w:jc w:val="center"/>
              <w:rPr>
                <w:sz w:val="17"/>
              </w:rPr>
            </w:pPr>
            <w:r>
              <w:rPr>
                <w:color w:val="231F20"/>
                <w:w w:val="97"/>
                <w:sz w:val="17"/>
              </w:rPr>
              <w:t>0</w:t>
            </w:r>
          </w:p>
        </w:tc>
        <w:tc>
          <w:tcPr>
            <w:tcW w:w="718" w:type="dxa"/>
            <w:tcBorders>
              <w:left w:val="single" w:sz="2" w:space="0" w:color="231F20"/>
              <w:right w:val="single" w:sz="12" w:space="0" w:color="231F20"/>
            </w:tcBorders>
          </w:tcPr>
          <w:p>
            <w:pPr>
              <w:pStyle w:val="TableParagraph"/>
              <w:spacing w:before="27"/>
              <w:ind w:left="11"/>
              <w:jc w:val="center"/>
              <w:rPr>
                <w:sz w:val="17"/>
              </w:rPr>
            </w:pPr>
            <w:r>
              <w:rPr>
                <w:color w:val="231F20"/>
                <w:w w:val="97"/>
                <w:sz w:val="17"/>
              </w:rPr>
              <w:t>1</w:t>
            </w:r>
          </w:p>
        </w:tc>
      </w:tr>
      <w:tr>
        <w:trPr>
          <w:trHeight w:val="494" w:hRule="exact"/>
        </w:trPr>
        <w:tc>
          <w:tcPr>
            <w:tcW w:w="2050" w:type="dxa"/>
            <w:tcBorders>
              <w:left w:val="single" w:sz="4" w:space="0" w:color="231F20"/>
              <w:right w:val="single" w:sz="4" w:space="0" w:color="231F20"/>
            </w:tcBorders>
          </w:tcPr>
          <w:p>
            <w:pPr>
              <w:pStyle w:val="TableParagraph"/>
              <w:spacing w:line="295" w:lineRule="auto" w:before="15"/>
              <w:ind w:left="86"/>
              <w:rPr>
                <w:sz w:val="17"/>
              </w:rPr>
            </w:pPr>
            <w:r>
              <w:rPr>
                <w:color w:val="231F20"/>
                <w:sz w:val="17"/>
              </w:rPr>
              <w:t>Medicina veterinaria y Zootecnia</w:t>
            </w:r>
          </w:p>
        </w:tc>
        <w:tc>
          <w:tcPr>
            <w:tcW w:w="1538" w:type="dxa"/>
            <w:tcBorders>
              <w:left w:val="single" w:sz="4" w:space="0" w:color="231F20"/>
              <w:right w:val="single" w:sz="2" w:space="0" w:color="231F20"/>
            </w:tcBorders>
          </w:tcPr>
          <w:p>
            <w:pPr>
              <w:pStyle w:val="TableParagraph"/>
              <w:spacing w:before="140"/>
              <w:ind w:left="616" w:right="607"/>
              <w:jc w:val="center"/>
              <w:rPr>
                <w:sz w:val="17"/>
              </w:rPr>
            </w:pPr>
            <w:r>
              <w:rPr>
                <w:color w:val="231F20"/>
                <w:sz w:val="17"/>
              </w:rPr>
              <w:t>15</w:t>
            </w:r>
          </w:p>
        </w:tc>
        <w:tc>
          <w:tcPr>
            <w:tcW w:w="1435" w:type="dxa"/>
            <w:tcBorders>
              <w:left w:val="single" w:sz="2" w:space="0" w:color="231F20"/>
              <w:right w:val="single" w:sz="2" w:space="0" w:color="231F20"/>
            </w:tcBorders>
          </w:tcPr>
          <w:p>
            <w:pPr>
              <w:pStyle w:val="TableParagraph"/>
              <w:spacing w:before="140"/>
              <w:ind w:left="1"/>
              <w:jc w:val="center"/>
              <w:rPr>
                <w:sz w:val="17"/>
              </w:rPr>
            </w:pPr>
            <w:r>
              <w:rPr>
                <w:color w:val="231F20"/>
                <w:w w:val="97"/>
                <w:sz w:val="17"/>
              </w:rPr>
              <w:t>0</w:t>
            </w:r>
          </w:p>
        </w:tc>
        <w:tc>
          <w:tcPr>
            <w:tcW w:w="718" w:type="dxa"/>
            <w:tcBorders>
              <w:left w:val="single" w:sz="2" w:space="0" w:color="231F20"/>
              <w:right w:val="single" w:sz="12" w:space="0" w:color="231F20"/>
            </w:tcBorders>
          </w:tcPr>
          <w:p>
            <w:pPr>
              <w:pStyle w:val="TableParagraph"/>
              <w:spacing w:before="140"/>
              <w:ind w:left="132" w:right="120"/>
              <w:jc w:val="center"/>
              <w:rPr>
                <w:sz w:val="17"/>
              </w:rPr>
            </w:pPr>
            <w:r>
              <w:rPr>
                <w:color w:val="231F20"/>
                <w:sz w:val="17"/>
              </w:rPr>
              <w:t>15</w:t>
            </w:r>
          </w:p>
        </w:tc>
      </w:tr>
      <w:tr>
        <w:trPr>
          <w:trHeight w:val="264" w:hRule="exact"/>
        </w:trPr>
        <w:tc>
          <w:tcPr>
            <w:tcW w:w="2050" w:type="dxa"/>
            <w:tcBorders>
              <w:left w:val="single" w:sz="4" w:space="0" w:color="231F20"/>
              <w:right w:val="single" w:sz="4" w:space="0" w:color="231F20"/>
            </w:tcBorders>
          </w:tcPr>
          <w:p>
            <w:pPr>
              <w:pStyle w:val="TableParagraph"/>
              <w:spacing w:before="15"/>
              <w:ind w:left="86"/>
              <w:rPr>
                <w:sz w:val="17"/>
              </w:rPr>
            </w:pPr>
            <w:r>
              <w:rPr>
                <w:color w:val="231F20"/>
                <w:sz w:val="17"/>
              </w:rPr>
              <w:t>Odontología</w:t>
            </w:r>
          </w:p>
        </w:tc>
        <w:tc>
          <w:tcPr>
            <w:tcW w:w="1538" w:type="dxa"/>
            <w:tcBorders>
              <w:left w:val="single" w:sz="4" w:space="0" w:color="231F20"/>
              <w:right w:val="single" w:sz="2" w:space="0" w:color="231F20"/>
            </w:tcBorders>
          </w:tcPr>
          <w:p>
            <w:pPr>
              <w:pStyle w:val="TableParagraph"/>
              <w:spacing w:before="25"/>
              <w:ind w:left="616" w:right="607"/>
              <w:jc w:val="center"/>
              <w:rPr>
                <w:sz w:val="17"/>
              </w:rPr>
            </w:pPr>
            <w:r>
              <w:rPr>
                <w:color w:val="231F20"/>
                <w:sz w:val="17"/>
              </w:rPr>
              <w:t>23</w:t>
            </w:r>
          </w:p>
        </w:tc>
        <w:tc>
          <w:tcPr>
            <w:tcW w:w="1435" w:type="dxa"/>
            <w:tcBorders>
              <w:left w:val="single" w:sz="2" w:space="0" w:color="231F20"/>
              <w:right w:val="single" w:sz="2" w:space="0" w:color="231F20"/>
            </w:tcBorders>
          </w:tcPr>
          <w:p>
            <w:pPr>
              <w:pStyle w:val="TableParagraph"/>
              <w:spacing w:before="25"/>
              <w:ind w:left="1"/>
              <w:jc w:val="center"/>
              <w:rPr>
                <w:sz w:val="17"/>
              </w:rPr>
            </w:pPr>
            <w:r>
              <w:rPr>
                <w:color w:val="231F20"/>
                <w:w w:val="97"/>
                <w:sz w:val="17"/>
              </w:rPr>
              <w:t>0</w:t>
            </w:r>
          </w:p>
        </w:tc>
        <w:tc>
          <w:tcPr>
            <w:tcW w:w="718" w:type="dxa"/>
            <w:tcBorders>
              <w:left w:val="single" w:sz="2" w:space="0" w:color="231F20"/>
              <w:right w:val="single" w:sz="12" w:space="0" w:color="231F20"/>
            </w:tcBorders>
          </w:tcPr>
          <w:p>
            <w:pPr>
              <w:pStyle w:val="TableParagraph"/>
              <w:spacing w:before="25"/>
              <w:ind w:left="132" w:right="120"/>
              <w:jc w:val="center"/>
              <w:rPr>
                <w:sz w:val="17"/>
              </w:rPr>
            </w:pPr>
            <w:r>
              <w:rPr>
                <w:color w:val="231F20"/>
                <w:sz w:val="17"/>
              </w:rPr>
              <w:t>23</w:t>
            </w:r>
          </w:p>
        </w:tc>
      </w:tr>
      <w:tr>
        <w:trPr>
          <w:trHeight w:val="482" w:hRule="exact"/>
        </w:trPr>
        <w:tc>
          <w:tcPr>
            <w:tcW w:w="2050" w:type="dxa"/>
            <w:tcBorders>
              <w:left w:val="single" w:sz="4" w:space="0" w:color="231F20"/>
              <w:bottom w:val="single" w:sz="4" w:space="0" w:color="231F20"/>
              <w:right w:val="single" w:sz="4" w:space="0" w:color="231F20"/>
            </w:tcBorders>
          </w:tcPr>
          <w:p>
            <w:pPr>
              <w:pStyle w:val="TableParagraph"/>
              <w:spacing w:line="295" w:lineRule="auto" w:before="15"/>
              <w:ind w:left="86"/>
              <w:rPr>
                <w:sz w:val="17"/>
              </w:rPr>
            </w:pPr>
            <w:r>
              <w:rPr>
                <w:color w:val="231F20"/>
                <w:sz w:val="17"/>
              </w:rPr>
              <w:t>Químico Biólogo Farma- céutico</w:t>
            </w:r>
          </w:p>
        </w:tc>
        <w:tc>
          <w:tcPr>
            <w:tcW w:w="1538" w:type="dxa"/>
            <w:tcBorders>
              <w:left w:val="single" w:sz="4" w:space="0" w:color="231F20"/>
              <w:bottom w:val="single" w:sz="4" w:space="0" w:color="231F20"/>
              <w:right w:val="single" w:sz="2" w:space="0" w:color="231F20"/>
            </w:tcBorders>
          </w:tcPr>
          <w:p>
            <w:pPr>
              <w:pStyle w:val="TableParagraph"/>
              <w:spacing w:before="140"/>
              <w:ind w:left="8"/>
              <w:jc w:val="center"/>
              <w:rPr>
                <w:sz w:val="17"/>
              </w:rPr>
            </w:pPr>
            <w:r>
              <w:rPr>
                <w:color w:val="231F20"/>
                <w:w w:val="97"/>
                <w:sz w:val="17"/>
              </w:rPr>
              <w:t>6</w:t>
            </w:r>
          </w:p>
        </w:tc>
        <w:tc>
          <w:tcPr>
            <w:tcW w:w="1435" w:type="dxa"/>
            <w:tcBorders>
              <w:left w:val="single" w:sz="2" w:space="0" w:color="231F20"/>
              <w:bottom w:val="single" w:sz="4" w:space="0" w:color="231F20"/>
              <w:right w:val="single" w:sz="2" w:space="0" w:color="231F20"/>
            </w:tcBorders>
          </w:tcPr>
          <w:p>
            <w:pPr>
              <w:pStyle w:val="TableParagraph"/>
              <w:spacing w:before="140"/>
              <w:ind w:left="1"/>
              <w:jc w:val="center"/>
              <w:rPr>
                <w:sz w:val="17"/>
              </w:rPr>
            </w:pPr>
            <w:r>
              <w:rPr>
                <w:color w:val="231F20"/>
                <w:w w:val="97"/>
                <w:sz w:val="17"/>
              </w:rPr>
              <w:t>1</w:t>
            </w:r>
          </w:p>
        </w:tc>
        <w:tc>
          <w:tcPr>
            <w:tcW w:w="718" w:type="dxa"/>
            <w:tcBorders>
              <w:left w:val="single" w:sz="2" w:space="0" w:color="231F20"/>
              <w:bottom w:val="single" w:sz="4" w:space="0" w:color="231F20"/>
              <w:right w:val="single" w:sz="12" w:space="0" w:color="231F20"/>
            </w:tcBorders>
          </w:tcPr>
          <w:p>
            <w:pPr>
              <w:pStyle w:val="TableParagraph"/>
              <w:spacing w:before="140"/>
              <w:ind w:left="11"/>
              <w:jc w:val="center"/>
              <w:rPr>
                <w:sz w:val="17"/>
              </w:rPr>
            </w:pPr>
            <w:r>
              <w:rPr>
                <w:color w:val="231F20"/>
                <w:w w:val="97"/>
                <w:sz w:val="17"/>
              </w:rPr>
              <w:t>7</w:t>
            </w:r>
          </w:p>
        </w:tc>
      </w:tr>
      <w:tr>
        <w:trPr>
          <w:trHeight w:val="274" w:hRule="exact"/>
        </w:trPr>
        <w:tc>
          <w:tcPr>
            <w:tcW w:w="2050" w:type="dxa"/>
            <w:tcBorders>
              <w:top w:val="single" w:sz="4" w:space="0" w:color="231F20"/>
              <w:left w:val="single" w:sz="4" w:space="0" w:color="231F20"/>
              <w:bottom w:val="single" w:sz="4" w:space="0" w:color="231F20"/>
              <w:right w:val="single" w:sz="4" w:space="0" w:color="231F20"/>
            </w:tcBorders>
          </w:tcPr>
          <w:p>
            <w:pPr>
              <w:pStyle w:val="TableParagraph"/>
              <w:spacing w:before="33"/>
              <w:ind w:left="86"/>
              <w:rPr>
                <w:b/>
                <w:sz w:val="17"/>
              </w:rPr>
            </w:pPr>
            <w:r>
              <w:rPr>
                <w:b/>
                <w:color w:val="231F20"/>
                <w:w w:val="105"/>
                <w:sz w:val="17"/>
              </w:rPr>
              <w:t>Total</w:t>
            </w:r>
          </w:p>
        </w:tc>
        <w:tc>
          <w:tcPr>
            <w:tcW w:w="1538" w:type="dxa"/>
            <w:tcBorders>
              <w:top w:val="single" w:sz="4" w:space="0" w:color="231F20"/>
              <w:left w:val="single" w:sz="4" w:space="0" w:color="231F20"/>
              <w:bottom w:val="single" w:sz="4" w:space="0" w:color="231F20"/>
              <w:right w:val="single" w:sz="2" w:space="0" w:color="231F20"/>
            </w:tcBorders>
          </w:tcPr>
          <w:p>
            <w:pPr>
              <w:pStyle w:val="TableParagraph"/>
              <w:spacing w:before="47"/>
              <w:ind w:left="616" w:right="620"/>
              <w:jc w:val="center"/>
              <w:rPr>
                <w:b/>
                <w:sz w:val="17"/>
              </w:rPr>
            </w:pPr>
            <w:r>
              <w:rPr>
                <w:b/>
                <w:color w:val="231F20"/>
                <w:sz w:val="17"/>
              </w:rPr>
              <w:t>211</w:t>
            </w:r>
          </w:p>
        </w:tc>
        <w:tc>
          <w:tcPr>
            <w:tcW w:w="1435" w:type="dxa"/>
            <w:tcBorders>
              <w:top w:val="single" w:sz="4" w:space="0" w:color="231F20"/>
              <w:left w:val="single" w:sz="2" w:space="0" w:color="231F20"/>
              <w:bottom w:val="single" w:sz="4" w:space="0" w:color="231F20"/>
              <w:right w:val="single" w:sz="2" w:space="0" w:color="231F20"/>
            </w:tcBorders>
          </w:tcPr>
          <w:p>
            <w:pPr>
              <w:pStyle w:val="TableParagraph"/>
              <w:spacing w:before="47"/>
              <w:ind w:left="1"/>
              <w:jc w:val="center"/>
              <w:rPr>
                <w:b/>
                <w:sz w:val="17"/>
              </w:rPr>
            </w:pPr>
            <w:r>
              <w:rPr>
                <w:b/>
                <w:color w:val="231F20"/>
                <w:w w:val="97"/>
                <w:sz w:val="17"/>
              </w:rPr>
              <w:t>4</w:t>
            </w:r>
          </w:p>
        </w:tc>
        <w:tc>
          <w:tcPr>
            <w:tcW w:w="718" w:type="dxa"/>
            <w:tcBorders>
              <w:top w:val="single" w:sz="4" w:space="0" w:color="231F20"/>
              <w:left w:val="single" w:sz="2" w:space="0" w:color="231F20"/>
              <w:bottom w:val="single" w:sz="4" w:space="0" w:color="231F20"/>
              <w:right w:val="single" w:sz="4" w:space="0" w:color="231F20"/>
            </w:tcBorders>
          </w:tcPr>
          <w:p>
            <w:pPr>
              <w:pStyle w:val="TableParagraph"/>
              <w:spacing w:before="47"/>
              <w:ind w:left="130" w:right="128"/>
              <w:jc w:val="center"/>
              <w:rPr>
                <w:b/>
                <w:sz w:val="17"/>
              </w:rPr>
            </w:pPr>
            <w:r>
              <w:rPr>
                <w:b/>
                <w:color w:val="231F20"/>
                <w:sz w:val="17"/>
              </w:rPr>
              <w:t>215</w:t>
            </w:r>
          </w:p>
        </w:tc>
      </w:tr>
    </w:tbl>
    <w:p>
      <w:pPr>
        <w:spacing w:after="0"/>
        <w:jc w:val="center"/>
        <w:rPr>
          <w:sz w:val="17"/>
        </w:rPr>
        <w:sectPr>
          <w:headerReference w:type="default" r:id="rId880"/>
          <w:footerReference w:type="default" r:id="rId881"/>
          <w:pgSz w:w="7830" w:h="11910"/>
          <w:pgMar w:header="0" w:footer="424" w:top="500" w:bottom="620" w:left="900" w:right="920"/>
          <w:pgNumType w:start="398"/>
        </w:sectPr>
      </w:pPr>
    </w:p>
    <w:p>
      <w:pPr>
        <w:spacing w:before="46"/>
        <w:ind w:left="1474" w:right="1508"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line="273" w:lineRule="auto" w:before="111"/>
        <w:ind w:left="248" w:right="285" w:hanging="1"/>
        <w:jc w:val="center"/>
        <w:rPr>
          <w:b/>
          <w:sz w:val="19"/>
        </w:rPr>
      </w:pPr>
      <w:r>
        <w:rPr>
          <w:b/>
          <w:color w:val="231F20"/>
          <w:sz w:val="19"/>
        </w:rPr>
        <w:t>Cuadro 13.Qué tipo de violencia ha sufrido alguno de tus amigos: coerción (obligarte a realizar alguna actividad contra tu   voluntad)</w:t>
      </w:r>
    </w:p>
    <w:p>
      <w:pPr>
        <w:pStyle w:val="BodyText"/>
        <w:spacing w:before="10"/>
        <w:rPr>
          <w:b/>
          <w:sz w:val="18"/>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3"/>
        <w:gridCol w:w="1783"/>
        <w:gridCol w:w="1541"/>
        <w:gridCol w:w="636"/>
      </w:tblGrid>
      <w:tr>
        <w:trPr>
          <w:trHeight w:val="1162" w:hRule="exact"/>
        </w:trPr>
        <w:tc>
          <w:tcPr>
            <w:tcW w:w="1843" w:type="dxa"/>
            <w:tcBorders>
              <w:top w:val="single" w:sz="12" w:space="0" w:color="231F20"/>
              <w:left w:val="single" w:sz="12" w:space="0" w:color="231F20"/>
              <w:bottom w:val="single" w:sz="12" w:space="0" w:color="231F20"/>
              <w:right w:val="single" w:sz="12" w:space="0" w:color="231F20"/>
            </w:tcBorders>
          </w:tcPr>
          <w:p>
            <w:pPr/>
          </w:p>
        </w:tc>
        <w:tc>
          <w:tcPr>
            <w:tcW w:w="3324" w:type="dxa"/>
            <w:gridSpan w:val="2"/>
            <w:tcBorders>
              <w:top w:val="single" w:sz="12" w:space="0" w:color="231F20"/>
              <w:left w:val="single" w:sz="12" w:space="0" w:color="231F20"/>
              <w:bottom w:val="single" w:sz="2" w:space="0" w:color="231F20"/>
              <w:right w:val="single" w:sz="2" w:space="0" w:color="231F20"/>
            </w:tcBorders>
          </w:tcPr>
          <w:p>
            <w:pPr>
              <w:pStyle w:val="TableParagraph"/>
              <w:spacing w:before="10"/>
              <w:ind w:left="0"/>
              <w:rPr>
                <w:b/>
                <w:sz w:val="17"/>
              </w:rPr>
            </w:pPr>
          </w:p>
          <w:p>
            <w:pPr>
              <w:pStyle w:val="TableParagraph"/>
              <w:spacing w:line="295" w:lineRule="auto"/>
              <w:ind w:left="114" w:right="125" w:hanging="1"/>
              <w:jc w:val="center"/>
              <w:rPr>
                <w:b/>
                <w:sz w:val="17"/>
              </w:rPr>
            </w:pPr>
            <w:r>
              <w:rPr>
                <w:b/>
                <w:color w:val="231F20"/>
                <w:w w:val="105"/>
                <w:sz w:val="17"/>
              </w:rPr>
              <w:t>Qué tipo de violencia hasufrido alguno de tusamigos:coerción (obligarte a reali- zar alguna actividad contra tu</w:t>
            </w:r>
          </w:p>
          <w:p>
            <w:pPr>
              <w:pStyle w:val="TableParagraph"/>
              <w:spacing w:before="1"/>
              <w:ind w:left="1070" w:right="1081"/>
              <w:jc w:val="center"/>
              <w:rPr>
                <w:b/>
                <w:sz w:val="17"/>
              </w:rPr>
            </w:pPr>
            <w:r>
              <w:rPr>
                <w:b/>
                <w:color w:val="231F20"/>
                <w:sz w:val="17"/>
              </w:rPr>
              <w:t>voluntad) 1s,2n</w:t>
            </w:r>
          </w:p>
        </w:tc>
        <w:tc>
          <w:tcPr>
            <w:tcW w:w="636" w:type="dxa"/>
            <w:tcBorders>
              <w:top w:val="single" w:sz="12" w:space="0" w:color="231F20"/>
              <w:left w:val="single" w:sz="2" w:space="0" w:color="231F20"/>
              <w:bottom w:val="single" w:sz="2" w:space="0" w:color="231F20"/>
              <w:right w:val="single" w:sz="12" w:space="0" w:color="231F20"/>
            </w:tcBorders>
          </w:tcPr>
          <w:p>
            <w:pPr>
              <w:pStyle w:val="TableParagraph"/>
              <w:ind w:left="0"/>
              <w:rPr>
                <w:b/>
                <w:sz w:val="18"/>
              </w:rPr>
            </w:pPr>
          </w:p>
          <w:p>
            <w:pPr>
              <w:pStyle w:val="TableParagraph"/>
              <w:ind w:left="0"/>
              <w:rPr>
                <w:b/>
                <w:sz w:val="18"/>
              </w:rPr>
            </w:pPr>
          </w:p>
          <w:p>
            <w:pPr>
              <w:pStyle w:val="TableParagraph"/>
              <w:ind w:left="0"/>
              <w:rPr>
                <w:b/>
                <w:sz w:val="18"/>
              </w:rPr>
            </w:pPr>
          </w:p>
          <w:p>
            <w:pPr>
              <w:pStyle w:val="TableParagraph"/>
              <w:spacing w:before="6"/>
              <w:ind w:left="0"/>
              <w:rPr>
                <w:b/>
                <w:sz w:val="26"/>
              </w:rPr>
            </w:pPr>
          </w:p>
          <w:p>
            <w:pPr>
              <w:pStyle w:val="TableParagraph"/>
              <w:ind w:left="91"/>
              <w:rPr>
                <w:b/>
                <w:sz w:val="17"/>
              </w:rPr>
            </w:pPr>
            <w:r>
              <w:rPr>
                <w:b/>
                <w:color w:val="231F20"/>
                <w:w w:val="105"/>
                <w:sz w:val="17"/>
              </w:rPr>
              <w:t>Total</w:t>
            </w:r>
          </w:p>
        </w:tc>
      </w:tr>
      <w:tr>
        <w:trPr>
          <w:trHeight w:val="566" w:hRule="exact"/>
        </w:trPr>
        <w:tc>
          <w:tcPr>
            <w:tcW w:w="1843" w:type="dxa"/>
            <w:tcBorders>
              <w:top w:val="single" w:sz="12" w:space="0" w:color="231F20"/>
              <w:left w:val="single" w:sz="12" w:space="0" w:color="231F20"/>
              <w:bottom w:val="single" w:sz="12" w:space="0" w:color="231F20"/>
              <w:right w:val="single" w:sz="12" w:space="0" w:color="231F20"/>
            </w:tcBorders>
          </w:tcPr>
          <w:p>
            <w:pPr/>
          </w:p>
        </w:tc>
        <w:tc>
          <w:tcPr>
            <w:tcW w:w="1783" w:type="dxa"/>
            <w:tcBorders>
              <w:top w:val="single" w:sz="2" w:space="0" w:color="231F20"/>
              <w:left w:val="single" w:sz="12" w:space="0" w:color="231F20"/>
              <w:bottom w:val="single" w:sz="12" w:space="0" w:color="231F20"/>
              <w:right w:val="single" w:sz="2" w:space="0" w:color="231F20"/>
            </w:tcBorders>
          </w:tcPr>
          <w:p>
            <w:pPr>
              <w:pStyle w:val="TableParagraph"/>
              <w:ind w:left="0"/>
              <w:rPr>
                <w:b/>
                <w:sz w:val="18"/>
              </w:rPr>
            </w:pPr>
          </w:p>
          <w:p>
            <w:pPr>
              <w:pStyle w:val="TableParagraph"/>
              <w:spacing w:before="136"/>
              <w:ind w:left="786" w:right="798"/>
              <w:jc w:val="center"/>
              <w:rPr>
                <w:b/>
                <w:sz w:val="17"/>
              </w:rPr>
            </w:pPr>
            <w:r>
              <w:rPr>
                <w:b/>
                <w:color w:val="231F20"/>
                <w:sz w:val="17"/>
              </w:rPr>
              <w:t>Sí</w:t>
            </w:r>
          </w:p>
        </w:tc>
        <w:tc>
          <w:tcPr>
            <w:tcW w:w="1541" w:type="dxa"/>
            <w:tcBorders>
              <w:top w:val="single" w:sz="2" w:space="0" w:color="231F20"/>
              <w:left w:val="single" w:sz="2" w:space="0" w:color="231F20"/>
              <w:bottom w:val="single" w:sz="12" w:space="0" w:color="231F20"/>
              <w:right w:val="single" w:sz="2" w:space="0" w:color="231F20"/>
            </w:tcBorders>
          </w:tcPr>
          <w:p>
            <w:pPr>
              <w:pStyle w:val="TableParagraph"/>
              <w:ind w:left="0"/>
              <w:rPr>
                <w:b/>
                <w:sz w:val="18"/>
              </w:rPr>
            </w:pPr>
          </w:p>
          <w:p>
            <w:pPr>
              <w:pStyle w:val="TableParagraph"/>
              <w:spacing w:before="136"/>
              <w:ind w:left="630" w:right="627"/>
              <w:jc w:val="center"/>
              <w:rPr>
                <w:b/>
                <w:sz w:val="17"/>
              </w:rPr>
            </w:pPr>
            <w:r>
              <w:rPr>
                <w:b/>
                <w:color w:val="231F20"/>
                <w:w w:val="115"/>
                <w:sz w:val="17"/>
              </w:rPr>
              <w:t>No</w:t>
            </w:r>
          </w:p>
        </w:tc>
        <w:tc>
          <w:tcPr>
            <w:tcW w:w="636" w:type="dxa"/>
            <w:tcBorders>
              <w:top w:val="single" w:sz="2" w:space="0" w:color="231F20"/>
              <w:left w:val="single" w:sz="2" w:space="0" w:color="231F20"/>
              <w:bottom w:val="single" w:sz="12" w:space="0" w:color="231F20"/>
              <w:right w:val="single" w:sz="12" w:space="0" w:color="231F20"/>
            </w:tcBorders>
          </w:tcPr>
          <w:p>
            <w:pPr>
              <w:pStyle w:val="TableParagraph"/>
              <w:ind w:left="0"/>
              <w:rPr>
                <w:b/>
                <w:sz w:val="18"/>
              </w:rPr>
            </w:pPr>
          </w:p>
          <w:p>
            <w:pPr>
              <w:pStyle w:val="TableParagraph"/>
              <w:spacing w:before="136"/>
              <w:ind w:left="91"/>
              <w:rPr>
                <w:b/>
                <w:sz w:val="17"/>
              </w:rPr>
            </w:pPr>
            <w:r>
              <w:rPr>
                <w:b/>
                <w:color w:val="231F20"/>
                <w:sz w:val="17"/>
              </w:rPr>
              <w:t>Sí</w:t>
            </w:r>
          </w:p>
        </w:tc>
      </w:tr>
      <w:tr>
        <w:trPr>
          <w:trHeight w:val="294" w:hRule="exact"/>
        </w:trPr>
        <w:tc>
          <w:tcPr>
            <w:tcW w:w="1843" w:type="dxa"/>
            <w:tcBorders>
              <w:top w:val="single" w:sz="12" w:space="0" w:color="231F20"/>
              <w:left w:val="single" w:sz="4" w:space="0" w:color="231F20"/>
              <w:right w:val="single" w:sz="4" w:space="0" w:color="231F20"/>
            </w:tcBorders>
          </w:tcPr>
          <w:p>
            <w:pPr>
              <w:pStyle w:val="TableParagraph"/>
              <w:spacing w:before="33"/>
              <w:ind w:left="86" w:right="30"/>
              <w:rPr>
                <w:sz w:val="17"/>
              </w:rPr>
            </w:pPr>
            <w:r>
              <w:rPr>
                <w:color w:val="231F20"/>
                <w:sz w:val="17"/>
              </w:rPr>
              <w:t>Carrera</w:t>
            </w:r>
          </w:p>
        </w:tc>
        <w:tc>
          <w:tcPr>
            <w:tcW w:w="1783" w:type="dxa"/>
            <w:tcBorders>
              <w:top w:val="single" w:sz="12" w:space="0" w:color="231F20"/>
              <w:left w:val="single" w:sz="4" w:space="0" w:color="231F20"/>
              <w:right w:val="single" w:sz="2" w:space="0" w:color="231F20"/>
            </w:tcBorders>
          </w:tcPr>
          <w:p>
            <w:pPr>
              <w:pStyle w:val="TableParagraph"/>
              <w:spacing w:before="43"/>
              <w:ind w:left="0" w:right="3"/>
              <w:jc w:val="center"/>
              <w:rPr>
                <w:sz w:val="17"/>
              </w:rPr>
            </w:pPr>
            <w:r>
              <w:rPr>
                <w:color w:val="231F20"/>
                <w:w w:val="97"/>
                <w:sz w:val="17"/>
              </w:rPr>
              <w:t>2</w:t>
            </w:r>
          </w:p>
        </w:tc>
        <w:tc>
          <w:tcPr>
            <w:tcW w:w="1541" w:type="dxa"/>
            <w:tcBorders>
              <w:top w:val="single" w:sz="12" w:space="0" w:color="231F20"/>
              <w:left w:val="single" w:sz="2" w:space="0" w:color="231F20"/>
              <w:right w:val="single" w:sz="2" w:space="0" w:color="231F20"/>
            </w:tcBorders>
          </w:tcPr>
          <w:p>
            <w:pPr>
              <w:pStyle w:val="TableParagraph"/>
              <w:spacing w:before="43"/>
              <w:ind w:left="1"/>
              <w:jc w:val="center"/>
              <w:rPr>
                <w:sz w:val="17"/>
              </w:rPr>
            </w:pPr>
            <w:r>
              <w:rPr>
                <w:color w:val="231F20"/>
                <w:w w:val="97"/>
                <w:sz w:val="17"/>
              </w:rPr>
              <w:t>0</w:t>
            </w:r>
          </w:p>
        </w:tc>
        <w:tc>
          <w:tcPr>
            <w:tcW w:w="636" w:type="dxa"/>
            <w:tcBorders>
              <w:top w:val="single" w:sz="12" w:space="0" w:color="231F20"/>
              <w:left w:val="single" w:sz="2" w:space="0" w:color="231F20"/>
              <w:right w:val="single" w:sz="12" w:space="0" w:color="231F20"/>
            </w:tcBorders>
          </w:tcPr>
          <w:p>
            <w:pPr>
              <w:pStyle w:val="TableParagraph"/>
              <w:spacing w:before="43"/>
              <w:ind w:left="91"/>
              <w:rPr>
                <w:sz w:val="17"/>
              </w:rPr>
            </w:pPr>
            <w:r>
              <w:rPr>
                <w:color w:val="231F20"/>
                <w:w w:val="97"/>
                <w:sz w:val="17"/>
              </w:rPr>
              <w:t>2</w:t>
            </w:r>
          </w:p>
        </w:tc>
      </w:tr>
      <w:tr>
        <w:trPr>
          <w:trHeight w:val="254"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sz w:val="17"/>
              </w:rPr>
              <w:t>Administración</w:t>
            </w:r>
          </w:p>
        </w:tc>
        <w:tc>
          <w:tcPr>
            <w:tcW w:w="1783" w:type="dxa"/>
            <w:tcBorders>
              <w:left w:val="single" w:sz="4" w:space="0" w:color="231F20"/>
              <w:right w:val="single" w:sz="2" w:space="0" w:color="231F20"/>
            </w:tcBorders>
          </w:tcPr>
          <w:p>
            <w:pPr>
              <w:pStyle w:val="TableParagraph"/>
              <w:spacing w:before="18"/>
              <w:ind w:left="0" w:right="3"/>
              <w:jc w:val="center"/>
              <w:rPr>
                <w:sz w:val="17"/>
              </w:rPr>
            </w:pPr>
            <w:r>
              <w:rPr>
                <w:color w:val="231F20"/>
                <w:w w:val="97"/>
                <w:sz w:val="17"/>
              </w:rPr>
              <w:t>4</w:t>
            </w:r>
          </w:p>
        </w:tc>
        <w:tc>
          <w:tcPr>
            <w:tcW w:w="1541" w:type="dxa"/>
            <w:tcBorders>
              <w:left w:val="single" w:sz="2" w:space="0" w:color="231F20"/>
              <w:right w:val="single" w:sz="2" w:space="0" w:color="231F20"/>
            </w:tcBorders>
          </w:tcPr>
          <w:p>
            <w:pPr>
              <w:pStyle w:val="TableParagraph"/>
              <w:spacing w:before="18"/>
              <w:ind w:left="1"/>
              <w:jc w:val="center"/>
              <w:rPr>
                <w:sz w:val="17"/>
              </w:rPr>
            </w:pPr>
            <w:r>
              <w:rPr>
                <w:color w:val="231F20"/>
                <w:w w:val="97"/>
                <w:sz w:val="17"/>
              </w:rPr>
              <w:t>0</w:t>
            </w:r>
          </w:p>
        </w:tc>
        <w:tc>
          <w:tcPr>
            <w:tcW w:w="636" w:type="dxa"/>
            <w:tcBorders>
              <w:left w:val="single" w:sz="2" w:space="0" w:color="231F20"/>
              <w:right w:val="single" w:sz="12" w:space="0" w:color="231F20"/>
            </w:tcBorders>
          </w:tcPr>
          <w:p>
            <w:pPr>
              <w:pStyle w:val="TableParagraph"/>
              <w:spacing w:before="18"/>
              <w:ind w:left="91"/>
              <w:rPr>
                <w:sz w:val="17"/>
              </w:rPr>
            </w:pPr>
            <w:r>
              <w:rPr>
                <w:color w:val="231F20"/>
                <w:w w:val="97"/>
                <w:sz w:val="17"/>
              </w:rPr>
              <w:t>4</w:t>
            </w:r>
          </w:p>
        </w:tc>
      </w:tr>
      <w:tr>
        <w:trPr>
          <w:trHeight w:val="259"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sz w:val="17"/>
              </w:rPr>
              <w:t>Arquitectura</w:t>
            </w:r>
          </w:p>
        </w:tc>
        <w:tc>
          <w:tcPr>
            <w:tcW w:w="1783" w:type="dxa"/>
            <w:tcBorders>
              <w:left w:val="single" w:sz="4" w:space="0" w:color="231F20"/>
              <w:right w:val="single" w:sz="2" w:space="0" w:color="231F20"/>
            </w:tcBorders>
          </w:tcPr>
          <w:p>
            <w:pPr>
              <w:pStyle w:val="TableParagraph"/>
              <w:spacing w:before="23"/>
              <w:ind w:left="745" w:right="747"/>
              <w:jc w:val="center"/>
              <w:rPr>
                <w:sz w:val="17"/>
              </w:rPr>
            </w:pPr>
            <w:r>
              <w:rPr>
                <w:color w:val="231F20"/>
                <w:sz w:val="17"/>
              </w:rPr>
              <w:t>11</w:t>
            </w:r>
          </w:p>
        </w:tc>
        <w:tc>
          <w:tcPr>
            <w:tcW w:w="1541" w:type="dxa"/>
            <w:tcBorders>
              <w:left w:val="single" w:sz="2" w:space="0" w:color="231F20"/>
              <w:right w:val="single" w:sz="2" w:space="0" w:color="231F20"/>
            </w:tcBorders>
          </w:tcPr>
          <w:p>
            <w:pPr>
              <w:pStyle w:val="TableParagraph"/>
              <w:spacing w:before="23"/>
              <w:ind w:left="1"/>
              <w:jc w:val="center"/>
              <w:rPr>
                <w:sz w:val="17"/>
              </w:rPr>
            </w:pPr>
            <w:r>
              <w:rPr>
                <w:color w:val="231F20"/>
                <w:w w:val="97"/>
                <w:sz w:val="17"/>
              </w:rPr>
              <w:t>0</w:t>
            </w:r>
          </w:p>
        </w:tc>
        <w:tc>
          <w:tcPr>
            <w:tcW w:w="636" w:type="dxa"/>
            <w:tcBorders>
              <w:left w:val="single" w:sz="2" w:space="0" w:color="231F20"/>
              <w:right w:val="single" w:sz="12" w:space="0" w:color="231F20"/>
            </w:tcBorders>
          </w:tcPr>
          <w:p>
            <w:pPr>
              <w:pStyle w:val="TableParagraph"/>
              <w:spacing w:before="23"/>
              <w:ind w:left="91"/>
              <w:rPr>
                <w:sz w:val="17"/>
              </w:rPr>
            </w:pPr>
            <w:r>
              <w:rPr>
                <w:color w:val="231F20"/>
                <w:sz w:val="17"/>
              </w:rPr>
              <w:t>11</w:t>
            </w:r>
          </w:p>
        </w:tc>
      </w:tr>
      <w:tr>
        <w:trPr>
          <w:trHeight w:val="257"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sz w:val="17"/>
              </w:rPr>
              <w:t>Biología</w:t>
            </w:r>
          </w:p>
        </w:tc>
        <w:tc>
          <w:tcPr>
            <w:tcW w:w="1783" w:type="dxa"/>
            <w:tcBorders>
              <w:left w:val="single" w:sz="4" w:space="0" w:color="231F20"/>
              <w:right w:val="single" w:sz="2" w:space="0" w:color="231F20"/>
            </w:tcBorders>
          </w:tcPr>
          <w:p>
            <w:pPr>
              <w:pStyle w:val="TableParagraph"/>
              <w:spacing w:before="23"/>
              <w:ind w:left="0" w:right="3"/>
              <w:jc w:val="center"/>
              <w:rPr>
                <w:sz w:val="17"/>
              </w:rPr>
            </w:pPr>
            <w:r>
              <w:rPr>
                <w:color w:val="231F20"/>
                <w:w w:val="97"/>
                <w:sz w:val="17"/>
              </w:rPr>
              <w:t>3</w:t>
            </w:r>
          </w:p>
        </w:tc>
        <w:tc>
          <w:tcPr>
            <w:tcW w:w="1541" w:type="dxa"/>
            <w:tcBorders>
              <w:left w:val="single" w:sz="2" w:space="0" w:color="231F20"/>
              <w:right w:val="single" w:sz="2" w:space="0" w:color="231F20"/>
            </w:tcBorders>
          </w:tcPr>
          <w:p>
            <w:pPr>
              <w:pStyle w:val="TableParagraph"/>
              <w:spacing w:before="23"/>
              <w:ind w:left="1"/>
              <w:jc w:val="center"/>
              <w:rPr>
                <w:sz w:val="17"/>
              </w:rPr>
            </w:pPr>
            <w:r>
              <w:rPr>
                <w:color w:val="231F20"/>
                <w:w w:val="97"/>
                <w:sz w:val="17"/>
              </w:rPr>
              <w:t>0</w:t>
            </w:r>
          </w:p>
        </w:tc>
        <w:tc>
          <w:tcPr>
            <w:tcW w:w="636" w:type="dxa"/>
            <w:tcBorders>
              <w:left w:val="single" w:sz="2" w:space="0" w:color="231F20"/>
              <w:right w:val="single" w:sz="12" w:space="0" w:color="231F20"/>
            </w:tcBorders>
          </w:tcPr>
          <w:p>
            <w:pPr>
              <w:pStyle w:val="TableParagraph"/>
              <w:spacing w:before="23"/>
              <w:ind w:left="91"/>
              <w:rPr>
                <w:sz w:val="17"/>
              </w:rPr>
            </w:pPr>
            <w:r>
              <w:rPr>
                <w:color w:val="231F20"/>
                <w:w w:val="97"/>
                <w:sz w:val="17"/>
              </w:rPr>
              <w:t>3</w:t>
            </w:r>
          </w:p>
        </w:tc>
      </w:tr>
      <w:tr>
        <w:trPr>
          <w:trHeight w:val="482" w:hRule="exact"/>
        </w:trPr>
        <w:tc>
          <w:tcPr>
            <w:tcW w:w="1843" w:type="dxa"/>
            <w:tcBorders>
              <w:left w:val="single" w:sz="4" w:space="0" w:color="231F20"/>
              <w:right w:val="single" w:sz="4" w:space="0" w:color="231F20"/>
            </w:tcBorders>
          </w:tcPr>
          <w:p>
            <w:pPr>
              <w:pStyle w:val="TableParagraph"/>
              <w:spacing w:line="295" w:lineRule="auto" w:before="11"/>
              <w:ind w:left="86" w:right="250"/>
              <w:rPr>
                <w:sz w:val="17"/>
              </w:rPr>
            </w:pPr>
            <w:r>
              <w:rPr>
                <w:color w:val="231F20"/>
                <w:sz w:val="17"/>
              </w:rPr>
              <w:t>Ciencias de la Educa- ción</w:t>
            </w:r>
          </w:p>
        </w:tc>
        <w:tc>
          <w:tcPr>
            <w:tcW w:w="1783" w:type="dxa"/>
            <w:tcBorders>
              <w:left w:val="single" w:sz="4" w:space="0" w:color="231F20"/>
              <w:right w:val="single" w:sz="2" w:space="0" w:color="231F20"/>
            </w:tcBorders>
          </w:tcPr>
          <w:p>
            <w:pPr>
              <w:pStyle w:val="TableParagraph"/>
              <w:spacing w:before="131"/>
              <w:ind w:left="745" w:right="747"/>
              <w:jc w:val="center"/>
              <w:rPr>
                <w:sz w:val="17"/>
              </w:rPr>
            </w:pPr>
            <w:r>
              <w:rPr>
                <w:color w:val="231F20"/>
                <w:sz w:val="17"/>
              </w:rPr>
              <w:t>12</w:t>
            </w:r>
          </w:p>
        </w:tc>
        <w:tc>
          <w:tcPr>
            <w:tcW w:w="1541" w:type="dxa"/>
            <w:tcBorders>
              <w:left w:val="single" w:sz="2" w:space="0" w:color="231F20"/>
              <w:right w:val="single" w:sz="2" w:space="0" w:color="231F20"/>
            </w:tcBorders>
          </w:tcPr>
          <w:p>
            <w:pPr>
              <w:pStyle w:val="TableParagraph"/>
              <w:spacing w:before="131"/>
              <w:ind w:left="1"/>
              <w:jc w:val="center"/>
              <w:rPr>
                <w:sz w:val="17"/>
              </w:rPr>
            </w:pPr>
            <w:r>
              <w:rPr>
                <w:color w:val="231F20"/>
                <w:w w:val="97"/>
                <w:sz w:val="17"/>
              </w:rPr>
              <w:t>0</w:t>
            </w:r>
          </w:p>
        </w:tc>
        <w:tc>
          <w:tcPr>
            <w:tcW w:w="636" w:type="dxa"/>
            <w:tcBorders>
              <w:left w:val="single" w:sz="2" w:space="0" w:color="231F20"/>
              <w:right w:val="single" w:sz="12" w:space="0" w:color="231F20"/>
            </w:tcBorders>
          </w:tcPr>
          <w:p>
            <w:pPr>
              <w:pStyle w:val="TableParagraph"/>
              <w:spacing w:before="131"/>
              <w:ind w:left="91"/>
              <w:rPr>
                <w:sz w:val="17"/>
              </w:rPr>
            </w:pPr>
            <w:r>
              <w:rPr>
                <w:color w:val="231F20"/>
                <w:sz w:val="17"/>
              </w:rPr>
              <w:t>12</w:t>
            </w:r>
          </w:p>
        </w:tc>
      </w:tr>
      <w:tr>
        <w:trPr>
          <w:trHeight w:val="254" w:hRule="exact"/>
        </w:trPr>
        <w:tc>
          <w:tcPr>
            <w:tcW w:w="1843" w:type="dxa"/>
            <w:tcBorders>
              <w:left w:val="single" w:sz="4" w:space="0" w:color="231F20"/>
              <w:right w:val="single" w:sz="4" w:space="0" w:color="231F20"/>
            </w:tcBorders>
          </w:tcPr>
          <w:p>
            <w:pPr>
              <w:pStyle w:val="TableParagraph"/>
              <w:spacing w:before="8"/>
              <w:ind w:left="86" w:right="30"/>
              <w:rPr>
                <w:sz w:val="17"/>
              </w:rPr>
            </w:pPr>
            <w:r>
              <w:rPr>
                <w:color w:val="231F20"/>
                <w:sz w:val="17"/>
              </w:rPr>
              <w:t>Cirujano dentista</w:t>
            </w:r>
          </w:p>
        </w:tc>
        <w:tc>
          <w:tcPr>
            <w:tcW w:w="1783" w:type="dxa"/>
            <w:tcBorders>
              <w:left w:val="single" w:sz="4" w:space="0" w:color="231F20"/>
              <w:right w:val="single" w:sz="2" w:space="0" w:color="231F20"/>
            </w:tcBorders>
          </w:tcPr>
          <w:p>
            <w:pPr>
              <w:pStyle w:val="TableParagraph"/>
              <w:spacing w:before="18"/>
              <w:ind w:left="0" w:right="3"/>
              <w:jc w:val="center"/>
              <w:rPr>
                <w:sz w:val="17"/>
              </w:rPr>
            </w:pPr>
            <w:r>
              <w:rPr>
                <w:color w:val="231F20"/>
                <w:w w:val="97"/>
                <w:sz w:val="17"/>
              </w:rPr>
              <w:t>5</w:t>
            </w:r>
          </w:p>
        </w:tc>
        <w:tc>
          <w:tcPr>
            <w:tcW w:w="1541" w:type="dxa"/>
            <w:tcBorders>
              <w:left w:val="single" w:sz="2" w:space="0" w:color="231F20"/>
              <w:right w:val="single" w:sz="2" w:space="0" w:color="231F20"/>
            </w:tcBorders>
          </w:tcPr>
          <w:p>
            <w:pPr>
              <w:pStyle w:val="TableParagraph"/>
              <w:spacing w:before="18"/>
              <w:ind w:left="1"/>
              <w:jc w:val="center"/>
              <w:rPr>
                <w:sz w:val="17"/>
              </w:rPr>
            </w:pPr>
            <w:r>
              <w:rPr>
                <w:color w:val="231F20"/>
                <w:w w:val="97"/>
                <w:sz w:val="17"/>
              </w:rPr>
              <w:t>0</w:t>
            </w:r>
          </w:p>
        </w:tc>
        <w:tc>
          <w:tcPr>
            <w:tcW w:w="636" w:type="dxa"/>
            <w:tcBorders>
              <w:left w:val="single" w:sz="2" w:space="0" w:color="231F20"/>
              <w:right w:val="single" w:sz="12" w:space="0" w:color="231F20"/>
            </w:tcBorders>
          </w:tcPr>
          <w:p>
            <w:pPr>
              <w:pStyle w:val="TableParagraph"/>
              <w:spacing w:before="18"/>
              <w:ind w:left="91"/>
              <w:rPr>
                <w:sz w:val="17"/>
              </w:rPr>
            </w:pPr>
            <w:r>
              <w:rPr>
                <w:color w:val="231F20"/>
                <w:w w:val="97"/>
                <w:sz w:val="17"/>
              </w:rPr>
              <w:t>5</w:t>
            </w:r>
          </w:p>
        </w:tc>
      </w:tr>
      <w:tr>
        <w:trPr>
          <w:trHeight w:val="257"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sz w:val="17"/>
              </w:rPr>
              <w:t>Computación</w:t>
            </w:r>
          </w:p>
        </w:tc>
        <w:tc>
          <w:tcPr>
            <w:tcW w:w="1783" w:type="dxa"/>
            <w:tcBorders>
              <w:left w:val="single" w:sz="4" w:space="0" w:color="231F20"/>
              <w:right w:val="single" w:sz="2" w:space="0" w:color="231F20"/>
            </w:tcBorders>
          </w:tcPr>
          <w:p>
            <w:pPr>
              <w:pStyle w:val="TableParagraph"/>
              <w:spacing w:before="23"/>
              <w:ind w:left="0" w:right="3"/>
              <w:jc w:val="center"/>
              <w:rPr>
                <w:sz w:val="17"/>
              </w:rPr>
            </w:pPr>
            <w:r>
              <w:rPr>
                <w:color w:val="231F20"/>
                <w:w w:val="97"/>
                <w:sz w:val="17"/>
              </w:rPr>
              <w:t>2</w:t>
            </w:r>
          </w:p>
        </w:tc>
        <w:tc>
          <w:tcPr>
            <w:tcW w:w="1541" w:type="dxa"/>
            <w:tcBorders>
              <w:left w:val="single" w:sz="2" w:space="0" w:color="231F20"/>
              <w:right w:val="single" w:sz="2" w:space="0" w:color="231F20"/>
            </w:tcBorders>
          </w:tcPr>
          <w:p>
            <w:pPr>
              <w:pStyle w:val="TableParagraph"/>
              <w:spacing w:before="23"/>
              <w:ind w:left="1"/>
              <w:jc w:val="center"/>
              <w:rPr>
                <w:sz w:val="17"/>
              </w:rPr>
            </w:pPr>
            <w:r>
              <w:rPr>
                <w:color w:val="231F20"/>
                <w:w w:val="97"/>
                <w:sz w:val="17"/>
              </w:rPr>
              <w:t>0</w:t>
            </w:r>
          </w:p>
        </w:tc>
        <w:tc>
          <w:tcPr>
            <w:tcW w:w="636" w:type="dxa"/>
            <w:tcBorders>
              <w:left w:val="single" w:sz="2" w:space="0" w:color="231F20"/>
              <w:right w:val="single" w:sz="12" w:space="0" w:color="231F20"/>
            </w:tcBorders>
          </w:tcPr>
          <w:p>
            <w:pPr>
              <w:pStyle w:val="TableParagraph"/>
              <w:spacing w:before="23"/>
              <w:ind w:left="91"/>
              <w:rPr>
                <w:sz w:val="17"/>
              </w:rPr>
            </w:pPr>
            <w:r>
              <w:rPr>
                <w:color w:val="231F20"/>
                <w:w w:val="97"/>
                <w:sz w:val="17"/>
              </w:rPr>
              <w:t>2</w:t>
            </w:r>
          </w:p>
        </w:tc>
      </w:tr>
      <w:tr>
        <w:trPr>
          <w:trHeight w:val="257" w:hRule="exact"/>
        </w:trPr>
        <w:tc>
          <w:tcPr>
            <w:tcW w:w="1843" w:type="dxa"/>
            <w:tcBorders>
              <w:left w:val="single" w:sz="4" w:space="0" w:color="231F20"/>
              <w:right w:val="single" w:sz="4" w:space="0" w:color="231F20"/>
            </w:tcBorders>
          </w:tcPr>
          <w:p>
            <w:pPr>
              <w:pStyle w:val="TableParagraph"/>
              <w:spacing w:before="11"/>
              <w:ind w:left="86" w:right="30"/>
              <w:rPr>
                <w:sz w:val="17"/>
              </w:rPr>
            </w:pPr>
            <w:r>
              <w:rPr>
                <w:color w:val="231F20"/>
                <w:sz w:val="17"/>
              </w:rPr>
              <w:t>Contaduría Pública</w:t>
            </w:r>
          </w:p>
        </w:tc>
        <w:tc>
          <w:tcPr>
            <w:tcW w:w="1783" w:type="dxa"/>
            <w:tcBorders>
              <w:left w:val="single" w:sz="4" w:space="0" w:color="231F20"/>
              <w:right w:val="single" w:sz="2" w:space="0" w:color="231F20"/>
            </w:tcBorders>
          </w:tcPr>
          <w:p>
            <w:pPr>
              <w:pStyle w:val="TableParagraph"/>
              <w:spacing w:before="20"/>
              <w:ind w:left="745" w:right="747"/>
              <w:jc w:val="center"/>
              <w:rPr>
                <w:sz w:val="17"/>
              </w:rPr>
            </w:pPr>
            <w:r>
              <w:rPr>
                <w:color w:val="231F20"/>
                <w:sz w:val="17"/>
              </w:rPr>
              <w:t>17</w:t>
            </w:r>
          </w:p>
        </w:tc>
        <w:tc>
          <w:tcPr>
            <w:tcW w:w="1541" w:type="dxa"/>
            <w:tcBorders>
              <w:left w:val="single" w:sz="2" w:space="0" w:color="231F20"/>
              <w:right w:val="single" w:sz="2" w:space="0" w:color="231F20"/>
            </w:tcBorders>
          </w:tcPr>
          <w:p>
            <w:pPr>
              <w:pStyle w:val="TableParagraph"/>
              <w:spacing w:before="20"/>
              <w:ind w:left="1"/>
              <w:jc w:val="center"/>
              <w:rPr>
                <w:sz w:val="17"/>
              </w:rPr>
            </w:pPr>
            <w:r>
              <w:rPr>
                <w:color w:val="231F20"/>
                <w:w w:val="97"/>
                <w:sz w:val="17"/>
              </w:rPr>
              <w:t>0</w:t>
            </w:r>
          </w:p>
        </w:tc>
        <w:tc>
          <w:tcPr>
            <w:tcW w:w="636" w:type="dxa"/>
            <w:tcBorders>
              <w:left w:val="single" w:sz="2" w:space="0" w:color="231F20"/>
              <w:right w:val="single" w:sz="12" w:space="0" w:color="231F20"/>
            </w:tcBorders>
          </w:tcPr>
          <w:p>
            <w:pPr>
              <w:pStyle w:val="TableParagraph"/>
              <w:spacing w:before="20"/>
              <w:ind w:left="91"/>
              <w:rPr>
                <w:sz w:val="17"/>
              </w:rPr>
            </w:pPr>
            <w:r>
              <w:rPr>
                <w:color w:val="231F20"/>
                <w:sz w:val="17"/>
              </w:rPr>
              <w:t>17</w:t>
            </w:r>
          </w:p>
        </w:tc>
      </w:tr>
      <w:tr>
        <w:trPr>
          <w:trHeight w:val="257" w:hRule="exact"/>
        </w:trPr>
        <w:tc>
          <w:tcPr>
            <w:tcW w:w="1843" w:type="dxa"/>
            <w:tcBorders>
              <w:left w:val="single" w:sz="4" w:space="0" w:color="231F20"/>
              <w:right w:val="single" w:sz="4" w:space="0" w:color="231F20"/>
            </w:tcBorders>
          </w:tcPr>
          <w:p>
            <w:pPr>
              <w:pStyle w:val="TableParagraph"/>
              <w:spacing w:before="13"/>
              <w:ind w:left="86" w:right="30"/>
              <w:rPr>
                <w:sz w:val="17"/>
              </w:rPr>
            </w:pPr>
            <w:r>
              <w:rPr>
                <w:color w:val="231F20"/>
                <w:w w:val="105"/>
                <w:sz w:val="17"/>
              </w:rPr>
              <w:t>Derecho</w:t>
            </w:r>
          </w:p>
        </w:tc>
        <w:tc>
          <w:tcPr>
            <w:tcW w:w="1783" w:type="dxa"/>
            <w:tcBorders>
              <w:left w:val="single" w:sz="4" w:space="0" w:color="231F20"/>
              <w:right w:val="single" w:sz="2" w:space="0" w:color="231F20"/>
            </w:tcBorders>
          </w:tcPr>
          <w:p>
            <w:pPr>
              <w:pStyle w:val="TableParagraph"/>
              <w:spacing w:before="23"/>
              <w:ind w:left="745" w:right="747"/>
              <w:jc w:val="center"/>
              <w:rPr>
                <w:sz w:val="17"/>
              </w:rPr>
            </w:pPr>
            <w:r>
              <w:rPr>
                <w:color w:val="231F20"/>
                <w:sz w:val="17"/>
              </w:rPr>
              <w:t>27</w:t>
            </w:r>
          </w:p>
        </w:tc>
        <w:tc>
          <w:tcPr>
            <w:tcW w:w="1541" w:type="dxa"/>
            <w:tcBorders>
              <w:left w:val="single" w:sz="2" w:space="0" w:color="231F20"/>
              <w:right w:val="single" w:sz="2" w:space="0" w:color="231F20"/>
            </w:tcBorders>
          </w:tcPr>
          <w:p>
            <w:pPr>
              <w:pStyle w:val="TableParagraph"/>
              <w:spacing w:before="23"/>
              <w:ind w:left="1"/>
              <w:jc w:val="center"/>
              <w:rPr>
                <w:sz w:val="17"/>
              </w:rPr>
            </w:pPr>
            <w:r>
              <w:rPr>
                <w:color w:val="231F20"/>
                <w:w w:val="97"/>
                <w:sz w:val="17"/>
              </w:rPr>
              <w:t>5</w:t>
            </w:r>
          </w:p>
        </w:tc>
        <w:tc>
          <w:tcPr>
            <w:tcW w:w="636" w:type="dxa"/>
            <w:tcBorders>
              <w:left w:val="single" w:sz="2" w:space="0" w:color="231F20"/>
              <w:right w:val="single" w:sz="12" w:space="0" w:color="231F20"/>
            </w:tcBorders>
          </w:tcPr>
          <w:p>
            <w:pPr>
              <w:pStyle w:val="TableParagraph"/>
              <w:spacing w:before="23"/>
              <w:ind w:left="91"/>
              <w:rPr>
                <w:sz w:val="17"/>
              </w:rPr>
            </w:pPr>
            <w:r>
              <w:rPr>
                <w:color w:val="231F20"/>
                <w:sz w:val="17"/>
              </w:rPr>
              <w:t>32</w:t>
            </w:r>
          </w:p>
        </w:tc>
      </w:tr>
      <w:tr>
        <w:trPr>
          <w:trHeight w:val="257" w:hRule="exact"/>
        </w:trPr>
        <w:tc>
          <w:tcPr>
            <w:tcW w:w="1843" w:type="dxa"/>
            <w:tcBorders>
              <w:left w:val="single" w:sz="4" w:space="0" w:color="231F20"/>
              <w:right w:val="single" w:sz="4" w:space="0" w:color="231F20"/>
            </w:tcBorders>
          </w:tcPr>
          <w:p>
            <w:pPr>
              <w:pStyle w:val="TableParagraph"/>
              <w:spacing w:before="11"/>
              <w:ind w:left="86" w:right="30"/>
              <w:rPr>
                <w:sz w:val="17"/>
              </w:rPr>
            </w:pPr>
            <w:r>
              <w:rPr>
                <w:color w:val="231F20"/>
                <w:sz w:val="17"/>
              </w:rPr>
              <w:t>Economía</w:t>
            </w:r>
          </w:p>
        </w:tc>
        <w:tc>
          <w:tcPr>
            <w:tcW w:w="1783" w:type="dxa"/>
            <w:tcBorders>
              <w:left w:val="single" w:sz="4" w:space="0" w:color="231F20"/>
              <w:right w:val="single" w:sz="2" w:space="0" w:color="231F20"/>
            </w:tcBorders>
          </w:tcPr>
          <w:p>
            <w:pPr>
              <w:pStyle w:val="TableParagraph"/>
              <w:spacing w:before="20"/>
              <w:ind w:left="0" w:right="3"/>
              <w:jc w:val="center"/>
              <w:rPr>
                <w:sz w:val="17"/>
              </w:rPr>
            </w:pPr>
            <w:r>
              <w:rPr>
                <w:color w:val="231F20"/>
                <w:w w:val="97"/>
                <w:sz w:val="17"/>
              </w:rPr>
              <w:t>2</w:t>
            </w:r>
          </w:p>
        </w:tc>
        <w:tc>
          <w:tcPr>
            <w:tcW w:w="1541" w:type="dxa"/>
            <w:tcBorders>
              <w:left w:val="single" w:sz="2" w:space="0" w:color="231F20"/>
              <w:right w:val="single" w:sz="2" w:space="0" w:color="231F20"/>
            </w:tcBorders>
          </w:tcPr>
          <w:p>
            <w:pPr>
              <w:pStyle w:val="TableParagraph"/>
              <w:spacing w:before="20"/>
              <w:ind w:left="1"/>
              <w:jc w:val="center"/>
              <w:rPr>
                <w:sz w:val="17"/>
              </w:rPr>
            </w:pPr>
            <w:r>
              <w:rPr>
                <w:color w:val="231F20"/>
                <w:w w:val="97"/>
                <w:sz w:val="17"/>
              </w:rPr>
              <w:t>0</w:t>
            </w:r>
          </w:p>
        </w:tc>
        <w:tc>
          <w:tcPr>
            <w:tcW w:w="636" w:type="dxa"/>
            <w:tcBorders>
              <w:left w:val="single" w:sz="2" w:space="0" w:color="231F20"/>
              <w:right w:val="single" w:sz="12" w:space="0" w:color="231F20"/>
            </w:tcBorders>
          </w:tcPr>
          <w:p>
            <w:pPr>
              <w:pStyle w:val="TableParagraph"/>
              <w:spacing w:before="20"/>
              <w:ind w:left="91"/>
              <w:rPr>
                <w:sz w:val="17"/>
              </w:rPr>
            </w:pPr>
            <w:r>
              <w:rPr>
                <w:color w:val="231F20"/>
                <w:w w:val="97"/>
                <w:sz w:val="17"/>
              </w:rPr>
              <w:t>2</w:t>
            </w:r>
          </w:p>
        </w:tc>
      </w:tr>
      <w:tr>
        <w:trPr>
          <w:trHeight w:val="485" w:hRule="exact"/>
        </w:trPr>
        <w:tc>
          <w:tcPr>
            <w:tcW w:w="1843" w:type="dxa"/>
            <w:tcBorders>
              <w:left w:val="single" w:sz="4" w:space="0" w:color="231F20"/>
              <w:right w:val="single" w:sz="4" w:space="0" w:color="231F20"/>
            </w:tcBorders>
          </w:tcPr>
          <w:p>
            <w:pPr>
              <w:pStyle w:val="TableParagraph"/>
              <w:spacing w:line="295" w:lineRule="auto" w:before="13"/>
              <w:ind w:left="86" w:right="30"/>
              <w:rPr>
                <w:sz w:val="17"/>
              </w:rPr>
            </w:pPr>
            <w:r>
              <w:rPr>
                <w:color w:val="231F20"/>
                <w:sz w:val="17"/>
              </w:rPr>
              <w:t>Enfermería y Obstetri- cia</w:t>
            </w:r>
          </w:p>
        </w:tc>
        <w:tc>
          <w:tcPr>
            <w:tcW w:w="1783" w:type="dxa"/>
            <w:tcBorders>
              <w:left w:val="single" w:sz="4" w:space="0" w:color="231F20"/>
              <w:right w:val="single" w:sz="2" w:space="0" w:color="231F20"/>
            </w:tcBorders>
          </w:tcPr>
          <w:p>
            <w:pPr>
              <w:pStyle w:val="TableParagraph"/>
              <w:spacing w:before="133"/>
              <w:ind w:left="0" w:right="3"/>
              <w:jc w:val="center"/>
              <w:rPr>
                <w:sz w:val="17"/>
              </w:rPr>
            </w:pPr>
            <w:r>
              <w:rPr>
                <w:color w:val="231F20"/>
                <w:w w:val="97"/>
                <w:sz w:val="17"/>
              </w:rPr>
              <w:t>7</w:t>
            </w:r>
          </w:p>
        </w:tc>
        <w:tc>
          <w:tcPr>
            <w:tcW w:w="1541" w:type="dxa"/>
            <w:tcBorders>
              <w:left w:val="single" w:sz="2" w:space="0" w:color="231F20"/>
              <w:right w:val="single" w:sz="2" w:space="0" w:color="231F20"/>
            </w:tcBorders>
          </w:tcPr>
          <w:p>
            <w:pPr>
              <w:pStyle w:val="TableParagraph"/>
              <w:spacing w:before="133"/>
              <w:ind w:left="1"/>
              <w:jc w:val="center"/>
              <w:rPr>
                <w:sz w:val="17"/>
              </w:rPr>
            </w:pPr>
            <w:r>
              <w:rPr>
                <w:color w:val="231F20"/>
                <w:w w:val="97"/>
                <w:sz w:val="17"/>
              </w:rPr>
              <w:t>0</w:t>
            </w:r>
          </w:p>
        </w:tc>
        <w:tc>
          <w:tcPr>
            <w:tcW w:w="636" w:type="dxa"/>
            <w:tcBorders>
              <w:left w:val="single" w:sz="2" w:space="0" w:color="231F20"/>
              <w:right w:val="single" w:sz="12" w:space="0" w:color="231F20"/>
            </w:tcBorders>
          </w:tcPr>
          <w:p>
            <w:pPr>
              <w:pStyle w:val="TableParagraph"/>
              <w:spacing w:before="133"/>
              <w:ind w:left="91"/>
              <w:rPr>
                <w:sz w:val="17"/>
              </w:rPr>
            </w:pPr>
            <w:r>
              <w:rPr>
                <w:color w:val="231F20"/>
                <w:w w:val="97"/>
                <w:sz w:val="17"/>
              </w:rPr>
              <w:t>7</w:t>
            </w:r>
          </w:p>
        </w:tc>
      </w:tr>
      <w:tr>
        <w:trPr>
          <w:trHeight w:val="480" w:hRule="exact"/>
        </w:trPr>
        <w:tc>
          <w:tcPr>
            <w:tcW w:w="1843" w:type="dxa"/>
            <w:tcBorders>
              <w:left w:val="single" w:sz="4" w:space="0" w:color="231F20"/>
              <w:right w:val="single" w:sz="4" w:space="0" w:color="231F20"/>
            </w:tcBorders>
          </w:tcPr>
          <w:p>
            <w:pPr>
              <w:pStyle w:val="TableParagraph"/>
              <w:spacing w:line="295" w:lineRule="auto" w:before="8"/>
              <w:ind w:left="86" w:right="30"/>
              <w:rPr>
                <w:sz w:val="17"/>
              </w:rPr>
            </w:pPr>
            <w:r>
              <w:rPr>
                <w:color w:val="231F20"/>
                <w:sz w:val="17"/>
              </w:rPr>
              <w:t>Medicina veterinaria y Zootecnia</w:t>
            </w:r>
          </w:p>
        </w:tc>
        <w:tc>
          <w:tcPr>
            <w:tcW w:w="1783" w:type="dxa"/>
            <w:tcBorders>
              <w:left w:val="single" w:sz="4" w:space="0" w:color="231F20"/>
              <w:right w:val="single" w:sz="2" w:space="0" w:color="231F20"/>
            </w:tcBorders>
          </w:tcPr>
          <w:p>
            <w:pPr>
              <w:pStyle w:val="TableParagraph"/>
              <w:spacing w:before="128"/>
              <w:ind w:left="0" w:right="3"/>
              <w:jc w:val="center"/>
              <w:rPr>
                <w:sz w:val="17"/>
              </w:rPr>
            </w:pPr>
            <w:r>
              <w:rPr>
                <w:color w:val="231F20"/>
                <w:w w:val="97"/>
                <w:sz w:val="17"/>
              </w:rPr>
              <w:t>8</w:t>
            </w:r>
          </w:p>
        </w:tc>
        <w:tc>
          <w:tcPr>
            <w:tcW w:w="1541" w:type="dxa"/>
            <w:tcBorders>
              <w:left w:val="single" w:sz="2" w:space="0" w:color="231F20"/>
              <w:right w:val="single" w:sz="2" w:space="0" w:color="231F20"/>
            </w:tcBorders>
          </w:tcPr>
          <w:p>
            <w:pPr>
              <w:pStyle w:val="TableParagraph"/>
              <w:spacing w:before="128"/>
              <w:ind w:left="1"/>
              <w:jc w:val="center"/>
              <w:rPr>
                <w:sz w:val="17"/>
              </w:rPr>
            </w:pPr>
            <w:r>
              <w:rPr>
                <w:color w:val="231F20"/>
                <w:w w:val="97"/>
                <w:sz w:val="17"/>
              </w:rPr>
              <w:t>0</w:t>
            </w:r>
          </w:p>
        </w:tc>
        <w:tc>
          <w:tcPr>
            <w:tcW w:w="636" w:type="dxa"/>
            <w:tcBorders>
              <w:left w:val="single" w:sz="2" w:space="0" w:color="231F20"/>
              <w:right w:val="single" w:sz="12" w:space="0" w:color="231F20"/>
            </w:tcBorders>
          </w:tcPr>
          <w:p>
            <w:pPr>
              <w:pStyle w:val="TableParagraph"/>
              <w:spacing w:before="128"/>
              <w:ind w:left="91"/>
              <w:rPr>
                <w:sz w:val="17"/>
              </w:rPr>
            </w:pPr>
            <w:r>
              <w:rPr>
                <w:color w:val="231F20"/>
                <w:w w:val="97"/>
                <w:sz w:val="17"/>
              </w:rPr>
              <w:t>8</w:t>
            </w:r>
          </w:p>
        </w:tc>
      </w:tr>
      <w:tr>
        <w:trPr>
          <w:trHeight w:val="254" w:hRule="exact"/>
        </w:trPr>
        <w:tc>
          <w:tcPr>
            <w:tcW w:w="1843" w:type="dxa"/>
            <w:tcBorders>
              <w:left w:val="single" w:sz="4" w:space="0" w:color="231F20"/>
              <w:right w:val="single" w:sz="4" w:space="0" w:color="231F20"/>
            </w:tcBorders>
          </w:tcPr>
          <w:p>
            <w:pPr>
              <w:pStyle w:val="TableParagraph"/>
              <w:spacing w:before="8"/>
              <w:ind w:left="86" w:right="30"/>
              <w:rPr>
                <w:sz w:val="17"/>
              </w:rPr>
            </w:pPr>
            <w:r>
              <w:rPr>
                <w:color w:val="231F20"/>
                <w:sz w:val="17"/>
              </w:rPr>
              <w:t>Odontología</w:t>
            </w:r>
          </w:p>
        </w:tc>
        <w:tc>
          <w:tcPr>
            <w:tcW w:w="1783" w:type="dxa"/>
            <w:tcBorders>
              <w:left w:val="single" w:sz="4" w:space="0" w:color="231F20"/>
              <w:right w:val="single" w:sz="2" w:space="0" w:color="231F20"/>
            </w:tcBorders>
          </w:tcPr>
          <w:p>
            <w:pPr>
              <w:pStyle w:val="TableParagraph"/>
              <w:spacing w:before="18"/>
              <w:ind w:left="0" w:right="3"/>
              <w:jc w:val="center"/>
              <w:rPr>
                <w:sz w:val="17"/>
              </w:rPr>
            </w:pPr>
            <w:r>
              <w:rPr>
                <w:color w:val="231F20"/>
                <w:w w:val="97"/>
                <w:sz w:val="17"/>
              </w:rPr>
              <w:t>7</w:t>
            </w:r>
          </w:p>
        </w:tc>
        <w:tc>
          <w:tcPr>
            <w:tcW w:w="1541" w:type="dxa"/>
            <w:tcBorders>
              <w:left w:val="single" w:sz="2" w:space="0" w:color="231F20"/>
              <w:right w:val="single" w:sz="2" w:space="0" w:color="231F20"/>
            </w:tcBorders>
          </w:tcPr>
          <w:p>
            <w:pPr>
              <w:pStyle w:val="TableParagraph"/>
              <w:spacing w:before="18"/>
              <w:ind w:left="1"/>
              <w:jc w:val="center"/>
              <w:rPr>
                <w:sz w:val="17"/>
              </w:rPr>
            </w:pPr>
            <w:r>
              <w:rPr>
                <w:color w:val="231F20"/>
                <w:w w:val="97"/>
                <w:sz w:val="17"/>
              </w:rPr>
              <w:t>0</w:t>
            </w:r>
          </w:p>
        </w:tc>
        <w:tc>
          <w:tcPr>
            <w:tcW w:w="636" w:type="dxa"/>
            <w:tcBorders>
              <w:left w:val="single" w:sz="2" w:space="0" w:color="231F20"/>
              <w:right w:val="single" w:sz="12" w:space="0" w:color="231F20"/>
            </w:tcBorders>
          </w:tcPr>
          <w:p>
            <w:pPr>
              <w:pStyle w:val="TableParagraph"/>
              <w:spacing w:before="18"/>
              <w:ind w:left="91"/>
              <w:rPr>
                <w:sz w:val="17"/>
              </w:rPr>
            </w:pPr>
            <w:r>
              <w:rPr>
                <w:color w:val="231F20"/>
                <w:w w:val="97"/>
                <w:sz w:val="17"/>
              </w:rPr>
              <w:t>7</w:t>
            </w:r>
          </w:p>
        </w:tc>
      </w:tr>
      <w:tr>
        <w:trPr>
          <w:trHeight w:val="465" w:hRule="exact"/>
        </w:trPr>
        <w:tc>
          <w:tcPr>
            <w:tcW w:w="1843" w:type="dxa"/>
            <w:tcBorders>
              <w:left w:val="single" w:sz="4" w:space="0" w:color="231F20"/>
              <w:bottom w:val="single" w:sz="4" w:space="0" w:color="231F20"/>
              <w:right w:val="single" w:sz="4" w:space="0" w:color="231F20"/>
            </w:tcBorders>
          </w:tcPr>
          <w:p>
            <w:pPr>
              <w:pStyle w:val="TableParagraph"/>
              <w:spacing w:line="295" w:lineRule="auto" w:before="13"/>
              <w:ind w:left="86" w:right="30"/>
              <w:rPr>
                <w:sz w:val="17"/>
              </w:rPr>
            </w:pPr>
            <w:r>
              <w:rPr>
                <w:color w:val="231F20"/>
                <w:sz w:val="17"/>
              </w:rPr>
              <w:t>Químico Biólogo Farmacéutico</w:t>
            </w:r>
          </w:p>
        </w:tc>
        <w:tc>
          <w:tcPr>
            <w:tcW w:w="1783" w:type="dxa"/>
            <w:tcBorders>
              <w:left w:val="single" w:sz="4" w:space="0" w:color="231F20"/>
              <w:bottom w:val="single" w:sz="4" w:space="0" w:color="231F20"/>
              <w:right w:val="single" w:sz="2" w:space="0" w:color="231F20"/>
            </w:tcBorders>
          </w:tcPr>
          <w:p>
            <w:pPr>
              <w:pStyle w:val="TableParagraph"/>
              <w:spacing w:before="133"/>
              <w:ind w:left="0" w:right="3"/>
              <w:jc w:val="center"/>
              <w:rPr>
                <w:sz w:val="17"/>
              </w:rPr>
            </w:pPr>
            <w:r>
              <w:rPr>
                <w:color w:val="231F20"/>
                <w:w w:val="97"/>
                <w:sz w:val="17"/>
              </w:rPr>
              <w:t>4</w:t>
            </w:r>
          </w:p>
        </w:tc>
        <w:tc>
          <w:tcPr>
            <w:tcW w:w="1541" w:type="dxa"/>
            <w:tcBorders>
              <w:left w:val="single" w:sz="2" w:space="0" w:color="231F20"/>
              <w:bottom w:val="single" w:sz="4" w:space="0" w:color="231F20"/>
              <w:right w:val="single" w:sz="2" w:space="0" w:color="231F20"/>
            </w:tcBorders>
          </w:tcPr>
          <w:p>
            <w:pPr>
              <w:pStyle w:val="TableParagraph"/>
              <w:spacing w:before="133"/>
              <w:ind w:left="1"/>
              <w:jc w:val="center"/>
              <w:rPr>
                <w:sz w:val="17"/>
              </w:rPr>
            </w:pPr>
            <w:r>
              <w:rPr>
                <w:color w:val="231F20"/>
                <w:w w:val="97"/>
                <w:sz w:val="17"/>
              </w:rPr>
              <w:t>0</w:t>
            </w:r>
          </w:p>
        </w:tc>
        <w:tc>
          <w:tcPr>
            <w:tcW w:w="636" w:type="dxa"/>
            <w:tcBorders>
              <w:left w:val="single" w:sz="2" w:space="0" w:color="231F20"/>
              <w:bottom w:val="single" w:sz="4" w:space="0" w:color="231F20"/>
              <w:right w:val="single" w:sz="12" w:space="0" w:color="231F20"/>
            </w:tcBorders>
          </w:tcPr>
          <w:p>
            <w:pPr>
              <w:pStyle w:val="TableParagraph"/>
              <w:spacing w:before="133"/>
              <w:ind w:left="91"/>
              <w:rPr>
                <w:sz w:val="17"/>
              </w:rPr>
            </w:pPr>
            <w:r>
              <w:rPr>
                <w:color w:val="231F20"/>
                <w:w w:val="97"/>
                <w:sz w:val="17"/>
              </w:rPr>
              <w:t>4</w:t>
            </w:r>
          </w:p>
        </w:tc>
      </w:tr>
      <w:tr>
        <w:trPr>
          <w:trHeight w:val="264" w:hRule="exact"/>
        </w:trPr>
        <w:tc>
          <w:tcPr>
            <w:tcW w:w="1843" w:type="dxa"/>
            <w:tcBorders>
              <w:top w:val="single" w:sz="4" w:space="0" w:color="231F20"/>
              <w:left w:val="single" w:sz="4" w:space="0" w:color="231F20"/>
              <w:bottom w:val="single" w:sz="4" w:space="0" w:color="231F20"/>
              <w:right w:val="single" w:sz="4" w:space="0" w:color="231F20"/>
            </w:tcBorders>
          </w:tcPr>
          <w:p>
            <w:pPr>
              <w:pStyle w:val="TableParagraph"/>
              <w:spacing w:before="33"/>
              <w:ind w:left="86" w:right="30"/>
              <w:rPr>
                <w:b/>
                <w:sz w:val="17"/>
              </w:rPr>
            </w:pPr>
            <w:r>
              <w:rPr>
                <w:b/>
                <w:color w:val="231F20"/>
                <w:w w:val="105"/>
                <w:sz w:val="17"/>
              </w:rPr>
              <w:t>Total</w:t>
            </w:r>
          </w:p>
        </w:tc>
        <w:tc>
          <w:tcPr>
            <w:tcW w:w="1783" w:type="dxa"/>
            <w:tcBorders>
              <w:top w:val="single" w:sz="4" w:space="0" w:color="231F20"/>
              <w:left w:val="single" w:sz="4" w:space="0" w:color="231F20"/>
              <w:bottom w:val="single" w:sz="4" w:space="0" w:color="231F20"/>
              <w:right w:val="single" w:sz="2" w:space="0" w:color="231F20"/>
            </w:tcBorders>
          </w:tcPr>
          <w:p>
            <w:pPr>
              <w:pStyle w:val="TableParagraph"/>
              <w:spacing w:before="38"/>
              <w:ind w:left="745" w:right="747"/>
              <w:jc w:val="center"/>
              <w:rPr>
                <w:b/>
                <w:sz w:val="17"/>
              </w:rPr>
            </w:pPr>
            <w:r>
              <w:rPr>
                <w:b/>
                <w:color w:val="231F20"/>
                <w:w w:val="95"/>
                <w:sz w:val="17"/>
              </w:rPr>
              <w:t>111</w:t>
            </w:r>
          </w:p>
        </w:tc>
        <w:tc>
          <w:tcPr>
            <w:tcW w:w="1541" w:type="dxa"/>
            <w:tcBorders>
              <w:top w:val="single" w:sz="4" w:space="0" w:color="231F20"/>
              <w:left w:val="single" w:sz="2" w:space="0" w:color="231F20"/>
              <w:bottom w:val="single" w:sz="4" w:space="0" w:color="231F20"/>
              <w:right w:val="single" w:sz="2" w:space="0" w:color="231F20"/>
            </w:tcBorders>
          </w:tcPr>
          <w:p>
            <w:pPr>
              <w:pStyle w:val="TableParagraph"/>
              <w:spacing w:before="38"/>
              <w:ind w:left="1"/>
              <w:jc w:val="center"/>
              <w:rPr>
                <w:b/>
                <w:sz w:val="17"/>
              </w:rPr>
            </w:pPr>
            <w:r>
              <w:rPr>
                <w:b/>
                <w:color w:val="231F20"/>
                <w:w w:val="97"/>
                <w:sz w:val="17"/>
              </w:rPr>
              <w:t>5</w:t>
            </w:r>
          </w:p>
        </w:tc>
        <w:tc>
          <w:tcPr>
            <w:tcW w:w="636" w:type="dxa"/>
            <w:tcBorders>
              <w:top w:val="single" w:sz="4" w:space="0" w:color="231F20"/>
              <w:left w:val="single" w:sz="2" w:space="0" w:color="231F20"/>
              <w:bottom w:val="single" w:sz="4" w:space="0" w:color="231F20"/>
              <w:right w:val="single" w:sz="4" w:space="0" w:color="231F20"/>
            </w:tcBorders>
          </w:tcPr>
          <w:p>
            <w:pPr>
              <w:pStyle w:val="TableParagraph"/>
              <w:spacing w:before="38"/>
              <w:ind w:left="91"/>
              <w:rPr>
                <w:b/>
                <w:sz w:val="17"/>
              </w:rPr>
            </w:pPr>
            <w:r>
              <w:rPr>
                <w:b/>
                <w:color w:val="231F20"/>
                <w:sz w:val="17"/>
              </w:rPr>
              <w:t>116</w:t>
            </w:r>
          </w:p>
        </w:tc>
      </w:tr>
    </w:tbl>
    <w:p>
      <w:pPr>
        <w:spacing w:after="0"/>
        <w:rPr>
          <w:sz w:val="17"/>
        </w:rPr>
        <w:sectPr>
          <w:headerReference w:type="default" r:id="rId882"/>
          <w:footerReference w:type="default" r:id="rId883"/>
          <w:pgSz w:w="7830" w:h="11910"/>
          <w:pgMar w:header="0" w:footer="424" w:top="500" w:bottom="620" w:left="900" w:right="860"/>
          <w:pgNumType w:start="399"/>
        </w:sectPr>
      </w:pPr>
    </w:p>
    <w:p>
      <w:pPr>
        <w:pStyle w:val="BodyText"/>
        <w:ind w:left="100"/>
        <w:rPr>
          <w:sz w:val="20"/>
        </w:rPr>
      </w:pPr>
      <w:r>
        <w:rPr/>
        <w:pict>
          <v:shape style="position:absolute;margin-left:51.041pt;margin-top:23.550001pt;width:279pt;height:18pt;mso-position-horizontal-relative:page;mso-position-vertical-relative:page;z-index:-482248" type="#_x0000_t202" filled="false" stroked="false">
            <v:textbox inset="0,0,0,0">
              <w:txbxContent>
                <w:p>
                  <w:pPr>
                    <w:spacing w:before="80"/>
                    <w:ind w:left="49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txbxContent>
            </v:textbox>
            <w10:wrap type="none"/>
          </v:shape>
        </w:pict>
      </w:r>
      <w:r>
        <w:rPr/>
        <w:pict>
          <v:shape style="position:absolute;margin-left:159.041pt;margin-top:554.549988pt;width:51pt;height:24pt;mso-position-horizontal-relative:page;mso-position-vertical-relative:page;z-index:-482224" type="#_x0000_t202" filled="false" stroked="false">
            <v:textbox inset="0,0,0,0">
              <w:txbxContent>
                <w:p>
                  <w:pPr>
                    <w:pStyle w:val="BodyText"/>
                    <w:spacing w:before="1"/>
                    <w:rPr>
                      <w:b/>
                      <w:sz w:val="15"/>
                    </w:rPr>
                  </w:pPr>
                </w:p>
                <w:p>
                  <w:pPr>
                    <w:spacing w:before="1"/>
                    <w:ind w:left="597" w:right="0" w:firstLine="0"/>
                    <w:jc w:val="left"/>
                    <w:rPr>
                      <w:sz w:val="17"/>
                    </w:rPr>
                  </w:pPr>
                  <w:r>
                    <w:rPr>
                      <w:color w:val="231F20"/>
                      <w:w w:val="105"/>
                      <w:sz w:val="17"/>
                    </w:rPr>
                    <w:t>400</w:t>
                  </w:r>
                </w:p>
              </w:txbxContent>
            </v:textbox>
            <w10:wrap type="none"/>
          </v:shape>
        </w:pict>
      </w:r>
      <w:r>
        <w:rPr>
          <w:sz w:val="20"/>
        </w:rPr>
        <w:pict>
          <v:group style="width:279pt;height:18pt;mso-position-horizontal-relative:char;mso-position-vertical-relative:line" coordorigin="0,0" coordsize="5580,360">
            <v:rect style="position:absolute;left:0;top:0;width:5580;height:360" filled="true" fillcolor="#ffffff" stroked="false">
              <v:fill type="solid"/>
            </v:rect>
          </v:group>
        </w:pict>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7"/>
        </w:rPr>
      </w:pPr>
      <w:r>
        <w:rPr/>
        <w:pict>
          <v:rect style="position:absolute;margin-left:159.041pt;margin-top:17.565992pt;width:51pt;height:24pt;mso-position-horizontal-relative:page;mso-position-vertical-relative:paragraph;z-index:2992;mso-wrap-distance-left:0;mso-wrap-distance-right:0" filled="true" fillcolor="#ffffff" stroked="false">
            <v:fill type="solid"/>
            <w10:wrap type="topAndBottom"/>
          </v:rect>
        </w:pict>
      </w:r>
    </w:p>
    <w:p>
      <w:pPr>
        <w:spacing w:after="0"/>
        <w:rPr>
          <w:sz w:val="27"/>
        </w:rPr>
        <w:sectPr>
          <w:headerReference w:type="default" r:id="rId884"/>
          <w:footerReference w:type="default" r:id="rId885"/>
          <w:pgSz w:w="7830" w:h="11910"/>
          <w:pgMar w:header="0" w:footer="0" w:top="460" w:bottom="0" w:left="920" w:right="1060"/>
        </w:sectPr>
      </w:pPr>
    </w:p>
    <w:p>
      <w:pPr>
        <w:pStyle w:val="BodyText"/>
        <w:ind w:left="300"/>
        <w:rPr>
          <w:sz w:val="20"/>
        </w:rPr>
      </w:pPr>
      <w:r>
        <w:rPr>
          <w:sz w:val="20"/>
        </w:rPr>
        <w:pict>
          <v:group style="width:270pt;height:32.5500pt;mso-position-horizontal-relative:char;mso-position-vertical-relative:line" coordorigin="0,0" coordsize="5400,651">
            <v:rect style="position:absolute;left:0;top:0;width:5400;height:651" filled="true" fillcolor="#ffffff" stroked="false">
              <v:fill type="solid"/>
            </v:rect>
          </v:group>
        </w:pict>
      </w:r>
      <w:r>
        <w:rPr>
          <w:sz w:val="20"/>
        </w:rPr>
      </w:r>
    </w:p>
    <w:p>
      <w:pPr>
        <w:pStyle w:val="Heading2"/>
        <w:spacing w:line="285" w:lineRule="auto" w:before="123"/>
        <w:ind w:right="205" w:hanging="1"/>
      </w:pPr>
      <w:r>
        <w:rPr/>
        <w:pict>
          <v:shape style="position:absolute;margin-left:60.041pt;margin-top:-34.531494pt;width:270pt;height:32.5500pt;mso-position-horizontal-relative:page;mso-position-vertical-relative:paragraph;z-index:-482152" type="#_x0000_t202" filled="false" stroked="false">
            <v:textbox inset="0,0,0,0">
              <w:txbxContent>
                <w:p>
                  <w:pPr>
                    <w:pStyle w:val="BodyText"/>
                    <w:spacing w:before="7"/>
                    <w:rPr>
                      <w:sz w:val="16"/>
                    </w:rPr>
                  </w:pPr>
                </w:p>
                <w:p>
                  <w:pPr>
                    <w:spacing w:before="0"/>
                    <w:ind w:left="1182" w:right="0" w:firstLine="0"/>
                    <w:jc w:val="left"/>
                    <w:rPr>
                      <w:sz w:val="13"/>
                    </w:rPr>
                  </w:pPr>
                  <w:r>
                    <w:rPr>
                      <w:color w:val="231F20"/>
                      <w:sz w:val="16"/>
                    </w:rPr>
                    <w:t>E</w:t>
                  </w:r>
                  <w:r>
                    <w:rPr>
                      <w:color w:val="231F20"/>
                      <w:sz w:val="13"/>
                    </w:rPr>
                    <w:t>STUDIOS SOBRE VIOLENCIA EN LA EDUCACIÓN</w:t>
                  </w:r>
                </w:p>
              </w:txbxContent>
            </v:textbox>
            <w10:wrap type="none"/>
          </v:shape>
        </w:pict>
      </w:r>
      <w:r>
        <w:rPr>
          <w:rFonts w:ascii="Georgia" w:hAnsi="Georgia"/>
          <w:color w:val="231F20"/>
          <w:sz w:val="28"/>
        </w:rPr>
        <w:t>E</w:t>
      </w:r>
      <w:r>
        <w:rPr>
          <w:color w:val="231F20"/>
        </w:rPr>
        <w:t>STUDIO COMPARATIVO D</w:t>
      </w:r>
      <w:r>
        <w:rPr>
          <w:rFonts w:ascii="Georgia" w:hAnsi="Georgia"/>
          <w:color w:val="231F20"/>
        </w:rPr>
        <w:t>E LA PERCEPCIÓN DE </w:t>
      </w:r>
      <w:r>
        <w:rPr>
          <w:color w:val="231F20"/>
        </w:rPr>
        <w:t>LOS  ADOLESCENTES DE  </w:t>
      </w:r>
      <w:r>
        <w:rPr>
          <w:rFonts w:ascii="Georgia" w:hAnsi="Georgia"/>
          <w:color w:val="231F20"/>
        </w:rPr>
        <w:t>EDUCACIÓN </w:t>
      </w:r>
      <w:r>
        <w:rPr>
          <w:color w:val="231F20"/>
        </w:rPr>
        <w:t>MEDIA</w:t>
      </w:r>
    </w:p>
    <w:p>
      <w:pPr>
        <w:spacing w:line="249" w:lineRule="auto" w:before="24"/>
        <w:ind w:left="122" w:right="205" w:firstLine="0"/>
        <w:jc w:val="left"/>
        <w:rPr>
          <w:rFonts w:ascii="Arial"/>
          <w:b/>
          <w:sz w:val="28"/>
        </w:rPr>
      </w:pPr>
      <w:r>
        <w:rPr>
          <w:b/>
          <w:color w:val="231F20"/>
          <w:sz w:val="21"/>
        </w:rPr>
        <w:t>SUPERIOR ACERCA DE PROBLEMAS DE </w:t>
      </w:r>
      <w:r>
        <w:rPr>
          <w:rFonts w:ascii="Georgia"/>
          <w:b/>
          <w:color w:val="231F20"/>
          <w:sz w:val="21"/>
        </w:rPr>
        <w:t>CONVIVENCIA ENTRE MA</w:t>
      </w:r>
      <w:r>
        <w:rPr>
          <w:b/>
          <w:color w:val="231F20"/>
          <w:sz w:val="21"/>
        </w:rPr>
        <w:t>ESTROS Y ALUMNOS</w:t>
      </w:r>
      <w:r>
        <w:rPr>
          <w:rFonts w:ascii="Arial"/>
          <w:b/>
          <w:color w:val="231F20"/>
          <w:sz w:val="28"/>
        </w:rPr>
        <w:t>:</w:t>
      </w:r>
    </w:p>
    <w:p>
      <w:pPr>
        <w:spacing w:line="312" w:lineRule="auto" w:before="49"/>
        <w:ind w:left="122" w:right="104" w:firstLine="0"/>
        <w:jc w:val="left"/>
        <w:rPr>
          <w:rFonts w:ascii="Georgia" w:hAnsi="Georgia"/>
          <w:b/>
          <w:sz w:val="21"/>
        </w:rPr>
      </w:pPr>
      <w:r>
        <w:rPr>
          <w:b/>
          <w:color w:val="231F20"/>
          <w:sz w:val="21"/>
        </w:rPr>
        <w:t>IMPLICACIONES EN LA </w:t>
      </w:r>
      <w:r>
        <w:rPr>
          <w:rFonts w:ascii="Georgia" w:hAnsi="Georgia"/>
          <w:b/>
          <w:color w:val="231F20"/>
          <w:sz w:val="21"/>
        </w:rPr>
        <w:t>PREVENCIÓN DE LA VIOLENCIA</w:t>
      </w:r>
    </w:p>
    <w:p>
      <w:pPr>
        <w:pStyle w:val="BodyText"/>
        <w:spacing w:line="247" w:lineRule="auto" w:before="195"/>
        <w:ind w:left="122" w:right="3511"/>
        <w:rPr>
          <w:sz w:val="17"/>
        </w:rPr>
      </w:pPr>
      <w:r>
        <w:rPr>
          <w:color w:val="231F20"/>
        </w:rPr>
        <w:t>Azucena Ochoa-Cervantes</w:t>
      </w:r>
      <w:r>
        <w:rPr>
          <w:color w:val="231F20"/>
          <w:sz w:val="17"/>
        </w:rPr>
        <w:t>* </w:t>
      </w:r>
      <w:r>
        <w:rPr>
          <w:color w:val="231F20"/>
        </w:rPr>
        <w:t>Evelyn Diez-Martínez-Day</w:t>
      </w:r>
      <w:r>
        <w:rPr>
          <w:color w:val="231F20"/>
          <w:sz w:val="17"/>
        </w:rPr>
        <w:t>*</w:t>
      </w:r>
    </w:p>
    <w:p>
      <w:pPr>
        <w:pStyle w:val="BodyText"/>
        <w:rPr>
          <w:sz w:val="22"/>
        </w:rPr>
      </w:pPr>
    </w:p>
    <w:p>
      <w:pPr>
        <w:pStyle w:val="BodyText"/>
        <w:spacing w:before="6"/>
        <w:rPr>
          <w:sz w:val="23"/>
        </w:rPr>
      </w:pPr>
    </w:p>
    <w:p>
      <w:pPr>
        <w:pStyle w:val="BodyText"/>
        <w:ind w:left="122"/>
        <w:jc w:val="both"/>
      </w:pPr>
      <w:r>
        <w:rPr>
          <w:color w:val="231F20"/>
        </w:rPr>
        <w:t>Resumen</w:t>
      </w:r>
    </w:p>
    <w:p>
      <w:pPr>
        <w:pStyle w:val="BodyText"/>
        <w:spacing w:line="244" w:lineRule="auto" w:before="8"/>
        <w:ind w:left="121" w:right="115"/>
        <w:jc w:val="both"/>
      </w:pPr>
      <w:r>
        <w:rPr>
          <w:color w:val="231F20"/>
        </w:rPr>
        <w:t>Se desarrolló un estudio exploratorio que tuvo como objetivo co- nocer las percepciones de los adolescentes acerca de las situaciones en las interacciones maestro-alumno, y alumno-alumno, que gene- ran una convivencia escolar inadecuada. Se realizó una entrevista a 100 alumnos de bachillerato: 50 adolescentes españoles y se aplicó una tarea escrita a 50 adolescentes mexicanos. Los resultados mues- tran que para los alumnos de ambos grupos independientemente     del bagaje cultural y el ambiente escolar, los factores asociados a la relación maestro-alumno son los más significativos para que se presenten situaciones que alteran la convivencia</w:t>
      </w:r>
      <w:r>
        <w:rPr>
          <w:color w:val="231F20"/>
          <w:spacing w:val="-14"/>
        </w:rPr>
        <w:t> </w:t>
      </w:r>
      <w:r>
        <w:rPr>
          <w:color w:val="231F20"/>
        </w:rPr>
        <w:t>escolar.</w:t>
      </w:r>
    </w:p>
    <w:p>
      <w:pPr>
        <w:pStyle w:val="BodyText"/>
        <w:spacing w:line="494" w:lineRule="exact" w:before="49"/>
        <w:ind w:left="121" w:right="104"/>
      </w:pPr>
      <w:r>
        <w:rPr>
          <w:color w:val="231F20"/>
        </w:rPr>
        <w:t>Palabras clave: percepciones, convivencia escolar, adolescentes. Abstract</w:t>
      </w:r>
    </w:p>
    <w:p>
      <w:pPr>
        <w:pStyle w:val="BodyText"/>
        <w:spacing w:line="196" w:lineRule="exact"/>
        <w:ind w:left="121"/>
        <w:jc w:val="both"/>
      </w:pPr>
      <w:r>
        <w:rPr>
          <w:color w:val="231F20"/>
        </w:rPr>
        <w:t>A study was developed to analyze school interactions among high</w:t>
      </w:r>
    </w:p>
    <w:p>
      <w:pPr>
        <w:pStyle w:val="BodyText"/>
        <w:spacing w:line="244" w:lineRule="auto" w:before="3"/>
        <w:ind w:left="121" w:right="116"/>
        <w:jc w:val="both"/>
      </w:pPr>
      <w:r>
        <w:rPr>
          <w:color w:val="231F20"/>
        </w:rPr>
        <w:t>school students and teachers. 50 Spanish and 50 Mexican students were interviewed and presented with a written task that analyzed their perceptions about relations among students and among stu- dents and teachers that might generate inadequate coexistence. Subject’s  responses  showed  that  relations  among  students     and</w:t>
      </w:r>
    </w:p>
    <w:p>
      <w:pPr>
        <w:pStyle w:val="BodyText"/>
        <w:rPr>
          <w:sz w:val="20"/>
        </w:rPr>
      </w:pPr>
    </w:p>
    <w:p>
      <w:pPr>
        <w:pStyle w:val="BodyText"/>
        <w:spacing w:before="2"/>
        <w:rPr>
          <w:sz w:val="10"/>
        </w:rPr>
      </w:pPr>
      <w:r>
        <w:rPr/>
        <w:pict>
          <v:line style="position:absolute;mso-position-horizontal-relative:page;mso-position-vertical-relative:paragraph;z-index:3088;mso-wrap-distance-left:0;mso-wrap-distance-right:0" from="51.110001pt,8.056376pt" to="195.110001pt,8.056376pt" stroked="true" strokeweight=".48pt" strokecolor="#231f20">
            <w10:wrap type="topAndBottom"/>
          </v:line>
        </w:pict>
      </w:r>
    </w:p>
    <w:p>
      <w:pPr>
        <w:spacing w:line="261" w:lineRule="auto" w:before="89"/>
        <w:ind w:left="122" w:right="51" w:firstLine="0"/>
        <w:jc w:val="left"/>
        <w:rPr>
          <w:sz w:val="14"/>
        </w:rPr>
      </w:pPr>
      <w:r>
        <w:rPr>
          <w:rFonts w:ascii="Calibri" w:hAnsi="Calibri"/>
          <w:color w:val="231F20"/>
          <w:position w:val="-4"/>
          <w:sz w:val="17"/>
        </w:rPr>
        <w:t>*</w:t>
      </w:r>
      <w:r>
        <w:rPr>
          <w:color w:val="231F20"/>
          <w:sz w:val="14"/>
        </w:rPr>
        <w:t>Universidad Autónoma de Querétaro. Facultad de Psicología. Observatorio de la Convivencia Escolar Querétaro (OCEQ).</w:t>
      </w:r>
    </w:p>
    <w:p>
      <w:pPr>
        <w:spacing w:after="0" w:line="261" w:lineRule="auto"/>
        <w:jc w:val="left"/>
        <w:rPr>
          <w:sz w:val="14"/>
        </w:rPr>
        <w:sectPr>
          <w:headerReference w:type="default" r:id="rId886"/>
          <w:footerReference w:type="default" r:id="rId887"/>
          <w:pgSz w:w="7830" w:h="11910"/>
          <w:pgMar w:header="0" w:footer="424" w:top="360" w:bottom="620" w:left="900" w:right="900"/>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15"/>
        <w:jc w:val="both"/>
      </w:pPr>
      <w:r>
        <w:rPr>
          <w:color w:val="231F20"/>
        </w:rPr>
        <w:t>teachers were considered more significant to promote problems of coexistence, independently of cultural or school backgrounds.</w:t>
      </w:r>
    </w:p>
    <w:p>
      <w:pPr>
        <w:pStyle w:val="BodyText"/>
        <w:spacing w:before="4"/>
      </w:pPr>
    </w:p>
    <w:p>
      <w:pPr>
        <w:pStyle w:val="BodyText"/>
        <w:ind w:left="102"/>
        <w:jc w:val="both"/>
      </w:pPr>
      <w:r>
        <w:rPr>
          <w:color w:val="231F20"/>
        </w:rPr>
        <w:t>Key words: perceptions,school life, teenagers.</w:t>
      </w:r>
    </w:p>
    <w:p>
      <w:pPr>
        <w:pStyle w:val="BodyText"/>
        <w:rPr>
          <w:sz w:val="22"/>
        </w:rPr>
      </w:pPr>
    </w:p>
    <w:p>
      <w:pPr>
        <w:pStyle w:val="BodyText"/>
        <w:spacing w:before="4"/>
        <w:rPr>
          <w:sz w:val="23"/>
        </w:rPr>
      </w:pPr>
    </w:p>
    <w:p>
      <w:pPr>
        <w:pStyle w:val="BodyText"/>
        <w:ind w:left="102"/>
        <w:jc w:val="both"/>
      </w:pPr>
      <w:r>
        <w:rPr>
          <w:color w:val="231F20"/>
          <w:w w:val="105"/>
        </w:rPr>
        <w:t>INTRODUCCIÓN</w:t>
      </w:r>
    </w:p>
    <w:p>
      <w:pPr>
        <w:pStyle w:val="BodyText"/>
        <w:spacing w:before="1"/>
      </w:pPr>
    </w:p>
    <w:p>
      <w:pPr>
        <w:pStyle w:val="BodyText"/>
        <w:spacing w:line="244" w:lineRule="auto" w:before="1"/>
        <w:ind w:left="102" w:right="116"/>
        <w:jc w:val="both"/>
      </w:pPr>
      <w:r>
        <w:rPr>
          <w:color w:val="231F20"/>
        </w:rPr>
        <w:t>En el contexto de los diversos estudios en el presente libro, este trabajo a diferencia de otros aquí reportados, ha sido desarrollado con estudiantes de educación media superior. Es importante consi- derarlo como un estudio que analiza los aspectos acerca de las pro- blemáticas de convivencia escolar que pueden, al no ser atendidas, desencadenar manifestaciones de violencia en estudiantes que en poco tiempo ingresarán a la educación superior. Algunas de estas manifestaciones han sido reportadas por estudiantes ya inscritos en los planteles universitarios, en otros de los trabajos incluidos en esta compilación.</w:t>
      </w:r>
    </w:p>
    <w:p>
      <w:pPr>
        <w:pStyle w:val="BodyText"/>
        <w:spacing w:line="249" w:lineRule="auto" w:before="13"/>
        <w:ind w:left="102" w:right="114" w:firstLine="284"/>
        <w:jc w:val="both"/>
      </w:pPr>
      <w:r>
        <w:rPr>
          <w:color w:val="231F20"/>
        </w:rPr>
        <w:t>Es del interés de las autoras por una parte, mostrar la relevancia de estudiar aspectos ligados a los problemas de convivencia en los ámbitos escolares, como elementos que de ser ignorados o descui- dados, pueden propiciar situaciones que desencadenen manifesta- ciones de violencia en las instituciones escolares; y por otra, señalar que no todos los problemas de convivencia inadecuada en las rela- ciones entre los actores del proceso de enseñanza-aprendizaje, de- ben de etiquetarse como problemas de violencia, sino que estos aspectos ameritan un estudio cuidadoso de las diversas variables involucradas en las relaciones personales e institucionales que tie- nen lugar en el devenir cotidiano de los centros escolares. Precisar   el nivel de importancia y trascendencia que las relaciones entre el maestro y el alumno pueden generar, permitirá posibilidades de acciones conjuntas entre todos los involucrados, que propicien que desencuentros de convivencia no se tornen en problemas ligados a   la violencia, de ahí la importancia de los datos recabados y analiza- dos en el presente reporte de</w:t>
      </w:r>
      <w:r>
        <w:rPr>
          <w:color w:val="231F20"/>
          <w:spacing w:val="24"/>
        </w:rPr>
        <w:t> </w:t>
      </w:r>
      <w:r>
        <w:rPr>
          <w:color w:val="231F20"/>
        </w:rPr>
        <w:t>investigación.</w:t>
      </w:r>
    </w:p>
    <w:p>
      <w:pPr>
        <w:pStyle w:val="BodyText"/>
        <w:spacing w:line="247" w:lineRule="auto"/>
        <w:ind w:left="102" w:right="115" w:firstLine="284"/>
        <w:jc w:val="both"/>
      </w:pPr>
      <w:r>
        <w:rPr>
          <w:color w:val="231F20"/>
        </w:rPr>
        <w:t>En la interacción que se da en la escuela, se desarrollan parale- lamente dos tipos de relaciones que son de fundamental impor- tancia para los niños y adolescentes: la que se da entre los distin- tos sectores y la relación con sus pares. Esto hace que la interac-</w:t>
      </w:r>
    </w:p>
    <w:p>
      <w:pPr>
        <w:spacing w:after="0" w:line="247" w:lineRule="auto"/>
        <w:jc w:val="both"/>
        <w:sectPr>
          <w:headerReference w:type="default" r:id="rId888"/>
          <w:footerReference w:type="default" r:id="rId889"/>
          <w:pgSz w:w="7830" w:h="11910"/>
          <w:pgMar w:header="0" w:footer="424" w:top="500" w:bottom="620" w:left="920" w:right="900"/>
          <w:pgNumType w:start="40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6"/>
        <w:jc w:val="both"/>
      </w:pPr>
      <w:r>
        <w:rPr>
          <w:color w:val="231F20"/>
          <w:spacing w:val="2"/>
        </w:rPr>
        <w:t>ción escolar </w:t>
      </w:r>
      <w:r>
        <w:rPr>
          <w:color w:val="231F20"/>
        </w:rPr>
        <w:t>se </w:t>
      </w:r>
      <w:r>
        <w:rPr>
          <w:color w:val="231F20"/>
          <w:spacing w:val="2"/>
        </w:rPr>
        <w:t>vuelva </w:t>
      </w:r>
      <w:r>
        <w:rPr>
          <w:color w:val="231F20"/>
        </w:rPr>
        <w:t>tan </w:t>
      </w:r>
      <w:r>
        <w:rPr>
          <w:color w:val="231F20"/>
          <w:spacing w:val="2"/>
        </w:rPr>
        <w:t>particular, pues </w:t>
      </w:r>
      <w:r>
        <w:rPr>
          <w:color w:val="231F20"/>
        </w:rPr>
        <w:t>a </w:t>
      </w:r>
      <w:r>
        <w:rPr>
          <w:color w:val="231F20"/>
          <w:spacing w:val="2"/>
        </w:rPr>
        <w:t>pesar </w:t>
      </w:r>
      <w:r>
        <w:rPr>
          <w:color w:val="231F20"/>
        </w:rPr>
        <w:t>de </w:t>
      </w:r>
      <w:r>
        <w:rPr>
          <w:color w:val="231F20"/>
          <w:spacing w:val="2"/>
        </w:rPr>
        <w:t>que </w:t>
      </w:r>
      <w:r>
        <w:rPr>
          <w:color w:val="231F20"/>
        </w:rPr>
        <w:t>en la </w:t>
      </w:r>
      <w:r>
        <w:rPr>
          <w:color w:val="231F20"/>
          <w:spacing w:val="2"/>
        </w:rPr>
        <w:t>familia hay relación con adultos </w:t>
      </w:r>
      <w:r>
        <w:rPr>
          <w:color w:val="231F20"/>
        </w:rPr>
        <w:t>y </w:t>
      </w:r>
      <w:r>
        <w:rPr>
          <w:color w:val="231F20"/>
          <w:spacing w:val="3"/>
        </w:rPr>
        <w:t>normalmente </w:t>
      </w:r>
      <w:r>
        <w:rPr>
          <w:color w:val="231F20"/>
          <w:spacing w:val="2"/>
        </w:rPr>
        <w:t>con pares, </w:t>
      </w:r>
      <w:r>
        <w:rPr>
          <w:color w:val="231F20"/>
        </w:rPr>
        <w:t>en la </w:t>
      </w:r>
      <w:r>
        <w:rPr>
          <w:color w:val="231F20"/>
          <w:spacing w:val="2"/>
        </w:rPr>
        <w:t>escuela </w:t>
      </w:r>
      <w:r>
        <w:rPr>
          <w:color w:val="231F20"/>
        </w:rPr>
        <w:t>esa </w:t>
      </w:r>
      <w:r>
        <w:rPr>
          <w:color w:val="231F20"/>
          <w:spacing w:val="2"/>
        </w:rPr>
        <w:t>relación, más que afectiva, </w:t>
      </w:r>
      <w:r>
        <w:rPr>
          <w:color w:val="231F20"/>
        </w:rPr>
        <w:t>se ve </w:t>
      </w:r>
      <w:r>
        <w:rPr>
          <w:color w:val="231F20"/>
          <w:spacing w:val="2"/>
        </w:rPr>
        <w:t>atravesada por </w:t>
      </w:r>
      <w:r>
        <w:rPr>
          <w:color w:val="231F20"/>
        </w:rPr>
        <w:t>la </w:t>
      </w:r>
      <w:r>
        <w:rPr>
          <w:color w:val="231F20"/>
          <w:spacing w:val="3"/>
        </w:rPr>
        <w:t>ins- </w:t>
      </w:r>
      <w:r>
        <w:rPr>
          <w:color w:val="231F20"/>
          <w:spacing w:val="2"/>
        </w:rPr>
        <w:t>titución, </w:t>
      </w:r>
      <w:r>
        <w:rPr>
          <w:color w:val="231F20"/>
        </w:rPr>
        <w:t>es </w:t>
      </w:r>
      <w:r>
        <w:rPr>
          <w:color w:val="231F20"/>
          <w:spacing w:val="2"/>
        </w:rPr>
        <w:t>decir, </w:t>
      </w:r>
      <w:r>
        <w:rPr>
          <w:color w:val="231F20"/>
        </w:rPr>
        <w:t>no </w:t>
      </w:r>
      <w:r>
        <w:rPr>
          <w:color w:val="231F20"/>
          <w:spacing w:val="2"/>
        </w:rPr>
        <w:t>está primada por los afectos (que podría </w:t>
      </w:r>
      <w:r>
        <w:rPr>
          <w:color w:val="231F20"/>
          <w:spacing w:val="3"/>
        </w:rPr>
        <w:t>ser</w:t>
      </w:r>
      <w:r>
        <w:rPr>
          <w:color w:val="231F20"/>
          <w:spacing w:val="58"/>
        </w:rPr>
        <w:t> </w:t>
      </w:r>
      <w:r>
        <w:rPr>
          <w:color w:val="231F20"/>
        </w:rPr>
        <w:t>lo </w:t>
      </w:r>
      <w:r>
        <w:rPr>
          <w:color w:val="231F20"/>
          <w:spacing w:val="3"/>
        </w:rPr>
        <w:t>primordial </w:t>
      </w:r>
      <w:r>
        <w:rPr>
          <w:color w:val="231F20"/>
        </w:rPr>
        <w:t>en las </w:t>
      </w:r>
      <w:r>
        <w:rPr>
          <w:color w:val="231F20"/>
          <w:spacing w:val="2"/>
        </w:rPr>
        <w:t>familias) sino por </w:t>
      </w:r>
      <w:r>
        <w:rPr>
          <w:color w:val="231F20"/>
        </w:rPr>
        <w:t>las </w:t>
      </w:r>
      <w:r>
        <w:rPr>
          <w:color w:val="231F20"/>
          <w:spacing w:val="3"/>
        </w:rPr>
        <w:t>normas </w:t>
      </w:r>
      <w:r>
        <w:rPr>
          <w:color w:val="231F20"/>
        </w:rPr>
        <w:t>y </w:t>
      </w:r>
      <w:r>
        <w:rPr>
          <w:color w:val="231F20"/>
          <w:spacing w:val="2"/>
        </w:rPr>
        <w:t>valores </w:t>
      </w:r>
      <w:r>
        <w:rPr>
          <w:color w:val="231F20"/>
        </w:rPr>
        <w:t>de la </w:t>
      </w:r>
      <w:r>
        <w:rPr>
          <w:color w:val="231F20"/>
          <w:spacing w:val="2"/>
        </w:rPr>
        <w:t>institución. </w:t>
      </w:r>
      <w:r>
        <w:rPr>
          <w:color w:val="231F20"/>
        </w:rPr>
        <w:t>El </w:t>
      </w:r>
      <w:r>
        <w:rPr>
          <w:color w:val="231F20"/>
          <w:spacing w:val="2"/>
        </w:rPr>
        <w:t>aprendizaje </w:t>
      </w:r>
      <w:r>
        <w:rPr>
          <w:color w:val="231F20"/>
        </w:rPr>
        <w:t>y la </w:t>
      </w:r>
      <w:r>
        <w:rPr>
          <w:color w:val="231F20"/>
          <w:spacing w:val="2"/>
        </w:rPr>
        <w:t>puesta </w:t>
      </w:r>
      <w:r>
        <w:rPr>
          <w:color w:val="231F20"/>
        </w:rPr>
        <w:t>en </w:t>
      </w:r>
      <w:r>
        <w:rPr>
          <w:color w:val="231F20"/>
          <w:spacing w:val="3"/>
        </w:rPr>
        <w:t>marcha </w:t>
      </w:r>
      <w:r>
        <w:rPr>
          <w:color w:val="231F20"/>
        </w:rPr>
        <w:t>de lo </w:t>
      </w:r>
      <w:r>
        <w:rPr>
          <w:color w:val="231F20"/>
          <w:spacing w:val="3"/>
        </w:rPr>
        <w:t>normativo, </w:t>
      </w:r>
      <w:r>
        <w:rPr>
          <w:color w:val="231F20"/>
        </w:rPr>
        <w:t>en </w:t>
      </w:r>
      <w:r>
        <w:rPr>
          <w:color w:val="231F20"/>
          <w:spacing w:val="2"/>
        </w:rPr>
        <w:t>ocasiones </w:t>
      </w:r>
      <w:r>
        <w:rPr>
          <w:color w:val="231F20"/>
          <w:spacing w:val="3"/>
        </w:rPr>
        <w:t>puede </w:t>
      </w:r>
      <w:r>
        <w:rPr>
          <w:color w:val="231F20"/>
          <w:spacing w:val="2"/>
        </w:rPr>
        <w:t>generar situaciones </w:t>
      </w:r>
      <w:r>
        <w:rPr>
          <w:color w:val="231F20"/>
        </w:rPr>
        <w:t>de </w:t>
      </w:r>
      <w:r>
        <w:rPr>
          <w:color w:val="231F20"/>
          <w:spacing w:val="2"/>
        </w:rPr>
        <w:t>conflicto que </w:t>
      </w:r>
      <w:r>
        <w:rPr>
          <w:color w:val="231F20"/>
          <w:spacing w:val="3"/>
        </w:rPr>
        <w:t>podrían desencadenar </w:t>
      </w:r>
      <w:r>
        <w:rPr>
          <w:color w:val="231F20"/>
        </w:rPr>
        <w:t>en </w:t>
      </w:r>
      <w:r>
        <w:rPr>
          <w:color w:val="231F20"/>
          <w:spacing w:val="2"/>
        </w:rPr>
        <w:t>violencia, alterando </w:t>
      </w:r>
      <w:r>
        <w:rPr>
          <w:color w:val="231F20"/>
        </w:rPr>
        <w:t>en </w:t>
      </w:r>
      <w:r>
        <w:rPr>
          <w:color w:val="231F20"/>
          <w:spacing w:val="2"/>
        </w:rPr>
        <w:t>grados diversos </w:t>
      </w:r>
      <w:r>
        <w:rPr>
          <w:color w:val="231F20"/>
        </w:rPr>
        <w:t>la </w:t>
      </w:r>
      <w:r>
        <w:rPr>
          <w:color w:val="231F20"/>
          <w:spacing w:val="3"/>
        </w:rPr>
        <w:t>convi- </w:t>
      </w:r>
      <w:r>
        <w:rPr>
          <w:color w:val="231F20"/>
          <w:spacing w:val="2"/>
        </w:rPr>
        <w:t>vencia dentro </w:t>
      </w:r>
      <w:r>
        <w:rPr>
          <w:color w:val="231F20"/>
        </w:rPr>
        <w:t>de las</w:t>
      </w:r>
      <w:r>
        <w:rPr>
          <w:color w:val="231F20"/>
          <w:spacing w:val="-2"/>
        </w:rPr>
        <w:t> </w:t>
      </w:r>
      <w:r>
        <w:rPr>
          <w:color w:val="231F20"/>
          <w:spacing w:val="2"/>
        </w:rPr>
        <w:t>aulas.</w:t>
      </w:r>
    </w:p>
    <w:p>
      <w:pPr>
        <w:pStyle w:val="BodyText"/>
        <w:spacing w:line="249" w:lineRule="auto"/>
        <w:ind w:left="102" w:right="115" w:firstLine="284"/>
        <w:jc w:val="both"/>
      </w:pPr>
      <w:r>
        <w:rPr>
          <w:color w:val="231F20"/>
          <w:spacing w:val="2"/>
        </w:rPr>
        <w:t>Los estudios </w:t>
      </w:r>
      <w:r>
        <w:rPr>
          <w:color w:val="231F20"/>
        </w:rPr>
        <w:t>que </w:t>
      </w:r>
      <w:r>
        <w:rPr>
          <w:color w:val="231F20"/>
          <w:spacing w:val="2"/>
        </w:rPr>
        <w:t>abordan este fenómeno </w:t>
      </w:r>
      <w:r>
        <w:rPr>
          <w:color w:val="231F20"/>
        </w:rPr>
        <w:t>se han </w:t>
      </w:r>
      <w:r>
        <w:rPr>
          <w:color w:val="231F20"/>
          <w:spacing w:val="2"/>
        </w:rPr>
        <w:t>centrado </w:t>
      </w:r>
      <w:r>
        <w:rPr>
          <w:color w:val="231F20"/>
        </w:rPr>
        <w:t>en lo que se </w:t>
      </w:r>
      <w:r>
        <w:rPr>
          <w:color w:val="231F20"/>
          <w:spacing w:val="3"/>
        </w:rPr>
        <w:t>denomina </w:t>
      </w:r>
      <w:r>
        <w:rPr>
          <w:i/>
          <w:color w:val="231F20"/>
          <w:spacing w:val="2"/>
        </w:rPr>
        <w:t>bullying</w:t>
      </w:r>
      <w:r>
        <w:rPr>
          <w:color w:val="231F20"/>
          <w:spacing w:val="2"/>
        </w:rPr>
        <w:t>, </w:t>
      </w:r>
      <w:r>
        <w:rPr>
          <w:color w:val="231F20"/>
        </w:rPr>
        <w:t>así </w:t>
      </w:r>
      <w:r>
        <w:rPr>
          <w:color w:val="231F20"/>
          <w:spacing w:val="3"/>
        </w:rPr>
        <w:t>como </w:t>
      </w:r>
      <w:r>
        <w:rPr>
          <w:color w:val="231F20"/>
        </w:rPr>
        <w:t>en </w:t>
      </w:r>
      <w:r>
        <w:rPr>
          <w:color w:val="231F20"/>
          <w:spacing w:val="2"/>
        </w:rPr>
        <w:t>otras </w:t>
      </w:r>
      <w:r>
        <w:rPr>
          <w:color w:val="231F20"/>
          <w:spacing w:val="3"/>
        </w:rPr>
        <w:t>formas </w:t>
      </w:r>
      <w:r>
        <w:rPr>
          <w:color w:val="231F20"/>
        </w:rPr>
        <w:t>de </w:t>
      </w:r>
      <w:r>
        <w:rPr>
          <w:color w:val="231F20"/>
          <w:spacing w:val="2"/>
        </w:rPr>
        <w:t>violencia; conflictos </w:t>
      </w:r>
      <w:r>
        <w:rPr>
          <w:color w:val="231F20"/>
          <w:spacing w:val="3"/>
        </w:rPr>
        <w:t>generados </w:t>
      </w:r>
      <w:r>
        <w:rPr>
          <w:color w:val="231F20"/>
          <w:spacing w:val="2"/>
        </w:rPr>
        <w:t>por los estudiantes, </w:t>
      </w:r>
      <w:r>
        <w:rPr>
          <w:color w:val="231F20"/>
        </w:rPr>
        <w:t>que </w:t>
      </w:r>
      <w:r>
        <w:rPr>
          <w:color w:val="231F20"/>
          <w:spacing w:val="2"/>
        </w:rPr>
        <w:t>sondescritos por </w:t>
      </w:r>
      <w:r>
        <w:rPr>
          <w:color w:val="231F20"/>
        </w:rPr>
        <w:t>el </w:t>
      </w:r>
      <w:r>
        <w:rPr>
          <w:color w:val="231F20"/>
          <w:spacing w:val="2"/>
        </w:rPr>
        <w:t>profesorado </w:t>
      </w:r>
      <w:r>
        <w:rPr>
          <w:color w:val="231F20"/>
          <w:spacing w:val="3"/>
        </w:rPr>
        <w:t>generalmente. </w:t>
      </w:r>
      <w:r>
        <w:rPr>
          <w:color w:val="231F20"/>
        </w:rPr>
        <w:t>Sin </w:t>
      </w:r>
      <w:r>
        <w:rPr>
          <w:color w:val="231F20"/>
          <w:spacing w:val="2"/>
        </w:rPr>
        <w:t>duda, </w:t>
      </w:r>
      <w:r>
        <w:rPr>
          <w:color w:val="231F20"/>
        </w:rPr>
        <w:t>las </w:t>
      </w:r>
      <w:r>
        <w:rPr>
          <w:color w:val="231F20"/>
          <w:spacing w:val="3"/>
        </w:rPr>
        <w:t>opiniones </w:t>
      </w:r>
      <w:r>
        <w:rPr>
          <w:color w:val="231F20"/>
        </w:rPr>
        <w:t>o las </w:t>
      </w:r>
      <w:r>
        <w:rPr>
          <w:color w:val="231F20"/>
          <w:spacing w:val="3"/>
        </w:rPr>
        <w:t>percep- </w:t>
      </w:r>
      <w:r>
        <w:rPr>
          <w:color w:val="231F20"/>
          <w:spacing w:val="2"/>
        </w:rPr>
        <w:t>ciones </w:t>
      </w:r>
      <w:r>
        <w:rPr>
          <w:color w:val="231F20"/>
        </w:rPr>
        <w:t>de </w:t>
      </w:r>
      <w:r>
        <w:rPr>
          <w:color w:val="231F20"/>
          <w:spacing w:val="2"/>
        </w:rPr>
        <w:t>este son </w:t>
      </w:r>
      <w:r>
        <w:rPr>
          <w:color w:val="231F20"/>
          <w:spacing w:val="3"/>
        </w:rPr>
        <w:t>importantes, </w:t>
      </w:r>
      <w:r>
        <w:rPr>
          <w:color w:val="231F20"/>
        </w:rPr>
        <w:t>sin </w:t>
      </w:r>
      <w:r>
        <w:rPr>
          <w:color w:val="231F20"/>
          <w:spacing w:val="3"/>
        </w:rPr>
        <w:t>embargo, </w:t>
      </w:r>
      <w:r>
        <w:rPr>
          <w:color w:val="231F20"/>
        </w:rPr>
        <w:t>al </w:t>
      </w:r>
      <w:r>
        <w:rPr>
          <w:color w:val="231F20"/>
          <w:spacing w:val="2"/>
        </w:rPr>
        <w:t>tratar </w:t>
      </w:r>
      <w:r>
        <w:rPr>
          <w:color w:val="231F20"/>
        </w:rPr>
        <w:t>de </w:t>
      </w:r>
      <w:r>
        <w:rPr>
          <w:color w:val="231F20"/>
          <w:spacing w:val="2"/>
        </w:rPr>
        <w:t>explicar </w:t>
      </w:r>
      <w:r>
        <w:rPr>
          <w:color w:val="231F20"/>
        </w:rPr>
        <w:t>las </w:t>
      </w:r>
      <w:r>
        <w:rPr>
          <w:color w:val="231F20"/>
          <w:spacing w:val="2"/>
        </w:rPr>
        <w:t>situaciones que generan </w:t>
      </w:r>
      <w:r>
        <w:rPr>
          <w:color w:val="231F20"/>
        </w:rPr>
        <w:t>–o </w:t>
      </w:r>
      <w:r>
        <w:rPr>
          <w:color w:val="231F20"/>
          <w:spacing w:val="2"/>
        </w:rPr>
        <w:t>no– una convivencia adecuada, </w:t>
      </w:r>
      <w:r>
        <w:rPr>
          <w:color w:val="231F20"/>
        </w:rPr>
        <w:t>es </w:t>
      </w:r>
      <w:r>
        <w:rPr>
          <w:color w:val="231F20"/>
          <w:spacing w:val="2"/>
        </w:rPr>
        <w:t>necesario </w:t>
      </w:r>
      <w:r>
        <w:rPr>
          <w:color w:val="231F20"/>
          <w:spacing w:val="3"/>
        </w:rPr>
        <w:t>tomar </w:t>
      </w:r>
      <w:r>
        <w:rPr>
          <w:color w:val="231F20"/>
        </w:rPr>
        <w:t>en </w:t>
      </w:r>
      <w:r>
        <w:rPr>
          <w:color w:val="231F20"/>
          <w:spacing w:val="2"/>
        </w:rPr>
        <w:t>cuenta </w:t>
      </w:r>
      <w:r>
        <w:rPr>
          <w:color w:val="231F20"/>
        </w:rPr>
        <w:t>el </w:t>
      </w:r>
      <w:r>
        <w:rPr>
          <w:color w:val="231F20"/>
          <w:spacing w:val="2"/>
        </w:rPr>
        <w:t>punto </w:t>
      </w:r>
      <w:r>
        <w:rPr>
          <w:color w:val="231F20"/>
        </w:rPr>
        <w:t>de </w:t>
      </w:r>
      <w:r>
        <w:rPr>
          <w:color w:val="231F20"/>
          <w:spacing w:val="2"/>
        </w:rPr>
        <w:t>vista </w:t>
      </w:r>
      <w:r>
        <w:rPr>
          <w:color w:val="231F20"/>
        </w:rPr>
        <w:t>de </w:t>
      </w:r>
      <w:r>
        <w:rPr>
          <w:color w:val="231F20"/>
          <w:spacing w:val="2"/>
        </w:rPr>
        <w:t>los diversos </w:t>
      </w:r>
      <w:r>
        <w:rPr>
          <w:color w:val="231F20"/>
          <w:spacing w:val="3"/>
        </w:rPr>
        <w:t>acto- </w:t>
      </w:r>
      <w:r>
        <w:rPr>
          <w:color w:val="231F20"/>
          <w:spacing w:val="2"/>
        </w:rPr>
        <w:t>res. Por </w:t>
      </w:r>
      <w:r>
        <w:rPr>
          <w:color w:val="231F20"/>
          <w:spacing w:val="3"/>
        </w:rPr>
        <w:t>consiguiente, consideramos </w:t>
      </w:r>
      <w:r>
        <w:rPr>
          <w:color w:val="231F20"/>
        </w:rPr>
        <w:t>que </w:t>
      </w:r>
      <w:r>
        <w:rPr>
          <w:color w:val="231F20"/>
          <w:spacing w:val="2"/>
        </w:rPr>
        <w:t>tales situaciones conflic- tivas </w:t>
      </w:r>
      <w:r>
        <w:rPr>
          <w:color w:val="231F20"/>
        </w:rPr>
        <w:t>no </w:t>
      </w:r>
      <w:r>
        <w:rPr>
          <w:color w:val="231F20"/>
          <w:spacing w:val="2"/>
        </w:rPr>
        <w:t>deberían estudiarse desde una sola perspectiva. </w:t>
      </w:r>
      <w:r>
        <w:rPr>
          <w:color w:val="231F20"/>
        </w:rPr>
        <w:t>Si </w:t>
      </w:r>
      <w:r>
        <w:rPr>
          <w:color w:val="231F20"/>
          <w:spacing w:val="2"/>
        </w:rPr>
        <w:t>bien </w:t>
      </w:r>
      <w:r>
        <w:rPr>
          <w:color w:val="231F20"/>
        </w:rPr>
        <w:t>es </w:t>
      </w:r>
      <w:r>
        <w:rPr>
          <w:color w:val="231F20"/>
          <w:spacing w:val="2"/>
        </w:rPr>
        <w:t>cierto que </w:t>
      </w:r>
      <w:r>
        <w:rPr>
          <w:color w:val="231F20"/>
        </w:rPr>
        <w:t>no se </w:t>
      </w:r>
      <w:r>
        <w:rPr>
          <w:color w:val="231F20"/>
          <w:spacing w:val="3"/>
        </w:rPr>
        <w:t>pueden </w:t>
      </w:r>
      <w:r>
        <w:rPr>
          <w:color w:val="231F20"/>
          <w:spacing w:val="2"/>
        </w:rPr>
        <w:t>estudiar </w:t>
      </w:r>
      <w:r>
        <w:rPr>
          <w:color w:val="231F20"/>
          <w:spacing w:val="3"/>
        </w:rPr>
        <w:t>todos </w:t>
      </w:r>
      <w:r>
        <w:rPr>
          <w:color w:val="231F20"/>
          <w:spacing w:val="2"/>
        </w:rPr>
        <w:t>los factores </w:t>
      </w:r>
      <w:r>
        <w:rPr>
          <w:color w:val="231F20"/>
        </w:rPr>
        <w:t>o </w:t>
      </w:r>
      <w:r>
        <w:rPr>
          <w:color w:val="231F20"/>
          <w:spacing w:val="2"/>
        </w:rPr>
        <w:t>todas </w:t>
      </w:r>
      <w:r>
        <w:rPr>
          <w:color w:val="231F20"/>
        </w:rPr>
        <w:t>las </w:t>
      </w:r>
      <w:r>
        <w:rPr>
          <w:color w:val="231F20"/>
          <w:spacing w:val="2"/>
        </w:rPr>
        <w:t>influencias que </w:t>
      </w:r>
      <w:r>
        <w:rPr>
          <w:color w:val="231F20"/>
          <w:spacing w:val="3"/>
        </w:rPr>
        <w:t>pueden </w:t>
      </w:r>
      <w:r>
        <w:rPr>
          <w:color w:val="231F20"/>
          <w:spacing w:val="2"/>
        </w:rPr>
        <w:t>generar violencia, para </w:t>
      </w:r>
      <w:r>
        <w:rPr>
          <w:color w:val="231F20"/>
          <w:spacing w:val="3"/>
        </w:rPr>
        <w:t>nosotros, </w:t>
      </w:r>
      <w:r>
        <w:rPr>
          <w:color w:val="231F20"/>
          <w:spacing w:val="2"/>
        </w:rPr>
        <w:t>sería </w:t>
      </w:r>
      <w:r>
        <w:rPr>
          <w:color w:val="231F20"/>
          <w:spacing w:val="3"/>
        </w:rPr>
        <w:t>conveniente </w:t>
      </w:r>
      <w:r>
        <w:rPr>
          <w:color w:val="231F20"/>
          <w:spacing w:val="2"/>
        </w:rPr>
        <w:t>estar atentos </w:t>
      </w:r>
      <w:r>
        <w:rPr>
          <w:color w:val="231F20"/>
        </w:rPr>
        <w:t>a lo </w:t>
      </w:r>
      <w:r>
        <w:rPr>
          <w:color w:val="231F20"/>
          <w:spacing w:val="2"/>
        </w:rPr>
        <w:t>que dicen los</w:t>
      </w:r>
      <w:r>
        <w:rPr>
          <w:color w:val="231F20"/>
          <w:spacing w:val="39"/>
        </w:rPr>
        <w:t> </w:t>
      </w:r>
      <w:r>
        <w:rPr>
          <w:color w:val="231F20"/>
          <w:spacing w:val="2"/>
        </w:rPr>
        <w:t>estudiantes.</w:t>
      </w:r>
    </w:p>
    <w:p>
      <w:pPr>
        <w:pStyle w:val="BodyText"/>
        <w:spacing w:before="7"/>
      </w:pPr>
    </w:p>
    <w:p>
      <w:pPr>
        <w:pStyle w:val="BodyText"/>
        <w:ind w:left="102"/>
        <w:jc w:val="both"/>
      </w:pPr>
      <w:r>
        <w:rPr>
          <w:color w:val="231F20"/>
          <w:w w:val="105"/>
        </w:rPr>
        <w:t>BREVE DESCRIPCIÓN DEL ESTADO DEL ARTE</w:t>
      </w:r>
    </w:p>
    <w:p>
      <w:pPr>
        <w:pStyle w:val="BodyText"/>
        <w:spacing w:before="1"/>
      </w:pPr>
    </w:p>
    <w:p>
      <w:pPr>
        <w:pStyle w:val="BodyText"/>
        <w:spacing w:line="244" w:lineRule="auto" w:before="1"/>
        <w:ind w:left="102" w:right="115"/>
        <w:jc w:val="both"/>
      </w:pPr>
      <w:r>
        <w:rPr>
          <w:color w:val="231F20"/>
        </w:rPr>
        <w:t>El estudio de la violencia escolar inició en la década de los </w:t>
      </w:r>
      <w:r>
        <w:rPr>
          <w:color w:val="231F20"/>
          <w:sz w:val="17"/>
        </w:rPr>
        <w:t>70’</w:t>
      </w:r>
      <w:r>
        <w:rPr>
          <w:color w:val="231F20"/>
        </w:rPr>
        <w:t>s con las investigaciones pioneras de Olweus y Smith, autores que centra- ron su atención en un tipo de conducta en la que los estudiantes acometían en contra de otros de manera física o psíquica, a estas conductas los autores las denominaron </w:t>
      </w:r>
      <w:r>
        <w:rPr>
          <w:i/>
          <w:color w:val="231F20"/>
        </w:rPr>
        <w:t>mobbing </w:t>
      </w:r>
      <w:r>
        <w:rPr>
          <w:color w:val="231F20"/>
        </w:rPr>
        <w:t>y posteriormente </w:t>
      </w:r>
      <w:r>
        <w:rPr>
          <w:i/>
          <w:color w:val="231F20"/>
        </w:rPr>
        <w:t>bullying</w:t>
      </w:r>
      <w:r>
        <w:rPr>
          <w:color w:val="231F20"/>
        </w:rPr>
        <w:t>, lo que en español se ha denominado como “acoso” (Olweus, 1998; Funk, 1997; Rugby y Slee, 1991; Debarbieux, 1997; Hirano, 1992; Whitney y Smith, 1993; Dodge, Pettit y Price, 1990). En España en particular se encuentran los estudios  de  Ortega,  (1994; 1995; 2001), y Peiró, (2001, 2002, 2003, 2005), entre otros.</w:t>
      </w:r>
    </w:p>
    <w:p>
      <w:pPr>
        <w:pStyle w:val="BodyText"/>
        <w:spacing w:line="247" w:lineRule="auto" w:before="18"/>
        <w:ind w:left="102" w:right="116" w:firstLine="284"/>
        <w:jc w:val="both"/>
      </w:pPr>
      <w:r>
        <w:rPr>
          <w:color w:val="231F20"/>
          <w:spacing w:val="4"/>
        </w:rPr>
        <w:t>El </w:t>
      </w:r>
      <w:r>
        <w:rPr>
          <w:color w:val="231F20"/>
          <w:spacing w:val="6"/>
        </w:rPr>
        <w:t>reciente reporte </w:t>
      </w:r>
      <w:r>
        <w:rPr>
          <w:color w:val="231F20"/>
          <w:spacing w:val="4"/>
        </w:rPr>
        <w:t>de </w:t>
      </w:r>
      <w:r>
        <w:rPr>
          <w:color w:val="231F20"/>
          <w:spacing w:val="3"/>
        </w:rPr>
        <w:t>la </w:t>
      </w:r>
      <w:r>
        <w:rPr>
          <w:color w:val="231F20"/>
          <w:spacing w:val="6"/>
        </w:rPr>
        <w:t>OCDE sobre </w:t>
      </w:r>
      <w:r>
        <w:rPr>
          <w:color w:val="231F20"/>
          <w:spacing w:val="3"/>
        </w:rPr>
        <w:t>la </w:t>
      </w:r>
      <w:r>
        <w:rPr>
          <w:color w:val="231F20"/>
          <w:spacing w:val="6"/>
        </w:rPr>
        <w:t>situación </w:t>
      </w:r>
      <w:r>
        <w:rPr>
          <w:color w:val="231F20"/>
          <w:spacing w:val="5"/>
        </w:rPr>
        <w:t>del clima  </w:t>
      </w:r>
      <w:r>
        <w:rPr>
          <w:color w:val="231F20"/>
          <w:spacing w:val="4"/>
        </w:rPr>
        <w:t>de </w:t>
      </w:r>
      <w:r>
        <w:rPr>
          <w:color w:val="231F20"/>
          <w:spacing w:val="6"/>
        </w:rPr>
        <w:t>convivencia escolar </w:t>
      </w:r>
      <w:r>
        <w:rPr>
          <w:color w:val="231F20"/>
          <w:spacing w:val="3"/>
        </w:rPr>
        <w:t>en </w:t>
      </w:r>
      <w:r>
        <w:rPr>
          <w:color w:val="231F20"/>
          <w:spacing w:val="5"/>
        </w:rPr>
        <w:t>varios países </w:t>
      </w:r>
      <w:r>
        <w:rPr>
          <w:color w:val="231F20"/>
          <w:spacing w:val="6"/>
        </w:rPr>
        <w:t>(Informe TALIS, </w:t>
      </w:r>
      <w:r>
        <w:rPr>
          <w:color w:val="231F20"/>
          <w:spacing w:val="5"/>
        </w:rPr>
        <w:t>2010), </w:t>
      </w:r>
      <w:r>
        <w:rPr>
          <w:color w:val="231F20"/>
          <w:spacing w:val="3"/>
        </w:rPr>
        <w:t>no </w:t>
      </w:r>
      <w:r>
        <w:rPr>
          <w:color w:val="231F20"/>
          <w:spacing w:val="5"/>
        </w:rPr>
        <w:t>desdice </w:t>
      </w:r>
      <w:r>
        <w:rPr>
          <w:color w:val="231F20"/>
          <w:spacing w:val="4"/>
        </w:rPr>
        <w:t>los </w:t>
      </w:r>
      <w:r>
        <w:rPr>
          <w:color w:val="231F20"/>
          <w:spacing w:val="6"/>
        </w:rPr>
        <w:t>hallazgos </w:t>
      </w:r>
      <w:r>
        <w:rPr>
          <w:color w:val="231F20"/>
          <w:spacing w:val="3"/>
        </w:rPr>
        <w:t>de </w:t>
      </w:r>
      <w:r>
        <w:rPr>
          <w:color w:val="231F20"/>
          <w:spacing w:val="5"/>
        </w:rPr>
        <w:t>Peiró (2001, 2002, 2003,  2005, 2007), </w:t>
      </w:r>
      <w:r>
        <w:rPr>
          <w:color w:val="231F20"/>
          <w:spacing w:val="4"/>
        </w:rPr>
        <w:t>ni los de </w:t>
      </w:r>
      <w:r>
        <w:rPr>
          <w:color w:val="231F20"/>
          <w:spacing w:val="6"/>
        </w:rPr>
        <w:t>otros investigadores </w:t>
      </w:r>
      <w:r>
        <w:rPr>
          <w:color w:val="231F20"/>
          <w:spacing w:val="5"/>
        </w:rPr>
        <w:t>(Rey </w:t>
      </w:r>
      <w:r>
        <w:rPr>
          <w:color w:val="231F20"/>
        </w:rPr>
        <w:t>y </w:t>
      </w:r>
      <w:r>
        <w:rPr>
          <w:color w:val="231F20"/>
          <w:spacing w:val="6"/>
        </w:rPr>
        <w:t>Marchesi, </w:t>
      </w:r>
      <w:r>
        <w:rPr>
          <w:color w:val="231F20"/>
          <w:spacing w:val="5"/>
        </w:rPr>
        <w:t>2005), </w:t>
      </w:r>
      <w:r>
        <w:rPr>
          <w:color w:val="231F20"/>
          <w:spacing w:val="3"/>
        </w:rPr>
        <w:t>en </w:t>
      </w:r>
      <w:r>
        <w:rPr>
          <w:color w:val="231F20"/>
          <w:spacing w:val="5"/>
        </w:rPr>
        <w:t>relación </w:t>
      </w:r>
      <w:r>
        <w:rPr>
          <w:color w:val="231F20"/>
          <w:spacing w:val="3"/>
        </w:rPr>
        <w:t>al </w:t>
      </w:r>
      <w:r>
        <w:rPr>
          <w:color w:val="231F20"/>
          <w:spacing w:val="6"/>
        </w:rPr>
        <w:t>desgaste </w:t>
      </w:r>
      <w:r>
        <w:rPr>
          <w:color w:val="231F20"/>
          <w:spacing w:val="4"/>
        </w:rPr>
        <w:t>que </w:t>
      </w:r>
      <w:r>
        <w:rPr>
          <w:color w:val="231F20"/>
          <w:spacing w:val="5"/>
        </w:rPr>
        <w:t>supone para </w:t>
      </w:r>
      <w:r>
        <w:rPr>
          <w:color w:val="231F20"/>
          <w:spacing w:val="4"/>
        </w:rPr>
        <w:t>los </w:t>
      </w:r>
      <w:r>
        <w:rPr>
          <w:color w:val="231F20"/>
          <w:spacing w:val="6"/>
        </w:rPr>
        <w:t>profesores </w:t>
      </w:r>
      <w:r>
        <w:rPr>
          <w:color w:val="231F20"/>
        </w:rPr>
        <w:t>y </w:t>
      </w:r>
      <w:r>
        <w:rPr>
          <w:color w:val="231F20"/>
          <w:spacing w:val="43"/>
        </w:rPr>
        <w:t> </w:t>
      </w:r>
      <w:r>
        <w:rPr>
          <w:color w:val="231F20"/>
          <w:spacing w:val="6"/>
        </w:rPr>
        <w:t>directivos</w:t>
      </w:r>
    </w:p>
    <w:p>
      <w:pPr>
        <w:spacing w:after="0" w:line="247" w:lineRule="auto"/>
        <w:jc w:val="both"/>
        <w:sectPr>
          <w:headerReference w:type="default" r:id="rId890"/>
          <w:footerReference w:type="default" r:id="rId891"/>
          <w:pgSz w:w="7830" w:h="11910"/>
          <w:pgMar w:header="0" w:footer="424" w:top="500" w:bottom="620" w:left="920" w:right="900"/>
          <w:pgNumType w:start="40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4"/>
        <w:jc w:val="both"/>
      </w:pPr>
      <w:r>
        <w:rPr>
          <w:color w:val="231F20"/>
          <w:spacing w:val="6"/>
        </w:rPr>
        <w:t>invertir </w:t>
      </w:r>
      <w:r>
        <w:rPr>
          <w:color w:val="231F20"/>
          <w:spacing w:val="3"/>
        </w:rPr>
        <w:t>el </w:t>
      </w:r>
      <w:r>
        <w:rPr>
          <w:color w:val="231F20"/>
          <w:spacing w:val="6"/>
        </w:rPr>
        <w:t>tiempo </w:t>
      </w:r>
      <w:r>
        <w:rPr>
          <w:color w:val="231F20"/>
          <w:spacing w:val="4"/>
        </w:rPr>
        <w:t>de </w:t>
      </w:r>
      <w:r>
        <w:rPr>
          <w:color w:val="231F20"/>
          <w:spacing w:val="5"/>
        </w:rPr>
        <w:t>clase </w:t>
      </w:r>
      <w:r>
        <w:rPr>
          <w:color w:val="231F20"/>
          <w:spacing w:val="3"/>
        </w:rPr>
        <w:t>en </w:t>
      </w:r>
      <w:r>
        <w:rPr>
          <w:color w:val="231F20"/>
          <w:spacing w:val="6"/>
        </w:rPr>
        <w:t>atender </w:t>
      </w:r>
      <w:r>
        <w:rPr>
          <w:color w:val="231F20"/>
          <w:spacing w:val="4"/>
        </w:rPr>
        <w:t>las </w:t>
      </w:r>
      <w:r>
        <w:rPr>
          <w:color w:val="231F20"/>
          <w:spacing w:val="6"/>
        </w:rPr>
        <w:t>diversas situaciones </w:t>
      </w:r>
      <w:r>
        <w:rPr>
          <w:color w:val="231F20"/>
          <w:spacing w:val="4"/>
        </w:rPr>
        <w:t>de </w:t>
      </w:r>
      <w:r>
        <w:rPr>
          <w:color w:val="231F20"/>
          <w:spacing w:val="6"/>
        </w:rPr>
        <w:t>indisciplina. </w:t>
      </w:r>
      <w:r>
        <w:rPr>
          <w:color w:val="231F20"/>
          <w:spacing w:val="5"/>
        </w:rPr>
        <w:t>Las </w:t>
      </w:r>
      <w:r>
        <w:rPr>
          <w:color w:val="231F20"/>
          <w:spacing w:val="6"/>
        </w:rPr>
        <w:t>investigaciones </w:t>
      </w:r>
      <w:r>
        <w:rPr>
          <w:color w:val="231F20"/>
          <w:spacing w:val="5"/>
        </w:rPr>
        <w:t>que </w:t>
      </w:r>
      <w:r>
        <w:rPr>
          <w:color w:val="231F20"/>
          <w:spacing w:val="3"/>
        </w:rPr>
        <w:t>se </w:t>
      </w:r>
      <w:r>
        <w:rPr>
          <w:color w:val="231F20"/>
          <w:spacing w:val="5"/>
        </w:rPr>
        <w:t>han llevado </w:t>
      </w:r>
      <w:r>
        <w:rPr>
          <w:color w:val="231F20"/>
        </w:rPr>
        <w:t>a </w:t>
      </w:r>
      <w:r>
        <w:rPr>
          <w:color w:val="231F20"/>
          <w:spacing w:val="5"/>
        </w:rPr>
        <w:t>cabo con  </w:t>
      </w:r>
      <w:r>
        <w:rPr>
          <w:color w:val="231F20"/>
          <w:spacing w:val="3"/>
        </w:rPr>
        <w:t>el </w:t>
      </w:r>
      <w:r>
        <w:rPr>
          <w:color w:val="231F20"/>
          <w:spacing w:val="6"/>
        </w:rPr>
        <w:t>propósito </w:t>
      </w:r>
      <w:r>
        <w:rPr>
          <w:color w:val="231F20"/>
          <w:spacing w:val="4"/>
        </w:rPr>
        <w:t>de </w:t>
      </w:r>
      <w:r>
        <w:rPr>
          <w:color w:val="231F20"/>
          <w:spacing w:val="6"/>
        </w:rPr>
        <w:t>estudiar </w:t>
      </w:r>
      <w:r>
        <w:rPr>
          <w:color w:val="231F20"/>
          <w:spacing w:val="3"/>
        </w:rPr>
        <w:t>la </w:t>
      </w:r>
      <w:r>
        <w:rPr>
          <w:color w:val="231F20"/>
          <w:spacing w:val="6"/>
        </w:rPr>
        <w:t>percepción </w:t>
      </w:r>
      <w:r>
        <w:rPr>
          <w:color w:val="231F20"/>
          <w:spacing w:val="5"/>
        </w:rPr>
        <w:t>que tienen </w:t>
      </w:r>
      <w:r>
        <w:rPr>
          <w:color w:val="231F20"/>
          <w:spacing w:val="4"/>
        </w:rPr>
        <w:t>los </w:t>
      </w:r>
      <w:r>
        <w:rPr>
          <w:color w:val="231F20"/>
          <w:spacing w:val="6"/>
        </w:rPr>
        <w:t>profesores</w:t>
      </w:r>
      <w:r>
        <w:rPr>
          <w:color w:val="231F20"/>
          <w:spacing w:val="64"/>
        </w:rPr>
        <w:t> </w:t>
      </w:r>
      <w:r>
        <w:rPr>
          <w:color w:val="231F20"/>
          <w:spacing w:val="4"/>
        </w:rPr>
        <w:t>de </w:t>
      </w:r>
      <w:r>
        <w:rPr>
          <w:color w:val="231F20"/>
          <w:spacing w:val="3"/>
        </w:rPr>
        <w:t>la </w:t>
      </w:r>
      <w:r>
        <w:rPr>
          <w:color w:val="231F20"/>
          <w:spacing w:val="6"/>
        </w:rPr>
        <w:t>conducta rebelde </w:t>
      </w:r>
      <w:r>
        <w:rPr>
          <w:color w:val="231F20"/>
          <w:spacing w:val="4"/>
        </w:rPr>
        <w:t>de </w:t>
      </w:r>
      <w:r>
        <w:rPr>
          <w:color w:val="231F20"/>
          <w:spacing w:val="5"/>
        </w:rPr>
        <w:t>sus </w:t>
      </w:r>
      <w:r>
        <w:rPr>
          <w:color w:val="231F20"/>
          <w:spacing w:val="6"/>
        </w:rPr>
        <w:t>estudiantes durante </w:t>
      </w:r>
      <w:r>
        <w:rPr>
          <w:color w:val="231F20"/>
          <w:spacing w:val="3"/>
        </w:rPr>
        <w:t>el </w:t>
      </w:r>
      <w:r>
        <w:rPr>
          <w:color w:val="231F20"/>
          <w:spacing w:val="6"/>
        </w:rPr>
        <w:t>desarrollo</w:t>
      </w:r>
      <w:r>
        <w:rPr>
          <w:color w:val="231F20"/>
          <w:spacing w:val="64"/>
        </w:rPr>
        <w:t> </w:t>
      </w:r>
      <w:r>
        <w:rPr>
          <w:color w:val="231F20"/>
          <w:spacing w:val="4"/>
        </w:rPr>
        <w:t>de </w:t>
      </w:r>
      <w:r>
        <w:rPr>
          <w:color w:val="231F20"/>
          <w:spacing w:val="3"/>
        </w:rPr>
        <w:t>la </w:t>
      </w:r>
      <w:r>
        <w:rPr>
          <w:color w:val="231F20"/>
          <w:spacing w:val="5"/>
        </w:rPr>
        <w:t>clase, bien </w:t>
      </w:r>
      <w:r>
        <w:rPr>
          <w:color w:val="231F20"/>
          <w:spacing w:val="3"/>
        </w:rPr>
        <w:t>en la </w:t>
      </w:r>
      <w:r>
        <w:rPr>
          <w:color w:val="231F20"/>
          <w:spacing w:val="6"/>
        </w:rPr>
        <w:t>educación primaria (Wheldall </w:t>
      </w:r>
      <w:r>
        <w:rPr>
          <w:color w:val="231F20"/>
        </w:rPr>
        <w:t>y </w:t>
      </w:r>
      <w:r>
        <w:rPr>
          <w:color w:val="231F20"/>
          <w:spacing w:val="6"/>
        </w:rPr>
        <w:t>Merrett, </w:t>
      </w:r>
      <w:r>
        <w:rPr>
          <w:color w:val="231F20"/>
          <w:spacing w:val="5"/>
        </w:rPr>
        <w:t>1988), </w:t>
      </w:r>
      <w:r>
        <w:rPr>
          <w:color w:val="231F20"/>
        </w:rPr>
        <w:t>o </w:t>
      </w:r>
      <w:r>
        <w:rPr>
          <w:color w:val="231F20"/>
          <w:spacing w:val="3"/>
        </w:rPr>
        <w:t>en </w:t>
      </w:r>
      <w:r>
        <w:rPr>
          <w:color w:val="231F20"/>
          <w:spacing w:val="6"/>
        </w:rPr>
        <w:t>secundaria (Houghton, Wheldall </w:t>
      </w:r>
      <w:r>
        <w:rPr>
          <w:color w:val="231F20"/>
        </w:rPr>
        <w:t>y </w:t>
      </w:r>
      <w:r>
        <w:rPr>
          <w:color w:val="231F20"/>
          <w:spacing w:val="6"/>
        </w:rPr>
        <w:t>Merrett, </w:t>
      </w:r>
      <w:r>
        <w:rPr>
          <w:color w:val="231F20"/>
          <w:spacing w:val="5"/>
        </w:rPr>
        <w:t>1988), </w:t>
      </w:r>
      <w:r>
        <w:rPr>
          <w:color w:val="231F20"/>
          <w:spacing w:val="6"/>
        </w:rPr>
        <w:t>argumentan </w:t>
      </w:r>
      <w:r>
        <w:rPr>
          <w:color w:val="231F20"/>
          <w:spacing w:val="4"/>
        </w:rPr>
        <w:t>que </w:t>
      </w:r>
      <w:r>
        <w:rPr>
          <w:color w:val="231F20"/>
          <w:spacing w:val="3"/>
        </w:rPr>
        <w:t>la </w:t>
      </w:r>
      <w:r>
        <w:rPr>
          <w:color w:val="231F20"/>
          <w:spacing w:val="6"/>
        </w:rPr>
        <w:t>problemática </w:t>
      </w:r>
      <w:r>
        <w:rPr>
          <w:color w:val="231F20"/>
          <w:spacing w:val="5"/>
        </w:rPr>
        <w:t>más </w:t>
      </w:r>
      <w:r>
        <w:rPr>
          <w:color w:val="231F20"/>
          <w:spacing w:val="6"/>
        </w:rPr>
        <w:t>grande </w:t>
      </w:r>
      <w:r>
        <w:rPr>
          <w:color w:val="231F20"/>
          <w:spacing w:val="3"/>
        </w:rPr>
        <w:t>se da en el </w:t>
      </w:r>
      <w:r>
        <w:rPr>
          <w:color w:val="231F20"/>
          <w:spacing w:val="7"/>
        </w:rPr>
        <w:t>nivel </w:t>
      </w:r>
      <w:r>
        <w:rPr>
          <w:color w:val="231F20"/>
          <w:spacing w:val="5"/>
        </w:rPr>
        <w:t>básico</w:t>
      </w:r>
      <w:r>
        <w:rPr>
          <w:color w:val="231F20"/>
          <w:spacing w:val="3"/>
        </w:rPr>
        <w:t> </w:t>
      </w:r>
      <w:r>
        <w:rPr>
          <w:color w:val="231F20"/>
          <w:spacing w:val="6"/>
        </w:rPr>
        <w:t>secundario.</w:t>
      </w:r>
    </w:p>
    <w:p>
      <w:pPr>
        <w:pStyle w:val="BodyText"/>
        <w:spacing w:line="249" w:lineRule="auto"/>
        <w:ind w:left="102" w:right="116" w:firstLine="284"/>
        <w:jc w:val="both"/>
      </w:pPr>
      <w:r>
        <w:rPr>
          <w:color w:val="231F20"/>
        </w:rPr>
        <w:t>Las investigaciones de Kaltiala-Heino, Rimpelä, Rantanen y Rimpelä, 2000; Sourander, Helstela, Helenius y Piha, 2000, han verificado que el incremento de las conductas disruptivas tiene lugar durante el primer ciclo de la secundaria y su decremento sucede más tarde, al final de esta fase educativa. Como tales hechos suceden en todas las asignaturas de cada área curricular (Ishee, 2004), los efectos son muy negativos para el logro de los fines del sistema educativo, pues los docentes no pueden expli- car las lecciones y emplean gran parte de su tiempo en ser meros cuidadores.</w:t>
      </w:r>
    </w:p>
    <w:p>
      <w:pPr>
        <w:pStyle w:val="BodyText"/>
        <w:spacing w:line="249" w:lineRule="auto"/>
        <w:ind w:left="102" w:right="114" w:firstLine="284"/>
        <w:jc w:val="both"/>
      </w:pPr>
      <w:r>
        <w:rPr>
          <w:color w:val="231F20"/>
          <w:spacing w:val="4"/>
        </w:rPr>
        <w:t>Según </w:t>
      </w:r>
      <w:r>
        <w:rPr>
          <w:color w:val="231F20"/>
        </w:rPr>
        <w:t>la </w:t>
      </w:r>
      <w:r>
        <w:rPr>
          <w:color w:val="231F20"/>
          <w:spacing w:val="5"/>
        </w:rPr>
        <w:t>OCDE, </w:t>
      </w:r>
      <w:r>
        <w:rPr>
          <w:color w:val="231F20"/>
          <w:spacing w:val="2"/>
        </w:rPr>
        <w:t>en el </w:t>
      </w:r>
      <w:r>
        <w:rPr>
          <w:color w:val="231F20"/>
          <w:spacing w:val="4"/>
        </w:rPr>
        <w:t>Informe TALIS, 2009, </w:t>
      </w:r>
      <w:r>
        <w:rPr>
          <w:color w:val="231F20"/>
          <w:spacing w:val="2"/>
        </w:rPr>
        <w:t>un </w:t>
      </w:r>
      <w:r>
        <w:rPr>
          <w:color w:val="231F20"/>
          <w:spacing w:val="3"/>
        </w:rPr>
        <w:t>16% de los </w:t>
      </w:r>
      <w:r>
        <w:rPr>
          <w:color w:val="231F20"/>
          <w:spacing w:val="4"/>
        </w:rPr>
        <w:t>docentes emplean </w:t>
      </w:r>
      <w:r>
        <w:rPr>
          <w:color w:val="231F20"/>
        </w:rPr>
        <w:t>la </w:t>
      </w:r>
      <w:r>
        <w:rPr>
          <w:color w:val="231F20"/>
          <w:spacing w:val="4"/>
        </w:rPr>
        <w:t>mayor parte </w:t>
      </w:r>
      <w:r>
        <w:rPr>
          <w:color w:val="231F20"/>
          <w:spacing w:val="3"/>
        </w:rPr>
        <w:t>de </w:t>
      </w:r>
      <w:r>
        <w:rPr>
          <w:color w:val="231F20"/>
          <w:spacing w:val="2"/>
        </w:rPr>
        <w:t>su </w:t>
      </w:r>
      <w:r>
        <w:rPr>
          <w:color w:val="231F20"/>
          <w:spacing w:val="4"/>
        </w:rPr>
        <w:t>tiempo </w:t>
      </w:r>
      <w:r>
        <w:rPr>
          <w:color w:val="231F20"/>
          <w:spacing w:val="2"/>
        </w:rPr>
        <w:t>en </w:t>
      </w:r>
      <w:r>
        <w:rPr>
          <w:color w:val="231F20"/>
          <w:spacing w:val="4"/>
        </w:rPr>
        <w:t>“cuidar” </w:t>
      </w:r>
      <w:r>
        <w:rPr>
          <w:color w:val="231F20"/>
        </w:rPr>
        <w:t>a </w:t>
      </w:r>
      <w:r>
        <w:rPr>
          <w:color w:val="231F20"/>
          <w:spacing w:val="3"/>
        </w:rPr>
        <w:t>los </w:t>
      </w:r>
      <w:r>
        <w:rPr>
          <w:color w:val="231F20"/>
          <w:spacing w:val="4"/>
        </w:rPr>
        <w:t>estudiantes. </w:t>
      </w:r>
      <w:r>
        <w:rPr>
          <w:color w:val="231F20"/>
          <w:spacing w:val="3"/>
        </w:rPr>
        <w:t>Tal </w:t>
      </w:r>
      <w:r>
        <w:rPr>
          <w:color w:val="231F20"/>
          <w:spacing w:val="4"/>
        </w:rPr>
        <w:t>pérdida </w:t>
      </w:r>
      <w:r>
        <w:rPr>
          <w:color w:val="231F20"/>
          <w:spacing w:val="3"/>
        </w:rPr>
        <w:t>de </w:t>
      </w:r>
      <w:r>
        <w:rPr>
          <w:color w:val="231F20"/>
          <w:spacing w:val="4"/>
        </w:rPr>
        <w:t>tiempo </w:t>
      </w:r>
      <w:r>
        <w:rPr>
          <w:color w:val="231F20"/>
        </w:rPr>
        <w:t>y </w:t>
      </w:r>
      <w:r>
        <w:rPr>
          <w:color w:val="231F20"/>
          <w:spacing w:val="4"/>
        </w:rPr>
        <w:t>energías </w:t>
      </w:r>
      <w:r>
        <w:rPr>
          <w:color w:val="231F20"/>
          <w:spacing w:val="2"/>
        </w:rPr>
        <w:t>se </w:t>
      </w:r>
      <w:r>
        <w:rPr>
          <w:color w:val="231F20"/>
          <w:spacing w:val="4"/>
        </w:rPr>
        <w:t>aprecia </w:t>
      </w:r>
      <w:r>
        <w:rPr>
          <w:color w:val="231F20"/>
          <w:spacing w:val="2"/>
        </w:rPr>
        <w:t>en </w:t>
      </w:r>
      <w:r>
        <w:rPr>
          <w:color w:val="231F20"/>
          <w:spacing w:val="4"/>
        </w:rPr>
        <w:t>que  </w:t>
      </w:r>
      <w:r>
        <w:rPr>
          <w:color w:val="231F20"/>
          <w:spacing w:val="3"/>
        </w:rPr>
        <w:t>los </w:t>
      </w:r>
      <w:r>
        <w:rPr>
          <w:color w:val="231F20"/>
          <w:spacing w:val="4"/>
        </w:rPr>
        <w:t>directores </w:t>
      </w:r>
      <w:r>
        <w:rPr>
          <w:color w:val="231F20"/>
          <w:spacing w:val="3"/>
        </w:rPr>
        <w:t>de </w:t>
      </w:r>
      <w:r>
        <w:rPr>
          <w:color w:val="231F20"/>
          <w:spacing w:val="4"/>
        </w:rPr>
        <w:t>colegios </w:t>
      </w:r>
      <w:r>
        <w:rPr>
          <w:color w:val="231F20"/>
          <w:spacing w:val="3"/>
        </w:rPr>
        <w:t>de </w:t>
      </w:r>
      <w:r>
        <w:rPr>
          <w:color w:val="231F20"/>
          <w:spacing w:val="4"/>
        </w:rPr>
        <w:t>educación secundaria </w:t>
      </w:r>
      <w:r>
        <w:rPr>
          <w:color w:val="231F20"/>
          <w:spacing w:val="2"/>
        </w:rPr>
        <w:t>en el </w:t>
      </w:r>
      <w:r>
        <w:rPr>
          <w:color w:val="231F20"/>
          <w:spacing w:val="3"/>
        </w:rPr>
        <w:t>2004 </w:t>
      </w:r>
      <w:r>
        <w:rPr>
          <w:color w:val="231F20"/>
          <w:spacing w:val="4"/>
        </w:rPr>
        <w:t>dedicaban </w:t>
      </w:r>
      <w:r>
        <w:rPr>
          <w:color w:val="231F20"/>
          <w:spacing w:val="2"/>
        </w:rPr>
        <w:t>el 50 </w:t>
      </w:r>
      <w:r>
        <w:rPr>
          <w:color w:val="231F20"/>
        </w:rPr>
        <w:t>% </w:t>
      </w:r>
      <w:r>
        <w:rPr>
          <w:color w:val="231F20"/>
          <w:spacing w:val="3"/>
        </w:rPr>
        <w:t>de </w:t>
      </w:r>
      <w:r>
        <w:rPr>
          <w:color w:val="231F20"/>
          <w:spacing w:val="2"/>
        </w:rPr>
        <w:t>su </w:t>
      </w:r>
      <w:r>
        <w:rPr>
          <w:color w:val="231F20"/>
          <w:spacing w:val="4"/>
        </w:rPr>
        <w:t>tiempo </w:t>
      </w:r>
      <w:r>
        <w:rPr>
          <w:color w:val="231F20"/>
        </w:rPr>
        <w:t>a </w:t>
      </w:r>
      <w:r>
        <w:rPr>
          <w:color w:val="231F20"/>
          <w:spacing w:val="4"/>
        </w:rPr>
        <w:t>resolver casos </w:t>
      </w:r>
      <w:r>
        <w:rPr>
          <w:color w:val="231F20"/>
          <w:spacing w:val="3"/>
        </w:rPr>
        <w:t>de </w:t>
      </w:r>
      <w:r>
        <w:rPr>
          <w:color w:val="231F20"/>
          <w:spacing w:val="4"/>
        </w:rPr>
        <w:t>vandalismo    </w:t>
      </w:r>
      <w:r>
        <w:rPr>
          <w:color w:val="231F20"/>
          <w:spacing w:val="2"/>
        </w:rPr>
        <w:t>y, en el </w:t>
      </w:r>
      <w:r>
        <w:rPr>
          <w:color w:val="231F20"/>
          <w:spacing w:val="4"/>
        </w:rPr>
        <w:t>2006, </w:t>
      </w:r>
      <w:r>
        <w:rPr>
          <w:color w:val="231F20"/>
          <w:spacing w:val="2"/>
        </w:rPr>
        <w:t>el </w:t>
      </w:r>
      <w:r>
        <w:rPr>
          <w:color w:val="231F20"/>
          <w:spacing w:val="3"/>
        </w:rPr>
        <w:t>66,66 </w:t>
      </w:r>
      <w:r>
        <w:rPr>
          <w:color w:val="231F20"/>
        </w:rPr>
        <w:t>% </w:t>
      </w:r>
      <w:r>
        <w:rPr>
          <w:color w:val="231F20"/>
          <w:spacing w:val="3"/>
        </w:rPr>
        <w:t>de </w:t>
      </w:r>
      <w:r>
        <w:rPr>
          <w:color w:val="231F20"/>
          <w:spacing w:val="2"/>
        </w:rPr>
        <w:t>su </w:t>
      </w:r>
      <w:r>
        <w:rPr>
          <w:color w:val="231F20"/>
          <w:spacing w:val="4"/>
        </w:rPr>
        <w:t>horario, </w:t>
      </w:r>
      <w:r>
        <w:rPr>
          <w:color w:val="231F20"/>
        </w:rPr>
        <w:t>a </w:t>
      </w:r>
      <w:r>
        <w:rPr>
          <w:color w:val="231F20"/>
          <w:spacing w:val="5"/>
        </w:rPr>
        <w:t>proporcionar </w:t>
      </w:r>
      <w:r>
        <w:rPr>
          <w:color w:val="231F20"/>
          <w:spacing w:val="4"/>
        </w:rPr>
        <w:t>ayuda </w:t>
      </w:r>
      <w:r>
        <w:rPr>
          <w:color w:val="231F20"/>
          <w:spacing w:val="2"/>
        </w:rPr>
        <w:t>en </w:t>
      </w:r>
      <w:r>
        <w:rPr>
          <w:color w:val="231F20"/>
          <w:spacing w:val="3"/>
        </w:rPr>
        <w:t>los </w:t>
      </w:r>
      <w:r>
        <w:rPr>
          <w:color w:val="231F20"/>
          <w:spacing w:val="4"/>
        </w:rPr>
        <w:t>problemas </w:t>
      </w:r>
      <w:r>
        <w:rPr>
          <w:color w:val="231F20"/>
          <w:spacing w:val="3"/>
        </w:rPr>
        <w:t>de </w:t>
      </w:r>
      <w:r>
        <w:rPr>
          <w:color w:val="231F20"/>
          <w:spacing w:val="4"/>
        </w:rPr>
        <w:t>convivencia.La </w:t>
      </w:r>
      <w:r>
        <w:rPr>
          <w:color w:val="231F20"/>
          <w:spacing w:val="5"/>
        </w:rPr>
        <w:t>comentada </w:t>
      </w:r>
      <w:r>
        <w:rPr>
          <w:color w:val="231F20"/>
          <w:spacing w:val="4"/>
        </w:rPr>
        <w:t>situación suele </w:t>
      </w:r>
      <w:r>
        <w:rPr>
          <w:color w:val="231F20"/>
          <w:spacing w:val="5"/>
        </w:rPr>
        <w:t>des- </w:t>
      </w:r>
      <w:r>
        <w:rPr>
          <w:color w:val="231F20"/>
          <w:spacing w:val="4"/>
        </w:rPr>
        <w:t>estabilizar tanto </w:t>
      </w:r>
      <w:r>
        <w:rPr>
          <w:color w:val="231F20"/>
        </w:rPr>
        <w:t>a </w:t>
      </w:r>
      <w:r>
        <w:rPr>
          <w:color w:val="231F20"/>
          <w:spacing w:val="4"/>
        </w:rPr>
        <w:t>estudiantes como </w:t>
      </w:r>
      <w:r>
        <w:rPr>
          <w:color w:val="231F20"/>
        </w:rPr>
        <w:t>a </w:t>
      </w:r>
      <w:r>
        <w:rPr>
          <w:color w:val="231F20"/>
          <w:spacing w:val="4"/>
        </w:rPr>
        <w:t>maestros (Fernández- Balboa, 1991; Esteve, 2006). </w:t>
      </w:r>
      <w:r>
        <w:rPr>
          <w:color w:val="231F20"/>
          <w:spacing w:val="3"/>
        </w:rPr>
        <w:t>Las </w:t>
      </w:r>
      <w:r>
        <w:rPr>
          <w:color w:val="231F20"/>
          <w:spacing w:val="4"/>
        </w:rPr>
        <w:t>conductas </w:t>
      </w:r>
      <w:r>
        <w:rPr>
          <w:color w:val="231F20"/>
          <w:spacing w:val="5"/>
        </w:rPr>
        <w:t>indisciplinadas </w:t>
      </w:r>
      <w:r>
        <w:rPr>
          <w:color w:val="231F20"/>
          <w:spacing w:val="3"/>
        </w:rPr>
        <w:t>de</w:t>
      </w:r>
      <w:r>
        <w:rPr>
          <w:color w:val="231F20"/>
          <w:spacing w:val="58"/>
        </w:rPr>
        <w:t> </w:t>
      </w:r>
      <w:r>
        <w:rPr>
          <w:color w:val="231F20"/>
          <w:spacing w:val="3"/>
        </w:rPr>
        <w:t>los </w:t>
      </w:r>
      <w:r>
        <w:rPr>
          <w:color w:val="231F20"/>
          <w:spacing w:val="4"/>
        </w:rPr>
        <w:t>estudiantes representan </w:t>
      </w:r>
      <w:r>
        <w:rPr>
          <w:color w:val="231F20"/>
        </w:rPr>
        <w:t>a </w:t>
      </w:r>
      <w:r>
        <w:rPr>
          <w:color w:val="231F20"/>
          <w:spacing w:val="4"/>
        </w:rPr>
        <w:t>menudo una fuente </w:t>
      </w:r>
      <w:r>
        <w:rPr>
          <w:color w:val="231F20"/>
          <w:spacing w:val="3"/>
        </w:rPr>
        <w:t>de </w:t>
      </w:r>
      <w:r>
        <w:rPr>
          <w:color w:val="231F20"/>
          <w:spacing w:val="5"/>
        </w:rPr>
        <w:t>tensión </w:t>
      </w:r>
      <w:r>
        <w:rPr>
          <w:color w:val="231F20"/>
          <w:spacing w:val="4"/>
        </w:rPr>
        <w:t>profesional </w:t>
      </w:r>
      <w:r>
        <w:rPr>
          <w:color w:val="231F20"/>
          <w:spacing w:val="2"/>
        </w:rPr>
        <w:t>al </w:t>
      </w:r>
      <w:r>
        <w:rPr>
          <w:color w:val="231F20"/>
          <w:spacing w:val="3"/>
        </w:rPr>
        <w:t>ser </w:t>
      </w:r>
      <w:r>
        <w:rPr>
          <w:color w:val="231F20"/>
          <w:spacing w:val="4"/>
        </w:rPr>
        <w:t>cuestionando </w:t>
      </w:r>
      <w:r>
        <w:rPr>
          <w:color w:val="231F20"/>
          <w:spacing w:val="2"/>
        </w:rPr>
        <w:t>el </w:t>
      </w:r>
      <w:r>
        <w:rPr>
          <w:color w:val="231F20"/>
          <w:spacing w:val="4"/>
        </w:rPr>
        <w:t>trabajo realizado por </w:t>
      </w:r>
      <w:r>
        <w:rPr>
          <w:color w:val="231F20"/>
          <w:spacing w:val="2"/>
        </w:rPr>
        <w:t>el </w:t>
      </w:r>
      <w:r>
        <w:rPr>
          <w:color w:val="231F20"/>
          <w:spacing w:val="5"/>
        </w:rPr>
        <w:t>maes- </w:t>
      </w:r>
      <w:r>
        <w:rPr>
          <w:color w:val="231F20"/>
          <w:spacing w:val="3"/>
        </w:rPr>
        <w:t>tro </w:t>
      </w:r>
      <w:r>
        <w:rPr>
          <w:color w:val="231F20"/>
          <w:spacing w:val="5"/>
        </w:rPr>
        <w:t>(Graham, </w:t>
      </w:r>
      <w:r>
        <w:rPr>
          <w:color w:val="231F20"/>
          <w:spacing w:val="4"/>
        </w:rPr>
        <w:t>1992), </w:t>
      </w:r>
      <w:r>
        <w:rPr>
          <w:color w:val="231F20"/>
          <w:spacing w:val="3"/>
        </w:rPr>
        <w:t>así </w:t>
      </w:r>
      <w:r>
        <w:rPr>
          <w:color w:val="231F20"/>
          <w:spacing w:val="4"/>
        </w:rPr>
        <w:t>como </w:t>
      </w:r>
      <w:r>
        <w:rPr>
          <w:color w:val="231F20"/>
          <w:spacing w:val="2"/>
        </w:rPr>
        <w:t>al </w:t>
      </w:r>
      <w:r>
        <w:rPr>
          <w:color w:val="231F20"/>
          <w:spacing w:val="5"/>
        </w:rPr>
        <w:t>promover </w:t>
      </w:r>
      <w:r>
        <w:rPr>
          <w:color w:val="231F20"/>
          <w:spacing w:val="3"/>
        </w:rPr>
        <w:t>una </w:t>
      </w:r>
      <w:r>
        <w:rPr>
          <w:color w:val="231F20"/>
          <w:spacing w:val="4"/>
        </w:rPr>
        <w:t>distracción </w:t>
      </w:r>
      <w:r>
        <w:rPr>
          <w:color w:val="231F20"/>
          <w:spacing w:val="3"/>
        </w:rPr>
        <w:t>de </w:t>
      </w:r>
      <w:r>
        <w:rPr>
          <w:color w:val="231F20"/>
          <w:spacing w:val="5"/>
        </w:rPr>
        <w:t>los </w:t>
      </w:r>
      <w:r>
        <w:rPr>
          <w:color w:val="231F20"/>
          <w:spacing w:val="4"/>
        </w:rPr>
        <w:t>estudiantes </w:t>
      </w:r>
      <w:r>
        <w:rPr>
          <w:color w:val="231F20"/>
          <w:spacing w:val="3"/>
        </w:rPr>
        <w:t>no </w:t>
      </w:r>
      <w:r>
        <w:rPr>
          <w:color w:val="231F20"/>
          <w:spacing w:val="4"/>
        </w:rPr>
        <w:t>directamente implicados </w:t>
      </w:r>
      <w:r>
        <w:rPr>
          <w:color w:val="231F20"/>
          <w:spacing w:val="2"/>
        </w:rPr>
        <w:t>en </w:t>
      </w:r>
      <w:r>
        <w:rPr>
          <w:color w:val="231F20"/>
          <w:spacing w:val="3"/>
        </w:rPr>
        <w:t>los </w:t>
      </w:r>
      <w:r>
        <w:rPr>
          <w:color w:val="231F20"/>
          <w:spacing w:val="4"/>
        </w:rPr>
        <w:t>hechos. También  </w:t>
      </w:r>
      <w:r>
        <w:rPr>
          <w:color w:val="231F20"/>
          <w:spacing w:val="2"/>
        </w:rPr>
        <w:t>es </w:t>
      </w:r>
      <w:r>
        <w:rPr>
          <w:color w:val="231F20"/>
          <w:spacing w:val="4"/>
        </w:rPr>
        <w:t>inquietante, </w:t>
      </w:r>
      <w:r>
        <w:rPr>
          <w:color w:val="231F20"/>
          <w:spacing w:val="2"/>
        </w:rPr>
        <w:t>el </w:t>
      </w:r>
      <w:r>
        <w:rPr>
          <w:color w:val="231F20"/>
          <w:spacing w:val="5"/>
        </w:rPr>
        <w:t>abandono </w:t>
      </w:r>
      <w:r>
        <w:rPr>
          <w:color w:val="231F20"/>
          <w:spacing w:val="3"/>
        </w:rPr>
        <w:t>de </w:t>
      </w:r>
      <w:r>
        <w:rPr>
          <w:color w:val="231F20"/>
        </w:rPr>
        <w:t>la </w:t>
      </w:r>
      <w:r>
        <w:rPr>
          <w:color w:val="231F20"/>
          <w:spacing w:val="4"/>
        </w:rPr>
        <w:t>profesión (Esteve, 2005; Fer- </w:t>
      </w:r>
      <w:r>
        <w:rPr>
          <w:color w:val="231F20"/>
          <w:spacing w:val="5"/>
        </w:rPr>
        <w:t>nández-Balboa, </w:t>
      </w:r>
      <w:r>
        <w:rPr>
          <w:color w:val="231F20"/>
          <w:spacing w:val="4"/>
        </w:rPr>
        <w:t>1991), situación que afecta especialmente </w:t>
      </w:r>
      <w:r>
        <w:rPr>
          <w:color w:val="231F20"/>
        </w:rPr>
        <w:t>a </w:t>
      </w:r>
      <w:r>
        <w:rPr>
          <w:color w:val="231F20"/>
          <w:spacing w:val="3"/>
        </w:rPr>
        <w:t>los </w:t>
      </w:r>
      <w:r>
        <w:rPr>
          <w:color w:val="231F20"/>
          <w:spacing w:val="4"/>
        </w:rPr>
        <w:t>docentes primerizos (Borko, </w:t>
      </w:r>
      <w:r>
        <w:rPr>
          <w:color w:val="231F20"/>
          <w:spacing w:val="3"/>
        </w:rPr>
        <w:t>Lalik </w:t>
      </w:r>
      <w:r>
        <w:rPr>
          <w:color w:val="231F20"/>
        </w:rPr>
        <w:t>y </w:t>
      </w:r>
      <w:r>
        <w:rPr>
          <w:color w:val="231F20"/>
          <w:spacing w:val="5"/>
        </w:rPr>
        <w:t>Tomchin,</w:t>
      </w:r>
      <w:r>
        <w:rPr>
          <w:color w:val="231F20"/>
          <w:spacing w:val="-4"/>
        </w:rPr>
        <w:t> </w:t>
      </w:r>
      <w:r>
        <w:rPr>
          <w:color w:val="231F20"/>
          <w:spacing w:val="4"/>
        </w:rPr>
        <w:t>1987).</w:t>
      </w:r>
    </w:p>
    <w:p>
      <w:pPr>
        <w:pStyle w:val="BodyText"/>
        <w:spacing w:line="247" w:lineRule="auto"/>
        <w:ind w:left="102" w:right="119" w:firstLine="284"/>
        <w:jc w:val="both"/>
      </w:pPr>
      <w:r>
        <w:rPr>
          <w:color w:val="231F20"/>
        </w:rPr>
        <w:t>Otros estudios han indagado el fenómeno de la convivencia escolar desde otra perspectiva, como es el caso de paz, desarrollo, violencia, pobreza (Tortosa, 2001), en donde el autor expone la necesidad de ver en su conjunto estos cuatro fenómenos,  pues como  él  mismo  afirma,  que  mientras  se  observen  de    manera</w:t>
      </w:r>
    </w:p>
    <w:p>
      <w:pPr>
        <w:spacing w:after="0" w:line="247" w:lineRule="auto"/>
        <w:jc w:val="both"/>
        <w:sectPr>
          <w:headerReference w:type="default" r:id="rId892"/>
          <w:footerReference w:type="default" r:id="rId893"/>
          <w:pgSz w:w="7830" w:h="11910"/>
          <w:pgMar w:header="0" w:footer="424" w:top="500" w:bottom="620" w:left="920" w:right="900"/>
          <w:pgNumType w:start="40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40"/>
      </w:pPr>
      <w:r>
        <w:rPr>
          <w:color w:val="231F20"/>
        </w:rPr>
        <w:t>fragmentada, difícilmente se podrá superar la violencia y la pobre- za para alcanzar la paz y el desarrollo.</w:t>
      </w:r>
    </w:p>
    <w:p>
      <w:pPr>
        <w:pStyle w:val="BodyText"/>
        <w:spacing w:line="249" w:lineRule="auto" w:before="1"/>
        <w:ind w:left="102" w:right="115" w:firstLine="283"/>
        <w:jc w:val="both"/>
      </w:pPr>
      <w:r>
        <w:rPr>
          <w:color w:val="231F20"/>
        </w:rPr>
        <w:t>Por</w:t>
      </w:r>
      <w:r>
        <w:rPr>
          <w:color w:val="231F20"/>
          <w:spacing w:val="-11"/>
        </w:rPr>
        <w:t> </w:t>
      </w:r>
      <w:r>
        <w:rPr>
          <w:color w:val="231F20"/>
        </w:rPr>
        <w:t>su</w:t>
      </w:r>
      <w:r>
        <w:rPr>
          <w:color w:val="231F20"/>
          <w:spacing w:val="-10"/>
        </w:rPr>
        <w:t> </w:t>
      </w:r>
      <w:r>
        <w:rPr>
          <w:color w:val="231F20"/>
        </w:rPr>
        <w:t>parte,</w:t>
      </w:r>
      <w:r>
        <w:rPr>
          <w:color w:val="231F20"/>
          <w:spacing w:val="-11"/>
        </w:rPr>
        <w:t> </w:t>
      </w:r>
      <w:r>
        <w:rPr>
          <w:color w:val="231F20"/>
        </w:rPr>
        <w:t>Escámez-Sánchez</w:t>
      </w:r>
      <w:r>
        <w:rPr>
          <w:color w:val="231F20"/>
          <w:spacing w:val="-11"/>
        </w:rPr>
        <w:t> </w:t>
      </w:r>
      <w:r>
        <w:rPr>
          <w:color w:val="231F20"/>
        </w:rPr>
        <w:t>(2001),</w:t>
      </w:r>
      <w:r>
        <w:rPr>
          <w:color w:val="231F20"/>
          <w:spacing w:val="-12"/>
        </w:rPr>
        <w:t> </w:t>
      </w:r>
      <w:r>
        <w:rPr>
          <w:color w:val="231F20"/>
        </w:rPr>
        <w:t>en</w:t>
      </w:r>
      <w:r>
        <w:rPr>
          <w:color w:val="231F20"/>
          <w:spacing w:val="-10"/>
        </w:rPr>
        <w:t> </w:t>
      </w:r>
      <w:r>
        <w:rPr>
          <w:color w:val="231F20"/>
        </w:rPr>
        <w:t>el</w:t>
      </w:r>
      <w:r>
        <w:rPr>
          <w:color w:val="231F20"/>
          <w:spacing w:val="-11"/>
        </w:rPr>
        <w:t> </w:t>
      </w:r>
      <w:r>
        <w:rPr>
          <w:color w:val="231F20"/>
        </w:rPr>
        <w:t>estudio</w:t>
      </w:r>
      <w:r>
        <w:rPr>
          <w:color w:val="231F20"/>
          <w:spacing w:val="-10"/>
        </w:rPr>
        <w:t> </w:t>
      </w:r>
      <w:r>
        <w:rPr>
          <w:color w:val="231F20"/>
        </w:rPr>
        <w:t>“Los</w:t>
      </w:r>
      <w:r>
        <w:rPr>
          <w:color w:val="231F20"/>
          <w:spacing w:val="-11"/>
        </w:rPr>
        <w:t> </w:t>
      </w:r>
      <w:r>
        <w:rPr>
          <w:color w:val="231F20"/>
        </w:rPr>
        <w:t>conflic- tos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escuela</w:t>
      </w:r>
      <w:r>
        <w:rPr>
          <w:color w:val="231F20"/>
          <w:spacing w:val="-7"/>
        </w:rPr>
        <w:t> </w:t>
      </w:r>
      <w:r>
        <w:rPr>
          <w:color w:val="231F20"/>
        </w:rPr>
        <w:t>secundaria</w:t>
      </w:r>
      <w:r>
        <w:rPr>
          <w:color w:val="231F20"/>
          <w:spacing w:val="-6"/>
        </w:rPr>
        <w:t> </w:t>
      </w:r>
      <w:r>
        <w:rPr>
          <w:color w:val="231F20"/>
        </w:rPr>
        <w:t>obligatoria”,</w:t>
      </w:r>
      <w:r>
        <w:rPr>
          <w:color w:val="231F20"/>
          <w:spacing w:val="-8"/>
        </w:rPr>
        <w:t> </w:t>
      </w:r>
      <w:r>
        <w:rPr>
          <w:color w:val="231F20"/>
        </w:rPr>
        <w:t>analizó</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entrevis- tas si en los centros existían conflictos o violencia, pues se partía del supuesto de que existían conflictos pero raramente situaciones de violencia.</w:t>
      </w:r>
      <w:r>
        <w:rPr>
          <w:color w:val="231F20"/>
          <w:spacing w:val="-11"/>
        </w:rPr>
        <w:t> </w:t>
      </w:r>
      <w:r>
        <w:rPr>
          <w:color w:val="231F20"/>
        </w:rPr>
        <w:t>En</w:t>
      </w:r>
      <w:r>
        <w:rPr>
          <w:color w:val="231F20"/>
          <w:spacing w:val="-10"/>
        </w:rPr>
        <w:t> </w:t>
      </w:r>
      <w:r>
        <w:rPr>
          <w:color w:val="231F20"/>
        </w:rPr>
        <w:t>términos</w:t>
      </w:r>
      <w:r>
        <w:rPr>
          <w:color w:val="231F20"/>
          <w:spacing w:val="-11"/>
        </w:rPr>
        <w:t> </w:t>
      </w:r>
      <w:r>
        <w:rPr>
          <w:color w:val="231F20"/>
        </w:rPr>
        <w:t>generales,</w:t>
      </w:r>
      <w:r>
        <w:rPr>
          <w:color w:val="231F20"/>
          <w:spacing w:val="-11"/>
        </w:rPr>
        <w:t> </w:t>
      </w:r>
      <w:r>
        <w:rPr>
          <w:color w:val="231F20"/>
        </w:rPr>
        <w:t>el</w:t>
      </w:r>
      <w:r>
        <w:rPr>
          <w:color w:val="231F20"/>
          <w:spacing w:val="-11"/>
        </w:rPr>
        <w:t> </w:t>
      </w:r>
      <w:r>
        <w:rPr>
          <w:color w:val="231F20"/>
        </w:rPr>
        <w:t>56%</w:t>
      </w:r>
      <w:r>
        <w:rPr>
          <w:color w:val="231F20"/>
          <w:spacing w:val="-9"/>
        </w:rPr>
        <w:t> </w:t>
      </w:r>
      <w:r>
        <w:rPr>
          <w:color w:val="231F20"/>
        </w:rPr>
        <w:t>de</w:t>
      </w:r>
      <w:r>
        <w:rPr>
          <w:color w:val="231F20"/>
          <w:spacing w:val="-10"/>
        </w:rPr>
        <w:t> </w:t>
      </w:r>
      <w:r>
        <w:rPr>
          <w:color w:val="231F20"/>
        </w:rPr>
        <w:t>los</w:t>
      </w:r>
      <w:r>
        <w:rPr>
          <w:color w:val="231F20"/>
          <w:spacing w:val="-11"/>
        </w:rPr>
        <w:t> </w:t>
      </w:r>
      <w:r>
        <w:rPr>
          <w:color w:val="231F20"/>
        </w:rPr>
        <w:t>profesores</w:t>
      </w:r>
      <w:r>
        <w:rPr>
          <w:color w:val="231F20"/>
          <w:spacing w:val="-11"/>
        </w:rPr>
        <w:t> </w:t>
      </w:r>
      <w:r>
        <w:rPr>
          <w:color w:val="231F20"/>
        </w:rPr>
        <w:t>piensa</w:t>
      </w:r>
      <w:r>
        <w:rPr>
          <w:color w:val="231F20"/>
          <w:spacing w:val="-11"/>
        </w:rPr>
        <w:t> </w:t>
      </w:r>
      <w:r>
        <w:rPr>
          <w:color w:val="231F20"/>
        </w:rPr>
        <w:t>que en la actualidad hay más conflictos que antes, y el 44% piensa que hay pocos o ninguno. Entre los factores asociados a los conflictos, los</w:t>
      </w:r>
      <w:r>
        <w:rPr>
          <w:color w:val="231F20"/>
          <w:spacing w:val="-8"/>
        </w:rPr>
        <w:t> </w:t>
      </w:r>
      <w:r>
        <w:rPr>
          <w:color w:val="231F20"/>
        </w:rPr>
        <w:t>profesores</w:t>
      </w:r>
      <w:r>
        <w:rPr>
          <w:color w:val="231F20"/>
          <w:spacing w:val="-8"/>
        </w:rPr>
        <w:t> </w:t>
      </w:r>
      <w:r>
        <w:rPr>
          <w:color w:val="231F20"/>
        </w:rPr>
        <w:t>destacan</w:t>
      </w:r>
      <w:r>
        <w:rPr>
          <w:color w:val="231F20"/>
          <w:spacing w:val="-8"/>
        </w:rPr>
        <w:t> </w:t>
      </w:r>
      <w:r>
        <w:rPr>
          <w:color w:val="231F20"/>
        </w:rPr>
        <w:t>la</w:t>
      </w:r>
      <w:r>
        <w:rPr>
          <w:color w:val="231F20"/>
          <w:spacing w:val="-8"/>
        </w:rPr>
        <w:t> </w:t>
      </w:r>
      <w:r>
        <w:rPr>
          <w:color w:val="231F20"/>
        </w:rPr>
        <w:t>falta</w:t>
      </w:r>
      <w:r>
        <w:rPr>
          <w:color w:val="231F20"/>
          <w:spacing w:val="-8"/>
        </w:rPr>
        <w:t> </w:t>
      </w:r>
      <w:r>
        <w:rPr>
          <w:color w:val="231F20"/>
        </w:rPr>
        <w:t>de</w:t>
      </w:r>
      <w:r>
        <w:rPr>
          <w:color w:val="231F20"/>
          <w:spacing w:val="-8"/>
        </w:rPr>
        <w:t> </w:t>
      </w:r>
      <w:r>
        <w:rPr>
          <w:color w:val="231F20"/>
        </w:rPr>
        <w:t>interés</w:t>
      </w:r>
      <w:r>
        <w:rPr>
          <w:color w:val="231F20"/>
          <w:spacing w:val="-8"/>
        </w:rPr>
        <w:t> </w:t>
      </w:r>
      <w:r>
        <w:rPr>
          <w:color w:val="231F20"/>
        </w:rPr>
        <w:t>y</w:t>
      </w:r>
      <w:r>
        <w:rPr>
          <w:color w:val="231F20"/>
          <w:spacing w:val="-8"/>
        </w:rPr>
        <w:t> </w:t>
      </w:r>
      <w:r>
        <w:rPr>
          <w:color w:val="231F20"/>
        </w:rPr>
        <w:t>motivación</w:t>
      </w:r>
      <w:r>
        <w:rPr>
          <w:color w:val="231F20"/>
          <w:spacing w:val="-8"/>
        </w:rPr>
        <w:t> </w:t>
      </w:r>
      <w:r>
        <w:rPr>
          <w:color w:val="231F20"/>
        </w:rPr>
        <w:t>del</w:t>
      </w:r>
      <w:r>
        <w:rPr>
          <w:color w:val="231F20"/>
          <w:spacing w:val="-8"/>
        </w:rPr>
        <w:t> </w:t>
      </w:r>
      <w:r>
        <w:rPr>
          <w:color w:val="231F20"/>
        </w:rPr>
        <w:t>alumnado, así</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existencia</w:t>
      </w:r>
      <w:r>
        <w:rPr>
          <w:color w:val="231F20"/>
          <w:spacing w:val="-8"/>
        </w:rPr>
        <w:t> </w:t>
      </w:r>
      <w:r>
        <w:rPr>
          <w:color w:val="231F20"/>
        </w:rPr>
        <w:t>de</w:t>
      </w:r>
      <w:r>
        <w:rPr>
          <w:color w:val="231F20"/>
          <w:spacing w:val="-8"/>
        </w:rPr>
        <w:t> </w:t>
      </w:r>
      <w:r>
        <w:rPr>
          <w:color w:val="231F20"/>
        </w:rPr>
        <w:t>lagunas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conocimientos</w:t>
      </w:r>
      <w:r>
        <w:rPr>
          <w:color w:val="231F20"/>
          <w:spacing w:val="-8"/>
        </w:rPr>
        <w:t> </w:t>
      </w:r>
      <w:r>
        <w:rPr>
          <w:color w:val="231F20"/>
        </w:rPr>
        <w:t>previos</w:t>
      </w:r>
      <w:r>
        <w:rPr>
          <w:color w:val="231F20"/>
          <w:spacing w:val="-8"/>
        </w:rPr>
        <w:t> </w:t>
      </w:r>
      <w:r>
        <w:rPr>
          <w:color w:val="231F20"/>
        </w:rPr>
        <w:t>de</w:t>
      </w:r>
      <w:r>
        <w:rPr>
          <w:color w:val="231F20"/>
          <w:spacing w:val="-8"/>
        </w:rPr>
        <w:t> </w:t>
      </w:r>
      <w:r>
        <w:rPr>
          <w:color w:val="231F20"/>
        </w:rPr>
        <w:t>los estudiantes. El 57% no se siente preparado para afrontar los conflic- tos que surgen en el aula, un 40% se sienten desmotivados ante este asunto mientras que un 7% manifiestan su deseo de abandonar la docencia si pudieran, y un 10% afirma que el tema de los conflictos en el aula no es su responsabilidad. Los datos anteriores muestran un incremento</w:t>
      </w:r>
      <w:r>
        <w:rPr>
          <w:color w:val="231F20"/>
          <w:spacing w:val="-4"/>
        </w:rPr>
        <w:t> </w:t>
      </w:r>
      <w:r>
        <w:rPr>
          <w:color w:val="231F20"/>
        </w:rPr>
        <w:t>de</w:t>
      </w:r>
      <w:r>
        <w:rPr>
          <w:color w:val="231F20"/>
          <w:spacing w:val="-4"/>
        </w:rPr>
        <w:t> </w:t>
      </w:r>
      <w:r>
        <w:rPr>
          <w:color w:val="231F20"/>
        </w:rPr>
        <w:t>los</w:t>
      </w:r>
      <w:r>
        <w:rPr>
          <w:color w:val="231F20"/>
          <w:spacing w:val="-5"/>
        </w:rPr>
        <w:t> </w:t>
      </w:r>
      <w:r>
        <w:rPr>
          <w:color w:val="231F20"/>
        </w:rPr>
        <w:t>conflictos</w:t>
      </w:r>
      <w:r>
        <w:rPr>
          <w:color w:val="231F20"/>
          <w:spacing w:val="-5"/>
        </w:rPr>
        <w:t> </w:t>
      </w:r>
      <w:r>
        <w:rPr>
          <w:color w:val="231F20"/>
        </w:rPr>
        <w:t>en</w:t>
      </w:r>
      <w:r>
        <w:rPr>
          <w:color w:val="231F20"/>
          <w:spacing w:val="-4"/>
        </w:rPr>
        <w:t> </w:t>
      </w:r>
      <w:r>
        <w:rPr>
          <w:color w:val="231F20"/>
        </w:rPr>
        <w:t>la</w:t>
      </w:r>
      <w:r>
        <w:rPr>
          <w:color w:val="231F20"/>
          <w:spacing w:val="-5"/>
        </w:rPr>
        <w:t> </w:t>
      </w:r>
      <w:r>
        <w:rPr>
          <w:color w:val="231F20"/>
        </w:rPr>
        <w:t>escuela,</w:t>
      </w:r>
      <w:r>
        <w:rPr>
          <w:color w:val="231F20"/>
          <w:spacing w:val="-5"/>
        </w:rPr>
        <w:t> </w:t>
      </w:r>
      <w:r>
        <w:rPr>
          <w:color w:val="231F20"/>
        </w:rPr>
        <w:t>la</w:t>
      </w:r>
      <w:r>
        <w:rPr>
          <w:color w:val="231F20"/>
          <w:spacing w:val="-5"/>
        </w:rPr>
        <w:t> </w:t>
      </w:r>
      <w:r>
        <w:rPr>
          <w:color w:val="231F20"/>
        </w:rPr>
        <w:t>poca</w:t>
      </w:r>
      <w:r>
        <w:rPr>
          <w:color w:val="231F20"/>
          <w:spacing w:val="-5"/>
        </w:rPr>
        <w:t> </w:t>
      </w:r>
      <w:r>
        <w:rPr>
          <w:color w:val="231F20"/>
        </w:rPr>
        <w:t>preparación</w:t>
      </w:r>
      <w:r>
        <w:rPr>
          <w:color w:val="231F20"/>
          <w:spacing w:val="-4"/>
        </w:rPr>
        <w:t> </w:t>
      </w:r>
      <w:r>
        <w:rPr>
          <w:color w:val="231F20"/>
        </w:rPr>
        <w:t>de</w:t>
      </w:r>
      <w:r>
        <w:rPr>
          <w:color w:val="231F20"/>
          <w:spacing w:val="-4"/>
        </w:rPr>
        <w:t> </w:t>
      </w:r>
      <w:r>
        <w:rPr>
          <w:color w:val="231F20"/>
        </w:rPr>
        <w:t>los profesores</w:t>
      </w:r>
      <w:r>
        <w:rPr>
          <w:color w:val="231F20"/>
          <w:spacing w:val="-11"/>
        </w:rPr>
        <w:t> </w:t>
      </w:r>
      <w:r>
        <w:rPr>
          <w:color w:val="231F20"/>
        </w:rPr>
        <w:t>para</w:t>
      </w:r>
      <w:r>
        <w:rPr>
          <w:color w:val="231F20"/>
          <w:spacing w:val="-11"/>
        </w:rPr>
        <w:t> </w:t>
      </w:r>
      <w:r>
        <w:rPr>
          <w:color w:val="231F20"/>
        </w:rPr>
        <w:t>afrontarlos</w:t>
      </w:r>
      <w:r>
        <w:rPr>
          <w:color w:val="231F20"/>
          <w:spacing w:val="-11"/>
        </w:rPr>
        <w:t> </w:t>
      </w:r>
      <w:r>
        <w:rPr>
          <w:color w:val="231F20"/>
        </w:rPr>
        <w:t>así</w:t>
      </w:r>
      <w:r>
        <w:rPr>
          <w:color w:val="231F20"/>
          <w:spacing w:val="-11"/>
        </w:rPr>
        <w:t> </w:t>
      </w:r>
      <w:r>
        <w:rPr>
          <w:color w:val="231F20"/>
        </w:rPr>
        <w:t>como</w:t>
      </w:r>
      <w:r>
        <w:rPr>
          <w:color w:val="231F20"/>
          <w:spacing w:val="-10"/>
        </w:rPr>
        <w:t> </w:t>
      </w:r>
      <w:r>
        <w:rPr>
          <w:color w:val="231F20"/>
        </w:rPr>
        <w:t>su</w:t>
      </w:r>
      <w:r>
        <w:rPr>
          <w:color w:val="231F20"/>
          <w:spacing w:val="-10"/>
        </w:rPr>
        <w:t> </w:t>
      </w:r>
      <w:r>
        <w:rPr>
          <w:color w:val="231F20"/>
        </w:rPr>
        <w:t>desinterés.</w:t>
      </w:r>
    </w:p>
    <w:p>
      <w:pPr>
        <w:pStyle w:val="BodyText"/>
        <w:spacing w:line="249" w:lineRule="auto"/>
        <w:ind w:left="102" w:right="115" w:firstLine="284"/>
        <w:jc w:val="both"/>
      </w:pPr>
      <w:r>
        <w:rPr>
          <w:color w:val="231F20"/>
        </w:rPr>
        <w:t>Peiró (2001) plantea la importancia de un trabajo interdiscipli- nario para la investigación, que sirva para la práctica pedagógica. El autor se pregunta: ¿qué ocasiona los problemas violentos?, para el autor algunas de las causas son deficiencia en los valores de las sociedades en donde el sujeto se socializa primariamente; falta de legitimación de los valores escolares, que están en di-sintonía con los de la sociedad en donde se desenvuelve el educando; socializa- ciones primarias “defectuosas”; desempeño de la docencia con superespecialización, con excesiva división de funciones, conteni- dos, tareas, burocratización y rigidez organizativa de las escuelas, y fijación en el único rol de entendimiento, pero unido a lo inalcan- zable de los objetivos del ciclo o nivel.</w:t>
      </w:r>
    </w:p>
    <w:p>
      <w:pPr>
        <w:pStyle w:val="BodyText"/>
        <w:spacing w:line="247" w:lineRule="auto"/>
        <w:ind w:left="102" w:right="113" w:firstLine="284"/>
        <w:jc w:val="both"/>
      </w:pPr>
      <w:r>
        <w:rPr>
          <w:color w:val="231F20"/>
        </w:rPr>
        <w:t>Larrosa (2002), realizó un estudio denominado “Necesidades del profesorado y la responsabilidad de la administración educati- va”. Las situaciones exploradas relacionadas con las necesidades del profesorado, fueron agrupadas en apartados: situaciones rela- cionadas con las exigencias del trabajo docente, con el reconoci- miento de la profesión, con las relaciones interpersonales del cen- tro y condiciones del aula o centro para propiciar el trabajo. Los resultados  que  presenta  el  autor  indican  que  los  porcentajes de</w:t>
      </w:r>
    </w:p>
    <w:p>
      <w:pPr>
        <w:spacing w:after="0" w:line="247" w:lineRule="auto"/>
        <w:jc w:val="both"/>
        <w:sectPr>
          <w:headerReference w:type="default" r:id="rId894"/>
          <w:footerReference w:type="default" r:id="rId895"/>
          <w:pgSz w:w="7830" w:h="11910"/>
          <w:pgMar w:header="0" w:footer="424" w:top="500" w:bottom="620" w:left="920" w:right="900"/>
          <w:pgNumType w:start="40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21"/>
      </w:pPr>
      <w:r>
        <w:rPr>
          <w:color w:val="231F20"/>
        </w:rPr>
        <w:t>insatisfacción de los profesores que contestaron la  encuesta  es muy elevado y afecta considerablemente el clima escolar.</w:t>
      </w:r>
    </w:p>
    <w:p>
      <w:pPr>
        <w:pStyle w:val="BodyText"/>
        <w:spacing w:line="249" w:lineRule="auto" w:before="1"/>
        <w:ind w:left="101" w:right="114" w:firstLine="284"/>
        <w:jc w:val="both"/>
      </w:pPr>
      <w:r>
        <w:rPr>
          <w:color w:val="231F20"/>
        </w:rPr>
        <w:t>Martínez-Otero (2005) hace referencia a que los factores que ha- cen que los niños y adolescentes presenten conductas antisociales, se deben buscar en el entorno, es decir, en la sociedad y el ambiente (desigualdades sociales, medios de comunicación, facilidad de con- sumir</w:t>
      </w:r>
      <w:r>
        <w:rPr>
          <w:color w:val="231F20"/>
          <w:spacing w:val="-11"/>
        </w:rPr>
        <w:t> </w:t>
      </w:r>
      <w:r>
        <w:rPr>
          <w:color w:val="231F20"/>
        </w:rPr>
        <w:t>drogas</w:t>
      </w:r>
      <w:r>
        <w:rPr>
          <w:color w:val="231F20"/>
          <w:spacing w:val="-11"/>
        </w:rPr>
        <w:t> </w:t>
      </w:r>
      <w:r>
        <w:rPr>
          <w:color w:val="231F20"/>
        </w:rPr>
        <w:t>o</w:t>
      </w:r>
      <w:r>
        <w:rPr>
          <w:color w:val="231F20"/>
          <w:spacing w:val="-11"/>
        </w:rPr>
        <w:t> </w:t>
      </w:r>
      <w:r>
        <w:rPr>
          <w:color w:val="231F20"/>
        </w:rPr>
        <w:t>alcohol);</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relaciones</w:t>
      </w:r>
      <w:r>
        <w:rPr>
          <w:color w:val="231F20"/>
          <w:spacing w:val="-11"/>
        </w:rPr>
        <w:t> </w:t>
      </w:r>
      <w:r>
        <w:rPr>
          <w:color w:val="231F20"/>
        </w:rPr>
        <w:t>interpersonales</w:t>
      </w:r>
      <w:r>
        <w:rPr>
          <w:color w:val="231F20"/>
          <w:spacing w:val="-11"/>
        </w:rPr>
        <w:t> </w:t>
      </w:r>
      <w:r>
        <w:rPr>
          <w:color w:val="231F20"/>
        </w:rPr>
        <w:t>(sobrecarga de tareas, abuso de poder, desmotivación, empobrecimiento de la comunicación, individualismo); en “los escolares” (entorno escolar altamente jerarquizado, métodos pedagógicos basados en el castigo, preocupación exclusiva por los resultados académicos en detrimento de la persona, asimetría entre educadores y educando); en “lo fami- liar”</w:t>
      </w:r>
      <w:r>
        <w:rPr>
          <w:color w:val="231F20"/>
          <w:spacing w:val="-19"/>
        </w:rPr>
        <w:t> </w:t>
      </w:r>
      <w:r>
        <w:rPr>
          <w:color w:val="231F20"/>
        </w:rPr>
        <w:t>(desintegración,</w:t>
      </w:r>
      <w:r>
        <w:rPr>
          <w:color w:val="231F20"/>
          <w:spacing w:val="-20"/>
        </w:rPr>
        <w:t> </w:t>
      </w:r>
      <w:r>
        <w:rPr>
          <w:color w:val="231F20"/>
        </w:rPr>
        <w:t>violencia</w:t>
      </w:r>
      <w:r>
        <w:rPr>
          <w:color w:val="231F20"/>
          <w:spacing w:val="-19"/>
        </w:rPr>
        <w:t> </w:t>
      </w:r>
      <w:r>
        <w:rPr>
          <w:color w:val="231F20"/>
        </w:rPr>
        <w:t>doméstica,</w:t>
      </w:r>
      <w:r>
        <w:rPr>
          <w:color w:val="231F20"/>
          <w:spacing w:val="-20"/>
        </w:rPr>
        <w:t> </w:t>
      </w:r>
      <w:r>
        <w:rPr>
          <w:color w:val="231F20"/>
        </w:rPr>
        <w:t>permisividad,</w:t>
      </w:r>
      <w:r>
        <w:rPr>
          <w:color w:val="231F20"/>
          <w:spacing w:val="-20"/>
        </w:rPr>
        <w:t> </w:t>
      </w:r>
      <w:r>
        <w:rPr>
          <w:color w:val="231F20"/>
        </w:rPr>
        <w:t>falta</w:t>
      </w:r>
      <w:r>
        <w:rPr>
          <w:color w:val="231F20"/>
          <w:spacing w:val="-19"/>
        </w:rPr>
        <w:t> </w:t>
      </w:r>
      <w:r>
        <w:rPr>
          <w:color w:val="231F20"/>
        </w:rPr>
        <w:t>de</w:t>
      </w:r>
      <w:r>
        <w:rPr>
          <w:color w:val="231F20"/>
          <w:spacing w:val="-19"/>
        </w:rPr>
        <w:t> </w:t>
      </w:r>
      <w:r>
        <w:rPr>
          <w:color w:val="231F20"/>
        </w:rPr>
        <w:t>afec- to, condiciones socioeconómicas), y, por último, en lo“personal” (incapacidad para aceptar responsabilidades, baja autoestima, impul- sividad, falta de empatía). Por lo que sugiere el autor, las conductas antisociales</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violencia</w:t>
      </w:r>
      <w:r>
        <w:rPr>
          <w:color w:val="231F20"/>
          <w:spacing w:val="-8"/>
        </w:rPr>
        <w:t> </w:t>
      </w:r>
      <w:r>
        <w:rPr>
          <w:color w:val="231F20"/>
        </w:rPr>
        <w:t>escolar,</w:t>
      </w:r>
      <w:r>
        <w:rPr>
          <w:color w:val="231F20"/>
          <w:spacing w:val="-9"/>
        </w:rPr>
        <w:t> </w:t>
      </w:r>
      <w:r>
        <w:rPr>
          <w:color w:val="231F20"/>
        </w:rPr>
        <w:t>se</w:t>
      </w:r>
      <w:r>
        <w:rPr>
          <w:color w:val="231F20"/>
          <w:spacing w:val="-8"/>
        </w:rPr>
        <w:t> </w:t>
      </w:r>
      <w:r>
        <w:rPr>
          <w:color w:val="231F20"/>
        </w:rPr>
        <w:t>deben</w:t>
      </w:r>
      <w:r>
        <w:rPr>
          <w:color w:val="231F20"/>
          <w:spacing w:val="-8"/>
        </w:rPr>
        <w:t> </w:t>
      </w:r>
      <w:r>
        <w:rPr>
          <w:color w:val="231F20"/>
        </w:rPr>
        <w:t>explicar</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la relación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factores</w:t>
      </w:r>
      <w:r>
        <w:rPr>
          <w:color w:val="231F20"/>
          <w:spacing w:val="-15"/>
        </w:rPr>
        <w:t> </w:t>
      </w:r>
      <w:r>
        <w:rPr>
          <w:color w:val="231F20"/>
        </w:rPr>
        <w:t>mencionados.</w:t>
      </w:r>
    </w:p>
    <w:p>
      <w:pPr>
        <w:pStyle w:val="BodyText"/>
        <w:spacing w:line="249" w:lineRule="auto"/>
        <w:ind w:left="102" w:right="113" w:firstLine="283"/>
        <w:jc w:val="both"/>
      </w:pPr>
      <w:r>
        <w:rPr>
          <w:color w:val="231F20"/>
          <w:spacing w:val="2"/>
        </w:rPr>
        <w:t>Por otra parte, Ballester </w:t>
      </w:r>
      <w:r>
        <w:rPr>
          <w:color w:val="231F20"/>
        </w:rPr>
        <w:t>y </w:t>
      </w:r>
      <w:r>
        <w:rPr>
          <w:color w:val="231F20"/>
          <w:spacing w:val="3"/>
        </w:rPr>
        <w:t>Arnaiz-Sánchez </w:t>
      </w:r>
      <w:r>
        <w:rPr>
          <w:color w:val="231F20"/>
          <w:spacing w:val="2"/>
        </w:rPr>
        <w:t>(2001) parten </w:t>
      </w:r>
      <w:r>
        <w:rPr>
          <w:color w:val="231F20"/>
        </w:rPr>
        <w:t>de </w:t>
      </w:r>
      <w:r>
        <w:rPr>
          <w:color w:val="231F20"/>
          <w:spacing w:val="2"/>
        </w:rPr>
        <w:t>una crítica </w:t>
      </w:r>
      <w:r>
        <w:rPr>
          <w:color w:val="231F20"/>
        </w:rPr>
        <w:t>al </w:t>
      </w:r>
      <w:r>
        <w:rPr>
          <w:color w:val="231F20"/>
          <w:spacing w:val="2"/>
        </w:rPr>
        <w:t>discurso </w:t>
      </w:r>
      <w:r>
        <w:rPr>
          <w:color w:val="231F20"/>
          <w:spacing w:val="3"/>
        </w:rPr>
        <w:t>dominante </w:t>
      </w:r>
      <w:r>
        <w:rPr>
          <w:color w:val="231F20"/>
        </w:rPr>
        <w:t>de </w:t>
      </w:r>
      <w:r>
        <w:rPr>
          <w:color w:val="231F20"/>
          <w:spacing w:val="2"/>
        </w:rPr>
        <w:t>los </w:t>
      </w:r>
      <w:r>
        <w:rPr>
          <w:color w:val="231F20"/>
          <w:spacing w:val="3"/>
        </w:rPr>
        <w:t>medios </w:t>
      </w:r>
      <w:r>
        <w:rPr>
          <w:color w:val="231F20"/>
        </w:rPr>
        <w:t>de </w:t>
      </w:r>
      <w:r>
        <w:rPr>
          <w:color w:val="231F20"/>
          <w:spacing w:val="3"/>
        </w:rPr>
        <w:t>comunicación, </w:t>
      </w:r>
      <w:r>
        <w:rPr>
          <w:color w:val="231F20"/>
          <w:spacing w:val="2"/>
        </w:rPr>
        <w:t>legitimado por </w:t>
      </w:r>
      <w:r>
        <w:rPr>
          <w:color w:val="231F20"/>
        </w:rPr>
        <w:t>el </w:t>
      </w:r>
      <w:r>
        <w:rPr>
          <w:color w:val="231F20"/>
          <w:spacing w:val="2"/>
        </w:rPr>
        <w:t>discurso académico dado </w:t>
      </w:r>
      <w:r>
        <w:rPr>
          <w:color w:val="231F20"/>
        </w:rPr>
        <w:t>el </w:t>
      </w:r>
      <w:r>
        <w:rPr>
          <w:color w:val="231F20"/>
          <w:spacing w:val="3"/>
        </w:rPr>
        <w:t>número </w:t>
      </w:r>
      <w:r>
        <w:rPr>
          <w:color w:val="231F20"/>
        </w:rPr>
        <w:t>de </w:t>
      </w:r>
      <w:r>
        <w:rPr>
          <w:color w:val="231F20"/>
          <w:spacing w:val="3"/>
        </w:rPr>
        <w:t>estudios centrados </w:t>
      </w:r>
      <w:r>
        <w:rPr>
          <w:color w:val="231F20"/>
        </w:rPr>
        <w:t>en el </w:t>
      </w:r>
      <w:r>
        <w:rPr>
          <w:i/>
          <w:color w:val="231F20"/>
          <w:spacing w:val="2"/>
        </w:rPr>
        <w:t>bullying</w:t>
      </w:r>
      <w:r>
        <w:rPr>
          <w:color w:val="231F20"/>
          <w:spacing w:val="2"/>
        </w:rPr>
        <w:t>, estudios realizados </w:t>
      </w:r>
      <w:r>
        <w:rPr>
          <w:color w:val="231F20"/>
        </w:rPr>
        <w:t>en </w:t>
      </w:r>
      <w:r>
        <w:rPr>
          <w:color w:val="231F20"/>
          <w:spacing w:val="2"/>
        </w:rPr>
        <w:t>principio </w:t>
      </w:r>
      <w:r>
        <w:rPr>
          <w:color w:val="231F20"/>
        </w:rPr>
        <w:t>en </w:t>
      </w:r>
      <w:r>
        <w:rPr>
          <w:color w:val="231F20"/>
          <w:spacing w:val="2"/>
        </w:rPr>
        <w:t>países nórdicos, seguidos por </w:t>
      </w:r>
      <w:r>
        <w:rPr>
          <w:color w:val="231F20"/>
        </w:rPr>
        <w:t>un </w:t>
      </w:r>
      <w:r>
        <w:rPr>
          <w:color w:val="231F20"/>
          <w:spacing w:val="2"/>
        </w:rPr>
        <w:t>creciente </w:t>
      </w:r>
      <w:r>
        <w:rPr>
          <w:color w:val="231F20"/>
          <w:spacing w:val="3"/>
        </w:rPr>
        <w:t>número </w:t>
      </w:r>
      <w:r>
        <w:rPr>
          <w:color w:val="231F20"/>
        </w:rPr>
        <w:t>de </w:t>
      </w:r>
      <w:r>
        <w:rPr>
          <w:color w:val="231F20"/>
          <w:spacing w:val="2"/>
        </w:rPr>
        <w:t>estudios </w:t>
      </w:r>
      <w:r>
        <w:rPr>
          <w:color w:val="231F20"/>
        </w:rPr>
        <w:t>en </w:t>
      </w:r>
      <w:r>
        <w:rPr>
          <w:color w:val="231F20"/>
          <w:spacing w:val="3"/>
        </w:rPr>
        <w:t>Euro-</w:t>
      </w:r>
      <w:r>
        <w:rPr>
          <w:color w:val="231F20"/>
          <w:spacing w:val="58"/>
        </w:rPr>
        <w:t> </w:t>
      </w:r>
      <w:r>
        <w:rPr>
          <w:color w:val="231F20"/>
        </w:rPr>
        <w:t>pa y en </w:t>
      </w:r>
      <w:r>
        <w:rPr>
          <w:color w:val="231F20"/>
          <w:spacing w:val="3"/>
        </w:rPr>
        <w:t>España </w:t>
      </w:r>
      <w:r>
        <w:rPr>
          <w:color w:val="231F20"/>
        </w:rPr>
        <w:t>en </w:t>
      </w:r>
      <w:r>
        <w:rPr>
          <w:color w:val="231F20"/>
          <w:spacing w:val="2"/>
        </w:rPr>
        <w:t>particular. Los autores </w:t>
      </w:r>
      <w:r>
        <w:rPr>
          <w:color w:val="231F20"/>
          <w:spacing w:val="3"/>
        </w:rPr>
        <w:t>proponen </w:t>
      </w:r>
      <w:r>
        <w:rPr>
          <w:color w:val="231F20"/>
          <w:spacing w:val="2"/>
        </w:rPr>
        <w:t>centrar </w:t>
      </w:r>
      <w:r>
        <w:rPr>
          <w:color w:val="231F20"/>
        </w:rPr>
        <w:t>la </w:t>
      </w:r>
      <w:r>
        <w:rPr>
          <w:color w:val="231F20"/>
          <w:spacing w:val="2"/>
        </w:rPr>
        <w:t>atención </w:t>
      </w:r>
      <w:r>
        <w:rPr>
          <w:color w:val="231F20"/>
        </w:rPr>
        <w:t>en la </w:t>
      </w:r>
      <w:r>
        <w:rPr>
          <w:color w:val="231F20"/>
          <w:spacing w:val="2"/>
        </w:rPr>
        <w:t>violencia estructural, una violencia </w:t>
      </w:r>
      <w:r>
        <w:rPr>
          <w:color w:val="231F20"/>
        </w:rPr>
        <w:t>que no se </w:t>
      </w:r>
      <w:r>
        <w:rPr>
          <w:color w:val="231F20"/>
          <w:spacing w:val="2"/>
        </w:rPr>
        <w:t>mani- fiesta </w:t>
      </w:r>
      <w:r>
        <w:rPr>
          <w:color w:val="231F20"/>
        </w:rPr>
        <w:t>en </w:t>
      </w:r>
      <w:r>
        <w:rPr>
          <w:color w:val="231F20"/>
          <w:spacing w:val="3"/>
        </w:rPr>
        <w:t>conductas </w:t>
      </w:r>
      <w:r>
        <w:rPr>
          <w:color w:val="231F20"/>
          <w:spacing w:val="2"/>
        </w:rPr>
        <w:t>observables, porque </w:t>
      </w:r>
      <w:r>
        <w:rPr>
          <w:color w:val="231F20"/>
        </w:rPr>
        <w:t>es </w:t>
      </w:r>
      <w:r>
        <w:rPr>
          <w:color w:val="231F20"/>
          <w:spacing w:val="3"/>
        </w:rPr>
        <w:t>producto </w:t>
      </w:r>
      <w:r>
        <w:rPr>
          <w:color w:val="231F20"/>
        </w:rPr>
        <w:t>de un </w:t>
      </w:r>
      <w:r>
        <w:rPr>
          <w:color w:val="231F20"/>
          <w:spacing w:val="2"/>
        </w:rPr>
        <w:t>orden injusto que impide satisfacer </w:t>
      </w:r>
      <w:r>
        <w:rPr>
          <w:color w:val="231F20"/>
        </w:rPr>
        <w:t>las </w:t>
      </w:r>
      <w:r>
        <w:rPr>
          <w:color w:val="231F20"/>
          <w:spacing w:val="2"/>
        </w:rPr>
        <w:t>necesidades básicas </w:t>
      </w:r>
      <w:r>
        <w:rPr>
          <w:color w:val="231F20"/>
        </w:rPr>
        <w:t>de las </w:t>
      </w:r>
      <w:r>
        <w:rPr>
          <w:color w:val="231F20"/>
          <w:spacing w:val="3"/>
        </w:rPr>
        <w:t>perso- </w:t>
      </w:r>
      <w:r>
        <w:rPr>
          <w:color w:val="231F20"/>
          <w:spacing w:val="2"/>
        </w:rPr>
        <w:t>nas siendo </w:t>
      </w:r>
      <w:r>
        <w:rPr>
          <w:color w:val="231F20"/>
        </w:rPr>
        <w:t>la </w:t>
      </w:r>
      <w:r>
        <w:rPr>
          <w:color w:val="231F20"/>
          <w:spacing w:val="2"/>
        </w:rPr>
        <w:t>educación una </w:t>
      </w:r>
      <w:r>
        <w:rPr>
          <w:color w:val="231F20"/>
        </w:rPr>
        <w:t>de </w:t>
      </w:r>
      <w:r>
        <w:rPr>
          <w:color w:val="231F20"/>
          <w:spacing w:val="2"/>
        </w:rPr>
        <w:t>ellas. Para </w:t>
      </w:r>
      <w:r>
        <w:rPr>
          <w:color w:val="231F20"/>
        </w:rPr>
        <w:t>el </w:t>
      </w:r>
      <w:r>
        <w:rPr>
          <w:color w:val="231F20"/>
          <w:spacing w:val="2"/>
        </w:rPr>
        <w:t>autor, </w:t>
      </w:r>
      <w:r>
        <w:rPr>
          <w:color w:val="231F20"/>
        </w:rPr>
        <w:t>es </w:t>
      </w:r>
      <w:r>
        <w:rPr>
          <w:color w:val="231F20"/>
          <w:spacing w:val="2"/>
        </w:rPr>
        <w:t>necesario </w:t>
      </w:r>
      <w:r>
        <w:rPr>
          <w:color w:val="231F20"/>
          <w:spacing w:val="3"/>
        </w:rPr>
        <w:t>adoptar </w:t>
      </w:r>
      <w:r>
        <w:rPr>
          <w:color w:val="231F20"/>
        </w:rPr>
        <w:t>un </w:t>
      </w:r>
      <w:r>
        <w:rPr>
          <w:color w:val="231F20"/>
          <w:spacing w:val="2"/>
        </w:rPr>
        <w:t>enfoque ecológico </w:t>
      </w:r>
      <w:r>
        <w:rPr>
          <w:color w:val="231F20"/>
          <w:spacing w:val="3"/>
        </w:rPr>
        <w:t>(Bronfenbrenner, </w:t>
      </w:r>
      <w:r>
        <w:rPr>
          <w:color w:val="231F20"/>
          <w:spacing w:val="2"/>
        </w:rPr>
        <w:t>1997) para </w:t>
      </w:r>
      <w:r>
        <w:rPr>
          <w:color w:val="231F20"/>
          <w:spacing w:val="4"/>
        </w:rPr>
        <w:t>en- </w:t>
      </w:r>
      <w:r>
        <w:rPr>
          <w:color w:val="231F20"/>
          <w:spacing w:val="2"/>
        </w:rPr>
        <w:t>tender </w:t>
      </w:r>
      <w:r>
        <w:rPr>
          <w:color w:val="231F20"/>
        </w:rPr>
        <w:t>la </w:t>
      </w:r>
      <w:r>
        <w:rPr>
          <w:color w:val="231F20"/>
          <w:spacing w:val="2"/>
        </w:rPr>
        <w:t>violencia desde una visión amplia </w:t>
      </w:r>
      <w:r>
        <w:rPr>
          <w:color w:val="231F20"/>
        </w:rPr>
        <w:t>y </w:t>
      </w:r>
      <w:r>
        <w:rPr>
          <w:color w:val="231F20"/>
          <w:spacing w:val="3"/>
        </w:rPr>
        <w:t>multidimensional. </w:t>
      </w:r>
      <w:r>
        <w:rPr>
          <w:color w:val="231F20"/>
          <w:spacing w:val="2"/>
        </w:rPr>
        <w:t>No </w:t>
      </w:r>
      <w:r>
        <w:rPr>
          <w:color w:val="231F20"/>
        </w:rPr>
        <w:t>se </w:t>
      </w:r>
      <w:r>
        <w:rPr>
          <w:color w:val="231F20"/>
          <w:spacing w:val="2"/>
        </w:rPr>
        <w:t>puede explicar </w:t>
      </w:r>
      <w:r>
        <w:rPr>
          <w:color w:val="231F20"/>
        </w:rPr>
        <w:t>la </w:t>
      </w:r>
      <w:r>
        <w:rPr>
          <w:color w:val="231F20"/>
          <w:spacing w:val="2"/>
        </w:rPr>
        <w:t>violencia escolar </w:t>
      </w:r>
      <w:r>
        <w:rPr>
          <w:color w:val="231F20"/>
          <w:spacing w:val="3"/>
        </w:rPr>
        <w:t>desde </w:t>
      </w:r>
      <w:r>
        <w:rPr>
          <w:color w:val="231F20"/>
        </w:rPr>
        <w:t>un </w:t>
      </w:r>
      <w:r>
        <w:rPr>
          <w:color w:val="231F20"/>
          <w:spacing w:val="3"/>
        </w:rPr>
        <w:t>punto </w:t>
      </w:r>
      <w:r>
        <w:rPr>
          <w:color w:val="231F20"/>
        </w:rPr>
        <w:t>de </w:t>
      </w:r>
      <w:r>
        <w:rPr>
          <w:color w:val="231F20"/>
          <w:spacing w:val="2"/>
        </w:rPr>
        <w:t>vista individual. Creer que </w:t>
      </w:r>
      <w:r>
        <w:rPr>
          <w:color w:val="231F20"/>
        </w:rPr>
        <w:t>la </w:t>
      </w:r>
      <w:r>
        <w:rPr>
          <w:color w:val="231F20"/>
          <w:spacing w:val="2"/>
        </w:rPr>
        <w:t>responsabilidad </w:t>
      </w:r>
      <w:r>
        <w:rPr>
          <w:color w:val="231F20"/>
        </w:rPr>
        <w:t>de la </w:t>
      </w:r>
      <w:r>
        <w:rPr>
          <w:color w:val="231F20"/>
          <w:spacing w:val="2"/>
        </w:rPr>
        <w:t>violencia escolar </w:t>
      </w:r>
      <w:r>
        <w:rPr>
          <w:color w:val="231F20"/>
        </w:rPr>
        <w:t>es </w:t>
      </w:r>
      <w:r>
        <w:rPr>
          <w:color w:val="231F20"/>
          <w:spacing w:val="2"/>
        </w:rPr>
        <w:t>solo </w:t>
      </w:r>
      <w:r>
        <w:rPr>
          <w:color w:val="231F20"/>
        </w:rPr>
        <w:t>de </w:t>
      </w:r>
      <w:r>
        <w:rPr>
          <w:color w:val="231F20"/>
          <w:spacing w:val="2"/>
        </w:rPr>
        <w:t>los </w:t>
      </w:r>
      <w:r>
        <w:rPr>
          <w:color w:val="231F20"/>
          <w:spacing w:val="3"/>
        </w:rPr>
        <w:t>alumnos, </w:t>
      </w:r>
      <w:r>
        <w:rPr>
          <w:color w:val="231F20"/>
          <w:spacing w:val="2"/>
        </w:rPr>
        <w:t>sería aceptar </w:t>
      </w:r>
      <w:r>
        <w:rPr>
          <w:color w:val="231F20"/>
        </w:rPr>
        <w:t>la </w:t>
      </w:r>
      <w:r>
        <w:rPr>
          <w:color w:val="231F20"/>
          <w:spacing w:val="2"/>
        </w:rPr>
        <w:t>idea </w:t>
      </w:r>
      <w:r>
        <w:rPr>
          <w:color w:val="231F20"/>
        </w:rPr>
        <w:t>de </w:t>
      </w:r>
      <w:r>
        <w:rPr>
          <w:color w:val="231F20"/>
          <w:spacing w:val="2"/>
        </w:rPr>
        <w:t>que </w:t>
      </w:r>
      <w:r>
        <w:rPr>
          <w:color w:val="231F20"/>
        </w:rPr>
        <w:t>la </w:t>
      </w:r>
      <w:r>
        <w:rPr>
          <w:color w:val="231F20"/>
          <w:spacing w:val="2"/>
        </w:rPr>
        <w:t>institución escolar </w:t>
      </w:r>
      <w:r>
        <w:rPr>
          <w:color w:val="231F20"/>
        </w:rPr>
        <w:t>(su </w:t>
      </w:r>
      <w:r>
        <w:rPr>
          <w:color w:val="231F20"/>
          <w:spacing w:val="3"/>
        </w:rPr>
        <w:t>currículum, </w:t>
      </w:r>
      <w:r>
        <w:rPr>
          <w:color w:val="231F20"/>
          <w:spacing w:val="2"/>
        </w:rPr>
        <w:t>organización, sistemas </w:t>
      </w:r>
      <w:r>
        <w:rPr>
          <w:color w:val="231F20"/>
        </w:rPr>
        <w:t>de </w:t>
      </w:r>
      <w:r>
        <w:rPr>
          <w:color w:val="231F20"/>
          <w:spacing w:val="3"/>
        </w:rPr>
        <w:t>enseñanza) </w:t>
      </w:r>
      <w:r>
        <w:rPr>
          <w:color w:val="231F20"/>
        </w:rPr>
        <w:t>es </w:t>
      </w:r>
      <w:r>
        <w:rPr>
          <w:color w:val="231F20"/>
          <w:spacing w:val="3"/>
        </w:rPr>
        <w:t>objetivamente </w:t>
      </w:r>
      <w:r>
        <w:rPr>
          <w:color w:val="231F20"/>
          <w:spacing w:val="2"/>
        </w:rPr>
        <w:t>adecuada </w:t>
      </w:r>
      <w:r>
        <w:rPr>
          <w:color w:val="231F20"/>
        </w:rPr>
        <w:t>e </w:t>
      </w:r>
      <w:r>
        <w:rPr>
          <w:color w:val="231F20"/>
          <w:spacing w:val="2"/>
        </w:rPr>
        <w:t>inmutable. </w:t>
      </w:r>
      <w:r>
        <w:rPr>
          <w:color w:val="231F20"/>
        </w:rPr>
        <w:t>La </w:t>
      </w:r>
      <w:r>
        <w:rPr>
          <w:color w:val="231F20"/>
          <w:spacing w:val="2"/>
        </w:rPr>
        <w:t>lectura </w:t>
      </w:r>
      <w:r>
        <w:rPr>
          <w:color w:val="231F20"/>
        </w:rPr>
        <w:t>de la </w:t>
      </w:r>
      <w:r>
        <w:rPr>
          <w:color w:val="231F20"/>
          <w:spacing w:val="2"/>
        </w:rPr>
        <w:t>mayor </w:t>
      </w:r>
      <w:r>
        <w:rPr>
          <w:color w:val="231F20"/>
          <w:spacing w:val="3"/>
        </w:rPr>
        <w:t>parte </w:t>
      </w:r>
      <w:r>
        <w:rPr>
          <w:color w:val="231F20"/>
        </w:rPr>
        <w:t>de </w:t>
      </w:r>
      <w:r>
        <w:rPr>
          <w:color w:val="231F20"/>
          <w:spacing w:val="2"/>
        </w:rPr>
        <w:t>los </w:t>
      </w:r>
      <w:r>
        <w:rPr>
          <w:color w:val="231F20"/>
          <w:spacing w:val="3"/>
        </w:rPr>
        <w:t>problemas </w:t>
      </w:r>
      <w:r>
        <w:rPr>
          <w:color w:val="231F20"/>
        </w:rPr>
        <w:t>de </w:t>
      </w:r>
      <w:r>
        <w:rPr>
          <w:color w:val="231F20"/>
          <w:spacing w:val="2"/>
        </w:rPr>
        <w:t>convivencia habría </w:t>
      </w:r>
      <w:r>
        <w:rPr>
          <w:color w:val="231F20"/>
        </w:rPr>
        <w:t>de </w:t>
      </w:r>
      <w:r>
        <w:rPr>
          <w:color w:val="231F20"/>
          <w:spacing w:val="2"/>
        </w:rPr>
        <w:t>encuadrarla </w:t>
      </w:r>
      <w:r>
        <w:rPr>
          <w:color w:val="231F20"/>
        </w:rPr>
        <w:t>en el </w:t>
      </w:r>
      <w:r>
        <w:rPr>
          <w:color w:val="231F20"/>
          <w:spacing w:val="3"/>
        </w:rPr>
        <w:t>cho- </w:t>
      </w:r>
      <w:r>
        <w:rPr>
          <w:color w:val="231F20"/>
        </w:rPr>
        <w:t>que que se </w:t>
      </w:r>
      <w:r>
        <w:rPr>
          <w:color w:val="231F20"/>
          <w:spacing w:val="2"/>
        </w:rPr>
        <w:t>produce </w:t>
      </w:r>
      <w:r>
        <w:rPr>
          <w:color w:val="231F20"/>
        </w:rPr>
        <w:t>de la </w:t>
      </w:r>
      <w:r>
        <w:rPr>
          <w:color w:val="231F20"/>
          <w:spacing w:val="2"/>
        </w:rPr>
        <w:t>cultura escolar </w:t>
      </w:r>
      <w:r>
        <w:rPr>
          <w:color w:val="231F20"/>
        </w:rPr>
        <w:t>y la </w:t>
      </w:r>
      <w:r>
        <w:rPr>
          <w:color w:val="231F20"/>
          <w:spacing w:val="2"/>
        </w:rPr>
        <w:t>cultura </w:t>
      </w:r>
      <w:r>
        <w:rPr>
          <w:color w:val="231F20"/>
        </w:rPr>
        <w:t>de </w:t>
      </w:r>
      <w:r>
        <w:rPr>
          <w:color w:val="231F20"/>
          <w:spacing w:val="2"/>
        </w:rPr>
        <w:t>los alum- nos. Los </w:t>
      </w:r>
      <w:r>
        <w:rPr>
          <w:color w:val="231F20"/>
          <w:spacing w:val="3"/>
        </w:rPr>
        <w:t>conocimientos, </w:t>
      </w:r>
      <w:r>
        <w:rPr>
          <w:color w:val="231F20"/>
          <w:spacing w:val="2"/>
        </w:rPr>
        <w:t>valores </w:t>
      </w:r>
      <w:r>
        <w:rPr>
          <w:color w:val="231F20"/>
        </w:rPr>
        <w:t>y </w:t>
      </w:r>
      <w:r>
        <w:rPr>
          <w:color w:val="231F20"/>
          <w:spacing w:val="2"/>
        </w:rPr>
        <w:t>actitudes </w:t>
      </w:r>
      <w:r>
        <w:rPr>
          <w:color w:val="231F20"/>
        </w:rPr>
        <w:t>del </w:t>
      </w:r>
      <w:r>
        <w:rPr>
          <w:color w:val="231F20"/>
          <w:spacing w:val="2"/>
        </w:rPr>
        <w:t>bagaje cultural </w:t>
      </w:r>
      <w:r>
        <w:rPr>
          <w:color w:val="231F20"/>
        </w:rPr>
        <w:t>del </w:t>
      </w:r>
      <w:r>
        <w:rPr>
          <w:color w:val="231F20"/>
          <w:spacing w:val="3"/>
        </w:rPr>
        <w:t>alumnado </w:t>
      </w:r>
      <w:r>
        <w:rPr>
          <w:color w:val="231F20"/>
          <w:spacing w:val="2"/>
        </w:rPr>
        <w:t>pueden </w:t>
      </w:r>
      <w:r>
        <w:rPr>
          <w:color w:val="231F20"/>
        </w:rPr>
        <w:t>ser </w:t>
      </w:r>
      <w:r>
        <w:rPr>
          <w:color w:val="231F20"/>
          <w:spacing w:val="2"/>
        </w:rPr>
        <w:t>muy diferentes </w:t>
      </w:r>
      <w:r>
        <w:rPr>
          <w:color w:val="231F20"/>
        </w:rPr>
        <w:t>a </w:t>
      </w:r>
      <w:r>
        <w:rPr>
          <w:color w:val="231F20"/>
          <w:spacing w:val="2"/>
        </w:rPr>
        <w:t>los que </w:t>
      </w:r>
      <w:r>
        <w:rPr>
          <w:color w:val="231F20"/>
        </w:rPr>
        <w:t>se </w:t>
      </w:r>
      <w:r>
        <w:rPr>
          <w:color w:val="231F20"/>
          <w:spacing w:val="2"/>
        </w:rPr>
        <w:t>ofrecen desde </w:t>
      </w:r>
      <w:r>
        <w:rPr>
          <w:color w:val="231F20"/>
          <w:spacing w:val="53"/>
        </w:rPr>
        <w:t> </w:t>
      </w:r>
      <w:r>
        <w:rPr>
          <w:color w:val="231F20"/>
        </w:rPr>
        <w:t>la</w:t>
      </w:r>
    </w:p>
    <w:p>
      <w:pPr>
        <w:spacing w:after="0" w:line="249" w:lineRule="auto"/>
        <w:jc w:val="both"/>
        <w:sectPr>
          <w:headerReference w:type="default" r:id="rId896"/>
          <w:footerReference w:type="default" r:id="rId897"/>
          <w:pgSz w:w="7830" w:h="11910"/>
          <w:pgMar w:header="0" w:footer="424" w:top="500" w:bottom="620" w:left="920" w:right="900"/>
          <w:pgNumType w:start="40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1" w:right="115"/>
        <w:jc w:val="both"/>
      </w:pPr>
      <w:r>
        <w:rPr>
          <w:color w:val="231F20"/>
          <w:spacing w:val="2"/>
        </w:rPr>
        <w:t>institución escolar. Para </w:t>
      </w:r>
      <w:r>
        <w:rPr>
          <w:color w:val="231F20"/>
        </w:rPr>
        <w:t>ello no </w:t>
      </w:r>
      <w:r>
        <w:rPr>
          <w:color w:val="231F20"/>
          <w:spacing w:val="2"/>
        </w:rPr>
        <w:t>cabe otro proceso que </w:t>
      </w:r>
      <w:r>
        <w:rPr>
          <w:color w:val="231F20"/>
        </w:rPr>
        <w:t>el </w:t>
      </w:r>
      <w:r>
        <w:rPr>
          <w:color w:val="231F20"/>
          <w:spacing w:val="3"/>
        </w:rPr>
        <w:t>diagnós- </w:t>
      </w:r>
      <w:r>
        <w:rPr>
          <w:color w:val="231F20"/>
        </w:rPr>
        <w:t>tico de las </w:t>
      </w:r>
      <w:r>
        <w:rPr>
          <w:color w:val="231F20"/>
          <w:spacing w:val="2"/>
        </w:rPr>
        <w:t>características </w:t>
      </w:r>
      <w:r>
        <w:rPr>
          <w:color w:val="231F20"/>
        </w:rPr>
        <w:t>del </w:t>
      </w:r>
      <w:r>
        <w:rPr>
          <w:color w:val="231F20"/>
          <w:spacing w:val="3"/>
        </w:rPr>
        <w:t>alumnado </w:t>
      </w:r>
      <w:r>
        <w:rPr>
          <w:color w:val="231F20"/>
        </w:rPr>
        <w:t>y del </w:t>
      </w:r>
      <w:r>
        <w:rPr>
          <w:color w:val="231F20"/>
          <w:spacing w:val="3"/>
        </w:rPr>
        <w:t>entorno </w:t>
      </w:r>
      <w:r>
        <w:rPr>
          <w:color w:val="231F20"/>
        </w:rPr>
        <w:t>y del </w:t>
      </w:r>
      <w:r>
        <w:rPr>
          <w:color w:val="231F20"/>
          <w:spacing w:val="2"/>
        </w:rPr>
        <w:t>trabajo colegiado </w:t>
      </w:r>
      <w:r>
        <w:rPr>
          <w:color w:val="231F20"/>
        </w:rPr>
        <w:t>de </w:t>
      </w:r>
      <w:r>
        <w:rPr>
          <w:color w:val="231F20"/>
          <w:spacing w:val="2"/>
        </w:rPr>
        <w:t>los </w:t>
      </w:r>
      <w:r>
        <w:rPr>
          <w:color w:val="231F20"/>
          <w:spacing w:val="3"/>
        </w:rPr>
        <w:t>profesores. Dotarse </w:t>
      </w:r>
      <w:r>
        <w:rPr>
          <w:color w:val="231F20"/>
        </w:rPr>
        <w:t>de </w:t>
      </w:r>
      <w:r>
        <w:rPr>
          <w:color w:val="231F20"/>
          <w:spacing w:val="3"/>
        </w:rPr>
        <w:t>adecuados procedimien- </w:t>
      </w:r>
      <w:r>
        <w:rPr>
          <w:color w:val="231F20"/>
          <w:spacing w:val="2"/>
        </w:rPr>
        <w:t>tos </w:t>
      </w:r>
      <w:r>
        <w:rPr>
          <w:color w:val="231F20"/>
        </w:rPr>
        <w:t>y </w:t>
      </w:r>
      <w:r>
        <w:rPr>
          <w:color w:val="231F20"/>
          <w:spacing w:val="2"/>
        </w:rPr>
        <w:t>estructuras para </w:t>
      </w:r>
      <w:r>
        <w:rPr>
          <w:color w:val="231F20"/>
        </w:rPr>
        <w:t>la </w:t>
      </w:r>
      <w:r>
        <w:rPr>
          <w:color w:val="231F20"/>
          <w:spacing w:val="2"/>
        </w:rPr>
        <w:t>participación </w:t>
      </w:r>
      <w:r>
        <w:rPr>
          <w:color w:val="231F20"/>
        </w:rPr>
        <w:t>de la </w:t>
      </w:r>
      <w:r>
        <w:rPr>
          <w:color w:val="231F20"/>
          <w:spacing w:val="3"/>
        </w:rPr>
        <w:t>comunidad </w:t>
      </w:r>
      <w:r>
        <w:rPr>
          <w:color w:val="231F20"/>
          <w:spacing w:val="2"/>
        </w:rPr>
        <w:t>educativa </w:t>
      </w:r>
      <w:r>
        <w:rPr>
          <w:color w:val="231F20"/>
        </w:rPr>
        <w:t>y la </w:t>
      </w:r>
      <w:r>
        <w:rPr>
          <w:color w:val="231F20"/>
          <w:spacing w:val="2"/>
        </w:rPr>
        <w:t>colaboración </w:t>
      </w:r>
      <w:r>
        <w:rPr>
          <w:color w:val="231F20"/>
          <w:spacing w:val="3"/>
        </w:rPr>
        <w:t>profesional </w:t>
      </w:r>
      <w:r>
        <w:rPr>
          <w:color w:val="231F20"/>
          <w:spacing w:val="2"/>
        </w:rPr>
        <w:t>del </w:t>
      </w:r>
      <w:r>
        <w:rPr>
          <w:color w:val="231F20"/>
          <w:spacing w:val="3"/>
        </w:rPr>
        <w:t>profesorado </w:t>
      </w:r>
      <w:r>
        <w:rPr>
          <w:color w:val="231F20"/>
        </w:rPr>
        <w:t>ha de ser </w:t>
      </w:r>
      <w:r>
        <w:rPr>
          <w:color w:val="231F20"/>
          <w:spacing w:val="2"/>
        </w:rPr>
        <w:t>objetivo prioritario. Para estos autores, </w:t>
      </w:r>
      <w:r>
        <w:rPr>
          <w:color w:val="231F20"/>
        </w:rPr>
        <w:t>el </w:t>
      </w:r>
      <w:r>
        <w:rPr>
          <w:color w:val="231F20"/>
          <w:spacing w:val="3"/>
        </w:rPr>
        <w:t>profesor </w:t>
      </w:r>
      <w:r>
        <w:rPr>
          <w:color w:val="231F20"/>
        </w:rPr>
        <w:t>es </w:t>
      </w:r>
      <w:r>
        <w:rPr>
          <w:color w:val="231F20"/>
          <w:spacing w:val="3"/>
        </w:rPr>
        <w:t>determinante </w:t>
      </w:r>
      <w:r>
        <w:rPr>
          <w:color w:val="231F20"/>
          <w:spacing w:val="2"/>
        </w:rPr>
        <w:t>para </w:t>
      </w:r>
      <w:r>
        <w:rPr>
          <w:color w:val="231F20"/>
        </w:rPr>
        <w:t>el </w:t>
      </w:r>
      <w:r>
        <w:rPr>
          <w:color w:val="231F20"/>
          <w:spacing w:val="2"/>
        </w:rPr>
        <w:t>clima </w:t>
      </w:r>
      <w:r>
        <w:rPr>
          <w:color w:val="231F20"/>
        </w:rPr>
        <w:t>de </w:t>
      </w:r>
      <w:r>
        <w:rPr>
          <w:color w:val="231F20"/>
          <w:spacing w:val="2"/>
        </w:rPr>
        <w:t>convivencia que </w:t>
      </w:r>
      <w:r>
        <w:rPr>
          <w:color w:val="231F20"/>
        </w:rPr>
        <w:t>se vive en el </w:t>
      </w:r>
      <w:r>
        <w:rPr>
          <w:color w:val="231F20"/>
          <w:spacing w:val="2"/>
        </w:rPr>
        <w:t>aula, influyendo </w:t>
      </w:r>
      <w:r>
        <w:rPr>
          <w:color w:val="231F20"/>
        </w:rPr>
        <w:t>de </w:t>
      </w:r>
      <w:r>
        <w:rPr>
          <w:color w:val="231F20"/>
          <w:spacing w:val="2"/>
        </w:rPr>
        <w:t>uno </w:t>
      </w:r>
      <w:r>
        <w:rPr>
          <w:color w:val="231F20"/>
        </w:rPr>
        <w:t>o  de </w:t>
      </w:r>
      <w:r>
        <w:rPr>
          <w:color w:val="231F20"/>
          <w:spacing w:val="2"/>
        </w:rPr>
        <w:t>otro </w:t>
      </w:r>
      <w:r>
        <w:rPr>
          <w:color w:val="231F20"/>
          <w:spacing w:val="3"/>
        </w:rPr>
        <w:t>modo, </w:t>
      </w:r>
      <w:r>
        <w:rPr>
          <w:color w:val="231F20"/>
        </w:rPr>
        <w:t>en la </w:t>
      </w:r>
      <w:r>
        <w:rPr>
          <w:color w:val="231F20"/>
          <w:spacing w:val="2"/>
        </w:rPr>
        <w:t>creación </w:t>
      </w:r>
      <w:r>
        <w:rPr>
          <w:color w:val="231F20"/>
        </w:rPr>
        <w:t>de un </w:t>
      </w:r>
      <w:r>
        <w:rPr>
          <w:color w:val="231F20"/>
          <w:spacing w:val="2"/>
        </w:rPr>
        <w:t>grupo </w:t>
      </w:r>
      <w:r>
        <w:rPr>
          <w:color w:val="231F20"/>
        </w:rPr>
        <w:t>de </w:t>
      </w:r>
      <w:r>
        <w:rPr>
          <w:color w:val="231F20"/>
          <w:spacing w:val="2"/>
        </w:rPr>
        <w:t>iguales, </w:t>
      </w:r>
      <w:r>
        <w:rPr>
          <w:color w:val="231F20"/>
        </w:rPr>
        <w:t>en la </w:t>
      </w:r>
      <w:r>
        <w:rPr>
          <w:color w:val="231F20"/>
          <w:spacing w:val="2"/>
        </w:rPr>
        <w:t>relación entre </w:t>
      </w:r>
      <w:r>
        <w:rPr>
          <w:color w:val="231F20"/>
          <w:spacing w:val="3"/>
        </w:rPr>
        <w:t>alumnos </w:t>
      </w:r>
      <w:r>
        <w:rPr>
          <w:color w:val="231F20"/>
          <w:spacing w:val="2"/>
        </w:rPr>
        <w:t>con </w:t>
      </w:r>
      <w:r>
        <w:rPr>
          <w:color w:val="231F20"/>
          <w:spacing w:val="3"/>
        </w:rPr>
        <w:t>profesorado, </w:t>
      </w:r>
      <w:r>
        <w:rPr>
          <w:color w:val="231F20"/>
        </w:rPr>
        <w:t>y en  </w:t>
      </w:r>
      <w:r>
        <w:rPr>
          <w:color w:val="231F20"/>
          <w:spacing w:val="2"/>
        </w:rPr>
        <w:t>definitiva, </w:t>
      </w:r>
      <w:r>
        <w:rPr>
          <w:color w:val="231F20"/>
        </w:rPr>
        <w:t>en  la  </w:t>
      </w:r>
      <w:r>
        <w:rPr>
          <w:color w:val="231F20"/>
          <w:spacing w:val="2"/>
        </w:rPr>
        <w:t>actitud  </w:t>
      </w:r>
      <w:r>
        <w:rPr>
          <w:color w:val="231F20"/>
        </w:rPr>
        <w:t>de </w:t>
      </w:r>
      <w:r>
        <w:rPr>
          <w:color w:val="231F20"/>
          <w:spacing w:val="2"/>
        </w:rPr>
        <w:t>los </w:t>
      </w:r>
      <w:r>
        <w:rPr>
          <w:color w:val="231F20"/>
          <w:spacing w:val="3"/>
        </w:rPr>
        <w:t>alumnos </w:t>
      </w:r>
      <w:r>
        <w:rPr>
          <w:color w:val="231F20"/>
          <w:spacing w:val="2"/>
        </w:rPr>
        <w:t>hacia </w:t>
      </w:r>
      <w:r>
        <w:rPr>
          <w:color w:val="231F20"/>
        </w:rPr>
        <w:t>el </w:t>
      </w:r>
      <w:r>
        <w:rPr>
          <w:color w:val="231F20"/>
          <w:spacing w:val="2"/>
        </w:rPr>
        <w:t>centro.</w:t>
      </w:r>
    </w:p>
    <w:p>
      <w:pPr>
        <w:pStyle w:val="BodyText"/>
        <w:spacing w:line="249" w:lineRule="auto"/>
        <w:ind w:left="102" w:right="114" w:firstLine="283"/>
        <w:jc w:val="both"/>
      </w:pPr>
      <w:r>
        <w:rPr>
          <w:color w:val="231F20"/>
          <w:spacing w:val="2"/>
        </w:rPr>
        <w:t>Díaz-Aguado (2005), </w:t>
      </w:r>
      <w:r>
        <w:rPr>
          <w:color w:val="231F20"/>
        </w:rPr>
        <w:t>en el </w:t>
      </w:r>
      <w:r>
        <w:rPr>
          <w:color w:val="231F20"/>
          <w:spacing w:val="2"/>
        </w:rPr>
        <w:t>artículo “¿Por </w:t>
      </w:r>
      <w:r>
        <w:rPr>
          <w:color w:val="231F20"/>
        </w:rPr>
        <w:t>qué se </w:t>
      </w:r>
      <w:r>
        <w:rPr>
          <w:color w:val="231F20"/>
          <w:spacing w:val="2"/>
        </w:rPr>
        <w:t>produce </w:t>
      </w:r>
      <w:r>
        <w:rPr>
          <w:color w:val="231F20"/>
        </w:rPr>
        <w:t>la </w:t>
      </w:r>
      <w:r>
        <w:rPr>
          <w:color w:val="231F20"/>
          <w:spacing w:val="2"/>
        </w:rPr>
        <w:t>violencia escolar?”, afirma </w:t>
      </w:r>
      <w:r>
        <w:rPr>
          <w:color w:val="231F20"/>
        </w:rPr>
        <w:t>que </w:t>
      </w:r>
      <w:r>
        <w:rPr>
          <w:color w:val="231F20"/>
          <w:spacing w:val="2"/>
        </w:rPr>
        <w:t>entre </w:t>
      </w:r>
      <w:r>
        <w:rPr>
          <w:color w:val="231F20"/>
        </w:rPr>
        <w:t>las </w:t>
      </w:r>
      <w:r>
        <w:rPr>
          <w:color w:val="231F20"/>
          <w:spacing w:val="2"/>
        </w:rPr>
        <w:t>categorías </w:t>
      </w:r>
      <w:r>
        <w:rPr>
          <w:color w:val="231F20"/>
        </w:rPr>
        <w:t>de </w:t>
      </w:r>
      <w:r>
        <w:rPr>
          <w:color w:val="231F20"/>
          <w:spacing w:val="2"/>
        </w:rPr>
        <w:t>riesgo detec- tadas </w:t>
      </w:r>
      <w:r>
        <w:rPr>
          <w:color w:val="231F20"/>
        </w:rPr>
        <w:t>en </w:t>
      </w:r>
      <w:r>
        <w:rPr>
          <w:color w:val="231F20"/>
          <w:spacing w:val="2"/>
        </w:rPr>
        <w:t>los estudios científicos, </w:t>
      </w:r>
      <w:r>
        <w:rPr>
          <w:color w:val="231F20"/>
        </w:rPr>
        <w:t>y </w:t>
      </w:r>
      <w:r>
        <w:rPr>
          <w:color w:val="231F20"/>
          <w:spacing w:val="2"/>
        </w:rPr>
        <w:t>que suelen verse reflejadas </w:t>
      </w:r>
      <w:r>
        <w:rPr>
          <w:color w:val="231F20"/>
        </w:rPr>
        <w:t>en la </w:t>
      </w:r>
      <w:r>
        <w:rPr>
          <w:color w:val="231F20"/>
          <w:spacing w:val="2"/>
        </w:rPr>
        <w:t>mayoría </w:t>
      </w:r>
      <w:r>
        <w:rPr>
          <w:color w:val="231F20"/>
        </w:rPr>
        <w:t>de los </w:t>
      </w:r>
      <w:r>
        <w:rPr>
          <w:color w:val="231F20"/>
          <w:spacing w:val="2"/>
        </w:rPr>
        <w:t>casos </w:t>
      </w:r>
      <w:r>
        <w:rPr>
          <w:color w:val="231F20"/>
        </w:rPr>
        <w:t>de </w:t>
      </w:r>
      <w:r>
        <w:rPr>
          <w:color w:val="231F20"/>
          <w:spacing w:val="2"/>
        </w:rPr>
        <w:t>violencia escolar, </w:t>
      </w:r>
      <w:r>
        <w:rPr>
          <w:color w:val="231F20"/>
        </w:rPr>
        <w:t>se </w:t>
      </w:r>
      <w:r>
        <w:rPr>
          <w:color w:val="231F20"/>
          <w:spacing w:val="2"/>
        </w:rPr>
        <w:t>encuentran: </w:t>
      </w:r>
      <w:r>
        <w:rPr>
          <w:color w:val="231F20"/>
        </w:rPr>
        <w:t>la </w:t>
      </w:r>
      <w:r>
        <w:rPr>
          <w:color w:val="231F20"/>
          <w:spacing w:val="3"/>
        </w:rPr>
        <w:t>exclu- </w:t>
      </w:r>
      <w:r>
        <w:rPr>
          <w:color w:val="231F20"/>
          <w:spacing w:val="2"/>
        </w:rPr>
        <w:t>sión social </w:t>
      </w:r>
      <w:r>
        <w:rPr>
          <w:color w:val="231F20"/>
        </w:rPr>
        <w:t>o el </w:t>
      </w:r>
      <w:r>
        <w:rPr>
          <w:color w:val="231F20"/>
          <w:spacing w:val="3"/>
        </w:rPr>
        <w:t>sentimiento </w:t>
      </w:r>
      <w:r>
        <w:rPr>
          <w:color w:val="231F20"/>
        </w:rPr>
        <w:t>de </w:t>
      </w:r>
      <w:r>
        <w:rPr>
          <w:color w:val="231F20"/>
          <w:spacing w:val="2"/>
        </w:rPr>
        <w:t>exclusión, </w:t>
      </w:r>
      <w:r>
        <w:rPr>
          <w:color w:val="231F20"/>
        </w:rPr>
        <w:t>la </w:t>
      </w:r>
      <w:r>
        <w:rPr>
          <w:color w:val="231F20"/>
          <w:spacing w:val="2"/>
        </w:rPr>
        <w:t>ausencia </w:t>
      </w:r>
      <w:r>
        <w:rPr>
          <w:color w:val="231F20"/>
        </w:rPr>
        <w:t>de </w:t>
      </w:r>
      <w:r>
        <w:rPr>
          <w:color w:val="231F20"/>
          <w:spacing w:val="2"/>
        </w:rPr>
        <w:t>límites, </w:t>
      </w:r>
      <w:r>
        <w:rPr>
          <w:color w:val="231F20"/>
          <w:spacing w:val="3"/>
        </w:rPr>
        <w:t>la </w:t>
      </w:r>
      <w:r>
        <w:rPr>
          <w:color w:val="231F20"/>
          <w:spacing w:val="2"/>
        </w:rPr>
        <w:t>exposición </w:t>
      </w:r>
      <w:r>
        <w:rPr>
          <w:color w:val="231F20"/>
        </w:rPr>
        <w:t>a la </w:t>
      </w:r>
      <w:r>
        <w:rPr>
          <w:color w:val="231F20"/>
          <w:spacing w:val="2"/>
        </w:rPr>
        <w:t>violencia </w:t>
      </w:r>
      <w:r>
        <w:rPr>
          <w:color w:val="231F20"/>
        </w:rPr>
        <w:t>a </w:t>
      </w:r>
      <w:r>
        <w:rPr>
          <w:color w:val="231F20"/>
          <w:spacing w:val="2"/>
        </w:rPr>
        <w:t>través </w:t>
      </w:r>
      <w:r>
        <w:rPr>
          <w:color w:val="231F20"/>
        </w:rPr>
        <w:t>de </w:t>
      </w:r>
      <w:r>
        <w:rPr>
          <w:color w:val="231F20"/>
          <w:spacing w:val="2"/>
        </w:rPr>
        <w:t>los </w:t>
      </w:r>
      <w:r>
        <w:rPr>
          <w:color w:val="231F20"/>
          <w:spacing w:val="3"/>
        </w:rPr>
        <w:t>medios </w:t>
      </w:r>
      <w:r>
        <w:rPr>
          <w:color w:val="231F20"/>
        </w:rPr>
        <w:t>de </w:t>
      </w:r>
      <w:r>
        <w:rPr>
          <w:color w:val="231F20"/>
          <w:spacing w:val="3"/>
        </w:rPr>
        <w:t>comunicación,</w:t>
      </w:r>
      <w:r>
        <w:rPr>
          <w:color w:val="231F20"/>
          <w:spacing w:val="58"/>
        </w:rPr>
        <w:t> </w:t>
      </w:r>
      <w:r>
        <w:rPr>
          <w:color w:val="231F20"/>
        </w:rPr>
        <w:t>la </w:t>
      </w:r>
      <w:r>
        <w:rPr>
          <w:color w:val="231F20"/>
          <w:spacing w:val="2"/>
        </w:rPr>
        <w:t>integración </w:t>
      </w:r>
      <w:r>
        <w:rPr>
          <w:color w:val="231F20"/>
        </w:rPr>
        <w:t>en </w:t>
      </w:r>
      <w:r>
        <w:rPr>
          <w:color w:val="231F20"/>
          <w:spacing w:val="3"/>
        </w:rPr>
        <w:t>bandas </w:t>
      </w:r>
      <w:r>
        <w:rPr>
          <w:color w:val="231F20"/>
          <w:spacing w:val="2"/>
        </w:rPr>
        <w:t>identificadas con </w:t>
      </w:r>
      <w:r>
        <w:rPr>
          <w:color w:val="231F20"/>
        </w:rPr>
        <w:t>la </w:t>
      </w:r>
      <w:r>
        <w:rPr>
          <w:color w:val="231F20"/>
          <w:spacing w:val="2"/>
        </w:rPr>
        <w:t>violencia, </w:t>
      </w:r>
      <w:r>
        <w:rPr>
          <w:color w:val="231F20"/>
        </w:rPr>
        <w:t>la </w:t>
      </w:r>
      <w:r>
        <w:rPr>
          <w:color w:val="231F20"/>
          <w:spacing w:val="2"/>
        </w:rPr>
        <w:t>facilidad para disponer </w:t>
      </w:r>
      <w:r>
        <w:rPr>
          <w:color w:val="231F20"/>
        </w:rPr>
        <w:t>de </w:t>
      </w:r>
      <w:r>
        <w:rPr>
          <w:color w:val="231F20"/>
          <w:spacing w:val="2"/>
        </w:rPr>
        <w:t>armas, </w:t>
      </w:r>
      <w:r>
        <w:rPr>
          <w:color w:val="231F20"/>
        </w:rPr>
        <w:t>y la </w:t>
      </w:r>
      <w:r>
        <w:rPr>
          <w:color w:val="231F20"/>
          <w:spacing w:val="2"/>
        </w:rPr>
        <w:t>justificación </w:t>
      </w:r>
      <w:r>
        <w:rPr>
          <w:color w:val="231F20"/>
        </w:rPr>
        <w:t>de la </w:t>
      </w:r>
      <w:r>
        <w:rPr>
          <w:color w:val="231F20"/>
          <w:spacing w:val="2"/>
        </w:rPr>
        <w:t>violencia </w:t>
      </w:r>
      <w:r>
        <w:rPr>
          <w:color w:val="231F20"/>
        </w:rPr>
        <w:t>en la </w:t>
      </w:r>
      <w:r>
        <w:rPr>
          <w:color w:val="231F20"/>
          <w:spacing w:val="4"/>
        </w:rPr>
        <w:t>so- </w:t>
      </w:r>
      <w:r>
        <w:rPr>
          <w:color w:val="231F20"/>
          <w:spacing w:val="2"/>
        </w:rPr>
        <w:t>ciedad </w:t>
      </w:r>
      <w:r>
        <w:rPr>
          <w:color w:val="231F20"/>
        </w:rPr>
        <w:t>en la </w:t>
      </w:r>
      <w:r>
        <w:rPr>
          <w:color w:val="231F20"/>
          <w:spacing w:val="2"/>
        </w:rPr>
        <w:t>que dichas circunstancias </w:t>
      </w:r>
      <w:r>
        <w:rPr>
          <w:color w:val="231F20"/>
        </w:rPr>
        <w:t>se </w:t>
      </w:r>
      <w:r>
        <w:rPr>
          <w:color w:val="231F20"/>
          <w:spacing w:val="3"/>
        </w:rPr>
        <w:t>producen. Aunado </w:t>
      </w:r>
      <w:r>
        <w:rPr>
          <w:color w:val="231F20"/>
        </w:rPr>
        <w:t>a lo </w:t>
      </w:r>
      <w:r>
        <w:rPr>
          <w:color w:val="231F20"/>
          <w:spacing w:val="2"/>
        </w:rPr>
        <w:t>anterior, faltan </w:t>
      </w:r>
      <w:r>
        <w:rPr>
          <w:color w:val="231F20"/>
          <w:spacing w:val="3"/>
        </w:rPr>
        <w:t>condiciones </w:t>
      </w:r>
      <w:r>
        <w:rPr>
          <w:color w:val="231F20"/>
          <w:spacing w:val="2"/>
        </w:rPr>
        <w:t>que </w:t>
      </w:r>
      <w:r>
        <w:rPr>
          <w:color w:val="231F20"/>
          <w:spacing w:val="3"/>
        </w:rPr>
        <w:t>puedan </w:t>
      </w:r>
      <w:r>
        <w:rPr>
          <w:color w:val="231F20"/>
          <w:spacing w:val="2"/>
        </w:rPr>
        <w:t>proteger </w:t>
      </w:r>
      <w:r>
        <w:rPr>
          <w:color w:val="231F20"/>
        </w:rPr>
        <w:t>a </w:t>
      </w:r>
      <w:r>
        <w:rPr>
          <w:color w:val="231F20"/>
          <w:spacing w:val="2"/>
        </w:rPr>
        <w:t>los escolares </w:t>
      </w:r>
      <w:r>
        <w:rPr>
          <w:color w:val="231F20"/>
        </w:rPr>
        <w:t>de </w:t>
      </w:r>
      <w:r>
        <w:rPr>
          <w:color w:val="231F20"/>
          <w:spacing w:val="2"/>
        </w:rPr>
        <w:t>tales riesgos, </w:t>
      </w:r>
      <w:r>
        <w:rPr>
          <w:color w:val="231F20"/>
          <w:spacing w:val="3"/>
        </w:rPr>
        <w:t>como modelos </w:t>
      </w:r>
      <w:r>
        <w:rPr>
          <w:color w:val="231F20"/>
          <w:spacing w:val="2"/>
        </w:rPr>
        <w:t>sociales positivos </w:t>
      </w:r>
      <w:r>
        <w:rPr>
          <w:color w:val="231F20"/>
        </w:rPr>
        <w:t>y </w:t>
      </w:r>
      <w:r>
        <w:rPr>
          <w:color w:val="231F20"/>
          <w:spacing w:val="2"/>
        </w:rPr>
        <w:t>solidarios, </w:t>
      </w:r>
      <w:r>
        <w:rPr>
          <w:color w:val="231F20"/>
          <w:spacing w:val="3"/>
        </w:rPr>
        <w:t>cola- </w:t>
      </w:r>
      <w:r>
        <w:rPr>
          <w:color w:val="231F20"/>
          <w:spacing w:val="2"/>
        </w:rPr>
        <w:t>boración entre </w:t>
      </w:r>
      <w:r>
        <w:rPr>
          <w:color w:val="231F20"/>
        </w:rPr>
        <w:t>la </w:t>
      </w:r>
      <w:r>
        <w:rPr>
          <w:color w:val="231F20"/>
          <w:spacing w:val="2"/>
        </w:rPr>
        <w:t>familia </w:t>
      </w:r>
      <w:r>
        <w:rPr>
          <w:color w:val="231F20"/>
        </w:rPr>
        <w:t>y la </w:t>
      </w:r>
      <w:r>
        <w:rPr>
          <w:color w:val="231F20"/>
          <w:spacing w:val="2"/>
        </w:rPr>
        <w:t>escuela, </w:t>
      </w:r>
      <w:r>
        <w:rPr>
          <w:color w:val="231F20"/>
          <w:spacing w:val="3"/>
        </w:rPr>
        <w:t>contextos </w:t>
      </w:r>
      <w:r>
        <w:rPr>
          <w:color w:val="231F20"/>
        </w:rPr>
        <w:t>de </w:t>
      </w:r>
      <w:r>
        <w:rPr>
          <w:color w:val="231F20"/>
          <w:spacing w:val="2"/>
        </w:rPr>
        <w:t>ocio </w:t>
      </w:r>
      <w:r>
        <w:rPr>
          <w:color w:val="231F20"/>
        </w:rPr>
        <w:t>y de </w:t>
      </w:r>
      <w:r>
        <w:rPr>
          <w:color w:val="231F20"/>
          <w:spacing w:val="3"/>
        </w:rPr>
        <w:t>gru- </w:t>
      </w:r>
      <w:r>
        <w:rPr>
          <w:color w:val="231F20"/>
          <w:spacing w:val="2"/>
        </w:rPr>
        <w:t>pos </w:t>
      </w:r>
      <w:r>
        <w:rPr>
          <w:color w:val="231F20"/>
        </w:rPr>
        <w:t>de </w:t>
      </w:r>
      <w:r>
        <w:rPr>
          <w:color w:val="231F20"/>
          <w:spacing w:val="2"/>
        </w:rPr>
        <w:t>pertenencia constructivos, </w:t>
      </w:r>
      <w:r>
        <w:rPr>
          <w:color w:val="231F20"/>
        </w:rPr>
        <w:t>o </w:t>
      </w:r>
      <w:r>
        <w:rPr>
          <w:color w:val="231F20"/>
          <w:spacing w:val="2"/>
        </w:rPr>
        <w:t>adultos disponibles </w:t>
      </w:r>
      <w:r>
        <w:rPr>
          <w:color w:val="231F20"/>
        </w:rPr>
        <w:t>y </w:t>
      </w:r>
      <w:r>
        <w:rPr>
          <w:color w:val="231F20"/>
          <w:spacing w:val="3"/>
        </w:rPr>
        <w:t>dispues- </w:t>
      </w:r>
      <w:r>
        <w:rPr>
          <w:color w:val="231F20"/>
          <w:spacing w:val="2"/>
        </w:rPr>
        <w:t>tos </w:t>
      </w:r>
      <w:r>
        <w:rPr>
          <w:color w:val="231F20"/>
        </w:rPr>
        <w:t>a </w:t>
      </w:r>
      <w:r>
        <w:rPr>
          <w:color w:val="231F20"/>
          <w:spacing w:val="2"/>
        </w:rPr>
        <w:t>ayudar.</w:t>
      </w:r>
    </w:p>
    <w:p>
      <w:pPr>
        <w:pStyle w:val="BodyText"/>
        <w:spacing w:line="249" w:lineRule="auto"/>
        <w:ind w:left="102" w:right="115" w:firstLine="284"/>
        <w:jc w:val="both"/>
      </w:pPr>
      <w:r>
        <w:rPr>
          <w:color w:val="231F20"/>
        </w:rPr>
        <w:t>Existen muy pocas investigaciones que relacionen la violencia entre escolares con los procesos de discriminación y de exclusión en la interacción profesor-alumno; tema que comienza a ser con- ceptualizado como condición de riesgo en los últimos años, de ahí la importancia de profundizar en los puntos de vista de los actores de esta interrelación.</w:t>
      </w:r>
    </w:p>
    <w:p>
      <w:pPr>
        <w:pStyle w:val="BodyText"/>
        <w:spacing w:line="247" w:lineRule="auto"/>
        <w:ind w:left="101" w:right="116" w:firstLine="284"/>
        <w:jc w:val="both"/>
      </w:pPr>
      <w:r>
        <w:rPr>
          <w:color w:val="231F20"/>
          <w:spacing w:val="2"/>
        </w:rPr>
        <w:t>Por </w:t>
      </w:r>
      <w:r>
        <w:rPr>
          <w:color w:val="231F20"/>
        </w:rPr>
        <w:t>su </w:t>
      </w:r>
      <w:r>
        <w:rPr>
          <w:color w:val="231F20"/>
          <w:spacing w:val="2"/>
        </w:rPr>
        <w:t>parte, Peiró (2009) realizó </w:t>
      </w:r>
      <w:r>
        <w:rPr>
          <w:color w:val="231F20"/>
        </w:rPr>
        <w:t>un </w:t>
      </w:r>
      <w:r>
        <w:rPr>
          <w:color w:val="231F20"/>
          <w:spacing w:val="2"/>
        </w:rPr>
        <w:t>estudio longitudinal </w:t>
      </w:r>
      <w:r>
        <w:rPr>
          <w:color w:val="231F20"/>
        </w:rPr>
        <w:t>en la </w:t>
      </w:r>
      <w:r>
        <w:rPr>
          <w:color w:val="231F20"/>
          <w:spacing w:val="2"/>
        </w:rPr>
        <w:t>provincia </w:t>
      </w:r>
      <w:r>
        <w:rPr>
          <w:color w:val="231F20"/>
        </w:rPr>
        <w:t>de </w:t>
      </w:r>
      <w:r>
        <w:rPr>
          <w:color w:val="231F20"/>
          <w:spacing w:val="2"/>
        </w:rPr>
        <w:t>Alicante, dicho estudio </w:t>
      </w:r>
      <w:r>
        <w:rPr>
          <w:color w:val="231F20"/>
        </w:rPr>
        <w:t>fue </w:t>
      </w:r>
      <w:r>
        <w:rPr>
          <w:color w:val="231F20"/>
          <w:spacing w:val="2"/>
        </w:rPr>
        <w:t>desarrollado durante tres años (2003-2005) </w:t>
      </w:r>
      <w:r>
        <w:rPr>
          <w:color w:val="231F20"/>
        </w:rPr>
        <w:t>y </w:t>
      </w:r>
      <w:r>
        <w:rPr>
          <w:color w:val="231F20"/>
          <w:spacing w:val="2"/>
        </w:rPr>
        <w:t>tuvo por objetivo profundizar sobre diversas </w:t>
      </w:r>
      <w:r>
        <w:rPr>
          <w:color w:val="231F20"/>
          <w:spacing w:val="3"/>
        </w:rPr>
        <w:t>problemáticas, </w:t>
      </w:r>
      <w:r>
        <w:rPr>
          <w:color w:val="231F20"/>
          <w:spacing w:val="2"/>
        </w:rPr>
        <w:t>estudiadas por </w:t>
      </w:r>
      <w:r>
        <w:rPr>
          <w:color w:val="231F20"/>
        </w:rPr>
        <w:t>el </w:t>
      </w:r>
      <w:r>
        <w:rPr>
          <w:color w:val="231F20"/>
          <w:spacing w:val="3"/>
        </w:rPr>
        <w:t>mismo </w:t>
      </w:r>
      <w:r>
        <w:rPr>
          <w:color w:val="231F20"/>
          <w:spacing w:val="2"/>
        </w:rPr>
        <w:t>autor desde los años 80.  </w:t>
      </w:r>
      <w:r>
        <w:rPr>
          <w:color w:val="231F20"/>
        </w:rPr>
        <w:t>En </w:t>
      </w:r>
      <w:r>
        <w:rPr>
          <w:color w:val="231F20"/>
          <w:spacing w:val="2"/>
        </w:rPr>
        <w:t>esta investigación </w:t>
      </w:r>
      <w:r>
        <w:rPr>
          <w:color w:val="231F20"/>
        </w:rPr>
        <w:t>se </w:t>
      </w:r>
      <w:r>
        <w:rPr>
          <w:color w:val="231F20"/>
          <w:spacing w:val="2"/>
        </w:rPr>
        <w:t>utilizaron cinco cuestionarios </w:t>
      </w:r>
      <w:r>
        <w:rPr>
          <w:color w:val="231F20"/>
          <w:spacing w:val="3"/>
        </w:rPr>
        <w:t>mediante</w:t>
      </w:r>
      <w:r>
        <w:rPr>
          <w:color w:val="231F20"/>
          <w:spacing w:val="58"/>
        </w:rPr>
        <w:t> </w:t>
      </w:r>
      <w:r>
        <w:rPr>
          <w:color w:val="231F20"/>
          <w:spacing w:val="2"/>
        </w:rPr>
        <w:t>los cuales </w:t>
      </w:r>
      <w:r>
        <w:rPr>
          <w:color w:val="231F20"/>
        </w:rPr>
        <w:t>se </w:t>
      </w:r>
      <w:r>
        <w:rPr>
          <w:color w:val="231F20"/>
          <w:spacing w:val="2"/>
        </w:rPr>
        <w:t>recogieron los datos que </w:t>
      </w:r>
      <w:r>
        <w:rPr>
          <w:color w:val="231F20"/>
          <w:spacing w:val="3"/>
        </w:rPr>
        <w:t>componen </w:t>
      </w:r>
      <w:r>
        <w:rPr>
          <w:i/>
          <w:color w:val="231F20"/>
        </w:rPr>
        <w:t>el </w:t>
      </w:r>
      <w:r>
        <w:rPr>
          <w:i/>
          <w:color w:val="231F20"/>
          <w:spacing w:val="2"/>
        </w:rPr>
        <w:t>estudio </w:t>
      </w:r>
      <w:r>
        <w:rPr>
          <w:i/>
          <w:color w:val="231F20"/>
          <w:spacing w:val="3"/>
        </w:rPr>
        <w:t>sobre </w:t>
      </w:r>
      <w:r>
        <w:rPr>
          <w:i/>
          <w:color w:val="231F20"/>
          <w:spacing w:val="2"/>
        </w:rPr>
        <w:t>violencia </w:t>
      </w:r>
      <w:r>
        <w:rPr>
          <w:i/>
          <w:color w:val="231F20"/>
        </w:rPr>
        <w:t>en </w:t>
      </w:r>
      <w:r>
        <w:rPr>
          <w:i/>
          <w:color w:val="231F20"/>
          <w:spacing w:val="2"/>
        </w:rPr>
        <w:t>educación</w:t>
      </w:r>
      <w:r>
        <w:rPr>
          <w:color w:val="231F20"/>
          <w:spacing w:val="2"/>
        </w:rPr>
        <w:t>, estos fueron aplicados </w:t>
      </w:r>
      <w:r>
        <w:rPr>
          <w:color w:val="231F20"/>
        </w:rPr>
        <w:t>en </w:t>
      </w:r>
      <w:r>
        <w:rPr>
          <w:color w:val="231F20"/>
          <w:spacing w:val="2"/>
        </w:rPr>
        <w:t>centros </w:t>
      </w:r>
      <w:r>
        <w:rPr>
          <w:color w:val="231F20"/>
        </w:rPr>
        <w:t>de</w:t>
      </w:r>
      <w:r>
        <w:rPr>
          <w:color w:val="231F20"/>
          <w:spacing w:val="-29"/>
        </w:rPr>
        <w:t> </w:t>
      </w:r>
      <w:r>
        <w:rPr>
          <w:color w:val="231F20"/>
          <w:spacing w:val="3"/>
        </w:rPr>
        <w:t>educa- </w:t>
      </w:r>
      <w:r>
        <w:rPr>
          <w:color w:val="231F20"/>
          <w:spacing w:val="2"/>
        </w:rPr>
        <w:t>ción infantil, primaria, escuela secundaria obligatoria, bachillerato </w:t>
      </w:r>
      <w:r>
        <w:rPr>
          <w:color w:val="231F20"/>
        </w:rPr>
        <w:t>y</w:t>
      </w:r>
      <w:r>
        <w:rPr>
          <w:color w:val="231F20"/>
          <w:spacing w:val="23"/>
        </w:rPr>
        <w:t> </w:t>
      </w:r>
      <w:r>
        <w:rPr>
          <w:color w:val="231F20"/>
          <w:spacing w:val="2"/>
        </w:rPr>
        <w:t>cursos</w:t>
      </w:r>
      <w:r>
        <w:rPr>
          <w:color w:val="231F20"/>
          <w:spacing w:val="23"/>
        </w:rPr>
        <w:t> </w:t>
      </w:r>
      <w:r>
        <w:rPr>
          <w:color w:val="231F20"/>
          <w:spacing w:val="3"/>
        </w:rPr>
        <w:t>formación</w:t>
      </w:r>
      <w:r>
        <w:rPr>
          <w:color w:val="231F20"/>
          <w:spacing w:val="23"/>
        </w:rPr>
        <w:t> </w:t>
      </w:r>
      <w:r>
        <w:rPr>
          <w:color w:val="231F20"/>
          <w:spacing w:val="2"/>
        </w:rPr>
        <w:t>profesional.</w:t>
      </w:r>
      <w:r>
        <w:rPr>
          <w:color w:val="231F20"/>
          <w:spacing w:val="22"/>
        </w:rPr>
        <w:t> </w:t>
      </w:r>
      <w:r>
        <w:rPr>
          <w:color w:val="231F20"/>
        </w:rPr>
        <w:t>A</w:t>
      </w:r>
      <w:r>
        <w:rPr>
          <w:color w:val="231F20"/>
          <w:spacing w:val="24"/>
        </w:rPr>
        <w:t> </w:t>
      </w:r>
      <w:r>
        <w:rPr>
          <w:color w:val="231F20"/>
          <w:spacing w:val="2"/>
        </w:rPr>
        <w:t>partir</w:t>
      </w:r>
      <w:r>
        <w:rPr>
          <w:color w:val="231F20"/>
          <w:spacing w:val="23"/>
        </w:rPr>
        <w:t> </w:t>
      </w:r>
      <w:r>
        <w:rPr>
          <w:color w:val="231F20"/>
          <w:spacing w:val="2"/>
        </w:rPr>
        <w:t>del</w:t>
      </w:r>
      <w:r>
        <w:rPr>
          <w:color w:val="231F20"/>
          <w:spacing w:val="22"/>
        </w:rPr>
        <w:t> </w:t>
      </w:r>
      <w:r>
        <w:rPr>
          <w:color w:val="231F20"/>
          <w:spacing w:val="2"/>
        </w:rPr>
        <w:t>análisis</w:t>
      </w:r>
      <w:r>
        <w:rPr>
          <w:color w:val="231F20"/>
          <w:spacing w:val="23"/>
        </w:rPr>
        <w:t> </w:t>
      </w:r>
      <w:r>
        <w:rPr>
          <w:color w:val="231F20"/>
        </w:rPr>
        <w:t>de</w:t>
      </w:r>
      <w:r>
        <w:rPr>
          <w:color w:val="231F20"/>
          <w:spacing w:val="23"/>
        </w:rPr>
        <w:t> </w:t>
      </w:r>
      <w:r>
        <w:rPr>
          <w:color w:val="231F20"/>
          <w:spacing w:val="2"/>
        </w:rPr>
        <w:t>los</w:t>
      </w:r>
      <w:r>
        <w:rPr>
          <w:color w:val="231F20"/>
          <w:spacing w:val="23"/>
        </w:rPr>
        <w:t> </w:t>
      </w:r>
      <w:r>
        <w:rPr>
          <w:color w:val="231F20"/>
          <w:spacing w:val="3"/>
        </w:rPr>
        <w:t>cues-</w:t>
      </w:r>
    </w:p>
    <w:p>
      <w:pPr>
        <w:spacing w:after="0" w:line="247" w:lineRule="auto"/>
        <w:jc w:val="both"/>
        <w:sectPr>
          <w:headerReference w:type="default" r:id="rId898"/>
          <w:footerReference w:type="default" r:id="rId899"/>
          <w:pgSz w:w="7830" w:h="11910"/>
          <w:pgMar w:header="0" w:footer="424" w:top="500" w:bottom="620" w:left="920" w:right="900"/>
          <w:pgNumType w:start="40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0" w:right="115" w:firstLine="1"/>
        <w:jc w:val="both"/>
      </w:pPr>
      <w:r>
        <w:rPr>
          <w:color w:val="231F20"/>
          <w:spacing w:val="2"/>
        </w:rPr>
        <w:t>tionarios </w:t>
      </w:r>
      <w:r>
        <w:rPr>
          <w:color w:val="231F20"/>
        </w:rPr>
        <w:t>y la </w:t>
      </w:r>
      <w:r>
        <w:rPr>
          <w:color w:val="231F20"/>
          <w:spacing w:val="2"/>
        </w:rPr>
        <w:t>revisión teórica sobre </w:t>
      </w:r>
      <w:r>
        <w:rPr>
          <w:color w:val="231F20"/>
        </w:rPr>
        <w:t>el </w:t>
      </w:r>
      <w:r>
        <w:rPr>
          <w:color w:val="231F20"/>
          <w:spacing w:val="2"/>
        </w:rPr>
        <w:t>tópico, algunos </w:t>
      </w:r>
      <w:r>
        <w:rPr>
          <w:color w:val="231F20"/>
        </w:rPr>
        <w:t>de </w:t>
      </w:r>
      <w:r>
        <w:rPr>
          <w:color w:val="231F20"/>
          <w:spacing w:val="2"/>
        </w:rPr>
        <w:t>los </w:t>
      </w:r>
      <w:r>
        <w:rPr>
          <w:color w:val="231F20"/>
          <w:spacing w:val="3"/>
        </w:rPr>
        <w:t>ha- </w:t>
      </w:r>
      <w:r>
        <w:rPr>
          <w:color w:val="231F20"/>
          <w:spacing w:val="2"/>
        </w:rPr>
        <w:t>llazgos más importantes son: </w:t>
      </w:r>
      <w:r>
        <w:rPr>
          <w:color w:val="231F20"/>
        </w:rPr>
        <w:t>1. </w:t>
      </w:r>
      <w:r>
        <w:rPr>
          <w:color w:val="231F20"/>
          <w:spacing w:val="2"/>
        </w:rPr>
        <w:t>Los  </w:t>
      </w:r>
      <w:r>
        <w:rPr>
          <w:color w:val="231F20"/>
          <w:spacing w:val="3"/>
        </w:rPr>
        <w:t>problemas  </w:t>
      </w:r>
      <w:r>
        <w:rPr>
          <w:color w:val="231F20"/>
          <w:spacing w:val="2"/>
        </w:rPr>
        <w:t>convivenciales más serios ocurren </w:t>
      </w:r>
      <w:r>
        <w:rPr>
          <w:color w:val="231F20"/>
        </w:rPr>
        <w:t>en la </w:t>
      </w:r>
      <w:r>
        <w:rPr>
          <w:color w:val="231F20"/>
          <w:spacing w:val="2"/>
        </w:rPr>
        <w:t>escuela secundaria obligatoria. </w:t>
      </w:r>
      <w:r>
        <w:rPr>
          <w:color w:val="231F20"/>
        </w:rPr>
        <w:t>2. </w:t>
      </w:r>
      <w:r>
        <w:rPr>
          <w:color w:val="231F20"/>
          <w:spacing w:val="3"/>
        </w:rPr>
        <w:t>Tales </w:t>
      </w:r>
      <w:r>
        <w:rPr>
          <w:color w:val="231F20"/>
          <w:spacing w:val="2"/>
        </w:rPr>
        <w:t>crisis </w:t>
      </w:r>
      <w:r>
        <w:rPr>
          <w:color w:val="231F20"/>
        </w:rPr>
        <w:t>de </w:t>
      </w:r>
      <w:r>
        <w:rPr>
          <w:color w:val="231F20"/>
          <w:spacing w:val="2"/>
        </w:rPr>
        <w:t>interacción están también presentes </w:t>
      </w:r>
      <w:r>
        <w:rPr>
          <w:color w:val="231F20"/>
        </w:rPr>
        <w:t>en </w:t>
      </w:r>
      <w:r>
        <w:rPr>
          <w:color w:val="231F20"/>
          <w:spacing w:val="2"/>
        </w:rPr>
        <w:t>casi </w:t>
      </w:r>
      <w:r>
        <w:rPr>
          <w:color w:val="231F20"/>
          <w:spacing w:val="3"/>
        </w:rPr>
        <w:t>todos </w:t>
      </w:r>
      <w:r>
        <w:rPr>
          <w:color w:val="231F20"/>
          <w:spacing w:val="2"/>
        </w:rPr>
        <w:t>niveles del </w:t>
      </w:r>
      <w:r>
        <w:rPr>
          <w:color w:val="231F20"/>
        </w:rPr>
        <w:t>ciclo de </w:t>
      </w:r>
      <w:r>
        <w:rPr>
          <w:color w:val="231F20"/>
          <w:spacing w:val="2"/>
        </w:rPr>
        <w:t>primaria, </w:t>
      </w:r>
      <w:r>
        <w:rPr>
          <w:color w:val="231F20"/>
          <w:spacing w:val="3"/>
        </w:rPr>
        <w:t>aunque </w:t>
      </w:r>
      <w:r>
        <w:rPr>
          <w:color w:val="231F20"/>
          <w:spacing w:val="2"/>
        </w:rPr>
        <w:t>más </w:t>
      </w:r>
      <w:r>
        <w:rPr>
          <w:color w:val="231F20"/>
        </w:rPr>
        <w:t>en </w:t>
      </w:r>
      <w:r>
        <w:rPr>
          <w:color w:val="231F20"/>
          <w:spacing w:val="3"/>
        </w:rPr>
        <w:t>forma </w:t>
      </w:r>
      <w:r>
        <w:rPr>
          <w:color w:val="231F20"/>
        </w:rPr>
        <w:t>de </w:t>
      </w:r>
      <w:r>
        <w:rPr>
          <w:color w:val="231F20"/>
          <w:spacing w:val="2"/>
        </w:rPr>
        <w:t>irrupción </w:t>
      </w:r>
      <w:r>
        <w:rPr>
          <w:color w:val="231F20"/>
        </w:rPr>
        <w:t>de </w:t>
      </w:r>
      <w:r>
        <w:rPr>
          <w:color w:val="231F20"/>
          <w:spacing w:val="3"/>
        </w:rPr>
        <w:t>indis- </w:t>
      </w:r>
      <w:r>
        <w:rPr>
          <w:color w:val="231F20"/>
          <w:spacing w:val="2"/>
        </w:rPr>
        <w:t>ciplina. </w:t>
      </w:r>
      <w:r>
        <w:rPr>
          <w:color w:val="231F20"/>
        </w:rPr>
        <w:t>3. </w:t>
      </w:r>
      <w:r>
        <w:rPr>
          <w:color w:val="231F20"/>
          <w:spacing w:val="2"/>
        </w:rPr>
        <w:t>Pero, </w:t>
      </w:r>
      <w:r>
        <w:rPr>
          <w:color w:val="231F20"/>
        </w:rPr>
        <w:t>la </w:t>
      </w:r>
      <w:r>
        <w:rPr>
          <w:color w:val="231F20"/>
          <w:spacing w:val="2"/>
        </w:rPr>
        <w:t>violencia con indisciplina </w:t>
      </w:r>
      <w:r>
        <w:rPr>
          <w:color w:val="231F20"/>
        </w:rPr>
        <w:t>no es un </w:t>
      </w:r>
      <w:r>
        <w:rPr>
          <w:color w:val="231F20"/>
          <w:spacing w:val="2"/>
        </w:rPr>
        <w:t>hecho </w:t>
      </w:r>
      <w:r>
        <w:rPr>
          <w:color w:val="231F20"/>
        </w:rPr>
        <w:t>uni- </w:t>
      </w:r>
      <w:r>
        <w:rPr>
          <w:color w:val="231F20"/>
          <w:spacing w:val="3"/>
        </w:rPr>
        <w:t>forme </w:t>
      </w:r>
      <w:r>
        <w:rPr>
          <w:color w:val="231F20"/>
        </w:rPr>
        <w:t>ni </w:t>
      </w:r>
      <w:r>
        <w:rPr>
          <w:color w:val="231F20"/>
          <w:spacing w:val="2"/>
        </w:rPr>
        <w:t>sucede igualmente </w:t>
      </w:r>
      <w:r>
        <w:rPr>
          <w:color w:val="231F20"/>
        </w:rPr>
        <w:t>en </w:t>
      </w:r>
      <w:r>
        <w:rPr>
          <w:color w:val="231F20"/>
          <w:spacing w:val="3"/>
        </w:rPr>
        <w:t>todos </w:t>
      </w:r>
      <w:r>
        <w:rPr>
          <w:color w:val="231F20"/>
          <w:spacing w:val="2"/>
        </w:rPr>
        <w:t>los centros escolares. </w:t>
      </w:r>
      <w:r>
        <w:rPr>
          <w:color w:val="231F20"/>
        </w:rPr>
        <w:t>4. </w:t>
      </w:r>
      <w:r>
        <w:rPr>
          <w:color w:val="231F20"/>
          <w:spacing w:val="2"/>
        </w:rPr>
        <w:t>Los conflictos relativos </w:t>
      </w:r>
      <w:r>
        <w:rPr>
          <w:color w:val="231F20"/>
        </w:rPr>
        <w:t>a </w:t>
      </w:r>
      <w:r>
        <w:rPr>
          <w:color w:val="231F20"/>
          <w:spacing w:val="2"/>
        </w:rPr>
        <w:t>faltas leves </w:t>
      </w:r>
      <w:r>
        <w:rPr>
          <w:color w:val="231F20"/>
        </w:rPr>
        <w:t>no </w:t>
      </w:r>
      <w:r>
        <w:rPr>
          <w:color w:val="231F20"/>
          <w:spacing w:val="2"/>
        </w:rPr>
        <w:t>suelen </w:t>
      </w:r>
      <w:r>
        <w:rPr>
          <w:color w:val="231F20"/>
          <w:spacing w:val="3"/>
        </w:rPr>
        <w:t>abordarse. </w:t>
      </w:r>
      <w:r>
        <w:rPr>
          <w:color w:val="231F20"/>
          <w:spacing w:val="2"/>
        </w:rPr>
        <w:t>Hay una</w:t>
      </w:r>
      <w:r>
        <w:rPr>
          <w:color w:val="231F20"/>
          <w:spacing w:val="56"/>
        </w:rPr>
        <w:t> </w:t>
      </w:r>
      <w:r>
        <w:rPr>
          <w:color w:val="231F20"/>
          <w:spacing w:val="2"/>
        </w:rPr>
        <w:t>percepción </w:t>
      </w:r>
      <w:r>
        <w:rPr>
          <w:color w:val="231F20"/>
        </w:rPr>
        <w:t>de que </w:t>
      </w:r>
      <w:r>
        <w:rPr>
          <w:color w:val="231F20"/>
          <w:spacing w:val="2"/>
        </w:rPr>
        <w:t>puede haber cierta negligencia docente, pero bien pudiera </w:t>
      </w:r>
      <w:r>
        <w:rPr>
          <w:color w:val="231F20"/>
        </w:rPr>
        <w:t>ser </w:t>
      </w:r>
      <w:r>
        <w:rPr>
          <w:color w:val="231F20"/>
          <w:spacing w:val="3"/>
        </w:rPr>
        <w:t>impotencia. </w:t>
      </w:r>
      <w:r>
        <w:rPr>
          <w:color w:val="231F20"/>
        </w:rPr>
        <w:t>5. Si en </w:t>
      </w:r>
      <w:r>
        <w:rPr>
          <w:color w:val="231F20"/>
          <w:spacing w:val="2"/>
        </w:rPr>
        <w:t>general, los </w:t>
      </w:r>
      <w:r>
        <w:rPr>
          <w:color w:val="231F20"/>
          <w:spacing w:val="3"/>
        </w:rPr>
        <w:t>profesores </w:t>
      </w:r>
      <w:r>
        <w:rPr>
          <w:color w:val="231F20"/>
        </w:rPr>
        <w:t>no se </w:t>
      </w:r>
      <w:r>
        <w:rPr>
          <w:color w:val="231F20"/>
          <w:spacing w:val="2"/>
        </w:rPr>
        <w:t>implican, </w:t>
      </w:r>
      <w:r>
        <w:rPr>
          <w:color w:val="231F20"/>
        </w:rPr>
        <w:t>es </w:t>
      </w:r>
      <w:r>
        <w:rPr>
          <w:color w:val="231F20"/>
          <w:spacing w:val="2"/>
        </w:rPr>
        <w:t>por </w:t>
      </w:r>
      <w:r>
        <w:rPr>
          <w:color w:val="231F20"/>
          <w:spacing w:val="3"/>
        </w:rPr>
        <w:t>desconocer </w:t>
      </w:r>
      <w:r>
        <w:rPr>
          <w:color w:val="231F20"/>
        </w:rPr>
        <w:t>la </w:t>
      </w:r>
      <w:r>
        <w:rPr>
          <w:color w:val="231F20"/>
          <w:spacing w:val="2"/>
        </w:rPr>
        <w:t>naturaleza </w:t>
      </w:r>
      <w:r>
        <w:rPr>
          <w:color w:val="231F20"/>
        </w:rPr>
        <w:t>de las </w:t>
      </w:r>
      <w:r>
        <w:rPr>
          <w:color w:val="231F20"/>
          <w:spacing w:val="2"/>
        </w:rPr>
        <w:t>acciones </w:t>
      </w:r>
      <w:r>
        <w:rPr>
          <w:color w:val="231F20"/>
          <w:spacing w:val="3"/>
        </w:rPr>
        <w:t>discon- </w:t>
      </w:r>
      <w:r>
        <w:rPr>
          <w:color w:val="231F20"/>
          <w:spacing w:val="2"/>
        </w:rPr>
        <w:t>vivenciales </w:t>
      </w:r>
      <w:r>
        <w:rPr>
          <w:color w:val="231F20"/>
        </w:rPr>
        <w:t>y de </w:t>
      </w:r>
      <w:r>
        <w:rPr>
          <w:color w:val="231F20"/>
          <w:spacing w:val="2"/>
        </w:rPr>
        <w:t>carecer </w:t>
      </w:r>
      <w:r>
        <w:rPr>
          <w:color w:val="231F20"/>
        </w:rPr>
        <w:t>de </w:t>
      </w:r>
      <w:r>
        <w:rPr>
          <w:color w:val="231F20"/>
          <w:spacing w:val="3"/>
        </w:rPr>
        <w:t>competencias </w:t>
      </w:r>
      <w:r>
        <w:rPr>
          <w:color w:val="231F20"/>
          <w:spacing w:val="2"/>
        </w:rPr>
        <w:t>pedagógicas para abor- darlas. </w:t>
      </w:r>
      <w:r>
        <w:rPr>
          <w:color w:val="231F20"/>
        </w:rPr>
        <w:t>6. </w:t>
      </w:r>
      <w:r>
        <w:rPr>
          <w:color w:val="231F20"/>
          <w:spacing w:val="2"/>
        </w:rPr>
        <w:t>Los trabajos analizados más </w:t>
      </w:r>
      <w:r>
        <w:rPr>
          <w:color w:val="231F20"/>
          <w:spacing w:val="3"/>
        </w:rPr>
        <w:t>extendidos, </w:t>
      </w:r>
      <w:r>
        <w:rPr>
          <w:color w:val="231F20"/>
        </w:rPr>
        <w:t>que </w:t>
      </w:r>
      <w:r>
        <w:rPr>
          <w:color w:val="231F20"/>
          <w:spacing w:val="2"/>
        </w:rPr>
        <w:t>derivan </w:t>
      </w:r>
      <w:r>
        <w:rPr>
          <w:color w:val="231F20"/>
        </w:rPr>
        <w:t>de </w:t>
      </w:r>
      <w:r>
        <w:rPr>
          <w:color w:val="231F20"/>
          <w:spacing w:val="2"/>
        </w:rPr>
        <w:t>modelos psicológicos, suelen referirse </w:t>
      </w:r>
      <w:r>
        <w:rPr>
          <w:color w:val="231F20"/>
        </w:rPr>
        <w:t>al </w:t>
      </w:r>
      <w:r>
        <w:rPr>
          <w:color w:val="231F20"/>
          <w:spacing w:val="2"/>
        </w:rPr>
        <w:t>acoso escolar (</w:t>
      </w:r>
      <w:r>
        <w:rPr>
          <w:i/>
          <w:color w:val="231F20"/>
          <w:spacing w:val="2"/>
        </w:rPr>
        <w:t>bullying</w:t>
      </w:r>
      <w:r>
        <w:rPr>
          <w:color w:val="231F20"/>
          <w:spacing w:val="2"/>
        </w:rPr>
        <w:t>). Esto </w:t>
      </w:r>
      <w:r>
        <w:rPr>
          <w:color w:val="231F20"/>
        </w:rPr>
        <w:t>es </w:t>
      </w:r>
      <w:r>
        <w:rPr>
          <w:color w:val="231F20"/>
          <w:spacing w:val="2"/>
        </w:rPr>
        <w:t>una práctica </w:t>
      </w:r>
      <w:r>
        <w:rPr>
          <w:color w:val="231F20"/>
        </w:rPr>
        <w:t>que </w:t>
      </w:r>
      <w:r>
        <w:rPr>
          <w:color w:val="231F20"/>
          <w:spacing w:val="2"/>
        </w:rPr>
        <w:t>solo entiende tales </w:t>
      </w:r>
      <w:r>
        <w:rPr>
          <w:color w:val="231F20"/>
          <w:spacing w:val="3"/>
        </w:rPr>
        <w:t>hechos </w:t>
      </w:r>
      <w:r>
        <w:rPr>
          <w:color w:val="231F20"/>
          <w:spacing w:val="2"/>
        </w:rPr>
        <w:t>desde </w:t>
      </w:r>
      <w:r>
        <w:rPr>
          <w:color w:val="231F20"/>
        </w:rPr>
        <w:t>la </w:t>
      </w:r>
      <w:r>
        <w:rPr>
          <w:color w:val="231F20"/>
          <w:spacing w:val="3"/>
        </w:rPr>
        <w:t>pers- </w:t>
      </w:r>
      <w:r>
        <w:rPr>
          <w:color w:val="231F20"/>
          <w:spacing w:val="2"/>
        </w:rPr>
        <w:t>pectiva </w:t>
      </w:r>
      <w:r>
        <w:rPr>
          <w:color w:val="231F20"/>
        </w:rPr>
        <w:t>del </w:t>
      </w:r>
      <w:r>
        <w:rPr>
          <w:color w:val="231F20"/>
          <w:spacing w:val="2"/>
        </w:rPr>
        <w:t>alumno </w:t>
      </w:r>
      <w:r>
        <w:rPr>
          <w:color w:val="231F20"/>
          <w:spacing w:val="3"/>
        </w:rPr>
        <w:t>perpetrador </w:t>
      </w:r>
      <w:r>
        <w:rPr>
          <w:color w:val="231F20"/>
        </w:rPr>
        <w:t>o </w:t>
      </w:r>
      <w:r>
        <w:rPr>
          <w:color w:val="231F20"/>
          <w:spacing w:val="2"/>
        </w:rPr>
        <w:t>víctima. </w:t>
      </w:r>
      <w:r>
        <w:rPr>
          <w:color w:val="231F20"/>
        </w:rPr>
        <w:t>7. </w:t>
      </w:r>
      <w:r>
        <w:rPr>
          <w:color w:val="231F20"/>
          <w:spacing w:val="3"/>
        </w:rPr>
        <w:t>Pocos </w:t>
      </w:r>
      <w:r>
        <w:rPr>
          <w:color w:val="231F20"/>
          <w:spacing w:val="2"/>
        </w:rPr>
        <w:t>estudios atienden </w:t>
      </w:r>
      <w:r>
        <w:rPr>
          <w:color w:val="231F20"/>
        </w:rPr>
        <w:t>la </w:t>
      </w:r>
      <w:r>
        <w:rPr>
          <w:color w:val="231F20"/>
          <w:spacing w:val="2"/>
        </w:rPr>
        <w:t>disconvivencialidad global especificada </w:t>
      </w:r>
      <w:r>
        <w:rPr>
          <w:color w:val="231F20"/>
          <w:spacing w:val="3"/>
        </w:rPr>
        <w:t>mediante </w:t>
      </w:r>
      <w:r>
        <w:rPr>
          <w:color w:val="231F20"/>
        </w:rPr>
        <w:t>sus </w:t>
      </w:r>
      <w:r>
        <w:rPr>
          <w:color w:val="231F20"/>
          <w:spacing w:val="2"/>
        </w:rPr>
        <w:t>diversas variables. </w:t>
      </w:r>
      <w:r>
        <w:rPr>
          <w:color w:val="231F20"/>
        </w:rPr>
        <w:t>8. </w:t>
      </w:r>
      <w:r>
        <w:rPr>
          <w:color w:val="231F20"/>
          <w:spacing w:val="3"/>
        </w:rPr>
        <w:t>Constatamos </w:t>
      </w:r>
      <w:r>
        <w:rPr>
          <w:color w:val="231F20"/>
        </w:rPr>
        <w:t>que el </w:t>
      </w:r>
      <w:r>
        <w:rPr>
          <w:color w:val="231F20"/>
          <w:spacing w:val="3"/>
        </w:rPr>
        <w:t>problema </w:t>
      </w:r>
      <w:r>
        <w:rPr>
          <w:color w:val="231F20"/>
        </w:rPr>
        <w:t>se </w:t>
      </w:r>
      <w:r>
        <w:rPr>
          <w:color w:val="231F20"/>
          <w:spacing w:val="2"/>
        </w:rPr>
        <w:t>halla </w:t>
      </w:r>
      <w:r>
        <w:rPr>
          <w:color w:val="231F20"/>
        </w:rPr>
        <w:t>en </w:t>
      </w:r>
      <w:r>
        <w:rPr>
          <w:color w:val="231F20"/>
          <w:spacing w:val="3"/>
        </w:rPr>
        <w:t>el mundo </w:t>
      </w:r>
      <w:r>
        <w:rPr>
          <w:color w:val="231F20"/>
          <w:spacing w:val="2"/>
        </w:rPr>
        <w:t>invisible </w:t>
      </w:r>
      <w:r>
        <w:rPr>
          <w:color w:val="231F20"/>
        </w:rPr>
        <w:t>del </w:t>
      </w:r>
      <w:r>
        <w:rPr>
          <w:color w:val="231F20"/>
          <w:spacing w:val="2"/>
        </w:rPr>
        <w:t>trasfondo subjetivo </w:t>
      </w:r>
      <w:r>
        <w:rPr>
          <w:color w:val="231F20"/>
        </w:rPr>
        <w:t>de los </w:t>
      </w:r>
      <w:r>
        <w:rPr>
          <w:color w:val="231F20"/>
          <w:spacing w:val="2"/>
        </w:rPr>
        <w:t>estudiantes, </w:t>
      </w:r>
      <w:r>
        <w:rPr>
          <w:color w:val="231F20"/>
          <w:spacing w:val="3"/>
        </w:rPr>
        <w:t>discu- </w:t>
      </w:r>
      <w:r>
        <w:rPr>
          <w:color w:val="231F20"/>
          <w:spacing w:val="2"/>
        </w:rPr>
        <w:t>rriendo por </w:t>
      </w:r>
      <w:r>
        <w:rPr>
          <w:color w:val="231F20"/>
        </w:rPr>
        <w:t>el </w:t>
      </w:r>
      <w:r>
        <w:rPr>
          <w:color w:val="231F20"/>
          <w:spacing w:val="2"/>
        </w:rPr>
        <w:t>espiral </w:t>
      </w:r>
      <w:r>
        <w:rPr>
          <w:color w:val="231F20"/>
        </w:rPr>
        <w:t>de la </w:t>
      </w:r>
      <w:r>
        <w:rPr>
          <w:color w:val="231F20"/>
          <w:spacing w:val="2"/>
        </w:rPr>
        <w:t>violencia </w:t>
      </w:r>
      <w:r>
        <w:rPr>
          <w:color w:val="231F20"/>
        </w:rPr>
        <w:t>en </w:t>
      </w:r>
      <w:r>
        <w:rPr>
          <w:color w:val="231F20"/>
          <w:spacing w:val="2"/>
        </w:rPr>
        <w:t>cascada. Una </w:t>
      </w:r>
      <w:r>
        <w:rPr>
          <w:color w:val="231F20"/>
        </w:rPr>
        <w:t>de las </w:t>
      </w:r>
      <w:r>
        <w:rPr>
          <w:color w:val="231F20"/>
          <w:spacing w:val="3"/>
        </w:rPr>
        <w:t>con- </w:t>
      </w:r>
      <w:r>
        <w:rPr>
          <w:color w:val="231F20"/>
          <w:spacing w:val="2"/>
        </w:rPr>
        <w:t>clusiones </w:t>
      </w:r>
      <w:r>
        <w:rPr>
          <w:color w:val="231F20"/>
        </w:rPr>
        <w:t>es </w:t>
      </w:r>
      <w:r>
        <w:rPr>
          <w:color w:val="231F20"/>
          <w:spacing w:val="2"/>
        </w:rPr>
        <w:t>que:</w:t>
      </w:r>
    </w:p>
    <w:p>
      <w:pPr>
        <w:pStyle w:val="BodyText"/>
        <w:rPr>
          <w:sz w:val="23"/>
        </w:rPr>
      </w:pPr>
    </w:p>
    <w:p>
      <w:pPr>
        <w:spacing w:line="273" w:lineRule="auto" w:before="0"/>
        <w:ind w:left="811" w:right="115" w:firstLine="284"/>
        <w:jc w:val="both"/>
        <w:rPr>
          <w:sz w:val="19"/>
        </w:rPr>
      </w:pPr>
      <w:r>
        <w:rPr>
          <w:color w:val="231F20"/>
          <w:sz w:val="19"/>
        </w:rPr>
        <w:t>El </w:t>
      </w:r>
      <w:r>
        <w:rPr>
          <w:color w:val="231F20"/>
          <w:spacing w:val="2"/>
          <w:sz w:val="19"/>
        </w:rPr>
        <w:t>círculo vicioso </w:t>
      </w:r>
      <w:r>
        <w:rPr>
          <w:color w:val="231F20"/>
          <w:sz w:val="19"/>
        </w:rPr>
        <w:t>de la </w:t>
      </w:r>
      <w:r>
        <w:rPr>
          <w:color w:val="231F20"/>
          <w:spacing w:val="2"/>
          <w:sz w:val="19"/>
        </w:rPr>
        <w:t>indisciplina </w:t>
      </w:r>
      <w:r>
        <w:rPr>
          <w:color w:val="231F20"/>
          <w:sz w:val="19"/>
        </w:rPr>
        <w:t>y </w:t>
      </w:r>
      <w:r>
        <w:rPr>
          <w:color w:val="231F20"/>
          <w:spacing w:val="2"/>
          <w:sz w:val="19"/>
        </w:rPr>
        <w:t>violencia </w:t>
      </w:r>
      <w:r>
        <w:rPr>
          <w:color w:val="231F20"/>
          <w:sz w:val="19"/>
        </w:rPr>
        <w:t>se halla en la </w:t>
      </w:r>
      <w:r>
        <w:rPr>
          <w:color w:val="231F20"/>
          <w:spacing w:val="2"/>
          <w:sz w:val="19"/>
        </w:rPr>
        <w:t>crisis </w:t>
      </w:r>
      <w:r>
        <w:rPr>
          <w:color w:val="231F20"/>
          <w:sz w:val="19"/>
        </w:rPr>
        <w:t>de </w:t>
      </w:r>
      <w:r>
        <w:rPr>
          <w:color w:val="231F20"/>
          <w:spacing w:val="2"/>
          <w:sz w:val="19"/>
        </w:rPr>
        <w:t>valores, </w:t>
      </w:r>
      <w:r>
        <w:rPr>
          <w:color w:val="231F20"/>
          <w:sz w:val="19"/>
        </w:rPr>
        <w:t>sea en el </w:t>
      </w:r>
      <w:r>
        <w:rPr>
          <w:color w:val="231F20"/>
          <w:spacing w:val="2"/>
          <w:sz w:val="19"/>
        </w:rPr>
        <w:t>estudiante, </w:t>
      </w:r>
      <w:r>
        <w:rPr>
          <w:color w:val="231F20"/>
          <w:sz w:val="19"/>
        </w:rPr>
        <w:t>sea en el </w:t>
      </w:r>
      <w:r>
        <w:rPr>
          <w:color w:val="231F20"/>
          <w:spacing w:val="2"/>
          <w:sz w:val="19"/>
        </w:rPr>
        <w:t>docente </w:t>
      </w:r>
      <w:r>
        <w:rPr>
          <w:color w:val="231F20"/>
          <w:sz w:val="19"/>
        </w:rPr>
        <w:t>o en la </w:t>
      </w:r>
      <w:r>
        <w:rPr>
          <w:color w:val="231F20"/>
          <w:spacing w:val="2"/>
          <w:sz w:val="19"/>
        </w:rPr>
        <w:t>misma institución educadora (familia, escuela). Esto ocasiona  </w:t>
      </w:r>
      <w:r>
        <w:rPr>
          <w:color w:val="231F20"/>
          <w:sz w:val="19"/>
        </w:rPr>
        <w:t>un </w:t>
      </w:r>
      <w:r>
        <w:rPr>
          <w:color w:val="231F20"/>
          <w:spacing w:val="2"/>
          <w:sz w:val="19"/>
        </w:rPr>
        <w:t>desequilibrio </w:t>
      </w:r>
      <w:r>
        <w:rPr>
          <w:color w:val="231F20"/>
          <w:sz w:val="19"/>
        </w:rPr>
        <w:t>de </w:t>
      </w:r>
      <w:r>
        <w:rPr>
          <w:color w:val="231F20"/>
          <w:spacing w:val="2"/>
          <w:sz w:val="19"/>
        </w:rPr>
        <w:t>factores cualitativos </w:t>
      </w:r>
      <w:r>
        <w:rPr>
          <w:color w:val="231F20"/>
          <w:sz w:val="19"/>
        </w:rPr>
        <w:t>de los </w:t>
      </w:r>
      <w:r>
        <w:rPr>
          <w:color w:val="231F20"/>
          <w:spacing w:val="2"/>
          <w:sz w:val="19"/>
        </w:rPr>
        <w:t>procesos </w:t>
      </w:r>
      <w:r>
        <w:rPr>
          <w:color w:val="231F20"/>
          <w:sz w:val="19"/>
        </w:rPr>
        <w:t>de </w:t>
      </w:r>
      <w:r>
        <w:rPr>
          <w:color w:val="231F20"/>
          <w:spacing w:val="3"/>
          <w:sz w:val="19"/>
        </w:rPr>
        <w:t>en- </w:t>
      </w:r>
      <w:r>
        <w:rPr>
          <w:color w:val="231F20"/>
          <w:spacing w:val="2"/>
          <w:sz w:val="19"/>
        </w:rPr>
        <w:t>señanza-aprendizaje. </w:t>
      </w:r>
      <w:r>
        <w:rPr>
          <w:color w:val="231F20"/>
          <w:sz w:val="19"/>
        </w:rPr>
        <w:t>Al </w:t>
      </w:r>
      <w:r>
        <w:rPr>
          <w:color w:val="231F20"/>
          <w:spacing w:val="2"/>
          <w:sz w:val="19"/>
        </w:rPr>
        <w:t>descuidar </w:t>
      </w:r>
      <w:r>
        <w:rPr>
          <w:color w:val="231F20"/>
          <w:sz w:val="19"/>
        </w:rPr>
        <w:t>el </w:t>
      </w:r>
      <w:r>
        <w:rPr>
          <w:color w:val="231F20"/>
          <w:spacing w:val="2"/>
          <w:sz w:val="19"/>
        </w:rPr>
        <w:t>debido reajuste </w:t>
      </w:r>
      <w:r>
        <w:rPr>
          <w:color w:val="231F20"/>
          <w:sz w:val="19"/>
        </w:rPr>
        <w:t>a los </w:t>
      </w:r>
      <w:r>
        <w:rPr>
          <w:color w:val="231F20"/>
          <w:spacing w:val="3"/>
          <w:sz w:val="19"/>
        </w:rPr>
        <w:t>mis- </w:t>
      </w:r>
      <w:r>
        <w:rPr>
          <w:color w:val="231F20"/>
          <w:spacing w:val="2"/>
          <w:sz w:val="19"/>
        </w:rPr>
        <w:t>mos, tendremos consecuencias: fracaso, incomprensiones, la- gunas </w:t>
      </w:r>
      <w:r>
        <w:rPr>
          <w:color w:val="231F20"/>
          <w:sz w:val="19"/>
        </w:rPr>
        <w:t>de </w:t>
      </w:r>
      <w:r>
        <w:rPr>
          <w:color w:val="231F20"/>
          <w:spacing w:val="2"/>
          <w:sz w:val="19"/>
        </w:rPr>
        <w:t>aprendizaje posteriores, indisciplina </w:t>
      </w:r>
      <w:r>
        <w:rPr>
          <w:color w:val="231F20"/>
          <w:sz w:val="19"/>
        </w:rPr>
        <w:t>y </w:t>
      </w:r>
      <w:r>
        <w:rPr>
          <w:color w:val="231F20"/>
          <w:spacing w:val="2"/>
          <w:sz w:val="19"/>
        </w:rPr>
        <w:t>violencia esco- </w:t>
      </w:r>
      <w:r>
        <w:rPr>
          <w:color w:val="231F20"/>
          <w:sz w:val="19"/>
        </w:rPr>
        <w:t>lar. Por </w:t>
      </w:r>
      <w:r>
        <w:rPr>
          <w:color w:val="231F20"/>
          <w:spacing w:val="2"/>
          <w:sz w:val="19"/>
        </w:rPr>
        <w:t>consiguiente </w:t>
      </w:r>
      <w:r>
        <w:rPr>
          <w:color w:val="231F20"/>
          <w:sz w:val="19"/>
        </w:rPr>
        <w:t>la </w:t>
      </w:r>
      <w:r>
        <w:rPr>
          <w:color w:val="231F20"/>
          <w:spacing w:val="2"/>
          <w:sz w:val="19"/>
        </w:rPr>
        <w:t>tarea pedagógica </w:t>
      </w:r>
      <w:r>
        <w:rPr>
          <w:color w:val="231F20"/>
          <w:sz w:val="19"/>
        </w:rPr>
        <w:t>no </w:t>
      </w:r>
      <w:r>
        <w:rPr>
          <w:color w:val="231F20"/>
          <w:spacing w:val="2"/>
          <w:sz w:val="19"/>
        </w:rPr>
        <w:t>consiste </w:t>
      </w:r>
      <w:r>
        <w:rPr>
          <w:color w:val="231F20"/>
          <w:sz w:val="19"/>
        </w:rPr>
        <w:t>en </w:t>
      </w:r>
      <w:r>
        <w:rPr>
          <w:color w:val="231F20"/>
          <w:spacing w:val="3"/>
          <w:sz w:val="19"/>
        </w:rPr>
        <w:t>operar </w:t>
      </w:r>
      <w:r>
        <w:rPr>
          <w:color w:val="231F20"/>
          <w:spacing w:val="2"/>
          <w:sz w:val="19"/>
        </w:rPr>
        <w:t>directamente desde actos relativos </w:t>
      </w:r>
      <w:r>
        <w:rPr>
          <w:color w:val="231F20"/>
          <w:sz w:val="19"/>
        </w:rPr>
        <w:t>a la </w:t>
      </w:r>
      <w:r>
        <w:rPr>
          <w:color w:val="231F20"/>
          <w:spacing w:val="2"/>
          <w:sz w:val="19"/>
        </w:rPr>
        <w:t>violencia, </w:t>
      </w:r>
      <w:r>
        <w:rPr>
          <w:color w:val="231F20"/>
          <w:sz w:val="19"/>
        </w:rPr>
        <w:t>sino  </w:t>
      </w:r>
      <w:r>
        <w:rPr>
          <w:color w:val="231F20"/>
          <w:spacing w:val="2"/>
          <w:sz w:val="19"/>
        </w:rPr>
        <w:t>situarse  </w:t>
      </w:r>
      <w:r>
        <w:rPr>
          <w:color w:val="231F20"/>
          <w:sz w:val="19"/>
        </w:rPr>
        <w:t>en </w:t>
      </w:r>
      <w:r>
        <w:rPr>
          <w:color w:val="231F20"/>
          <w:spacing w:val="2"/>
          <w:sz w:val="19"/>
        </w:rPr>
        <w:t>urdimbres afectivas </w:t>
      </w:r>
      <w:r>
        <w:rPr>
          <w:color w:val="231F20"/>
          <w:sz w:val="19"/>
        </w:rPr>
        <w:t>de la </w:t>
      </w:r>
      <w:r>
        <w:rPr>
          <w:color w:val="231F20"/>
          <w:spacing w:val="2"/>
          <w:sz w:val="19"/>
        </w:rPr>
        <w:t>relación, concretándolo </w:t>
      </w:r>
      <w:r>
        <w:rPr>
          <w:color w:val="231F20"/>
          <w:sz w:val="19"/>
        </w:rPr>
        <w:t>en lo </w:t>
      </w:r>
      <w:r>
        <w:rPr>
          <w:color w:val="231F20"/>
          <w:spacing w:val="3"/>
          <w:sz w:val="19"/>
        </w:rPr>
        <w:t>axio- </w:t>
      </w:r>
      <w:r>
        <w:rPr>
          <w:color w:val="231F20"/>
          <w:spacing w:val="2"/>
          <w:sz w:val="19"/>
        </w:rPr>
        <w:t>lógico (Peiró,</w:t>
      </w:r>
      <w:r>
        <w:rPr>
          <w:color w:val="231F20"/>
          <w:spacing w:val="-21"/>
          <w:sz w:val="19"/>
        </w:rPr>
        <w:t> </w:t>
      </w:r>
      <w:r>
        <w:rPr>
          <w:color w:val="231F20"/>
          <w:spacing w:val="2"/>
          <w:sz w:val="19"/>
        </w:rPr>
        <w:t>2009)</w:t>
      </w:r>
    </w:p>
    <w:p>
      <w:pPr>
        <w:pStyle w:val="BodyText"/>
        <w:spacing w:before="3"/>
        <w:rPr>
          <w:sz w:val="20"/>
        </w:rPr>
      </w:pPr>
    </w:p>
    <w:p>
      <w:pPr>
        <w:pStyle w:val="BodyText"/>
        <w:spacing w:line="247" w:lineRule="auto"/>
        <w:ind w:left="102" w:right="116"/>
        <w:jc w:val="both"/>
      </w:pPr>
      <w:r>
        <w:rPr>
          <w:color w:val="231F20"/>
        </w:rPr>
        <w:t>En relación con los profesores, Zamora-Poblete y Zerón-Rodríguez (2010) realizaron una investigación cualitativa en donde pretendían caracterizar la autoridad pedagógica en escuelas chilenas. Los auto- res toman como punto de partida las tensiones a las que se enfren- tan día a día los alumnos y los profesores, debido, entre otras  cosas,</w:t>
      </w:r>
    </w:p>
    <w:p>
      <w:pPr>
        <w:spacing w:after="0" w:line="247" w:lineRule="auto"/>
        <w:jc w:val="both"/>
        <w:sectPr>
          <w:headerReference w:type="default" r:id="rId900"/>
          <w:footerReference w:type="default" r:id="rId901"/>
          <w:pgSz w:w="7830" w:h="11910"/>
          <w:pgMar w:header="0" w:footer="424" w:top="500" w:bottom="620" w:left="920" w:right="900"/>
          <w:pgNumType w:start="408"/>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4"/>
        <w:jc w:val="both"/>
      </w:pPr>
      <w:r>
        <w:rPr>
          <w:color w:val="231F20"/>
        </w:rPr>
        <w:t>al avance en la cobertura de la educación secundaria, enfrentándose con esto, a jóvenes de diversos contextos socioculturales; a las for- mas y producción de la cultura de los jóvenes y al empoderamiento de los adolescentes. Los autores concluyen que se observan nuevos sentidos de la autoridad escolar en los profesores y nuevas valora- ciones en los alumnos. Para estos autores, la autoridad pedagógica  se comprende como un tipo especial de relación que parte del re- conocimiento de los alumnos más que de atributos del profesor.  Una última conclusión es que en los significados de la autoridad están en interacción dos perspectivas de la interacción pedagógica: una que pone énfasis en las barreras para el aprendizaje, y otra que destaca las oportunidades. La perspectiva que hace referencia a las barreras para el aprendizaje se presenta fuertemente centrada en la figura del profesor, el cual controla su estado de ánimo, quién acce- de y quién no. La autoridad es entendida como un poder que da derecho al profesor sobre los</w:t>
      </w:r>
      <w:r>
        <w:rPr>
          <w:color w:val="231F20"/>
          <w:spacing w:val="51"/>
        </w:rPr>
        <w:t> </w:t>
      </w:r>
      <w:r>
        <w:rPr>
          <w:color w:val="231F20"/>
        </w:rPr>
        <w:t>alumnos.</w:t>
      </w:r>
    </w:p>
    <w:p>
      <w:pPr>
        <w:pStyle w:val="BodyText"/>
        <w:spacing w:line="249" w:lineRule="auto"/>
        <w:ind w:left="102" w:right="114" w:firstLine="284"/>
        <w:jc w:val="both"/>
      </w:pPr>
      <w:r>
        <w:rPr>
          <w:color w:val="231F20"/>
        </w:rPr>
        <w:t>Feria, Monje-López, Ortega Ruiz y del Rey (2010) apuntan a la importancia del profesor como figura clave para  la  convivencia, pues es uno de los principales protagonistas para el desarrollo posi- tivo o negativo de la misma. En este estudio se analizó la percep- ción sobre la calidad de la convivencia en los centros de secundaria del Campo de Gibraltar. En sus resultados, los autores observaron que el alumnado valora más positivamente las relaciones entre sus compañeros que con el profesor, y este, a su vez, se percibe mayori- tariamente bien relacionado con los otros docentes y, no mayorita- riamente bien relacionado con los alumnos y las familias.</w:t>
      </w:r>
    </w:p>
    <w:p>
      <w:pPr>
        <w:pStyle w:val="BodyText"/>
        <w:spacing w:line="249" w:lineRule="auto"/>
        <w:ind w:left="102" w:right="115" w:firstLine="284"/>
        <w:jc w:val="both"/>
      </w:pPr>
      <w:r>
        <w:rPr>
          <w:color w:val="231F20"/>
        </w:rPr>
        <w:t>En un estudio realizado por González-Pineda, Álvarez-García, Rodríguez, González-Castro, Núñez y Álvarez (2010), se investigó acerca del clima de convivencia en los centros del principado de Asturias; para realizarlo, los autores utilizaron el cuestionario de violencia escolar (CUVE). Sus resultados muestran que el tipo de violencia más habitual es la verbal, en particular de los cinco tipos de violencia verbal percibida por los estudiantes, cuatro tienen que ver con conductas protagonizadas por el profesor: tener preferen- cias, no tratar por igual, castigar injustamente y tener manía a algu- nos</w:t>
      </w:r>
      <w:r>
        <w:rPr>
          <w:color w:val="231F20"/>
          <w:spacing w:val="18"/>
        </w:rPr>
        <w:t> </w:t>
      </w:r>
      <w:r>
        <w:rPr>
          <w:color w:val="231F20"/>
        </w:rPr>
        <w:t>alumnos.</w:t>
      </w:r>
    </w:p>
    <w:p>
      <w:pPr>
        <w:pStyle w:val="BodyText"/>
        <w:spacing w:line="247" w:lineRule="auto"/>
        <w:ind w:left="102" w:right="118" w:firstLine="284"/>
        <w:jc w:val="both"/>
      </w:pPr>
      <w:r>
        <w:rPr>
          <w:color w:val="231F20"/>
          <w:spacing w:val="2"/>
        </w:rPr>
        <w:t>Por otro lado, </w:t>
      </w:r>
      <w:r>
        <w:rPr>
          <w:color w:val="231F20"/>
        </w:rPr>
        <w:t>en el </w:t>
      </w:r>
      <w:r>
        <w:rPr>
          <w:color w:val="231F20"/>
          <w:spacing w:val="2"/>
        </w:rPr>
        <w:t>estudio titulado “Estudio </w:t>
      </w:r>
      <w:r>
        <w:rPr>
          <w:color w:val="231F20"/>
          <w:spacing w:val="3"/>
        </w:rPr>
        <w:t>comparativo </w:t>
      </w:r>
      <w:r>
        <w:rPr>
          <w:color w:val="231F20"/>
        </w:rPr>
        <w:t>de  las </w:t>
      </w:r>
      <w:r>
        <w:rPr>
          <w:color w:val="231F20"/>
          <w:spacing w:val="2"/>
        </w:rPr>
        <w:t>actuaciones </w:t>
      </w:r>
      <w:r>
        <w:rPr>
          <w:color w:val="231F20"/>
        </w:rPr>
        <w:t>de </w:t>
      </w:r>
      <w:r>
        <w:rPr>
          <w:color w:val="231F20"/>
          <w:spacing w:val="2"/>
        </w:rPr>
        <w:t>los </w:t>
      </w:r>
      <w:r>
        <w:rPr>
          <w:color w:val="231F20"/>
          <w:spacing w:val="3"/>
        </w:rPr>
        <w:t>profesores </w:t>
      </w:r>
      <w:r>
        <w:rPr>
          <w:color w:val="231F20"/>
        </w:rPr>
        <w:t>de </w:t>
      </w:r>
      <w:r>
        <w:rPr>
          <w:color w:val="231F20"/>
          <w:spacing w:val="2"/>
        </w:rPr>
        <w:t>secundaria ante situaciones  </w:t>
      </w:r>
      <w:r>
        <w:rPr>
          <w:color w:val="231F20"/>
        </w:rPr>
        <w:t>que </w:t>
      </w:r>
      <w:r>
        <w:rPr>
          <w:color w:val="231F20"/>
          <w:spacing w:val="2"/>
        </w:rPr>
        <w:t>afectan </w:t>
      </w:r>
      <w:r>
        <w:rPr>
          <w:color w:val="231F20"/>
        </w:rPr>
        <w:t>la </w:t>
      </w:r>
      <w:r>
        <w:rPr>
          <w:color w:val="231F20"/>
          <w:spacing w:val="2"/>
        </w:rPr>
        <w:t>convivencia escolar: </w:t>
      </w:r>
      <w:r>
        <w:rPr>
          <w:color w:val="231F20"/>
        </w:rPr>
        <w:t>el </w:t>
      </w:r>
      <w:r>
        <w:rPr>
          <w:color w:val="231F20"/>
          <w:spacing w:val="2"/>
        </w:rPr>
        <w:t>caso </w:t>
      </w:r>
      <w:r>
        <w:rPr>
          <w:color w:val="231F20"/>
        </w:rPr>
        <w:t>de </w:t>
      </w:r>
      <w:r>
        <w:rPr>
          <w:color w:val="231F20"/>
          <w:spacing w:val="2"/>
        </w:rPr>
        <w:t>Querétaro </w:t>
      </w:r>
      <w:r>
        <w:rPr>
          <w:color w:val="231F20"/>
          <w:spacing w:val="49"/>
        </w:rPr>
        <w:t> </w:t>
      </w:r>
      <w:r>
        <w:rPr>
          <w:color w:val="231F20"/>
          <w:spacing w:val="2"/>
        </w:rPr>
        <w:t>(México)</w:t>
      </w:r>
    </w:p>
    <w:p>
      <w:pPr>
        <w:spacing w:after="0" w:line="247" w:lineRule="auto"/>
        <w:jc w:val="both"/>
        <w:sectPr>
          <w:headerReference w:type="default" r:id="rId902"/>
          <w:footerReference w:type="default" r:id="rId903"/>
          <w:pgSz w:w="7830" w:h="11910"/>
          <w:pgMar w:header="0" w:footer="424" w:top="500" w:bottom="620" w:left="920" w:right="900"/>
          <w:pgNumType w:start="40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6"/>
        <w:jc w:val="both"/>
      </w:pPr>
      <w:r>
        <w:rPr>
          <w:color w:val="231F20"/>
        </w:rPr>
        <w:t>y Alicante (España)”, realizado por Ochoa y Peiró I Gregori, se concluye que los docentes estudiados cuentan con una gama muy limitada de actuaciones ante situaciones que pueden alterar la convivencia escolar lo que podría mostrar una falta de prepara- ción de los profesores para enfrentar conflictos. (Ochoa y Peiró I Gregori, 2010)</w:t>
      </w:r>
    </w:p>
    <w:p>
      <w:pPr>
        <w:pStyle w:val="BodyText"/>
        <w:spacing w:line="249" w:lineRule="auto"/>
        <w:ind w:left="101" w:right="114" w:firstLine="284"/>
        <w:jc w:val="both"/>
      </w:pPr>
      <w:r>
        <w:rPr>
          <w:color w:val="231F20"/>
        </w:rPr>
        <w:t>En el caso de México, son escasos los estudios publicados al res- pecto. En nuestro país el estudio de la convivencia escolar se ha rea- lizado a partir de la indagación de la violencia escolar. Así, Prieto </w:t>
      </w:r>
      <w:r>
        <w:rPr>
          <w:color w:val="231F20"/>
          <w:w w:val="95"/>
        </w:rPr>
        <w:t>(2005)</w:t>
      </w:r>
      <w:r>
        <w:rPr>
          <w:color w:val="231F20"/>
          <w:spacing w:val="-9"/>
          <w:w w:val="95"/>
        </w:rPr>
        <w:t> </w:t>
      </w:r>
      <w:r>
        <w:rPr>
          <w:color w:val="231F20"/>
          <w:w w:val="95"/>
        </w:rPr>
        <w:t>realizó</w:t>
      </w:r>
      <w:r>
        <w:rPr>
          <w:color w:val="231F20"/>
          <w:spacing w:val="-9"/>
          <w:w w:val="95"/>
        </w:rPr>
        <w:t> </w:t>
      </w:r>
      <w:r>
        <w:rPr>
          <w:color w:val="231F20"/>
          <w:w w:val="95"/>
        </w:rPr>
        <w:t>un</w:t>
      </w:r>
      <w:r>
        <w:rPr>
          <w:color w:val="231F20"/>
          <w:spacing w:val="-9"/>
          <w:w w:val="95"/>
        </w:rPr>
        <w:t> </w:t>
      </w:r>
      <w:r>
        <w:rPr>
          <w:color w:val="231F20"/>
          <w:w w:val="95"/>
        </w:rPr>
        <w:t>trabajo</w:t>
      </w:r>
      <w:r>
        <w:rPr>
          <w:color w:val="231F20"/>
          <w:spacing w:val="-9"/>
          <w:w w:val="95"/>
        </w:rPr>
        <w:t> </w:t>
      </w:r>
      <w:r>
        <w:rPr>
          <w:color w:val="231F20"/>
          <w:w w:val="95"/>
        </w:rPr>
        <w:t>titulado</w:t>
      </w:r>
      <w:r>
        <w:rPr>
          <w:color w:val="231F20"/>
          <w:spacing w:val="-9"/>
          <w:w w:val="95"/>
        </w:rPr>
        <w:t> </w:t>
      </w:r>
      <w:r>
        <w:rPr>
          <w:i/>
          <w:color w:val="231F20"/>
          <w:w w:val="95"/>
        </w:rPr>
        <w:t>Violencia</w:t>
      </w:r>
      <w:r>
        <w:rPr>
          <w:i/>
          <w:color w:val="231F20"/>
          <w:spacing w:val="-9"/>
          <w:w w:val="95"/>
        </w:rPr>
        <w:t> </w:t>
      </w:r>
      <w:r>
        <w:rPr>
          <w:i/>
          <w:color w:val="231F20"/>
          <w:w w:val="95"/>
        </w:rPr>
        <w:t>escolar</w:t>
      </w:r>
      <w:r>
        <w:rPr>
          <w:i/>
          <w:color w:val="231F20"/>
          <w:spacing w:val="-9"/>
          <w:w w:val="95"/>
        </w:rPr>
        <w:t> </w:t>
      </w:r>
      <w:r>
        <w:rPr>
          <w:i/>
          <w:color w:val="231F20"/>
          <w:w w:val="95"/>
        </w:rPr>
        <w:t>y</w:t>
      </w:r>
      <w:r>
        <w:rPr>
          <w:i/>
          <w:color w:val="231F20"/>
          <w:spacing w:val="-9"/>
          <w:w w:val="95"/>
        </w:rPr>
        <w:t> </w:t>
      </w:r>
      <w:r>
        <w:rPr>
          <w:i/>
          <w:color w:val="231F20"/>
          <w:w w:val="95"/>
        </w:rPr>
        <w:t>vida</w:t>
      </w:r>
      <w:r>
        <w:rPr>
          <w:i/>
          <w:color w:val="231F20"/>
          <w:spacing w:val="-9"/>
          <w:w w:val="95"/>
        </w:rPr>
        <w:t> </w:t>
      </w:r>
      <w:r>
        <w:rPr>
          <w:i/>
          <w:color w:val="231F20"/>
          <w:w w:val="95"/>
        </w:rPr>
        <w:t>cotidiana</w:t>
      </w:r>
      <w:r>
        <w:rPr>
          <w:i/>
          <w:color w:val="231F20"/>
          <w:spacing w:val="-9"/>
          <w:w w:val="95"/>
        </w:rPr>
        <w:t> </w:t>
      </w:r>
      <w:r>
        <w:rPr>
          <w:i/>
          <w:color w:val="231F20"/>
          <w:w w:val="95"/>
        </w:rPr>
        <w:t>en</w:t>
      </w:r>
      <w:r>
        <w:rPr>
          <w:i/>
          <w:color w:val="231F20"/>
          <w:spacing w:val="-9"/>
          <w:w w:val="95"/>
        </w:rPr>
        <w:t> </w:t>
      </w:r>
      <w:r>
        <w:rPr>
          <w:i/>
          <w:color w:val="231F20"/>
          <w:w w:val="95"/>
        </w:rPr>
        <w:t>la </w:t>
      </w:r>
      <w:r>
        <w:rPr>
          <w:i/>
          <w:color w:val="231F20"/>
        </w:rPr>
        <w:t>escuela</w:t>
      </w:r>
      <w:r>
        <w:rPr>
          <w:i/>
          <w:color w:val="231F20"/>
          <w:spacing w:val="-19"/>
        </w:rPr>
        <w:t> </w:t>
      </w:r>
      <w:r>
        <w:rPr>
          <w:i/>
          <w:color w:val="231F20"/>
        </w:rPr>
        <w:t>secundaria</w:t>
      </w:r>
      <w:r>
        <w:rPr>
          <w:color w:val="231F20"/>
        </w:rPr>
        <w:t>.</w:t>
      </w:r>
      <w:r>
        <w:rPr>
          <w:color w:val="231F20"/>
          <w:spacing w:val="-20"/>
        </w:rPr>
        <w:t> </w:t>
      </w:r>
      <w:r>
        <w:rPr>
          <w:color w:val="231F20"/>
        </w:rPr>
        <w:t>Esta</w:t>
      </w:r>
      <w:r>
        <w:rPr>
          <w:color w:val="231F20"/>
          <w:spacing w:val="-19"/>
        </w:rPr>
        <w:t> </w:t>
      </w:r>
      <w:r>
        <w:rPr>
          <w:color w:val="231F20"/>
        </w:rPr>
        <w:t>investigación</w:t>
      </w:r>
      <w:r>
        <w:rPr>
          <w:color w:val="231F20"/>
          <w:spacing w:val="-19"/>
        </w:rPr>
        <w:t> </w:t>
      </w:r>
      <w:r>
        <w:rPr>
          <w:color w:val="231F20"/>
        </w:rPr>
        <w:t>de</w:t>
      </w:r>
      <w:r>
        <w:rPr>
          <w:color w:val="231F20"/>
          <w:spacing w:val="-19"/>
        </w:rPr>
        <w:t> </w:t>
      </w:r>
      <w:r>
        <w:rPr>
          <w:color w:val="231F20"/>
        </w:rPr>
        <w:t>corte</w:t>
      </w:r>
      <w:r>
        <w:rPr>
          <w:color w:val="231F20"/>
          <w:spacing w:val="-19"/>
        </w:rPr>
        <w:t> </w:t>
      </w:r>
      <w:r>
        <w:rPr>
          <w:color w:val="231F20"/>
        </w:rPr>
        <w:t>etnográfico</w:t>
      </w:r>
      <w:r>
        <w:rPr>
          <w:color w:val="231F20"/>
          <w:spacing w:val="-19"/>
        </w:rPr>
        <w:t> </w:t>
      </w:r>
      <w:r>
        <w:rPr>
          <w:color w:val="231F20"/>
        </w:rPr>
        <w:t>tuvo</w:t>
      </w:r>
      <w:r>
        <w:rPr>
          <w:color w:val="231F20"/>
          <w:spacing w:val="-19"/>
        </w:rPr>
        <w:t> </w:t>
      </w:r>
      <w:r>
        <w:rPr>
          <w:color w:val="231F20"/>
        </w:rPr>
        <w:t>como objetivo observar las dinámicas que gestan la violencia escolar. El trabajo</w:t>
      </w:r>
      <w:r>
        <w:rPr>
          <w:color w:val="231F20"/>
          <w:spacing w:val="-9"/>
        </w:rPr>
        <w:t> </w:t>
      </w:r>
      <w:r>
        <w:rPr>
          <w:color w:val="231F20"/>
        </w:rPr>
        <w:t>tiene</w:t>
      </w:r>
      <w:r>
        <w:rPr>
          <w:color w:val="231F20"/>
          <w:spacing w:val="-9"/>
        </w:rPr>
        <w:t> </w:t>
      </w:r>
      <w:r>
        <w:rPr>
          <w:color w:val="231F20"/>
        </w:rPr>
        <w:t>dos</w:t>
      </w:r>
      <w:r>
        <w:rPr>
          <w:color w:val="231F20"/>
          <w:spacing w:val="-9"/>
        </w:rPr>
        <w:t> </w:t>
      </w:r>
      <w:r>
        <w:rPr>
          <w:color w:val="231F20"/>
        </w:rPr>
        <w:t>partes:</w:t>
      </w:r>
      <w:r>
        <w:rPr>
          <w:color w:val="231F20"/>
          <w:spacing w:val="-10"/>
        </w:rPr>
        <w:t> </w:t>
      </w:r>
      <w:r>
        <w:rPr>
          <w:color w:val="231F20"/>
        </w:rPr>
        <w:t>la</w:t>
      </w:r>
      <w:r>
        <w:rPr>
          <w:color w:val="231F20"/>
          <w:spacing w:val="-9"/>
        </w:rPr>
        <w:t> </w:t>
      </w:r>
      <w:r>
        <w:rPr>
          <w:color w:val="231F20"/>
        </w:rPr>
        <w:t>primera</w:t>
      </w:r>
      <w:r>
        <w:rPr>
          <w:color w:val="231F20"/>
          <w:spacing w:val="-9"/>
        </w:rPr>
        <w:t> </w:t>
      </w:r>
      <w:r>
        <w:rPr>
          <w:color w:val="231F20"/>
        </w:rPr>
        <w:t>de</w:t>
      </w:r>
      <w:r>
        <w:rPr>
          <w:color w:val="231F20"/>
          <w:spacing w:val="-9"/>
        </w:rPr>
        <w:t> </w:t>
      </w:r>
      <w:r>
        <w:rPr>
          <w:color w:val="231F20"/>
        </w:rPr>
        <w:t>diagnóstico,</w:t>
      </w:r>
      <w:r>
        <w:rPr>
          <w:color w:val="231F20"/>
          <w:spacing w:val="-10"/>
        </w:rPr>
        <w:t> </w:t>
      </w:r>
      <w:r>
        <w:rPr>
          <w:color w:val="231F20"/>
        </w:rPr>
        <w:t>donde</w:t>
      </w:r>
      <w:r>
        <w:rPr>
          <w:color w:val="231F20"/>
          <w:spacing w:val="-9"/>
        </w:rPr>
        <w:t> </w:t>
      </w:r>
      <w:r>
        <w:rPr>
          <w:color w:val="231F20"/>
        </w:rPr>
        <w:t>se</w:t>
      </w:r>
      <w:r>
        <w:rPr>
          <w:color w:val="231F20"/>
          <w:spacing w:val="-9"/>
        </w:rPr>
        <w:t> </w:t>
      </w:r>
      <w:r>
        <w:rPr>
          <w:color w:val="231F20"/>
        </w:rPr>
        <w:t>aplicó</w:t>
      </w:r>
      <w:r>
        <w:rPr>
          <w:color w:val="231F20"/>
          <w:spacing w:val="-9"/>
        </w:rPr>
        <w:t> </w:t>
      </w:r>
      <w:r>
        <w:rPr>
          <w:color w:val="231F20"/>
        </w:rPr>
        <w:t>un instrumento</w:t>
      </w:r>
      <w:r>
        <w:rPr>
          <w:color w:val="231F20"/>
          <w:spacing w:val="-11"/>
        </w:rPr>
        <w:t> </w:t>
      </w:r>
      <w:r>
        <w:rPr>
          <w:color w:val="231F20"/>
        </w:rPr>
        <w:t>a</w:t>
      </w:r>
      <w:r>
        <w:rPr>
          <w:color w:val="231F20"/>
          <w:spacing w:val="-11"/>
        </w:rPr>
        <w:t> </w:t>
      </w:r>
      <w:r>
        <w:rPr>
          <w:color w:val="231F20"/>
        </w:rPr>
        <w:t>600</w:t>
      </w:r>
      <w:r>
        <w:rPr>
          <w:color w:val="231F20"/>
          <w:spacing w:val="-11"/>
        </w:rPr>
        <w:t> </w:t>
      </w:r>
      <w:r>
        <w:rPr>
          <w:color w:val="231F20"/>
        </w:rPr>
        <w:t>estudiantes,</w:t>
      </w:r>
      <w:r>
        <w:rPr>
          <w:color w:val="231F20"/>
          <w:spacing w:val="-11"/>
        </w:rPr>
        <w:t> </w:t>
      </w:r>
      <w:r>
        <w:rPr>
          <w:color w:val="231F20"/>
        </w:rPr>
        <w:t>dando</w:t>
      </w:r>
      <w:r>
        <w:rPr>
          <w:color w:val="231F20"/>
          <w:spacing w:val="-11"/>
        </w:rPr>
        <w:t> </w:t>
      </w:r>
      <w:r>
        <w:rPr>
          <w:color w:val="231F20"/>
        </w:rPr>
        <w:t>lugar</w:t>
      </w:r>
      <w:r>
        <w:rPr>
          <w:color w:val="231F20"/>
          <w:spacing w:val="-11"/>
        </w:rPr>
        <w:t> </w:t>
      </w:r>
      <w:r>
        <w:rPr>
          <w:color w:val="231F20"/>
        </w:rPr>
        <w:t>a</w:t>
      </w:r>
      <w:r>
        <w:rPr>
          <w:color w:val="231F20"/>
          <w:spacing w:val="-11"/>
        </w:rPr>
        <w:t> </w:t>
      </w:r>
      <w:r>
        <w:rPr>
          <w:color w:val="231F20"/>
        </w:rPr>
        <w:t>categorías</w:t>
      </w:r>
      <w:r>
        <w:rPr>
          <w:color w:val="231F20"/>
          <w:spacing w:val="-11"/>
        </w:rPr>
        <w:t> </w:t>
      </w:r>
      <w:r>
        <w:rPr>
          <w:color w:val="231F20"/>
        </w:rPr>
        <w:t>que</w:t>
      </w:r>
      <w:r>
        <w:rPr>
          <w:color w:val="231F20"/>
          <w:spacing w:val="-11"/>
        </w:rPr>
        <w:t> </w:t>
      </w:r>
      <w:r>
        <w:rPr>
          <w:color w:val="231F20"/>
        </w:rPr>
        <w:t>refieren</w:t>
      </w:r>
      <w:r>
        <w:rPr>
          <w:color w:val="231F20"/>
          <w:spacing w:val="-11"/>
        </w:rPr>
        <w:t> </w:t>
      </w:r>
      <w:r>
        <w:rPr>
          <w:color w:val="231F20"/>
        </w:rPr>
        <w:t>a razones, sentimientos y roles de los estudiantes ante situaciones de violencia escolar. En la segunda fase se trabajó con un grupo piloto un taller para la resolución de conflictos. El autor muestra que hubo cambios en la toma de conciencia de los alumnos ante este fenó- meno. A partir de la investigación, se concluye que algunas manifes- taciones</w:t>
      </w:r>
      <w:r>
        <w:rPr>
          <w:color w:val="231F20"/>
          <w:spacing w:val="-6"/>
        </w:rPr>
        <w:t> </w:t>
      </w:r>
      <w:r>
        <w:rPr>
          <w:color w:val="231F20"/>
        </w:rPr>
        <w:t>de</w:t>
      </w:r>
      <w:r>
        <w:rPr>
          <w:color w:val="231F20"/>
          <w:spacing w:val="-6"/>
        </w:rPr>
        <w:t> </w:t>
      </w:r>
      <w:r>
        <w:rPr>
          <w:color w:val="231F20"/>
        </w:rPr>
        <w:t>violencia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encontraron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escuela</w:t>
      </w:r>
      <w:r>
        <w:rPr>
          <w:color w:val="231F20"/>
          <w:spacing w:val="-6"/>
        </w:rPr>
        <w:t> </w:t>
      </w:r>
      <w:r>
        <w:rPr>
          <w:color w:val="231F20"/>
        </w:rPr>
        <w:t>fueron</w:t>
      </w:r>
      <w:r>
        <w:rPr>
          <w:color w:val="231F20"/>
          <w:spacing w:val="-6"/>
        </w:rPr>
        <w:t> </w:t>
      </w:r>
      <w:r>
        <w:rPr>
          <w:color w:val="231F20"/>
        </w:rPr>
        <w:t>el</w:t>
      </w:r>
      <w:r>
        <w:rPr>
          <w:color w:val="231F20"/>
          <w:spacing w:val="-7"/>
        </w:rPr>
        <w:t> </w:t>
      </w:r>
      <w:r>
        <w:rPr>
          <w:color w:val="231F20"/>
        </w:rPr>
        <w:t>robo, el</w:t>
      </w:r>
      <w:r>
        <w:rPr>
          <w:color w:val="231F20"/>
          <w:spacing w:val="-23"/>
        </w:rPr>
        <w:t> </w:t>
      </w:r>
      <w:r>
        <w:rPr>
          <w:color w:val="231F20"/>
        </w:rPr>
        <w:t>vandalismo,</w:t>
      </w:r>
      <w:r>
        <w:rPr>
          <w:color w:val="231F20"/>
          <w:spacing w:val="-23"/>
        </w:rPr>
        <w:t> </w:t>
      </w:r>
      <w:r>
        <w:rPr>
          <w:color w:val="231F20"/>
        </w:rPr>
        <w:t>así</w:t>
      </w:r>
      <w:r>
        <w:rPr>
          <w:color w:val="231F20"/>
          <w:spacing w:val="-23"/>
        </w:rPr>
        <w:t> </w:t>
      </w:r>
      <w:r>
        <w:rPr>
          <w:color w:val="231F20"/>
        </w:rPr>
        <w:t>como</w:t>
      </w:r>
      <w:r>
        <w:rPr>
          <w:color w:val="231F20"/>
          <w:spacing w:val="-23"/>
        </w:rPr>
        <w:t> </w:t>
      </w:r>
      <w:r>
        <w:rPr>
          <w:color w:val="231F20"/>
        </w:rPr>
        <w:t>la</w:t>
      </w:r>
      <w:r>
        <w:rPr>
          <w:color w:val="231F20"/>
          <w:spacing w:val="-23"/>
        </w:rPr>
        <w:t> </w:t>
      </w:r>
      <w:r>
        <w:rPr>
          <w:color w:val="231F20"/>
        </w:rPr>
        <w:t>agresión</w:t>
      </w:r>
      <w:r>
        <w:rPr>
          <w:color w:val="231F20"/>
          <w:spacing w:val="-23"/>
        </w:rPr>
        <w:t> </w:t>
      </w:r>
      <w:r>
        <w:rPr>
          <w:color w:val="231F20"/>
        </w:rPr>
        <w:t>física</w:t>
      </w:r>
      <w:r>
        <w:rPr>
          <w:color w:val="231F20"/>
          <w:spacing w:val="-23"/>
        </w:rPr>
        <w:t> </w:t>
      </w:r>
      <w:r>
        <w:rPr>
          <w:color w:val="231F20"/>
        </w:rPr>
        <w:t>y</w:t>
      </w:r>
      <w:r>
        <w:rPr>
          <w:color w:val="231F20"/>
          <w:spacing w:val="-23"/>
        </w:rPr>
        <w:t> </w:t>
      </w:r>
      <w:r>
        <w:rPr>
          <w:color w:val="231F20"/>
        </w:rPr>
        <w:t>verbal.</w:t>
      </w:r>
    </w:p>
    <w:p>
      <w:pPr>
        <w:pStyle w:val="BodyText"/>
        <w:spacing w:line="247" w:lineRule="auto"/>
        <w:ind w:left="102" w:right="118" w:firstLine="284"/>
        <w:jc w:val="both"/>
      </w:pPr>
      <w:r>
        <w:rPr>
          <w:color w:val="231F20"/>
        </w:rPr>
        <w:t>Por su parte, Velásquez (2005) realizó una investigación con estudiantes de nueve centros de bachillerato del Estado de Méxi- co, a quienes se les pidió que narraran episodios violentos que habían vivido durante su vida preescolar. En los resultados que presenta la autora, destaca los episodios violentos por parte de sus pares. Igualmente manifiesta que los maestros utilizaban regaños, insultos, intimidaciones, humillaciones, castigos e incluso golpes.</w:t>
      </w:r>
    </w:p>
    <w:p>
      <w:pPr>
        <w:pStyle w:val="BodyText"/>
        <w:spacing w:line="249" w:lineRule="auto" w:before="1"/>
        <w:ind w:left="102" w:right="115" w:firstLine="284"/>
        <w:jc w:val="both"/>
      </w:pPr>
      <w:r>
        <w:rPr>
          <w:color w:val="231F20"/>
          <w:spacing w:val="3"/>
        </w:rPr>
        <w:t>Asimismo, </w:t>
      </w:r>
      <w:r>
        <w:rPr>
          <w:color w:val="231F20"/>
          <w:spacing w:val="2"/>
        </w:rPr>
        <w:t>Chagas (2005) presenta los resultados </w:t>
      </w:r>
      <w:r>
        <w:rPr>
          <w:color w:val="231F20"/>
        </w:rPr>
        <w:t>de </w:t>
      </w:r>
      <w:r>
        <w:rPr>
          <w:color w:val="231F20"/>
          <w:spacing w:val="2"/>
        </w:rPr>
        <w:t>una </w:t>
      </w:r>
      <w:r>
        <w:rPr>
          <w:color w:val="231F20"/>
          <w:spacing w:val="3"/>
        </w:rPr>
        <w:t>inves- </w:t>
      </w:r>
      <w:r>
        <w:rPr>
          <w:color w:val="231F20"/>
          <w:spacing w:val="2"/>
        </w:rPr>
        <w:t>tigación sobre violencia entre </w:t>
      </w:r>
      <w:r>
        <w:rPr>
          <w:color w:val="231F20"/>
          <w:spacing w:val="3"/>
        </w:rPr>
        <w:t>alumnos. </w:t>
      </w:r>
      <w:r>
        <w:rPr>
          <w:color w:val="231F20"/>
        </w:rPr>
        <w:t>El </w:t>
      </w:r>
      <w:r>
        <w:rPr>
          <w:color w:val="231F20"/>
          <w:spacing w:val="2"/>
        </w:rPr>
        <w:t>estudio </w:t>
      </w:r>
      <w:r>
        <w:rPr>
          <w:color w:val="231F20"/>
        </w:rPr>
        <w:t>se </w:t>
      </w:r>
      <w:r>
        <w:rPr>
          <w:color w:val="231F20"/>
          <w:spacing w:val="2"/>
        </w:rPr>
        <w:t>realizó </w:t>
      </w:r>
      <w:r>
        <w:rPr>
          <w:color w:val="231F20"/>
        </w:rPr>
        <w:t>en  </w:t>
      </w:r>
      <w:r>
        <w:rPr>
          <w:color w:val="231F20"/>
          <w:spacing w:val="2"/>
        </w:rPr>
        <w:t>una escuela primaria mexicana. </w:t>
      </w:r>
      <w:r>
        <w:rPr>
          <w:color w:val="231F20"/>
        </w:rPr>
        <w:t>Se </w:t>
      </w:r>
      <w:r>
        <w:rPr>
          <w:color w:val="231F20"/>
          <w:spacing w:val="2"/>
        </w:rPr>
        <w:t>entrevistó </w:t>
      </w:r>
      <w:r>
        <w:rPr>
          <w:color w:val="231F20"/>
        </w:rPr>
        <w:t>al </w:t>
      </w:r>
      <w:r>
        <w:rPr>
          <w:color w:val="231F20"/>
          <w:spacing w:val="2"/>
        </w:rPr>
        <w:t>director, </w:t>
      </w:r>
      <w:r>
        <w:rPr>
          <w:color w:val="231F20"/>
        </w:rPr>
        <w:t>a </w:t>
      </w:r>
      <w:r>
        <w:rPr>
          <w:color w:val="231F20"/>
          <w:spacing w:val="2"/>
        </w:rPr>
        <w:t>los </w:t>
      </w:r>
      <w:r>
        <w:rPr>
          <w:color w:val="231F20"/>
          <w:spacing w:val="3"/>
        </w:rPr>
        <w:t>profesores </w:t>
      </w:r>
      <w:r>
        <w:rPr>
          <w:color w:val="231F20"/>
        </w:rPr>
        <w:t>y </w:t>
      </w:r>
      <w:r>
        <w:rPr>
          <w:color w:val="231F20"/>
          <w:spacing w:val="3"/>
        </w:rPr>
        <w:t>alumnos. </w:t>
      </w:r>
      <w:r>
        <w:rPr>
          <w:color w:val="231F20"/>
        </w:rPr>
        <w:t>Se </w:t>
      </w:r>
      <w:r>
        <w:rPr>
          <w:color w:val="231F20"/>
          <w:spacing w:val="2"/>
        </w:rPr>
        <w:t>utilizaron cuestionarios abiertos </w:t>
      </w:r>
      <w:r>
        <w:rPr>
          <w:color w:val="231F20"/>
        </w:rPr>
        <w:t>y </w:t>
      </w:r>
      <w:r>
        <w:rPr>
          <w:color w:val="231F20"/>
          <w:spacing w:val="3"/>
        </w:rPr>
        <w:t>cerra- </w:t>
      </w:r>
      <w:r>
        <w:rPr>
          <w:color w:val="231F20"/>
          <w:spacing w:val="2"/>
        </w:rPr>
        <w:t>dos. </w:t>
      </w:r>
      <w:r>
        <w:rPr>
          <w:color w:val="231F20"/>
        </w:rPr>
        <w:t>La </w:t>
      </w:r>
      <w:r>
        <w:rPr>
          <w:color w:val="231F20"/>
          <w:spacing w:val="2"/>
        </w:rPr>
        <w:t>investigadora presenta </w:t>
      </w:r>
      <w:r>
        <w:rPr>
          <w:color w:val="231F20"/>
        </w:rPr>
        <w:t>lo </w:t>
      </w:r>
      <w:r>
        <w:rPr>
          <w:color w:val="231F20"/>
          <w:spacing w:val="2"/>
        </w:rPr>
        <w:t>que </w:t>
      </w:r>
      <w:r>
        <w:rPr>
          <w:color w:val="231F20"/>
          <w:spacing w:val="3"/>
        </w:rPr>
        <w:t>denomina </w:t>
      </w:r>
      <w:r>
        <w:rPr>
          <w:i/>
          <w:color w:val="231F20"/>
          <w:spacing w:val="2"/>
        </w:rPr>
        <w:t>representaciones </w:t>
      </w:r>
      <w:r>
        <w:rPr>
          <w:i/>
          <w:color w:val="231F20"/>
          <w:spacing w:val="2"/>
        </w:rPr>
        <w:t>sociales </w:t>
      </w:r>
      <w:r>
        <w:rPr>
          <w:i/>
          <w:color w:val="231F20"/>
        </w:rPr>
        <w:t>de los </w:t>
      </w:r>
      <w:r>
        <w:rPr>
          <w:i/>
          <w:color w:val="231F20"/>
          <w:spacing w:val="2"/>
        </w:rPr>
        <w:t>profesores </w:t>
      </w:r>
      <w:r>
        <w:rPr>
          <w:color w:val="231F20"/>
          <w:spacing w:val="2"/>
        </w:rPr>
        <w:t>sobre </w:t>
      </w:r>
      <w:r>
        <w:rPr>
          <w:color w:val="231F20"/>
        </w:rPr>
        <w:t>la </w:t>
      </w:r>
      <w:r>
        <w:rPr>
          <w:color w:val="231F20"/>
          <w:spacing w:val="2"/>
        </w:rPr>
        <w:t>violencia </w:t>
      </w:r>
      <w:r>
        <w:rPr>
          <w:color w:val="231F20"/>
        </w:rPr>
        <w:t>que </w:t>
      </w:r>
      <w:r>
        <w:rPr>
          <w:color w:val="231F20"/>
          <w:spacing w:val="2"/>
        </w:rPr>
        <w:t>ejercen los niños </w:t>
      </w:r>
      <w:r>
        <w:rPr>
          <w:color w:val="231F20"/>
        </w:rPr>
        <w:t>y </w:t>
      </w:r>
      <w:r>
        <w:rPr>
          <w:color w:val="231F20"/>
          <w:spacing w:val="3"/>
        </w:rPr>
        <w:t>cómo </w:t>
      </w:r>
      <w:r>
        <w:rPr>
          <w:color w:val="231F20"/>
          <w:spacing w:val="2"/>
        </w:rPr>
        <w:t>estas son </w:t>
      </w:r>
      <w:r>
        <w:rPr>
          <w:color w:val="231F20"/>
          <w:spacing w:val="3"/>
        </w:rPr>
        <w:t>contradictorias </w:t>
      </w:r>
      <w:r>
        <w:rPr>
          <w:color w:val="231F20"/>
          <w:spacing w:val="2"/>
        </w:rPr>
        <w:t>cuando resuelven los </w:t>
      </w:r>
      <w:r>
        <w:rPr>
          <w:color w:val="231F20"/>
          <w:spacing w:val="3"/>
        </w:rPr>
        <w:t>conflictos </w:t>
      </w:r>
      <w:r>
        <w:rPr>
          <w:color w:val="231F20"/>
          <w:spacing w:val="2"/>
        </w:rPr>
        <w:t>tanto </w:t>
      </w:r>
      <w:r>
        <w:rPr>
          <w:color w:val="231F20"/>
        </w:rPr>
        <w:t>en el </w:t>
      </w:r>
      <w:r>
        <w:rPr>
          <w:color w:val="231F20"/>
          <w:spacing w:val="2"/>
        </w:rPr>
        <w:t>aula </w:t>
      </w:r>
      <w:r>
        <w:rPr>
          <w:color w:val="231F20"/>
          <w:spacing w:val="3"/>
        </w:rPr>
        <w:t>como </w:t>
      </w:r>
      <w:r>
        <w:rPr>
          <w:color w:val="231F20"/>
          <w:spacing w:val="2"/>
        </w:rPr>
        <w:t>entre ellos </w:t>
      </w:r>
      <w:r>
        <w:rPr>
          <w:color w:val="231F20"/>
          <w:spacing w:val="3"/>
        </w:rPr>
        <w:t>mismos. </w:t>
      </w:r>
      <w:r>
        <w:rPr>
          <w:color w:val="231F20"/>
        </w:rPr>
        <w:t>La </w:t>
      </w:r>
      <w:r>
        <w:rPr>
          <w:color w:val="231F20"/>
          <w:spacing w:val="2"/>
        </w:rPr>
        <w:t>investigadora </w:t>
      </w:r>
      <w:r>
        <w:rPr>
          <w:color w:val="231F20"/>
          <w:spacing w:val="3"/>
        </w:rPr>
        <w:t>con- </w:t>
      </w:r>
      <w:r>
        <w:rPr>
          <w:color w:val="231F20"/>
          <w:spacing w:val="2"/>
        </w:rPr>
        <w:t>cluye que </w:t>
      </w:r>
      <w:r>
        <w:rPr>
          <w:color w:val="231F20"/>
        </w:rPr>
        <w:t>se </w:t>
      </w:r>
      <w:r>
        <w:rPr>
          <w:color w:val="231F20"/>
          <w:spacing w:val="2"/>
        </w:rPr>
        <w:t>observa una falta </w:t>
      </w:r>
      <w:r>
        <w:rPr>
          <w:color w:val="231F20"/>
        </w:rPr>
        <w:t>de </w:t>
      </w:r>
      <w:r>
        <w:rPr>
          <w:color w:val="231F20"/>
          <w:spacing w:val="2"/>
        </w:rPr>
        <w:t>coherencia que afecta </w:t>
      </w:r>
      <w:r>
        <w:rPr>
          <w:color w:val="231F20"/>
        </w:rPr>
        <w:t>a la </w:t>
      </w:r>
      <w:r>
        <w:rPr>
          <w:color w:val="231F20"/>
          <w:spacing w:val="2"/>
        </w:rPr>
        <w:t>trans- misión </w:t>
      </w:r>
      <w:r>
        <w:rPr>
          <w:color w:val="231F20"/>
        </w:rPr>
        <w:t>de </w:t>
      </w:r>
      <w:r>
        <w:rPr>
          <w:color w:val="231F20"/>
          <w:spacing w:val="2"/>
        </w:rPr>
        <w:t>valores hacia </w:t>
      </w:r>
      <w:r>
        <w:rPr>
          <w:color w:val="231F20"/>
        </w:rPr>
        <w:t>los </w:t>
      </w:r>
      <w:r>
        <w:rPr>
          <w:color w:val="231F20"/>
          <w:spacing w:val="2"/>
        </w:rPr>
        <w:t>alumnos, generando confusión </w:t>
      </w:r>
      <w:r>
        <w:rPr>
          <w:color w:val="231F20"/>
          <w:spacing w:val="14"/>
        </w:rPr>
        <w:t> </w:t>
      </w:r>
      <w:r>
        <w:rPr>
          <w:color w:val="231F20"/>
          <w:spacing w:val="3"/>
        </w:rPr>
        <w:t>respec-</w:t>
      </w:r>
    </w:p>
    <w:p>
      <w:pPr>
        <w:spacing w:after="0" w:line="249" w:lineRule="auto"/>
        <w:jc w:val="both"/>
        <w:sectPr>
          <w:headerReference w:type="default" r:id="rId904"/>
          <w:footerReference w:type="default" r:id="rId905"/>
          <w:pgSz w:w="7830" w:h="11910"/>
          <w:pgMar w:header="0" w:footer="424" w:top="500" w:bottom="620" w:left="920" w:right="900"/>
          <w:pgNumType w:start="41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21"/>
      </w:pPr>
      <w:r>
        <w:rPr>
          <w:color w:val="231F20"/>
        </w:rPr>
        <w:t>to de la responsabilidad sobre sus actos e influyendo en el tipo de relaciones que establecen los niños con sus iguales.</w:t>
      </w:r>
    </w:p>
    <w:p>
      <w:pPr>
        <w:pStyle w:val="BodyText"/>
        <w:spacing w:line="249" w:lineRule="auto" w:before="1"/>
        <w:ind w:left="102" w:right="114" w:firstLine="284"/>
        <w:jc w:val="both"/>
      </w:pPr>
      <w:r>
        <w:rPr>
          <w:color w:val="231F20"/>
          <w:spacing w:val="2"/>
        </w:rPr>
        <w:t>Vázquez </w:t>
      </w:r>
      <w:r>
        <w:rPr>
          <w:color w:val="231F20"/>
        </w:rPr>
        <w:t>y </w:t>
      </w:r>
      <w:r>
        <w:rPr>
          <w:color w:val="231F20"/>
          <w:spacing w:val="2"/>
        </w:rPr>
        <w:t>otros (2005) realizaron </w:t>
      </w:r>
      <w:r>
        <w:rPr>
          <w:color w:val="231F20"/>
        </w:rPr>
        <w:t>un </w:t>
      </w:r>
      <w:r>
        <w:rPr>
          <w:color w:val="231F20"/>
          <w:spacing w:val="2"/>
        </w:rPr>
        <w:t>estudio </w:t>
      </w:r>
      <w:r>
        <w:rPr>
          <w:color w:val="231F20"/>
          <w:spacing w:val="3"/>
        </w:rPr>
        <w:t>comparativo- </w:t>
      </w:r>
      <w:r>
        <w:rPr>
          <w:color w:val="231F20"/>
          <w:spacing w:val="2"/>
        </w:rPr>
        <w:t>transversal cuyo objetivo fue </w:t>
      </w:r>
      <w:r>
        <w:rPr>
          <w:color w:val="231F20"/>
          <w:spacing w:val="3"/>
        </w:rPr>
        <w:t>conocer </w:t>
      </w:r>
      <w:r>
        <w:rPr>
          <w:color w:val="231F20"/>
          <w:spacing w:val="2"/>
        </w:rPr>
        <w:t>algunas actitudes hacia </w:t>
      </w:r>
      <w:r>
        <w:rPr>
          <w:color w:val="231F20"/>
        </w:rPr>
        <w:t>la </w:t>
      </w:r>
      <w:r>
        <w:rPr>
          <w:color w:val="231F20"/>
          <w:spacing w:val="2"/>
        </w:rPr>
        <w:t>violencia </w:t>
      </w:r>
      <w:r>
        <w:rPr>
          <w:color w:val="231F20"/>
        </w:rPr>
        <w:t>y no </w:t>
      </w:r>
      <w:r>
        <w:rPr>
          <w:color w:val="231F20"/>
          <w:spacing w:val="2"/>
        </w:rPr>
        <w:t>violencia </w:t>
      </w:r>
      <w:r>
        <w:rPr>
          <w:color w:val="231F20"/>
        </w:rPr>
        <w:t>y sus </w:t>
      </w:r>
      <w:r>
        <w:rPr>
          <w:color w:val="231F20"/>
          <w:spacing w:val="2"/>
        </w:rPr>
        <w:t>magnitudes. Los autores aplicaron  </w:t>
      </w:r>
      <w:r>
        <w:rPr>
          <w:color w:val="231F20"/>
        </w:rPr>
        <w:t>un </w:t>
      </w:r>
      <w:r>
        <w:rPr>
          <w:color w:val="231F20"/>
          <w:spacing w:val="2"/>
        </w:rPr>
        <w:t>cuestionario con preguntas abiertas </w:t>
      </w:r>
      <w:r>
        <w:rPr>
          <w:color w:val="231F20"/>
        </w:rPr>
        <w:t>a 469 </w:t>
      </w:r>
      <w:r>
        <w:rPr>
          <w:color w:val="231F20"/>
          <w:spacing w:val="3"/>
        </w:rPr>
        <w:t>alumnos, </w:t>
      </w:r>
      <w:r>
        <w:rPr>
          <w:color w:val="231F20"/>
        </w:rPr>
        <w:t>102 </w:t>
      </w:r>
      <w:r>
        <w:rPr>
          <w:color w:val="231F20"/>
          <w:spacing w:val="3"/>
        </w:rPr>
        <w:t>docen- </w:t>
      </w:r>
      <w:r>
        <w:rPr>
          <w:color w:val="231F20"/>
        </w:rPr>
        <w:t>tes y 32 </w:t>
      </w:r>
      <w:r>
        <w:rPr>
          <w:color w:val="231F20"/>
          <w:spacing w:val="2"/>
        </w:rPr>
        <w:t>administrativos. Los resultaron </w:t>
      </w:r>
      <w:r>
        <w:rPr>
          <w:color w:val="231F20"/>
          <w:spacing w:val="3"/>
        </w:rPr>
        <w:t>mostraron </w:t>
      </w:r>
      <w:r>
        <w:rPr>
          <w:color w:val="231F20"/>
          <w:spacing w:val="2"/>
        </w:rPr>
        <w:t>que más </w:t>
      </w:r>
      <w:r>
        <w:rPr>
          <w:color w:val="231F20"/>
        </w:rPr>
        <w:t>del  50% de la </w:t>
      </w:r>
      <w:r>
        <w:rPr>
          <w:color w:val="231F20"/>
          <w:spacing w:val="2"/>
        </w:rPr>
        <w:t>población consultada percibe </w:t>
      </w:r>
      <w:r>
        <w:rPr>
          <w:color w:val="231F20"/>
        </w:rPr>
        <w:t>la </w:t>
      </w:r>
      <w:r>
        <w:rPr>
          <w:color w:val="231F20"/>
          <w:spacing w:val="2"/>
        </w:rPr>
        <w:t>violencia entre </w:t>
      </w:r>
      <w:r>
        <w:rPr>
          <w:color w:val="231F20"/>
          <w:spacing w:val="3"/>
        </w:rPr>
        <w:t>sus miembros. </w:t>
      </w:r>
      <w:r>
        <w:rPr>
          <w:color w:val="231F20"/>
          <w:spacing w:val="2"/>
        </w:rPr>
        <w:t>Las </w:t>
      </w:r>
      <w:r>
        <w:rPr>
          <w:color w:val="231F20"/>
          <w:spacing w:val="3"/>
        </w:rPr>
        <w:t>formas </w:t>
      </w:r>
      <w:r>
        <w:rPr>
          <w:color w:val="231F20"/>
        </w:rPr>
        <w:t>de </w:t>
      </w:r>
      <w:r>
        <w:rPr>
          <w:color w:val="231F20"/>
          <w:spacing w:val="2"/>
        </w:rPr>
        <w:t>violencia </w:t>
      </w:r>
      <w:r>
        <w:rPr>
          <w:color w:val="231F20"/>
        </w:rPr>
        <w:t>que </w:t>
      </w:r>
      <w:r>
        <w:rPr>
          <w:color w:val="231F20"/>
          <w:spacing w:val="2"/>
        </w:rPr>
        <w:t>son </w:t>
      </w:r>
      <w:r>
        <w:rPr>
          <w:color w:val="231F20"/>
          <w:spacing w:val="3"/>
        </w:rPr>
        <w:t>percibidas </w:t>
      </w:r>
      <w:r>
        <w:rPr>
          <w:color w:val="231F20"/>
          <w:spacing w:val="2"/>
        </w:rPr>
        <w:t>son </w:t>
      </w:r>
      <w:r>
        <w:rPr>
          <w:color w:val="231F20"/>
          <w:spacing w:val="3"/>
        </w:rPr>
        <w:t>los </w:t>
      </w:r>
      <w:r>
        <w:rPr>
          <w:color w:val="231F20"/>
          <w:spacing w:val="2"/>
        </w:rPr>
        <w:t>insultos, los gritos, </w:t>
      </w:r>
      <w:r>
        <w:rPr>
          <w:color w:val="231F20"/>
        </w:rPr>
        <w:t>las </w:t>
      </w:r>
      <w:r>
        <w:rPr>
          <w:color w:val="231F20"/>
          <w:spacing w:val="2"/>
        </w:rPr>
        <w:t>discusiones </w:t>
      </w:r>
      <w:r>
        <w:rPr>
          <w:color w:val="231F20"/>
        </w:rPr>
        <w:t>y el </w:t>
      </w:r>
      <w:r>
        <w:rPr>
          <w:color w:val="231F20"/>
          <w:spacing w:val="2"/>
        </w:rPr>
        <w:t>acoso. Los autores atribu- </w:t>
      </w:r>
      <w:r>
        <w:rPr>
          <w:color w:val="231F20"/>
        </w:rPr>
        <w:t>yen las </w:t>
      </w:r>
      <w:r>
        <w:rPr>
          <w:color w:val="231F20"/>
          <w:spacing w:val="2"/>
        </w:rPr>
        <w:t>causas </w:t>
      </w:r>
      <w:r>
        <w:rPr>
          <w:color w:val="231F20"/>
        </w:rPr>
        <w:t>de la </w:t>
      </w:r>
      <w:r>
        <w:rPr>
          <w:color w:val="231F20"/>
          <w:spacing w:val="2"/>
        </w:rPr>
        <w:t>violencia </w:t>
      </w:r>
      <w:r>
        <w:rPr>
          <w:color w:val="231F20"/>
        </w:rPr>
        <w:t>a la </w:t>
      </w:r>
      <w:r>
        <w:rPr>
          <w:color w:val="231F20"/>
          <w:spacing w:val="3"/>
        </w:rPr>
        <w:t>sobrepoblación </w:t>
      </w:r>
      <w:r>
        <w:rPr>
          <w:color w:val="231F20"/>
          <w:spacing w:val="2"/>
        </w:rPr>
        <w:t>estudiantil, </w:t>
      </w:r>
      <w:r>
        <w:rPr>
          <w:color w:val="231F20"/>
        </w:rPr>
        <w:t>la </w:t>
      </w:r>
      <w:r>
        <w:rPr>
          <w:color w:val="231F20"/>
          <w:spacing w:val="2"/>
        </w:rPr>
        <w:t>diversidad</w:t>
      </w:r>
      <w:r>
        <w:rPr>
          <w:color w:val="231F20"/>
          <w:spacing w:val="-8"/>
        </w:rPr>
        <w:t> </w:t>
      </w:r>
      <w:r>
        <w:rPr>
          <w:color w:val="231F20"/>
        </w:rPr>
        <w:t>y</w:t>
      </w:r>
      <w:r>
        <w:rPr>
          <w:color w:val="231F20"/>
          <w:spacing w:val="-8"/>
        </w:rPr>
        <w:t> </w:t>
      </w:r>
      <w:r>
        <w:rPr>
          <w:color w:val="231F20"/>
        </w:rPr>
        <w:t>la</w:t>
      </w:r>
      <w:r>
        <w:rPr>
          <w:color w:val="231F20"/>
          <w:spacing w:val="-9"/>
        </w:rPr>
        <w:t> </w:t>
      </w:r>
      <w:r>
        <w:rPr>
          <w:color w:val="231F20"/>
          <w:spacing w:val="2"/>
        </w:rPr>
        <w:t>disciplina</w:t>
      </w:r>
      <w:r>
        <w:rPr>
          <w:color w:val="231F20"/>
          <w:spacing w:val="-9"/>
        </w:rPr>
        <w:t> </w:t>
      </w:r>
      <w:r>
        <w:rPr>
          <w:color w:val="231F20"/>
          <w:spacing w:val="2"/>
        </w:rPr>
        <w:t>poco</w:t>
      </w:r>
      <w:r>
        <w:rPr>
          <w:color w:val="231F20"/>
          <w:spacing w:val="-8"/>
        </w:rPr>
        <w:t> </w:t>
      </w:r>
      <w:r>
        <w:rPr>
          <w:color w:val="231F20"/>
          <w:spacing w:val="2"/>
        </w:rPr>
        <w:t>clara.</w:t>
      </w:r>
    </w:p>
    <w:p>
      <w:pPr>
        <w:pStyle w:val="BodyText"/>
        <w:spacing w:line="249" w:lineRule="auto"/>
        <w:ind w:left="101" w:right="115" w:firstLine="284"/>
        <w:jc w:val="both"/>
      </w:pPr>
      <w:r>
        <w:rPr>
          <w:color w:val="231F20"/>
          <w:spacing w:val="3"/>
        </w:rPr>
        <w:t>El </w:t>
      </w:r>
      <w:r>
        <w:rPr>
          <w:color w:val="231F20"/>
          <w:spacing w:val="4"/>
        </w:rPr>
        <w:t>Instituto Nacional </w:t>
      </w:r>
      <w:r>
        <w:rPr>
          <w:color w:val="231F20"/>
          <w:spacing w:val="3"/>
        </w:rPr>
        <w:t>para </w:t>
      </w:r>
      <w:r>
        <w:rPr>
          <w:color w:val="231F20"/>
        </w:rPr>
        <w:t>la </w:t>
      </w:r>
      <w:r>
        <w:rPr>
          <w:color w:val="231F20"/>
          <w:spacing w:val="4"/>
        </w:rPr>
        <w:t>Evaluación  </w:t>
      </w:r>
      <w:r>
        <w:rPr>
          <w:color w:val="231F20"/>
          <w:spacing w:val="2"/>
        </w:rPr>
        <w:t>en  </w:t>
      </w:r>
      <w:r>
        <w:rPr>
          <w:color w:val="231F20"/>
          <w:spacing w:val="4"/>
        </w:rPr>
        <w:t>Educación  (INEE)</w:t>
      </w:r>
      <w:r>
        <w:rPr>
          <w:color w:val="231F20"/>
          <w:spacing w:val="-5"/>
        </w:rPr>
        <w:t> </w:t>
      </w:r>
      <w:r>
        <w:rPr>
          <w:color w:val="231F20"/>
          <w:spacing w:val="4"/>
        </w:rPr>
        <w:t>también</w:t>
      </w:r>
      <w:r>
        <w:rPr>
          <w:color w:val="231F20"/>
          <w:spacing w:val="-4"/>
        </w:rPr>
        <w:t> </w:t>
      </w:r>
      <w:r>
        <w:rPr>
          <w:color w:val="231F20"/>
          <w:spacing w:val="4"/>
        </w:rPr>
        <w:t>realizó</w:t>
      </w:r>
      <w:r>
        <w:rPr>
          <w:color w:val="231F20"/>
          <w:spacing w:val="-4"/>
        </w:rPr>
        <w:t> </w:t>
      </w:r>
      <w:r>
        <w:rPr>
          <w:color w:val="231F20"/>
          <w:spacing w:val="3"/>
        </w:rPr>
        <w:t>una</w:t>
      </w:r>
      <w:r>
        <w:rPr>
          <w:color w:val="231F20"/>
          <w:spacing w:val="-4"/>
        </w:rPr>
        <w:t> </w:t>
      </w:r>
      <w:r>
        <w:rPr>
          <w:color w:val="231F20"/>
          <w:spacing w:val="4"/>
        </w:rPr>
        <w:t>investigación</w:t>
      </w:r>
      <w:r>
        <w:rPr>
          <w:color w:val="231F20"/>
          <w:spacing w:val="-4"/>
        </w:rPr>
        <w:t> </w:t>
      </w:r>
      <w:r>
        <w:rPr>
          <w:color w:val="231F20"/>
          <w:spacing w:val="4"/>
        </w:rPr>
        <w:t>denominada</w:t>
      </w:r>
      <w:r>
        <w:rPr>
          <w:color w:val="231F20"/>
          <w:spacing w:val="-4"/>
        </w:rPr>
        <w:t> </w:t>
      </w:r>
      <w:r>
        <w:rPr>
          <w:i/>
          <w:color w:val="231F20"/>
          <w:spacing w:val="4"/>
        </w:rPr>
        <w:t>Disciplina, </w:t>
      </w:r>
      <w:r>
        <w:rPr>
          <w:i/>
          <w:color w:val="231F20"/>
          <w:spacing w:val="4"/>
          <w:w w:val="90"/>
        </w:rPr>
        <w:t>violencia</w:t>
      </w:r>
      <w:r>
        <w:rPr>
          <w:i/>
          <w:color w:val="231F20"/>
          <w:spacing w:val="-19"/>
          <w:w w:val="90"/>
        </w:rPr>
        <w:t> </w:t>
      </w:r>
      <w:r>
        <w:rPr>
          <w:i/>
          <w:color w:val="231F20"/>
          <w:w w:val="90"/>
        </w:rPr>
        <w:t>y</w:t>
      </w:r>
      <w:r>
        <w:rPr>
          <w:i/>
          <w:color w:val="231F20"/>
          <w:spacing w:val="-19"/>
          <w:w w:val="90"/>
        </w:rPr>
        <w:t> </w:t>
      </w:r>
      <w:r>
        <w:rPr>
          <w:i/>
          <w:color w:val="231F20"/>
          <w:spacing w:val="4"/>
          <w:w w:val="90"/>
        </w:rPr>
        <w:t>consumo</w:t>
      </w:r>
      <w:r>
        <w:rPr>
          <w:i/>
          <w:color w:val="231F20"/>
          <w:spacing w:val="-19"/>
          <w:w w:val="90"/>
        </w:rPr>
        <w:t> </w:t>
      </w:r>
      <w:r>
        <w:rPr>
          <w:i/>
          <w:color w:val="231F20"/>
          <w:spacing w:val="2"/>
          <w:w w:val="90"/>
        </w:rPr>
        <w:t>de</w:t>
      </w:r>
      <w:r>
        <w:rPr>
          <w:i/>
          <w:color w:val="231F20"/>
          <w:spacing w:val="-19"/>
          <w:w w:val="90"/>
        </w:rPr>
        <w:t> </w:t>
      </w:r>
      <w:r>
        <w:rPr>
          <w:i/>
          <w:color w:val="231F20"/>
          <w:spacing w:val="4"/>
          <w:w w:val="90"/>
        </w:rPr>
        <w:t>sustancias</w:t>
      </w:r>
      <w:r>
        <w:rPr>
          <w:i/>
          <w:color w:val="231F20"/>
          <w:spacing w:val="-19"/>
          <w:w w:val="90"/>
        </w:rPr>
        <w:t> </w:t>
      </w:r>
      <w:r>
        <w:rPr>
          <w:i/>
          <w:color w:val="231F20"/>
          <w:spacing w:val="4"/>
          <w:w w:val="90"/>
        </w:rPr>
        <w:t>nocivas</w:t>
      </w:r>
      <w:r>
        <w:rPr>
          <w:i/>
          <w:color w:val="231F20"/>
          <w:spacing w:val="-19"/>
          <w:w w:val="90"/>
        </w:rPr>
        <w:t> </w:t>
      </w:r>
      <w:r>
        <w:rPr>
          <w:i/>
          <w:color w:val="231F20"/>
          <w:spacing w:val="3"/>
          <w:w w:val="90"/>
        </w:rPr>
        <w:t>para</w:t>
      </w:r>
      <w:r>
        <w:rPr>
          <w:i/>
          <w:color w:val="231F20"/>
          <w:spacing w:val="-19"/>
          <w:w w:val="90"/>
        </w:rPr>
        <w:t> </w:t>
      </w:r>
      <w:r>
        <w:rPr>
          <w:i/>
          <w:color w:val="231F20"/>
          <w:w w:val="90"/>
        </w:rPr>
        <w:t>la</w:t>
      </w:r>
      <w:r>
        <w:rPr>
          <w:i/>
          <w:color w:val="231F20"/>
          <w:spacing w:val="-19"/>
          <w:w w:val="90"/>
        </w:rPr>
        <w:t> </w:t>
      </w:r>
      <w:r>
        <w:rPr>
          <w:i/>
          <w:color w:val="231F20"/>
          <w:spacing w:val="3"/>
          <w:w w:val="90"/>
        </w:rPr>
        <w:t>salud</w:t>
      </w:r>
      <w:r>
        <w:rPr>
          <w:i/>
          <w:color w:val="231F20"/>
          <w:spacing w:val="-19"/>
          <w:w w:val="90"/>
        </w:rPr>
        <w:t> </w:t>
      </w:r>
      <w:r>
        <w:rPr>
          <w:i/>
          <w:color w:val="231F20"/>
          <w:spacing w:val="2"/>
          <w:w w:val="90"/>
        </w:rPr>
        <w:t>en</w:t>
      </w:r>
      <w:r>
        <w:rPr>
          <w:i/>
          <w:color w:val="231F20"/>
          <w:spacing w:val="-19"/>
          <w:w w:val="90"/>
        </w:rPr>
        <w:t> </w:t>
      </w:r>
      <w:r>
        <w:rPr>
          <w:i/>
          <w:color w:val="231F20"/>
          <w:spacing w:val="4"/>
          <w:w w:val="90"/>
        </w:rPr>
        <w:t>escuelas</w:t>
      </w:r>
      <w:r>
        <w:rPr>
          <w:i/>
          <w:color w:val="231F20"/>
          <w:spacing w:val="-19"/>
          <w:w w:val="90"/>
        </w:rPr>
        <w:t> </w:t>
      </w:r>
      <w:r>
        <w:rPr>
          <w:i/>
          <w:color w:val="231F20"/>
          <w:spacing w:val="4"/>
          <w:w w:val="90"/>
        </w:rPr>
        <w:t>prima- </w:t>
      </w:r>
      <w:r>
        <w:rPr>
          <w:i/>
          <w:color w:val="231F20"/>
          <w:spacing w:val="3"/>
        </w:rPr>
        <w:t>rias</w:t>
      </w:r>
      <w:r>
        <w:rPr>
          <w:i/>
          <w:color w:val="231F20"/>
          <w:spacing w:val="-11"/>
        </w:rPr>
        <w:t> </w:t>
      </w:r>
      <w:r>
        <w:rPr>
          <w:i/>
          <w:color w:val="231F20"/>
        </w:rPr>
        <w:t>y</w:t>
      </w:r>
      <w:r>
        <w:rPr>
          <w:i/>
          <w:color w:val="231F20"/>
          <w:spacing w:val="-11"/>
        </w:rPr>
        <w:t> </w:t>
      </w:r>
      <w:r>
        <w:rPr>
          <w:i/>
          <w:color w:val="231F20"/>
          <w:spacing w:val="4"/>
        </w:rPr>
        <w:t>secundarias</w:t>
      </w:r>
      <w:r>
        <w:rPr>
          <w:i/>
          <w:color w:val="231F20"/>
          <w:spacing w:val="-11"/>
        </w:rPr>
        <w:t> </w:t>
      </w:r>
      <w:r>
        <w:rPr>
          <w:i/>
          <w:color w:val="231F20"/>
          <w:spacing w:val="2"/>
        </w:rPr>
        <w:t>de</w:t>
      </w:r>
      <w:r>
        <w:rPr>
          <w:i/>
          <w:color w:val="231F20"/>
          <w:spacing w:val="-11"/>
        </w:rPr>
        <w:t> </w:t>
      </w:r>
      <w:r>
        <w:rPr>
          <w:i/>
          <w:color w:val="231F20"/>
          <w:spacing w:val="4"/>
        </w:rPr>
        <w:t>México</w:t>
      </w:r>
      <w:r>
        <w:rPr>
          <w:i/>
          <w:color w:val="231F20"/>
          <w:spacing w:val="-11"/>
        </w:rPr>
        <w:t> </w:t>
      </w:r>
      <w:r>
        <w:rPr>
          <w:color w:val="231F20"/>
          <w:spacing w:val="4"/>
        </w:rPr>
        <w:t>(Aguilera-García,</w:t>
      </w:r>
      <w:r>
        <w:rPr>
          <w:color w:val="231F20"/>
          <w:spacing w:val="-11"/>
        </w:rPr>
        <w:t> </w:t>
      </w:r>
      <w:r>
        <w:rPr>
          <w:color w:val="231F20"/>
          <w:spacing w:val="5"/>
        </w:rPr>
        <w:t>Muñoz-Abundez</w:t>
      </w:r>
      <w:r>
        <w:rPr>
          <w:color w:val="231F20"/>
          <w:spacing w:val="-11"/>
        </w:rPr>
        <w:t> </w:t>
      </w:r>
      <w:r>
        <w:rPr>
          <w:color w:val="231F20"/>
        </w:rPr>
        <w:t>y </w:t>
      </w:r>
      <w:r>
        <w:rPr>
          <w:color w:val="231F20"/>
          <w:spacing w:val="4"/>
        </w:rPr>
        <w:t>Orozco, 2007). </w:t>
      </w:r>
      <w:r>
        <w:rPr>
          <w:color w:val="231F20"/>
          <w:spacing w:val="3"/>
        </w:rPr>
        <w:t>El </w:t>
      </w:r>
      <w:r>
        <w:rPr>
          <w:color w:val="231F20"/>
          <w:spacing w:val="4"/>
        </w:rPr>
        <w:t>estudio estuvo </w:t>
      </w:r>
      <w:r>
        <w:rPr>
          <w:color w:val="231F20"/>
          <w:spacing w:val="5"/>
        </w:rPr>
        <w:t>conformado </w:t>
      </w:r>
      <w:r>
        <w:rPr>
          <w:color w:val="231F20"/>
          <w:spacing w:val="4"/>
        </w:rPr>
        <w:t>por dos </w:t>
      </w:r>
      <w:r>
        <w:rPr>
          <w:color w:val="231F20"/>
          <w:spacing w:val="5"/>
        </w:rPr>
        <w:t>acerca- </w:t>
      </w:r>
      <w:r>
        <w:rPr>
          <w:color w:val="231F20"/>
          <w:spacing w:val="4"/>
        </w:rPr>
        <w:t>mientos; </w:t>
      </w:r>
      <w:r>
        <w:rPr>
          <w:color w:val="231F20"/>
          <w:spacing w:val="3"/>
        </w:rPr>
        <w:t>uno </w:t>
      </w:r>
      <w:r>
        <w:rPr>
          <w:color w:val="231F20"/>
        </w:rPr>
        <w:t>a  </w:t>
      </w:r>
      <w:r>
        <w:rPr>
          <w:color w:val="231F20"/>
          <w:spacing w:val="4"/>
        </w:rPr>
        <w:t>través </w:t>
      </w:r>
      <w:r>
        <w:rPr>
          <w:color w:val="231F20"/>
          <w:spacing w:val="3"/>
        </w:rPr>
        <w:t>de los </w:t>
      </w:r>
      <w:r>
        <w:rPr>
          <w:color w:val="231F20"/>
          <w:spacing w:val="4"/>
        </w:rPr>
        <w:t>datos recabados por </w:t>
      </w:r>
      <w:r>
        <w:rPr>
          <w:color w:val="231F20"/>
          <w:spacing w:val="3"/>
        </w:rPr>
        <w:t>los </w:t>
      </w:r>
      <w:r>
        <w:rPr>
          <w:color w:val="231F20"/>
          <w:spacing w:val="4"/>
        </w:rPr>
        <w:t>exámenes   </w:t>
      </w:r>
      <w:r>
        <w:rPr>
          <w:color w:val="231F20"/>
          <w:spacing w:val="3"/>
        </w:rPr>
        <w:t>de </w:t>
      </w:r>
      <w:r>
        <w:rPr>
          <w:color w:val="231F20"/>
        </w:rPr>
        <w:t>la </w:t>
      </w:r>
      <w:r>
        <w:rPr>
          <w:color w:val="231F20"/>
          <w:spacing w:val="4"/>
        </w:rPr>
        <w:t>calidad </w:t>
      </w:r>
      <w:r>
        <w:rPr>
          <w:color w:val="231F20"/>
        </w:rPr>
        <w:t>y </w:t>
      </w:r>
      <w:r>
        <w:rPr>
          <w:color w:val="231F20"/>
          <w:spacing w:val="3"/>
        </w:rPr>
        <w:t>logro </w:t>
      </w:r>
      <w:r>
        <w:rPr>
          <w:color w:val="231F20"/>
          <w:spacing w:val="4"/>
        </w:rPr>
        <w:t>educativo, </w:t>
      </w:r>
      <w:r>
        <w:rPr>
          <w:color w:val="231F20"/>
          <w:spacing w:val="3"/>
        </w:rPr>
        <w:t>que </w:t>
      </w:r>
      <w:r>
        <w:rPr>
          <w:color w:val="231F20"/>
          <w:spacing w:val="2"/>
        </w:rPr>
        <w:t>se </w:t>
      </w:r>
      <w:r>
        <w:rPr>
          <w:color w:val="231F20"/>
          <w:spacing w:val="4"/>
        </w:rPr>
        <w:t>aplicaron </w:t>
      </w:r>
      <w:r>
        <w:rPr>
          <w:color w:val="231F20"/>
        </w:rPr>
        <w:t>a </w:t>
      </w:r>
      <w:r>
        <w:rPr>
          <w:color w:val="231F20"/>
          <w:spacing w:val="4"/>
        </w:rPr>
        <w:t>alumnos </w:t>
      </w:r>
      <w:r>
        <w:rPr>
          <w:color w:val="231F20"/>
        </w:rPr>
        <w:t>y a </w:t>
      </w:r>
      <w:r>
        <w:rPr>
          <w:color w:val="231F20"/>
          <w:spacing w:val="4"/>
        </w:rPr>
        <w:t>docentes </w:t>
      </w:r>
      <w:r>
        <w:rPr>
          <w:color w:val="231F20"/>
          <w:spacing w:val="3"/>
        </w:rPr>
        <w:t>de </w:t>
      </w:r>
      <w:r>
        <w:rPr>
          <w:color w:val="231F20"/>
          <w:spacing w:val="4"/>
        </w:rPr>
        <w:t>educación primaria; </w:t>
      </w:r>
      <w:r>
        <w:rPr>
          <w:color w:val="231F20"/>
        </w:rPr>
        <w:t>y </w:t>
      </w:r>
      <w:r>
        <w:rPr>
          <w:color w:val="231F20"/>
          <w:spacing w:val="3"/>
        </w:rPr>
        <w:t>otro </w:t>
      </w:r>
      <w:r>
        <w:rPr>
          <w:color w:val="231F20"/>
          <w:spacing w:val="2"/>
        </w:rPr>
        <w:t>en el </w:t>
      </w:r>
      <w:r>
        <w:rPr>
          <w:color w:val="231F20"/>
          <w:spacing w:val="3"/>
        </w:rPr>
        <w:t>que </w:t>
      </w:r>
      <w:r>
        <w:rPr>
          <w:color w:val="231F20"/>
          <w:spacing w:val="2"/>
        </w:rPr>
        <w:t>se </w:t>
      </w:r>
      <w:r>
        <w:rPr>
          <w:color w:val="231F20"/>
          <w:spacing w:val="4"/>
        </w:rPr>
        <w:t>realizó </w:t>
      </w:r>
      <w:r>
        <w:rPr>
          <w:color w:val="231F20"/>
          <w:spacing w:val="2"/>
        </w:rPr>
        <w:t>un </w:t>
      </w:r>
      <w:r>
        <w:rPr>
          <w:color w:val="231F20"/>
          <w:spacing w:val="4"/>
        </w:rPr>
        <w:t>acercamiento cualitativo </w:t>
      </w:r>
      <w:r>
        <w:rPr>
          <w:color w:val="231F20"/>
        </w:rPr>
        <w:t>a </w:t>
      </w:r>
      <w:r>
        <w:rPr>
          <w:color w:val="231F20"/>
          <w:spacing w:val="4"/>
        </w:rPr>
        <w:t>través </w:t>
      </w:r>
      <w:r>
        <w:rPr>
          <w:color w:val="231F20"/>
          <w:spacing w:val="3"/>
        </w:rPr>
        <w:t>de </w:t>
      </w:r>
      <w:r>
        <w:rPr>
          <w:color w:val="231F20"/>
          <w:spacing w:val="4"/>
        </w:rPr>
        <w:t>entrevistas </w:t>
      </w:r>
      <w:r>
        <w:rPr>
          <w:color w:val="231F20"/>
          <w:spacing w:val="3"/>
        </w:rPr>
        <w:t>con </w:t>
      </w:r>
      <w:r>
        <w:rPr>
          <w:color w:val="231F20"/>
          <w:spacing w:val="4"/>
        </w:rPr>
        <w:t>alumnos </w:t>
      </w:r>
      <w:r>
        <w:rPr>
          <w:color w:val="231F20"/>
        </w:rPr>
        <w:t>y </w:t>
      </w:r>
      <w:r>
        <w:rPr>
          <w:color w:val="231F20"/>
          <w:spacing w:val="4"/>
        </w:rPr>
        <w:t>docentes </w:t>
      </w:r>
      <w:r>
        <w:rPr>
          <w:color w:val="231F20"/>
          <w:spacing w:val="3"/>
        </w:rPr>
        <w:t>de </w:t>
      </w:r>
      <w:r>
        <w:rPr>
          <w:color w:val="231F20"/>
          <w:spacing w:val="4"/>
        </w:rPr>
        <w:t>veinte centros secundarios </w:t>
      </w:r>
      <w:r>
        <w:rPr>
          <w:color w:val="231F20"/>
          <w:spacing w:val="3"/>
        </w:rPr>
        <w:t>para </w:t>
      </w:r>
      <w:r>
        <w:rPr>
          <w:color w:val="231F20"/>
          <w:spacing w:val="4"/>
        </w:rPr>
        <w:t>describir </w:t>
      </w:r>
      <w:r>
        <w:rPr>
          <w:color w:val="231F20"/>
          <w:spacing w:val="2"/>
        </w:rPr>
        <w:t>su </w:t>
      </w:r>
      <w:r>
        <w:rPr>
          <w:color w:val="231F20"/>
          <w:spacing w:val="5"/>
        </w:rPr>
        <w:t>funcio- namiento, </w:t>
      </w:r>
      <w:r>
        <w:rPr>
          <w:color w:val="231F20"/>
          <w:spacing w:val="4"/>
        </w:rPr>
        <w:t>organización </w:t>
      </w:r>
      <w:r>
        <w:rPr>
          <w:color w:val="231F20"/>
        </w:rPr>
        <w:t>y </w:t>
      </w:r>
      <w:r>
        <w:rPr>
          <w:color w:val="231F20"/>
          <w:spacing w:val="5"/>
        </w:rPr>
        <w:t>problemáticas. </w:t>
      </w:r>
      <w:r>
        <w:rPr>
          <w:color w:val="231F20"/>
          <w:spacing w:val="4"/>
        </w:rPr>
        <w:t>Entre </w:t>
      </w:r>
      <w:r>
        <w:rPr>
          <w:color w:val="231F20"/>
          <w:spacing w:val="3"/>
        </w:rPr>
        <w:t>los </w:t>
      </w:r>
      <w:r>
        <w:rPr>
          <w:color w:val="231F20"/>
          <w:spacing w:val="4"/>
        </w:rPr>
        <w:t>hallazgos </w:t>
      </w:r>
      <w:r>
        <w:rPr>
          <w:color w:val="231F20"/>
          <w:spacing w:val="5"/>
        </w:rPr>
        <w:t>más </w:t>
      </w:r>
      <w:r>
        <w:rPr>
          <w:color w:val="231F20"/>
          <w:spacing w:val="4"/>
        </w:rPr>
        <w:t>importantes </w:t>
      </w:r>
      <w:r>
        <w:rPr>
          <w:color w:val="231F20"/>
          <w:spacing w:val="3"/>
        </w:rPr>
        <w:t>hay </w:t>
      </w:r>
      <w:r>
        <w:rPr>
          <w:color w:val="231F20"/>
          <w:spacing w:val="4"/>
        </w:rPr>
        <w:t>que destacar que </w:t>
      </w:r>
      <w:r>
        <w:rPr>
          <w:color w:val="231F20"/>
        </w:rPr>
        <w:t>la </w:t>
      </w:r>
      <w:r>
        <w:rPr>
          <w:color w:val="231F20"/>
          <w:spacing w:val="4"/>
        </w:rPr>
        <w:t>magnitud </w:t>
      </w:r>
      <w:r>
        <w:rPr>
          <w:color w:val="231F20"/>
          <w:spacing w:val="3"/>
        </w:rPr>
        <w:t>de </w:t>
      </w:r>
      <w:r>
        <w:rPr>
          <w:color w:val="231F20"/>
        </w:rPr>
        <w:t>la </w:t>
      </w:r>
      <w:r>
        <w:rPr>
          <w:color w:val="231F20"/>
          <w:spacing w:val="4"/>
        </w:rPr>
        <w:t>violencia manifestada </w:t>
      </w:r>
      <w:r>
        <w:rPr>
          <w:color w:val="231F20"/>
          <w:spacing w:val="3"/>
        </w:rPr>
        <w:t>por los </w:t>
      </w:r>
      <w:r>
        <w:rPr>
          <w:color w:val="231F20"/>
          <w:spacing w:val="4"/>
        </w:rPr>
        <w:t>estudiantes </w:t>
      </w:r>
      <w:r>
        <w:rPr>
          <w:color w:val="231F20"/>
          <w:spacing w:val="2"/>
        </w:rPr>
        <w:t>es </w:t>
      </w:r>
      <w:r>
        <w:rPr>
          <w:color w:val="231F20"/>
          <w:spacing w:val="4"/>
        </w:rPr>
        <w:t>relativamente </w:t>
      </w:r>
      <w:r>
        <w:rPr>
          <w:color w:val="231F20"/>
          <w:spacing w:val="3"/>
        </w:rPr>
        <w:t>baja. Al </w:t>
      </w:r>
      <w:r>
        <w:rPr>
          <w:color w:val="231F20"/>
          <w:spacing w:val="5"/>
        </w:rPr>
        <w:t>parecer </w:t>
      </w:r>
      <w:r>
        <w:rPr>
          <w:color w:val="231F20"/>
          <w:spacing w:val="3"/>
        </w:rPr>
        <w:t>los </w:t>
      </w:r>
      <w:r>
        <w:rPr>
          <w:color w:val="231F20"/>
          <w:spacing w:val="4"/>
        </w:rPr>
        <w:t>alumnos agredidos </w:t>
      </w:r>
      <w:r>
        <w:rPr>
          <w:color w:val="231F20"/>
          <w:spacing w:val="3"/>
        </w:rPr>
        <w:t>son los </w:t>
      </w:r>
      <w:r>
        <w:rPr>
          <w:color w:val="231F20"/>
          <w:spacing w:val="4"/>
        </w:rPr>
        <w:t>que participan </w:t>
      </w:r>
      <w:r>
        <w:rPr>
          <w:color w:val="231F20"/>
          <w:spacing w:val="2"/>
        </w:rPr>
        <w:t>en </w:t>
      </w:r>
      <w:r>
        <w:rPr>
          <w:color w:val="231F20"/>
          <w:spacing w:val="4"/>
        </w:rPr>
        <w:t>agresiones. </w:t>
      </w:r>
      <w:r>
        <w:rPr>
          <w:color w:val="231F20"/>
          <w:spacing w:val="6"/>
        </w:rPr>
        <w:t>Se </w:t>
      </w:r>
      <w:r>
        <w:rPr>
          <w:color w:val="231F20"/>
          <w:spacing w:val="4"/>
        </w:rPr>
        <w:t>identificaron factores asociados </w:t>
      </w:r>
      <w:r>
        <w:rPr>
          <w:color w:val="231F20"/>
        </w:rPr>
        <w:t>a la </w:t>
      </w:r>
      <w:r>
        <w:rPr>
          <w:color w:val="231F20"/>
          <w:spacing w:val="4"/>
        </w:rPr>
        <w:t>violencia como </w:t>
      </w:r>
      <w:r>
        <w:rPr>
          <w:color w:val="231F20"/>
          <w:spacing w:val="3"/>
        </w:rPr>
        <w:t>los </w:t>
      </w:r>
      <w:r>
        <w:rPr>
          <w:color w:val="231F20"/>
          <w:spacing w:val="5"/>
        </w:rPr>
        <w:t>persona- </w:t>
      </w:r>
      <w:r>
        <w:rPr>
          <w:color w:val="231F20"/>
          <w:spacing w:val="3"/>
        </w:rPr>
        <w:t>les, </w:t>
      </w:r>
      <w:r>
        <w:rPr>
          <w:color w:val="231F20"/>
        </w:rPr>
        <w:t>la </w:t>
      </w:r>
      <w:r>
        <w:rPr>
          <w:color w:val="231F20"/>
          <w:spacing w:val="4"/>
        </w:rPr>
        <w:t>interacción entre </w:t>
      </w:r>
      <w:r>
        <w:rPr>
          <w:color w:val="231F20"/>
          <w:spacing w:val="3"/>
        </w:rPr>
        <w:t>los </w:t>
      </w:r>
      <w:r>
        <w:rPr>
          <w:color w:val="231F20"/>
          <w:spacing w:val="4"/>
        </w:rPr>
        <w:t>alumnos </w:t>
      </w:r>
      <w:r>
        <w:rPr>
          <w:color w:val="231F20"/>
        </w:rPr>
        <w:t>y </w:t>
      </w:r>
      <w:r>
        <w:rPr>
          <w:color w:val="231F20"/>
          <w:spacing w:val="2"/>
        </w:rPr>
        <w:t>el </w:t>
      </w:r>
      <w:r>
        <w:rPr>
          <w:color w:val="231F20"/>
          <w:spacing w:val="4"/>
        </w:rPr>
        <w:t>centro, entre </w:t>
      </w:r>
      <w:r>
        <w:rPr>
          <w:color w:val="231F20"/>
        </w:rPr>
        <w:t>la </w:t>
      </w:r>
      <w:r>
        <w:rPr>
          <w:color w:val="231F20"/>
          <w:spacing w:val="4"/>
        </w:rPr>
        <w:t>familia </w:t>
      </w:r>
      <w:r>
        <w:rPr>
          <w:color w:val="231F20"/>
        </w:rPr>
        <w:t>y la </w:t>
      </w:r>
      <w:r>
        <w:rPr>
          <w:color w:val="231F20"/>
          <w:spacing w:val="4"/>
        </w:rPr>
        <w:t>escuela. </w:t>
      </w:r>
      <w:r>
        <w:rPr>
          <w:color w:val="231F20"/>
          <w:spacing w:val="3"/>
        </w:rPr>
        <w:t>Un </w:t>
      </w:r>
      <w:r>
        <w:rPr>
          <w:color w:val="231F20"/>
          <w:spacing w:val="4"/>
        </w:rPr>
        <w:t>dato interesante </w:t>
      </w:r>
      <w:r>
        <w:rPr>
          <w:color w:val="231F20"/>
          <w:spacing w:val="2"/>
        </w:rPr>
        <w:t>es </w:t>
      </w:r>
      <w:r>
        <w:rPr>
          <w:color w:val="231F20"/>
          <w:spacing w:val="3"/>
        </w:rPr>
        <w:t>que </w:t>
      </w:r>
      <w:r>
        <w:rPr>
          <w:color w:val="231F20"/>
          <w:spacing w:val="4"/>
        </w:rPr>
        <w:t>cuando </w:t>
      </w:r>
      <w:r>
        <w:rPr>
          <w:color w:val="231F20"/>
          <w:spacing w:val="3"/>
        </w:rPr>
        <w:t>los </w:t>
      </w:r>
      <w:r>
        <w:rPr>
          <w:color w:val="231F20"/>
          <w:spacing w:val="4"/>
        </w:rPr>
        <w:t>alumnos </w:t>
      </w:r>
      <w:r>
        <w:rPr>
          <w:color w:val="231F20"/>
          <w:spacing w:val="5"/>
        </w:rPr>
        <w:t>perci- </w:t>
      </w:r>
      <w:r>
        <w:rPr>
          <w:color w:val="231F20"/>
          <w:spacing w:val="3"/>
        </w:rPr>
        <w:t>ben una </w:t>
      </w:r>
      <w:r>
        <w:rPr>
          <w:color w:val="231F20"/>
          <w:spacing w:val="4"/>
        </w:rPr>
        <w:t>disciplina rígida, </w:t>
      </w:r>
      <w:r>
        <w:rPr>
          <w:color w:val="231F20"/>
        </w:rPr>
        <w:t>y </w:t>
      </w:r>
      <w:r>
        <w:rPr>
          <w:color w:val="231F20"/>
          <w:spacing w:val="2"/>
        </w:rPr>
        <w:t>se </w:t>
      </w:r>
      <w:r>
        <w:rPr>
          <w:color w:val="231F20"/>
          <w:spacing w:val="4"/>
        </w:rPr>
        <w:t>aplica </w:t>
      </w:r>
      <w:r>
        <w:rPr>
          <w:color w:val="231F20"/>
          <w:spacing w:val="5"/>
        </w:rPr>
        <w:t>discrecionalmente, </w:t>
      </w:r>
      <w:r>
        <w:rPr>
          <w:color w:val="231F20"/>
          <w:spacing w:val="4"/>
        </w:rPr>
        <w:t>tiende </w:t>
      </w:r>
      <w:r>
        <w:rPr>
          <w:color w:val="231F20"/>
        </w:rPr>
        <w:t>a </w:t>
      </w:r>
      <w:r>
        <w:rPr>
          <w:color w:val="231F20"/>
          <w:spacing w:val="4"/>
        </w:rPr>
        <w:t>elevarse </w:t>
      </w:r>
      <w:r>
        <w:rPr>
          <w:color w:val="231F20"/>
        </w:rPr>
        <w:t>la </w:t>
      </w:r>
      <w:r>
        <w:rPr>
          <w:color w:val="231F20"/>
          <w:spacing w:val="4"/>
        </w:rPr>
        <w:t>aparición </w:t>
      </w:r>
      <w:r>
        <w:rPr>
          <w:color w:val="231F20"/>
          <w:spacing w:val="3"/>
        </w:rPr>
        <w:t>de </w:t>
      </w:r>
      <w:r>
        <w:rPr>
          <w:color w:val="231F20"/>
          <w:spacing w:val="4"/>
        </w:rPr>
        <w:t>actos violentos. Por último, </w:t>
      </w:r>
      <w:r>
        <w:rPr>
          <w:color w:val="231F20"/>
          <w:spacing w:val="3"/>
        </w:rPr>
        <w:t>hay </w:t>
      </w:r>
      <w:r>
        <w:rPr>
          <w:color w:val="231F20"/>
          <w:spacing w:val="4"/>
        </w:rPr>
        <w:t>una diferencia </w:t>
      </w:r>
      <w:r>
        <w:rPr>
          <w:color w:val="231F20"/>
          <w:spacing w:val="3"/>
        </w:rPr>
        <w:t>de </w:t>
      </w:r>
      <w:r>
        <w:rPr>
          <w:color w:val="231F20"/>
          <w:spacing w:val="4"/>
        </w:rPr>
        <w:t>opinión entre alumnos </w:t>
      </w:r>
      <w:r>
        <w:rPr>
          <w:color w:val="231F20"/>
        </w:rPr>
        <w:t>y </w:t>
      </w:r>
      <w:r>
        <w:rPr>
          <w:color w:val="231F20"/>
          <w:spacing w:val="4"/>
        </w:rPr>
        <w:t>profesores </w:t>
      </w:r>
      <w:r>
        <w:rPr>
          <w:color w:val="231F20"/>
          <w:spacing w:val="2"/>
        </w:rPr>
        <w:t>en </w:t>
      </w:r>
      <w:r>
        <w:rPr>
          <w:color w:val="231F20"/>
          <w:spacing w:val="4"/>
        </w:rPr>
        <w:t>cuanto </w:t>
      </w:r>
      <w:r>
        <w:rPr>
          <w:color w:val="231F20"/>
        </w:rPr>
        <w:t>a </w:t>
      </w:r>
      <w:r>
        <w:rPr>
          <w:color w:val="231F20"/>
          <w:spacing w:val="5"/>
        </w:rPr>
        <w:t>los problemas </w:t>
      </w:r>
      <w:r>
        <w:rPr>
          <w:color w:val="231F20"/>
          <w:spacing w:val="3"/>
        </w:rPr>
        <w:t>de </w:t>
      </w:r>
      <w:r>
        <w:rPr>
          <w:color w:val="231F20"/>
          <w:spacing w:val="4"/>
        </w:rPr>
        <w:t>convivencia entre estudiantes. </w:t>
      </w:r>
      <w:r>
        <w:rPr>
          <w:color w:val="231F20"/>
          <w:spacing w:val="3"/>
        </w:rPr>
        <w:t>Por </w:t>
      </w:r>
      <w:r>
        <w:rPr>
          <w:color w:val="231F20"/>
          <w:spacing w:val="2"/>
        </w:rPr>
        <w:t>un </w:t>
      </w:r>
      <w:r>
        <w:rPr>
          <w:color w:val="231F20"/>
          <w:spacing w:val="4"/>
        </w:rPr>
        <w:t>lado, </w:t>
      </w:r>
      <w:r>
        <w:rPr>
          <w:color w:val="231F20"/>
          <w:spacing w:val="3"/>
        </w:rPr>
        <w:t>los </w:t>
      </w:r>
      <w:r>
        <w:rPr>
          <w:color w:val="231F20"/>
          <w:spacing w:val="4"/>
        </w:rPr>
        <w:t>maestros tienden </w:t>
      </w:r>
      <w:r>
        <w:rPr>
          <w:color w:val="231F20"/>
        </w:rPr>
        <w:t>a </w:t>
      </w:r>
      <w:r>
        <w:rPr>
          <w:color w:val="231F20"/>
          <w:spacing w:val="4"/>
        </w:rPr>
        <w:t>minimizarlo; </w:t>
      </w:r>
      <w:r>
        <w:rPr>
          <w:color w:val="231F20"/>
        </w:rPr>
        <w:t>y </w:t>
      </w:r>
      <w:r>
        <w:rPr>
          <w:color w:val="231F20"/>
          <w:spacing w:val="4"/>
        </w:rPr>
        <w:t>por otro lado, </w:t>
      </w:r>
      <w:r>
        <w:rPr>
          <w:color w:val="231F20"/>
          <w:spacing w:val="3"/>
        </w:rPr>
        <w:t>los </w:t>
      </w:r>
      <w:r>
        <w:rPr>
          <w:color w:val="231F20"/>
          <w:spacing w:val="5"/>
        </w:rPr>
        <w:t>alumnos </w:t>
      </w:r>
      <w:r>
        <w:rPr>
          <w:color w:val="231F20"/>
          <w:spacing w:val="4"/>
        </w:rPr>
        <w:t>perciben </w:t>
      </w:r>
      <w:r>
        <w:rPr>
          <w:color w:val="231F20"/>
          <w:spacing w:val="3"/>
        </w:rPr>
        <w:t>que los </w:t>
      </w:r>
      <w:r>
        <w:rPr>
          <w:color w:val="231F20"/>
          <w:spacing w:val="4"/>
        </w:rPr>
        <w:t>maestros </w:t>
      </w:r>
      <w:r>
        <w:rPr>
          <w:color w:val="231F20"/>
          <w:spacing w:val="2"/>
        </w:rPr>
        <w:t>no </w:t>
      </w:r>
      <w:r>
        <w:rPr>
          <w:color w:val="231F20"/>
          <w:spacing w:val="3"/>
        </w:rPr>
        <w:t>los </w:t>
      </w:r>
      <w:r>
        <w:rPr>
          <w:color w:val="231F20"/>
          <w:spacing w:val="4"/>
        </w:rPr>
        <w:t>atienden sobre </w:t>
      </w:r>
      <w:r>
        <w:rPr>
          <w:color w:val="231F20"/>
          <w:spacing w:val="3"/>
        </w:rPr>
        <w:t>todo </w:t>
      </w:r>
      <w:r>
        <w:rPr>
          <w:color w:val="231F20"/>
          <w:spacing w:val="4"/>
        </w:rPr>
        <w:t>cuando </w:t>
      </w:r>
      <w:r>
        <w:rPr>
          <w:color w:val="231F20"/>
          <w:spacing w:val="2"/>
        </w:rPr>
        <w:t>se </w:t>
      </w:r>
      <w:r>
        <w:rPr>
          <w:color w:val="231F20"/>
          <w:spacing w:val="4"/>
        </w:rPr>
        <w:t>trata </w:t>
      </w:r>
      <w:r>
        <w:rPr>
          <w:color w:val="231F20"/>
          <w:spacing w:val="2"/>
        </w:rPr>
        <w:t>de </w:t>
      </w:r>
      <w:r>
        <w:rPr>
          <w:color w:val="231F20"/>
          <w:spacing w:val="4"/>
        </w:rPr>
        <w:t>acciones </w:t>
      </w:r>
      <w:r>
        <w:rPr>
          <w:color w:val="231F20"/>
          <w:spacing w:val="3"/>
        </w:rPr>
        <w:t>que </w:t>
      </w:r>
      <w:r>
        <w:rPr>
          <w:color w:val="231F20"/>
          <w:spacing w:val="4"/>
        </w:rPr>
        <w:t>pudieran parecer leves, como </w:t>
      </w:r>
      <w:r>
        <w:rPr>
          <w:color w:val="231F20"/>
          <w:spacing w:val="3"/>
        </w:rPr>
        <w:t>las</w:t>
      </w:r>
      <w:r>
        <w:rPr>
          <w:color w:val="231F20"/>
          <w:spacing w:val="20"/>
        </w:rPr>
        <w:t> </w:t>
      </w:r>
      <w:r>
        <w:rPr>
          <w:color w:val="231F20"/>
          <w:spacing w:val="4"/>
        </w:rPr>
        <w:t>burlas.</w:t>
      </w:r>
    </w:p>
    <w:p>
      <w:pPr>
        <w:spacing w:line="247" w:lineRule="auto" w:before="0"/>
        <w:ind w:left="101" w:right="116" w:firstLine="284"/>
        <w:jc w:val="both"/>
        <w:rPr>
          <w:sz w:val="21"/>
        </w:rPr>
      </w:pPr>
      <w:r>
        <w:rPr>
          <w:color w:val="231F20"/>
          <w:spacing w:val="3"/>
          <w:sz w:val="21"/>
        </w:rPr>
        <w:t>Muñoz </w:t>
      </w:r>
      <w:r>
        <w:rPr>
          <w:color w:val="231F20"/>
          <w:spacing w:val="2"/>
          <w:sz w:val="21"/>
        </w:rPr>
        <w:t>(2008) analiza los datos </w:t>
      </w:r>
      <w:r>
        <w:rPr>
          <w:color w:val="231F20"/>
          <w:spacing w:val="3"/>
          <w:sz w:val="21"/>
        </w:rPr>
        <w:t>presentados </w:t>
      </w:r>
      <w:r>
        <w:rPr>
          <w:color w:val="231F20"/>
          <w:sz w:val="21"/>
        </w:rPr>
        <w:t>en el </w:t>
      </w:r>
      <w:r>
        <w:rPr>
          <w:color w:val="231F20"/>
          <w:spacing w:val="2"/>
          <w:sz w:val="21"/>
        </w:rPr>
        <w:t>estudio </w:t>
      </w:r>
      <w:r>
        <w:rPr>
          <w:i/>
          <w:color w:val="231F20"/>
          <w:spacing w:val="2"/>
          <w:sz w:val="21"/>
        </w:rPr>
        <w:t>Dis- </w:t>
      </w:r>
      <w:r>
        <w:rPr>
          <w:i/>
          <w:color w:val="231F20"/>
          <w:spacing w:val="2"/>
          <w:w w:val="90"/>
          <w:sz w:val="21"/>
        </w:rPr>
        <w:t>ciplina,</w:t>
      </w:r>
      <w:r>
        <w:rPr>
          <w:i/>
          <w:color w:val="231F20"/>
          <w:spacing w:val="-15"/>
          <w:w w:val="90"/>
          <w:sz w:val="21"/>
        </w:rPr>
        <w:t> </w:t>
      </w:r>
      <w:r>
        <w:rPr>
          <w:i/>
          <w:color w:val="231F20"/>
          <w:spacing w:val="2"/>
          <w:w w:val="90"/>
          <w:sz w:val="21"/>
        </w:rPr>
        <w:t>violencia</w:t>
      </w:r>
      <w:r>
        <w:rPr>
          <w:i/>
          <w:color w:val="231F20"/>
          <w:spacing w:val="-15"/>
          <w:w w:val="90"/>
          <w:sz w:val="21"/>
        </w:rPr>
        <w:t> </w:t>
      </w:r>
      <w:r>
        <w:rPr>
          <w:i/>
          <w:color w:val="231F20"/>
          <w:w w:val="90"/>
          <w:sz w:val="21"/>
        </w:rPr>
        <w:t>y</w:t>
      </w:r>
      <w:r>
        <w:rPr>
          <w:i/>
          <w:color w:val="231F20"/>
          <w:spacing w:val="-15"/>
          <w:w w:val="90"/>
          <w:sz w:val="21"/>
        </w:rPr>
        <w:t> </w:t>
      </w:r>
      <w:r>
        <w:rPr>
          <w:i/>
          <w:color w:val="231F20"/>
          <w:spacing w:val="2"/>
          <w:w w:val="90"/>
          <w:sz w:val="21"/>
        </w:rPr>
        <w:t>consumo</w:t>
      </w:r>
      <w:r>
        <w:rPr>
          <w:i/>
          <w:color w:val="231F20"/>
          <w:spacing w:val="-15"/>
          <w:w w:val="90"/>
          <w:sz w:val="21"/>
        </w:rPr>
        <w:t> </w:t>
      </w:r>
      <w:r>
        <w:rPr>
          <w:i/>
          <w:color w:val="231F20"/>
          <w:w w:val="90"/>
          <w:sz w:val="21"/>
        </w:rPr>
        <w:t>de</w:t>
      </w:r>
      <w:r>
        <w:rPr>
          <w:i/>
          <w:color w:val="231F20"/>
          <w:spacing w:val="-15"/>
          <w:w w:val="90"/>
          <w:sz w:val="21"/>
        </w:rPr>
        <w:t> </w:t>
      </w:r>
      <w:r>
        <w:rPr>
          <w:i/>
          <w:color w:val="231F20"/>
          <w:spacing w:val="2"/>
          <w:w w:val="90"/>
          <w:sz w:val="21"/>
        </w:rPr>
        <w:t>sustancias</w:t>
      </w:r>
      <w:r>
        <w:rPr>
          <w:i/>
          <w:color w:val="231F20"/>
          <w:spacing w:val="-15"/>
          <w:w w:val="90"/>
          <w:sz w:val="21"/>
        </w:rPr>
        <w:t> </w:t>
      </w:r>
      <w:r>
        <w:rPr>
          <w:i/>
          <w:color w:val="231F20"/>
          <w:spacing w:val="2"/>
          <w:w w:val="90"/>
          <w:sz w:val="21"/>
        </w:rPr>
        <w:t>nocivas</w:t>
      </w:r>
      <w:r>
        <w:rPr>
          <w:i/>
          <w:color w:val="231F20"/>
          <w:spacing w:val="-15"/>
          <w:w w:val="90"/>
          <w:sz w:val="21"/>
        </w:rPr>
        <w:t> </w:t>
      </w:r>
      <w:r>
        <w:rPr>
          <w:i/>
          <w:color w:val="231F20"/>
          <w:spacing w:val="2"/>
          <w:w w:val="90"/>
          <w:sz w:val="21"/>
        </w:rPr>
        <w:t>para</w:t>
      </w:r>
      <w:r>
        <w:rPr>
          <w:i/>
          <w:color w:val="231F20"/>
          <w:spacing w:val="-15"/>
          <w:w w:val="90"/>
          <w:sz w:val="21"/>
        </w:rPr>
        <w:t> </w:t>
      </w:r>
      <w:r>
        <w:rPr>
          <w:i/>
          <w:color w:val="231F20"/>
          <w:w w:val="90"/>
          <w:sz w:val="21"/>
        </w:rPr>
        <w:t>la</w:t>
      </w:r>
      <w:r>
        <w:rPr>
          <w:i/>
          <w:color w:val="231F20"/>
          <w:spacing w:val="-15"/>
          <w:w w:val="90"/>
          <w:sz w:val="21"/>
        </w:rPr>
        <w:t> </w:t>
      </w:r>
      <w:r>
        <w:rPr>
          <w:i/>
          <w:color w:val="231F20"/>
          <w:spacing w:val="2"/>
          <w:w w:val="90"/>
          <w:sz w:val="21"/>
        </w:rPr>
        <w:t>salud</w:t>
      </w:r>
      <w:r>
        <w:rPr>
          <w:i/>
          <w:color w:val="231F20"/>
          <w:spacing w:val="-14"/>
          <w:w w:val="90"/>
          <w:sz w:val="21"/>
        </w:rPr>
        <w:t> </w:t>
      </w:r>
      <w:r>
        <w:rPr>
          <w:i/>
          <w:color w:val="231F20"/>
          <w:w w:val="90"/>
          <w:sz w:val="21"/>
        </w:rPr>
        <w:t>en</w:t>
      </w:r>
      <w:r>
        <w:rPr>
          <w:i/>
          <w:color w:val="231F20"/>
          <w:spacing w:val="-15"/>
          <w:w w:val="90"/>
          <w:sz w:val="21"/>
        </w:rPr>
        <w:t> </w:t>
      </w:r>
      <w:r>
        <w:rPr>
          <w:i/>
          <w:color w:val="231F20"/>
          <w:spacing w:val="2"/>
          <w:w w:val="90"/>
          <w:sz w:val="21"/>
        </w:rPr>
        <w:t>escuelas </w:t>
      </w:r>
      <w:r>
        <w:rPr>
          <w:i/>
          <w:color w:val="231F20"/>
          <w:spacing w:val="2"/>
          <w:w w:val="95"/>
          <w:sz w:val="21"/>
        </w:rPr>
        <w:t>primarias </w:t>
      </w:r>
      <w:r>
        <w:rPr>
          <w:i/>
          <w:color w:val="231F20"/>
          <w:w w:val="95"/>
          <w:sz w:val="21"/>
        </w:rPr>
        <w:t>y </w:t>
      </w:r>
      <w:r>
        <w:rPr>
          <w:i/>
          <w:color w:val="231F20"/>
          <w:spacing w:val="2"/>
          <w:w w:val="95"/>
          <w:sz w:val="21"/>
        </w:rPr>
        <w:t>secundarias </w:t>
      </w:r>
      <w:r>
        <w:rPr>
          <w:i/>
          <w:color w:val="231F20"/>
          <w:w w:val="95"/>
          <w:sz w:val="21"/>
        </w:rPr>
        <w:t>de </w:t>
      </w:r>
      <w:r>
        <w:rPr>
          <w:i/>
          <w:color w:val="231F20"/>
          <w:spacing w:val="2"/>
          <w:w w:val="95"/>
          <w:sz w:val="21"/>
        </w:rPr>
        <w:t>México </w:t>
      </w:r>
      <w:r>
        <w:rPr>
          <w:color w:val="231F20"/>
          <w:spacing w:val="2"/>
          <w:w w:val="95"/>
          <w:sz w:val="21"/>
        </w:rPr>
        <w:t>(Aguilera-García </w:t>
      </w:r>
      <w:r>
        <w:rPr>
          <w:color w:val="231F20"/>
          <w:w w:val="95"/>
          <w:sz w:val="21"/>
        </w:rPr>
        <w:t>y </w:t>
      </w:r>
      <w:r>
        <w:rPr>
          <w:color w:val="231F20"/>
          <w:spacing w:val="2"/>
          <w:w w:val="95"/>
          <w:sz w:val="21"/>
        </w:rPr>
        <w:t>otros, 2007)</w:t>
      </w:r>
      <w:r>
        <w:rPr>
          <w:color w:val="231F20"/>
          <w:spacing w:val="3"/>
          <w:w w:val="95"/>
          <w:sz w:val="21"/>
        </w:rPr>
        <w:t> </w:t>
      </w:r>
      <w:r>
        <w:rPr>
          <w:color w:val="231F20"/>
          <w:w w:val="95"/>
          <w:sz w:val="21"/>
        </w:rPr>
        <w:t>en</w:t>
      </w:r>
    </w:p>
    <w:p>
      <w:pPr>
        <w:spacing w:after="0" w:line="247" w:lineRule="auto"/>
        <w:jc w:val="both"/>
        <w:rPr>
          <w:sz w:val="21"/>
        </w:rPr>
        <w:sectPr>
          <w:headerReference w:type="default" r:id="rId906"/>
          <w:footerReference w:type="default" r:id="rId907"/>
          <w:pgSz w:w="7830" w:h="11910"/>
          <w:pgMar w:header="0" w:footer="424" w:top="500" w:bottom="620" w:left="920" w:right="900"/>
          <w:pgNumType w:start="411"/>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5"/>
        <w:jc w:val="both"/>
      </w:pPr>
      <w:r>
        <w:rPr>
          <w:color w:val="231F20"/>
        </w:rPr>
        <w:t>comparación con datos de investigaciones realizadas en otros países para observar la magnitud de la violencia escolar en Méxi- co. Los datos muestran que para los casos en los que los niños de primaria reportan haber sido agredidos físicamente, los datos de México se asemejan a los de Letonia, Alemania, Lituania y Groen- landia con un porcentaje cercano al 20%; en el caso de los alum- nos de secundaria, el porcentaje se asemeja a los alumnos de Di- namarca, Suiza e Israel con un 14%. Los alumnos mexicanos que reportan haber agredido a otros es de 19%, porcentaje parecido a los de Dinamarca y Alemania; los alumnos de secundaria reportan un 14%, cifra que se asemeja a la de los alumnos de Estados Uni- dos, Canadá, Hungría e Israel.</w:t>
      </w:r>
    </w:p>
    <w:p>
      <w:pPr>
        <w:pStyle w:val="BodyText"/>
        <w:spacing w:line="249" w:lineRule="auto"/>
        <w:ind w:left="101" w:right="114" w:firstLine="284"/>
        <w:jc w:val="both"/>
      </w:pPr>
      <w:r>
        <w:rPr>
          <w:color w:val="231F20"/>
        </w:rPr>
        <w:t>En el </w:t>
      </w:r>
      <w:r>
        <w:rPr>
          <w:color w:val="231F20"/>
          <w:spacing w:val="2"/>
        </w:rPr>
        <w:t>estudio </w:t>
      </w:r>
      <w:r>
        <w:rPr>
          <w:color w:val="231F20"/>
          <w:spacing w:val="3"/>
        </w:rPr>
        <w:t>denominado </w:t>
      </w:r>
      <w:r>
        <w:rPr>
          <w:color w:val="231F20"/>
          <w:spacing w:val="2"/>
        </w:rPr>
        <w:t>“Perfil del maltrato  </w:t>
      </w:r>
      <w:r>
        <w:rPr>
          <w:color w:val="231F20"/>
        </w:rPr>
        <w:t>en  </w:t>
      </w:r>
      <w:r>
        <w:rPr>
          <w:color w:val="231F20"/>
          <w:spacing w:val="2"/>
        </w:rPr>
        <w:t>estudiantes </w:t>
      </w:r>
      <w:r>
        <w:rPr>
          <w:color w:val="231F20"/>
        </w:rPr>
        <w:t>de </w:t>
      </w:r>
      <w:r>
        <w:rPr>
          <w:color w:val="231F20"/>
          <w:spacing w:val="2"/>
        </w:rPr>
        <w:t>Mérida”, </w:t>
      </w:r>
      <w:r>
        <w:rPr>
          <w:color w:val="231F20"/>
          <w:spacing w:val="3"/>
        </w:rPr>
        <w:t>toma como </w:t>
      </w:r>
      <w:r>
        <w:rPr>
          <w:color w:val="231F20"/>
          <w:spacing w:val="2"/>
        </w:rPr>
        <w:t>base </w:t>
      </w:r>
      <w:r>
        <w:rPr>
          <w:color w:val="231F20"/>
        </w:rPr>
        <w:t>el </w:t>
      </w:r>
      <w:r>
        <w:rPr>
          <w:color w:val="231F20"/>
          <w:spacing w:val="2"/>
        </w:rPr>
        <w:t>estudio realizado </w:t>
      </w:r>
      <w:r>
        <w:rPr>
          <w:color w:val="231F20"/>
        </w:rPr>
        <w:t>en </w:t>
      </w:r>
      <w:r>
        <w:rPr>
          <w:color w:val="231F20"/>
          <w:spacing w:val="3"/>
        </w:rPr>
        <w:t>España (De- </w:t>
      </w:r>
      <w:r>
        <w:rPr>
          <w:color w:val="231F20"/>
          <w:spacing w:val="2"/>
        </w:rPr>
        <w:t>fensor del pueblo, 2000) </w:t>
      </w:r>
      <w:r>
        <w:rPr>
          <w:color w:val="231F20"/>
        </w:rPr>
        <w:t>con el </w:t>
      </w:r>
      <w:r>
        <w:rPr>
          <w:color w:val="231F20"/>
          <w:spacing w:val="2"/>
        </w:rPr>
        <w:t>objetivo </w:t>
      </w:r>
      <w:r>
        <w:rPr>
          <w:color w:val="231F20"/>
        </w:rPr>
        <w:t>de </w:t>
      </w:r>
      <w:r>
        <w:rPr>
          <w:color w:val="231F20"/>
          <w:spacing w:val="2"/>
        </w:rPr>
        <w:t>observar </w:t>
      </w:r>
      <w:r>
        <w:rPr>
          <w:color w:val="231F20"/>
        </w:rPr>
        <w:t>la </w:t>
      </w:r>
      <w:r>
        <w:rPr>
          <w:color w:val="231F20"/>
          <w:spacing w:val="2"/>
        </w:rPr>
        <w:t>incidencia del </w:t>
      </w:r>
      <w:r>
        <w:rPr>
          <w:i/>
          <w:color w:val="231F20"/>
          <w:spacing w:val="2"/>
        </w:rPr>
        <w:t>bullying </w:t>
      </w:r>
      <w:r>
        <w:rPr>
          <w:color w:val="231F20"/>
          <w:spacing w:val="2"/>
        </w:rPr>
        <w:t>entre estudiantes </w:t>
      </w:r>
      <w:r>
        <w:rPr>
          <w:color w:val="231F20"/>
        </w:rPr>
        <w:t>en </w:t>
      </w:r>
      <w:r>
        <w:rPr>
          <w:color w:val="231F20"/>
          <w:spacing w:val="2"/>
        </w:rPr>
        <w:t>Yucatán. </w:t>
      </w:r>
      <w:r>
        <w:rPr>
          <w:color w:val="231F20"/>
        </w:rPr>
        <w:t>Se </w:t>
      </w:r>
      <w:r>
        <w:rPr>
          <w:color w:val="231F20"/>
          <w:spacing w:val="2"/>
        </w:rPr>
        <w:t>utilizaron escalas tipo </w:t>
      </w:r>
      <w:r>
        <w:rPr>
          <w:i/>
          <w:color w:val="231F20"/>
          <w:spacing w:val="2"/>
        </w:rPr>
        <w:t>likert </w:t>
      </w:r>
      <w:r>
        <w:rPr>
          <w:color w:val="231F20"/>
        </w:rPr>
        <w:t>que </w:t>
      </w:r>
      <w:r>
        <w:rPr>
          <w:color w:val="231F20"/>
          <w:spacing w:val="2"/>
        </w:rPr>
        <w:t>fueron aplicadas </w:t>
      </w:r>
      <w:r>
        <w:rPr>
          <w:color w:val="231F20"/>
        </w:rPr>
        <w:t>a 257 </w:t>
      </w:r>
      <w:r>
        <w:rPr>
          <w:color w:val="231F20"/>
          <w:spacing w:val="3"/>
        </w:rPr>
        <w:t>alumnos </w:t>
      </w:r>
      <w:r>
        <w:rPr>
          <w:color w:val="231F20"/>
        </w:rPr>
        <w:t>de </w:t>
      </w:r>
      <w:r>
        <w:rPr>
          <w:color w:val="231F20"/>
          <w:spacing w:val="2"/>
        </w:rPr>
        <w:t>entre </w:t>
      </w:r>
      <w:r>
        <w:rPr>
          <w:color w:val="231F20"/>
        </w:rPr>
        <w:t>13 y 19 </w:t>
      </w:r>
      <w:r>
        <w:rPr>
          <w:color w:val="231F20"/>
          <w:spacing w:val="2"/>
        </w:rPr>
        <w:t>años. Los resultados muestran </w:t>
      </w:r>
      <w:r>
        <w:rPr>
          <w:color w:val="231F20"/>
        </w:rPr>
        <w:t>que el </w:t>
      </w:r>
      <w:r>
        <w:rPr>
          <w:color w:val="231F20"/>
          <w:spacing w:val="2"/>
        </w:rPr>
        <w:t>62.3% </w:t>
      </w:r>
      <w:r>
        <w:rPr>
          <w:color w:val="231F20"/>
        </w:rPr>
        <w:t>de  </w:t>
      </w:r>
      <w:r>
        <w:rPr>
          <w:color w:val="231F20"/>
          <w:spacing w:val="2"/>
        </w:rPr>
        <w:t>estudiantes manifiesta  </w:t>
      </w:r>
      <w:r>
        <w:rPr>
          <w:color w:val="231F20"/>
        </w:rPr>
        <w:t>no </w:t>
      </w:r>
      <w:r>
        <w:rPr>
          <w:color w:val="231F20"/>
          <w:spacing w:val="2"/>
        </w:rPr>
        <w:t>tener miedo </w:t>
      </w:r>
      <w:r>
        <w:rPr>
          <w:color w:val="231F20"/>
        </w:rPr>
        <w:t>de </w:t>
      </w:r>
      <w:r>
        <w:rPr>
          <w:color w:val="231F20"/>
          <w:spacing w:val="2"/>
        </w:rPr>
        <w:t>asistir </w:t>
      </w:r>
      <w:r>
        <w:rPr>
          <w:color w:val="231F20"/>
        </w:rPr>
        <w:t>a la </w:t>
      </w:r>
      <w:r>
        <w:rPr>
          <w:color w:val="231F20"/>
          <w:spacing w:val="2"/>
        </w:rPr>
        <w:t>escuela. Con respecto </w:t>
      </w:r>
      <w:r>
        <w:rPr>
          <w:color w:val="231F20"/>
        </w:rPr>
        <w:t>a </w:t>
      </w:r>
      <w:r>
        <w:rPr>
          <w:color w:val="231F20"/>
          <w:spacing w:val="2"/>
        </w:rPr>
        <w:t>los </w:t>
      </w:r>
      <w:r>
        <w:rPr>
          <w:color w:val="231F20"/>
        </w:rPr>
        <w:t>que </w:t>
      </w:r>
      <w:r>
        <w:rPr>
          <w:color w:val="231F20"/>
          <w:spacing w:val="4"/>
        </w:rPr>
        <w:t>con- </w:t>
      </w:r>
      <w:r>
        <w:rPr>
          <w:color w:val="231F20"/>
          <w:spacing w:val="2"/>
        </w:rPr>
        <w:t>testaron </w:t>
      </w:r>
      <w:r>
        <w:rPr>
          <w:color w:val="231F20"/>
        </w:rPr>
        <w:t>sí </w:t>
      </w:r>
      <w:r>
        <w:rPr>
          <w:color w:val="231F20"/>
          <w:spacing w:val="2"/>
        </w:rPr>
        <w:t>tener miedo, </w:t>
      </w:r>
      <w:r>
        <w:rPr>
          <w:color w:val="231F20"/>
        </w:rPr>
        <w:t>el </w:t>
      </w:r>
      <w:r>
        <w:rPr>
          <w:color w:val="231F20"/>
          <w:spacing w:val="3"/>
        </w:rPr>
        <w:t>mayor </w:t>
      </w:r>
      <w:r>
        <w:rPr>
          <w:color w:val="231F20"/>
          <w:spacing w:val="2"/>
        </w:rPr>
        <w:t>porcentaje </w:t>
      </w:r>
      <w:r>
        <w:rPr>
          <w:color w:val="231F20"/>
        </w:rPr>
        <w:t>de </w:t>
      </w:r>
      <w:r>
        <w:rPr>
          <w:color w:val="231F20"/>
          <w:spacing w:val="2"/>
        </w:rPr>
        <w:t>respuestas </w:t>
      </w:r>
      <w:r>
        <w:rPr>
          <w:color w:val="231F20"/>
        </w:rPr>
        <w:t>se </w:t>
      </w:r>
      <w:r>
        <w:rPr>
          <w:color w:val="231F20"/>
          <w:spacing w:val="3"/>
        </w:rPr>
        <w:t>con- </w:t>
      </w:r>
      <w:r>
        <w:rPr>
          <w:color w:val="231F20"/>
          <w:spacing w:val="2"/>
        </w:rPr>
        <w:t>centra </w:t>
      </w:r>
      <w:r>
        <w:rPr>
          <w:color w:val="231F20"/>
        </w:rPr>
        <w:t>en la </w:t>
      </w:r>
      <w:r>
        <w:rPr>
          <w:color w:val="231F20"/>
          <w:spacing w:val="2"/>
        </w:rPr>
        <w:t>opción </w:t>
      </w:r>
      <w:r>
        <w:rPr>
          <w:color w:val="231F20"/>
        </w:rPr>
        <w:t>de </w:t>
      </w:r>
      <w:r>
        <w:rPr>
          <w:color w:val="231F20"/>
          <w:spacing w:val="2"/>
        </w:rPr>
        <w:t>“no </w:t>
      </w:r>
      <w:r>
        <w:rPr>
          <w:color w:val="231F20"/>
          <w:spacing w:val="3"/>
        </w:rPr>
        <w:t>desempeñarse adecuadamente” </w:t>
      </w:r>
      <w:r>
        <w:rPr>
          <w:color w:val="231F20"/>
          <w:spacing w:val="2"/>
        </w:rPr>
        <w:t>con 36.6% </w:t>
      </w:r>
      <w:r>
        <w:rPr>
          <w:color w:val="231F20"/>
        </w:rPr>
        <w:t>en las </w:t>
      </w:r>
      <w:r>
        <w:rPr>
          <w:color w:val="231F20"/>
          <w:spacing w:val="2"/>
        </w:rPr>
        <w:t>mujeres, </w:t>
      </w:r>
      <w:r>
        <w:rPr>
          <w:color w:val="231F20"/>
        </w:rPr>
        <w:t>y </w:t>
      </w:r>
      <w:r>
        <w:rPr>
          <w:color w:val="231F20"/>
          <w:spacing w:val="2"/>
        </w:rPr>
        <w:t>23.3% </w:t>
      </w:r>
      <w:r>
        <w:rPr>
          <w:color w:val="231F20"/>
        </w:rPr>
        <w:t>en </w:t>
      </w:r>
      <w:r>
        <w:rPr>
          <w:color w:val="231F20"/>
          <w:spacing w:val="2"/>
        </w:rPr>
        <w:t>los varones. </w:t>
      </w:r>
      <w:r>
        <w:rPr>
          <w:color w:val="231F20"/>
        </w:rPr>
        <w:t>En </w:t>
      </w:r>
      <w:r>
        <w:rPr>
          <w:color w:val="231F20"/>
          <w:spacing w:val="2"/>
        </w:rPr>
        <w:t>general, los resultados muestran </w:t>
      </w:r>
      <w:r>
        <w:rPr>
          <w:color w:val="231F20"/>
        </w:rPr>
        <w:t>que </w:t>
      </w:r>
      <w:r>
        <w:rPr>
          <w:color w:val="231F20"/>
          <w:spacing w:val="2"/>
        </w:rPr>
        <w:t>los </w:t>
      </w:r>
      <w:r>
        <w:rPr>
          <w:color w:val="231F20"/>
          <w:spacing w:val="3"/>
        </w:rPr>
        <w:t>mayores porcentajes </w:t>
      </w:r>
      <w:r>
        <w:rPr>
          <w:color w:val="231F20"/>
        </w:rPr>
        <w:t>se </w:t>
      </w:r>
      <w:r>
        <w:rPr>
          <w:color w:val="231F20"/>
          <w:spacing w:val="3"/>
        </w:rPr>
        <w:t>concentran en </w:t>
      </w:r>
      <w:r>
        <w:rPr>
          <w:color w:val="231F20"/>
        </w:rPr>
        <w:t>las </w:t>
      </w:r>
      <w:r>
        <w:rPr>
          <w:color w:val="231F20"/>
          <w:spacing w:val="2"/>
        </w:rPr>
        <w:t>respuestas que tienen que </w:t>
      </w:r>
      <w:r>
        <w:rPr>
          <w:color w:val="231F20"/>
        </w:rPr>
        <w:t>ver </w:t>
      </w:r>
      <w:r>
        <w:rPr>
          <w:color w:val="231F20"/>
          <w:spacing w:val="2"/>
        </w:rPr>
        <w:t>con </w:t>
      </w:r>
      <w:r>
        <w:rPr>
          <w:color w:val="231F20"/>
        </w:rPr>
        <w:t>el </w:t>
      </w:r>
      <w:r>
        <w:rPr>
          <w:color w:val="231F20"/>
          <w:spacing w:val="2"/>
        </w:rPr>
        <w:t>abuso verbal (insultos).  Los autores concluyen </w:t>
      </w:r>
      <w:r>
        <w:rPr>
          <w:color w:val="231F20"/>
        </w:rPr>
        <w:t>con un </w:t>
      </w:r>
      <w:r>
        <w:rPr>
          <w:color w:val="231F20"/>
          <w:spacing w:val="2"/>
        </w:rPr>
        <w:t>llamado </w:t>
      </w:r>
      <w:r>
        <w:rPr>
          <w:color w:val="231F20"/>
        </w:rPr>
        <w:t>de </w:t>
      </w:r>
      <w:r>
        <w:rPr>
          <w:color w:val="231F20"/>
          <w:spacing w:val="2"/>
        </w:rPr>
        <w:t>atención acerca </w:t>
      </w:r>
      <w:r>
        <w:rPr>
          <w:color w:val="231F20"/>
        </w:rPr>
        <w:t>de la </w:t>
      </w:r>
      <w:r>
        <w:rPr>
          <w:color w:val="231F20"/>
          <w:spacing w:val="2"/>
        </w:rPr>
        <w:t>violencia institucional </w:t>
      </w:r>
      <w:r>
        <w:rPr>
          <w:color w:val="231F20"/>
        </w:rPr>
        <w:t>que </w:t>
      </w:r>
      <w:r>
        <w:rPr>
          <w:color w:val="231F20"/>
          <w:spacing w:val="2"/>
        </w:rPr>
        <w:t>puede generarse </w:t>
      </w:r>
      <w:r>
        <w:rPr>
          <w:color w:val="231F20"/>
        </w:rPr>
        <w:t>al no </w:t>
      </w:r>
      <w:r>
        <w:rPr>
          <w:color w:val="231F20"/>
          <w:spacing w:val="3"/>
        </w:rPr>
        <w:t>tomar </w:t>
      </w:r>
      <w:r>
        <w:rPr>
          <w:color w:val="231F20"/>
          <w:spacing w:val="2"/>
        </w:rPr>
        <w:t>acciones </w:t>
      </w:r>
      <w:r>
        <w:rPr>
          <w:color w:val="231F20"/>
          <w:spacing w:val="3"/>
        </w:rPr>
        <w:t>al </w:t>
      </w:r>
      <w:r>
        <w:rPr>
          <w:color w:val="231F20"/>
          <w:spacing w:val="2"/>
        </w:rPr>
        <w:t>respecto </w:t>
      </w:r>
      <w:r>
        <w:rPr>
          <w:color w:val="231F20"/>
        </w:rPr>
        <w:t>de la </w:t>
      </w:r>
      <w:r>
        <w:rPr>
          <w:color w:val="231F20"/>
          <w:spacing w:val="2"/>
        </w:rPr>
        <w:t>violencia </w:t>
      </w:r>
      <w:r>
        <w:rPr>
          <w:color w:val="231F20"/>
          <w:spacing w:val="3"/>
        </w:rPr>
        <w:t>manifestada </w:t>
      </w:r>
      <w:r>
        <w:rPr>
          <w:color w:val="231F20"/>
        </w:rPr>
        <w:t>en las </w:t>
      </w:r>
      <w:r>
        <w:rPr>
          <w:color w:val="231F20"/>
          <w:spacing w:val="3"/>
        </w:rPr>
        <w:t>mismas </w:t>
      </w:r>
      <w:r>
        <w:rPr>
          <w:color w:val="231F20"/>
          <w:spacing w:val="2"/>
        </w:rPr>
        <w:t>(Castillo- </w:t>
      </w:r>
      <w:r>
        <w:rPr>
          <w:color w:val="231F20"/>
          <w:spacing w:val="3"/>
        </w:rPr>
        <w:t>Rocha,</w:t>
      </w:r>
      <w:r>
        <w:rPr>
          <w:color w:val="231F20"/>
          <w:spacing w:val="-15"/>
        </w:rPr>
        <w:t> </w:t>
      </w:r>
      <w:r>
        <w:rPr>
          <w:color w:val="231F20"/>
        </w:rPr>
        <w:t>y</w:t>
      </w:r>
      <w:r>
        <w:rPr>
          <w:color w:val="231F20"/>
          <w:spacing w:val="-15"/>
        </w:rPr>
        <w:t> </w:t>
      </w:r>
      <w:r>
        <w:rPr>
          <w:color w:val="231F20"/>
          <w:spacing w:val="3"/>
        </w:rPr>
        <w:t>Pacheco-Espejel,</w:t>
      </w:r>
      <w:r>
        <w:rPr>
          <w:color w:val="231F20"/>
          <w:spacing w:val="-15"/>
        </w:rPr>
        <w:t> </w:t>
      </w:r>
      <w:r>
        <w:rPr>
          <w:color w:val="231F20"/>
          <w:spacing w:val="2"/>
        </w:rPr>
        <w:t>2008).</w:t>
      </w:r>
    </w:p>
    <w:p>
      <w:pPr>
        <w:pStyle w:val="BodyText"/>
        <w:spacing w:line="249" w:lineRule="auto"/>
        <w:ind w:left="101" w:right="115" w:firstLine="284"/>
        <w:jc w:val="both"/>
      </w:pPr>
      <w:r>
        <w:rPr>
          <w:color w:val="231F20"/>
        </w:rPr>
        <w:t>El </w:t>
      </w:r>
      <w:r>
        <w:rPr>
          <w:color w:val="231F20"/>
          <w:spacing w:val="2"/>
        </w:rPr>
        <w:t>estudio más </w:t>
      </w:r>
      <w:r>
        <w:rPr>
          <w:color w:val="231F20"/>
          <w:spacing w:val="3"/>
        </w:rPr>
        <w:t>recientemente </w:t>
      </w:r>
      <w:r>
        <w:rPr>
          <w:color w:val="231F20"/>
          <w:spacing w:val="2"/>
        </w:rPr>
        <w:t>publicado presenta </w:t>
      </w:r>
      <w:r>
        <w:rPr>
          <w:color w:val="231F20"/>
        </w:rPr>
        <w:t>el </w:t>
      </w:r>
      <w:r>
        <w:rPr>
          <w:color w:val="231F20"/>
          <w:spacing w:val="2"/>
        </w:rPr>
        <w:t>caso </w:t>
      </w:r>
      <w:r>
        <w:rPr>
          <w:color w:val="231F20"/>
        </w:rPr>
        <w:t>de la </w:t>
      </w:r>
      <w:r>
        <w:rPr>
          <w:color w:val="231F20"/>
          <w:spacing w:val="3"/>
        </w:rPr>
        <w:t>Unidad </w:t>
      </w:r>
      <w:r>
        <w:rPr>
          <w:color w:val="231F20"/>
          <w:spacing w:val="2"/>
        </w:rPr>
        <w:t>para </w:t>
      </w:r>
      <w:r>
        <w:rPr>
          <w:color w:val="231F20"/>
        </w:rPr>
        <w:t>la </w:t>
      </w:r>
      <w:r>
        <w:rPr>
          <w:color w:val="231F20"/>
          <w:spacing w:val="3"/>
        </w:rPr>
        <w:t>Atención </w:t>
      </w:r>
      <w:r>
        <w:rPr>
          <w:color w:val="231F20"/>
        </w:rPr>
        <w:t>al </w:t>
      </w:r>
      <w:r>
        <w:rPr>
          <w:color w:val="231F20"/>
          <w:spacing w:val="2"/>
        </w:rPr>
        <w:t>Maltrato </w:t>
      </w:r>
      <w:r>
        <w:rPr>
          <w:color w:val="231F20"/>
        </w:rPr>
        <w:t>y </w:t>
      </w:r>
      <w:r>
        <w:rPr>
          <w:color w:val="231F20"/>
          <w:spacing w:val="2"/>
        </w:rPr>
        <w:t>Abuso Sexual Infantil </w:t>
      </w:r>
      <w:r>
        <w:rPr>
          <w:color w:val="231F20"/>
          <w:spacing w:val="3"/>
        </w:rPr>
        <w:t>(UAMASI), </w:t>
      </w:r>
      <w:r>
        <w:rPr>
          <w:color w:val="231F20"/>
          <w:spacing w:val="2"/>
        </w:rPr>
        <w:t>dependencia que </w:t>
      </w:r>
      <w:r>
        <w:rPr>
          <w:color w:val="231F20"/>
        </w:rPr>
        <w:t>es la </w:t>
      </w:r>
      <w:r>
        <w:rPr>
          <w:color w:val="231F20"/>
          <w:spacing w:val="2"/>
        </w:rPr>
        <w:t>encargada </w:t>
      </w:r>
      <w:r>
        <w:rPr>
          <w:color w:val="231F20"/>
        </w:rPr>
        <w:t>de </w:t>
      </w:r>
      <w:r>
        <w:rPr>
          <w:color w:val="231F20"/>
          <w:spacing w:val="2"/>
        </w:rPr>
        <w:t>recibir </w:t>
      </w:r>
      <w:r>
        <w:rPr>
          <w:color w:val="231F20"/>
        </w:rPr>
        <w:t>las </w:t>
      </w:r>
      <w:r>
        <w:rPr>
          <w:color w:val="231F20"/>
          <w:spacing w:val="3"/>
        </w:rPr>
        <w:t>quejas </w:t>
      </w:r>
      <w:r>
        <w:rPr>
          <w:color w:val="231F20"/>
        </w:rPr>
        <w:t>de </w:t>
      </w:r>
      <w:r>
        <w:rPr>
          <w:color w:val="231F20"/>
          <w:spacing w:val="2"/>
        </w:rPr>
        <w:t>violencia escolar que ocurren </w:t>
      </w:r>
      <w:r>
        <w:rPr>
          <w:color w:val="231F20"/>
        </w:rPr>
        <w:t>en </w:t>
      </w:r>
      <w:r>
        <w:rPr>
          <w:color w:val="231F20"/>
          <w:spacing w:val="2"/>
        </w:rPr>
        <w:t>escuelas </w:t>
      </w:r>
      <w:r>
        <w:rPr>
          <w:color w:val="231F20"/>
        </w:rPr>
        <w:t>de </w:t>
      </w:r>
      <w:r>
        <w:rPr>
          <w:color w:val="231F20"/>
          <w:spacing w:val="2"/>
        </w:rPr>
        <w:t>nivel inicial, </w:t>
      </w:r>
      <w:r>
        <w:rPr>
          <w:color w:val="231F20"/>
          <w:spacing w:val="3"/>
        </w:rPr>
        <w:t>prees- </w:t>
      </w:r>
      <w:r>
        <w:rPr>
          <w:color w:val="231F20"/>
          <w:spacing w:val="2"/>
        </w:rPr>
        <w:t>colar, primaria, secundaria </w:t>
      </w:r>
      <w:r>
        <w:rPr>
          <w:color w:val="231F20"/>
        </w:rPr>
        <w:t>y </w:t>
      </w:r>
      <w:r>
        <w:rPr>
          <w:color w:val="231F20"/>
          <w:spacing w:val="2"/>
        </w:rPr>
        <w:t>educación especial del Distrito Fede- ral. </w:t>
      </w:r>
      <w:r>
        <w:rPr>
          <w:color w:val="231F20"/>
        </w:rPr>
        <w:t>El </w:t>
      </w:r>
      <w:r>
        <w:rPr>
          <w:color w:val="231F20"/>
          <w:spacing w:val="2"/>
        </w:rPr>
        <w:t>estudio muestra estadística </w:t>
      </w:r>
      <w:r>
        <w:rPr>
          <w:color w:val="231F20"/>
        </w:rPr>
        <w:t>de las </w:t>
      </w:r>
      <w:r>
        <w:rPr>
          <w:color w:val="231F20"/>
          <w:spacing w:val="2"/>
        </w:rPr>
        <w:t>quejas </w:t>
      </w:r>
      <w:r>
        <w:rPr>
          <w:color w:val="231F20"/>
        </w:rPr>
        <w:t>que se </w:t>
      </w:r>
      <w:r>
        <w:rPr>
          <w:color w:val="231F20"/>
          <w:spacing w:val="2"/>
        </w:rPr>
        <w:t>recibieron   </w:t>
      </w:r>
      <w:r>
        <w:rPr>
          <w:color w:val="231F20"/>
        </w:rPr>
        <w:t>en esa </w:t>
      </w:r>
      <w:r>
        <w:rPr>
          <w:color w:val="231F20"/>
          <w:spacing w:val="3"/>
        </w:rPr>
        <w:t>dependencia </w:t>
      </w:r>
      <w:r>
        <w:rPr>
          <w:color w:val="231F20"/>
          <w:spacing w:val="2"/>
        </w:rPr>
        <w:t>del año 2001 </w:t>
      </w:r>
      <w:r>
        <w:rPr>
          <w:color w:val="231F20"/>
        </w:rPr>
        <w:t>al </w:t>
      </w:r>
      <w:r>
        <w:rPr>
          <w:color w:val="231F20"/>
          <w:spacing w:val="2"/>
        </w:rPr>
        <w:t>2007 (Silva </w:t>
      </w:r>
      <w:r>
        <w:rPr>
          <w:color w:val="231F20"/>
        </w:rPr>
        <w:t>y </w:t>
      </w:r>
      <w:r>
        <w:rPr>
          <w:color w:val="231F20"/>
          <w:spacing w:val="3"/>
        </w:rPr>
        <w:t>Corona </w:t>
      </w:r>
      <w:r>
        <w:rPr>
          <w:color w:val="231F20"/>
          <w:spacing w:val="2"/>
        </w:rPr>
        <w:t>2010). Debido </w:t>
      </w:r>
      <w:r>
        <w:rPr>
          <w:color w:val="231F20"/>
        </w:rPr>
        <w:t>a la </w:t>
      </w:r>
      <w:r>
        <w:rPr>
          <w:color w:val="231F20"/>
          <w:spacing w:val="2"/>
        </w:rPr>
        <w:t>extensión </w:t>
      </w:r>
      <w:r>
        <w:rPr>
          <w:color w:val="231F20"/>
        </w:rPr>
        <w:t>del </w:t>
      </w:r>
      <w:r>
        <w:rPr>
          <w:color w:val="231F20"/>
          <w:spacing w:val="2"/>
        </w:rPr>
        <w:t>estudio solo </w:t>
      </w:r>
      <w:r>
        <w:rPr>
          <w:color w:val="231F20"/>
        </w:rPr>
        <w:t>se </w:t>
      </w:r>
      <w:r>
        <w:rPr>
          <w:color w:val="231F20"/>
          <w:spacing w:val="2"/>
        </w:rPr>
        <w:t>hará referencia </w:t>
      </w:r>
      <w:r>
        <w:rPr>
          <w:color w:val="231F20"/>
        </w:rPr>
        <w:t>a </w:t>
      </w:r>
      <w:r>
        <w:rPr>
          <w:color w:val="231F20"/>
          <w:spacing w:val="2"/>
        </w:rPr>
        <w:t>los resultados </w:t>
      </w:r>
      <w:r>
        <w:rPr>
          <w:color w:val="231F20"/>
        </w:rPr>
        <w:t>que </w:t>
      </w:r>
      <w:r>
        <w:rPr>
          <w:color w:val="231F20"/>
          <w:spacing w:val="2"/>
        </w:rPr>
        <w:t>nos serán </w:t>
      </w:r>
      <w:r>
        <w:rPr>
          <w:color w:val="231F20"/>
        </w:rPr>
        <w:t>de </w:t>
      </w:r>
      <w:r>
        <w:rPr>
          <w:color w:val="231F20"/>
          <w:spacing w:val="2"/>
        </w:rPr>
        <w:t>utilidad </w:t>
      </w:r>
      <w:r>
        <w:rPr>
          <w:color w:val="231F20"/>
          <w:spacing w:val="3"/>
        </w:rPr>
        <w:t>como antecedente </w:t>
      </w:r>
      <w:r>
        <w:rPr>
          <w:color w:val="231F20"/>
          <w:spacing w:val="2"/>
        </w:rPr>
        <w:t>directo </w:t>
      </w:r>
      <w:r>
        <w:rPr>
          <w:color w:val="231F20"/>
        </w:rPr>
        <w:t>de   la </w:t>
      </w:r>
      <w:r>
        <w:rPr>
          <w:color w:val="231F20"/>
          <w:spacing w:val="2"/>
        </w:rPr>
        <w:t>presente investigación. Los resultados </w:t>
      </w:r>
      <w:r>
        <w:rPr>
          <w:color w:val="231F20"/>
        </w:rPr>
        <w:t>se </w:t>
      </w:r>
      <w:r>
        <w:rPr>
          <w:color w:val="231F20"/>
          <w:spacing w:val="2"/>
        </w:rPr>
        <w:t>dividen por nivel </w:t>
      </w:r>
      <w:r>
        <w:rPr>
          <w:color w:val="231F20"/>
          <w:spacing w:val="3"/>
        </w:rPr>
        <w:t>edu- </w:t>
      </w:r>
      <w:r>
        <w:rPr>
          <w:color w:val="231F20"/>
          <w:spacing w:val="2"/>
        </w:rPr>
        <w:t>cativo</w:t>
      </w:r>
      <w:r>
        <w:rPr>
          <w:color w:val="231F20"/>
          <w:spacing w:val="26"/>
        </w:rPr>
        <w:t> </w:t>
      </w:r>
      <w:r>
        <w:rPr>
          <w:color w:val="231F20"/>
        </w:rPr>
        <w:t>y</w:t>
      </w:r>
      <w:r>
        <w:rPr>
          <w:color w:val="231F20"/>
          <w:spacing w:val="25"/>
        </w:rPr>
        <w:t> </w:t>
      </w:r>
      <w:r>
        <w:rPr>
          <w:color w:val="231F20"/>
          <w:spacing w:val="2"/>
        </w:rPr>
        <w:t>por</w:t>
      </w:r>
      <w:r>
        <w:rPr>
          <w:color w:val="231F20"/>
          <w:spacing w:val="25"/>
        </w:rPr>
        <w:t> </w:t>
      </w:r>
      <w:r>
        <w:rPr>
          <w:color w:val="231F20"/>
          <w:spacing w:val="2"/>
        </w:rPr>
        <w:t>motivo</w:t>
      </w:r>
      <w:r>
        <w:rPr>
          <w:color w:val="231F20"/>
          <w:spacing w:val="26"/>
        </w:rPr>
        <w:t> </w:t>
      </w:r>
      <w:r>
        <w:rPr>
          <w:color w:val="231F20"/>
        </w:rPr>
        <w:t>de</w:t>
      </w:r>
      <w:r>
        <w:rPr>
          <w:color w:val="231F20"/>
          <w:spacing w:val="25"/>
        </w:rPr>
        <w:t> </w:t>
      </w:r>
      <w:r>
        <w:rPr>
          <w:color w:val="231F20"/>
        </w:rPr>
        <w:t>la</w:t>
      </w:r>
      <w:r>
        <w:rPr>
          <w:color w:val="231F20"/>
          <w:spacing w:val="25"/>
        </w:rPr>
        <w:t> </w:t>
      </w:r>
      <w:r>
        <w:rPr>
          <w:color w:val="231F20"/>
          <w:spacing w:val="2"/>
        </w:rPr>
        <w:t>queja.</w:t>
      </w:r>
      <w:r>
        <w:rPr>
          <w:color w:val="231F20"/>
          <w:spacing w:val="25"/>
        </w:rPr>
        <w:t> </w:t>
      </w:r>
      <w:r>
        <w:rPr>
          <w:color w:val="231F20"/>
        </w:rPr>
        <w:t>En</w:t>
      </w:r>
      <w:r>
        <w:rPr>
          <w:color w:val="231F20"/>
          <w:spacing w:val="26"/>
        </w:rPr>
        <w:t> </w:t>
      </w:r>
      <w:r>
        <w:rPr>
          <w:color w:val="231F20"/>
          <w:spacing w:val="2"/>
        </w:rPr>
        <w:t>cuanto</w:t>
      </w:r>
      <w:r>
        <w:rPr>
          <w:color w:val="231F20"/>
          <w:spacing w:val="26"/>
        </w:rPr>
        <w:t> </w:t>
      </w:r>
      <w:r>
        <w:rPr>
          <w:color w:val="231F20"/>
        </w:rPr>
        <w:t>al</w:t>
      </w:r>
      <w:r>
        <w:rPr>
          <w:color w:val="231F20"/>
          <w:spacing w:val="25"/>
        </w:rPr>
        <w:t> </w:t>
      </w:r>
      <w:r>
        <w:rPr>
          <w:color w:val="231F20"/>
          <w:spacing w:val="2"/>
        </w:rPr>
        <w:t>nivel</w:t>
      </w:r>
      <w:r>
        <w:rPr>
          <w:color w:val="231F20"/>
          <w:spacing w:val="23"/>
        </w:rPr>
        <w:t> </w:t>
      </w:r>
      <w:r>
        <w:rPr>
          <w:color w:val="231F20"/>
          <w:spacing w:val="2"/>
        </w:rPr>
        <w:t>educativo,</w:t>
      </w:r>
      <w:r>
        <w:rPr>
          <w:color w:val="231F20"/>
          <w:spacing w:val="25"/>
        </w:rPr>
        <w:t> </w:t>
      </w:r>
      <w:r>
        <w:rPr>
          <w:color w:val="231F20"/>
          <w:spacing w:val="3"/>
        </w:rPr>
        <w:t>el</w:t>
      </w:r>
    </w:p>
    <w:p>
      <w:pPr>
        <w:spacing w:after="0" w:line="249" w:lineRule="auto"/>
        <w:jc w:val="both"/>
        <w:sectPr>
          <w:headerReference w:type="default" r:id="rId908"/>
          <w:footerReference w:type="default" r:id="rId909"/>
          <w:pgSz w:w="7830" w:h="11910"/>
          <w:pgMar w:header="0" w:footer="424" w:top="500" w:bottom="620" w:left="920" w:right="900"/>
          <w:pgNumType w:start="41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9" w:lineRule="auto" w:before="92"/>
        <w:ind w:left="102" w:right="115"/>
        <w:jc w:val="both"/>
      </w:pPr>
      <w:r>
        <w:rPr>
          <w:color w:val="231F20"/>
          <w:spacing w:val="2"/>
        </w:rPr>
        <w:t>mayor porcentaje </w:t>
      </w:r>
      <w:r>
        <w:rPr>
          <w:color w:val="231F20"/>
        </w:rPr>
        <w:t>de </w:t>
      </w:r>
      <w:r>
        <w:rPr>
          <w:color w:val="231F20"/>
          <w:spacing w:val="2"/>
        </w:rPr>
        <w:t>quejas </w:t>
      </w:r>
      <w:r>
        <w:rPr>
          <w:color w:val="231F20"/>
        </w:rPr>
        <w:t>se </w:t>
      </w:r>
      <w:r>
        <w:rPr>
          <w:color w:val="231F20"/>
          <w:spacing w:val="2"/>
        </w:rPr>
        <w:t>presenta </w:t>
      </w:r>
      <w:r>
        <w:rPr>
          <w:color w:val="231F20"/>
        </w:rPr>
        <w:t>en el </w:t>
      </w:r>
      <w:r>
        <w:rPr>
          <w:color w:val="231F20"/>
          <w:spacing w:val="2"/>
        </w:rPr>
        <w:t>nivel primaria </w:t>
      </w:r>
      <w:r>
        <w:rPr>
          <w:color w:val="231F20"/>
          <w:spacing w:val="3"/>
        </w:rPr>
        <w:t>(59.41%), </w:t>
      </w:r>
      <w:r>
        <w:rPr>
          <w:color w:val="231F20"/>
          <w:spacing w:val="2"/>
        </w:rPr>
        <w:t>seguidas por secundarias generales </w:t>
      </w:r>
      <w:r>
        <w:rPr>
          <w:color w:val="231F20"/>
          <w:spacing w:val="3"/>
        </w:rPr>
        <w:t>(18.54), preescolar (17.52%), </w:t>
      </w:r>
      <w:r>
        <w:rPr>
          <w:color w:val="231F20"/>
          <w:spacing w:val="2"/>
        </w:rPr>
        <w:t>inicial </w:t>
      </w:r>
      <w:r>
        <w:rPr>
          <w:color w:val="231F20"/>
          <w:spacing w:val="3"/>
        </w:rPr>
        <w:t>(2.71%) </w:t>
      </w:r>
      <w:r>
        <w:rPr>
          <w:color w:val="231F20"/>
        </w:rPr>
        <w:t>y </w:t>
      </w:r>
      <w:r>
        <w:rPr>
          <w:color w:val="231F20"/>
          <w:spacing w:val="2"/>
        </w:rPr>
        <w:t>especial </w:t>
      </w:r>
      <w:r>
        <w:rPr>
          <w:color w:val="231F20"/>
          <w:spacing w:val="3"/>
        </w:rPr>
        <w:t>(1.82%). </w:t>
      </w:r>
      <w:r>
        <w:rPr>
          <w:color w:val="231F20"/>
          <w:spacing w:val="2"/>
        </w:rPr>
        <w:t>Por otra parte, </w:t>
      </w:r>
      <w:r>
        <w:rPr>
          <w:color w:val="231F20"/>
        </w:rPr>
        <w:t>de las </w:t>
      </w:r>
      <w:r>
        <w:rPr>
          <w:color w:val="231F20"/>
          <w:spacing w:val="3"/>
        </w:rPr>
        <w:t>3342 </w:t>
      </w:r>
      <w:r>
        <w:rPr>
          <w:color w:val="231F20"/>
          <w:spacing w:val="2"/>
        </w:rPr>
        <w:t>quejas recibidas por </w:t>
      </w:r>
      <w:r>
        <w:rPr>
          <w:color w:val="231F20"/>
        </w:rPr>
        <w:t>la </w:t>
      </w:r>
      <w:r>
        <w:rPr>
          <w:color w:val="231F20"/>
          <w:spacing w:val="3"/>
        </w:rPr>
        <w:t>dependencia, </w:t>
      </w:r>
      <w:r>
        <w:rPr>
          <w:color w:val="231F20"/>
        </w:rPr>
        <w:t>el </w:t>
      </w:r>
      <w:r>
        <w:rPr>
          <w:color w:val="231F20"/>
          <w:spacing w:val="2"/>
        </w:rPr>
        <w:t>11.10% </w:t>
      </w:r>
      <w:r>
        <w:rPr>
          <w:color w:val="231F20"/>
        </w:rPr>
        <w:t>del </w:t>
      </w:r>
      <w:r>
        <w:rPr>
          <w:color w:val="231F20"/>
          <w:spacing w:val="2"/>
        </w:rPr>
        <w:t>total </w:t>
      </w:r>
      <w:r>
        <w:rPr>
          <w:color w:val="231F20"/>
        </w:rPr>
        <w:t>se </w:t>
      </w:r>
      <w:r>
        <w:rPr>
          <w:color w:val="231F20"/>
          <w:spacing w:val="2"/>
        </w:rPr>
        <w:t>refiere </w:t>
      </w:r>
      <w:r>
        <w:rPr>
          <w:color w:val="231F20"/>
        </w:rPr>
        <w:t>a </w:t>
      </w:r>
      <w:r>
        <w:rPr>
          <w:color w:val="231F20"/>
          <w:spacing w:val="2"/>
        </w:rPr>
        <w:t>quejas </w:t>
      </w:r>
      <w:r>
        <w:rPr>
          <w:color w:val="231F20"/>
        </w:rPr>
        <w:t>en </w:t>
      </w:r>
      <w:r>
        <w:rPr>
          <w:color w:val="231F20"/>
          <w:spacing w:val="3"/>
        </w:rPr>
        <w:t>donde </w:t>
      </w:r>
      <w:r>
        <w:rPr>
          <w:color w:val="231F20"/>
        </w:rPr>
        <w:t>un </w:t>
      </w:r>
      <w:r>
        <w:rPr>
          <w:color w:val="231F20"/>
          <w:spacing w:val="2"/>
        </w:rPr>
        <w:t>estudiante </w:t>
      </w:r>
      <w:r>
        <w:rPr>
          <w:color w:val="231F20"/>
          <w:spacing w:val="3"/>
        </w:rPr>
        <w:t>cometió </w:t>
      </w:r>
      <w:r>
        <w:rPr>
          <w:color w:val="231F20"/>
        </w:rPr>
        <w:t>el </w:t>
      </w:r>
      <w:r>
        <w:rPr>
          <w:color w:val="231F20"/>
          <w:spacing w:val="2"/>
        </w:rPr>
        <w:t>agravio. Los</w:t>
      </w:r>
      <w:r>
        <w:rPr>
          <w:color w:val="231F20"/>
          <w:spacing w:val="56"/>
        </w:rPr>
        <w:t> </w:t>
      </w:r>
      <w:r>
        <w:rPr>
          <w:color w:val="231F20"/>
          <w:spacing w:val="2"/>
        </w:rPr>
        <w:t>motivos fueron: acoso/abuso sexual (66.94%), seguido del </w:t>
      </w:r>
      <w:r>
        <w:rPr>
          <w:color w:val="231F20"/>
          <w:spacing w:val="3"/>
        </w:rPr>
        <w:t>maltra- </w:t>
      </w:r>
      <w:r>
        <w:rPr>
          <w:color w:val="231F20"/>
          <w:spacing w:val="3"/>
          <w:w w:val="107"/>
        </w:rPr>
        <w:t>t</w:t>
      </w:r>
      <w:r>
        <w:rPr>
          <w:color w:val="231F20"/>
          <w:w w:val="104"/>
        </w:rPr>
        <w:t>o</w:t>
      </w:r>
      <w:r>
        <w:rPr>
          <w:color w:val="231F20"/>
        </w:rPr>
        <w:t> </w:t>
      </w:r>
      <w:r>
        <w:rPr>
          <w:color w:val="231F20"/>
          <w:spacing w:val="-16"/>
        </w:rPr>
        <w:t> </w:t>
      </w:r>
      <w:r>
        <w:rPr>
          <w:color w:val="231F20"/>
          <w:spacing w:val="3"/>
          <w:w w:val="99"/>
        </w:rPr>
        <w:t>f</w:t>
      </w:r>
      <w:r>
        <w:rPr>
          <w:color w:val="231F20"/>
          <w:spacing w:val="2"/>
          <w:w w:val="91"/>
        </w:rPr>
        <w:t>í</w:t>
      </w:r>
      <w:r>
        <w:rPr>
          <w:color w:val="231F20"/>
          <w:spacing w:val="3"/>
          <w:w w:val="91"/>
        </w:rPr>
        <w:t>s</w:t>
      </w:r>
      <w:r>
        <w:rPr>
          <w:color w:val="231F20"/>
          <w:spacing w:val="2"/>
          <w:w w:val="92"/>
        </w:rPr>
        <w:t>i</w:t>
      </w:r>
      <w:r>
        <w:rPr>
          <w:color w:val="231F20"/>
          <w:spacing w:val="3"/>
          <w:w w:val="92"/>
        </w:rPr>
        <w:t>c</w:t>
      </w:r>
      <w:r>
        <w:rPr>
          <w:color w:val="231F20"/>
          <w:spacing w:val="4"/>
          <w:w w:val="104"/>
        </w:rPr>
        <w:t>o</w:t>
      </w:r>
      <w:r>
        <w:rPr>
          <w:color w:val="231F20"/>
          <w:spacing w:val="3"/>
          <w:w w:val="185"/>
        </w:rPr>
        <w:t>/</w:t>
      </w:r>
      <w:r>
        <w:rPr>
          <w:color w:val="231F20"/>
          <w:spacing w:val="4"/>
          <w:w w:val="104"/>
        </w:rPr>
        <w:t>p</w:t>
      </w:r>
      <w:r>
        <w:rPr>
          <w:color w:val="231F20"/>
          <w:spacing w:val="3"/>
          <w:w w:val="96"/>
        </w:rPr>
        <w:t>s</w:t>
      </w:r>
      <w:r>
        <w:rPr>
          <w:color w:val="231F20"/>
          <w:spacing w:val="2"/>
          <w:w w:val="92"/>
        </w:rPr>
        <w:t>i</w:t>
      </w:r>
      <w:r>
        <w:rPr>
          <w:color w:val="231F20"/>
          <w:spacing w:val="3"/>
          <w:w w:val="92"/>
        </w:rPr>
        <w:t>c</w:t>
      </w:r>
      <w:r>
        <w:rPr>
          <w:color w:val="231F20"/>
          <w:spacing w:val="4"/>
          <w:w w:val="104"/>
        </w:rPr>
        <w:t>o</w:t>
      </w:r>
      <w:r>
        <w:rPr>
          <w:color w:val="231F20"/>
          <w:spacing w:val="2"/>
          <w:w w:val="97"/>
        </w:rPr>
        <w:t>l</w:t>
      </w:r>
      <w:r>
        <w:rPr>
          <w:color w:val="231F20"/>
          <w:spacing w:val="4"/>
          <w:w w:val="97"/>
        </w:rPr>
        <w:t>ó</w:t>
      </w:r>
      <w:r>
        <w:rPr>
          <w:color w:val="231F20"/>
          <w:spacing w:val="3"/>
          <w:w w:val="92"/>
        </w:rPr>
        <w:t>g</w:t>
      </w:r>
      <w:r>
        <w:rPr>
          <w:color w:val="231F20"/>
          <w:spacing w:val="2"/>
          <w:w w:val="92"/>
        </w:rPr>
        <w:t>i</w:t>
      </w:r>
      <w:r>
        <w:rPr>
          <w:color w:val="231F20"/>
          <w:spacing w:val="3"/>
          <w:w w:val="92"/>
        </w:rPr>
        <w:t>c</w:t>
      </w:r>
      <w:r>
        <w:rPr>
          <w:color w:val="231F20"/>
          <w:w w:val="104"/>
        </w:rPr>
        <w:t>o</w:t>
      </w:r>
      <w:r>
        <w:rPr>
          <w:color w:val="231F20"/>
        </w:rPr>
        <w:t> </w:t>
      </w:r>
      <w:r>
        <w:rPr>
          <w:color w:val="231F20"/>
          <w:spacing w:val="-16"/>
        </w:rPr>
        <w:t> </w:t>
      </w:r>
      <w:r>
        <w:rPr>
          <w:color w:val="231F20"/>
          <w:spacing w:val="3"/>
          <w:w w:val="90"/>
        </w:rPr>
        <w:t>(</w:t>
      </w:r>
      <w:r>
        <w:rPr>
          <w:color w:val="231F20"/>
          <w:spacing w:val="4"/>
          <w:w w:val="96"/>
        </w:rPr>
        <w:t>26</w:t>
      </w:r>
      <w:r>
        <w:rPr>
          <w:color w:val="231F20"/>
          <w:spacing w:val="2"/>
          <w:w w:val="94"/>
        </w:rPr>
        <w:t>.</w:t>
      </w:r>
      <w:r>
        <w:rPr>
          <w:color w:val="231F20"/>
          <w:spacing w:val="4"/>
          <w:w w:val="94"/>
        </w:rPr>
        <w:t>9</w:t>
      </w:r>
      <w:r>
        <w:rPr>
          <w:color w:val="231F20"/>
          <w:spacing w:val="4"/>
          <w:w w:val="96"/>
        </w:rPr>
        <w:t>4</w:t>
      </w:r>
      <w:r>
        <w:rPr>
          <w:color w:val="231F20"/>
          <w:spacing w:val="5"/>
          <w:w w:val="101"/>
        </w:rPr>
        <w:t>%</w:t>
      </w:r>
      <w:r>
        <w:rPr>
          <w:color w:val="231F20"/>
          <w:spacing w:val="3"/>
          <w:w w:val="90"/>
        </w:rPr>
        <w:t>)</w:t>
      </w:r>
      <w:r>
        <w:rPr>
          <w:color w:val="231F20"/>
          <w:w w:val="90"/>
        </w:rPr>
        <w:t>,</w:t>
      </w:r>
      <w:r>
        <w:rPr>
          <w:color w:val="231F20"/>
        </w:rPr>
        <w:t> </w:t>
      </w:r>
      <w:r>
        <w:rPr>
          <w:color w:val="231F20"/>
          <w:spacing w:val="-18"/>
        </w:rPr>
        <w:t> </w:t>
      </w:r>
      <w:r>
        <w:rPr>
          <w:color w:val="231F20"/>
          <w:w w:val="85"/>
        </w:rPr>
        <w:t>y</w:t>
      </w:r>
      <w:r>
        <w:rPr>
          <w:color w:val="231F20"/>
        </w:rPr>
        <w:t> </w:t>
      </w:r>
      <w:r>
        <w:rPr>
          <w:color w:val="231F20"/>
          <w:spacing w:val="-17"/>
        </w:rPr>
        <w:t> </w:t>
      </w:r>
      <w:r>
        <w:rPr>
          <w:color w:val="231F20"/>
          <w:spacing w:val="4"/>
          <w:w w:val="104"/>
        </w:rPr>
        <w:t>po</w:t>
      </w:r>
      <w:r>
        <w:rPr>
          <w:color w:val="231F20"/>
          <w:w w:val="103"/>
        </w:rPr>
        <w:t>r</w:t>
      </w:r>
      <w:r>
        <w:rPr>
          <w:color w:val="231F20"/>
        </w:rPr>
        <w:t> </w:t>
      </w:r>
      <w:r>
        <w:rPr>
          <w:color w:val="231F20"/>
          <w:spacing w:val="-17"/>
        </w:rPr>
        <w:t> </w:t>
      </w:r>
      <w:r>
        <w:rPr>
          <w:color w:val="231F20"/>
          <w:spacing w:val="4"/>
          <w:w w:val="100"/>
        </w:rPr>
        <w:t>ú</w:t>
      </w:r>
      <w:r>
        <w:rPr>
          <w:color w:val="231F20"/>
          <w:spacing w:val="2"/>
          <w:w w:val="96"/>
        </w:rPr>
        <w:t>l</w:t>
      </w:r>
      <w:r>
        <w:rPr>
          <w:color w:val="231F20"/>
          <w:spacing w:val="3"/>
          <w:w w:val="96"/>
        </w:rPr>
        <w:t>t</w:t>
      </w:r>
      <w:r>
        <w:rPr>
          <w:color w:val="231F20"/>
          <w:spacing w:val="2"/>
          <w:w w:val="97"/>
        </w:rPr>
        <w:t>i</w:t>
      </w:r>
      <w:r>
        <w:rPr>
          <w:color w:val="231F20"/>
          <w:spacing w:val="5"/>
          <w:w w:val="97"/>
        </w:rPr>
        <w:t>m</w:t>
      </w:r>
      <w:r>
        <w:rPr>
          <w:color w:val="231F20"/>
          <w:spacing w:val="4"/>
          <w:w w:val="104"/>
        </w:rPr>
        <w:t>o</w:t>
      </w:r>
      <w:r>
        <w:rPr>
          <w:color w:val="231F20"/>
          <w:w w:val="90"/>
        </w:rPr>
        <w:t>,</w:t>
      </w:r>
      <w:r>
        <w:rPr>
          <w:color w:val="231F20"/>
        </w:rPr>
        <w:t> </w:t>
      </w:r>
      <w:r>
        <w:rPr>
          <w:color w:val="231F20"/>
          <w:spacing w:val="-18"/>
        </w:rPr>
        <w:t> </w:t>
      </w:r>
      <w:r>
        <w:rPr>
          <w:color w:val="231F20"/>
          <w:spacing w:val="2"/>
          <w:w w:val="97"/>
        </w:rPr>
        <w:t>l</w:t>
      </w:r>
      <w:r>
        <w:rPr>
          <w:color w:val="231F20"/>
          <w:spacing w:val="4"/>
          <w:w w:val="97"/>
        </w:rPr>
        <w:t>o</w:t>
      </w:r>
      <w:r>
        <w:rPr>
          <w:color w:val="231F20"/>
          <w:w w:val="96"/>
        </w:rPr>
        <w:t>s</w:t>
      </w:r>
      <w:r>
        <w:rPr>
          <w:color w:val="231F20"/>
        </w:rPr>
        <w:t> </w:t>
      </w:r>
      <w:r>
        <w:rPr>
          <w:color w:val="231F20"/>
          <w:spacing w:val="-17"/>
        </w:rPr>
        <w:t> </w:t>
      </w:r>
      <w:r>
        <w:rPr>
          <w:color w:val="231F20"/>
          <w:spacing w:val="2"/>
          <w:w w:val="95"/>
        </w:rPr>
        <w:t>j</w:t>
      </w:r>
      <w:r>
        <w:rPr>
          <w:color w:val="231F20"/>
          <w:spacing w:val="4"/>
          <w:w w:val="95"/>
        </w:rPr>
        <w:t>u</w:t>
      </w:r>
      <w:r>
        <w:rPr>
          <w:color w:val="231F20"/>
          <w:spacing w:val="3"/>
          <w:w w:val="96"/>
        </w:rPr>
        <w:t>e</w:t>
      </w:r>
      <w:r>
        <w:rPr>
          <w:color w:val="231F20"/>
          <w:spacing w:val="3"/>
          <w:w w:val="92"/>
        </w:rPr>
        <w:t>g</w:t>
      </w:r>
      <w:r>
        <w:rPr>
          <w:color w:val="231F20"/>
          <w:spacing w:val="4"/>
          <w:w w:val="104"/>
        </w:rPr>
        <w:t>o</w:t>
      </w:r>
      <w:r>
        <w:rPr>
          <w:color w:val="231F20"/>
          <w:w w:val="96"/>
        </w:rPr>
        <w:t>s</w:t>
      </w:r>
      <w:r>
        <w:rPr>
          <w:color w:val="231F20"/>
        </w:rPr>
        <w:t> </w:t>
      </w:r>
      <w:r>
        <w:rPr>
          <w:color w:val="231F20"/>
          <w:spacing w:val="-17"/>
        </w:rPr>
        <w:t> </w:t>
      </w:r>
      <w:r>
        <w:rPr>
          <w:color w:val="231F20"/>
          <w:spacing w:val="3"/>
          <w:w w:val="96"/>
        </w:rPr>
        <w:t>s</w:t>
      </w:r>
      <w:r>
        <w:rPr>
          <w:color w:val="231F20"/>
          <w:spacing w:val="3"/>
          <w:w w:val="96"/>
        </w:rPr>
        <w:t>e</w:t>
      </w:r>
      <w:r>
        <w:rPr>
          <w:color w:val="231F20"/>
          <w:spacing w:val="3"/>
          <w:w w:val="94"/>
        </w:rPr>
        <w:t>x</w:t>
      </w:r>
      <w:r>
        <w:rPr>
          <w:color w:val="231F20"/>
          <w:spacing w:val="4"/>
          <w:w w:val="100"/>
        </w:rPr>
        <w:t>u</w:t>
      </w:r>
      <w:r>
        <w:rPr>
          <w:color w:val="231F20"/>
          <w:spacing w:val="3"/>
          <w:w w:val="94"/>
        </w:rPr>
        <w:t>a</w:t>
      </w:r>
      <w:r>
        <w:rPr>
          <w:color w:val="231F20"/>
          <w:spacing w:val="2"/>
          <w:w w:val="92"/>
        </w:rPr>
        <w:t>l</w:t>
      </w:r>
      <w:r>
        <w:rPr>
          <w:color w:val="231F20"/>
          <w:spacing w:val="3"/>
          <w:w w:val="92"/>
        </w:rPr>
        <w:t>e</w:t>
      </w:r>
      <w:r>
        <w:rPr>
          <w:color w:val="231F20"/>
          <w:w w:val="96"/>
        </w:rPr>
        <w:t>s </w:t>
      </w:r>
      <w:r>
        <w:rPr>
          <w:color w:val="231F20"/>
          <w:spacing w:val="3"/>
        </w:rPr>
        <w:t>(6.11%). </w:t>
      </w:r>
      <w:r>
        <w:rPr>
          <w:color w:val="231F20"/>
        </w:rPr>
        <w:t>La </w:t>
      </w:r>
      <w:r>
        <w:rPr>
          <w:color w:val="231F20"/>
          <w:spacing w:val="3"/>
        </w:rPr>
        <w:t>mayor </w:t>
      </w:r>
      <w:r>
        <w:rPr>
          <w:color w:val="231F20"/>
          <w:spacing w:val="2"/>
        </w:rPr>
        <w:t>parte </w:t>
      </w:r>
      <w:r>
        <w:rPr>
          <w:color w:val="231F20"/>
        </w:rPr>
        <w:t>de las </w:t>
      </w:r>
      <w:r>
        <w:rPr>
          <w:color w:val="231F20"/>
          <w:spacing w:val="2"/>
        </w:rPr>
        <w:t>quejas recibidas son </w:t>
      </w:r>
      <w:r>
        <w:rPr>
          <w:color w:val="231F20"/>
        </w:rPr>
        <w:t>en </w:t>
      </w:r>
      <w:r>
        <w:rPr>
          <w:color w:val="231F20"/>
          <w:spacing w:val="2"/>
        </w:rPr>
        <w:t>relación con </w:t>
      </w:r>
      <w:r>
        <w:rPr>
          <w:color w:val="231F20"/>
        </w:rPr>
        <w:t>las </w:t>
      </w:r>
      <w:r>
        <w:rPr>
          <w:color w:val="231F20"/>
          <w:spacing w:val="2"/>
        </w:rPr>
        <w:t>ofensas que </w:t>
      </w:r>
      <w:r>
        <w:rPr>
          <w:color w:val="231F20"/>
        </w:rPr>
        <w:t>se </w:t>
      </w:r>
      <w:r>
        <w:rPr>
          <w:color w:val="231F20"/>
          <w:spacing w:val="2"/>
        </w:rPr>
        <w:t>reciben </w:t>
      </w:r>
      <w:r>
        <w:rPr>
          <w:color w:val="231F20"/>
        </w:rPr>
        <w:t>en el </w:t>
      </w:r>
      <w:r>
        <w:rPr>
          <w:color w:val="231F20"/>
          <w:spacing w:val="2"/>
        </w:rPr>
        <w:t>caso del </w:t>
      </w:r>
      <w:r>
        <w:rPr>
          <w:color w:val="231F20"/>
          <w:spacing w:val="3"/>
        </w:rPr>
        <w:t>personal </w:t>
      </w:r>
      <w:r>
        <w:rPr>
          <w:color w:val="231F20"/>
          <w:spacing w:val="2"/>
        </w:rPr>
        <w:t>adulto </w:t>
      </w:r>
      <w:r>
        <w:rPr>
          <w:color w:val="231F20"/>
          <w:spacing w:val="3"/>
        </w:rPr>
        <w:t>(85.78%). </w:t>
      </w:r>
      <w:r>
        <w:rPr>
          <w:color w:val="231F20"/>
          <w:spacing w:val="2"/>
        </w:rPr>
        <w:t>Los </w:t>
      </w:r>
      <w:r>
        <w:rPr>
          <w:color w:val="231F20"/>
          <w:spacing w:val="3"/>
        </w:rPr>
        <w:t>motivos </w:t>
      </w:r>
      <w:r>
        <w:rPr>
          <w:color w:val="231F20"/>
          <w:spacing w:val="2"/>
        </w:rPr>
        <w:t>fueron </w:t>
      </w:r>
      <w:r>
        <w:rPr>
          <w:color w:val="231F20"/>
        </w:rPr>
        <w:t>el </w:t>
      </w:r>
      <w:r>
        <w:rPr>
          <w:color w:val="231F20"/>
          <w:spacing w:val="2"/>
        </w:rPr>
        <w:t>maltrato físico </w:t>
      </w:r>
      <w:r>
        <w:rPr>
          <w:color w:val="231F20"/>
          <w:spacing w:val="3"/>
        </w:rPr>
        <w:t>(48.47%), </w:t>
      </w:r>
      <w:r>
        <w:rPr>
          <w:color w:val="231F20"/>
        </w:rPr>
        <w:t>el </w:t>
      </w:r>
      <w:r>
        <w:rPr>
          <w:color w:val="231F20"/>
          <w:spacing w:val="2"/>
        </w:rPr>
        <w:t>mal- trato psicológico </w:t>
      </w:r>
      <w:r>
        <w:rPr>
          <w:color w:val="231F20"/>
          <w:spacing w:val="3"/>
        </w:rPr>
        <w:t>(33.66%) </w:t>
      </w:r>
      <w:r>
        <w:rPr>
          <w:color w:val="231F20"/>
        </w:rPr>
        <w:t>y el </w:t>
      </w:r>
      <w:r>
        <w:rPr>
          <w:color w:val="231F20"/>
          <w:spacing w:val="3"/>
        </w:rPr>
        <w:t>abuso/acoso </w:t>
      </w:r>
      <w:r>
        <w:rPr>
          <w:color w:val="231F20"/>
          <w:spacing w:val="2"/>
        </w:rPr>
        <w:t>sexual</w:t>
      </w:r>
      <w:r>
        <w:rPr>
          <w:color w:val="231F20"/>
          <w:spacing w:val="-16"/>
        </w:rPr>
        <w:t> </w:t>
      </w:r>
      <w:r>
        <w:rPr>
          <w:color w:val="231F20"/>
          <w:spacing w:val="2"/>
        </w:rPr>
        <w:t>(14.56%).</w:t>
      </w:r>
    </w:p>
    <w:p>
      <w:pPr>
        <w:pStyle w:val="BodyText"/>
        <w:spacing w:line="247" w:lineRule="auto"/>
        <w:ind w:left="102" w:right="116" w:firstLine="283"/>
        <w:jc w:val="both"/>
      </w:pPr>
      <w:r>
        <w:rPr>
          <w:color w:val="231F20"/>
        </w:rPr>
        <w:t>Si </w:t>
      </w:r>
      <w:r>
        <w:rPr>
          <w:color w:val="231F20"/>
          <w:spacing w:val="2"/>
        </w:rPr>
        <w:t>bien los datos anteriores nos </w:t>
      </w:r>
      <w:r>
        <w:rPr>
          <w:color w:val="231F20"/>
        </w:rPr>
        <w:t>dan </w:t>
      </w:r>
      <w:r>
        <w:rPr>
          <w:color w:val="231F20"/>
          <w:spacing w:val="2"/>
        </w:rPr>
        <w:t>una </w:t>
      </w:r>
      <w:r>
        <w:rPr>
          <w:color w:val="231F20"/>
          <w:spacing w:val="3"/>
        </w:rPr>
        <w:t>panorámica </w:t>
      </w:r>
      <w:r>
        <w:rPr>
          <w:color w:val="231F20"/>
        </w:rPr>
        <w:t>de las si- </w:t>
      </w:r>
      <w:r>
        <w:rPr>
          <w:color w:val="231F20"/>
          <w:spacing w:val="2"/>
        </w:rPr>
        <w:t>tuaciones que pueden tipificarse </w:t>
      </w:r>
      <w:r>
        <w:rPr>
          <w:color w:val="231F20"/>
          <w:spacing w:val="3"/>
        </w:rPr>
        <w:t>como </w:t>
      </w:r>
      <w:r>
        <w:rPr>
          <w:color w:val="231F20"/>
          <w:spacing w:val="2"/>
        </w:rPr>
        <w:t>violentas </w:t>
      </w:r>
      <w:r>
        <w:rPr>
          <w:color w:val="231F20"/>
        </w:rPr>
        <w:t>en las </w:t>
      </w:r>
      <w:r>
        <w:rPr>
          <w:color w:val="231F20"/>
          <w:spacing w:val="3"/>
        </w:rPr>
        <w:t>escuelas </w:t>
      </w:r>
      <w:r>
        <w:rPr>
          <w:color w:val="231F20"/>
          <w:spacing w:val="58"/>
        </w:rPr>
        <w:t> </w:t>
      </w:r>
      <w:r>
        <w:rPr>
          <w:color w:val="231F20"/>
          <w:spacing w:val="2"/>
        </w:rPr>
        <w:t>del D.F., sería necesario desde nuestro </w:t>
      </w:r>
      <w:r>
        <w:rPr>
          <w:color w:val="231F20"/>
          <w:spacing w:val="3"/>
        </w:rPr>
        <w:t>punto </w:t>
      </w:r>
      <w:r>
        <w:rPr>
          <w:color w:val="231F20"/>
        </w:rPr>
        <w:t>de </w:t>
      </w:r>
      <w:r>
        <w:rPr>
          <w:color w:val="231F20"/>
          <w:spacing w:val="2"/>
        </w:rPr>
        <w:t>vista, hacer </w:t>
      </w:r>
      <w:r>
        <w:rPr>
          <w:color w:val="231F20"/>
        </w:rPr>
        <w:t>un </w:t>
      </w:r>
      <w:r>
        <w:rPr>
          <w:color w:val="231F20"/>
          <w:spacing w:val="2"/>
        </w:rPr>
        <w:t>análisis fino </w:t>
      </w:r>
      <w:r>
        <w:rPr>
          <w:color w:val="231F20"/>
        </w:rPr>
        <w:t>en </w:t>
      </w:r>
      <w:r>
        <w:rPr>
          <w:color w:val="231F20"/>
          <w:spacing w:val="2"/>
        </w:rPr>
        <w:t>relación </w:t>
      </w:r>
      <w:r>
        <w:rPr>
          <w:color w:val="231F20"/>
        </w:rPr>
        <w:t>a las </w:t>
      </w:r>
      <w:r>
        <w:rPr>
          <w:color w:val="231F20"/>
          <w:spacing w:val="2"/>
        </w:rPr>
        <w:t>denuncias </w:t>
      </w:r>
      <w:r>
        <w:rPr>
          <w:color w:val="231F20"/>
        </w:rPr>
        <w:t>y a su </w:t>
      </w:r>
      <w:r>
        <w:rPr>
          <w:color w:val="231F20"/>
          <w:spacing w:val="2"/>
        </w:rPr>
        <w:t>clasificación, </w:t>
      </w:r>
      <w:r>
        <w:rPr>
          <w:color w:val="231F20"/>
          <w:spacing w:val="3"/>
        </w:rPr>
        <w:t>más </w:t>
      </w:r>
      <w:r>
        <w:rPr>
          <w:color w:val="231F20"/>
        </w:rPr>
        <w:t>aún a su </w:t>
      </w:r>
      <w:r>
        <w:rPr>
          <w:color w:val="231F20"/>
          <w:spacing w:val="2"/>
        </w:rPr>
        <w:t>gravedad </w:t>
      </w:r>
      <w:r>
        <w:rPr>
          <w:color w:val="231F20"/>
        </w:rPr>
        <w:t>y, en </w:t>
      </w:r>
      <w:r>
        <w:rPr>
          <w:color w:val="231F20"/>
          <w:spacing w:val="2"/>
        </w:rPr>
        <w:t>consecuencia, </w:t>
      </w:r>
      <w:r>
        <w:rPr>
          <w:color w:val="231F20"/>
        </w:rPr>
        <w:t>la </w:t>
      </w:r>
      <w:r>
        <w:rPr>
          <w:color w:val="231F20"/>
          <w:spacing w:val="2"/>
        </w:rPr>
        <w:t>urgencia </w:t>
      </w:r>
      <w:r>
        <w:rPr>
          <w:color w:val="231F20"/>
        </w:rPr>
        <w:t>de</w:t>
      </w:r>
      <w:r>
        <w:rPr>
          <w:color w:val="231F20"/>
          <w:spacing w:val="18"/>
        </w:rPr>
        <w:t> </w:t>
      </w:r>
      <w:r>
        <w:rPr>
          <w:color w:val="231F20"/>
          <w:spacing w:val="2"/>
        </w:rPr>
        <w:t>intervención.</w:t>
      </w:r>
    </w:p>
    <w:p>
      <w:pPr>
        <w:pStyle w:val="BodyText"/>
        <w:spacing w:line="249" w:lineRule="auto" w:before="1"/>
        <w:ind w:left="102" w:right="115" w:firstLine="283"/>
        <w:jc w:val="both"/>
      </w:pPr>
      <w:r>
        <w:rPr>
          <w:color w:val="231F20"/>
        </w:rPr>
        <w:t>En </w:t>
      </w:r>
      <w:r>
        <w:rPr>
          <w:color w:val="231F20"/>
          <w:spacing w:val="2"/>
        </w:rPr>
        <w:t>los estudios descritos líneas arriba </w:t>
      </w:r>
      <w:r>
        <w:rPr>
          <w:color w:val="231F20"/>
          <w:spacing w:val="3"/>
        </w:rPr>
        <w:t>podemos </w:t>
      </w:r>
      <w:r>
        <w:rPr>
          <w:color w:val="231F20"/>
          <w:spacing w:val="2"/>
        </w:rPr>
        <w:t>apreciar algu- nos aspectos </w:t>
      </w:r>
      <w:r>
        <w:rPr>
          <w:color w:val="231F20"/>
        </w:rPr>
        <w:t>que </w:t>
      </w:r>
      <w:r>
        <w:rPr>
          <w:color w:val="231F20"/>
          <w:spacing w:val="3"/>
        </w:rPr>
        <w:t>consideramos importante </w:t>
      </w:r>
      <w:r>
        <w:rPr>
          <w:color w:val="231F20"/>
        </w:rPr>
        <w:t>de  </w:t>
      </w:r>
      <w:r>
        <w:rPr>
          <w:color w:val="231F20"/>
          <w:spacing w:val="2"/>
        </w:rPr>
        <w:t>resaltar:  Por  </w:t>
      </w:r>
      <w:r>
        <w:rPr>
          <w:color w:val="231F20"/>
        </w:rPr>
        <w:t>un </w:t>
      </w:r>
      <w:r>
        <w:rPr>
          <w:color w:val="231F20"/>
          <w:spacing w:val="2"/>
        </w:rPr>
        <w:t>lado que los conflictos dentro </w:t>
      </w:r>
      <w:r>
        <w:rPr>
          <w:color w:val="231F20"/>
        </w:rPr>
        <w:t>de las </w:t>
      </w:r>
      <w:r>
        <w:rPr>
          <w:color w:val="231F20"/>
          <w:spacing w:val="2"/>
        </w:rPr>
        <w:t>aulas </w:t>
      </w:r>
      <w:r>
        <w:rPr>
          <w:color w:val="231F20"/>
        </w:rPr>
        <w:t>no </w:t>
      </w:r>
      <w:r>
        <w:rPr>
          <w:color w:val="231F20"/>
          <w:spacing w:val="2"/>
        </w:rPr>
        <w:t>deben </w:t>
      </w:r>
      <w:r>
        <w:rPr>
          <w:color w:val="231F20"/>
        </w:rPr>
        <w:t>ser </w:t>
      </w:r>
      <w:r>
        <w:rPr>
          <w:color w:val="231F20"/>
          <w:spacing w:val="2"/>
        </w:rPr>
        <w:t>vistos </w:t>
      </w:r>
      <w:r>
        <w:rPr>
          <w:color w:val="231F20"/>
        </w:rPr>
        <w:t>solo </w:t>
      </w:r>
      <w:r>
        <w:rPr>
          <w:color w:val="231F20"/>
          <w:spacing w:val="3"/>
        </w:rPr>
        <w:t>como </w:t>
      </w:r>
      <w:r>
        <w:rPr>
          <w:color w:val="231F20"/>
          <w:spacing w:val="2"/>
        </w:rPr>
        <w:t>una cuestión del individuo sino </w:t>
      </w:r>
      <w:r>
        <w:rPr>
          <w:color w:val="231F20"/>
          <w:spacing w:val="3"/>
        </w:rPr>
        <w:t>como </w:t>
      </w:r>
      <w:r>
        <w:rPr>
          <w:color w:val="231F20"/>
        </w:rPr>
        <w:t>el </w:t>
      </w:r>
      <w:r>
        <w:rPr>
          <w:color w:val="231F20"/>
          <w:spacing w:val="2"/>
        </w:rPr>
        <w:t>resultado </w:t>
      </w:r>
      <w:r>
        <w:rPr>
          <w:color w:val="231F20"/>
        </w:rPr>
        <w:t>de la </w:t>
      </w:r>
      <w:r>
        <w:rPr>
          <w:color w:val="231F20"/>
          <w:spacing w:val="2"/>
        </w:rPr>
        <w:t>interacción </w:t>
      </w:r>
      <w:r>
        <w:rPr>
          <w:color w:val="231F20"/>
        </w:rPr>
        <w:t>de </w:t>
      </w:r>
      <w:r>
        <w:rPr>
          <w:color w:val="231F20"/>
          <w:spacing w:val="2"/>
        </w:rPr>
        <w:t>diversos factores </w:t>
      </w:r>
      <w:r>
        <w:rPr>
          <w:color w:val="231F20"/>
          <w:spacing w:val="3"/>
        </w:rPr>
        <w:t>(Tortosa, </w:t>
      </w:r>
      <w:r>
        <w:rPr>
          <w:color w:val="231F20"/>
          <w:spacing w:val="2"/>
        </w:rPr>
        <w:t>2001; Peiró, 2001; </w:t>
      </w:r>
      <w:r>
        <w:rPr>
          <w:color w:val="231F20"/>
          <w:spacing w:val="3"/>
        </w:rPr>
        <w:t>Ba- </w:t>
      </w:r>
      <w:r>
        <w:rPr>
          <w:color w:val="231F20"/>
          <w:spacing w:val="2"/>
        </w:rPr>
        <w:t>llester </w:t>
      </w:r>
      <w:r>
        <w:rPr>
          <w:color w:val="231F20"/>
        </w:rPr>
        <w:t>y </w:t>
      </w:r>
      <w:r>
        <w:rPr>
          <w:color w:val="231F20"/>
          <w:spacing w:val="3"/>
        </w:rPr>
        <w:t>Arnaiz-Sánchez, </w:t>
      </w:r>
      <w:r>
        <w:rPr>
          <w:color w:val="231F20"/>
          <w:spacing w:val="2"/>
        </w:rPr>
        <w:t>2001; </w:t>
      </w:r>
      <w:r>
        <w:rPr>
          <w:color w:val="231F20"/>
          <w:spacing w:val="3"/>
        </w:rPr>
        <w:t>Martínez-Otero, </w:t>
      </w:r>
      <w:r>
        <w:rPr>
          <w:color w:val="231F20"/>
          <w:spacing w:val="2"/>
        </w:rPr>
        <w:t>2005; </w:t>
      </w:r>
      <w:r>
        <w:rPr>
          <w:color w:val="231F20"/>
        </w:rPr>
        <w:t>y </w:t>
      </w:r>
      <w:r>
        <w:rPr>
          <w:color w:val="231F20"/>
          <w:spacing w:val="2"/>
        </w:rPr>
        <w:t>Díaz- Aguado, 2005). Por otro lado, </w:t>
      </w:r>
      <w:r>
        <w:rPr>
          <w:color w:val="231F20"/>
        </w:rPr>
        <w:t>la </w:t>
      </w:r>
      <w:r>
        <w:rPr>
          <w:color w:val="231F20"/>
          <w:spacing w:val="3"/>
        </w:rPr>
        <w:t>importancia </w:t>
      </w:r>
      <w:r>
        <w:rPr>
          <w:color w:val="231F20"/>
        </w:rPr>
        <w:t>del </w:t>
      </w:r>
      <w:r>
        <w:rPr>
          <w:color w:val="231F20"/>
          <w:spacing w:val="3"/>
        </w:rPr>
        <w:t>profesorado como </w:t>
      </w:r>
      <w:r>
        <w:rPr>
          <w:color w:val="231F20"/>
          <w:spacing w:val="2"/>
        </w:rPr>
        <w:t>parte del </w:t>
      </w:r>
      <w:r>
        <w:rPr>
          <w:color w:val="231F20"/>
          <w:spacing w:val="3"/>
        </w:rPr>
        <w:t>problema </w:t>
      </w:r>
      <w:r>
        <w:rPr>
          <w:color w:val="231F20"/>
        </w:rPr>
        <w:t>y la </w:t>
      </w:r>
      <w:r>
        <w:rPr>
          <w:color w:val="231F20"/>
          <w:spacing w:val="2"/>
        </w:rPr>
        <w:t>solución </w:t>
      </w:r>
      <w:r>
        <w:rPr>
          <w:color w:val="231F20"/>
        </w:rPr>
        <w:t>de </w:t>
      </w:r>
      <w:r>
        <w:rPr>
          <w:color w:val="231F20"/>
          <w:spacing w:val="2"/>
        </w:rPr>
        <w:t>situaciones conflictivas </w:t>
      </w:r>
      <w:r>
        <w:rPr>
          <w:color w:val="231F20"/>
          <w:spacing w:val="3"/>
        </w:rPr>
        <w:t>(Escámez, </w:t>
      </w:r>
      <w:r>
        <w:rPr>
          <w:color w:val="231F20"/>
          <w:spacing w:val="2"/>
        </w:rPr>
        <w:t>2001; Peiró, 2001; Larrosa, 2002; </w:t>
      </w:r>
      <w:r>
        <w:rPr>
          <w:color w:val="231F20"/>
          <w:spacing w:val="3"/>
        </w:rPr>
        <w:t>Zamora-Poblete </w:t>
      </w:r>
      <w:r>
        <w:rPr>
          <w:color w:val="231F20"/>
        </w:rPr>
        <w:t>y </w:t>
      </w:r>
      <w:r>
        <w:rPr>
          <w:color w:val="231F20"/>
          <w:spacing w:val="3"/>
        </w:rPr>
        <w:t>Zerón-Rodríguez, </w:t>
      </w:r>
      <w:r>
        <w:rPr>
          <w:color w:val="231F20"/>
          <w:spacing w:val="2"/>
        </w:rPr>
        <w:t>2010; Feria </w:t>
      </w:r>
      <w:r>
        <w:rPr>
          <w:color w:val="231F20"/>
        </w:rPr>
        <w:t>y </w:t>
      </w:r>
      <w:r>
        <w:rPr>
          <w:color w:val="231F20"/>
          <w:spacing w:val="2"/>
        </w:rPr>
        <w:t>otros, 2010; </w:t>
      </w:r>
      <w:r>
        <w:rPr>
          <w:color w:val="231F20"/>
          <w:spacing w:val="3"/>
        </w:rPr>
        <w:t>González-Pineda </w:t>
      </w:r>
      <w:r>
        <w:rPr>
          <w:color w:val="231F20"/>
        </w:rPr>
        <w:t>y </w:t>
      </w:r>
      <w:r>
        <w:rPr>
          <w:color w:val="231F20"/>
          <w:spacing w:val="2"/>
        </w:rPr>
        <w:t>otros, 2010, </w:t>
      </w:r>
      <w:r>
        <w:rPr>
          <w:color w:val="231F20"/>
          <w:spacing w:val="3"/>
        </w:rPr>
        <w:t>Ochoay </w:t>
      </w:r>
      <w:r>
        <w:rPr>
          <w:color w:val="231F20"/>
          <w:spacing w:val="2"/>
        </w:rPr>
        <w:t>Peiró </w:t>
      </w:r>
      <w:r>
        <w:rPr>
          <w:color w:val="231F20"/>
        </w:rPr>
        <w:t>I </w:t>
      </w:r>
      <w:r>
        <w:rPr>
          <w:color w:val="231F20"/>
          <w:spacing w:val="2"/>
        </w:rPr>
        <w:t>Gregori,</w:t>
      </w:r>
      <w:r>
        <w:rPr>
          <w:color w:val="231F20"/>
          <w:spacing w:val="23"/>
        </w:rPr>
        <w:t> </w:t>
      </w:r>
      <w:r>
        <w:rPr>
          <w:color w:val="231F20"/>
          <w:spacing w:val="2"/>
        </w:rPr>
        <w:t>2010).</w:t>
      </w:r>
    </w:p>
    <w:p>
      <w:pPr>
        <w:pStyle w:val="BodyText"/>
        <w:spacing w:line="249" w:lineRule="auto"/>
        <w:ind w:left="103" w:right="115" w:firstLine="284"/>
        <w:jc w:val="both"/>
      </w:pPr>
      <w:r>
        <w:rPr>
          <w:color w:val="231F20"/>
          <w:spacing w:val="3"/>
        </w:rPr>
        <w:t>Compartimos </w:t>
      </w:r>
      <w:r>
        <w:rPr>
          <w:color w:val="231F20"/>
        </w:rPr>
        <w:t>la idea de </w:t>
      </w:r>
      <w:r>
        <w:rPr>
          <w:color w:val="231F20"/>
          <w:spacing w:val="2"/>
        </w:rPr>
        <w:t>que </w:t>
      </w:r>
      <w:r>
        <w:rPr>
          <w:color w:val="231F20"/>
        </w:rPr>
        <w:t>es  </w:t>
      </w:r>
      <w:r>
        <w:rPr>
          <w:color w:val="231F20"/>
          <w:spacing w:val="2"/>
        </w:rPr>
        <w:t>necesario ubicar </w:t>
      </w:r>
      <w:r>
        <w:rPr>
          <w:color w:val="231F20"/>
        </w:rPr>
        <w:t>al  </w:t>
      </w:r>
      <w:r>
        <w:rPr>
          <w:color w:val="231F20"/>
          <w:spacing w:val="3"/>
        </w:rPr>
        <w:t>fenómeno </w:t>
      </w:r>
      <w:r>
        <w:rPr>
          <w:color w:val="231F20"/>
        </w:rPr>
        <w:t>de la </w:t>
      </w:r>
      <w:r>
        <w:rPr>
          <w:color w:val="231F20"/>
          <w:spacing w:val="2"/>
        </w:rPr>
        <w:t>violencia escolar con una perspectiva más amplia, conside- rando </w:t>
      </w:r>
      <w:r>
        <w:rPr>
          <w:color w:val="231F20"/>
        </w:rPr>
        <w:t>que </w:t>
      </w:r>
      <w:r>
        <w:rPr>
          <w:color w:val="231F20"/>
          <w:spacing w:val="3"/>
        </w:rPr>
        <w:t>específicamente </w:t>
      </w:r>
      <w:r>
        <w:rPr>
          <w:color w:val="231F20"/>
        </w:rPr>
        <w:t>en </w:t>
      </w:r>
      <w:r>
        <w:rPr>
          <w:color w:val="231F20"/>
          <w:spacing w:val="2"/>
        </w:rPr>
        <w:t>este contexto interfieren una serie  </w:t>
      </w:r>
      <w:r>
        <w:rPr>
          <w:color w:val="231F20"/>
        </w:rPr>
        <w:t>de </w:t>
      </w:r>
      <w:r>
        <w:rPr>
          <w:color w:val="231F20"/>
          <w:spacing w:val="2"/>
        </w:rPr>
        <w:t>variables </w:t>
      </w:r>
      <w:r>
        <w:rPr>
          <w:color w:val="231F20"/>
        </w:rPr>
        <w:t>y no se </w:t>
      </w:r>
      <w:r>
        <w:rPr>
          <w:color w:val="231F20"/>
          <w:spacing w:val="2"/>
        </w:rPr>
        <w:t>limita </w:t>
      </w:r>
      <w:r>
        <w:rPr>
          <w:color w:val="231F20"/>
        </w:rPr>
        <w:t>a la </w:t>
      </w:r>
      <w:r>
        <w:rPr>
          <w:color w:val="231F20"/>
          <w:spacing w:val="2"/>
        </w:rPr>
        <w:t>relación maestro </w:t>
      </w:r>
      <w:r>
        <w:rPr>
          <w:color w:val="231F20"/>
          <w:spacing w:val="3"/>
        </w:rPr>
        <w:t>alumno. </w:t>
      </w:r>
      <w:r>
        <w:rPr>
          <w:color w:val="231F20"/>
        </w:rPr>
        <w:t>A </w:t>
      </w:r>
      <w:r>
        <w:rPr>
          <w:color w:val="231F20"/>
          <w:spacing w:val="2"/>
        </w:rPr>
        <w:t>conti- nuación </w:t>
      </w:r>
      <w:r>
        <w:rPr>
          <w:color w:val="231F20"/>
        </w:rPr>
        <w:t>se </w:t>
      </w:r>
      <w:r>
        <w:rPr>
          <w:color w:val="231F20"/>
          <w:spacing w:val="3"/>
        </w:rPr>
        <w:t>exponen </w:t>
      </w:r>
      <w:r>
        <w:rPr>
          <w:color w:val="231F20"/>
          <w:spacing w:val="2"/>
        </w:rPr>
        <w:t>algunas </w:t>
      </w:r>
      <w:r>
        <w:rPr>
          <w:color w:val="231F20"/>
        </w:rPr>
        <w:t>de las </w:t>
      </w:r>
      <w:r>
        <w:rPr>
          <w:color w:val="231F20"/>
          <w:spacing w:val="2"/>
        </w:rPr>
        <w:t>variables identificadas </w:t>
      </w:r>
      <w:r>
        <w:rPr>
          <w:color w:val="231F20"/>
          <w:spacing w:val="3"/>
        </w:rPr>
        <w:t>como </w:t>
      </w:r>
      <w:r>
        <w:rPr>
          <w:color w:val="231F20"/>
          <w:spacing w:val="2"/>
        </w:rPr>
        <w:t>las </w:t>
      </w:r>
      <w:r>
        <w:rPr>
          <w:color w:val="231F20"/>
        </w:rPr>
        <w:t>de </w:t>
      </w:r>
      <w:r>
        <w:rPr>
          <w:color w:val="231F20"/>
          <w:spacing w:val="3"/>
        </w:rPr>
        <w:t>mayor </w:t>
      </w:r>
      <w:r>
        <w:rPr>
          <w:color w:val="231F20"/>
          <w:spacing w:val="2"/>
        </w:rPr>
        <w:t>influencia </w:t>
      </w:r>
      <w:r>
        <w:rPr>
          <w:color w:val="231F20"/>
        </w:rPr>
        <w:t>en la </w:t>
      </w:r>
      <w:r>
        <w:rPr>
          <w:color w:val="231F20"/>
          <w:spacing w:val="2"/>
        </w:rPr>
        <w:t>convivencia</w:t>
      </w:r>
      <w:r>
        <w:rPr>
          <w:color w:val="231F20"/>
          <w:spacing w:val="-34"/>
        </w:rPr>
        <w:t> </w:t>
      </w:r>
      <w:r>
        <w:rPr>
          <w:color w:val="231F20"/>
          <w:spacing w:val="2"/>
        </w:rPr>
        <w:t>escolar:</w:t>
      </w:r>
    </w:p>
    <w:p>
      <w:pPr>
        <w:pStyle w:val="BodyText"/>
        <w:spacing w:before="4"/>
        <w:rPr>
          <w:sz w:val="20"/>
        </w:rPr>
      </w:pPr>
    </w:p>
    <w:p>
      <w:pPr>
        <w:pStyle w:val="ListParagraph"/>
        <w:numPr>
          <w:ilvl w:val="0"/>
          <w:numId w:val="21"/>
        </w:numPr>
        <w:tabs>
          <w:tab w:pos="257" w:val="left" w:leader="none"/>
        </w:tabs>
        <w:spacing w:line="244" w:lineRule="auto" w:before="0" w:after="0"/>
        <w:ind w:left="103" w:right="114" w:firstLine="0"/>
        <w:jc w:val="both"/>
        <w:rPr>
          <w:sz w:val="21"/>
        </w:rPr>
      </w:pPr>
      <w:r>
        <w:rPr>
          <w:color w:val="231F20"/>
          <w:sz w:val="21"/>
        </w:rPr>
        <w:t>Contexto social y económico. La convivencia educativa está rela- cionada y condicionada al contexto social y económico en donde se desarrolla. Las condiciones sociales y económicas necesariamente impactan en los modelos de convivencia de las personas. En un mundo  globalizado  y  moderno,  no  solo  cambian  las  formas   de</w:t>
      </w:r>
    </w:p>
    <w:p>
      <w:pPr>
        <w:spacing w:after="0" w:line="244" w:lineRule="auto"/>
        <w:jc w:val="both"/>
        <w:rPr>
          <w:sz w:val="21"/>
        </w:rPr>
        <w:sectPr>
          <w:headerReference w:type="default" r:id="rId910"/>
          <w:footerReference w:type="default" r:id="rId911"/>
          <w:pgSz w:w="7830" w:h="11910"/>
          <w:pgMar w:header="0" w:footer="424" w:top="500" w:bottom="620" w:left="920" w:right="900"/>
          <w:pgNumType w:start="41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16"/>
        <w:jc w:val="both"/>
      </w:pPr>
      <w:r>
        <w:rPr>
          <w:color w:val="231F20"/>
        </w:rPr>
        <w:t>producción económica sino también las formas de relación entre las personas; al cambiar las formas de relación, cambian también los valores implícitos en estas relaciones, así tenemos que los valores que priman en la sociedad actual son los instrumentales y utilitarios orientados al éxito, al triunfo y a ascender en la escala social a toda costa (Peiró, 2009, Jarres, 2008).</w:t>
      </w:r>
    </w:p>
    <w:p>
      <w:pPr>
        <w:pStyle w:val="ListParagraph"/>
        <w:numPr>
          <w:ilvl w:val="0"/>
          <w:numId w:val="21"/>
        </w:numPr>
        <w:tabs>
          <w:tab w:pos="386" w:val="left" w:leader="none"/>
        </w:tabs>
        <w:spacing w:line="244" w:lineRule="auto" w:before="1" w:after="0"/>
        <w:ind w:left="102" w:right="114" w:firstLine="0"/>
        <w:jc w:val="both"/>
        <w:rPr>
          <w:sz w:val="21"/>
        </w:rPr>
      </w:pPr>
      <w:r>
        <w:rPr>
          <w:color w:val="231F20"/>
          <w:sz w:val="21"/>
        </w:rPr>
        <w:t>Relaciones interpersonales. Los estudiantes se relacionan con adultos (docentes) y con sus pares, ambos cumplen diferentes fun- ciones. En el caso de la relación con los adultos, les proporciona la seguridad necesaria para interactuar en grupo, pues es el adulto el que inicialmente marca la normativa y las tareas a seguir. Sin </w:t>
      </w:r>
      <w:r>
        <w:rPr>
          <w:color w:val="231F20"/>
          <w:spacing w:val="2"/>
          <w:sz w:val="21"/>
        </w:rPr>
        <w:t>em- </w:t>
      </w:r>
      <w:r>
        <w:rPr>
          <w:color w:val="231F20"/>
          <w:sz w:val="21"/>
        </w:rPr>
        <w:t>bargo, cuando el profesor tiene una percepción o expectativa dife- rente de los alumnos (no ajustada) pueden suscitarse las siguientes conductas por parte de este: 1) de apego hacia los alumnos que no crean problemas y tienen un buen rendimiento, 2) de indiferencia hacia alumnos pasivos, introvertidos pero que no generan proble- mas, 3) de preocupación hacia alumnos que no tienen buen rendi- miento pero que son dóciles, y 4) de rechazo hacia quienes rinden poco y son percibidos como hiperactivos u hostiles (Díaz-Aguado, 1983). Estas conductas pueden determinar el tipo de interacciones,   y esto a su vez, alterar la convivencia escolar. El alumno despliega actos con sus iguales que coadyuvan en el desarrollo social, como la comunicación, la cooperación, la elaboración de sus propias nor- mas. Además de lo anterior, los pares resultan una fuente de auto- conocimiento y autoestima, pues es a través de esta interacción que los estudiantes reciben mensajes acerca de sus habilidades, actitudes y</w:t>
      </w:r>
      <w:r>
        <w:rPr>
          <w:color w:val="231F20"/>
          <w:spacing w:val="5"/>
          <w:sz w:val="21"/>
        </w:rPr>
        <w:t> </w:t>
      </w:r>
      <w:r>
        <w:rPr>
          <w:color w:val="231F20"/>
          <w:sz w:val="21"/>
        </w:rPr>
        <w:t>conocimientos.</w:t>
      </w:r>
    </w:p>
    <w:p>
      <w:pPr>
        <w:pStyle w:val="ListParagraph"/>
        <w:numPr>
          <w:ilvl w:val="0"/>
          <w:numId w:val="21"/>
        </w:numPr>
        <w:tabs>
          <w:tab w:pos="259" w:val="left" w:leader="none"/>
        </w:tabs>
        <w:spacing w:line="247" w:lineRule="auto" w:before="0" w:after="0"/>
        <w:ind w:left="102" w:right="112" w:firstLine="0"/>
        <w:jc w:val="both"/>
        <w:rPr>
          <w:sz w:val="21"/>
        </w:rPr>
      </w:pPr>
      <w:r>
        <w:rPr>
          <w:color w:val="231F20"/>
          <w:sz w:val="21"/>
        </w:rPr>
        <w:t>Características personales. En el grupo existe una compleja diná- mica de afectos y rechazos que dificulta o posibilita el buen funcio- namiento, así como el desarrollo de habilidades sociales. En todos los grupos reconocemos alumnos que son bien aceptados por la mayoría y alumnos que son rechazados. Los niños populares gozan de amplia aceptación y prestigio entre sus pares. Esta aceptación genera sentimientos positivos para sí mismos y los demás, y favore- ce actitudes y comportamientos de cooperación y altruismo. Por el contrario, la falta de popularidad y el rechazo suelen generar dife- rentes efectos en el comportamiento de los niños. Las agresiones suelen ser una característica frecuente. Los niños aislados pueden desarrollar  sentimientos  de  inferioridad.  El  bajo  rendimiento, </w:t>
      </w:r>
      <w:r>
        <w:rPr>
          <w:color w:val="231F20"/>
          <w:spacing w:val="40"/>
          <w:sz w:val="21"/>
        </w:rPr>
        <w:t> </w:t>
      </w:r>
      <w:r>
        <w:rPr>
          <w:color w:val="231F20"/>
          <w:sz w:val="21"/>
        </w:rPr>
        <w:t>el</w:t>
      </w:r>
    </w:p>
    <w:p>
      <w:pPr>
        <w:spacing w:after="0" w:line="247" w:lineRule="auto"/>
        <w:jc w:val="both"/>
        <w:rPr>
          <w:sz w:val="21"/>
        </w:rPr>
        <w:sectPr>
          <w:headerReference w:type="default" r:id="rId912"/>
          <w:footerReference w:type="default" r:id="rId913"/>
          <w:pgSz w:w="7830" w:h="11910"/>
          <w:pgMar w:header="0" w:footer="424" w:top="500" w:bottom="620" w:left="920" w:right="900"/>
          <w:pgNumType w:start="414"/>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102" w:right="114"/>
        <w:jc w:val="both"/>
      </w:pPr>
      <w:r>
        <w:rPr>
          <w:color w:val="231F20"/>
        </w:rPr>
        <w:t>absentismo, el abandono temprano de los estudios suele estar rela- cionados con la falta de aceptación social. Otros aspectos que hay que considerar dentro de este rubro son las habilidades sociales y el desarrollo emocional que se presenta en los miembros del grupo.</w:t>
      </w:r>
    </w:p>
    <w:p>
      <w:pPr>
        <w:pStyle w:val="ListParagraph"/>
        <w:numPr>
          <w:ilvl w:val="0"/>
          <w:numId w:val="21"/>
        </w:numPr>
        <w:tabs>
          <w:tab w:pos="344" w:val="left" w:leader="none"/>
        </w:tabs>
        <w:spacing w:line="247" w:lineRule="auto" w:before="0" w:after="0"/>
        <w:ind w:left="101" w:right="115" w:firstLine="1"/>
        <w:jc w:val="both"/>
        <w:rPr>
          <w:sz w:val="21"/>
        </w:rPr>
      </w:pPr>
      <w:r>
        <w:rPr>
          <w:color w:val="231F20"/>
          <w:sz w:val="21"/>
        </w:rPr>
        <w:t>Las normas del grupo-clase. Estas pueden ser explícitas o implí- citas, pero están presentes y regulan los comportamientos en situa- ciones concretas. ¿Cómo se relacionan las normas con los valores para</w:t>
      </w:r>
      <w:r>
        <w:rPr>
          <w:color w:val="231F20"/>
          <w:spacing w:val="-5"/>
          <w:sz w:val="21"/>
        </w:rPr>
        <w:t> </w:t>
      </w:r>
      <w:r>
        <w:rPr>
          <w:color w:val="231F20"/>
          <w:sz w:val="21"/>
        </w:rPr>
        <w:t>la</w:t>
      </w:r>
      <w:r>
        <w:rPr>
          <w:color w:val="231F20"/>
          <w:spacing w:val="-5"/>
          <w:sz w:val="21"/>
        </w:rPr>
        <w:t> </w:t>
      </w:r>
      <w:r>
        <w:rPr>
          <w:color w:val="231F20"/>
          <w:sz w:val="21"/>
        </w:rPr>
        <w:t>convivencia</w:t>
      </w:r>
      <w:r>
        <w:rPr>
          <w:color w:val="231F20"/>
          <w:spacing w:val="-5"/>
          <w:sz w:val="21"/>
        </w:rPr>
        <w:t> </w:t>
      </w:r>
      <w:r>
        <w:rPr>
          <w:color w:val="231F20"/>
          <w:sz w:val="21"/>
        </w:rPr>
        <w:t>escolar?</w:t>
      </w:r>
      <w:r>
        <w:rPr>
          <w:color w:val="231F20"/>
          <w:spacing w:val="-5"/>
          <w:sz w:val="21"/>
        </w:rPr>
        <w:t> </w:t>
      </w:r>
      <w:r>
        <w:rPr>
          <w:color w:val="231F20"/>
          <w:sz w:val="21"/>
        </w:rPr>
        <w:t>Turiel</w:t>
      </w:r>
      <w:r>
        <w:rPr>
          <w:color w:val="231F20"/>
          <w:spacing w:val="-6"/>
          <w:sz w:val="21"/>
        </w:rPr>
        <w:t> </w:t>
      </w:r>
      <w:r>
        <w:rPr>
          <w:color w:val="231F20"/>
          <w:sz w:val="21"/>
        </w:rPr>
        <w:t>(1984)</w:t>
      </w:r>
      <w:r>
        <w:rPr>
          <w:color w:val="231F20"/>
          <w:spacing w:val="-6"/>
          <w:sz w:val="21"/>
        </w:rPr>
        <w:t> </w:t>
      </w:r>
      <w:r>
        <w:rPr>
          <w:color w:val="231F20"/>
          <w:sz w:val="21"/>
        </w:rPr>
        <w:t>afirma</w:t>
      </w:r>
      <w:r>
        <w:rPr>
          <w:color w:val="231F20"/>
          <w:spacing w:val="-5"/>
          <w:sz w:val="21"/>
        </w:rPr>
        <w:t> </w:t>
      </w:r>
      <w:r>
        <w:rPr>
          <w:color w:val="231F20"/>
          <w:sz w:val="21"/>
        </w:rPr>
        <w:t>que</w:t>
      </w:r>
      <w:r>
        <w:rPr>
          <w:color w:val="231F20"/>
          <w:spacing w:val="-5"/>
          <w:sz w:val="21"/>
        </w:rPr>
        <w:t> </w:t>
      </w:r>
      <w:r>
        <w:rPr>
          <w:color w:val="231F20"/>
          <w:sz w:val="21"/>
        </w:rPr>
        <w:t>el</w:t>
      </w:r>
      <w:r>
        <w:rPr>
          <w:color w:val="231F20"/>
          <w:spacing w:val="-6"/>
          <w:sz w:val="21"/>
        </w:rPr>
        <w:t> </w:t>
      </w:r>
      <w:r>
        <w:rPr>
          <w:color w:val="231F20"/>
          <w:sz w:val="21"/>
        </w:rPr>
        <w:t>conocimien- to social se da mediante las interacciones, es a través de estas que el individuo va generando modos de comprensión. Las interacciones sociales se van regulando a partir de valores y normas, el autor dis- tingue que estas normas pueden aludir a prescripciones morales (cuando hacen referencia a obligatoriedad universal, por ejemplo no causar daño físico a otros), y las que aluden a convenciones socia- les, es decir, las que tienen que ver con aspectos sociales relativos a un grupo en particular, por ejemplo, saludar de cierta manera. En   las normas de grupo-clase, se dan ambos tipos y llevan implícitos valores. Es importante apuntar que en el centro escolar existen también normas que pueden influir en la dinámica de la convivencia escolar, pues si en el centro educativo se le da prioridad a las nor- mas convencionales por encima de las normas morales, los alumnos estarán aprendiendo valores relativos solo a ese grupo social, y no valores universales, por lo que hay que tener presente esta dimen- sión para una convivencia escolar</w:t>
      </w:r>
      <w:r>
        <w:rPr>
          <w:color w:val="231F20"/>
          <w:spacing w:val="-21"/>
          <w:sz w:val="21"/>
        </w:rPr>
        <w:t> </w:t>
      </w:r>
      <w:r>
        <w:rPr>
          <w:color w:val="231F20"/>
          <w:sz w:val="21"/>
        </w:rPr>
        <w:t>adecuada.</w:t>
      </w:r>
    </w:p>
    <w:p>
      <w:pPr>
        <w:pStyle w:val="ListParagraph"/>
        <w:numPr>
          <w:ilvl w:val="0"/>
          <w:numId w:val="21"/>
        </w:numPr>
        <w:tabs>
          <w:tab w:pos="359" w:val="left" w:leader="none"/>
        </w:tabs>
        <w:spacing w:line="247" w:lineRule="auto" w:before="1" w:after="0"/>
        <w:ind w:left="101" w:right="117" w:firstLine="0"/>
        <w:jc w:val="both"/>
        <w:rPr>
          <w:sz w:val="21"/>
        </w:rPr>
      </w:pPr>
      <w:r>
        <w:rPr>
          <w:color w:val="231F20"/>
          <w:sz w:val="21"/>
        </w:rPr>
        <w:t>Las prácticas docentes. Una de las variables más importantes  para la convivencia educativa es la práctica de los docentes, pues si estas no se corresponden con los fines educativos estamos frente a una incongruencia. En palabras de Esteve (2009), el éxito o el fra- caso docente dependen de lo que el profesor haceen un entorno complejo, cambiante, dominado por tal cantidad de factores rela- cionales, sociales, emocionales e institucionales, es decir, no lo que dice hacer o lo que los documentos dicen debe hacer. Más aún en    lo que tiene que ver con los valores educativos. “No siempre los objetivos de igualdad, participación, respeto, tolerancia, equidad y no discriminación que se asignan a la escuela, en declaraciones for- males, tienen un adecuado cumplimiento y traducción a la praxis en el día a día de la educación” (Ortega, P. et al. 1996). Esteve (2009)describe algunas actitudes que pueden convertirse en aspec- tos negativos de la relación maestro-alumno: 1. Actuar con  </w:t>
      </w:r>
      <w:r>
        <w:rPr>
          <w:color w:val="231F20"/>
          <w:spacing w:val="9"/>
          <w:sz w:val="21"/>
        </w:rPr>
        <w:t> </w:t>
      </w:r>
      <w:r>
        <w:rPr>
          <w:color w:val="231F20"/>
          <w:sz w:val="21"/>
        </w:rPr>
        <w:t>rigidez.</w:t>
      </w:r>
    </w:p>
    <w:p>
      <w:pPr>
        <w:spacing w:after="0" w:line="247" w:lineRule="auto"/>
        <w:jc w:val="both"/>
        <w:rPr>
          <w:sz w:val="21"/>
        </w:rPr>
        <w:sectPr>
          <w:headerReference w:type="default" r:id="rId914"/>
          <w:footerReference w:type="default" r:id="rId915"/>
          <w:pgSz w:w="7830" w:h="11910"/>
          <w:pgMar w:header="0" w:footer="424" w:top="500" w:bottom="620" w:left="920" w:right="900"/>
          <w:pgNumType w:start="41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ListParagraph"/>
        <w:numPr>
          <w:ilvl w:val="0"/>
          <w:numId w:val="22"/>
        </w:numPr>
        <w:tabs>
          <w:tab w:pos="334" w:val="left" w:leader="none"/>
        </w:tabs>
        <w:spacing w:line="247" w:lineRule="auto" w:before="0" w:after="0"/>
        <w:ind w:left="101" w:right="118" w:firstLine="1"/>
        <w:jc w:val="both"/>
        <w:rPr>
          <w:sz w:val="21"/>
        </w:rPr>
      </w:pPr>
      <w:r>
        <w:rPr>
          <w:color w:val="231F20"/>
          <w:sz w:val="21"/>
        </w:rPr>
        <w:t>Querer imponer ideas propias. 3. Pretender determinar todos y cada uno de los detalles con máximo rigor. 4. Negarse a las peticio- nes o sugerencias. 5. Aplazar continua e indefinidamente las deci- siones. 6. No tolerar las diferencias, imponer uniformidad. 7. Cul- par a los otros. 8. Impedir o boicotear la participación. 9. Atacar la posición de otros. 10. Pasividad en la participación. 11. Insistir, reiterativamente en que se tiene la razón. 12. Mostrar antipatía e incomprensión. 13. Pretender manipular al grupo o alguno de sus miembros. 14. Ahondar las divisiones. 15. Actuar tiránicamente.   Por lo que podemos afirmar que las prácticas docentes son una variable que influye de manera determinante en la convivencia esco- lar. Martínez-Otero (2005) distingue tres estilos de profesor en cuanto a la relación que establece con sus</w:t>
      </w:r>
      <w:r>
        <w:rPr>
          <w:color w:val="231F20"/>
          <w:spacing w:val="7"/>
          <w:sz w:val="21"/>
        </w:rPr>
        <w:t> </w:t>
      </w:r>
      <w:r>
        <w:rPr>
          <w:color w:val="231F20"/>
          <w:sz w:val="21"/>
        </w:rPr>
        <w:t>alumnos:</w:t>
      </w:r>
    </w:p>
    <w:p>
      <w:pPr>
        <w:pStyle w:val="BodyText"/>
        <w:spacing w:before="8"/>
      </w:pPr>
    </w:p>
    <w:p>
      <w:pPr>
        <w:pStyle w:val="ListParagraph"/>
        <w:numPr>
          <w:ilvl w:val="1"/>
          <w:numId w:val="22"/>
        </w:numPr>
        <w:tabs>
          <w:tab w:pos="822" w:val="left" w:leader="none"/>
          <w:tab w:pos="823" w:val="left" w:leader="none"/>
        </w:tabs>
        <w:spacing w:line="247" w:lineRule="auto" w:before="0" w:after="0"/>
        <w:ind w:left="822" w:right="119" w:hanging="360"/>
        <w:jc w:val="left"/>
        <w:rPr>
          <w:sz w:val="21"/>
        </w:rPr>
      </w:pPr>
      <w:r>
        <w:rPr>
          <w:color w:val="231F20"/>
          <w:sz w:val="21"/>
        </w:rPr>
        <w:t>El profesor dominante que se encarga sobre todo de controlar (tiempos, actividades, recursos, sanciones,</w:t>
      </w:r>
      <w:r>
        <w:rPr>
          <w:color w:val="231F20"/>
          <w:spacing w:val="-10"/>
          <w:sz w:val="21"/>
        </w:rPr>
        <w:t> </w:t>
      </w:r>
      <w:r>
        <w:rPr>
          <w:color w:val="231F20"/>
          <w:sz w:val="21"/>
        </w:rPr>
        <w:t>etc.).</w:t>
      </w:r>
    </w:p>
    <w:p>
      <w:pPr>
        <w:pStyle w:val="ListParagraph"/>
        <w:numPr>
          <w:ilvl w:val="1"/>
          <w:numId w:val="22"/>
        </w:numPr>
        <w:tabs>
          <w:tab w:pos="821" w:val="left" w:leader="none"/>
          <w:tab w:pos="822" w:val="left" w:leader="none"/>
        </w:tabs>
        <w:spacing w:line="243" w:lineRule="exact" w:before="0" w:after="0"/>
        <w:ind w:left="821" w:right="0" w:hanging="359"/>
        <w:jc w:val="left"/>
        <w:rPr>
          <w:sz w:val="21"/>
        </w:rPr>
      </w:pPr>
      <w:r>
        <w:rPr>
          <w:color w:val="231F20"/>
          <w:sz w:val="21"/>
        </w:rPr>
        <w:t>El</w:t>
      </w:r>
      <w:r>
        <w:rPr>
          <w:color w:val="231F20"/>
          <w:spacing w:val="32"/>
          <w:sz w:val="21"/>
        </w:rPr>
        <w:t> </w:t>
      </w:r>
      <w:r>
        <w:rPr>
          <w:color w:val="231F20"/>
          <w:sz w:val="21"/>
        </w:rPr>
        <w:t>profesor</w:t>
      </w:r>
      <w:r>
        <w:rPr>
          <w:color w:val="231F20"/>
          <w:spacing w:val="32"/>
          <w:sz w:val="21"/>
        </w:rPr>
        <w:t> </w:t>
      </w:r>
      <w:r>
        <w:rPr>
          <w:color w:val="231F20"/>
          <w:sz w:val="21"/>
        </w:rPr>
        <w:t>que</w:t>
      </w:r>
      <w:r>
        <w:rPr>
          <w:color w:val="231F20"/>
          <w:spacing w:val="33"/>
          <w:sz w:val="21"/>
        </w:rPr>
        <w:t> </w:t>
      </w:r>
      <w:r>
        <w:rPr>
          <w:color w:val="231F20"/>
          <w:sz w:val="21"/>
        </w:rPr>
        <w:t>facilita</w:t>
      </w:r>
      <w:r>
        <w:rPr>
          <w:color w:val="231F20"/>
          <w:spacing w:val="33"/>
          <w:sz w:val="21"/>
        </w:rPr>
        <w:t> </w:t>
      </w:r>
      <w:r>
        <w:rPr>
          <w:color w:val="231F20"/>
          <w:sz w:val="21"/>
        </w:rPr>
        <w:t>la</w:t>
      </w:r>
      <w:r>
        <w:rPr>
          <w:color w:val="231F20"/>
          <w:spacing w:val="33"/>
          <w:sz w:val="21"/>
        </w:rPr>
        <w:t> </w:t>
      </w:r>
      <w:r>
        <w:rPr>
          <w:color w:val="231F20"/>
          <w:sz w:val="21"/>
        </w:rPr>
        <w:t>participación</w:t>
      </w:r>
      <w:r>
        <w:rPr>
          <w:color w:val="231F20"/>
          <w:spacing w:val="33"/>
          <w:sz w:val="21"/>
        </w:rPr>
        <w:t> </w:t>
      </w:r>
      <w:r>
        <w:rPr>
          <w:color w:val="231F20"/>
          <w:sz w:val="21"/>
        </w:rPr>
        <w:t>como</w:t>
      </w:r>
      <w:r>
        <w:rPr>
          <w:color w:val="231F20"/>
          <w:spacing w:val="33"/>
          <w:sz w:val="21"/>
        </w:rPr>
        <w:t> </w:t>
      </w:r>
      <w:r>
        <w:rPr>
          <w:color w:val="231F20"/>
          <w:sz w:val="21"/>
        </w:rPr>
        <w:t>parte</w:t>
      </w:r>
      <w:r>
        <w:rPr>
          <w:color w:val="231F20"/>
          <w:spacing w:val="33"/>
          <w:sz w:val="21"/>
        </w:rPr>
        <w:t> </w:t>
      </w:r>
      <w:r>
        <w:rPr>
          <w:color w:val="231F20"/>
          <w:sz w:val="21"/>
        </w:rPr>
        <w:t>de</w:t>
      </w:r>
      <w:r>
        <w:rPr>
          <w:color w:val="231F20"/>
          <w:spacing w:val="33"/>
          <w:sz w:val="21"/>
        </w:rPr>
        <w:t> </w:t>
      </w:r>
      <w:r>
        <w:rPr>
          <w:color w:val="231F20"/>
          <w:sz w:val="21"/>
        </w:rPr>
        <w:t>la</w:t>
      </w:r>
    </w:p>
    <w:p>
      <w:pPr>
        <w:pStyle w:val="BodyText"/>
        <w:spacing w:line="247" w:lineRule="auto" w:before="7"/>
        <w:ind w:left="821" w:right="121"/>
      </w:pPr>
      <w:r>
        <w:rPr>
          <w:color w:val="231F20"/>
        </w:rPr>
        <w:t>organización y como forma de entender el proceso de enseñanza y aprendizaje.</w:t>
      </w:r>
    </w:p>
    <w:p>
      <w:pPr>
        <w:pStyle w:val="ListParagraph"/>
        <w:numPr>
          <w:ilvl w:val="1"/>
          <w:numId w:val="22"/>
        </w:numPr>
        <w:tabs>
          <w:tab w:pos="821" w:val="left" w:leader="none"/>
          <w:tab w:pos="822" w:val="left" w:leader="none"/>
        </w:tabs>
        <w:spacing w:line="243" w:lineRule="exact" w:before="0" w:after="0"/>
        <w:ind w:left="821" w:right="0" w:hanging="360"/>
        <w:jc w:val="left"/>
        <w:rPr>
          <w:sz w:val="21"/>
        </w:rPr>
      </w:pPr>
      <w:r>
        <w:rPr>
          <w:color w:val="231F20"/>
          <w:sz w:val="21"/>
        </w:rPr>
        <w:t>El profesor que casi no influye en el grupo pues carece   </w:t>
      </w:r>
      <w:r>
        <w:rPr>
          <w:color w:val="231F20"/>
          <w:spacing w:val="15"/>
          <w:sz w:val="21"/>
        </w:rPr>
        <w:t> </w:t>
      </w:r>
      <w:r>
        <w:rPr>
          <w:color w:val="231F20"/>
          <w:sz w:val="21"/>
        </w:rPr>
        <w:t>de</w:t>
      </w:r>
    </w:p>
    <w:p>
      <w:pPr>
        <w:pStyle w:val="BodyText"/>
        <w:spacing w:line="247" w:lineRule="auto" w:before="7"/>
        <w:ind w:left="821" w:right="121"/>
      </w:pPr>
      <w:r>
        <w:rPr>
          <w:color w:val="231F20"/>
        </w:rPr>
        <w:t>organización y no es capaz de crear estructuras de aprendizaje.</w:t>
      </w:r>
    </w:p>
    <w:p>
      <w:pPr>
        <w:pStyle w:val="BodyText"/>
        <w:spacing w:before="9"/>
      </w:pPr>
    </w:p>
    <w:p>
      <w:pPr>
        <w:pStyle w:val="BodyText"/>
        <w:spacing w:line="247" w:lineRule="auto"/>
        <w:ind w:left="101" w:right="122" w:firstLine="284"/>
        <w:jc w:val="both"/>
      </w:pPr>
      <w:r>
        <w:rPr>
          <w:color w:val="231F20"/>
        </w:rPr>
        <w:t>De manera general, estos estilos de aprendizaje contribuyen a generar ambientes específicos.</w:t>
      </w:r>
    </w:p>
    <w:p>
      <w:pPr>
        <w:pStyle w:val="ListParagraph"/>
        <w:numPr>
          <w:ilvl w:val="0"/>
          <w:numId w:val="21"/>
        </w:numPr>
        <w:tabs>
          <w:tab w:pos="308" w:val="left" w:leader="none"/>
        </w:tabs>
        <w:spacing w:line="247" w:lineRule="auto" w:before="0" w:after="0"/>
        <w:ind w:left="101" w:right="116" w:firstLine="0"/>
        <w:jc w:val="both"/>
        <w:rPr>
          <w:sz w:val="21"/>
        </w:rPr>
      </w:pPr>
      <w:r>
        <w:rPr>
          <w:color w:val="231F20"/>
          <w:sz w:val="21"/>
        </w:rPr>
        <w:t>Gestión de la convivencia: Se refiere a “un conjunto de plantea- mientos educativos que tratan de guiar las actuaciones concretas   que se adoptan desde una perspectiva de centro. Su finalidad es optimizar los procesos de enseñanza y aprendizaje, afrontar los problemas de disciplina y prevenir y erradicar la violencia” (Torrego y Moreno, 2003: 13). En este sentido, Torrego (2006), distingue tres modelos de gestión de la convivencia: el punitivo, el relacional y el integrado de mejora de la</w:t>
      </w:r>
      <w:r>
        <w:rPr>
          <w:color w:val="231F20"/>
          <w:spacing w:val="-5"/>
          <w:sz w:val="21"/>
        </w:rPr>
        <w:t> </w:t>
      </w:r>
      <w:r>
        <w:rPr>
          <w:color w:val="231F20"/>
          <w:sz w:val="21"/>
        </w:rPr>
        <w:t>convivencia.</w:t>
      </w:r>
    </w:p>
    <w:p>
      <w:pPr>
        <w:pStyle w:val="BodyText"/>
        <w:spacing w:line="247" w:lineRule="auto" w:before="15"/>
        <w:ind w:left="101" w:right="120" w:firstLine="283"/>
        <w:jc w:val="both"/>
      </w:pPr>
      <w:r>
        <w:rPr>
          <w:color w:val="231F20"/>
        </w:rPr>
        <w:t>Si bien, las variables descritas anteriormente se presentan por separado para fines de exposición, en la vida cotidiana se entre- cruzan lo cual puede ocasionar conflictos de convivencia.</w:t>
      </w:r>
    </w:p>
    <w:p>
      <w:pPr>
        <w:pStyle w:val="BodyText"/>
        <w:spacing w:line="247" w:lineRule="auto" w:before="1"/>
        <w:ind w:left="101" w:right="115" w:firstLine="284"/>
        <w:jc w:val="both"/>
      </w:pPr>
      <w:r>
        <w:rPr>
          <w:color w:val="231F20"/>
        </w:rPr>
        <w:t>Varios autores (Calvo, 2003; Fernández, 2001; Monjas, 2009; Moreno, 1998; Ortega y del Rey, 2006; Torrego y Moreno,   2003;</w:t>
      </w:r>
    </w:p>
    <w:p>
      <w:pPr>
        <w:spacing w:after="0" w:line="247" w:lineRule="auto"/>
        <w:jc w:val="both"/>
        <w:sectPr>
          <w:headerReference w:type="default" r:id="rId916"/>
          <w:footerReference w:type="default" r:id="rId917"/>
          <w:pgSz w:w="7830" w:h="11910"/>
          <w:pgMar w:header="0" w:footer="424" w:top="500" w:bottom="620" w:left="920" w:right="900"/>
          <w:pgNumType w:start="41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21"/>
      </w:pPr>
      <w:r>
        <w:rPr>
          <w:color w:val="231F20"/>
        </w:rPr>
        <w:t>Torrego 2006) han desarrollado categorías a partir de las cuales se pueden analizar estos conflictos, a saber:</w:t>
      </w:r>
    </w:p>
    <w:p>
      <w:pPr>
        <w:pStyle w:val="BodyText"/>
        <w:spacing w:line="249" w:lineRule="auto" w:before="1"/>
        <w:ind w:left="102" w:right="115" w:firstLine="284"/>
        <w:jc w:val="both"/>
      </w:pPr>
      <w:r>
        <w:rPr>
          <w:color w:val="231F20"/>
          <w:spacing w:val="2"/>
        </w:rPr>
        <w:t>Disrupción: </w:t>
      </w:r>
      <w:r>
        <w:rPr>
          <w:color w:val="231F20"/>
        </w:rPr>
        <w:t>se </w:t>
      </w:r>
      <w:r>
        <w:rPr>
          <w:color w:val="231F20"/>
          <w:spacing w:val="2"/>
        </w:rPr>
        <w:t>refiere </w:t>
      </w:r>
      <w:r>
        <w:rPr>
          <w:color w:val="231F20"/>
        </w:rPr>
        <w:t>a las </w:t>
      </w:r>
      <w:r>
        <w:rPr>
          <w:color w:val="231F20"/>
          <w:spacing w:val="2"/>
        </w:rPr>
        <w:t>conductas inapropiadas, que </w:t>
      </w:r>
      <w:r>
        <w:rPr>
          <w:color w:val="231F20"/>
        </w:rPr>
        <w:t>se </w:t>
      </w:r>
      <w:r>
        <w:rPr>
          <w:color w:val="231F20"/>
          <w:spacing w:val="2"/>
        </w:rPr>
        <w:t>producen </w:t>
      </w:r>
      <w:r>
        <w:rPr>
          <w:color w:val="231F20"/>
        </w:rPr>
        <w:t>en el </w:t>
      </w:r>
      <w:r>
        <w:rPr>
          <w:color w:val="231F20"/>
          <w:spacing w:val="2"/>
        </w:rPr>
        <w:t>aula, </w:t>
      </w:r>
      <w:r>
        <w:rPr>
          <w:color w:val="231F20"/>
          <w:spacing w:val="3"/>
        </w:rPr>
        <w:t>protagonizadas </w:t>
      </w:r>
      <w:r>
        <w:rPr>
          <w:color w:val="231F20"/>
          <w:spacing w:val="2"/>
        </w:rPr>
        <w:t>por los </w:t>
      </w:r>
      <w:r>
        <w:rPr>
          <w:color w:val="231F20"/>
          <w:spacing w:val="3"/>
        </w:rPr>
        <w:t>alumnos </w:t>
      </w:r>
      <w:r>
        <w:rPr>
          <w:color w:val="231F20"/>
        </w:rPr>
        <w:t>y </w:t>
      </w:r>
      <w:r>
        <w:rPr>
          <w:color w:val="231F20"/>
          <w:spacing w:val="2"/>
        </w:rPr>
        <w:t>que impi- den </w:t>
      </w:r>
      <w:r>
        <w:rPr>
          <w:color w:val="231F20"/>
        </w:rPr>
        <w:t>el </w:t>
      </w:r>
      <w:r>
        <w:rPr>
          <w:color w:val="231F20"/>
          <w:spacing w:val="2"/>
        </w:rPr>
        <w:t>desarrollo </w:t>
      </w:r>
      <w:r>
        <w:rPr>
          <w:color w:val="231F20"/>
          <w:spacing w:val="3"/>
        </w:rPr>
        <w:t>normal </w:t>
      </w:r>
      <w:r>
        <w:rPr>
          <w:color w:val="231F20"/>
        </w:rPr>
        <w:t>de la </w:t>
      </w:r>
      <w:r>
        <w:rPr>
          <w:color w:val="231F20"/>
          <w:spacing w:val="2"/>
        </w:rPr>
        <w:t>actividad educativa (ruido </w:t>
      </w:r>
      <w:r>
        <w:rPr>
          <w:color w:val="231F20"/>
          <w:spacing w:val="3"/>
        </w:rPr>
        <w:t>perma- </w:t>
      </w:r>
      <w:r>
        <w:rPr>
          <w:color w:val="231F20"/>
          <w:spacing w:val="2"/>
        </w:rPr>
        <w:t>nente, interrupciones, risas, </w:t>
      </w:r>
      <w:r>
        <w:rPr>
          <w:color w:val="231F20"/>
          <w:spacing w:val="3"/>
        </w:rPr>
        <w:t>movimientos). Representa </w:t>
      </w:r>
      <w:r>
        <w:rPr>
          <w:color w:val="231F20"/>
        </w:rPr>
        <w:t>un </w:t>
      </w:r>
      <w:r>
        <w:rPr>
          <w:color w:val="231F20"/>
          <w:spacing w:val="4"/>
        </w:rPr>
        <w:t>pro- </w:t>
      </w:r>
      <w:r>
        <w:rPr>
          <w:color w:val="231F20"/>
          <w:spacing w:val="2"/>
        </w:rPr>
        <w:t>blema pues </w:t>
      </w:r>
      <w:r>
        <w:rPr>
          <w:color w:val="231F20"/>
          <w:spacing w:val="3"/>
        </w:rPr>
        <w:t>supone </w:t>
      </w:r>
      <w:r>
        <w:rPr>
          <w:color w:val="231F20"/>
          <w:spacing w:val="2"/>
        </w:rPr>
        <w:t>una pérdida </w:t>
      </w:r>
      <w:r>
        <w:rPr>
          <w:color w:val="231F20"/>
        </w:rPr>
        <w:t>de  </w:t>
      </w:r>
      <w:r>
        <w:rPr>
          <w:color w:val="231F20"/>
          <w:spacing w:val="3"/>
        </w:rPr>
        <w:t>tiempo, </w:t>
      </w:r>
      <w:r>
        <w:rPr>
          <w:color w:val="231F20"/>
        </w:rPr>
        <w:t>se  </w:t>
      </w:r>
      <w:r>
        <w:rPr>
          <w:color w:val="231F20"/>
          <w:spacing w:val="2"/>
        </w:rPr>
        <w:t>interpreta  </w:t>
      </w:r>
      <w:r>
        <w:rPr>
          <w:color w:val="231F20"/>
          <w:spacing w:val="3"/>
        </w:rPr>
        <w:t>como  </w:t>
      </w:r>
      <w:r>
        <w:rPr>
          <w:color w:val="231F20"/>
          <w:spacing w:val="2"/>
        </w:rPr>
        <w:t>una falta </w:t>
      </w:r>
      <w:r>
        <w:rPr>
          <w:color w:val="231F20"/>
        </w:rPr>
        <w:t>de </w:t>
      </w:r>
      <w:r>
        <w:rPr>
          <w:color w:val="231F20"/>
          <w:spacing w:val="2"/>
        </w:rPr>
        <w:t>disciplina </w:t>
      </w:r>
      <w:r>
        <w:rPr>
          <w:color w:val="231F20"/>
        </w:rPr>
        <w:t>y </w:t>
      </w:r>
      <w:r>
        <w:rPr>
          <w:color w:val="231F20"/>
          <w:spacing w:val="2"/>
        </w:rPr>
        <w:t>produce </w:t>
      </w:r>
      <w:r>
        <w:rPr>
          <w:color w:val="231F20"/>
          <w:spacing w:val="3"/>
        </w:rPr>
        <w:t>mayor </w:t>
      </w:r>
      <w:r>
        <w:rPr>
          <w:color w:val="231F20"/>
          <w:spacing w:val="2"/>
        </w:rPr>
        <w:t>índice </w:t>
      </w:r>
      <w:r>
        <w:rPr>
          <w:color w:val="231F20"/>
        </w:rPr>
        <w:t>del </w:t>
      </w:r>
      <w:r>
        <w:rPr>
          <w:color w:val="231F20"/>
          <w:spacing w:val="2"/>
        </w:rPr>
        <w:t>fracaso </w:t>
      </w:r>
      <w:r>
        <w:rPr>
          <w:color w:val="231F20"/>
          <w:spacing w:val="3"/>
        </w:rPr>
        <w:t>escolar </w:t>
      </w:r>
      <w:r>
        <w:rPr>
          <w:color w:val="231F20"/>
          <w:spacing w:val="2"/>
        </w:rPr>
        <w:t>individual </w:t>
      </w:r>
      <w:r>
        <w:rPr>
          <w:color w:val="231F20"/>
        </w:rPr>
        <w:t>y </w:t>
      </w:r>
      <w:r>
        <w:rPr>
          <w:color w:val="231F20"/>
          <w:spacing w:val="2"/>
        </w:rPr>
        <w:t>grupal; distancia </w:t>
      </w:r>
      <w:r>
        <w:rPr>
          <w:color w:val="231F20"/>
          <w:spacing w:val="3"/>
        </w:rPr>
        <w:t>emocionalmente </w:t>
      </w:r>
      <w:r>
        <w:rPr>
          <w:color w:val="231F20"/>
        </w:rPr>
        <w:t>a </w:t>
      </w:r>
      <w:r>
        <w:rPr>
          <w:color w:val="231F20"/>
          <w:spacing w:val="2"/>
        </w:rPr>
        <w:t>los </w:t>
      </w:r>
      <w:r>
        <w:rPr>
          <w:color w:val="231F20"/>
          <w:spacing w:val="3"/>
        </w:rPr>
        <w:t>alumnos </w:t>
      </w:r>
      <w:r>
        <w:rPr>
          <w:color w:val="231F20"/>
        </w:rPr>
        <w:t>y </w:t>
      </w:r>
      <w:r>
        <w:rPr>
          <w:color w:val="231F20"/>
          <w:spacing w:val="3"/>
        </w:rPr>
        <w:t>profesores </w:t>
      </w:r>
      <w:r>
        <w:rPr>
          <w:color w:val="231F20"/>
          <w:spacing w:val="2"/>
        </w:rPr>
        <w:t>dificultando </w:t>
      </w:r>
      <w:r>
        <w:rPr>
          <w:color w:val="231F20"/>
        </w:rPr>
        <w:t>las </w:t>
      </w:r>
      <w:r>
        <w:rPr>
          <w:color w:val="231F20"/>
          <w:spacing w:val="2"/>
        </w:rPr>
        <w:t>relaciones interpersonales </w:t>
      </w:r>
      <w:r>
        <w:rPr>
          <w:color w:val="231F20"/>
        </w:rPr>
        <w:t>en el </w:t>
      </w:r>
      <w:r>
        <w:rPr>
          <w:color w:val="231F20"/>
          <w:spacing w:val="2"/>
        </w:rPr>
        <w:t>aula. Este </w:t>
      </w:r>
      <w:r>
        <w:rPr>
          <w:color w:val="231F20"/>
        </w:rPr>
        <w:t>es un </w:t>
      </w:r>
      <w:r>
        <w:rPr>
          <w:color w:val="231F20"/>
          <w:spacing w:val="3"/>
        </w:rPr>
        <w:t>problema </w:t>
      </w:r>
      <w:r>
        <w:rPr>
          <w:color w:val="231F20"/>
        </w:rPr>
        <w:t>que </w:t>
      </w:r>
      <w:r>
        <w:rPr>
          <w:color w:val="231F20"/>
          <w:spacing w:val="2"/>
        </w:rPr>
        <w:t>suele desestabilizar tanto </w:t>
      </w:r>
      <w:r>
        <w:rPr>
          <w:color w:val="231F20"/>
        </w:rPr>
        <w:t>a </w:t>
      </w:r>
      <w:r>
        <w:rPr>
          <w:color w:val="231F20"/>
          <w:spacing w:val="3"/>
        </w:rPr>
        <w:t>estudiantes como </w:t>
      </w:r>
      <w:r>
        <w:rPr>
          <w:color w:val="231F20"/>
        </w:rPr>
        <w:t>a </w:t>
      </w:r>
      <w:r>
        <w:rPr>
          <w:color w:val="231F20"/>
          <w:spacing w:val="3"/>
        </w:rPr>
        <w:t>maestros (Fernández-Balboa, </w:t>
      </w:r>
      <w:r>
        <w:rPr>
          <w:color w:val="231F20"/>
          <w:spacing w:val="2"/>
        </w:rPr>
        <w:t>1991; Esteve,</w:t>
      </w:r>
      <w:r>
        <w:rPr>
          <w:color w:val="231F20"/>
          <w:spacing w:val="-29"/>
        </w:rPr>
        <w:t> </w:t>
      </w:r>
      <w:r>
        <w:rPr>
          <w:color w:val="231F20"/>
          <w:spacing w:val="3"/>
        </w:rPr>
        <w:t>2006).</w:t>
      </w:r>
    </w:p>
    <w:p>
      <w:pPr>
        <w:pStyle w:val="BodyText"/>
        <w:spacing w:line="247" w:lineRule="auto"/>
        <w:ind w:left="102" w:right="115" w:firstLine="283"/>
        <w:jc w:val="both"/>
      </w:pPr>
      <w:r>
        <w:rPr>
          <w:color w:val="231F20"/>
        </w:rPr>
        <w:t>Indisciplina: Implica la trasgresión a las normas de la institu- ción y suele provocar conflictos interpersonales (incumplimiento de tareas, incumplimiento de horarios, consumo de tabaco, indu- mentaria inadecuada).</w:t>
      </w:r>
    </w:p>
    <w:p>
      <w:pPr>
        <w:pStyle w:val="BodyText"/>
        <w:spacing w:line="249" w:lineRule="auto" w:before="1"/>
        <w:ind w:left="102" w:right="115" w:firstLine="284"/>
        <w:jc w:val="both"/>
      </w:pPr>
      <w:r>
        <w:rPr>
          <w:color w:val="231F20"/>
        </w:rPr>
        <w:t>Acoso (</w:t>
      </w:r>
      <w:r>
        <w:rPr>
          <w:i/>
          <w:color w:val="231F20"/>
        </w:rPr>
        <w:t>bullying</w:t>
      </w:r>
      <w:r>
        <w:rPr>
          <w:color w:val="231F20"/>
        </w:rPr>
        <w:t>): Refiere al maltrato reiterado dirigido a un compañero que no se defiende o pocas veces lo hace. Supone un comportamiento violento que muchas veces es practicado en gru- po y pasa inadvertido por los adultos (intimidación, exclusión social, poner apodos, esconder cosas, golpes, rumores).</w:t>
      </w:r>
    </w:p>
    <w:p>
      <w:pPr>
        <w:pStyle w:val="BodyText"/>
        <w:spacing w:line="247" w:lineRule="auto"/>
        <w:ind w:left="102" w:right="115" w:firstLine="284"/>
        <w:jc w:val="both"/>
      </w:pPr>
      <w:r>
        <w:rPr>
          <w:color w:val="231F20"/>
        </w:rPr>
        <w:t>Absentismo y deserción escolar: Se refiere a la falta de asisten- cia de los alumnos o las alumnas a la escuela. Esta falta de asisten- cia puede ser intermitente, inicial o total. Aumenta las posibilida- des de deserción y fracaso escolar.</w:t>
      </w:r>
    </w:p>
    <w:p>
      <w:pPr>
        <w:pStyle w:val="BodyText"/>
        <w:spacing w:line="247" w:lineRule="auto" w:before="1"/>
        <w:ind w:left="102" w:right="115" w:firstLine="284"/>
        <w:jc w:val="both"/>
      </w:pPr>
      <w:r>
        <w:rPr>
          <w:color w:val="231F20"/>
        </w:rPr>
        <w:t>Vandalismo: Se refiere a un acto de violencia física hacia la es- cuela, sus instalaciones y material en general.</w:t>
      </w:r>
    </w:p>
    <w:p>
      <w:pPr>
        <w:pStyle w:val="BodyText"/>
        <w:spacing w:line="247" w:lineRule="auto" w:before="1"/>
        <w:ind w:left="102" w:right="120" w:firstLine="284"/>
        <w:jc w:val="both"/>
      </w:pPr>
      <w:r>
        <w:rPr>
          <w:color w:val="231F20"/>
        </w:rPr>
        <w:t>Corrupción: Comportamientos que atentan contra la legalidad dentro de la vida escolar (copiar, plagio, tráfico de influencias).</w:t>
      </w:r>
    </w:p>
    <w:p>
      <w:pPr>
        <w:pStyle w:val="BodyText"/>
        <w:spacing w:line="247" w:lineRule="auto" w:before="6"/>
        <w:ind w:left="102" w:right="119" w:firstLine="284"/>
        <w:jc w:val="both"/>
      </w:pPr>
      <w:r>
        <w:rPr>
          <w:color w:val="231F20"/>
          <w:spacing w:val="3"/>
        </w:rPr>
        <w:t>Desmotivación: </w:t>
      </w:r>
      <w:r>
        <w:rPr>
          <w:color w:val="231F20"/>
        </w:rPr>
        <w:t>La </w:t>
      </w:r>
      <w:r>
        <w:rPr>
          <w:color w:val="231F20"/>
          <w:spacing w:val="2"/>
        </w:rPr>
        <w:t>falta </w:t>
      </w:r>
      <w:r>
        <w:rPr>
          <w:color w:val="231F20"/>
        </w:rPr>
        <w:t>de </w:t>
      </w:r>
      <w:r>
        <w:rPr>
          <w:color w:val="231F20"/>
          <w:spacing w:val="2"/>
        </w:rPr>
        <w:t>implicación, desgano </w:t>
      </w:r>
      <w:r>
        <w:rPr>
          <w:color w:val="231F20"/>
        </w:rPr>
        <w:t>o </w:t>
      </w:r>
      <w:r>
        <w:rPr>
          <w:color w:val="231F20"/>
          <w:spacing w:val="2"/>
        </w:rPr>
        <w:t>desinterés </w:t>
      </w:r>
      <w:r>
        <w:rPr>
          <w:color w:val="231F20"/>
        </w:rPr>
        <w:t>en el </w:t>
      </w:r>
      <w:r>
        <w:rPr>
          <w:color w:val="231F20"/>
          <w:spacing w:val="2"/>
        </w:rPr>
        <w:t>proceso </w:t>
      </w:r>
      <w:r>
        <w:rPr>
          <w:color w:val="231F20"/>
        </w:rPr>
        <w:t>de </w:t>
      </w:r>
      <w:r>
        <w:rPr>
          <w:color w:val="231F20"/>
          <w:spacing w:val="3"/>
        </w:rPr>
        <w:t>enseñanza </w:t>
      </w:r>
      <w:r>
        <w:rPr>
          <w:color w:val="231F20"/>
        </w:rPr>
        <w:t>y</w:t>
      </w:r>
      <w:r>
        <w:rPr>
          <w:color w:val="231F20"/>
          <w:spacing w:val="19"/>
        </w:rPr>
        <w:t> </w:t>
      </w:r>
      <w:r>
        <w:rPr>
          <w:color w:val="231F20"/>
          <w:spacing w:val="2"/>
        </w:rPr>
        <w:t>aprendizaje.</w:t>
      </w:r>
    </w:p>
    <w:p>
      <w:pPr>
        <w:pStyle w:val="BodyText"/>
        <w:spacing w:line="247" w:lineRule="auto" w:before="1"/>
        <w:ind w:left="102" w:right="115" w:firstLine="283"/>
        <w:jc w:val="both"/>
      </w:pPr>
      <w:r>
        <w:rPr>
          <w:color w:val="231F20"/>
        </w:rPr>
        <w:t>Siguiendo a Martínez-Otero (2005) podemos afirmar que aun- que la convivencia es una condición para desarrollar la labor edu- cativa, los conflictos que pueden suceder muchas veces dificultan la labor formativa de los docentes y de la institución.</w:t>
      </w:r>
    </w:p>
    <w:p>
      <w:pPr>
        <w:pStyle w:val="BodyText"/>
        <w:spacing w:line="247" w:lineRule="auto" w:before="1"/>
        <w:ind w:left="102" w:right="115" w:firstLine="283"/>
        <w:jc w:val="both"/>
      </w:pPr>
      <w:r>
        <w:rPr>
          <w:color w:val="231F20"/>
        </w:rPr>
        <w:t>Así, coincidimos con Martín y otros (2003) en definir el clima de convivencia como “las relaciones interpersonales que contribu- yen a un clima positivo en el que la resolución de los problemas permite avanzar a las personas y a la institución”.</w:t>
      </w:r>
    </w:p>
    <w:p>
      <w:pPr>
        <w:spacing w:after="0" w:line="247" w:lineRule="auto"/>
        <w:jc w:val="both"/>
        <w:sectPr>
          <w:headerReference w:type="default" r:id="rId918"/>
          <w:footerReference w:type="default" r:id="rId919"/>
          <w:pgSz w:w="7830" w:h="11910"/>
          <w:pgMar w:header="0" w:footer="424" w:top="500" w:bottom="620" w:left="920" w:right="900"/>
          <w:pgNumType w:start="417"/>
        </w:sectPr>
      </w:pPr>
    </w:p>
    <w:p>
      <w:pPr>
        <w:spacing w:before="46"/>
        <w:ind w:left="102" w:right="116"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2" w:right="116" w:firstLine="284"/>
        <w:jc w:val="both"/>
      </w:pPr>
      <w:r>
        <w:rPr>
          <w:color w:val="231F20"/>
          <w:spacing w:val="2"/>
        </w:rPr>
        <w:t>Por </w:t>
      </w:r>
      <w:r>
        <w:rPr>
          <w:color w:val="231F20"/>
        </w:rPr>
        <w:t>lo </w:t>
      </w:r>
      <w:r>
        <w:rPr>
          <w:color w:val="231F20"/>
          <w:spacing w:val="2"/>
        </w:rPr>
        <w:t>anterior, </w:t>
      </w:r>
      <w:r>
        <w:rPr>
          <w:color w:val="231F20"/>
          <w:spacing w:val="3"/>
        </w:rPr>
        <w:t>consideramos </w:t>
      </w:r>
      <w:r>
        <w:rPr>
          <w:color w:val="231F20"/>
        </w:rPr>
        <w:t>de </w:t>
      </w:r>
      <w:r>
        <w:rPr>
          <w:color w:val="231F20"/>
          <w:spacing w:val="2"/>
        </w:rPr>
        <w:t>especial </w:t>
      </w:r>
      <w:r>
        <w:rPr>
          <w:color w:val="231F20"/>
          <w:spacing w:val="3"/>
        </w:rPr>
        <w:t>importancia indagar </w:t>
      </w:r>
      <w:r>
        <w:rPr>
          <w:color w:val="231F20"/>
          <w:spacing w:val="2"/>
        </w:rPr>
        <w:t>acerca </w:t>
      </w:r>
      <w:r>
        <w:rPr>
          <w:color w:val="231F20"/>
        </w:rPr>
        <w:t>de las </w:t>
      </w:r>
      <w:r>
        <w:rPr>
          <w:color w:val="231F20"/>
          <w:spacing w:val="3"/>
        </w:rPr>
        <w:t>percepciones </w:t>
      </w:r>
      <w:r>
        <w:rPr>
          <w:color w:val="231F20"/>
        </w:rPr>
        <w:t>de </w:t>
      </w:r>
      <w:r>
        <w:rPr>
          <w:color w:val="231F20"/>
          <w:spacing w:val="2"/>
        </w:rPr>
        <w:t>los estudiantes </w:t>
      </w:r>
      <w:r>
        <w:rPr>
          <w:color w:val="231F20"/>
        </w:rPr>
        <w:t>y de las </w:t>
      </w:r>
      <w:r>
        <w:rPr>
          <w:color w:val="231F20"/>
          <w:spacing w:val="2"/>
        </w:rPr>
        <w:t>situaciones </w:t>
      </w:r>
      <w:r>
        <w:rPr>
          <w:color w:val="231F20"/>
        </w:rPr>
        <w:t>que </w:t>
      </w:r>
      <w:r>
        <w:rPr>
          <w:color w:val="231F20"/>
          <w:spacing w:val="2"/>
        </w:rPr>
        <w:t>alteran </w:t>
      </w:r>
      <w:r>
        <w:rPr>
          <w:color w:val="231F20"/>
        </w:rPr>
        <w:t>la </w:t>
      </w:r>
      <w:r>
        <w:rPr>
          <w:color w:val="231F20"/>
          <w:spacing w:val="2"/>
        </w:rPr>
        <w:t>convivencia escolar. Para realizarlo, </w:t>
      </w:r>
      <w:r>
        <w:rPr>
          <w:color w:val="231F20"/>
        </w:rPr>
        <w:t>se les </w:t>
      </w:r>
      <w:r>
        <w:rPr>
          <w:color w:val="231F20"/>
          <w:spacing w:val="2"/>
        </w:rPr>
        <w:t>preguntó   </w:t>
      </w:r>
      <w:r>
        <w:rPr>
          <w:color w:val="231F20"/>
        </w:rPr>
        <w:t>a </w:t>
      </w:r>
      <w:r>
        <w:rPr>
          <w:color w:val="231F20"/>
          <w:spacing w:val="2"/>
        </w:rPr>
        <w:t>los adolescentes sobre </w:t>
      </w:r>
      <w:r>
        <w:rPr>
          <w:color w:val="231F20"/>
        </w:rPr>
        <w:t>qué </w:t>
      </w:r>
      <w:r>
        <w:rPr>
          <w:color w:val="231F20"/>
          <w:spacing w:val="2"/>
        </w:rPr>
        <w:t>aspectos </w:t>
      </w:r>
      <w:r>
        <w:rPr>
          <w:color w:val="231F20"/>
        </w:rPr>
        <w:t>que </w:t>
      </w:r>
      <w:r>
        <w:rPr>
          <w:color w:val="231F20"/>
          <w:spacing w:val="2"/>
        </w:rPr>
        <w:t>hacen </w:t>
      </w:r>
      <w:r>
        <w:rPr>
          <w:color w:val="231F20"/>
        </w:rPr>
        <w:t>o </w:t>
      </w:r>
      <w:r>
        <w:rPr>
          <w:color w:val="231F20"/>
          <w:spacing w:val="2"/>
        </w:rPr>
        <w:t>dicen </w:t>
      </w:r>
      <w:r>
        <w:rPr>
          <w:color w:val="231F20"/>
        </w:rPr>
        <w:t>en la </w:t>
      </w:r>
      <w:r>
        <w:rPr>
          <w:color w:val="231F20"/>
          <w:spacing w:val="2"/>
        </w:rPr>
        <w:t>escuela </w:t>
      </w:r>
      <w:r>
        <w:rPr>
          <w:color w:val="231F20"/>
        </w:rPr>
        <w:t>no les </w:t>
      </w:r>
      <w:r>
        <w:rPr>
          <w:color w:val="231F20"/>
          <w:spacing w:val="2"/>
        </w:rPr>
        <w:t>gustan. Este </w:t>
      </w:r>
      <w:r>
        <w:rPr>
          <w:color w:val="231F20"/>
          <w:spacing w:val="3"/>
        </w:rPr>
        <w:t>enfoque </w:t>
      </w:r>
      <w:r>
        <w:rPr>
          <w:color w:val="231F20"/>
        </w:rPr>
        <w:t>se </w:t>
      </w:r>
      <w:r>
        <w:rPr>
          <w:color w:val="231F20"/>
          <w:spacing w:val="2"/>
        </w:rPr>
        <w:t>siguió con </w:t>
      </w:r>
      <w:r>
        <w:rPr>
          <w:color w:val="231F20"/>
        </w:rPr>
        <w:t>el </w:t>
      </w:r>
      <w:r>
        <w:rPr>
          <w:color w:val="231F20"/>
          <w:spacing w:val="3"/>
        </w:rPr>
        <w:t>propósito </w:t>
      </w:r>
      <w:r>
        <w:rPr>
          <w:color w:val="231F20"/>
        </w:rPr>
        <w:t>de  no </w:t>
      </w:r>
      <w:r>
        <w:rPr>
          <w:color w:val="231F20"/>
          <w:spacing w:val="2"/>
        </w:rPr>
        <w:t>inducir </w:t>
      </w:r>
      <w:r>
        <w:rPr>
          <w:color w:val="231F20"/>
        </w:rPr>
        <w:t>la </w:t>
      </w:r>
      <w:r>
        <w:rPr>
          <w:color w:val="231F20"/>
          <w:spacing w:val="2"/>
        </w:rPr>
        <w:t>respuesta </w:t>
      </w:r>
      <w:r>
        <w:rPr>
          <w:color w:val="231F20"/>
        </w:rPr>
        <w:t>al </w:t>
      </w:r>
      <w:r>
        <w:rPr>
          <w:color w:val="231F20"/>
          <w:spacing w:val="3"/>
        </w:rPr>
        <w:t>mencionar </w:t>
      </w:r>
      <w:r>
        <w:rPr>
          <w:color w:val="231F20"/>
        </w:rPr>
        <w:t>la </w:t>
      </w:r>
      <w:r>
        <w:rPr>
          <w:color w:val="231F20"/>
          <w:spacing w:val="2"/>
        </w:rPr>
        <w:t>palabra </w:t>
      </w:r>
      <w:r>
        <w:rPr>
          <w:color w:val="231F20"/>
          <w:spacing w:val="3"/>
        </w:rPr>
        <w:t>conflicto, proble- </w:t>
      </w:r>
      <w:r>
        <w:rPr>
          <w:color w:val="231F20"/>
          <w:spacing w:val="2"/>
        </w:rPr>
        <w:t>ma </w:t>
      </w:r>
      <w:r>
        <w:rPr>
          <w:color w:val="231F20"/>
        </w:rPr>
        <w:t>o</w:t>
      </w:r>
      <w:r>
        <w:rPr>
          <w:color w:val="231F20"/>
          <w:spacing w:val="-17"/>
        </w:rPr>
        <w:t> </w:t>
      </w:r>
      <w:r>
        <w:rPr>
          <w:color w:val="231F20"/>
          <w:spacing w:val="2"/>
        </w:rPr>
        <w:t>violencia.</w:t>
      </w:r>
    </w:p>
    <w:p>
      <w:pPr>
        <w:pStyle w:val="BodyText"/>
        <w:spacing w:before="7"/>
      </w:pPr>
    </w:p>
    <w:p>
      <w:pPr>
        <w:pStyle w:val="BodyText"/>
        <w:ind w:left="102"/>
        <w:jc w:val="both"/>
      </w:pPr>
      <w:r>
        <w:rPr>
          <w:color w:val="231F20"/>
          <w:w w:val="105"/>
        </w:rPr>
        <w:t>METODOLOGÍA Y PROCEDIMIENTO</w:t>
      </w:r>
    </w:p>
    <w:p>
      <w:pPr>
        <w:pStyle w:val="BodyText"/>
        <w:spacing w:before="1"/>
      </w:pPr>
    </w:p>
    <w:p>
      <w:pPr>
        <w:pStyle w:val="BodyText"/>
        <w:spacing w:line="247" w:lineRule="auto" w:before="1"/>
        <w:ind w:left="102" w:right="117"/>
        <w:jc w:val="both"/>
      </w:pPr>
      <w:r>
        <w:rPr>
          <w:color w:val="231F20"/>
        </w:rPr>
        <w:t>Se realizó un estudio exploratorio de diseño no experimental de corte transversal, con los siguientes</w:t>
      </w:r>
      <w:r>
        <w:rPr>
          <w:color w:val="231F20"/>
          <w:spacing w:val="-8"/>
        </w:rPr>
        <w:t> </w:t>
      </w:r>
      <w:r>
        <w:rPr>
          <w:color w:val="231F20"/>
        </w:rPr>
        <w:t>objetivos:</w:t>
      </w:r>
    </w:p>
    <w:p>
      <w:pPr>
        <w:pStyle w:val="ListParagraph"/>
        <w:numPr>
          <w:ilvl w:val="0"/>
          <w:numId w:val="23"/>
        </w:numPr>
        <w:tabs>
          <w:tab w:pos="274" w:val="left" w:leader="none"/>
        </w:tabs>
        <w:spacing w:line="247" w:lineRule="auto" w:before="0" w:after="0"/>
        <w:ind w:left="101" w:right="116" w:firstLine="1"/>
        <w:jc w:val="both"/>
        <w:rPr>
          <w:sz w:val="21"/>
        </w:rPr>
      </w:pPr>
      <w:r>
        <w:rPr>
          <w:color w:val="231F20"/>
          <w:sz w:val="21"/>
        </w:rPr>
        <w:t>Conocer las percepciones de los adolescentes acerca de las situa- ciones que generan una convivencia escolar</w:t>
      </w:r>
      <w:r>
        <w:rPr>
          <w:color w:val="231F20"/>
          <w:spacing w:val="-11"/>
          <w:sz w:val="21"/>
        </w:rPr>
        <w:t> </w:t>
      </w:r>
      <w:r>
        <w:rPr>
          <w:color w:val="231F20"/>
          <w:sz w:val="21"/>
        </w:rPr>
        <w:t>inadecuada.</w:t>
      </w:r>
    </w:p>
    <w:p>
      <w:pPr>
        <w:pStyle w:val="ListParagraph"/>
        <w:numPr>
          <w:ilvl w:val="0"/>
          <w:numId w:val="23"/>
        </w:numPr>
        <w:tabs>
          <w:tab w:pos="274" w:val="left" w:leader="none"/>
        </w:tabs>
        <w:spacing w:line="244" w:lineRule="auto" w:before="0" w:after="0"/>
        <w:ind w:left="101" w:right="117" w:firstLine="0"/>
        <w:jc w:val="both"/>
        <w:rPr>
          <w:sz w:val="21"/>
        </w:rPr>
      </w:pPr>
      <w:r>
        <w:rPr>
          <w:color w:val="231F20"/>
          <w:sz w:val="21"/>
        </w:rPr>
        <w:t>Analizar posibles semejanzas o diferencias de las percepciones de las interacciones maestro-alumno en dos grupos de estudiantes pertenecientes a dos grupos culturales</w:t>
      </w:r>
      <w:r>
        <w:rPr>
          <w:color w:val="231F20"/>
          <w:spacing w:val="28"/>
          <w:sz w:val="21"/>
        </w:rPr>
        <w:t> </w:t>
      </w:r>
      <w:r>
        <w:rPr>
          <w:color w:val="231F20"/>
          <w:sz w:val="21"/>
        </w:rPr>
        <w:t>distintos.</w:t>
      </w:r>
    </w:p>
    <w:p>
      <w:pPr>
        <w:pStyle w:val="ListParagraph"/>
        <w:numPr>
          <w:ilvl w:val="0"/>
          <w:numId w:val="23"/>
        </w:numPr>
        <w:tabs>
          <w:tab w:pos="274" w:val="left" w:leader="none"/>
        </w:tabs>
        <w:spacing w:line="242" w:lineRule="auto" w:before="3" w:after="0"/>
        <w:ind w:left="101" w:right="119" w:firstLine="0"/>
        <w:jc w:val="both"/>
        <w:rPr>
          <w:sz w:val="21"/>
        </w:rPr>
      </w:pPr>
      <w:r>
        <w:rPr>
          <w:color w:val="231F20"/>
          <w:sz w:val="21"/>
        </w:rPr>
        <w:t>Contrastar el uso de técnicas de investigación para indagar esta problemática.</w:t>
      </w:r>
    </w:p>
    <w:p>
      <w:pPr>
        <w:pStyle w:val="BodyText"/>
        <w:spacing w:before="2"/>
        <w:rPr>
          <w:sz w:val="22"/>
        </w:rPr>
      </w:pPr>
    </w:p>
    <w:p>
      <w:pPr>
        <w:spacing w:before="0"/>
        <w:ind w:left="101" w:right="0" w:firstLine="0"/>
        <w:jc w:val="both"/>
        <w:rPr>
          <w:i/>
          <w:sz w:val="21"/>
        </w:rPr>
      </w:pPr>
      <w:r>
        <w:rPr>
          <w:i/>
          <w:color w:val="231F20"/>
          <w:w w:val="90"/>
          <w:sz w:val="21"/>
        </w:rPr>
        <w:t>Población</w:t>
      </w:r>
    </w:p>
    <w:p>
      <w:pPr>
        <w:pStyle w:val="BodyText"/>
        <w:spacing w:before="11"/>
        <w:rPr>
          <w:i/>
        </w:rPr>
      </w:pPr>
    </w:p>
    <w:p>
      <w:pPr>
        <w:pStyle w:val="BodyText"/>
        <w:spacing w:line="244" w:lineRule="auto"/>
        <w:ind w:left="101" w:right="116" w:firstLine="54"/>
        <w:jc w:val="both"/>
      </w:pPr>
      <w:r>
        <w:rPr>
          <w:color w:val="231F20"/>
        </w:rPr>
        <w:t>Se trabajó con una población de 100 adolescentes, 50 de la provin- cia de Alicante (España) y 50 de la Ciudad de Querétaro (México). Todos estudiantes de bachillerato público.</w:t>
      </w:r>
    </w:p>
    <w:p>
      <w:pPr>
        <w:pStyle w:val="BodyText"/>
        <w:spacing w:before="9"/>
        <w:rPr>
          <w:sz w:val="22"/>
        </w:rPr>
      </w:pPr>
    </w:p>
    <w:p>
      <w:pPr>
        <w:spacing w:before="0"/>
        <w:ind w:left="101" w:right="0" w:firstLine="0"/>
        <w:jc w:val="both"/>
        <w:rPr>
          <w:i/>
          <w:sz w:val="21"/>
        </w:rPr>
      </w:pPr>
      <w:r>
        <w:rPr>
          <w:i/>
          <w:color w:val="231F20"/>
          <w:w w:val="95"/>
          <w:sz w:val="21"/>
        </w:rPr>
        <w:t>Instrumento</w:t>
      </w:r>
    </w:p>
    <w:p>
      <w:pPr>
        <w:pStyle w:val="BodyText"/>
        <w:spacing w:before="6"/>
        <w:rPr>
          <w:i/>
        </w:rPr>
      </w:pPr>
    </w:p>
    <w:p>
      <w:pPr>
        <w:pStyle w:val="BodyText"/>
        <w:spacing w:line="244" w:lineRule="auto"/>
        <w:ind w:left="101" w:right="117"/>
        <w:jc w:val="both"/>
      </w:pPr>
      <w:r>
        <w:rPr>
          <w:color w:val="231F20"/>
        </w:rPr>
        <w:t>En</w:t>
      </w:r>
      <w:r>
        <w:rPr>
          <w:color w:val="231F20"/>
          <w:spacing w:val="-6"/>
        </w:rPr>
        <w:t> </w:t>
      </w:r>
      <w:r>
        <w:rPr>
          <w:color w:val="231F20"/>
        </w:rPr>
        <w:t>el</w:t>
      </w:r>
      <w:r>
        <w:rPr>
          <w:color w:val="231F20"/>
          <w:spacing w:val="-7"/>
        </w:rPr>
        <w:t> </w:t>
      </w:r>
      <w:r>
        <w:rPr>
          <w:color w:val="231F20"/>
        </w:rPr>
        <w:t>caso</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población</w:t>
      </w:r>
      <w:r>
        <w:rPr>
          <w:color w:val="231F20"/>
          <w:spacing w:val="-6"/>
        </w:rPr>
        <w:t> </w:t>
      </w:r>
      <w:r>
        <w:rPr>
          <w:color w:val="231F20"/>
        </w:rPr>
        <w:t>de</w:t>
      </w:r>
      <w:r>
        <w:rPr>
          <w:color w:val="231F20"/>
          <w:spacing w:val="-7"/>
        </w:rPr>
        <w:t> </w:t>
      </w:r>
      <w:r>
        <w:rPr>
          <w:color w:val="231F20"/>
        </w:rPr>
        <w:t>Alicante,</w:t>
      </w:r>
      <w:r>
        <w:rPr>
          <w:color w:val="231F20"/>
          <w:spacing w:val="-7"/>
        </w:rPr>
        <w:t> </w:t>
      </w:r>
      <w:r>
        <w:rPr>
          <w:color w:val="231F20"/>
        </w:rPr>
        <w:t>se</w:t>
      </w:r>
      <w:r>
        <w:rPr>
          <w:color w:val="231F20"/>
          <w:spacing w:val="-7"/>
        </w:rPr>
        <w:t> </w:t>
      </w:r>
      <w:r>
        <w:rPr>
          <w:color w:val="231F20"/>
        </w:rPr>
        <w:t>utilizó</w:t>
      </w:r>
      <w:r>
        <w:rPr>
          <w:color w:val="231F20"/>
          <w:spacing w:val="-6"/>
        </w:rPr>
        <w:t> </w:t>
      </w:r>
      <w:r>
        <w:rPr>
          <w:color w:val="231F20"/>
        </w:rPr>
        <w:t>una</w:t>
      </w:r>
      <w:r>
        <w:rPr>
          <w:color w:val="231F20"/>
          <w:spacing w:val="-7"/>
        </w:rPr>
        <w:t> </w:t>
      </w:r>
      <w:r>
        <w:rPr>
          <w:color w:val="231F20"/>
        </w:rPr>
        <w:t>entrevista</w:t>
      </w:r>
      <w:r>
        <w:rPr>
          <w:color w:val="231F20"/>
          <w:spacing w:val="-5"/>
        </w:rPr>
        <w:t> </w:t>
      </w:r>
      <w:r>
        <w:rPr>
          <w:color w:val="231F20"/>
        </w:rPr>
        <w:t>semi- estructurada en donde se solicitó a los adolescentes que hablaran acerca</w:t>
      </w:r>
      <w:r>
        <w:rPr>
          <w:color w:val="231F20"/>
          <w:spacing w:val="-10"/>
        </w:rPr>
        <w:t> </w:t>
      </w:r>
      <w:r>
        <w:rPr>
          <w:color w:val="231F20"/>
        </w:rPr>
        <w:t>de</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les</w:t>
      </w:r>
      <w:r>
        <w:rPr>
          <w:color w:val="231F20"/>
          <w:spacing w:val="-10"/>
        </w:rPr>
        <w:t> </w:t>
      </w:r>
      <w:r>
        <w:rPr>
          <w:color w:val="231F20"/>
        </w:rPr>
        <w:t>gusta</w:t>
      </w:r>
      <w:r>
        <w:rPr>
          <w:color w:val="231F20"/>
          <w:spacing w:val="-10"/>
        </w:rPr>
        <w:t> </w:t>
      </w:r>
      <w:r>
        <w:rPr>
          <w:color w:val="231F20"/>
        </w:rPr>
        <w:t>que</w:t>
      </w:r>
      <w:r>
        <w:rPr>
          <w:color w:val="231F20"/>
          <w:spacing w:val="-9"/>
        </w:rPr>
        <w:t> </w:t>
      </w:r>
      <w:r>
        <w:rPr>
          <w:color w:val="231F20"/>
        </w:rPr>
        <w:t>les</w:t>
      </w:r>
      <w:r>
        <w:rPr>
          <w:color w:val="231F20"/>
          <w:spacing w:val="-10"/>
        </w:rPr>
        <w:t> </w:t>
      </w:r>
      <w:r>
        <w:rPr>
          <w:color w:val="231F20"/>
        </w:rPr>
        <w:t>hagan</w:t>
      </w:r>
      <w:r>
        <w:rPr>
          <w:color w:val="231F20"/>
          <w:spacing w:val="-9"/>
        </w:rPr>
        <w:t> </w:t>
      </w:r>
      <w:r>
        <w:rPr>
          <w:color w:val="231F20"/>
        </w:rPr>
        <w:t>o</w:t>
      </w:r>
      <w:r>
        <w:rPr>
          <w:color w:val="231F20"/>
          <w:spacing w:val="-9"/>
        </w:rPr>
        <w:t> </w:t>
      </w:r>
      <w:r>
        <w:rPr>
          <w:color w:val="231F20"/>
        </w:rPr>
        <w:t>les</w:t>
      </w:r>
      <w:r>
        <w:rPr>
          <w:color w:val="231F20"/>
          <w:spacing w:val="-10"/>
        </w:rPr>
        <w:t> </w:t>
      </w:r>
      <w:r>
        <w:rPr>
          <w:color w:val="231F20"/>
        </w:rPr>
        <w:t>digan</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centro.</w:t>
      </w:r>
    </w:p>
    <w:p>
      <w:pPr>
        <w:pStyle w:val="BodyText"/>
        <w:spacing w:line="249" w:lineRule="auto" w:before="13"/>
        <w:ind w:left="101" w:right="116" w:firstLine="284"/>
        <w:jc w:val="both"/>
      </w:pPr>
      <w:r>
        <w:rPr>
          <w:color w:val="231F20"/>
        </w:rPr>
        <w:t>En el </w:t>
      </w:r>
      <w:r>
        <w:rPr>
          <w:color w:val="231F20"/>
          <w:spacing w:val="2"/>
        </w:rPr>
        <w:t>caso </w:t>
      </w:r>
      <w:r>
        <w:rPr>
          <w:color w:val="231F20"/>
        </w:rPr>
        <w:t>de la </w:t>
      </w:r>
      <w:r>
        <w:rPr>
          <w:color w:val="231F20"/>
          <w:spacing w:val="2"/>
        </w:rPr>
        <w:t>Ciudad </w:t>
      </w:r>
      <w:r>
        <w:rPr>
          <w:color w:val="231F20"/>
        </w:rPr>
        <w:t>de </w:t>
      </w:r>
      <w:r>
        <w:rPr>
          <w:color w:val="231F20"/>
          <w:spacing w:val="2"/>
        </w:rPr>
        <w:t>Querétaro </w:t>
      </w:r>
      <w:r>
        <w:rPr>
          <w:color w:val="231F20"/>
        </w:rPr>
        <w:t>se </w:t>
      </w:r>
      <w:r>
        <w:rPr>
          <w:color w:val="231F20"/>
          <w:spacing w:val="2"/>
        </w:rPr>
        <w:t>utilizó </w:t>
      </w:r>
      <w:r>
        <w:rPr>
          <w:color w:val="231F20"/>
        </w:rPr>
        <w:t>un </w:t>
      </w:r>
      <w:r>
        <w:rPr>
          <w:color w:val="231F20"/>
          <w:spacing w:val="2"/>
        </w:rPr>
        <w:t>cuestiona-  rio, </w:t>
      </w:r>
      <w:r>
        <w:rPr>
          <w:color w:val="231F20"/>
        </w:rPr>
        <w:t>en </w:t>
      </w:r>
      <w:r>
        <w:rPr>
          <w:color w:val="231F20"/>
          <w:spacing w:val="3"/>
        </w:rPr>
        <w:t>donde </w:t>
      </w:r>
      <w:r>
        <w:rPr>
          <w:color w:val="231F20"/>
          <w:spacing w:val="2"/>
        </w:rPr>
        <w:t>los </w:t>
      </w:r>
      <w:r>
        <w:rPr>
          <w:color w:val="231F20"/>
          <w:spacing w:val="3"/>
        </w:rPr>
        <w:t>adolescentes </w:t>
      </w:r>
      <w:r>
        <w:rPr>
          <w:color w:val="231F20"/>
          <w:spacing w:val="2"/>
        </w:rPr>
        <w:t>tenían </w:t>
      </w:r>
      <w:r>
        <w:rPr>
          <w:color w:val="231F20"/>
        </w:rPr>
        <w:t>que </w:t>
      </w:r>
      <w:r>
        <w:rPr>
          <w:color w:val="231F20"/>
          <w:spacing w:val="2"/>
        </w:rPr>
        <w:t>escribir acerca </w:t>
      </w:r>
      <w:r>
        <w:rPr>
          <w:color w:val="231F20"/>
        </w:rPr>
        <w:t>de lo que no les </w:t>
      </w:r>
      <w:r>
        <w:rPr>
          <w:color w:val="231F20"/>
          <w:spacing w:val="2"/>
        </w:rPr>
        <w:t>gusta </w:t>
      </w:r>
      <w:r>
        <w:rPr>
          <w:color w:val="231F20"/>
        </w:rPr>
        <w:t>que les </w:t>
      </w:r>
      <w:r>
        <w:rPr>
          <w:color w:val="231F20"/>
          <w:spacing w:val="2"/>
        </w:rPr>
        <w:t>hagan </w:t>
      </w:r>
      <w:r>
        <w:rPr>
          <w:color w:val="231F20"/>
        </w:rPr>
        <w:t>o les </w:t>
      </w:r>
      <w:r>
        <w:rPr>
          <w:color w:val="231F20"/>
          <w:spacing w:val="2"/>
        </w:rPr>
        <w:t>digan </w:t>
      </w:r>
      <w:r>
        <w:rPr>
          <w:color w:val="231F20"/>
        </w:rPr>
        <w:t>en su</w:t>
      </w:r>
      <w:r>
        <w:rPr>
          <w:color w:val="231F20"/>
          <w:spacing w:val="28"/>
        </w:rPr>
        <w:t> </w:t>
      </w:r>
      <w:r>
        <w:rPr>
          <w:color w:val="231F20"/>
          <w:spacing w:val="2"/>
        </w:rPr>
        <w:t>escuela.</w:t>
      </w:r>
    </w:p>
    <w:p>
      <w:pPr>
        <w:pStyle w:val="BodyText"/>
        <w:spacing w:before="7"/>
      </w:pPr>
    </w:p>
    <w:p>
      <w:pPr>
        <w:spacing w:before="0"/>
        <w:ind w:left="101" w:right="0" w:firstLine="0"/>
        <w:jc w:val="both"/>
        <w:rPr>
          <w:i/>
          <w:sz w:val="21"/>
        </w:rPr>
      </w:pPr>
      <w:r>
        <w:rPr>
          <w:i/>
          <w:color w:val="231F20"/>
          <w:w w:val="90"/>
          <w:sz w:val="21"/>
        </w:rPr>
        <w:t>Procedimiento</w:t>
      </w:r>
    </w:p>
    <w:p>
      <w:pPr>
        <w:pStyle w:val="BodyText"/>
        <w:spacing w:before="1"/>
        <w:rPr>
          <w:i/>
        </w:rPr>
      </w:pPr>
    </w:p>
    <w:p>
      <w:pPr>
        <w:pStyle w:val="BodyText"/>
        <w:spacing w:line="242" w:lineRule="auto" w:before="1"/>
        <w:ind w:left="101" w:right="118"/>
        <w:jc w:val="both"/>
      </w:pPr>
      <w:r>
        <w:rPr>
          <w:color w:val="231F20"/>
        </w:rPr>
        <w:t>En ambos casos la aplicación fue al azar y de manera directa con   los</w:t>
      </w:r>
      <w:r>
        <w:rPr>
          <w:color w:val="231F20"/>
          <w:spacing w:val="32"/>
        </w:rPr>
        <w:t> </w:t>
      </w:r>
      <w:r>
        <w:rPr>
          <w:color w:val="231F20"/>
        </w:rPr>
        <w:t>adolescentes.</w:t>
      </w:r>
      <w:r>
        <w:rPr>
          <w:color w:val="231F20"/>
          <w:spacing w:val="31"/>
        </w:rPr>
        <w:t> </w:t>
      </w:r>
      <w:r>
        <w:rPr>
          <w:color w:val="231F20"/>
        </w:rPr>
        <w:t>Una</w:t>
      </w:r>
      <w:r>
        <w:rPr>
          <w:color w:val="231F20"/>
          <w:spacing w:val="32"/>
        </w:rPr>
        <w:t> </w:t>
      </w:r>
      <w:r>
        <w:rPr>
          <w:color w:val="231F20"/>
        </w:rPr>
        <w:t>vez</w:t>
      </w:r>
      <w:r>
        <w:rPr>
          <w:color w:val="231F20"/>
          <w:spacing w:val="32"/>
        </w:rPr>
        <w:t> </w:t>
      </w:r>
      <w:r>
        <w:rPr>
          <w:color w:val="231F20"/>
        </w:rPr>
        <w:t>obtenidas</w:t>
      </w:r>
      <w:r>
        <w:rPr>
          <w:color w:val="231F20"/>
          <w:spacing w:val="32"/>
        </w:rPr>
        <w:t> </w:t>
      </w:r>
      <w:r>
        <w:rPr>
          <w:color w:val="231F20"/>
        </w:rPr>
        <w:t>las</w:t>
      </w:r>
      <w:r>
        <w:rPr>
          <w:color w:val="231F20"/>
          <w:spacing w:val="32"/>
        </w:rPr>
        <w:t> </w:t>
      </w:r>
      <w:r>
        <w:rPr>
          <w:color w:val="231F20"/>
        </w:rPr>
        <w:t>respuestas</w:t>
      </w:r>
      <w:r>
        <w:rPr>
          <w:color w:val="231F20"/>
          <w:spacing w:val="32"/>
        </w:rPr>
        <w:t> </w:t>
      </w:r>
      <w:r>
        <w:rPr>
          <w:color w:val="231F20"/>
        </w:rPr>
        <w:t>se</w:t>
      </w:r>
      <w:r>
        <w:rPr>
          <w:color w:val="231F20"/>
          <w:spacing w:val="32"/>
        </w:rPr>
        <w:t> </w:t>
      </w:r>
      <w:r>
        <w:rPr>
          <w:color w:val="231F20"/>
        </w:rPr>
        <w:t>organizaron</w:t>
      </w:r>
    </w:p>
    <w:p>
      <w:pPr>
        <w:spacing w:after="0" w:line="242" w:lineRule="auto"/>
        <w:jc w:val="both"/>
        <w:sectPr>
          <w:headerReference w:type="default" r:id="rId920"/>
          <w:footerReference w:type="default" r:id="rId921"/>
          <w:pgSz w:w="7830" w:h="11910"/>
          <w:pgMar w:header="0" w:footer="424" w:top="500" w:bottom="620" w:left="920" w:right="900"/>
          <w:pgNumType w:start="418"/>
        </w:sectPr>
      </w:pPr>
    </w:p>
    <w:p>
      <w:pPr>
        <w:spacing w:before="46"/>
        <w:ind w:left="565" w:right="562"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spacing w:line="247" w:lineRule="auto"/>
        <w:ind w:left="222" w:right="216"/>
        <w:jc w:val="both"/>
      </w:pPr>
      <w:r>
        <w:rPr>
          <w:color w:val="231F20"/>
        </w:rPr>
        <w:t>para proceder a un análisis de contenido temático. En una primera etapa se dio lectura a las respuestas para identificar a qué aspectos aludían, una vez identificado esto, se agrupó por los aspectos detec- tados, y se obtuvieron las frecuencias de las respuestas para obser- var cuáles eran más recurrentes. Una vez realizado lo anterior, se definieron las categorías a partir de las mismas respuestas. Estas nos llevaron a identificar tres grandes categorías: relaciones interperso- nales, lo pedagógico y lo organizativo.</w:t>
      </w:r>
    </w:p>
    <w:p>
      <w:pPr>
        <w:pStyle w:val="BodyText"/>
        <w:rPr>
          <w:sz w:val="23"/>
        </w:rPr>
      </w:pPr>
    </w:p>
    <w:p>
      <w:pPr>
        <w:pStyle w:val="BodyText"/>
        <w:ind w:left="221"/>
        <w:jc w:val="both"/>
      </w:pPr>
      <w:r>
        <w:rPr>
          <w:color w:val="231F20"/>
        </w:rPr>
        <w:t>RESULTADOS</w:t>
      </w:r>
    </w:p>
    <w:p>
      <w:pPr>
        <w:pStyle w:val="BodyText"/>
        <w:spacing w:before="1"/>
      </w:pPr>
    </w:p>
    <w:p>
      <w:pPr>
        <w:pStyle w:val="BodyText"/>
        <w:spacing w:line="247" w:lineRule="auto" w:before="1"/>
        <w:ind w:left="221" w:right="215"/>
        <w:jc w:val="both"/>
      </w:pPr>
      <w:r>
        <w:rPr>
          <w:color w:val="231F20"/>
        </w:rPr>
        <w:t>Las respuestas aludían a aspectos relacionados con el profesor, a aspectos relacionados con los compañeros y a aspectos organizati- vos. En este trabajo solo presentaremos los aspectos mencionados por los estudiantes que aluden al profesor.</w:t>
      </w:r>
    </w:p>
    <w:p>
      <w:pPr>
        <w:pStyle w:val="BodyText"/>
        <w:spacing w:line="249" w:lineRule="auto" w:before="10"/>
        <w:ind w:left="221" w:right="216" w:firstLine="284"/>
        <w:jc w:val="both"/>
      </w:pPr>
      <w:r>
        <w:rPr>
          <w:color w:val="231F20"/>
        </w:rPr>
        <w:t>Como se mencionó, los resultados se organizaron en categorías emanadas de las propias respuestas de los estudiantes, se identifica- ron tres: relaciones interpersonales, lo pedagógico, lo organizativo. En</w:t>
      </w:r>
      <w:r>
        <w:rPr>
          <w:color w:val="231F20"/>
          <w:spacing w:val="-9"/>
        </w:rPr>
        <w:t> </w:t>
      </w:r>
      <w:r>
        <w:rPr>
          <w:color w:val="231F20"/>
        </w:rPr>
        <w:t>la</w:t>
      </w:r>
      <w:r>
        <w:rPr>
          <w:color w:val="231F20"/>
          <w:spacing w:val="-9"/>
        </w:rPr>
        <w:t> </w:t>
      </w:r>
      <w:r>
        <w:rPr>
          <w:color w:val="231F20"/>
        </w:rPr>
        <w:t>Tabla</w:t>
      </w:r>
      <w:r>
        <w:rPr>
          <w:color w:val="231F20"/>
          <w:spacing w:val="-9"/>
        </w:rPr>
        <w:t> </w:t>
      </w:r>
      <w:r>
        <w:rPr>
          <w:color w:val="231F20"/>
        </w:rPr>
        <w:t>1</w:t>
      </w:r>
      <w:r>
        <w:rPr>
          <w:color w:val="231F20"/>
          <w:spacing w:val="-9"/>
        </w:rPr>
        <w:t> </w:t>
      </w:r>
      <w:r>
        <w:rPr>
          <w:color w:val="231F20"/>
        </w:rPr>
        <w:t>se</w:t>
      </w:r>
      <w:r>
        <w:rPr>
          <w:color w:val="231F20"/>
          <w:spacing w:val="-9"/>
        </w:rPr>
        <w:t> </w:t>
      </w:r>
      <w:r>
        <w:rPr>
          <w:color w:val="231F20"/>
        </w:rPr>
        <w:t>presentan</w:t>
      </w:r>
      <w:r>
        <w:rPr>
          <w:color w:val="231F20"/>
          <w:spacing w:val="-9"/>
        </w:rPr>
        <w:t> </w:t>
      </w:r>
      <w:r>
        <w:rPr>
          <w:color w:val="231F20"/>
        </w:rPr>
        <w:t>las</w:t>
      </w:r>
      <w:r>
        <w:rPr>
          <w:color w:val="231F20"/>
          <w:spacing w:val="-9"/>
        </w:rPr>
        <w:t> </w:t>
      </w:r>
      <w:r>
        <w:rPr>
          <w:color w:val="231F20"/>
        </w:rPr>
        <w:t>respuestas</w:t>
      </w:r>
      <w:r>
        <w:rPr>
          <w:color w:val="231F20"/>
          <w:spacing w:val="-9"/>
        </w:rPr>
        <w:t> </w:t>
      </w:r>
      <w:r>
        <w:rPr>
          <w:color w:val="231F20"/>
        </w:rPr>
        <w:t>relacionadas</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relacio- nes interpersonales. Cabe señalar que la frecuencia de las respuestas no coincide con el número de participantes del estudio, debido a que los</w:t>
      </w:r>
      <w:r>
        <w:rPr>
          <w:color w:val="231F20"/>
          <w:spacing w:val="-11"/>
        </w:rPr>
        <w:t> </w:t>
      </w:r>
      <w:r>
        <w:rPr>
          <w:color w:val="231F20"/>
        </w:rPr>
        <w:t>adolescentes</w:t>
      </w:r>
      <w:r>
        <w:rPr>
          <w:color w:val="231F20"/>
          <w:spacing w:val="-11"/>
        </w:rPr>
        <w:t> </w:t>
      </w:r>
      <w:r>
        <w:rPr>
          <w:color w:val="231F20"/>
        </w:rPr>
        <w:t>podían</w:t>
      </w:r>
      <w:r>
        <w:rPr>
          <w:color w:val="231F20"/>
          <w:spacing w:val="-10"/>
        </w:rPr>
        <w:t> </w:t>
      </w:r>
      <w:r>
        <w:rPr>
          <w:color w:val="231F20"/>
        </w:rPr>
        <w:t>dar</w:t>
      </w:r>
      <w:r>
        <w:rPr>
          <w:color w:val="231F20"/>
          <w:spacing w:val="-11"/>
        </w:rPr>
        <w:t> </w:t>
      </w:r>
      <w:r>
        <w:rPr>
          <w:color w:val="231F20"/>
        </w:rPr>
        <w:t>más</w:t>
      </w:r>
      <w:r>
        <w:rPr>
          <w:color w:val="231F20"/>
          <w:spacing w:val="-11"/>
        </w:rPr>
        <w:t> </w:t>
      </w:r>
      <w:r>
        <w:rPr>
          <w:color w:val="231F20"/>
        </w:rPr>
        <w:t>de</w:t>
      </w:r>
      <w:r>
        <w:rPr>
          <w:color w:val="231F20"/>
          <w:spacing w:val="-10"/>
        </w:rPr>
        <w:t> </w:t>
      </w:r>
      <w:r>
        <w:rPr>
          <w:color w:val="231F20"/>
        </w:rPr>
        <w:t>una</w:t>
      </w:r>
      <w:r>
        <w:rPr>
          <w:color w:val="231F20"/>
          <w:spacing w:val="-11"/>
        </w:rPr>
        <w:t> </w:t>
      </w:r>
      <w:r>
        <w:rPr>
          <w:color w:val="231F20"/>
        </w:rPr>
        <w:t>respuesta.</w:t>
      </w:r>
    </w:p>
    <w:p>
      <w:pPr>
        <w:pStyle w:val="BodyText"/>
        <w:spacing w:before="2"/>
        <w:rPr>
          <w:sz w:val="20"/>
        </w:rPr>
      </w:pPr>
    </w:p>
    <w:p>
      <w:pPr>
        <w:spacing w:line="379" w:lineRule="auto" w:before="0" w:after="14"/>
        <w:ind w:left="1016" w:right="1012" w:firstLine="0"/>
        <w:jc w:val="center"/>
        <w:rPr>
          <w:b/>
          <w:sz w:val="19"/>
        </w:rPr>
      </w:pPr>
      <w:r>
        <w:rPr>
          <w:b/>
          <w:color w:val="231F20"/>
          <w:sz w:val="19"/>
        </w:rPr>
        <w:t>Tabla 1. Frecuencia de respuestas de la categoría “Relaciones  interpersonales”</w:t>
      </w: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66"/>
        <w:gridCol w:w="1286"/>
        <w:gridCol w:w="1248"/>
      </w:tblGrid>
      <w:tr>
        <w:trPr>
          <w:trHeight w:val="317" w:hRule="exact"/>
        </w:trPr>
        <w:tc>
          <w:tcPr>
            <w:tcW w:w="3466" w:type="dxa"/>
          </w:tcPr>
          <w:p>
            <w:pPr>
              <w:pStyle w:val="TableParagraph"/>
              <w:spacing w:before="43"/>
              <w:ind w:left="105"/>
              <w:rPr>
                <w:b/>
                <w:sz w:val="17"/>
              </w:rPr>
            </w:pPr>
            <w:r>
              <w:rPr>
                <w:b/>
                <w:color w:val="231F20"/>
                <w:w w:val="105"/>
                <w:sz w:val="17"/>
              </w:rPr>
              <w:t>Respuestas</w:t>
            </w:r>
          </w:p>
        </w:tc>
        <w:tc>
          <w:tcPr>
            <w:tcW w:w="1286" w:type="dxa"/>
          </w:tcPr>
          <w:p>
            <w:pPr>
              <w:pStyle w:val="TableParagraph"/>
              <w:spacing w:before="43"/>
              <w:ind w:left="240" w:right="241"/>
              <w:jc w:val="center"/>
              <w:rPr>
                <w:b/>
                <w:sz w:val="17"/>
              </w:rPr>
            </w:pPr>
            <w:r>
              <w:rPr>
                <w:b/>
                <w:color w:val="231F20"/>
                <w:sz w:val="17"/>
              </w:rPr>
              <w:t>Querétaro</w:t>
            </w:r>
          </w:p>
        </w:tc>
        <w:tc>
          <w:tcPr>
            <w:tcW w:w="1248" w:type="dxa"/>
          </w:tcPr>
          <w:p>
            <w:pPr>
              <w:pStyle w:val="TableParagraph"/>
              <w:spacing w:before="43"/>
              <w:ind w:left="280" w:right="282"/>
              <w:jc w:val="center"/>
              <w:rPr>
                <w:b/>
                <w:sz w:val="17"/>
              </w:rPr>
            </w:pPr>
            <w:r>
              <w:rPr>
                <w:b/>
                <w:color w:val="231F20"/>
                <w:w w:val="105"/>
                <w:sz w:val="17"/>
              </w:rPr>
              <w:t>Alicante</w:t>
            </w:r>
          </w:p>
        </w:tc>
      </w:tr>
      <w:tr>
        <w:trPr>
          <w:trHeight w:val="307" w:hRule="exact"/>
        </w:trPr>
        <w:tc>
          <w:tcPr>
            <w:tcW w:w="3466" w:type="dxa"/>
          </w:tcPr>
          <w:p>
            <w:pPr>
              <w:pStyle w:val="TableParagraph"/>
              <w:spacing w:before="47"/>
              <w:ind w:left="105"/>
              <w:rPr>
                <w:sz w:val="17"/>
              </w:rPr>
            </w:pPr>
            <w:r>
              <w:rPr>
                <w:color w:val="231F20"/>
                <w:sz w:val="17"/>
              </w:rPr>
              <w:t>Actitud negativa con los estudiantes</w:t>
            </w:r>
          </w:p>
        </w:tc>
        <w:tc>
          <w:tcPr>
            <w:tcW w:w="1286" w:type="dxa"/>
          </w:tcPr>
          <w:p>
            <w:pPr>
              <w:pStyle w:val="TableParagraph"/>
              <w:spacing w:before="47"/>
              <w:ind w:left="240" w:right="241"/>
              <w:jc w:val="center"/>
              <w:rPr>
                <w:sz w:val="17"/>
              </w:rPr>
            </w:pPr>
            <w:r>
              <w:rPr>
                <w:color w:val="231F20"/>
                <w:sz w:val="17"/>
              </w:rPr>
              <w:t>19</w:t>
            </w:r>
          </w:p>
        </w:tc>
        <w:tc>
          <w:tcPr>
            <w:tcW w:w="1248" w:type="dxa"/>
          </w:tcPr>
          <w:p>
            <w:pPr>
              <w:pStyle w:val="TableParagraph"/>
              <w:spacing w:before="47"/>
              <w:ind w:left="280" w:right="282"/>
              <w:jc w:val="center"/>
              <w:rPr>
                <w:sz w:val="17"/>
              </w:rPr>
            </w:pPr>
            <w:r>
              <w:rPr>
                <w:color w:val="231F20"/>
                <w:sz w:val="17"/>
              </w:rPr>
              <w:t>15</w:t>
            </w:r>
          </w:p>
        </w:tc>
      </w:tr>
      <w:tr>
        <w:trPr>
          <w:trHeight w:val="322" w:hRule="exact"/>
        </w:trPr>
        <w:tc>
          <w:tcPr>
            <w:tcW w:w="3466" w:type="dxa"/>
          </w:tcPr>
          <w:p>
            <w:pPr>
              <w:pStyle w:val="TableParagraph"/>
              <w:spacing w:before="43"/>
              <w:ind w:left="105"/>
              <w:rPr>
                <w:sz w:val="17"/>
              </w:rPr>
            </w:pPr>
            <w:r>
              <w:rPr>
                <w:color w:val="231F20"/>
                <w:sz w:val="17"/>
              </w:rPr>
              <w:t>Motes (apodos) o insultos</w:t>
            </w:r>
          </w:p>
        </w:tc>
        <w:tc>
          <w:tcPr>
            <w:tcW w:w="1286" w:type="dxa"/>
          </w:tcPr>
          <w:p>
            <w:pPr>
              <w:pStyle w:val="TableParagraph"/>
              <w:spacing w:before="43"/>
              <w:ind w:left="0"/>
              <w:jc w:val="center"/>
              <w:rPr>
                <w:sz w:val="17"/>
              </w:rPr>
            </w:pPr>
            <w:r>
              <w:rPr>
                <w:color w:val="231F20"/>
                <w:w w:val="97"/>
                <w:sz w:val="17"/>
              </w:rPr>
              <w:t>0</w:t>
            </w:r>
          </w:p>
        </w:tc>
        <w:tc>
          <w:tcPr>
            <w:tcW w:w="1248" w:type="dxa"/>
          </w:tcPr>
          <w:p>
            <w:pPr>
              <w:pStyle w:val="TableParagraph"/>
              <w:spacing w:before="43"/>
              <w:ind w:left="280" w:right="282"/>
              <w:jc w:val="center"/>
              <w:rPr>
                <w:sz w:val="17"/>
              </w:rPr>
            </w:pPr>
            <w:r>
              <w:rPr>
                <w:color w:val="231F20"/>
                <w:sz w:val="17"/>
              </w:rPr>
              <w:t>18</w:t>
            </w:r>
          </w:p>
        </w:tc>
      </w:tr>
      <w:tr>
        <w:trPr>
          <w:trHeight w:val="302" w:hRule="exact"/>
        </w:trPr>
        <w:tc>
          <w:tcPr>
            <w:tcW w:w="3466" w:type="dxa"/>
          </w:tcPr>
          <w:p>
            <w:pPr>
              <w:pStyle w:val="TableParagraph"/>
              <w:spacing w:before="43"/>
              <w:ind w:left="105"/>
              <w:rPr>
                <w:sz w:val="17"/>
              </w:rPr>
            </w:pPr>
            <w:r>
              <w:rPr>
                <w:color w:val="231F20"/>
                <w:sz w:val="17"/>
              </w:rPr>
              <w:t>Que me haga quedar en ridículo</w:t>
            </w:r>
          </w:p>
        </w:tc>
        <w:tc>
          <w:tcPr>
            <w:tcW w:w="1286" w:type="dxa"/>
          </w:tcPr>
          <w:p>
            <w:pPr>
              <w:pStyle w:val="TableParagraph"/>
              <w:spacing w:before="43"/>
              <w:ind w:left="0"/>
              <w:jc w:val="center"/>
              <w:rPr>
                <w:sz w:val="17"/>
              </w:rPr>
            </w:pPr>
            <w:r>
              <w:rPr>
                <w:color w:val="231F20"/>
                <w:w w:val="97"/>
                <w:sz w:val="17"/>
              </w:rPr>
              <w:t>0</w:t>
            </w:r>
          </w:p>
        </w:tc>
        <w:tc>
          <w:tcPr>
            <w:tcW w:w="1248" w:type="dxa"/>
          </w:tcPr>
          <w:p>
            <w:pPr>
              <w:pStyle w:val="TableParagraph"/>
              <w:spacing w:before="43"/>
              <w:ind w:left="280" w:right="282"/>
              <w:jc w:val="center"/>
              <w:rPr>
                <w:sz w:val="17"/>
              </w:rPr>
            </w:pPr>
            <w:r>
              <w:rPr>
                <w:color w:val="231F20"/>
                <w:sz w:val="17"/>
              </w:rPr>
              <w:t>12</w:t>
            </w:r>
          </w:p>
        </w:tc>
      </w:tr>
      <w:tr>
        <w:trPr>
          <w:trHeight w:val="322" w:hRule="exact"/>
        </w:trPr>
        <w:tc>
          <w:tcPr>
            <w:tcW w:w="3466" w:type="dxa"/>
          </w:tcPr>
          <w:p>
            <w:pPr>
              <w:pStyle w:val="TableParagraph"/>
              <w:spacing w:before="43"/>
              <w:ind w:left="105"/>
              <w:rPr>
                <w:sz w:val="17"/>
              </w:rPr>
            </w:pPr>
            <w:r>
              <w:rPr>
                <w:color w:val="231F20"/>
                <w:sz w:val="17"/>
              </w:rPr>
              <w:t>Que sean enojones</w:t>
            </w:r>
          </w:p>
        </w:tc>
        <w:tc>
          <w:tcPr>
            <w:tcW w:w="1286" w:type="dxa"/>
          </w:tcPr>
          <w:p>
            <w:pPr>
              <w:pStyle w:val="TableParagraph"/>
              <w:spacing w:before="43"/>
              <w:ind w:left="240" w:right="241"/>
              <w:jc w:val="center"/>
              <w:rPr>
                <w:sz w:val="17"/>
              </w:rPr>
            </w:pPr>
            <w:r>
              <w:rPr>
                <w:color w:val="231F20"/>
                <w:sz w:val="17"/>
              </w:rPr>
              <w:t>11</w:t>
            </w:r>
          </w:p>
        </w:tc>
        <w:tc>
          <w:tcPr>
            <w:tcW w:w="1248" w:type="dxa"/>
          </w:tcPr>
          <w:p>
            <w:pPr>
              <w:pStyle w:val="TableParagraph"/>
              <w:spacing w:before="43"/>
              <w:ind w:left="0" w:right="3"/>
              <w:jc w:val="center"/>
              <w:rPr>
                <w:sz w:val="17"/>
              </w:rPr>
            </w:pPr>
            <w:r>
              <w:rPr>
                <w:color w:val="231F20"/>
                <w:w w:val="97"/>
                <w:sz w:val="17"/>
              </w:rPr>
              <w:t>0</w:t>
            </w:r>
          </w:p>
        </w:tc>
      </w:tr>
      <w:tr>
        <w:trPr>
          <w:trHeight w:val="302" w:hRule="exact"/>
        </w:trPr>
        <w:tc>
          <w:tcPr>
            <w:tcW w:w="3466" w:type="dxa"/>
          </w:tcPr>
          <w:p>
            <w:pPr>
              <w:pStyle w:val="TableParagraph"/>
              <w:spacing w:before="43"/>
              <w:ind w:left="105"/>
              <w:rPr>
                <w:sz w:val="17"/>
              </w:rPr>
            </w:pPr>
            <w:r>
              <w:rPr>
                <w:color w:val="231F20"/>
                <w:sz w:val="17"/>
              </w:rPr>
              <w:t>Que llamen la atención sin razón</w:t>
            </w:r>
          </w:p>
        </w:tc>
        <w:tc>
          <w:tcPr>
            <w:tcW w:w="1286" w:type="dxa"/>
          </w:tcPr>
          <w:p>
            <w:pPr>
              <w:pStyle w:val="TableParagraph"/>
              <w:spacing w:before="43"/>
              <w:ind w:left="0"/>
              <w:jc w:val="center"/>
              <w:rPr>
                <w:sz w:val="17"/>
              </w:rPr>
            </w:pPr>
            <w:r>
              <w:rPr>
                <w:color w:val="231F20"/>
                <w:w w:val="97"/>
                <w:sz w:val="17"/>
              </w:rPr>
              <w:t>3</w:t>
            </w:r>
          </w:p>
        </w:tc>
        <w:tc>
          <w:tcPr>
            <w:tcW w:w="1248" w:type="dxa"/>
          </w:tcPr>
          <w:p>
            <w:pPr>
              <w:pStyle w:val="TableParagraph"/>
              <w:spacing w:before="43"/>
              <w:ind w:left="0" w:right="3"/>
              <w:jc w:val="center"/>
              <w:rPr>
                <w:sz w:val="17"/>
              </w:rPr>
            </w:pPr>
            <w:r>
              <w:rPr>
                <w:color w:val="231F20"/>
                <w:w w:val="97"/>
                <w:sz w:val="17"/>
              </w:rPr>
              <w:t>6</w:t>
            </w:r>
          </w:p>
        </w:tc>
      </w:tr>
      <w:tr>
        <w:trPr>
          <w:trHeight w:val="322" w:hRule="exact"/>
        </w:trPr>
        <w:tc>
          <w:tcPr>
            <w:tcW w:w="3466" w:type="dxa"/>
          </w:tcPr>
          <w:p>
            <w:pPr>
              <w:pStyle w:val="TableParagraph"/>
              <w:spacing w:before="43"/>
              <w:ind w:left="105"/>
              <w:rPr>
                <w:sz w:val="17"/>
              </w:rPr>
            </w:pPr>
            <w:r>
              <w:rPr>
                <w:color w:val="231F20"/>
                <w:w w:val="105"/>
                <w:sz w:val="17"/>
              </w:rPr>
              <w:t>Que no traten igual a todos</w:t>
            </w:r>
          </w:p>
        </w:tc>
        <w:tc>
          <w:tcPr>
            <w:tcW w:w="1286" w:type="dxa"/>
          </w:tcPr>
          <w:p>
            <w:pPr>
              <w:pStyle w:val="TableParagraph"/>
              <w:spacing w:before="43"/>
              <w:ind w:left="0"/>
              <w:jc w:val="center"/>
              <w:rPr>
                <w:sz w:val="17"/>
              </w:rPr>
            </w:pPr>
            <w:r>
              <w:rPr>
                <w:color w:val="231F20"/>
                <w:w w:val="97"/>
                <w:sz w:val="17"/>
              </w:rPr>
              <w:t>4</w:t>
            </w:r>
          </w:p>
        </w:tc>
        <w:tc>
          <w:tcPr>
            <w:tcW w:w="1248" w:type="dxa"/>
          </w:tcPr>
          <w:p>
            <w:pPr>
              <w:pStyle w:val="TableParagraph"/>
              <w:spacing w:before="43"/>
              <w:ind w:left="0" w:right="3"/>
              <w:jc w:val="center"/>
              <w:rPr>
                <w:sz w:val="17"/>
              </w:rPr>
            </w:pPr>
            <w:r>
              <w:rPr>
                <w:color w:val="231F20"/>
                <w:w w:val="97"/>
                <w:sz w:val="17"/>
              </w:rPr>
              <w:t>4</w:t>
            </w:r>
          </w:p>
        </w:tc>
      </w:tr>
      <w:tr>
        <w:trPr>
          <w:trHeight w:val="302" w:hRule="exact"/>
        </w:trPr>
        <w:tc>
          <w:tcPr>
            <w:tcW w:w="3466" w:type="dxa"/>
          </w:tcPr>
          <w:p>
            <w:pPr>
              <w:pStyle w:val="TableParagraph"/>
              <w:spacing w:before="43"/>
              <w:ind w:left="105"/>
              <w:rPr>
                <w:sz w:val="17"/>
              </w:rPr>
            </w:pPr>
            <w:r>
              <w:rPr>
                <w:color w:val="231F20"/>
                <w:sz w:val="17"/>
              </w:rPr>
              <w:t>Escuchar y no ser  escuchado</w:t>
            </w:r>
          </w:p>
        </w:tc>
        <w:tc>
          <w:tcPr>
            <w:tcW w:w="1286" w:type="dxa"/>
          </w:tcPr>
          <w:p>
            <w:pPr>
              <w:pStyle w:val="TableParagraph"/>
              <w:spacing w:before="43"/>
              <w:ind w:left="0"/>
              <w:jc w:val="center"/>
              <w:rPr>
                <w:sz w:val="17"/>
              </w:rPr>
            </w:pPr>
            <w:r>
              <w:rPr>
                <w:color w:val="231F20"/>
                <w:w w:val="97"/>
                <w:sz w:val="17"/>
              </w:rPr>
              <w:t>1</w:t>
            </w:r>
          </w:p>
        </w:tc>
        <w:tc>
          <w:tcPr>
            <w:tcW w:w="1248" w:type="dxa"/>
          </w:tcPr>
          <w:p>
            <w:pPr>
              <w:pStyle w:val="TableParagraph"/>
              <w:spacing w:before="43"/>
              <w:ind w:left="0" w:right="3"/>
              <w:jc w:val="center"/>
              <w:rPr>
                <w:sz w:val="17"/>
              </w:rPr>
            </w:pPr>
            <w:r>
              <w:rPr>
                <w:color w:val="231F20"/>
                <w:w w:val="97"/>
                <w:sz w:val="17"/>
              </w:rPr>
              <w:t>2</w:t>
            </w:r>
          </w:p>
        </w:tc>
      </w:tr>
      <w:tr>
        <w:trPr>
          <w:trHeight w:val="322" w:hRule="exact"/>
        </w:trPr>
        <w:tc>
          <w:tcPr>
            <w:tcW w:w="3466" w:type="dxa"/>
          </w:tcPr>
          <w:p>
            <w:pPr>
              <w:pStyle w:val="TableParagraph"/>
              <w:spacing w:before="43"/>
              <w:ind w:left="105"/>
              <w:rPr>
                <w:sz w:val="17"/>
              </w:rPr>
            </w:pPr>
            <w:r>
              <w:rPr>
                <w:color w:val="231F20"/>
                <w:w w:val="105"/>
                <w:sz w:val="17"/>
              </w:rPr>
              <w:t>Gritos</w:t>
            </w:r>
          </w:p>
        </w:tc>
        <w:tc>
          <w:tcPr>
            <w:tcW w:w="1286" w:type="dxa"/>
          </w:tcPr>
          <w:p>
            <w:pPr>
              <w:pStyle w:val="TableParagraph"/>
              <w:spacing w:before="43"/>
              <w:ind w:left="0"/>
              <w:jc w:val="center"/>
              <w:rPr>
                <w:sz w:val="17"/>
              </w:rPr>
            </w:pPr>
            <w:r>
              <w:rPr>
                <w:color w:val="231F20"/>
                <w:w w:val="97"/>
                <w:sz w:val="17"/>
              </w:rPr>
              <w:t>4</w:t>
            </w:r>
          </w:p>
        </w:tc>
        <w:tc>
          <w:tcPr>
            <w:tcW w:w="1248" w:type="dxa"/>
          </w:tcPr>
          <w:p>
            <w:pPr>
              <w:pStyle w:val="TableParagraph"/>
              <w:spacing w:before="43"/>
              <w:ind w:left="0" w:right="3"/>
              <w:jc w:val="center"/>
              <w:rPr>
                <w:sz w:val="17"/>
              </w:rPr>
            </w:pPr>
            <w:r>
              <w:rPr>
                <w:color w:val="231F20"/>
                <w:w w:val="97"/>
                <w:sz w:val="17"/>
              </w:rPr>
              <w:t>2</w:t>
            </w:r>
          </w:p>
        </w:tc>
      </w:tr>
      <w:tr>
        <w:trPr>
          <w:trHeight w:val="307" w:hRule="exact"/>
        </w:trPr>
        <w:tc>
          <w:tcPr>
            <w:tcW w:w="3466" w:type="dxa"/>
          </w:tcPr>
          <w:p>
            <w:pPr>
              <w:pStyle w:val="TableParagraph"/>
              <w:spacing w:before="43"/>
              <w:ind w:left="105"/>
              <w:rPr>
                <w:sz w:val="17"/>
              </w:rPr>
            </w:pPr>
            <w:r>
              <w:rPr>
                <w:color w:val="231F20"/>
                <w:sz w:val="17"/>
              </w:rPr>
              <w:t>Que  sean deshonestos</w:t>
            </w:r>
          </w:p>
        </w:tc>
        <w:tc>
          <w:tcPr>
            <w:tcW w:w="1286" w:type="dxa"/>
          </w:tcPr>
          <w:p>
            <w:pPr>
              <w:pStyle w:val="TableParagraph"/>
              <w:spacing w:before="43"/>
              <w:ind w:left="0"/>
              <w:jc w:val="center"/>
              <w:rPr>
                <w:sz w:val="17"/>
              </w:rPr>
            </w:pPr>
            <w:r>
              <w:rPr>
                <w:color w:val="231F20"/>
                <w:w w:val="97"/>
                <w:sz w:val="17"/>
              </w:rPr>
              <w:t>1</w:t>
            </w:r>
          </w:p>
        </w:tc>
        <w:tc>
          <w:tcPr>
            <w:tcW w:w="1248" w:type="dxa"/>
          </w:tcPr>
          <w:p>
            <w:pPr>
              <w:pStyle w:val="TableParagraph"/>
              <w:spacing w:before="43"/>
              <w:ind w:left="0" w:right="3"/>
              <w:jc w:val="center"/>
              <w:rPr>
                <w:sz w:val="17"/>
              </w:rPr>
            </w:pPr>
            <w:r>
              <w:rPr>
                <w:color w:val="231F20"/>
                <w:w w:val="97"/>
                <w:sz w:val="17"/>
              </w:rPr>
              <w:t>0</w:t>
            </w:r>
          </w:p>
        </w:tc>
      </w:tr>
      <w:tr>
        <w:trPr>
          <w:trHeight w:val="302" w:hRule="exact"/>
        </w:trPr>
        <w:tc>
          <w:tcPr>
            <w:tcW w:w="3466" w:type="dxa"/>
          </w:tcPr>
          <w:p>
            <w:pPr>
              <w:pStyle w:val="TableParagraph"/>
              <w:spacing w:before="43"/>
              <w:ind w:left="105"/>
              <w:rPr>
                <w:sz w:val="17"/>
              </w:rPr>
            </w:pPr>
            <w:r>
              <w:rPr>
                <w:color w:val="231F20"/>
                <w:sz w:val="17"/>
              </w:rPr>
              <w:t>Que sean intolerantes</w:t>
            </w:r>
          </w:p>
        </w:tc>
        <w:tc>
          <w:tcPr>
            <w:tcW w:w="1286" w:type="dxa"/>
          </w:tcPr>
          <w:p>
            <w:pPr>
              <w:pStyle w:val="TableParagraph"/>
              <w:spacing w:before="43"/>
              <w:ind w:left="0"/>
              <w:jc w:val="center"/>
              <w:rPr>
                <w:sz w:val="17"/>
              </w:rPr>
            </w:pPr>
            <w:r>
              <w:rPr>
                <w:color w:val="231F20"/>
                <w:w w:val="97"/>
                <w:sz w:val="17"/>
              </w:rPr>
              <w:t>1</w:t>
            </w:r>
          </w:p>
        </w:tc>
        <w:tc>
          <w:tcPr>
            <w:tcW w:w="1248" w:type="dxa"/>
          </w:tcPr>
          <w:p>
            <w:pPr>
              <w:pStyle w:val="TableParagraph"/>
              <w:spacing w:before="43"/>
              <w:ind w:left="0" w:right="3"/>
              <w:jc w:val="center"/>
              <w:rPr>
                <w:sz w:val="17"/>
              </w:rPr>
            </w:pPr>
            <w:r>
              <w:rPr>
                <w:color w:val="231F20"/>
                <w:w w:val="97"/>
                <w:sz w:val="17"/>
              </w:rPr>
              <w:t>0</w:t>
            </w:r>
          </w:p>
        </w:tc>
      </w:tr>
    </w:tbl>
    <w:p>
      <w:pPr>
        <w:spacing w:after="0"/>
        <w:jc w:val="center"/>
        <w:rPr>
          <w:sz w:val="17"/>
        </w:rPr>
        <w:sectPr>
          <w:headerReference w:type="default" r:id="rId922"/>
          <w:footerReference w:type="default" r:id="rId923"/>
          <w:pgSz w:w="7830" w:h="11910"/>
          <w:pgMar w:header="0" w:footer="424" w:top="500" w:bottom="620" w:left="800" w:right="800"/>
          <w:pgNumType w:start="41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6" w:firstLine="284"/>
        <w:jc w:val="both"/>
      </w:pPr>
      <w:r>
        <w:rPr>
          <w:color w:val="231F20"/>
          <w:spacing w:val="3"/>
        </w:rPr>
        <w:t>Como </w:t>
      </w:r>
      <w:r>
        <w:rPr>
          <w:color w:val="231F20"/>
          <w:spacing w:val="2"/>
        </w:rPr>
        <w:t>puede observarse </w:t>
      </w:r>
      <w:r>
        <w:rPr>
          <w:color w:val="231F20"/>
        </w:rPr>
        <w:t>en la </w:t>
      </w:r>
      <w:r>
        <w:rPr>
          <w:color w:val="231F20"/>
          <w:spacing w:val="2"/>
        </w:rPr>
        <w:t>Tabla </w:t>
      </w:r>
      <w:r>
        <w:rPr>
          <w:color w:val="231F20"/>
        </w:rPr>
        <w:t>1, es </w:t>
      </w:r>
      <w:r>
        <w:rPr>
          <w:color w:val="231F20"/>
          <w:spacing w:val="2"/>
        </w:rPr>
        <w:t>interesante notar </w:t>
      </w:r>
      <w:r>
        <w:rPr>
          <w:color w:val="231F20"/>
        </w:rPr>
        <w:t>que  si </w:t>
      </w:r>
      <w:r>
        <w:rPr>
          <w:color w:val="231F20"/>
          <w:spacing w:val="2"/>
        </w:rPr>
        <w:t>bien </w:t>
      </w:r>
      <w:r>
        <w:rPr>
          <w:color w:val="231F20"/>
        </w:rPr>
        <w:t>en </w:t>
      </w:r>
      <w:r>
        <w:rPr>
          <w:color w:val="231F20"/>
          <w:spacing w:val="3"/>
        </w:rPr>
        <w:t>ambos </w:t>
      </w:r>
      <w:r>
        <w:rPr>
          <w:color w:val="231F20"/>
          <w:spacing w:val="2"/>
        </w:rPr>
        <w:t>grupos </w:t>
      </w:r>
      <w:r>
        <w:rPr>
          <w:color w:val="231F20"/>
        </w:rPr>
        <w:t>se </w:t>
      </w:r>
      <w:r>
        <w:rPr>
          <w:color w:val="231F20"/>
          <w:spacing w:val="2"/>
        </w:rPr>
        <w:t>encuentran respuestas </w:t>
      </w:r>
      <w:r>
        <w:rPr>
          <w:color w:val="231F20"/>
        </w:rPr>
        <w:t>que </w:t>
      </w:r>
      <w:r>
        <w:rPr>
          <w:color w:val="231F20"/>
          <w:spacing w:val="2"/>
        </w:rPr>
        <w:t>coinciden, hay algunas diferencias. </w:t>
      </w:r>
      <w:r>
        <w:rPr>
          <w:color w:val="231F20"/>
        </w:rPr>
        <w:t>La </w:t>
      </w:r>
      <w:r>
        <w:rPr>
          <w:color w:val="231F20"/>
          <w:spacing w:val="2"/>
        </w:rPr>
        <w:t>respuesta </w:t>
      </w:r>
      <w:r>
        <w:rPr>
          <w:color w:val="231F20"/>
        </w:rPr>
        <w:t>que se </w:t>
      </w:r>
      <w:r>
        <w:rPr>
          <w:color w:val="231F20"/>
          <w:spacing w:val="2"/>
        </w:rPr>
        <w:t>presenta con </w:t>
      </w:r>
      <w:r>
        <w:rPr>
          <w:color w:val="231F20"/>
          <w:spacing w:val="3"/>
        </w:rPr>
        <w:t>mayor </w:t>
      </w:r>
      <w:r>
        <w:rPr>
          <w:color w:val="231F20"/>
          <w:spacing w:val="2"/>
        </w:rPr>
        <w:t>frecuencia </w:t>
      </w:r>
      <w:r>
        <w:rPr>
          <w:color w:val="231F20"/>
        </w:rPr>
        <w:t>en </w:t>
      </w:r>
      <w:r>
        <w:rPr>
          <w:color w:val="231F20"/>
          <w:spacing w:val="3"/>
        </w:rPr>
        <w:t>ambos </w:t>
      </w:r>
      <w:r>
        <w:rPr>
          <w:color w:val="231F20"/>
          <w:spacing w:val="2"/>
        </w:rPr>
        <w:t>grupos </w:t>
      </w:r>
      <w:r>
        <w:rPr>
          <w:color w:val="231F20"/>
        </w:rPr>
        <w:t>es la que se </w:t>
      </w:r>
      <w:r>
        <w:rPr>
          <w:color w:val="231F20"/>
          <w:spacing w:val="3"/>
        </w:rPr>
        <w:t>denominó </w:t>
      </w:r>
      <w:r>
        <w:rPr>
          <w:color w:val="231F20"/>
          <w:spacing w:val="2"/>
        </w:rPr>
        <w:t>“Actitud </w:t>
      </w:r>
      <w:r>
        <w:rPr>
          <w:color w:val="231F20"/>
          <w:spacing w:val="3"/>
        </w:rPr>
        <w:t>nega- </w:t>
      </w:r>
      <w:r>
        <w:rPr>
          <w:color w:val="231F20"/>
          <w:spacing w:val="2"/>
        </w:rPr>
        <w:t>tiva con los estudiantes”. </w:t>
      </w:r>
      <w:r>
        <w:rPr>
          <w:color w:val="231F20"/>
        </w:rPr>
        <w:t>En </w:t>
      </w:r>
      <w:r>
        <w:rPr>
          <w:color w:val="231F20"/>
          <w:spacing w:val="2"/>
        </w:rPr>
        <w:t>este tipo </w:t>
      </w:r>
      <w:r>
        <w:rPr>
          <w:color w:val="231F20"/>
        </w:rPr>
        <w:t>de </w:t>
      </w:r>
      <w:r>
        <w:rPr>
          <w:color w:val="231F20"/>
          <w:spacing w:val="2"/>
        </w:rPr>
        <w:t>respuesta </w:t>
      </w:r>
      <w:r>
        <w:rPr>
          <w:color w:val="231F20"/>
        </w:rPr>
        <w:t>se </w:t>
      </w:r>
      <w:r>
        <w:rPr>
          <w:color w:val="231F20"/>
          <w:spacing w:val="3"/>
        </w:rPr>
        <w:t>agruparon </w:t>
      </w:r>
      <w:r>
        <w:rPr>
          <w:color w:val="231F20"/>
          <w:spacing w:val="2"/>
        </w:rPr>
        <w:t>respuestas tales </w:t>
      </w:r>
      <w:r>
        <w:rPr>
          <w:color w:val="231F20"/>
          <w:spacing w:val="3"/>
        </w:rPr>
        <w:t>como </w:t>
      </w:r>
      <w:r>
        <w:rPr>
          <w:color w:val="231F20"/>
          <w:spacing w:val="2"/>
        </w:rPr>
        <w:t>“que me traten </w:t>
      </w:r>
      <w:r>
        <w:rPr>
          <w:color w:val="231F20"/>
          <w:spacing w:val="3"/>
        </w:rPr>
        <w:t>como ignorante”, </w:t>
      </w:r>
      <w:r>
        <w:rPr>
          <w:color w:val="231F20"/>
          <w:spacing w:val="2"/>
        </w:rPr>
        <w:t>“que me ignore”, “que </w:t>
      </w:r>
      <w:r>
        <w:rPr>
          <w:color w:val="231F20"/>
        </w:rPr>
        <w:t>te </w:t>
      </w:r>
      <w:r>
        <w:rPr>
          <w:color w:val="231F20"/>
          <w:spacing w:val="2"/>
        </w:rPr>
        <w:t>contesten </w:t>
      </w:r>
      <w:r>
        <w:rPr>
          <w:color w:val="231F20"/>
        </w:rPr>
        <w:t>de </w:t>
      </w:r>
      <w:r>
        <w:rPr>
          <w:color w:val="231F20"/>
          <w:spacing w:val="2"/>
        </w:rPr>
        <w:t>mala gana”, “que </w:t>
      </w:r>
      <w:r>
        <w:rPr>
          <w:color w:val="231F20"/>
        </w:rPr>
        <w:t>no </w:t>
      </w:r>
      <w:r>
        <w:rPr>
          <w:color w:val="231F20"/>
          <w:spacing w:val="2"/>
        </w:rPr>
        <w:t>sean accesi- bles”, “que sean </w:t>
      </w:r>
      <w:r>
        <w:rPr>
          <w:color w:val="231F20"/>
          <w:spacing w:val="3"/>
        </w:rPr>
        <w:t>prepotentes”, </w:t>
      </w:r>
      <w:r>
        <w:rPr>
          <w:color w:val="231F20"/>
          <w:spacing w:val="2"/>
        </w:rPr>
        <w:t>entre otras. </w:t>
      </w:r>
      <w:r>
        <w:rPr>
          <w:color w:val="231F20"/>
        </w:rPr>
        <w:t>En el </w:t>
      </w:r>
      <w:r>
        <w:rPr>
          <w:color w:val="231F20"/>
          <w:spacing w:val="2"/>
        </w:rPr>
        <w:t>caso </w:t>
      </w:r>
      <w:r>
        <w:rPr>
          <w:color w:val="231F20"/>
        </w:rPr>
        <w:t>de </w:t>
      </w:r>
      <w:r>
        <w:rPr>
          <w:color w:val="231F20"/>
          <w:spacing w:val="2"/>
        </w:rPr>
        <w:t>Alicante, los estudiantes </w:t>
      </w:r>
      <w:r>
        <w:rPr>
          <w:color w:val="231F20"/>
          <w:spacing w:val="3"/>
        </w:rPr>
        <w:t>mencionaron </w:t>
      </w:r>
      <w:r>
        <w:rPr>
          <w:color w:val="231F20"/>
          <w:spacing w:val="2"/>
        </w:rPr>
        <w:t>que los </w:t>
      </w:r>
      <w:r>
        <w:rPr>
          <w:color w:val="231F20"/>
          <w:spacing w:val="3"/>
        </w:rPr>
        <w:t>maestros </w:t>
      </w:r>
      <w:r>
        <w:rPr>
          <w:color w:val="231F20"/>
        </w:rPr>
        <w:t>se </w:t>
      </w:r>
      <w:r>
        <w:rPr>
          <w:color w:val="231F20"/>
          <w:spacing w:val="3"/>
        </w:rPr>
        <w:t>mostraban </w:t>
      </w:r>
      <w:r>
        <w:rPr>
          <w:color w:val="231F20"/>
          <w:spacing w:val="2"/>
        </w:rPr>
        <w:t>pre- </w:t>
      </w:r>
      <w:r>
        <w:rPr>
          <w:color w:val="231F20"/>
          <w:spacing w:val="3"/>
        </w:rPr>
        <w:t>potentes </w:t>
      </w:r>
      <w:r>
        <w:rPr>
          <w:color w:val="231F20"/>
        </w:rPr>
        <w:t>o que </w:t>
      </w:r>
      <w:r>
        <w:rPr>
          <w:color w:val="231F20"/>
          <w:spacing w:val="2"/>
        </w:rPr>
        <w:t>los </w:t>
      </w:r>
      <w:r>
        <w:rPr>
          <w:color w:val="231F20"/>
          <w:spacing w:val="3"/>
        </w:rPr>
        <w:t>maestros </w:t>
      </w:r>
      <w:r>
        <w:rPr>
          <w:color w:val="231F20"/>
        </w:rPr>
        <w:t>en </w:t>
      </w:r>
      <w:r>
        <w:rPr>
          <w:color w:val="231F20"/>
          <w:spacing w:val="2"/>
        </w:rPr>
        <w:t>ocasiones llegaban </w:t>
      </w:r>
      <w:r>
        <w:rPr>
          <w:color w:val="231F20"/>
        </w:rPr>
        <w:t>de </w:t>
      </w:r>
      <w:r>
        <w:rPr>
          <w:color w:val="231F20"/>
          <w:spacing w:val="2"/>
        </w:rPr>
        <w:t>mal </w:t>
      </w:r>
      <w:r>
        <w:rPr>
          <w:color w:val="231F20"/>
          <w:spacing w:val="11"/>
        </w:rPr>
        <w:t> </w:t>
      </w:r>
      <w:r>
        <w:rPr>
          <w:color w:val="231F20"/>
          <w:spacing w:val="3"/>
        </w:rPr>
        <w:t>humor.</w:t>
      </w:r>
    </w:p>
    <w:p>
      <w:pPr>
        <w:pStyle w:val="BodyText"/>
        <w:spacing w:before="3"/>
        <w:rPr>
          <w:sz w:val="20"/>
        </w:rPr>
      </w:pPr>
    </w:p>
    <w:p>
      <w:pPr>
        <w:pStyle w:val="ListParagraph"/>
        <w:numPr>
          <w:ilvl w:val="1"/>
          <w:numId w:val="23"/>
        </w:numPr>
        <w:tabs>
          <w:tab w:pos="822" w:val="left" w:leader="none"/>
        </w:tabs>
        <w:spacing w:line="247" w:lineRule="auto" w:before="0" w:after="0"/>
        <w:ind w:left="821" w:right="115" w:hanging="359"/>
        <w:jc w:val="both"/>
        <w:rPr>
          <w:sz w:val="21"/>
        </w:rPr>
      </w:pPr>
      <w:r>
        <w:rPr>
          <w:color w:val="231F20"/>
          <w:sz w:val="21"/>
        </w:rPr>
        <w:t>Tengo dos profesores que me molestan mucho, uno de matemáticas y otro de lenguaje, parecen que viven pendientes de nuestras faltas más que de nuestros logros, nunca nos preguntan cómo estamos, es como si no les importáramos. Están programados solo para trabajar (...) (femenino, 16 años).</w:t>
      </w:r>
    </w:p>
    <w:p>
      <w:pPr>
        <w:pStyle w:val="BodyText"/>
        <w:spacing w:before="1"/>
        <w:rPr>
          <w:sz w:val="22"/>
        </w:rPr>
      </w:pPr>
    </w:p>
    <w:p>
      <w:pPr>
        <w:pStyle w:val="BodyText"/>
        <w:spacing w:line="247" w:lineRule="auto"/>
        <w:ind w:left="102" w:right="117" w:firstLine="283"/>
        <w:jc w:val="both"/>
      </w:pPr>
      <w:r>
        <w:rPr>
          <w:color w:val="231F20"/>
        </w:rPr>
        <w:t>Según Aguilera-García y otros, (2007) cuando los alumnos per- ciben una disciplina rígida, y se aplica discrecionalmente, tiende a elevarse la aparición de actos violentos.</w:t>
      </w:r>
    </w:p>
    <w:p>
      <w:pPr>
        <w:pStyle w:val="BodyText"/>
        <w:spacing w:line="247" w:lineRule="auto" w:before="1"/>
        <w:ind w:left="101" w:right="117" w:firstLine="284"/>
        <w:jc w:val="both"/>
      </w:pPr>
      <w:r>
        <w:rPr>
          <w:color w:val="231F20"/>
        </w:rPr>
        <w:t>La siguiente respuesta que tuvo mayor frecuencia en el grupo de Alicante fue la de “motes e insultos”, esto llama la atención pues este tipo de conducta es presentada por los maestros o es percibida así por parte de los alumnos. Lo anterior resulta de suma importan- cia pues el maestro es un agente que debe promover el respeto    entre todos los miembros de la comunidad </w:t>
      </w:r>
      <w:r>
        <w:rPr>
          <w:color w:val="231F20"/>
          <w:spacing w:val="4"/>
        </w:rPr>
        <w:t> </w:t>
      </w:r>
      <w:r>
        <w:rPr>
          <w:color w:val="231F20"/>
        </w:rPr>
        <w:t>escolar.</w:t>
      </w:r>
    </w:p>
    <w:p>
      <w:pPr>
        <w:pStyle w:val="BodyText"/>
        <w:spacing w:line="247" w:lineRule="auto" w:before="1"/>
        <w:ind w:left="101" w:right="117" w:firstLine="284"/>
        <w:jc w:val="both"/>
      </w:pPr>
      <w:r>
        <w:rPr>
          <w:color w:val="231F20"/>
        </w:rPr>
        <w:t>Para ilustrar esto incluimos algunas respuestas textuales de los adolescentes entrevistados.</w:t>
      </w:r>
    </w:p>
    <w:p>
      <w:pPr>
        <w:pStyle w:val="ListParagraph"/>
        <w:numPr>
          <w:ilvl w:val="1"/>
          <w:numId w:val="23"/>
        </w:numPr>
        <w:tabs>
          <w:tab w:pos="822" w:val="left" w:leader="none"/>
        </w:tabs>
        <w:spacing w:line="247" w:lineRule="auto" w:before="0" w:after="0"/>
        <w:ind w:left="821" w:right="117" w:hanging="359"/>
        <w:jc w:val="both"/>
        <w:rPr>
          <w:sz w:val="21"/>
        </w:rPr>
      </w:pPr>
      <w:r>
        <w:rPr>
          <w:color w:val="231F20"/>
          <w:sz w:val="21"/>
        </w:rPr>
        <w:t>No me gusta que me traten como a un crío, y que me digan que soy un mal estudiante, en pocas palabras ponerme de tonto (masculino, 16</w:t>
      </w:r>
      <w:r>
        <w:rPr>
          <w:color w:val="231F20"/>
          <w:spacing w:val="17"/>
          <w:sz w:val="21"/>
        </w:rPr>
        <w:t> </w:t>
      </w:r>
      <w:r>
        <w:rPr>
          <w:color w:val="231F20"/>
          <w:sz w:val="21"/>
        </w:rPr>
        <w:t>años).</w:t>
      </w:r>
    </w:p>
    <w:p>
      <w:pPr>
        <w:pStyle w:val="ListParagraph"/>
        <w:numPr>
          <w:ilvl w:val="1"/>
          <w:numId w:val="23"/>
        </w:numPr>
        <w:tabs>
          <w:tab w:pos="821" w:val="left" w:leader="none"/>
          <w:tab w:pos="822" w:val="left" w:leader="none"/>
        </w:tabs>
        <w:spacing w:line="243" w:lineRule="exact" w:before="0" w:after="0"/>
        <w:ind w:left="821" w:right="0" w:hanging="360"/>
        <w:jc w:val="left"/>
        <w:rPr>
          <w:sz w:val="21"/>
        </w:rPr>
      </w:pPr>
      <w:r>
        <w:rPr>
          <w:color w:val="231F20"/>
          <w:sz w:val="21"/>
        </w:rPr>
        <w:t>Sobre todo que me insulten, recuerdo el año pasado que </w:t>
      </w:r>
      <w:r>
        <w:rPr>
          <w:color w:val="231F20"/>
          <w:spacing w:val="32"/>
          <w:sz w:val="21"/>
        </w:rPr>
        <w:t> </w:t>
      </w:r>
      <w:r>
        <w:rPr>
          <w:color w:val="231F20"/>
          <w:sz w:val="21"/>
        </w:rPr>
        <w:t>un</w:t>
      </w:r>
    </w:p>
    <w:p>
      <w:pPr>
        <w:pStyle w:val="BodyText"/>
        <w:spacing w:before="7"/>
        <w:ind w:left="821" w:right="121"/>
      </w:pPr>
      <w:r>
        <w:rPr>
          <w:color w:val="231F20"/>
        </w:rPr>
        <w:t>profesor me llegó a insultar (femenino, 16 años).</w:t>
      </w:r>
    </w:p>
    <w:p>
      <w:pPr>
        <w:pStyle w:val="BodyText"/>
        <w:spacing w:before="3"/>
        <w:rPr>
          <w:sz w:val="22"/>
        </w:rPr>
      </w:pPr>
    </w:p>
    <w:p>
      <w:pPr>
        <w:pStyle w:val="BodyText"/>
        <w:spacing w:line="247" w:lineRule="auto"/>
        <w:ind w:left="102" w:right="117" w:firstLine="284"/>
        <w:jc w:val="both"/>
      </w:pPr>
      <w:r>
        <w:rPr>
          <w:color w:val="231F20"/>
        </w:rPr>
        <w:t>La respuesta “que me haga quedar en ridículo” fue una de las   que presentó mayor frecuencia y se presenta solo en el grupo de Alicante. Es interesante cómo perciben los adolescentes la relación que  se  da  con  algunos  docentes,  pues  tal  vez,  estos  piensan</w:t>
      </w:r>
      <w:r>
        <w:rPr>
          <w:color w:val="231F20"/>
          <w:spacing w:val="31"/>
        </w:rPr>
        <w:t> </w:t>
      </w:r>
      <w:r>
        <w:rPr>
          <w:color w:val="231F20"/>
        </w:rPr>
        <w:t>en</w:t>
      </w:r>
    </w:p>
    <w:p>
      <w:pPr>
        <w:spacing w:after="0" w:line="247" w:lineRule="auto"/>
        <w:jc w:val="both"/>
        <w:sectPr>
          <w:headerReference w:type="default" r:id="rId924"/>
          <w:footerReference w:type="default" r:id="rId925"/>
          <w:pgSz w:w="7830" w:h="11910"/>
          <w:pgMar w:header="0" w:footer="424" w:top="500" w:bottom="620" w:left="920" w:right="900"/>
          <w:pgNumType w:start="420"/>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8"/>
        <w:jc w:val="center"/>
      </w:pPr>
      <w:r>
        <w:rPr>
          <w:color w:val="231F20"/>
        </w:rPr>
        <w:t>bromear con los estudiantes pero es percibido como ridiculización   o peor aún, que verdaderamente se tenga la intención de</w:t>
      </w:r>
      <w:r>
        <w:rPr>
          <w:color w:val="231F20"/>
          <w:spacing w:val="31"/>
        </w:rPr>
        <w:t> </w:t>
      </w:r>
      <w:r>
        <w:rPr>
          <w:color w:val="231F20"/>
        </w:rPr>
        <w:t>ridiculizar.</w:t>
      </w:r>
    </w:p>
    <w:p>
      <w:pPr>
        <w:pStyle w:val="BodyText"/>
        <w:spacing w:before="5"/>
        <w:rPr>
          <w:sz w:val="20"/>
        </w:rPr>
      </w:pPr>
    </w:p>
    <w:p>
      <w:pPr>
        <w:pStyle w:val="ListParagraph"/>
        <w:numPr>
          <w:ilvl w:val="1"/>
          <w:numId w:val="23"/>
        </w:numPr>
        <w:tabs>
          <w:tab w:pos="822" w:val="left" w:leader="none"/>
        </w:tabs>
        <w:spacing w:line="249" w:lineRule="auto" w:before="1" w:after="0"/>
        <w:ind w:left="821" w:right="119" w:hanging="359"/>
        <w:jc w:val="both"/>
        <w:rPr>
          <w:sz w:val="21"/>
        </w:rPr>
      </w:pPr>
      <w:r>
        <w:rPr>
          <w:color w:val="231F20"/>
          <w:sz w:val="21"/>
        </w:rPr>
        <w:t>Lo que lo que más me disgusta de las aulas, es la ridiculización por parte de los profesores (femenino 17 años).</w:t>
      </w:r>
    </w:p>
    <w:p>
      <w:pPr>
        <w:pStyle w:val="ListParagraph"/>
        <w:numPr>
          <w:ilvl w:val="1"/>
          <w:numId w:val="23"/>
        </w:numPr>
        <w:tabs>
          <w:tab w:pos="822" w:val="left" w:leader="none"/>
        </w:tabs>
        <w:spacing w:line="241" w:lineRule="exact" w:before="0" w:after="0"/>
        <w:ind w:left="821" w:right="0" w:hanging="360"/>
        <w:jc w:val="both"/>
        <w:rPr>
          <w:sz w:val="21"/>
        </w:rPr>
      </w:pPr>
      <w:r>
        <w:rPr>
          <w:color w:val="231F20"/>
          <w:sz w:val="21"/>
        </w:rPr>
        <w:t>Que me saque a la pizarra para dejarme en ridículo  </w:t>
      </w:r>
      <w:r>
        <w:rPr>
          <w:color w:val="231F20"/>
          <w:spacing w:val="24"/>
          <w:sz w:val="21"/>
        </w:rPr>
        <w:t> </w:t>
      </w:r>
      <w:r>
        <w:rPr>
          <w:color w:val="231F20"/>
          <w:sz w:val="21"/>
        </w:rPr>
        <w:t>porque</w:t>
      </w:r>
    </w:p>
    <w:p>
      <w:pPr>
        <w:pStyle w:val="BodyText"/>
        <w:spacing w:line="247" w:lineRule="auto" w:before="7"/>
        <w:ind w:left="821" w:right="116"/>
        <w:jc w:val="both"/>
      </w:pPr>
      <w:r>
        <w:rPr>
          <w:color w:val="231F20"/>
        </w:rPr>
        <w:t>estoy hablando (un momento), y para él es algo  insoportable (...). Y no me gusta que me diga qué es lo que me conviene en relación a mi actitud, como si fuera un fracasado sino me comporto como él quiere (masculino 16 años).</w:t>
      </w:r>
    </w:p>
    <w:p>
      <w:pPr>
        <w:pStyle w:val="BodyText"/>
        <w:spacing w:before="4"/>
      </w:pPr>
    </w:p>
    <w:p>
      <w:pPr>
        <w:pStyle w:val="BodyText"/>
        <w:spacing w:line="250" w:lineRule="exact"/>
        <w:ind w:left="101" w:right="115" w:firstLine="284"/>
        <w:jc w:val="both"/>
      </w:pPr>
      <w:r>
        <w:rPr>
          <w:color w:val="231F20"/>
        </w:rPr>
        <w:t>En el grupo de Querétaro, la siguiente respuesta con mayor fre- cuencia, es la de “que sean enojones”</w:t>
      </w:r>
      <w:r>
        <w:rPr>
          <w:rFonts w:ascii="Segoe UI" w:hAnsi="Segoe UI"/>
          <w:i/>
          <w:color w:val="231F20"/>
        </w:rPr>
        <w:t>. </w:t>
      </w:r>
      <w:r>
        <w:rPr>
          <w:color w:val="231F20"/>
        </w:rPr>
        <w:t>Parece ser que para los estu- diantes de este grupo las características personales son muy impor- tantes para el adecuado clima de convivencia.</w:t>
      </w:r>
    </w:p>
    <w:p>
      <w:pPr>
        <w:pStyle w:val="BodyText"/>
        <w:spacing w:line="247" w:lineRule="auto" w:before="8"/>
        <w:ind w:left="101" w:right="118" w:firstLine="284"/>
        <w:jc w:val="both"/>
      </w:pPr>
      <w:r>
        <w:rPr>
          <w:color w:val="231F20"/>
        </w:rPr>
        <w:t>El resto de respuestas tienen que ver también con cuestiones de “relación maestro-alumno” por ejemplo que griten, no los traten igual, que los ignoren, que no les hablen por su nombre.</w:t>
      </w:r>
    </w:p>
    <w:p>
      <w:pPr>
        <w:pStyle w:val="BodyText"/>
        <w:spacing w:before="5"/>
        <w:rPr>
          <w:sz w:val="20"/>
        </w:rPr>
      </w:pPr>
    </w:p>
    <w:p>
      <w:pPr>
        <w:pStyle w:val="ListParagraph"/>
        <w:numPr>
          <w:ilvl w:val="1"/>
          <w:numId w:val="23"/>
        </w:numPr>
        <w:tabs>
          <w:tab w:pos="822" w:val="left" w:leader="none"/>
        </w:tabs>
        <w:spacing w:line="247" w:lineRule="auto" w:before="1" w:after="0"/>
        <w:ind w:left="821" w:right="116" w:hanging="359"/>
        <w:jc w:val="both"/>
        <w:rPr>
          <w:sz w:val="21"/>
        </w:rPr>
      </w:pPr>
      <w:r>
        <w:rPr>
          <w:color w:val="231F20"/>
          <w:sz w:val="21"/>
        </w:rPr>
        <w:t>Que griten los profesores cuando estamos hablando o cuando estamos trabajando en grupo y ya pide silencio. O también se cabrean y gritan cuando nos equivocamos o se nos olvidan los deberes (masculino 16</w:t>
      </w:r>
      <w:r>
        <w:rPr>
          <w:color w:val="231F20"/>
          <w:spacing w:val="9"/>
          <w:sz w:val="21"/>
        </w:rPr>
        <w:t> </w:t>
      </w:r>
      <w:r>
        <w:rPr>
          <w:color w:val="231F20"/>
          <w:sz w:val="21"/>
        </w:rPr>
        <w:t>años).</w:t>
      </w:r>
    </w:p>
    <w:p>
      <w:pPr>
        <w:pStyle w:val="ListParagraph"/>
        <w:numPr>
          <w:ilvl w:val="1"/>
          <w:numId w:val="23"/>
        </w:numPr>
        <w:tabs>
          <w:tab w:pos="822" w:val="left" w:leader="none"/>
        </w:tabs>
        <w:spacing w:line="243" w:lineRule="exact" w:before="0" w:after="0"/>
        <w:ind w:left="821" w:right="0" w:hanging="360"/>
        <w:jc w:val="both"/>
        <w:rPr>
          <w:sz w:val="21"/>
        </w:rPr>
      </w:pPr>
      <w:r>
        <w:rPr>
          <w:color w:val="231F20"/>
          <w:spacing w:val="3"/>
          <w:sz w:val="21"/>
        </w:rPr>
        <w:t>Me  </w:t>
      </w:r>
      <w:r>
        <w:rPr>
          <w:color w:val="231F20"/>
          <w:spacing w:val="4"/>
          <w:sz w:val="21"/>
        </w:rPr>
        <w:t>molesta </w:t>
      </w:r>
      <w:r>
        <w:rPr>
          <w:color w:val="231F20"/>
          <w:spacing w:val="3"/>
          <w:sz w:val="21"/>
        </w:rPr>
        <w:t>que  mi  </w:t>
      </w:r>
      <w:r>
        <w:rPr>
          <w:color w:val="231F20"/>
          <w:spacing w:val="4"/>
          <w:sz w:val="21"/>
        </w:rPr>
        <w:t>profesor </w:t>
      </w:r>
      <w:r>
        <w:rPr>
          <w:color w:val="231F20"/>
          <w:spacing w:val="2"/>
          <w:sz w:val="21"/>
        </w:rPr>
        <w:t>de  </w:t>
      </w:r>
      <w:r>
        <w:rPr>
          <w:color w:val="231F20"/>
          <w:spacing w:val="4"/>
          <w:sz w:val="21"/>
        </w:rPr>
        <w:t>matemáticas nunca</w:t>
      </w:r>
      <w:r>
        <w:rPr>
          <w:color w:val="231F20"/>
          <w:spacing w:val="53"/>
          <w:sz w:val="21"/>
        </w:rPr>
        <w:t> </w:t>
      </w:r>
      <w:r>
        <w:rPr>
          <w:color w:val="231F20"/>
          <w:spacing w:val="3"/>
          <w:sz w:val="21"/>
        </w:rPr>
        <w:t>me</w:t>
      </w:r>
    </w:p>
    <w:p>
      <w:pPr>
        <w:pStyle w:val="BodyText"/>
        <w:spacing w:line="249" w:lineRule="auto" w:before="7"/>
        <w:ind w:left="821" w:right="117"/>
        <w:jc w:val="both"/>
      </w:pPr>
      <w:r>
        <w:rPr>
          <w:color w:val="231F20"/>
          <w:spacing w:val="4"/>
        </w:rPr>
        <w:t>llame por </w:t>
      </w:r>
      <w:r>
        <w:rPr>
          <w:color w:val="231F20"/>
          <w:spacing w:val="3"/>
        </w:rPr>
        <w:t>mi </w:t>
      </w:r>
      <w:r>
        <w:rPr>
          <w:color w:val="231F20"/>
          <w:spacing w:val="5"/>
        </w:rPr>
        <w:t>nombre, </w:t>
      </w:r>
      <w:r>
        <w:rPr>
          <w:color w:val="231F20"/>
          <w:spacing w:val="4"/>
        </w:rPr>
        <w:t>parece que </w:t>
      </w:r>
      <w:r>
        <w:rPr>
          <w:color w:val="231F20"/>
          <w:spacing w:val="2"/>
        </w:rPr>
        <w:t>no </w:t>
      </w:r>
      <w:r>
        <w:rPr>
          <w:color w:val="231F20"/>
          <w:spacing w:val="3"/>
        </w:rPr>
        <w:t>soy </w:t>
      </w:r>
      <w:r>
        <w:rPr>
          <w:color w:val="231F20"/>
          <w:spacing w:val="4"/>
        </w:rPr>
        <w:t>una persona, parece </w:t>
      </w:r>
      <w:r>
        <w:rPr>
          <w:color w:val="231F20"/>
          <w:spacing w:val="3"/>
        </w:rPr>
        <w:t>que </w:t>
      </w:r>
      <w:r>
        <w:rPr>
          <w:color w:val="231F20"/>
          <w:spacing w:val="2"/>
        </w:rPr>
        <w:t>se </w:t>
      </w:r>
      <w:r>
        <w:rPr>
          <w:color w:val="231F20"/>
          <w:spacing w:val="4"/>
        </w:rPr>
        <w:t>molesta cuando </w:t>
      </w:r>
      <w:r>
        <w:rPr>
          <w:color w:val="231F20"/>
          <w:spacing w:val="2"/>
        </w:rPr>
        <w:t>le </w:t>
      </w:r>
      <w:r>
        <w:rPr>
          <w:color w:val="231F20"/>
          <w:spacing w:val="4"/>
        </w:rPr>
        <w:t>hago </w:t>
      </w:r>
      <w:r>
        <w:rPr>
          <w:color w:val="231F20"/>
          <w:spacing w:val="5"/>
        </w:rPr>
        <w:t>preguntas </w:t>
      </w:r>
      <w:r>
        <w:rPr>
          <w:color w:val="231F20"/>
          <w:spacing w:val="4"/>
        </w:rPr>
        <w:t>relacionadas </w:t>
      </w:r>
      <w:r>
        <w:rPr>
          <w:color w:val="231F20"/>
          <w:spacing w:val="3"/>
        </w:rPr>
        <w:t>con </w:t>
      </w:r>
      <w:r>
        <w:rPr>
          <w:color w:val="231F20"/>
          <w:spacing w:val="2"/>
        </w:rPr>
        <w:t>la </w:t>
      </w:r>
      <w:r>
        <w:rPr>
          <w:color w:val="231F20"/>
          <w:spacing w:val="4"/>
        </w:rPr>
        <w:t>materia </w:t>
      </w:r>
      <w:r>
        <w:rPr>
          <w:color w:val="231F20"/>
        </w:rPr>
        <w:t>y </w:t>
      </w:r>
      <w:r>
        <w:rPr>
          <w:color w:val="231F20"/>
          <w:spacing w:val="4"/>
        </w:rPr>
        <w:t>también pasa </w:t>
      </w:r>
      <w:r>
        <w:rPr>
          <w:color w:val="231F20"/>
          <w:spacing w:val="3"/>
        </w:rPr>
        <w:t>de </w:t>
      </w:r>
      <w:r>
        <w:rPr>
          <w:color w:val="231F20"/>
          <w:spacing w:val="4"/>
        </w:rPr>
        <w:t>nosotros,   </w:t>
      </w:r>
      <w:r>
        <w:rPr>
          <w:color w:val="231F20"/>
        </w:rPr>
        <w:t>o </w:t>
      </w:r>
      <w:r>
        <w:rPr>
          <w:color w:val="231F20"/>
          <w:spacing w:val="3"/>
        </w:rPr>
        <w:t>que </w:t>
      </w:r>
      <w:r>
        <w:rPr>
          <w:color w:val="231F20"/>
          <w:spacing w:val="2"/>
        </w:rPr>
        <w:t>te </w:t>
      </w:r>
      <w:r>
        <w:rPr>
          <w:color w:val="231F20"/>
          <w:spacing w:val="4"/>
        </w:rPr>
        <w:t>encuentra por </w:t>
      </w:r>
      <w:r>
        <w:rPr>
          <w:color w:val="231F20"/>
          <w:spacing w:val="2"/>
        </w:rPr>
        <w:t>el </w:t>
      </w:r>
      <w:r>
        <w:rPr>
          <w:color w:val="231F20"/>
          <w:spacing w:val="4"/>
        </w:rPr>
        <w:t>pasillo </w:t>
      </w:r>
      <w:r>
        <w:rPr>
          <w:color w:val="231F20"/>
        </w:rPr>
        <w:t>y </w:t>
      </w:r>
      <w:r>
        <w:rPr>
          <w:color w:val="231F20"/>
          <w:spacing w:val="3"/>
        </w:rPr>
        <w:t>ni </w:t>
      </w:r>
      <w:r>
        <w:rPr>
          <w:color w:val="231F20"/>
          <w:spacing w:val="2"/>
        </w:rPr>
        <w:t>te  </w:t>
      </w:r>
      <w:r>
        <w:rPr>
          <w:color w:val="231F20"/>
          <w:spacing w:val="5"/>
        </w:rPr>
        <w:t>saluda  </w:t>
      </w:r>
      <w:r>
        <w:rPr>
          <w:color w:val="231F20"/>
          <w:spacing w:val="4"/>
        </w:rPr>
        <w:t>(masculino </w:t>
      </w:r>
      <w:r>
        <w:rPr>
          <w:color w:val="231F20"/>
          <w:spacing w:val="2"/>
        </w:rPr>
        <w:t>16</w:t>
      </w:r>
      <w:r>
        <w:rPr>
          <w:color w:val="231F20"/>
          <w:spacing w:val="-11"/>
        </w:rPr>
        <w:t> </w:t>
      </w:r>
      <w:r>
        <w:rPr>
          <w:color w:val="231F20"/>
          <w:spacing w:val="4"/>
        </w:rPr>
        <w:t>años).</w:t>
      </w:r>
    </w:p>
    <w:p>
      <w:pPr>
        <w:pStyle w:val="BodyText"/>
        <w:spacing w:before="5"/>
      </w:pPr>
    </w:p>
    <w:p>
      <w:pPr>
        <w:pStyle w:val="BodyText"/>
        <w:spacing w:line="247" w:lineRule="auto"/>
        <w:ind w:left="102" w:right="115" w:firstLine="284"/>
        <w:jc w:val="both"/>
      </w:pPr>
      <w:r>
        <w:rPr>
          <w:color w:val="231F20"/>
        </w:rPr>
        <w:t>En 2009, Esteve planteó algunas actitudes del docente que in- fluyen para que la relación maestro-alumno sea inadecuada y, con esto, deteriorarla y provocar conflictos. En las respuestas pode- mos observar lo que el autor menciona como “mostrar antipatía y actuar tiránicamente”. Es importante recalcar que si bien, la “rela- ción maestro-alumno” no es la única variable que influye en el clima de  convivencia, sí  es  una de  las  que más influencia  tiene;</w:t>
      </w:r>
    </w:p>
    <w:p>
      <w:pPr>
        <w:spacing w:after="0" w:line="247" w:lineRule="auto"/>
        <w:jc w:val="both"/>
        <w:sectPr>
          <w:headerReference w:type="default" r:id="rId926"/>
          <w:footerReference w:type="default" r:id="rId927"/>
          <w:pgSz w:w="7830" w:h="11910"/>
          <w:pgMar w:header="0" w:footer="424" w:top="500" w:bottom="620" w:left="920" w:right="900"/>
          <w:pgNumType w:start="421"/>
        </w:sectPr>
      </w:pPr>
    </w:p>
    <w:p>
      <w:pPr>
        <w:spacing w:before="46"/>
        <w:ind w:left="565" w:right="562"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222" w:right="220"/>
        <w:jc w:val="both"/>
      </w:pPr>
      <w:r>
        <w:rPr>
          <w:color w:val="231F20"/>
        </w:rPr>
        <w:t>más aún Zamora-Poblete y Zerón-Rodríguez (2010), mencionan que la actitud del maestro puede convertirse en una barrera para el aprendizaje.</w:t>
      </w:r>
    </w:p>
    <w:p>
      <w:pPr>
        <w:pStyle w:val="BodyText"/>
        <w:spacing w:line="249" w:lineRule="auto" w:before="1"/>
        <w:ind w:left="222" w:right="216" w:firstLine="284"/>
        <w:jc w:val="both"/>
      </w:pPr>
      <w:r>
        <w:rPr>
          <w:color w:val="231F20"/>
        </w:rPr>
        <w:t>La </w:t>
      </w:r>
      <w:r>
        <w:rPr>
          <w:color w:val="231F20"/>
          <w:spacing w:val="2"/>
        </w:rPr>
        <w:t>siguiente categoría identificada </w:t>
      </w:r>
      <w:r>
        <w:rPr>
          <w:color w:val="231F20"/>
        </w:rPr>
        <w:t>es la que se </w:t>
      </w:r>
      <w:r>
        <w:rPr>
          <w:color w:val="231F20"/>
          <w:spacing w:val="2"/>
        </w:rPr>
        <w:t>denominó “Lo pedagógico”. </w:t>
      </w:r>
      <w:r>
        <w:rPr>
          <w:color w:val="231F20"/>
        </w:rPr>
        <w:t>En </w:t>
      </w:r>
      <w:r>
        <w:rPr>
          <w:color w:val="231F20"/>
          <w:spacing w:val="2"/>
        </w:rPr>
        <w:t>esta categoría </w:t>
      </w:r>
      <w:r>
        <w:rPr>
          <w:color w:val="231F20"/>
        </w:rPr>
        <w:t>se </w:t>
      </w:r>
      <w:r>
        <w:rPr>
          <w:color w:val="231F20"/>
          <w:spacing w:val="2"/>
        </w:rPr>
        <w:t>incluyeron </w:t>
      </w:r>
      <w:r>
        <w:rPr>
          <w:color w:val="231F20"/>
        </w:rPr>
        <w:t>las </w:t>
      </w:r>
      <w:r>
        <w:rPr>
          <w:color w:val="231F20"/>
          <w:spacing w:val="2"/>
        </w:rPr>
        <w:t>respuestas </w:t>
      </w:r>
      <w:r>
        <w:rPr>
          <w:color w:val="231F20"/>
        </w:rPr>
        <w:t>que </w:t>
      </w:r>
      <w:r>
        <w:rPr>
          <w:color w:val="231F20"/>
          <w:spacing w:val="2"/>
        </w:rPr>
        <w:t>aludían </w:t>
      </w:r>
      <w:r>
        <w:rPr>
          <w:color w:val="231F20"/>
        </w:rPr>
        <w:t>a </w:t>
      </w:r>
      <w:r>
        <w:rPr>
          <w:color w:val="231F20"/>
          <w:spacing w:val="2"/>
        </w:rPr>
        <w:t>los aspectos relacionados con </w:t>
      </w:r>
      <w:r>
        <w:rPr>
          <w:color w:val="231F20"/>
        </w:rPr>
        <w:t>el </w:t>
      </w:r>
      <w:r>
        <w:rPr>
          <w:color w:val="231F20"/>
          <w:spacing w:val="2"/>
        </w:rPr>
        <w:t>proceso </w:t>
      </w:r>
      <w:r>
        <w:rPr>
          <w:color w:val="231F20"/>
        </w:rPr>
        <w:t>de </w:t>
      </w:r>
      <w:r>
        <w:rPr>
          <w:color w:val="231F20"/>
          <w:spacing w:val="3"/>
        </w:rPr>
        <w:t>enseñanza. </w:t>
      </w:r>
      <w:r>
        <w:rPr>
          <w:color w:val="231F20"/>
        </w:rPr>
        <w:t>En la </w:t>
      </w:r>
      <w:r>
        <w:rPr>
          <w:color w:val="231F20"/>
          <w:spacing w:val="2"/>
        </w:rPr>
        <w:t>Tabla </w:t>
      </w:r>
      <w:r>
        <w:rPr>
          <w:color w:val="231F20"/>
        </w:rPr>
        <w:t>2 se </w:t>
      </w:r>
      <w:r>
        <w:rPr>
          <w:color w:val="231F20"/>
          <w:spacing w:val="2"/>
        </w:rPr>
        <w:t>pueden observar </w:t>
      </w:r>
      <w:r>
        <w:rPr>
          <w:color w:val="231F20"/>
        </w:rPr>
        <w:t>las </w:t>
      </w:r>
      <w:r>
        <w:rPr>
          <w:color w:val="231F20"/>
          <w:spacing w:val="3"/>
        </w:rPr>
        <w:t> </w:t>
      </w:r>
      <w:r>
        <w:rPr>
          <w:color w:val="231F20"/>
          <w:spacing w:val="2"/>
        </w:rPr>
        <w:t>respuestas.</w:t>
      </w:r>
    </w:p>
    <w:p>
      <w:pPr>
        <w:pStyle w:val="BodyText"/>
        <w:spacing w:before="2"/>
        <w:rPr>
          <w:sz w:val="23"/>
        </w:rPr>
      </w:pPr>
    </w:p>
    <w:p>
      <w:pPr>
        <w:spacing w:line="273" w:lineRule="auto" w:before="0"/>
        <w:ind w:left="1016" w:right="1013" w:firstLine="0"/>
        <w:jc w:val="center"/>
        <w:rPr>
          <w:b/>
          <w:sz w:val="19"/>
        </w:rPr>
      </w:pPr>
      <w:r>
        <w:rPr>
          <w:b/>
          <w:color w:val="231F20"/>
          <w:w w:val="105"/>
          <w:sz w:val="19"/>
        </w:rPr>
        <w:t>Tabla 2. Frecuencia de respuestas de la categoría “Lo pedagógico”</w:t>
      </w:r>
    </w:p>
    <w:p>
      <w:pPr>
        <w:pStyle w:val="BodyText"/>
        <w:spacing w:before="5"/>
        <w:rPr>
          <w:b/>
          <w:sz w:val="8"/>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66"/>
        <w:gridCol w:w="1291"/>
        <w:gridCol w:w="1243"/>
      </w:tblGrid>
      <w:tr>
        <w:trPr>
          <w:trHeight w:val="259" w:hRule="exact"/>
        </w:trPr>
        <w:tc>
          <w:tcPr>
            <w:tcW w:w="3466" w:type="dxa"/>
          </w:tcPr>
          <w:p>
            <w:pPr>
              <w:pStyle w:val="TableParagraph"/>
              <w:spacing w:before="43"/>
              <w:ind w:left="105"/>
              <w:rPr>
                <w:b/>
                <w:sz w:val="17"/>
              </w:rPr>
            </w:pPr>
            <w:r>
              <w:rPr>
                <w:b/>
                <w:color w:val="231F20"/>
                <w:w w:val="105"/>
                <w:sz w:val="17"/>
              </w:rPr>
              <w:t>Respuestas</w:t>
            </w:r>
          </w:p>
        </w:tc>
        <w:tc>
          <w:tcPr>
            <w:tcW w:w="1291" w:type="dxa"/>
          </w:tcPr>
          <w:p>
            <w:pPr>
              <w:pStyle w:val="TableParagraph"/>
              <w:spacing w:before="43"/>
              <w:rPr>
                <w:b/>
                <w:sz w:val="17"/>
              </w:rPr>
            </w:pPr>
            <w:r>
              <w:rPr>
                <w:b/>
                <w:color w:val="231F20"/>
                <w:sz w:val="17"/>
              </w:rPr>
              <w:t>Querétaro</w:t>
            </w:r>
          </w:p>
        </w:tc>
        <w:tc>
          <w:tcPr>
            <w:tcW w:w="1243" w:type="dxa"/>
          </w:tcPr>
          <w:p>
            <w:pPr>
              <w:pStyle w:val="TableParagraph"/>
              <w:spacing w:before="43"/>
              <w:rPr>
                <w:b/>
                <w:sz w:val="17"/>
              </w:rPr>
            </w:pPr>
            <w:r>
              <w:rPr>
                <w:b/>
                <w:color w:val="231F20"/>
                <w:w w:val="105"/>
                <w:sz w:val="17"/>
              </w:rPr>
              <w:t>Alicante</w:t>
            </w:r>
          </w:p>
        </w:tc>
      </w:tr>
      <w:tr>
        <w:trPr>
          <w:trHeight w:val="259" w:hRule="exact"/>
        </w:trPr>
        <w:tc>
          <w:tcPr>
            <w:tcW w:w="3466" w:type="dxa"/>
          </w:tcPr>
          <w:p>
            <w:pPr>
              <w:pStyle w:val="TableParagraph"/>
              <w:spacing w:before="43"/>
              <w:ind w:left="105"/>
              <w:rPr>
                <w:sz w:val="17"/>
              </w:rPr>
            </w:pPr>
            <w:r>
              <w:rPr>
                <w:color w:val="231F20"/>
                <w:sz w:val="17"/>
              </w:rPr>
              <w:t>Castigos injustos (individuales o colectivos)</w:t>
            </w:r>
          </w:p>
        </w:tc>
        <w:tc>
          <w:tcPr>
            <w:tcW w:w="1291" w:type="dxa"/>
          </w:tcPr>
          <w:p>
            <w:pPr>
              <w:pStyle w:val="TableParagraph"/>
              <w:spacing w:before="43"/>
              <w:rPr>
                <w:sz w:val="17"/>
              </w:rPr>
            </w:pPr>
            <w:r>
              <w:rPr>
                <w:color w:val="231F20"/>
                <w:w w:val="97"/>
                <w:sz w:val="17"/>
              </w:rPr>
              <w:t>6</w:t>
            </w:r>
          </w:p>
        </w:tc>
        <w:tc>
          <w:tcPr>
            <w:tcW w:w="1243" w:type="dxa"/>
          </w:tcPr>
          <w:p>
            <w:pPr>
              <w:pStyle w:val="TableParagraph"/>
              <w:spacing w:before="43"/>
              <w:rPr>
                <w:sz w:val="17"/>
              </w:rPr>
            </w:pPr>
            <w:r>
              <w:rPr>
                <w:color w:val="231F20"/>
                <w:sz w:val="17"/>
              </w:rPr>
              <w:t>20</w:t>
            </w:r>
          </w:p>
        </w:tc>
      </w:tr>
      <w:tr>
        <w:trPr>
          <w:trHeight w:val="259" w:hRule="exact"/>
        </w:trPr>
        <w:tc>
          <w:tcPr>
            <w:tcW w:w="3466" w:type="dxa"/>
          </w:tcPr>
          <w:p>
            <w:pPr>
              <w:pStyle w:val="TableParagraph"/>
              <w:spacing w:before="43"/>
              <w:ind w:left="105"/>
              <w:rPr>
                <w:sz w:val="17"/>
              </w:rPr>
            </w:pPr>
            <w:r>
              <w:rPr>
                <w:color w:val="231F20"/>
                <w:sz w:val="17"/>
              </w:rPr>
              <w:t>Clases aburridas</w:t>
            </w:r>
          </w:p>
        </w:tc>
        <w:tc>
          <w:tcPr>
            <w:tcW w:w="1291" w:type="dxa"/>
          </w:tcPr>
          <w:p>
            <w:pPr>
              <w:pStyle w:val="TableParagraph"/>
              <w:spacing w:before="43"/>
              <w:rPr>
                <w:sz w:val="17"/>
              </w:rPr>
            </w:pPr>
            <w:r>
              <w:rPr>
                <w:color w:val="231F20"/>
                <w:sz w:val="17"/>
              </w:rPr>
              <w:t>11</w:t>
            </w:r>
          </w:p>
        </w:tc>
        <w:tc>
          <w:tcPr>
            <w:tcW w:w="1243" w:type="dxa"/>
          </w:tcPr>
          <w:p>
            <w:pPr>
              <w:pStyle w:val="TableParagraph"/>
              <w:spacing w:before="43"/>
              <w:rPr>
                <w:sz w:val="17"/>
              </w:rPr>
            </w:pPr>
            <w:r>
              <w:rPr>
                <w:color w:val="231F20"/>
                <w:w w:val="97"/>
                <w:sz w:val="17"/>
              </w:rPr>
              <w:t>6</w:t>
            </w:r>
          </w:p>
        </w:tc>
      </w:tr>
      <w:tr>
        <w:trPr>
          <w:trHeight w:val="264" w:hRule="exact"/>
        </w:trPr>
        <w:tc>
          <w:tcPr>
            <w:tcW w:w="3466" w:type="dxa"/>
          </w:tcPr>
          <w:p>
            <w:pPr>
              <w:pStyle w:val="TableParagraph"/>
              <w:spacing w:before="47"/>
              <w:ind w:left="105"/>
              <w:rPr>
                <w:sz w:val="17"/>
              </w:rPr>
            </w:pPr>
            <w:r>
              <w:rPr>
                <w:color w:val="231F20"/>
                <w:sz w:val="17"/>
              </w:rPr>
              <w:t>Características personales</w:t>
            </w:r>
          </w:p>
        </w:tc>
        <w:tc>
          <w:tcPr>
            <w:tcW w:w="1291" w:type="dxa"/>
          </w:tcPr>
          <w:p>
            <w:pPr>
              <w:pStyle w:val="TableParagraph"/>
              <w:spacing w:before="47"/>
              <w:rPr>
                <w:sz w:val="17"/>
              </w:rPr>
            </w:pPr>
            <w:r>
              <w:rPr>
                <w:color w:val="231F20"/>
                <w:sz w:val="17"/>
              </w:rPr>
              <w:t>10</w:t>
            </w:r>
          </w:p>
        </w:tc>
        <w:tc>
          <w:tcPr>
            <w:tcW w:w="1243" w:type="dxa"/>
          </w:tcPr>
          <w:p>
            <w:pPr>
              <w:pStyle w:val="TableParagraph"/>
              <w:spacing w:before="47"/>
              <w:rPr>
                <w:sz w:val="17"/>
              </w:rPr>
            </w:pPr>
            <w:r>
              <w:rPr>
                <w:color w:val="231F20"/>
                <w:w w:val="97"/>
                <w:sz w:val="17"/>
              </w:rPr>
              <w:t>0</w:t>
            </w:r>
          </w:p>
        </w:tc>
      </w:tr>
      <w:tr>
        <w:trPr>
          <w:trHeight w:val="259" w:hRule="exact"/>
        </w:trPr>
        <w:tc>
          <w:tcPr>
            <w:tcW w:w="3466" w:type="dxa"/>
          </w:tcPr>
          <w:p>
            <w:pPr>
              <w:pStyle w:val="TableParagraph"/>
              <w:spacing w:before="43"/>
              <w:ind w:left="105"/>
              <w:rPr>
                <w:sz w:val="17"/>
              </w:rPr>
            </w:pPr>
            <w:r>
              <w:rPr>
                <w:color w:val="231F20"/>
                <w:sz w:val="17"/>
              </w:rPr>
              <w:t>Técnicas empleadas</w:t>
            </w:r>
          </w:p>
        </w:tc>
        <w:tc>
          <w:tcPr>
            <w:tcW w:w="1291" w:type="dxa"/>
          </w:tcPr>
          <w:p>
            <w:pPr>
              <w:pStyle w:val="TableParagraph"/>
              <w:spacing w:before="43"/>
              <w:rPr>
                <w:sz w:val="17"/>
              </w:rPr>
            </w:pPr>
            <w:r>
              <w:rPr>
                <w:color w:val="231F20"/>
                <w:w w:val="97"/>
                <w:sz w:val="17"/>
              </w:rPr>
              <w:t>0</w:t>
            </w:r>
          </w:p>
        </w:tc>
        <w:tc>
          <w:tcPr>
            <w:tcW w:w="1243" w:type="dxa"/>
          </w:tcPr>
          <w:p>
            <w:pPr>
              <w:pStyle w:val="TableParagraph"/>
              <w:spacing w:before="43"/>
              <w:rPr>
                <w:sz w:val="17"/>
              </w:rPr>
            </w:pPr>
            <w:r>
              <w:rPr>
                <w:color w:val="231F20"/>
                <w:w w:val="97"/>
                <w:sz w:val="17"/>
              </w:rPr>
              <w:t>8</w:t>
            </w:r>
          </w:p>
        </w:tc>
      </w:tr>
      <w:tr>
        <w:trPr>
          <w:trHeight w:val="259" w:hRule="exact"/>
        </w:trPr>
        <w:tc>
          <w:tcPr>
            <w:tcW w:w="3466" w:type="dxa"/>
          </w:tcPr>
          <w:p>
            <w:pPr>
              <w:pStyle w:val="TableParagraph"/>
              <w:spacing w:before="43"/>
              <w:ind w:left="105"/>
              <w:rPr>
                <w:sz w:val="17"/>
              </w:rPr>
            </w:pPr>
            <w:r>
              <w:rPr>
                <w:color w:val="231F20"/>
                <w:sz w:val="17"/>
              </w:rPr>
              <w:t>Que  estén desmotivados</w:t>
            </w:r>
          </w:p>
        </w:tc>
        <w:tc>
          <w:tcPr>
            <w:tcW w:w="1291" w:type="dxa"/>
          </w:tcPr>
          <w:p>
            <w:pPr>
              <w:pStyle w:val="TableParagraph"/>
              <w:spacing w:before="43"/>
              <w:rPr>
                <w:sz w:val="17"/>
              </w:rPr>
            </w:pPr>
            <w:r>
              <w:rPr>
                <w:color w:val="231F20"/>
                <w:w w:val="97"/>
                <w:sz w:val="17"/>
              </w:rPr>
              <w:t>7</w:t>
            </w:r>
          </w:p>
        </w:tc>
        <w:tc>
          <w:tcPr>
            <w:tcW w:w="1243" w:type="dxa"/>
          </w:tcPr>
          <w:p>
            <w:pPr>
              <w:pStyle w:val="TableParagraph"/>
              <w:spacing w:before="43"/>
              <w:rPr>
                <w:sz w:val="17"/>
              </w:rPr>
            </w:pPr>
            <w:r>
              <w:rPr>
                <w:color w:val="231F20"/>
                <w:w w:val="97"/>
                <w:sz w:val="17"/>
              </w:rPr>
              <w:t>0</w:t>
            </w:r>
          </w:p>
        </w:tc>
      </w:tr>
      <w:tr>
        <w:trPr>
          <w:trHeight w:val="259" w:hRule="exact"/>
        </w:trPr>
        <w:tc>
          <w:tcPr>
            <w:tcW w:w="3466" w:type="dxa"/>
          </w:tcPr>
          <w:p>
            <w:pPr>
              <w:pStyle w:val="TableParagraph"/>
              <w:spacing w:before="43"/>
              <w:ind w:left="105"/>
              <w:rPr>
                <w:sz w:val="17"/>
              </w:rPr>
            </w:pPr>
            <w:r>
              <w:rPr>
                <w:color w:val="231F20"/>
                <w:sz w:val="17"/>
              </w:rPr>
              <w:t>Evaluación</w:t>
            </w:r>
          </w:p>
        </w:tc>
        <w:tc>
          <w:tcPr>
            <w:tcW w:w="1291" w:type="dxa"/>
          </w:tcPr>
          <w:p>
            <w:pPr>
              <w:pStyle w:val="TableParagraph"/>
              <w:spacing w:before="43"/>
              <w:rPr>
                <w:sz w:val="17"/>
              </w:rPr>
            </w:pPr>
            <w:r>
              <w:rPr>
                <w:color w:val="231F20"/>
                <w:w w:val="97"/>
                <w:sz w:val="17"/>
              </w:rPr>
              <w:t>4</w:t>
            </w:r>
          </w:p>
        </w:tc>
        <w:tc>
          <w:tcPr>
            <w:tcW w:w="1243" w:type="dxa"/>
          </w:tcPr>
          <w:p>
            <w:pPr>
              <w:pStyle w:val="TableParagraph"/>
              <w:spacing w:before="43"/>
              <w:rPr>
                <w:sz w:val="17"/>
              </w:rPr>
            </w:pPr>
            <w:r>
              <w:rPr>
                <w:color w:val="231F20"/>
                <w:w w:val="97"/>
                <w:sz w:val="17"/>
              </w:rPr>
              <w:t>0</w:t>
            </w:r>
          </w:p>
        </w:tc>
      </w:tr>
      <w:tr>
        <w:trPr>
          <w:trHeight w:val="259" w:hRule="exact"/>
        </w:trPr>
        <w:tc>
          <w:tcPr>
            <w:tcW w:w="3466" w:type="dxa"/>
          </w:tcPr>
          <w:p>
            <w:pPr>
              <w:pStyle w:val="TableParagraph"/>
              <w:spacing w:before="43"/>
              <w:ind w:left="105"/>
              <w:rPr>
                <w:sz w:val="17"/>
              </w:rPr>
            </w:pPr>
            <w:r>
              <w:rPr>
                <w:color w:val="231F20"/>
                <w:sz w:val="17"/>
              </w:rPr>
              <w:t>Hablar para lo negativo</w:t>
            </w:r>
          </w:p>
        </w:tc>
        <w:tc>
          <w:tcPr>
            <w:tcW w:w="1291" w:type="dxa"/>
          </w:tcPr>
          <w:p>
            <w:pPr>
              <w:pStyle w:val="TableParagraph"/>
              <w:spacing w:before="43"/>
              <w:rPr>
                <w:sz w:val="17"/>
              </w:rPr>
            </w:pPr>
            <w:r>
              <w:rPr>
                <w:color w:val="231F20"/>
                <w:w w:val="97"/>
                <w:sz w:val="17"/>
              </w:rPr>
              <w:t>0</w:t>
            </w:r>
          </w:p>
        </w:tc>
        <w:tc>
          <w:tcPr>
            <w:tcW w:w="1243" w:type="dxa"/>
          </w:tcPr>
          <w:p>
            <w:pPr>
              <w:pStyle w:val="TableParagraph"/>
              <w:spacing w:before="43"/>
              <w:rPr>
                <w:sz w:val="17"/>
              </w:rPr>
            </w:pPr>
            <w:r>
              <w:rPr>
                <w:color w:val="231F20"/>
                <w:w w:val="97"/>
                <w:sz w:val="17"/>
              </w:rPr>
              <w:t>4</w:t>
            </w:r>
          </w:p>
        </w:tc>
      </w:tr>
      <w:tr>
        <w:trPr>
          <w:trHeight w:val="259" w:hRule="exact"/>
        </w:trPr>
        <w:tc>
          <w:tcPr>
            <w:tcW w:w="3466" w:type="dxa"/>
          </w:tcPr>
          <w:p>
            <w:pPr>
              <w:pStyle w:val="TableParagraph"/>
              <w:spacing w:before="43"/>
              <w:ind w:left="105"/>
              <w:rPr>
                <w:sz w:val="17"/>
              </w:rPr>
            </w:pPr>
            <w:r>
              <w:rPr>
                <w:color w:val="231F20"/>
                <w:sz w:val="17"/>
              </w:rPr>
              <w:t>Molestia por dudas</w:t>
            </w:r>
          </w:p>
        </w:tc>
        <w:tc>
          <w:tcPr>
            <w:tcW w:w="1291" w:type="dxa"/>
          </w:tcPr>
          <w:p>
            <w:pPr>
              <w:pStyle w:val="TableParagraph"/>
              <w:spacing w:before="43"/>
              <w:rPr>
                <w:sz w:val="17"/>
              </w:rPr>
            </w:pPr>
            <w:r>
              <w:rPr>
                <w:color w:val="231F20"/>
                <w:w w:val="97"/>
                <w:sz w:val="17"/>
              </w:rPr>
              <w:t>3</w:t>
            </w:r>
          </w:p>
        </w:tc>
        <w:tc>
          <w:tcPr>
            <w:tcW w:w="1243" w:type="dxa"/>
          </w:tcPr>
          <w:p>
            <w:pPr>
              <w:pStyle w:val="TableParagraph"/>
              <w:spacing w:before="43"/>
              <w:rPr>
                <w:sz w:val="17"/>
              </w:rPr>
            </w:pPr>
            <w:r>
              <w:rPr>
                <w:color w:val="231F20"/>
                <w:w w:val="97"/>
                <w:sz w:val="17"/>
              </w:rPr>
              <w:t>0</w:t>
            </w:r>
          </w:p>
        </w:tc>
      </w:tr>
      <w:tr>
        <w:trPr>
          <w:trHeight w:val="264" w:hRule="exact"/>
        </w:trPr>
        <w:tc>
          <w:tcPr>
            <w:tcW w:w="3466" w:type="dxa"/>
          </w:tcPr>
          <w:p>
            <w:pPr>
              <w:pStyle w:val="TableParagraph"/>
              <w:spacing w:before="47"/>
              <w:ind w:left="105"/>
              <w:rPr>
                <w:sz w:val="17"/>
              </w:rPr>
            </w:pPr>
            <w:r>
              <w:rPr>
                <w:color w:val="231F20"/>
                <w:w w:val="105"/>
                <w:sz w:val="17"/>
              </w:rPr>
              <w:t>No hablar por mi nombre</w:t>
            </w:r>
          </w:p>
        </w:tc>
        <w:tc>
          <w:tcPr>
            <w:tcW w:w="1291" w:type="dxa"/>
          </w:tcPr>
          <w:p>
            <w:pPr>
              <w:pStyle w:val="TableParagraph"/>
              <w:spacing w:before="47"/>
              <w:rPr>
                <w:sz w:val="17"/>
              </w:rPr>
            </w:pPr>
            <w:r>
              <w:rPr>
                <w:color w:val="231F20"/>
                <w:w w:val="97"/>
                <w:sz w:val="17"/>
              </w:rPr>
              <w:t>0</w:t>
            </w:r>
          </w:p>
        </w:tc>
        <w:tc>
          <w:tcPr>
            <w:tcW w:w="1243" w:type="dxa"/>
          </w:tcPr>
          <w:p>
            <w:pPr>
              <w:pStyle w:val="TableParagraph"/>
              <w:spacing w:before="47"/>
              <w:rPr>
                <w:sz w:val="17"/>
              </w:rPr>
            </w:pPr>
            <w:r>
              <w:rPr>
                <w:color w:val="231F20"/>
                <w:w w:val="97"/>
                <w:sz w:val="17"/>
              </w:rPr>
              <w:t>1</w:t>
            </w:r>
          </w:p>
        </w:tc>
      </w:tr>
    </w:tbl>
    <w:p>
      <w:pPr>
        <w:pStyle w:val="BodyText"/>
        <w:spacing w:before="2"/>
        <w:rPr>
          <w:b/>
          <w:sz w:val="16"/>
        </w:rPr>
      </w:pPr>
    </w:p>
    <w:p>
      <w:pPr>
        <w:pStyle w:val="BodyText"/>
        <w:spacing w:line="247" w:lineRule="auto" w:before="70"/>
        <w:ind w:left="222" w:right="214" w:firstLine="284"/>
        <w:jc w:val="both"/>
      </w:pPr>
      <w:r>
        <w:rPr>
          <w:color w:val="231F20"/>
        </w:rPr>
        <w:t>Es interesante observar la gran cantidad de respuestas que ha- cen alusión al proceso de enseñanza como un detonante de una inadecuada convivencia escolar. La respuesta con mayor frecuen- cia en el caso de Alicante fue la de“castigos injustos”, para ilustrar las respuestas se incluyen los siguientes ejemplos.</w:t>
      </w:r>
    </w:p>
    <w:p>
      <w:pPr>
        <w:pStyle w:val="BodyText"/>
        <w:spacing w:before="5"/>
        <w:rPr>
          <w:sz w:val="20"/>
        </w:rPr>
      </w:pPr>
    </w:p>
    <w:p>
      <w:pPr>
        <w:pStyle w:val="ListParagraph"/>
        <w:numPr>
          <w:ilvl w:val="2"/>
          <w:numId w:val="23"/>
        </w:numPr>
        <w:tabs>
          <w:tab w:pos="941" w:val="left" w:leader="none"/>
          <w:tab w:pos="942" w:val="left" w:leader="none"/>
        </w:tabs>
        <w:spacing w:line="247" w:lineRule="auto" w:before="1" w:after="0"/>
        <w:ind w:left="941" w:right="220" w:hanging="359"/>
        <w:jc w:val="left"/>
        <w:rPr>
          <w:sz w:val="21"/>
        </w:rPr>
      </w:pPr>
      <w:r>
        <w:rPr>
          <w:color w:val="231F20"/>
          <w:sz w:val="21"/>
        </w:rPr>
        <w:t>Que nos pongan castigos colectivos cuando  la  culpa  ha sido de dos personas (femenino, 17</w:t>
      </w:r>
      <w:r>
        <w:rPr>
          <w:color w:val="231F20"/>
          <w:spacing w:val="38"/>
          <w:sz w:val="21"/>
        </w:rPr>
        <w:t> </w:t>
      </w:r>
      <w:r>
        <w:rPr>
          <w:color w:val="231F20"/>
          <w:sz w:val="21"/>
        </w:rPr>
        <w:t>años).</w:t>
      </w:r>
    </w:p>
    <w:p>
      <w:pPr>
        <w:pStyle w:val="ListParagraph"/>
        <w:numPr>
          <w:ilvl w:val="2"/>
          <w:numId w:val="23"/>
        </w:numPr>
        <w:tabs>
          <w:tab w:pos="941" w:val="left" w:leader="none"/>
          <w:tab w:pos="942" w:val="left" w:leader="none"/>
        </w:tabs>
        <w:spacing w:line="243" w:lineRule="exact" w:before="0" w:after="0"/>
        <w:ind w:left="941" w:right="0" w:hanging="360"/>
        <w:jc w:val="left"/>
        <w:rPr>
          <w:sz w:val="21"/>
        </w:rPr>
      </w:pPr>
      <w:r>
        <w:rPr>
          <w:color w:val="231F20"/>
          <w:sz w:val="21"/>
        </w:rPr>
        <w:t>Que te acusen de algo que no has hecho tú y que no te  </w:t>
      </w:r>
      <w:r>
        <w:rPr>
          <w:color w:val="231F20"/>
          <w:spacing w:val="29"/>
          <w:sz w:val="21"/>
        </w:rPr>
        <w:t> </w:t>
      </w:r>
      <w:r>
        <w:rPr>
          <w:color w:val="231F20"/>
          <w:sz w:val="21"/>
        </w:rPr>
        <w:t>den</w:t>
      </w:r>
    </w:p>
    <w:p>
      <w:pPr>
        <w:pStyle w:val="BodyText"/>
        <w:spacing w:line="247" w:lineRule="auto" w:before="12"/>
        <w:ind w:left="941" w:right="215"/>
        <w:jc w:val="both"/>
      </w:pPr>
      <w:r>
        <w:rPr>
          <w:color w:val="231F20"/>
        </w:rPr>
        <w:t>la razón teniéndola y por eso que te manden a tutorías por una tontería, que te pongan amonestaciones o negativos sin merecértelo o que alguien te esté molestando y te riñan a ti (femenino 16 años).</w:t>
      </w:r>
    </w:p>
    <w:p>
      <w:pPr>
        <w:pStyle w:val="ListParagraph"/>
        <w:numPr>
          <w:ilvl w:val="2"/>
          <w:numId w:val="23"/>
        </w:numPr>
        <w:tabs>
          <w:tab w:pos="941" w:val="left" w:leader="none"/>
          <w:tab w:pos="942" w:val="left" w:leader="none"/>
        </w:tabs>
        <w:spacing w:line="243" w:lineRule="exact" w:before="0" w:after="0"/>
        <w:ind w:left="941" w:right="0" w:hanging="360"/>
        <w:jc w:val="left"/>
        <w:rPr>
          <w:sz w:val="21"/>
        </w:rPr>
      </w:pPr>
      <w:r>
        <w:rPr>
          <w:color w:val="231F20"/>
          <w:sz w:val="21"/>
        </w:rPr>
        <w:t>Que</w:t>
      </w:r>
      <w:r>
        <w:rPr>
          <w:color w:val="231F20"/>
          <w:spacing w:val="28"/>
          <w:sz w:val="21"/>
        </w:rPr>
        <w:t> </w:t>
      </w:r>
      <w:r>
        <w:rPr>
          <w:color w:val="231F20"/>
          <w:sz w:val="21"/>
        </w:rPr>
        <w:t>siempre</w:t>
      </w:r>
      <w:r>
        <w:rPr>
          <w:color w:val="231F20"/>
          <w:spacing w:val="28"/>
          <w:sz w:val="21"/>
        </w:rPr>
        <w:t> </w:t>
      </w:r>
      <w:r>
        <w:rPr>
          <w:color w:val="231F20"/>
          <w:sz w:val="21"/>
        </w:rPr>
        <w:t>me</w:t>
      </w:r>
      <w:r>
        <w:rPr>
          <w:color w:val="231F20"/>
          <w:spacing w:val="28"/>
          <w:sz w:val="21"/>
        </w:rPr>
        <w:t> </w:t>
      </w:r>
      <w:r>
        <w:rPr>
          <w:color w:val="231F20"/>
          <w:sz w:val="21"/>
        </w:rPr>
        <w:t>culpen</w:t>
      </w:r>
      <w:r>
        <w:rPr>
          <w:color w:val="231F20"/>
          <w:spacing w:val="28"/>
          <w:sz w:val="21"/>
        </w:rPr>
        <w:t> </w:t>
      </w:r>
      <w:r>
        <w:rPr>
          <w:color w:val="231F20"/>
          <w:sz w:val="21"/>
        </w:rPr>
        <w:t>de</w:t>
      </w:r>
      <w:r>
        <w:rPr>
          <w:color w:val="231F20"/>
          <w:spacing w:val="28"/>
          <w:sz w:val="21"/>
        </w:rPr>
        <w:t> </w:t>
      </w:r>
      <w:r>
        <w:rPr>
          <w:color w:val="231F20"/>
          <w:sz w:val="21"/>
        </w:rPr>
        <w:t>lo</w:t>
      </w:r>
      <w:r>
        <w:rPr>
          <w:color w:val="231F20"/>
          <w:spacing w:val="28"/>
          <w:sz w:val="21"/>
        </w:rPr>
        <w:t> </w:t>
      </w:r>
      <w:r>
        <w:rPr>
          <w:color w:val="231F20"/>
          <w:sz w:val="21"/>
        </w:rPr>
        <w:t>que</w:t>
      </w:r>
      <w:r>
        <w:rPr>
          <w:color w:val="231F20"/>
          <w:spacing w:val="28"/>
          <w:sz w:val="21"/>
        </w:rPr>
        <w:t> </w:t>
      </w:r>
      <w:r>
        <w:rPr>
          <w:color w:val="231F20"/>
          <w:sz w:val="21"/>
        </w:rPr>
        <w:t>pasa</w:t>
      </w:r>
      <w:r>
        <w:rPr>
          <w:color w:val="231F20"/>
          <w:spacing w:val="28"/>
          <w:sz w:val="21"/>
        </w:rPr>
        <w:t> </w:t>
      </w:r>
      <w:r>
        <w:rPr>
          <w:color w:val="231F20"/>
          <w:sz w:val="21"/>
        </w:rPr>
        <w:t>en</w:t>
      </w:r>
      <w:r>
        <w:rPr>
          <w:color w:val="231F20"/>
          <w:spacing w:val="28"/>
          <w:sz w:val="21"/>
        </w:rPr>
        <w:t> </w:t>
      </w:r>
      <w:r>
        <w:rPr>
          <w:color w:val="231F20"/>
          <w:sz w:val="21"/>
        </w:rPr>
        <w:t>clase</w:t>
      </w:r>
      <w:r>
        <w:rPr>
          <w:color w:val="231F20"/>
          <w:spacing w:val="28"/>
          <w:sz w:val="21"/>
        </w:rPr>
        <w:t> </w:t>
      </w:r>
      <w:r>
        <w:rPr>
          <w:color w:val="231F20"/>
          <w:sz w:val="21"/>
        </w:rPr>
        <w:t>y</w:t>
      </w:r>
      <w:r>
        <w:rPr>
          <w:color w:val="231F20"/>
          <w:spacing w:val="28"/>
          <w:sz w:val="21"/>
        </w:rPr>
        <w:t> </w:t>
      </w:r>
      <w:r>
        <w:rPr>
          <w:color w:val="231F20"/>
          <w:sz w:val="21"/>
        </w:rPr>
        <w:t>no</w:t>
      </w:r>
      <w:r>
        <w:rPr>
          <w:color w:val="231F20"/>
          <w:spacing w:val="28"/>
          <w:sz w:val="21"/>
        </w:rPr>
        <w:t> </w:t>
      </w:r>
      <w:r>
        <w:rPr>
          <w:color w:val="231F20"/>
          <w:sz w:val="21"/>
        </w:rPr>
        <w:t>me</w:t>
      </w:r>
    </w:p>
    <w:p>
      <w:pPr>
        <w:pStyle w:val="BodyText"/>
        <w:spacing w:before="7"/>
        <w:ind w:left="941"/>
        <w:jc w:val="both"/>
      </w:pPr>
      <w:r>
        <w:rPr>
          <w:color w:val="231F20"/>
        </w:rPr>
        <w:t>dejen defenderme (masculino, 17 años).</w:t>
      </w:r>
    </w:p>
    <w:p>
      <w:pPr>
        <w:spacing w:after="0"/>
        <w:jc w:val="both"/>
        <w:sectPr>
          <w:headerReference w:type="default" r:id="rId928"/>
          <w:footerReference w:type="default" r:id="rId929"/>
          <w:pgSz w:w="7830" w:h="11910"/>
          <w:pgMar w:header="0" w:footer="424" w:top="500" w:bottom="620" w:left="800" w:right="800"/>
          <w:pgNumType w:start="422"/>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2" w:lineRule="auto" w:before="92"/>
        <w:ind w:left="102" w:right="114" w:firstLine="284"/>
        <w:jc w:val="both"/>
      </w:pPr>
      <w:r>
        <w:rPr>
          <w:color w:val="231F20"/>
        </w:rPr>
        <w:t>En el caso de Querétaro las respuestas con mayor frecuencia se refieren a “dar clases aburridas” y “características personales”</w:t>
      </w:r>
      <w:r>
        <w:rPr>
          <w:rFonts w:ascii="Segoe UI" w:hAnsi="Segoe UI"/>
          <w:i/>
          <w:color w:val="231F20"/>
        </w:rPr>
        <w:t>. </w:t>
      </w:r>
      <w:r>
        <w:rPr>
          <w:color w:val="231F20"/>
        </w:rPr>
        <w:t>Es- tas últimas se incluyeron dentro de esta categoría pues si bien po- drían aludir a relaciones interpersonales, las características que mencionaron los estudiantes tenían que ver con la enseñanza, por ejemplo “que sean muy exigentes”, “que sean estrictos”, “que no</w:t>
      </w:r>
    </w:p>
    <w:p>
      <w:pPr>
        <w:pStyle w:val="BodyText"/>
        <w:spacing w:line="247" w:lineRule="auto" w:before="6"/>
        <w:ind w:left="102" w:right="116"/>
        <w:jc w:val="both"/>
      </w:pPr>
      <w:r>
        <w:rPr>
          <w:color w:val="231F20"/>
        </w:rPr>
        <w:t>sean pacientes”. La respuesta “clases aburridas” se presentó en los dos grupos, sin embargo, es mayor la frecuencia en el grupo de Querétaro. Una respuesta relacionada con la anterior, se  presenta solo en el grupo de Alicante y se refiere al uso de las técnicas que emplean los docentes para dar clase, y si bien, no lo mencionaron como clases aburridas aluden a la forma de dar la clase. Esta cues- tión nos parece fundamental, pues desde su labor esencial (impartir clases), los profesores estarían provocando conductas en los ado- lescentes que generan algún conflicto, en algunos casos propiciando la desmotivación por el aprendizaje.</w:t>
      </w:r>
    </w:p>
    <w:p>
      <w:pPr>
        <w:pStyle w:val="BodyText"/>
        <w:spacing w:before="10"/>
        <w:rPr>
          <w:sz w:val="20"/>
        </w:rPr>
      </w:pPr>
    </w:p>
    <w:p>
      <w:pPr>
        <w:pStyle w:val="ListParagraph"/>
        <w:numPr>
          <w:ilvl w:val="1"/>
          <w:numId w:val="23"/>
        </w:numPr>
        <w:tabs>
          <w:tab w:pos="823" w:val="left" w:leader="none"/>
        </w:tabs>
        <w:spacing w:line="247" w:lineRule="auto" w:before="0" w:after="0"/>
        <w:ind w:left="822" w:right="116" w:hanging="360"/>
        <w:jc w:val="both"/>
        <w:rPr>
          <w:sz w:val="21"/>
        </w:rPr>
      </w:pPr>
      <w:r>
        <w:rPr>
          <w:color w:val="231F20"/>
          <w:sz w:val="21"/>
        </w:rPr>
        <w:t>No me gusta que nos hagan leer en voz alta, es muy  aburrido y no te enteras de nada, estaría bien que dejaran elegir tema a la hora de hacer trabajos, pero siempre que tengan que ver con la asignatura y el temario (femenino, 16 años).</w:t>
      </w:r>
    </w:p>
    <w:p>
      <w:pPr>
        <w:pStyle w:val="ListParagraph"/>
        <w:numPr>
          <w:ilvl w:val="1"/>
          <w:numId w:val="23"/>
        </w:numPr>
        <w:tabs>
          <w:tab w:pos="822" w:val="left" w:leader="none"/>
          <w:tab w:pos="823" w:val="left" w:leader="none"/>
        </w:tabs>
        <w:spacing w:line="243" w:lineRule="exact" w:before="0" w:after="0"/>
        <w:ind w:left="822" w:right="0" w:hanging="360"/>
        <w:jc w:val="left"/>
        <w:rPr>
          <w:sz w:val="21"/>
        </w:rPr>
      </w:pPr>
      <w:r>
        <w:rPr>
          <w:color w:val="231F20"/>
          <w:sz w:val="21"/>
        </w:rPr>
        <w:t>Que</w:t>
      </w:r>
      <w:r>
        <w:rPr>
          <w:color w:val="231F20"/>
          <w:spacing w:val="43"/>
          <w:sz w:val="21"/>
        </w:rPr>
        <w:t> </w:t>
      </w:r>
      <w:r>
        <w:rPr>
          <w:color w:val="231F20"/>
          <w:sz w:val="21"/>
        </w:rPr>
        <w:t>el</w:t>
      </w:r>
      <w:r>
        <w:rPr>
          <w:color w:val="231F20"/>
          <w:spacing w:val="42"/>
          <w:sz w:val="21"/>
        </w:rPr>
        <w:t> </w:t>
      </w:r>
      <w:r>
        <w:rPr>
          <w:color w:val="231F20"/>
          <w:sz w:val="21"/>
        </w:rPr>
        <w:t>profesor</w:t>
      </w:r>
      <w:r>
        <w:rPr>
          <w:color w:val="231F20"/>
          <w:spacing w:val="43"/>
          <w:sz w:val="21"/>
        </w:rPr>
        <w:t> </w:t>
      </w:r>
      <w:r>
        <w:rPr>
          <w:color w:val="231F20"/>
          <w:sz w:val="21"/>
        </w:rPr>
        <w:t>haga</w:t>
      </w:r>
      <w:r>
        <w:rPr>
          <w:color w:val="231F20"/>
          <w:spacing w:val="43"/>
          <w:sz w:val="21"/>
        </w:rPr>
        <w:t> </w:t>
      </w:r>
      <w:r>
        <w:rPr>
          <w:color w:val="231F20"/>
          <w:sz w:val="21"/>
        </w:rPr>
        <w:t>la</w:t>
      </w:r>
      <w:r>
        <w:rPr>
          <w:color w:val="231F20"/>
          <w:spacing w:val="43"/>
          <w:sz w:val="21"/>
        </w:rPr>
        <w:t> </w:t>
      </w:r>
      <w:r>
        <w:rPr>
          <w:color w:val="231F20"/>
          <w:sz w:val="21"/>
        </w:rPr>
        <w:t>materia</w:t>
      </w:r>
      <w:r>
        <w:rPr>
          <w:color w:val="231F20"/>
          <w:spacing w:val="43"/>
          <w:sz w:val="21"/>
        </w:rPr>
        <w:t> </w:t>
      </w:r>
      <w:r>
        <w:rPr>
          <w:color w:val="231F20"/>
          <w:sz w:val="21"/>
        </w:rPr>
        <w:t>aburrida</w:t>
      </w:r>
      <w:r>
        <w:rPr>
          <w:color w:val="231F20"/>
          <w:spacing w:val="43"/>
          <w:sz w:val="21"/>
        </w:rPr>
        <w:t> </w:t>
      </w:r>
      <w:r>
        <w:rPr>
          <w:color w:val="231F20"/>
          <w:sz w:val="21"/>
        </w:rPr>
        <w:t>(masculino,</w:t>
      </w:r>
      <w:r>
        <w:rPr>
          <w:color w:val="231F20"/>
          <w:spacing w:val="42"/>
          <w:sz w:val="21"/>
        </w:rPr>
        <w:t> </w:t>
      </w:r>
      <w:r>
        <w:rPr>
          <w:color w:val="231F20"/>
          <w:sz w:val="21"/>
        </w:rPr>
        <w:t>17</w:t>
      </w:r>
    </w:p>
    <w:p>
      <w:pPr>
        <w:pStyle w:val="BodyText"/>
        <w:spacing w:line="238" w:lineRule="exact" w:before="7"/>
        <w:ind w:left="822"/>
        <w:jc w:val="both"/>
      </w:pPr>
      <w:r>
        <w:rPr>
          <w:color w:val="231F20"/>
        </w:rPr>
        <w:t>años).</w:t>
      </w:r>
    </w:p>
    <w:p>
      <w:pPr>
        <w:pStyle w:val="ListParagraph"/>
        <w:numPr>
          <w:ilvl w:val="1"/>
          <w:numId w:val="23"/>
        </w:numPr>
        <w:tabs>
          <w:tab w:pos="823" w:val="left" w:leader="none"/>
        </w:tabs>
        <w:spacing w:line="249" w:lineRule="auto" w:before="0" w:after="0"/>
        <w:ind w:left="822" w:right="115" w:hanging="360"/>
        <w:jc w:val="both"/>
        <w:rPr>
          <w:sz w:val="21"/>
        </w:rPr>
      </w:pPr>
      <w:r>
        <w:rPr>
          <w:color w:val="231F20"/>
          <w:sz w:val="21"/>
        </w:rPr>
        <w:t>Me siento incómoda cuando el profesor no  me  da  confianza y no cree en mis capacidades, cuando él mismo  se limita a leer las clases y no resuelve dudas o explicaciones, cuando no se preocupa de que las cosas se hayan entendido correctamente, cuando un profesor es demasiado estricto o demasiado blando, cuando algún profesor cuenta su vida en lugar de dar clases (femenino 16 años).</w:t>
      </w:r>
    </w:p>
    <w:p>
      <w:pPr>
        <w:pStyle w:val="ListParagraph"/>
        <w:numPr>
          <w:ilvl w:val="1"/>
          <w:numId w:val="23"/>
        </w:numPr>
        <w:tabs>
          <w:tab w:pos="823" w:val="left" w:leader="none"/>
        </w:tabs>
        <w:spacing w:line="241" w:lineRule="exact" w:before="0" w:after="0"/>
        <w:ind w:left="822" w:right="0" w:hanging="360"/>
        <w:jc w:val="both"/>
        <w:rPr>
          <w:sz w:val="21"/>
        </w:rPr>
      </w:pPr>
      <w:r>
        <w:rPr>
          <w:color w:val="231F20"/>
          <w:sz w:val="21"/>
        </w:rPr>
        <w:t>Si</w:t>
      </w:r>
      <w:r>
        <w:rPr>
          <w:color w:val="231F20"/>
          <w:spacing w:val="22"/>
          <w:sz w:val="21"/>
        </w:rPr>
        <w:t> </w:t>
      </w:r>
      <w:r>
        <w:rPr>
          <w:color w:val="231F20"/>
          <w:sz w:val="21"/>
        </w:rPr>
        <w:t>el</w:t>
      </w:r>
      <w:r>
        <w:rPr>
          <w:color w:val="231F20"/>
          <w:spacing w:val="22"/>
          <w:sz w:val="21"/>
        </w:rPr>
        <w:t> </w:t>
      </w:r>
      <w:r>
        <w:rPr>
          <w:color w:val="231F20"/>
          <w:sz w:val="21"/>
        </w:rPr>
        <w:t>profesor</w:t>
      </w:r>
      <w:r>
        <w:rPr>
          <w:color w:val="231F20"/>
          <w:spacing w:val="22"/>
          <w:sz w:val="21"/>
        </w:rPr>
        <w:t> </w:t>
      </w:r>
      <w:r>
        <w:rPr>
          <w:color w:val="231F20"/>
          <w:sz w:val="21"/>
        </w:rPr>
        <w:t>no</w:t>
      </w:r>
      <w:r>
        <w:rPr>
          <w:color w:val="231F20"/>
          <w:spacing w:val="23"/>
          <w:sz w:val="21"/>
        </w:rPr>
        <w:t> </w:t>
      </w:r>
      <w:r>
        <w:rPr>
          <w:color w:val="231F20"/>
          <w:sz w:val="21"/>
        </w:rPr>
        <w:t>está</w:t>
      </w:r>
      <w:r>
        <w:rPr>
          <w:color w:val="231F20"/>
          <w:spacing w:val="23"/>
          <w:sz w:val="21"/>
        </w:rPr>
        <w:t> </w:t>
      </w:r>
      <w:r>
        <w:rPr>
          <w:color w:val="231F20"/>
          <w:sz w:val="21"/>
        </w:rPr>
        <w:t>motivado</w:t>
      </w:r>
      <w:r>
        <w:rPr>
          <w:color w:val="231F20"/>
          <w:spacing w:val="23"/>
          <w:sz w:val="21"/>
        </w:rPr>
        <w:t> </w:t>
      </w:r>
      <w:r>
        <w:rPr>
          <w:color w:val="231F20"/>
          <w:sz w:val="21"/>
        </w:rPr>
        <w:t>con</w:t>
      </w:r>
      <w:r>
        <w:rPr>
          <w:color w:val="231F20"/>
          <w:spacing w:val="23"/>
          <w:sz w:val="21"/>
        </w:rPr>
        <w:t> </w:t>
      </w:r>
      <w:r>
        <w:rPr>
          <w:color w:val="231F20"/>
          <w:sz w:val="21"/>
        </w:rPr>
        <w:t>lo</w:t>
      </w:r>
      <w:r>
        <w:rPr>
          <w:color w:val="231F20"/>
          <w:spacing w:val="23"/>
          <w:sz w:val="21"/>
        </w:rPr>
        <w:t> </w:t>
      </w:r>
      <w:r>
        <w:rPr>
          <w:color w:val="231F20"/>
          <w:sz w:val="21"/>
        </w:rPr>
        <w:t>que</w:t>
      </w:r>
      <w:r>
        <w:rPr>
          <w:color w:val="231F20"/>
          <w:spacing w:val="22"/>
          <w:sz w:val="21"/>
        </w:rPr>
        <w:t> </w:t>
      </w:r>
      <w:r>
        <w:rPr>
          <w:color w:val="231F20"/>
          <w:sz w:val="21"/>
        </w:rPr>
        <w:t>imparte,</w:t>
      </w:r>
      <w:r>
        <w:rPr>
          <w:color w:val="231F20"/>
          <w:spacing w:val="22"/>
          <w:sz w:val="21"/>
        </w:rPr>
        <w:t> </w:t>
      </w:r>
      <w:r>
        <w:rPr>
          <w:color w:val="231F20"/>
          <w:sz w:val="21"/>
        </w:rPr>
        <w:t>cómo</w:t>
      </w:r>
    </w:p>
    <w:p>
      <w:pPr>
        <w:pStyle w:val="BodyText"/>
        <w:spacing w:line="247" w:lineRule="auto" w:before="7"/>
        <w:ind w:left="822" w:right="115"/>
        <w:jc w:val="both"/>
      </w:pPr>
      <w:r>
        <w:rPr>
          <w:color w:val="231F20"/>
        </w:rPr>
        <w:t>lo voy a estar yo. Las clases son monótonas, a veces solo copiamos cosas que además están en el libro. Muchos profesores te dan la materia y no te dicen para qué sirve (femenino 17 años).</w:t>
      </w:r>
    </w:p>
    <w:p>
      <w:pPr>
        <w:pStyle w:val="ListParagraph"/>
        <w:numPr>
          <w:ilvl w:val="1"/>
          <w:numId w:val="23"/>
        </w:numPr>
        <w:tabs>
          <w:tab w:pos="823" w:val="left" w:leader="none"/>
        </w:tabs>
        <w:spacing w:line="243" w:lineRule="exact" w:before="0" w:after="0"/>
        <w:ind w:left="822" w:right="0" w:hanging="360"/>
        <w:jc w:val="both"/>
        <w:rPr>
          <w:sz w:val="21"/>
        </w:rPr>
      </w:pPr>
      <w:r>
        <w:rPr>
          <w:color w:val="231F20"/>
          <w:sz w:val="21"/>
        </w:rPr>
        <w:t>No</w:t>
      </w:r>
      <w:r>
        <w:rPr>
          <w:color w:val="231F20"/>
          <w:spacing w:val="29"/>
          <w:sz w:val="21"/>
        </w:rPr>
        <w:t> </w:t>
      </w:r>
      <w:r>
        <w:rPr>
          <w:color w:val="231F20"/>
          <w:sz w:val="21"/>
        </w:rPr>
        <w:t>me</w:t>
      </w:r>
      <w:r>
        <w:rPr>
          <w:color w:val="231F20"/>
          <w:spacing w:val="29"/>
          <w:sz w:val="21"/>
        </w:rPr>
        <w:t> </w:t>
      </w:r>
      <w:r>
        <w:rPr>
          <w:color w:val="231F20"/>
          <w:sz w:val="21"/>
        </w:rPr>
        <w:t>gusta</w:t>
      </w:r>
      <w:r>
        <w:rPr>
          <w:color w:val="231F20"/>
          <w:spacing w:val="29"/>
          <w:sz w:val="21"/>
        </w:rPr>
        <w:t> </w:t>
      </w:r>
      <w:r>
        <w:rPr>
          <w:color w:val="231F20"/>
          <w:sz w:val="21"/>
        </w:rPr>
        <w:t>que</w:t>
      </w:r>
      <w:r>
        <w:rPr>
          <w:color w:val="231F20"/>
          <w:spacing w:val="29"/>
          <w:sz w:val="21"/>
        </w:rPr>
        <w:t> </w:t>
      </w:r>
      <w:r>
        <w:rPr>
          <w:color w:val="231F20"/>
          <w:sz w:val="21"/>
        </w:rPr>
        <w:t>los</w:t>
      </w:r>
      <w:r>
        <w:rPr>
          <w:color w:val="231F20"/>
          <w:spacing w:val="29"/>
          <w:sz w:val="21"/>
        </w:rPr>
        <w:t> </w:t>
      </w:r>
      <w:r>
        <w:rPr>
          <w:color w:val="231F20"/>
          <w:sz w:val="21"/>
        </w:rPr>
        <w:t>profesores</w:t>
      </w:r>
      <w:r>
        <w:rPr>
          <w:color w:val="231F20"/>
          <w:spacing w:val="29"/>
          <w:sz w:val="21"/>
        </w:rPr>
        <w:t> </w:t>
      </w:r>
      <w:r>
        <w:rPr>
          <w:color w:val="231F20"/>
          <w:sz w:val="21"/>
        </w:rPr>
        <w:t>pasen</w:t>
      </w:r>
      <w:r>
        <w:rPr>
          <w:color w:val="231F20"/>
          <w:spacing w:val="29"/>
          <w:sz w:val="21"/>
        </w:rPr>
        <w:t> </w:t>
      </w:r>
      <w:r>
        <w:rPr>
          <w:color w:val="231F20"/>
          <w:sz w:val="21"/>
        </w:rPr>
        <w:t>de</w:t>
      </w:r>
      <w:r>
        <w:rPr>
          <w:color w:val="231F20"/>
          <w:spacing w:val="29"/>
          <w:sz w:val="21"/>
        </w:rPr>
        <w:t> </w:t>
      </w:r>
      <w:r>
        <w:rPr>
          <w:color w:val="231F20"/>
          <w:sz w:val="21"/>
        </w:rPr>
        <w:t>nosotros,</w:t>
      </w:r>
      <w:r>
        <w:rPr>
          <w:color w:val="231F20"/>
          <w:spacing w:val="28"/>
          <w:sz w:val="21"/>
        </w:rPr>
        <w:t> </w:t>
      </w:r>
      <w:r>
        <w:rPr>
          <w:color w:val="231F20"/>
          <w:sz w:val="21"/>
        </w:rPr>
        <w:t>y</w:t>
      </w:r>
      <w:r>
        <w:rPr>
          <w:color w:val="231F20"/>
          <w:spacing w:val="29"/>
          <w:sz w:val="21"/>
        </w:rPr>
        <w:t> </w:t>
      </w:r>
      <w:r>
        <w:rPr>
          <w:color w:val="231F20"/>
          <w:sz w:val="21"/>
        </w:rPr>
        <w:t>nos</w:t>
      </w:r>
    </w:p>
    <w:p>
      <w:pPr>
        <w:pStyle w:val="BodyText"/>
        <w:spacing w:before="7"/>
        <w:ind w:left="822"/>
        <w:jc w:val="both"/>
      </w:pPr>
      <w:r>
        <w:rPr>
          <w:color w:val="231F20"/>
        </w:rPr>
        <w:t>tomen como seres superinteligentes que lo sabemos     todo,</w:t>
      </w:r>
    </w:p>
    <w:p>
      <w:pPr>
        <w:spacing w:after="0"/>
        <w:jc w:val="both"/>
        <w:sectPr>
          <w:headerReference w:type="default" r:id="rId930"/>
          <w:footerReference w:type="default" r:id="rId931"/>
          <w:pgSz w:w="7830" w:h="11910"/>
          <w:pgMar w:header="0" w:footer="424" w:top="500" w:bottom="620" w:left="920" w:right="900"/>
          <w:pgNumType w:start="423"/>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822" w:right="114"/>
        <w:jc w:val="both"/>
      </w:pPr>
      <w:r>
        <w:rPr>
          <w:color w:val="231F20"/>
        </w:rPr>
        <w:t>te sientes inútil cuando un profesor está explicando algo complicado, y al dar por hecho que todos lo sabemos perfectamente cuando realmente es mentira, te ves incapaz de seguir el ritmo, te desanimas, e incluso tiras la toalla (masculino 17 años).</w:t>
      </w:r>
    </w:p>
    <w:p>
      <w:pPr>
        <w:pStyle w:val="BodyText"/>
        <w:spacing w:before="2"/>
        <w:rPr>
          <w:sz w:val="22"/>
        </w:rPr>
      </w:pPr>
    </w:p>
    <w:p>
      <w:pPr>
        <w:pStyle w:val="BodyText"/>
        <w:spacing w:line="249" w:lineRule="auto"/>
        <w:ind w:left="102" w:right="114" w:firstLine="284"/>
        <w:jc w:val="both"/>
      </w:pPr>
      <w:r>
        <w:rPr>
          <w:color w:val="231F20"/>
        </w:rPr>
        <w:t>Relacionada con lo anterior, la siguiente respuesta con mayor porcentaje en el caso de Querétaro, es la que se refiere a la desmo- tivación que los estudiantes observan en sus maestros. Nos parece importante recalcar que la desmotivación puede ser una fuente de conflicto y, en consecuencia, alterar el clima de convivencia en las aulas y en las escuelas pues la falta de implicación de los alumnos en el proceso de enseñanza y aprendizaje dificulta la labor docente del profesor; sin embargo, la desmotivación de los alumnos tam- bién puede ser causada por la desmotivación del profesor; gene- rando como lo señala Ortega (2004), el “círculo de desmotiva- ción”. En este sentido, Esteve (2009) nos revela que el 57% de los profesores no se siente preparado para afrontar los conflictos que surgen en el aula y un 40% se siente desmotivado.</w:t>
      </w:r>
    </w:p>
    <w:p>
      <w:pPr>
        <w:pStyle w:val="BodyText"/>
        <w:spacing w:line="249" w:lineRule="auto"/>
        <w:ind w:left="102" w:right="115" w:firstLine="284"/>
        <w:jc w:val="both"/>
      </w:pPr>
      <w:r>
        <w:rPr>
          <w:color w:val="231F20"/>
        </w:rPr>
        <w:t>Por otra parte, y como un  dato  sumamente interesante, es que  en el caso del grupo de Querétaro los estudiantes aludieron a la evaluación como un aspecto que puede generar conflictos, pues en sus respuestas señalaban el uso que se le da a la evaluación para controlar y castigar, por ejemplo escribieron “que sean crueles con  la calificación”, “que el enojo genere problemas para pasar la mate- ria”, “que cambien los criterios para que los alumnos exenten”. A decir de Martínez-Otero (2005), los factores que hacen que  los niños y adolescentes presenten conductas antisociales se deben buscar en el entorno, en las relaciones interpersonales (sobrecarga  de tareas, abuso de poder, desmotivación, empobrecimiento de la comunicación, individualismo); “en los centros escolares” (entorno escolar altamente jerarquizado, métodos pedagógicos basados en el castigo, preocupación exclusiva por los resultados académicos en detrimento de la persona, asimetría entre educadores y educando); consideramos de gran relevancia las respuestas incluidas aquí pues nos remiten a uno de los aspectos poco abordados en los estudios relacionados con la convivencia</w:t>
      </w:r>
      <w:r>
        <w:rPr>
          <w:color w:val="231F20"/>
          <w:spacing w:val="-21"/>
        </w:rPr>
        <w:t> </w:t>
      </w:r>
      <w:r>
        <w:rPr>
          <w:color w:val="231F20"/>
        </w:rPr>
        <w:t>escolar.</w:t>
      </w:r>
    </w:p>
    <w:p>
      <w:pPr>
        <w:spacing w:after="0" w:line="249" w:lineRule="auto"/>
        <w:jc w:val="both"/>
        <w:sectPr>
          <w:headerReference w:type="default" r:id="rId932"/>
          <w:footerReference w:type="default" r:id="rId933"/>
          <w:pgSz w:w="7830" w:h="11910"/>
          <w:pgMar w:header="0" w:footer="424" w:top="500" w:bottom="620" w:left="920" w:right="900"/>
          <w:pgNumType w:start="424"/>
        </w:sectPr>
      </w:pPr>
    </w:p>
    <w:p>
      <w:pPr>
        <w:spacing w:before="43"/>
        <w:ind w:left="565" w:right="562" w:firstLine="0"/>
        <w:jc w:val="center"/>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spacing w:before="10"/>
        <w:rPr>
          <w:rFonts w:ascii="Cambria"/>
          <w:sz w:val="22"/>
        </w:rPr>
      </w:pPr>
    </w:p>
    <w:p>
      <w:pPr>
        <w:pStyle w:val="BodyText"/>
        <w:spacing w:line="242" w:lineRule="auto"/>
        <w:ind w:left="222" w:right="215" w:firstLine="284"/>
        <w:jc w:val="both"/>
        <w:rPr>
          <w:rFonts w:ascii="Cambria" w:hAnsi="Cambria"/>
        </w:rPr>
      </w:pPr>
      <w:r>
        <w:rPr>
          <w:rFonts w:ascii="Cambria" w:hAnsi="Cambria"/>
          <w:color w:val="231F20"/>
          <w:spacing w:val="2"/>
        </w:rPr>
        <w:t>Una</w:t>
      </w:r>
      <w:r>
        <w:rPr>
          <w:rFonts w:ascii="Cambria" w:hAnsi="Cambria"/>
          <w:color w:val="231F20"/>
          <w:spacing w:val="-18"/>
        </w:rPr>
        <w:t> </w:t>
      </w:r>
      <w:r>
        <w:rPr>
          <w:rFonts w:ascii="Cambria" w:hAnsi="Cambria"/>
          <w:color w:val="231F20"/>
          <w:spacing w:val="2"/>
        </w:rPr>
        <w:t>tercera</w:t>
      </w:r>
      <w:r>
        <w:rPr>
          <w:rFonts w:ascii="Cambria" w:hAnsi="Cambria"/>
          <w:color w:val="231F20"/>
          <w:spacing w:val="-18"/>
        </w:rPr>
        <w:t> </w:t>
      </w:r>
      <w:r>
        <w:rPr>
          <w:rFonts w:ascii="Cambria" w:hAnsi="Cambria"/>
          <w:color w:val="231F20"/>
          <w:spacing w:val="2"/>
        </w:rPr>
        <w:t>categoría</w:t>
      </w:r>
      <w:r>
        <w:rPr>
          <w:rFonts w:ascii="Cambria" w:hAnsi="Cambria"/>
          <w:color w:val="231F20"/>
          <w:spacing w:val="-18"/>
        </w:rPr>
        <w:t> </w:t>
      </w:r>
      <w:r>
        <w:rPr>
          <w:rFonts w:ascii="Cambria" w:hAnsi="Cambria"/>
          <w:color w:val="231F20"/>
        </w:rPr>
        <w:t>que</w:t>
      </w:r>
      <w:r>
        <w:rPr>
          <w:rFonts w:ascii="Cambria" w:hAnsi="Cambria"/>
          <w:color w:val="231F20"/>
          <w:spacing w:val="-18"/>
        </w:rPr>
        <w:t> </w:t>
      </w:r>
      <w:r>
        <w:rPr>
          <w:rFonts w:ascii="Cambria" w:hAnsi="Cambria"/>
          <w:color w:val="231F20"/>
          <w:spacing w:val="2"/>
        </w:rPr>
        <w:t>emergió</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las</w:t>
      </w:r>
      <w:r>
        <w:rPr>
          <w:rFonts w:ascii="Cambria" w:hAnsi="Cambria"/>
          <w:color w:val="231F20"/>
          <w:spacing w:val="-18"/>
        </w:rPr>
        <w:t> </w:t>
      </w:r>
      <w:r>
        <w:rPr>
          <w:rFonts w:ascii="Cambria" w:hAnsi="Cambria"/>
          <w:color w:val="231F20"/>
          <w:spacing w:val="2"/>
        </w:rPr>
        <w:t>respuestas</w:t>
      </w:r>
      <w:r>
        <w:rPr>
          <w:rFonts w:ascii="Cambria" w:hAnsi="Cambria"/>
          <w:color w:val="231F20"/>
          <w:spacing w:val="-18"/>
        </w:rPr>
        <w:t> </w:t>
      </w:r>
      <w:r>
        <w:rPr>
          <w:rFonts w:ascii="Cambria" w:hAnsi="Cambria"/>
          <w:color w:val="231F20"/>
        </w:rPr>
        <w:t>fue</w:t>
      </w:r>
      <w:r>
        <w:rPr>
          <w:rFonts w:ascii="Cambria" w:hAnsi="Cambria"/>
          <w:color w:val="231F20"/>
          <w:spacing w:val="-18"/>
        </w:rPr>
        <w:t> </w:t>
      </w:r>
      <w:r>
        <w:rPr>
          <w:rFonts w:ascii="Cambria" w:hAnsi="Cambria"/>
          <w:color w:val="231F20"/>
        </w:rPr>
        <w:t>lo</w:t>
      </w:r>
      <w:r>
        <w:rPr>
          <w:rFonts w:ascii="Cambria" w:hAnsi="Cambria"/>
          <w:color w:val="231F20"/>
          <w:spacing w:val="-18"/>
        </w:rPr>
        <w:t> </w:t>
      </w:r>
      <w:r>
        <w:rPr>
          <w:rFonts w:ascii="Cambria" w:hAnsi="Cambria"/>
          <w:color w:val="231F20"/>
          <w:spacing w:val="2"/>
        </w:rPr>
        <w:t>que </w:t>
      </w:r>
      <w:r>
        <w:rPr>
          <w:rFonts w:ascii="Cambria" w:hAnsi="Cambria"/>
          <w:color w:val="231F20"/>
          <w:spacing w:val="3"/>
        </w:rPr>
        <w:t>denominamos como </w:t>
      </w:r>
      <w:r>
        <w:rPr>
          <w:rFonts w:ascii="Cambria" w:hAnsi="Cambria"/>
          <w:color w:val="231F20"/>
          <w:spacing w:val="2"/>
        </w:rPr>
        <w:t>“Lo organizativo”</w:t>
      </w:r>
      <w:r>
        <w:rPr>
          <w:b/>
          <w:color w:val="231F20"/>
          <w:spacing w:val="2"/>
        </w:rPr>
        <w:t>. </w:t>
      </w:r>
      <w:r>
        <w:rPr>
          <w:rFonts w:ascii="Cambria" w:hAnsi="Cambria"/>
          <w:color w:val="231F20"/>
        </w:rPr>
        <w:t>En la </w:t>
      </w:r>
      <w:r>
        <w:rPr>
          <w:rFonts w:ascii="Cambria" w:hAnsi="Cambria"/>
          <w:color w:val="231F20"/>
          <w:spacing w:val="2"/>
        </w:rPr>
        <w:t>Tabla </w:t>
      </w:r>
      <w:r>
        <w:rPr>
          <w:rFonts w:ascii="Cambria" w:hAnsi="Cambria"/>
          <w:color w:val="231F20"/>
        </w:rPr>
        <w:t>3 </w:t>
      </w:r>
      <w:r>
        <w:rPr>
          <w:rFonts w:ascii="Cambria" w:hAnsi="Cambria"/>
          <w:color w:val="231F20"/>
          <w:spacing w:val="3"/>
        </w:rPr>
        <w:t>podemos </w:t>
      </w:r>
      <w:r>
        <w:rPr>
          <w:rFonts w:ascii="Cambria" w:hAnsi="Cambria"/>
          <w:color w:val="231F20"/>
          <w:spacing w:val="2"/>
          <w:w w:val="90"/>
        </w:rPr>
        <w:t>observar </w:t>
      </w:r>
      <w:r>
        <w:rPr>
          <w:rFonts w:ascii="Cambria" w:hAnsi="Cambria"/>
          <w:color w:val="231F20"/>
          <w:w w:val="90"/>
        </w:rPr>
        <w:t>las</w:t>
      </w:r>
      <w:r>
        <w:rPr>
          <w:rFonts w:ascii="Cambria" w:hAnsi="Cambria"/>
          <w:color w:val="231F20"/>
          <w:spacing w:val="32"/>
          <w:w w:val="90"/>
        </w:rPr>
        <w:t> </w:t>
      </w:r>
      <w:r>
        <w:rPr>
          <w:rFonts w:ascii="Cambria" w:hAnsi="Cambria"/>
          <w:color w:val="231F20"/>
          <w:spacing w:val="3"/>
          <w:w w:val="90"/>
        </w:rPr>
        <w:t>respuestas.</w:t>
      </w:r>
    </w:p>
    <w:p>
      <w:pPr>
        <w:pStyle w:val="BodyText"/>
        <w:spacing w:before="2"/>
        <w:rPr>
          <w:rFonts w:ascii="Cambria"/>
          <w:sz w:val="23"/>
        </w:rPr>
      </w:pPr>
    </w:p>
    <w:p>
      <w:pPr>
        <w:spacing w:before="1" w:after="12"/>
        <w:ind w:left="352" w:right="348" w:firstLine="0"/>
        <w:jc w:val="center"/>
        <w:rPr>
          <w:b/>
          <w:sz w:val="19"/>
        </w:rPr>
      </w:pPr>
      <w:r>
        <w:rPr>
          <w:b/>
          <w:color w:val="231F20"/>
          <w:sz w:val="19"/>
        </w:rPr>
        <w:t>Tabla 3. Frecuencia de respuestas de la categoría “Lo organizativo”</w:t>
      </w: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51"/>
        <w:gridCol w:w="1296"/>
        <w:gridCol w:w="1253"/>
      </w:tblGrid>
      <w:tr>
        <w:trPr>
          <w:trHeight w:val="259" w:hRule="exact"/>
        </w:trPr>
        <w:tc>
          <w:tcPr>
            <w:tcW w:w="3451" w:type="dxa"/>
          </w:tcPr>
          <w:p>
            <w:pPr>
              <w:pStyle w:val="TableParagraph"/>
              <w:spacing w:before="43"/>
              <w:ind w:left="105"/>
              <w:rPr>
                <w:b/>
                <w:sz w:val="17"/>
              </w:rPr>
            </w:pPr>
            <w:r>
              <w:rPr>
                <w:b/>
                <w:color w:val="231F20"/>
                <w:w w:val="105"/>
                <w:sz w:val="17"/>
              </w:rPr>
              <w:t>Respuestas</w:t>
            </w:r>
          </w:p>
        </w:tc>
        <w:tc>
          <w:tcPr>
            <w:tcW w:w="1296" w:type="dxa"/>
          </w:tcPr>
          <w:p>
            <w:pPr>
              <w:pStyle w:val="TableParagraph"/>
              <w:spacing w:before="43"/>
              <w:ind w:left="105"/>
              <w:rPr>
                <w:b/>
                <w:sz w:val="17"/>
              </w:rPr>
            </w:pPr>
            <w:r>
              <w:rPr>
                <w:b/>
                <w:color w:val="231F20"/>
                <w:sz w:val="17"/>
              </w:rPr>
              <w:t>Querétaro</w:t>
            </w:r>
          </w:p>
        </w:tc>
        <w:tc>
          <w:tcPr>
            <w:tcW w:w="1253" w:type="dxa"/>
          </w:tcPr>
          <w:p>
            <w:pPr>
              <w:pStyle w:val="TableParagraph"/>
              <w:spacing w:before="43"/>
              <w:ind w:left="105"/>
              <w:rPr>
                <w:b/>
                <w:sz w:val="17"/>
              </w:rPr>
            </w:pPr>
            <w:r>
              <w:rPr>
                <w:b/>
                <w:color w:val="231F20"/>
                <w:w w:val="105"/>
                <w:sz w:val="17"/>
              </w:rPr>
              <w:t>Alicante</w:t>
            </w:r>
          </w:p>
        </w:tc>
      </w:tr>
      <w:tr>
        <w:trPr>
          <w:trHeight w:val="259" w:hRule="exact"/>
        </w:trPr>
        <w:tc>
          <w:tcPr>
            <w:tcW w:w="3451" w:type="dxa"/>
          </w:tcPr>
          <w:p>
            <w:pPr>
              <w:pStyle w:val="TableParagraph"/>
              <w:spacing w:before="40"/>
              <w:ind w:left="105"/>
              <w:rPr>
                <w:rFonts w:ascii="Cambria"/>
                <w:sz w:val="17"/>
              </w:rPr>
            </w:pPr>
            <w:r>
              <w:rPr>
                <w:rFonts w:ascii="Cambria"/>
                <w:color w:val="231F20"/>
                <w:w w:val="95"/>
                <w:sz w:val="17"/>
              </w:rPr>
              <w:t>Poco tiempo para hacer las tareas</w:t>
            </w:r>
          </w:p>
        </w:tc>
        <w:tc>
          <w:tcPr>
            <w:tcW w:w="1296" w:type="dxa"/>
          </w:tcPr>
          <w:p>
            <w:pPr>
              <w:pStyle w:val="TableParagraph"/>
              <w:spacing w:before="40"/>
              <w:ind w:left="105"/>
              <w:rPr>
                <w:rFonts w:ascii="Cambria"/>
                <w:sz w:val="17"/>
              </w:rPr>
            </w:pPr>
            <w:r>
              <w:rPr>
                <w:rFonts w:ascii="Cambria"/>
                <w:color w:val="231F20"/>
                <w:w w:val="88"/>
                <w:sz w:val="17"/>
              </w:rPr>
              <w:t>0</w:t>
            </w:r>
          </w:p>
        </w:tc>
        <w:tc>
          <w:tcPr>
            <w:tcW w:w="1253" w:type="dxa"/>
          </w:tcPr>
          <w:p>
            <w:pPr>
              <w:pStyle w:val="TableParagraph"/>
              <w:spacing w:before="40"/>
              <w:ind w:left="105"/>
              <w:rPr>
                <w:rFonts w:ascii="Cambria"/>
                <w:sz w:val="17"/>
              </w:rPr>
            </w:pPr>
            <w:r>
              <w:rPr>
                <w:rFonts w:ascii="Cambria"/>
                <w:color w:val="231F20"/>
                <w:sz w:val="17"/>
              </w:rPr>
              <w:t>12</w:t>
            </w:r>
          </w:p>
        </w:tc>
      </w:tr>
      <w:tr>
        <w:trPr>
          <w:trHeight w:val="259" w:hRule="exact"/>
        </w:trPr>
        <w:tc>
          <w:tcPr>
            <w:tcW w:w="3451" w:type="dxa"/>
          </w:tcPr>
          <w:p>
            <w:pPr>
              <w:pStyle w:val="TableParagraph"/>
              <w:spacing w:before="40"/>
              <w:ind w:left="105"/>
              <w:rPr>
                <w:rFonts w:ascii="Cambria"/>
                <w:sz w:val="17"/>
              </w:rPr>
            </w:pPr>
            <w:r>
              <w:rPr>
                <w:rFonts w:ascii="Cambria"/>
                <w:color w:val="231F20"/>
                <w:w w:val="95"/>
                <w:sz w:val="17"/>
              </w:rPr>
              <w:t>Respeto del tiempo</w:t>
            </w:r>
          </w:p>
        </w:tc>
        <w:tc>
          <w:tcPr>
            <w:tcW w:w="1296" w:type="dxa"/>
          </w:tcPr>
          <w:p>
            <w:pPr>
              <w:pStyle w:val="TableParagraph"/>
              <w:spacing w:before="40"/>
              <w:ind w:left="105"/>
              <w:rPr>
                <w:rFonts w:ascii="Cambria"/>
                <w:sz w:val="17"/>
              </w:rPr>
            </w:pPr>
            <w:r>
              <w:rPr>
                <w:rFonts w:ascii="Cambria"/>
                <w:color w:val="231F20"/>
                <w:w w:val="88"/>
                <w:sz w:val="17"/>
              </w:rPr>
              <w:t>3</w:t>
            </w:r>
          </w:p>
        </w:tc>
        <w:tc>
          <w:tcPr>
            <w:tcW w:w="1253" w:type="dxa"/>
          </w:tcPr>
          <w:p>
            <w:pPr>
              <w:pStyle w:val="TableParagraph"/>
              <w:spacing w:before="40"/>
              <w:ind w:left="105"/>
              <w:rPr>
                <w:rFonts w:ascii="Cambria"/>
                <w:sz w:val="17"/>
              </w:rPr>
            </w:pPr>
            <w:r>
              <w:rPr>
                <w:rFonts w:ascii="Cambria"/>
                <w:color w:val="231F20"/>
                <w:w w:val="88"/>
                <w:sz w:val="17"/>
              </w:rPr>
              <w:t>0</w:t>
            </w:r>
          </w:p>
        </w:tc>
      </w:tr>
      <w:tr>
        <w:trPr>
          <w:trHeight w:val="259" w:hRule="exact"/>
        </w:trPr>
        <w:tc>
          <w:tcPr>
            <w:tcW w:w="3451" w:type="dxa"/>
          </w:tcPr>
          <w:p>
            <w:pPr>
              <w:pStyle w:val="TableParagraph"/>
              <w:spacing w:before="40"/>
              <w:ind w:left="105"/>
              <w:rPr>
                <w:rFonts w:ascii="Cambria"/>
                <w:sz w:val="17"/>
              </w:rPr>
            </w:pPr>
            <w:r>
              <w:rPr>
                <w:rFonts w:ascii="Cambria"/>
                <w:color w:val="231F20"/>
                <w:w w:val="95"/>
                <w:sz w:val="17"/>
              </w:rPr>
              <w:t>Excesiva tarea</w:t>
            </w:r>
          </w:p>
        </w:tc>
        <w:tc>
          <w:tcPr>
            <w:tcW w:w="1296" w:type="dxa"/>
          </w:tcPr>
          <w:p>
            <w:pPr>
              <w:pStyle w:val="TableParagraph"/>
              <w:spacing w:before="40"/>
              <w:ind w:left="105"/>
              <w:rPr>
                <w:rFonts w:ascii="Cambria"/>
                <w:sz w:val="17"/>
              </w:rPr>
            </w:pPr>
            <w:r>
              <w:rPr>
                <w:rFonts w:ascii="Cambria"/>
                <w:color w:val="231F20"/>
                <w:w w:val="88"/>
                <w:sz w:val="17"/>
              </w:rPr>
              <w:t>2</w:t>
            </w:r>
          </w:p>
        </w:tc>
        <w:tc>
          <w:tcPr>
            <w:tcW w:w="1253" w:type="dxa"/>
          </w:tcPr>
          <w:p>
            <w:pPr>
              <w:pStyle w:val="TableParagraph"/>
              <w:spacing w:before="40"/>
              <w:ind w:left="105"/>
              <w:rPr>
                <w:rFonts w:ascii="Cambria"/>
                <w:sz w:val="17"/>
              </w:rPr>
            </w:pPr>
            <w:r>
              <w:rPr>
                <w:rFonts w:ascii="Cambria"/>
                <w:color w:val="231F20"/>
                <w:w w:val="88"/>
                <w:sz w:val="17"/>
              </w:rPr>
              <w:t>0</w:t>
            </w:r>
          </w:p>
        </w:tc>
      </w:tr>
      <w:tr>
        <w:trPr>
          <w:trHeight w:val="259" w:hRule="exact"/>
        </w:trPr>
        <w:tc>
          <w:tcPr>
            <w:tcW w:w="3451" w:type="dxa"/>
          </w:tcPr>
          <w:p>
            <w:pPr>
              <w:pStyle w:val="TableParagraph"/>
              <w:spacing w:before="40"/>
              <w:ind w:left="105"/>
              <w:rPr>
                <w:rFonts w:ascii="Cambria" w:hAnsi="Cambria"/>
                <w:sz w:val="17"/>
              </w:rPr>
            </w:pPr>
            <w:r>
              <w:rPr>
                <w:rFonts w:ascii="Cambria" w:hAnsi="Cambria"/>
                <w:color w:val="231F20"/>
                <w:w w:val="95"/>
                <w:sz w:val="17"/>
              </w:rPr>
              <w:t>Exámenes sorpresa</w:t>
            </w:r>
          </w:p>
        </w:tc>
        <w:tc>
          <w:tcPr>
            <w:tcW w:w="1296" w:type="dxa"/>
          </w:tcPr>
          <w:p>
            <w:pPr>
              <w:pStyle w:val="TableParagraph"/>
              <w:spacing w:before="40"/>
              <w:ind w:left="105"/>
              <w:rPr>
                <w:rFonts w:ascii="Cambria"/>
                <w:sz w:val="17"/>
              </w:rPr>
            </w:pPr>
            <w:r>
              <w:rPr>
                <w:rFonts w:ascii="Cambria"/>
                <w:color w:val="231F20"/>
                <w:w w:val="88"/>
                <w:sz w:val="17"/>
              </w:rPr>
              <w:t>0</w:t>
            </w:r>
          </w:p>
        </w:tc>
        <w:tc>
          <w:tcPr>
            <w:tcW w:w="1253" w:type="dxa"/>
          </w:tcPr>
          <w:p>
            <w:pPr>
              <w:pStyle w:val="TableParagraph"/>
              <w:spacing w:before="40"/>
              <w:ind w:left="105"/>
              <w:rPr>
                <w:rFonts w:ascii="Cambria"/>
                <w:sz w:val="17"/>
              </w:rPr>
            </w:pPr>
            <w:r>
              <w:rPr>
                <w:rFonts w:ascii="Cambria"/>
                <w:color w:val="231F20"/>
                <w:w w:val="88"/>
                <w:sz w:val="17"/>
              </w:rPr>
              <w:t>2</w:t>
            </w:r>
          </w:p>
        </w:tc>
      </w:tr>
    </w:tbl>
    <w:p>
      <w:pPr>
        <w:pStyle w:val="BodyText"/>
        <w:spacing w:before="6"/>
        <w:rPr>
          <w:b/>
          <w:sz w:val="16"/>
        </w:rPr>
      </w:pPr>
    </w:p>
    <w:p>
      <w:pPr>
        <w:pStyle w:val="BodyText"/>
        <w:spacing w:line="244" w:lineRule="auto" w:before="66"/>
        <w:ind w:left="222" w:right="215" w:firstLine="284"/>
        <w:jc w:val="both"/>
        <w:rPr>
          <w:rFonts w:ascii="Cambria" w:hAnsi="Cambria"/>
        </w:rPr>
      </w:pPr>
      <w:r>
        <w:rPr>
          <w:rFonts w:ascii="Cambria" w:hAnsi="Cambria"/>
          <w:color w:val="231F20"/>
          <w:w w:val="95"/>
        </w:rPr>
        <w:t>El </w:t>
      </w:r>
      <w:r>
        <w:rPr>
          <w:rFonts w:ascii="Cambria" w:hAnsi="Cambria"/>
          <w:color w:val="231F20"/>
          <w:spacing w:val="2"/>
          <w:w w:val="95"/>
        </w:rPr>
        <w:t>grupo </w:t>
      </w:r>
      <w:r>
        <w:rPr>
          <w:rFonts w:ascii="Cambria" w:hAnsi="Cambria"/>
          <w:color w:val="231F20"/>
          <w:w w:val="95"/>
        </w:rPr>
        <w:t>de </w:t>
      </w:r>
      <w:r>
        <w:rPr>
          <w:rFonts w:ascii="Cambria" w:hAnsi="Cambria"/>
          <w:color w:val="231F20"/>
          <w:spacing w:val="2"/>
          <w:w w:val="95"/>
        </w:rPr>
        <w:t>Alicante </w:t>
      </w:r>
      <w:r>
        <w:rPr>
          <w:rFonts w:ascii="Cambria" w:hAnsi="Cambria"/>
          <w:color w:val="231F20"/>
          <w:spacing w:val="3"/>
          <w:w w:val="95"/>
        </w:rPr>
        <w:t>concentró </w:t>
      </w:r>
      <w:r>
        <w:rPr>
          <w:rFonts w:ascii="Cambria" w:hAnsi="Cambria"/>
          <w:color w:val="231F20"/>
          <w:w w:val="95"/>
        </w:rPr>
        <w:t>el </w:t>
      </w:r>
      <w:r>
        <w:rPr>
          <w:rFonts w:ascii="Cambria" w:hAnsi="Cambria"/>
          <w:color w:val="231F20"/>
          <w:spacing w:val="3"/>
          <w:w w:val="95"/>
        </w:rPr>
        <w:t>mayor número </w:t>
      </w:r>
      <w:r>
        <w:rPr>
          <w:rFonts w:ascii="Cambria" w:hAnsi="Cambria"/>
          <w:color w:val="231F20"/>
          <w:w w:val="95"/>
        </w:rPr>
        <w:t>de </w:t>
      </w:r>
      <w:r>
        <w:rPr>
          <w:rFonts w:ascii="Cambria" w:hAnsi="Cambria"/>
          <w:color w:val="231F20"/>
          <w:spacing w:val="3"/>
          <w:w w:val="95"/>
        </w:rPr>
        <w:t>respuestas </w:t>
      </w:r>
      <w:r>
        <w:rPr>
          <w:rFonts w:ascii="Cambria" w:hAnsi="Cambria"/>
          <w:color w:val="231F20"/>
          <w:spacing w:val="2"/>
        </w:rPr>
        <w:t>dentro</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spacing w:val="2"/>
        </w:rPr>
        <w:t>esta</w:t>
      </w:r>
      <w:r>
        <w:rPr>
          <w:rFonts w:ascii="Cambria" w:hAnsi="Cambria"/>
          <w:color w:val="231F20"/>
          <w:spacing w:val="-20"/>
        </w:rPr>
        <w:t> </w:t>
      </w:r>
      <w:r>
        <w:rPr>
          <w:rFonts w:ascii="Cambria" w:hAnsi="Cambria"/>
          <w:color w:val="231F20"/>
          <w:spacing w:val="2"/>
        </w:rPr>
        <w:t>categoría.</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spacing w:val="2"/>
        </w:rPr>
        <w:t>respuesta</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spacing w:val="2"/>
        </w:rPr>
        <w:t>“tener</w:t>
      </w:r>
      <w:r>
        <w:rPr>
          <w:rFonts w:ascii="Cambria" w:hAnsi="Cambria"/>
          <w:color w:val="231F20"/>
          <w:spacing w:val="-20"/>
        </w:rPr>
        <w:t> </w:t>
      </w:r>
      <w:r>
        <w:rPr>
          <w:rFonts w:ascii="Cambria" w:hAnsi="Cambria"/>
          <w:color w:val="231F20"/>
          <w:spacing w:val="2"/>
        </w:rPr>
        <w:t>poco</w:t>
      </w:r>
      <w:r>
        <w:rPr>
          <w:rFonts w:ascii="Cambria" w:hAnsi="Cambria"/>
          <w:color w:val="231F20"/>
          <w:spacing w:val="-20"/>
        </w:rPr>
        <w:t> </w:t>
      </w:r>
      <w:r>
        <w:rPr>
          <w:rFonts w:ascii="Cambria" w:hAnsi="Cambria"/>
          <w:color w:val="231F20"/>
          <w:spacing w:val="2"/>
        </w:rPr>
        <w:t>tiempo</w:t>
      </w:r>
      <w:r>
        <w:rPr>
          <w:rFonts w:ascii="Cambria" w:hAnsi="Cambria"/>
          <w:color w:val="231F20"/>
          <w:spacing w:val="-20"/>
        </w:rPr>
        <w:t> </w:t>
      </w:r>
      <w:r>
        <w:rPr>
          <w:rFonts w:ascii="Cambria" w:hAnsi="Cambria"/>
          <w:color w:val="231F20"/>
          <w:spacing w:val="2"/>
        </w:rPr>
        <w:t>para realizar los </w:t>
      </w:r>
      <w:r>
        <w:rPr>
          <w:rFonts w:ascii="Cambria" w:hAnsi="Cambria"/>
          <w:color w:val="231F20"/>
          <w:spacing w:val="3"/>
        </w:rPr>
        <w:t>exámenes </w:t>
      </w:r>
      <w:r>
        <w:rPr>
          <w:rFonts w:ascii="Cambria" w:hAnsi="Cambria"/>
          <w:color w:val="231F20"/>
          <w:spacing w:val="2"/>
        </w:rPr>
        <w:t>y/o los deberes”, tuvo una frecuencia im- </w:t>
      </w:r>
      <w:r>
        <w:rPr>
          <w:rFonts w:ascii="Cambria" w:hAnsi="Cambria"/>
          <w:color w:val="231F20"/>
          <w:spacing w:val="3"/>
          <w:w w:val="95"/>
        </w:rPr>
        <w:t>portante </w:t>
      </w:r>
      <w:r>
        <w:rPr>
          <w:rFonts w:ascii="Cambria" w:hAnsi="Cambria"/>
          <w:color w:val="231F20"/>
          <w:w w:val="95"/>
        </w:rPr>
        <w:t>de </w:t>
      </w:r>
      <w:r>
        <w:rPr>
          <w:rFonts w:ascii="Cambria" w:hAnsi="Cambria"/>
          <w:color w:val="231F20"/>
          <w:spacing w:val="2"/>
          <w:w w:val="95"/>
        </w:rPr>
        <w:t>aparición. Los adolescentes referían </w:t>
      </w:r>
      <w:r>
        <w:rPr>
          <w:rFonts w:ascii="Cambria" w:hAnsi="Cambria"/>
          <w:color w:val="231F20"/>
          <w:w w:val="95"/>
        </w:rPr>
        <w:t>que </w:t>
      </w:r>
      <w:r>
        <w:rPr>
          <w:rFonts w:ascii="Cambria" w:hAnsi="Cambria"/>
          <w:color w:val="231F20"/>
          <w:spacing w:val="2"/>
          <w:w w:val="95"/>
        </w:rPr>
        <w:t>hay periodos </w:t>
      </w:r>
      <w:r>
        <w:rPr>
          <w:rFonts w:ascii="Cambria" w:hAnsi="Cambria"/>
          <w:color w:val="231F20"/>
        </w:rPr>
        <w:t>en</w:t>
      </w:r>
      <w:r>
        <w:rPr>
          <w:rFonts w:ascii="Cambria" w:hAnsi="Cambria"/>
          <w:color w:val="231F20"/>
          <w:spacing w:val="-4"/>
        </w:rPr>
        <w:t> </w:t>
      </w:r>
      <w:r>
        <w:rPr>
          <w:rFonts w:ascii="Cambria" w:hAnsi="Cambria"/>
          <w:color w:val="231F20"/>
          <w:spacing w:val="2"/>
        </w:rPr>
        <w:t>que</w:t>
      </w:r>
      <w:r>
        <w:rPr>
          <w:rFonts w:ascii="Cambria" w:hAnsi="Cambria"/>
          <w:color w:val="231F20"/>
          <w:spacing w:val="-4"/>
        </w:rPr>
        <w:t> </w:t>
      </w:r>
      <w:r>
        <w:rPr>
          <w:rFonts w:ascii="Cambria" w:hAnsi="Cambria"/>
          <w:color w:val="231F20"/>
          <w:spacing w:val="3"/>
        </w:rPr>
        <w:t>además</w:t>
      </w:r>
      <w:r>
        <w:rPr>
          <w:rFonts w:ascii="Cambria" w:hAnsi="Cambria"/>
          <w:color w:val="231F20"/>
          <w:spacing w:val="-5"/>
        </w:rPr>
        <w:t> </w:t>
      </w:r>
      <w:r>
        <w:rPr>
          <w:rFonts w:ascii="Cambria" w:hAnsi="Cambria"/>
          <w:color w:val="231F20"/>
        </w:rPr>
        <w:t>de</w:t>
      </w:r>
      <w:r>
        <w:rPr>
          <w:rFonts w:ascii="Cambria" w:hAnsi="Cambria"/>
          <w:color w:val="231F20"/>
          <w:spacing w:val="-4"/>
        </w:rPr>
        <w:t> </w:t>
      </w:r>
      <w:r>
        <w:rPr>
          <w:rFonts w:ascii="Cambria" w:hAnsi="Cambria"/>
          <w:color w:val="231F20"/>
          <w:spacing w:val="2"/>
        </w:rPr>
        <w:t>que</w:t>
      </w:r>
      <w:r>
        <w:rPr>
          <w:rFonts w:ascii="Cambria" w:hAnsi="Cambria"/>
          <w:color w:val="231F20"/>
          <w:spacing w:val="-4"/>
        </w:rPr>
        <w:t> </w:t>
      </w:r>
      <w:r>
        <w:rPr>
          <w:rFonts w:ascii="Cambria" w:hAnsi="Cambria"/>
          <w:color w:val="231F20"/>
          <w:spacing w:val="2"/>
        </w:rPr>
        <w:t>tienen</w:t>
      </w:r>
      <w:r>
        <w:rPr>
          <w:rFonts w:ascii="Cambria" w:hAnsi="Cambria"/>
          <w:color w:val="231F20"/>
          <w:spacing w:val="-4"/>
        </w:rPr>
        <w:t> </w:t>
      </w:r>
      <w:r>
        <w:rPr>
          <w:rFonts w:ascii="Cambria" w:hAnsi="Cambria"/>
          <w:color w:val="231F20"/>
          <w:spacing w:val="3"/>
        </w:rPr>
        <w:t>muchos</w:t>
      </w:r>
      <w:r>
        <w:rPr>
          <w:rFonts w:ascii="Cambria" w:hAnsi="Cambria"/>
          <w:color w:val="231F20"/>
          <w:spacing w:val="-5"/>
        </w:rPr>
        <w:t> </w:t>
      </w:r>
      <w:r>
        <w:rPr>
          <w:rFonts w:ascii="Cambria" w:hAnsi="Cambria"/>
          <w:color w:val="231F20"/>
          <w:spacing w:val="3"/>
        </w:rPr>
        <w:t>exámenes</w:t>
      </w:r>
      <w:r>
        <w:rPr>
          <w:rFonts w:ascii="Cambria" w:hAnsi="Cambria"/>
          <w:color w:val="231F20"/>
          <w:spacing w:val="-5"/>
        </w:rPr>
        <w:t> </w:t>
      </w:r>
      <w:r>
        <w:rPr>
          <w:rFonts w:ascii="Cambria" w:hAnsi="Cambria"/>
          <w:color w:val="231F20"/>
        </w:rPr>
        <w:t>se</w:t>
      </w:r>
      <w:r>
        <w:rPr>
          <w:rFonts w:ascii="Cambria" w:hAnsi="Cambria"/>
          <w:color w:val="231F20"/>
          <w:spacing w:val="-4"/>
        </w:rPr>
        <w:t> </w:t>
      </w:r>
      <w:r>
        <w:rPr>
          <w:rFonts w:ascii="Cambria" w:hAnsi="Cambria"/>
          <w:color w:val="231F20"/>
        </w:rPr>
        <w:t>les</w:t>
      </w:r>
      <w:r>
        <w:rPr>
          <w:rFonts w:ascii="Cambria" w:hAnsi="Cambria"/>
          <w:color w:val="231F20"/>
          <w:spacing w:val="-5"/>
        </w:rPr>
        <w:t> </w:t>
      </w:r>
      <w:r>
        <w:rPr>
          <w:rFonts w:ascii="Cambria" w:hAnsi="Cambria"/>
          <w:color w:val="231F20"/>
          <w:spacing w:val="2"/>
        </w:rPr>
        <w:t>deja</w:t>
      </w:r>
      <w:r>
        <w:rPr>
          <w:rFonts w:ascii="Cambria" w:hAnsi="Cambria"/>
          <w:color w:val="231F20"/>
          <w:spacing w:val="-4"/>
        </w:rPr>
        <w:t> </w:t>
      </w:r>
      <w:r>
        <w:rPr>
          <w:rFonts w:ascii="Cambria" w:hAnsi="Cambria"/>
          <w:color w:val="231F20"/>
          <w:spacing w:val="2"/>
        </w:rPr>
        <w:t>poco </w:t>
      </w:r>
      <w:r>
        <w:rPr>
          <w:rFonts w:ascii="Cambria" w:hAnsi="Cambria"/>
          <w:color w:val="231F20"/>
          <w:spacing w:val="3"/>
        </w:rPr>
        <w:t>tiempo,</w:t>
      </w:r>
      <w:r>
        <w:rPr>
          <w:rFonts w:ascii="Cambria" w:hAnsi="Cambria"/>
          <w:color w:val="231F20"/>
          <w:spacing w:val="-24"/>
        </w:rPr>
        <w:t> </w:t>
      </w:r>
      <w:r>
        <w:rPr>
          <w:rFonts w:ascii="Cambria" w:hAnsi="Cambria"/>
          <w:color w:val="231F20"/>
          <w:spacing w:val="2"/>
        </w:rPr>
        <w:t>tanto</w:t>
      </w:r>
      <w:r>
        <w:rPr>
          <w:rFonts w:ascii="Cambria" w:hAnsi="Cambria"/>
          <w:color w:val="231F20"/>
          <w:spacing w:val="-24"/>
        </w:rPr>
        <w:t> </w:t>
      </w:r>
      <w:r>
        <w:rPr>
          <w:rFonts w:ascii="Cambria" w:hAnsi="Cambria"/>
          <w:color w:val="231F20"/>
          <w:spacing w:val="2"/>
        </w:rPr>
        <w:t>para</w:t>
      </w:r>
      <w:r>
        <w:rPr>
          <w:rFonts w:ascii="Cambria" w:hAnsi="Cambria"/>
          <w:color w:val="231F20"/>
          <w:spacing w:val="-24"/>
        </w:rPr>
        <w:t> </w:t>
      </w:r>
      <w:r>
        <w:rPr>
          <w:rFonts w:ascii="Cambria" w:hAnsi="Cambria"/>
          <w:color w:val="231F20"/>
          <w:spacing w:val="2"/>
        </w:rPr>
        <w:t>estudiar</w:t>
      </w:r>
      <w:r>
        <w:rPr>
          <w:rFonts w:ascii="Cambria" w:hAnsi="Cambria"/>
          <w:color w:val="231F20"/>
          <w:spacing w:val="-24"/>
        </w:rPr>
        <w:t> </w:t>
      </w:r>
      <w:r>
        <w:rPr>
          <w:rFonts w:ascii="Cambria" w:hAnsi="Cambria"/>
          <w:color w:val="231F20"/>
          <w:spacing w:val="3"/>
        </w:rPr>
        <w:t>como</w:t>
      </w:r>
      <w:r>
        <w:rPr>
          <w:rFonts w:ascii="Cambria" w:hAnsi="Cambria"/>
          <w:color w:val="231F20"/>
          <w:spacing w:val="-24"/>
        </w:rPr>
        <w:t> </w:t>
      </w:r>
      <w:r>
        <w:rPr>
          <w:rFonts w:ascii="Cambria" w:hAnsi="Cambria"/>
          <w:color w:val="231F20"/>
          <w:spacing w:val="2"/>
        </w:rPr>
        <w:t>para</w:t>
      </w:r>
      <w:r>
        <w:rPr>
          <w:rFonts w:ascii="Cambria" w:hAnsi="Cambria"/>
          <w:color w:val="231F20"/>
          <w:spacing w:val="-24"/>
        </w:rPr>
        <w:t> </w:t>
      </w:r>
      <w:r>
        <w:rPr>
          <w:rFonts w:ascii="Cambria" w:hAnsi="Cambria"/>
          <w:color w:val="231F20"/>
          <w:spacing w:val="2"/>
        </w:rPr>
        <w:t>resolver</w:t>
      </w:r>
      <w:r>
        <w:rPr>
          <w:rFonts w:ascii="Cambria" w:hAnsi="Cambria"/>
          <w:color w:val="231F20"/>
          <w:spacing w:val="-24"/>
        </w:rPr>
        <w:t> </w:t>
      </w:r>
      <w:r>
        <w:rPr>
          <w:rFonts w:ascii="Cambria" w:hAnsi="Cambria"/>
          <w:color w:val="231F20"/>
          <w:spacing w:val="2"/>
        </w:rPr>
        <w:t>los</w:t>
      </w:r>
      <w:r>
        <w:rPr>
          <w:rFonts w:ascii="Cambria" w:hAnsi="Cambria"/>
          <w:color w:val="231F20"/>
          <w:spacing w:val="-24"/>
        </w:rPr>
        <w:t> </w:t>
      </w:r>
      <w:r>
        <w:rPr>
          <w:rFonts w:ascii="Cambria" w:hAnsi="Cambria"/>
          <w:color w:val="231F20"/>
          <w:spacing w:val="3"/>
        </w:rPr>
        <w:t>exámenes</w:t>
      </w:r>
      <w:r>
        <w:rPr>
          <w:rFonts w:ascii="Cambria" w:hAnsi="Cambria"/>
          <w:color w:val="231F20"/>
          <w:spacing w:val="-24"/>
        </w:rPr>
        <w:t> </w:t>
      </w:r>
      <w:r>
        <w:rPr>
          <w:rFonts w:ascii="Cambria" w:hAnsi="Cambria"/>
          <w:color w:val="231F20"/>
        </w:rPr>
        <w:t>o</w:t>
      </w:r>
      <w:r>
        <w:rPr>
          <w:rFonts w:ascii="Cambria" w:hAnsi="Cambria"/>
          <w:color w:val="231F20"/>
          <w:spacing w:val="-24"/>
        </w:rPr>
        <w:t> </w:t>
      </w:r>
      <w:r>
        <w:rPr>
          <w:rFonts w:ascii="Cambria" w:hAnsi="Cambria"/>
          <w:color w:val="231F20"/>
        </w:rPr>
        <w:t>en el </w:t>
      </w:r>
      <w:r>
        <w:rPr>
          <w:rFonts w:ascii="Cambria" w:hAnsi="Cambria"/>
          <w:color w:val="231F20"/>
          <w:spacing w:val="2"/>
        </w:rPr>
        <w:t>caso </w:t>
      </w:r>
      <w:r>
        <w:rPr>
          <w:rFonts w:ascii="Cambria" w:hAnsi="Cambria"/>
          <w:color w:val="231F20"/>
        </w:rPr>
        <w:t>de </w:t>
      </w:r>
      <w:r>
        <w:rPr>
          <w:rFonts w:ascii="Cambria" w:hAnsi="Cambria"/>
          <w:color w:val="231F20"/>
          <w:spacing w:val="2"/>
        </w:rPr>
        <w:t>los deberes, referían que pareciera que los </w:t>
      </w:r>
      <w:r>
        <w:rPr>
          <w:rFonts w:ascii="Cambria" w:hAnsi="Cambria"/>
          <w:color w:val="231F20"/>
          <w:spacing w:val="3"/>
        </w:rPr>
        <w:t>maestros </w:t>
      </w:r>
      <w:r>
        <w:rPr>
          <w:rFonts w:ascii="Cambria" w:hAnsi="Cambria"/>
          <w:color w:val="231F20"/>
          <w:spacing w:val="2"/>
        </w:rPr>
        <w:t>piensan</w:t>
      </w:r>
      <w:r>
        <w:rPr>
          <w:rFonts w:ascii="Cambria" w:hAnsi="Cambria"/>
          <w:color w:val="231F20"/>
          <w:spacing w:val="-25"/>
        </w:rPr>
        <w:t> </w:t>
      </w:r>
      <w:r>
        <w:rPr>
          <w:rFonts w:ascii="Cambria" w:hAnsi="Cambria"/>
          <w:color w:val="231F20"/>
        </w:rPr>
        <w:t>que</w:t>
      </w:r>
      <w:r>
        <w:rPr>
          <w:rFonts w:ascii="Cambria" w:hAnsi="Cambria"/>
          <w:color w:val="231F20"/>
          <w:spacing w:val="-26"/>
        </w:rPr>
        <w:t> </w:t>
      </w:r>
      <w:r>
        <w:rPr>
          <w:rFonts w:ascii="Cambria" w:hAnsi="Cambria"/>
          <w:color w:val="231F20"/>
        </w:rPr>
        <w:t>su</w:t>
      </w:r>
      <w:r>
        <w:rPr>
          <w:rFonts w:ascii="Cambria" w:hAnsi="Cambria"/>
          <w:color w:val="231F20"/>
          <w:spacing w:val="-25"/>
        </w:rPr>
        <w:t> </w:t>
      </w:r>
      <w:r>
        <w:rPr>
          <w:rFonts w:ascii="Cambria" w:hAnsi="Cambria"/>
          <w:color w:val="231F20"/>
          <w:spacing w:val="2"/>
        </w:rPr>
        <w:t>materia</w:t>
      </w:r>
      <w:r>
        <w:rPr>
          <w:rFonts w:ascii="Cambria" w:hAnsi="Cambria"/>
          <w:color w:val="231F20"/>
          <w:spacing w:val="-26"/>
        </w:rPr>
        <w:t> </w:t>
      </w:r>
      <w:r>
        <w:rPr>
          <w:rFonts w:ascii="Cambria" w:hAnsi="Cambria"/>
          <w:color w:val="231F20"/>
        </w:rPr>
        <w:t>es</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spacing w:val="2"/>
        </w:rPr>
        <w:t>única</w:t>
      </w:r>
      <w:r>
        <w:rPr>
          <w:rFonts w:ascii="Cambria" w:hAnsi="Cambria"/>
          <w:color w:val="231F20"/>
          <w:spacing w:val="-26"/>
        </w:rPr>
        <w:t> </w:t>
      </w:r>
      <w:r>
        <w:rPr>
          <w:rFonts w:ascii="Cambria" w:hAnsi="Cambria"/>
          <w:color w:val="231F20"/>
        </w:rPr>
        <w:t>y</w:t>
      </w:r>
      <w:r>
        <w:rPr>
          <w:rFonts w:ascii="Cambria" w:hAnsi="Cambria"/>
          <w:color w:val="231F20"/>
          <w:spacing w:val="-26"/>
        </w:rPr>
        <w:t> </w:t>
      </w:r>
      <w:r>
        <w:rPr>
          <w:rFonts w:ascii="Cambria" w:hAnsi="Cambria"/>
          <w:color w:val="231F20"/>
          <w:spacing w:val="2"/>
        </w:rPr>
        <w:t>solo</w:t>
      </w:r>
      <w:r>
        <w:rPr>
          <w:rFonts w:ascii="Cambria" w:hAnsi="Cambria"/>
          <w:color w:val="231F20"/>
          <w:spacing w:val="-25"/>
        </w:rPr>
        <w:t> </w:t>
      </w:r>
      <w:r>
        <w:rPr>
          <w:rFonts w:ascii="Cambria" w:hAnsi="Cambria"/>
          <w:color w:val="231F20"/>
          <w:spacing w:val="2"/>
        </w:rPr>
        <w:t>deben</w:t>
      </w:r>
      <w:r>
        <w:rPr>
          <w:rFonts w:ascii="Cambria" w:hAnsi="Cambria"/>
          <w:color w:val="231F20"/>
          <w:spacing w:val="-25"/>
        </w:rPr>
        <w:t> </w:t>
      </w:r>
      <w:r>
        <w:rPr>
          <w:rFonts w:ascii="Cambria" w:hAnsi="Cambria"/>
          <w:color w:val="231F20"/>
          <w:spacing w:val="2"/>
        </w:rPr>
        <w:t>hacer</w:t>
      </w:r>
      <w:r>
        <w:rPr>
          <w:rFonts w:ascii="Cambria" w:hAnsi="Cambria"/>
          <w:color w:val="231F20"/>
          <w:spacing w:val="-26"/>
        </w:rPr>
        <w:t> </w:t>
      </w:r>
      <w:r>
        <w:rPr>
          <w:rFonts w:ascii="Cambria" w:hAnsi="Cambria"/>
          <w:color w:val="231F20"/>
          <w:spacing w:val="2"/>
        </w:rPr>
        <w:t>deberes</w:t>
      </w:r>
      <w:r>
        <w:rPr>
          <w:rFonts w:ascii="Cambria" w:hAnsi="Cambria"/>
          <w:color w:val="231F20"/>
          <w:spacing w:val="-26"/>
        </w:rPr>
        <w:t> </w:t>
      </w:r>
      <w:r>
        <w:rPr>
          <w:rFonts w:ascii="Cambria" w:hAnsi="Cambria"/>
          <w:color w:val="231F20"/>
          <w:spacing w:val="2"/>
        </w:rPr>
        <w:t>para </w:t>
      </w:r>
      <w:r>
        <w:rPr>
          <w:rFonts w:ascii="Cambria" w:hAnsi="Cambria"/>
          <w:color w:val="231F20"/>
          <w:spacing w:val="2"/>
          <w:w w:val="95"/>
        </w:rPr>
        <w:t>una asignatura. Estos datos resultan interesantes, pues esto puede </w:t>
      </w:r>
      <w:r>
        <w:rPr>
          <w:rFonts w:ascii="Cambria" w:hAnsi="Cambria"/>
          <w:color w:val="231F20"/>
        </w:rPr>
        <w:t>ser un </w:t>
      </w:r>
      <w:r>
        <w:rPr>
          <w:rFonts w:ascii="Cambria" w:hAnsi="Cambria"/>
          <w:color w:val="231F20"/>
          <w:spacing w:val="2"/>
        </w:rPr>
        <w:t>factor </w:t>
      </w:r>
      <w:r>
        <w:rPr>
          <w:rFonts w:ascii="Cambria" w:hAnsi="Cambria"/>
          <w:color w:val="231F20"/>
        </w:rPr>
        <w:t>que </w:t>
      </w:r>
      <w:r>
        <w:rPr>
          <w:rFonts w:ascii="Cambria" w:hAnsi="Cambria"/>
          <w:color w:val="231F20"/>
          <w:spacing w:val="3"/>
        </w:rPr>
        <w:t>desmotive </w:t>
      </w:r>
      <w:r>
        <w:rPr>
          <w:rFonts w:ascii="Cambria" w:hAnsi="Cambria"/>
          <w:color w:val="231F20"/>
        </w:rPr>
        <w:t>a </w:t>
      </w:r>
      <w:r>
        <w:rPr>
          <w:rFonts w:ascii="Cambria" w:hAnsi="Cambria"/>
          <w:color w:val="231F20"/>
          <w:spacing w:val="2"/>
        </w:rPr>
        <w:t>los adolescentes, pues </w:t>
      </w:r>
      <w:r>
        <w:rPr>
          <w:rFonts w:ascii="Cambria" w:hAnsi="Cambria"/>
          <w:color w:val="231F20"/>
        </w:rPr>
        <w:t>en </w:t>
      </w:r>
      <w:r>
        <w:rPr>
          <w:rFonts w:ascii="Cambria" w:hAnsi="Cambria"/>
          <w:color w:val="231F20"/>
          <w:spacing w:val="2"/>
        </w:rPr>
        <w:t>algunos casos</w:t>
      </w:r>
      <w:r>
        <w:rPr>
          <w:rFonts w:ascii="Cambria" w:hAnsi="Cambria"/>
          <w:color w:val="231F20"/>
          <w:spacing w:val="-19"/>
        </w:rPr>
        <w:t> </w:t>
      </w:r>
      <w:r>
        <w:rPr>
          <w:rFonts w:ascii="Cambria" w:hAnsi="Cambria"/>
          <w:color w:val="231F20"/>
        </w:rPr>
        <w:t>el</w:t>
      </w:r>
      <w:r>
        <w:rPr>
          <w:rFonts w:ascii="Cambria" w:hAnsi="Cambria"/>
          <w:color w:val="231F20"/>
          <w:spacing w:val="-20"/>
        </w:rPr>
        <w:t> </w:t>
      </w:r>
      <w:r>
        <w:rPr>
          <w:rFonts w:ascii="Cambria" w:hAnsi="Cambria"/>
          <w:color w:val="231F20"/>
          <w:spacing w:val="2"/>
        </w:rPr>
        <w:t>esfuerzo</w:t>
      </w:r>
      <w:r>
        <w:rPr>
          <w:rFonts w:ascii="Cambria" w:hAnsi="Cambria"/>
          <w:color w:val="231F20"/>
          <w:spacing w:val="-19"/>
        </w:rPr>
        <w:t> </w:t>
      </w:r>
      <w:r>
        <w:rPr>
          <w:rFonts w:ascii="Cambria" w:hAnsi="Cambria"/>
          <w:color w:val="231F20"/>
          <w:spacing w:val="2"/>
        </w:rPr>
        <w:t>que</w:t>
      </w:r>
      <w:r>
        <w:rPr>
          <w:rFonts w:ascii="Cambria" w:hAnsi="Cambria"/>
          <w:color w:val="231F20"/>
          <w:spacing w:val="-19"/>
        </w:rPr>
        <w:t> </w:t>
      </w:r>
      <w:r>
        <w:rPr>
          <w:rFonts w:ascii="Cambria" w:hAnsi="Cambria"/>
          <w:color w:val="231F20"/>
          <w:spacing w:val="2"/>
        </w:rPr>
        <w:t>tienen</w:t>
      </w:r>
      <w:r>
        <w:rPr>
          <w:rFonts w:ascii="Cambria" w:hAnsi="Cambria"/>
          <w:color w:val="231F20"/>
          <w:spacing w:val="-19"/>
        </w:rPr>
        <w:t> </w:t>
      </w:r>
      <w:r>
        <w:rPr>
          <w:rFonts w:ascii="Cambria" w:hAnsi="Cambria"/>
          <w:color w:val="231F20"/>
          <w:spacing w:val="2"/>
        </w:rPr>
        <w:t>que</w:t>
      </w:r>
      <w:r>
        <w:rPr>
          <w:rFonts w:ascii="Cambria" w:hAnsi="Cambria"/>
          <w:color w:val="231F20"/>
          <w:spacing w:val="-19"/>
        </w:rPr>
        <w:t> </w:t>
      </w:r>
      <w:r>
        <w:rPr>
          <w:rFonts w:ascii="Cambria" w:hAnsi="Cambria"/>
          <w:color w:val="231F20"/>
          <w:spacing w:val="2"/>
        </w:rPr>
        <w:t>realizar</w:t>
      </w:r>
      <w:r>
        <w:rPr>
          <w:rFonts w:ascii="Cambria" w:hAnsi="Cambria"/>
          <w:color w:val="231F20"/>
          <w:spacing w:val="-19"/>
        </w:rPr>
        <w:t> </w:t>
      </w:r>
      <w:r>
        <w:rPr>
          <w:rFonts w:ascii="Cambria" w:hAnsi="Cambria"/>
          <w:color w:val="231F20"/>
        </w:rPr>
        <w:t>es</w:t>
      </w:r>
      <w:r>
        <w:rPr>
          <w:rFonts w:ascii="Cambria" w:hAnsi="Cambria"/>
          <w:color w:val="231F20"/>
          <w:spacing w:val="-19"/>
        </w:rPr>
        <w:t> </w:t>
      </w:r>
      <w:r>
        <w:rPr>
          <w:rFonts w:ascii="Cambria" w:hAnsi="Cambria"/>
          <w:color w:val="231F20"/>
          <w:spacing w:val="2"/>
        </w:rPr>
        <w:t>superior</w:t>
      </w:r>
      <w:r>
        <w:rPr>
          <w:rFonts w:ascii="Cambria" w:hAnsi="Cambria"/>
          <w:color w:val="231F20"/>
          <w:spacing w:val="-19"/>
        </w:rPr>
        <w:t> </w:t>
      </w:r>
      <w:r>
        <w:rPr>
          <w:rFonts w:ascii="Cambria" w:hAnsi="Cambria"/>
          <w:color w:val="231F20"/>
        </w:rPr>
        <w:t>al</w:t>
      </w:r>
      <w:r>
        <w:rPr>
          <w:rFonts w:ascii="Cambria" w:hAnsi="Cambria"/>
          <w:color w:val="231F20"/>
          <w:spacing w:val="-20"/>
        </w:rPr>
        <w:t> </w:t>
      </w:r>
      <w:r>
        <w:rPr>
          <w:rFonts w:ascii="Cambria" w:hAnsi="Cambria"/>
          <w:color w:val="231F20"/>
          <w:spacing w:val="3"/>
        </w:rPr>
        <w:t>tiempo</w:t>
      </w:r>
      <w:r>
        <w:rPr>
          <w:rFonts w:ascii="Cambria" w:hAnsi="Cambria"/>
          <w:color w:val="231F20"/>
          <w:spacing w:val="-19"/>
        </w:rPr>
        <w:t> </w:t>
      </w:r>
      <w:r>
        <w:rPr>
          <w:rFonts w:ascii="Cambria" w:hAnsi="Cambria"/>
          <w:color w:val="231F20"/>
          <w:spacing w:val="2"/>
        </w:rPr>
        <w:t>del </w:t>
      </w:r>
      <w:r>
        <w:rPr>
          <w:rFonts w:ascii="Cambria" w:hAnsi="Cambria"/>
          <w:color w:val="231F20"/>
        </w:rPr>
        <w:t>que</w:t>
      </w:r>
      <w:r>
        <w:rPr>
          <w:rFonts w:ascii="Cambria" w:hAnsi="Cambria"/>
          <w:color w:val="231F20"/>
          <w:spacing w:val="-9"/>
        </w:rPr>
        <w:t> </w:t>
      </w:r>
      <w:r>
        <w:rPr>
          <w:rFonts w:ascii="Cambria" w:hAnsi="Cambria"/>
          <w:color w:val="231F20"/>
          <w:spacing w:val="2"/>
        </w:rPr>
        <w:t>disponen</w:t>
      </w:r>
      <w:r>
        <w:rPr>
          <w:rFonts w:ascii="Cambria" w:hAnsi="Cambria"/>
          <w:color w:val="231F20"/>
          <w:spacing w:val="-9"/>
        </w:rPr>
        <w:t> </w:t>
      </w:r>
      <w:r>
        <w:rPr>
          <w:rFonts w:ascii="Cambria" w:hAnsi="Cambria"/>
          <w:color w:val="231F20"/>
        </w:rPr>
        <w:t>o,</w:t>
      </w:r>
      <w:r>
        <w:rPr>
          <w:rFonts w:ascii="Cambria" w:hAnsi="Cambria"/>
          <w:color w:val="231F20"/>
          <w:spacing w:val="-10"/>
        </w:rPr>
        <w:t> </w:t>
      </w:r>
      <w:r>
        <w:rPr>
          <w:rFonts w:ascii="Cambria" w:hAnsi="Cambria"/>
          <w:color w:val="231F20"/>
          <w:spacing w:val="2"/>
        </w:rPr>
        <w:t>por</w:t>
      </w:r>
      <w:r>
        <w:rPr>
          <w:rFonts w:ascii="Cambria" w:hAnsi="Cambria"/>
          <w:color w:val="231F20"/>
          <w:spacing w:val="-9"/>
        </w:rPr>
        <w:t> </w:t>
      </w:r>
      <w:r>
        <w:rPr>
          <w:rFonts w:ascii="Cambria" w:hAnsi="Cambria"/>
          <w:color w:val="231F20"/>
          <w:spacing w:val="2"/>
        </w:rPr>
        <w:t>otro</w:t>
      </w:r>
      <w:r>
        <w:rPr>
          <w:rFonts w:ascii="Cambria" w:hAnsi="Cambria"/>
          <w:color w:val="231F20"/>
          <w:spacing w:val="-9"/>
        </w:rPr>
        <w:t> </w:t>
      </w:r>
      <w:r>
        <w:rPr>
          <w:rFonts w:ascii="Cambria" w:hAnsi="Cambria"/>
          <w:color w:val="231F20"/>
          <w:spacing w:val="2"/>
        </w:rPr>
        <w:t>lado,</w:t>
      </w:r>
      <w:r>
        <w:rPr>
          <w:rFonts w:ascii="Cambria" w:hAnsi="Cambria"/>
          <w:color w:val="231F20"/>
          <w:spacing w:val="-10"/>
        </w:rPr>
        <w:t> </w:t>
      </w:r>
      <w:r>
        <w:rPr>
          <w:rFonts w:ascii="Cambria" w:hAnsi="Cambria"/>
          <w:color w:val="231F20"/>
        </w:rPr>
        <w:t>se</w:t>
      </w:r>
      <w:r>
        <w:rPr>
          <w:rFonts w:ascii="Cambria" w:hAnsi="Cambria"/>
          <w:color w:val="231F20"/>
          <w:spacing w:val="-9"/>
        </w:rPr>
        <w:t> </w:t>
      </w:r>
      <w:r>
        <w:rPr>
          <w:rFonts w:ascii="Cambria" w:hAnsi="Cambria"/>
          <w:color w:val="231F20"/>
          <w:spacing w:val="2"/>
        </w:rPr>
        <w:t>podría</w:t>
      </w:r>
      <w:r>
        <w:rPr>
          <w:rFonts w:ascii="Cambria" w:hAnsi="Cambria"/>
          <w:color w:val="231F20"/>
          <w:spacing w:val="-9"/>
        </w:rPr>
        <w:t> </w:t>
      </w:r>
      <w:r>
        <w:rPr>
          <w:rFonts w:ascii="Cambria" w:hAnsi="Cambria"/>
          <w:color w:val="231F20"/>
          <w:spacing w:val="2"/>
        </w:rPr>
        <w:t>hablar</w:t>
      </w:r>
      <w:r>
        <w:rPr>
          <w:rFonts w:ascii="Cambria" w:hAnsi="Cambria"/>
          <w:color w:val="231F20"/>
          <w:spacing w:val="-9"/>
        </w:rPr>
        <w:t> </w:t>
      </w:r>
      <w:r>
        <w:rPr>
          <w:rFonts w:ascii="Cambria" w:hAnsi="Cambria"/>
          <w:color w:val="231F20"/>
        </w:rPr>
        <w:t>de</w:t>
      </w:r>
      <w:r>
        <w:rPr>
          <w:rFonts w:ascii="Cambria" w:hAnsi="Cambria"/>
          <w:color w:val="231F20"/>
          <w:spacing w:val="-9"/>
        </w:rPr>
        <w:t> </w:t>
      </w:r>
      <w:r>
        <w:rPr>
          <w:rFonts w:ascii="Cambria" w:hAnsi="Cambria"/>
          <w:color w:val="231F20"/>
        </w:rPr>
        <w:t>la</w:t>
      </w:r>
      <w:r>
        <w:rPr>
          <w:rFonts w:ascii="Cambria" w:hAnsi="Cambria"/>
          <w:color w:val="231F20"/>
          <w:spacing w:val="-9"/>
        </w:rPr>
        <w:t> </w:t>
      </w:r>
      <w:r>
        <w:rPr>
          <w:rFonts w:ascii="Cambria" w:hAnsi="Cambria"/>
          <w:color w:val="231F20"/>
          <w:spacing w:val="2"/>
        </w:rPr>
        <w:t>falta</w:t>
      </w:r>
      <w:r>
        <w:rPr>
          <w:rFonts w:ascii="Cambria" w:hAnsi="Cambria"/>
          <w:color w:val="231F20"/>
          <w:spacing w:val="-9"/>
        </w:rPr>
        <w:t> </w:t>
      </w:r>
      <w:r>
        <w:rPr>
          <w:rFonts w:ascii="Cambria" w:hAnsi="Cambria"/>
          <w:color w:val="231F20"/>
        </w:rPr>
        <w:t>de</w:t>
      </w:r>
      <w:r>
        <w:rPr>
          <w:rFonts w:ascii="Cambria" w:hAnsi="Cambria"/>
          <w:color w:val="231F20"/>
          <w:spacing w:val="-9"/>
        </w:rPr>
        <w:t> </w:t>
      </w:r>
      <w:r>
        <w:rPr>
          <w:rFonts w:ascii="Cambria" w:hAnsi="Cambria"/>
          <w:color w:val="231F20"/>
          <w:spacing w:val="3"/>
        </w:rPr>
        <w:t>apo- </w:t>
      </w:r>
      <w:r>
        <w:rPr>
          <w:rFonts w:ascii="Cambria" w:hAnsi="Cambria"/>
          <w:color w:val="231F20"/>
        </w:rPr>
        <w:t>yo de </w:t>
      </w:r>
      <w:r>
        <w:rPr>
          <w:rFonts w:ascii="Cambria" w:hAnsi="Cambria"/>
          <w:color w:val="231F20"/>
          <w:spacing w:val="2"/>
        </w:rPr>
        <w:t>los padres hacia los estudiantes para que organicen sus </w:t>
      </w:r>
      <w:r>
        <w:rPr>
          <w:rFonts w:ascii="Cambria" w:hAnsi="Cambria"/>
          <w:color w:val="231F20"/>
          <w:spacing w:val="3"/>
          <w:w w:val="95"/>
        </w:rPr>
        <w:t>tiempos </w:t>
      </w:r>
      <w:r>
        <w:rPr>
          <w:rFonts w:ascii="Cambria" w:hAnsi="Cambria"/>
          <w:color w:val="231F20"/>
          <w:w w:val="95"/>
        </w:rPr>
        <w:t>y </w:t>
      </w:r>
      <w:r>
        <w:rPr>
          <w:rFonts w:ascii="Cambria" w:hAnsi="Cambria"/>
          <w:color w:val="231F20"/>
          <w:spacing w:val="2"/>
          <w:w w:val="95"/>
        </w:rPr>
        <w:t>sus</w:t>
      </w:r>
      <w:r>
        <w:rPr>
          <w:rFonts w:ascii="Cambria" w:hAnsi="Cambria"/>
          <w:color w:val="231F20"/>
          <w:spacing w:val="-32"/>
          <w:w w:val="95"/>
        </w:rPr>
        <w:t> </w:t>
      </w:r>
      <w:r>
        <w:rPr>
          <w:rFonts w:ascii="Cambria" w:hAnsi="Cambria"/>
          <w:color w:val="231F20"/>
          <w:spacing w:val="2"/>
          <w:w w:val="95"/>
        </w:rPr>
        <w:t>deberes.</w:t>
      </w:r>
    </w:p>
    <w:p>
      <w:pPr>
        <w:pStyle w:val="BodyText"/>
        <w:spacing w:before="2"/>
        <w:rPr>
          <w:rFonts w:ascii="Cambria"/>
          <w:sz w:val="20"/>
        </w:rPr>
      </w:pPr>
    </w:p>
    <w:p>
      <w:pPr>
        <w:pStyle w:val="ListParagraph"/>
        <w:numPr>
          <w:ilvl w:val="2"/>
          <w:numId w:val="23"/>
        </w:numPr>
        <w:tabs>
          <w:tab w:pos="943" w:val="left" w:leader="none"/>
        </w:tabs>
        <w:spacing w:line="242" w:lineRule="auto" w:before="0" w:after="0"/>
        <w:ind w:left="942" w:right="221" w:hanging="360"/>
        <w:jc w:val="both"/>
        <w:rPr>
          <w:rFonts w:ascii="Cambria" w:hAnsi="Cambria"/>
          <w:sz w:val="21"/>
        </w:rPr>
      </w:pPr>
      <w:r>
        <w:rPr>
          <w:rFonts w:ascii="Cambria" w:hAnsi="Cambria"/>
          <w:color w:val="231F20"/>
          <w:spacing w:val="4"/>
          <w:sz w:val="21"/>
        </w:rPr>
        <w:t>Una</w:t>
      </w:r>
      <w:r>
        <w:rPr>
          <w:rFonts w:ascii="Cambria" w:hAnsi="Cambria"/>
          <w:color w:val="231F20"/>
          <w:spacing w:val="-6"/>
          <w:sz w:val="21"/>
        </w:rPr>
        <w:t> </w:t>
      </w:r>
      <w:r>
        <w:rPr>
          <w:rFonts w:ascii="Cambria" w:hAnsi="Cambria"/>
          <w:color w:val="231F20"/>
          <w:spacing w:val="4"/>
          <w:sz w:val="21"/>
        </w:rPr>
        <w:t>cosa</w:t>
      </w:r>
      <w:r>
        <w:rPr>
          <w:rFonts w:ascii="Cambria" w:hAnsi="Cambria"/>
          <w:color w:val="231F20"/>
          <w:spacing w:val="-7"/>
          <w:sz w:val="21"/>
        </w:rPr>
        <w:t> </w:t>
      </w:r>
      <w:r>
        <w:rPr>
          <w:rFonts w:ascii="Cambria" w:hAnsi="Cambria"/>
          <w:color w:val="231F20"/>
          <w:spacing w:val="4"/>
          <w:sz w:val="21"/>
        </w:rPr>
        <w:t>que</w:t>
      </w:r>
      <w:r>
        <w:rPr>
          <w:rFonts w:ascii="Cambria" w:hAnsi="Cambria"/>
          <w:color w:val="231F20"/>
          <w:spacing w:val="-7"/>
          <w:sz w:val="21"/>
        </w:rPr>
        <w:t> </w:t>
      </w:r>
      <w:r>
        <w:rPr>
          <w:rFonts w:ascii="Cambria" w:hAnsi="Cambria"/>
          <w:color w:val="231F20"/>
          <w:spacing w:val="3"/>
          <w:sz w:val="21"/>
        </w:rPr>
        <w:t>me</w:t>
      </w:r>
      <w:r>
        <w:rPr>
          <w:rFonts w:ascii="Cambria" w:hAnsi="Cambria"/>
          <w:color w:val="231F20"/>
          <w:spacing w:val="-7"/>
          <w:sz w:val="21"/>
        </w:rPr>
        <w:t> </w:t>
      </w:r>
      <w:r>
        <w:rPr>
          <w:rFonts w:ascii="Cambria" w:hAnsi="Cambria"/>
          <w:color w:val="231F20"/>
          <w:spacing w:val="4"/>
          <w:sz w:val="21"/>
        </w:rPr>
        <w:t>molesta</w:t>
      </w:r>
      <w:r>
        <w:rPr>
          <w:rFonts w:ascii="Cambria" w:hAnsi="Cambria"/>
          <w:color w:val="231F20"/>
          <w:spacing w:val="-7"/>
          <w:sz w:val="21"/>
        </w:rPr>
        <w:t> </w:t>
      </w:r>
      <w:r>
        <w:rPr>
          <w:rFonts w:ascii="Cambria" w:hAnsi="Cambria"/>
          <w:color w:val="231F20"/>
          <w:sz w:val="21"/>
        </w:rPr>
        <w:t>o</w:t>
      </w:r>
      <w:r>
        <w:rPr>
          <w:rFonts w:ascii="Cambria" w:hAnsi="Cambria"/>
          <w:color w:val="231F20"/>
          <w:spacing w:val="-6"/>
          <w:sz w:val="21"/>
        </w:rPr>
        <w:t> </w:t>
      </w:r>
      <w:r>
        <w:rPr>
          <w:rFonts w:ascii="Cambria" w:hAnsi="Cambria"/>
          <w:color w:val="231F20"/>
          <w:spacing w:val="5"/>
          <w:sz w:val="21"/>
        </w:rPr>
        <w:t>incomoda</w:t>
      </w:r>
      <w:r>
        <w:rPr>
          <w:rFonts w:ascii="Cambria" w:hAnsi="Cambria"/>
          <w:color w:val="231F20"/>
          <w:spacing w:val="-7"/>
          <w:sz w:val="21"/>
        </w:rPr>
        <w:t> </w:t>
      </w:r>
      <w:r>
        <w:rPr>
          <w:rFonts w:ascii="Cambria" w:hAnsi="Cambria"/>
          <w:color w:val="231F20"/>
          <w:spacing w:val="2"/>
          <w:sz w:val="21"/>
        </w:rPr>
        <w:t>es</w:t>
      </w:r>
      <w:r>
        <w:rPr>
          <w:rFonts w:ascii="Cambria" w:hAnsi="Cambria"/>
          <w:color w:val="231F20"/>
          <w:spacing w:val="-7"/>
          <w:sz w:val="21"/>
        </w:rPr>
        <w:t> </w:t>
      </w:r>
      <w:r>
        <w:rPr>
          <w:rFonts w:ascii="Cambria" w:hAnsi="Cambria"/>
          <w:color w:val="231F20"/>
          <w:spacing w:val="2"/>
          <w:sz w:val="21"/>
        </w:rPr>
        <w:t>el</w:t>
      </w:r>
      <w:r>
        <w:rPr>
          <w:rFonts w:ascii="Cambria" w:hAnsi="Cambria"/>
          <w:color w:val="231F20"/>
          <w:spacing w:val="-7"/>
          <w:sz w:val="21"/>
        </w:rPr>
        <w:t> </w:t>
      </w:r>
      <w:r>
        <w:rPr>
          <w:rFonts w:ascii="Cambria" w:hAnsi="Cambria"/>
          <w:color w:val="231F20"/>
          <w:spacing w:val="4"/>
          <w:sz w:val="21"/>
        </w:rPr>
        <w:t>poco</w:t>
      </w:r>
      <w:r>
        <w:rPr>
          <w:rFonts w:ascii="Cambria" w:hAnsi="Cambria"/>
          <w:color w:val="231F20"/>
          <w:spacing w:val="-6"/>
          <w:sz w:val="21"/>
        </w:rPr>
        <w:t> </w:t>
      </w:r>
      <w:r>
        <w:rPr>
          <w:rFonts w:ascii="Cambria" w:hAnsi="Cambria"/>
          <w:color w:val="231F20"/>
          <w:spacing w:val="4"/>
          <w:sz w:val="21"/>
        </w:rPr>
        <w:t>tiempo </w:t>
      </w:r>
      <w:r>
        <w:rPr>
          <w:rFonts w:ascii="Cambria" w:hAnsi="Cambria"/>
          <w:color w:val="231F20"/>
          <w:spacing w:val="3"/>
          <w:sz w:val="21"/>
        </w:rPr>
        <w:t>que</w:t>
      </w:r>
      <w:r>
        <w:rPr>
          <w:rFonts w:ascii="Cambria" w:hAnsi="Cambria"/>
          <w:color w:val="231F20"/>
          <w:spacing w:val="-6"/>
          <w:sz w:val="21"/>
        </w:rPr>
        <w:t> </w:t>
      </w:r>
      <w:r>
        <w:rPr>
          <w:rFonts w:ascii="Cambria" w:hAnsi="Cambria"/>
          <w:color w:val="231F20"/>
          <w:spacing w:val="3"/>
          <w:sz w:val="21"/>
        </w:rPr>
        <w:t>los</w:t>
      </w:r>
      <w:r>
        <w:rPr>
          <w:rFonts w:ascii="Cambria" w:hAnsi="Cambria"/>
          <w:color w:val="231F20"/>
          <w:spacing w:val="-6"/>
          <w:sz w:val="21"/>
        </w:rPr>
        <w:t> </w:t>
      </w:r>
      <w:r>
        <w:rPr>
          <w:rFonts w:ascii="Cambria" w:hAnsi="Cambria"/>
          <w:color w:val="231F20"/>
          <w:spacing w:val="4"/>
          <w:sz w:val="21"/>
        </w:rPr>
        <w:t>profesores</w:t>
      </w:r>
      <w:r>
        <w:rPr>
          <w:rFonts w:ascii="Cambria" w:hAnsi="Cambria"/>
          <w:color w:val="231F20"/>
          <w:spacing w:val="-6"/>
          <w:sz w:val="21"/>
        </w:rPr>
        <w:t> </w:t>
      </w:r>
      <w:r>
        <w:rPr>
          <w:rFonts w:ascii="Cambria" w:hAnsi="Cambria"/>
          <w:color w:val="231F20"/>
          <w:spacing w:val="4"/>
          <w:sz w:val="21"/>
        </w:rPr>
        <w:t>dejan</w:t>
      </w:r>
      <w:r>
        <w:rPr>
          <w:rFonts w:ascii="Cambria" w:hAnsi="Cambria"/>
          <w:color w:val="231F20"/>
          <w:spacing w:val="-6"/>
          <w:sz w:val="21"/>
        </w:rPr>
        <w:t> </w:t>
      </w:r>
      <w:r>
        <w:rPr>
          <w:rFonts w:ascii="Cambria" w:hAnsi="Cambria"/>
          <w:color w:val="231F20"/>
          <w:spacing w:val="4"/>
          <w:sz w:val="21"/>
        </w:rPr>
        <w:t>para</w:t>
      </w:r>
      <w:r>
        <w:rPr>
          <w:rFonts w:ascii="Cambria" w:hAnsi="Cambria"/>
          <w:color w:val="231F20"/>
          <w:spacing w:val="-6"/>
          <w:sz w:val="21"/>
        </w:rPr>
        <w:t> </w:t>
      </w:r>
      <w:r>
        <w:rPr>
          <w:rFonts w:ascii="Cambria" w:hAnsi="Cambria"/>
          <w:color w:val="231F20"/>
          <w:spacing w:val="4"/>
          <w:sz w:val="21"/>
        </w:rPr>
        <w:t>realizar</w:t>
      </w:r>
      <w:r>
        <w:rPr>
          <w:rFonts w:ascii="Cambria" w:hAnsi="Cambria"/>
          <w:color w:val="231F20"/>
          <w:spacing w:val="-6"/>
          <w:sz w:val="21"/>
        </w:rPr>
        <w:t> </w:t>
      </w:r>
      <w:r>
        <w:rPr>
          <w:rFonts w:ascii="Cambria" w:hAnsi="Cambria"/>
          <w:color w:val="231F20"/>
          <w:spacing w:val="2"/>
          <w:sz w:val="21"/>
        </w:rPr>
        <w:t>un</w:t>
      </w:r>
      <w:r>
        <w:rPr>
          <w:rFonts w:ascii="Cambria" w:hAnsi="Cambria"/>
          <w:color w:val="231F20"/>
          <w:spacing w:val="-6"/>
          <w:sz w:val="21"/>
        </w:rPr>
        <w:t> </w:t>
      </w:r>
      <w:r>
        <w:rPr>
          <w:rFonts w:ascii="Cambria" w:hAnsi="Cambria"/>
          <w:color w:val="231F20"/>
          <w:spacing w:val="4"/>
          <w:sz w:val="21"/>
        </w:rPr>
        <w:t>examen,</w:t>
      </w:r>
      <w:r>
        <w:rPr>
          <w:rFonts w:ascii="Cambria" w:hAnsi="Cambria"/>
          <w:color w:val="231F20"/>
          <w:spacing w:val="-7"/>
          <w:sz w:val="21"/>
        </w:rPr>
        <w:t> </w:t>
      </w:r>
      <w:r>
        <w:rPr>
          <w:rFonts w:ascii="Cambria" w:hAnsi="Cambria"/>
          <w:color w:val="231F20"/>
          <w:spacing w:val="4"/>
          <w:sz w:val="21"/>
        </w:rPr>
        <w:t>pues siempre</w:t>
      </w:r>
      <w:r>
        <w:rPr>
          <w:rFonts w:ascii="Cambria" w:hAnsi="Cambria"/>
          <w:color w:val="231F20"/>
          <w:spacing w:val="-10"/>
          <w:sz w:val="21"/>
        </w:rPr>
        <w:t> </w:t>
      </w:r>
      <w:r>
        <w:rPr>
          <w:rFonts w:ascii="Cambria" w:hAnsi="Cambria"/>
          <w:color w:val="231F20"/>
          <w:spacing w:val="4"/>
          <w:sz w:val="21"/>
        </w:rPr>
        <w:t>acaban</w:t>
      </w:r>
      <w:r>
        <w:rPr>
          <w:rFonts w:ascii="Cambria" w:hAnsi="Cambria"/>
          <w:color w:val="231F20"/>
          <w:spacing w:val="-10"/>
          <w:sz w:val="21"/>
        </w:rPr>
        <w:t> </w:t>
      </w:r>
      <w:r>
        <w:rPr>
          <w:rFonts w:ascii="Cambria" w:hAnsi="Cambria"/>
          <w:color w:val="231F20"/>
          <w:spacing w:val="5"/>
          <w:sz w:val="21"/>
        </w:rPr>
        <w:t>metiéndome</w:t>
      </w:r>
      <w:r>
        <w:rPr>
          <w:rFonts w:ascii="Cambria" w:hAnsi="Cambria"/>
          <w:color w:val="231F20"/>
          <w:spacing w:val="-10"/>
          <w:sz w:val="21"/>
        </w:rPr>
        <w:t> </w:t>
      </w:r>
      <w:r>
        <w:rPr>
          <w:rFonts w:ascii="Cambria" w:hAnsi="Cambria"/>
          <w:color w:val="231F20"/>
          <w:spacing w:val="4"/>
          <w:sz w:val="21"/>
        </w:rPr>
        <w:t>prisa</w:t>
      </w:r>
      <w:r>
        <w:rPr>
          <w:rFonts w:ascii="Cambria" w:hAnsi="Cambria"/>
          <w:color w:val="231F20"/>
          <w:spacing w:val="-10"/>
          <w:sz w:val="21"/>
        </w:rPr>
        <w:t> </w:t>
      </w:r>
      <w:r>
        <w:rPr>
          <w:rFonts w:ascii="Cambria" w:hAnsi="Cambria"/>
          <w:color w:val="231F20"/>
          <w:sz w:val="21"/>
        </w:rPr>
        <w:t>y</w:t>
      </w:r>
      <w:r>
        <w:rPr>
          <w:rFonts w:ascii="Cambria" w:hAnsi="Cambria"/>
          <w:color w:val="231F20"/>
          <w:spacing w:val="-10"/>
          <w:sz w:val="21"/>
        </w:rPr>
        <w:t> </w:t>
      </w:r>
      <w:r>
        <w:rPr>
          <w:rFonts w:ascii="Cambria" w:hAnsi="Cambria"/>
          <w:color w:val="231F20"/>
          <w:spacing w:val="3"/>
          <w:sz w:val="21"/>
        </w:rPr>
        <w:t>con</w:t>
      </w:r>
      <w:r>
        <w:rPr>
          <w:rFonts w:ascii="Cambria" w:hAnsi="Cambria"/>
          <w:color w:val="231F20"/>
          <w:spacing w:val="-10"/>
          <w:sz w:val="21"/>
        </w:rPr>
        <w:t> </w:t>
      </w:r>
      <w:r>
        <w:rPr>
          <w:rFonts w:ascii="Cambria" w:hAnsi="Cambria"/>
          <w:color w:val="231F20"/>
          <w:spacing w:val="3"/>
          <w:sz w:val="21"/>
        </w:rPr>
        <w:t>ello</w:t>
      </w:r>
      <w:r>
        <w:rPr>
          <w:rFonts w:ascii="Cambria" w:hAnsi="Cambria"/>
          <w:color w:val="231F20"/>
          <w:spacing w:val="-10"/>
          <w:sz w:val="21"/>
        </w:rPr>
        <w:t> </w:t>
      </w:r>
      <w:r>
        <w:rPr>
          <w:rFonts w:ascii="Cambria" w:hAnsi="Cambria"/>
          <w:color w:val="231F20"/>
          <w:spacing w:val="4"/>
          <w:sz w:val="21"/>
        </w:rPr>
        <w:t>consiguen </w:t>
      </w:r>
      <w:r>
        <w:rPr>
          <w:rFonts w:ascii="Cambria" w:hAnsi="Cambria"/>
          <w:color w:val="231F20"/>
          <w:spacing w:val="5"/>
          <w:sz w:val="21"/>
        </w:rPr>
        <w:t>ponerme </w:t>
      </w:r>
      <w:r>
        <w:rPr>
          <w:rFonts w:ascii="Cambria" w:hAnsi="Cambria"/>
          <w:color w:val="231F20"/>
          <w:spacing w:val="4"/>
          <w:sz w:val="21"/>
        </w:rPr>
        <w:t>nerviosa. Otra cosa </w:t>
      </w:r>
      <w:r>
        <w:rPr>
          <w:rFonts w:ascii="Cambria" w:hAnsi="Cambria"/>
          <w:color w:val="231F20"/>
          <w:spacing w:val="2"/>
          <w:sz w:val="21"/>
        </w:rPr>
        <w:t>es </w:t>
      </w:r>
      <w:r>
        <w:rPr>
          <w:rFonts w:ascii="Cambria" w:hAnsi="Cambria"/>
          <w:color w:val="231F20"/>
          <w:spacing w:val="3"/>
          <w:sz w:val="21"/>
        </w:rPr>
        <w:t>que me </w:t>
      </w:r>
      <w:r>
        <w:rPr>
          <w:rFonts w:ascii="Cambria" w:hAnsi="Cambria"/>
          <w:color w:val="231F20"/>
          <w:spacing w:val="4"/>
          <w:sz w:val="21"/>
        </w:rPr>
        <w:t>pongan varios exámenes</w:t>
      </w:r>
      <w:r>
        <w:rPr>
          <w:rFonts w:ascii="Cambria" w:hAnsi="Cambria"/>
          <w:color w:val="231F20"/>
          <w:spacing w:val="-19"/>
          <w:sz w:val="21"/>
        </w:rPr>
        <w:t> </w:t>
      </w:r>
      <w:r>
        <w:rPr>
          <w:rFonts w:ascii="Cambria" w:hAnsi="Cambria"/>
          <w:color w:val="231F20"/>
          <w:spacing w:val="2"/>
          <w:sz w:val="21"/>
        </w:rPr>
        <w:t>el</w:t>
      </w:r>
      <w:r>
        <w:rPr>
          <w:rFonts w:ascii="Cambria" w:hAnsi="Cambria"/>
          <w:color w:val="231F20"/>
          <w:spacing w:val="-19"/>
          <w:sz w:val="21"/>
        </w:rPr>
        <w:t> </w:t>
      </w:r>
      <w:r>
        <w:rPr>
          <w:rFonts w:ascii="Cambria" w:hAnsi="Cambria"/>
          <w:color w:val="231F20"/>
          <w:spacing w:val="4"/>
          <w:sz w:val="21"/>
        </w:rPr>
        <w:t>mismo</w:t>
      </w:r>
      <w:r>
        <w:rPr>
          <w:rFonts w:ascii="Cambria" w:hAnsi="Cambria"/>
          <w:color w:val="231F20"/>
          <w:spacing w:val="-18"/>
          <w:sz w:val="21"/>
        </w:rPr>
        <w:t> </w:t>
      </w:r>
      <w:r>
        <w:rPr>
          <w:rFonts w:ascii="Cambria" w:hAnsi="Cambria"/>
          <w:color w:val="231F20"/>
          <w:spacing w:val="3"/>
          <w:sz w:val="21"/>
        </w:rPr>
        <w:t>día,</w:t>
      </w:r>
      <w:r>
        <w:rPr>
          <w:rFonts w:ascii="Cambria" w:hAnsi="Cambria"/>
          <w:color w:val="231F20"/>
          <w:spacing w:val="-19"/>
          <w:sz w:val="21"/>
        </w:rPr>
        <w:t> </w:t>
      </w:r>
      <w:r>
        <w:rPr>
          <w:rFonts w:ascii="Cambria" w:hAnsi="Cambria"/>
          <w:color w:val="231F20"/>
          <w:spacing w:val="4"/>
          <w:sz w:val="21"/>
        </w:rPr>
        <w:t>pues</w:t>
      </w:r>
      <w:r>
        <w:rPr>
          <w:rFonts w:ascii="Cambria" w:hAnsi="Cambria"/>
          <w:color w:val="231F20"/>
          <w:spacing w:val="-19"/>
          <w:sz w:val="21"/>
        </w:rPr>
        <w:t> </w:t>
      </w:r>
      <w:r>
        <w:rPr>
          <w:rFonts w:ascii="Cambria" w:hAnsi="Cambria"/>
          <w:color w:val="231F20"/>
          <w:spacing w:val="2"/>
          <w:sz w:val="21"/>
        </w:rPr>
        <w:t>es</w:t>
      </w:r>
      <w:r>
        <w:rPr>
          <w:rFonts w:ascii="Cambria" w:hAnsi="Cambria"/>
          <w:color w:val="231F20"/>
          <w:spacing w:val="-19"/>
          <w:sz w:val="21"/>
        </w:rPr>
        <w:t> </w:t>
      </w:r>
      <w:r>
        <w:rPr>
          <w:rFonts w:ascii="Cambria" w:hAnsi="Cambria"/>
          <w:color w:val="231F20"/>
          <w:spacing w:val="3"/>
          <w:sz w:val="21"/>
        </w:rPr>
        <w:t>un</w:t>
      </w:r>
      <w:r>
        <w:rPr>
          <w:rFonts w:ascii="Cambria" w:hAnsi="Cambria"/>
          <w:color w:val="231F20"/>
          <w:spacing w:val="-18"/>
          <w:sz w:val="21"/>
        </w:rPr>
        <w:t> </w:t>
      </w:r>
      <w:r>
        <w:rPr>
          <w:rFonts w:ascii="Cambria" w:hAnsi="Cambria"/>
          <w:color w:val="231F20"/>
          <w:spacing w:val="4"/>
          <w:sz w:val="21"/>
        </w:rPr>
        <w:t>agobio</w:t>
      </w:r>
      <w:r>
        <w:rPr>
          <w:rFonts w:ascii="Cambria" w:hAnsi="Cambria"/>
          <w:color w:val="231F20"/>
          <w:spacing w:val="-19"/>
          <w:sz w:val="21"/>
        </w:rPr>
        <w:t> </w:t>
      </w:r>
      <w:r>
        <w:rPr>
          <w:rFonts w:ascii="Cambria" w:hAnsi="Cambria"/>
          <w:color w:val="231F20"/>
          <w:spacing w:val="4"/>
          <w:sz w:val="21"/>
        </w:rPr>
        <w:t>(femenino,</w:t>
      </w:r>
      <w:r>
        <w:rPr>
          <w:rFonts w:ascii="Cambria" w:hAnsi="Cambria"/>
          <w:color w:val="231F20"/>
          <w:spacing w:val="-19"/>
          <w:sz w:val="21"/>
        </w:rPr>
        <w:t> </w:t>
      </w:r>
      <w:r>
        <w:rPr>
          <w:rFonts w:ascii="Cambria" w:hAnsi="Cambria"/>
          <w:color w:val="231F20"/>
          <w:spacing w:val="2"/>
          <w:sz w:val="21"/>
        </w:rPr>
        <w:t>15 </w:t>
      </w:r>
      <w:r>
        <w:rPr>
          <w:rFonts w:ascii="Cambria" w:hAnsi="Cambria"/>
          <w:color w:val="231F20"/>
          <w:spacing w:val="4"/>
          <w:sz w:val="21"/>
        </w:rPr>
        <w:t>años).</w:t>
      </w:r>
    </w:p>
    <w:p>
      <w:pPr>
        <w:pStyle w:val="ListParagraph"/>
        <w:numPr>
          <w:ilvl w:val="2"/>
          <w:numId w:val="23"/>
        </w:numPr>
        <w:tabs>
          <w:tab w:pos="943" w:val="left" w:leader="none"/>
        </w:tabs>
        <w:spacing w:line="242" w:lineRule="auto" w:before="0" w:after="0"/>
        <w:ind w:left="942" w:right="215" w:hanging="360"/>
        <w:jc w:val="both"/>
        <w:rPr>
          <w:rFonts w:ascii="Cambria" w:hAnsi="Cambria"/>
          <w:sz w:val="21"/>
        </w:rPr>
      </w:pPr>
      <w:r>
        <w:rPr>
          <w:rFonts w:ascii="Cambria" w:hAnsi="Cambria"/>
          <w:color w:val="231F20"/>
          <w:sz w:val="21"/>
        </w:rPr>
        <w:t>Lo</w:t>
      </w:r>
      <w:r>
        <w:rPr>
          <w:rFonts w:ascii="Cambria" w:hAnsi="Cambria"/>
          <w:color w:val="231F20"/>
          <w:spacing w:val="-3"/>
          <w:sz w:val="21"/>
        </w:rPr>
        <w:t> </w:t>
      </w:r>
      <w:r>
        <w:rPr>
          <w:rFonts w:ascii="Cambria" w:hAnsi="Cambria"/>
          <w:color w:val="231F20"/>
          <w:sz w:val="21"/>
        </w:rPr>
        <w:t>que</w:t>
      </w:r>
      <w:r>
        <w:rPr>
          <w:rFonts w:ascii="Cambria" w:hAnsi="Cambria"/>
          <w:color w:val="231F20"/>
          <w:spacing w:val="-3"/>
          <w:sz w:val="21"/>
        </w:rPr>
        <w:t> </w:t>
      </w:r>
      <w:r>
        <w:rPr>
          <w:rFonts w:ascii="Cambria" w:hAnsi="Cambria"/>
          <w:color w:val="231F20"/>
          <w:sz w:val="21"/>
        </w:rPr>
        <w:t>no</w:t>
      </w:r>
      <w:r>
        <w:rPr>
          <w:rFonts w:ascii="Cambria" w:hAnsi="Cambria"/>
          <w:color w:val="231F20"/>
          <w:spacing w:val="-3"/>
          <w:sz w:val="21"/>
        </w:rPr>
        <w:t> </w:t>
      </w:r>
      <w:r>
        <w:rPr>
          <w:rFonts w:ascii="Cambria" w:hAnsi="Cambria"/>
          <w:color w:val="231F20"/>
          <w:sz w:val="21"/>
        </w:rPr>
        <w:t>me</w:t>
      </w:r>
      <w:r>
        <w:rPr>
          <w:rFonts w:ascii="Cambria" w:hAnsi="Cambria"/>
          <w:color w:val="231F20"/>
          <w:spacing w:val="-3"/>
          <w:sz w:val="21"/>
        </w:rPr>
        <w:t> </w:t>
      </w:r>
      <w:r>
        <w:rPr>
          <w:rFonts w:ascii="Cambria" w:hAnsi="Cambria"/>
          <w:color w:val="231F20"/>
          <w:sz w:val="21"/>
        </w:rPr>
        <w:t>gusta</w:t>
      </w:r>
      <w:r>
        <w:rPr>
          <w:rFonts w:ascii="Cambria" w:hAnsi="Cambria"/>
          <w:color w:val="231F20"/>
          <w:spacing w:val="-3"/>
          <w:sz w:val="21"/>
        </w:rPr>
        <w:t> </w:t>
      </w:r>
      <w:r>
        <w:rPr>
          <w:rFonts w:ascii="Cambria" w:hAnsi="Cambria"/>
          <w:color w:val="231F20"/>
          <w:sz w:val="21"/>
        </w:rPr>
        <w:t>del</w:t>
      </w:r>
      <w:r>
        <w:rPr>
          <w:rFonts w:ascii="Cambria" w:hAnsi="Cambria"/>
          <w:color w:val="231F20"/>
          <w:spacing w:val="-4"/>
          <w:sz w:val="21"/>
        </w:rPr>
        <w:t> </w:t>
      </w:r>
      <w:r>
        <w:rPr>
          <w:rFonts w:ascii="Cambria" w:hAnsi="Cambria"/>
          <w:color w:val="231F20"/>
          <w:sz w:val="21"/>
        </w:rPr>
        <w:t>instituto</w:t>
      </w:r>
      <w:r>
        <w:rPr>
          <w:rFonts w:ascii="Cambria" w:hAnsi="Cambria"/>
          <w:color w:val="231F20"/>
          <w:spacing w:val="-3"/>
          <w:sz w:val="21"/>
        </w:rPr>
        <w:t> </w:t>
      </w:r>
      <w:r>
        <w:rPr>
          <w:rFonts w:ascii="Cambria" w:hAnsi="Cambria"/>
          <w:color w:val="231F20"/>
          <w:sz w:val="21"/>
        </w:rPr>
        <w:t>es</w:t>
      </w:r>
      <w:r>
        <w:rPr>
          <w:rFonts w:ascii="Cambria" w:hAnsi="Cambria"/>
          <w:color w:val="231F20"/>
          <w:spacing w:val="-3"/>
          <w:sz w:val="21"/>
        </w:rPr>
        <w:t> </w:t>
      </w:r>
      <w:r>
        <w:rPr>
          <w:rFonts w:ascii="Cambria" w:hAnsi="Cambria"/>
          <w:color w:val="231F20"/>
          <w:sz w:val="21"/>
        </w:rPr>
        <w:t>la</w:t>
      </w:r>
      <w:r>
        <w:rPr>
          <w:rFonts w:ascii="Cambria" w:hAnsi="Cambria"/>
          <w:color w:val="231F20"/>
          <w:spacing w:val="-3"/>
          <w:sz w:val="21"/>
        </w:rPr>
        <w:t> </w:t>
      </w:r>
      <w:r>
        <w:rPr>
          <w:rFonts w:ascii="Cambria" w:hAnsi="Cambria"/>
          <w:color w:val="231F20"/>
          <w:sz w:val="21"/>
        </w:rPr>
        <w:t>forma</w:t>
      </w:r>
      <w:r>
        <w:rPr>
          <w:rFonts w:ascii="Cambria" w:hAnsi="Cambria"/>
          <w:color w:val="231F20"/>
          <w:spacing w:val="-3"/>
          <w:sz w:val="21"/>
        </w:rPr>
        <w:t> </w:t>
      </w:r>
      <w:r>
        <w:rPr>
          <w:rFonts w:ascii="Cambria" w:hAnsi="Cambria"/>
          <w:color w:val="231F20"/>
          <w:sz w:val="21"/>
        </w:rPr>
        <w:t>de</w:t>
      </w:r>
      <w:r>
        <w:rPr>
          <w:rFonts w:ascii="Cambria" w:hAnsi="Cambria"/>
          <w:color w:val="231F20"/>
          <w:spacing w:val="-3"/>
          <w:sz w:val="21"/>
        </w:rPr>
        <w:t> </w:t>
      </w:r>
      <w:r>
        <w:rPr>
          <w:rFonts w:ascii="Cambria" w:hAnsi="Cambria"/>
          <w:color w:val="231F20"/>
          <w:sz w:val="21"/>
        </w:rPr>
        <w:t>pensar</w:t>
      </w:r>
      <w:r>
        <w:rPr>
          <w:rFonts w:ascii="Cambria" w:hAnsi="Cambria"/>
          <w:color w:val="231F20"/>
          <w:spacing w:val="-3"/>
          <w:sz w:val="21"/>
        </w:rPr>
        <w:t> </w:t>
      </w:r>
      <w:r>
        <w:rPr>
          <w:rFonts w:ascii="Cambria" w:hAnsi="Cambria"/>
          <w:color w:val="231F20"/>
          <w:sz w:val="21"/>
        </w:rPr>
        <w:t>de </w:t>
      </w:r>
      <w:r>
        <w:rPr>
          <w:rFonts w:ascii="Cambria" w:hAnsi="Cambria"/>
          <w:color w:val="231F20"/>
          <w:w w:val="95"/>
          <w:sz w:val="21"/>
        </w:rPr>
        <w:t>algunos profesores, se piensan que tenemos mil manos, mil cerebros y mil horas (femenino, 17</w:t>
      </w:r>
      <w:r>
        <w:rPr>
          <w:rFonts w:ascii="Cambria" w:hAnsi="Cambria"/>
          <w:color w:val="231F20"/>
          <w:spacing w:val="-24"/>
          <w:w w:val="95"/>
          <w:sz w:val="21"/>
        </w:rPr>
        <w:t> </w:t>
      </w:r>
      <w:r>
        <w:rPr>
          <w:rFonts w:ascii="Cambria" w:hAnsi="Cambria"/>
          <w:color w:val="231F20"/>
          <w:w w:val="95"/>
          <w:sz w:val="21"/>
        </w:rPr>
        <w:t>años).</w:t>
      </w:r>
    </w:p>
    <w:p>
      <w:pPr>
        <w:pStyle w:val="BodyText"/>
        <w:spacing w:before="6"/>
        <w:rPr>
          <w:rFonts w:ascii="Cambria"/>
        </w:rPr>
      </w:pPr>
    </w:p>
    <w:p>
      <w:pPr>
        <w:pStyle w:val="BodyText"/>
        <w:spacing w:line="242" w:lineRule="auto" w:before="1"/>
        <w:ind w:left="222" w:right="219" w:firstLine="284"/>
        <w:jc w:val="both"/>
        <w:rPr>
          <w:rFonts w:ascii="Cambria" w:hAnsi="Cambria"/>
        </w:rPr>
      </w:pPr>
      <w:r>
        <w:rPr>
          <w:rFonts w:ascii="Cambria" w:hAnsi="Cambria"/>
          <w:color w:val="231F20"/>
        </w:rPr>
        <w:t>La</w:t>
      </w:r>
      <w:r>
        <w:rPr>
          <w:rFonts w:ascii="Cambria" w:hAnsi="Cambria"/>
          <w:color w:val="231F20"/>
          <w:spacing w:val="-21"/>
        </w:rPr>
        <w:t> </w:t>
      </w:r>
      <w:r>
        <w:rPr>
          <w:rFonts w:ascii="Cambria" w:hAnsi="Cambria"/>
          <w:color w:val="231F20"/>
          <w:spacing w:val="2"/>
        </w:rPr>
        <w:t>organización</w:t>
      </w:r>
      <w:r>
        <w:rPr>
          <w:rFonts w:ascii="Cambria" w:hAnsi="Cambria"/>
          <w:color w:val="231F20"/>
          <w:spacing w:val="-21"/>
        </w:rPr>
        <w:t> </w:t>
      </w:r>
      <w:r>
        <w:rPr>
          <w:rFonts w:ascii="Cambria" w:hAnsi="Cambria"/>
          <w:color w:val="231F20"/>
          <w:spacing w:val="2"/>
        </w:rPr>
        <w:t>del</w:t>
      </w:r>
      <w:r>
        <w:rPr>
          <w:rFonts w:ascii="Cambria" w:hAnsi="Cambria"/>
          <w:color w:val="231F20"/>
          <w:spacing w:val="-21"/>
        </w:rPr>
        <w:t> </w:t>
      </w:r>
      <w:r>
        <w:rPr>
          <w:rFonts w:ascii="Cambria" w:hAnsi="Cambria"/>
          <w:color w:val="231F20"/>
          <w:spacing w:val="2"/>
        </w:rPr>
        <w:t>centro</w:t>
      </w:r>
      <w:r>
        <w:rPr>
          <w:rFonts w:ascii="Cambria" w:hAnsi="Cambria"/>
          <w:color w:val="231F20"/>
          <w:spacing w:val="-21"/>
        </w:rPr>
        <w:t> </w:t>
      </w:r>
      <w:r>
        <w:rPr>
          <w:rFonts w:ascii="Cambria" w:hAnsi="Cambria"/>
          <w:color w:val="231F20"/>
          <w:spacing w:val="2"/>
        </w:rPr>
        <w:t>educativo</w:t>
      </w:r>
      <w:r>
        <w:rPr>
          <w:rFonts w:ascii="Cambria" w:hAnsi="Cambria"/>
          <w:color w:val="231F20"/>
          <w:spacing w:val="-21"/>
        </w:rPr>
        <w:t> </w:t>
      </w:r>
      <w:r>
        <w:rPr>
          <w:rFonts w:ascii="Cambria" w:hAnsi="Cambria"/>
          <w:color w:val="231F20"/>
        </w:rPr>
        <w:t>en</w:t>
      </w:r>
      <w:r>
        <w:rPr>
          <w:rFonts w:ascii="Cambria" w:hAnsi="Cambria"/>
          <w:color w:val="231F20"/>
          <w:spacing w:val="-21"/>
        </w:rPr>
        <w:t> </w:t>
      </w:r>
      <w:r>
        <w:rPr>
          <w:rFonts w:ascii="Cambria" w:hAnsi="Cambria"/>
          <w:color w:val="231F20"/>
          <w:spacing w:val="2"/>
        </w:rPr>
        <w:t>general</w:t>
      </w:r>
      <w:r>
        <w:rPr>
          <w:rFonts w:ascii="Cambria" w:hAnsi="Cambria"/>
          <w:color w:val="231F20"/>
          <w:spacing w:val="-21"/>
        </w:rPr>
        <w:t> </w:t>
      </w:r>
      <w:r>
        <w:rPr>
          <w:rFonts w:ascii="Cambria" w:hAnsi="Cambria"/>
          <w:color w:val="231F20"/>
        </w:rPr>
        <w:t>y</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spacing w:val="2"/>
        </w:rPr>
        <w:t>gestión</w:t>
      </w:r>
      <w:r>
        <w:rPr>
          <w:rFonts w:ascii="Cambria" w:hAnsi="Cambria"/>
          <w:color w:val="231F20"/>
          <w:spacing w:val="-21"/>
        </w:rPr>
        <w:t> </w:t>
      </w:r>
      <w:r>
        <w:rPr>
          <w:rFonts w:ascii="Cambria" w:hAnsi="Cambria"/>
          <w:color w:val="231F20"/>
        </w:rPr>
        <w:t>de la </w:t>
      </w:r>
      <w:r>
        <w:rPr>
          <w:rFonts w:ascii="Cambria" w:hAnsi="Cambria"/>
          <w:color w:val="231F20"/>
          <w:spacing w:val="2"/>
        </w:rPr>
        <w:t>convivencia </w:t>
      </w:r>
      <w:r>
        <w:rPr>
          <w:rFonts w:ascii="Cambria" w:hAnsi="Cambria"/>
          <w:color w:val="231F20"/>
        </w:rPr>
        <w:t>en </w:t>
      </w:r>
      <w:r>
        <w:rPr>
          <w:rFonts w:ascii="Cambria" w:hAnsi="Cambria"/>
          <w:color w:val="231F20"/>
          <w:spacing w:val="2"/>
        </w:rPr>
        <w:t>particular, influyen para que </w:t>
      </w:r>
      <w:r>
        <w:rPr>
          <w:rFonts w:ascii="Cambria" w:hAnsi="Cambria"/>
          <w:color w:val="231F20"/>
        </w:rPr>
        <w:t>se </w:t>
      </w:r>
      <w:r>
        <w:rPr>
          <w:rFonts w:ascii="Cambria" w:hAnsi="Cambria"/>
          <w:color w:val="231F20"/>
          <w:spacing w:val="2"/>
        </w:rPr>
        <w:t>desarrolle </w:t>
      </w:r>
      <w:r>
        <w:rPr>
          <w:rFonts w:ascii="Cambria" w:hAnsi="Cambria"/>
          <w:color w:val="231F20"/>
        </w:rPr>
        <w:t>un </w:t>
      </w:r>
      <w:r>
        <w:rPr>
          <w:rFonts w:ascii="Cambria" w:hAnsi="Cambria"/>
          <w:color w:val="231F20"/>
          <w:spacing w:val="2"/>
        </w:rPr>
        <w:t>adecuado clima </w:t>
      </w:r>
      <w:r>
        <w:rPr>
          <w:rFonts w:ascii="Cambria" w:hAnsi="Cambria"/>
          <w:color w:val="231F20"/>
        </w:rPr>
        <w:t>de </w:t>
      </w:r>
      <w:r>
        <w:rPr>
          <w:rFonts w:ascii="Cambria" w:hAnsi="Cambria"/>
          <w:color w:val="231F20"/>
          <w:spacing w:val="2"/>
        </w:rPr>
        <w:t>convivencia pues los </w:t>
      </w:r>
      <w:r>
        <w:rPr>
          <w:rFonts w:ascii="Cambria" w:hAnsi="Cambria"/>
          <w:color w:val="231F20"/>
          <w:spacing w:val="3"/>
        </w:rPr>
        <w:t>procesos </w:t>
      </w:r>
      <w:r>
        <w:rPr>
          <w:rFonts w:ascii="Cambria" w:hAnsi="Cambria"/>
          <w:color w:val="231F20"/>
        </w:rPr>
        <w:t>en la </w:t>
      </w:r>
      <w:r>
        <w:rPr>
          <w:rFonts w:ascii="Cambria" w:hAnsi="Cambria"/>
          <w:color w:val="231F20"/>
          <w:spacing w:val="3"/>
        </w:rPr>
        <w:t>toma</w:t>
      </w:r>
      <w:r>
        <w:rPr>
          <w:rFonts w:ascii="Cambria" w:hAnsi="Cambria"/>
          <w:color w:val="231F20"/>
          <w:spacing w:val="10"/>
        </w:rPr>
        <w:t> </w:t>
      </w:r>
      <w:r>
        <w:rPr>
          <w:rFonts w:ascii="Cambria" w:hAnsi="Cambria"/>
          <w:color w:val="231F20"/>
        </w:rPr>
        <w:t>de</w:t>
      </w:r>
    </w:p>
    <w:p>
      <w:pPr>
        <w:spacing w:after="0" w:line="242" w:lineRule="auto"/>
        <w:jc w:val="both"/>
        <w:rPr>
          <w:rFonts w:ascii="Cambria" w:hAnsi="Cambria"/>
        </w:rPr>
        <w:sectPr>
          <w:headerReference w:type="default" r:id="rId934"/>
          <w:footerReference w:type="default" r:id="rId935"/>
          <w:pgSz w:w="7830" w:h="11910"/>
          <w:pgMar w:header="0" w:footer="424" w:top="500" w:bottom="620" w:left="800" w:right="800"/>
          <w:pgNumType w:start="42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101" w:right="115"/>
        <w:jc w:val="both"/>
      </w:pPr>
      <w:r>
        <w:rPr>
          <w:color w:val="231F20"/>
          <w:spacing w:val="2"/>
        </w:rPr>
        <w:t>decisiones, </w:t>
      </w:r>
      <w:r>
        <w:rPr>
          <w:color w:val="231F20"/>
        </w:rPr>
        <w:t>las </w:t>
      </w:r>
      <w:r>
        <w:rPr>
          <w:color w:val="231F20"/>
          <w:spacing w:val="3"/>
        </w:rPr>
        <w:t>formas </w:t>
      </w:r>
      <w:r>
        <w:rPr>
          <w:color w:val="231F20"/>
        </w:rPr>
        <w:t>de </w:t>
      </w:r>
      <w:r>
        <w:rPr>
          <w:color w:val="231F20"/>
          <w:spacing w:val="2"/>
        </w:rPr>
        <w:t>participación </w:t>
      </w:r>
      <w:r>
        <w:rPr>
          <w:color w:val="231F20"/>
        </w:rPr>
        <w:t>de </w:t>
      </w:r>
      <w:r>
        <w:rPr>
          <w:color w:val="231F20"/>
          <w:spacing w:val="3"/>
        </w:rPr>
        <w:t>alumnos </w:t>
      </w:r>
      <w:r>
        <w:rPr>
          <w:color w:val="231F20"/>
        </w:rPr>
        <w:t>y </w:t>
      </w:r>
      <w:r>
        <w:rPr>
          <w:color w:val="231F20"/>
          <w:spacing w:val="3"/>
        </w:rPr>
        <w:t>maestros, </w:t>
      </w:r>
      <w:r>
        <w:rPr>
          <w:color w:val="231F20"/>
          <w:spacing w:val="2"/>
        </w:rPr>
        <w:t>las </w:t>
      </w:r>
      <w:r>
        <w:rPr>
          <w:color w:val="231F20"/>
          <w:spacing w:val="3"/>
        </w:rPr>
        <w:t>normas </w:t>
      </w:r>
      <w:r>
        <w:rPr>
          <w:color w:val="231F20"/>
        </w:rPr>
        <w:t>de </w:t>
      </w:r>
      <w:r>
        <w:rPr>
          <w:color w:val="231F20"/>
          <w:spacing w:val="2"/>
        </w:rPr>
        <w:t>disciplina, </w:t>
      </w:r>
      <w:r>
        <w:rPr>
          <w:color w:val="231F20"/>
        </w:rPr>
        <w:t>el </w:t>
      </w:r>
      <w:r>
        <w:rPr>
          <w:color w:val="231F20"/>
          <w:spacing w:val="2"/>
        </w:rPr>
        <w:t>rol </w:t>
      </w:r>
      <w:r>
        <w:rPr>
          <w:color w:val="231F20"/>
        </w:rPr>
        <w:t>de </w:t>
      </w:r>
      <w:r>
        <w:rPr>
          <w:color w:val="231F20"/>
          <w:spacing w:val="2"/>
        </w:rPr>
        <w:t>cada uno </w:t>
      </w:r>
      <w:r>
        <w:rPr>
          <w:color w:val="231F20"/>
        </w:rPr>
        <w:t>de </w:t>
      </w:r>
      <w:r>
        <w:rPr>
          <w:color w:val="231F20"/>
          <w:spacing w:val="2"/>
        </w:rPr>
        <w:t>los actores </w:t>
      </w:r>
      <w:r>
        <w:rPr>
          <w:color w:val="231F20"/>
        </w:rPr>
        <w:t>de la </w:t>
      </w:r>
      <w:r>
        <w:rPr>
          <w:color w:val="231F20"/>
          <w:spacing w:val="4"/>
        </w:rPr>
        <w:t>co- </w:t>
      </w:r>
      <w:r>
        <w:rPr>
          <w:color w:val="231F20"/>
          <w:spacing w:val="3"/>
        </w:rPr>
        <w:t>munidad, </w:t>
      </w:r>
      <w:r>
        <w:rPr>
          <w:color w:val="231F20"/>
        </w:rPr>
        <w:t>el </w:t>
      </w:r>
      <w:r>
        <w:rPr>
          <w:color w:val="231F20"/>
          <w:spacing w:val="2"/>
        </w:rPr>
        <w:t>desarrollo curricular, representan </w:t>
      </w:r>
      <w:r>
        <w:rPr>
          <w:color w:val="231F20"/>
        </w:rPr>
        <w:t>las </w:t>
      </w:r>
      <w:r>
        <w:rPr>
          <w:color w:val="231F20"/>
          <w:spacing w:val="3"/>
        </w:rPr>
        <w:t>formas </w:t>
      </w:r>
      <w:r>
        <w:rPr>
          <w:color w:val="231F20"/>
        </w:rPr>
        <w:t>de </w:t>
      </w:r>
      <w:r>
        <w:rPr>
          <w:color w:val="231F20"/>
          <w:spacing w:val="3"/>
        </w:rPr>
        <w:t>fun- cionamiento </w:t>
      </w:r>
      <w:r>
        <w:rPr>
          <w:color w:val="231F20"/>
          <w:spacing w:val="2"/>
        </w:rPr>
        <w:t>que </w:t>
      </w:r>
      <w:r>
        <w:rPr>
          <w:color w:val="231F20"/>
        </w:rPr>
        <w:t>van a </w:t>
      </w:r>
      <w:r>
        <w:rPr>
          <w:color w:val="231F20"/>
          <w:spacing w:val="2"/>
        </w:rPr>
        <w:t>impactar </w:t>
      </w:r>
      <w:r>
        <w:rPr>
          <w:color w:val="231F20"/>
        </w:rPr>
        <w:t>en las </w:t>
      </w:r>
      <w:r>
        <w:rPr>
          <w:color w:val="231F20"/>
          <w:spacing w:val="2"/>
        </w:rPr>
        <w:t>relaciones interpersonales   </w:t>
      </w:r>
      <w:r>
        <w:rPr>
          <w:color w:val="231F20"/>
        </w:rPr>
        <w:t>y, en la </w:t>
      </w:r>
      <w:r>
        <w:rPr>
          <w:color w:val="231F20"/>
          <w:spacing w:val="2"/>
        </w:rPr>
        <w:t>convivencia </w:t>
      </w:r>
      <w:r>
        <w:rPr>
          <w:color w:val="231F20"/>
          <w:spacing w:val="3"/>
        </w:rPr>
        <w:t>misma. </w:t>
      </w:r>
      <w:r>
        <w:rPr>
          <w:color w:val="231F20"/>
          <w:spacing w:val="2"/>
        </w:rPr>
        <w:t>Los aspectos </w:t>
      </w:r>
      <w:r>
        <w:rPr>
          <w:color w:val="231F20"/>
        </w:rPr>
        <w:t>de </w:t>
      </w:r>
      <w:r>
        <w:rPr>
          <w:color w:val="231F20"/>
          <w:spacing w:val="2"/>
        </w:rPr>
        <w:t>organización del </w:t>
      </w:r>
      <w:r>
        <w:rPr>
          <w:color w:val="231F20"/>
          <w:spacing w:val="3"/>
        </w:rPr>
        <w:t>cen- </w:t>
      </w:r>
      <w:r>
        <w:rPr>
          <w:color w:val="231F20"/>
        </w:rPr>
        <w:t>tro </w:t>
      </w:r>
      <w:r>
        <w:rPr>
          <w:color w:val="231F20"/>
          <w:spacing w:val="2"/>
        </w:rPr>
        <w:t>tienen que ver con </w:t>
      </w:r>
      <w:r>
        <w:rPr>
          <w:color w:val="231F20"/>
        </w:rPr>
        <w:t>la </w:t>
      </w:r>
      <w:r>
        <w:rPr>
          <w:color w:val="231F20"/>
          <w:spacing w:val="2"/>
        </w:rPr>
        <w:t>actitud que </w:t>
      </w:r>
      <w:r>
        <w:rPr>
          <w:color w:val="231F20"/>
          <w:spacing w:val="3"/>
        </w:rPr>
        <w:t>muestren </w:t>
      </w:r>
      <w:r>
        <w:rPr>
          <w:color w:val="231F20"/>
          <w:spacing w:val="2"/>
        </w:rPr>
        <w:t>los </w:t>
      </w:r>
      <w:r>
        <w:rPr>
          <w:color w:val="231F20"/>
          <w:spacing w:val="3"/>
        </w:rPr>
        <w:t>alumnos, </w:t>
      </w:r>
      <w:r>
        <w:rPr>
          <w:color w:val="231F20"/>
          <w:spacing w:val="2"/>
        </w:rPr>
        <w:t>pues nos indican </w:t>
      </w:r>
      <w:r>
        <w:rPr>
          <w:color w:val="231F20"/>
        </w:rPr>
        <w:t>que en </w:t>
      </w:r>
      <w:r>
        <w:rPr>
          <w:color w:val="231F20"/>
          <w:spacing w:val="2"/>
        </w:rPr>
        <w:t>los centros educativos </w:t>
      </w:r>
      <w:r>
        <w:rPr>
          <w:color w:val="231F20"/>
        </w:rPr>
        <w:t>no se </w:t>
      </w:r>
      <w:r>
        <w:rPr>
          <w:color w:val="231F20"/>
          <w:spacing w:val="2"/>
        </w:rPr>
        <w:t>coordinan ade- </w:t>
      </w:r>
      <w:r>
        <w:rPr>
          <w:color w:val="231F20"/>
          <w:spacing w:val="3"/>
        </w:rPr>
        <w:t>cuadamente </w:t>
      </w:r>
      <w:r>
        <w:rPr>
          <w:color w:val="231F20"/>
          <w:spacing w:val="2"/>
        </w:rPr>
        <w:t>entre los diversos </w:t>
      </w:r>
      <w:r>
        <w:rPr>
          <w:color w:val="231F20"/>
          <w:spacing w:val="3"/>
        </w:rPr>
        <w:t>departamentos </w:t>
      </w:r>
      <w:r>
        <w:rPr>
          <w:color w:val="231F20"/>
        </w:rPr>
        <w:t>de </w:t>
      </w:r>
      <w:r>
        <w:rPr>
          <w:color w:val="231F20"/>
          <w:spacing w:val="3"/>
        </w:rPr>
        <w:t>manera </w:t>
      </w:r>
      <w:r>
        <w:rPr>
          <w:color w:val="231F20"/>
          <w:spacing w:val="2"/>
        </w:rPr>
        <w:t>que los </w:t>
      </w:r>
      <w:r>
        <w:rPr>
          <w:color w:val="231F20"/>
          <w:spacing w:val="3"/>
        </w:rPr>
        <w:t>exámenes puedan </w:t>
      </w:r>
      <w:r>
        <w:rPr>
          <w:color w:val="231F20"/>
          <w:spacing w:val="2"/>
        </w:rPr>
        <w:t>espaciarse </w:t>
      </w:r>
      <w:r>
        <w:rPr>
          <w:color w:val="231F20"/>
        </w:rPr>
        <w:t>o </w:t>
      </w:r>
      <w:r>
        <w:rPr>
          <w:color w:val="231F20"/>
          <w:spacing w:val="2"/>
        </w:rPr>
        <w:t>equilibrar los deberes </w:t>
      </w:r>
      <w:r>
        <w:rPr>
          <w:color w:val="231F20"/>
          <w:spacing w:val="3"/>
        </w:rPr>
        <w:t>cuando </w:t>
      </w:r>
      <w:r>
        <w:rPr>
          <w:color w:val="231F20"/>
        </w:rPr>
        <w:t>se </w:t>
      </w:r>
      <w:r>
        <w:rPr>
          <w:color w:val="231F20"/>
          <w:spacing w:val="2"/>
        </w:rPr>
        <w:t>presenten los periodos </w:t>
      </w:r>
      <w:r>
        <w:rPr>
          <w:color w:val="231F20"/>
        </w:rPr>
        <w:t>de</w:t>
      </w:r>
      <w:r>
        <w:rPr>
          <w:color w:val="231F20"/>
          <w:spacing w:val="31"/>
        </w:rPr>
        <w:t> </w:t>
      </w:r>
      <w:r>
        <w:rPr>
          <w:color w:val="231F20"/>
          <w:spacing w:val="3"/>
        </w:rPr>
        <w:t>exámenes.</w:t>
      </w:r>
    </w:p>
    <w:p>
      <w:pPr>
        <w:pStyle w:val="BodyText"/>
        <w:spacing w:before="7"/>
      </w:pPr>
    </w:p>
    <w:p>
      <w:pPr>
        <w:pStyle w:val="BodyText"/>
        <w:ind w:left="101"/>
        <w:jc w:val="both"/>
      </w:pPr>
      <w:r>
        <w:rPr>
          <w:color w:val="231F20"/>
        </w:rPr>
        <w:t>DISCUSIÓN  Y  CONCLUSIONES</w:t>
      </w:r>
    </w:p>
    <w:p>
      <w:pPr>
        <w:pStyle w:val="BodyText"/>
        <w:spacing w:before="1"/>
      </w:pPr>
    </w:p>
    <w:p>
      <w:pPr>
        <w:pStyle w:val="BodyText"/>
        <w:spacing w:line="247" w:lineRule="auto" w:before="1"/>
        <w:ind w:left="106" w:right="116"/>
        <w:jc w:val="right"/>
      </w:pPr>
      <w:r>
        <w:rPr>
          <w:color w:val="231F20"/>
        </w:rPr>
        <w:t>Las dos técnicas empleadas se aplicaron con la</w:t>
      </w:r>
      <w:r>
        <w:rPr>
          <w:color w:val="231F20"/>
          <w:spacing w:val="36"/>
        </w:rPr>
        <w:t> </w:t>
      </w:r>
      <w:r>
        <w:rPr>
          <w:color w:val="231F20"/>
        </w:rPr>
        <w:t>misma</w:t>
      </w:r>
      <w:r>
        <w:rPr>
          <w:color w:val="231F20"/>
          <w:spacing w:val="23"/>
        </w:rPr>
        <w:t> </w:t>
      </w:r>
      <w:r>
        <w:rPr>
          <w:color w:val="231F20"/>
        </w:rPr>
        <w:t>indicación.</w:t>
      </w:r>
      <w:r>
        <w:rPr>
          <w:color w:val="231F20"/>
          <w:w w:val="89"/>
        </w:rPr>
        <w:t> </w:t>
      </w:r>
      <w:r>
        <w:rPr>
          <w:color w:val="231F20"/>
        </w:rPr>
        <w:t>La sugerencia fue “qué cosas no te gusta que te hagan o digan</w:t>
      </w:r>
      <w:r>
        <w:rPr>
          <w:color w:val="231F20"/>
          <w:spacing w:val="28"/>
        </w:rPr>
        <w:t> </w:t>
      </w:r>
      <w:r>
        <w:rPr>
          <w:color w:val="231F20"/>
        </w:rPr>
        <w:t>en</w:t>
      </w:r>
      <w:r>
        <w:rPr>
          <w:color w:val="231F20"/>
          <w:spacing w:val="6"/>
        </w:rPr>
        <w:t> </w:t>
      </w:r>
      <w:r>
        <w:rPr>
          <w:color w:val="231F20"/>
        </w:rPr>
        <w:t>tu</w:t>
      </w:r>
      <w:r>
        <w:rPr>
          <w:color w:val="231F20"/>
          <w:w w:val="100"/>
        </w:rPr>
        <w:t> </w:t>
      </w:r>
      <w:r>
        <w:rPr>
          <w:color w:val="231F20"/>
        </w:rPr>
        <w:t>escuela” A partir de los resultados pudimos observar que</w:t>
      </w:r>
      <w:r>
        <w:rPr>
          <w:color w:val="231F20"/>
          <w:spacing w:val="17"/>
        </w:rPr>
        <w:t> </w:t>
      </w:r>
      <w:r>
        <w:rPr>
          <w:color w:val="231F20"/>
        </w:rPr>
        <w:t>los</w:t>
      </w:r>
      <w:r>
        <w:rPr>
          <w:color w:val="231F20"/>
          <w:spacing w:val="24"/>
        </w:rPr>
        <w:t> </w:t>
      </w:r>
      <w:r>
        <w:rPr>
          <w:color w:val="231F20"/>
        </w:rPr>
        <w:t>ado-</w:t>
      </w:r>
      <w:r>
        <w:rPr>
          <w:color w:val="231F20"/>
          <w:w w:val="96"/>
        </w:rPr>
        <w:t> </w:t>
      </w:r>
      <w:r>
        <w:rPr>
          <w:color w:val="231F20"/>
        </w:rPr>
        <w:t>lescentes de ambos grupos aluden a aspectos relacionados</w:t>
      </w:r>
      <w:r>
        <w:rPr>
          <w:color w:val="231F20"/>
          <w:spacing w:val="29"/>
        </w:rPr>
        <w:t> </w:t>
      </w:r>
      <w:r>
        <w:rPr>
          <w:color w:val="231F20"/>
        </w:rPr>
        <w:t>con</w:t>
      </w:r>
      <w:r>
        <w:rPr>
          <w:color w:val="231F20"/>
          <w:spacing w:val="37"/>
        </w:rPr>
        <w:t> </w:t>
      </w:r>
      <w:r>
        <w:rPr>
          <w:color w:val="231F20"/>
        </w:rPr>
        <w:t>el</w:t>
      </w:r>
      <w:r>
        <w:rPr>
          <w:color w:val="231F20"/>
          <w:w w:val="84"/>
        </w:rPr>
        <w:t> </w:t>
      </w:r>
      <w:r>
        <w:rPr>
          <w:color w:val="231F20"/>
        </w:rPr>
        <w:t>profesorado. Lo cual indica que para la población estudiada</w:t>
      </w:r>
      <w:r>
        <w:rPr>
          <w:color w:val="231F20"/>
          <w:spacing w:val="3"/>
        </w:rPr>
        <w:t> </w:t>
      </w:r>
      <w:r>
        <w:rPr>
          <w:color w:val="231F20"/>
        </w:rPr>
        <w:t>la</w:t>
      </w:r>
      <w:r>
        <w:rPr>
          <w:color w:val="231F20"/>
          <w:spacing w:val="12"/>
        </w:rPr>
        <w:t> </w:t>
      </w:r>
      <w:r>
        <w:rPr>
          <w:color w:val="231F20"/>
        </w:rPr>
        <w:t>acti-</w:t>
      </w:r>
      <w:r>
        <w:rPr>
          <w:color w:val="231F20"/>
          <w:w w:val="91"/>
        </w:rPr>
        <w:t> </w:t>
      </w:r>
      <w:r>
        <w:rPr>
          <w:color w:val="231F20"/>
        </w:rPr>
        <w:t>tud</w:t>
      </w:r>
      <w:r>
        <w:rPr>
          <w:color w:val="231F20"/>
          <w:spacing w:val="21"/>
        </w:rPr>
        <w:t> </w:t>
      </w:r>
      <w:r>
        <w:rPr>
          <w:color w:val="231F20"/>
        </w:rPr>
        <w:t>del</w:t>
      </w:r>
      <w:r>
        <w:rPr>
          <w:color w:val="231F20"/>
          <w:spacing w:val="20"/>
        </w:rPr>
        <w:t> </w:t>
      </w:r>
      <w:r>
        <w:rPr>
          <w:color w:val="231F20"/>
        </w:rPr>
        <w:t>profesor</w:t>
      </w:r>
      <w:r>
        <w:rPr>
          <w:color w:val="231F20"/>
          <w:spacing w:val="21"/>
        </w:rPr>
        <w:t> </w:t>
      </w:r>
      <w:r>
        <w:rPr>
          <w:color w:val="231F20"/>
        </w:rPr>
        <w:t>es</w:t>
      </w:r>
      <w:r>
        <w:rPr>
          <w:color w:val="231F20"/>
          <w:spacing w:val="21"/>
        </w:rPr>
        <w:t> </w:t>
      </w:r>
      <w:r>
        <w:rPr>
          <w:color w:val="231F20"/>
        </w:rPr>
        <w:t>en</w:t>
      </w:r>
      <w:r>
        <w:rPr>
          <w:color w:val="231F20"/>
          <w:spacing w:val="22"/>
        </w:rPr>
        <w:t> </w:t>
      </w:r>
      <w:r>
        <w:rPr>
          <w:color w:val="231F20"/>
        </w:rPr>
        <w:t>muchos</w:t>
      </w:r>
      <w:r>
        <w:rPr>
          <w:color w:val="231F20"/>
          <w:spacing w:val="21"/>
        </w:rPr>
        <w:t> </w:t>
      </w:r>
      <w:r>
        <w:rPr>
          <w:color w:val="231F20"/>
        </w:rPr>
        <w:t>casos,</w:t>
      </w:r>
      <w:r>
        <w:rPr>
          <w:color w:val="231F20"/>
          <w:spacing w:val="20"/>
        </w:rPr>
        <w:t> </w:t>
      </w:r>
      <w:r>
        <w:rPr>
          <w:color w:val="231F20"/>
        </w:rPr>
        <w:t>la</w:t>
      </w:r>
      <w:r>
        <w:rPr>
          <w:color w:val="231F20"/>
          <w:spacing w:val="21"/>
        </w:rPr>
        <w:t> </w:t>
      </w:r>
      <w:r>
        <w:rPr>
          <w:color w:val="231F20"/>
        </w:rPr>
        <w:t>que</w:t>
      </w:r>
      <w:r>
        <w:rPr>
          <w:color w:val="231F20"/>
          <w:spacing w:val="21"/>
        </w:rPr>
        <w:t> </w:t>
      </w:r>
      <w:r>
        <w:rPr>
          <w:color w:val="231F20"/>
        </w:rPr>
        <w:t>genera</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presen-</w:t>
      </w:r>
      <w:r>
        <w:rPr>
          <w:color w:val="231F20"/>
          <w:w w:val="96"/>
        </w:rPr>
        <w:t> </w:t>
      </w:r>
      <w:r>
        <w:rPr>
          <w:color w:val="231F20"/>
        </w:rPr>
        <w:t>ten situaciones conflictivas. Al igual que en el</w:t>
      </w:r>
      <w:r>
        <w:rPr>
          <w:color w:val="231F20"/>
          <w:spacing w:val="1"/>
        </w:rPr>
        <w:t> </w:t>
      </w:r>
      <w:r>
        <w:rPr>
          <w:color w:val="231F20"/>
        </w:rPr>
        <w:t>presente</w:t>
      </w:r>
      <w:r>
        <w:rPr>
          <w:color w:val="231F20"/>
          <w:spacing w:val="45"/>
        </w:rPr>
        <w:t> </w:t>
      </w:r>
      <w:r>
        <w:rPr>
          <w:color w:val="231F20"/>
        </w:rPr>
        <w:t>estudio,</w:t>
      </w:r>
      <w:r>
        <w:rPr>
          <w:color w:val="231F20"/>
          <w:w w:val="90"/>
        </w:rPr>
        <w:t> </w:t>
      </w:r>
      <w:r>
        <w:rPr>
          <w:color w:val="231F20"/>
        </w:rPr>
        <w:t>otros</w:t>
      </w:r>
      <w:r>
        <w:rPr>
          <w:color w:val="231F20"/>
          <w:spacing w:val="31"/>
        </w:rPr>
        <w:t> </w:t>
      </w:r>
      <w:r>
        <w:rPr>
          <w:color w:val="231F20"/>
        </w:rPr>
        <w:t>autores</w:t>
      </w:r>
      <w:r>
        <w:rPr>
          <w:color w:val="231F20"/>
          <w:spacing w:val="31"/>
        </w:rPr>
        <w:t> </w:t>
      </w:r>
      <w:r>
        <w:rPr>
          <w:color w:val="231F20"/>
        </w:rPr>
        <w:t>han</w:t>
      </w:r>
      <w:r>
        <w:rPr>
          <w:color w:val="231F20"/>
          <w:spacing w:val="31"/>
        </w:rPr>
        <w:t> </w:t>
      </w:r>
      <w:r>
        <w:rPr>
          <w:color w:val="231F20"/>
        </w:rPr>
        <w:t>planteado</w:t>
      </w:r>
      <w:r>
        <w:rPr>
          <w:color w:val="231F20"/>
          <w:spacing w:val="31"/>
        </w:rPr>
        <w:t> </w:t>
      </w:r>
      <w:r>
        <w:rPr>
          <w:color w:val="231F20"/>
        </w:rPr>
        <w:t>que</w:t>
      </w:r>
      <w:r>
        <w:rPr>
          <w:color w:val="231F20"/>
          <w:spacing w:val="31"/>
        </w:rPr>
        <w:t> </w:t>
      </w:r>
      <w:r>
        <w:rPr>
          <w:color w:val="231F20"/>
        </w:rPr>
        <w:t>el</w:t>
      </w:r>
      <w:r>
        <w:rPr>
          <w:color w:val="231F20"/>
          <w:spacing w:val="30"/>
        </w:rPr>
        <w:t> </w:t>
      </w:r>
      <w:r>
        <w:rPr>
          <w:color w:val="231F20"/>
        </w:rPr>
        <w:t>profesor</w:t>
      </w:r>
      <w:r>
        <w:rPr>
          <w:color w:val="231F20"/>
          <w:spacing w:val="31"/>
        </w:rPr>
        <w:t> </w:t>
      </w:r>
      <w:r>
        <w:rPr>
          <w:color w:val="231F20"/>
        </w:rPr>
        <w:t>es</w:t>
      </w:r>
      <w:r>
        <w:rPr>
          <w:color w:val="231F20"/>
          <w:spacing w:val="31"/>
        </w:rPr>
        <w:t> </w:t>
      </w:r>
      <w:r>
        <w:rPr>
          <w:color w:val="231F20"/>
        </w:rPr>
        <w:t>determinante</w:t>
      </w:r>
      <w:r>
        <w:rPr>
          <w:color w:val="231F20"/>
          <w:spacing w:val="31"/>
        </w:rPr>
        <w:t> </w:t>
      </w:r>
      <w:r>
        <w:rPr>
          <w:color w:val="231F20"/>
        </w:rPr>
        <w:t>en</w:t>
      </w:r>
      <w:r>
        <w:rPr>
          <w:color w:val="231F20"/>
          <w:spacing w:val="31"/>
        </w:rPr>
        <w:t> </w:t>
      </w:r>
      <w:r>
        <w:rPr>
          <w:color w:val="231F20"/>
        </w:rPr>
        <w:t>el</w:t>
      </w:r>
      <w:r>
        <w:rPr>
          <w:color w:val="231F20"/>
          <w:spacing w:val="1"/>
          <w:w w:val="92"/>
        </w:rPr>
        <w:t> </w:t>
      </w:r>
      <w:r>
        <w:rPr>
          <w:color w:val="231F20"/>
        </w:rPr>
        <w:t>clima</w:t>
      </w:r>
      <w:r>
        <w:rPr>
          <w:color w:val="231F20"/>
          <w:spacing w:val="-7"/>
        </w:rPr>
        <w:t> </w:t>
      </w:r>
      <w:r>
        <w:rPr>
          <w:color w:val="231F20"/>
        </w:rPr>
        <w:t>de</w:t>
      </w:r>
      <w:r>
        <w:rPr>
          <w:color w:val="231F20"/>
          <w:spacing w:val="-7"/>
        </w:rPr>
        <w:t> </w:t>
      </w:r>
      <w:r>
        <w:rPr>
          <w:color w:val="231F20"/>
        </w:rPr>
        <w:t>convivencia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desarrolla</w:t>
      </w:r>
      <w:r>
        <w:rPr>
          <w:color w:val="231F20"/>
          <w:spacing w:val="-7"/>
        </w:rPr>
        <w:t> </w:t>
      </w:r>
      <w:r>
        <w:rPr>
          <w:color w:val="231F20"/>
        </w:rPr>
        <w:t>en</w:t>
      </w:r>
      <w:r>
        <w:rPr>
          <w:color w:val="231F20"/>
          <w:spacing w:val="-6"/>
        </w:rPr>
        <w:t> </w:t>
      </w:r>
      <w:r>
        <w:rPr>
          <w:color w:val="231F20"/>
        </w:rPr>
        <w:t>el</w:t>
      </w:r>
      <w:r>
        <w:rPr>
          <w:color w:val="231F20"/>
          <w:spacing w:val="-8"/>
        </w:rPr>
        <w:t> </w:t>
      </w:r>
      <w:r>
        <w:rPr>
          <w:color w:val="231F20"/>
        </w:rPr>
        <w:t>aula</w:t>
      </w:r>
      <w:r>
        <w:rPr>
          <w:color w:val="231F20"/>
          <w:spacing w:val="-7"/>
        </w:rPr>
        <w:t> </w:t>
      </w:r>
      <w:r>
        <w:rPr>
          <w:color w:val="231F20"/>
        </w:rPr>
        <w:t>(Ballester</w:t>
      </w:r>
      <w:r>
        <w:rPr>
          <w:color w:val="231F20"/>
          <w:spacing w:val="-7"/>
        </w:rPr>
        <w:t> </w:t>
      </w:r>
      <w:r>
        <w:rPr>
          <w:color w:val="231F20"/>
        </w:rPr>
        <w:t>y</w:t>
      </w:r>
      <w:r>
        <w:rPr>
          <w:color w:val="231F20"/>
          <w:spacing w:val="-8"/>
        </w:rPr>
        <w:t> </w:t>
      </w:r>
      <w:r>
        <w:rPr>
          <w:color w:val="231F20"/>
        </w:rPr>
        <w:t>Arnaiz-</w:t>
      </w:r>
      <w:r>
        <w:rPr>
          <w:color w:val="231F20"/>
          <w:w w:val="96"/>
        </w:rPr>
        <w:t> </w:t>
      </w:r>
      <w:r>
        <w:rPr>
          <w:color w:val="231F20"/>
        </w:rPr>
        <w:t>Sánchez, 2001; Díaz-Aguado, 2005; Feria y otros, 2010).</w:t>
      </w:r>
      <w:r>
        <w:rPr>
          <w:color w:val="231F20"/>
          <w:spacing w:val="21"/>
        </w:rPr>
        <w:t> </w:t>
      </w:r>
      <w:r>
        <w:rPr>
          <w:color w:val="231F20"/>
        </w:rPr>
        <w:t>Al</w:t>
      </w:r>
      <w:r>
        <w:rPr>
          <w:color w:val="231F20"/>
          <w:spacing w:val="2"/>
        </w:rPr>
        <w:t> </w:t>
      </w:r>
      <w:r>
        <w:rPr>
          <w:color w:val="231F20"/>
        </w:rPr>
        <w:t>respec-</w:t>
      </w:r>
      <w:r>
        <w:rPr>
          <w:color w:val="231F20"/>
          <w:w w:val="96"/>
        </w:rPr>
        <w:t> </w:t>
      </w:r>
      <w:r>
        <w:rPr>
          <w:color w:val="231F20"/>
        </w:rPr>
        <w:t>to</w:t>
      </w:r>
      <w:r>
        <w:rPr>
          <w:color w:val="231F20"/>
          <w:spacing w:val="28"/>
        </w:rPr>
        <w:t> </w:t>
      </w:r>
      <w:r>
        <w:rPr>
          <w:color w:val="231F20"/>
        </w:rPr>
        <w:t>Peiró</w:t>
      </w:r>
      <w:r>
        <w:rPr>
          <w:color w:val="231F20"/>
          <w:spacing w:val="28"/>
        </w:rPr>
        <w:t> </w:t>
      </w:r>
      <w:r>
        <w:rPr>
          <w:color w:val="231F20"/>
        </w:rPr>
        <w:t>(2009)</w:t>
      </w:r>
      <w:r>
        <w:rPr>
          <w:color w:val="231F20"/>
          <w:spacing w:val="27"/>
        </w:rPr>
        <w:t> </w:t>
      </w:r>
      <w:r>
        <w:rPr>
          <w:color w:val="231F20"/>
        </w:rPr>
        <w:t>argumenta</w:t>
      </w:r>
      <w:r>
        <w:rPr>
          <w:color w:val="231F20"/>
          <w:spacing w:val="28"/>
        </w:rPr>
        <w:t> </w:t>
      </w:r>
      <w:r>
        <w:rPr>
          <w:color w:val="231F20"/>
        </w:rPr>
        <w:t>que</w:t>
      </w:r>
      <w:r>
        <w:rPr>
          <w:color w:val="231F20"/>
          <w:spacing w:val="27"/>
        </w:rPr>
        <w:t> </w:t>
      </w:r>
      <w:r>
        <w:rPr>
          <w:color w:val="231F20"/>
        </w:rPr>
        <w:t>si</w:t>
      </w:r>
      <w:r>
        <w:rPr>
          <w:color w:val="231F20"/>
          <w:spacing w:val="27"/>
        </w:rPr>
        <w:t> </w:t>
      </w:r>
      <w:r>
        <w:rPr>
          <w:color w:val="231F20"/>
        </w:rPr>
        <w:t>en</w:t>
      </w:r>
      <w:r>
        <w:rPr>
          <w:color w:val="231F20"/>
          <w:spacing w:val="28"/>
        </w:rPr>
        <w:t> </w:t>
      </w:r>
      <w:r>
        <w:rPr>
          <w:color w:val="231F20"/>
        </w:rPr>
        <w:t>general,</w:t>
      </w:r>
      <w:r>
        <w:rPr>
          <w:color w:val="231F20"/>
          <w:spacing w:val="27"/>
        </w:rPr>
        <w:t> </w:t>
      </w:r>
      <w:r>
        <w:rPr>
          <w:color w:val="231F20"/>
        </w:rPr>
        <w:t>los</w:t>
      </w:r>
      <w:r>
        <w:rPr>
          <w:color w:val="231F20"/>
          <w:spacing w:val="27"/>
        </w:rPr>
        <w:t> </w:t>
      </w:r>
      <w:r>
        <w:rPr>
          <w:color w:val="231F20"/>
        </w:rPr>
        <w:t>profesores</w:t>
      </w:r>
      <w:r>
        <w:rPr>
          <w:color w:val="231F20"/>
          <w:spacing w:val="28"/>
        </w:rPr>
        <w:t> </w:t>
      </w:r>
      <w:r>
        <w:rPr>
          <w:color w:val="231F20"/>
        </w:rPr>
        <w:t>no</w:t>
      </w:r>
      <w:r>
        <w:rPr>
          <w:color w:val="231F20"/>
          <w:spacing w:val="28"/>
        </w:rPr>
        <w:t> </w:t>
      </w:r>
      <w:r>
        <w:rPr>
          <w:color w:val="231F20"/>
        </w:rPr>
        <w:t>se</w:t>
      </w:r>
      <w:r>
        <w:rPr>
          <w:color w:val="231F20"/>
          <w:spacing w:val="1"/>
          <w:w w:val="96"/>
        </w:rPr>
        <w:t> </w:t>
      </w:r>
      <w:r>
        <w:rPr>
          <w:color w:val="231F20"/>
        </w:rPr>
        <w:t>implican, es por desconocer la naturaleza de las</w:t>
      </w:r>
      <w:r>
        <w:rPr>
          <w:color w:val="231F20"/>
          <w:spacing w:val="25"/>
        </w:rPr>
        <w:t> </w:t>
      </w:r>
      <w:r>
        <w:rPr>
          <w:color w:val="231F20"/>
        </w:rPr>
        <w:t>acciones</w:t>
      </w:r>
      <w:r>
        <w:rPr>
          <w:color w:val="231F20"/>
          <w:spacing w:val="16"/>
        </w:rPr>
        <w:t> </w:t>
      </w:r>
      <w:r>
        <w:rPr>
          <w:color w:val="231F20"/>
        </w:rPr>
        <w:t>disconvi-</w:t>
      </w:r>
      <w:r>
        <w:rPr>
          <w:color w:val="231F20"/>
          <w:w w:val="91"/>
        </w:rPr>
        <w:t> </w:t>
      </w:r>
      <w:r>
        <w:rPr>
          <w:color w:val="231F20"/>
        </w:rPr>
        <w:t>venciales</w:t>
      </w:r>
      <w:r>
        <w:rPr>
          <w:color w:val="231F20"/>
          <w:spacing w:val="-7"/>
        </w:rPr>
        <w:t> </w:t>
      </w:r>
      <w:r>
        <w:rPr>
          <w:color w:val="231F20"/>
        </w:rPr>
        <w:t>y</w:t>
      </w:r>
      <w:r>
        <w:rPr>
          <w:color w:val="231F20"/>
          <w:spacing w:val="-6"/>
        </w:rPr>
        <w:t> </w:t>
      </w:r>
      <w:r>
        <w:rPr>
          <w:color w:val="231F20"/>
        </w:rPr>
        <w:t>de</w:t>
      </w:r>
      <w:r>
        <w:rPr>
          <w:color w:val="231F20"/>
          <w:spacing w:val="-6"/>
        </w:rPr>
        <w:t> </w:t>
      </w:r>
      <w:r>
        <w:rPr>
          <w:color w:val="231F20"/>
        </w:rPr>
        <w:t>carecer</w:t>
      </w:r>
      <w:r>
        <w:rPr>
          <w:color w:val="231F20"/>
          <w:spacing w:val="-7"/>
        </w:rPr>
        <w:t> </w:t>
      </w:r>
      <w:r>
        <w:rPr>
          <w:color w:val="231F20"/>
        </w:rPr>
        <w:t>de</w:t>
      </w:r>
      <w:r>
        <w:rPr>
          <w:color w:val="231F20"/>
          <w:spacing w:val="-6"/>
        </w:rPr>
        <w:t> </w:t>
      </w:r>
      <w:r>
        <w:rPr>
          <w:color w:val="231F20"/>
        </w:rPr>
        <w:t>competencias</w:t>
      </w:r>
      <w:r>
        <w:rPr>
          <w:color w:val="231F20"/>
          <w:spacing w:val="-7"/>
        </w:rPr>
        <w:t> </w:t>
      </w:r>
      <w:r>
        <w:rPr>
          <w:color w:val="231F20"/>
        </w:rPr>
        <w:t>pedagógicas</w:t>
      </w:r>
      <w:r>
        <w:rPr>
          <w:color w:val="231F20"/>
          <w:spacing w:val="-7"/>
        </w:rPr>
        <w:t> </w:t>
      </w:r>
      <w:r>
        <w:rPr>
          <w:color w:val="231F20"/>
        </w:rPr>
        <w:t>para</w:t>
      </w:r>
      <w:r>
        <w:rPr>
          <w:color w:val="231F20"/>
          <w:spacing w:val="-7"/>
        </w:rPr>
        <w:t> </w:t>
      </w:r>
      <w:r>
        <w:rPr>
          <w:color w:val="231F20"/>
        </w:rPr>
        <w:t>abordarlas.</w:t>
      </w:r>
      <w:r>
        <w:rPr>
          <w:color w:val="231F20"/>
          <w:w w:val="89"/>
        </w:rPr>
        <w:t> </w:t>
      </w:r>
      <w:r>
        <w:rPr>
          <w:color w:val="231F20"/>
        </w:rPr>
        <w:t>Si</w:t>
      </w:r>
      <w:r>
        <w:rPr>
          <w:color w:val="231F20"/>
          <w:spacing w:val="20"/>
        </w:rPr>
        <w:t> </w:t>
      </w:r>
      <w:r>
        <w:rPr>
          <w:color w:val="231F20"/>
          <w:spacing w:val="2"/>
        </w:rPr>
        <w:t>bien</w:t>
      </w:r>
      <w:r>
        <w:rPr>
          <w:color w:val="231F20"/>
          <w:spacing w:val="21"/>
        </w:rPr>
        <w:t> </w:t>
      </w:r>
      <w:r>
        <w:rPr>
          <w:color w:val="231F20"/>
        </w:rPr>
        <w:t>es</w:t>
      </w:r>
      <w:r>
        <w:rPr>
          <w:color w:val="231F20"/>
          <w:spacing w:val="20"/>
        </w:rPr>
        <w:t> </w:t>
      </w:r>
      <w:r>
        <w:rPr>
          <w:color w:val="231F20"/>
          <w:spacing w:val="2"/>
        </w:rPr>
        <w:t>cierto</w:t>
      </w:r>
      <w:r>
        <w:rPr>
          <w:color w:val="231F20"/>
          <w:spacing w:val="21"/>
        </w:rPr>
        <w:t> </w:t>
      </w:r>
      <w:r>
        <w:rPr>
          <w:color w:val="231F20"/>
        </w:rPr>
        <w:t>que</w:t>
      </w:r>
      <w:r>
        <w:rPr>
          <w:color w:val="231F20"/>
          <w:spacing w:val="20"/>
        </w:rPr>
        <w:t> </w:t>
      </w:r>
      <w:r>
        <w:rPr>
          <w:color w:val="231F20"/>
          <w:spacing w:val="2"/>
        </w:rPr>
        <w:t>los</w:t>
      </w:r>
      <w:r>
        <w:rPr>
          <w:color w:val="231F20"/>
          <w:spacing w:val="20"/>
        </w:rPr>
        <w:t> </w:t>
      </w:r>
      <w:r>
        <w:rPr>
          <w:color w:val="231F20"/>
          <w:spacing w:val="2"/>
        </w:rPr>
        <w:t>docentes</w:t>
      </w:r>
      <w:r>
        <w:rPr>
          <w:color w:val="231F20"/>
          <w:spacing w:val="20"/>
        </w:rPr>
        <w:t> </w:t>
      </w:r>
      <w:r>
        <w:rPr>
          <w:color w:val="231F20"/>
        </w:rPr>
        <w:t>no</w:t>
      </w:r>
      <w:r>
        <w:rPr>
          <w:color w:val="231F20"/>
          <w:spacing w:val="21"/>
        </w:rPr>
        <w:t> </w:t>
      </w:r>
      <w:r>
        <w:rPr>
          <w:color w:val="231F20"/>
          <w:spacing w:val="2"/>
        </w:rPr>
        <w:t>son</w:t>
      </w:r>
      <w:r>
        <w:rPr>
          <w:color w:val="231F20"/>
          <w:spacing w:val="21"/>
        </w:rPr>
        <w:t> </w:t>
      </w:r>
      <w:r>
        <w:rPr>
          <w:color w:val="231F20"/>
          <w:spacing w:val="2"/>
        </w:rPr>
        <w:t>los</w:t>
      </w:r>
      <w:r>
        <w:rPr>
          <w:color w:val="231F20"/>
          <w:spacing w:val="20"/>
        </w:rPr>
        <w:t> </w:t>
      </w:r>
      <w:r>
        <w:rPr>
          <w:color w:val="231F20"/>
          <w:spacing w:val="2"/>
        </w:rPr>
        <w:t>únicos</w:t>
      </w:r>
      <w:r>
        <w:rPr>
          <w:color w:val="231F20"/>
          <w:spacing w:val="20"/>
        </w:rPr>
        <w:t> </w:t>
      </w:r>
      <w:r>
        <w:rPr>
          <w:color w:val="231F20"/>
          <w:spacing w:val="3"/>
        </w:rPr>
        <w:t>responsa-</w:t>
      </w:r>
      <w:r>
        <w:rPr>
          <w:color w:val="231F20"/>
          <w:spacing w:val="3"/>
          <w:w w:val="95"/>
        </w:rPr>
        <w:t> </w:t>
      </w:r>
      <w:r>
        <w:rPr>
          <w:color w:val="231F20"/>
          <w:spacing w:val="2"/>
        </w:rPr>
        <w:t>bles </w:t>
      </w:r>
      <w:r>
        <w:rPr>
          <w:color w:val="231F20"/>
        </w:rPr>
        <w:t>del </w:t>
      </w:r>
      <w:r>
        <w:rPr>
          <w:color w:val="231F20"/>
          <w:spacing w:val="2"/>
        </w:rPr>
        <w:t>clima </w:t>
      </w:r>
      <w:r>
        <w:rPr>
          <w:color w:val="231F20"/>
        </w:rPr>
        <w:t>de </w:t>
      </w:r>
      <w:r>
        <w:rPr>
          <w:color w:val="231F20"/>
          <w:spacing w:val="2"/>
        </w:rPr>
        <w:t>convivencia </w:t>
      </w:r>
      <w:r>
        <w:rPr>
          <w:color w:val="231F20"/>
        </w:rPr>
        <w:t>en el </w:t>
      </w:r>
      <w:r>
        <w:rPr>
          <w:color w:val="231F20"/>
          <w:spacing w:val="2"/>
        </w:rPr>
        <w:t>aula, </w:t>
      </w:r>
      <w:r>
        <w:rPr>
          <w:color w:val="231F20"/>
        </w:rPr>
        <w:t>es</w:t>
      </w:r>
      <w:r>
        <w:rPr>
          <w:color w:val="231F20"/>
          <w:spacing w:val="4"/>
        </w:rPr>
        <w:t> </w:t>
      </w:r>
      <w:r>
        <w:rPr>
          <w:color w:val="231F20"/>
          <w:spacing w:val="2"/>
        </w:rPr>
        <w:t>necesario</w:t>
      </w:r>
      <w:r>
        <w:rPr>
          <w:color w:val="231F20"/>
          <w:spacing w:val="31"/>
        </w:rPr>
        <w:t> </w:t>
      </w:r>
      <w:r>
        <w:rPr>
          <w:color w:val="231F20"/>
          <w:spacing w:val="3"/>
        </w:rPr>
        <w:t>reconocer</w:t>
      </w:r>
      <w:r>
        <w:rPr>
          <w:color w:val="231F20"/>
          <w:w w:val="103"/>
        </w:rPr>
        <w:t> </w:t>
      </w:r>
      <w:r>
        <w:rPr>
          <w:color w:val="231F20"/>
        </w:rPr>
        <w:t>que las </w:t>
      </w:r>
      <w:r>
        <w:rPr>
          <w:color w:val="231F20"/>
          <w:spacing w:val="2"/>
        </w:rPr>
        <w:t>relaciones verticales </w:t>
      </w:r>
      <w:r>
        <w:rPr>
          <w:color w:val="231F20"/>
        </w:rPr>
        <w:t>y </w:t>
      </w:r>
      <w:r>
        <w:rPr>
          <w:color w:val="231F20"/>
          <w:spacing w:val="2"/>
        </w:rPr>
        <w:t>asimétricas </w:t>
      </w:r>
      <w:r>
        <w:rPr>
          <w:color w:val="231F20"/>
        </w:rPr>
        <w:t>que</w:t>
      </w:r>
      <w:r>
        <w:rPr>
          <w:color w:val="231F20"/>
          <w:spacing w:val="4"/>
        </w:rPr>
        <w:t> </w:t>
      </w:r>
      <w:r>
        <w:rPr>
          <w:color w:val="231F20"/>
          <w:spacing w:val="3"/>
        </w:rPr>
        <w:t>generalmente</w:t>
      </w:r>
      <w:r>
        <w:rPr>
          <w:color w:val="231F20"/>
          <w:spacing w:val="47"/>
        </w:rPr>
        <w:t> </w:t>
      </w:r>
      <w:r>
        <w:rPr>
          <w:color w:val="231F20"/>
        </w:rPr>
        <w:t>se</w:t>
      </w:r>
      <w:r>
        <w:rPr>
          <w:color w:val="231F20"/>
          <w:w w:val="96"/>
        </w:rPr>
        <w:t> </w:t>
      </w:r>
      <w:r>
        <w:rPr>
          <w:color w:val="231F20"/>
          <w:spacing w:val="2"/>
        </w:rPr>
        <w:t>establecen entre los </w:t>
      </w:r>
      <w:r>
        <w:rPr>
          <w:color w:val="231F20"/>
          <w:spacing w:val="3"/>
        </w:rPr>
        <w:t>profesores </w:t>
      </w:r>
      <w:r>
        <w:rPr>
          <w:color w:val="231F20"/>
        </w:rPr>
        <w:t>y </w:t>
      </w:r>
      <w:r>
        <w:rPr>
          <w:color w:val="231F20"/>
          <w:spacing w:val="2"/>
        </w:rPr>
        <w:t>los </w:t>
      </w:r>
      <w:r>
        <w:rPr>
          <w:color w:val="231F20"/>
          <w:spacing w:val="3"/>
        </w:rPr>
        <w:t>alumnosdeben </w:t>
      </w:r>
      <w:r>
        <w:rPr>
          <w:color w:val="231F20"/>
        </w:rPr>
        <w:t>ser</w:t>
      </w:r>
      <w:r>
        <w:rPr>
          <w:color w:val="231F20"/>
          <w:spacing w:val="17"/>
        </w:rPr>
        <w:t> </w:t>
      </w:r>
      <w:r>
        <w:rPr>
          <w:color w:val="231F20"/>
          <w:spacing w:val="3"/>
        </w:rPr>
        <w:t>remplaza-</w:t>
      </w:r>
      <w:r>
        <w:rPr>
          <w:color w:val="231F20"/>
          <w:spacing w:val="3"/>
          <w:w w:val="95"/>
        </w:rPr>
        <w:t> </w:t>
      </w:r>
      <w:r>
        <w:rPr>
          <w:color w:val="231F20"/>
          <w:spacing w:val="2"/>
        </w:rPr>
        <w:t>das por una relación </w:t>
      </w:r>
      <w:r>
        <w:rPr>
          <w:color w:val="231F20"/>
        </w:rPr>
        <w:t>de </w:t>
      </w:r>
      <w:r>
        <w:rPr>
          <w:color w:val="231F20"/>
          <w:spacing w:val="2"/>
        </w:rPr>
        <w:t>respeto </w:t>
      </w:r>
      <w:r>
        <w:rPr>
          <w:color w:val="231F20"/>
          <w:spacing w:val="3"/>
        </w:rPr>
        <w:t>mutuo, además </w:t>
      </w:r>
      <w:r>
        <w:rPr>
          <w:color w:val="231F20"/>
        </w:rPr>
        <w:t>de</w:t>
      </w:r>
      <w:r>
        <w:rPr>
          <w:color w:val="231F20"/>
          <w:spacing w:val="12"/>
        </w:rPr>
        <w:t> </w:t>
      </w:r>
      <w:r>
        <w:rPr>
          <w:color w:val="231F20"/>
          <w:spacing w:val="2"/>
        </w:rPr>
        <w:t>una</w:t>
      </w:r>
      <w:r>
        <w:rPr>
          <w:color w:val="231F20"/>
          <w:spacing w:val="25"/>
        </w:rPr>
        <w:t> </w:t>
      </w:r>
      <w:r>
        <w:rPr>
          <w:color w:val="231F20"/>
          <w:spacing w:val="3"/>
        </w:rPr>
        <w:t>organiza-</w:t>
      </w:r>
      <w:r>
        <w:rPr>
          <w:color w:val="231F20"/>
          <w:spacing w:val="3"/>
          <w:w w:val="95"/>
        </w:rPr>
        <w:t> </w:t>
      </w:r>
      <w:r>
        <w:rPr>
          <w:color w:val="231F20"/>
          <w:spacing w:val="2"/>
        </w:rPr>
        <w:t>ción del centro escolar que permita </w:t>
      </w:r>
      <w:r>
        <w:rPr>
          <w:color w:val="231F20"/>
        </w:rPr>
        <w:t>la </w:t>
      </w:r>
      <w:r>
        <w:rPr>
          <w:color w:val="231F20"/>
          <w:spacing w:val="2"/>
        </w:rPr>
        <w:t>vivencia </w:t>
      </w:r>
      <w:r>
        <w:rPr>
          <w:color w:val="231F20"/>
        </w:rPr>
        <w:t>de </w:t>
      </w:r>
      <w:r>
        <w:rPr>
          <w:color w:val="231F20"/>
          <w:spacing w:val="2"/>
        </w:rPr>
        <w:t>los</w:t>
      </w:r>
      <w:r>
        <w:rPr>
          <w:color w:val="231F20"/>
          <w:spacing w:val="26"/>
        </w:rPr>
        <w:t> </w:t>
      </w:r>
      <w:r>
        <w:rPr>
          <w:color w:val="231F20"/>
          <w:spacing w:val="2"/>
        </w:rPr>
        <w:t>valores</w:t>
      </w:r>
      <w:r>
        <w:rPr>
          <w:color w:val="231F20"/>
          <w:spacing w:val="9"/>
        </w:rPr>
        <w:t> </w:t>
      </w:r>
      <w:r>
        <w:rPr>
          <w:color w:val="231F20"/>
          <w:spacing w:val="2"/>
        </w:rPr>
        <w:t>edu-</w:t>
      </w:r>
      <w:r>
        <w:rPr>
          <w:color w:val="231F20"/>
          <w:spacing w:val="3"/>
          <w:w w:val="99"/>
        </w:rPr>
        <w:t> </w:t>
      </w:r>
      <w:r>
        <w:rPr>
          <w:color w:val="231F20"/>
          <w:spacing w:val="2"/>
        </w:rPr>
        <w:t>cativos</w:t>
      </w:r>
      <w:r>
        <w:rPr>
          <w:color w:val="231F20"/>
          <w:spacing w:val="36"/>
        </w:rPr>
        <w:t> </w:t>
      </w:r>
      <w:r>
        <w:rPr>
          <w:color w:val="231F20"/>
          <w:spacing w:val="3"/>
        </w:rPr>
        <w:t>propios</w:t>
      </w:r>
      <w:r>
        <w:rPr>
          <w:color w:val="231F20"/>
          <w:spacing w:val="36"/>
        </w:rPr>
        <w:t> </w:t>
      </w:r>
      <w:r>
        <w:rPr>
          <w:color w:val="231F20"/>
          <w:spacing w:val="2"/>
        </w:rPr>
        <w:t>para</w:t>
      </w:r>
      <w:r>
        <w:rPr>
          <w:color w:val="231F20"/>
          <w:spacing w:val="36"/>
        </w:rPr>
        <w:t> </w:t>
      </w:r>
      <w:r>
        <w:rPr>
          <w:color w:val="231F20"/>
          <w:spacing w:val="2"/>
        </w:rPr>
        <w:t>esta</w:t>
      </w:r>
      <w:r>
        <w:rPr>
          <w:color w:val="231F20"/>
          <w:spacing w:val="36"/>
        </w:rPr>
        <w:t> </w:t>
      </w:r>
      <w:r>
        <w:rPr>
          <w:color w:val="231F20"/>
          <w:spacing w:val="2"/>
        </w:rPr>
        <w:t>convivencia,</w:t>
      </w:r>
      <w:r>
        <w:rPr>
          <w:color w:val="231F20"/>
          <w:spacing w:val="35"/>
        </w:rPr>
        <w:t> </w:t>
      </w:r>
      <w:r>
        <w:rPr>
          <w:color w:val="231F20"/>
        </w:rPr>
        <w:t>ya</w:t>
      </w:r>
      <w:r>
        <w:rPr>
          <w:color w:val="231F20"/>
          <w:spacing w:val="36"/>
        </w:rPr>
        <w:t> </w:t>
      </w:r>
      <w:r>
        <w:rPr>
          <w:color w:val="231F20"/>
          <w:spacing w:val="2"/>
        </w:rPr>
        <w:t>que</w:t>
      </w:r>
      <w:r>
        <w:rPr>
          <w:color w:val="231F20"/>
          <w:spacing w:val="36"/>
        </w:rPr>
        <w:t> </w:t>
      </w:r>
      <w:r>
        <w:rPr>
          <w:color w:val="231F20"/>
          <w:spacing w:val="3"/>
        </w:rPr>
        <w:t>como</w:t>
      </w:r>
      <w:r>
        <w:rPr>
          <w:color w:val="231F20"/>
          <w:spacing w:val="37"/>
        </w:rPr>
        <w:t> </w:t>
      </w:r>
      <w:r>
        <w:rPr>
          <w:color w:val="231F20"/>
          <w:spacing w:val="2"/>
        </w:rPr>
        <w:t>los</w:t>
      </w:r>
      <w:r>
        <w:rPr>
          <w:color w:val="231F20"/>
          <w:spacing w:val="36"/>
        </w:rPr>
        <w:t> </w:t>
      </w:r>
      <w:r>
        <w:rPr>
          <w:color w:val="231F20"/>
          <w:spacing w:val="3"/>
        </w:rPr>
        <w:t>mismos</w:t>
      </w:r>
      <w:r>
        <w:rPr>
          <w:color w:val="231F20"/>
          <w:spacing w:val="4"/>
          <w:w w:val="101"/>
        </w:rPr>
        <w:t> </w:t>
      </w:r>
      <w:r>
        <w:rPr>
          <w:color w:val="231F20"/>
          <w:spacing w:val="2"/>
        </w:rPr>
        <w:t>adolescentes </w:t>
      </w:r>
      <w:r>
        <w:rPr>
          <w:color w:val="231F20"/>
        </w:rPr>
        <w:t>de </w:t>
      </w:r>
      <w:r>
        <w:rPr>
          <w:color w:val="231F20"/>
          <w:spacing w:val="2"/>
        </w:rPr>
        <w:t>este estudio </w:t>
      </w:r>
      <w:r>
        <w:rPr>
          <w:color w:val="231F20"/>
        </w:rPr>
        <w:t>lo </w:t>
      </w:r>
      <w:r>
        <w:rPr>
          <w:color w:val="231F20"/>
          <w:spacing w:val="2"/>
        </w:rPr>
        <w:t>han </w:t>
      </w:r>
      <w:r>
        <w:rPr>
          <w:color w:val="231F20"/>
          <w:spacing w:val="3"/>
        </w:rPr>
        <w:t>mencionado, </w:t>
      </w:r>
      <w:r>
        <w:rPr>
          <w:color w:val="231F20"/>
          <w:spacing w:val="2"/>
        </w:rPr>
        <w:t>desde</w:t>
      </w:r>
      <w:r>
        <w:rPr>
          <w:color w:val="231F20"/>
          <w:spacing w:val="55"/>
        </w:rPr>
        <w:t> </w:t>
      </w:r>
      <w:r>
        <w:rPr>
          <w:color w:val="231F20"/>
        </w:rPr>
        <w:t>la</w:t>
      </w:r>
      <w:r>
        <w:rPr>
          <w:color w:val="231F20"/>
          <w:spacing w:val="21"/>
        </w:rPr>
        <w:t> </w:t>
      </w:r>
      <w:r>
        <w:rPr>
          <w:color w:val="231F20"/>
          <w:spacing w:val="3"/>
        </w:rPr>
        <w:t>gestión</w:t>
      </w:r>
      <w:r>
        <w:rPr>
          <w:color w:val="231F20"/>
          <w:spacing w:val="4"/>
          <w:w w:val="104"/>
        </w:rPr>
        <w:t> </w:t>
      </w:r>
      <w:r>
        <w:rPr>
          <w:color w:val="231F20"/>
          <w:spacing w:val="2"/>
        </w:rPr>
        <w:t>del centro </w:t>
      </w:r>
      <w:r>
        <w:rPr>
          <w:color w:val="231F20"/>
        </w:rPr>
        <w:t>se </w:t>
      </w:r>
      <w:r>
        <w:rPr>
          <w:color w:val="231F20"/>
          <w:spacing w:val="3"/>
        </w:rPr>
        <w:t>podrían, </w:t>
      </w:r>
      <w:r>
        <w:rPr>
          <w:color w:val="231F20"/>
        </w:rPr>
        <w:t>y </w:t>
      </w:r>
      <w:r>
        <w:rPr>
          <w:color w:val="231F20"/>
          <w:spacing w:val="2"/>
        </w:rPr>
        <w:t>deberían prevenir</w:t>
      </w:r>
      <w:r>
        <w:rPr>
          <w:color w:val="231F20"/>
          <w:spacing w:val="52"/>
        </w:rPr>
        <w:t> </w:t>
      </w:r>
      <w:r>
        <w:rPr>
          <w:color w:val="231F20"/>
          <w:spacing w:val="2"/>
        </w:rPr>
        <w:t>situaciones</w:t>
      </w:r>
      <w:r>
        <w:rPr>
          <w:color w:val="231F20"/>
          <w:spacing w:val="8"/>
        </w:rPr>
        <w:t> </w:t>
      </w:r>
      <w:r>
        <w:rPr>
          <w:color w:val="231F20"/>
          <w:spacing w:val="2"/>
        </w:rPr>
        <w:t>conflictivas.</w:t>
      </w:r>
      <w:r>
        <w:rPr>
          <w:color w:val="231F20"/>
          <w:w w:val="89"/>
        </w:rPr>
        <w:t> </w:t>
      </w:r>
      <w:r>
        <w:rPr>
          <w:color w:val="231F20"/>
          <w:spacing w:val="2"/>
        </w:rPr>
        <w:t>Aunado </w:t>
      </w:r>
      <w:r>
        <w:rPr>
          <w:color w:val="231F20"/>
        </w:rPr>
        <w:t>a lo </w:t>
      </w:r>
      <w:r>
        <w:rPr>
          <w:color w:val="231F20"/>
          <w:spacing w:val="2"/>
        </w:rPr>
        <w:t>anterior, existen muy pocas investigaciones</w:t>
      </w:r>
      <w:r>
        <w:rPr>
          <w:color w:val="231F20"/>
          <w:spacing w:val="41"/>
        </w:rPr>
        <w:t> </w:t>
      </w:r>
      <w:r>
        <w:rPr>
          <w:color w:val="231F20"/>
        </w:rPr>
        <w:t>que</w:t>
      </w:r>
      <w:r>
        <w:rPr>
          <w:color w:val="231F20"/>
          <w:spacing w:val="12"/>
        </w:rPr>
        <w:t> </w:t>
      </w:r>
      <w:r>
        <w:rPr>
          <w:color w:val="231F20"/>
          <w:spacing w:val="3"/>
        </w:rPr>
        <w:t>rela-</w:t>
      </w:r>
      <w:r>
        <w:rPr>
          <w:color w:val="231F20"/>
          <w:spacing w:val="3"/>
          <w:w w:val="95"/>
        </w:rPr>
        <w:t> </w:t>
      </w:r>
      <w:r>
        <w:rPr>
          <w:color w:val="231F20"/>
          <w:spacing w:val="2"/>
        </w:rPr>
        <w:t>cionen </w:t>
      </w:r>
      <w:r>
        <w:rPr>
          <w:color w:val="231F20"/>
        </w:rPr>
        <w:t>la </w:t>
      </w:r>
      <w:r>
        <w:rPr>
          <w:color w:val="231F20"/>
          <w:spacing w:val="2"/>
        </w:rPr>
        <w:t>violencia entre escolares con los </w:t>
      </w:r>
      <w:r>
        <w:rPr>
          <w:color w:val="231F20"/>
          <w:spacing w:val="3"/>
        </w:rPr>
        <w:t>procesos</w:t>
      </w:r>
      <w:r>
        <w:rPr>
          <w:color w:val="231F20"/>
          <w:spacing w:val="39"/>
        </w:rPr>
        <w:t> </w:t>
      </w:r>
      <w:r>
        <w:rPr>
          <w:color w:val="231F20"/>
        </w:rPr>
        <w:t>de</w:t>
      </w:r>
      <w:r>
        <w:rPr>
          <w:color w:val="231F20"/>
          <w:spacing w:val="6"/>
        </w:rPr>
        <w:t> </w:t>
      </w:r>
      <w:r>
        <w:rPr>
          <w:color w:val="231F20"/>
          <w:spacing w:val="2"/>
        </w:rPr>
        <w:t>discrimina-</w:t>
      </w:r>
      <w:r>
        <w:rPr>
          <w:color w:val="231F20"/>
          <w:spacing w:val="3"/>
          <w:w w:val="95"/>
        </w:rPr>
        <w:t> </w:t>
      </w:r>
      <w:r>
        <w:rPr>
          <w:color w:val="231F20"/>
          <w:spacing w:val="2"/>
        </w:rPr>
        <w:t>ción</w:t>
      </w:r>
      <w:r>
        <w:rPr>
          <w:color w:val="231F20"/>
          <w:spacing w:val="29"/>
        </w:rPr>
        <w:t> </w:t>
      </w:r>
      <w:r>
        <w:rPr>
          <w:color w:val="231F20"/>
        </w:rPr>
        <w:t>y</w:t>
      </w:r>
      <w:r>
        <w:rPr>
          <w:color w:val="231F20"/>
          <w:spacing w:val="28"/>
        </w:rPr>
        <w:t> </w:t>
      </w:r>
      <w:r>
        <w:rPr>
          <w:color w:val="231F20"/>
        </w:rPr>
        <w:t>de</w:t>
      </w:r>
      <w:r>
        <w:rPr>
          <w:color w:val="231F20"/>
          <w:spacing w:val="28"/>
        </w:rPr>
        <w:t> </w:t>
      </w:r>
      <w:r>
        <w:rPr>
          <w:color w:val="231F20"/>
          <w:spacing w:val="2"/>
        </w:rPr>
        <w:t>exclusión</w:t>
      </w:r>
      <w:r>
        <w:rPr>
          <w:color w:val="231F20"/>
          <w:spacing w:val="29"/>
        </w:rPr>
        <w:t> </w:t>
      </w:r>
      <w:r>
        <w:rPr>
          <w:color w:val="231F20"/>
        </w:rPr>
        <w:t>en</w:t>
      </w:r>
      <w:r>
        <w:rPr>
          <w:color w:val="231F20"/>
          <w:spacing w:val="28"/>
        </w:rPr>
        <w:t> </w:t>
      </w:r>
      <w:r>
        <w:rPr>
          <w:color w:val="231F20"/>
        </w:rPr>
        <w:t>la</w:t>
      </w:r>
      <w:r>
        <w:rPr>
          <w:color w:val="231F20"/>
          <w:spacing w:val="28"/>
        </w:rPr>
        <w:t> </w:t>
      </w:r>
      <w:r>
        <w:rPr>
          <w:color w:val="231F20"/>
          <w:spacing w:val="2"/>
        </w:rPr>
        <w:t>interacción</w:t>
      </w:r>
      <w:r>
        <w:rPr>
          <w:color w:val="231F20"/>
          <w:spacing w:val="29"/>
        </w:rPr>
        <w:t> </w:t>
      </w:r>
      <w:r>
        <w:rPr>
          <w:color w:val="231F20"/>
          <w:spacing w:val="3"/>
        </w:rPr>
        <w:t>profesor-alumno,</w:t>
      </w:r>
      <w:r>
        <w:rPr>
          <w:color w:val="231F20"/>
          <w:spacing w:val="27"/>
        </w:rPr>
        <w:t> </w:t>
      </w:r>
      <w:r>
        <w:rPr>
          <w:color w:val="231F20"/>
          <w:spacing w:val="2"/>
        </w:rPr>
        <w:t>tema</w:t>
      </w:r>
      <w:r>
        <w:rPr>
          <w:color w:val="231F20"/>
          <w:spacing w:val="28"/>
        </w:rPr>
        <w:t> </w:t>
      </w:r>
      <w:r>
        <w:rPr>
          <w:color w:val="231F20"/>
        </w:rPr>
        <w:t>que</w:t>
      </w:r>
      <w:r>
        <w:rPr>
          <w:color w:val="231F20"/>
          <w:w w:val="96"/>
        </w:rPr>
        <w:t> </w:t>
      </w:r>
      <w:r>
        <w:rPr>
          <w:color w:val="231F20"/>
          <w:spacing w:val="3"/>
        </w:rPr>
        <w:t>comienza</w:t>
      </w:r>
      <w:r>
        <w:rPr>
          <w:color w:val="231F20"/>
          <w:spacing w:val="24"/>
        </w:rPr>
        <w:t> </w:t>
      </w:r>
      <w:r>
        <w:rPr>
          <w:color w:val="231F20"/>
        </w:rPr>
        <w:t>a</w:t>
      </w:r>
      <w:r>
        <w:rPr>
          <w:color w:val="231F20"/>
          <w:spacing w:val="24"/>
        </w:rPr>
        <w:t> </w:t>
      </w:r>
      <w:r>
        <w:rPr>
          <w:color w:val="231F20"/>
        </w:rPr>
        <w:t>ser</w:t>
      </w:r>
      <w:r>
        <w:rPr>
          <w:color w:val="231F20"/>
          <w:spacing w:val="23"/>
        </w:rPr>
        <w:t> </w:t>
      </w:r>
      <w:r>
        <w:rPr>
          <w:color w:val="231F20"/>
          <w:spacing w:val="2"/>
        </w:rPr>
        <w:t>conceptualizado</w:t>
      </w:r>
      <w:r>
        <w:rPr>
          <w:color w:val="231F20"/>
          <w:spacing w:val="24"/>
        </w:rPr>
        <w:t> </w:t>
      </w:r>
      <w:r>
        <w:rPr>
          <w:color w:val="231F20"/>
          <w:spacing w:val="3"/>
        </w:rPr>
        <w:t>como</w:t>
      </w:r>
      <w:r>
        <w:rPr>
          <w:color w:val="231F20"/>
          <w:spacing w:val="24"/>
        </w:rPr>
        <w:t> </w:t>
      </w:r>
      <w:r>
        <w:rPr>
          <w:color w:val="231F20"/>
          <w:spacing w:val="2"/>
        </w:rPr>
        <w:t>condición</w:t>
      </w:r>
      <w:r>
        <w:rPr>
          <w:color w:val="231F20"/>
          <w:spacing w:val="24"/>
        </w:rPr>
        <w:t> </w:t>
      </w:r>
      <w:r>
        <w:rPr>
          <w:color w:val="231F20"/>
        </w:rPr>
        <w:t>de</w:t>
      </w:r>
      <w:r>
        <w:rPr>
          <w:color w:val="231F20"/>
          <w:spacing w:val="24"/>
        </w:rPr>
        <w:t> </w:t>
      </w:r>
      <w:r>
        <w:rPr>
          <w:color w:val="231F20"/>
          <w:spacing w:val="2"/>
        </w:rPr>
        <w:t>riesgo</w:t>
      </w:r>
      <w:r>
        <w:rPr>
          <w:color w:val="231F20"/>
          <w:spacing w:val="24"/>
        </w:rPr>
        <w:t> </w:t>
      </w:r>
      <w:r>
        <w:rPr>
          <w:color w:val="231F20"/>
        </w:rPr>
        <w:t>en</w:t>
      </w:r>
      <w:r>
        <w:rPr>
          <w:color w:val="231F20"/>
          <w:spacing w:val="24"/>
        </w:rPr>
        <w:t> </w:t>
      </w:r>
      <w:r>
        <w:rPr>
          <w:color w:val="231F20"/>
          <w:spacing w:val="3"/>
        </w:rPr>
        <w:t>los</w:t>
      </w:r>
    </w:p>
    <w:p>
      <w:pPr>
        <w:spacing w:after="0" w:line="247" w:lineRule="auto"/>
        <w:jc w:val="right"/>
        <w:sectPr>
          <w:headerReference w:type="default" r:id="rId936"/>
          <w:footerReference w:type="default" r:id="rId937"/>
          <w:pgSz w:w="7830" w:h="11910"/>
          <w:pgMar w:header="0" w:footer="424" w:top="500" w:bottom="620" w:left="920" w:right="900"/>
          <w:pgNumType w:start="42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210"/>
      </w:pPr>
      <w:r>
        <w:rPr>
          <w:color w:val="231F20"/>
          <w:spacing w:val="2"/>
        </w:rPr>
        <w:t>últimos años, </w:t>
      </w:r>
      <w:r>
        <w:rPr>
          <w:color w:val="231F20"/>
        </w:rPr>
        <w:t>de </w:t>
      </w:r>
      <w:r>
        <w:rPr>
          <w:color w:val="231F20"/>
          <w:spacing w:val="2"/>
        </w:rPr>
        <w:t>ahí </w:t>
      </w:r>
      <w:r>
        <w:rPr>
          <w:color w:val="231F20"/>
        </w:rPr>
        <w:t>la </w:t>
      </w:r>
      <w:r>
        <w:rPr>
          <w:color w:val="231F20"/>
          <w:spacing w:val="3"/>
        </w:rPr>
        <w:t>importancia </w:t>
      </w:r>
      <w:r>
        <w:rPr>
          <w:color w:val="231F20"/>
        </w:rPr>
        <w:t>de </w:t>
      </w:r>
      <w:r>
        <w:rPr>
          <w:color w:val="231F20"/>
          <w:spacing w:val="2"/>
        </w:rPr>
        <w:t>profundizar </w:t>
      </w:r>
      <w:r>
        <w:rPr>
          <w:color w:val="231F20"/>
        </w:rPr>
        <w:t>en  </w:t>
      </w:r>
      <w:r>
        <w:rPr>
          <w:color w:val="231F20"/>
          <w:spacing w:val="2"/>
        </w:rPr>
        <w:t>los </w:t>
      </w:r>
      <w:r>
        <w:rPr>
          <w:color w:val="231F20"/>
          <w:spacing w:val="3"/>
        </w:rPr>
        <w:t>puntos </w:t>
      </w:r>
      <w:r>
        <w:rPr>
          <w:color w:val="231F20"/>
        </w:rPr>
        <w:t>de </w:t>
      </w:r>
      <w:r>
        <w:rPr>
          <w:color w:val="231F20"/>
          <w:spacing w:val="2"/>
        </w:rPr>
        <w:t>vista </w:t>
      </w:r>
      <w:r>
        <w:rPr>
          <w:color w:val="231F20"/>
        </w:rPr>
        <w:t>de </w:t>
      </w:r>
      <w:r>
        <w:rPr>
          <w:color w:val="231F20"/>
          <w:spacing w:val="2"/>
        </w:rPr>
        <w:t>los actores </w:t>
      </w:r>
      <w:r>
        <w:rPr>
          <w:color w:val="231F20"/>
        </w:rPr>
        <w:t>de </w:t>
      </w:r>
      <w:r>
        <w:rPr>
          <w:color w:val="231F20"/>
          <w:spacing w:val="2"/>
        </w:rPr>
        <w:t>esta</w:t>
      </w:r>
      <w:r>
        <w:rPr>
          <w:color w:val="231F20"/>
          <w:spacing w:val="20"/>
        </w:rPr>
        <w:t> </w:t>
      </w:r>
      <w:r>
        <w:rPr>
          <w:color w:val="231F20"/>
          <w:spacing w:val="2"/>
        </w:rPr>
        <w:t>interrelación.</w:t>
      </w:r>
    </w:p>
    <w:p>
      <w:pPr>
        <w:pStyle w:val="BodyText"/>
        <w:spacing w:line="247" w:lineRule="auto" w:before="1"/>
        <w:ind w:left="102" w:right="121" w:firstLine="284"/>
      </w:pPr>
      <w:r>
        <w:rPr>
          <w:color w:val="231F20"/>
        </w:rPr>
        <w:t>Con base en los argumentos presentados y dada la cantidad y variedad de respuestas, podemos observar que:</w:t>
      </w:r>
    </w:p>
    <w:p>
      <w:pPr>
        <w:pStyle w:val="BodyText"/>
        <w:spacing w:before="2"/>
        <w:rPr>
          <w:sz w:val="22"/>
        </w:rPr>
      </w:pPr>
    </w:p>
    <w:p>
      <w:pPr>
        <w:pStyle w:val="ListParagraph"/>
        <w:numPr>
          <w:ilvl w:val="0"/>
          <w:numId w:val="24"/>
        </w:numPr>
        <w:tabs>
          <w:tab w:pos="747" w:val="left" w:leader="none"/>
        </w:tabs>
        <w:spacing w:line="247" w:lineRule="auto" w:before="0" w:after="0"/>
        <w:ind w:left="746" w:right="115" w:hanging="360"/>
        <w:jc w:val="both"/>
        <w:rPr>
          <w:sz w:val="21"/>
        </w:rPr>
      </w:pPr>
      <w:r>
        <w:rPr>
          <w:color w:val="231F20"/>
          <w:sz w:val="21"/>
        </w:rPr>
        <w:t>Las actuaciones del maestro impactan sobre los adolescen- tes generando actitudes negativas que afectan el clima del centro</w:t>
      </w:r>
      <w:r>
        <w:rPr>
          <w:color w:val="231F20"/>
          <w:spacing w:val="15"/>
          <w:sz w:val="21"/>
        </w:rPr>
        <w:t> </w:t>
      </w:r>
      <w:r>
        <w:rPr>
          <w:color w:val="231F20"/>
          <w:sz w:val="21"/>
        </w:rPr>
        <w:t>educativo.</w:t>
      </w:r>
    </w:p>
    <w:p>
      <w:pPr>
        <w:pStyle w:val="ListParagraph"/>
        <w:numPr>
          <w:ilvl w:val="0"/>
          <w:numId w:val="24"/>
        </w:numPr>
        <w:tabs>
          <w:tab w:pos="746" w:val="left" w:leader="none"/>
        </w:tabs>
        <w:spacing w:line="247" w:lineRule="auto" w:before="1" w:after="0"/>
        <w:ind w:left="745" w:right="118" w:hanging="359"/>
        <w:jc w:val="both"/>
        <w:rPr>
          <w:sz w:val="21"/>
        </w:rPr>
      </w:pPr>
      <w:r>
        <w:rPr>
          <w:color w:val="231F20"/>
          <w:sz w:val="21"/>
        </w:rPr>
        <w:t>Uno de los factores más importantes para que se manifieste la violencia escolar relacionado con los docentes es el que tiene que ver con los modelos pedagógicos de los que echa mano.</w:t>
      </w:r>
    </w:p>
    <w:p>
      <w:pPr>
        <w:pStyle w:val="ListParagraph"/>
        <w:numPr>
          <w:ilvl w:val="0"/>
          <w:numId w:val="24"/>
        </w:numPr>
        <w:tabs>
          <w:tab w:pos="746" w:val="left" w:leader="none"/>
        </w:tabs>
        <w:spacing w:line="247" w:lineRule="auto" w:before="1" w:after="0"/>
        <w:ind w:left="745" w:right="117" w:hanging="360"/>
        <w:jc w:val="both"/>
        <w:rPr>
          <w:sz w:val="21"/>
        </w:rPr>
      </w:pPr>
      <w:r>
        <w:rPr>
          <w:color w:val="231F20"/>
          <w:sz w:val="21"/>
        </w:rPr>
        <w:t>La relación que se establece con los adolescentes es mayor- mente asimétrica, este modelo de relación provoca una acti- tud negativa por parte de los</w:t>
      </w:r>
      <w:r>
        <w:rPr>
          <w:color w:val="231F20"/>
          <w:spacing w:val="32"/>
          <w:sz w:val="21"/>
        </w:rPr>
        <w:t> </w:t>
      </w:r>
      <w:r>
        <w:rPr>
          <w:color w:val="231F20"/>
          <w:sz w:val="21"/>
        </w:rPr>
        <w:t>adolescentes.</w:t>
      </w:r>
    </w:p>
    <w:p>
      <w:pPr>
        <w:pStyle w:val="ListParagraph"/>
        <w:numPr>
          <w:ilvl w:val="0"/>
          <w:numId w:val="24"/>
        </w:numPr>
        <w:tabs>
          <w:tab w:pos="746" w:val="left" w:leader="none"/>
        </w:tabs>
        <w:spacing w:line="249" w:lineRule="auto" w:before="1" w:after="0"/>
        <w:ind w:left="745" w:right="116" w:hanging="360"/>
        <w:jc w:val="both"/>
        <w:rPr>
          <w:sz w:val="21"/>
        </w:rPr>
      </w:pPr>
      <w:r>
        <w:rPr>
          <w:color w:val="231F20"/>
          <w:sz w:val="21"/>
        </w:rPr>
        <w:t>Los resultados y argumentos pueden representar, por un la- do, la disposición o preparación que los propios docentes tienen para afrontar los conflictos; por otro lado, la desmo- tivación que sienten hacia su</w:t>
      </w:r>
      <w:r>
        <w:rPr>
          <w:color w:val="231F20"/>
          <w:spacing w:val="8"/>
          <w:sz w:val="21"/>
        </w:rPr>
        <w:t> </w:t>
      </w:r>
      <w:r>
        <w:rPr>
          <w:color w:val="231F20"/>
          <w:sz w:val="21"/>
        </w:rPr>
        <w:t>profesión.</w:t>
      </w:r>
    </w:p>
    <w:p>
      <w:pPr>
        <w:pStyle w:val="ListParagraph"/>
        <w:numPr>
          <w:ilvl w:val="0"/>
          <w:numId w:val="24"/>
        </w:numPr>
        <w:tabs>
          <w:tab w:pos="746" w:val="left" w:leader="none"/>
        </w:tabs>
        <w:spacing w:line="247" w:lineRule="auto" w:before="0" w:after="0"/>
        <w:ind w:left="745" w:right="116" w:hanging="360"/>
        <w:jc w:val="both"/>
        <w:rPr>
          <w:sz w:val="21"/>
        </w:rPr>
      </w:pPr>
      <w:r>
        <w:rPr>
          <w:color w:val="231F20"/>
          <w:sz w:val="21"/>
        </w:rPr>
        <w:t>Habría que tomar en cuenta que la mayor parte de los pro- blemas de convivencia se debe de encuadrar en el choque que se produce entre la cultura escolar y la de los alumnos. Pues lo que para los docentes puede significar jugarle una broma a los alumnos, puede ser percibido como una agre- sión por parte de los estudiantes, suscitando una respuesta negativa por parte de estos últimos. Así es que hay que desarrollar una relación formal y</w:t>
      </w:r>
      <w:r>
        <w:rPr>
          <w:color w:val="231F20"/>
          <w:spacing w:val="-13"/>
          <w:sz w:val="21"/>
        </w:rPr>
        <w:t> </w:t>
      </w:r>
      <w:r>
        <w:rPr>
          <w:color w:val="231F20"/>
          <w:sz w:val="21"/>
        </w:rPr>
        <w:t>respetuosa.</w:t>
      </w:r>
    </w:p>
    <w:p>
      <w:pPr>
        <w:pStyle w:val="ListParagraph"/>
        <w:numPr>
          <w:ilvl w:val="0"/>
          <w:numId w:val="24"/>
        </w:numPr>
        <w:tabs>
          <w:tab w:pos="746" w:val="left" w:leader="none"/>
        </w:tabs>
        <w:spacing w:line="249" w:lineRule="auto" w:before="1" w:after="0"/>
        <w:ind w:left="745" w:right="115" w:hanging="360"/>
        <w:jc w:val="both"/>
        <w:rPr>
          <w:sz w:val="21"/>
        </w:rPr>
      </w:pPr>
      <w:r>
        <w:rPr>
          <w:color w:val="231F20"/>
          <w:sz w:val="21"/>
        </w:rPr>
        <w:t>Dados los resultados, el profesor es determinante para el clima de convivencia que se vive en el aula, influyendo de uno o de otro modo en la creación del grupo de iguales, en   la relación entre los alumnos y de estos con el profesorado,   y en definitiva, en la actitud de los alumnos hacia el</w:t>
      </w:r>
      <w:r>
        <w:rPr>
          <w:color w:val="231F20"/>
          <w:spacing w:val="-12"/>
          <w:sz w:val="21"/>
        </w:rPr>
        <w:t> </w:t>
      </w:r>
      <w:r>
        <w:rPr>
          <w:color w:val="231F20"/>
          <w:sz w:val="21"/>
        </w:rPr>
        <w:t>centro.</w:t>
      </w:r>
    </w:p>
    <w:p>
      <w:pPr>
        <w:pStyle w:val="ListParagraph"/>
        <w:numPr>
          <w:ilvl w:val="0"/>
          <w:numId w:val="24"/>
        </w:numPr>
        <w:tabs>
          <w:tab w:pos="746" w:val="left" w:leader="none"/>
        </w:tabs>
        <w:spacing w:line="247" w:lineRule="auto" w:before="0" w:after="0"/>
        <w:ind w:left="745" w:right="117" w:hanging="360"/>
        <w:jc w:val="both"/>
        <w:rPr>
          <w:sz w:val="21"/>
        </w:rPr>
      </w:pPr>
      <w:r>
        <w:rPr>
          <w:color w:val="231F20"/>
          <w:sz w:val="21"/>
        </w:rPr>
        <w:t>El problema de la disciplina, violencia y convivencia escolar se halla en el mundo invisible del trasfondo subjetivo de los estudiantes. Si esto no se incluye en el desarrollo del currí- culum, es probable que se siga generando el círculo vicioso de</w:t>
      </w:r>
      <w:r>
        <w:rPr>
          <w:color w:val="231F20"/>
          <w:spacing w:val="-19"/>
          <w:sz w:val="21"/>
        </w:rPr>
        <w:t> </w:t>
      </w:r>
      <w:r>
        <w:rPr>
          <w:color w:val="231F20"/>
          <w:sz w:val="21"/>
        </w:rPr>
        <w:t>la</w:t>
      </w:r>
      <w:r>
        <w:rPr>
          <w:color w:val="231F20"/>
          <w:spacing w:val="-20"/>
          <w:sz w:val="21"/>
        </w:rPr>
        <w:t> </w:t>
      </w:r>
      <w:r>
        <w:rPr>
          <w:color w:val="231F20"/>
          <w:sz w:val="21"/>
        </w:rPr>
        <w:t>indisciplina</w:t>
      </w:r>
      <w:r>
        <w:rPr>
          <w:color w:val="231F20"/>
          <w:spacing w:val="-20"/>
          <w:sz w:val="21"/>
        </w:rPr>
        <w:t> </w:t>
      </w:r>
      <w:r>
        <w:rPr>
          <w:color w:val="231F20"/>
          <w:sz w:val="21"/>
        </w:rPr>
        <w:t>y</w:t>
      </w:r>
      <w:r>
        <w:rPr>
          <w:color w:val="231F20"/>
          <w:spacing w:val="-19"/>
          <w:sz w:val="21"/>
        </w:rPr>
        <w:t> </w:t>
      </w:r>
      <w:r>
        <w:rPr>
          <w:color w:val="231F20"/>
          <w:sz w:val="21"/>
        </w:rPr>
        <w:t>violencia.</w:t>
      </w:r>
    </w:p>
    <w:p>
      <w:pPr>
        <w:pStyle w:val="ListParagraph"/>
        <w:numPr>
          <w:ilvl w:val="0"/>
          <w:numId w:val="24"/>
        </w:numPr>
        <w:tabs>
          <w:tab w:pos="745" w:val="left" w:leader="none"/>
        </w:tabs>
        <w:spacing w:line="247" w:lineRule="auto" w:before="1" w:after="0"/>
        <w:ind w:left="744" w:right="120" w:hanging="360"/>
        <w:jc w:val="both"/>
        <w:rPr>
          <w:sz w:val="21"/>
        </w:rPr>
      </w:pPr>
      <w:r>
        <w:rPr>
          <w:color w:val="231F20"/>
          <w:sz w:val="21"/>
        </w:rPr>
        <w:t>El hecho de que a pesar de que los sujetos estudiados per- tenezcan a dos grupos culturales distintos, no se han </w:t>
      </w:r>
      <w:r>
        <w:rPr>
          <w:color w:val="231F20"/>
          <w:spacing w:val="9"/>
          <w:sz w:val="21"/>
        </w:rPr>
        <w:t> </w:t>
      </w:r>
      <w:r>
        <w:rPr>
          <w:color w:val="231F20"/>
          <w:sz w:val="21"/>
        </w:rPr>
        <w:t>presen-</w:t>
      </w:r>
    </w:p>
    <w:p>
      <w:pPr>
        <w:spacing w:after="0" w:line="247" w:lineRule="auto"/>
        <w:jc w:val="both"/>
        <w:rPr>
          <w:sz w:val="21"/>
        </w:rPr>
        <w:sectPr>
          <w:headerReference w:type="default" r:id="rId938"/>
          <w:footerReference w:type="default" r:id="rId939"/>
          <w:pgSz w:w="7830" w:h="11910"/>
          <w:pgMar w:header="0" w:footer="424" w:top="500" w:bottom="620" w:left="920" w:right="900"/>
          <w:pgNumType w:start="42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9" w:lineRule="auto" w:before="92"/>
        <w:ind w:left="746" w:right="115"/>
        <w:jc w:val="both"/>
      </w:pPr>
      <w:r>
        <w:rPr>
          <w:color w:val="231F20"/>
        </w:rPr>
        <w:t>tado diferencias significas en el tipo de respuestas obtenidas, esto pudiera mostrar que las prácticas educativas institucio- nalizadas en las relaciones maestro-alumno son aspectos globalmente establecidos en los ámbitos escolares que pue- den generar situaciones que inciden en las relaciones de convivencia dentro de la escuela en su forma de funciona- miento actual y que deben seguir siendo estudiadas por los educadores con fines de mejora de la convivencia para dis- minuir y prevenir la violencia.</w:t>
      </w:r>
    </w:p>
    <w:p>
      <w:pPr>
        <w:pStyle w:val="BodyText"/>
        <w:spacing w:before="7"/>
      </w:pPr>
    </w:p>
    <w:p>
      <w:pPr>
        <w:pStyle w:val="BodyText"/>
        <w:spacing w:line="247" w:lineRule="auto"/>
        <w:ind w:left="102" w:right="115" w:firstLine="284"/>
        <w:jc w:val="both"/>
      </w:pPr>
      <w:r>
        <w:rPr>
          <w:color w:val="231F20"/>
        </w:rPr>
        <w:t>Por lo anterior, es “recomendable” ver estos fenómenos desde una perspectiva de centro escolar, y concretar en el proyecto esco- lar los valores educativos que permitan neutralizar las formas de interrelación negativas. Pero esto debe hacerse implicando a todos los actores de la comunidad escolar: administrativos, docentes, estudiantes y padres de familia.</w:t>
      </w:r>
    </w:p>
    <w:p>
      <w:pPr>
        <w:pStyle w:val="BodyText"/>
        <w:spacing w:line="249" w:lineRule="auto" w:before="1"/>
        <w:ind w:left="102" w:right="115" w:firstLine="284"/>
        <w:jc w:val="both"/>
      </w:pPr>
      <w:r>
        <w:rPr>
          <w:color w:val="231F20"/>
        </w:rPr>
        <w:t>Es </w:t>
      </w:r>
      <w:r>
        <w:rPr>
          <w:color w:val="231F20"/>
          <w:spacing w:val="2"/>
        </w:rPr>
        <w:t>necesario revisar </w:t>
      </w:r>
      <w:r>
        <w:rPr>
          <w:color w:val="231F20"/>
        </w:rPr>
        <w:t>el </w:t>
      </w:r>
      <w:r>
        <w:rPr>
          <w:color w:val="231F20"/>
          <w:spacing w:val="3"/>
        </w:rPr>
        <w:t>modelo </w:t>
      </w:r>
      <w:r>
        <w:rPr>
          <w:color w:val="231F20"/>
        </w:rPr>
        <w:t>de </w:t>
      </w:r>
      <w:r>
        <w:rPr>
          <w:color w:val="231F20"/>
          <w:spacing w:val="2"/>
        </w:rPr>
        <w:t>gestión </w:t>
      </w:r>
      <w:r>
        <w:rPr>
          <w:color w:val="231F20"/>
        </w:rPr>
        <w:t>de  la  </w:t>
      </w:r>
      <w:r>
        <w:rPr>
          <w:color w:val="231F20"/>
          <w:spacing w:val="2"/>
        </w:rPr>
        <w:t>convivencia  </w:t>
      </w:r>
      <w:r>
        <w:rPr>
          <w:color w:val="231F20"/>
        </w:rPr>
        <w:t>que se </w:t>
      </w:r>
      <w:r>
        <w:rPr>
          <w:color w:val="231F20"/>
          <w:spacing w:val="3"/>
        </w:rPr>
        <w:t>promueve </w:t>
      </w:r>
      <w:r>
        <w:rPr>
          <w:color w:val="231F20"/>
        </w:rPr>
        <w:t>en las </w:t>
      </w:r>
      <w:r>
        <w:rPr>
          <w:color w:val="231F20"/>
          <w:spacing w:val="2"/>
        </w:rPr>
        <w:t>escuelas, pues este influye para </w:t>
      </w:r>
      <w:r>
        <w:rPr>
          <w:color w:val="231F20"/>
          <w:spacing w:val="3"/>
        </w:rPr>
        <w:t>promover </w:t>
      </w:r>
      <w:r>
        <w:rPr>
          <w:color w:val="231F20"/>
          <w:spacing w:val="2"/>
        </w:rPr>
        <w:t>implícita </w:t>
      </w:r>
      <w:r>
        <w:rPr>
          <w:color w:val="231F20"/>
        </w:rPr>
        <w:t>o </w:t>
      </w:r>
      <w:r>
        <w:rPr>
          <w:color w:val="231F20"/>
          <w:spacing w:val="2"/>
        </w:rPr>
        <w:t>explícitamente ciertas </w:t>
      </w:r>
      <w:r>
        <w:rPr>
          <w:color w:val="231F20"/>
          <w:spacing w:val="3"/>
        </w:rPr>
        <w:t>formas </w:t>
      </w:r>
      <w:r>
        <w:rPr>
          <w:color w:val="231F20"/>
        </w:rPr>
        <w:t>de </w:t>
      </w:r>
      <w:r>
        <w:rPr>
          <w:color w:val="231F20"/>
          <w:spacing w:val="3"/>
        </w:rPr>
        <w:t>enseñanza </w:t>
      </w:r>
      <w:r>
        <w:rPr>
          <w:color w:val="231F20"/>
          <w:spacing w:val="2"/>
        </w:rPr>
        <w:t>que impac- </w:t>
      </w:r>
      <w:r>
        <w:rPr>
          <w:color w:val="231F20"/>
        </w:rPr>
        <w:t>tan en la </w:t>
      </w:r>
      <w:r>
        <w:rPr>
          <w:color w:val="231F20"/>
          <w:spacing w:val="2"/>
        </w:rPr>
        <w:t>motivación </w:t>
      </w:r>
      <w:r>
        <w:rPr>
          <w:color w:val="231F20"/>
        </w:rPr>
        <w:t>de </w:t>
      </w:r>
      <w:r>
        <w:rPr>
          <w:color w:val="231F20"/>
          <w:spacing w:val="2"/>
        </w:rPr>
        <w:t>los </w:t>
      </w:r>
      <w:r>
        <w:rPr>
          <w:color w:val="231F20"/>
          <w:spacing w:val="3"/>
        </w:rPr>
        <w:t>alumnos </w:t>
      </w:r>
      <w:r>
        <w:rPr>
          <w:color w:val="231F20"/>
        </w:rPr>
        <w:t>y de </w:t>
      </w:r>
      <w:r>
        <w:rPr>
          <w:color w:val="231F20"/>
          <w:spacing w:val="2"/>
        </w:rPr>
        <w:t>los </w:t>
      </w:r>
      <w:r>
        <w:rPr>
          <w:color w:val="231F20"/>
          <w:spacing w:val="3"/>
        </w:rPr>
        <w:t>profesores. </w:t>
      </w:r>
      <w:r>
        <w:rPr>
          <w:color w:val="231F20"/>
          <w:spacing w:val="2"/>
        </w:rPr>
        <w:t>Este modelo </w:t>
      </w:r>
      <w:r>
        <w:rPr>
          <w:color w:val="231F20"/>
        </w:rPr>
        <w:t>de </w:t>
      </w:r>
      <w:r>
        <w:rPr>
          <w:color w:val="231F20"/>
          <w:spacing w:val="2"/>
        </w:rPr>
        <w:t>gestión implica también </w:t>
      </w:r>
      <w:r>
        <w:rPr>
          <w:color w:val="231F20"/>
        </w:rPr>
        <w:t>la </w:t>
      </w:r>
      <w:r>
        <w:rPr>
          <w:color w:val="231F20"/>
          <w:spacing w:val="2"/>
        </w:rPr>
        <w:t>revisión </w:t>
      </w:r>
      <w:r>
        <w:rPr>
          <w:color w:val="231F20"/>
        </w:rPr>
        <w:t>de la </w:t>
      </w:r>
      <w:r>
        <w:rPr>
          <w:color w:val="231F20"/>
          <w:spacing w:val="2"/>
        </w:rPr>
        <w:t>organización propia </w:t>
      </w:r>
      <w:r>
        <w:rPr>
          <w:color w:val="231F20"/>
        </w:rPr>
        <w:t>de </w:t>
      </w:r>
      <w:r>
        <w:rPr>
          <w:color w:val="231F20"/>
          <w:spacing w:val="2"/>
        </w:rPr>
        <w:t>cada institución, </w:t>
      </w:r>
      <w:r>
        <w:rPr>
          <w:color w:val="231F20"/>
          <w:spacing w:val="3"/>
        </w:rPr>
        <w:t>profundizando </w:t>
      </w:r>
      <w:r>
        <w:rPr>
          <w:color w:val="231F20"/>
        </w:rPr>
        <w:t>en la </w:t>
      </w:r>
      <w:r>
        <w:rPr>
          <w:color w:val="231F20"/>
          <w:spacing w:val="2"/>
        </w:rPr>
        <w:t>estructura para </w:t>
      </w:r>
      <w:r>
        <w:rPr>
          <w:color w:val="231F20"/>
        </w:rPr>
        <w:t>la </w:t>
      </w:r>
      <w:r>
        <w:rPr>
          <w:color w:val="231F20"/>
          <w:spacing w:val="3"/>
        </w:rPr>
        <w:t>toma </w:t>
      </w:r>
      <w:r>
        <w:rPr>
          <w:color w:val="231F20"/>
        </w:rPr>
        <w:t>de </w:t>
      </w:r>
      <w:r>
        <w:rPr>
          <w:color w:val="231F20"/>
          <w:spacing w:val="2"/>
        </w:rPr>
        <w:t>decisiones, </w:t>
      </w:r>
      <w:r>
        <w:rPr>
          <w:color w:val="231F20"/>
        </w:rPr>
        <w:t>las </w:t>
      </w:r>
      <w:r>
        <w:rPr>
          <w:color w:val="231F20"/>
          <w:spacing w:val="3"/>
        </w:rPr>
        <w:t>formas </w:t>
      </w:r>
      <w:r>
        <w:rPr>
          <w:color w:val="231F20"/>
        </w:rPr>
        <w:t>de </w:t>
      </w:r>
      <w:r>
        <w:rPr>
          <w:color w:val="231F20"/>
          <w:spacing w:val="2"/>
        </w:rPr>
        <w:t>participación </w:t>
      </w:r>
      <w:r>
        <w:rPr>
          <w:color w:val="231F20"/>
        </w:rPr>
        <w:t>de la </w:t>
      </w:r>
      <w:r>
        <w:rPr>
          <w:color w:val="231F20"/>
          <w:spacing w:val="3"/>
        </w:rPr>
        <w:t>comunidad,   </w:t>
      </w:r>
      <w:r>
        <w:rPr>
          <w:color w:val="231F20"/>
        </w:rPr>
        <w:t>la </w:t>
      </w:r>
      <w:r>
        <w:rPr>
          <w:color w:val="231F20"/>
          <w:spacing w:val="3"/>
        </w:rPr>
        <w:t>forma </w:t>
      </w:r>
      <w:r>
        <w:rPr>
          <w:color w:val="231F20"/>
        </w:rPr>
        <w:t>de </w:t>
      </w:r>
      <w:r>
        <w:rPr>
          <w:color w:val="231F20"/>
          <w:spacing w:val="2"/>
        </w:rPr>
        <w:t>afrontar </w:t>
      </w:r>
      <w:r>
        <w:rPr>
          <w:color w:val="231F20"/>
        </w:rPr>
        <w:t>y </w:t>
      </w:r>
      <w:r>
        <w:rPr>
          <w:color w:val="231F20"/>
          <w:spacing w:val="2"/>
        </w:rPr>
        <w:t>solucionar los conflictos, entre otros aspec- tos.</w:t>
      </w:r>
    </w:p>
    <w:p>
      <w:pPr>
        <w:pStyle w:val="BodyText"/>
        <w:spacing w:line="247" w:lineRule="auto"/>
        <w:ind w:left="102" w:right="118" w:firstLine="284"/>
        <w:jc w:val="both"/>
      </w:pPr>
      <w:r>
        <w:rPr>
          <w:color w:val="231F20"/>
          <w:spacing w:val="2"/>
        </w:rPr>
        <w:t>Esto </w:t>
      </w:r>
      <w:r>
        <w:rPr>
          <w:color w:val="231F20"/>
        </w:rPr>
        <w:t>lleva </w:t>
      </w:r>
      <w:r>
        <w:rPr>
          <w:color w:val="231F20"/>
          <w:spacing w:val="2"/>
        </w:rPr>
        <w:t>consigo </w:t>
      </w:r>
      <w:r>
        <w:rPr>
          <w:color w:val="231F20"/>
        </w:rPr>
        <w:t>la </w:t>
      </w:r>
      <w:r>
        <w:rPr>
          <w:color w:val="231F20"/>
          <w:spacing w:val="2"/>
        </w:rPr>
        <w:t>necesidad </w:t>
      </w:r>
      <w:r>
        <w:rPr>
          <w:color w:val="231F20"/>
        </w:rPr>
        <w:t>de </w:t>
      </w:r>
      <w:r>
        <w:rPr>
          <w:color w:val="231F20"/>
          <w:spacing w:val="2"/>
        </w:rPr>
        <w:t>dotar </w:t>
      </w:r>
      <w:r>
        <w:rPr>
          <w:color w:val="231F20"/>
        </w:rPr>
        <w:t>de </w:t>
      </w:r>
      <w:r>
        <w:rPr>
          <w:color w:val="231F20"/>
          <w:spacing w:val="3"/>
        </w:rPr>
        <w:t>competencias </w:t>
      </w:r>
      <w:r>
        <w:rPr>
          <w:color w:val="231F20"/>
          <w:spacing w:val="2"/>
        </w:rPr>
        <w:t>para desarrollar actitudes valorales positivas </w:t>
      </w:r>
      <w:r>
        <w:rPr>
          <w:color w:val="231F20"/>
        </w:rPr>
        <w:t>en el </w:t>
      </w:r>
      <w:r>
        <w:rPr>
          <w:color w:val="231F20"/>
          <w:spacing w:val="2"/>
        </w:rPr>
        <w:t>bagaje formativo </w:t>
      </w:r>
      <w:r>
        <w:rPr>
          <w:color w:val="231F20"/>
        </w:rPr>
        <w:t>de </w:t>
      </w:r>
      <w:r>
        <w:rPr>
          <w:color w:val="231F20"/>
          <w:spacing w:val="2"/>
        </w:rPr>
        <w:t>los </w:t>
      </w:r>
      <w:r>
        <w:rPr>
          <w:color w:val="231F20"/>
          <w:spacing w:val="3"/>
        </w:rPr>
        <w:t>docentes, </w:t>
      </w:r>
      <w:r>
        <w:rPr>
          <w:color w:val="231F20"/>
        </w:rPr>
        <w:t>sea </w:t>
      </w:r>
      <w:r>
        <w:rPr>
          <w:color w:val="231F20"/>
          <w:spacing w:val="3"/>
        </w:rPr>
        <w:t>durante </w:t>
      </w:r>
      <w:r>
        <w:rPr>
          <w:color w:val="231F20"/>
        </w:rPr>
        <w:t>el </w:t>
      </w:r>
      <w:r>
        <w:rPr>
          <w:color w:val="231F20"/>
          <w:spacing w:val="2"/>
        </w:rPr>
        <w:t>periodo </w:t>
      </w:r>
      <w:r>
        <w:rPr>
          <w:color w:val="231F20"/>
        </w:rPr>
        <w:t>de </w:t>
      </w:r>
      <w:r>
        <w:rPr>
          <w:color w:val="231F20"/>
          <w:spacing w:val="3"/>
        </w:rPr>
        <w:t>formación </w:t>
      </w:r>
      <w:r>
        <w:rPr>
          <w:color w:val="231F20"/>
          <w:spacing w:val="2"/>
        </w:rPr>
        <w:t>inicial, </w:t>
      </w:r>
      <w:r>
        <w:rPr>
          <w:color w:val="231F20"/>
        </w:rPr>
        <w:t>así </w:t>
      </w:r>
      <w:r>
        <w:rPr>
          <w:color w:val="231F20"/>
          <w:spacing w:val="3"/>
        </w:rPr>
        <w:t>como </w:t>
      </w:r>
      <w:r>
        <w:rPr>
          <w:color w:val="231F20"/>
        </w:rPr>
        <w:t>en la </w:t>
      </w:r>
      <w:r>
        <w:rPr>
          <w:color w:val="231F20"/>
          <w:spacing w:val="3"/>
        </w:rPr>
        <w:t>preparación permanente </w:t>
      </w:r>
      <w:r>
        <w:rPr>
          <w:color w:val="231F20"/>
        </w:rPr>
        <w:t>de </w:t>
      </w:r>
      <w:r>
        <w:rPr>
          <w:color w:val="231F20"/>
          <w:spacing w:val="2"/>
        </w:rPr>
        <w:t>los </w:t>
      </w:r>
      <w:r>
        <w:rPr>
          <w:color w:val="231F20"/>
          <w:spacing w:val="3"/>
        </w:rPr>
        <w:t>profesores </w:t>
      </w:r>
      <w:r>
        <w:rPr>
          <w:color w:val="231F20"/>
        </w:rPr>
        <w:t>en</w:t>
      </w:r>
      <w:r>
        <w:rPr>
          <w:color w:val="231F20"/>
          <w:spacing w:val="50"/>
        </w:rPr>
        <w:t> </w:t>
      </w:r>
      <w:r>
        <w:rPr>
          <w:color w:val="231F20"/>
          <w:spacing w:val="2"/>
        </w:rPr>
        <w:t>activo.</w:t>
      </w:r>
    </w:p>
    <w:p>
      <w:pPr>
        <w:pStyle w:val="BodyText"/>
        <w:spacing w:line="247" w:lineRule="auto" w:before="6"/>
        <w:ind w:left="102" w:right="118" w:firstLine="284"/>
        <w:jc w:val="both"/>
      </w:pPr>
      <w:r>
        <w:rPr>
          <w:color w:val="231F20"/>
          <w:spacing w:val="3"/>
        </w:rPr>
        <w:t>Agradecimientos: </w:t>
      </w:r>
      <w:r>
        <w:rPr>
          <w:color w:val="231F20"/>
          <w:spacing w:val="2"/>
        </w:rPr>
        <w:t>Este estudio </w:t>
      </w:r>
      <w:r>
        <w:rPr>
          <w:color w:val="231F20"/>
        </w:rPr>
        <w:t>fue  </w:t>
      </w:r>
      <w:r>
        <w:rPr>
          <w:color w:val="231F20"/>
          <w:spacing w:val="2"/>
        </w:rPr>
        <w:t>apoyado parcialmente por   </w:t>
      </w:r>
      <w:r>
        <w:rPr>
          <w:color w:val="231F20"/>
        </w:rPr>
        <w:t>el </w:t>
      </w:r>
      <w:r>
        <w:rPr>
          <w:color w:val="231F20"/>
          <w:spacing w:val="3"/>
        </w:rPr>
        <w:t>CONACYT </w:t>
      </w:r>
      <w:r>
        <w:rPr>
          <w:color w:val="231F20"/>
          <w:spacing w:val="2"/>
        </w:rPr>
        <w:t>mediante una beca </w:t>
      </w:r>
      <w:r>
        <w:rPr>
          <w:color w:val="231F20"/>
        </w:rPr>
        <w:t>de </w:t>
      </w:r>
      <w:r>
        <w:rPr>
          <w:color w:val="231F20"/>
          <w:spacing w:val="3"/>
        </w:rPr>
        <w:t>postdoctorado otorgada </w:t>
      </w:r>
      <w:r>
        <w:rPr>
          <w:color w:val="231F20"/>
        </w:rPr>
        <w:t>a la </w:t>
      </w:r>
      <w:r>
        <w:rPr>
          <w:color w:val="231F20"/>
          <w:spacing w:val="2"/>
        </w:rPr>
        <w:t>primera autora para recabar los datos </w:t>
      </w:r>
      <w:r>
        <w:rPr>
          <w:color w:val="231F20"/>
        </w:rPr>
        <w:t>en </w:t>
      </w:r>
      <w:r>
        <w:rPr>
          <w:color w:val="231F20"/>
          <w:spacing w:val="5"/>
        </w:rPr>
        <w:t> </w:t>
      </w:r>
      <w:r>
        <w:rPr>
          <w:color w:val="231F20"/>
          <w:spacing w:val="3"/>
        </w:rPr>
        <w:t>España.</w:t>
      </w:r>
    </w:p>
    <w:p>
      <w:pPr>
        <w:spacing w:after="0" w:line="247" w:lineRule="auto"/>
        <w:jc w:val="both"/>
        <w:sectPr>
          <w:headerReference w:type="default" r:id="rId940"/>
          <w:footerReference w:type="default" r:id="rId941"/>
          <w:pgSz w:w="7830" w:h="11910"/>
          <w:pgMar w:header="0" w:footer="424" w:top="500" w:bottom="620" w:left="920" w:right="900"/>
          <w:pgNumType w:start="428"/>
        </w:sectPr>
      </w:pPr>
    </w:p>
    <w:p>
      <w:pPr>
        <w:spacing w:before="46"/>
        <w:ind w:left="564" w:right="561"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spacing w:before="0"/>
        <w:ind w:left="102" w:right="774" w:firstLine="0"/>
        <w:jc w:val="left"/>
        <w:rPr>
          <w:sz w:val="17"/>
        </w:rPr>
      </w:pPr>
      <w:r>
        <w:rPr>
          <w:color w:val="231F20"/>
          <w:w w:val="105"/>
          <w:sz w:val="21"/>
        </w:rPr>
        <w:t>R</w:t>
      </w:r>
      <w:r>
        <w:rPr>
          <w:color w:val="231F20"/>
          <w:w w:val="105"/>
          <w:sz w:val="17"/>
        </w:rPr>
        <w:t>EFERENCIAS</w:t>
      </w:r>
    </w:p>
    <w:p>
      <w:pPr>
        <w:spacing w:line="247" w:lineRule="auto" w:before="128"/>
        <w:ind w:left="822" w:right="0" w:hanging="720"/>
        <w:jc w:val="left"/>
        <w:rPr>
          <w:sz w:val="21"/>
        </w:rPr>
      </w:pPr>
      <w:r>
        <w:rPr>
          <w:color w:val="231F20"/>
          <w:sz w:val="21"/>
        </w:rPr>
        <w:t>Aguilera-García, Antonieta, Muñoz-Abundez, Gustavo y Orozco, </w:t>
      </w:r>
      <w:r>
        <w:rPr>
          <w:color w:val="231F20"/>
          <w:w w:val="90"/>
          <w:sz w:val="21"/>
        </w:rPr>
        <w:t>Adriana. (2007). </w:t>
      </w:r>
      <w:r>
        <w:rPr>
          <w:i/>
          <w:color w:val="231F20"/>
          <w:w w:val="90"/>
          <w:sz w:val="21"/>
        </w:rPr>
        <w:t>Disciplina, violencia y consumo de sustancias </w:t>
      </w:r>
      <w:r>
        <w:rPr>
          <w:i/>
          <w:color w:val="231F20"/>
          <w:sz w:val="21"/>
        </w:rPr>
        <w:t>nocivas</w:t>
      </w:r>
      <w:r>
        <w:rPr>
          <w:i/>
          <w:color w:val="231F20"/>
          <w:spacing w:val="-34"/>
          <w:sz w:val="21"/>
        </w:rPr>
        <w:t> </w:t>
      </w:r>
      <w:r>
        <w:rPr>
          <w:i/>
          <w:color w:val="231F20"/>
          <w:sz w:val="21"/>
        </w:rPr>
        <w:t>a</w:t>
      </w:r>
      <w:r>
        <w:rPr>
          <w:i/>
          <w:color w:val="231F20"/>
          <w:spacing w:val="-33"/>
          <w:sz w:val="21"/>
        </w:rPr>
        <w:t> </w:t>
      </w:r>
      <w:r>
        <w:rPr>
          <w:i/>
          <w:color w:val="231F20"/>
          <w:sz w:val="21"/>
        </w:rPr>
        <w:t>la</w:t>
      </w:r>
      <w:r>
        <w:rPr>
          <w:i/>
          <w:color w:val="231F20"/>
          <w:spacing w:val="-33"/>
          <w:sz w:val="21"/>
        </w:rPr>
        <w:t> </w:t>
      </w:r>
      <w:r>
        <w:rPr>
          <w:i/>
          <w:color w:val="231F20"/>
          <w:sz w:val="21"/>
        </w:rPr>
        <w:t>salud</w:t>
      </w:r>
      <w:r>
        <w:rPr>
          <w:i/>
          <w:color w:val="231F20"/>
          <w:spacing w:val="-33"/>
          <w:sz w:val="21"/>
        </w:rPr>
        <w:t> </w:t>
      </w:r>
      <w:r>
        <w:rPr>
          <w:i/>
          <w:color w:val="231F20"/>
          <w:sz w:val="21"/>
        </w:rPr>
        <w:t>en</w:t>
      </w:r>
      <w:r>
        <w:rPr>
          <w:i/>
          <w:color w:val="231F20"/>
          <w:spacing w:val="-33"/>
          <w:sz w:val="21"/>
        </w:rPr>
        <w:t> </w:t>
      </w:r>
      <w:r>
        <w:rPr>
          <w:i/>
          <w:color w:val="231F20"/>
          <w:sz w:val="21"/>
        </w:rPr>
        <w:t>primarias</w:t>
      </w:r>
      <w:r>
        <w:rPr>
          <w:i/>
          <w:color w:val="231F20"/>
          <w:spacing w:val="-34"/>
          <w:sz w:val="21"/>
        </w:rPr>
        <w:t> </w:t>
      </w:r>
      <w:r>
        <w:rPr>
          <w:i/>
          <w:color w:val="231F20"/>
          <w:sz w:val="21"/>
        </w:rPr>
        <w:t>y</w:t>
      </w:r>
      <w:r>
        <w:rPr>
          <w:i/>
          <w:color w:val="231F20"/>
          <w:spacing w:val="-34"/>
          <w:sz w:val="21"/>
        </w:rPr>
        <w:t> </w:t>
      </w:r>
      <w:r>
        <w:rPr>
          <w:i/>
          <w:color w:val="231F20"/>
          <w:sz w:val="21"/>
        </w:rPr>
        <w:t>secundarias.</w:t>
      </w:r>
      <w:r>
        <w:rPr>
          <w:i/>
          <w:color w:val="231F20"/>
          <w:spacing w:val="-34"/>
          <w:sz w:val="21"/>
        </w:rPr>
        <w:t> </w:t>
      </w:r>
      <w:r>
        <w:rPr>
          <w:color w:val="231F20"/>
          <w:sz w:val="21"/>
        </w:rPr>
        <w:t>México</w:t>
      </w:r>
      <w:r>
        <w:rPr>
          <w:color w:val="231F20"/>
          <w:spacing w:val="-33"/>
          <w:sz w:val="21"/>
        </w:rPr>
        <w:t> </w:t>
      </w:r>
      <w:r>
        <w:rPr>
          <w:color w:val="231F20"/>
          <w:sz w:val="21"/>
        </w:rPr>
        <w:t>DF: Instituto Nacional para la Evaluación de </w:t>
      </w:r>
      <w:r>
        <w:rPr>
          <w:color w:val="231F20"/>
          <w:spacing w:val="9"/>
          <w:sz w:val="21"/>
        </w:rPr>
        <w:t> </w:t>
      </w:r>
      <w:r>
        <w:rPr>
          <w:color w:val="231F20"/>
          <w:sz w:val="21"/>
        </w:rPr>
        <w:t>Educación.</w:t>
      </w:r>
    </w:p>
    <w:p>
      <w:pPr>
        <w:spacing w:line="244" w:lineRule="auto" w:before="1"/>
        <w:ind w:left="822" w:right="298" w:hanging="720"/>
        <w:jc w:val="left"/>
        <w:rPr>
          <w:sz w:val="21"/>
        </w:rPr>
      </w:pPr>
      <w:r>
        <w:rPr>
          <w:color w:val="231F20"/>
          <w:sz w:val="21"/>
        </w:rPr>
        <w:t>Ballester, Francisco y Arnaiz-Sánchez, Pilar. (2001). Diversidad y </w:t>
      </w:r>
      <w:r>
        <w:rPr>
          <w:color w:val="231F20"/>
          <w:w w:val="90"/>
          <w:sz w:val="21"/>
        </w:rPr>
        <w:t>violencia escolar. </w:t>
      </w:r>
      <w:r>
        <w:rPr>
          <w:i/>
          <w:color w:val="231F20"/>
          <w:w w:val="90"/>
          <w:sz w:val="21"/>
        </w:rPr>
        <w:t>Revista interuniversitaria de formación del </w:t>
      </w:r>
      <w:r>
        <w:rPr>
          <w:i/>
          <w:color w:val="231F20"/>
          <w:w w:val="90"/>
          <w:sz w:val="21"/>
        </w:rPr>
        <w:t>profesorado, 41. </w:t>
      </w:r>
      <w:r>
        <w:rPr>
          <w:color w:val="231F20"/>
          <w:w w:val="90"/>
          <w:sz w:val="21"/>
        </w:rPr>
        <w:t>39-58.</w:t>
      </w:r>
    </w:p>
    <w:p>
      <w:pPr>
        <w:spacing w:line="247" w:lineRule="auto" w:before="0"/>
        <w:ind w:left="821" w:right="0" w:hanging="720"/>
        <w:jc w:val="left"/>
        <w:rPr>
          <w:sz w:val="21"/>
        </w:rPr>
      </w:pPr>
      <w:r>
        <w:rPr>
          <w:color w:val="231F20"/>
          <w:sz w:val="21"/>
        </w:rPr>
        <w:t>Borko, Hilda, Lalik, Rosary y Tomchin, Ellen. (1987). Students Teachers' Understandings of Successful and Unsuccessful </w:t>
      </w:r>
      <w:r>
        <w:rPr>
          <w:color w:val="231F20"/>
          <w:w w:val="90"/>
          <w:sz w:val="21"/>
        </w:rPr>
        <w:t>Teaching. </w:t>
      </w:r>
      <w:r>
        <w:rPr>
          <w:i/>
          <w:color w:val="231F20"/>
          <w:w w:val="90"/>
          <w:sz w:val="21"/>
        </w:rPr>
        <w:t>Teaching and Teacher Education. 3, </w:t>
      </w:r>
      <w:r>
        <w:rPr>
          <w:color w:val="231F20"/>
          <w:w w:val="90"/>
          <w:sz w:val="21"/>
        </w:rPr>
        <w:t>77-90.</w:t>
      </w:r>
    </w:p>
    <w:p>
      <w:pPr>
        <w:spacing w:line="238" w:lineRule="exact" w:before="0"/>
        <w:ind w:left="102" w:right="0" w:firstLine="0"/>
        <w:jc w:val="left"/>
        <w:rPr>
          <w:i/>
          <w:sz w:val="21"/>
        </w:rPr>
      </w:pPr>
      <w:r>
        <w:rPr>
          <w:color w:val="231F20"/>
          <w:w w:val="90"/>
          <w:sz w:val="21"/>
        </w:rPr>
        <w:t>Bronfenbrenner, Urie. (1987). </w:t>
      </w:r>
      <w:r>
        <w:rPr>
          <w:i/>
          <w:color w:val="231F20"/>
          <w:w w:val="90"/>
          <w:sz w:val="21"/>
        </w:rPr>
        <w:t>La ecología del desarrollo  humano.</w:t>
      </w:r>
    </w:p>
    <w:p>
      <w:pPr>
        <w:spacing w:before="8"/>
        <w:ind w:left="821" w:right="774" w:firstLine="0"/>
        <w:jc w:val="left"/>
        <w:rPr>
          <w:sz w:val="21"/>
        </w:rPr>
      </w:pPr>
      <w:r>
        <w:rPr>
          <w:i/>
          <w:color w:val="231F20"/>
          <w:w w:val="90"/>
          <w:sz w:val="21"/>
        </w:rPr>
        <w:t>Cognición y desarrollo humano. </w:t>
      </w:r>
      <w:r>
        <w:rPr>
          <w:color w:val="231F20"/>
          <w:w w:val="90"/>
          <w:sz w:val="21"/>
        </w:rPr>
        <w:t>Barcelona: Paidós.</w:t>
      </w:r>
    </w:p>
    <w:p>
      <w:pPr>
        <w:spacing w:line="247" w:lineRule="auto" w:before="3"/>
        <w:ind w:left="821" w:right="483" w:hanging="720"/>
        <w:jc w:val="left"/>
        <w:rPr>
          <w:sz w:val="21"/>
        </w:rPr>
      </w:pPr>
      <w:r>
        <w:rPr>
          <w:color w:val="231F20"/>
          <w:w w:val="90"/>
          <w:sz w:val="21"/>
        </w:rPr>
        <w:t>Calvo, Ángel Regino. (2003). </w:t>
      </w:r>
      <w:r>
        <w:rPr>
          <w:i/>
          <w:color w:val="231F20"/>
          <w:w w:val="90"/>
          <w:sz w:val="21"/>
        </w:rPr>
        <w:t>Problemas de convivencia en los centros </w:t>
      </w:r>
      <w:r>
        <w:rPr>
          <w:i/>
          <w:color w:val="231F20"/>
          <w:w w:val="90"/>
          <w:sz w:val="21"/>
        </w:rPr>
        <w:t>educativos. </w:t>
      </w:r>
      <w:r>
        <w:rPr>
          <w:color w:val="231F20"/>
          <w:w w:val="90"/>
          <w:sz w:val="21"/>
        </w:rPr>
        <w:t>Madrid: EOS.</w:t>
      </w:r>
    </w:p>
    <w:p>
      <w:pPr>
        <w:spacing w:line="247" w:lineRule="auto" w:before="0"/>
        <w:ind w:left="821" w:right="94" w:hanging="720"/>
        <w:jc w:val="left"/>
        <w:rPr>
          <w:sz w:val="21"/>
        </w:rPr>
      </w:pPr>
      <w:r>
        <w:rPr>
          <w:color w:val="231F20"/>
          <w:sz w:val="21"/>
        </w:rPr>
        <w:t>Castillo-Rocha, Carmen y Pacheco-Espejel, María Magdalena. (2008). Perfil de maltrato (Bullying) entre estudiantes de secundaria en la Cd. de Mérida. </w:t>
      </w:r>
      <w:r>
        <w:rPr>
          <w:i/>
          <w:color w:val="231F20"/>
          <w:sz w:val="21"/>
        </w:rPr>
        <w:t>Revista mexicana de </w:t>
      </w:r>
      <w:r>
        <w:rPr>
          <w:i/>
          <w:color w:val="231F20"/>
          <w:w w:val="90"/>
          <w:sz w:val="21"/>
        </w:rPr>
        <w:t>investigación educativa. 13</w:t>
      </w:r>
      <w:r>
        <w:rPr>
          <w:color w:val="231F20"/>
          <w:w w:val="90"/>
          <w:sz w:val="21"/>
        </w:rPr>
        <w:t>(38), 825-842.</w:t>
      </w:r>
    </w:p>
    <w:p>
      <w:pPr>
        <w:spacing w:line="244" w:lineRule="auto" w:before="1"/>
        <w:ind w:left="821" w:right="418" w:hanging="720"/>
        <w:jc w:val="both"/>
        <w:rPr>
          <w:sz w:val="21"/>
        </w:rPr>
      </w:pPr>
      <w:r>
        <w:rPr>
          <w:color w:val="231F20"/>
          <w:sz w:val="21"/>
        </w:rPr>
        <w:t>Chagas,</w:t>
      </w:r>
      <w:r>
        <w:rPr>
          <w:color w:val="231F20"/>
          <w:spacing w:val="-6"/>
          <w:sz w:val="21"/>
        </w:rPr>
        <w:t> </w:t>
      </w:r>
      <w:r>
        <w:rPr>
          <w:color w:val="231F20"/>
          <w:sz w:val="21"/>
        </w:rPr>
        <w:t>Raquel.</w:t>
      </w:r>
      <w:r>
        <w:rPr>
          <w:color w:val="231F20"/>
          <w:spacing w:val="-6"/>
          <w:sz w:val="21"/>
        </w:rPr>
        <w:t> </w:t>
      </w:r>
      <w:r>
        <w:rPr>
          <w:color w:val="231F20"/>
          <w:sz w:val="21"/>
        </w:rPr>
        <w:t>(2005).</w:t>
      </w:r>
      <w:r>
        <w:rPr>
          <w:color w:val="231F20"/>
          <w:spacing w:val="-6"/>
          <w:sz w:val="21"/>
        </w:rPr>
        <w:t> </w:t>
      </w:r>
      <w:r>
        <w:rPr>
          <w:color w:val="231F20"/>
          <w:sz w:val="21"/>
        </w:rPr>
        <w:t>Los</w:t>
      </w:r>
      <w:r>
        <w:rPr>
          <w:color w:val="231F20"/>
          <w:spacing w:val="-5"/>
          <w:sz w:val="21"/>
        </w:rPr>
        <w:t> </w:t>
      </w:r>
      <w:r>
        <w:rPr>
          <w:color w:val="231F20"/>
          <w:sz w:val="21"/>
        </w:rPr>
        <w:t>maestros</w:t>
      </w:r>
      <w:r>
        <w:rPr>
          <w:color w:val="231F20"/>
          <w:spacing w:val="-5"/>
          <w:sz w:val="21"/>
        </w:rPr>
        <w:t> </w:t>
      </w:r>
      <w:r>
        <w:rPr>
          <w:color w:val="231F20"/>
          <w:sz w:val="21"/>
        </w:rPr>
        <w:t>frente</w:t>
      </w:r>
      <w:r>
        <w:rPr>
          <w:color w:val="231F20"/>
          <w:spacing w:val="-5"/>
          <w:sz w:val="21"/>
        </w:rPr>
        <w:t> </w:t>
      </w:r>
      <w:r>
        <w:rPr>
          <w:color w:val="231F20"/>
          <w:sz w:val="21"/>
        </w:rPr>
        <w:t>a</w:t>
      </w:r>
      <w:r>
        <w:rPr>
          <w:color w:val="231F20"/>
          <w:spacing w:val="-5"/>
          <w:sz w:val="21"/>
        </w:rPr>
        <w:t> </w:t>
      </w:r>
      <w:r>
        <w:rPr>
          <w:color w:val="231F20"/>
          <w:sz w:val="21"/>
        </w:rPr>
        <w:t>la</w:t>
      </w:r>
      <w:r>
        <w:rPr>
          <w:color w:val="231F20"/>
          <w:spacing w:val="-5"/>
          <w:sz w:val="21"/>
        </w:rPr>
        <w:t> </w:t>
      </w:r>
      <w:r>
        <w:rPr>
          <w:color w:val="231F20"/>
          <w:sz w:val="21"/>
        </w:rPr>
        <w:t>violencia</w:t>
      </w:r>
      <w:r>
        <w:rPr>
          <w:color w:val="231F20"/>
          <w:spacing w:val="-5"/>
          <w:sz w:val="21"/>
        </w:rPr>
        <w:t> </w:t>
      </w:r>
      <w:r>
        <w:rPr>
          <w:color w:val="231F20"/>
          <w:sz w:val="21"/>
        </w:rPr>
        <w:t>de</w:t>
      </w:r>
      <w:r>
        <w:rPr>
          <w:color w:val="231F20"/>
          <w:spacing w:val="-5"/>
          <w:sz w:val="21"/>
        </w:rPr>
        <w:t> </w:t>
      </w:r>
      <w:r>
        <w:rPr>
          <w:color w:val="231F20"/>
          <w:sz w:val="21"/>
        </w:rPr>
        <w:t>sus </w:t>
      </w:r>
      <w:r>
        <w:rPr>
          <w:color w:val="231F20"/>
          <w:w w:val="90"/>
          <w:sz w:val="21"/>
        </w:rPr>
        <w:t>alumnos.</w:t>
      </w:r>
      <w:r>
        <w:rPr>
          <w:color w:val="231F20"/>
          <w:spacing w:val="-13"/>
          <w:w w:val="90"/>
          <w:sz w:val="21"/>
        </w:rPr>
        <w:t> </w:t>
      </w:r>
      <w:r>
        <w:rPr>
          <w:i/>
          <w:color w:val="231F20"/>
          <w:w w:val="90"/>
          <w:sz w:val="21"/>
        </w:rPr>
        <w:t>Revista</w:t>
      </w:r>
      <w:r>
        <w:rPr>
          <w:i/>
          <w:color w:val="231F20"/>
          <w:spacing w:val="-13"/>
          <w:w w:val="90"/>
          <w:sz w:val="21"/>
        </w:rPr>
        <w:t> </w:t>
      </w:r>
      <w:r>
        <w:rPr>
          <w:i/>
          <w:color w:val="231F20"/>
          <w:w w:val="90"/>
          <w:sz w:val="21"/>
        </w:rPr>
        <w:t>mexicana</w:t>
      </w:r>
      <w:r>
        <w:rPr>
          <w:i/>
          <w:color w:val="231F20"/>
          <w:spacing w:val="-13"/>
          <w:w w:val="90"/>
          <w:sz w:val="21"/>
        </w:rPr>
        <w:t> </w:t>
      </w:r>
      <w:r>
        <w:rPr>
          <w:i/>
          <w:color w:val="231F20"/>
          <w:w w:val="90"/>
          <w:sz w:val="21"/>
        </w:rPr>
        <w:t>de</w:t>
      </w:r>
      <w:r>
        <w:rPr>
          <w:i/>
          <w:color w:val="231F20"/>
          <w:spacing w:val="-13"/>
          <w:w w:val="90"/>
          <w:sz w:val="21"/>
        </w:rPr>
        <w:t> </w:t>
      </w:r>
      <w:r>
        <w:rPr>
          <w:i/>
          <w:color w:val="231F20"/>
          <w:w w:val="90"/>
          <w:sz w:val="21"/>
        </w:rPr>
        <w:t>investigación</w:t>
      </w:r>
      <w:r>
        <w:rPr>
          <w:i/>
          <w:color w:val="231F20"/>
          <w:spacing w:val="-13"/>
          <w:w w:val="90"/>
          <w:sz w:val="21"/>
        </w:rPr>
        <w:t> </w:t>
      </w:r>
      <w:r>
        <w:rPr>
          <w:i/>
          <w:color w:val="231F20"/>
          <w:w w:val="90"/>
          <w:sz w:val="21"/>
        </w:rPr>
        <w:t>educativa,</w:t>
      </w:r>
      <w:r>
        <w:rPr>
          <w:i/>
          <w:color w:val="231F20"/>
          <w:spacing w:val="-13"/>
          <w:w w:val="90"/>
          <w:sz w:val="21"/>
        </w:rPr>
        <w:t> </w:t>
      </w:r>
      <w:r>
        <w:rPr>
          <w:i/>
          <w:color w:val="231F20"/>
          <w:w w:val="90"/>
          <w:sz w:val="21"/>
        </w:rPr>
        <w:t>10</w:t>
      </w:r>
      <w:r>
        <w:rPr>
          <w:color w:val="231F20"/>
          <w:w w:val="90"/>
          <w:sz w:val="21"/>
        </w:rPr>
        <w:t>(27), </w:t>
      </w:r>
      <w:r>
        <w:rPr>
          <w:color w:val="231F20"/>
          <w:sz w:val="21"/>
        </w:rPr>
        <w:t>1071-1082.</w:t>
      </w:r>
    </w:p>
    <w:p>
      <w:pPr>
        <w:pStyle w:val="BodyText"/>
        <w:spacing w:line="244" w:lineRule="auto"/>
        <w:ind w:left="821" w:right="81" w:hanging="720"/>
      </w:pPr>
      <w:r>
        <w:rPr>
          <w:color w:val="231F20"/>
        </w:rPr>
        <w:t>Debarbieux, Eric. (1997). La violencia en la escuela francesa: Análisis de la situación, políticas públicas e investigaciones. </w:t>
      </w:r>
      <w:r>
        <w:rPr>
          <w:i/>
          <w:color w:val="231F20"/>
          <w:w w:val="90"/>
        </w:rPr>
        <w:t>Revista de educación. 313, </w:t>
      </w:r>
      <w:r>
        <w:rPr>
          <w:color w:val="231F20"/>
          <w:w w:val="90"/>
        </w:rPr>
        <w:t>79-93.</w:t>
      </w:r>
    </w:p>
    <w:p>
      <w:pPr>
        <w:spacing w:line="244" w:lineRule="auto" w:before="3"/>
        <w:ind w:left="821" w:right="214" w:hanging="720"/>
        <w:jc w:val="left"/>
        <w:rPr>
          <w:sz w:val="21"/>
        </w:rPr>
      </w:pPr>
      <w:r>
        <w:rPr>
          <w:color w:val="231F20"/>
          <w:sz w:val="21"/>
        </w:rPr>
        <w:t>Díaz-Aguado, María José. (1983). Las expectativas en la </w:t>
      </w:r>
      <w:r>
        <w:rPr>
          <w:color w:val="231F20"/>
          <w:w w:val="90"/>
          <w:sz w:val="21"/>
        </w:rPr>
        <w:t>intervención profesor-alumno. </w:t>
      </w:r>
      <w:r>
        <w:rPr>
          <w:i/>
          <w:color w:val="231F20"/>
          <w:w w:val="90"/>
          <w:sz w:val="21"/>
        </w:rPr>
        <w:t>Revista española pedagógica</w:t>
      </w:r>
      <w:r>
        <w:rPr>
          <w:color w:val="231F20"/>
          <w:w w:val="90"/>
          <w:sz w:val="21"/>
        </w:rPr>
        <w:t>. </w:t>
      </w:r>
      <w:r>
        <w:rPr>
          <w:i/>
          <w:color w:val="231F20"/>
          <w:sz w:val="21"/>
        </w:rPr>
        <w:t>162</w:t>
      </w:r>
      <w:r>
        <w:rPr>
          <w:color w:val="231F20"/>
          <w:sz w:val="21"/>
        </w:rPr>
        <w:t>, 563-588.</w:t>
      </w:r>
    </w:p>
    <w:p>
      <w:pPr>
        <w:spacing w:line="244" w:lineRule="auto" w:before="3"/>
        <w:ind w:left="821" w:right="0" w:hanging="720"/>
        <w:jc w:val="left"/>
        <w:rPr>
          <w:sz w:val="21"/>
        </w:rPr>
      </w:pPr>
      <w:r>
        <w:rPr>
          <w:color w:val="231F20"/>
          <w:sz w:val="21"/>
        </w:rPr>
        <w:t>Díaz-Aguado, María José. (2005). Por qué se produce la violencia </w:t>
      </w:r>
      <w:r>
        <w:rPr>
          <w:color w:val="231F20"/>
          <w:w w:val="90"/>
          <w:sz w:val="21"/>
        </w:rPr>
        <w:t>escolar y cómo prevenirla. </w:t>
      </w:r>
      <w:r>
        <w:rPr>
          <w:i/>
          <w:color w:val="231F20"/>
          <w:w w:val="90"/>
          <w:sz w:val="21"/>
        </w:rPr>
        <w:t>Revista Iberoamericana de Educación. </w:t>
      </w:r>
      <w:r>
        <w:rPr>
          <w:color w:val="231F20"/>
          <w:w w:val="95"/>
          <w:sz w:val="21"/>
        </w:rPr>
        <w:t>(37)</w:t>
      </w:r>
      <w:r>
        <w:rPr>
          <w:i/>
          <w:color w:val="231F20"/>
          <w:w w:val="95"/>
          <w:sz w:val="21"/>
        </w:rPr>
        <w:t>, </w:t>
      </w:r>
      <w:r>
        <w:rPr>
          <w:color w:val="231F20"/>
          <w:w w:val="95"/>
          <w:sz w:val="21"/>
        </w:rPr>
        <w:t>17-47.</w:t>
      </w:r>
    </w:p>
    <w:p>
      <w:pPr>
        <w:pStyle w:val="BodyText"/>
        <w:spacing w:line="240" w:lineRule="exact"/>
        <w:ind w:left="101"/>
      </w:pPr>
      <w:r>
        <w:rPr>
          <w:color w:val="231F20"/>
        </w:rPr>
        <w:t>Dodge, Kenneth, Coie, John D., Pettit, Gregory S. y Price,  Joseph</w:t>
      </w:r>
    </w:p>
    <w:p>
      <w:pPr>
        <w:pStyle w:val="BodyText"/>
        <w:spacing w:line="244" w:lineRule="auto" w:before="8"/>
        <w:ind w:left="821" w:right="94"/>
      </w:pPr>
      <w:r>
        <w:rPr>
          <w:color w:val="231F20"/>
        </w:rPr>
        <w:t>M. (1990). Peer status and aggression in boys groups: </w:t>
      </w:r>
      <w:r>
        <w:rPr>
          <w:color w:val="231F20"/>
          <w:w w:val="95"/>
        </w:rPr>
        <w:t>Development and contextual analysis. </w:t>
      </w:r>
      <w:r>
        <w:rPr>
          <w:i/>
          <w:color w:val="231F20"/>
          <w:w w:val="95"/>
        </w:rPr>
        <w:t>Child Development. </w:t>
      </w:r>
      <w:r>
        <w:rPr>
          <w:i/>
          <w:color w:val="231F20"/>
          <w:w w:val="95"/>
        </w:rPr>
        <w:t>61</w:t>
      </w:r>
      <w:r>
        <w:rPr>
          <w:color w:val="231F20"/>
          <w:w w:val="95"/>
        </w:rPr>
        <w:t>(5)</w:t>
      </w:r>
      <w:r>
        <w:rPr>
          <w:i/>
          <w:color w:val="231F20"/>
          <w:w w:val="95"/>
        </w:rPr>
        <w:t>, </w:t>
      </w:r>
      <w:r>
        <w:rPr>
          <w:color w:val="231F20"/>
          <w:w w:val="95"/>
        </w:rPr>
        <w:t>1289-1309.</w:t>
      </w:r>
    </w:p>
    <w:p>
      <w:pPr>
        <w:spacing w:line="244" w:lineRule="auto" w:before="3"/>
        <w:ind w:left="821" w:right="0" w:hanging="720"/>
        <w:jc w:val="left"/>
        <w:rPr>
          <w:i/>
          <w:sz w:val="21"/>
        </w:rPr>
      </w:pPr>
      <w:r>
        <w:rPr>
          <w:color w:val="231F20"/>
          <w:sz w:val="21"/>
        </w:rPr>
        <w:t>Escámez-Sánchez, Juan. (2001). Los conflictos en la Educación Secundaria. En Salvador Peiró I Gregori (coord.). </w:t>
      </w:r>
      <w:r>
        <w:rPr>
          <w:i/>
          <w:color w:val="231F20"/>
          <w:sz w:val="21"/>
        </w:rPr>
        <w:t>Primeras </w:t>
      </w:r>
      <w:r>
        <w:rPr>
          <w:i/>
          <w:color w:val="231F20"/>
          <w:w w:val="80"/>
          <w:sz w:val="21"/>
        </w:rPr>
        <w:t>jornadas sobre la violencia en educación: perspectivas  interdisciplinares</w:t>
      </w:r>
    </w:p>
    <w:p>
      <w:pPr>
        <w:spacing w:after="0" w:line="244" w:lineRule="auto"/>
        <w:jc w:val="left"/>
        <w:rPr>
          <w:sz w:val="21"/>
        </w:rPr>
        <w:sectPr>
          <w:headerReference w:type="default" r:id="rId942"/>
          <w:footerReference w:type="default" r:id="rId943"/>
          <w:pgSz w:w="7830" w:h="11910"/>
          <w:pgMar w:header="0" w:footer="424" w:top="500" w:bottom="620" w:left="920" w:right="920"/>
          <w:pgNumType w:start="429"/>
        </w:sectPr>
      </w:pPr>
    </w:p>
    <w:p>
      <w:pPr>
        <w:spacing w:before="46"/>
        <w:ind w:left="564" w:right="561"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spacing w:line="247" w:lineRule="auto" w:before="0"/>
        <w:ind w:left="822" w:right="774" w:firstLine="0"/>
        <w:jc w:val="left"/>
        <w:rPr>
          <w:sz w:val="21"/>
        </w:rPr>
      </w:pPr>
      <w:r>
        <w:rPr>
          <w:i/>
          <w:color w:val="231F20"/>
          <w:w w:val="85"/>
          <w:sz w:val="21"/>
        </w:rPr>
        <w:t>de explicación e intervención pedagógica. </w:t>
      </w:r>
      <w:r>
        <w:rPr>
          <w:color w:val="231F20"/>
          <w:w w:val="85"/>
          <w:sz w:val="21"/>
        </w:rPr>
        <w:t>Alicante: Club </w:t>
      </w:r>
      <w:r>
        <w:rPr>
          <w:color w:val="231F20"/>
          <w:w w:val="95"/>
          <w:sz w:val="21"/>
        </w:rPr>
        <w:t>Universitario,  51-70.</w:t>
      </w:r>
    </w:p>
    <w:p>
      <w:pPr>
        <w:spacing w:line="247" w:lineRule="auto" w:before="0"/>
        <w:ind w:left="822" w:right="106" w:hanging="720"/>
        <w:jc w:val="left"/>
        <w:rPr>
          <w:sz w:val="21"/>
        </w:rPr>
      </w:pPr>
      <w:r>
        <w:rPr>
          <w:color w:val="231F20"/>
          <w:w w:val="95"/>
          <w:sz w:val="21"/>
        </w:rPr>
        <w:t>Esteve, José M. (2005). Bienestar y salud docente. </w:t>
      </w:r>
      <w:r>
        <w:rPr>
          <w:i/>
          <w:color w:val="231F20"/>
          <w:w w:val="95"/>
          <w:sz w:val="21"/>
        </w:rPr>
        <w:t>Proyecto regional de </w:t>
      </w:r>
      <w:r>
        <w:rPr>
          <w:i/>
          <w:color w:val="231F20"/>
          <w:w w:val="67"/>
          <w:sz w:val="21"/>
        </w:rPr>
        <w:t>e</w:t>
      </w:r>
      <w:r>
        <w:rPr>
          <w:i/>
          <w:color w:val="231F20"/>
          <w:w w:val="78"/>
          <w:sz w:val="21"/>
        </w:rPr>
        <w:t>duc</w:t>
      </w:r>
      <w:r>
        <w:rPr>
          <w:i/>
          <w:color w:val="231F20"/>
          <w:w w:val="73"/>
          <w:sz w:val="21"/>
        </w:rPr>
        <w:t>ac</w:t>
      </w:r>
      <w:r>
        <w:rPr>
          <w:i/>
          <w:color w:val="231F20"/>
          <w:w w:val="84"/>
          <w:sz w:val="21"/>
        </w:rPr>
        <w:t>i</w:t>
      </w:r>
      <w:r>
        <w:rPr>
          <w:i/>
          <w:color w:val="231F20"/>
          <w:w w:val="72"/>
          <w:sz w:val="21"/>
        </w:rPr>
        <w:t>ó</w:t>
      </w:r>
      <w:r>
        <w:rPr>
          <w:i/>
          <w:color w:val="231F20"/>
          <w:w w:val="87"/>
          <w:sz w:val="21"/>
        </w:rPr>
        <w:t>n</w:t>
      </w:r>
      <w:r>
        <w:rPr>
          <w:i/>
          <w:color w:val="231F20"/>
          <w:sz w:val="21"/>
        </w:rPr>
        <w:t> </w:t>
      </w:r>
      <w:r>
        <w:rPr>
          <w:i/>
          <w:color w:val="231F20"/>
          <w:w w:val="82"/>
          <w:sz w:val="21"/>
        </w:rPr>
        <w:t>par</w:t>
      </w:r>
      <w:r>
        <w:rPr>
          <w:i/>
          <w:color w:val="231F20"/>
          <w:w w:val="83"/>
          <w:sz w:val="21"/>
        </w:rPr>
        <w:t>a</w:t>
      </w:r>
      <w:r>
        <w:rPr>
          <w:i/>
          <w:color w:val="231F20"/>
          <w:sz w:val="21"/>
        </w:rPr>
        <w:t> </w:t>
      </w:r>
      <w:r>
        <w:rPr>
          <w:i/>
          <w:color w:val="231F20"/>
          <w:w w:val="128"/>
          <w:sz w:val="21"/>
        </w:rPr>
        <w:t>A</w:t>
      </w:r>
      <w:r>
        <w:rPr>
          <w:i/>
          <w:color w:val="231F20"/>
          <w:w w:val="89"/>
          <w:sz w:val="21"/>
        </w:rPr>
        <w:t>m</w:t>
      </w:r>
      <w:r>
        <w:rPr>
          <w:i/>
          <w:color w:val="231F20"/>
          <w:w w:val="67"/>
          <w:sz w:val="21"/>
        </w:rPr>
        <w:t>é</w:t>
      </w:r>
      <w:r>
        <w:rPr>
          <w:i/>
          <w:color w:val="231F20"/>
          <w:w w:val="79"/>
          <w:sz w:val="21"/>
        </w:rPr>
        <w:t>r</w:t>
      </w:r>
      <w:r>
        <w:rPr>
          <w:i/>
          <w:color w:val="231F20"/>
          <w:w w:val="84"/>
          <w:sz w:val="21"/>
        </w:rPr>
        <w:t>i</w:t>
      </w:r>
      <w:r>
        <w:rPr>
          <w:i/>
          <w:color w:val="231F20"/>
          <w:w w:val="62"/>
          <w:sz w:val="21"/>
        </w:rPr>
        <w:t>c</w:t>
      </w:r>
      <w:r>
        <w:rPr>
          <w:i/>
          <w:color w:val="231F20"/>
          <w:w w:val="83"/>
          <w:sz w:val="21"/>
        </w:rPr>
        <w:t>a</w:t>
      </w:r>
      <w:r>
        <w:rPr>
          <w:i/>
          <w:color w:val="231F20"/>
          <w:sz w:val="21"/>
        </w:rPr>
        <w:t> </w:t>
      </w:r>
      <w:r>
        <w:rPr>
          <w:i/>
          <w:color w:val="231F20"/>
          <w:w w:val="117"/>
          <w:sz w:val="21"/>
        </w:rPr>
        <w:t>L</w:t>
      </w:r>
      <w:r>
        <w:rPr>
          <w:i/>
          <w:color w:val="231F20"/>
          <w:w w:val="86"/>
          <w:sz w:val="21"/>
        </w:rPr>
        <w:t>at</w:t>
      </w:r>
      <w:r>
        <w:rPr>
          <w:i/>
          <w:color w:val="231F20"/>
          <w:w w:val="84"/>
          <w:sz w:val="21"/>
        </w:rPr>
        <w:t>i</w:t>
      </w:r>
      <w:r>
        <w:rPr>
          <w:i/>
          <w:color w:val="231F20"/>
          <w:w w:val="85"/>
          <w:sz w:val="21"/>
        </w:rPr>
        <w:t>na</w:t>
      </w:r>
      <w:r>
        <w:rPr>
          <w:i/>
          <w:color w:val="231F20"/>
          <w:sz w:val="21"/>
        </w:rPr>
        <w:t> </w:t>
      </w:r>
      <w:r>
        <w:rPr>
          <w:i/>
          <w:color w:val="231F20"/>
          <w:w w:val="77"/>
          <w:sz w:val="21"/>
        </w:rPr>
        <w:t>y</w:t>
      </w:r>
      <w:r>
        <w:rPr>
          <w:i/>
          <w:color w:val="231F20"/>
          <w:sz w:val="21"/>
        </w:rPr>
        <w:t> </w:t>
      </w:r>
      <w:r>
        <w:rPr>
          <w:i/>
          <w:color w:val="231F20"/>
          <w:w w:val="67"/>
          <w:sz w:val="21"/>
        </w:rPr>
        <w:t>e</w:t>
      </w:r>
      <w:r>
        <w:rPr>
          <w:i/>
          <w:color w:val="231F20"/>
          <w:w w:val="80"/>
          <w:sz w:val="21"/>
        </w:rPr>
        <w:t>l</w:t>
      </w:r>
      <w:r>
        <w:rPr>
          <w:i/>
          <w:color w:val="231F20"/>
          <w:sz w:val="21"/>
        </w:rPr>
        <w:t> </w:t>
      </w:r>
      <w:r>
        <w:rPr>
          <w:i/>
          <w:color w:val="231F20"/>
          <w:w w:val="96"/>
          <w:sz w:val="21"/>
        </w:rPr>
        <w:t>C</w:t>
      </w:r>
      <w:r>
        <w:rPr>
          <w:i/>
          <w:color w:val="231F20"/>
          <w:w w:val="81"/>
          <w:sz w:val="21"/>
        </w:rPr>
        <w:t>ar</w:t>
      </w:r>
      <w:r>
        <w:rPr>
          <w:i/>
          <w:color w:val="231F20"/>
          <w:w w:val="84"/>
          <w:sz w:val="21"/>
        </w:rPr>
        <w:t>i</w:t>
      </w:r>
      <w:r>
        <w:rPr>
          <w:i/>
          <w:color w:val="231F20"/>
          <w:w w:val="76"/>
          <w:sz w:val="21"/>
        </w:rPr>
        <w:t>be</w:t>
      </w:r>
      <w:r>
        <w:rPr>
          <w:i/>
          <w:color w:val="231F20"/>
          <w:w w:val="89"/>
          <w:sz w:val="21"/>
        </w:rPr>
        <w:t>,</w:t>
      </w:r>
      <w:r>
        <w:rPr>
          <w:i/>
          <w:color w:val="231F20"/>
          <w:sz w:val="21"/>
        </w:rPr>
        <w:t> </w:t>
      </w:r>
      <w:r>
        <w:rPr>
          <w:color w:val="231F20"/>
          <w:w w:val="93"/>
          <w:sz w:val="21"/>
        </w:rPr>
        <w:t>(1</w:t>
      </w:r>
      <w:r>
        <w:rPr>
          <w:color w:val="231F20"/>
          <w:w w:val="90"/>
          <w:sz w:val="21"/>
        </w:rPr>
        <w:t>)</w:t>
      </w:r>
      <w:r>
        <w:rPr>
          <w:color w:val="231F20"/>
          <w:w w:val="89"/>
          <w:sz w:val="21"/>
        </w:rPr>
        <w:t>,</w:t>
      </w:r>
      <w:r>
        <w:rPr>
          <w:color w:val="231F20"/>
          <w:sz w:val="21"/>
        </w:rPr>
        <w:t> </w:t>
      </w:r>
      <w:r>
        <w:rPr>
          <w:color w:val="231F20"/>
          <w:w w:val="96"/>
          <w:sz w:val="21"/>
        </w:rPr>
        <w:t>117</w:t>
      </w:r>
      <w:r>
        <w:rPr>
          <w:color w:val="231F20"/>
          <w:w w:val="96"/>
          <w:sz w:val="21"/>
        </w:rPr>
        <w:t>-</w:t>
      </w:r>
      <w:r>
        <w:rPr>
          <w:color w:val="231F20"/>
          <w:w w:val="96"/>
          <w:sz w:val="21"/>
        </w:rPr>
        <w:t>133</w:t>
      </w:r>
      <w:r>
        <w:rPr>
          <w:color w:val="231F20"/>
          <w:w w:val="89"/>
          <w:sz w:val="21"/>
        </w:rPr>
        <w:t>.</w:t>
      </w:r>
    </w:p>
    <w:p>
      <w:pPr>
        <w:pStyle w:val="BodyText"/>
        <w:spacing w:line="247" w:lineRule="auto"/>
        <w:ind w:left="821" w:hanging="720"/>
      </w:pPr>
      <w:r>
        <w:rPr>
          <w:color w:val="231F20"/>
        </w:rPr>
        <w:t>Esteve, José M. (2006). La profesión docente en Europa: perfil, tendencias</w:t>
      </w:r>
      <w:r>
        <w:rPr>
          <w:color w:val="231F20"/>
          <w:spacing w:val="-20"/>
        </w:rPr>
        <w:t> </w:t>
      </w:r>
      <w:r>
        <w:rPr>
          <w:color w:val="231F20"/>
        </w:rPr>
        <w:t>y</w:t>
      </w:r>
      <w:r>
        <w:rPr>
          <w:color w:val="231F20"/>
          <w:spacing w:val="-20"/>
        </w:rPr>
        <w:t> </w:t>
      </w:r>
      <w:r>
        <w:rPr>
          <w:color w:val="231F20"/>
        </w:rPr>
        <w:t>problemática.</w:t>
      </w:r>
      <w:r>
        <w:rPr>
          <w:color w:val="231F20"/>
          <w:spacing w:val="-21"/>
        </w:rPr>
        <w:t> </w:t>
      </w:r>
      <w:r>
        <w:rPr>
          <w:color w:val="231F20"/>
        </w:rPr>
        <w:t>La</w:t>
      </w:r>
      <w:r>
        <w:rPr>
          <w:color w:val="231F20"/>
          <w:spacing w:val="-20"/>
        </w:rPr>
        <w:t> </w:t>
      </w:r>
      <w:r>
        <w:rPr>
          <w:color w:val="231F20"/>
        </w:rPr>
        <w:t>formación</w:t>
      </w:r>
      <w:r>
        <w:rPr>
          <w:color w:val="231F20"/>
          <w:spacing w:val="-20"/>
        </w:rPr>
        <w:t> </w:t>
      </w:r>
      <w:r>
        <w:rPr>
          <w:color w:val="231F20"/>
        </w:rPr>
        <w:t>inicial.</w:t>
      </w:r>
      <w:r>
        <w:rPr>
          <w:color w:val="231F20"/>
          <w:spacing w:val="-21"/>
        </w:rPr>
        <w:t> </w:t>
      </w:r>
      <w:r>
        <w:rPr>
          <w:i/>
          <w:color w:val="231F20"/>
        </w:rPr>
        <w:t>Revista</w:t>
      </w:r>
      <w:r>
        <w:rPr>
          <w:i/>
          <w:color w:val="231F20"/>
          <w:spacing w:val="-20"/>
        </w:rPr>
        <w:t> </w:t>
      </w:r>
      <w:r>
        <w:rPr>
          <w:i/>
          <w:color w:val="231F20"/>
        </w:rPr>
        <w:t>de </w:t>
      </w:r>
      <w:r>
        <w:rPr>
          <w:i/>
          <w:color w:val="231F20"/>
          <w:w w:val="90"/>
        </w:rPr>
        <w:t>educación, </w:t>
      </w:r>
      <w:r>
        <w:rPr>
          <w:color w:val="231F20"/>
          <w:w w:val="90"/>
        </w:rPr>
        <w:t>(340)</w:t>
      </w:r>
      <w:r>
        <w:rPr>
          <w:i/>
          <w:color w:val="231F20"/>
          <w:w w:val="90"/>
        </w:rPr>
        <w:t>,</w:t>
      </w:r>
      <w:r>
        <w:rPr>
          <w:i/>
          <w:color w:val="231F20"/>
          <w:spacing w:val="-25"/>
          <w:w w:val="90"/>
        </w:rPr>
        <w:t> </w:t>
      </w:r>
      <w:r>
        <w:rPr>
          <w:color w:val="231F20"/>
          <w:w w:val="90"/>
        </w:rPr>
        <w:t>19-40.</w:t>
      </w:r>
    </w:p>
    <w:p>
      <w:pPr>
        <w:pStyle w:val="BodyText"/>
        <w:spacing w:line="244" w:lineRule="auto"/>
        <w:ind w:left="822" w:right="34" w:hanging="720"/>
      </w:pPr>
      <w:r>
        <w:rPr>
          <w:color w:val="231F20"/>
        </w:rPr>
        <w:t>Esteve, José M. (2009). La formación de profesores: bases teóricas para el desarrollo de programas de formación inicial. </w:t>
      </w:r>
      <w:r>
        <w:rPr>
          <w:i/>
          <w:color w:val="231F20"/>
        </w:rPr>
        <w:t>Revista </w:t>
      </w:r>
      <w:r>
        <w:rPr>
          <w:i/>
          <w:color w:val="231F20"/>
          <w:w w:val="90"/>
        </w:rPr>
        <w:t>de educación. </w:t>
      </w:r>
      <w:r>
        <w:rPr>
          <w:color w:val="231F20"/>
          <w:w w:val="90"/>
        </w:rPr>
        <w:t>(350)</w:t>
      </w:r>
      <w:r>
        <w:rPr>
          <w:i/>
          <w:color w:val="231F20"/>
          <w:w w:val="90"/>
        </w:rPr>
        <w:t>,</w:t>
      </w:r>
      <w:r>
        <w:rPr>
          <w:color w:val="231F20"/>
          <w:w w:val="90"/>
        </w:rPr>
        <w:t>15-29.</w:t>
      </w:r>
    </w:p>
    <w:p>
      <w:pPr>
        <w:spacing w:line="244" w:lineRule="auto" w:before="3"/>
        <w:ind w:left="822" w:right="94" w:hanging="720"/>
        <w:jc w:val="left"/>
        <w:rPr>
          <w:sz w:val="21"/>
        </w:rPr>
      </w:pPr>
      <w:r>
        <w:rPr>
          <w:color w:val="231F20"/>
          <w:sz w:val="21"/>
        </w:rPr>
        <w:t>Feria, Irene, Monje-López, Marcos, Ortega-Ruiz, Rosario y Rey, Rosario del. (2010). La convivencia escolar: la percepción de la calidad por sus protagonistas. En José Jesús Gázquez- </w:t>
      </w:r>
      <w:r>
        <w:rPr>
          <w:color w:val="231F20"/>
          <w:w w:val="90"/>
          <w:sz w:val="21"/>
        </w:rPr>
        <w:t>Linares (coord.). </w:t>
      </w:r>
      <w:r>
        <w:rPr>
          <w:i/>
          <w:color w:val="231F20"/>
          <w:w w:val="90"/>
          <w:sz w:val="21"/>
        </w:rPr>
        <w:t>Investigación en convivencia escolar. Variables </w:t>
      </w:r>
      <w:r>
        <w:rPr>
          <w:i/>
          <w:color w:val="231F20"/>
          <w:w w:val="95"/>
          <w:sz w:val="21"/>
        </w:rPr>
        <w:t>relacionadas. </w:t>
      </w:r>
      <w:r>
        <w:rPr>
          <w:color w:val="231F20"/>
          <w:w w:val="95"/>
          <w:sz w:val="21"/>
        </w:rPr>
        <w:t>Granada: GEU.</w:t>
      </w:r>
    </w:p>
    <w:p>
      <w:pPr>
        <w:spacing w:line="242" w:lineRule="auto" w:before="3"/>
        <w:ind w:left="822" w:right="0" w:hanging="720"/>
        <w:jc w:val="left"/>
        <w:rPr>
          <w:sz w:val="21"/>
        </w:rPr>
      </w:pPr>
      <w:r>
        <w:rPr>
          <w:color w:val="231F20"/>
          <w:w w:val="95"/>
          <w:sz w:val="21"/>
        </w:rPr>
        <w:t>Fernández, Isabel. (1998). </w:t>
      </w:r>
      <w:r>
        <w:rPr>
          <w:i/>
          <w:color w:val="231F20"/>
          <w:w w:val="95"/>
          <w:sz w:val="21"/>
        </w:rPr>
        <w:t>Prevención de la violencia y resolución de </w:t>
      </w:r>
      <w:r>
        <w:rPr>
          <w:i/>
          <w:color w:val="231F20"/>
          <w:w w:val="90"/>
          <w:sz w:val="21"/>
        </w:rPr>
        <w:t>conflictos.</w:t>
      </w:r>
      <w:r>
        <w:rPr>
          <w:i/>
          <w:color w:val="231F20"/>
          <w:spacing w:val="-24"/>
          <w:w w:val="90"/>
          <w:sz w:val="21"/>
        </w:rPr>
        <w:t> </w:t>
      </w:r>
      <w:r>
        <w:rPr>
          <w:i/>
          <w:color w:val="231F20"/>
          <w:w w:val="90"/>
          <w:sz w:val="21"/>
        </w:rPr>
        <w:t>El</w:t>
      </w:r>
      <w:r>
        <w:rPr>
          <w:i/>
          <w:color w:val="231F20"/>
          <w:spacing w:val="-24"/>
          <w:w w:val="90"/>
          <w:sz w:val="21"/>
        </w:rPr>
        <w:t> </w:t>
      </w:r>
      <w:r>
        <w:rPr>
          <w:i/>
          <w:color w:val="231F20"/>
          <w:w w:val="90"/>
          <w:sz w:val="21"/>
        </w:rPr>
        <w:t>clima</w:t>
      </w:r>
      <w:r>
        <w:rPr>
          <w:i/>
          <w:color w:val="231F20"/>
          <w:spacing w:val="-23"/>
          <w:w w:val="90"/>
          <w:sz w:val="21"/>
        </w:rPr>
        <w:t> </w:t>
      </w:r>
      <w:r>
        <w:rPr>
          <w:i/>
          <w:color w:val="231F20"/>
          <w:w w:val="90"/>
          <w:sz w:val="21"/>
        </w:rPr>
        <w:t>escolar</w:t>
      </w:r>
      <w:r>
        <w:rPr>
          <w:i/>
          <w:color w:val="231F20"/>
          <w:spacing w:val="-24"/>
          <w:w w:val="90"/>
          <w:sz w:val="21"/>
        </w:rPr>
        <w:t> </w:t>
      </w:r>
      <w:r>
        <w:rPr>
          <w:i/>
          <w:color w:val="231F20"/>
          <w:w w:val="90"/>
          <w:sz w:val="21"/>
        </w:rPr>
        <w:t>como</w:t>
      </w:r>
      <w:r>
        <w:rPr>
          <w:i/>
          <w:color w:val="231F20"/>
          <w:spacing w:val="-23"/>
          <w:w w:val="90"/>
          <w:sz w:val="21"/>
        </w:rPr>
        <w:t> </w:t>
      </w:r>
      <w:r>
        <w:rPr>
          <w:i/>
          <w:color w:val="231F20"/>
          <w:w w:val="90"/>
          <w:sz w:val="21"/>
        </w:rPr>
        <w:t>factor</w:t>
      </w:r>
      <w:r>
        <w:rPr>
          <w:i/>
          <w:color w:val="231F20"/>
          <w:spacing w:val="-24"/>
          <w:w w:val="90"/>
          <w:sz w:val="21"/>
        </w:rPr>
        <w:t> </w:t>
      </w:r>
      <w:r>
        <w:rPr>
          <w:i/>
          <w:color w:val="231F20"/>
          <w:w w:val="90"/>
          <w:sz w:val="21"/>
        </w:rPr>
        <w:t>de</w:t>
      </w:r>
      <w:r>
        <w:rPr>
          <w:i/>
          <w:color w:val="231F20"/>
          <w:spacing w:val="-24"/>
          <w:w w:val="90"/>
          <w:sz w:val="21"/>
        </w:rPr>
        <w:t> </w:t>
      </w:r>
      <w:r>
        <w:rPr>
          <w:i/>
          <w:color w:val="231F20"/>
          <w:w w:val="90"/>
          <w:sz w:val="21"/>
        </w:rPr>
        <w:t>calidad.</w:t>
      </w:r>
      <w:r>
        <w:rPr>
          <w:i/>
          <w:color w:val="231F20"/>
          <w:spacing w:val="-25"/>
          <w:w w:val="90"/>
          <w:sz w:val="21"/>
        </w:rPr>
        <w:t> </w:t>
      </w:r>
      <w:r>
        <w:rPr>
          <w:color w:val="231F20"/>
          <w:w w:val="90"/>
          <w:sz w:val="21"/>
        </w:rPr>
        <w:t>Madrid:</w:t>
      </w:r>
      <w:r>
        <w:rPr>
          <w:color w:val="231F20"/>
          <w:spacing w:val="-24"/>
          <w:w w:val="90"/>
          <w:sz w:val="21"/>
        </w:rPr>
        <w:t> </w:t>
      </w:r>
      <w:r>
        <w:rPr>
          <w:color w:val="231F20"/>
          <w:w w:val="90"/>
          <w:sz w:val="21"/>
        </w:rPr>
        <w:t>Narcea.</w:t>
      </w:r>
    </w:p>
    <w:p>
      <w:pPr>
        <w:pStyle w:val="BodyText"/>
        <w:spacing w:line="244" w:lineRule="auto" w:before="6"/>
        <w:ind w:left="822" w:right="94" w:hanging="720"/>
      </w:pPr>
      <w:r>
        <w:rPr>
          <w:color w:val="231F20"/>
        </w:rPr>
        <w:t>Fernández-Balboa, Juan Miguel. (1992). Beliefs, Interactive Thoughts, and Actions off Physical Education Student Teachers Regarding Pupil Misbehaviours. </w:t>
      </w:r>
      <w:r>
        <w:rPr>
          <w:i/>
          <w:color w:val="231F20"/>
        </w:rPr>
        <w:t>Teaching in </w:t>
      </w:r>
      <w:r>
        <w:rPr>
          <w:i/>
          <w:color w:val="231F20"/>
          <w:w w:val="90"/>
        </w:rPr>
        <w:t>Physical Education, 11, </w:t>
      </w:r>
      <w:r>
        <w:rPr>
          <w:color w:val="231F20"/>
          <w:w w:val="90"/>
        </w:rPr>
        <w:t>59-78.</w:t>
      </w:r>
    </w:p>
    <w:p>
      <w:pPr>
        <w:spacing w:line="247" w:lineRule="auto" w:before="3"/>
        <w:ind w:left="822" w:right="0" w:hanging="720"/>
        <w:jc w:val="left"/>
        <w:rPr>
          <w:sz w:val="21"/>
        </w:rPr>
      </w:pPr>
      <w:r>
        <w:rPr>
          <w:color w:val="231F20"/>
          <w:sz w:val="21"/>
        </w:rPr>
        <w:t>Funk,</w:t>
      </w:r>
      <w:r>
        <w:rPr>
          <w:color w:val="231F20"/>
          <w:spacing w:val="-23"/>
          <w:sz w:val="21"/>
        </w:rPr>
        <w:t> </w:t>
      </w:r>
      <w:r>
        <w:rPr>
          <w:color w:val="231F20"/>
          <w:sz w:val="21"/>
        </w:rPr>
        <w:t>Walter.</w:t>
      </w:r>
      <w:r>
        <w:rPr>
          <w:color w:val="231F20"/>
          <w:spacing w:val="-23"/>
          <w:sz w:val="21"/>
        </w:rPr>
        <w:t> </w:t>
      </w:r>
      <w:r>
        <w:rPr>
          <w:color w:val="231F20"/>
          <w:sz w:val="21"/>
        </w:rPr>
        <w:t>(1997).</w:t>
      </w:r>
      <w:r>
        <w:rPr>
          <w:color w:val="231F20"/>
          <w:spacing w:val="-23"/>
          <w:sz w:val="21"/>
        </w:rPr>
        <w:t> </w:t>
      </w:r>
      <w:r>
        <w:rPr>
          <w:color w:val="231F20"/>
          <w:sz w:val="21"/>
        </w:rPr>
        <w:t>Violencia</w:t>
      </w:r>
      <w:r>
        <w:rPr>
          <w:color w:val="231F20"/>
          <w:spacing w:val="-23"/>
          <w:sz w:val="21"/>
        </w:rPr>
        <w:t> </w:t>
      </w:r>
      <w:r>
        <w:rPr>
          <w:color w:val="231F20"/>
          <w:sz w:val="21"/>
        </w:rPr>
        <w:t>escolar</w:t>
      </w:r>
      <w:r>
        <w:rPr>
          <w:color w:val="231F20"/>
          <w:spacing w:val="-23"/>
          <w:sz w:val="21"/>
        </w:rPr>
        <w:t> </w:t>
      </w:r>
      <w:r>
        <w:rPr>
          <w:color w:val="231F20"/>
          <w:sz w:val="21"/>
        </w:rPr>
        <w:t>en</w:t>
      </w:r>
      <w:r>
        <w:rPr>
          <w:color w:val="231F20"/>
          <w:spacing w:val="-23"/>
          <w:sz w:val="21"/>
        </w:rPr>
        <w:t> </w:t>
      </w:r>
      <w:r>
        <w:rPr>
          <w:color w:val="231F20"/>
          <w:sz w:val="21"/>
        </w:rPr>
        <w:t>Alemania.</w:t>
      </w:r>
      <w:r>
        <w:rPr>
          <w:color w:val="231F20"/>
          <w:spacing w:val="-23"/>
          <w:sz w:val="21"/>
        </w:rPr>
        <w:t> </w:t>
      </w:r>
      <w:r>
        <w:rPr>
          <w:i/>
          <w:color w:val="231F20"/>
          <w:sz w:val="21"/>
        </w:rPr>
        <w:t>Revista</w:t>
      </w:r>
      <w:r>
        <w:rPr>
          <w:i/>
          <w:color w:val="231F20"/>
          <w:spacing w:val="-23"/>
          <w:sz w:val="21"/>
        </w:rPr>
        <w:t> </w:t>
      </w:r>
      <w:r>
        <w:rPr>
          <w:i/>
          <w:color w:val="231F20"/>
          <w:sz w:val="21"/>
        </w:rPr>
        <w:t>de </w:t>
      </w:r>
      <w:r>
        <w:rPr>
          <w:i/>
          <w:color w:val="231F20"/>
          <w:w w:val="90"/>
          <w:sz w:val="21"/>
        </w:rPr>
        <w:t>Educación. 313,</w:t>
      </w:r>
      <w:r>
        <w:rPr>
          <w:i/>
          <w:color w:val="231F20"/>
          <w:spacing w:val="28"/>
          <w:w w:val="90"/>
          <w:sz w:val="21"/>
        </w:rPr>
        <w:t> </w:t>
      </w:r>
      <w:r>
        <w:rPr>
          <w:color w:val="231F20"/>
          <w:w w:val="90"/>
          <w:sz w:val="21"/>
        </w:rPr>
        <w:t>53-78.</w:t>
      </w:r>
    </w:p>
    <w:p>
      <w:pPr>
        <w:pStyle w:val="BodyText"/>
        <w:spacing w:line="247" w:lineRule="auto"/>
        <w:ind w:left="810" w:hanging="709"/>
      </w:pPr>
      <w:r>
        <w:rPr>
          <w:color w:val="231F20"/>
        </w:rPr>
        <w:t>González-Pineda, Julio Antonio, Álvarez-García, David, Rodríguez, Celestino, González-Castro, Paloma, Núñez, Juan Carlos y Álvarez, Luis. (2010). Situación actual de la convivencia escolar en la educación secundaria. En José Jesús Gázquez- </w:t>
      </w:r>
      <w:r>
        <w:rPr>
          <w:color w:val="231F20"/>
          <w:w w:val="90"/>
        </w:rPr>
        <w:t>Linares (coord.), </w:t>
      </w:r>
      <w:r>
        <w:rPr>
          <w:i/>
          <w:color w:val="231F20"/>
          <w:w w:val="90"/>
        </w:rPr>
        <w:t>Investigación en convivencia escolar. Variables </w:t>
      </w:r>
      <w:r>
        <w:rPr>
          <w:i/>
          <w:color w:val="231F20"/>
          <w:w w:val="95"/>
        </w:rPr>
        <w:t>relacionadas</w:t>
      </w:r>
      <w:r>
        <w:rPr>
          <w:color w:val="231F20"/>
          <w:w w:val="95"/>
        </w:rPr>
        <w:t>. Granada: GEU. 75-81.</w:t>
      </w:r>
    </w:p>
    <w:p>
      <w:pPr>
        <w:spacing w:line="247" w:lineRule="auto" w:before="0"/>
        <w:ind w:left="822" w:right="0" w:hanging="720"/>
        <w:jc w:val="left"/>
        <w:rPr>
          <w:sz w:val="21"/>
        </w:rPr>
      </w:pPr>
      <w:r>
        <w:rPr>
          <w:color w:val="231F20"/>
          <w:w w:val="95"/>
          <w:sz w:val="21"/>
        </w:rPr>
        <w:t>Graham,</w:t>
      </w:r>
      <w:r>
        <w:rPr>
          <w:color w:val="231F20"/>
          <w:spacing w:val="-18"/>
          <w:w w:val="95"/>
          <w:sz w:val="21"/>
        </w:rPr>
        <w:t> </w:t>
      </w:r>
      <w:r>
        <w:rPr>
          <w:color w:val="231F20"/>
          <w:w w:val="95"/>
          <w:sz w:val="21"/>
        </w:rPr>
        <w:t>George.</w:t>
      </w:r>
      <w:r>
        <w:rPr>
          <w:color w:val="231F20"/>
          <w:spacing w:val="-18"/>
          <w:w w:val="95"/>
          <w:sz w:val="21"/>
        </w:rPr>
        <w:t> </w:t>
      </w:r>
      <w:r>
        <w:rPr>
          <w:color w:val="231F20"/>
          <w:w w:val="95"/>
          <w:sz w:val="21"/>
        </w:rPr>
        <w:t>(1992).</w:t>
      </w:r>
      <w:r>
        <w:rPr>
          <w:color w:val="231F20"/>
          <w:spacing w:val="-18"/>
          <w:w w:val="95"/>
          <w:sz w:val="21"/>
        </w:rPr>
        <w:t> </w:t>
      </w:r>
      <w:r>
        <w:rPr>
          <w:i/>
          <w:color w:val="231F20"/>
          <w:w w:val="95"/>
          <w:sz w:val="21"/>
        </w:rPr>
        <w:t>Teaching</w:t>
      </w:r>
      <w:r>
        <w:rPr>
          <w:i/>
          <w:color w:val="231F20"/>
          <w:spacing w:val="-18"/>
          <w:w w:val="95"/>
          <w:sz w:val="21"/>
        </w:rPr>
        <w:t> </w:t>
      </w:r>
      <w:r>
        <w:rPr>
          <w:i/>
          <w:color w:val="231F20"/>
          <w:w w:val="95"/>
          <w:sz w:val="21"/>
        </w:rPr>
        <w:t>Children</w:t>
      </w:r>
      <w:r>
        <w:rPr>
          <w:i/>
          <w:color w:val="231F20"/>
          <w:spacing w:val="-18"/>
          <w:w w:val="95"/>
          <w:sz w:val="21"/>
        </w:rPr>
        <w:t> </w:t>
      </w:r>
      <w:r>
        <w:rPr>
          <w:i/>
          <w:color w:val="231F20"/>
          <w:w w:val="95"/>
          <w:sz w:val="21"/>
        </w:rPr>
        <w:t>Physical</w:t>
      </w:r>
      <w:r>
        <w:rPr>
          <w:i/>
          <w:color w:val="231F20"/>
          <w:spacing w:val="-18"/>
          <w:w w:val="95"/>
          <w:sz w:val="21"/>
        </w:rPr>
        <w:t> </w:t>
      </w:r>
      <w:r>
        <w:rPr>
          <w:i/>
          <w:color w:val="231F20"/>
          <w:w w:val="95"/>
          <w:sz w:val="21"/>
        </w:rPr>
        <w:t>Education.</w:t>
      </w:r>
      <w:r>
        <w:rPr>
          <w:i/>
          <w:color w:val="231F20"/>
          <w:spacing w:val="-18"/>
          <w:w w:val="95"/>
          <w:sz w:val="21"/>
        </w:rPr>
        <w:t> </w:t>
      </w:r>
      <w:r>
        <w:rPr>
          <w:color w:val="231F20"/>
          <w:w w:val="95"/>
          <w:sz w:val="21"/>
        </w:rPr>
        <w:t>Human </w:t>
      </w:r>
      <w:r>
        <w:rPr>
          <w:color w:val="231F20"/>
          <w:sz w:val="21"/>
        </w:rPr>
        <w:t>Kinetics.</w:t>
      </w:r>
    </w:p>
    <w:p>
      <w:pPr>
        <w:spacing w:line="244" w:lineRule="auto" w:before="1"/>
        <w:ind w:left="822" w:right="214" w:hanging="721"/>
        <w:jc w:val="left"/>
        <w:rPr>
          <w:i/>
          <w:sz w:val="21"/>
        </w:rPr>
      </w:pPr>
      <w:r>
        <w:rPr>
          <w:color w:val="231F20"/>
          <w:sz w:val="21"/>
        </w:rPr>
        <w:t>Hirano, K. (1992). Bullying and victimization in japanese </w:t>
      </w:r>
      <w:r>
        <w:rPr>
          <w:color w:val="231F20"/>
          <w:w w:val="90"/>
          <w:sz w:val="21"/>
        </w:rPr>
        <w:t>classrooms.</w:t>
      </w:r>
      <w:r>
        <w:rPr>
          <w:color w:val="231F20"/>
          <w:spacing w:val="-16"/>
          <w:w w:val="90"/>
          <w:sz w:val="21"/>
        </w:rPr>
        <w:t> </w:t>
      </w:r>
      <w:r>
        <w:rPr>
          <w:i/>
          <w:color w:val="231F20"/>
          <w:w w:val="90"/>
          <w:sz w:val="21"/>
        </w:rPr>
        <w:t>Paper</w:t>
      </w:r>
      <w:r>
        <w:rPr>
          <w:i/>
          <w:color w:val="231F20"/>
          <w:spacing w:val="-16"/>
          <w:w w:val="90"/>
          <w:sz w:val="21"/>
        </w:rPr>
        <w:t> </w:t>
      </w:r>
      <w:r>
        <w:rPr>
          <w:i/>
          <w:color w:val="231F20"/>
          <w:w w:val="90"/>
          <w:sz w:val="21"/>
        </w:rPr>
        <w:t>presented</w:t>
      </w:r>
      <w:r>
        <w:rPr>
          <w:i/>
          <w:color w:val="231F20"/>
          <w:spacing w:val="-15"/>
          <w:w w:val="90"/>
          <w:sz w:val="21"/>
        </w:rPr>
        <w:t> </w:t>
      </w:r>
      <w:r>
        <w:rPr>
          <w:i/>
          <w:color w:val="231F20"/>
          <w:w w:val="90"/>
          <w:sz w:val="21"/>
        </w:rPr>
        <w:t>at</w:t>
      </w:r>
      <w:r>
        <w:rPr>
          <w:i/>
          <w:color w:val="231F20"/>
          <w:spacing w:val="-16"/>
          <w:w w:val="90"/>
          <w:sz w:val="21"/>
        </w:rPr>
        <w:t> </w:t>
      </w:r>
      <w:r>
        <w:rPr>
          <w:i/>
          <w:color w:val="231F20"/>
          <w:w w:val="90"/>
          <w:sz w:val="21"/>
        </w:rPr>
        <w:t>the</w:t>
      </w:r>
      <w:r>
        <w:rPr>
          <w:i/>
          <w:color w:val="231F20"/>
          <w:spacing w:val="-16"/>
          <w:w w:val="90"/>
          <w:sz w:val="21"/>
        </w:rPr>
        <w:t> </w:t>
      </w:r>
      <w:r>
        <w:rPr>
          <w:i/>
          <w:color w:val="231F20"/>
          <w:w w:val="90"/>
          <w:sz w:val="21"/>
        </w:rPr>
        <w:t>5th.</w:t>
      </w:r>
      <w:r>
        <w:rPr>
          <w:i/>
          <w:color w:val="231F20"/>
          <w:spacing w:val="-16"/>
          <w:w w:val="90"/>
          <w:sz w:val="21"/>
        </w:rPr>
        <w:t> </w:t>
      </w:r>
      <w:r>
        <w:rPr>
          <w:i/>
          <w:color w:val="231F20"/>
          <w:w w:val="90"/>
          <w:sz w:val="21"/>
        </w:rPr>
        <w:t>European</w:t>
      </w:r>
      <w:r>
        <w:rPr>
          <w:i/>
          <w:color w:val="231F20"/>
          <w:spacing w:val="-15"/>
          <w:w w:val="90"/>
          <w:sz w:val="21"/>
        </w:rPr>
        <w:t> </w:t>
      </w:r>
      <w:r>
        <w:rPr>
          <w:i/>
          <w:color w:val="231F20"/>
          <w:w w:val="90"/>
          <w:sz w:val="21"/>
        </w:rPr>
        <w:t>Conference</w:t>
      </w:r>
      <w:r>
        <w:rPr>
          <w:i/>
          <w:color w:val="231F20"/>
          <w:spacing w:val="-16"/>
          <w:w w:val="90"/>
          <w:sz w:val="21"/>
        </w:rPr>
        <w:t> </w:t>
      </w:r>
      <w:r>
        <w:rPr>
          <w:i/>
          <w:color w:val="231F20"/>
          <w:w w:val="90"/>
          <w:sz w:val="21"/>
        </w:rPr>
        <w:t>on </w:t>
      </w:r>
      <w:r>
        <w:rPr>
          <w:i/>
          <w:color w:val="231F20"/>
          <w:w w:val="80"/>
          <w:sz w:val="21"/>
        </w:rPr>
        <w:t>Developmental</w:t>
      </w:r>
      <w:r>
        <w:rPr>
          <w:i/>
          <w:color w:val="231F20"/>
          <w:spacing w:val="37"/>
          <w:w w:val="80"/>
          <w:sz w:val="21"/>
        </w:rPr>
        <w:t> </w:t>
      </w:r>
      <w:r>
        <w:rPr>
          <w:i/>
          <w:color w:val="231F20"/>
          <w:w w:val="80"/>
          <w:sz w:val="21"/>
        </w:rPr>
        <w:t>Psychology.</w:t>
      </w:r>
    </w:p>
    <w:p>
      <w:pPr>
        <w:pStyle w:val="BodyText"/>
        <w:spacing w:line="240" w:lineRule="exact"/>
        <w:ind w:left="102"/>
      </w:pPr>
      <w:r>
        <w:rPr>
          <w:color w:val="231F20"/>
        </w:rPr>
        <w:t>Houghton, Stephen, Wheldall, Kevin &amp; Merrett, Frank. (1988).</w:t>
      </w:r>
    </w:p>
    <w:p>
      <w:pPr>
        <w:spacing w:line="244" w:lineRule="auto" w:before="8"/>
        <w:ind w:left="822" w:right="266" w:firstLine="0"/>
        <w:jc w:val="left"/>
        <w:rPr>
          <w:sz w:val="21"/>
        </w:rPr>
      </w:pPr>
      <w:r>
        <w:rPr>
          <w:color w:val="231F20"/>
          <w:sz w:val="21"/>
        </w:rPr>
        <w:t>Classroom behaviour Problems, which Secondary School Teachers say they most Troublesome. </w:t>
      </w:r>
      <w:r>
        <w:rPr>
          <w:i/>
          <w:color w:val="231F20"/>
          <w:sz w:val="21"/>
        </w:rPr>
        <w:t>British Educational </w:t>
      </w:r>
      <w:r>
        <w:rPr>
          <w:i/>
          <w:color w:val="231F20"/>
          <w:w w:val="90"/>
          <w:sz w:val="21"/>
        </w:rPr>
        <w:t>Research Journal, 14, </w:t>
      </w:r>
      <w:r>
        <w:rPr>
          <w:color w:val="231F20"/>
          <w:w w:val="90"/>
          <w:sz w:val="21"/>
        </w:rPr>
        <w:t>297-312.</w:t>
      </w:r>
    </w:p>
    <w:p>
      <w:pPr>
        <w:spacing w:after="0" w:line="244" w:lineRule="auto"/>
        <w:jc w:val="left"/>
        <w:rPr>
          <w:sz w:val="21"/>
        </w:rPr>
        <w:sectPr>
          <w:headerReference w:type="default" r:id="rId944"/>
          <w:footerReference w:type="default" r:id="rId945"/>
          <w:pgSz w:w="7830" w:h="11910"/>
          <w:pgMar w:header="0" w:footer="424" w:top="500" w:bottom="620" w:left="920" w:right="920"/>
          <w:pgNumType w:start="430"/>
        </w:sectPr>
      </w:pPr>
    </w:p>
    <w:p>
      <w:pPr>
        <w:spacing w:before="46"/>
        <w:ind w:left="1463" w:right="63"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spacing w:line="244" w:lineRule="auto" w:before="0"/>
        <w:ind w:left="822" w:right="331" w:hanging="721"/>
        <w:jc w:val="left"/>
        <w:rPr>
          <w:sz w:val="21"/>
        </w:rPr>
      </w:pPr>
      <w:r>
        <w:rPr>
          <w:color w:val="231F20"/>
          <w:sz w:val="21"/>
        </w:rPr>
        <w:t>Ishee, J. (2004). Perceptions of Misbehaviour in Middle School </w:t>
      </w:r>
      <w:r>
        <w:rPr>
          <w:color w:val="231F20"/>
          <w:w w:val="90"/>
          <w:sz w:val="21"/>
        </w:rPr>
        <w:t>Physical Education. </w:t>
      </w:r>
      <w:r>
        <w:rPr>
          <w:i/>
          <w:color w:val="231F20"/>
          <w:w w:val="90"/>
          <w:sz w:val="21"/>
        </w:rPr>
        <w:t>Journal of Physical Education, Recreation </w:t>
      </w:r>
      <w:r>
        <w:rPr>
          <w:i/>
          <w:color w:val="231F20"/>
          <w:w w:val="95"/>
          <w:sz w:val="21"/>
        </w:rPr>
        <w:t>and Dance. 75, </w:t>
      </w:r>
      <w:r>
        <w:rPr>
          <w:color w:val="231F20"/>
          <w:w w:val="95"/>
          <w:sz w:val="21"/>
        </w:rPr>
        <w:t>9.</w:t>
      </w:r>
    </w:p>
    <w:p>
      <w:pPr>
        <w:pStyle w:val="BodyText"/>
        <w:spacing w:line="244" w:lineRule="auto" w:before="3"/>
        <w:ind w:left="102" w:right="484"/>
        <w:jc w:val="right"/>
      </w:pPr>
      <w:r>
        <w:rPr>
          <w:color w:val="231F20"/>
          <w:w w:val="95"/>
        </w:rPr>
        <w:t>Jarres,</w:t>
      </w:r>
      <w:r>
        <w:rPr>
          <w:color w:val="231F20"/>
          <w:spacing w:val="-29"/>
          <w:w w:val="95"/>
        </w:rPr>
        <w:t> </w:t>
      </w:r>
      <w:r>
        <w:rPr>
          <w:color w:val="231F20"/>
          <w:w w:val="95"/>
        </w:rPr>
        <w:t>Xesús.</w:t>
      </w:r>
      <w:r>
        <w:rPr>
          <w:color w:val="231F20"/>
          <w:spacing w:val="-30"/>
          <w:w w:val="95"/>
        </w:rPr>
        <w:t> </w:t>
      </w:r>
      <w:r>
        <w:rPr>
          <w:color w:val="231F20"/>
          <w:w w:val="95"/>
        </w:rPr>
        <w:t>(2008).</w:t>
      </w:r>
      <w:r>
        <w:rPr>
          <w:color w:val="231F20"/>
          <w:spacing w:val="-29"/>
          <w:w w:val="95"/>
        </w:rPr>
        <w:t> </w:t>
      </w:r>
      <w:r>
        <w:rPr>
          <w:i/>
          <w:color w:val="231F20"/>
          <w:w w:val="95"/>
        </w:rPr>
        <w:t>Pedagogía</w:t>
      </w:r>
      <w:r>
        <w:rPr>
          <w:i/>
          <w:color w:val="231F20"/>
          <w:spacing w:val="-29"/>
          <w:w w:val="95"/>
        </w:rPr>
        <w:t> </w:t>
      </w:r>
      <w:r>
        <w:rPr>
          <w:i/>
          <w:color w:val="231F20"/>
          <w:w w:val="95"/>
        </w:rPr>
        <w:t>de</w:t>
      </w:r>
      <w:r>
        <w:rPr>
          <w:i/>
          <w:color w:val="231F20"/>
          <w:spacing w:val="-29"/>
          <w:w w:val="95"/>
        </w:rPr>
        <w:t> </w:t>
      </w:r>
      <w:r>
        <w:rPr>
          <w:i/>
          <w:color w:val="231F20"/>
          <w:w w:val="95"/>
        </w:rPr>
        <w:t>la</w:t>
      </w:r>
      <w:r>
        <w:rPr>
          <w:i/>
          <w:color w:val="231F20"/>
          <w:spacing w:val="-29"/>
          <w:w w:val="95"/>
        </w:rPr>
        <w:t> </w:t>
      </w:r>
      <w:r>
        <w:rPr>
          <w:i/>
          <w:color w:val="231F20"/>
          <w:w w:val="95"/>
        </w:rPr>
        <w:t>convivencia.</w:t>
      </w:r>
      <w:r>
        <w:rPr>
          <w:i/>
          <w:color w:val="231F20"/>
          <w:spacing w:val="-29"/>
          <w:w w:val="95"/>
        </w:rPr>
        <w:t> </w:t>
      </w:r>
      <w:r>
        <w:rPr>
          <w:color w:val="231F20"/>
          <w:w w:val="95"/>
        </w:rPr>
        <w:t>Barcelona:</w:t>
      </w:r>
      <w:r>
        <w:rPr>
          <w:color w:val="231F20"/>
          <w:spacing w:val="-29"/>
          <w:w w:val="95"/>
        </w:rPr>
        <w:t> </w:t>
      </w:r>
      <w:r>
        <w:rPr>
          <w:color w:val="231F20"/>
          <w:w w:val="95"/>
        </w:rPr>
        <w:t>Grao.</w:t>
      </w:r>
      <w:r>
        <w:rPr>
          <w:color w:val="231F20"/>
          <w:w w:val="89"/>
        </w:rPr>
        <w:t> </w:t>
      </w:r>
      <w:r>
        <w:rPr>
          <w:color w:val="231F20"/>
        </w:rPr>
        <w:t>Kaltiala-Heino,</w:t>
      </w:r>
      <w:r>
        <w:rPr>
          <w:color w:val="231F20"/>
          <w:spacing w:val="-12"/>
        </w:rPr>
        <w:t> </w:t>
      </w:r>
      <w:r>
        <w:rPr>
          <w:color w:val="231F20"/>
        </w:rPr>
        <w:t>Riitakerttu.,</w:t>
      </w:r>
      <w:r>
        <w:rPr>
          <w:color w:val="231F20"/>
          <w:spacing w:val="-12"/>
        </w:rPr>
        <w:t> </w:t>
      </w:r>
      <w:r>
        <w:rPr>
          <w:color w:val="231F20"/>
        </w:rPr>
        <w:t>Rimpelä,</w:t>
      </w:r>
      <w:r>
        <w:rPr>
          <w:color w:val="231F20"/>
          <w:spacing w:val="-12"/>
        </w:rPr>
        <w:t> </w:t>
      </w:r>
      <w:r>
        <w:rPr>
          <w:color w:val="231F20"/>
        </w:rPr>
        <w:t>Matti,</w:t>
      </w:r>
      <w:r>
        <w:rPr>
          <w:color w:val="231F20"/>
          <w:spacing w:val="-12"/>
        </w:rPr>
        <w:t> </w:t>
      </w:r>
      <w:r>
        <w:rPr>
          <w:color w:val="231F20"/>
        </w:rPr>
        <w:t>Rantanen,</w:t>
      </w:r>
      <w:r>
        <w:rPr>
          <w:color w:val="231F20"/>
          <w:spacing w:val="-12"/>
        </w:rPr>
        <w:t> </w:t>
      </w:r>
      <w:r>
        <w:rPr>
          <w:color w:val="231F20"/>
        </w:rPr>
        <w:t>Päivi.</w:t>
      </w:r>
      <w:r>
        <w:rPr>
          <w:color w:val="231F20"/>
          <w:spacing w:val="-12"/>
        </w:rPr>
        <w:t> </w:t>
      </w:r>
      <w:r>
        <w:rPr>
          <w:color w:val="231F20"/>
        </w:rPr>
        <w:t>&amp;</w:t>
      </w:r>
      <w:r>
        <w:rPr>
          <w:color w:val="231F20"/>
          <w:w w:val="96"/>
        </w:rPr>
        <w:t> </w:t>
      </w:r>
      <w:r>
        <w:rPr>
          <w:color w:val="231F20"/>
        </w:rPr>
        <w:t>Rimpelä,</w:t>
      </w:r>
      <w:r>
        <w:rPr>
          <w:color w:val="231F20"/>
          <w:spacing w:val="-17"/>
        </w:rPr>
        <w:t> </w:t>
      </w:r>
      <w:r>
        <w:rPr>
          <w:color w:val="231F20"/>
        </w:rPr>
        <w:t>Arja</w:t>
      </w:r>
      <w:r>
        <w:rPr>
          <w:color w:val="231F20"/>
          <w:spacing w:val="-16"/>
        </w:rPr>
        <w:t> </w:t>
      </w:r>
      <w:r>
        <w:rPr>
          <w:color w:val="231F20"/>
        </w:rPr>
        <w:t>Rimpelä.</w:t>
      </w:r>
      <w:r>
        <w:rPr>
          <w:color w:val="231F20"/>
          <w:spacing w:val="-17"/>
        </w:rPr>
        <w:t> </w:t>
      </w:r>
      <w:r>
        <w:rPr>
          <w:color w:val="231F20"/>
        </w:rPr>
        <w:t>(2000).</w:t>
      </w:r>
      <w:r>
        <w:rPr>
          <w:color w:val="231F20"/>
          <w:spacing w:val="-17"/>
        </w:rPr>
        <w:t> </w:t>
      </w:r>
      <w:r>
        <w:rPr>
          <w:color w:val="231F20"/>
        </w:rPr>
        <w:t>Bullying</w:t>
      </w:r>
      <w:r>
        <w:rPr>
          <w:color w:val="231F20"/>
          <w:spacing w:val="-16"/>
        </w:rPr>
        <w:t> </w:t>
      </w:r>
      <w:r>
        <w:rPr>
          <w:color w:val="231F20"/>
        </w:rPr>
        <w:t>at</w:t>
      </w:r>
      <w:r>
        <w:rPr>
          <w:color w:val="231F20"/>
          <w:spacing w:val="-17"/>
        </w:rPr>
        <w:t> </w:t>
      </w:r>
      <w:r>
        <w:rPr>
          <w:color w:val="231F20"/>
        </w:rPr>
        <w:t>School:</w:t>
      </w:r>
      <w:r>
        <w:rPr>
          <w:color w:val="231F20"/>
          <w:spacing w:val="-17"/>
        </w:rPr>
        <w:t> </w:t>
      </w:r>
      <w:r>
        <w:rPr>
          <w:color w:val="231F20"/>
        </w:rPr>
        <w:t>An</w:t>
      </w:r>
    </w:p>
    <w:p>
      <w:pPr>
        <w:pStyle w:val="BodyText"/>
        <w:spacing w:before="3"/>
        <w:ind w:left="102" w:right="554"/>
        <w:jc w:val="right"/>
      </w:pPr>
      <w:r>
        <w:rPr>
          <w:color w:val="231F20"/>
        </w:rPr>
        <w:t>Indicator of Adolescents at Risk for Mental  Disorder.</w:t>
      </w:r>
    </w:p>
    <w:p>
      <w:pPr>
        <w:spacing w:before="3"/>
        <w:ind w:left="822" w:right="63" w:firstLine="0"/>
        <w:jc w:val="left"/>
        <w:rPr>
          <w:sz w:val="21"/>
        </w:rPr>
      </w:pPr>
      <w:r>
        <w:rPr>
          <w:i/>
          <w:color w:val="231F20"/>
          <w:w w:val="90"/>
          <w:sz w:val="21"/>
        </w:rPr>
        <w:t>Journal of Adolescence, 23, </w:t>
      </w:r>
      <w:r>
        <w:rPr>
          <w:color w:val="231F20"/>
          <w:w w:val="90"/>
          <w:sz w:val="21"/>
        </w:rPr>
        <w:t>661-674.</w:t>
      </w:r>
    </w:p>
    <w:p>
      <w:pPr>
        <w:pStyle w:val="BodyText"/>
        <w:spacing w:line="244" w:lineRule="auto" w:before="8"/>
        <w:ind w:left="822" w:right="273" w:hanging="720"/>
      </w:pPr>
      <w:r>
        <w:rPr>
          <w:color w:val="231F20"/>
        </w:rPr>
        <w:t>Larrosa, Faustino. (2002). Las necesidades del profesorado y las responsabilidades de la administración educativa. En </w:t>
      </w:r>
      <w:r>
        <w:rPr>
          <w:color w:val="231F20"/>
          <w:w w:val="90"/>
        </w:rPr>
        <w:t>Salvador Peiró I Gregori. </w:t>
      </w:r>
      <w:r>
        <w:rPr>
          <w:i/>
          <w:color w:val="231F20"/>
          <w:w w:val="90"/>
        </w:rPr>
        <w:t>Segundas jornadas sobre violencia en </w:t>
      </w:r>
      <w:r>
        <w:rPr>
          <w:i/>
          <w:color w:val="231F20"/>
          <w:w w:val="95"/>
        </w:rPr>
        <w:t>educación</w:t>
      </w:r>
      <w:r>
        <w:rPr>
          <w:color w:val="231F20"/>
          <w:w w:val="95"/>
        </w:rPr>
        <w:t>. Alicante: Club Universitario, 135-146.</w:t>
      </w:r>
    </w:p>
    <w:p>
      <w:pPr>
        <w:spacing w:line="247" w:lineRule="auto" w:before="3"/>
        <w:ind w:left="822" w:right="192" w:hanging="720"/>
        <w:jc w:val="left"/>
        <w:rPr>
          <w:i/>
          <w:sz w:val="21"/>
        </w:rPr>
      </w:pPr>
      <w:r>
        <w:rPr>
          <w:color w:val="231F20"/>
          <w:sz w:val="21"/>
        </w:rPr>
        <w:t>Martín, Elena, Rodríguez Víctor, Marchesi, Alvaro. (2005). La opinión de los profesores sobre la convivencia en los </w:t>
      </w:r>
      <w:r>
        <w:rPr>
          <w:color w:val="231F20"/>
          <w:w w:val="95"/>
          <w:sz w:val="21"/>
        </w:rPr>
        <w:t>centros. </w:t>
      </w:r>
      <w:r>
        <w:rPr>
          <w:i/>
          <w:color w:val="231F20"/>
          <w:w w:val="95"/>
          <w:sz w:val="21"/>
        </w:rPr>
        <w:t>Centro de Innovación Educativa CIE-FUHEM e </w:t>
      </w:r>
      <w:r>
        <w:rPr>
          <w:i/>
          <w:color w:val="231F20"/>
          <w:w w:val="90"/>
          <w:sz w:val="21"/>
        </w:rPr>
        <w:t>Instituto de Evaluación y Asesoramiento Educativo IDEA.</w:t>
      </w:r>
    </w:p>
    <w:p>
      <w:pPr>
        <w:spacing w:line="244" w:lineRule="auto" w:before="0"/>
        <w:ind w:left="822" w:right="120" w:hanging="721"/>
        <w:jc w:val="both"/>
        <w:rPr>
          <w:sz w:val="21"/>
        </w:rPr>
      </w:pPr>
      <w:r>
        <w:rPr>
          <w:color w:val="231F20"/>
          <w:sz w:val="21"/>
        </w:rPr>
        <w:t>Martínez-Otero, Valentín. (2005). Conflictividad escolar y fomento </w:t>
      </w:r>
      <w:r>
        <w:rPr>
          <w:color w:val="231F20"/>
          <w:w w:val="90"/>
          <w:sz w:val="21"/>
        </w:rPr>
        <w:t>de</w:t>
      </w:r>
      <w:r>
        <w:rPr>
          <w:color w:val="231F20"/>
          <w:spacing w:val="-7"/>
          <w:w w:val="90"/>
          <w:sz w:val="21"/>
        </w:rPr>
        <w:t> </w:t>
      </w:r>
      <w:r>
        <w:rPr>
          <w:color w:val="231F20"/>
          <w:w w:val="90"/>
          <w:sz w:val="21"/>
        </w:rPr>
        <w:t>la</w:t>
      </w:r>
      <w:r>
        <w:rPr>
          <w:color w:val="231F20"/>
          <w:spacing w:val="-7"/>
          <w:w w:val="90"/>
          <w:sz w:val="21"/>
        </w:rPr>
        <w:t> </w:t>
      </w:r>
      <w:r>
        <w:rPr>
          <w:color w:val="231F20"/>
          <w:w w:val="90"/>
          <w:sz w:val="21"/>
        </w:rPr>
        <w:t>convivencia.</w:t>
      </w:r>
      <w:r>
        <w:rPr>
          <w:color w:val="231F20"/>
          <w:spacing w:val="-7"/>
          <w:w w:val="90"/>
          <w:sz w:val="21"/>
        </w:rPr>
        <w:t> </w:t>
      </w:r>
      <w:r>
        <w:rPr>
          <w:i/>
          <w:color w:val="231F20"/>
          <w:w w:val="90"/>
          <w:sz w:val="21"/>
        </w:rPr>
        <w:t>Revista</w:t>
      </w:r>
      <w:r>
        <w:rPr>
          <w:i/>
          <w:color w:val="231F20"/>
          <w:spacing w:val="-7"/>
          <w:w w:val="90"/>
          <w:sz w:val="21"/>
        </w:rPr>
        <w:t> </w:t>
      </w:r>
      <w:r>
        <w:rPr>
          <w:i/>
          <w:color w:val="231F20"/>
          <w:w w:val="90"/>
          <w:sz w:val="21"/>
        </w:rPr>
        <w:t>iberoamericana</w:t>
      </w:r>
      <w:r>
        <w:rPr>
          <w:i/>
          <w:color w:val="231F20"/>
          <w:spacing w:val="-7"/>
          <w:w w:val="90"/>
          <w:sz w:val="21"/>
        </w:rPr>
        <w:t> </w:t>
      </w:r>
      <w:r>
        <w:rPr>
          <w:i/>
          <w:color w:val="231F20"/>
          <w:w w:val="90"/>
          <w:sz w:val="21"/>
        </w:rPr>
        <w:t>de</w:t>
      </w:r>
      <w:r>
        <w:rPr>
          <w:i/>
          <w:color w:val="231F20"/>
          <w:spacing w:val="-7"/>
          <w:w w:val="90"/>
          <w:sz w:val="21"/>
        </w:rPr>
        <w:t> </w:t>
      </w:r>
      <w:r>
        <w:rPr>
          <w:i/>
          <w:color w:val="231F20"/>
          <w:w w:val="90"/>
          <w:sz w:val="21"/>
        </w:rPr>
        <w:t>educación</w:t>
      </w:r>
      <w:r>
        <w:rPr>
          <w:color w:val="231F20"/>
          <w:w w:val="90"/>
          <w:sz w:val="21"/>
        </w:rPr>
        <w:t>,</w:t>
      </w:r>
      <w:r>
        <w:rPr>
          <w:color w:val="231F20"/>
          <w:spacing w:val="-7"/>
          <w:w w:val="90"/>
          <w:sz w:val="21"/>
        </w:rPr>
        <w:t> </w:t>
      </w:r>
      <w:r>
        <w:rPr>
          <w:color w:val="231F20"/>
          <w:w w:val="90"/>
          <w:sz w:val="21"/>
        </w:rPr>
        <w:t>(38)</w:t>
      </w:r>
      <w:r>
        <w:rPr>
          <w:i/>
          <w:color w:val="231F20"/>
          <w:w w:val="90"/>
          <w:sz w:val="21"/>
        </w:rPr>
        <w:t>,</w:t>
      </w:r>
      <w:r>
        <w:rPr>
          <w:i/>
          <w:color w:val="231F20"/>
          <w:spacing w:val="-7"/>
          <w:w w:val="90"/>
          <w:sz w:val="21"/>
        </w:rPr>
        <w:t> </w:t>
      </w:r>
      <w:r>
        <w:rPr>
          <w:color w:val="231F20"/>
          <w:w w:val="90"/>
          <w:sz w:val="21"/>
        </w:rPr>
        <w:t>33- </w:t>
      </w:r>
      <w:r>
        <w:rPr>
          <w:color w:val="231F20"/>
          <w:sz w:val="21"/>
        </w:rPr>
        <w:t>52.</w:t>
      </w:r>
    </w:p>
    <w:p>
      <w:pPr>
        <w:spacing w:line="242" w:lineRule="auto" w:before="3"/>
        <w:ind w:left="823" w:right="185" w:hanging="721"/>
        <w:jc w:val="left"/>
        <w:rPr>
          <w:sz w:val="21"/>
        </w:rPr>
      </w:pPr>
      <w:r>
        <w:rPr>
          <w:color w:val="231F20"/>
          <w:w w:val="90"/>
          <w:sz w:val="21"/>
        </w:rPr>
        <w:t>Monjas, María Inés. (2009). </w:t>
      </w:r>
      <w:r>
        <w:rPr>
          <w:i/>
          <w:color w:val="231F20"/>
          <w:w w:val="90"/>
          <w:sz w:val="21"/>
        </w:rPr>
        <w:t>Cómo promover la convivencia. Programa de </w:t>
      </w:r>
      <w:r>
        <w:rPr>
          <w:i/>
          <w:color w:val="231F20"/>
          <w:w w:val="90"/>
          <w:sz w:val="21"/>
        </w:rPr>
        <w:t>asertividad y habilidades sociales. </w:t>
      </w:r>
      <w:r>
        <w:rPr>
          <w:color w:val="231F20"/>
          <w:w w:val="90"/>
          <w:sz w:val="21"/>
        </w:rPr>
        <w:t>Madrid: CEPE.</w:t>
      </w:r>
    </w:p>
    <w:p>
      <w:pPr>
        <w:spacing w:line="244" w:lineRule="auto" w:before="6"/>
        <w:ind w:left="823" w:right="192" w:hanging="721"/>
        <w:jc w:val="left"/>
        <w:rPr>
          <w:sz w:val="21"/>
        </w:rPr>
      </w:pPr>
      <w:r>
        <w:rPr>
          <w:color w:val="231F20"/>
          <w:sz w:val="21"/>
        </w:rPr>
        <w:t>Moreno Olmedilla, Juan Manuel. (1998). Comportamiento antisocial en los centros escolares. Una visión desde </w:t>
      </w:r>
      <w:r>
        <w:rPr>
          <w:color w:val="231F20"/>
          <w:w w:val="90"/>
          <w:sz w:val="21"/>
        </w:rPr>
        <w:t>Europa. </w:t>
      </w:r>
      <w:r>
        <w:rPr>
          <w:i/>
          <w:color w:val="231F20"/>
          <w:w w:val="90"/>
          <w:sz w:val="21"/>
        </w:rPr>
        <w:t>Revista iberoamericana de educación, </w:t>
      </w:r>
      <w:r>
        <w:rPr>
          <w:color w:val="231F20"/>
          <w:w w:val="90"/>
          <w:sz w:val="21"/>
        </w:rPr>
        <w:t>(18)</w:t>
      </w:r>
      <w:r>
        <w:rPr>
          <w:i/>
          <w:color w:val="231F20"/>
          <w:w w:val="90"/>
          <w:sz w:val="21"/>
        </w:rPr>
        <w:t>, </w:t>
      </w:r>
      <w:r>
        <w:rPr>
          <w:color w:val="231F20"/>
          <w:w w:val="90"/>
          <w:sz w:val="21"/>
        </w:rPr>
        <w:t>189-204.</w:t>
      </w:r>
    </w:p>
    <w:p>
      <w:pPr>
        <w:pStyle w:val="BodyText"/>
        <w:spacing w:line="244" w:lineRule="auto" w:before="3"/>
        <w:ind w:left="823" w:right="290" w:hanging="720"/>
        <w:jc w:val="both"/>
      </w:pPr>
      <w:r>
        <w:rPr>
          <w:color w:val="231F20"/>
        </w:rPr>
        <w:t>Muñoz Abundez, Gustavo. (2008). Violencia escolar en México y en otros países. Comparaciones a partir de los resultados del Instituto Nacional de Evaluación de la Educación.</w:t>
      </w:r>
    </w:p>
    <w:p>
      <w:pPr>
        <w:spacing w:line="240" w:lineRule="exact" w:before="0"/>
        <w:ind w:left="823" w:right="63" w:firstLine="0"/>
        <w:jc w:val="left"/>
        <w:rPr>
          <w:sz w:val="21"/>
        </w:rPr>
      </w:pPr>
      <w:r>
        <w:rPr>
          <w:i/>
          <w:color w:val="231F20"/>
          <w:w w:val="90"/>
          <w:sz w:val="21"/>
        </w:rPr>
        <w:t>Revista mexicana de investigación educativa. 13</w:t>
      </w:r>
      <w:r>
        <w:rPr>
          <w:color w:val="231F20"/>
          <w:w w:val="90"/>
          <w:sz w:val="21"/>
        </w:rPr>
        <w:t>(39)</w:t>
      </w:r>
      <w:r>
        <w:rPr>
          <w:i/>
          <w:color w:val="231F20"/>
          <w:w w:val="90"/>
          <w:sz w:val="21"/>
        </w:rPr>
        <w:t>, </w:t>
      </w:r>
      <w:r>
        <w:rPr>
          <w:color w:val="231F20"/>
          <w:w w:val="90"/>
          <w:sz w:val="21"/>
        </w:rPr>
        <w:t>1195-1228.</w:t>
      </w:r>
    </w:p>
    <w:p>
      <w:pPr>
        <w:spacing w:line="247" w:lineRule="auto" w:before="8"/>
        <w:ind w:left="823" w:right="63" w:hanging="721"/>
        <w:jc w:val="left"/>
        <w:rPr>
          <w:sz w:val="21"/>
        </w:rPr>
      </w:pPr>
      <w:r>
        <w:rPr>
          <w:color w:val="231F20"/>
          <w:sz w:val="21"/>
        </w:rPr>
        <w:t>OCDE.</w:t>
      </w:r>
      <w:r>
        <w:rPr>
          <w:color w:val="231F20"/>
          <w:spacing w:val="-34"/>
          <w:sz w:val="21"/>
        </w:rPr>
        <w:t> </w:t>
      </w:r>
      <w:r>
        <w:rPr>
          <w:color w:val="231F20"/>
          <w:sz w:val="21"/>
        </w:rPr>
        <w:t>(2009).</w:t>
      </w:r>
      <w:r>
        <w:rPr>
          <w:color w:val="231F20"/>
          <w:spacing w:val="-34"/>
          <w:sz w:val="21"/>
        </w:rPr>
        <w:t> </w:t>
      </w:r>
      <w:r>
        <w:rPr>
          <w:i/>
          <w:color w:val="231F20"/>
          <w:sz w:val="21"/>
        </w:rPr>
        <w:t>Informe</w:t>
      </w:r>
      <w:r>
        <w:rPr>
          <w:i/>
          <w:color w:val="231F20"/>
          <w:spacing w:val="-34"/>
          <w:sz w:val="21"/>
        </w:rPr>
        <w:t> </w:t>
      </w:r>
      <w:r>
        <w:rPr>
          <w:i/>
          <w:color w:val="231F20"/>
          <w:sz w:val="21"/>
        </w:rPr>
        <w:t>TALIS.</w:t>
      </w:r>
      <w:r>
        <w:rPr>
          <w:i/>
          <w:color w:val="231F20"/>
          <w:spacing w:val="-34"/>
          <w:sz w:val="21"/>
        </w:rPr>
        <w:t> </w:t>
      </w:r>
      <w:r>
        <w:rPr>
          <w:i/>
          <w:color w:val="231F20"/>
          <w:sz w:val="21"/>
        </w:rPr>
        <w:t>La</w:t>
      </w:r>
      <w:r>
        <w:rPr>
          <w:i/>
          <w:color w:val="231F20"/>
          <w:spacing w:val="-34"/>
          <w:sz w:val="21"/>
        </w:rPr>
        <w:t> </w:t>
      </w:r>
      <w:r>
        <w:rPr>
          <w:i/>
          <w:color w:val="231F20"/>
          <w:sz w:val="21"/>
        </w:rPr>
        <w:t>creación</w:t>
      </w:r>
      <w:r>
        <w:rPr>
          <w:i/>
          <w:color w:val="231F20"/>
          <w:spacing w:val="-34"/>
          <w:sz w:val="21"/>
        </w:rPr>
        <w:t> </w:t>
      </w:r>
      <w:r>
        <w:rPr>
          <w:i/>
          <w:color w:val="231F20"/>
          <w:sz w:val="21"/>
        </w:rPr>
        <w:t>de</w:t>
      </w:r>
      <w:r>
        <w:rPr>
          <w:i/>
          <w:color w:val="231F20"/>
          <w:spacing w:val="-34"/>
          <w:sz w:val="21"/>
        </w:rPr>
        <w:t> </w:t>
      </w:r>
      <w:r>
        <w:rPr>
          <w:i/>
          <w:color w:val="231F20"/>
          <w:sz w:val="21"/>
        </w:rPr>
        <w:t>entornos</w:t>
      </w:r>
      <w:r>
        <w:rPr>
          <w:i/>
          <w:color w:val="231F20"/>
          <w:spacing w:val="-34"/>
          <w:sz w:val="21"/>
        </w:rPr>
        <w:t> </w:t>
      </w:r>
      <w:r>
        <w:rPr>
          <w:i/>
          <w:color w:val="231F20"/>
          <w:sz w:val="21"/>
        </w:rPr>
        <w:t>eficaces</w:t>
      </w:r>
      <w:r>
        <w:rPr>
          <w:i/>
          <w:color w:val="231F20"/>
          <w:spacing w:val="-34"/>
          <w:sz w:val="21"/>
        </w:rPr>
        <w:t> </w:t>
      </w:r>
      <w:r>
        <w:rPr>
          <w:i/>
          <w:color w:val="231F20"/>
          <w:sz w:val="21"/>
        </w:rPr>
        <w:t>de </w:t>
      </w:r>
      <w:r>
        <w:rPr>
          <w:i/>
          <w:color w:val="231F20"/>
          <w:w w:val="95"/>
          <w:sz w:val="21"/>
        </w:rPr>
        <w:t>enseñanza</w:t>
      </w:r>
      <w:r>
        <w:rPr>
          <w:i/>
          <w:color w:val="231F20"/>
          <w:spacing w:val="-7"/>
          <w:w w:val="95"/>
          <w:sz w:val="21"/>
        </w:rPr>
        <w:t> </w:t>
      </w:r>
      <w:r>
        <w:rPr>
          <w:i/>
          <w:color w:val="231F20"/>
          <w:w w:val="95"/>
          <w:sz w:val="21"/>
        </w:rPr>
        <w:t>y</w:t>
      </w:r>
      <w:r>
        <w:rPr>
          <w:i/>
          <w:color w:val="231F20"/>
          <w:spacing w:val="-8"/>
          <w:w w:val="95"/>
          <w:sz w:val="21"/>
        </w:rPr>
        <w:t> </w:t>
      </w:r>
      <w:r>
        <w:rPr>
          <w:i/>
          <w:color w:val="231F20"/>
          <w:w w:val="95"/>
          <w:sz w:val="21"/>
        </w:rPr>
        <w:t>aprendizaje</w:t>
      </w:r>
      <w:r>
        <w:rPr>
          <w:color w:val="231F20"/>
          <w:w w:val="95"/>
          <w:sz w:val="21"/>
        </w:rPr>
        <w:t>.</w:t>
      </w:r>
      <w:r>
        <w:rPr>
          <w:color w:val="231F20"/>
          <w:spacing w:val="-8"/>
          <w:w w:val="95"/>
          <w:sz w:val="21"/>
        </w:rPr>
        <w:t> </w:t>
      </w:r>
      <w:r>
        <w:rPr>
          <w:color w:val="231F20"/>
          <w:w w:val="95"/>
          <w:sz w:val="21"/>
        </w:rPr>
        <w:t>Síntesis</w:t>
      </w:r>
      <w:r>
        <w:rPr>
          <w:color w:val="231F20"/>
          <w:spacing w:val="-7"/>
          <w:w w:val="95"/>
          <w:sz w:val="21"/>
        </w:rPr>
        <w:t> </w:t>
      </w:r>
      <w:r>
        <w:rPr>
          <w:color w:val="231F20"/>
          <w:w w:val="95"/>
          <w:sz w:val="21"/>
        </w:rPr>
        <w:t>de</w:t>
      </w:r>
      <w:r>
        <w:rPr>
          <w:color w:val="231F20"/>
          <w:spacing w:val="-7"/>
          <w:w w:val="95"/>
          <w:sz w:val="21"/>
        </w:rPr>
        <w:t> </w:t>
      </w:r>
      <w:r>
        <w:rPr>
          <w:color w:val="231F20"/>
          <w:w w:val="95"/>
          <w:sz w:val="21"/>
        </w:rPr>
        <w:t>los</w:t>
      </w:r>
      <w:r>
        <w:rPr>
          <w:color w:val="231F20"/>
          <w:spacing w:val="-7"/>
          <w:w w:val="95"/>
          <w:sz w:val="21"/>
        </w:rPr>
        <w:t> </w:t>
      </w:r>
      <w:r>
        <w:rPr>
          <w:color w:val="231F20"/>
          <w:w w:val="95"/>
          <w:sz w:val="21"/>
        </w:rPr>
        <w:t>primeros</w:t>
      </w:r>
      <w:r>
        <w:rPr>
          <w:color w:val="231F20"/>
          <w:spacing w:val="-7"/>
          <w:w w:val="95"/>
          <w:sz w:val="21"/>
        </w:rPr>
        <w:t> </w:t>
      </w:r>
      <w:r>
        <w:rPr>
          <w:color w:val="231F20"/>
          <w:w w:val="95"/>
          <w:sz w:val="21"/>
        </w:rPr>
        <w:t>resultados. </w:t>
      </w:r>
      <w:r>
        <w:rPr>
          <w:color w:val="231F20"/>
          <w:sz w:val="21"/>
        </w:rPr>
        <w:t>Recuperado el 05 de enero de 2010, de </w:t>
      </w:r>
      <w:r>
        <w:rPr>
          <w:color w:val="231F20"/>
          <w:spacing w:val="2"/>
          <w:w w:val="104"/>
          <w:sz w:val="21"/>
          <w:u w:val="single" w:color="231F20"/>
        </w:rPr>
        <w:t>h</w:t>
      </w:r>
      <w:r>
        <w:rPr>
          <w:color w:val="231F20"/>
          <w:spacing w:val="1"/>
          <w:w w:val="107"/>
          <w:sz w:val="21"/>
          <w:u w:val="single" w:color="231F20"/>
        </w:rPr>
        <w:t>tt</w:t>
      </w:r>
      <w:r>
        <w:rPr>
          <w:color w:val="231F20"/>
          <w:spacing w:val="2"/>
          <w:w w:val="104"/>
          <w:sz w:val="21"/>
          <w:u w:val="single" w:color="231F20"/>
        </w:rPr>
        <w:t>p</w:t>
      </w:r>
      <w:r>
        <w:rPr>
          <w:color w:val="231F20"/>
          <w:spacing w:val="1"/>
          <w:w w:val="96"/>
          <w:sz w:val="21"/>
          <w:u w:val="single" w:color="231F20"/>
        </w:rPr>
        <w:t>s</w:t>
      </w:r>
      <w:r>
        <w:rPr>
          <w:color w:val="231F20"/>
          <w:w w:val="80"/>
          <w:sz w:val="21"/>
          <w:u w:val="single" w:color="231F20"/>
        </w:rPr>
        <w:t>:</w:t>
      </w:r>
      <w:r>
        <w:rPr>
          <w:color w:val="231F20"/>
          <w:spacing w:val="2"/>
          <w:w w:val="185"/>
          <w:sz w:val="21"/>
          <w:u w:val="single" w:color="231F20"/>
        </w:rPr>
        <w:t>//</w:t>
      </w:r>
      <w:hyperlink r:id="rId948">
        <w:r>
          <w:rPr>
            <w:color w:val="231F20"/>
            <w:spacing w:val="2"/>
            <w:w w:val="94"/>
            <w:sz w:val="21"/>
            <w:u w:val="single" w:color="231F20"/>
          </w:rPr>
          <w:t>www</w:t>
        </w:r>
        <w:r>
          <w:rPr>
            <w:color w:val="231F20"/>
            <w:w w:val="90"/>
            <w:sz w:val="21"/>
            <w:u w:val="single" w:color="231F20"/>
          </w:rPr>
          <w:t>.</w:t>
        </w:r>
        <w:r>
          <w:rPr>
            <w:color w:val="231F20"/>
            <w:spacing w:val="2"/>
            <w:w w:val="104"/>
            <w:sz w:val="21"/>
            <w:u w:val="single" w:color="231F20"/>
          </w:rPr>
          <w:t>o</w:t>
        </w:r>
        <w:r>
          <w:rPr>
            <w:color w:val="231F20"/>
            <w:spacing w:val="1"/>
            <w:w w:val="96"/>
            <w:sz w:val="21"/>
            <w:u w:val="single" w:color="231F20"/>
          </w:rPr>
          <w:t>ec</w:t>
        </w:r>
        <w:r>
          <w:rPr>
            <w:color w:val="231F20"/>
            <w:spacing w:val="2"/>
            <w:w w:val="102"/>
            <w:sz w:val="21"/>
            <w:u w:val="single" w:color="231F20"/>
          </w:rPr>
          <w:t>d</w:t>
        </w:r>
        <w:r>
          <w:rPr>
            <w:color w:val="231F20"/>
            <w:w w:val="90"/>
            <w:sz w:val="21"/>
            <w:u w:val="single" w:color="231F20"/>
          </w:rPr>
          <w:t>.</w:t>
        </w:r>
        <w:r>
          <w:rPr>
            <w:color w:val="231F20"/>
            <w:spacing w:val="2"/>
            <w:w w:val="104"/>
            <w:sz w:val="21"/>
            <w:u w:val="single" w:color="231F20"/>
          </w:rPr>
          <w:t>o</w:t>
        </w:r>
        <w:r>
          <w:rPr>
            <w:color w:val="231F20"/>
            <w:spacing w:val="1"/>
            <w:w w:val="103"/>
            <w:sz w:val="21"/>
            <w:u w:val="single" w:color="231F20"/>
          </w:rPr>
          <w:t>r</w:t>
        </w:r>
        <w:r>
          <w:rPr>
            <w:color w:val="231F20"/>
            <w:spacing w:val="1"/>
            <w:w w:val="92"/>
            <w:sz w:val="21"/>
            <w:u w:val="single" w:color="231F20"/>
          </w:rPr>
          <w:t>g</w:t>
        </w:r>
        <w:r>
          <w:rPr>
            <w:color w:val="231F20"/>
            <w:spacing w:val="2"/>
            <w:w w:val="185"/>
            <w:sz w:val="21"/>
            <w:u w:val="single" w:color="231F20"/>
          </w:rPr>
          <w:t>/</w:t>
        </w:r>
        <w:r>
          <w:rPr>
            <w:color w:val="231F20"/>
            <w:spacing w:val="1"/>
            <w:w w:val="96"/>
            <w:sz w:val="21"/>
            <w:u w:val="single" w:color="231F20"/>
          </w:rPr>
          <w:t>e</w:t>
        </w:r>
        <w:r>
          <w:rPr>
            <w:color w:val="231F20"/>
            <w:spacing w:val="2"/>
            <w:w w:val="102"/>
            <w:sz w:val="21"/>
            <w:u w:val="single" w:color="231F20"/>
          </w:rPr>
          <w:t>d</w:t>
        </w:r>
        <w:r>
          <w:rPr>
            <w:color w:val="231F20"/>
            <w:spacing w:val="2"/>
            <w:w w:val="130"/>
            <w:sz w:val="21"/>
            <w:u w:val="single" w:color="231F20"/>
          </w:rPr>
          <w:t>u/</w:t>
        </w:r>
        <w:r>
          <w:rPr>
            <w:color w:val="231F20"/>
            <w:spacing w:val="1"/>
            <w:w w:val="96"/>
            <w:sz w:val="21"/>
            <w:u w:val="single" w:color="231F20"/>
          </w:rPr>
          <w:t>s</w:t>
        </w:r>
        <w:r>
          <w:rPr>
            <w:color w:val="231F20"/>
            <w:spacing w:val="1"/>
            <w:w w:val="96"/>
            <w:sz w:val="21"/>
            <w:u w:val="single" w:color="231F20"/>
          </w:rPr>
          <w:t>c</w:t>
        </w:r>
        <w:r>
          <w:rPr>
            <w:color w:val="231F20"/>
            <w:spacing w:val="2"/>
            <w:w w:val="104"/>
            <w:sz w:val="21"/>
            <w:u w:val="single" w:color="231F20"/>
          </w:rPr>
          <w:t>hoo</w:t>
        </w:r>
        <w:r>
          <w:rPr>
            <w:color w:val="231F20"/>
            <w:w w:val="84"/>
            <w:sz w:val="21"/>
            <w:u w:val="single" w:color="231F20"/>
          </w:rPr>
          <w:t>l</w:t>
        </w:r>
        <w:r>
          <w:rPr>
            <w:color w:val="231F20"/>
            <w:spacing w:val="2"/>
            <w:w w:val="185"/>
            <w:sz w:val="21"/>
            <w:u w:val="single" w:color="231F20"/>
          </w:rPr>
          <w:t>/</w:t>
        </w:r>
        <w:r>
          <w:rPr>
            <w:color w:val="231F20"/>
            <w:spacing w:val="2"/>
            <w:w w:val="96"/>
            <w:sz w:val="21"/>
            <w:u w:val="single" w:color="231F20"/>
          </w:rPr>
          <w:t>43057468</w:t>
        </w:r>
        <w:r>
          <w:rPr>
            <w:color w:val="231F20"/>
            <w:w w:val="96"/>
            <w:sz w:val="21"/>
            <w:u w:val="single" w:color="231F20"/>
          </w:rPr>
          <w:t>.</w:t>
        </w:r>
        <w:r>
          <w:rPr>
            <w:color w:val="231F20"/>
            <w:spacing w:val="2"/>
            <w:w w:val="104"/>
            <w:sz w:val="21"/>
            <w:u w:val="single" w:color="231F20"/>
          </w:rPr>
          <w:t>p</w:t>
        </w:r>
        <w:r>
          <w:rPr>
            <w:color w:val="231F20"/>
            <w:spacing w:val="2"/>
            <w:w w:val="102"/>
            <w:sz w:val="21"/>
            <w:u w:val="single" w:color="231F20"/>
          </w:rPr>
          <w:t>d</w:t>
        </w:r>
        <w:r>
          <w:rPr>
            <w:color w:val="231F20"/>
            <w:w w:val="99"/>
            <w:sz w:val="21"/>
            <w:u w:val="single" w:color="231F20"/>
          </w:rPr>
          <w:t>f</w:t>
        </w:r>
      </w:hyperlink>
    </w:p>
    <w:p>
      <w:pPr>
        <w:pStyle w:val="BodyText"/>
        <w:spacing w:line="247" w:lineRule="auto"/>
        <w:ind w:left="822" w:hanging="721"/>
      </w:pPr>
      <w:r>
        <w:rPr>
          <w:color w:val="231F20"/>
        </w:rPr>
        <w:t>Ochoa, Azucena y Peiró I Gregori, Salvador. (2010). Estudio comparativo de las actuaciones de los profesores de secundaria ante situaciones que alteran la convivencia escolar: el caso de Querétaro (México) y Alicante (España). </w:t>
      </w:r>
      <w:r>
        <w:rPr>
          <w:i/>
          <w:color w:val="231F20"/>
          <w:w w:val="117"/>
        </w:rPr>
        <w:t>L</w:t>
      </w:r>
      <w:r>
        <w:rPr>
          <w:i/>
          <w:color w:val="231F20"/>
          <w:w w:val="83"/>
        </w:rPr>
        <w:t>a</w:t>
      </w:r>
      <w:r>
        <w:rPr>
          <w:i/>
          <w:color w:val="231F20"/>
        </w:rPr>
        <w:t> </w:t>
      </w:r>
      <w:r>
        <w:rPr>
          <w:i/>
          <w:color w:val="231F20"/>
          <w:w w:val="62"/>
        </w:rPr>
        <w:t>c</w:t>
      </w:r>
      <w:r>
        <w:rPr>
          <w:i/>
          <w:color w:val="231F20"/>
          <w:w w:val="72"/>
        </w:rPr>
        <w:t>o</w:t>
      </w:r>
      <w:r>
        <w:rPr>
          <w:i/>
          <w:color w:val="231F20"/>
          <w:w w:val="87"/>
        </w:rPr>
        <w:t>n</w:t>
      </w:r>
      <w:r>
        <w:rPr>
          <w:i/>
          <w:color w:val="231F20"/>
          <w:w w:val="81"/>
        </w:rPr>
        <w:t>vi</w:t>
      </w:r>
      <w:r>
        <w:rPr>
          <w:i/>
          <w:color w:val="231F20"/>
          <w:w w:val="73"/>
        </w:rPr>
        <w:t>ve</w:t>
      </w:r>
      <w:r>
        <w:rPr>
          <w:i/>
          <w:color w:val="231F20"/>
          <w:w w:val="87"/>
        </w:rPr>
        <w:t>n</w:t>
      </w:r>
      <w:r>
        <w:rPr>
          <w:i/>
          <w:color w:val="231F20"/>
          <w:w w:val="62"/>
        </w:rPr>
        <w:t>c</w:t>
      </w:r>
      <w:r>
        <w:rPr>
          <w:i/>
          <w:color w:val="231F20"/>
          <w:w w:val="84"/>
        </w:rPr>
        <w:t>i</w:t>
      </w:r>
      <w:r>
        <w:rPr>
          <w:i/>
          <w:color w:val="231F20"/>
          <w:w w:val="83"/>
        </w:rPr>
        <w:t>a</w:t>
      </w:r>
      <w:r>
        <w:rPr>
          <w:i/>
          <w:color w:val="231F20"/>
        </w:rPr>
        <w:t> </w:t>
      </w:r>
      <w:r>
        <w:rPr>
          <w:i/>
          <w:color w:val="231F20"/>
          <w:w w:val="67"/>
        </w:rPr>
        <w:t>e</w:t>
      </w:r>
      <w:r>
        <w:rPr>
          <w:i/>
          <w:color w:val="231F20"/>
          <w:w w:val="77"/>
        </w:rPr>
        <w:t>s</w:t>
      </w:r>
      <w:r>
        <w:rPr>
          <w:i/>
          <w:color w:val="231F20"/>
          <w:w w:val="62"/>
        </w:rPr>
        <w:t>c</w:t>
      </w:r>
      <w:r>
        <w:rPr>
          <w:i/>
          <w:color w:val="231F20"/>
          <w:w w:val="72"/>
        </w:rPr>
        <w:t>o</w:t>
      </w:r>
      <w:r>
        <w:rPr>
          <w:i/>
          <w:color w:val="231F20"/>
          <w:w w:val="80"/>
        </w:rPr>
        <w:t>l</w:t>
      </w:r>
      <w:r>
        <w:rPr>
          <w:i/>
          <w:color w:val="231F20"/>
          <w:w w:val="83"/>
        </w:rPr>
        <w:t>a</w:t>
      </w:r>
      <w:r>
        <w:rPr>
          <w:i/>
          <w:color w:val="231F20"/>
          <w:w w:val="83"/>
        </w:rPr>
        <w:t>r.</w:t>
      </w:r>
      <w:r>
        <w:rPr>
          <w:i/>
          <w:color w:val="231F20"/>
        </w:rPr>
        <w:t> </w:t>
      </w:r>
      <w:r>
        <w:rPr>
          <w:i/>
          <w:color w:val="231F20"/>
          <w:w w:val="128"/>
        </w:rPr>
        <w:t>A</w:t>
      </w:r>
      <w:r>
        <w:rPr>
          <w:i/>
          <w:color w:val="231F20"/>
          <w:w w:val="77"/>
        </w:rPr>
        <w:t>s</w:t>
      </w:r>
      <w:r>
        <w:rPr>
          <w:i/>
          <w:color w:val="231F20"/>
          <w:w w:val="83"/>
        </w:rPr>
        <w:t>p</w:t>
      </w:r>
      <w:r>
        <w:rPr>
          <w:i/>
          <w:color w:val="231F20"/>
          <w:w w:val="67"/>
        </w:rPr>
        <w:t>e</w:t>
      </w:r>
      <w:r>
        <w:rPr>
          <w:i/>
          <w:color w:val="231F20"/>
          <w:w w:val="62"/>
        </w:rPr>
        <w:t>c</w:t>
      </w:r>
      <w:r>
        <w:rPr>
          <w:i/>
          <w:color w:val="231F20"/>
          <w:w w:val="92"/>
        </w:rPr>
        <w:t>t</w:t>
      </w:r>
      <w:r>
        <w:rPr>
          <w:i/>
          <w:color w:val="231F20"/>
          <w:w w:val="72"/>
        </w:rPr>
        <w:t>o</w:t>
      </w:r>
      <w:r>
        <w:rPr>
          <w:i/>
          <w:color w:val="231F20"/>
          <w:w w:val="77"/>
        </w:rPr>
        <w:t>s</w:t>
      </w:r>
      <w:r>
        <w:rPr>
          <w:i/>
          <w:color w:val="231F20"/>
        </w:rPr>
        <w:t> </w:t>
      </w:r>
      <w:r>
        <w:rPr>
          <w:i/>
          <w:color w:val="231F20"/>
          <w:w w:val="83"/>
        </w:rPr>
        <w:t>p</w:t>
      </w:r>
      <w:r>
        <w:rPr>
          <w:i/>
          <w:color w:val="231F20"/>
          <w:w w:val="77"/>
        </w:rPr>
        <w:t>s</w:t>
      </w:r>
      <w:r>
        <w:rPr>
          <w:i/>
          <w:color w:val="231F20"/>
          <w:w w:val="84"/>
        </w:rPr>
        <w:t>i</w:t>
      </w:r>
      <w:r>
        <w:rPr>
          <w:i/>
          <w:color w:val="231F20"/>
          <w:w w:val="62"/>
        </w:rPr>
        <w:t>c</w:t>
      </w:r>
      <w:r>
        <w:rPr>
          <w:i/>
          <w:color w:val="231F20"/>
          <w:w w:val="72"/>
        </w:rPr>
        <w:t>o</w:t>
      </w:r>
      <w:r>
        <w:rPr>
          <w:i/>
          <w:color w:val="231F20"/>
          <w:w w:val="80"/>
        </w:rPr>
        <w:t>l</w:t>
      </w:r>
      <w:r>
        <w:rPr>
          <w:i/>
          <w:color w:val="231F20"/>
          <w:w w:val="72"/>
        </w:rPr>
        <w:t>ó</w:t>
      </w:r>
      <w:r>
        <w:rPr>
          <w:i/>
          <w:color w:val="231F20"/>
          <w:w w:val="72"/>
        </w:rPr>
        <w:t>gi</w:t>
      </w:r>
      <w:r>
        <w:rPr>
          <w:i/>
          <w:color w:val="231F20"/>
          <w:w w:val="62"/>
        </w:rPr>
        <w:t>c</w:t>
      </w:r>
      <w:r>
        <w:rPr>
          <w:i/>
          <w:color w:val="231F20"/>
          <w:w w:val="72"/>
        </w:rPr>
        <w:t>o</w:t>
      </w:r>
      <w:r>
        <w:rPr>
          <w:i/>
          <w:color w:val="231F20"/>
          <w:w w:val="77"/>
        </w:rPr>
        <w:t>s</w:t>
      </w:r>
      <w:r>
        <w:rPr>
          <w:i/>
          <w:color w:val="231F20"/>
        </w:rPr>
        <w:t> </w:t>
      </w:r>
      <w:r>
        <w:rPr>
          <w:i/>
          <w:color w:val="231F20"/>
          <w:w w:val="77"/>
        </w:rPr>
        <w:t>y</w:t>
      </w:r>
      <w:r>
        <w:rPr>
          <w:i/>
          <w:color w:val="231F20"/>
        </w:rPr>
        <w:t> </w:t>
      </w:r>
      <w:r>
        <w:rPr>
          <w:i/>
          <w:color w:val="231F20"/>
          <w:w w:val="67"/>
        </w:rPr>
        <w:t>e</w:t>
      </w:r>
      <w:r>
        <w:rPr>
          <w:i/>
          <w:color w:val="231F20"/>
          <w:w w:val="83"/>
        </w:rPr>
        <w:t>d</w:t>
      </w:r>
      <w:r>
        <w:rPr>
          <w:i/>
          <w:color w:val="231F20"/>
          <w:w w:val="87"/>
        </w:rPr>
        <w:t>u</w:t>
      </w:r>
      <w:r>
        <w:rPr>
          <w:i/>
          <w:color w:val="231F20"/>
          <w:w w:val="62"/>
        </w:rPr>
        <w:t>c</w:t>
      </w:r>
      <w:r>
        <w:rPr>
          <w:i/>
          <w:color w:val="231F20"/>
          <w:w w:val="83"/>
        </w:rPr>
        <w:t>a</w:t>
      </w:r>
      <w:r>
        <w:rPr>
          <w:i/>
          <w:color w:val="231F20"/>
          <w:w w:val="92"/>
        </w:rPr>
        <w:t>t</w:t>
      </w:r>
      <w:r>
        <w:rPr>
          <w:i/>
          <w:color w:val="231F20"/>
          <w:w w:val="84"/>
        </w:rPr>
        <w:t>i</w:t>
      </w:r>
      <w:r>
        <w:rPr>
          <w:i/>
          <w:color w:val="231F20"/>
          <w:w w:val="76"/>
        </w:rPr>
        <w:t>vo</w:t>
      </w:r>
      <w:r>
        <w:rPr>
          <w:i/>
          <w:color w:val="231F20"/>
          <w:w w:val="77"/>
        </w:rPr>
        <w:t>s</w:t>
      </w:r>
      <w:r>
        <w:rPr>
          <w:color w:val="231F20"/>
          <w:w w:val="89"/>
        </w:rPr>
        <w:t>.</w:t>
      </w:r>
      <w:r>
        <w:rPr>
          <w:color w:val="231F20"/>
        </w:rPr>
        <w:t> </w:t>
      </w:r>
      <w:r>
        <w:rPr>
          <w:color w:val="231F20"/>
          <w:w w:val="109"/>
        </w:rPr>
        <w:t>G</w:t>
      </w:r>
      <w:r>
        <w:rPr>
          <w:color w:val="231F20"/>
          <w:w w:val="103"/>
        </w:rPr>
        <w:t>r</w:t>
      </w:r>
      <w:r>
        <w:rPr>
          <w:color w:val="231F20"/>
          <w:w w:val="99"/>
        </w:rPr>
        <w:t>an</w:t>
      </w:r>
      <w:r>
        <w:rPr>
          <w:color w:val="231F20"/>
          <w:w w:val="98"/>
        </w:rPr>
        <w:t>ad</w:t>
      </w:r>
      <w:r>
        <w:rPr>
          <w:color w:val="231F20"/>
          <w:w w:val="89"/>
        </w:rPr>
        <w:t>a: </w:t>
      </w:r>
      <w:r>
        <w:rPr>
          <w:color w:val="231F20"/>
        </w:rPr>
        <w:t>GEU, 131-137.</w:t>
      </w:r>
    </w:p>
    <w:p>
      <w:pPr>
        <w:spacing w:after="0" w:line="247" w:lineRule="auto"/>
        <w:sectPr>
          <w:headerReference w:type="default" r:id="rId946"/>
          <w:footerReference w:type="default" r:id="rId947"/>
          <w:pgSz w:w="7830" w:h="11910"/>
          <w:pgMar w:header="0" w:footer="424" w:top="500" w:bottom="620" w:left="920" w:right="960"/>
          <w:pgNumType w:start="431"/>
        </w:sectPr>
      </w:pPr>
    </w:p>
    <w:p>
      <w:pPr>
        <w:spacing w:before="46"/>
        <w:ind w:left="596" w:right="5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spacing w:before="0"/>
        <w:ind w:left="102" w:right="50" w:firstLine="0"/>
        <w:jc w:val="left"/>
        <w:rPr>
          <w:i/>
          <w:sz w:val="21"/>
        </w:rPr>
      </w:pPr>
      <w:r>
        <w:rPr>
          <w:color w:val="231F20"/>
          <w:w w:val="90"/>
          <w:sz w:val="21"/>
        </w:rPr>
        <w:t>Olweus, Dan. (1998). </w:t>
      </w:r>
      <w:r>
        <w:rPr>
          <w:i/>
          <w:color w:val="231F20"/>
          <w:w w:val="90"/>
          <w:sz w:val="21"/>
        </w:rPr>
        <w:t>Conductas de acoso y amenaza entre escolares.</w:t>
      </w:r>
    </w:p>
    <w:p>
      <w:pPr>
        <w:pStyle w:val="BodyText"/>
        <w:spacing w:before="8"/>
        <w:ind w:left="822" w:right="50"/>
      </w:pPr>
      <w:r>
        <w:rPr>
          <w:color w:val="231F20"/>
        </w:rPr>
        <w:t>Madrid: Morata.</w:t>
      </w:r>
    </w:p>
    <w:p>
      <w:pPr>
        <w:pStyle w:val="BodyText"/>
        <w:spacing w:line="247" w:lineRule="auto" w:before="3"/>
        <w:ind w:left="822" w:right="50" w:hanging="720"/>
      </w:pPr>
      <w:r>
        <w:rPr>
          <w:color w:val="231F20"/>
        </w:rPr>
        <w:t>Ortega-Ruiz, Rosario. (1994). Violencia interpersonal en los centros educativos de educación secundaria: un estudio sobre el maltrato y la intimidación entre compañeros. </w:t>
      </w:r>
      <w:r>
        <w:rPr>
          <w:i/>
          <w:color w:val="231F20"/>
        </w:rPr>
        <w:t>Revista de </w:t>
      </w:r>
      <w:r>
        <w:rPr>
          <w:i/>
          <w:color w:val="231F20"/>
          <w:w w:val="90"/>
        </w:rPr>
        <w:t>educación, 304, </w:t>
      </w:r>
      <w:r>
        <w:rPr>
          <w:color w:val="231F20"/>
          <w:w w:val="90"/>
        </w:rPr>
        <w:t>253-280.</w:t>
      </w:r>
    </w:p>
    <w:p>
      <w:pPr>
        <w:pStyle w:val="BodyText"/>
        <w:spacing w:line="244" w:lineRule="auto" w:before="1"/>
        <w:ind w:left="822" w:right="165" w:hanging="720"/>
      </w:pPr>
      <w:r>
        <w:rPr>
          <w:color w:val="231F20"/>
        </w:rPr>
        <w:t>Ortega-Ruiz, Rosario. (1995). Las malas relaciones interpersonales en la escuela: estudio sobre la violencia y el maltrato entre compañeros de segunda etapa de EGB. </w:t>
      </w:r>
      <w:r>
        <w:rPr>
          <w:i/>
          <w:color w:val="231F20"/>
        </w:rPr>
        <w:t>Infancia y sociedad </w:t>
      </w:r>
      <w:r>
        <w:rPr>
          <w:i/>
          <w:color w:val="231F20"/>
          <w:w w:val="95"/>
        </w:rPr>
        <w:t>27-28, </w:t>
      </w:r>
      <w:r>
        <w:rPr>
          <w:color w:val="231F20"/>
          <w:w w:val="95"/>
        </w:rPr>
        <w:t>191-216.</w:t>
      </w:r>
    </w:p>
    <w:p>
      <w:pPr>
        <w:spacing w:line="244" w:lineRule="auto" w:before="3"/>
        <w:ind w:left="822" w:right="50" w:hanging="720"/>
        <w:jc w:val="left"/>
        <w:rPr>
          <w:sz w:val="21"/>
        </w:rPr>
      </w:pPr>
      <w:r>
        <w:rPr>
          <w:color w:val="231F20"/>
          <w:sz w:val="21"/>
        </w:rPr>
        <w:t>Ortega-Ruiz, Rosario, Del Rey, Rosario, Mora-Merchán, J. A. (2001). Violencia entre escolares: conceptos y etiquetas verbales que definen el maltrato entre iguales. </w:t>
      </w:r>
      <w:r>
        <w:rPr>
          <w:i/>
          <w:color w:val="231F20"/>
          <w:sz w:val="21"/>
        </w:rPr>
        <w:t>Revista </w:t>
      </w:r>
      <w:r>
        <w:rPr>
          <w:i/>
          <w:color w:val="231F20"/>
          <w:w w:val="85"/>
          <w:sz w:val="21"/>
        </w:rPr>
        <w:t>interuniversitaria de formación del profesorado</w:t>
      </w:r>
      <w:r>
        <w:rPr>
          <w:color w:val="231F20"/>
          <w:w w:val="85"/>
          <w:sz w:val="21"/>
        </w:rPr>
        <w:t>, (41)</w:t>
      </w:r>
      <w:r>
        <w:rPr>
          <w:i/>
          <w:color w:val="231F20"/>
          <w:w w:val="85"/>
          <w:sz w:val="21"/>
        </w:rPr>
        <w:t>, </w:t>
      </w:r>
      <w:r>
        <w:rPr>
          <w:color w:val="231F20"/>
          <w:w w:val="85"/>
          <w:sz w:val="21"/>
        </w:rPr>
        <w:t>95-113.</w:t>
      </w:r>
    </w:p>
    <w:p>
      <w:pPr>
        <w:spacing w:line="244" w:lineRule="auto" w:before="3"/>
        <w:ind w:left="822" w:right="752" w:hanging="720"/>
        <w:jc w:val="both"/>
        <w:rPr>
          <w:sz w:val="21"/>
        </w:rPr>
      </w:pPr>
      <w:r>
        <w:rPr>
          <w:color w:val="231F20"/>
          <w:sz w:val="21"/>
        </w:rPr>
        <w:t>Ortega-Ruiz, Rosario, Del Rey, Rosario. (2006). Construir</w:t>
      </w:r>
      <w:r>
        <w:rPr>
          <w:color w:val="231F20"/>
          <w:spacing w:val="-33"/>
          <w:sz w:val="21"/>
        </w:rPr>
        <w:t> </w:t>
      </w:r>
      <w:r>
        <w:rPr>
          <w:color w:val="231F20"/>
          <w:sz w:val="21"/>
        </w:rPr>
        <w:t>la </w:t>
      </w:r>
      <w:r>
        <w:rPr>
          <w:color w:val="231F20"/>
          <w:w w:val="85"/>
          <w:sz w:val="21"/>
        </w:rPr>
        <w:t>convivencia. </w:t>
      </w:r>
      <w:r>
        <w:rPr>
          <w:i/>
          <w:color w:val="231F20"/>
          <w:w w:val="85"/>
          <w:sz w:val="21"/>
        </w:rPr>
        <w:t>Primera jornada sobre violencia en educación. </w:t>
      </w:r>
      <w:r>
        <w:rPr>
          <w:color w:val="231F20"/>
          <w:sz w:val="21"/>
        </w:rPr>
        <w:t>Alicante: Club</w:t>
      </w:r>
      <w:r>
        <w:rPr>
          <w:color w:val="231F20"/>
          <w:spacing w:val="-38"/>
          <w:sz w:val="21"/>
        </w:rPr>
        <w:t> </w:t>
      </w:r>
      <w:r>
        <w:rPr>
          <w:color w:val="231F20"/>
          <w:sz w:val="21"/>
        </w:rPr>
        <w:t>Universitario.</w:t>
      </w:r>
    </w:p>
    <w:p>
      <w:pPr>
        <w:spacing w:line="242" w:lineRule="auto" w:before="3"/>
        <w:ind w:left="822" w:right="50" w:hanging="721"/>
        <w:jc w:val="left"/>
        <w:rPr>
          <w:i/>
          <w:sz w:val="21"/>
        </w:rPr>
      </w:pPr>
      <w:r>
        <w:rPr>
          <w:color w:val="231F20"/>
          <w:w w:val="95"/>
          <w:sz w:val="21"/>
        </w:rPr>
        <w:t>Peiró</w:t>
      </w:r>
      <w:r>
        <w:rPr>
          <w:color w:val="231F20"/>
          <w:spacing w:val="-30"/>
          <w:w w:val="95"/>
          <w:sz w:val="21"/>
        </w:rPr>
        <w:t> </w:t>
      </w:r>
      <w:r>
        <w:rPr>
          <w:color w:val="231F20"/>
          <w:w w:val="95"/>
          <w:sz w:val="21"/>
        </w:rPr>
        <w:t>I</w:t>
      </w:r>
      <w:r>
        <w:rPr>
          <w:color w:val="231F20"/>
          <w:spacing w:val="-30"/>
          <w:w w:val="95"/>
          <w:sz w:val="21"/>
        </w:rPr>
        <w:t> </w:t>
      </w:r>
      <w:r>
        <w:rPr>
          <w:color w:val="231F20"/>
          <w:w w:val="95"/>
          <w:sz w:val="21"/>
        </w:rPr>
        <w:t>Gregori,</w:t>
      </w:r>
      <w:r>
        <w:rPr>
          <w:color w:val="231F20"/>
          <w:spacing w:val="-30"/>
          <w:w w:val="95"/>
          <w:sz w:val="21"/>
        </w:rPr>
        <w:t> </w:t>
      </w:r>
      <w:r>
        <w:rPr>
          <w:color w:val="231F20"/>
          <w:w w:val="95"/>
          <w:sz w:val="21"/>
        </w:rPr>
        <w:t>Salvador.</w:t>
      </w:r>
      <w:r>
        <w:rPr>
          <w:color w:val="231F20"/>
          <w:spacing w:val="-34"/>
          <w:w w:val="95"/>
          <w:sz w:val="21"/>
        </w:rPr>
        <w:t> </w:t>
      </w:r>
      <w:r>
        <w:rPr>
          <w:color w:val="231F20"/>
          <w:w w:val="95"/>
          <w:sz w:val="21"/>
        </w:rPr>
        <w:t>(2002).</w:t>
      </w:r>
      <w:r>
        <w:rPr>
          <w:color w:val="231F20"/>
          <w:spacing w:val="-30"/>
          <w:w w:val="95"/>
          <w:sz w:val="21"/>
        </w:rPr>
        <w:t> </w:t>
      </w:r>
      <w:r>
        <w:rPr>
          <w:i/>
          <w:color w:val="231F20"/>
          <w:w w:val="95"/>
          <w:sz w:val="21"/>
        </w:rPr>
        <w:t>Segundas</w:t>
      </w:r>
      <w:r>
        <w:rPr>
          <w:i/>
          <w:color w:val="231F20"/>
          <w:spacing w:val="-30"/>
          <w:w w:val="95"/>
          <w:sz w:val="21"/>
        </w:rPr>
        <w:t> </w:t>
      </w:r>
      <w:r>
        <w:rPr>
          <w:i/>
          <w:color w:val="231F20"/>
          <w:w w:val="95"/>
          <w:sz w:val="21"/>
        </w:rPr>
        <w:t>jornadas</w:t>
      </w:r>
      <w:r>
        <w:rPr>
          <w:i/>
          <w:color w:val="231F20"/>
          <w:spacing w:val="-30"/>
          <w:w w:val="95"/>
          <w:sz w:val="21"/>
        </w:rPr>
        <w:t> </w:t>
      </w:r>
      <w:r>
        <w:rPr>
          <w:i/>
          <w:color w:val="231F20"/>
          <w:w w:val="95"/>
          <w:sz w:val="21"/>
        </w:rPr>
        <w:t>sobre</w:t>
      </w:r>
      <w:r>
        <w:rPr>
          <w:i/>
          <w:color w:val="231F20"/>
          <w:spacing w:val="-30"/>
          <w:w w:val="95"/>
          <w:sz w:val="21"/>
        </w:rPr>
        <w:t> </w:t>
      </w:r>
      <w:r>
        <w:rPr>
          <w:i/>
          <w:color w:val="231F20"/>
          <w:w w:val="95"/>
          <w:sz w:val="21"/>
        </w:rPr>
        <w:t>violencia</w:t>
      </w:r>
      <w:r>
        <w:rPr>
          <w:i/>
          <w:color w:val="231F20"/>
          <w:spacing w:val="-30"/>
          <w:w w:val="95"/>
          <w:sz w:val="21"/>
        </w:rPr>
        <w:t> </w:t>
      </w:r>
      <w:r>
        <w:rPr>
          <w:i/>
          <w:color w:val="231F20"/>
          <w:w w:val="95"/>
          <w:sz w:val="21"/>
        </w:rPr>
        <w:t>en </w:t>
      </w:r>
      <w:r>
        <w:rPr>
          <w:i/>
          <w:color w:val="231F20"/>
          <w:w w:val="80"/>
          <w:sz w:val="21"/>
        </w:rPr>
        <w:t>educación: problemas desde la perspectiva del centro</w:t>
      </w:r>
      <w:r>
        <w:rPr>
          <w:i/>
          <w:color w:val="231F20"/>
          <w:spacing w:val="28"/>
          <w:w w:val="80"/>
          <w:sz w:val="21"/>
        </w:rPr>
        <w:t> </w:t>
      </w:r>
      <w:r>
        <w:rPr>
          <w:i/>
          <w:color w:val="231F20"/>
          <w:w w:val="80"/>
          <w:sz w:val="21"/>
        </w:rPr>
        <w:t>docente.</w:t>
      </w:r>
    </w:p>
    <w:p>
      <w:pPr>
        <w:pStyle w:val="BodyText"/>
        <w:spacing w:before="6"/>
        <w:ind w:left="822" w:right="50"/>
      </w:pPr>
      <w:r>
        <w:rPr>
          <w:color w:val="231F20"/>
        </w:rPr>
        <w:t>Alicante: Club Universitario.</w:t>
      </w:r>
    </w:p>
    <w:p>
      <w:pPr>
        <w:spacing w:line="247" w:lineRule="auto" w:before="3"/>
        <w:ind w:left="822" w:right="602" w:hanging="720"/>
        <w:jc w:val="both"/>
        <w:rPr>
          <w:sz w:val="21"/>
        </w:rPr>
      </w:pPr>
      <w:r>
        <w:rPr>
          <w:color w:val="231F20"/>
          <w:sz w:val="21"/>
        </w:rPr>
        <w:t>Peiró I Gregori, Salvador. (2003). La educación familiar como modelo</w:t>
      </w:r>
      <w:r>
        <w:rPr>
          <w:color w:val="231F20"/>
          <w:spacing w:val="-12"/>
          <w:sz w:val="21"/>
        </w:rPr>
        <w:t> </w:t>
      </w:r>
      <w:r>
        <w:rPr>
          <w:color w:val="231F20"/>
          <w:sz w:val="21"/>
        </w:rPr>
        <w:t>para</w:t>
      </w:r>
      <w:r>
        <w:rPr>
          <w:color w:val="231F20"/>
          <w:spacing w:val="-12"/>
          <w:sz w:val="21"/>
        </w:rPr>
        <w:t> </w:t>
      </w:r>
      <w:r>
        <w:rPr>
          <w:color w:val="231F20"/>
          <w:sz w:val="21"/>
        </w:rPr>
        <w:t>contrarrestar</w:t>
      </w:r>
      <w:r>
        <w:rPr>
          <w:color w:val="231F20"/>
          <w:spacing w:val="-12"/>
          <w:sz w:val="21"/>
        </w:rPr>
        <w:t> </w:t>
      </w:r>
      <w:r>
        <w:rPr>
          <w:color w:val="231F20"/>
          <w:sz w:val="21"/>
        </w:rPr>
        <w:t>la</w:t>
      </w:r>
      <w:r>
        <w:rPr>
          <w:color w:val="231F20"/>
          <w:spacing w:val="-12"/>
          <w:sz w:val="21"/>
        </w:rPr>
        <w:t> </w:t>
      </w:r>
      <w:r>
        <w:rPr>
          <w:color w:val="231F20"/>
          <w:sz w:val="21"/>
        </w:rPr>
        <w:t>violencia</w:t>
      </w:r>
      <w:r>
        <w:rPr>
          <w:color w:val="231F20"/>
          <w:spacing w:val="-12"/>
          <w:sz w:val="21"/>
        </w:rPr>
        <w:t> </w:t>
      </w:r>
      <w:r>
        <w:rPr>
          <w:color w:val="231F20"/>
          <w:sz w:val="21"/>
        </w:rPr>
        <w:t>escolar.</w:t>
      </w:r>
      <w:r>
        <w:rPr>
          <w:color w:val="231F20"/>
          <w:spacing w:val="-10"/>
          <w:sz w:val="21"/>
        </w:rPr>
        <w:t> </w:t>
      </w:r>
      <w:r>
        <w:rPr>
          <w:i/>
          <w:color w:val="231F20"/>
          <w:sz w:val="21"/>
        </w:rPr>
        <w:t>Revista </w:t>
      </w:r>
      <w:r>
        <w:rPr>
          <w:i/>
          <w:color w:val="231F20"/>
          <w:w w:val="85"/>
          <w:sz w:val="21"/>
        </w:rPr>
        <w:t>Panamericana de Pedagogía, 4, </w:t>
      </w:r>
      <w:r>
        <w:rPr>
          <w:i/>
          <w:color w:val="231F20"/>
          <w:spacing w:val="15"/>
          <w:w w:val="85"/>
          <w:sz w:val="21"/>
        </w:rPr>
        <w:t> </w:t>
      </w:r>
      <w:r>
        <w:rPr>
          <w:color w:val="231F20"/>
          <w:w w:val="85"/>
          <w:sz w:val="21"/>
        </w:rPr>
        <w:t>232-253.</w:t>
      </w:r>
    </w:p>
    <w:p>
      <w:pPr>
        <w:spacing w:line="238" w:lineRule="exact" w:before="0"/>
        <w:ind w:left="102" w:right="50" w:firstLine="0"/>
        <w:jc w:val="left"/>
        <w:rPr>
          <w:i/>
          <w:sz w:val="21"/>
        </w:rPr>
      </w:pPr>
      <w:r>
        <w:rPr>
          <w:color w:val="231F20"/>
          <w:w w:val="95"/>
          <w:sz w:val="21"/>
        </w:rPr>
        <w:t>Peiró I Gregori, Salvador. (2005). </w:t>
      </w:r>
      <w:r>
        <w:rPr>
          <w:i/>
          <w:color w:val="231F20"/>
          <w:w w:val="95"/>
          <w:sz w:val="21"/>
        </w:rPr>
        <w:t>Indisciplina y violencia escolar.</w:t>
      </w:r>
    </w:p>
    <w:p>
      <w:pPr>
        <w:pStyle w:val="BodyText"/>
        <w:spacing w:before="8"/>
        <w:ind w:left="822" w:right="50"/>
        <w:rPr>
          <w:i/>
        </w:rPr>
      </w:pPr>
      <w:r>
        <w:rPr>
          <w:color w:val="231F20"/>
        </w:rPr>
        <w:t>Alicante: Instituto Alicantino de Cultura</w:t>
      </w:r>
      <w:r>
        <w:rPr>
          <w:i/>
          <w:color w:val="231F20"/>
        </w:rPr>
        <w:t>.</w:t>
      </w:r>
    </w:p>
    <w:p>
      <w:pPr>
        <w:spacing w:line="247" w:lineRule="auto" w:before="3"/>
        <w:ind w:left="822" w:right="92" w:hanging="720"/>
        <w:jc w:val="left"/>
        <w:rPr>
          <w:sz w:val="21"/>
        </w:rPr>
      </w:pPr>
      <w:r>
        <w:rPr>
          <w:color w:val="231F20"/>
          <w:sz w:val="21"/>
        </w:rPr>
        <w:t>Peiró I Gregori, Salvador. (2007). Factores disconvenenciales y </w:t>
      </w:r>
      <w:r>
        <w:rPr>
          <w:color w:val="231F20"/>
          <w:w w:val="95"/>
          <w:sz w:val="21"/>
        </w:rPr>
        <w:t>calidad educativa. En Rosabel Roig (dir.). </w:t>
      </w:r>
      <w:r>
        <w:rPr>
          <w:i/>
          <w:color w:val="231F20"/>
          <w:w w:val="95"/>
          <w:sz w:val="21"/>
        </w:rPr>
        <w:t>Investigar el cambio </w:t>
      </w:r>
      <w:r>
        <w:rPr>
          <w:i/>
          <w:color w:val="231F20"/>
          <w:w w:val="90"/>
          <w:sz w:val="21"/>
        </w:rPr>
        <w:t>curricular en el espacio europeo de Educación Superior. </w:t>
      </w:r>
      <w:r>
        <w:rPr>
          <w:color w:val="231F20"/>
          <w:w w:val="90"/>
          <w:sz w:val="21"/>
        </w:rPr>
        <w:t>Alcoi: </w:t>
      </w:r>
      <w:r>
        <w:rPr>
          <w:color w:val="231F20"/>
          <w:w w:val="95"/>
          <w:sz w:val="21"/>
        </w:rPr>
        <w:t>Marfil. 309-314.</w:t>
      </w:r>
    </w:p>
    <w:p>
      <w:pPr>
        <w:spacing w:line="238" w:lineRule="exact" w:before="0"/>
        <w:ind w:left="102" w:right="50" w:firstLine="0"/>
        <w:jc w:val="left"/>
        <w:rPr>
          <w:sz w:val="21"/>
        </w:rPr>
      </w:pPr>
      <w:r>
        <w:rPr>
          <w:color w:val="231F20"/>
          <w:w w:val="95"/>
          <w:sz w:val="21"/>
        </w:rPr>
        <w:t>Peiró I Gregori, Salvador. (2009). </w:t>
      </w:r>
      <w:r>
        <w:rPr>
          <w:i/>
          <w:color w:val="231F20"/>
          <w:w w:val="95"/>
          <w:sz w:val="21"/>
        </w:rPr>
        <w:t>Valores educativos y convivencia</w:t>
      </w:r>
      <w:r>
        <w:rPr>
          <w:color w:val="231F20"/>
          <w:w w:val="95"/>
          <w:sz w:val="21"/>
        </w:rPr>
        <w:t>.</w:t>
      </w:r>
    </w:p>
    <w:p>
      <w:pPr>
        <w:pStyle w:val="BodyText"/>
        <w:spacing w:before="8"/>
        <w:ind w:left="822" w:right="50"/>
      </w:pPr>
      <w:r>
        <w:rPr>
          <w:color w:val="231F20"/>
        </w:rPr>
        <w:t>Alicante: Club Universitario.</w:t>
      </w:r>
    </w:p>
    <w:p>
      <w:pPr>
        <w:spacing w:line="244" w:lineRule="auto" w:before="8"/>
        <w:ind w:left="822" w:right="540" w:hanging="721"/>
        <w:jc w:val="both"/>
        <w:rPr>
          <w:sz w:val="21"/>
        </w:rPr>
      </w:pPr>
      <w:r>
        <w:rPr>
          <w:color w:val="231F20"/>
          <w:sz w:val="21"/>
        </w:rPr>
        <w:t>Prieto García, Martha Patricia. (2005). Violencia escolar y vida cotidiana</w:t>
      </w:r>
      <w:r>
        <w:rPr>
          <w:color w:val="231F20"/>
          <w:spacing w:val="-33"/>
          <w:sz w:val="21"/>
        </w:rPr>
        <w:t> </w:t>
      </w:r>
      <w:r>
        <w:rPr>
          <w:color w:val="231F20"/>
          <w:sz w:val="21"/>
        </w:rPr>
        <w:t>en</w:t>
      </w:r>
      <w:r>
        <w:rPr>
          <w:color w:val="231F20"/>
          <w:spacing w:val="-33"/>
          <w:sz w:val="21"/>
        </w:rPr>
        <w:t> </w:t>
      </w:r>
      <w:r>
        <w:rPr>
          <w:color w:val="231F20"/>
          <w:sz w:val="21"/>
        </w:rPr>
        <w:t>una</w:t>
      </w:r>
      <w:r>
        <w:rPr>
          <w:color w:val="231F20"/>
          <w:spacing w:val="-33"/>
          <w:sz w:val="21"/>
        </w:rPr>
        <w:t> </w:t>
      </w:r>
      <w:r>
        <w:rPr>
          <w:color w:val="231F20"/>
          <w:sz w:val="21"/>
        </w:rPr>
        <w:t>escuela</w:t>
      </w:r>
      <w:r>
        <w:rPr>
          <w:color w:val="231F20"/>
          <w:spacing w:val="-33"/>
          <w:sz w:val="21"/>
        </w:rPr>
        <w:t> </w:t>
      </w:r>
      <w:r>
        <w:rPr>
          <w:color w:val="231F20"/>
          <w:sz w:val="21"/>
        </w:rPr>
        <w:t>secundaria.</w:t>
      </w:r>
      <w:r>
        <w:rPr>
          <w:color w:val="231F20"/>
          <w:spacing w:val="-34"/>
          <w:sz w:val="21"/>
        </w:rPr>
        <w:t> </w:t>
      </w:r>
      <w:r>
        <w:rPr>
          <w:i/>
          <w:color w:val="231F20"/>
          <w:sz w:val="21"/>
        </w:rPr>
        <w:t>Revista</w:t>
      </w:r>
      <w:r>
        <w:rPr>
          <w:i/>
          <w:color w:val="231F20"/>
          <w:spacing w:val="-33"/>
          <w:sz w:val="21"/>
        </w:rPr>
        <w:t> </w:t>
      </w:r>
      <w:r>
        <w:rPr>
          <w:i/>
          <w:color w:val="231F20"/>
          <w:sz w:val="21"/>
        </w:rPr>
        <w:t>mexicana</w:t>
      </w:r>
      <w:r>
        <w:rPr>
          <w:i/>
          <w:color w:val="231F20"/>
          <w:spacing w:val="-33"/>
          <w:sz w:val="21"/>
        </w:rPr>
        <w:t> </w:t>
      </w:r>
      <w:r>
        <w:rPr>
          <w:i/>
          <w:color w:val="231F20"/>
          <w:sz w:val="21"/>
        </w:rPr>
        <w:t>de </w:t>
      </w:r>
      <w:r>
        <w:rPr>
          <w:i/>
          <w:color w:val="231F20"/>
          <w:w w:val="90"/>
          <w:sz w:val="21"/>
        </w:rPr>
        <w:t>investigación</w:t>
      </w:r>
      <w:r>
        <w:rPr>
          <w:i/>
          <w:color w:val="231F20"/>
          <w:spacing w:val="-28"/>
          <w:w w:val="90"/>
          <w:sz w:val="21"/>
        </w:rPr>
        <w:t> </w:t>
      </w:r>
      <w:r>
        <w:rPr>
          <w:i/>
          <w:color w:val="231F20"/>
          <w:w w:val="90"/>
          <w:sz w:val="21"/>
        </w:rPr>
        <w:t>educativa</w:t>
      </w:r>
      <w:r>
        <w:rPr>
          <w:color w:val="231F20"/>
          <w:w w:val="90"/>
          <w:sz w:val="21"/>
        </w:rPr>
        <w:t>,</w:t>
      </w:r>
      <w:r>
        <w:rPr>
          <w:color w:val="231F20"/>
          <w:spacing w:val="-29"/>
          <w:w w:val="90"/>
          <w:sz w:val="21"/>
        </w:rPr>
        <w:t> </w:t>
      </w:r>
      <w:r>
        <w:rPr>
          <w:i/>
          <w:color w:val="231F20"/>
          <w:w w:val="90"/>
          <w:sz w:val="21"/>
        </w:rPr>
        <w:t>10</w:t>
      </w:r>
      <w:r>
        <w:rPr>
          <w:color w:val="231F20"/>
          <w:w w:val="90"/>
          <w:sz w:val="21"/>
        </w:rPr>
        <w:t>,</w:t>
      </w:r>
      <w:r>
        <w:rPr>
          <w:color w:val="231F20"/>
          <w:spacing w:val="-29"/>
          <w:w w:val="90"/>
          <w:sz w:val="21"/>
        </w:rPr>
        <w:t> </w:t>
      </w:r>
      <w:r>
        <w:rPr>
          <w:color w:val="231F20"/>
          <w:w w:val="90"/>
          <w:sz w:val="21"/>
        </w:rPr>
        <w:t>1005-1026.</w:t>
      </w:r>
    </w:p>
    <w:p>
      <w:pPr>
        <w:pStyle w:val="BodyText"/>
        <w:spacing w:line="247" w:lineRule="auto"/>
        <w:ind w:left="822" w:right="100" w:hanging="721"/>
      </w:pPr>
      <w:r>
        <w:rPr>
          <w:color w:val="231F20"/>
        </w:rPr>
        <w:t>Rigby, Ken &amp; Slee, Phillip Thomas. (1991). Bullying among Australian School Children: Reported Behavior and </w:t>
      </w:r>
      <w:r>
        <w:rPr>
          <w:color w:val="231F20"/>
          <w:w w:val="95"/>
        </w:rPr>
        <w:t>Attitudes</w:t>
      </w:r>
      <w:r>
        <w:rPr>
          <w:color w:val="231F20"/>
          <w:spacing w:val="-27"/>
          <w:w w:val="95"/>
        </w:rPr>
        <w:t> </w:t>
      </w:r>
      <w:r>
        <w:rPr>
          <w:color w:val="231F20"/>
          <w:w w:val="95"/>
        </w:rPr>
        <w:t>towards</w:t>
      </w:r>
      <w:r>
        <w:rPr>
          <w:color w:val="231F20"/>
          <w:spacing w:val="-27"/>
          <w:w w:val="95"/>
        </w:rPr>
        <w:t> </w:t>
      </w:r>
      <w:r>
        <w:rPr>
          <w:color w:val="231F20"/>
          <w:w w:val="95"/>
        </w:rPr>
        <w:t>Victims.</w:t>
      </w:r>
      <w:r>
        <w:rPr>
          <w:color w:val="231F20"/>
          <w:spacing w:val="-27"/>
          <w:w w:val="95"/>
        </w:rPr>
        <w:t> </w:t>
      </w:r>
      <w:r>
        <w:rPr>
          <w:i/>
          <w:color w:val="231F20"/>
          <w:w w:val="95"/>
        </w:rPr>
        <w:t>Journal</w:t>
      </w:r>
      <w:r>
        <w:rPr>
          <w:i/>
          <w:color w:val="231F20"/>
          <w:spacing w:val="-27"/>
          <w:w w:val="95"/>
        </w:rPr>
        <w:t> </w:t>
      </w:r>
      <w:r>
        <w:rPr>
          <w:i/>
          <w:color w:val="231F20"/>
          <w:w w:val="95"/>
        </w:rPr>
        <w:t>of</w:t>
      </w:r>
      <w:r>
        <w:rPr>
          <w:i/>
          <w:color w:val="231F20"/>
          <w:spacing w:val="-27"/>
          <w:w w:val="95"/>
        </w:rPr>
        <w:t> </w:t>
      </w:r>
      <w:r>
        <w:rPr>
          <w:i/>
          <w:color w:val="231F20"/>
          <w:w w:val="95"/>
        </w:rPr>
        <w:t>Social</w:t>
      </w:r>
      <w:r>
        <w:rPr>
          <w:i/>
          <w:color w:val="231F20"/>
          <w:spacing w:val="-27"/>
          <w:w w:val="95"/>
        </w:rPr>
        <w:t> </w:t>
      </w:r>
      <w:r>
        <w:rPr>
          <w:i/>
          <w:color w:val="231F20"/>
          <w:w w:val="95"/>
        </w:rPr>
        <w:t>Psychology.</w:t>
      </w:r>
      <w:r>
        <w:rPr>
          <w:i/>
          <w:color w:val="231F20"/>
          <w:spacing w:val="-27"/>
          <w:w w:val="95"/>
        </w:rPr>
        <w:t> </w:t>
      </w:r>
      <w:r>
        <w:rPr>
          <w:i/>
          <w:color w:val="231F20"/>
          <w:w w:val="95"/>
        </w:rPr>
        <w:t>131</w:t>
      </w:r>
      <w:r>
        <w:rPr>
          <w:color w:val="231F20"/>
          <w:w w:val="95"/>
        </w:rPr>
        <w:t>(5)</w:t>
      </w:r>
      <w:r>
        <w:rPr>
          <w:i/>
          <w:color w:val="231F20"/>
          <w:w w:val="95"/>
        </w:rPr>
        <w:t>, </w:t>
      </w:r>
      <w:r>
        <w:rPr>
          <w:color w:val="231F20"/>
        </w:rPr>
        <w:t>615-627.</w:t>
      </w:r>
    </w:p>
    <w:p>
      <w:pPr>
        <w:spacing w:after="0" w:line="247" w:lineRule="auto"/>
        <w:sectPr>
          <w:headerReference w:type="default" r:id="rId949"/>
          <w:footerReference w:type="default" r:id="rId950"/>
          <w:pgSz w:w="7830" w:h="11910"/>
          <w:pgMar w:header="0" w:footer="424" w:top="500" w:bottom="620" w:left="920" w:right="940"/>
          <w:pgNumType w:start="432"/>
        </w:sectPr>
      </w:pPr>
    </w:p>
    <w:p>
      <w:pPr>
        <w:spacing w:before="46"/>
        <w:ind w:left="1463" w:right="774"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pStyle w:val="BodyText"/>
        <w:ind w:left="102"/>
      </w:pPr>
      <w:r>
        <w:rPr>
          <w:color w:val="231F20"/>
        </w:rPr>
        <w:t>Silva Méndez, Jorge Luis y Corona Vargas, Adriana. (2010).</w:t>
      </w:r>
    </w:p>
    <w:p>
      <w:pPr>
        <w:spacing w:line="244" w:lineRule="auto" w:before="8"/>
        <w:ind w:left="822" w:right="214" w:firstLine="0"/>
        <w:jc w:val="left"/>
        <w:rPr>
          <w:sz w:val="21"/>
        </w:rPr>
      </w:pPr>
      <w:r>
        <w:rPr>
          <w:color w:val="231F20"/>
          <w:sz w:val="21"/>
        </w:rPr>
        <w:t>Violencia en las escuelas del Distrito Federal. La experiencia de la Unidad para la Atención al Maltrato y Abuso Sexual Infantil, 2001-2007. </w:t>
      </w:r>
      <w:r>
        <w:rPr>
          <w:i/>
          <w:color w:val="231F20"/>
          <w:sz w:val="21"/>
        </w:rPr>
        <w:t>Revista mexicana de </w:t>
      </w:r>
      <w:r>
        <w:rPr>
          <w:i/>
          <w:color w:val="231F20"/>
          <w:w w:val="90"/>
          <w:sz w:val="21"/>
        </w:rPr>
        <w:t>investigación educativa 15</w:t>
      </w:r>
      <w:r>
        <w:rPr>
          <w:color w:val="231F20"/>
          <w:w w:val="90"/>
          <w:sz w:val="21"/>
        </w:rPr>
        <w:t>(46), 739-770.</w:t>
      </w:r>
    </w:p>
    <w:p>
      <w:pPr>
        <w:pStyle w:val="BodyText"/>
        <w:spacing w:line="244" w:lineRule="auto" w:before="3"/>
        <w:ind w:left="822" w:right="344" w:hanging="720"/>
      </w:pPr>
      <w:r>
        <w:rPr>
          <w:color w:val="231F20"/>
        </w:rPr>
        <w:t>Sourander, Andre, Helstela, Leila, Helenius, Hans &amp; Piha, Jorma. (2000). Persistence of Bullying from Childhood to Adolescence: a Longitudinal 8-Year Follow-up Study, </w:t>
      </w:r>
      <w:r>
        <w:rPr>
          <w:color w:val="231F20"/>
          <w:w w:val="95"/>
        </w:rPr>
        <w:t>Child Abuse and Neglect. </w:t>
      </w:r>
      <w:r>
        <w:rPr>
          <w:i/>
          <w:color w:val="231F20"/>
          <w:w w:val="95"/>
        </w:rPr>
        <w:t>The International Journal. 24</w:t>
      </w:r>
      <w:r>
        <w:rPr>
          <w:color w:val="231F20"/>
          <w:w w:val="95"/>
        </w:rPr>
        <w:t>(7)</w:t>
      </w:r>
      <w:r>
        <w:rPr>
          <w:i/>
          <w:color w:val="231F20"/>
          <w:w w:val="95"/>
        </w:rPr>
        <w:t>, </w:t>
      </w:r>
      <w:r>
        <w:rPr>
          <w:color w:val="231F20"/>
        </w:rPr>
        <w:t>873-881.</w:t>
      </w:r>
    </w:p>
    <w:p>
      <w:pPr>
        <w:spacing w:line="242" w:lineRule="auto" w:before="3"/>
        <w:ind w:left="821" w:right="0" w:hanging="720"/>
        <w:jc w:val="left"/>
        <w:rPr>
          <w:sz w:val="21"/>
        </w:rPr>
      </w:pPr>
      <w:r>
        <w:rPr>
          <w:color w:val="231F20"/>
          <w:w w:val="95"/>
          <w:sz w:val="21"/>
        </w:rPr>
        <w:t>Torrego,</w:t>
      </w:r>
      <w:r>
        <w:rPr>
          <w:color w:val="231F20"/>
          <w:spacing w:val="-19"/>
          <w:w w:val="95"/>
          <w:sz w:val="21"/>
        </w:rPr>
        <w:t> </w:t>
      </w:r>
      <w:r>
        <w:rPr>
          <w:color w:val="231F20"/>
          <w:w w:val="95"/>
          <w:sz w:val="21"/>
        </w:rPr>
        <w:t>Juan</w:t>
      </w:r>
      <w:r>
        <w:rPr>
          <w:color w:val="231F20"/>
          <w:spacing w:val="-18"/>
          <w:w w:val="95"/>
          <w:sz w:val="21"/>
        </w:rPr>
        <w:t> </w:t>
      </w:r>
      <w:r>
        <w:rPr>
          <w:color w:val="231F20"/>
          <w:w w:val="95"/>
          <w:sz w:val="21"/>
        </w:rPr>
        <w:t>Carlos</w:t>
      </w:r>
      <w:r>
        <w:rPr>
          <w:color w:val="231F20"/>
          <w:spacing w:val="-19"/>
          <w:w w:val="95"/>
          <w:sz w:val="21"/>
        </w:rPr>
        <w:t> </w:t>
      </w:r>
      <w:r>
        <w:rPr>
          <w:color w:val="231F20"/>
          <w:w w:val="95"/>
          <w:sz w:val="21"/>
        </w:rPr>
        <w:t>(coord.).</w:t>
      </w:r>
      <w:r>
        <w:rPr>
          <w:color w:val="231F20"/>
          <w:spacing w:val="-19"/>
          <w:w w:val="95"/>
          <w:sz w:val="21"/>
        </w:rPr>
        <w:t> </w:t>
      </w:r>
      <w:r>
        <w:rPr>
          <w:color w:val="231F20"/>
          <w:w w:val="95"/>
          <w:sz w:val="21"/>
        </w:rPr>
        <w:t>(2006).</w:t>
      </w:r>
      <w:r>
        <w:rPr>
          <w:color w:val="231F20"/>
          <w:spacing w:val="-20"/>
          <w:w w:val="95"/>
          <w:sz w:val="21"/>
        </w:rPr>
        <w:t> </w:t>
      </w:r>
      <w:r>
        <w:rPr>
          <w:i/>
          <w:color w:val="231F20"/>
          <w:w w:val="95"/>
          <w:sz w:val="21"/>
        </w:rPr>
        <w:t>Modelo</w:t>
      </w:r>
      <w:r>
        <w:rPr>
          <w:i/>
          <w:color w:val="231F20"/>
          <w:spacing w:val="-18"/>
          <w:w w:val="95"/>
          <w:sz w:val="21"/>
        </w:rPr>
        <w:t> </w:t>
      </w:r>
      <w:r>
        <w:rPr>
          <w:i/>
          <w:color w:val="231F20"/>
          <w:w w:val="95"/>
          <w:sz w:val="21"/>
        </w:rPr>
        <w:t>integrado</w:t>
      </w:r>
      <w:r>
        <w:rPr>
          <w:i/>
          <w:color w:val="231F20"/>
          <w:spacing w:val="-18"/>
          <w:w w:val="95"/>
          <w:sz w:val="21"/>
        </w:rPr>
        <w:t> </w:t>
      </w:r>
      <w:r>
        <w:rPr>
          <w:i/>
          <w:color w:val="231F20"/>
          <w:w w:val="95"/>
          <w:sz w:val="21"/>
        </w:rPr>
        <w:t>de</w:t>
      </w:r>
      <w:r>
        <w:rPr>
          <w:i/>
          <w:color w:val="231F20"/>
          <w:spacing w:val="-19"/>
          <w:w w:val="95"/>
          <w:sz w:val="21"/>
        </w:rPr>
        <w:t> </w:t>
      </w:r>
      <w:r>
        <w:rPr>
          <w:i/>
          <w:color w:val="231F20"/>
          <w:w w:val="95"/>
          <w:sz w:val="21"/>
        </w:rPr>
        <w:t>mejora</w:t>
      </w:r>
      <w:r>
        <w:rPr>
          <w:i/>
          <w:color w:val="231F20"/>
          <w:spacing w:val="-18"/>
          <w:w w:val="95"/>
          <w:sz w:val="21"/>
        </w:rPr>
        <w:t> </w:t>
      </w:r>
      <w:r>
        <w:rPr>
          <w:i/>
          <w:color w:val="231F20"/>
          <w:w w:val="95"/>
          <w:sz w:val="21"/>
        </w:rPr>
        <w:t>de</w:t>
      </w:r>
      <w:r>
        <w:rPr>
          <w:i/>
          <w:color w:val="231F20"/>
          <w:spacing w:val="-19"/>
          <w:w w:val="95"/>
          <w:sz w:val="21"/>
        </w:rPr>
        <w:t> </w:t>
      </w:r>
      <w:r>
        <w:rPr>
          <w:i/>
          <w:color w:val="231F20"/>
          <w:w w:val="95"/>
          <w:sz w:val="21"/>
        </w:rPr>
        <w:t>la </w:t>
      </w:r>
      <w:r>
        <w:rPr>
          <w:i/>
          <w:color w:val="231F20"/>
          <w:w w:val="90"/>
          <w:sz w:val="21"/>
        </w:rPr>
        <w:t>convivencia. </w:t>
      </w:r>
      <w:r>
        <w:rPr>
          <w:color w:val="231F20"/>
          <w:w w:val="90"/>
          <w:sz w:val="21"/>
        </w:rPr>
        <w:t>Madrid:</w:t>
      </w:r>
      <w:r>
        <w:rPr>
          <w:color w:val="231F20"/>
          <w:spacing w:val="15"/>
          <w:w w:val="90"/>
          <w:sz w:val="21"/>
        </w:rPr>
        <w:t> </w:t>
      </w:r>
      <w:r>
        <w:rPr>
          <w:color w:val="231F20"/>
          <w:w w:val="90"/>
          <w:sz w:val="21"/>
        </w:rPr>
        <w:t>Graó.</w:t>
      </w:r>
    </w:p>
    <w:p>
      <w:pPr>
        <w:spacing w:line="244" w:lineRule="auto" w:before="6"/>
        <w:ind w:left="822" w:right="291" w:hanging="721"/>
        <w:jc w:val="both"/>
        <w:rPr>
          <w:sz w:val="21"/>
        </w:rPr>
      </w:pPr>
      <w:r>
        <w:rPr>
          <w:color w:val="231F20"/>
          <w:w w:val="95"/>
          <w:sz w:val="21"/>
        </w:rPr>
        <w:t>Torrego, Juan Carlos y Moreno, Juan Manuel. (2003). </w:t>
      </w:r>
      <w:r>
        <w:rPr>
          <w:i/>
          <w:color w:val="231F20"/>
          <w:w w:val="95"/>
          <w:sz w:val="21"/>
        </w:rPr>
        <w:t>Convivencia y </w:t>
      </w:r>
      <w:r>
        <w:rPr>
          <w:i/>
          <w:color w:val="231F20"/>
          <w:w w:val="90"/>
          <w:sz w:val="21"/>
        </w:rPr>
        <w:t>disciplina</w:t>
      </w:r>
      <w:r>
        <w:rPr>
          <w:i/>
          <w:color w:val="231F20"/>
          <w:spacing w:val="-24"/>
          <w:w w:val="90"/>
          <w:sz w:val="21"/>
        </w:rPr>
        <w:t> </w:t>
      </w:r>
      <w:r>
        <w:rPr>
          <w:i/>
          <w:color w:val="231F20"/>
          <w:w w:val="90"/>
          <w:sz w:val="21"/>
        </w:rPr>
        <w:t>en</w:t>
      </w:r>
      <w:r>
        <w:rPr>
          <w:i/>
          <w:color w:val="231F20"/>
          <w:spacing w:val="-24"/>
          <w:w w:val="90"/>
          <w:sz w:val="21"/>
        </w:rPr>
        <w:t> </w:t>
      </w:r>
      <w:r>
        <w:rPr>
          <w:i/>
          <w:color w:val="231F20"/>
          <w:w w:val="90"/>
          <w:sz w:val="21"/>
        </w:rPr>
        <w:t>la</w:t>
      </w:r>
      <w:r>
        <w:rPr>
          <w:i/>
          <w:color w:val="231F20"/>
          <w:spacing w:val="-24"/>
          <w:w w:val="90"/>
          <w:sz w:val="21"/>
        </w:rPr>
        <w:t> </w:t>
      </w:r>
      <w:r>
        <w:rPr>
          <w:i/>
          <w:color w:val="231F20"/>
          <w:w w:val="90"/>
          <w:sz w:val="21"/>
        </w:rPr>
        <w:t>escuela:</w:t>
      </w:r>
      <w:r>
        <w:rPr>
          <w:i/>
          <w:color w:val="231F20"/>
          <w:spacing w:val="-25"/>
          <w:w w:val="90"/>
          <w:sz w:val="21"/>
        </w:rPr>
        <w:t> </w:t>
      </w:r>
      <w:r>
        <w:rPr>
          <w:i/>
          <w:color w:val="231F20"/>
          <w:w w:val="90"/>
          <w:sz w:val="21"/>
        </w:rPr>
        <w:t>El</w:t>
      </w:r>
      <w:r>
        <w:rPr>
          <w:i/>
          <w:color w:val="231F20"/>
          <w:spacing w:val="-25"/>
          <w:w w:val="90"/>
          <w:sz w:val="21"/>
        </w:rPr>
        <w:t> </w:t>
      </w:r>
      <w:r>
        <w:rPr>
          <w:i/>
          <w:color w:val="231F20"/>
          <w:w w:val="90"/>
          <w:sz w:val="21"/>
        </w:rPr>
        <w:t>aprendizaje</w:t>
      </w:r>
      <w:r>
        <w:rPr>
          <w:i/>
          <w:color w:val="231F20"/>
          <w:spacing w:val="-25"/>
          <w:w w:val="90"/>
          <w:sz w:val="21"/>
        </w:rPr>
        <w:t> </w:t>
      </w:r>
      <w:r>
        <w:rPr>
          <w:i/>
          <w:color w:val="231F20"/>
          <w:w w:val="90"/>
          <w:sz w:val="21"/>
        </w:rPr>
        <w:t>de</w:t>
      </w:r>
      <w:r>
        <w:rPr>
          <w:i/>
          <w:color w:val="231F20"/>
          <w:spacing w:val="-25"/>
          <w:w w:val="90"/>
          <w:sz w:val="21"/>
        </w:rPr>
        <w:t> </w:t>
      </w:r>
      <w:r>
        <w:rPr>
          <w:i/>
          <w:color w:val="231F20"/>
          <w:w w:val="90"/>
          <w:sz w:val="21"/>
        </w:rPr>
        <w:t>la</w:t>
      </w:r>
      <w:r>
        <w:rPr>
          <w:i/>
          <w:color w:val="231F20"/>
          <w:spacing w:val="-24"/>
          <w:w w:val="90"/>
          <w:sz w:val="21"/>
        </w:rPr>
        <w:t> </w:t>
      </w:r>
      <w:r>
        <w:rPr>
          <w:i/>
          <w:color w:val="231F20"/>
          <w:w w:val="90"/>
          <w:sz w:val="21"/>
        </w:rPr>
        <w:t>democracia.</w:t>
      </w:r>
      <w:r>
        <w:rPr>
          <w:i/>
          <w:color w:val="231F20"/>
          <w:spacing w:val="-25"/>
          <w:w w:val="90"/>
          <w:sz w:val="21"/>
        </w:rPr>
        <w:t> </w:t>
      </w:r>
      <w:r>
        <w:rPr>
          <w:color w:val="231F20"/>
          <w:w w:val="90"/>
          <w:sz w:val="21"/>
        </w:rPr>
        <w:t>Madrid: </w:t>
      </w:r>
      <w:r>
        <w:rPr>
          <w:color w:val="231F20"/>
          <w:w w:val="95"/>
          <w:sz w:val="21"/>
        </w:rPr>
        <w:t>Alianza.</w:t>
      </w:r>
    </w:p>
    <w:p>
      <w:pPr>
        <w:spacing w:line="244" w:lineRule="auto" w:before="3"/>
        <w:ind w:left="821" w:right="0" w:hanging="720"/>
        <w:jc w:val="left"/>
        <w:rPr>
          <w:sz w:val="21"/>
        </w:rPr>
      </w:pPr>
      <w:r>
        <w:rPr>
          <w:color w:val="231F20"/>
          <w:sz w:val="21"/>
        </w:rPr>
        <w:t>Tortosa, José María. (2001). Paz, desarrollo, violencia y pobreza. En </w:t>
      </w:r>
      <w:r>
        <w:rPr>
          <w:color w:val="231F20"/>
          <w:w w:val="95"/>
          <w:sz w:val="21"/>
        </w:rPr>
        <w:t>Salvador Peiró I Gregori. </w:t>
      </w:r>
      <w:r>
        <w:rPr>
          <w:i/>
          <w:color w:val="231F20"/>
          <w:w w:val="95"/>
          <w:sz w:val="21"/>
        </w:rPr>
        <w:t>Primeras jornadas sobre violencia en </w:t>
      </w:r>
      <w:r>
        <w:rPr>
          <w:i/>
          <w:color w:val="231F20"/>
          <w:w w:val="95"/>
          <w:sz w:val="21"/>
        </w:rPr>
        <w:t>educación. </w:t>
      </w:r>
      <w:r>
        <w:rPr>
          <w:color w:val="231F20"/>
          <w:w w:val="95"/>
          <w:sz w:val="21"/>
        </w:rPr>
        <w:t>Alcalá: Editorial Club Universitario. 33-50.</w:t>
      </w:r>
    </w:p>
    <w:p>
      <w:pPr>
        <w:spacing w:line="247" w:lineRule="auto" w:before="0"/>
        <w:ind w:left="821" w:right="0" w:hanging="720"/>
        <w:jc w:val="left"/>
        <w:rPr>
          <w:sz w:val="21"/>
        </w:rPr>
      </w:pPr>
      <w:r>
        <w:rPr>
          <w:color w:val="231F20"/>
          <w:w w:val="90"/>
          <w:sz w:val="21"/>
        </w:rPr>
        <w:t>Turiel,</w:t>
      </w:r>
      <w:r>
        <w:rPr>
          <w:color w:val="231F20"/>
          <w:spacing w:val="-13"/>
          <w:w w:val="90"/>
          <w:sz w:val="21"/>
        </w:rPr>
        <w:t> </w:t>
      </w:r>
      <w:r>
        <w:rPr>
          <w:color w:val="231F20"/>
          <w:w w:val="90"/>
          <w:sz w:val="21"/>
        </w:rPr>
        <w:t>Elliot.</w:t>
      </w:r>
      <w:r>
        <w:rPr>
          <w:color w:val="231F20"/>
          <w:spacing w:val="-13"/>
          <w:w w:val="90"/>
          <w:sz w:val="21"/>
        </w:rPr>
        <w:t> </w:t>
      </w:r>
      <w:r>
        <w:rPr>
          <w:color w:val="231F20"/>
          <w:w w:val="90"/>
          <w:sz w:val="21"/>
        </w:rPr>
        <w:t>(1984).</w:t>
      </w:r>
      <w:r>
        <w:rPr>
          <w:color w:val="231F20"/>
          <w:spacing w:val="-13"/>
          <w:w w:val="90"/>
          <w:sz w:val="21"/>
        </w:rPr>
        <w:t> </w:t>
      </w:r>
      <w:r>
        <w:rPr>
          <w:i/>
          <w:color w:val="231F20"/>
          <w:w w:val="90"/>
          <w:sz w:val="21"/>
        </w:rPr>
        <w:t>El</w:t>
      </w:r>
      <w:r>
        <w:rPr>
          <w:i/>
          <w:color w:val="231F20"/>
          <w:spacing w:val="-13"/>
          <w:w w:val="90"/>
          <w:sz w:val="21"/>
        </w:rPr>
        <w:t> </w:t>
      </w:r>
      <w:r>
        <w:rPr>
          <w:i/>
          <w:color w:val="231F20"/>
          <w:w w:val="90"/>
          <w:sz w:val="21"/>
        </w:rPr>
        <w:t>desarollo</w:t>
      </w:r>
      <w:r>
        <w:rPr>
          <w:i/>
          <w:color w:val="231F20"/>
          <w:spacing w:val="-13"/>
          <w:w w:val="90"/>
          <w:sz w:val="21"/>
        </w:rPr>
        <w:t> </w:t>
      </w:r>
      <w:r>
        <w:rPr>
          <w:i/>
          <w:color w:val="231F20"/>
          <w:w w:val="90"/>
          <w:sz w:val="21"/>
        </w:rPr>
        <w:t>del</w:t>
      </w:r>
      <w:r>
        <w:rPr>
          <w:i/>
          <w:color w:val="231F20"/>
          <w:spacing w:val="-13"/>
          <w:w w:val="90"/>
          <w:sz w:val="21"/>
        </w:rPr>
        <w:t> </w:t>
      </w:r>
      <w:r>
        <w:rPr>
          <w:i/>
          <w:color w:val="231F20"/>
          <w:w w:val="90"/>
          <w:sz w:val="21"/>
        </w:rPr>
        <w:t>conocimiento</w:t>
      </w:r>
      <w:r>
        <w:rPr>
          <w:i/>
          <w:color w:val="231F20"/>
          <w:spacing w:val="-13"/>
          <w:w w:val="90"/>
          <w:sz w:val="21"/>
        </w:rPr>
        <w:t> </w:t>
      </w:r>
      <w:r>
        <w:rPr>
          <w:i/>
          <w:color w:val="231F20"/>
          <w:w w:val="90"/>
          <w:sz w:val="21"/>
        </w:rPr>
        <w:t>social.</w:t>
      </w:r>
      <w:r>
        <w:rPr>
          <w:i/>
          <w:color w:val="231F20"/>
          <w:spacing w:val="-13"/>
          <w:w w:val="90"/>
          <w:sz w:val="21"/>
        </w:rPr>
        <w:t> </w:t>
      </w:r>
      <w:r>
        <w:rPr>
          <w:i/>
          <w:color w:val="231F20"/>
          <w:w w:val="90"/>
          <w:sz w:val="21"/>
        </w:rPr>
        <w:t>Moralidad</w:t>
      </w:r>
      <w:r>
        <w:rPr>
          <w:i/>
          <w:color w:val="231F20"/>
          <w:spacing w:val="-13"/>
          <w:w w:val="90"/>
          <w:sz w:val="21"/>
        </w:rPr>
        <w:t> </w:t>
      </w:r>
      <w:r>
        <w:rPr>
          <w:i/>
          <w:color w:val="231F20"/>
          <w:w w:val="90"/>
          <w:sz w:val="21"/>
        </w:rPr>
        <w:t>y </w:t>
      </w:r>
      <w:r>
        <w:rPr>
          <w:i/>
          <w:color w:val="231F20"/>
          <w:w w:val="90"/>
          <w:sz w:val="21"/>
        </w:rPr>
        <w:t>convención. </w:t>
      </w:r>
      <w:r>
        <w:rPr>
          <w:color w:val="231F20"/>
          <w:w w:val="90"/>
          <w:sz w:val="21"/>
        </w:rPr>
        <w:t>Madrid:</w:t>
      </w:r>
      <w:r>
        <w:rPr>
          <w:color w:val="231F20"/>
          <w:spacing w:val="30"/>
          <w:w w:val="90"/>
          <w:sz w:val="21"/>
        </w:rPr>
        <w:t> </w:t>
      </w:r>
      <w:r>
        <w:rPr>
          <w:color w:val="231F20"/>
          <w:w w:val="90"/>
          <w:sz w:val="21"/>
        </w:rPr>
        <w:t>Debate.</w:t>
      </w:r>
    </w:p>
    <w:p>
      <w:pPr>
        <w:pStyle w:val="BodyText"/>
        <w:spacing w:line="247" w:lineRule="auto"/>
        <w:ind w:left="822" w:right="180" w:hanging="721"/>
      </w:pPr>
      <w:r>
        <w:rPr>
          <w:color w:val="231F20"/>
        </w:rPr>
        <w:t>Vázquez Valls, Ricardo, Villanueva Mercado, Alfredo Enrique, Fernando Rico, Arturo, Ramos Herrera, María Azucena. (2005). La comunidad de la preparatoria 2 de la Universidad de Guadalajara. Actitudes frente a la violencia y no violencia escolar. </w:t>
      </w:r>
      <w:r>
        <w:rPr>
          <w:i/>
          <w:color w:val="231F20"/>
        </w:rPr>
        <w:t>Revista mexicana de investigación </w:t>
      </w:r>
      <w:r>
        <w:rPr>
          <w:i/>
          <w:color w:val="231F20"/>
          <w:w w:val="95"/>
        </w:rPr>
        <w:t>educativa. 10</w:t>
      </w:r>
      <w:r>
        <w:rPr>
          <w:color w:val="231F20"/>
          <w:w w:val="95"/>
        </w:rPr>
        <w:t>(27), 1047- 1070.</w:t>
      </w:r>
    </w:p>
    <w:p>
      <w:pPr>
        <w:spacing w:line="244" w:lineRule="auto" w:before="1"/>
        <w:ind w:left="822" w:right="491" w:hanging="720"/>
        <w:jc w:val="left"/>
        <w:rPr>
          <w:sz w:val="21"/>
        </w:rPr>
      </w:pPr>
      <w:r>
        <w:rPr>
          <w:color w:val="231F20"/>
          <w:sz w:val="21"/>
        </w:rPr>
        <w:t>Velásquez, Luz María. (2005). Experiencias estudiantiles con la </w:t>
      </w:r>
      <w:r>
        <w:rPr>
          <w:color w:val="231F20"/>
          <w:w w:val="95"/>
          <w:sz w:val="21"/>
        </w:rPr>
        <w:t>violencia en la escuela. </w:t>
      </w:r>
      <w:r>
        <w:rPr>
          <w:i/>
          <w:color w:val="231F20"/>
          <w:w w:val="95"/>
          <w:sz w:val="21"/>
        </w:rPr>
        <w:t>Revista mexicana de investigación </w:t>
      </w:r>
      <w:r>
        <w:rPr>
          <w:i/>
          <w:color w:val="231F20"/>
          <w:w w:val="90"/>
          <w:sz w:val="21"/>
        </w:rPr>
        <w:t>educativa. </w:t>
      </w:r>
      <w:r>
        <w:rPr>
          <w:color w:val="231F20"/>
          <w:w w:val="90"/>
          <w:sz w:val="21"/>
        </w:rPr>
        <w:t>739-764.</w:t>
      </w:r>
    </w:p>
    <w:p>
      <w:pPr>
        <w:pStyle w:val="BodyText"/>
        <w:spacing w:line="247" w:lineRule="auto"/>
        <w:ind w:left="822" w:right="480" w:hanging="720"/>
      </w:pPr>
      <w:r>
        <w:rPr>
          <w:color w:val="231F20"/>
        </w:rPr>
        <w:t>Wheldall, Kevin &amp; Merrett, Frank. (1988). Which Classroom Behaviours for Primary School Teachers say they find </w:t>
      </w:r>
      <w:r>
        <w:rPr>
          <w:color w:val="231F20"/>
          <w:w w:val="95"/>
        </w:rPr>
        <w:t>most Troublesome? </w:t>
      </w:r>
      <w:r>
        <w:rPr>
          <w:i/>
          <w:color w:val="231F20"/>
          <w:w w:val="95"/>
        </w:rPr>
        <w:t>Education Review 40, </w:t>
      </w:r>
      <w:r>
        <w:rPr>
          <w:color w:val="231F20"/>
          <w:w w:val="95"/>
        </w:rPr>
        <w:t>13-27.</w:t>
      </w:r>
    </w:p>
    <w:p>
      <w:pPr>
        <w:pStyle w:val="BodyText"/>
        <w:spacing w:line="244" w:lineRule="auto"/>
        <w:ind w:left="822" w:right="214" w:hanging="720"/>
      </w:pPr>
      <w:r>
        <w:rPr>
          <w:color w:val="231F20"/>
        </w:rPr>
        <w:t>Whitney, Irene &amp; Smith, Peter K. (1993). A Survey of the Nature and Extent of Bullying in Junior/Middle and Secondary </w:t>
      </w:r>
      <w:r>
        <w:rPr>
          <w:color w:val="231F20"/>
          <w:w w:val="90"/>
        </w:rPr>
        <w:t>Schools. </w:t>
      </w:r>
      <w:r>
        <w:rPr>
          <w:i/>
          <w:color w:val="231F20"/>
          <w:w w:val="90"/>
        </w:rPr>
        <w:t>Educational Research. 35, </w:t>
      </w:r>
      <w:r>
        <w:rPr>
          <w:color w:val="231F20"/>
          <w:w w:val="90"/>
        </w:rPr>
        <w:t>13-27.</w:t>
      </w:r>
    </w:p>
    <w:p>
      <w:pPr>
        <w:pStyle w:val="BodyText"/>
        <w:spacing w:line="247" w:lineRule="auto" w:before="3"/>
        <w:ind w:left="822" w:right="214" w:hanging="720"/>
      </w:pPr>
      <w:r>
        <w:rPr>
          <w:color w:val="231F20"/>
        </w:rPr>
        <w:t>Zamora-Poblete, Guillermo y Zerón-Rodríguez, Ana María. (2010, enero- abril). Caracterización y sentido actual de la autoridad pedagógica en escuelas chilenas de sectores de </w:t>
      </w:r>
      <w:r>
        <w:rPr>
          <w:color w:val="231F20"/>
          <w:w w:val="90"/>
        </w:rPr>
        <w:t>pobreza. </w:t>
      </w:r>
      <w:r>
        <w:rPr>
          <w:i/>
          <w:color w:val="231F20"/>
          <w:w w:val="90"/>
        </w:rPr>
        <w:t>Revista española de Pedagogía. 245, </w:t>
      </w:r>
      <w:r>
        <w:rPr>
          <w:color w:val="231F20"/>
          <w:w w:val="90"/>
        </w:rPr>
        <w:t>96-116.</w:t>
      </w:r>
    </w:p>
    <w:p>
      <w:pPr>
        <w:spacing w:after="0" w:line="247" w:lineRule="auto"/>
        <w:sectPr>
          <w:headerReference w:type="default" r:id="rId951"/>
          <w:footerReference w:type="default" r:id="rId952"/>
          <w:pgSz w:w="7830" w:h="11910"/>
          <w:pgMar w:header="0" w:footer="424" w:top="500" w:bottom="620" w:left="920" w:right="920"/>
          <w:pgNumType w:start="433"/>
        </w:sectPr>
      </w:pPr>
    </w:p>
    <w:p>
      <w:pPr>
        <w:spacing w:before="46"/>
        <w:ind w:left="656" w:right="171" w:firstLine="0"/>
        <w:jc w:val="left"/>
        <w:rPr>
          <w:sz w:val="13"/>
        </w:rPr>
      </w:pPr>
      <w:r>
        <w:rPr/>
        <w:pict>
          <v:shape style="position:absolute;margin-left:48.541pt;margin-top:551.450012pt;width:260.05pt;height:24.7pt;mso-position-horizontal-relative:page;mso-position-vertical-relative:page;z-index:-482104" type="#_x0000_t202" filled="false" stroked="false">
            <v:textbox inset="0,0,0,0">
              <w:txbxContent>
                <w:p>
                  <w:pPr>
                    <w:pStyle w:val="BodyText"/>
                    <w:spacing w:before="6"/>
                    <w:rPr>
                      <w:sz w:val="20"/>
                    </w:rPr>
                  </w:pPr>
                </w:p>
                <w:p>
                  <w:pPr>
                    <w:spacing w:before="0"/>
                    <w:ind w:left="2788" w:right="2104" w:firstLine="0"/>
                    <w:jc w:val="center"/>
                    <w:rPr>
                      <w:sz w:val="17"/>
                    </w:rPr>
                  </w:pPr>
                  <w:r>
                    <w:rPr>
                      <w:color w:val="231F20"/>
                      <w:w w:val="105"/>
                      <w:sz w:val="17"/>
                    </w:rPr>
                    <w:t>434</w:t>
                  </w:r>
                </w:p>
              </w:txbxContent>
            </v:textbox>
            <w10:wrap type="none"/>
          </v:shape>
        </w:pict>
      </w: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1"/>
        </w:rPr>
      </w:pPr>
      <w:r>
        <w:rPr/>
        <w:pict>
          <v:rect style="position:absolute;margin-left:48.541pt;margin-top:8.722218pt;width:260.05pt;height:24.7pt;mso-position-horizontal-relative:page;mso-position-vertical-relative:paragraph;z-index:3136;mso-wrap-distance-left:0;mso-wrap-distance-right:0" filled="true" fillcolor="#ffffff" stroked="false">
            <v:fill type="solid"/>
            <w10:wrap type="topAndBottom"/>
          </v:rect>
        </w:pict>
      </w:r>
    </w:p>
    <w:p>
      <w:pPr>
        <w:spacing w:after="0"/>
        <w:rPr>
          <w:sz w:val="11"/>
        </w:rPr>
        <w:sectPr>
          <w:headerReference w:type="default" r:id="rId953"/>
          <w:footerReference w:type="default" r:id="rId954"/>
          <w:pgSz w:w="7830" w:h="11910"/>
          <w:pgMar w:header="0" w:footer="0" w:top="500" w:bottom="280" w:left="860" w:right="1060"/>
        </w:sectPr>
      </w:pPr>
    </w:p>
    <w:p>
      <w:pPr>
        <w:pStyle w:val="BodyText"/>
        <w:ind w:left="300"/>
        <w:rPr>
          <w:sz w:val="20"/>
        </w:rPr>
      </w:pPr>
      <w:r>
        <w:rPr>
          <w:sz w:val="20"/>
        </w:rPr>
        <w:pict>
          <v:group style="width:270pt;height:27pt;mso-position-horizontal-relative:char;mso-position-vertical-relative:line" coordorigin="0,0" coordsize="5400,540">
            <v:rect style="position:absolute;left:0;top:0;width:5400;height:540" filled="true" fillcolor="#ffffff" stroked="false">
              <v:fill type="solid"/>
            </v:rect>
          </v:group>
        </w:pict>
      </w:r>
      <w:r>
        <w:rPr>
          <w:sz w:val="20"/>
        </w:rPr>
      </w:r>
    </w:p>
    <w:p>
      <w:pPr>
        <w:pStyle w:val="BodyText"/>
        <w:spacing w:before="6"/>
        <w:rPr>
          <w:sz w:val="7"/>
        </w:rPr>
      </w:pPr>
    </w:p>
    <w:p>
      <w:pPr>
        <w:pStyle w:val="Heading2"/>
        <w:spacing w:line="271" w:lineRule="auto" w:before="104"/>
        <w:ind w:right="407"/>
      </w:pPr>
      <w:r>
        <w:rPr/>
        <w:pict>
          <v:shape style="position:absolute;margin-left:60.041pt;margin-top:-32.311401pt;width:270pt;height:27pt;mso-position-horizontal-relative:page;mso-position-vertical-relative:paragraph;z-index:-482032" type="#_x0000_t202" filled="false" stroked="false">
            <v:textbox inset="0,0,0,0">
              <w:txbxContent>
                <w:p>
                  <w:pPr>
                    <w:spacing w:before="80"/>
                    <w:ind w:left="1182" w:right="0" w:firstLine="0"/>
                    <w:jc w:val="left"/>
                    <w:rPr>
                      <w:sz w:val="13"/>
                    </w:rPr>
                  </w:pPr>
                  <w:r>
                    <w:rPr>
                      <w:color w:val="231F20"/>
                      <w:sz w:val="16"/>
                    </w:rPr>
                    <w:t>E</w:t>
                  </w:r>
                  <w:r>
                    <w:rPr>
                      <w:color w:val="231F20"/>
                      <w:sz w:val="13"/>
                    </w:rPr>
                    <w:t>STUDIOS SOBRE VIOLENCIA EN LA EDUCACIÓN</w:t>
                  </w:r>
                </w:p>
              </w:txbxContent>
            </v:textbox>
            <w10:wrap type="none"/>
          </v:shape>
        </w:pict>
      </w:r>
      <w:r>
        <w:rPr/>
        <w:drawing>
          <wp:anchor distT="0" distB="0" distL="0" distR="0" allowOverlap="1" layoutInCell="1" locked="0" behindDoc="1" simplePos="0" relativeHeight="267953447">
            <wp:simplePos x="0" y="0"/>
            <wp:positionH relativeFrom="page">
              <wp:posOffset>821342</wp:posOffset>
            </wp:positionH>
            <wp:positionV relativeFrom="paragraph">
              <wp:posOffset>108583</wp:posOffset>
            </wp:positionV>
            <wp:extent cx="495857" cy="92817"/>
            <wp:effectExtent l="0" t="0" r="0" b="0"/>
            <wp:wrapNone/>
            <wp:docPr id="59" name="image30.png" descr=""/>
            <wp:cNvGraphicFramePr>
              <a:graphicFrameLocks noChangeAspect="1"/>
            </wp:cNvGraphicFramePr>
            <a:graphic>
              <a:graphicData uri="http://schemas.openxmlformats.org/drawingml/2006/picture">
                <pic:pic>
                  <pic:nvPicPr>
                    <pic:cNvPr id="60" name="image30.png"/>
                    <pic:cNvPicPr/>
                  </pic:nvPicPr>
                  <pic:blipFill>
                    <a:blip r:embed="rId957" cstate="print"/>
                    <a:stretch>
                      <a:fillRect/>
                    </a:stretch>
                  </pic:blipFill>
                  <pic:spPr>
                    <a:xfrm>
                      <a:off x="0" y="0"/>
                      <a:ext cx="495857" cy="92817"/>
                    </a:xfrm>
                    <a:prstGeom prst="rect">
                      <a:avLst/>
                    </a:prstGeom>
                  </pic:spPr>
                </pic:pic>
              </a:graphicData>
            </a:graphic>
          </wp:anchor>
        </w:drawing>
      </w:r>
      <w:r>
        <w:rPr>
          <w:rFonts w:ascii="Aharoni" w:hAnsi="Aharoni"/>
          <w:color w:val="231F20"/>
          <w:w w:val="105"/>
          <w:sz w:val="28"/>
        </w:rPr>
        <w:t>M</w:t>
      </w:r>
      <w:r>
        <w:rPr>
          <w:rFonts w:ascii="Georgia" w:hAnsi="Georgia"/>
          <w:b w:val="0"/>
          <w:i/>
          <w:color w:val="231F20"/>
          <w:w w:val="105"/>
        </w:rPr>
        <w:t>OBBING</w:t>
      </w:r>
      <w:r>
        <w:rPr>
          <w:rFonts w:ascii="Georgia" w:hAnsi="Georgia"/>
          <w:b w:val="0"/>
          <w:i/>
          <w:color w:val="231F20"/>
          <w:spacing w:val="-27"/>
          <w:w w:val="105"/>
        </w:rPr>
        <w:t> </w:t>
      </w:r>
      <w:r>
        <w:rPr>
          <w:color w:val="231F20"/>
          <w:w w:val="105"/>
        </w:rPr>
        <w:t>O</w:t>
      </w:r>
      <w:r>
        <w:rPr>
          <w:color w:val="231F20"/>
          <w:spacing w:val="-29"/>
          <w:w w:val="105"/>
        </w:rPr>
        <w:t> </w:t>
      </w:r>
      <w:r>
        <w:rPr>
          <w:color w:val="231F20"/>
          <w:w w:val="105"/>
        </w:rPr>
        <w:t>ACOSO</w:t>
      </w:r>
      <w:r>
        <w:rPr>
          <w:color w:val="231F20"/>
          <w:spacing w:val="-29"/>
          <w:w w:val="105"/>
        </w:rPr>
        <w:t> </w:t>
      </w:r>
      <w:r>
        <w:rPr>
          <w:color w:val="231F20"/>
          <w:w w:val="105"/>
        </w:rPr>
        <w:t>PSICOLÓGICO</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TRABAJO </w:t>
      </w:r>
      <w:r>
        <w:rPr>
          <w:rFonts w:ascii="Georgia" w:hAnsi="Georgia"/>
          <w:color w:val="231F20"/>
          <w:w w:val="105"/>
        </w:rPr>
        <w:t>EN</w:t>
      </w:r>
      <w:r>
        <w:rPr>
          <w:rFonts w:ascii="Georgia" w:hAnsi="Georgia"/>
          <w:color w:val="231F20"/>
          <w:spacing w:val="-18"/>
          <w:w w:val="105"/>
        </w:rPr>
        <w:t> </w:t>
      </w:r>
      <w:r>
        <w:rPr>
          <w:rFonts w:ascii="Georgia" w:hAnsi="Georgia"/>
          <w:color w:val="231F20"/>
          <w:spacing w:val="2"/>
          <w:w w:val="105"/>
        </w:rPr>
        <w:t>DOCEN</w:t>
      </w:r>
      <w:r>
        <w:rPr>
          <w:color w:val="231F20"/>
          <w:spacing w:val="2"/>
          <w:w w:val="105"/>
        </w:rPr>
        <w:t>ES</w:t>
      </w:r>
      <w:r>
        <w:rPr>
          <w:color w:val="231F20"/>
          <w:spacing w:val="-18"/>
          <w:w w:val="105"/>
        </w:rPr>
        <w:t> </w:t>
      </w:r>
      <w:r>
        <w:rPr>
          <w:color w:val="231F20"/>
          <w:w w:val="105"/>
        </w:rPr>
        <w:t>UNIVERSITARIOS</w:t>
      </w:r>
      <w:r>
        <w:rPr>
          <w:color w:val="231F20"/>
          <w:spacing w:val="-18"/>
          <w:w w:val="105"/>
        </w:rPr>
        <w:t> </w:t>
      </w:r>
      <w:r>
        <w:rPr>
          <w:color w:val="231F20"/>
          <w:w w:val="105"/>
        </w:rPr>
        <w:t>DE</w:t>
      </w:r>
      <w:r>
        <w:rPr>
          <w:color w:val="231F20"/>
          <w:spacing w:val="-17"/>
          <w:w w:val="105"/>
        </w:rPr>
        <w:t> </w:t>
      </w:r>
      <w:r>
        <w:rPr>
          <w:rFonts w:ascii="Aharoni" w:hAnsi="Aharoni"/>
          <w:color w:val="231F20"/>
          <w:w w:val="105"/>
          <w:sz w:val="28"/>
        </w:rPr>
        <w:t>M</w:t>
      </w:r>
      <w:r>
        <w:rPr>
          <w:color w:val="231F20"/>
          <w:w w:val="105"/>
        </w:rPr>
        <w:t>ÉXICO</w:t>
      </w:r>
    </w:p>
    <w:p>
      <w:pPr>
        <w:pStyle w:val="BodyText"/>
        <w:spacing w:line="500" w:lineRule="atLeast" w:before="14"/>
        <w:ind w:left="122" w:right="2990"/>
      </w:pPr>
      <w:r>
        <w:rPr>
          <w:color w:val="231F20"/>
        </w:rPr>
        <w:t>Irma Guadalupe González-Corzo</w:t>
      </w:r>
      <w:r>
        <w:rPr>
          <w:color w:val="231F20"/>
          <w:sz w:val="17"/>
        </w:rPr>
        <w:t>* </w:t>
      </w:r>
      <w:r>
        <w:rPr>
          <w:color w:val="231F20"/>
        </w:rPr>
        <w:t>Resumen</w:t>
      </w:r>
    </w:p>
    <w:p>
      <w:pPr>
        <w:pStyle w:val="BodyText"/>
        <w:spacing w:line="247" w:lineRule="auto" w:before="3"/>
        <w:ind w:left="122" w:right="116"/>
        <w:jc w:val="both"/>
      </w:pPr>
      <w:r>
        <w:rPr>
          <w:color w:val="231F20"/>
        </w:rPr>
        <w:t>El objetivo de esta investigación fue explorar la prevalencia del </w:t>
      </w:r>
      <w:r>
        <w:rPr>
          <w:i/>
          <w:color w:val="231F20"/>
        </w:rPr>
        <w:t>mobbing </w:t>
      </w:r>
      <w:r>
        <w:rPr>
          <w:color w:val="231F20"/>
        </w:rPr>
        <w:t>o acoso psicológico entre profesores universitarios mexica- nos. El instrumento aplicado fue el Inventario de Violencia y Acoso Psicológico en el trabajo (IVAPT –Pando, 2006).El diseño fue transversal, utilizando el SPSS versión 15 para el tratamiento de los datos estadísticos. El 60% de la población reporta estar sufriendo violencia psicológica, mientras que el 6.2% padece acoso psicológi- co en el trabajo o </w:t>
      </w:r>
      <w:r>
        <w:rPr>
          <w:i/>
          <w:color w:val="231F20"/>
        </w:rPr>
        <w:t>Mobbing</w:t>
      </w:r>
      <w:r>
        <w:rPr>
          <w:color w:val="231F20"/>
        </w:rPr>
        <w:t>.</w:t>
      </w:r>
    </w:p>
    <w:p>
      <w:pPr>
        <w:pStyle w:val="BodyText"/>
        <w:spacing w:before="4"/>
      </w:pPr>
    </w:p>
    <w:p>
      <w:pPr>
        <w:pStyle w:val="BodyText"/>
        <w:spacing w:line="247" w:lineRule="auto"/>
        <w:ind w:left="122" w:right="118"/>
        <w:jc w:val="both"/>
      </w:pPr>
      <w:r>
        <w:rPr>
          <w:color w:val="231F20"/>
        </w:rPr>
        <w:t>Palabras clave: </w:t>
      </w:r>
      <w:r>
        <w:rPr>
          <w:i/>
          <w:color w:val="231F20"/>
        </w:rPr>
        <w:t>mobbing, </w:t>
      </w:r>
      <w:r>
        <w:rPr>
          <w:color w:val="231F20"/>
        </w:rPr>
        <w:t>acoso psicológico en el trabajo, profesores universitarios, violencia psicológica.</w:t>
      </w:r>
    </w:p>
    <w:p>
      <w:pPr>
        <w:pStyle w:val="BodyText"/>
        <w:rPr>
          <w:sz w:val="22"/>
        </w:rPr>
      </w:pPr>
    </w:p>
    <w:p>
      <w:pPr>
        <w:pStyle w:val="BodyText"/>
        <w:spacing w:before="9"/>
        <w:rPr>
          <w:sz w:val="24"/>
        </w:rPr>
      </w:pPr>
    </w:p>
    <w:p>
      <w:pPr>
        <w:pStyle w:val="BodyText"/>
        <w:spacing w:line="242" w:lineRule="auto"/>
        <w:ind w:left="122" w:right="117"/>
        <w:jc w:val="both"/>
      </w:pPr>
      <w:r>
        <w:rPr>
          <w:color w:val="231F20"/>
        </w:rPr>
        <w:t>Mobbing or psychological harassment at work among mexican university teachers.</w:t>
      </w:r>
    </w:p>
    <w:p>
      <w:pPr>
        <w:pStyle w:val="BodyText"/>
        <w:spacing w:before="2"/>
        <w:rPr>
          <w:sz w:val="22"/>
        </w:rPr>
      </w:pPr>
    </w:p>
    <w:p>
      <w:pPr>
        <w:pStyle w:val="BodyText"/>
        <w:ind w:left="122"/>
        <w:jc w:val="both"/>
      </w:pPr>
      <w:r>
        <w:rPr>
          <w:color w:val="231F20"/>
        </w:rPr>
        <w:t>Abstarct</w:t>
      </w:r>
    </w:p>
    <w:p>
      <w:pPr>
        <w:pStyle w:val="BodyText"/>
        <w:spacing w:line="247" w:lineRule="auto" w:before="3"/>
        <w:ind w:left="122" w:right="117"/>
        <w:jc w:val="both"/>
      </w:pPr>
      <w:r>
        <w:rPr>
          <w:color w:val="231F20"/>
        </w:rPr>
        <w:t>The objective of this investigation was to explore prevailing of mobbing or psychological harassment at work among mexican university teachers. The applied instrument was: Violence Invento- ry and Psychological Harassment  at  Work  (IVAPT-PANDO, 2006). The design of the study was transverse and the SPSS version 15 package was used to analyze data applying the chi squared proof to statistics. 60% of the population reports psychological violence prescence, while 6.2% shows psychological harassment or mobbing at work.</w:t>
      </w:r>
    </w:p>
    <w:p>
      <w:pPr>
        <w:pStyle w:val="BodyText"/>
        <w:rPr>
          <w:sz w:val="20"/>
        </w:rPr>
      </w:pPr>
    </w:p>
    <w:p>
      <w:pPr>
        <w:pStyle w:val="BodyText"/>
        <w:spacing w:before="4"/>
        <w:rPr>
          <w:sz w:val="28"/>
        </w:rPr>
      </w:pPr>
      <w:r>
        <w:rPr/>
        <w:pict>
          <v:line style="position:absolute;mso-position-horizontal-relative:page;mso-position-vertical-relative:paragraph;z-index:3208;mso-wrap-distance-left:0;mso-wrap-distance-right:0" from="51.110001pt,18.504898pt" to="195.110001pt,18.504898pt" stroked="true" strokeweight=".48pt" strokecolor="#231f20">
            <w10:wrap type="topAndBottom"/>
          </v:line>
        </w:pict>
      </w:r>
    </w:p>
    <w:p>
      <w:pPr>
        <w:spacing w:line="266" w:lineRule="auto" w:before="89"/>
        <w:ind w:left="122" w:right="28" w:firstLine="0"/>
        <w:jc w:val="left"/>
        <w:rPr>
          <w:sz w:val="14"/>
        </w:rPr>
      </w:pPr>
      <w:r>
        <w:rPr>
          <w:color w:val="231F20"/>
          <w:position w:val="-4"/>
          <w:sz w:val="19"/>
        </w:rPr>
        <w:t>*</w:t>
      </w:r>
      <w:r>
        <w:rPr>
          <w:color w:val="231F20"/>
          <w:sz w:val="14"/>
        </w:rPr>
        <w:t>Doctora en Educación. Actualmente es profesora-investigadora en elInstituto de Ciencias de la Educa- ción (</w:t>
      </w:r>
      <w:r>
        <w:rPr>
          <w:color w:val="231F20"/>
          <w:sz w:val="10"/>
        </w:rPr>
        <w:t>ICE</w:t>
      </w:r>
      <w:r>
        <w:rPr>
          <w:color w:val="231F20"/>
          <w:sz w:val="14"/>
        </w:rPr>
        <w:t>) de la Universidad Autónoma del Estado de Morelos (</w:t>
      </w:r>
      <w:r>
        <w:rPr>
          <w:color w:val="231F20"/>
          <w:sz w:val="10"/>
        </w:rPr>
        <w:t>UAEM</w:t>
      </w:r>
      <w:r>
        <w:rPr>
          <w:color w:val="231F20"/>
          <w:sz w:val="14"/>
        </w:rPr>
        <w:t>). Ha publicado artículos en revistas</w:t>
      </w:r>
    </w:p>
    <w:p>
      <w:pPr>
        <w:spacing w:before="71"/>
        <w:ind w:left="122" w:right="104" w:firstLine="0"/>
        <w:jc w:val="left"/>
        <w:rPr>
          <w:sz w:val="14"/>
        </w:rPr>
      </w:pPr>
      <w:r>
        <w:rPr>
          <w:color w:val="231F20"/>
          <w:w w:val="95"/>
          <w:sz w:val="14"/>
        </w:rPr>
        <w:t>especializadas en educación y psicología.</w:t>
      </w:r>
    </w:p>
    <w:p>
      <w:pPr>
        <w:spacing w:after="0"/>
        <w:jc w:val="left"/>
        <w:rPr>
          <w:sz w:val="14"/>
        </w:rPr>
        <w:sectPr>
          <w:headerReference w:type="default" r:id="rId955"/>
          <w:footerReference w:type="default" r:id="rId956"/>
          <w:pgSz w:w="7830" w:h="11910"/>
          <w:pgMar w:header="0" w:footer="424" w:top="460" w:bottom="620" w:left="900" w:right="900"/>
          <w:pgNumType w:start="435"/>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7" w:lineRule="auto"/>
        <w:ind w:left="102" w:right="121"/>
        <w:jc w:val="both"/>
      </w:pPr>
      <w:r>
        <w:rPr>
          <w:color w:val="231F20"/>
        </w:rPr>
        <w:t>Key words: Mobbing, psychological harassment at work, university teachers, psychological violence.</w:t>
      </w:r>
    </w:p>
    <w:p>
      <w:pPr>
        <w:pStyle w:val="BodyText"/>
        <w:rPr>
          <w:sz w:val="22"/>
        </w:rPr>
      </w:pPr>
    </w:p>
    <w:p>
      <w:pPr>
        <w:pStyle w:val="BodyText"/>
        <w:spacing w:before="3"/>
        <w:rPr>
          <w:sz w:val="22"/>
        </w:rPr>
      </w:pPr>
    </w:p>
    <w:p>
      <w:pPr>
        <w:pStyle w:val="BodyText"/>
        <w:spacing w:before="1"/>
        <w:ind w:left="102"/>
        <w:jc w:val="both"/>
      </w:pPr>
      <w:r>
        <w:rPr>
          <w:color w:val="231F20"/>
          <w:w w:val="105"/>
        </w:rPr>
        <w:t>INTRODUCCIÓN</w:t>
      </w:r>
    </w:p>
    <w:p>
      <w:pPr>
        <w:pStyle w:val="BodyText"/>
        <w:spacing w:before="1"/>
      </w:pPr>
    </w:p>
    <w:p>
      <w:pPr>
        <w:pStyle w:val="BodyText"/>
        <w:spacing w:line="247" w:lineRule="auto" w:before="1"/>
        <w:ind w:left="102" w:right="114" w:hanging="1"/>
        <w:jc w:val="both"/>
      </w:pPr>
      <w:r>
        <w:rPr>
          <w:color w:val="231F20"/>
        </w:rPr>
        <w:t>El </w:t>
      </w:r>
      <w:r>
        <w:rPr>
          <w:i/>
          <w:color w:val="231F20"/>
        </w:rPr>
        <w:t>mobbing </w:t>
      </w:r>
      <w:r>
        <w:rPr>
          <w:color w:val="231F20"/>
        </w:rPr>
        <w:t>o acoso psicológico en el trabajo no es un fenómeno de este siglo. Se ha relacionado en ocasiones con la cultura organiza- cional, el clima laboral y con un estilo autocrático. Igualmente las condiciones de trabajo, exigencias laborales y ambivalencia en las actividades del puesto, así como las políticas neoliberales, la globali- zación, el trabajo con paga precaria y un sistema competitivo al extremo, permiten que el </w:t>
      </w:r>
      <w:r>
        <w:rPr>
          <w:i/>
          <w:color w:val="231F20"/>
        </w:rPr>
        <w:t>mobbing </w:t>
      </w:r>
      <w:r>
        <w:rPr>
          <w:color w:val="231F20"/>
        </w:rPr>
        <w:t>se extienda e identifique como un riesgo psicosocial que afecta la salud laboral en cualquier ambiente de trabajo.</w:t>
      </w:r>
    </w:p>
    <w:p>
      <w:pPr>
        <w:pStyle w:val="BodyText"/>
        <w:spacing w:line="249" w:lineRule="auto" w:before="10"/>
        <w:ind w:left="102" w:right="115" w:firstLine="284"/>
        <w:jc w:val="both"/>
      </w:pPr>
      <w:r>
        <w:rPr>
          <w:color w:val="231F20"/>
        </w:rPr>
        <w:t>En el </w:t>
      </w:r>
      <w:r>
        <w:rPr>
          <w:color w:val="231F20"/>
          <w:spacing w:val="3"/>
        </w:rPr>
        <w:t>mundo, </w:t>
      </w:r>
      <w:r>
        <w:rPr>
          <w:color w:val="231F20"/>
          <w:spacing w:val="2"/>
        </w:rPr>
        <w:t>los riesgos ocupacionales ocasionan 270 </w:t>
      </w:r>
      <w:r>
        <w:rPr>
          <w:color w:val="231F20"/>
          <w:spacing w:val="3"/>
        </w:rPr>
        <w:t>millo- </w:t>
      </w:r>
      <w:r>
        <w:rPr>
          <w:color w:val="231F20"/>
          <w:spacing w:val="2"/>
        </w:rPr>
        <w:t>nes </w:t>
      </w:r>
      <w:r>
        <w:rPr>
          <w:color w:val="231F20"/>
        </w:rPr>
        <w:t>de </w:t>
      </w:r>
      <w:r>
        <w:rPr>
          <w:color w:val="231F20"/>
          <w:spacing w:val="2"/>
        </w:rPr>
        <w:t>accidentes </w:t>
      </w:r>
      <w:r>
        <w:rPr>
          <w:color w:val="231F20"/>
        </w:rPr>
        <w:t>y </w:t>
      </w:r>
      <w:r>
        <w:rPr>
          <w:color w:val="231F20"/>
          <w:spacing w:val="2"/>
        </w:rPr>
        <w:t>según </w:t>
      </w:r>
      <w:r>
        <w:rPr>
          <w:color w:val="231F20"/>
        </w:rPr>
        <w:t>la </w:t>
      </w:r>
      <w:r>
        <w:rPr>
          <w:color w:val="231F20"/>
          <w:spacing w:val="2"/>
        </w:rPr>
        <w:t>OIT (2003) cada año hay dos </w:t>
      </w:r>
      <w:r>
        <w:rPr>
          <w:color w:val="231F20"/>
          <w:spacing w:val="3"/>
        </w:rPr>
        <w:t>millo- </w:t>
      </w:r>
      <w:r>
        <w:rPr>
          <w:color w:val="231F20"/>
          <w:spacing w:val="2"/>
        </w:rPr>
        <w:t>nes </w:t>
      </w:r>
      <w:r>
        <w:rPr>
          <w:color w:val="231F20"/>
        </w:rPr>
        <w:t>de </w:t>
      </w:r>
      <w:r>
        <w:rPr>
          <w:color w:val="231F20"/>
          <w:spacing w:val="2"/>
        </w:rPr>
        <w:t>muertes </w:t>
      </w:r>
      <w:r>
        <w:rPr>
          <w:color w:val="231F20"/>
        </w:rPr>
        <w:t>en el </w:t>
      </w:r>
      <w:r>
        <w:rPr>
          <w:color w:val="231F20"/>
          <w:spacing w:val="2"/>
        </w:rPr>
        <w:t>trabajo. </w:t>
      </w:r>
      <w:r>
        <w:rPr>
          <w:color w:val="231F20"/>
        </w:rPr>
        <w:t>Se  </w:t>
      </w:r>
      <w:r>
        <w:rPr>
          <w:color w:val="231F20"/>
          <w:spacing w:val="2"/>
        </w:rPr>
        <w:t>presentan también </w:t>
      </w:r>
      <w:r>
        <w:rPr>
          <w:color w:val="231F20"/>
        </w:rPr>
        <w:t>160  </w:t>
      </w:r>
      <w:r>
        <w:rPr>
          <w:color w:val="231F20"/>
          <w:spacing w:val="2"/>
        </w:rPr>
        <w:t>millones </w:t>
      </w:r>
      <w:r>
        <w:rPr>
          <w:color w:val="231F20"/>
        </w:rPr>
        <w:t>de </w:t>
      </w:r>
      <w:r>
        <w:rPr>
          <w:color w:val="231F20"/>
          <w:spacing w:val="3"/>
        </w:rPr>
        <w:t>enfermedades </w:t>
      </w:r>
      <w:r>
        <w:rPr>
          <w:color w:val="231F20"/>
          <w:spacing w:val="2"/>
        </w:rPr>
        <w:t>profesionales </w:t>
      </w:r>
      <w:r>
        <w:rPr>
          <w:color w:val="231F20"/>
        </w:rPr>
        <w:t>no </w:t>
      </w:r>
      <w:r>
        <w:rPr>
          <w:color w:val="231F20"/>
          <w:spacing w:val="2"/>
        </w:rPr>
        <w:t>mortales, </w:t>
      </w:r>
      <w:r>
        <w:rPr>
          <w:color w:val="231F20"/>
        </w:rPr>
        <w:t>de las </w:t>
      </w:r>
      <w:r>
        <w:rPr>
          <w:color w:val="231F20"/>
          <w:spacing w:val="2"/>
        </w:rPr>
        <w:t>cuales </w:t>
      </w:r>
      <w:r>
        <w:rPr>
          <w:color w:val="231F20"/>
        </w:rPr>
        <w:t>el 10% </w:t>
      </w:r>
      <w:r>
        <w:rPr>
          <w:color w:val="231F20"/>
          <w:spacing w:val="2"/>
        </w:rPr>
        <w:t>son </w:t>
      </w:r>
      <w:r>
        <w:rPr>
          <w:color w:val="231F20"/>
          <w:spacing w:val="3"/>
        </w:rPr>
        <w:t>enfermedades </w:t>
      </w:r>
      <w:r>
        <w:rPr>
          <w:color w:val="231F20"/>
          <w:spacing w:val="2"/>
        </w:rPr>
        <w:t>mentales </w:t>
      </w:r>
      <w:r>
        <w:rPr>
          <w:color w:val="231F20"/>
          <w:spacing w:val="3"/>
        </w:rPr>
        <w:t>ocasionadas </w:t>
      </w:r>
      <w:r>
        <w:rPr>
          <w:color w:val="231F20"/>
          <w:spacing w:val="2"/>
        </w:rPr>
        <w:t>por factores </w:t>
      </w:r>
      <w:r>
        <w:rPr>
          <w:color w:val="231F20"/>
        </w:rPr>
        <w:t>de </w:t>
      </w:r>
      <w:r>
        <w:rPr>
          <w:color w:val="231F20"/>
          <w:spacing w:val="2"/>
        </w:rPr>
        <w:t>riesgo ocupacionales </w:t>
      </w:r>
      <w:r>
        <w:rPr>
          <w:color w:val="231F20"/>
        </w:rPr>
        <w:t>de </w:t>
      </w:r>
      <w:r>
        <w:rPr>
          <w:color w:val="231F20"/>
          <w:spacing w:val="2"/>
        </w:rPr>
        <w:t>tipo psicosocial entre los </w:t>
      </w:r>
      <w:r>
        <w:rPr>
          <w:color w:val="231F20"/>
        </w:rPr>
        <w:t>que se </w:t>
      </w:r>
      <w:r>
        <w:rPr>
          <w:color w:val="231F20"/>
          <w:spacing w:val="2"/>
        </w:rPr>
        <w:t>empieza </w:t>
      </w:r>
      <w:r>
        <w:rPr>
          <w:color w:val="231F20"/>
        </w:rPr>
        <w:t>a </w:t>
      </w:r>
      <w:r>
        <w:rPr>
          <w:color w:val="231F20"/>
          <w:spacing w:val="4"/>
        </w:rPr>
        <w:t>con- </w:t>
      </w:r>
      <w:r>
        <w:rPr>
          <w:color w:val="231F20"/>
          <w:spacing w:val="2"/>
        </w:rPr>
        <w:t>siderar </w:t>
      </w:r>
      <w:r>
        <w:rPr>
          <w:color w:val="231F20"/>
        </w:rPr>
        <w:t>la </w:t>
      </w:r>
      <w:r>
        <w:rPr>
          <w:color w:val="231F20"/>
          <w:spacing w:val="2"/>
        </w:rPr>
        <w:t>violencia </w:t>
      </w:r>
      <w:r>
        <w:rPr>
          <w:color w:val="231F20"/>
        </w:rPr>
        <w:t>en el </w:t>
      </w:r>
      <w:r>
        <w:rPr>
          <w:color w:val="231F20"/>
          <w:spacing w:val="2"/>
        </w:rPr>
        <w:t>trabajo (acoso moral, </w:t>
      </w:r>
      <w:r>
        <w:rPr>
          <w:color w:val="231F20"/>
          <w:spacing w:val="3"/>
        </w:rPr>
        <w:t>hostigamiento, </w:t>
      </w:r>
      <w:r>
        <w:rPr>
          <w:color w:val="231F20"/>
          <w:spacing w:val="2"/>
        </w:rPr>
        <w:t>aislamiento, </w:t>
      </w:r>
      <w:r>
        <w:rPr>
          <w:color w:val="231F20"/>
          <w:spacing w:val="3"/>
        </w:rPr>
        <w:t>amedrentamiento </w:t>
      </w:r>
      <w:r>
        <w:rPr>
          <w:color w:val="231F20"/>
        </w:rPr>
        <w:t>y </w:t>
      </w:r>
      <w:r>
        <w:rPr>
          <w:color w:val="231F20"/>
          <w:spacing w:val="2"/>
        </w:rPr>
        <w:t>acoso</w:t>
      </w:r>
      <w:r>
        <w:rPr>
          <w:color w:val="231F20"/>
          <w:spacing w:val="-33"/>
        </w:rPr>
        <w:t> </w:t>
      </w:r>
      <w:r>
        <w:rPr>
          <w:color w:val="231F20"/>
          <w:spacing w:val="2"/>
        </w:rPr>
        <w:t>sexual).</w:t>
      </w:r>
    </w:p>
    <w:p>
      <w:pPr>
        <w:pStyle w:val="BodyText"/>
        <w:spacing w:before="7"/>
      </w:pPr>
    </w:p>
    <w:p>
      <w:pPr>
        <w:pStyle w:val="BodyText"/>
        <w:ind w:left="102"/>
        <w:jc w:val="both"/>
      </w:pPr>
      <w:r>
        <w:rPr>
          <w:color w:val="231F20"/>
          <w:w w:val="105"/>
        </w:rPr>
        <w:t>EN TORNO AL USO DEL CONCEPTO</w:t>
      </w:r>
    </w:p>
    <w:p>
      <w:pPr>
        <w:pStyle w:val="BodyText"/>
        <w:spacing w:before="1"/>
      </w:pPr>
    </w:p>
    <w:p>
      <w:pPr>
        <w:pStyle w:val="BodyText"/>
        <w:spacing w:line="247" w:lineRule="auto" w:before="1"/>
        <w:ind w:left="102" w:right="115"/>
        <w:jc w:val="both"/>
      </w:pPr>
      <w:r>
        <w:rPr>
          <w:color w:val="231F20"/>
        </w:rPr>
        <w:t>El término </w:t>
      </w:r>
      <w:r>
        <w:rPr>
          <w:i/>
          <w:color w:val="231F20"/>
        </w:rPr>
        <w:t>“mobbing” </w:t>
      </w:r>
      <w:r>
        <w:rPr>
          <w:color w:val="231F20"/>
        </w:rPr>
        <w:t>se origina en los estudios de Konrad Lorenz, etólogo, quien en los años 60  estudia  los  comportamientos agresivos de animales que se unen para atacar a un miembro más fuerte en el que uno de sus objetivos es defender su  territorio.</w:t>
      </w:r>
    </w:p>
    <w:p>
      <w:pPr>
        <w:pStyle w:val="BodyText"/>
        <w:spacing w:line="249" w:lineRule="auto" w:before="10"/>
        <w:ind w:left="102" w:right="115" w:firstLine="283"/>
        <w:jc w:val="both"/>
      </w:pPr>
      <w:r>
        <w:rPr>
          <w:color w:val="231F20"/>
        </w:rPr>
        <w:t>El</w:t>
      </w:r>
      <w:r>
        <w:rPr>
          <w:color w:val="231F20"/>
          <w:spacing w:val="-7"/>
        </w:rPr>
        <w:t> </w:t>
      </w:r>
      <w:r>
        <w:rPr>
          <w:color w:val="231F20"/>
          <w:spacing w:val="2"/>
        </w:rPr>
        <w:t>vocablo</w:t>
      </w:r>
      <w:r>
        <w:rPr>
          <w:color w:val="231F20"/>
          <w:spacing w:val="-7"/>
        </w:rPr>
        <w:t> </w:t>
      </w:r>
      <w:r>
        <w:rPr>
          <w:i/>
          <w:color w:val="231F20"/>
          <w:spacing w:val="2"/>
        </w:rPr>
        <w:t>mobbing</w:t>
      </w:r>
      <w:r>
        <w:rPr>
          <w:i/>
          <w:color w:val="231F20"/>
          <w:spacing w:val="-7"/>
        </w:rPr>
        <w:t> </w:t>
      </w:r>
      <w:r>
        <w:rPr>
          <w:color w:val="231F20"/>
          <w:spacing w:val="3"/>
        </w:rPr>
        <w:t>proviene</w:t>
      </w:r>
      <w:r>
        <w:rPr>
          <w:color w:val="231F20"/>
          <w:spacing w:val="-7"/>
        </w:rPr>
        <w:t> </w:t>
      </w:r>
      <w:r>
        <w:rPr>
          <w:color w:val="231F20"/>
          <w:spacing w:val="2"/>
        </w:rPr>
        <w:t>del</w:t>
      </w:r>
      <w:r>
        <w:rPr>
          <w:color w:val="231F20"/>
          <w:spacing w:val="-7"/>
        </w:rPr>
        <w:t> </w:t>
      </w:r>
      <w:r>
        <w:rPr>
          <w:color w:val="231F20"/>
          <w:spacing w:val="2"/>
        </w:rPr>
        <w:t>inglés</w:t>
      </w:r>
      <w:r>
        <w:rPr>
          <w:color w:val="231F20"/>
          <w:spacing w:val="-7"/>
        </w:rPr>
        <w:t> </w:t>
      </w:r>
      <w:r>
        <w:rPr>
          <w:i/>
          <w:color w:val="231F20"/>
        </w:rPr>
        <w:t>to</w:t>
      </w:r>
      <w:r>
        <w:rPr>
          <w:i/>
          <w:color w:val="231F20"/>
          <w:spacing w:val="-7"/>
        </w:rPr>
        <w:t> </w:t>
      </w:r>
      <w:r>
        <w:rPr>
          <w:i/>
          <w:color w:val="231F20"/>
          <w:spacing w:val="2"/>
        </w:rPr>
        <w:t>mob</w:t>
      </w:r>
      <w:r>
        <w:rPr>
          <w:color w:val="231F20"/>
          <w:spacing w:val="2"/>
        </w:rPr>
        <w:t>,</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spacing w:val="2"/>
        </w:rPr>
        <w:t>traducido </w:t>
      </w:r>
      <w:r>
        <w:rPr>
          <w:color w:val="231F20"/>
          <w:spacing w:val="3"/>
        </w:rPr>
        <w:t>como </w:t>
      </w:r>
      <w:r>
        <w:rPr>
          <w:color w:val="231F20"/>
          <w:spacing w:val="2"/>
        </w:rPr>
        <w:t>regañar, atacar, maltratar </w:t>
      </w:r>
      <w:r>
        <w:rPr>
          <w:color w:val="231F20"/>
        </w:rPr>
        <w:t>y </w:t>
      </w:r>
      <w:r>
        <w:rPr>
          <w:color w:val="231F20"/>
          <w:spacing w:val="2"/>
        </w:rPr>
        <w:t>asediar. </w:t>
      </w:r>
      <w:r>
        <w:rPr>
          <w:color w:val="231F20"/>
        </w:rPr>
        <w:t>En la </w:t>
      </w:r>
      <w:r>
        <w:rPr>
          <w:color w:val="231F20"/>
          <w:spacing w:val="3"/>
        </w:rPr>
        <w:t>misma lengua,</w:t>
      </w:r>
      <w:r>
        <w:rPr>
          <w:color w:val="231F20"/>
          <w:spacing w:val="58"/>
        </w:rPr>
        <w:t> </w:t>
      </w:r>
      <w:r>
        <w:rPr>
          <w:i/>
          <w:color w:val="231F20"/>
          <w:spacing w:val="2"/>
        </w:rPr>
        <w:t>Mob</w:t>
      </w:r>
      <w:r>
        <w:rPr>
          <w:color w:val="231F20"/>
          <w:spacing w:val="2"/>
        </w:rPr>
        <w:t>, con mayúscula, significa mafia. De cualquier </w:t>
      </w:r>
      <w:r>
        <w:rPr>
          <w:color w:val="231F20"/>
          <w:spacing w:val="3"/>
        </w:rPr>
        <w:t>manera, </w:t>
      </w:r>
      <w:r>
        <w:rPr>
          <w:color w:val="231F20"/>
        </w:rPr>
        <w:t>el </w:t>
      </w:r>
      <w:r>
        <w:rPr>
          <w:color w:val="231F20"/>
          <w:spacing w:val="3"/>
        </w:rPr>
        <w:t>tér- </w:t>
      </w:r>
      <w:r>
        <w:rPr>
          <w:color w:val="231F20"/>
          <w:spacing w:val="2"/>
        </w:rPr>
        <w:t>mino</w:t>
      </w:r>
      <w:r>
        <w:rPr>
          <w:color w:val="231F20"/>
          <w:spacing w:val="-3"/>
        </w:rPr>
        <w:t> </w:t>
      </w:r>
      <w:r>
        <w:rPr>
          <w:i/>
          <w:color w:val="231F20"/>
          <w:spacing w:val="2"/>
        </w:rPr>
        <w:t>mobbing</w:t>
      </w:r>
      <w:r>
        <w:rPr>
          <w:i/>
          <w:color w:val="231F20"/>
          <w:spacing w:val="-4"/>
        </w:rPr>
        <w:t> </w:t>
      </w:r>
      <w:r>
        <w:rPr>
          <w:color w:val="231F20"/>
        </w:rPr>
        <w:t>se</w:t>
      </w:r>
      <w:r>
        <w:rPr>
          <w:color w:val="231F20"/>
          <w:spacing w:val="-4"/>
        </w:rPr>
        <w:t> </w:t>
      </w:r>
      <w:r>
        <w:rPr>
          <w:color w:val="231F20"/>
          <w:spacing w:val="2"/>
        </w:rPr>
        <w:t>relaciona</w:t>
      </w:r>
      <w:r>
        <w:rPr>
          <w:color w:val="231F20"/>
          <w:spacing w:val="-4"/>
        </w:rPr>
        <w:t> </w:t>
      </w:r>
      <w:r>
        <w:rPr>
          <w:color w:val="231F20"/>
        </w:rPr>
        <w:t>a</w:t>
      </w:r>
      <w:r>
        <w:rPr>
          <w:color w:val="231F20"/>
          <w:spacing w:val="-4"/>
        </w:rPr>
        <w:t> </w:t>
      </w:r>
      <w:r>
        <w:rPr>
          <w:color w:val="231F20"/>
          <w:spacing w:val="2"/>
        </w:rPr>
        <w:t>persecuciones</w:t>
      </w:r>
      <w:r>
        <w:rPr>
          <w:color w:val="231F20"/>
          <w:spacing w:val="-4"/>
        </w:rPr>
        <w:t> </w:t>
      </w:r>
      <w:r>
        <w:rPr>
          <w:color w:val="231F20"/>
          <w:spacing w:val="2"/>
        </w:rPr>
        <w:t>colectivas</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la</w:t>
      </w:r>
      <w:r>
        <w:rPr>
          <w:color w:val="231F20"/>
          <w:spacing w:val="-4"/>
        </w:rPr>
        <w:t> </w:t>
      </w:r>
      <w:r>
        <w:rPr>
          <w:color w:val="231F20"/>
          <w:spacing w:val="3"/>
        </w:rPr>
        <w:t>violen- </w:t>
      </w:r>
      <w:r>
        <w:rPr>
          <w:color w:val="231F20"/>
        </w:rPr>
        <w:t>cia</w:t>
      </w:r>
      <w:r>
        <w:rPr>
          <w:color w:val="231F20"/>
          <w:spacing w:val="-7"/>
        </w:rPr>
        <w:t> </w:t>
      </w:r>
      <w:r>
        <w:rPr>
          <w:color w:val="231F20"/>
          <w:spacing w:val="2"/>
        </w:rPr>
        <w:t>relacionada</w:t>
      </w:r>
      <w:r>
        <w:rPr>
          <w:color w:val="231F20"/>
          <w:spacing w:val="-8"/>
        </w:rPr>
        <w:t> </w:t>
      </w:r>
      <w:r>
        <w:rPr>
          <w:color w:val="231F20"/>
          <w:spacing w:val="2"/>
        </w:rPr>
        <w:t>con</w:t>
      </w:r>
      <w:r>
        <w:rPr>
          <w:color w:val="231F20"/>
          <w:spacing w:val="-7"/>
        </w:rPr>
        <w:t> </w:t>
      </w:r>
      <w:r>
        <w:rPr>
          <w:color w:val="231F20"/>
        </w:rPr>
        <w:t>la</w:t>
      </w:r>
      <w:r>
        <w:rPr>
          <w:color w:val="231F20"/>
          <w:spacing w:val="-7"/>
        </w:rPr>
        <w:t> </w:t>
      </w:r>
      <w:r>
        <w:rPr>
          <w:color w:val="231F20"/>
          <w:spacing w:val="2"/>
        </w:rPr>
        <w:t>organización,</w:t>
      </w:r>
      <w:r>
        <w:rPr>
          <w:color w:val="231F20"/>
          <w:spacing w:val="-8"/>
        </w:rPr>
        <w:t> </w:t>
      </w:r>
      <w:r>
        <w:rPr>
          <w:color w:val="231F20"/>
          <w:spacing w:val="2"/>
        </w:rPr>
        <w:t>Hirigoyen,</w:t>
      </w:r>
      <w:r>
        <w:rPr>
          <w:color w:val="231F20"/>
          <w:spacing w:val="-8"/>
        </w:rPr>
        <w:t> </w:t>
      </w:r>
      <w:r>
        <w:rPr>
          <w:color w:val="231F20"/>
          <w:spacing w:val="2"/>
        </w:rPr>
        <w:t>M.</w:t>
      </w:r>
      <w:r>
        <w:rPr>
          <w:color w:val="231F20"/>
          <w:spacing w:val="-8"/>
        </w:rPr>
        <w:t> </w:t>
      </w:r>
      <w:r>
        <w:rPr>
          <w:color w:val="231F20"/>
        </w:rPr>
        <w:t>F</w:t>
      </w:r>
      <w:r>
        <w:rPr>
          <w:color w:val="231F20"/>
          <w:spacing w:val="-7"/>
        </w:rPr>
        <w:t> </w:t>
      </w:r>
      <w:r>
        <w:rPr>
          <w:color w:val="231F20"/>
          <w:spacing w:val="2"/>
        </w:rPr>
        <w:t>(2001:70).</w:t>
      </w:r>
    </w:p>
    <w:p>
      <w:pPr>
        <w:pStyle w:val="BodyText"/>
        <w:spacing w:line="247" w:lineRule="auto"/>
        <w:ind w:left="102" w:right="119" w:firstLine="284"/>
        <w:jc w:val="both"/>
      </w:pPr>
      <w:r>
        <w:rPr>
          <w:color w:val="231F20"/>
          <w:spacing w:val="2"/>
        </w:rPr>
        <w:t>Heinz </w:t>
      </w:r>
      <w:r>
        <w:rPr>
          <w:color w:val="231F20"/>
          <w:spacing w:val="3"/>
        </w:rPr>
        <w:t>Leymann (1980) </w:t>
      </w:r>
      <w:r>
        <w:rPr>
          <w:color w:val="231F20"/>
        </w:rPr>
        <w:t>en </w:t>
      </w:r>
      <w:r>
        <w:rPr>
          <w:color w:val="231F20"/>
          <w:spacing w:val="2"/>
        </w:rPr>
        <w:t>Suecia, </w:t>
      </w:r>
      <w:r>
        <w:rPr>
          <w:color w:val="231F20"/>
        </w:rPr>
        <w:t>es </w:t>
      </w:r>
      <w:r>
        <w:rPr>
          <w:color w:val="231F20"/>
          <w:spacing w:val="2"/>
        </w:rPr>
        <w:t>uno </w:t>
      </w:r>
      <w:r>
        <w:rPr>
          <w:color w:val="231F20"/>
        </w:rPr>
        <w:t>de </w:t>
      </w:r>
      <w:r>
        <w:rPr>
          <w:color w:val="231F20"/>
          <w:spacing w:val="2"/>
        </w:rPr>
        <w:t>los </w:t>
      </w:r>
      <w:r>
        <w:rPr>
          <w:color w:val="231F20"/>
          <w:spacing w:val="3"/>
        </w:rPr>
        <w:t>pioneros </w:t>
      </w:r>
      <w:r>
        <w:rPr>
          <w:color w:val="231F20"/>
        </w:rPr>
        <w:t>en </w:t>
      </w:r>
      <w:r>
        <w:rPr>
          <w:color w:val="231F20"/>
          <w:spacing w:val="2"/>
        </w:rPr>
        <w:t>acercarse </w:t>
      </w:r>
      <w:r>
        <w:rPr>
          <w:color w:val="231F20"/>
        </w:rPr>
        <w:t>a </w:t>
      </w:r>
      <w:r>
        <w:rPr>
          <w:color w:val="231F20"/>
          <w:spacing w:val="2"/>
        </w:rPr>
        <w:t>este </w:t>
      </w:r>
      <w:r>
        <w:rPr>
          <w:color w:val="231F20"/>
          <w:spacing w:val="3"/>
        </w:rPr>
        <w:t>fenómeno </w:t>
      </w:r>
      <w:r>
        <w:rPr>
          <w:color w:val="231F20"/>
        </w:rPr>
        <w:t>y </w:t>
      </w:r>
      <w:r>
        <w:rPr>
          <w:color w:val="231F20"/>
          <w:spacing w:val="2"/>
        </w:rPr>
        <w:t>advierte </w:t>
      </w:r>
      <w:r>
        <w:rPr>
          <w:color w:val="231F20"/>
        </w:rPr>
        <w:t>que en </w:t>
      </w:r>
      <w:r>
        <w:rPr>
          <w:color w:val="231F20"/>
          <w:spacing w:val="2"/>
        </w:rPr>
        <w:t>los adultos existe este </w:t>
      </w:r>
      <w:r>
        <w:rPr>
          <w:color w:val="231F20"/>
          <w:spacing w:val="3"/>
        </w:rPr>
        <w:t>comportamiento   </w:t>
      </w:r>
      <w:r>
        <w:rPr>
          <w:color w:val="231F20"/>
        </w:rPr>
        <w:t>en   </w:t>
      </w:r>
      <w:r>
        <w:rPr>
          <w:color w:val="231F20"/>
          <w:spacing w:val="3"/>
        </w:rPr>
        <w:t>ambientes   </w:t>
      </w:r>
      <w:r>
        <w:rPr>
          <w:color w:val="231F20"/>
        </w:rPr>
        <w:t>de   </w:t>
      </w:r>
      <w:r>
        <w:rPr>
          <w:color w:val="231F20"/>
          <w:spacing w:val="2"/>
        </w:rPr>
        <w:t>trabajo.   </w:t>
      </w:r>
      <w:r>
        <w:rPr>
          <w:color w:val="231F20"/>
        </w:rPr>
        <w:t>El   </w:t>
      </w:r>
      <w:r>
        <w:rPr>
          <w:i/>
          <w:color w:val="231F20"/>
          <w:spacing w:val="2"/>
        </w:rPr>
        <w:t>mobbing </w:t>
      </w:r>
      <w:r>
        <w:rPr>
          <w:i/>
          <w:color w:val="231F20"/>
          <w:spacing w:val="55"/>
        </w:rPr>
        <w:t> </w:t>
      </w:r>
      <w:r>
        <w:rPr>
          <w:color w:val="231F20"/>
          <w:spacing w:val="2"/>
        </w:rPr>
        <w:t>será</w:t>
      </w:r>
    </w:p>
    <w:p>
      <w:pPr>
        <w:spacing w:after="0" w:line="247" w:lineRule="auto"/>
        <w:jc w:val="both"/>
        <w:sectPr>
          <w:headerReference w:type="default" r:id="rId958"/>
          <w:footerReference w:type="default" r:id="rId959"/>
          <w:pgSz w:w="7830" w:h="11910"/>
          <w:pgMar w:header="0" w:footer="424" w:top="500" w:bottom="620" w:left="920" w:right="900"/>
          <w:pgNumType w:start="436"/>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2" w:right="119"/>
        <w:jc w:val="both"/>
        <w:rPr>
          <w:i/>
        </w:rPr>
      </w:pPr>
      <w:r>
        <w:rPr>
          <w:color w:val="231F20"/>
        </w:rPr>
        <w:t>considerado como tal, cuando el acoso es eminentemente psicológico</w:t>
      </w:r>
      <w:r>
        <w:rPr>
          <w:i/>
          <w:color w:val="231F20"/>
        </w:rPr>
        <w:t>.</w:t>
      </w:r>
    </w:p>
    <w:p>
      <w:pPr>
        <w:pStyle w:val="BodyText"/>
        <w:spacing w:line="247" w:lineRule="auto" w:before="1"/>
        <w:ind w:left="101" w:right="120" w:firstLine="284"/>
        <w:jc w:val="both"/>
      </w:pPr>
      <w:r>
        <w:rPr>
          <w:color w:val="231F20"/>
        </w:rPr>
        <w:t>Sin embargo, Dietery Claudia Gross (2001) indican que los términos </w:t>
      </w:r>
      <w:r>
        <w:rPr>
          <w:i/>
          <w:color w:val="231F20"/>
        </w:rPr>
        <w:t>bullying </w:t>
      </w:r>
      <w:r>
        <w:rPr>
          <w:color w:val="231F20"/>
        </w:rPr>
        <w:t>o </w:t>
      </w:r>
      <w:r>
        <w:rPr>
          <w:i/>
          <w:color w:val="231F20"/>
        </w:rPr>
        <w:t>mobbing </w:t>
      </w:r>
      <w:r>
        <w:rPr>
          <w:color w:val="231F20"/>
        </w:rPr>
        <w:t>son sinónimos, y se refieren a una per- sona que es hostigada por un período largo de  tiempo.</w:t>
      </w:r>
    </w:p>
    <w:p>
      <w:pPr>
        <w:pStyle w:val="BodyText"/>
        <w:spacing w:line="247" w:lineRule="auto" w:before="6"/>
        <w:ind w:left="101" w:right="116" w:firstLine="284"/>
        <w:jc w:val="both"/>
        <w:rPr>
          <w:i/>
        </w:rPr>
      </w:pPr>
      <w:r>
        <w:rPr>
          <w:color w:val="231F20"/>
          <w:spacing w:val="3"/>
        </w:rPr>
        <w:t>Marie-France</w:t>
      </w:r>
      <w:r>
        <w:rPr>
          <w:color w:val="231F20"/>
          <w:spacing w:val="-11"/>
        </w:rPr>
        <w:t> </w:t>
      </w:r>
      <w:r>
        <w:rPr>
          <w:color w:val="231F20"/>
          <w:spacing w:val="2"/>
        </w:rPr>
        <w:t>Hirigoyen</w:t>
      </w:r>
      <w:r>
        <w:rPr>
          <w:color w:val="231F20"/>
          <w:spacing w:val="-11"/>
        </w:rPr>
        <w:t> </w:t>
      </w:r>
      <w:r>
        <w:rPr>
          <w:color w:val="231F20"/>
          <w:spacing w:val="2"/>
        </w:rPr>
        <w:t>(2001:77)</w:t>
      </w:r>
      <w:r>
        <w:rPr>
          <w:color w:val="231F20"/>
          <w:spacing w:val="-12"/>
        </w:rPr>
        <w:t> </w:t>
      </w:r>
      <w:r>
        <w:rPr>
          <w:color w:val="231F20"/>
          <w:spacing w:val="2"/>
        </w:rPr>
        <w:t>señala</w:t>
      </w:r>
      <w:r>
        <w:rPr>
          <w:color w:val="231F20"/>
          <w:spacing w:val="-11"/>
        </w:rPr>
        <w:t> </w:t>
      </w:r>
      <w:r>
        <w:rPr>
          <w:color w:val="231F20"/>
        </w:rPr>
        <w:t>que</w:t>
      </w:r>
      <w:r>
        <w:rPr>
          <w:color w:val="231F20"/>
          <w:spacing w:val="-12"/>
        </w:rPr>
        <w:t> </w:t>
      </w:r>
      <w:r>
        <w:rPr>
          <w:color w:val="231F20"/>
        </w:rPr>
        <w:t>“el</w:t>
      </w:r>
      <w:r>
        <w:rPr>
          <w:color w:val="231F20"/>
          <w:spacing w:val="-12"/>
        </w:rPr>
        <w:t> </w:t>
      </w:r>
      <w:r>
        <w:rPr>
          <w:i/>
          <w:color w:val="231F20"/>
          <w:spacing w:val="2"/>
        </w:rPr>
        <w:t>mobbing…</w:t>
      </w:r>
      <w:r>
        <w:rPr>
          <w:i/>
          <w:color w:val="231F20"/>
          <w:spacing w:val="-10"/>
        </w:rPr>
        <w:t> </w:t>
      </w:r>
      <w:r>
        <w:rPr>
          <w:color w:val="231F20"/>
          <w:spacing w:val="3"/>
        </w:rPr>
        <w:t>co- rresponde </w:t>
      </w:r>
      <w:r>
        <w:rPr>
          <w:color w:val="231F20"/>
          <w:spacing w:val="2"/>
        </w:rPr>
        <w:t>más </w:t>
      </w:r>
      <w:r>
        <w:rPr>
          <w:color w:val="231F20"/>
        </w:rPr>
        <w:t>a </w:t>
      </w:r>
      <w:r>
        <w:rPr>
          <w:color w:val="231F20"/>
          <w:spacing w:val="3"/>
        </w:rPr>
        <w:t>persecuciones </w:t>
      </w:r>
      <w:r>
        <w:rPr>
          <w:color w:val="231F20"/>
          <w:spacing w:val="2"/>
        </w:rPr>
        <w:t>colectivas </w:t>
      </w:r>
      <w:r>
        <w:rPr>
          <w:color w:val="231F20"/>
        </w:rPr>
        <w:t>o a la </w:t>
      </w:r>
      <w:r>
        <w:rPr>
          <w:color w:val="231F20"/>
          <w:spacing w:val="2"/>
        </w:rPr>
        <w:t>violencia </w:t>
      </w:r>
      <w:r>
        <w:rPr>
          <w:color w:val="231F20"/>
        </w:rPr>
        <w:t>que se </w:t>
      </w:r>
      <w:r>
        <w:rPr>
          <w:color w:val="231F20"/>
          <w:spacing w:val="3"/>
        </w:rPr>
        <w:t>desprende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spacing w:val="2"/>
        </w:rPr>
        <w:t>organización…</w:t>
      </w:r>
      <w:r>
        <w:rPr>
          <w:color w:val="231F20"/>
          <w:spacing w:val="-1"/>
        </w:rPr>
        <w:t> </w:t>
      </w:r>
      <w:r>
        <w:rPr>
          <w:color w:val="231F20"/>
        </w:rPr>
        <w:t>el</w:t>
      </w:r>
      <w:r>
        <w:rPr>
          <w:color w:val="231F20"/>
          <w:spacing w:val="-4"/>
        </w:rPr>
        <w:t> </w:t>
      </w:r>
      <w:r>
        <w:rPr>
          <w:i/>
          <w:color w:val="231F20"/>
          <w:spacing w:val="2"/>
        </w:rPr>
        <w:t>bullying</w:t>
      </w:r>
      <w:r>
        <w:rPr>
          <w:i/>
          <w:color w:val="231F20"/>
          <w:spacing w:val="-4"/>
        </w:rPr>
        <w:t> </w:t>
      </w:r>
      <w:r>
        <w:rPr>
          <w:color w:val="231F20"/>
        </w:rPr>
        <w:t>va</w:t>
      </w:r>
      <w:r>
        <w:rPr>
          <w:color w:val="231F20"/>
          <w:spacing w:val="-4"/>
        </w:rPr>
        <w:t> </w:t>
      </w:r>
      <w:r>
        <w:rPr>
          <w:color w:val="231F20"/>
          <w:spacing w:val="2"/>
        </w:rPr>
        <w:t>desde</w:t>
      </w:r>
      <w:r>
        <w:rPr>
          <w:color w:val="231F20"/>
          <w:spacing w:val="-3"/>
        </w:rPr>
        <w:t> </w:t>
      </w:r>
      <w:r>
        <w:rPr>
          <w:color w:val="231F20"/>
        </w:rPr>
        <w:t>las</w:t>
      </w:r>
      <w:r>
        <w:rPr>
          <w:color w:val="231F20"/>
          <w:spacing w:val="-4"/>
        </w:rPr>
        <w:t> </w:t>
      </w:r>
      <w:r>
        <w:rPr>
          <w:color w:val="231F20"/>
          <w:spacing w:val="3"/>
        </w:rPr>
        <w:t>bromas</w:t>
      </w:r>
      <w:r>
        <w:rPr>
          <w:color w:val="231F20"/>
          <w:spacing w:val="-4"/>
        </w:rPr>
        <w:t> </w:t>
      </w:r>
      <w:r>
        <w:rPr>
          <w:color w:val="231F20"/>
        </w:rPr>
        <w:t>y</w:t>
      </w:r>
      <w:r>
        <w:rPr>
          <w:color w:val="231F20"/>
          <w:spacing w:val="-4"/>
        </w:rPr>
        <w:t> </w:t>
      </w:r>
      <w:r>
        <w:rPr>
          <w:color w:val="231F20"/>
        </w:rPr>
        <w:t>la </w:t>
      </w:r>
      <w:r>
        <w:rPr>
          <w:color w:val="231F20"/>
          <w:spacing w:val="2"/>
        </w:rPr>
        <w:t>marginación hasta conductas </w:t>
      </w:r>
      <w:r>
        <w:rPr>
          <w:color w:val="231F20"/>
        </w:rPr>
        <w:t>de </w:t>
      </w:r>
      <w:r>
        <w:rPr>
          <w:color w:val="231F20"/>
          <w:spacing w:val="2"/>
        </w:rPr>
        <w:t>abuso </w:t>
      </w:r>
      <w:r>
        <w:rPr>
          <w:color w:val="231F20"/>
        </w:rPr>
        <w:t>con </w:t>
      </w:r>
      <w:r>
        <w:rPr>
          <w:color w:val="231F20"/>
          <w:spacing w:val="2"/>
        </w:rPr>
        <w:t>connotaciones </w:t>
      </w:r>
      <w:r>
        <w:rPr>
          <w:color w:val="231F20"/>
          <w:spacing w:val="3"/>
        </w:rPr>
        <w:t>sexua- </w:t>
      </w:r>
      <w:r>
        <w:rPr>
          <w:color w:val="231F20"/>
        </w:rPr>
        <w:t>les o </w:t>
      </w:r>
      <w:r>
        <w:rPr>
          <w:color w:val="231F20"/>
          <w:spacing w:val="2"/>
        </w:rPr>
        <w:t>agresiones físicas. </w:t>
      </w:r>
      <w:r>
        <w:rPr>
          <w:color w:val="231F20"/>
        </w:rPr>
        <w:t>Se </w:t>
      </w:r>
      <w:r>
        <w:rPr>
          <w:color w:val="231F20"/>
          <w:spacing w:val="2"/>
        </w:rPr>
        <w:t>trata </w:t>
      </w:r>
      <w:r>
        <w:rPr>
          <w:color w:val="231F20"/>
        </w:rPr>
        <w:t>en </w:t>
      </w:r>
      <w:r>
        <w:rPr>
          <w:color w:val="231F20"/>
          <w:spacing w:val="3"/>
        </w:rPr>
        <w:t>mayor medida </w:t>
      </w:r>
      <w:r>
        <w:rPr>
          <w:color w:val="231F20"/>
        </w:rPr>
        <w:t>de </w:t>
      </w:r>
      <w:r>
        <w:rPr>
          <w:color w:val="231F20"/>
          <w:spacing w:val="3"/>
        </w:rPr>
        <w:t>bravucona- </w:t>
      </w:r>
      <w:r>
        <w:rPr>
          <w:color w:val="231F20"/>
          <w:spacing w:val="2"/>
        </w:rPr>
        <w:t>das, más que </w:t>
      </w:r>
      <w:r>
        <w:rPr>
          <w:color w:val="231F20"/>
        </w:rPr>
        <w:t>de </w:t>
      </w:r>
      <w:r>
        <w:rPr>
          <w:color w:val="231F20"/>
          <w:spacing w:val="2"/>
        </w:rPr>
        <w:t>violencia </w:t>
      </w:r>
      <w:r>
        <w:rPr>
          <w:color w:val="231F20"/>
        </w:rPr>
        <w:t>en la</w:t>
      </w:r>
      <w:r>
        <w:rPr>
          <w:color w:val="231F20"/>
          <w:spacing w:val="-19"/>
        </w:rPr>
        <w:t> </w:t>
      </w:r>
      <w:r>
        <w:rPr>
          <w:color w:val="231F20"/>
          <w:spacing w:val="3"/>
        </w:rPr>
        <w:t>organización”</w:t>
      </w:r>
      <w:r>
        <w:rPr>
          <w:i/>
          <w:color w:val="231F20"/>
          <w:spacing w:val="3"/>
        </w:rPr>
        <w:t>.</w:t>
      </w:r>
    </w:p>
    <w:p>
      <w:pPr>
        <w:pStyle w:val="BodyText"/>
        <w:spacing w:line="247" w:lineRule="auto" w:before="1"/>
        <w:ind w:left="101" w:right="116" w:firstLine="283"/>
        <w:jc w:val="both"/>
      </w:pPr>
      <w:r>
        <w:rPr>
          <w:color w:val="231F20"/>
        </w:rPr>
        <w:t>El término </w:t>
      </w:r>
      <w:r>
        <w:rPr>
          <w:i/>
          <w:color w:val="231F20"/>
        </w:rPr>
        <w:t>mobbing </w:t>
      </w:r>
      <w:r>
        <w:rPr>
          <w:color w:val="231F20"/>
        </w:rPr>
        <w:t>ha sido también traducido como: presión laboral tendenciosa, acoso moral, hostigamiento, psicoterror, aco- so psicológico en el trabajo.</w:t>
      </w:r>
    </w:p>
    <w:p>
      <w:pPr>
        <w:pStyle w:val="BodyText"/>
        <w:spacing w:line="249" w:lineRule="auto" w:before="1"/>
        <w:ind w:left="101" w:right="115" w:firstLine="284"/>
        <w:jc w:val="both"/>
      </w:pPr>
      <w:r>
        <w:rPr>
          <w:color w:val="231F20"/>
        </w:rPr>
        <w:t>El </w:t>
      </w:r>
      <w:r>
        <w:rPr>
          <w:i/>
          <w:color w:val="231F20"/>
          <w:spacing w:val="2"/>
        </w:rPr>
        <w:t>mobbing </w:t>
      </w:r>
      <w:r>
        <w:rPr>
          <w:color w:val="231F20"/>
        </w:rPr>
        <w:t>ha sido </w:t>
      </w:r>
      <w:r>
        <w:rPr>
          <w:color w:val="231F20"/>
          <w:spacing w:val="2"/>
        </w:rPr>
        <w:t>definido </w:t>
      </w:r>
      <w:r>
        <w:rPr>
          <w:color w:val="231F20"/>
        </w:rPr>
        <w:t>en </w:t>
      </w:r>
      <w:r>
        <w:rPr>
          <w:color w:val="231F20"/>
          <w:spacing w:val="2"/>
        </w:rPr>
        <w:t>diversos países. Así </w:t>
      </w:r>
      <w:r>
        <w:rPr>
          <w:color w:val="231F20"/>
          <w:spacing w:val="3"/>
        </w:rPr>
        <w:t>tenemos </w:t>
      </w:r>
      <w:r>
        <w:rPr>
          <w:color w:val="231F20"/>
        </w:rPr>
        <w:t>en </w:t>
      </w:r>
      <w:r>
        <w:rPr>
          <w:color w:val="231F20"/>
          <w:spacing w:val="3"/>
        </w:rPr>
        <w:t>España </w:t>
      </w:r>
      <w:r>
        <w:rPr>
          <w:color w:val="231F20"/>
        </w:rPr>
        <w:t>a </w:t>
      </w:r>
      <w:r>
        <w:rPr>
          <w:color w:val="231F20"/>
          <w:spacing w:val="2"/>
        </w:rPr>
        <w:t>Iñaki Piñuel </w:t>
      </w:r>
      <w:r>
        <w:rPr>
          <w:color w:val="231F20"/>
        </w:rPr>
        <w:t>y </w:t>
      </w:r>
      <w:r>
        <w:rPr>
          <w:color w:val="231F20"/>
          <w:spacing w:val="2"/>
        </w:rPr>
        <w:t>Zabala (2001:61) quien señala </w:t>
      </w:r>
      <w:r>
        <w:rPr>
          <w:color w:val="231F20"/>
        </w:rPr>
        <w:t>que “el </w:t>
      </w:r>
      <w:r>
        <w:rPr>
          <w:color w:val="231F20"/>
          <w:spacing w:val="2"/>
        </w:rPr>
        <w:t>acoso laboral </w:t>
      </w:r>
      <w:r>
        <w:rPr>
          <w:color w:val="231F20"/>
        </w:rPr>
        <w:t>no es un </w:t>
      </w:r>
      <w:r>
        <w:rPr>
          <w:color w:val="231F20"/>
          <w:spacing w:val="3"/>
        </w:rPr>
        <w:t>problema </w:t>
      </w:r>
      <w:r>
        <w:rPr>
          <w:color w:val="231F20"/>
          <w:spacing w:val="2"/>
        </w:rPr>
        <w:t>del individuo </w:t>
      </w:r>
      <w:r>
        <w:rPr>
          <w:color w:val="231F20"/>
        </w:rPr>
        <w:t>que lo </w:t>
      </w:r>
      <w:r>
        <w:rPr>
          <w:color w:val="231F20"/>
          <w:spacing w:val="2"/>
        </w:rPr>
        <w:t>padece…  sino todo </w:t>
      </w:r>
      <w:r>
        <w:rPr>
          <w:color w:val="231F20"/>
        </w:rPr>
        <w:t>un </w:t>
      </w:r>
      <w:r>
        <w:rPr>
          <w:color w:val="231F20"/>
          <w:spacing w:val="3"/>
        </w:rPr>
        <w:t>síntoma </w:t>
      </w:r>
      <w:r>
        <w:rPr>
          <w:color w:val="231F20"/>
        </w:rPr>
        <w:t>de que las </w:t>
      </w:r>
      <w:r>
        <w:rPr>
          <w:color w:val="231F20"/>
          <w:spacing w:val="2"/>
        </w:rPr>
        <w:t>cosas </w:t>
      </w:r>
      <w:r>
        <w:rPr>
          <w:color w:val="231F20"/>
        </w:rPr>
        <w:t>en la </w:t>
      </w:r>
      <w:r>
        <w:rPr>
          <w:color w:val="231F20"/>
          <w:spacing w:val="2"/>
        </w:rPr>
        <w:t>organización </w:t>
      </w:r>
      <w:r>
        <w:rPr>
          <w:color w:val="231F20"/>
          <w:spacing w:val="4"/>
        </w:rPr>
        <w:t>no </w:t>
      </w:r>
      <w:r>
        <w:rPr>
          <w:color w:val="231F20"/>
          <w:spacing w:val="2"/>
        </w:rPr>
        <w:t>marchan bien, </w:t>
      </w:r>
      <w:r>
        <w:rPr>
          <w:color w:val="231F20"/>
        </w:rPr>
        <w:t>en la </w:t>
      </w:r>
      <w:r>
        <w:rPr>
          <w:color w:val="231F20"/>
          <w:spacing w:val="2"/>
        </w:rPr>
        <w:t>manera </w:t>
      </w:r>
      <w:r>
        <w:rPr>
          <w:color w:val="231F20"/>
        </w:rPr>
        <w:t>de </w:t>
      </w:r>
      <w:r>
        <w:rPr>
          <w:color w:val="231F20"/>
          <w:spacing w:val="2"/>
        </w:rPr>
        <w:t>organizar </w:t>
      </w:r>
      <w:r>
        <w:rPr>
          <w:color w:val="231F20"/>
        </w:rPr>
        <w:t>el  </w:t>
      </w:r>
      <w:r>
        <w:rPr>
          <w:color w:val="231F20"/>
          <w:spacing w:val="2"/>
        </w:rPr>
        <w:t>trabajo, repartir </w:t>
      </w:r>
      <w:r>
        <w:rPr>
          <w:color w:val="231F20"/>
        </w:rPr>
        <w:t>la  </w:t>
      </w:r>
      <w:r>
        <w:rPr>
          <w:color w:val="231F20"/>
          <w:spacing w:val="2"/>
        </w:rPr>
        <w:t>carga </w:t>
      </w:r>
      <w:r>
        <w:rPr>
          <w:color w:val="231F20"/>
        </w:rPr>
        <w:t>de </w:t>
      </w:r>
      <w:r>
        <w:rPr>
          <w:color w:val="231F20"/>
          <w:spacing w:val="2"/>
        </w:rPr>
        <w:t>trabajo, seleccionar </w:t>
      </w:r>
      <w:r>
        <w:rPr>
          <w:color w:val="231F20"/>
        </w:rPr>
        <w:t>a </w:t>
      </w:r>
      <w:r>
        <w:rPr>
          <w:color w:val="231F20"/>
          <w:spacing w:val="2"/>
        </w:rPr>
        <w:t>los directivos </w:t>
      </w:r>
      <w:r>
        <w:rPr>
          <w:color w:val="231F20"/>
        </w:rPr>
        <w:t>o </w:t>
      </w:r>
      <w:r>
        <w:rPr>
          <w:color w:val="231F20"/>
          <w:spacing w:val="2"/>
        </w:rPr>
        <w:t>bien </w:t>
      </w:r>
      <w:r>
        <w:rPr>
          <w:color w:val="231F20"/>
        </w:rPr>
        <w:t>en lo </w:t>
      </w:r>
      <w:r>
        <w:rPr>
          <w:color w:val="231F20"/>
          <w:spacing w:val="2"/>
        </w:rPr>
        <w:t>que respecta </w:t>
      </w:r>
      <w:r>
        <w:rPr>
          <w:color w:val="231F20"/>
        </w:rPr>
        <w:t>a </w:t>
      </w:r>
      <w:r>
        <w:rPr>
          <w:color w:val="231F20"/>
          <w:spacing w:val="2"/>
        </w:rPr>
        <w:t>los valores, </w:t>
      </w:r>
      <w:r>
        <w:rPr>
          <w:color w:val="231F20"/>
        </w:rPr>
        <w:t>la </w:t>
      </w:r>
      <w:r>
        <w:rPr>
          <w:color w:val="231F20"/>
          <w:spacing w:val="2"/>
        </w:rPr>
        <w:t>cultura </w:t>
      </w:r>
      <w:r>
        <w:rPr>
          <w:color w:val="231F20"/>
        </w:rPr>
        <w:t>y el </w:t>
      </w:r>
      <w:r>
        <w:rPr>
          <w:color w:val="231F20"/>
          <w:spacing w:val="2"/>
        </w:rPr>
        <w:t>estilo </w:t>
      </w:r>
      <w:r>
        <w:rPr>
          <w:color w:val="231F20"/>
        </w:rPr>
        <w:t>de </w:t>
      </w:r>
      <w:r>
        <w:rPr>
          <w:i/>
          <w:color w:val="231F20"/>
          <w:spacing w:val="2"/>
        </w:rPr>
        <w:t>management </w:t>
      </w:r>
      <w:r>
        <w:rPr>
          <w:color w:val="231F20"/>
        </w:rPr>
        <w:t>de la </w:t>
      </w:r>
      <w:r>
        <w:rPr>
          <w:color w:val="231F20"/>
          <w:spacing w:val="2"/>
        </w:rPr>
        <w:t>organización </w:t>
      </w:r>
      <w:r>
        <w:rPr>
          <w:color w:val="231F20"/>
        </w:rPr>
        <w:t>en la que se </w:t>
      </w:r>
      <w:r>
        <w:rPr>
          <w:color w:val="231F20"/>
          <w:spacing w:val="2"/>
        </w:rPr>
        <w:t>producen tales </w:t>
      </w:r>
      <w:r>
        <w:rPr>
          <w:color w:val="231F20"/>
          <w:spacing w:val="12"/>
        </w:rPr>
        <w:t> </w:t>
      </w:r>
      <w:r>
        <w:rPr>
          <w:color w:val="231F20"/>
          <w:spacing w:val="3"/>
        </w:rPr>
        <w:t>comportamientos”.</w:t>
      </w:r>
    </w:p>
    <w:p>
      <w:pPr>
        <w:pStyle w:val="BodyText"/>
        <w:spacing w:line="247" w:lineRule="auto"/>
        <w:ind w:left="101" w:right="116" w:firstLine="284"/>
        <w:jc w:val="both"/>
      </w:pPr>
      <w:r>
        <w:rPr>
          <w:color w:val="231F20"/>
        </w:rPr>
        <w:t>En este planteamiento podemos encontrar que los factores psicosociales, si no son atendidos, juegan un papel preponderante para que el </w:t>
      </w:r>
      <w:r>
        <w:rPr>
          <w:i/>
          <w:color w:val="231F20"/>
        </w:rPr>
        <w:t>mobbing </w:t>
      </w:r>
      <w:r>
        <w:rPr>
          <w:color w:val="231F20"/>
        </w:rPr>
        <w:t>emerja, enrareciendo el clima organizacional y provocando un ambiente nocivo.</w:t>
      </w:r>
    </w:p>
    <w:p>
      <w:pPr>
        <w:pStyle w:val="BodyText"/>
        <w:spacing w:before="9"/>
      </w:pPr>
    </w:p>
    <w:p>
      <w:pPr>
        <w:spacing w:before="0"/>
        <w:ind w:left="101" w:right="0" w:firstLine="0"/>
        <w:jc w:val="both"/>
        <w:rPr>
          <w:i/>
          <w:sz w:val="21"/>
        </w:rPr>
      </w:pPr>
      <w:r>
        <w:rPr>
          <w:color w:val="231F20"/>
          <w:w w:val="85"/>
          <w:sz w:val="21"/>
        </w:rPr>
        <w:t>Mobbing</w:t>
      </w:r>
      <w:r>
        <w:rPr>
          <w:i/>
          <w:color w:val="231F20"/>
          <w:w w:val="85"/>
          <w:sz w:val="21"/>
        </w:rPr>
        <w:t>o acoso psicológico en el trabajo en escenarios educativos</w:t>
      </w:r>
    </w:p>
    <w:p>
      <w:pPr>
        <w:pStyle w:val="BodyText"/>
        <w:spacing w:before="6"/>
        <w:rPr>
          <w:i/>
        </w:rPr>
      </w:pPr>
    </w:p>
    <w:p>
      <w:pPr>
        <w:pStyle w:val="BodyText"/>
        <w:spacing w:line="244" w:lineRule="auto"/>
        <w:ind w:left="101" w:right="116"/>
        <w:jc w:val="both"/>
      </w:pPr>
      <w:r>
        <w:rPr>
          <w:color w:val="231F20"/>
        </w:rPr>
        <w:t>El sector educativo es uno de los que sufre más daño causado por    el </w:t>
      </w:r>
      <w:r>
        <w:rPr>
          <w:i/>
          <w:color w:val="231F20"/>
        </w:rPr>
        <w:t>mobbing. </w:t>
      </w:r>
      <w:r>
        <w:rPr>
          <w:color w:val="231F20"/>
        </w:rPr>
        <w:t>Los estudios de (Herbert Hoel y C. L. Cooper 2000 cita- dos en Justicia,Benítez yFernández E. 2006) indican que este, ocupa el tercer lugar con un 15.6% de los</w:t>
      </w:r>
      <w:r>
        <w:rPr>
          <w:color w:val="231F20"/>
          <w:spacing w:val="3"/>
        </w:rPr>
        <w:t> </w:t>
      </w:r>
      <w:r>
        <w:rPr>
          <w:color w:val="231F20"/>
        </w:rPr>
        <w:t>casos.</w:t>
      </w:r>
    </w:p>
    <w:p>
      <w:pPr>
        <w:pStyle w:val="BodyText"/>
        <w:spacing w:line="247" w:lineRule="auto" w:before="18"/>
        <w:ind w:left="101" w:right="116" w:firstLine="284"/>
        <w:jc w:val="both"/>
      </w:pPr>
      <w:r>
        <w:rPr>
          <w:color w:val="231F20"/>
        </w:rPr>
        <w:t>Björkqvist D., Österman K., Hjelt-Back M. (1994) en Finlan- dia, ubicaron la tasa de afectados en un 17% en miembros de la comunidad universitaria. La encuesta europea sobre acoso apunta que el 12% de los trabajadores acosados pertenecen al sector edu- cativo (Di Martino, V., Hoel, H.&amp; Cooper, C. L., 2003); el infor- me irlandés (HSA, 2001) señala una  incidencia del  12,1%,   colo-</w:t>
      </w:r>
    </w:p>
    <w:p>
      <w:pPr>
        <w:spacing w:after="0" w:line="247" w:lineRule="auto"/>
        <w:jc w:val="both"/>
        <w:sectPr>
          <w:headerReference w:type="default" r:id="rId960"/>
          <w:footerReference w:type="default" r:id="rId961"/>
          <w:pgSz w:w="7830" w:h="11910"/>
          <w:pgMar w:header="0" w:footer="424" w:top="500" w:bottom="620" w:left="920" w:right="900"/>
          <w:pgNumType w:start="437"/>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40"/>
      </w:pPr>
      <w:r>
        <w:rPr>
          <w:color w:val="231F20"/>
          <w:spacing w:val="2"/>
        </w:rPr>
        <w:t>cando </w:t>
      </w:r>
      <w:r>
        <w:rPr>
          <w:color w:val="231F20"/>
        </w:rPr>
        <w:t>a </w:t>
      </w:r>
      <w:r>
        <w:rPr>
          <w:color w:val="231F20"/>
          <w:spacing w:val="2"/>
        </w:rPr>
        <w:t>dicho sector </w:t>
      </w:r>
      <w:r>
        <w:rPr>
          <w:color w:val="231F20"/>
          <w:spacing w:val="3"/>
        </w:rPr>
        <w:t>como </w:t>
      </w:r>
      <w:r>
        <w:rPr>
          <w:color w:val="231F20"/>
        </w:rPr>
        <w:t>el </w:t>
      </w:r>
      <w:r>
        <w:rPr>
          <w:color w:val="231F20"/>
          <w:spacing w:val="3"/>
        </w:rPr>
        <w:t>segundo </w:t>
      </w:r>
      <w:r>
        <w:rPr>
          <w:color w:val="231F20"/>
          <w:spacing w:val="2"/>
        </w:rPr>
        <w:t>más afectado, dato </w:t>
      </w:r>
      <w:r>
        <w:rPr>
          <w:color w:val="231F20"/>
          <w:spacing w:val="3"/>
        </w:rPr>
        <w:t>apoya- </w:t>
      </w:r>
      <w:r>
        <w:rPr>
          <w:color w:val="231F20"/>
        </w:rPr>
        <w:t>do </w:t>
      </w:r>
      <w:r>
        <w:rPr>
          <w:color w:val="231F20"/>
          <w:spacing w:val="2"/>
        </w:rPr>
        <w:t>por </w:t>
      </w:r>
      <w:r>
        <w:rPr>
          <w:color w:val="231F20"/>
        </w:rPr>
        <w:t>la </w:t>
      </w:r>
      <w:r>
        <w:rPr>
          <w:color w:val="231F20"/>
          <w:spacing w:val="2"/>
        </w:rPr>
        <w:t>investigación </w:t>
      </w:r>
      <w:r>
        <w:rPr>
          <w:color w:val="231F20"/>
        </w:rPr>
        <w:t>de </w:t>
      </w:r>
      <w:r>
        <w:rPr>
          <w:color w:val="231F20"/>
          <w:spacing w:val="3"/>
        </w:rPr>
        <w:t>Hubert </w:t>
      </w:r>
      <w:r>
        <w:rPr>
          <w:color w:val="231F20"/>
        </w:rPr>
        <w:t>y </w:t>
      </w:r>
      <w:r>
        <w:rPr>
          <w:color w:val="231F20"/>
          <w:spacing w:val="3"/>
        </w:rPr>
        <w:t>vanVeldhoven</w:t>
      </w:r>
      <w:r>
        <w:rPr>
          <w:color w:val="231F20"/>
          <w:spacing w:val="16"/>
        </w:rPr>
        <w:t> </w:t>
      </w:r>
      <w:r>
        <w:rPr>
          <w:color w:val="231F20"/>
          <w:spacing w:val="2"/>
        </w:rPr>
        <w:t>(2001).</w:t>
      </w:r>
    </w:p>
    <w:p>
      <w:pPr>
        <w:pStyle w:val="BodyText"/>
        <w:spacing w:line="249" w:lineRule="auto" w:before="1"/>
        <w:ind w:left="102" w:right="115" w:firstLine="284"/>
        <w:jc w:val="both"/>
      </w:pPr>
      <w:r>
        <w:rPr>
          <w:color w:val="231F20"/>
        </w:rPr>
        <w:t>La Universidad de Antioquia y El Ministerio de la Protección (2004) en Colombia reportan que en una muestra de 1920 trabaja- dores el 19.7% del sector salud y educación, afirma padecer acoso psicológico.</w:t>
      </w:r>
    </w:p>
    <w:p>
      <w:pPr>
        <w:pStyle w:val="BodyText"/>
        <w:spacing w:line="247" w:lineRule="auto"/>
        <w:ind w:left="102" w:right="115" w:firstLine="284"/>
        <w:jc w:val="both"/>
      </w:pPr>
      <w:r>
        <w:rPr>
          <w:color w:val="231F20"/>
        </w:rPr>
        <w:t>Fernando Justicia Justicia, Juan Luis Benítez Muñoz yEduardo Fernández de Haro en España (2006) realizaron un estudio des- criptivo con 548 empleados universitarios (profesorado, adminis- tración y servicios). Los resultados indican que el 9.31% de los empleados universitarios se considera víctima del acoso.</w:t>
      </w:r>
    </w:p>
    <w:p>
      <w:pPr>
        <w:pStyle w:val="BodyText"/>
        <w:spacing w:line="249" w:lineRule="auto" w:before="1"/>
        <w:ind w:left="102" w:right="115" w:firstLine="283"/>
        <w:jc w:val="both"/>
      </w:pPr>
      <w:r>
        <w:rPr>
          <w:color w:val="231F20"/>
        </w:rPr>
        <w:t>Pando-Moreno, Aranda-Beltrán, Aldrete, Torres y Chavero (2006) en un Centro Universitario en México realizaron una inves- tigación transversal, de tipo correlacional, con 144 docentes de </w:t>
      </w:r>
      <w:r>
        <w:rPr>
          <w:color w:val="231F20"/>
          <w:w w:val="104"/>
        </w:rPr>
        <w:t>n</w:t>
      </w:r>
      <w:r>
        <w:rPr>
          <w:color w:val="231F20"/>
          <w:w w:val="84"/>
        </w:rPr>
        <w:t>i</w:t>
      </w:r>
      <w:r>
        <w:rPr>
          <w:color w:val="231F20"/>
          <w:w w:val="96"/>
        </w:rPr>
        <w:t>v</w:t>
      </w:r>
      <w:r>
        <w:rPr>
          <w:color w:val="231F20"/>
          <w:w w:val="96"/>
        </w:rPr>
        <w:t>e</w:t>
      </w:r>
      <w:r>
        <w:rPr>
          <w:color w:val="231F20"/>
          <w:w w:val="84"/>
        </w:rPr>
        <w:t>l</w:t>
      </w:r>
      <w:r>
        <w:rPr>
          <w:color w:val="231F20"/>
        </w:rPr>
        <w:t> </w:t>
      </w:r>
      <w:r>
        <w:rPr>
          <w:color w:val="231F20"/>
          <w:w w:val="96"/>
        </w:rPr>
        <w:t>s</w:t>
      </w:r>
      <w:r>
        <w:rPr>
          <w:color w:val="231F20"/>
          <w:w w:val="100"/>
        </w:rPr>
        <w:t>u</w:t>
      </w:r>
      <w:r>
        <w:rPr>
          <w:color w:val="231F20"/>
          <w:w w:val="104"/>
        </w:rPr>
        <w:t>p</w:t>
      </w:r>
      <w:r>
        <w:rPr>
          <w:color w:val="231F20"/>
          <w:w w:val="96"/>
        </w:rPr>
        <w:t>e</w:t>
      </w:r>
      <w:r>
        <w:rPr>
          <w:color w:val="231F20"/>
          <w:w w:val="103"/>
        </w:rPr>
        <w:t>r</w:t>
      </w:r>
      <w:r>
        <w:rPr>
          <w:color w:val="231F20"/>
          <w:w w:val="84"/>
        </w:rPr>
        <w:t>i</w:t>
      </w:r>
      <w:r>
        <w:rPr>
          <w:color w:val="231F20"/>
          <w:w w:val="104"/>
        </w:rPr>
        <w:t>o</w:t>
      </w:r>
      <w:r>
        <w:rPr>
          <w:color w:val="231F20"/>
          <w:w w:val="103"/>
        </w:rPr>
        <w:t>r</w:t>
      </w:r>
      <w:r>
        <w:rPr>
          <w:color w:val="231F20"/>
        </w:rPr>
        <w:t> </w:t>
      </w:r>
      <w:r>
        <w:rPr>
          <w:color w:val="231F20"/>
          <w:w w:val="85"/>
        </w:rPr>
        <w:t>y</w:t>
      </w:r>
      <w:r>
        <w:rPr>
          <w:color w:val="231F20"/>
          <w:w w:val="185"/>
        </w:rPr>
        <w:t>/</w:t>
      </w:r>
      <w:r>
        <w:rPr>
          <w:color w:val="231F20"/>
          <w:w w:val="104"/>
        </w:rPr>
        <w:t>o</w:t>
      </w:r>
      <w:r>
        <w:rPr>
          <w:color w:val="231F20"/>
        </w:rPr>
        <w:t> </w:t>
      </w:r>
      <w:r>
        <w:rPr>
          <w:color w:val="231F20"/>
          <w:w w:val="104"/>
        </w:rPr>
        <w:t>po</w:t>
      </w:r>
      <w:r>
        <w:rPr>
          <w:color w:val="231F20"/>
          <w:w w:val="96"/>
        </w:rPr>
        <w:t>s</w:t>
      </w:r>
      <w:r>
        <w:rPr>
          <w:color w:val="231F20"/>
          <w:w w:val="96"/>
        </w:rPr>
        <w:t>gr</w:t>
      </w:r>
      <w:r>
        <w:rPr>
          <w:color w:val="231F20"/>
          <w:w w:val="98"/>
        </w:rPr>
        <w:t>ad</w:t>
      </w:r>
      <w:r>
        <w:rPr>
          <w:color w:val="231F20"/>
          <w:w w:val="104"/>
        </w:rPr>
        <w:t>o</w:t>
      </w:r>
      <w:r>
        <w:rPr>
          <w:color w:val="231F20"/>
        </w:rPr>
        <w:t> </w:t>
      </w:r>
      <w:r>
        <w:rPr>
          <w:color w:val="231F20"/>
          <w:w w:val="96"/>
        </w:rPr>
        <w:t>e</w:t>
      </w:r>
      <w:r>
        <w:rPr>
          <w:color w:val="231F20"/>
          <w:w w:val="104"/>
        </w:rPr>
        <w:t>n</w:t>
      </w:r>
      <w:r>
        <w:rPr>
          <w:color w:val="231F20"/>
        </w:rPr>
        <w:t> </w:t>
      </w:r>
      <w:r>
        <w:rPr>
          <w:color w:val="231F20"/>
          <w:w w:val="102"/>
        </w:rPr>
        <w:t>d</w:t>
      </w:r>
      <w:r>
        <w:rPr>
          <w:color w:val="231F20"/>
          <w:w w:val="104"/>
        </w:rPr>
        <w:t>on</w:t>
      </w:r>
      <w:r>
        <w:rPr>
          <w:color w:val="231F20"/>
          <w:w w:val="102"/>
        </w:rPr>
        <w:t>d</w:t>
      </w:r>
      <w:r>
        <w:rPr>
          <w:color w:val="231F20"/>
          <w:w w:val="96"/>
        </w:rPr>
        <w:t>e</w:t>
      </w:r>
      <w:r>
        <w:rPr>
          <w:color w:val="231F20"/>
        </w:rPr>
        <w:t> </w:t>
      </w:r>
      <w:r>
        <w:rPr>
          <w:color w:val="231F20"/>
          <w:w w:val="103"/>
        </w:rPr>
        <w:t>r</w:t>
      </w:r>
      <w:r>
        <w:rPr>
          <w:color w:val="231F20"/>
          <w:w w:val="96"/>
        </w:rPr>
        <w:t>e</w:t>
      </w:r>
      <w:r>
        <w:rPr>
          <w:color w:val="231F20"/>
          <w:w w:val="89"/>
        </w:rPr>
        <w:t>gi</w:t>
      </w:r>
      <w:r>
        <w:rPr>
          <w:color w:val="231F20"/>
          <w:w w:val="96"/>
        </w:rPr>
        <w:t>s</w:t>
      </w:r>
      <w:r>
        <w:rPr>
          <w:color w:val="231F20"/>
          <w:w w:val="107"/>
        </w:rPr>
        <w:t>t</w:t>
      </w:r>
      <w:r>
        <w:rPr>
          <w:color w:val="231F20"/>
          <w:w w:val="103"/>
        </w:rPr>
        <w:t>r</w:t>
      </w:r>
      <w:r>
        <w:rPr>
          <w:color w:val="231F20"/>
          <w:w w:val="99"/>
        </w:rPr>
        <w:t>an</w:t>
      </w:r>
      <w:r>
        <w:rPr>
          <w:color w:val="231F20"/>
        </w:rPr>
        <w:t> </w:t>
      </w:r>
      <w:r>
        <w:rPr>
          <w:color w:val="231F20"/>
          <w:w w:val="100"/>
        </w:rPr>
        <w:t>qu</w:t>
      </w:r>
      <w:r>
        <w:rPr>
          <w:color w:val="231F20"/>
          <w:w w:val="96"/>
        </w:rPr>
        <w:t>e</w:t>
      </w:r>
      <w:r>
        <w:rPr>
          <w:color w:val="231F20"/>
        </w:rPr>
        <w:t> </w:t>
      </w:r>
      <w:r>
        <w:rPr>
          <w:color w:val="231F20"/>
          <w:w w:val="96"/>
        </w:rPr>
        <w:t>e</w:t>
      </w:r>
      <w:r>
        <w:rPr>
          <w:color w:val="231F20"/>
          <w:w w:val="84"/>
        </w:rPr>
        <w:t>l</w:t>
      </w:r>
      <w:r>
        <w:rPr>
          <w:color w:val="231F20"/>
        </w:rPr>
        <w:t> </w:t>
      </w:r>
      <w:r>
        <w:rPr>
          <w:color w:val="231F20"/>
          <w:w w:val="96"/>
        </w:rPr>
        <w:t>79</w:t>
      </w:r>
      <w:r>
        <w:rPr>
          <w:color w:val="231F20"/>
          <w:w w:val="89"/>
        </w:rPr>
        <w:t>.</w:t>
      </w:r>
      <w:r>
        <w:rPr>
          <w:color w:val="231F20"/>
          <w:w w:val="96"/>
        </w:rPr>
        <w:t>7</w:t>
      </w:r>
      <w:r>
        <w:rPr>
          <w:color w:val="231F20"/>
          <w:w w:val="101"/>
        </w:rPr>
        <w:t>%</w:t>
      </w:r>
      <w:r>
        <w:rPr>
          <w:color w:val="231F20"/>
        </w:rPr>
        <w:t> </w:t>
      </w:r>
      <w:r>
        <w:rPr>
          <w:color w:val="231F20"/>
          <w:w w:val="102"/>
        </w:rPr>
        <w:t>d</w:t>
      </w:r>
      <w:r>
        <w:rPr>
          <w:color w:val="231F20"/>
          <w:w w:val="96"/>
        </w:rPr>
        <w:t>e</w:t>
      </w:r>
      <w:r>
        <w:rPr>
          <w:color w:val="231F20"/>
        </w:rPr>
        <w:t> </w:t>
      </w:r>
      <w:r>
        <w:rPr>
          <w:color w:val="231F20"/>
          <w:w w:val="84"/>
        </w:rPr>
        <w:t>l</w:t>
      </w:r>
      <w:r>
        <w:rPr>
          <w:color w:val="231F20"/>
          <w:w w:val="94"/>
        </w:rPr>
        <w:t>a </w:t>
      </w:r>
      <w:r>
        <w:rPr>
          <w:color w:val="231F20"/>
        </w:rPr>
        <w:t>población valora que padece acoso psicológico en el trabajo. El instrumento utilizado fue el Leman Inventory Psichological Te- rrorization(LIPT-60) adaptado en España por José Luis González </w:t>
      </w:r>
      <w:r>
        <w:rPr>
          <w:color w:val="231F20"/>
          <w:w w:val="95"/>
        </w:rPr>
        <w:t>de  Rivera-RevueltasyManuel  Rodríguez-Abuin (2003).</w:t>
      </w:r>
    </w:p>
    <w:p>
      <w:pPr>
        <w:pStyle w:val="BodyText"/>
        <w:spacing w:line="247" w:lineRule="auto"/>
        <w:ind w:left="102" w:right="115" w:firstLine="284"/>
        <w:jc w:val="both"/>
      </w:pPr>
      <w:r>
        <w:rPr>
          <w:color w:val="231F20"/>
          <w:spacing w:val="3"/>
        </w:rPr>
        <w:t>Impactados </w:t>
      </w:r>
      <w:r>
        <w:rPr>
          <w:color w:val="231F20"/>
          <w:spacing w:val="2"/>
        </w:rPr>
        <w:t>por </w:t>
      </w:r>
      <w:r>
        <w:rPr>
          <w:color w:val="231F20"/>
        </w:rPr>
        <w:t>las </w:t>
      </w:r>
      <w:r>
        <w:rPr>
          <w:color w:val="231F20"/>
          <w:spacing w:val="2"/>
        </w:rPr>
        <w:t>cifras </w:t>
      </w:r>
      <w:r>
        <w:rPr>
          <w:color w:val="231F20"/>
        </w:rPr>
        <w:t>tan </w:t>
      </w:r>
      <w:r>
        <w:rPr>
          <w:color w:val="231F20"/>
          <w:spacing w:val="2"/>
        </w:rPr>
        <w:t>altas arrojadas por </w:t>
      </w:r>
      <w:r>
        <w:rPr>
          <w:color w:val="231F20"/>
        </w:rPr>
        <w:t>el </w:t>
      </w:r>
      <w:r>
        <w:rPr>
          <w:color w:val="231F20"/>
          <w:spacing w:val="3"/>
        </w:rPr>
        <w:t>instrumento LIPT-60 </w:t>
      </w:r>
      <w:r>
        <w:rPr>
          <w:color w:val="231F20"/>
        </w:rPr>
        <w:t>se </w:t>
      </w:r>
      <w:r>
        <w:rPr>
          <w:color w:val="231F20"/>
          <w:spacing w:val="2"/>
        </w:rPr>
        <w:t>decide construir </w:t>
      </w:r>
      <w:r>
        <w:rPr>
          <w:color w:val="231F20"/>
        </w:rPr>
        <w:t>el </w:t>
      </w:r>
      <w:r>
        <w:rPr>
          <w:color w:val="231F20"/>
          <w:spacing w:val="2"/>
        </w:rPr>
        <w:t>Inventario </w:t>
      </w:r>
      <w:r>
        <w:rPr>
          <w:color w:val="231F20"/>
        </w:rPr>
        <w:t>de </w:t>
      </w:r>
      <w:r>
        <w:rPr>
          <w:color w:val="231F20"/>
          <w:spacing w:val="2"/>
        </w:rPr>
        <w:t>violencia </w:t>
      </w:r>
      <w:r>
        <w:rPr>
          <w:color w:val="231F20"/>
        </w:rPr>
        <w:t>y </w:t>
      </w:r>
      <w:r>
        <w:rPr>
          <w:color w:val="231F20"/>
          <w:spacing w:val="2"/>
        </w:rPr>
        <w:t>Acoso</w:t>
      </w:r>
      <w:r>
        <w:rPr>
          <w:color w:val="231F20"/>
          <w:spacing w:val="56"/>
        </w:rPr>
        <w:t> </w:t>
      </w:r>
      <w:r>
        <w:rPr>
          <w:color w:val="231F20"/>
          <w:spacing w:val="2"/>
        </w:rPr>
        <w:t>Psicológico </w:t>
      </w:r>
      <w:r>
        <w:rPr>
          <w:color w:val="231F20"/>
        </w:rPr>
        <w:t>en el </w:t>
      </w:r>
      <w:r>
        <w:rPr>
          <w:color w:val="231F20"/>
          <w:spacing w:val="2"/>
        </w:rPr>
        <w:t>trabajo </w:t>
      </w:r>
      <w:r>
        <w:rPr>
          <w:color w:val="231F20"/>
          <w:spacing w:val="3"/>
        </w:rPr>
        <w:t>(IVAPT-Pando) </w:t>
      </w:r>
      <w:r>
        <w:rPr>
          <w:color w:val="231F20"/>
        </w:rPr>
        <w:t>en </w:t>
      </w:r>
      <w:r>
        <w:rPr>
          <w:color w:val="231F20"/>
          <w:spacing w:val="2"/>
        </w:rPr>
        <w:t>México.La primera versión del instrumento </w:t>
      </w:r>
      <w:r>
        <w:rPr>
          <w:color w:val="231F20"/>
        </w:rPr>
        <w:t>fue </w:t>
      </w:r>
      <w:r>
        <w:rPr>
          <w:color w:val="231F20"/>
          <w:spacing w:val="2"/>
        </w:rPr>
        <w:t>revisada por </w:t>
      </w:r>
      <w:r>
        <w:rPr>
          <w:color w:val="231F20"/>
        </w:rPr>
        <w:t>un </w:t>
      </w:r>
      <w:r>
        <w:rPr>
          <w:color w:val="231F20"/>
          <w:spacing w:val="2"/>
        </w:rPr>
        <w:t>grupo </w:t>
      </w:r>
      <w:r>
        <w:rPr>
          <w:color w:val="231F20"/>
        </w:rPr>
        <w:t>de expertos de España, Chile, Honduras, México, Perú y Venezuela, </w:t>
      </w:r>
      <w:r>
        <w:rPr>
          <w:color w:val="231F20"/>
          <w:spacing w:val="2"/>
        </w:rPr>
        <w:t>tras </w:t>
      </w:r>
      <w:r>
        <w:rPr>
          <w:color w:val="231F20"/>
        </w:rPr>
        <w:t>de lo </w:t>
      </w:r>
      <w:r>
        <w:rPr>
          <w:color w:val="231F20"/>
          <w:spacing w:val="3"/>
        </w:rPr>
        <w:t>cual </w:t>
      </w:r>
      <w:r>
        <w:rPr>
          <w:color w:val="231F20"/>
        </w:rPr>
        <w:t>se llevó a </w:t>
      </w:r>
      <w:r>
        <w:rPr>
          <w:color w:val="231F20"/>
          <w:spacing w:val="2"/>
        </w:rPr>
        <w:t>cabo </w:t>
      </w:r>
      <w:r>
        <w:rPr>
          <w:color w:val="231F20"/>
        </w:rPr>
        <w:t>la </w:t>
      </w:r>
      <w:r>
        <w:rPr>
          <w:color w:val="231F20"/>
          <w:spacing w:val="2"/>
        </w:rPr>
        <w:t>aplicación </w:t>
      </w:r>
      <w:r>
        <w:rPr>
          <w:color w:val="231F20"/>
        </w:rPr>
        <w:t>de </w:t>
      </w:r>
      <w:r>
        <w:rPr>
          <w:color w:val="231F20"/>
          <w:spacing w:val="2"/>
        </w:rPr>
        <w:t>una versión del citado </w:t>
      </w:r>
      <w:r>
        <w:rPr>
          <w:color w:val="231F20"/>
        </w:rPr>
        <w:t>instrumento de 47 ítems, y después de la evaluación estadística correspondiente </w:t>
      </w:r>
      <w:r>
        <w:rPr>
          <w:color w:val="231F20"/>
          <w:spacing w:val="2"/>
        </w:rPr>
        <w:t>quedó finalmente con </w:t>
      </w:r>
      <w:r>
        <w:rPr>
          <w:color w:val="231F20"/>
        </w:rPr>
        <w:t>22 </w:t>
      </w:r>
      <w:r>
        <w:rPr>
          <w:color w:val="231F20"/>
          <w:spacing w:val="3"/>
        </w:rPr>
        <w:t>(Pando-Moreno, Aranda-Beltrán, </w:t>
      </w:r>
      <w:r>
        <w:rPr>
          <w:color w:val="231F20"/>
          <w:spacing w:val="2"/>
        </w:rPr>
        <w:t>Pre- </w:t>
      </w:r>
      <w:r>
        <w:rPr>
          <w:color w:val="231F20"/>
          <w:spacing w:val="3"/>
        </w:rPr>
        <w:t>ciado-Serrano, Franco-Ramírez </w:t>
      </w:r>
      <w:r>
        <w:rPr>
          <w:color w:val="231F20"/>
        </w:rPr>
        <w:t>y </w:t>
      </w:r>
      <w:r>
        <w:rPr>
          <w:color w:val="231F20"/>
          <w:spacing w:val="2"/>
        </w:rPr>
        <w:t>Salazar-Estrada, 2006).</w:t>
      </w:r>
    </w:p>
    <w:p>
      <w:pPr>
        <w:pStyle w:val="BodyText"/>
        <w:spacing w:line="249" w:lineRule="auto" w:before="1"/>
        <w:ind w:left="103" w:right="113" w:firstLine="284"/>
        <w:jc w:val="both"/>
      </w:pPr>
      <w:r>
        <w:rPr>
          <w:color w:val="231F20"/>
        </w:rPr>
        <w:t>Los resultados de este estudio, indican que en cuanto a la presen- cia de violencia psicológica en el trabajo, el porcentaje más alto lo presenta España (64.8%), seguido por Venezuela (60.6%), véasela Tabla</w:t>
      </w:r>
      <w:r>
        <w:rPr>
          <w:color w:val="231F20"/>
          <w:spacing w:val="-5"/>
        </w:rPr>
        <w:t> </w:t>
      </w:r>
      <w:r>
        <w:rPr>
          <w:color w:val="231F20"/>
        </w:rPr>
        <w:t>1;</w:t>
      </w:r>
      <w:r>
        <w:rPr>
          <w:color w:val="231F20"/>
          <w:spacing w:val="-5"/>
        </w:rPr>
        <w:t> </w:t>
      </w:r>
      <w:r>
        <w:rPr>
          <w:color w:val="231F20"/>
        </w:rPr>
        <w:t>la</w:t>
      </w:r>
      <w:r>
        <w:rPr>
          <w:color w:val="231F20"/>
          <w:spacing w:val="-5"/>
        </w:rPr>
        <w:t> </w:t>
      </w:r>
      <w:r>
        <w:rPr>
          <w:color w:val="231F20"/>
        </w:rPr>
        <w:t>intensidad</w:t>
      </w:r>
      <w:r>
        <w:rPr>
          <w:color w:val="231F20"/>
          <w:spacing w:val="-4"/>
        </w:rPr>
        <w:t> </w:t>
      </w:r>
      <w:r>
        <w:rPr>
          <w:color w:val="231F20"/>
        </w:rPr>
        <w:t>de</w:t>
      </w:r>
      <w:r>
        <w:rPr>
          <w:color w:val="231F20"/>
          <w:spacing w:val="-4"/>
        </w:rPr>
        <w:t> </w:t>
      </w:r>
      <w:r>
        <w:rPr>
          <w:color w:val="231F20"/>
        </w:rPr>
        <w:t>la</w:t>
      </w:r>
      <w:r>
        <w:rPr>
          <w:color w:val="231F20"/>
          <w:spacing w:val="-5"/>
        </w:rPr>
        <w:t> </w:t>
      </w:r>
      <w:r>
        <w:rPr>
          <w:color w:val="231F20"/>
        </w:rPr>
        <w:t>violencia</w:t>
      </w:r>
      <w:r>
        <w:rPr>
          <w:color w:val="231F20"/>
          <w:spacing w:val="-5"/>
        </w:rPr>
        <w:t> </w:t>
      </w:r>
      <w:r>
        <w:rPr>
          <w:color w:val="231F20"/>
        </w:rPr>
        <w:t>es</w:t>
      </w:r>
      <w:r>
        <w:rPr>
          <w:color w:val="231F20"/>
          <w:spacing w:val="-5"/>
        </w:rPr>
        <w:t> </w:t>
      </w:r>
      <w:r>
        <w:rPr>
          <w:color w:val="231F20"/>
        </w:rPr>
        <w:t>también</w:t>
      </w:r>
      <w:r>
        <w:rPr>
          <w:color w:val="231F20"/>
          <w:spacing w:val="-4"/>
        </w:rPr>
        <w:t> </w:t>
      </w:r>
      <w:r>
        <w:rPr>
          <w:color w:val="231F20"/>
        </w:rPr>
        <w:t>para</w:t>
      </w:r>
      <w:r>
        <w:rPr>
          <w:color w:val="231F20"/>
          <w:spacing w:val="-5"/>
        </w:rPr>
        <w:t> </w:t>
      </w:r>
      <w:r>
        <w:rPr>
          <w:color w:val="231F20"/>
        </w:rPr>
        <w:t>España</w:t>
      </w:r>
      <w:r>
        <w:rPr>
          <w:color w:val="231F20"/>
          <w:spacing w:val="-5"/>
        </w:rPr>
        <w:t> </w:t>
      </w:r>
      <w:r>
        <w:rPr>
          <w:color w:val="231F20"/>
        </w:rPr>
        <w:t>(4.5%), véase</w:t>
      </w:r>
      <w:r>
        <w:rPr>
          <w:color w:val="231F20"/>
          <w:spacing w:val="-22"/>
        </w:rPr>
        <w:t> </w:t>
      </w:r>
      <w:r>
        <w:rPr>
          <w:color w:val="231F20"/>
        </w:rPr>
        <w:t>la</w:t>
      </w:r>
      <w:r>
        <w:rPr>
          <w:color w:val="231F20"/>
          <w:spacing w:val="-22"/>
        </w:rPr>
        <w:t> </w:t>
      </w:r>
      <w:r>
        <w:rPr>
          <w:color w:val="231F20"/>
        </w:rPr>
        <w:t>Tabla</w:t>
      </w:r>
      <w:r>
        <w:rPr>
          <w:color w:val="231F20"/>
          <w:spacing w:val="-22"/>
        </w:rPr>
        <w:t> </w:t>
      </w:r>
      <w:r>
        <w:rPr>
          <w:color w:val="231F20"/>
        </w:rPr>
        <w:t>2.</w:t>
      </w:r>
    </w:p>
    <w:p>
      <w:pPr>
        <w:spacing w:after="0" w:line="249" w:lineRule="auto"/>
        <w:jc w:val="both"/>
        <w:sectPr>
          <w:headerReference w:type="default" r:id="rId962"/>
          <w:footerReference w:type="default" r:id="rId963"/>
          <w:pgSz w:w="7830" w:h="11910"/>
          <w:pgMar w:header="0" w:footer="424" w:top="500" w:bottom="620" w:left="920" w:right="900"/>
          <w:pgNumType w:start="438"/>
        </w:sectPr>
      </w:pPr>
    </w:p>
    <w:p>
      <w:pPr>
        <w:spacing w:before="46"/>
        <w:ind w:left="564" w:right="561"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spacing w:before="111"/>
        <w:ind w:left="564" w:right="561" w:firstLine="0"/>
        <w:jc w:val="center"/>
        <w:rPr>
          <w:b/>
          <w:sz w:val="19"/>
        </w:rPr>
      </w:pPr>
      <w:r>
        <w:rPr>
          <w:b/>
          <w:color w:val="231F20"/>
          <w:w w:val="105"/>
          <w:sz w:val="19"/>
        </w:rPr>
        <w:t>Tabla 1. Presencia de violencia psicológica en el trabajo</w:t>
      </w:r>
    </w:p>
    <w:p>
      <w:pPr>
        <w:pStyle w:val="BodyText"/>
        <w:rPr>
          <w:b/>
          <w:sz w:val="11"/>
        </w:rPr>
      </w:pPr>
    </w:p>
    <w:tbl>
      <w:tblPr>
        <w:tblW w:w="0" w:type="auto"/>
        <w:jc w:val="left"/>
        <w:tblInd w:w="22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14"/>
        <w:gridCol w:w="946"/>
        <w:gridCol w:w="1042"/>
        <w:gridCol w:w="989"/>
        <w:gridCol w:w="845"/>
      </w:tblGrid>
      <w:tr>
        <w:trPr>
          <w:trHeight w:val="662" w:hRule="exact"/>
        </w:trPr>
        <w:tc>
          <w:tcPr>
            <w:tcW w:w="1714" w:type="dxa"/>
          </w:tcPr>
          <w:p>
            <w:pPr/>
          </w:p>
        </w:tc>
        <w:tc>
          <w:tcPr>
            <w:tcW w:w="946" w:type="dxa"/>
          </w:tcPr>
          <w:p>
            <w:pPr>
              <w:pStyle w:val="TableParagraph"/>
              <w:spacing w:before="2"/>
              <w:ind w:left="0"/>
              <w:rPr>
                <w:b/>
                <w:sz w:val="19"/>
              </w:rPr>
            </w:pPr>
          </w:p>
          <w:p>
            <w:pPr>
              <w:pStyle w:val="TableParagraph"/>
              <w:ind w:left="251"/>
              <w:rPr>
                <w:b/>
                <w:sz w:val="19"/>
              </w:rPr>
            </w:pPr>
            <w:r>
              <w:rPr>
                <w:b/>
                <w:color w:val="231F20"/>
                <w:w w:val="105"/>
                <w:sz w:val="19"/>
              </w:rPr>
              <w:t>Nula</w:t>
            </w:r>
          </w:p>
        </w:tc>
        <w:tc>
          <w:tcPr>
            <w:tcW w:w="1042" w:type="dxa"/>
          </w:tcPr>
          <w:p>
            <w:pPr>
              <w:pStyle w:val="TableParagraph"/>
              <w:spacing w:before="2"/>
              <w:ind w:left="0"/>
              <w:rPr>
                <w:b/>
                <w:sz w:val="19"/>
              </w:rPr>
            </w:pPr>
          </w:p>
          <w:p>
            <w:pPr>
              <w:pStyle w:val="TableParagraph"/>
              <w:ind w:left="244"/>
              <w:rPr>
                <w:b/>
                <w:sz w:val="19"/>
              </w:rPr>
            </w:pPr>
            <w:r>
              <w:rPr>
                <w:b/>
                <w:color w:val="231F20"/>
                <w:w w:val="105"/>
                <w:sz w:val="19"/>
              </w:rPr>
              <w:t>Media</w:t>
            </w:r>
          </w:p>
        </w:tc>
        <w:tc>
          <w:tcPr>
            <w:tcW w:w="989" w:type="dxa"/>
          </w:tcPr>
          <w:p>
            <w:pPr>
              <w:pStyle w:val="TableParagraph"/>
              <w:spacing w:before="2"/>
              <w:ind w:left="0"/>
              <w:rPr>
                <w:b/>
                <w:sz w:val="19"/>
              </w:rPr>
            </w:pPr>
          </w:p>
          <w:p>
            <w:pPr>
              <w:pStyle w:val="TableParagraph"/>
              <w:ind w:left="224" w:right="222"/>
              <w:jc w:val="center"/>
              <w:rPr>
                <w:b/>
                <w:sz w:val="19"/>
              </w:rPr>
            </w:pPr>
            <w:r>
              <w:rPr>
                <w:b/>
                <w:color w:val="231F20"/>
                <w:sz w:val="19"/>
              </w:rPr>
              <w:t>Alta</w:t>
            </w:r>
          </w:p>
        </w:tc>
        <w:tc>
          <w:tcPr>
            <w:tcW w:w="845" w:type="dxa"/>
          </w:tcPr>
          <w:p>
            <w:pPr>
              <w:pStyle w:val="TableParagraph"/>
              <w:spacing w:before="2"/>
              <w:ind w:left="0"/>
              <w:rPr>
                <w:b/>
                <w:sz w:val="19"/>
              </w:rPr>
            </w:pPr>
          </w:p>
          <w:p>
            <w:pPr>
              <w:pStyle w:val="TableParagraph"/>
              <w:ind w:left="263"/>
              <w:rPr>
                <w:b/>
                <w:sz w:val="19"/>
              </w:rPr>
            </w:pPr>
            <w:r>
              <w:rPr>
                <w:b/>
                <w:color w:val="231F20"/>
                <w:w w:val="120"/>
                <w:sz w:val="19"/>
              </w:rPr>
              <w:t>N=</w:t>
            </w:r>
          </w:p>
        </w:tc>
      </w:tr>
      <w:tr>
        <w:trPr>
          <w:trHeight w:val="662" w:hRule="exact"/>
        </w:trPr>
        <w:tc>
          <w:tcPr>
            <w:tcW w:w="1714" w:type="dxa"/>
          </w:tcPr>
          <w:p>
            <w:pPr>
              <w:pStyle w:val="TableParagraph"/>
              <w:spacing w:before="2"/>
              <w:ind w:left="0"/>
              <w:rPr>
                <w:b/>
                <w:sz w:val="19"/>
              </w:rPr>
            </w:pPr>
          </w:p>
          <w:p>
            <w:pPr>
              <w:pStyle w:val="TableParagraph"/>
              <w:rPr>
                <w:b/>
                <w:sz w:val="19"/>
              </w:rPr>
            </w:pPr>
            <w:r>
              <w:rPr>
                <w:b/>
                <w:color w:val="231F20"/>
                <w:w w:val="105"/>
                <w:sz w:val="19"/>
              </w:rPr>
              <w:t>España</w:t>
            </w:r>
          </w:p>
        </w:tc>
        <w:tc>
          <w:tcPr>
            <w:tcW w:w="946" w:type="dxa"/>
          </w:tcPr>
          <w:p>
            <w:pPr>
              <w:pStyle w:val="TableParagraph"/>
              <w:spacing w:before="2"/>
              <w:ind w:left="0"/>
              <w:rPr>
                <w:b/>
                <w:sz w:val="19"/>
              </w:rPr>
            </w:pPr>
          </w:p>
          <w:p>
            <w:pPr>
              <w:pStyle w:val="TableParagraph"/>
              <w:ind w:left="220"/>
              <w:rPr>
                <w:sz w:val="19"/>
              </w:rPr>
            </w:pPr>
            <w:r>
              <w:rPr>
                <w:color w:val="231F20"/>
                <w:sz w:val="19"/>
              </w:rPr>
              <w:t>14.5%</w:t>
            </w:r>
          </w:p>
        </w:tc>
        <w:tc>
          <w:tcPr>
            <w:tcW w:w="1042" w:type="dxa"/>
          </w:tcPr>
          <w:p>
            <w:pPr>
              <w:pStyle w:val="TableParagraph"/>
              <w:spacing w:before="2"/>
              <w:ind w:left="0"/>
              <w:rPr>
                <w:b/>
                <w:sz w:val="19"/>
              </w:rPr>
            </w:pPr>
          </w:p>
          <w:p>
            <w:pPr>
              <w:pStyle w:val="TableParagraph"/>
              <w:ind w:left="269"/>
              <w:rPr>
                <w:sz w:val="19"/>
              </w:rPr>
            </w:pPr>
            <w:r>
              <w:rPr>
                <w:color w:val="231F20"/>
                <w:sz w:val="19"/>
              </w:rPr>
              <w:t>20.7%</w:t>
            </w:r>
          </w:p>
        </w:tc>
        <w:tc>
          <w:tcPr>
            <w:tcW w:w="989" w:type="dxa"/>
          </w:tcPr>
          <w:p>
            <w:pPr>
              <w:pStyle w:val="TableParagraph"/>
              <w:spacing w:before="2"/>
              <w:ind w:left="0"/>
              <w:rPr>
                <w:b/>
                <w:sz w:val="19"/>
              </w:rPr>
            </w:pPr>
          </w:p>
          <w:p>
            <w:pPr>
              <w:pStyle w:val="TableParagraph"/>
              <w:ind w:left="224" w:right="224"/>
              <w:jc w:val="center"/>
              <w:rPr>
                <w:sz w:val="19"/>
              </w:rPr>
            </w:pPr>
            <w:r>
              <w:rPr>
                <w:color w:val="231F20"/>
                <w:sz w:val="19"/>
              </w:rPr>
              <w:t>64.8%</w:t>
            </w:r>
          </w:p>
        </w:tc>
        <w:tc>
          <w:tcPr>
            <w:tcW w:w="845" w:type="dxa"/>
          </w:tcPr>
          <w:p>
            <w:pPr>
              <w:pStyle w:val="TableParagraph"/>
              <w:spacing w:before="2"/>
              <w:ind w:left="0"/>
              <w:rPr>
                <w:b/>
                <w:sz w:val="19"/>
              </w:rPr>
            </w:pPr>
          </w:p>
          <w:p>
            <w:pPr>
              <w:pStyle w:val="TableParagraph"/>
              <w:ind w:left="273"/>
              <w:rPr>
                <w:sz w:val="19"/>
              </w:rPr>
            </w:pPr>
            <w:r>
              <w:rPr>
                <w:color w:val="231F20"/>
                <w:sz w:val="19"/>
              </w:rPr>
              <w:t>444</w:t>
            </w:r>
          </w:p>
        </w:tc>
      </w:tr>
      <w:tr>
        <w:trPr>
          <w:trHeight w:val="662" w:hRule="exact"/>
        </w:trPr>
        <w:tc>
          <w:tcPr>
            <w:tcW w:w="1714" w:type="dxa"/>
          </w:tcPr>
          <w:p>
            <w:pPr>
              <w:pStyle w:val="TableParagraph"/>
              <w:spacing w:before="2"/>
              <w:ind w:left="0"/>
              <w:rPr>
                <w:b/>
                <w:sz w:val="19"/>
              </w:rPr>
            </w:pPr>
          </w:p>
          <w:p>
            <w:pPr>
              <w:pStyle w:val="TableParagraph"/>
              <w:rPr>
                <w:b/>
                <w:sz w:val="19"/>
              </w:rPr>
            </w:pPr>
            <w:r>
              <w:rPr>
                <w:b/>
                <w:color w:val="231F20"/>
                <w:w w:val="105"/>
                <w:sz w:val="19"/>
              </w:rPr>
              <w:t>Chile</w:t>
            </w:r>
          </w:p>
        </w:tc>
        <w:tc>
          <w:tcPr>
            <w:tcW w:w="946" w:type="dxa"/>
          </w:tcPr>
          <w:p>
            <w:pPr>
              <w:pStyle w:val="TableParagraph"/>
              <w:spacing w:before="2"/>
              <w:ind w:left="0"/>
              <w:rPr>
                <w:b/>
                <w:sz w:val="19"/>
              </w:rPr>
            </w:pPr>
          </w:p>
          <w:p>
            <w:pPr>
              <w:pStyle w:val="TableParagraph"/>
              <w:ind w:left="220"/>
              <w:rPr>
                <w:sz w:val="19"/>
              </w:rPr>
            </w:pPr>
            <w:r>
              <w:rPr>
                <w:color w:val="231F20"/>
                <w:sz w:val="19"/>
              </w:rPr>
              <w:t>15.0%</w:t>
            </w:r>
          </w:p>
        </w:tc>
        <w:tc>
          <w:tcPr>
            <w:tcW w:w="1042" w:type="dxa"/>
          </w:tcPr>
          <w:p>
            <w:pPr>
              <w:pStyle w:val="TableParagraph"/>
              <w:spacing w:before="2"/>
              <w:ind w:left="0"/>
              <w:rPr>
                <w:b/>
                <w:sz w:val="19"/>
              </w:rPr>
            </w:pPr>
          </w:p>
          <w:p>
            <w:pPr>
              <w:pStyle w:val="TableParagraph"/>
              <w:ind w:left="269"/>
              <w:rPr>
                <w:sz w:val="19"/>
              </w:rPr>
            </w:pPr>
            <w:r>
              <w:rPr>
                <w:color w:val="231F20"/>
                <w:sz w:val="19"/>
              </w:rPr>
              <w:t>42.7%</w:t>
            </w:r>
          </w:p>
        </w:tc>
        <w:tc>
          <w:tcPr>
            <w:tcW w:w="989" w:type="dxa"/>
          </w:tcPr>
          <w:p>
            <w:pPr>
              <w:pStyle w:val="TableParagraph"/>
              <w:spacing w:before="2"/>
              <w:ind w:left="0"/>
              <w:rPr>
                <w:b/>
                <w:sz w:val="19"/>
              </w:rPr>
            </w:pPr>
          </w:p>
          <w:p>
            <w:pPr>
              <w:pStyle w:val="TableParagraph"/>
              <w:ind w:left="224" w:right="224"/>
              <w:jc w:val="center"/>
              <w:rPr>
                <w:sz w:val="19"/>
              </w:rPr>
            </w:pPr>
            <w:r>
              <w:rPr>
                <w:color w:val="231F20"/>
                <w:sz w:val="19"/>
              </w:rPr>
              <w:t>42.3%</w:t>
            </w:r>
          </w:p>
        </w:tc>
        <w:tc>
          <w:tcPr>
            <w:tcW w:w="845" w:type="dxa"/>
          </w:tcPr>
          <w:p>
            <w:pPr>
              <w:pStyle w:val="TableParagraph"/>
              <w:spacing w:before="2"/>
              <w:ind w:left="0"/>
              <w:rPr>
                <w:b/>
                <w:sz w:val="19"/>
              </w:rPr>
            </w:pPr>
          </w:p>
          <w:p>
            <w:pPr>
              <w:pStyle w:val="TableParagraph"/>
              <w:ind w:left="273"/>
              <w:rPr>
                <w:sz w:val="19"/>
              </w:rPr>
            </w:pPr>
            <w:r>
              <w:rPr>
                <w:color w:val="231F20"/>
                <w:sz w:val="19"/>
              </w:rPr>
              <w:t>239</w:t>
            </w:r>
          </w:p>
        </w:tc>
      </w:tr>
      <w:tr>
        <w:trPr>
          <w:trHeight w:val="662" w:hRule="exact"/>
        </w:trPr>
        <w:tc>
          <w:tcPr>
            <w:tcW w:w="1714" w:type="dxa"/>
          </w:tcPr>
          <w:p>
            <w:pPr>
              <w:pStyle w:val="TableParagraph"/>
              <w:spacing w:before="2"/>
              <w:ind w:left="0"/>
              <w:rPr>
                <w:b/>
                <w:sz w:val="19"/>
              </w:rPr>
            </w:pPr>
          </w:p>
          <w:p>
            <w:pPr>
              <w:pStyle w:val="TableParagraph"/>
              <w:rPr>
                <w:b/>
                <w:sz w:val="19"/>
              </w:rPr>
            </w:pPr>
            <w:r>
              <w:rPr>
                <w:b/>
                <w:color w:val="231F20"/>
                <w:w w:val="105"/>
                <w:sz w:val="19"/>
              </w:rPr>
              <w:t>Mexico</w:t>
            </w:r>
          </w:p>
        </w:tc>
        <w:tc>
          <w:tcPr>
            <w:tcW w:w="946" w:type="dxa"/>
          </w:tcPr>
          <w:p>
            <w:pPr>
              <w:pStyle w:val="TableParagraph"/>
              <w:spacing w:before="2"/>
              <w:ind w:left="0"/>
              <w:rPr>
                <w:b/>
                <w:sz w:val="19"/>
              </w:rPr>
            </w:pPr>
          </w:p>
          <w:p>
            <w:pPr>
              <w:pStyle w:val="TableParagraph"/>
              <w:ind w:left="220"/>
              <w:rPr>
                <w:sz w:val="19"/>
              </w:rPr>
            </w:pPr>
            <w:r>
              <w:rPr>
                <w:color w:val="231F20"/>
                <w:sz w:val="19"/>
              </w:rPr>
              <w:t>13.7%</w:t>
            </w:r>
          </w:p>
        </w:tc>
        <w:tc>
          <w:tcPr>
            <w:tcW w:w="1042" w:type="dxa"/>
          </w:tcPr>
          <w:p>
            <w:pPr>
              <w:pStyle w:val="TableParagraph"/>
              <w:spacing w:before="2"/>
              <w:ind w:left="0"/>
              <w:rPr>
                <w:b/>
                <w:sz w:val="19"/>
              </w:rPr>
            </w:pPr>
          </w:p>
          <w:p>
            <w:pPr>
              <w:pStyle w:val="TableParagraph"/>
              <w:ind w:left="269"/>
              <w:rPr>
                <w:sz w:val="19"/>
              </w:rPr>
            </w:pPr>
            <w:r>
              <w:rPr>
                <w:color w:val="231F20"/>
                <w:sz w:val="19"/>
              </w:rPr>
              <w:t>47.7%</w:t>
            </w:r>
          </w:p>
        </w:tc>
        <w:tc>
          <w:tcPr>
            <w:tcW w:w="989" w:type="dxa"/>
          </w:tcPr>
          <w:p>
            <w:pPr>
              <w:pStyle w:val="TableParagraph"/>
              <w:spacing w:before="2"/>
              <w:ind w:left="0"/>
              <w:rPr>
                <w:b/>
                <w:sz w:val="19"/>
              </w:rPr>
            </w:pPr>
          </w:p>
          <w:p>
            <w:pPr>
              <w:pStyle w:val="TableParagraph"/>
              <w:ind w:left="224" w:right="224"/>
              <w:jc w:val="center"/>
              <w:rPr>
                <w:sz w:val="19"/>
              </w:rPr>
            </w:pPr>
            <w:r>
              <w:rPr>
                <w:color w:val="231F20"/>
                <w:sz w:val="19"/>
              </w:rPr>
              <w:t>38.6%</w:t>
            </w:r>
          </w:p>
        </w:tc>
        <w:tc>
          <w:tcPr>
            <w:tcW w:w="845" w:type="dxa"/>
          </w:tcPr>
          <w:p>
            <w:pPr>
              <w:pStyle w:val="TableParagraph"/>
              <w:spacing w:before="2"/>
              <w:ind w:left="0"/>
              <w:rPr>
                <w:b/>
                <w:sz w:val="19"/>
              </w:rPr>
            </w:pPr>
          </w:p>
          <w:p>
            <w:pPr>
              <w:pStyle w:val="TableParagraph"/>
              <w:ind w:left="273"/>
              <w:rPr>
                <w:sz w:val="19"/>
              </w:rPr>
            </w:pPr>
            <w:r>
              <w:rPr>
                <w:color w:val="231F20"/>
                <w:sz w:val="19"/>
              </w:rPr>
              <w:t>306</w:t>
            </w:r>
          </w:p>
        </w:tc>
      </w:tr>
      <w:tr>
        <w:trPr>
          <w:trHeight w:val="662" w:hRule="exact"/>
        </w:trPr>
        <w:tc>
          <w:tcPr>
            <w:tcW w:w="1714" w:type="dxa"/>
          </w:tcPr>
          <w:p>
            <w:pPr>
              <w:pStyle w:val="TableParagraph"/>
              <w:spacing w:before="2"/>
              <w:ind w:left="0"/>
              <w:rPr>
                <w:b/>
                <w:sz w:val="19"/>
              </w:rPr>
            </w:pPr>
          </w:p>
          <w:p>
            <w:pPr>
              <w:pStyle w:val="TableParagraph"/>
              <w:rPr>
                <w:b/>
                <w:sz w:val="19"/>
              </w:rPr>
            </w:pPr>
            <w:r>
              <w:rPr>
                <w:b/>
                <w:color w:val="231F20"/>
                <w:w w:val="105"/>
                <w:sz w:val="19"/>
              </w:rPr>
              <w:t>Venezuela</w:t>
            </w:r>
          </w:p>
        </w:tc>
        <w:tc>
          <w:tcPr>
            <w:tcW w:w="946" w:type="dxa"/>
          </w:tcPr>
          <w:p>
            <w:pPr>
              <w:pStyle w:val="TableParagraph"/>
              <w:spacing w:before="2"/>
              <w:ind w:left="0"/>
              <w:rPr>
                <w:b/>
                <w:sz w:val="19"/>
              </w:rPr>
            </w:pPr>
          </w:p>
          <w:p>
            <w:pPr>
              <w:pStyle w:val="TableParagraph"/>
              <w:ind w:left="266"/>
              <w:rPr>
                <w:sz w:val="19"/>
              </w:rPr>
            </w:pPr>
            <w:r>
              <w:rPr>
                <w:color w:val="231F20"/>
                <w:sz w:val="19"/>
              </w:rPr>
              <w:t>9.1%</w:t>
            </w:r>
          </w:p>
        </w:tc>
        <w:tc>
          <w:tcPr>
            <w:tcW w:w="1042" w:type="dxa"/>
          </w:tcPr>
          <w:p>
            <w:pPr>
              <w:pStyle w:val="TableParagraph"/>
              <w:spacing w:before="2"/>
              <w:ind w:left="0"/>
              <w:rPr>
                <w:b/>
                <w:sz w:val="19"/>
              </w:rPr>
            </w:pPr>
          </w:p>
          <w:p>
            <w:pPr>
              <w:pStyle w:val="TableParagraph"/>
              <w:ind w:left="269"/>
              <w:rPr>
                <w:sz w:val="19"/>
              </w:rPr>
            </w:pPr>
            <w:r>
              <w:rPr>
                <w:color w:val="231F20"/>
                <w:sz w:val="19"/>
              </w:rPr>
              <w:t>30.3%</w:t>
            </w:r>
          </w:p>
        </w:tc>
        <w:tc>
          <w:tcPr>
            <w:tcW w:w="989" w:type="dxa"/>
          </w:tcPr>
          <w:p>
            <w:pPr>
              <w:pStyle w:val="TableParagraph"/>
              <w:spacing w:before="2"/>
              <w:ind w:left="0"/>
              <w:rPr>
                <w:b/>
                <w:sz w:val="19"/>
              </w:rPr>
            </w:pPr>
          </w:p>
          <w:p>
            <w:pPr>
              <w:pStyle w:val="TableParagraph"/>
              <w:ind w:left="224" w:right="224"/>
              <w:jc w:val="center"/>
              <w:rPr>
                <w:sz w:val="19"/>
              </w:rPr>
            </w:pPr>
            <w:r>
              <w:rPr>
                <w:color w:val="231F20"/>
                <w:sz w:val="19"/>
              </w:rPr>
              <w:t>60.6%</w:t>
            </w:r>
          </w:p>
        </w:tc>
        <w:tc>
          <w:tcPr>
            <w:tcW w:w="845" w:type="dxa"/>
          </w:tcPr>
          <w:p>
            <w:pPr>
              <w:pStyle w:val="TableParagraph"/>
              <w:spacing w:before="2"/>
              <w:ind w:left="0"/>
              <w:rPr>
                <w:b/>
                <w:sz w:val="19"/>
              </w:rPr>
            </w:pPr>
          </w:p>
          <w:p>
            <w:pPr>
              <w:pStyle w:val="TableParagraph"/>
              <w:ind w:left="273"/>
              <w:rPr>
                <w:sz w:val="19"/>
              </w:rPr>
            </w:pPr>
            <w:r>
              <w:rPr>
                <w:color w:val="231F20"/>
                <w:sz w:val="19"/>
              </w:rPr>
              <w:t>134</w:t>
            </w:r>
          </w:p>
        </w:tc>
      </w:tr>
    </w:tbl>
    <w:p>
      <w:pPr>
        <w:pStyle w:val="BodyText"/>
        <w:spacing w:before="5"/>
        <w:rPr>
          <w:b/>
          <w:sz w:val="7"/>
        </w:rPr>
      </w:pPr>
    </w:p>
    <w:p>
      <w:pPr>
        <w:spacing w:before="77"/>
        <w:ind w:left="147" w:right="774" w:firstLine="0"/>
        <w:jc w:val="left"/>
        <w:rPr>
          <w:sz w:val="17"/>
        </w:rPr>
      </w:pPr>
      <w:r>
        <w:rPr>
          <w:color w:val="231F20"/>
          <w:sz w:val="17"/>
        </w:rPr>
        <w:t>Fuente: Pando-Moreno y otros  (2006).</w:t>
      </w:r>
    </w:p>
    <w:p>
      <w:pPr>
        <w:pStyle w:val="BodyText"/>
        <w:spacing w:before="8"/>
        <w:rPr>
          <w:sz w:val="19"/>
        </w:rPr>
      </w:pPr>
    </w:p>
    <w:p>
      <w:pPr>
        <w:spacing w:before="1"/>
        <w:ind w:left="1034" w:right="774" w:firstLine="0"/>
        <w:jc w:val="left"/>
        <w:rPr>
          <w:b/>
          <w:sz w:val="19"/>
        </w:rPr>
      </w:pPr>
      <w:r>
        <w:rPr>
          <w:b/>
          <w:color w:val="231F20"/>
          <w:w w:val="105"/>
          <w:sz w:val="19"/>
        </w:rPr>
        <w:t>Tabla 2.Intensidad de la Violencia Psicológica</w:t>
      </w:r>
    </w:p>
    <w:p>
      <w:pPr>
        <w:pStyle w:val="BodyText"/>
        <w:rPr>
          <w:b/>
        </w:rPr>
      </w:pPr>
    </w:p>
    <w:tbl>
      <w:tblPr>
        <w:tblW w:w="0" w:type="auto"/>
        <w:jc w:val="left"/>
        <w:tblInd w:w="27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34"/>
        <w:gridCol w:w="984"/>
        <w:gridCol w:w="1066"/>
        <w:gridCol w:w="1070"/>
        <w:gridCol w:w="984"/>
      </w:tblGrid>
      <w:tr>
        <w:trPr>
          <w:trHeight w:val="682" w:hRule="exact"/>
        </w:trPr>
        <w:tc>
          <w:tcPr>
            <w:tcW w:w="1334" w:type="dxa"/>
          </w:tcPr>
          <w:p>
            <w:pPr/>
          </w:p>
        </w:tc>
        <w:tc>
          <w:tcPr>
            <w:tcW w:w="984" w:type="dxa"/>
          </w:tcPr>
          <w:p>
            <w:pPr>
              <w:pStyle w:val="TableParagraph"/>
              <w:ind w:left="0"/>
              <w:rPr>
                <w:b/>
                <w:sz w:val="20"/>
              </w:rPr>
            </w:pPr>
          </w:p>
          <w:p>
            <w:pPr>
              <w:pStyle w:val="TableParagraph"/>
              <w:ind w:left="269"/>
              <w:rPr>
                <w:b/>
                <w:sz w:val="19"/>
              </w:rPr>
            </w:pPr>
            <w:r>
              <w:rPr>
                <w:b/>
                <w:color w:val="231F20"/>
                <w:w w:val="105"/>
                <w:sz w:val="19"/>
              </w:rPr>
              <w:t>Nula</w:t>
            </w:r>
          </w:p>
        </w:tc>
        <w:tc>
          <w:tcPr>
            <w:tcW w:w="1066" w:type="dxa"/>
          </w:tcPr>
          <w:p>
            <w:pPr>
              <w:pStyle w:val="TableParagraph"/>
              <w:ind w:left="0"/>
              <w:rPr>
                <w:b/>
                <w:sz w:val="20"/>
              </w:rPr>
            </w:pPr>
          </w:p>
          <w:p>
            <w:pPr>
              <w:pStyle w:val="TableParagraph"/>
              <w:ind w:left="0" w:right="257"/>
              <w:jc w:val="right"/>
              <w:rPr>
                <w:b/>
                <w:sz w:val="19"/>
              </w:rPr>
            </w:pPr>
            <w:r>
              <w:rPr>
                <w:b/>
                <w:color w:val="231F20"/>
                <w:sz w:val="19"/>
              </w:rPr>
              <w:t>Media</w:t>
            </w:r>
          </w:p>
        </w:tc>
        <w:tc>
          <w:tcPr>
            <w:tcW w:w="1070" w:type="dxa"/>
          </w:tcPr>
          <w:p>
            <w:pPr>
              <w:pStyle w:val="TableParagraph"/>
              <w:ind w:left="0"/>
              <w:rPr>
                <w:b/>
                <w:sz w:val="20"/>
              </w:rPr>
            </w:pPr>
          </w:p>
          <w:p>
            <w:pPr>
              <w:pStyle w:val="TableParagraph"/>
              <w:ind w:left="361"/>
              <w:rPr>
                <w:b/>
                <w:sz w:val="19"/>
              </w:rPr>
            </w:pPr>
            <w:r>
              <w:rPr>
                <w:b/>
                <w:color w:val="231F20"/>
                <w:sz w:val="19"/>
              </w:rPr>
              <w:t>Alta</w:t>
            </w:r>
          </w:p>
        </w:tc>
        <w:tc>
          <w:tcPr>
            <w:tcW w:w="984" w:type="dxa"/>
          </w:tcPr>
          <w:p>
            <w:pPr>
              <w:pStyle w:val="TableParagraph"/>
              <w:ind w:left="0"/>
              <w:rPr>
                <w:b/>
                <w:sz w:val="20"/>
              </w:rPr>
            </w:pPr>
          </w:p>
          <w:p>
            <w:pPr>
              <w:pStyle w:val="TableParagraph"/>
              <w:ind w:left="319" w:right="319"/>
              <w:jc w:val="center"/>
              <w:rPr>
                <w:b/>
                <w:sz w:val="19"/>
              </w:rPr>
            </w:pPr>
            <w:r>
              <w:rPr>
                <w:b/>
                <w:color w:val="231F20"/>
                <w:w w:val="120"/>
                <w:sz w:val="19"/>
              </w:rPr>
              <w:t>N=</w:t>
            </w:r>
          </w:p>
        </w:tc>
      </w:tr>
      <w:tr>
        <w:trPr>
          <w:trHeight w:val="686" w:hRule="exact"/>
        </w:trPr>
        <w:tc>
          <w:tcPr>
            <w:tcW w:w="1334" w:type="dxa"/>
          </w:tcPr>
          <w:p>
            <w:pPr>
              <w:pStyle w:val="TableParagraph"/>
              <w:spacing w:before="5"/>
              <w:ind w:left="0"/>
              <w:rPr>
                <w:b/>
                <w:sz w:val="20"/>
              </w:rPr>
            </w:pPr>
          </w:p>
          <w:p>
            <w:pPr>
              <w:pStyle w:val="TableParagraph"/>
              <w:rPr>
                <w:b/>
                <w:sz w:val="19"/>
              </w:rPr>
            </w:pPr>
            <w:r>
              <w:rPr>
                <w:b/>
                <w:color w:val="231F20"/>
                <w:w w:val="105"/>
                <w:sz w:val="19"/>
              </w:rPr>
              <w:t>España</w:t>
            </w:r>
          </w:p>
        </w:tc>
        <w:tc>
          <w:tcPr>
            <w:tcW w:w="984" w:type="dxa"/>
          </w:tcPr>
          <w:p>
            <w:pPr>
              <w:pStyle w:val="TableParagraph"/>
              <w:spacing w:before="5"/>
              <w:ind w:left="0"/>
              <w:rPr>
                <w:b/>
                <w:sz w:val="20"/>
              </w:rPr>
            </w:pPr>
          </w:p>
          <w:p>
            <w:pPr>
              <w:pStyle w:val="TableParagraph"/>
              <w:ind w:left="238"/>
              <w:rPr>
                <w:sz w:val="19"/>
              </w:rPr>
            </w:pPr>
            <w:r>
              <w:rPr>
                <w:color w:val="231F20"/>
                <w:sz w:val="19"/>
              </w:rPr>
              <w:t>73.0%</w:t>
            </w:r>
          </w:p>
        </w:tc>
        <w:tc>
          <w:tcPr>
            <w:tcW w:w="1066" w:type="dxa"/>
          </w:tcPr>
          <w:p>
            <w:pPr>
              <w:pStyle w:val="TableParagraph"/>
              <w:spacing w:before="5"/>
              <w:ind w:left="0"/>
              <w:rPr>
                <w:b/>
                <w:sz w:val="20"/>
              </w:rPr>
            </w:pPr>
          </w:p>
          <w:p>
            <w:pPr>
              <w:pStyle w:val="TableParagraph"/>
              <w:ind w:left="0" w:right="284"/>
              <w:jc w:val="right"/>
              <w:rPr>
                <w:sz w:val="19"/>
              </w:rPr>
            </w:pPr>
            <w:r>
              <w:rPr>
                <w:color w:val="231F20"/>
                <w:w w:val="95"/>
                <w:sz w:val="19"/>
              </w:rPr>
              <w:t>22.5%</w:t>
            </w:r>
          </w:p>
        </w:tc>
        <w:tc>
          <w:tcPr>
            <w:tcW w:w="1070" w:type="dxa"/>
          </w:tcPr>
          <w:p>
            <w:pPr>
              <w:pStyle w:val="TableParagraph"/>
              <w:spacing w:before="5"/>
              <w:ind w:left="0"/>
              <w:rPr>
                <w:b/>
                <w:sz w:val="20"/>
              </w:rPr>
            </w:pPr>
          </w:p>
          <w:p>
            <w:pPr>
              <w:pStyle w:val="TableParagraph"/>
              <w:ind w:left="334"/>
              <w:rPr>
                <w:sz w:val="19"/>
              </w:rPr>
            </w:pPr>
            <w:r>
              <w:rPr>
                <w:color w:val="231F20"/>
                <w:sz w:val="19"/>
              </w:rPr>
              <w:t>4.5%</w:t>
            </w:r>
          </w:p>
        </w:tc>
        <w:tc>
          <w:tcPr>
            <w:tcW w:w="984" w:type="dxa"/>
          </w:tcPr>
          <w:p>
            <w:pPr>
              <w:pStyle w:val="TableParagraph"/>
              <w:spacing w:before="5"/>
              <w:ind w:left="0"/>
              <w:rPr>
                <w:b/>
                <w:sz w:val="20"/>
              </w:rPr>
            </w:pPr>
          </w:p>
          <w:p>
            <w:pPr>
              <w:pStyle w:val="TableParagraph"/>
              <w:ind w:left="319" w:right="319"/>
              <w:jc w:val="center"/>
              <w:rPr>
                <w:sz w:val="19"/>
              </w:rPr>
            </w:pPr>
            <w:r>
              <w:rPr>
                <w:color w:val="231F20"/>
                <w:sz w:val="19"/>
              </w:rPr>
              <w:t>444</w:t>
            </w:r>
          </w:p>
        </w:tc>
      </w:tr>
      <w:tr>
        <w:trPr>
          <w:trHeight w:val="686" w:hRule="exact"/>
        </w:trPr>
        <w:tc>
          <w:tcPr>
            <w:tcW w:w="1334" w:type="dxa"/>
          </w:tcPr>
          <w:p>
            <w:pPr>
              <w:pStyle w:val="TableParagraph"/>
              <w:ind w:left="0"/>
              <w:rPr>
                <w:b/>
                <w:sz w:val="20"/>
              </w:rPr>
            </w:pPr>
          </w:p>
          <w:p>
            <w:pPr>
              <w:pStyle w:val="TableParagraph"/>
              <w:rPr>
                <w:b/>
                <w:sz w:val="19"/>
              </w:rPr>
            </w:pPr>
            <w:r>
              <w:rPr>
                <w:b/>
                <w:color w:val="231F20"/>
                <w:w w:val="105"/>
                <w:sz w:val="19"/>
              </w:rPr>
              <w:t>Chile</w:t>
            </w:r>
          </w:p>
        </w:tc>
        <w:tc>
          <w:tcPr>
            <w:tcW w:w="984" w:type="dxa"/>
          </w:tcPr>
          <w:p>
            <w:pPr>
              <w:pStyle w:val="TableParagraph"/>
              <w:ind w:left="0"/>
              <w:rPr>
                <w:b/>
                <w:sz w:val="20"/>
              </w:rPr>
            </w:pPr>
          </w:p>
          <w:p>
            <w:pPr>
              <w:pStyle w:val="TableParagraph"/>
              <w:ind w:left="238"/>
              <w:rPr>
                <w:sz w:val="19"/>
              </w:rPr>
            </w:pPr>
            <w:r>
              <w:rPr>
                <w:color w:val="231F20"/>
                <w:sz w:val="19"/>
              </w:rPr>
              <w:t>85.8%</w:t>
            </w:r>
          </w:p>
        </w:tc>
        <w:tc>
          <w:tcPr>
            <w:tcW w:w="1066" w:type="dxa"/>
          </w:tcPr>
          <w:p>
            <w:pPr>
              <w:pStyle w:val="TableParagraph"/>
              <w:ind w:left="0"/>
              <w:rPr>
                <w:b/>
                <w:sz w:val="20"/>
              </w:rPr>
            </w:pPr>
          </w:p>
          <w:p>
            <w:pPr>
              <w:pStyle w:val="TableParagraph"/>
              <w:ind w:left="0" w:right="284"/>
              <w:jc w:val="right"/>
              <w:rPr>
                <w:sz w:val="19"/>
              </w:rPr>
            </w:pPr>
            <w:r>
              <w:rPr>
                <w:color w:val="231F20"/>
                <w:w w:val="95"/>
                <w:sz w:val="19"/>
              </w:rPr>
              <w:t>11.7%</w:t>
            </w:r>
          </w:p>
        </w:tc>
        <w:tc>
          <w:tcPr>
            <w:tcW w:w="1070" w:type="dxa"/>
          </w:tcPr>
          <w:p>
            <w:pPr>
              <w:pStyle w:val="TableParagraph"/>
              <w:ind w:left="0"/>
              <w:rPr>
                <w:b/>
                <w:sz w:val="20"/>
              </w:rPr>
            </w:pPr>
          </w:p>
          <w:p>
            <w:pPr>
              <w:pStyle w:val="TableParagraph"/>
              <w:ind w:left="334"/>
              <w:rPr>
                <w:sz w:val="19"/>
              </w:rPr>
            </w:pPr>
            <w:r>
              <w:rPr>
                <w:color w:val="231F20"/>
                <w:sz w:val="19"/>
              </w:rPr>
              <w:t>2.5%</w:t>
            </w:r>
          </w:p>
        </w:tc>
        <w:tc>
          <w:tcPr>
            <w:tcW w:w="984" w:type="dxa"/>
          </w:tcPr>
          <w:p>
            <w:pPr>
              <w:pStyle w:val="TableParagraph"/>
              <w:ind w:left="0"/>
              <w:rPr>
                <w:b/>
                <w:sz w:val="20"/>
              </w:rPr>
            </w:pPr>
          </w:p>
          <w:p>
            <w:pPr>
              <w:pStyle w:val="TableParagraph"/>
              <w:ind w:left="319" w:right="319"/>
              <w:jc w:val="center"/>
              <w:rPr>
                <w:sz w:val="19"/>
              </w:rPr>
            </w:pPr>
            <w:r>
              <w:rPr>
                <w:color w:val="231F20"/>
                <w:sz w:val="19"/>
              </w:rPr>
              <w:t>239</w:t>
            </w:r>
          </w:p>
        </w:tc>
      </w:tr>
      <w:tr>
        <w:trPr>
          <w:trHeight w:val="682" w:hRule="exact"/>
        </w:trPr>
        <w:tc>
          <w:tcPr>
            <w:tcW w:w="1334" w:type="dxa"/>
          </w:tcPr>
          <w:p>
            <w:pPr>
              <w:pStyle w:val="TableParagraph"/>
              <w:ind w:left="0"/>
              <w:rPr>
                <w:b/>
                <w:sz w:val="20"/>
              </w:rPr>
            </w:pPr>
          </w:p>
          <w:p>
            <w:pPr>
              <w:pStyle w:val="TableParagraph"/>
              <w:rPr>
                <w:b/>
                <w:sz w:val="19"/>
              </w:rPr>
            </w:pPr>
            <w:r>
              <w:rPr>
                <w:b/>
                <w:color w:val="231F20"/>
                <w:w w:val="105"/>
                <w:sz w:val="19"/>
              </w:rPr>
              <w:t>Mexico</w:t>
            </w:r>
          </w:p>
        </w:tc>
        <w:tc>
          <w:tcPr>
            <w:tcW w:w="984" w:type="dxa"/>
          </w:tcPr>
          <w:p>
            <w:pPr>
              <w:pStyle w:val="TableParagraph"/>
              <w:ind w:left="0"/>
              <w:rPr>
                <w:b/>
                <w:sz w:val="20"/>
              </w:rPr>
            </w:pPr>
          </w:p>
          <w:p>
            <w:pPr>
              <w:pStyle w:val="TableParagraph"/>
              <w:ind w:left="238"/>
              <w:rPr>
                <w:sz w:val="19"/>
              </w:rPr>
            </w:pPr>
            <w:r>
              <w:rPr>
                <w:color w:val="231F20"/>
                <w:sz w:val="19"/>
              </w:rPr>
              <w:t>88.9%</w:t>
            </w:r>
          </w:p>
        </w:tc>
        <w:tc>
          <w:tcPr>
            <w:tcW w:w="1066" w:type="dxa"/>
          </w:tcPr>
          <w:p>
            <w:pPr>
              <w:pStyle w:val="TableParagraph"/>
              <w:ind w:left="0"/>
              <w:rPr>
                <w:b/>
                <w:sz w:val="20"/>
              </w:rPr>
            </w:pPr>
          </w:p>
          <w:p>
            <w:pPr>
              <w:pStyle w:val="TableParagraph"/>
              <w:ind w:left="0" w:right="331"/>
              <w:jc w:val="right"/>
              <w:rPr>
                <w:sz w:val="19"/>
              </w:rPr>
            </w:pPr>
            <w:r>
              <w:rPr>
                <w:color w:val="231F20"/>
                <w:w w:val="95"/>
                <w:sz w:val="19"/>
              </w:rPr>
              <w:t>9.5%</w:t>
            </w:r>
          </w:p>
        </w:tc>
        <w:tc>
          <w:tcPr>
            <w:tcW w:w="1070" w:type="dxa"/>
          </w:tcPr>
          <w:p>
            <w:pPr>
              <w:pStyle w:val="TableParagraph"/>
              <w:ind w:left="0"/>
              <w:rPr>
                <w:b/>
                <w:sz w:val="20"/>
              </w:rPr>
            </w:pPr>
          </w:p>
          <w:p>
            <w:pPr>
              <w:pStyle w:val="TableParagraph"/>
              <w:ind w:left="334"/>
              <w:rPr>
                <w:sz w:val="19"/>
              </w:rPr>
            </w:pPr>
            <w:r>
              <w:rPr>
                <w:color w:val="231F20"/>
                <w:sz w:val="19"/>
              </w:rPr>
              <w:t>1.6%</w:t>
            </w:r>
          </w:p>
        </w:tc>
        <w:tc>
          <w:tcPr>
            <w:tcW w:w="984" w:type="dxa"/>
          </w:tcPr>
          <w:p>
            <w:pPr>
              <w:pStyle w:val="TableParagraph"/>
              <w:ind w:left="0"/>
              <w:rPr>
                <w:b/>
                <w:sz w:val="20"/>
              </w:rPr>
            </w:pPr>
          </w:p>
          <w:p>
            <w:pPr>
              <w:pStyle w:val="TableParagraph"/>
              <w:ind w:left="319" w:right="319"/>
              <w:jc w:val="center"/>
              <w:rPr>
                <w:sz w:val="19"/>
              </w:rPr>
            </w:pPr>
            <w:r>
              <w:rPr>
                <w:color w:val="231F20"/>
                <w:sz w:val="19"/>
              </w:rPr>
              <w:t>306</w:t>
            </w:r>
          </w:p>
        </w:tc>
      </w:tr>
      <w:tr>
        <w:trPr>
          <w:trHeight w:val="686" w:hRule="exact"/>
        </w:trPr>
        <w:tc>
          <w:tcPr>
            <w:tcW w:w="1334" w:type="dxa"/>
          </w:tcPr>
          <w:p>
            <w:pPr>
              <w:pStyle w:val="TableParagraph"/>
              <w:spacing w:before="5"/>
              <w:ind w:left="0"/>
              <w:rPr>
                <w:b/>
                <w:sz w:val="20"/>
              </w:rPr>
            </w:pPr>
          </w:p>
          <w:p>
            <w:pPr>
              <w:pStyle w:val="TableParagraph"/>
              <w:rPr>
                <w:b/>
                <w:sz w:val="19"/>
              </w:rPr>
            </w:pPr>
            <w:r>
              <w:rPr>
                <w:b/>
                <w:color w:val="231F20"/>
                <w:w w:val="105"/>
                <w:sz w:val="19"/>
              </w:rPr>
              <w:t>Venezuela</w:t>
            </w:r>
          </w:p>
        </w:tc>
        <w:tc>
          <w:tcPr>
            <w:tcW w:w="984" w:type="dxa"/>
          </w:tcPr>
          <w:p>
            <w:pPr>
              <w:pStyle w:val="TableParagraph"/>
              <w:spacing w:before="5"/>
              <w:ind w:left="0"/>
              <w:rPr>
                <w:b/>
                <w:sz w:val="20"/>
              </w:rPr>
            </w:pPr>
          </w:p>
          <w:p>
            <w:pPr>
              <w:pStyle w:val="TableParagraph"/>
              <w:ind w:left="238"/>
              <w:rPr>
                <w:sz w:val="19"/>
              </w:rPr>
            </w:pPr>
            <w:r>
              <w:rPr>
                <w:color w:val="231F20"/>
                <w:sz w:val="19"/>
              </w:rPr>
              <w:t>81.8%</w:t>
            </w:r>
          </w:p>
        </w:tc>
        <w:tc>
          <w:tcPr>
            <w:tcW w:w="1066" w:type="dxa"/>
          </w:tcPr>
          <w:p>
            <w:pPr>
              <w:pStyle w:val="TableParagraph"/>
              <w:spacing w:before="5"/>
              <w:ind w:left="0"/>
              <w:rPr>
                <w:b/>
                <w:sz w:val="20"/>
              </w:rPr>
            </w:pPr>
          </w:p>
          <w:p>
            <w:pPr>
              <w:pStyle w:val="TableParagraph"/>
              <w:ind w:left="0" w:right="284"/>
              <w:jc w:val="right"/>
              <w:rPr>
                <w:sz w:val="19"/>
              </w:rPr>
            </w:pPr>
            <w:r>
              <w:rPr>
                <w:color w:val="231F20"/>
                <w:w w:val="95"/>
                <w:sz w:val="19"/>
              </w:rPr>
              <w:t>15.2%</w:t>
            </w:r>
          </w:p>
        </w:tc>
        <w:tc>
          <w:tcPr>
            <w:tcW w:w="1070" w:type="dxa"/>
          </w:tcPr>
          <w:p>
            <w:pPr>
              <w:pStyle w:val="TableParagraph"/>
              <w:spacing w:before="5"/>
              <w:ind w:left="0"/>
              <w:rPr>
                <w:b/>
                <w:sz w:val="20"/>
              </w:rPr>
            </w:pPr>
          </w:p>
          <w:p>
            <w:pPr>
              <w:pStyle w:val="TableParagraph"/>
              <w:ind w:left="334"/>
              <w:rPr>
                <w:sz w:val="19"/>
              </w:rPr>
            </w:pPr>
            <w:r>
              <w:rPr>
                <w:color w:val="231F20"/>
                <w:sz w:val="19"/>
              </w:rPr>
              <w:t>3.0%</w:t>
            </w:r>
          </w:p>
        </w:tc>
        <w:tc>
          <w:tcPr>
            <w:tcW w:w="984" w:type="dxa"/>
          </w:tcPr>
          <w:p>
            <w:pPr>
              <w:pStyle w:val="TableParagraph"/>
              <w:spacing w:before="5"/>
              <w:ind w:left="0"/>
              <w:rPr>
                <w:b/>
                <w:sz w:val="20"/>
              </w:rPr>
            </w:pPr>
          </w:p>
          <w:p>
            <w:pPr>
              <w:pStyle w:val="TableParagraph"/>
              <w:ind w:left="319" w:right="319"/>
              <w:jc w:val="center"/>
              <w:rPr>
                <w:sz w:val="19"/>
              </w:rPr>
            </w:pPr>
            <w:r>
              <w:rPr>
                <w:color w:val="231F20"/>
                <w:sz w:val="19"/>
              </w:rPr>
              <w:t>134</w:t>
            </w:r>
          </w:p>
        </w:tc>
      </w:tr>
    </w:tbl>
    <w:p>
      <w:pPr>
        <w:spacing w:line="190" w:lineRule="exact" w:before="0"/>
        <w:ind w:left="102" w:right="774" w:firstLine="0"/>
        <w:jc w:val="left"/>
        <w:rPr>
          <w:sz w:val="17"/>
        </w:rPr>
      </w:pPr>
      <w:r>
        <w:rPr>
          <w:color w:val="231F20"/>
          <w:sz w:val="17"/>
        </w:rPr>
        <w:t>Fuente: Pando-Moreno y  otros(2006).</w:t>
      </w:r>
    </w:p>
    <w:p>
      <w:pPr>
        <w:pStyle w:val="BodyText"/>
        <w:spacing w:before="2"/>
        <w:rPr>
          <w:sz w:val="23"/>
        </w:rPr>
      </w:pPr>
    </w:p>
    <w:p>
      <w:pPr>
        <w:pStyle w:val="BodyText"/>
        <w:spacing w:line="252" w:lineRule="auto"/>
        <w:ind w:left="102" w:firstLine="284"/>
      </w:pPr>
      <w:r>
        <w:rPr>
          <w:color w:val="231F20"/>
        </w:rPr>
        <w:t>Mientras que para el acoso psicológico o </w:t>
      </w:r>
      <w:r>
        <w:rPr>
          <w:i/>
          <w:color w:val="231F20"/>
        </w:rPr>
        <w:t>mobbing </w:t>
      </w:r>
      <w:r>
        <w:rPr>
          <w:color w:val="231F20"/>
        </w:rPr>
        <w:t>en el trabajo igualmente España ocupa el sitio más alto (4.5%), véase la Tabla 3.</w:t>
      </w:r>
    </w:p>
    <w:p>
      <w:pPr>
        <w:spacing w:after="0" w:line="252" w:lineRule="auto"/>
        <w:sectPr>
          <w:headerReference w:type="default" r:id="rId964"/>
          <w:footerReference w:type="default" r:id="rId965"/>
          <w:pgSz w:w="7830" w:h="11910"/>
          <w:pgMar w:header="0" w:footer="424" w:top="500" w:bottom="620" w:left="920" w:right="920"/>
          <w:pgNumType w:start="439"/>
        </w:sectPr>
      </w:pPr>
    </w:p>
    <w:p>
      <w:pPr>
        <w:spacing w:before="46"/>
        <w:ind w:left="102" w:right="116"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before="111"/>
        <w:ind w:left="102" w:right="116" w:firstLine="0"/>
        <w:jc w:val="center"/>
        <w:rPr>
          <w:b/>
          <w:sz w:val="19"/>
        </w:rPr>
      </w:pPr>
      <w:r>
        <w:rPr>
          <w:b/>
          <w:color w:val="231F20"/>
          <w:w w:val="105"/>
          <w:sz w:val="19"/>
        </w:rPr>
        <w:t>Tabla 3. Acoso psicológico en el trabajo (mobbing)</w:t>
      </w:r>
    </w:p>
    <w:p>
      <w:pPr>
        <w:pStyle w:val="BodyText"/>
        <w:rPr>
          <w:b/>
          <w:sz w:val="11"/>
        </w:rPr>
      </w:pPr>
    </w:p>
    <w:tbl>
      <w:tblPr>
        <w:tblW w:w="0" w:type="auto"/>
        <w:jc w:val="left"/>
        <w:tblInd w:w="3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15"/>
        <w:gridCol w:w="965"/>
        <w:gridCol w:w="1051"/>
        <w:gridCol w:w="1056"/>
        <w:gridCol w:w="965"/>
      </w:tblGrid>
      <w:tr>
        <w:trPr>
          <w:trHeight w:val="677" w:hRule="exact"/>
        </w:trPr>
        <w:tc>
          <w:tcPr>
            <w:tcW w:w="1315" w:type="dxa"/>
          </w:tcPr>
          <w:p>
            <w:pPr/>
          </w:p>
        </w:tc>
        <w:tc>
          <w:tcPr>
            <w:tcW w:w="965" w:type="dxa"/>
          </w:tcPr>
          <w:p>
            <w:pPr>
              <w:pStyle w:val="TableParagraph"/>
              <w:spacing w:before="5"/>
              <w:ind w:left="0"/>
              <w:rPr>
                <w:b/>
                <w:sz w:val="20"/>
              </w:rPr>
            </w:pPr>
          </w:p>
          <w:p>
            <w:pPr>
              <w:pStyle w:val="TableParagraph"/>
              <w:ind w:left="209" w:right="212"/>
              <w:jc w:val="center"/>
              <w:rPr>
                <w:b/>
                <w:sz w:val="19"/>
              </w:rPr>
            </w:pPr>
            <w:r>
              <w:rPr>
                <w:b/>
                <w:color w:val="231F20"/>
                <w:w w:val="105"/>
                <w:sz w:val="19"/>
              </w:rPr>
              <w:t>Nula</w:t>
            </w:r>
          </w:p>
        </w:tc>
        <w:tc>
          <w:tcPr>
            <w:tcW w:w="1051" w:type="dxa"/>
          </w:tcPr>
          <w:p>
            <w:pPr>
              <w:pStyle w:val="TableParagraph"/>
              <w:spacing w:before="5"/>
              <w:ind w:left="0"/>
              <w:rPr>
                <w:b/>
                <w:sz w:val="20"/>
              </w:rPr>
            </w:pPr>
          </w:p>
          <w:p>
            <w:pPr>
              <w:pStyle w:val="TableParagraph"/>
              <w:ind w:left="228" w:right="230"/>
              <w:jc w:val="center"/>
              <w:rPr>
                <w:b/>
                <w:sz w:val="19"/>
              </w:rPr>
            </w:pPr>
            <w:r>
              <w:rPr>
                <w:b/>
                <w:color w:val="231F20"/>
                <w:w w:val="105"/>
                <w:sz w:val="19"/>
              </w:rPr>
              <w:t>Media</w:t>
            </w:r>
          </w:p>
        </w:tc>
        <w:tc>
          <w:tcPr>
            <w:tcW w:w="1056" w:type="dxa"/>
          </w:tcPr>
          <w:p>
            <w:pPr>
              <w:pStyle w:val="TableParagraph"/>
              <w:spacing w:before="5"/>
              <w:ind w:left="0"/>
              <w:rPr>
                <w:b/>
                <w:sz w:val="20"/>
              </w:rPr>
            </w:pPr>
          </w:p>
          <w:p>
            <w:pPr>
              <w:pStyle w:val="TableParagraph"/>
              <w:ind w:left="301" w:right="307"/>
              <w:jc w:val="center"/>
              <w:rPr>
                <w:b/>
                <w:sz w:val="19"/>
              </w:rPr>
            </w:pPr>
            <w:r>
              <w:rPr>
                <w:b/>
                <w:color w:val="231F20"/>
                <w:sz w:val="19"/>
              </w:rPr>
              <w:t>Alta</w:t>
            </w:r>
          </w:p>
        </w:tc>
        <w:tc>
          <w:tcPr>
            <w:tcW w:w="965" w:type="dxa"/>
          </w:tcPr>
          <w:p>
            <w:pPr>
              <w:pStyle w:val="TableParagraph"/>
              <w:spacing w:before="5"/>
              <w:ind w:left="0"/>
              <w:rPr>
                <w:b/>
                <w:sz w:val="20"/>
              </w:rPr>
            </w:pPr>
          </w:p>
          <w:p>
            <w:pPr>
              <w:pStyle w:val="TableParagraph"/>
              <w:ind w:left="308" w:right="312"/>
              <w:jc w:val="center"/>
              <w:rPr>
                <w:b/>
                <w:sz w:val="19"/>
              </w:rPr>
            </w:pPr>
            <w:r>
              <w:rPr>
                <w:b/>
                <w:color w:val="231F20"/>
                <w:w w:val="120"/>
                <w:sz w:val="19"/>
              </w:rPr>
              <w:t>N=</w:t>
            </w:r>
          </w:p>
        </w:tc>
      </w:tr>
      <w:tr>
        <w:trPr>
          <w:trHeight w:val="682" w:hRule="exact"/>
        </w:trPr>
        <w:tc>
          <w:tcPr>
            <w:tcW w:w="1315" w:type="dxa"/>
          </w:tcPr>
          <w:p>
            <w:pPr>
              <w:pStyle w:val="TableParagraph"/>
              <w:spacing w:before="5"/>
              <w:ind w:left="0"/>
              <w:rPr>
                <w:b/>
                <w:sz w:val="20"/>
              </w:rPr>
            </w:pPr>
          </w:p>
          <w:p>
            <w:pPr>
              <w:pStyle w:val="TableParagraph"/>
              <w:rPr>
                <w:b/>
                <w:sz w:val="19"/>
              </w:rPr>
            </w:pPr>
            <w:r>
              <w:rPr>
                <w:b/>
                <w:color w:val="231F20"/>
                <w:w w:val="105"/>
                <w:sz w:val="19"/>
              </w:rPr>
              <w:t>España</w:t>
            </w:r>
          </w:p>
        </w:tc>
        <w:tc>
          <w:tcPr>
            <w:tcW w:w="965" w:type="dxa"/>
          </w:tcPr>
          <w:p>
            <w:pPr>
              <w:pStyle w:val="TableParagraph"/>
              <w:spacing w:before="5"/>
              <w:ind w:left="0"/>
              <w:rPr>
                <w:b/>
                <w:sz w:val="20"/>
              </w:rPr>
            </w:pPr>
          </w:p>
          <w:p>
            <w:pPr>
              <w:pStyle w:val="TableParagraph"/>
              <w:ind w:left="209" w:right="214"/>
              <w:jc w:val="center"/>
              <w:rPr>
                <w:sz w:val="19"/>
              </w:rPr>
            </w:pPr>
            <w:r>
              <w:rPr>
                <w:color w:val="231F20"/>
                <w:sz w:val="19"/>
              </w:rPr>
              <w:t>90.1%</w:t>
            </w:r>
          </w:p>
        </w:tc>
        <w:tc>
          <w:tcPr>
            <w:tcW w:w="1051" w:type="dxa"/>
          </w:tcPr>
          <w:p>
            <w:pPr>
              <w:pStyle w:val="TableParagraph"/>
              <w:spacing w:before="5"/>
              <w:ind w:left="0"/>
              <w:rPr>
                <w:b/>
                <w:sz w:val="20"/>
              </w:rPr>
            </w:pPr>
          </w:p>
          <w:p>
            <w:pPr>
              <w:pStyle w:val="TableParagraph"/>
              <w:ind w:left="227" w:right="230"/>
              <w:jc w:val="center"/>
              <w:rPr>
                <w:sz w:val="19"/>
              </w:rPr>
            </w:pPr>
            <w:r>
              <w:rPr>
                <w:color w:val="231F20"/>
                <w:sz w:val="19"/>
              </w:rPr>
              <w:t>5.4%</w:t>
            </w:r>
          </w:p>
        </w:tc>
        <w:tc>
          <w:tcPr>
            <w:tcW w:w="1056" w:type="dxa"/>
          </w:tcPr>
          <w:p>
            <w:pPr>
              <w:pStyle w:val="TableParagraph"/>
              <w:spacing w:before="5"/>
              <w:ind w:left="0"/>
              <w:rPr>
                <w:b/>
                <w:sz w:val="20"/>
              </w:rPr>
            </w:pPr>
          </w:p>
          <w:p>
            <w:pPr>
              <w:pStyle w:val="TableParagraph"/>
              <w:ind w:left="301" w:right="309"/>
              <w:jc w:val="center"/>
              <w:rPr>
                <w:sz w:val="19"/>
              </w:rPr>
            </w:pPr>
            <w:r>
              <w:rPr>
                <w:color w:val="231F20"/>
                <w:sz w:val="19"/>
              </w:rPr>
              <w:t>4.5%</w:t>
            </w:r>
          </w:p>
        </w:tc>
        <w:tc>
          <w:tcPr>
            <w:tcW w:w="965" w:type="dxa"/>
          </w:tcPr>
          <w:p>
            <w:pPr>
              <w:pStyle w:val="TableParagraph"/>
              <w:spacing w:before="5"/>
              <w:ind w:left="0"/>
              <w:rPr>
                <w:b/>
                <w:sz w:val="20"/>
              </w:rPr>
            </w:pPr>
          </w:p>
          <w:p>
            <w:pPr>
              <w:pStyle w:val="TableParagraph"/>
              <w:ind w:left="308" w:right="312"/>
              <w:jc w:val="center"/>
              <w:rPr>
                <w:sz w:val="19"/>
              </w:rPr>
            </w:pPr>
            <w:r>
              <w:rPr>
                <w:color w:val="231F20"/>
                <w:sz w:val="19"/>
              </w:rPr>
              <w:t>444</w:t>
            </w:r>
          </w:p>
        </w:tc>
      </w:tr>
      <w:tr>
        <w:trPr>
          <w:trHeight w:val="677" w:hRule="exact"/>
        </w:trPr>
        <w:tc>
          <w:tcPr>
            <w:tcW w:w="1315" w:type="dxa"/>
          </w:tcPr>
          <w:p>
            <w:pPr>
              <w:pStyle w:val="TableParagraph"/>
              <w:ind w:left="0"/>
              <w:rPr>
                <w:b/>
                <w:sz w:val="20"/>
              </w:rPr>
            </w:pPr>
          </w:p>
          <w:p>
            <w:pPr>
              <w:pStyle w:val="TableParagraph"/>
              <w:rPr>
                <w:b/>
                <w:sz w:val="19"/>
              </w:rPr>
            </w:pPr>
            <w:r>
              <w:rPr>
                <w:b/>
                <w:color w:val="231F20"/>
                <w:w w:val="105"/>
                <w:sz w:val="19"/>
              </w:rPr>
              <w:t>Chile</w:t>
            </w:r>
          </w:p>
        </w:tc>
        <w:tc>
          <w:tcPr>
            <w:tcW w:w="965" w:type="dxa"/>
          </w:tcPr>
          <w:p>
            <w:pPr>
              <w:pStyle w:val="TableParagraph"/>
              <w:ind w:left="0"/>
              <w:rPr>
                <w:b/>
                <w:sz w:val="20"/>
              </w:rPr>
            </w:pPr>
          </w:p>
          <w:p>
            <w:pPr>
              <w:pStyle w:val="TableParagraph"/>
              <w:ind w:left="209" w:right="214"/>
              <w:jc w:val="center"/>
              <w:rPr>
                <w:sz w:val="19"/>
              </w:rPr>
            </w:pPr>
            <w:r>
              <w:rPr>
                <w:color w:val="231F20"/>
                <w:sz w:val="19"/>
              </w:rPr>
              <w:t>87.5%</w:t>
            </w:r>
          </w:p>
        </w:tc>
        <w:tc>
          <w:tcPr>
            <w:tcW w:w="1051" w:type="dxa"/>
          </w:tcPr>
          <w:p>
            <w:pPr>
              <w:pStyle w:val="TableParagraph"/>
              <w:ind w:left="0"/>
              <w:rPr>
                <w:b/>
                <w:sz w:val="20"/>
              </w:rPr>
            </w:pPr>
          </w:p>
          <w:p>
            <w:pPr>
              <w:pStyle w:val="TableParagraph"/>
              <w:ind w:left="227" w:right="230"/>
              <w:jc w:val="center"/>
              <w:rPr>
                <w:sz w:val="19"/>
              </w:rPr>
            </w:pPr>
            <w:r>
              <w:rPr>
                <w:color w:val="231F20"/>
                <w:sz w:val="19"/>
              </w:rPr>
              <w:t>9.2%</w:t>
            </w:r>
          </w:p>
        </w:tc>
        <w:tc>
          <w:tcPr>
            <w:tcW w:w="1056" w:type="dxa"/>
          </w:tcPr>
          <w:p>
            <w:pPr>
              <w:pStyle w:val="TableParagraph"/>
              <w:ind w:left="0"/>
              <w:rPr>
                <w:b/>
                <w:sz w:val="20"/>
              </w:rPr>
            </w:pPr>
          </w:p>
          <w:p>
            <w:pPr>
              <w:pStyle w:val="TableParagraph"/>
              <w:ind w:left="301" w:right="309"/>
              <w:jc w:val="center"/>
              <w:rPr>
                <w:sz w:val="19"/>
              </w:rPr>
            </w:pPr>
            <w:r>
              <w:rPr>
                <w:color w:val="231F20"/>
                <w:sz w:val="19"/>
              </w:rPr>
              <w:t>3.3%</w:t>
            </w:r>
          </w:p>
        </w:tc>
        <w:tc>
          <w:tcPr>
            <w:tcW w:w="965" w:type="dxa"/>
          </w:tcPr>
          <w:p>
            <w:pPr>
              <w:pStyle w:val="TableParagraph"/>
              <w:ind w:left="0"/>
              <w:rPr>
                <w:b/>
                <w:sz w:val="20"/>
              </w:rPr>
            </w:pPr>
          </w:p>
          <w:p>
            <w:pPr>
              <w:pStyle w:val="TableParagraph"/>
              <w:ind w:left="308" w:right="312"/>
              <w:jc w:val="center"/>
              <w:rPr>
                <w:sz w:val="19"/>
              </w:rPr>
            </w:pPr>
            <w:r>
              <w:rPr>
                <w:color w:val="231F20"/>
                <w:sz w:val="19"/>
              </w:rPr>
              <w:t>239</w:t>
            </w:r>
          </w:p>
        </w:tc>
      </w:tr>
      <w:tr>
        <w:trPr>
          <w:trHeight w:val="677" w:hRule="exact"/>
        </w:trPr>
        <w:tc>
          <w:tcPr>
            <w:tcW w:w="1315" w:type="dxa"/>
          </w:tcPr>
          <w:p>
            <w:pPr>
              <w:pStyle w:val="TableParagraph"/>
              <w:spacing w:before="5"/>
              <w:ind w:left="0"/>
              <w:rPr>
                <w:b/>
                <w:sz w:val="20"/>
              </w:rPr>
            </w:pPr>
          </w:p>
          <w:p>
            <w:pPr>
              <w:pStyle w:val="TableParagraph"/>
              <w:rPr>
                <w:b/>
                <w:sz w:val="19"/>
              </w:rPr>
            </w:pPr>
            <w:r>
              <w:rPr>
                <w:b/>
                <w:color w:val="231F20"/>
                <w:w w:val="105"/>
                <w:sz w:val="19"/>
              </w:rPr>
              <w:t>Mexico</w:t>
            </w:r>
          </w:p>
        </w:tc>
        <w:tc>
          <w:tcPr>
            <w:tcW w:w="965" w:type="dxa"/>
          </w:tcPr>
          <w:p>
            <w:pPr>
              <w:pStyle w:val="TableParagraph"/>
              <w:spacing w:before="5"/>
              <w:ind w:left="0"/>
              <w:rPr>
                <w:b/>
                <w:sz w:val="20"/>
              </w:rPr>
            </w:pPr>
          </w:p>
          <w:p>
            <w:pPr>
              <w:pStyle w:val="TableParagraph"/>
              <w:ind w:left="209" w:right="214"/>
              <w:jc w:val="center"/>
              <w:rPr>
                <w:sz w:val="19"/>
              </w:rPr>
            </w:pPr>
            <w:r>
              <w:rPr>
                <w:color w:val="231F20"/>
                <w:sz w:val="19"/>
              </w:rPr>
              <w:t>91.5%</w:t>
            </w:r>
          </w:p>
        </w:tc>
        <w:tc>
          <w:tcPr>
            <w:tcW w:w="1051" w:type="dxa"/>
          </w:tcPr>
          <w:p>
            <w:pPr>
              <w:pStyle w:val="TableParagraph"/>
              <w:spacing w:before="5"/>
              <w:ind w:left="0"/>
              <w:rPr>
                <w:b/>
                <w:sz w:val="20"/>
              </w:rPr>
            </w:pPr>
          </w:p>
          <w:p>
            <w:pPr>
              <w:pStyle w:val="TableParagraph"/>
              <w:ind w:left="227" w:right="230"/>
              <w:jc w:val="center"/>
              <w:rPr>
                <w:sz w:val="19"/>
              </w:rPr>
            </w:pPr>
            <w:r>
              <w:rPr>
                <w:color w:val="231F20"/>
                <w:sz w:val="19"/>
              </w:rPr>
              <w:t>7.8%</w:t>
            </w:r>
          </w:p>
        </w:tc>
        <w:tc>
          <w:tcPr>
            <w:tcW w:w="1056" w:type="dxa"/>
          </w:tcPr>
          <w:p>
            <w:pPr>
              <w:pStyle w:val="TableParagraph"/>
              <w:spacing w:before="5"/>
              <w:ind w:left="0"/>
              <w:rPr>
                <w:b/>
                <w:sz w:val="20"/>
              </w:rPr>
            </w:pPr>
          </w:p>
          <w:p>
            <w:pPr>
              <w:pStyle w:val="TableParagraph"/>
              <w:ind w:left="301" w:right="309"/>
              <w:jc w:val="center"/>
              <w:rPr>
                <w:sz w:val="19"/>
              </w:rPr>
            </w:pPr>
            <w:r>
              <w:rPr>
                <w:color w:val="231F20"/>
                <w:sz w:val="19"/>
              </w:rPr>
              <w:t>0.7%</w:t>
            </w:r>
          </w:p>
        </w:tc>
        <w:tc>
          <w:tcPr>
            <w:tcW w:w="965" w:type="dxa"/>
          </w:tcPr>
          <w:p>
            <w:pPr>
              <w:pStyle w:val="TableParagraph"/>
              <w:spacing w:before="5"/>
              <w:ind w:left="0"/>
              <w:rPr>
                <w:b/>
                <w:sz w:val="20"/>
              </w:rPr>
            </w:pPr>
          </w:p>
          <w:p>
            <w:pPr>
              <w:pStyle w:val="TableParagraph"/>
              <w:ind w:left="308" w:right="312"/>
              <w:jc w:val="center"/>
              <w:rPr>
                <w:sz w:val="19"/>
              </w:rPr>
            </w:pPr>
            <w:r>
              <w:rPr>
                <w:color w:val="231F20"/>
                <w:sz w:val="19"/>
              </w:rPr>
              <w:t>306</w:t>
            </w:r>
          </w:p>
        </w:tc>
      </w:tr>
      <w:tr>
        <w:trPr>
          <w:trHeight w:val="682" w:hRule="exact"/>
        </w:trPr>
        <w:tc>
          <w:tcPr>
            <w:tcW w:w="1315" w:type="dxa"/>
          </w:tcPr>
          <w:p>
            <w:pPr>
              <w:pStyle w:val="TableParagraph"/>
              <w:spacing w:before="5"/>
              <w:ind w:left="0"/>
              <w:rPr>
                <w:b/>
                <w:sz w:val="20"/>
              </w:rPr>
            </w:pPr>
          </w:p>
          <w:p>
            <w:pPr>
              <w:pStyle w:val="TableParagraph"/>
              <w:rPr>
                <w:b/>
                <w:sz w:val="19"/>
              </w:rPr>
            </w:pPr>
            <w:r>
              <w:rPr>
                <w:b/>
                <w:color w:val="231F20"/>
                <w:w w:val="105"/>
                <w:sz w:val="19"/>
              </w:rPr>
              <w:t>Venezuela</w:t>
            </w:r>
          </w:p>
        </w:tc>
        <w:tc>
          <w:tcPr>
            <w:tcW w:w="965" w:type="dxa"/>
          </w:tcPr>
          <w:p>
            <w:pPr>
              <w:pStyle w:val="TableParagraph"/>
              <w:spacing w:before="5"/>
              <w:ind w:left="0"/>
              <w:rPr>
                <w:b/>
                <w:sz w:val="20"/>
              </w:rPr>
            </w:pPr>
          </w:p>
          <w:p>
            <w:pPr>
              <w:pStyle w:val="TableParagraph"/>
              <w:ind w:left="209" w:right="214"/>
              <w:jc w:val="center"/>
              <w:rPr>
                <w:sz w:val="19"/>
              </w:rPr>
            </w:pPr>
            <w:r>
              <w:rPr>
                <w:color w:val="231F20"/>
                <w:sz w:val="19"/>
              </w:rPr>
              <w:t>89.8%</w:t>
            </w:r>
          </w:p>
        </w:tc>
        <w:tc>
          <w:tcPr>
            <w:tcW w:w="1051" w:type="dxa"/>
          </w:tcPr>
          <w:p>
            <w:pPr>
              <w:pStyle w:val="TableParagraph"/>
              <w:spacing w:before="5"/>
              <w:ind w:left="0"/>
              <w:rPr>
                <w:b/>
                <w:sz w:val="20"/>
              </w:rPr>
            </w:pPr>
          </w:p>
          <w:p>
            <w:pPr>
              <w:pStyle w:val="TableParagraph"/>
              <w:ind w:left="227" w:right="230"/>
              <w:jc w:val="center"/>
              <w:rPr>
                <w:sz w:val="19"/>
              </w:rPr>
            </w:pPr>
            <w:r>
              <w:rPr>
                <w:color w:val="231F20"/>
                <w:sz w:val="19"/>
              </w:rPr>
              <w:t>7.1%</w:t>
            </w:r>
          </w:p>
        </w:tc>
        <w:tc>
          <w:tcPr>
            <w:tcW w:w="1056" w:type="dxa"/>
          </w:tcPr>
          <w:p>
            <w:pPr>
              <w:pStyle w:val="TableParagraph"/>
              <w:spacing w:before="5"/>
              <w:ind w:left="0"/>
              <w:rPr>
                <w:b/>
                <w:sz w:val="20"/>
              </w:rPr>
            </w:pPr>
          </w:p>
          <w:p>
            <w:pPr>
              <w:pStyle w:val="TableParagraph"/>
              <w:ind w:left="301" w:right="309"/>
              <w:jc w:val="center"/>
              <w:rPr>
                <w:sz w:val="19"/>
              </w:rPr>
            </w:pPr>
            <w:r>
              <w:rPr>
                <w:color w:val="231F20"/>
                <w:sz w:val="19"/>
              </w:rPr>
              <w:t>3.1%</w:t>
            </w:r>
          </w:p>
        </w:tc>
        <w:tc>
          <w:tcPr>
            <w:tcW w:w="965" w:type="dxa"/>
          </w:tcPr>
          <w:p>
            <w:pPr>
              <w:pStyle w:val="TableParagraph"/>
              <w:spacing w:before="5"/>
              <w:ind w:left="0"/>
              <w:rPr>
                <w:b/>
                <w:sz w:val="20"/>
              </w:rPr>
            </w:pPr>
          </w:p>
          <w:p>
            <w:pPr>
              <w:pStyle w:val="TableParagraph"/>
              <w:ind w:left="308" w:right="312"/>
              <w:jc w:val="center"/>
              <w:rPr>
                <w:sz w:val="19"/>
              </w:rPr>
            </w:pPr>
            <w:r>
              <w:rPr>
                <w:color w:val="231F20"/>
                <w:sz w:val="19"/>
              </w:rPr>
              <w:t>134</w:t>
            </w:r>
          </w:p>
        </w:tc>
      </w:tr>
    </w:tbl>
    <w:p>
      <w:pPr>
        <w:spacing w:before="43"/>
        <w:ind w:left="386" w:right="121" w:firstLine="0"/>
        <w:jc w:val="left"/>
        <w:rPr>
          <w:sz w:val="17"/>
        </w:rPr>
      </w:pPr>
      <w:r>
        <w:rPr>
          <w:color w:val="231F20"/>
          <w:sz w:val="17"/>
        </w:rPr>
        <w:t>Fuente: Pando-Moreno y  otros(2006).</w:t>
      </w:r>
    </w:p>
    <w:p>
      <w:pPr>
        <w:pStyle w:val="BodyText"/>
        <w:spacing w:before="2"/>
        <w:rPr>
          <w:sz w:val="23"/>
        </w:rPr>
      </w:pPr>
    </w:p>
    <w:p>
      <w:pPr>
        <w:pStyle w:val="BodyText"/>
        <w:spacing w:line="247" w:lineRule="auto"/>
        <w:ind w:left="102" w:right="119" w:firstLine="283"/>
        <w:jc w:val="both"/>
        <w:rPr>
          <w:i/>
        </w:rPr>
      </w:pPr>
      <w:r>
        <w:rPr>
          <w:color w:val="231F20"/>
          <w:spacing w:val="2"/>
        </w:rPr>
        <w:t>Cruz, Ovalle </w:t>
      </w:r>
      <w:r>
        <w:rPr>
          <w:color w:val="231F20"/>
        </w:rPr>
        <w:t>y </w:t>
      </w:r>
      <w:r>
        <w:rPr>
          <w:color w:val="231F20"/>
          <w:spacing w:val="3"/>
        </w:rPr>
        <w:t>Pando-Moreno (2008) </w:t>
      </w:r>
      <w:r>
        <w:rPr>
          <w:color w:val="231F20"/>
          <w:spacing w:val="2"/>
        </w:rPr>
        <w:t>llevan </w:t>
      </w:r>
      <w:r>
        <w:rPr>
          <w:color w:val="231F20"/>
        </w:rPr>
        <w:t>a </w:t>
      </w:r>
      <w:r>
        <w:rPr>
          <w:color w:val="231F20"/>
          <w:spacing w:val="2"/>
        </w:rPr>
        <w:t>cabo </w:t>
      </w:r>
      <w:r>
        <w:rPr>
          <w:color w:val="231F20"/>
        </w:rPr>
        <w:t>un </w:t>
      </w:r>
      <w:r>
        <w:rPr>
          <w:color w:val="231F20"/>
          <w:spacing w:val="2"/>
        </w:rPr>
        <w:t>estudio transversal con </w:t>
      </w:r>
      <w:r>
        <w:rPr>
          <w:color w:val="231F20"/>
        </w:rPr>
        <w:t>53 </w:t>
      </w:r>
      <w:r>
        <w:rPr>
          <w:color w:val="231F20"/>
          <w:spacing w:val="2"/>
        </w:rPr>
        <w:t>académicos </w:t>
      </w:r>
      <w:r>
        <w:rPr>
          <w:color w:val="231F20"/>
          <w:spacing w:val="3"/>
        </w:rPr>
        <w:t>mexicanos </w:t>
      </w:r>
      <w:r>
        <w:rPr>
          <w:color w:val="231F20"/>
        </w:rPr>
        <w:t>de la </w:t>
      </w:r>
      <w:r>
        <w:rPr>
          <w:color w:val="231F20"/>
          <w:spacing w:val="2"/>
        </w:rPr>
        <w:t>Universidad </w:t>
      </w:r>
      <w:r>
        <w:rPr>
          <w:color w:val="231F20"/>
        </w:rPr>
        <w:t>de </w:t>
      </w:r>
      <w:r>
        <w:rPr>
          <w:color w:val="231F20"/>
          <w:spacing w:val="2"/>
        </w:rPr>
        <w:t>Ciencias </w:t>
      </w:r>
      <w:r>
        <w:rPr>
          <w:color w:val="231F20"/>
        </w:rPr>
        <w:t>y </w:t>
      </w:r>
      <w:r>
        <w:rPr>
          <w:color w:val="231F20"/>
          <w:spacing w:val="2"/>
        </w:rPr>
        <w:t>Artes </w:t>
      </w:r>
      <w:r>
        <w:rPr>
          <w:color w:val="231F20"/>
        </w:rPr>
        <w:t>de </w:t>
      </w:r>
      <w:r>
        <w:rPr>
          <w:color w:val="231F20"/>
          <w:spacing w:val="2"/>
        </w:rPr>
        <w:t>Chiapas </w:t>
      </w:r>
      <w:r>
        <w:rPr>
          <w:color w:val="231F20"/>
          <w:spacing w:val="3"/>
        </w:rPr>
        <w:t>(UNICACH) </w:t>
      </w:r>
      <w:r>
        <w:rPr>
          <w:color w:val="231F20"/>
          <w:spacing w:val="2"/>
        </w:rPr>
        <w:t>aplican </w:t>
      </w:r>
      <w:r>
        <w:rPr>
          <w:color w:val="231F20"/>
        </w:rPr>
        <w:t>el </w:t>
      </w:r>
      <w:r>
        <w:rPr>
          <w:color w:val="231F20"/>
          <w:spacing w:val="3"/>
        </w:rPr>
        <w:t>IVAPT- </w:t>
      </w:r>
      <w:r>
        <w:rPr>
          <w:color w:val="231F20"/>
          <w:spacing w:val="2"/>
        </w:rPr>
        <w:t>Pando</w:t>
      </w:r>
      <w:r>
        <w:rPr>
          <w:color w:val="231F20"/>
          <w:spacing w:val="-14"/>
        </w:rPr>
        <w:t> </w:t>
      </w:r>
      <w:r>
        <w:rPr>
          <w:color w:val="231F20"/>
        </w:rPr>
        <w:t>y</w:t>
      </w:r>
      <w:r>
        <w:rPr>
          <w:color w:val="231F20"/>
          <w:spacing w:val="-14"/>
        </w:rPr>
        <w:t> </w:t>
      </w:r>
      <w:r>
        <w:rPr>
          <w:color w:val="231F20"/>
          <w:spacing w:val="2"/>
        </w:rPr>
        <w:t>reportan</w:t>
      </w:r>
      <w:r>
        <w:rPr>
          <w:color w:val="231F20"/>
          <w:spacing w:val="-14"/>
        </w:rPr>
        <w:t> </w:t>
      </w:r>
      <w:r>
        <w:rPr>
          <w:color w:val="231F20"/>
          <w:spacing w:val="2"/>
        </w:rPr>
        <w:t>26.4%</w:t>
      </w:r>
      <w:r>
        <w:rPr>
          <w:color w:val="231F20"/>
          <w:spacing w:val="-13"/>
        </w:rPr>
        <w:t> </w:t>
      </w:r>
      <w:r>
        <w:rPr>
          <w:color w:val="231F20"/>
          <w:spacing w:val="2"/>
        </w:rPr>
        <w:t>casos</w:t>
      </w:r>
      <w:r>
        <w:rPr>
          <w:color w:val="231F20"/>
          <w:spacing w:val="-14"/>
        </w:rPr>
        <w:t> </w:t>
      </w:r>
      <w:r>
        <w:rPr>
          <w:color w:val="231F20"/>
        </w:rPr>
        <w:t>de</w:t>
      </w:r>
      <w:r>
        <w:rPr>
          <w:color w:val="231F20"/>
          <w:spacing w:val="-14"/>
        </w:rPr>
        <w:t> </w:t>
      </w:r>
      <w:r>
        <w:rPr>
          <w:i/>
          <w:color w:val="231F20"/>
          <w:spacing w:val="2"/>
        </w:rPr>
        <w:t>mobbing.</w:t>
      </w:r>
    </w:p>
    <w:p>
      <w:pPr>
        <w:pStyle w:val="BodyText"/>
        <w:spacing w:line="249" w:lineRule="auto" w:before="1"/>
        <w:ind w:left="102" w:right="115" w:firstLine="284"/>
        <w:jc w:val="both"/>
      </w:pPr>
      <w:r>
        <w:rPr>
          <w:color w:val="231F20"/>
        </w:rPr>
        <w:t>Manuel Pando-Moreno y otros (2006:323) refieren que el aco- so psicológico implica “la presencia de comportamientos violentos de una o varias personas sobre otra(s); que estos comportamien- tos se presenten de manera continua durante cierto tiempo, y que exista la intencionalidad de aniquilación o destrucción psicológica  y obtener su salida de la organización o de dañar deliberadamen- te a la persona”. Esta definición toma ciertos componentes de    M.</w:t>
      </w:r>
    </w:p>
    <w:p>
      <w:pPr>
        <w:pStyle w:val="BodyText"/>
        <w:spacing w:line="240" w:lineRule="exact"/>
        <w:ind w:left="102" w:right="121"/>
      </w:pPr>
      <w:r>
        <w:rPr>
          <w:color w:val="231F20"/>
        </w:rPr>
        <w:t>F. Hirigoyen (2001); Piñuel y Zabala (2001) y Ausfelder (2002).</w:t>
      </w:r>
    </w:p>
    <w:p>
      <w:pPr>
        <w:pStyle w:val="BodyText"/>
        <w:spacing w:line="247" w:lineRule="auto" w:before="8"/>
        <w:ind w:left="102" w:right="114" w:firstLine="284"/>
        <w:jc w:val="both"/>
      </w:pPr>
      <w:r>
        <w:rPr>
          <w:color w:val="231F20"/>
        </w:rPr>
        <w:t>M. F. Hirigoyen (2001), Leymann (1987,1996) y Piñuel y Zaba- la (2001) afirman que el suicidio es una consecuencia grave en los individuos que han sufrido acoso.</w:t>
      </w:r>
    </w:p>
    <w:p>
      <w:pPr>
        <w:pStyle w:val="BodyText"/>
        <w:spacing w:line="247" w:lineRule="auto" w:before="1"/>
        <w:ind w:left="102" w:right="115" w:firstLine="283"/>
        <w:jc w:val="both"/>
      </w:pPr>
      <w:r>
        <w:rPr>
          <w:color w:val="231F20"/>
        </w:rPr>
        <w:t>El objetivo de esta investigación fue determinar la prevalencia del acoso psicológico o </w:t>
      </w:r>
      <w:r>
        <w:rPr>
          <w:i/>
          <w:color w:val="231F20"/>
        </w:rPr>
        <w:t>mobbing</w:t>
      </w:r>
      <w:r>
        <w:rPr>
          <w:color w:val="231F20"/>
        </w:rPr>
        <w:t>, la presencia de violencia psicoló- gica y su intensidad. Asimismo su relación con factores sociode- mográficos en el trabajo académico de docentes universitarios.</w:t>
      </w:r>
    </w:p>
    <w:p>
      <w:pPr>
        <w:spacing w:after="0" w:line="247" w:lineRule="auto"/>
        <w:jc w:val="both"/>
        <w:sectPr>
          <w:headerReference w:type="default" r:id="rId966"/>
          <w:footerReference w:type="default" r:id="rId967"/>
          <w:pgSz w:w="7830" w:h="11910"/>
          <w:pgMar w:header="0" w:footer="424" w:top="500" w:bottom="620" w:left="920" w:right="900"/>
          <w:pgNumType w:start="440"/>
        </w:sectPr>
      </w:pPr>
    </w:p>
    <w:p>
      <w:pPr>
        <w:spacing w:before="46"/>
        <w:ind w:left="1463" w:right="121"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before="92"/>
        <w:ind w:left="102"/>
        <w:jc w:val="both"/>
      </w:pPr>
      <w:r>
        <w:rPr>
          <w:color w:val="231F20"/>
        </w:rPr>
        <w:t>MATERIAL  Y MÉTODOS</w:t>
      </w:r>
    </w:p>
    <w:p>
      <w:pPr>
        <w:pStyle w:val="BodyText"/>
        <w:spacing w:before="4"/>
        <w:rPr>
          <w:sz w:val="22"/>
        </w:rPr>
      </w:pPr>
    </w:p>
    <w:p>
      <w:pPr>
        <w:spacing w:before="1"/>
        <w:ind w:left="102" w:right="0" w:firstLine="0"/>
        <w:jc w:val="both"/>
        <w:rPr>
          <w:i/>
          <w:sz w:val="21"/>
        </w:rPr>
      </w:pPr>
      <w:r>
        <w:rPr>
          <w:i/>
          <w:color w:val="231F20"/>
          <w:w w:val="85"/>
          <w:sz w:val="21"/>
        </w:rPr>
        <w:t>Tipo de estudio</w:t>
      </w:r>
    </w:p>
    <w:p>
      <w:pPr>
        <w:pStyle w:val="BodyText"/>
        <w:spacing w:before="1"/>
        <w:rPr>
          <w:i/>
        </w:rPr>
      </w:pPr>
    </w:p>
    <w:p>
      <w:pPr>
        <w:pStyle w:val="BodyText"/>
        <w:spacing w:line="247" w:lineRule="auto" w:before="1"/>
        <w:ind w:left="102" w:right="117"/>
        <w:jc w:val="both"/>
      </w:pPr>
      <w:r>
        <w:rPr>
          <w:color w:val="231F20"/>
        </w:rPr>
        <w:t>La investigación se realizó con un diseño transversal, no experimental para determinar la prevalencia del </w:t>
      </w:r>
      <w:r>
        <w:rPr>
          <w:i/>
          <w:color w:val="231F20"/>
        </w:rPr>
        <w:t>mobbing</w:t>
      </w:r>
      <w:r>
        <w:rPr>
          <w:color w:val="231F20"/>
        </w:rPr>
        <w:t>o acoso psicológico en el trabajo, así como la intensidad de la violencia psicológica y la presencia de la misma y su relación con la cédula personal y laboral de los participantes.</w:t>
      </w:r>
    </w:p>
    <w:p>
      <w:pPr>
        <w:pStyle w:val="BodyText"/>
        <w:spacing w:before="7"/>
        <w:rPr>
          <w:sz w:val="22"/>
        </w:rPr>
      </w:pPr>
    </w:p>
    <w:p>
      <w:pPr>
        <w:spacing w:before="0"/>
        <w:ind w:left="102" w:right="0" w:firstLine="0"/>
        <w:jc w:val="both"/>
        <w:rPr>
          <w:i/>
          <w:sz w:val="21"/>
        </w:rPr>
      </w:pPr>
      <w:r>
        <w:rPr>
          <w:i/>
          <w:color w:val="231F20"/>
          <w:w w:val="90"/>
          <w:sz w:val="21"/>
        </w:rPr>
        <w:t>Población</w:t>
      </w:r>
    </w:p>
    <w:p>
      <w:pPr>
        <w:pStyle w:val="BodyText"/>
        <w:spacing w:before="6"/>
        <w:rPr>
          <w:i/>
        </w:rPr>
      </w:pPr>
    </w:p>
    <w:p>
      <w:pPr>
        <w:pStyle w:val="BodyText"/>
        <w:spacing w:line="244" w:lineRule="auto"/>
        <w:ind w:left="102" w:right="114"/>
        <w:jc w:val="both"/>
      </w:pPr>
      <w:r>
        <w:rPr>
          <w:color w:val="231F20"/>
        </w:rPr>
        <w:t>Docentes de asignatura, tiempo parcial y tiempo completo de una universidad pública en México. De un total de 91 profesores se obtiene la respuesta de 65.</w:t>
      </w:r>
    </w:p>
    <w:p>
      <w:pPr>
        <w:pStyle w:val="BodyText"/>
        <w:spacing w:line="247" w:lineRule="auto" w:before="13"/>
        <w:ind w:left="102" w:right="121" w:firstLine="284"/>
        <w:jc w:val="both"/>
      </w:pPr>
      <w:r>
        <w:rPr>
          <w:color w:val="231F20"/>
          <w:spacing w:val="2"/>
        </w:rPr>
        <w:t>Criterios </w:t>
      </w:r>
      <w:r>
        <w:rPr>
          <w:color w:val="231F20"/>
        </w:rPr>
        <w:t>de </w:t>
      </w:r>
      <w:r>
        <w:rPr>
          <w:color w:val="231F20"/>
          <w:spacing w:val="2"/>
        </w:rPr>
        <w:t>inclusión: </w:t>
      </w:r>
      <w:r>
        <w:rPr>
          <w:color w:val="231F20"/>
          <w:spacing w:val="3"/>
        </w:rPr>
        <w:t>Todos </w:t>
      </w:r>
      <w:r>
        <w:rPr>
          <w:color w:val="231F20"/>
          <w:spacing w:val="2"/>
        </w:rPr>
        <w:t>los </w:t>
      </w:r>
      <w:r>
        <w:rPr>
          <w:color w:val="231F20"/>
          <w:spacing w:val="3"/>
        </w:rPr>
        <w:t>docentes, </w:t>
      </w:r>
      <w:r>
        <w:rPr>
          <w:color w:val="231F20"/>
        </w:rPr>
        <w:t>sin </w:t>
      </w:r>
      <w:r>
        <w:rPr>
          <w:color w:val="231F20"/>
          <w:spacing w:val="3"/>
        </w:rPr>
        <w:t>importar </w:t>
      </w:r>
      <w:r>
        <w:rPr>
          <w:color w:val="231F20"/>
          <w:spacing w:val="2"/>
        </w:rPr>
        <w:t>que fuera </w:t>
      </w:r>
      <w:r>
        <w:rPr>
          <w:color w:val="231F20"/>
        </w:rPr>
        <w:t>su </w:t>
      </w:r>
      <w:r>
        <w:rPr>
          <w:color w:val="231F20"/>
          <w:spacing w:val="2"/>
        </w:rPr>
        <w:t>primer semestre frente </w:t>
      </w:r>
      <w:r>
        <w:rPr>
          <w:color w:val="231F20"/>
        </w:rPr>
        <w:t>a</w:t>
      </w:r>
      <w:r>
        <w:rPr>
          <w:color w:val="231F20"/>
          <w:spacing w:val="50"/>
        </w:rPr>
        <w:t> </w:t>
      </w:r>
      <w:r>
        <w:rPr>
          <w:color w:val="231F20"/>
          <w:spacing w:val="2"/>
        </w:rPr>
        <w:t>grupo.</w:t>
      </w:r>
    </w:p>
    <w:p>
      <w:pPr>
        <w:pStyle w:val="BodyText"/>
        <w:spacing w:line="249" w:lineRule="auto" w:before="1"/>
        <w:ind w:left="102" w:right="119" w:firstLine="284"/>
        <w:jc w:val="both"/>
      </w:pPr>
      <w:r>
        <w:rPr>
          <w:color w:val="231F20"/>
          <w:spacing w:val="2"/>
        </w:rPr>
        <w:t>Criterios </w:t>
      </w:r>
      <w:r>
        <w:rPr>
          <w:color w:val="231F20"/>
        </w:rPr>
        <w:t>de </w:t>
      </w:r>
      <w:r>
        <w:rPr>
          <w:color w:val="231F20"/>
          <w:spacing w:val="2"/>
        </w:rPr>
        <w:t>exclusión: Sujetos que hubieran </w:t>
      </w:r>
      <w:r>
        <w:rPr>
          <w:color w:val="231F20"/>
        </w:rPr>
        <w:t>sido </w:t>
      </w:r>
      <w:r>
        <w:rPr>
          <w:color w:val="231F20"/>
          <w:spacing w:val="2"/>
        </w:rPr>
        <w:t>encargados  </w:t>
      </w:r>
      <w:r>
        <w:rPr>
          <w:color w:val="231F20"/>
        </w:rPr>
        <w:t>de </w:t>
      </w:r>
      <w:r>
        <w:rPr>
          <w:color w:val="231F20"/>
          <w:spacing w:val="2"/>
        </w:rPr>
        <w:t>desarrollar alguna tarea administrativa </w:t>
      </w:r>
      <w:r>
        <w:rPr>
          <w:color w:val="231F20"/>
        </w:rPr>
        <w:t>y </w:t>
      </w:r>
      <w:r>
        <w:rPr>
          <w:color w:val="231F20"/>
          <w:spacing w:val="2"/>
        </w:rPr>
        <w:t>que esto los  mantuviera </w:t>
      </w:r>
      <w:r>
        <w:rPr>
          <w:color w:val="231F20"/>
        </w:rPr>
        <w:t>a </w:t>
      </w:r>
      <w:r>
        <w:rPr>
          <w:color w:val="231F20"/>
          <w:spacing w:val="2"/>
        </w:rPr>
        <w:t>distancia </w:t>
      </w:r>
      <w:r>
        <w:rPr>
          <w:color w:val="231F20"/>
        </w:rPr>
        <w:t>de la </w:t>
      </w:r>
      <w:r>
        <w:rPr>
          <w:color w:val="231F20"/>
          <w:spacing w:val="2"/>
        </w:rPr>
        <w:t>función</w:t>
      </w:r>
      <w:r>
        <w:rPr>
          <w:color w:val="231F20"/>
          <w:spacing w:val="19"/>
        </w:rPr>
        <w:t> </w:t>
      </w:r>
      <w:r>
        <w:rPr>
          <w:color w:val="231F20"/>
          <w:spacing w:val="2"/>
        </w:rPr>
        <w:t>docente.</w:t>
      </w:r>
    </w:p>
    <w:p>
      <w:pPr>
        <w:pStyle w:val="BodyText"/>
        <w:spacing w:before="7"/>
      </w:pPr>
    </w:p>
    <w:p>
      <w:pPr>
        <w:spacing w:before="0"/>
        <w:ind w:left="102" w:right="0" w:firstLine="0"/>
        <w:jc w:val="both"/>
        <w:rPr>
          <w:i/>
          <w:sz w:val="21"/>
        </w:rPr>
      </w:pPr>
      <w:r>
        <w:rPr>
          <w:i/>
          <w:color w:val="231F20"/>
          <w:w w:val="95"/>
          <w:sz w:val="21"/>
        </w:rPr>
        <w:t>Variables</w:t>
      </w:r>
    </w:p>
    <w:p>
      <w:pPr>
        <w:pStyle w:val="BodyText"/>
        <w:spacing w:before="1"/>
        <w:rPr>
          <w:i/>
        </w:rPr>
      </w:pPr>
    </w:p>
    <w:p>
      <w:pPr>
        <w:pStyle w:val="BodyText"/>
        <w:spacing w:line="244" w:lineRule="auto"/>
        <w:ind w:left="102" w:right="117"/>
        <w:jc w:val="both"/>
      </w:pPr>
      <w:r>
        <w:rPr>
          <w:color w:val="231F20"/>
        </w:rPr>
        <w:t>Sociodemográficas</w:t>
      </w:r>
      <w:r>
        <w:rPr>
          <w:rFonts w:ascii="Arial" w:hAnsi="Arial"/>
          <w:b/>
          <w:color w:val="231F20"/>
        </w:rPr>
        <w:t>: </w:t>
      </w:r>
      <w:r>
        <w:rPr>
          <w:color w:val="231F20"/>
        </w:rPr>
        <w:t>edad, género, estado civil, escolaridad, turno de trabajo, realización de otra actividad laboral, antigüedad, horas fren- te a grupo.</w:t>
      </w:r>
    </w:p>
    <w:p>
      <w:pPr>
        <w:pStyle w:val="BodyText"/>
        <w:spacing w:line="247" w:lineRule="auto" w:before="18"/>
        <w:ind w:left="102" w:right="115" w:firstLine="284"/>
        <w:jc w:val="both"/>
      </w:pPr>
      <w:r>
        <w:rPr>
          <w:color w:val="231F20"/>
          <w:spacing w:val="2"/>
        </w:rPr>
        <w:t>Acoso</w:t>
      </w:r>
      <w:r>
        <w:rPr>
          <w:color w:val="231F20"/>
          <w:spacing w:val="-15"/>
        </w:rPr>
        <w:t> </w:t>
      </w:r>
      <w:r>
        <w:rPr>
          <w:color w:val="231F20"/>
          <w:spacing w:val="2"/>
        </w:rPr>
        <w:t>psicológico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2"/>
        </w:rPr>
        <w:t>trabajo</w:t>
      </w:r>
      <w:r>
        <w:rPr>
          <w:color w:val="231F20"/>
          <w:spacing w:val="-15"/>
        </w:rPr>
        <w:t> </w:t>
      </w:r>
      <w:r>
        <w:rPr>
          <w:color w:val="231F20"/>
        </w:rPr>
        <w:t>o</w:t>
      </w:r>
      <w:r>
        <w:rPr>
          <w:color w:val="231F20"/>
          <w:spacing w:val="-13"/>
        </w:rPr>
        <w:t> </w:t>
      </w:r>
      <w:r>
        <w:rPr>
          <w:i/>
          <w:color w:val="231F20"/>
          <w:spacing w:val="2"/>
        </w:rPr>
        <w:t>mobbing:</w:t>
      </w:r>
      <w:r>
        <w:rPr>
          <w:i/>
          <w:color w:val="231F20"/>
          <w:spacing w:val="-15"/>
        </w:rPr>
        <w:t> </w:t>
      </w:r>
      <w:r>
        <w:rPr>
          <w:color w:val="231F20"/>
          <w:spacing w:val="2"/>
        </w:rPr>
        <w:t>Agresión</w:t>
      </w:r>
      <w:r>
        <w:rPr>
          <w:color w:val="231F20"/>
          <w:spacing w:val="-15"/>
        </w:rPr>
        <w:t> </w:t>
      </w:r>
      <w:r>
        <w:rPr>
          <w:color w:val="231F20"/>
          <w:spacing w:val="2"/>
        </w:rPr>
        <w:t>psicológica con una dirección específica hacia una persona </w:t>
      </w:r>
      <w:r>
        <w:rPr>
          <w:color w:val="231F20"/>
        </w:rPr>
        <w:t>o </w:t>
      </w:r>
      <w:r>
        <w:rPr>
          <w:color w:val="231F20"/>
          <w:spacing w:val="2"/>
        </w:rPr>
        <w:t>grupo </w:t>
      </w:r>
      <w:r>
        <w:rPr>
          <w:color w:val="231F20"/>
          <w:spacing w:val="4"/>
        </w:rPr>
        <w:t>de </w:t>
      </w:r>
      <w:r>
        <w:rPr>
          <w:color w:val="231F20"/>
          <w:spacing w:val="3"/>
        </w:rPr>
        <w:t>personas </w:t>
      </w:r>
      <w:r>
        <w:rPr>
          <w:color w:val="231F20"/>
        </w:rPr>
        <w:t>(la </w:t>
      </w:r>
      <w:r>
        <w:rPr>
          <w:color w:val="231F20"/>
          <w:spacing w:val="2"/>
        </w:rPr>
        <w:t>víctima) con una intencionalidad </w:t>
      </w:r>
      <w:r>
        <w:rPr>
          <w:color w:val="231F20"/>
        </w:rPr>
        <w:t>de </w:t>
      </w:r>
      <w:r>
        <w:rPr>
          <w:color w:val="231F20"/>
          <w:spacing w:val="2"/>
        </w:rPr>
        <w:t>generar daño </w:t>
      </w:r>
      <w:r>
        <w:rPr>
          <w:color w:val="231F20"/>
        </w:rPr>
        <w:t>o </w:t>
      </w:r>
      <w:r>
        <w:rPr>
          <w:color w:val="231F20"/>
          <w:spacing w:val="2"/>
        </w:rPr>
        <w:t>malestar psicológico </w:t>
      </w:r>
      <w:r>
        <w:rPr>
          <w:color w:val="231F20"/>
        </w:rPr>
        <w:t>en </w:t>
      </w:r>
      <w:r>
        <w:rPr>
          <w:color w:val="231F20"/>
          <w:spacing w:val="2"/>
        </w:rPr>
        <w:t>ella, incluso </w:t>
      </w:r>
      <w:r>
        <w:rPr>
          <w:color w:val="231F20"/>
        </w:rPr>
        <w:t>de </w:t>
      </w:r>
      <w:r>
        <w:rPr>
          <w:color w:val="231F20"/>
          <w:spacing w:val="2"/>
        </w:rPr>
        <w:t>lograr </w:t>
      </w:r>
      <w:r>
        <w:rPr>
          <w:color w:val="231F20"/>
        </w:rPr>
        <w:t>su </w:t>
      </w:r>
      <w:r>
        <w:rPr>
          <w:color w:val="231F20"/>
          <w:spacing w:val="2"/>
        </w:rPr>
        <w:t>salida </w:t>
      </w:r>
      <w:r>
        <w:rPr>
          <w:color w:val="231F20"/>
        </w:rPr>
        <w:t>de la </w:t>
      </w:r>
      <w:r>
        <w:rPr>
          <w:color w:val="231F20"/>
          <w:spacing w:val="3"/>
        </w:rPr>
        <w:t>empresa. (Pando-Moreno.</w:t>
      </w:r>
      <w:r>
        <w:rPr>
          <w:color w:val="231F20"/>
          <w:spacing w:val="-28"/>
        </w:rPr>
        <w:t> </w:t>
      </w:r>
      <w:r>
        <w:rPr>
          <w:color w:val="231F20"/>
          <w:spacing w:val="2"/>
        </w:rPr>
        <w:t>2006:3).</w:t>
      </w:r>
    </w:p>
    <w:p>
      <w:pPr>
        <w:pStyle w:val="BodyText"/>
        <w:spacing w:line="247" w:lineRule="auto" w:before="1"/>
        <w:ind w:left="102" w:right="119" w:firstLine="284"/>
        <w:jc w:val="both"/>
      </w:pPr>
      <w:r>
        <w:rPr>
          <w:color w:val="231F20"/>
          <w:spacing w:val="2"/>
        </w:rPr>
        <w:t>Violencia psicológica </w:t>
      </w:r>
      <w:r>
        <w:rPr>
          <w:color w:val="231F20"/>
        </w:rPr>
        <w:t>en el </w:t>
      </w:r>
      <w:r>
        <w:rPr>
          <w:color w:val="231F20"/>
          <w:spacing w:val="2"/>
        </w:rPr>
        <w:t>trabajo: </w:t>
      </w:r>
      <w:r>
        <w:rPr>
          <w:color w:val="231F20"/>
        </w:rPr>
        <w:t>Es </w:t>
      </w:r>
      <w:r>
        <w:rPr>
          <w:color w:val="231F20"/>
          <w:spacing w:val="2"/>
        </w:rPr>
        <w:t>aquella </w:t>
      </w:r>
      <w:r>
        <w:rPr>
          <w:color w:val="231F20"/>
        </w:rPr>
        <w:t>que se </w:t>
      </w:r>
      <w:r>
        <w:rPr>
          <w:color w:val="231F20"/>
          <w:spacing w:val="3"/>
        </w:rPr>
        <w:t>denomina </w:t>
      </w:r>
      <w:r>
        <w:rPr>
          <w:color w:val="231F20"/>
          <w:spacing w:val="2"/>
        </w:rPr>
        <w:t>violencia</w:t>
      </w:r>
      <w:r>
        <w:rPr>
          <w:color w:val="231F20"/>
          <w:spacing w:val="56"/>
        </w:rPr>
        <w:t> </w:t>
      </w:r>
      <w:r>
        <w:rPr>
          <w:color w:val="231F20"/>
          <w:spacing w:val="2"/>
        </w:rPr>
        <w:t>psicológica</w:t>
      </w:r>
      <w:r>
        <w:rPr>
          <w:color w:val="231F20"/>
          <w:spacing w:val="56"/>
        </w:rPr>
        <w:t> </w:t>
      </w:r>
      <w:r>
        <w:rPr>
          <w:color w:val="231F20"/>
          <w:spacing w:val="2"/>
        </w:rPr>
        <w:t>genérica</w:t>
      </w:r>
      <w:r>
        <w:rPr>
          <w:color w:val="231F20"/>
          <w:spacing w:val="56"/>
        </w:rPr>
        <w:t> </w:t>
      </w:r>
      <w:r>
        <w:rPr>
          <w:color w:val="231F20"/>
          <w:spacing w:val="2"/>
        </w:rPr>
        <w:t>porque</w:t>
      </w:r>
      <w:r>
        <w:rPr>
          <w:color w:val="231F20"/>
          <w:spacing w:val="56"/>
        </w:rPr>
        <w:t> </w:t>
      </w:r>
      <w:r>
        <w:rPr>
          <w:color w:val="231F20"/>
        </w:rPr>
        <w:t>se </w:t>
      </w:r>
      <w:r>
        <w:rPr>
          <w:color w:val="231F20"/>
          <w:spacing w:val="2"/>
        </w:rPr>
        <w:t>aplica </w:t>
      </w:r>
      <w:r>
        <w:rPr>
          <w:color w:val="231F20"/>
          <w:spacing w:val="3"/>
        </w:rPr>
        <w:t>indiscriminadamente </w:t>
      </w:r>
      <w:r>
        <w:rPr>
          <w:color w:val="231F20"/>
        </w:rPr>
        <w:t>a la </w:t>
      </w:r>
      <w:r>
        <w:rPr>
          <w:color w:val="231F20"/>
          <w:spacing w:val="2"/>
        </w:rPr>
        <w:t>mayoría </w:t>
      </w:r>
      <w:r>
        <w:rPr>
          <w:color w:val="231F20"/>
        </w:rPr>
        <w:t>de </w:t>
      </w:r>
      <w:r>
        <w:rPr>
          <w:color w:val="231F20"/>
          <w:spacing w:val="2"/>
        </w:rPr>
        <w:t>trabajadores. (Pando- </w:t>
      </w:r>
      <w:r>
        <w:rPr>
          <w:color w:val="231F20"/>
          <w:spacing w:val="3"/>
        </w:rPr>
        <w:t>Moreno, Aranda-Beltrán, Torres-López </w:t>
      </w:r>
      <w:r>
        <w:rPr>
          <w:color w:val="231F20"/>
        </w:rPr>
        <w:t>y </w:t>
      </w:r>
      <w:r>
        <w:rPr>
          <w:color w:val="231F20"/>
          <w:spacing w:val="2"/>
        </w:rPr>
        <w:t>Salazar-Estrada, 2010).</w:t>
      </w:r>
    </w:p>
    <w:p>
      <w:pPr>
        <w:spacing w:after="0" w:line="247" w:lineRule="auto"/>
        <w:jc w:val="both"/>
        <w:sectPr>
          <w:headerReference w:type="default" r:id="rId968"/>
          <w:footerReference w:type="default" r:id="rId969"/>
          <w:pgSz w:w="7830" w:h="11910"/>
          <w:pgMar w:header="0" w:footer="424" w:top="500" w:bottom="620" w:left="920" w:right="900"/>
          <w:pgNumType w:start="441"/>
        </w:sectPr>
      </w:pPr>
    </w:p>
    <w:p>
      <w:pPr>
        <w:spacing w:before="46"/>
        <w:ind w:left="102" w:right="116"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spacing w:before="92"/>
        <w:ind w:left="102" w:right="0" w:firstLine="0"/>
        <w:jc w:val="both"/>
        <w:rPr>
          <w:i/>
          <w:sz w:val="21"/>
        </w:rPr>
      </w:pPr>
      <w:r>
        <w:rPr>
          <w:i/>
          <w:color w:val="231F20"/>
          <w:w w:val="95"/>
          <w:sz w:val="21"/>
        </w:rPr>
        <w:t>Instrumentos</w:t>
      </w:r>
    </w:p>
    <w:p>
      <w:pPr>
        <w:pStyle w:val="BodyText"/>
        <w:spacing w:before="1"/>
        <w:rPr>
          <w:i/>
        </w:rPr>
      </w:pPr>
    </w:p>
    <w:p>
      <w:pPr>
        <w:pStyle w:val="BodyText"/>
        <w:spacing w:line="247" w:lineRule="auto" w:before="1"/>
        <w:ind w:left="101" w:right="116"/>
        <w:jc w:val="both"/>
      </w:pPr>
      <w:r>
        <w:rPr>
          <w:color w:val="231F20"/>
          <w:spacing w:val="4"/>
        </w:rPr>
        <w:t>Inventario </w:t>
      </w:r>
      <w:r>
        <w:rPr>
          <w:color w:val="231F20"/>
          <w:spacing w:val="3"/>
        </w:rPr>
        <w:t>de </w:t>
      </w:r>
      <w:r>
        <w:rPr>
          <w:color w:val="231F20"/>
          <w:spacing w:val="4"/>
        </w:rPr>
        <w:t>Violencia </w:t>
      </w:r>
      <w:r>
        <w:rPr>
          <w:color w:val="231F20"/>
        </w:rPr>
        <w:t>y </w:t>
      </w:r>
      <w:r>
        <w:rPr>
          <w:color w:val="231F20"/>
          <w:spacing w:val="4"/>
        </w:rPr>
        <w:t>Acoso Psicológico </w:t>
      </w:r>
      <w:r>
        <w:rPr>
          <w:color w:val="231F20"/>
          <w:spacing w:val="2"/>
        </w:rPr>
        <w:t>en el </w:t>
      </w:r>
      <w:r>
        <w:rPr>
          <w:color w:val="231F20"/>
          <w:spacing w:val="4"/>
        </w:rPr>
        <w:t>trabajo IVAPT- </w:t>
      </w:r>
      <w:r>
        <w:rPr>
          <w:color w:val="231F20"/>
          <w:spacing w:val="5"/>
        </w:rPr>
        <w:t>Pando-Moreno </w:t>
      </w:r>
      <w:r>
        <w:rPr>
          <w:color w:val="231F20"/>
          <w:spacing w:val="4"/>
        </w:rPr>
        <w:t>(2006), construido </w:t>
      </w:r>
      <w:r>
        <w:rPr>
          <w:color w:val="231F20"/>
        </w:rPr>
        <w:t>y </w:t>
      </w:r>
      <w:r>
        <w:rPr>
          <w:color w:val="231F20"/>
          <w:spacing w:val="4"/>
        </w:rPr>
        <w:t>validado </w:t>
      </w:r>
      <w:r>
        <w:rPr>
          <w:color w:val="231F20"/>
          <w:spacing w:val="2"/>
        </w:rPr>
        <w:t>en </w:t>
      </w:r>
      <w:r>
        <w:rPr>
          <w:color w:val="231F20"/>
          <w:spacing w:val="5"/>
        </w:rPr>
        <w:t>Méxi- </w:t>
      </w:r>
      <w:r>
        <w:rPr>
          <w:color w:val="231F20"/>
          <w:spacing w:val="3"/>
        </w:rPr>
        <w:t>co, </w:t>
      </w:r>
      <w:r>
        <w:rPr>
          <w:color w:val="231F20"/>
          <w:spacing w:val="4"/>
        </w:rPr>
        <w:t>cuenta </w:t>
      </w:r>
      <w:r>
        <w:rPr>
          <w:color w:val="231F20"/>
          <w:spacing w:val="3"/>
        </w:rPr>
        <w:t>con un </w:t>
      </w:r>
      <w:r>
        <w:rPr>
          <w:color w:val="231F20"/>
          <w:spacing w:val="4"/>
        </w:rPr>
        <w:t>coeficiente </w:t>
      </w:r>
      <w:r>
        <w:rPr>
          <w:color w:val="231F20"/>
          <w:spacing w:val="3"/>
        </w:rPr>
        <w:t>alfa de </w:t>
      </w:r>
      <w:r>
        <w:rPr>
          <w:color w:val="231F20"/>
          <w:spacing w:val="4"/>
        </w:rPr>
        <w:t>Cronbach </w:t>
      </w:r>
      <w:r>
        <w:rPr>
          <w:color w:val="231F20"/>
          <w:spacing w:val="3"/>
        </w:rPr>
        <w:t>de </w:t>
      </w:r>
      <w:r>
        <w:rPr>
          <w:color w:val="231F20"/>
          <w:spacing w:val="4"/>
        </w:rPr>
        <w:t>0.911, </w:t>
      </w:r>
      <w:r>
        <w:rPr>
          <w:color w:val="231F20"/>
        </w:rPr>
        <w:t>y </w:t>
      </w:r>
      <w:r>
        <w:rPr>
          <w:color w:val="231F20"/>
          <w:spacing w:val="4"/>
        </w:rPr>
        <w:t>expli- </w:t>
      </w:r>
      <w:r>
        <w:rPr>
          <w:color w:val="231F20"/>
          <w:spacing w:val="2"/>
        </w:rPr>
        <w:t>ca el </w:t>
      </w:r>
      <w:r>
        <w:rPr>
          <w:color w:val="231F20"/>
          <w:spacing w:val="4"/>
        </w:rPr>
        <w:t>53.47% </w:t>
      </w:r>
      <w:r>
        <w:rPr>
          <w:color w:val="231F20"/>
          <w:spacing w:val="3"/>
        </w:rPr>
        <w:t>de</w:t>
      </w:r>
      <w:r>
        <w:rPr>
          <w:color w:val="231F20"/>
          <w:spacing w:val="-25"/>
        </w:rPr>
        <w:t> </w:t>
      </w:r>
      <w:r>
        <w:rPr>
          <w:color w:val="231F20"/>
          <w:spacing w:val="5"/>
        </w:rPr>
        <w:t>varianza.</w:t>
      </w:r>
    </w:p>
    <w:p>
      <w:pPr>
        <w:pStyle w:val="BodyText"/>
        <w:spacing w:before="15"/>
        <w:ind w:left="102" w:right="238"/>
        <w:jc w:val="center"/>
      </w:pPr>
      <w:r>
        <w:rPr>
          <w:color w:val="231F20"/>
        </w:rPr>
        <w:t>Cédula sociodemográfica (datos laborales y demográficos).</w:t>
      </w:r>
    </w:p>
    <w:p>
      <w:pPr>
        <w:pStyle w:val="BodyText"/>
        <w:spacing w:line="247" w:lineRule="auto" w:before="8"/>
        <w:ind w:left="102" w:right="114" w:firstLine="283"/>
        <w:jc w:val="both"/>
      </w:pPr>
      <w:r>
        <w:rPr>
          <w:color w:val="231F20"/>
        </w:rPr>
        <w:t>El IVAPT-Pando-Moreno consta de 22 reactivos con dos se-  ries de opciones cada uno. Los cuales miden la violencia psicoló- gica, la intensidad de la violencia psicológica y el acoso psicológi- co en el trabajo. Existen dos columnas de respuestas: La   columna</w:t>
      </w:r>
    </w:p>
    <w:p>
      <w:pPr>
        <w:pStyle w:val="BodyText"/>
        <w:spacing w:line="247" w:lineRule="auto" w:before="1"/>
        <w:ind w:left="101" w:right="115"/>
        <w:jc w:val="both"/>
      </w:pPr>
      <w:r>
        <w:rPr>
          <w:color w:val="231F20"/>
          <w:spacing w:val="2"/>
        </w:rPr>
        <w:t>(A) que hace referencia </w:t>
      </w:r>
      <w:r>
        <w:rPr>
          <w:color w:val="231F20"/>
        </w:rPr>
        <w:t>a la </w:t>
      </w:r>
      <w:r>
        <w:rPr>
          <w:color w:val="231F20"/>
          <w:spacing w:val="2"/>
        </w:rPr>
        <w:t>frecuencia con </w:t>
      </w:r>
      <w:r>
        <w:rPr>
          <w:color w:val="231F20"/>
        </w:rPr>
        <w:t>la </w:t>
      </w:r>
      <w:r>
        <w:rPr>
          <w:color w:val="231F20"/>
          <w:spacing w:val="2"/>
        </w:rPr>
        <w:t>que ocurren </w:t>
      </w:r>
      <w:r>
        <w:rPr>
          <w:color w:val="231F20"/>
        </w:rPr>
        <w:t>las </w:t>
      </w:r>
      <w:r>
        <w:rPr>
          <w:color w:val="231F20"/>
          <w:spacing w:val="3"/>
        </w:rPr>
        <w:t>con- </w:t>
      </w:r>
      <w:r>
        <w:rPr>
          <w:color w:val="231F20"/>
          <w:spacing w:val="2"/>
        </w:rPr>
        <w:t>ductas que tienen que </w:t>
      </w:r>
      <w:r>
        <w:rPr>
          <w:color w:val="231F20"/>
        </w:rPr>
        <w:t>ver </w:t>
      </w:r>
      <w:r>
        <w:rPr>
          <w:color w:val="231F20"/>
          <w:spacing w:val="2"/>
        </w:rPr>
        <w:t>con </w:t>
      </w:r>
      <w:r>
        <w:rPr>
          <w:color w:val="231F20"/>
        </w:rPr>
        <w:t>la </w:t>
      </w:r>
      <w:r>
        <w:rPr>
          <w:color w:val="231F20"/>
          <w:spacing w:val="2"/>
        </w:rPr>
        <w:t>presencia </w:t>
      </w:r>
      <w:r>
        <w:rPr>
          <w:color w:val="231F20"/>
        </w:rPr>
        <w:t>de la </w:t>
      </w:r>
      <w:r>
        <w:rPr>
          <w:color w:val="231F20"/>
          <w:spacing w:val="2"/>
        </w:rPr>
        <w:t>violencia </w:t>
      </w:r>
      <w:r>
        <w:rPr>
          <w:color w:val="231F20"/>
          <w:spacing w:val="3"/>
        </w:rPr>
        <w:t>psicoló- </w:t>
      </w:r>
      <w:r>
        <w:rPr>
          <w:color w:val="231F20"/>
        </w:rPr>
        <w:t>gica en </w:t>
      </w:r>
      <w:r>
        <w:rPr>
          <w:color w:val="231F20"/>
          <w:spacing w:val="2"/>
        </w:rPr>
        <w:t>general </w:t>
      </w:r>
      <w:r>
        <w:rPr>
          <w:color w:val="231F20"/>
        </w:rPr>
        <w:t>y la </w:t>
      </w:r>
      <w:r>
        <w:rPr>
          <w:color w:val="231F20"/>
          <w:spacing w:val="2"/>
        </w:rPr>
        <w:t>intensidad </w:t>
      </w:r>
      <w:r>
        <w:rPr>
          <w:color w:val="231F20"/>
        </w:rPr>
        <w:t>de la </w:t>
      </w:r>
      <w:r>
        <w:rPr>
          <w:color w:val="231F20"/>
          <w:spacing w:val="2"/>
        </w:rPr>
        <w:t>violencia. Mientras que </w:t>
      </w:r>
      <w:r>
        <w:rPr>
          <w:color w:val="231F20"/>
        </w:rPr>
        <w:t>la </w:t>
      </w:r>
      <w:r>
        <w:rPr>
          <w:color w:val="231F20"/>
          <w:spacing w:val="3"/>
        </w:rPr>
        <w:t>columna </w:t>
      </w:r>
      <w:r>
        <w:rPr>
          <w:color w:val="231F20"/>
        </w:rPr>
        <w:t>B </w:t>
      </w:r>
      <w:r>
        <w:rPr>
          <w:color w:val="231F20"/>
          <w:spacing w:val="2"/>
        </w:rPr>
        <w:t>que </w:t>
      </w:r>
      <w:r>
        <w:rPr>
          <w:color w:val="231F20"/>
          <w:spacing w:val="3"/>
        </w:rPr>
        <w:t>apunta </w:t>
      </w:r>
      <w:r>
        <w:rPr>
          <w:color w:val="231F20"/>
        </w:rPr>
        <w:t>a la </w:t>
      </w:r>
      <w:r>
        <w:rPr>
          <w:color w:val="231F20"/>
          <w:spacing w:val="2"/>
        </w:rPr>
        <w:t>frecuencia </w:t>
      </w:r>
      <w:r>
        <w:rPr>
          <w:color w:val="231F20"/>
        </w:rPr>
        <w:t>de </w:t>
      </w:r>
      <w:r>
        <w:rPr>
          <w:color w:val="231F20"/>
          <w:spacing w:val="2"/>
        </w:rPr>
        <w:t>esas </w:t>
      </w:r>
      <w:r>
        <w:rPr>
          <w:color w:val="231F20"/>
          <w:spacing w:val="3"/>
        </w:rPr>
        <w:t>conductas </w:t>
      </w:r>
      <w:r>
        <w:rPr>
          <w:color w:val="231F20"/>
          <w:spacing w:val="2"/>
        </w:rPr>
        <w:t>pero  ahora con respecto </w:t>
      </w:r>
      <w:r>
        <w:rPr>
          <w:color w:val="231F20"/>
        </w:rPr>
        <w:t>a sus </w:t>
      </w:r>
      <w:r>
        <w:rPr>
          <w:color w:val="231F20"/>
          <w:spacing w:val="3"/>
        </w:rPr>
        <w:t>compañeros </w:t>
      </w:r>
      <w:r>
        <w:rPr>
          <w:color w:val="231F20"/>
        </w:rPr>
        <w:t>de </w:t>
      </w:r>
      <w:r>
        <w:rPr>
          <w:color w:val="231F20"/>
          <w:spacing w:val="2"/>
        </w:rPr>
        <w:t>trabajo. (Véase </w:t>
      </w:r>
      <w:r>
        <w:rPr>
          <w:color w:val="231F20"/>
        </w:rPr>
        <w:t>el </w:t>
      </w:r>
      <w:r>
        <w:rPr>
          <w:color w:val="231F20"/>
          <w:spacing w:val="2"/>
        </w:rPr>
        <w:t>Anexo </w:t>
      </w:r>
      <w:r>
        <w:rPr>
          <w:color w:val="231F20"/>
        </w:rPr>
        <w:t>1).</w:t>
      </w:r>
    </w:p>
    <w:p>
      <w:pPr>
        <w:pStyle w:val="BodyText"/>
        <w:spacing w:line="249" w:lineRule="auto" w:before="1"/>
        <w:ind w:left="101" w:right="115" w:firstLine="284"/>
        <w:jc w:val="both"/>
      </w:pPr>
      <w:r>
        <w:rPr>
          <w:color w:val="231F20"/>
        </w:rPr>
        <w:t>La </w:t>
      </w:r>
      <w:r>
        <w:rPr>
          <w:color w:val="231F20"/>
          <w:spacing w:val="2"/>
        </w:rPr>
        <w:t>violencia psicológica </w:t>
      </w:r>
      <w:r>
        <w:rPr>
          <w:color w:val="231F20"/>
        </w:rPr>
        <w:t>en el </w:t>
      </w:r>
      <w:r>
        <w:rPr>
          <w:color w:val="231F20"/>
          <w:spacing w:val="2"/>
        </w:rPr>
        <w:t>trabajo </w:t>
      </w:r>
      <w:r>
        <w:rPr>
          <w:color w:val="231F20"/>
        </w:rPr>
        <w:t>es </w:t>
      </w:r>
      <w:r>
        <w:rPr>
          <w:color w:val="231F20"/>
          <w:spacing w:val="2"/>
        </w:rPr>
        <w:t>evaluada </w:t>
      </w:r>
      <w:r>
        <w:rPr>
          <w:color w:val="231F20"/>
        </w:rPr>
        <w:t>por las </w:t>
      </w:r>
      <w:r>
        <w:rPr>
          <w:color w:val="231F20"/>
          <w:spacing w:val="3"/>
        </w:rPr>
        <w:t>res- </w:t>
      </w:r>
      <w:r>
        <w:rPr>
          <w:color w:val="231F20"/>
          <w:spacing w:val="2"/>
        </w:rPr>
        <w:t>puestas </w:t>
      </w:r>
      <w:r>
        <w:rPr>
          <w:color w:val="231F20"/>
        </w:rPr>
        <w:t>de la </w:t>
      </w:r>
      <w:r>
        <w:rPr>
          <w:color w:val="231F20"/>
          <w:spacing w:val="3"/>
        </w:rPr>
        <w:t>Columna </w:t>
      </w:r>
      <w:r>
        <w:rPr>
          <w:color w:val="231F20"/>
        </w:rPr>
        <w:t>A. </w:t>
      </w:r>
      <w:r>
        <w:rPr>
          <w:color w:val="231F20"/>
          <w:spacing w:val="2"/>
        </w:rPr>
        <w:t>Las opciones </w:t>
      </w:r>
      <w:r>
        <w:rPr>
          <w:color w:val="231F20"/>
        </w:rPr>
        <w:t>de </w:t>
      </w:r>
      <w:r>
        <w:rPr>
          <w:color w:val="231F20"/>
          <w:spacing w:val="2"/>
        </w:rPr>
        <w:t>respuesta son: muy </w:t>
      </w:r>
      <w:r>
        <w:rPr>
          <w:color w:val="231F20"/>
          <w:spacing w:val="3"/>
        </w:rPr>
        <w:t>frecuentemente, frecuentemente, </w:t>
      </w:r>
      <w:r>
        <w:rPr>
          <w:color w:val="231F20"/>
          <w:spacing w:val="2"/>
        </w:rPr>
        <w:t>algunas veces, casi </w:t>
      </w:r>
      <w:r>
        <w:rPr>
          <w:color w:val="231F20"/>
          <w:spacing w:val="3"/>
        </w:rPr>
        <w:t>nunca </w:t>
      </w:r>
      <w:r>
        <w:rPr>
          <w:color w:val="231F20"/>
        </w:rPr>
        <w:t>y </w:t>
      </w:r>
      <w:r>
        <w:rPr>
          <w:color w:val="231F20"/>
          <w:spacing w:val="3"/>
        </w:rPr>
        <w:t>nun- </w:t>
      </w:r>
      <w:r>
        <w:rPr>
          <w:color w:val="231F20"/>
        </w:rPr>
        <w:t>ca, y se </w:t>
      </w:r>
      <w:r>
        <w:rPr>
          <w:color w:val="231F20"/>
          <w:spacing w:val="3"/>
        </w:rPr>
        <w:t>determinan sumando </w:t>
      </w:r>
      <w:r>
        <w:rPr>
          <w:color w:val="231F20"/>
        </w:rPr>
        <w:t>el </w:t>
      </w:r>
      <w:r>
        <w:rPr>
          <w:color w:val="231F20"/>
          <w:spacing w:val="3"/>
        </w:rPr>
        <w:t>número </w:t>
      </w:r>
      <w:r>
        <w:rPr>
          <w:color w:val="231F20"/>
        </w:rPr>
        <w:t>de </w:t>
      </w:r>
      <w:r>
        <w:rPr>
          <w:color w:val="231F20"/>
          <w:spacing w:val="2"/>
        </w:rPr>
        <w:t>reactivos </w:t>
      </w:r>
      <w:r>
        <w:rPr>
          <w:color w:val="231F20"/>
        </w:rPr>
        <w:t>en que </w:t>
      </w:r>
      <w:r>
        <w:rPr>
          <w:color w:val="231F20"/>
          <w:spacing w:val="3"/>
        </w:rPr>
        <w:t>el </w:t>
      </w:r>
      <w:r>
        <w:rPr>
          <w:color w:val="231F20"/>
          <w:spacing w:val="2"/>
        </w:rPr>
        <w:t>sujeto contestó cualquier cosa diferente </w:t>
      </w:r>
      <w:r>
        <w:rPr>
          <w:color w:val="231F20"/>
        </w:rPr>
        <w:t>a </w:t>
      </w:r>
      <w:r>
        <w:rPr>
          <w:color w:val="231F20"/>
          <w:spacing w:val="2"/>
        </w:rPr>
        <w:t>"nunca", cualquiera </w:t>
      </w:r>
      <w:r>
        <w:rPr>
          <w:color w:val="231F20"/>
        </w:rPr>
        <w:t>de  las </w:t>
      </w:r>
      <w:r>
        <w:rPr>
          <w:color w:val="231F20"/>
          <w:spacing w:val="2"/>
        </w:rPr>
        <w:t>otras respuestas posibles indica que </w:t>
      </w:r>
      <w:r>
        <w:rPr>
          <w:color w:val="231F20"/>
        </w:rPr>
        <w:t>la </w:t>
      </w:r>
      <w:r>
        <w:rPr>
          <w:color w:val="231F20"/>
          <w:spacing w:val="3"/>
        </w:rPr>
        <w:t>conducta </w:t>
      </w:r>
      <w:r>
        <w:rPr>
          <w:color w:val="231F20"/>
          <w:spacing w:val="2"/>
        </w:rPr>
        <w:t>violenta está presente </w:t>
      </w:r>
      <w:r>
        <w:rPr>
          <w:color w:val="231F20"/>
        </w:rPr>
        <w:t>y </w:t>
      </w:r>
      <w:r>
        <w:rPr>
          <w:color w:val="231F20"/>
          <w:spacing w:val="2"/>
        </w:rPr>
        <w:t>señalará </w:t>
      </w:r>
      <w:r>
        <w:rPr>
          <w:color w:val="231F20"/>
          <w:spacing w:val="3"/>
        </w:rPr>
        <w:t>como </w:t>
      </w:r>
      <w:r>
        <w:rPr>
          <w:color w:val="231F20"/>
          <w:spacing w:val="2"/>
        </w:rPr>
        <w:t>"positivo" </w:t>
      </w:r>
      <w:r>
        <w:rPr>
          <w:color w:val="231F20"/>
        </w:rPr>
        <w:t>el</w:t>
      </w:r>
      <w:r>
        <w:rPr>
          <w:color w:val="231F20"/>
          <w:spacing w:val="17"/>
        </w:rPr>
        <w:t> </w:t>
      </w:r>
      <w:r>
        <w:rPr>
          <w:color w:val="231F20"/>
          <w:spacing w:val="2"/>
        </w:rPr>
        <w:t>ítem.</w:t>
      </w:r>
    </w:p>
    <w:p>
      <w:pPr>
        <w:pStyle w:val="BodyText"/>
        <w:spacing w:line="247" w:lineRule="auto"/>
        <w:ind w:left="101" w:right="116" w:firstLine="284"/>
        <w:jc w:val="both"/>
      </w:pPr>
      <w:r>
        <w:rPr>
          <w:color w:val="231F20"/>
        </w:rPr>
        <w:t>La </w:t>
      </w:r>
      <w:r>
        <w:rPr>
          <w:color w:val="231F20"/>
          <w:spacing w:val="2"/>
        </w:rPr>
        <w:t>presencia </w:t>
      </w:r>
      <w:r>
        <w:rPr>
          <w:color w:val="231F20"/>
        </w:rPr>
        <w:t>de la </w:t>
      </w:r>
      <w:r>
        <w:rPr>
          <w:color w:val="231F20"/>
          <w:spacing w:val="2"/>
        </w:rPr>
        <w:t>violencia psicológica será </w:t>
      </w:r>
      <w:r>
        <w:rPr>
          <w:color w:val="231F20"/>
          <w:spacing w:val="3"/>
        </w:rPr>
        <w:t>considerada </w:t>
      </w:r>
      <w:r>
        <w:rPr>
          <w:color w:val="231F20"/>
          <w:spacing w:val="2"/>
        </w:rPr>
        <w:t>como </w:t>
      </w:r>
      <w:r>
        <w:rPr>
          <w:color w:val="231F20"/>
        </w:rPr>
        <w:t>alta </w:t>
      </w:r>
      <w:r>
        <w:rPr>
          <w:color w:val="231F20"/>
          <w:spacing w:val="2"/>
        </w:rPr>
        <w:t>con </w:t>
      </w:r>
      <w:r>
        <w:rPr>
          <w:color w:val="231F20"/>
        </w:rPr>
        <w:t>5 o </w:t>
      </w:r>
      <w:r>
        <w:rPr>
          <w:color w:val="231F20"/>
          <w:spacing w:val="2"/>
        </w:rPr>
        <w:t>más reactivos contabilizados positivos; media, entre </w:t>
      </w:r>
      <w:r>
        <w:rPr>
          <w:color w:val="231F20"/>
        </w:rPr>
        <w:t>1 y 4 </w:t>
      </w:r>
      <w:r>
        <w:rPr>
          <w:color w:val="231F20"/>
          <w:spacing w:val="2"/>
        </w:rPr>
        <w:t>reactivos positivos; </w:t>
      </w:r>
      <w:r>
        <w:rPr>
          <w:color w:val="231F20"/>
        </w:rPr>
        <w:t>y </w:t>
      </w:r>
      <w:r>
        <w:rPr>
          <w:color w:val="231F20"/>
          <w:spacing w:val="2"/>
        </w:rPr>
        <w:t>nula, </w:t>
      </w:r>
      <w:r>
        <w:rPr>
          <w:color w:val="231F20"/>
          <w:spacing w:val="3"/>
        </w:rPr>
        <w:t>ninguno </w:t>
      </w:r>
      <w:r>
        <w:rPr>
          <w:color w:val="231F20"/>
        </w:rPr>
        <w:t>de </w:t>
      </w:r>
      <w:r>
        <w:rPr>
          <w:color w:val="231F20"/>
          <w:spacing w:val="2"/>
        </w:rPr>
        <w:t>los reactivos </w:t>
      </w:r>
      <w:r>
        <w:rPr>
          <w:color w:val="231F20"/>
        </w:rPr>
        <w:t>es </w:t>
      </w:r>
      <w:r>
        <w:rPr>
          <w:color w:val="231F20"/>
          <w:spacing w:val="2"/>
        </w:rPr>
        <w:t>califica- </w:t>
      </w:r>
      <w:r>
        <w:rPr>
          <w:color w:val="231F20"/>
        </w:rPr>
        <w:t>do </w:t>
      </w:r>
      <w:r>
        <w:rPr>
          <w:color w:val="231F20"/>
          <w:spacing w:val="3"/>
        </w:rPr>
        <w:t>como</w:t>
      </w:r>
      <w:r>
        <w:rPr>
          <w:color w:val="231F20"/>
          <w:spacing w:val="30"/>
        </w:rPr>
        <w:t> </w:t>
      </w:r>
      <w:r>
        <w:rPr>
          <w:color w:val="231F20"/>
          <w:spacing w:val="3"/>
        </w:rPr>
        <w:t>positivo.</w:t>
      </w:r>
    </w:p>
    <w:p>
      <w:pPr>
        <w:pStyle w:val="BodyText"/>
        <w:spacing w:line="249" w:lineRule="auto" w:before="1"/>
        <w:ind w:left="101" w:right="116" w:firstLine="284"/>
        <w:jc w:val="both"/>
      </w:pPr>
      <w:r>
        <w:rPr>
          <w:color w:val="231F20"/>
        </w:rPr>
        <w:t>La intensidad de la violencia se obtiene otorgando, a las res- puestas proporcionadas por el sujeto, el siguiente puntaje (Co- lumna A), de acuerdo a la siguiente escala: Muy frecuentemente = 4,  frecuentemente= 3,  algunas veces =  2,  casi nunca= 1,  nunca=</w:t>
      </w:r>
    </w:p>
    <w:p>
      <w:pPr>
        <w:pStyle w:val="BodyText"/>
        <w:spacing w:line="247" w:lineRule="auto"/>
        <w:ind w:left="101" w:right="119"/>
        <w:jc w:val="both"/>
      </w:pPr>
      <w:r>
        <w:rPr>
          <w:color w:val="231F20"/>
        </w:rPr>
        <w:t>0. Se consideraalta intensidad a 45 o más puntos, mediana intensi- dad 23 a 44 puntos, baja intensidad 1 a 22 puntos, y nula con cero puntos.</w:t>
      </w:r>
    </w:p>
    <w:p>
      <w:pPr>
        <w:pStyle w:val="BodyText"/>
        <w:spacing w:line="247" w:lineRule="auto" w:before="1"/>
        <w:ind w:left="101" w:right="116" w:firstLine="284"/>
        <w:jc w:val="both"/>
      </w:pPr>
      <w:r>
        <w:rPr>
          <w:color w:val="231F20"/>
        </w:rPr>
        <w:t>El </w:t>
      </w:r>
      <w:r>
        <w:rPr>
          <w:color w:val="231F20"/>
          <w:spacing w:val="2"/>
        </w:rPr>
        <w:t>acoso psicológico </w:t>
      </w:r>
      <w:r>
        <w:rPr>
          <w:color w:val="231F20"/>
        </w:rPr>
        <w:t>en el </w:t>
      </w:r>
      <w:r>
        <w:rPr>
          <w:color w:val="231F20"/>
          <w:spacing w:val="2"/>
        </w:rPr>
        <w:t>trabajo </w:t>
      </w:r>
      <w:r>
        <w:rPr>
          <w:color w:val="231F20"/>
        </w:rPr>
        <w:t>se </w:t>
      </w:r>
      <w:r>
        <w:rPr>
          <w:color w:val="231F20"/>
          <w:spacing w:val="2"/>
        </w:rPr>
        <w:t>cuantifica </w:t>
      </w:r>
      <w:r>
        <w:rPr>
          <w:color w:val="231F20"/>
        </w:rPr>
        <w:t>a </w:t>
      </w:r>
      <w:r>
        <w:rPr>
          <w:color w:val="231F20"/>
          <w:spacing w:val="2"/>
        </w:rPr>
        <w:t>partir </w:t>
      </w:r>
      <w:r>
        <w:rPr>
          <w:color w:val="231F20"/>
        </w:rPr>
        <w:t>de </w:t>
      </w:r>
      <w:r>
        <w:rPr>
          <w:color w:val="231F20"/>
          <w:spacing w:val="2"/>
        </w:rPr>
        <w:t>las respuestas </w:t>
      </w:r>
      <w:r>
        <w:rPr>
          <w:color w:val="231F20"/>
          <w:spacing w:val="3"/>
        </w:rPr>
        <w:t>obtenidas </w:t>
      </w:r>
      <w:r>
        <w:rPr>
          <w:color w:val="231F20"/>
        </w:rPr>
        <w:t>en la </w:t>
      </w:r>
      <w:r>
        <w:rPr>
          <w:color w:val="231F20"/>
          <w:spacing w:val="2"/>
        </w:rPr>
        <w:t>segunda serie </w:t>
      </w:r>
      <w:r>
        <w:rPr>
          <w:color w:val="231F20"/>
        </w:rPr>
        <w:t>de </w:t>
      </w:r>
      <w:r>
        <w:rPr>
          <w:color w:val="231F20"/>
          <w:spacing w:val="3"/>
        </w:rPr>
        <w:t>opciones </w:t>
      </w:r>
      <w:r>
        <w:rPr>
          <w:color w:val="231F20"/>
        </w:rPr>
        <w:t>de </w:t>
      </w:r>
      <w:r>
        <w:rPr>
          <w:color w:val="231F20"/>
          <w:spacing w:val="2"/>
        </w:rPr>
        <w:t>cada </w:t>
      </w:r>
      <w:r>
        <w:rPr>
          <w:color w:val="231F20"/>
        </w:rPr>
        <w:t>ítem  o </w:t>
      </w:r>
      <w:r>
        <w:rPr>
          <w:color w:val="231F20"/>
          <w:spacing w:val="2"/>
        </w:rPr>
        <w:t>reactivo </w:t>
      </w:r>
      <w:r>
        <w:rPr>
          <w:color w:val="231F20"/>
          <w:spacing w:val="3"/>
        </w:rPr>
        <w:t>(Columna </w:t>
      </w:r>
      <w:r>
        <w:rPr>
          <w:color w:val="231F20"/>
          <w:spacing w:val="2"/>
        </w:rPr>
        <w:t>B): </w:t>
      </w:r>
      <w:r>
        <w:rPr>
          <w:color w:val="231F20"/>
          <w:spacing w:val="3"/>
        </w:rPr>
        <w:t>“Menos </w:t>
      </w:r>
      <w:r>
        <w:rPr>
          <w:color w:val="231F20"/>
        </w:rPr>
        <w:t>que </w:t>
      </w:r>
      <w:r>
        <w:rPr>
          <w:color w:val="231F20"/>
          <w:spacing w:val="2"/>
        </w:rPr>
        <w:t>mis  </w:t>
      </w:r>
      <w:r>
        <w:rPr>
          <w:color w:val="231F20"/>
          <w:spacing w:val="3"/>
        </w:rPr>
        <w:t>compañeros”, “Igual  </w:t>
      </w:r>
      <w:r>
        <w:rPr>
          <w:color w:val="231F20"/>
        </w:rPr>
        <w:t>que </w:t>
      </w:r>
      <w:r>
        <w:rPr>
          <w:color w:val="231F20"/>
          <w:spacing w:val="2"/>
        </w:rPr>
        <w:t>mis </w:t>
      </w:r>
      <w:r>
        <w:rPr>
          <w:color w:val="231F20"/>
          <w:spacing w:val="3"/>
        </w:rPr>
        <w:t>compañeros", </w:t>
      </w:r>
      <w:r>
        <w:rPr>
          <w:color w:val="231F20"/>
          <w:spacing w:val="2"/>
        </w:rPr>
        <w:t>"Más </w:t>
      </w:r>
      <w:r>
        <w:rPr>
          <w:color w:val="231F20"/>
        </w:rPr>
        <w:t>que al </w:t>
      </w:r>
      <w:r>
        <w:rPr>
          <w:color w:val="231F20"/>
          <w:spacing w:val="2"/>
        </w:rPr>
        <w:t>resto </w:t>
      </w:r>
      <w:r>
        <w:rPr>
          <w:color w:val="231F20"/>
        </w:rPr>
        <w:t>de </w:t>
      </w:r>
      <w:r>
        <w:rPr>
          <w:color w:val="231F20"/>
          <w:spacing w:val="2"/>
        </w:rPr>
        <w:t>mis </w:t>
      </w:r>
      <w:r>
        <w:rPr>
          <w:color w:val="231F20"/>
          <w:spacing w:val="13"/>
        </w:rPr>
        <w:t> </w:t>
      </w:r>
      <w:r>
        <w:rPr>
          <w:color w:val="231F20"/>
          <w:spacing w:val="3"/>
        </w:rPr>
        <w:t>compañeros".</w:t>
      </w:r>
    </w:p>
    <w:p>
      <w:pPr>
        <w:spacing w:after="0" w:line="247" w:lineRule="auto"/>
        <w:jc w:val="both"/>
        <w:sectPr>
          <w:headerReference w:type="default" r:id="rId970"/>
          <w:footerReference w:type="default" r:id="rId971"/>
          <w:pgSz w:w="7830" w:h="11910"/>
          <w:pgMar w:header="0" w:footer="424" w:top="500" w:bottom="620" w:left="920" w:right="900"/>
          <w:pgNumType w:start="442"/>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rPr>
          <w:sz w:val="16"/>
        </w:rPr>
      </w:pPr>
    </w:p>
    <w:p>
      <w:pPr>
        <w:pStyle w:val="BodyText"/>
        <w:spacing w:line="247" w:lineRule="auto" w:before="92"/>
        <w:ind w:left="101" w:right="119" w:firstLine="284"/>
        <w:jc w:val="both"/>
      </w:pPr>
      <w:r>
        <w:rPr>
          <w:color w:val="231F20"/>
        </w:rPr>
        <w:t>En </w:t>
      </w:r>
      <w:r>
        <w:rPr>
          <w:color w:val="231F20"/>
          <w:spacing w:val="2"/>
        </w:rPr>
        <w:t>este caso </w:t>
      </w:r>
      <w:r>
        <w:rPr>
          <w:color w:val="231F20"/>
        </w:rPr>
        <w:t>se </w:t>
      </w:r>
      <w:r>
        <w:rPr>
          <w:color w:val="231F20"/>
          <w:spacing w:val="2"/>
        </w:rPr>
        <w:t>contabiliza </w:t>
      </w:r>
      <w:r>
        <w:rPr>
          <w:color w:val="231F20"/>
          <w:spacing w:val="3"/>
        </w:rPr>
        <w:t>solamente </w:t>
      </w:r>
      <w:r>
        <w:rPr>
          <w:color w:val="231F20"/>
        </w:rPr>
        <w:t>el </w:t>
      </w:r>
      <w:r>
        <w:rPr>
          <w:color w:val="231F20"/>
          <w:spacing w:val="2"/>
        </w:rPr>
        <w:t>número </w:t>
      </w:r>
      <w:r>
        <w:rPr>
          <w:color w:val="231F20"/>
        </w:rPr>
        <w:t>de </w:t>
      </w:r>
      <w:r>
        <w:rPr>
          <w:color w:val="231F20"/>
          <w:spacing w:val="2"/>
        </w:rPr>
        <w:t>veces </w:t>
      </w:r>
      <w:r>
        <w:rPr>
          <w:color w:val="231F20"/>
        </w:rPr>
        <w:t>que   el </w:t>
      </w:r>
      <w:r>
        <w:rPr>
          <w:color w:val="231F20"/>
          <w:spacing w:val="2"/>
        </w:rPr>
        <w:t>trabajador haya </w:t>
      </w:r>
      <w:r>
        <w:rPr>
          <w:color w:val="231F20"/>
          <w:spacing w:val="3"/>
        </w:rPr>
        <w:t>contestado </w:t>
      </w:r>
      <w:r>
        <w:rPr>
          <w:color w:val="231F20"/>
          <w:spacing w:val="2"/>
        </w:rPr>
        <w:t>"Más </w:t>
      </w:r>
      <w:r>
        <w:rPr>
          <w:color w:val="231F20"/>
        </w:rPr>
        <w:t>que al </w:t>
      </w:r>
      <w:r>
        <w:rPr>
          <w:color w:val="231F20"/>
          <w:spacing w:val="2"/>
        </w:rPr>
        <w:t>resto </w:t>
      </w:r>
      <w:r>
        <w:rPr>
          <w:color w:val="231F20"/>
        </w:rPr>
        <w:t>de </w:t>
      </w:r>
      <w:r>
        <w:rPr>
          <w:color w:val="231F20"/>
          <w:spacing w:val="2"/>
        </w:rPr>
        <w:t>mis </w:t>
      </w:r>
      <w:r>
        <w:rPr>
          <w:color w:val="231F20"/>
          <w:spacing w:val="3"/>
        </w:rPr>
        <w:t>compañe- </w:t>
      </w:r>
      <w:r>
        <w:rPr>
          <w:color w:val="231F20"/>
          <w:spacing w:val="2"/>
        </w:rPr>
        <w:t>ros", </w:t>
      </w:r>
      <w:r>
        <w:rPr>
          <w:color w:val="231F20"/>
        </w:rPr>
        <w:t>y se </w:t>
      </w:r>
      <w:r>
        <w:rPr>
          <w:color w:val="231F20"/>
          <w:spacing w:val="2"/>
        </w:rPr>
        <w:t>otorga </w:t>
      </w:r>
      <w:r>
        <w:rPr>
          <w:color w:val="231F20"/>
        </w:rPr>
        <w:t>un </w:t>
      </w:r>
      <w:r>
        <w:rPr>
          <w:color w:val="231F20"/>
          <w:spacing w:val="2"/>
        </w:rPr>
        <w:t>punto por cada </w:t>
      </w:r>
      <w:r>
        <w:rPr>
          <w:color w:val="231F20"/>
          <w:spacing w:val="18"/>
        </w:rPr>
        <w:t> </w:t>
      </w:r>
      <w:r>
        <w:rPr>
          <w:color w:val="231F20"/>
          <w:spacing w:val="3"/>
        </w:rPr>
        <w:t>vez.</w:t>
      </w:r>
    </w:p>
    <w:p>
      <w:pPr>
        <w:pStyle w:val="BodyText"/>
        <w:spacing w:line="249" w:lineRule="auto" w:before="1"/>
        <w:ind w:left="101" w:right="115" w:firstLine="284"/>
        <w:jc w:val="both"/>
      </w:pPr>
      <w:r>
        <w:rPr>
          <w:color w:val="231F20"/>
        </w:rPr>
        <w:t>Los casos que se anulan son en los que el trabajador haya con- testado "Más que al resto de mis compañeros" y que la respuesta a la primera serie de opciones haya sido "Nunca", pues sería una situación incongruente y debe sospecharse que las instrucciones o el instrumento mismo, no fueron  comprendidos.</w:t>
      </w:r>
    </w:p>
    <w:p>
      <w:pPr>
        <w:pStyle w:val="BodyText"/>
        <w:spacing w:line="247" w:lineRule="auto"/>
        <w:ind w:left="101" w:right="117" w:firstLine="284"/>
        <w:jc w:val="both"/>
      </w:pPr>
      <w:r>
        <w:rPr>
          <w:color w:val="231F20"/>
        </w:rPr>
        <w:t>La presencia del acoso psicológico en el trabajador debe con- siderarse como: Nula o baja, de cero a 3 puntos; media de 4 a 7 puntos; y alta de 8 a 10 puntos.</w:t>
      </w:r>
    </w:p>
    <w:p>
      <w:pPr>
        <w:pStyle w:val="BodyText"/>
        <w:spacing w:before="9"/>
      </w:pPr>
    </w:p>
    <w:p>
      <w:pPr>
        <w:spacing w:before="0"/>
        <w:ind w:left="101" w:right="0" w:firstLine="0"/>
        <w:jc w:val="both"/>
        <w:rPr>
          <w:i/>
          <w:sz w:val="21"/>
        </w:rPr>
      </w:pPr>
      <w:r>
        <w:rPr>
          <w:i/>
          <w:color w:val="231F20"/>
          <w:w w:val="90"/>
          <w:sz w:val="21"/>
        </w:rPr>
        <w:t>Procedimiento</w:t>
      </w:r>
    </w:p>
    <w:p>
      <w:pPr>
        <w:pStyle w:val="BodyText"/>
        <w:spacing w:before="1"/>
        <w:rPr>
          <w:i/>
        </w:rPr>
      </w:pPr>
    </w:p>
    <w:p>
      <w:pPr>
        <w:pStyle w:val="BodyText"/>
        <w:spacing w:line="247" w:lineRule="auto" w:before="1"/>
        <w:ind w:left="101" w:right="114"/>
        <w:jc w:val="both"/>
      </w:pPr>
      <w:r>
        <w:rPr>
          <w:color w:val="231F20"/>
        </w:rPr>
        <w:t>El proyecto se planteó con las autoridades respectivas para ver la factibilidad de citar a los docentes a una reunión y así explicarles la importancia de su participación, enfatizando que el objetivo de la investigación permitiría conocer la salud laboral en sus respectivas áreas. Esto no fue posible y únicamente antes del estudio se colocó un aviso en la dirección del instituto en el que se les invitaba a colaborar de manera voluntaria. Por esta razón se procedió a ir con cada uno de los profesores. Además se puntualizó sobre la confidencialidad de los datos que se les solicitaban, y la forma de  dar respuesta a los instrumentos, después se procedió a localizarlos en sus respectivos</w:t>
      </w:r>
      <w:r>
        <w:rPr>
          <w:color w:val="231F20"/>
          <w:spacing w:val="17"/>
        </w:rPr>
        <w:t> </w:t>
      </w:r>
      <w:r>
        <w:rPr>
          <w:color w:val="231F20"/>
        </w:rPr>
        <w:t>horarios.</w:t>
      </w:r>
    </w:p>
    <w:p>
      <w:pPr>
        <w:pStyle w:val="BodyText"/>
        <w:spacing w:line="249" w:lineRule="auto" w:before="10"/>
        <w:ind w:left="101" w:right="118" w:firstLine="284"/>
        <w:jc w:val="both"/>
      </w:pPr>
      <w:r>
        <w:rPr>
          <w:color w:val="231F20"/>
        </w:rPr>
        <w:t>Se </w:t>
      </w:r>
      <w:r>
        <w:rPr>
          <w:color w:val="231F20"/>
          <w:spacing w:val="2"/>
        </w:rPr>
        <w:t>estimó </w:t>
      </w:r>
      <w:r>
        <w:rPr>
          <w:color w:val="231F20"/>
        </w:rPr>
        <w:t>que la </w:t>
      </w:r>
      <w:r>
        <w:rPr>
          <w:color w:val="231F20"/>
          <w:spacing w:val="2"/>
        </w:rPr>
        <w:t>población fuera por censo </w:t>
      </w:r>
      <w:r>
        <w:rPr>
          <w:color w:val="231F20"/>
        </w:rPr>
        <w:t>(91 </w:t>
      </w:r>
      <w:r>
        <w:rPr>
          <w:color w:val="231F20"/>
          <w:spacing w:val="3"/>
        </w:rPr>
        <w:t>profesores), </w:t>
      </w:r>
      <w:r>
        <w:rPr>
          <w:color w:val="231F20"/>
        </w:rPr>
        <w:t>sin </w:t>
      </w:r>
      <w:r>
        <w:rPr>
          <w:color w:val="231F20"/>
          <w:spacing w:val="3"/>
        </w:rPr>
        <w:t>embargo, </w:t>
      </w:r>
      <w:r>
        <w:rPr>
          <w:color w:val="231F20"/>
        </w:rPr>
        <w:t>se </w:t>
      </w:r>
      <w:r>
        <w:rPr>
          <w:color w:val="231F20"/>
          <w:spacing w:val="2"/>
        </w:rPr>
        <w:t>obtuvieron solo  </w:t>
      </w:r>
      <w:r>
        <w:rPr>
          <w:color w:val="231F20"/>
        </w:rPr>
        <w:t>65  </w:t>
      </w:r>
      <w:r>
        <w:rPr>
          <w:color w:val="231F20"/>
          <w:spacing w:val="3"/>
        </w:rPr>
        <w:t>cuestionarioscompletos,</w:t>
      </w:r>
      <w:r>
        <w:rPr>
          <w:color w:val="231F20"/>
          <w:spacing w:val="58"/>
        </w:rPr>
        <w:t> </w:t>
      </w:r>
      <w:r>
        <w:rPr>
          <w:color w:val="231F20"/>
        </w:rPr>
        <w:t>las </w:t>
      </w:r>
      <w:r>
        <w:rPr>
          <w:color w:val="231F20"/>
          <w:spacing w:val="2"/>
        </w:rPr>
        <w:t>causas </w:t>
      </w:r>
      <w:r>
        <w:rPr>
          <w:color w:val="231F20"/>
        </w:rPr>
        <w:t>de esto </w:t>
      </w:r>
      <w:r>
        <w:rPr>
          <w:color w:val="231F20"/>
          <w:spacing w:val="2"/>
        </w:rPr>
        <w:t>fueron múltiples: algunos sujetos </w:t>
      </w:r>
      <w:r>
        <w:rPr>
          <w:color w:val="231F20"/>
        </w:rPr>
        <w:t>se </w:t>
      </w:r>
      <w:r>
        <w:rPr>
          <w:color w:val="231F20"/>
          <w:spacing w:val="2"/>
        </w:rPr>
        <w:t>negaron </w:t>
      </w:r>
      <w:r>
        <w:rPr>
          <w:color w:val="231F20"/>
        </w:rPr>
        <w:t>a </w:t>
      </w:r>
      <w:r>
        <w:rPr>
          <w:color w:val="231F20"/>
          <w:spacing w:val="2"/>
        </w:rPr>
        <w:t>participar, otros olvidaban </w:t>
      </w:r>
      <w:r>
        <w:rPr>
          <w:color w:val="231F20"/>
        </w:rPr>
        <w:t>el  </w:t>
      </w:r>
      <w:r>
        <w:rPr>
          <w:color w:val="231F20"/>
          <w:spacing w:val="2"/>
        </w:rPr>
        <w:t>inventario, unos más </w:t>
      </w:r>
      <w:r>
        <w:rPr>
          <w:color w:val="231F20"/>
          <w:spacing w:val="3"/>
        </w:rPr>
        <w:t>respondieron</w:t>
      </w:r>
      <w:r>
        <w:rPr>
          <w:color w:val="231F20"/>
          <w:spacing w:val="58"/>
        </w:rPr>
        <w:t> </w:t>
      </w:r>
      <w:r>
        <w:rPr>
          <w:color w:val="231F20"/>
        </w:rPr>
        <w:t>de </w:t>
      </w:r>
      <w:r>
        <w:rPr>
          <w:color w:val="231F20"/>
          <w:spacing w:val="3"/>
        </w:rPr>
        <w:t>manera incompleta </w:t>
      </w:r>
      <w:r>
        <w:rPr>
          <w:color w:val="231F20"/>
        </w:rPr>
        <w:t>o no </w:t>
      </w:r>
      <w:r>
        <w:rPr>
          <w:color w:val="231F20"/>
          <w:spacing w:val="2"/>
        </w:rPr>
        <w:t>devolvieron </w:t>
      </w:r>
      <w:r>
        <w:rPr>
          <w:color w:val="231F20"/>
        </w:rPr>
        <w:t>el </w:t>
      </w:r>
      <w:r>
        <w:rPr>
          <w:color w:val="231F20"/>
          <w:spacing w:val="11"/>
        </w:rPr>
        <w:t> </w:t>
      </w:r>
      <w:r>
        <w:rPr>
          <w:color w:val="231F20"/>
          <w:spacing w:val="3"/>
        </w:rPr>
        <w:t>instrumento.</w:t>
      </w:r>
    </w:p>
    <w:p>
      <w:pPr>
        <w:pStyle w:val="BodyText"/>
        <w:spacing w:line="247" w:lineRule="auto"/>
        <w:ind w:left="101" w:right="119" w:firstLine="341"/>
        <w:jc w:val="both"/>
      </w:pPr>
      <w:r>
        <w:rPr>
          <w:color w:val="231F20"/>
        </w:rPr>
        <w:t>Obstáculos de la investigación: período vacacional en el que suspendió la aplicación que, de una u otra manera, obstaculizó el seguimiento de los docentes.</w:t>
      </w:r>
    </w:p>
    <w:p>
      <w:pPr>
        <w:pStyle w:val="BodyText"/>
        <w:rPr>
          <w:sz w:val="22"/>
        </w:rPr>
      </w:pPr>
    </w:p>
    <w:p>
      <w:pPr>
        <w:pStyle w:val="BodyText"/>
        <w:spacing w:before="6"/>
      </w:pPr>
    </w:p>
    <w:p>
      <w:pPr>
        <w:spacing w:before="0"/>
        <w:ind w:left="101" w:right="0" w:firstLine="0"/>
        <w:jc w:val="both"/>
        <w:rPr>
          <w:i/>
          <w:sz w:val="21"/>
        </w:rPr>
      </w:pPr>
      <w:r>
        <w:rPr>
          <w:i/>
          <w:color w:val="231F20"/>
          <w:w w:val="85"/>
          <w:sz w:val="21"/>
        </w:rPr>
        <w:t>Análisis estadístico</w:t>
      </w:r>
    </w:p>
    <w:p>
      <w:pPr>
        <w:pStyle w:val="BodyText"/>
        <w:spacing w:before="1"/>
        <w:rPr>
          <w:i/>
        </w:rPr>
      </w:pPr>
    </w:p>
    <w:p>
      <w:pPr>
        <w:pStyle w:val="BodyText"/>
        <w:spacing w:line="247" w:lineRule="auto" w:before="1"/>
        <w:ind w:left="101" w:right="117"/>
        <w:jc w:val="both"/>
      </w:pPr>
      <w:r>
        <w:rPr>
          <w:color w:val="231F20"/>
        </w:rPr>
        <w:t>Se utilizó el programa Statistical Package for the Social Sciences (SPSS), versión 15, en donde la prueba de chi cuadrada permitió</w:t>
      </w:r>
    </w:p>
    <w:p>
      <w:pPr>
        <w:spacing w:after="0" w:line="247" w:lineRule="auto"/>
        <w:jc w:val="both"/>
        <w:sectPr>
          <w:headerReference w:type="default" r:id="rId972"/>
          <w:footerReference w:type="default" r:id="rId973"/>
          <w:pgSz w:w="7830" w:h="11910"/>
          <w:pgMar w:header="0" w:footer="424" w:top="500" w:bottom="620" w:left="920" w:right="900"/>
          <w:pgNumType w:start="443"/>
        </w:sectPr>
      </w:pPr>
    </w:p>
    <w:p>
      <w:pPr>
        <w:spacing w:before="46"/>
        <w:ind w:left="102" w:right="116" w:firstLine="0"/>
        <w:jc w:val="center"/>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pStyle w:val="BodyText"/>
        <w:spacing w:line="244" w:lineRule="auto"/>
        <w:ind w:left="102" w:right="117"/>
        <w:jc w:val="both"/>
      </w:pPr>
      <w:r>
        <w:rPr>
          <w:color w:val="231F20"/>
        </w:rPr>
        <w:t>determinar la asociación entre la cedula de datos sociodemográficos y la prevalencia de violencia psicológica, intensidad de violencia psicológica, y acoso psicológico en el trabajo.</w:t>
      </w:r>
    </w:p>
    <w:p>
      <w:pPr>
        <w:pStyle w:val="BodyText"/>
        <w:spacing w:before="3"/>
        <w:rPr>
          <w:sz w:val="23"/>
        </w:rPr>
      </w:pPr>
    </w:p>
    <w:p>
      <w:pPr>
        <w:pStyle w:val="BodyText"/>
        <w:ind w:left="102"/>
        <w:jc w:val="both"/>
      </w:pPr>
      <w:r>
        <w:rPr>
          <w:color w:val="231F20"/>
        </w:rPr>
        <w:t>RESULTADOS</w:t>
      </w:r>
    </w:p>
    <w:p>
      <w:pPr>
        <w:pStyle w:val="BodyText"/>
        <w:spacing w:before="1"/>
      </w:pPr>
    </w:p>
    <w:p>
      <w:pPr>
        <w:pStyle w:val="BodyText"/>
        <w:spacing w:line="244" w:lineRule="auto" w:before="1"/>
        <w:ind w:left="102" w:right="116"/>
        <w:jc w:val="both"/>
      </w:pPr>
      <w:r>
        <w:rPr>
          <w:color w:val="231F20"/>
        </w:rPr>
        <w:t>En cuanto a datos sociodemográficos tenemos que las edades fluctuaron entre 23 y 73 años con una edad promedio de 44 años, la moda es de 47 años.</w:t>
      </w:r>
    </w:p>
    <w:p>
      <w:pPr>
        <w:pStyle w:val="BodyText"/>
        <w:spacing w:line="247" w:lineRule="auto" w:before="18"/>
        <w:ind w:left="102" w:right="116" w:firstLine="284"/>
        <w:jc w:val="both"/>
      </w:pPr>
      <w:r>
        <w:rPr>
          <w:color w:val="231F20"/>
        </w:rPr>
        <w:t>El género masculino representa el 49%, mientras que el 51% corresponde al género femenino.</w:t>
      </w:r>
    </w:p>
    <w:p>
      <w:pPr>
        <w:pStyle w:val="BodyText"/>
        <w:spacing w:line="247" w:lineRule="auto" w:before="1"/>
        <w:ind w:left="102" w:right="118" w:firstLine="284"/>
        <w:jc w:val="both"/>
      </w:pPr>
      <w:r>
        <w:rPr>
          <w:color w:val="231F20"/>
        </w:rPr>
        <w:t>En cuanto al estado civil, 57% son casados; 32%, solteros; y el resto, se distribuye entre unión libre y divorciados.</w:t>
      </w:r>
    </w:p>
    <w:p>
      <w:pPr>
        <w:pStyle w:val="BodyText"/>
        <w:spacing w:line="247" w:lineRule="auto" w:before="1"/>
        <w:ind w:left="102" w:right="116" w:firstLine="284"/>
        <w:jc w:val="both"/>
      </w:pPr>
      <w:r>
        <w:rPr>
          <w:color w:val="231F20"/>
        </w:rPr>
        <w:t>Con respecto a la escolaridad 34% tiene el grado de maestría; 45%, licenciatura; y, el 21% posee el doctorado.</w:t>
      </w:r>
    </w:p>
    <w:p>
      <w:pPr>
        <w:pStyle w:val="BodyText"/>
        <w:spacing w:line="247" w:lineRule="auto" w:before="1"/>
        <w:ind w:left="102" w:right="116" w:firstLine="283"/>
        <w:jc w:val="both"/>
      </w:pPr>
      <w:r>
        <w:rPr>
          <w:color w:val="231F20"/>
        </w:rPr>
        <w:t>El turno de trabajo es 51%matutino, 24%vespertino y 25% ambos.</w:t>
      </w:r>
    </w:p>
    <w:p>
      <w:pPr>
        <w:pStyle w:val="BodyText"/>
        <w:spacing w:line="252" w:lineRule="auto" w:before="1"/>
        <w:ind w:left="102" w:right="116" w:firstLine="284"/>
        <w:jc w:val="both"/>
      </w:pPr>
      <w:r>
        <w:rPr>
          <w:color w:val="231F20"/>
        </w:rPr>
        <w:t>El 69% no reporta otra actividad laboral y el 31% afirma que tiene otra ocupación.</w:t>
      </w:r>
    </w:p>
    <w:p>
      <w:pPr>
        <w:pStyle w:val="BodyText"/>
        <w:spacing w:line="247" w:lineRule="auto"/>
        <w:ind w:left="102" w:right="118" w:firstLine="284"/>
        <w:jc w:val="both"/>
      </w:pPr>
      <w:r>
        <w:rPr>
          <w:color w:val="231F20"/>
          <w:spacing w:val="2"/>
        </w:rPr>
        <w:t>Los docentes reportan </w:t>
      </w:r>
      <w:r>
        <w:rPr>
          <w:color w:val="231F20"/>
        </w:rPr>
        <w:t>un </w:t>
      </w:r>
      <w:r>
        <w:rPr>
          <w:color w:val="231F20"/>
          <w:spacing w:val="2"/>
        </w:rPr>
        <w:t>categoría </w:t>
      </w:r>
      <w:r>
        <w:rPr>
          <w:color w:val="231F20"/>
        </w:rPr>
        <w:t>alta </w:t>
      </w:r>
      <w:r>
        <w:rPr>
          <w:color w:val="231F20"/>
          <w:spacing w:val="2"/>
        </w:rPr>
        <w:t>(60%) </w:t>
      </w:r>
      <w:r>
        <w:rPr>
          <w:color w:val="231F20"/>
        </w:rPr>
        <w:t>en la </w:t>
      </w:r>
      <w:r>
        <w:rPr>
          <w:color w:val="231F20"/>
          <w:spacing w:val="2"/>
        </w:rPr>
        <w:t>presencia  </w:t>
      </w:r>
      <w:r>
        <w:rPr>
          <w:color w:val="231F20"/>
        </w:rPr>
        <w:t>de </w:t>
      </w:r>
      <w:r>
        <w:rPr>
          <w:color w:val="231F20"/>
          <w:spacing w:val="2"/>
        </w:rPr>
        <w:t>violencia psicológica; </w:t>
      </w:r>
      <w:r>
        <w:rPr>
          <w:color w:val="231F20"/>
        </w:rPr>
        <w:t>el </w:t>
      </w:r>
      <w:r>
        <w:rPr>
          <w:color w:val="231F20"/>
          <w:spacing w:val="2"/>
        </w:rPr>
        <w:t>16.9% indica </w:t>
      </w:r>
      <w:r>
        <w:rPr>
          <w:color w:val="231F20"/>
        </w:rPr>
        <w:t>alta </w:t>
      </w:r>
      <w:r>
        <w:rPr>
          <w:color w:val="231F20"/>
          <w:spacing w:val="2"/>
        </w:rPr>
        <w:t>intensidad </w:t>
      </w:r>
      <w:r>
        <w:rPr>
          <w:color w:val="231F20"/>
        </w:rPr>
        <w:t>en la </w:t>
      </w:r>
      <w:r>
        <w:rPr>
          <w:color w:val="231F20"/>
          <w:spacing w:val="2"/>
        </w:rPr>
        <w:t>violencia psicológica </w:t>
      </w:r>
      <w:r>
        <w:rPr>
          <w:color w:val="231F20"/>
        </w:rPr>
        <w:t>y el 6.2% </w:t>
      </w:r>
      <w:r>
        <w:rPr>
          <w:color w:val="231F20"/>
          <w:spacing w:val="2"/>
        </w:rPr>
        <w:t>sufre </w:t>
      </w:r>
      <w:r>
        <w:rPr>
          <w:color w:val="231F20"/>
        </w:rPr>
        <w:t>la </w:t>
      </w:r>
      <w:r>
        <w:rPr>
          <w:color w:val="231F20"/>
          <w:spacing w:val="2"/>
        </w:rPr>
        <w:t>presencia </w:t>
      </w:r>
      <w:r>
        <w:rPr>
          <w:color w:val="231F20"/>
        </w:rPr>
        <w:t>de </w:t>
      </w:r>
      <w:r>
        <w:rPr>
          <w:color w:val="231F20"/>
          <w:spacing w:val="2"/>
        </w:rPr>
        <w:t>acoso psicológico </w:t>
      </w:r>
      <w:r>
        <w:rPr>
          <w:color w:val="231F20"/>
        </w:rPr>
        <w:t>en el </w:t>
      </w:r>
      <w:r>
        <w:rPr>
          <w:color w:val="231F20"/>
          <w:spacing w:val="2"/>
        </w:rPr>
        <w:t>trabajo; véase laTabla</w:t>
      </w:r>
      <w:r>
        <w:rPr>
          <w:color w:val="231F20"/>
          <w:spacing w:val="-32"/>
        </w:rPr>
        <w:t> </w:t>
      </w:r>
      <w:r>
        <w:rPr>
          <w:color w:val="231F20"/>
        </w:rPr>
        <w:t>4.</w:t>
      </w:r>
    </w:p>
    <w:p>
      <w:pPr>
        <w:pStyle w:val="BodyText"/>
        <w:spacing w:before="3"/>
        <w:rPr>
          <w:sz w:val="23"/>
        </w:rPr>
      </w:pPr>
    </w:p>
    <w:p>
      <w:pPr>
        <w:spacing w:line="273" w:lineRule="auto" w:before="0"/>
        <w:ind w:left="492" w:right="506" w:firstLine="0"/>
        <w:jc w:val="center"/>
        <w:rPr>
          <w:b/>
          <w:sz w:val="19"/>
        </w:rPr>
      </w:pPr>
      <w:r>
        <w:rPr>
          <w:b/>
          <w:color w:val="231F20"/>
          <w:sz w:val="19"/>
        </w:rPr>
        <w:t>Tabla 4. Prevalencia de violencia psicológica, intensidad de la violencia y acoso psicológico en el    trabajo.</w:t>
      </w:r>
    </w:p>
    <w:p>
      <w:pPr>
        <w:pStyle w:val="BodyText"/>
        <w:spacing w:before="5"/>
        <w:rPr>
          <w:b/>
          <w:sz w:val="8"/>
        </w:rPr>
      </w:pPr>
    </w:p>
    <w:tbl>
      <w:tblPr>
        <w:tblW w:w="0" w:type="auto"/>
        <w:jc w:val="left"/>
        <w:tblInd w:w="29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30"/>
        <w:gridCol w:w="1138"/>
        <w:gridCol w:w="1056"/>
        <w:gridCol w:w="1166"/>
      </w:tblGrid>
      <w:tr>
        <w:trPr>
          <w:trHeight w:val="768" w:hRule="exact"/>
        </w:trPr>
        <w:tc>
          <w:tcPr>
            <w:tcW w:w="2030" w:type="dxa"/>
          </w:tcPr>
          <w:p>
            <w:pPr>
              <w:pStyle w:val="TableParagraph"/>
              <w:spacing w:before="9"/>
              <w:ind w:left="0"/>
              <w:rPr>
                <w:b/>
                <w:sz w:val="25"/>
              </w:rPr>
            </w:pPr>
          </w:p>
          <w:p>
            <w:pPr>
              <w:pStyle w:val="TableParagraph"/>
              <w:spacing w:before="1"/>
              <w:ind w:left="810" w:right="813"/>
              <w:jc w:val="center"/>
              <w:rPr>
                <w:b/>
                <w:sz w:val="17"/>
              </w:rPr>
            </w:pPr>
            <w:r>
              <w:rPr>
                <w:b/>
                <w:color w:val="231F20"/>
                <w:w w:val="105"/>
                <w:sz w:val="17"/>
              </w:rPr>
              <w:t>Tipo</w:t>
            </w:r>
          </w:p>
        </w:tc>
        <w:tc>
          <w:tcPr>
            <w:tcW w:w="1138" w:type="dxa"/>
          </w:tcPr>
          <w:p>
            <w:pPr>
              <w:pStyle w:val="TableParagraph"/>
              <w:spacing w:before="9"/>
              <w:ind w:left="0"/>
              <w:rPr>
                <w:b/>
                <w:sz w:val="25"/>
              </w:rPr>
            </w:pPr>
          </w:p>
          <w:p>
            <w:pPr>
              <w:pStyle w:val="TableParagraph"/>
              <w:spacing w:before="1"/>
              <w:ind w:left="131" w:right="136"/>
              <w:jc w:val="center"/>
              <w:rPr>
                <w:b/>
                <w:sz w:val="17"/>
              </w:rPr>
            </w:pPr>
            <w:r>
              <w:rPr>
                <w:b/>
                <w:color w:val="231F20"/>
                <w:spacing w:val="2"/>
                <w:w w:val="122"/>
                <w:sz w:val="17"/>
              </w:rPr>
              <w:t>N</w:t>
            </w:r>
            <w:r>
              <w:rPr>
                <w:b/>
                <w:color w:val="231F20"/>
                <w:spacing w:val="1"/>
                <w:w w:val="103"/>
                <w:sz w:val="17"/>
              </w:rPr>
              <w:t>u</w:t>
            </w:r>
            <w:r>
              <w:rPr>
                <w:b/>
                <w:color w:val="231F20"/>
                <w:w w:val="99"/>
                <w:sz w:val="17"/>
              </w:rPr>
              <w:t>l</w:t>
            </w:r>
            <w:r>
              <w:rPr>
                <w:b/>
                <w:color w:val="231F20"/>
                <w:spacing w:val="1"/>
                <w:w w:val="99"/>
                <w:sz w:val="17"/>
              </w:rPr>
              <w:t>a</w:t>
            </w:r>
            <w:r>
              <w:rPr>
                <w:b/>
                <w:color w:val="231F20"/>
                <w:spacing w:val="1"/>
                <w:w w:val="207"/>
                <w:sz w:val="17"/>
              </w:rPr>
              <w:t>/</w:t>
            </w:r>
            <w:r>
              <w:rPr>
                <w:b/>
                <w:color w:val="231F20"/>
                <w:spacing w:val="1"/>
                <w:w w:val="106"/>
                <w:sz w:val="17"/>
              </w:rPr>
              <w:t>B</w:t>
            </w:r>
            <w:r>
              <w:rPr>
                <w:b/>
                <w:color w:val="231F20"/>
                <w:spacing w:val="1"/>
                <w:w w:val="100"/>
                <w:sz w:val="17"/>
              </w:rPr>
              <w:t>a</w:t>
            </w:r>
            <w:r>
              <w:rPr>
                <w:b/>
                <w:color w:val="231F20"/>
                <w:w w:val="92"/>
                <w:sz w:val="17"/>
              </w:rPr>
              <w:t>ja</w:t>
            </w:r>
          </w:p>
        </w:tc>
        <w:tc>
          <w:tcPr>
            <w:tcW w:w="1056" w:type="dxa"/>
          </w:tcPr>
          <w:p>
            <w:pPr>
              <w:pStyle w:val="TableParagraph"/>
              <w:spacing w:before="9"/>
              <w:ind w:left="0"/>
              <w:rPr>
                <w:b/>
                <w:sz w:val="25"/>
              </w:rPr>
            </w:pPr>
          </w:p>
          <w:p>
            <w:pPr>
              <w:pStyle w:val="TableParagraph"/>
              <w:spacing w:before="1"/>
              <w:ind w:left="0" w:right="281"/>
              <w:jc w:val="right"/>
              <w:rPr>
                <w:b/>
                <w:sz w:val="17"/>
              </w:rPr>
            </w:pPr>
            <w:r>
              <w:rPr>
                <w:b/>
                <w:color w:val="231F20"/>
                <w:sz w:val="17"/>
              </w:rPr>
              <w:t>Media</w:t>
            </w:r>
          </w:p>
        </w:tc>
        <w:tc>
          <w:tcPr>
            <w:tcW w:w="1166" w:type="dxa"/>
          </w:tcPr>
          <w:p>
            <w:pPr>
              <w:pStyle w:val="TableParagraph"/>
              <w:spacing w:before="9"/>
              <w:ind w:left="0"/>
              <w:rPr>
                <w:b/>
                <w:sz w:val="25"/>
              </w:rPr>
            </w:pPr>
          </w:p>
          <w:p>
            <w:pPr>
              <w:pStyle w:val="TableParagraph"/>
              <w:spacing w:before="1"/>
              <w:ind w:left="322" w:right="325"/>
              <w:jc w:val="center"/>
              <w:rPr>
                <w:b/>
                <w:sz w:val="17"/>
              </w:rPr>
            </w:pPr>
            <w:r>
              <w:rPr>
                <w:b/>
                <w:color w:val="231F20"/>
                <w:sz w:val="17"/>
              </w:rPr>
              <w:t>Alta</w:t>
            </w:r>
          </w:p>
        </w:tc>
      </w:tr>
      <w:tr>
        <w:trPr>
          <w:trHeight w:val="768" w:hRule="exact"/>
        </w:trPr>
        <w:tc>
          <w:tcPr>
            <w:tcW w:w="2030" w:type="dxa"/>
          </w:tcPr>
          <w:p>
            <w:pPr>
              <w:pStyle w:val="TableParagraph"/>
              <w:spacing w:before="9"/>
              <w:ind w:left="0"/>
              <w:rPr>
                <w:b/>
                <w:sz w:val="15"/>
              </w:rPr>
            </w:pPr>
          </w:p>
          <w:p>
            <w:pPr>
              <w:pStyle w:val="TableParagraph"/>
              <w:spacing w:line="326" w:lineRule="auto"/>
              <w:rPr>
                <w:b/>
                <w:sz w:val="16"/>
              </w:rPr>
            </w:pPr>
            <w:r>
              <w:rPr>
                <w:b/>
                <w:color w:val="231F20"/>
                <w:sz w:val="16"/>
              </w:rPr>
              <w:t>Presencia de violencia psicológica en el trabajo</w:t>
            </w:r>
          </w:p>
        </w:tc>
        <w:tc>
          <w:tcPr>
            <w:tcW w:w="1138" w:type="dxa"/>
          </w:tcPr>
          <w:p>
            <w:pPr>
              <w:pStyle w:val="TableParagraph"/>
              <w:spacing w:before="9"/>
              <w:ind w:left="0"/>
              <w:rPr>
                <w:b/>
                <w:sz w:val="25"/>
              </w:rPr>
            </w:pPr>
          </w:p>
          <w:p>
            <w:pPr>
              <w:pStyle w:val="TableParagraph"/>
              <w:spacing w:before="1"/>
              <w:ind w:left="131" w:right="136"/>
              <w:jc w:val="center"/>
              <w:rPr>
                <w:sz w:val="17"/>
              </w:rPr>
            </w:pPr>
            <w:r>
              <w:rPr>
                <w:color w:val="231F20"/>
                <w:sz w:val="17"/>
              </w:rPr>
              <w:t>12.3%</w:t>
            </w:r>
          </w:p>
        </w:tc>
        <w:tc>
          <w:tcPr>
            <w:tcW w:w="1056" w:type="dxa"/>
          </w:tcPr>
          <w:p>
            <w:pPr>
              <w:pStyle w:val="TableParagraph"/>
              <w:spacing w:before="9"/>
              <w:ind w:left="0"/>
              <w:rPr>
                <w:b/>
                <w:sz w:val="25"/>
              </w:rPr>
            </w:pPr>
          </w:p>
          <w:p>
            <w:pPr>
              <w:pStyle w:val="TableParagraph"/>
              <w:spacing w:before="1"/>
              <w:ind w:left="0" w:right="304"/>
              <w:jc w:val="right"/>
              <w:rPr>
                <w:sz w:val="17"/>
              </w:rPr>
            </w:pPr>
            <w:r>
              <w:rPr>
                <w:color w:val="231F20"/>
                <w:w w:val="95"/>
                <w:sz w:val="17"/>
              </w:rPr>
              <w:t>27.7%</w:t>
            </w:r>
          </w:p>
        </w:tc>
        <w:tc>
          <w:tcPr>
            <w:tcW w:w="1166" w:type="dxa"/>
          </w:tcPr>
          <w:p>
            <w:pPr>
              <w:pStyle w:val="TableParagraph"/>
              <w:spacing w:before="9"/>
              <w:ind w:left="0"/>
              <w:rPr>
                <w:b/>
                <w:sz w:val="25"/>
              </w:rPr>
            </w:pPr>
          </w:p>
          <w:p>
            <w:pPr>
              <w:pStyle w:val="TableParagraph"/>
              <w:spacing w:before="1"/>
              <w:ind w:left="322" w:right="326"/>
              <w:jc w:val="center"/>
              <w:rPr>
                <w:b/>
                <w:sz w:val="17"/>
              </w:rPr>
            </w:pPr>
            <w:r>
              <w:rPr>
                <w:b/>
                <w:color w:val="231F20"/>
                <w:sz w:val="17"/>
              </w:rPr>
              <w:t>60%</w:t>
            </w:r>
          </w:p>
        </w:tc>
      </w:tr>
      <w:tr>
        <w:trPr>
          <w:trHeight w:val="768" w:hRule="exact"/>
        </w:trPr>
        <w:tc>
          <w:tcPr>
            <w:tcW w:w="2030" w:type="dxa"/>
          </w:tcPr>
          <w:p>
            <w:pPr>
              <w:pStyle w:val="TableParagraph"/>
              <w:spacing w:before="9"/>
              <w:ind w:left="0"/>
              <w:rPr>
                <w:b/>
                <w:sz w:val="15"/>
              </w:rPr>
            </w:pPr>
          </w:p>
          <w:p>
            <w:pPr>
              <w:pStyle w:val="TableParagraph"/>
              <w:spacing w:line="326" w:lineRule="auto"/>
              <w:rPr>
                <w:b/>
                <w:sz w:val="16"/>
              </w:rPr>
            </w:pPr>
            <w:r>
              <w:rPr>
                <w:b/>
                <w:color w:val="231F20"/>
                <w:sz w:val="16"/>
              </w:rPr>
              <w:t>Intensidad de la violencia psicológica en el trabajo</w:t>
            </w:r>
          </w:p>
        </w:tc>
        <w:tc>
          <w:tcPr>
            <w:tcW w:w="1138" w:type="dxa"/>
          </w:tcPr>
          <w:p>
            <w:pPr>
              <w:pStyle w:val="TableParagraph"/>
              <w:spacing w:before="9"/>
              <w:ind w:left="0"/>
              <w:rPr>
                <w:b/>
                <w:sz w:val="25"/>
              </w:rPr>
            </w:pPr>
          </w:p>
          <w:p>
            <w:pPr>
              <w:pStyle w:val="TableParagraph"/>
              <w:spacing w:before="1"/>
              <w:ind w:left="131" w:right="136"/>
              <w:jc w:val="center"/>
              <w:rPr>
                <w:sz w:val="17"/>
              </w:rPr>
            </w:pPr>
            <w:r>
              <w:rPr>
                <w:color w:val="231F20"/>
                <w:sz w:val="17"/>
              </w:rPr>
              <w:t>13.9%</w:t>
            </w:r>
          </w:p>
        </w:tc>
        <w:tc>
          <w:tcPr>
            <w:tcW w:w="1056" w:type="dxa"/>
          </w:tcPr>
          <w:p>
            <w:pPr>
              <w:pStyle w:val="TableParagraph"/>
              <w:spacing w:before="9"/>
              <w:ind w:left="0"/>
              <w:rPr>
                <w:b/>
                <w:sz w:val="25"/>
              </w:rPr>
            </w:pPr>
          </w:p>
          <w:p>
            <w:pPr>
              <w:pStyle w:val="TableParagraph"/>
              <w:spacing w:before="1"/>
              <w:ind w:left="0" w:right="304"/>
              <w:jc w:val="right"/>
              <w:rPr>
                <w:sz w:val="17"/>
              </w:rPr>
            </w:pPr>
            <w:r>
              <w:rPr>
                <w:color w:val="231F20"/>
                <w:w w:val="95"/>
                <w:sz w:val="17"/>
              </w:rPr>
              <w:t>69.2%</w:t>
            </w:r>
          </w:p>
        </w:tc>
        <w:tc>
          <w:tcPr>
            <w:tcW w:w="1166" w:type="dxa"/>
          </w:tcPr>
          <w:p>
            <w:pPr>
              <w:pStyle w:val="TableParagraph"/>
              <w:spacing w:before="9"/>
              <w:ind w:left="0"/>
              <w:rPr>
                <w:b/>
                <w:sz w:val="25"/>
              </w:rPr>
            </w:pPr>
          </w:p>
          <w:p>
            <w:pPr>
              <w:pStyle w:val="TableParagraph"/>
              <w:spacing w:before="1"/>
              <w:ind w:left="322" w:right="327"/>
              <w:jc w:val="center"/>
              <w:rPr>
                <w:b/>
                <w:sz w:val="17"/>
              </w:rPr>
            </w:pPr>
            <w:r>
              <w:rPr>
                <w:b/>
                <w:color w:val="231F20"/>
                <w:sz w:val="17"/>
              </w:rPr>
              <w:t>16.9%</w:t>
            </w:r>
          </w:p>
        </w:tc>
      </w:tr>
      <w:tr>
        <w:trPr>
          <w:trHeight w:val="763" w:hRule="exact"/>
        </w:trPr>
        <w:tc>
          <w:tcPr>
            <w:tcW w:w="2030" w:type="dxa"/>
          </w:tcPr>
          <w:p>
            <w:pPr>
              <w:pStyle w:val="TableParagraph"/>
              <w:spacing w:before="4"/>
              <w:ind w:left="0"/>
              <w:rPr>
                <w:b/>
                <w:sz w:val="15"/>
              </w:rPr>
            </w:pPr>
          </w:p>
          <w:p>
            <w:pPr>
              <w:pStyle w:val="TableParagraph"/>
              <w:spacing w:line="326" w:lineRule="auto"/>
              <w:rPr>
                <w:b/>
                <w:sz w:val="16"/>
              </w:rPr>
            </w:pPr>
            <w:r>
              <w:rPr>
                <w:b/>
                <w:color w:val="231F20"/>
                <w:sz w:val="16"/>
              </w:rPr>
              <w:t>Presencia de acoso psicológico en el trabajo</w:t>
            </w:r>
          </w:p>
        </w:tc>
        <w:tc>
          <w:tcPr>
            <w:tcW w:w="1138" w:type="dxa"/>
          </w:tcPr>
          <w:p>
            <w:pPr>
              <w:pStyle w:val="TableParagraph"/>
              <w:spacing w:before="5"/>
              <w:ind w:left="0"/>
              <w:rPr>
                <w:b/>
                <w:sz w:val="25"/>
              </w:rPr>
            </w:pPr>
          </w:p>
          <w:p>
            <w:pPr>
              <w:pStyle w:val="TableParagraph"/>
              <w:ind w:left="131" w:right="136"/>
              <w:jc w:val="center"/>
              <w:rPr>
                <w:sz w:val="17"/>
              </w:rPr>
            </w:pPr>
            <w:r>
              <w:rPr>
                <w:color w:val="231F20"/>
                <w:sz w:val="17"/>
              </w:rPr>
              <w:t>87.6%</w:t>
            </w:r>
          </w:p>
        </w:tc>
        <w:tc>
          <w:tcPr>
            <w:tcW w:w="1056" w:type="dxa"/>
          </w:tcPr>
          <w:p>
            <w:pPr>
              <w:pStyle w:val="TableParagraph"/>
              <w:spacing w:before="5"/>
              <w:ind w:left="0"/>
              <w:rPr>
                <w:b/>
                <w:sz w:val="25"/>
              </w:rPr>
            </w:pPr>
          </w:p>
          <w:p>
            <w:pPr>
              <w:pStyle w:val="TableParagraph"/>
              <w:ind w:left="0" w:right="346"/>
              <w:jc w:val="right"/>
              <w:rPr>
                <w:sz w:val="17"/>
              </w:rPr>
            </w:pPr>
            <w:r>
              <w:rPr>
                <w:color w:val="231F20"/>
                <w:sz w:val="17"/>
              </w:rPr>
              <w:t>6.2%</w:t>
            </w:r>
          </w:p>
        </w:tc>
        <w:tc>
          <w:tcPr>
            <w:tcW w:w="1166" w:type="dxa"/>
          </w:tcPr>
          <w:p>
            <w:pPr>
              <w:pStyle w:val="TableParagraph"/>
              <w:spacing w:before="5"/>
              <w:ind w:left="0"/>
              <w:rPr>
                <w:b/>
                <w:sz w:val="25"/>
              </w:rPr>
            </w:pPr>
          </w:p>
          <w:p>
            <w:pPr>
              <w:pStyle w:val="TableParagraph"/>
              <w:ind w:left="322" w:right="326"/>
              <w:jc w:val="center"/>
              <w:rPr>
                <w:b/>
                <w:sz w:val="17"/>
              </w:rPr>
            </w:pPr>
            <w:r>
              <w:rPr>
                <w:b/>
                <w:color w:val="231F20"/>
                <w:sz w:val="17"/>
              </w:rPr>
              <w:t>6.2%</w:t>
            </w:r>
          </w:p>
        </w:tc>
      </w:tr>
    </w:tbl>
    <w:p>
      <w:pPr>
        <w:spacing w:after="0"/>
        <w:jc w:val="center"/>
        <w:rPr>
          <w:sz w:val="17"/>
        </w:rPr>
        <w:sectPr>
          <w:headerReference w:type="default" r:id="rId974"/>
          <w:footerReference w:type="default" r:id="rId975"/>
          <w:pgSz w:w="7830" w:h="11910"/>
          <w:pgMar w:header="0" w:footer="424" w:top="500" w:bottom="620" w:left="920" w:right="900"/>
          <w:pgNumType w:start="444"/>
        </w:sectPr>
      </w:pPr>
    </w:p>
    <w:p>
      <w:pPr>
        <w:spacing w:before="43"/>
        <w:ind w:left="160" w:right="57" w:firstLine="0"/>
        <w:jc w:val="center"/>
        <w:rPr>
          <w:rFonts w:ascii="Cambria" w:hAnsi="Cambria"/>
          <w:sz w:val="13"/>
        </w:rPr>
      </w:pPr>
      <w:r>
        <w:rPr>
          <w:rFonts w:ascii="Cambria" w:hAnsi="Cambria"/>
          <w:color w:val="231F20"/>
          <w:w w:val="110"/>
          <w:sz w:val="16"/>
        </w:rPr>
        <w:t>E</w:t>
      </w:r>
      <w:r>
        <w:rPr>
          <w:rFonts w:ascii="Cambria" w:hAnsi="Cambria"/>
          <w:color w:val="231F20"/>
          <w:w w:val="110"/>
          <w:sz w:val="13"/>
        </w:rPr>
        <w:t>STUDIOS SOBRE VIOLENCIA EN LA EDUCACIÓN</w:t>
      </w:r>
    </w:p>
    <w:p>
      <w:pPr>
        <w:pStyle w:val="BodyText"/>
        <w:rPr>
          <w:rFonts w:ascii="Cambria"/>
          <w:sz w:val="16"/>
        </w:rPr>
      </w:pPr>
    </w:p>
    <w:p>
      <w:pPr>
        <w:pStyle w:val="BodyText"/>
        <w:spacing w:before="10"/>
        <w:rPr>
          <w:rFonts w:ascii="Cambria"/>
          <w:sz w:val="22"/>
        </w:rPr>
      </w:pPr>
    </w:p>
    <w:p>
      <w:pPr>
        <w:pStyle w:val="BodyText"/>
        <w:spacing w:line="244" w:lineRule="auto"/>
        <w:ind w:left="222" w:right="114" w:firstLine="284"/>
        <w:jc w:val="both"/>
        <w:rPr>
          <w:rFonts w:ascii="Cambria" w:hAnsi="Cambria"/>
        </w:rPr>
      </w:pPr>
      <w:r>
        <w:rPr>
          <w:rFonts w:ascii="Cambria" w:hAnsi="Cambria"/>
          <w:color w:val="231F20"/>
          <w:spacing w:val="2"/>
        </w:rPr>
        <w:t>Las preguntas </w:t>
      </w:r>
      <w:r>
        <w:rPr>
          <w:rFonts w:ascii="Cambria" w:hAnsi="Cambria"/>
          <w:color w:val="231F20"/>
        </w:rPr>
        <w:t>que los </w:t>
      </w:r>
      <w:r>
        <w:rPr>
          <w:rFonts w:ascii="Cambria" w:hAnsi="Cambria"/>
          <w:color w:val="231F20"/>
          <w:spacing w:val="2"/>
        </w:rPr>
        <w:t>docentes respondieron </w:t>
      </w:r>
      <w:r>
        <w:rPr>
          <w:rFonts w:ascii="Cambria" w:hAnsi="Cambria"/>
          <w:color w:val="231F20"/>
        </w:rPr>
        <w:t>y que nos </w:t>
      </w:r>
      <w:r>
        <w:rPr>
          <w:rFonts w:ascii="Cambria" w:hAnsi="Cambria"/>
          <w:color w:val="231F20"/>
          <w:spacing w:val="2"/>
        </w:rPr>
        <w:t>pre- sentan</w:t>
      </w:r>
      <w:r>
        <w:rPr>
          <w:rFonts w:ascii="Cambria" w:hAnsi="Cambria"/>
          <w:color w:val="231F20"/>
          <w:spacing w:val="-5"/>
        </w:rPr>
        <w:t> </w:t>
      </w:r>
      <w:r>
        <w:rPr>
          <w:rFonts w:ascii="Cambria" w:hAnsi="Cambria"/>
          <w:color w:val="231F20"/>
        </w:rPr>
        <w:t>la</w:t>
      </w:r>
      <w:r>
        <w:rPr>
          <w:rFonts w:ascii="Cambria" w:hAnsi="Cambria"/>
          <w:color w:val="231F20"/>
          <w:spacing w:val="-5"/>
        </w:rPr>
        <w:t> </w:t>
      </w:r>
      <w:r>
        <w:rPr>
          <w:rFonts w:ascii="Cambria" w:hAnsi="Cambria"/>
          <w:color w:val="231F20"/>
          <w:spacing w:val="2"/>
        </w:rPr>
        <w:t>frecuencia</w:t>
      </w:r>
      <w:r>
        <w:rPr>
          <w:rFonts w:ascii="Cambria" w:hAnsi="Cambria"/>
          <w:color w:val="231F20"/>
          <w:spacing w:val="-5"/>
        </w:rPr>
        <w:t> </w:t>
      </w:r>
      <w:r>
        <w:rPr>
          <w:rFonts w:ascii="Cambria" w:hAnsi="Cambria"/>
          <w:color w:val="231F20"/>
          <w:spacing w:val="2"/>
        </w:rPr>
        <w:t>más</w:t>
      </w:r>
      <w:r>
        <w:rPr>
          <w:rFonts w:ascii="Cambria" w:hAnsi="Cambria"/>
          <w:color w:val="231F20"/>
          <w:spacing w:val="-5"/>
        </w:rPr>
        <w:t> </w:t>
      </w:r>
      <w:r>
        <w:rPr>
          <w:rFonts w:ascii="Cambria" w:hAnsi="Cambria"/>
          <w:color w:val="231F20"/>
        </w:rPr>
        <w:t>alta</w:t>
      </w:r>
      <w:r>
        <w:rPr>
          <w:rFonts w:ascii="Cambria" w:hAnsi="Cambria"/>
          <w:color w:val="231F20"/>
          <w:spacing w:val="-5"/>
        </w:rPr>
        <w:t> </w:t>
      </w:r>
      <w:r>
        <w:rPr>
          <w:rFonts w:ascii="Cambria" w:hAnsi="Cambria"/>
          <w:color w:val="231F20"/>
          <w:spacing w:val="2"/>
        </w:rPr>
        <w:t>(muy</w:t>
      </w:r>
      <w:r>
        <w:rPr>
          <w:rFonts w:ascii="Cambria" w:hAnsi="Cambria"/>
          <w:color w:val="231F20"/>
          <w:spacing w:val="-5"/>
        </w:rPr>
        <w:t> </w:t>
      </w:r>
      <w:r>
        <w:rPr>
          <w:rFonts w:ascii="Cambria" w:hAnsi="Cambria"/>
          <w:color w:val="231F20"/>
          <w:spacing w:val="3"/>
        </w:rPr>
        <w:t>frecuentemente</w:t>
      </w:r>
      <w:r>
        <w:rPr>
          <w:rFonts w:ascii="Cambria" w:hAnsi="Cambria"/>
          <w:color w:val="231F20"/>
          <w:spacing w:val="-5"/>
        </w:rPr>
        <w:t> </w:t>
      </w:r>
      <w:r>
        <w:rPr>
          <w:rFonts w:ascii="Cambria" w:hAnsi="Cambria"/>
          <w:color w:val="231F20"/>
        </w:rPr>
        <w:t>y</w:t>
      </w:r>
      <w:r>
        <w:rPr>
          <w:rFonts w:ascii="Cambria" w:hAnsi="Cambria"/>
          <w:color w:val="231F20"/>
          <w:spacing w:val="-5"/>
        </w:rPr>
        <w:t> </w:t>
      </w:r>
      <w:r>
        <w:rPr>
          <w:rFonts w:ascii="Cambria" w:hAnsi="Cambria"/>
          <w:color w:val="231F20"/>
          <w:spacing w:val="3"/>
        </w:rPr>
        <w:t>frecuente- </w:t>
      </w:r>
      <w:r>
        <w:rPr>
          <w:rFonts w:ascii="Cambria" w:hAnsi="Cambria"/>
          <w:color w:val="231F20"/>
          <w:spacing w:val="2"/>
        </w:rPr>
        <w:t>mente)</w:t>
      </w:r>
      <w:r>
        <w:rPr>
          <w:rFonts w:ascii="Cambria" w:hAnsi="Cambria"/>
          <w:color w:val="231F20"/>
          <w:spacing w:val="-11"/>
        </w:rPr>
        <w:t> </w:t>
      </w:r>
      <w:r>
        <w:rPr>
          <w:rFonts w:ascii="Cambria" w:hAnsi="Cambria"/>
          <w:color w:val="231F20"/>
          <w:spacing w:val="3"/>
        </w:rPr>
        <w:t>relacionadas</w:t>
      </w:r>
      <w:r>
        <w:rPr>
          <w:rFonts w:ascii="Cambria" w:hAnsi="Cambria"/>
          <w:color w:val="231F20"/>
          <w:spacing w:val="-10"/>
        </w:rPr>
        <w:t> </w:t>
      </w:r>
      <w:r>
        <w:rPr>
          <w:rFonts w:ascii="Cambria" w:hAnsi="Cambria"/>
          <w:color w:val="231F20"/>
          <w:spacing w:val="2"/>
        </w:rPr>
        <w:t>con</w:t>
      </w:r>
      <w:r>
        <w:rPr>
          <w:rFonts w:ascii="Cambria" w:hAnsi="Cambria"/>
          <w:color w:val="231F20"/>
          <w:spacing w:val="-10"/>
        </w:rPr>
        <w:t> </w:t>
      </w:r>
      <w:r>
        <w:rPr>
          <w:rFonts w:ascii="Cambria" w:hAnsi="Cambria"/>
          <w:color w:val="231F20"/>
        </w:rPr>
        <w:t>la</w:t>
      </w:r>
      <w:r>
        <w:rPr>
          <w:rFonts w:ascii="Cambria" w:hAnsi="Cambria"/>
          <w:color w:val="231F20"/>
          <w:spacing w:val="-10"/>
        </w:rPr>
        <w:t> </w:t>
      </w:r>
      <w:r>
        <w:rPr>
          <w:rFonts w:ascii="Cambria" w:hAnsi="Cambria"/>
          <w:color w:val="231F20"/>
          <w:spacing w:val="2"/>
        </w:rPr>
        <w:t>violencia</w:t>
      </w:r>
      <w:r>
        <w:rPr>
          <w:rFonts w:ascii="Cambria" w:hAnsi="Cambria"/>
          <w:color w:val="231F20"/>
          <w:spacing w:val="-10"/>
        </w:rPr>
        <w:t> </w:t>
      </w:r>
      <w:r>
        <w:rPr>
          <w:rFonts w:ascii="Cambria" w:hAnsi="Cambria"/>
          <w:color w:val="231F20"/>
          <w:spacing w:val="3"/>
        </w:rPr>
        <w:t>psicológica</w:t>
      </w:r>
      <w:r>
        <w:rPr>
          <w:rFonts w:ascii="Cambria" w:hAnsi="Cambria"/>
          <w:color w:val="231F20"/>
          <w:spacing w:val="-10"/>
        </w:rPr>
        <w:t> </w:t>
      </w:r>
      <w:r>
        <w:rPr>
          <w:rFonts w:ascii="Cambria" w:hAnsi="Cambria"/>
          <w:color w:val="231F20"/>
        </w:rPr>
        <w:t>en</w:t>
      </w:r>
      <w:r>
        <w:rPr>
          <w:rFonts w:ascii="Cambria" w:hAnsi="Cambria"/>
          <w:color w:val="231F20"/>
          <w:spacing w:val="-10"/>
        </w:rPr>
        <w:t> </w:t>
      </w:r>
      <w:r>
        <w:rPr>
          <w:rFonts w:ascii="Cambria" w:hAnsi="Cambria"/>
          <w:color w:val="231F20"/>
        </w:rPr>
        <w:t>el</w:t>
      </w:r>
      <w:r>
        <w:rPr>
          <w:rFonts w:ascii="Cambria" w:hAnsi="Cambria"/>
          <w:color w:val="231F20"/>
          <w:spacing w:val="-11"/>
        </w:rPr>
        <w:t> </w:t>
      </w:r>
      <w:r>
        <w:rPr>
          <w:rFonts w:ascii="Cambria" w:hAnsi="Cambria"/>
          <w:color w:val="231F20"/>
          <w:spacing w:val="2"/>
        </w:rPr>
        <w:t>trabajo,</w:t>
      </w:r>
      <w:r>
        <w:rPr>
          <w:rFonts w:ascii="Cambria" w:hAnsi="Cambria"/>
          <w:color w:val="231F20"/>
          <w:spacing w:val="-11"/>
        </w:rPr>
        <w:t> </w:t>
      </w:r>
      <w:r>
        <w:rPr>
          <w:rFonts w:ascii="Cambria" w:hAnsi="Cambria"/>
          <w:color w:val="231F20"/>
        </w:rPr>
        <w:t>se </w:t>
      </w:r>
      <w:r>
        <w:rPr>
          <w:rFonts w:ascii="Cambria" w:hAnsi="Cambria"/>
          <w:color w:val="231F20"/>
          <w:spacing w:val="2"/>
        </w:rPr>
        <w:t>identifican </w:t>
      </w:r>
      <w:r>
        <w:rPr>
          <w:rFonts w:ascii="Cambria" w:hAnsi="Cambria"/>
          <w:color w:val="231F20"/>
        </w:rPr>
        <w:t>en </w:t>
      </w:r>
      <w:r>
        <w:rPr>
          <w:rFonts w:ascii="Cambria" w:hAnsi="Cambria"/>
          <w:color w:val="231F20"/>
          <w:spacing w:val="2"/>
        </w:rPr>
        <w:t>los siguientes factores: “Asignación </w:t>
      </w:r>
      <w:r>
        <w:rPr>
          <w:rFonts w:ascii="Cambria" w:hAnsi="Cambria"/>
          <w:color w:val="231F20"/>
        </w:rPr>
        <w:t>de </w:t>
      </w:r>
      <w:r>
        <w:rPr>
          <w:rFonts w:ascii="Cambria" w:hAnsi="Cambria"/>
          <w:color w:val="231F20"/>
          <w:spacing w:val="2"/>
        </w:rPr>
        <w:t>trabajos </w:t>
      </w:r>
      <w:r>
        <w:rPr>
          <w:rFonts w:ascii="Cambria" w:hAnsi="Cambria"/>
          <w:color w:val="231F20"/>
        </w:rPr>
        <w:t>o </w:t>
      </w:r>
      <w:r>
        <w:rPr>
          <w:rFonts w:ascii="Cambria" w:hAnsi="Cambria"/>
          <w:color w:val="231F20"/>
          <w:spacing w:val="3"/>
        </w:rPr>
        <w:t>proyectos </w:t>
      </w:r>
      <w:r>
        <w:rPr>
          <w:rFonts w:ascii="Cambria" w:hAnsi="Cambria"/>
          <w:color w:val="231F20"/>
          <w:spacing w:val="2"/>
        </w:rPr>
        <w:t>con plazos </w:t>
      </w:r>
      <w:r>
        <w:rPr>
          <w:rFonts w:ascii="Cambria" w:hAnsi="Cambria"/>
          <w:color w:val="231F20"/>
        </w:rPr>
        <w:t>tan </w:t>
      </w:r>
      <w:r>
        <w:rPr>
          <w:rFonts w:ascii="Cambria" w:hAnsi="Cambria"/>
          <w:color w:val="231F20"/>
          <w:spacing w:val="2"/>
        </w:rPr>
        <w:t>cortos </w:t>
      </w:r>
      <w:r>
        <w:rPr>
          <w:rFonts w:ascii="Cambria" w:hAnsi="Cambria"/>
          <w:color w:val="231F20"/>
        </w:rPr>
        <w:t>que </w:t>
      </w:r>
      <w:r>
        <w:rPr>
          <w:rFonts w:ascii="Cambria" w:hAnsi="Cambria"/>
          <w:color w:val="231F20"/>
          <w:spacing w:val="2"/>
        </w:rPr>
        <w:t>son imposibles </w:t>
      </w:r>
      <w:r>
        <w:rPr>
          <w:rFonts w:ascii="Cambria" w:hAnsi="Cambria"/>
          <w:color w:val="231F20"/>
        </w:rPr>
        <w:t>de </w:t>
      </w:r>
      <w:r>
        <w:rPr>
          <w:rFonts w:ascii="Cambria" w:hAnsi="Cambria"/>
          <w:color w:val="231F20"/>
          <w:spacing w:val="2"/>
        </w:rPr>
        <w:t>cumplir </w:t>
      </w:r>
      <w:r>
        <w:rPr>
          <w:rFonts w:ascii="Cambria" w:hAnsi="Cambria"/>
          <w:color w:val="231F20"/>
          <w:spacing w:val="3"/>
        </w:rPr>
        <w:t>(12.7%)”,</w:t>
      </w:r>
      <w:r>
        <w:rPr>
          <w:rFonts w:ascii="Cambria" w:hAnsi="Cambria"/>
          <w:color w:val="231F20"/>
          <w:spacing w:val="-19"/>
        </w:rPr>
        <w:t> </w:t>
      </w:r>
      <w:r>
        <w:rPr>
          <w:rFonts w:ascii="Cambria" w:hAnsi="Cambria"/>
          <w:color w:val="231F20"/>
        </w:rPr>
        <w:t>”se</w:t>
      </w:r>
      <w:r>
        <w:rPr>
          <w:rFonts w:ascii="Cambria" w:hAnsi="Cambria"/>
          <w:color w:val="231F20"/>
          <w:spacing w:val="-19"/>
        </w:rPr>
        <w:t> </w:t>
      </w:r>
      <w:r>
        <w:rPr>
          <w:rFonts w:ascii="Cambria" w:hAnsi="Cambria"/>
          <w:color w:val="231F20"/>
          <w:spacing w:val="2"/>
        </w:rPr>
        <w:t>me</w:t>
      </w:r>
      <w:r>
        <w:rPr>
          <w:rFonts w:ascii="Cambria" w:hAnsi="Cambria"/>
          <w:color w:val="231F20"/>
          <w:spacing w:val="-19"/>
        </w:rPr>
        <w:t> </w:t>
      </w:r>
      <w:r>
        <w:rPr>
          <w:rFonts w:ascii="Cambria" w:hAnsi="Cambria"/>
          <w:color w:val="231F20"/>
          <w:spacing w:val="2"/>
        </w:rPr>
        <w:t>ignora</w:t>
      </w:r>
      <w:r>
        <w:rPr>
          <w:rFonts w:ascii="Cambria" w:hAnsi="Cambria"/>
          <w:color w:val="231F20"/>
          <w:spacing w:val="-19"/>
        </w:rPr>
        <w:t> </w:t>
      </w:r>
      <w:r>
        <w:rPr>
          <w:rFonts w:ascii="Cambria" w:hAnsi="Cambria"/>
          <w:color w:val="231F20"/>
        </w:rPr>
        <w:t>o</w:t>
      </w:r>
      <w:r>
        <w:rPr>
          <w:rFonts w:ascii="Cambria" w:hAnsi="Cambria"/>
          <w:color w:val="231F20"/>
          <w:spacing w:val="-19"/>
        </w:rPr>
        <w:t> </w:t>
      </w:r>
      <w:r>
        <w:rPr>
          <w:rFonts w:ascii="Cambria" w:hAnsi="Cambria"/>
          <w:color w:val="231F20"/>
          <w:spacing w:val="2"/>
        </w:rPr>
        <w:t>excluye</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las</w:t>
      </w:r>
      <w:r>
        <w:rPr>
          <w:rFonts w:ascii="Cambria" w:hAnsi="Cambria"/>
          <w:color w:val="231F20"/>
          <w:spacing w:val="-19"/>
        </w:rPr>
        <w:t> </w:t>
      </w:r>
      <w:r>
        <w:rPr>
          <w:rFonts w:ascii="Cambria" w:hAnsi="Cambria"/>
          <w:color w:val="231F20"/>
          <w:spacing w:val="3"/>
        </w:rPr>
        <w:t>reuniones</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spacing w:val="2"/>
        </w:rPr>
        <w:t>trabajo</w:t>
      </w:r>
      <w:r>
        <w:rPr>
          <w:rFonts w:ascii="Cambria" w:hAnsi="Cambria"/>
          <w:color w:val="231F20"/>
          <w:spacing w:val="-19"/>
        </w:rPr>
        <w:t> </w:t>
      </w:r>
      <w:r>
        <w:rPr>
          <w:rFonts w:ascii="Cambria" w:hAnsi="Cambria"/>
          <w:color w:val="231F20"/>
        </w:rPr>
        <w:t>o</w:t>
      </w:r>
      <w:r>
        <w:rPr>
          <w:rFonts w:ascii="Cambria" w:hAnsi="Cambria"/>
          <w:color w:val="231F20"/>
          <w:spacing w:val="-19"/>
        </w:rPr>
        <w:t> </w:t>
      </w:r>
      <w:r>
        <w:rPr>
          <w:rFonts w:ascii="Cambria" w:hAnsi="Cambria"/>
          <w:color w:val="231F20"/>
        </w:rPr>
        <w:t>en la</w:t>
      </w:r>
      <w:r>
        <w:rPr>
          <w:rFonts w:ascii="Cambria" w:hAnsi="Cambria"/>
          <w:color w:val="231F20"/>
          <w:spacing w:val="-3"/>
        </w:rPr>
        <w:t> </w:t>
      </w:r>
      <w:r>
        <w:rPr>
          <w:rFonts w:ascii="Cambria" w:hAnsi="Cambria"/>
          <w:color w:val="231F20"/>
          <w:spacing w:val="3"/>
        </w:rPr>
        <w:t>toma</w:t>
      </w:r>
      <w:r>
        <w:rPr>
          <w:rFonts w:ascii="Cambria" w:hAnsi="Cambria"/>
          <w:color w:val="231F20"/>
          <w:spacing w:val="-3"/>
        </w:rPr>
        <w:t> </w:t>
      </w:r>
      <w:r>
        <w:rPr>
          <w:rFonts w:ascii="Cambria" w:hAnsi="Cambria"/>
          <w:color w:val="231F20"/>
        </w:rPr>
        <w:t>de</w:t>
      </w:r>
      <w:r>
        <w:rPr>
          <w:rFonts w:ascii="Cambria" w:hAnsi="Cambria"/>
          <w:color w:val="231F20"/>
          <w:spacing w:val="-3"/>
        </w:rPr>
        <w:t> </w:t>
      </w:r>
      <w:r>
        <w:rPr>
          <w:rFonts w:ascii="Cambria" w:hAnsi="Cambria"/>
          <w:color w:val="231F20"/>
          <w:spacing w:val="2"/>
        </w:rPr>
        <w:t>decisiones</w:t>
      </w:r>
      <w:r>
        <w:rPr>
          <w:rFonts w:ascii="Cambria" w:hAnsi="Cambria"/>
          <w:color w:val="231F20"/>
          <w:spacing w:val="-3"/>
        </w:rPr>
        <w:t> </w:t>
      </w:r>
      <w:r>
        <w:rPr>
          <w:rFonts w:ascii="Cambria" w:hAnsi="Cambria"/>
          <w:color w:val="231F20"/>
          <w:spacing w:val="2"/>
        </w:rPr>
        <w:t>(9.3%)”,</w:t>
      </w:r>
      <w:r>
        <w:rPr>
          <w:rFonts w:ascii="Cambria" w:hAnsi="Cambria"/>
          <w:color w:val="231F20"/>
          <w:spacing w:val="-3"/>
        </w:rPr>
        <w:t> </w:t>
      </w:r>
      <w:r>
        <w:rPr>
          <w:rFonts w:ascii="Cambria" w:hAnsi="Cambria"/>
          <w:color w:val="231F20"/>
        </w:rPr>
        <w:t>“se</w:t>
      </w:r>
      <w:r>
        <w:rPr>
          <w:rFonts w:ascii="Cambria" w:hAnsi="Cambria"/>
          <w:color w:val="231F20"/>
          <w:spacing w:val="-3"/>
        </w:rPr>
        <w:t> </w:t>
      </w:r>
      <w:r>
        <w:rPr>
          <w:rFonts w:ascii="Cambria" w:hAnsi="Cambria"/>
          <w:color w:val="231F20"/>
          <w:spacing w:val="2"/>
        </w:rPr>
        <w:t>me</w:t>
      </w:r>
      <w:r>
        <w:rPr>
          <w:rFonts w:ascii="Cambria" w:hAnsi="Cambria"/>
          <w:color w:val="231F20"/>
          <w:spacing w:val="-3"/>
        </w:rPr>
        <w:t> </w:t>
      </w:r>
      <w:r>
        <w:rPr>
          <w:rFonts w:ascii="Cambria" w:hAnsi="Cambria"/>
          <w:color w:val="231F20"/>
          <w:spacing w:val="2"/>
        </w:rPr>
        <w:t>impide</w:t>
      </w:r>
      <w:r>
        <w:rPr>
          <w:rFonts w:ascii="Cambria" w:hAnsi="Cambria"/>
          <w:color w:val="231F20"/>
          <w:spacing w:val="-3"/>
        </w:rPr>
        <w:t> </w:t>
      </w:r>
      <w:r>
        <w:rPr>
          <w:rFonts w:ascii="Cambria" w:hAnsi="Cambria"/>
          <w:color w:val="231F20"/>
          <w:spacing w:val="2"/>
        </w:rPr>
        <w:t>tener</w:t>
      </w:r>
      <w:r>
        <w:rPr>
          <w:rFonts w:ascii="Cambria" w:hAnsi="Cambria"/>
          <w:color w:val="231F20"/>
          <w:spacing w:val="-3"/>
        </w:rPr>
        <w:t> </w:t>
      </w:r>
      <w:r>
        <w:rPr>
          <w:rFonts w:ascii="Cambria" w:hAnsi="Cambria"/>
          <w:color w:val="231F20"/>
          <w:spacing w:val="3"/>
        </w:rPr>
        <w:t>información </w:t>
      </w:r>
      <w:r>
        <w:rPr>
          <w:rFonts w:ascii="Cambria" w:hAnsi="Cambria"/>
          <w:color w:val="231F20"/>
        </w:rPr>
        <w:t>que</w:t>
      </w:r>
      <w:r>
        <w:rPr>
          <w:rFonts w:ascii="Cambria" w:hAnsi="Cambria"/>
          <w:color w:val="231F20"/>
          <w:spacing w:val="-11"/>
        </w:rPr>
        <w:t> </w:t>
      </w:r>
      <w:r>
        <w:rPr>
          <w:rFonts w:ascii="Cambria" w:hAnsi="Cambria"/>
          <w:color w:val="231F20"/>
        </w:rPr>
        <w:t>es</w:t>
      </w:r>
      <w:r>
        <w:rPr>
          <w:rFonts w:ascii="Cambria" w:hAnsi="Cambria"/>
          <w:color w:val="231F20"/>
          <w:spacing w:val="-11"/>
        </w:rPr>
        <w:t> </w:t>
      </w:r>
      <w:r>
        <w:rPr>
          <w:rFonts w:ascii="Cambria" w:hAnsi="Cambria"/>
          <w:color w:val="231F20"/>
          <w:spacing w:val="3"/>
        </w:rPr>
        <w:t>importante</w:t>
      </w:r>
      <w:r>
        <w:rPr>
          <w:rFonts w:ascii="Cambria" w:hAnsi="Cambria"/>
          <w:color w:val="231F20"/>
          <w:spacing w:val="-11"/>
        </w:rPr>
        <w:t> </w:t>
      </w:r>
      <w:r>
        <w:rPr>
          <w:rFonts w:ascii="Cambria" w:hAnsi="Cambria"/>
          <w:color w:val="231F20"/>
        </w:rPr>
        <w:t>y</w:t>
      </w:r>
      <w:r>
        <w:rPr>
          <w:rFonts w:ascii="Cambria" w:hAnsi="Cambria"/>
          <w:color w:val="231F20"/>
          <w:spacing w:val="-11"/>
        </w:rPr>
        <w:t> </w:t>
      </w:r>
      <w:r>
        <w:rPr>
          <w:rFonts w:ascii="Cambria" w:hAnsi="Cambria"/>
          <w:color w:val="231F20"/>
          <w:spacing w:val="2"/>
        </w:rPr>
        <w:t>necesaria</w:t>
      </w:r>
      <w:r>
        <w:rPr>
          <w:rFonts w:ascii="Cambria" w:hAnsi="Cambria"/>
          <w:color w:val="231F20"/>
          <w:spacing w:val="-11"/>
        </w:rPr>
        <w:t> </w:t>
      </w:r>
      <w:r>
        <w:rPr>
          <w:rFonts w:ascii="Cambria" w:hAnsi="Cambria"/>
          <w:color w:val="231F20"/>
          <w:spacing w:val="2"/>
        </w:rPr>
        <w:t>para</w:t>
      </w:r>
      <w:r>
        <w:rPr>
          <w:rFonts w:ascii="Cambria" w:hAnsi="Cambria"/>
          <w:color w:val="231F20"/>
          <w:spacing w:val="-11"/>
        </w:rPr>
        <w:t> </w:t>
      </w:r>
      <w:r>
        <w:rPr>
          <w:rFonts w:ascii="Cambria" w:hAnsi="Cambria"/>
          <w:color w:val="231F20"/>
          <w:spacing w:val="2"/>
        </w:rPr>
        <w:t>realizar</w:t>
      </w:r>
      <w:r>
        <w:rPr>
          <w:rFonts w:ascii="Cambria" w:hAnsi="Cambria"/>
          <w:color w:val="231F20"/>
          <w:spacing w:val="-11"/>
        </w:rPr>
        <w:t> </w:t>
      </w:r>
      <w:r>
        <w:rPr>
          <w:rFonts w:ascii="Cambria" w:hAnsi="Cambria"/>
          <w:color w:val="231F20"/>
          <w:spacing w:val="2"/>
        </w:rPr>
        <w:t>mi</w:t>
      </w:r>
      <w:r>
        <w:rPr>
          <w:rFonts w:ascii="Cambria" w:hAnsi="Cambria"/>
          <w:color w:val="231F20"/>
          <w:spacing w:val="-11"/>
        </w:rPr>
        <w:t> </w:t>
      </w:r>
      <w:r>
        <w:rPr>
          <w:rFonts w:ascii="Cambria" w:hAnsi="Cambria"/>
          <w:color w:val="231F20"/>
          <w:spacing w:val="2"/>
        </w:rPr>
        <w:t>trabajo</w:t>
      </w:r>
      <w:r>
        <w:rPr>
          <w:rFonts w:ascii="Cambria" w:hAnsi="Cambria"/>
          <w:color w:val="231F20"/>
          <w:spacing w:val="-11"/>
        </w:rPr>
        <w:t> </w:t>
      </w:r>
      <w:r>
        <w:rPr>
          <w:rFonts w:ascii="Cambria" w:hAnsi="Cambria"/>
          <w:color w:val="231F20"/>
          <w:spacing w:val="3"/>
        </w:rPr>
        <w:t>(10.9%)”, </w:t>
      </w:r>
      <w:r>
        <w:rPr>
          <w:rFonts w:ascii="Cambria" w:hAnsi="Cambria"/>
          <w:color w:val="231F20"/>
        </w:rPr>
        <w:t>“se </w:t>
      </w:r>
      <w:r>
        <w:rPr>
          <w:rFonts w:ascii="Cambria" w:hAnsi="Cambria"/>
          <w:color w:val="231F20"/>
          <w:spacing w:val="3"/>
        </w:rPr>
        <w:t>manipulan </w:t>
      </w:r>
      <w:r>
        <w:rPr>
          <w:rFonts w:ascii="Cambria" w:hAnsi="Cambria"/>
          <w:color w:val="231F20"/>
        </w:rPr>
        <w:t>las </w:t>
      </w:r>
      <w:r>
        <w:rPr>
          <w:rFonts w:ascii="Cambria" w:hAnsi="Cambria"/>
          <w:color w:val="231F20"/>
          <w:spacing w:val="2"/>
        </w:rPr>
        <w:t>situaciones </w:t>
      </w:r>
      <w:r>
        <w:rPr>
          <w:rFonts w:ascii="Cambria" w:hAnsi="Cambria"/>
          <w:color w:val="231F20"/>
        </w:rPr>
        <w:t>de </w:t>
      </w:r>
      <w:r>
        <w:rPr>
          <w:rFonts w:ascii="Cambria" w:hAnsi="Cambria"/>
          <w:color w:val="231F20"/>
          <w:spacing w:val="2"/>
        </w:rPr>
        <w:t>trabajo para </w:t>
      </w:r>
      <w:r>
        <w:rPr>
          <w:rFonts w:ascii="Cambria" w:hAnsi="Cambria"/>
          <w:color w:val="231F20"/>
          <w:spacing w:val="3"/>
        </w:rPr>
        <w:t>hacerme </w:t>
      </w:r>
      <w:r>
        <w:rPr>
          <w:rFonts w:ascii="Cambria" w:hAnsi="Cambria"/>
          <w:color w:val="231F20"/>
          <w:spacing w:val="2"/>
        </w:rPr>
        <w:t>caer </w:t>
      </w:r>
      <w:r>
        <w:rPr>
          <w:rFonts w:ascii="Cambria" w:hAnsi="Cambria"/>
          <w:color w:val="231F20"/>
        </w:rPr>
        <w:t>en </w:t>
      </w:r>
      <w:r>
        <w:rPr>
          <w:rFonts w:ascii="Cambria" w:hAnsi="Cambria"/>
          <w:color w:val="231F20"/>
          <w:spacing w:val="2"/>
        </w:rPr>
        <w:t>errores</w:t>
      </w:r>
      <w:r>
        <w:rPr>
          <w:rFonts w:ascii="Cambria" w:hAnsi="Cambria"/>
          <w:color w:val="231F20"/>
          <w:spacing w:val="-11"/>
        </w:rPr>
        <w:t> </w:t>
      </w:r>
      <w:r>
        <w:rPr>
          <w:rFonts w:ascii="Cambria" w:hAnsi="Cambria"/>
          <w:color w:val="231F20"/>
        </w:rPr>
        <w:t>y</w:t>
      </w:r>
      <w:r>
        <w:rPr>
          <w:rFonts w:ascii="Cambria" w:hAnsi="Cambria"/>
          <w:color w:val="231F20"/>
          <w:spacing w:val="-11"/>
        </w:rPr>
        <w:t> </w:t>
      </w:r>
      <w:r>
        <w:rPr>
          <w:rFonts w:ascii="Cambria" w:hAnsi="Cambria"/>
          <w:color w:val="231F20"/>
          <w:spacing w:val="3"/>
        </w:rPr>
        <w:t>después</w:t>
      </w:r>
      <w:r>
        <w:rPr>
          <w:rFonts w:ascii="Cambria" w:hAnsi="Cambria"/>
          <w:color w:val="231F20"/>
          <w:spacing w:val="-11"/>
        </w:rPr>
        <w:t> </w:t>
      </w:r>
      <w:r>
        <w:rPr>
          <w:rFonts w:ascii="Cambria" w:hAnsi="Cambria"/>
          <w:color w:val="231F20"/>
          <w:spacing w:val="3"/>
        </w:rPr>
        <w:t>acusarme</w:t>
      </w:r>
      <w:r>
        <w:rPr>
          <w:rFonts w:ascii="Cambria" w:hAnsi="Cambria"/>
          <w:color w:val="231F20"/>
          <w:spacing w:val="-11"/>
        </w:rPr>
        <w:t> </w:t>
      </w:r>
      <w:r>
        <w:rPr>
          <w:rFonts w:ascii="Cambria" w:hAnsi="Cambria"/>
          <w:color w:val="231F20"/>
        </w:rPr>
        <w:t>de</w:t>
      </w:r>
      <w:r>
        <w:rPr>
          <w:rFonts w:ascii="Cambria" w:hAnsi="Cambria"/>
          <w:color w:val="231F20"/>
          <w:spacing w:val="-11"/>
        </w:rPr>
        <w:t> </w:t>
      </w:r>
      <w:r>
        <w:rPr>
          <w:rFonts w:ascii="Cambria" w:hAnsi="Cambria"/>
          <w:color w:val="231F20"/>
          <w:spacing w:val="2"/>
        </w:rPr>
        <w:t>negligencia</w:t>
      </w:r>
      <w:r>
        <w:rPr>
          <w:rFonts w:ascii="Cambria" w:hAnsi="Cambria"/>
          <w:color w:val="231F20"/>
          <w:spacing w:val="-11"/>
        </w:rPr>
        <w:t> </w:t>
      </w:r>
      <w:r>
        <w:rPr>
          <w:rFonts w:ascii="Cambria" w:hAnsi="Cambria"/>
          <w:color w:val="231F20"/>
        </w:rPr>
        <w:t>o</w:t>
      </w:r>
      <w:r>
        <w:rPr>
          <w:rFonts w:ascii="Cambria" w:hAnsi="Cambria"/>
          <w:color w:val="231F20"/>
          <w:spacing w:val="-11"/>
        </w:rPr>
        <w:t> </w:t>
      </w:r>
      <w:r>
        <w:rPr>
          <w:rFonts w:ascii="Cambria" w:hAnsi="Cambria"/>
          <w:color w:val="231F20"/>
        </w:rPr>
        <w:t>de</w:t>
      </w:r>
      <w:r>
        <w:rPr>
          <w:rFonts w:ascii="Cambria" w:hAnsi="Cambria"/>
          <w:color w:val="231F20"/>
          <w:spacing w:val="-11"/>
        </w:rPr>
        <w:t> </w:t>
      </w:r>
      <w:r>
        <w:rPr>
          <w:rFonts w:ascii="Cambria" w:hAnsi="Cambria"/>
          <w:color w:val="231F20"/>
        </w:rPr>
        <w:t>ser</w:t>
      </w:r>
      <w:r>
        <w:rPr>
          <w:rFonts w:ascii="Cambria" w:hAnsi="Cambria"/>
          <w:color w:val="231F20"/>
          <w:spacing w:val="-11"/>
        </w:rPr>
        <w:t> </w:t>
      </w:r>
      <w:r>
        <w:rPr>
          <w:rFonts w:ascii="Cambria" w:hAnsi="Cambria"/>
          <w:color w:val="231F20"/>
          <w:spacing w:val="2"/>
        </w:rPr>
        <w:t>un(a)</w:t>
      </w:r>
      <w:r>
        <w:rPr>
          <w:rFonts w:ascii="Cambria" w:hAnsi="Cambria"/>
          <w:color w:val="231F20"/>
          <w:spacing w:val="-11"/>
        </w:rPr>
        <w:t> </w:t>
      </w:r>
      <w:r>
        <w:rPr>
          <w:rFonts w:ascii="Cambria" w:hAnsi="Cambria"/>
          <w:color w:val="231F20"/>
          <w:spacing w:val="3"/>
        </w:rPr>
        <w:t>mal(a) </w:t>
      </w:r>
      <w:r>
        <w:rPr>
          <w:rFonts w:ascii="Cambria" w:hAnsi="Cambria"/>
          <w:color w:val="231F20"/>
          <w:spacing w:val="2"/>
        </w:rPr>
        <w:t>trabajador(a) (7.9%)”, </w:t>
      </w:r>
      <w:r>
        <w:rPr>
          <w:rFonts w:ascii="Cambria" w:hAnsi="Cambria"/>
          <w:color w:val="231F20"/>
        </w:rPr>
        <w:t>“se </w:t>
      </w:r>
      <w:r>
        <w:rPr>
          <w:rFonts w:ascii="Cambria" w:hAnsi="Cambria"/>
          <w:color w:val="231F20"/>
          <w:spacing w:val="2"/>
        </w:rPr>
        <w:t>desvalora mi trabajo </w:t>
      </w:r>
      <w:r>
        <w:rPr>
          <w:rFonts w:ascii="Cambria" w:hAnsi="Cambria"/>
          <w:color w:val="231F20"/>
        </w:rPr>
        <w:t>y </w:t>
      </w:r>
      <w:r>
        <w:rPr>
          <w:rFonts w:ascii="Cambria" w:hAnsi="Cambria"/>
          <w:color w:val="231F20"/>
          <w:spacing w:val="2"/>
        </w:rPr>
        <w:t>nunca </w:t>
      </w:r>
      <w:r>
        <w:rPr>
          <w:rFonts w:ascii="Cambria" w:hAnsi="Cambria"/>
          <w:color w:val="231F20"/>
        </w:rPr>
        <w:t>se </w:t>
      </w:r>
      <w:r>
        <w:rPr>
          <w:rFonts w:ascii="Cambria" w:hAnsi="Cambria"/>
          <w:color w:val="231F20"/>
          <w:spacing w:val="2"/>
        </w:rPr>
        <w:t>me </w:t>
      </w:r>
      <w:r>
        <w:rPr>
          <w:rFonts w:ascii="Cambria" w:hAnsi="Cambria"/>
          <w:color w:val="231F20"/>
          <w:spacing w:val="3"/>
        </w:rPr>
        <w:t>reconoce </w:t>
      </w:r>
      <w:r>
        <w:rPr>
          <w:rFonts w:ascii="Cambria" w:hAnsi="Cambria"/>
          <w:color w:val="231F20"/>
        </w:rPr>
        <w:t>que </w:t>
      </w:r>
      <w:r>
        <w:rPr>
          <w:rFonts w:ascii="Cambria" w:hAnsi="Cambria"/>
          <w:color w:val="231F20"/>
          <w:spacing w:val="2"/>
        </w:rPr>
        <w:t>haya hecho algo bien (12.5%)”, </w:t>
      </w:r>
      <w:r>
        <w:rPr>
          <w:rFonts w:ascii="Cambria" w:hAnsi="Cambria"/>
          <w:color w:val="231F20"/>
        </w:rPr>
        <w:t>“se </w:t>
      </w:r>
      <w:r>
        <w:rPr>
          <w:rFonts w:ascii="Cambria" w:hAnsi="Cambria"/>
          <w:color w:val="231F20"/>
          <w:spacing w:val="2"/>
        </w:rPr>
        <w:t>ignoran mis </w:t>
      </w:r>
      <w:r>
        <w:rPr>
          <w:rFonts w:ascii="Cambria" w:hAnsi="Cambria"/>
          <w:color w:val="231F20"/>
          <w:spacing w:val="2"/>
          <w:w w:val="95"/>
        </w:rPr>
        <w:t>éxitos laborales </w:t>
      </w:r>
      <w:r>
        <w:rPr>
          <w:rFonts w:ascii="Cambria" w:hAnsi="Cambria"/>
          <w:color w:val="231F20"/>
          <w:w w:val="95"/>
        </w:rPr>
        <w:t>y se </w:t>
      </w:r>
      <w:r>
        <w:rPr>
          <w:rFonts w:ascii="Cambria" w:hAnsi="Cambria"/>
          <w:color w:val="231F20"/>
          <w:spacing w:val="2"/>
          <w:w w:val="95"/>
        </w:rPr>
        <w:t>atribuyen </w:t>
      </w:r>
      <w:r>
        <w:rPr>
          <w:rFonts w:ascii="Cambria" w:hAnsi="Cambria"/>
          <w:color w:val="231F20"/>
          <w:spacing w:val="3"/>
          <w:w w:val="95"/>
        </w:rPr>
        <w:t>maliciosamente </w:t>
      </w:r>
      <w:r>
        <w:rPr>
          <w:rFonts w:ascii="Cambria" w:hAnsi="Cambria"/>
          <w:color w:val="231F20"/>
          <w:w w:val="95"/>
        </w:rPr>
        <w:t>a </w:t>
      </w:r>
      <w:r>
        <w:rPr>
          <w:rFonts w:ascii="Cambria" w:hAnsi="Cambria"/>
          <w:color w:val="231F20"/>
          <w:spacing w:val="2"/>
          <w:w w:val="95"/>
        </w:rPr>
        <w:t>otras </w:t>
      </w:r>
      <w:r>
        <w:rPr>
          <w:rFonts w:ascii="Cambria" w:hAnsi="Cambria"/>
          <w:color w:val="231F20"/>
          <w:spacing w:val="3"/>
          <w:w w:val="95"/>
        </w:rPr>
        <w:t>personas </w:t>
      </w:r>
      <w:r>
        <w:rPr>
          <w:rFonts w:ascii="Cambria" w:hAnsi="Cambria"/>
          <w:color w:val="231F20"/>
          <w:w w:val="95"/>
        </w:rPr>
        <w:t>o </w:t>
      </w:r>
      <w:r>
        <w:rPr>
          <w:rFonts w:ascii="Cambria" w:hAnsi="Cambria"/>
          <w:color w:val="231F20"/>
          <w:spacing w:val="3"/>
          <w:w w:val="95"/>
        </w:rPr>
        <w:t>elementos </w:t>
      </w:r>
      <w:r>
        <w:rPr>
          <w:rFonts w:ascii="Cambria" w:hAnsi="Cambria"/>
          <w:color w:val="231F20"/>
          <w:spacing w:val="2"/>
          <w:w w:val="95"/>
        </w:rPr>
        <w:t>ajenos </w:t>
      </w:r>
      <w:r>
        <w:rPr>
          <w:rFonts w:ascii="Cambria" w:hAnsi="Cambria"/>
          <w:color w:val="231F20"/>
          <w:w w:val="95"/>
        </w:rPr>
        <w:t>a </w:t>
      </w:r>
      <w:r>
        <w:rPr>
          <w:rFonts w:ascii="Cambria" w:hAnsi="Cambria"/>
          <w:color w:val="231F20"/>
          <w:spacing w:val="2"/>
          <w:w w:val="95"/>
        </w:rPr>
        <w:t>ellos, </w:t>
      </w:r>
      <w:r>
        <w:rPr>
          <w:rFonts w:ascii="Cambria" w:hAnsi="Cambria"/>
          <w:color w:val="231F20"/>
          <w:spacing w:val="3"/>
          <w:w w:val="95"/>
        </w:rPr>
        <w:t>como </w:t>
      </w:r>
      <w:r>
        <w:rPr>
          <w:rFonts w:ascii="Cambria" w:hAnsi="Cambria"/>
          <w:color w:val="231F20"/>
          <w:w w:val="95"/>
        </w:rPr>
        <w:t>la </w:t>
      </w:r>
      <w:r>
        <w:rPr>
          <w:rFonts w:ascii="Cambria" w:hAnsi="Cambria"/>
          <w:color w:val="231F20"/>
          <w:spacing w:val="2"/>
          <w:w w:val="95"/>
        </w:rPr>
        <w:t>casualidad, </w:t>
      </w:r>
      <w:r>
        <w:rPr>
          <w:rFonts w:ascii="Cambria" w:hAnsi="Cambria"/>
          <w:color w:val="231F20"/>
          <w:w w:val="95"/>
        </w:rPr>
        <w:t>la </w:t>
      </w:r>
      <w:r>
        <w:rPr>
          <w:rFonts w:ascii="Cambria" w:hAnsi="Cambria"/>
          <w:color w:val="231F20"/>
          <w:spacing w:val="2"/>
          <w:w w:val="95"/>
        </w:rPr>
        <w:t>suerte, </w:t>
      </w:r>
      <w:r>
        <w:rPr>
          <w:rFonts w:ascii="Cambria" w:hAnsi="Cambria"/>
          <w:color w:val="231F20"/>
          <w:w w:val="95"/>
        </w:rPr>
        <w:t>la </w:t>
      </w:r>
      <w:r>
        <w:rPr>
          <w:rFonts w:ascii="Cambria" w:hAnsi="Cambria"/>
          <w:color w:val="231F20"/>
          <w:spacing w:val="2"/>
          <w:w w:val="95"/>
        </w:rPr>
        <w:t>situación del </w:t>
      </w:r>
      <w:r>
        <w:rPr>
          <w:rFonts w:ascii="Cambria" w:hAnsi="Cambria"/>
          <w:color w:val="231F20"/>
          <w:spacing w:val="3"/>
          <w:w w:val="95"/>
        </w:rPr>
        <w:t>mercado, </w:t>
      </w:r>
      <w:r>
        <w:rPr>
          <w:rFonts w:ascii="Cambria" w:hAnsi="Cambria"/>
          <w:color w:val="231F20"/>
          <w:spacing w:val="2"/>
          <w:w w:val="95"/>
        </w:rPr>
        <w:t>etc. (9.4%)”, </w:t>
      </w:r>
      <w:r>
        <w:rPr>
          <w:rFonts w:ascii="Cambria" w:hAnsi="Cambria"/>
          <w:color w:val="231F20"/>
          <w:w w:val="95"/>
        </w:rPr>
        <w:t>“se </w:t>
      </w:r>
      <w:r>
        <w:rPr>
          <w:rFonts w:ascii="Cambria" w:hAnsi="Cambria"/>
          <w:color w:val="231F20"/>
          <w:spacing w:val="2"/>
          <w:w w:val="95"/>
        </w:rPr>
        <w:t>me obstaculizan </w:t>
      </w:r>
      <w:r>
        <w:rPr>
          <w:rFonts w:ascii="Cambria" w:hAnsi="Cambria"/>
          <w:color w:val="231F20"/>
          <w:w w:val="95"/>
        </w:rPr>
        <w:t>las </w:t>
      </w:r>
      <w:r>
        <w:rPr>
          <w:rFonts w:ascii="Cambria" w:hAnsi="Cambria"/>
          <w:color w:val="231F20"/>
          <w:spacing w:val="2"/>
          <w:w w:val="95"/>
        </w:rPr>
        <w:t>posibilidades </w:t>
      </w:r>
      <w:r>
        <w:rPr>
          <w:rFonts w:ascii="Cambria" w:hAnsi="Cambria"/>
          <w:color w:val="231F20"/>
          <w:w w:val="95"/>
        </w:rPr>
        <w:t>de </w:t>
      </w:r>
      <w:r>
        <w:rPr>
          <w:rFonts w:ascii="Cambria" w:hAnsi="Cambria"/>
          <w:color w:val="231F20"/>
          <w:spacing w:val="3"/>
        </w:rPr>
        <w:t>comunicarme</w:t>
      </w:r>
      <w:r>
        <w:rPr>
          <w:rFonts w:ascii="Cambria" w:hAnsi="Cambria"/>
          <w:color w:val="231F20"/>
          <w:spacing w:val="-18"/>
        </w:rPr>
        <w:t> </w:t>
      </w:r>
      <w:r>
        <w:rPr>
          <w:rFonts w:ascii="Cambria" w:hAnsi="Cambria"/>
          <w:color w:val="231F20"/>
          <w:spacing w:val="2"/>
        </w:rPr>
        <w:t>con</w:t>
      </w:r>
      <w:r>
        <w:rPr>
          <w:rFonts w:ascii="Cambria" w:hAnsi="Cambria"/>
          <w:color w:val="231F20"/>
          <w:spacing w:val="-18"/>
        </w:rPr>
        <w:t> </w:t>
      </w:r>
      <w:r>
        <w:rPr>
          <w:rFonts w:ascii="Cambria" w:hAnsi="Cambria"/>
          <w:color w:val="231F20"/>
          <w:spacing w:val="3"/>
        </w:rPr>
        <w:t>compañeros</w:t>
      </w:r>
      <w:r>
        <w:rPr>
          <w:rFonts w:ascii="Cambria" w:hAnsi="Cambria"/>
          <w:color w:val="231F20"/>
          <w:spacing w:val="-18"/>
        </w:rPr>
        <w:t> </w:t>
      </w:r>
      <w:r>
        <w:rPr>
          <w:rFonts w:ascii="Cambria" w:hAnsi="Cambria"/>
          <w:color w:val="231F20"/>
          <w:spacing w:val="2"/>
        </w:rPr>
        <w:t>y/o</w:t>
      </w:r>
      <w:r>
        <w:rPr>
          <w:rFonts w:ascii="Cambria" w:hAnsi="Cambria"/>
          <w:color w:val="231F20"/>
          <w:spacing w:val="-18"/>
        </w:rPr>
        <w:t> </w:t>
      </w:r>
      <w:r>
        <w:rPr>
          <w:rFonts w:ascii="Cambria" w:hAnsi="Cambria"/>
          <w:color w:val="231F20"/>
          <w:spacing w:val="2"/>
        </w:rPr>
        <w:t>con</w:t>
      </w:r>
      <w:r>
        <w:rPr>
          <w:rFonts w:ascii="Cambria" w:hAnsi="Cambria"/>
          <w:color w:val="231F20"/>
          <w:spacing w:val="-18"/>
        </w:rPr>
        <w:t> </w:t>
      </w:r>
      <w:r>
        <w:rPr>
          <w:rFonts w:ascii="Cambria" w:hAnsi="Cambria"/>
          <w:color w:val="231F20"/>
          <w:spacing w:val="2"/>
        </w:rPr>
        <w:t>otras</w:t>
      </w:r>
      <w:r>
        <w:rPr>
          <w:rFonts w:ascii="Cambria" w:hAnsi="Cambria"/>
          <w:color w:val="231F20"/>
          <w:spacing w:val="-18"/>
        </w:rPr>
        <w:t> </w:t>
      </w:r>
      <w:r>
        <w:rPr>
          <w:rFonts w:ascii="Cambria" w:hAnsi="Cambria"/>
          <w:color w:val="231F20"/>
          <w:spacing w:val="2"/>
        </w:rPr>
        <w:t>áreas</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spacing w:val="3"/>
        </w:rPr>
        <w:t>empresa (7.8%)”,</w:t>
      </w:r>
      <w:r>
        <w:rPr>
          <w:rFonts w:ascii="Cambria" w:hAnsi="Cambria"/>
          <w:color w:val="231F20"/>
          <w:spacing w:val="-19"/>
        </w:rPr>
        <w:t> </w:t>
      </w:r>
      <w:r>
        <w:rPr>
          <w:rFonts w:ascii="Cambria" w:hAnsi="Cambria"/>
          <w:color w:val="231F20"/>
        </w:rPr>
        <w:t>“se</w:t>
      </w:r>
      <w:r>
        <w:rPr>
          <w:rFonts w:ascii="Cambria" w:hAnsi="Cambria"/>
          <w:color w:val="231F20"/>
          <w:spacing w:val="-18"/>
        </w:rPr>
        <w:t> </w:t>
      </w:r>
      <w:r>
        <w:rPr>
          <w:rFonts w:ascii="Cambria" w:hAnsi="Cambria"/>
          <w:color w:val="231F20"/>
          <w:spacing w:val="2"/>
        </w:rPr>
        <w:t>me</w:t>
      </w:r>
      <w:r>
        <w:rPr>
          <w:rFonts w:ascii="Cambria" w:hAnsi="Cambria"/>
          <w:color w:val="231F20"/>
          <w:spacing w:val="-18"/>
        </w:rPr>
        <w:t> </w:t>
      </w:r>
      <w:r>
        <w:rPr>
          <w:rFonts w:ascii="Cambria" w:hAnsi="Cambria"/>
          <w:color w:val="231F20"/>
          <w:spacing w:val="2"/>
        </w:rPr>
        <w:t>evita</w:t>
      </w:r>
      <w:r>
        <w:rPr>
          <w:rFonts w:ascii="Cambria" w:hAnsi="Cambria"/>
          <w:color w:val="231F20"/>
          <w:spacing w:val="-18"/>
        </w:rPr>
        <w:t> </w:t>
      </w:r>
      <w:r>
        <w:rPr>
          <w:rFonts w:ascii="Cambria" w:hAnsi="Cambria"/>
          <w:color w:val="231F20"/>
        </w:rPr>
        <w:t>o</w:t>
      </w:r>
      <w:r>
        <w:rPr>
          <w:rFonts w:ascii="Cambria" w:hAnsi="Cambria"/>
          <w:color w:val="231F20"/>
          <w:spacing w:val="-18"/>
        </w:rPr>
        <w:t> </w:t>
      </w:r>
      <w:r>
        <w:rPr>
          <w:rFonts w:ascii="Cambria" w:hAnsi="Cambria"/>
          <w:color w:val="231F20"/>
          <w:spacing w:val="2"/>
        </w:rPr>
        <w:t>rechaza</w:t>
      </w:r>
      <w:r>
        <w:rPr>
          <w:rFonts w:ascii="Cambria" w:hAnsi="Cambria"/>
          <w:color w:val="231F20"/>
          <w:spacing w:val="-18"/>
        </w:rPr>
        <w:t> </w:t>
      </w:r>
      <w:r>
        <w:rPr>
          <w:rFonts w:ascii="Cambria" w:hAnsi="Cambria"/>
          <w:color w:val="231F20"/>
        </w:rPr>
        <w:t>en</w:t>
      </w:r>
      <w:r>
        <w:rPr>
          <w:rFonts w:ascii="Cambria" w:hAnsi="Cambria"/>
          <w:color w:val="231F20"/>
          <w:spacing w:val="-18"/>
        </w:rPr>
        <w:t> </w:t>
      </w:r>
      <w:r>
        <w:rPr>
          <w:rFonts w:ascii="Cambria" w:hAnsi="Cambria"/>
          <w:color w:val="231F20"/>
        </w:rPr>
        <w:t>el</w:t>
      </w:r>
      <w:r>
        <w:rPr>
          <w:rFonts w:ascii="Cambria" w:hAnsi="Cambria"/>
          <w:color w:val="231F20"/>
          <w:spacing w:val="-19"/>
        </w:rPr>
        <w:t> </w:t>
      </w:r>
      <w:r>
        <w:rPr>
          <w:rFonts w:ascii="Cambria" w:hAnsi="Cambria"/>
          <w:color w:val="231F20"/>
          <w:spacing w:val="2"/>
        </w:rPr>
        <w:t>trabajo</w:t>
      </w:r>
      <w:r>
        <w:rPr>
          <w:rFonts w:ascii="Cambria" w:hAnsi="Cambria"/>
          <w:color w:val="231F20"/>
          <w:spacing w:val="-18"/>
        </w:rPr>
        <w:t> </w:t>
      </w:r>
      <w:r>
        <w:rPr>
          <w:rFonts w:ascii="Cambria" w:hAnsi="Cambria"/>
          <w:color w:val="231F20"/>
          <w:spacing w:val="2"/>
        </w:rPr>
        <w:t>(evitando</w:t>
      </w:r>
      <w:r>
        <w:rPr>
          <w:rFonts w:ascii="Cambria" w:hAnsi="Cambria"/>
          <w:color w:val="231F20"/>
          <w:spacing w:val="-18"/>
        </w:rPr>
        <w:t> </w:t>
      </w:r>
      <w:r>
        <w:rPr>
          <w:rFonts w:ascii="Cambria" w:hAnsi="Cambria"/>
          <w:color w:val="231F20"/>
        </w:rPr>
        <w:t>el</w:t>
      </w:r>
      <w:r>
        <w:rPr>
          <w:rFonts w:ascii="Cambria" w:hAnsi="Cambria"/>
          <w:color w:val="231F20"/>
          <w:spacing w:val="-19"/>
        </w:rPr>
        <w:t> </w:t>
      </w:r>
      <w:r>
        <w:rPr>
          <w:rFonts w:ascii="Cambria" w:hAnsi="Cambria"/>
          <w:color w:val="231F20"/>
          <w:spacing w:val="2"/>
        </w:rPr>
        <w:t>contacto visual,</w:t>
      </w:r>
      <w:r>
        <w:rPr>
          <w:rFonts w:ascii="Cambria" w:hAnsi="Cambria"/>
          <w:color w:val="231F20"/>
          <w:spacing w:val="-21"/>
        </w:rPr>
        <w:t> </w:t>
      </w:r>
      <w:r>
        <w:rPr>
          <w:rFonts w:ascii="Cambria" w:hAnsi="Cambria"/>
          <w:color w:val="231F20"/>
          <w:spacing w:val="2"/>
        </w:rPr>
        <w:t>mediante</w:t>
      </w:r>
      <w:r>
        <w:rPr>
          <w:rFonts w:ascii="Cambria" w:hAnsi="Cambria"/>
          <w:color w:val="231F20"/>
          <w:spacing w:val="-20"/>
        </w:rPr>
        <w:t> </w:t>
      </w:r>
      <w:r>
        <w:rPr>
          <w:rFonts w:ascii="Cambria" w:hAnsi="Cambria"/>
          <w:color w:val="231F20"/>
          <w:spacing w:val="2"/>
        </w:rPr>
        <w:t>gestos</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spacing w:val="2"/>
        </w:rPr>
        <w:t>rechazo</w:t>
      </w:r>
      <w:r>
        <w:rPr>
          <w:rFonts w:ascii="Cambria" w:hAnsi="Cambria"/>
          <w:color w:val="231F20"/>
          <w:spacing w:val="-20"/>
        </w:rPr>
        <w:t> </w:t>
      </w:r>
      <w:r>
        <w:rPr>
          <w:rFonts w:ascii="Cambria" w:hAnsi="Cambria"/>
          <w:color w:val="231F20"/>
          <w:spacing w:val="2"/>
        </w:rPr>
        <w:t>explícito,</w:t>
      </w:r>
      <w:r>
        <w:rPr>
          <w:rFonts w:ascii="Cambria" w:hAnsi="Cambria"/>
          <w:color w:val="231F20"/>
          <w:spacing w:val="-21"/>
        </w:rPr>
        <w:t> </w:t>
      </w:r>
      <w:r>
        <w:rPr>
          <w:rFonts w:ascii="Cambria" w:hAnsi="Cambria"/>
          <w:color w:val="231F20"/>
          <w:spacing w:val="2"/>
        </w:rPr>
        <w:t>desdén</w:t>
      </w:r>
      <w:r>
        <w:rPr>
          <w:rFonts w:ascii="Cambria" w:hAnsi="Cambria"/>
          <w:color w:val="231F20"/>
          <w:spacing w:val="-20"/>
        </w:rPr>
        <w:t> </w:t>
      </w:r>
      <w:r>
        <w:rPr>
          <w:rFonts w:ascii="Cambria" w:hAnsi="Cambria"/>
          <w:color w:val="231F20"/>
        </w:rPr>
        <w:t>o</w:t>
      </w:r>
      <w:r>
        <w:rPr>
          <w:rFonts w:ascii="Cambria" w:hAnsi="Cambria"/>
          <w:color w:val="231F20"/>
          <w:spacing w:val="-20"/>
        </w:rPr>
        <w:t> </w:t>
      </w:r>
      <w:r>
        <w:rPr>
          <w:rFonts w:ascii="Cambria" w:hAnsi="Cambria"/>
          <w:color w:val="231F20"/>
          <w:spacing w:val="3"/>
        </w:rPr>
        <w:t>menospre- </w:t>
      </w:r>
      <w:r>
        <w:rPr>
          <w:rFonts w:ascii="Cambria" w:hAnsi="Cambria"/>
          <w:color w:val="231F20"/>
          <w:spacing w:val="2"/>
        </w:rPr>
        <w:t>cio,</w:t>
      </w:r>
      <w:r>
        <w:rPr>
          <w:rFonts w:ascii="Cambria" w:hAnsi="Cambria"/>
          <w:color w:val="231F20"/>
          <w:spacing w:val="-16"/>
        </w:rPr>
        <w:t> </w:t>
      </w:r>
      <w:r>
        <w:rPr>
          <w:rFonts w:ascii="Cambria" w:hAnsi="Cambria"/>
          <w:color w:val="231F20"/>
          <w:spacing w:val="2"/>
        </w:rPr>
        <w:t>etc.)</w:t>
      </w:r>
      <w:r>
        <w:rPr>
          <w:rFonts w:ascii="Cambria" w:hAnsi="Cambria"/>
          <w:color w:val="231F20"/>
          <w:spacing w:val="-15"/>
        </w:rPr>
        <w:t> </w:t>
      </w:r>
      <w:r>
        <w:rPr>
          <w:rFonts w:ascii="Cambria" w:hAnsi="Cambria"/>
          <w:color w:val="231F20"/>
          <w:spacing w:val="2"/>
        </w:rPr>
        <w:t>(7.8%)”,</w:t>
      </w:r>
      <w:r>
        <w:rPr>
          <w:rFonts w:ascii="Cambria" w:hAnsi="Cambria"/>
          <w:color w:val="231F20"/>
          <w:spacing w:val="-16"/>
        </w:rPr>
        <w:t> </w:t>
      </w:r>
      <w:r>
        <w:rPr>
          <w:rFonts w:ascii="Cambria" w:hAnsi="Cambria"/>
          <w:color w:val="231F20"/>
        </w:rPr>
        <w:t>“se</w:t>
      </w:r>
      <w:r>
        <w:rPr>
          <w:rFonts w:ascii="Cambria" w:hAnsi="Cambria"/>
          <w:color w:val="231F20"/>
          <w:spacing w:val="-15"/>
        </w:rPr>
        <w:t> </w:t>
      </w:r>
      <w:r>
        <w:rPr>
          <w:rFonts w:ascii="Cambria" w:hAnsi="Cambria"/>
          <w:color w:val="231F20"/>
          <w:spacing w:val="2"/>
        </w:rPr>
        <w:t>me</w:t>
      </w:r>
      <w:r>
        <w:rPr>
          <w:rFonts w:ascii="Cambria" w:hAnsi="Cambria"/>
          <w:color w:val="231F20"/>
          <w:spacing w:val="-15"/>
        </w:rPr>
        <w:t> </w:t>
      </w:r>
      <w:r>
        <w:rPr>
          <w:rFonts w:ascii="Cambria" w:hAnsi="Cambria"/>
          <w:color w:val="231F20"/>
          <w:spacing w:val="2"/>
        </w:rPr>
        <w:t>asignan</w:t>
      </w:r>
      <w:r>
        <w:rPr>
          <w:rFonts w:ascii="Cambria" w:hAnsi="Cambria"/>
          <w:color w:val="231F20"/>
          <w:spacing w:val="-15"/>
        </w:rPr>
        <w:t> </w:t>
      </w:r>
      <w:r>
        <w:rPr>
          <w:rFonts w:ascii="Cambria" w:hAnsi="Cambria"/>
          <w:color w:val="231F20"/>
        </w:rPr>
        <w:t>sin</w:t>
      </w:r>
      <w:r>
        <w:rPr>
          <w:rFonts w:ascii="Cambria" w:hAnsi="Cambria"/>
          <w:color w:val="231F20"/>
          <w:spacing w:val="-15"/>
        </w:rPr>
        <w:t> </w:t>
      </w:r>
      <w:r>
        <w:rPr>
          <w:rFonts w:ascii="Cambria" w:hAnsi="Cambria"/>
          <w:color w:val="231F20"/>
          <w:spacing w:val="2"/>
        </w:rPr>
        <w:t>cesar</w:t>
      </w:r>
      <w:r>
        <w:rPr>
          <w:rFonts w:ascii="Cambria" w:hAnsi="Cambria"/>
          <w:color w:val="231F20"/>
          <w:spacing w:val="-16"/>
        </w:rPr>
        <w:t> </w:t>
      </w:r>
      <w:r>
        <w:rPr>
          <w:rFonts w:ascii="Cambria" w:hAnsi="Cambria"/>
          <w:color w:val="231F20"/>
          <w:spacing w:val="2"/>
        </w:rPr>
        <w:t>tareas</w:t>
      </w:r>
      <w:r>
        <w:rPr>
          <w:rFonts w:ascii="Cambria" w:hAnsi="Cambria"/>
          <w:color w:val="231F20"/>
          <w:spacing w:val="-15"/>
        </w:rPr>
        <w:t> </w:t>
      </w:r>
      <w:r>
        <w:rPr>
          <w:rFonts w:ascii="Cambria" w:hAnsi="Cambria"/>
          <w:color w:val="231F20"/>
          <w:spacing w:val="2"/>
        </w:rPr>
        <w:t>nuevas</w:t>
      </w:r>
      <w:r>
        <w:rPr>
          <w:rFonts w:ascii="Cambria" w:hAnsi="Cambria"/>
          <w:color w:val="231F20"/>
          <w:spacing w:val="-16"/>
        </w:rPr>
        <w:t> </w:t>
      </w:r>
      <w:r>
        <w:rPr>
          <w:rFonts w:ascii="Cambria" w:hAnsi="Cambria"/>
          <w:color w:val="231F20"/>
          <w:spacing w:val="3"/>
        </w:rPr>
        <w:t>(9.4%)”, </w:t>
      </w:r>
      <w:r>
        <w:rPr>
          <w:rFonts w:ascii="Cambria" w:hAnsi="Cambria"/>
          <w:color w:val="231F20"/>
          <w:spacing w:val="2"/>
          <w:w w:val="95"/>
        </w:rPr>
        <w:t>“tengo </w:t>
      </w:r>
      <w:r>
        <w:rPr>
          <w:rFonts w:ascii="Cambria" w:hAnsi="Cambria"/>
          <w:color w:val="231F20"/>
          <w:spacing w:val="3"/>
          <w:w w:val="95"/>
        </w:rPr>
        <w:t>menos oportunidades </w:t>
      </w:r>
      <w:r>
        <w:rPr>
          <w:rFonts w:ascii="Cambria" w:hAnsi="Cambria"/>
          <w:color w:val="231F20"/>
          <w:w w:val="95"/>
        </w:rPr>
        <w:t>de </w:t>
      </w:r>
      <w:r>
        <w:rPr>
          <w:rFonts w:ascii="Cambria" w:hAnsi="Cambria"/>
          <w:color w:val="231F20"/>
          <w:spacing w:val="2"/>
          <w:w w:val="95"/>
        </w:rPr>
        <w:t>capacitarme </w:t>
      </w:r>
      <w:r>
        <w:rPr>
          <w:rFonts w:ascii="Cambria" w:hAnsi="Cambria"/>
          <w:color w:val="231F20"/>
          <w:w w:val="95"/>
        </w:rPr>
        <w:t>o </w:t>
      </w:r>
      <w:r>
        <w:rPr>
          <w:rFonts w:ascii="Cambria" w:hAnsi="Cambria"/>
          <w:color w:val="231F20"/>
          <w:spacing w:val="3"/>
          <w:w w:val="95"/>
        </w:rPr>
        <w:t>formarme adecua- </w:t>
      </w:r>
      <w:r>
        <w:rPr>
          <w:rFonts w:ascii="Cambria" w:hAnsi="Cambria"/>
          <w:color w:val="231F20"/>
          <w:spacing w:val="3"/>
        </w:rPr>
        <w:t>damente </w:t>
      </w:r>
      <w:r>
        <w:rPr>
          <w:rFonts w:ascii="Cambria" w:hAnsi="Cambria"/>
          <w:color w:val="231F20"/>
          <w:spacing w:val="2"/>
        </w:rPr>
        <w:t>que </w:t>
      </w:r>
      <w:r>
        <w:rPr>
          <w:rFonts w:ascii="Cambria" w:hAnsi="Cambria"/>
          <w:color w:val="231F20"/>
        </w:rPr>
        <w:t>las </w:t>
      </w:r>
      <w:r>
        <w:rPr>
          <w:rFonts w:ascii="Cambria" w:hAnsi="Cambria"/>
          <w:color w:val="231F20"/>
          <w:spacing w:val="2"/>
        </w:rPr>
        <w:t>que </w:t>
      </w:r>
      <w:r>
        <w:rPr>
          <w:rFonts w:ascii="Cambria" w:hAnsi="Cambria"/>
          <w:color w:val="231F20"/>
        </w:rPr>
        <w:t>se </w:t>
      </w:r>
      <w:r>
        <w:rPr>
          <w:rFonts w:ascii="Cambria" w:hAnsi="Cambria"/>
          <w:color w:val="231F20"/>
          <w:spacing w:val="2"/>
        </w:rPr>
        <w:t>ofrecen </w:t>
      </w:r>
      <w:r>
        <w:rPr>
          <w:rFonts w:ascii="Cambria" w:hAnsi="Cambria"/>
          <w:color w:val="231F20"/>
        </w:rPr>
        <w:t>a </w:t>
      </w:r>
      <w:r>
        <w:rPr>
          <w:rFonts w:ascii="Cambria" w:hAnsi="Cambria"/>
          <w:color w:val="231F20"/>
          <w:spacing w:val="2"/>
        </w:rPr>
        <w:t>otros </w:t>
      </w:r>
      <w:r>
        <w:rPr>
          <w:rFonts w:ascii="Cambria" w:hAnsi="Cambria"/>
          <w:color w:val="231F20"/>
          <w:spacing w:val="3"/>
        </w:rPr>
        <w:t>compañeros </w:t>
      </w:r>
      <w:r>
        <w:rPr>
          <w:rFonts w:ascii="Cambria" w:hAnsi="Cambria"/>
          <w:color w:val="231F20"/>
          <w:spacing w:val="2"/>
        </w:rPr>
        <w:t>(8%)”, </w:t>
      </w:r>
      <w:r>
        <w:rPr>
          <w:rFonts w:ascii="Cambria" w:hAnsi="Cambria"/>
          <w:color w:val="231F20"/>
        </w:rPr>
        <w:t>“se </w:t>
      </w:r>
      <w:r>
        <w:rPr>
          <w:rFonts w:ascii="Cambria" w:hAnsi="Cambria"/>
          <w:color w:val="231F20"/>
          <w:spacing w:val="2"/>
          <w:w w:val="95"/>
        </w:rPr>
        <w:t>bloquean </w:t>
      </w:r>
      <w:r>
        <w:rPr>
          <w:rFonts w:ascii="Cambria" w:hAnsi="Cambria"/>
          <w:color w:val="231F20"/>
          <w:w w:val="95"/>
        </w:rPr>
        <w:t>o </w:t>
      </w:r>
      <w:r>
        <w:rPr>
          <w:rFonts w:ascii="Cambria" w:hAnsi="Cambria"/>
          <w:color w:val="231F20"/>
          <w:spacing w:val="2"/>
          <w:w w:val="95"/>
        </w:rPr>
        <w:t>impiden </w:t>
      </w:r>
      <w:r>
        <w:rPr>
          <w:rFonts w:ascii="Cambria" w:hAnsi="Cambria"/>
          <w:color w:val="231F20"/>
          <w:w w:val="95"/>
        </w:rPr>
        <w:t>las </w:t>
      </w:r>
      <w:r>
        <w:rPr>
          <w:rFonts w:ascii="Cambria" w:hAnsi="Cambria"/>
          <w:color w:val="231F20"/>
          <w:spacing w:val="3"/>
          <w:w w:val="95"/>
        </w:rPr>
        <w:t>oportunidades </w:t>
      </w:r>
      <w:r>
        <w:rPr>
          <w:rFonts w:ascii="Cambria" w:hAnsi="Cambria"/>
          <w:color w:val="231F20"/>
          <w:w w:val="95"/>
        </w:rPr>
        <w:t>que </w:t>
      </w:r>
      <w:r>
        <w:rPr>
          <w:rFonts w:ascii="Cambria" w:hAnsi="Cambria"/>
          <w:color w:val="231F20"/>
          <w:spacing w:val="2"/>
          <w:w w:val="95"/>
        </w:rPr>
        <w:t>tengo </w:t>
      </w:r>
      <w:r>
        <w:rPr>
          <w:rFonts w:ascii="Cambria" w:hAnsi="Cambria"/>
          <w:color w:val="231F20"/>
          <w:w w:val="95"/>
        </w:rPr>
        <w:t>de </w:t>
      </w:r>
      <w:r>
        <w:rPr>
          <w:rFonts w:ascii="Cambria" w:hAnsi="Cambria"/>
          <w:color w:val="231F20"/>
          <w:spacing w:val="2"/>
          <w:w w:val="95"/>
        </w:rPr>
        <w:t>algún </w:t>
      </w:r>
      <w:r>
        <w:rPr>
          <w:rFonts w:ascii="Cambria" w:hAnsi="Cambria"/>
          <w:color w:val="231F20"/>
          <w:spacing w:val="3"/>
          <w:w w:val="95"/>
        </w:rPr>
        <w:t>ascenso </w:t>
      </w:r>
      <w:r>
        <w:rPr>
          <w:rFonts w:ascii="Cambria" w:hAnsi="Cambria"/>
          <w:color w:val="231F20"/>
        </w:rPr>
        <w:t>o</w:t>
      </w:r>
      <w:r>
        <w:rPr>
          <w:rFonts w:ascii="Cambria" w:hAnsi="Cambria"/>
          <w:color w:val="231F20"/>
          <w:spacing w:val="-25"/>
        </w:rPr>
        <w:t> </w:t>
      </w:r>
      <w:r>
        <w:rPr>
          <w:rFonts w:ascii="Cambria" w:hAnsi="Cambria"/>
          <w:color w:val="231F20"/>
          <w:spacing w:val="2"/>
        </w:rPr>
        <w:t>mejora</w:t>
      </w:r>
      <w:r>
        <w:rPr>
          <w:rFonts w:ascii="Cambria" w:hAnsi="Cambria"/>
          <w:color w:val="231F20"/>
          <w:spacing w:val="-25"/>
        </w:rPr>
        <w:t> </w:t>
      </w:r>
      <w:r>
        <w:rPr>
          <w:rFonts w:ascii="Cambria" w:hAnsi="Cambria"/>
          <w:color w:val="231F20"/>
        </w:rPr>
        <w:t>en</w:t>
      </w:r>
      <w:r>
        <w:rPr>
          <w:rFonts w:ascii="Cambria" w:hAnsi="Cambria"/>
          <w:color w:val="231F20"/>
          <w:spacing w:val="-25"/>
        </w:rPr>
        <w:t> </w:t>
      </w:r>
      <w:r>
        <w:rPr>
          <w:rFonts w:ascii="Cambria" w:hAnsi="Cambria"/>
          <w:color w:val="231F20"/>
          <w:spacing w:val="2"/>
        </w:rPr>
        <w:t>mi</w:t>
      </w:r>
      <w:r>
        <w:rPr>
          <w:rFonts w:ascii="Cambria" w:hAnsi="Cambria"/>
          <w:color w:val="231F20"/>
          <w:spacing w:val="-25"/>
        </w:rPr>
        <w:t> </w:t>
      </w:r>
      <w:r>
        <w:rPr>
          <w:rFonts w:ascii="Cambria" w:hAnsi="Cambria"/>
          <w:color w:val="231F20"/>
          <w:spacing w:val="2"/>
        </w:rPr>
        <w:t>trabajo</w:t>
      </w:r>
      <w:r>
        <w:rPr>
          <w:rFonts w:ascii="Cambria" w:hAnsi="Cambria"/>
          <w:color w:val="231F20"/>
          <w:spacing w:val="-25"/>
        </w:rPr>
        <w:t> </w:t>
      </w:r>
      <w:r>
        <w:rPr>
          <w:rFonts w:ascii="Cambria" w:hAnsi="Cambria"/>
          <w:color w:val="231F20"/>
          <w:spacing w:val="3"/>
        </w:rPr>
        <w:t>15.7%”;</w:t>
      </w:r>
      <w:r>
        <w:rPr>
          <w:rFonts w:ascii="Cambria" w:hAnsi="Cambria"/>
          <w:color w:val="231F20"/>
          <w:spacing w:val="-25"/>
        </w:rPr>
        <w:t> </w:t>
      </w:r>
      <w:r>
        <w:rPr>
          <w:rFonts w:ascii="Cambria" w:hAnsi="Cambria"/>
          <w:color w:val="231F20"/>
          <w:spacing w:val="2"/>
        </w:rPr>
        <w:t>véase</w:t>
      </w:r>
      <w:r>
        <w:rPr>
          <w:rFonts w:ascii="Cambria" w:hAnsi="Cambria"/>
          <w:color w:val="231F20"/>
          <w:spacing w:val="-25"/>
        </w:rPr>
        <w:t> </w:t>
      </w:r>
      <w:r>
        <w:rPr>
          <w:rFonts w:ascii="Cambria" w:hAnsi="Cambria"/>
          <w:color w:val="231F20"/>
          <w:spacing w:val="2"/>
        </w:rPr>
        <w:t>laTabla</w:t>
      </w:r>
      <w:r>
        <w:rPr>
          <w:rFonts w:ascii="Cambria" w:hAnsi="Cambria"/>
          <w:color w:val="231F20"/>
          <w:spacing w:val="-25"/>
        </w:rPr>
        <w:t> </w:t>
      </w:r>
      <w:r>
        <w:rPr>
          <w:rFonts w:ascii="Cambria" w:hAnsi="Cambria"/>
          <w:color w:val="231F20"/>
        </w:rPr>
        <w:t>5.</w:t>
      </w:r>
    </w:p>
    <w:p>
      <w:pPr>
        <w:pStyle w:val="BodyText"/>
        <w:rPr>
          <w:rFonts w:ascii="Cambria"/>
          <w:sz w:val="22"/>
        </w:rPr>
      </w:pPr>
    </w:p>
    <w:p>
      <w:pPr>
        <w:pStyle w:val="BodyText"/>
        <w:spacing w:before="1"/>
        <w:rPr>
          <w:rFonts w:ascii="Cambria"/>
          <w:sz w:val="30"/>
        </w:rPr>
      </w:pPr>
    </w:p>
    <w:p>
      <w:pPr>
        <w:spacing w:before="0"/>
        <w:ind w:left="160" w:right="77" w:firstLine="0"/>
        <w:jc w:val="center"/>
        <w:rPr>
          <w:rFonts w:ascii="Palatino Linotype" w:hAnsi="Palatino Linotype"/>
          <w:b/>
          <w:sz w:val="19"/>
        </w:rPr>
      </w:pPr>
      <w:r>
        <w:rPr>
          <w:rFonts w:ascii="Palatino Linotype" w:hAnsi="Palatino Linotype"/>
          <w:b/>
          <w:color w:val="231F20"/>
          <w:sz w:val="19"/>
        </w:rPr>
        <w:t>Tabla 5. Frecuencia de violencia psicológica en el trabajo en general</w:t>
      </w:r>
    </w:p>
    <w:p>
      <w:pPr>
        <w:pStyle w:val="BodyText"/>
        <w:spacing w:before="5"/>
        <w:rPr>
          <w:rFonts w:ascii="Palatino Linotype"/>
          <w:b/>
          <w:sz w:val="10"/>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294"/>
        <w:gridCol w:w="538"/>
        <w:gridCol w:w="710"/>
        <w:gridCol w:w="710"/>
        <w:gridCol w:w="706"/>
        <w:gridCol w:w="874"/>
      </w:tblGrid>
      <w:tr>
        <w:trPr>
          <w:trHeight w:val="730" w:hRule="exact"/>
        </w:trPr>
        <w:tc>
          <w:tcPr>
            <w:tcW w:w="2294" w:type="dxa"/>
          </w:tcPr>
          <w:p>
            <w:pPr>
              <w:pStyle w:val="TableParagraph"/>
              <w:ind w:left="0"/>
              <w:rPr>
                <w:rFonts w:ascii="Palatino Linotype"/>
                <w:b/>
                <w:sz w:val="12"/>
              </w:rPr>
            </w:pPr>
          </w:p>
          <w:p>
            <w:pPr>
              <w:pStyle w:val="TableParagraph"/>
              <w:spacing w:before="9"/>
              <w:ind w:left="0"/>
              <w:rPr>
                <w:rFonts w:ascii="Palatino Linotype"/>
                <w:b/>
                <w:sz w:val="10"/>
              </w:rPr>
            </w:pPr>
          </w:p>
          <w:p>
            <w:pPr>
              <w:pStyle w:val="TableParagraph"/>
              <w:ind w:left="898" w:right="898"/>
              <w:jc w:val="center"/>
              <w:rPr>
                <w:rFonts w:ascii="Palatino Linotype"/>
                <w:b/>
                <w:sz w:val="12"/>
              </w:rPr>
            </w:pPr>
            <w:r>
              <w:rPr>
                <w:rFonts w:ascii="Palatino Linotype"/>
                <w:b/>
                <w:color w:val="231F20"/>
                <w:sz w:val="12"/>
              </w:rPr>
              <w:t>Factores</w:t>
            </w:r>
          </w:p>
        </w:tc>
        <w:tc>
          <w:tcPr>
            <w:tcW w:w="538" w:type="dxa"/>
          </w:tcPr>
          <w:p>
            <w:pPr>
              <w:pStyle w:val="TableParagraph"/>
              <w:ind w:left="0"/>
              <w:rPr>
                <w:rFonts w:ascii="Palatino Linotype"/>
                <w:b/>
                <w:sz w:val="12"/>
              </w:rPr>
            </w:pPr>
          </w:p>
          <w:p>
            <w:pPr>
              <w:pStyle w:val="TableParagraph"/>
              <w:spacing w:before="9"/>
              <w:ind w:left="0"/>
              <w:rPr>
                <w:rFonts w:ascii="Palatino Linotype"/>
                <w:b/>
                <w:sz w:val="10"/>
              </w:rPr>
            </w:pPr>
          </w:p>
          <w:p>
            <w:pPr>
              <w:pStyle w:val="TableParagraph"/>
              <w:ind w:left="106"/>
              <w:rPr>
                <w:rFonts w:ascii="Palatino Linotype"/>
                <w:b/>
                <w:sz w:val="12"/>
              </w:rPr>
            </w:pPr>
            <w:r>
              <w:rPr>
                <w:rFonts w:ascii="Palatino Linotype"/>
                <w:b/>
                <w:color w:val="231F20"/>
                <w:w w:val="95"/>
                <w:sz w:val="12"/>
              </w:rPr>
              <w:t>Nunca</w:t>
            </w:r>
          </w:p>
        </w:tc>
        <w:tc>
          <w:tcPr>
            <w:tcW w:w="710" w:type="dxa"/>
          </w:tcPr>
          <w:p>
            <w:pPr>
              <w:pStyle w:val="TableParagraph"/>
              <w:spacing w:before="10"/>
              <w:ind w:left="0"/>
              <w:rPr>
                <w:rFonts w:ascii="Palatino Linotype"/>
                <w:b/>
                <w:sz w:val="13"/>
              </w:rPr>
            </w:pPr>
          </w:p>
          <w:p>
            <w:pPr>
              <w:pStyle w:val="TableParagraph"/>
              <w:spacing w:line="355" w:lineRule="auto"/>
              <w:ind w:left="206" w:right="206" w:firstLine="40"/>
              <w:rPr>
                <w:rFonts w:ascii="Palatino Linotype"/>
                <w:b/>
                <w:sz w:val="12"/>
              </w:rPr>
            </w:pPr>
            <w:r>
              <w:rPr>
                <w:rFonts w:ascii="Palatino Linotype"/>
                <w:b/>
                <w:color w:val="231F20"/>
                <w:w w:val="95"/>
                <w:sz w:val="12"/>
              </w:rPr>
              <w:t>Casi </w:t>
            </w:r>
            <w:r>
              <w:rPr>
                <w:rFonts w:ascii="Palatino Linotype"/>
                <w:b/>
                <w:color w:val="231F20"/>
                <w:w w:val="80"/>
                <w:sz w:val="12"/>
              </w:rPr>
              <w:t>nunca</w:t>
            </w:r>
          </w:p>
        </w:tc>
        <w:tc>
          <w:tcPr>
            <w:tcW w:w="710" w:type="dxa"/>
          </w:tcPr>
          <w:p>
            <w:pPr>
              <w:pStyle w:val="TableParagraph"/>
              <w:spacing w:before="10"/>
              <w:ind w:left="0"/>
              <w:rPr>
                <w:rFonts w:ascii="Palatino Linotype"/>
                <w:b/>
                <w:sz w:val="13"/>
              </w:rPr>
            </w:pPr>
          </w:p>
          <w:p>
            <w:pPr>
              <w:pStyle w:val="TableParagraph"/>
              <w:spacing w:line="355" w:lineRule="auto"/>
              <w:ind w:left="224" w:right="152" w:hanging="64"/>
              <w:rPr>
                <w:rFonts w:ascii="Palatino Linotype"/>
                <w:b/>
                <w:sz w:val="12"/>
              </w:rPr>
            </w:pPr>
            <w:r>
              <w:rPr>
                <w:rFonts w:ascii="Palatino Linotype"/>
                <w:b/>
                <w:color w:val="231F20"/>
                <w:w w:val="80"/>
                <w:sz w:val="12"/>
              </w:rPr>
              <w:t>Algunas </w:t>
            </w:r>
            <w:r>
              <w:rPr>
                <w:rFonts w:ascii="Palatino Linotype"/>
                <w:b/>
                <w:color w:val="231F20"/>
                <w:w w:val="95"/>
                <w:sz w:val="12"/>
              </w:rPr>
              <w:t>veces</w:t>
            </w:r>
          </w:p>
        </w:tc>
        <w:tc>
          <w:tcPr>
            <w:tcW w:w="706" w:type="dxa"/>
          </w:tcPr>
          <w:p>
            <w:pPr>
              <w:pStyle w:val="TableParagraph"/>
              <w:spacing w:before="10"/>
              <w:ind w:left="0"/>
              <w:rPr>
                <w:rFonts w:ascii="Palatino Linotype"/>
                <w:b/>
                <w:sz w:val="13"/>
              </w:rPr>
            </w:pPr>
          </w:p>
          <w:p>
            <w:pPr>
              <w:pStyle w:val="TableParagraph"/>
              <w:spacing w:line="355" w:lineRule="auto"/>
              <w:ind w:left="162" w:right="132" w:hanging="21"/>
              <w:rPr>
                <w:rFonts w:ascii="Palatino Linotype"/>
                <w:b/>
                <w:sz w:val="12"/>
              </w:rPr>
            </w:pPr>
            <w:r>
              <w:rPr>
                <w:rFonts w:ascii="Palatino Linotype"/>
                <w:b/>
                <w:color w:val="231F20"/>
                <w:w w:val="85"/>
                <w:sz w:val="12"/>
              </w:rPr>
              <w:t>Frecuen- temente</w:t>
            </w:r>
          </w:p>
        </w:tc>
        <w:tc>
          <w:tcPr>
            <w:tcW w:w="874" w:type="dxa"/>
          </w:tcPr>
          <w:p>
            <w:pPr>
              <w:pStyle w:val="TableParagraph"/>
              <w:spacing w:line="355" w:lineRule="auto" w:before="66"/>
              <w:ind w:left="215" w:right="221"/>
              <w:jc w:val="center"/>
              <w:rPr>
                <w:rFonts w:ascii="Palatino Linotype"/>
                <w:b/>
                <w:sz w:val="12"/>
              </w:rPr>
            </w:pPr>
            <w:r>
              <w:rPr>
                <w:rFonts w:ascii="Palatino Linotype"/>
                <w:b/>
                <w:color w:val="231F20"/>
                <w:w w:val="90"/>
                <w:sz w:val="12"/>
              </w:rPr>
              <w:t>Muy </w:t>
            </w:r>
            <w:r>
              <w:rPr>
                <w:rFonts w:ascii="Palatino Linotype"/>
                <w:b/>
                <w:color w:val="231F20"/>
                <w:w w:val="80"/>
                <w:sz w:val="12"/>
              </w:rPr>
              <w:t>frecuente </w:t>
            </w:r>
            <w:r>
              <w:rPr>
                <w:rFonts w:ascii="Palatino Linotype"/>
                <w:b/>
                <w:color w:val="231F20"/>
                <w:w w:val="90"/>
                <w:sz w:val="12"/>
              </w:rPr>
              <w:t>mente</w:t>
            </w:r>
          </w:p>
        </w:tc>
      </w:tr>
      <w:tr>
        <w:trPr>
          <w:trHeight w:val="619" w:hRule="exact"/>
        </w:trPr>
        <w:tc>
          <w:tcPr>
            <w:tcW w:w="2294" w:type="dxa"/>
          </w:tcPr>
          <w:p>
            <w:pPr>
              <w:pStyle w:val="TableParagraph"/>
              <w:spacing w:line="137" w:lineRule="exact"/>
              <w:ind w:left="105"/>
              <w:rPr>
                <w:rFonts w:ascii="Palatino Linotype"/>
                <w:b/>
                <w:sz w:val="12"/>
              </w:rPr>
            </w:pPr>
            <w:r>
              <w:rPr>
                <w:rFonts w:ascii="Palatino Linotype"/>
                <w:b/>
                <w:color w:val="231F20"/>
                <w:sz w:val="12"/>
              </w:rPr>
              <w:t>4A. Se me asignan trabajos o proyectos</w:t>
            </w:r>
          </w:p>
          <w:p>
            <w:pPr>
              <w:pStyle w:val="TableParagraph"/>
              <w:spacing w:line="304" w:lineRule="auto" w:before="39"/>
              <w:ind w:left="105"/>
              <w:rPr>
                <w:rFonts w:ascii="Palatino Linotype"/>
                <w:b/>
                <w:sz w:val="12"/>
              </w:rPr>
            </w:pPr>
            <w:r>
              <w:rPr>
                <w:rFonts w:ascii="Palatino Linotype"/>
                <w:b/>
                <w:color w:val="231F20"/>
                <w:sz w:val="12"/>
              </w:rPr>
              <w:t>con plazos tan cortos que son imposi- </w:t>
            </w:r>
            <w:r>
              <w:rPr>
                <w:rFonts w:ascii="Palatino Linotype"/>
                <w:b/>
                <w:color w:val="231F20"/>
                <w:w w:val="95"/>
                <w:sz w:val="12"/>
              </w:rPr>
              <w:t>bles de cumplir</w:t>
            </w:r>
          </w:p>
        </w:tc>
        <w:tc>
          <w:tcPr>
            <w:tcW w:w="538" w:type="dxa"/>
          </w:tcPr>
          <w:p>
            <w:pPr>
              <w:pStyle w:val="TableParagraph"/>
              <w:ind w:left="0"/>
              <w:rPr>
                <w:rFonts w:ascii="Palatino Linotype"/>
                <w:b/>
                <w:sz w:val="12"/>
              </w:rPr>
            </w:pPr>
          </w:p>
          <w:p>
            <w:pPr>
              <w:pStyle w:val="TableParagraph"/>
              <w:spacing w:before="103"/>
              <w:rPr>
                <w:rFonts w:ascii="Cambria"/>
                <w:sz w:val="12"/>
              </w:rPr>
            </w:pPr>
            <w:r>
              <w:rPr>
                <w:rFonts w:ascii="Cambria"/>
                <w:color w:val="231F20"/>
                <w:sz w:val="12"/>
              </w:rPr>
              <w:t>30.2%</w:t>
            </w:r>
          </w:p>
        </w:tc>
        <w:tc>
          <w:tcPr>
            <w:tcW w:w="710" w:type="dxa"/>
          </w:tcPr>
          <w:p>
            <w:pPr>
              <w:pStyle w:val="TableParagraph"/>
              <w:ind w:left="0"/>
              <w:rPr>
                <w:rFonts w:ascii="Palatino Linotype"/>
                <w:b/>
                <w:sz w:val="12"/>
              </w:rPr>
            </w:pPr>
          </w:p>
          <w:p>
            <w:pPr>
              <w:pStyle w:val="TableParagraph"/>
              <w:spacing w:before="103"/>
              <w:ind w:right="206"/>
              <w:rPr>
                <w:rFonts w:ascii="Cambria"/>
                <w:sz w:val="12"/>
              </w:rPr>
            </w:pPr>
            <w:r>
              <w:rPr>
                <w:rFonts w:ascii="Cambria"/>
                <w:color w:val="231F20"/>
                <w:sz w:val="12"/>
              </w:rPr>
              <w:t>41.2%</w:t>
            </w:r>
          </w:p>
        </w:tc>
        <w:tc>
          <w:tcPr>
            <w:tcW w:w="710" w:type="dxa"/>
          </w:tcPr>
          <w:p>
            <w:pPr>
              <w:pStyle w:val="TableParagraph"/>
              <w:ind w:left="0"/>
              <w:rPr>
                <w:rFonts w:ascii="Palatino Linotype"/>
                <w:b/>
                <w:sz w:val="12"/>
              </w:rPr>
            </w:pPr>
          </w:p>
          <w:p>
            <w:pPr>
              <w:pStyle w:val="TableParagraph"/>
              <w:spacing w:before="103"/>
              <w:ind w:right="206"/>
              <w:rPr>
                <w:rFonts w:ascii="Cambria"/>
                <w:sz w:val="12"/>
              </w:rPr>
            </w:pPr>
            <w:r>
              <w:rPr>
                <w:rFonts w:ascii="Cambria"/>
                <w:color w:val="231F20"/>
                <w:sz w:val="12"/>
              </w:rPr>
              <w:t>15.9%</w:t>
            </w:r>
          </w:p>
        </w:tc>
        <w:tc>
          <w:tcPr>
            <w:tcW w:w="706" w:type="dxa"/>
          </w:tcPr>
          <w:p>
            <w:pPr>
              <w:pStyle w:val="TableParagraph"/>
              <w:ind w:left="0"/>
              <w:rPr>
                <w:rFonts w:ascii="Palatino Linotype"/>
                <w:b/>
                <w:sz w:val="12"/>
              </w:rPr>
            </w:pPr>
          </w:p>
          <w:p>
            <w:pPr>
              <w:pStyle w:val="TableParagraph"/>
              <w:spacing w:before="91"/>
              <w:ind w:right="132"/>
              <w:rPr>
                <w:rFonts w:ascii="Palatino Linotype"/>
                <w:b/>
                <w:sz w:val="12"/>
              </w:rPr>
            </w:pPr>
            <w:r>
              <w:rPr>
                <w:rFonts w:ascii="Palatino Linotype"/>
                <w:b/>
                <w:color w:val="231F20"/>
                <w:sz w:val="12"/>
              </w:rPr>
              <w:t>7.9%</w:t>
            </w:r>
          </w:p>
        </w:tc>
        <w:tc>
          <w:tcPr>
            <w:tcW w:w="874" w:type="dxa"/>
          </w:tcPr>
          <w:p>
            <w:pPr>
              <w:pStyle w:val="TableParagraph"/>
              <w:ind w:left="0"/>
              <w:rPr>
                <w:rFonts w:ascii="Palatino Linotype"/>
                <w:b/>
                <w:sz w:val="12"/>
              </w:rPr>
            </w:pPr>
          </w:p>
          <w:p>
            <w:pPr>
              <w:pStyle w:val="TableParagraph"/>
              <w:spacing w:before="91"/>
              <w:rPr>
                <w:rFonts w:ascii="Palatino Linotype"/>
                <w:b/>
                <w:sz w:val="12"/>
              </w:rPr>
            </w:pPr>
            <w:r>
              <w:rPr>
                <w:rFonts w:ascii="Palatino Linotype"/>
                <w:b/>
                <w:color w:val="231F20"/>
                <w:sz w:val="12"/>
              </w:rPr>
              <w:t>4.8%</w:t>
            </w:r>
          </w:p>
        </w:tc>
      </w:tr>
      <w:tr>
        <w:trPr>
          <w:trHeight w:val="614" w:hRule="exact"/>
        </w:trPr>
        <w:tc>
          <w:tcPr>
            <w:tcW w:w="2294" w:type="dxa"/>
          </w:tcPr>
          <w:p>
            <w:pPr>
              <w:pStyle w:val="TableParagraph"/>
              <w:spacing w:line="137" w:lineRule="exact"/>
              <w:ind w:left="105"/>
              <w:rPr>
                <w:rFonts w:ascii="Palatino Linotype"/>
                <w:b/>
                <w:sz w:val="12"/>
              </w:rPr>
            </w:pPr>
            <w:r>
              <w:rPr>
                <w:rFonts w:ascii="Palatino Linotype"/>
                <w:b/>
                <w:color w:val="231F20"/>
                <w:sz w:val="12"/>
              </w:rPr>
              <w:t>5A.  Se  me  ignora  o  excluye  de   las</w:t>
            </w:r>
          </w:p>
          <w:p>
            <w:pPr>
              <w:pStyle w:val="TableParagraph"/>
              <w:spacing w:line="300" w:lineRule="auto" w:before="39"/>
              <w:ind w:left="105"/>
              <w:rPr>
                <w:rFonts w:ascii="Palatino Linotype"/>
                <w:b/>
                <w:sz w:val="12"/>
              </w:rPr>
            </w:pPr>
            <w:r>
              <w:rPr>
                <w:rFonts w:ascii="Palatino Linotype"/>
                <w:b/>
                <w:color w:val="231F20"/>
                <w:sz w:val="12"/>
              </w:rPr>
              <w:t>reuniones de trabajo o en la toma de decisiones</w:t>
            </w:r>
          </w:p>
        </w:tc>
        <w:tc>
          <w:tcPr>
            <w:tcW w:w="538" w:type="dxa"/>
          </w:tcPr>
          <w:p>
            <w:pPr>
              <w:pStyle w:val="TableParagraph"/>
              <w:ind w:left="0"/>
              <w:rPr>
                <w:rFonts w:ascii="Palatino Linotype"/>
                <w:b/>
                <w:sz w:val="12"/>
              </w:rPr>
            </w:pPr>
          </w:p>
          <w:p>
            <w:pPr>
              <w:pStyle w:val="TableParagraph"/>
              <w:spacing w:before="98"/>
              <w:rPr>
                <w:rFonts w:ascii="Cambria"/>
                <w:sz w:val="12"/>
              </w:rPr>
            </w:pPr>
            <w:r>
              <w:rPr>
                <w:rFonts w:ascii="Cambria"/>
                <w:color w:val="231F20"/>
                <w:sz w:val="12"/>
              </w:rPr>
              <w:t>46.9%</w:t>
            </w:r>
          </w:p>
        </w:tc>
        <w:tc>
          <w:tcPr>
            <w:tcW w:w="710" w:type="dxa"/>
          </w:tcPr>
          <w:p>
            <w:pPr>
              <w:pStyle w:val="TableParagraph"/>
              <w:ind w:left="0"/>
              <w:rPr>
                <w:rFonts w:ascii="Palatino Linotype"/>
                <w:b/>
                <w:sz w:val="12"/>
              </w:rPr>
            </w:pPr>
          </w:p>
          <w:p>
            <w:pPr>
              <w:pStyle w:val="TableParagraph"/>
              <w:spacing w:before="98"/>
              <w:ind w:right="206"/>
              <w:rPr>
                <w:rFonts w:ascii="Cambria"/>
                <w:sz w:val="12"/>
              </w:rPr>
            </w:pPr>
            <w:r>
              <w:rPr>
                <w:rFonts w:ascii="Cambria"/>
                <w:color w:val="231F20"/>
                <w:sz w:val="12"/>
              </w:rPr>
              <w:t>25.0%</w:t>
            </w:r>
          </w:p>
        </w:tc>
        <w:tc>
          <w:tcPr>
            <w:tcW w:w="710" w:type="dxa"/>
          </w:tcPr>
          <w:p>
            <w:pPr>
              <w:pStyle w:val="TableParagraph"/>
              <w:ind w:left="0"/>
              <w:rPr>
                <w:rFonts w:ascii="Palatino Linotype"/>
                <w:b/>
                <w:sz w:val="12"/>
              </w:rPr>
            </w:pPr>
          </w:p>
          <w:p>
            <w:pPr>
              <w:pStyle w:val="TableParagraph"/>
              <w:spacing w:before="98"/>
              <w:ind w:right="206"/>
              <w:rPr>
                <w:rFonts w:ascii="Cambria"/>
                <w:sz w:val="12"/>
              </w:rPr>
            </w:pPr>
            <w:r>
              <w:rPr>
                <w:rFonts w:ascii="Cambria"/>
                <w:color w:val="231F20"/>
                <w:sz w:val="12"/>
              </w:rPr>
              <w:t>18.8%</w:t>
            </w:r>
          </w:p>
        </w:tc>
        <w:tc>
          <w:tcPr>
            <w:tcW w:w="706" w:type="dxa"/>
          </w:tcPr>
          <w:p>
            <w:pPr>
              <w:pStyle w:val="TableParagraph"/>
              <w:ind w:left="0"/>
              <w:rPr>
                <w:rFonts w:ascii="Palatino Linotype"/>
                <w:b/>
                <w:sz w:val="12"/>
              </w:rPr>
            </w:pPr>
          </w:p>
          <w:p>
            <w:pPr>
              <w:pStyle w:val="TableParagraph"/>
              <w:spacing w:before="86"/>
              <w:ind w:right="132"/>
              <w:rPr>
                <w:rFonts w:ascii="Palatino Linotype"/>
                <w:b/>
                <w:sz w:val="12"/>
              </w:rPr>
            </w:pPr>
            <w:r>
              <w:rPr>
                <w:rFonts w:ascii="Palatino Linotype"/>
                <w:b/>
                <w:color w:val="231F20"/>
                <w:sz w:val="12"/>
              </w:rPr>
              <w:t>7.8%</w:t>
            </w:r>
          </w:p>
        </w:tc>
        <w:tc>
          <w:tcPr>
            <w:tcW w:w="874" w:type="dxa"/>
          </w:tcPr>
          <w:p>
            <w:pPr>
              <w:pStyle w:val="TableParagraph"/>
              <w:ind w:left="0"/>
              <w:rPr>
                <w:rFonts w:ascii="Palatino Linotype"/>
                <w:b/>
                <w:sz w:val="12"/>
              </w:rPr>
            </w:pPr>
          </w:p>
          <w:p>
            <w:pPr>
              <w:pStyle w:val="TableParagraph"/>
              <w:spacing w:before="86"/>
              <w:rPr>
                <w:rFonts w:ascii="Palatino Linotype"/>
                <w:b/>
                <w:sz w:val="12"/>
              </w:rPr>
            </w:pPr>
            <w:r>
              <w:rPr>
                <w:rFonts w:ascii="Palatino Linotype"/>
                <w:b/>
                <w:color w:val="231F20"/>
                <w:sz w:val="12"/>
              </w:rPr>
              <w:t>1.5%</w:t>
            </w:r>
          </w:p>
        </w:tc>
      </w:tr>
      <w:tr>
        <w:trPr>
          <w:trHeight w:val="619" w:hRule="exact"/>
        </w:trPr>
        <w:tc>
          <w:tcPr>
            <w:tcW w:w="2294" w:type="dxa"/>
          </w:tcPr>
          <w:p>
            <w:pPr>
              <w:pStyle w:val="TableParagraph"/>
              <w:spacing w:line="142" w:lineRule="exact"/>
              <w:ind w:left="105"/>
              <w:rPr>
                <w:rFonts w:ascii="Palatino Linotype" w:hAnsi="Palatino Linotype"/>
                <w:b/>
                <w:sz w:val="12"/>
              </w:rPr>
            </w:pPr>
            <w:r>
              <w:rPr>
                <w:rFonts w:ascii="Palatino Linotype" w:hAnsi="Palatino Linotype"/>
                <w:b/>
                <w:color w:val="231F20"/>
                <w:w w:val="95"/>
                <w:sz w:val="12"/>
              </w:rPr>
              <w:t>6A. Se me impide tener información que</w:t>
            </w:r>
          </w:p>
          <w:p>
            <w:pPr>
              <w:pStyle w:val="TableParagraph"/>
              <w:spacing w:line="300" w:lineRule="auto" w:before="39"/>
              <w:ind w:left="105"/>
              <w:rPr>
                <w:rFonts w:ascii="Palatino Linotype"/>
                <w:b/>
                <w:sz w:val="12"/>
              </w:rPr>
            </w:pPr>
            <w:r>
              <w:rPr>
                <w:rFonts w:ascii="Palatino Linotype"/>
                <w:b/>
                <w:color w:val="231F20"/>
                <w:sz w:val="12"/>
              </w:rPr>
              <w:t>es importante y necesaria para realizar </w:t>
            </w:r>
            <w:r>
              <w:rPr>
                <w:rFonts w:ascii="Palatino Linotype"/>
                <w:b/>
                <w:color w:val="231F20"/>
                <w:w w:val="95"/>
                <w:sz w:val="12"/>
              </w:rPr>
              <w:t>mi trabajo</w:t>
            </w:r>
          </w:p>
        </w:tc>
        <w:tc>
          <w:tcPr>
            <w:tcW w:w="538" w:type="dxa"/>
          </w:tcPr>
          <w:p>
            <w:pPr>
              <w:pStyle w:val="TableParagraph"/>
              <w:ind w:left="0"/>
              <w:rPr>
                <w:rFonts w:ascii="Palatino Linotype"/>
                <w:b/>
                <w:sz w:val="12"/>
              </w:rPr>
            </w:pPr>
          </w:p>
          <w:p>
            <w:pPr>
              <w:pStyle w:val="TableParagraph"/>
              <w:spacing w:before="103"/>
              <w:rPr>
                <w:rFonts w:ascii="Cambria"/>
                <w:sz w:val="12"/>
              </w:rPr>
            </w:pPr>
            <w:r>
              <w:rPr>
                <w:rFonts w:ascii="Cambria"/>
                <w:color w:val="231F20"/>
                <w:sz w:val="12"/>
              </w:rPr>
              <w:t>51.6%</w:t>
            </w:r>
          </w:p>
        </w:tc>
        <w:tc>
          <w:tcPr>
            <w:tcW w:w="710" w:type="dxa"/>
          </w:tcPr>
          <w:p>
            <w:pPr>
              <w:pStyle w:val="TableParagraph"/>
              <w:ind w:left="0"/>
              <w:rPr>
                <w:rFonts w:ascii="Palatino Linotype"/>
                <w:b/>
                <w:sz w:val="12"/>
              </w:rPr>
            </w:pPr>
          </w:p>
          <w:p>
            <w:pPr>
              <w:pStyle w:val="TableParagraph"/>
              <w:spacing w:before="103"/>
              <w:ind w:right="206"/>
              <w:rPr>
                <w:rFonts w:ascii="Cambria"/>
                <w:sz w:val="12"/>
              </w:rPr>
            </w:pPr>
            <w:r>
              <w:rPr>
                <w:rFonts w:ascii="Cambria"/>
                <w:color w:val="231F20"/>
                <w:sz w:val="12"/>
              </w:rPr>
              <w:t>26.6%</w:t>
            </w:r>
          </w:p>
        </w:tc>
        <w:tc>
          <w:tcPr>
            <w:tcW w:w="710" w:type="dxa"/>
          </w:tcPr>
          <w:p>
            <w:pPr>
              <w:pStyle w:val="TableParagraph"/>
              <w:ind w:left="0"/>
              <w:rPr>
                <w:rFonts w:ascii="Palatino Linotype"/>
                <w:b/>
                <w:sz w:val="12"/>
              </w:rPr>
            </w:pPr>
          </w:p>
          <w:p>
            <w:pPr>
              <w:pStyle w:val="TableParagraph"/>
              <w:spacing w:before="103"/>
              <w:ind w:right="206"/>
              <w:rPr>
                <w:rFonts w:ascii="Cambria"/>
                <w:sz w:val="12"/>
              </w:rPr>
            </w:pPr>
            <w:r>
              <w:rPr>
                <w:rFonts w:ascii="Cambria"/>
                <w:color w:val="231F20"/>
                <w:sz w:val="12"/>
              </w:rPr>
              <w:t>10.9%</w:t>
            </w:r>
          </w:p>
        </w:tc>
        <w:tc>
          <w:tcPr>
            <w:tcW w:w="706" w:type="dxa"/>
          </w:tcPr>
          <w:p>
            <w:pPr>
              <w:pStyle w:val="TableParagraph"/>
              <w:ind w:left="0"/>
              <w:rPr>
                <w:rFonts w:ascii="Palatino Linotype"/>
                <w:b/>
                <w:sz w:val="12"/>
              </w:rPr>
            </w:pPr>
          </w:p>
          <w:p>
            <w:pPr>
              <w:pStyle w:val="TableParagraph"/>
              <w:spacing w:before="91"/>
              <w:ind w:right="132"/>
              <w:rPr>
                <w:rFonts w:ascii="Palatino Linotype"/>
                <w:b/>
                <w:sz w:val="12"/>
              </w:rPr>
            </w:pPr>
            <w:r>
              <w:rPr>
                <w:rFonts w:ascii="Palatino Linotype"/>
                <w:b/>
                <w:color w:val="231F20"/>
                <w:sz w:val="12"/>
              </w:rPr>
              <w:t>7.8%</w:t>
            </w:r>
          </w:p>
        </w:tc>
        <w:tc>
          <w:tcPr>
            <w:tcW w:w="874" w:type="dxa"/>
          </w:tcPr>
          <w:p>
            <w:pPr>
              <w:pStyle w:val="TableParagraph"/>
              <w:ind w:left="0"/>
              <w:rPr>
                <w:rFonts w:ascii="Palatino Linotype"/>
                <w:b/>
                <w:sz w:val="12"/>
              </w:rPr>
            </w:pPr>
          </w:p>
          <w:p>
            <w:pPr>
              <w:pStyle w:val="TableParagraph"/>
              <w:spacing w:before="91"/>
              <w:rPr>
                <w:rFonts w:ascii="Palatino Linotype"/>
                <w:b/>
                <w:sz w:val="12"/>
              </w:rPr>
            </w:pPr>
            <w:r>
              <w:rPr>
                <w:rFonts w:ascii="Palatino Linotype"/>
                <w:b/>
                <w:color w:val="231F20"/>
                <w:sz w:val="12"/>
              </w:rPr>
              <w:t>3.1%</w:t>
            </w:r>
          </w:p>
        </w:tc>
      </w:tr>
      <w:tr>
        <w:trPr>
          <w:trHeight w:val="418" w:hRule="exact"/>
        </w:trPr>
        <w:tc>
          <w:tcPr>
            <w:tcW w:w="2294" w:type="dxa"/>
          </w:tcPr>
          <w:p>
            <w:pPr>
              <w:pStyle w:val="TableParagraph"/>
              <w:spacing w:line="137" w:lineRule="exact"/>
              <w:ind w:left="105"/>
              <w:rPr>
                <w:rFonts w:ascii="Palatino Linotype"/>
                <w:b/>
                <w:sz w:val="12"/>
              </w:rPr>
            </w:pPr>
            <w:r>
              <w:rPr>
                <w:rFonts w:ascii="Palatino Linotype"/>
                <w:b/>
                <w:color w:val="231F20"/>
                <w:sz w:val="12"/>
              </w:rPr>
              <w:t>7A. Se manipulan las situaciones   de</w:t>
            </w:r>
          </w:p>
          <w:p>
            <w:pPr>
              <w:pStyle w:val="TableParagraph"/>
              <w:spacing w:before="39"/>
              <w:ind w:left="105"/>
              <w:rPr>
                <w:rFonts w:ascii="Palatino Linotype"/>
                <w:b/>
                <w:sz w:val="12"/>
              </w:rPr>
            </w:pPr>
            <w:r>
              <w:rPr>
                <w:rFonts w:ascii="Palatino Linotype"/>
                <w:b/>
                <w:color w:val="231F20"/>
                <w:sz w:val="12"/>
              </w:rPr>
              <w:t>trabajo para hacerme caer en errores y</w:t>
            </w:r>
          </w:p>
        </w:tc>
        <w:tc>
          <w:tcPr>
            <w:tcW w:w="538" w:type="dxa"/>
          </w:tcPr>
          <w:p>
            <w:pPr>
              <w:pStyle w:val="TableParagraph"/>
              <w:spacing w:before="11"/>
              <w:ind w:left="0"/>
              <w:rPr>
                <w:rFonts w:ascii="Palatino Linotype"/>
                <w:b/>
                <w:sz w:val="11"/>
              </w:rPr>
            </w:pPr>
          </w:p>
          <w:p>
            <w:pPr>
              <w:pStyle w:val="TableParagraph"/>
              <w:rPr>
                <w:rFonts w:ascii="Cambria"/>
                <w:sz w:val="12"/>
              </w:rPr>
            </w:pPr>
            <w:r>
              <w:rPr>
                <w:rFonts w:ascii="Cambria"/>
                <w:color w:val="231F20"/>
                <w:sz w:val="12"/>
              </w:rPr>
              <w:t>73.3%</w:t>
            </w:r>
          </w:p>
        </w:tc>
        <w:tc>
          <w:tcPr>
            <w:tcW w:w="710" w:type="dxa"/>
          </w:tcPr>
          <w:p>
            <w:pPr>
              <w:pStyle w:val="TableParagraph"/>
              <w:spacing w:before="11"/>
              <w:ind w:left="0"/>
              <w:rPr>
                <w:rFonts w:ascii="Palatino Linotype"/>
                <w:b/>
                <w:sz w:val="11"/>
              </w:rPr>
            </w:pPr>
          </w:p>
          <w:p>
            <w:pPr>
              <w:pStyle w:val="TableParagraph"/>
              <w:ind w:right="206"/>
              <w:rPr>
                <w:rFonts w:ascii="Cambria"/>
                <w:sz w:val="12"/>
              </w:rPr>
            </w:pPr>
            <w:r>
              <w:rPr>
                <w:rFonts w:ascii="Cambria"/>
                <w:color w:val="231F20"/>
                <w:sz w:val="12"/>
              </w:rPr>
              <w:t>12.5%</w:t>
            </w:r>
          </w:p>
        </w:tc>
        <w:tc>
          <w:tcPr>
            <w:tcW w:w="710" w:type="dxa"/>
          </w:tcPr>
          <w:p>
            <w:pPr>
              <w:pStyle w:val="TableParagraph"/>
              <w:spacing w:before="11"/>
              <w:ind w:left="0"/>
              <w:rPr>
                <w:rFonts w:ascii="Palatino Linotype"/>
                <w:b/>
                <w:sz w:val="11"/>
              </w:rPr>
            </w:pPr>
          </w:p>
          <w:p>
            <w:pPr>
              <w:pStyle w:val="TableParagraph"/>
              <w:ind w:right="206"/>
              <w:rPr>
                <w:rFonts w:ascii="Cambria"/>
                <w:sz w:val="12"/>
              </w:rPr>
            </w:pPr>
            <w:r>
              <w:rPr>
                <w:rFonts w:ascii="Cambria"/>
                <w:color w:val="231F20"/>
                <w:sz w:val="12"/>
              </w:rPr>
              <w:t>6.3%</w:t>
            </w:r>
          </w:p>
        </w:tc>
        <w:tc>
          <w:tcPr>
            <w:tcW w:w="706" w:type="dxa"/>
          </w:tcPr>
          <w:p>
            <w:pPr>
              <w:pStyle w:val="TableParagraph"/>
              <w:spacing w:before="12"/>
              <w:ind w:left="0"/>
              <w:rPr>
                <w:rFonts w:ascii="Palatino Linotype"/>
                <w:b/>
                <w:sz w:val="10"/>
              </w:rPr>
            </w:pPr>
          </w:p>
          <w:p>
            <w:pPr>
              <w:pStyle w:val="TableParagraph"/>
              <w:ind w:right="132"/>
              <w:rPr>
                <w:rFonts w:ascii="Palatino Linotype"/>
                <w:b/>
                <w:sz w:val="12"/>
              </w:rPr>
            </w:pPr>
            <w:r>
              <w:rPr>
                <w:rFonts w:ascii="Palatino Linotype"/>
                <w:b/>
                <w:color w:val="231F20"/>
                <w:sz w:val="12"/>
              </w:rPr>
              <w:t>6.3%</w:t>
            </w:r>
          </w:p>
        </w:tc>
        <w:tc>
          <w:tcPr>
            <w:tcW w:w="874" w:type="dxa"/>
          </w:tcPr>
          <w:p>
            <w:pPr>
              <w:pStyle w:val="TableParagraph"/>
              <w:spacing w:before="12"/>
              <w:ind w:left="0"/>
              <w:rPr>
                <w:rFonts w:ascii="Palatino Linotype"/>
                <w:b/>
                <w:sz w:val="10"/>
              </w:rPr>
            </w:pPr>
          </w:p>
          <w:p>
            <w:pPr>
              <w:pStyle w:val="TableParagraph"/>
              <w:rPr>
                <w:rFonts w:ascii="Palatino Linotype"/>
                <w:b/>
                <w:sz w:val="12"/>
              </w:rPr>
            </w:pPr>
            <w:r>
              <w:rPr>
                <w:rFonts w:ascii="Palatino Linotype"/>
                <w:b/>
                <w:color w:val="231F20"/>
                <w:sz w:val="12"/>
              </w:rPr>
              <w:t>1.6%</w:t>
            </w:r>
          </w:p>
        </w:tc>
      </w:tr>
    </w:tbl>
    <w:p>
      <w:pPr>
        <w:spacing w:after="0"/>
        <w:rPr>
          <w:rFonts w:ascii="Palatino Linotype"/>
          <w:sz w:val="12"/>
        </w:rPr>
        <w:sectPr>
          <w:headerReference w:type="default" r:id="rId976"/>
          <w:footerReference w:type="default" r:id="rId977"/>
          <w:pgSz w:w="7830" w:h="11910"/>
          <w:pgMar w:header="0" w:footer="424" w:top="500" w:bottom="620" w:left="800" w:right="900"/>
          <w:pgNumType w:start="445"/>
        </w:sectPr>
      </w:pPr>
    </w:p>
    <w:p>
      <w:pPr>
        <w:spacing w:before="46"/>
        <w:ind w:left="71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spacing w:before="6"/>
        <w:rPr>
          <w:sz w:val="19"/>
        </w:rPr>
      </w:pPr>
    </w:p>
    <w:tbl>
      <w:tblPr>
        <w:tblW w:w="0" w:type="auto"/>
        <w:jc w:val="left"/>
        <w:tblInd w:w="10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294"/>
        <w:gridCol w:w="538"/>
        <w:gridCol w:w="710"/>
        <w:gridCol w:w="710"/>
        <w:gridCol w:w="706"/>
        <w:gridCol w:w="874"/>
      </w:tblGrid>
      <w:tr>
        <w:trPr>
          <w:trHeight w:val="418" w:hRule="exact"/>
        </w:trPr>
        <w:tc>
          <w:tcPr>
            <w:tcW w:w="2294" w:type="dxa"/>
          </w:tcPr>
          <w:p>
            <w:pPr>
              <w:pStyle w:val="TableParagraph"/>
              <w:spacing w:line="127" w:lineRule="exact"/>
              <w:ind w:left="105"/>
              <w:rPr>
                <w:b/>
                <w:sz w:val="12"/>
              </w:rPr>
            </w:pPr>
            <w:r>
              <w:rPr>
                <w:b/>
                <w:color w:val="231F20"/>
                <w:sz w:val="12"/>
              </w:rPr>
              <w:t>después  acusarme  de  negligencia  o de</w:t>
            </w:r>
          </w:p>
          <w:p>
            <w:pPr>
              <w:pStyle w:val="TableParagraph"/>
              <w:spacing w:before="63"/>
              <w:ind w:left="105"/>
              <w:rPr>
                <w:b/>
                <w:sz w:val="12"/>
              </w:rPr>
            </w:pPr>
            <w:r>
              <w:rPr>
                <w:b/>
                <w:color w:val="231F20"/>
                <w:sz w:val="12"/>
              </w:rPr>
              <w:t>ser un(a) mal(a) trabajador(a)</w:t>
            </w:r>
          </w:p>
        </w:tc>
        <w:tc>
          <w:tcPr>
            <w:tcW w:w="538" w:type="dxa"/>
          </w:tcPr>
          <w:p>
            <w:pPr/>
          </w:p>
        </w:tc>
        <w:tc>
          <w:tcPr>
            <w:tcW w:w="710" w:type="dxa"/>
          </w:tcPr>
          <w:p>
            <w:pPr/>
          </w:p>
        </w:tc>
        <w:tc>
          <w:tcPr>
            <w:tcW w:w="710" w:type="dxa"/>
          </w:tcPr>
          <w:p>
            <w:pPr/>
          </w:p>
        </w:tc>
        <w:tc>
          <w:tcPr>
            <w:tcW w:w="706" w:type="dxa"/>
          </w:tcPr>
          <w:p>
            <w:pPr/>
          </w:p>
        </w:tc>
        <w:tc>
          <w:tcPr>
            <w:tcW w:w="874" w:type="dxa"/>
          </w:tcPr>
          <w:p>
            <w:pPr/>
          </w:p>
        </w:tc>
      </w:tr>
      <w:tr>
        <w:trPr>
          <w:trHeight w:val="413" w:hRule="exact"/>
        </w:trPr>
        <w:tc>
          <w:tcPr>
            <w:tcW w:w="2294" w:type="dxa"/>
          </w:tcPr>
          <w:p>
            <w:pPr>
              <w:pStyle w:val="TableParagraph"/>
              <w:spacing w:line="127" w:lineRule="exact"/>
              <w:ind w:left="105"/>
              <w:rPr>
                <w:b/>
                <w:sz w:val="12"/>
              </w:rPr>
            </w:pPr>
            <w:r>
              <w:rPr>
                <w:b/>
                <w:color w:val="231F20"/>
                <w:sz w:val="12"/>
              </w:rPr>
              <w:t>9A. Se desvalora mi trabajo y nunca   se</w:t>
            </w:r>
          </w:p>
          <w:p>
            <w:pPr>
              <w:pStyle w:val="TableParagraph"/>
              <w:spacing w:before="63"/>
              <w:ind w:left="105"/>
              <w:rPr>
                <w:b/>
                <w:sz w:val="12"/>
              </w:rPr>
            </w:pPr>
            <w:r>
              <w:rPr>
                <w:b/>
                <w:color w:val="231F20"/>
                <w:sz w:val="12"/>
              </w:rPr>
              <w:t>me reconoce que haya hecho algo bien</w:t>
            </w:r>
          </w:p>
        </w:tc>
        <w:tc>
          <w:tcPr>
            <w:tcW w:w="538" w:type="dxa"/>
          </w:tcPr>
          <w:p>
            <w:pPr>
              <w:pStyle w:val="TableParagraph"/>
              <w:ind w:left="0"/>
              <w:rPr>
                <w:sz w:val="14"/>
              </w:rPr>
            </w:pPr>
          </w:p>
          <w:p>
            <w:pPr>
              <w:pStyle w:val="TableParagraph"/>
              <w:rPr>
                <w:sz w:val="12"/>
              </w:rPr>
            </w:pPr>
            <w:r>
              <w:rPr>
                <w:color w:val="231F20"/>
                <w:sz w:val="12"/>
              </w:rPr>
              <w:t>60.9%</w:t>
            </w:r>
          </w:p>
        </w:tc>
        <w:tc>
          <w:tcPr>
            <w:tcW w:w="710" w:type="dxa"/>
          </w:tcPr>
          <w:p>
            <w:pPr>
              <w:pStyle w:val="TableParagraph"/>
              <w:ind w:left="0"/>
              <w:rPr>
                <w:sz w:val="14"/>
              </w:rPr>
            </w:pPr>
          </w:p>
          <w:p>
            <w:pPr>
              <w:pStyle w:val="TableParagraph"/>
              <w:ind w:right="206"/>
              <w:rPr>
                <w:sz w:val="12"/>
              </w:rPr>
            </w:pPr>
            <w:r>
              <w:rPr>
                <w:color w:val="231F20"/>
                <w:sz w:val="12"/>
              </w:rPr>
              <w:t>20.3%</w:t>
            </w:r>
          </w:p>
        </w:tc>
        <w:tc>
          <w:tcPr>
            <w:tcW w:w="710" w:type="dxa"/>
          </w:tcPr>
          <w:p>
            <w:pPr>
              <w:pStyle w:val="TableParagraph"/>
              <w:ind w:left="0"/>
              <w:rPr>
                <w:sz w:val="14"/>
              </w:rPr>
            </w:pPr>
          </w:p>
          <w:p>
            <w:pPr>
              <w:pStyle w:val="TableParagraph"/>
              <w:ind w:right="206"/>
              <w:rPr>
                <w:sz w:val="12"/>
              </w:rPr>
            </w:pPr>
            <w:r>
              <w:rPr>
                <w:color w:val="231F20"/>
                <w:sz w:val="12"/>
              </w:rPr>
              <w:t>6.3%</w:t>
            </w:r>
          </w:p>
        </w:tc>
        <w:tc>
          <w:tcPr>
            <w:tcW w:w="706" w:type="dxa"/>
          </w:tcPr>
          <w:p>
            <w:pPr>
              <w:pStyle w:val="TableParagraph"/>
              <w:ind w:left="0"/>
              <w:rPr>
                <w:sz w:val="14"/>
              </w:rPr>
            </w:pPr>
          </w:p>
          <w:p>
            <w:pPr>
              <w:pStyle w:val="TableParagraph"/>
              <w:ind w:right="132"/>
              <w:rPr>
                <w:b/>
                <w:sz w:val="12"/>
              </w:rPr>
            </w:pPr>
            <w:r>
              <w:rPr>
                <w:b/>
                <w:color w:val="231F20"/>
                <w:sz w:val="12"/>
              </w:rPr>
              <w:t>9.4%</w:t>
            </w:r>
          </w:p>
        </w:tc>
        <w:tc>
          <w:tcPr>
            <w:tcW w:w="874" w:type="dxa"/>
          </w:tcPr>
          <w:p>
            <w:pPr>
              <w:pStyle w:val="TableParagraph"/>
              <w:ind w:left="0"/>
              <w:rPr>
                <w:sz w:val="14"/>
              </w:rPr>
            </w:pPr>
          </w:p>
          <w:p>
            <w:pPr>
              <w:pStyle w:val="TableParagraph"/>
              <w:rPr>
                <w:b/>
                <w:sz w:val="12"/>
              </w:rPr>
            </w:pPr>
            <w:r>
              <w:rPr>
                <w:b/>
                <w:color w:val="231F20"/>
                <w:w w:val="95"/>
                <w:sz w:val="12"/>
              </w:rPr>
              <w:t>3.1%</w:t>
            </w:r>
          </w:p>
        </w:tc>
      </w:tr>
      <w:tr>
        <w:trPr>
          <w:trHeight w:val="1022" w:hRule="exact"/>
        </w:trPr>
        <w:tc>
          <w:tcPr>
            <w:tcW w:w="2294" w:type="dxa"/>
          </w:tcPr>
          <w:p>
            <w:pPr>
              <w:pStyle w:val="TableParagraph"/>
              <w:spacing w:line="127" w:lineRule="exact"/>
              <w:ind w:left="105"/>
              <w:jc w:val="both"/>
              <w:rPr>
                <w:b/>
                <w:sz w:val="12"/>
              </w:rPr>
            </w:pPr>
            <w:r>
              <w:rPr>
                <w:b/>
                <w:color w:val="231F20"/>
                <w:sz w:val="12"/>
              </w:rPr>
              <w:t>10A. Se ignoran mis éxitos laborales y se</w:t>
            </w:r>
          </w:p>
          <w:p>
            <w:pPr>
              <w:pStyle w:val="TableParagraph"/>
              <w:spacing w:line="352" w:lineRule="auto" w:before="63"/>
              <w:ind w:left="105" w:right="103"/>
              <w:jc w:val="both"/>
              <w:rPr>
                <w:b/>
                <w:sz w:val="12"/>
              </w:rPr>
            </w:pPr>
            <w:r>
              <w:rPr>
                <w:b/>
                <w:color w:val="231F20"/>
                <w:sz w:val="12"/>
              </w:rPr>
              <w:t>atribuyen maliciosamente a otras personas o elementos ajenos a ellos, como la casualidad, la suerte, la situa- ción del mercado, etc.</w:t>
            </w:r>
          </w:p>
        </w:tc>
        <w:tc>
          <w:tcPr>
            <w:tcW w:w="538" w:type="dxa"/>
          </w:tcPr>
          <w:p>
            <w:pPr>
              <w:pStyle w:val="TableParagraph"/>
              <w:ind w:left="0"/>
              <w:rPr>
                <w:sz w:val="12"/>
              </w:rPr>
            </w:pPr>
          </w:p>
          <w:p>
            <w:pPr>
              <w:pStyle w:val="TableParagraph"/>
              <w:ind w:left="0"/>
              <w:rPr>
                <w:sz w:val="12"/>
              </w:rPr>
            </w:pPr>
          </w:p>
          <w:p>
            <w:pPr>
              <w:pStyle w:val="TableParagraph"/>
              <w:spacing w:before="8"/>
              <w:ind w:left="0"/>
              <w:rPr>
                <w:sz w:val="16"/>
              </w:rPr>
            </w:pPr>
          </w:p>
          <w:p>
            <w:pPr>
              <w:pStyle w:val="TableParagraph"/>
              <w:rPr>
                <w:sz w:val="12"/>
              </w:rPr>
            </w:pPr>
            <w:r>
              <w:rPr>
                <w:color w:val="231F20"/>
                <w:sz w:val="12"/>
              </w:rPr>
              <w:t>67.2%</w:t>
            </w:r>
          </w:p>
        </w:tc>
        <w:tc>
          <w:tcPr>
            <w:tcW w:w="710" w:type="dxa"/>
          </w:tcPr>
          <w:p>
            <w:pPr>
              <w:pStyle w:val="TableParagraph"/>
              <w:ind w:left="0"/>
              <w:rPr>
                <w:sz w:val="12"/>
              </w:rPr>
            </w:pPr>
          </w:p>
          <w:p>
            <w:pPr>
              <w:pStyle w:val="TableParagraph"/>
              <w:ind w:left="0"/>
              <w:rPr>
                <w:sz w:val="12"/>
              </w:rPr>
            </w:pPr>
          </w:p>
          <w:p>
            <w:pPr>
              <w:pStyle w:val="TableParagraph"/>
              <w:spacing w:before="8"/>
              <w:ind w:left="0"/>
              <w:rPr>
                <w:sz w:val="16"/>
              </w:rPr>
            </w:pPr>
          </w:p>
          <w:p>
            <w:pPr>
              <w:pStyle w:val="TableParagraph"/>
              <w:ind w:right="206"/>
              <w:rPr>
                <w:sz w:val="12"/>
              </w:rPr>
            </w:pPr>
            <w:r>
              <w:rPr>
                <w:color w:val="231F20"/>
                <w:sz w:val="12"/>
              </w:rPr>
              <w:t>15.6%</w:t>
            </w:r>
          </w:p>
        </w:tc>
        <w:tc>
          <w:tcPr>
            <w:tcW w:w="710" w:type="dxa"/>
          </w:tcPr>
          <w:p>
            <w:pPr>
              <w:pStyle w:val="TableParagraph"/>
              <w:ind w:left="0"/>
              <w:rPr>
                <w:sz w:val="12"/>
              </w:rPr>
            </w:pPr>
          </w:p>
          <w:p>
            <w:pPr>
              <w:pStyle w:val="TableParagraph"/>
              <w:ind w:left="0"/>
              <w:rPr>
                <w:sz w:val="12"/>
              </w:rPr>
            </w:pPr>
          </w:p>
          <w:p>
            <w:pPr>
              <w:pStyle w:val="TableParagraph"/>
              <w:spacing w:before="8"/>
              <w:ind w:left="0"/>
              <w:rPr>
                <w:sz w:val="16"/>
              </w:rPr>
            </w:pPr>
          </w:p>
          <w:p>
            <w:pPr>
              <w:pStyle w:val="TableParagraph"/>
              <w:ind w:right="206"/>
              <w:rPr>
                <w:sz w:val="12"/>
              </w:rPr>
            </w:pPr>
            <w:r>
              <w:rPr>
                <w:color w:val="231F20"/>
                <w:sz w:val="12"/>
              </w:rPr>
              <w:t>7.8%</w:t>
            </w:r>
          </w:p>
        </w:tc>
        <w:tc>
          <w:tcPr>
            <w:tcW w:w="706" w:type="dxa"/>
          </w:tcPr>
          <w:p>
            <w:pPr>
              <w:pStyle w:val="TableParagraph"/>
              <w:ind w:left="0"/>
              <w:rPr>
                <w:sz w:val="12"/>
              </w:rPr>
            </w:pPr>
          </w:p>
          <w:p>
            <w:pPr>
              <w:pStyle w:val="TableParagraph"/>
              <w:ind w:left="0"/>
              <w:rPr>
                <w:sz w:val="12"/>
              </w:rPr>
            </w:pPr>
          </w:p>
          <w:p>
            <w:pPr>
              <w:pStyle w:val="TableParagraph"/>
              <w:spacing w:before="8"/>
              <w:ind w:left="0"/>
              <w:rPr>
                <w:sz w:val="16"/>
              </w:rPr>
            </w:pPr>
          </w:p>
          <w:p>
            <w:pPr>
              <w:pStyle w:val="TableParagraph"/>
              <w:ind w:right="132"/>
              <w:rPr>
                <w:b/>
                <w:sz w:val="12"/>
              </w:rPr>
            </w:pPr>
            <w:r>
              <w:rPr>
                <w:b/>
                <w:color w:val="231F20"/>
                <w:sz w:val="12"/>
              </w:rPr>
              <w:t>6.3%</w:t>
            </w:r>
          </w:p>
        </w:tc>
        <w:tc>
          <w:tcPr>
            <w:tcW w:w="874" w:type="dxa"/>
          </w:tcPr>
          <w:p>
            <w:pPr>
              <w:pStyle w:val="TableParagraph"/>
              <w:ind w:left="0"/>
              <w:rPr>
                <w:sz w:val="12"/>
              </w:rPr>
            </w:pPr>
          </w:p>
          <w:p>
            <w:pPr>
              <w:pStyle w:val="TableParagraph"/>
              <w:ind w:left="0"/>
              <w:rPr>
                <w:sz w:val="12"/>
              </w:rPr>
            </w:pPr>
          </w:p>
          <w:p>
            <w:pPr>
              <w:pStyle w:val="TableParagraph"/>
              <w:spacing w:before="8"/>
              <w:ind w:left="0"/>
              <w:rPr>
                <w:sz w:val="16"/>
              </w:rPr>
            </w:pPr>
          </w:p>
          <w:p>
            <w:pPr>
              <w:pStyle w:val="TableParagraph"/>
              <w:rPr>
                <w:b/>
                <w:sz w:val="12"/>
              </w:rPr>
            </w:pPr>
            <w:r>
              <w:rPr>
                <w:b/>
                <w:color w:val="231F20"/>
                <w:w w:val="95"/>
                <w:sz w:val="12"/>
              </w:rPr>
              <w:t>3.1%</w:t>
            </w:r>
          </w:p>
        </w:tc>
      </w:tr>
      <w:tr>
        <w:trPr>
          <w:trHeight w:val="619" w:hRule="exact"/>
        </w:trPr>
        <w:tc>
          <w:tcPr>
            <w:tcW w:w="2294" w:type="dxa"/>
          </w:tcPr>
          <w:p>
            <w:pPr>
              <w:pStyle w:val="TableParagraph"/>
              <w:spacing w:line="127" w:lineRule="exact"/>
              <w:ind w:left="105"/>
              <w:rPr>
                <w:b/>
                <w:sz w:val="12"/>
              </w:rPr>
            </w:pPr>
            <w:r>
              <w:rPr>
                <w:b/>
                <w:color w:val="231F20"/>
                <w:sz w:val="12"/>
              </w:rPr>
              <w:t>12A. Se me obstaculizan las   posibilida-</w:t>
            </w:r>
          </w:p>
          <w:p>
            <w:pPr>
              <w:pStyle w:val="TableParagraph"/>
              <w:spacing w:line="360" w:lineRule="auto" w:before="63"/>
              <w:ind w:left="105" w:right="120"/>
              <w:rPr>
                <w:b/>
                <w:sz w:val="12"/>
              </w:rPr>
            </w:pPr>
            <w:r>
              <w:rPr>
                <w:b/>
                <w:color w:val="231F20"/>
                <w:sz w:val="12"/>
              </w:rPr>
              <w:t>des de comunicarme con compañeros  y/o con otras áreas de la</w:t>
            </w:r>
            <w:r>
              <w:rPr>
                <w:b/>
                <w:color w:val="231F20"/>
                <w:spacing w:val="1"/>
                <w:sz w:val="12"/>
              </w:rPr>
              <w:t> </w:t>
            </w:r>
            <w:r>
              <w:rPr>
                <w:b/>
                <w:color w:val="231F20"/>
                <w:sz w:val="12"/>
              </w:rPr>
              <w:t>empresa</w:t>
            </w:r>
          </w:p>
        </w:tc>
        <w:tc>
          <w:tcPr>
            <w:tcW w:w="538" w:type="dxa"/>
          </w:tcPr>
          <w:p>
            <w:pPr>
              <w:pStyle w:val="TableParagraph"/>
              <w:ind w:left="0"/>
              <w:rPr>
                <w:sz w:val="12"/>
              </w:rPr>
            </w:pPr>
          </w:p>
          <w:p>
            <w:pPr>
              <w:pStyle w:val="TableParagraph"/>
              <w:spacing w:before="9"/>
              <w:ind w:left="0"/>
              <w:rPr>
                <w:sz w:val="10"/>
              </w:rPr>
            </w:pPr>
          </w:p>
          <w:p>
            <w:pPr>
              <w:pStyle w:val="TableParagraph"/>
              <w:rPr>
                <w:sz w:val="12"/>
              </w:rPr>
            </w:pPr>
            <w:r>
              <w:rPr>
                <w:color w:val="231F20"/>
                <w:sz w:val="12"/>
              </w:rPr>
              <w:t>71.9%</w:t>
            </w:r>
          </w:p>
        </w:tc>
        <w:tc>
          <w:tcPr>
            <w:tcW w:w="710" w:type="dxa"/>
          </w:tcPr>
          <w:p>
            <w:pPr>
              <w:pStyle w:val="TableParagraph"/>
              <w:ind w:left="0"/>
              <w:rPr>
                <w:sz w:val="12"/>
              </w:rPr>
            </w:pPr>
          </w:p>
          <w:p>
            <w:pPr>
              <w:pStyle w:val="TableParagraph"/>
              <w:spacing w:before="9"/>
              <w:ind w:left="0"/>
              <w:rPr>
                <w:sz w:val="10"/>
              </w:rPr>
            </w:pPr>
          </w:p>
          <w:p>
            <w:pPr>
              <w:pStyle w:val="TableParagraph"/>
              <w:ind w:right="206"/>
              <w:rPr>
                <w:sz w:val="12"/>
              </w:rPr>
            </w:pPr>
            <w:r>
              <w:rPr>
                <w:color w:val="231F20"/>
                <w:sz w:val="12"/>
              </w:rPr>
              <w:t>10.9%</w:t>
            </w:r>
          </w:p>
        </w:tc>
        <w:tc>
          <w:tcPr>
            <w:tcW w:w="710" w:type="dxa"/>
          </w:tcPr>
          <w:p>
            <w:pPr>
              <w:pStyle w:val="TableParagraph"/>
              <w:ind w:left="0"/>
              <w:rPr>
                <w:sz w:val="12"/>
              </w:rPr>
            </w:pPr>
          </w:p>
          <w:p>
            <w:pPr>
              <w:pStyle w:val="TableParagraph"/>
              <w:spacing w:before="9"/>
              <w:ind w:left="0"/>
              <w:rPr>
                <w:sz w:val="10"/>
              </w:rPr>
            </w:pPr>
          </w:p>
          <w:p>
            <w:pPr>
              <w:pStyle w:val="TableParagraph"/>
              <w:ind w:right="206"/>
              <w:rPr>
                <w:sz w:val="12"/>
              </w:rPr>
            </w:pPr>
            <w:r>
              <w:rPr>
                <w:color w:val="231F20"/>
                <w:sz w:val="12"/>
              </w:rPr>
              <w:t>9.4%</w:t>
            </w:r>
          </w:p>
        </w:tc>
        <w:tc>
          <w:tcPr>
            <w:tcW w:w="706" w:type="dxa"/>
          </w:tcPr>
          <w:p>
            <w:pPr>
              <w:pStyle w:val="TableParagraph"/>
              <w:ind w:left="0"/>
              <w:rPr>
                <w:sz w:val="12"/>
              </w:rPr>
            </w:pPr>
          </w:p>
          <w:p>
            <w:pPr>
              <w:pStyle w:val="TableParagraph"/>
              <w:spacing w:before="9"/>
              <w:ind w:left="0"/>
              <w:rPr>
                <w:sz w:val="10"/>
              </w:rPr>
            </w:pPr>
          </w:p>
          <w:p>
            <w:pPr>
              <w:pStyle w:val="TableParagraph"/>
              <w:ind w:right="132"/>
              <w:rPr>
                <w:b/>
                <w:sz w:val="12"/>
              </w:rPr>
            </w:pPr>
            <w:r>
              <w:rPr>
                <w:b/>
                <w:color w:val="231F20"/>
                <w:sz w:val="12"/>
              </w:rPr>
              <w:t>7.8%</w:t>
            </w:r>
          </w:p>
        </w:tc>
        <w:tc>
          <w:tcPr>
            <w:tcW w:w="874" w:type="dxa"/>
          </w:tcPr>
          <w:p>
            <w:pPr>
              <w:pStyle w:val="TableParagraph"/>
              <w:ind w:left="0"/>
              <w:rPr>
                <w:sz w:val="12"/>
              </w:rPr>
            </w:pPr>
          </w:p>
          <w:p>
            <w:pPr>
              <w:pStyle w:val="TableParagraph"/>
              <w:spacing w:before="9"/>
              <w:ind w:left="0"/>
              <w:rPr>
                <w:sz w:val="10"/>
              </w:rPr>
            </w:pPr>
          </w:p>
          <w:p>
            <w:pPr>
              <w:pStyle w:val="TableParagraph"/>
              <w:rPr>
                <w:sz w:val="12"/>
              </w:rPr>
            </w:pPr>
            <w:r>
              <w:rPr>
                <w:color w:val="231F20"/>
                <w:sz w:val="12"/>
              </w:rPr>
              <w:t>0%</w:t>
            </w:r>
          </w:p>
        </w:tc>
      </w:tr>
      <w:tr>
        <w:trPr>
          <w:trHeight w:val="821" w:hRule="exact"/>
        </w:trPr>
        <w:tc>
          <w:tcPr>
            <w:tcW w:w="2294" w:type="dxa"/>
          </w:tcPr>
          <w:p>
            <w:pPr>
              <w:pStyle w:val="TableParagraph"/>
              <w:spacing w:line="127" w:lineRule="exact"/>
              <w:ind w:left="105"/>
              <w:jc w:val="both"/>
              <w:rPr>
                <w:b/>
                <w:sz w:val="12"/>
              </w:rPr>
            </w:pPr>
            <w:r>
              <w:rPr>
                <w:b/>
                <w:color w:val="231F20"/>
                <w:sz w:val="12"/>
              </w:rPr>
              <w:t>16A. Se me evita o rechaza en el trabajo</w:t>
            </w:r>
          </w:p>
          <w:p>
            <w:pPr>
              <w:pStyle w:val="TableParagraph"/>
              <w:spacing w:line="350" w:lineRule="auto" w:before="63"/>
              <w:ind w:left="105" w:right="103"/>
              <w:jc w:val="both"/>
              <w:rPr>
                <w:b/>
                <w:sz w:val="12"/>
              </w:rPr>
            </w:pPr>
            <w:r>
              <w:rPr>
                <w:b/>
                <w:color w:val="231F20"/>
                <w:sz w:val="12"/>
              </w:rPr>
              <w:t>(evitando el contacto visual, mediante gestos de rechazo explícito, desdén o menosprecio, etc.)</w:t>
            </w:r>
          </w:p>
        </w:tc>
        <w:tc>
          <w:tcPr>
            <w:tcW w:w="538" w:type="dxa"/>
          </w:tcPr>
          <w:p>
            <w:pPr>
              <w:pStyle w:val="TableParagraph"/>
              <w:ind w:left="0"/>
              <w:rPr>
                <w:sz w:val="12"/>
              </w:rPr>
            </w:pPr>
          </w:p>
          <w:p>
            <w:pPr>
              <w:pStyle w:val="TableParagraph"/>
              <w:ind w:left="0"/>
              <w:rPr>
                <w:sz w:val="12"/>
              </w:rPr>
            </w:pPr>
          </w:p>
          <w:p>
            <w:pPr>
              <w:pStyle w:val="TableParagraph"/>
              <w:spacing w:before="87"/>
              <w:rPr>
                <w:sz w:val="12"/>
              </w:rPr>
            </w:pPr>
            <w:r>
              <w:rPr>
                <w:color w:val="231F20"/>
                <w:sz w:val="12"/>
              </w:rPr>
              <w:t>62.5%</w:t>
            </w:r>
          </w:p>
        </w:tc>
        <w:tc>
          <w:tcPr>
            <w:tcW w:w="710" w:type="dxa"/>
          </w:tcPr>
          <w:p>
            <w:pPr>
              <w:pStyle w:val="TableParagraph"/>
              <w:ind w:left="0"/>
              <w:rPr>
                <w:sz w:val="12"/>
              </w:rPr>
            </w:pPr>
          </w:p>
          <w:p>
            <w:pPr>
              <w:pStyle w:val="TableParagraph"/>
              <w:ind w:left="0"/>
              <w:rPr>
                <w:sz w:val="12"/>
              </w:rPr>
            </w:pPr>
          </w:p>
          <w:p>
            <w:pPr>
              <w:pStyle w:val="TableParagraph"/>
              <w:spacing w:before="87"/>
              <w:ind w:right="206"/>
              <w:rPr>
                <w:sz w:val="12"/>
              </w:rPr>
            </w:pPr>
            <w:r>
              <w:rPr>
                <w:color w:val="231F20"/>
                <w:sz w:val="12"/>
              </w:rPr>
              <w:t>20.3%</w:t>
            </w:r>
          </w:p>
        </w:tc>
        <w:tc>
          <w:tcPr>
            <w:tcW w:w="710" w:type="dxa"/>
          </w:tcPr>
          <w:p>
            <w:pPr>
              <w:pStyle w:val="TableParagraph"/>
              <w:ind w:left="0"/>
              <w:rPr>
                <w:sz w:val="12"/>
              </w:rPr>
            </w:pPr>
          </w:p>
          <w:p>
            <w:pPr>
              <w:pStyle w:val="TableParagraph"/>
              <w:ind w:left="0"/>
              <w:rPr>
                <w:sz w:val="12"/>
              </w:rPr>
            </w:pPr>
          </w:p>
          <w:p>
            <w:pPr>
              <w:pStyle w:val="TableParagraph"/>
              <w:spacing w:before="87"/>
              <w:ind w:right="206"/>
              <w:rPr>
                <w:sz w:val="12"/>
              </w:rPr>
            </w:pPr>
            <w:r>
              <w:rPr>
                <w:color w:val="231F20"/>
                <w:sz w:val="12"/>
              </w:rPr>
              <w:t>9.4%</w:t>
            </w:r>
          </w:p>
        </w:tc>
        <w:tc>
          <w:tcPr>
            <w:tcW w:w="706" w:type="dxa"/>
          </w:tcPr>
          <w:p>
            <w:pPr>
              <w:pStyle w:val="TableParagraph"/>
              <w:ind w:left="0"/>
              <w:rPr>
                <w:sz w:val="12"/>
              </w:rPr>
            </w:pPr>
          </w:p>
          <w:p>
            <w:pPr>
              <w:pStyle w:val="TableParagraph"/>
              <w:ind w:left="0"/>
              <w:rPr>
                <w:sz w:val="12"/>
              </w:rPr>
            </w:pPr>
          </w:p>
          <w:p>
            <w:pPr>
              <w:pStyle w:val="TableParagraph"/>
              <w:spacing w:before="87"/>
              <w:ind w:right="132"/>
              <w:rPr>
                <w:b/>
                <w:sz w:val="12"/>
              </w:rPr>
            </w:pPr>
            <w:r>
              <w:rPr>
                <w:b/>
                <w:color w:val="231F20"/>
                <w:w w:val="95"/>
                <w:sz w:val="12"/>
              </w:rPr>
              <w:t>3.1%</w:t>
            </w:r>
          </w:p>
        </w:tc>
        <w:tc>
          <w:tcPr>
            <w:tcW w:w="874" w:type="dxa"/>
          </w:tcPr>
          <w:p>
            <w:pPr>
              <w:pStyle w:val="TableParagraph"/>
              <w:ind w:left="0"/>
              <w:rPr>
                <w:sz w:val="12"/>
              </w:rPr>
            </w:pPr>
          </w:p>
          <w:p>
            <w:pPr>
              <w:pStyle w:val="TableParagraph"/>
              <w:ind w:left="0"/>
              <w:rPr>
                <w:sz w:val="12"/>
              </w:rPr>
            </w:pPr>
          </w:p>
          <w:p>
            <w:pPr>
              <w:pStyle w:val="TableParagraph"/>
              <w:spacing w:before="87"/>
              <w:rPr>
                <w:b/>
                <w:sz w:val="12"/>
              </w:rPr>
            </w:pPr>
            <w:r>
              <w:rPr>
                <w:b/>
                <w:color w:val="231F20"/>
                <w:sz w:val="12"/>
              </w:rPr>
              <w:t>4.7%</w:t>
            </w:r>
          </w:p>
        </w:tc>
      </w:tr>
      <w:tr>
        <w:trPr>
          <w:trHeight w:val="413" w:hRule="exact"/>
        </w:trPr>
        <w:tc>
          <w:tcPr>
            <w:tcW w:w="2294" w:type="dxa"/>
          </w:tcPr>
          <w:p>
            <w:pPr>
              <w:pStyle w:val="TableParagraph"/>
              <w:spacing w:line="127" w:lineRule="exact"/>
              <w:ind w:left="105"/>
              <w:rPr>
                <w:b/>
                <w:sz w:val="12"/>
              </w:rPr>
            </w:pPr>
            <w:r>
              <w:rPr>
                <w:b/>
                <w:color w:val="231F20"/>
                <w:sz w:val="12"/>
              </w:rPr>
              <w:t>18A.  Se  me  asignan  sin  cesar    tareas</w:t>
            </w:r>
          </w:p>
          <w:p>
            <w:pPr>
              <w:pStyle w:val="TableParagraph"/>
              <w:spacing w:before="63"/>
              <w:ind w:left="105"/>
              <w:rPr>
                <w:b/>
                <w:sz w:val="12"/>
              </w:rPr>
            </w:pPr>
            <w:r>
              <w:rPr>
                <w:b/>
                <w:color w:val="231F20"/>
                <w:sz w:val="12"/>
              </w:rPr>
              <w:t>nuevas</w:t>
            </w:r>
          </w:p>
        </w:tc>
        <w:tc>
          <w:tcPr>
            <w:tcW w:w="538" w:type="dxa"/>
          </w:tcPr>
          <w:p>
            <w:pPr>
              <w:pStyle w:val="TableParagraph"/>
              <w:ind w:left="0"/>
              <w:rPr>
                <w:sz w:val="14"/>
              </w:rPr>
            </w:pPr>
          </w:p>
          <w:p>
            <w:pPr>
              <w:pStyle w:val="TableParagraph"/>
              <w:rPr>
                <w:sz w:val="12"/>
              </w:rPr>
            </w:pPr>
            <w:r>
              <w:rPr>
                <w:color w:val="231F20"/>
                <w:sz w:val="12"/>
              </w:rPr>
              <w:t>56.2%</w:t>
            </w:r>
          </w:p>
        </w:tc>
        <w:tc>
          <w:tcPr>
            <w:tcW w:w="710" w:type="dxa"/>
          </w:tcPr>
          <w:p>
            <w:pPr>
              <w:pStyle w:val="TableParagraph"/>
              <w:ind w:left="0"/>
              <w:rPr>
                <w:sz w:val="14"/>
              </w:rPr>
            </w:pPr>
          </w:p>
          <w:p>
            <w:pPr>
              <w:pStyle w:val="TableParagraph"/>
              <w:ind w:right="206"/>
              <w:rPr>
                <w:sz w:val="12"/>
              </w:rPr>
            </w:pPr>
            <w:r>
              <w:rPr>
                <w:color w:val="231F20"/>
                <w:sz w:val="12"/>
              </w:rPr>
              <w:t>26.6%</w:t>
            </w:r>
          </w:p>
        </w:tc>
        <w:tc>
          <w:tcPr>
            <w:tcW w:w="710" w:type="dxa"/>
          </w:tcPr>
          <w:p>
            <w:pPr>
              <w:pStyle w:val="TableParagraph"/>
              <w:ind w:left="0"/>
              <w:rPr>
                <w:sz w:val="14"/>
              </w:rPr>
            </w:pPr>
          </w:p>
          <w:p>
            <w:pPr>
              <w:pStyle w:val="TableParagraph"/>
              <w:ind w:right="206"/>
              <w:rPr>
                <w:sz w:val="12"/>
              </w:rPr>
            </w:pPr>
            <w:r>
              <w:rPr>
                <w:color w:val="231F20"/>
                <w:sz w:val="12"/>
              </w:rPr>
              <w:t>7.8%</w:t>
            </w:r>
          </w:p>
        </w:tc>
        <w:tc>
          <w:tcPr>
            <w:tcW w:w="706" w:type="dxa"/>
          </w:tcPr>
          <w:p>
            <w:pPr>
              <w:pStyle w:val="TableParagraph"/>
              <w:ind w:left="0"/>
              <w:rPr>
                <w:sz w:val="14"/>
              </w:rPr>
            </w:pPr>
          </w:p>
          <w:p>
            <w:pPr>
              <w:pStyle w:val="TableParagraph"/>
              <w:ind w:right="132"/>
              <w:rPr>
                <w:b/>
                <w:sz w:val="12"/>
              </w:rPr>
            </w:pPr>
            <w:r>
              <w:rPr>
                <w:b/>
                <w:color w:val="231F20"/>
                <w:sz w:val="12"/>
              </w:rPr>
              <w:t>7.8%</w:t>
            </w:r>
          </w:p>
        </w:tc>
        <w:tc>
          <w:tcPr>
            <w:tcW w:w="874" w:type="dxa"/>
          </w:tcPr>
          <w:p>
            <w:pPr>
              <w:pStyle w:val="TableParagraph"/>
              <w:ind w:left="0"/>
              <w:rPr>
                <w:sz w:val="14"/>
              </w:rPr>
            </w:pPr>
          </w:p>
          <w:p>
            <w:pPr>
              <w:pStyle w:val="TableParagraph"/>
              <w:rPr>
                <w:b/>
                <w:sz w:val="12"/>
              </w:rPr>
            </w:pPr>
            <w:r>
              <w:rPr>
                <w:b/>
                <w:color w:val="231F20"/>
                <w:w w:val="95"/>
                <w:sz w:val="12"/>
              </w:rPr>
              <w:t>1.6%</w:t>
            </w:r>
          </w:p>
        </w:tc>
      </w:tr>
      <w:tr>
        <w:trPr>
          <w:trHeight w:val="821" w:hRule="exact"/>
        </w:trPr>
        <w:tc>
          <w:tcPr>
            <w:tcW w:w="2294" w:type="dxa"/>
          </w:tcPr>
          <w:p>
            <w:pPr>
              <w:pStyle w:val="TableParagraph"/>
              <w:spacing w:line="127" w:lineRule="exact"/>
              <w:ind w:left="105"/>
              <w:jc w:val="both"/>
              <w:rPr>
                <w:b/>
                <w:sz w:val="12"/>
              </w:rPr>
            </w:pPr>
            <w:r>
              <w:rPr>
                <w:b/>
                <w:color w:val="231F20"/>
                <w:sz w:val="12"/>
              </w:rPr>
              <w:t>21A.   Tengo   menos   oportunidades de</w:t>
            </w:r>
          </w:p>
          <w:p>
            <w:pPr>
              <w:pStyle w:val="TableParagraph"/>
              <w:spacing w:line="355" w:lineRule="auto" w:before="63"/>
              <w:ind w:left="105" w:right="103"/>
              <w:jc w:val="both"/>
              <w:rPr>
                <w:b/>
                <w:sz w:val="12"/>
              </w:rPr>
            </w:pPr>
            <w:r>
              <w:rPr>
                <w:b/>
                <w:color w:val="231F20"/>
                <w:sz w:val="12"/>
              </w:rPr>
              <w:t>capacitarme</w:t>
            </w:r>
            <w:r>
              <w:rPr>
                <w:b/>
                <w:color w:val="231F20"/>
                <w:spacing w:val="-12"/>
                <w:sz w:val="12"/>
              </w:rPr>
              <w:t> </w:t>
            </w:r>
            <w:r>
              <w:rPr>
                <w:b/>
                <w:color w:val="231F20"/>
                <w:sz w:val="12"/>
              </w:rPr>
              <w:t>o</w:t>
            </w:r>
            <w:r>
              <w:rPr>
                <w:b/>
                <w:color w:val="231F20"/>
                <w:spacing w:val="-12"/>
                <w:sz w:val="12"/>
              </w:rPr>
              <w:t> </w:t>
            </w:r>
            <w:r>
              <w:rPr>
                <w:b/>
                <w:color w:val="231F20"/>
                <w:sz w:val="12"/>
              </w:rPr>
              <w:t>formarme</w:t>
            </w:r>
            <w:r>
              <w:rPr>
                <w:b/>
                <w:color w:val="231F20"/>
                <w:spacing w:val="-11"/>
                <w:sz w:val="12"/>
              </w:rPr>
              <w:t> </w:t>
            </w:r>
            <w:r>
              <w:rPr>
                <w:b/>
                <w:color w:val="231F20"/>
                <w:sz w:val="12"/>
              </w:rPr>
              <w:t>adecuadamente que las que se ofrecen a otros compañe- ros</w:t>
            </w:r>
          </w:p>
        </w:tc>
        <w:tc>
          <w:tcPr>
            <w:tcW w:w="538" w:type="dxa"/>
          </w:tcPr>
          <w:p>
            <w:pPr>
              <w:pStyle w:val="TableParagraph"/>
              <w:ind w:left="0"/>
              <w:rPr>
                <w:sz w:val="12"/>
              </w:rPr>
            </w:pPr>
          </w:p>
          <w:p>
            <w:pPr>
              <w:pStyle w:val="TableParagraph"/>
              <w:ind w:left="0"/>
              <w:rPr>
                <w:sz w:val="12"/>
              </w:rPr>
            </w:pPr>
          </w:p>
          <w:p>
            <w:pPr>
              <w:pStyle w:val="TableParagraph"/>
              <w:spacing w:before="87"/>
              <w:rPr>
                <w:sz w:val="12"/>
              </w:rPr>
            </w:pPr>
            <w:r>
              <w:rPr>
                <w:color w:val="231F20"/>
                <w:sz w:val="12"/>
              </w:rPr>
              <w:t>74.6%</w:t>
            </w:r>
          </w:p>
        </w:tc>
        <w:tc>
          <w:tcPr>
            <w:tcW w:w="710" w:type="dxa"/>
          </w:tcPr>
          <w:p>
            <w:pPr>
              <w:pStyle w:val="TableParagraph"/>
              <w:ind w:left="0"/>
              <w:rPr>
                <w:sz w:val="12"/>
              </w:rPr>
            </w:pPr>
          </w:p>
          <w:p>
            <w:pPr>
              <w:pStyle w:val="TableParagraph"/>
              <w:ind w:left="0"/>
              <w:rPr>
                <w:sz w:val="12"/>
              </w:rPr>
            </w:pPr>
          </w:p>
          <w:p>
            <w:pPr>
              <w:pStyle w:val="TableParagraph"/>
              <w:spacing w:before="87"/>
              <w:ind w:right="206"/>
              <w:rPr>
                <w:sz w:val="12"/>
              </w:rPr>
            </w:pPr>
            <w:r>
              <w:rPr>
                <w:color w:val="231F20"/>
                <w:sz w:val="12"/>
              </w:rPr>
              <w:t>6.3%</w:t>
            </w:r>
          </w:p>
        </w:tc>
        <w:tc>
          <w:tcPr>
            <w:tcW w:w="710" w:type="dxa"/>
          </w:tcPr>
          <w:p>
            <w:pPr>
              <w:pStyle w:val="TableParagraph"/>
              <w:ind w:left="0"/>
              <w:rPr>
                <w:sz w:val="12"/>
              </w:rPr>
            </w:pPr>
          </w:p>
          <w:p>
            <w:pPr>
              <w:pStyle w:val="TableParagraph"/>
              <w:ind w:left="0"/>
              <w:rPr>
                <w:sz w:val="12"/>
              </w:rPr>
            </w:pPr>
          </w:p>
          <w:p>
            <w:pPr>
              <w:pStyle w:val="TableParagraph"/>
              <w:spacing w:before="87"/>
              <w:ind w:right="206"/>
              <w:rPr>
                <w:sz w:val="12"/>
              </w:rPr>
            </w:pPr>
            <w:r>
              <w:rPr>
                <w:color w:val="231F20"/>
                <w:sz w:val="12"/>
              </w:rPr>
              <w:t>11.1%</w:t>
            </w:r>
          </w:p>
        </w:tc>
        <w:tc>
          <w:tcPr>
            <w:tcW w:w="706" w:type="dxa"/>
          </w:tcPr>
          <w:p>
            <w:pPr>
              <w:pStyle w:val="TableParagraph"/>
              <w:ind w:left="0"/>
              <w:rPr>
                <w:sz w:val="12"/>
              </w:rPr>
            </w:pPr>
          </w:p>
          <w:p>
            <w:pPr>
              <w:pStyle w:val="TableParagraph"/>
              <w:ind w:left="0"/>
              <w:rPr>
                <w:sz w:val="12"/>
              </w:rPr>
            </w:pPr>
          </w:p>
          <w:p>
            <w:pPr>
              <w:pStyle w:val="TableParagraph"/>
              <w:spacing w:before="87"/>
              <w:ind w:right="132"/>
              <w:rPr>
                <w:b/>
                <w:sz w:val="12"/>
              </w:rPr>
            </w:pPr>
            <w:r>
              <w:rPr>
                <w:b/>
                <w:color w:val="231F20"/>
                <w:sz w:val="12"/>
              </w:rPr>
              <w:t>6.3%</w:t>
            </w:r>
          </w:p>
        </w:tc>
        <w:tc>
          <w:tcPr>
            <w:tcW w:w="874" w:type="dxa"/>
          </w:tcPr>
          <w:p>
            <w:pPr>
              <w:pStyle w:val="TableParagraph"/>
              <w:ind w:left="0"/>
              <w:rPr>
                <w:sz w:val="12"/>
              </w:rPr>
            </w:pPr>
          </w:p>
          <w:p>
            <w:pPr>
              <w:pStyle w:val="TableParagraph"/>
              <w:ind w:left="0"/>
              <w:rPr>
                <w:sz w:val="12"/>
              </w:rPr>
            </w:pPr>
          </w:p>
          <w:p>
            <w:pPr>
              <w:pStyle w:val="TableParagraph"/>
              <w:spacing w:before="87"/>
              <w:rPr>
                <w:b/>
                <w:sz w:val="12"/>
              </w:rPr>
            </w:pPr>
            <w:r>
              <w:rPr>
                <w:b/>
                <w:color w:val="231F20"/>
                <w:w w:val="90"/>
                <w:sz w:val="12"/>
              </w:rPr>
              <w:t>1.7 %</w:t>
            </w:r>
          </w:p>
        </w:tc>
      </w:tr>
      <w:tr>
        <w:trPr>
          <w:trHeight w:val="619" w:hRule="exact"/>
        </w:trPr>
        <w:tc>
          <w:tcPr>
            <w:tcW w:w="2294" w:type="dxa"/>
          </w:tcPr>
          <w:p>
            <w:pPr>
              <w:pStyle w:val="TableParagraph"/>
              <w:spacing w:line="127" w:lineRule="exact"/>
              <w:ind w:left="105"/>
              <w:rPr>
                <w:b/>
                <w:sz w:val="12"/>
              </w:rPr>
            </w:pPr>
            <w:r>
              <w:rPr>
                <w:b/>
                <w:color w:val="231F20"/>
                <w:sz w:val="12"/>
              </w:rPr>
              <w:t>22A. Se bloquean o impiden las  oportu-</w:t>
            </w:r>
          </w:p>
          <w:p>
            <w:pPr>
              <w:pStyle w:val="TableParagraph"/>
              <w:spacing w:line="350" w:lineRule="auto" w:before="63"/>
              <w:ind w:left="105"/>
              <w:rPr>
                <w:b/>
                <w:sz w:val="12"/>
              </w:rPr>
            </w:pPr>
            <w:r>
              <w:rPr>
                <w:b/>
                <w:color w:val="231F20"/>
                <w:sz w:val="12"/>
              </w:rPr>
              <w:t>nidades que tengo de algún ascenso o mejora en mi trabajo</w:t>
            </w:r>
          </w:p>
        </w:tc>
        <w:tc>
          <w:tcPr>
            <w:tcW w:w="538" w:type="dxa"/>
          </w:tcPr>
          <w:p>
            <w:pPr>
              <w:pStyle w:val="TableParagraph"/>
              <w:ind w:left="0"/>
              <w:rPr>
                <w:sz w:val="12"/>
              </w:rPr>
            </w:pPr>
          </w:p>
          <w:p>
            <w:pPr>
              <w:pStyle w:val="TableParagraph"/>
              <w:spacing w:before="9"/>
              <w:ind w:left="0"/>
              <w:rPr>
                <w:sz w:val="10"/>
              </w:rPr>
            </w:pPr>
          </w:p>
          <w:p>
            <w:pPr>
              <w:pStyle w:val="TableParagraph"/>
              <w:rPr>
                <w:sz w:val="12"/>
              </w:rPr>
            </w:pPr>
            <w:r>
              <w:rPr>
                <w:color w:val="231F20"/>
                <w:sz w:val="12"/>
              </w:rPr>
              <w:t>62.5%</w:t>
            </w:r>
          </w:p>
        </w:tc>
        <w:tc>
          <w:tcPr>
            <w:tcW w:w="710" w:type="dxa"/>
          </w:tcPr>
          <w:p>
            <w:pPr>
              <w:pStyle w:val="TableParagraph"/>
              <w:ind w:left="0"/>
              <w:rPr>
                <w:sz w:val="12"/>
              </w:rPr>
            </w:pPr>
          </w:p>
          <w:p>
            <w:pPr>
              <w:pStyle w:val="TableParagraph"/>
              <w:spacing w:before="9"/>
              <w:ind w:left="0"/>
              <w:rPr>
                <w:sz w:val="10"/>
              </w:rPr>
            </w:pPr>
          </w:p>
          <w:p>
            <w:pPr>
              <w:pStyle w:val="TableParagraph"/>
              <w:ind w:right="206"/>
              <w:rPr>
                <w:sz w:val="12"/>
              </w:rPr>
            </w:pPr>
            <w:r>
              <w:rPr>
                <w:color w:val="231F20"/>
                <w:sz w:val="12"/>
              </w:rPr>
              <w:t>10.9%</w:t>
            </w:r>
          </w:p>
        </w:tc>
        <w:tc>
          <w:tcPr>
            <w:tcW w:w="710" w:type="dxa"/>
          </w:tcPr>
          <w:p>
            <w:pPr>
              <w:pStyle w:val="TableParagraph"/>
              <w:ind w:left="0"/>
              <w:rPr>
                <w:sz w:val="12"/>
              </w:rPr>
            </w:pPr>
          </w:p>
          <w:p>
            <w:pPr>
              <w:pStyle w:val="TableParagraph"/>
              <w:spacing w:before="9"/>
              <w:ind w:left="0"/>
              <w:rPr>
                <w:sz w:val="10"/>
              </w:rPr>
            </w:pPr>
          </w:p>
          <w:p>
            <w:pPr>
              <w:pStyle w:val="TableParagraph"/>
              <w:ind w:right="206"/>
              <w:rPr>
                <w:sz w:val="12"/>
              </w:rPr>
            </w:pPr>
            <w:r>
              <w:rPr>
                <w:color w:val="231F20"/>
                <w:sz w:val="12"/>
              </w:rPr>
              <w:t>10.9%</w:t>
            </w:r>
          </w:p>
        </w:tc>
        <w:tc>
          <w:tcPr>
            <w:tcW w:w="706" w:type="dxa"/>
          </w:tcPr>
          <w:p>
            <w:pPr>
              <w:pStyle w:val="TableParagraph"/>
              <w:ind w:left="0"/>
              <w:rPr>
                <w:sz w:val="12"/>
              </w:rPr>
            </w:pPr>
          </w:p>
          <w:p>
            <w:pPr>
              <w:pStyle w:val="TableParagraph"/>
              <w:spacing w:before="9"/>
              <w:ind w:left="0"/>
              <w:rPr>
                <w:sz w:val="10"/>
              </w:rPr>
            </w:pPr>
          </w:p>
          <w:p>
            <w:pPr>
              <w:pStyle w:val="TableParagraph"/>
              <w:ind w:right="132"/>
              <w:rPr>
                <w:b/>
                <w:sz w:val="12"/>
              </w:rPr>
            </w:pPr>
            <w:r>
              <w:rPr>
                <w:b/>
                <w:color w:val="231F20"/>
                <w:w w:val="95"/>
                <w:sz w:val="12"/>
              </w:rPr>
              <w:t>14.1%</w:t>
            </w:r>
          </w:p>
        </w:tc>
        <w:tc>
          <w:tcPr>
            <w:tcW w:w="874" w:type="dxa"/>
          </w:tcPr>
          <w:p>
            <w:pPr>
              <w:pStyle w:val="TableParagraph"/>
              <w:ind w:left="0"/>
              <w:rPr>
                <w:sz w:val="12"/>
              </w:rPr>
            </w:pPr>
          </w:p>
          <w:p>
            <w:pPr>
              <w:pStyle w:val="TableParagraph"/>
              <w:spacing w:before="9"/>
              <w:ind w:left="0"/>
              <w:rPr>
                <w:sz w:val="10"/>
              </w:rPr>
            </w:pPr>
          </w:p>
          <w:p>
            <w:pPr>
              <w:pStyle w:val="TableParagraph"/>
              <w:rPr>
                <w:b/>
                <w:sz w:val="12"/>
              </w:rPr>
            </w:pPr>
            <w:r>
              <w:rPr>
                <w:b/>
                <w:color w:val="231F20"/>
                <w:w w:val="95"/>
                <w:sz w:val="12"/>
              </w:rPr>
              <w:t>1.6%</w:t>
            </w:r>
          </w:p>
        </w:tc>
      </w:tr>
    </w:tbl>
    <w:p>
      <w:pPr>
        <w:pStyle w:val="BodyText"/>
        <w:rPr>
          <w:sz w:val="16"/>
        </w:rPr>
      </w:pPr>
    </w:p>
    <w:p>
      <w:pPr>
        <w:pStyle w:val="BodyText"/>
        <w:rPr>
          <w:sz w:val="16"/>
        </w:rPr>
      </w:pPr>
    </w:p>
    <w:p>
      <w:pPr>
        <w:pStyle w:val="BodyText"/>
        <w:spacing w:before="3"/>
        <w:rPr>
          <w:sz w:val="22"/>
        </w:rPr>
      </w:pPr>
    </w:p>
    <w:p>
      <w:pPr>
        <w:pStyle w:val="BodyText"/>
        <w:spacing w:line="249" w:lineRule="auto" w:before="1"/>
        <w:ind w:left="222" w:right="115" w:firstLine="284"/>
        <w:jc w:val="both"/>
      </w:pPr>
      <w:r>
        <w:rPr>
          <w:color w:val="231F20"/>
        </w:rPr>
        <w:t>En </w:t>
      </w:r>
      <w:r>
        <w:rPr>
          <w:color w:val="231F20"/>
          <w:spacing w:val="2"/>
        </w:rPr>
        <w:t>cuanto </w:t>
      </w:r>
      <w:r>
        <w:rPr>
          <w:color w:val="231F20"/>
        </w:rPr>
        <w:t>a la </w:t>
      </w:r>
      <w:r>
        <w:rPr>
          <w:color w:val="231F20"/>
          <w:spacing w:val="2"/>
        </w:rPr>
        <w:t>prevalencia </w:t>
      </w:r>
      <w:r>
        <w:rPr>
          <w:color w:val="231F20"/>
        </w:rPr>
        <w:t>de  </w:t>
      </w:r>
      <w:r>
        <w:rPr>
          <w:color w:val="231F20"/>
          <w:spacing w:val="2"/>
        </w:rPr>
        <w:t>acoso psicológico </w:t>
      </w:r>
      <w:r>
        <w:rPr>
          <w:color w:val="231F20"/>
          <w:spacing w:val="3"/>
        </w:rPr>
        <w:t>comparada</w:t>
      </w:r>
      <w:r>
        <w:rPr>
          <w:color w:val="231F20"/>
          <w:spacing w:val="58"/>
        </w:rPr>
        <w:t> </w:t>
      </w:r>
      <w:r>
        <w:rPr>
          <w:color w:val="231F20"/>
          <w:spacing w:val="2"/>
        </w:rPr>
        <w:t>con los </w:t>
      </w:r>
      <w:r>
        <w:rPr>
          <w:color w:val="231F20"/>
          <w:spacing w:val="3"/>
        </w:rPr>
        <w:t>compañeros </w:t>
      </w:r>
      <w:r>
        <w:rPr>
          <w:color w:val="231F20"/>
        </w:rPr>
        <w:t>de </w:t>
      </w:r>
      <w:r>
        <w:rPr>
          <w:color w:val="231F20"/>
          <w:spacing w:val="2"/>
        </w:rPr>
        <w:t>trabajo </w:t>
      </w:r>
      <w:r>
        <w:rPr>
          <w:color w:val="231F20"/>
          <w:spacing w:val="3"/>
        </w:rPr>
        <w:t>tenemos: </w:t>
      </w:r>
      <w:r>
        <w:rPr>
          <w:color w:val="231F20"/>
          <w:spacing w:val="2"/>
        </w:rPr>
        <w:t>“Recibo ataques </w:t>
      </w:r>
      <w:r>
        <w:rPr>
          <w:color w:val="231F20"/>
        </w:rPr>
        <w:t>a </w:t>
      </w:r>
      <w:r>
        <w:rPr>
          <w:color w:val="231F20"/>
          <w:spacing w:val="2"/>
        </w:rPr>
        <w:t>mi reputación (10.4%)”, </w:t>
      </w:r>
      <w:r>
        <w:rPr>
          <w:color w:val="231F20"/>
        </w:rPr>
        <w:t>“se </w:t>
      </w:r>
      <w:r>
        <w:rPr>
          <w:color w:val="231F20"/>
          <w:spacing w:val="2"/>
        </w:rPr>
        <w:t>me ignora </w:t>
      </w:r>
      <w:r>
        <w:rPr>
          <w:color w:val="231F20"/>
        </w:rPr>
        <w:t>o </w:t>
      </w:r>
      <w:r>
        <w:rPr>
          <w:color w:val="231F20"/>
          <w:spacing w:val="2"/>
        </w:rPr>
        <w:t>excluye </w:t>
      </w:r>
      <w:r>
        <w:rPr>
          <w:color w:val="231F20"/>
        </w:rPr>
        <w:t>de las </w:t>
      </w:r>
      <w:r>
        <w:rPr>
          <w:color w:val="231F20"/>
          <w:spacing w:val="3"/>
        </w:rPr>
        <w:t>reuniones </w:t>
      </w:r>
      <w:r>
        <w:rPr>
          <w:color w:val="231F20"/>
        </w:rPr>
        <w:t>de </w:t>
      </w:r>
      <w:r>
        <w:rPr>
          <w:color w:val="231F20"/>
          <w:spacing w:val="2"/>
        </w:rPr>
        <w:t>trabajo </w:t>
      </w:r>
      <w:r>
        <w:rPr>
          <w:color w:val="231F20"/>
        </w:rPr>
        <w:t>o en la </w:t>
      </w:r>
      <w:r>
        <w:rPr>
          <w:color w:val="231F20"/>
          <w:spacing w:val="3"/>
        </w:rPr>
        <w:t>toma </w:t>
      </w:r>
      <w:r>
        <w:rPr>
          <w:color w:val="231F20"/>
        </w:rPr>
        <w:t>de </w:t>
      </w:r>
      <w:r>
        <w:rPr>
          <w:color w:val="231F20"/>
          <w:spacing w:val="2"/>
        </w:rPr>
        <w:t>decisiones </w:t>
      </w:r>
      <w:r>
        <w:rPr>
          <w:color w:val="231F20"/>
          <w:spacing w:val="3"/>
        </w:rPr>
        <w:t>(14.5%)”, </w:t>
      </w:r>
      <w:r>
        <w:rPr>
          <w:color w:val="231F20"/>
        </w:rPr>
        <w:t>“se </w:t>
      </w:r>
      <w:r>
        <w:rPr>
          <w:color w:val="231F20"/>
          <w:spacing w:val="2"/>
        </w:rPr>
        <w:t>me impide tener </w:t>
      </w:r>
      <w:r>
        <w:rPr>
          <w:color w:val="231F20"/>
          <w:spacing w:val="3"/>
        </w:rPr>
        <w:t>información </w:t>
      </w:r>
      <w:r>
        <w:rPr>
          <w:color w:val="231F20"/>
          <w:spacing w:val="2"/>
        </w:rPr>
        <w:t>que </w:t>
      </w:r>
      <w:r>
        <w:rPr>
          <w:color w:val="231F20"/>
        </w:rPr>
        <w:t>es </w:t>
      </w:r>
      <w:r>
        <w:rPr>
          <w:color w:val="231F20"/>
          <w:spacing w:val="3"/>
        </w:rPr>
        <w:t>importante </w:t>
      </w:r>
      <w:r>
        <w:rPr>
          <w:color w:val="231F20"/>
        </w:rPr>
        <w:t>y </w:t>
      </w:r>
      <w:r>
        <w:rPr>
          <w:color w:val="231F20"/>
          <w:spacing w:val="2"/>
        </w:rPr>
        <w:t>necesaria para realizar mi trabajo (11.8%)”, </w:t>
      </w:r>
      <w:r>
        <w:rPr>
          <w:color w:val="231F20"/>
        </w:rPr>
        <w:t>“se </w:t>
      </w:r>
      <w:r>
        <w:rPr>
          <w:color w:val="231F20"/>
          <w:spacing w:val="3"/>
        </w:rPr>
        <w:t>manipulan </w:t>
      </w:r>
      <w:r>
        <w:rPr>
          <w:color w:val="231F20"/>
        </w:rPr>
        <w:t>las </w:t>
      </w:r>
      <w:r>
        <w:rPr>
          <w:color w:val="231F20"/>
          <w:spacing w:val="2"/>
        </w:rPr>
        <w:t>situaciones </w:t>
      </w:r>
      <w:r>
        <w:rPr>
          <w:color w:val="231F20"/>
        </w:rPr>
        <w:t>de </w:t>
      </w:r>
      <w:r>
        <w:rPr>
          <w:color w:val="231F20"/>
          <w:spacing w:val="2"/>
        </w:rPr>
        <w:t>trabajo para </w:t>
      </w:r>
      <w:r>
        <w:rPr>
          <w:color w:val="231F20"/>
          <w:spacing w:val="3"/>
        </w:rPr>
        <w:t>hacerme </w:t>
      </w:r>
      <w:r>
        <w:rPr>
          <w:color w:val="231F20"/>
          <w:spacing w:val="2"/>
        </w:rPr>
        <w:t>caer </w:t>
      </w:r>
      <w:r>
        <w:rPr>
          <w:color w:val="231F20"/>
        </w:rPr>
        <w:t>en </w:t>
      </w:r>
      <w:r>
        <w:rPr>
          <w:color w:val="231F20"/>
          <w:spacing w:val="2"/>
        </w:rPr>
        <w:t>errores </w:t>
      </w:r>
      <w:r>
        <w:rPr>
          <w:color w:val="231F20"/>
        </w:rPr>
        <w:t>y </w:t>
      </w:r>
      <w:r>
        <w:rPr>
          <w:color w:val="231F20"/>
          <w:spacing w:val="3"/>
        </w:rPr>
        <w:t>después acusarme </w:t>
      </w:r>
      <w:r>
        <w:rPr>
          <w:color w:val="231F20"/>
        </w:rPr>
        <w:t>de </w:t>
      </w:r>
      <w:r>
        <w:rPr>
          <w:color w:val="231F20"/>
          <w:spacing w:val="2"/>
        </w:rPr>
        <w:t>negligencia </w:t>
      </w:r>
      <w:r>
        <w:rPr>
          <w:color w:val="231F20"/>
        </w:rPr>
        <w:t>o de ser </w:t>
      </w:r>
      <w:r>
        <w:rPr>
          <w:color w:val="231F20"/>
          <w:spacing w:val="2"/>
        </w:rPr>
        <w:t>un(a) mal(a) trabajador(a) (11.4%)”, </w:t>
      </w:r>
      <w:r>
        <w:rPr>
          <w:color w:val="231F20"/>
        </w:rPr>
        <w:t>“se </w:t>
      </w:r>
      <w:r>
        <w:rPr>
          <w:color w:val="231F20"/>
          <w:spacing w:val="2"/>
        </w:rPr>
        <w:t>me asignan </w:t>
      </w:r>
      <w:r>
        <w:rPr>
          <w:color w:val="231F20"/>
        </w:rPr>
        <w:t>sin </w:t>
      </w:r>
      <w:r>
        <w:rPr>
          <w:color w:val="231F20"/>
          <w:spacing w:val="2"/>
        </w:rPr>
        <w:t>cesar </w:t>
      </w:r>
      <w:r>
        <w:rPr>
          <w:color w:val="231F20"/>
          <w:spacing w:val="3"/>
        </w:rPr>
        <w:t>tareas </w:t>
      </w:r>
      <w:r>
        <w:rPr>
          <w:color w:val="231F20"/>
          <w:spacing w:val="2"/>
        </w:rPr>
        <w:t>nuevas (9.8%)”, “tengo </w:t>
      </w:r>
      <w:r>
        <w:rPr>
          <w:color w:val="231F20"/>
          <w:spacing w:val="3"/>
        </w:rPr>
        <w:t>menos oportunidades </w:t>
      </w:r>
      <w:r>
        <w:rPr>
          <w:color w:val="231F20"/>
        </w:rPr>
        <w:t>de </w:t>
      </w:r>
      <w:r>
        <w:rPr>
          <w:color w:val="231F20"/>
          <w:spacing w:val="2"/>
        </w:rPr>
        <w:t>capacitarme </w:t>
      </w:r>
      <w:r>
        <w:rPr>
          <w:color w:val="231F20"/>
        </w:rPr>
        <w:t>o </w:t>
      </w:r>
      <w:r>
        <w:rPr>
          <w:color w:val="231F20"/>
          <w:spacing w:val="3"/>
        </w:rPr>
        <w:t>formarme adecuadamente </w:t>
      </w:r>
      <w:r>
        <w:rPr>
          <w:color w:val="231F20"/>
          <w:spacing w:val="2"/>
        </w:rPr>
        <w:t>que </w:t>
      </w:r>
      <w:r>
        <w:rPr>
          <w:color w:val="231F20"/>
        </w:rPr>
        <w:t>las </w:t>
      </w:r>
      <w:r>
        <w:rPr>
          <w:color w:val="231F20"/>
          <w:spacing w:val="2"/>
        </w:rPr>
        <w:t>que </w:t>
      </w:r>
      <w:r>
        <w:rPr>
          <w:color w:val="231F20"/>
        </w:rPr>
        <w:t>se </w:t>
      </w:r>
      <w:r>
        <w:rPr>
          <w:color w:val="231F20"/>
          <w:spacing w:val="2"/>
        </w:rPr>
        <w:t>ofrecen </w:t>
      </w:r>
      <w:r>
        <w:rPr>
          <w:color w:val="231F20"/>
        </w:rPr>
        <w:t>a </w:t>
      </w:r>
      <w:r>
        <w:rPr>
          <w:color w:val="231F20"/>
          <w:spacing w:val="2"/>
        </w:rPr>
        <w:t>otros </w:t>
      </w:r>
      <w:r>
        <w:rPr>
          <w:color w:val="231F20"/>
          <w:spacing w:val="3"/>
        </w:rPr>
        <w:t>compa- </w:t>
      </w:r>
      <w:r>
        <w:rPr>
          <w:color w:val="231F20"/>
          <w:spacing w:val="2"/>
        </w:rPr>
        <w:t>ñeros (14.3%)”, </w:t>
      </w:r>
      <w:r>
        <w:rPr>
          <w:color w:val="231F20"/>
        </w:rPr>
        <w:t>“se </w:t>
      </w:r>
      <w:r>
        <w:rPr>
          <w:color w:val="231F20"/>
          <w:spacing w:val="2"/>
        </w:rPr>
        <w:t>bloquean </w:t>
      </w:r>
      <w:r>
        <w:rPr>
          <w:color w:val="231F20"/>
        </w:rPr>
        <w:t>o </w:t>
      </w:r>
      <w:r>
        <w:rPr>
          <w:color w:val="231F20"/>
          <w:spacing w:val="2"/>
        </w:rPr>
        <w:t>impiden </w:t>
      </w:r>
      <w:r>
        <w:rPr>
          <w:color w:val="231F20"/>
        </w:rPr>
        <w:t>las </w:t>
      </w:r>
      <w:r>
        <w:rPr>
          <w:color w:val="231F20"/>
          <w:spacing w:val="3"/>
        </w:rPr>
        <w:t>oportunidades </w:t>
      </w:r>
      <w:r>
        <w:rPr>
          <w:color w:val="231F20"/>
        </w:rPr>
        <w:t>que </w:t>
      </w:r>
      <w:r>
        <w:rPr>
          <w:color w:val="231F20"/>
          <w:spacing w:val="2"/>
        </w:rPr>
        <w:t>tengo </w:t>
      </w:r>
      <w:r>
        <w:rPr>
          <w:color w:val="231F20"/>
        </w:rPr>
        <w:t>de </w:t>
      </w:r>
      <w:r>
        <w:rPr>
          <w:color w:val="231F20"/>
          <w:spacing w:val="2"/>
        </w:rPr>
        <w:t>algún ascenso </w:t>
      </w:r>
      <w:r>
        <w:rPr>
          <w:color w:val="231F20"/>
        </w:rPr>
        <w:t>o </w:t>
      </w:r>
      <w:r>
        <w:rPr>
          <w:color w:val="231F20"/>
          <w:spacing w:val="2"/>
        </w:rPr>
        <w:t>mejora </w:t>
      </w:r>
      <w:r>
        <w:rPr>
          <w:color w:val="231F20"/>
        </w:rPr>
        <w:t>en </w:t>
      </w:r>
      <w:r>
        <w:rPr>
          <w:color w:val="231F20"/>
          <w:spacing w:val="2"/>
        </w:rPr>
        <w:t>mi trabajo </w:t>
      </w:r>
      <w:r>
        <w:rPr>
          <w:color w:val="231F20"/>
          <w:spacing w:val="3"/>
        </w:rPr>
        <w:t>(13.8%)”; </w:t>
      </w:r>
      <w:r>
        <w:rPr>
          <w:color w:val="231F20"/>
          <w:spacing w:val="2"/>
        </w:rPr>
        <w:t>véase </w:t>
      </w:r>
      <w:r>
        <w:rPr>
          <w:color w:val="231F20"/>
        </w:rPr>
        <w:t>la </w:t>
      </w:r>
      <w:r>
        <w:rPr>
          <w:color w:val="231F20"/>
          <w:spacing w:val="2"/>
        </w:rPr>
        <w:t>Tabla</w:t>
      </w:r>
      <w:r>
        <w:rPr>
          <w:color w:val="231F20"/>
          <w:spacing w:val="-7"/>
        </w:rPr>
        <w:t> </w:t>
      </w:r>
      <w:r>
        <w:rPr>
          <w:color w:val="231F20"/>
        </w:rPr>
        <w:t>6.</w:t>
      </w:r>
    </w:p>
    <w:p>
      <w:pPr>
        <w:spacing w:after="0" w:line="249" w:lineRule="auto"/>
        <w:jc w:val="both"/>
        <w:sectPr>
          <w:headerReference w:type="default" r:id="rId978"/>
          <w:footerReference w:type="default" r:id="rId979"/>
          <w:pgSz w:w="7830" w:h="11910"/>
          <w:pgMar w:header="0" w:footer="424" w:top="500" w:bottom="620" w:left="800" w:right="900"/>
          <w:pgNumType w:start="446"/>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8"/>
        <w:rPr>
          <w:sz w:val="23"/>
        </w:rPr>
      </w:pPr>
    </w:p>
    <w:p>
      <w:pPr>
        <w:spacing w:line="250" w:lineRule="exact" w:before="0"/>
        <w:ind w:left="1181" w:right="1197" w:firstLine="0"/>
        <w:jc w:val="center"/>
        <w:rPr>
          <w:rFonts w:ascii="Palatino Linotype" w:hAnsi="Palatino Linotype"/>
          <w:b/>
          <w:sz w:val="19"/>
        </w:rPr>
      </w:pPr>
      <w:r>
        <w:rPr>
          <w:rFonts w:ascii="Palatino Linotype" w:hAnsi="Palatino Linotype"/>
          <w:b/>
          <w:color w:val="231F20"/>
          <w:sz w:val="19"/>
        </w:rPr>
        <w:t>Tabla 6. Prevalencia del acoso psicológico comparadacon los compañeros</w:t>
      </w:r>
    </w:p>
    <w:tbl>
      <w:tblPr>
        <w:tblW w:w="0" w:type="auto"/>
        <w:jc w:val="left"/>
        <w:tblInd w:w="11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150"/>
        <w:gridCol w:w="1214"/>
        <w:gridCol w:w="1147"/>
        <w:gridCol w:w="1238"/>
      </w:tblGrid>
      <w:tr>
        <w:trPr>
          <w:trHeight w:val="619" w:hRule="exact"/>
        </w:trPr>
        <w:tc>
          <w:tcPr>
            <w:tcW w:w="2150" w:type="dxa"/>
          </w:tcPr>
          <w:p>
            <w:pPr>
              <w:pStyle w:val="TableParagraph"/>
              <w:spacing w:before="6"/>
              <w:ind w:left="0"/>
              <w:rPr>
                <w:rFonts w:ascii="Palatino Linotype"/>
                <w:b/>
                <w:sz w:val="13"/>
              </w:rPr>
            </w:pPr>
          </w:p>
          <w:p>
            <w:pPr>
              <w:pStyle w:val="TableParagraph"/>
              <w:ind w:left="735" w:right="731"/>
              <w:jc w:val="center"/>
              <w:rPr>
                <w:rFonts w:ascii="Palatino Linotype"/>
                <w:b/>
                <w:sz w:val="17"/>
              </w:rPr>
            </w:pPr>
            <w:r>
              <w:rPr>
                <w:rFonts w:ascii="Palatino Linotype"/>
                <w:b/>
                <w:color w:val="231F20"/>
                <w:sz w:val="17"/>
              </w:rPr>
              <w:t>Factores</w:t>
            </w:r>
          </w:p>
        </w:tc>
        <w:tc>
          <w:tcPr>
            <w:tcW w:w="1214" w:type="dxa"/>
          </w:tcPr>
          <w:p>
            <w:pPr>
              <w:pStyle w:val="TableParagraph"/>
              <w:spacing w:line="213" w:lineRule="auto"/>
              <w:ind w:left="149" w:right="156" w:firstLine="1"/>
              <w:jc w:val="center"/>
              <w:rPr>
                <w:rFonts w:ascii="Palatino Linotype" w:hAnsi="Palatino Linotype"/>
                <w:b/>
                <w:sz w:val="17"/>
              </w:rPr>
            </w:pPr>
            <w:r>
              <w:rPr>
                <w:rFonts w:ascii="Palatino Linotype" w:hAnsi="Palatino Linotype"/>
                <w:b/>
                <w:color w:val="231F20"/>
                <w:sz w:val="17"/>
              </w:rPr>
              <w:t>Menos que mis compa- ñeros</w:t>
            </w:r>
          </w:p>
        </w:tc>
        <w:tc>
          <w:tcPr>
            <w:tcW w:w="1147" w:type="dxa"/>
          </w:tcPr>
          <w:p>
            <w:pPr>
              <w:pStyle w:val="TableParagraph"/>
              <w:spacing w:line="213" w:lineRule="auto"/>
              <w:ind w:left="210" w:right="205" w:hanging="9"/>
              <w:jc w:val="both"/>
              <w:rPr>
                <w:rFonts w:ascii="Palatino Linotype" w:hAnsi="Palatino Linotype"/>
                <w:b/>
                <w:sz w:val="17"/>
              </w:rPr>
            </w:pPr>
            <w:r>
              <w:rPr>
                <w:rFonts w:ascii="Palatino Linotype" w:hAnsi="Palatino Linotype"/>
                <w:b/>
                <w:color w:val="231F20"/>
                <w:sz w:val="17"/>
              </w:rPr>
              <w:t>Igual</w:t>
            </w:r>
            <w:r>
              <w:rPr>
                <w:rFonts w:ascii="Palatino Linotype" w:hAnsi="Palatino Linotype"/>
                <w:b/>
                <w:color w:val="231F20"/>
                <w:spacing w:val="-14"/>
                <w:sz w:val="17"/>
              </w:rPr>
              <w:t> </w:t>
            </w:r>
            <w:r>
              <w:rPr>
                <w:rFonts w:ascii="Palatino Linotype" w:hAnsi="Palatino Linotype"/>
                <w:b/>
                <w:color w:val="231F20"/>
                <w:sz w:val="17"/>
              </w:rPr>
              <w:t>que mis com- pañeros</w:t>
            </w:r>
          </w:p>
        </w:tc>
        <w:tc>
          <w:tcPr>
            <w:tcW w:w="1238" w:type="dxa"/>
          </w:tcPr>
          <w:p>
            <w:pPr>
              <w:pStyle w:val="TableParagraph"/>
              <w:spacing w:line="213" w:lineRule="auto"/>
              <w:ind w:left="148" w:right="148" w:firstLine="49"/>
              <w:jc w:val="both"/>
              <w:rPr>
                <w:rFonts w:ascii="Palatino Linotype" w:hAnsi="Palatino Linotype"/>
                <w:b/>
                <w:sz w:val="17"/>
              </w:rPr>
            </w:pPr>
            <w:r>
              <w:rPr>
                <w:rFonts w:ascii="Palatino Linotype" w:hAnsi="Palatino Linotype"/>
                <w:b/>
                <w:color w:val="231F20"/>
                <w:sz w:val="17"/>
              </w:rPr>
              <w:t>Más que el resto de</w:t>
            </w:r>
            <w:r>
              <w:rPr>
                <w:rFonts w:ascii="Palatino Linotype" w:hAnsi="Palatino Linotype"/>
                <w:b/>
                <w:color w:val="231F20"/>
                <w:spacing w:val="-15"/>
                <w:sz w:val="17"/>
              </w:rPr>
              <w:t> </w:t>
            </w:r>
            <w:r>
              <w:rPr>
                <w:rFonts w:ascii="Palatino Linotype" w:hAnsi="Palatino Linotype"/>
                <w:b/>
                <w:color w:val="231F20"/>
                <w:sz w:val="17"/>
              </w:rPr>
              <w:t>mis </w:t>
            </w:r>
            <w:r>
              <w:rPr>
                <w:rFonts w:ascii="Palatino Linotype" w:hAnsi="Palatino Linotype"/>
                <w:b/>
                <w:color w:val="231F20"/>
                <w:w w:val="95"/>
                <w:sz w:val="17"/>
              </w:rPr>
              <w:t>compañeros</w:t>
            </w:r>
          </w:p>
        </w:tc>
      </w:tr>
      <w:tr>
        <w:trPr>
          <w:trHeight w:val="514" w:hRule="exact"/>
        </w:trPr>
        <w:tc>
          <w:tcPr>
            <w:tcW w:w="2150" w:type="dxa"/>
          </w:tcPr>
          <w:p>
            <w:pPr>
              <w:pStyle w:val="TableParagraph"/>
              <w:spacing w:line="178" w:lineRule="exact" w:before="64"/>
              <w:ind w:left="105" w:right="456"/>
              <w:rPr>
                <w:sz w:val="16"/>
              </w:rPr>
            </w:pPr>
            <w:r>
              <w:rPr>
                <w:color w:val="231F20"/>
                <w:sz w:val="16"/>
              </w:rPr>
              <w:t>1B. Recibo ataques a mi reputación</w:t>
            </w:r>
          </w:p>
        </w:tc>
        <w:tc>
          <w:tcPr>
            <w:tcW w:w="1214" w:type="dxa"/>
          </w:tcPr>
          <w:p>
            <w:pPr>
              <w:pStyle w:val="TableParagraph"/>
              <w:spacing w:before="143"/>
              <w:ind w:left="359" w:right="366"/>
              <w:jc w:val="center"/>
              <w:rPr>
                <w:sz w:val="17"/>
              </w:rPr>
            </w:pPr>
            <w:r>
              <w:rPr>
                <w:color w:val="231F20"/>
                <w:sz w:val="17"/>
              </w:rPr>
              <w:t>41.7%</w:t>
            </w:r>
          </w:p>
        </w:tc>
        <w:tc>
          <w:tcPr>
            <w:tcW w:w="1147" w:type="dxa"/>
          </w:tcPr>
          <w:p>
            <w:pPr>
              <w:pStyle w:val="TableParagraph"/>
              <w:spacing w:before="143"/>
              <w:ind w:left="327" w:right="330"/>
              <w:jc w:val="center"/>
              <w:rPr>
                <w:sz w:val="17"/>
              </w:rPr>
            </w:pPr>
            <w:r>
              <w:rPr>
                <w:color w:val="231F20"/>
                <w:sz w:val="17"/>
              </w:rPr>
              <w:t>47.9%</w:t>
            </w:r>
          </w:p>
        </w:tc>
        <w:tc>
          <w:tcPr>
            <w:tcW w:w="1238" w:type="dxa"/>
          </w:tcPr>
          <w:p>
            <w:pPr>
              <w:pStyle w:val="TableParagraph"/>
              <w:spacing w:before="124"/>
              <w:ind w:left="0" w:right="396"/>
              <w:jc w:val="right"/>
              <w:rPr>
                <w:rFonts w:ascii="Palatino Linotype"/>
                <w:b/>
                <w:sz w:val="17"/>
              </w:rPr>
            </w:pPr>
            <w:r>
              <w:rPr>
                <w:rFonts w:ascii="Palatino Linotype"/>
                <w:b/>
                <w:color w:val="231F20"/>
                <w:w w:val="95"/>
                <w:sz w:val="17"/>
              </w:rPr>
              <w:t>10.4%</w:t>
            </w:r>
          </w:p>
        </w:tc>
      </w:tr>
      <w:tr>
        <w:trPr>
          <w:trHeight w:val="547" w:hRule="exact"/>
        </w:trPr>
        <w:tc>
          <w:tcPr>
            <w:tcW w:w="2150" w:type="dxa"/>
          </w:tcPr>
          <w:p>
            <w:pPr>
              <w:pStyle w:val="TableParagraph"/>
              <w:spacing w:line="232" w:lineRule="auto"/>
              <w:ind w:left="105" w:right="34"/>
              <w:rPr>
                <w:sz w:val="16"/>
              </w:rPr>
            </w:pPr>
            <w:r>
              <w:rPr>
                <w:color w:val="231F20"/>
                <w:sz w:val="16"/>
              </w:rPr>
              <w:t>5B. Se me ignora o excluye de las reuniones de trabajo o en la</w:t>
            </w:r>
          </w:p>
          <w:p>
            <w:pPr>
              <w:pStyle w:val="TableParagraph"/>
              <w:spacing w:line="184" w:lineRule="exact"/>
              <w:ind w:left="105" w:right="456"/>
              <w:rPr>
                <w:sz w:val="16"/>
              </w:rPr>
            </w:pPr>
            <w:r>
              <w:rPr>
                <w:color w:val="231F20"/>
                <w:sz w:val="16"/>
              </w:rPr>
              <w:t>toma de decisiones</w:t>
            </w:r>
          </w:p>
        </w:tc>
        <w:tc>
          <w:tcPr>
            <w:tcW w:w="1214" w:type="dxa"/>
          </w:tcPr>
          <w:p>
            <w:pPr>
              <w:pStyle w:val="TableParagraph"/>
              <w:spacing w:before="1"/>
              <w:ind w:left="0"/>
              <w:rPr>
                <w:rFonts w:ascii="Palatino Linotype"/>
                <w:b/>
                <w:sz w:val="12"/>
              </w:rPr>
            </w:pPr>
          </w:p>
          <w:p>
            <w:pPr>
              <w:pStyle w:val="TableParagraph"/>
              <w:ind w:left="359" w:right="366"/>
              <w:jc w:val="center"/>
              <w:rPr>
                <w:sz w:val="17"/>
              </w:rPr>
            </w:pPr>
            <w:r>
              <w:rPr>
                <w:color w:val="231F20"/>
                <w:sz w:val="17"/>
              </w:rPr>
              <w:t>29.1%</w:t>
            </w:r>
          </w:p>
        </w:tc>
        <w:tc>
          <w:tcPr>
            <w:tcW w:w="1147" w:type="dxa"/>
          </w:tcPr>
          <w:p>
            <w:pPr>
              <w:pStyle w:val="TableParagraph"/>
              <w:spacing w:before="1"/>
              <w:ind w:left="0"/>
              <w:rPr>
                <w:rFonts w:ascii="Palatino Linotype"/>
                <w:b/>
                <w:sz w:val="12"/>
              </w:rPr>
            </w:pPr>
          </w:p>
          <w:p>
            <w:pPr>
              <w:pStyle w:val="TableParagraph"/>
              <w:ind w:left="327" w:right="330"/>
              <w:jc w:val="center"/>
              <w:rPr>
                <w:sz w:val="17"/>
              </w:rPr>
            </w:pPr>
            <w:r>
              <w:rPr>
                <w:color w:val="231F20"/>
                <w:sz w:val="17"/>
              </w:rPr>
              <w:t>56.4%</w:t>
            </w:r>
          </w:p>
        </w:tc>
        <w:tc>
          <w:tcPr>
            <w:tcW w:w="1238" w:type="dxa"/>
          </w:tcPr>
          <w:p>
            <w:pPr>
              <w:pStyle w:val="TableParagraph"/>
              <w:spacing w:before="143"/>
              <w:ind w:left="0" w:right="396"/>
              <w:jc w:val="right"/>
              <w:rPr>
                <w:rFonts w:ascii="Palatino Linotype"/>
                <w:b/>
                <w:sz w:val="17"/>
              </w:rPr>
            </w:pPr>
            <w:r>
              <w:rPr>
                <w:rFonts w:ascii="Palatino Linotype"/>
                <w:b/>
                <w:color w:val="231F20"/>
                <w:w w:val="95"/>
                <w:sz w:val="17"/>
              </w:rPr>
              <w:t>14.5%</w:t>
            </w:r>
          </w:p>
        </w:tc>
      </w:tr>
      <w:tr>
        <w:trPr>
          <w:trHeight w:val="730" w:hRule="exact"/>
        </w:trPr>
        <w:tc>
          <w:tcPr>
            <w:tcW w:w="2150" w:type="dxa"/>
          </w:tcPr>
          <w:p>
            <w:pPr>
              <w:pStyle w:val="TableParagraph"/>
              <w:spacing w:line="168" w:lineRule="exact"/>
              <w:ind w:left="105" w:right="34"/>
              <w:rPr>
                <w:sz w:val="16"/>
              </w:rPr>
            </w:pPr>
            <w:r>
              <w:rPr>
                <w:color w:val="231F20"/>
                <w:sz w:val="16"/>
              </w:rPr>
              <w:t>6B. Se me impide tener la</w:t>
            </w:r>
          </w:p>
          <w:p>
            <w:pPr>
              <w:pStyle w:val="TableParagraph"/>
              <w:spacing w:line="235" w:lineRule="auto" w:before="2"/>
              <w:ind w:left="105" w:right="56"/>
              <w:rPr>
                <w:sz w:val="16"/>
              </w:rPr>
            </w:pPr>
            <w:r>
              <w:rPr>
                <w:color w:val="231F20"/>
                <w:sz w:val="16"/>
              </w:rPr>
              <w:t>información que es importante y necesaria para realizar mi trabajo</w:t>
            </w:r>
          </w:p>
        </w:tc>
        <w:tc>
          <w:tcPr>
            <w:tcW w:w="1214" w:type="dxa"/>
          </w:tcPr>
          <w:p>
            <w:pPr>
              <w:pStyle w:val="TableParagraph"/>
              <w:spacing w:before="11"/>
              <w:ind w:left="0"/>
              <w:rPr>
                <w:rFonts w:ascii="Palatino Linotype"/>
                <w:b/>
                <w:sz w:val="18"/>
              </w:rPr>
            </w:pPr>
          </w:p>
          <w:p>
            <w:pPr>
              <w:pStyle w:val="TableParagraph"/>
              <w:ind w:left="359" w:right="366"/>
              <w:jc w:val="center"/>
              <w:rPr>
                <w:sz w:val="17"/>
              </w:rPr>
            </w:pPr>
            <w:r>
              <w:rPr>
                <w:color w:val="231F20"/>
                <w:sz w:val="17"/>
              </w:rPr>
              <w:t>23.5%</w:t>
            </w:r>
          </w:p>
        </w:tc>
        <w:tc>
          <w:tcPr>
            <w:tcW w:w="1147" w:type="dxa"/>
          </w:tcPr>
          <w:p>
            <w:pPr>
              <w:pStyle w:val="TableParagraph"/>
              <w:spacing w:before="11"/>
              <w:ind w:left="0"/>
              <w:rPr>
                <w:rFonts w:ascii="Palatino Linotype"/>
                <w:b/>
                <w:sz w:val="18"/>
              </w:rPr>
            </w:pPr>
          </w:p>
          <w:p>
            <w:pPr>
              <w:pStyle w:val="TableParagraph"/>
              <w:ind w:left="327" w:right="330"/>
              <w:jc w:val="center"/>
              <w:rPr>
                <w:sz w:val="17"/>
              </w:rPr>
            </w:pPr>
            <w:r>
              <w:rPr>
                <w:color w:val="231F20"/>
                <w:sz w:val="17"/>
              </w:rPr>
              <w:t>64.7%</w:t>
            </w:r>
          </w:p>
        </w:tc>
        <w:tc>
          <w:tcPr>
            <w:tcW w:w="1238" w:type="dxa"/>
          </w:tcPr>
          <w:p>
            <w:pPr>
              <w:pStyle w:val="TableParagraph"/>
              <w:spacing w:before="5"/>
              <w:ind w:left="0"/>
              <w:rPr>
                <w:rFonts w:ascii="Palatino Linotype"/>
                <w:b/>
                <w:sz w:val="17"/>
              </w:rPr>
            </w:pPr>
          </w:p>
          <w:p>
            <w:pPr>
              <w:pStyle w:val="TableParagraph"/>
              <w:ind w:left="0" w:right="403"/>
              <w:jc w:val="right"/>
              <w:rPr>
                <w:rFonts w:ascii="Palatino Linotype"/>
                <w:b/>
                <w:sz w:val="17"/>
              </w:rPr>
            </w:pPr>
            <w:r>
              <w:rPr>
                <w:rFonts w:ascii="Palatino Linotype"/>
                <w:b/>
                <w:color w:val="231F20"/>
                <w:w w:val="90"/>
                <w:sz w:val="17"/>
              </w:rPr>
              <w:t>11.8%</w:t>
            </w:r>
          </w:p>
        </w:tc>
      </w:tr>
      <w:tr>
        <w:trPr>
          <w:trHeight w:val="912" w:hRule="exact"/>
        </w:trPr>
        <w:tc>
          <w:tcPr>
            <w:tcW w:w="2150" w:type="dxa"/>
          </w:tcPr>
          <w:p>
            <w:pPr>
              <w:pStyle w:val="TableParagraph"/>
              <w:spacing w:line="235" w:lineRule="auto"/>
              <w:ind w:left="105" w:right="165"/>
              <w:rPr>
                <w:sz w:val="16"/>
              </w:rPr>
            </w:pPr>
            <w:r>
              <w:rPr>
                <w:color w:val="231F20"/>
                <w:sz w:val="16"/>
              </w:rPr>
              <w:t>7B.</w:t>
            </w:r>
            <w:r>
              <w:rPr>
                <w:color w:val="231F20"/>
                <w:spacing w:val="-25"/>
                <w:sz w:val="16"/>
              </w:rPr>
              <w:t> </w:t>
            </w:r>
            <w:r>
              <w:rPr>
                <w:color w:val="231F20"/>
                <w:sz w:val="16"/>
              </w:rPr>
              <w:t>Se</w:t>
            </w:r>
            <w:r>
              <w:rPr>
                <w:color w:val="231F20"/>
                <w:spacing w:val="-25"/>
                <w:sz w:val="16"/>
              </w:rPr>
              <w:t> </w:t>
            </w:r>
            <w:r>
              <w:rPr>
                <w:color w:val="231F20"/>
                <w:sz w:val="16"/>
              </w:rPr>
              <w:t>manipulan</w:t>
            </w:r>
            <w:r>
              <w:rPr>
                <w:color w:val="231F20"/>
                <w:spacing w:val="-25"/>
                <w:sz w:val="16"/>
              </w:rPr>
              <w:t> </w:t>
            </w:r>
            <w:r>
              <w:rPr>
                <w:color w:val="231F20"/>
                <w:sz w:val="16"/>
              </w:rPr>
              <w:t>las</w:t>
            </w:r>
            <w:r>
              <w:rPr>
                <w:color w:val="231F20"/>
                <w:spacing w:val="-25"/>
                <w:sz w:val="16"/>
              </w:rPr>
              <w:t> </w:t>
            </w:r>
            <w:r>
              <w:rPr>
                <w:color w:val="231F20"/>
                <w:sz w:val="16"/>
              </w:rPr>
              <w:t>situacio- nes de trabajo para hacerme caer en errores y después acusarme</w:t>
            </w:r>
            <w:r>
              <w:rPr>
                <w:color w:val="231F20"/>
                <w:spacing w:val="-17"/>
                <w:sz w:val="16"/>
              </w:rPr>
              <w:t> </w:t>
            </w:r>
            <w:r>
              <w:rPr>
                <w:color w:val="231F20"/>
                <w:sz w:val="16"/>
              </w:rPr>
              <w:t>de</w:t>
            </w:r>
            <w:r>
              <w:rPr>
                <w:color w:val="231F20"/>
                <w:spacing w:val="-17"/>
                <w:sz w:val="16"/>
              </w:rPr>
              <w:t> </w:t>
            </w:r>
            <w:r>
              <w:rPr>
                <w:color w:val="231F20"/>
                <w:sz w:val="16"/>
              </w:rPr>
              <w:t>negligencia</w:t>
            </w:r>
            <w:r>
              <w:rPr>
                <w:color w:val="231F20"/>
                <w:spacing w:val="-17"/>
                <w:sz w:val="16"/>
              </w:rPr>
              <w:t> </w:t>
            </w:r>
            <w:r>
              <w:rPr>
                <w:color w:val="231F20"/>
                <w:sz w:val="16"/>
              </w:rPr>
              <w:t>o</w:t>
            </w:r>
            <w:r>
              <w:rPr>
                <w:color w:val="231F20"/>
                <w:spacing w:val="-17"/>
                <w:sz w:val="16"/>
              </w:rPr>
              <w:t> </w:t>
            </w:r>
            <w:r>
              <w:rPr>
                <w:color w:val="231F20"/>
                <w:sz w:val="16"/>
              </w:rPr>
              <w:t>de ser</w:t>
            </w:r>
            <w:r>
              <w:rPr>
                <w:color w:val="231F20"/>
                <w:spacing w:val="-24"/>
                <w:sz w:val="16"/>
              </w:rPr>
              <w:t> </w:t>
            </w:r>
            <w:r>
              <w:rPr>
                <w:color w:val="231F20"/>
                <w:sz w:val="16"/>
              </w:rPr>
              <w:t>un(a)</w:t>
            </w:r>
            <w:r>
              <w:rPr>
                <w:color w:val="231F20"/>
                <w:spacing w:val="-24"/>
                <w:sz w:val="16"/>
              </w:rPr>
              <w:t> </w:t>
            </w:r>
            <w:r>
              <w:rPr>
                <w:color w:val="231F20"/>
                <w:sz w:val="16"/>
              </w:rPr>
              <w:t>mal</w:t>
            </w:r>
            <w:r>
              <w:rPr>
                <w:color w:val="231F20"/>
                <w:spacing w:val="-24"/>
                <w:sz w:val="16"/>
              </w:rPr>
              <w:t> </w:t>
            </w:r>
            <w:r>
              <w:rPr>
                <w:color w:val="231F20"/>
                <w:sz w:val="16"/>
              </w:rPr>
              <w:t>(a)</w:t>
            </w:r>
            <w:r>
              <w:rPr>
                <w:color w:val="231F20"/>
                <w:spacing w:val="-23"/>
                <w:sz w:val="16"/>
              </w:rPr>
              <w:t> </w:t>
            </w:r>
            <w:r>
              <w:rPr>
                <w:color w:val="231F20"/>
                <w:sz w:val="16"/>
              </w:rPr>
              <w:t>trabajador</w:t>
            </w:r>
            <w:r>
              <w:rPr>
                <w:color w:val="231F20"/>
                <w:spacing w:val="-24"/>
                <w:sz w:val="16"/>
              </w:rPr>
              <w:t> </w:t>
            </w:r>
            <w:r>
              <w:rPr>
                <w:color w:val="231F20"/>
                <w:sz w:val="16"/>
              </w:rPr>
              <w:t>(a)</w:t>
            </w:r>
          </w:p>
        </w:tc>
        <w:tc>
          <w:tcPr>
            <w:tcW w:w="1214" w:type="dxa"/>
          </w:tcPr>
          <w:p>
            <w:pPr>
              <w:pStyle w:val="TableParagraph"/>
              <w:spacing w:before="8"/>
              <w:ind w:left="0"/>
              <w:rPr>
                <w:rFonts w:ascii="Palatino Linotype"/>
                <w:b/>
                <w:sz w:val="25"/>
              </w:rPr>
            </w:pPr>
          </w:p>
          <w:p>
            <w:pPr>
              <w:pStyle w:val="TableParagraph"/>
              <w:ind w:left="359" w:right="366"/>
              <w:jc w:val="center"/>
              <w:rPr>
                <w:sz w:val="17"/>
              </w:rPr>
            </w:pPr>
            <w:r>
              <w:rPr>
                <w:color w:val="231F20"/>
                <w:sz w:val="17"/>
              </w:rPr>
              <w:t>36.3%</w:t>
            </w:r>
          </w:p>
        </w:tc>
        <w:tc>
          <w:tcPr>
            <w:tcW w:w="1147" w:type="dxa"/>
          </w:tcPr>
          <w:p>
            <w:pPr>
              <w:pStyle w:val="TableParagraph"/>
              <w:spacing w:before="8"/>
              <w:ind w:left="0"/>
              <w:rPr>
                <w:rFonts w:ascii="Palatino Linotype"/>
                <w:b/>
                <w:sz w:val="25"/>
              </w:rPr>
            </w:pPr>
          </w:p>
          <w:p>
            <w:pPr>
              <w:pStyle w:val="TableParagraph"/>
              <w:ind w:left="327" w:right="330"/>
              <w:jc w:val="center"/>
              <w:rPr>
                <w:sz w:val="17"/>
              </w:rPr>
            </w:pPr>
            <w:r>
              <w:rPr>
                <w:color w:val="231F20"/>
                <w:sz w:val="17"/>
              </w:rPr>
              <w:t>52.3%</w:t>
            </w:r>
          </w:p>
        </w:tc>
        <w:tc>
          <w:tcPr>
            <w:tcW w:w="1238" w:type="dxa"/>
          </w:tcPr>
          <w:p>
            <w:pPr>
              <w:pStyle w:val="TableParagraph"/>
              <w:spacing w:before="1"/>
              <w:ind w:left="0"/>
              <w:rPr>
                <w:rFonts w:ascii="Palatino Linotype"/>
                <w:b/>
                <w:sz w:val="24"/>
              </w:rPr>
            </w:pPr>
          </w:p>
          <w:p>
            <w:pPr>
              <w:pStyle w:val="TableParagraph"/>
              <w:ind w:left="0" w:right="403"/>
              <w:jc w:val="right"/>
              <w:rPr>
                <w:rFonts w:ascii="Palatino Linotype"/>
                <w:b/>
                <w:sz w:val="17"/>
              </w:rPr>
            </w:pPr>
            <w:r>
              <w:rPr>
                <w:rFonts w:ascii="Palatino Linotype"/>
                <w:b/>
                <w:color w:val="231F20"/>
                <w:w w:val="90"/>
                <w:sz w:val="17"/>
              </w:rPr>
              <w:t>11.4%</w:t>
            </w:r>
          </w:p>
        </w:tc>
      </w:tr>
      <w:tr>
        <w:trPr>
          <w:trHeight w:val="514" w:hRule="exact"/>
        </w:trPr>
        <w:tc>
          <w:tcPr>
            <w:tcW w:w="2150" w:type="dxa"/>
          </w:tcPr>
          <w:p>
            <w:pPr>
              <w:pStyle w:val="TableParagraph"/>
              <w:spacing w:before="57"/>
              <w:ind w:left="105" w:right="259"/>
              <w:rPr>
                <w:sz w:val="16"/>
              </w:rPr>
            </w:pPr>
            <w:r>
              <w:rPr>
                <w:color w:val="231F20"/>
                <w:sz w:val="16"/>
              </w:rPr>
              <w:t>18B.</w:t>
            </w:r>
            <w:r>
              <w:rPr>
                <w:color w:val="231F20"/>
                <w:spacing w:val="-22"/>
                <w:sz w:val="16"/>
              </w:rPr>
              <w:t> </w:t>
            </w:r>
            <w:r>
              <w:rPr>
                <w:color w:val="231F20"/>
                <w:sz w:val="16"/>
              </w:rPr>
              <w:t>Se</w:t>
            </w:r>
            <w:r>
              <w:rPr>
                <w:color w:val="231F20"/>
                <w:spacing w:val="-22"/>
                <w:sz w:val="16"/>
              </w:rPr>
              <w:t> </w:t>
            </w:r>
            <w:r>
              <w:rPr>
                <w:color w:val="231F20"/>
                <w:sz w:val="16"/>
              </w:rPr>
              <w:t>me</w:t>
            </w:r>
            <w:r>
              <w:rPr>
                <w:color w:val="231F20"/>
                <w:spacing w:val="-22"/>
                <w:sz w:val="16"/>
              </w:rPr>
              <w:t> </w:t>
            </w:r>
            <w:r>
              <w:rPr>
                <w:color w:val="231F20"/>
                <w:sz w:val="16"/>
              </w:rPr>
              <w:t>asignan</w:t>
            </w:r>
            <w:r>
              <w:rPr>
                <w:color w:val="231F20"/>
                <w:spacing w:val="-22"/>
                <w:sz w:val="16"/>
              </w:rPr>
              <w:t> </w:t>
            </w:r>
            <w:r>
              <w:rPr>
                <w:color w:val="231F20"/>
                <w:sz w:val="16"/>
              </w:rPr>
              <w:t>sin</w:t>
            </w:r>
            <w:r>
              <w:rPr>
                <w:color w:val="231F20"/>
                <w:spacing w:val="-22"/>
                <w:sz w:val="16"/>
              </w:rPr>
              <w:t> </w:t>
            </w:r>
            <w:r>
              <w:rPr>
                <w:color w:val="231F20"/>
                <w:sz w:val="16"/>
              </w:rPr>
              <w:t>cesar </w:t>
            </w:r>
            <w:r>
              <w:rPr>
                <w:color w:val="231F20"/>
                <w:w w:val="95"/>
                <w:sz w:val="16"/>
              </w:rPr>
              <w:t>tareas</w:t>
            </w:r>
            <w:r>
              <w:rPr>
                <w:color w:val="231F20"/>
                <w:spacing w:val="-3"/>
                <w:w w:val="95"/>
                <w:sz w:val="16"/>
              </w:rPr>
              <w:t> </w:t>
            </w:r>
            <w:r>
              <w:rPr>
                <w:color w:val="231F20"/>
                <w:w w:val="95"/>
                <w:sz w:val="16"/>
              </w:rPr>
              <w:t>nuevas</w:t>
            </w:r>
          </w:p>
        </w:tc>
        <w:tc>
          <w:tcPr>
            <w:tcW w:w="1214" w:type="dxa"/>
          </w:tcPr>
          <w:p>
            <w:pPr>
              <w:pStyle w:val="TableParagraph"/>
              <w:spacing w:before="143"/>
              <w:ind w:left="359" w:right="366"/>
              <w:jc w:val="center"/>
              <w:rPr>
                <w:sz w:val="17"/>
              </w:rPr>
            </w:pPr>
            <w:r>
              <w:rPr>
                <w:color w:val="231F20"/>
                <w:sz w:val="17"/>
              </w:rPr>
              <w:t>35.3%</w:t>
            </w:r>
          </w:p>
        </w:tc>
        <w:tc>
          <w:tcPr>
            <w:tcW w:w="1147" w:type="dxa"/>
          </w:tcPr>
          <w:p>
            <w:pPr>
              <w:pStyle w:val="TableParagraph"/>
              <w:spacing w:before="143"/>
              <w:ind w:left="327" w:right="330"/>
              <w:jc w:val="center"/>
              <w:rPr>
                <w:sz w:val="17"/>
              </w:rPr>
            </w:pPr>
            <w:r>
              <w:rPr>
                <w:color w:val="231F20"/>
                <w:sz w:val="17"/>
              </w:rPr>
              <w:t>54.9%</w:t>
            </w:r>
          </w:p>
        </w:tc>
        <w:tc>
          <w:tcPr>
            <w:tcW w:w="1238" w:type="dxa"/>
          </w:tcPr>
          <w:p>
            <w:pPr>
              <w:pStyle w:val="TableParagraph"/>
              <w:spacing w:before="124"/>
              <w:ind w:left="0" w:right="430"/>
              <w:jc w:val="right"/>
              <w:rPr>
                <w:rFonts w:ascii="Palatino Linotype"/>
                <w:b/>
                <w:sz w:val="17"/>
              </w:rPr>
            </w:pPr>
            <w:r>
              <w:rPr>
                <w:rFonts w:ascii="Palatino Linotype"/>
                <w:b/>
                <w:color w:val="231F20"/>
                <w:sz w:val="17"/>
              </w:rPr>
              <w:t>9.8%</w:t>
            </w:r>
          </w:p>
        </w:tc>
      </w:tr>
      <w:tr>
        <w:trPr>
          <w:trHeight w:val="912" w:hRule="exact"/>
        </w:trPr>
        <w:tc>
          <w:tcPr>
            <w:tcW w:w="2150" w:type="dxa"/>
          </w:tcPr>
          <w:p>
            <w:pPr>
              <w:pStyle w:val="TableParagraph"/>
              <w:spacing w:line="168" w:lineRule="exact"/>
              <w:ind w:left="105" w:right="34"/>
              <w:rPr>
                <w:sz w:val="16"/>
              </w:rPr>
            </w:pPr>
            <w:r>
              <w:rPr>
                <w:color w:val="231F20"/>
                <w:w w:val="95"/>
                <w:sz w:val="16"/>
              </w:rPr>
              <w:t>21B.Tengo menos oportuni-</w:t>
            </w:r>
          </w:p>
          <w:p>
            <w:pPr>
              <w:pStyle w:val="TableParagraph"/>
              <w:spacing w:line="232" w:lineRule="auto" w:before="3"/>
              <w:ind w:left="105" w:right="56"/>
              <w:rPr>
                <w:sz w:val="16"/>
              </w:rPr>
            </w:pPr>
            <w:r>
              <w:rPr>
                <w:color w:val="231F20"/>
                <w:sz w:val="16"/>
              </w:rPr>
              <w:t>dades de capacitarme o for- marme adecuadamente que las que se ofrecen a otros compa- ñeros</w:t>
            </w:r>
          </w:p>
        </w:tc>
        <w:tc>
          <w:tcPr>
            <w:tcW w:w="1214" w:type="dxa"/>
          </w:tcPr>
          <w:p>
            <w:pPr>
              <w:pStyle w:val="TableParagraph"/>
              <w:spacing w:before="8"/>
              <w:ind w:left="0"/>
              <w:rPr>
                <w:rFonts w:ascii="Palatino Linotype"/>
                <w:b/>
                <w:sz w:val="25"/>
              </w:rPr>
            </w:pPr>
          </w:p>
          <w:p>
            <w:pPr>
              <w:pStyle w:val="TableParagraph"/>
              <w:ind w:left="359" w:right="366"/>
              <w:jc w:val="center"/>
              <w:rPr>
                <w:sz w:val="17"/>
              </w:rPr>
            </w:pPr>
            <w:r>
              <w:rPr>
                <w:color w:val="231F20"/>
                <w:sz w:val="17"/>
              </w:rPr>
              <w:t>28.6%</w:t>
            </w:r>
          </w:p>
        </w:tc>
        <w:tc>
          <w:tcPr>
            <w:tcW w:w="1147" w:type="dxa"/>
          </w:tcPr>
          <w:p>
            <w:pPr>
              <w:pStyle w:val="TableParagraph"/>
              <w:spacing w:before="8"/>
              <w:ind w:left="0"/>
              <w:rPr>
                <w:rFonts w:ascii="Palatino Linotype"/>
                <w:b/>
                <w:sz w:val="25"/>
              </w:rPr>
            </w:pPr>
          </w:p>
          <w:p>
            <w:pPr>
              <w:pStyle w:val="TableParagraph"/>
              <w:ind w:left="327" w:right="330"/>
              <w:jc w:val="center"/>
              <w:rPr>
                <w:sz w:val="17"/>
              </w:rPr>
            </w:pPr>
            <w:r>
              <w:rPr>
                <w:color w:val="231F20"/>
                <w:sz w:val="17"/>
              </w:rPr>
              <w:t>57.1%</w:t>
            </w:r>
          </w:p>
        </w:tc>
        <w:tc>
          <w:tcPr>
            <w:tcW w:w="1238" w:type="dxa"/>
          </w:tcPr>
          <w:p>
            <w:pPr>
              <w:pStyle w:val="TableParagraph"/>
              <w:spacing w:before="1"/>
              <w:ind w:left="0"/>
              <w:rPr>
                <w:rFonts w:ascii="Palatino Linotype"/>
                <w:b/>
                <w:sz w:val="24"/>
              </w:rPr>
            </w:pPr>
          </w:p>
          <w:p>
            <w:pPr>
              <w:pStyle w:val="TableParagraph"/>
              <w:ind w:left="0" w:right="396"/>
              <w:jc w:val="right"/>
              <w:rPr>
                <w:rFonts w:ascii="Palatino Linotype"/>
                <w:b/>
                <w:sz w:val="17"/>
              </w:rPr>
            </w:pPr>
            <w:r>
              <w:rPr>
                <w:rFonts w:ascii="Palatino Linotype"/>
                <w:b/>
                <w:color w:val="231F20"/>
                <w:w w:val="95"/>
                <w:sz w:val="17"/>
              </w:rPr>
              <w:t>14.3%</w:t>
            </w:r>
          </w:p>
        </w:tc>
      </w:tr>
      <w:tr>
        <w:trPr>
          <w:trHeight w:val="730" w:hRule="exact"/>
        </w:trPr>
        <w:tc>
          <w:tcPr>
            <w:tcW w:w="2150" w:type="dxa"/>
          </w:tcPr>
          <w:p>
            <w:pPr>
              <w:pStyle w:val="TableParagraph"/>
              <w:spacing w:line="232" w:lineRule="auto"/>
              <w:ind w:left="105" w:right="40"/>
              <w:rPr>
                <w:sz w:val="16"/>
              </w:rPr>
            </w:pPr>
            <w:r>
              <w:rPr>
                <w:color w:val="231F20"/>
                <w:sz w:val="16"/>
              </w:rPr>
              <w:t>22B. Se bloquean o impiden las oportunidades que tengo de</w:t>
            </w:r>
          </w:p>
          <w:p>
            <w:pPr>
              <w:pStyle w:val="TableParagraph"/>
              <w:spacing w:line="178" w:lineRule="exact" w:before="6"/>
              <w:ind w:left="105" w:right="118"/>
              <w:rPr>
                <w:sz w:val="16"/>
              </w:rPr>
            </w:pPr>
            <w:r>
              <w:rPr>
                <w:color w:val="231F20"/>
                <w:sz w:val="16"/>
              </w:rPr>
              <w:t>algún ascenso o mejora en mi trabajo</w:t>
            </w:r>
          </w:p>
        </w:tc>
        <w:tc>
          <w:tcPr>
            <w:tcW w:w="1214" w:type="dxa"/>
          </w:tcPr>
          <w:p>
            <w:pPr>
              <w:pStyle w:val="TableParagraph"/>
              <w:spacing w:before="11"/>
              <w:ind w:left="0"/>
              <w:rPr>
                <w:rFonts w:ascii="Palatino Linotype"/>
                <w:b/>
                <w:sz w:val="18"/>
              </w:rPr>
            </w:pPr>
          </w:p>
          <w:p>
            <w:pPr>
              <w:pStyle w:val="TableParagraph"/>
              <w:ind w:left="359" w:right="366"/>
              <w:jc w:val="center"/>
              <w:rPr>
                <w:sz w:val="17"/>
              </w:rPr>
            </w:pPr>
            <w:r>
              <w:rPr>
                <w:color w:val="231F20"/>
                <w:sz w:val="17"/>
              </w:rPr>
              <w:t>27.4%</w:t>
            </w:r>
          </w:p>
        </w:tc>
        <w:tc>
          <w:tcPr>
            <w:tcW w:w="1147" w:type="dxa"/>
          </w:tcPr>
          <w:p>
            <w:pPr>
              <w:pStyle w:val="TableParagraph"/>
              <w:spacing w:before="11"/>
              <w:ind w:left="0"/>
              <w:rPr>
                <w:rFonts w:ascii="Palatino Linotype"/>
                <w:b/>
                <w:sz w:val="18"/>
              </w:rPr>
            </w:pPr>
          </w:p>
          <w:p>
            <w:pPr>
              <w:pStyle w:val="TableParagraph"/>
              <w:ind w:left="327" w:right="330"/>
              <w:jc w:val="center"/>
              <w:rPr>
                <w:sz w:val="17"/>
              </w:rPr>
            </w:pPr>
            <w:r>
              <w:rPr>
                <w:color w:val="231F20"/>
                <w:sz w:val="17"/>
              </w:rPr>
              <w:t>58.8%</w:t>
            </w:r>
          </w:p>
        </w:tc>
        <w:tc>
          <w:tcPr>
            <w:tcW w:w="1238" w:type="dxa"/>
          </w:tcPr>
          <w:p>
            <w:pPr>
              <w:pStyle w:val="TableParagraph"/>
              <w:spacing w:before="5"/>
              <w:ind w:left="0"/>
              <w:rPr>
                <w:rFonts w:ascii="Palatino Linotype"/>
                <w:b/>
                <w:sz w:val="17"/>
              </w:rPr>
            </w:pPr>
          </w:p>
          <w:p>
            <w:pPr>
              <w:pStyle w:val="TableParagraph"/>
              <w:ind w:left="0" w:right="470"/>
              <w:jc w:val="right"/>
              <w:rPr>
                <w:rFonts w:ascii="Palatino Linotype"/>
                <w:b/>
                <w:sz w:val="17"/>
              </w:rPr>
            </w:pPr>
            <w:r>
              <w:rPr>
                <w:rFonts w:ascii="Palatino Linotype"/>
                <w:b/>
                <w:color w:val="231F20"/>
                <w:w w:val="95"/>
                <w:sz w:val="17"/>
              </w:rPr>
              <w:t>13.8</w:t>
            </w:r>
          </w:p>
        </w:tc>
      </w:tr>
    </w:tbl>
    <w:p>
      <w:pPr>
        <w:pStyle w:val="BodyText"/>
        <w:spacing w:before="7"/>
        <w:rPr>
          <w:rFonts w:ascii="Palatino Linotype"/>
          <w:b/>
          <w:sz w:val="22"/>
        </w:rPr>
      </w:pPr>
    </w:p>
    <w:p>
      <w:pPr>
        <w:pStyle w:val="BodyText"/>
        <w:spacing w:line="247" w:lineRule="auto" w:before="69"/>
        <w:ind w:left="101" w:right="115" w:firstLine="284"/>
        <w:jc w:val="both"/>
      </w:pPr>
      <w:r>
        <w:rPr>
          <w:color w:val="231F20"/>
        </w:rPr>
        <w:t>Con respecto a la cédula sociodemográfica se determina que solo hay asociación significativa, si “p” es menor a 0.05, encon- trándose que sí existe dicha asociación entre el estado civil y la prevalencia de acoso, intensidad y presencia de la violencia psico- lógica. El nivel de significancia estadística es de .000.</w:t>
      </w:r>
    </w:p>
    <w:p>
      <w:pPr>
        <w:pStyle w:val="BodyText"/>
        <w:spacing w:line="247" w:lineRule="auto" w:before="1"/>
        <w:ind w:left="101" w:right="120" w:firstLine="284"/>
        <w:jc w:val="both"/>
      </w:pPr>
      <w:r>
        <w:rPr>
          <w:color w:val="231F20"/>
        </w:rPr>
        <w:t>Se reporta en la Tabla 7, que en el 100% de los divorciados existe presencia de violencia psicológica alta; en el 61.9% delos solteros; en el 59.4% delos casados, y en el 25% de los que viven 59.4% en unión libre.</w:t>
      </w:r>
    </w:p>
    <w:p>
      <w:pPr>
        <w:spacing w:after="0" w:line="247" w:lineRule="auto"/>
        <w:jc w:val="both"/>
        <w:sectPr>
          <w:headerReference w:type="default" r:id="rId980"/>
          <w:footerReference w:type="default" r:id="rId981"/>
          <w:pgSz w:w="7830" w:h="11910"/>
          <w:pgMar w:header="0" w:footer="424" w:top="500" w:bottom="620" w:left="920" w:right="900"/>
          <w:pgNumType w:start="447"/>
        </w:sectPr>
      </w:pPr>
    </w:p>
    <w:p>
      <w:pPr>
        <w:spacing w:before="46"/>
        <w:ind w:left="616" w:right="104"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8"/>
        <w:rPr>
          <w:sz w:val="23"/>
        </w:rPr>
      </w:pPr>
    </w:p>
    <w:p>
      <w:pPr>
        <w:spacing w:before="0" w:after="54"/>
        <w:ind w:left="612" w:right="104" w:firstLine="0"/>
        <w:jc w:val="left"/>
        <w:rPr>
          <w:rFonts w:ascii="Palatino Linotype" w:hAnsi="Palatino Linotype"/>
          <w:b/>
          <w:sz w:val="19"/>
        </w:rPr>
      </w:pPr>
      <w:r>
        <w:rPr>
          <w:rFonts w:ascii="Palatino Linotype" w:hAnsi="Palatino Linotype"/>
          <w:b/>
          <w:color w:val="231F20"/>
          <w:sz w:val="19"/>
        </w:rPr>
        <w:t>Tabla 7. Estado civil y presencia de violencia psicológica</w:t>
      </w:r>
    </w:p>
    <w:tbl>
      <w:tblPr>
        <w:tblW w:w="0" w:type="auto"/>
        <w:jc w:val="left"/>
        <w:tblInd w:w="17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23"/>
        <w:gridCol w:w="984"/>
        <w:gridCol w:w="1051"/>
        <w:gridCol w:w="984"/>
        <w:gridCol w:w="936"/>
      </w:tblGrid>
      <w:tr>
        <w:trPr>
          <w:trHeight w:val="398" w:hRule="exact"/>
        </w:trPr>
        <w:tc>
          <w:tcPr>
            <w:tcW w:w="1723" w:type="dxa"/>
            <w:vMerge w:val="restart"/>
          </w:tcPr>
          <w:p>
            <w:pPr>
              <w:pStyle w:val="TableParagraph"/>
              <w:spacing w:before="12"/>
              <w:ind w:left="0"/>
              <w:rPr>
                <w:rFonts w:ascii="Palatino Linotype"/>
                <w:b/>
                <w:sz w:val="20"/>
              </w:rPr>
            </w:pPr>
          </w:p>
          <w:p>
            <w:pPr>
              <w:pStyle w:val="TableParagraph"/>
              <w:ind w:left="386"/>
              <w:rPr>
                <w:rFonts w:ascii="Palatino Linotype"/>
                <w:b/>
                <w:sz w:val="17"/>
              </w:rPr>
            </w:pPr>
            <w:r>
              <w:rPr>
                <w:rFonts w:ascii="Palatino Linotype"/>
                <w:b/>
                <w:color w:val="231F20"/>
                <w:sz w:val="17"/>
              </w:rPr>
              <w:t>Estado Civil</w:t>
            </w:r>
          </w:p>
        </w:tc>
        <w:tc>
          <w:tcPr>
            <w:tcW w:w="3019" w:type="dxa"/>
            <w:gridSpan w:val="3"/>
          </w:tcPr>
          <w:p>
            <w:pPr>
              <w:pStyle w:val="TableParagraph"/>
              <w:spacing w:before="80"/>
              <w:ind w:left="624"/>
              <w:rPr>
                <w:rFonts w:ascii="Palatino Linotype" w:hAnsi="Palatino Linotype"/>
                <w:b/>
                <w:sz w:val="17"/>
              </w:rPr>
            </w:pPr>
            <w:r>
              <w:rPr>
                <w:rFonts w:ascii="Palatino Linotype" w:hAnsi="Palatino Linotype"/>
                <w:b/>
                <w:color w:val="231F20"/>
                <w:w w:val="95"/>
                <w:sz w:val="17"/>
              </w:rPr>
              <w:t>Clasificación  presencia</w:t>
            </w:r>
          </w:p>
        </w:tc>
        <w:tc>
          <w:tcPr>
            <w:tcW w:w="936" w:type="dxa"/>
            <w:vMerge w:val="restart"/>
          </w:tcPr>
          <w:p>
            <w:pPr>
              <w:pStyle w:val="TableParagraph"/>
              <w:spacing w:before="12"/>
              <w:ind w:left="0"/>
              <w:rPr>
                <w:rFonts w:ascii="Palatino Linotype"/>
                <w:b/>
                <w:sz w:val="20"/>
              </w:rPr>
            </w:pPr>
          </w:p>
          <w:p>
            <w:pPr>
              <w:pStyle w:val="TableParagraph"/>
              <w:ind w:left="255"/>
              <w:rPr>
                <w:rFonts w:ascii="Palatino Linotype"/>
                <w:b/>
                <w:sz w:val="17"/>
              </w:rPr>
            </w:pPr>
            <w:r>
              <w:rPr>
                <w:rFonts w:ascii="Palatino Linotype"/>
                <w:b/>
                <w:color w:val="231F20"/>
                <w:sz w:val="17"/>
              </w:rPr>
              <w:t>Total</w:t>
            </w:r>
          </w:p>
        </w:tc>
      </w:tr>
      <w:tr>
        <w:trPr>
          <w:trHeight w:val="403" w:hRule="exact"/>
        </w:trPr>
        <w:tc>
          <w:tcPr>
            <w:tcW w:w="1723" w:type="dxa"/>
            <w:vMerge/>
          </w:tcPr>
          <w:p>
            <w:pPr/>
          </w:p>
        </w:tc>
        <w:tc>
          <w:tcPr>
            <w:tcW w:w="984" w:type="dxa"/>
          </w:tcPr>
          <w:p>
            <w:pPr>
              <w:pStyle w:val="TableParagraph"/>
              <w:spacing w:before="80"/>
              <w:ind w:left="0" w:right="295"/>
              <w:jc w:val="right"/>
              <w:rPr>
                <w:rFonts w:ascii="Palatino Linotype"/>
                <w:b/>
                <w:sz w:val="17"/>
              </w:rPr>
            </w:pPr>
            <w:r>
              <w:rPr>
                <w:rFonts w:ascii="Palatino Linotype"/>
                <w:b/>
                <w:color w:val="231F20"/>
                <w:w w:val="95"/>
                <w:sz w:val="17"/>
              </w:rPr>
              <w:t>Nula</w:t>
            </w:r>
          </w:p>
        </w:tc>
        <w:tc>
          <w:tcPr>
            <w:tcW w:w="1051" w:type="dxa"/>
          </w:tcPr>
          <w:p>
            <w:pPr>
              <w:pStyle w:val="TableParagraph"/>
              <w:spacing w:before="80"/>
              <w:ind w:left="275"/>
              <w:rPr>
                <w:rFonts w:ascii="Palatino Linotype"/>
                <w:b/>
                <w:sz w:val="17"/>
              </w:rPr>
            </w:pPr>
            <w:r>
              <w:rPr>
                <w:rFonts w:ascii="Palatino Linotype"/>
                <w:b/>
                <w:color w:val="231F20"/>
                <w:sz w:val="17"/>
              </w:rPr>
              <w:t>Media</w:t>
            </w:r>
          </w:p>
        </w:tc>
        <w:tc>
          <w:tcPr>
            <w:tcW w:w="984" w:type="dxa"/>
          </w:tcPr>
          <w:p>
            <w:pPr>
              <w:pStyle w:val="TableParagraph"/>
              <w:spacing w:before="80"/>
              <w:ind w:left="246" w:right="249"/>
              <w:jc w:val="center"/>
              <w:rPr>
                <w:rFonts w:ascii="Palatino Linotype"/>
                <w:b/>
                <w:sz w:val="17"/>
              </w:rPr>
            </w:pPr>
            <w:r>
              <w:rPr>
                <w:rFonts w:ascii="Palatino Linotype"/>
                <w:b/>
                <w:color w:val="231F20"/>
                <w:sz w:val="17"/>
              </w:rPr>
              <w:t>Alta</w:t>
            </w:r>
          </w:p>
        </w:tc>
        <w:tc>
          <w:tcPr>
            <w:tcW w:w="936" w:type="dxa"/>
            <w:vMerge/>
          </w:tcPr>
          <w:p>
            <w:pPr/>
          </w:p>
        </w:tc>
      </w:tr>
      <w:tr>
        <w:trPr>
          <w:trHeight w:val="418" w:hRule="exact"/>
        </w:trPr>
        <w:tc>
          <w:tcPr>
            <w:tcW w:w="1723" w:type="dxa"/>
          </w:tcPr>
          <w:p>
            <w:pPr>
              <w:pStyle w:val="TableParagraph"/>
              <w:spacing w:before="110"/>
              <w:ind w:left="445" w:right="447"/>
              <w:jc w:val="center"/>
              <w:rPr>
                <w:sz w:val="17"/>
              </w:rPr>
            </w:pPr>
            <w:r>
              <w:rPr>
                <w:color w:val="231F20"/>
                <w:sz w:val="17"/>
              </w:rPr>
              <w:t>Soltero</w:t>
            </w:r>
          </w:p>
        </w:tc>
        <w:tc>
          <w:tcPr>
            <w:tcW w:w="984" w:type="dxa"/>
          </w:tcPr>
          <w:p>
            <w:pPr>
              <w:pStyle w:val="TableParagraph"/>
              <w:spacing w:before="110"/>
              <w:ind w:left="0" w:right="268"/>
              <w:jc w:val="right"/>
              <w:rPr>
                <w:sz w:val="17"/>
              </w:rPr>
            </w:pPr>
            <w:r>
              <w:rPr>
                <w:color w:val="231F20"/>
                <w:w w:val="95"/>
                <w:sz w:val="17"/>
              </w:rPr>
              <w:t>14.2%</w:t>
            </w:r>
          </w:p>
        </w:tc>
        <w:tc>
          <w:tcPr>
            <w:tcW w:w="1051" w:type="dxa"/>
          </w:tcPr>
          <w:p>
            <w:pPr>
              <w:pStyle w:val="TableParagraph"/>
              <w:spacing w:before="110"/>
              <w:ind w:left="298"/>
              <w:rPr>
                <w:sz w:val="17"/>
              </w:rPr>
            </w:pPr>
            <w:r>
              <w:rPr>
                <w:color w:val="231F20"/>
                <w:sz w:val="17"/>
              </w:rPr>
              <w:t>23.9%</w:t>
            </w:r>
          </w:p>
        </w:tc>
        <w:tc>
          <w:tcPr>
            <w:tcW w:w="984" w:type="dxa"/>
          </w:tcPr>
          <w:p>
            <w:pPr>
              <w:pStyle w:val="TableParagraph"/>
              <w:spacing w:before="110"/>
              <w:ind w:left="246" w:right="249"/>
              <w:jc w:val="center"/>
              <w:rPr>
                <w:sz w:val="17"/>
              </w:rPr>
            </w:pPr>
            <w:r>
              <w:rPr>
                <w:color w:val="231F20"/>
                <w:sz w:val="17"/>
              </w:rPr>
              <w:t>61.9%</w:t>
            </w:r>
          </w:p>
        </w:tc>
        <w:tc>
          <w:tcPr>
            <w:tcW w:w="936" w:type="dxa"/>
          </w:tcPr>
          <w:p>
            <w:pPr>
              <w:pStyle w:val="TableParagraph"/>
              <w:spacing w:before="110"/>
              <w:ind w:left="236" w:right="242"/>
              <w:jc w:val="center"/>
              <w:rPr>
                <w:sz w:val="17"/>
              </w:rPr>
            </w:pPr>
            <w:r>
              <w:rPr>
                <w:color w:val="231F20"/>
                <w:sz w:val="17"/>
              </w:rPr>
              <w:t>100%</w:t>
            </w:r>
          </w:p>
        </w:tc>
      </w:tr>
      <w:tr>
        <w:trPr>
          <w:trHeight w:val="403" w:hRule="exact"/>
        </w:trPr>
        <w:tc>
          <w:tcPr>
            <w:tcW w:w="1723" w:type="dxa"/>
          </w:tcPr>
          <w:p>
            <w:pPr>
              <w:pStyle w:val="TableParagraph"/>
              <w:spacing w:before="100"/>
              <w:ind w:left="445" w:right="448"/>
              <w:jc w:val="center"/>
              <w:rPr>
                <w:sz w:val="17"/>
              </w:rPr>
            </w:pPr>
            <w:r>
              <w:rPr>
                <w:color w:val="231F20"/>
                <w:sz w:val="17"/>
              </w:rPr>
              <w:t>Casado</w:t>
            </w:r>
          </w:p>
        </w:tc>
        <w:tc>
          <w:tcPr>
            <w:tcW w:w="984" w:type="dxa"/>
          </w:tcPr>
          <w:p>
            <w:pPr>
              <w:pStyle w:val="TableParagraph"/>
              <w:spacing w:before="100"/>
              <w:ind w:left="0" w:right="268"/>
              <w:jc w:val="right"/>
              <w:rPr>
                <w:sz w:val="17"/>
              </w:rPr>
            </w:pPr>
            <w:r>
              <w:rPr>
                <w:color w:val="231F20"/>
                <w:w w:val="95"/>
                <w:sz w:val="17"/>
              </w:rPr>
              <w:t>10.8%</w:t>
            </w:r>
          </w:p>
        </w:tc>
        <w:tc>
          <w:tcPr>
            <w:tcW w:w="1051" w:type="dxa"/>
          </w:tcPr>
          <w:p>
            <w:pPr>
              <w:pStyle w:val="TableParagraph"/>
              <w:spacing w:before="100"/>
              <w:ind w:left="297"/>
              <w:rPr>
                <w:sz w:val="17"/>
              </w:rPr>
            </w:pPr>
            <w:r>
              <w:rPr>
                <w:color w:val="231F20"/>
                <w:sz w:val="17"/>
              </w:rPr>
              <w:t>29.8%</w:t>
            </w:r>
          </w:p>
        </w:tc>
        <w:tc>
          <w:tcPr>
            <w:tcW w:w="984" w:type="dxa"/>
          </w:tcPr>
          <w:p>
            <w:pPr>
              <w:pStyle w:val="TableParagraph"/>
              <w:spacing w:before="100"/>
              <w:ind w:left="246" w:right="249"/>
              <w:jc w:val="center"/>
              <w:rPr>
                <w:sz w:val="17"/>
              </w:rPr>
            </w:pPr>
            <w:r>
              <w:rPr>
                <w:color w:val="231F20"/>
                <w:sz w:val="17"/>
              </w:rPr>
              <w:t>59.4%</w:t>
            </w:r>
          </w:p>
        </w:tc>
        <w:tc>
          <w:tcPr>
            <w:tcW w:w="936" w:type="dxa"/>
          </w:tcPr>
          <w:p>
            <w:pPr>
              <w:pStyle w:val="TableParagraph"/>
              <w:spacing w:before="100"/>
              <w:ind w:left="236" w:right="242"/>
              <w:jc w:val="center"/>
              <w:rPr>
                <w:sz w:val="17"/>
              </w:rPr>
            </w:pPr>
            <w:r>
              <w:rPr>
                <w:color w:val="231F20"/>
                <w:sz w:val="17"/>
              </w:rPr>
              <w:t>100%</w:t>
            </w:r>
          </w:p>
        </w:tc>
      </w:tr>
      <w:tr>
        <w:trPr>
          <w:trHeight w:val="398" w:hRule="exact"/>
        </w:trPr>
        <w:tc>
          <w:tcPr>
            <w:tcW w:w="1723" w:type="dxa"/>
          </w:tcPr>
          <w:p>
            <w:pPr>
              <w:pStyle w:val="TableParagraph"/>
              <w:spacing w:before="100"/>
              <w:ind w:left="445" w:right="448"/>
              <w:jc w:val="center"/>
              <w:rPr>
                <w:sz w:val="17"/>
              </w:rPr>
            </w:pPr>
            <w:r>
              <w:rPr>
                <w:color w:val="231F20"/>
                <w:sz w:val="17"/>
              </w:rPr>
              <w:t>Unión libre</w:t>
            </w:r>
          </w:p>
        </w:tc>
        <w:tc>
          <w:tcPr>
            <w:tcW w:w="984" w:type="dxa"/>
          </w:tcPr>
          <w:p>
            <w:pPr>
              <w:pStyle w:val="TableParagraph"/>
              <w:spacing w:before="100"/>
              <w:ind w:left="0" w:right="331"/>
              <w:jc w:val="right"/>
              <w:rPr>
                <w:sz w:val="17"/>
              </w:rPr>
            </w:pPr>
            <w:r>
              <w:rPr>
                <w:color w:val="231F20"/>
                <w:sz w:val="17"/>
              </w:rPr>
              <w:t>25%</w:t>
            </w:r>
          </w:p>
        </w:tc>
        <w:tc>
          <w:tcPr>
            <w:tcW w:w="1051" w:type="dxa"/>
          </w:tcPr>
          <w:p>
            <w:pPr>
              <w:pStyle w:val="TableParagraph"/>
              <w:spacing w:before="100"/>
              <w:ind w:left="359"/>
              <w:rPr>
                <w:sz w:val="17"/>
              </w:rPr>
            </w:pPr>
            <w:r>
              <w:rPr>
                <w:color w:val="231F20"/>
                <w:sz w:val="17"/>
              </w:rPr>
              <w:t>50%</w:t>
            </w:r>
          </w:p>
        </w:tc>
        <w:tc>
          <w:tcPr>
            <w:tcW w:w="984" w:type="dxa"/>
          </w:tcPr>
          <w:p>
            <w:pPr>
              <w:pStyle w:val="TableParagraph"/>
              <w:spacing w:before="100"/>
              <w:ind w:left="246" w:right="249"/>
              <w:jc w:val="center"/>
              <w:rPr>
                <w:sz w:val="17"/>
              </w:rPr>
            </w:pPr>
            <w:r>
              <w:rPr>
                <w:color w:val="231F20"/>
                <w:sz w:val="17"/>
              </w:rPr>
              <w:t>25%</w:t>
            </w:r>
          </w:p>
        </w:tc>
        <w:tc>
          <w:tcPr>
            <w:tcW w:w="936" w:type="dxa"/>
          </w:tcPr>
          <w:p>
            <w:pPr>
              <w:pStyle w:val="TableParagraph"/>
              <w:spacing w:before="100"/>
              <w:ind w:left="236" w:right="242"/>
              <w:jc w:val="center"/>
              <w:rPr>
                <w:sz w:val="17"/>
              </w:rPr>
            </w:pPr>
            <w:r>
              <w:rPr>
                <w:color w:val="231F20"/>
                <w:sz w:val="17"/>
              </w:rPr>
              <w:t>100%</w:t>
            </w:r>
          </w:p>
        </w:tc>
      </w:tr>
      <w:tr>
        <w:trPr>
          <w:trHeight w:val="403" w:hRule="exact"/>
        </w:trPr>
        <w:tc>
          <w:tcPr>
            <w:tcW w:w="1723" w:type="dxa"/>
          </w:tcPr>
          <w:p>
            <w:pPr>
              <w:pStyle w:val="TableParagraph"/>
              <w:spacing w:before="100"/>
              <w:ind w:left="445" w:right="448"/>
              <w:jc w:val="center"/>
              <w:rPr>
                <w:sz w:val="17"/>
              </w:rPr>
            </w:pPr>
            <w:r>
              <w:rPr>
                <w:color w:val="231F20"/>
                <w:sz w:val="17"/>
              </w:rPr>
              <w:t>Divorciado</w:t>
            </w:r>
          </w:p>
        </w:tc>
        <w:tc>
          <w:tcPr>
            <w:tcW w:w="984" w:type="dxa"/>
          </w:tcPr>
          <w:p>
            <w:pPr>
              <w:pStyle w:val="TableParagraph"/>
              <w:spacing w:before="100"/>
              <w:ind w:left="0" w:right="372"/>
              <w:jc w:val="right"/>
              <w:rPr>
                <w:sz w:val="17"/>
              </w:rPr>
            </w:pPr>
            <w:r>
              <w:rPr>
                <w:color w:val="231F20"/>
                <w:sz w:val="17"/>
              </w:rPr>
              <w:t>0%</w:t>
            </w:r>
          </w:p>
        </w:tc>
        <w:tc>
          <w:tcPr>
            <w:tcW w:w="1051" w:type="dxa"/>
          </w:tcPr>
          <w:p>
            <w:pPr>
              <w:pStyle w:val="TableParagraph"/>
              <w:spacing w:before="100"/>
              <w:ind w:left="227" w:right="230"/>
              <w:jc w:val="center"/>
              <w:rPr>
                <w:sz w:val="17"/>
              </w:rPr>
            </w:pPr>
            <w:r>
              <w:rPr>
                <w:color w:val="231F20"/>
                <w:sz w:val="17"/>
              </w:rPr>
              <w:t>0%</w:t>
            </w:r>
          </w:p>
        </w:tc>
        <w:tc>
          <w:tcPr>
            <w:tcW w:w="984" w:type="dxa"/>
          </w:tcPr>
          <w:p>
            <w:pPr>
              <w:pStyle w:val="TableParagraph"/>
              <w:spacing w:before="100"/>
              <w:ind w:left="246" w:right="249"/>
              <w:jc w:val="center"/>
              <w:rPr>
                <w:sz w:val="17"/>
              </w:rPr>
            </w:pPr>
            <w:r>
              <w:rPr>
                <w:color w:val="231F20"/>
                <w:sz w:val="17"/>
              </w:rPr>
              <w:t>100%</w:t>
            </w:r>
          </w:p>
        </w:tc>
        <w:tc>
          <w:tcPr>
            <w:tcW w:w="936" w:type="dxa"/>
          </w:tcPr>
          <w:p>
            <w:pPr>
              <w:pStyle w:val="TableParagraph"/>
              <w:spacing w:before="100"/>
              <w:ind w:left="236" w:right="242"/>
              <w:jc w:val="center"/>
              <w:rPr>
                <w:sz w:val="17"/>
              </w:rPr>
            </w:pPr>
            <w:r>
              <w:rPr>
                <w:color w:val="231F20"/>
                <w:sz w:val="17"/>
              </w:rPr>
              <w:t>100%</w:t>
            </w:r>
          </w:p>
        </w:tc>
      </w:tr>
      <w:tr>
        <w:trPr>
          <w:trHeight w:val="403" w:hRule="exact"/>
        </w:trPr>
        <w:tc>
          <w:tcPr>
            <w:tcW w:w="1723" w:type="dxa"/>
          </w:tcPr>
          <w:p>
            <w:pPr>
              <w:pStyle w:val="TableParagraph"/>
              <w:spacing w:before="80"/>
              <w:ind w:left="445" w:right="446"/>
              <w:jc w:val="center"/>
              <w:rPr>
                <w:rFonts w:ascii="Palatino Linotype"/>
                <w:b/>
                <w:sz w:val="17"/>
              </w:rPr>
            </w:pPr>
            <w:r>
              <w:rPr>
                <w:rFonts w:ascii="Palatino Linotype"/>
                <w:b/>
                <w:color w:val="231F20"/>
                <w:sz w:val="17"/>
              </w:rPr>
              <w:t>Total</w:t>
            </w:r>
          </w:p>
        </w:tc>
        <w:tc>
          <w:tcPr>
            <w:tcW w:w="984" w:type="dxa"/>
          </w:tcPr>
          <w:p>
            <w:pPr>
              <w:pStyle w:val="TableParagraph"/>
              <w:spacing w:before="80"/>
              <w:ind w:left="0" w:right="271"/>
              <w:jc w:val="right"/>
              <w:rPr>
                <w:rFonts w:ascii="Palatino Linotype"/>
                <w:b/>
                <w:sz w:val="17"/>
              </w:rPr>
            </w:pPr>
            <w:r>
              <w:rPr>
                <w:rFonts w:ascii="Palatino Linotype"/>
                <w:b/>
                <w:color w:val="231F20"/>
                <w:w w:val="95"/>
                <w:sz w:val="17"/>
              </w:rPr>
              <w:t>12.3%</w:t>
            </w:r>
          </w:p>
        </w:tc>
        <w:tc>
          <w:tcPr>
            <w:tcW w:w="1051" w:type="dxa"/>
          </w:tcPr>
          <w:p>
            <w:pPr>
              <w:pStyle w:val="TableParagraph"/>
              <w:spacing w:before="80"/>
              <w:ind w:left="293"/>
              <w:rPr>
                <w:rFonts w:ascii="Palatino Linotype"/>
                <w:b/>
                <w:sz w:val="17"/>
              </w:rPr>
            </w:pPr>
            <w:r>
              <w:rPr>
                <w:rFonts w:ascii="Palatino Linotype"/>
                <w:b/>
                <w:color w:val="231F20"/>
                <w:sz w:val="17"/>
              </w:rPr>
              <w:t>27.7%</w:t>
            </w:r>
          </w:p>
        </w:tc>
        <w:tc>
          <w:tcPr>
            <w:tcW w:w="984" w:type="dxa"/>
          </w:tcPr>
          <w:p>
            <w:pPr>
              <w:pStyle w:val="TableParagraph"/>
              <w:spacing w:before="80"/>
              <w:ind w:left="246" w:right="249"/>
              <w:jc w:val="center"/>
              <w:rPr>
                <w:rFonts w:ascii="Palatino Linotype"/>
                <w:b/>
                <w:sz w:val="17"/>
              </w:rPr>
            </w:pPr>
            <w:r>
              <w:rPr>
                <w:rFonts w:ascii="Palatino Linotype"/>
                <w:b/>
                <w:color w:val="231F20"/>
                <w:sz w:val="17"/>
              </w:rPr>
              <w:t>60%</w:t>
            </w:r>
          </w:p>
        </w:tc>
        <w:tc>
          <w:tcPr>
            <w:tcW w:w="936" w:type="dxa"/>
          </w:tcPr>
          <w:p>
            <w:pPr>
              <w:pStyle w:val="TableParagraph"/>
              <w:spacing w:before="80"/>
              <w:ind w:left="236" w:right="243"/>
              <w:jc w:val="center"/>
              <w:rPr>
                <w:rFonts w:ascii="Palatino Linotype"/>
                <w:b/>
                <w:sz w:val="17"/>
              </w:rPr>
            </w:pPr>
            <w:r>
              <w:rPr>
                <w:rFonts w:ascii="Palatino Linotype"/>
                <w:b/>
                <w:color w:val="231F20"/>
                <w:sz w:val="17"/>
              </w:rPr>
              <w:t>100%</w:t>
            </w:r>
          </w:p>
        </w:tc>
      </w:tr>
    </w:tbl>
    <w:p>
      <w:pPr>
        <w:pStyle w:val="BodyText"/>
        <w:spacing w:before="10"/>
        <w:rPr>
          <w:rFonts w:ascii="Palatino Linotype"/>
          <w:b/>
          <w:sz w:val="13"/>
        </w:rPr>
      </w:pPr>
    </w:p>
    <w:p>
      <w:pPr>
        <w:pStyle w:val="BodyText"/>
        <w:spacing w:line="247" w:lineRule="auto" w:before="70"/>
        <w:ind w:left="122" w:right="116" w:firstLine="284"/>
        <w:jc w:val="both"/>
      </w:pPr>
      <w:r>
        <w:rPr>
          <w:color w:val="231F20"/>
        </w:rPr>
        <w:t>En la </w:t>
      </w:r>
      <w:r>
        <w:rPr>
          <w:color w:val="231F20"/>
          <w:spacing w:val="2"/>
        </w:rPr>
        <w:t>Tabla </w:t>
      </w:r>
      <w:r>
        <w:rPr>
          <w:color w:val="231F20"/>
        </w:rPr>
        <w:t>8 se </w:t>
      </w:r>
      <w:r>
        <w:rPr>
          <w:color w:val="231F20"/>
          <w:spacing w:val="2"/>
        </w:rPr>
        <w:t>observa </w:t>
      </w:r>
      <w:r>
        <w:rPr>
          <w:color w:val="231F20"/>
        </w:rPr>
        <w:t>que  </w:t>
      </w:r>
      <w:r>
        <w:rPr>
          <w:color w:val="231F20"/>
          <w:spacing w:val="2"/>
        </w:rPr>
        <w:t>los </w:t>
      </w:r>
      <w:r>
        <w:rPr>
          <w:color w:val="231F20"/>
          <w:spacing w:val="3"/>
        </w:rPr>
        <w:t>docentes </w:t>
      </w:r>
      <w:r>
        <w:rPr>
          <w:color w:val="231F20"/>
          <w:spacing w:val="2"/>
        </w:rPr>
        <w:t>divorciados repor- </w:t>
      </w:r>
      <w:r>
        <w:rPr>
          <w:color w:val="231F20"/>
        </w:rPr>
        <w:t>tan </w:t>
      </w:r>
      <w:r>
        <w:rPr>
          <w:color w:val="231F20"/>
          <w:spacing w:val="2"/>
        </w:rPr>
        <w:t>una clasificación </w:t>
      </w:r>
      <w:r>
        <w:rPr>
          <w:color w:val="231F20"/>
        </w:rPr>
        <w:t>alta en </w:t>
      </w:r>
      <w:r>
        <w:rPr>
          <w:color w:val="231F20"/>
          <w:spacing w:val="2"/>
        </w:rPr>
        <w:t>intensidad </w:t>
      </w:r>
      <w:r>
        <w:rPr>
          <w:color w:val="231F20"/>
        </w:rPr>
        <w:t>de la </w:t>
      </w:r>
      <w:r>
        <w:rPr>
          <w:color w:val="231F20"/>
          <w:spacing w:val="2"/>
        </w:rPr>
        <w:t>violencia con </w:t>
      </w:r>
      <w:r>
        <w:rPr>
          <w:color w:val="231F20"/>
        </w:rPr>
        <w:t>un </w:t>
      </w:r>
      <w:r>
        <w:rPr>
          <w:color w:val="231F20"/>
          <w:spacing w:val="2"/>
        </w:rPr>
        <w:t>66.7%; seguido por los solteros, con </w:t>
      </w:r>
      <w:r>
        <w:rPr>
          <w:color w:val="231F20"/>
        </w:rPr>
        <w:t>un </w:t>
      </w:r>
      <w:r>
        <w:rPr>
          <w:color w:val="231F20"/>
          <w:spacing w:val="2"/>
        </w:rPr>
        <w:t>23.8%, </w:t>
      </w:r>
      <w:r>
        <w:rPr>
          <w:color w:val="231F20"/>
        </w:rPr>
        <w:t>y </w:t>
      </w:r>
      <w:r>
        <w:rPr>
          <w:color w:val="231F20"/>
          <w:spacing w:val="2"/>
        </w:rPr>
        <w:t>los casados, </w:t>
      </w:r>
      <w:r>
        <w:rPr>
          <w:color w:val="231F20"/>
          <w:spacing w:val="3"/>
        </w:rPr>
        <w:t>con </w:t>
      </w:r>
      <w:r>
        <w:rPr>
          <w:color w:val="231F20"/>
        </w:rPr>
        <w:t>un</w:t>
      </w:r>
      <w:r>
        <w:rPr>
          <w:color w:val="231F20"/>
          <w:spacing w:val="1"/>
        </w:rPr>
        <w:t> </w:t>
      </w:r>
      <w:r>
        <w:rPr>
          <w:color w:val="231F20"/>
          <w:spacing w:val="2"/>
        </w:rPr>
        <w:t>10.8%.</w:t>
      </w:r>
    </w:p>
    <w:p>
      <w:pPr>
        <w:pStyle w:val="BodyText"/>
        <w:spacing w:before="10"/>
        <w:rPr>
          <w:sz w:val="31"/>
        </w:rPr>
      </w:pPr>
    </w:p>
    <w:p>
      <w:pPr>
        <w:spacing w:before="0"/>
        <w:ind w:left="570" w:right="104" w:firstLine="0"/>
        <w:jc w:val="left"/>
        <w:rPr>
          <w:rFonts w:ascii="Palatino Linotype" w:hAnsi="Palatino Linotype"/>
          <w:b/>
          <w:sz w:val="19"/>
        </w:rPr>
      </w:pPr>
      <w:r>
        <w:rPr>
          <w:rFonts w:ascii="Palatino Linotype" w:hAnsi="Palatino Linotype"/>
          <w:b/>
          <w:color w:val="231F20"/>
          <w:sz w:val="19"/>
        </w:rPr>
        <w:t>Tabla 8. Estado civil e intensidad de violencia psicológica</w:t>
      </w:r>
    </w:p>
    <w:p>
      <w:pPr>
        <w:pStyle w:val="BodyText"/>
        <w:spacing w:before="8"/>
        <w:rPr>
          <w:rFonts w:ascii="Palatino Linotype"/>
          <w:b/>
          <w:sz w:val="8"/>
        </w:rPr>
      </w:pPr>
    </w:p>
    <w:tbl>
      <w:tblPr>
        <w:tblW w:w="0" w:type="auto"/>
        <w:jc w:val="left"/>
        <w:tblInd w:w="11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47"/>
        <w:gridCol w:w="1008"/>
        <w:gridCol w:w="1085"/>
        <w:gridCol w:w="1008"/>
        <w:gridCol w:w="946"/>
      </w:tblGrid>
      <w:tr>
        <w:trPr>
          <w:trHeight w:val="226" w:hRule="exact"/>
        </w:trPr>
        <w:tc>
          <w:tcPr>
            <w:tcW w:w="1747" w:type="dxa"/>
            <w:vMerge w:val="restart"/>
          </w:tcPr>
          <w:p>
            <w:pPr>
              <w:pStyle w:val="TableParagraph"/>
              <w:spacing w:before="109"/>
              <w:ind w:left="398"/>
              <w:rPr>
                <w:rFonts w:ascii="Palatino Linotype"/>
                <w:b/>
                <w:sz w:val="17"/>
              </w:rPr>
            </w:pPr>
            <w:r>
              <w:rPr>
                <w:rFonts w:ascii="Palatino Linotype"/>
                <w:b/>
                <w:color w:val="231F20"/>
                <w:sz w:val="17"/>
              </w:rPr>
              <w:t>Estado Civil</w:t>
            </w:r>
          </w:p>
        </w:tc>
        <w:tc>
          <w:tcPr>
            <w:tcW w:w="3101" w:type="dxa"/>
            <w:gridSpan w:val="3"/>
          </w:tcPr>
          <w:p>
            <w:pPr>
              <w:pStyle w:val="TableParagraph"/>
              <w:spacing w:line="224" w:lineRule="exact"/>
              <w:ind w:left="630"/>
              <w:rPr>
                <w:rFonts w:ascii="Palatino Linotype" w:hAnsi="Palatino Linotype"/>
                <w:b/>
                <w:sz w:val="17"/>
              </w:rPr>
            </w:pPr>
            <w:r>
              <w:rPr>
                <w:rFonts w:ascii="Palatino Linotype" w:hAnsi="Palatino Linotype"/>
                <w:b/>
                <w:color w:val="231F20"/>
                <w:w w:val="95"/>
                <w:sz w:val="17"/>
              </w:rPr>
              <w:t>Clasificación intensidad</w:t>
            </w:r>
          </w:p>
        </w:tc>
        <w:tc>
          <w:tcPr>
            <w:tcW w:w="946" w:type="dxa"/>
            <w:vMerge w:val="restart"/>
          </w:tcPr>
          <w:p>
            <w:pPr>
              <w:pStyle w:val="TableParagraph"/>
              <w:spacing w:before="109"/>
              <w:ind w:left="266"/>
              <w:rPr>
                <w:rFonts w:ascii="Palatino Linotype"/>
                <w:b/>
                <w:sz w:val="17"/>
              </w:rPr>
            </w:pPr>
            <w:r>
              <w:rPr>
                <w:rFonts w:ascii="Palatino Linotype"/>
                <w:b/>
                <w:color w:val="231F20"/>
                <w:sz w:val="17"/>
              </w:rPr>
              <w:t>Total</w:t>
            </w:r>
          </w:p>
        </w:tc>
      </w:tr>
      <w:tr>
        <w:trPr>
          <w:trHeight w:val="230" w:hRule="exact"/>
        </w:trPr>
        <w:tc>
          <w:tcPr>
            <w:tcW w:w="1747" w:type="dxa"/>
            <w:vMerge/>
          </w:tcPr>
          <w:p>
            <w:pPr/>
          </w:p>
        </w:tc>
        <w:tc>
          <w:tcPr>
            <w:tcW w:w="1008" w:type="dxa"/>
          </w:tcPr>
          <w:p>
            <w:pPr>
              <w:pStyle w:val="TableParagraph"/>
              <w:spacing w:line="228" w:lineRule="exact"/>
              <w:ind w:left="216" w:right="217"/>
              <w:jc w:val="center"/>
              <w:rPr>
                <w:rFonts w:ascii="Palatino Linotype"/>
                <w:b/>
                <w:sz w:val="17"/>
              </w:rPr>
            </w:pPr>
            <w:r>
              <w:rPr>
                <w:rFonts w:ascii="Palatino Linotype"/>
                <w:b/>
                <w:color w:val="231F20"/>
                <w:sz w:val="17"/>
              </w:rPr>
              <w:t>Nula</w:t>
            </w:r>
          </w:p>
        </w:tc>
        <w:tc>
          <w:tcPr>
            <w:tcW w:w="1085" w:type="dxa"/>
          </w:tcPr>
          <w:p>
            <w:pPr>
              <w:pStyle w:val="TableParagraph"/>
              <w:spacing w:line="228" w:lineRule="exact"/>
              <w:ind w:left="254" w:right="254"/>
              <w:jc w:val="center"/>
              <w:rPr>
                <w:rFonts w:ascii="Palatino Linotype"/>
                <w:b/>
                <w:sz w:val="17"/>
              </w:rPr>
            </w:pPr>
            <w:r>
              <w:rPr>
                <w:rFonts w:ascii="Palatino Linotype"/>
                <w:b/>
                <w:color w:val="231F20"/>
                <w:sz w:val="17"/>
              </w:rPr>
              <w:t>Media</w:t>
            </w:r>
          </w:p>
        </w:tc>
        <w:tc>
          <w:tcPr>
            <w:tcW w:w="1008" w:type="dxa"/>
          </w:tcPr>
          <w:p>
            <w:pPr>
              <w:pStyle w:val="TableParagraph"/>
              <w:spacing w:line="228" w:lineRule="exact"/>
              <w:ind w:left="259" w:right="260"/>
              <w:jc w:val="center"/>
              <w:rPr>
                <w:rFonts w:ascii="Palatino Linotype"/>
                <w:b/>
                <w:sz w:val="17"/>
              </w:rPr>
            </w:pPr>
            <w:r>
              <w:rPr>
                <w:rFonts w:ascii="Palatino Linotype"/>
                <w:b/>
                <w:color w:val="231F20"/>
                <w:sz w:val="17"/>
              </w:rPr>
              <w:t>Alta</w:t>
            </w:r>
          </w:p>
        </w:tc>
        <w:tc>
          <w:tcPr>
            <w:tcW w:w="946" w:type="dxa"/>
            <w:vMerge/>
          </w:tcPr>
          <w:p>
            <w:pPr/>
          </w:p>
        </w:tc>
      </w:tr>
      <w:tr>
        <w:trPr>
          <w:trHeight w:val="230" w:hRule="exact"/>
        </w:trPr>
        <w:tc>
          <w:tcPr>
            <w:tcW w:w="1747" w:type="dxa"/>
          </w:tcPr>
          <w:p>
            <w:pPr>
              <w:pStyle w:val="TableParagraph"/>
              <w:spacing w:before="14"/>
              <w:ind w:left="457" w:right="460"/>
              <w:jc w:val="center"/>
              <w:rPr>
                <w:sz w:val="17"/>
              </w:rPr>
            </w:pPr>
            <w:r>
              <w:rPr>
                <w:color w:val="231F20"/>
                <w:sz w:val="17"/>
              </w:rPr>
              <w:t>Soltero</w:t>
            </w:r>
          </w:p>
        </w:tc>
        <w:tc>
          <w:tcPr>
            <w:tcW w:w="1008" w:type="dxa"/>
          </w:tcPr>
          <w:p>
            <w:pPr>
              <w:pStyle w:val="TableParagraph"/>
              <w:spacing w:before="14"/>
              <w:ind w:left="216" w:right="217"/>
              <w:jc w:val="center"/>
              <w:rPr>
                <w:sz w:val="17"/>
              </w:rPr>
            </w:pPr>
            <w:r>
              <w:rPr>
                <w:color w:val="231F20"/>
                <w:sz w:val="17"/>
              </w:rPr>
              <w:t>14.2%</w:t>
            </w:r>
          </w:p>
        </w:tc>
        <w:tc>
          <w:tcPr>
            <w:tcW w:w="1085" w:type="dxa"/>
          </w:tcPr>
          <w:p>
            <w:pPr>
              <w:pStyle w:val="TableParagraph"/>
              <w:spacing w:before="14"/>
              <w:ind w:left="254" w:right="254"/>
              <w:jc w:val="center"/>
              <w:rPr>
                <w:sz w:val="17"/>
              </w:rPr>
            </w:pPr>
            <w:r>
              <w:rPr>
                <w:color w:val="231F20"/>
                <w:sz w:val="17"/>
              </w:rPr>
              <w:t>62%</w:t>
            </w:r>
          </w:p>
        </w:tc>
        <w:tc>
          <w:tcPr>
            <w:tcW w:w="1008" w:type="dxa"/>
          </w:tcPr>
          <w:p>
            <w:pPr>
              <w:pStyle w:val="TableParagraph"/>
              <w:spacing w:before="14"/>
              <w:ind w:left="259" w:right="260"/>
              <w:jc w:val="center"/>
              <w:rPr>
                <w:sz w:val="17"/>
              </w:rPr>
            </w:pPr>
            <w:r>
              <w:rPr>
                <w:color w:val="231F20"/>
                <w:sz w:val="17"/>
              </w:rPr>
              <w:t>23.8%</w:t>
            </w:r>
          </w:p>
        </w:tc>
        <w:tc>
          <w:tcPr>
            <w:tcW w:w="946" w:type="dxa"/>
          </w:tcPr>
          <w:p>
            <w:pPr>
              <w:pStyle w:val="TableParagraph"/>
              <w:spacing w:before="14"/>
              <w:ind w:left="0" w:right="264"/>
              <w:jc w:val="right"/>
              <w:rPr>
                <w:sz w:val="17"/>
              </w:rPr>
            </w:pPr>
            <w:r>
              <w:rPr>
                <w:color w:val="231F20"/>
                <w:sz w:val="17"/>
              </w:rPr>
              <w:t>100%</w:t>
            </w:r>
          </w:p>
        </w:tc>
      </w:tr>
      <w:tr>
        <w:trPr>
          <w:trHeight w:val="230" w:hRule="exact"/>
        </w:trPr>
        <w:tc>
          <w:tcPr>
            <w:tcW w:w="1747" w:type="dxa"/>
          </w:tcPr>
          <w:p>
            <w:pPr>
              <w:pStyle w:val="TableParagraph"/>
              <w:spacing w:before="14"/>
              <w:ind w:left="457" w:right="461"/>
              <w:jc w:val="center"/>
              <w:rPr>
                <w:sz w:val="17"/>
              </w:rPr>
            </w:pPr>
            <w:r>
              <w:rPr>
                <w:color w:val="231F20"/>
                <w:sz w:val="17"/>
              </w:rPr>
              <w:t>Casado</w:t>
            </w:r>
          </w:p>
        </w:tc>
        <w:tc>
          <w:tcPr>
            <w:tcW w:w="1008" w:type="dxa"/>
          </w:tcPr>
          <w:p>
            <w:pPr>
              <w:pStyle w:val="TableParagraph"/>
              <w:spacing w:before="14"/>
              <w:ind w:left="216" w:right="217"/>
              <w:jc w:val="center"/>
              <w:rPr>
                <w:sz w:val="17"/>
              </w:rPr>
            </w:pPr>
            <w:r>
              <w:rPr>
                <w:color w:val="231F20"/>
                <w:sz w:val="17"/>
              </w:rPr>
              <w:t>13.5%</w:t>
            </w:r>
          </w:p>
        </w:tc>
        <w:tc>
          <w:tcPr>
            <w:tcW w:w="1085" w:type="dxa"/>
          </w:tcPr>
          <w:p>
            <w:pPr>
              <w:pStyle w:val="TableParagraph"/>
              <w:spacing w:before="14"/>
              <w:ind w:left="254" w:right="254"/>
              <w:jc w:val="center"/>
              <w:rPr>
                <w:sz w:val="17"/>
              </w:rPr>
            </w:pPr>
            <w:r>
              <w:rPr>
                <w:color w:val="231F20"/>
                <w:sz w:val="17"/>
              </w:rPr>
              <w:t>75.7%</w:t>
            </w:r>
          </w:p>
        </w:tc>
        <w:tc>
          <w:tcPr>
            <w:tcW w:w="1008" w:type="dxa"/>
          </w:tcPr>
          <w:p>
            <w:pPr>
              <w:pStyle w:val="TableParagraph"/>
              <w:spacing w:before="14"/>
              <w:ind w:left="259" w:right="260"/>
              <w:jc w:val="center"/>
              <w:rPr>
                <w:sz w:val="17"/>
              </w:rPr>
            </w:pPr>
            <w:r>
              <w:rPr>
                <w:color w:val="231F20"/>
                <w:sz w:val="17"/>
              </w:rPr>
              <w:t>10.8%</w:t>
            </w:r>
          </w:p>
        </w:tc>
        <w:tc>
          <w:tcPr>
            <w:tcW w:w="946" w:type="dxa"/>
          </w:tcPr>
          <w:p>
            <w:pPr>
              <w:pStyle w:val="TableParagraph"/>
              <w:spacing w:before="14"/>
              <w:ind w:left="0" w:right="264"/>
              <w:jc w:val="right"/>
              <w:rPr>
                <w:sz w:val="17"/>
              </w:rPr>
            </w:pPr>
            <w:r>
              <w:rPr>
                <w:color w:val="231F20"/>
                <w:sz w:val="17"/>
              </w:rPr>
              <w:t>100%</w:t>
            </w:r>
          </w:p>
        </w:tc>
      </w:tr>
      <w:tr>
        <w:trPr>
          <w:trHeight w:val="230" w:hRule="exact"/>
        </w:trPr>
        <w:tc>
          <w:tcPr>
            <w:tcW w:w="1747" w:type="dxa"/>
          </w:tcPr>
          <w:p>
            <w:pPr>
              <w:pStyle w:val="TableParagraph"/>
              <w:spacing w:before="14"/>
              <w:ind w:left="457" w:right="461"/>
              <w:jc w:val="center"/>
              <w:rPr>
                <w:sz w:val="17"/>
              </w:rPr>
            </w:pPr>
            <w:r>
              <w:rPr>
                <w:color w:val="231F20"/>
                <w:sz w:val="17"/>
              </w:rPr>
              <w:t>Unión libre</w:t>
            </w:r>
          </w:p>
        </w:tc>
        <w:tc>
          <w:tcPr>
            <w:tcW w:w="1008" w:type="dxa"/>
          </w:tcPr>
          <w:p>
            <w:pPr>
              <w:pStyle w:val="TableParagraph"/>
              <w:spacing w:before="14"/>
              <w:ind w:left="216" w:right="217"/>
              <w:jc w:val="center"/>
              <w:rPr>
                <w:sz w:val="17"/>
              </w:rPr>
            </w:pPr>
            <w:r>
              <w:rPr>
                <w:color w:val="231F20"/>
                <w:sz w:val="17"/>
              </w:rPr>
              <w:t>25%</w:t>
            </w:r>
          </w:p>
        </w:tc>
        <w:tc>
          <w:tcPr>
            <w:tcW w:w="1085" w:type="dxa"/>
          </w:tcPr>
          <w:p>
            <w:pPr>
              <w:pStyle w:val="TableParagraph"/>
              <w:spacing w:before="14"/>
              <w:ind w:left="254" w:right="254"/>
              <w:jc w:val="center"/>
              <w:rPr>
                <w:sz w:val="17"/>
              </w:rPr>
            </w:pPr>
            <w:r>
              <w:rPr>
                <w:color w:val="231F20"/>
                <w:sz w:val="17"/>
              </w:rPr>
              <w:t>75%</w:t>
            </w:r>
          </w:p>
        </w:tc>
        <w:tc>
          <w:tcPr>
            <w:tcW w:w="1008" w:type="dxa"/>
          </w:tcPr>
          <w:p>
            <w:pPr>
              <w:pStyle w:val="TableParagraph"/>
              <w:spacing w:before="14"/>
              <w:ind w:left="259" w:right="260"/>
              <w:jc w:val="center"/>
              <w:rPr>
                <w:sz w:val="17"/>
              </w:rPr>
            </w:pPr>
            <w:r>
              <w:rPr>
                <w:color w:val="231F20"/>
                <w:sz w:val="17"/>
              </w:rPr>
              <w:t>0%</w:t>
            </w:r>
          </w:p>
        </w:tc>
        <w:tc>
          <w:tcPr>
            <w:tcW w:w="946" w:type="dxa"/>
          </w:tcPr>
          <w:p>
            <w:pPr>
              <w:pStyle w:val="TableParagraph"/>
              <w:spacing w:before="14"/>
              <w:ind w:left="0" w:right="264"/>
              <w:jc w:val="right"/>
              <w:rPr>
                <w:sz w:val="17"/>
              </w:rPr>
            </w:pPr>
            <w:r>
              <w:rPr>
                <w:color w:val="231F20"/>
                <w:sz w:val="17"/>
              </w:rPr>
              <w:t>100%</w:t>
            </w:r>
          </w:p>
        </w:tc>
      </w:tr>
      <w:tr>
        <w:trPr>
          <w:trHeight w:val="230" w:hRule="exact"/>
        </w:trPr>
        <w:tc>
          <w:tcPr>
            <w:tcW w:w="1747" w:type="dxa"/>
          </w:tcPr>
          <w:p>
            <w:pPr>
              <w:pStyle w:val="TableParagraph"/>
              <w:spacing w:before="14"/>
              <w:ind w:left="457" w:right="461"/>
              <w:jc w:val="center"/>
              <w:rPr>
                <w:sz w:val="17"/>
              </w:rPr>
            </w:pPr>
            <w:r>
              <w:rPr>
                <w:color w:val="231F20"/>
                <w:sz w:val="17"/>
              </w:rPr>
              <w:t>Divorciado</w:t>
            </w:r>
          </w:p>
        </w:tc>
        <w:tc>
          <w:tcPr>
            <w:tcW w:w="1008" w:type="dxa"/>
          </w:tcPr>
          <w:p>
            <w:pPr>
              <w:pStyle w:val="TableParagraph"/>
              <w:spacing w:before="14"/>
              <w:ind w:left="216" w:right="217"/>
              <w:jc w:val="center"/>
              <w:rPr>
                <w:sz w:val="17"/>
              </w:rPr>
            </w:pPr>
            <w:r>
              <w:rPr>
                <w:color w:val="231F20"/>
                <w:sz w:val="17"/>
              </w:rPr>
              <w:t>0%</w:t>
            </w:r>
          </w:p>
        </w:tc>
        <w:tc>
          <w:tcPr>
            <w:tcW w:w="1085" w:type="dxa"/>
          </w:tcPr>
          <w:p>
            <w:pPr>
              <w:pStyle w:val="TableParagraph"/>
              <w:spacing w:before="14"/>
              <w:ind w:left="254" w:right="254"/>
              <w:jc w:val="center"/>
              <w:rPr>
                <w:sz w:val="17"/>
              </w:rPr>
            </w:pPr>
            <w:r>
              <w:rPr>
                <w:color w:val="231F20"/>
                <w:sz w:val="17"/>
              </w:rPr>
              <w:t>33.3%</w:t>
            </w:r>
          </w:p>
        </w:tc>
        <w:tc>
          <w:tcPr>
            <w:tcW w:w="1008" w:type="dxa"/>
          </w:tcPr>
          <w:p>
            <w:pPr>
              <w:pStyle w:val="TableParagraph"/>
              <w:spacing w:before="14"/>
              <w:ind w:left="259" w:right="260"/>
              <w:jc w:val="center"/>
              <w:rPr>
                <w:sz w:val="17"/>
              </w:rPr>
            </w:pPr>
            <w:r>
              <w:rPr>
                <w:color w:val="231F20"/>
                <w:sz w:val="17"/>
              </w:rPr>
              <w:t>66.7%</w:t>
            </w:r>
          </w:p>
        </w:tc>
        <w:tc>
          <w:tcPr>
            <w:tcW w:w="946" w:type="dxa"/>
          </w:tcPr>
          <w:p>
            <w:pPr>
              <w:pStyle w:val="TableParagraph"/>
              <w:spacing w:before="14"/>
              <w:ind w:left="0" w:right="264"/>
              <w:jc w:val="right"/>
              <w:rPr>
                <w:sz w:val="17"/>
              </w:rPr>
            </w:pPr>
            <w:r>
              <w:rPr>
                <w:color w:val="231F20"/>
                <w:sz w:val="17"/>
              </w:rPr>
              <w:t>100%</w:t>
            </w:r>
          </w:p>
        </w:tc>
      </w:tr>
      <w:tr>
        <w:trPr>
          <w:trHeight w:val="230" w:hRule="exact"/>
        </w:trPr>
        <w:tc>
          <w:tcPr>
            <w:tcW w:w="1747" w:type="dxa"/>
          </w:tcPr>
          <w:p>
            <w:pPr>
              <w:pStyle w:val="TableParagraph"/>
              <w:spacing w:line="224" w:lineRule="exact"/>
              <w:ind w:left="457" w:right="459"/>
              <w:jc w:val="center"/>
              <w:rPr>
                <w:rFonts w:ascii="Palatino Linotype"/>
                <w:b/>
                <w:sz w:val="17"/>
              </w:rPr>
            </w:pPr>
            <w:r>
              <w:rPr>
                <w:rFonts w:ascii="Palatino Linotype"/>
                <w:b/>
                <w:color w:val="231F20"/>
                <w:sz w:val="17"/>
              </w:rPr>
              <w:t>Total</w:t>
            </w:r>
          </w:p>
        </w:tc>
        <w:tc>
          <w:tcPr>
            <w:tcW w:w="1008" w:type="dxa"/>
          </w:tcPr>
          <w:p>
            <w:pPr>
              <w:pStyle w:val="TableParagraph"/>
              <w:spacing w:line="224" w:lineRule="exact"/>
              <w:ind w:left="216" w:right="216"/>
              <w:jc w:val="center"/>
              <w:rPr>
                <w:rFonts w:ascii="Palatino Linotype"/>
                <w:b/>
                <w:sz w:val="17"/>
              </w:rPr>
            </w:pPr>
            <w:r>
              <w:rPr>
                <w:rFonts w:ascii="Palatino Linotype"/>
                <w:b/>
                <w:color w:val="231F20"/>
                <w:sz w:val="17"/>
              </w:rPr>
              <w:t>13.8%</w:t>
            </w:r>
          </w:p>
        </w:tc>
        <w:tc>
          <w:tcPr>
            <w:tcW w:w="1085" w:type="dxa"/>
          </w:tcPr>
          <w:p>
            <w:pPr>
              <w:pStyle w:val="TableParagraph"/>
              <w:spacing w:line="224" w:lineRule="exact"/>
              <w:ind w:left="254" w:right="254"/>
              <w:jc w:val="center"/>
              <w:rPr>
                <w:rFonts w:ascii="Palatino Linotype"/>
                <w:b/>
                <w:sz w:val="17"/>
              </w:rPr>
            </w:pPr>
            <w:r>
              <w:rPr>
                <w:rFonts w:ascii="Palatino Linotype"/>
                <w:b/>
                <w:color w:val="231F20"/>
                <w:sz w:val="17"/>
              </w:rPr>
              <w:t>69.2%</w:t>
            </w:r>
          </w:p>
        </w:tc>
        <w:tc>
          <w:tcPr>
            <w:tcW w:w="1008" w:type="dxa"/>
          </w:tcPr>
          <w:p>
            <w:pPr>
              <w:pStyle w:val="TableParagraph"/>
              <w:spacing w:line="224" w:lineRule="exact"/>
              <w:ind w:left="259" w:right="259"/>
              <w:jc w:val="center"/>
              <w:rPr>
                <w:rFonts w:ascii="Palatino Linotype"/>
                <w:b/>
                <w:sz w:val="17"/>
              </w:rPr>
            </w:pPr>
            <w:r>
              <w:rPr>
                <w:rFonts w:ascii="Palatino Linotype"/>
                <w:b/>
                <w:color w:val="231F20"/>
                <w:sz w:val="17"/>
              </w:rPr>
              <w:t>17%</w:t>
            </w:r>
          </w:p>
        </w:tc>
        <w:tc>
          <w:tcPr>
            <w:tcW w:w="946" w:type="dxa"/>
          </w:tcPr>
          <w:p>
            <w:pPr>
              <w:pStyle w:val="TableParagraph"/>
              <w:spacing w:line="224" w:lineRule="exact"/>
              <w:ind w:left="0" w:right="270"/>
              <w:jc w:val="right"/>
              <w:rPr>
                <w:rFonts w:ascii="Palatino Linotype"/>
                <w:b/>
                <w:sz w:val="17"/>
              </w:rPr>
            </w:pPr>
            <w:r>
              <w:rPr>
                <w:rFonts w:ascii="Palatino Linotype"/>
                <w:b/>
                <w:color w:val="231F20"/>
                <w:w w:val="95"/>
                <w:sz w:val="17"/>
              </w:rPr>
              <w:t>100%</w:t>
            </w:r>
          </w:p>
        </w:tc>
      </w:tr>
    </w:tbl>
    <w:p>
      <w:pPr>
        <w:pStyle w:val="BodyText"/>
        <w:rPr>
          <w:rFonts w:ascii="Palatino Linotype"/>
          <w:b/>
          <w:sz w:val="20"/>
        </w:rPr>
      </w:pPr>
    </w:p>
    <w:p>
      <w:pPr>
        <w:pStyle w:val="BodyText"/>
        <w:spacing w:before="2"/>
        <w:rPr>
          <w:rFonts w:ascii="Palatino Linotype"/>
          <w:b/>
        </w:rPr>
      </w:pPr>
    </w:p>
    <w:p>
      <w:pPr>
        <w:pStyle w:val="BodyText"/>
        <w:spacing w:line="247" w:lineRule="auto" w:before="69"/>
        <w:ind w:left="122" w:right="115" w:firstLine="284"/>
        <w:jc w:val="both"/>
      </w:pPr>
      <w:r>
        <w:rPr>
          <w:color w:val="231F20"/>
        </w:rPr>
        <w:t>En el acoso psicológico en el trabajo se registra una clasifica- ción alta con 33.3% en el divorciado, 8.1% en el casado; véase la Tabla 9.</w:t>
      </w:r>
    </w:p>
    <w:p>
      <w:pPr>
        <w:spacing w:after="0" w:line="247" w:lineRule="auto"/>
        <w:jc w:val="both"/>
        <w:sectPr>
          <w:headerReference w:type="default" r:id="rId982"/>
          <w:footerReference w:type="default" r:id="rId983"/>
          <w:pgSz w:w="7830" w:h="11910"/>
          <w:pgMar w:header="0" w:footer="424" w:top="500" w:bottom="620" w:left="900" w:right="900"/>
          <w:pgNumType w:start="448"/>
        </w:sectPr>
      </w:pPr>
    </w:p>
    <w:p>
      <w:pPr>
        <w:spacing w:before="46"/>
        <w:ind w:left="102" w:right="116" w:firstLine="0"/>
        <w:jc w:val="center"/>
        <w:rPr>
          <w:sz w:val="13"/>
        </w:rPr>
      </w:pPr>
      <w:r>
        <w:rPr>
          <w:color w:val="231F20"/>
          <w:sz w:val="16"/>
        </w:rPr>
        <w:t>E</w:t>
      </w:r>
      <w:r>
        <w:rPr>
          <w:color w:val="231F20"/>
          <w:sz w:val="13"/>
        </w:rPr>
        <w:t>STUDIOS SOBRE VIOLENCIA EN LA EDUCACIÓN</w:t>
      </w:r>
    </w:p>
    <w:p>
      <w:pPr>
        <w:pStyle w:val="BodyText"/>
        <w:rPr>
          <w:sz w:val="16"/>
        </w:rPr>
      </w:pPr>
    </w:p>
    <w:p>
      <w:pPr>
        <w:pStyle w:val="BodyText"/>
        <w:spacing w:before="8"/>
        <w:rPr>
          <w:sz w:val="23"/>
        </w:rPr>
      </w:pPr>
    </w:p>
    <w:p>
      <w:pPr>
        <w:spacing w:before="0"/>
        <w:ind w:left="102" w:right="116" w:firstLine="0"/>
        <w:jc w:val="center"/>
        <w:rPr>
          <w:rFonts w:ascii="Palatino Linotype" w:hAnsi="Palatino Linotype"/>
          <w:b/>
          <w:sz w:val="19"/>
        </w:rPr>
      </w:pPr>
      <w:r>
        <w:rPr>
          <w:rFonts w:ascii="Palatino Linotype" w:hAnsi="Palatino Linotype"/>
          <w:b/>
          <w:color w:val="231F20"/>
          <w:sz w:val="19"/>
        </w:rPr>
        <w:t>Tabla 9. Estado civil y acoso psicológico en el trabajo</w:t>
      </w:r>
    </w:p>
    <w:p>
      <w:pPr>
        <w:pStyle w:val="BodyText"/>
        <w:spacing w:before="3"/>
        <w:rPr>
          <w:rFonts w:ascii="Palatino Linotype"/>
          <w:b/>
          <w:sz w:val="8"/>
        </w:rPr>
      </w:pPr>
    </w:p>
    <w:tbl>
      <w:tblPr>
        <w:tblW w:w="0" w:type="auto"/>
        <w:jc w:val="left"/>
        <w:tblInd w:w="26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56"/>
        <w:gridCol w:w="955"/>
        <w:gridCol w:w="1008"/>
        <w:gridCol w:w="946"/>
        <w:gridCol w:w="893"/>
      </w:tblGrid>
      <w:tr>
        <w:trPr>
          <w:trHeight w:val="379" w:hRule="exact"/>
        </w:trPr>
        <w:tc>
          <w:tcPr>
            <w:tcW w:w="1656" w:type="dxa"/>
            <w:vMerge w:val="restart"/>
          </w:tcPr>
          <w:p>
            <w:pPr>
              <w:pStyle w:val="TableParagraph"/>
              <w:spacing w:before="2"/>
              <w:ind w:left="0"/>
              <w:rPr>
                <w:rFonts w:ascii="Palatino Linotype"/>
                <w:b/>
                <w:sz w:val="19"/>
              </w:rPr>
            </w:pPr>
          </w:p>
          <w:p>
            <w:pPr>
              <w:pStyle w:val="TableParagraph"/>
              <w:ind w:left="352"/>
              <w:rPr>
                <w:rFonts w:ascii="Palatino Linotype"/>
                <w:b/>
                <w:sz w:val="17"/>
              </w:rPr>
            </w:pPr>
            <w:r>
              <w:rPr>
                <w:rFonts w:ascii="Palatino Linotype"/>
                <w:b/>
                <w:color w:val="231F20"/>
                <w:sz w:val="17"/>
              </w:rPr>
              <w:t>Estado Civil</w:t>
            </w:r>
          </w:p>
        </w:tc>
        <w:tc>
          <w:tcPr>
            <w:tcW w:w="2909" w:type="dxa"/>
            <w:gridSpan w:val="3"/>
          </w:tcPr>
          <w:p>
            <w:pPr>
              <w:pStyle w:val="TableParagraph"/>
              <w:spacing w:before="71"/>
              <w:ind w:left="716"/>
              <w:rPr>
                <w:rFonts w:ascii="Palatino Linotype" w:hAnsi="Palatino Linotype"/>
                <w:b/>
                <w:sz w:val="17"/>
              </w:rPr>
            </w:pPr>
            <w:r>
              <w:rPr>
                <w:rFonts w:ascii="Palatino Linotype" w:hAnsi="Palatino Linotype"/>
                <w:b/>
                <w:color w:val="231F20"/>
                <w:sz w:val="17"/>
              </w:rPr>
              <w:t>Clasificación acoso</w:t>
            </w:r>
          </w:p>
        </w:tc>
        <w:tc>
          <w:tcPr>
            <w:tcW w:w="893" w:type="dxa"/>
            <w:vMerge w:val="restart"/>
          </w:tcPr>
          <w:p>
            <w:pPr>
              <w:pStyle w:val="TableParagraph"/>
              <w:spacing w:before="2"/>
              <w:ind w:left="0"/>
              <w:rPr>
                <w:rFonts w:ascii="Palatino Linotype"/>
                <w:b/>
                <w:sz w:val="19"/>
              </w:rPr>
            </w:pPr>
          </w:p>
          <w:p>
            <w:pPr>
              <w:pStyle w:val="TableParagraph"/>
              <w:ind w:left="237"/>
              <w:rPr>
                <w:rFonts w:ascii="Palatino Linotype"/>
                <w:b/>
                <w:sz w:val="17"/>
              </w:rPr>
            </w:pPr>
            <w:r>
              <w:rPr>
                <w:rFonts w:ascii="Palatino Linotype"/>
                <w:b/>
                <w:color w:val="231F20"/>
                <w:sz w:val="17"/>
              </w:rPr>
              <w:t>Total</w:t>
            </w:r>
          </w:p>
        </w:tc>
      </w:tr>
      <w:tr>
        <w:trPr>
          <w:trHeight w:val="374" w:hRule="exact"/>
        </w:trPr>
        <w:tc>
          <w:tcPr>
            <w:tcW w:w="1656" w:type="dxa"/>
            <w:vMerge/>
          </w:tcPr>
          <w:p>
            <w:pPr/>
          </w:p>
        </w:tc>
        <w:tc>
          <w:tcPr>
            <w:tcW w:w="955" w:type="dxa"/>
          </w:tcPr>
          <w:p>
            <w:pPr>
              <w:pStyle w:val="TableParagraph"/>
              <w:spacing w:before="66"/>
              <w:ind w:left="227" w:right="228"/>
              <w:jc w:val="center"/>
              <w:rPr>
                <w:rFonts w:ascii="Palatino Linotype"/>
                <w:b/>
                <w:sz w:val="17"/>
              </w:rPr>
            </w:pPr>
            <w:r>
              <w:rPr>
                <w:rFonts w:ascii="Palatino Linotype"/>
                <w:b/>
                <w:color w:val="231F20"/>
                <w:sz w:val="17"/>
              </w:rPr>
              <w:t>Nula</w:t>
            </w:r>
          </w:p>
        </w:tc>
        <w:tc>
          <w:tcPr>
            <w:tcW w:w="1008" w:type="dxa"/>
          </w:tcPr>
          <w:p>
            <w:pPr>
              <w:pStyle w:val="TableParagraph"/>
              <w:spacing w:before="66"/>
              <w:ind w:left="216" w:right="218"/>
              <w:jc w:val="center"/>
              <w:rPr>
                <w:rFonts w:ascii="Palatino Linotype"/>
                <w:b/>
                <w:sz w:val="17"/>
              </w:rPr>
            </w:pPr>
            <w:r>
              <w:rPr>
                <w:rFonts w:ascii="Palatino Linotype"/>
                <w:b/>
                <w:color w:val="231F20"/>
                <w:sz w:val="17"/>
              </w:rPr>
              <w:t>Media</w:t>
            </w:r>
          </w:p>
        </w:tc>
        <w:tc>
          <w:tcPr>
            <w:tcW w:w="946" w:type="dxa"/>
          </w:tcPr>
          <w:p>
            <w:pPr>
              <w:pStyle w:val="TableParagraph"/>
              <w:spacing w:before="66"/>
              <w:ind w:left="311"/>
              <w:rPr>
                <w:rFonts w:ascii="Palatino Linotype"/>
                <w:b/>
                <w:sz w:val="17"/>
              </w:rPr>
            </w:pPr>
            <w:r>
              <w:rPr>
                <w:rFonts w:ascii="Palatino Linotype"/>
                <w:b/>
                <w:color w:val="231F20"/>
                <w:sz w:val="17"/>
              </w:rPr>
              <w:t>Alta</w:t>
            </w:r>
          </w:p>
        </w:tc>
        <w:tc>
          <w:tcPr>
            <w:tcW w:w="893" w:type="dxa"/>
            <w:vMerge/>
          </w:tcPr>
          <w:p>
            <w:pPr/>
          </w:p>
        </w:tc>
      </w:tr>
      <w:tr>
        <w:trPr>
          <w:trHeight w:val="394" w:hRule="exact"/>
        </w:trPr>
        <w:tc>
          <w:tcPr>
            <w:tcW w:w="1656" w:type="dxa"/>
          </w:tcPr>
          <w:p>
            <w:pPr>
              <w:pStyle w:val="TableParagraph"/>
              <w:spacing w:before="95"/>
              <w:ind w:left="412" w:right="415"/>
              <w:jc w:val="center"/>
              <w:rPr>
                <w:sz w:val="17"/>
              </w:rPr>
            </w:pPr>
            <w:r>
              <w:rPr>
                <w:color w:val="231F20"/>
                <w:sz w:val="17"/>
              </w:rPr>
              <w:t>Soltero</w:t>
            </w:r>
          </w:p>
        </w:tc>
        <w:tc>
          <w:tcPr>
            <w:tcW w:w="955" w:type="dxa"/>
          </w:tcPr>
          <w:p>
            <w:pPr>
              <w:pStyle w:val="TableParagraph"/>
              <w:spacing w:before="95"/>
              <w:ind w:left="227" w:right="228"/>
              <w:jc w:val="center"/>
              <w:rPr>
                <w:sz w:val="17"/>
              </w:rPr>
            </w:pPr>
            <w:r>
              <w:rPr>
                <w:color w:val="231F20"/>
                <w:sz w:val="17"/>
              </w:rPr>
              <w:t>90.4%</w:t>
            </w:r>
          </w:p>
        </w:tc>
        <w:tc>
          <w:tcPr>
            <w:tcW w:w="1008" w:type="dxa"/>
          </w:tcPr>
          <w:p>
            <w:pPr>
              <w:pStyle w:val="TableParagraph"/>
              <w:spacing w:before="95"/>
              <w:ind w:left="216" w:right="218"/>
              <w:jc w:val="center"/>
              <w:rPr>
                <w:sz w:val="17"/>
              </w:rPr>
            </w:pPr>
            <w:r>
              <w:rPr>
                <w:color w:val="231F20"/>
                <w:sz w:val="17"/>
              </w:rPr>
              <w:t>9.6%</w:t>
            </w:r>
          </w:p>
        </w:tc>
        <w:tc>
          <w:tcPr>
            <w:tcW w:w="946" w:type="dxa"/>
          </w:tcPr>
          <w:p>
            <w:pPr>
              <w:pStyle w:val="TableParagraph"/>
              <w:spacing w:before="95"/>
              <w:ind w:left="332" w:right="337"/>
              <w:jc w:val="center"/>
              <w:rPr>
                <w:sz w:val="17"/>
              </w:rPr>
            </w:pPr>
            <w:r>
              <w:rPr>
                <w:color w:val="231F20"/>
                <w:sz w:val="17"/>
              </w:rPr>
              <w:t>0%</w:t>
            </w:r>
          </w:p>
        </w:tc>
        <w:tc>
          <w:tcPr>
            <w:tcW w:w="893" w:type="dxa"/>
          </w:tcPr>
          <w:p>
            <w:pPr>
              <w:pStyle w:val="TableParagraph"/>
              <w:spacing w:before="95"/>
              <w:ind w:left="217" w:right="218"/>
              <w:jc w:val="center"/>
              <w:rPr>
                <w:sz w:val="17"/>
              </w:rPr>
            </w:pPr>
            <w:r>
              <w:rPr>
                <w:color w:val="231F20"/>
                <w:sz w:val="17"/>
              </w:rPr>
              <w:t>100%</w:t>
            </w:r>
          </w:p>
        </w:tc>
      </w:tr>
      <w:tr>
        <w:trPr>
          <w:trHeight w:val="374" w:hRule="exact"/>
        </w:trPr>
        <w:tc>
          <w:tcPr>
            <w:tcW w:w="1656" w:type="dxa"/>
          </w:tcPr>
          <w:p>
            <w:pPr>
              <w:pStyle w:val="TableParagraph"/>
              <w:spacing w:before="86"/>
              <w:ind w:left="412" w:right="415"/>
              <w:jc w:val="center"/>
              <w:rPr>
                <w:sz w:val="17"/>
              </w:rPr>
            </w:pPr>
            <w:r>
              <w:rPr>
                <w:color w:val="231F20"/>
                <w:sz w:val="17"/>
              </w:rPr>
              <w:t>Casado</w:t>
            </w:r>
          </w:p>
        </w:tc>
        <w:tc>
          <w:tcPr>
            <w:tcW w:w="955" w:type="dxa"/>
          </w:tcPr>
          <w:p>
            <w:pPr>
              <w:pStyle w:val="TableParagraph"/>
              <w:spacing w:before="86"/>
              <w:ind w:left="225" w:right="228"/>
              <w:jc w:val="center"/>
              <w:rPr>
                <w:sz w:val="17"/>
              </w:rPr>
            </w:pPr>
            <w:r>
              <w:rPr>
                <w:color w:val="231F20"/>
                <w:sz w:val="17"/>
              </w:rPr>
              <w:t>91.9%</w:t>
            </w:r>
          </w:p>
        </w:tc>
        <w:tc>
          <w:tcPr>
            <w:tcW w:w="1008" w:type="dxa"/>
          </w:tcPr>
          <w:p>
            <w:pPr>
              <w:pStyle w:val="TableParagraph"/>
              <w:spacing w:before="86"/>
              <w:ind w:left="216" w:right="218"/>
              <w:jc w:val="center"/>
              <w:rPr>
                <w:sz w:val="17"/>
              </w:rPr>
            </w:pPr>
            <w:r>
              <w:rPr>
                <w:color w:val="231F20"/>
                <w:sz w:val="17"/>
              </w:rPr>
              <w:t>0%</w:t>
            </w:r>
          </w:p>
        </w:tc>
        <w:tc>
          <w:tcPr>
            <w:tcW w:w="946" w:type="dxa"/>
          </w:tcPr>
          <w:p>
            <w:pPr>
              <w:pStyle w:val="TableParagraph"/>
              <w:spacing w:before="86"/>
              <w:ind w:left="0" w:right="293"/>
              <w:jc w:val="right"/>
              <w:rPr>
                <w:sz w:val="17"/>
              </w:rPr>
            </w:pPr>
            <w:r>
              <w:rPr>
                <w:color w:val="231F20"/>
                <w:sz w:val="17"/>
              </w:rPr>
              <w:t>8.1%</w:t>
            </w:r>
          </w:p>
        </w:tc>
        <w:tc>
          <w:tcPr>
            <w:tcW w:w="893" w:type="dxa"/>
          </w:tcPr>
          <w:p>
            <w:pPr>
              <w:pStyle w:val="TableParagraph"/>
              <w:spacing w:before="86"/>
              <w:ind w:left="217" w:right="218"/>
              <w:jc w:val="center"/>
              <w:rPr>
                <w:sz w:val="17"/>
              </w:rPr>
            </w:pPr>
            <w:r>
              <w:rPr>
                <w:color w:val="231F20"/>
                <w:sz w:val="17"/>
              </w:rPr>
              <w:t>100%</w:t>
            </w:r>
          </w:p>
        </w:tc>
      </w:tr>
      <w:tr>
        <w:trPr>
          <w:trHeight w:val="379" w:hRule="exact"/>
        </w:trPr>
        <w:tc>
          <w:tcPr>
            <w:tcW w:w="1656" w:type="dxa"/>
          </w:tcPr>
          <w:p>
            <w:pPr>
              <w:pStyle w:val="TableParagraph"/>
              <w:spacing w:before="86"/>
              <w:ind w:left="412" w:right="415"/>
              <w:jc w:val="center"/>
              <w:rPr>
                <w:sz w:val="17"/>
              </w:rPr>
            </w:pPr>
            <w:r>
              <w:rPr>
                <w:color w:val="231F20"/>
                <w:sz w:val="17"/>
              </w:rPr>
              <w:t>Unión libre</w:t>
            </w:r>
          </w:p>
        </w:tc>
        <w:tc>
          <w:tcPr>
            <w:tcW w:w="955" w:type="dxa"/>
          </w:tcPr>
          <w:p>
            <w:pPr>
              <w:pStyle w:val="TableParagraph"/>
              <w:spacing w:before="86"/>
              <w:ind w:left="227" w:right="228"/>
              <w:jc w:val="center"/>
              <w:rPr>
                <w:sz w:val="17"/>
              </w:rPr>
            </w:pPr>
            <w:r>
              <w:rPr>
                <w:color w:val="231F20"/>
                <w:sz w:val="17"/>
              </w:rPr>
              <w:t>100%</w:t>
            </w:r>
          </w:p>
        </w:tc>
        <w:tc>
          <w:tcPr>
            <w:tcW w:w="1008" w:type="dxa"/>
          </w:tcPr>
          <w:p>
            <w:pPr>
              <w:pStyle w:val="TableParagraph"/>
              <w:spacing w:before="86"/>
              <w:ind w:left="216" w:right="218"/>
              <w:jc w:val="center"/>
              <w:rPr>
                <w:sz w:val="17"/>
              </w:rPr>
            </w:pPr>
            <w:r>
              <w:rPr>
                <w:color w:val="231F20"/>
                <w:sz w:val="17"/>
              </w:rPr>
              <w:t>0%</w:t>
            </w:r>
          </w:p>
        </w:tc>
        <w:tc>
          <w:tcPr>
            <w:tcW w:w="946" w:type="dxa"/>
          </w:tcPr>
          <w:p>
            <w:pPr>
              <w:pStyle w:val="TableParagraph"/>
              <w:spacing w:before="86"/>
              <w:ind w:left="332" w:right="337"/>
              <w:jc w:val="center"/>
              <w:rPr>
                <w:sz w:val="17"/>
              </w:rPr>
            </w:pPr>
            <w:r>
              <w:rPr>
                <w:color w:val="231F20"/>
                <w:sz w:val="17"/>
              </w:rPr>
              <w:t>0%</w:t>
            </w:r>
          </w:p>
        </w:tc>
        <w:tc>
          <w:tcPr>
            <w:tcW w:w="893" w:type="dxa"/>
          </w:tcPr>
          <w:p>
            <w:pPr>
              <w:pStyle w:val="TableParagraph"/>
              <w:spacing w:before="86"/>
              <w:ind w:left="217" w:right="218"/>
              <w:jc w:val="center"/>
              <w:rPr>
                <w:sz w:val="17"/>
              </w:rPr>
            </w:pPr>
            <w:r>
              <w:rPr>
                <w:color w:val="231F20"/>
                <w:sz w:val="17"/>
              </w:rPr>
              <w:t>100%</w:t>
            </w:r>
          </w:p>
        </w:tc>
      </w:tr>
      <w:tr>
        <w:trPr>
          <w:trHeight w:val="374" w:hRule="exact"/>
        </w:trPr>
        <w:tc>
          <w:tcPr>
            <w:tcW w:w="1656" w:type="dxa"/>
          </w:tcPr>
          <w:p>
            <w:pPr>
              <w:pStyle w:val="TableParagraph"/>
              <w:spacing w:before="86"/>
              <w:ind w:left="412" w:right="415"/>
              <w:jc w:val="center"/>
              <w:rPr>
                <w:sz w:val="17"/>
              </w:rPr>
            </w:pPr>
            <w:r>
              <w:rPr>
                <w:color w:val="231F20"/>
                <w:sz w:val="17"/>
              </w:rPr>
              <w:t>Divorciado</w:t>
            </w:r>
          </w:p>
        </w:tc>
        <w:tc>
          <w:tcPr>
            <w:tcW w:w="955" w:type="dxa"/>
          </w:tcPr>
          <w:p>
            <w:pPr>
              <w:pStyle w:val="TableParagraph"/>
              <w:spacing w:before="86"/>
              <w:ind w:left="227" w:right="228"/>
              <w:jc w:val="center"/>
              <w:rPr>
                <w:sz w:val="17"/>
              </w:rPr>
            </w:pPr>
            <w:r>
              <w:rPr>
                <w:color w:val="231F20"/>
                <w:sz w:val="17"/>
              </w:rPr>
              <w:t>0%</w:t>
            </w:r>
          </w:p>
        </w:tc>
        <w:tc>
          <w:tcPr>
            <w:tcW w:w="1008" w:type="dxa"/>
          </w:tcPr>
          <w:p>
            <w:pPr>
              <w:pStyle w:val="TableParagraph"/>
              <w:spacing w:before="86"/>
              <w:ind w:left="216" w:right="218"/>
              <w:jc w:val="center"/>
              <w:rPr>
                <w:sz w:val="17"/>
              </w:rPr>
            </w:pPr>
            <w:r>
              <w:rPr>
                <w:color w:val="231F20"/>
                <w:sz w:val="17"/>
              </w:rPr>
              <w:t>66.7%</w:t>
            </w:r>
          </w:p>
        </w:tc>
        <w:tc>
          <w:tcPr>
            <w:tcW w:w="946" w:type="dxa"/>
          </w:tcPr>
          <w:p>
            <w:pPr>
              <w:pStyle w:val="TableParagraph"/>
              <w:spacing w:before="86"/>
              <w:ind w:left="0" w:right="249"/>
              <w:jc w:val="right"/>
              <w:rPr>
                <w:sz w:val="17"/>
              </w:rPr>
            </w:pPr>
            <w:r>
              <w:rPr>
                <w:color w:val="231F20"/>
                <w:w w:val="95"/>
                <w:sz w:val="17"/>
              </w:rPr>
              <w:t>33.3%</w:t>
            </w:r>
          </w:p>
        </w:tc>
        <w:tc>
          <w:tcPr>
            <w:tcW w:w="893" w:type="dxa"/>
          </w:tcPr>
          <w:p>
            <w:pPr>
              <w:pStyle w:val="TableParagraph"/>
              <w:spacing w:before="86"/>
              <w:ind w:left="217" w:right="218"/>
              <w:jc w:val="center"/>
              <w:rPr>
                <w:sz w:val="17"/>
              </w:rPr>
            </w:pPr>
            <w:r>
              <w:rPr>
                <w:color w:val="231F20"/>
                <w:sz w:val="17"/>
              </w:rPr>
              <w:t>100%</w:t>
            </w:r>
          </w:p>
        </w:tc>
      </w:tr>
      <w:tr>
        <w:trPr>
          <w:trHeight w:val="379" w:hRule="exact"/>
        </w:trPr>
        <w:tc>
          <w:tcPr>
            <w:tcW w:w="1656" w:type="dxa"/>
          </w:tcPr>
          <w:p>
            <w:pPr>
              <w:pStyle w:val="TableParagraph"/>
              <w:spacing w:before="71"/>
              <w:ind w:left="412" w:right="414"/>
              <w:jc w:val="center"/>
              <w:rPr>
                <w:rFonts w:ascii="Palatino Linotype"/>
                <w:b/>
                <w:sz w:val="17"/>
              </w:rPr>
            </w:pPr>
            <w:r>
              <w:rPr>
                <w:rFonts w:ascii="Palatino Linotype"/>
                <w:b/>
                <w:color w:val="231F20"/>
                <w:sz w:val="17"/>
              </w:rPr>
              <w:t>Total</w:t>
            </w:r>
          </w:p>
        </w:tc>
        <w:tc>
          <w:tcPr>
            <w:tcW w:w="955" w:type="dxa"/>
          </w:tcPr>
          <w:p>
            <w:pPr>
              <w:pStyle w:val="TableParagraph"/>
              <w:spacing w:before="71"/>
              <w:ind w:left="227" w:right="228"/>
              <w:jc w:val="center"/>
              <w:rPr>
                <w:rFonts w:ascii="Palatino Linotype"/>
                <w:b/>
                <w:sz w:val="17"/>
              </w:rPr>
            </w:pPr>
            <w:r>
              <w:rPr>
                <w:rFonts w:ascii="Palatino Linotype"/>
                <w:b/>
                <w:color w:val="231F20"/>
                <w:sz w:val="17"/>
              </w:rPr>
              <w:t>87.8%</w:t>
            </w:r>
          </w:p>
        </w:tc>
        <w:tc>
          <w:tcPr>
            <w:tcW w:w="1008" w:type="dxa"/>
          </w:tcPr>
          <w:p>
            <w:pPr>
              <w:pStyle w:val="TableParagraph"/>
              <w:spacing w:before="71"/>
              <w:ind w:left="216" w:right="218"/>
              <w:jc w:val="center"/>
              <w:rPr>
                <w:rFonts w:ascii="Palatino Linotype"/>
                <w:b/>
                <w:sz w:val="17"/>
              </w:rPr>
            </w:pPr>
            <w:r>
              <w:rPr>
                <w:rFonts w:ascii="Palatino Linotype"/>
                <w:b/>
                <w:color w:val="231F20"/>
                <w:sz w:val="17"/>
              </w:rPr>
              <w:t>6.15%</w:t>
            </w:r>
          </w:p>
        </w:tc>
        <w:tc>
          <w:tcPr>
            <w:tcW w:w="946" w:type="dxa"/>
          </w:tcPr>
          <w:p>
            <w:pPr>
              <w:pStyle w:val="TableParagraph"/>
              <w:spacing w:before="71"/>
              <w:ind w:left="0" w:right="251"/>
              <w:jc w:val="right"/>
              <w:rPr>
                <w:rFonts w:ascii="Palatino Linotype"/>
                <w:b/>
                <w:sz w:val="17"/>
              </w:rPr>
            </w:pPr>
            <w:r>
              <w:rPr>
                <w:rFonts w:ascii="Palatino Linotype"/>
                <w:b/>
                <w:color w:val="231F20"/>
                <w:w w:val="95"/>
                <w:sz w:val="17"/>
              </w:rPr>
              <w:t>6.15%</w:t>
            </w:r>
          </w:p>
        </w:tc>
        <w:tc>
          <w:tcPr>
            <w:tcW w:w="893" w:type="dxa"/>
          </w:tcPr>
          <w:p>
            <w:pPr>
              <w:pStyle w:val="TableParagraph"/>
              <w:spacing w:before="71"/>
              <w:ind w:left="217" w:right="219"/>
              <w:jc w:val="center"/>
              <w:rPr>
                <w:rFonts w:ascii="Palatino Linotype"/>
                <w:b/>
                <w:sz w:val="17"/>
              </w:rPr>
            </w:pPr>
            <w:r>
              <w:rPr>
                <w:rFonts w:ascii="Palatino Linotype"/>
                <w:b/>
                <w:color w:val="231F20"/>
                <w:sz w:val="17"/>
              </w:rPr>
              <w:t>100%</w:t>
            </w:r>
          </w:p>
        </w:tc>
      </w:tr>
    </w:tbl>
    <w:p>
      <w:pPr>
        <w:pStyle w:val="BodyText"/>
        <w:rPr>
          <w:rFonts w:ascii="Palatino Linotype"/>
          <w:b/>
          <w:sz w:val="20"/>
        </w:rPr>
      </w:pPr>
    </w:p>
    <w:p>
      <w:pPr>
        <w:pStyle w:val="BodyText"/>
        <w:spacing w:before="5"/>
        <w:rPr>
          <w:rFonts w:ascii="Palatino Linotype"/>
          <w:b/>
          <w:sz w:val="17"/>
        </w:rPr>
      </w:pPr>
    </w:p>
    <w:p>
      <w:pPr>
        <w:pStyle w:val="BodyText"/>
        <w:ind w:left="102"/>
        <w:jc w:val="both"/>
      </w:pPr>
      <w:r>
        <w:rPr>
          <w:color w:val="231F20"/>
        </w:rPr>
        <w:t>DISCUSIÓN</w:t>
      </w:r>
    </w:p>
    <w:p>
      <w:pPr>
        <w:pStyle w:val="BodyText"/>
        <w:spacing w:before="1"/>
      </w:pPr>
    </w:p>
    <w:p>
      <w:pPr>
        <w:pStyle w:val="BodyText"/>
        <w:spacing w:line="247" w:lineRule="auto" w:before="1"/>
        <w:ind w:left="101" w:right="116"/>
        <w:jc w:val="both"/>
      </w:pPr>
      <w:r>
        <w:rPr>
          <w:color w:val="231F20"/>
        </w:rPr>
        <w:t>De acuerdo al Inventario de Violencia y Acoso Psicológico en el Trabajo (IVAPT-Pando-Moreno) el personal docente manifiesta la presencia de violencia psicológica en una sumatoria media y alta del 87.7%. En cuanto a la intensidad de la violencia psicológica, el por- centaje en sumatoria media y alta es del 86.1%; el acoso psicológico en el trabajo en sumatoria media y alta es de 12.4%.</w:t>
      </w:r>
    </w:p>
    <w:p>
      <w:pPr>
        <w:pStyle w:val="BodyText"/>
        <w:spacing w:line="247" w:lineRule="auto" w:before="15"/>
        <w:ind w:left="101" w:right="119" w:firstLine="284"/>
        <w:jc w:val="both"/>
      </w:pPr>
      <w:r>
        <w:rPr>
          <w:color w:val="231F20"/>
        </w:rPr>
        <w:t>Estos hallazgos se acercan a los estudios realizados por Pando- Moreno y otros (2006) en donde las cifras reportadas son: Chile (12.5%9), España (9.9%), Venezuela (10.2%) y México (8.5%).</w:t>
      </w:r>
    </w:p>
    <w:p>
      <w:pPr>
        <w:pStyle w:val="BodyText"/>
        <w:spacing w:line="247" w:lineRule="auto" w:before="1"/>
        <w:ind w:left="101" w:right="119" w:firstLine="284"/>
        <w:jc w:val="both"/>
      </w:pPr>
      <w:r>
        <w:rPr>
          <w:color w:val="231F20"/>
        </w:rPr>
        <w:t>González I. (2009) en un estudio realizado en una escuela pre- paratoria pública de México con una muestra de 91 profesores obtiene las siguientes cifras de acuerdo al IVAPT-Pando-Moreno: violencia psicológica entre media y alta 92.3%; intensidad de la violencia 74.7%; mientras que el acoso en sumatoria media y alta alcanza el 8.8%.</w:t>
      </w:r>
    </w:p>
    <w:p>
      <w:pPr>
        <w:pStyle w:val="BodyText"/>
        <w:spacing w:line="247" w:lineRule="auto" w:before="1"/>
        <w:ind w:left="102" w:right="115" w:firstLine="283"/>
        <w:jc w:val="both"/>
        <w:rPr>
          <w:i/>
        </w:rPr>
      </w:pPr>
      <w:r>
        <w:rPr>
          <w:color w:val="231F20"/>
        </w:rPr>
        <w:t>Lindroth y Leymann (1993 citados por Di Martino,V. y otros 2003) dan cuenta de 230 profesoras de enfermería entre las que el 6% refiere que sufre </w:t>
      </w:r>
      <w:r>
        <w:rPr>
          <w:i/>
          <w:color w:val="231F20"/>
        </w:rPr>
        <w:t>mobbing.</w:t>
      </w:r>
    </w:p>
    <w:p>
      <w:pPr>
        <w:pStyle w:val="BodyText"/>
        <w:spacing w:line="247" w:lineRule="auto" w:before="6"/>
        <w:ind w:left="102" w:right="115" w:firstLine="284"/>
        <w:jc w:val="both"/>
      </w:pPr>
      <w:r>
        <w:rPr>
          <w:color w:val="231F20"/>
        </w:rPr>
        <w:t>Con respecto a la asociación del acoso psicológico en el traba- jo, la violencia psicológica en general y la intensidad de la violen- cia con las variables sociodemográficas sí existe asociación signifi- cativa con el estado civil. El divorciado presenta un alto porcenta- je con referencia al acoso psicológico (33.3%), la intensidad de   la</w:t>
      </w:r>
    </w:p>
    <w:p>
      <w:pPr>
        <w:spacing w:after="0" w:line="247" w:lineRule="auto"/>
        <w:jc w:val="both"/>
        <w:sectPr>
          <w:headerReference w:type="default" r:id="rId984"/>
          <w:footerReference w:type="default" r:id="rId985"/>
          <w:pgSz w:w="7830" w:h="11910"/>
          <w:pgMar w:header="0" w:footer="424" w:top="500" w:bottom="620" w:left="920" w:right="900"/>
          <w:pgNumType w:start="449"/>
        </w:sectPr>
      </w:pPr>
    </w:p>
    <w:p>
      <w:pPr>
        <w:spacing w:before="46"/>
        <w:ind w:left="596" w:right="121"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rPr>
          <w:sz w:val="16"/>
        </w:rPr>
      </w:pPr>
    </w:p>
    <w:p>
      <w:pPr>
        <w:pStyle w:val="BodyText"/>
        <w:spacing w:line="247" w:lineRule="auto" w:before="92"/>
        <w:ind w:left="102" w:right="114"/>
        <w:jc w:val="both"/>
      </w:pPr>
      <w:r>
        <w:rPr>
          <w:color w:val="231F20"/>
        </w:rPr>
        <w:t>violencia en 66.7% y presencia de violencia psicológica en un 100%.</w:t>
      </w:r>
    </w:p>
    <w:p>
      <w:pPr>
        <w:pStyle w:val="BodyText"/>
        <w:spacing w:line="249" w:lineRule="auto" w:before="1"/>
        <w:ind w:left="101" w:right="115" w:firstLine="284"/>
        <w:jc w:val="both"/>
      </w:pPr>
      <w:r>
        <w:rPr>
          <w:color w:val="231F20"/>
          <w:spacing w:val="2"/>
        </w:rPr>
        <w:t>Los estudios sobre acoso psicológico </w:t>
      </w:r>
      <w:r>
        <w:rPr>
          <w:color w:val="231F20"/>
        </w:rPr>
        <w:t>y su </w:t>
      </w:r>
      <w:r>
        <w:rPr>
          <w:color w:val="231F20"/>
          <w:spacing w:val="2"/>
        </w:rPr>
        <w:t>asociación </w:t>
      </w:r>
      <w:r>
        <w:rPr>
          <w:color w:val="231F20"/>
        </w:rPr>
        <w:t>con </w:t>
      </w:r>
      <w:r>
        <w:rPr>
          <w:color w:val="231F20"/>
          <w:spacing w:val="3"/>
        </w:rPr>
        <w:t>esta- </w:t>
      </w:r>
      <w:r>
        <w:rPr>
          <w:color w:val="231F20"/>
        </w:rPr>
        <w:t>do civil </w:t>
      </w:r>
      <w:r>
        <w:rPr>
          <w:color w:val="231F20"/>
          <w:spacing w:val="2"/>
        </w:rPr>
        <w:t>son escasos </w:t>
      </w:r>
      <w:r>
        <w:rPr>
          <w:color w:val="231F20"/>
          <w:spacing w:val="3"/>
        </w:rPr>
        <w:t>(Pando-Moreno </w:t>
      </w:r>
      <w:r>
        <w:rPr>
          <w:color w:val="231F20"/>
        </w:rPr>
        <w:t>y, </w:t>
      </w:r>
      <w:r>
        <w:rPr>
          <w:color w:val="231F20"/>
          <w:spacing w:val="3"/>
        </w:rPr>
        <w:t>Aranda-Beltrán,  2007) </w:t>
      </w:r>
      <w:r>
        <w:rPr>
          <w:color w:val="231F20"/>
          <w:spacing w:val="2"/>
        </w:rPr>
        <w:t>pero los viudos </w:t>
      </w:r>
      <w:r>
        <w:rPr>
          <w:color w:val="231F20"/>
        </w:rPr>
        <w:t>y </w:t>
      </w:r>
      <w:r>
        <w:rPr>
          <w:color w:val="231F20"/>
          <w:spacing w:val="2"/>
        </w:rPr>
        <w:t>divorciados registran una presencia </w:t>
      </w:r>
      <w:r>
        <w:rPr>
          <w:color w:val="231F20"/>
        </w:rPr>
        <w:t>alta de </w:t>
      </w:r>
      <w:r>
        <w:rPr>
          <w:color w:val="231F20"/>
          <w:spacing w:val="3"/>
        </w:rPr>
        <w:t>vio- </w:t>
      </w:r>
      <w:r>
        <w:rPr>
          <w:color w:val="231F20"/>
          <w:spacing w:val="2"/>
        </w:rPr>
        <w:t>lencia psicológica. Sin </w:t>
      </w:r>
      <w:r>
        <w:rPr>
          <w:color w:val="231F20"/>
          <w:spacing w:val="3"/>
        </w:rPr>
        <w:t>embargo, </w:t>
      </w:r>
      <w:r>
        <w:rPr>
          <w:color w:val="231F20"/>
        </w:rPr>
        <w:t>en la </w:t>
      </w:r>
      <w:r>
        <w:rPr>
          <w:color w:val="231F20"/>
          <w:spacing w:val="2"/>
        </w:rPr>
        <w:t>intensidad </w:t>
      </w:r>
      <w:r>
        <w:rPr>
          <w:color w:val="231F20"/>
        </w:rPr>
        <w:t>y el </w:t>
      </w:r>
      <w:r>
        <w:rPr>
          <w:color w:val="231F20"/>
          <w:spacing w:val="2"/>
        </w:rPr>
        <w:t>acoso </w:t>
      </w:r>
      <w:r>
        <w:rPr>
          <w:color w:val="231F20"/>
          <w:spacing w:val="3"/>
        </w:rPr>
        <w:t>psico- </w:t>
      </w:r>
      <w:r>
        <w:rPr>
          <w:color w:val="231F20"/>
          <w:spacing w:val="2"/>
        </w:rPr>
        <w:t>lógico,</w:t>
      </w:r>
      <w:r>
        <w:rPr>
          <w:color w:val="231F20"/>
          <w:spacing w:val="-5"/>
        </w:rPr>
        <w:t> </w:t>
      </w:r>
      <w:r>
        <w:rPr>
          <w:color w:val="231F20"/>
          <w:spacing w:val="2"/>
        </w:rPr>
        <w:t>los</w:t>
      </w:r>
      <w:r>
        <w:rPr>
          <w:color w:val="231F20"/>
          <w:spacing w:val="-5"/>
        </w:rPr>
        <w:t> </w:t>
      </w:r>
      <w:r>
        <w:rPr>
          <w:color w:val="231F20"/>
          <w:spacing w:val="2"/>
        </w:rPr>
        <w:t>casados</w:t>
      </w:r>
      <w:r>
        <w:rPr>
          <w:color w:val="231F20"/>
          <w:spacing w:val="-5"/>
        </w:rPr>
        <w:t> </w:t>
      </w:r>
      <w:r>
        <w:rPr>
          <w:color w:val="231F20"/>
          <w:spacing w:val="2"/>
        </w:rPr>
        <w:t>tienen</w:t>
      </w:r>
      <w:r>
        <w:rPr>
          <w:color w:val="231F20"/>
          <w:spacing w:val="-5"/>
        </w:rPr>
        <w:t> </w:t>
      </w:r>
      <w:r>
        <w:rPr>
          <w:color w:val="231F20"/>
        </w:rPr>
        <w:t>las</w:t>
      </w:r>
      <w:r>
        <w:rPr>
          <w:color w:val="231F20"/>
          <w:spacing w:val="-5"/>
        </w:rPr>
        <w:t> </w:t>
      </w:r>
      <w:r>
        <w:rPr>
          <w:color w:val="231F20"/>
          <w:spacing w:val="2"/>
        </w:rPr>
        <w:t>cifras</w:t>
      </w:r>
      <w:r>
        <w:rPr>
          <w:color w:val="231F20"/>
          <w:spacing w:val="-5"/>
        </w:rPr>
        <w:t> </w:t>
      </w:r>
      <w:r>
        <w:rPr>
          <w:color w:val="231F20"/>
          <w:spacing w:val="2"/>
        </w:rPr>
        <w:t>más</w:t>
      </w:r>
      <w:r>
        <w:rPr>
          <w:color w:val="231F20"/>
          <w:spacing w:val="-5"/>
        </w:rPr>
        <w:t> </w:t>
      </w:r>
      <w:r>
        <w:rPr>
          <w:color w:val="231F20"/>
          <w:spacing w:val="2"/>
        </w:rPr>
        <w:t>altas.</w:t>
      </w:r>
    </w:p>
    <w:p>
      <w:pPr>
        <w:pStyle w:val="BodyText"/>
        <w:spacing w:line="247" w:lineRule="auto"/>
        <w:ind w:left="101" w:right="115" w:firstLine="284"/>
        <w:jc w:val="both"/>
      </w:pPr>
      <w:r>
        <w:rPr>
          <w:color w:val="231F20"/>
        </w:rPr>
        <w:t>Se debe resaltar también el clima organizacional de la universi- dad en este estudio, porque las acciones que reportan los docentes contra su persona son de llamar la atención, ya que existen ata- ques a su reputación, exclusión de reuniones y toma de decisiones, el obstaculizar información que es necesaria para realizar su traba- jo, acusar de negligencia y de ser un mal trabajador, asignación de nuevas tareas y pocas oportunidades de capacitación.</w:t>
      </w:r>
    </w:p>
    <w:p>
      <w:pPr>
        <w:pStyle w:val="BodyText"/>
        <w:spacing w:before="9"/>
      </w:pPr>
    </w:p>
    <w:p>
      <w:pPr>
        <w:pStyle w:val="BodyText"/>
        <w:ind w:left="101"/>
        <w:jc w:val="both"/>
      </w:pPr>
      <w:r>
        <w:rPr>
          <w:color w:val="231F20"/>
          <w:w w:val="105"/>
        </w:rPr>
        <w:t>CONCLUSIONES</w:t>
      </w:r>
    </w:p>
    <w:p>
      <w:pPr>
        <w:pStyle w:val="BodyText"/>
        <w:spacing w:before="6"/>
      </w:pPr>
    </w:p>
    <w:p>
      <w:pPr>
        <w:pStyle w:val="BodyText"/>
        <w:spacing w:line="244" w:lineRule="auto"/>
        <w:ind w:left="101" w:right="116"/>
        <w:jc w:val="both"/>
      </w:pPr>
      <w:r>
        <w:rPr>
          <w:color w:val="231F20"/>
        </w:rPr>
        <w:t>De acuerdo a los resultados presentados se puede decir que el IVAPT-Pando-Moreno cada vez se aplica con mayor frecuencia en los espacios laborales, proporcionando un buen índice de confiabi- lidad y validez como ya se mencionó en el apartado de metodolo- gía. Sin embargo, es necesario realizar nuevas investigaciones que permitan contrastar con el mismo instrumento las diferentes cifras que se obtengan en un  futuro.</w:t>
      </w:r>
    </w:p>
    <w:p>
      <w:pPr>
        <w:pStyle w:val="BodyText"/>
        <w:spacing w:line="249" w:lineRule="auto" w:before="13"/>
        <w:ind w:left="101" w:right="116" w:firstLine="284"/>
        <w:jc w:val="both"/>
      </w:pPr>
      <w:r>
        <w:rPr>
          <w:color w:val="231F20"/>
        </w:rPr>
        <w:t>Por las acciones de acoso y violencia es imperioso reflexionar sobre el ambiente organizacional de los docentes. Es ineludible entonces tomar medidas de prevención porque las cifras reporta- das deben llamar nuestra atención. La profesión docente es ya considerada de alto riesgo ocupacional de acuerdo a investigacio- nes en otros países y en México.</w:t>
      </w:r>
    </w:p>
    <w:p>
      <w:pPr>
        <w:pStyle w:val="BodyText"/>
        <w:spacing w:line="247" w:lineRule="auto"/>
        <w:ind w:left="101" w:right="116" w:firstLine="284"/>
        <w:jc w:val="both"/>
      </w:pPr>
      <w:r>
        <w:rPr>
          <w:color w:val="231F20"/>
        </w:rPr>
        <w:t>Es </w:t>
      </w:r>
      <w:r>
        <w:rPr>
          <w:color w:val="231F20"/>
          <w:spacing w:val="2"/>
        </w:rPr>
        <w:t>necesario </w:t>
      </w:r>
      <w:r>
        <w:rPr>
          <w:color w:val="231F20"/>
          <w:spacing w:val="3"/>
        </w:rPr>
        <w:t>promover </w:t>
      </w:r>
      <w:r>
        <w:rPr>
          <w:color w:val="231F20"/>
          <w:spacing w:val="2"/>
        </w:rPr>
        <w:t>una cultura enfocada </w:t>
      </w:r>
      <w:r>
        <w:rPr>
          <w:color w:val="231F20"/>
        </w:rPr>
        <w:t>a la </w:t>
      </w:r>
      <w:r>
        <w:rPr>
          <w:color w:val="231F20"/>
          <w:spacing w:val="2"/>
        </w:rPr>
        <w:t>salud laboral   </w:t>
      </w:r>
      <w:r>
        <w:rPr>
          <w:color w:val="231F20"/>
        </w:rPr>
        <w:t>a </w:t>
      </w:r>
      <w:r>
        <w:rPr>
          <w:color w:val="231F20"/>
          <w:spacing w:val="2"/>
        </w:rPr>
        <w:t>través </w:t>
      </w:r>
      <w:r>
        <w:rPr>
          <w:color w:val="231F20"/>
        </w:rPr>
        <w:t>de </w:t>
      </w:r>
      <w:r>
        <w:rPr>
          <w:color w:val="231F20"/>
          <w:spacing w:val="2"/>
        </w:rPr>
        <w:t>diferentes </w:t>
      </w:r>
      <w:r>
        <w:rPr>
          <w:color w:val="231F20"/>
          <w:spacing w:val="3"/>
        </w:rPr>
        <w:t>medios </w:t>
      </w:r>
      <w:r>
        <w:rPr>
          <w:color w:val="231F20"/>
        </w:rPr>
        <w:t>de </w:t>
      </w:r>
      <w:r>
        <w:rPr>
          <w:color w:val="231F20"/>
          <w:spacing w:val="3"/>
        </w:rPr>
        <w:t>comunicación </w:t>
      </w:r>
      <w:r>
        <w:rPr>
          <w:color w:val="231F20"/>
        </w:rPr>
        <w:t>que </w:t>
      </w:r>
      <w:r>
        <w:rPr>
          <w:color w:val="231F20"/>
          <w:spacing w:val="2"/>
        </w:rPr>
        <w:t>están </w:t>
      </w:r>
      <w:r>
        <w:rPr>
          <w:color w:val="231F20"/>
        </w:rPr>
        <w:t>al </w:t>
      </w:r>
      <w:r>
        <w:rPr>
          <w:color w:val="231F20"/>
          <w:spacing w:val="3"/>
        </w:rPr>
        <w:t>alcan- </w:t>
      </w:r>
      <w:r>
        <w:rPr>
          <w:color w:val="231F20"/>
        </w:rPr>
        <w:t>ce de la </w:t>
      </w:r>
      <w:r>
        <w:rPr>
          <w:color w:val="231F20"/>
          <w:spacing w:val="3"/>
        </w:rPr>
        <w:t>comunidad </w:t>
      </w:r>
      <w:r>
        <w:rPr>
          <w:color w:val="231F20"/>
          <w:spacing w:val="2"/>
        </w:rPr>
        <w:t>universitaria, </w:t>
      </w:r>
      <w:r>
        <w:rPr>
          <w:color w:val="231F20"/>
          <w:spacing w:val="3"/>
        </w:rPr>
        <w:t>como puede </w:t>
      </w:r>
      <w:r>
        <w:rPr>
          <w:color w:val="231F20"/>
        </w:rPr>
        <w:t>ser la </w:t>
      </w:r>
      <w:r>
        <w:rPr>
          <w:color w:val="231F20"/>
          <w:spacing w:val="2"/>
        </w:rPr>
        <w:t>radio, confe- rencias, entre</w:t>
      </w:r>
      <w:r>
        <w:rPr>
          <w:color w:val="231F20"/>
          <w:spacing w:val="19"/>
        </w:rPr>
        <w:t> </w:t>
      </w:r>
      <w:r>
        <w:rPr>
          <w:color w:val="231F20"/>
          <w:spacing w:val="2"/>
        </w:rPr>
        <w:t>otros.</w:t>
      </w:r>
    </w:p>
    <w:p>
      <w:pPr>
        <w:spacing w:after="0" w:line="247" w:lineRule="auto"/>
        <w:jc w:val="both"/>
        <w:sectPr>
          <w:headerReference w:type="default" r:id="rId986"/>
          <w:footerReference w:type="default" r:id="rId987"/>
          <w:pgSz w:w="7830" w:h="11910"/>
          <w:pgMar w:header="0" w:footer="424" w:top="500" w:bottom="620" w:left="920" w:right="900"/>
          <w:pgNumType w:start="450"/>
        </w:sectPr>
      </w:pPr>
    </w:p>
    <w:p>
      <w:pPr>
        <w:spacing w:before="46"/>
        <w:ind w:left="1463" w:right="774" w:firstLine="0"/>
        <w:jc w:val="left"/>
        <w:rPr>
          <w:sz w:val="13"/>
        </w:rPr>
      </w:pPr>
      <w:r>
        <w:rPr>
          <w:color w:val="231F20"/>
          <w:sz w:val="16"/>
        </w:rPr>
        <w:t>E</w:t>
      </w:r>
      <w:r>
        <w:rPr>
          <w:color w:val="231F20"/>
          <w:sz w:val="13"/>
        </w:rPr>
        <w:t>STUDIOS SOBRE VIOLENCIA EN LA EDUCACIÓN</w:t>
      </w:r>
    </w:p>
    <w:p>
      <w:pPr>
        <w:pStyle w:val="BodyText"/>
        <w:rPr>
          <w:sz w:val="16"/>
        </w:rPr>
      </w:pPr>
    </w:p>
    <w:p>
      <w:pPr>
        <w:pStyle w:val="BodyText"/>
        <w:spacing w:before="9"/>
        <w:rPr>
          <w:sz w:val="22"/>
        </w:rPr>
      </w:pPr>
    </w:p>
    <w:p>
      <w:pPr>
        <w:spacing w:before="0"/>
        <w:ind w:left="102" w:right="774" w:firstLine="0"/>
        <w:jc w:val="left"/>
        <w:rPr>
          <w:sz w:val="17"/>
        </w:rPr>
      </w:pPr>
      <w:r>
        <w:rPr>
          <w:color w:val="231F20"/>
          <w:w w:val="105"/>
          <w:sz w:val="21"/>
        </w:rPr>
        <w:t>R</w:t>
      </w:r>
      <w:r>
        <w:rPr>
          <w:color w:val="231F20"/>
          <w:w w:val="105"/>
          <w:sz w:val="17"/>
        </w:rPr>
        <w:t>EFERENCIAS</w:t>
      </w:r>
    </w:p>
    <w:p>
      <w:pPr>
        <w:spacing w:line="247" w:lineRule="auto" w:before="128"/>
        <w:ind w:left="102" w:right="35" w:hanging="1"/>
        <w:jc w:val="left"/>
        <w:rPr>
          <w:sz w:val="21"/>
        </w:rPr>
      </w:pPr>
      <w:r>
        <w:rPr>
          <w:color w:val="231F20"/>
          <w:w w:val="95"/>
          <w:sz w:val="21"/>
        </w:rPr>
        <w:t>Ausfelder, Trude. (2002). </w:t>
      </w:r>
      <w:r>
        <w:rPr>
          <w:i/>
          <w:color w:val="231F20"/>
          <w:w w:val="95"/>
          <w:sz w:val="21"/>
        </w:rPr>
        <w:t>El acoso moral en el trabajo. </w:t>
      </w:r>
      <w:r>
        <w:rPr>
          <w:color w:val="231F20"/>
          <w:w w:val="95"/>
          <w:sz w:val="21"/>
        </w:rPr>
        <w:t>Madrid: Océano. </w:t>
      </w:r>
      <w:r>
        <w:rPr>
          <w:color w:val="231F20"/>
          <w:sz w:val="21"/>
        </w:rPr>
        <w:t>Authority, H.-H. (2001). Dignity at Work: The Challenge of</w:t>
      </w:r>
    </w:p>
    <w:p>
      <w:pPr>
        <w:spacing w:line="244" w:lineRule="auto" w:before="1"/>
        <w:ind w:left="43" w:right="258" w:firstLine="719"/>
        <w:jc w:val="right"/>
        <w:rPr>
          <w:sz w:val="21"/>
        </w:rPr>
      </w:pPr>
      <w:r>
        <w:rPr>
          <w:color w:val="231F20"/>
          <w:w w:val="95"/>
          <w:sz w:val="21"/>
        </w:rPr>
        <w:t>Workplace Bullying. En </w:t>
      </w:r>
      <w:r>
        <w:rPr>
          <w:i/>
          <w:color w:val="231F20"/>
          <w:w w:val="95"/>
          <w:sz w:val="21"/>
        </w:rPr>
        <w:t>Dublin: Health and Safety Authority.</w:t>
      </w:r>
      <w:r>
        <w:rPr>
          <w:i/>
          <w:color w:val="231F20"/>
          <w:w w:val="89"/>
          <w:sz w:val="21"/>
        </w:rPr>
        <w:t> </w:t>
      </w:r>
      <w:r>
        <w:rPr>
          <w:color w:val="231F20"/>
          <w:sz w:val="21"/>
        </w:rPr>
        <w:t>Björkqvist, D., Österman, K. &amp; Hjelt-Back, M. (1994). Aggression</w:t>
      </w:r>
      <w:r>
        <w:rPr>
          <w:color w:val="231F20"/>
          <w:w w:val="104"/>
          <w:sz w:val="21"/>
        </w:rPr>
        <w:t> </w:t>
      </w:r>
      <w:r>
        <w:rPr>
          <w:color w:val="231F20"/>
          <w:w w:val="95"/>
          <w:sz w:val="21"/>
        </w:rPr>
        <w:t>among University Employees. </w:t>
      </w:r>
      <w:r>
        <w:rPr>
          <w:i/>
          <w:color w:val="231F20"/>
          <w:w w:val="95"/>
          <w:sz w:val="21"/>
        </w:rPr>
        <w:t>Aggressive Behavior, 20</w:t>
      </w:r>
      <w:r>
        <w:rPr>
          <w:color w:val="231F20"/>
          <w:w w:val="95"/>
          <w:sz w:val="21"/>
        </w:rPr>
        <w:t>, 173-</w:t>
      </w:r>
    </w:p>
    <w:p>
      <w:pPr>
        <w:pStyle w:val="BodyText"/>
        <w:spacing w:line="240" w:lineRule="exact"/>
        <w:ind w:left="822" w:right="774"/>
      </w:pPr>
      <w:r>
        <w:rPr>
          <w:color w:val="231F20"/>
        </w:rPr>
        <w:t>184.</w:t>
      </w:r>
    </w:p>
    <w:p>
      <w:pPr>
        <w:spacing w:line="244" w:lineRule="auto" w:before="8"/>
        <w:ind w:left="822" w:right="214" w:hanging="720"/>
        <w:jc w:val="left"/>
        <w:rPr>
          <w:i/>
          <w:sz w:val="21"/>
        </w:rPr>
      </w:pPr>
      <w:r>
        <w:rPr>
          <w:color w:val="231F20"/>
          <w:sz w:val="21"/>
        </w:rPr>
        <w:t>Cruz Pérez, Oscar., Ovalle sosa, Martín de Jesús y Pando-Moreno, Manuel. (2008). </w:t>
      </w:r>
      <w:r>
        <w:rPr>
          <w:i/>
          <w:color w:val="231F20"/>
          <w:sz w:val="21"/>
        </w:rPr>
        <w:t>Mobbing </w:t>
      </w:r>
      <w:r>
        <w:rPr>
          <w:color w:val="231F20"/>
          <w:sz w:val="21"/>
        </w:rPr>
        <w:t>y estrés en académicos de la Universidad de Ciencias y Artes de Chiapas. </w:t>
      </w:r>
      <w:r>
        <w:rPr>
          <w:i/>
          <w:color w:val="231F20"/>
          <w:sz w:val="21"/>
        </w:rPr>
        <w:t>Foro de las </w:t>
      </w:r>
      <w:r>
        <w:rPr>
          <w:i/>
          <w:color w:val="231F20"/>
          <w:w w:val="128"/>
          <w:sz w:val="21"/>
        </w:rPr>
        <w:t>A</w:t>
      </w:r>
      <w:r>
        <w:rPr>
          <w:i/>
          <w:color w:val="231F20"/>
          <w:w w:val="89"/>
          <w:sz w:val="21"/>
        </w:rPr>
        <w:t>m</w:t>
      </w:r>
      <w:r>
        <w:rPr>
          <w:i/>
          <w:color w:val="231F20"/>
          <w:w w:val="67"/>
          <w:sz w:val="21"/>
        </w:rPr>
        <w:t>é</w:t>
      </w:r>
      <w:r>
        <w:rPr>
          <w:i/>
          <w:color w:val="231F20"/>
          <w:w w:val="79"/>
          <w:sz w:val="21"/>
        </w:rPr>
        <w:t>r</w:t>
      </w:r>
      <w:r>
        <w:rPr>
          <w:i/>
          <w:color w:val="231F20"/>
          <w:w w:val="84"/>
          <w:sz w:val="21"/>
        </w:rPr>
        <w:t>i</w:t>
      </w:r>
      <w:r>
        <w:rPr>
          <w:i/>
          <w:color w:val="231F20"/>
          <w:w w:val="62"/>
          <w:sz w:val="21"/>
        </w:rPr>
        <w:t>c</w:t>
      </w:r>
      <w:r>
        <w:rPr>
          <w:i/>
          <w:color w:val="231F20"/>
          <w:w w:val="83"/>
          <w:sz w:val="21"/>
        </w:rPr>
        <w:t>a</w:t>
      </w:r>
      <w:r>
        <w:rPr>
          <w:i/>
          <w:color w:val="231F20"/>
          <w:w w:val="77"/>
          <w:sz w:val="21"/>
        </w:rPr>
        <w:t>s</w:t>
      </w:r>
      <w:r>
        <w:rPr>
          <w:i/>
          <w:color w:val="231F20"/>
          <w:sz w:val="21"/>
        </w:rPr>
        <w:t> </w:t>
      </w:r>
      <w:r>
        <w:rPr>
          <w:i/>
          <w:color w:val="231F20"/>
          <w:w w:val="67"/>
          <w:sz w:val="21"/>
        </w:rPr>
        <w:t>e</w:t>
      </w:r>
      <w:r>
        <w:rPr>
          <w:i/>
          <w:color w:val="231F20"/>
          <w:w w:val="87"/>
          <w:sz w:val="21"/>
        </w:rPr>
        <w:t>n</w:t>
      </w:r>
      <w:r>
        <w:rPr>
          <w:i/>
          <w:color w:val="231F20"/>
          <w:sz w:val="21"/>
        </w:rPr>
        <w:t> </w:t>
      </w:r>
      <w:r>
        <w:rPr>
          <w:i/>
          <w:color w:val="231F20"/>
          <w:w w:val="99"/>
          <w:sz w:val="21"/>
        </w:rPr>
        <w:t>I</w:t>
      </w:r>
      <w:r>
        <w:rPr>
          <w:i/>
          <w:color w:val="231F20"/>
          <w:w w:val="87"/>
          <w:sz w:val="21"/>
        </w:rPr>
        <w:t>n</w:t>
      </w:r>
      <w:r>
        <w:rPr>
          <w:i/>
          <w:color w:val="231F20"/>
          <w:w w:val="73"/>
          <w:sz w:val="21"/>
        </w:rPr>
        <w:t>ve</w:t>
      </w:r>
      <w:r>
        <w:rPr>
          <w:i/>
          <w:color w:val="231F20"/>
          <w:w w:val="77"/>
          <w:sz w:val="21"/>
        </w:rPr>
        <w:t>s</w:t>
      </w:r>
      <w:r>
        <w:rPr>
          <w:i/>
          <w:color w:val="231F20"/>
          <w:w w:val="92"/>
          <w:sz w:val="21"/>
        </w:rPr>
        <w:t>t</w:t>
      </w:r>
      <w:r>
        <w:rPr>
          <w:i/>
          <w:color w:val="231F20"/>
          <w:w w:val="84"/>
          <w:sz w:val="21"/>
        </w:rPr>
        <w:t>i</w:t>
      </w:r>
      <w:r>
        <w:rPr>
          <w:i/>
          <w:color w:val="231F20"/>
          <w:w w:val="66"/>
          <w:sz w:val="21"/>
        </w:rPr>
        <w:t>g</w:t>
      </w:r>
      <w:r>
        <w:rPr>
          <w:i/>
          <w:color w:val="231F20"/>
          <w:w w:val="83"/>
          <w:sz w:val="21"/>
        </w:rPr>
        <w:t>a</w:t>
      </w:r>
      <w:r>
        <w:rPr>
          <w:i/>
          <w:color w:val="231F20"/>
          <w:w w:val="62"/>
          <w:sz w:val="21"/>
        </w:rPr>
        <w:t>c</w:t>
      </w:r>
      <w:r>
        <w:rPr>
          <w:i/>
          <w:color w:val="231F20"/>
          <w:w w:val="84"/>
          <w:sz w:val="21"/>
        </w:rPr>
        <w:t>i</w:t>
      </w:r>
      <w:r>
        <w:rPr>
          <w:i/>
          <w:color w:val="231F20"/>
          <w:w w:val="80"/>
          <w:sz w:val="21"/>
        </w:rPr>
        <w:t>ón</w:t>
      </w:r>
      <w:r>
        <w:rPr>
          <w:i/>
          <w:color w:val="231F20"/>
          <w:sz w:val="21"/>
        </w:rPr>
        <w:t> </w:t>
      </w:r>
      <w:r>
        <w:rPr>
          <w:i/>
          <w:color w:val="231F20"/>
          <w:w w:val="77"/>
          <w:sz w:val="21"/>
        </w:rPr>
        <w:t>s</w:t>
      </w:r>
      <w:r>
        <w:rPr>
          <w:i/>
          <w:color w:val="231F20"/>
          <w:w w:val="78"/>
          <w:sz w:val="21"/>
        </w:rPr>
        <w:t>ob</w:t>
      </w:r>
      <w:r>
        <w:rPr>
          <w:i/>
          <w:color w:val="231F20"/>
          <w:w w:val="79"/>
          <w:sz w:val="21"/>
        </w:rPr>
        <w:t>r</w:t>
      </w:r>
      <w:r>
        <w:rPr>
          <w:i/>
          <w:color w:val="231F20"/>
          <w:w w:val="67"/>
          <w:sz w:val="21"/>
        </w:rPr>
        <w:t>e</w:t>
      </w:r>
      <w:r>
        <w:rPr>
          <w:i/>
          <w:color w:val="231F20"/>
          <w:sz w:val="21"/>
        </w:rPr>
        <w:t> </w:t>
      </w:r>
      <w:r>
        <w:rPr>
          <w:i/>
          <w:color w:val="231F20"/>
          <w:w w:val="80"/>
          <w:sz w:val="21"/>
        </w:rPr>
        <w:t>f</w:t>
      </w:r>
      <w:r>
        <w:rPr>
          <w:i/>
          <w:color w:val="231F20"/>
          <w:w w:val="83"/>
          <w:sz w:val="21"/>
        </w:rPr>
        <w:t>a</w:t>
      </w:r>
      <w:r>
        <w:rPr>
          <w:i/>
          <w:color w:val="231F20"/>
          <w:w w:val="62"/>
          <w:sz w:val="21"/>
        </w:rPr>
        <w:t>c</w:t>
      </w:r>
      <w:r>
        <w:rPr>
          <w:i/>
          <w:color w:val="231F20"/>
          <w:w w:val="92"/>
          <w:sz w:val="21"/>
        </w:rPr>
        <w:t>t</w:t>
      </w:r>
      <w:r>
        <w:rPr>
          <w:i/>
          <w:color w:val="231F20"/>
          <w:w w:val="75"/>
          <w:sz w:val="21"/>
        </w:rPr>
        <w:t>or</w:t>
      </w:r>
      <w:r>
        <w:rPr>
          <w:i/>
          <w:color w:val="231F20"/>
          <w:w w:val="67"/>
          <w:sz w:val="21"/>
        </w:rPr>
        <w:t>e</w:t>
      </w:r>
      <w:r>
        <w:rPr>
          <w:i/>
          <w:color w:val="231F20"/>
          <w:w w:val="77"/>
          <w:sz w:val="21"/>
        </w:rPr>
        <w:t>s</w:t>
      </w:r>
      <w:r>
        <w:rPr>
          <w:i/>
          <w:color w:val="231F20"/>
          <w:sz w:val="21"/>
        </w:rPr>
        <w:t> </w:t>
      </w:r>
      <w:r>
        <w:rPr>
          <w:i/>
          <w:color w:val="231F20"/>
          <w:w w:val="89"/>
          <w:sz w:val="21"/>
        </w:rPr>
        <w:t>P</w:t>
      </w:r>
      <w:r>
        <w:rPr>
          <w:i/>
          <w:color w:val="231F20"/>
          <w:w w:val="77"/>
          <w:sz w:val="21"/>
        </w:rPr>
        <w:t>s</w:t>
      </w:r>
      <w:r>
        <w:rPr>
          <w:i/>
          <w:color w:val="231F20"/>
          <w:w w:val="84"/>
          <w:sz w:val="21"/>
        </w:rPr>
        <w:t>i</w:t>
      </w:r>
      <w:r>
        <w:rPr>
          <w:i/>
          <w:color w:val="231F20"/>
          <w:w w:val="62"/>
          <w:sz w:val="21"/>
        </w:rPr>
        <w:t>c</w:t>
      </w:r>
      <w:r>
        <w:rPr>
          <w:i/>
          <w:color w:val="231F20"/>
          <w:w w:val="74"/>
          <w:sz w:val="21"/>
        </w:rPr>
        <w:t>os</w:t>
      </w:r>
      <w:r>
        <w:rPr>
          <w:i/>
          <w:color w:val="231F20"/>
          <w:w w:val="68"/>
          <w:sz w:val="21"/>
        </w:rPr>
        <w:t>oc</w:t>
      </w:r>
      <w:r>
        <w:rPr>
          <w:i/>
          <w:color w:val="231F20"/>
          <w:w w:val="84"/>
          <w:sz w:val="21"/>
        </w:rPr>
        <w:t>i</w:t>
      </w:r>
      <w:r>
        <w:rPr>
          <w:i/>
          <w:color w:val="231F20"/>
          <w:w w:val="83"/>
          <w:sz w:val="21"/>
        </w:rPr>
        <w:t>a</w:t>
      </w:r>
      <w:r>
        <w:rPr>
          <w:i/>
          <w:color w:val="231F20"/>
          <w:w w:val="80"/>
          <w:sz w:val="21"/>
        </w:rPr>
        <w:t>l</w:t>
      </w:r>
      <w:r>
        <w:rPr>
          <w:i/>
          <w:color w:val="231F20"/>
          <w:w w:val="67"/>
          <w:sz w:val="21"/>
        </w:rPr>
        <w:t>e</w:t>
      </w:r>
      <w:r>
        <w:rPr>
          <w:i/>
          <w:color w:val="231F20"/>
          <w:w w:val="77"/>
          <w:sz w:val="21"/>
        </w:rPr>
        <w:t>s</w:t>
      </w:r>
      <w:r>
        <w:rPr>
          <w:i/>
          <w:color w:val="231F20"/>
          <w:w w:val="90"/>
          <w:sz w:val="21"/>
        </w:rPr>
        <w:t>.</w:t>
      </w:r>
      <w:r>
        <w:rPr>
          <w:i/>
          <w:color w:val="231F20"/>
          <w:sz w:val="21"/>
        </w:rPr>
        <w:t> </w:t>
      </w:r>
      <w:r>
        <w:rPr>
          <w:i/>
          <w:color w:val="231F20"/>
          <w:w w:val="115"/>
          <w:sz w:val="21"/>
        </w:rPr>
        <w:t>E</w:t>
      </w:r>
      <w:r>
        <w:rPr>
          <w:i/>
          <w:color w:val="231F20"/>
          <w:w w:val="77"/>
          <w:sz w:val="21"/>
        </w:rPr>
        <w:t>s</w:t>
      </w:r>
      <w:r>
        <w:rPr>
          <w:i/>
          <w:color w:val="231F20"/>
          <w:w w:val="92"/>
          <w:sz w:val="21"/>
        </w:rPr>
        <w:t>t</w:t>
      </w:r>
      <w:r>
        <w:rPr>
          <w:i/>
          <w:color w:val="231F20"/>
          <w:w w:val="79"/>
          <w:sz w:val="21"/>
        </w:rPr>
        <w:t>r</w:t>
      </w:r>
      <w:r>
        <w:rPr>
          <w:i/>
          <w:color w:val="231F20"/>
          <w:w w:val="67"/>
          <w:sz w:val="21"/>
        </w:rPr>
        <w:t>é</w:t>
      </w:r>
      <w:r>
        <w:rPr>
          <w:i/>
          <w:color w:val="231F20"/>
          <w:w w:val="77"/>
          <w:sz w:val="21"/>
        </w:rPr>
        <w:t>s</w:t>
      </w:r>
      <w:r>
        <w:rPr>
          <w:i/>
          <w:color w:val="231F20"/>
          <w:sz w:val="21"/>
        </w:rPr>
        <w:t> </w:t>
      </w:r>
      <w:r>
        <w:rPr>
          <w:i/>
          <w:color w:val="231F20"/>
          <w:w w:val="77"/>
          <w:sz w:val="21"/>
        </w:rPr>
        <w:t>y</w:t>
      </w:r>
      <w:r>
        <w:rPr>
          <w:i/>
          <w:color w:val="231F20"/>
          <w:sz w:val="21"/>
        </w:rPr>
        <w:t> </w:t>
      </w:r>
      <w:r>
        <w:rPr>
          <w:i/>
          <w:color w:val="231F20"/>
          <w:w w:val="77"/>
          <w:sz w:val="21"/>
        </w:rPr>
        <w:t>s</w:t>
      </w:r>
      <w:r>
        <w:rPr>
          <w:i/>
          <w:color w:val="231F20"/>
          <w:w w:val="83"/>
          <w:sz w:val="21"/>
        </w:rPr>
        <w:t>a</w:t>
      </w:r>
      <w:r>
        <w:rPr>
          <w:i/>
          <w:color w:val="231F20"/>
          <w:w w:val="80"/>
          <w:sz w:val="21"/>
        </w:rPr>
        <w:t>l</w:t>
      </w:r>
      <w:r>
        <w:rPr>
          <w:i/>
          <w:color w:val="231F20"/>
          <w:w w:val="87"/>
          <w:sz w:val="21"/>
        </w:rPr>
        <w:t>u</w:t>
      </w:r>
      <w:r>
        <w:rPr>
          <w:i/>
          <w:color w:val="231F20"/>
          <w:w w:val="83"/>
          <w:sz w:val="21"/>
        </w:rPr>
        <w:t>d </w:t>
      </w:r>
      <w:r>
        <w:rPr>
          <w:i/>
          <w:color w:val="231F20"/>
          <w:w w:val="85"/>
          <w:sz w:val="21"/>
        </w:rPr>
        <w:t>en el trabajo.</w:t>
      </w:r>
    </w:p>
    <w:p>
      <w:pPr>
        <w:pStyle w:val="BodyText"/>
        <w:spacing w:before="3"/>
        <w:ind w:left="102"/>
      </w:pPr>
      <w:r>
        <w:rPr>
          <w:color w:val="231F20"/>
        </w:rPr>
        <w:t>Di Martino, Vittorio, Hoel, Helge &amp; Cooper, Cary L. (2003).</w:t>
      </w:r>
    </w:p>
    <w:p>
      <w:pPr>
        <w:spacing w:line="244" w:lineRule="auto" w:before="3"/>
        <w:ind w:left="822" w:right="0" w:firstLine="0"/>
        <w:jc w:val="left"/>
        <w:rPr>
          <w:i/>
          <w:sz w:val="21"/>
        </w:rPr>
      </w:pPr>
      <w:r>
        <w:rPr>
          <w:color w:val="231F20"/>
          <w:sz w:val="21"/>
        </w:rPr>
        <w:t>Preventing Violence and Harassment in the Workplace. En </w:t>
      </w:r>
      <w:r>
        <w:rPr>
          <w:i/>
          <w:color w:val="231F20"/>
          <w:w w:val="90"/>
          <w:sz w:val="21"/>
        </w:rPr>
        <w:t>Dublin: European Foundation for the Improvement of Living and </w:t>
      </w:r>
      <w:r>
        <w:rPr>
          <w:i/>
          <w:color w:val="231F20"/>
          <w:w w:val="90"/>
          <w:sz w:val="21"/>
        </w:rPr>
        <w:t>Working Conditions.</w:t>
      </w:r>
    </w:p>
    <w:p>
      <w:pPr>
        <w:spacing w:line="247" w:lineRule="auto" w:before="3"/>
        <w:ind w:left="822" w:right="94" w:hanging="720"/>
        <w:jc w:val="left"/>
        <w:rPr>
          <w:sz w:val="21"/>
        </w:rPr>
      </w:pPr>
      <w:r>
        <w:rPr>
          <w:color w:val="231F20"/>
          <w:sz w:val="21"/>
        </w:rPr>
        <w:t>González de Rivera-Revueltas, José Luis y Rodríguez-Abuin, Ma- nuel. (2003). Cuestionario de estrategias de acoso </w:t>
      </w:r>
      <w:r>
        <w:rPr>
          <w:color w:val="231F20"/>
          <w:w w:val="90"/>
          <w:sz w:val="21"/>
        </w:rPr>
        <w:t>psicológico. En </w:t>
      </w:r>
      <w:r>
        <w:rPr>
          <w:i/>
          <w:color w:val="231F20"/>
          <w:w w:val="90"/>
          <w:sz w:val="21"/>
        </w:rPr>
        <w:t>Leymann Inventory of Psychological</w:t>
      </w:r>
      <w:r>
        <w:rPr>
          <w:color w:val="231F20"/>
          <w:w w:val="90"/>
          <w:sz w:val="21"/>
        </w:rPr>
        <w:t>. </w:t>
      </w:r>
      <w:r>
        <w:rPr>
          <w:i/>
          <w:color w:val="231F20"/>
          <w:w w:val="90"/>
          <w:sz w:val="21"/>
        </w:rPr>
        <w:t>Psiquis</w:t>
      </w:r>
      <w:r>
        <w:rPr>
          <w:color w:val="231F20"/>
          <w:w w:val="90"/>
          <w:sz w:val="21"/>
        </w:rPr>
        <w:t>, </w:t>
      </w:r>
      <w:r>
        <w:rPr>
          <w:i/>
          <w:color w:val="231F20"/>
          <w:w w:val="95"/>
          <w:sz w:val="21"/>
        </w:rPr>
        <w:t>24</w:t>
      </w:r>
      <w:r>
        <w:rPr>
          <w:color w:val="231F20"/>
          <w:w w:val="95"/>
          <w:sz w:val="21"/>
        </w:rPr>
        <w:t>(2), 59-69.</w:t>
      </w:r>
    </w:p>
    <w:p>
      <w:pPr>
        <w:pStyle w:val="BodyText"/>
        <w:spacing w:line="244" w:lineRule="auto"/>
        <w:ind w:left="821" w:right="129" w:hanging="719"/>
      </w:pPr>
      <w:r>
        <w:rPr>
          <w:color w:val="231F20"/>
        </w:rPr>
        <w:t>González-Corzo, Irma Guadalupe. (2009). Prevalencia del acoso psicologico o </w:t>
      </w:r>
      <w:r>
        <w:rPr>
          <w:i/>
          <w:color w:val="231F20"/>
        </w:rPr>
        <w:t>mobbing </w:t>
      </w:r>
      <w:r>
        <w:rPr>
          <w:color w:val="231F20"/>
        </w:rPr>
        <w:t>y su relación con factores psicosociales de la organización en docentes de una escuela preparatoria de la zona metropolitana de Guadalajara. (Tesis de Doctorado)</w:t>
      </w:r>
      <w:r>
        <w:rPr>
          <w:i/>
          <w:color w:val="231F20"/>
        </w:rPr>
        <w:t>. </w:t>
      </w:r>
      <w:r>
        <w:rPr>
          <w:color w:val="231F20"/>
        </w:rPr>
        <w:t>Universidad de</w:t>
      </w:r>
      <w:r>
        <w:rPr>
          <w:color w:val="231F20"/>
          <w:spacing w:val="18"/>
        </w:rPr>
        <w:t> </w:t>
      </w:r>
      <w:r>
        <w:rPr>
          <w:color w:val="231F20"/>
        </w:rPr>
        <w:t>Guadalajara.</w:t>
      </w:r>
    </w:p>
    <w:p>
      <w:pPr>
        <w:pStyle w:val="BodyText"/>
        <w:spacing w:before="3"/>
        <w:ind w:left="821" w:right="774"/>
      </w:pPr>
      <w:r>
        <w:rPr>
          <w:color w:val="231F20"/>
          <w:w w:val="95"/>
        </w:rPr>
        <w:t>Guadalajara,  México.</w:t>
      </w:r>
    </w:p>
    <w:p>
      <w:pPr>
        <w:spacing w:line="242" w:lineRule="auto" w:before="8"/>
        <w:ind w:left="822" w:right="94" w:hanging="721"/>
        <w:jc w:val="left"/>
        <w:rPr>
          <w:sz w:val="21"/>
        </w:rPr>
      </w:pPr>
      <w:r>
        <w:rPr>
          <w:color w:val="231F20"/>
          <w:w w:val="95"/>
          <w:sz w:val="21"/>
        </w:rPr>
        <w:t>Hirigoyen,</w:t>
      </w:r>
      <w:r>
        <w:rPr>
          <w:color w:val="231F20"/>
          <w:spacing w:val="-24"/>
          <w:w w:val="95"/>
          <w:sz w:val="21"/>
        </w:rPr>
        <w:t> </w:t>
      </w:r>
      <w:r>
        <w:rPr>
          <w:color w:val="231F20"/>
          <w:w w:val="95"/>
          <w:sz w:val="21"/>
        </w:rPr>
        <w:t>Marie-France.</w:t>
      </w:r>
      <w:r>
        <w:rPr>
          <w:color w:val="231F20"/>
          <w:spacing w:val="-29"/>
          <w:w w:val="95"/>
          <w:sz w:val="21"/>
        </w:rPr>
        <w:t> </w:t>
      </w:r>
      <w:r>
        <w:rPr>
          <w:color w:val="231F20"/>
          <w:w w:val="95"/>
          <w:sz w:val="21"/>
        </w:rPr>
        <w:t>(2001).</w:t>
      </w:r>
      <w:r>
        <w:rPr>
          <w:color w:val="231F20"/>
          <w:spacing w:val="-24"/>
          <w:w w:val="95"/>
          <w:sz w:val="21"/>
        </w:rPr>
        <w:t> </w:t>
      </w:r>
      <w:r>
        <w:rPr>
          <w:i/>
          <w:color w:val="231F20"/>
          <w:w w:val="95"/>
          <w:sz w:val="21"/>
        </w:rPr>
        <w:t>El</w:t>
      </w:r>
      <w:r>
        <w:rPr>
          <w:i/>
          <w:color w:val="231F20"/>
          <w:spacing w:val="-24"/>
          <w:w w:val="95"/>
          <w:sz w:val="21"/>
        </w:rPr>
        <w:t> </w:t>
      </w:r>
      <w:r>
        <w:rPr>
          <w:i/>
          <w:color w:val="231F20"/>
          <w:w w:val="95"/>
          <w:sz w:val="21"/>
        </w:rPr>
        <w:t>acoso</w:t>
      </w:r>
      <w:r>
        <w:rPr>
          <w:i/>
          <w:color w:val="231F20"/>
          <w:spacing w:val="-24"/>
          <w:w w:val="95"/>
          <w:sz w:val="21"/>
        </w:rPr>
        <w:t> </w:t>
      </w:r>
      <w:r>
        <w:rPr>
          <w:i/>
          <w:color w:val="231F20"/>
          <w:w w:val="95"/>
          <w:sz w:val="21"/>
        </w:rPr>
        <w:t>moral</w:t>
      </w:r>
      <w:r>
        <w:rPr>
          <w:i/>
          <w:color w:val="231F20"/>
          <w:spacing w:val="-24"/>
          <w:w w:val="95"/>
          <w:sz w:val="21"/>
        </w:rPr>
        <w:t> </w:t>
      </w:r>
      <w:r>
        <w:rPr>
          <w:i/>
          <w:color w:val="231F20"/>
          <w:w w:val="95"/>
          <w:sz w:val="21"/>
        </w:rPr>
        <w:t>en</w:t>
      </w:r>
      <w:r>
        <w:rPr>
          <w:i/>
          <w:color w:val="231F20"/>
          <w:spacing w:val="-23"/>
          <w:w w:val="95"/>
          <w:sz w:val="21"/>
        </w:rPr>
        <w:t> </w:t>
      </w:r>
      <w:r>
        <w:rPr>
          <w:i/>
          <w:color w:val="231F20"/>
          <w:w w:val="95"/>
          <w:sz w:val="21"/>
        </w:rPr>
        <w:t>el</w:t>
      </w:r>
      <w:r>
        <w:rPr>
          <w:i/>
          <w:color w:val="231F20"/>
          <w:spacing w:val="-24"/>
          <w:w w:val="95"/>
          <w:sz w:val="21"/>
        </w:rPr>
        <w:t> </w:t>
      </w:r>
      <w:r>
        <w:rPr>
          <w:i/>
          <w:color w:val="231F20"/>
          <w:w w:val="95"/>
          <w:sz w:val="21"/>
        </w:rPr>
        <w:t>trabajo.</w:t>
      </w:r>
      <w:r>
        <w:rPr>
          <w:i/>
          <w:color w:val="231F20"/>
          <w:spacing w:val="-24"/>
          <w:w w:val="95"/>
          <w:sz w:val="21"/>
        </w:rPr>
        <w:t> </w:t>
      </w:r>
      <w:r>
        <w:rPr>
          <w:i/>
          <w:color w:val="231F20"/>
          <w:w w:val="95"/>
          <w:sz w:val="21"/>
        </w:rPr>
        <w:t>Distinguir </w:t>
      </w:r>
      <w:r>
        <w:rPr>
          <w:i/>
          <w:color w:val="231F20"/>
          <w:w w:val="95"/>
          <w:sz w:val="21"/>
        </w:rPr>
        <w:t>lo</w:t>
      </w:r>
      <w:r>
        <w:rPr>
          <w:i/>
          <w:color w:val="231F20"/>
          <w:spacing w:val="-26"/>
          <w:w w:val="95"/>
          <w:sz w:val="21"/>
        </w:rPr>
        <w:t> </w:t>
      </w:r>
      <w:r>
        <w:rPr>
          <w:i/>
          <w:color w:val="231F20"/>
          <w:w w:val="95"/>
          <w:sz w:val="21"/>
        </w:rPr>
        <w:t>verdadero</w:t>
      </w:r>
      <w:r>
        <w:rPr>
          <w:i/>
          <w:color w:val="231F20"/>
          <w:spacing w:val="-26"/>
          <w:w w:val="95"/>
          <w:sz w:val="21"/>
        </w:rPr>
        <w:t> </w:t>
      </w:r>
      <w:r>
        <w:rPr>
          <w:i/>
          <w:color w:val="231F20"/>
          <w:w w:val="95"/>
          <w:sz w:val="21"/>
        </w:rPr>
        <w:t>de</w:t>
      </w:r>
      <w:r>
        <w:rPr>
          <w:i/>
          <w:color w:val="231F20"/>
          <w:spacing w:val="-27"/>
          <w:w w:val="95"/>
          <w:sz w:val="21"/>
        </w:rPr>
        <w:t> </w:t>
      </w:r>
      <w:r>
        <w:rPr>
          <w:i/>
          <w:color w:val="231F20"/>
          <w:w w:val="95"/>
          <w:sz w:val="21"/>
        </w:rPr>
        <w:t>lo</w:t>
      </w:r>
      <w:r>
        <w:rPr>
          <w:i/>
          <w:color w:val="231F20"/>
          <w:spacing w:val="-26"/>
          <w:w w:val="95"/>
          <w:sz w:val="21"/>
        </w:rPr>
        <w:t> </w:t>
      </w:r>
      <w:r>
        <w:rPr>
          <w:i/>
          <w:color w:val="231F20"/>
          <w:w w:val="95"/>
          <w:sz w:val="21"/>
        </w:rPr>
        <w:t>falso.</w:t>
      </w:r>
      <w:r>
        <w:rPr>
          <w:i/>
          <w:color w:val="231F20"/>
          <w:spacing w:val="-27"/>
          <w:w w:val="95"/>
          <w:sz w:val="21"/>
        </w:rPr>
        <w:t> </w:t>
      </w:r>
      <w:r>
        <w:rPr>
          <w:color w:val="231F20"/>
          <w:w w:val="95"/>
          <w:sz w:val="21"/>
        </w:rPr>
        <w:t>Barcelona:</w:t>
      </w:r>
      <w:r>
        <w:rPr>
          <w:color w:val="231F20"/>
          <w:spacing w:val="-27"/>
          <w:w w:val="95"/>
          <w:sz w:val="21"/>
        </w:rPr>
        <w:t> </w:t>
      </w:r>
      <w:r>
        <w:rPr>
          <w:color w:val="231F20"/>
          <w:w w:val="95"/>
          <w:sz w:val="21"/>
        </w:rPr>
        <w:t>Paidós</w:t>
      </w:r>
      <w:r>
        <w:rPr>
          <w:color w:val="231F20"/>
          <w:spacing w:val="-27"/>
          <w:w w:val="95"/>
          <w:sz w:val="21"/>
        </w:rPr>
        <w:t> </w:t>
      </w:r>
      <w:r>
        <w:rPr>
          <w:color w:val="231F20"/>
          <w:w w:val="95"/>
          <w:sz w:val="21"/>
        </w:rPr>
        <w:t>Ibérica.</w:t>
      </w:r>
    </w:p>
    <w:p>
      <w:pPr>
        <w:spacing w:line="244" w:lineRule="auto" w:before="6"/>
        <w:ind w:left="811" w:right="114" w:hanging="709"/>
        <w:jc w:val="left"/>
        <w:rPr>
          <w:sz w:val="21"/>
        </w:rPr>
      </w:pPr>
      <w:r>
        <w:rPr>
          <w:color w:val="231F20"/>
          <w:sz w:val="21"/>
        </w:rPr>
        <w:t>Hubert, Adrianne y Van Veldhoven, Marc. (2001). Risk Sectors for Undersirable Behaviour and Mobbing. </w:t>
      </w:r>
      <w:r>
        <w:rPr>
          <w:i/>
          <w:color w:val="231F20"/>
          <w:sz w:val="21"/>
        </w:rPr>
        <w:t>European Journal of </w:t>
      </w:r>
      <w:r>
        <w:rPr>
          <w:i/>
          <w:color w:val="231F20"/>
          <w:w w:val="90"/>
          <w:sz w:val="21"/>
        </w:rPr>
        <w:t>Work and Organizational Psychology, 10(4). </w:t>
      </w:r>
      <w:r>
        <w:rPr>
          <w:color w:val="231F20"/>
          <w:w w:val="90"/>
          <w:sz w:val="21"/>
        </w:rPr>
        <w:t>415-424.</w:t>
      </w:r>
    </w:p>
    <w:p>
      <w:pPr>
        <w:spacing w:line="247" w:lineRule="auto" w:before="0"/>
        <w:ind w:left="822" w:right="94" w:hanging="720"/>
        <w:jc w:val="left"/>
        <w:rPr>
          <w:sz w:val="21"/>
        </w:rPr>
      </w:pPr>
      <w:r>
        <w:rPr>
          <w:color w:val="231F20"/>
          <w:sz w:val="21"/>
        </w:rPr>
        <w:t>Justicia-Justicia, Fernando, Benítez-Muñoz, Juan Luis y Fernández de Haro, Eduardo. (2006). Caracterización del acoso </w:t>
      </w:r>
      <w:r>
        <w:rPr>
          <w:color w:val="231F20"/>
          <w:w w:val="95"/>
          <w:sz w:val="21"/>
        </w:rPr>
        <w:t>psicológico en el contexto universitario. </w:t>
      </w:r>
      <w:r>
        <w:rPr>
          <w:i/>
          <w:color w:val="231F20"/>
          <w:w w:val="95"/>
          <w:sz w:val="21"/>
        </w:rPr>
        <w:t>Revista de Psicología </w:t>
      </w:r>
      <w:r>
        <w:rPr>
          <w:i/>
          <w:color w:val="231F20"/>
          <w:w w:val="90"/>
          <w:sz w:val="21"/>
        </w:rPr>
        <w:t>del Trabajo y de las Organizaciones</w:t>
      </w:r>
      <w:r>
        <w:rPr>
          <w:color w:val="231F20"/>
          <w:w w:val="90"/>
          <w:sz w:val="21"/>
        </w:rPr>
        <w:t>, </w:t>
      </w:r>
      <w:r>
        <w:rPr>
          <w:i/>
          <w:color w:val="231F20"/>
          <w:w w:val="90"/>
          <w:sz w:val="21"/>
        </w:rPr>
        <w:t>22</w:t>
      </w:r>
      <w:r>
        <w:rPr>
          <w:color w:val="231F20"/>
          <w:w w:val="90"/>
          <w:sz w:val="21"/>
        </w:rPr>
        <w:t>(3) 293-308.</w:t>
      </w:r>
    </w:p>
    <w:p>
      <w:pPr>
        <w:pStyle w:val="BodyText"/>
        <w:spacing w:line="244" w:lineRule="auto" w:before="1"/>
        <w:ind w:left="822" w:right="155" w:hanging="721"/>
      </w:pPr>
      <w:r>
        <w:rPr>
          <w:color w:val="231F20"/>
          <w:w w:val="105"/>
        </w:rPr>
        <w:t>Leymann, Heinz. (3 de diciembre de 2008). The Mobbing </w:t>
      </w:r>
      <w:r>
        <w:rPr>
          <w:color w:val="231F20"/>
        </w:rPr>
        <w:t>Encyclopaedia. Bullying: Whistleblowing. Some Historical </w:t>
      </w:r>
      <w:r>
        <w:rPr>
          <w:color w:val="231F20"/>
          <w:w w:val="105"/>
        </w:rPr>
        <w:t>Notes: Research and the Term Mobbing. Obtenido de </w:t>
      </w:r>
      <w:hyperlink r:id="rId990">
        <w:r>
          <w:rPr>
            <w:color w:val="231F20"/>
            <w:w w:val="104"/>
          </w:rPr>
          <w:t>h</w:t>
        </w:r>
        <w:r>
          <w:rPr>
            <w:color w:val="231F20"/>
            <w:w w:val="107"/>
          </w:rPr>
          <w:t>tt</w:t>
        </w:r>
        <w:r>
          <w:rPr>
            <w:color w:val="231F20"/>
            <w:w w:val="104"/>
          </w:rPr>
          <w:t>p</w:t>
        </w:r>
        <w:r>
          <w:rPr>
            <w:color w:val="231F20"/>
            <w:w w:val="133"/>
          </w:rPr>
          <w:t>:/</w:t>
        </w:r>
        <w:r>
          <w:rPr>
            <w:color w:val="231F20"/>
            <w:w w:val="185"/>
          </w:rPr>
          <w:t>/</w:t>
        </w:r>
        <w:r>
          <w:rPr>
            <w:color w:val="231F20"/>
            <w:w w:val="94"/>
          </w:rPr>
          <w:t>www</w:t>
        </w:r>
        <w:r>
          <w:rPr>
            <w:color w:val="231F20"/>
            <w:w w:val="91"/>
          </w:rPr>
          <w:t>.le</w:t>
        </w:r>
        <w:r>
          <w:rPr>
            <w:color w:val="231F20"/>
            <w:w w:val="85"/>
          </w:rPr>
          <w:t>y</w:t>
        </w:r>
        <w:r>
          <w:rPr>
            <w:color w:val="231F20"/>
            <w:w w:val="101"/>
          </w:rPr>
          <w:t>m</w:t>
        </w:r>
        <w:r>
          <w:rPr>
            <w:color w:val="231F20"/>
            <w:w w:val="94"/>
          </w:rPr>
          <w:t>a</w:t>
        </w:r>
        <w:r>
          <w:rPr>
            <w:color w:val="231F20"/>
            <w:w w:val="104"/>
          </w:rPr>
          <w:t>nn</w:t>
        </w:r>
        <w:r>
          <w:rPr>
            <w:color w:val="231F20"/>
            <w:w w:val="93"/>
          </w:rPr>
          <w:t>.s</w:t>
        </w:r>
        <w:r>
          <w:rPr>
            <w:color w:val="231F20"/>
            <w:w w:val="96"/>
          </w:rPr>
          <w:t>e</w:t>
        </w:r>
        <w:r>
          <w:rPr>
            <w:color w:val="231F20"/>
            <w:w w:val="185"/>
          </w:rPr>
          <w:t>/</w:t>
        </w:r>
        <w:r>
          <w:rPr>
            <w:color w:val="231F20"/>
            <w:w w:val="110"/>
          </w:rPr>
          <w:t>E</w:t>
        </w:r>
        <w:r>
          <w:rPr>
            <w:color w:val="231F20"/>
            <w:w w:val="104"/>
          </w:rPr>
          <w:t>n</w:t>
        </w:r>
        <w:r>
          <w:rPr>
            <w:color w:val="231F20"/>
            <w:w w:val="92"/>
          </w:rPr>
          <w:t>g</w:t>
        </w:r>
        <w:r>
          <w:rPr>
            <w:color w:val="231F20"/>
            <w:w w:val="89"/>
          </w:rPr>
          <w:t>lis</w:t>
        </w:r>
        <w:r>
          <w:rPr>
            <w:color w:val="231F20"/>
            <w:w w:val="104"/>
          </w:rPr>
          <w:t>h</w:t>
        </w:r>
        <w:r>
          <w:rPr>
            <w:color w:val="231F20"/>
            <w:w w:val="185"/>
          </w:rPr>
          <w:t>/</w:t>
        </w:r>
        <w:r>
          <w:rPr>
            <w:color w:val="231F20"/>
            <w:w w:val="99"/>
          </w:rPr>
          <w:t>f</w:t>
        </w:r>
        <w:r>
          <w:rPr>
            <w:color w:val="231F20"/>
            <w:w w:val="103"/>
          </w:rPr>
          <w:t>r</w:t>
        </w:r>
        <w:r>
          <w:rPr>
            <w:color w:val="231F20"/>
            <w:w w:val="94"/>
          </w:rPr>
          <w:t>a</w:t>
        </w:r>
        <w:r>
          <w:rPr>
            <w:color w:val="231F20"/>
            <w:w w:val="101"/>
          </w:rPr>
          <w:t>m</w:t>
        </w:r>
        <w:r>
          <w:rPr>
            <w:color w:val="231F20"/>
            <w:w w:val="96"/>
          </w:rPr>
          <w:t>e</w:t>
        </w:r>
        <w:r>
          <w:rPr>
            <w:color w:val="231F20"/>
            <w:w w:val="99"/>
          </w:rPr>
          <w:t>.h</w:t>
        </w:r>
        <w:r>
          <w:rPr>
            <w:color w:val="231F20"/>
            <w:w w:val="107"/>
          </w:rPr>
          <w:t>t</w:t>
        </w:r>
        <w:r>
          <w:rPr>
            <w:color w:val="231F20"/>
            <w:w w:val="101"/>
          </w:rPr>
          <w:t>m</w:t>
        </w:r>
        <w:r>
          <w:rPr>
            <w:color w:val="231F20"/>
            <w:w w:val="84"/>
          </w:rPr>
          <w:t>l</w:t>
        </w:r>
      </w:hyperlink>
    </w:p>
    <w:p>
      <w:pPr>
        <w:spacing w:after="0" w:line="244" w:lineRule="auto"/>
        <w:sectPr>
          <w:headerReference w:type="default" r:id="rId988"/>
          <w:footerReference w:type="default" r:id="rId989"/>
          <w:pgSz w:w="7830" w:h="11910"/>
          <w:pgMar w:header="0" w:footer="424" w:top="500" w:bottom="620" w:left="920" w:right="920"/>
          <w:pgNumType w:start="451"/>
        </w:sectPr>
      </w:pPr>
    </w:p>
    <w:p>
      <w:pPr>
        <w:spacing w:before="46"/>
        <w:ind w:left="596" w:right="5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16"/>
        </w:rPr>
      </w:pPr>
    </w:p>
    <w:p>
      <w:pPr>
        <w:pStyle w:val="BodyText"/>
        <w:spacing w:before="9"/>
        <w:rPr>
          <w:sz w:val="22"/>
        </w:rPr>
      </w:pPr>
    </w:p>
    <w:p>
      <w:pPr>
        <w:spacing w:line="244" w:lineRule="auto" w:before="0"/>
        <w:ind w:left="822" w:right="50" w:hanging="721"/>
        <w:jc w:val="left"/>
        <w:rPr>
          <w:sz w:val="21"/>
        </w:rPr>
      </w:pPr>
      <w:r>
        <w:rPr>
          <w:color w:val="231F20"/>
          <w:sz w:val="21"/>
        </w:rPr>
        <w:t>Leymann, Heinz. (1996). Contenido y desarrollo del acoso </w:t>
      </w:r>
      <w:r>
        <w:rPr>
          <w:color w:val="231F20"/>
          <w:w w:val="96"/>
          <w:sz w:val="21"/>
        </w:rPr>
        <w:t>gr</w:t>
      </w:r>
      <w:r>
        <w:rPr>
          <w:color w:val="231F20"/>
          <w:w w:val="100"/>
          <w:sz w:val="21"/>
        </w:rPr>
        <w:t>u</w:t>
      </w:r>
      <w:r>
        <w:rPr>
          <w:color w:val="231F20"/>
          <w:w w:val="104"/>
          <w:sz w:val="21"/>
        </w:rPr>
        <w:t>p</w:t>
      </w:r>
      <w:r>
        <w:rPr>
          <w:color w:val="231F20"/>
          <w:w w:val="90"/>
          <w:sz w:val="21"/>
        </w:rPr>
        <w:t>al</w:t>
      </w:r>
      <w:r>
        <w:rPr>
          <w:color w:val="231F20"/>
          <w:w w:val="185"/>
          <w:sz w:val="21"/>
        </w:rPr>
        <w:t>/</w:t>
      </w:r>
      <w:r>
        <w:rPr>
          <w:color w:val="231F20"/>
          <w:w w:val="101"/>
          <w:sz w:val="21"/>
        </w:rPr>
        <w:t>m</w:t>
      </w:r>
      <w:r>
        <w:rPr>
          <w:color w:val="231F20"/>
          <w:w w:val="104"/>
          <w:sz w:val="21"/>
        </w:rPr>
        <w:t>o</w:t>
      </w:r>
      <w:r>
        <w:rPr>
          <w:color w:val="231F20"/>
          <w:w w:val="103"/>
          <w:sz w:val="21"/>
        </w:rPr>
        <w:t>r</w:t>
      </w:r>
      <w:r>
        <w:rPr>
          <w:color w:val="231F20"/>
          <w:w w:val="90"/>
          <w:sz w:val="21"/>
        </w:rPr>
        <w:t>al</w:t>
      </w:r>
      <w:r>
        <w:rPr>
          <w:color w:val="231F20"/>
          <w:sz w:val="21"/>
        </w:rPr>
        <w:t> </w:t>
      </w:r>
      <w:r>
        <w:rPr>
          <w:i/>
          <w:color w:val="231F20"/>
          <w:w w:val="83"/>
          <w:sz w:val="21"/>
        </w:rPr>
        <w:t>(</w:t>
      </w:r>
      <w:r>
        <w:rPr>
          <w:i/>
          <w:color w:val="231F20"/>
          <w:w w:val="89"/>
          <w:sz w:val="21"/>
        </w:rPr>
        <w:t>m</w:t>
      </w:r>
      <w:r>
        <w:rPr>
          <w:i/>
          <w:color w:val="231F20"/>
          <w:w w:val="72"/>
          <w:sz w:val="21"/>
        </w:rPr>
        <w:t>o</w:t>
      </w:r>
      <w:r>
        <w:rPr>
          <w:i/>
          <w:color w:val="231F20"/>
          <w:w w:val="83"/>
          <w:sz w:val="21"/>
        </w:rPr>
        <w:t>bbi</w:t>
      </w:r>
      <w:r>
        <w:rPr>
          <w:i/>
          <w:color w:val="231F20"/>
          <w:w w:val="77"/>
          <w:sz w:val="21"/>
        </w:rPr>
        <w:t>ng</w:t>
      </w:r>
      <w:r>
        <w:rPr>
          <w:i/>
          <w:color w:val="231F20"/>
          <w:w w:val="83"/>
          <w:sz w:val="21"/>
        </w:rPr>
        <w:t>)</w:t>
      </w:r>
      <w:r>
        <w:rPr>
          <w:i/>
          <w:color w:val="231F20"/>
          <w:sz w:val="21"/>
        </w:rPr>
        <w:t> </w:t>
      </w:r>
      <w:r>
        <w:rPr>
          <w:color w:val="231F20"/>
          <w:w w:val="96"/>
          <w:sz w:val="21"/>
        </w:rPr>
        <w:t>e</w:t>
      </w:r>
      <w:r>
        <w:rPr>
          <w:color w:val="231F20"/>
          <w:w w:val="104"/>
          <w:sz w:val="21"/>
        </w:rPr>
        <w:t>n</w:t>
      </w:r>
      <w:r>
        <w:rPr>
          <w:color w:val="231F20"/>
          <w:sz w:val="21"/>
        </w:rPr>
        <w:t> </w:t>
      </w:r>
      <w:r>
        <w:rPr>
          <w:color w:val="231F20"/>
          <w:w w:val="96"/>
          <w:sz w:val="21"/>
        </w:rPr>
        <w:t>e</w:t>
      </w:r>
      <w:r>
        <w:rPr>
          <w:color w:val="231F20"/>
          <w:w w:val="84"/>
          <w:sz w:val="21"/>
        </w:rPr>
        <w:t>l</w:t>
      </w:r>
      <w:r>
        <w:rPr>
          <w:color w:val="231F20"/>
          <w:sz w:val="21"/>
        </w:rPr>
        <w:t> </w:t>
      </w:r>
      <w:r>
        <w:rPr>
          <w:color w:val="231F20"/>
          <w:w w:val="107"/>
          <w:sz w:val="21"/>
        </w:rPr>
        <w:t>t</w:t>
      </w:r>
      <w:r>
        <w:rPr>
          <w:color w:val="231F20"/>
          <w:w w:val="103"/>
          <w:sz w:val="21"/>
        </w:rPr>
        <w:t>r</w:t>
      </w:r>
      <w:r>
        <w:rPr>
          <w:color w:val="231F20"/>
          <w:w w:val="99"/>
          <w:sz w:val="21"/>
        </w:rPr>
        <w:t>ab</w:t>
      </w:r>
      <w:r>
        <w:rPr>
          <w:color w:val="231F20"/>
          <w:w w:val="90"/>
          <w:sz w:val="21"/>
        </w:rPr>
        <w:t>aj</w:t>
      </w:r>
      <w:r>
        <w:rPr>
          <w:color w:val="231F20"/>
          <w:w w:val="104"/>
          <w:sz w:val="21"/>
        </w:rPr>
        <w:t>o</w:t>
      </w:r>
      <w:r>
        <w:rPr>
          <w:i/>
          <w:color w:val="231F20"/>
          <w:w w:val="89"/>
          <w:sz w:val="21"/>
        </w:rPr>
        <w:t>.</w:t>
      </w:r>
      <w:r>
        <w:rPr>
          <w:i/>
          <w:color w:val="231F20"/>
          <w:sz w:val="21"/>
        </w:rPr>
        <w:t> </w:t>
      </w:r>
      <w:r>
        <w:rPr>
          <w:i/>
          <w:color w:val="231F20"/>
          <w:w w:val="115"/>
          <w:sz w:val="21"/>
        </w:rPr>
        <w:t>E</w:t>
      </w:r>
      <w:r>
        <w:rPr>
          <w:i/>
          <w:color w:val="231F20"/>
          <w:w w:val="87"/>
          <w:sz w:val="21"/>
        </w:rPr>
        <w:t>u</w:t>
      </w:r>
      <w:r>
        <w:rPr>
          <w:i/>
          <w:color w:val="231F20"/>
          <w:w w:val="78"/>
          <w:sz w:val="21"/>
        </w:rPr>
        <w:t>rop</w:t>
      </w:r>
      <w:r>
        <w:rPr>
          <w:i/>
          <w:color w:val="231F20"/>
          <w:w w:val="67"/>
          <w:sz w:val="21"/>
        </w:rPr>
        <w:t>e</w:t>
      </w:r>
      <w:r>
        <w:rPr>
          <w:i/>
          <w:color w:val="231F20"/>
          <w:w w:val="87"/>
          <w:sz w:val="21"/>
        </w:rPr>
        <w:t>n</w:t>
      </w:r>
      <w:r>
        <w:rPr>
          <w:i/>
          <w:color w:val="231F20"/>
          <w:w w:val="83"/>
          <w:sz w:val="21"/>
        </w:rPr>
        <w:t>a</w:t>
      </w:r>
      <w:r>
        <w:rPr>
          <w:i/>
          <w:color w:val="231F20"/>
          <w:sz w:val="21"/>
        </w:rPr>
        <w:t> </w:t>
      </w:r>
      <w:r>
        <w:rPr>
          <w:i/>
          <w:color w:val="231F20"/>
          <w:w w:val="77"/>
          <w:sz w:val="21"/>
        </w:rPr>
        <w:t>j</w:t>
      </w:r>
      <w:r>
        <w:rPr>
          <w:i/>
          <w:color w:val="231F20"/>
          <w:w w:val="80"/>
          <w:sz w:val="21"/>
        </w:rPr>
        <w:t>ou</w:t>
      </w:r>
      <w:r>
        <w:rPr>
          <w:i/>
          <w:color w:val="231F20"/>
          <w:w w:val="84"/>
          <w:sz w:val="21"/>
        </w:rPr>
        <w:t>rn</w:t>
      </w:r>
      <w:r>
        <w:rPr>
          <w:i/>
          <w:color w:val="231F20"/>
          <w:w w:val="83"/>
          <w:sz w:val="21"/>
        </w:rPr>
        <w:t>a</w:t>
      </w:r>
      <w:r>
        <w:rPr>
          <w:i/>
          <w:color w:val="231F20"/>
          <w:w w:val="80"/>
          <w:sz w:val="21"/>
        </w:rPr>
        <w:t>l</w:t>
      </w:r>
      <w:r>
        <w:rPr>
          <w:i/>
          <w:color w:val="231F20"/>
          <w:sz w:val="21"/>
        </w:rPr>
        <w:t> </w:t>
      </w:r>
      <w:r>
        <w:rPr>
          <w:i/>
          <w:color w:val="231F20"/>
          <w:w w:val="75"/>
          <w:sz w:val="21"/>
        </w:rPr>
        <w:t>of</w:t>
      </w:r>
      <w:r>
        <w:rPr>
          <w:i/>
          <w:color w:val="231F20"/>
          <w:sz w:val="21"/>
        </w:rPr>
        <w:t> </w:t>
      </w:r>
      <w:r>
        <w:rPr>
          <w:i/>
          <w:color w:val="231F20"/>
          <w:w w:val="81"/>
          <w:sz w:val="21"/>
        </w:rPr>
        <w:t>w</w:t>
      </w:r>
      <w:r>
        <w:rPr>
          <w:i/>
          <w:color w:val="231F20"/>
          <w:w w:val="90"/>
          <w:sz w:val="21"/>
        </w:rPr>
        <w:t>ork</w:t>
      </w:r>
      <w:r>
        <w:rPr>
          <w:i/>
          <w:color w:val="231F20"/>
          <w:w w:val="90"/>
          <w:sz w:val="21"/>
        </w:rPr>
        <w:t> </w:t>
      </w:r>
      <w:r>
        <w:rPr>
          <w:i/>
          <w:color w:val="231F20"/>
          <w:w w:val="85"/>
          <w:sz w:val="21"/>
        </w:rPr>
        <w:t>and organizational psychology</w:t>
      </w:r>
      <w:r>
        <w:rPr>
          <w:color w:val="231F20"/>
          <w:w w:val="85"/>
          <w:sz w:val="21"/>
        </w:rPr>
        <w:t>, 5(2),  165-184</w:t>
      </w:r>
    </w:p>
    <w:p>
      <w:pPr>
        <w:spacing w:line="244" w:lineRule="auto" w:before="3"/>
        <w:ind w:left="822" w:right="165" w:hanging="721"/>
        <w:jc w:val="left"/>
        <w:rPr>
          <w:sz w:val="21"/>
        </w:rPr>
      </w:pPr>
      <w:r>
        <w:rPr>
          <w:color w:val="231F20"/>
          <w:w w:val="90"/>
          <w:sz w:val="21"/>
        </w:rPr>
        <w:t>Organización Internacional del Trabajo. (2003). </w:t>
      </w:r>
      <w:r>
        <w:rPr>
          <w:i/>
          <w:color w:val="231F20"/>
          <w:w w:val="90"/>
          <w:sz w:val="21"/>
        </w:rPr>
        <w:t>Repertorio de </w:t>
      </w:r>
      <w:r>
        <w:rPr>
          <w:i/>
          <w:color w:val="231F20"/>
          <w:w w:val="85"/>
          <w:sz w:val="21"/>
        </w:rPr>
        <w:t>recomendaciones</w:t>
      </w:r>
      <w:r>
        <w:rPr>
          <w:i/>
          <w:color w:val="231F20"/>
          <w:spacing w:val="-21"/>
          <w:w w:val="85"/>
          <w:sz w:val="21"/>
        </w:rPr>
        <w:t> </w:t>
      </w:r>
      <w:r>
        <w:rPr>
          <w:i/>
          <w:color w:val="231F20"/>
          <w:w w:val="85"/>
          <w:sz w:val="21"/>
        </w:rPr>
        <w:t>prácticas</w:t>
      </w:r>
      <w:r>
        <w:rPr>
          <w:i/>
          <w:color w:val="231F20"/>
          <w:spacing w:val="-21"/>
          <w:w w:val="85"/>
          <w:sz w:val="21"/>
        </w:rPr>
        <w:t> </w:t>
      </w:r>
      <w:r>
        <w:rPr>
          <w:i/>
          <w:color w:val="231F20"/>
          <w:w w:val="85"/>
          <w:sz w:val="21"/>
        </w:rPr>
        <w:t>sobre</w:t>
      </w:r>
      <w:r>
        <w:rPr>
          <w:i/>
          <w:color w:val="231F20"/>
          <w:spacing w:val="-21"/>
          <w:w w:val="85"/>
          <w:sz w:val="21"/>
        </w:rPr>
        <w:t> </w:t>
      </w:r>
      <w:r>
        <w:rPr>
          <w:i/>
          <w:color w:val="231F20"/>
          <w:w w:val="85"/>
          <w:sz w:val="21"/>
        </w:rPr>
        <w:t>la</w:t>
      </w:r>
      <w:r>
        <w:rPr>
          <w:i/>
          <w:color w:val="231F20"/>
          <w:spacing w:val="-21"/>
          <w:w w:val="85"/>
          <w:sz w:val="21"/>
        </w:rPr>
        <w:t> </w:t>
      </w:r>
      <w:r>
        <w:rPr>
          <w:i/>
          <w:color w:val="231F20"/>
          <w:w w:val="85"/>
          <w:sz w:val="21"/>
        </w:rPr>
        <w:t>violencia</w:t>
      </w:r>
      <w:r>
        <w:rPr>
          <w:i/>
          <w:color w:val="231F20"/>
          <w:spacing w:val="-21"/>
          <w:w w:val="85"/>
          <w:sz w:val="21"/>
        </w:rPr>
        <w:t> </w:t>
      </w:r>
      <w:r>
        <w:rPr>
          <w:i/>
          <w:color w:val="231F20"/>
          <w:w w:val="85"/>
          <w:sz w:val="21"/>
        </w:rPr>
        <w:t>en</w:t>
      </w:r>
      <w:r>
        <w:rPr>
          <w:i/>
          <w:color w:val="231F20"/>
          <w:spacing w:val="-21"/>
          <w:w w:val="85"/>
          <w:sz w:val="21"/>
        </w:rPr>
        <w:t> </w:t>
      </w:r>
      <w:r>
        <w:rPr>
          <w:i/>
          <w:color w:val="231F20"/>
          <w:w w:val="85"/>
          <w:sz w:val="21"/>
        </w:rPr>
        <w:t>el</w:t>
      </w:r>
      <w:r>
        <w:rPr>
          <w:i/>
          <w:color w:val="231F20"/>
          <w:spacing w:val="-21"/>
          <w:w w:val="85"/>
          <w:sz w:val="21"/>
        </w:rPr>
        <w:t> </w:t>
      </w:r>
      <w:r>
        <w:rPr>
          <w:i/>
          <w:color w:val="231F20"/>
          <w:w w:val="85"/>
          <w:sz w:val="21"/>
        </w:rPr>
        <w:t>lugar</w:t>
      </w:r>
      <w:r>
        <w:rPr>
          <w:i/>
          <w:color w:val="231F20"/>
          <w:spacing w:val="-21"/>
          <w:w w:val="85"/>
          <w:sz w:val="21"/>
        </w:rPr>
        <w:t> </w:t>
      </w:r>
      <w:r>
        <w:rPr>
          <w:i/>
          <w:color w:val="231F20"/>
          <w:w w:val="85"/>
          <w:sz w:val="21"/>
        </w:rPr>
        <w:t>de</w:t>
      </w:r>
      <w:r>
        <w:rPr>
          <w:i/>
          <w:color w:val="231F20"/>
          <w:spacing w:val="-21"/>
          <w:w w:val="85"/>
          <w:sz w:val="21"/>
        </w:rPr>
        <w:t> </w:t>
      </w:r>
      <w:r>
        <w:rPr>
          <w:i/>
          <w:color w:val="231F20"/>
          <w:w w:val="85"/>
          <w:sz w:val="21"/>
        </w:rPr>
        <w:t>trabajo</w:t>
      </w:r>
      <w:r>
        <w:rPr>
          <w:i/>
          <w:color w:val="231F20"/>
          <w:spacing w:val="-21"/>
          <w:w w:val="85"/>
          <w:sz w:val="21"/>
        </w:rPr>
        <w:t> </w:t>
      </w:r>
      <w:r>
        <w:rPr>
          <w:i/>
          <w:color w:val="231F20"/>
          <w:w w:val="85"/>
          <w:sz w:val="21"/>
        </w:rPr>
        <w:t>en el sector de los servicios y medidas para combatirlas.</w:t>
      </w:r>
      <w:r>
        <w:rPr>
          <w:i/>
          <w:color w:val="231F20"/>
          <w:spacing w:val="-8"/>
          <w:w w:val="85"/>
          <w:sz w:val="21"/>
        </w:rPr>
        <w:t> </w:t>
      </w:r>
      <w:r>
        <w:rPr>
          <w:color w:val="231F20"/>
          <w:w w:val="85"/>
          <w:sz w:val="21"/>
        </w:rPr>
        <w:t>Ginebra.</w:t>
      </w:r>
    </w:p>
    <w:p>
      <w:pPr>
        <w:spacing w:line="244" w:lineRule="auto" w:before="3"/>
        <w:ind w:left="822" w:right="50" w:hanging="721"/>
        <w:jc w:val="left"/>
        <w:rPr>
          <w:i/>
          <w:sz w:val="21"/>
        </w:rPr>
      </w:pPr>
      <w:r>
        <w:rPr>
          <w:color w:val="231F20"/>
          <w:sz w:val="21"/>
        </w:rPr>
        <w:t>Pando-Moreno, Manuel. (2006). Tipos, comportamientos, perfiles y sus consecuencias psicológicas en el trabajo. </w:t>
      </w:r>
      <w:r>
        <w:rPr>
          <w:i/>
          <w:color w:val="231F20"/>
          <w:sz w:val="21"/>
        </w:rPr>
        <w:t>Revista </w:t>
      </w:r>
      <w:r>
        <w:rPr>
          <w:i/>
          <w:color w:val="231F20"/>
          <w:w w:val="85"/>
          <w:sz w:val="21"/>
        </w:rPr>
        <w:t>Jurisprudencia Argentina, 13.</w:t>
      </w:r>
    </w:p>
    <w:p>
      <w:pPr>
        <w:pStyle w:val="BodyText"/>
        <w:spacing w:line="247" w:lineRule="auto"/>
        <w:ind w:left="822" w:right="445" w:hanging="720"/>
      </w:pPr>
      <w:r>
        <w:rPr>
          <w:color w:val="231F20"/>
        </w:rPr>
        <w:t>Pando-Moreno, Manuel, Aranda-Beltrán, Carolina, Preciado- Serrano, María de Lourdes, Franco-Ramírez, Sergio Adalberto y Salazar-Estrada, José Guadalupe. (2006). Factores psicosociales de la organización asociados a la presencia</w:t>
      </w:r>
      <w:r>
        <w:rPr>
          <w:color w:val="231F20"/>
          <w:spacing w:val="-25"/>
        </w:rPr>
        <w:t> </w:t>
      </w:r>
      <w:r>
        <w:rPr>
          <w:color w:val="231F20"/>
        </w:rPr>
        <w:t>de</w:t>
      </w:r>
      <w:r>
        <w:rPr>
          <w:color w:val="231F20"/>
          <w:spacing w:val="-25"/>
        </w:rPr>
        <w:t> </w:t>
      </w:r>
      <w:r>
        <w:rPr>
          <w:i/>
          <w:color w:val="231F20"/>
        </w:rPr>
        <w:t>mobbing</w:t>
      </w:r>
      <w:r>
        <w:rPr>
          <w:i/>
          <w:color w:val="231F20"/>
          <w:spacing w:val="-25"/>
        </w:rPr>
        <w:t> </w:t>
      </w:r>
      <w:r>
        <w:rPr>
          <w:color w:val="231F20"/>
        </w:rPr>
        <w:t>en</w:t>
      </w:r>
      <w:r>
        <w:rPr>
          <w:color w:val="231F20"/>
          <w:spacing w:val="-25"/>
        </w:rPr>
        <w:t> </w:t>
      </w:r>
      <w:r>
        <w:rPr>
          <w:color w:val="231F20"/>
        </w:rPr>
        <w:t>docentes</w:t>
      </w:r>
      <w:r>
        <w:rPr>
          <w:color w:val="231F20"/>
          <w:spacing w:val="-25"/>
        </w:rPr>
        <w:t> </w:t>
      </w:r>
      <w:r>
        <w:rPr>
          <w:color w:val="231F20"/>
        </w:rPr>
        <w:t>universitarios.</w:t>
      </w:r>
      <w:r>
        <w:rPr>
          <w:color w:val="231F20"/>
          <w:spacing w:val="-25"/>
        </w:rPr>
        <w:t> </w:t>
      </w:r>
      <w:r>
        <w:rPr>
          <w:i/>
          <w:color w:val="231F20"/>
        </w:rPr>
        <w:t>Revista </w:t>
      </w:r>
      <w:r>
        <w:rPr>
          <w:i/>
          <w:color w:val="231F20"/>
          <w:w w:val="90"/>
        </w:rPr>
        <w:t>Psiquiatría</w:t>
      </w:r>
      <w:r>
        <w:rPr>
          <w:i/>
          <w:color w:val="231F20"/>
          <w:spacing w:val="-7"/>
          <w:w w:val="90"/>
        </w:rPr>
        <w:t> </w:t>
      </w:r>
      <w:r>
        <w:rPr>
          <w:i/>
          <w:color w:val="231F20"/>
          <w:w w:val="90"/>
        </w:rPr>
        <w:t>Facultad</w:t>
      </w:r>
      <w:r>
        <w:rPr>
          <w:i/>
          <w:color w:val="231F20"/>
          <w:spacing w:val="-7"/>
          <w:w w:val="90"/>
        </w:rPr>
        <w:t> </w:t>
      </w:r>
      <w:r>
        <w:rPr>
          <w:i/>
          <w:color w:val="231F20"/>
          <w:w w:val="90"/>
        </w:rPr>
        <w:t>de</w:t>
      </w:r>
      <w:r>
        <w:rPr>
          <w:i/>
          <w:color w:val="231F20"/>
          <w:spacing w:val="-8"/>
          <w:w w:val="90"/>
        </w:rPr>
        <w:t> </w:t>
      </w:r>
      <w:r>
        <w:rPr>
          <w:i/>
          <w:color w:val="231F20"/>
          <w:w w:val="90"/>
        </w:rPr>
        <w:t>Medicina,</w:t>
      </w:r>
      <w:r>
        <w:rPr>
          <w:i/>
          <w:color w:val="231F20"/>
          <w:spacing w:val="-8"/>
          <w:w w:val="90"/>
        </w:rPr>
        <w:t> </w:t>
      </w:r>
      <w:r>
        <w:rPr>
          <w:i/>
          <w:color w:val="231F20"/>
          <w:w w:val="90"/>
        </w:rPr>
        <w:t>33</w:t>
      </w:r>
      <w:r>
        <w:rPr>
          <w:color w:val="231F20"/>
          <w:w w:val="90"/>
        </w:rPr>
        <w:t>(1).</w:t>
      </w:r>
      <w:r>
        <w:rPr>
          <w:color w:val="231F20"/>
          <w:spacing w:val="-8"/>
          <w:w w:val="90"/>
        </w:rPr>
        <w:t> </w:t>
      </w:r>
      <w:r>
        <w:rPr>
          <w:color w:val="231F20"/>
          <w:w w:val="90"/>
        </w:rPr>
        <w:t>42-47.</w:t>
      </w:r>
    </w:p>
    <w:p>
      <w:pPr>
        <w:pStyle w:val="BodyText"/>
        <w:spacing w:before="1"/>
        <w:ind w:left="103" w:right="50"/>
      </w:pPr>
      <w:r>
        <w:rPr>
          <w:color w:val="231F20"/>
        </w:rPr>
        <w:t>Pando-Moreno, Manuel y Aranda-Beltrán, Carolina. (2007).</w:t>
      </w:r>
    </w:p>
    <w:p>
      <w:pPr>
        <w:spacing w:line="244" w:lineRule="auto" w:before="3"/>
        <w:ind w:left="823" w:right="164" w:firstLine="0"/>
        <w:jc w:val="left"/>
        <w:rPr>
          <w:sz w:val="21"/>
        </w:rPr>
      </w:pPr>
      <w:r>
        <w:rPr>
          <w:color w:val="231F20"/>
          <w:sz w:val="21"/>
        </w:rPr>
        <w:t>Violencia y acoso psicológico en el trabajo. Panorámica de </w:t>
      </w:r>
      <w:r>
        <w:rPr>
          <w:color w:val="231F20"/>
          <w:w w:val="95"/>
          <w:sz w:val="21"/>
        </w:rPr>
        <w:t>Guadalajara.</w:t>
      </w:r>
      <w:r>
        <w:rPr>
          <w:color w:val="231F20"/>
          <w:spacing w:val="-27"/>
          <w:w w:val="95"/>
          <w:sz w:val="21"/>
        </w:rPr>
        <w:t> </w:t>
      </w:r>
      <w:r>
        <w:rPr>
          <w:color w:val="231F20"/>
          <w:w w:val="95"/>
          <w:sz w:val="21"/>
        </w:rPr>
        <w:t>En</w:t>
      </w:r>
      <w:r>
        <w:rPr>
          <w:color w:val="231F20"/>
          <w:spacing w:val="-26"/>
          <w:w w:val="95"/>
          <w:sz w:val="21"/>
        </w:rPr>
        <w:t> </w:t>
      </w:r>
      <w:r>
        <w:rPr>
          <w:i/>
          <w:color w:val="231F20"/>
          <w:w w:val="95"/>
          <w:sz w:val="21"/>
        </w:rPr>
        <w:t>Cuando</w:t>
      </w:r>
      <w:r>
        <w:rPr>
          <w:i/>
          <w:color w:val="231F20"/>
          <w:spacing w:val="-26"/>
          <w:w w:val="95"/>
          <w:sz w:val="21"/>
        </w:rPr>
        <w:t> </w:t>
      </w:r>
      <w:r>
        <w:rPr>
          <w:i/>
          <w:color w:val="231F20"/>
          <w:w w:val="95"/>
          <w:sz w:val="21"/>
        </w:rPr>
        <w:t>el</w:t>
      </w:r>
      <w:r>
        <w:rPr>
          <w:i/>
          <w:color w:val="231F20"/>
          <w:spacing w:val="-27"/>
          <w:w w:val="95"/>
          <w:sz w:val="21"/>
        </w:rPr>
        <w:t> </w:t>
      </w:r>
      <w:r>
        <w:rPr>
          <w:i/>
          <w:color w:val="231F20"/>
          <w:w w:val="95"/>
          <w:sz w:val="21"/>
        </w:rPr>
        <w:t>trabajo</w:t>
      </w:r>
      <w:r>
        <w:rPr>
          <w:i/>
          <w:color w:val="231F20"/>
          <w:spacing w:val="-26"/>
          <w:w w:val="95"/>
          <w:sz w:val="21"/>
        </w:rPr>
        <w:t> </w:t>
      </w:r>
      <w:r>
        <w:rPr>
          <w:i/>
          <w:color w:val="231F20"/>
          <w:w w:val="95"/>
          <w:sz w:val="21"/>
        </w:rPr>
        <w:t>nos</w:t>
      </w:r>
      <w:r>
        <w:rPr>
          <w:i/>
          <w:color w:val="231F20"/>
          <w:spacing w:val="-27"/>
          <w:w w:val="95"/>
          <w:sz w:val="21"/>
        </w:rPr>
        <w:t> </w:t>
      </w:r>
      <w:r>
        <w:rPr>
          <w:i/>
          <w:color w:val="231F20"/>
          <w:w w:val="95"/>
          <w:sz w:val="21"/>
        </w:rPr>
        <w:t>castiga.</w:t>
      </w:r>
      <w:r>
        <w:rPr>
          <w:i/>
          <w:color w:val="231F20"/>
          <w:spacing w:val="-27"/>
          <w:w w:val="95"/>
          <w:sz w:val="21"/>
        </w:rPr>
        <w:t> </w:t>
      </w:r>
      <w:r>
        <w:rPr>
          <w:i/>
          <w:color w:val="231F20"/>
          <w:w w:val="95"/>
          <w:sz w:val="21"/>
        </w:rPr>
        <w:t>Debate</w:t>
      </w:r>
      <w:r>
        <w:rPr>
          <w:i/>
          <w:color w:val="231F20"/>
          <w:spacing w:val="-27"/>
          <w:w w:val="95"/>
          <w:sz w:val="21"/>
        </w:rPr>
        <w:t> </w:t>
      </w:r>
      <w:r>
        <w:rPr>
          <w:i/>
          <w:color w:val="231F20"/>
          <w:w w:val="95"/>
          <w:sz w:val="21"/>
        </w:rPr>
        <w:t>sobre</w:t>
      </w:r>
      <w:r>
        <w:rPr>
          <w:i/>
          <w:color w:val="231F20"/>
          <w:spacing w:val="-27"/>
          <w:w w:val="95"/>
          <w:sz w:val="21"/>
        </w:rPr>
        <w:t> </w:t>
      </w:r>
      <w:r>
        <w:rPr>
          <w:i/>
          <w:color w:val="231F20"/>
          <w:w w:val="95"/>
          <w:sz w:val="21"/>
        </w:rPr>
        <w:t>el </w:t>
      </w:r>
      <w:r>
        <w:rPr>
          <w:i/>
          <w:color w:val="231F20"/>
          <w:w w:val="95"/>
          <w:sz w:val="21"/>
        </w:rPr>
        <w:t>mobbing</w:t>
      </w:r>
      <w:r>
        <w:rPr>
          <w:i/>
          <w:color w:val="231F20"/>
          <w:spacing w:val="-7"/>
          <w:w w:val="95"/>
          <w:sz w:val="21"/>
        </w:rPr>
        <w:t> </w:t>
      </w:r>
      <w:r>
        <w:rPr>
          <w:i/>
          <w:color w:val="231F20"/>
          <w:w w:val="95"/>
          <w:sz w:val="21"/>
        </w:rPr>
        <w:t>en</w:t>
      </w:r>
      <w:r>
        <w:rPr>
          <w:i/>
          <w:color w:val="231F20"/>
          <w:spacing w:val="-6"/>
          <w:w w:val="95"/>
          <w:sz w:val="21"/>
        </w:rPr>
        <w:t> </w:t>
      </w:r>
      <w:r>
        <w:rPr>
          <w:i/>
          <w:color w:val="231F20"/>
          <w:w w:val="95"/>
          <w:sz w:val="21"/>
        </w:rPr>
        <w:t>México.</w:t>
      </w:r>
      <w:r>
        <w:rPr>
          <w:i/>
          <w:color w:val="231F20"/>
          <w:spacing w:val="-8"/>
          <w:w w:val="95"/>
          <w:sz w:val="21"/>
        </w:rPr>
        <w:t> </w:t>
      </w:r>
      <w:r>
        <w:rPr>
          <w:color w:val="231F20"/>
          <w:w w:val="95"/>
          <w:sz w:val="21"/>
        </w:rPr>
        <w:t>México</w:t>
      </w:r>
      <w:r>
        <w:rPr>
          <w:color w:val="231F20"/>
          <w:spacing w:val="-6"/>
          <w:w w:val="95"/>
          <w:sz w:val="21"/>
        </w:rPr>
        <w:t> </w:t>
      </w:r>
      <w:r>
        <w:rPr>
          <w:color w:val="231F20"/>
          <w:w w:val="95"/>
          <w:sz w:val="21"/>
        </w:rPr>
        <w:t>DF:</w:t>
      </w:r>
      <w:r>
        <w:rPr>
          <w:color w:val="231F20"/>
          <w:spacing w:val="-7"/>
          <w:w w:val="95"/>
          <w:sz w:val="21"/>
        </w:rPr>
        <w:t> </w:t>
      </w:r>
      <w:r>
        <w:rPr>
          <w:color w:val="231F20"/>
          <w:w w:val="95"/>
          <w:sz w:val="21"/>
        </w:rPr>
        <w:t>UAM;</w:t>
      </w:r>
      <w:r>
        <w:rPr>
          <w:color w:val="231F20"/>
          <w:spacing w:val="-7"/>
          <w:w w:val="95"/>
          <w:sz w:val="21"/>
        </w:rPr>
        <w:t> </w:t>
      </w:r>
      <w:r>
        <w:rPr>
          <w:color w:val="231F20"/>
          <w:w w:val="95"/>
          <w:sz w:val="21"/>
        </w:rPr>
        <w:t>Eón.</w:t>
      </w:r>
    </w:p>
    <w:p>
      <w:pPr>
        <w:pStyle w:val="BodyText"/>
        <w:spacing w:line="247" w:lineRule="auto" w:before="3"/>
        <w:ind w:left="823" w:right="132" w:hanging="720"/>
      </w:pPr>
      <w:r>
        <w:rPr>
          <w:color w:val="231F20"/>
        </w:rPr>
        <w:t>Pando-Moreno, Manuel, Aranda-Beltrán, Carolina, Torres-López, Teresa Margarita y Salazar-Estrada, José Guadalupe. (2010). Transtornos de sueño asociados a la violencia </w:t>
      </w:r>
      <w:r>
        <w:rPr>
          <w:color w:val="231F20"/>
          <w:w w:val="95"/>
        </w:rPr>
        <w:t>genérica en el trabajo y el </w:t>
      </w:r>
      <w:r>
        <w:rPr>
          <w:i/>
          <w:color w:val="231F20"/>
          <w:w w:val="95"/>
        </w:rPr>
        <w:t>mobbing</w:t>
      </w:r>
      <w:r>
        <w:rPr>
          <w:color w:val="231F20"/>
          <w:w w:val="95"/>
        </w:rPr>
        <w:t>. </w:t>
      </w:r>
      <w:r>
        <w:rPr>
          <w:i/>
          <w:color w:val="231F20"/>
          <w:w w:val="95"/>
        </w:rPr>
        <w:t>Ciencia y trabajo</w:t>
      </w:r>
      <w:r>
        <w:rPr>
          <w:color w:val="231F20"/>
          <w:w w:val="95"/>
        </w:rPr>
        <w:t>, (35).</w:t>
      </w:r>
    </w:p>
    <w:p>
      <w:pPr>
        <w:pStyle w:val="BodyText"/>
        <w:spacing w:line="244" w:lineRule="auto"/>
        <w:ind w:left="823" w:right="50"/>
      </w:pPr>
      <w:r>
        <w:rPr>
          <w:color w:val="231F20"/>
          <w:w w:val="105"/>
        </w:rPr>
        <w:t>Recuperado el 08 de septiembre de 2011, de </w:t>
      </w:r>
      <w:hyperlink r:id="rId993">
        <w:r>
          <w:rPr>
            <w:color w:val="231F20"/>
            <w:w w:val="104"/>
          </w:rPr>
          <w:t>h</w:t>
        </w:r>
        <w:r>
          <w:rPr>
            <w:color w:val="231F20"/>
            <w:w w:val="107"/>
          </w:rPr>
          <w:t>tt</w:t>
        </w:r>
        <w:r>
          <w:rPr>
            <w:color w:val="231F20"/>
            <w:w w:val="104"/>
          </w:rPr>
          <w:t>p</w:t>
        </w:r>
        <w:r>
          <w:rPr>
            <w:color w:val="231F20"/>
            <w:w w:val="133"/>
          </w:rPr>
          <w:t>:/</w:t>
        </w:r>
        <w:r>
          <w:rPr>
            <w:color w:val="231F20"/>
            <w:w w:val="185"/>
          </w:rPr>
          <w:t>/</w:t>
        </w:r>
        <w:r>
          <w:rPr>
            <w:color w:val="231F20"/>
            <w:w w:val="94"/>
          </w:rPr>
          <w:t>www</w:t>
        </w:r>
        <w:r>
          <w:rPr>
            <w:color w:val="231F20"/>
            <w:w w:val="94"/>
          </w:rPr>
          <w:t>.c</w:t>
        </w:r>
        <w:r>
          <w:rPr>
            <w:color w:val="231F20"/>
            <w:w w:val="92"/>
          </w:rPr>
          <w:t>ie</w:t>
        </w:r>
        <w:r>
          <w:rPr>
            <w:color w:val="231F20"/>
            <w:w w:val="104"/>
          </w:rPr>
          <w:t>n</w:t>
        </w:r>
        <w:r>
          <w:rPr>
            <w:color w:val="231F20"/>
            <w:w w:val="96"/>
          </w:rPr>
          <w:t>c</w:t>
        </w:r>
        <w:r>
          <w:rPr>
            <w:color w:val="231F20"/>
            <w:w w:val="90"/>
          </w:rPr>
          <w:t>ia</w:t>
        </w:r>
        <w:r>
          <w:rPr>
            <w:color w:val="231F20"/>
            <w:w w:val="85"/>
          </w:rPr>
          <w:t>y</w:t>
        </w:r>
        <w:r>
          <w:rPr>
            <w:color w:val="231F20"/>
            <w:w w:val="107"/>
          </w:rPr>
          <w:t>t</w:t>
        </w:r>
        <w:r>
          <w:rPr>
            <w:color w:val="231F20"/>
            <w:w w:val="103"/>
          </w:rPr>
          <w:t>r</w:t>
        </w:r>
        <w:r>
          <w:rPr>
            <w:color w:val="231F20"/>
            <w:w w:val="94"/>
          </w:rPr>
          <w:t>a</w:t>
        </w:r>
        <w:r>
          <w:rPr>
            <w:color w:val="231F20"/>
            <w:w w:val="104"/>
          </w:rPr>
          <w:t>b</w:t>
        </w:r>
        <w:r>
          <w:rPr>
            <w:color w:val="231F20"/>
            <w:w w:val="94"/>
          </w:rPr>
          <w:t>a</w:t>
        </w:r>
        <w:r>
          <w:rPr>
            <w:color w:val="231F20"/>
            <w:w w:val="97"/>
          </w:rPr>
          <w:t>jo</w:t>
        </w:r>
        <w:r>
          <w:rPr>
            <w:color w:val="231F20"/>
            <w:w w:val="94"/>
          </w:rPr>
          <w:t>.c</w:t>
        </w:r>
        <w:r>
          <w:rPr>
            <w:color w:val="231F20"/>
            <w:w w:val="134"/>
          </w:rPr>
          <w:t>l/</w:t>
        </w:r>
        <w:r>
          <w:rPr>
            <w:color w:val="231F20"/>
            <w:w w:val="96"/>
          </w:rPr>
          <w:t>c</w:t>
        </w:r>
        <w:r>
          <w:rPr>
            <w:color w:val="231F20"/>
            <w:w w:val="85"/>
          </w:rPr>
          <w:t>y</w:t>
        </w:r>
        <w:r>
          <w:rPr>
            <w:color w:val="231F20"/>
            <w:w w:val="107"/>
          </w:rPr>
          <w:t>t</w:t>
        </w:r>
        <w:r>
          <w:rPr>
            <w:color w:val="231F20"/>
            <w:w w:val="185"/>
          </w:rPr>
          <w:t>/</w:t>
        </w:r>
        <w:r>
          <w:rPr>
            <w:color w:val="231F20"/>
            <w:w w:val="104"/>
          </w:rPr>
          <w:t>P</w:t>
        </w:r>
        <w:r>
          <w:rPr>
            <w:color w:val="231F20"/>
            <w:w w:val="94"/>
          </w:rPr>
          <w:t>a</w:t>
        </w:r>
        <w:r>
          <w:rPr>
            <w:color w:val="231F20"/>
            <w:w w:val="92"/>
          </w:rPr>
          <w:t>g</w:t>
        </w:r>
        <w:r>
          <w:rPr>
            <w:color w:val="231F20"/>
            <w:w w:val="97"/>
          </w:rPr>
          <w:t>in</w:t>
        </w:r>
        <w:r>
          <w:rPr>
            <w:color w:val="231F20"/>
            <w:w w:val="94"/>
          </w:rPr>
          <w:t>a</w:t>
        </w:r>
        <w:r>
          <w:rPr>
            <w:color w:val="231F20"/>
            <w:w w:val="96"/>
          </w:rPr>
          <w:t>s</w:t>
        </w:r>
        <w:r>
          <w:rPr>
            <w:color w:val="231F20"/>
            <w:w w:val="185"/>
          </w:rPr>
          <w:t>/</w:t>
        </w:r>
        <w:r>
          <w:rPr>
            <w:color w:val="231F20"/>
            <w:w w:val="110"/>
          </w:rPr>
          <w:t>E</w:t>
        </w:r>
        <w:r>
          <w:rPr>
            <w:color w:val="231F20"/>
            <w:w w:val="102"/>
          </w:rPr>
          <w:t>d</w:t>
        </w:r>
        <w:r>
          <w:rPr>
            <w:color w:val="231F20"/>
            <w:w w:val="92"/>
          </w:rPr>
          <w:t>ic</w:t>
        </w:r>
        <w:r>
          <w:rPr>
            <w:color w:val="231F20"/>
            <w:w w:val="97"/>
          </w:rPr>
          <w:t>io</w:t>
        </w:r>
        <w:r>
          <w:rPr>
            <w:color w:val="231F20"/>
            <w:w w:val="104"/>
          </w:rPr>
          <w:t>n</w:t>
        </w:r>
        <w:r>
          <w:rPr>
            <w:color w:val="231F20"/>
            <w:w w:val="96"/>
          </w:rPr>
          <w:t>e</w:t>
        </w:r>
        <w:r>
          <w:rPr>
            <w:color w:val="231F20"/>
            <w:w w:val="96"/>
          </w:rPr>
          <w:t>s</w:t>
        </w:r>
        <w:r>
          <w:rPr>
            <w:color w:val="231F20"/>
            <w:w w:val="96"/>
          </w:rPr>
          <w:t>-</w:t>
        </w:r>
      </w:hyperlink>
      <w:r>
        <w:rPr>
          <w:color w:val="231F20"/>
          <w:w w:val="96"/>
        </w:rPr>
        <w:t> </w:t>
      </w:r>
      <w:r>
        <w:rPr>
          <w:color w:val="231F20"/>
          <w:w w:val="105"/>
        </w:rPr>
        <w:t>Anteriores.aspx</w:t>
      </w:r>
    </w:p>
    <w:p>
      <w:pPr>
        <w:spacing w:line="242" w:lineRule="auto" w:before="3"/>
        <w:ind w:left="823" w:right="723" w:hanging="721"/>
        <w:jc w:val="left"/>
        <w:rPr>
          <w:sz w:val="21"/>
        </w:rPr>
      </w:pPr>
      <w:r>
        <w:rPr>
          <w:color w:val="231F20"/>
          <w:w w:val="95"/>
          <w:sz w:val="21"/>
        </w:rPr>
        <w:t>Piñuel</w:t>
      </w:r>
      <w:r>
        <w:rPr>
          <w:color w:val="231F20"/>
          <w:spacing w:val="-29"/>
          <w:w w:val="95"/>
          <w:sz w:val="21"/>
        </w:rPr>
        <w:t> </w:t>
      </w:r>
      <w:r>
        <w:rPr>
          <w:color w:val="231F20"/>
          <w:w w:val="95"/>
          <w:sz w:val="21"/>
        </w:rPr>
        <w:t>y</w:t>
      </w:r>
      <w:r>
        <w:rPr>
          <w:color w:val="231F20"/>
          <w:spacing w:val="-29"/>
          <w:w w:val="95"/>
          <w:sz w:val="21"/>
        </w:rPr>
        <w:t> </w:t>
      </w:r>
      <w:r>
        <w:rPr>
          <w:color w:val="231F20"/>
          <w:w w:val="95"/>
          <w:sz w:val="21"/>
        </w:rPr>
        <w:t>Zabala,</w:t>
      </w:r>
      <w:r>
        <w:rPr>
          <w:color w:val="231F20"/>
          <w:spacing w:val="-29"/>
          <w:w w:val="95"/>
          <w:sz w:val="21"/>
        </w:rPr>
        <w:t> </w:t>
      </w:r>
      <w:r>
        <w:rPr>
          <w:color w:val="231F20"/>
          <w:w w:val="95"/>
          <w:sz w:val="21"/>
        </w:rPr>
        <w:t>Iñaki.</w:t>
      </w:r>
      <w:r>
        <w:rPr>
          <w:color w:val="231F20"/>
          <w:spacing w:val="-29"/>
          <w:w w:val="95"/>
          <w:sz w:val="21"/>
        </w:rPr>
        <w:t> </w:t>
      </w:r>
      <w:r>
        <w:rPr>
          <w:color w:val="231F20"/>
          <w:w w:val="95"/>
          <w:sz w:val="21"/>
        </w:rPr>
        <w:t>(2001).</w:t>
      </w:r>
      <w:r>
        <w:rPr>
          <w:color w:val="231F20"/>
          <w:spacing w:val="-29"/>
          <w:w w:val="95"/>
          <w:sz w:val="21"/>
        </w:rPr>
        <w:t> </w:t>
      </w:r>
      <w:r>
        <w:rPr>
          <w:i/>
          <w:color w:val="231F20"/>
          <w:w w:val="95"/>
          <w:sz w:val="21"/>
        </w:rPr>
        <w:t>Mobbing:</w:t>
      </w:r>
      <w:r>
        <w:rPr>
          <w:i/>
          <w:color w:val="231F20"/>
          <w:spacing w:val="-29"/>
          <w:w w:val="95"/>
          <w:sz w:val="21"/>
        </w:rPr>
        <w:t> </w:t>
      </w:r>
      <w:r>
        <w:rPr>
          <w:i/>
          <w:color w:val="231F20"/>
          <w:w w:val="95"/>
          <w:sz w:val="21"/>
        </w:rPr>
        <w:t>Cómo</w:t>
      </w:r>
      <w:r>
        <w:rPr>
          <w:i/>
          <w:color w:val="231F20"/>
          <w:spacing w:val="-29"/>
          <w:w w:val="95"/>
          <w:sz w:val="21"/>
        </w:rPr>
        <w:t> </w:t>
      </w:r>
      <w:r>
        <w:rPr>
          <w:i/>
          <w:color w:val="231F20"/>
          <w:w w:val="95"/>
          <w:sz w:val="21"/>
        </w:rPr>
        <w:t>sobrevivir</w:t>
      </w:r>
      <w:r>
        <w:rPr>
          <w:i/>
          <w:color w:val="231F20"/>
          <w:spacing w:val="-29"/>
          <w:w w:val="95"/>
          <w:sz w:val="21"/>
        </w:rPr>
        <w:t> </w:t>
      </w:r>
      <w:r>
        <w:rPr>
          <w:i/>
          <w:color w:val="231F20"/>
          <w:w w:val="95"/>
          <w:sz w:val="21"/>
        </w:rPr>
        <w:t>al</w:t>
      </w:r>
      <w:r>
        <w:rPr>
          <w:i/>
          <w:color w:val="231F20"/>
          <w:spacing w:val="-29"/>
          <w:w w:val="95"/>
          <w:sz w:val="21"/>
        </w:rPr>
        <w:t> </w:t>
      </w:r>
      <w:r>
        <w:rPr>
          <w:i/>
          <w:color w:val="231F20"/>
          <w:w w:val="95"/>
          <w:sz w:val="21"/>
        </w:rPr>
        <w:t>acoso </w:t>
      </w:r>
      <w:r>
        <w:rPr>
          <w:i/>
          <w:color w:val="231F20"/>
          <w:w w:val="90"/>
          <w:sz w:val="21"/>
        </w:rPr>
        <w:t>psicológico</w:t>
      </w:r>
      <w:r>
        <w:rPr>
          <w:i/>
          <w:color w:val="231F20"/>
          <w:spacing w:val="-9"/>
          <w:w w:val="90"/>
          <w:sz w:val="21"/>
        </w:rPr>
        <w:t> </w:t>
      </w:r>
      <w:r>
        <w:rPr>
          <w:i/>
          <w:color w:val="231F20"/>
          <w:w w:val="90"/>
          <w:sz w:val="21"/>
        </w:rPr>
        <w:t>en</w:t>
      </w:r>
      <w:r>
        <w:rPr>
          <w:i/>
          <w:color w:val="231F20"/>
          <w:spacing w:val="-9"/>
          <w:w w:val="90"/>
          <w:sz w:val="21"/>
        </w:rPr>
        <w:t> </w:t>
      </w:r>
      <w:r>
        <w:rPr>
          <w:i/>
          <w:color w:val="231F20"/>
          <w:w w:val="90"/>
          <w:sz w:val="21"/>
        </w:rPr>
        <w:t>el</w:t>
      </w:r>
      <w:r>
        <w:rPr>
          <w:i/>
          <w:color w:val="231F20"/>
          <w:spacing w:val="-9"/>
          <w:w w:val="90"/>
          <w:sz w:val="21"/>
        </w:rPr>
        <w:t> </w:t>
      </w:r>
      <w:r>
        <w:rPr>
          <w:i/>
          <w:color w:val="231F20"/>
          <w:w w:val="90"/>
          <w:sz w:val="21"/>
        </w:rPr>
        <w:t>trabajo.</w:t>
      </w:r>
      <w:r>
        <w:rPr>
          <w:i/>
          <w:color w:val="231F20"/>
          <w:spacing w:val="-9"/>
          <w:w w:val="90"/>
          <w:sz w:val="21"/>
        </w:rPr>
        <w:t> </w:t>
      </w:r>
      <w:r>
        <w:rPr>
          <w:color w:val="231F20"/>
          <w:w w:val="90"/>
          <w:sz w:val="21"/>
        </w:rPr>
        <w:t>Santander:</w:t>
      </w:r>
      <w:r>
        <w:rPr>
          <w:color w:val="231F20"/>
          <w:spacing w:val="-9"/>
          <w:w w:val="90"/>
          <w:sz w:val="21"/>
        </w:rPr>
        <w:t> </w:t>
      </w:r>
      <w:r>
        <w:rPr>
          <w:color w:val="231F20"/>
          <w:w w:val="90"/>
          <w:sz w:val="21"/>
        </w:rPr>
        <w:t>Sal</w:t>
      </w:r>
      <w:r>
        <w:rPr>
          <w:color w:val="231F20"/>
          <w:spacing w:val="-9"/>
          <w:w w:val="90"/>
          <w:sz w:val="21"/>
        </w:rPr>
        <w:t> </w:t>
      </w:r>
      <w:r>
        <w:rPr>
          <w:color w:val="231F20"/>
          <w:w w:val="90"/>
          <w:sz w:val="21"/>
        </w:rPr>
        <w:t>Terrae.</w:t>
      </w:r>
    </w:p>
    <w:p>
      <w:pPr>
        <w:spacing w:line="247" w:lineRule="auto" w:before="6"/>
        <w:ind w:left="823" w:right="50" w:hanging="721"/>
        <w:jc w:val="left"/>
        <w:rPr>
          <w:sz w:val="21"/>
        </w:rPr>
      </w:pPr>
      <w:r>
        <w:rPr>
          <w:color w:val="231F20"/>
          <w:sz w:val="21"/>
        </w:rPr>
        <w:t>Ministerio de Protección Social, Universidad de Antioquía. (2004). </w:t>
      </w:r>
      <w:r>
        <w:rPr>
          <w:i/>
          <w:color w:val="231F20"/>
          <w:w w:val="135"/>
          <w:sz w:val="21"/>
        </w:rPr>
        <w:t>V</w:t>
      </w:r>
      <w:r>
        <w:rPr>
          <w:i/>
          <w:color w:val="231F20"/>
          <w:w w:val="84"/>
          <w:sz w:val="21"/>
        </w:rPr>
        <w:t>i</w:t>
      </w:r>
      <w:r>
        <w:rPr>
          <w:i/>
          <w:color w:val="231F20"/>
          <w:w w:val="75"/>
          <w:sz w:val="21"/>
        </w:rPr>
        <w:t>ol</w:t>
      </w:r>
      <w:r>
        <w:rPr>
          <w:i/>
          <w:color w:val="231F20"/>
          <w:w w:val="67"/>
          <w:sz w:val="21"/>
        </w:rPr>
        <w:t>e</w:t>
      </w:r>
      <w:r>
        <w:rPr>
          <w:i/>
          <w:color w:val="231F20"/>
          <w:w w:val="87"/>
          <w:sz w:val="21"/>
        </w:rPr>
        <w:t>n</w:t>
      </w:r>
      <w:r>
        <w:rPr>
          <w:i/>
          <w:color w:val="231F20"/>
          <w:w w:val="62"/>
          <w:sz w:val="21"/>
        </w:rPr>
        <w:t>c</w:t>
      </w:r>
      <w:r>
        <w:rPr>
          <w:i/>
          <w:color w:val="231F20"/>
          <w:w w:val="84"/>
          <w:sz w:val="21"/>
        </w:rPr>
        <w:t>i</w:t>
      </w:r>
      <w:r>
        <w:rPr>
          <w:i/>
          <w:color w:val="231F20"/>
          <w:w w:val="83"/>
          <w:sz w:val="21"/>
        </w:rPr>
        <w:t>a</w:t>
      </w:r>
      <w:r>
        <w:rPr>
          <w:i/>
          <w:color w:val="231F20"/>
          <w:sz w:val="21"/>
        </w:rPr>
        <w:t> </w:t>
      </w:r>
      <w:r>
        <w:rPr>
          <w:i/>
          <w:color w:val="231F20"/>
          <w:w w:val="67"/>
          <w:sz w:val="21"/>
        </w:rPr>
        <w:t>e</w:t>
      </w:r>
      <w:r>
        <w:rPr>
          <w:i/>
          <w:color w:val="231F20"/>
          <w:w w:val="87"/>
          <w:sz w:val="21"/>
        </w:rPr>
        <w:t>n</w:t>
      </w:r>
      <w:r>
        <w:rPr>
          <w:i/>
          <w:color w:val="231F20"/>
          <w:sz w:val="21"/>
        </w:rPr>
        <w:t> </w:t>
      </w:r>
      <w:r>
        <w:rPr>
          <w:i/>
          <w:color w:val="231F20"/>
          <w:w w:val="67"/>
          <w:sz w:val="21"/>
        </w:rPr>
        <w:t>e</w:t>
      </w:r>
      <w:r>
        <w:rPr>
          <w:i/>
          <w:color w:val="231F20"/>
          <w:w w:val="80"/>
          <w:sz w:val="21"/>
        </w:rPr>
        <w:t>l</w:t>
      </w:r>
      <w:r>
        <w:rPr>
          <w:i/>
          <w:color w:val="231F20"/>
          <w:sz w:val="21"/>
        </w:rPr>
        <w:t> </w:t>
      </w:r>
      <w:r>
        <w:rPr>
          <w:i/>
          <w:color w:val="231F20"/>
          <w:w w:val="92"/>
          <w:sz w:val="21"/>
        </w:rPr>
        <w:t>t</w:t>
      </w:r>
      <w:r>
        <w:rPr>
          <w:i/>
          <w:color w:val="231F20"/>
          <w:w w:val="81"/>
          <w:sz w:val="21"/>
        </w:rPr>
        <w:t>ra</w:t>
      </w:r>
      <w:r>
        <w:rPr>
          <w:i/>
          <w:color w:val="231F20"/>
          <w:w w:val="83"/>
          <w:sz w:val="21"/>
        </w:rPr>
        <w:t>ba</w:t>
      </w:r>
      <w:r>
        <w:rPr>
          <w:i/>
          <w:color w:val="231F20"/>
          <w:w w:val="77"/>
          <w:sz w:val="21"/>
        </w:rPr>
        <w:t>j</w:t>
      </w:r>
      <w:r>
        <w:rPr>
          <w:i/>
          <w:color w:val="231F20"/>
          <w:w w:val="78"/>
          <w:sz w:val="21"/>
        </w:rPr>
        <w:t>o.</w:t>
      </w:r>
      <w:r>
        <w:rPr>
          <w:i/>
          <w:color w:val="231F20"/>
          <w:sz w:val="21"/>
        </w:rPr>
        <w:t> </w:t>
      </w:r>
      <w:r>
        <w:rPr>
          <w:i/>
          <w:color w:val="231F20"/>
          <w:w w:val="96"/>
          <w:sz w:val="21"/>
        </w:rPr>
        <w:t>F</w:t>
      </w:r>
      <w:r>
        <w:rPr>
          <w:i/>
          <w:color w:val="231F20"/>
          <w:w w:val="81"/>
          <w:sz w:val="21"/>
        </w:rPr>
        <w:t>orm</w:t>
      </w:r>
      <w:r>
        <w:rPr>
          <w:i/>
          <w:color w:val="231F20"/>
          <w:w w:val="83"/>
          <w:sz w:val="21"/>
        </w:rPr>
        <w:t>a</w:t>
      </w:r>
      <w:r>
        <w:rPr>
          <w:i/>
          <w:color w:val="231F20"/>
          <w:w w:val="77"/>
          <w:sz w:val="21"/>
        </w:rPr>
        <w:t>s</w:t>
      </w:r>
      <w:r>
        <w:rPr>
          <w:i/>
          <w:color w:val="231F20"/>
          <w:sz w:val="21"/>
        </w:rPr>
        <w:t> </w:t>
      </w:r>
      <w:r>
        <w:rPr>
          <w:i/>
          <w:color w:val="231F20"/>
          <w:w w:val="77"/>
          <w:sz w:val="21"/>
        </w:rPr>
        <w:t>y</w:t>
      </w:r>
      <w:r>
        <w:rPr>
          <w:i/>
          <w:color w:val="231F20"/>
          <w:sz w:val="21"/>
        </w:rPr>
        <w:t> </w:t>
      </w:r>
      <w:r>
        <w:rPr>
          <w:i/>
          <w:color w:val="231F20"/>
          <w:w w:val="62"/>
          <w:sz w:val="21"/>
        </w:rPr>
        <w:t>c</w:t>
      </w:r>
      <w:r>
        <w:rPr>
          <w:i/>
          <w:color w:val="231F20"/>
          <w:w w:val="80"/>
          <w:sz w:val="21"/>
        </w:rPr>
        <w:t>on</w:t>
      </w:r>
      <w:r>
        <w:rPr>
          <w:i/>
          <w:color w:val="231F20"/>
          <w:w w:val="77"/>
          <w:sz w:val="21"/>
        </w:rPr>
        <w:t>s</w:t>
      </w:r>
      <w:r>
        <w:rPr>
          <w:i/>
          <w:color w:val="231F20"/>
          <w:w w:val="67"/>
          <w:sz w:val="21"/>
        </w:rPr>
        <w:t>e</w:t>
      </w:r>
      <w:r>
        <w:rPr>
          <w:i/>
          <w:color w:val="231F20"/>
          <w:w w:val="62"/>
          <w:sz w:val="21"/>
        </w:rPr>
        <w:t>c</w:t>
      </w:r>
      <w:r>
        <w:rPr>
          <w:i/>
          <w:color w:val="231F20"/>
          <w:w w:val="87"/>
          <w:sz w:val="21"/>
        </w:rPr>
        <w:t>u</w:t>
      </w:r>
      <w:r>
        <w:rPr>
          <w:i/>
          <w:color w:val="231F20"/>
          <w:w w:val="67"/>
          <w:sz w:val="21"/>
        </w:rPr>
        <w:t>e</w:t>
      </w:r>
      <w:r>
        <w:rPr>
          <w:i/>
          <w:color w:val="231F20"/>
          <w:w w:val="87"/>
          <w:sz w:val="21"/>
        </w:rPr>
        <w:t>n</w:t>
      </w:r>
      <w:r>
        <w:rPr>
          <w:i/>
          <w:color w:val="231F20"/>
          <w:w w:val="62"/>
          <w:sz w:val="21"/>
        </w:rPr>
        <w:t>c</w:t>
      </w:r>
      <w:r>
        <w:rPr>
          <w:i/>
          <w:color w:val="231F20"/>
          <w:w w:val="84"/>
          <w:sz w:val="21"/>
        </w:rPr>
        <w:t>i</w:t>
      </w:r>
      <w:r>
        <w:rPr>
          <w:i/>
          <w:color w:val="231F20"/>
          <w:w w:val="83"/>
          <w:sz w:val="21"/>
        </w:rPr>
        <w:t>a</w:t>
      </w:r>
      <w:r>
        <w:rPr>
          <w:i/>
          <w:color w:val="231F20"/>
          <w:w w:val="77"/>
          <w:sz w:val="21"/>
        </w:rPr>
        <w:t>s</w:t>
      </w:r>
      <w:r>
        <w:rPr>
          <w:i/>
          <w:color w:val="231F20"/>
          <w:sz w:val="21"/>
        </w:rPr>
        <w:t> </w:t>
      </w:r>
      <w:r>
        <w:rPr>
          <w:i/>
          <w:color w:val="231F20"/>
          <w:w w:val="83"/>
          <w:sz w:val="21"/>
        </w:rPr>
        <w:t>d</w:t>
      </w:r>
      <w:r>
        <w:rPr>
          <w:i/>
          <w:color w:val="231F20"/>
          <w:w w:val="67"/>
          <w:sz w:val="21"/>
        </w:rPr>
        <w:t>e</w:t>
      </w:r>
      <w:r>
        <w:rPr>
          <w:i/>
          <w:color w:val="231F20"/>
          <w:sz w:val="21"/>
        </w:rPr>
        <w:t> </w:t>
      </w:r>
      <w:r>
        <w:rPr>
          <w:i/>
          <w:color w:val="231F20"/>
          <w:w w:val="80"/>
          <w:sz w:val="21"/>
        </w:rPr>
        <w:t>l</w:t>
      </w:r>
      <w:r>
        <w:rPr>
          <w:i/>
          <w:color w:val="231F20"/>
          <w:w w:val="83"/>
          <w:sz w:val="21"/>
        </w:rPr>
        <w:t>a</w:t>
      </w:r>
      <w:r>
        <w:rPr>
          <w:i/>
          <w:color w:val="231F20"/>
          <w:sz w:val="21"/>
        </w:rPr>
        <w:t> </w:t>
      </w:r>
      <w:r>
        <w:rPr>
          <w:i/>
          <w:color w:val="231F20"/>
          <w:w w:val="81"/>
          <w:sz w:val="21"/>
        </w:rPr>
        <w:t>vi</w:t>
      </w:r>
      <w:r>
        <w:rPr>
          <w:i/>
          <w:color w:val="231F20"/>
          <w:w w:val="75"/>
          <w:sz w:val="21"/>
        </w:rPr>
        <w:t>ol</w:t>
      </w:r>
      <w:r>
        <w:rPr>
          <w:i/>
          <w:color w:val="231F20"/>
          <w:w w:val="67"/>
          <w:sz w:val="21"/>
        </w:rPr>
        <w:t>e</w:t>
      </w:r>
      <w:r>
        <w:rPr>
          <w:i/>
          <w:color w:val="231F20"/>
          <w:w w:val="87"/>
          <w:sz w:val="21"/>
        </w:rPr>
        <w:t>n</w:t>
      </w:r>
      <w:r>
        <w:rPr>
          <w:i/>
          <w:color w:val="231F20"/>
          <w:w w:val="62"/>
          <w:sz w:val="21"/>
        </w:rPr>
        <w:t>c</w:t>
      </w:r>
      <w:r>
        <w:rPr>
          <w:i/>
          <w:color w:val="231F20"/>
          <w:w w:val="84"/>
          <w:sz w:val="21"/>
        </w:rPr>
        <w:t>i</w:t>
      </w:r>
      <w:r>
        <w:rPr>
          <w:i/>
          <w:color w:val="231F20"/>
          <w:w w:val="83"/>
          <w:sz w:val="21"/>
        </w:rPr>
        <w:t>a</w:t>
      </w:r>
      <w:r>
        <w:rPr>
          <w:i/>
          <w:color w:val="231F20"/>
          <w:sz w:val="21"/>
        </w:rPr>
        <w:t> </w:t>
      </w:r>
      <w:r>
        <w:rPr>
          <w:i/>
          <w:color w:val="231F20"/>
          <w:w w:val="67"/>
          <w:sz w:val="21"/>
        </w:rPr>
        <w:t>e</w:t>
      </w:r>
      <w:r>
        <w:rPr>
          <w:i/>
          <w:color w:val="231F20"/>
          <w:w w:val="87"/>
          <w:sz w:val="21"/>
        </w:rPr>
        <w:t>n</w:t>
      </w:r>
      <w:r>
        <w:rPr>
          <w:i/>
          <w:color w:val="231F20"/>
          <w:sz w:val="21"/>
        </w:rPr>
        <w:t> </w:t>
      </w:r>
      <w:r>
        <w:rPr>
          <w:i/>
          <w:color w:val="231F20"/>
          <w:w w:val="67"/>
          <w:sz w:val="21"/>
        </w:rPr>
        <w:t>e</w:t>
      </w:r>
      <w:r>
        <w:rPr>
          <w:i/>
          <w:color w:val="231F20"/>
          <w:w w:val="80"/>
          <w:sz w:val="21"/>
        </w:rPr>
        <w:t>l</w:t>
      </w:r>
      <w:r>
        <w:rPr>
          <w:i/>
          <w:color w:val="231F20"/>
          <w:w w:val="80"/>
          <w:sz w:val="21"/>
        </w:rPr>
        <w:t> </w:t>
      </w:r>
      <w:r>
        <w:rPr>
          <w:i/>
          <w:color w:val="231F20"/>
          <w:sz w:val="21"/>
        </w:rPr>
        <w:t>trabajo. </w:t>
      </w:r>
      <w:r>
        <w:rPr>
          <w:color w:val="231F20"/>
          <w:sz w:val="21"/>
        </w:rPr>
        <w:t>Medellín: Dirección General de Riesgos Profesionales.</w:t>
      </w:r>
    </w:p>
    <w:p>
      <w:pPr>
        <w:spacing w:line="247" w:lineRule="auto" w:before="0"/>
        <w:ind w:left="823" w:right="466" w:hanging="720"/>
        <w:jc w:val="left"/>
        <w:rPr>
          <w:sz w:val="21"/>
        </w:rPr>
      </w:pPr>
      <w:r>
        <w:rPr>
          <w:color w:val="231F20"/>
          <w:sz w:val="21"/>
        </w:rPr>
        <w:t>Zapt, Dieter &amp; Gross, Claudia. (2001). Conflict Escalation and Coping with Workplace Bullying. A Replication and </w:t>
      </w:r>
      <w:r>
        <w:rPr>
          <w:color w:val="231F20"/>
          <w:w w:val="95"/>
          <w:sz w:val="21"/>
        </w:rPr>
        <w:t>Extension. </w:t>
      </w:r>
      <w:r>
        <w:rPr>
          <w:i/>
          <w:color w:val="231F20"/>
          <w:w w:val="95"/>
          <w:sz w:val="21"/>
        </w:rPr>
        <w:t>European Journal of Work and Organizational </w:t>
      </w:r>
      <w:r>
        <w:rPr>
          <w:i/>
          <w:color w:val="231F20"/>
          <w:w w:val="90"/>
          <w:sz w:val="21"/>
        </w:rPr>
        <w:t>Psychology, 10</w:t>
      </w:r>
      <w:r>
        <w:rPr>
          <w:color w:val="231F20"/>
          <w:w w:val="90"/>
          <w:sz w:val="21"/>
        </w:rPr>
        <w:t>(4), 497-522.</w:t>
      </w:r>
    </w:p>
    <w:p>
      <w:pPr>
        <w:spacing w:after="0" w:line="247" w:lineRule="auto"/>
        <w:jc w:val="left"/>
        <w:rPr>
          <w:sz w:val="21"/>
        </w:rPr>
        <w:sectPr>
          <w:headerReference w:type="default" r:id="rId991"/>
          <w:footerReference w:type="default" r:id="rId992"/>
          <w:pgSz w:w="7830" w:h="11910"/>
          <w:pgMar w:header="0" w:footer="424" w:top="500" w:bottom="620" w:left="920" w:right="940"/>
          <w:pgNumType w:start="452"/>
        </w:sectPr>
      </w:pPr>
    </w:p>
    <w:p>
      <w:pPr>
        <w:pStyle w:val="BodyText"/>
        <w:ind w:left="484"/>
        <w:rPr>
          <w:sz w:val="20"/>
        </w:rPr>
      </w:pPr>
      <w:r>
        <w:rPr>
          <w:sz w:val="20"/>
        </w:rPr>
        <w:pict>
          <v:group style="width:248.8pt;height:37.4pt;mso-position-horizontal-relative:char;mso-position-vertical-relative:line" coordorigin="0,0" coordsize="4976,748">
            <v:rect style="position:absolute;left:0;top:0;width:4976;height:748" filled="true" fillcolor="#ffffff" stroked="false">
              <v:fill type="solid"/>
            </v:rect>
          </v:group>
        </w:pict>
      </w:r>
      <w:r>
        <w:rPr>
          <w:sz w:val="20"/>
        </w:rPr>
      </w:r>
    </w:p>
    <w:p>
      <w:pPr>
        <w:spacing w:line="319" w:lineRule="exact" w:before="8"/>
        <w:ind w:left="102" w:right="0" w:firstLine="0"/>
        <w:jc w:val="both"/>
        <w:rPr>
          <w:sz w:val="24"/>
        </w:rPr>
      </w:pPr>
      <w:r>
        <w:rPr/>
        <w:pict>
          <v:shape style="position:absolute;margin-left:70.240997pt;margin-top:-38.450073pt;width:248.8pt;height:37.4pt;mso-position-horizontal-relative:page;mso-position-vertical-relative:paragraph;z-index:-481960" type="#_x0000_t202" filled="false" stroked="false">
            <v:textbox inset="0,0,0,0">
              <w:txbxContent>
                <w:p>
                  <w:pPr>
                    <w:pStyle w:val="BodyText"/>
                    <w:spacing w:before="9"/>
                    <w:rPr>
                      <w:b/>
                      <w:sz w:val="13"/>
                    </w:rPr>
                  </w:pPr>
                </w:p>
                <w:p>
                  <w:pPr>
                    <w:spacing w:before="1"/>
                    <w:ind w:left="978" w:right="0" w:firstLine="0"/>
                    <w:jc w:val="left"/>
                    <w:rPr>
                      <w:sz w:val="13"/>
                    </w:rPr>
                  </w:pPr>
                  <w:r>
                    <w:rPr>
                      <w:color w:val="231F20"/>
                      <w:sz w:val="16"/>
                    </w:rPr>
                    <w:t>E</w:t>
                  </w:r>
                  <w:r>
                    <w:rPr>
                      <w:color w:val="231F20"/>
                      <w:sz w:val="13"/>
                    </w:rPr>
                    <w:t>STUDIOS SOBRE VIOLENCIA EN LA EDUCACIÓN</w:t>
                  </w:r>
                </w:p>
              </w:txbxContent>
            </v:textbox>
            <w10:wrap type="none"/>
          </v:shape>
        </w:pict>
      </w:r>
      <w:r>
        <w:rPr>
          <w:b/>
          <w:color w:val="231F20"/>
          <w:sz w:val="28"/>
        </w:rPr>
        <w:t>ANEXO</w:t>
      </w:r>
      <w:r>
        <w:rPr>
          <w:color w:val="231F20"/>
          <w:sz w:val="24"/>
        </w:rPr>
        <w:t>:</w:t>
      </w:r>
    </w:p>
    <w:p>
      <w:pPr>
        <w:pStyle w:val="Heading2"/>
        <w:spacing w:line="259" w:lineRule="auto"/>
        <w:ind w:left="102" w:right="635"/>
        <w:rPr>
          <w:rFonts w:ascii="Georgia" w:hAnsi="Georgia"/>
          <w:sz w:val="24"/>
        </w:rPr>
      </w:pPr>
      <w:r>
        <w:rPr>
          <w:color w:val="231F20"/>
          <w:sz w:val="28"/>
        </w:rPr>
        <w:t>I</w:t>
      </w:r>
      <w:r>
        <w:rPr>
          <w:rFonts w:ascii="Georgia" w:hAnsi="Georgia"/>
          <w:color w:val="231F20"/>
        </w:rPr>
        <w:t>NVENTARIO DE VIOLENC</w:t>
      </w:r>
      <w:r>
        <w:rPr>
          <w:color w:val="231F20"/>
        </w:rPr>
        <w:t>IA Y ACOSO PSICOLÓGICO EN EL TRABAJO </w:t>
      </w:r>
      <w:r>
        <w:rPr>
          <w:color w:val="231F20"/>
          <w:sz w:val="24"/>
        </w:rPr>
        <w:t>(IVAPT-</w:t>
      </w:r>
      <w:r>
        <w:rPr>
          <w:rFonts w:ascii="Georgia" w:hAnsi="Georgia"/>
          <w:color w:val="231F20"/>
          <w:sz w:val="24"/>
        </w:rPr>
        <w:t>PANDO)</w:t>
      </w:r>
    </w:p>
    <w:p>
      <w:pPr>
        <w:pStyle w:val="BodyText"/>
        <w:spacing w:before="3"/>
        <w:rPr>
          <w:rFonts w:ascii="Georgia"/>
          <w:b/>
          <w:sz w:val="27"/>
        </w:rPr>
      </w:pPr>
    </w:p>
    <w:p>
      <w:pPr>
        <w:pStyle w:val="BodyText"/>
        <w:ind w:left="102"/>
        <w:jc w:val="both"/>
      </w:pPr>
      <w:r>
        <w:rPr>
          <w:color w:val="231F20"/>
        </w:rPr>
        <w:t>Manuel Pando-Moreno</w:t>
      </w:r>
    </w:p>
    <w:p>
      <w:pPr>
        <w:pStyle w:val="BodyText"/>
        <w:rPr>
          <w:sz w:val="22"/>
        </w:rPr>
      </w:pPr>
    </w:p>
    <w:p>
      <w:pPr>
        <w:pStyle w:val="BodyText"/>
        <w:spacing w:before="11"/>
        <w:rPr>
          <w:sz w:val="32"/>
        </w:rPr>
      </w:pPr>
    </w:p>
    <w:p>
      <w:pPr>
        <w:pStyle w:val="BodyText"/>
        <w:spacing w:line="249" w:lineRule="auto"/>
        <w:ind w:left="102" w:right="116"/>
        <w:jc w:val="both"/>
      </w:pPr>
      <w:r>
        <w:rPr>
          <w:color w:val="231F20"/>
        </w:rPr>
        <w:t>El cuestionario que está usted a punto de contestar tiene como intención conocer algunos aspectos de las relaciones psicológicas en el lugar de trabajo. Para ello se requiere que conteste los dos incisos con sus preguntas. El primero, el (A), se refiere a la frecuencia con  la que ocurre lo que se pregunta; y el segundo, el (B), alude a la frecuencia con que eso le ocurre con respecto a sus </w:t>
      </w:r>
      <w:r>
        <w:rPr>
          <w:color w:val="231F20"/>
          <w:spacing w:val="21"/>
        </w:rPr>
        <w:t> </w:t>
      </w:r>
      <w:r>
        <w:rPr>
          <w:color w:val="231F20"/>
        </w:rPr>
        <w:t>compañeros.</w:t>
      </w:r>
    </w:p>
    <w:p>
      <w:pPr>
        <w:pStyle w:val="BodyText"/>
        <w:rPr>
          <w:sz w:val="32"/>
        </w:rPr>
      </w:pPr>
    </w:p>
    <w:p>
      <w:pPr>
        <w:pStyle w:val="Heading2"/>
        <w:ind w:left="102"/>
        <w:jc w:val="both"/>
      </w:pPr>
      <w:r>
        <w:rPr>
          <w:color w:val="231F20"/>
        </w:rPr>
        <w:t>RESPUESTAS:</w:t>
      </w:r>
    </w:p>
    <w:p>
      <w:pPr>
        <w:tabs>
          <w:tab w:pos="3642" w:val="left" w:leader="none"/>
        </w:tabs>
        <w:spacing w:before="26"/>
        <w:ind w:left="102" w:right="0" w:firstLine="0"/>
        <w:jc w:val="both"/>
        <w:rPr>
          <w:b/>
          <w:sz w:val="19"/>
        </w:rPr>
      </w:pPr>
      <w:r>
        <w:rPr>
          <w:b/>
          <w:color w:val="231F20"/>
          <w:w w:val="105"/>
          <w:sz w:val="19"/>
        </w:rPr>
        <w:t>A)</w:t>
        <w:tab/>
        <w:t>B)</w:t>
      </w:r>
    </w:p>
    <w:p>
      <w:pPr>
        <w:tabs>
          <w:tab w:pos="3642" w:val="left" w:leader="none"/>
        </w:tabs>
        <w:spacing w:line="273" w:lineRule="auto" w:before="31"/>
        <w:ind w:left="102" w:right="735" w:hanging="1"/>
        <w:jc w:val="left"/>
        <w:rPr>
          <w:b/>
          <w:sz w:val="19"/>
        </w:rPr>
      </w:pPr>
      <w:r>
        <w:rPr>
          <w:b/>
          <w:color w:val="231F20"/>
          <w:w w:val="105"/>
          <w:sz w:val="19"/>
        </w:rPr>
        <w:t>4.</w:t>
      </w:r>
      <w:r>
        <w:rPr>
          <w:b/>
          <w:color w:val="231F20"/>
          <w:spacing w:val="-7"/>
          <w:w w:val="105"/>
          <w:sz w:val="19"/>
        </w:rPr>
        <w:t> </w:t>
      </w:r>
      <w:r>
        <w:rPr>
          <w:b/>
          <w:color w:val="231F20"/>
          <w:w w:val="105"/>
          <w:sz w:val="19"/>
        </w:rPr>
        <w:t>Muy</w:t>
      </w:r>
      <w:r>
        <w:rPr>
          <w:b/>
          <w:color w:val="231F20"/>
          <w:spacing w:val="-6"/>
          <w:w w:val="105"/>
          <w:sz w:val="19"/>
        </w:rPr>
        <w:t> </w:t>
      </w:r>
      <w:r>
        <w:rPr>
          <w:b/>
          <w:color w:val="231F20"/>
          <w:w w:val="105"/>
          <w:sz w:val="19"/>
        </w:rPr>
        <w:t>frecuentemente</w:t>
        <w:tab/>
        <w:t>1. Menos que</w:t>
      </w:r>
      <w:r>
        <w:rPr>
          <w:b/>
          <w:color w:val="231F20"/>
          <w:spacing w:val="-7"/>
          <w:w w:val="105"/>
          <w:sz w:val="19"/>
        </w:rPr>
        <w:t> </w:t>
      </w:r>
      <w:r>
        <w:rPr>
          <w:b/>
          <w:color w:val="231F20"/>
          <w:w w:val="105"/>
          <w:sz w:val="19"/>
        </w:rPr>
        <w:t>a</w:t>
      </w:r>
      <w:r>
        <w:rPr>
          <w:b/>
          <w:color w:val="231F20"/>
          <w:spacing w:val="-3"/>
          <w:w w:val="105"/>
          <w:sz w:val="19"/>
        </w:rPr>
        <w:t> </w:t>
      </w:r>
      <w:r>
        <w:rPr>
          <w:b/>
          <w:color w:val="231F20"/>
          <w:w w:val="105"/>
          <w:sz w:val="19"/>
        </w:rPr>
        <w:t>mis</w:t>
      </w:r>
      <w:r>
        <w:rPr>
          <w:b/>
          <w:color w:val="231F20"/>
          <w:w w:val="110"/>
          <w:sz w:val="19"/>
        </w:rPr>
        <w:t> </w:t>
      </w:r>
      <w:r>
        <w:rPr>
          <w:b/>
          <w:color w:val="231F20"/>
          <w:w w:val="105"/>
          <w:sz w:val="19"/>
        </w:rPr>
        <w:t>compañeros</w:t>
      </w:r>
    </w:p>
    <w:p>
      <w:pPr>
        <w:tabs>
          <w:tab w:pos="3642" w:val="left" w:leader="none"/>
        </w:tabs>
        <w:spacing w:line="273" w:lineRule="auto" w:before="1"/>
        <w:ind w:left="102" w:right="850" w:hanging="1"/>
        <w:jc w:val="left"/>
        <w:rPr>
          <w:b/>
          <w:sz w:val="19"/>
        </w:rPr>
      </w:pPr>
      <w:r>
        <w:rPr>
          <w:b/>
          <w:color w:val="231F20"/>
          <w:w w:val="105"/>
          <w:sz w:val="19"/>
        </w:rPr>
        <w:t>3.</w:t>
      </w:r>
      <w:r>
        <w:rPr>
          <w:b/>
          <w:color w:val="231F20"/>
          <w:spacing w:val="-3"/>
          <w:w w:val="105"/>
          <w:sz w:val="19"/>
        </w:rPr>
        <w:t> </w:t>
      </w:r>
      <w:r>
        <w:rPr>
          <w:b/>
          <w:color w:val="231F20"/>
          <w:w w:val="105"/>
          <w:sz w:val="19"/>
        </w:rPr>
        <w:t>Frecuentemente</w:t>
        <w:tab/>
        <w:t>2. Igual que</w:t>
      </w:r>
      <w:r>
        <w:rPr>
          <w:b/>
          <w:color w:val="231F20"/>
          <w:spacing w:val="-1"/>
          <w:w w:val="105"/>
          <w:sz w:val="19"/>
        </w:rPr>
        <w:t> </w:t>
      </w:r>
      <w:r>
        <w:rPr>
          <w:b/>
          <w:color w:val="231F20"/>
          <w:w w:val="105"/>
          <w:sz w:val="19"/>
        </w:rPr>
        <w:t>a</w:t>
      </w:r>
      <w:r>
        <w:rPr>
          <w:b/>
          <w:color w:val="231F20"/>
          <w:spacing w:val="-1"/>
          <w:w w:val="105"/>
          <w:sz w:val="19"/>
        </w:rPr>
        <w:t> </w:t>
      </w:r>
      <w:r>
        <w:rPr>
          <w:b/>
          <w:color w:val="231F20"/>
          <w:w w:val="105"/>
          <w:sz w:val="19"/>
        </w:rPr>
        <w:t>mis</w:t>
      </w:r>
      <w:r>
        <w:rPr>
          <w:b/>
          <w:color w:val="231F20"/>
          <w:w w:val="110"/>
          <w:sz w:val="19"/>
        </w:rPr>
        <w:t> </w:t>
      </w:r>
      <w:r>
        <w:rPr>
          <w:b/>
          <w:color w:val="231F20"/>
          <w:w w:val="105"/>
          <w:sz w:val="19"/>
        </w:rPr>
        <w:t>compañeros</w:t>
      </w:r>
    </w:p>
    <w:p>
      <w:pPr>
        <w:tabs>
          <w:tab w:pos="2935" w:val="left" w:leader="none"/>
        </w:tabs>
        <w:spacing w:line="273" w:lineRule="auto" w:before="1"/>
        <w:ind w:left="1952" w:right="872" w:hanging="1850"/>
        <w:jc w:val="left"/>
        <w:rPr>
          <w:b/>
          <w:sz w:val="19"/>
        </w:rPr>
      </w:pPr>
      <w:r>
        <w:rPr>
          <w:b/>
          <w:color w:val="231F20"/>
          <w:w w:val="105"/>
          <w:sz w:val="19"/>
        </w:rPr>
        <w:t>2.</w:t>
      </w:r>
      <w:r>
        <w:rPr>
          <w:b/>
          <w:color w:val="231F20"/>
          <w:spacing w:val="-2"/>
          <w:w w:val="105"/>
          <w:sz w:val="19"/>
        </w:rPr>
        <w:t> </w:t>
      </w:r>
      <w:r>
        <w:rPr>
          <w:b/>
          <w:color w:val="231F20"/>
          <w:w w:val="105"/>
          <w:sz w:val="19"/>
        </w:rPr>
        <w:t>Algunas</w:t>
      </w:r>
      <w:r>
        <w:rPr>
          <w:b/>
          <w:color w:val="231F20"/>
          <w:spacing w:val="-2"/>
          <w:w w:val="105"/>
          <w:sz w:val="19"/>
        </w:rPr>
        <w:t> </w:t>
      </w:r>
      <w:r>
        <w:rPr>
          <w:b/>
          <w:color w:val="231F20"/>
          <w:w w:val="105"/>
          <w:sz w:val="19"/>
        </w:rPr>
        <w:t>veces</w:t>
        <w:tab/>
        <w:tab/>
        <w:t>3. Más que al resto</w:t>
      </w:r>
      <w:r>
        <w:rPr>
          <w:b/>
          <w:color w:val="231F20"/>
          <w:spacing w:val="-15"/>
          <w:w w:val="105"/>
          <w:sz w:val="19"/>
        </w:rPr>
        <w:t> </w:t>
      </w:r>
      <w:r>
        <w:rPr>
          <w:b/>
          <w:color w:val="231F20"/>
          <w:w w:val="105"/>
          <w:sz w:val="19"/>
        </w:rPr>
        <w:t>de</w:t>
      </w:r>
      <w:r>
        <w:rPr>
          <w:b/>
          <w:color w:val="231F20"/>
          <w:spacing w:val="-4"/>
          <w:w w:val="105"/>
          <w:sz w:val="19"/>
        </w:rPr>
        <w:t> </w:t>
      </w:r>
      <w:r>
        <w:rPr>
          <w:b/>
          <w:color w:val="231F20"/>
          <w:w w:val="105"/>
          <w:sz w:val="19"/>
        </w:rPr>
        <w:t>mis</w:t>
      </w:r>
      <w:r>
        <w:rPr>
          <w:b/>
          <w:color w:val="231F20"/>
          <w:w w:val="110"/>
          <w:sz w:val="19"/>
        </w:rPr>
        <w:t> </w:t>
      </w:r>
      <w:r>
        <w:rPr>
          <w:b/>
          <w:color w:val="231F20"/>
          <w:w w:val="105"/>
          <w:sz w:val="19"/>
        </w:rPr>
        <w:t>compañeros</w:t>
      </w:r>
    </w:p>
    <w:p>
      <w:pPr>
        <w:spacing w:before="6"/>
        <w:ind w:left="102" w:right="121" w:firstLine="0"/>
        <w:jc w:val="left"/>
        <w:rPr>
          <w:b/>
          <w:sz w:val="19"/>
        </w:rPr>
      </w:pPr>
      <w:r>
        <w:rPr>
          <w:b/>
          <w:color w:val="231F20"/>
          <w:sz w:val="19"/>
        </w:rPr>
        <w:t>1. Casi nunca</w:t>
      </w:r>
    </w:p>
    <w:p>
      <w:pPr>
        <w:pStyle w:val="BodyText"/>
        <w:spacing w:before="4"/>
        <w:rPr>
          <w:b/>
          <w:sz w:val="24"/>
        </w:rPr>
      </w:pPr>
    </w:p>
    <w:p>
      <w:pPr>
        <w:spacing w:before="0"/>
        <w:ind w:left="102" w:right="121" w:firstLine="0"/>
        <w:jc w:val="left"/>
        <w:rPr>
          <w:b/>
          <w:sz w:val="19"/>
        </w:rPr>
      </w:pPr>
      <w:r>
        <w:rPr>
          <w:b/>
          <w:color w:val="231F20"/>
          <w:w w:val="105"/>
          <w:sz w:val="19"/>
        </w:rPr>
        <w:t>0. Nunca</w:t>
      </w:r>
    </w:p>
    <w:p>
      <w:pPr>
        <w:spacing w:after="0"/>
        <w:jc w:val="left"/>
        <w:rPr>
          <w:sz w:val="19"/>
        </w:rPr>
        <w:sectPr>
          <w:headerReference w:type="default" r:id="rId994"/>
          <w:footerReference w:type="default" r:id="rId995"/>
          <w:pgSz w:w="7830" w:h="11910"/>
          <w:pgMar w:header="0" w:footer="424" w:top="380" w:bottom="620" w:left="920" w:right="900"/>
          <w:pgNumType w:start="453"/>
        </w:sectPr>
      </w:pPr>
    </w:p>
    <w:p>
      <w:pPr>
        <w:spacing w:before="46"/>
        <w:ind w:left="656" w:right="0" w:firstLine="0"/>
        <w:jc w:val="left"/>
        <w:rPr>
          <w:sz w:val="13"/>
        </w:rPr>
      </w:pPr>
      <w:r>
        <w:rPr>
          <w:color w:val="231F20"/>
          <w:sz w:val="16"/>
        </w:rPr>
        <w:t>I</w:t>
      </w:r>
      <w:r>
        <w:rPr>
          <w:color w:val="231F20"/>
          <w:sz w:val="13"/>
        </w:rPr>
        <w:t>RMA </w:t>
      </w:r>
      <w:r>
        <w:rPr>
          <w:color w:val="231F20"/>
          <w:sz w:val="16"/>
        </w:rPr>
        <w:t>G</w:t>
      </w:r>
      <w:r>
        <w:rPr>
          <w:color w:val="231F20"/>
          <w:sz w:val="13"/>
        </w:rPr>
        <w:t>UADALUPE </w:t>
      </w:r>
      <w:r>
        <w:rPr>
          <w:color w:val="231F20"/>
          <w:sz w:val="16"/>
        </w:rPr>
        <w:t>G</w:t>
      </w:r>
      <w:r>
        <w:rPr>
          <w:color w:val="231F20"/>
          <w:sz w:val="13"/>
        </w:rPr>
        <w:t>ONZÁLEZ </w:t>
      </w:r>
      <w:r>
        <w:rPr>
          <w:color w:val="231F20"/>
          <w:sz w:val="16"/>
        </w:rPr>
        <w:t>C</w:t>
      </w:r>
      <w:r>
        <w:rPr>
          <w:color w:val="231F20"/>
          <w:sz w:val="13"/>
        </w:rPr>
        <w:t>ORZO Y </w:t>
      </w:r>
      <w:r>
        <w:rPr>
          <w:color w:val="231F20"/>
          <w:sz w:val="16"/>
        </w:rPr>
        <w:t>R</w:t>
      </w:r>
      <w:r>
        <w:rPr>
          <w:color w:val="231F20"/>
          <w:sz w:val="13"/>
        </w:rPr>
        <w:t>OSA </w:t>
      </w:r>
      <w:r>
        <w:rPr>
          <w:color w:val="231F20"/>
          <w:sz w:val="16"/>
        </w:rPr>
        <w:t>M</w:t>
      </w:r>
      <w:r>
        <w:rPr>
          <w:color w:val="231F20"/>
          <w:sz w:val="13"/>
        </w:rPr>
        <w:t>ARÍA </w:t>
      </w:r>
      <w:r>
        <w:rPr>
          <w:color w:val="231F20"/>
          <w:sz w:val="16"/>
        </w:rPr>
        <w:t>R</w:t>
      </w:r>
      <w:r>
        <w:rPr>
          <w:color w:val="231F20"/>
          <w:sz w:val="13"/>
        </w:rPr>
        <w:t>AMÍREZ </w:t>
      </w:r>
      <w:r>
        <w:rPr>
          <w:color w:val="231F20"/>
          <w:sz w:val="16"/>
        </w:rPr>
        <w:t>M</w:t>
      </w:r>
      <w:r>
        <w:rPr>
          <w:color w:val="231F20"/>
          <w:sz w:val="13"/>
        </w:rPr>
        <w:t>ARTÍNEZ</w:t>
      </w:r>
    </w:p>
    <w:p>
      <w:pPr>
        <w:pStyle w:val="BodyText"/>
        <w:rPr>
          <w:sz w:val="20"/>
        </w:rPr>
      </w:pPr>
    </w:p>
    <w:p>
      <w:pPr>
        <w:pStyle w:val="BodyText"/>
        <w:spacing w:before="6"/>
        <w:rPr>
          <w:sz w:val="19"/>
        </w:rPr>
      </w:pPr>
    </w:p>
    <w:tbl>
      <w:tblPr>
        <w:tblW w:w="0" w:type="auto"/>
        <w:jc w:val="left"/>
        <w:tblInd w:w="114"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top w:w="0" w:type="dxa"/>
          <w:left w:w="0" w:type="dxa"/>
          <w:bottom w:w="0" w:type="dxa"/>
          <w:right w:w="0" w:type="dxa"/>
        </w:tblCellMar>
        <w:tblLook w:val="01E0"/>
      </w:tblPr>
      <w:tblGrid>
        <w:gridCol w:w="5069"/>
        <w:gridCol w:w="394"/>
        <w:gridCol w:w="398"/>
      </w:tblGrid>
      <w:tr>
        <w:trPr>
          <w:trHeight w:val="197" w:hRule="exact"/>
        </w:trPr>
        <w:tc>
          <w:tcPr>
            <w:tcW w:w="5069" w:type="dxa"/>
          </w:tcPr>
          <w:p>
            <w:pPr>
              <w:pStyle w:val="TableParagraph"/>
              <w:spacing w:line="169" w:lineRule="exact"/>
              <w:ind w:left="2164" w:right="2156"/>
              <w:jc w:val="center"/>
              <w:rPr>
                <w:b/>
                <w:sz w:val="16"/>
              </w:rPr>
            </w:pPr>
            <w:r>
              <w:rPr>
                <w:b/>
                <w:color w:val="231F20"/>
                <w:sz w:val="16"/>
              </w:rPr>
              <w:t>Preguntas</w:t>
            </w:r>
          </w:p>
        </w:tc>
        <w:tc>
          <w:tcPr>
            <w:tcW w:w="394" w:type="dxa"/>
          </w:tcPr>
          <w:p>
            <w:pPr>
              <w:pStyle w:val="TableParagraph"/>
              <w:spacing w:line="169" w:lineRule="exact"/>
              <w:ind w:left="67"/>
              <w:rPr>
                <w:b/>
                <w:sz w:val="16"/>
              </w:rPr>
            </w:pPr>
            <w:r>
              <w:rPr>
                <w:b/>
                <w:color w:val="231F20"/>
                <w:w w:val="89"/>
                <w:sz w:val="16"/>
              </w:rPr>
              <w:t>A</w:t>
            </w:r>
          </w:p>
        </w:tc>
        <w:tc>
          <w:tcPr>
            <w:tcW w:w="398" w:type="dxa"/>
          </w:tcPr>
          <w:p>
            <w:pPr>
              <w:pStyle w:val="TableParagraph"/>
              <w:spacing w:line="169" w:lineRule="exact"/>
              <w:ind w:left="67"/>
              <w:rPr>
                <w:b/>
                <w:sz w:val="16"/>
              </w:rPr>
            </w:pPr>
            <w:r>
              <w:rPr>
                <w:b/>
                <w:color w:val="231F20"/>
                <w:w w:val="100"/>
                <w:sz w:val="16"/>
              </w:rPr>
              <w:t>B</w:t>
            </w:r>
          </w:p>
        </w:tc>
      </w:tr>
      <w:tr>
        <w:trPr>
          <w:trHeight w:val="192" w:hRule="exact"/>
        </w:trPr>
        <w:tc>
          <w:tcPr>
            <w:tcW w:w="5069" w:type="dxa"/>
          </w:tcPr>
          <w:p>
            <w:pPr>
              <w:pStyle w:val="TableParagraph"/>
              <w:spacing w:line="169" w:lineRule="exact"/>
              <w:ind w:left="67" w:right="-3"/>
              <w:rPr>
                <w:sz w:val="16"/>
              </w:rPr>
            </w:pPr>
            <w:r>
              <w:rPr>
                <w:color w:val="231F20"/>
                <w:sz w:val="16"/>
              </w:rPr>
              <w:t>1. Recibo ataques a mi reputación.</w:t>
            </w:r>
          </w:p>
        </w:tc>
        <w:tc>
          <w:tcPr>
            <w:tcW w:w="394" w:type="dxa"/>
          </w:tcPr>
          <w:p>
            <w:pPr/>
          </w:p>
        </w:tc>
        <w:tc>
          <w:tcPr>
            <w:tcW w:w="398" w:type="dxa"/>
          </w:tcPr>
          <w:p>
            <w:pPr/>
          </w:p>
        </w:tc>
      </w:tr>
      <w:tr>
        <w:trPr>
          <w:trHeight w:val="197" w:hRule="exact"/>
        </w:trPr>
        <w:tc>
          <w:tcPr>
            <w:tcW w:w="5069" w:type="dxa"/>
          </w:tcPr>
          <w:p>
            <w:pPr>
              <w:pStyle w:val="TableParagraph"/>
              <w:spacing w:line="174" w:lineRule="exact"/>
              <w:ind w:left="67" w:right="-3"/>
              <w:rPr>
                <w:sz w:val="16"/>
              </w:rPr>
            </w:pPr>
            <w:r>
              <w:rPr>
                <w:color w:val="231F20"/>
                <w:sz w:val="16"/>
              </w:rPr>
              <w:t>2. Han tratado de humillarme o ridiculizarme en público.</w:t>
            </w:r>
          </w:p>
        </w:tc>
        <w:tc>
          <w:tcPr>
            <w:tcW w:w="394" w:type="dxa"/>
          </w:tcPr>
          <w:p>
            <w:pPr/>
          </w:p>
        </w:tc>
        <w:tc>
          <w:tcPr>
            <w:tcW w:w="398" w:type="dxa"/>
          </w:tcPr>
          <w:p>
            <w:pPr/>
          </w:p>
        </w:tc>
      </w:tr>
      <w:tr>
        <w:trPr>
          <w:trHeight w:val="197" w:hRule="exact"/>
        </w:trPr>
        <w:tc>
          <w:tcPr>
            <w:tcW w:w="5069" w:type="dxa"/>
          </w:tcPr>
          <w:p>
            <w:pPr>
              <w:pStyle w:val="TableParagraph"/>
              <w:spacing w:line="169" w:lineRule="exact"/>
              <w:ind w:left="67" w:right="-3"/>
              <w:rPr>
                <w:sz w:val="16"/>
              </w:rPr>
            </w:pPr>
            <w:r>
              <w:rPr>
                <w:color w:val="231F20"/>
                <w:w w:val="95"/>
                <w:sz w:val="16"/>
              </w:rPr>
              <w:t>3. Recibo burlas, calumnias o difamaciones públicas.</w:t>
            </w:r>
          </w:p>
        </w:tc>
        <w:tc>
          <w:tcPr>
            <w:tcW w:w="394" w:type="dxa"/>
          </w:tcPr>
          <w:p>
            <w:pPr/>
          </w:p>
        </w:tc>
        <w:tc>
          <w:tcPr>
            <w:tcW w:w="398" w:type="dxa"/>
          </w:tcPr>
          <w:p>
            <w:pPr/>
          </w:p>
        </w:tc>
      </w:tr>
      <w:tr>
        <w:trPr>
          <w:trHeight w:val="374" w:hRule="exact"/>
        </w:trPr>
        <w:tc>
          <w:tcPr>
            <w:tcW w:w="5069" w:type="dxa"/>
          </w:tcPr>
          <w:p>
            <w:pPr>
              <w:pStyle w:val="TableParagraph"/>
              <w:spacing w:line="232" w:lineRule="auto"/>
              <w:ind w:left="67" w:right="-3"/>
              <w:rPr>
                <w:sz w:val="16"/>
              </w:rPr>
            </w:pPr>
            <w:r>
              <w:rPr>
                <w:color w:val="231F20"/>
                <w:sz w:val="16"/>
              </w:rPr>
              <w:t>4.</w:t>
            </w:r>
            <w:r>
              <w:rPr>
                <w:color w:val="231F20"/>
                <w:spacing w:val="-13"/>
                <w:sz w:val="16"/>
              </w:rPr>
              <w:t> </w:t>
            </w:r>
            <w:r>
              <w:rPr>
                <w:color w:val="231F20"/>
                <w:sz w:val="16"/>
              </w:rPr>
              <w:t>Se</w:t>
            </w:r>
            <w:r>
              <w:rPr>
                <w:color w:val="231F20"/>
                <w:spacing w:val="-13"/>
                <w:sz w:val="16"/>
              </w:rPr>
              <w:t> </w:t>
            </w:r>
            <w:r>
              <w:rPr>
                <w:color w:val="231F20"/>
                <w:sz w:val="16"/>
              </w:rPr>
              <w:t>me</w:t>
            </w:r>
            <w:r>
              <w:rPr>
                <w:color w:val="231F20"/>
                <w:spacing w:val="-13"/>
                <w:sz w:val="16"/>
              </w:rPr>
              <w:t> </w:t>
            </w:r>
            <w:r>
              <w:rPr>
                <w:color w:val="231F20"/>
                <w:sz w:val="16"/>
              </w:rPr>
              <w:t>asignan</w:t>
            </w:r>
            <w:r>
              <w:rPr>
                <w:color w:val="231F20"/>
                <w:spacing w:val="-13"/>
                <w:sz w:val="16"/>
              </w:rPr>
              <w:t> </w:t>
            </w:r>
            <w:r>
              <w:rPr>
                <w:color w:val="231F20"/>
                <w:sz w:val="16"/>
              </w:rPr>
              <w:t>trabajos</w:t>
            </w:r>
            <w:r>
              <w:rPr>
                <w:color w:val="231F20"/>
                <w:spacing w:val="-13"/>
                <w:sz w:val="16"/>
              </w:rPr>
              <w:t> </w:t>
            </w:r>
            <w:r>
              <w:rPr>
                <w:color w:val="231F20"/>
                <w:sz w:val="16"/>
              </w:rPr>
              <w:t>o</w:t>
            </w:r>
            <w:r>
              <w:rPr>
                <w:color w:val="231F20"/>
                <w:spacing w:val="-13"/>
                <w:sz w:val="16"/>
              </w:rPr>
              <w:t> </w:t>
            </w:r>
            <w:r>
              <w:rPr>
                <w:color w:val="231F20"/>
                <w:sz w:val="16"/>
              </w:rPr>
              <w:t>proyectos</w:t>
            </w:r>
            <w:r>
              <w:rPr>
                <w:color w:val="231F20"/>
                <w:spacing w:val="-13"/>
                <w:sz w:val="16"/>
              </w:rPr>
              <w:t> </w:t>
            </w:r>
            <w:r>
              <w:rPr>
                <w:color w:val="231F20"/>
                <w:sz w:val="16"/>
              </w:rPr>
              <w:t>con</w:t>
            </w:r>
            <w:r>
              <w:rPr>
                <w:color w:val="231F20"/>
                <w:spacing w:val="-13"/>
                <w:sz w:val="16"/>
              </w:rPr>
              <w:t> </w:t>
            </w:r>
            <w:r>
              <w:rPr>
                <w:color w:val="231F20"/>
                <w:sz w:val="16"/>
              </w:rPr>
              <w:t>plazos</w:t>
            </w:r>
            <w:r>
              <w:rPr>
                <w:color w:val="231F20"/>
                <w:spacing w:val="-13"/>
                <w:sz w:val="16"/>
              </w:rPr>
              <w:t> </w:t>
            </w:r>
            <w:r>
              <w:rPr>
                <w:color w:val="231F20"/>
                <w:sz w:val="16"/>
              </w:rPr>
              <w:t>tan</w:t>
            </w:r>
            <w:r>
              <w:rPr>
                <w:color w:val="231F20"/>
                <w:spacing w:val="-13"/>
                <w:sz w:val="16"/>
              </w:rPr>
              <w:t> </w:t>
            </w:r>
            <w:r>
              <w:rPr>
                <w:color w:val="231F20"/>
                <w:sz w:val="16"/>
              </w:rPr>
              <w:t>cortos</w:t>
            </w:r>
            <w:r>
              <w:rPr>
                <w:color w:val="231F20"/>
                <w:spacing w:val="-12"/>
                <w:sz w:val="16"/>
              </w:rPr>
              <w:t> </w:t>
            </w:r>
            <w:r>
              <w:rPr>
                <w:color w:val="231F20"/>
                <w:sz w:val="16"/>
              </w:rPr>
              <w:t>que</w:t>
            </w:r>
            <w:r>
              <w:rPr>
                <w:color w:val="231F20"/>
                <w:spacing w:val="-13"/>
                <w:sz w:val="16"/>
              </w:rPr>
              <w:t> </w:t>
            </w:r>
            <w:r>
              <w:rPr>
                <w:color w:val="231F20"/>
                <w:sz w:val="16"/>
              </w:rPr>
              <w:t>son</w:t>
            </w:r>
            <w:r>
              <w:rPr>
                <w:color w:val="231F20"/>
                <w:spacing w:val="-13"/>
                <w:sz w:val="16"/>
              </w:rPr>
              <w:t> </w:t>
            </w:r>
            <w:r>
              <w:rPr>
                <w:color w:val="231F20"/>
                <w:sz w:val="16"/>
              </w:rPr>
              <w:t>imposibles </w:t>
            </w:r>
            <w:r>
              <w:rPr>
                <w:color w:val="231F20"/>
                <w:w w:val="95"/>
                <w:sz w:val="16"/>
              </w:rPr>
              <w:t>de cumplir.</w:t>
            </w:r>
          </w:p>
        </w:tc>
        <w:tc>
          <w:tcPr>
            <w:tcW w:w="394" w:type="dxa"/>
          </w:tcPr>
          <w:p>
            <w:pPr/>
          </w:p>
        </w:tc>
        <w:tc>
          <w:tcPr>
            <w:tcW w:w="398" w:type="dxa"/>
          </w:tcPr>
          <w:p>
            <w:pPr/>
          </w:p>
        </w:tc>
      </w:tr>
      <w:tr>
        <w:trPr>
          <w:trHeight w:val="192" w:hRule="exact"/>
        </w:trPr>
        <w:tc>
          <w:tcPr>
            <w:tcW w:w="5069" w:type="dxa"/>
          </w:tcPr>
          <w:p>
            <w:pPr>
              <w:pStyle w:val="TableParagraph"/>
              <w:spacing w:line="169" w:lineRule="exact"/>
              <w:ind w:left="67" w:right="-3"/>
              <w:rPr>
                <w:sz w:val="16"/>
              </w:rPr>
            </w:pPr>
            <w:r>
              <w:rPr>
                <w:color w:val="231F20"/>
                <w:sz w:val="16"/>
              </w:rPr>
              <w:t>5. Se me </w:t>
            </w:r>
            <w:r>
              <w:rPr>
                <w:color w:val="231F20"/>
                <w:spacing w:val="-4"/>
                <w:sz w:val="16"/>
              </w:rPr>
              <w:t>ignora </w:t>
            </w:r>
            <w:r>
              <w:rPr>
                <w:color w:val="231F20"/>
                <w:sz w:val="16"/>
              </w:rPr>
              <w:t>o </w:t>
            </w:r>
            <w:r>
              <w:rPr>
                <w:color w:val="231F20"/>
                <w:spacing w:val="-4"/>
                <w:sz w:val="16"/>
              </w:rPr>
              <w:t>excluye </w:t>
            </w:r>
            <w:r>
              <w:rPr>
                <w:color w:val="231F20"/>
                <w:sz w:val="16"/>
              </w:rPr>
              <w:t>de </w:t>
            </w:r>
            <w:r>
              <w:rPr>
                <w:color w:val="231F20"/>
                <w:spacing w:val="-3"/>
                <w:sz w:val="16"/>
              </w:rPr>
              <w:t>las </w:t>
            </w:r>
            <w:r>
              <w:rPr>
                <w:color w:val="231F20"/>
                <w:spacing w:val="-4"/>
                <w:sz w:val="16"/>
              </w:rPr>
              <w:t>reuniones </w:t>
            </w:r>
            <w:r>
              <w:rPr>
                <w:color w:val="231F20"/>
                <w:sz w:val="16"/>
              </w:rPr>
              <w:t>de </w:t>
            </w:r>
            <w:r>
              <w:rPr>
                <w:color w:val="231F20"/>
                <w:spacing w:val="-4"/>
                <w:sz w:val="16"/>
              </w:rPr>
              <w:t>trabajo </w:t>
            </w:r>
            <w:r>
              <w:rPr>
                <w:color w:val="231F20"/>
                <w:sz w:val="16"/>
              </w:rPr>
              <w:t>o en la </w:t>
            </w:r>
            <w:r>
              <w:rPr>
                <w:color w:val="231F20"/>
                <w:spacing w:val="-3"/>
                <w:sz w:val="16"/>
              </w:rPr>
              <w:t>toma </w:t>
            </w:r>
            <w:r>
              <w:rPr>
                <w:color w:val="231F20"/>
                <w:sz w:val="16"/>
              </w:rPr>
              <w:t>de </w:t>
            </w:r>
            <w:r>
              <w:rPr>
                <w:color w:val="231F20"/>
                <w:spacing w:val="-4"/>
                <w:sz w:val="16"/>
              </w:rPr>
              <w:t>decisiones.</w:t>
            </w:r>
          </w:p>
        </w:tc>
        <w:tc>
          <w:tcPr>
            <w:tcW w:w="394" w:type="dxa"/>
          </w:tcPr>
          <w:p>
            <w:pPr/>
          </w:p>
        </w:tc>
        <w:tc>
          <w:tcPr>
            <w:tcW w:w="398" w:type="dxa"/>
          </w:tcPr>
          <w:p>
            <w:pPr/>
          </w:p>
        </w:tc>
      </w:tr>
      <w:tr>
        <w:trPr>
          <w:trHeight w:val="379" w:hRule="exact"/>
        </w:trPr>
        <w:tc>
          <w:tcPr>
            <w:tcW w:w="5069" w:type="dxa"/>
          </w:tcPr>
          <w:p>
            <w:pPr>
              <w:pStyle w:val="TableParagraph"/>
              <w:spacing w:line="232" w:lineRule="auto"/>
              <w:ind w:left="67" w:right="-3"/>
              <w:rPr>
                <w:sz w:val="16"/>
              </w:rPr>
            </w:pPr>
            <w:r>
              <w:rPr>
                <w:color w:val="231F20"/>
                <w:sz w:val="16"/>
              </w:rPr>
              <w:t>6.</w:t>
            </w:r>
            <w:r>
              <w:rPr>
                <w:color w:val="231F20"/>
                <w:spacing w:val="-8"/>
                <w:sz w:val="16"/>
              </w:rPr>
              <w:t> </w:t>
            </w:r>
            <w:r>
              <w:rPr>
                <w:color w:val="231F20"/>
                <w:sz w:val="16"/>
              </w:rPr>
              <w:t>Se</w:t>
            </w:r>
            <w:r>
              <w:rPr>
                <w:color w:val="231F20"/>
                <w:spacing w:val="-7"/>
                <w:sz w:val="16"/>
              </w:rPr>
              <w:t> </w:t>
            </w:r>
            <w:r>
              <w:rPr>
                <w:color w:val="231F20"/>
                <w:sz w:val="16"/>
              </w:rPr>
              <w:t>me</w:t>
            </w:r>
            <w:r>
              <w:rPr>
                <w:color w:val="231F20"/>
                <w:spacing w:val="-7"/>
                <w:sz w:val="16"/>
              </w:rPr>
              <w:t> </w:t>
            </w:r>
            <w:r>
              <w:rPr>
                <w:color w:val="231F20"/>
                <w:sz w:val="16"/>
              </w:rPr>
              <w:t>impide</w:t>
            </w:r>
            <w:r>
              <w:rPr>
                <w:color w:val="231F20"/>
                <w:spacing w:val="-7"/>
                <w:sz w:val="16"/>
              </w:rPr>
              <w:t> </w:t>
            </w:r>
            <w:r>
              <w:rPr>
                <w:color w:val="231F20"/>
                <w:sz w:val="16"/>
              </w:rPr>
              <w:t>tener</w:t>
            </w:r>
            <w:r>
              <w:rPr>
                <w:color w:val="231F20"/>
                <w:spacing w:val="-7"/>
                <w:sz w:val="16"/>
              </w:rPr>
              <w:t> </w:t>
            </w:r>
            <w:r>
              <w:rPr>
                <w:color w:val="231F20"/>
                <w:sz w:val="16"/>
              </w:rPr>
              <w:t>información</w:t>
            </w:r>
            <w:r>
              <w:rPr>
                <w:color w:val="231F20"/>
                <w:spacing w:val="-7"/>
                <w:sz w:val="16"/>
              </w:rPr>
              <w:t> </w:t>
            </w:r>
            <w:r>
              <w:rPr>
                <w:color w:val="231F20"/>
                <w:sz w:val="16"/>
              </w:rPr>
              <w:t>que</w:t>
            </w:r>
            <w:r>
              <w:rPr>
                <w:color w:val="231F20"/>
                <w:spacing w:val="-7"/>
                <w:sz w:val="16"/>
              </w:rPr>
              <w:t> </w:t>
            </w:r>
            <w:r>
              <w:rPr>
                <w:color w:val="231F20"/>
                <w:sz w:val="16"/>
              </w:rPr>
              <w:t>es</w:t>
            </w:r>
            <w:r>
              <w:rPr>
                <w:color w:val="231F20"/>
                <w:spacing w:val="-7"/>
                <w:sz w:val="16"/>
              </w:rPr>
              <w:t> </w:t>
            </w:r>
            <w:r>
              <w:rPr>
                <w:color w:val="231F20"/>
                <w:sz w:val="16"/>
              </w:rPr>
              <w:t>importante</w:t>
            </w:r>
            <w:r>
              <w:rPr>
                <w:color w:val="231F20"/>
                <w:spacing w:val="-7"/>
                <w:sz w:val="16"/>
              </w:rPr>
              <w:t> </w:t>
            </w:r>
            <w:r>
              <w:rPr>
                <w:color w:val="231F20"/>
                <w:sz w:val="16"/>
              </w:rPr>
              <w:t>y</w:t>
            </w:r>
            <w:r>
              <w:rPr>
                <w:color w:val="231F20"/>
                <w:spacing w:val="-7"/>
                <w:sz w:val="16"/>
              </w:rPr>
              <w:t> </w:t>
            </w:r>
            <w:r>
              <w:rPr>
                <w:color w:val="231F20"/>
                <w:sz w:val="16"/>
              </w:rPr>
              <w:t>necesaria</w:t>
            </w:r>
            <w:r>
              <w:rPr>
                <w:color w:val="231F20"/>
                <w:spacing w:val="-7"/>
                <w:sz w:val="16"/>
              </w:rPr>
              <w:t> </w:t>
            </w:r>
            <w:r>
              <w:rPr>
                <w:color w:val="231F20"/>
                <w:sz w:val="16"/>
              </w:rPr>
              <w:t>para</w:t>
            </w:r>
            <w:r>
              <w:rPr>
                <w:color w:val="231F20"/>
                <w:spacing w:val="-7"/>
                <w:sz w:val="16"/>
              </w:rPr>
              <w:t> </w:t>
            </w:r>
            <w:r>
              <w:rPr>
                <w:color w:val="231F20"/>
                <w:sz w:val="16"/>
              </w:rPr>
              <w:t>realizar </w:t>
            </w:r>
            <w:r>
              <w:rPr>
                <w:color w:val="231F20"/>
                <w:w w:val="95"/>
                <w:sz w:val="16"/>
              </w:rPr>
              <w:t>mi</w:t>
            </w:r>
            <w:r>
              <w:rPr>
                <w:color w:val="231F20"/>
                <w:spacing w:val="1"/>
                <w:w w:val="95"/>
                <w:sz w:val="16"/>
              </w:rPr>
              <w:t> </w:t>
            </w:r>
            <w:r>
              <w:rPr>
                <w:color w:val="231F20"/>
                <w:w w:val="95"/>
                <w:sz w:val="16"/>
              </w:rPr>
              <w:t>trabajo.</w:t>
            </w:r>
          </w:p>
        </w:tc>
        <w:tc>
          <w:tcPr>
            <w:tcW w:w="394" w:type="dxa"/>
          </w:tcPr>
          <w:p>
            <w:pPr/>
          </w:p>
        </w:tc>
        <w:tc>
          <w:tcPr>
            <w:tcW w:w="398" w:type="dxa"/>
          </w:tcPr>
          <w:p>
            <w:pPr/>
          </w:p>
        </w:tc>
      </w:tr>
      <w:tr>
        <w:trPr>
          <w:trHeight w:val="374" w:hRule="exact"/>
        </w:trPr>
        <w:tc>
          <w:tcPr>
            <w:tcW w:w="5069" w:type="dxa"/>
          </w:tcPr>
          <w:p>
            <w:pPr>
              <w:pStyle w:val="TableParagraph"/>
              <w:spacing w:line="232" w:lineRule="auto"/>
              <w:ind w:left="67" w:right="-3"/>
              <w:rPr>
                <w:sz w:val="16"/>
              </w:rPr>
            </w:pPr>
            <w:r>
              <w:rPr>
                <w:color w:val="231F20"/>
                <w:sz w:val="16"/>
              </w:rPr>
              <w:t>7. Se manipulan las situaciones de trabajo para hacerme caer en errores y </w:t>
            </w:r>
            <w:r>
              <w:rPr>
                <w:color w:val="231F20"/>
                <w:w w:val="95"/>
                <w:sz w:val="16"/>
              </w:rPr>
              <w:t>después acusarme de negligencia o de ser un(a) mal(a) trabajador(a).</w:t>
            </w:r>
          </w:p>
        </w:tc>
        <w:tc>
          <w:tcPr>
            <w:tcW w:w="394" w:type="dxa"/>
          </w:tcPr>
          <w:p>
            <w:pPr/>
          </w:p>
        </w:tc>
        <w:tc>
          <w:tcPr>
            <w:tcW w:w="398" w:type="dxa"/>
          </w:tcPr>
          <w:p>
            <w:pPr/>
          </w:p>
        </w:tc>
      </w:tr>
      <w:tr>
        <w:trPr>
          <w:trHeight w:val="374" w:hRule="exact"/>
        </w:trPr>
        <w:tc>
          <w:tcPr>
            <w:tcW w:w="5069" w:type="dxa"/>
          </w:tcPr>
          <w:p>
            <w:pPr>
              <w:pStyle w:val="TableParagraph"/>
              <w:spacing w:line="232" w:lineRule="auto"/>
              <w:ind w:left="67" w:right="-3"/>
              <w:rPr>
                <w:sz w:val="16"/>
              </w:rPr>
            </w:pPr>
            <w:r>
              <w:rPr>
                <w:color w:val="231F20"/>
                <w:sz w:val="16"/>
              </w:rPr>
              <w:t>8. Se extienden por la empresa rumores maliciosos o calumniosos sobre mi persona.</w:t>
            </w:r>
          </w:p>
        </w:tc>
        <w:tc>
          <w:tcPr>
            <w:tcW w:w="394" w:type="dxa"/>
          </w:tcPr>
          <w:p>
            <w:pPr/>
          </w:p>
        </w:tc>
        <w:tc>
          <w:tcPr>
            <w:tcW w:w="398" w:type="dxa"/>
          </w:tcPr>
          <w:p>
            <w:pPr/>
          </w:p>
        </w:tc>
      </w:tr>
      <w:tr>
        <w:trPr>
          <w:trHeight w:val="192" w:hRule="exact"/>
        </w:trPr>
        <w:tc>
          <w:tcPr>
            <w:tcW w:w="5069" w:type="dxa"/>
          </w:tcPr>
          <w:p>
            <w:pPr>
              <w:pStyle w:val="TableParagraph"/>
              <w:spacing w:line="169" w:lineRule="exact"/>
              <w:ind w:left="67" w:right="-3"/>
              <w:rPr>
                <w:sz w:val="16"/>
              </w:rPr>
            </w:pPr>
            <w:r>
              <w:rPr>
                <w:color w:val="231F20"/>
                <w:sz w:val="16"/>
              </w:rPr>
              <w:t>9. Se desvalora mi trabajo y nunca se me reconoce que haya hecho algo bien.</w:t>
            </w:r>
          </w:p>
        </w:tc>
        <w:tc>
          <w:tcPr>
            <w:tcW w:w="394" w:type="dxa"/>
          </w:tcPr>
          <w:p>
            <w:pPr/>
          </w:p>
        </w:tc>
        <w:tc>
          <w:tcPr>
            <w:tcW w:w="398" w:type="dxa"/>
          </w:tcPr>
          <w:p>
            <w:pPr/>
          </w:p>
        </w:tc>
      </w:tr>
      <w:tr>
        <w:trPr>
          <w:trHeight w:val="557" w:hRule="exact"/>
        </w:trPr>
        <w:tc>
          <w:tcPr>
            <w:tcW w:w="5069" w:type="dxa"/>
          </w:tcPr>
          <w:p>
            <w:pPr>
              <w:pStyle w:val="TableParagraph"/>
              <w:spacing w:line="235" w:lineRule="auto"/>
              <w:ind w:left="67" w:right="56"/>
              <w:jc w:val="both"/>
              <w:rPr>
                <w:sz w:val="16"/>
              </w:rPr>
            </w:pPr>
            <w:r>
              <w:rPr>
                <w:color w:val="231F20"/>
                <w:sz w:val="16"/>
              </w:rPr>
              <w:t>10.</w:t>
            </w:r>
            <w:r>
              <w:rPr>
                <w:color w:val="231F20"/>
                <w:spacing w:val="-18"/>
                <w:sz w:val="16"/>
              </w:rPr>
              <w:t> </w:t>
            </w:r>
            <w:r>
              <w:rPr>
                <w:color w:val="231F20"/>
                <w:sz w:val="16"/>
              </w:rPr>
              <w:t>Se</w:t>
            </w:r>
            <w:r>
              <w:rPr>
                <w:color w:val="231F20"/>
                <w:spacing w:val="-18"/>
                <w:sz w:val="16"/>
              </w:rPr>
              <w:t> </w:t>
            </w:r>
            <w:r>
              <w:rPr>
                <w:color w:val="231F20"/>
                <w:sz w:val="16"/>
              </w:rPr>
              <w:t>ignoran</w:t>
            </w:r>
            <w:r>
              <w:rPr>
                <w:color w:val="231F20"/>
                <w:spacing w:val="-18"/>
                <w:sz w:val="16"/>
              </w:rPr>
              <w:t> </w:t>
            </w:r>
            <w:r>
              <w:rPr>
                <w:color w:val="231F20"/>
                <w:sz w:val="16"/>
              </w:rPr>
              <w:t>mis</w:t>
            </w:r>
            <w:r>
              <w:rPr>
                <w:color w:val="231F20"/>
                <w:spacing w:val="-18"/>
                <w:sz w:val="16"/>
              </w:rPr>
              <w:t> </w:t>
            </w:r>
            <w:r>
              <w:rPr>
                <w:color w:val="231F20"/>
                <w:sz w:val="16"/>
              </w:rPr>
              <w:t>éxitos</w:t>
            </w:r>
            <w:r>
              <w:rPr>
                <w:color w:val="231F20"/>
                <w:spacing w:val="-18"/>
                <w:sz w:val="16"/>
              </w:rPr>
              <w:t> </w:t>
            </w:r>
            <w:r>
              <w:rPr>
                <w:color w:val="231F20"/>
                <w:sz w:val="16"/>
              </w:rPr>
              <w:t>laborales</w:t>
            </w:r>
            <w:r>
              <w:rPr>
                <w:color w:val="231F20"/>
                <w:spacing w:val="-18"/>
                <w:sz w:val="16"/>
              </w:rPr>
              <w:t> </w:t>
            </w:r>
            <w:r>
              <w:rPr>
                <w:color w:val="231F20"/>
                <w:sz w:val="16"/>
              </w:rPr>
              <w:t>y</w:t>
            </w:r>
            <w:r>
              <w:rPr>
                <w:color w:val="231F20"/>
                <w:spacing w:val="-18"/>
                <w:sz w:val="16"/>
              </w:rPr>
              <w:t> </w:t>
            </w:r>
            <w:r>
              <w:rPr>
                <w:color w:val="231F20"/>
                <w:sz w:val="16"/>
              </w:rPr>
              <w:t>se</w:t>
            </w:r>
            <w:r>
              <w:rPr>
                <w:color w:val="231F20"/>
                <w:spacing w:val="-18"/>
                <w:sz w:val="16"/>
              </w:rPr>
              <w:t> </w:t>
            </w:r>
            <w:r>
              <w:rPr>
                <w:color w:val="231F20"/>
                <w:sz w:val="16"/>
              </w:rPr>
              <w:t>atribuyen</w:t>
            </w:r>
            <w:r>
              <w:rPr>
                <w:color w:val="231F20"/>
                <w:spacing w:val="-18"/>
                <w:sz w:val="16"/>
              </w:rPr>
              <w:t> </w:t>
            </w:r>
            <w:r>
              <w:rPr>
                <w:color w:val="231F20"/>
                <w:sz w:val="16"/>
              </w:rPr>
              <w:t>maliciosamente</w:t>
            </w:r>
            <w:r>
              <w:rPr>
                <w:color w:val="231F20"/>
                <w:spacing w:val="-18"/>
                <w:sz w:val="16"/>
              </w:rPr>
              <w:t> </w:t>
            </w:r>
            <w:r>
              <w:rPr>
                <w:color w:val="231F20"/>
                <w:sz w:val="16"/>
              </w:rPr>
              <w:t>a</w:t>
            </w:r>
            <w:r>
              <w:rPr>
                <w:color w:val="231F20"/>
                <w:spacing w:val="-18"/>
                <w:sz w:val="16"/>
              </w:rPr>
              <w:t> </w:t>
            </w:r>
            <w:r>
              <w:rPr>
                <w:color w:val="231F20"/>
                <w:sz w:val="16"/>
              </w:rPr>
              <w:t>otras</w:t>
            </w:r>
            <w:r>
              <w:rPr>
                <w:color w:val="231F20"/>
                <w:spacing w:val="-18"/>
                <w:sz w:val="16"/>
              </w:rPr>
              <w:t> </w:t>
            </w:r>
            <w:r>
              <w:rPr>
                <w:color w:val="231F20"/>
                <w:sz w:val="16"/>
              </w:rPr>
              <w:t>perso- nas o elementos ajenos a ellos, como la casualidad, la suerte, la situación del </w:t>
            </w:r>
            <w:r>
              <w:rPr>
                <w:color w:val="231F20"/>
                <w:w w:val="95"/>
                <w:sz w:val="16"/>
              </w:rPr>
              <w:t>mercado,</w:t>
            </w:r>
            <w:r>
              <w:rPr>
                <w:color w:val="231F20"/>
                <w:spacing w:val="5"/>
                <w:w w:val="95"/>
                <w:sz w:val="16"/>
              </w:rPr>
              <w:t> </w:t>
            </w:r>
            <w:r>
              <w:rPr>
                <w:color w:val="231F20"/>
                <w:w w:val="95"/>
                <w:sz w:val="16"/>
              </w:rPr>
              <w:t>etc.</w:t>
            </w:r>
          </w:p>
        </w:tc>
        <w:tc>
          <w:tcPr>
            <w:tcW w:w="394" w:type="dxa"/>
          </w:tcPr>
          <w:p>
            <w:pPr/>
          </w:p>
        </w:tc>
        <w:tc>
          <w:tcPr>
            <w:tcW w:w="398" w:type="dxa"/>
          </w:tcPr>
          <w:p>
            <w:pPr/>
          </w:p>
        </w:tc>
      </w:tr>
      <w:tr>
        <w:trPr>
          <w:trHeight w:val="374" w:hRule="exact"/>
        </w:trPr>
        <w:tc>
          <w:tcPr>
            <w:tcW w:w="5069" w:type="dxa"/>
          </w:tcPr>
          <w:p>
            <w:pPr>
              <w:pStyle w:val="TableParagraph"/>
              <w:spacing w:line="168" w:lineRule="exact"/>
              <w:ind w:left="67" w:right="-3"/>
              <w:rPr>
                <w:sz w:val="16"/>
              </w:rPr>
            </w:pPr>
            <w:r>
              <w:rPr>
                <w:color w:val="231F20"/>
                <w:sz w:val="16"/>
              </w:rPr>
              <w:t>11. Se castigan mis errores o pequeñas fallas mucho más duramente que   al</w:t>
            </w:r>
          </w:p>
          <w:p>
            <w:pPr>
              <w:pStyle w:val="TableParagraph"/>
              <w:spacing w:line="183" w:lineRule="exact"/>
              <w:ind w:left="67" w:right="-3"/>
              <w:rPr>
                <w:sz w:val="16"/>
              </w:rPr>
            </w:pPr>
            <w:r>
              <w:rPr>
                <w:color w:val="231F20"/>
                <w:sz w:val="16"/>
              </w:rPr>
              <w:t>resto de mis compañeros(as).</w:t>
            </w:r>
          </w:p>
        </w:tc>
        <w:tc>
          <w:tcPr>
            <w:tcW w:w="394" w:type="dxa"/>
          </w:tcPr>
          <w:p>
            <w:pPr/>
          </w:p>
        </w:tc>
        <w:tc>
          <w:tcPr>
            <w:tcW w:w="398" w:type="dxa"/>
          </w:tcPr>
          <w:p>
            <w:pPr/>
          </w:p>
        </w:tc>
      </w:tr>
      <w:tr>
        <w:trPr>
          <w:trHeight w:val="374" w:hRule="exact"/>
        </w:trPr>
        <w:tc>
          <w:tcPr>
            <w:tcW w:w="5069" w:type="dxa"/>
          </w:tcPr>
          <w:p>
            <w:pPr>
              <w:pStyle w:val="TableParagraph"/>
              <w:spacing w:line="168" w:lineRule="exact"/>
              <w:ind w:left="67" w:right="-3"/>
              <w:rPr>
                <w:sz w:val="16"/>
              </w:rPr>
            </w:pPr>
            <w:r>
              <w:rPr>
                <w:color w:val="231F20"/>
                <w:w w:val="91"/>
                <w:sz w:val="16"/>
              </w:rPr>
              <w:t>12.</w:t>
            </w:r>
            <w:r>
              <w:rPr>
                <w:color w:val="231F20"/>
                <w:spacing w:val="7"/>
                <w:sz w:val="16"/>
              </w:rPr>
              <w:t> </w:t>
            </w:r>
            <w:r>
              <w:rPr>
                <w:color w:val="231F20"/>
                <w:w w:val="88"/>
                <w:sz w:val="16"/>
              </w:rPr>
              <w:t>Se</w:t>
            </w:r>
            <w:r>
              <w:rPr>
                <w:color w:val="231F20"/>
                <w:spacing w:val="8"/>
                <w:sz w:val="16"/>
              </w:rPr>
              <w:t> </w:t>
            </w:r>
            <w:r>
              <w:rPr>
                <w:color w:val="231F20"/>
                <w:spacing w:val="1"/>
                <w:w w:val="98"/>
                <w:sz w:val="16"/>
              </w:rPr>
              <w:t>m</w:t>
            </w:r>
            <w:r>
              <w:rPr>
                <w:color w:val="231F20"/>
                <w:w w:val="92"/>
                <w:sz w:val="16"/>
              </w:rPr>
              <w:t>e</w:t>
            </w:r>
            <w:r>
              <w:rPr>
                <w:color w:val="231F20"/>
                <w:spacing w:val="8"/>
                <w:sz w:val="16"/>
              </w:rPr>
              <w:t> </w:t>
            </w:r>
            <w:r>
              <w:rPr>
                <w:color w:val="231F20"/>
                <w:w w:val="101"/>
                <w:sz w:val="16"/>
              </w:rPr>
              <w:t>ob</w:t>
            </w:r>
            <w:r>
              <w:rPr>
                <w:color w:val="231F20"/>
                <w:w w:val="92"/>
                <w:sz w:val="16"/>
              </w:rPr>
              <w:t>s</w:t>
            </w:r>
            <w:r>
              <w:rPr>
                <w:color w:val="231F20"/>
                <w:w w:val="103"/>
                <w:sz w:val="16"/>
              </w:rPr>
              <w:t>t</w:t>
            </w:r>
            <w:r>
              <w:rPr>
                <w:color w:val="231F20"/>
                <w:w w:val="91"/>
                <w:sz w:val="16"/>
              </w:rPr>
              <w:t>ac</w:t>
            </w:r>
            <w:r>
              <w:rPr>
                <w:color w:val="231F20"/>
                <w:w w:val="96"/>
                <w:sz w:val="16"/>
              </w:rPr>
              <w:t>u</w:t>
            </w:r>
            <w:r>
              <w:rPr>
                <w:color w:val="231F20"/>
                <w:w w:val="81"/>
                <w:sz w:val="16"/>
              </w:rPr>
              <w:t>li</w:t>
            </w:r>
            <w:r>
              <w:rPr>
                <w:color w:val="231F20"/>
                <w:w w:val="95"/>
                <w:sz w:val="16"/>
              </w:rPr>
              <w:t>zan</w:t>
            </w:r>
            <w:r>
              <w:rPr>
                <w:color w:val="231F20"/>
                <w:spacing w:val="8"/>
                <w:sz w:val="16"/>
              </w:rPr>
              <w:t> </w:t>
            </w:r>
            <w:r>
              <w:rPr>
                <w:color w:val="231F20"/>
                <w:w w:val="81"/>
                <w:sz w:val="16"/>
              </w:rPr>
              <w:t>l</w:t>
            </w:r>
            <w:r>
              <w:rPr>
                <w:color w:val="231F20"/>
                <w:w w:val="91"/>
                <w:sz w:val="16"/>
              </w:rPr>
              <w:t>as</w:t>
            </w:r>
            <w:r>
              <w:rPr>
                <w:color w:val="231F20"/>
                <w:spacing w:val="8"/>
                <w:sz w:val="16"/>
              </w:rPr>
              <w:t> </w:t>
            </w:r>
            <w:r>
              <w:rPr>
                <w:color w:val="231F20"/>
                <w:w w:val="101"/>
                <w:sz w:val="16"/>
              </w:rPr>
              <w:t>po</w:t>
            </w:r>
            <w:r>
              <w:rPr>
                <w:color w:val="231F20"/>
                <w:w w:val="92"/>
                <w:sz w:val="16"/>
              </w:rPr>
              <w:t>s</w:t>
            </w:r>
            <w:r>
              <w:rPr>
                <w:color w:val="231F20"/>
                <w:w w:val="81"/>
                <w:sz w:val="16"/>
              </w:rPr>
              <w:t>i</w:t>
            </w:r>
            <w:r>
              <w:rPr>
                <w:color w:val="231F20"/>
                <w:w w:val="101"/>
                <w:sz w:val="16"/>
              </w:rPr>
              <w:t>b</w:t>
            </w:r>
            <w:r>
              <w:rPr>
                <w:color w:val="231F20"/>
                <w:w w:val="81"/>
                <w:sz w:val="16"/>
              </w:rPr>
              <w:t>ili</w:t>
            </w:r>
            <w:r>
              <w:rPr>
                <w:color w:val="231F20"/>
                <w:w w:val="98"/>
                <w:sz w:val="16"/>
              </w:rPr>
              <w:t>d</w:t>
            </w:r>
            <w:r>
              <w:rPr>
                <w:color w:val="231F20"/>
                <w:w w:val="95"/>
                <w:sz w:val="16"/>
              </w:rPr>
              <w:t>ad</w:t>
            </w:r>
            <w:r>
              <w:rPr>
                <w:color w:val="231F20"/>
                <w:w w:val="92"/>
                <w:sz w:val="16"/>
              </w:rPr>
              <w:t>es</w:t>
            </w:r>
            <w:r>
              <w:rPr>
                <w:color w:val="231F20"/>
                <w:spacing w:val="8"/>
                <w:sz w:val="16"/>
              </w:rPr>
              <w:t> </w:t>
            </w:r>
            <w:r>
              <w:rPr>
                <w:color w:val="231F20"/>
                <w:w w:val="98"/>
                <w:sz w:val="16"/>
              </w:rPr>
              <w:t>d</w:t>
            </w:r>
            <w:r>
              <w:rPr>
                <w:color w:val="231F20"/>
                <w:w w:val="92"/>
                <w:sz w:val="16"/>
              </w:rPr>
              <w:t>e</w:t>
            </w:r>
            <w:r>
              <w:rPr>
                <w:color w:val="231F20"/>
                <w:spacing w:val="8"/>
                <w:sz w:val="16"/>
              </w:rPr>
              <w:t> </w:t>
            </w:r>
            <w:r>
              <w:rPr>
                <w:color w:val="231F20"/>
                <w:w w:val="92"/>
                <w:sz w:val="16"/>
              </w:rPr>
              <w:t>c</w:t>
            </w:r>
            <w:r>
              <w:rPr>
                <w:color w:val="231F20"/>
                <w:w w:val="101"/>
                <w:sz w:val="16"/>
              </w:rPr>
              <w:t>o</w:t>
            </w:r>
            <w:r>
              <w:rPr>
                <w:color w:val="231F20"/>
                <w:spacing w:val="1"/>
                <w:w w:val="98"/>
                <w:sz w:val="16"/>
              </w:rPr>
              <w:t>m</w:t>
            </w:r>
            <w:r>
              <w:rPr>
                <w:color w:val="231F20"/>
                <w:w w:val="98"/>
                <w:sz w:val="16"/>
              </w:rPr>
              <w:t>un</w:t>
            </w:r>
            <w:r>
              <w:rPr>
                <w:color w:val="231F20"/>
                <w:w w:val="81"/>
                <w:sz w:val="16"/>
              </w:rPr>
              <w:t>i</w:t>
            </w:r>
            <w:r>
              <w:rPr>
                <w:color w:val="231F20"/>
                <w:w w:val="92"/>
                <w:sz w:val="16"/>
              </w:rPr>
              <w:t>c</w:t>
            </w:r>
            <w:r>
              <w:rPr>
                <w:color w:val="231F20"/>
                <w:w w:val="94"/>
                <w:sz w:val="16"/>
              </w:rPr>
              <w:t>ar</w:t>
            </w:r>
            <w:r>
              <w:rPr>
                <w:color w:val="231F20"/>
                <w:spacing w:val="1"/>
                <w:w w:val="98"/>
                <w:sz w:val="16"/>
              </w:rPr>
              <w:t>m</w:t>
            </w:r>
            <w:r>
              <w:rPr>
                <w:color w:val="231F20"/>
                <w:w w:val="92"/>
                <w:sz w:val="16"/>
              </w:rPr>
              <w:t>e</w:t>
            </w:r>
            <w:r>
              <w:rPr>
                <w:color w:val="231F20"/>
                <w:spacing w:val="8"/>
                <w:sz w:val="16"/>
              </w:rPr>
              <w:t> </w:t>
            </w:r>
            <w:r>
              <w:rPr>
                <w:color w:val="231F20"/>
                <w:w w:val="92"/>
                <w:sz w:val="16"/>
              </w:rPr>
              <w:t>c</w:t>
            </w:r>
            <w:r>
              <w:rPr>
                <w:color w:val="231F20"/>
                <w:w w:val="101"/>
                <w:sz w:val="16"/>
              </w:rPr>
              <w:t>on</w:t>
            </w:r>
            <w:r>
              <w:rPr>
                <w:color w:val="231F20"/>
                <w:spacing w:val="8"/>
                <w:sz w:val="16"/>
              </w:rPr>
              <w:t> </w:t>
            </w:r>
            <w:r>
              <w:rPr>
                <w:color w:val="231F20"/>
                <w:w w:val="92"/>
                <w:sz w:val="16"/>
              </w:rPr>
              <w:t>c</w:t>
            </w:r>
            <w:r>
              <w:rPr>
                <w:color w:val="231F20"/>
                <w:w w:val="101"/>
                <w:sz w:val="16"/>
              </w:rPr>
              <w:t>o</w:t>
            </w:r>
            <w:r>
              <w:rPr>
                <w:color w:val="231F20"/>
                <w:spacing w:val="1"/>
                <w:w w:val="98"/>
                <w:sz w:val="16"/>
              </w:rPr>
              <w:t>m</w:t>
            </w:r>
            <w:r>
              <w:rPr>
                <w:color w:val="231F20"/>
                <w:w w:val="101"/>
                <w:sz w:val="16"/>
              </w:rPr>
              <w:t>p</w:t>
            </w:r>
            <w:r>
              <w:rPr>
                <w:color w:val="231F20"/>
                <w:w w:val="90"/>
                <w:sz w:val="16"/>
              </w:rPr>
              <w:t>a</w:t>
            </w:r>
            <w:r>
              <w:rPr>
                <w:color w:val="231F20"/>
                <w:w w:val="101"/>
                <w:sz w:val="16"/>
              </w:rPr>
              <w:t>ñ</w:t>
            </w:r>
            <w:r>
              <w:rPr>
                <w:color w:val="231F20"/>
                <w:w w:val="92"/>
                <w:sz w:val="16"/>
              </w:rPr>
              <w:t>e</w:t>
            </w:r>
            <w:r>
              <w:rPr>
                <w:color w:val="231F20"/>
                <w:w w:val="99"/>
                <w:sz w:val="16"/>
              </w:rPr>
              <w:t>r</w:t>
            </w:r>
            <w:r>
              <w:rPr>
                <w:color w:val="231F20"/>
                <w:w w:val="101"/>
                <w:sz w:val="16"/>
              </w:rPr>
              <w:t>o</w:t>
            </w:r>
            <w:r>
              <w:rPr>
                <w:color w:val="231F20"/>
                <w:w w:val="92"/>
                <w:sz w:val="16"/>
              </w:rPr>
              <w:t>s</w:t>
            </w:r>
            <w:r>
              <w:rPr>
                <w:color w:val="231F20"/>
                <w:spacing w:val="8"/>
                <w:sz w:val="16"/>
              </w:rPr>
              <w:t> </w:t>
            </w:r>
            <w:r>
              <w:rPr>
                <w:color w:val="231F20"/>
                <w:w w:val="82"/>
                <w:sz w:val="16"/>
              </w:rPr>
              <w:t>y</w:t>
            </w:r>
            <w:r>
              <w:rPr>
                <w:color w:val="231F20"/>
                <w:w w:val="178"/>
                <w:sz w:val="16"/>
              </w:rPr>
              <w:t>/</w:t>
            </w:r>
            <w:r>
              <w:rPr>
                <w:color w:val="231F20"/>
                <w:w w:val="101"/>
                <w:sz w:val="16"/>
              </w:rPr>
              <w:t>o</w:t>
            </w:r>
          </w:p>
          <w:p>
            <w:pPr>
              <w:pStyle w:val="TableParagraph"/>
              <w:spacing w:line="183" w:lineRule="exact"/>
              <w:ind w:left="67" w:right="-3"/>
              <w:rPr>
                <w:sz w:val="16"/>
              </w:rPr>
            </w:pPr>
            <w:r>
              <w:rPr>
                <w:color w:val="231F20"/>
                <w:sz w:val="16"/>
              </w:rPr>
              <w:t>con otras áreas de la empresa.</w:t>
            </w:r>
          </w:p>
        </w:tc>
        <w:tc>
          <w:tcPr>
            <w:tcW w:w="394" w:type="dxa"/>
          </w:tcPr>
          <w:p>
            <w:pPr/>
          </w:p>
        </w:tc>
        <w:tc>
          <w:tcPr>
            <w:tcW w:w="398" w:type="dxa"/>
          </w:tcPr>
          <w:p>
            <w:pPr/>
          </w:p>
        </w:tc>
      </w:tr>
      <w:tr>
        <w:trPr>
          <w:trHeight w:val="197" w:hRule="exact"/>
        </w:trPr>
        <w:tc>
          <w:tcPr>
            <w:tcW w:w="5069" w:type="dxa"/>
          </w:tcPr>
          <w:p>
            <w:pPr>
              <w:pStyle w:val="TableParagraph"/>
              <w:spacing w:line="169" w:lineRule="exact"/>
              <w:ind w:left="67" w:right="-3"/>
              <w:rPr>
                <w:sz w:val="16"/>
              </w:rPr>
            </w:pPr>
            <w:r>
              <w:rPr>
                <w:color w:val="231F20"/>
                <w:sz w:val="16"/>
              </w:rPr>
              <w:t>13. Se me interrumpe continuamente cuando trato de hablar.</w:t>
            </w:r>
          </w:p>
        </w:tc>
        <w:tc>
          <w:tcPr>
            <w:tcW w:w="394" w:type="dxa"/>
          </w:tcPr>
          <w:p>
            <w:pPr/>
          </w:p>
        </w:tc>
        <w:tc>
          <w:tcPr>
            <w:tcW w:w="398" w:type="dxa"/>
          </w:tcPr>
          <w:p>
            <w:pPr/>
          </w:p>
        </w:tc>
      </w:tr>
      <w:tr>
        <w:trPr>
          <w:trHeight w:val="197" w:hRule="exact"/>
        </w:trPr>
        <w:tc>
          <w:tcPr>
            <w:tcW w:w="5069" w:type="dxa"/>
          </w:tcPr>
          <w:p>
            <w:pPr>
              <w:pStyle w:val="TableParagraph"/>
              <w:spacing w:line="169" w:lineRule="exact"/>
              <w:ind w:left="67" w:right="-3"/>
              <w:rPr>
                <w:sz w:val="16"/>
              </w:rPr>
            </w:pPr>
            <w:r>
              <w:rPr>
                <w:color w:val="231F20"/>
                <w:sz w:val="16"/>
              </w:rPr>
              <w:t>14. Siento que se me impide expresarme.</w:t>
            </w:r>
          </w:p>
        </w:tc>
        <w:tc>
          <w:tcPr>
            <w:tcW w:w="394" w:type="dxa"/>
          </w:tcPr>
          <w:p>
            <w:pPr/>
          </w:p>
        </w:tc>
        <w:tc>
          <w:tcPr>
            <w:tcW w:w="398" w:type="dxa"/>
          </w:tcPr>
          <w:p>
            <w:pPr/>
          </w:p>
        </w:tc>
      </w:tr>
      <w:tr>
        <w:trPr>
          <w:trHeight w:val="192" w:hRule="exact"/>
        </w:trPr>
        <w:tc>
          <w:tcPr>
            <w:tcW w:w="5069" w:type="dxa"/>
          </w:tcPr>
          <w:p>
            <w:pPr>
              <w:pStyle w:val="TableParagraph"/>
              <w:spacing w:line="169" w:lineRule="exact"/>
              <w:ind w:left="67" w:right="-3"/>
              <w:rPr>
                <w:sz w:val="16"/>
              </w:rPr>
            </w:pPr>
            <w:r>
              <w:rPr>
                <w:color w:val="231F20"/>
                <w:sz w:val="16"/>
              </w:rPr>
              <w:t>15. Se me ataca verbalmente criticando los trabajos que realizo.</w:t>
            </w:r>
          </w:p>
        </w:tc>
        <w:tc>
          <w:tcPr>
            <w:tcW w:w="394" w:type="dxa"/>
          </w:tcPr>
          <w:p>
            <w:pPr/>
          </w:p>
        </w:tc>
        <w:tc>
          <w:tcPr>
            <w:tcW w:w="398" w:type="dxa"/>
          </w:tcPr>
          <w:p>
            <w:pPr/>
          </w:p>
        </w:tc>
      </w:tr>
      <w:tr>
        <w:trPr>
          <w:trHeight w:val="374" w:hRule="exact"/>
        </w:trPr>
        <w:tc>
          <w:tcPr>
            <w:tcW w:w="5069" w:type="dxa"/>
          </w:tcPr>
          <w:p>
            <w:pPr>
              <w:pStyle w:val="TableParagraph"/>
              <w:spacing w:line="168" w:lineRule="exact"/>
              <w:ind w:left="67" w:right="-3"/>
              <w:rPr>
                <w:sz w:val="16"/>
              </w:rPr>
            </w:pPr>
            <w:r>
              <w:rPr>
                <w:color w:val="231F20"/>
                <w:sz w:val="16"/>
              </w:rPr>
              <w:t>16. Se me evita o rechaza en el trabajo (evitando el contacto visual, mediante</w:t>
            </w:r>
          </w:p>
          <w:p>
            <w:pPr>
              <w:pStyle w:val="TableParagraph"/>
              <w:spacing w:line="183" w:lineRule="exact"/>
              <w:ind w:left="67" w:right="-3"/>
              <w:rPr>
                <w:sz w:val="16"/>
              </w:rPr>
            </w:pPr>
            <w:r>
              <w:rPr>
                <w:color w:val="231F20"/>
                <w:sz w:val="16"/>
              </w:rPr>
              <w:t>gestos de rechazo explícito, desdén o menosprecio, etc.).</w:t>
            </w:r>
          </w:p>
        </w:tc>
        <w:tc>
          <w:tcPr>
            <w:tcW w:w="394" w:type="dxa"/>
          </w:tcPr>
          <w:p>
            <w:pPr/>
          </w:p>
        </w:tc>
        <w:tc>
          <w:tcPr>
            <w:tcW w:w="398" w:type="dxa"/>
          </w:tcPr>
          <w:p>
            <w:pPr/>
          </w:p>
        </w:tc>
      </w:tr>
      <w:tr>
        <w:trPr>
          <w:trHeight w:val="374" w:hRule="exact"/>
        </w:trPr>
        <w:tc>
          <w:tcPr>
            <w:tcW w:w="5069" w:type="dxa"/>
          </w:tcPr>
          <w:p>
            <w:pPr>
              <w:pStyle w:val="TableParagraph"/>
              <w:spacing w:line="168" w:lineRule="exact"/>
              <w:ind w:left="67" w:right="-3"/>
              <w:rPr>
                <w:sz w:val="16"/>
              </w:rPr>
            </w:pPr>
            <w:r>
              <w:rPr>
                <w:color w:val="231F20"/>
                <w:sz w:val="16"/>
              </w:rPr>
              <w:t>17.</w:t>
            </w:r>
            <w:r>
              <w:rPr>
                <w:color w:val="231F20"/>
                <w:spacing w:val="-23"/>
                <w:sz w:val="16"/>
              </w:rPr>
              <w:t> </w:t>
            </w:r>
            <w:r>
              <w:rPr>
                <w:color w:val="231F20"/>
                <w:sz w:val="16"/>
              </w:rPr>
              <w:t>Se</w:t>
            </w:r>
            <w:r>
              <w:rPr>
                <w:color w:val="231F20"/>
                <w:spacing w:val="-23"/>
                <w:sz w:val="16"/>
              </w:rPr>
              <w:t> </w:t>
            </w:r>
            <w:r>
              <w:rPr>
                <w:color w:val="231F20"/>
                <w:sz w:val="16"/>
              </w:rPr>
              <w:t>ignora</w:t>
            </w:r>
            <w:r>
              <w:rPr>
                <w:color w:val="231F20"/>
                <w:spacing w:val="-23"/>
                <w:sz w:val="16"/>
              </w:rPr>
              <w:t> </w:t>
            </w:r>
            <w:r>
              <w:rPr>
                <w:color w:val="231F20"/>
                <w:sz w:val="16"/>
              </w:rPr>
              <w:t>mi</w:t>
            </w:r>
            <w:r>
              <w:rPr>
                <w:color w:val="231F20"/>
                <w:spacing w:val="-23"/>
                <w:sz w:val="16"/>
              </w:rPr>
              <w:t> </w:t>
            </w:r>
            <w:r>
              <w:rPr>
                <w:color w:val="231F20"/>
                <w:sz w:val="16"/>
              </w:rPr>
              <w:t>presencia,</w:t>
            </w:r>
            <w:r>
              <w:rPr>
                <w:color w:val="231F20"/>
                <w:spacing w:val="-23"/>
                <w:sz w:val="16"/>
              </w:rPr>
              <w:t> </w:t>
            </w:r>
            <w:r>
              <w:rPr>
                <w:color w:val="231F20"/>
                <w:sz w:val="16"/>
              </w:rPr>
              <w:t>por</w:t>
            </w:r>
            <w:r>
              <w:rPr>
                <w:color w:val="231F20"/>
                <w:spacing w:val="-23"/>
                <w:sz w:val="16"/>
              </w:rPr>
              <w:t> </w:t>
            </w:r>
            <w:r>
              <w:rPr>
                <w:color w:val="231F20"/>
                <w:sz w:val="16"/>
              </w:rPr>
              <w:t>ejemplo,</w:t>
            </w:r>
            <w:r>
              <w:rPr>
                <w:color w:val="231F20"/>
                <w:spacing w:val="-22"/>
                <w:sz w:val="16"/>
              </w:rPr>
              <w:t> </w:t>
            </w:r>
            <w:r>
              <w:rPr>
                <w:color w:val="231F20"/>
                <w:sz w:val="16"/>
              </w:rPr>
              <w:t>dirigiéndose</w:t>
            </w:r>
            <w:r>
              <w:rPr>
                <w:color w:val="231F20"/>
                <w:spacing w:val="-23"/>
                <w:sz w:val="16"/>
              </w:rPr>
              <w:t> </w:t>
            </w:r>
            <w:r>
              <w:rPr>
                <w:color w:val="231F20"/>
                <w:sz w:val="16"/>
              </w:rPr>
              <w:t>exclusivamente</w:t>
            </w:r>
            <w:r>
              <w:rPr>
                <w:color w:val="231F20"/>
                <w:spacing w:val="-23"/>
                <w:sz w:val="16"/>
              </w:rPr>
              <w:t> </w:t>
            </w:r>
            <w:r>
              <w:rPr>
                <w:color w:val="231F20"/>
                <w:sz w:val="16"/>
              </w:rPr>
              <w:t>a</w:t>
            </w:r>
            <w:r>
              <w:rPr>
                <w:color w:val="231F20"/>
                <w:spacing w:val="-23"/>
                <w:sz w:val="16"/>
              </w:rPr>
              <w:t> </w:t>
            </w:r>
            <w:r>
              <w:rPr>
                <w:color w:val="231F20"/>
                <w:sz w:val="16"/>
              </w:rPr>
              <w:t>terceros</w:t>
            </w:r>
          </w:p>
          <w:p>
            <w:pPr>
              <w:pStyle w:val="TableParagraph"/>
              <w:spacing w:line="183" w:lineRule="exact"/>
              <w:ind w:left="67" w:right="-3"/>
              <w:rPr>
                <w:sz w:val="16"/>
              </w:rPr>
            </w:pPr>
            <w:r>
              <w:rPr>
                <w:color w:val="231F20"/>
                <w:sz w:val="16"/>
              </w:rPr>
              <w:t>(como si no me vieran o no existiera).</w:t>
            </w:r>
          </w:p>
        </w:tc>
        <w:tc>
          <w:tcPr>
            <w:tcW w:w="394" w:type="dxa"/>
          </w:tcPr>
          <w:p>
            <w:pPr/>
          </w:p>
        </w:tc>
        <w:tc>
          <w:tcPr>
            <w:tcW w:w="398" w:type="dxa"/>
          </w:tcPr>
          <w:p>
            <w:pPr/>
          </w:p>
        </w:tc>
      </w:tr>
      <w:tr>
        <w:trPr>
          <w:trHeight w:val="197" w:hRule="exact"/>
        </w:trPr>
        <w:tc>
          <w:tcPr>
            <w:tcW w:w="5069" w:type="dxa"/>
          </w:tcPr>
          <w:p>
            <w:pPr>
              <w:pStyle w:val="TableParagraph"/>
              <w:spacing w:line="174" w:lineRule="exact"/>
              <w:ind w:left="67" w:right="-3"/>
              <w:rPr>
                <w:sz w:val="16"/>
              </w:rPr>
            </w:pPr>
            <w:r>
              <w:rPr>
                <w:color w:val="231F20"/>
                <w:sz w:val="16"/>
              </w:rPr>
              <w:t>18. Se me asignan sin cesar tareas nuevas.</w:t>
            </w:r>
          </w:p>
        </w:tc>
        <w:tc>
          <w:tcPr>
            <w:tcW w:w="394" w:type="dxa"/>
          </w:tcPr>
          <w:p>
            <w:pPr/>
          </w:p>
        </w:tc>
        <w:tc>
          <w:tcPr>
            <w:tcW w:w="398" w:type="dxa"/>
          </w:tcPr>
          <w:p>
            <w:pPr/>
          </w:p>
        </w:tc>
      </w:tr>
      <w:tr>
        <w:trPr>
          <w:trHeight w:val="557" w:hRule="exact"/>
        </w:trPr>
        <w:tc>
          <w:tcPr>
            <w:tcW w:w="5069" w:type="dxa"/>
          </w:tcPr>
          <w:p>
            <w:pPr>
              <w:pStyle w:val="TableParagraph"/>
              <w:spacing w:line="168" w:lineRule="exact"/>
              <w:ind w:left="67" w:right="-3"/>
              <w:rPr>
                <w:sz w:val="16"/>
              </w:rPr>
            </w:pPr>
            <w:r>
              <w:rPr>
                <w:color w:val="231F20"/>
                <w:sz w:val="16"/>
              </w:rPr>
              <w:t>19. Los trabajos o actividades que se me encargan requieren una experiencia</w:t>
            </w:r>
          </w:p>
          <w:p>
            <w:pPr>
              <w:pStyle w:val="TableParagraph"/>
              <w:spacing w:line="178" w:lineRule="exact" w:before="6"/>
              <w:ind w:left="67" w:right="-3"/>
              <w:rPr>
                <w:sz w:val="16"/>
              </w:rPr>
            </w:pPr>
            <w:r>
              <w:rPr>
                <w:color w:val="231F20"/>
                <w:sz w:val="16"/>
              </w:rPr>
              <w:t>superior a las competencias que poseo, y me las asignan con la intención de desacreditarme.</w:t>
            </w:r>
          </w:p>
        </w:tc>
        <w:tc>
          <w:tcPr>
            <w:tcW w:w="394" w:type="dxa"/>
          </w:tcPr>
          <w:p>
            <w:pPr/>
          </w:p>
        </w:tc>
        <w:tc>
          <w:tcPr>
            <w:tcW w:w="398" w:type="dxa"/>
          </w:tcPr>
          <w:p>
            <w:pPr/>
          </w:p>
        </w:tc>
      </w:tr>
      <w:tr>
        <w:trPr>
          <w:trHeight w:val="374" w:hRule="exact"/>
        </w:trPr>
        <w:tc>
          <w:tcPr>
            <w:tcW w:w="5069" w:type="dxa"/>
          </w:tcPr>
          <w:p>
            <w:pPr>
              <w:pStyle w:val="TableParagraph"/>
              <w:spacing w:line="232" w:lineRule="auto"/>
              <w:ind w:left="67" w:right="-3"/>
              <w:rPr>
                <w:sz w:val="16"/>
              </w:rPr>
            </w:pPr>
            <w:r>
              <w:rPr>
                <w:color w:val="231F20"/>
                <w:sz w:val="16"/>
              </w:rPr>
              <w:t>20.</w:t>
            </w:r>
            <w:r>
              <w:rPr>
                <w:color w:val="231F20"/>
                <w:spacing w:val="-12"/>
                <w:sz w:val="16"/>
              </w:rPr>
              <w:t> </w:t>
            </w:r>
            <w:r>
              <w:rPr>
                <w:color w:val="231F20"/>
                <w:sz w:val="16"/>
              </w:rPr>
              <w:t>Se</w:t>
            </w:r>
            <w:r>
              <w:rPr>
                <w:color w:val="231F20"/>
                <w:spacing w:val="-11"/>
                <w:sz w:val="16"/>
              </w:rPr>
              <w:t> </w:t>
            </w:r>
            <w:r>
              <w:rPr>
                <w:color w:val="231F20"/>
                <w:sz w:val="16"/>
              </w:rPr>
              <w:t>me</w:t>
            </w:r>
            <w:r>
              <w:rPr>
                <w:color w:val="231F20"/>
                <w:spacing w:val="-11"/>
                <w:sz w:val="16"/>
              </w:rPr>
              <w:t> </w:t>
            </w:r>
            <w:r>
              <w:rPr>
                <w:color w:val="231F20"/>
                <w:sz w:val="16"/>
              </w:rPr>
              <w:t>critica</w:t>
            </w:r>
            <w:r>
              <w:rPr>
                <w:color w:val="231F20"/>
                <w:spacing w:val="-11"/>
                <w:sz w:val="16"/>
              </w:rPr>
              <w:t> </w:t>
            </w:r>
            <w:r>
              <w:rPr>
                <w:color w:val="231F20"/>
                <w:sz w:val="16"/>
              </w:rPr>
              <w:t>de</w:t>
            </w:r>
            <w:r>
              <w:rPr>
                <w:color w:val="231F20"/>
                <w:spacing w:val="-11"/>
                <w:sz w:val="16"/>
              </w:rPr>
              <w:t> </w:t>
            </w:r>
            <w:r>
              <w:rPr>
                <w:color w:val="231F20"/>
                <w:sz w:val="16"/>
              </w:rPr>
              <w:t>tal</w:t>
            </w:r>
            <w:r>
              <w:rPr>
                <w:color w:val="231F20"/>
                <w:spacing w:val="-11"/>
                <w:sz w:val="16"/>
              </w:rPr>
              <w:t> </w:t>
            </w:r>
            <w:r>
              <w:rPr>
                <w:color w:val="231F20"/>
                <w:sz w:val="16"/>
              </w:rPr>
              <w:t>manera</w:t>
            </w:r>
            <w:r>
              <w:rPr>
                <w:color w:val="231F20"/>
                <w:spacing w:val="-11"/>
                <w:sz w:val="16"/>
              </w:rPr>
              <w:t> </w:t>
            </w:r>
            <w:r>
              <w:rPr>
                <w:color w:val="231F20"/>
                <w:sz w:val="16"/>
              </w:rPr>
              <w:t>en</w:t>
            </w:r>
            <w:r>
              <w:rPr>
                <w:color w:val="231F20"/>
                <w:spacing w:val="-11"/>
                <w:sz w:val="16"/>
              </w:rPr>
              <w:t> </w:t>
            </w:r>
            <w:r>
              <w:rPr>
                <w:color w:val="231F20"/>
                <w:sz w:val="16"/>
              </w:rPr>
              <w:t>mi</w:t>
            </w:r>
            <w:r>
              <w:rPr>
                <w:color w:val="231F20"/>
                <w:spacing w:val="-11"/>
                <w:sz w:val="16"/>
              </w:rPr>
              <w:t> </w:t>
            </w:r>
            <w:r>
              <w:rPr>
                <w:color w:val="231F20"/>
                <w:sz w:val="16"/>
              </w:rPr>
              <w:t>trabajo</w:t>
            </w:r>
            <w:r>
              <w:rPr>
                <w:color w:val="231F20"/>
                <w:spacing w:val="-11"/>
                <w:sz w:val="16"/>
              </w:rPr>
              <w:t> </w:t>
            </w:r>
            <w:r>
              <w:rPr>
                <w:color w:val="231F20"/>
                <w:sz w:val="16"/>
              </w:rPr>
              <w:t>que</w:t>
            </w:r>
            <w:r>
              <w:rPr>
                <w:color w:val="231F20"/>
                <w:spacing w:val="-11"/>
                <w:sz w:val="16"/>
              </w:rPr>
              <w:t> </w:t>
            </w:r>
            <w:r>
              <w:rPr>
                <w:color w:val="231F20"/>
                <w:sz w:val="16"/>
              </w:rPr>
              <w:t>ya</w:t>
            </w:r>
            <w:r>
              <w:rPr>
                <w:color w:val="231F20"/>
                <w:spacing w:val="-11"/>
                <w:sz w:val="16"/>
              </w:rPr>
              <w:t> </w:t>
            </w:r>
            <w:r>
              <w:rPr>
                <w:color w:val="231F20"/>
                <w:sz w:val="16"/>
              </w:rPr>
              <w:t>dudo</w:t>
            </w:r>
            <w:r>
              <w:rPr>
                <w:color w:val="231F20"/>
                <w:spacing w:val="-11"/>
                <w:sz w:val="16"/>
              </w:rPr>
              <w:t> </w:t>
            </w:r>
            <w:r>
              <w:rPr>
                <w:color w:val="231F20"/>
                <w:sz w:val="16"/>
              </w:rPr>
              <w:t>de</w:t>
            </w:r>
            <w:r>
              <w:rPr>
                <w:color w:val="231F20"/>
                <w:spacing w:val="-11"/>
                <w:sz w:val="16"/>
              </w:rPr>
              <w:t> </w:t>
            </w:r>
            <w:r>
              <w:rPr>
                <w:color w:val="231F20"/>
                <w:sz w:val="16"/>
              </w:rPr>
              <w:t>mi</w:t>
            </w:r>
            <w:r>
              <w:rPr>
                <w:color w:val="231F20"/>
                <w:spacing w:val="-11"/>
                <w:sz w:val="16"/>
              </w:rPr>
              <w:t> </w:t>
            </w:r>
            <w:r>
              <w:rPr>
                <w:color w:val="231F20"/>
                <w:sz w:val="16"/>
              </w:rPr>
              <w:t>capacidad</w:t>
            </w:r>
            <w:r>
              <w:rPr>
                <w:color w:val="231F20"/>
                <w:spacing w:val="-11"/>
                <w:sz w:val="16"/>
              </w:rPr>
              <w:t> </w:t>
            </w:r>
            <w:r>
              <w:rPr>
                <w:color w:val="231F20"/>
                <w:sz w:val="16"/>
              </w:rPr>
              <w:t>para hacer</w:t>
            </w:r>
            <w:r>
              <w:rPr>
                <w:color w:val="231F20"/>
                <w:spacing w:val="-23"/>
                <w:sz w:val="16"/>
              </w:rPr>
              <w:t> </w:t>
            </w:r>
            <w:r>
              <w:rPr>
                <w:color w:val="231F20"/>
                <w:sz w:val="16"/>
              </w:rPr>
              <w:t>bien</w:t>
            </w:r>
            <w:r>
              <w:rPr>
                <w:color w:val="231F20"/>
                <w:spacing w:val="-23"/>
                <w:sz w:val="16"/>
              </w:rPr>
              <w:t> </w:t>
            </w:r>
            <w:r>
              <w:rPr>
                <w:color w:val="231F20"/>
                <w:sz w:val="16"/>
              </w:rPr>
              <w:t>mis</w:t>
            </w:r>
            <w:r>
              <w:rPr>
                <w:color w:val="231F20"/>
                <w:spacing w:val="-23"/>
                <w:sz w:val="16"/>
              </w:rPr>
              <w:t> </w:t>
            </w:r>
            <w:r>
              <w:rPr>
                <w:color w:val="231F20"/>
                <w:sz w:val="16"/>
              </w:rPr>
              <w:t>tareas.</w:t>
            </w:r>
          </w:p>
        </w:tc>
        <w:tc>
          <w:tcPr>
            <w:tcW w:w="394" w:type="dxa"/>
          </w:tcPr>
          <w:p>
            <w:pPr/>
          </w:p>
        </w:tc>
        <w:tc>
          <w:tcPr>
            <w:tcW w:w="398" w:type="dxa"/>
          </w:tcPr>
          <w:p>
            <w:pPr/>
          </w:p>
        </w:tc>
      </w:tr>
      <w:tr>
        <w:trPr>
          <w:trHeight w:val="374" w:hRule="exact"/>
        </w:trPr>
        <w:tc>
          <w:tcPr>
            <w:tcW w:w="5069" w:type="dxa"/>
          </w:tcPr>
          <w:p>
            <w:pPr>
              <w:pStyle w:val="TableParagraph"/>
              <w:spacing w:line="232" w:lineRule="auto"/>
              <w:ind w:left="67" w:right="-3"/>
              <w:rPr>
                <w:sz w:val="16"/>
              </w:rPr>
            </w:pPr>
            <w:r>
              <w:rPr>
                <w:color w:val="231F20"/>
                <w:sz w:val="16"/>
              </w:rPr>
              <w:t>21. Tengo menos oportunidades de capacitarme o formarme adecuadamente que las que se ofrecen a otros compañeros.</w:t>
            </w:r>
          </w:p>
        </w:tc>
        <w:tc>
          <w:tcPr>
            <w:tcW w:w="394" w:type="dxa"/>
          </w:tcPr>
          <w:p>
            <w:pPr/>
          </w:p>
        </w:tc>
        <w:tc>
          <w:tcPr>
            <w:tcW w:w="398" w:type="dxa"/>
          </w:tcPr>
          <w:p>
            <w:pPr/>
          </w:p>
        </w:tc>
      </w:tr>
      <w:tr>
        <w:trPr>
          <w:trHeight w:val="374" w:hRule="exact"/>
        </w:trPr>
        <w:tc>
          <w:tcPr>
            <w:tcW w:w="5069" w:type="dxa"/>
          </w:tcPr>
          <w:p>
            <w:pPr>
              <w:pStyle w:val="TableParagraph"/>
              <w:spacing w:line="168" w:lineRule="exact"/>
              <w:ind w:left="67" w:right="-3"/>
              <w:rPr>
                <w:sz w:val="16"/>
              </w:rPr>
            </w:pPr>
            <w:r>
              <w:rPr>
                <w:color w:val="231F20"/>
                <w:sz w:val="16"/>
              </w:rPr>
              <w:t>22. Se bloquean o impiden las oportunidades que tengo de algún ascenso   o</w:t>
            </w:r>
          </w:p>
          <w:p>
            <w:pPr>
              <w:pStyle w:val="TableParagraph"/>
              <w:spacing w:line="183" w:lineRule="exact"/>
              <w:ind w:left="67" w:right="-3"/>
              <w:rPr>
                <w:sz w:val="16"/>
              </w:rPr>
            </w:pPr>
            <w:r>
              <w:rPr>
                <w:color w:val="231F20"/>
                <w:sz w:val="16"/>
              </w:rPr>
              <w:t>mejora en mi trabajo.</w:t>
            </w:r>
          </w:p>
        </w:tc>
        <w:tc>
          <w:tcPr>
            <w:tcW w:w="394" w:type="dxa"/>
          </w:tcPr>
          <w:p>
            <w:pPr/>
          </w:p>
        </w:tc>
        <w:tc>
          <w:tcPr>
            <w:tcW w:w="398" w:type="dxa"/>
          </w:tcPr>
          <w:p>
            <w:pPr/>
          </w:p>
        </w:tc>
      </w:tr>
    </w:tbl>
    <w:p>
      <w:pPr>
        <w:pStyle w:val="BodyText"/>
        <w:spacing w:before="5"/>
        <w:rPr>
          <w:sz w:val="7"/>
        </w:rPr>
      </w:pPr>
    </w:p>
    <w:p>
      <w:pPr>
        <w:tabs>
          <w:tab w:pos="2993" w:val="left" w:leader="none"/>
          <w:tab w:pos="3714" w:val="left" w:leader="none"/>
        </w:tabs>
        <w:spacing w:line="453" w:lineRule="auto" w:before="77"/>
        <w:ind w:left="162" w:right="1231" w:firstLine="0"/>
        <w:jc w:val="left"/>
        <w:rPr>
          <w:sz w:val="17"/>
        </w:rPr>
      </w:pPr>
      <w:r>
        <w:rPr>
          <w:color w:val="231F20"/>
          <w:sz w:val="17"/>
        </w:rPr>
        <w:t>*La(s) persona(s) que me produce(n) lo arriba mencionado es (son): Mi(s)</w:t>
      </w:r>
      <w:r>
        <w:rPr>
          <w:color w:val="231F20"/>
          <w:spacing w:val="-17"/>
          <w:sz w:val="17"/>
        </w:rPr>
        <w:t> </w:t>
      </w:r>
      <w:r>
        <w:rPr>
          <w:color w:val="231F20"/>
          <w:sz w:val="17"/>
        </w:rPr>
        <w:t>superior(es)</w:t>
        <w:tab/>
      </w:r>
      <w:r>
        <w:rPr>
          <w:color w:val="231F20"/>
          <w:w w:val="104"/>
          <w:sz w:val="17"/>
          <w:u w:val="single" w:color="221E1F"/>
        </w:rPr>
        <w:t> </w:t>
      </w:r>
      <w:r>
        <w:rPr>
          <w:color w:val="231F20"/>
          <w:sz w:val="17"/>
          <w:u w:val="single" w:color="221E1F"/>
        </w:rPr>
        <w:tab/>
      </w:r>
    </w:p>
    <w:p>
      <w:pPr>
        <w:tabs>
          <w:tab w:pos="3701" w:val="left" w:leader="none"/>
          <w:tab w:pos="4422" w:val="left" w:leader="none"/>
        </w:tabs>
        <w:spacing w:before="6"/>
        <w:ind w:left="162" w:right="0" w:firstLine="0"/>
        <w:jc w:val="left"/>
        <w:rPr>
          <w:sz w:val="17"/>
        </w:rPr>
      </w:pPr>
      <w:r>
        <w:rPr>
          <w:color w:val="231F20"/>
          <w:sz w:val="17"/>
        </w:rPr>
        <w:t>Mi(s) compañero(s) de</w:t>
      </w:r>
      <w:r>
        <w:rPr>
          <w:color w:val="231F20"/>
          <w:spacing w:val="22"/>
          <w:sz w:val="17"/>
        </w:rPr>
        <w:t> </w:t>
      </w:r>
      <w:r>
        <w:rPr>
          <w:color w:val="231F20"/>
          <w:sz w:val="17"/>
        </w:rPr>
        <w:t>trabajo</w:t>
        <w:tab/>
      </w:r>
      <w:r>
        <w:rPr>
          <w:color w:val="231F20"/>
          <w:w w:val="104"/>
          <w:sz w:val="17"/>
          <w:u w:val="single" w:color="221E1F"/>
        </w:rPr>
        <w:t> </w:t>
      </w:r>
      <w:r>
        <w:rPr>
          <w:color w:val="231F20"/>
          <w:sz w:val="17"/>
          <w:u w:val="single" w:color="221E1F"/>
        </w:rPr>
        <w:tab/>
      </w:r>
    </w:p>
    <w:p>
      <w:pPr>
        <w:pStyle w:val="BodyText"/>
        <w:spacing w:before="1"/>
        <w:rPr>
          <w:sz w:val="15"/>
        </w:rPr>
      </w:pPr>
    </w:p>
    <w:p>
      <w:pPr>
        <w:tabs>
          <w:tab w:pos="3701" w:val="left" w:leader="none"/>
          <w:tab w:pos="4421" w:val="left" w:leader="none"/>
        </w:tabs>
        <w:spacing w:before="0"/>
        <w:ind w:left="161" w:right="0" w:firstLine="0"/>
        <w:jc w:val="left"/>
        <w:rPr>
          <w:sz w:val="17"/>
        </w:rPr>
      </w:pPr>
      <w:r>
        <w:rPr>
          <w:color w:val="231F20"/>
          <w:sz w:val="17"/>
        </w:rPr>
        <w:t>Mi(s)</w:t>
      </w:r>
      <w:r>
        <w:rPr>
          <w:color w:val="231F20"/>
          <w:spacing w:val="3"/>
          <w:sz w:val="17"/>
        </w:rPr>
        <w:t> </w:t>
      </w:r>
      <w:r>
        <w:rPr>
          <w:color w:val="231F20"/>
          <w:sz w:val="17"/>
        </w:rPr>
        <w:t>subordinado(s)</w:t>
        <w:tab/>
      </w:r>
      <w:r>
        <w:rPr>
          <w:color w:val="231F20"/>
          <w:w w:val="104"/>
          <w:sz w:val="17"/>
          <w:u w:val="single" w:color="221E1F"/>
        </w:rPr>
        <w:t> </w:t>
      </w:r>
      <w:r>
        <w:rPr>
          <w:color w:val="231F20"/>
          <w:sz w:val="17"/>
          <w:u w:val="single" w:color="221E1F"/>
        </w:rPr>
        <w:tab/>
      </w:r>
    </w:p>
    <w:p>
      <w:pPr>
        <w:spacing w:after="0"/>
        <w:jc w:val="left"/>
        <w:rPr>
          <w:sz w:val="17"/>
        </w:rPr>
        <w:sectPr>
          <w:headerReference w:type="default" r:id="rId996"/>
          <w:footerReference w:type="default" r:id="rId997"/>
          <w:pgSz w:w="7830" w:h="11910"/>
          <w:pgMar w:header="0" w:footer="424" w:top="500" w:bottom="620" w:left="860" w:right="860"/>
          <w:pgNumType w:start="454"/>
        </w:sectPr>
      </w:pPr>
    </w:p>
    <w:p>
      <w:pPr>
        <w:pStyle w:val="BodyText"/>
        <w:spacing w:before="4"/>
        <w:rPr>
          <w:sz w:val="17"/>
        </w:rPr>
      </w:pPr>
    </w:p>
    <w:p>
      <w:pPr>
        <w:spacing w:after="0"/>
        <w:rPr>
          <w:sz w:val="17"/>
        </w:rPr>
        <w:sectPr>
          <w:headerReference w:type="default" r:id="rId998"/>
          <w:footerReference w:type="default" r:id="rId999"/>
          <w:pgSz w:w="7830" w:h="11910"/>
          <w:pgMar w:header="0" w:footer="0" w:top="1100" w:bottom="280" w:left="1060" w:right="1060"/>
        </w:sectPr>
      </w:pPr>
    </w:p>
    <w:p>
      <w:pPr>
        <w:pStyle w:val="BodyText"/>
        <w:rPr>
          <w:sz w:val="20"/>
        </w:rPr>
      </w:pPr>
      <w:r>
        <w:rPr/>
        <w:pict>
          <v:shape style="position:absolute;margin-left:42.591pt;margin-top:24.000002pt;width:348.6pt;height:22.65pt;mso-position-horizontal-relative:page;mso-position-vertical-relative:page;z-index:-481912" type="#_x0000_t202" filled="false" stroked="false">
            <v:textbox inset="0,0,0,0">
              <w:txbxContent>
                <w:p>
                  <w:pPr>
                    <w:spacing w:before="71"/>
                    <w:ind w:left="1531" w:right="0" w:firstLine="0"/>
                    <w:jc w:val="left"/>
                    <w:rPr>
                      <w:sz w:val="13"/>
                    </w:rPr>
                  </w:pPr>
                  <w:r>
                    <w:rPr>
                      <w:color w:val="231F20"/>
                      <w:sz w:val="16"/>
                    </w:rPr>
                    <w:t>E</w:t>
                  </w:r>
                  <w:r>
                    <w:rPr>
                      <w:color w:val="231F20"/>
                      <w:sz w:val="13"/>
                    </w:rPr>
                    <w:t>STUDIOS SOBRE VIOLENCIA EN LA EDUCACIÓN</w:t>
                  </w:r>
                </w:p>
              </w:txbxContent>
            </v:textbox>
            <w10:wrap type="none"/>
          </v:shape>
        </w:pict>
      </w:r>
      <w:r>
        <w:rPr/>
        <w:pict>
          <v:shape style="position:absolute;margin-left:159.041pt;margin-top:554.549988pt;width:63pt;height:25.9pt;mso-position-horizontal-relative:page;mso-position-vertical-relative:page;z-index:-481888" type="#_x0000_t202" filled="false" stroked="false">
            <v:textbox inset="0,0,0,0">
              <w:txbxContent>
                <w:p>
                  <w:pPr>
                    <w:pStyle w:val="BodyText"/>
                    <w:spacing w:before="1"/>
                    <w:rPr>
                      <w:sz w:val="15"/>
                    </w:rPr>
                  </w:pPr>
                </w:p>
                <w:p>
                  <w:pPr>
                    <w:spacing w:before="1"/>
                    <w:ind w:left="597" w:right="0" w:firstLine="0"/>
                    <w:jc w:val="left"/>
                    <w:rPr>
                      <w:sz w:val="17"/>
                    </w:rPr>
                  </w:pPr>
                  <w:r>
                    <w:rPr>
                      <w:color w:val="231F20"/>
                      <w:w w:val="105"/>
                      <w:sz w:val="17"/>
                    </w:rPr>
                    <w:t>455</w:t>
                  </w:r>
                </w:p>
              </w:txbxContent>
            </v:textbox>
            <w10:wrap type="none"/>
          </v:shape>
        </w:pict>
      </w:r>
      <w:r>
        <w:rPr/>
        <w:pict>
          <v:shape style="position:absolute;margin-left:42.591003pt;margin-top:23.999973pt;width:348.6pt;height:35.5pt;mso-position-horizontal-relative:page;mso-position-vertical-relative:page;z-index:3400" coordorigin="852,480" coordsize="6972,710" path="m7824,480l852,480,852,933,875,933,875,1190,7652,1190,7652,933,7824,933,7824,480e" filled="true" fillcolor="#ffffff" stroked="false">
            <v:path arrowok="t"/>
            <v:fill type="solid"/>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spacing w:before="73"/>
        <w:ind w:left="1435" w:right="2170" w:firstLine="0"/>
        <w:jc w:val="center"/>
        <w:rPr>
          <w:i/>
          <w:sz w:val="19"/>
        </w:rPr>
      </w:pPr>
      <w:r>
        <w:rPr>
          <w:i/>
          <w:color w:val="231F20"/>
          <w:w w:val="85"/>
          <w:sz w:val="19"/>
        </w:rPr>
        <w:t>Estudios sobre violencia enla educación.</w:t>
      </w:r>
    </w:p>
    <w:p>
      <w:pPr>
        <w:spacing w:before="21"/>
        <w:ind w:left="1437" w:right="2120" w:firstLine="0"/>
        <w:jc w:val="center"/>
        <w:rPr>
          <w:i/>
          <w:sz w:val="19"/>
        </w:rPr>
      </w:pPr>
      <w:r>
        <w:rPr>
          <w:i/>
          <w:color w:val="231F20"/>
          <w:w w:val="85"/>
          <w:sz w:val="19"/>
        </w:rPr>
        <w:t>Enfoques, textos y contextos</w:t>
      </w:r>
    </w:p>
    <w:p>
      <w:pPr>
        <w:spacing w:line="198" w:lineRule="exact" w:before="3"/>
        <w:ind w:left="1437" w:right="2170" w:firstLine="0"/>
        <w:jc w:val="center"/>
        <w:rPr>
          <w:sz w:val="17"/>
        </w:rPr>
      </w:pPr>
      <w:r>
        <w:rPr>
          <w:color w:val="231F20"/>
          <w:sz w:val="17"/>
        </w:rPr>
        <w:t>se terminó de imprimir en el mes de septiembre de 201</w:t>
      </w:r>
      <w:r>
        <w:rPr>
          <w:rFonts w:ascii="PMingLiU" w:hAnsi="PMingLiU"/>
          <w:color w:val="231F20"/>
          <w:sz w:val="17"/>
        </w:rPr>
        <w:t>5</w:t>
      </w:r>
      <w:r>
        <w:rPr>
          <w:color w:val="231F20"/>
          <w:sz w:val="17"/>
        </w:rPr>
        <w:t>, en los talleres de Dicograf, S.A. de C.V. Poder Legislativo 304, Cuernavaca, Morelos.</w:t>
      </w:r>
    </w:p>
    <w:p>
      <w:pPr>
        <w:spacing w:before="0"/>
        <w:ind w:left="1436" w:right="2170" w:firstLine="0"/>
        <w:jc w:val="center"/>
        <w:rPr>
          <w:sz w:val="17"/>
        </w:rPr>
      </w:pPr>
      <w:r>
        <w:rPr>
          <w:color w:val="231F20"/>
          <w:sz w:val="17"/>
        </w:rPr>
        <w:t>Para su composición se utilizó el tipo  Garamond.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r>
        <w:rPr/>
        <w:pict>
          <v:rect style="position:absolute;margin-left:159.041pt;margin-top:10.19087pt;width:63pt;height:25.9pt;mso-position-horizontal-relative:page;mso-position-vertical-relative:paragraph;z-index:3328;mso-wrap-distance-left:0;mso-wrap-distance-right:0" filled="true" fillcolor="#ffffff" stroked="false">
            <v:fill type="solid"/>
            <w10:wrap type="topAndBottom"/>
          </v:rect>
        </w:pict>
      </w:r>
    </w:p>
    <w:p>
      <w:pPr>
        <w:spacing w:after="0"/>
        <w:rPr>
          <w:sz w:val="14"/>
        </w:rPr>
        <w:sectPr>
          <w:headerReference w:type="default" r:id="rId1000"/>
          <w:footerReference w:type="default" r:id="rId1001"/>
          <w:pgSz w:w="7830" w:h="11910"/>
          <w:pgMar w:header="0" w:footer="0" w:top="480" w:bottom="0" w:left="740" w:right="0"/>
        </w:sectPr>
      </w:pPr>
    </w:p>
    <w:p>
      <w:pPr>
        <w:pStyle w:val="BodyText"/>
        <w:rPr>
          <w:sz w:val="20"/>
        </w:rPr>
      </w:pPr>
    </w:p>
    <w:p>
      <w:pPr>
        <w:pStyle w:val="BodyText"/>
        <w:rPr>
          <w:sz w:val="20"/>
        </w:rPr>
      </w:pPr>
    </w:p>
    <w:p>
      <w:pPr>
        <w:pStyle w:val="BodyText"/>
        <w:spacing w:before="10"/>
        <w:rPr>
          <w:sz w:val="22"/>
        </w:rPr>
      </w:pPr>
    </w:p>
    <w:p>
      <w:pPr>
        <w:spacing w:line="331" w:lineRule="auto" w:before="75"/>
        <w:ind w:left="116" w:right="99" w:firstLine="0"/>
        <w:jc w:val="both"/>
        <w:rPr>
          <w:rFonts w:ascii="Calibri" w:hAnsi="Calibri"/>
          <w:sz w:val="19"/>
        </w:rPr>
      </w:pPr>
      <w:r>
        <w:rPr>
          <w:rFonts w:ascii="Calibri" w:hAnsi="Calibri"/>
          <w:color w:val="231F20"/>
          <w:w w:val="110"/>
          <w:sz w:val="19"/>
        </w:rPr>
        <w:t>El concepto de la violencia ha estado sobre la palestra desde el principio de nuestras sociedades. No obstante, en la práctica sus facetas son múlti- ples y en diversos ámbitos, lo que ha dado lugar a especulaciones acerca de los medios y los fines. Esto mismo incita a reflexionar en lo axiológico, pues la violencia alberga en sí un elemento adicional de arbitrariedad </w:t>
      </w:r>
      <w:r>
        <w:rPr>
          <w:rFonts w:ascii="Calibri" w:hAnsi="Calibri"/>
          <w:color w:val="231F20"/>
          <w:spacing w:val="-7"/>
          <w:w w:val="110"/>
          <w:sz w:val="19"/>
        </w:rPr>
        <w:t>y, </w:t>
      </w:r>
      <w:r>
        <w:rPr>
          <w:rFonts w:ascii="Calibri" w:hAnsi="Calibri"/>
          <w:color w:val="231F20"/>
          <w:w w:val="110"/>
          <w:sz w:val="19"/>
        </w:rPr>
        <w:t>por lo tanto, se relaciona con aspectos fundamentales del derecho o los derechos humanos. En los ámbitos educativos han aparecido nuevas for- mas de violencia personal, que se reflejan en el </w:t>
      </w:r>
      <w:r>
        <w:rPr>
          <w:rFonts w:ascii="Calibri" w:hAnsi="Calibri"/>
          <w:i/>
          <w:color w:val="231F20"/>
          <w:w w:val="110"/>
          <w:sz w:val="20"/>
        </w:rPr>
        <w:t>bullying </w:t>
      </w:r>
      <w:r>
        <w:rPr>
          <w:rFonts w:ascii="Calibri" w:hAnsi="Calibri"/>
          <w:color w:val="231F20"/>
          <w:w w:val="110"/>
          <w:sz w:val="19"/>
        </w:rPr>
        <w:t>y el </w:t>
      </w:r>
      <w:r>
        <w:rPr>
          <w:rFonts w:ascii="Calibri" w:hAnsi="Calibri"/>
          <w:i/>
          <w:color w:val="231F20"/>
          <w:w w:val="110"/>
          <w:sz w:val="20"/>
        </w:rPr>
        <w:t>mobbing</w:t>
      </w:r>
      <w:r>
        <w:rPr>
          <w:rFonts w:ascii="Calibri" w:hAnsi="Calibri"/>
          <w:color w:val="231F20"/>
          <w:w w:val="110"/>
          <w:sz w:val="19"/>
        </w:rPr>
        <w:t>. En el ámbito universitario, existe un malestar que no se palía con estímulos  o clientelismos y que se refiere a un tipo de violencia particular soterra- da por las políticas públicas y el intervencionismo del Estado, los cuales han provocado tensiones entre las comunidades académicas; éstas tie- nen que ver con la defensa de los principios de libertad y autonomía de cátedra e investigación. En algunos casos, dichas voces han formulado críticas a los programas impuestos, ya que éstos se establecen sin re- flexionar en los costos sociales que provocan en el trabajo académico y científico. De esas formas de violencia se quiere dar cuenta en esta obra, la cual fue desarrollada por la Red de Cuerpos Académicos en Política, Educación y</w:t>
      </w:r>
      <w:r>
        <w:rPr>
          <w:rFonts w:ascii="Calibri" w:hAnsi="Calibri"/>
          <w:color w:val="231F20"/>
          <w:spacing w:val="35"/>
          <w:w w:val="110"/>
          <w:sz w:val="19"/>
        </w:rPr>
        <w:t> </w:t>
      </w:r>
      <w:r>
        <w:rPr>
          <w:rFonts w:ascii="Calibri" w:hAnsi="Calibri"/>
          <w:color w:val="231F20"/>
          <w:w w:val="110"/>
          <w:sz w:val="19"/>
        </w:rPr>
        <w:t>Universidad.</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6"/>
        </w:rPr>
      </w:pPr>
      <w:r>
        <w:rPr/>
        <w:drawing>
          <wp:anchor distT="0" distB="0" distL="0" distR="0" allowOverlap="1" layoutInCell="1" locked="0" behindDoc="0" simplePos="0" relativeHeight="3424">
            <wp:simplePos x="0" y="0"/>
            <wp:positionH relativeFrom="page">
              <wp:posOffset>576008</wp:posOffset>
            </wp:positionH>
            <wp:positionV relativeFrom="paragraph">
              <wp:posOffset>174341</wp:posOffset>
            </wp:positionV>
            <wp:extent cx="809622" cy="485775"/>
            <wp:effectExtent l="0" t="0" r="0" b="0"/>
            <wp:wrapTopAndBottom/>
            <wp:docPr id="61" name="image31.png" descr=""/>
            <wp:cNvGraphicFramePr>
              <a:graphicFrameLocks noChangeAspect="1"/>
            </wp:cNvGraphicFramePr>
            <a:graphic>
              <a:graphicData uri="http://schemas.openxmlformats.org/drawingml/2006/picture">
                <pic:pic>
                  <pic:nvPicPr>
                    <pic:cNvPr id="62" name="image31.png"/>
                    <pic:cNvPicPr/>
                  </pic:nvPicPr>
                  <pic:blipFill>
                    <a:blip r:embed="rId1004" cstate="print"/>
                    <a:stretch>
                      <a:fillRect/>
                    </a:stretch>
                  </pic:blipFill>
                  <pic:spPr>
                    <a:xfrm>
                      <a:off x="0" y="0"/>
                      <a:ext cx="809622" cy="485775"/>
                    </a:xfrm>
                    <a:prstGeom prst="rect">
                      <a:avLst/>
                    </a:prstGeom>
                  </pic:spPr>
                </pic:pic>
              </a:graphicData>
            </a:graphic>
          </wp:anchor>
        </w:drawing>
      </w:r>
      <w:r>
        <w:rPr/>
        <w:drawing>
          <wp:anchor distT="0" distB="0" distL="0" distR="0" allowOverlap="1" layoutInCell="1" locked="0" behindDoc="0" simplePos="0" relativeHeight="3448">
            <wp:simplePos x="0" y="0"/>
            <wp:positionH relativeFrom="page">
              <wp:posOffset>1632600</wp:posOffset>
            </wp:positionH>
            <wp:positionV relativeFrom="paragraph">
              <wp:posOffset>152607</wp:posOffset>
            </wp:positionV>
            <wp:extent cx="1102664" cy="546258"/>
            <wp:effectExtent l="0" t="0" r="0" b="0"/>
            <wp:wrapTopAndBottom/>
            <wp:docPr id="63" name="image32.png" descr=""/>
            <wp:cNvGraphicFramePr>
              <a:graphicFrameLocks noChangeAspect="1"/>
            </wp:cNvGraphicFramePr>
            <a:graphic>
              <a:graphicData uri="http://schemas.openxmlformats.org/drawingml/2006/picture">
                <pic:pic>
                  <pic:nvPicPr>
                    <pic:cNvPr id="64" name="image32.png"/>
                    <pic:cNvPicPr/>
                  </pic:nvPicPr>
                  <pic:blipFill>
                    <a:blip r:embed="rId1005" cstate="print"/>
                    <a:stretch>
                      <a:fillRect/>
                    </a:stretch>
                  </pic:blipFill>
                  <pic:spPr>
                    <a:xfrm>
                      <a:off x="0" y="0"/>
                      <a:ext cx="1102664" cy="546258"/>
                    </a:xfrm>
                    <a:prstGeom prst="rect">
                      <a:avLst/>
                    </a:prstGeom>
                  </pic:spPr>
                </pic:pic>
              </a:graphicData>
            </a:graphic>
          </wp:anchor>
        </w:drawing>
      </w:r>
      <w:r>
        <w:rPr/>
        <w:drawing>
          <wp:anchor distT="0" distB="0" distL="0" distR="0" allowOverlap="1" layoutInCell="1" locked="0" behindDoc="0" simplePos="0" relativeHeight="3472">
            <wp:simplePos x="0" y="0"/>
            <wp:positionH relativeFrom="page">
              <wp:posOffset>3823863</wp:posOffset>
            </wp:positionH>
            <wp:positionV relativeFrom="paragraph">
              <wp:posOffset>175565</wp:posOffset>
            </wp:positionV>
            <wp:extent cx="683048" cy="505968"/>
            <wp:effectExtent l="0" t="0" r="0" b="0"/>
            <wp:wrapTopAndBottom/>
            <wp:docPr id="65" name="image33.png" descr=""/>
            <wp:cNvGraphicFramePr>
              <a:graphicFrameLocks noChangeAspect="1"/>
            </wp:cNvGraphicFramePr>
            <a:graphic>
              <a:graphicData uri="http://schemas.openxmlformats.org/drawingml/2006/picture">
                <pic:pic>
                  <pic:nvPicPr>
                    <pic:cNvPr id="66" name="image33.png"/>
                    <pic:cNvPicPr/>
                  </pic:nvPicPr>
                  <pic:blipFill>
                    <a:blip r:embed="rId1006" cstate="print"/>
                    <a:stretch>
                      <a:fillRect/>
                    </a:stretch>
                  </pic:blipFill>
                  <pic:spPr>
                    <a:xfrm>
                      <a:off x="0" y="0"/>
                      <a:ext cx="683048" cy="505968"/>
                    </a:xfrm>
                    <a:prstGeom prst="rect">
                      <a:avLst/>
                    </a:prstGeom>
                  </pic:spPr>
                </pic:pic>
              </a:graphicData>
            </a:graphic>
          </wp:anchor>
        </w:drawing>
      </w:r>
    </w:p>
    <w:sectPr>
      <w:headerReference w:type="default" r:id="rId1002"/>
      <w:footerReference w:type="default" r:id="rId1003"/>
      <w:pgSz w:w="7940" w:h="11910"/>
      <w:pgMar w:header="0" w:footer="0" w:top="0" w:bottom="280" w:left="720" w:right="7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Tahoma">
    <w:altName w:val="Tahoma"/>
    <w:charset w:val="0"/>
    <w:family w:val="swiss"/>
    <w:pitch w:val="variable"/>
  </w:font>
  <w:font w:name="Palatino Linotype">
    <w:altName w:val="Palatino Linotype"/>
    <w:charset w:val="0"/>
    <w:family w:val="roman"/>
    <w:pitch w:val="variable"/>
  </w:font>
  <w:font w:name="PMingLiU">
    <w:altName w:val="PMingLiU"/>
    <w:charset w:val="0"/>
    <w:family w:val="roman"/>
    <w:pitch w:val="variable"/>
  </w:font>
  <w:font w:name="Georgia">
    <w:altName w:val="Georgia"/>
    <w:charset w:val="0"/>
    <w:family w:val="roman"/>
    <w:pitch w:val="variable"/>
  </w:font>
  <w:font w:name="MS UI Gothic">
    <w:altName w:val="MS UI Gothic"/>
    <w:charset w:val="0"/>
    <w:family w:val="swiss"/>
    <w:pitch w:val="variable"/>
  </w:font>
  <w:font w:name="Cambria">
    <w:altName w:val="Cambria"/>
    <w:charset w:val="0"/>
    <w:family w:val="roman"/>
    <w:pitch w:val="variable"/>
  </w:font>
  <w:font w:name="Arial">
    <w:altName w:val="Arial"/>
    <w:charset w:val="0"/>
    <w:family w:val="swiss"/>
    <w:pitch w:val="variable"/>
  </w:font>
  <w:font w:name="Trebuchet MS">
    <w:altName w:val="Trebuchet MS"/>
    <w:charset w:val="0"/>
    <w:family w:val="swiss"/>
    <w:pitch w:val="variable"/>
  </w:font>
  <w:font w:name="Symbol">
    <w:altName w:val="Symbol"/>
    <w:charset w:val="2"/>
    <w:family w:val="roman"/>
    <w:pitch w:val="variable"/>
  </w:font>
  <w:font w:name="Segoe UI">
    <w:altName w:val="Segoe UI"/>
    <w:charset w:val="0"/>
    <w:family w:val="swiss"/>
    <w:pitch w:val="variable"/>
  </w:font>
  <w:font w:name="Aharoni">
    <w:altName w:val="Aharoni"/>
    <w:charset w:val="0"/>
    <w:family w:val="auto"/>
    <w:pitch w:val="variable"/>
  </w:font>
  <w:font w:name="Candara">
    <w:altName w:val="Candara"/>
    <w:charset w:val="0"/>
    <w:family w:val="swiss"/>
    <w:pitch w:val="variable"/>
  </w:font>
  <w:font w:name="Malgun Gothic">
    <w:altName w:val="Malgun Gothic"/>
    <w:charset w:val="0"/>
    <w:family w:val="swiss"/>
    <w:pitch w:val="variable"/>
  </w:font>
  <w:font w:name="Corbel">
    <w:altName w:val="Corbel"/>
    <w:charset w:val="0"/>
    <w:family w:val="swiss"/>
    <w:pitch w:val="variable"/>
  </w:font>
  <w:font w:name="Wingdings">
    <w:altName w:val="Wingdings"/>
    <w:charset w:val="2"/>
    <w:family w:val="auto"/>
    <w:pitch w:val="variable"/>
  </w:font>
  <w:font w:name="Courier New">
    <w:altName w:val="Courier New"/>
    <w:charset w:val="0"/>
    <w:family w:val="modern"/>
    <w:pitch w:val="fixed"/>
  </w:font>
  <w:font w:name="Microsoft YaHei">
    <w:altName w:val="Microsoft YaHe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5.940201pt;margin-top:563.054871pt;width:19.55pt;height:10.9pt;mso-position-horizontal-relative:page;mso-position-vertical-relative:page;z-index:-4842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970596pt;margin-top:563.054871pt;width:13.05pt;height:10.9pt;mso-position-horizontal-relative:page;mso-position-vertical-relative:page;z-index:-4840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14</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9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104</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9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105</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8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106</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8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107</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8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108</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8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109</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7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111</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7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112</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7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113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130402pt;margin-top:563.054871pt;width:13.05pt;height:10.9pt;mso-position-horizontal-relative:page;mso-position-vertical-relative:page;z-index:-4840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15</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7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114</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6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115</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6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116</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6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117</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6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118</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6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119</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5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120</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5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121</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5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122</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5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123</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970596pt;margin-top:563.054871pt;width:13.05pt;height:10.9pt;mso-position-horizontal-relative:page;mso-position-vertical-relative:page;z-index:-4840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16</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4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124</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4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125</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4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126</w:t>
                </w:r>
                <w:r>
                  <w:rPr/>
                  <w:fldChar w:fldCharType="end"/>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4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127</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3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128</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3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129</w:t>
                </w:r>
                <w:r>
                  <w:rPr/>
                  <w:fldChar w:fldCharType="end"/>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3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130</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3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131</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2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132</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2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133</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130402pt;margin-top:563.054871pt;width:13.05pt;height:10.9pt;mso-position-horizontal-relative:page;mso-position-vertical-relative:page;z-index:-4840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17</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2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134</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2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135</w:t>
                </w:r>
                <w:r>
                  <w:rPr/>
                  <w:fldChar w:fldCharType="end"/>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1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136</w:t>
                </w:r>
                <w:r>
                  <w:rPr/>
                  <w:fldChar w:fldCharType="end"/>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1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137</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1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138</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1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139</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0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140</w:t>
                </w:r>
                <w:r>
                  <w:rPr/>
                  <w:fldChar w:fldCharType="end"/>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0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141</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0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142</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0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143</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970596pt;margin-top:563.054871pt;width:13.05pt;height:10.9pt;mso-position-horizontal-relative:page;mso-position-vertical-relative:page;z-index:-4839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18</w:t>
                </w:r>
                <w:r>
                  <w:rPr/>
                  <w:fldChar w:fldCharType="end"/>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0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144</w:t>
                </w:r>
                <w:r>
                  <w:rPr/>
                  <w:fldChar w:fldCharType="end"/>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9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145</w:t>
                </w:r>
                <w:r>
                  <w:rPr/>
                  <w:fldChar w:fldCharType="end"/>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9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146</w:t>
                </w:r>
                <w:r>
                  <w:rPr/>
                  <w:fldChar w:fldCharType="end"/>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9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147</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9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148</w:t>
                </w:r>
                <w:r>
                  <w:rPr/>
                  <w:fldChar w:fldCharType="end"/>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8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149</w:t>
                </w:r>
                <w:r>
                  <w:rPr/>
                  <w:fldChar w:fldCharType="end"/>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8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150</w:t>
                </w:r>
                <w:r>
                  <w:rPr/>
                  <w:fldChar w:fldCharType="end"/>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8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151</w:t>
                </w:r>
                <w:r>
                  <w:rPr/>
                  <w:fldChar w:fldCharType="end"/>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8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152</w:t>
                </w:r>
                <w:r>
                  <w:rPr/>
                  <w:fldChar w:fldCharType="end"/>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7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153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130402pt;margin-top:563.054871pt;width:13.05pt;height:10.9pt;mso-position-horizontal-relative:page;mso-position-vertical-relative:page;z-index:-4839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19</w:t>
                </w:r>
                <w:r>
                  <w:rPr/>
                  <w:fldChar w:fldCharType="end"/>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7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154</w:t>
                </w:r>
                <w:r>
                  <w:rPr/>
                  <w:fldChar w:fldCharType="end"/>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7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155</w:t>
                </w:r>
                <w:r>
                  <w:rPr/>
                  <w:fldChar w:fldCharType="end"/>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7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156</w:t>
                </w:r>
                <w:r>
                  <w:rPr/>
                  <w:fldChar w:fldCharType="end"/>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6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157</w:t>
                </w:r>
                <w:r>
                  <w:rPr/>
                  <w:fldChar w:fldCharType="end"/>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6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158</w:t>
                </w:r>
                <w:r>
                  <w:rPr/>
                  <w:fldChar w:fldCharType="end"/>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6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159</w:t>
                </w:r>
                <w:r>
                  <w:rPr/>
                  <w:fldChar w:fldCharType="end"/>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6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160</w:t>
                </w:r>
                <w:r>
                  <w:rPr/>
                  <w:fldChar w:fldCharType="end"/>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5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161</w:t>
                </w:r>
                <w:r>
                  <w:rPr/>
                  <w:fldChar w:fldCharType="end"/>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5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162</w:t>
                </w:r>
                <w:r>
                  <w:rPr/>
                  <w:fldChar w:fldCharType="end"/>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5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163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970596pt;margin-top:563.054871pt;width:13.05pt;height:10.9pt;mso-position-horizontal-relative:page;mso-position-vertical-relative:page;z-index:-4839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20</w:t>
                </w:r>
                <w:r>
                  <w:rPr/>
                  <w:fldChar w:fldCharType="end"/>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5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164</w:t>
                </w:r>
                <w:r>
                  <w:rPr/>
                  <w:fldChar w:fldCharType="end"/>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4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165</w:t>
                </w:r>
                <w:r>
                  <w:rPr/>
                  <w:fldChar w:fldCharType="end"/>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4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166</w:t>
                </w:r>
                <w:r>
                  <w:rPr/>
                  <w:fldChar w:fldCharType="end"/>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4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167</w:t>
                </w:r>
                <w:r>
                  <w:rPr/>
                  <w:fldChar w:fldCharType="end"/>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4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168</w:t>
                </w:r>
                <w:r>
                  <w:rPr/>
                  <w:fldChar w:fldCharType="end"/>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4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169</w:t>
                </w:r>
                <w:r>
                  <w:rPr/>
                  <w:fldChar w:fldCharType="end"/>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3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170</w:t>
                </w:r>
                <w:r>
                  <w:rPr/>
                  <w:fldChar w:fldCharType="end"/>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3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171</w:t>
                </w:r>
                <w:r>
                  <w:rPr/>
                  <w:fldChar w:fldCharType="end"/>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3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172</w:t>
                </w:r>
                <w:r>
                  <w:rPr/>
                  <w:fldChar w:fldCharType="end"/>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3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173</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130402pt;margin-top:563.054871pt;width:13.05pt;height:10.9pt;mso-position-horizontal-relative:page;mso-position-vertical-relative:page;z-index:-4839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21</w:t>
                </w:r>
                <w:r>
                  <w:rPr/>
                  <w:fldChar w:fldCharType="end"/>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2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174</w:t>
                </w:r>
                <w:r>
                  <w:rPr/>
                  <w:fldChar w:fldCharType="end"/>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2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175</w:t>
                </w:r>
                <w:r>
                  <w:rPr/>
                  <w:fldChar w:fldCharType="end"/>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2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176</w:t>
                </w:r>
                <w:r>
                  <w:rPr/>
                  <w:fldChar w:fldCharType="end"/>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2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177</w:t>
                </w:r>
                <w:r>
                  <w:rPr/>
                  <w:fldChar w:fldCharType="end"/>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1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178</w:t>
                </w:r>
                <w:r>
                  <w:rPr/>
                  <w:fldChar w:fldCharType="end"/>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1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179</w:t>
                </w:r>
                <w:r>
                  <w:rPr/>
                  <w:fldChar w:fldCharType="end"/>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1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180</w:t>
                </w:r>
                <w:r>
                  <w:rPr/>
                  <w:fldChar w:fldCharType="end"/>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1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181</w:t>
                </w:r>
                <w:r>
                  <w:rPr/>
                  <w:fldChar w:fldCharType="end"/>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0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182</w:t>
                </w:r>
                <w:r>
                  <w:rPr/>
                  <w:fldChar w:fldCharType="end"/>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0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183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970596pt;margin-top:563.054871pt;width:13.05pt;height:10.9pt;mso-position-horizontal-relative:page;mso-position-vertical-relative:page;z-index:-4838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22</w:t>
                </w:r>
                <w:r>
                  <w:rPr/>
                  <w:fldChar w:fldCharType="end"/>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0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184</w:t>
                </w:r>
                <w:r>
                  <w:rPr/>
                  <w:fldChar w:fldCharType="end"/>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00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185</w:t>
                </w:r>
                <w:r>
                  <w:rPr/>
                  <w:fldChar w:fldCharType="end"/>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9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186</w:t>
                </w:r>
                <w:r>
                  <w:rPr/>
                  <w:fldChar w:fldCharType="end"/>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9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187</w:t>
                </w:r>
                <w:r>
                  <w:rPr/>
                  <w:fldChar w:fldCharType="end"/>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9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188</w:t>
                </w:r>
                <w:r>
                  <w:rPr/>
                  <w:fldChar w:fldCharType="end"/>
                </w:r>
              </w:p>
            </w:txbxContent>
          </v:textbox>
          <w10:wrap type="none"/>
        </v:shape>
      </w:pict>
    </w: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9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189</w:t>
                </w:r>
                <w:r>
                  <w:rPr/>
                  <w:fldChar w:fldCharType="end"/>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8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190</w:t>
                </w:r>
                <w:r>
                  <w:rPr/>
                  <w:fldChar w:fldCharType="end"/>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8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191</w:t>
                </w:r>
                <w:r>
                  <w:rPr/>
                  <w:fldChar w:fldCharType="end"/>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8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192</w:t>
                </w:r>
                <w:r>
                  <w:rPr/>
                  <w:fldChar w:fldCharType="end"/>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8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193</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9.95pt;height:10.9pt;mso-position-horizontal-relative:page;mso-position-vertical-relative:page;z-index:-483856" type="#_x0000_t202" filled="false" stroked="false">
          <v:textbox inset="0,0,0,0">
            <w:txbxContent>
              <w:p>
                <w:pPr>
                  <w:spacing w:before="4"/>
                  <w:ind w:left="178" w:right="0" w:firstLine="0"/>
                  <w:jc w:val="left"/>
                  <w:rPr>
                    <w:sz w:val="17"/>
                  </w:rPr>
                </w:pPr>
                <w:r>
                  <w:rPr/>
                  <w:fldChar w:fldCharType="begin"/>
                </w:r>
                <w:r>
                  <w:rPr>
                    <w:color w:val="231F20"/>
                    <w:w w:val="105"/>
                    <w:sz w:val="17"/>
                  </w:rPr>
                  <w:instrText> PAGE </w:instrText>
                </w:r>
                <w:r>
                  <w:rPr/>
                  <w:fldChar w:fldCharType="separate"/>
                </w:r>
                <w:r>
                  <w:rPr/>
                  <w:t>23</w:t>
                </w:r>
                <w:r>
                  <w:rPr/>
                  <w:fldChar w:fldCharType="end"/>
                </w:r>
              </w:p>
            </w:txbxContent>
          </v:textbox>
          <w10:wrap type="none"/>
        </v:shape>
      </w:pict>
    </w: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8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195</w:t>
                </w:r>
                <w:r>
                  <w:rPr/>
                  <w:fldChar w:fldCharType="end"/>
                </w:r>
              </w:p>
            </w:txbxContent>
          </v:textbox>
          <w10:wrap type="none"/>
        </v:shape>
      </w:pict>
    </w: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7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196</w:t>
                </w:r>
                <w:r>
                  <w:rPr/>
                  <w:fldChar w:fldCharType="end"/>
                </w:r>
              </w:p>
            </w:txbxContent>
          </v:textbox>
          <w10:wrap type="none"/>
        </v:shape>
      </w:pict>
    </w: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7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197</w:t>
                </w:r>
                <w:r>
                  <w:rPr/>
                  <w:fldChar w:fldCharType="end"/>
                </w:r>
              </w:p>
            </w:txbxContent>
          </v:textbox>
          <w10:wrap type="none"/>
        </v:shape>
      </w:pict>
    </w: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7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198</w:t>
                </w:r>
                <w:r>
                  <w:rPr/>
                  <w:fldChar w:fldCharType="end"/>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7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199</w:t>
                </w:r>
                <w:r>
                  <w:rPr/>
                  <w:fldChar w:fldCharType="end"/>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935593pt;margin-top:563.054871pt;width:15.55pt;height:10.9pt;mso-position-horizontal-relative:page;mso-position-vertical-relative:page;z-index:-479680" type="#_x0000_t202" filled="false" stroked="false">
          <v:textbox inset="0,0,0,0">
            <w:txbxContent>
              <w:p>
                <w:pPr>
                  <w:spacing w:before="4"/>
                  <w:ind w:left="20" w:right="0" w:firstLine="0"/>
                  <w:jc w:val="left"/>
                  <w:rPr>
                    <w:sz w:val="17"/>
                  </w:rPr>
                </w:pPr>
                <w:r>
                  <w:rPr>
                    <w:color w:val="231F20"/>
                    <w:w w:val="105"/>
                    <w:sz w:val="17"/>
                  </w:rPr>
                  <w:t>200</w:t>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6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201</w:t>
                </w:r>
                <w:r>
                  <w:rPr/>
                  <w:fldChar w:fldCharType="end"/>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6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202</w:t>
                </w:r>
                <w:r>
                  <w:rPr/>
                  <w:fldChar w:fldCharType="end"/>
                </w:r>
              </w:p>
            </w:txbxContent>
          </v:textbox>
          <w10:wrap type="none"/>
        </v:shape>
      </w:pict>
    </w: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6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203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5.940201pt;margin-top:563.054871pt;width:19.55pt;height:10.9pt;mso-position-horizontal-relative:page;mso-position-vertical-relative:page;z-index:-4841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970596pt;margin-top:563.054871pt;width:13.05pt;height:10.9pt;mso-position-horizontal-relative:page;mso-position-vertical-relative:page;z-index:-4838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24</w:t>
                </w:r>
                <w:r>
                  <w:rPr/>
                  <w:fldChar w:fldCharType="end"/>
                </w:r>
              </w:p>
            </w:txbxContent>
          </v:textbox>
          <w10:wrap type="none"/>
        </v:shape>
      </w:pict>
    </w: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5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204</w:t>
                </w:r>
                <w:r>
                  <w:rPr/>
                  <w:fldChar w:fldCharType="end"/>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5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205</w:t>
                </w:r>
                <w:r>
                  <w:rPr/>
                  <w:fldChar w:fldCharType="end"/>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5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206</w:t>
                </w:r>
                <w:r>
                  <w:rPr/>
                  <w:fldChar w:fldCharType="end"/>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5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207</w:t>
                </w:r>
                <w:r>
                  <w:rPr/>
                  <w:fldChar w:fldCharType="end"/>
                </w:r>
              </w:p>
            </w:txbxContent>
          </v:textbox>
          <w10:wrap type="none"/>
        </v:shape>
      </w:pict>
    </w: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4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208</w:t>
                </w:r>
                <w:r>
                  <w:rPr/>
                  <w:fldChar w:fldCharType="end"/>
                </w:r>
              </w:p>
            </w:txbxContent>
          </v:textbox>
          <w10:wrap type="none"/>
        </v:shape>
      </w:pict>
    </w: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4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209</w:t>
                </w:r>
                <w:r>
                  <w:rPr/>
                  <w:fldChar w:fldCharType="end"/>
                </w:r>
              </w:p>
            </w:txbxContent>
          </v:textbox>
          <w10:wrap type="none"/>
        </v:shape>
      </w:pict>
    </w: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4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210</w:t>
                </w:r>
                <w:r>
                  <w:rPr/>
                  <w:fldChar w:fldCharType="end"/>
                </w:r>
              </w:p>
            </w:txbxContent>
          </v:textbox>
          <w10:wrap type="none"/>
        </v:shape>
      </w:pict>
    </w: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4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211</w:t>
                </w:r>
                <w:r>
                  <w:rPr/>
                  <w:fldChar w:fldCharType="end"/>
                </w:r>
              </w:p>
            </w:txbxContent>
          </v:textbox>
          <w10:wrap type="none"/>
        </v:shape>
      </w:pict>
    </w: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3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212</w:t>
                </w:r>
                <w:r>
                  <w:rPr/>
                  <w:fldChar w:fldCharType="end"/>
                </w:r>
              </w:p>
            </w:txbxContent>
          </v:textbox>
          <w10:wrap type="none"/>
        </v:shape>
      </w:pict>
    </w: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3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213</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8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w:t>
                </w:r>
                <w:r>
                  <w:rPr/>
                  <w:fldChar w:fldCharType="end"/>
                </w:r>
              </w:p>
            </w:txbxContent>
          </v:textbox>
          <w10:wrap type="none"/>
        </v:shape>
      </w:pict>
    </w: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3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214</w:t>
                </w:r>
                <w:r>
                  <w:rPr/>
                  <w:fldChar w:fldCharType="end"/>
                </w:r>
              </w:p>
            </w:txbxContent>
          </v:textbox>
          <w10:wrap type="none"/>
        </v:shape>
      </w:pict>
    </w: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3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215</w:t>
                </w:r>
                <w:r>
                  <w:rPr/>
                  <w:fldChar w:fldCharType="end"/>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2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216</w:t>
                </w:r>
                <w:r>
                  <w:rPr/>
                  <w:fldChar w:fldCharType="end"/>
                </w:r>
              </w:p>
            </w:txbxContent>
          </v:textbox>
          <w10:wrap type="none"/>
        </v:shape>
      </w:pict>
    </w: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2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217</w:t>
                </w:r>
                <w:r>
                  <w:rPr/>
                  <w:fldChar w:fldCharType="end"/>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2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218</w:t>
                </w:r>
                <w:r>
                  <w:rPr/>
                  <w:fldChar w:fldCharType="end"/>
                </w:r>
              </w:p>
            </w:txbxContent>
          </v:textbox>
          <w10:wrap type="none"/>
        </v:shape>
      </w:pict>
    </w: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2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219</w:t>
                </w:r>
                <w:r>
                  <w:rPr/>
                  <w:fldChar w:fldCharType="end"/>
                </w:r>
              </w:p>
            </w:txbxContent>
          </v:textbox>
          <w10:wrap type="none"/>
        </v:shape>
      </w:pict>
    </w: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2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220</w:t>
                </w:r>
                <w:r>
                  <w:rPr/>
                  <w:fldChar w:fldCharType="end"/>
                </w:r>
              </w:p>
            </w:txbxContent>
          </v:textbox>
          <w10:wrap type="none"/>
        </v:shape>
      </w:pict>
    </w: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1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221</w:t>
                </w:r>
                <w:r>
                  <w:rPr/>
                  <w:fldChar w:fldCharType="end"/>
                </w:r>
              </w:p>
            </w:txbxContent>
          </v:textbox>
          <w10:wrap type="none"/>
        </v:shape>
      </w:pict>
    </w: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1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222</w:t>
                </w:r>
                <w:r>
                  <w:rPr/>
                  <w:fldChar w:fldCharType="end"/>
                </w:r>
              </w:p>
            </w:txbxContent>
          </v:textbox>
          <w10:wrap type="none"/>
        </v:shape>
      </w:pict>
    </w: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1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223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7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26</w:t>
                </w:r>
                <w:r>
                  <w:rPr/>
                  <w:fldChar w:fldCharType="end"/>
                </w:r>
              </w:p>
            </w:txbxContent>
          </v:textbox>
          <w10:wrap type="none"/>
        </v:shape>
      </w:pict>
    </w: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1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224</w:t>
                </w:r>
                <w:r>
                  <w:rPr/>
                  <w:fldChar w:fldCharType="end"/>
                </w:r>
              </w:p>
            </w:txbxContent>
          </v:textbox>
          <w10:wrap type="none"/>
        </v:shape>
      </w:pict>
    </w: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0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225</w:t>
                </w:r>
                <w:r>
                  <w:rPr/>
                  <w:fldChar w:fldCharType="end"/>
                </w:r>
              </w:p>
            </w:txbxContent>
          </v:textbox>
          <w10:wrap type="none"/>
        </v:shape>
      </w:pict>
    </w: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0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226</w:t>
                </w:r>
                <w:r>
                  <w:rPr/>
                  <w:fldChar w:fldCharType="end"/>
                </w:r>
              </w:p>
            </w:txbxContent>
          </v:textbox>
          <w10:wrap type="none"/>
        </v:shape>
      </w:pict>
    </w: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90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227</w:t>
                </w:r>
                <w:r>
                  <w:rPr/>
                  <w:fldChar w:fldCharType="end"/>
                </w:r>
              </w:p>
            </w:txbxContent>
          </v:textbox>
          <w10:wrap type="none"/>
        </v:shape>
      </w:pict>
    </w: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186.935593pt;margin-top:563.054871pt;width:17.55pt;height:10.9pt;mso-position-horizontal-relative:page;mso-position-vertical-relative:page;z-index:-4790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256</w:t>
                </w:r>
                <w:r>
                  <w:rPr/>
                  <w:fldChar w:fldCharType="end"/>
                </w:r>
              </w:p>
            </w:txbxContent>
          </v:textbox>
          <w10:wrap type="none"/>
        </v:shape>
      </w:pict>
    </w:r>
  </w:p>
</w:ftr>
</file>

<file path=word/footer2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9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230</w:t>
                </w:r>
                <w:r>
                  <w:rPr/>
                  <w:fldChar w:fldCharType="end"/>
                </w:r>
              </w:p>
            </w:txbxContent>
          </v:textbox>
          <w10:wrap type="none"/>
        </v:shape>
      </w:pict>
    </w:r>
  </w:p>
</w:ftr>
</file>

<file path=word/footer2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9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231</w:t>
                </w:r>
                <w:r>
                  <w:rPr/>
                  <w:fldChar w:fldCharType="end"/>
                </w:r>
              </w:p>
            </w:txbxContent>
          </v:textbox>
          <w10:wrap type="none"/>
        </v:shape>
      </w:pict>
    </w:r>
  </w:p>
</w:ftr>
</file>

<file path=word/footer2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9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232</w:t>
                </w:r>
                <w:r>
                  <w:rPr/>
                  <w:fldChar w:fldCharType="end"/>
                </w:r>
              </w:p>
            </w:txbxContent>
          </v:textbox>
          <w10:wrap type="none"/>
        </v:shape>
      </w:pict>
    </w:r>
  </w:p>
</w:ftr>
</file>

<file path=word/footer2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9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233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7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27</w:t>
                </w:r>
                <w:r>
                  <w:rPr/>
                  <w:fldChar w:fldCharType="end"/>
                </w:r>
              </w:p>
            </w:txbxContent>
          </v:textbox>
          <w10:wrap type="none"/>
        </v:shape>
      </w:pict>
    </w:r>
  </w:p>
</w:ftr>
</file>

<file path=word/footer2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8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234</w:t>
                </w:r>
                <w:r>
                  <w:rPr/>
                  <w:fldChar w:fldCharType="end"/>
                </w:r>
              </w:p>
            </w:txbxContent>
          </v:textbox>
          <w10:wrap type="none"/>
        </v:shape>
      </w:pict>
    </w:r>
  </w:p>
</w:ftr>
</file>

<file path=word/footer2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8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235</w:t>
                </w:r>
                <w:r>
                  <w:rPr/>
                  <w:fldChar w:fldCharType="end"/>
                </w:r>
              </w:p>
            </w:txbxContent>
          </v:textbox>
          <w10:wrap type="none"/>
        </v:shape>
      </w:pict>
    </w:r>
  </w:p>
</w:ftr>
</file>

<file path=word/footer2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8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236</w:t>
                </w:r>
                <w:r>
                  <w:rPr/>
                  <w:fldChar w:fldCharType="end"/>
                </w:r>
              </w:p>
            </w:txbxContent>
          </v:textbox>
          <w10:wrap type="none"/>
        </v:shape>
      </w:pict>
    </w:r>
  </w:p>
</w:ftr>
</file>

<file path=word/footer2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8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237</w:t>
                </w:r>
                <w:r>
                  <w:rPr/>
                  <w:fldChar w:fldCharType="end"/>
                </w:r>
              </w:p>
            </w:txbxContent>
          </v:textbox>
          <w10:wrap type="none"/>
        </v:shape>
      </w:pict>
    </w:r>
  </w:p>
</w:ftr>
</file>

<file path=word/footer2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7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238</w:t>
                </w:r>
                <w:r>
                  <w:rPr/>
                  <w:fldChar w:fldCharType="end"/>
                </w:r>
              </w:p>
            </w:txbxContent>
          </v:textbox>
          <w10:wrap type="none"/>
        </v:shape>
      </w:pict>
    </w:r>
  </w:p>
</w:ftr>
</file>

<file path=word/footer2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7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239</w:t>
                </w:r>
                <w:r>
                  <w:rPr/>
                  <w:fldChar w:fldCharType="end"/>
                </w:r>
              </w:p>
            </w:txbxContent>
          </v:textbox>
          <w10:wrap type="none"/>
        </v:shape>
      </w:pict>
    </w:r>
  </w:p>
</w:ftr>
</file>

<file path=word/footer2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7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240</w:t>
                </w:r>
                <w:r>
                  <w:rPr/>
                  <w:fldChar w:fldCharType="end"/>
                </w:r>
              </w:p>
            </w:txbxContent>
          </v:textbox>
          <w10:wrap type="none"/>
        </v:shape>
      </w:pict>
    </w:r>
  </w:p>
</w:ftr>
</file>

<file path=word/footer2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7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241</w:t>
                </w:r>
                <w:r>
                  <w:rPr/>
                  <w:fldChar w:fldCharType="end"/>
                </w:r>
              </w:p>
            </w:txbxContent>
          </v:textbox>
          <w10:wrap type="none"/>
        </v:shape>
      </w:pict>
    </w:r>
  </w:p>
</w:ftr>
</file>

<file path=word/footer2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6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242</w:t>
                </w:r>
                <w:r>
                  <w:rPr/>
                  <w:fldChar w:fldCharType="end"/>
                </w:r>
              </w:p>
            </w:txbxContent>
          </v:textbox>
          <w10:wrap type="none"/>
        </v:shape>
      </w:pict>
    </w:r>
  </w:p>
</w:ftr>
</file>

<file path=word/footer2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6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243</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7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28</w:t>
                </w:r>
                <w:r>
                  <w:rPr/>
                  <w:fldChar w:fldCharType="end"/>
                </w:r>
              </w:p>
            </w:txbxContent>
          </v:textbox>
          <w10:wrap type="none"/>
        </v:shape>
      </w:pict>
    </w:r>
  </w:p>
</w:ftr>
</file>

<file path=word/footer2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6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244</w:t>
                </w:r>
                <w:r>
                  <w:rPr/>
                  <w:fldChar w:fldCharType="end"/>
                </w:r>
              </w:p>
            </w:txbxContent>
          </v:textbox>
          <w10:wrap type="none"/>
        </v:shape>
      </w:pict>
    </w:r>
  </w:p>
</w:ftr>
</file>

<file path=word/footer2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6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245</w:t>
                </w:r>
                <w:r>
                  <w:rPr/>
                  <w:fldChar w:fldCharType="end"/>
                </w:r>
              </w:p>
            </w:txbxContent>
          </v:textbox>
          <w10:wrap type="none"/>
        </v:shape>
      </w:pict>
    </w:r>
  </w:p>
</w:ftr>
</file>

<file path=word/footer2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6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246</w:t>
                </w:r>
                <w:r>
                  <w:rPr/>
                  <w:fldChar w:fldCharType="end"/>
                </w:r>
              </w:p>
            </w:txbxContent>
          </v:textbox>
          <w10:wrap type="none"/>
        </v:shape>
      </w:pict>
    </w:r>
  </w:p>
</w:ftr>
</file>

<file path=word/footer2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5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247</w:t>
                </w:r>
                <w:r>
                  <w:rPr/>
                  <w:fldChar w:fldCharType="end"/>
                </w:r>
              </w:p>
            </w:txbxContent>
          </v:textbox>
          <w10:wrap type="none"/>
        </v:shape>
      </w:pict>
    </w:r>
  </w:p>
</w:ftr>
</file>

<file path=word/footer2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5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248</w:t>
                </w:r>
                <w:r>
                  <w:rPr/>
                  <w:fldChar w:fldCharType="end"/>
                </w:r>
              </w:p>
            </w:txbxContent>
          </v:textbox>
          <w10:wrap type="none"/>
        </v:shape>
      </w:pict>
    </w:r>
  </w:p>
</w:ftr>
</file>

<file path=word/footer2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5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249</w:t>
                </w:r>
                <w:r>
                  <w:rPr/>
                  <w:fldChar w:fldCharType="end"/>
                </w:r>
              </w:p>
            </w:txbxContent>
          </v:textbox>
          <w10:wrap type="none"/>
        </v:shape>
      </w:pict>
    </w:r>
  </w:p>
</w:ftr>
</file>

<file path=word/footer2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5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250</w:t>
                </w:r>
                <w:r>
                  <w:rPr/>
                  <w:fldChar w:fldCharType="end"/>
                </w:r>
              </w:p>
            </w:txbxContent>
          </v:textbox>
          <w10:wrap type="none"/>
        </v:shape>
      </w:pict>
    </w:r>
  </w:p>
</w:ftr>
</file>

<file path=word/footer2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4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251</w:t>
                </w:r>
                <w:r>
                  <w:rPr/>
                  <w:fldChar w:fldCharType="end"/>
                </w:r>
              </w:p>
            </w:txbxContent>
          </v:textbox>
          <w10:wrap type="none"/>
        </v:shape>
      </w:pict>
    </w:r>
  </w:p>
</w:ftr>
</file>

<file path=word/footer2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4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252</w:t>
                </w:r>
                <w:r>
                  <w:rPr/>
                  <w:fldChar w:fldCharType="end"/>
                </w:r>
              </w:p>
            </w:txbxContent>
          </v:textbox>
          <w10:wrap type="none"/>
        </v:shape>
      </w:pict>
    </w:r>
  </w:p>
</w:ftr>
</file>

<file path=word/footer2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45pt;height:10.9pt;mso-position-horizontal-relative:page;mso-position-vertical-relative:page;z-index:-4784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253</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7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29</w:t>
                </w:r>
                <w:r>
                  <w:rPr/>
                  <w:fldChar w:fldCharType="end"/>
                </w:r>
              </w:p>
            </w:txbxContent>
          </v:textbox>
          <w10:wrap type="none"/>
        </v:shape>
      </w:pict>
    </w:r>
  </w:p>
</w:ftr>
</file>

<file path=word/footer2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4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254</w:t>
                </w:r>
                <w:r>
                  <w:rPr/>
                  <w:fldChar w:fldCharType="end"/>
                </w:r>
              </w:p>
            </w:txbxContent>
          </v:textbox>
          <w10:wrap type="none"/>
        </v:shape>
      </w:pict>
    </w:r>
  </w:p>
</w:ftr>
</file>

<file path=word/footer2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3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255</w:t>
                </w:r>
                <w:r>
                  <w:rPr/>
                  <w:fldChar w:fldCharType="end"/>
                </w:r>
              </w:p>
            </w:txbxContent>
          </v:textbox>
          <w10:wrap type="none"/>
        </v:shape>
      </w:pict>
    </w:r>
  </w:p>
</w:ftr>
</file>

<file path=word/footer2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3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256</w:t>
                </w:r>
                <w:r>
                  <w:rPr/>
                  <w:fldChar w:fldCharType="end"/>
                </w:r>
              </w:p>
            </w:txbxContent>
          </v:textbox>
          <w10:wrap type="none"/>
        </v:shape>
      </w:pict>
    </w:r>
  </w:p>
</w:ftr>
</file>

<file path=word/footer2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3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257</w:t>
                </w:r>
                <w:r>
                  <w:rPr/>
                  <w:fldChar w:fldCharType="end"/>
                </w:r>
              </w:p>
            </w:txbxContent>
          </v:textbox>
          <w10:wrap type="none"/>
        </v:shape>
      </w:pict>
    </w:r>
  </w:p>
</w:ftr>
</file>

<file path=word/footer2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3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258</w:t>
                </w:r>
                <w:r>
                  <w:rPr/>
                  <w:fldChar w:fldCharType="end"/>
                </w:r>
              </w:p>
            </w:txbxContent>
          </v:textbox>
          <w10:wrap type="none"/>
        </v:shape>
      </w:pict>
    </w:r>
  </w:p>
</w:ftr>
</file>

<file path=word/footer2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2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259</w:t>
                </w:r>
                <w:r>
                  <w:rPr/>
                  <w:fldChar w:fldCharType="end"/>
                </w:r>
              </w:p>
            </w:txbxContent>
          </v:textbox>
          <w10:wrap type="none"/>
        </v:shape>
      </w:pict>
    </w:r>
  </w:p>
</w:ftr>
</file>

<file path=word/footer2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2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260</w:t>
                </w:r>
                <w:r>
                  <w:rPr/>
                  <w:fldChar w:fldCharType="end"/>
                </w:r>
              </w:p>
            </w:txbxContent>
          </v:textbox>
          <w10:wrap type="none"/>
        </v:shape>
      </w:pict>
    </w:r>
  </w:p>
</w:ftr>
</file>

<file path=word/footer2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2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261</w:t>
                </w:r>
                <w:r>
                  <w:rPr/>
                  <w:fldChar w:fldCharType="end"/>
                </w:r>
              </w:p>
            </w:txbxContent>
          </v:textbox>
          <w10:wrap type="none"/>
        </v:shape>
      </w:pict>
    </w:r>
  </w:p>
</w:ftr>
</file>

<file path=word/footer2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2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262</w:t>
                </w:r>
                <w:r>
                  <w:rPr/>
                  <w:fldChar w:fldCharType="end"/>
                </w:r>
              </w:p>
            </w:txbxContent>
          </v:textbox>
          <w10:wrap type="none"/>
        </v:shape>
      </w:pict>
    </w:r>
  </w:p>
</w:ftr>
</file>

<file path=word/footer2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1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263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6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30</w:t>
                </w:r>
                <w:r>
                  <w:rPr/>
                  <w:fldChar w:fldCharType="end"/>
                </w:r>
              </w:p>
            </w:txbxContent>
          </v:textbox>
          <w10:wrap type="none"/>
        </v:shape>
      </w:pict>
    </w:r>
  </w:p>
</w:ftr>
</file>

<file path=word/footer2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1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264</w:t>
                </w:r>
                <w:r>
                  <w:rPr/>
                  <w:fldChar w:fldCharType="end"/>
                </w:r>
              </w:p>
            </w:txbxContent>
          </v:textbox>
          <w10:wrap type="none"/>
        </v:shape>
      </w:pict>
    </w:r>
  </w:p>
</w:ftr>
</file>

<file path=word/footer2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1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265</w:t>
                </w:r>
                <w:r>
                  <w:rPr/>
                  <w:fldChar w:fldCharType="end"/>
                </w:r>
              </w:p>
            </w:txbxContent>
          </v:textbox>
          <w10:wrap type="none"/>
        </v:shape>
      </w:pict>
    </w:r>
  </w:p>
</w:ftr>
</file>

<file path=word/footer2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1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266</w:t>
                </w:r>
                <w:r>
                  <w:rPr/>
                  <w:fldChar w:fldCharType="end"/>
                </w:r>
              </w:p>
            </w:txbxContent>
          </v:textbox>
          <w10:wrap type="none"/>
        </v:shape>
      </w:pict>
    </w:r>
  </w:p>
</w:ftr>
</file>

<file path=word/footer2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0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267</w:t>
                </w:r>
                <w:r>
                  <w:rPr/>
                  <w:fldChar w:fldCharType="end"/>
                </w:r>
              </w:p>
            </w:txbxContent>
          </v:textbox>
          <w10:wrap type="none"/>
        </v:shape>
      </w:pict>
    </w:r>
  </w:p>
</w:ftr>
</file>

<file path=word/footer2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0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268</w:t>
                </w:r>
                <w:r>
                  <w:rPr/>
                  <w:fldChar w:fldCharType="end"/>
                </w:r>
              </w:p>
            </w:txbxContent>
          </v:textbox>
          <w10:wrap type="none"/>
        </v:shape>
      </w:pict>
    </w:r>
  </w:p>
</w:ftr>
</file>

<file path=word/footer2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0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269</w:t>
                </w:r>
                <w:r>
                  <w:rPr/>
                  <w:fldChar w:fldCharType="end"/>
                </w:r>
              </w:p>
            </w:txbxContent>
          </v:textbox>
          <w10:wrap type="none"/>
        </v:shape>
      </w:pict>
    </w:r>
  </w:p>
</w:ftr>
</file>

<file path=word/footer2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0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270</w:t>
                </w:r>
                <w:r>
                  <w:rPr/>
                  <w:fldChar w:fldCharType="end"/>
                </w:r>
              </w:p>
            </w:txbxContent>
          </v:textbox>
          <w10:wrap type="none"/>
        </v:shape>
      </w:pict>
    </w:r>
  </w:p>
</w:ftr>
</file>

<file path=word/footer2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80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271</w:t>
                </w:r>
                <w:r>
                  <w:rPr/>
                  <w:fldChar w:fldCharType="end"/>
                </w:r>
              </w:p>
            </w:txbxContent>
          </v:textbox>
          <w10:wrap type="none"/>
        </v:shape>
      </w:pict>
    </w:r>
  </w:p>
</w:ftr>
</file>

<file path=word/footer2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79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272</w:t>
                </w:r>
                <w:r>
                  <w:rPr/>
                  <w:fldChar w:fldCharType="end"/>
                </w:r>
              </w:p>
            </w:txbxContent>
          </v:textbox>
          <w10:wrap type="none"/>
        </v:shape>
      </w:pict>
    </w:r>
  </w:p>
</w:ftr>
</file>

<file path=word/footer2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79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273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6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31</w:t>
                </w:r>
                <w:r>
                  <w:rPr/>
                  <w:fldChar w:fldCharType="end"/>
                </w:r>
              </w:p>
            </w:txbxContent>
          </v:textbox>
          <w10:wrap type="none"/>
        </v:shape>
      </w:pict>
    </w:r>
  </w:p>
</w:ftr>
</file>

<file path=word/footer2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79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274</w:t>
                </w:r>
                <w:r>
                  <w:rPr/>
                  <w:fldChar w:fldCharType="end"/>
                </w:r>
              </w:p>
            </w:txbxContent>
          </v:textbox>
          <w10:wrap type="none"/>
        </v:shape>
      </w:pict>
    </w:r>
  </w:p>
</w:ftr>
</file>

<file path=word/footer2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79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275</w:t>
                </w:r>
                <w:r>
                  <w:rPr/>
                  <w:fldChar w:fldCharType="end"/>
                </w:r>
              </w:p>
            </w:txbxContent>
          </v:textbox>
          <w10:wrap type="none"/>
        </v:shape>
      </w:pict>
    </w:r>
  </w:p>
</w:ftr>
</file>

<file path=word/footer2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78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276</w:t>
                </w:r>
                <w:r>
                  <w:rPr/>
                  <w:fldChar w:fldCharType="end"/>
                </w:r>
              </w:p>
            </w:txbxContent>
          </v:textbox>
          <w10:wrap type="none"/>
        </v:shape>
      </w:pict>
    </w:r>
  </w:p>
</w:ftr>
</file>

<file path=word/footer2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78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277</w:t>
                </w:r>
                <w:r>
                  <w:rPr/>
                  <w:fldChar w:fldCharType="end"/>
                </w:r>
              </w:p>
            </w:txbxContent>
          </v:textbox>
          <w10:wrap type="none"/>
        </v:shape>
      </w:pict>
    </w:r>
  </w:p>
</w:ftr>
</file>

<file path=word/footer2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8.95pt;height:10.9pt;mso-position-horizontal-relative:page;mso-position-vertical-relative:page;z-index:-4778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279</w:t>
                </w:r>
                <w:r>
                  <w:rPr/>
                  <w:fldChar w:fldCharType="end"/>
                </w:r>
              </w:p>
            </w:txbxContent>
          </v:textbox>
          <w10:wrap type="none"/>
        </v:shape>
      </w:pict>
    </w:r>
  </w:p>
</w:ftr>
</file>

<file path=word/footer2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8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280</w:t>
                </w:r>
                <w:r>
                  <w:rPr/>
                  <w:fldChar w:fldCharType="end"/>
                </w:r>
              </w:p>
            </w:txbxContent>
          </v:textbox>
          <w10:wrap type="none"/>
        </v:shape>
      </w:pict>
    </w:r>
  </w:p>
</w:ftr>
</file>

<file path=word/footer2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7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281</w:t>
                </w:r>
                <w:r>
                  <w:rPr/>
                  <w:fldChar w:fldCharType="end"/>
                </w:r>
              </w:p>
            </w:txbxContent>
          </v:textbox>
          <w10:wrap type="none"/>
        </v:shape>
      </w:pict>
    </w:r>
  </w:p>
</w:ftr>
</file>

<file path=word/footer2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7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282</w:t>
                </w:r>
                <w:r>
                  <w:rPr/>
                  <w:fldChar w:fldCharType="end"/>
                </w:r>
              </w:p>
            </w:txbxContent>
          </v:textbox>
          <w10:wrap type="none"/>
        </v:shape>
      </w:pict>
    </w:r>
  </w:p>
</w:ftr>
</file>

<file path=word/footer2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7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283</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6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32</w:t>
                </w:r>
                <w:r>
                  <w:rPr/>
                  <w:fldChar w:fldCharType="end"/>
                </w:r>
              </w:p>
            </w:txbxContent>
          </v:textbox>
          <w10:wrap type="none"/>
        </v:shape>
      </w:pict>
    </w:r>
  </w:p>
</w:ftr>
</file>

<file path=word/footer2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7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284</w:t>
                </w:r>
                <w:r>
                  <w:rPr/>
                  <w:fldChar w:fldCharType="end"/>
                </w:r>
              </w:p>
            </w:txbxContent>
          </v:textbox>
          <w10:wrap type="none"/>
        </v:shape>
      </w:pict>
    </w:r>
  </w:p>
</w:ftr>
</file>

<file path=word/footer2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6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285</w:t>
                </w:r>
                <w:r>
                  <w:rPr/>
                  <w:fldChar w:fldCharType="end"/>
                </w:r>
              </w:p>
            </w:txbxContent>
          </v:textbox>
          <w10:wrap type="none"/>
        </v:shape>
      </w:pict>
    </w:r>
  </w:p>
</w:ftr>
</file>

<file path=word/footer2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6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286</w:t>
                </w:r>
                <w:r>
                  <w:rPr/>
                  <w:fldChar w:fldCharType="end"/>
                </w:r>
              </w:p>
            </w:txbxContent>
          </v:textbox>
          <w10:wrap type="none"/>
        </v:shape>
      </w:pict>
    </w:r>
  </w:p>
</w:ftr>
</file>

<file path=word/footer2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6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287</w:t>
                </w:r>
                <w:r>
                  <w:rPr/>
                  <w:fldChar w:fldCharType="end"/>
                </w:r>
              </w:p>
            </w:txbxContent>
          </v:textbox>
          <w10:wrap type="none"/>
        </v:shape>
      </w:pict>
    </w:r>
  </w:p>
</w:ftr>
</file>

<file path=word/footer2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6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288</w:t>
                </w:r>
                <w:r>
                  <w:rPr/>
                  <w:fldChar w:fldCharType="end"/>
                </w:r>
              </w:p>
            </w:txbxContent>
          </v:textbox>
          <w10:wrap type="none"/>
        </v:shape>
      </w:pict>
    </w:r>
  </w:p>
</w:ftr>
</file>

<file path=word/footer2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5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289</w:t>
                </w:r>
                <w:r>
                  <w:rPr/>
                  <w:fldChar w:fldCharType="end"/>
                </w:r>
              </w:p>
            </w:txbxContent>
          </v:textbox>
          <w10:wrap type="none"/>
        </v:shape>
      </w:pict>
    </w:r>
  </w:p>
</w:ftr>
</file>

<file path=word/footer2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5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290</w:t>
                </w:r>
                <w:r>
                  <w:rPr/>
                  <w:fldChar w:fldCharType="end"/>
                </w:r>
              </w:p>
            </w:txbxContent>
          </v:textbox>
          <w10:wrap type="none"/>
        </v:shape>
      </w:pict>
    </w:r>
  </w:p>
</w:ftr>
</file>

<file path=word/footer2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5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291</w:t>
                </w:r>
                <w:r>
                  <w:rPr/>
                  <w:fldChar w:fldCharType="end"/>
                </w:r>
              </w:p>
            </w:txbxContent>
          </v:textbox>
          <w10:wrap type="none"/>
        </v:shape>
      </w:pict>
    </w:r>
  </w:p>
</w:ftr>
</file>

<file path=word/footer2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5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292</w:t>
                </w:r>
                <w:r>
                  <w:rPr/>
                  <w:fldChar w:fldCharType="end"/>
                </w:r>
              </w:p>
            </w:txbxContent>
          </v:textbox>
          <w10:wrap type="none"/>
        </v:shape>
      </w:pict>
    </w:r>
  </w:p>
</w:ftr>
</file>

<file path=word/footer2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4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293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6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33</w:t>
                </w:r>
                <w:r>
                  <w:rPr/>
                  <w:fldChar w:fldCharType="end"/>
                </w:r>
              </w:p>
            </w:txbxContent>
          </v:textbox>
          <w10:wrap type="none"/>
        </v:shape>
      </w:pict>
    </w:r>
  </w:p>
</w:ftr>
</file>

<file path=word/footer2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4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294</w:t>
                </w:r>
                <w:r>
                  <w:rPr/>
                  <w:fldChar w:fldCharType="end"/>
                </w:r>
              </w:p>
            </w:txbxContent>
          </v:textbox>
          <w10:wrap type="none"/>
        </v:shape>
      </w:pict>
    </w:r>
  </w:p>
</w:ftr>
</file>

<file path=word/footer2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4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295</w:t>
                </w:r>
                <w:r>
                  <w:rPr/>
                  <w:fldChar w:fldCharType="end"/>
                </w:r>
              </w:p>
            </w:txbxContent>
          </v:textbox>
          <w10:wrap type="none"/>
        </v:shape>
      </w:pict>
    </w:r>
  </w:p>
</w:ftr>
</file>

<file path=word/footer2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4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296</w:t>
                </w:r>
                <w:r>
                  <w:rPr/>
                  <w:fldChar w:fldCharType="end"/>
                </w:r>
              </w:p>
            </w:txbxContent>
          </v:textbox>
          <w10:wrap type="none"/>
        </v:shape>
      </w:pict>
    </w:r>
  </w:p>
</w:ftr>
</file>

<file path=word/footer2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4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297</w:t>
                </w:r>
                <w:r>
                  <w:rPr/>
                  <w:fldChar w:fldCharType="end"/>
                </w:r>
              </w:p>
            </w:txbxContent>
          </v:textbox>
          <w10:wrap type="none"/>
        </v:shape>
      </w:pict>
    </w:r>
  </w:p>
</w:ftr>
</file>

<file path=word/footer2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3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298</w:t>
                </w:r>
                <w:r>
                  <w:rPr/>
                  <w:fldChar w:fldCharType="end"/>
                </w:r>
              </w:p>
            </w:txbxContent>
          </v:textbox>
          <w10:wrap type="none"/>
        </v:shape>
      </w:pict>
    </w:r>
  </w:p>
</w:ftr>
</file>

<file path=word/footer2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3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299</w:t>
                </w:r>
                <w:r>
                  <w:rPr/>
                  <w:fldChar w:fldCharType="end"/>
                </w:r>
              </w:p>
            </w:txbxContent>
          </v:textbox>
          <w10:wrap type="none"/>
        </v:shape>
      </w:pict>
    </w:r>
  </w:p>
</w:ftr>
</file>

<file path=word/footer2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635605pt;margin-top:563.054871pt;width:15.55pt;height:10.9pt;mso-position-horizontal-relative:page;mso-position-vertical-relative:page;z-index:-477328" type="#_x0000_t202" filled="false" stroked="false">
          <v:textbox inset="0,0,0,0">
            <w:txbxContent>
              <w:p>
                <w:pPr>
                  <w:spacing w:before="4"/>
                  <w:ind w:left="20" w:right="0" w:firstLine="0"/>
                  <w:jc w:val="left"/>
                  <w:rPr>
                    <w:sz w:val="17"/>
                  </w:rPr>
                </w:pPr>
                <w:r>
                  <w:rPr>
                    <w:color w:val="231F20"/>
                    <w:w w:val="105"/>
                    <w:sz w:val="17"/>
                  </w:rPr>
                  <w:t>300</w:t>
                </w:r>
              </w:p>
            </w:txbxContent>
          </v:textbox>
          <w10:wrap type="none"/>
        </v:shape>
      </w:pict>
    </w:r>
  </w:p>
</w:ftr>
</file>

<file path=word/footer2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8.95pt;height:10.9pt;mso-position-horizontal-relative:page;mso-position-vertical-relative:page;z-index:-4773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301</w:t>
                </w:r>
                <w:r>
                  <w:rPr/>
                  <w:fldChar w:fldCharType="end"/>
                </w:r>
              </w:p>
            </w:txbxContent>
          </v:textbox>
          <w10:wrap type="none"/>
        </v:shape>
      </w:pict>
    </w:r>
  </w:p>
</w:ftr>
</file>

<file path=word/footer2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2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302</w:t>
                </w:r>
                <w:r>
                  <w:rPr/>
                  <w:fldChar w:fldCharType="end"/>
                </w:r>
              </w:p>
            </w:txbxContent>
          </v:textbox>
          <w10:wrap type="none"/>
        </v:shape>
      </w:pict>
    </w:r>
  </w:p>
</w:ftr>
</file>

<file path=word/footer2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2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303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37302pt;margin-top:563.054871pt;width:13.45pt;height:10.9pt;mso-position-horizontal-relative:page;mso-position-vertical-relative:page;z-index:-4841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 ROMAN </w:instrText>
                </w:r>
                <w:r>
                  <w:rPr/>
                  <w:fldChar w:fldCharType="separate"/>
                </w:r>
                <w:r>
                  <w:rPr/>
                  <w:t>IX</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5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34</w:t>
                </w:r>
                <w:r>
                  <w:rPr/>
                  <w:fldChar w:fldCharType="end"/>
                </w:r>
              </w:p>
            </w:txbxContent>
          </v:textbox>
          <w10:wrap type="none"/>
        </v:shape>
      </w:pict>
    </w:r>
  </w:p>
</w:ftr>
</file>

<file path=word/footer3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2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304</w:t>
                </w:r>
                <w:r>
                  <w:rPr/>
                  <w:fldChar w:fldCharType="end"/>
                </w:r>
              </w:p>
            </w:txbxContent>
          </v:textbox>
          <w10:wrap type="none"/>
        </v:shape>
      </w:pict>
    </w:r>
  </w:p>
</w:ftr>
</file>

<file path=word/footer3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2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305</w:t>
                </w:r>
                <w:r>
                  <w:rPr/>
                  <w:fldChar w:fldCharType="end"/>
                </w:r>
              </w:p>
            </w:txbxContent>
          </v:textbox>
          <w10:wrap type="none"/>
        </v:shape>
      </w:pict>
    </w:r>
  </w:p>
</w:ftr>
</file>

<file path=word/footer3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8.95pt;height:10.9pt;mso-position-horizontal-relative:page;mso-position-vertical-relative:page;z-index:-4771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307</w:t>
                </w:r>
                <w:r>
                  <w:rPr/>
                  <w:fldChar w:fldCharType="end"/>
                </w:r>
              </w:p>
            </w:txbxContent>
          </v:textbox>
          <w10:wrap type="none"/>
        </v:shape>
      </w:pict>
    </w:r>
  </w:p>
</w:ftr>
</file>

<file path=word/footer3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1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308</w:t>
                </w:r>
                <w:r>
                  <w:rPr/>
                  <w:fldChar w:fldCharType="end"/>
                </w:r>
              </w:p>
            </w:txbxContent>
          </v:textbox>
          <w10:wrap type="none"/>
        </v:shape>
      </w:pict>
    </w:r>
  </w:p>
</w:ftr>
</file>

<file path=word/footer3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1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309</w:t>
                </w:r>
                <w:r>
                  <w:rPr/>
                  <w:fldChar w:fldCharType="end"/>
                </w:r>
              </w:p>
            </w:txbxContent>
          </v:textbox>
          <w10:wrap type="none"/>
        </v:shape>
      </w:pict>
    </w:r>
  </w:p>
</w:ftr>
</file>

<file path=word/footer3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1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310</w:t>
                </w:r>
                <w:r>
                  <w:rPr/>
                  <w:fldChar w:fldCharType="end"/>
                </w:r>
              </w:p>
            </w:txbxContent>
          </v:textbox>
          <w10:wrap type="none"/>
        </v:shape>
      </w:pict>
    </w:r>
  </w:p>
</w:ftr>
</file>

<file path=word/footer3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0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311</w:t>
                </w:r>
                <w:r>
                  <w:rPr/>
                  <w:fldChar w:fldCharType="end"/>
                </w:r>
              </w:p>
            </w:txbxContent>
          </v:textbox>
          <w10:wrap type="none"/>
        </v:shape>
      </w:pict>
    </w:r>
  </w:p>
</w:ftr>
</file>

<file path=word/footer3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0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312</w:t>
                </w:r>
                <w:r>
                  <w:rPr/>
                  <w:fldChar w:fldCharType="end"/>
                </w:r>
              </w:p>
            </w:txbxContent>
          </v:textbox>
          <w10:wrap type="none"/>
        </v:shape>
      </w:pict>
    </w:r>
  </w:p>
</w:ftr>
</file>

<file path=word/footer3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70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313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5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35</w:t>
                </w:r>
                <w:r>
                  <w:rPr/>
                  <w:fldChar w:fldCharType="end"/>
                </w:r>
              </w:p>
            </w:txbxContent>
          </v:textbox>
          <w10:wrap type="none"/>
        </v:shape>
      </w:pict>
    </w:r>
  </w:p>
</w:ftr>
</file>

<file path=word/footer3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70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314</w:t>
                </w:r>
                <w:r>
                  <w:rPr/>
                  <w:fldChar w:fldCharType="end"/>
                </w:r>
              </w:p>
            </w:txbxContent>
          </v:textbox>
          <w10:wrap type="none"/>
        </v:shape>
      </w:pict>
    </w:r>
  </w:p>
</w:ftr>
</file>

<file path=word/footer3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9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315</w:t>
                </w:r>
                <w:r>
                  <w:rPr/>
                  <w:fldChar w:fldCharType="end"/>
                </w:r>
              </w:p>
            </w:txbxContent>
          </v:textbox>
          <w10:wrap type="none"/>
        </v:shape>
      </w:pict>
    </w:r>
  </w:p>
</w:ftr>
</file>

<file path=word/footer3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9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316</w:t>
                </w:r>
                <w:r>
                  <w:rPr/>
                  <w:fldChar w:fldCharType="end"/>
                </w:r>
              </w:p>
            </w:txbxContent>
          </v:textbox>
          <w10:wrap type="none"/>
        </v:shape>
      </w:pict>
    </w:r>
  </w:p>
</w:ftr>
</file>

<file path=word/footer3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9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317</w:t>
                </w:r>
                <w:r>
                  <w:rPr/>
                  <w:fldChar w:fldCharType="end"/>
                </w:r>
              </w:p>
            </w:txbxContent>
          </v:textbox>
          <w10:wrap type="none"/>
        </v:shape>
      </w:pict>
    </w:r>
  </w:p>
</w:ftr>
</file>

<file path=word/footer3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9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318</w:t>
                </w:r>
                <w:r>
                  <w:rPr/>
                  <w:fldChar w:fldCharType="end"/>
                </w:r>
              </w:p>
            </w:txbxContent>
          </v:textbox>
          <w10:wrap type="none"/>
        </v:shape>
      </w:pict>
    </w:r>
  </w:p>
</w:ftr>
</file>

<file path=word/footer3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8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319</w:t>
                </w:r>
                <w:r>
                  <w:rPr/>
                  <w:fldChar w:fldCharType="end"/>
                </w:r>
              </w:p>
            </w:txbxContent>
          </v:textbox>
          <w10:wrap type="none"/>
        </v:shape>
      </w:pict>
    </w:r>
  </w:p>
</w:ftr>
</file>

<file path=word/footer3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8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320</w:t>
                </w:r>
                <w:r>
                  <w:rPr/>
                  <w:fldChar w:fldCharType="end"/>
                </w:r>
              </w:p>
            </w:txbxContent>
          </v:textbox>
          <w10:wrap type="none"/>
        </v:shape>
      </w:pict>
    </w:r>
  </w:p>
</w:ftr>
</file>

<file path=word/footer3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8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321</w:t>
                </w:r>
                <w:r>
                  <w:rPr/>
                  <w:fldChar w:fldCharType="end"/>
                </w:r>
              </w:p>
            </w:txbxContent>
          </v:textbox>
          <w10:wrap type="none"/>
        </v:shape>
      </w:pict>
    </w:r>
  </w:p>
</w:ftr>
</file>

<file path=word/footer3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8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322</w:t>
                </w:r>
                <w:r>
                  <w:rPr/>
                  <w:fldChar w:fldCharType="end"/>
                </w:r>
              </w:p>
            </w:txbxContent>
          </v:textbox>
          <w10:wrap type="none"/>
        </v:shape>
      </w:pict>
    </w:r>
  </w:p>
</w:ftr>
</file>

<file path=word/footer3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8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323</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5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36</w:t>
                </w:r>
                <w:r>
                  <w:rPr/>
                  <w:fldChar w:fldCharType="end"/>
                </w:r>
              </w:p>
            </w:txbxContent>
          </v:textbox>
          <w10:wrap type="none"/>
        </v:shape>
      </w:pict>
    </w:r>
  </w:p>
</w:ftr>
</file>

<file path=word/footer3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7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324</w:t>
                </w:r>
                <w:r>
                  <w:rPr/>
                  <w:fldChar w:fldCharType="end"/>
                </w:r>
              </w:p>
            </w:txbxContent>
          </v:textbox>
          <w10:wrap type="none"/>
        </v:shape>
      </w:pict>
    </w:r>
  </w:p>
</w:ftr>
</file>

<file path=word/footer3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7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325</w:t>
                </w:r>
                <w:r>
                  <w:rPr/>
                  <w:fldChar w:fldCharType="end"/>
                </w:r>
              </w:p>
            </w:txbxContent>
          </v:textbox>
          <w10:wrap type="none"/>
        </v:shape>
      </w:pict>
    </w:r>
  </w:p>
</w:ftr>
</file>

<file path=word/footer3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7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326</w:t>
                </w:r>
                <w:r>
                  <w:rPr/>
                  <w:fldChar w:fldCharType="end"/>
                </w:r>
              </w:p>
            </w:txbxContent>
          </v:textbox>
          <w10:wrap type="none"/>
        </v:shape>
      </w:pict>
    </w:r>
  </w:p>
</w:ftr>
</file>

<file path=word/footer3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7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327</w:t>
                </w:r>
                <w:r>
                  <w:rPr/>
                  <w:fldChar w:fldCharType="end"/>
                </w:r>
              </w:p>
            </w:txbxContent>
          </v:textbox>
          <w10:wrap type="none"/>
        </v:shape>
      </w:pict>
    </w:r>
  </w:p>
</w:ftr>
</file>

<file path=word/footer3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6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328</w:t>
                </w:r>
                <w:r>
                  <w:rPr/>
                  <w:fldChar w:fldCharType="end"/>
                </w:r>
              </w:p>
            </w:txbxContent>
          </v:textbox>
          <w10:wrap type="none"/>
        </v:shape>
      </w:pict>
    </w:r>
  </w:p>
</w:ftr>
</file>

<file path=word/footer3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6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329</w:t>
                </w:r>
                <w:r>
                  <w:rPr/>
                  <w:fldChar w:fldCharType="end"/>
                </w:r>
              </w:p>
            </w:txbxContent>
          </v:textbox>
          <w10:wrap type="none"/>
        </v:shape>
      </w:pict>
    </w:r>
  </w:p>
</w:ftr>
</file>

<file path=word/footer3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6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330</w:t>
                </w:r>
                <w:r>
                  <w:rPr/>
                  <w:fldChar w:fldCharType="end"/>
                </w:r>
              </w:p>
            </w:txbxContent>
          </v:textbox>
          <w10:wrap type="none"/>
        </v:shape>
      </w:pict>
    </w:r>
  </w:p>
</w:ftr>
</file>

<file path=word/footer3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6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331</w:t>
                </w:r>
                <w:r>
                  <w:rPr/>
                  <w:fldChar w:fldCharType="end"/>
                </w:r>
              </w:p>
            </w:txbxContent>
          </v:textbox>
          <w10:wrap type="none"/>
        </v:shape>
      </w:pict>
    </w:r>
  </w:p>
</w:ftr>
</file>

<file path=word/footer3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5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332</w:t>
                </w:r>
                <w:r>
                  <w:rPr/>
                  <w:fldChar w:fldCharType="end"/>
                </w:r>
              </w:p>
            </w:txbxContent>
          </v:textbox>
          <w10:wrap type="none"/>
        </v:shape>
      </w:pict>
    </w:r>
  </w:p>
</w:ftr>
</file>

<file path=word/footer3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5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333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520"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37</w:t>
                </w:r>
                <w:r>
                  <w:rPr/>
                  <w:fldChar w:fldCharType="end"/>
                </w:r>
              </w:p>
            </w:txbxContent>
          </v:textbox>
          <w10:wrap type="none"/>
        </v:shape>
      </w:pict>
    </w:r>
  </w:p>
</w:ftr>
</file>

<file path=word/footer3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5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334</w:t>
                </w:r>
                <w:r>
                  <w:rPr/>
                  <w:fldChar w:fldCharType="end"/>
                </w:r>
              </w:p>
            </w:txbxContent>
          </v:textbox>
          <w10:wrap type="none"/>
        </v:shape>
      </w:pict>
    </w:r>
  </w:p>
</w:ftr>
</file>

<file path=word/footer3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5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335</w:t>
                </w:r>
                <w:r>
                  <w:rPr/>
                  <w:fldChar w:fldCharType="end"/>
                </w:r>
              </w:p>
            </w:txbxContent>
          </v:textbox>
          <w10:wrap type="none"/>
        </v:shape>
      </w:pict>
    </w:r>
  </w:p>
</w:ftr>
</file>

<file path=word/footer3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4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336</w:t>
                </w:r>
                <w:r>
                  <w:rPr/>
                  <w:fldChar w:fldCharType="end"/>
                </w:r>
              </w:p>
            </w:txbxContent>
          </v:textbox>
          <w10:wrap type="none"/>
        </v:shape>
      </w:pict>
    </w:r>
  </w:p>
</w:ftr>
</file>

<file path=word/footer3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195297pt;margin-top:563.054871pt;width:17.55pt;height:10.9pt;mso-position-horizontal-relative:page;mso-position-vertical-relative:page;z-index:-4764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337</w:t>
                </w:r>
                <w:r>
                  <w:rPr/>
                  <w:fldChar w:fldCharType="end"/>
                </w:r>
              </w:p>
            </w:txbxContent>
          </v:textbox>
          <w10:wrap type="none"/>
        </v:shape>
      </w:pict>
    </w:r>
  </w:p>
</w:ftr>
</file>

<file path=word/footer3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635605pt;margin-top:563.054871pt;width:17.55pt;height:10.9pt;mso-position-horizontal-relative:page;mso-position-vertical-relative:page;z-index:-4764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338</w:t>
                </w:r>
                <w:r>
                  <w:rPr/>
                  <w:fldChar w:fldCharType="end"/>
                </w:r>
              </w:p>
            </w:txbxContent>
          </v:textbox>
          <w10:wrap type="none"/>
        </v:shape>
      </w:pict>
    </w:r>
  </w:p>
</w:ftr>
</file>

<file path=word/footer3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4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340</w:t>
                </w:r>
                <w:r>
                  <w:rPr/>
                  <w:fldChar w:fldCharType="end"/>
                </w:r>
              </w:p>
            </w:txbxContent>
          </v:textbox>
          <w10:wrap type="none"/>
        </v:shape>
      </w:pict>
    </w:r>
  </w:p>
</w:ftr>
</file>

<file path=word/footer3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3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341</w:t>
                </w:r>
                <w:r>
                  <w:rPr/>
                  <w:fldChar w:fldCharType="end"/>
                </w:r>
              </w:p>
            </w:txbxContent>
          </v:textbox>
          <w10:wrap type="none"/>
        </v:shape>
      </w:pict>
    </w:r>
  </w:p>
</w:ftr>
</file>

<file path=word/footer3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3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342</w:t>
                </w:r>
                <w:r>
                  <w:rPr/>
                  <w:fldChar w:fldCharType="end"/>
                </w:r>
              </w:p>
            </w:txbxContent>
          </v:textbox>
          <w10:wrap type="none"/>
        </v:shape>
      </w:pict>
    </w:r>
  </w:p>
</w:ftr>
</file>

<file path=word/footer3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3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343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4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38</w:t>
                </w:r>
                <w:r>
                  <w:rPr/>
                  <w:fldChar w:fldCharType="end"/>
                </w:r>
              </w:p>
            </w:txbxContent>
          </v:textbox>
          <w10:wrap type="none"/>
        </v:shape>
      </w:pict>
    </w:r>
  </w:p>
</w:ftr>
</file>

<file path=word/footer3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3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344</w:t>
                </w:r>
                <w:r>
                  <w:rPr/>
                  <w:fldChar w:fldCharType="end"/>
                </w:r>
              </w:p>
            </w:txbxContent>
          </v:textbox>
          <w10:wrap type="none"/>
        </v:shape>
      </w:pict>
    </w:r>
  </w:p>
</w:ftr>
</file>

<file path=word/footer3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2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345</w:t>
                </w:r>
                <w:r>
                  <w:rPr/>
                  <w:fldChar w:fldCharType="end"/>
                </w:r>
              </w:p>
            </w:txbxContent>
          </v:textbox>
          <w10:wrap type="none"/>
        </v:shape>
      </w:pict>
    </w:r>
  </w:p>
</w:ftr>
</file>

<file path=word/footer3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2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346</w:t>
                </w:r>
                <w:r>
                  <w:rPr/>
                  <w:fldChar w:fldCharType="end"/>
                </w:r>
              </w:p>
            </w:txbxContent>
          </v:textbox>
          <w10:wrap type="none"/>
        </v:shape>
      </w:pict>
    </w:r>
  </w:p>
</w:ftr>
</file>

<file path=word/footer3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2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347</w:t>
                </w:r>
                <w:r>
                  <w:rPr/>
                  <w:fldChar w:fldCharType="end"/>
                </w:r>
              </w:p>
            </w:txbxContent>
          </v:textbox>
          <w10:wrap type="none"/>
        </v:shape>
      </w:pict>
    </w:r>
  </w:p>
</w:ftr>
</file>

<file path=word/footer3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2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348</w:t>
                </w:r>
                <w:r>
                  <w:rPr/>
                  <w:fldChar w:fldCharType="end"/>
                </w:r>
              </w:p>
            </w:txbxContent>
          </v:textbox>
          <w10:wrap type="none"/>
        </v:shape>
      </w:pict>
    </w:r>
  </w:p>
</w:ftr>
</file>

<file path=word/footer3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2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349</w:t>
                </w:r>
                <w:r>
                  <w:rPr/>
                  <w:fldChar w:fldCharType="end"/>
                </w:r>
              </w:p>
            </w:txbxContent>
          </v:textbox>
          <w10:wrap type="none"/>
        </v:shape>
      </w:pict>
    </w:r>
  </w:p>
</w:ftr>
</file>

<file path=word/footer3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1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350</w:t>
                </w:r>
                <w:r>
                  <w:rPr/>
                  <w:fldChar w:fldCharType="end"/>
                </w:r>
              </w:p>
            </w:txbxContent>
          </v:textbox>
          <w10:wrap type="none"/>
        </v:shape>
      </w:pict>
    </w:r>
  </w:p>
</w:ftr>
</file>

<file path=word/footer3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1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351</w:t>
                </w:r>
                <w:r>
                  <w:rPr/>
                  <w:fldChar w:fldCharType="end"/>
                </w:r>
              </w:p>
            </w:txbxContent>
          </v:textbox>
          <w10:wrap type="none"/>
        </v:shape>
      </w:pict>
    </w:r>
  </w:p>
</w:ftr>
</file>

<file path=word/footer3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1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352</w:t>
                </w:r>
                <w:r>
                  <w:rPr/>
                  <w:fldChar w:fldCharType="end"/>
                </w:r>
              </w:p>
            </w:txbxContent>
          </v:textbox>
          <w10:wrap type="none"/>
        </v:shape>
      </w:pict>
    </w:r>
  </w:p>
</w:ftr>
</file>

<file path=word/footer3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1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353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4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39</w:t>
                </w:r>
                <w:r>
                  <w:rPr/>
                  <w:fldChar w:fldCharType="end"/>
                </w:r>
              </w:p>
            </w:txbxContent>
          </v:textbox>
          <w10:wrap type="none"/>
        </v:shape>
      </w:pict>
    </w:r>
  </w:p>
</w:ftr>
</file>

<file path=word/footer3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0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354</w:t>
                </w:r>
                <w:r>
                  <w:rPr/>
                  <w:fldChar w:fldCharType="end"/>
                </w:r>
              </w:p>
            </w:txbxContent>
          </v:textbox>
          <w10:wrap type="none"/>
        </v:shape>
      </w:pict>
    </w:r>
  </w:p>
</w:ftr>
</file>

<file path=word/footer3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0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355</w:t>
                </w:r>
                <w:r>
                  <w:rPr/>
                  <w:fldChar w:fldCharType="end"/>
                </w:r>
              </w:p>
            </w:txbxContent>
          </v:textbox>
          <w10:wrap type="none"/>
        </v:shape>
      </w:pict>
    </w:r>
  </w:p>
</w:ftr>
</file>

<file path=word/footer3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0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356</w:t>
                </w:r>
                <w:r>
                  <w:rPr/>
                  <w:fldChar w:fldCharType="end"/>
                </w:r>
              </w:p>
            </w:txbxContent>
          </v:textbox>
          <w10:wrap type="none"/>
        </v:shape>
      </w:pict>
    </w:r>
  </w:p>
</w:ftr>
</file>

<file path=word/footer3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6008"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357</w:t>
                </w:r>
                <w:r>
                  <w:rPr/>
                  <w:fldChar w:fldCharType="end"/>
                </w:r>
              </w:p>
            </w:txbxContent>
          </v:textbox>
          <w10:wrap type="none"/>
        </v:shape>
      </w:pict>
    </w:r>
  </w:p>
</w:ftr>
</file>

<file path=word/footer3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9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358</w:t>
                </w:r>
                <w:r>
                  <w:rPr/>
                  <w:fldChar w:fldCharType="end"/>
                </w:r>
              </w:p>
            </w:txbxContent>
          </v:textbox>
          <w10:wrap type="none"/>
        </v:shape>
      </w:pict>
    </w:r>
  </w:p>
</w:ftr>
</file>

<file path=word/footer3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9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359</w:t>
                </w:r>
                <w:r>
                  <w:rPr/>
                  <w:fldChar w:fldCharType="end"/>
                </w:r>
              </w:p>
            </w:txbxContent>
          </v:textbox>
          <w10:wrap type="none"/>
        </v:shape>
      </w:pict>
    </w:r>
  </w:p>
</w:ftr>
</file>

<file path=word/footer3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9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360</w:t>
                </w:r>
                <w:r>
                  <w:rPr/>
                  <w:fldChar w:fldCharType="end"/>
                </w:r>
              </w:p>
            </w:txbxContent>
          </v:textbox>
          <w10:wrap type="none"/>
        </v:shape>
      </w:pict>
    </w:r>
  </w:p>
</w:ftr>
</file>

<file path=word/footer3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9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361</w:t>
                </w:r>
                <w:r>
                  <w:rPr/>
                  <w:fldChar w:fldCharType="end"/>
                </w:r>
              </w:p>
            </w:txbxContent>
          </v:textbox>
          <w10:wrap type="none"/>
        </v:shape>
      </w:pict>
    </w:r>
  </w:p>
</w:ftr>
</file>

<file path=word/footer3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8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362</w:t>
                </w:r>
                <w:r>
                  <w:rPr/>
                  <w:fldChar w:fldCharType="end"/>
                </w:r>
              </w:p>
            </w:txbxContent>
          </v:textbox>
          <w10:wrap type="none"/>
        </v:shape>
      </w:pict>
    </w:r>
  </w:p>
</w:ftr>
</file>

<file path=word/footer3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8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363</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4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40</w:t>
                </w:r>
                <w:r>
                  <w:rPr/>
                  <w:fldChar w:fldCharType="end"/>
                </w:r>
              </w:p>
            </w:txbxContent>
          </v:textbox>
          <w10:wrap type="none"/>
        </v:shape>
      </w:pict>
    </w:r>
  </w:p>
</w:ftr>
</file>

<file path=word/footer3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8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364</w:t>
                </w:r>
                <w:r>
                  <w:rPr/>
                  <w:fldChar w:fldCharType="end"/>
                </w:r>
              </w:p>
            </w:txbxContent>
          </v:textbox>
          <w10:wrap type="none"/>
        </v:shape>
      </w:pict>
    </w:r>
  </w:p>
</w:ftr>
</file>

<file path=word/footer3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8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365</w:t>
                </w:r>
                <w:r>
                  <w:rPr/>
                  <w:fldChar w:fldCharType="end"/>
                </w:r>
              </w:p>
            </w:txbxContent>
          </v:textbox>
          <w10:wrap type="none"/>
        </v:shape>
      </w:pict>
    </w:r>
  </w:p>
</w:ftr>
</file>

<file path=word/footer3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7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366</w:t>
                </w:r>
                <w:r>
                  <w:rPr/>
                  <w:fldChar w:fldCharType="end"/>
                </w:r>
              </w:p>
            </w:txbxContent>
          </v:textbox>
          <w10:wrap type="none"/>
        </v:shape>
      </w:pict>
    </w:r>
  </w:p>
</w:ftr>
</file>

<file path=word/footer3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768"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367</w:t>
                </w:r>
                <w:r>
                  <w:rPr/>
                  <w:fldChar w:fldCharType="end"/>
                </w:r>
              </w:p>
            </w:txbxContent>
          </v:textbox>
          <w10:wrap type="none"/>
        </v:shape>
      </w:pict>
    </w:r>
  </w:p>
</w:ftr>
</file>

<file path=word/footer3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7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368</w:t>
                </w:r>
                <w:r>
                  <w:rPr/>
                  <w:fldChar w:fldCharType="end"/>
                </w:r>
              </w:p>
            </w:txbxContent>
          </v:textbox>
          <w10:wrap type="none"/>
        </v:shape>
      </w:pict>
    </w:r>
  </w:p>
</w:ftr>
</file>

<file path=word/footer3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7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369</w:t>
                </w:r>
                <w:r>
                  <w:rPr/>
                  <w:fldChar w:fldCharType="end"/>
                </w:r>
              </w:p>
            </w:txbxContent>
          </v:textbox>
          <w10:wrap type="none"/>
        </v:shape>
      </w:pict>
    </w:r>
  </w:p>
</w:ftr>
</file>

<file path=word/footer3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6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370</w:t>
                </w:r>
                <w:r>
                  <w:rPr/>
                  <w:fldChar w:fldCharType="end"/>
                </w:r>
              </w:p>
            </w:txbxContent>
          </v:textbox>
          <w10:wrap type="none"/>
        </v:shape>
      </w:pict>
    </w:r>
  </w:p>
</w:ftr>
</file>

<file path=word/footer3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6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371</w:t>
                </w:r>
                <w:r>
                  <w:rPr/>
                  <w:fldChar w:fldCharType="end"/>
                </w:r>
              </w:p>
            </w:txbxContent>
          </v:textbox>
          <w10:wrap type="none"/>
        </v:shape>
      </w:pict>
    </w:r>
  </w:p>
</w:ftr>
</file>

<file path=word/footer3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6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372</w:t>
                </w:r>
                <w:r>
                  <w:rPr/>
                  <w:fldChar w:fldCharType="end"/>
                </w:r>
              </w:p>
            </w:txbxContent>
          </v:textbox>
          <w10:wrap type="none"/>
        </v:shape>
      </w:pict>
    </w:r>
  </w:p>
</w:ftr>
</file>

<file path=word/footer3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624"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373</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4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41</w:t>
                </w:r>
                <w:r>
                  <w:rPr/>
                  <w:fldChar w:fldCharType="end"/>
                </w:r>
              </w:p>
            </w:txbxContent>
          </v:textbox>
          <w10:wrap type="none"/>
        </v:shape>
      </w:pict>
    </w:r>
  </w:p>
</w:ftr>
</file>

<file path=word/footer3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6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374</w:t>
                </w:r>
                <w:r>
                  <w:rPr/>
                  <w:fldChar w:fldCharType="end"/>
                </w:r>
              </w:p>
            </w:txbxContent>
          </v:textbox>
          <w10:wrap type="none"/>
        </v:shape>
      </w:pict>
    </w:r>
  </w:p>
</w:ftr>
</file>

<file path=word/footer3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576"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375</w:t>
                </w:r>
                <w:r>
                  <w:rPr/>
                  <w:fldChar w:fldCharType="end"/>
                </w:r>
              </w:p>
            </w:txbxContent>
          </v:textbox>
          <w10:wrap type="none"/>
        </v:shape>
      </w:pict>
    </w:r>
  </w:p>
</w:ftr>
</file>

<file path=word/footer3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552"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376</w:t>
                </w:r>
                <w:r>
                  <w:rPr/>
                  <w:fldChar w:fldCharType="end"/>
                </w:r>
              </w:p>
            </w:txbxContent>
          </v:textbox>
          <w10:wrap type="none"/>
        </v:shape>
      </w:pict>
    </w:r>
  </w:p>
</w:ftr>
</file>

<file path=word/footer3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528"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377</w:t>
                </w:r>
                <w:r>
                  <w:rPr/>
                  <w:fldChar w:fldCharType="end"/>
                </w:r>
              </w:p>
            </w:txbxContent>
          </v:textbox>
          <w10:wrap type="none"/>
        </v:shape>
      </w:pict>
    </w:r>
  </w:p>
</w:ftr>
</file>

<file path=word/footer3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5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378</w:t>
                </w:r>
                <w:r>
                  <w:rPr/>
                  <w:fldChar w:fldCharType="end"/>
                </w:r>
              </w:p>
            </w:txbxContent>
          </v:textbox>
          <w10:wrap type="none"/>
        </v:shape>
      </w:pict>
    </w:r>
  </w:p>
</w:ftr>
</file>

<file path=word/footer3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480"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379</w:t>
                </w:r>
                <w:r>
                  <w:rPr/>
                  <w:fldChar w:fldCharType="end"/>
                </w:r>
              </w:p>
            </w:txbxContent>
          </v:textbox>
          <w10:wrap type="none"/>
        </v:shape>
      </w:pict>
    </w:r>
  </w:p>
</w:ftr>
</file>

<file path=word/footer3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4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380</w:t>
                </w:r>
                <w:r>
                  <w:rPr/>
                  <w:fldChar w:fldCharType="end"/>
                </w:r>
              </w:p>
            </w:txbxContent>
          </v:textbox>
          <w10:wrap type="none"/>
        </v:shape>
      </w:pict>
    </w:r>
  </w:p>
</w:ftr>
</file>

<file path=word/footer3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4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381</w:t>
                </w:r>
                <w:r>
                  <w:rPr/>
                  <w:fldChar w:fldCharType="end"/>
                </w:r>
              </w:p>
            </w:txbxContent>
          </v:textbox>
          <w10:wrap type="none"/>
        </v:shape>
      </w:pict>
    </w:r>
  </w:p>
</w:ftr>
</file>

<file path=word/footer3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4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382</w:t>
                </w:r>
                <w:r>
                  <w:rPr/>
                  <w:fldChar w:fldCharType="end"/>
                </w:r>
              </w:p>
            </w:txbxContent>
          </v:textbox>
          <w10:wrap type="none"/>
        </v:shape>
      </w:pict>
    </w:r>
  </w:p>
</w:ftr>
</file>

<file path=word/footer3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3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383</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4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42</w:t>
                </w:r>
                <w:r>
                  <w:rPr/>
                  <w:fldChar w:fldCharType="end"/>
                </w:r>
              </w:p>
            </w:txbxContent>
          </v:textbox>
          <w10:wrap type="none"/>
        </v:shape>
      </w:pict>
    </w:r>
  </w:p>
</w:ftr>
</file>

<file path=word/footer3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3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384</w:t>
                </w:r>
                <w:r>
                  <w:rPr/>
                  <w:fldChar w:fldCharType="end"/>
                </w:r>
              </w:p>
            </w:txbxContent>
          </v:textbox>
          <w10:wrap type="none"/>
        </v:shape>
      </w:pict>
    </w:r>
  </w:p>
</w:ftr>
</file>

<file path=word/footer3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3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385</w:t>
                </w:r>
                <w:r>
                  <w:rPr/>
                  <w:fldChar w:fldCharType="end"/>
                </w:r>
              </w:p>
            </w:txbxContent>
          </v:textbox>
          <w10:wrap type="none"/>
        </v:shape>
      </w:pict>
    </w:r>
  </w:p>
</w:ftr>
</file>

<file path=word/footer3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3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386</w:t>
                </w:r>
                <w:r>
                  <w:rPr/>
                  <w:fldChar w:fldCharType="end"/>
                </w:r>
              </w:p>
            </w:txbxContent>
          </v:textbox>
          <w10:wrap type="none"/>
        </v:shape>
      </w:pict>
    </w:r>
  </w:p>
</w:ftr>
</file>

<file path=word/footer3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2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387</w:t>
                </w:r>
                <w:r>
                  <w:rPr/>
                  <w:fldChar w:fldCharType="end"/>
                </w:r>
              </w:p>
            </w:txbxContent>
          </v:textbox>
          <w10:wrap type="none"/>
        </v:shape>
      </w:pict>
    </w:r>
  </w:p>
</w:ftr>
</file>

<file path=word/footer3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2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388</w:t>
                </w:r>
                <w:r>
                  <w:rPr/>
                  <w:fldChar w:fldCharType="end"/>
                </w:r>
              </w:p>
            </w:txbxContent>
          </v:textbox>
          <w10:wrap type="none"/>
        </v:shape>
      </w:pict>
    </w:r>
  </w:p>
</w:ftr>
</file>

<file path=word/footer3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2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389</w:t>
                </w:r>
                <w:r>
                  <w:rPr/>
                  <w:fldChar w:fldCharType="end"/>
                </w:r>
              </w:p>
            </w:txbxContent>
          </v:textbox>
          <w10:wrap type="none"/>
        </v:shape>
      </w:pict>
    </w:r>
  </w:p>
</w:ftr>
</file>

<file path=word/footer3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2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390</w:t>
                </w:r>
                <w:r>
                  <w:rPr/>
                  <w:fldChar w:fldCharType="end"/>
                </w:r>
              </w:p>
            </w:txbxContent>
          </v:textbox>
          <w10:wrap type="none"/>
        </v:shape>
      </w:pict>
    </w:r>
  </w:p>
</w:ftr>
</file>

<file path=word/footer3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1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391</w:t>
                </w:r>
                <w:r>
                  <w:rPr/>
                  <w:fldChar w:fldCharType="end"/>
                </w:r>
              </w:p>
            </w:txbxContent>
          </v:textbox>
          <w10:wrap type="none"/>
        </v:shape>
      </w:pict>
    </w:r>
  </w:p>
</w:ftr>
</file>

<file path=word/footer3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1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392</w:t>
                </w:r>
                <w:r>
                  <w:rPr/>
                  <w:fldChar w:fldCharType="end"/>
                </w:r>
              </w:p>
            </w:txbxContent>
          </v:textbox>
          <w10:wrap type="none"/>
        </v:shape>
      </w:pict>
    </w:r>
  </w:p>
</w:ftr>
</file>

<file path=word/footer3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1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393</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3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43</w:t>
                </w:r>
                <w:r>
                  <w:rPr/>
                  <w:fldChar w:fldCharType="end"/>
                </w:r>
              </w:p>
            </w:txbxContent>
          </v:textbox>
          <w10:wrap type="none"/>
        </v:shape>
      </w:pict>
    </w:r>
  </w:p>
</w:ftr>
</file>

<file path=word/footer3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1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394</w:t>
                </w:r>
                <w:r>
                  <w:rPr/>
                  <w:fldChar w:fldCharType="end"/>
                </w:r>
              </w:p>
            </w:txbxContent>
          </v:textbox>
          <w10:wrap type="none"/>
        </v:shape>
      </w:pict>
    </w:r>
  </w:p>
</w:ftr>
</file>

<file path=word/footer3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0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395</w:t>
                </w:r>
                <w:r>
                  <w:rPr/>
                  <w:fldChar w:fldCharType="end"/>
                </w:r>
              </w:p>
            </w:txbxContent>
          </v:textbox>
          <w10:wrap type="none"/>
        </v:shape>
      </w:pict>
    </w:r>
  </w:p>
</w:ftr>
</file>

<file path=word/footer3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0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396</w:t>
                </w:r>
                <w:r>
                  <w:rPr/>
                  <w:fldChar w:fldCharType="end"/>
                </w:r>
              </w:p>
            </w:txbxContent>
          </v:textbox>
          <w10:wrap type="none"/>
        </v:shape>
      </w:pict>
    </w:r>
  </w:p>
</w:ftr>
</file>

<file path=word/footer3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048"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397</w:t>
                </w:r>
                <w:r>
                  <w:rPr/>
                  <w:fldChar w:fldCharType="end"/>
                </w:r>
              </w:p>
            </w:txbxContent>
          </v:textbox>
          <w10:wrap type="none"/>
        </v:shape>
      </w:pict>
    </w:r>
  </w:p>
</w:ftr>
</file>

<file path=word/footer3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0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398</w:t>
                </w:r>
                <w:r>
                  <w:rPr/>
                  <w:fldChar w:fldCharType="end"/>
                </w:r>
              </w:p>
            </w:txbxContent>
          </v:textbox>
          <w10:wrap type="none"/>
        </v:shape>
      </w:pict>
    </w:r>
  </w:p>
</w:ftr>
</file>

<file path=word/footer3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50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399</w:t>
                </w:r>
                <w:r>
                  <w:rPr/>
                  <w:fldChar w:fldCharType="end"/>
                </w:r>
              </w:p>
            </w:txbxContent>
          </v:textbox>
          <w10:wrap type="none"/>
        </v:shape>
      </w:pict>
    </w:r>
  </w:p>
</w:ftr>
</file>

<file path=word/footer3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935593pt;margin-top:563.054871pt;width:15.55pt;height:10.9pt;mso-position-horizontal-relative:page;mso-position-vertical-relative:page;z-index:-474976" type="#_x0000_t202" filled="false" stroked="false">
          <v:textbox inset="0,0,0,0">
            <w:txbxContent>
              <w:p>
                <w:pPr>
                  <w:spacing w:before="4"/>
                  <w:ind w:left="20" w:right="0" w:firstLine="0"/>
                  <w:jc w:val="left"/>
                  <w:rPr>
                    <w:sz w:val="17"/>
                  </w:rPr>
                </w:pPr>
                <w:r>
                  <w:rPr>
                    <w:color w:val="231F20"/>
                    <w:w w:val="105"/>
                    <w:sz w:val="17"/>
                  </w:rPr>
                  <w:t>401</w:t>
                </w:r>
              </w:p>
            </w:txbxContent>
          </v:textbox>
          <w10:wrap type="none"/>
        </v:shape>
      </w:pict>
    </w:r>
  </w:p>
</w:ftr>
</file>

<file path=word/footer3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9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402</w:t>
                </w:r>
                <w:r>
                  <w:rPr/>
                  <w:fldChar w:fldCharType="end"/>
                </w:r>
              </w:p>
            </w:txbxContent>
          </v:textbox>
          <w10:wrap type="none"/>
        </v:shape>
      </w:pict>
    </w:r>
  </w:p>
</w:ftr>
</file>

<file path=word/footer3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9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403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3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44</w:t>
                </w:r>
                <w:r>
                  <w:rPr/>
                  <w:fldChar w:fldCharType="end"/>
                </w:r>
              </w:p>
            </w:txbxContent>
          </v:textbox>
          <w10:wrap type="none"/>
        </v:shape>
      </w:pict>
    </w:r>
  </w:p>
</w:ftr>
</file>

<file path=word/footer4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9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404</w:t>
                </w:r>
                <w:r>
                  <w:rPr/>
                  <w:fldChar w:fldCharType="end"/>
                </w:r>
              </w:p>
            </w:txbxContent>
          </v:textbox>
          <w10:wrap type="none"/>
        </v:shape>
      </w:pict>
    </w:r>
  </w:p>
</w:ftr>
</file>

<file path=word/footer4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8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405</w:t>
                </w:r>
                <w:r>
                  <w:rPr/>
                  <w:fldChar w:fldCharType="end"/>
                </w:r>
              </w:p>
            </w:txbxContent>
          </v:textbox>
          <w10:wrap type="none"/>
        </v:shape>
      </w:pict>
    </w:r>
  </w:p>
</w:ftr>
</file>

<file path=word/footer4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8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406</w:t>
                </w:r>
                <w:r>
                  <w:rPr/>
                  <w:fldChar w:fldCharType="end"/>
                </w:r>
              </w:p>
            </w:txbxContent>
          </v:textbox>
          <w10:wrap type="none"/>
        </v:shape>
      </w:pict>
    </w:r>
  </w:p>
</w:ftr>
</file>

<file path=word/footer4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8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407</w:t>
                </w:r>
                <w:r>
                  <w:rPr/>
                  <w:fldChar w:fldCharType="end"/>
                </w:r>
              </w:p>
            </w:txbxContent>
          </v:textbox>
          <w10:wrap type="none"/>
        </v:shape>
      </w:pict>
    </w:r>
  </w:p>
</w:ftr>
</file>

<file path=word/footer4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8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408</w:t>
                </w:r>
                <w:r>
                  <w:rPr/>
                  <w:fldChar w:fldCharType="end"/>
                </w:r>
              </w:p>
            </w:txbxContent>
          </v:textbox>
          <w10:wrap type="none"/>
        </v:shape>
      </w:pict>
    </w:r>
  </w:p>
</w:ftr>
</file>

<file path=word/footer4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7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409</w:t>
                </w:r>
                <w:r>
                  <w:rPr/>
                  <w:fldChar w:fldCharType="end"/>
                </w:r>
              </w:p>
            </w:txbxContent>
          </v:textbox>
          <w10:wrap type="none"/>
        </v:shape>
      </w:pict>
    </w:r>
  </w:p>
</w:ftr>
</file>

<file path=word/footer4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7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410</w:t>
                </w:r>
                <w:r>
                  <w:rPr/>
                  <w:fldChar w:fldCharType="end"/>
                </w:r>
              </w:p>
            </w:txbxContent>
          </v:textbox>
          <w10:wrap type="none"/>
        </v:shape>
      </w:pict>
    </w:r>
  </w:p>
</w:ftr>
</file>

<file path=word/footer4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7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411</w:t>
                </w:r>
                <w:r>
                  <w:rPr/>
                  <w:fldChar w:fldCharType="end"/>
                </w:r>
              </w:p>
            </w:txbxContent>
          </v:textbox>
          <w10:wrap type="none"/>
        </v:shape>
      </w:pict>
    </w:r>
  </w:p>
</w:ftr>
</file>

<file path=word/footer4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7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412</w:t>
                </w:r>
                <w:r>
                  <w:rPr/>
                  <w:fldChar w:fldCharType="end"/>
                </w:r>
              </w:p>
            </w:txbxContent>
          </v:textbox>
          <w10:wrap type="none"/>
        </v:shape>
      </w:pict>
    </w:r>
  </w:p>
</w:ftr>
</file>

<file path=word/footer4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6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413</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3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45</w:t>
                </w:r>
                <w:r>
                  <w:rPr/>
                  <w:fldChar w:fldCharType="end"/>
                </w:r>
              </w:p>
            </w:txbxContent>
          </v:textbox>
          <w10:wrap type="none"/>
        </v:shape>
      </w:pict>
    </w:r>
  </w:p>
</w:ftr>
</file>

<file path=word/footer4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6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414</w:t>
                </w:r>
                <w:r>
                  <w:rPr/>
                  <w:fldChar w:fldCharType="end"/>
                </w:r>
              </w:p>
            </w:txbxContent>
          </v:textbox>
          <w10:wrap type="none"/>
        </v:shape>
      </w:pict>
    </w:r>
  </w:p>
</w:ftr>
</file>

<file path=word/footer4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6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415</w:t>
                </w:r>
                <w:r>
                  <w:rPr/>
                  <w:fldChar w:fldCharType="end"/>
                </w:r>
              </w:p>
            </w:txbxContent>
          </v:textbox>
          <w10:wrap type="none"/>
        </v:shape>
      </w:pict>
    </w:r>
  </w:p>
</w:ftr>
</file>

<file path=word/footer4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6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416</w:t>
                </w:r>
                <w:r>
                  <w:rPr/>
                  <w:fldChar w:fldCharType="end"/>
                </w:r>
              </w:p>
            </w:txbxContent>
          </v:textbox>
          <w10:wrap type="none"/>
        </v:shape>
      </w:pict>
    </w:r>
  </w:p>
</w:ftr>
</file>

<file path=word/footer4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5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417</w:t>
                </w:r>
                <w:r>
                  <w:rPr/>
                  <w:fldChar w:fldCharType="end"/>
                </w:r>
              </w:p>
            </w:txbxContent>
          </v:textbox>
          <w10:wrap type="none"/>
        </v:shape>
      </w:pict>
    </w:r>
  </w:p>
</w:ftr>
</file>

<file path=word/footer4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5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418</w:t>
                </w:r>
                <w:r>
                  <w:rPr/>
                  <w:fldChar w:fldCharType="end"/>
                </w:r>
              </w:p>
            </w:txbxContent>
          </v:textbox>
          <w10:wrap type="none"/>
        </v:shape>
      </w:pict>
    </w:r>
  </w:p>
</w:ftr>
</file>

<file path=word/footer4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5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419</w:t>
                </w:r>
                <w:r>
                  <w:rPr/>
                  <w:fldChar w:fldCharType="end"/>
                </w:r>
              </w:p>
            </w:txbxContent>
          </v:textbox>
          <w10:wrap type="none"/>
        </v:shape>
      </w:pict>
    </w:r>
  </w:p>
</w:ftr>
</file>

<file path=word/footer4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5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420</w:t>
                </w:r>
                <w:r>
                  <w:rPr/>
                  <w:fldChar w:fldCharType="end"/>
                </w:r>
              </w:p>
            </w:txbxContent>
          </v:textbox>
          <w10:wrap type="none"/>
        </v:shape>
      </w:pict>
    </w:r>
  </w:p>
</w:ftr>
</file>

<file path=word/footer4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4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421</w:t>
                </w:r>
                <w:r>
                  <w:rPr/>
                  <w:fldChar w:fldCharType="end"/>
                </w:r>
              </w:p>
            </w:txbxContent>
          </v:textbox>
          <w10:wrap type="none"/>
        </v:shape>
      </w:pict>
    </w:r>
  </w:p>
</w:ftr>
</file>

<file path=word/footer4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4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422</w:t>
                </w:r>
                <w:r>
                  <w:rPr/>
                  <w:fldChar w:fldCharType="end"/>
                </w:r>
              </w:p>
            </w:txbxContent>
          </v:textbox>
          <w10:wrap type="none"/>
        </v:shape>
      </w:pict>
    </w:r>
  </w:p>
</w:ftr>
</file>

<file path=word/footer4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4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423</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3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46</w:t>
                </w:r>
                <w:r>
                  <w:rPr/>
                  <w:fldChar w:fldCharType="end"/>
                </w:r>
              </w:p>
            </w:txbxContent>
          </v:textbox>
          <w10:wrap type="none"/>
        </v:shape>
      </w:pict>
    </w:r>
  </w:p>
</w:ftr>
</file>

<file path=word/footer4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4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424</w:t>
                </w:r>
                <w:r>
                  <w:rPr/>
                  <w:fldChar w:fldCharType="end"/>
                </w:r>
              </w:p>
            </w:txbxContent>
          </v:textbox>
          <w10:wrap type="none"/>
        </v:shape>
      </w:pict>
    </w:r>
  </w:p>
</w:ftr>
</file>

<file path=word/footer4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4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425</w:t>
                </w:r>
                <w:r>
                  <w:rPr/>
                  <w:fldChar w:fldCharType="end"/>
                </w:r>
              </w:p>
            </w:txbxContent>
          </v:textbox>
          <w10:wrap type="none"/>
        </v:shape>
      </w:pict>
    </w:r>
  </w:p>
</w:ftr>
</file>

<file path=word/footer4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3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426</w:t>
                </w:r>
                <w:r>
                  <w:rPr/>
                  <w:fldChar w:fldCharType="end"/>
                </w:r>
              </w:p>
            </w:txbxContent>
          </v:textbox>
          <w10:wrap type="none"/>
        </v:shape>
      </w:pict>
    </w:r>
  </w:p>
</w:ftr>
</file>

<file path=word/footer4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3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427</w:t>
                </w:r>
                <w:r>
                  <w:rPr/>
                  <w:fldChar w:fldCharType="end"/>
                </w:r>
              </w:p>
            </w:txbxContent>
          </v:textbox>
          <w10:wrap type="none"/>
        </v:shape>
      </w:pict>
    </w:r>
  </w:p>
</w:ftr>
</file>

<file path=word/footer4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3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428</w:t>
                </w:r>
                <w:r>
                  <w:rPr/>
                  <w:fldChar w:fldCharType="end"/>
                </w:r>
              </w:p>
            </w:txbxContent>
          </v:textbox>
          <w10:wrap type="none"/>
        </v:shape>
      </w:pict>
    </w:r>
  </w:p>
</w:ftr>
</file>

<file path=word/footer4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3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429</w:t>
                </w:r>
                <w:r>
                  <w:rPr/>
                  <w:fldChar w:fldCharType="end"/>
                </w:r>
              </w:p>
            </w:txbxContent>
          </v:textbox>
          <w10:wrap type="none"/>
        </v:shape>
      </w:pict>
    </w:r>
  </w:p>
</w:ftr>
</file>

<file path=word/footer4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2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430</w:t>
                </w:r>
                <w:r>
                  <w:rPr/>
                  <w:fldChar w:fldCharType="end"/>
                </w:r>
              </w:p>
            </w:txbxContent>
          </v:textbox>
          <w10:wrap type="none"/>
        </v:shape>
      </w:pict>
    </w:r>
  </w:p>
</w:ftr>
</file>

<file path=word/footer4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2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431</w:t>
                </w:r>
                <w:r>
                  <w:rPr/>
                  <w:fldChar w:fldCharType="end"/>
                </w:r>
              </w:p>
            </w:txbxContent>
          </v:textbox>
          <w10:wrap type="none"/>
        </v:shape>
      </w:pict>
    </w:r>
  </w:p>
</w:ftr>
</file>

<file path=word/footer4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2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432</w:t>
                </w:r>
                <w:r>
                  <w:rPr/>
                  <w:fldChar w:fldCharType="end"/>
                </w:r>
              </w:p>
            </w:txbxContent>
          </v:textbox>
          <w10:wrap type="none"/>
        </v:shape>
      </w:pict>
    </w:r>
  </w:p>
</w:ftr>
</file>

<file path=word/footer4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2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433</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2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47</w:t>
                </w:r>
                <w:r>
                  <w:rPr/>
                  <w:fldChar w:fldCharType="end"/>
                </w:r>
              </w:p>
            </w:txbxContent>
          </v:textbox>
          <w10:wrap type="none"/>
        </v:shape>
      </w:pict>
    </w:r>
  </w:p>
</w:ftr>
</file>

<file path=word/footer4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1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435</w:t>
                </w:r>
                <w:r>
                  <w:rPr/>
                  <w:fldChar w:fldCharType="end"/>
                </w:r>
              </w:p>
            </w:txbxContent>
          </v:textbox>
          <w10:wrap type="none"/>
        </v:shape>
      </w:pict>
    </w:r>
  </w:p>
</w:ftr>
</file>

<file path=word/footer4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1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436</w:t>
                </w:r>
                <w:r>
                  <w:rPr/>
                  <w:fldChar w:fldCharType="end"/>
                </w:r>
              </w:p>
            </w:txbxContent>
          </v:textbox>
          <w10:wrap type="none"/>
        </v:shape>
      </w:pict>
    </w:r>
  </w:p>
</w:ftr>
</file>

<file path=word/footer4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1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437</w:t>
                </w:r>
                <w:r>
                  <w:rPr/>
                  <w:fldChar w:fldCharType="end"/>
                </w:r>
              </w:p>
            </w:txbxContent>
          </v:textbox>
          <w10:wrap type="none"/>
        </v:shape>
      </w:pict>
    </w:r>
  </w:p>
</w:ftr>
</file>

<file path=word/footer4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1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438</w:t>
                </w:r>
                <w:r>
                  <w:rPr/>
                  <w:fldChar w:fldCharType="end"/>
                </w:r>
              </w:p>
            </w:txbxContent>
          </v:textbox>
          <w10:wrap type="none"/>
        </v:shape>
      </w:pict>
    </w:r>
  </w:p>
</w:ftr>
</file>

<file path=word/footer4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0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439</w:t>
                </w:r>
                <w:r>
                  <w:rPr/>
                  <w:fldChar w:fldCharType="end"/>
                </w:r>
              </w:p>
            </w:txbxContent>
          </v:textbox>
          <w10:wrap type="none"/>
        </v:shape>
      </w:pict>
    </w:r>
  </w:p>
</w:ftr>
</file>

<file path=word/footer4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0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440</w:t>
                </w:r>
                <w:r>
                  <w:rPr/>
                  <w:fldChar w:fldCharType="end"/>
                </w:r>
              </w:p>
            </w:txbxContent>
          </v:textbox>
          <w10:wrap type="none"/>
        </v:shape>
      </w:pict>
    </w:r>
  </w:p>
</w:ftr>
</file>

<file path=word/footer4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0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441</w:t>
                </w:r>
                <w:r>
                  <w:rPr/>
                  <w:fldChar w:fldCharType="end"/>
                </w:r>
              </w:p>
            </w:txbxContent>
          </v:textbox>
          <w10:wrap type="none"/>
        </v:shape>
      </w:pict>
    </w:r>
  </w:p>
</w:ftr>
</file>

<file path=word/footer4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40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442</w:t>
                </w:r>
                <w:r>
                  <w:rPr/>
                  <w:fldChar w:fldCharType="end"/>
                </w:r>
              </w:p>
            </w:txbxContent>
          </v:textbox>
          <w10:wrap type="none"/>
        </v:shape>
      </w:pict>
    </w:r>
  </w:p>
</w:ftr>
</file>

<file path=word/footer4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9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443</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2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48</w:t>
                </w:r>
                <w:r>
                  <w:rPr/>
                  <w:fldChar w:fldCharType="end"/>
                </w:r>
              </w:p>
            </w:txbxContent>
          </v:textbox>
          <w10:wrap type="none"/>
        </v:shape>
      </w:pict>
    </w:r>
  </w:p>
</w:ftr>
</file>

<file path=word/footer4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9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444</w:t>
                </w:r>
                <w:r>
                  <w:rPr/>
                  <w:fldChar w:fldCharType="end"/>
                </w:r>
              </w:p>
            </w:txbxContent>
          </v:textbox>
          <w10:wrap type="none"/>
        </v:shape>
      </w:pict>
    </w:r>
  </w:p>
</w:ftr>
</file>

<file path=word/footer4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9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445</w:t>
                </w:r>
                <w:r>
                  <w:rPr/>
                  <w:fldChar w:fldCharType="end"/>
                </w:r>
              </w:p>
            </w:txbxContent>
          </v:textbox>
          <w10:wrap type="none"/>
        </v:shape>
      </w:pict>
    </w:r>
  </w:p>
</w:ftr>
</file>

<file path=word/footer4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9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446</w:t>
                </w:r>
                <w:r>
                  <w:rPr/>
                  <w:fldChar w:fldCharType="end"/>
                </w:r>
              </w:p>
            </w:txbxContent>
          </v:textbox>
          <w10:wrap type="none"/>
        </v:shape>
      </w:pict>
    </w:r>
  </w:p>
</w:ftr>
</file>

<file path=word/footer4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8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447</w:t>
                </w:r>
                <w:r>
                  <w:rPr/>
                  <w:fldChar w:fldCharType="end"/>
                </w:r>
              </w:p>
            </w:txbxContent>
          </v:textbox>
          <w10:wrap type="none"/>
        </v:shape>
      </w:pict>
    </w:r>
  </w:p>
</w:ftr>
</file>

<file path=word/footer4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8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448</w:t>
                </w:r>
                <w:r>
                  <w:rPr/>
                  <w:fldChar w:fldCharType="end"/>
                </w:r>
              </w:p>
            </w:txbxContent>
          </v:textbox>
          <w10:wrap type="none"/>
        </v:shape>
      </w:pict>
    </w:r>
  </w:p>
</w:ftr>
</file>

<file path=word/footer4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8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449</w:t>
                </w:r>
                <w:r>
                  <w:rPr/>
                  <w:fldChar w:fldCharType="end"/>
                </w:r>
              </w:p>
            </w:txbxContent>
          </v:textbox>
          <w10:wrap type="none"/>
        </v:shape>
      </w:pict>
    </w:r>
  </w:p>
</w:ftr>
</file>

<file path=word/footer4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8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450</w:t>
                </w:r>
                <w:r>
                  <w:rPr/>
                  <w:fldChar w:fldCharType="end"/>
                </w:r>
              </w:p>
            </w:txbxContent>
          </v:textbox>
          <w10:wrap type="none"/>
        </v:shape>
      </w:pict>
    </w:r>
  </w:p>
</w:ftr>
</file>

<file path=word/footer4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8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451</w:t>
                </w:r>
                <w:r>
                  <w:rPr/>
                  <w:fldChar w:fldCharType="end"/>
                </w:r>
              </w:p>
            </w:txbxContent>
          </v:textbox>
          <w10:wrap type="none"/>
        </v:shape>
      </w:pict>
    </w:r>
  </w:p>
</w:ftr>
</file>

<file path=word/footer4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7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452</w:t>
                </w:r>
                <w:r>
                  <w:rPr/>
                  <w:fldChar w:fldCharType="end"/>
                </w:r>
              </w:p>
            </w:txbxContent>
          </v:textbox>
          <w10:wrap type="none"/>
        </v:shape>
      </w:pict>
    </w:r>
  </w:p>
</w:ftr>
</file>

<file path=word/footer4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7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453</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23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49</w:t>
                </w:r>
                <w:r>
                  <w:rPr/>
                  <w:fldChar w:fldCharType="end"/>
                </w:r>
              </w:p>
            </w:txbxContent>
          </v:textbox>
          <w10:wrap type="none"/>
        </v:shape>
      </w:pict>
    </w:r>
  </w:p>
</w:ftr>
</file>

<file path=word/footer4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737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454</w:t>
                </w:r>
                <w:r>
                  <w:rPr/>
                  <w:fldChar w:fldCharType="end"/>
                </w:r>
              </w:p>
            </w:txbxContent>
          </v:textbox>
          <w10:wrap type="none"/>
        </v:shape>
      </w:pict>
    </w:r>
  </w:p>
</w:ftr>
</file>

<file path=word/footer4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2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50</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1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51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1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52</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13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53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1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54</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0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55</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0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56</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040"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57</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30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58</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9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59</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9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60</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9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61</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9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62</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8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63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8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65</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8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66</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824"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67</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8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68</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7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69</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7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70</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7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71</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70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72</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680"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73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130402pt;margin-top:563.054871pt;width:13.05pt;height:10.9pt;mso-position-horizontal-relative:page;mso-position-vertical-relative:page;z-index:-4841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11</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2.95pt;height:10.9pt;mso-position-horizontal-relative:page;mso-position-vertical-relative:page;z-index:-4826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74</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632"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75</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608"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76</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584"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77</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5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78</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536"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79</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51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80</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48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81</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46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82</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44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83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970596pt;margin-top:563.054871pt;width:13.05pt;height:10.9pt;mso-position-horizontal-relative:page;mso-position-vertical-relative:page;z-index:-4841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12</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41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84</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39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85</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36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86</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34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87</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32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88</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2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89</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27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90</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24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91</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22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92</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20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93</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130402pt;margin-top:563.054871pt;width:13.05pt;height:10.9pt;mso-position-horizontal-relative:page;mso-position-vertical-relative:page;z-index:-48409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13</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17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94</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152"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95</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12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96</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104" type="#_x0000_t202" filled="false" stroked="false">
          <v:textbox inset="0,0,0,0">
            <w:txbxContent>
              <w:p>
                <w:pPr>
                  <w:spacing w:before="4"/>
                  <w:ind w:left="40" w:right="0" w:firstLine="0"/>
                  <w:jc w:val="left"/>
                  <w:rPr>
                    <w:i/>
                    <w:sz w:val="17"/>
                  </w:rPr>
                </w:pPr>
                <w:r>
                  <w:rPr/>
                  <w:fldChar w:fldCharType="begin"/>
                </w:r>
                <w:r>
                  <w:rPr>
                    <w:i/>
                    <w:color w:val="231F20"/>
                    <w:w w:val="105"/>
                    <w:sz w:val="17"/>
                  </w:rPr>
                  <w:instrText> PAGE </w:instrText>
                </w:r>
                <w:r>
                  <w:rPr/>
                  <w:fldChar w:fldCharType="separate"/>
                </w:r>
                <w:r>
                  <w:rPr/>
                  <w:t>97</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08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98</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185593pt;margin-top:563.054871pt;width:13.05pt;height:10.9pt;mso-position-horizontal-relative:page;mso-position-vertical-relative:page;z-index:-482056"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99</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935593pt;margin-top:563.054871pt;width:15.55pt;height:10.9pt;mso-position-horizontal-relative:page;mso-position-vertical-relative:page;z-index:-482032" type="#_x0000_t202" filled="false" stroked="false">
          <v:textbox inset="0,0,0,0">
            <w:txbxContent>
              <w:p>
                <w:pPr>
                  <w:spacing w:before="4"/>
                  <w:ind w:left="20" w:right="0" w:firstLine="0"/>
                  <w:jc w:val="left"/>
                  <w:rPr>
                    <w:sz w:val="17"/>
                  </w:rPr>
                </w:pPr>
                <w:r>
                  <w:rPr>
                    <w:color w:val="231F20"/>
                    <w:w w:val="105"/>
                    <w:sz w:val="17"/>
                  </w:rPr>
                  <w:t>100</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2008"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101</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984"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102</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935593pt;margin-top:563.054871pt;width:17.55pt;height:10.9pt;mso-position-horizontal-relative:page;mso-position-vertical-relative:page;z-index:-481960" type="#_x0000_t202" filled="false" stroked="false">
          <v:textbox inset="0,0,0,0">
            <w:txbxContent>
              <w:p>
                <w:pPr>
                  <w:spacing w:before="4"/>
                  <w:ind w:left="40" w:right="0" w:firstLine="0"/>
                  <w:jc w:val="left"/>
                  <w:rPr>
                    <w:sz w:val="17"/>
                  </w:rPr>
                </w:pPr>
                <w:r>
                  <w:rPr/>
                  <w:fldChar w:fldCharType="begin"/>
                </w:r>
                <w:r>
                  <w:rPr>
                    <w:color w:val="231F20"/>
                    <w:w w:val="105"/>
                    <w:sz w:val="17"/>
                  </w:rPr>
                  <w:instrText> PAGE </w:instrText>
                </w:r>
                <w:r>
                  <w:rPr/>
                  <w:fldChar w:fldCharType="separate"/>
                </w:r>
                <w:r>
                  <w:rPr/>
                  <w:t>103</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1001pt;width:396.85pt;height:595.275pt;mso-position-horizontal-relative:page;mso-position-vertical-relative:page;z-index:-484240" filled="true" fillcolor="#eece82"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1001pt;width:396.85pt;height:595.275pt;mso-position-horizontal-relative:page;mso-position-vertical-relative:page;z-index:-473704" filled="true" fillcolor="#eece82" stroked="false">
          <v:fill type="solid"/>
          <w10:wrap type="none"/>
        </v:rect>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3">
    <w:multiLevelType w:val="hybridMultilevel"/>
    <w:lvl w:ilvl="0">
      <w:start w:val="1"/>
      <w:numFmt w:val="decimal"/>
      <w:lvlText w:val="%1."/>
      <w:lvlJc w:val="left"/>
      <w:pPr>
        <w:ind w:left="746" w:hanging="360"/>
        <w:jc w:val="left"/>
      </w:pPr>
      <w:rPr>
        <w:rFonts w:hint="default" w:ascii="Times New Roman" w:hAnsi="Times New Roman" w:eastAsia="Times New Roman" w:cs="Times New Roman"/>
        <w:color w:val="231F20"/>
        <w:spacing w:val="0"/>
        <w:w w:val="90"/>
        <w:sz w:val="21"/>
        <w:szCs w:val="21"/>
      </w:rPr>
    </w:lvl>
    <w:lvl w:ilvl="1">
      <w:start w:val="1"/>
      <w:numFmt w:val="bullet"/>
      <w:lvlText w:val="•"/>
      <w:lvlJc w:val="left"/>
      <w:pPr>
        <w:ind w:left="1266" w:hanging="360"/>
      </w:pPr>
      <w:rPr>
        <w:rFonts w:hint="default"/>
      </w:rPr>
    </w:lvl>
    <w:lvl w:ilvl="2">
      <w:start w:val="1"/>
      <w:numFmt w:val="bullet"/>
      <w:lvlText w:val="•"/>
      <w:lvlJc w:val="left"/>
      <w:pPr>
        <w:ind w:left="1792" w:hanging="360"/>
      </w:pPr>
      <w:rPr>
        <w:rFonts w:hint="default"/>
      </w:rPr>
    </w:lvl>
    <w:lvl w:ilvl="3">
      <w:start w:val="1"/>
      <w:numFmt w:val="bullet"/>
      <w:lvlText w:val="•"/>
      <w:lvlJc w:val="left"/>
      <w:pPr>
        <w:ind w:left="2319" w:hanging="360"/>
      </w:pPr>
      <w:rPr>
        <w:rFonts w:hint="default"/>
      </w:rPr>
    </w:lvl>
    <w:lvl w:ilvl="4">
      <w:start w:val="1"/>
      <w:numFmt w:val="bullet"/>
      <w:lvlText w:val="•"/>
      <w:lvlJc w:val="left"/>
      <w:pPr>
        <w:ind w:left="2845" w:hanging="360"/>
      </w:pPr>
      <w:rPr>
        <w:rFonts w:hint="default"/>
      </w:rPr>
    </w:lvl>
    <w:lvl w:ilvl="5">
      <w:start w:val="1"/>
      <w:numFmt w:val="bullet"/>
      <w:lvlText w:val="•"/>
      <w:lvlJc w:val="left"/>
      <w:pPr>
        <w:ind w:left="3371" w:hanging="360"/>
      </w:pPr>
      <w:rPr>
        <w:rFonts w:hint="default"/>
      </w:rPr>
    </w:lvl>
    <w:lvl w:ilvl="6">
      <w:start w:val="1"/>
      <w:numFmt w:val="bullet"/>
      <w:lvlText w:val="•"/>
      <w:lvlJc w:val="left"/>
      <w:pPr>
        <w:ind w:left="3898" w:hanging="360"/>
      </w:pPr>
      <w:rPr>
        <w:rFonts w:hint="default"/>
      </w:rPr>
    </w:lvl>
    <w:lvl w:ilvl="7">
      <w:start w:val="1"/>
      <w:numFmt w:val="bullet"/>
      <w:lvlText w:val="•"/>
      <w:lvlJc w:val="left"/>
      <w:pPr>
        <w:ind w:left="4424" w:hanging="360"/>
      </w:pPr>
      <w:rPr>
        <w:rFonts w:hint="default"/>
      </w:rPr>
    </w:lvl>
    <w:lvl w:ilvl="8">
      <w:start w:val="1"/>
      <w:numFmt w:val="bullet"/>
      <w:lvlText w:val="•"/>
      <w:lvlJc w:val="left"/>
      <w:pPr>
        <w:ind w:left="4950" w:hanging="360"/>
      </w:pPr>
      <w:rPr>
        <w:rFonts w:hint="default"/>
      </w:rPr>
    </w:lvl>
  </w:abstractNum>
  <w:abstractNum w:abstractNumId="22">
    <w:multiLevelType w:val="hybridMultilevel"/>
    <w:lvl w:ilvl="0">
      <w:start w:val="1"/>
      <w:numFmt w:val="decimal"/>
      <w:lvlText w:val="%1-"/>
      <w:lvlJc w:val="left"/>
      <w:pPr>
        <w:ind w:left="101" w:hanging="172"/>
        <w:jc w:val="left"/>
      </w:pPr>
      <w:rPr>
        <w:rFonts w:hint="default" w:ascii="Times New Roman" w:hAnsi="Times New Roman" w:eastAsia="Times New Roman" w:cs="Times New Roman"/>
        <w:color w:val="231F20"/>
        <w:spacing w:val="1"/>
        <w:w w:val="96"/>
        <w:sz w:val="21"/>
        <w:szCs w:val="21"/>
      </w:rPr>
    </w:lvl>
    <w:lvl w:ilvl="1">
      <w:start w:val="1"/>
      <w:numFmt w:val="bullet"/>
      <w:lvlText w:val=""/>
      <w:lvlJc w:val="left"/>
      <w:pPr>
        <w:ind w:left="821" w:hanging="360"/>
      </w:pPr>
      <w:rPr>
        <w:rFonts w:hint="default" w:ascii="Symbol" w:hAnsi="Symbol" w:eastAsia="Symbol" w:cs="Symbol"/>
        <w:color w:val="231F20"/>
        <w:w w:val="102"/>
        <w:sz w:val="21"/>
        <w:szCs w:val="21"/>
      </w:rPr>
    </w:lvl>
    <w:lvl w:ilvl="2">
      <w:start w:val="1"/>
      <w:numFmt w:val="bullet"/>
      <w:lvlText w:val=""/>
      <w:lvlJc w:val="left"/>
      <w:pPr>
        <w:ind w:left="941" w:hanging="360"/>
      </w:pPr>
      <w:rPr>
        <w:rFonts w:hint="default" w:ascii="Symbol" w:hAnsi="Symbol" w:eastAsia="Symbol" w:cs="Symbol"/>
        <w:color w:val="231F20"/>
        <w:w w:val="102"/>
        <w:sz w:val="21"/>
        <w:szCs w:val="21"/>
      </w:rPr>
    </w:lvl>
    <w:lvl w:ilvl="3">
      <w:start w:val="1"/>
      <w:numFmt w:val="bullet"/>
      <w:lvlText w:val="•"/>
      <w:lvlJc w:val="left"/>
      <w:pPr>
        <w:ind w:left="1572" w:hanging="360"/>
      </w:pPr>
      <w:rPr>
        <w:rFonts w:hint="default"/>
      </w:rPr>
    </w:lvl>
    <w:lvl w:ilvl="4">
      <w:start w:val="1"/>
      <w:numFmt w:val="bullet"/>
      <w:lvlText w:val="•"/>
      <w:lvlJc w:val="left"/>
      <w:pPr>
        <w:ind w:left="2205" w:hanging="360"/>
      </w:pPr>
      <w:rPr>
        <w:rFonts w:hint="default"/>
      </w:rPr>
    </w:lvl>
    <w:lvl w:ilvl="5">
      <w:start w:val="1"/>
      <w:numFmt w:val="bullet"/>
      <w:lvlText w:val="•"/>
      <w:lvlJc w:val="left"/>
      <w:pPr>
        <w:ind w:left="2838" w:hanging="360"/>
      </w:pPr>
      <w:rPr>
        <w:rFonts w:hint="default"/>
      </w:rPr>
    </w:lvl>
    <w:lvl w:ilvl="6">
      <w:start w:val="1"/>
      <w:numFmt w:val="bullet"/>
      <w:lvlText w:val="•"/>
      <w:lvlJc w:val="left"/>
      <w:pPr>
        <w:ind w:left="3471" w:hanging="360"/>
      </w:pPr>
      <w:rPr>
        <w:rFonts w:hint="default"/>
      </w:rPr>
    </w:lvl>
    <w:lvl w:ilvl="7">
      <w:start w:val="1"/>
      <w:numFmt w:val="bullet"/>
      <w:lvlText w:val="•"/>
      <w:lvlJc w:val="left"/>
      <w:pPr>
        <w:ind w:left="4104" w:hanging="360"/>
      </w:pPr>
      <w:rPr>
        <w:rFonts w:hint="default"/>
      </w:rPr>
    </w:lvl>
    <w:lvl w:ilvl="8">
      <w:start w:val="1"/>
      <w:numFmt w:val="bullet"/>
      <w:lvlText w:val="•"/>
      <w:lvlJc w:val="left"/>
      <w:pPr>
        <w:ind w:left="4737" w:hanging="360"/>
      </w:pPr>
      <w:rPr>
        <w:rFonts w:hint="default"/>
      </w:rPr>
    </w:lvl>
  </w:abstractNum>
  <w:abstractNum w:abstractNumId="21">
    <w:multiLevelType w:val="hybridMultilevel"/>
    <w:lvl w:ilvl="0">
      <w:start w:val="2"/>
      <w:numFmt w:val="decimal"/>
      <w:lvlText w:val="%1."/>
      <w:lvlJc w:val="left"/>
      <w:pPr>
        <w:ind w:left="101" w:hanging="232"/>
        <w:jc w:val="left"/>
      </w:pPr>
      <w:rPr>
        <w:rFonts w:hint="default" w:ascii="Times New Roman" w:hAnsi="Times New Roman" w:eastAsia="Times New Roman" w:cs="Times New Roman"/>
        <w:color w:val="231F20"/>
        <w:spacing w:val="0"/>
        <w:w w:val="89"/>
        <w:sz w:val="21"/>
        <w:szCs w:val="21"/>
      </w:rPr>
    </w:lvl>
    <w:lvl w:ilvl="1">
      <w:start w:val="1"/>
      <w:numFmt w:val="bullet"/>
      <w:lvlText w:val=""/>
      <w:lvlJc w:val="left"/>
      <w:pPr>
        <w:ind w:left="822" w:hanging="360"/>
      </w:pPr>
      <w:rPr>
        <w:rFonts w:hint="default" w:ascii="Symbol" w:hAnsi="Symbol" w:eastAsia="Symbol" w:cs="Symbol"/>
        <w:color w:val="231F20"/>
        <w:w w:val="102"/>
        <w:sz w:val="21"/>
        <w:szCs w:val="21"/>
      </w:rPr>
    </w:lvl>
    <w:lvl w:ilvl="2">
      <w:start w:val="1"/>
      <w:numFmt w:val="bullet"/>
      <w:lvlText w:val="•"/>
      <w:lvlJc w:val="left"/>
      <w:pPr>
        <w:ind w:left="1395" w:hanging="360"/>
      </w:pPr>
      <w:rPr>
        <w:rFonts w:hint="default"/>
      </w:rPr>
    </w:lvl>
    <w:lvl w:ilvl="3">
      <w:start w:val="1"/>
      <w:numFmt w:val="bullet"/>
      <w:lvlText w:val="•"/>
      <w:lvlJc w:val="left"/>
      <w:pPr>
        <w:ind w:left="1971" w:hanging="360"/>
      </w:pPr>
      <w:rPr>
        <w:rFonts w:hint="default"/>
      </w:rPr>
    </w:lvl>
    <w:lvl w:ilvl="4">
      <w:start w:val="1"/>
      <w:numFmt w:val="bullet"/>
      <w:lvlText w:val="•"/>
      <w:lvlJc w:val="left"/>
      <w:pPr>
        <w:ind w:left="2547" w:hanging="360"/>
      </w:pPr>
      <w:rPr>
        <w:rFonts w:hint="default"/>
      </w:rPr>
    </w:lvl>
    <w:lvl w:ilvl="5">
      <w:start w:val="1"/>
      <w:numFmt w:val="bullet"/>
      <w:lvlText w:val="•"/>
      <w:lvlJc w:val="left"/>
      <w:pPr>
        <w:ind w:left="3123" w:hanging="360"/>
      </w:pPr>
      <w:rPr>
        <w:rFonts w:hint="default"/>
      </w:rPr>
    </w:lvl>
    <w:lvl w:ilvl="6">
      <w:start w:val="1"/>
      <w:numFmt w:val="bullet"/>
      <w:lvlText w:val="•"/>
      <w:lvlJc w:val="left"/>
      <w:pPr>
        <w:ind w:left="3699" w:hanging="360"/>
      </w:pPr>
      <w:rPr>
        <w:rFonts w:hint="default"/>
      </w:rPr>
    </w:lvl>
    <w:lvl w:ilvl="7">
      <w:start w:val="1"/>
      <w:numFmt w:val="bullet"/>
      <w:lvlText w:val="•"/>
      <w:lvlJc w:val="left"/>
      <w:pPr>
        <w:ind w:left="4275" w:hanging="360"/>
      </w:pPr>
      <w:rPr>
        <w:rFonts w:hint="default"/>
      </w:rPr>
    </w:lvl>
    <w:lvl w:ilvl="8">
      <w:start w:val="1"/>
      <w:numFmt w:val="bullet"/>
      <w:lvlText w:val="•"/>
      <w:lvlJc w:val="left"/>
      <w:pPr>
        <w:ind w:left="4851" w:hanging="360"/>
      </w:pPr>
      <w:rPr>
        <w:rFonts w:hint="default"/>
      </w:rPr>
    </w:lvl>
  </w:abstractNum>
  <w:abstractNum w:abstractNumId="20">
    <w:multiLevelType w:val="hybridMultilevel"/>
    <w:lvl w:ilvl="0">
      <w:start w:val="1"/>
      <w:numFmt w:val="lowerLetter"/>
      <w:lvlText w:val="%1)"/>
      <w:lvlJc w:val="left"/>
      <w:pPr>
        <w:ind w:left="103" w:hanging="154"/>
        <w:jc w:val="left"/>
      </w:pPr>
      <w:rPr>
        <w:rFonts w:hint="default" w:ascii="Times New Roman" w:hAnsi="Times New Roman" w:eastAsia="Times New Roman" w:cs="Times New Roman"/>
        <w:color w:val="231F20"/>
        <w:spacing w:val="1"/>
        <w:w w:val="90"/>
        <w:sz w:val="21"/>
        <w:szCs w:val="21"/>
      </w:rPr>
    </w:lvl>
    <w:lvl w:ilvl="1">
      <w:start w:val="1"/>
      <w:numFmt w:val="bullet"/>
      <w:lvlText w:val="•"/>
      <w:lvlJc w:val="left"/>
      <w:pPr>
        <w:ind w:left="690" w:hanging="154"/>
      </w:pPr>
      <w:rPr>
        <w:rFonts w:hint="default"/>
      </w:rPr>
    </w:lvl>
    <w:lvl w:ilvl="2">
      <w:start w:val="1"/>
      <w:numFmt w:val="bullet"/>
      <w:lvlText w:val="•"/>
      <w:lvlJc w:val="left"/>
      <w:pPr>
        <w:ind w:left="1280" w:hanging="154"/>
      </w:pPr>
      <w:rPr>
        <w:rFonts w:hint="default"/>
      </w:rPr>
    </w:lvl>
    <w:lvl w:ilvl="3">
      <w:start w:val="1"/>
      <w:numFmt w:val="bullet"/>
      <w:lvlText w:val="•"/>
      <w:lvlJc w:val="left"/>
      <w:pPr>
        <w:ind w:left="1871" w:hanging="154"/>
      </w:pPr>
      <w:rPr>
        <w:rFonts w:hint="default"/>
      </w:rPr>
    </w:lvl>
    <w:lvl w:ilvl="4">
      <w:start w:val="1"/>
      <w:numFmt w:val="bullet"/>
      <w:lvlText w:val="•"/>
      <w:lvlJc w:val="left"/>
      <w:pPr>
        <w:ind w:left="2461" w:hanging="154"/>
      </w:pPr>
      <w:rPr>
        <w:rFonts w:hint="default"/>
      </w:rPr>
    </w:lvl>
    <w:lvl w:ilvl="5">
      <w:start w:val="1"/>
      <w:numFmt w:val="bullet"/>
      <w:lvlText w:val="•"/>
      <w:lvlJc w:val="left"/>
      <w:pPr>
        <w:ind w:left="3051" w:hanging="154"/>
      </w:pPr>
      <w:rPr>
        <w:rFonts w:hint="default"/>
      </w:rPr>
    </w:lvl>
    <w:lvl w:ilvl="6">
      <w:start w:val="1"/>
      <w:numFmt w:val="bullet"/>
      <w:lvlText w:val="•"/>
      <w:lvlJc w:val="left"/>
      <w:pPr>
        <w:ind w:left="3642" w:hanging="154"/>
      </w:pPr>
      <w:rPr>
        <w:rFonts w:hint="default"/>
      </w:rPr>
    </w:lvl>
    <w:lvl w:ilvl="7">
      <w:start w:val="1"/>
      <w:numFmt w:val="bullet"/>
      <w:lvlText w:val="•"/>
      <w:lvlJc w:val="left"/>
      <w:pPr>
        <w:ind w:left="4232" w:hanging="154"/>
      </w:pPr>
      <w:rPr>
        <w:rFonts w:hint="default"/>
      </w:rPr>
    </w:lvl>
    <w:lvl w:ilvl="8">
      <w:start w:val="1"/>
      <w:numFmt w:val="bullet"/>
      <w:lvlText w:val="•"/>
      <w:lvlJc w:val="left"/>
      <w:pPr>
        <w:ind w:left="4822" w:hanging="154"/>
      </w:pPr>
      <w:rPr>
        <w:rFonts w:hint="default"/>
      </w:rPr>
    </w:lvl>
  </w:abstractNum>
  <w:abstractNum w:abstractNumId="19">
    <w:multiLevelType w:val="hybridMultilevel"/>
    <w:lvl w:ilvl="0">
      <w:start w:val="1"/>
      <w:numFmt w:val="decimal"/>
      <w:lvlText w:val="%1."/>
      <w:lvlJc w:val="left"/>
      <w:pPr>
        <w:ind w:left="470" w:hanging="358"/>
        <w:jc w:val="left"/>
      </w:pPr>
      <w:rPr>
        <w:rFonts w:hint="default" w:ascii="Times New Roman" w:hAnsi="Times New Roman" w:eastAsia="Times New Roman" w:cs="Times New Roman"/>
        <w:color w:val="231F20"/>
        <w:spacing w:val="0"/>
        <w:w w:val="90"/>
        <w:sz w:val="21"/>
        <w:szCs w:val="21"/>
      </w:rPr>
    </w:lvl>
    <w:lvl w:ilvl="1">
      <w:start w:val="1"/>
      <w:numFmt w:val="bullet"/>
      <w:lvlText w:val=""/>
      <w:lvlJc w:val="left"/>
      <w:pPr>
        <w:ind w:left="821" w:hanging="360"/>
      </w:pPr>
      <w:rPr>
        <w:rFonts w:hint="default" w:ascii="Symbol" w:hAnsi="Symbol" w:eastAsia="Symbol" w:cs="Symbol"/>
        <w:color w:val="231F20"/>
        <w:w w:val="102"/>
        <w:sz w:val="21"/>
        <w:szCs w:val="21"/>
      </w:rPr>
    </w:lvl>
    <w:lvl w:ilvl="2">
      <w:start w:val="1"/>
      <w:numFmt w:val="bullet"/>
      <w:lvlText w:val="•"/>
      <w:lvlJc w:val="left"/>
      <w:pPr>
        <w:ind w:left="1395" w:hanging="360"/>
      </w:pPr>
      <w:rPr>
        <w:rFonts w:hint="default"/>
      </w:rPr>
    </w:lvl>
    <w:lvl w:ilvl="3">
      <w:start w:val="1"/>
      <w:numFmt w:val="bullet"/>
      <w:lvlText w:val="•"/>
      <w:lvlJc w:val="left"/>
      <w:pPr>
        <w:ind w:left="1971" w:hanging="360"/>
      </w:pPr>
      <w:rPr>
        <w:rFonts w:hint="default"/>
      </w:rPr>
    </w:lvl>
    <w:lvl w:ilvl="4">
      <w:start w:val="1"/>
      <w:numFmt w:val="bullet"/>
      <w:lvlText w:val="•"/>
      <w:lvlJc w:val="left"/>
      <w:pPr>
        <w:ind w:left="2547" w:hanging="360"/>
      </w:pPr>
      <w:rPr>
        <w:rFonts w:hint="default"/>
      </w:rPr>
    </w:lvl>
    <w:lvl w:ilvl="5">
      <w:start w:val="1"/>
      <w:numFmt w:val="bullet"/>
      <w:lvlText w:val="•"/>
      <w:lvlJc w:val="left"/>
      <w:pPr>
        <w:ind w:left="3123" w:hanging="360"/>
      </w:pPr>
      <w:rPr>
        <w:rFonts w:hint="default"/>
      </w:rPr>
    </w:lvl>
    <w:lvl w:ilvl="6">
      <w:start w:val="1"/>
      <w:numFmt w:val="bullet"/>
      <w:lvlText w:val="•"/>
      <w:lvlJc w:val="left"/>
      <w:pPr>
        <w:ind w:left="3699" w:hanging="360"/>
      </w:pPr>
      <w:rPr>
        <w:rFonts w:hint="default"/>
      </w:rPr>
    </w:lvl>
    <w:lvl w:ilvl="7">
      <w:start w:val="1"/>
      <w:numFmt w:val="bullet"/>
      <w:lvlText w:val="•"/>
      <w:lvlJc w:val="left"/>
      <w:pPr>
        <w:ind w:left="4275" w:hanging="360"/>
      </w:pPr>
      <w:rPr>
        <w:rFonts w:hint="default"/>
      </w:rPr>
    </w:lvl>
    <w:lvl w:ilvl="8">
      <w:start w:val="1"/>
      <w:numFmt w:val="bullet"/>
      <w:lvlText w:val="•"/>
      <w:lvlJc w:val="left"/>
      <w:pPr>
        <w:ind w:left="4851" w:hanging="360"/>
      </w:pPr>
      <w:rPr>
        <w:rFonts w:hint="default"/>
      </w:rPr>
    </w:lvl>
  </w:abstractNum>
  <w:abstractNum w:abstractNumId="18">
    <w:multiLevelType w:val="hybridMultilevel"/>
    <w:lvl w:ilvl="0">
      <w:start w:val="1"/>
      <w:numFmt w:val="lowerLetter"/>
      <w:lvlText w:val="%1)"/>
      <w:lvlJc w:val="left"/>
      <w:pPr>
        <w:ind w:left="321" w:hanging="209"/>
        <w:jc w:val="left"/>
      </w:pPr>
      <w:rPr>
        <w:rFonts w:hint="default" w:ascii="Times New Roman" w:hAnsi="Times New Roman" w:eastAsia="Times New Roman" w:cs="Times New Roman"/>
        <w:color w:val="231F20"/>
        <w:spacing w:val="0"/>
        <w:w w:val="90"/>
        <w:sz w:val="21"/>
        <w:szCs w:val="21"/>
      </w:rPr>
    </w:lvl>
    <w:lvl w:ilvl="1">
      <w:start w:val="1"/>
      <w:numFmt w:val="bullet"/>
      <w:lvlText w:val=""/>
      <w:lvlJc w:val="left"/>
      <w:pPr>
        <w:ind w:left="821" w:hanging="360"/>
      </w:pPr>
      <w:rPr>
        <w:rFonts w:hint="default" w:ascii="Symbol" w:hAnsi="Symbol" w:eastAsia="Symbol" w:cs="Symbol"/>
        <w:color w:val="231F20"/>
        <w:w w:val="102"/>
        <w:sz w:val="21"/>
        <w:szCs w:val="21"/>
      </w:rPr>
    </w:lvl>
    <w:lvl w:ilvl="2">
      <w:start w:val="1"/>
      <w:numFmt w:val="bullet"/>
      <w:lvlText w:val="•"/>
      <w:lvlJc w:val="left"/>
      <w:pPr>
        <w:ind w:left="1395" w:hanging="360"/>
      </w:pPr>
      <w:rPr>
        <w:rFonts w:hint="default"/>
      </w:rPr>
    </w:lvl>
    <w:lvl w:ilvl="3">
      <w:start w:val="1"/>
      <w:numFmt w:val="bullet"/>
      <w:lvlText w:val="•"/>
      <w:lvlJc w:val="left"/>
      <w:pPr>
        <w:ind w:left="1971" w:hanging="360"/>
      </w:pPr>
      <w:rPr>
        <w:rFonts w:hint="default"/>
      </w:rPr>
    </w:lvl>
    <w:lvl w:ilvl="4">
      <w:start w:val="1"/>
      <w:numFmt w:val="bullet"/>
      <w:lvlText w:val="•"/>
      <w:lvlJc w:val="left"/>
      <w:pPr>
        <w:ind w:left="2547" w:hanging="360"/>
      </w:pPr>
      <w:rPr>
        <w:rFonts w:hint="default"/>
      </w:rPr>
    </w:lvl>
    <w:lvl w:ilvl="5">
      <w:start w:val="1"/>
      <w:numFmt w:val="bullet"/>
      <w:lvlText w:val="•"/>
      <w:lvlJc w:val="left"/>
      <w:pPr>
        <w:ind w:left="3123" w:hanging="360"/>
      </w:pPr>
      <w:rPr>
        <w:rFonts w:hint="default"/>
      </w:rPr>
    </w:lvl>
    <w:lvl w:ilvl="6">
      <w:start w:val="1"/>
      <w:numFmt w:val="bullet"/>
      <w:lvlText w:val="•"/>
      <w:lvlJc w:val="left"/>
      <w:pPr>
        <w:ind w:left="3699" w:hanging="360"/>
      </w:pPr>
      <w:rPr>
        <w:rFonts w:hint="default"/>
      </w:rPr>
    </w:lvl>
    <w:lvl w:ilvl="7">
      <w:start w:val="1"/>
      <w:numFmt w:val="bullet"/>
      <w:lvlText w:val="•"/>
      <w:lvlJc w:val="left"/>
      <w:pPr>
        <w:ind w:left="4275" w:hanging="360"/>
      </w:pPr>
      <w:rPr>
        <w:rFonts w:hint="default"/>
      </w:rPr>
    </w:lvl>
    <w:lvl w:ilvl="8">
      <w:start w:val="1"/>
      <w:numFmt w:val="bullet"/>
      <w:lvlText w:val="•"/>
      <w:lvlJc w:val="left"/>
      <w:pPr>
        <w:ind w:left="4851" w:hanging="360"/>
      </w:pPr>
      <w:rPr>
        <w:rFonts w:hint="default"/>
      </w:rPr>
    </w:lvl>
  </w:abstractNum>
  <w:abstractNum w:abstractNumId="17">
    <w:multiLevelType w:val="hybridMultilevel"/>
    <w:lvl w:ilvl="0">
      <w:start w:val="1"/>
      <w:numFmt w:val="bullet"/>
      <w:lvlText w:val="o"/>
      <w:lvlJc w:val="left"/>
      <w:pPr>
        <w:ind w:left="822" w:hanging="360"/>
      </w:pPr>
      <w:rPr>
        <w:rFonts w:hint="default" w:ascii="Courier New" w:hAnsi="Courier New" w:eastAsia="Courier New" w:cs="Courier New"/>
        <w:color w:val="231F20"/>
        <w:w w:val="102"/>
        <w:sz w:val="21"/>
        <w:szCs w:val="21"/>
      </w:rPr>
    </w:lvl>
    <w:lvl w:ilvl="1">
      <w:start w:val="1"/>
      <w:numFmt w:val="bullet"/>
      <w:lvlText w:val="•"/>
      <w:lvlJc w:val="left"/>
      <w:pPr>
        <w:ind w:left="1340" w:hanging="360"/>
      </w:pPr>
      <w:rPr>
        <w:rFonts w:hint="default"/>
      </w:rPr>
    </w:lvl>
    <w:lvl w:ilvl="2">
      <w:start w:val="1"/>
      <w:numFmt w:val="bullet"/>
      <w:lvlText w:val="•"/>
      <w:lvlJc w:val="left"/>
      <w:pPr>
        <w:ind w:left="1860" w:hanging="360"/>
      </w:pPr>
      <w:rPr>
        <w:rFonts w:hint="default"/>
      </w:rPr>
    </w:lvl>
    <w:lvl w:ilvl="3">
      <w:start w:val="1"/>
      <w:numFmt w:val="bullet"/>
      <w:lvlText w:val="•"/>
      <w:lvlJc w:val="left"/>
      <w:pPr>
        <w:ind w:left="2381" w:hanging="360"/>
      </w:pPr>
      <w:rPr>
        <w:rFonts w:hint="default"/>
      </w:rPr>
    </w:lvl>
    <w:lvl w:ilvl="4">
      <w:start w:val="1"/>
      <w:numFmt w:val="bullet"/>
      <w:lvlText w:val="•"/>
      <w:lvlJc w:val="left"/>
      <w:pPr>
        <w:ind w:left="2901" w:hanging="360"/>
      </w:pPr>
      <w:rPr>
        <w:rFonts w:hint="default"/>
      </w:rPr>
    </w:lvl>
    <w:lvl w:ilvl="5">
      <w:start w:val="1"/>
      <w:numFmt w:val="bullet"/>
      <w:lvlText w:val="•"/>
      <w:lvlJc w:val="left"/>
      <w:pPr>
        <w:ind w:left="3421" w:hanging="360"/>
      </w:pPr>
      <w:rPr>
        <w:rFonts w:hint="default"/>
      </w:rPr>
    </w:lvl>
    <w:lvl w:ilvl="6">
      <w:start w:val="1"/>
      <w:numFmt w:val="bullet"/>
      <w:lvlText w:val="•"/>
      <w:lvlJc w:val="left"/>
      <w:pPr>
        <w:ind w:left="3942" w:hanging="360"/>
      </w:pPr>
      <w:rPr>
        <w:rFonts w:hint="default"/>
      </w:rPr>
    </w:lvl>
    <w:lvl w:ilvl="7">
      <w:start w:val="1"/>
      <w:numFmt w:val="bullet"/>
      <w:lvlText w:val="•"/>
      <w:lvlJc w:val="left"/>
      <w:pPr>
        <w:ind w:left="4462" w:hanging="360"/>
      </w:pPr>
      <w:rPr>
        <w:rFonts w:hint="default"/>
      </w:rPr>
    </w:lvl>
    <w:lvl w:ilvl="8">
      <w:start w:val="1"/>
      <w:numFmt w:val="bullet"/>
      <w:lvlText w:val="•"/>
      <w:lvlJc w:val="left"/>
      <w:pPr>
        <w:ind w:left="4982" w:hanging="360"/>
      </w:pPr>
      <w:rPr>
        <w:rFonts w:hint="default"/>
      </w:rPr>
    </w:lvl>
  </w:abstractNum>
  <w:abstractNum w:abstractNumId="16">
    <w:multiLevelType w:val="hybridMultilevel"/>
    <w:lvl w:ilvl="0">
      <w:start w:val="1"/>
      <w:numFmt w:val="lowerLetter"/>
      <w:lvlText w:val="%1)"/>
      <w:lvlJc w:val="left"/>
      <w:pPr>
        <w:ind w:left="827" w:hanging="358"/>
        <w:jc w:val="left"/>
      </w:pPr>
      <w:rPr>
        <w:rFonts w:hint="default" w:ascii="Cambria" w:hAnsi="Cambria" w:eastAsia="Cambria" w:cs="Cambria"/>
        <w:color w:val="231F20"/>
        <w:spacing w:val="0"/>
        <w:w w:val="82"/>
        <w:sz w:val="21"/>
        <w:szCs w:val="21"/>
      </w:rPr>
    </w:lvl>
    <w:lvl w:ilvl="1">
      <w:start w:val="1"/>
      <w:numFmt w:val="bullet"/>
      <w:lvlText w:val="•"/>
      <w:lvlJc w:val="left"/>
      <w:pPr>
        <w:ind w:left="1342" w:hanging="358"/>
      </w:pPr>
      <w:rPr>
        <w:rFonts w:hint="default"/>
      </w:rPr>
    </w:lvl>
    <w:lvl w:ilvl="2">
      <w:start w:val="1"/>
      <w:numFmt w:val="bullet"/>
      <w:lvlText w:val="•"/>
      <w:lvlJc w:val="left"/>
      <w:pPr>
        <w:ind w:left="1864" w:hanging="358"/>
      </w:pPr>
      <w:rPr>
        <w:rFonts w:hint="default"/>
      </w:rPr>
    </w:lvl>
    <w:lvl w:ilvl="3">
      <w:start w:val="1"/>
      <w:numFmt w:val="bullet"/>
      <w:lvlText w:val="•"/>
      <w:lvlJc w:val="left"/>
      <w:pPr>
        <w:ind w:left="2387" w:hanging="358"/>
      </w:pPr>
      <w:rPr>
        <w:rFonts w:hint="default"/>
      </w:rPr>
    </w:lvl>
    <w:lvl w:ilvl="4">
      <w:start w:val="1"/>
      <w:numFmt w:val="bullet"/>
      <w:lvlText w:val="•"/>
      <w:lvlJc w:val="left"/>
      <w:pPr>
        <w:ind w:left="2909" w:hanging="358"/>
      </w:pPr>
      <w:rPr>
        <w:rFonts w:hint="default"/>
      </w:rPr>
    </w:lvl>
    <w:lvl w:ilvl="5">
      <w:start w:val="1"/>
      <w:numFmt w:val="bullet"/>
      <w:lvlText w:val="•"/>
      <w:lvlJc w:val="left"/>
      <w:pPr>
        <w:ind w:left="3431" w:hanging="358"/>
      </w:pPr>
      <w:rPr>
        <w:rFonts w:hint="default"/>
      </w:rPr>
    </w:lvl>
    <w:lvl w:ilvl="6">
      <w:start w:val="1"/>
      <w:numFmt w:val="bullet"/>
      <w:lvlText w:val="•"/>
      <w:lvlJc w:val="left"/>
      <w:pPr>
        <w:ind w:left="3954" w:hanging="358"/>
      </w:pPr>
      <w:rPr>
        <w:rFonts w:hint="default"/>
      </w:rPr>
    </w:lvl>
    <w:lvl w:ilvl="7">
      <w:start w:val="1"/>
      <w:numFmt w:val="bullet"/>
      <w:lvlText w:val="•"/>
      <w:lvlJc w:val="left"/>
      <w:pPr>
        <w:ind w:left="4476" w:hanging="358"/>
      </w:pPr>
      <w:rPr>
        <w:rFonts w:hint="default"/>
      </w:rPr>
    </w:lvl>
    <w:lvl w:ilvl="8">
      <w:start w:val="1"/>
      <w:numFmt w:val="bullet"/>
      <w:lvlText w:val="•"/>
      <w:lvlJc w:val="left"/>
      <w:pPr>
        <w:ind w:left="4998" w:hanging="358"/>
      </w:pPr>
      <w:rPr>
        <w:rFonts w:hint="default"/>
      </w:rPr>
    </w:lvl>
  </w:abstractNum>
  <w:abstractNum w:abstractNumId="15">
    <w:multiLevelType w:val="hybridMultilevel"/>
    <w:lvl w:ilvl="0">
      <w:start w:val="1"/>
      <w:numFmt w:val="decimal"/>
      <w:lvlText w:val="%1."/>
      <w:lvlJc w:val="left"/>
      <w:pPr>
        <w:ind w:left="458" w:hanging="358"/>
        <w:jc w:val="left"/>
      </w:pPr>
      <w:rPr>
        <w:rFonts w:hint="default"/>
        <w:spacing w:val="0"/>
        <w:w w:val="89"/>
      </w:rPr>
    </w:lvl>
    <w:lvl w:ilvl="1">
      <w:start w:val="1"/>
      <w:numFmt w:val="bullet"/>
      <w:lvlText w:val=""/>
      <w:lvlJc w:val="left"/>
      <w:pPr>
        <w:ind w:left="821" w:hanging="360"/>
      </w:pPr>
      <w:rPr>
        <w:rFonts w:hint="default" w:ascii="Symbol" w:hAnsi="Symbol" w:eastAsia="Symbol" w:cs="Symbol"/>
        <w:color w:val="231F20"/>
        <w:w w:val="102"/>
        <w:sz w:val="21"/>
        <w:szCs w:val="21"/>
      </w:rPr>
    </w:lvl>
    <w:lvl w:ilvl="2">
      <w:start w:val="1"/>
      <w:numFmt w:val="bullet"/>
      <w:lvlText w:val="•"/>
      <w:lvlJc w:val="left"/>
      <w:pPr>
        <w:ind w:left="1398" w:hanging="360"/>
      </w:pPr>
      <w:rPr>
        <w:rFonts w:hint="default"/>
      </w:rPr>
    </w:lvl>
    <w:lvl w:ilvl="3">
      <w:start w:val="1"/>
      <w:numFmt w:val="bullet"/>
      <w:lvlText w:val="•"/>
      <w:lvlJc w:val="left"/>
      <w:pPr>
        <w:ind w:left="1976" w:hanging="360"/>
      </w:pPr>
      <w:rPr>
        <w:rFonts w:hint="default"/>
      </w:rPr>
    </w:lvl>
    <w:lvl w:ilvl="4">
      <w:start w:val="1"/>
      <w:numFmt w:val="bullet"/>
      <w:lvlText w:val="•"/>
      <w:lvlJc w:val="left"/>
      <w:pPr>
        <w:ind w:left="2554" w:hanging="360"/>
      </w:pPr>
      <w:rPr>
        <w:rFonts w:hint="default"/>
      </w:rPr>
    </w:lvl>
    <w:lvl w:ilvl="5">
      <w:start w:val="1"/>
      <w:numFmt w:val="bullet"/>
      <w:lvlText w:val="•"/>
      <w:lvlJc w:val="left"/>
      <w:pPr>
        <w:ind w:left="3132" w:hanging="360"/>
      </w:pPr>
      <w:rPr>
        <w:rFonts w:hint="default"/>
      </w:rPr>
    </w:lvl>
    <w:lvl w:ilvl="6">
      <w:start w:val="1"/>
      <w:numFmt w:val="bullet"/>
      <w:lvlText w:val="•"/>
      <w:lvlJc w:val="left"/>
      <w:pPr>
        <w:ind w:left="3710" w:hanging="360"/>
      </w:pPr>
      <w:rPr>
        <w:rFonts w:hint="default"/>
      </w:rPr>
    </w:lvl>
    <w:lvl w:ilvl="7">
      <w:start w:val="1"/>
      <w:numFmt w:val="bullet"/>
      <w:lvlText w:val="•"/>
      <w:lvlJc w:val="left"/>
      <w:pPr>
        <w:ind w:left="4289" w:hanging="360"/>
      </w:pPr>
      <w:rPr>
        <w:rFonts w:hint="default"/>
      </w:rPr>
    </w:lvl>
    <w:lvl w:ilvl="8">
      <w:start w:val="1"/>
      <w:numFmt w:val="bullet"/>
      <w:lvlText w:val="•"/>
      <w:lvlJc w:val="left"/>
      <w:pPr>
        <w:ind w:left="4867" w:hanging="360"/>
      </w:pPr>
      <w:rPr>
        <w:rFonts w:hint="default"/>
      </w:rPr>
    </w:lvl>
  </w:abstractNum>
  <w:abstractNum w:abstractNumId="14">
    <w:multiLevelType w:val="hybridMultilevel"/>
    <w:lvl w:ilvl="0">
      <w:start w:val="1"/>
      <w:numFmt w:val="upperLetter"/>
      <w:lvlText w:val="%1."/>
      <w:lvlJc w:val="left"/>
      <w:pPr>
        <w:ind w:left="102" w:hanging="289"/>
        <w:jc w:val="left"/>
      </w:pPr>
      <w:rPr>
        <w:rFonts w:hint="default" w:ascii="Times New Roman" w:hAnsi="Times New Roman" w:eastAsia="Times New Roman" w:cs="Times New Roman"/>
        <w:color w:val="231F20"/>
        <w:spacing w:val="0"/>
        <w:w w:val="89"/>
        <w:sz w:val="21"/>
        <w:szCs w:val="21"/>
      </w:rPr>
    </w:lvl>
    <w:lvl w:ilvl="1">
      <w:start w:val="1"/>
      <w:numFmt w:val="bullet"/>
      <w:lvlText w:val="•"/>
      <w:lvlJc w:val="left"/>
      <w:pPr>
        <w:ind w:left="1080" w:hanging="289"/>
      </w:pPr>
      <w:rPr>
        <w:rFonts w:hint="default"/>
      </w:rPr>
    </w:lvl>
    <w:lvl w:ilvl="2">
      <w:start w:val="1"/>
      <w:numFmt w:val="bullet"/>
      <w:lvlText w:val="•"/>
      <w:lvlJc w:val="left"/>
      <w:pPr>
        <w:ind w:left="1627" w:hanging="289"/>
      </w:pPr>
      <w:rPr>
        <w:rFonts w:hint="default"/>
      </w:rPr>
    </w:lvl>
    <w:lvl w:ilvl="3">
      <w:start w:val="1"/>
      <w:numFmt w:val="bullet"/>
      <w:lvlText w:val="•"/>
      <w:lvlJc w:val="left"/>
      <w:pPr>
        <w:ind w:left="2174" w:hanging="289"/>
      </w:pPr>
      <w:rPr>
        <w:rFonts w:hint="default"/>
      </w:rPr>
    </w:lvl>
    <w:lvl w:ilvl="4">
      <w:start w:val="1"/>
      <w:numFmt w:val="bullet"/>
      <w:lvlText w:val="•"/>
      <w:lvlJc w:val="left"/>
      <w:pPr>
        <w:ind w:left="2721" w:hanging="289"/>
      </w:pPr>
      <w:rPr>
        <w:rFonts w:hint="default"/>
      </w:rPr>
    </w:lvl>
    <w:lvl w:ilvl="5">
      <w:start w:val="1"/>
      <w:numFmt w:val="bullet"/>
      <w:lvlText w:val="•"/>
      <w:lvlJc w:val="left"/>
      <w:pPr>
        <w:ind w:left="3268" w:hanging="289"/>
      </w:pPr>
      <w:rPr>
        <w:rFonts w:hint="default"/>
      </w:rPr>
    </w:lvl>
    <w:lvl w:ilvl="6">
      <w:start w:val="1"/>
      <w:numFmt w:val="bullet"/>
      <w:lvlText w:val="•"/>
      <w:lvlJc w:val="left"/>
      <w:pPr>
        <w:ind w:left="3815" w:hanging="289"/>
      </w:pPr>
      <w:rPr>
        <w:rFonts w:hint="default"/>
      </w:rPr>
    </w:lvl>
    <w:lvl w:ilvl="7">
      <w:start w:val="1"/>
      <w:numFmt w:val="bullet"/>
      <w:lvlText w:val="•"/>
      <w:lvlJc w:val="left"/>
      <w:pPr>
        <w:ind w:left="4362" w:hanging="289"/>
      </w:pPr>
      <w:rPr>
        <w:rFonts w:hint="default"/>
      </w:rPr>
    </w:lvl>
    <w:lvl w:ilvl="8">
      <w:start w:val="1"/>
      <w:numFmt w:val="bullet"/>
      <w:lvlText w:val="•"/>
      <w:lvlJc w:val="left"/>
      <w:pPr>
        <w:ind w:left="4909" w:hanging="289"/>
      </w:pPr>
      <w:rPr>
        <w:rFonts w:hint="default"/>
      </w:rPr>
    </w:lvl>
  </w:abstractNum>
  <w:abstractNum w:abstractNumId="13">
    <w:multiLevelType w:val="hybridMultilevel"/>
    <w:lvl w:ilvl="0">
      <w:start w:val="1"/>
      <w:numFmt w:val="upperLetter"/>
      <w:lvlText w:val="%1."/>
      <w:lvlJc w:val="left"/>
      <w:pPr>
        <w:ind w:left="354" w:hanging="253"/>
        <w:jc w:val="left"/>
      </w:pPr>
      <w:rPr>
        <w:rFonts w:hint="default" w:ascii="Times New Roman" w:hAnsi="Times New Roman" w:eastAsia="Times New Roman" w:cs="Times New Roman"/>
        <w:color w:val="231F20"/>
        <w:spacing w:val="0"/>
        <w:w w:val="89"/>
        <w:sz w:val="21"/>
        <w:szCs w:val="21"/>
      </w:rPr>
    </w:lvl>
    <w:lvl w:ilvl="1">
      <w:start w:val="1"/>
      <w:numFmt w:val="decimal"/>
      <w:lvlText w:val="%2."/>
      <w:lvlJc w:val="left"/>
      <w:pPr>
        <w:ind w:left="102" w:hanging="212"/>
        <w:jc w:val="left"/>
      </w:pPr>
      <w:rPr>
        <w:rFonts w:hint="default" w:ascii="Times New Roman" w:hAnsi="Times New Roman" w:eastAsia="Times New Roman" w:cs="Times New Roman"/>
        <w:color w:val="231F20"/>
        <w:spacing w:val="0"/>
        <w:w w:val="90"/>
        <w:sz w:val="21"/>
        <w:szCs w:val="21"/>
      </w:rPr>
    </w:lvl>
    <w:lvl w:ilvl="2">
      <w:start w:val="1"/>
      <w:numFmt w:val="bullet"/>
      <w:lvlText w:val="•"/>
      <w:lvlJc w:val="left"/>
      <w:pPr>
        <w:ind w:left="987" w:hanging="212"/>
      </w:pPr>
      <w:rPr>
        <w:rFonts w:hint="default"/>
      </w:rPr>
    </w:lvl>
    <w:lvl w:ilvl="3">
      <w:start w:val="1"/>
      <w:numFmt w:val="bullet"/>
      <w:lvlText w:val="•"/>
      <w:lvlJc w:val="left"/>
      <w:pPr>
        <w:ind w:left="1614" w:hanging="212"/>
      </w:pPr>
      <w:rPr>
        <w:rFonts w:hint="default"/>
      </w:rPr>
    </w:lvl>
    <w:lvl w:ilvl="4">
      <w:start w:val="1"/>
      <w:numFmt w:val="bullet"/>
      <w:lvlText w:val="•"/>
      <w:lvlJc w:val="left"/>
      <w:pPr>
        <w:ind w:left="2241" w:hanging="212"/>
      </w:pPr>
      <w:rPr>
        <w:rFonts w:hint="default"/>
      </w:rPr>
    </w:lvl>
    <w:lvl w:ilvl="5">
      <w:start w:val="1"/>
      <w:numFmt w:val="bullet"/>
      <w:lvlText w:val="•"/>
      <w:lvlJc w:val="left"/>
      <w:pPr>
        <w:ind w:left="2868" w:hanging="212"/>
      </w:pPr>
      <w:rPr>
        <w:rFonts w:hint="default"/>
      </w:rPr>
    </w:lvl>
    <w:lvl w:ilvl="6">
      <w:start w:val="1"/>
      <w:numFmt w:val="bullet"/>
      <w:lvlText w:val="•"/>
      <w:lvlJc w:val="left"/>
      <w:pPr>
        <w:ind w:left="3495" w:hanging="212"/>
      </w:pPr>
      <w:rPr>
        <w:rFonts w:hint="default"/>
      </w:rPr>
    </w:lvl>
    <w:lvl w:ilvl="7">
      <w:start w:val="1"/>
      <w:numFmt w:val="bullet"/>
      <w:lvlText w:val="•"/>
      <w:lvlJc w:val="left"/>
      <w:pPr>
        <w:ind w:left="4122" w:hanging="212"/>
      </w:pPr>
      <w:rPr>
        <w:rFonts w:hint="default"/>
      </w:rPr>
    </w:lvl>
    <w:lvl w:ilvl="8">
      <w:start w:val="1"/>
      <w:numFmt w:val="bullet"/>
      <w:lvlText w:val="•"/>
      <w:lvlJc w:val="left"/>
      <w:pPr>
        <w:ind w:left="4749" w:hanging="212"/>
      </w:pPr>
      <w:rPr>
        <w:rFonts w:hint="default"/>
      </w:rPr>
    </w:lvl>
  </w:abstractNum>
  <w:abstractNum w:abstractNumId="12">
    <w:multiLevelType w:val="hybridMultilevel"/>
    <w:lvl w:ilvl="0">
      <w:start w:val="1"/>
      <w:numFmt w:val="lowerLetter"/>
      <w:lvlText w:val="%1)"/>
      <w:lvlJc w:val="left"/>
      <w:pPr>
        <w:ind w:left="822" w:hanging="361"/>
        <w:jc w:val="left"/>
      </w:pPr>
      <w:rPr>
        <w:rFonts w:hint="default" w:ascii="Times New Roman" w:hAnsi="Times New Roman" w:eastAsia="Times New Roman" w:cs="Times New Roman"/>
        <w:color w:val="231F20"/>
        <w:spacing w:val="0"/>
        <w:w w:val="92"/>
        <w:sz w:val="21"/>
        <w:szCs w:val="21"/>
      </w:rPr>
    </w:lvl>
    <w:lvl w:ilvl="1">
      <w:start w:val="1"/>
      <w:numFmt w:val="bullet"/>
      <w:lvlText w:val="•"/>
      <w:lvlJc w:val="left"/>
      <w:pPr>
        <w:ind w:left="1338" w:hanging="361"/>
      </w:pPr>
      <w:rPr>
        <w:rFonts w:hint="default"/>
      </w:rPr>
    </w:lvl>
    <w:lvl w:ilvl="2">
      <w:start w:val="1"/>
      <w:numFmt w:val="bullet"/>
      <w:lvlText w:val="•"/>
      <w:lvlJc w:val="left"/>
      <w:pPr>
        <w:ind w:left="1856" w:hanging="361"/>
      </w:pPr>
      <w:rPr>
        <w:rFonts w:hint="default"/>
      </w:rPr>
    </w:lvl>
    <w:lvl w:ilvl="3">
      <w:start w:val="1"/>
      <w:numFmt w:val="bullet"/>
      <w:lvlText w:val="•"/>
      <w:lvlJc w:val="left"/>
      <w:pPr>
        <w:ind w:left="2375" w:hanging="361"/>
      </w:pPr>
      <w:rPr>
        <w:rFonts w:hint="default"/>
      </w:rPr>
    </w:lvl>
    <w:lvl w:ilvl="4">
      <w:start w:val="1"/>
      <w:numFmt w:val="bullet"/>
      <w:lvlText w:val="•"/>
      <w:lvlJc w:val="left"/>
      <w:pPr>
        <w:ind w:left="2893" w:hanging="361"/>
      </w:pPr>
      <w:rPr>
        <w:rFonts w:hint="default"/>
      </w:rPr>
    </w:lvl>
    <w:lvl w:ilvl="5">
      <w:start w:val="1"/>
      <w:numFmt w:val="bullet"/>
      <w:lvlText w:val="•"/>
      <w:lvlJc w:val="left"/>
      <w:pPr>
        <w:ind w:left="3411" w:hanging="361"/>
      </w:pPr>
      <w:rPr>
        <w:rFonts w:hint="default"/>
      </w:rPr>
    </w:lvl>
    <w:lvl w:ilvl="6">
      <w:start w:val="1"/>
      <w:numFmt w:val="bullet"/>
      <w:lvlText w:val="•"/>
      <w:lvlJc w:val="left"/>
      <w:pPr>
        <w:ind w:left="3930" w:hanging="361"/>
      </w:pPr>
      <w:rPr>
        <w:rFonts w:hint="default"/>
      </w:rPr>
    </w:lvl>
    <w:lvl w:ilvl="7">
      <w:start w:val="1"/>
      <w:numFmt w:val="bullet"/>
      <w:lvlText w:val="•"/>
      <w:lvlJc w:val="left"/>
      <w:pPr>
        <w:ind w:left="4448" w:hanging="361"/>
      </w:pPr>
      <w:rPr>
        <w:rFonts w:hint="default"/>
      </w:rPr>
    </w:lvl>
    <w:lvl w:ilvl="8">
      <w:start w:val="1"/>
      <w:numFmt w:val="bullet"/>
      <w:lvlText w:val="•"/>
      <w:lvlJc w:val="left"/>
      <w:pPr>
        <w:ind w:left="4966" w:hanging="361"/>
      </w:pPr>
      <w:rPr>
        <w:rFonts w:hint="default"/>
      </w:rPr>
    </w:lvl>
  </w:abstractNum>
  <w:abstractNum w:abstractNumId="11">
    <w:multiLevelType w:val="hybridMultilevel"/>
    <w:lvl w:ilvl="0">
      <w:start w:val="1"/>
      <w:numFmt w:val="decimal"/>
      <w:lvlText w:val="%1."/>
      <w:lvlJc w:val="left"/>
      <w:pPr>
        <w:ind w:left="821" w:hanging="360"/>
        <w:jc w:val="left"/>
      </w:pPr>
      <w:rPr>
        <w:rFonts w:hint="default" w:ascii="Times New Roman" w:hAnsi="Times New Roman" w:eastAsia="Times New Roman" w:cs="Times New Roman"/>
        <w:color w:val="231F20"/>
        <w:spacing w:val="0"/>
        <w:w w:val="90"/>
        <w:sz w:val="21"/>
        <w:szCs w:val="21"/>
      </w:rPr>
    </w:lvl>
    <w:lvl w:ilvl="1">
      <w:start w:val="1"/>
      <w:numFmt w:val="bullet"/>
      <w:lvlText w:val="•"/>
      <w:lvlJc w:val="left"/>
      <w:pPr>
        <w:ind w:left="1338" w:hanging="360"/>
      </w:pPr>
      <w:rPr>
        <w:rFonts w:hint="default"/>
      </w:rPr>
    </w:lvl>
    <w:lvl w:ilvl="2">
      <w:start w:val="1"/>
      <w:numFmt w:val="bullet"/>
      <w:lvlText w:val="•"/>
      <w:lvlJc w:val="left"/>
      <w:pPr>
        <w:ind w:left="1856" w:hanging="360"/>
      </w:pPr>
      <w:rPr>
        <w:rFonts w:hint="default"/>
      </w:rPr>
    </w:lvl>
    <w:lvl w:ilvl="3">
      <w:start w:val="1"/>
      <w:numFmt w:val="bullet"/>
      <w:lvlText w:val="•"/>
      <w:lvlJc w:val="left"/>
      <w:pPr>
        <w:ind w:left="2375" w:hanging="360"/>
      </w:pPr>
      <w:rPr>
        <w:rFonts w:hint="default"/>
      </w:rPr>
    </w:lvl>
    <w:lvl w:ilvl="4">
      <w:start w:val="1"/>
      <w:numFmt w:val="bullet"/>
      <w:lvlText w:val="•"/>
      <w:lvlJc w:val="left"/>
      <w:pPr>
        <w:ind w:left="2893" w:hanging="360"/>
      </w:pPr>
      <w:rPr>
        <w:rFonts w:hint="default"/>
      </w:rPr>
    </w:lvl>
    <w:lvl w:ilvl="5">
      <w:start w:val="1"/>
      <w:numFmt w:val="bullet"/>
      <w:lvlText w:val="•"/>
      <w:lvlJc w:val="left"/>
      <w:pPr>
        <w:ind w:left="3411" w:hanging="360"/>
      </w:pPr>
      <w:rPr>
        <w:rFonts w:hint="default"/>
      </w:rPr>
    </w:lvl>
    <w:lvl w:ilvl="6">
      <w:start w:val="1"/>
      <w:numFmt w:val="bullet"/>
      <w:lvlText w:val="•"/>
      <w:lvlJc w:val="left"/>
      <w:pPr>
        <w:ind w:left="3930" w:hanging="360"/>
      </w:pPr>
      <w:rPr>
        <w:rFonts w:hint="default"/>
      </w:rPr>
    </w:lvl>
    <w:lvl w:ilvl="7">
      <w:start w:val="1"/>
      <w:numFmt w:val="bullet"/>
      <w:lvlText w:val="•"/>
      <w:lvlJc w:val="left"/>
      <w:pPr>
        <w:ind w:left="4448" w:hanging="360"/>
      </w:pPr>
      <w:rPr>
        <w:rFonts w:hint="default"/>
      </w:rPr>
    </w:lvl>
    <w:lvl w:ilvl="8">
      <w:start w:val="1"/>
      <w:numFmt w:val="bullet"/>
      <w:lvlText w:val="•"/>
      <w:lvlJc w:val="left"/>
      <w:pPr>
        <w:ind w:left="4966" w:hanging="360"/>
      </w:pPr>
      <w:rPr>
        <w:rFonts w:hint="default"/>
      </w:rPr>
    </w:lvl>
  </w:abstractNum>
  <w:abstractNum w:abstractNumId="10">
    <w:multiLevelType w:val="hybridMultilevel"/>
    <w:lvl w:ilvl="0">
      <w:start w:val="2"/>
      <w:numFmt w:val="decimal"/>
      <w:lvlText w:val="(%1)"/>
      <w:lvlJc w:val="left"/>
      <w:pPr>
        <w:ind w:left="416" w:hanging="295"/>
        <w:jc w:val="left"/>
      </w:pPr>
      <w:rPr>
        <w:rFonts w:hint="default" w:ascii="Times New Roman" w:hAnsi="Times New Roman" w:eastAsia="Times New Roman" w:cs="Times New Roman"/>
        <w:color w:val="231F20"/>
        <w:spacing w:val="0"/>
        <w:w w:val="90"/>
        <w:sz w:val="21"/>
        <w:szCs w:val="21"/>
      </w:rPr>
    </w:lvl>
    <w:lvl w:ilvl="1">
      <w:start w:val="1"/>
      <w:numFmt w:val="upperRoman"/>
      <w:lvlText w:val="%2."/>
      <w:lvlJc w:val="left"/>
      <w:pPr>
        <w:ind w:left="953" w:hanging="551"/>
        <w:jc w:val="right"/>
      </w:pPr>
      <w:rPr>
        <w:rFonts w:hint="default" w:ascii="Times New Roman" w:hAnsi="Times New Roman" w:eastAsia="Times New Roman" w:cs="Times New Roman"/>
        <w:color w:val="231F20"/>
        <w:spacing w:val="0"/>
        <w:w w:val="101"/>
        <w:sz w:val="21"/>
        <w:szCs w:val="21"/>
      </w:rPr>
    </w:lvl>
    <w:lvl w:ilvl="2">
      <w:start w:val="1"/>
      <w:numFmt w:val="bullet"/>
      <w:lvlText w:val="•"/>
      <w:lvlJc w:val="left"/>
      <w:pPr>
        <w:ind w:left="1520" w:hanging="551"/>
      </w:pPr>
      <w:rPr>
        <w:rFonts w:hint="default"/>
      </w:rPr>
    </w:lvl>
    <w:lvl w:ilvl="3">
      <w:start w:val="1"/>
      <w:numFmt w:val="bullet"/>
      <w:lvlText w:val="•"/>
      <w:lvlJc w:val="left"/>
      <w:pPr>
        <w:ind w:left="2080" w:hanging="551"/>
      </w:pPr>
      <w:rPr>
        <w:rFonts w:hint="default"/>
      </w:rPr>
    </w:lvl>
    <w:lvl w:ilvl="4">
      <w:start w:val="1"/>
      <w:numFmt w:val="bullet"/>
      <w:lvlText w:val="•"/>
      <w:lvlJc w:val="left"/>
      <w:pPr>
        <w:ind w:left="2641" w:hanging="551"/>
      </w:pPr>
      <w:rPr>
        <w:rFonts w:hint="default"/>
      </w:rPr>
    </w:lvl>
    <w:lvl w:ilvl="5">
      <w:start w:val="1"/>
      <w:numFmt w:val="bullet"/>
      <w:lvlText w:val="•"/>
      <w:lvlJc w:val="left"/>
      <w:pPr>
        <w:ind w:left="3201" w:hanging="551"/>
      </w:pPr>
      <w:rPr>
        <w:rFonts w:hint="default"/>
      </w:rPr>
    </w:lvl>
    <w:lvl w:ilvl="6">
      <w:start w:val="1"/>
      <w:numFmt w:val="bullet"/>
      <w:lvlText w:val="•"/>
      <w:lvlJc w:val="left"/>
      <w:pPr>
        <w:ind w:left="3762" w:hanging="551"/>
      </w:pPr>
      <w:rPr>
        <w:rFonts w:hint="default"/>
      </w:rPr>
    </w:lvl>
    <w:lvl w:ilvl="7">
      <w:start w:val="1"/>
      <w:numFmt w:val="bullet"/>
      <w:lvlText w:val="•"/>
      <w:lvlJc w:val="left"/>
      <w:pPr>
        <w:ind w:left="4322" w:hanging="551"/>
      </w:pPr>
      <w:rPr>
        <w:rFonts w:hint="default"/>
      </w:rPr>
    </w:lvl>
    <w:lvl w:ilvl="8">
      <w:start w:val="1"/>
      <w:numFmt w:val="bullet"/>
      <w:lvlText w:val="•"/>
      <w:lvlJc w:val="left"/>
      <w:pPr>
        <w:ind w:left="4882" w:hanging="551"/>
      </w:pPr>
      <w:rPr>
        <w:rFonts w:hint="default"/>
      </w:rPr>
    </w:lvl>
  </w:abstractNum>
  <w:abstractNum w:abstractNumId="9">
    <w:multiLevelType w:val="hybridMultilevel"/>
    <w:lvl w:ilvl="0">
      <w:start w:val="4"/>
      <w:numFmt w:val="decimal"/>
      <w:lvlText w:val="%1"/>
      <w:lvlJc w:val="left"/>
      <w:pPr>
        <w:ind w:left="102" w:hanging="605"/>
        <w:jc w:val="left"/>
      </w:pPr>
      <w:rPr>
        <w:rFonts w:hint="default"/>
      </w:rPr>
    </w:lvl>
    <w:lvl w:ilvl="1">
      <w:start w:val="1"/>
      <w:numFmt w:val="decimal"/>
      <w:lvlText w:val="%1.%2"/>
      <w:lvlJc w:val="left"/>
      <w:pPr>
        <w:ind w:left="102" w:hanging="605"/>
        <w:jc w:val="left"/>
      </w:pPr>
      <w:rPr>
        <w:rFonts w:hint="default"/>
      </w:rPr>
    </w:lvl>
    <w:lvl w:ilvl="2">
      <w:start w:val="6"/>
      <w:numFmt w:val="decimal"/>
      <w:lvlText w:val="%1.%2.%3"/>
      <w:lvlJc w:val="left"/>
      <w:pPr>
        <w:ind w:left="102" w:hanging="605"/>
        <w:jc w:val="left"/>
      </w:pPr>
      <w:rPr>
        <w:rFonts w:hint="default"/>
      </w:rPr>
    </w:lvl>
    <w:lvl w:ilvl="3">
      <w:start w:val="5"/>
      <w:numFmt w:val="decimal"/>
      <w:lvlText w:val="%1.%2.%3.%4."/>
      <w:lvlJc w:val="left"/>
      <w:pPr>
        <w:ind w:left="102" w:hanging="605"/>
        <w:jc w:val="left"/>
      </w:pPr>
      <w:rPr>
        <w:rFonts w:hint="default" w:ascii="Times New Roman" w:hAnsi="Times New Roman" w:eastAsia="Times New Roman" w:cs="Times New Roman"/>
        <w:i/>
        <w:color w:val="231F20"/>
        <w:spacing w:val="0"/>
        <w:w w:val="89"/>
        <w:sz w:val="21"/>
        <w:szCs w:val="21"/>
      </w:rPr>
    </w:lvl>
    <w:lvl w:ilvl="4">
      <w:start w:val="1"/>
      <w:numFmt w:val="decimal"/>
      <w:lvlText w:val="%1.%2.%3.%4.%5."/>
      <w:lvlJc w:val="left"/>
      <w:pPr>
        <w:ind w:left="102" w:hanging="864"/>
        <w:jc w:val="left"/>
      </w:pPr>
      <w:rPr>
        <w:rFonts w:hint="default"/>
        <w:i/>
        <w:spacing w:val="0"/>
        <w:w w:val="89"/>
      </w:rPr>
    </w:lvl>
    <w:lvl w:ilvl="5">
      <w:start w:val="1"/>
      <w:numFmt w:val="bullet"/>
      <w:lvlText w:val="•"/>
      <w:lvlJc w:val="left"/>
      <w:pPr>
        <w:ind w:left="3051" w:hanging="864"/>
      </w:pPr>
      <w:rPr>
        <w:rFonts w:hint="default"/>
      </w:rPr>
    </w:lvl>
    <w:lvl w:ilvl="6">
      <w:start w:val="1"/>
      <w:numFmt w:val="bullet"/>
      <w:lvlText w:val="•"/>
      <w:lvlJc w:val="left"/>
      <w:pPr>
        <w:ind w:left="3642" w:hanging="864"/>
      </w:pPr>
      <w:rPr>
        <w:rFonts w:hint="default"/>
      </w:rPr>
    </w:lvl>
    <w:lvl w:ilvl="7">
      <w:start w:val="1"/>
      <w:numFmt w:val="bullet"/>
      <w:lvlText w:val="•"/>
      <w:lvlJc w:val="left"/>
      <w:pPr>
        <w:ind w:left="4232" w:hanging="864"/>
      </w:pPr>
      <w:rPr>
        <w:rFonts w:hint="default"/>
      </w:rPr>
    </w:lvl>
    <w:lvl w:ilvl="8">
      <w:start w:val="1"/>
      <w:numFmt w:val="bullet"/>
      <w:lvlText w:val="•"/>
      <w:lvlJc w:val="left"/>
      <w:pPr>
        <w:ind w:left="4822" w:hanging="864"/>
      </w:pPr>
      <w:rPr>
        <w:rFonts w:hint="default"/>
      </w:rPr>
    </w:lvl>
  </w:abstractNum>
  <w:abstractNum w:abstractNumId="8">
    <w:multiLevelType w:val="hybridMultilevel"/>
    <w:lvl w:ilvl="0">
      <w:start w:val="4"/>
      <w:numFmt w:val="decimal"/>
      <w:lvlText w:val="%1"/>
      <w:lvlJc w:val="left"/>
      <w:pPr>
        <w:ind w:left="102" w:hanging="666"/>
        <w:jc w:val="left"/>
      </w:pPr>
      <w:rPr>
        <w:rFonts w:hint="default"/>
      </w:rPr>
    </w:lvl>
    <w:lvl w:ilvl="1">
      <w:start w:val="1"/>
      <w:numFmt w:val="decimal"/>
      <w:lvlText w:val="%1.%2"/>
      <w:lvlJc w:val="left"/>
      <w:pPr>
        <w:ind w:left="102" w:hanging="666"/>
        <w:jc w:val="left"/>
      </w:pPr>
      <w:rPr>
        <w:rFonts w:hint="default"/>
      </w:rPr>
    </w:lvl>
    <w:lvl w:ilvl="2">
      <w:start w:val="6"/>
      <w:numFmt w:val="decimal"/>
      <w:lvlText w:val="%1.%2.%3"/>
      <w:lvlJc w:val="left"/>
      <w:pPr>
        <w:ind w:left="102" w:hanging="666"/>
        <w:jc w:val="left"/>
      </w:pPr>
      <w:rPr>
        <w:rFonts w:hint="default"/>
      </w:rPr>
    </w:lvl>
    <w:lvl w:ilvl="3">
      <w:start w:val="4"/>
      <w:numFmt w:val="decimal"/>
      <w:lvlText w:val="%1.%2.%3.%4."/>
      <w:lvlJc w:val="left"/>
      <w:pPr>
        <w:ind w:left="102" w:hanging="666"/>
        <w:jc w:val="left"/>
      </w:pPr>
      <w:rPr>
        <w:rFonts w:hint="default" w:ascii="Times New Roman" w:hAnsi="Times New Roman" w:eastAsia="Times New Roman" w:cs="Times New Roman"/>
        <w:i/>
        <w:color w:val="231F20"/>
        <w:spacing w:val="0"/>
        <w:w w:val="89"/>
        <w:sz w:val="21"/>
        <w:szCs w:val="21"/>
      </w:rPr>
    </w:lvl>
    <w:lvl w:ilvl="4">
      <w:start w:val="1"/>
      <w:numFmt w:val="decimal"/>
      <w:lvlText w:val="%1.%2.%3.%4.%5."/>
      <w:lvlJc w:val="left"/>
      <w:pPr>
        <w:ind w:left="102" w:hanging="817"/>
        <w:jc w:val="left"/>
      </w:pPr>
      <w:rPr>
        <w:rFonts w:hint="default" w:ascii="Times New Roman" w:hAnsi="Times New Roman" w:eastAsia="Times New Roman" w:cs="Times New Roman"/>
        <w:i/>
        <w:color w:val="231F20"/>
        <w:spacing w:val="0"/>
        <w:w w:val="89"/>
        <w:sz w:val="21"/>
        <w:szCs w:val="21"/>
      </w:rPr>
    </w:lvl>
    <w:lvl w:ilvl="5">
      <w:start w:val="1"/>
      <w:numFmt w:val="bullet"/>
      <w:lvlText w:val="•"/>
      <w:lvlJc w:val="left"/>
      <w:pPr>
        <w:ind w:left="3051" w:hanging="817"/>
      </w:pPr>
      <w:rPr>
        <w:rFonts w:hint="default"/>
      </w:rPr>
    </w:lvl>
    <w:lvl w:ilvl="6">
      <w:start w:val="1"/>
      <w:numFmt w:val="bullet"/>
      <w:lvlText w:val="•"/>
      <w:lvlJc w:val="left"/>
      <w:pPr>
        <w:ind w:left="3642" w:hanging="817"/>
      </w:pPr>
      <w:rPr>
        <w:rFonts w:hint="default"/>
      </w:rPr>
    </w:lvl>
    <w:lvl w:ilvl="7">
      <w:start w:val="1"/>
      <w:numFmt w:val="bullet"/>
      <w:lvlText w:val="•"/>
      <w:lvlJc w:val="left"/>
      <w:pPr>
        <w:ind w:left="4232" w:hanging="817"/>
      </w:pPr>
      <w:rPr>
        <w:rFonts w:hint="default"/>
      </w:rPr>
    </w:lvl>
    <w:lvl w:ilvl="8">
      <w:start w:val="1"/>
      <w:numFmt w:val="bullet"/>
      <w:lvlText w:val="•"/>
      <w:lvlJc w:val="left"/>
      <w:pPr>
        <w:ind w:left="4822" w:hanging="817"/>
      </w:pPr>
      <w:rPr>
        <w:rFonts w:hint="default"/>
      </w:rPr>
    </w:lvl>
  </w:abstractNum>
  <w:abstractNum w:abstractNumId="7">
    <w:multiLevelType w:val="hybridMultilevel"/>
    <w:lvl w:ilvl="0">
      <w:start w:val="1"/>
      <w:numFmt w:val="bullet"/>
      <w:lvlText w:val=""/>
      <w:lvlJc w:val="left"/>
      <w:pPr>
        <w:ind w:left="822" w:hanging="360"/>
      </w:pPr>
      <w:rPr>
        <w:rFonts w:hint="default" w:ascii="Symbol" w:hAnsi="Symbol" w:eastAsia="Symbol" w:cs="Symbol"/>
        <w:color w:val="231F20"/>
        <w:w w:val="102"/>
        <w:sz w:val="21"/>
        <w:szCs w:val="21"/>
      </w:rPr>
    </w:lvl>
    <w:lvl w:ilvl="1">
      <w:start w:val="1"/>
      <w:numFmt w:val="bullet"/>
      <w:lvlText w:val="•"/>
      <w:lvlJc w:val="left"/>
      <w:pPr>
        <w:ind w:left="1338" w:hanging="360"/>
      </w:pPr>
      <w:rPr>
        <w:rFonts w:hint="default"/>
      </w:rPr>
    </w:lvl>
    <w:lvl w:ilvl="2">
      <w:start w:val="1"/>
      <w:numFmt w:val="bullet"/>
      <w:lvlText w:val="•"/>
      <w:lvlJc w:val="left"/>
      <w:pPr>
        <w:ind w:left="1856" w:hanging="360"/>
      </w:pPr>
      <w:rPr>
        <w:rFonts w:hint="default"/>
      </w:rPr>
    </w:lvl>
    <w:lvl w:ilvl="3">
      <w:start w:val="1"/>
      <w:numFmt w:val="bullet"/>
      <w:lvlText w:val="•"/>
      <w:lvlJc w:val="left"/>
      <w:pPr>
        <w:ind w:left="2375" w:hanging="360"/>
      </w:pPr>
      <w:rPr>
        <w:rFonts w:hint="default"/>
      </w:rPr>
    </w:lvl>
    <w:lvl w:ilvl="4">
      <w:start w:val="1"/>
      <w:numFmt w:val="bullet"/>
      <w:lvlText w:val="•"/>
      <w:lvlJc w:val="left"/>
      <w:pPr>
        <w:ind w:left="2893" w:hanging="360"/>
      </w:pPr>
      <w:rPr>
        <w:rFonts w:hint="default"/>
      </w:rPr>
    </w:lvl>
    <w:lvl w:ilvl="5">
      <w:start w:val="1"/>
      <w:numFmt w:val="bullet"/>
      <w:lvlText w:val="•"/>
      <w:lvlJc w:val="left"/>
      <w:pPr>
        <w:ind w:left="3411" w:hanging="360"/>
      </w:pPr>
      <w:rPr>
        <w:rFonts w:hint="default"/>
      </w:rPr>
    </w:lvl>
    <w:lvl w:ilvl="6">
      <w:start w:val="1"/>
      <w:numFmt w:val="bullet"/>
      <w:lvlText w:val="•"/>
      <w:lvlJc w:val="left"/>
      <w:pPr>
        <w:ind w:left="3930" w:hanging="360"/>
      </w:pPr>
      <w:rPr>
        <w:rFonts w:hint="default"/>
      </w:rPr>
    </w:lvl>
    <w:lvl w:ilvl="7">
      <w:start w:val="1"/>
      <w:numFmt w:val="bullet"/>
      <w:lvlText w:val="•"/>
      <w:lvlJc w:val="left"/>
      <w:pPr>
        <w:ind w:left="4448" w:hanging="360"/>
      </w:pPr>
      <w:rPr>
        <w:rFonts w:hint="default"/>
      </w:rPr>
    </w:lvl>
    <w:lvl w:ilvl="8">
      <w:start w:val="1"/>
      <w:numFmt w:val="bullet"/>
      <w:lvlText w:val="•"/>
      <w:lvlJc w:val="left"/>
      <w:pPr>
        <w:ind w:left="4966" w:hanging="360"/>
      </w:pPr>
      <w:rPr>
        <w:rFonts w:hint="default"/>
      </w:rPr>
    </w:lvl>
  </w:abstractNum>
  <w:abstractNum w:abstractNumId="6">
    <w:multiLevelType w:val="hybridMultilevel"/>
    <w:lvl w:ilvl="0">
      <w:start w:val="2"/>
      <w:numFmt w:val="decimal"/>
      <w:lvlText w:val="%1"/>
      <w:lvlJc w:val="left"/>
      <w:pPr>
        <w:ind w:left="459" w:hanging="358"/>
        <w:jc w:val="left"/>
      </w:pPr>
      <w:rPr>
        <w:rFonts w:hint="default"/>
      </w:rPr>
    </w:lvl>
    <w:lvl w:ilvl="1">
      <w:start w:val="3"/>
      <w:numFmt w:val="decimal"/>
      <w:lvlText w:val="%1.%2."/>
      <w:lvlJc w:val="left"/>
      <w:pPr>
        <w:ind w:left="459" w:hanging="358"/>
        <w:jc w:val="left"/>
      </w:pPr>
      <w:rPr>
        <w:rFonts w:hint="default" w:ascii="Times New Roman" w:hAnsi="Times New Roman" w:eastAsia="Times New Roman" w:cs="Times New Roman"/>
        <w:i/>
        <w:color w:val="231F20"/>
        <w:spacing w:val="0"/>
        <w:w w:val="90"/>
        <w:sz w:val="21"/>
        <w:szCs w:val="21"/>
      </w:rPr>
    </w:lvl>
    <w:lvl w:ilvl="2">
      <w:start w:val="1"/>
      <w:numFmt w:val="decimal"/>
      <w:lvlText w:val="%1.%2.%3."/>
      <w:lvlJc w:val="left"/>
      <w:pPr>
        <w:ind w:left="610" w:hanging="509"/>
        <w:jc w:val="left"/>
      </w:pPr>
      <w:rPr>
        <w:rFonts w:hint="default" w:ascii="Times New Roman" w:hAnsi="Times New Roman" w:eastAsia="Times New Roman" w:cs="Times New Roman"/>
        <w:i/>
        <w:color w:val="231F20"/>
        <w:spacing w:val="0"/>
        <w:w w:val="89"/>
        <w:sz w:val="21"/>
        <w:szCs w:val="21"/>
      </w:rPr>
    </w:lvl>
    <w:lvl w:ilvl="3">
      <w:start w:val="1"/>
      <w:numFmt w:val="bullet"/>
      <w:lvlText w:val="•"/>
      <w:lvlJc w:val="left"/>
      <w:pPr>
        <w:ind w:left="1816" w:hanging="509"/>
      </w:pPr>
      <w:rPr>
        <w:rFonts w:hint="default"/>
      </w:rPr>
    </w:lvl>
    <w:lvl w:ilvl="4">
      <w:start w:val="1"/>
      <w:numFmt w:val="bullet"/>
      <w:lvlText w:val="•"/>
      <w:lvlJc w:val="left"/>
      <w:pPr>
        <w:ind w:left="2414" w:hanging="509"/>
      </w:pPr>
      <w:rPr>
        <w:rFonts w:hint="default"/>
      </w:rPr>
    </w:lvl>
    <w:lvl w:ilvl="5">
      <w:start w:val="1"/>
      <w:numFmt w:val="bullet"/>
      <w:lvlText w:val="•"/>
      <w:lvlJc w:val="left"/>
      <w:pPr>
        <w:ind w:left="3012" w:hanging="509"/>
      </w:pPr>
      <w:rPr>
        <w:rFonts w:hint="default"/>
      </w:rPr>
    </w:lvl>
    <w:lvl w:ilvl="6">
      <w:start w:val="1"/>
      <w:numFmt w:val="bullet"/>
      <w:lvlText w:val="•"/>
      <w:lvlJc w:val="left"/>
      <w:pPr>
        <w:ind w:left="3610" w:hanging="509"/>
      </w:pPr>
      <w:rPr>
        <w:rFonts w:hint="default"/>
      </w:rPr>
    </w:lvl>
    <w:lvl w:ilvl="7">
      <w:start w:val="1"/>
      <w:numFmt w:val="bullet"/>
      <w:lvlText w:val="•"/>
      <w:lvlJc w:val="left"/>
      <w:pPr>
        <w:ind w:left="4209" w:hanging="509"/>
      </w:pPr>
      <w:rPr>
        <w:rFonts w:hint="default"/>
      </w:rPr>
    </w:lvl>
    <w:lvl w:ilvl="8">
      <w:start w:val="1"/>
      <w:numFmt w:val="bullet"/>
      <w:lvlText w:val="•"/>
      <w:lvlJc w:val="left"/>
      <w:pPr>
        <w:ind w:left="4807" w:hanging="509"/>
      </w:pPr>
      <w:rPr>
        <w:rFonts w:hint="default"/>
      </w:rPr>
    </w:lvl>
  </w:abstractNum>
  <w:abstractNum w:abstractNumId="5">
    <w:multiLevelType w:val="hybridMultilevel"/>
    <w:lvl w:ilvl="0">
      <w:start w:val="1"/>
      <w:numFmt w:val="decimal"/>
      <w:lvlText w:val="%1."/>
      <w:lvlJc w:val="left"/>
      <w:pPr>
        <w:ind w:left="308" w:hanging="207"/>
        <w:jc w:val="left"/>
      </w:pPr>
      <w:rPr>
        <w:rFonts w:hint="default"/>
        <w:spacing w:val="0"/>
        <w:w w:val="89"/>
      </w:rPr>
    </w:lvl>
    <w:lvl w:ilvl="1">
      <w:start w:val="1"/>
      <w:numFmt w:val="decimal"/>
      <w:lvlText w:val="%1.%2."/>
      <w:lvlJc w:val="left"/>
      <w:pPr>
        <w:ind w:left="459" w:hanging="358"/>
        <w:jc w:val="left"/>
      </w:pPr>
      <w:rPr>
        <w:rFonts w:hint="default" w:ascii="Times New Roman" w:hAnsi="Times New Roman" w:eastAsia="Times New Roman" w:cs="Times New Roman"/>
        <w:i/>
        <w:color w:val="231F20"/>
        <w:spacing w:val="0"/>
        <w:w w:val="90"/>
        <w:sz w:val="21"/>
        <w:szCs w:val="21"/>
      </w:rPr>
    </w:lvl>
    <w:lvl w:ilvl="2">
      <w:start w:val="1"/>
      <w:numFmt w:val="decimal"/>
      <w:lvlText w:val="%1.%2.%3."/>
      <w:lvlJc w:val="left"/>
      <w:pPr>
        <w:ind w:left="610" w:hanging="509"/>
        <w:jc w:val="left"/>
      </w:pPr>
      <w:rPr>
        <w:rFonts w:hint="default" w:ascii="Times New Roman" w:hAnsi="Times New Roman" w:eastAsia="Times New Roman" w:cs="Times New Roman"/>
        <w:i/>
        <w:color w:val="231F20"/>
        <w:spacing w:val="0"/>
        <w:w w:val="90"/>
        <w:sz w:val="21"/>
        <w:szCs w:val="21"/>
      </w:rPr>
    </w:lvl>
    <w:lvl w:ilvl="3">
      <w:start w:val="1"/>
      <w:numFmt w:val="decimal"/>
      <w:lvlText w:val="%1.%2.%3.%4."/>
      <w:lvlJc w:val="left"/>
      <w:pPr>
        <w:ind w:left="761" w:hanging="660"/>
        <w:jc w:val="left"/>
      </w:pPr>
      <w:rPr>
        <w:rFonts w:hint="default" w:ascii="Times New Roman" w:hAnsi="Times New Roman" w:eastAsia="Times New Roman" w:cs="Times New Roman"/>
        <w:i/>
        <w:color w:val="231F20"/>
        <w:spacing w:val="0"/>
        <w:w w:val="90"/>
        <w:sz w:val="21"/>
        <w:szCs w:val="21"/>
      </w:rPr>
    </w:lvl>
    <w:lvl w:ilvl="4">
      <w:start w:val="1"/>
      <w:numFmt w:val="bullet"/>
      <w:lvlText w:val="•"/>
      <w:lvlJc w:val="left"/>
      <w:pPr>
        <w:ind w:left="1509" w:hanging="660"/>
      </w:pPr>
      <w:rPr>
        <w:rFonts w:hint="default"/>
      </w:rPr>
    </w:lvl>
    <w:lvl w:ilvl="5">
      <w:start w:val="1"/>
      <w:numFmt w:val="bullet"/>
      <w:lvlText w:val="•"/>
      <w:lvlJc w:val="left"/>
      <w:pPr>
        <w:ind w:left="2258" w:hanging="660"/>
      </w:pPr>
      <w:rPr>
        <w:rFonts w:hint="default"/>
      </w:rPr>
    </w:lvl>
    <w:lvl w:ilvl="6">
      <w:start w:val="1"/>
      <w:numFmt w:val="bullet"/>
      <w:lvlText w:val="•"/>
      <w:lvlJc w:val="left"/>
      <w:pPr>
        <w:ind w:left="3007" w:hanging="660"/>
      </w:pPr>
      <w:rPr>
        <w:rFonts w:hint="default"/>
      </w:rPr>
    </w:lvl>
    <w:lvl w:ilvl="7">
      <w:start w:val="1"/>
      <w:numFmt w:val="bullet"/>
      <w:lvlText w:val="•"/>
      <w:lvlJc w:val="left"/>
      <w:pPr>
        <w:ind w:left="3756" w:hanging="660"/>
      </w:pPr>
      <w:rPr>
        <w:rFonts w:hint="default"/>
      </w:rPr>
    </w:lvl>
    <w:lvl w:ilvl="8">
      <w:start w:val="1"/>
      <w:numFmt w:val="bullet"/>
      <w:lvlText w:val="•"/>
      <w:lvlJc w:val="left"/>
      <w:pPr>
        <w:ind w:left="4505" w:hanging="660"/>
      </w:pPr>
      <w:rPr>
        <w:rFonts w:hint="default"/>
      </w:rPr>
    </w:lvl>
  </w:abstractNum>
  <w:abstractNum w:abstractNumId="4">
    <w:multiLevelType w:val="hybridMultilevel"/>
    <w:lvl w:ilvl="0">
      <w:start w:val="1"/>
      <w:numFmt w:val="bullet"/>
      <w:lvlText w:val="•"/>
      <w:lvlJc w:val="left"/>
      <w:pPr>
        <w:ind w:left="810" w:hanging="129"/>
      </w:pPr>
      <w:rPr>
        <w:rFonts w:hint="default" w:ascii="Times New Roman" w:hAnsi="Times New Roman" w:eastAsia="Times New Roman" w:cs="Times New Roman"/>
        <w:color w:val="231F20"/>
        <w:w w:val="104"/>
        <w:sz w:val="19"/>
        <w:szCs w:val="19"/>
      </w:rPr>
    </w:lvl>
    <w:lvl w:ilvl="1">
      <w:start w:val="1"/>
      <w:numFmt w:val="bullet"/>
      <w:lvlText w:val="•"/>
      <w:lvlJc w:val="left"/>
      <w:pPr>
        <w:ind w:left="1338" w:hanging="129"/>
      </w:pPr>
      <w:rPr>
        <w:rFonts w:hint="default"/>
      </w:rPr>
    </w:lvl>
    <w:lvl w:ilvl="2">
      <w:start w:val="1"/>
      <w:numFmt w:val="bullet"/>
      <w:lvlText w:val="•"/>
      <w:lvlJc w:val="left"/>
      <w:pPr>
        <w:ind w:left="1856" w:hanging="129"/>
      </w:pPr>
      <w:rPr>
        <w:rFonts w:hint="default"/>
      </w:rPr>
    </w:lvl>
    <w:lvl w:ilvl="3">
      <w:start w:val="1"/>
      <w:numFmt w:val="bullet"/>
      <w:lvlText w:val="•"/>
      <w:lvlJc w:val="left"/>
      <w:pPr>
        <w:ind w:left="2375" w:hanging="129"/>
      </w:pPr>
      <w:rPr>
        <w:rFonts w:hint="default"/>
      </w:rPr>
    </w:lvl>
    <w:lvl w:ilvl="4">
      <w:start w:val="1"/>
      <w:numFmt w:val="bullet"/>
      <w:lvlText w:val="•"/>
      <w:lvlJc w:val="left"/>
      <w:pPr>
        <w:ind w:left="2893" w:hanging="129"/>
      </w:pPr>
      <w:rPr>
        <w:rFonts w:hint="default"/>
      </w:rPr>
    </w:lvl>
    <w:lvl w:ilvl="5">
      <w:start w:val="1"/>
      <w:numFmt w:val="bullet"/>
      <w:lvlText w:val="•"/>
      <w:lvlJc w:val="left"/>
      <w:pPr>
        <w:ind w:left="3411" w:hanging="129"/>
      </w:pPr>
      <w:rPr>
        <w:rFonts w:hint="default"/>
      </w:rPr>
    </w:lvl>
    <w:lvl w:ilvl="6">
      <w:start w:val="1"/>
      <w:numFmt w:val="bullet"/>
      <w:lvlText w:val="•"/>
      <w:lvlJc w:val="left"/>
      <w:pPr>
        <w:ind w:left="3930" w:hanging="129"/>
      </w:pPr>
      <w:rPr>
        <w:rFonts w:hint="default"/>
      </w:rPr>
    </w:lvl>
    <w:lvl w:ilvl="7">
      <w:start w:val="1"/>
      <w:numFmt w:val="bullet"/>
      <w:lvlText w:val="•"/>
      <w:lvlJc w:val="left"/>
      <w:pPr>
        <w:ind w:left="4448" w:hanging="129"/>
      </w:pPr>
      <w:rPr>
        <w:rFonts w:hint="default"/>
      </w:rPr>
    </w:lvl>
    <w:lvl w:ilvl="8">
      <w:start w:val="1"/>
      <w:numFmt w:val="bullet"/>
      <w:lvlText w:val="•"/>
      <w:lvlJc w:val="left"/>
      <w:pPr>
        <w:ind w:left="4966" w:hanging="129"/>
      </w:pPr>
      <w:rPr>
        <w:rFonts w:hint="default"/>
      </w:rPr>
    </w:lvl>
  </w:abstractNum>
  <w:abstractNum w:abstractNumId="3">
    <w:multiLevelType w:val="hybridMultilevel"/>
    <w:lvl w:ilvl="0">
      <w:start w:val="1"/>
      <w:numFmt w:val="decimal"/>
      <w:lvlText w:val="%1."/>
      <w:lvlJc w:val="left"/>
      <w:pPr>
        <w:ind w:left="810" w:hanging="225"/>
        <w:jc w:val="left"/>
      </w:pPr>
      <w:rPr>
        <w:rFonts w:hint="default" w:ascii="Times New Roman" w:hAnsi="Times New Roman" w:eastAsia="Times New Roman" w:cs="Times New Roman"/>
        <w:color w:val="231F20"/>
        <w:spacing w:val="0"/>
        <w:w w:val="90"/>
        <w:sz w:val="19"/>
        <w:szCs w:val="19"/>
      </w:rPr>
    </w:lvl>
    <w:lvl w:ilvl="1">
      <w:start w:val="1"/>
      <w:numFmt w:val="bullet"/>
      <w:lvlText w:val="•"/>
      <w:lvlJc w:val="left"/>
      <w:pPr>
        <w:ind w:left="1338" w:hanging="225"/>
      </w:pPr>
      <w:rPr>
        <w:rFonts w:hint="default"/>
      </w:rPr>
    </w:lvl>
    <w:lvl w:ilvl="2">
      <w:start w:val="1"/>
      <w:numFmt w:val="bullet"/>
      <w:lvlText w:val="•"/>
      <w:lvlJc w:val="left"/>
      <w:pPr>
        <w:ind w:left="1856" w:hanging="225"/>
      </w:pPr>
      <w:rPr>
        <w:rFonts w:hint="default"/>
      </w:rPr>
    </w:lvl>
    <w:lvl w:ilvl="3">
      <w:start w:val="1"/>
      <w:numFmt w:val="bullet"/>
      <w:lvlText w:val="•"/>
      <w:lvlJc w:val="left"/>
      <w:pPr>
        <w:ind w:left="2375" w:hanging="225"/>
      </w:pPr>
      <w:rPr>
        <w:rFonts w:hint="default"/>
      </w:rPr>
    </w:lvl>
    <w:lvl w:ilvl="4">
      <w:start w:val="1"/>
      <w:numFmt w:val="bullet"/>
      <w:lvlText w:val="•"/>
      <w:lvlJc w:val="left"/>
      <w:pPr>
        <w:ind w:left="2893" w:hanging="225"/>
      </w:pPr>
      <w:rPr>
        <w:rFonts w:hint="default"/>
      </w:rPr>
    </w:lvl>
    <w:lvl w:ilvl="5">
      <w:start w:val="1"/>
      <w:numFmt w:val="bullet"/>
      <w:lvlText w:val="•"/>
      <w:lvlJc w:val="left"/>
      <w:pPr>
        <w:ind w:left="3411" w:hanging="225"/>
      </w:pPr>
      <w:rPr>
        <w:rFonts w:hint="default"/>
      </w:rPr>
    </w:lvl>
    <w:lvl w:ilvl="6">
      <w:start w:val="1"/>
      <w:numFmt w:val="bullet"/>
      <w:lvlText w:val="•"/>
      <w:lvlJc w:val="left"/>
      <w:pPr>
        <w:ind w:left="3930" w:hanging="225"/>
      </w:pPr>
      <w:rPr>
        <w:rFonts w:hint="default"/>
      </w:rPr>
    </w:lvl>
    <w:lvl w:ilvl="7">
      <w:start w:val="1"/>
      <w:numFmt w:val="bullet"/>
      <w:lvlText w:val="•"/>
      <w:lvlJc w:val="left"/>
      <w:pPr>
        <w:ind w:left="4448" w:hanging="225"/>
      </w:pPr>
      <w:rPr>
        <w:rFonts w:hint="default"/>
      </w:rPr>
    </w:lvl>
    <w:lvl w:ilvl="8">
      <w:start w:val="1"/>
      <w:numFmt w:val="bullet"/>
      <w:lvlText w:val="•"/>
      <w:lvlJc w:val="left"/>
      <w:pPr>
        <w:ind w:left="4966" w:hanging="225"/>
      </w:pPr>
      <w:rPr>
        <w:rFonts w:hint="default"/>
      </w:rPr>
    </w:lvl>
  </w:abstractNum>
  <w:abstractNum w:abstractNumId="2">
    <w:multiLevelType w:val="hybridMultilevel"/>
    <w:lvl w:ilvl="0">
      <w:start w:val="1"/>
      <w:numFmt w:val="decimal"/>
      <w:lvlText w:val="%1)"/>
      <w:lvlJc w:val="left"/>
      <w:pPr>
        <w:ind w:left="102" w:hanging="285"/>
        <w:jc w:val="left"/>
      </w:pPr>
      <w:rPr>
        <w:rFonts w:hint="default" w:ascii="Times New Roman" w:hAnsi="Times New Roman" w:eastAsia="Times New Roman" w:cs="Times New Roman"/>
        <w:color w:val="231F20"/>
        <w:spacing w:val="0"/>
        <w:w w:val="90"/>
        <w:sz w:val="21"/>
        <w:szCs w:val="21"/>
      </w:rPr>
    </w:lvl>
    <w:lvl w:ilvl="1">
      <w:start w:val="1"/>
      <w:numFmt w:val="decimal"/>
      <w:lvlText w:val="%2."/>
      <w:lvlJc w:val="left"/>
      <w:pPr>
        <w:ind w:left="1170" w:hanging="361"/>
        <w:jc w:val="left"/>
      </w:pPr>
      <w:rPr>
        <w:rFonts w:hint="default" w:ascii="Times New Roman" w:hAnsi="Times New Roman" w:eastAsia="Times New Roman" w:cs="Times New Roman"/>
        <w:color w:val="231F20"/>
        <w:spacing w:val="0"/>
        <w:w w:val="90"/>
        <w:sz w:val="19"/>
        <w:szCs w:val="19"/>
      </w:rPr>
    </w:lvl>
    <w:lvl w:ilvl="2">
      <w:start w:val="1"/>
      <w:numFmt w:val="bullet"/>
      <w:lvlText w:val="•"/>
      <w:lvlJc w:val="left"/>
      <w:pPr>
        <w:ind w:left="1715" w:hanging="361"/>
      </w:pPr>
      <w:rPr>
        <w:rFonts w:hint="default"/>
      </w:rPr>
    </w:lvl>
    <w:lvl w:ilvl="3">
      <w:start w:val="1"/>
      <w:numFmt w:val="bullet"/>
      <w:lvlText w:val="•"/>
      <w:lvlJc w:val="left"/>
      <w:pPr>
        <w:ind w:left="2251" w:hanging="361"/>
      </w:pPr>
      <w:rPr>
        <w:rFonts w:hint="default"/>
      </w:rPr>
    </w:lvl>
    <w:lvl w:ilvl="4">
      <w:start w:val="1"/>
      <w:numFmt w:val="bullet"/>
      <w:lvlText w:val="•"/>
      <w:lvlJc w:val="left"/>
      <w:pPr>
        <w:ind w:left="2787" w:hanging="361"/>
      </w:pPr>
      <w:rPr>
        <w:rFonts w:hint="default"/>
      </w:rPr>
    </w:lvl>
    <w:lvl w:ilvl="5">
      <w:start w:val="1"/>
      <w:numFmt w:val="bullet"/>
      <w:lvlText w:val="•"/>
      <w:lvlJc w:val="left"/>
      <w:pPr>
        <w:ind w:left="3323" w:hanging="361"/>
      </w:pPr>
      <w:rPr>
        <w:rFonts w:hint="default"/>
      </w:rPr>
    </w:lvl>
    <w:lvl w:ilvl="6">
      <w:start w:val="1"/>
      <w:numFmt w:val="bullet"/>
      <w:lvlText w:val="•"/>
      <w:lvlJc w:val="left"/>
      <w:pPr>
        <w:ind w:left="3859" w:hanging="361"/>
      </w:pPr>
      <w:rPr>
        <w:rFonts w:hint="default"/>
      </w:rPr>
    </w:lvl>
    <w:lvl w:ilvl="7">
      <w:start w:val="1"/>
      <w:numFmt w:val="bullet"/>
      <w:lvlText w:val="•"/>
      <w:lvlJc w:val="left"/>
      <w:pPr>
        <w:ind w:left="4395" w:hanging="361"/>
      </w:pPr>
      <w:rPr>
        <w:rFonts w:hint="default"/>
      </w:rPr>
    </w:lvl>
    <w:lvl w:ilvl="8">
      <w:start w:val="1"/>
      <w:numFmt w:val="bullet"/>
      <w:lvlText w:val="•"/>
      <w:lvlJc w:val="left"/>
      <w:pPr>
        <w:ind w:left="4931" w:hanging="361"/>
      </w:pPr>
      <w:rPr>
        <w:rFonts w:hint="default"/>
      </w:rPr>
    </w:lvl>
  </w:abstractNum>
  <w:abstractNum w:abstractNumId="1">
    <w:multiLevelType w:val="hybridMultilevel"/>
    <w:lvl w:ilvl="0">
      <w:start w:val="3"/>
      <w:numFmt w:val="lowerRoman"/>
      <w:lvlText w:val="%1."/>
      <w:lvlJc w:val="left"/>
      <w:pPr>
        <w:ind w:left="102" w:hanging="265"/>
        <w:jc w:val="left"/>
      </w:pPr>
      <w:rPr>
        <w:rFonts w:hint="default" w:ascii="Times New Roman" w:hAnsi="Times New Roman" w:eastAsia="Times New Roman" w:cs="Times New Roman"/>
        <w:color w:val="231F20"/>
        <w:w w:val="84"/>
        <w:sz w:val="21"/>
        <w:szCs w:val="21"/>
      </w:rPr>
    </w:lvl>
    <w:lvl w:ilvl="1">
      <w:start w:val="7"/>
      <w:numFmt w:val="upperLetter"/>
      <w:lvlText w:val="%2."/>
      <w:lvlJc w:val="left"/>
      <w:pPr>
        <w:ind w:left="823" w:hanging="273"/>
        <w:jc w:val="left"/>
      </w:pPr>
      <w:rPr>
        <w:rFonts w:hint="default"/>
        <w:spacing w:val="0"/>
        <w:w w:val="90"/>
      </w:rPr>
    </w:lvl>
    <w:lvl w:ilvl="2">
      <w:start w:val="1"/>
      <w:numFmt w:val="bullet"/>
      <w:lvlText w:val="•"/>
      <w:lvlJc w:val="left"/>
      <w:pPr>
        <w:ind w:left="1391" w:hanging="273"/>
      </w:pPr>
      <w:rPr>
        <w:rFonts w:hint="default"/>
      </w:rPr>
    </w:lvl>
    <w:lvl w:ilvl="3">
      <w:start w:val="1"/>
      <w:numFmt w:val="bullet"/>
      <w:lvlText w:val="•"/>
      <w:lvlJc w:val="left"/>
      <w:pPr>
        <w:ind w:left="1963" w:hanging="273"/>
      </w:pPr>
      <w:rPr>
        <w:rFonts w:hint="default"/>
      </w:rPr>
    </w:lvl>
    <w:lvl w:ilvl="4">
      <w:start w:val="1"/>
      <w:numFmt w:val="bullet"/>
      <w:lvlText w:val="•"/>
      <w:lvlJc w:val="left"/>
      <w:pPr>
        <w:ind w:left="2534" w:hanging="273"/>
      </w:pPr>
      <w:rPr>
        <w:rFonts w:hint="default"/>
      </w:rPr>
    </w:lvl>
    <w:lvl w:ilvl="5">
      <w:start w:val="1"/>
      <w:numFmt w:val="bullet"/>
      <w:lvlText w:val="•"/>
      <w:lvlJc w:val="left"/>
      <w:pPr>
        <w:ind w:left="3106" w:hanging="273"/>
      </w:pPr>
      <w:rPr>
        <w:rFonts w:hint="default"/>
      </w:rPr>
    </w:lvl>
    <w:lvl w:ilvl="6">
      <w:start w:val="1"/>
      <w:numFmt w:val="bullet"/>
      <w:lvlText w:val="•"/>
      <w:lvlJc w:val="left"/>
      <w:pPr>
        <w:ind w:left="3677" w:hanging="273"/>
      </w:pPr>
      <w:rPr>
        <w:rFonts w:hint="default"/>
      </w:rPr>
    </w:lvl>
    <w:lvl w:ilvl="7">
      <w:start w:val="1"/>
      <w:numFmt w:val="bullet"/>
      <w:lvlText w:val="•"/>
      <w:lvlJc w:val="left"/>
      <w:pPr>
        <w:ind w:left="4249" w:hanging="273"/>
      </w:pPr>
      <w:rPr>
        <w:rFonts w:hint="default"/>
      </w:rPr>
    </w:lvl>
    <w:lvl w:ilvl="8">
      <w:start w:val="1"/>
      <w:numFmt w:val="bullet"/>
      <w:lvlText w:val="•"/>
      <w:lvlJc w:val="left"/>
      <w:pPr>
        <w:ind w:left="4820" w:hanging="273"/>
      </w:pPr>
      <w:rPr>
        <w:rFonts w:hint="default"/>
      </w:rPr>
    </w:lvl>
  </w:abstractNum>
  <w:abstractNum w:abstractNumId="0">
    <w:multiLevelType w:val="hybridMultilevel"/>
    <w:lvl w:ilvl="0">
      <w:start w:val="1"/>
      <w:numFmt w:val="decimal"/>
      <w:lvlText w:val="%1."/>
      <w:lvlJc w:val="left"/>
      <w:pPr>
        <w:ind w:left="109" w:hanging="208"/>
        <w:jc w:val="left"/>
      </w:pPr>
      <w:rPr>
        <w:rFonts w:hint="default"/>
        <w:spacing w:val="0"/>
        <w:w w:val="90"/>
      </w:rPr>
    </w:lvl>
    <w:lvl w:ilvl="1">
      <w:start w:val="1"/>
      <w:numFmt w:val="bullet"/>
      <w:lvlText w:val="•"/>
      <w:lvlJc w:val="left"/>
      <w:pPr>
        <w:ind w:left="696" w:hanging="208"/>
      </w:pPr>
      <w:rPr>
        <w:rFonts w:hint="default"/>
      </w:rPr>
    </w:lvl>
    <w:lvl w:ilvl="2">
      <w:start w:val="1"/>
      <w:numFmt w:val="bullet"/>
      <w:lvlText w:val="•"/>
      <w:lvlJc w:val="left"/>
      <w:pPr>
        <w:ind w:left="1292" w:hanging="208"/>
      </w:pPr>
      <w:rPr>
        <w:rFonts w:hint="default"/>
      </w:rPr>
    </w:lvl>
    <w:lvl w:ilvl="3">
      <w:start w:val="1"/>
      <w:numFmt w:val="bullet"/>
      <w:lvlText w:val="•"/>
      <w:lvlJc w:val="left"/>
      <w:pPr>
        <w:ind w:left="1889" w:hanging="208"/>
      </w:pPr>
      <w:rPr>
        <w:rFonts w:hint="default"/>
      </w:rPr>
    </w:lvl>
    <w:lvl w:ilvl="4">
      <w:start w:val="1"/>
      <w:numFmt w:val="bullet"/>
      <w:lvlText w:val="•"/>
      <w:lvlJc w:val="left"/>
      <w:pPr>
        <w:ind w:left="2485" w:hanging="208"/>
      </w:pPr>
      <w:rPr>
        <w:rFonts w:hint="default"/>
      </w:rPr>
    </w:lvl>
    <w:lvl w:ilvl="5">
      <w:start w:val="1"/>
      <w:numFmt w:val="bullet"/>
      <w:lvlText w:val="•"/>
      <w:lvlJc w:val="left"/>
      <w:pPr>
        <w:ind w:left="3081" w:hanging="208"/>
      </w:pPr>
      <w:rPr>
        <w:rFonts w:hint="default"/>
      </w:rPr>
    </w:lvl>
    <w:lvl w:ilvl="6">
      <w:start w:val="1"/>
      <w:numFmt w:val="bullet"/>
      <w:lvlText w:val="•"/>
      <w:lvlJc w:val="left"/>
      <w:pPr>
        <w:ind w:left="3678" w:hanging="208"/>
      </w:pPr>
      <w:rPr>
        <w:rFonts w:hint="default"/>
      </w:rPr>
    </w:lvl>
    <w:lvl w:ilvl="7">
      <w:start w:val="1"/>
      <w:numFmt w:val="bullet"/>
      <w:lvlText w:val="•"/>
      <w:lvlJc w:val="left"/>
      <w:pPr>
        <w:ind w:left="4274" w:hanging="208"/>
      </w:pPr>
      <w:rPr>
        <w:rFonts w:hint="default"/>
      </w:rPr>
    </w:lvl>
    <w:lvl w:ilvl="8">
      <w:start w:val="1"/>
      <w:numFmt w:val="bullet"/>
      <w:lvlText w:val="•"/>
      <w:lvlJc w:val="left"/>
      <w:pPr>
        <w:ind w:left="4870" w:hanging="208"/>
      </w:pPr>
      <w:rPr>
        <w:rFonts w:hint="default"/>
      </w:rPr>
    </w:lvl>
  </w:abstract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50"/>
      <w:ind w:left="102" w:right="242"/>
    </w:pPr>
    <w:rPr>
      <w:rFonts w:ascii="Times New Roman" w:hAnsi="Times New Roman" w:eastAsia="Times New Roman" w:cs="Times New Roman"/>
      <w:sz w:val="19"/>
      <w:szCs w:val="19"/>
    </w:rPr>
  </w:style>
  <w:style w:styleId="TOC2" w:type="paragraph">
    <w:name w:val="TOC 2"/>
    <w:basedOn w:val="Normal"/>
    <w:uiPriority w:val="1"/>
    <w:qFormat/>
    <w:pPr>
      <w:spacing w:before="319"/>
      <w:ind w:left="102" w:right="242"/>
    </w:pPr>
    <w:rPr>
      <w:rFonts w:ascii="Times New Roman" w:hAnsi="Times New Roman" w:eastAsia="Times New Roman" w:cs="Times New Roman"/>
      <w:sz w:val="16"/>
      <w:szCs w:val="16"/>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ind w:left="561" w:right="559"/>
      <w:jc w:val="center"/>
      <w:outlineLvl w:val="1"/>
    </w:pPr>
    <w:rPr>
      <w:rFonts w:ascii="Times New Roman" w:hAnsi="Times New Roman" w:eastAsia="Times New Roman" w:cs="Times New Roman"/>
      <w:sz w:val="24"/>
      <w:szCs w:val="24"/>
    </w:rPr>
  </w:style>
  <w:style w:styleId="Heading2" w:type="paragraph">
    <w:name w:val="Heading 2"/>
    <w:basedOn w:val="Normal"/>
    <w:uiPriority w:val="1"/>
    <w:qFormat/>
    <w:pPr>
      <w:ind w:left="122"/>
      <w:outlineLvl w:val="2"/>
    </w:pPr>
    <w:rPr>
      <w:rFonts w:ascii="Times New Roman" w:hAnsi="Times New Roman" w:eastAsia="Times New Roman" w:cs="Times New Roman"/>
      <w:b/>
      <w:bCs/>
      <w:sz w:val="21"/>
      <w:szCs w:val="21"/>
    </w:rPr>
  </w:style>
  <w:style w:styleId="ListParagraph" w:type="paragraph">
    <w:name w:val="List Paragraph"/>
    <w:basedOn w:val="Normal"/>
    <w:uiPriority w:val="1"/>
    <w:qFormat/>
    <w:pPr>
      <w:ind w:left="821" w:hanging="360"/>
      <w:jc w:val="both"/>
    </w:pPr>
    <w:rPr>
      <w:rFonts w:ascii="Times New Roman" w:hAnsi="Times New Roman" w:eastAsia="Times New Roman" w:cs="Times New Roman"/>
    </w:rPr>
  </w:style>
  <w:style w:styleId="TableParagraph" w:type="paragraph">
    <w:name w:val="Table Paragraph"/>
    <w:basedOn w:val="Normal"/>
    <w:uiPriority w:val="1"/>
    <w:qFormat/>
    <w:pPr>
      <w:ind w:left="10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header" Target="header7.xml"/><Relationship Id="rId15" Type="http://schemas.openxmlformats.org/officeDocument/2006/relationships/hyperlink" Target="http://libros.uaem.mx/" TargetMode="External"/><Relationship Id="rId16" Type="http://schemas.openxmlformats.org/officeDocument/2006/relationships/hyperlink" Target="mailto:publicaciones@uaem.mx" TargetMode="External"/><Relationship Id="rId17" Type="http://schemas.openxmlformats.org/officeDocument/2006/relationships/hyperlink" Target="http://www.uaemex.mx/" TargetMode="External"/><Relationship Id="rId18" Type="http://schemas.openxmlformats.org/officeDocument/2006/relationships/hyperlink" Target="mailto:direccioneditorial@uaem.mx" TargetMode="External"/><Relationship Id="rId19" Type="http://schemas.openxmlformats.org/officeDocument/2006/relationships/image" Target="media/image4.png"/><Relationship Id="rId20" Type="http://schemas.openxmlformats.org/officeDocument/2006/relationships/hyperlink" Target="http://creativecommons.org/licenses/by/4.0/" TargetMode="External"/><Relationship Id="rId21" Type="http://schemas.openxmlformats.org/officeDocument/2006/relationships/hyperlink" Target="http://ri.uaemex.mx/" TargetMode="External"/><Relationship Id="rId22" Type="http://schemas.openxmlformats.org/officeDocument/2006/relationships/header" Target="header8.xml"/><Relationship Id="rId23" Type="http://schemas.openxmlformats.org/officeDocument/2006/relationships/footer" Target="footer1.xml"/><Relationship Id="rId24" Type="http://schemas.openxmlformats.org/officeDocument/2006/relationships/header" Target="header9.xml"/><Relationship Id="rId25" Type="http://schemas.openxmlformats.org/officeDocument/2006/relationships/footer" Target="footer2.xml"/><Relationship Id="rId26" Type="http://schemas.openxmlformats.org/officeDocument/2006/relationships/header" Target="header10.xml"/><Relationship Id="rId27" Type="http://schemas.openxmlformats.org/officeDocument/2006/relationships/footer" Target="footer3.xml"/><Relationship Id="rId28" Type="http://schemas.openxmlformats.org/officeDocument/2006/relationships/header" Target="header11.xml"/><Relationship Id="rId29" Type="http://schemas.openxmlformats.org/officeDocument/2006/relationships/footer" Target="footer4.xml"/><Relationship Id="rId30" Type="http://schemas.openxmlformats.org/officeDocument/2006/relationships/header" Target="header12.xml"/><Relationship Id="rId31" Type="http://schemas.openxmlformats.org/officeDocument/2006/relationships/footer" Target="footer5.xml"/><Relationship Id="rId32" Type="http://schemas.openxmlformats.org/officeDocument/2006/relationships/header" Target="header13.xml"/><Relationship Id="rId33" Type="http://schemas.openxmlformats.org/officeDocument/2006/relationships/footer" Target="footer6.xml"/><Relationship Id="rId34" Type="http://schemas.openxmlformats.org/officeDocument/2006/relationships/header" Target="header14.xml"/><Relationship Id="rId35" Type="http://schemas.openxmlformats.org/officeDocument/2006/relationships/footer" Target="footer7.xml"/><Relationship Id="rId36" Type="http://schemas.openxmlformats.org/officeDocument/2006/relationships/header" Target="header15.xml"/><Relationship Id="rId37" Type="http://schemas.openxmlformats.org/officeDocument/2006/relationships/footer" Target="footer8.xml"/><Relationship Id="rId38" Type="http://schemas.openxmlformats.org/officeDocument/2006/relationships/header" Target="header16.xml"/><Relationship Id="rId39" Type="http://schemas.openxmlformats.org/officeDocument/2006/relationships/footer" Target="footer9.xml"/><Relationship Id="rId40" Type="http://schemas.openxmlformats.org/officeDocument/2006/relationships/header" Target="header17.xml"/><Relationship Id="rId41" Type="http://schemas.openxmlformats.org/officeDocument/2006/relationships/footer" Target="footer10.xml"/><Relationship Id="rId42" Type="http://schemas.openxmlformats.org/officeDocument/2006/relationships/header" Target="header18.xml"/><Relationship Id="rId43" Type="http://schemas.openxmlformats.org/officeDocument/2006/relationships/footer" Target="footer11.xml"/><Relationship Id="rId44" Type="http://schemas.openxmlformats.org/officeDocument/2006/relationships/header" Target="header19.xml"/><Relationship Id="rId45" Type="http://schemas.openxmlformats.org/officeDocument/2006/relationships/footer" Target="footer12.xml"/><Relationship Id="rId46" Type="http://schemas.openxmlformats.org/officeDocument/2006/relationships/header" Target="header20.xml"/><Relationship Id="rId47" Type="http://schemas.openxmlformats.org/officeDocument/2006/relationships/footer" Target="footer13.xml"/><Relationship Id="rId48" Type="http://schemas.openxmlformats.org/officeDocument/2006/relationships/header" Target="header21.xml"/><Relationship Id="rId49" Type="http://schemas.openxmlformats.org/officeDocument/2006/relationships/footer" Target="footer14.xml"/><Relationship Id="rId50" Type="http://schemas.openxmlformats.org/officeDocument/2006/relationships/header" Target="header22.xml"/><Relationship Id="rId51" Type="http://schemas.openxmlformats.org/officeDocument/2006/relationships/footer" Target="footer15.xml"/><Relationship Id="rId52" Type="http://schemas.openxmlformats.org/officeDocument/2006/relationships/header" Target="header23.xml"/><Relationship Id="rId53" Type="http://schemas.openxmlformats.org/officeDocument/2006/relationships/footer" Target="footer16.xml"/><Relationship Id="rId54" Type="http://schemas.openxmlformats.org/officeDocument/2006/relationships/header" Target="header24.xml"/><Relationship Id="rId55" Type="http://schemas.openxmlformats.org/officeDocument/2006/relationships/footer" Target="footer17.xml"/><Relationship Id="rId56" Type="http://schemas.openxmlformats.org/officeDocument/2006/relationships/header" Target="header25.xml"/><Relationship Id="rId57" Type="http://schemas.openxmlformats.org/officeDocument/2006/relationships/footer" Target="footer18.xml"/><Relationship Id="rId58" Type="http://schemas.openxmlformats.org/officeDocument/2006/relationships/header" Target="header26.xml"/><Relationship Id="rId59" Type="http://schemas.openxmlformats.org/officeDocument/2006/relationships/footer" Target="footer19.xml"/><Relationship Id="rId60" Type="http://schemas.openxmlformats.org/officeDocument/2006/relationships/header" Target="header27.xml"/><Relationship Id="rId61" Type="http://schemas.openxmlformats.org/officeDocument/2006/relationships/footer" Target="footer20.xml"/><Relationship Id="rId62" Type="http://schemas.openxmlformats.org/officeDocument/2006/relationships/header" Target="header28.xml"/><Relationship Id="rId63" Type="http://schemas.openxmlformats.org/officeDocument/2006/relationships/footer" Target="footer21.xml"/><Relationship Id="rId64" Type="http://schemas.openxmlformats.org/officeDocument/2006/relationships/header" Target="header29.xml"/><Relationship Id="rId65" Type="http://schemas.openxmlformats.org/officeDocument/2006/relationships/footer" Target="footer22.xml"/><Relationship Id="rId66" Type="http://schemas.openxmlformats.org/officeDocument/2006/relationships/header" Target="header30.xml"/><Relationship Id="rId67" Type="http://schemas.openxmlformats.org/officeDocument/2006/relationships/footer" Target="footer23.xml"/><Relationship Id="rId68" Type="http://schemas.openxmlformats.org/officeDocument/2006/relationships/header" Target="header31.xml"/><Relationship Id="rId69" Type="http://schemas.openxmlformats.org/officeDocument/2006/relationships/footer" Target="footer24.xml"/><Relationship Id="rId70" Type="http://schemas.openxmlformats.org/officeDocument/2006/relationships/header" Target="header32.xml"/><Relationship Id="rId71" Type="http://schemas.openxmlformats.org/officeDocument/2006/relationships/footer" Target="footer25.xml"/><Relationship Id="rId72" Type="http://schemas.openxmlformats.org/officeDocument/2006/relationships/header" Target="header33.xml"/><Relationship Id="rId73" Type="http://schemas.openxmlformats.org/officeDocument/2006/relationships/footer" Target="footer26.xml"/><Relationship Id="rId74" Type="http://schemas.openxmlformats.org/officeDocument/2006/relationships/header" Target="header34.xml"/><Relationship Id="rId75" Type="http://schemas.openxmlformats.org/officeDocument/2006/relationships/footer" Target="footer27.xml"/><Relationship Id="rId76" Type="http://schemas.openxmlformats.org/officeDocument/2006/relationships/header" Target="header35.xml"/><Relationship Id="rId77" Type="http://schemas.openxmlformats.org/officeDocument/2006/relationships/footer" Target="footer28.xml"/><Relationship Id="rId78" Type="http://schemas.openxmlformats.org/officeDocument/2006/relationships/header" Target="header36.xml"/><Relationship Id="rId79" Type="http://schemas.openxmlformats.org/officeDocument/2006/relationships/footer" Target="footer29.xml"/><Relationship Id="rId80" Type="http://schemas.openxmlformats.org/officeDocument/2006/relationships/header" Target="header37.xml"/><Relationship Id="rId81" Type="http://schemas.openxmlformats.org/officeDocument/2006/relationships/footer" Target="footer30.xml"/><Relationship Id="rId82" Type="http://schemas.openxmlformats.org/officeDocument/2006/relationships/header" Target="header38.xml"/><Relationship Id="rId83" Type="http://schemas.openxmlformats.org/officeDocument/2006/relationships/footer" Target="footer31.xml"/><Relationship Id="rId84" Type="http://schemas.openxmlformats.org/officeDocument/2006/relationships/header" Target="header39.xml"/><Relationship Id="rId85" Type="http://schemas.openxmlformats.org/officeDocument/2006/relationships/footer" Target="footer32.xml"/><Relationship Id="rId86" Type="http://schemas.openxmlformats.org/officeDocument/2006/relationships/header" Target="header40.xml"/><Relationship Id="rId87" Type="http://schemas.openxmlformats.org/officeDocument/2006/relationships/footer" Target="footer33.xml"/><Relationship Id="rId88" Type="http://schemas.openxmlformats.org/officeDocument/2006/relationships/header" Target="header41.xml"/><Relationship Id="rId89" Type="http://schemas.openxmlformats.org/officeDocument/2006/relationships/footer" Target="footer34.xml"/><Relationship Id="rId90" Type="http://schemas.openxmlformats.org/officeDocument/2006/relationships/header" Target="header42.xml"/><Relationship Id="rId91" Type="http://schemas.openxmlformats.org/officeDocument/2006/relationships/footer" Target="footer35.xml"/><Relationship Id="rId92" Type="http://schemas.openxmlformats.org/officeDocument/2006/relationships/header" Target="header43.xml"/><Relationship Id="rId93" Type="http://schemas.openxmlformats.org/officeDocument/2006/relationships/footer" Target="footer36.xml"/><Relationship Id="rId94" Type="http://schemas.openxmlformats.org/officeDocument/2006/relationships/header" Target="header44.xml"/><Relationship Id="rId95" Type="http://schemas.openxmlformats.org/officeDocument/2006/relationships/footer" Target="footer37.xml"/><Relationship Id="rId96" Type="http://schemas.openxmlformats.org/officeDocument/2006/relationships/header" Target="header45.xml"/><Relationship Id="rId97" Type="http://schemas.openxmlformats.org/officeDocument/2006/relationships/footer" Target="footer38.xml"/><Relationship Id="rId98" Type="http://schemas.openxmlformats.org/officeDocument/2006/relationships/header" Target="header46.xml"/><Relationship Id="rId99" Type="http://schemas.openxmlformats.org/officeDocument/2006/relationships/footer" Target="footer39.xml"/><Relationship Id="rId100" Type="http://schemas.openxmlformats.org/officeDocument/2006/relationships/header" Target="header47.xml"/><Relationship Id="rId101" Type="http://schemas.openxmlformats.org/officeDocument/2006/relationships/footer" Target="footer40.xml"/><Relationship Id="rId102" Type="http://schemas.openxmlformats.org/officeDocument/2006/relationships/header" Target="header48.xml"/><Relationship Id="rId103" Type="http://schemas.openxmlformats.org/officeDocument/2006/relationships/footer" Target="footer41.xml"/><Relationship Id="rId104" Type="http://schemas.openxmlformats.org/officeDocument/2006/relationships/header" Target="header49.xml"/><Relationship Id="rId105" Type="http://schemas.openxmlformats.org/officeDocument/2006/relationships/footer" Target="footer42.xml"/><Relationship Id="rId106" Type="http://schemas.openxmlformats.org/officeDocument/2006/relationships/header" Target="header50.xml"/><Relationship Id="rId107" Type="http://schemas.openxmlformats.org/officeDocument/2006/relationships/footer" Target="footer43.xml"/><Relationship Id="rId108" Type="http://schemas.openxmlformats.org/officeDocument/2006/relationships/header" Target="header51.xml"/><Relationship Id="rId109" Type="http://schemas.openxmlformats.org/officeDocument/2006/relationships/footer" Target="footer44.xml"/><Relationship Id="rId110" Type="http://schemas.openxmlformats.org/officeDocument/2006/relationships/header" Target="header52.xml"/><Relationship Id="rId111" Type="http://schemas.openxmlformats.org/officeDocument/2006/relationships/footer" Target="footer45.xml"/><Relationship Id="rId112" Type="http://schemas.openxmlformats.org/officeDocument/2006/relationships/header" Target="header53.xml"/><Relationship Id="rId113" Type="http://schemas.openxmlformats.org/officeDocument/2006/relationships/footer" Target="footer46.xml"/><Relationship Id="rId114" Type="http://schemas.openxmlformats.org/officeDocument/2006/relationships/header" Target="header54.xml"/><Relationship Id="rId115" Type="http://schemas.openxmlformats.org/officeDocument/2006/relationships/footer" Target="footer47.xml"/><Relationship Id="rId116" Type="http://schemas.openxmlformats.org/officeDocument/2006/relationships/header" Target="header55.xml"/><Relationship Id="rId117" Type="http://schemas.openxmlformats.org/officeDocument/2006/relationships/footer" Target="footer48.xml"/><Relationship Id="rId118" Type="http://schemas.openxmlformats.org/officeDocument/2006/relationships/header" Target="header56.xml"/><Relationship Id="rId119" Type="http://schemas.openxmlformats.org/officeDocument/2006/relationships/footer" Target="footer49.xml"/><Relationship Id="rId120" Type="http://schemas.openxmlformats.org/officeDocument/2006/relationships/header" Target="header57.xml"/><Relationship Id="rId121" Type="http://schemas.openxmlformats.org/officeDocument/2006/relationships/footer" Target="footer50.xml"/><Relationship Id="rId122" Type="http://schemas.openxmlformats.org/officeDocument/2006/relationships/header" Target="header58.xml"/><Relationship Id="rId123" Type="http://schemas.openxmlformats.org/officeDocument/2006/relationships/footer" Target="footer51.xml"/><Relationship Id="rId124" Type="http://schemas.openxmlformats.org/officeDocument/2006/relationships/header" Target="header59.xml"/><Relationship Id="rId125" Type="http://schemas.openxmlformats.org/officeDocument/2006/relationships/footer" Target="footer52.xml"/><Relationship Id="rId126" Type="http://schemas.openxmlformats.org/officeDocument/2006/relationships/header" Target="header60.xml"/><Relationship Id="rId127" Type="http://schemas.openxmlformats.org/officeDocument/2006/relationships/footer" Target="footer53.xml"/><Relationship Id="rId128" Type="http://schemas.openxmlformats.org/officeDocument/2006/relationships/header" Target="header61.xml"/><Relationship Id="rId129" Type="http://schemas.openxmlformats.org/officeDocument/2006/relationships/footer" Target="footer54.xml"/><Relationship Id="rId130" Type="http://schemas.openxmlformats.org/officeDocument/2006/relationships/header" Target="header62.xml"/><Relationship Id="rId131" Type="http://schemas.openxmlformats.org/officeDocument/2006/relationships/footer" Target="footer55.xml"/><Relationship Id="rId132" Type="http://schemas.openxmlformats.org/officeDocument/2006/relationships/header" Target="header63.xml"/><Relationship Id="rId133" Type="http://schemas.openxmlformats.org/officeDocument/2006/relationships/footer" Target="footer56.xml"/><Relationship Id="rId134" Type="http://schemas.openxmlformats.org/officeDocument/2006/relationships/header" Target="header64.xml"/><Relationship Id="rId135" Type="http://schemas.openxmlformats.org/officeDocument/2006/relationships/footer" Target="footer57.xml"/><Relationship Id="rId136" Type="http://schemas.openxmlformats.org/officeDocument/2006/relationships/header" Target="header65.xml"/><Relationship Id="rId137" Type="http://schemas.openxmlformats.org/officeDocument/2006/relationships/footer" Target="footer58.xml"/><Relationship Id="rId138" Type="http://schemas.openxmlformats.org/officeDocument/2006/relationships/header" Target="header66.xml"/><Relationship Id="rId139" Type="http://schemas.openxmlformats.org/officeDocument/2006/relationships/footer" Target="footer59.xml"/><Relationship Id="rId140" Type="http://schemas.openxmlformats.org/officeDocument/2006/relationships/hyperlink" Target="http://observatorio.org/comunicados/comun011_2.html" TargetMode="External"/><Relationship Id="rId141" Type="http://schemas.openxmlformats.org/officeDocument/2006/relationships/header" Target="header67.xml"/><Relationship Id="rId142" Type="http://schemas.openxmlformats.org/officeDocument/2006/relationships/footer" Target="footer60.xml"/><Relationship Id="rId143" Type="http://schemas.openxmlformats.org/officeDocument/2006/relationships/header" Target="header68.xml"/><Relationship Id="rId144" Type="http://schemas.openxmlformats.org/officeDocument/2006/relationships/footer" Target="footer61.xml"/><Relationship Id="rId145" Type="http://schemas.openxmlformats.org/officeDocument/2006/relationships/header" Target="header69.xml"/><Relationship Id="rId146" Type="http://schemas.openxmlformats.org/officeDocument/2006/relationships/footer" Target="footer62.xml"/><Relationship Id="rId147" Type="http://schemas.openxmlformats.org/officeDocument/2006/relationships/header" Target="header70.xml"/><Relationship Id="rId148" Type="http://schemas.openxmlformats.org/officeDocument/2006/relationships/footer" Target="footer63.xml"/><Relationship Id="rId149" Type="http://schemas.openxmlformats.org/officeDocument/2006/relationships/header" Target="header71.xml"/><Relationship Id="rId150" Type="http://schemas.openxmlformats.org/officeDocument/2006/relationships/footer" Target="footer64.xml"/><Relationship Id="rId151" Type="http://schemas.openxmlformats.org/officeDocument/2006/relationships/header" Target="header72.xml"/><Relationship Id="rId152" Type="http://schemas.openxmlformats.org/officeDocument/2006/relationships/footer" Target="footer65.xml"/><Relationship Id="rId153" Type="http://schemas.openxmlformats.org/officeDocument/2006/relationships/header" Target="header73.xml"/><Relationship Id="rId154" Type="http://schemas.openxmlformats.org/officeDocument/2006/relationships/footer" Target="footer66.xml"/><Relationship Id="rId155" Type="http://schemas.openxmlformats.org/officeDocument/2006/relationships/header" Target="header74.xml"/><Relationship Id="rId156" Type="http://schemas.openxmlformats.org/officeDocument/2006/relationships/footer" Target="footer67.xml"/><Relationship Id="rId157" Type="http://schemas.openxmlformats.org/officeDocument/2006/relationships/header" Target="header75.xml"/><Relationship Id="rId158" Type="http://schemas.openxmlformats.org/officeDocument/2006/relationships/footer" Target="footer68.xml"/><Relationship Id="rId159" Type="http://schemas.openxmlformats.org/officeDocument/2006/relationships/header" Target="header76.xml"/><Relationship Id="rId160" Type="http://schemas.openxmlformats.org/officeDocument/2006/relationships/footer" Target="footer69.xml"/><Relationship Id="rId161" Type="http://schemas.openxmlformats.org/officeDocument/2006/relationships/header" Target="header77.xml"/><Relationship Id="rId162" Type="http://schemas.openxmlformats.org/officeDocument/2006/relationships/footer" Target="footer70.xml"/><Relationship Id="rId163" Type="http://schemas.openxmlformats.org/officeDocument/2006/relationships/header" Target="header78.xml"/><Relationship Id="rId164" Type="http://schemas.openxmlformats.org/officeDocument/2006/relationships/footer" Target="footer71.xml"/><Relationship Id="rId165" Type="http://schemas.openxmlformats.org/officeDocument/2006/relationships/header" Target="header79.xml"/><Relationship Id="rId166" Type="http://schemas.openxmlformats.org/officeDocument/2006/relationships/footer" Target="footer72.xml"/><Relationship Id="rId167" Type="http://schemas.openxmlformats.org/officeDocument/2006/relationships/header" Target="header80.xml"/><Relationship Id="rId168" Type="http://schemas.openxmlformats.org/officeDocument/2006/relationships/footer" Target="footer73.xml"/><Relationship Id="rId169" Type="http://schemas.openxmlformats.org/officeDocument/2006/relationships/header" Target="header81.xml"/><Relationship Id="rId170" Type="http://schemas.openxmlformats.org/officeDocument/2006/relationships/footer" Target="footer74.xml"/><Relationship Id="rId171" Type="http://schemas.openxmlformats.org/officeDocument/2006/relationships/header" Target="header82.xml"/><Relationship Id="rId172" Type="http://schemas.openxmlformats.org/officeDocument/2006/relationships/footer" Target="footer75.xml"/><Relationship Id="rId173" Type="http://schemas.openxmlformats.org/officeDocument/2006/relationships/header" Target="header83.xml"/><Relationship Id="rId174" Type="http://schemas.openxmlformats.org/officeDocument/2006/relationships/footer" Target="footer76.xml"/><Relationship Id="rId175" Type="http://schemas.openxmlformats.org/officeDocument/2006/relationships/header" Target="header84.xml"/><Relationship Id="rId176" Type="http://schemas.openxmlformats.org/officeDocument/2006/relationships/footer" Target="footer77.xml"/><Relationship Id="rId177" Type="http://schemas.openxmlformats.org/officeDocument/2006/relationships/header" Target="header85.xml"/><Relationship Id="rId178" Type="http://schemas.openxmlformats.org/officeDocument/2006/relationships/footer" Target="footer78.xml"/><Relationship Id="rId179" Type="http://schemas.openxmlformats.org/officeDocument/2006/relationships/header" Target="header86.xml"/><Relationship Id="rId180" Type="http://schemas.openxmlformats.org/officeDocument/2006/relationships/footer" Target="footer79.xml"/><Relationship Id="rId181" Type="http://schemas.openxmlformats.org/officeDocument/2006/relationships/header" Target="header87.xml"/><Relationship Id="rId182" Type="http://schemas.openxmlformats.org/officeDocument/2006/relationships/footer" Target="footer80.xml"/><Relationship Id="rId183" Type="http://schemas.openxmlformats.org/officeDocument/2006/relationships/header" Target="header88.xml"/><Relationship Id="rId184" Type="http://schemas.openxmlformats.org/officeDocument/2006/relationships/footer" Target="footer81.xml"/><Relationship Id="rId185" Type="http://schemas.openxmlformats.org/officeDocument/2006/relationships/header" Target="header89.xml"/><Relationship Id="rId186" Type="http://schemas.openxmlformats.org/officeDocument/2006/relationships/footer" Target="footer82.xml"/><Relationship Id="rId187" Type="http://schemas.openxmlformats.org/officeDocument/2006/relationships/header" Target="header90.xml"/><Relationship Id="rId188" Type="http://schemas.openxmlformats.org/officeDocument/2006/relationships/footer" Target="footer83.xml"/><Relationship Id="rId189" Type="http://schemas.openxmlformats.org/officeDocument/2006/relationships/header" Target="header91.xml"/><Relationship Id="rId190" Type="http://schemas.openxmlformats.org/officeDocument/2006/relationships/footer" Target="footer84.xml"/><Relationship Id="rId191" Type="http://schemas.openxmlformats.org/officeDocument/2006/relationships/header" Target="header92.xml"/><Relationship Id="rId192" Type="http://schemas.openxmlformats.org/officeDocument/2006/relationships/footer" Target="footer85.xml"/><Relationship Id="rId193" Type="http://schemas.openxmlformats.org/officeDocument/2006/relationships/header" Target="header93.xml"/><Relationship Id="rId194" Type="http://schemas.openxmlformats.org/officeDocument/2006/relationships/footer" Target="footer86.xml"/><Relationship Id="rId195" Type="http://schemas.openxmlformats.org/officeDocument/2006/relationships/header" Target="header94.xml"/><Relationship Id="rId196" Type="http://schemas.openxmlformats.org/officeDocument/2006/relationships/footer" Target="footer87.xml"/><Relationship Id="rId197" Type="http://schemas.openxmlformats.org/officeDocument/2006/relationships/header" Target="header95.xml"/><Relationship Id="rId198" Type="http://schemas.openxmlformats.org/officeDocument/2006/relationships/footer" Target="footer88.xml"/><Relationship Id="rId199" Type="http://schemas.openxmlformats.org/officeDocument/2006/relationships/header" Target="header96.xml"/><Relationship Id="rId200" Type="http://schemas.openxmlformats.org/officeDocument/2006/relationships/footer" Target="footer89.xml"/><Relationship Id="rId201" Type="http://schemas.openxmlformats.org/officeDocument/2006/relationships/header" Target="header97.xml"/><Relationship Id="rId202" Type="http://schemas.openxmlformats.org/officeDocument/2006/relationships/footer" Target="footer90.xml"/><Relationship Id="rId203" Type="http://schemas.openxmlformats.org/officeDocument/2006/relationships/header" Target="header98.xml"/><Relationship Id="rId204" Type="http://schemas.openxmlformats.org/officeDocument/2006/relationships/footer" Target="footer91.xml"/><Relationship Id="rId205" Type="http://schemas.openxmlformats.org/officeDocument/2006/relationships/header" Target="header99.xml"/><Relationship Id="rId206" Type="http://schemas.openxmlformats.org/officeDocument/2006/relationships/footer" Target="footer92.xml"/><Relationship Id="rId207" Type="http://schemas.openxmlformats.org/officeDocument/2006/relationships/header" Target="header100.xml"/><Relationship Id="rId208" Type="http://schemas.openxmlformats.org/officeDocument/2006/relationships/footer" Target="footer93.xml"/><Relationship Id="rId209" Type="http://schemas.openxmlformats.org/officeDocument/2006/relationships/header" Target="header101.xml"/><Relationship Id="rId210" Type="http://schemas.openxmlformats.org/officeDocument/2006/relationships/footer" Target="footer94.xml"/><Relationship Id="rId211" Type="http://schemas.openxmlformats.org/officeDocument/2006/relationships/header" Target="header102.xml"/><Relationship Id="rId212" Type="http://schemas.openxmlformats.org/officeDocument/2006/relationships/footer" Target="footer95.xml"/><Relationship Id="rId213" Type="http://schemas.openxmlformats.org/officeDocument/2006/relationships/header" Target="header103.xml"/><Relationship Id="rId214" Type="http://schemas.openxmlformats.org/officeDocument/2006/relationships/footer" Target="footer96.xml"/><Relationship Id="rId215" Type="http://schemas.openxmlformats.org/officeDocument/2006/relationships/header" Target="header104.xml"/><Relationship Id="rId216" Type="http://schemas.openxmlformats.org/officeDocument/2006/relationships/footer" Target="footer97.xml"/><Relationship Id="rId217" Type="http://schemas.openxmlformats.org/officeDocument/2006/relationships/header" Target="header105.xml"/><Relationship Id="rId218" Type="http://schemas.openxmlformats.org/officeDocument/2006/relationships/footer" Target="footer98.xml"/><Relationship Id="rId219" Type="http://schemas.openxmlformats.org/officeDocument/2006/relationships/header" Target="header106.xml"/><Relationship Id="rId220" Type="http://schemas.openxmlformats.org/officeDocument/2006/relationships/footer" Target="footer99.xml"/><Relationship Id="rId221" Type="http://schemas.openxmlformats.org/officeDocument/2006/relationships/hyperlink" Target="http://www.universitatpublica.org/" TargetMode="External"/><Relationship Id="rId222" Type="http://schemas.openxmlformats.org/officeDocument/2006/relationships/header" Target="header107.xml"/><Relationship Id="rId223" Type="http://schemas.openxmlformats.org/officeDocument/2006/relationships/footer" Target="footer100.xml"/><Relationship Id="rId224" Type="http://schemas.openxmlformats.org/officeDocument/2006/relationships/hyperlink" Target="http://www.radiohc.cu/noticias/internacionales/4409-" TargetMode="External"/><Relationship Id="rId225" Type="http://schemas.openxmlformats.org/officeDocument/2006/relationships/hyperlink" Target="http://www.animalpolitico.com/2011/08/las-demandas-de-los-" TargetMode="External"/><Relationship Id="rId226" Type="http://schemas.openxmlformats.org/officeDocument/2006/relationships/hyperlink" Target="http://es.wikipedia.org/wiki/Movilizaci%C3%B3n_estudiantil_e" TargetMode="External"/><Relationship Id="rId227" Type="http://schemas.openxmlformats.org/officeDocument/2006/relationships/header" Target="header108.xml"/><Relationship Id="rId228" Type="http://schemas.openxmlformats.org/officeDocument/2006/relationships/footer" Target="footer101.xml"/><Relationship Id="rId229" Type="http://schemas.openxmlformats.org/officeDocument/2006/relationships/header" Target="header109.xml"/><Relationship Id="rId230" Type="http://schemas.openxmlformats.org/officeDocument/2006/relationships/footer" Target="footer102.xml"/><Relationship Id="rId231" Type="http://schemas.openxmlformats.org/officeDocument/2006/relationships/hyperlink" Target="http://www.anuies.mx./p_anuies/publicaciones/libros/lib" TargetMode="External"/><Relationship Id="rId232" Type="http://schemas.openxmlformats.org/officeDocument/2006/relationships/header" Target="header110.xml"/><Relationship Id="rId233" Type="http://schemas.openxmlformats.org/officeDocument/2006/relationships/footer" Target="footer103.xml"/><Relationship Id="rId234" Type="http://schemas.openxmlformats.org/officeDocument/2006/relationships/header" Target="header111.xml"/><Relationship Id="rId235" Type="http://schemas.openxmlformats.org/officeDocument/2006/relationships/footer" Target="footer104.xml"/><Relationship Id="rId236" Type="http://schemas.openxmlformats.org/officeDocument/2006/relationships/hyperlink" Target="http://revista-/" TargetMode="External"/><Relationship Id="rId237" Type="http://schemas.openxmlformats.org/officeDocument/2006/relationships/hyperlink" Target="http://repository.unm.edu/bitstream/handle/1928/10551" TargetMode="External"/><Relationship Id="rId238" Type="http://schemas.openxmlformats.org/officeDocument/2006/relationships/header" Target="header112.xml"/><Relationship Id="rId239" Type="http://schemas.openxmlformats.org/officeDocument/2006/relationships/footer" Target="footer105.xml"/><Relationship Id="rId240" Type="http://schemas.openxmlformats.org/officeDocument/2006/relationships/header" Target="header113.xml"/><Relationship Id="rId241" Type="http://schemas.openxmlformats.org/officeDocument/2006/relationships/footer" Target="footer106.xml"/><Relationship Id="rId242" Type="http://schemas.openxmlformats.org/officeDocument/2006/relationships/header" Target="header114.xml"/><Relationship Id="rId243" Type="http://schemas.openxmlformats.org/officeDocument/2006/relationships/footer" Target="footer107.xml"/><Relationship Id="rId244" Type="http://schemas.openxmlformats.org/officeDocument/2006/relationships/header" Target="header115.xml"/><Relationship Id="rId245" Type="http://schemas.openxmlformats.org/officeDocument/2006/relationships/footer" Target="footer108.xml"/><Relationship Id="rId246" Type="http://schemas.openxmlformats.org/officeDocument/2006/relationships/header" Target="header116.xml"/><Relationship Id="rId247" Type="http://schemas.openxmlformats.org/officeDocument/2006/relationships/footer" Target="footer109.xml"/><Relationship Id="rId248" Type="http://schemas.openxmlformats.org/officeDocument/2006/relationships/header" Target="header117.xml"/><Relationship Id="rId249" Type="http://schemas.openxmlformats.org/officeDocument/2006/relationships/footer" Target="footer110.xml"/><Relationship Id="rId250" Type="http://schemas.openxmlformats.org/officeDocument/2006/relationships/header" Target="header118.xml"/><Relationship Id="rId251" Type="http://schemas.openxmlformats.org/officeDocument/2006/relationships/footer" Target="footer111.xml"/><Relationship Id="rId252" Type="http://schemas.openxmlformats.org/officeDocument/2006/relationships/image" Target="media/image5.png"/><Relationship Id="rId253" Type="http://schemas.openxmlformats.org/officeDocument/2006/relationships/header" Target="header119.xml"/><Relationship Id="rId254" Type="http://schemas.openxmlformats.org/officeDocument/2006/relationships/footer" Target="footer112.xml"/><Relationship Id="rId255" Type="http://schemas.openxmlformats.org/officeDocument/2006/relationships/header" Target="header120.xml"/><Relationship Id="rId256" Type="http://schemas.openxmlformats.org/officeDocument/2006/relationships/footer" Target="footer113.xml"/><Relationship Id="rId257" Type="http://schemas.openxmlformats.org/officeDocument/2006/relationships/header" Target="header121.xml"/><Relationship Id="rId258" Type="http://schemas.openxmlformats.org/officeDocument/2006/relationships/footer" Target="footer114.xml"/><Relationship Id="rId259" Type="http://schemas.openxmlformats.org/officeDocument/2006/relationships/header" Target="header122.xml"/><Relationship Id="rId260" Type="http://schemas.openxmlformats.org/officeDocument/2006/relationships/footer" Target="footer115.xml"/><Relationship Id="rId261" Type="http://schemas.openxmlformats.org/officeDocument/2006/relationships/header" Target="header123.xml"/><Relationship Id="rId262" Type="http://schemas.openxmlformats.org/officeDocument/2006/relationships/footer" Target="footer116.xml"/><Relationship Id="rId263" Type="http://schemas.openxmlformats.org/officeDocument/2006/relationships/header" Target="header124.xml"/><Relationship Id="rId264" Type="http://schemas.openxmlformats.org/officeDocument/2006/relationships/footer" Target="footer117.xml"/><Relationship Id="rId265" Type="http://schemas.openxmlformats.org/officeDocument/2006/relationships/header" Target="header125.xml"/><Relationship Id="rId266" Type="http://schemas.openxmlformats.org/officeDocument/2006/relationships/footer" Target="footer118.xml"/><Relationship Id="rId267" Type="http://schemas.openxmlformats.org/officeDocument/2006/relationships/header" Target="header126.xml"/><Relationship Id="rId268" Type="http://schemas.openxmlformats.org/officeDocument/2006/relationships/footer" Target="footer119.xml"/><Relationship Id="rId269" Type="http://schemas.openxmlformats.org/officeDocument/2006/relationships/header" Target="header127.xml"/><Relationship Id="rId270" Type="http://schemas.openxmlformats.org/officeDocument/2006/relationships/footer" Target="footer120.xml"/><Relationship Id="rId271" Type="http://schemas.openxmlformats.org/officeDocument/2006/relationships/hyperlink" Target="http://www.definci&#243;nabc.com/social/disciplina.php" TargetMode="External"/><Relationship Id="rId272" Type="http://schemas.openxmlformats.org/officeDocument/2006/relationships/header" Target="header128.xml"/><Relationship Id="rId273" Type="http://schemas.openxmlformats.org/officeDocument/2006/relationships/footer" Target="footer121.xml"/><Relationship Id="rId274" Type="http://schemas.openxmlformats.org/officeDocument/2006/relationships/header" Target="header129.xml"/><Relationship Id="rId275" Type="http://schemas.openxmlformats.org/officeDocument/2006/relationships/footer" Target="footer122.xml"/><Relationship Id="rId276" Type="http://schemas.openxmlformats.org/officeDocument/2006/relationships/header" Target="header130.xml"/><Relationship Id="rId277" Type="http://schemas.openxmlformats.org/officeDocument/2006/relationships/footer" Target="footer123.xml"/><Relationship Id="rId278" Type="http://schemas.openxmlformats.org/officeDocument/2006/relationships/header" Target="header131.xml"/><Relationship Id="rId279" Type="http://schemas.openxmlformats.org/officeDocument/2006/relationships/footer" Target="footer124.xml"/><Relationship Id="rId280" Type="http://schemas.openxmlformats.org/officeDocument/2006/relationships/header" Target="header132.xml"/><Relationship Id="rId281" Type="http://schemas.openxmlformats.org/officeDocument/2006/relationships/footer" Target="footer125.xml"/><Relationship Id="rId282" Type="http://schemas.openxmlformats.org/officeDocument/2006/relationships/header" Target="header133.xml"/><Relationship Id="rId283" Type="http://schemas.openxmlformats.org/officeDocument/2006/relationships/footer" Target="footer126.xml"/><Relationship Id="rId284" Type="http://schemas.openxmlformats.org/officeDocument/2006/relationships/header" Target="header134.xml"/><Relationship Id="rId285" Type="http://schemas.openxmlformats.org/officeDocument/2006/relationships/footer" Target="footer127.xml"/><Relationship Id="rId286" Type="http://schemas.openxmlformats.org/officeDocument/2006/relationships/header" Target="header135.xml"/><Relationship Id="rId287" Type="http://schemas.openxmlformats.org/officeDocument/2006/relationships/footer" Target="footer128.xml"/><Relationship Id="rId288" Type="http://schemas.openxmlformats.org/officeDocument/2006/relationships/header" Target="header136.xml"/><Relationship Id="rId289" Type="http://schemas.openxmlformats.org/officeDocument/2006/relationships/footer" Target="footer129.xml"/><Relationship Id="rId290" Type="http://schemas.openxmlformats.org/officeDocument/2006/relationships/header" Target="header137.xml"/><Relationship Id="rId291" Type="http://schemas.openxmlformats.org/officeDocument/2006/relationships/footer" Target="footer130.xml"/><Relationship Id="rId292" Type="http://schemas.openxmlformats.org/officeDocument/2006/relationships/header" Target="header138.xml"/><Relationship Id="rId293" Type="http://schemas.openxmlformats.org/officeDocument/2006/relationships/footer" Target="footer131.xml"/><Relationship Id="rId294" Type="http://schemas.openxmlformats.org/officeDocument/2006/relationships/header" Target="header139.xml"/><Relationship Id="rId295" Type="http://schemas.openxmlformats.org/officeDocument/2006/relationships/footer" Target="footer132.xml"/><Relationship Id="rId296" Type="http://schemas.openxmlformats.org/officeDocument/2006/relationships/header" Target="header140.xml"/><Relationship Id="rId297" Type="http://schemas.openxmlformats.org/officeDocument/2006/relationships/footer" Target="footer133.xml"/><Relationship Id="rId298" Type="http://schemas.openxmlformats.org/officeDocument/2006/relationships/header" Target="header141.xml"/><Relationship Id="rId299" Type="http://schemas.openxmlformats.org/officeDocument/2006/relationships/footer" Target="footer134.xml"/><Relationship Id="rId300" Type="http://schemas.openxmlformats.org/officeDocument/2006/relationships/header" Target="header142.xml"/><Relationship Id="rId301" Type="http://schemas.openxmlformats.org/officeDocument/2006/relationships/footer" Target="footer135.xml"/><Relationship Id="rId302" Type="http://schemas.openxmlformats.org/officeDocument/2006/relationships/header" Target="header143.xml"/><Relationship Id="rId303" Type="http://schemas.openxmlformats.org/officeDocument/2006/relationships/footer" Target="footer136.xml"/><Relationship Id="rId304" Type="http://schemas.openxmlformats.org/officeDocument/2006/relationships/header" Target="header144.xml"/><Relationship Id="rId305" Type="http://schemas.openxmlformats.org/officeDocument/2006/relationships/footer" Target="footer137.xml"/><Relationship Id="rId306" Type="http://schemas.openxmlformats.org/officeDocument/2006/relationships/header" Target="header145.xml"/><Relationship Id="rId307" Type="http://schemas.openxmlformats.org/officeDocument/2006/relationships/footer" Target="footer138.xml"/><Relationship Id="rId308" Type="http://schemas.openxmlformats.org/officeDocument/2006/relationships/header" Target="header146.xml"/><Relationship Id="rId309" Type="http://schemas.openxmlformats.org/officeDocument/2006/relationships/footer" Target="footer139.xml"/><Relationship Id="rId310" Type="http://schemas.openxmlformats.org/officeDocument/2006/relationships/header" Target="header147.xml"/><Relationship Id="rId311" Type="http://schemas.openxmlformats.org/officeDocument/2006/relationships/footer" Target="footer140.xml"/><Relationship Id="rId312" Type="http://schemas.openxmlformats.org/officeDocument/2006/relationships/header" Target="header148.xml"/><Relationship Id="rId313" Type="http://schemas.openxmlformats.org/officeDocument/2006/relationships/footer" Target="footer141.xml"/><Relationship Id="rId314" Type="http://schemas.openxmlformats.org/officeDocument/2006/relationships/hyperlink" Target="http://www.acosomoral.org/pdf/rce34_03ensa.pdf" TargetMode="External"/><Relationship Id="rId315" Type="http://schemas.openxmlformats.org/officeDocument/2006/relationships/hyperlink" Target="http://www.jornadasconvivenciamurcia.com/doc/la_viole" TargetMode="External"/><Relationship Id="rId316" Type="http://schemas.openxmlformats.org/officeDocument/2006/relationships/hyperlink" Target="http://www2.convivencia.edu.uy/web/wp-" TargetMode="External"/><Relationship Id="rId317" Type="http://schemas.openxmlformats.org/officeDocument/2006/relationships/header" Target="header149.xml"/><Relationship Id="rId318" Type="http://schemas.openxmlformats.org/officeDocument/2006/relationships/footer" Target="footer142.xml"/><Relationship Id="rId319" Type="http://schemas.openxmlformats.org/officeDocument/2006/relationships/header" Target="header150.xml"/><Relationship Id="rId320" Type="http://schemas.openxmlformats.org/officeDocument/2006/relationships/footer" Target="footer143.xml"/><Relationship Id="rId321" Type="http://schemas.openxmlformats.org/officeDocument/2006/relationships/header" Target="header151.xml"/><Relationship Id="rId322" Type="http://schemas.openxmlformats.org/officeDocument/2006/relationships/footer" Target="footer144.xml"/><Relationship Id="rId323" Type="http://schemas.openxmlformats.org/officeDocument/2006/relationships/header" Target="header152.xml"/><Relationship Id="rId324" Type="http://schemas.openxmlformats.org/officeDocument/2006/relationships/footer" Target="footer145.xml"/><Relationship Id="rId325" Type="http://schemas.openxmlformats.org/officeDocument/2006/relationships/header" Target="header153.xml"/><Relationship Id="rId326" Type="http://schemas.openxmlformats.org/officeDocument/2006/relationships/footer" Target="footer146.xml"/><Relationship Id="rId327" Type="http://schemas.openxmlformats.org/officeDocument/2006/relationships/header" Target="header154.xml"/><Relationship Id="rId328" Type="http://schemas.openxmlformats.org/officeDocument/2006/relationships/footer" Target="footer147.xml"/><Relationship Id="rId329" Type="http://schemas.openxmlformats.org/officeDocument/2006/relationships/header" Target="header155.xml"/><Relationship Id="rId330" Type="http://schemas.openxmlformats.org/officeDocument/2006/relationships/footer" Target="footer148.xml"/><Relationship Id="rId331" Type="http://schemas.openxmlformats.org/officeDocument/2006/relationships/header" Target="header156.xml"/><Relationship Id="rId332" Type="http://schemas.openxmlformats.org/officeDocument/2006/relationships/footer" Target="footer149.xml"/><Relationship Id="rId333" Type="http://schemas.openxmlformats.org/officeDocument/2006/relationships/header" Target="header157.xml"/><Relationship Id="rId334" Type="http://schemas.openxmlformats.org/officeDocument/2006/relationships/footer" Target="footer150.xml"/><Relationship Id="rId335" Type="http://schemas.openxmlformats.org/officeDocument/2006/relationships/header" Target="header158.xml"/><Relationship Id="rId336" Type="http://schemas.openxmlformats.org/officeDocument/2006/relationships/footer" Target="footer151.xml"/><Relationship Id="rId337" Type="http://schemas.openxmlformats.org/officeDocument/2006/relationships/header" Target="header159.xml"/><Relationship Id="rId338" Type="http://schemas.openxmlformats.org/officeDocument/2006/relationships/footer" Target="footer152.xml"/><Relationship Id="rId339" Type="http://schemas.openxmlformats.org/officeDocument/2006/relationships/header" Target="header160.xml"/><Relationship Id="rId340" Type="http://schemas.openxmlformats.org/officeDocument/2006/relationships/footer" Target="footer153.xml"/><Relationship Id="rId341" Type="http://schemas.openxmlformats.org/officeDocument/2006/relationships/header" Target="header161.xml"/><Relationship Id="rId342" Type="http://schemas.openxmlformats.org/officeDocument/2006/relationships/footer" Target="footer154.xml"/><Relationship Id="rId343" Type="http://schemas.openxmlformats.org/officeDocument/2006/relationships/header" Target="header162.xml"/><Relationship Id="rId344" Type="http://schemas.openxmlformats.org/officeDocument/2006/relationships/footer" Target="footer155.xml"/><Relationship Id="rId345" Type="http://schemas.openxmlformats.org/officeDocument/2006/relationships/header" Target="header163.xml"/><Relationship Id="rId346" Type="http://schemas.openxmlformats.org/officeDocument/2006/relationships/footer" Target="footer156.xml"/><Relationship Id="rId347" Type="http://schemas.openxmlformats.org/officeDocument/2006/relationships/header" Target="header164.xml"/><Relationship Id="rId348" Type="http://schemas.openxmlformats.org/officeDocument/2006/relationships/footer" Target="footer157.xml"/><Relationship Id="rId349" Type="http://schemas.openxmlformats.org/officeDocument/2006/relationships/header" Target="header165.xml"/><Relationship Id="rId350" Type="http://schemas.openxmlformats.org/officeDocument/2006/relationships/footer" Target="footer158.xml"/><Relationship Id="rId351" Type="http://schemas.openxmlformats.org/officeDocument/2006/relationships/header" Target="header166.xml"/><Relationship Id="rId352" Type="http://schemas.openxmlformats.org/officeDocument/2006/relationships/footer" Target="footer159.xml"/><Relationship Id="rId353" Type="http://schemas.openxmlformats.org/officeDocument/2006/relationships/header" Target="header167.xml"/><Relationship Id="rId354" Type="http://schemas.openxmlformats.org/officeDocument/2006/relationships/footer" Target="footer160.xml"/><Relationship Id="rId355" Type="http://schemas.openxmlformats.org/officeDocument/2006/relationships/header" Target="header168.xml"/><Relationship Id="rId356" Type="http://schemas.openxmlformats.org/officeDocument/2006/relationships/footer" Target="footer161.xml"/><Relationship Id="rId357" Type="http://schemas.openxmlformats.org/officeDocument/2006/relationships/header" Target="header169.xml"/><Relationship Id="rId358" Type="http://schemas.openxmlformats.org/officeDocument/2006/relationships/footer" Target="footer162.xml"/><Relationship Id="rId359" Type="http://schemas.openxmlformats.org/officeDocument/2006/relationships/header" Target="header170.xml"/><Relationship Id="rId360" Type="http://schemas.openxmlformats.org/officeDocument/2006/relationships/footer" Target="footer163.xml"/><Relationship Id="rId361" Type="http://schemas.openxmlformats.org/officeDocument/2006/relationships/header" Target="header171.xml"/><Relationship Id="rId362" Type="http://schemas.openxmlformats.org/officeDocument/2006/relationships/footer" Target="footer164.xml"/><Relationship Id="rId363" Type="http://schemas.openxmlformats.org/officeDocument/2006/relationships/header" Target="header172.xml"/><Relationship Id="rId364" Type="http://schemas.openxmlformats.org/officeDocument/2006/relationships/footer" Target="footer165.xml"/><Relationship Id="rId365" Type="http://schemas.openxmlformats.org/officeDocument/2006/relationships/header" Target="header173.xml"/><Relationship Id="rId366" Type="http://schemas.openxmlformats.org/officeDocument/2006/relationships/footer" Target="footer166.xml"/><Relationship Id="rId367" Type="http://schemas.openxmlformats.org/officeDocument/2006/relationships/header" Target="header174.xml"/><Relationship Id="rId368" Type="http://schemas.openxmlformats.org/officeDocument/2006/relationships/footer" Target="footer167.xml"/><Relationship Id="rId369" Type="http://schemas.openxmlformats.org/officeDocument/2006/relationships/header" Target="header175.xml"/><Relationship Id="rId370" Type="http://schemas.openxmlformats.org/officeDocument/2006/relationships/footer" Target="footer168.xml"/><Relationship Id="rId371" Type="http://schemas.openxmlformats.org/officeDocument/2006/relationships/header" Target="header176.xml"/><Relationship Id="rId372" Type="http://schemas.openxmlformats.org/officeDocument/2006/relationships/footer" Target="footer169.xml"/><Relationship Id="rId373" Type="http://schemas.openxmlformats.org/officeDocument/2006/relationships/header" Target="header177.xml"/><Relationship Id="rId374" Type="http://schemas.openxmlformats.org/officeDocument/2006/relationships/footer" Target="footer170.xml"/><Relationship Id="rId375" Type="http://schemas.openxmlformats.org/officeDocument/2006/relationships/header" Target="header178.xml"/><Relationship Id="rId376" Type="http://schemas.openxmlformats.org/officeDocument/2006/relationships/footer" Target="footer171.xml"/><Relationship Id="rId377" Type="http://schemas.openxmlformats.org/officeDocument/2006/relationships/header" Target="header179.xml"/><Relationship Id="rId378" Type="http://schemas.openxmlformats.org/officeDocument/2006/relationships/footer" Target="footer172.xml"/><Relationship Id="rId379" Type="http://schemas.openxmlformats.org/officeDocument/2006/relationships/header" Target="header180.xml"/><Relationship Id="rId380" Type="http://schemas.openxmlformats.org/officeDocument/2006/relationships/footer" Target="footer173.xml"/><Relationship Id="rId381" Type="http://schemas.openxmlformats.org/officeDocument/2006/relationships/header" Target="header181.xml"/><Relationship Id="rId382" Type="http://schemas.openxmlformats.org/officeDocument/2006/relationships/footer" Target="footer174.xml"/><Relationship Id="rId383" Type="http://schemas.openxmlformats.org/officeDocument/2006/relationships/header" Target="header182.xml"/><Relationship Id="rId384" Type="http://schemas.openxmlformats.org/officeDocument/2006/relationships/footer" Target="footer175.xml"/><Relationship Id="rId385" Type="http://schemas.openxmlformats.org/officeDocument/2006/relationships/header" Target="header183.xml"/><Relationship Id="rId386" Type="http://schemas.openxmlformats.org/officeDocument/2006/relationships/footer" Target="footer176.xml"/><Relationship Id="rId387" Type="http://schemas.openxmlformats.org/officeDocument/2006/relationships/header" Target="header184.xml"/><Relationship Id="rId388" Type="http://schemas.openxmlformats.org/officeDocument/2006/relationships/footer" Target="footer177.xml"/><Relationship Id="rId389" Type="http://schemas.openxmlformats.org/officeDocument/2006/relationships/header" Target="header185.xml"/><Relationship Id="rId390" Type="http://schemas.openxmlformats.org/officeDocument/2006/relationships/footer" Target="footer178.xml"/><Relationship Id="rId391" Type="http://schemas.openxmlformats.org/officeDocument/2006/relationships/header" Target="header186.xml"/><Relationship Id="rId392" Type="http://schemas.openxmlformats.org/officeDocument/2006/relationships/footer" Target="footer179.xml"/><Relationship Id="rId393" Type="http://schemas.openxmlformats.org/officeDocument/2006/relationships/header" Target="header187.xml"/><Relationship Id="rId394" Type="http://schemas.openxmlformats.org/officeDocument/2006/relationships/footer" Target="footer180.xml"/><Relationship Id="rId395" Type="http://schemas.openxmlformats.org/officeDocument/2006/relationships/header" Target="header188.xml"/><Relationship Id="rId396" Type="http://schemas.openxmlformats.org/officeDocument/2006/relationships/footer" Target="footer181.xml"/><Relationship Id="rId397" Type="http://schemas.openxmlformats.org/officeDocument/2006/relationships/header" Target="header189.xml"/><Relationship Id="rId398" Type="http://schemas.openxmlformats.org/officeDocument/2006/relationships/footer" Target="footer182.xml"/><Relationship Id="rId399" Type="http://schemas.openxmlformats.org/officeDocument/2006/relationships/header" Target="header190.xml"/><Relationship Id="rId400" Type="http://schemas.openxmlformats.org/officeDocument/2006/relationships/footer" Target="footer183.xml"/><Relationship Id="rId401" Type="http://schemas.openxmlformats.org/officeDocument/2006/relationships/header" Target="header191.xml"/><Relationship Id="rId402" Type="http://schemas.openxmlformats.org/officeDocument/2006/relationships/footer" Target="footer184.xml"/><Relationship Id="rId403" Type="http://schemas.openxmlformats.org/officeDocument/2006/relationships/header" Target="header192.xml"/><Relationship Id="rId404" Type="http://schemas.openxmlformats.org/officeDocument/2006/relationships/footer" Target="footer185.xml"/><Relationship Id="rId405" Type="http://schemas.openxmlformats.org/officeDocument/2006/relationships/header" Target="header193.xml"/><Relationship Id="rId406" Type="http://schemas.openxmlformats.org/officeDocument/2006/relationships/footer" Target="footer186.xml"/><Relationship Id="rId407" Type="http://schemas.openxmlformats.org/officeDocument/2006/relationships/header" Target="header194.xml"/><Relationship Id="rId408" Type="http://schemas.openxmlformats.org/officeDocument/2006/relationships/footer" Target="footer187.xml"/><Relationship Id="rId409" Type="http://schemas.openxmlformats.org/officeDocument/2006/relationships/header" Target="header195.xml"/><Relationship Id="rId410" Type="http://schemas.openxmlformats.org/officeDocument/2006/relationships/footer" Target="footer188.xml"/><Relationship Id="rId411" Type="http://schemas.openxmlformats.org/officeDocument/2006/relationships/header" Target="header196.xml"/><Relationship Id="rId412" Type="http://schemas.openxmlformats.org/officeDocument/2006/relationships/footer" Target="footer189.xml"/><Relationship Id="rId413" Type="http://schemas.openxmlformats.org/officeDocument/2006/relationships/hyperlink" Target="http://revista.inie.ucr.ac.cr/" TargetMode="External"/><Relationship Id="rId414" Type="http://schemas.openxmlformats.org/officeDocument/2006/relationships/hyperlink" Target="http://revista.inie.ucr.ac.cr/index.php/aie/article/view/40" TargetMode="External"/><Relationship Id="rId415" Type="http://schemas.openxmlformats.org/officeDocument/2006/relationships/hyperlink" Target="http://www.scielo.org.mx/scielo.php?script=sci_arttext&amp;amp;p" TargetMode="External"/><Relationship Id="rId416" Type="http://schemas.openxmlformats.org/officeDocument/2006/relationships/hyperlink" Target="http://revistaumanizales.cinde.org.co/index.php/Revista-" TargetMode="External"/><Relationship Id="rId417" Type="http://schemas.openxmlformats.org/officeDocument/2006/relationships/header" Target="header197.xml"/><Relationship Id="rId418" Type="http://schemas.openxmlformats.org/officeDocument/2006/relationships/footer" Target="footer190.xml"/><Relationship Id="rId419" Type="http://schemas.openxmlformats.org/officeDocument/2006/relationships/header" Target="header198.xml"/><Relationship Id="rId420" Type="http://schemas.openxmlformats.org/officeDocument/2006/relationships/footer" Target="footer191.xml"/><Relationship Id="rId421" Type="http://schemas.openxmlformats.org/officeDocument/2006/relationships/header" Target="header199.xml"/><Relationship Id="rId422" Type="http://schemas.openxmlformats.org/officeDocument/2006/relationships/footer" Target="footer192.xml"/><Relationship Id="rId423" Type="http://schemas.openxmlformats.org/officeDocument/2006/relationships/header" Target="header200.xml"/><Relationship Id="rId424" Type="http://schemas.openxmlformats.org/officeDocument/2006/relationships/footer" Target="footer193.xml"/><Relationship Id="rId425" Type="http://schemas.openxmlformats.org/officeDocument/2006/relationships/header" Target="header201.xml"/><Relationship Id="rId426" Type="http://schemas.openxmlformats.org/officeDocument/2006/relationships/footer" Target="footer194.xml"/><Relationship Id="rId427" Type="http://schemas.openxmlformats.org/officeDocument/2006/relationships/header" Target="header202.xml"/><Relationship Id="rId428" Type="http://schemas.openxmlformats.org/officeDocument/2006/relationships/footer" Target="footer195.xml"/><Relationship Id="rId429" Type="http://schemas.openxmlformats.org/officeDocument/2006/relationships/header" Target="header203.xml"/><Relationship Id="rId430" Type="http://schemas.openxmlformats.org/officeDocument/2006/relationships/footer" Target="footer196.xml"/><Relationship Id="rId431" Type="http://schemas.openxmlformats.org/officeDocument/2006/relationships/header" Target="header204.xml"/><Relationship Id="rId432" Type="http://schemas.openxmlformats.org/officeDocument/2006/relationships/footer" Target="footer197.xml"/><Relationship Id="rId433" Type="http://schemas.openxmlformats.org/officeDocument/2006/relationships/header" Target="header205.xml"/><Relationship Id="rId434" Type="http://schemas.openxmlformats.org/officeDocument/2006/relationships/footer" Target="footer198.xml"/><Relationship Id="rId435" Type="http://schemas.openxmlformats.org/officeDocument/2006/relationships/header" Target="header206.xml"/><Relationship Id="rId436" Type="http://schemas.openxmlformats.org/officeDocument/2006/relationships/footer" Target="footer199.xml"/><Relationship Id="rId437" Type="http://schemas.openxmlformats.org/officeDocument/2006/relationships/header" Target="header207.xml"/><Relationship Id="rId438" Type="http://schemas.openxmlformats.org/officeDocument/2006/relationships/footer" Target="footer200.xml"/><Relationship Id="rId439" Type="http://schemas.openxmlformats.org/officeDocument/2006/relationships/header" Target="header208.xml"/><Relationship Id="rId440" Type="http://schemas.openxmlformats.org/officeDocument/2006/relationships/footer" Target="footer201.xml"/><Relationship Id="rId441" Type="http://schemas.openxmlformats.org/officeDocument/2006/relationships/header" Target="header209.xml"/><Relationship Id="rId442" Type="http://schemas.openxmlformats.org/officeDocument/2006/relationships/footer" Target="footer202.xml"/><Relationship Id="rId443" Type="http://schemas.openxmlformats.org/officeDocument/2006/relationships/header" Target="header210.xml"/><Relationship Id="rId444" Type="http://schemas.openxmlformats.org/officeDocument/2006/relationships/footer" Target="footer203.xml"/><Relationship Id="rId445" Type="http://schemas.openxmlformats.org/officeDocument/2006/relationships/image" Target="media/image6.png"/><Relationship Id="rId446" Type="http://schemas.openxmlformats.org/officeDocument/2006/relationships/header" Target="header211.xml"/><Relationship Id="rId447" Type="http://schemas.openxmlformats.org/officeDocument/2006/relationships/footer" Target="footer204.xml"/><Relationship Id="rId448" Type="http://schemas.openxmlformats.org/officeDocument/2006/relationships/image" Target="media/image7.png"/><Relationship Id="rId449" Type="http://schemas.openxmlformats.org/officeDocument/2006/relationships/header" Target="header212.xml"/><Relationship Id="rId450" Type="http://schemas.openxmlformats.org/officeDocument/2006/relationships/footer" Target="footer205.xml"/><Relationship Id="rId451" Type="http://schemas.openxmlformats.org/officeDocument/2006/relationships/image" Target="media/image8.png"/><Relationship Id="rId452" Type="http://schemas.openxmlformats.org/officeDocument/2006/relationships/header" Target="header213.xml"/><Relationship Id="rId453" Type="http://schemas.openxmlformats.org/officeDocument/2006/relationships/footer" Target="footer206.xml"/><Relationship Id="rId454" Type="http://schemas.openxmlformats.org/officeDocument/2006/relationships/image" Target="media/image9.png"/><Relationship Id="rId455" Type="http://schemas.openxmlformats.org/officeDocument/2006/relationships/header" Target="header214.xml"/><Relationship Id="rId456" Type="http://schemas.openxmlformats.org/officeDocument/2006/relationships/footer" Target="footer207.xml"/><Relationship Id="rId457" Type="http://schemas.openxmlformats.org/officeDocument/2006/relationships/image" Target="media/image10.png"/><Relationship Id="rId458" Type="http://schemas.openxmlformats.org/officeDocument/2006/relationships/header" Target="header215.xml"/><Relationship Id="rId459" Type="http://schemas.openxmlformats.org/officeDocument/2006/relationships/footer" Target="footer208.xml"/><Relationship Id="rId460" Type="http://schemas.openxmlformats.org/officeDocument/2006/relationships/image" Target="media/image11.png"/><Relationship Id="rId461" Type="http://schemas.openxmlformats.org/officeDocument/2006/relationships/header" Target="header216.xml"/><Relationship Id="rId462" Type="http://schemas.openxmlformats.org/officeDocument/2006/relationships/footer" Target="footer209.xml"/><Relationship Id="rId463" Type="http://schemas.openxmlformats.org/officeDocument/2006/relationships/image" Target="media/image12.png"/><Relationship Id="rId464" Type="http://schemas.openxmlformats.org/officeDocument/2006/relationships/header" Target="header217.xml"/><Relationship Id="rId465" Type="http://schemas.openxmlformats.org/officeDocument/2006/relationships/footer" Target="footer210.xml"/><Relationship Id="rId466" Type="http://schemas.openxmlformats.org/officeDocument/2006/relationships/image" Target="media/image13.png"/><Relationship Id="rId467" Type="http://schemas.openxmlformats.org/officeDocument/2006/relationships/header" Target="header218.xml"/><Relationship Id="rId468" Type="http://schemas.openxmlformats.org/officeDocument/2006/relationships/footer" Target="footer211.xml"/><Relationship Id="rId469" Type="http://schemas.openxmlformats.org/officeDocument/2006/relationships/image" Target="media/image14.png"/><Relationship Id="rId470" Type="http://schemas.openxmlformats.org/officeDocument/2006/relationships/header" Target="header219.xml"/><Relationship Id="rId471" Type="http://schemas.openxmlformats.org/officeDocument/2006/relationships/footer" Target="footer212.xml"/><Relationship Id="rId472" Type="http://schemas.openxmlformats.org/officeDocument/2006/relationships/image" Target="media/image15.png"/><Relationship Id="rId473" Type="http://schemas.openxmlformats.org/officeDocument/2006/relationships/header" Target="header220.xml"/><Relationship Id="rId474" Type="http://schemas.openxmlformats.org/officeDocument/2006/relationships/footer" Target="footer213.xml"/><Relationship Id="rId475" Type="http://schemas.openxmlformats.org/officeDocument/2006/relationships/image" Target="media/image16.png"/><Relationship Id="rId476" Type="http://schemas.openxmlformats.org/officeDocument/2006/relationships/header" Target="header221.xml"/><Relationship Id="rId477" Type="http://schemas.openxmlformats.org/officeDocument/2006/relationships/footer" Target="footer214.xml"/><Relationship Id="rId478" Type="http://schemas.openxmlformats.org/officeDocument/2006/relationships/image" Target="media/image17.png"/><Relationship Id="rId479" Type="http://schemas.openxmlformats.org/officeDocument/2006/relationships/image" Target="media/image18.png"/><Relationship Id="rId480" Type="http://schemas.openxmlformats.org/officeDocument/2006/relationships/header" Target="header222.xml"/><Relationship Id="rId481" Type="http://schemas.openxmlformats.org/officeDocument/2006/relationships/footer" Target="footer215.xml"/><Relationship Id="rId482" Type="http://schemas.openxmlformats.org/officeDocument/2006/relationships/image" Target="media/image19.png"/><Relationship Id="rId483" Type="http://schemas.openxmlformats.org/officeDocument/2006/relationships/header" Target="header223.xml"/><Relationship Id="rId484" Type="http://schemas.openxmlformats.org/officeDocument/2006/relationships/footer" Target="footer216.xml"/><Relationship Id="rId485" Type="http://schemas.openxmlformats.org/officeDocument/2006/relationships/image" Target="media/image20.png"/><Relationship Id="rId486" Type="http://schemas.openxmlformats.org/officeDocument/2006/relationships/image" Target="media/image21.png"/><Relationship Id="rId487" Type="http://schemas.openxmlformats.org/officeDocument/2006/relationships/header" Target="header224.xml"/><Relationship Id="rId488" Type="http://schemas.openxmlformats.org/officeDocument/2006/relationships/footer" Target="footer217.xml"/><Relationship Id="rId489" Type="http://schemas.openxmlformats.org/officeDocument/2006/relationships/image" Target="media/image22.png"/><Relationship Id="rId490" Type="http://schemas.openxmlformats.org/officeDocument/2006/relationships/header" Target="header225.xml"/><Relationship Id="rId491" Type="http://schemas.openxmlformats.org/officeDocument/2006/relationships/footer" Target="footer218.xml"/><Relationship Id="rId492" Type="http://schemas.openxmlformats.org/officeDocument/2006/relationships/header" Target="header226.xml"/><Relationship Id="rId493" Type="http://schemas.openxmlformats.org/officeDocument/2006/relationships/footer" Target="footer219.xml"/><Relationship Id="rId494" Type="http://schemas.openxmlformats.org/officeDocument/2006/relationships/hyperlink" Target="http://www.ucm.es/info/eurotheo/diccionario/R/represe" TargetMode="External"/><Relationship Id="rId495" Type="http://schemas.openxmlformats.org/officeDocument/2006/relationships/header" Target="header227.xml"/><Relationship Id="rId496" Type="http://schemas.openxmlformats.org/officeDocument/2006/relationships/footer" Target="footer220.xml"/><Relationship Id="rId497" Type="http://schemas.openxmlformats.org/officeDocument/2006/relationships/hyperlink" Target="http://www.flacso.or.cr/images/flippingbook/pdfs/cuade" TargetMode="External"/><Relationship Id="rId498" Type="http://schemas.openxmlformats.org/officeDocument/2006/relationships/hyperlink" Target="http://www.Ncbi.nlm.nih.gov/pmc/articles/PMC1002944" TargetMode="External"/><Relationship Id="rId499" Type="http://schemas.openxmlformats.org/officeDocument/2006/relationships/hyperlink" Target="http://www.ncbi.nlm.nih.gov/pubmed/16956894" TargetMode="External"/><Relationship Id="rId500" Type="http://schemas.openxmlformats.org/officeDocument/2006/relationships/hyperlink" Target="http://www.onlinelibrary.wiley.com/doi/10.1111/j.1365-" TargetMode="External"/><Relationship Id="rId501" Type="http://schemas.openxmlformats.org/officeDocument/2006/relationships/hyperlink" Target="http://ajph.aphapublications.org/doi/abs/10.2105/AJPH" TargetMode="External"/><Relationship Id="rId502" Type="http://schemas.openxmlformats.org/officeDocument/2006/relationships/header" Target="header228.xml"/><Relationship Id="rId503" Type="http://schemas.openxmlformats.org/officeDocument/2006/relationships/footer" Target="footer221.xml"/><Relationship Id="rId504" Type="http://schemas.openxmlformats.org/officeDocument/2006/relationships/hyperlink" Target="http://revistaseug.ugr.es/index.php/tsg/article/view/911" TargetMode="External"/><Relationship Id="rId505" Type="http://schemas.openxmlformats.org/officeDocument/2006/relationships/hyperlink" Target="http://www.scielo.cl/scielo.php?pid=S0717-" TargetMode="External"/><Relationship Id="rId506" Type="http://schemas.openxmlformats.org/officeDocument/2006/relationships/hyperlink" Target="http://www.scielo.cl/scielo.php?pid=s0034-" TargetMode="External"/><Relationship Id="rId507" Type="http://schemas.openxmlformats.org/officeDocument/2006/relationships/hyperlink" Target="http://www.researchgate.net/publication/13555712_Prevale" TargetMode="External"/><Relationship Id="rId508" Type="http://schemas.openxmlformats.org/officeDocument/2006/relationships/hyperlink" Target="http://www.ncbi.nlm.nih.gov/pmc/articles/PMC1486154" TargetMode="External"/><Relationship Id="rId509" Type="http://schemas.openxmlformats.org/officeDocument/2006/relationships/hyperlink" Target="http://www.ncbi.Nlm.nih.gov/pubmed/16390504" TargetMode="External"/><Relationship Id="rId510" Type="http://schemas.openxmlformats.org/officeDocument/2006/relationships/hyperlink" Target="http://www.doredin.mec.es/documentos/0082007300396" TargetMode="External"/><Relationship Id="rId511" Type="http://schemas.openxmlformats.org/officeDocument/2006/relationships/header" Target="header229.xml"/><Relationship Id="rId512" Type="http://schemas.openxmlformats.org/officeDocument/2006/relationships/footer" Target="footer222.xml"/><Relationship Id="rId513" Type="http://schemas.openxmlformats.org/officeDocument/2006/relationships/hyperlink" Target="http://www.Springerlink.com/content/pq2t570746167765" TargetMode="External"/><Relationship Id="rId514" Type="http://schemas.openxmlformats.org/officeDocument/2006/relationships/hyperlink" Target="http://revistas.um.es/index.php/daimon/article/view/958" TargetMode="External"/><Relationship Id="rId515" Type="http://schemas.openxmlformats.org/officeDocument/2006/relationships/hyperlink" Target="http://jama.ama-/" TargetMode="External"/><Relationship Id="rId516" Type="http://schemas.openxmlformats.org/officeDocument/2006/relationships/hyperlink" Target="http://gauss.unh.edu/%7Emas2/ID16.pdf" TargetMode="External"/><Relationship Id="rId517" Type="http://schemas.openxmlformats.org/officeDocument/2006/relationships/hyperlink" Target="http://www.uacqbf.uan.mx/web/historia/" TargetMode="External"/><Relationship Id="rId518" Type="http://schemas.openxmlformats.org/officeDocument/2006/relationships/hyperlink" Target="http://www.enfermeria.uan.edu.mx/historia.htm" TargetMode="External"/><Relationship Id="rId519" Type="http://schemas.openxmlformats.org/officeDocument/2006/relationships/hyperlink" Target="http://www.auan.edu.mx/oferta/historia/unidad/UAO/" TargetMode="External"/><Relationship Id="rId520" Type="http://schemas.openxmlformats.org/officeDocument/2006/relationships/header" Target="header230.xml"/><Relationship Id="rId521" Type="http://schemas.openxmlformats.org/officeDocument/2006/relationships/footer" Target="footer223.xml"/><Relationship Id="rId522" Type="http://schemas.openxmlformats.org/officeDocument/2006/relationships/hyperlink" Target="http://www.udi.uan.edu.mx/bajes/retordoc/1documentor" TargetMode="External"/><Relationship Id="rId523" Type="http://schemas.openxmlformats.org/officeDocument/2006/relationships/hyperlink" Target="http://www.jstor.org/stable/407008" TargetMode="External"/><Relationship Id="rId524" Type="http://schemas.openxmlformats.org/officeDocument/2006/relationships/header" Target="header231.xml"/><Relationship Id="rId525" Type="http://schemas.openxmlformats.org/officeDocument/2006/relationships/footer" Target="footer224.xml"/><Relationship Id="rId526" Type="http://schemas.openxmlformats.org/officeDocument/2006/relationships/header" Target="header232.xml"/><Relationship Id="rId527" Type="http://schemas.openxmlformats.org/officeDocument/2006/relationships/footer" Target="footer225.xml"/><Relationship Id="rId528" Type="http://schemas.openxmlformats.org/officeDocument/2006/relationships/header" Target="header233.xml"/><Relationship Id="rId529" Type="http://schemas.openxmlformats.org/officeDocument/2006/relationships/footer" Target="footer226.xml"/><Relationship Id="rId530" Type="http://schemas.openxmlformats.org/officeDocument/2006/relationships/header" Target="header234.xml"/><Relationship Id="rId531" Type="http://schemas.openxmlformats.org/officeDocument/2006/relationships/footer" Target="footer227.xml"/><Relationship Id="rId532" Type="http://schemas.openxmlformats.org/officeDocument/2006/relationships/header" Target="header235.xml"/><Relationship Id="rId533" Type="http://schemas.openxmlformats.org/officeDocument/2006/relationships/footer" Target="footer228.xml"/><Relationship Id="rId534" Type="http://schemas.openxmlformats.org/officeDocument/2006/relationships/header" Target="header236.xml"/><Relationship Id="rId535" Type="http://schemas.openxmlformats.org/officeDocument/2006/relationships/footer" Target="footer229.xml"/><Relationship Id="rId536" Type="http://schemas.openxmlformats.org/officeDocument/2006/relationships/header" Target="header237.xml"/><Relationship Id="rId537" Type="http://schemas.openxmlformats.org/officeDocument/2006/relationships/footer" Target="footer230.xml"/><Relationship Id="rId538" Type="http://schemas.openxmlformats.org/officeDocument/2006/relationships/header" Target="header238.xml"/><Relationship Id="rId539" Type="http://schemas.openxmlformats.org/officeDocument/2006/relationships/footer" Target="footer231.xml"/><Relationship Id="rId540" Type="http://schemas.openxmlformats.org/officeDocument/2006/relationships/header" Target="header239.xml"/><Relationship Id="rId541" Type="http://schemas.openxmlformats.org/officeDocument/2006/relationships/footer" Target="footer232.xml"/><Relationship Id="rId542" Type="http://schemas.openxmlformats.org/officeDocument/2006/relationships/header" Target="header240.xml"/><Relationship Id="rId543" Type="http://schemas.openxmlformats.org/officeDocument/2006/relationships/footer" Target="footer233.xml"/><Relationship Id="rId544" Type="http://schemas.openxmlformats.org/officeDocument/2006/relationships/header" Target="header241.xml"/><Relationship Id="rId545" Type="http://schemas.openxmlformats.org/officeDocument/2006/relationships/footer" Target="footer234.xml"/><Relationship Id="rId546" Type="http://schemas.openxmlformats.org/officeDocument/2006/relationships/header" Target="header242.xml"/><Relationship Id="rId547" Type="http://schemas.openxmlformats.org/officeDocument/2006/relationships/footer" Target="footer235.xml"/><Relationship Id="rId548" Type="http://schemas.openxmlformats.org/officeDocument/2006/relationships/header" Target="header243.xml"/><Relationship Id="rId549" Type="http://schemas.openxmlformats.org/officeDocument/2006/relationships/footer" Target="footer236.xml"/><Relationship Id="rId550" Type="http://schemas.openxmlformats.org/officeDocument/2006/relationships/header" Target="header244.xml"/><Relationship Id="rId551" Type="http://schemas.openxmlformats.org/officeDocument/2006/relationships/footer" Target="footer237.xml"/><Relationship Id="rId552" Type="http://schemas.openxmlformats.org/officeDocument/2006/relationships/header" Target="header245.xml"/><Relationship Id="rId553" Type="http://schemas.openxmlformats.org/officeDocument/2006/relationships/footer" Target="footer238.xml"/><Relationship Id="rId554" Type="http://schemas.openxmlformats.org/officeDocument/2006/relationships/header" Target="header246.xml"/><Relationship Id="rId555" Type="http://schemas.openxmlformats.org/officeDocument/2006/relationships/footer" Target="footer239.xml"/><Relationship Id="rId556" Type="http://schemas.openxmlformats.org/officeDocument/2006/relationships/header" Target="header247.xml"/><Relationship Id="rId557" Type="http://schemas.openxmlformats.org/officeDocument/2006/relationships/footer" Target="footer240.xml"/><Relationship Id="rId558" Type="http://schemas.openxmlformats.org/officeDocument/2006/relationships/header" Target="header248.xml"/><Relationship Id="rId559" Type="http://schemas.openxmlformats.org/officeDocument/2006/relationships/footer" Target="footer241.xml"/><Relationship Id="rId560" Type="http://schemas.openxmlformats.org/officeDocument/2006/relationships/header" Target="header249.xml"/><Relationship Id="rId561" Type="http://schemas.openxmlformats.org/officeDocument/2006/relationships/footer" Target="footer242.xml"/><Relationship Id="rId562" Type="http://schemas.openxmlformats.org/officeDocument/2006/relationships/header" Target="header250.xml"/><Relationship Id="rId563" Type="http://schemas.openxmlformats.org/officeDocument/2006/relationships/footer" Target="footer243.xml"/><Relationship Id="rId564" Type="http://schemas.openxmlformats.org/officeDocument/2006/relationships/header" Target="header251.xml"/><Relationship Id="rId565" Type="http://schemas.openxmlformats.org/officeDocument/2006/relationships/footer" Target="footer244.xml"/><Relationship Id="rId566" Type="http://schemas.openxmlformats.org/officeDocument/2006/relationships/header" Target="header252.xml"/><Relationship Id="rId567" Type="http://schemas.openxmlformats.org/officeDocument/2006/relationships/footer" Target="footer245.xml"/><Relationship Id="rId568" Type="http://schemas.openxmlformats.org/officeDocument/2006/relationships/header" Target="header253.xml"/><Relationship Id="rId569" Type="http://schemas.openxmlformats.org/officeDocument/2006/relationships/footer" Target="footer246.xml"/><Relationship Id="rId570" Type="http://schemas.openxmlformats.org/officeDocument/2006/relationships/header" Target="header254.xml"/><Relationship Id="rId571" Type="http://schemas.openxmlformats.org/officeDocument/2006/relationships/footer" Target="footer247.xml"/><Relationship Id="rId572" Type="http://schemas.openxmlformats.org/officeDocument/2006/relationships/header" Target="header255.xml"/><Relationship Id="rId573" Type="http://schemas.openxmlformats.org/officeDocument/2006/relationships/footer" Target="footer248.xml"/><Relationship Id="rId574" Type="http://schemas.openxmlformats.org/officeDocument/2006/relationships/header" Target="header256.xml"/><Relationship Id="rId575" Type="http://schemas.openxmlformats.org/officeDocument/2006/relationships/footer" Target="footer249.xml"/><Relationship Id="rId576" Type="http://schemas.openxmlformats.org/officeDocument/2006/relationships/header" Target="header257.xml"/><Relationship Id="rId577" Type="http://schemas.openxmlformats.org/officeDocument/2006/relationships/footer" Target="footer250.xml"/><Relationship Id="rId578" Type="http://schemas.openxmlformats.org/officeDocument/2006/relationships/header" Target="header258.xml"/><Relationship Id="rId579" Type="http://schemas.openxmlformats.org/officeDocument/2006/relationships/footer" Target="footer251.xml"/><Relationship Id="rId580" Type="http://schemas.openxmlformats.org/officeDocument/2006/relationships/hyperlink" Target="http://www.philosophia.cl/biblioteca/Benjamin/violencia" TargetMode="External"/><Relationship Id="rId581" Type="http://schemas.openxmlformats.org/officeDocument/2006/relationships/header" Target="header259.xml"/><Relationship Id="rId582" Type="http://schemas.openxmlformats.org/officeDocument/2006/relationships/footer" Target="footer252.xml"/><Relationship Id="rId583" Type="http://schemas.openxmlformats.org/officeDocument/2006/relationships/header" Target="header260.xml"/><Relationship Id="rId584" Type="http://schemas.openxmlformats.org/officeDocument/2006/relationships/footer" Target="footer253.xml"/><Relationship Id="rId585" Type="http://schemas.openxmlformats.org/officeDocument/2006/relationships/header" Target="header261.xml"/><Relationship Id="rId586" Type="http://schemas.openxmlformats.org/officeDocument/2006/relationships/footer" Target="footer254.xml"/><Relationship Id="rId587" Type="http://schemas.openxmlformats.org/officeDocument/2006/relationships/header" Target="header262.xml"/><Relationship Id="rId588" Type="http://schemas.openxmlformats.org/officeDocument/2006/relationships/footer" Target="footer255.xml"/><Relationship Id="rId589" Type="http://schemas.openxmlformats.org/officeDocument/2006/relationships/header" Target="header263.xml"/><Relationship Id="rId590" Type="http://schemas.openxmlformats.org/officeDocument/2006/relationships/footer" Target="footer256.xml"/><Relationship Id="rId591" Type="http://schemas.openxmlformats.org/officeDocument/2006/relationships/header" Target="header264.xml"/><Relationship Id="rId592" Type="http://schemas.openxmlformats.org/officeDocument/2006/relationships/footer" Target="footer257.xml"/><Relationship Id="rId593" Type="http://schemas.openxmlformats.org/officeDocument/2006/relationships/header" Target="header265.xml"/><Relationship Id="rId594" Type="http://schemas.openxmlformats.org/officeDocument/2006/relationships/footer" Target="footer258.xml"/><Relationship Id="rId595" Type="http://schemas.openxmlformats.org/officeDocument/2006/relationships/header" Target="header266.xml"/><Relationship Id="rId596" Type="http://schemas.openxmlformats.org/officeDocument/2006/relationships/footer" Target="footer259.xml"/><Relationship Id="rId597" Type="http://schemas.openxmlformats.org/officeDocument/2006/relationships/header" Target="header267.xml"/><Relationship Id="rId598" Type="http://schemas.openxmlformats.org/officeDocument/2006/relationships/footer" Target="footer260.xml"/><Relationship Id="rId599" Type="http://schemas.openxmlformats.org/officeDocument/2006/relationships/header" Target="header268.xml"/><Relationship Id="rId600" Type="http://schemas.openxmlformats.org/officeDocument/2006/relationships/footer" Target="footer261.xml"/><Relationship Id="rId601" Type="http://schemas.openxmlformats.org/officeDocument/2006/relationships/header" Target="header269.xml"/><Relationship Id="rId602" Type="http://schemas.openxmlformats.org/officeDocument/2006/relationships/footer" Target="footer262.xml"/><Relationship Id="rId603" Type="http://schemas.openxmlformats.org/officeDocument/2006/relationships/header" Target="header270.xml"/><Relationship Id="rId604" Type="http://schemas.openxmlformats.org/officeDocument/2006/relationships/footer" Target="footer263.xml"/><Relationship Id="rId605" Type="http://schemas.openxmlformats.org/officeDocument/2006/relationships/header" Target="header271.xml"/><Relationship Id="rId606" Type="http://schemas.openxmlformats.org/officeDocument/2006/relationships/footer" Target="footer264.xml"/><Relationship Id="rId607" Type="http://schemas.openxmlformats.org/officeDocument/2006/relationships/header" Target="header272.xml"/><Relationship Id="rId608" Type="http://schemas.openxmlformats.org/officeDocument/2006/relationships/footer" Target="footer265.xml"/><Relationship Id="rId609" Type="http://schemas.openxmlformats.org/officeDocument/2006/relationships/header" Target="header273.xml"/><Relationship Id="rId610" Type="http://schemas.openxmlformats.org/officeDocument/2006/relationships/footer" Target="footer266.xml"/><Relationship Id="rId611" Type="http://schemas.openxmlformats.org/officeDocument/2006/relationships/header" Target="header274.xml"/><Relationship Id="rId612" Type="http://schemas.openxmlformats.org/officeDocument/2006/relationships/footer" Target="footer267.xml"/><Relationship Id="rId613" Type="http://schemas.openxmlformats.org/officeDocument/2006/relationships/header" Target="header275.xml"/><Relationship Id="rId614" Type="http://schemas.openxmlformats.org/officeDocument/2006/relationships/footer" Target="footer268.xml"/><Relationship Id="rId615" Type="http://schemas.openxmlformats.org/officeDocument/2006/relationships/header" Target="header276.xml"/><Relationship Id="rId616" Type="http://schemas.openxmlformats.org/officeDocument/2006/relationships/footer" Target="footer269.xml"/><Relationship Id="rId617" Type="http://schemas.openxmlformats.org/officeDocument/2006/relationships/header" Target="header277.xml"/><Relationship Id="rId618" Type="http://schemas.openxmlformats.org/officeDocument/2006/relationships/footer" Target="footer270.xml"/><Relationship Id="rId619" Type="http://schemas.openxmlformats.org/officeDocument/2006/relationships/header" Target="header278.xml"/><Relationship Id="rId620" Type="http://schemas.openxmlformats.org/officeDocument/2006/relationships/footer" Target="footer271.xml"/><Relationship Id="rId621" Type="http://schemas.openxmlformats.org/officeDocument/2006/relationships/header" Target="header279.xml"/><Relationship Id="rId622" Type="http://schemas.openxmlformats.org/officeDocument/2006/relationships/footer" Target="footer272.xml"/><Relationship Id="rId623" Type="http://schemas.openxmlformats.org/officeDocument/2006/relationships/header" Target="header280.xml"/><Relationship Id="rId624" Type="http://schemas.openxmlformats.org/officeDocument/2006/relationships/footer" Target="footer273.xml"/><Relationship Id="rId625" Type="http://schemas.openxmlformats.org/officeDocument/2006/relationships/header" Target="header281.xml"/><Relationship Id="rId626" Type="http://schemas.openxmlformats.org/officeDocument/2006/relationships/footer" Target="footer274.xml"/><Relationship Id="rId627" Type="http://schemas.openxmlformats.org/officeDocument/2006/relationships/header" Target="header282.xml"/><Relationship Id="rId628" Type="http://schemas.openxmlformats.org/officeDocument/2006/relationships/footer" Target="footer275.xml"/><Relationship Id="rId629" Type="http://schemas.openxmlformats.org/officeDocument/2006/relationships/header" Target="header283.xml"/><Relationship Id="rId630" Type="http://schemas.openxmlformats.org/officeDocument/2006/relationships/footer" Target="footer276.xml"/><Relationship Id="rId631" Type="http://schemas.openxmlformats.org/officeDocument/2006/relationships/header" Target="header284.xml"/><Relationship Id="rId632" Type="http://schemas.openxmlformats.org/officeDocument/2006/relationships/footer" Target="footer277.xml"/><Relationship Id="rId633" Type="http://schemas.openxmlformats.org/officeDocument/2006/relationships/header" Target="header285.xml"/><Relationship Id="rId634" Type="http://schemas.openxmlformats.org/officeDocument/2006/relationships/footer" Target="footer278.xml"/><Relationship Id="rId635" Type="http://schemas.openxmlformats.org/officeDocument/2006/relationships/header" Target="header286.xml"/><Relationship Id="rId636" Type="http://schemas.openxmlformats.org/officeDocument/2006/relationships/footer" Target="footer279.xml"/><Relationship Id="rId637" Type="http://schemas.openxmlformats.org/officeDocument/2006/relationships/header" Target="header287.xml"/><Relationship Id="rId638" Type="http://schemas.openxmlformats.org/officeDocument/2006/relationships/footer" Target="footer280.xml"/><Relationship Id="rId639" Type="http://schemas.openxmlformats.org/officeDocument/2006/relationships/header" Target="header288.xml"/><Relationship Id="rId640" Type="http://schemas.openxmlformats.org/officeDocument/2006/relationships/footer" Target="footer281.xml"/><Relationship Id="rId641" Type="http://schemas.openxmlformats.org/officeDocument/2006/relationships/header" Target="header289.xml"/><Relationship Id="rId642" Type="http://schemas.openxmlformats.org/officeDocument/2006/relationships/footer" Target="footer282.xml"/><Relationship Id="rId643" Type="http://schemas.openxmlformats.org/officeDocument/2006/relationships/header" Target="header290.xml"/><Relationship Id="rId644" Type="http://schemas.openxmlformats.org/officeDocument/2006/relationships/footer" Target="footer283.xml"/><Relationship Id="rId645" Type="http://schemas.openxmlformats.org/officeDocument/2006/relationships/header" Target="header291.xml"/><Relationship Id="rId646" Type="http://schemas.openxmlformats.org/officeDocument/2006/relationships/footer" Target="footer284.xml"/><Relationship Id="rId647" Type="http://schemas.openxmlformats.org/officeDocument/2006/relationships/header" Target="header292.xml"/><Relationship Id="rId648" Type="http://schemas.openxmlformats.org/officeDocument/2006/relationships/footer" Target="footer285.xml"/><Relationship Id="rId649" Type="http://schemas.openxmlformats.org/officeDocument/2006/relationships/header" Target="header293.xml"/><Relationship Id="rId650" Type="http://schemas.openxmlformats.org/officeDocument/2006/relationships/footer" Target="footer286.xml"/><Relationship Id="rId651" Type="http://schemas.openxmlformats.org/officeDocument/2006/relationships/header" Target="header294.xml"/><Relationship Id="rId652" Type="http://schemas.openxmlformats.org/officeDocument/2006/relationships/footer" Target="footer287.xml"/><Relationship Id="rId653" Type="http://schemas.openxmlformats.org/officeDocument/2006/relationships/header" Target="header295.xml"/><Relationship Id="rId654" Type="http://schemas.openxmlformats.org/officeDocument/2006/relationships/footer" Target="footer288.xml"/><Relationship Id="rId655" Type="http://schemas.openxmlformats.org/officeDocument/2006/relationships/header" Target="header296.xml"/><Relationship Id="rId656" Type="http://schemas.openxmlformats.org/officeDocument/2006/relationships/footer" Target="footer289.xml"/><Relationship Id="rId657" Type="http://schemas.openxmlformats.org/officeDocument/2006/relationships/header" Target="header297.xml"/><Relationship Id="rId658" Type="http://schemas.openxmlformats.org/officeDocument/2006/relationships/footer" Target="footer290.xml"/><Relationship Id="rId659" Type="http://schemas.openxmlformats.org/officeDocument/2006/relationships/header" Target="header298.xml"/><Relationship Id="rId660" Type="http://schemas.openxmlformats.org/officeDocument/2006/relationships/footer" Target="footer291.xml"/><Relationship Id="rId661" Type="http://schemas.openxmlformats.org/officeDocument/2006/relationships/image" Target="media/image23.png"/><Relationship Id="rId662" Type="http://schemas.openxmlformats.org/officeDocument/2006/relationships/header" Target="header299.xml"/><Relationship Id="rId663" Type="http://schemas.openxmlformats.org/officeDocument/2006/relationships/footer" Target="footer292.xml"/><Relationship Id="rId664" Type="http://schemas.openxmlformats.org/officeDocument/2006/relationships/header" Target="header300.xml"/><Relationship Id="rId665" Type="http://schemas.openxmlformats.org/officeDocument/2006/relationships/footer" Target="footer293.xml"/><Relationship Id="rId666" Type="http://schemas.openxmlformats.org/officeDocument/2006/relationships/header" Target="header301.xml"/><Relationship Id="rId667" Type="http://schemas.openxmlformats.org/officeDocument/2006/relationships/footer" Target="footer294.xml"/><Relationship Id="rId668" Type="http://schemas.openxmlformats.org/officeDocument/2006/relationships/header" Target="header302.xml"/><Relationship Id="rId669" Type="http://schemas.openxmlformats.org/officeDocument/2006/relationships/footer" Target="footer295.xml"/><Relationship Id="rId670" Type="http://schemas.openxmlformats.org/officeDocument/2006/relationships/header" Target="header303.xml"/><Relationship Id="rId671" Type="http://schemas.openxmlformats.org/officeDocument/2006/relationships/footer" Target="footer296.xml"/><Relationship Id="rId672" Type="http://schemas.openxmlformats.org/officeDocument/2006/relationships/header" Target="header304.xml"/><Relationship Id="rId673" Type="http://schemas.openxmlformats.org/officeDocument/2006/relationships/footer" Target="footer297.xml"/><Relationship Id="rId674" Type="http://schemas.openxmlformats.org/officeDocument/2006/relationships/header" Target="header305.xml"/><Relationship Id="rId675" Type="http://schemas.openxmlformats.org/officeDocument/2006/relationships/footer" Target="footer298.xml"/><Relationship Id="rId676" Type="http://schemas.openxmlformats.org/officeDocument/2006/relationships/image" Target="media/image24.png"/><Relationship Id="rId677" Type="http://schemas.openxmlformats.org/officeDocument/2006/relationships/header" Target="header306.xml"/><Relationship Id="rId678" Type="http://schemas.openxmlformats.org/officeDocument/2006/relationships/footer" Target="footer299.xml"/><Relationship Id="rId679" Type="http://schemas.openxmlformats.org/officeDocument/2006/relationships/image" Target="media/image25.png"/><Relationship Id="rId680" Type="http://schemas.openxmlformats.org/officeDocument/2006/relationships/header" Target="header307.xml"/><Relationship Id="rId681" Type="http://schemas.openxmlformats.org/officeDocument/2006/relationships/footer" Target="footer300.xml"/><Relationship Id="rId682" Type="http://schemas.openxmlformats.org/officeDocument/2006/relationships/image" Target="media/image26.png"/><Relationship Id="rId683" Type="http://schemas.openxmlformats.org/officeDocument/2006/relationships/header" Target="header308.xml"/><Relationship Id="rId684" Type="http://schemas.openxmlformats.org/officeDocument/2006/relationships/footer" Target="footer301.xml"/><Relationship Id="rId685" Type="http://schemas.openxmlformats.org/officeDocument/2006/relationships/header" Target="header309.xml"/><Relationship Id="rId686" Type="http://schemas.openxmlformats.org/officeDocument/2006/relationships/footer" Target="footer302.xml"/><Relationship Id="rId687" Type="http://schemas.openxmlformats.org/officeDocument/2006/relationships/header" Target="header310.xml"/><Relationship Id="rId688" Type="http://schemas.openxmlformats.org/officeDocument/2006/relationships/footer" Target="footer303.xml"/><Relationship Id="rId689" Type="http://schemas.openxmlformats.org/officeDocument/2006/relationships/header" Target="header311.xml"/><Relationship Id="rId690" Type="http://schemas.openxmlformats.org/officeDocument/2006/relationships/footer" Target="footer304.xml"/><Relationship Id="rId691" Type="http://schemas.openxmlformats.org/officeDocument/2006/relationships/header" Target="header312.xml"/><Relationship Id="rId692" Type="http://schemas.openxmlformats.org/officeDocument/2006/relationships/footer" Target="footer305.xml"/><Relationship Id="rId693" Type="http://schemas.openxmlformats.org/officeDocument/2006/relationships/header" Target="header313.xml"/><Relationship Id="rId694" Type="http://schemas.openxmlformats.org/officeDocument/2006/relationships/footer" Target="footer306.xml"/><Relationship Id="rId695" Type="http://schemas.openxmlformats.org/officeDocument/2006/relationships/header" Target="header314.xml"/><Relationship Id="rId696" Type="http://schemas.openxmlformats.org/officeDocument/2006/relationships/footer" Target="footer307.xml"/><Relationship Id="rId697" Type="http://schemas.openxmlformats.org/officeDocument/2006/relationships/header" Target="header315.xml"/><Relationship Id="rId698" Type="http://schemas.openxmlformats.org/officeDocument/2006/relationships/footer" Target="footer308.xml"/><Relationship Id="rId699" Type="http://schemas.openxmlformats.org/officeDocument/2006/relationships/header" Target="header316.xml"/><Relationship Id="rId700" Type="http://schemas.openxmlformats.org/officeDocument/2006/relationships/footer" Target="footer309.xml"/><Relationship Id="rId701" Type="http://schemas.openxmlformats.org/officeDocument/2006/relationships/header" Target="header317.xml"/><Relationship Id="rId702" Type="http://schemas.openxmlformats.org/officeDocument/2006/relationships/footer" Target="footer310.xml"/><Relationship Id="rId703" Type="http://schemas.openxmlformats.org/officeDocument/2006/relationships/header" Target="header318.xml"/><Relationship Id="rId704" Type="http://schemas.openxmlformats.org/officeDocument/2006/relationships/footer" Target="footer311.xml"/><Relationship Id="rId705" Type="http://schemas.openxmlformats.org/officeDocument/2006/relationships/header" Target="header319.xml"/><Relationship Id="rId706" Type="http://schemas.openxmlformats.org/officeDocument/2006/relationships/footer" Target="footer312.xml"/><Relationship Id="rId707" Type="http://schemas.openxmlformats.org/officeDocument/2006/relationships/header" Target="header320.xml"/><Relationship Id="rId708" Type="http://schemas.openxmlformats.org/officeDocument/2006/relationships/footer" Target="footer313.xml"/><Relationship Id="rId709" Type="http://schemas.openxmlformats.org/officeDocument/2006/relationships/header" Target="header321.xml"/><Relationship Id="rId710" Type="http://schemas.openxmlformats.org/officeDocument/2006/relationships/footer" Target="footer314.xml"/><Relationship Id="rId711" Type="http://schemas.openxmlformats.org/officeDocument/2006/relationships/header" Target="header322.xml"/><Relationship Id="rId712" Type="http://schemas.openxmlformats.org/officeDocument/2006/relationships/footer" Target="footer315.xml"/><Relationship Id="rId713" Type="http://schemas.openxmlformats.org/officeDocument/2006/relationships/header" Target="header323.xml"/><Relationship Id="rId714" Type="http://schemas.openxmlformats.org/officeDocument/2006/relationships/footer" Target="footer316.xml"/><Relationship Id="rId715" Type="http://schemas.openxmlformats.org/officeDocument/2006/relationships/header" Target="header324.xml"/><Relationship Id="rId716" Type="http://schemas.openxmlformats.org/officeDocument/2006/relationships/footer" Target="footer317.xml"/><Relationship Id="rId717" Type="http://schemas.openxmlformats.org/officeDocument/2006/relationships/header" Target="header325.xml"/><Relationship Id="rId718" Type="http://schemas.openxmlformats.org/officeDocument/2006/relationships/footer" Target="footer318.xml"/><Relationship Id="rId719" Type="http://schemas.openxmlformats.org/officeDocument/2006/relationships/header" Target="header326.xml"/><Relationship Id="rId720" Type="http://schemas.openxmlformats.org/officeDocument/2006/relationships/footer" Target="footer319.xml"/><Relationship Id="rId721" Type="http://schemas.openxmlformats.org/officeDocument/2006/relationships/header" Target="header327.xml"/><Relationship Id="rId722" Type="http://schemas.openxmlformats.org/officeDocument/2006/relationships/footer" Target="footer320.xml"/><Relationship Id="rId723" Type="http://schemas.openxmlformats.org/officeDocument/2006/relationships/image" Target="media/image27.png"/><Relationship Id="rId724" Type="http://schemas.openxmlformats.org/officeDocument/2006/relationships/header" Target="header328.xml"/><Relationship Id="rId725" Type="http://schemas.openxmlformats.org/officeDocument/2006/relationships/footer" Target="footer321.xml"/><Relationship Id="rId726" Type="http://schemas.openxmlformats.org/officeDocument/2006/relationships/header" Target="header329.xml"/><Relationship Id="rId727" Type="http://schemas.openxmlformats.org/officeDocument/2006/relationships/footer" Target="footer322.xml"/><Relationship Id="rId728" Type="http://schemas.openxmlformats.org/officeDocument/2006/relationships/header" Target="header330.xml"/><Relationship Id="rId729" Type="http://schemas.openxmlformats.org/officeDocument/2006/relationships/footer" Target="footer323.xml"/><Relationship Id="rId730" Type="http://schemas.openxmlformats.org/officeDocument/2006/relationships/image" Target="media/image28.png"/><Relationship Id="rId731" Type="http://schemas.openxmlformats.org/officeDocument/2006/relationships/header" Target="header331.xml"/><Relationship Id="rId732" Type="http://schemas.openxmlformats.org/officeDocument/2006/relationships/footer" Target="footer324.xml"/><Relationship Id="rId733" Type="http://schemas.openxmlformats.org/officeDocument/2006/relationships/header" Target="header332.xml"/><Relationship Id="rId734" Type="http://schemas.openxmlformats.org/officeDocument/2006/relationships/footer" Target="footer325.xml"/><Relationship Id="rId735" Type="http://schemas.openxmlformats.org/officeDocument/2006/relationships/header" Target="header333.xml"/><Relationship Id="rId736" Type="http://schemas.openxmlformats.org/officeDocument/2006/relationships/footer" Target="footer326.xml"/><Relationship Id="rId737" Type="http://schemas.openxmlformats.org/officeDocument/2006/relationships/header" Target="header334.xml"/><Relationship Id="rId738" Type="http://schemas.openxmlformats.org/officeDocument/2006/relationships/footer" Target="footer327.xml"/><Relationship Id="rId739" Type="http://schemas.openxmlformats.org/officeDocument/2006/relationships/header" Target="header335.xml"/><Relationship Id="rId740" Type="http://schemas.openxmlformats.org/officeDocument/2006/relationships/footer" Target="footer328.xml"/><Relationship Id="rId741" Type="http://schemas.openxmlformats.org/officeDocument/2006/relationships/header" Target="header336.xml"/><Relationship Id="rId742" Type="http://schemas.openxmlformats.org/officeDocument/2006/relationships/footer" Target="footer329.xml"/><Relationship Id="rId743" Type="http://schemas.openxmlformats.org/officeDocument/2006/relationships/header" Target="header337.xml"/><Relationship Id="rId744" Type="http://schemas.openxmlformats.org/officeDocument/2006/relationships/footer" Target="footer330.xml"/><Relationship Id="rId745" Type="http://schemas.openxmlformats.org/officeDocument/2006/relationships/header" Target="header338.xml"/><Relationship Id="rId746" Type="http://schemas.openxmlformats.org/officeDocument/2006/relationships/footer" Target="footer331.xml"/><Relationship Id="rId747" Type="http://schemas.openxmlformats.org/officeDocument/2006/relationships/header" Target="header339.xml"/><Relationship Id="rId748" Type="http://schemas.openxmlformats.org/officeDocument/2006/relationships/footer" Target="footer332.xml"/><Relationship Id="rId749" Type="http://schemas.openxmlformats.org/officeDocument/2006/relationships/header" Target="header340.xml"/><Relationship Id="rId750" Type="http://schemas.openxmlformats.org/officeDocument/2006/relationships/footer" Target="footer333.xml"/><Relationship Id="rId751" Type="http://schemas.openxmlformats.org/officeDocument/2006/relationships/hyperlink" Target="http://www.conapred.org.mx/userfiles/files/RPD_01_201" TargetMode="External"/><Relationship Id="rId752" Type="http://schemas.openxmlformats.org/officeDocument/2006/relationships/hyperlink" Target="http://publicaciones.anuies.mx/pdfs/confluencias/Conflu" TargetMode="External"/><Relationship Id="rId753" Type="http://schemas.openxmlformats.org/officeDocument/2006/relationships/hyperlink" Target="http://www.aulaintercultural.org/IMG/pdf/diaz-" TargetMode="External"/><Relationship Id="rId754" Type="http://schemas.openxmlformats.org/officeDocument/2006/relationships/hyperlink" Target="http://www.rae.es/" TargetMode="External"/><Relationship Id="rId755" Type="http://schemas.openxmlformats.org/officeDocument/2006/relationships/hyperlink" Target="http://cenei.uqroo.mx/paei/paei.pdf" TargetMode="External"/><Relationship Id="rId756" Type="http://schemas.openxmlformats.org/officeDocument/2006/relationships/header" Target="header341.xml"/><Relationship Id="rId757" Type="http://schemas.openxmlformats.org/officeDocument/2006/relationships/footer" Target="footer334.xml"/><Relationship Id="rId758" Type="http://schemas.openxmlformats.org/officeDocument/2006/relationships/hyperlink" Target="http://www.cepal.org/mujer/publicaciones/sinsigla/xml/" TargetMode="External"/><Relationship Id="rId759" Type="http://schemas.openxmlformats.org/officeDocument/2006/relationships/header" Target="header342.xml"/><Relationship Id="rId760" Type="http://schemas.openxmlformats.org/officeDocument/2006/relationships/footer" Target="footer335.xml"/><Relationship Id="rId761" Type="http://schemas.openxmlformats.org/officeDocument/2006/relationships/header" Target="header343.xml"/><Relationship Id="rId762" Type="http://schemas.openxmlformats.org/officeDocument/2006/relationships/footer" Target="footer336.xml"/><Relationship Id="rId763" Type="http://schemas.openxmlformats.org/officeDocument/2006/relationships/header" Target="header344.xml"/><Relationship Id="rId764" Type="http://schemas.openxmlformats.org/officeDocument/2006/relationships/footer" Target="footer337.xml"/><Relationship Id="rId765" Type="http://schemas.openxmlformats.org/officeDocument/2006/relationships/header" Target="header345.xml"/><Relationship Id="rId766" Type="http://schemas.openxmlformats.org/officeDocument/2006/relationships/footer" Target="footer338.xml"/><Relationship Id="rId767" Type="http://schemas.openxmlformats.org/officeDocument/2006/relationships/header" Target="header346.xml"/><Relationship Id="rId768" Type="http://schemas.openxmlformats.org/officeDocument/2006/relationships/footer" Target="footer339.xml"/><Relationship Id="rId769" Type="http://schemas.openxmlformats.org/officeDocument/2006/relationships/header" Target="header347.xml"/><Relationship Id="rId770" Type="http://schemas.openxmlformats.org/officeDocument/2006/relationships/footer" Target="footer340.xml"/><Relationship Id="rId771" Type="http://schemas.openxmlformats.org/officeDocument/2006/relationships/header" Target="header348.xml"/><Relationship Id="rId772" Type="http://schemas.openxmlformats.org/officeDocument/2006/relationships/footer" Target="footer341.xml"/><Relationship Id="rId773" Type="http://schemas.openxmlformats.org/officeDocument/2006/relationships/header" Target="header349.xml"/><Relationship Id="rId774" Type="http://schemas.openxmlformats.org/officeDocument/2006/relationships/footer" Target="footer342.xml"/><Relationship Id="rId775" Type="http://schemas.openxmlformats.org/officeDocument/2006/relationships/header" Target="header350.xml"/><Relationship Id="rId776" Type="http://schemas.openxmlformats.org/officeDocument/2006/relationships/footer" Target="footer343.xml"/><Relationship Id="rId777" Type="http://schemas.openxmlformats.org/officeDocument/2006/relationships/header" Target="header351.xml"/><Relationship Id="rId778" Type="http://schemas.openxmlformats.org/officeDocument/2006/relationships/footer" Target="footer344.xml"/><Relationship Id="rId779" Type="http://schemas.openxmlformats.org/officeDocument/2006/relationships/header" Target="header352.xml"/><Relationship Id="rId780" Type="http://schemas.openxmlformats.org/officeDocument/2006/relationships/footer" Target="footer345.xml"/><Relationship Id="rId781" Type="http://schemas.openxmlformats.org/officeDocument/2006/relationships/header" Target="header353.xml"/><Relationship Id="rId782" Type="http://schemas.openxmlformats.org/officeDocument/2006/relationships/footer" Target="footer346.xml"/><Relationship Id="rId783" Type="http://schemas.openxmlformats.org/officeDocument/2006/relationships/header" Target="header354.xml"/><Relationship Id="rId784" Type="http://schemas.openxmlformats.org/officeDocument/2006/relationships/footer" Target="footer347.xml"/><Relationship Id="rId785" Type="http://schemas.openxmlformats.org/officeDocument/2006/relationships/header" Target="header355.xml"/><Relationship Id="rId786" Type="http://schemas.openxmlformats.org/officeDocument/2006/relationships/footer" Target="footer348.xml"/><Relationship Id="rId787" Type="http://schemas.openxmlformats.org/officeDocument/2006/relationships/header" Target="header356.xml"/><Relationship Id="rId788" Type="http://schemas.openxmlformats.org/officeDocument/2006/relationships/footer" Target="footer349.xml"/><Relationship Id="rId789" Type="http://schemas.openxmlformats.org/officeDocument/2006/relationships/header" Target="header357.xml"/><Relationship Id="rId790" Type="http://schemas.openxmlformats.org/officeDocument/2006/relationships/footer" Target="footer350.xml"/><Relationship Id="rId791" Type="http://schemas.openxmlformats.org/officeDocument/2006/relationships/header" Target="header358.xml"/><Relationship Id="rId792" Type="http://schemas.openxmlformats.org/officeDocument/2006/relationships/footer" Target="footer351.xml"/><Relationship Id="rId793" Type="http://schemas.openxmlformats.org/officeDocument/2006/relationships/header" Target="header359.xml"/><Relationship Id="rId794" Type="http://schemas.openxmlformats.org/officeDocument/2006/relationships/footer" Target="footer352.xml"/><Relationship Id="rId795" Type="http://schemas.openxmlformats.org/officeDocument/2006/relationships/header" Target="header360.xml"/><Relationship Id="rId796" Type="http://schemas.openxmlformats.org/officeDocument/2006/relationships/footer" Target="footer353.xml"/><Relationship Id="rId797" Type="http://schemas.openxmlformats.org/officeDocument/2006/relationships/header" Target="header361.xml"/><Relationship Id="rId798" Type="http://schemas.openxmlformats.org/officeDocument/2006/relationships/footer" Target="footer354.xml"/><Relationship Id="rId799" Type="http://schemas.openxmlformats.org/officeDocument/2006/relationships/header" Target="header362.xml"/><Relationship Id="rId800" Type="http://schemas.openxmlformats.org/officeDocument/2006/relationships/footer" Target="footer355.xml"/><Relationship Id="rId801" Type="http://schemas.openxmlformats.org/officeDocument/2006/relationships/header" Target="header363.xml"/><Relationship Id="rId802" Type="http://schemas.openxmlformats.org/officeDocument/2006/relationships/footer" Target="footer356.xml"/><Relationship Id="rId803" Type="http://schemas.openxmlformats.org/officeDocument/2006/relationships/header" Target="header364.xml"/><Relationship Id="rId804" Type="http://schemas.openxmlformats.org/officeDocument/2006/relationships/footer" Target="footer357.xml"/><Relationship Id="rId805" Type="http://schemas.openxmlformats.org/officeDocument/2006/relationships/header" Target="header365.xml"/><Relationship Id="rId806" Type="http://schemas.openxmlformats.org/officeDocument/2006/relationships/footer" Target="footer358.xml"/><Relationship Id="rId807" Type="http://schemas.openxmlformats.org/officeDocument/2006/relationships/header" Target="header366.xml"/><Relationship Id="rId808" Type="http://schemas.openxmlformats.org/officeDocument/2006/relationships/footer" Target="footer359.xml"/><Relationship Id="rId809" Type="http://schemas.openxmlformats.org/officeDocument/2006/relationships/header" Target="header367.xml"/><Relationship Id="rId810" Type="http://schemas.openxmlformats.org/officeDocument/2006/relationships/footer" Target="footer360.xml"/><Relationship Id="rId811" Type="http://schemas.openxmlformats.org/officeDocument/2006/relationships/hyperlink" Target="http://biblioteca.diputados.gob.mx/janium/bv/ce/scpd/" TargetMode="External"/><Relationship Id="rId812" Type="http://schemas.openxmlformats.org/officeDocument/2006/relationships/header" Target="header368.xml"/><Relationship Id="rId813" Type="http://schemas.openxmlformats.org/officeDocument/2006/relationships/footer" Target="footer361.xml"/><Relationship Id="rId814" Type="http://schemas.openxmlformats.org/officeDocument/2006/relationships/header" Target="header369.xml"/><Relationship Id="rId815" Type="http://schemas.openxmlformats.org/officeDocument/2006/relationships/footer" Target="footer362.xml"/><Relationship Id="rId816" Type="http://schemas.openxmlformats.org/officeDocument/2006/relationships/header" Target="header370.xml"/><Relationship Id="rId817" Type="http://schemas.openxmlformats.org/officeDocument/2006/relationships/footer" Target="footer363.xml"/><Relationship Id="rId818" Type="http://schemas.openxmlformats.org/officeDocument/2006/relationships/header" Target="header371.xml"/><Relationship Id="rId819" Type="http://schemas.openxmlformats.org/officeDocument/2006/relationships/footer" Target="footer364.xml"/><Relationship Id="rId820" Type="http://schemas.openxmlformats.org/officeDocument/2006/relationships/header" Target="header372.xml"/><Relationship Id="rId821" Type="http://schemas.openxmlformats.org/officeDocument/2006/relationships/footer" Target="footer365.xml"/><Relationship Id="rId822" Type="http://schemas.openxmlformats.org/officeDocument/2006/relationships/header" Target="header373.xml"/><Relationship Id="rId823" Type="http://schemas.openxmlformats.org/officeDocument/2006/relationships/footer" Target="footer366.xml"/><Relationship Id="rId824" Type="http://schemas.openxmlformats.org/officeDocument/2006/relationships/header" Target="header374.xml"/><Relationship Id="rId825" Type="http://schemas.openxmlformats.org/officeDocument/2006/relationships/footer" Target="footer367.xml"/><Relationship Id="rId826" Type="http://schemas.openxmlformats.org/officeDocument/2006/relationships/header" Target="header375.xml"/><Relationship Id="rId827" Type="http://schemas.openxmlformats.org/officeDocument/2006/relationships/footer" Target="footer368.xml"/><Relationship Id="rId828" Type="http://schemas.openxmlformats.org/officeDocument/2006/relationships/header" Target="header376.xml"/><Relationship Id="rId829" Type="http://schemas.openxmlformats.org/officeDocument/2006/relationships/footer" Target="footer369.xml"/><Relationship Id="rId830" Type="http://schemas.openxmlformats.org/officeDocument/2006/relationships/header" Target="header377.xml"/><Relationship Id="rId831" Type="http://schemas.openxmlformats.org/officeDocument/2006/relationships/footer" Target="footer370.xml"/><Relationship Id="rId832" Type="http://schemas.openxmlformats.org/officeDocument/2006/relationships/header" Target="header378.xml"/><Relationship Id="rId833" Type="http://schemas.openxmlformats.org/officeDocument/2006/relationships/footer" Target="footer371.xml"/><Relationship Id="rId834" Type="http://schemas.openxmlformats.org/officeDocument/2006/relationships/header" Target="header379.xml"/><Relationship Id="rId835" Type="http://schemas.openxmlformats.org/officeDocument/2006/relationships/footer" Target="footer372.xml"/><Relationship Id="rId836" Type="http://schemas.openxmlformats.org/officeDocument/2006/relationships/header" Target="header380.xml"/><Relationship Id="rId837" Type="http://schemas.openxmlformats.org/officeDocument/2006/relationships/footer" Target="footer373.xml"/><Relationship Id="rId838" Type="http://schemas.openxmlformats.org/officeDocument/2006/relationships/header" Target="header381.xml"/><Relationship Id="rId839" Type="http://schemas.openxmlformats.org/officeDocument/2006/relationships/footer" Target="footer374.xml"/><Relationship Id="rId840" Type="http://schemas.openxmlformats.org/officeDocument/2006/relationships/header" Target="header382.xml"/><Relationship Id="rId841" Type="http://schemas.openxmlformats.org/officeDocument/2006/relationships/footer" Target="footer375.xml"/><Relationship Id="rId842" Type="http://schemas.openxmlformats.org/officeDocument/2006/relationships/header" Target="header383.xml"/><Relationship Id="rId843" Type="http://schemas.openxmlformats.org/officeDocument/2006/relationships/footer" Target="footer376.xml"/><Relationship Id="rId844" Type="http://schemas.openxmlformats.org/officeDocument/2006/relationships/header" Target="header384.xml"/><Relationship Id="rId845" Type="http://schemas.openxmlformats.org/officeDocument/2006/relationships/footer" Target="footer377.xml"/><Relationship Id="rId846" Type="http://schemas.openxmlformats.org/officeDocument/2006/relationships/header" Target="header385.xml"/><Relationship Id="rId847" Type="http://schemas.openxmlformats.org/officeDocument/2006/relationships/footer" Target="footer378.xml"/><Relationship Id="rId848" Type="http://schemas.openxmlformats.org/officeDocument/2006/relationships/header" Target="header386.xml"/><Relationship Id="rId849" Type="http://schemas.openxmlformats.org/officeDocument/2006/relationships/footer" Target="footer379.xml"/><Relationship Id="rId850" Type="http://schemas.openxmlformats.org/officeDocument/2006/relationships/header" Target="header387.xml"/><Relationship Id="rId851" Type="http://schemas.openxmlformats.org/officeDocument/2006/relationships/footer" Target="footer380.xml"/><Relationship Id="rId852" Type="http://schemas.openxmlformats.org/officeDocument/2006/relationships/hyperlink" Target="http://iris.paho.org/xmlui/bitstream/handle/123456789/" TargetMode="External"/><Relationship Id="rId853" Type="http://schemas.openxmlformats.org/officeDocument/2006/relationships/header" Target="header388.xml"/><Relationship Id="rId854" Type="http://schemas.openxmlformats.org/officeDocument/2006/relationships/footer" Target="footer381.xml"/><Relationship Id="rId855" Type="http://schemas.openxmlformats.org/officeDocument/2006/relationships/header" Target="header389.xml"/><Relationship Id="rId856" Type="http://schemas.openxmlformats.org/officeDocument/2006/relationships/footer" Target="footer382.xml"/><Relationship Id="rId857" Type="http://schemas.openxmlformats.org/officeDocument/2006/relationships/image" Target="media/image29.png"/><Relationship Id="rId858" Type="http://schemas.openxmlformats.org/officeDocument/2006/relationships/header" Target="header390.xml"/><Relationship Id="rId859" Type="http://schemas.openxmlformats.org/officeDocument/2006/relationships/footer" Target="footer383.xml"/><Relationship Id="rId860" Type="http://schemas.openxmlformats.org/officeDocument/2006/relationships/header" Target="header391.xml"/><Relationship Id="rId861" Type="http://schemas.openxmlformats.org/officeDocument/2006/relationships/footer" Target="footer384.xml"/><Relationship Id="rId862" Type="http://schemas.openxmlformats.org/officeDocument/2006/relationships/header" Target="header392.xml"/><Relationship Id="rId863" Type="http://schemas.openxmlformats.org/officeDocument/2006/relationships/footer" Target="footer385.xml"/><Relationship Id="rId864" Type="http://schemas.openxmlformats.org/officeDocument/2006/relationships/header" Target="header393.xml"/><Relationship Id="rId865" Type="http://schemas.openxmlformats.org/officeDocument/2006/relationships/footer" Target="footer386.xml"/><Relationship Id="rId866" Type="http://schemas.openxmlformats.org/officeDocument/2006/relationships/header" Target="header394.xml"/><Relationship Id="rId867" Type="http://schemas.openxmlformats.org/officeDocument/2006/relationships/footer" Target="footer387.xml"/><Relationship Id="rId868" Type="http://schemas.openxmlformats.org/officeDocument/2006/relationships/header" Target="header395.xml"/><Relationship Id="rId869" Type="http://schemas.openxmlformats.org/officeDocument/2006/relationships/footer" Target="footer388.xml"/><Relationship Id="rId870" Type="http://schemas.openxmlformats.org/officeDocument/2006/relationships/header" Target="header396.xml"/><Relationship Id="rId871" Type="http://schemas.openxmlformats.org/officeDocument/2006/relationships/footer" Target="footer389.xml"/><Relationship Id="rId872" Type="http://schemas.openxmlformats.org/officeDocument/2006/relationships/header" Target="header397.xml"/><Relationship Id="rId873" Type="http://schemas.openxmlformats.org/officeDocument/2006/relationships/footer" Target="footer390.xml"/><Relationship Id="rId874" Type="http://schemas.openxmlformats.org/officeDocument/2006/relationships/header" Target="header398.xml"/><Relationship Id="rId875" Type="http://schemas.openxmlformats.org/officeDocument/2006/relationships/footer" Target="footer391.xml"/><Relationship Id="rId876" Type="http://schemas.openxmlformats.org/officeDocument/2006/relationships/header" Target="header399.xml"/><Relationship Id="rId877" Type="http://schemas.openxmlformats.org/officeDocument/2006/relationships/footer" Target="footer392.xml"/><Relationship Id="rId878" Type="http://schemas.openxmlformats.org/officeDocument/2006/relationships/header" Target="header400.xml"/><Relationship Id="rId879" Type="http://schemas.openxmlformats.org/officeDocument/2006/relationships/footer" Target="footer393.xml"/><Relationship Id="rId880" Type="http://schemas.openxmlformats.org/officeDocument/2006/relationships/header" Target="header401.xml"/><Relationship Id="rId881" Type="http://schemas.openxmlformats.org/officeDocument/2006/relationships/footer" Target="footer394.xml"/><Relationship Id="rId882" Type="http://schemas.openxmlformats.org/officeDocument/2006/relationships/header" Target="header402.xml"/><Relationship Id="rId883" Type="http://schemas.openxmlformats.org/officeDocument/2006/relationships/footer" Target="footer395.xml"/><Relationship Id="rId884" Type="http://schemas.openxmlformats.org/officeDocument/2006/relationships/header" Target="header403.xml"/><Relationship Id="rId885" Type="http://schemas.openxmlformats.org/officeDocument/2006/relationships/footer" Target="footer396.xml"/><Relationship Id="rId886" Type="http://schemas.openxmlformats.org/officeDocument/2006/relationships/header" Target="header404.xml"/><Relationship Id="rId887" Type="http://schemas.openxmlformats.org/officeDocument/2006/relationships/footer" Target="footer397.xml"/><Relationship Id="rId888" Type="http://schemas.openxmlformats.org/officeDocument/2006/relationships/header" Target="header405.xml"/><Relationship Id="rId889" Type="http://schemas.openxmlformats.org/officeDocument/2006/relationships/footer" Target="footer398.xml"/><Relationship Id="rId890" Type="http://schemas.openxmlformats.org/officeDocument/2006/relationships/header" Target="header406.xml"/><Relationship Id="rId891" Type="http://schemas.openxmlformats.org/officeDocument/2006/relationships/footer" Target="footer399.xml"/><Relationship Id="rId892" Type="http://schemas.openxmlformats.org/officeDocument/2006/relationships/header" Target="header407.xml"/><Relationship Id="rId893" Type="http://schemas.openxmlformats.org/officeDocument/2006/relationships/footer" Target="footer400.xml"/><Relationship Id="rId894" Type="http://schemas.openxmlformats.org/officeDocument/2006/relationships/header" Target="header408.xml"/><Relationship Id="rId895" Type="http://schemas.openxmlformats.org/officeDocument/2006/relationships/footer" Target="footer401.xml"/><Relationship Id="rId896" Type="http://schemas.openxmlformats.org/officeDocument/2006/relationships/header" Target="header409.xml"/><Relationship Id="rId897" Type="http://schemas.openxmlformats.org/officeDocument/2006/relationships/footer" Target="footer402.xml"/><Relationship Id="rId898" Type="http://schemas.openxmlformats.org/officeDocument/2006/relationships/header" Target="header410.xml"/><Relationship Id="rId899" Type="http://schemas.openxmlformats.org/officeDocument/2006/relationships/footer" Target="footer403.xml"/><Relationship Id="rId900" Type="http://schemas.openxmlformats.org/officeDocument/2006/relationships/header" Target="header411.xml"/><Relationship Id="rId901" Type="http://schemas.openxmlformats.org/officeDocument/2006/relationships/footer" Target="footer404.xml"/><Relationship Id="rId902" Type="http://schemas.openxmlformats.org/officeDocument/2006/relationships/header" Target="header412.xml"/><Relationship Id="rId903" Type="http://schemas.openxmlformats.org/officeDocument/2006/relationships/footer" Target="footer405.xml"/><Relationship Id="rId904" Type="http://schemas.openxmlformats.org/officeDocument/2006/relationships/header" Target="header413.xml"/><Relationship Id="rId905" Type="http://schemas.openxmlformats.org/officeDocument/2006/relationships/footer" Target="footer406.xml"/><Relationship Id="rId906" Type="http://schemas.openxmlformats.org/officeDocument/2006/relationships/header" Target="header414.xml"/><Relationship Id="rId907" Type="http://schemas.openxmlformats.org/officeDocument/2006/relationships/footer" Target="footer407.xml"/><Relationship Id="rId908" Type="http://schemas.openxmlformats.org/officeDocument/2006/relationships/header" Target="header415.xml"/><Relationship Id="rId909" Type="http://schemas.openxmlformats.org/officeDocument/2006/relationships/footer" Target="footer408.xml"/><Relationship Id="rId910" Type="http://schemas.openxmlformats.org/officeDocument/2006/relationships/header" Target="header416.xml"/><Relationship Id="rId911" Type="http://schemas.openxmlformats.org/officeDocument/2006/relationships/footer" Target="footer409.xml"/><Relationship Id="rId912" Type="http://schemas.openxmlformats.org/officeDocument/2006/relationships/header" Target="header417.xml"/><Relationship Id="rId913" Type="http://schemas.openxmlformats.org/officeDocument/2006/relationships/footer" Target="footer410.xml"/><Relationship Id="rId914" Type="http://schemas.openxmlformats.org/officeDocument/2006/relationships/header" Target="header418.xml"/><Relationship Id="rId915" Type="http://schemas.openxmlformats.org/officeDocument/2006/relationships/footer" Target="footer411.xml"/><Relationship Id="rId916" Type="http://schemas.openxmlformats.org/officeDocument/2006/relationships/header" Target="header419.xml"/><Relationship Id="rId917" Type="http://schemas.openxmlformats.org/officeDocument/2006/relationships/footer" Target="footer412.xml"/><Relationship Id="rId918" Type="http://schemas.openxmlformats.org/officeDocument/2006/relationships/header" Target="header420.xml"/><Relationship Id="rId919" Type="http://schemas.openxmlformats.org/officeDocument/2006/relationships/footer" Target="footer413.xml"/><Relationship Id="rId920" Type="http://schemas.openxmlformats.org/officeDocument/2006/relationships/header" Target="header421.xml"/><Relationship Id="rId921" Type="http://schemas.openxmlformats.org/officeDocument/2006/relationships/footer" Target="footer414.xml"/><Relationship Id="rId922" Type="http://schemas.openxmlformats.org/officeDocument/2006/relationships/header" Target="header422.xml"/><Relationship Id="rId923" Type="http://schemas.openxmlformats.org/officeDocument/2006/relationships/footer" Target="footer415.xml"/><Relationship Id="rId924" Type="http://schemas.openxmlformats.org/officeDocument/2006/relationships/header" Target="header423.xml"/><Relationship Id="rId925" Type="http://schemas.openxmlformats.org/officeDocument/2006/relationships/footer" Target="footer416.xml"/><Relationship Id="rId926" Type="http://schemas.openxmlformats.org/officeDocument/2006/relationships/header" Target="header424.xml"/><Relationship Id="rId927" Type="http://schemas.openxmlformats.org/officeDocument/2006/relationships/footer" Target="footer417.xml"/><Relationship Id="rId928" Type="http://schemas.openxmlformats.org/officeDocument/2006/relationships/header" Target="header425.xml"/><Relationship Id="rId929" Type="http://schemas.openxmlformats.org/officeDocument/2006/relationships/footer" Target="footer418.xml"/><Relationship Id="rId930" Type="http://schemas.openxmlformats.org/officeDocument/2006/relationships/header" Target="header426.xml"/><Relationship Id="rId931" Type="http://schemas.openxmlformats.org/officeDocument/2006/relationships/footer" Target="footer419.xml"/><Relationship Id="rId932" Type="http://schemas.openxmlformats.org/officeDocument/2006/relationships/header" Target="header427.xml"/><Relationship Id="rId933" Type="http://schemas.openxmlformats.org/officeDocument/2006/relationships/footer" Target="footer420.xml"/><Relationship Id="rId934" Type="http://schemas.openxmlformats.org/officeDocument/2006/relationships/header" Target="header428.xml"/><Relationship Id="rId935" Type="http://schemas.openxmlformats.org/officeDocument/2006/relationships/footer" Target="footer421.xml"/><Relationship Id="rId936" Type="http://schemas.openxmlformats.org/officeDocument/2006/relationships/header" Target="header429.xml"/><Relationship Id="rId937" Type="http://schemas.openxmlformats.org/officeDocument/2006/relationships/footer" Target="footer422.xml"/><Relationship Id="rId938" Type="http://schemas.openxmlformats.org/officeDocument/2006/relationships/header" Target="header430.xml"/><Relationship Id="rId939" Type="http://schemas.openxmlformats.org/officeDocument/2006/relationships/footer" Target="footer423.xml"/><Relationship Id="rId940" Type="http://schemas.openxmlformats.org/officeDocument/2006/relationships/header" Target="header431.xml"/><Relationship Id="rId941" Type="http://schemas.openxmlformats.org/officeDocument/2006/relationships/footer" Target="footer424.xml"/><Relationship Id="rId942" Type="http://schemas.openxmlformats.org/officeDocument/2006/relationships/header" Target="header432.xml"/><Relationship Id="rId943" Type="http://schemas.openxmlformats.org/officeDocument/2006/relationships/footer" Target="footer425.xml"/><Relationship Id="rId944" Type="http://schemas.openxmlformats.org/officeDocument/2006/relationships/header" Target="header433.xml"/><Relationship Id="rId945" Type="http://schemas.openxmlformats.org/officeDocument/2006/relationships/footer" Target="footer426.xml"/><Relationship Id="rId946" Type="http://schemas.openxmlformats.org/officeDocument/2006/relationships/header" Target="header434.xml"/><Relationship Id="rId947" Type="http://schemas.openxmlformats.org/officeDocument/2006/relationships/footer" Target="footer427.xml"/><Relationship Id="rId948" Type="http://schemas.openxmlformats.org/officeDocument/2006/relationships/hyperlink" Target="http://www.oecd.org/edu/school/43057468.pdf" TargetMode="External"/><Relationship Id="rId949" Type="http://schemas.openxmlformats.org/officeDocument/2006/relationships/header" Target="header435.xml"/><Relationship Id="rId950" Type="http://schemas.openxmlformats.org/officeDocument/2006/relationships/footer" Target="footer428.xml"/><Relationship Id="rId951" Type="http://schemas.openxmlformats.org/officeDocument/2006/relationships/header" Target="header436.xml"/><Relationship Id="rId952" Type="http://schemas.openxmlformats.org/officeDocument/2006/relationships/footer" Target="footer429.xml"/><Relationship Id="rId953" Type="http://schemas.openxmlformats.org/officeDocument/2006/relationships/header" Target="header437.xml"/><Relationship Id="rId954" Type="http://schemas.openxmlformats.org/officeDocument/2006/relationships/footer" Target="footer430.xml"/><Relationship Id="rId955" Type="http://schemas.openxmlformats.org/officeDocument/2006/relationships/header" Target="header438.xml"/><Relationship Id="rId956" Type="http://schemas.openxmlformats.org/officeDocument/2006/relationships/footer" Target="footer431.xml"/><Relationship Id="rId957" Type="http://schemas.openxmlformats.org/officeDocument/2006/relationships/image" Target="media/image30.png"/><Relationship Id="rId958" Type="http://schemas.openxmlformats.org/officeDocument/2006/relationships/header" Target="header439.xml"/><Relationship Id="rId959" Type="http://schemas.openxmlformats.org/officeDocument/2006/relationships/footer" Target="footer432.xml"/><Relationship Id="rId960" Type="http://schemas.openxmlformats.org/officeDocument/2006/relationships/header" Target="header440.xml"/><Relationship Id="rId961" Type="http://schemas.openxmlformats.org/officeDocument/2006/relationships/footer" Target="footer433.xml"/><Relationship Id="rId962" Type="http://schemas.openxmlformats.org/officeDocument/2006/relationships/header" Target="header441.xml"/><Relationship Id="rId963" Type="http://schemas.openxmlformats.org/officeDocument/2006/relationships/footer" Target="footer434.xml"/><Relationship Id="rId964" Type="http://schemas.openxmlformats.org/officeDocument/2006/relationships/header" Target="header442.xml"/><Relationship Id="rId965" Type="http://schemas.openxmlformats.org/officeDocument/2006/relationships/footer" Target="footer435.xml"/><Relationship Id="rId966" Type="http://schemas.openxmlformats.org/officeDocument/2006/relationships/header" Target="header443.xml"/><Relationship Id="rId967" Type="http://schemas.openxmlformats.org/officeDocument/2006/relationships/footer" Target="footer436.xml"/><Relationship Id="rId968" Type="http://schemas.openxmlformats.org/officeDocument/2006/relationships/header" Target="header444.xml"/><Relationship Id="rId969" Type="http://schemas.openxmlformats.org/officeDocument/2006/relationships/footer" Target="footer437.xml"/><Relationship Id="rId970" Type="http://schemas.openxmlformats.org/officeDocument/2006/relationships/header" Target="header445.xml"/><Relationship Id="rId971" Type="http://schemas.openxmlformats.org/officeDocument/2006/relationships/footer" Target="footer438.xml"/><Relationship Id="rId972" Type="http://schemas.openxmlformats.org/officeDocument/2006/relationships/header" Target="header446.xml"/><Relationship Id="rId973" Type="http://schemas.openxmlformats.org/officeDocument/2006/relationships/footer" Target="footer439.xml"/><Relationship Id="rId974" Type="http://schemas.openxmlformats.org/officeDocument/2006/relationships/header" Target="header447.xml"/><Relationship Id="rId975" Type="http://schemas.openxmlformats.org/officeDocument/2006/relationships/footer" Target="footer440.xml"/><Relationship Id="rId976" Type="http://schemas.openxmlformats.org/officeDocument/2006/relationships/header" Target="header448.xml"/><Relationship Id="rId977" Type="http://schemas.openxmlformats.org/officeDocument/2006/relationships/footer" Target="footer441.xml"/><Relationship Id="rId978" Type="http://schemas.openxmlformats.org/officeDocument/2006/relationships/header" Target="header449.xml"/><Relationship Id="rId979" Type="http://schemas.openxmlformats.org/officeDocument/2006/relationships/footer" Target="footer442.xml"/><Relationship Id="rId980" Type="http://schemas.openxmlformats.org/officeDocument/2006/relationships/header" Target="header450.xml"/><Relationship Id="rId981" Type="http://schemas.openxmlformats.org/officeDocument/2006/relationships/footer" Target="footer443.xml"/><Relationship Id="rId982" Type="http://schemas.openxmlformats.org/officeDocument/2006/relationships/header" Target="header451.xml"/><Relationship Id="rId983" Type="http://schemas.openxmlformats.org/officeDocument/2006/relationships/footer" Target="footer444.xml"/><Relationship Id="rId984" Type="http://schemas.openxmlformats.org/officeDocument/2006/relationships/header" Target="header452.xml"/><Relationship Id="rId985" Type="http://schemas.openxmlformats.org/officeDocument/2006/relationships/footer" Target="footer445.xml"/><Relationship Id="rId986" Type="http://schemas.openxmlformats.org/officeDocument/2006/relationships/header" Target="header453.xml"/><Relationship Id="rId987" Type="http://schemas.openxmlformats.org/officeDocument/2006/relationships/footer" Target="footer446.xml"/><Relationship Id="rId988" Type="http://schemas.openxmlformats.org/officeDocument/2006/relationships/header" Target="header454.xml"/><Relationship Id="rId989" Type="http://schemas.openxmlformats.org/officeDocument/2006/relationships/footer" Target="footer447.xml"/><Relationship Id="rId990" Type="http://schemas.openxmlformats.org/officeDocument/2006/relationships/hyperlink" Target="http://www.leymann.se/English/frame.html" TargetMode="External"/><Relationship Id="rId991" Type="http://schemas.openxmlformats.org/officeDocument/2006/relationships/header" Target="header455.xml"/><Relationship Id="rId992" Type="http://schemas.openxmlformats.org/officeDocument/2006/relationships/footer" Target="footer448.xml"/><Relationship Id="rId993" Type="http://schemas.openxmlformats.org/officeDocument/2006/relationships/hyperlink" Target="http://www.cienciaytrabajo.cl/cyt/Paginas/Ediciones-" TargetMode="External"/><Relationship Id="rId994" Type="http://schemas.openxmlformats.org/officeDocument/2006/relationships/header" Target="header456.xml"/><Relationship Id="rId995" Type="http://schemas.openxmlformats.org/officeDocument/2006/relationships/footer" Target="footer449.xml"/><Relationship Id="rId996" Type="http://schemas.openxmlformats.org/officeDocument/2006/relationships/header" Target="header457.xml"/><Relationship Id="rId997" Type="http://schemas.openxmlformats.org/officeDocument/2006/relationships/footer" Target="footer450.xml"/><Relationship Id="rId998" Type="http://schemas.openxmlformats.org/officeDocument/2006/relationships/header" Target="header458.xml"/><Relationship Id="rId999" Type="http://schemas.openxmlformats.org/officeDocument/2006/relationships/footer" Target="footer451.xml"/><Relationship Id="rId1000" Type="http://schemas.openxmlformats.org/officeDocument/2006/relationships/header" Target="header459.xml"/><Relationship Id="rId1001" Type="http://schemas.openxmlformats.org/officeDocument/2006/relationships/footer" Target="footer452.xml"/><Relationship Id="rId1002" Type="http://schemas.openxmlformats.org/officeDocument/2006/relationships/header" Target="header460.xml"/><Relationship Id="rId1003" Type="http://schemas.openxmlformats.org/officeDocument/2006/relationships/footer" Target="footer453.xml"/><Relationship Id="rId1004" Type="http://schemas.openxmlformats.org/officeDocument/2006/relationships/image" Target="media/image31.png"/><Relationship Id="rId1005" Type="http://schemas.openxmlformats.org/officeDocument/2006/relationships/image" Target="media/image32.png"/><Relationship Id="rId1006" Type="http://schemas.openxmlformats.org/officeDocument/2006/relationships/image" Target="media/image33.png"/><Relationship Id="rId100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2017-05-31T20:19:43Z</dcterms:created>
  <dcterms:modified xsi:type="dcterms:W3CDTF">2017-05-31T20:19:43Z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2016-10-17T00:00:00Z</vt:filetime>
  </property>
  <property fmtid="{D5CDD505-2E9C-101B-9397-08002B2CF9AE}" pid="3" name="Creator">
    <vt:lpwstr>Adobe InDesign CC 2015 (Macintosh)</vt:lpwstr>
  </property>
  <property fmtid="{D5CDD505-2E9C-101B-9397-08002B2CF9AE}" pid="4" name="LastSaved">
    <vt:filetime>2017-05-31T00:00:00Z</vt:filetime>
  </property>
</Properties>
</file>